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E604" w14:textId="47C7B728" w:rsidR="00E40854" w:rsidRPr="00167CB8" w:rsidRDefault="006015D1" w:rsidP="00E003AE">
      <w:r w:rsidRPr="00167CB8">
        <w:rPr>
          <w:noProof/>
        </w:rPr>
        <w:drawing>
          <wp:anchor distT="0" distB="0" distL="114300" distR="114300" simplePos="0" relativeHeight="251658241" behindDoc="1" locked="1" layoutInCell="1" allowOverlap="1" wp14:anchorId="149FE5E3" wp14:editId="0FCE70E6">
            <wp:simplePos x="0" y="0"/>
            <wp:positionH relativeFrom="column">
              <wp:posOffset>-929640</wp:posOffset>
            </wp:positionH>
            <wp:positionV relativeFrom="page">
              <wp:posOffset>-17780</wp:posOffset>
            </wp:positionV>
            <wp:extent cx="7574400" cy="10710000"/>
            <wp:effectExtent l="0" t="0" r="7620" b="0"/>
            <wp:wrapNone/>
            <wp:docPr id="239640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40354"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400" cy="10710000"/>
                    </a:xfrm>
                    <a:prstGeom prst="rect">
                      <a:avLst/>
                    </a:prstGeom>
                  </pic:spPr>
                </pic:pic>
              </a:graphicData>
            </a:graphic>
            <wp14:sizeRelH relativeFrom="page">
              <wp14:pctWidth>0</wp14:pctWidth>
            </wp14:sizeRelH>
            <wp14:sizeRelV relativeFrom="page">
              <wp14:pctHeight>0</wp14:pctHeight>
            </wp14:sizeRelV>
          </wp:anchor>
        </w:drawing>
      </w:r>
    </w:p>
    <w:p w14:paraId="2AA41E28" w14:textId="070B4B67" w:rsidR="00221D8F" w:rsidRPr="00167CB8" w:rsidRDefault="00343C7B" w:rsidP="006015D1">
      <w:pPr>
        <w:pStyle w:val="Heading1"/>
        <w:spacing w:before="1080"/>
        <w:rPr>
          <w:rFonts w:asciiTheme="minorHAnsi" w:hAnsiTheme="minorHAnsi"/>
        </w:rPr>
      </w:pPr>
      <w:bookmarkStart w:id="0" w:name="_Toc189260175"/>
      <w:r w:rsidRPr="00167CB8">
        <w:rPr>
          <w:rFonts w:asciiTheme="minorHAnsi" w:hAnsiTheme="minorHAnsi"/>
        </w:rPr>
        <w:t xml:space="preserve">Secure Jobs, Better Pay </w:t>
      </w:r>
      <w:r w:rsidR="006015D1" w:rsidRPr="00167CB8">
        <w:rPr>
          <w:rFonts w:asciiTheme="minorHAnsi" w:hAnsiTheme="minorHAnsi"/>
          <w:b/>
        </w:rPr>
        <w:t>R</w:t>
      </w:r>
      <w:r w:rsidRPr="00167CB8">
        <w:rPr>
          <w:rFonts w:asciiTheme="minorHAnsi" w:hAnsiTheme="minorHAnsi"/>
          <w:b/>
        </w:rPr>
        <w:t>eview</w:t>
      </w:r>
      <w:bookmarkEnd w:id="0"/>
    </w:p>
    <w:p w14:paraId="4803DAF4" w14:textId="6E11607F" w:rsidR="009D2BA6" w:rsidRPr="00167CB8" w:rsidRDefault="00597C4C" w:rsidP="009D2BA6">
      <w:pPr>
        <w:pStyle w:val="Subtitle"/>
        <w:rPr>
          <w:rFonts w:asciiTheme="minorHAnsi" w:hAnsiTheme="minorHAnsi"/>
        </w:rPr>
      </w:pPr>
      <w:r w:rsidRPr="00167CB8">
        <w:rPr>
          <w:rFonts w:asciiTheme="minorHAnsi" w:hAnsiTheme="minorHAnsi"/>
          <w:noProof/>
        </w:rPr>
        <mc:AlternateContent>
          <mc:Choice Requires="wps">
            <w:drawing>
              <wp:anchor distT="0" distB="0" distL="114300" distR="114300" simplePos="0" relativeHeight="251658240" behindDoc="0" locked="0" layoutInCell="1" allowOverlap="1" wp14:anchorId="5C3F95DF" wp14:editId="60B2B220">
                <wp:simplePos x="0" y="0"/>
                <wp:positionH relativeFrom="column">
                  <wp:posOffset>22225</wp:posOffset>
                </wp:positionH>
                <wp:positionV relativeFrom="paragraph">
                  <wp:posOffset>134433</wp:posOffset>
                </wp:positionV>
                <wp:extent cx="900000" cy="60008"/>
                <wp:effectExtent l="0" t="0" r="14605" b="16510"/>
                <wp:wrapNone/>
                <wp:docPr id="1532669240" name="Rectangle 4"/>
                <wp:cNvGraphicFramePr/>
                <a:graphic xmlns:a="http://schemas.openxmlformats.org/drawingml/2006/main">
                  <a:graphicData uri="http://schemas.microsoft.com/office/word/2010/wordprocessingShape">
                    <wps:wsp>
                      <wps:cNvSpPr/>
                      <wps:spPr>
                        <a:xfrm flipV="1">
                          <a:off x="0" y="0"/>
                          <a:ext cx="900000" cy="60008"/>
                        </a:xfrm>
                        <a:prstGeom prst="rect">
                          <a:avLst/>
                        </a:prstGeom>
                        <a:solidFill>
                          <a:schemeClr val="tx1"/>
                        </a:solidFill>
                        <a:ln>
                          <a:solidFill>
                            <a:srgbClr val="009B9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5C524" id="Rectangle 4" o:spid="_x0000_s1026" style="position:absolute;margin-left:1.75pt;margin-top:10.6pt;width:70.85pt;height:4.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" fillcolor="#0d2c6c [3213]" strokecolor="#009b9f" strokeweight="1pt"/>
            </w:pict>
          </mc:Fallback>
        </mc:AlternateContent>
      </w:r>
      <w:r w:rsidR="00CC0603" w:rsidRPr="00167CB8">
        <w:rPr>
          <w:rFonts w:asciiTheme="minorHAnsi" w:hAnsiTheme="minorHAnsi"/>
        </w:rPr>
        <w:t>Draft Report</w:t>
      </w:r>
    </w:p>
    <w:p w14:paraId="75259D40" w14:textId="298F95F8" w:rsidR="00597C4C" w:rsidRPr="00167CB8" w:rsidRDefault="00CC0603" w:rsidP="009D2BA6">
      <w:pPr>
        <w:pStyle w:val="Cover-Date"/>
        <w:rPr>
          <w:rFonts w:asciiTheme="minorHAnsi" w:hAnsiTheme="minorHAnsi"/>
        </w:rPr>
      </w:pPr>
      <w:r w:rsidRPr="00167CB8">
        <w:rPr>
          <w:rFonts w:asciiTheme="minorHAnsi" w:hAnsiTheme="minorHAnsi"/>
        </w:rPr>
        <w:t>31 January</w:t>
      </w:r>
      <w:r w:rsidR="00343C7B" w:rsidRPr="00167CB8">
        <w:rPr>
          <w:rFonts w:asciiTheme="minorHAnsi" w:hAnsiTheme="minorHAnsi"/>
        </w:rPr>
        <w:t xml:space="preserve"> 2025</w:t>
      </w:r>
    </w:p>
    <w:p w14:paraId="2C5154CB" w14:textId="732FA8DF" w:rsidR="00107D87" w:rsidRPr="00167CB8" w:rsidRDefault="00CC0603" w:rsidP="007D0D87">
      <w:pPr>
        <w:pStyle w:val="Cover-Preparedby"/>
        <w:sectPr w:rsidR="00107D87" w:rsidRPr="00167CB8" w:rsidSect="009F3142">
          <w:footerReference w:type="default" r:id="rId9"/>
          <w:pgSz w:w="11906" w:h="16838"/>
          <w:pgMar w:top="1701" w:right="1440" w:bottom="0" w:left="1440" w:header="709" w:footer="709" w:gutter="0"/>
          <w:cols w:space="708"/>
          <w:titlePg/>
          <w:docGrid w:linePitch="360"/>
        </w:sectPr>
      </w:pPr>
      <w:r w:rsidRPr="00167CB8">
        <w:t>Emeritus Professor Mark Bray and Professor Alison Preston</w:t>
      </w:r>
    </w:p>
    <w:p w14:paraId="1B8AD3CA" w14:textId="77EF0FCD" w:rsidR="00F2735C" w:rsidRPr="00167CB8" w:rsidRDefault="00F2735C" w:rsidP="00343C7B">
      <w:pPr>
        <w:spacing w:before="10680"/>
      </w:pPr>
      <w:r w:rsidRPr="00167CB8">
        <w:rPr>
          <w:noProof/>
        </w:rPr>
        <w:lastRenderedPageBreak/>
        <w:drawing>
          <wp:inline distT="0" distB="0" distL="0" distR="0" wp14:anchorId="73ABC508" wp14:editId="1FB2A803">
            <wp:extent cx="843643" cy="295275"/>
            <wp:effectExtent l="0" t="0" r="0" b="0"/>
            <wp:docPr id="402554254" name="Picture 40255425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1B094CAE" w14:textId="546A2E49" w:rsidR="0043588C" w:rsidRPr="00167CB8" w:rsidRDefault="0043588C" w:rsidP="00C157DC">
      <w:pPr>
        <w:spacing w:before="10680"/>
      </w:pPr>
      <w:r w:rsidRPr="00167CB8">
        <w:lastRenderedPageBreak/>
        <w:t>All material presented in this</w:t>
      </w:r>
      <w:r w:rsidR="00CC0603" w:rsidRPr="00167CB8">
        <w:t xml:space="preserve"> draft report</w:t>
      </w:r>
      <w:r w:rsidRPr="00167CB8">
        <w:t xml:space="preserve"> is provided under a </w:t>
      </w:r>
      <w:hyperlink r:id="rId11">
        <w:r w:rsidRPr="00167CB8">
          <w:rPr>
            <w:rStyle w:val="Hyperlink"/>
          </w:rPr>
          <w:t>Creative Commons Attribution 4.0 International</w:t>
        </w:r>
      </w:hyperlink>
      <w:r w:rsidRPr="00167CB8">
        <w:t xml:space="preserve"> (https://creativecommons.org/licenses/by/4.0/) licence, with the exception of the Commonwealth Coat of Arms, the Department’s logo, any material protected by a trade mark and where otherwise noted.</w:t>
      </w:r>
    </w:p>
    <w:p w14:paraId="4ECF641C" w14:textId="77777777" w:rsidR="0043588C" w:rsidRPr="00167CB8" w:rsidRDefault="0043588C" w:rsidP="00343C7B">
      <w:pPr>
        <w:spacing w:after="240"/>
      </w:pPr>
      <w:r w:rsidRPr="00167CB8">
        <w:t xml:space="preserve">The details of the relevant licence conditions are available on the Creative Commons website (accessible using the links provided) as is the full legal code for the </w:t>
      </w:r>
      <w:hyperlink r:id="rId12" w:history="1">
        <w:r w:rsidRPr="00167CB8">
          <w:rPr>
            <w:rStyle w:val="Hyperlink"/>
          </w:rPr>
          <w:t>CC BY 4.0 International</w:t>
        </w:r>
      </w:hyperlink>
      <w:r w:rsidRPr="00167CB8">
        <w:t xml:space="preserve"> (https://creativecommons.org/licenses/by/4.0/legalcode) </w:t>
      </w:r>
    </w:p>
    <w:p w14:paraId="735CF55E" w14:textId="4E366FD8" w:rsidR="00107D87" w:rsidRPr="00167CB8" w:rsidRDefault="00343C7B" w:rsidP="00343C7B">
      <w:pPr>
        <w:spacing w:after="240"/>
      </w:pPr>
      <w:r w:rsidRPr="00167CB8">
        <w:t xml:space="preserve">The document must be attributed as the </w:t>
      </w:r>
      <w:r w:rsidR="009E3136" w:rsidRPr="00167CB8">
        <w:rPr>
          <w:i/>
          <w:iCs/>
        </w:rPr>
        <w:t>Secure Jobs, Better Pay Review</w:t>
      </w:r>
      <w:r w:rsidR="00F67BFD" w:rsidRPr="00167CB8">
        <w:rPr>
          <w:i/>
          <w:iCs/>
        </w:rPr>
        <w:t>: Draft Report</w:t>
      </w:r>
      <w:r w:rsidRPr="00167CB8">
        <w:t>.</w:t>
      </w:r>
    </w:p>
    <w:p w14:paraId="538A8904" w14:textId="77777777" w:rsidR="00F2735C" w:rsidRPr="00167CB8" w:rsidRDefault="00F2735C" w:rsidP="00343C7B">
      <w:pPr>
        <w:spacing w:after="240"/>
      </w:pPr>
    </w:p>
    <w:p w14:paraId="6F271D00" w14:textId="77777777" w:rsidR="00F2735C" w:rsidRPr="00167CB8" w:rsidRDefault="00F2735C" w:rsidP="00F2735C">
      <w:pPr>
        <w:rPr>
          <w:b/>
          <w:bCs/>
          <w:sz w:val="28"/>
          <w:szCs w:val="28"/>
          <w:lang w:val="en-US"/>
        </w:rPr>
      </w:pPr>
      <w:r w:rsidRPr="00167CB8">
        <w:rPr>
          <w:b/>
          <w:bCs/>
          <w:sz w:val="28"/>
          <w:szCs w:val="28"/>
          <w:lang w:val="en-US"/>
        </w:rPr>
        <w:t>Disclaimer</w:t>
      </w:r>
    </w:p>
    <w:p w14:paraId="4A907ABE" w14:textId="77777777" w:rsidR="00F2735C" w:rsidRPr="00167CB8" w:rsidRDefault="00F2735C" w:rsidP="00F2735C">
      <w:r w:rsidRPr="00167CB8">
        <w:t>This document uses unit record data from the Household, Income and Labour Dynamics in Australia (HILDA) Survey. The unit record data from the HILDA Survey was obtained from the Australian Data Archive, which is hosted by The Australian National University. The HILDA Survey was initiated and is funded by the Australian Government Department of Social Services (DSS) and is managed by the Melbourne Institute of Applied Economic and Social Research (Melbourne Institute). The findings and views based on the data, however, are those of the authors and should not be attributed to the Australian Government, DSS, the Melbourne Institute, the Australian Data Archive or The Australian National University and none of those entities bear any responsibility for the analysis or interpretation of the unit record data from the HILDA Survey provided by the authors.</w:t>
      </w:r>
    </w:p>
    <w:p w14:paraId="1309E388" w14:textId="6AB5E981" w:rsidR="00107D87" w:rsidRPr="00167CB8" w:rsidRDefault="00107D87" w:rsidP="00343C7B">
      <w:pPr>
        <w:spacing w:after="240"/>
        <w:sectPr w:rsidR="00107D87" w:rsidRPr="00167CB8" w:rsidSect="0043588C">
          <w:pgSz w:w="11906" w:h="16838"/>
          <w:pgMar w:top="1440" w:right="1440" w:bottom="1440" w:left="1440" w:header="709" w:footer="709" w:gutter="0"/>
          <w:cols w:space="708"/>
          <w:docGrid w:linePitch="360"/>
        </w:sectPr>
      </w:pPr>
    </w:p>
    <w:p w14:paraId="7D6AA6ED" w14:textId="4A778AD0" w:rsidR="00AF1F18" w:rsidRPr="00167CB8" w:rsidRDefault="00AF1F18" w:rsidP="00AE4518">
      <w:pPr>
        <w:pStyle w:val="TOCHeading"/>
        <w:rPr>
          <w:rFonts w:asciiTheme="minorHAnsi" w:hAnsiTheme="minorHAnsi"/>
        </w:rPr>
      </w:pPr>
      <w:bookmarkStart w:id="1" w:name="_Toc189260176"/>
      <w:r w:rsidRPr="00167CB8">
        <w:rPr>
          <w:rFonts w:asciiTheme="minorHAnsi" w:hAnsiTheme="minorHAnsi"/>
        </w:rPr>
        <w:lastRenderedPageBreak/>
        <w:t>Contents</w:t>
      </w:r>
      <w:bookmarkEnd w:id="1"/>
    </w:p>
    <w:p w14:paraId="6F6A9596" w14:textId="0A9AD11A" w:rsidR="009F5831" w:rsidRDefault="005D145F">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89393510" w:history="1">
        <w:r w:rsidR="009F5831" w:rsidRPr="00397B2D">
          <w:rPr>
            <w:rStyle w:val="Hyperlink"/>
            <w:noProof/>
          </w:rPr>
          <w:t>Overview</w:t>
        </w:r>
        <w:r w:rsidR="009F5831">
          <w:rPr>
            <w:noProof/>
            <w:webHidden/>
          </w:rPr>
          <w:tab/>
        </w:r>
        <w:r w:rsidR="009F5831">
          <w:rPr>
            <w:noProof/>
            <w:webHidden/>
          </w:rPr>
          <w:fldChar w:fldCharType="begin"/>
        </w:r>
        <w:r w:rsidR="009F5831">
          <w:rPr>
            <w:noProof/>
            <w:webHidden/>
          </w:rPr>
          <w:instrText xml:space="preserve"> PAGEREF _Toc189393510 \h </w:instrText>
        </w:r>
        <w:r w:rsidR="009F5831">
          <w:rPr>
            <w:noProof/>
            <w:webHidden/>
          </w:rPr>
        </w:r>
        <w:r w:rsidR="009F5831">
          <w:rPr>
            <w:noProof/>
            <w:webHidden/>
          </w:rPr>
          <w:fldChar w:fldCharType="separate"/>
        </w:r>
        <w:r w:rsidR="003F0101">
          <w:rPr>
            <w:noProof/>
            <w:webHidden/>
          </w:rPr>
          <w:t>10</w:t>
        </w:r>
        <w:r w:rsidR="009F5831">
          <w:rPr>
            <w:noProof/>
            <w:webHidden/>
          </w:rPr>
          <w:fldChar w:fldCharType="end"/>
        </w:r>
      </w:hyperlink>
    </w:p>
    <w:p w14:paraId="66F98FDB" w14:textId="740F0031"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11" w:history="1">
        <w:r w:rsidRPr="00397B2D">
          <w:rPr>
            <w:rStyle w:val="Hyperlink"/>
            <w:noProof/>
          </w:rPr>
          <w:t>Chapter 1. Introduction</w:t>
        </w:r>
        <w:r>
          <w:rPr>
            <w:noProof/>
            <w:webHidden/>
          </w:rPr>
          <w:tab/>
        </w:r>
        <w:r>
          <w:rPr>
            <w:noProof/>
            <w:webHidden/>
          </w:rPr>
          <w:fldChar w:fldCharType="begin"/>
        </w:r>
        <w:r>
          <w:rPr>
            <w:noProof/>
            <w:webHidden/>
          </w:rPr>
          <w:instrText xml:space="preserve"> PAGEREF _Toc189393511 \h </w:instrText>
        </w:r>
        <w:r>
          <w:rPr>
            <w:noProof/>
            <w:webHidden/>
          </w:rPr>
        </w:r>
        <w:r>
          <w:rPr>
            <w:noProof/>
            <w:webHidden/>
          </w:rPr>
          <w:fldChar w:fldCharType="separate"/>
        </w:r>
        <w:r w:rsidR="003F0101">
          <w:rPr>
            <w:noProof/>
            <w:webHidden/>
          </w:rPr>
          <w:t>10</w:t>
        </w:r>
        <w:r>
          <w:rPr>
            <w:noProof/>
            <w:webHidden/>
          </w:rPr>
          <w:fldChar w:fldCharType="end"/>
        </w:r>
      </w:hyperlink>
    </w:p>
    <w:p w14:paraId="0F10A1D9" w14:textId="2992ACC0"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12" w:history="1">
        <w:r w:rsidRPr="00397B2D">
          <w:rPr>
            <w:rStyle w:val="Hyperlink"/>
            <w:noProof/>
          </w:rPr>
          <w:t>Chapter 2. Draft recommendations</w:t>
        </w:r>
        <w:r>
          <w:rPr>
            <w:noProof/>
            <w:webHidden/>
          </w:rPr>
          <w:tab/>
        </w:r>
        <w:r>
          <w:rPr>
            <w:noProof/>
            <w:webHidden/>
          </w:rPr>
          <w:fldChar w:fldCharType="begin"/>
        </w:r>
        <w:r>
          <w:rPr>
            <w:noProof/>
            <w:webHidden/>
          </w:rPr>
          <w:instrText xml:space="preserve"> PAGEREF _Toc189393512 \h </w:instrText>
        </w:r>
        <w:r>
          <w:rPr>
            <w:noProof/>
            <w:webHidden/>
          </w:rPr>
        </w:r>
        <w:r>
          <w:rPr>
            <w:noProof/>
            <w:webHidden/>
          </w:rPr>
          <w:fldChar w:fldCharType="separate"/>
        </w:r>
        <w:r w:rsidR="003F0101">
          <w:rPr>
            <w:noProof/>
            <w:webHidden/>
          </w:rPr>
          <w:t>17</w:t>
        </w:r>
        <w:r>
          <w:rPr>
            <w:noProof/>
            <w:webHidden/>
          </w:rPr>
          <w:fldChar w:fldCharType="end"/>
        </w:r>
      </w:hyperlink>
    </w:p>
    <w:p w14:paraId="0C1DBAC8" w14:textId="646F2AA7" w:rsidR="009F5831" w:rsidRDefault="009F5831">
      <w:pPr>
        <w:pStyle w:val="TOC1"/>
        <w:rPr>
          <w:rFonts w:eastAsiaTheme="minorEastAsia"/>
          <w:noProof/>
          <w:kern w:val="2"/>
          <w:sz w:val="24"/>
          <w:szCs w:val="24"/>
          <w:lang w:eastAsia="en-AU"/>
          <w14:ligatures w14:val="standardContextual"/>
        </w:rPr>
      </w:pPr>
      <w:hyperlink w:anchor="_Toc189393513" w:history="1">
        <w:r w:rsidRPr="00397B2D">
          <w:rPr>
            <w:rStyle w:val="Hyperlink"/>
            <w:noProof/>
          </w:rPr>
          <w:t>Part 1. Institutions</w:t>
        </w:r>
        <w:r>
          <w:rPr>
            <w:noProof/>
            <w:webHidden/>
          </w:rPr>
          <w:tab/>
        </w:r>
        <w:r>
          <w:rPr>
            <w:noProof/>
            <w:webHidden/>
          </w:rPr>
          <w:fldChar w:fldCharType="begin"/>
        </w:r>
        <w:r>
          <w:rPr>
            <w:noProof/>
            <w:webHidden/>
          </w:rPr>
          <w:instrText xml:space="preserve"> PAGEREF _Toc189393513 \h </w:instrText>
        </w:r>
        <w:r>
          <w:rPr>
            <w:noProof/>
            <w:webHidden/>
          </w:rPr>
        </w:r>
        <w:r>
          <w:rPr>
            <w:noProof/>
            <w:webHidden/>
          </w:rPr>
          <w:fldChar w:fldCharType="separate"/>
        </w:r>
        <w:r w:rsidR="003F0101">
          <w:rPr>
            <w:noProof/>
            <w:webHidden/>
          </w:rPr>
          <w:t>20</w:t>
        </w:r>
        <w:r>
          <w:rPr>
            <w:noProof/>
            <w:webHidden/>
          </w:rPr>
          <w:fldChar w:fldCharType="end"/>
        </w:r>
      </w:hyperlink>
    </w:p>
    <w:p w14:paraId="6B933FEE" w14:textId="5B471D11"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14" w:history="1">
        <w:r w:rsidRPr="00397B2D">
          <w:rPr>
            <w:rStyle w:val="Hyperlink"/>
            <w:noProof/>
          </w:rPr>
          <w:t>Chapter 3. Introduction to Part 1</w:t>
        </w:r>
        <w:r>
          <w:rPr>
            <w:noProof/>
            <w:webHidden/>
          </w:rPr>
          <w:tab/>
        </w:r>
        <w:r>
          <w:rPr>
            <w:noProof/>
            <w:webHidden/>
          </w:rPr>
          <w:fldChar w:fldCharType="begin"/>
        </w:r>
        <w:r>
          <w:rPr>
            <w:noProof/>
            <w:webHidden/>
          </w:rPr>
          <w:instrText xml:space="preserve"> PAGEREF _Toc189393514 \h </w:instrText>
        </w:r>
        <w:r>
          <w:rPr>
            <w:noProof/>
            <w:webHidden/>
          </w:rPr>
        </w:r>
        <w:r>
          <w:rPr>
            <w:noProof/>
            <w:webHidden/>
          </w:rPr>
          <w:fldChar w:fldCharType="separate"/>
        </w:r>
        <w:r w:rsidR="003F0101">
          <w:rPr>
            <w:noProof/>
            <w:webHidden/>
          </w:rPr>
          <w:t>21</w:t>
        </w:r>
        <w:r>
          <w:rPr>
            <w:noProof/>
            <w:webHidden/>
          </w:rPr>
          <w:fldChar w:fldCharType="end"/>
        </w:r>
      </w:hyperlink>
    </w:p>
    <w:p w14:paraId="0B086CEC" w14:textId="0BC5478E"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15" w:history="1">
        <w:r w:rsidRPr="00397B2D">
          <w:rPr>
            <w:rStyle w:val="Hyperlink"/>
            <w:noProof/>
          </w:rPr>
          <w:t>Chapter 4. Abolition of the Australian Building and Construction Commission</w:t>
        </w:r>
        <w:r>
          <w:rPr>
            <w:noProof/>
            <w:webHidden/>
          </w:rPr>
          <w:tab/>
        </w:r>
        <w:r>
          <w:rPr>
            <w:noProof/>
            <w:webHidden/>
          </w:rPr>
          <w:fldChar w:fldCharType="begin"/>
        </w:r>
        <w:r>
          <w:rPr>
            <w:noProof/>
            <w:webHidden/>
          </w:rPr>
          <w:instrText xml:space="preserve"> PAGEREF _Toc189393515 \h </w:instrText>
        </w:r>
        <w:r>
          <w:rPr>
            <w:noProof/>
            <w:webHidden/>
          </w:rPr>
        </w:r>
        <w:r>
          <w:rPr>
            <w:noProof/>
            <w:webHidden/>
          </w:rPr>
          <w:fldChar w:fldCharType="separate"/>
        </w:r>
        <w:r w:rsidR="003F0101">
          <w:rPr>
            <w:noProof/>
            <w:webHidden/>
          </w:rPr>
          <w:t>25</w:t>
        </w:r>
        <w:r>
          <w:rPr>
            <w:noProof/>
            <w:webHidden/>
          </w:rPr>
          <w:fldChar w:fldCharType="end"/>
        </w:r>
      </w:hyperlink>
    </w:p>
    <w:p w14:paraId="5D475D18" w14:textId="5BFF3C3F"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16" w:history="1">
        <w:r w:rsidRPr="00397B2D">
          <w:rPr>
            <w:rStyle w:val="Hyperlink"/>
            <w:noProof/>
          </w:rPr>
          <w:t>4.1 Amendments and intent</w:t>
        </w:r>
        <w:r>
          <w:rPr>
            <w:noProof/>
            <w:webHidden/>
          </w:rPr>
          <w:tab/>
        </w:r>
        <w:r>
          <w:rPr>
            <w:noProof/>
            <w:webHidden/>
          </w:rPr>
          <w:fldChar w:fldCharType="begin"/>
        </w:r>
        <w:r>
          <w:rPr>
            <w:noProof/>
            <w:webHidden/>
          </w:rPr>
          <w:instrText xml:space="preserve"> PAGEREF _Toc189393516 \h </w:instrText>
        </w:r>
        <w:r>
          <w:rPr>
            <w:noProof/>
            <w:webHidden/>
          </w:rPr>
        </w:r>
        <w:r>
          <w:rPr>
            <w:noProof/>
            <w:webHidden/>
          </w:rPr>
          <w:fldChar w:fldCharType="separate"/>
        </w:r>
        <w:r w:rsidR="003F0101">
          <w:rPr>
            <w:noProof/>
            <w:webHidden/>
          </w:rPr>
          <w:t>25</w:t>
        </w:r>
        <w:r>
          <w:rPr>
            <w:noProof/>
            <w:webHidden/>
          </w:rPr>
          <w:fldChar w:fldCharType="end"/>
        </w:r>
      </w:hyperlink>
    </w:p>
    <w:p w14:paraId="15CB46E0" w14:textId="2F54763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17" w:history="1">
        <w:r w:rsidRPr="00397B2D">
          <w:rPr>
            <w:rStyle w:val="Hyperlink"/>
            <w:noProof/>
          </w:rPr>
          <w:t>4.2 Impact and issues</w:t>
        </w:r>
        <w:r>
          <w:rPr>
            <w:noProof/>
            <w:webHidden/>
          </w:rPr>
          <w:tab/>
        </w:r>
        <w:r>
          <w:rPr>
            <w:noProof/>
            <w:webHidden/>
          </w:rPr>
          <w:fldChar w:fldCharType="begin"/>
        </w:r>
        <w:r>
          <w:rPr>
            <w:noProof/>
            <w:webHidden/>
          </w:rPr>
          <w:instrText xml:space="preserve"> PAGEREF _Toc189393517 \h </w:instrText>
        </w:r>
        <w:r>
          <w:rPr>
            <w:noProof/>
            <w:webHidden/>
          </w:rPr>
        </w:r>
        <w:r>
          <w:rPr>
            <w:noProof/>
            <w:webHidden/>
          </w:rPr>
          <w:fldChar w:fldCharType="separate"/>
        </w:r>
        <w:r w:rsidR="003F0101">
          <w:rPr>
            <w:noProof/>
            <w:webHidden/>
          </w:rPr>
          <w:t>28</w:t>
        </w:r>
        <w:r>
          <w:rPr>
            <w:noProof/>
            <w:webHidden/>
          </w:rPr>
          <w:fldChar w:fldCharType="end"/>
        </w:r>
      </w:hyperlink>
    </w:p>
    <w:p w14:paraId="326ABB18" w14:textId="31B7124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18" w:history="1">
        <w:r w:rsidRPr="00397B2D">
          <w:rPr>
            <w:rStyle w:val="Hyperlink"/>
            <w:noProof/>
          </w:rPr>
          <w:t>4.3 Findings and recommendations</w:t>
        </w:r>
        <w:r>
          <w:rPr>
            <w:noProof/>
            <w:webHidden/>
          </w:rPr>
          <w:tab/>
        </w:r>
        <w:r>
          <w:rPr>
            <w:noProof/>
            <w:webHidden/>
          </w:rPr>
          <w:fldChar w:fldCharType="begin"/>
        </w:r>
        <w:r>
          <w:rPr>
            <w:noProof/>
            <w:webHidden/>
          </w:rPr>
          <w:instrText xml:space="preserve"> PAGEREF _Toc189393518 \h </w:instrText>
        </w:r>
        <w:r>
          <w:rPr>
            <w:noProof/>
            <w:webHidden/>
          </w:rPr>
        </w:r>
        <w:r>
          <w:rPr>
            <w:noProof/>
            <w:webHidden/>
          </w:rPr>
          <w:fldChar w:fldCharType="separate"/>
        </w:r>
        <w:r w:rsidR="003F0101">
          <w:rPr>
            <w:noProof/>
            <w:webHidden/>
          </w:rPr>
          <w:t>37</w:t>
        </w:r>
        <w:r>
          <w:rPr>
            <w:noProof/>
            <w:webHidden/>
          </w:rPr>
          <w:fldChar w:fldCharType="end"/>
        </w:r>
      </w:hyperlink>
    </w:p>
    <w:p w14:paraId="439858A4" w14:textId="17667A41"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19" w:history="1">
        <w:r w:rsidRPr="00397B2D">
          <w:rPr>
            <w:rStyle w:val="Hyperlink"/>
            <w:noProof/>
          </w:rPr>
          <w:t>Chapter 5. Establishment of National Construction Industry Forum</w:t>
        </w:r>
        <w:r>
          <w:rPr>
            <w:noProof/>
            <w:webHidden/>
          </w:rPr>
          <w:tab/>
        </w:r>
        <w:r>
          <w:rPr>
            <w:noProof/>
            <w:webHidden/>
          </w:rPr>
          <w:fldChar w:fldCharType="begin"/>
        </w:r>
        <w:r>
          <w:rPr>
            <w:noProof/>
            <w:webHidden/>
          </w:rPr>
          <w:instrText xml:space="preserve"> PAGEREF _Toc189393519 \h </w:instrText>
        </w:r>
        <w:r>
          <w:rPr>
            <w:noProof/>
            <w:webHidden/>
          </w:rPr>
        </w:r>
        <w:r>
          <w:rPr>
            <w:noProof/>
            <w:webHidden/>
          </w:rPr>
          <w:fldChar w:fldCharType="separate"/>
        </w:r>
        <w:r w:rsidR="003F0101">
          <w:rPr>
            <w:noProof/>
            <w:webHidden/>
          </w:rPr>
          <w:t>40</w:t>
        </w:r>
        <w:r>
          <w:rPr>
            <w:noProof/>
            <w:webHidden/>
          </w:rPr>
          <w:fldChar w:fldCharType="end"/>
        </w:r>
      </w:hyperlink>
    </w:p>
    <w:p w14:paraId="468D6C03" w14:textId="57A9F6D1"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0" w:history="1">
        <w:r w:rsidRPr="00397B2D">
          <w:rPr>
            <w:rStyle w:val="Hyperlink"/>
            <w:noProof/>
          </w:rPr>
          <w:t>5.1 Amendments and intent</w:t>
        </w:r>
        <w:r>
          <w:rPr>
            <w:noProof/>
            <w:webHidden/>
          </w:rPr>
          <w:tab/>
        </w:r>
        <w:r>
          <w:rPr>
            <w:noProof/>
            <w:webHidden/>
          </w:rPr>
          <w:fldChar w:fldCharType="begin"/>
        </w:r>
        <w:r>
          <w:rPr>
            <w:noProof/>
            <w:webHidden/>
          </w:rPr>
          <w:instrText xml:space="preserve"> PAGEREF _Toc189393520 \h </w:instrText>
        </w:r>
        <w:r>
          <w:rPr>
            <w:noProof/>
            <w:webHidden/>
          </w:rPr>
        </w:r>
        <w:r>
          <w:rPr>
            <w:noProof/>
            <w:webHidden/>
          </w:rPr>
          <w:fldChar w:fldCharType="separate"/>
        </w:r>
        <w:r w:rsidR="003F0101">
          <w:rPr>
            <w:noProof/>
            <w:webHidden/>
          </w:rPr>
          <w:t>40</w:t>
        </w:r>
        <w:r>
          <w:rPr>
            <w:noProof/>
            <w:webHidden/>
          </w:rPr>
          <w:fldChar w:fldCharType="end"/>
        </w:r>
      </w:hyperlink>
    </w:p>
    <w:p w14:paraId="3A75802A" w14:textId="6123BBD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1" w:history="1">
        <w:r w:rsidRPr="00397B2D">
          <w:rPr>
            <w:rStyle w:val="Hyperlink"/>
            <w:noProof/>
          </w:rPr>
          <w:t>5.2 Impact and issues</w:t>
        </w:r>
        <w:r>
          <w:rPr>
            <w:noProof/>
            <w:webHidden/>
          </w:rPr>
          <w:tab/>
        </w:r>
        <w:r>
          <w:rPr>
            <w:noProof/>
            <w:webHidden/>
          </w:rPr>
          <w:fldChar w:fldCharType="begin"/>
        </w:r>
        <w:r>
          <w:rPr>
            <w:noProof/>
            <w:webHidden/>
          </w:rPr>
          <w:instrText xml:space="preserve"> PAGEREF _Toc189393521 \h </w:instrText>
        </w:r>
        <w:r>
          <w:rPr>
            <w:noProof/>
            <w:webHidden/>
          </w:rPr>
        </w:r>
        <w:r>
          <w:rPr>
            <w:noProof/>
            <w:webHidden/>
          </w:rPr>
          <w:fldChar w:fldCharType="separate"/>
        </w:r>
        <w:r w:rsidR="003F0101">
          <w:rPr>
            <w:noProof/>
            <w:webHidden/>
          </w:rPr>
          <w:t>42</w:t>
        </w:r>
        <w:r>
          <w:rPr>
            <w:noProof/>
            <w:webHidden/>
          </w:rPr>
          <w:fldChar w:fldCharType="end"/>
        </w:r>
      </w:hyperlink>
    </w:p>
    <w:p w14:paraId="48C29344" w14:textId="3ECCA31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2" w:history="1">
        <w:r w:rsidRPr="00397B2D">
          <w:rPr>
            <w:rStyle w:val="Hyperlink"/>
            <w:noProof/>
          </w:rPr>
          <w:t>5.3 Findings and recommendations</w:t>
        </w:r>
        <w:r>
          <w:rPr>
            <w:noProof/>
            <w:webHidden/>
          </w:rPr>
          <w:tab/>
        </w:r>
        <w:r>
          <w:rPr>
            <w:noProof/>
            <w:webHidden/>
          </w:rPr>
          <w:fldChar w:fldCharType="begin"/>
        </w:r>
        <w:r>
          <w:rPr>
            <w:noProof/>
            <w:webHidden/>
          </w:rPr>
          <w:instrText xml:space="preserve"> PAGEREF _Toc189393522 \h </w:instrText>
        </w:r>
        <w:r>
          <w:rPr>
            <w:noProof/>
            <w:webHidden/>
          </w:rPr>
        </w:r>
        <w:r>
          <w:rPr>
            <w:noProof/>
            <w:webHidden/>
          </w:rPr>
          <w:fldChar w:fldCharType="separate"/>
        </w:r>
        <w:r w:rsidR="003F0101">
          <w:rPr>
            <w:noProof/>
            <w:webHidden/>
          </w:rPr>
          <w:t>45</w:t>
        </w:r>
        <w:r>
          <w:rPr>
            <w:noProof/>
            <w:webHidden/>
          </w:rPr>
          <w:fldChar w:fldCharType="end"/>
        </w:r>
      </w:hyperlink>
    </w:p>
    <w:p w14:paraId="6B986088" w14:textId="6BB569C2"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23" w:history="1">
        <w:r w:rsidRPr="00397B2D">
          <w:rPr>
            <w:rStyle w:val="Hyperlink"/>
            <w:noProof/>
          </w:rPr>
          <w:t>Chapter 6. Abolition of the Registered Organisations Commission</w:t>
        </w:r>
        <w:r>
          <w:rPr>
            <w:noProof/>
            <w:webHidden/>
          </w:rPr>
          <w:tab/>
        </w:r>
        <w:r>
          <w:rPr>
            <w:noProof/>
            <w:webHidden/>
          </w:rPr>
          <w:fldChar w:fldCharType="begin"/>
        </w:r>
        <w:r>
          <w:rPr>
            <w:noProof/>
            <w:webHidden/>
          </w:rPr>
          <w:instrText xml:space="preserve"> PAGEREF _Toc189393523 \h </w:instrText>
        </w:r>
        <w:r>
          <w:rPr>
            <w:noProof/>
            <w:webHidden/>
          </w:rPr>
        </w:r>
        <w:r>
          <w:rPr>
            <w:noProof/>
            <w:webHidden/>
          </w:rPr>
          <w:fldChar w:fldCharType="separate"/>
        </w:r>
        <w:r w:rsidR="003F0101">
          <w:rPr>
            <w:noProof/>
            <w:webHidden/>
          </w:rPr>
          <w:t>47</w:t>
        </w:r>
        <w:r>
          <w:rPr>
            <w:noProof/>
            <w:webHidden/>
          </w:rPr>
          <w:fldChar w:fldCharType="end"/>
        </w:r>
      </w:hyperlink>
    </w:p>
    <w:p w14:paraId="4FBC3086" w14:textId="0EB3E41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4" w:history="1">
        <w:r w:rsidRPr="00397B2D">
          <w:rPr>
            <w:rStyle w:val="Hyperlink"/>
            <w:noProof/>
          </w:rPr>
          <w:t>6.1 Amendments and intent</w:t>
        </w:r>
        <w:r>
          <w:rPr>
            <w:noProof/>
            <w:webHidden/>
          </w:rPr>
          <w:tab/>
        </w:r>
        <w:r>
          <w:rPr>
            <w:noProof/>
            <w:webHidden/>
          </w:rPr>
          <w:fldChar w:fldCharType="begin"/>
        </w:r>
        <w:r>
          <w:rPr>
            <w:noProof/>
            <w:webHidden/>
          </w:rPr>
          <w:instrText xml:space="preserve"> PAGEREF _Toc189393524 \h </w:instrText>
        </w:r>
        <w:r>
          <w:rPr>
            <w:noProof/>
            <w:webHidden/>
          </w:rPr>
        </w:r>
        <w:r>
          <w:rPr>
            <w:noProof/>
            <w:webHidden/>
          </w:rPr>
          <w:fldChar w:fldCharType="separate"/>
        </w:r>
        <w:r w:rsidR="003F0101">
          <w:rPr>
            <w:noProof/>
            <w:webHidden/>
          </w:rPr>
          <w:t>47</w:t>
        </w:r>
        <w:r>
          <w:rPr>
            <w:noProof/>
            <w:webHidden/>
          </w:rPr>
          <w:fldChar w:fldCharType="end"/>
        </w:r>
      </w:hyperlink>
    </w:p>
    <w:p w14:paraId="019E6CE9" w14:textId="5B17A566"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5" w:history="1">
        <w:r w:rsidRPr="00397B2D">
          <w:rPr>
            <w:rStyle w:val="Hyperlink"/>
            <w:noProof/>
          </w:rPr>
          <w:t>6.2 Impact and issues</w:t>
        </w:r>
        <w:r>
          <w:rPr>
            <w:noProof/>
            <w:webHidden/>
          </w:rPr>
          <w:tab/>
        </w:r>
        <w:r>
          <w:rPr>
            <w:noProof/>
            <w:webHidden/>
          </w:rPr>
          <w:fldChar w:fldCharType="begin"/>
        </w:r>
        <w:r>
          <w:rPr>
            <w:noProof/>
            <w:webHidden/>
          </w:rPr>
          <w:instrText xml:space="preserve"> PAGEREF _Toc189393525 \h </w:instrText>
        </w:r>
        <w:r>
          <w:rPr>
            <w:noProof/>
            <w:webHidden/>
          </w:rPr>
        </w:r>
        <w:r>
          <w:rPr>
            <w:noProof/>
            <w:webHidden/>
          </w:rPr>
          <w:fldChar w:fldCharType="separate"/>
        </w:r>
        <w:r w:rsidR="003F0101">
          <w:rPr>
            <w:noProof/>
            <w:webHidden/>
          </w:rPr>
          <w:t>49</w:t>
        </w:r>
        <w:r>
          <w:rPr>
            <w:noProof/>
            <w:webHidden/>
          </w:rPr>
          <w:fldChar w:fldCharType="end"/>
        </w:r>
      </w:hyperlink>
    </w:p>
    <w:p w14:paraId="35C4CD29" w14:textId="3A2AC374"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6" w:history="1">
        <w:r w:rsidRPr="00397B2D">
          <w:rPr>
            <w:rStyle w:val="Hyperlink"/>
            <w:noProof/>
          </w:rPr>
          <w:t>6.3 Findings and recommendations</w:t>
        </w:r>
        <w:r>
          <w:rPr>
            <w:noProof/>
            <w:webHidden/>
          </w:rPr>
          <w:tab/>
        </w:r>
        <w:r>
          <w:rPr>
            <w:noProof/>
            <w:webHidden/>
          </w:rPr>
          <w:fldChar w:fldCharType="begin"/>
        </w:r>
        <w:r>
          <w:rPr>
            <w:noProof/>
            <w:webHidden/>
          </w:rPr>
          <w:instrText xml:space="preserve"> PAGEREF _Toc189393526 \h </w:instrText>
        </w:r>
        <w:r>
          <w:rPr>
            <w:noProof/>
            <w:webHidden/>
          </w:rPr>
        </w:r>
        <w:r>
          <w:rPr>
            <w:noProof/>
            <w:webHidden/>
          </w:rPr>
          <w:fldChar w:fldCharType="separate"/>
        </w:r>
        <w:r w:rsidR="003F0101">
          <w:rPr>
            <w:noProof/>
            <w:webHidden/>
          </w:rPr>
          <w:t>58</w:t>
        </w:r>
        <w:r>
          <w:rPr>
            <w:noProof/>
            <w:webHidden/>
          </w:rPr>
          <w:fldChar w:fldCharType="end"/>
        </w:r>
      </w:hyperlink>
    </w:p>
    <w:p w14:paraId="59FF5F4F" w14:textId="2CF5934C"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27" w:history="1">
        <w:r w:rsidRPr="00397B2D">
          <w:rPr>
            <w:rStyle w:val="Hyperlink"/>
            <w:noProof/>
          </w:rPr>
          <w:t>Chapter 7. Additional registered organisations enforcement options</w:t>
        </w:r>
        <w:r>
          <w:rPr>
            <w:noProof/>
            <w:webHidden/>
          </w:rPr>
          <w:tab/>
        </w:r>
        <w:r>
          <w:rPr>
            <w:noProof/>
            <w:webHidden/>
          </w:rPr>
          <w:fldChar w:fldCharType="begin"/>
        </w:r>
        <w:r>
          <w:rPr>
            <w:noProof/>
            <w:webHidden/>
          </w:rPr>
          <w:instrText xml:space="preserve"> PAGEREF _Toc189393527 \h </w:instrText>
        </w:r>
        <w:r>
          <w:rPr>
            <w:noProof/>
            <w:webHidden/>
          </w:rPr>
        </w:r>
        <w:r>
          <w:rPr>
            <w:noProof/>
            <w:webHidden/>
          </w:rPr>
          <w:fldChar w:fldCharType="separate"/>
        </w:r>
        <w:r w:rsidR="003F0101">
          <w:rPr>
            <w:noProof/>
            <w:webHidden/>
          </w:rPr>
          <w:t>59</w:t>
        </w:r>
        <w:r>
          <w:rPr>
            <w:noProof/>
            <w:webHidden/>
          </w:rPr>
          <w:fldChar w:fldCharType="end"/>
        </w:r>
      </w:hyperlink>
    </w:p>
    <w:p w14:paraId="34F82E98" w14:textId="4FB12B3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8" w:history="1">
        <w:r w:rsidRPr="00397B2D">
          <w:rPr>
            <w:rStyle w:val="Hyperlink"/>
            <w:noProof/>
          </w:rPr>
          <w:t>7.1 Amendments and intent</w:t>
        </w:r>
        <w:r>
          <w:rPr>
            <w:noProof/>
            <w:webHidden/>
          </w:rPr>
          <w:tab/>
        </w:r>
        <w:r>
          <w:rPr>
            <w:noProof/>
            <w:webHidden/>
          </w:rPr>
          <w:fldChar w:fldCharType="begin"/>
        </w:r>
        <w:r>
          <w:rPr>
            <w:noProof/>
            <w:webHidden/>
          </w:rPr>
          <w:instrText xml:space="preserve"> PAGEREF _Toc189393528 \h </w:instrText>
        </w:r>
        <w:r>
          <w:rPr>
            <w:noProof/>
            <w:webHidden/>
          </w:rPr>
        </w:r>
        <w:r>
          <w:rPr>
            <w:noProof/>
            <w:webHidden/>
          </w:rPr>
          <w:fldChar w:fldCharType="separate"/>
        </w:r>
        <w:r w:rsidR="003F0101">
          <w:rPr>
            <w:noProof/>
            <w:webHidden/>
          </w:rPr>
          <w:t>59</w:t>
        </w:r>
        <w:r>
          <w:rPr>
            <w:noProof/>
            <w:webHidden/>
          </w:rPr>
          <w:fldChar w:fldCharType="end"/>
        </w:r>
      </w:hyperlink>
    </w:p>
    <w:p w14:paraId="30204F57" w14:textId="10CA185B"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29" w:history="1">
        <w:r w:rsidRPr="00397B2D">
          <w:rPr>
            <w:rStyle w:val="Hyperlink"/>
            <w:noProof/>
          </w:rPr>
          <w:t>7.2 Impact and issues</w:t>
        </w:r>
        <w:r>
          <w:rPr>
            <w:noProof/>
            <w:webHidden/>
          </w:rPr>
          <w:tab/>
        </w:r>
        <w:r>
          <w:rPr>
            <w:noProof/>
            <w:webHidden/>
          </w:rPr>
          <w:fldChar w:fldCharType="begin"/>
        </w:r>
        <w:r>
          <w:rPr>
            <w:noProof/>
            <w:webHidden/>
          </w:rPr>
          <w:instrText xml:space="preserve"> PAGEREF _Toc189393529 \h </w:instrText>
        </w:r>
        <w:r>
          <w:rPr>
            <w:noProof/>
            <w:webHidden/>
          </w:rPr>
        </w:r>
        <w:r>
          <w:rPr>
            <w:noProof/>
            <w:webHidden/>
          </w:rPr>
          <w:fldChar w:fldCharType="separate"/>
        </w:r>
        <w:r w:rsidR="003F0101">
          <w:rPr>
            <w:noProof/>
            <w:webHidden/>
          </w:rPr>
          <w:t>60</w:t>
        </w:r>
        <w:r>
          <w:rPr>
            <w:noProof/>
            <w:webHidden/>
          </w:rPr>
          <w:fldChar w:fldCharType="end"/>
        </w:r>
      </w:hyperlink>
    </w:p>
    <w:p w14:paraId="62909971" w14:textId="287C3CB1"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0" w:history="1">
        <w:r w:rsidRPr="00397B2D">
          <w:rPr>
            <w:rStyle w:val="Hyperlink"/>
            <w:noProof/>
          </w:rPr>
          <w:t>7.3 Findings and recommendations</w:t>
        </w:r>
        <w:r>
          <w:rPr>
            <w:noProof/>
            <w:webHidden/>
          </w:rPr>
          <w:tab/>
        </w:r>
        <w:r>
          <w:rPr>
            <w:noProof/>
            <w:webHidden/>
          </w:rPr>
          <w:fldChar w:fldCharType="begin"/>
        </w:r>
        <w:r>
          <w:rPr>
            <w:noProof/>
            <w:webHidden/>
          </w:rPr>
          <w:instrText xml:space="preserve"> PAGEREF _Toc189393530 \h </w:instrText>
        </w:r>
        <w:r>
          <w:rPr>
            <w:noProof/>
            <w:webHidden/>
          </w:rPr>
        </w:r>
        <w:r>
          <w:rPr>
            <w:noProof/>
            <w:webHidden/>
          </w:rPr>
          <w:fldChar w:fldCharType="separate"/>
        </w:r>
        <w:r w:rsidR="003F0101">
          <w:rPr>
            <w:noProof/>
            <w:webHidden/>
          </w:rPr>
          <w:t>62</w:t>
        </w:r>
        <w:r>
          <w:rPr>
            <w:noProof/>
            <w:webHidden/>
          </w:rPr>
          <w:fldChar w:fldCharType="end"/>
        </w:r>
      </w:hyperlink>
    </w:p>
    <w:p w14:paraId="605B5FE9" w14:textId="1315F9AE" w:rsidR="009F5831" w:rsidRDefault="009F5831">
      <w:pPr>
        <w:pStyle w:val="TOC1"/>
        <w:rPr>
          <w:rFonts w:eastAsiaTheme="minorEastAsia"/>
          <w:noProof/>
          <w:kern w:val="2"/>
          <w:sz w:val="24"/>
          <w:szCs w:val="24"/>
          <w:lang w:eastAsia="en-AU"/>
          <w14:ligatures w14:val="standardContextual"/>
        </w:rPr>
      </w:pPr>
      <w:hyperlink w:anchor="_Toc189393531" w:history="1">
        <w:r w:rsidRPr="00397B2D">
          <w:rPr>
            <w:rStyle w:val="Hyperlink"/>
            <w:noProof/>
          </w:rPr>
          <w:t>Part 2. Bargaining and agreements</w:t>
        </w:r>
        <w:r>
          <w:rPr>
            <w:noProof/>
            <w:webHidden/>
          </w:rPr>
          <w:tab/>
        </w:r>
        <w:r>
          <w:rPr>
            <w:noProof/>
            <w:webHidden/>
          </w:rPr>
          <w:fldChar w:fldCharType="begin"/>
        </w:r>
        <w:r>
          <w:rPr>
            <w:noProof/>
            <w:webHidden/>
          </w:rPr>
          <w:instrText xml:space="preserve"> PAGEREF _Toc189393531 \h </w:instrText>
        </w:r>
        <w:r>
          <w:rPr>
            <w:noProof/>
            <w:webHidden/>
          </w:rPr>
        </w:r>
        <w:r>
          <w:rPr>
            <w:noProof/>
            <w:webHidden/>
          </w:rPr>
          <w:fldChar w:fldCharType="separate"/>
        </w:r>
        <w:r w:rsidR="003F0101">
          <w:rPr>
            <w:noProof/>
            <w:webHidden/>
          </w:rPr>
          <w:t>63</w:t>
        </w:r>
        <w:r>
          <w:rPr>
            <w:noProof/>
            <w:webHidden/>
          </w:rPr>
          <w:fldChar w:fldCharType="end"/>
        </w:r>
      </w:hyperlink>
    </w:p>
    <w:p w14:paraId="2C7B6202" w14:textId="3790EB45"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32" w:history="1">
        <w:r w:rsidRPr="00397B2D">
          <w:rPr>
            <w:rStyle w:val="Hyperlink"/>
            <w:noProof/>
          </w:rPr>
          <w:t>Chapter 8. Introduction to the bargaining and agreements</w:t>
        </w:r>
        <w:r>
          <w:rPr>
            <w:noProof/>
            <w:webHidden/>
          </w:rPr>
          <w:tab/>
        </w:r>
        <w:r>
          <w:rPr>
            <w:noProof/>
            <w:webHidden/>
          </w:rPr>
          <w:fldChar w:fldCharType="begin"/>
        </w:r>
        <w:r>
          <w:rPr>
            <w:noProof/>
            <w:webHidden/>
          </w:rPr>
          <w:instrText xml:space="preserve"> PAGEREF _Toc189393532 \h </w:instrText>
        </w:r>
        <w:r>
          <w:rPr>
            <w:noProof/>
            <w:webHidden/>
          </w:rPr>
        </w:r>
        <w:r>
          <w:rPr>
            <w:noProof/>
            <w:webHidden/>
          </w:rPr>
          <w:fldChar w:fldCharType="separate"/>
        </w:r>
        <w:r w:rsidR="003F0101">
          <w:rPr>
            <w:noProof/>
            <w:webHidden/>
          </w:rPr>
          <w:t>64</w:t>
        </w:r>
        <w:r>
          <w:rPr>
            <w:noProof/>
            <w:webHidden/>
          </w:rPr>
          <w:fldChar w:fldCharType="end"/>
        </w:r>
      </w:hyperlink>
    </w:p>
    <w:p w14:paraId="146BC3F1" w14:textId="5887977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3" w:history="1">
        <w:r w:rsidRPr="00397B2D">
          <w:rPr>
            <w:rStyle w:val="Hyperlink"/>
            <w:noProof/>
          </w:rPr>
          <w:t>8.1 Introduction</w:t>
        </w:r>
        <w:r>
          <w:rPr>
            <w:noProof/>
            <w:webHidden/>
          </w:rPr>
          <w:tab/>
        </w:r>
        <w:r>
          <w:rPr>
            <w:noProof/>
            <w:webHidden/>
          </w:rPr>
          <w:fldChar w:fldCharType="begin"/>
        </w:r>
        <w:r>
          <w:rPr>
            <w:noProof/>
            <w:webHidden/>
          </w:rPr>
          <w:instrText xml:space="preserve"> PAGEREF _Toc189393533 \h </w:instrText>
        </w:r>
        <w:r>
          <w:rPr>
            <w:noProof/>
            <w:webHidden/>
          </w:rPr>
        </w:r>
        <w:r>
          <w:rPr>
            <w:noProof/>
            <w:webHidden/>
          </w:rPr>
          <w:fldChar w:fldCharType="separate"/>
        </w:r>
        <w:r w:rsidR="003F0101">
          <w:rPr>
            <w:noProof/>
            <w:webHidden/>
          </w:rPr>
          <w:t>64</w:t>
        </w:r>
        <w:r>
          <w:rPr>
            <w:noProof/>
            <w:webHidden/>
          </w:rPr>
          <w:fldChar w:fldCharType="end"/>
        </w:r>
      </w:hyperlink>
    </w:p>
    <w:p w14:paraId="0548A688" w14:textId="74299681"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4" w:history="1">
        <w:r w:rsidRPr="00397B2D">
          <w:rPr>
            <w:rStyle w:val="Hyperlink"/>
            <w:noProof/>
          </w:rPr>
          <w:t>8.2 Collective bargaining before the Fair Work Act 2009</w:t>
        </w:r>
        <w:r>
          <w:rPr>
            <w:noProof/>
            <w:webHidden/>
          </w:rPr>
          <w:tab/>
        </w:r>
        <w:r>
          <w:rPr>
            <w:noProof/>
            <w:webHidden/>
          </w:rPr>
          <w:fldChar w:fldCharType="begin"/>
        </w:r>
        <w:r>
          <w:rPr>
            <w:noProof/>
            <w:webHidden/>
          </w:rPr>
          <w:instrText xml:space="preserve"> PAGEREF _Toc189393534 \h </w:instrText>
        </w:r>
        <w:r>
          <w:rPr>
            <w:noProof/>
            <w:webHidden/>
          </w:rPr>
        </w:r>
        <w:r>
          <w:rPr>
            <w:noProof/>
            <w:webHidden/>
          </w:rPr>
          <w:fldChar w:fldCharType="separate"/>
        </w:r>
        <w:r w:rsidR="003F0101">
          <w:rPr>
            <w:noProof/>
            <w:webHidden/>
          </w:rPr>
          <w:t>65</w:t>
        </w:r>
        <w:r>
          <w:rPr>
            <w:noProof/>
            <w:webHidden/>
          </w:rPr>
          <w:fldChar w:fldCharType="end"/>
        </w:r>
      </w:hyperlink>
    </w:p>
    <w:p w14:paraId="4F2968CD" w14:textId="1072D74F"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5" w:history="1">
        <w:r w:rsidRPr="00397B2D">
          <w:rPr>
            <w:rStyle w:val="Hyperlink"/>
            <w:noProof/>
          </w:rPr>
          <w:t>8.3 Collective bargaining under the Fair Work Act, 2009</w:t>
        </w:r>
        <w:r w:rsidRPr="00397B2D">
          <w:rPr>
            <w:rStyle w:val="Hyperlink"/>
            <w:rFonts w:ascii="Symbol" w:eastAsia="Symbol" w:hAnsi="Symbol" w:cs="Symbol"/>
            <w:noProof/>
          </w:rPr>
          <w:sym w:font="Symbol" w:char="F02D"/>
        </w:r>
        <w:r w:rsidRPr="00397B2D">
          <w:rPr>
            <w:rStyle w:val="Hyperlink"/>
            <w:noProof/>
          </w:rPr>
          <w:t>2022</w:t>
        </w:r>
        <w:r>
          <w:rPr>
            <w:noProof/>
            <w:webHidden/>
          </w:rPr>
          <w:tab/>
        </w:r>
        <w:r>
          <w:rPr>
            <w:noProof/>
            <w:webHidden/>
          </w:rPr>
          <w:fldChar w:fldCharType="begin"/>
        </w:r>
        <w:r>
          <w:rPr>
            <w:noProof/>
            <w:webHidden/>
          </w:rPr>
          <w:instrText xml:space="preserve"> PAGEREF _Toc189393535 \h </w:instrText>
        </w:r>
        <w:r>
          <w:rPr>
            <w:noProof/>
            <w:webHidden/>
          </w:rPr>
        </w:r>
        <w:r>
          <w:rPr>
            <w:noProof/>
            <w:webHidden/>
          </w:rPr>
          <w:fldChar w:fldCharType="separate"/>
        </w:r>
        <w:r w:rsidR="003F0101">
          <w:rPr>
            <w:noProof/>
            <w:webHidden/>
          </w:rPr>
          <w:t>66</w:t>
        </w:r>
        <w:r>
          <w:rPr>
            <w:noProof/>
            <w:webHidden/>
          </w:rPr>
          <w:fldChar w:fldCharType="end"/>
        </w:r>
      </w:hyperlink>
    </w:p>
    <w:p w14:paraId="02A65F90" w14:textId="342E77B6"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6" w:history="1">
        <w:r w:rsidRPr="00397B2D">
          <w:rPr>
            <w:rStyle w:val="Hyperlink"/>
            <w:noProof/>
          </w:rPr>
          <w:t>8.4 Developments in collective bargaining resulting from the Secure Jobs, Better Pay amendments, 2022</w:t>
        </w:r>
        <w:r w:rsidRPr="00397B2D">
          <w:rPr>
            <w:rStyle w:val="Hyperlink"/>
            <w:rFonts w:ascii="Symbol" w:eastAsia="Symbol" w:hAnsi="Symbol" w:cs="Symbol"/>
            <w:noProof/>
          </w:rPr>
          <w:sym w:font="Symbol" w:char="F02D"/>
        </w:r>
        <w:r w:rsidRPr="00397B2D">
          <w:rPr>
            <w:rStyle w:val="Hyperlink"/>
            <w:noProof/>
          </w:rPr>
          <w:t>2024</w:t>
        </w:r>
        <w:r>
          <w:rPr>
            <w:noProof/>
            <w:webHidden/>
          </w:rPr>
          <w:tab/>
        </w:r>
        <w:r>
          <w:rPr>
            <w:noProof/>
            <w:webHidden/>
          </w:rPr>
          <w:fldChar w:fldCharType="begin"/>
        </w:r>
        <w:r>
          <w:rPr>
            <w:noProof/>
            <w:webHidden/>
          </w:rPr>
          <w:instrText xml:space="preserve"> PAGEREF _Toc189393536 \h </w:instrText>
        </w:r>
        <w:r>
          <w:rPr>
            <w:noProof/>
            <w:webHidden/>
          </w:rPr>
        </w:r>
        <w:r>
          <w:rPr>
            <w:noProof/>
            <w:webHidden/>
          </w:rPr>
          <w:fldChar w:fldCharType="separate"/>
        </w:r>
        <w:r w:rsidR="003F0101">
          <w:rPr>
            <w:noProof/>
            <w:webHidden/>
          </w:rPr>
          <w:t>80</w:t>
        </w:r>
        <w:r>
          <w:rPr>
            <w:noProof/>
            <w:webHidden/>
          </w:rPr>
          <w:fldChar w:fldCharType="end"/>
        </w:r>
      </w:hyperlink>
    </w:p>
    <w:p w14:paraId="43ACB7AE" w14:textId="786B2C13"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7" w:history="1">
        <w:r w:rsidRPr="00397B2D">
          <w:rPr>
            <w:rStyle w:val="Hyperlink"/>
            <w:noProof/>
          </w:rPr>
          <w:t>8.5 Conclusions</w:t>
        </w:r>
        <w:r>
          <w:rPr>
            <w:noProof/>
            <w:webHidden/>
          </w:rPr>
          <w:tab/>
        </w:r>
        <w:r>
          <w:rPr>
            <w:noProof/>
            <w:webHidden/>
          </w:rPr>
          <w:fldChar w:fldCharType="begin"/>
        </w:r>
        <w:r>
          <w:rPr>
            <w:noProof/>
            <w:webHidden/>
          </w:rPr>
          <w:instrText xml:space="preserve"> PAGEREF _Toc189393537 \h </w:instrText>
        </w:r>
        <w:r>
          <w:rPr>
            <w:noProof/>
            <w:webHidden/>
          </w:rPr>
        </w:r>
        <w:r>
          <w:rPr>
            <w:noProof/>
            <w:webHidden/>
          </w:rPr>
          <w:fldChar w:fldCharType="separate"/>
        </w:r>
        <w:r w:rsidR="003F0101">
          <w:rPr>
            <w:noProof/>
            <w:webHidden/>
          </w:rPr>
          <w:t>84</w:t>
        </w:r>
        <w:r>
          <w:rPr>
            <w:noProof/>
            <w:webHidden/>
          </w:rPr>
          <w:fldChar w:fldCharType="end"/>
        </w:r>
      </w:hyperlink>
    </w:p>
    <w:p w14:paraId="540F7A09" w14:textId="49CCBD01"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38" w:history="1">
        <w:r w:rsidRPr="00397B2D">
          <w:rPr>
            <w:rStyle w:val="Hyperlink"/>
            <w:noProof/>
          </w:rPr>
          <w:t>Chapter 9. Initiating bargaining</w:t>
        </w:r>
        <w:r>
          <w:rPr>
            <w:noProof/>
            <w:webHidden/>
          </w:rPr>
          <w:tab/>
        </w:r>
        <w:r>
          <w:rPr>
            <w:noProof/>
            <w:webHidden/>
          </w:rPr>
          <w:fldChar w:fldCharType="begin"/>
        </w:r>
        <w:r>
          <w:rPr>
            <w:noProof/>
            <w:webHidden/>
          </w:rPr>
          <w:instrText xml:space="preserve"> PAGEREF _Toc189393538 \h </w:instrText>
        </w:r>
        <w:r>
          <w:rPr>
            <w:noProof/>
            <w:webHidden/>
          </w:rPr>
        </w:r>
        <w:r>
          <w:rPr>
            <w:noProof/>
            <w:webHidden/>
          </w:rPr>
          <w:fldChar w:fldCharType="separate"/>
        </w:r>
        <w:r w:rsidR="003F0101">
          <w:rPr>
            <w:noProof/>
            <w:webHidden/>
          </w:rPr>
          <w:t>85</w:t>
        </w:r>
        <w:r>
          <w:rPr>
            <w:noProof/>
            <w:webHidden/>
          </w:rPr>
          <w:fldChar w:fldCharType="end"/>
        </w:r>
      </w:hyperlink>
    </w:p>
    <w:p w14:paraId="70C9845B" w14:textId="7867A973"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39" w:history="1">
        <w:r w:rsidRPr="00397B2D">
          <w:rPr>
            <w:rStyle w:val="Hyperlink"/>
            <w:noProof/>
          </w:rPr>
          <w:t>9.1 Amendments and intent</w:t>
        </w:r>
        <w:r>
          <w:rPr>
            <w:noProof/>
            <w:webHidden/>
          </w:rPr>
          <w:tab/>
        </w:r>
        <w:r>
          <w:rPr>
            <w:noProof/>
            <w:webHidden/>
          </w:rPr>
          <w:fldChar w:fldCharType="begin"/>
        </w:r>
        <w:r>
          <w:rPr>
            <w:noProof/>
            <w:webHidden/>
          </w:rPr>
          <w:instrText xml:space="preserve"> PAGEREF _Toc189393539 \h </w:instrText>
        </w:r>
        <w:r>
          <w:rPr>
            <w:noProof/>
            <w:webHidden/>
          </w:rPr>
        </w:r>
        <w:r>
          <w:rPr>
            <w:noProof/>
            <w:webHidden/>
          </w:rPr>
          <w:fldChar w:fldCharType="separate"/>
        </w:r>
        <w:r w:rsidR="003F0101">
          <w:rPr>
            <w:noProof/>
            <w:webHidden/>
          </w:rPr>
          <w:t>85</w:t>
        </w:r>
        <w:r>
          <w:rPr>
            <w:noProof/>
            <w:webHidden/>
          </w:rPr>
          <w:fldChar w:fldCharType="end"/>
        </w:r>
      </w:hyperlink>
    </w:p>
    <w:p w14:paraId="7DE79622" w14:textId="17750D40"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0" w:history="1">
        <w:r w:rsidRPr="00397B2D">
          <w:rPr>
            <w:rStyle w:val="Hyperlink"/>
            <w:noProof/>
          </w:rPr>
          <w:t>9.2 Impact and issues</w:t>
        </w:r>
        <w:r>
          <w:rPr>
            <w:noProof/>
            <w:webHidden/>
          </w:rPr>
          <w:tab/>
        </w:r>
        <w:r>
          <w:rPr>
            <w:noProof/>
            <w:webHidden/>
          </w:rPr>
          <w:fldChar w:fldCharType="begin"/>
        </w:r>
        <w:r>
          <w:rPr>
            <w:noProof/>
            <w:webHidden/>
          </w:rPr>
          <w:instrText xml:space="preserve"> PAGEREF _Toc189393540 \h </w:instrText>
        </w:r>
        <w:r>
          <w:rPr>
            <w:noProof/>
            <w:webHidden/>
          </w:rPr>
        </w:r>
        <w:r>
          <w:rPr>
            <w:noProof/>
            <w:webHidden/>
          </w:rPr>
          <w:fldChar w:fldCharType="separate"/>
        </w:r>
        <w:r w:rsidR="003F0101">
          <w:rPr>
            <w:noProof/>
            <w:webHidden/>
          </w:rPr>
          <w:t>87</w:t>
        </w:r>
        <w:r>
          <w:rPr>
            <w:noProof/>
            <w:webHidden/>
          </w:rPr>
          <w:fldChar w:fldCharType="end"/>
        </w:r>
      </w:hyperlink>
    </w:p>
    <w:p w14:paraId="387798F4" w14:textId="4B13D8D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1" w:history="1">
        <w:r w:rsidRPr="00397B2D">
          <w:rPr>
            <w:rStyle w:val="Hyperlink"/>
            <w:noProof/>
          </w:rPr>
          <w:t>9.3 Findings and recommendations</w:t>
        </w:r>
        <w:r>
          <w:rPr>
            <w:noProof/>
            <w:webHidden/>
          </w:rPr>
          <w:tab/>
        </w:r>
        <w:r>
          <w:rPr>
            <w:noProof/>
            <w:webHidden/>
          </w:rPr>
          <w:fldChar w:fldCharType="begin"/>
        </w:r>
        <w:r>
          <w:rPr>
            <w:noProof/>
            <w:webHidden/>
          </w:rPr>
          <w:instrText xml:space="preserve"> PAGEREF _Toc189393541 \h </w:instrText>
        </w:r>
        <w:r>
          <w:rPr>
            <w:noProof/>
            <w:webHidden/>
          </w:rPr>
        </w:r>
        <w:r>
          <w:rPr>
            <w:noProof/>
            <w:webHidden/>
          </w:rPr>
          <w:fldChar w:fldCharType="separate"/>
        </w:r>
        <w:r w:rsidR="003F0101">
          <w:rPr>
            <w:noProof/>
            <w:webHidden/>
          </w:rPr>
          <w:t>91</w:t>
        </w:r>
        <w:r>
          <w:rPr>
            <w:noProof/>
            <w:webHidden/>
          </w:rPr>
          <w:fldChar w:fldCharType="end"/>
        </w:r>
      </w:hyperlink>
    </w:p>
    <w:p w14:paraId="5F339331" w14:textId="7E8FF1D3"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42" w:history="1">
        <w:r w:rsidRPr="00397B2D">
          <w:rPr>
            <w:rStyle w:val="Hyperlink"/>
            <w:noProof/>
          </w:rPr>
          <w:t>Chapter 10. Cooperative workplaces</w:t>
        </w:r>
        <w:r>
          <w:rPr>
            <w:noProof/>
            <w:webHidden/>
          </w:rPr>
          <w:tab/>
        </w:r>
        <w:r>
          <w:rPr>
            <w:noProof/>
            <w:webHidden/>
          </w:rPr>
          <w:fldChar w:fldCharType="begin"/>
        </w:r>
        <w:r>
          <w:rPr>
            <w:noProof/>
            <w:webHidden/>
          </w:rPr>
          <w:instrText xml:space="preserve"> PAGEREF _Toc189393542 \h </w:instrText>
        </w:r>
        <w:r>
          <w:rPr>
            <w:noProof/>
            <w:webHidden/>
          </w:rPr>
        </w:r>
        <w:r>
          <w:rPr>
            <w:noProof/>
            <w:webHidden/>
          </w:rPr>
          <w:fldChar w:fldCharType="separate"/>
        </w:r>
        <w:r w:rsidR="003F0101">
          <w:rPr>
            <w:noProof/>
            <w:webHidden/>
          </w:rPr>
          <w:t>93</w:t>
        </w:r>
        <w:r>
          <w:rPr>
            <w:noProof/>
            <w:webHidden/>
          </w:rPr>
          <w:fldChar w:fldCharType="end"/>
        </w:r>
      </w:hyperlink>
    </w:p>
    <w:p w14:paraId="58A2B4BD" w14:textId="09E8636B"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3" w:history="1">
        <w:r w:rsidRPr="00397B2D">
          <w:rPr>
            <w:rStyle w:val="Hyperlink"/>
            <w:noProof/>
          </w:rPr>
          <w:t>10.1 Amendments and intent</w:t>
        </w:r>
        <w:r>
          <w:rPr>
            <w:noProof/>
            <w:webHidden/>
          </w:rPr>
          <w:tab/>
        </w:r>
        <w:r>
          <w:rPr>
            <w:noProof/>
            <w:webHidden/>
          </w:rPr>
          <w:fldChar w:fldCharType="begin"/>
        </w:r>
        <w:r>
          <w:rPr>
            <w:noProof/>
            <w:webHidden/>
          </w:rPr>
          <w:instrText xml:space="preserve"> PAGEREF _Toc189393543 \h </w:instrText>
        </w:r>
        <w:r>
          <w:rPr>
            <w:noProof/>
            <w:webHidden/>
          </w:rPr>
        </w:r>
        <w:r>
          <w:rPr>
            <w:noProof/>
            <w:webHidden/>
          </w:rPr>
          <w:fldChar w:fldCharType="separate"/>
        </w:r>
        <w:r w:rsidR="003F0101">
          <w:rPr>
            <w:noProof/>
            <w:webHidden/>
          </w:rPr>
          <w:t>93</w:t>
        </w:r>
        <w:r>
          <w:rPr>
            <w:noProof/>
            <w:webHidden/>
          </w:rPr>
          <w:fldChar w:fldCharType="end"/>
        </w:r>
      </w:hyperlink>
    </w:p>
    <w:p w14:paraId="74FC8CC0" w14:textId="6C1C44B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4" w:history="1">
        <w:r w:rsidRPr="00397B2D">
          <w:rPr>
            <w:rStyle w:val="Hyperlink"/>
            <w:noProof/>
          </w:rPr>
          <w:t>10.2 Impact and issues</w:t>
        </w:r>
        <w:r>
          <w:rPr>
            <w:noProof/>
            <w:webHidden/>
          </w:rPr>
          <w:tab/>
        </w:r>
        <w:r>
          <w:rPr>
            <w:noProof/>
            <w:webHidden/>
          </w:rPr>
          <w:fldChar w:fldCharType="begin"/>
        </w:r>
        <w:r>
          <w:rPr>
            <w:noProof/>
            <w:webHidden/>
          </w:rPr>
          <w:instrText xml:space="preserve"> PAGEREF _Toc189393544 \h </w:instrText>
        </w:r>
        <w:r>
          <w:rPr>
            <w:noProof/>
            <w:webHidden/>
          </w:rPr>
        </w:r>
        <w:r>
          <w:rPr>
            <w:noProof/>
            <w:webHidden/>
          </w:rPr>
          <w:fldChar w:fldCharType="separate"/>
        </w:r>
        <w:r w:rsidR="003F0101">
          <w:rPr>
            <w:noProof/>
            <w:webHidden/>
          </w:rPr>
          <w:t>94</w:t>
        </w:r>
        <w:r>
          <w:rPr>
            <w:noProof/>
            <w:webHidden/>
          </w:rPr>
          <w:fldChar w:fldCharType="end"/>
        </w:r>
      </w:hyperlink>
    </w:p>
    <w:p w14:paraId="17B096A4" w14:textId="06B6A25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5" w:history="1">
        <w:r w:rsidRPr="00397B2D">
          <w:rPr>
            <w:rStyle w:val="Hyperlink"/>
            <w:noProof/>
          </w:rPr>
          <w:t>10.3 Findings and recommendations</w:t>
        </w:r>
        <w:r>
          <w:rPr>
            <w:noProof/>
            <w:webHidden/>
          </w:rPr>
          <w:tab/>
        </w:r>
        <w:r>
          <w:rPr>
            <w:noProof/>
            <w:webHidden/>
          </w:rPr>
          <w:fldChar w:fldCharType="begin"/>
        </w:r>
        <w:r>
          <w:rPr>
            <w:noProof/>
            <w:webHidden/>
          </w:rPr>
          <w:instrText xml:space="preserve"> PAGEREF _Toc189393545 \h </w:instrText>
        </w:r>
        <w:r>
          <w:rPr>
            <w:noProof/>
            <w:webHidden/>
          </w:rPr>
        </w:r>
        <w:r>
          <w:rPr>
            <w:noProof/>
            <w:webHidden/>
          </w:rPr>
          <w:fldChar w:fldCharType="separate"/>
        </w:r>
        <w:r w:rsidR="003F0101">
          <w:rPr>
            <w:noProof/>
            <w:webHidden/>
          </w:rPr>
          <w:t>96</w:t>
        </w:r>
        <w:r>
          <w:rPr>
            <w:noProof/>
            <w:webHidden/>
          </w:rPr>
          <w:fldChar w:fldCharType="end"/>
        </w:r>
      </w:hyperlink>
    </w:p>
    <w:p w14:paraId="6C8FD2D7" w14:textId="5111DC02"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46" w:history="1">
        <w:r w:rsidRPr="00397B2D">
          <w:rPr>
            <w:rStyle w:val="Hyperlink"/>
            <w:noProof/>
          </w:rPr>
          <w:t>Chapter 11. Supported bargaining</w:t>
        </w:r>
        <w:r>
          <w:rPr>
            <w:noProof/>
            <w:webHidden/>
          </w:rPr>
          <w:tab/>
        </w:r>
        <w:r>
          <w:rPr>
            <w:noProof/>
            <w:webHidden/>
          </w:rPr>
          <w:fldChar w:fldCharType="begin"/>
        </w:r>
        <w:r>
          <w:rPr>
            <w:noProof/>
            <w:webHidden/>
          </w:rPr>
          <w:instrText xml:space="preserve"> PAGEREF _Toc189393546 \h </w:instrText>
        </w:r>
        <w:r>
          <w:rPr>
            <w:noProof/>
            <w:webHidden/>
          </w:rPr>
        </w:r>
        <w:r>
          <w:rPr>
            <w:noProof/>
            <w:webHidden/>
          </w:rPr>
          <w:fldChar w:fldCharType="separate"/>
        </w:r>
        <w:r w:rsidR="003F0101">
          <w:rPr>
            <w:noProof/>
            <w:webHidden/>
          </w:rPr>
          <w:t>98</w:t>
        </w:r>
        <w:r>
          <w:rPr>
            <w:noProof/>
            <w:webHidden/>
          </w:rPr>
          <w:fldChar w:fldCharType="end"/>
        </w:r>
      </w:hyperlink>
    </w:p>
    <w:p w14:paraId="649863F6" w14:textId="5CF0B6F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7" w:history="1">
        <w:r w:rsidRPr="00397B2D">
          <w:rPr>
            <w:rStyle w:val="Hyperlink"/>
            <w:noProof/>
          </w:rPr>
          <w:t>11.1 Amendments and intent</w:t>
        </w:r>
        <w:r>
          <w:rPr>
            <w:noProof/>
            <w:webHidden/>
          </w:rPr>
          <w:tab/>
        </w:r>
        <w:r>
          <w:rPr>
            <w:noProof/>
            <w:webHidden/>
          </w:rPr>
          <w:fldChar w:fldCharType="begin"/>
        </w:r>
        <w:r>
          <w:rPr>
            <w:noProof/>
            <w:webHidden/>
          </w:rPr>
          <w:instrText xml:space="preserve"> PAGEREF _Toc189393547 \h </w:instrText>
        </w:r>
        <w:r>
          <w:rPr>
            <w:noProof/>
            <w:webHidden/>
          </w:rPr>
        </w:r>
        <w:r>
          <w:rPr>
            <w:noProof/>
            <w:webHidden/>
          </w:rPr>
          <w:fldChar w:fldCharType="separate"/>
        </w:r>
        <w:r w:rsidR="003F0101">
          <w:rPr>
            <w:noProof/>
            <w:webHidden/>
          </w:rPr>
          <w:t>98</w:t>
        </w:r>
        <w:r>
          <w:rPr>
            <w:noProof/>
            <w:webHidden/>
          </w:rPr>
          <w:fldChar w:fldCharType="end"/>
        </w:r>
      </w:hyperlink>
    </w:p>
    <w:p w14:paraId="453FB6E6" w14:textId="07AE4F6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8" w:history="1">
        <w:r w:rsidRPr="00397B2D">
          <w:rPr>
            <w:rStyle w:val="Hyperlink"/>
            <w:noProof/>
          </w:rPr>
          <w:t>11.2 Impact and issues</w:t>
        </w:r>
        <w:r>
          <w:rPr>
            <w:noProof/>
            <w:webHidden/>
          </w:rPr>
          <w:tab/>
        </w:r>
        <w:r>
          <w:rPr>
            <w:noProof/>
            <w:webHidden/>
          </w:rPr>
          <w:fldChar w:fldCharType="begin"/>
        </w:r>
        <w:r>
          <w:rPr>
            <w:noProof/>
            <w:webHidden/>
          </w:rPr>
          <w:instrText xml:space="preserve"> PAGEREF _Toc189393548 \h </w:instrText>
        </w:r>
        <w:r>
          <w:rPr>
            <w:noProof/>
            <w:webHidden/>
          </w:rPr>
        </w:r>
        <w:r>
          <w:rPr>
            <w:noProof/>
            <w:webHidden/>
          </w:rPr>
          <w:fldChar w:fldCharType="separate"/>
        </w:r>
        <w:r w:rsidR="003F0101">
          <w:rPr>
            <w:noProof/>
            <w:webHidden/>
          </w:rPr>
          <w:t>101</w:t>
        </w:r>
        <w:r>
          <w:rPr>
            <w:noProof/>
            <w:webHidden/>
          </w:rPr>
          <w:fldChar w:fldCharType="end"/>
        </w:r>
      </w:hyperlink>
    </w:p>
    <w:p w14:paraId="385869ED" w14:textId="67E852B5"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49" w:history="1">
        <w:r w:rsidRPr="00397B2D">
          <w:rPr>
            <w:rStyle w:val="Hyperlink"/>
            <w:noProof/>
          </w:rPr>
          <w:t>11.3 Findings and recommendations</w:t>
        </w:r>
        <w:r>
          <w:rPr>
            <w:noProof/>
            <w:webHidden/>
          </w:rPr>
          <w:tab/>
        </w:r>
        <w:r>
          <w:rPr>
            <w:noProof/>
            <w:webHidden/>
          </w:rPr>
          <w:fldChar w:fldCharType="begin"/>
        </w:r>
        <w:r>
          <w:rPr>
            <w:noProof/>
            <w:webHidden/>
          </w:rPr>
          <w:instrText xml:space="preserve"> PAGEREF _Toc189393549 \h </w:instrText>
        </w:r>
        <w:r>
          <w:rPr>
            <w:noProof/>
            <w:webHidden/>
          </w:rPr>
        </w:r>
        <w:r>
          <w:rPr>
            <w:noProof/>
            <w:webHidden/>
          </w:rPr>
          <w:fldChar w:fldCharType="separate"/>
        </w:r>
        <w:r w:rsidR="003F0101">
          <w:rPr>
            <w:noProof/>
            <w:webHidden/>
          </w:rPr>
          <w:t>106</w:t>
        </w:r>
        <w:r>
          <w:rPr>
            <w:noProof/>
            <w:webHidden/>
          </w:rPr>
          <w:fldChar w:fldCharType="end"/>
        </w:r>
      </w:hyperlink>
    </w:p>
    <w:p w14:paraId="32E470CE" w14:textId="34F811B0"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50" w:history="1">
        <w:r w:rsidRPr="00397B2D">
          <w:rPr>
            <w:rStyle w:val="Hyperlink"/>
            <w:noProof/>
          </w:rPr>
          <w:t>Chapter 12. Single-interest employer authorisations</w:t>
        </w:r>
        <w:r>
          <w:rPr>
            <w:noProof/>
            <w:webHidden/>
          </w:rPr>
          <w:tab/>
        </w:r>
        <w:r>
          <w:rPr>
            <w:noProof/>
            <w:webHidden/>
          </w:rPr>
          <w:fldChar w:fldCharType="begin"/>
        </w:r>
        <w:r>
          <w:rPr>
            <w:noProof/>
            <w:webHidden/>
          </w:rPr>
          <w:instrText xml:space="preserve"> PAGEREF _Toc189393550 \h </w:instrText>
        </w:r>
        <w:r>
          <w:rPr>
            <w:noProof/>
            <w:webHidden/>
          </w:rPr>
        </w:r>
        <w:r>
          <w:rPr>
            <w:noProof/>
            <w:webHidden/>
          </w:rPr>
          <w:fldChar w:fldCharType="separate"/>
        </w:r>
        <w:r w:rsidR="003F0101">
          <w:rPr>
            <w:noProof/>
            <w:webHidden/>
          </w:rPr>
          <w:t>108</w:t>
        </w:r>
        <w:r>
          <w:rPr>
            <w:noProof/>
            <w:webHidden/>
          </w:rPr>
          <w:fldChar w:fldCharType="end"/>
        </w:r>
      </w:hyperlink>
    </w:p>
    <w:p w14:paraId="00C86229" w14:textId="31477F1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1" w:history="1">
        <w:r w:rsidRPr="00397B2D">
          <w:rPr>
            <w:rStyle w:val="Hyperlink"/>
            <w:noProof/>
          </w:rPr>
          <w:t>12.1 Amendments and intent</w:t>
        </w:r>
        <w:r>
          <w:rPr>
            <w:noProof/>
            <w:webHidden/>
          </w:rPr>
          <w:tab/>
        </w:r>
        <w:r>
          <w:rPr>
            <w:noProof/>
            <w:webHidden/>
          </w:rPr>
          <w:fldChar w:fldCharType="begin"/>
        </w:r>
        <w:r>
          <w:rPr>
            <w:noProof/>
            <w:webHidden/>
          </w:rPr>
          <w:instrText xml:space="preserve"> PAGEREF _Toc189393551 \h </w:instrText>
        </w:r>
        <w:r>
          <w:rPr>
            <w:noProof/>
            <w:webHidden/>
          </w:rPr>
        </w:r>
        <w:r>
          <w:rPr>
            <w:noProof/>
            <w:webHidden/>
          </w:rPr>
          <w:fldChar w:fldCharType="separate"/>
        </w:r>
        <w:r w:rsidR="003F0101">
          <w:rPr>
            <w:noProof/>
            <w:webHidden/>
          </w:rPr>
          <w:t>108</w:t>
        </w:r>
        <w:r>
          <w:rPr>
            <w:noProof/>
            <w:webHidden/>
          </w:rPr>
          <w:fldChar w:fldCharType="end"/>
        </w:r>
      </w:hyperlink>
    </w:p>
    <w:p w14:paraId="226A71C6" w14:textId="246D5EB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2" w:history="1">
        <w:r w:rsidRPr="00397B2D">
          <w:rPr>
            <w:rStyle w:val="Hyperlink"/>
            <w:noProof/>
          </w:rPr>
          <w:t>12.2 Impact and issues</w:t>
        </w:r>
        <w:r>
          <w:rPr>
            <w:noProof/>
            <w:webHidden/>
          </w:rPr>
          <w:tab/>
        </w:r>
        <w:r>
          <w:rPr>
            <w:noProof/>
            <w:webHidden/>
          </w:rPr>
          <w:fldChar w:fldCharType="begin"/>
        </w:r>
        <w:r>
          <w:rPr>
            <w:noProof/>
            <w:webHidden/>
          </w:rPr>
          <w:instrText xml:space="preserve"> PAGEREF _Toc189393552 \h </w:instrText>
        </w:r>
        <w:r>
          <w:rPr>
            <w:noProof/>
            <w:webHidden/>
          </w:rPr>
        </w:r>
        <w:r>
          <w:rPr>
            <w:noProof/>
            <w:webHidden/>
          </w:rPr>
          <w:fldChar w:fldCharType="separate"/>
        </w:r>
        <w:r w:rsidR="003F0101">
          <w:rPr>
            <w:noProof/>
            <w:webHidden/>
          </w:rPr>
          <w:t>111</w:t>
        </w:r>
        <w:r>
          <w:rPr>
            <w:noProof/>
            <w:webHidden/>
          </w:rPr>
          <w:fldChar w:fldCharType="end"/>
        </w:r>
      </w:hyperlink>
    </w:p>
    <w:p w14:paraId="689B7938" w14:textId="76FD08E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3" w:history="1">
        <w:r w:rsidRPr="00397B2D">
          <w:rPr>
            <w:rStyle w:val="Hyperlink"/>
            <w:noProof/>
          </w:rPr>
          <w:t>12.3 Findings and recommendations</w:t>
        </w:r>
        <w:r>
          <w:rPr>
            <w:noProof/>
            <w:webHidden/>
          </w:rPr>
          <w:tab/>
        </w:r>
        <w:r>
          <w:rPr>
            <w:noProof/>
            <w:webHidden/>
          </w:rPr>
          <w:fldChar w:fldCharType="begin"/>
        </w:r>
        <w:r>
          <w:rPr>
            <w:noProof/>
            <w:webHidden/>
          </w:rPr>
          <w:instrText xml:space="preserve"> PAGEREF _Toc189393553 \h </w:instrText>
        </w:r>
        <w:r>
          <w:rPr>
            <w:noProof/>
            <w:webHidden/>
          </w:rPr>
        </w:r>
        <w:r>
          <w:rPr>
            <w:noProof/>
            <w:webHidden/>
          </w:rPr>
          <w:fldChar w:fldCharType="separate"/>
        </w:r>
        <w:r w:rsidR="003F0101">
          <w:rPr>
            <w:noProof/>
            <w:webHidden/>
          </w:rPr>
          <w:t>118</w:t>
        </w:r>
        <w:r>
          <w:rPr>
            <w:noProof/>
            <w:webHidden/>
          </w:rPr>
          <w:fldChar w:fldCharType="end"/>
        </w:r>
      </w:hyperlink>
    </w:p>
    <w:p w14:paraId="2F8638D7" w14:textId="24784692"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54" w:history="1">
        <w:r w:rsidRPr="00397B2D">
          <w:rPr>
            <w:rStyle w:val="Hyperlink"/>
            <w:noProof/>
          </w:rPr>
          <w:t>Chapter 13. Excluded work</w:t>
        </w:r>
        <w:r>
          <w:rPr>
            <w:noProof/>
            <w:webHidden/>
          </w:rPr>
          <w:tab/>
        </w:r>
        <w:r>
          <w:rPr>
            <w:noProof/>
            <w:webHidden/>
          </w:rPr>
          <w:fldChar w:fldCharType="begin"/>
        </w:r>
        <w:r>
          <w:rPr>
            <w:noProof/>
            <w:webHidden/>
          </w:rPr>
          <w:instrText xml:space="preserve"> PAGEREF _Toc189393554 \h </w:instrText>
        </w:r>
        <w:r>
          <w:rPr>
            <w:noProof/>
            <w:webHidden/>
          </w:rPr>
        </w:r>
        <w:r>
          <w:rPr>
            <w:noProof/>
            <w:webHidden/>
          </w:rPr>
          <w:fldChar w:fldCharType="separate"/>
        </w:r>
        <w:r w:rsidR="003F0101">
          <w:rPr>
            <w:noProof/>
            <w:webHidden/>
          </w:rPr>
          <w:t>120</w:t>
        </w:r>
        <w:r>
          <w:rPr>
            <w:noProof/>
            <w:webHidden/>
          </w:rPr>
          <w:fldChar w:fldCharType="end"/>
        </w:r>
      </w:hyperlink>
    </w:p>
    <w:p w14:paraId="4B3F6A05" w14:textId="419CE9E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5" w:history="1">
        <w:r w:rsidRPr="00397B2D">
          <w:rPr>
            <w:rStyle w:val="Hyperlink"/>
            <w:noProof/>
          </w:rPr>
          <w:t>13.1 Amendments and intent</w:t>
        </w:r>
        <w:r>
          <w:rPr>
            <w:noProof/>
            <w:webHidden/>
          </w:rPr>
          <w:tab/>
        </w:r>
        <w:r>
          <w:rPr>
            <w:noProof/>
            <w:webHidden/>
          </w:rPr>
          <w:fldChar w:fldCharType="begin"/>
        </w:r>
        <w:r>
          <w:rPr>
            <w:noProof/>
            <w:webHidden/>
          </w:rPr>
          <w:instrText xml:space="preserve"> PAGEREF _Toc189393555 \h </w:instrText>
        </w:r>
        <w:r>
          <w:rPr>
            <w:noProof/>
            <w:webHidden/>
          </w:rPr>
        </w:r>
        <w:r>
          <w:rPr>
            <w:noProof/>
            <w:webHidden/>
          </w:rPr>
          <w:fldChar w:fldCharType="separate"/>
        </w:r>
        <w:r w:rsidR="003F0101">
          <w:rPr>
            <w:noProof/>
            <w:webHidden/>
          </w:rPr>
          <w:t>120</w:t>
        </w:r>
        <w:r>
          <w:rPr>
            <w:noProof/>
            <w:webHidden/>
          </w:rPr>
          <w:fldChar w:fldCharType="end"/>
        </w:r>
      </w:hyperlink>
    </w:p>
    <w:p w14:paraId="5AD31A75" w14:textId="5C63E76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6" w:history="1">
        <w:r w:rsidRPr="00397B2D">
          <w:rPr>
            <w:rStyle w:val="Hyperlink"/>
            <w:noProof/>
          </w:rPr>
          <w:t>13.2 Impact and issues</w:t>
        </w:r>
        <w:r>
          <w:rPr>
            <w:noProof/>
            <w:webHidden/>
          </w:rPr>
          <w:tab/>
        </w:r>
        <w:r>
          <w:rPr>
            <w:noProof/>
            <w:webHidden/>
          </w:rPr>
          <w:fldChar w:fldCharType="begin"/>
        </w:r>
        <w:r>
          <w:rPr>
            <w:noProof/>
            <w:webHidden/>
          </w:rPr>
          <w:instrText xml:space="preserve"> PAGEREF _Toc189393556 \h </w:instrText>
        </w:r>
        <w:r>
          <w:rPr>
            <w:noProof/>
            <w:webHidden/>
          </w:rPr>
        </w:r>
        <w:r>
          <w:rPr>
            <w:noProof/>
            <w:webHidden/>
          </w:rPr>
          <w:fldChar w:fldCharType="separate"/>
        </w:r>
        <w:r w:rsidR="003F0101">
          <w:rPr>
            <w:noProof/>
            <w:webHidden/>
          </w:rPr>
          <w:t>121</w:t>
        </w:r>
        <w:r>
          <w:rPr>
            <w:noProof/>
            <w:webHidden/>
          </w:rPr>
          <w:fldChar w:fldCharType="end"/>
        </w:r>
      </w:hyperlink>
    </w:p>
    <w:p w14:paraId="6FAACFC5" w14:textId="33BCD331"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7" w:history="1">
        <w:r w:rsidRPr="00397B2D">
          <w:rPr>
            <w:rStyle w:val="Hyperlink"/>
            <w:noProof/>
          </w:rPr>
          <w:t>13.3 Findings and recommendations</w:t>
        </w:r>
        <w:r>
          <w:rPr>
            <w:noProof/>
            <w:webHidden/>
          </w:rPr>
          <w:tab/>
        </w:r>
        <w:r>
          <w:rPr>
            <w:noProof/>
            <w:webHidden/>
          </w:rPr>
          <w:fldChar w:fldCharType="begin"/>
        </w:r>
        <w:r>
          <w:rPr>
            <w:noProof/>
            <w:webHidden/>
          </w:rPr>
          <w:instrText xml:space="preserve"> PAGEREF _Toc189393557 \h </w:instrText>
        </w:r>
        <w:r>
          <w:rPr>
            <w:noProof/>
            <w:webHidden/>
          </w:rPr>
        </w:r>
        <w:r>
          <w:rPr>
            <w:noProof/>
            <w:webHidden/>
          </w:rPr>
          <w:fldChar w:fldCharType="separate"/>
        </w:r>
        <w:r w:rsidR="003F0101">
          <w:rPr>
            <w:noProof/>
            <w:webHidden/>
          </w:rPr>
          <w:t>122</w:t>
        </w:r>
        <w:r>
          <w:rPr>
            <w:noProof/>
            <w:webHidden/>
          </w:rPr>
          <w:fldChar w:fldCharType="end"/>
        </w:r>
      </w:hyperlink>
    </w:p>
    <w:p w14:paraId="06F1AD89" w14:textId="63E9A756"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58" w:history="1">
        <w:r w:rsidRPr="00397B2D">
          <w:rPr>
            <w:rStyle w:val="Hyperlink"/>
            <w:noProof/>
          </w:rPr>
          <w:t>Chapter 14. Bargaining disputes</w:t>
        </w:r>
        <w:r>
          <w:rPr>
            <w:noProof/>
            <w:webHidden/>
          </w:rPr>
          <w:tab/>
        </w:r>
        <w:r>
          <w:rPr>
            <w:noProof/>
            <w:webHidden/>
          </w:rPr>
          <w:fldChar w:fldCharType="begin"/>
        </w:r>
        <w:r>
          <w:rPr>
            <w:noProof/>
            <w:webHidden/>
          </w:rPr>
          <w:instrText xml:space="preserve"> PAGEREF _Toc189393558 \h </w:instrText>
        </w:r>
        <w:r>
          <w:rPr>
            <w:noProof/>
            <w:webHidden/>
          </w:rPr>
        </w:r>
        <w:r>
          <w:rPr>
            <w:noProof/>
            <w:webHidden/>
          </w:rPr>
          <w:fldChar w:fldCharType="separate"/>
        </w:r>
        <w:r w:rsidR="003F0101">
          <w:rPr>
            <w:noProof/>
            <w:webHidden/>
          </w:rPr>
          <w:t>123</w:t>
        </w:r>
        <w:r>
          <w:rPr>
            <w:noProof/>
            <w:webHidden/>
          </w:rPr>
          <w:fldChar w:fldCharType="end"/>
        </w:r>
      </w:hyperlink>
    </w:p>
    <w:p w14:paraId="009B02B7" w14:textId="535326F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59" w:history="1">
        <w:r w:rsidRPr="00397B2D">
          <w:rPr>
            <w:rStyle w:val="Hyperlink"/>
            <w:noProof/>
          </w:rPr>
          <w:t>14.1 Amendments and intent</w:t>
        </w:r>
        <w:r>
          <w:rPr>
            <w:noProof/>
            <w:webHidden/>
          </w:rPr>
          <w:tab/>
        </w:r>
        <w:r>
          <w:rPr>
            <w:noProof/>
            <w:webHidden/>
          </w:rPr>
          <w:fldChar w:fldCharType="begin"/>
        </w:r>
        <w:r>
          <w:rPr>
            <w:noProof/>
            <w:webHidden/>
          </w:rPr>
          <w:instrText xml:space="preserve"> PAGEREF _Toc189393559 \h </w:instrText>
        </w:r>
        <w:r>
          <w:rPr>
            <w:noProof/>
            <w:webHidden/>
          </w:rPr>
        </w:r>
        <w:r>
          <w:rPr>
            <w:noProof/>
            <w:webHidden/>
          </w:rPr>
          <w:fldChar w:fldCharType="separate"/>
        </w:r>
        <w:r w:rsidR="003F0101">
          <w:rPr>
            <w:noProof/>
            <w:webHidden/>
          </w:rPr>
          <w:t>123</w:t>
        </w:r>
        <w:r>
          <w:rPr>
            <w:noProof/>
            <w:webHidden/>
          </w:rPr>
          <w:fldChar w:fldCharType="end"/>
        </w:r>
      </w:hyperlink>
    </w:p>
    <w:p w14:paraId="55C3E4D2" w14:textId="2DB2922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0" w:history="1">
        <w:r w:rsidRPr="00397B2D">
          <w:rPr>
            <w:rStyle w:val="Hyperlink"/>
            <w:noProof/>
          </w:rPr>
          <w:t>14.2 Impact and issues</w:t>
        </w:r>
        <w:r>
          <w:rPr>
            <w:noProof/>
            <w:webHidden/>
          </w:rPr>
          <w:tab/>
        </w:r>
        <w:r>
          <w:rPr>
            <w:noProof/>
            <w:webHidden/>
          </w:rPr>
          <w:fldChar w:fldCharType="begin"/>
        </w:r>
        <w:r>
          <w:rPr>
            <w:noProof/>
            <w:webHidden/>
          </w:rPr>
          <w:instrText xml:space="preserve"> PAGEREF _Toc189393560 \h </w:instrText>
        </w:r>
        <w:r>
          <w:rPr>
            <w:noProof/>
            <w:webHidden/>
          </w:rPr>
        </w:r>
        <w:r>
          <w:rPr>
            <w:noProof/>
            <w:webHidden/>
          </w:rPr>
          <w:fldChar w:fldCharType="separate"/>
        </w:r>
        <w:r w:rsidR="003F0101">
          <w:rPr>
            <w:noProof/>
            <w:webHidden/>
          </w:rPr>
          <w:t>127</w:t>
        </w:r>
        <w:r>
          <w:rPr>
            <w:noProof/>
            <w:webHidden/>
          </w:rPr>
          <w:fldChar w:fldCharType="end"/>
        </w:r>
      </w:hyperlink>
    </w:p>
    <w:p w14:paraId="572E2AEC" w14:textId="3BEBDED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1" w:history="1">
        <w:r w:rsidRPr="00397B2D">
          <w:rPr>
            <w:rStyle w:val="Hyperlink"/>
            <w:noProof/>
          </w:rPr>
          <w:t>14.3 Findings and recommendations</w:t>
        </w:r>
        <w:r>
          <w:rPr>
            <w:noProof/>
            <w:webHidden/>
          </w:rPr>
          <w:tab/>
        </w:r>
        <w:r>
          <w:rPr>
            <w:noProof/>
            <w:webHidden/>
          </w:rPr>
          <w:fldChar w:fldCharType="begin"/>
        </w:r>
        <w:r>
          <w:rPr>
            <w:noProof/>
            <w:webHidden/>
          </w:rPr>
          <w:instrText xml:space="preserve"> PAGEREF _Toc189393561 \h </w:instrText>
        </w:r>
        <w:r>
          <w:rPr>
            <w:noProof/>
            <w:webHidden/>
          </w:rPr>
        </w:r>
        <w:r>
          <w:rPr>
            <w:noProof/>
            <w:webHidden/>
          </w:rPr>
          <w:fldChar w:fldCharType="separate"/>
        </w:r>
        <w:r w:rsidR="003F0101">
          <w:rPr>
            <w:noProof/>
            <w:webHidden/>
          </w:rPr>
          <w:t>134</w:t>
        </w:r>
        <w:r>
          <w:rPr>
            <w:noProof/>
            <w:webHidden/>
          </w:rPr>
          <w:fldChar w:fldCharType="end"/>
        </w:r>
      </w:hyperlink>
    </w:p>
    <w:p w14:paraId="213194D9" w14:textId="15432FAD"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62" w:history="1">
        <w:r w:rsidRPr="00397B2D">
          <w:rPr>
            <w:rStyle w:val="Hyperlink"/>
            <w:noProof/>
          </w:rPr>
          <w:t>Chapter 15. Industrial action</w:t>
        </w:r>
        <w:r>
          <w:rPr>
            <w:noProof/>
            <w:webHidden/>
          </w:rPr>
          <w:tab/>
        </w:r>
        <w:r>
          <w:rPr>
            <w:noProof/>
            <w:webHidden/>
          </w:rPr>
          <w:fldChar w:fldCharType="begin"/>
        </w:r>
        <w:r>
          <w:rPr>
            <w:noProof/>
            <w:webHidden/>
          </w:rPr>
          <w:instrText xml:space="preserve"> PAGEREF _Toc189393562 \h </w:instrText>
        </w:r>
        <w:r>
          <w:rPr>
            <w:noProof/>
            <w:webHidden/>
          </w:rPr>
        </w:r>
        <w:r>
          <w:rPr>
            <w:noProof/>
            <w:webHidden/>
          </w:rPr>
          <w:fldChar w:fldCharType="separate"/>
        </w:r>
        <w:r w:rsidR="003F0101">
          <w:rPr>
            <w:noProof/>
            <w:webHidden/>
          </w:rPr>
          <w:t>136</w:t>
        </w:r>
        <w:r>
          <w:rPr>
            <w:noProof/>
            <w:webHidden/>
          </w:rPr>
          <w:fldChar w:fldCharType="end"/>
        </w:r>
      </w:hyperlink>
    </w:p>
    <w:p w14:paraId="06281F01" w14:textId="105FC84F"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3" w:history="1">
        <w:r w:rsidRPr="00397B2D">
          <w:rPr>
            <w:rStyle w:val="Hyperlink"/>
            <w:noProof/>
          </w:rPr>
          <w:t>15.1 Amendments and intent</w:t>
        </w:r>
        <w:r>
          <w:rPr>
            <w:noProof/>
            <w:webHidden/>
          </w:rPr>
          <w:tab/>
        </w:r>
        <w:r>
          <w:rPr>
            <w:noProof/>
            <w:webHidden/>
          </w:rPr>
          <w:fldChar w:fldCharType="begin"/>
        </w:r>
        <w:r>
          <w:rPr>
            <w:noProof/>
            <w:webHidden/>
          </w:rPr>
          <w:instrText xml:space="preserve"> PAGEREF _Toc189393563 \h </w:instrText>
        </w:r>
        <w:r>
          <w:rPr>
            <w:noProof/>
            <w:webHidden/>
          </w:rPr>
        </w:r>
        <w:r>
          <w:rPr>
            <w:noProof/>
            <w:webHidden/>
          </w:rPr>
          <w:fldChar w:fldCharType="separate"/>
        </w:r>
        <w:r w:rsidR="003F0101">
          <w:rPr>
            <w:noProof/>
            <w:webHidden/>
          </w:rPr>
          <w:t>136</w:t>
        </w:r>
        <w:r>
          <w:rPr>
            <w:noProof/>
            <w:webHidden/>
          </w:rPr>
          <w:fldChar w:fldCharType="end"/>
        </w:r>
      </w:hyperlink>
    </w:p>
    <w:p w14:paraId="4C3A187E" w14:textId="648BD50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4" w:history="1">
        <w:r w:rsidRPr="00397B2D">
          <w:rPr>
            <w:rStyle w:val="Hyperlink"/>
            <w:noProof/>
          </w:rPr>
          <w:t>15.2 Impact and issues</w:t>
        </w:r>
        <w:r>
          <w:rPr>
            <w:noProof/>
            <w:webHidden/>
          </w:rPr>
          <w:tab/>
        </w:r>
        <w:r>
          <w:rPr>
            <w:noProof/>
            <w:webHidden/>
          </w:rPr>
          <w:fldChar w:fldCharType="begin"/>
        </w:r>
        <w:r>
          <w:rPr>
            <w:noProof/>
            <w:webHidden/>
          </w:rPr>
          <w:instrText xml:space="preserve"> PAGEREF _Toc189393564 \h </w:instrText>
        </w:r>
        <w:r>
          <w:rPr>
            <w:noProof/>
            <w:webHidden/>
          </w:rPr>
        </w:r>
        <w:r>
          <w:rPr>
            <w:noProof/>
            <w:webHidden/>
          </w:rPr>
          <w:fldChar w:fldCharType="separate"/>
        </w:r>
        <w:r w:rsidR="003F0101">
          <w:rPr>
            <w:noProof/>
            <w:webHidden/>
          </w:rPr>
          <w:t>137</w:t>
        </w:r>
        <w:r>
          <w:rPr>
            <w:noProof/>
            <w:webHidden/>
          </w:rPr>
          <w:fldChar w:fldCharType="end"/>
        </w:r>
      </w:hyperlink>
    </w:p>
    <w:p w14:paraId="6BCA7D47" w14:textId="1F9DF87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5" w:history="1">
        <w:r w:rsidRPr="00397B2D">
          <w:rPr>
            <w:rStyle w:val="Hyperlink"/>
            <w:noProof/>
          </w:rPr>
          <w:t>15.3 Findings and recommendations</w:t>
        </w:r>
        <w:r>
          <w:rPr>
            <w:noProof/>
            <w:webHidden/>
          </w:rPr>
          <w:tab/>
        </w:r>
        <w:r>
          <w:rPr>
            <w:noProof/>
            <w:webHidden/>
          </w:rPr>
          <w:fldChar w:fldCharType="begin"/>
        </w:r>
        <w:r>
          <w:rPr>
            <w:noProof/>
            <w:webHidden/>
          </w:rPr>
          <w:instrText xml:space="preserve"> PAGEREF _Toc189393565 \h </w:instrText>
        </w:r>
        <w:r>
          <w:rPr>
            <w:noProof/>
            <w:webHidden/>
          </w:rPr>
        </w:r>
        <w:r>
          <w:rPr>
            <w:noProof/>
            <w:webHidden/>
          </w:rPr>
          <w:fldChar w:fldCharType="separate"/>
        </w:r>
        <w:r w:rsidR="003F0101">
          <w:rPr>
            <w:noProof/>
            <w:webHidden/>
          </w:rPr>
          <w:t>139</w:t>
        </w:r>
        <w:r>
          <w:rPr>
            <w:noProof/>
            <w:webHidden/>
          </w:rPr>
          <w:fldChar w:fldCharType="end"/>
        </w:r>
      </w:hyperlink>
    </w:p>
    <w:p w14:paraId="5234EF06" w14:textId="063C33E9"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66" w:history="1">
        <w:r w:rsidRPr="00397B2D">
          <w:rPr>
            <w:rStyle w:val="Hyperlink"/>
            <w:noProof/>
          </w:rPr>
          <w:t>Chapter 16. Enterprise agreement approval</w:t>
        </w:r>
        <w:r>
          <w:rPr>
            <w:noProof/>
            <w:webHidden/>
          </w:rPr>
          <w:tab/>
        </w:r>
        <w:r>
          <w:rPr>
            <w:noProof/>
            <w:webHidden/>
          </w:rPr>
          <w:fldChar w:fldCharType="begin"/>
        </w:r>
        <w:r>
          <w:rPr>
            <w:noProof/>
            <w:webHidden/>
          </w:rPr>
          <w:instrText xml:space="preserve"> PAGEREF _Toc189393566 \h </w:instrText>
        </w:r>
        <w:r>
          <w:rPr>
            <w:noProof/>
            <w:webHidden/>
          </w:rPr>
        </w:r>
        <w:r>
          <w:rPr>
            <w:noProof/>
            <w:webHidden/>
          </w:rPr>
          <w:fldChar w:fldCharType="separate"/>
        </w:r>
        <w:r w:rsidR="003F0101">
          <w:rPr>
            <w:noProof/>
            <w:webHidden/>
          </w:rPr>
          <w:t>141</w:t>
        </w:r>
        <w:r>
          <w:rPr>
            <w:noProof/>
            <w:webHidden/>
          </w:rPr>
          <w:fldChar w:fldCharType="end"/>
        </w:r>
      </w:hyperlink>
    </w:p>
    <w:p w14:paraId="53C2981D" w14:textId="71975E1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7" w:history="1">
        <w:r w:rsidRPr="00397B2D">
          <w:rPr>
            <w:rStyle w:val="Hyperlink"/>
            <w:noProof/>
          </w:rPr>
          <w:t>16.1 Amendments and intent</w:t>
        </w:r>
        <w:r>
          <w:rPr>
            <w:noProof/>
            <w:webHidden/>
          </w:rPr>
          <w:tab/>
        </w:r>
        <w:r>
          <w:rPr>
            <w:noProof/>
            <w:webHidden/>
          </w:rPr>
          <w:fldChar w:fldCharType="begin"/>
        </w:r>
        <w:r>
          <w:rPr>
            <w:noProof/>
            <w:webHidden/>
          </w:rPr>
          <w:instrText xml:space="preserve"> PAGEREF _Toc189393567 \h </w:instrText>
        </w:r>
        <w:r>
          <w:rPr>
            <w:noProof/>
            <w:webHidden/>
          </w:rPr>
        </w:r>
        <w:r>
          <w:rPr>
            <w:noProof/>
            <w:webHidden/>
          </w:rPr>
          <w:fldChar w:fldCharType="separate"/>
        </w:r>
        <w:r w:rsidR="003F0101">
          <w:rPr>
            <w:noProof/>
            <w:webHidden/>
          </w:rPr>
          <w:t>141</w:t>
        </w:r>
        <w:r>
          <w:rPr>
            <w:noProof/>
            <w:webHidden/>
          </w:rPr>
          <w:fldChar w:fldCharType="end"/>
        </w:r>
      </w:hyperlink>
    </w:p>
    <w:p w14:paraId="6B526FB1" w14:textId="0382FCB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8" w:history="1">
        <w:r w:rsidRPr="00397B2D">
          <w:rPr>
            <w:rStyle w:val="Hyperlink"/>
            <w:noProof/>
          </w:rPr>
          <w:t>16.2 Impact and issues</w:t>
        </w:r>
        <w:r>
          <w:rPr>
            <w:noProof/>
            <w:webHidden/>
          </w:rPr>
          <w:tab/>
        </w:r>
        <w:r>
          <w:rPr>
            <w:noProof/>
            <w:webHidden/>
          </w:rPr>
          <w:fldChar w:fldCharType="begin"/>
        </w:r>
        <w:r>
          <w:rPr>
            <w:noProof/>
            <w:webHidden/>
          </w:rPr>
          <w:instrText xml:space="preserve"> PAGEREF _Toc189393568 \h </w:instrText>
        </w:r>
        <w:r>
          <w:rPr>
            <w:noProof/>
            <w:webHidden/>
          </w:rPr>
        </w:r>
        <w:r>
          <w:rPr>
            <w:noProof/>
            <w:webHidden/>
          </w:rPr>
          <w:fldChar w:fldCharType="separate"/>
        </w:r>
        <w:r w:rsidR="003F0101">
          <w:rPr>
            <w:noProof/>
            <w:webHidden/>
          </w:rPr>
          <w:t>143</w:t>
        </w:r>
        <w:r>
          <w:rPr>
            <w:noProof/>
            <w:webHidden/>
          </w:rPr>
          <w:fldChar w:fldCharType="end"/>
        </w:r>
      </w:hyperlink>
    </w:p>
    <w:p w14:paraId="5493CD5D" w14:textId="49955D7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69" w:history="1">
        <w:r w:rsidRPr="00397B2D">
          <w:rPr>
            <w:rStyle w:val="Hyperlink"/>
            <w:noProof/>
          </w:rPr>
          <w:t>16.3 Findings and recommendations</w:t>
        </w:r>
        <w:r>
          <w:rPr>
            <w:noProof/>
            <w:webHidden/>
          </w:rPr>
          <w:tab/>
        </w:r>
        <w:r>
          <w:rPr>
            <w:noProof/>
            <w:webHidden/>
          </w:rPr>
          <w:fldChar w:fldCharType="begin"/>
        </w:r>
        <w:r>
          <w:rPr>
            <w:noProof/>
            <w:webHidden/>
          </w:rPr>
          <w:instrText xml:space="preserve"> PAGEREF _Toc189393569 \h </w:instrText>
        </w:r>
        <w:r>
          <w:rPr>
            <w:noProof/>
            <w:webHidden/>
          </w:rPr>
        </w:r>
        <w:r>
          <w:rPr>
            <w:noProof/>
            <w:webHidden/>
          </w:rPr>
          <w:fldChar w:fldCharType="separate"/>
        </w:r>
        <w:r w:rsidR="003F0101">
          <w:rPr>
            <w:noProof/>
            <w:webHidden/>
          </w:rPr>
          <w:t>146</w:t>
        </w:r>
        <w:r>
          <w:rPr>
            <w:noProof/>
            <w:webHidden/>
          </w:rPr>
          <w:fldChar w:fldCharType="end"/>
        </w:r>
      </w:hyperlink>
    </w:p>
    <w:p w14:paraId="453A5090" w14:textId="0E4FF77A"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70" w:history="1">
        <w:r w:rsidRPr="00397B2D">
          <w:rPr>
            <w:rStyle w:val="Hyperlink"/>
            <w:noProof/>
          </w:rPr>
          <w:t>Chapter 17. Better Off Overall Test</w:t>
        </w:r>
        <w:r>
          <w:rPr>
            <w:noProof/>
            <w:webHidden/>
          </w:rPr>
          <w:tab/>
        </w:r>
        <w:r>
          <w:rPr>
            <w:noProof/>
            <w:webHidden/>
          </w:rPr>
          <w:fldChar w:fldCharType="begin"/>
        </w:r>
        <w:r>
          <w:rPr>
            <w:noProof/>
            <w:webHidden/>
          </w:rPr>
          <w:instrText xml:space="preserve"> PAGEREF _Toc189393570 \h </w:instrText>
        </w:r>
        <w:r>
          <w:rPr>
            <w:noProof/>
            <w:webHidden/>
          </w:rPr>
        </w:r>
        <w:r>
          <w:rPr>
            <w:noProof/>
            <w:webHidden/>
          </w:rPr>
          <w:fldChar w:fldCharType="separate"/>
        </w:r>
        <w:r w:rsidR="003F0101">
          <w:rPr>
            <w:noProof/>
            <w:webHidden/>
          </w:rPr>
          <w:t>148</w:t>
        </w:r>
        <w:r>
          <w:rPr>
            <w:noProof/>
            <w:webHidden/>
          </w:rPr>
          <w:fldChar w:fldCharType="end"/>
        </w:r>
      </w:hyperlink>
    </w:p>
    <w:p w14:paraId="69316DBD" w14:textId="1F45681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1" w:history="1">
        <w:r w:rsidRPr="00397B2D">
          <w:rPr>
            <w:rStyle w:val="Hyperlink"/>
            <w:noProof/>
          </w:rPr>
          <w:t>17.1 Amendments and intent</w:t>
        </w:r>
        <w:r>
          <w:rPr>
            <w:noProof/>
            <w:webHidden/>
          </w:rPr>
          <w:tab/>
        </w:r>
        <w:r>
          <w:rPr>
            <w:noProof/>
            <w:webHidden/>
          </w:rPr>
          <w:fldChar w:fldCharType="begin"/>
        </w:r>
        <w:r>
          <w:rPr>
            <w:noProof/>
            <w:webHidden/>
          </w:rPr>
          <w:instrText xml:space="preserve"> PAGEREF _Toc189393571 \h </w:instrText>
        </w:r>
        <w:r>
          <w:rPr>
            <w:noProof/>
            <w:webHidden/>
          </w:rPr>
        </w:r>
        <w:r>
          <w:rPr>
            <w:noProof/>
            <w:webHidden/>
          </w:rPr>
          <w:fldChar w:fldCharType="separate"/>
        </w:r>
        <w:r w:rsidR="003F0101">
          <w:rPr>
            <w:noProof/>
            <w:webHidden/>
          </w:rPr>
          <w:t>148</w:t>
        </w:r>
        <w:r>
          <w:rPr>
            <w:noProof/>
            <w:webHidden/>
          </w:rPr>
          <w:fldChar w:fldCharType="end"/>
        </w:r>
      </w:hyperlink>
    </w:p>
    <w:p w14:paraId="284BEC2A" w14:textId="4F32942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2" w:history="1">
        <w:r w:rsidRPr="00397B2D">
          <w:rPr>
            <w:rStyle w:val="Hyperlink"/>
            <w:noProof/>
          </w:rPr>
          <w:t>17.2 Impact and issues</w:t>
        </w:r>
        <w:r>
          <w:rPr>
            <w:noProof/>
            <w:webHidden/>
          </w:rPr>
          <w:tab/>
        </w:r>
        <w:r>
          <w:rPr>
            <w:noProof/>
            <w:webHidden/>
          </w:rPr>
          <w:fldChar w:fldCharType="begin"/>
        </w:r>
        <w:r>
          <w:rPr>
            <w:noProof/>
            <w:webHidden/>
          </w:rPr>
          <w:instrText xml:space="preserve"> PAGEREF _Toc189393572 \h </w:instrText>
        </w:r>
        <w:r>
          <w:rPr>
            <w:noProof/>
            <w:webHidden/>
          </w:rPr>
        </w:r>
        <w:r>
          <w:rPr>
            <w:noProof/>
            <w:webHidden/>
          </w:rPr>
          <w:fldChar w:fldCharType="separate"/>
        </w:r>
        <w:r w:rsidR="003F0101">
          <w:rPr>
            <w:noProof/>
            <w:webHidden/>
          </w:rPr>
          <w:t>150</w:t>
        </w:r>
        <w:r>
          <w:rPr>
            <w:noProof/>
            <w:webHidden/>
          </w:rPr>
          <w:fldChar w:fldCharType="end"/>
        </w:r>
      </w:hyperlink>
    </w:p>
    <w:p w14:paraId="03AFCE72" w14:textId="4A85FD14"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3" w:history="1">
        <w:r w:rsidRPr="00397B2D">
          <w:rPr>
            <w:rStyle w:val="Hyperlink"/>
            <w:noProof/>
          </w:rPr>
          <w:t>17.3 Findings and recommendations</w:t>
        </w:r>
        <w:r>
          <w:rPr>
            <w:noProof/>
            <w:webHidden/>
          </w:rPr>
          <w:tab/>
        </w:r>
        <w:r>
          <w:rPr>
            <w:noProof/>
            <w:webHidden/>
          </w:rPr>
          <w:fldChar w:fldCharType="begin"/>
        </w:r>
        <w:r>
          <w:rPr>
            <w:noProof/>
            <w:webHidden/>
          </w:rPr>
          <w:instrText xml:space="preserve"> PAGEREF _Toc189393573 \h </w:instrText>
        </w:r>
        <w:r>
          <w:rPr>
            <w:noProof/>
            <w:webHidden/>
          </w:rPr>
        </w:r>
        <w:r>
          <w:rPr>
            <w:noProof/>
            <w:webHidden/>
          </w:rPr>
          <w:fldChar w:fldCharType="separate"/>
        </w:r>
        <w:r w:rsidR="003F0101">
          <w:rPr>
            <w:noProof/>
            <w:webHidden/>
          </w:rPr>
          <w:t>156</w:t>
        </w:r>
        <w:r>
          <w:rPr>
            <w:noProof/>
            <w:webHidden/>
          </w:rPr>
          <w:fldChar w:fldCharType="end"/>
        </w:r>
      </w:hyperlink>
    </w:p>
    <w:p w14:paraId="0A8F8DF6" w14:textId="79A9B2A3"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74" w:history="1">
        <w:r w:rsidRPr="00397B2D">
          <w:rPr>
            <w:rStyle w:val="Hyperlink"/>
            <w:noProof/>
          </w:rPr>
          <w:t>Chapter 18. Dealing with errors in enterprise agreements</w:t>
        </w:r>
        <w:r>
          <w:rPr>
            <w:noProof/>
            <w:webHidden/>
          </w:rPr>
          <w:tab/>
        </w:r>
        <w:r>
          <w:rPr>
            <w:noProof/>
            <w:webHidden/>
          </w:rPr>
          <w:fldChar w:fldCharType="begin"/>
        </w:r>
        <w:r>
          <w:rPr>
            <w:noProof/>
            <w:webHidden/>
          </w:rPr>
          <w:instrText xml:space="preserve"> PAGEREF _Toc189393574 \h </w:instrText>
        </w:r>
        <w:r>
          <w:rPr>
            <w:noProof/>
            <w:webHidden/>
          </w:rPr>
        </w:r>
        <w:r>
          <w:rPr>
            <w:noProof/>
            <w:webHidden/>
          </w:rPr>
          <w:fldChar w:fldCharType="separate"/>
        </w:r>
        <w:r w:rsidR="003F0101">
          <w:rPr>
            <w:noProof/>
            <w:webHidden/>
          </w:rPr>
          <w:t>158</w:t>
        </w:r>
        <w:r>
          <w:rPr>
            <w:noProof/>
            <w:webHidden/>
          </w:rPr>
          <w:fldChar w:fldCharType="end"/>
        </w:r>
      </w:hyperlink>
    </w:p>
    <w:p w14:paraId="4045BFBA" w14:textId="1FEF53A0"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5" w:history="1">
        <w:r w:rsidRPr="00397B2D">
          <w:rPr>
            <w:rStyle w:val="Hyperlink"/>
            <w:noProof/>
          </w:rPr>
          <w:t>18.1 Amendments and intent</w:t>
        </w:r>
        <w:r>
          <w:rPr>
            <w:noProof/>
            <w:webHidden/>
          </w:rPr>
          <w:tab/>
        </w:r>
        <w:r>
          <w:rPr>
            <w:noProof/>
            <w:webHidden/>
          </w:rPr>
          <w:fldChar w:fldCharType="begin"/>
        </w:r>
        <w:r>
          <w:rPr>
            <w:noProof/>
            <w:webHidden/>
          </w:rPr>
          <w:instrText xml:space="preserve"> PAGEREF _Toc189393575 \h </w:instrText>
        </w:r>
        <w:r>
          <w:rPr>
            <w:noProof/>
            <w:webHidden/>
          </w:rPr>
        </w:r>
        <w:r>
          <w:rPr>
            <w:noProof/>
            <w:webHidden/>
          </w:rPr>
          <w:fldChar w:fldCharType="separate"/>
        </w:r>
        <w:r w:rsidR="003F0101">
          <w:rPr>
            <w:noProof/>
            <w:webHidden/>
          </w:rPr>
          <w:t>158</w:t>
        </w:r>
        <w:r>
          <w:rPr>
            <w:noProof/>
            <w:webHidden/>
          </w:rPr>
          <w:fldChar w:fldCharType="end"/>
        </w:r>
      </w:hyperlink>
    </w:p>
    <w:p w14:paraId="4ED92699" w14:textId="19DDE36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6" w:history="1">
        <w:r w:rsidRPr="00397B2D">
          <w:rPr>
            <w:rStyle w:val="Hyperlink"/>
            <w:noProof/>
          </w:rPr>
          <w:t>18.2 Impact and issues</w:t>
        </w:r>
        <w:r>
          <w:rPr>
            <w:noProof/>
            <w:webHidden/>
          </w:rPr>
          <w:tab/>
        </w:r>
        <w:r>
          <w:rPr>
            <w:noProof/>
            <w:webHidden/>
          </w:rPr>
          <w:fldChar w:fldCharType="begin"/>
        </w:r>
        <w:r>
          <w:rPr>
            <w:noProof/>
            <w:webHidden/>
          </w:rPr>
          <w:instrText xml:space="preserve"> PAGEREF _Toc189393576 \h </w:instrText>
        </w:r>
        <w:r>
          <w:rPr>
            <w:noProof/>
            <w:webHidden/>
          </w:rPr>
        </w:r>
        <w:r>
          <w:rPr>
            <w:noProof/>
            <w:webHidden/>
          </w:rPr>
          <w:fldChar w:fldCharType="separate"/>
        </w:r>
        <w:r w:rsidR="003F0101">
          <w:rPr>
            <w:noProof/>
            <w:webHidden/>
          </w:rPr>
          <w:t>159</w:t>
        </w:r>
        <w:r>
          <w:rPr>
            <w:noProof/>
            <w:webHidden/>
          </w:rPr>
          <w:fldChar w:fldCharType="end"/>
        </w:r>
      </w:hyperlink>
    </w:p>
    <w:p w14:paraId="7BAAA83A" w14:textId="2E89BC5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7" w:history="1">
        <w:r w:rsidRPr="00397B2D">
          <w:rPr>
            <w:rStyle w:val="Hyperlink"/>
            <w:noProof/>
          </w:rPr>
          <w:t>18.3 Findings and recommendations</w:t>
        </w:r>
        <w:r>
          <w:rPr>
            <w:noProof/>
            <w:webHidden/>
          </w:rPr>
          <w:tab/>
        </w:r>
        <w:r>
          <w:rPr>
            <w:noProof/>
            <w:webHidden/>
          </w:rPr>
          <w:fldChar w:fldCharType="begin"/>
        </w:r>
        <w:r>
          <w:rPr>
            <w:noProof/>
            <w:webHidden/>
          </w:rPr>
          <w:instrText xml:space="preserve"> PAGEREF _Toc189393577 \h </w:instrText>
        </w:r>
        <w:r>
          <w:rPr>
            <w:noProof/>
            <w:webHidden/>
          </w:rPr>
        </w:r>
        <w:r>
          <w:rPr>
            <w:noProof/>
            <w:webHidden/>
          </w:rPr>
          <w:fldChar w:fldCharType="separate"/>
        </w:r>
        <w:r w:rsidR="003F0101">
          <w:rPr>
            <w:noProof/>
            <w:webHidden/>
          </w:rPr>
          <w:t>161</w:t>
        </w:r>
        <w:r>
          <w:rPr>
            <w:noProof/>
            <w:webHidden/>
          </w:rPr>
          <w:fldChar w:fldCharType="end"/>
        </w:r>
      </w:hyperlink>
    </w:p>
    <w:p w14:paraId="5D04A172" w14:textId="4A756B15"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78" w:history="1">
        <w:r w:rsidRPr="00397B2D">
          <w:rPr>
            <w:rStyle w:val="Hyperlink"/>
            <w:noProof/>
          </w:rPr>
          <w:t>Chapter 19. Varying enterprise agreements to remove employers and their employees</w:t>
        </w:r>
        <w:r>
          <w:rPr>
            <w:noProof/>
            <w:webHidden/>
          </w:rPr>
          <w:tab/>
        </w:r>
        <w:r>
          <w:rPr>
            <w:noProof/>
            <w:webHidden/>
          </w:rPr>
          <w:fldChar w:fldCharType="begin"/>
        </w:r>
        <w:r>
          <w:rPr>
            <w:noProof/>
            <w:webHidden/>
          </w:rPr>
          <w:instrText xml:space="preserve"> PAGEREF _Toc189393578 \h </w:instrText>
        </w:r>
        <w:r>
          <w:rPr>
            <w:noProof/>
            <w:webHidden/>
          </w:rPr>
        </w:r>
        <w:r>
          <w:rPr>
            <w:noProof/>
            <w:webHidden/>
          </w:rPr>
          <w:fldChar w:fldCharType="separate"/>
        </w:r>
        <w:r w:rsidR="003F0101">
          <w:rPr>
            <w:noProof/>
            <w:webHidden/>
          </w:rPr>
          <w:t>162</w:t>
        </w:r>
        <w:r>
          <w:rPr>
            <w:noProof/>
            <w:webHidden/>
          </w:rPr>
          <w:fldChar w:fldCharType="end"/>
        </w:r>
      </w:hyperlink>
    </w:p>
    <w:p w14:paraId="15B26D4E" w14:textId="4E065017"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79" w:history="1">
        <w:r w:rsidRPr="00397B2D">
          <w:rPr>
            <w:rStyle w:val="Hyperlink"/>
            <w:noProof/>
          </w:rPr>
          <w:t>19.1 Amendments and intent</w:t>
        </w:r>
        <w:r>
          <w:rPr>
            <w:noProof/>
            <w:webHidden/>
          </w:rPr>
          <w:tab/>
        </w:r>
        <w:r>
          <w:rPr>
            <w:noProof/>
            <w:webHidden/>
          </w:rPr>
          <w:fldChar w:fldCharType="begin"/>
        </w:r>
        <w:r>
          <w:rPr>
            <w:noProof/>
            <w:webHidden/>
          </w:rPr>
          <w:instrText xml:space="preserve"> PAGEREF _Toc189393579 \h </w:instrText>
        </w:r>
        <w:r>
          <w:rPr>
            <w:noProof/>
            <w:webHidden/>
          </w:rPr>
        </w:r>
        <w:r>
          <w:rPr>
            <w:noProof/>
            <w:webHidden/>
          </w:rPr>
          <w:fldChar w:fldCharType="separate"/>
        </w:r>
        <w:r w:rsidR="003F0101">
          <w:rPr>
            <w:noProof/>
            <w:webHidden/>
          </w:rPr>
          <w:t>162</w:t>
        </w:r>
        <w:r>
          <w:rPr>
            <w:noProof/>
            <w:webHidden/>
          </w:rPr>
          <w:fldChar w:fldCharType="end"/>
        </w:r>
      </w:hyperlink>
    </w:p>
    <w:p w14:paraId="79180979" w14:textId="75F98B1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0" w:history="1">
        <w:r w:rsidRPr="00397B2D">
          <w:rPr>
            <w:rStyle w:val="Hyperlink"/>
            <w:noProof/>
          </w:rPr>
          <w:t>19.2 Impact and issues</w:t>
        </w:r>
        <w:r>
          <w:rPr>
            <w:noProof/>
            <w:webHidden/>
          </w:rPr>
          <w:tab/>
        </w:r>
        <w:r>
          <w:rPr>
            <w:noProof/>
            <w:webHidden/>
          </w:rPr>
          <w:fldChar w:fldCharType="begin"/>
        </w:r>
        <w:r>
          <w:rPr>
            <w:noProof/>
            <w:webHidden/>
          </w:rPr>
          <w:instrText xml:space="preserve"> PAGEREF _Toc189393580 \h </w:instrText>
        </w:r>
        <w:r>
          <w:rPr>
            <w:noProof/>
            <w:webHidden/>
          </w:rPr>
        </w:r>
        <w:r>
          <w:rPr>
            <w:noProof/>
            <w:webHidden/>
          </w:rPr>
          <w:fldChar w:fldCharType="separate"/>
        </w:r>
        <w:r w:rsidR="003F0101">
          <w:rPr>
            <w:noProof/>
            <w:webHidden/>
          </w:rPr>
          <w:t>163</w:t>
        </w:r>
        <w:r>
          <w:rPr>
            <w:noProof/>
            <w:webHidden/>
          </w:rPr>
          <w:fldChar w:fldCharType="end"/>
        </w:r>
      </w:hyperlink>
    </w:p>
    <w:p w14:paraId="2A305361" w14:textId="766620B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1" w:history="1">
        <w:r w:rsidRPr="00397B2D">
          <w:rPr>
            <w:rStyle w:val="Hyperlink"/>
            <w:noProof/>
          </w:rPr>
          <w:t>19.3 Findings and recommendations</w:t>
        </w:r>
        <w:r>
          <w:rPr>
            <w:noProof/>
            <w:webHidden/>
          </w:rPr>
          <w:tab/>
        </w:r>
        <w:r>
          <w:rPr>
            <w:noProof/>
            <w:webHidden/>
          </w:rPr>
          <w:fldChar w:fldCharType="begin"/>
        </w:r>
        <w:r>
          <w:rPr>
            <w:noProof/>
            <w:webHidden/>
          </w:rPr>
          <w:instrText xml:space="preserve"> PAGEREF _Toc189393581 \h </w:instrText>
        </w:r>
        <w:r>
          <w:rPr>
            <w:noProof/>
            <w:webHidden/>
          </w:rPr>
        </w:r>
        <w:r>
          <w:rPr>
            <w:noProof/>
            <w:webHidden/>
          </w:rPr>
          <w:fldChar w:fldCharType="separate"/>
        </w:r>
        <w:r w:rsidR="003F0101">
          <w:rPr>
            <w:noProof/>
            <w:webHidden/>
          </w:rPr>
          <w:t>164</w:t>
        </w:r>
        <w:r>
          <w:rPr>
            <w:noProof/>
            <w:webHidden/>
          </w:rPr>
          <w:fldChar w:fldCharType="end"/>
        </w:r>
      </w:hyperlink>
    </w:p>
    <w:p w14:paraId="1AFB83C9" w14:textId="3E24A5C4"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82" w:history="1">
        <w:r w:rsidRPr="00397B2D">
          <w:rPr>
            <w:rStyle w:val="Hyperlink"/>
            <w:noProof/>
          </w:rPr>
          <w:t>Chapter 20. Termination of agreements</w:t>
        </w:r>
        <w:r>
          <w:rPr>
            <w:noProof/>
            <w:webHidden/>
          </w:rPr>
          <w:tab/>
        </w:r>
        <w:r>
          <w:rPr>
            <w:noProof/>
            <w:webHidden/>
          </w:rPr>
          <w:fldChar w:fldCharType="begin"/>
        </w:r>
        <w:r>
          <w:rPr>
            <w:noProof/>
            <w:webHidden/>
          </w:rPr>
          <w:instrText xml:space="preserve"> PAGEREF _Toc189393582 \h </w:instrText>
        </w:r>
        <w:r>
          <w:rPr>
            <w:noProof/>
            <w:webHidden/>
          </w:rPr>
        </w:r>
        <w:r>
          <w:rPr>
            <w:noProof/>
            <w:webHidden/>
          </w:rPr>
          <w:fldChar w:fldCharType="separate"/>
        </w:r>
        <w:r w:rsidR="003F0101">
          <w:rPr>
            <w:noProof/>
            <w:webHidden/>
          </w:rPr>
          <w:t>165</w:t>
        </w:r>
        <w:r>
          <w:rPr>
            <w:noProof/>
            <w:webHidden/>
          </w:rPr>
          <w:fldChar w:fldCharType="end"/>
        </w:r>
      </w:hyperlink>
    </w:p>
    <w:p w14:paraId="3DFB7DCD" w14:textId="2E05011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3" w:history="1">
        <w:r w:rsidRPr="00397B2D">
          <w:rPr>
            <w:rStyle w:val="Hyperlink"/>
            <w:noProof/>
          </w:rPr>
          <w:t>20.1 Amendments and intent</w:t>
        </w:r>
        <w:r>
          <w:rPr>
            <w:noProof/>
            <w:webHidden/>
          </w:rPr>
          <w:tab/>
        </w:r>
        <w:r>
          <w:rPr>
            <w:noProof/>
            <w:webHidden/>
          </w:rPr>
          <w:fldChar w:fldCharType="begin"/>
        </w:r>
        <w:r>
          <w:rPr>
            <w:noProof/>
            <w:webHidden/>
          </w:rPr>
          <w:instrText xml:space="preserve"> PAGEREF _Toc189393583 \h </w:instrText>
        </w:r>
        <w:r>
          <w:rPr>
            <w:noProof/>
            <w:webHidden/>
          </w:rPr>
        </w:r>
        <w:r>
          <w:rPr>
            <w:noProof/>
            <w:webHidden/>
          </w:rPr>
          <w:fldChar w:fldCharType="separate"/>
        </w:r>
        <w:r w:rsidR="003F0101">
          <w:rPr>
            <w:noProof/>
            <w:webHidden/>
          </w:rPr>
          <w:t>165</w:t>
        </w:r>
        <w:r>
          <w:rPr>
            <w:noProof/>
            <w:webHidden/>
          </w:rPr>
          <w:fldChar w:fldCharType="end"/>
        </w:r>
      </w:hyperlink>
    </w:p>
    <w:p w14:paraId="7415FBC2" w14:textId="0F0417F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4" w:history="1">
        <w:r w:rsidRPr="00397B2D">
          <w:rPr>
            <w:rStyle w:val="Hyperlink"/>
            <w:noProof/>
          </w:rPr>
          <w:t>20.2 Impact and issues</w:t>
        </w:r>
        <w:r>
          <w:rPr>
            <w:noProof/>
            <w:webHidden/>
          </w:rPr>
          <w:tab/>
        </w:r>
        <w:r>
          <w:rPr>
            <w:noProof/>
            <w:webHidden/>
          </w:rPr>
          <w:fldChar w:fldCharType="begin"/>
        </w:r>
        <w:r>
          <w:rPr>
            <w:noProof/>
            <w:webHidden/>
          </w:rPr>
          <w:instrText xml:space="preserve"> PAGEREF _Toc189393584 \h </w:instrText>
        </w:r>
        <w:r>
          <w:rPr>
            <w:noProof/>
            <w:webHidden/>
          </w:rPr>
        </w:r>
        <w:r>
          <w:rPr>
            <w:noProof/>
            <w:webHidden/>
          </w:rPr>
          <w:fldChar w:fldCharType="separate"/>
        </w:r>
        <w:r w:rsidR="003F0101">
          <w:rPr>
            <w:noProof/>
            <w:webHidden/>
          </w:rPr>
          <w:t>168</w:t>
        </w:r>
        <w:r>
          <w:rPr>
            <w:noProof/>
            <w:webHidden/>
          </w:rPr>
          <w:fldChar w:fldCharType="end"/>
        </w:r>
      </w:hyperlink>
    </w:p>
    <w:p w14:paraId="0A683CF6" w14:textId="649F3EB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5" w:history="1">
        <w:r w:rsidRPr="00397B2D">
          <w:rPr>
            <w:rStyle w:val="Hyperlink"/>
            <w:noProof/>
          </w:rPr>
          <w:t>20.3 Findings and recommendations</w:t>
        </w:r>
        <w:r>
          <w:rPr>
            <w:noProof/>
            <w:webHidden/>
          </w:rPr>
          <w:tab/>
        </w:r>
        <w:r>
          <w:rPr>
            <w:noProof/>
            <w:webHidden/>
          </w:rPr>
          <w:fldChar w:fldCharType="begin"/>
        </w:r>
        <w:r>
          <w:rPr>
            <w:noProof/>
            <w:webHidden/>
          </w:rPr>
          <w:instrText xml:space="preserve"> PAGEREF _Toc189393585 \h </w:instrText>
        </w:r>
        <w:r>
          <w:rPr>
            <w:noProof/>
            <w:webHidden/>
          </w:rPr>
        </w:r>
        <w:r>
          <w:rPr>
            <w:noProof/>
            <w:webHidden/>
          </w:rPr>
          <w:fldChar w:fldCharType="separate"/>
        </w:r>
        <w:r w:rsidR="003F0101">
          <w:rPr>
            <w:noProof/>
            <w:webHidden/>
          </w:rPr>
          <w:t>171</w:t>
        </w:r>
        <w:r>
          <w:rPr>
            <w:noProof/>
            <w:webHidden/>
          </w:rPr>
          <w:fldChar w:fldCharType="end"/>
        </w:r>
      </w:hyperlink>
    </w:p>
    <w:p w14:paraId="5BF76A07" w14:textId="5417FFC3"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86" w:history="1">
        <w:r w:rsidRPr="00397B2D">
          <w:rPr>
            <w:rStyle w:val="Hyperlink"/>
            <w:noProof/>
          </w:rPr>
          <w:t>Chapter 21. Sunsetting of ‘zombie’ agreements</w:t>
        </w:r>
        <w:r>
          <w:rPr>
            <w:noProof/>
            <w:webHidden/>
          </w:rPr>
          <w:tab/>
        </w:r>
        <w:r>
          <w:rPr>
            <w:noProof/>
            <w:webHidden/>
          </w:rPr>
          <w:fldChar w:fldCharType="begin"/>
        </w:r>
        <w:r>
          <w:rPr>
            <w:noProof/>
            <w:webHidden/>
          </w:rPr>
          <w:instrText xml:space="preserve"> PAGEREF _Toc189393586 \h </w:instrText>
        </w:r>
        <w:r>
          <w:rPr>
            <w:noProof/>
            <w:webHidden/>
          </w:rPr>
        </w:r>
        <w:r>
          <w:rPr>
            <w:noProof/>
            <w:webHidden/>
          </w:rPr>
          <w:fldChar w:fldCharType="separate"/>
        </w:r>
        <w:r w:rsidR="003F0101">
          <w:rPr>
            <w:noProof/>
            <w:webHidden/>
          </w:rPr>
          <w:t>172</w:t>
        </w:r>
        <w:r>
          <w:rPr>
            <w:noProof/>
            <w:webHidden/>
          </w:rPr>
          <w:fldChar w:fldCharType="end"/>
        </w:r>
      </w:hyperlink>
    </w:p>
    <w:p w14:paraId="3DAB8561" w14:textId="371BC70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7" w:history="1">
        <w:r w:rsidRPr="00397B2D">
          <w:rPr>
            <w:rStyle w:val="Hyperlink"/>
            <w:noProof/>
          </w:rPr>
          <w:t>21.1 Amendments and intent</w:t>
        </w:r>
        <w:r>
          <w:rPr>
            <w:noProof/>
            <w:webHidden/>
          </w:rPr>
          <w:tab/>
        </w:r>
        <w:r>
          <w:rPr>
            <w:noProof/>
            <w:webHidden/>
          </w:rPr>
          <w:fldChar w:fldCharType="begin"/>
        </w:r>
        <w:r>
          <w:rPr>
            <w:noProof/>
            <w:webHidden/>
          </w:rPr>
          <w:instrText xml:space="preserve"> PAGEREF _Toc189393587 \h </w:instrText>
        </w:r>
        <w:r>
          <w:rPr>
            <w:noProof/>
            <w:webHidden/>
          </w:rPr>
        </w:r>
        <w:r>
          <w:rPr>
            <w:noProof/>
            <w:webHidden/>
          </w:rPr>
          <w:fldChar w:fldCharType="separate"/>
        </w:r>
        <w:r w:rsidR="003F0101">
          <w:rPr>
            <w:noProof/>
            <w:webHidden/>
          </w:rPr>
          <w:t>172</w:t>
        </w:r>
        <w:r>
          <w:rPr>
            <w:noProof/>
            <w:webHidden/>
          </w:rPr>
          <w:fldChar w:fldCharType="end"/>
        </w:r>
      </w:hyperlink>
    </w:p>
    <w:p w14:paraId="7828B739" w14:textId="5B82E62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8" w:history="1">
        <w:r w:rsidRPr="00397B2D">
          <w:rPr>
            <w:rStyle w:val="Hyperlink"/>
            <w:noProof/>
          </w:rPr>
          <w:t>21.2 Impact and issues</w:t>
        </w:r>
        <w:r>
          <w:rPr>
            <w:noProof/>
            <w:webHidden/>
          </w:rPr>
          <w:tab/>
        </w:r>
        <w:r>
          <w:rPr>
            <w:noProof/>
            <w:webHidden/>
          </w:rPr>
          <w:fldChar w:fldCharType="begin"/>
        </w:r>
        <w:r>
          <w:rPr>
            <w:noProof/>
            <w:webHidden/>
          </w:rPr>
          <w:instrText xml:space="preserve"> PAGEREF _Toc189393588 \h </w:instrText>
        </w:r>
        <w:r>
          <w:rPr>
            <w:noProof/>
            <w:webHidden/>
          </w:rPr>
        </w:r>
        <w:r>
          <w:rPr>
            <w:noProof/>
            <w:webHidden/>
          </w:rPr>
          <w:fldChar w:fldCharType="separate"/>
        </w:r>
        <w:r w:rsidR="003F0101">
          <w:rPr>
            <w:noProof/>
            <w:webHidden/>
          </w:rPr>
          <w:t>173</w:t>
        </w:r>
        <w:r>
          <w:rPr>
            <w:noProof/>
            <w:webHidden/>
          </w:rPr>
          <w:fldChar w:fldCharType="end"/>
        </w:r>
      </w:hyperlink>
    </w:p>
    <w:p w14:paraId="4D09EF81" w14:textId="6E3A94E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89" w:history="1">
        <w:r w:rsidRPr="00397B2D">
          <w:rPr>
            <w:rStyle w:val="Hyperlink"/>
            <w:noProof/>
          </w:rPr>
          <w:t>21.3 Findings and recommendations</w:t>
        </w:r>
        <w:r>
          <w:rPr>
            <w:noProof/>
            <w:webHidden/>
          </w:rPr>
          <w:tab/>
        </w:r>
        <w:r>
          <w:rPr>
            <w:noProof/>
            <w:webHidden/>
          </w:rPr>
          <w:fldChar w:fldCharType="begin"/>
        </w:r>
        <w:r>
          <w:rPr>
            <w:noProof/>
            <w:webHidden/>
          </w:rPr>
          <w:instrText xml:space="preserve"> PAGEREF _Toc189393589 \h </w:instrText>
        </w:r>
        <w:r>
          <w:rPr>
            <w:noProof/>
            <w:webHidden/>
          </w:rPr>
        </w:r>
        <w:r>
          <w:rPr>
            <w:noProof/>
            <w:webHidden/>
          </w:rPr>
          <w:fldChar w:fldCharType="separate"/>
        </w:r>
        <w:r w:rsidR="003F0101">
          <w:rPr>
            <w:noProof/>
            <w:webHidden/>
          </w:rPr>
          <w:t>177</w:t>
        </w:r>
        <w:r>
          <w:rPr>
            <w:noProof/>
            <w:webHidden/>
          </w:rPr>
          <w:fldChar w:fldCharType="end"/>
        </w:r>
      </w:hyperlink>
    </w:p>
    <w:p w14:paraId="113613FD" w14:textId="6AD9B25E" w:rsidR="009F5831" w:rsidRDefault="009F5831">
      <w:pPr>
        <w:pStyle w:val="TOC1"/>
        <w:rPr>
          <w:rFonts w:eastAsiaTheme="minorEastAsia"/>
          <w:noProof/>
          <w:kern w:val="2"/>
          <w:sz w:val="24"/>
          <w:szCs w:val="24"/>
          <w:lang w:eastAsia="en-AU"/>
          <w14:ligatures w14:val="standardContextual"/>
        </w:rPr>
      </w:pPr>
      <w:hyperlink w:anchor="_Toc189393590" w:history="1">
        <w:r w:rsidRPr="00397B2D">
          <w:rPr>
            <w:rStyle w:val="Hyperlink"/>
            <w:noProof/>
          </w:rPr>
          <w:t>Part 3. Job security and gender equality</w:t>
        </w:r>
        <w:r>
          <w:rPr>
            <w:noProof/>
            <w:webHidden/>
          </w:rPr>
          <w:tab/>
        </w:r>
        <w:r>
          <w:rPr>
            <w:noProof/>
            <w:webHidden/>
          </w:rPr>
          <w:fldChar w:fldCharType="begin"/>
        </w:r>
        <w:r>
          <w:rPr>
            <w:noProof/>
            <w:webHidden/>
          </w:rPr>
          <w:instrText xml:space="preserve"> PAGEREF _Toc189393590 \h </w:instrText>
        </w:r>
        <w:r>
          <w:rPr>
            <w:noProof/>
            <w:webHidden/>
          </w:rPr>
        </w:r>
        <w:r>
          <w:rPr>
            <w:noProof/>
            <w:webHidden/>
          </w:rPr>
          <w:fldChar w:fldCharType="separate"/>
        </w:r>
        <w:r w:rsidR="003F0101">
          <w:rPr>
            <w:noProof/>
            <w:webHidden/>
          </w:rPr>
          <w:t>179</w:t>
        </w:r>
        <w:r>
          <w:rPr>
            <w:noProof/>
            <w:webHidden/>
          </w:rPr>
          <w:fldChar w:fldCharType="end"/>
        </w:r>
      </w:hyperlink>
    </w:p>
    <w:p w14:paraId="62A98881" w14:textId="64E52A82"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91" w:history="1">
        <w:r w:rsidRPr="00397B2D">
          <w:rPr>
            <w:rStyle w:val="Hyperlink"/>
            <w:noProof/>
          </w:rPr>
          <w:t>Chapter 22. Context for the job security and gender equality amendments</w:t>
        </w:r>
        <w:r>
          <w:rPr>
            <w:noProof/>
            <w:webHidden/>
          </w:rPr>
          <w:tab/>
        </w:r>
        <w:r>
          <w:rPr>
            <w:noProof/>
            <w:webHidden/>
          </w:rPr>
          <w:fldChar w:fldCharType="begin"/>
        </w:r>
        <w:r>
          <w:rPr>
            <w:noProof/>
            <w:webHidden/>
          </w:rPr>
          <w:instrText xml:space="preserve"> PAGEREF _Toc189393591 \h </w:instrText>
        </w:r>
        <w:r>
          <w:rPr>
            <w:noProof/>
            <w:webHidden/>
          </w:rPr>
        </w:r>
        <w:r>
          <w:rPr>
            <w:noProof/>
            <w:webHidden/>
          </w:rPr>
          <w:fldChar w:fldCharType="separate"/>
        </w:r>
        <w:r w:rsidR="003F0101">
          <w:rPr>
            <w:noProof/>
            <w:webHidden/>
          </w:rPr>
          <w:t>180</w:t>
        </w:r>
        <w:r>
          <w:rPr>
            <w:noProof/>
            <w:webHidden/>
          </w:rPr>
          <w:fldChar w:fldCharType="end"/>
        </w:r>
      </w:hyperlink>
    </w:p>
    <w:p w14:paraId="1CE6B487" w14:textId="007BD76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2" w:history="1">
        <w:r w:rsidRPr="00397B2D">
          <w:rPr>
            <w:rStyle w:val="Hyperlink"/>
            <w:noProof/>
          </w:rPr>
          <w:t>22.1 Historical context</w:t>
        </w:r>
        <w:r>
          <w:rPr>
            <w:noProof/>
            <w:webHidden/>
          </w:rPr>
          <w:tab/>
        </w:r>
        <w:r>
          <w:rPr>
            <w:noProof/>
            <w:webHidden/>
          </w:rPr>
          <w:fldChar w:fldCharType="begin"/>
        </w:r>
        <w:r>
          <w:rPr>
            <w:noProof/>
            <w:webHidden/>
          </w:rPr>
          <w:instrText xml:space="preserve"> PAGEREF _Toc189393592 \h </w:instrText>
        </w:r>
        <w:r>
          <w:rPr>
            <w:noProof/>
            <w:webHidden/>
          </w:rPr>
        </w:r>
        <w:r>
          <w:rPr>
            <w:noProof/>
            <w:webHidden/>
          </w:rPr>
          <w:fldChar w:fldCharType="separate"/>
        </w:r>
        <w:r w:rsidR="003F0101">
          <w:rPr>
            <w:noProof/>
            <w:webHidden/>
          </w:rPr>
          <w:t>180</w:t>
        </w:r>
        <w:r>
          <w:rPr>
            <w:noProof/>
            <w:webHidden/>
          </w:rPr>
          <w:fldChar w:fldCharType="end"/>
        </w:r>
      </w:hyperlink>
    </w:p>
    <w:p w14:paraId="59A85597" w14:textId="008BE92B"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3" w:history="1">
        <w:r w:rsidRPr="00397B2D">
          <w:rPr>
            <w:rStyle w:val="Hyperlink"/>
            <w:noProof/>
          </w:rPr>
          <w:t>22.2 Gender and employment</w:t>
        </w:r>
        <w:r>
          <w:rPr>
            <w:noProof/>
            <w:webHidden/>
          </w:rPr>
          <w:tab/>
        </w:r>
        <w:r>
          <w:rPr>
            <w:noProof/>
            <w:webHidden/>
          </w:rPr>
          <w:fldChar w:fldCharType="begin"/>
        </w:r>
        <w:r>
          <w:rPr>
            <w:noProof/>
            <w:webHidden/>
          </w:rPr>
          <w:instrText xml:space="preserve"> PAGEREF _Toc189393593 \h </w:instrText>
        </w:r>
        <w:r>
          <w:rPr>
            <w:noProof/>
            <w:webHidden/>
          </w:rPr>
        </w:r>
        <w:r>
          <w:rPr>
            <w:noProof/>
            <w:webHidden/>
          </w:rPr>
          <w:fldChar w:fldCharType="separate"/>
        </w:r>
        <w:r w:rsidR="003F0101">
          <w:rPr>
            <w:noProof/>
            <w:webHidden/>
          </w:rPr>
          <w:t>181</w:t>
        </w:r>
        <w:r>
          <w:rPr>
            <w:noProof/>
            <w:webHidden/>
          </w:rPr>
          <w:fldChar w:fldCharType="end"/>
        </w:r>
      </w:hyperlink>
    </w:p>
    <w:p w14:paraId="29E864B0" w14:textId="57F067D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4" w:history="1">
        <w:r w:rsidRPr="00397B2D">
          <w:rPr>
            <w:rStyle w:val="Hyperlink"/>
            <w:noProof/>
          </w:rPr>
          <w:t>22.3 The gender wage gap</w:t>
        </w:r>
        <w:r>
          <w:rPr>
            <w:noProof/>
            <w:webHidden/>
          </w:rPr>
          <w:tab/>
        </w:r>
        <w:r>
          <w:rPr>
            <w:noProof/>
            <w:webHidden/>
          </w:rPr>
          <w:fldChar w:fldCharType="begin"/>
        </w:r>
        <w:r>
          <w:rPr>
            <w:noProof/>
            <w:webHidden/>
          </w:rPr>
          <w:instrText xml:space="preserve"> PAGEREF _Toc189393594 \h </w:instrText>
        </w:r>
        <w:r>
          <w:rPr>
            <w:noProof/>
            <w:webHidden/>
          </w:rPr>
        </w:r>
        <w:r>
          <w:rPr>
            <w:noProof/>
            <w:webHidden/>
          </w:rPr>
          <w:fldChar w:fldCharType="separate"/>
        </w:r>
        <w:r w:rsidR="003F0101">
          <w:rPr>
            <w:noProof/>
            <w:webHidden/>
          </w:rPr>
          <w:t>190</w:t>
        </w:r>
        <w:r>
          <w:rPr>
            <w:noProof/>
            <w:webHidden/>
          </w:rPr>
          <w:fldChar w:fldCharType="end"/>
        </w:r>
      </w:hyperlink>
    </w:p>
    <w:p w14:paraId="536B7DD1" w14:textId="2E8E923B"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5" w:history="1">
        <w:r w:rsidRPr="00397B2D">
          <w:rPr>
            <w:rStyle w:val="Hyperlink"/>
            <w:noProof/>
          </w:rPr>
          <w:t>22.4 Summary and conclusion</w:t>
        </w:r>
        <w:r>
          <w:rPr>
            <w:noProof/>
            <w:webHidden/>
          </w:rPr>
          <w:tab/>
        </w:r>
        <w:r>
          <w:rPr>
            <w:noProof/>
            <w:webHidden/>
          </w:rPr>
          <w:fldChar w:fldCharType="begin"/>
        </w:r>
        <w:r>
          <w:rPr>
            <w:noProof/>
            <w:webHidden/>
          </w:rPr>
          <w:instrText xml:space="preserve"> PAGEREF _Toc189393595 \h </w:instrText>
        </w:r>
        <w:r>
          <w:rPr>
            <w:noProof/>
            <w:webHidden/>
          </w:rPr>
        </w:r>
        <w:r>
          <w:rPr>
            <w:noProof/>
            <w:webHidden/>
          </w:rPr>
          <w:fldChar w:fldCharType="separate"/>
        </w:r>
        <w:r w:rsidR="003F0101">
          <w:rPr>
            <w:noProof/>
            <w:webHidden/>
          </w:rPr>
          <w:t>194</w:t>
        </w:r>
        <w:r>
          <w:rPr>
            <w:noProof/>
            <w:webHidden/>
          </w:rPr>
          <w:fldChar w:fldCharType="end"/>
        </w:r>
      </w:hyperlink>
    </w:p>
    <w:p w14:paraId="5DC69882" w14:textId="63C62E78"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596" w:history="1">
        <w:r w:rsidRPr="00397B2D">
          <w:rPr>
            <w:rStyle w:val="Hyperlink"/>
            <w:noProof/>
          </w:rPr>
          <w:t>Chapter 23. Paid family and domestic violence leave</w:t>
        </w:r>
        <w:r>
          <w:rPr>
            <w:noProof/>
            <w:webHidden/>
          </w:rPr>
          <w:tab/>
        </w:r>
        <w:r>
          <w:rPr>
            <w:noProof/>
            <w:webHidden/>
          </w:rPr>
          <w:fldChar w:fldCharType="begin"/>
        </w:r>
        <w:r>
          <w:rPr>
            <w:noProof/>
            <w:webHidden/>
          </w:rPr>
          <w:instrText xml:space="preserve"> PAGEREF _Toc189393596 \h </w:instrText>
        </w:r>
        <w:r>
          <w:rPr>
            <w:noProof/>
            <w:webHidden/>
          </w:rPr>
        </w:r>
        <w:r>
          <w:rPr>
            <w:noProof/>
            <w:webHidden/>
          </w:rPr>
          <w:fldChar w:fldCharType="separate"/>
        </w:r>
        <w:r w:rsidR="003F0101">
          <w:rPr>
            <w:noProof/>
            <w:webHidden/>
          </w:rPr>
          <w:t>196</w:t>
        </w:r>
        <w:r>
          <w:rPr>
            <w:noProof/>
            <w:webHidden/>
          </w:rPr>
          <w:fldChar w:fldCharType="end"/>
        </w:r>
      </w:hyperlink>
    </w:p>
    <w:p w14:paraId="26D5AE69" w14:textId="02706823"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7" w:history="1">
        <w:r w:rsidRPr="00397B2D">
          <w:rPr>
            <w:rStyle w:val="Hyperlink"/>
            <w:noProof/>
          </w:rPr>
          <w:t>23.1 Amendments and intent</w:t>
        </w:r>
        <w:r>
          <w:rPr>
            <w:noProof/>
            <w:webHidden/>
          </w:rPr>
          <w:tab/>
        </w:r>
        <w:r>
          <w:rPr>
            <w:noProof/>
            <w:webHidden/>
          </w:rPr>
          <w:fldChar w:fldCharType="begin"/>
        </w:r>
        <w:r>
          <w:rPr>
            <w:noProof/>
            <w:webHidden/>
          </w:rPr>
          <w:instrText xml:space="preserve"> PAGEREF _Toc189393597 \h </w:instrText>
        </w:r>
        <w:r>
          <w:rPr>
            <w:noProof/>
            <w:webHidden/>
          </w:rPr>
        </w:r>
        <w:r>
          <w:rPr>
            <w:noProof/>
            <w:webHidden/>
          </w:rPr>
          <w:fldChar w:fldCharType="separate"/>
        </w:r>
        <w:r w:rsidR="003F0101">
          <w:rPr>
            <w:noProof/>
            <w:webHidden/>
          </w:rPr>
          <w:t>196</w:t>
        </w:r>
        <w:r>
          <w:rPr>
            <w:noProof/>
            <w:webHidden/>
          </w:rPr>
          <w:fldChar w:fldCharType="end"/>
        </w:r>
      </w:hyperlink>
    </w:p>
    <w:p w14:paraId="6E90BD4C" w14:textId="195AFDC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8" w:history="1">
        <w:r w:rsidRPr="00397B2D">
          <w:rPr>
            <w:rStyle w:val="Hyperlink"/>
            <w:noProof/>
          </w:rPr>
          <w:t>23.2 Impact and issues</w:t>
        </w:r>
        <w:r>
          <w:rPr>
            <w:noProof/>
            <w:webHidden/>
          </w:rPr>
          <w:tab/>
        </w:r>
        <w:r>
          <w:rPr>
            <w:noProof/>
            <w:webHidden/>
          </w:rPr>
          <w:fldChar w:fldCharType="begin"/>
        </w:r>
        <w:r>
          <w:rPr>
            <w:noProof/>
            <w:webHidden/>
          </w:rPr>
          <w:instrText xml:space="preserve"> PAGEREF _Toc189393598 \h </w:instrText>
        </w:r>
        <w:r>
          <w:rPr>
            <w:noProof/>
            <w:webHidden/>
          </w:rPr>
        </w:r>
        <w:r>
          <w:rPr>
            <w:noProof/>
            <w:webHidden/>
          </w:rPr>
          <w:fldChar w:fldCharType="separate"/>
        </w:r>
        <w:r w:rsidR="003F0101">
          <w:rPr>
            <w:noProof/>
            <w:webHidden/>
          </w:rPr>
          <w:t>197</w:t>
        </w:r>
        <w:r>
          <w:rPr>
            <w:noProof/>
            <w:webHidden/>
          </w:rPr>
          <w:fldChar w:fldCharType="end"/>
        </w:r>
      </w:hyperlink>
    </w:p>
    <w:p w14:paraId="41BAED91" w14:textId="4CD1FB34"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599" w:history="1">
        <w:r w:rsidRPr="00397B2D">
          <w:rPr>
            <w:rStyle w:val="Hyperlink"/>
            <w:noProof/>
          </w:rPr>
          <w:t>23.3 Findings and recommendations</w:t>
        </w:r>
        <w:r>
          <w:rPr>
            <w:noProof/>
            <w:webHidden/>
          </w:rPr>
          <w:tab/>
        </w:r>
        <w:r>
          <w:rPr>
            <w:noProof/>
            <w:webHidden/>
          </w:rPr>
          <w:fldChar w:fldCharType="begin"/>
        </w:r>
        <w:r>
          <w:rPr>
            <w:noProof/>
            <w:webHidden/>
          </w:rPr>
          <w:instrText xml:space="preserve"> PAGEREF _Toc189393599 \h </w:instrText>
        </w:r>
        <w:r>
          <w:rPr>
            <w:noProof/>
            <w:webHidden/>
          </w:rPr>
        </w:r>
        <w:r>
          <w:rPr>
            <w:noProof/>
            <w:webHidden/>
          </w:rPr>
          <w:fldChar w:fldCharType="separate"/>
        </w:r>
        <w:r w:rsidR="003F0101">
          <w:rPr>
            <w:noProof/>
            <w:webHidden/>
          </w:rPr>
          <w:t>198</w:t>
        </w:r>
        <w:r>
          <w:rPr>
            <w:noProof/>
            <w:webHidden/>
          </w:rPr>
          <w:fldChar w:fldCharType="end"/>
        </w:r>
      </w:hyperlink>
    </w:p>
    <w:p w14:paraId="3B38AF50" w14:textId="1FF0CA4E"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00" w:history="1">
        <w:r w:rsidRPr="00397B2D">
          <w:rPr>
            <w:rStyle w:val="Hyperlink"/>
            <w:noProof/>
          </w:rPr>
          <w:t>Chapter 24. Objects of the Fair Work Act</w:t>
        </w:r>
        <w:r>
          <w:rPr>
            <w:noProof/>
            <w:webHidden/>
          </w:rPr>
          <w:tab/>
        </w:r>
        <w:r>
          <w:rPr>
            <w:noProof/>
            <w:webHidden/>
          </w:rPr>
          <w:fldChar w:fldCharType="begin"/>
        </w:r>
        <w:r>
          <w:rPr>
            <w:noProof/>
            <w:webHidden/>
          </w:rPr>
          <w:instrText xml:space="preserve"> PAGEREF _Toc189393600 \h </w:instrText>
        </w:r>
        <w:r>
          <w:rPr>
            <w:noProof/>
            <w:webHidden/>
          </w:rPr>
        </w:r>
        <w:r>
          <w:rPr>
            <w:noProof/>
            <w:webHidden/>
          </w:rPr>
          <w:fldChar w:fldCharType="separate"/>
        </w:r>
        <w:r w:rsidR="003F0101">
          <w:rPr>
            <w:noProof/>
            <w:webHidden/>
          </w:rPr>
          <w:t>199</w:t>
        </w:r>
        <w:r>
          <w:rPr>
            <w:noProof/>
            <w:webHidden/>
          </w:rPr>
          <w:fldChar w:fldCharType="end"/>
        </w:r>
      </w:hyperlink>
    </w:p>
    <w:p w14:paraId="08AA6F86" w14:textId="219FA617"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1" w:history="1">
        <w:r w:rsidRPr="00397B2D">
          <w:rPr>
            <w:rStyle w:val="Hyperlink"/>
            <w:noProof/>
          </w:rPr>
          <w:t>24.1 Amendments and intent</w:t>
        </w:r>
        <w:r>
          <w:rPr>
            <w:noProof/>
            <w:webHidden/>
          </w:rPr>
          <w:tab/>
        </w:r>
        <w:r>
          <w:rPr>
            <w:noProof/>
            <w:webHidden/>
          </w:rPr>
          <w:fldChar w:fldCharType="begin"/>
        </w:r>
        <w:r>
          <w:rPr>
            <w:noProof/>
            <w:webHidden/>
          </w:rPr>
          <w:instrText xml:space="preserve"> PAGEREF _Toc189393601 \h </w:instrText>
        </w:r>
        <w:r>
          <w:rPr>
            <w:noProof/>
            <w:webHidden/>
          </w:rPr>
        </w:r>
        <w:r>
          <w:rPr>
            <w:noProof/>
            <w:webHidden/>
          </w:rPr>
          <w:fldChar w:fldCharType="separate"/>
        </w:r>
        <w:r w:rsidR="003F0101">
          <w:rPr>
            <w:noProof/>
            <w:webHidden/>
          </w:rPr>
          <w:t>199</w:t>
        </w:r>
        <w:r>
          <w:rPr>
            <w:noProof/>
            <w:webHidden/>
          </w:rPr>
          <w:fldChar w:fldCharType="end"/>
        </w:r>
      </w:hyperlink>
    </w:p>
    <w:p w14:paraId="0D852AE5" w14:textId="74B7354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2" w:history="1">
        <w:r w:rsidRPr="00397B2D">
          <w:rPr>
            <w:rStyle w:val="Hyperlink"/>
            <w:noProof/>
          </w:rPr>
          <w:t>24.2 Impact and issues</w:t>
        </w:r>
        <w:r>
          <w:rPr>
            <w:noProof/>
            <w:webHidden/>
          </w:rPr>
          <w:tab/>
        </w:r>
        <w:r>
          <w:rPr>
            <w:noProof/>
            <w:webHidden/>
          </w:rPr>
          <w:fldChar w:fldCharType="begin"/>
        </w:r>
        <w:r>
          <w:rPr>
            <w:noProof/>
            <w:webHidden/>
          </w:rPr>
          <w:instrText xml:space="preserve"> PAGEREF _Toc189393602 \h </w:instrText>
        </w:r>
        <w:r>
          <w:rPr>
            <w:noProof/>
            <w:webHidden/>
          </w:rPr>
        </w:r>
        <w:r>
          <w:rPr>
            <w:noProof/>
            <w:webHidden/>
          </w:rPr>
          <w:fldChar w:fldCharType="separate"/>
        </w:r>
        <w:r w:rsidR="003F0101">
          <w:rPr>
            <w:noProof/>
            <w:webHidden/>
          </w:rPr>
          <w:t>200</w:t>
        </w:r>
        <w:r>
          <w:rPr>
            <w:noProof/>
            <w:webHidden/>
          </w:rPr>
          <w:fldChar w:fldCharType="end"/>
        </w:r>
      </w:hyperlink>
    </w:p>
    <w:p w14:paraId="48CB440B" w14:textId="0CB79DF4"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3" w:history="1">
        <w:r w:rsidRPr="00397B2D">
          <w:rPr>
            <w:rStyle w:val="Hyperlink"/>
            <w:noProof/>
          </w:rPr>
          <w:t>24.3 Findings and recommendations</w:t>
        </w:r>
        <w:r>
          <w:rPr>
            <w:noProof/>
            <w:webHidden/>
          </w:rPr>
          <w:tab/>
        </w:r>
        <w:r>
          <w:rPr>
            <w:noProof/>
            <w:webHidden/>
          </w:rPr>
          <w:fldChar w:fldCharType="begin"/>
        </w:r>
        <w:r>
          <w:rPr>
            <w:noProof/>
            <w:webHidden/>
          </w:rPr>
          <w:instrText xml:space="preserve"> PAGEREF _Toc189393603 \h </w:instrText>
        </w:r>
        <w:r>
          <w:rPr>
            <w:noProof/>
            <w:webHidden/>
          </w:rPr>
        </w:r>
        <w:r>
          <w:rPr>
            <w:noProof/>
            <w:webHidden/>
          </w:rPr>
          <w:fldChar w:fldCharType="separate"/>
        </w:r>
        <w:r w:rsidR="003F0101">
          <w:rPr>
            <w:noProof/>
            <w:webHidden/>
          </w:rPr>
          <w:t>204</w:t>
        </w:r>
        <w:r>
          <w:rPr>
            <w:noProof/>
            <w:webHidden/>
          </w:rPr>
          <w:fldChar w:fldCharType="end"/>
        </w:r>
      </w:hyperlink>
    </w:p>
    <w:p w14:paraId="38FE4452" w14:textId="7C24D26B"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04" w:history="1">
        <w:r w:rsidRPr="00397B2D">
          <w:rPr>
            <w:rStyle w:val="Hyperlink"/>
            <w:noProof/>
          </w:rPr>
          <w:t>Chapter 25. Equal remuneration</w:t>
        </w:r>
        <w:r>
          <w:rPr>
            <w:noProof/>
            <w:webHidden/>
          </w:rPr>
          <w:tab/>
        </w:r>
        <w:r>
          <w:rPr>
            <w:noProof/>
            <w:webHidden/>
          </w:rPr>
          <w:fldChar w:fldCharType="begin"/>
        </w:r>
        <w:r>
          <w:rPr>
            <w:noProof/>
            <w:webHidden/>
          </w:rPr>
          <w:instrText xml:space="preserve"> PAGEREF _Toc189393604 \h </w:instrText>
        </w:r>
        <w:r>
          <w:rPr>
            <w:noProof/>
            <w:webHidden/>
          </w:rPr>
        </w:r>
        <w:r>
          <w:rPr>
            <w:noProof/>
            <w:webHidden/>
          </w:rPr>
          <w:fldChar w:fldCharType="separate"/>
        </w:r>
        <w:r w:rsidR="003F0101">
          <w:rPr>
            <w:noProof/>
            <w:webHidden/>
          </w:rPr>
          <w:t>205</w:t>
        </w:r>
        <w:r>
          <w:rPr>
            <w:noProof/>
            <w:webHidden/>
          </w:rPr>
          <w:fldChar w:fldCharType="end"/>
        </w:r>
      </w:hyperlink>
    </w:p>
    <w:p w14:paraId="0D8FCDF7" w14:textId="1886216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5" w:history="1">
        <w:r w:rsidRPr="00397B2D">
          <w:rPr>
            <w:rStyle w:val="Hyperlink"/>
            <w:noProof/>
          </w:rPr>
          <w:t>25.1 Amendments and intent</w:t>
        </w:r>
        <w:r>
          <w:rPr>
            <w:noProof/>
            <w:webHidden/>
          </w:rPr>
          <w:tab/>
        </w:r>
        <w:r>
          <w:rPr>
            <w:noProof/>
            <w:webHidden/>
          </w:rPr>
          <w:fldChar w:fldCharType="begin"/>
        </w:r>
        <w:r>
          <w:rPr>
            <w:noProof/>
            <w:webHidden/>
          </w:rPr>
          <w:instrText xml:space="preserve"> PAGEREF _Toc189393605 \h </w:instrText>
        </w:r>
        <w:r>
          <w:rPr>
            <w:noProof/>
            <w:webHidden/>
          </w:rPr>
        </w:r>
        <w:r>
          <w:rPr>
            <w:noProof/>
            <w:webHidden/>
          </w:rPr>
          <w:fldChar w:fldCharType="separate"/>
        </w:r>
        <w:r w:rsidR="003F0101">
          <w:rPr>
            <w:noProof/>
            <w:webHidden/>
          </w:rPr>
          <w:t>205</w:t>
        </w:r>
        <w:r>
          <w:rPr>
            <w:noProof/>
            <w:webHidden/>
          </w:rPr>
          <w:fldChar w:fldCharType="end"/>
        </w:r>
      </w:hyperlink>
    </w:p>
    <w:p w14:paraId="60DD3DD7" w14:textId="31F3E420"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6" w:history="1">
        <w:r w:rsidRPr="00397B2D">
          <w:rPr>
            <w:rStyle w:val="Hyperlink"/>
            <w:noProof/>
          </w:rPr>
          <w:t>25.2 Impact and issues</w:t>
        </w:r>
        <w:r>
          <w:rPr>
            <w:noProof/>
            <w:webHidden/>
          </w:rPr>
          <w:tab/>
        </w:r>
        <w:r>
          <w:rPr>
            <w:noProof/>
            <w:webHidden/>
          </w:rPr>
          <w:fldChar w:fldCharType="begin"/>
        </w:r>
        <w:r>
          <w:rPr>
            <w:noProof/>
            <w:webHidden/>
          </w:rPr>
          <w:instrText xml:space="preserve"> PAGEREF _Toc189393606 \h </w:instrText>
        </w:r>
        <w:r>
          <w:rPr>
            <w:noProof/>
            <w:webHidden/>
          </w:rPr>
        </w:r>
        <w:r>
          <w:rPr>
            <w:noProof/>
            <w:webHidden/>
          </w:rPr>
          <w:fldChar w:fldCharType="separate"/>
        </w:r>
        <w:r w:rsidR="003F0101">
          <w:rPr>
            <w:noProof/>
            <w:webHidden/>
          </w:rPr>
          <w:t>207</w:t>
        </w:r>
        <w:r>
          <w:rPr>
            <w:noProof/>
            <w:webHidden/>
          </w:rPr>
          <w:fldChar w:fldCharType="end"/>
        </w:r>
      </w:hyperlink>
    </w:p>
    <w:p w14:paraId="229A5B64" w14:textId="71F1A63F"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7" w:history="1">
        <w:r w:rsidRPr="00397B2D">
          <w:rPr>
            <w:rStyle w:val="Hyperlink"/>
            <w:noProof/>
          </w:rPr>
          <w:t>25.3 Findings and recommendations</w:t>
        </w:r>
        <w:r>
          <w:rPr>
            <w:noProof/>
            <w:webHidden/>
          </w:rPr>
          <w:tab/>
        </w:r>
        <w:r>
          <w:rPr>
            <w:noProof/>
            <w:webHidden/>
          </w:rPr>
          <w:fldChar w:fldCharType="begin"/>
        </w:r>
        <w:r>
          <w:rPr>
            <w:noProof/>
            <w:webHidden/>
          </w:rPr>
          <w:instrText xml:space="preserve"> PAGEREF _Toc189393607 \h </w:instrText>
        </w:r>
        <w:r>
          <w:rPr>
            <w:noProof/>
            <w:webHidden/>
          </w:rPr>
        </w:r>
        <w:r>
          <w:rPr>
            <w:noProof/>
            <w:webHidden/>
          </w:rPr>
          <w:fldChar w:fldCharType="separate"/>
        </w:r>
        <w:r w:rsidR="003F0101">
          <w:rPr>
            <w:noProof/>
            <w:webHidden/>
          </w:rPr>
          <w:t>210</w:t>
        </w:r>
        <w:r>
          <w:rPr>
            <w:noProof/>
            <w:webHidden/>
          </w:rPr>
          <w:fldChar w:fldCharType="end"/>
        </w:r>
      </w:hyperlink>
    </w:p>
    <w:p w14:paraId="16B0CF97" w14:textId="7CE54284"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08" w:history="1">
        <w:r w:rsidRPr="00397B2D">
          <w:rPr>
            <w:rStyle w:val="Hyperlink"/>
            <w:noProof/>
          </w:rPr>
          <w:t>Chapter 26. Expert panels</w:t>
        </w:r>
        <w:r>
          <w:rPr>
            <w:noProof/>
            <w:webHidden/>
          </w:rPr>
          <w:tab/>
        </w:r>
        <w:r>
          <w:rPr>
            <w:noProof/>
            <w:webHidden/>
          </w:rPr>
          <w:fldChar w:fldCharType="begin"/>
        </w:r>
        <w:r>
          <w:rPr>
            <w:noProof/>
            <w:webHidden/>
          </w:rPr>
          <w:instrText xml:space="preserve"> PAGEREF _Toc189393608 \h </w:instrText>
        </w:r>
        <w:r>
          <w:rPr>
            <w:noProof/>
            <w:webHidden/>
          </w:rPr>
        </w:r>
        <w:r>
          <w:rPr>
            <w:noProof/>
            <w:webHidden/>
          </w:rPr>
          <w:fldChar w:fldCharType="separate"/>
        </w:r>
        <w:r w:rsidR="003F0101">
          <w:rPr>
            <w:noProof/>
            <w:webHidden/>
          </w:rPr>
          <w:t>213</w:t>
        </w:r>
        <w:r>
          <w:rPr>
            <w:noProof/>
            <w:webHidden/>
          </w:rPr>
          <w:fldChar w:fldCharType="end"/>
        </w:r>
      </w:hyperlink>
    </w:p>
    <w:p w14:paraId="1818998B" w14:textId="6312EE1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09" w:history="1">
        <w:r w:rsidRPr="00397B2D">
          <w:rPr>
            <w:rStyle w:val="Hyperlink"/>
            <w:noProof/>
          </w:rPr>
          <w:t>26.1 Amendments and intent</w:t>
        </w:r>
        <w:r>
          <w:rPr>
            <w:noProof/>
            <w:webHidden/>
          </w:rPr>
          <w:tab/>
        </w:r>
        <w:r>
          <w:rPr>
            <w:noProof/>
            <w:webHidden/>
          </w:rPr>
          <w:fldChar w:fldCharType="begin"/>
        </w:r>
        <w:r>
          <w:rPr>
            <w:noProof/>
            <w:webHidden/>
          </w:rPr>
          <w:instrText xml:space="preserve"> PAGEREF _Toc189393609 \h </w:instrText>
        </w:r>
        <w:r>
          <w:rPr>
            <w:noProof/>
            <w:webHidden/>
          </w:rPr>
        </w:r>
        <w:r>
          <w:rPr>
            <w:noProof/>
            <w:webHidden/>
          </w:rPr>
          <w:fldChar w:fldCharType="separate"/>
        </w:r>
        <w:r w:rsidR="003F0101">
          <w:rPr>
            <w:noProof/>
            <w:webHidden/>
          </w:rPr>
          <w:t>213</w:t>
        </w:r>
        <w:r>
          <w:rPr>
            <w:noProof/>
            <w:webHidden/>
          </w:rPr>
          <w:fldChar w:fldCharType="end"/>
        </w:r>
      </w:hyperlink>
    </w:p>
    <w:p w14:paraId="02C71A21" w14:textId="44C91B4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0" w:history="1">
        <w:r w:rsidRPr="00397B2D">
          <w:rPr>
            <w:rStyle w:val="Hyperlink"/>
            <w:noProof/>
          </w:rPr>
          <w:t>26.2 Impact and issues</w:t>
        </w:r>
        <w:r>
          <w:rPr>
            <w:noProof/>
            <w:webHidden/>
          </w:rPr>
          <w:tab/>
        </w:r>
        <w:r>
          <w:rPr>
            <w:noProof/>
            <w:webHidden/>
          </w:rPr>
          <w:fldChar w:fldCharType="begin"/>
        </w:r>
        <w:r>
          <w:rPr>
            <w:noProof/>
            <w:webHidden/>
          </w:rPr>
          <w:instrText xml:space="preserve"> PAGEREF _Toc189393610 \h </w:instrText>
        </w:r>
        <w:r>
          <w:rPr>
            <w:noProof/>
            <w:webHidden/>
          </w:rPr>
        </w:r>
        <w:r>
          <w:rPr>
            <w:noProof/>
            <w:webHidden/>
          </w:rPr>
          <w:fldChar w:fldCharType="separate"/>
        </w:r>
        <w:r w:rsidR="003F0101">
          <w:rPr>
            <w:noProof/>
            <w:webHidden/>
          </w:rPr>
          <w:t>215</w:t>
        </w:r>
        <w:r>
          <w:rPr>
            <w:noProof/>
            <w:webHidden/>
          </w:rPr>
          <w:fldChar w:fldCharType="end"/>
        </w:r>
      </w:hyperlink>
    </w:p>
    <w:p w14:paraId="2B42130B" w14:textId="1B032AE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1" w:history="1">
        <w:r w:rsidRPr="00397B2D">
          <w:rPr>
            <w:rStyle w:val="Hyperlink"/>
            <w:noProof/>
          </w:rPr>
          <w:t>26.3 Findings and recommendations</w:t>
        </w:r>
        <w:r>
          <w:rPr>
            <w:noProof/>
            <w:webHidden/>
          </w:rPr>
          <w:tab/>
        </w:r>
        <w:r>
          <w:rPr>
            <w:noProof/>
            <w:webHidden/>
          </w:rPr>
          <w:fldChar w:fldCharType="begin"/>
        </w:r>
        <w:r>
          <w:rPr>
            <w:noProof/>
            <w:webHidden/>
          </w:rPr>
          <w:instrText xml:space="preserve"> PAGEREF _Toc189393611 \h </w:instrText>
        </w:r>
        <w:r>
          <w:rPr>
            <w:noProof/>
            <w:webHidden/>
          </w:rPr>
        </w:r>
        <w:r>
          <w:rPr>
            <w:noProof/>
            <w:webHidden/>
          </w:rPr>
          <w:fldChar w:fldCharType="separate"/>
        </w:r>
        <w:r w:rsidR="003F0101">
          <w:rPr>
            <w:noProof/>
            <w:webHidden/>
          </w:rPr>
          <w:t>217</w:t>
        </w:r>
        <w:r>
          <w:rPr>
            <w:noProof/>
            <w:webHidden/>
          </w:rPr>
          <w:fldChar w:fldCharType="end"/>
        </w:r>
      </w:hyperlink>
    </w:p>
    <w:p w14:paraId="20E16989" w14:textId="038E6241"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12" w:history="1">
        <w:r w:rsidRPr="00397B2D">
          <w:rPr>
            <w:rStyle w:val="Hyperlink"/>
            <w:noProof/>
          </w:rPr>
          <w:t>Chapter 27. Prohibiting pay secrecy</w:t>
        </w:r>
        <w:r>
          <w:rPr>
            <w:noProof/>
            <w:webHidden/>
          </w:rPr>
          <w:tab/>
        </w:r>
        <w:r>
          <w:rPr>
            <w:noProof/>
            <w:webHidden/>
          </w:rPr>
          <w:fldChar w:fldCharType="begin"/>
        </w:r>
        <w:r>
          <w:rPr>
            <w:noProof/>
            <w:webHidden/>
          </w:rPr>
          <w:instrText xml:space="preserve"> PAGEREF _Toc189393612 \h </w:instrText>
        </w:r>
        <w:r>
          <w:rPr>
            <w:noProof/>
            <w:webHidden/>
          </w:rPr>
        </w:r>
        <w:r>
          <w:rPr>
            <w:noProof/>
            <w:webHidden/>
          </w:rPr>
          <w:fldChar w:fldCharType="separate"/>
        </w:r>
        <w:r w:rsidR="003F0101">
          <w:rPr>
            <w:noProof/>
            <w:webHidden/>
          </w:rPr>
          <w:t>219</w:t>
        </w:r>
        <w:r>
          <w:rPr>
            <w:noProof/>
            <w:webHidden/>
          </w:rPr>
          <w:fldChar w:fldCharType="end"/>
        </w:r>
      </w:hyperlink>
    </w:p>
    <w:p w14:paraId="029A83C4" w14:textId="4CAC93D7"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3" w:history="1">
        <w:r w:rsidRPr="00397B2D">
          <w:rPr>
            <w:rStyle w:val="Hyperlink"/>
            <w:noProof/>
          </w:rPr>
          <w:t>27.1 Amendments and intent</w:t>
        </w:r>
        <w:r>
          <w:rPr>
            <w:noProof/>
            <w:webHidden/>
          </w:rPr>
          <w:tab/>
        </w:r>
        <w:r>
          <w:rPr>
            <w:noProof/>
            <w:webHidden/>
          </w:rPr>
          <w:fldChar w:fldCharType="begin"/>
        </w:r>
        <w:r>
          <w:rPr>
            <w:noProof/>
            <w:webHidden/>
          </w:rPr>
          <w:instrText xml:space="preserve"> PAGEREF _Toc189393613 \h </w:instrText>
        </w:r>
        <w:r>
          <w:rPr>
            <w:noProof/>
            <w:webHidden/>
          </w:rPr>
        </w:r>
        <w:r>
          <w:rPr>
            <w:noProof/>
            <w:webHidden/>
          </w:rPr>
          <w:fldChar w:fldCharType="separate"/>
        </w:r>
        <w:r w:rsidR="003F0101">
          <w:rPr>
            <w:noProof/>
            <w:webHidden/>
          </w:rPr>
          <w:t>219</w:t>
        </w:r>
        <w:r>
          <w:rPr>
            <w:noProof/>
            <w:webHidden/>
          </w:rPr>
          <w:fldChar w:fldCharType="end"/>
        </w:r>
      </w:hyperlink>
    </w:p>
    <w:p w14:paraId="7CBDA541" w14:textId="73D7B0B0"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4" w:history="1">
        <w:r w:rsidRPr="00397B2D">
          <w:rPr>
            <w:rStyle w:val="Hyperlink"/>
            <w:noProof/>
          </w:rPr>
          <w:t>27.2 Impact and issues</w:t>
        </w:r>
        <w:r>
          <w:rPr>
            <w:noProof/>
            <w:webHidden/>
          </w:rPr>
          <w:tab/>
        </w:r>
        <w:r>
          <w:rPr>
            <w:noProof/>
            <w:webHidden/>
          </w:rPr>
          <w:fldChar w:fldCharType="begin"/>
        </w:r>
        <w:r>
          <w:rPr>
            <w:noProof/>
            <w:webHidden/>
          </w:rPr>
          <w:instrText xml:space="preserve"> PAGEREF _Toc189393614 \h </w:instrText>
        </w:r>
        <w:r>
          <w:rPr>
            <w:noProof/>
            <w:webHidden/>
          </w:rPr>
        </w:r>
        <w:r>
          <w:rPr>
            <w:noProof/>
            <w:webHidden/>
          </w:rPr>
          <w:fldChar w:fldCharType="separate"/>
        </w:r>
        <w:r w:rsidR="003F0101">
          <w:rPr>
            <w:noProof/>
            <w:webHidden/>
          </w:rPr>
          <w:t>221</w:t>
        </w:r>
        <w:r>
          <w:rPr>
            <w:noProof/>
            <w:webHidden/>
          </w:rPr>
          <w:fldChar w:fldCharType="end"/>
        </w:r>
      </w:hyperlink>
    </w:p>
    <w:p w14:paraId="1279B185" w14:textId="4F6B238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5" w:history="1">
        <w:r w:rsidRPr="00397B2D">
          <w:rPr>
            <w:rStyle w:val="Hyperlink"/>
            <w:noProof/>
          </w:rPr>
          <w:t>27.3 Findings and recommendations</w:t>
        </w:r>
        <w:r>
          <w:rPr>
            <w:noProof/>
            <w:webHidden/>
          </w:rPr>
          <w:tab/>
        </w:r>
        <w:r>
          <w:rPr>
            <w:noProof/>
            <w:webHidden/>
          </w:rPr>
          <w:fldChar w:fldCharType="begin"/>
        </w:r>
        <w:r>
          <w:rPr>
            <w:noProof/>
            <w:webHidden/>
          </w:rPr>
          <w:instrText xml:space="preserve"> PAGEREF _Toc189393615 \h </w:instrText>
        </w:r>
        <w:r>
          <w:rPr>
            <w:noProof/>
            <w:webHidden/>
          </w:rPr>
        </w:r>
        <w:r>
          <w:rPr>
            <w:noProof/>
            <w:webHidden/>
          </w:rPr>
          <w:fldChar w:fldCharType="separate"/>
        </w:r>
        <w:r w:rsidR="003F0101">
          <w:rPr>
            <w:noProof/>
            <w:webHidden/>
          </w:rPr>
          <w:t>223</w:t>
        </w:r>
        <w:r>
          <w:rPr>
            <w:noProof/>
            <w:webHidden/>
          </w:rPr>
          <w:fldChar w:fldCharType="end"/>
        </w:r>
      </w:hyperlink>
    </w:p>
    <w:p w14:paraId="619BEBF1" w14:textId="7BB9C92D"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16" w:history="1">
        <w:r w:rsidRPr="00397B2D">
          <w:rPr>
            <w:rStyle w:val="Hyperlink"/>
            <w:noProof/>
          </w:rPr>
          <w:t>Chapter 28. Prohibiting sexual harassment in connection with work</w:t>
        </w:r>
        <w:r>
          <w:rPr>
            <w:noProof/>
            <w:webHidden/>
          </w:rPr>
          <w:tab/>
        </w:r>
        <w:r>
          <w:rPr>
            <w:noProof/>
            <w:webHidden/>
          </w:rPr>
          <w:fldChar w:fldCharType="begin"/>
        </w:r>
        <w:r>
          <w:rPr>
            <w:noProof/>
            <w:webHidden/>
          </w:rPr>
          <w:instrText xml:space="preserve"> PAGEREF _Toc189393616 \h </w:instrText>
        </w:r>
        <w:r>
          <w:rPr>
            <w:noProof/>
            <w:webHidden/>
          </w:rPr>
        </w:r>
        <w:r>
          <w:rPr>
            <w:noProof/>
            <w:webHidden/>
          </w:rPr>
          <w:fldChar w:fldCharType="separate"/>
        </w:r>
        <w:r w:rsidR="003F0101">
          <w:rPr>
            <w:noProof/>
            <w:webHidden/>
          </w:rPr>
          <w:t>224</w:t>
        </w:r>
        <w:r>
          <w:rPr>
            <w:noProof/>
            <w:webHidden/>
          </w:rPr>
          <w:fldChar w:fldCharType="end"/>
        </w:r>
      </w:hyperlink>
    </w:p>
    <w:p w14:paraId="35B77855" w14:textId="24E568A0"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7" w:history="1">
        <w:r w:rsidRPr="00397B2D">
          <w:rPr>
            <w:rStyle w:val="Hyperlink"/>
            <w:noProof/>
          </w:rPr>
          <w:t>28.1 Amendments and intent</w:t>
        </w:r>
        <w:r>
          <w:rPr>
            <w:noProof/>
            <w:webHidden/>
          </w:rPr>
          <w:tab/>
        </w:r>
        <w:r>
          <w:rPr>
            <w:noProof/>
            <w:webHidden/>
          </w:rPr>
          <w:fldChar w:fldCharType="begin"/>
        </w:r>
        <w:r>
          <w:rPr>
            <w:noProof/>
            <w:webHidden/>
          </w:rPr>
          <w:instrText xml:space="preserve"> PAGEREF _Toc189393617 \h </w:instrText>
        </w:r>
        <w:r>
          <w:rPr>
            <w:noProof/>
            <w:webHidden/>
          </w:rPr>
        </w:r>
        <w:r>
          <w:rPr>
            <w:noProof/>
            <w:webHidden/>
          </w:rPr>
          <w:fldChar w:fldCharType="separate"/>
        </w:r>
        <w:r w:rsidR="003F0101">
          <w:rPr>
            <w:noProof/>
            <w:webHidden/>
          </w:rPr>
          <w:t>224</w:t>
        </w:r>
        <w:r>
          <w:rPr>
            <w:noProof/>
            <w:webHidden/>
          </w:rPr>
          <w:fldChar w:fldCharType="end"/>
        </w:r>
      </w:hyperlink>
    </w:p>
    <w:p w14:paraId="5A90316A" w14:textId="58057B5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8" w:history="1">
        <w:r w:rsidRPr="00397B2D">
          <w:rPr>
            <w:rStyle w:val="Hyperlink"/>
            <w:noProof/>
          </w:rPr>
          <w:t>28.2 Impact and issues</w:t>
        </w:r>
        <w:r>
          <w:rPr>
            <w:noProof/>
            <w:webHidden/>
          </w:rPr>
          <w:tab/>
        </w:r>
        <w:r>
          <w:rPr>
            <w:noProof/>
            <w:webHidden/>
          </w:rPr>
          <w:fldChar w:fldCharType="begin"/>
        </w:r>
        <w:r>
          <w:rPr>
            <w:noProof/>
            <w:webHidden/>
          </w:rPr>
          <w:instrText xml:space="preserve"> PAGEREF _Toc189393618 \h </w:instrText>
        </w:r>
        <w:r>
          <w:rPr>
            <w:noProof/>
            <w:webHidden/>
          </w:rPr>
        </w:r>
        <w:r>
          <w:rPr>
            <w:noProof/>
            <w:webHidden/>
          </w:rPr>
          <w:fldChar w:fldCharType="separate"/>
        </w:r>
        <w:r w:rsidR="003F0101">
          <w:rPr>
            <w:noProof/>
            <w:webHidden/>
          </w:rPr>
          <w:t>228</w:t>
        </w:r>
        <w:r>
          <w:rPr>
            <w:noProof/>
            <w:webHidden/>
          </w:rPr>
          <w:fldChar w:fldCharType="end"/>
        </w:r>
      </w:hyperlink>
    </w:p>
    <w:p w14:paraId="68C495DC" w14:textId="5E84193F"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19" w:history="1">
        <w:r w:rsidRPr="00397B2D">
          <w:rPr>
            <w:rStyle w:val="Hyperlink"/>
            <w:noProof/>
          </w:rPr>
          <w:t>28.4.3 Findings and recommendations</w:t>
        </w:r>
        <w:r>
          <w:rPr>
            <w:noProof/>
            <w:webHidden/>
          </w:rPr>
          <w:tab/>
        </w:r>
        <w:r>
          <w:rPr>
            <w:noProof/>
            <w:webHidden/>
          </w:rPr>
          <w:fldChar w:fldCharType="begin"/>
        </w:r>
        <w:r>
          <w:rPr>
            <w:noProof/>
            <w:webHidden/>
          </w:rPr>
          <w:instrText xml:space="preserve"> PAGEREF _Toc189393619 \h </w:instrText>
        </w:r>
        <w:r>
          <w:rPr>
            <w:noProof/>
            <w:webHidden/>
          </w:rPr>
        </w:r>
        <w:r>
          <w:rPr>
            <w:noProof/>
            <w:webHidden/>
          </w:rPr>
          <w:fldChar w:fldCharType="separate"/>
        </w:r>
        <w:r w:rsidR="003F0101">
          <w:rPr>
            <w:noProof/>
            <w:webHidden/>
          </w:rPr>
          <w:t>230</w:t>
        </w:r>
        <w:r>
          <w:rPr>
            <w:noProof/>
            <w:webHidden/>
          </w:rPr>
          <w:fldChar w:fldCharType="end"/>
        </w:r>
      </w:hyperlink>
    </w:p>
    <w:p w14:paraId="58B5F768" w14:textId="2821A970"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20" w:history="1">
        <w:r w:rsidRPr="00397B2D">
          <w:rPr>
            <w:rStyle w:val="Hyperlink"/>
            <w:noProof/>
          </w:rPr>
          <w:t>Chapter 29. Anti-discrimination and special measures</w:t>
        </w:r>
        <w:r>
          <w:rPr>
            <w:noProof/>
            <w:webHidden/>
          </w:rPr>
          <w:tab/>
        </w:r>
        <w:r>
          <w:rPr>
            <w:noProof/>
            <w:webHidden/>
          </w:rPr>
          <w:fldChar w:fldCharType="begin"/>
        </w:r>
        <w:r>
          <w:rPr>
            <w:noProof/>
            <w:webHidden/>
          </w:rPr>
          <w:instrText xml:space="preserve"> PAGEREF _Toc189393620 \h </w:instrText>
        </w:r>
        <w:r>
          <w:rPr>
            <w:noProof/>
            <w:webHidden/>
          </w:rPr>
        </w:r>
        <w:r>
          <w:rPr>
            <w:noProof/>
            <w:webHidden/>
          </w:rPr>
          <w:fldChar w:fldCharType="separate"/>
        </w:r>
        <w:r w:rsidR="003F0101">
          <w:rPr>
            <w:noProof/>
            <w:webHidden/>
          </w:rPr>
          <w:t>232</w:t>
        </w:r>
        <w:r>
          <w:rPr>
            <w:noProof/>
            <w:webHidden/>
          </w:rPr>
          <w:fldChar w:fldCharType="end"/>
        </w:r>
      </w:hyperlink>
    </w:p>
    <w:p w14:paraId="57E12C7E" w14:textId="4ADF1D5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1" w:history="1">
        <w:r w:rsidRPr="00397B2D">
          <w:rPr>
            <w:rStyle w:val="Hyperlink"/>
            <w:noProof/>
          </w:rPr>
          <w:t>29.1 Amendments and intent</w:t>
        </w:r>
        <w:r>
          <w:rPr>
            <w:noProof/>
            <w:webHidden/>
          </w:rPr>
          <w:tab/>
        </w:r>
        <w:r>
          <w:rPr>
            <w:noProof/>
            <w:webHidden/>
          </w:rPr>
          <w:fldChar w:fldCharType="begin"/>
        </w:r>
        <w:r>
          <w:rPr>
            <w:noProof/>
            <w:webHidden/>
          </w:rPr>
          <w:instrText xml:space="preserve"> PAGEREF _Toc189393621 \h </w:instrText>
        </w:r>
        <w:r>
          <w:rPr>
            <w:noProof/>
            <w:webHidden/>
          </w:rPr>
        </w:r>
        <w:r>
          <w:rPr>
            <w:noProof/>
            <w:webHidden/>
          </w:rPr>
          <w:fldChar w:fldCharType="separate"/>
        </w:r>
        <w:r w:rsidR="003F0101">
          <w:rPr>
            <w:noProof/>
            <w:webHidden/>
          </w:rPr>
          <w:t>232</w:t>
        </w:r>
        <w:r>
          <w:rPr>
            <w:noProof/>
            <w:webHidden/>
          </w:rPr>
          <w:fldChar w:fldCharType="end"/>
        </w:r>
      </w:hyperlink>
    </w:p>
    <w:p w14:paraId="7474C433" w14:textId="7CBAAE3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2" w:history="1">
        <w:r w:rsidRPr="00397B2D">
          <w:rPr>
            <w:rStyle w:val="Hyperlink"/>
            <w:noProof/>
          </w:rPr>
          <w:t>29.2 Impact and issues</w:t>
        </w:r>
        <w:r>
          <w:rPr>
            <w:noProof/>
            <w:webHidden/>
          </w:rPr>
          <w:tab/>
        </w:r>
        <w:r>
          <w:rPr>
            <w:noProof/>
            <w:webHidden/>
          </w:rPr>
          <w:fldChar w:fldCharType="begin"/>
        </w:r>
        <w:r>
          <w:rPr>
            <w:noProof/>
            <w:webHidden/>
          </w:rPr>
          <w:instrText xml:space="preserve"> PAGEREF _Toc189393622 \h </w:instrText>
        </w:r>
        <w:r>
          <w:rPr>
            <w:noProof/>
            <w:webHidden/>
          </w:rPr>
        </w:r>
        <w:r>
          <w:rPr>
            <w:noProof/>
            <w:webHidden/>
          </w:rPr>
          <w:fldChar w:fldCharType="separate"/>
        </w:r>
        <w:r w:rsidR="003F0101">
          <w:rPr>
            <w:noProof/>
            <w:webHidden/>
          </w:rPr>
          <w:t>233</w:t>
        </w:r>
        <w:r>
          <w:rPr>
            <w:noProof/>
            <w:webHidden/>
          </w:rPr>
          <w:fldChar w:fldCharType="end"/>
        </w:r>
      </w:hyperlink>
    </w:p>
    <w:p w14:paraId="3E97BDFB" w14:textId="3F46E32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3" w:history="1">
        <w:r w:rsidRPr="00397B2D">
          <w:rPr>
            <w:rStyle w:val="Hyperlink"/>
            <w:noProof/>
          </w:rPr>
          <w:t>29.3 Findings and recommendations</w:t>
        </w:r>
        <w:r>
          <w:rPr>
            <w:noProof/>
            <w:webHidden/>
          </w:rPr>
          <w:tab/>
        </w:r>
        <w:r>
          <w:rPr>
            <w:noProof/>
            <w:webHidden/>
          </w:rPr>
          <w:fldChar w:fldCharType="begin"/>
        </w:r>
        <w:r>
          <w:rPr>
            <w:noProof/>
            <w:webHidden/>
          </w:rPr>
          <w:instrText xml:space="preserve"> PAGEREF _Toc189393623 \h </w:instrText>
        </w:r>
        <w:r>
          <w:rPr>
            <w:noProof/>
            <w:webHidden/>
          </w:rPr>
        </w:r>
        <w:r>
          <w:rPr>
            <w:noProof/>
            <w:webHidden/>
          </w:rPr>
          <w:fldChar w:fldCharType="separate"/>
        </w:r>
        <w:r w:rsidR="003F0101">
          <w:rPr>
            <w:noProof/>
            <w:webHidden/>
          </w:rPr>
          <w:t>235</w:t>
        </w:r>
        <w:r>
          <w:rPr>
            <w:noProof/>
            <w:webHidden/>
          </w:rPr>
          <w:fldChar w:fldCharType="end"/>
        </w:r>
      </w:hyperlink>
    </w:p>
    <w:p w14:paraId="5E601DEC" w14:textId="1E8A9DF4"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24" w:history="1">
        <w:r w:rsidRPr="00397B2D">
          <w:rPr>
            <w:rStyle w:val="Hyperlink"/>
            <w:noProof/>
          </w:rPr>
          <w:t>Chapter 30. Fixed-term contracts</w:t>
        </w:r>
        <w:r>
          <w:rPr>
            <w:noProof/>
            <w:webHidden/>
          </w:rPr>
          <w:tab/>
        </w:r>
        <w:r>
          <w:rPr>
            <w:noProof/>
            <w:webHidden/>
          </w:rPr>
          <w:fldChar w:fldCharType="begin"/>
        </w:r>
        <w:r>
          <w:rPr>
            <w:noProof/>
            <w:webHidden/>
          </w:rPr>
          <w:instrText xml:space="preserve"> PAGEREF _Toc189393624 \h </w:instrText>
        </w:r>
        <w:r>
          <w:rPr>
            <w:noProof/>
            <w:webHidden/>
          </w:rPr>
        </w:r>
        <w:r>
          <w:rPr>
            <w:noProof/>
            <w:webHidden/>
          </w:rPr>
          <w:fldChar w:fldCharType="separate"/>
        </w:r>
        <w:r w:rsidR="003F0101">
          <w:rPr>
            <w:noProof/>
            <w:webHidden/>
          </w:rPr>
          <w:t>236</w:t>
        </w:r>
        <w:r>
          <w:rPr>
            <w:noProof/>
            <w:webHidden/>
          </w:rPr>
          <w:fldChar w:fldCharType="end"/>
        </w:r>
      </w:hyperlink>
    </w:p>
    <w:p w14:paraId="2868DB79" w14:textId="418AD586"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5" w:history="1">
        <w:r w:rsidRPr="00397B2D">
          <w:rPr>
            <w:rStyle w:val="Hyperlink"/>
            <w:noProof/>
          </w:rPr>
          <w:t>30.1 Amendments and intent</w:t>
        </w:r>
        <w:r>
          <w:rPr>
            <w:noProof/>
            <w:webHidden/>
          </w:rPr>
          <w:tab/>
        </w:r>
        <w:r>
          <w:rPr>
            <w:noProof/>
            <w:webHidden/>
          </w:rPr>
          <w:fldChar w:fldCharType="begin"/>
        </w:r>
        <w:r>
          <w:rPr>
            <w:noProof/>
            <w:webHidden/>
          </w:rPr>
          <w:instrText xml:space="preserve"> PAGEREF _Toc189393625 \h </w:instrText>
        </w:r>
        <w:r>
          <w:rPr>
            <w:noProof/>
            <w:webHidden/>
          </w:rPr>
        </w:r>
        <w:r>
          <w:rPr>
            <w:noProof/>
            <w:webHidden/>
          </w:rPr>
          <w:fldChar w:fldCharType="separate"/>
        </w:r>
        <w:r w:rsidR="003F0101">
          <w:rPr>
            <w:noProof/>
            <w:webHidden/>
          </w:rPr>
          <w:t>236</w:t>
        </w:r>
        <w:r>
          <w:rPr>
            <w:noProof/>
            <w:webHidden/>
          </w:rPr>
          <w:fldChar w:fldCharType="end"/>
        </w:r>
      </w:hyperlink>
    </w:p>
    <w:p w14:paraId="59B88AA5" w14:textId="3B9EBC9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6" w:history="1">
        <w:r w:rsidRPr="00397B2D">
          <w:rPr>
            <w:rStyle w:val="Hyperlink"/>
            <w:noProof/>
          </w:rPr>
          <w:t>30.2 Impact and issues</w:t>
        </w:r>
        <w:r>
          <w:rPr>
            <w:noProof/>
            <w:webHidden/>
          </w:rPr>
          <w:tab/>
        </w:r>
        <w:r>
          <w:rPr>
            <w:noProof/>
            <w:webHidden/>
          </w:rPr>
          <w:fldChar w:fldCharType="begin"/>
        </w:r>
        <w:r>
          <w:rPr>
            <w:noProof/>
            <w:webHidden/>
          </w:rPr>
          <w:instrText xml:space="preserve"> PAGEREF _Toc189393626 \h </w:instrText>
        </w:r>
        <w:r>
          <w:rPr>
            <w:noProof/>
            <w:webHidden/>
          </w:rPr>
        </w:r>
        <w:r>
          <w:rPr>
            <w:noProof/>
            <w:webHidden/>
          </w:rPr>
          <w:fldChar w:fldCharType="separate"/>
        </w:r>
        <w:r w:rsidR="003F0101">
          <w:rPr>
            <w:noProof/>
            <w:webHidden/>
          </w:rPr>
          <w:t>239</w:t>
        </w:r>
        <w:r>
          <w:rPr>
            <w:noProof/>
            <w:webHidden/>
          </w:rPr>
          <w:fldChar w:fldCharType="end"/>
        </w:r>
      </w:hyperlink>
    </w:p>
    <w:p w14:paraId="17ABC60B" w14:textId="2465E447"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7" w:history="1">
        <w:r w:rsidRPr="00397B2D">
          <w:rPr>
            <w:rStyle w:val="Hyperlink"/>
            <w:noProof/>
          </w:rPr>
          <w:t>30.3 Findings and recommendations</w:t>
        </w:r>
        <w:r>
          <w:rPr>
            <w:noProof/>
            <w:webHidden/>
          </w:rPr>
          <w:tab/>
        </w:r>
        <w:r>
          <w:rPr>
            <w:noProof/>
            <w:webHidden/>
          </w:rPr>
          <w:fldChar w:fldCharType="begin"/>
        </w:r>
        <w:r>
          <w:rPr>
            <w:noProof/>
            <w:webHidden/>
          </w:rPr>
          <w:instrText xml:space="preserve"> PAGEREF _Toc189393627 \h </w:instrText>
        </w:r>
        <w:r>
          <w:rPr>
            <w:noProof/>
            <w:webHidden/>
          </w:rPr>
        </w:r>
        <w:r>
          <w:rPr>
            <w:noProof/>
            <w:webHidden/>
          </w:rPr>
          <w:fldChar w:fldCharType="separate"/>
        </w:r>
        <w:r w:rsidR="003F0101">
          <w:rPr>
            <w:noProof/>
            <w:webHidden/>
          </w:rPr>
          <w:t>244</w:t>
        </w:r>
        <w:r>
          <w:rPr>
            <w:noProof/>
            <w:webHidden/>
          </w:rPr>
          <w:fldChar w:fldCharType="end"/>
        </w:r>
      </w:hyperlink>
    </w:p>
    <w:p w14:paraId="33D94F44" w14:textId="572275F2"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28" w:history="1">
        <w:r w:rsidRPr="00397B2D">
          <w:rPr>
            <w:rStyle w:val="Hyperlink"/>
            <w:noProof/>
          </w:rPr>
          <w:t>Chapter 31. Flexible work</w:t>
        </w:r>
        <w:r>
          <w:rPr>
            <w:noProof/>
            <w:webHidden/>
          </w:rPr>
          <w:tab/>
        </w:r>
        <w:r>
          <w:rPr>
            <w:noProof/>
            <w:webHidden/>
          </w:rPr>
          <w:fldChar w:fldCharType="begin"/>
        </w:r>
        <w:r>
          <w:rPr>
            <w:noProof/>
            <w:webHidden/>
          </w:rPr>
          <w:instrText xml:space="preserve"> PAGEREF _Toc189393628 \h </w:instrText>
        </w:r>
        <w:r>
          <w:rPr>
            <w:noProof/>
            <w:webHidden/>
          </w:rPr>
        </w:r>
        <w:r>
          <w:rPr>
            <w:noProof/>
            <w:webHidden/>
          </w:rPr>
          <w:fldChar w:fldCharType="separate"/>
        </w:r>
        <w:r w:rsidR="003F0101">
          <w:rPr>
            <w:noProof/>
            <w:webHidden/>
          </w:rPr>
          <w:t>246</w:t>
        </w:r>
        <w:r>
          <w:rPr>
            <w:noProof/>
            <w:webHidden/>
          </w:rPr>
          <w:fldChar w:fldCharType="end"/>
        </w:r>
      </w:hyperlink>
    </w:p>
    <w:p w14:paraId="32C2B12E" w14:textId="6F6179E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29" w:history="1">
        <w:r w:rsidRPr="00397B2D">
          <w:rPr>
            <w:rStyle w:val="Hyperlink"/>
            <w:noProof/>
          </w:rPr>
          <w:t>31.1 Amendments and intent</w:t>
        </w:r>
        <w:r>
          <w:rPr>
            <w:noProof/>
            <w:webHidden/>
          </w:rPr>
          <w:tab/>
        </w:r>
        <w:r>
          <w:rPr>
            <w:noProof/>
            <w:webHidden/>
          </w:rPr>
          <w:fldChar w:fldCharType="begin"/>
        </w:r>
        <w:r>
          <w:rPr>
            <w:noProof/>
            <w:webHidden/>
          </w:rPr>
          <w:instrText xml:space="preserve"> PAGEREF _Toc189393629 \h </w:instrText>
        </w:r>
        <w:r>
          <w:rPr>
            <w:noProof/>
            <w:webHidden/>
          </w:rPr>
        </w:r>
        <w:r>
          <w:rPr>
            <w:noProof/>
            <w:webHidden/>
          </w:rPr>
          <w:fldChar w:fldCharType="separate"/>
        </w:r>
        <w:r w:rsidR="003F0101">
          <w:rPr>
            <w:noProof/>
            <w:webHidden/>
          </w:rPr>
          <w:t>246</w:t>
        </w:r>
        <w:r>
          <w:rPr>
            <w:noProof/>
            <w:webHidden/>
          </w:rPr>
          <w:fldChar w:fldCharType="end"/>
        </w:r>
      </w:hyperlink>
    </w:p>
    <w:p w14:paraId="72140481" w14:textId="1C3E9F25"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30" w:history="1">
        <w:r w:rsidRPr="00397B2D">
          <w:rPr>
            <w:rStyle w:val="Hyperlink"/>
            <w:noProof/>
          </w:rPr>
          <w:t>31.2 Impact and issues</w:t>
        </w:r>
        <w:r>
          <w:rPr>
            <w:noProof/>
            <w:webHidden/>
          </w:rPr>
          <w:tab/>
        </w:r>
        <w:r>
          <w:rPr>
            <w:noProof/>
            <w:webHidden/>
          </w:rPr>
          <w:fldChar w:fldCharType="begin"/>
        </w:r>
        <w:r>
          <w:rPr>
            <w:noProof/>
            <w:webHidden/>
          </w:rPr>
          <w:instrText xml:space="preserve"> PAGEREF _Toc189393630 \h </w:instrText>
        </w:r>
        <w:r>
          <w:rPr>
            <w:noProof/>
            <w:webHidden/>
          </w:rPr>
        </w:r>
        <w:r>
          <w:rPr>
            <w:noProof/>
            <w:webHidden/>
          </w:rPr>
          <w:fldChar w:fldCharType="separate"/>
        </w:r>
        <w:r w:rsidR="003F0101">
          <w:rPr>
            <w:noProof/>
            <w:webHidden/>
          </w:rPr>
          <w:t>248</w:t>
        </w:r>
        <w:r>
          <w:rPr>
            <w:noProof/>
            <w:webHidden/>
          </w:rPr>
          <w:fldChar w:fldCharType="end"/>
        </w:r>
      </w:hyperlink>
    </w:p>
    <w:p w14:paraId="04FDBE0E" w14:textId="2FFCC14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31" w:history="1">
        <w:r w:rsidRPr="00397B2D">
          <w:rPr>
            <w:rStyle w:val="Hyperlink"/>
            <w:noProof/>
          </w:rPr>
          <w:t>31.3 Findings and recommendations</w:t>
        </w:r>
        <w:r>
          <w:rPr>
            <w:noProof/>
            <w:webHidden/>
          </w:rPr>
          <w:tab/>
        </w:r>
        <w:r>
          <w:rPr>
            <w:noProof/>
            <w:webHidden/>
          </w:rPr>
          <w:fldChar w:fldCharType="begin"/>
        </w:r>
        <w:r>
          <w:rPr>
            <w:noProof/>
            <w:webHidden/>
          </w:rPr>
          <w:instrText xml:space="preserve"> PAGEREF _Toc189393631 \h </w:instrText>
        </w:r>
        <w:r>
          <w:rPr>
            <w:noProof/>
            <w:webHidden/>
          </w:rPr>
        </w:r>
        <w:r>
          <w:rPr>
            <w:noProof/>
            <w:webHidden/>
          </w:rPr>
          <w:fldChar w:fldCharType="separate"/>
        </w:r>
        <w:r w:rsidR="003F0101">
          <w:rPr>
            <w:noProof/>
            <w:webHidden/>
          </w:rPr>
          <w:t>251</w:t>
        </w:r>
        <w:r>
          <w:rPr>
            <w:noProof/>
            <w:webHidden/>
          </w:rPr>
          <w:fldChar w:fldCharType="end"/>
        </w:r>
      </w:hyperlink>
    </w:p>
    <w:p w14:paraId="1570D5DD" w14:textId="198174B2"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32" w:history="1">
        <w:r w:rsidRPr="00397B2D">
          <w:rPr>
            <w:rStyle w:val="Hyperlink"/>
            <w:noProof/>
          </w:rPr>
          <w:t>Chapter 32. Unpaid parental leave</w:t>
        </w:r>
        <w:r>
          <w:rPr>
            <w:noProof/>
            <w:webHidden/>
          </w:rPr>
          <w:tab/>
        </w:r>
        <w:r>
          <w:rPr>
            <w:noProof/>
            <w:webHidden/>
          </w:rPr>
          <w:fldChar w:fldCharType="begin"/>
        </w:r>
        <w:r>
          <w:rPr>
            <w:noProof/>
            <w:webHidden/>
          </w:rPr>
          <w:instrText xml:space="preserve"> PAGEREF _Toc189393632 \h </w:instrText>
        </w:r>
        <w:r>
          <w:rPr>
            <w:noProof/>
            <w:webHidden/>
          </w:rPr>
        </w:r>
        <w:r>
          <w:rPr>
            <w:noProof/>
            <w:webHidden/>
          </w:rPr>
          <w:fldChar w:fldCharType="separate"/>
        </w:r>
        <w:r w:rsidR="003F0101">
          <w:rPr>
            <w:noProof/>
            <w:webHidden/>
          </w:rPr>
          <w:t>252</w:t>
        </w:r>
        <w:r>
          <w:rPr>
            <w:noProof/>
            <w:webHidden/>
          </w:rPr>
          <w:fldChar w:fldCharType="end"/>
        </w:r>
      </w:hyperlink>
    </w:p>
    <w:p w14:paraId="24C92A4C" w14:textId="7743FB1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33" w:history="1">
        <w:r w:rsidRPr="00397B2D">
          <w:rPr>
            <w:rStyle w:val="Hyperlink"/>
            <w:noProof/>
          </w:rPr>
          <w:t>32.1 Amendments and intent</w:t>
        </w:r>
        <w:r>
          <w:rPr>
            <w:noProof/>
            <w:webHidden/>
          </w:rPr>
          <w:tab/>
        </w:r>
        <w:r>
          <w:rPr>
            <w:noProof/>
            <w:webHidden/>
          </w:rPr>
          <w:fldChar w:fldCharType="begin"/>
        </w:r>
        <w:r>
          <w:rPr>
            <w:noProof/>
            <w:webHidden/>
          </w:rPr>
          <w:instrText xml:space="preserve"> PAGEREF _Toc189393633 \h </w:instrText>
        </w:r>
        <w:r>
          <w:rPr>
            <w:noProof/>
            <w:webHidden/>
          </w:rPr>
        </w:r>
        <w:r>
          <w:rPr>
            <w:noProof/>
            <w:webHidden/>
          </w:rPr>
          <w:fldChar w:fldCharType="separate"/>
        </w:r>
        <w:r w:rsidR="003F0101">
          <w:rPr>
            <w:noProof/>
            <w:webHidden/>
          </w:rPr>
          <w:t>252</w:t>
        </w:r>
        <w:r>
          <w:rPr>
            <w:noProof/>
            <w:webHidden/>
          </w:rPr>
          <w:fldChar w:fldCharType="end"/>
        </w:r>
      </w:hyperlink>
    </w:p>
    <w:p w14:paraId="54686320" w14:textId="0627D8F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34" w:history="1">
        <w:r w:rsidRPr="00397B2D">
          <w:rPr>
            <w:rStyle w:val="Hyperlink"/>
            <w:noProof/>
          </w:rPr>
          <w:t>32.2 Impact and issues</w:t>
        </w:r>
        <w:r>
          <w:rPr>
            <w:noProof/>
            <w:webHidden/>
          </w:rPr>
          <w:tab/>
        </w:r>
        <w:r>
          <w:rPr>
            <w:noProof/>
            <w:webHidden/>
          </w:rPr>
          <w:fldChar w:fldCharType="begin"/>
        </w:r>
        <w:r>
          <w:rPr>
            <w:noProof/>
            <w:webHidden/>
          </w:rPr>
          <w:instrText xml:space="preserve"> PAGEREF _Toc189393634 \h </w:instrText>
        </w:r>
        <w:r>
          <w:rPr>
            <w:noProof/>
            <w:webHidden/>
          </w:rPr>
        </w:r>
        <w:r>
          <w:rPr>
            <w:noProof/>
            <w:webHidden/>
          </w:rPr>
          <w:fldChar w:fldCharType="separate"/>
        </w:r>
        <w:r w:rsidR="003F0101">
          <w:rPr>
            <w:noProof/>
            <w:webHidden/>
          </w:rPr>
          <w:t>253</w:t>
        </w:r>
        <w:r>
          <w:rPr>
            <w:noProof/>
            <w:webHidden/>
          </w:rPr>
          <w:fldChar w:fldCharType="end"/>
        </w:r>
      </w:hyperlink>
    </w:p>
    <w:p w14:paraId="43AFA156" w14:textId="6CA92DC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35" w:history="1">
        <w:r w:rsidRPr="00397B2D">
          <w:rPr>
            <w:rStyle w:val="Hyperlink"/>
            <w:noProof/>
          </w:rPr>
          <w:t>32.3 Findings and recommendations</w:t>
        </w:r>
        <w:r>
          <w:rPr>
            <w:noProof/>
            <w:webHidden/>
          </w:rPr>
          <w:tab/>
        </w:r>
        <w:r>
          <w:rPr>
            <w:noProof/>
            <w:webHidden/>
          </w:rPr>
          <w:fldChar w:fldCharType="begin"/>
        </w:r>
        <w:r>
          <w:rPr>
            <w:noProof/>
            <w:webHidden/>
          </w:rPr>
          <w:instrText xml:space="preserve"> PAGEREF _Toc189393635 \h </w:instrText>
        </w:r>
        <w:r>
          <w:rPr>
            <w:noProof/>
            <w:webHidden/>
          </w:rPr>
        </w:r>
        <w:r>
          <w:rPr>
            <w:noProof/>
            <w:webHidden/>
          </w:rPr>
          <w:fldChar w:fldCharType="separate"/>
        </w:r>
        <w:r w:rsidR="003F0101">
          <w:rPr>
            <w:noProof/>
            <w:webHidden/>
          </w:rPr>
          <w:t>254</w:t>
        </w:r>
        <w:r>
          <w:rPr>
            <w:noProof/>
            <w:webHidden/>
          </w:rPr>
          <w:fldChar w:fldCharType="end"/>
        </w:r>
      </w:hyperlink>
    </w:p>
    <w:p w14:paraId="43CD2A7F" w14:textId="30CA8ACB" w:rsidR="009F5831" w:rsidRDefault="009F5831">
      <w:pPr>
        <w:pStyle w:val="TOC1"/>
        <w:rPr>
          <w:rFonts w:eastAsiaTheme="minorEastAsia"/>
          <w:noProof/>
          <w:kern w:val="2"/>
          <w:sz w:val="24"/>
          <w:szCs w:val="24"/>
          <w:lang w:eastAsia="en-AU"/>
          <w14:ligatures w14:val="standardContextual"/>
        </w:rPr>
      </w:pPr>
      <w:hyperlink w:anchor="_Toc189393636" w:history="1">
        <w:r w:rsidRPr="00397B2D">
          <w:rPr>
            <w:rStyle w:val="Hyperlink"/>
            <w:noProof/>
          </w:rPr>
          <w:t>Part 4. Miscellaneous</w:t>
        </w:r>
        <w:r>
          <w:rPr>
            <w:noProof/>
            <w:webHidden/>
          </w:rPr>
          <w:tab/>
        </w:r>
        <w:r>
          <w:rPr>
            <w:noProof/>
            <w:webHidden/>
          </w:rPr>
          <w:fldChar w:fldCharType="begin"/>
        </w:r>
        <w:r>
          <w:rPr>
            <w:noProof/>
            <w:webHidden/>
          </w:rPr>
          <w:instrText xml:space="preserve"> PAGEREF _Toc189393636 \h </w:instrText>
        </w:r>
        <w:r>
          <w:rPr>
            <w:noProof/>
            <w:webHidden/>
          </w:rPr>
        </w:r>
        <w:r>
          <w:rPr>
            <w:noProof/>
            <w:webHidden/>
          </w:rPr>
          <w:fldChar w:fldCharType="separate"/>
        </w:r>
        <w:r w:rsidR="003F0101">
          <w:rPr>
            <w:noProof/>
            <w:webHidden/>
          </w:rPr>
          <w:t>255</w:t>
        </w:r>
        <w:r>
          <w:rPr>
            <w:noProof/>
            <w:webHidden/>
          </w:rPr>
          <w:fldChar w:fldCharType="end"/>
        </w:r>
      </w:hyperlink>
    </w:p>
    <w:p w14:paraId="30E42434" w14:textId="323B6017"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37" w:history="1">
        <w:r w:rsidRPr="00397B2D">
          <w:rPr>
            <w:rStyle w:val="Hyperlink"/>
            <w:noProof/>
          </w:rPr>
          <w:t>Chapter 33. Introduction to Part 4</w:t>
        </w:r>
        <w:r>
          <w:rPr>
            <w:noProof/>
            <w:webHidden/>
          </w:rPr>
          <w:tab/>
        </w:r>
        <w:r>
          <w:rPr>
            <w:noProof/>
            <w:webHidden/>
          </w:rPr>
          <w:fldChar w:fldCharType="begin"/>
        </w:r>
        <w:r>
          <w:rPr>
            <w:noProof/>
            <w:webHidden/>
          </w:rPr>
          <w:instrText xml:space="preserve"> PAGEREF _Toc189393637 \h </w:instrText>
        </w:r>
        <w:r>
          <w:rPr>
            <w:noProof/>
            <w:webHidden/>
          </w:rPr>
        </w:r>
        <w:r>
          <w:rPr>
            <w:noProof/>
            <w:webHidden/>
          </w:rPr>
          <w:fldChar w:fldCharType="separate"/>
        </w:r>
        <w:r w:rsidR="003F0101">
          <w:rPr>
            <w:noProof/>
            <w:webHidden/>
          </w:rPr>
          <w:t>256</w:t>
        </w:r>
        <w:r>
          <w:rPr>
            <w:noProof/>
            <w:webHidden/>
          </w:rPr>
          <w:fldChar w:fldCharType="end"/>
        </w:r>
      </w:hyperlink>
    </w:p>
    <w:p w14:paraId="3B4D9F1B" w14:textId="3E53D38A"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38" w:history="1">
        <w:r w:rsidRPr="00397B2D">
          <w:rPr>
            <w:rStyle w:val="Hyperlink"/>
            <w:noProof/>
          </w:rPr>
          <w:t>Chapter 34. Enhancing small claims process</w:t>
        </w:r>
        <w:r>
          <w:rPr>
            <w:noProof/>
            <w:webHidden/>
          </w:rPr>
          <w:tab/>
        </w:r>
        <w:r>
          <w:rPr>
            <w:noProof/>
            <w:webHidden/>
          </w:rPr>
          <w:fldChar w:fldCharType="begin"/>
        </w:r>
        <w:r>
          <w:rPr>
            <w:noProof/>
            <w:webHidden/>
          </w:rPr>
          <w:instrText xml:space="preserve"> PAGEREF _Toc189393638 \h </w:instrText>
        </w:r>
        <w:r>
          <w:rPr>
            <w:noProof/>
            <w:webHidden/>
          </w:rPr>
        </w:r>
        <w:r>
          <w:rPr>
            <w:noProof/>
            <w:webHidden/>
          </w:rPr>
          <w:fldChar w:fldCharType="separate"/>
        </w:r>
        <w:r w:rsidR="003F0101">
          <w:rPr>
            <w:noProof/>
            <w:webHidden/>
          </w:rPr>
          <w:t>257</w:t>
        </w:r>
        <w:r>
          <w:rPr>
            <w:noProof/>
            <w:webHidden/>
          </w:rPr>
          <w:fldChar w:fldCharType="end"/>
        </w:r>
      </w:hyperlink>
    </w:p>
    <w:p w14:paraId="2BDD9BD6" w14:textId="2FD0FA54"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39" w:history="1">
        <w:r w:rsidRPr="00397B2D">
          <w:rPr>
            <w:rStyle w:val="Hyperlink"/>
            <w:noProof/>
          </w:rPr>
          <w:t>34.1 Amendments and intent</w:t>
        </w:r>
        <w:r>
          <w:rPr>
            <w:noProof/>
            <w:webHidden/>
          </w:rPr>
          <w:tab/>
        </w:r>
        <w:r>
          <w:rPr>
            <w:noProof/>
            <w:webHidden/>
          </w:rPr>
          <w:fldChar w:fldCharType="begin"/>
        </w:r>
        <w:r>
          <w:rPr>
            <w:noProof/>
            <w:webHidden/>
          </w:rPr>
          <w:instrText xml:space="preserve"> PAGEREF _Toc189393639 \h </w:instrText>
        </w:r>
        <w:r>
          <w:rPr>
            <w:noProof/>
            <w:webHidden/>
          </w:rPr>
        </w:r>
        <w:r>
          <w:rPr>
            <w:noProof/>
            <w:webHidden/>
          </w:rPr>
          <w:fldChar w:fldCharType="separate"/>
        </w:r>
        <w:r w:rsidR="003F0101">
          <w:rPr>
            <w:noProof/>
            <w:webHidden/>
          </w:rPr>
          <w:t>257</w:t>
        </w:r>
        <w:r>
          <w:rPr>
            <w:noProof/>
            <w:webHidden/>
          </w:rPr>
          <w:fldChar w:fldCharType="end"/>
        </w:r>
      </w:hyperlink>
    </w:p>
    <w:p w14:paraId="6FB03017" w14:textId="128D5B05"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0" w:history="1">
        <w:r w:rsidRPr="00397B2D">
          <w:rPr>
            <w:rStyle w:val="Hyperlink"/>
            <w:noProof/>
          </w:rPr>
          <w:t>34.2 Impact and issues</w:t>
        </w:r>
        <w:r>
          <w:rPr>
            <w:noProof/>
            <w:webHidden/>
          </w:rPr>
          <w:tab/>
        </w:r>
        <w:r>
          <w:rPr>
            <w:noProof/>
            <w:webHidden/>
          </w:rPr>
          <w:fldChar w:fldCharType="begin"/>
        </w:r>
        <w:r>
          <w:rPr>
            <w:noProof/>
            <w:webHidden/>
          </w:rPr>
          <w:instrText xml:space="preserve"> PAGEREF _Toc189393640 \h </w:instrText>
        </w:r>
        <w:r>
          <w:rPr>
            <w:noProof/>
            <w:webHidden/>
          </w:rPr>
        </w:r>
        <w:r>
          <w:rPr>
            <w:noProof/>
            <w:webHidden/>
          </w:rPr>
          <w:fldChar w:fldCharType="separate"/>
        </w:r>
        <w:r w:rsidR="003F0101">
          <w:rPr>
            <w:noProof/>
            <w:webHidden/>
          </w:rPr>
          <w:t>259</w:t>
        </w:r>
        <w:r>
          <w:rPr>
            <w:noProof/>
            <w:webHidden/>
          </w:rPr>
          <w:fldChar w:fldCharType="end"/>
        </w:r>
      </w:hyperlink>
    </w:p>
    <w:p w14:paraId="5531C9E8" w14:textId="4157BBF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1" w:history="1">
        <w:r w:rsidRPr="00397B2D">
          <w:rPr>
            <w:rStyle w:val="Hyperlink"/>
            <w:noProof/>
          </w:rPr>
          <w:t>34.3 Findings and recommendations</w:t>
        </w:r>
        <w:r>
          <w:rPr>
            <w:noProof/>
            <w:webHidden/>
          </w:rPr>
          <w:tab/>
        </w:r>
        <w:r>
          <w:rPr>
            <w:noProof/>
            <w:webHidden/>
          </w:rPr>
          <w:fldChar w:fldCharType="begin"/>
        </w:r>
        <w:r>
          <w:rPr>
            <w:noProof/>
            <w:webHidden/>
          </w:rPr>
          <w:instrText xml:space="preserve"> PAGEREF _Toc189393641 \h </w:instrText>
        </w:r>
        <w:r>
          <w:rPr>
            <w:noProof/>
            <w:webHidden/>
          </w:rPr>
        </w:r>
        <w:r>
          <w:rPr>
            <w:noProof/>
            <w:webHidden/>
          </w:rPr>
          <w:fldChar w:fldCharType="separate"/>
        </w:r>
        <w:r w:rsidR="003F0101">
          <w:rPr>
            <w:noProof/>
            <w:webHidden/>
          </w:rPr>
          <w:t>265</w:t>
        </w:r>
        <w:r>
          <w:rPr>
            <w:noProof/>
            <w:webHidden/>
          </w:rPr>
          <w:fldChar w:fldCharType="end"/>
        </w:r>
      </w:hyperlink>
    </w:p>
    <w:p w14:paraId="721BA451" w14:textId="1927B358"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42" w:history="1">
        <w:r w:rsidRPr="00397B2D">
          <w:rPr>
            <w:rStyle w:val="Hyperlink"/>
            <w:noProof/>
          </w:rPr>
          <w:t>Chapter 35. Prohibiting employer advertisements with pay rates that would contravene the Act</w:t>
        </w:r>
        <w:r>
          <w:rPr>
            <w:noProof/>
            <w:webHidden/>
          </w:rPr>
          <w:tab/>
        </w:r>
        <w:r>
          <w:rPr>
            <w:noProof/>
            <w:webHidden/>
          </w:rPr>
          <w:fldChar w:fldCharType="begin"/>
        </w:r>
        <w:r>
          <w:rPr>
            <w:noProof/>
            <w:webHidden/>
          </w:rPr>
          <w:instrText xml:space="preserve"> PAGEREF _Toc189393642 \h </w:instrText>
        </w:r>
        <w:r>
          <w:rPr>
            <w:noProof/>
            <w:webHidden/>
          </w:rPr>
        </w:r>
        <w:r>
          <w:rPr>
            <w:noProof/>
            <w:webHidden/>
          </w:rPr>
          <w:fldChar w:fldCharType="separate"/>
        </w:r>
        <w:r w:rsidR="003F0101">
          <w:rPr>
            <w:noProof/>
            <w:webHidden/>
          </w:rPr>
          <w:t>267</w:t>
        </w:r>
        <w:r>
          <w:rPr>
            <w:noProof/>
            <w:webHidden/>
          </w:rPr>
          <w:fldChar w:fldCharType="end"/>
        </w:r>
      </w:hyperlink>
    </w:p>
    <w:p w14:paraId="297BABDE" w14:textId="6A24CB14"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3" w:history="1">
        <w:r w:rsidRPr="00397B2D">
          <w:rPr>
            <w:rStyle w:val="Hyperlink"/>
            <w:noProof/>
          </w:rPr>
          <w:t>35.1 Amendments and intent</w:t>
        </w:r>
        <w:r>
          <w:rPr>
            <w:noProof/>
            <w:webHidden/>
          </w:rPr>
          <w:tab/>
        </w:r>
        <w:r>
          <w:rPr>
            <w:noProof/>
            <w:webHidden/>
          </w:rPr>
          <w:fldChar w:fldCharType="begin"/>
        </w:r>
        <w:r>
          <w:rPr>
            <w:noProof/>
            <w:webHidden/>
          </w:rPr>
          <w:instrText xml:space="preserve"> PAGEREF _Toc189393643 \h </w:instrText>
        </w:r>
        <w:r>
          <w:rPr>
            <w:noProof/>
            <w:webHidden/>
          </w:rPr>
        </w:r>
        <w:r>
          <w:rPr>
            <w:noProof/>
            <w:webHidden/>
          </w:rPr>
          <w:fldChar w:fldCharType="separate"/>
        </w:r>
        <w:r w:rsidR="003F0101">
          <w:rPr>
            <w:noProof/>
            <w:webHidden/>
          </w:rPr>
          <w:t>267</w:t>
        </w:r>
        <w:r>
          <w:rPr>
            <w:noProof/>
            <w:webHidden/>
          </w:rPr>
          <w:fldChar w:fldCharType="end"/>
        </w:r>
      </w:hyperlink>
    </w:p>
    <w:p w14:paraId="087D219E" w14:textId="45EC8ED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4" w:history="1">
        <w:r w:rsidRPr="00397B2D">
          <w:rPr>
            <w:rStyle w:val="Hyperlink"/>
            <w:noProof/>
          </w:rPr>
          <w:t>35.2 Impact and issues</w:t>
        </w:r>
        <w:r>
          <w:rPr>
            <w:noProof/>
            <w:webHidden/>
          </w:rPr>
          <w:tab/>
        </w:r>
        <w:r>
          <w:rPr>
            <w:noProof/>
            <w:webHidden/>
          </w:rPr>
          <w:fldChar w:fldCharType="begin"/>
        </w:r>
        <w:r>
          <w:rPr>
            <w:noProof/>
            <w:webHidden/>
          </w:rPr>
          <w:instrText xml:space="preserve"> PAGEREF _Toc189393644 \h </w:instrText>
        </w:r>
        <w:r>
          <w:rPr>
            <w:noProof/>
            <w:webHidden/>
          </w:rPr>
        </w:r>
        <w:r>
          <w:rPr>
            <w:noProof/>
            <w:webHidden/>
          </w:rPr>
          <w:fldChar w:fldCharType="separate"/>
        </w:r>
        <w:r w:rsidR="003F0101">
          <w:rPr>
            <w:noProof/>
            <w:webHidden/>
          </w:rPr>
          <w:t>268</w:t>
        </w:r>
        <w:r>
          <w:rPr>
            <w:noProof/>
            <w:webHidden/>
          </w:rPr>
          <w:fldChar w:fldCharType="end"/>
        </w:r>
      </w:hyperlink>
    </w:p>
    <w:p w14:paraId="437F6631" w14:textId="52D45AD6"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5" w:history="1">
        <w:r w:rsidRPr="00397B2D">
          <w:rPr>
            <w:rStyle w:val="Hyperlink"/>
            <w:noProof/>
          </w:rPr>
          <w:t>35.3 Findings and recommendations</w:t>
        </w:r>
        <w:r>
          <w:rPr>
            <w:noProof/>
            <w:webHidden/>
          </w:rPr>
          <w:tab/>
        </w:r>
        <w:r>
          <w:rPr>
            <w:noProof/>
            <w:webHidden/>
          </w:rPr>
          <w:fldChar w:fldCharType="begin"/>
        </w:r>
        <w:r>
          <w:rPr>
            <w:noProof/>
            <w:webHidden/>
          </w:rPr>
          <w:instrText xml:space="preserve"> PAGEREF _Toc189393645 \h </w:instrText>
        </w:r>
        <w:r>
          <w:rPr>
            <w:noProof/>
            <w:webHidden/>
          </w:rPr>
        </w:r>
        <w:r>
          <w:rPr>
            <w:noProof/>
            <w:webHidden/>
          </w:rPr>
          <w:fldChar w:fldCharType="separate"/>
        </w:r>
        <w:r w:rsidR="003F0101">
          <w:rPr>
            <w:noProof/>
            <w:webHidden/>
          </w:rPr>
          <w:t>270</w:t>
        </w:r>
        <w:r>
          <w:rPr>
            <w:noProof/>
            <w:webHidden/>
          </w:rPr>
          <w:fldChar w:fldCharType="end"/>
        </w:r>
      </w:hyperlink>
    </w:p>
    <w:p w14:paraId="09803DB2" w14:textId="1D744CEB"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46" w:history="1">
        <w:r w:rsidRPr="00397B2D">
          <w:rPr>
            <w:rStyle w:val="Hyperlink"/>
            <w:noProof/>
          </w:rPr>
          <w:t>Chapter 36. Having regard to certain additional matters</w:t>
        </w:r>
        <w:r>
          <w:rPr>
            <w:noProof/>
            <w:webHidden/>
          </w:rPr>
          <w:tab/>
        </w:r>
        <w:r>
          <w:rPr>
            <w:noProof/>
            <w:webHidden/>
          </w:rPr>
          <w:fldChar w:fldCharType="begin"/>
        </w:r>
        <w:r>
          <w:rPr>
            <w:noProof/>
            <w:webHidden/>
          </w:rPr>
          <w:instrText xml:space="preserve"> PAGEREF _Toc189393646 \h </w:instrText>
        </w:r>
        <w:r>
          <w:rPr>
            <w:noProof/>
            <w:webHidden/>
          </w:rPr>
        </w:r>
        <w:r>
          <w:rPr>
            <w:noProof/>
            <w:webHidden/>
          </w:rPr>
          <w:fldChar w:fldCharType="separate"/>
        </w:r>
        <w:r w:rsidR="003F0101">
          <w:rPr>
            <w:noProof/>
            <w:webHidden/>
          </w:rPr>
          <w:t>272</w:t>
        </w:r>
        <w:r>
          <w:rPr>
            <w:noProof/>
            <w:webHidden/>
          </w:rPr>
          <w:fldChar w:fldCharType="end"/>
        </w:r>
      </w:hyperlink>
    </w:p>
    <w:p w14:paraId="17CB8B9D" w14:textId="4D96CCA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7" w:history="1">
        <w:r w:rsidRPr="00397B2D">
          <w:rPr>
            <w:rStyle w:val="Hyperlink"/>
            <w:noProof/>
          </w:rPr>
          <w:t>36.1 Amendments and intent</w:t>
        </w:r>
        <w:r>
          <w:rPr>
            <w:noProof/>
            <w:webHidden/>
          </w:rPr>
          <w:tab/>
        </w:r>
        <w:r>
          <w:rPr>
            <w:noProof/>
            <w:webHidden/>
          </w:rPr>
          <w:fldChar w:fldCharType="begin"/>
        </w:r>
        <w:r>
          <w:rPr>
            <w:noProof/>
            <w:webHidden/>
          </w:rPr>
          <w:instrText xml:space="preserve"> PAGEREF _Toc189393647 \h </w:instrText>
        </w:r>
        <w:r>
          <w:rPr>
            <w:noProof/>
            <w:webHidden/>
          </w:rPr>
        </w:r>
        <w:r>
          <w:rPr>
            <w:noProof/>
            <w:webHidden/>
          </w:rPr>
          <w:fldChar w:fldCharType="separate"/>
        </w:r>
        <w:r w:rsidR="003F0101">
          <w:rPr>
            <w:noProof/>
            <w:webHidden/>
          </w:rPr>
          <w:t>272</w:t>
        </w:r>
        <w:r>
          <w:rPr>
            <w:noProof/>
            <w:webHidden/>
          </w:rPr>
          <w:fldChar w:fldCharType="end"/>
        </w:r>
      </w:hyperlink>
    </w:p>
    <w:p w14:paraId="76B7D77B" w14:textId="71BEBD6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8" w:history="1">
        <w:r w:rsidRPr="00397B2D">
          <w:rPr>
            <w:rStyle w:val="Hyperlink"/>
            <w:noProof/>
          </w:rPr>
          <w:t>36.2 Impact and issues</w:t>
        </w:r>
        <w:r>
          <w:rPr>
            <w:noProof/>
            <w:webHidden/>
          </w:rPr>
          <w:tab/>
        </w:r>
        <w:r>
          <w:rPr>
            <w:noProof/>
            <w:webHidden/>
          </w:rPr>
          <w:fldChar w:fldCharType="begin"/>
        </w:r>
        <w:r>
          <w:rPr>
            <w:noProof/>
            <w:webHidden/>
          </w:rPr>
          <w:instrText xml:space="preserve"> PAGEREF _Toc189393648 \h </w:instrText>
        </w:r>
        <w:r>
          <w:rPr>
            <w:noProof/>
            <w:webHidden/>
          </w:rPr>
        </w:r>
        <w:r>
          <w:rPr>
            <w:noProof/>
            <w:webHidden/>
          </w:rPr>
          <w:fldChar w:fldCharType="separate"/>
        </w:r>
        <w:r w:rsidR="003F0101">
          <w:rPr>
            <w:noProof/>
            <w:webHidden/>
          </w:rPr>
          <w:t>273</w:t>
        </w:r>
        <w:r>
          <w:rPr>
            <w:noProof/>
            <w:webHidden/>
          </w:rPr>
          <w:fldChar w:fldCharType="end"/>
        </w:r>
      </w:hyperlink>
    </w:p>
    <w:p w14:paraId="05D27489" w14:textId="785A0F8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49" w:history="1">
        <w:r w:rsidRPr="00397B2D">
          <w:rPr>
            <w:rStyle w:val="Hyperlink"/>
            <w:noProof/>
          </w:rPr>
          <w:t>36.3 Findings and recommendations</w:t>
        </w:r>
        <w:r>
          <w:rPr>
            <w:noProof/>
            <w:webHidden/>
          </w:rPr>
          <w:tab/>
        </w:r>
        <w:r>
          <w:rPr>
            <w:noProof/>
            <w:webHidden/>
          </w:rPr>
          <w:fldChar w:fldCharType="begin"/>
        </w:r>
        <w:r>
          <w:rPr>
            <w:noProof/>
            <w:webHidden/>
          </w:rPr>
          <w:instrText xml:space="preserve"> PAGEREF _Toc189393649 \h </w:instrText>
        </w:r>
        <w:r>
          <w:rPr>
            <w:noProof/>
            <w:webHidden/>
          </w:rPr>
        </w:r>
        <w:r>
          <w:rPr>
            <w:noProof/>
            <w:webHidden/>
          </w:rPr>
          <w:fldChar w:fldCharType="separate"/>
        </w:r>
        <w:r w:rsidR="003F0101">
          <w:rPr>
            <w:noProof/>
            <w:webHidden/>
          </w:rPr>
          <w:t>274</w:t>
        </w:r>
        <w:r>
          <w:rPr>
            <w:noProof/>
            <w:webHidden/>
          </w:rPr>
          <w:fldChar w:fldCharType="end"/>
        </w:r>
      </w:hyperlink>
    </w:p>
    <w:p w14:paraId="75CD6024" w14:textId="36D56D07"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50" w:history="1">
        <w:r w:rsidRPr="00397B2D">
          <w:rPr>
            <w:rStyle w:val="Hyperlink"/>
            <w:noProof/>
          </w:rPr>
          <w:t>Chapter 37. Amendment of the Safety, Rehabilitation and Compensation Act 1988</w:t>
        </w:r>
        <w:r>
          <w:rPr>
            <w:noProof/>
            <w:webHidden/>
          </w:rPr>
          <w:tab/>
        </w:r>
        <w:r>
          <w:rPr>
            <w:noProof/>
            <w:webHidden/>
          </w:rPr>
          <w:fldChar w:fldCharType="begin"/>
        </w:r>
        <w:r>
          <w:rPr>
            <w:noProof/>
            <w:webHidden/>
          </w:rPr>
          <w:instrText xml:space="preserve"> PAGEREF _Toc189393650 \h </w:instrText>
        </w:r>
        <w:r>
          <w:rPr>
            <w:noProof/>
            <w:webHidden/>
          </w:rPr>
        </w:r>
        <w:r>
          <w:rPr>
            <w:noProof/>
            <w:webHidden/>
          </w:rPr>
          <w:fldChar w:fldCharType="separate"/>
        </w:r>
        <w:r w:rsidR="003F0101">
          <w:rPr>
            <w:noProof/>
            <w:webHidden/>
          </w:rPr>
          <w:t>276</w:t>
        </w:r>
        <w:r>
          <w:rPr>
            <w:noProof/>
            <w:webHidden/>
          </w:rPr>
          <w:fldChar w:fldCharType="end"/>
        </w:r>
      </w:hyperlink>
    </w:p>
    <w:p w14:paraId="62EE4401" w14:textId="71F5BD2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51" w:history="1">
        <w:r w:rsidRPr="00397B2D">
          <w:rPr>
            <w:rStyle w:val="Hyperlink"/>
            <w:noProof/>
          </w:rPr>
          <w:t>37.1 Amendments and intent</w:t>
        </w:r>
        <w:r>
          <w:rPr>
            <w:noProof/>
            <w:webHidden/>
          </w:rPr>
          <w:tab/>
        </w:r>
        <w:r>
          <w:rPr>
            <w:noProof/>
            <w:webHidden/>
          </w:rPr>
          <w:fldChar w:fldCharType="begin"/>
        </w:r>
        <w:r>
          <w:rPr>
            <w:noProof/>
            <w:webHidden/>
          </w:rPr>
          <w:instrText xml:space="preserve"> PAGEREF _Toc189393651 \h </w:instrText>
        </w:r>
        <w:r>
          <w:rPr>
            <w:noProof/>
            <w:webHidden/>
          </w:rPr>
        </w:r>
        <w:r>
          <w:rPr>
            <w:noProof/>
            <w:webHidden/>
          </w:rPr>
          <w:fldChar w:fldCharType="separate"/>
        </w:r>
        <w:r w:rsidR="003F0101">
          <w:rPr>
            <w:noProof/>
            <w:webHidden/>
          </w:rPr>
          <w:t>276</w:t>
        </w:r>
        <w:r>
          <w:rPr>
            <w:noProof/>
            <w:webHidden/>
          </w:rPr>
          <w:fldChar w:fldCharType="end"/>
        </w:r>
      </w:hyperlink>
    </w:p>
    <w:p w14:paraId="69B3CF2D" w14:textId="2CB383AB"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52" w:history="1">
        <w:r w:rsidRPr="00397B2D">
          <w:rPr>
            <w:rStyle w:val="Hyperlink"/>
            <w:noProof/>
          </w:rPr>
          <w:t>37.2 Impact and issues</w:t>
        </w:r>
        <w:r>
          <w:rPr>
            <w:noProof/>
            <w:webHidden/>
          </w:rPr>
          <w:tab/>
        </w:r>
        <w:r>
          <w:rPr>
            <w:noProof/>
            <w:webHidden/>
          </w:rPr>
          <w:fldChar w:fldCharType="begin"/>
        </w:r>
        <w:r>
          <w:rPr>
            <w:noProof/>
            <w:webHidden/>
          </w:rPr>
          <w:instrText xml:space="preserve"> PAGEREF _Toc189393652 \h </w:instrText>
        </w:r>
        <w:r>
          <w:rPr>
            <w:noProof/>
            <w:webHidden/>
          </w:rPr>
        </w:r>
        <w:r>
          <w:rPr>
            <w:noProof/>
            <w:webHidden/>
          </w:rPr>
          <w:fldChar w:fldCharType="separate"/>
        </w:r>
        <w:r w:rsidR="003F0101">
          <w:rPr>
            <w:noProof/>
            <w:webHidden/>
          </w:rPr>
          <w:t>276</w:t>
        </w:r>
        <w:r>
          <w:rPr>
            <w:noProof/>
            <w:webHidden/>
          </w:rPr>
          <w:fldChar w:fldCharType="end"/>
        </w:r>
      </w:hyperlink>
    </w:p>
    <w:p w14:paraId="321FD202" w14:textId="09691A76"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53" w:history="1">
        <w:r w:rsidRPr="00397B2D">
          <w:rPr>
            <w:rStyle w:val="Hyperlink"/>
            <w:noProof/>
          </w:rPr>
          <w:t xml:space="preserve">37.3 Findings and </w:t>
        </w:r>
        <w:r w:rsidRPr="00397B2D">
          <w:rPr>
            <w:rStyle w:val="Hyperlink"/>
            <w:rFonts w:cstheme="minorHAnsi"/>
            <w:noProof/>
            <w:lang w:val="en-US"/>
          </w:rPr>
          <w:t>recommendations</w:t>
        </w:r>
        <w:r>
          <w:rPr>
            <w:noProof/>
            <w:webHidden/>
          </w:rPr>
          <w:tab/>
        </w:r>
        <w:r>
          <w:rPr>
            <w:noProof/>
            <w:webHidden/>
          </w:rPr>
          <w:fldChar w:fldCharType="begin"/>
        </w:r>
        <w:r>
          <w:rPr>
            <w:noProof/>
            <w:webHidden/>
          </w:rPr>
          <w:instrText xml:space="preserve"> PAGEREF _Toc189393653 \h </w:instrText>
        </w:r>
        <w:r>
          <w:rPr>
            <w:noProof/>
            <w:webHidden/>
          </w:rPr>
        </w:r>
        <w:r>
          <w:rPr>
            <w:noProof/>
            <w:webHidden/>
          </w:rPr>
          <w:fldChar w:fldCharType="separate"/>
        </w:r>
        <w:r w:rsidR="003F0101">
          <w:rPr>
            <w:noProof/>
            <w:webHidden/>
          </w:rPr>
          <w:t>277</w:t>
        </w:r>
        <w:r>
          <w:rPr>
            <w:noProof/>
            <w:webHidden/>
          </w:rPr>
          <w:fldChar w:fldCharType="end"/>
        </w:r>
      </w:hyperlink>
    </w:p>
    <w:p w14:paraId="09C85658" w14:textId="580E1529"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54" w:history="1">
        <w:r w:rsidRPr="00397B2D">
          <w:rPr>
            <w:rStyle w:val="Hyperlink"/>
            <w:noProof/>
          </w:rPr>
          <w:t xml:space="preserve">Chapter 38. Closing Loopholes Act: Right of entry </w:t>
        </w:r>
        <w:r w:rsidRPr="00397B2D">
          <w:rPr>
            <w:rStyle w:val="Hyperlink"/>
            <w:noProof/>
          </w:rPr>
          <w:sym w:font="Symbol" w:char="F02D"/>
        </w:r>
        <w:r w:rsidRPr="00397B2D">
          <w:rPr>
            <w:rStyle w:val="Hyperlink"/>
            <w:noProof/>
          </w:rPr>
          <w:t xml:space="preserve"> assisting health and safety representatives</w:t>
        </w:r>
        <w:r>
          <w:rPr>
            <w:noProof/>
            <w:webHidden/>
          </w:rPr>
          <w:tab/>
        </w:r>
        <w:r>
          <w:rPr>
            <w:noProof/>
            <w:webHidden/>
          </w:rPr>
          <w:fldChar w:fldCharType="begin"/>
        </w:r>
        <w:r>
          <w:rPr>
            <w:noProof/>
            <w:webHidden/>
          </w:rPr>
          <w:instrText xml:space="preserve"> PAGEREF _Toc189393654 \h </w:instrText>
        </w:r>
        <w:r>
          <w:rPr>
            <w:noProof/>
            <w:webHidden/>
          </w:rPr>
        </w:r>
        <w:r>
          <w:rPr>
            <w:noProof/>
            <w:webHidden/>
          </w:rPr>
          <w:fldChar w:fldCharType="separate"/>
        </w:r>
        <w:r w:rsidR="003F0101">
          <w:rPr>
            <w:noProof/>
            <w:webHidden/>
          </w:rPr>
          <w:t>278</w:t>
        </w:r>
        <w:r>
          <w:rPr>
            <w:noProof/>
            <w:webHidden/>
          </w:rPr>
          <w:fldChar w:fldCharType="end"/>
        </w:r>
      </w:hyperlink>
    </w:p>
    <w:p w14:paraId="65A5299C" w14:textId="75A088FC"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55" w:history="1">
        <w:r w:rsidRPr="00397B2D">
          <w:rPr>
            <w:rStyle w:val="Hyperlink"/>
            <w:noProof/>
          </w:rPr>
          <w:t>38.1 Amendments and intent</w:t>
        </w:r>
        <w:r>
          <w:rPr>
            <w:noProof/>
            <w:webHidden/>
          </w:rPr>
          <w:tab/>
        </w:r>
        <w:r>
          <w:rPr>
            <w:noProof/>
            <w:webHidden/>
          </w:rPr>
          <w:fldChar w:fldCharType="begin"/>
        </w:r>
        <w:r>
          <w:rPr>
            <w:noProof/>
            <w:webHidden/>
          </w:rPr>
          <w:instrText xml:space="preserve"> PAGEREF _Toc189393655 \h </w:instrText>
        </w:r>
        <w:r>
          <w:rPr>
            <w:noProof/>
            <w:webHidden/>
          </w:rPr>
        </w:r>
        <w:r>
          <w:rPr>
            <w:noProof/>
            <w:webHidden/>
          </w:rPr>
          <w:fldChar w:fldCharType="separate"/>
        </w:r>
        <w:r w:rsidR="003F0101">
          <w:rPr>
            <w:noProof/>
            <w:webHidden/>
          </w:rPr>
          <w:t>278</w:t>
        </w:r>
        <w:r>
          <w:rPr>
            <w:noProof/>
            <w:webHidden/>
          </w:rPr>
          <w:fldChar w:fldCharType="end"/>
        </w:r>
      </w:hyperlink>
    </w:p>
    <w:p w14:paraId="0C3A35FE" w14:textId="5AF9CDC6"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56" w:history="1">
        <w:r w:rsidRPr="00397B2D">
          <w:rPr>
            <w:rStyle w:val="Hyperlink"/>
            <w:noProof/>
          </w:rPr>
          <w:t>38.2 Impact and issues</w:t>
        </w:r>
        <w:r>
          <w:rPr>
            <w:noProof/>
            <w:webHidden/>
          </w:rPr>
          <w:tab/>
        </w:r>
        <w:r>
          <w:rPr>
            <w:noProof/>
            <w:webHidden/>
          </w:rPr>
          <w:fldChar w:fldCharType="begin"/>
        </w:r>
        <w:r>
          <w:rPr>
            <w:noProof/>
            <w:webHidden/>
          </w:rPr>
          <w:instrText xml:space="preserve"> PAGEREF _Toc189393656 \h </w:instrText>
        </w:r>
        <w:r>
          <w:rPr>
            <w:noProof/>
            <w:webHidden/>
          </w:rPr>
        </w:r>
        <w:r>
          <w:rPr>
            <w:noProof/>
            <w:webHidden/>
          </w:rPr>
          <w:fldChar w:fldCharType="separate"/>
        </w:r>
        <w:r w:rsidR="003F0101">
          <w:rPr>
            <w:noProof/>
            <w:webHidden/>
          </w:rPr>
          <w:t>280</w:t>
        </w:r>
        <w:r>
          <w:rPr>
            <w:noProof/>
            <w:webHidden/>
          </w:rPr>
          <w:fldChar w:fldCharType="end"/>
        </w:r>
      </w:hyperlink>
    </w:p>
    <w:p w14:paraId="30360F77" w14:textId="19BE1BBF"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57" w:history="1">
        <w:r w:rsidRPr="00397B2D">
          <w:rPr>
            <w:rStyle w:val="Hyperlink"/>
            <w:noProof/>
          </w:rPr>
          <w:t>38.3 Findings and recommendations</w:t>
        </w:r>
        <w:r>
          <w:rPr>
            <w:noProof/>
            <w:webHidden/>
          </w:rPr>
          <w:tab/>
        </w:r>
        <w:r>
          <w:rPr>
            <w:noProof/>
            <w:webHidden/>
          </w:rPr>
          <w:fldChar w:fldCharType="begin"/>
        </w:r>
        <w:r>
          <w:rPr>
            <w:noProof/>
            <w:webHidden/>
          </w:rPr>
          <w:instrText xml:space="preserve"> PAGEREF _Toc189393657 \h </w:instrText>
        </w:r>
        <w:r>
          <w:rPr>
            <w:noProof/>
            <w:webHidden/>
          </w:rPr>
        </w:r>
        <w:r>
          <w:rPr>
            <w:noProof/>
            <w:webHidden/>
          </w:rPr>
          <w:fldChar w:fldCharType="separate"/>
        </w:r>
        <w:r w:rsidR="003F0101">
          <w:rPr>
            <w:noProof/>
            <w:webHidden/>
          </w:rPr>
          <w:t>282</w:t>
        </w:r>
        <w:r>
          <w:rPr>
            <w:noProof/>
            <w:webHidden/>
          </w:rPr>
          <w:fldChar w:fldCharType="end"/>
        </w:r>
      </w:hyperlink>
    </w:p>
    <w:p w14:paraId="24FC18EE" w14:textId="518341F7" w:rsidR="009F5831" w:rsidRDefault="009F5831">
      <w:pPr>
        <w:pStyle w:val="TOC1"/>
        <w:rPr>
          <w:rFonts w:eastAsiaTheme="minorEastAsia"/>
          <w:noProof/>
          <w:kern w:val="2"/>
          <w:sz w:val="24"/>
          <w:szCs w:val="24"/>
          <w:lang w:eastAsia="en-AU"/>
          <w14:ligatures w14:val="standardContextual"/>
        </w:rPr>
      </w:pPr>
      <w:hyperlink w:anchor="_Toc189393658" w:history="1">
        <w:r w:rsidRPr="00397B2D">
          <w:rPr>
            <w:rStyle w:val="Hyperlink"/>
            <w:noProof/>
          </w:rPr>
          <w:t>Part 5. Next steps</w:t>
        </w:r>
        <w:r>
          <w:rPr>
            <w:noProof/>
            <w:webHidden/>
          </w:rPr>
          <w:tab/>
        </w:r>
        <w:r>
          <w:rPr>
            <w:noProof/>
            <w:webHidden/>
          </w:rPr>
          <w:fldChar w:fldCharType="begin"/>
        </w:r>
        <w:r>
          <w:rPr>
            <w:noProof/>
            <w:webHidden/>
          </w:rPr>
          <w:instrText xml:space="preserve"> PAGEREF _Toc189393658 \h </w:instrText>
        </w:r>
        <w:r>
          <w:rPr>
            <w:noProof/>
            <w:webHidden/>
          </w:rPr>
        </w:r>
        <w:r>
          <w:rPr>
            <w:noProof/>
            <w:webHidden/>
          </w:rPr>
          <w:fldChar w:fldCharType="separate"/>
        </w:r>
        <w:r w:rsidR="003F0101">
          <w:rPr>
            <w:noProof/>
            <w:webHidden/>
          </w:rPr>
          <w:t>284</w:t>
        </w:r>
        <w:r>
          <w:rPr>
            <w:noProof/>
            <w:webHidden/>
          </w:rPr>
          <w:fldChar w:fldCharType="end"/>
        </w:r>
      </w:hyperlink>
    </w:p>
    <w:p w14:paraId="76552DFC" w14:textId="48472E27" w:rsidR="009F5831" w:rsidRDefault="009F5831">
      <w:pPr>
        <w:pStyle w:val="TOC1"/>
        <w:rPr>
          <w:rFonts w:eastAsiaTheme="minorEastAsia"/>
          <w:noProof/>
          <w:kern w:val="2"/>
          <w:sz w:val="24"/>
          <w:szCs w:val="24"/>
          <w:lang w:eastAsia="en-AU"/>
          <w14:ligatures w14:val="standardContextual"/>
        </w:rPr>
      </w:pPr>
      <w:hyperlink w:anchor="_Toc189393659" w:history="1">
        <w:r w:rsidRPr="00397B2D">
          <w:rPr>
            <w:rStyle w:val="Hyperlink"/>
            <w:noProof/>
          </w:rPr>
          <w:t>Bibliography</w:t>
        </w:r>
        <w:r>
          <w:rPr>
            <w:noProof/>
            <w:webHidden/>
          </w:rPr>
          <w:tab/>
        </w:r>
        <w:r>
          <w:rPr>
            <w:noProof/>
            <w:webHidden/>
          </w:rPr>
          <w:fldChar w:fldCharType="begin"/>
        </w:r>
        <w:r>
          <w:rPr>
            <w:noProof/>
            <w:webHidden/>
          </w:rPr>
          <w:instrText xml:space="preserve"> PAGEREF _Toc189393659 \h </w:instrText>
        </w:r>
        <w:r>
          <w:rPr>
            <w:noProof/>
            <w:webHidden/>
          </w:rPr>
        </w:r>
        <w:r>
          <w:rPr>
            <w:noProof/>
            <w:webHidden/>
          </w:rPr>
          <w:fldChar w:fldCharType="separate"/>
        </w:r>
        <w:r w:rsidR="003F0101">
          <w:rPr>
            <w:noProof/>
            <w:webHidden/>
          </w:rPr>
          <w:t>285</w:t>
        </w:r>
        <w:r>
          <w:rPr>
            <w:noProof/>
            <w:webHidden/>
          </w:rPr>
          <w:fldChar w:fldCharType="end"/>
        </w:r>
      </w:hyperlink>
    </w:p>
    <w:p w14:paraId="3CD22059" w14:textId="5522D1A6" w:rsidR="009F5831" w:rsidRDefault="009F5831">
      <w:pPr>
        <w:pStyle w:val="TOC1"/>
        <w:rPr>
          <w:rFonts w:eastAsiaTheme="minorEastAsia"/>
          <w:noProof/>
          <w:kern w:val="2"/>
          <w:sz w:val="24"/>
          <w:szCs w:val="24"/>
          <w:lang w:eastAsia="en-AU"/>
          <w14:ligatures w14:val="standardContextual"/>
        </w:rPr>
      </w:pPr>
      <w:hyperlink w:anchor="_Toc189393660" w:history="1">
        <w:r w:rsidRPr="00397B2D">
          <w:rPr>
            <w:rStyle w:val="Hyperlink"/>
            <w:noProof/>
          </w:rPr>
          <w:t>Appendix 1 – Labour market and wages</w:t>
        </w:r>
        <w:r>
          <w:rPr>
            <w:noProof/>
            <w:webHidden/>
          </w:rPr>
          <w:tab/>
        </w:r>
        <w:r>
          <w:rPr>
            <w:noProof/>
            <w:webHidden/>
          </w:rPr>
          <w:fldChar w:fldCharType="begin"/>
        </w:r>
        <w:r>
          <w:rPr>
            <w:noProof/>
            <w:webHidden/>
          </w:rPr>
          <w:instrText xml:space="preserve"> PAGEREF _Toc189393660 \h </w:instrText>
        </w:r>
        <w:r>
          <w:rPr>
            <w:noProof/>
            <w:webHidden/>
          </w:rPr>
        </w:r>
        <w:r>
          <w:rPr>
            <w:noProof/>
            <w:webHidden/>
          </w:rPr>
          <w:fldChar w:fldCharType="separate"/>
        </w:r>
        <w:r w:rsidR="003F0101">
          <w:rPr>
            <w:noProof/>
            <w:webHidden/>
          </w:rPr>
          <w:t>289</w:t>
        </w:r>
        <w:r>
          <w:rPr>
            <w:noProof/>
            <w:webHidden/>
          </w:rPr>
          <w:fldChar w:fldCharType="end"/>
        </w:r>
      </w:hyperlink>
    </w:p>
    <w:p w14:paraId="642FBD4A" w14:textId="0EF471DF"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61" w:history="1">
        <w:r w:rsidRPr="00397B2D">
          <w:rPr>
            <w:rStyle w:val="Hyperlink"/>
            <w:noProof/>
          </w:rPr>
          <w:t>1. Introduction</w:t>
        </w:r>
        <w:r>
          <w:rPr>
            <w:noProof/>
            <w:webHidden/>
          </w:rPr>
          <w:tab/>
        </w:r>
        <w:r>
          <w:rPr>
            <w:noProof/>
            <w:webHidden/>
          </w:rPr>
          <w:fldChar w:fldCharType="begin"/>
        </w:r>
        <w:r>
          <w:rPr>
            <w:noProof/>
            <w:webHidden/>
          </w:rPr>
          <w:instrText xml:space="preserve"> PAGEREF _Toc189393661 \h </w:instrText>
        </w:r>
        <w:r>
          <w:rPr>
            <w:noProof/>
            <w:webHidden/>
          </w:rPr>
        </w:r>
        <w:r>
          <w:rPr>
            <w:noProof/>
            <w:webHidden/>
          </w:rPr>
          <w:fldChar w:fldCharType="separate"/>
        </w:r>
        <w:r w:rsidR="003F0101">
          <w:rPr>
            <w:noProof/>
            <w:webHidden/>
          </w:rPr>
          <w:t>289</w:t>
        </w:r>
        <w:r>
          <w:rPr>
            <w:noProof/>
            <w:webHidden/>
          </w:rPr>
          <w:fldChar w:fldCharType="end"/>
        </w:r>
      </w:hyperlink>
    </w:p>
    <w:p w14:paraId="167D9A40" w14:textId="5A9F4A33"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62" w:history="1">
        <w:r w:rsidRPr="00397B2D">
          <w:rPr>
            <w:rStyle w:val="Hyperlink"/>
            <w:noProof/>
          </w:rPr>
          <w:t>2. Developments in the labour market</w:t>
        </w:r>
        <w:r>
          <w:rPr>
            <w:noProof/>
            <w:webHidden/>
          </w:rPr>
          <w:tab/>
        </w:r>
        <w:r>
          <w:rPr>
            <w:noProof/>
            <w:webHidden/>
          </w:rPr>
          <w:fldChar w:fldCharType="begin"/>
        </w:r>
        <w:r>
          <w:rPr>
            <w:noProof/>
            <w:webHidden/>
          </w:rPr>
          <w:instrText xml:space="preserve"> PAGEREF _Toc189393662 \h </w:instrText>
        </w:r>
        <w:r>
          <w:rPr>
            <w:noProof/>
            <w:webHidden/>
          </w:rPr>
        </w:r>
        <w:r>
          <w:rPr>
            <w:noProof/>
            <w:webHidden/>
          </w:rPr>
          <w:fldChar w:fldCharType="separate"/>
        </w:r>
        <w:r w:rsidR="003F0101">
          <w:rPr>
            <w:noProof/>
            <w:webHidden/>
          </w:rPr>
          <w:t>289</w:t>
        </w:r>
        <w:r>
          <w:rPr>
            <w:noProof/>
            <w:webHidden/>
          </w:rPr>
          <w:fldChar w:fldCharType="end"/>
        </w:r>
      </w:hyperlink>
    </w:p>
    <w:p w14:paraId="6B933EF9" w14:textId="720DD22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63" w:history="1">
        <w:r w:rsidRPr="00397B2D">
          <w:rPr>
            <w:rStyle w:val="Hyperlink"/>
            <w:noProof/>
          </w:rPr>
          <w:t>2.1 Employment growth, by industry and occupation</w:t>
        </w:r>
        <w:r>
          <w:rPr>
            <w:noProof/>
            <w:webHidden/>
          </w:rPr>
          <w:tab/>
        </w:r>
        <w:r>
          <w:rPr>
            <w:noProof/>
            <w:webHidden/>
          </w:rPr>
          <w:fldChar w:fldCharType="begin"/>
        </w:r>
        <w:r>
          <w:rPr>
            <w:noProof/>
            <w:webHidden/>
          </w:rPr>
          <w:instrText xml:space="preserve"> PAGEREF _Toc189393663 \h </w:instrText>
        </w:r>
        <w:r>
          <w:rPr>
            <w:noProof/>
            <w:webHidden/>
          </w:rPr>
        </w:r>
        <w:r>
          <w:rPr>
            <w:noProof/>
            <w:webHidden/>
          </w:rPr>
          <w:fldChar w:fldCharType="separate"/>
        </w:r>
        <w:r w:rsidR="003F0101">
          <w:rPr>
            <w:noProof/>
            <w:webHidden/>
          </w:rPr>
          <w:t>289</w:t>
        </w:r>
        <w:r>
          <w:rPr>
            <w:noProof/>
            <w:webHidden/>
          </w:rPr>
          <w:fldChar w:fldCharType="end"/>
        </w:r>
      </w:hyperlink>
    </w:p>
    <w:p w14:paraId="0AE3B95E" w14:textId="3ABF7D4A"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64" w:history="1">
        <w:r w:rsidRPr="00397B2D">
          <w:rPr>
            <w:rStyle w:val="Hyperlink"/>
            <w:noProof/>
          </w:rPr>
          <w:t>2.2 Casual employment</w:t>
        </w:r>
        <w:r>
          <w:rPr>
            <w:noProof/>
            <w:webHidden/>
          </w:rPr>
          <w:tab/>
        </w:r>
        <w:r>
          <w:rPr>
            <w:noProof/>
            <w:webHidden/>
          </w:rPr>
          <w:fldChar w:fldCharType="begin"/>
        </w:r>
        <w:r>
          <w:rPr>
            <w:noProof/>
            <w:webHidden/>
          </w:rPr>
          <w:instrText xml:space="preserve"> PAGEREF _Toc189393664 \h </w:instrText>
        </w:r>
        <w:r>
          <w:rPr>
            <w:noProof/>
            <w:webHidden/>
          </w:rPr>
        </w:r>
        <w:r>
          <w:rPr>
            <w:noProof/>
            <w:webHidden/>
          </w:rPr>
          <w:fldChar w:fldCharType="separate"/>
        </w:r>
        <w:r w:rsidR="003F0101">
          <w:rPr>
            <w:noProof/>
            <w:webHidden/>
          </w:rPr>
          <w:t>295</w:t>
        </w:r>
        <w:r>
          <w:rPr>
            <w:noProof/>
            <w:webHidden/>
          </w:rPr>
          <w:fldChar w:fldCharType="end"/>
        </w:r>
      </w:hyperlink>
    </w:p>
    <w:p w14:paraId="5D4AF5A2" w14:textId="4405B567"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65" w:history="1">
        <w:r w:rsidRPr="00397B2D">
          <w:rPr>
            <w:rStyle w:val="Hyperlink"/>
            <w:noProof/>
          </w:rPr>
          <w:t>2.3 Flexible working arrangements</w:t>
        </w:r>
        <w:r>
          <w:rPr>
            <w:noProof/>
            <w:webHidden/>
          </w:rPr>
          <w:tab/>
        </w:r>
        <w:r>
          <w:rPr>
            <w:noProof/>
            <w:webHidden/>
          </w:rPr>
          <w:fldChar w:fldCharType="begin"/>
        </w:r>
        <w:r>
          <w:rPr>
            <w:noProof/>
            <w:webHidden/>
          </w:rPr>
          <w:instrText xml:space="preserve"> PAGEREF _Toc189393665 \h </w:instrText>
        </w:r>
        <w:r>
          <w:rPr>
            <w:noProof/>
            <w:webHidden/>
          </w:rPr>
        </w:r>
        <w:r>
          <w:rPr>
            <w:noProof/>
            <w:webHidden/>
          </w:rPr>
          <w:fldChar w:fldCharType="separate"/>
        </w:r>
        <w:r w:rsidR="003F0101">
          <w:rPr>
            <w:noProof/>
            <w:webHidden/>
          </w:rPr>
          <w:t>299</w:t>
        </w:r>
        <w:r>
          <w:rPr>
            <w:noProof/>
            <w:webHidden/>
          </w:rPr>
          <w:fldChar w:fldCharType="end"/>
        </w:r>
      </w:hyperlink>
    </w:p>
    <w:p w14:paraId="1FBE2151" w14:textId="52F5E4A3"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66" w:history="1">
        <w:r w:rsidRPr="00397B2D">
          <w:rPr>
            <w:rStyle w:val="Hyperlink"/>
            <w:noProof/>
          </w:rPr>
          <w:t>2.4 Fixed-term arrangements</w:t>
        </w:r>
        <w:r>
          <w:rPr>
            <w:noProof/>
            <w:webHidden/>
          </w:rPr>
          <w:tab/>
        </w:r>
        <w:r>
          <w:rPr>
            <w:noProof/>
            <w:webHidden/>
          </w:rPr>
          <w:fldChar w:fldCharType="begin"/>
        </w:r>
        <w:r>
          <w:rPr>
            <w:noProof/>
            <w:webHidden/>
          </w:rPr>
          <w:instrText xml:space="preserve"> PAGEREF _Toc189393666 \h </w:instrText>
        </w:r>
        <w:r>
          <w:rPr>
            <w:noProof/>
            <w:webHidden/>
          </w:rPr>
        </w:r>
        <w:r>
          <w:rPr>
            <w:noProof/>
            <w:webHidden/>
          </w:rPr>
          <w:fldChar w:fldCharType="separate"/>
        </w:r>
        <w:r w:rsidR="003F0101">
          <w:rPr>
            <w:noProof/>
            <w:webHidden/>
          </w:rPr>
          <w:t>299</w:t>
        </w:r>
        <w:r>
          <w:rPr>
            <w:noProof/>
            <w:webHidden/>
          </w:rPr>
          <w:fldChar w:fldCharType="end"/>
        </w:r>
      </w:hyperlink>
    </w:p>
    <w:p w14:paraId="5C10F59E" w14:textId="49AA0CB2"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67" w:history="1">
        <w:r w:rsidRPr="00397B2D">
          <w:rPr>
            <w:rStyle w:val="Hyperlink"/>
            <w:noProof/>
          </w:rPr>
          <w:t>2.5 Trade union membership</w:t>
        </w:r>
        <w:r>
          <w:rPr>
            <w:noProof/>
            <w:webHidden/>
          </w:rPr>
          <w:tab/>
        </w:r>
        <w:r>
          <w:rPr>
            <w:noProof/>
            <w:webHidden/>
          </w:rPr>
          <w:fldChar w:fldCharType="begin"/>
        </w:r>
        <w:r>
          <w:rPr>
            <w:noProof/>
            <w:webHidden/>
          </w:rPr>
          <w:instrText xml:space="preserve"> PAGEREF _Toc189393667 \h </w:instrText>
        </w:r>
        <w:r>
          <w:rPr>
            <w:noProof/>
            <w:webHidden/>
          </w:rPr>
        </w:r>
        <w:r>
          <w:rPr>
            <w:noProof/>
            <w:webHidden/>
          </w:rPr>
          <w:fldChar w:fldCharType="separate"/>
        </w:r>
        <w:r w:rsidR="003F0101">
          <w:rPr>
            <w:noProof/>
            <w:webHidden/>
          </w:rPr>
          <w:t>304</w:t>
        </w:r>
        <w:r>
          <w:rPr>
            <w:noProof/>
            <w:webHidden/>
          </w:rPr>
          <w:fldChar w:fldCharType="end"/>
        </w:r>
      </w:hyperlink>
    </w:p>
    <w:p w14:paraId="11AB9C65" w14:textId="2C8B575B"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68" w:history="1">
        <w:r w:rsidRPr="00397B2D">
          <w:rPr>
            <w:rStyle w:val="Hyperlink"/>
            <w:noProof/>
          </w:rPr>
          <w:t>2.6 Select employment characteristics based on data from the HILDA Survey</w:t>
        </w:r>
        <w:r>
          <w:rPr>
            <w:noProof/>
            <w:webHidden/>
          </w:rPr>
          <w:tab/>
        </w:r>
        <w:r>
          <w:rPr>
            <w:noProof/>
            <w:webHidden/>
          </w:rPr>
          <w:fldChar w:fldCharType="begin"/>
        </w:r>
        <w:r>
          <w:rPr>
            <w:noProof/>
            <w:webHidden/>
          </w:rPr>
          <w:instrText xml:space="preserve"> PAGEREF _Toc189393668 \h </w:instrText>
        </w:r>
        <w:r>
          <w:rPr>
            <w:noProof/>
            <w:webHidden/>
          </w:rPr>
        </w:r>
        <w:r>
          <w:rPr>
            <w:noProof/>
            <w:webHidden/>
          </w:rPr>
          <w:fldChar w:fldCharType="separate"/>
        </w:r>
        <w:r w:rsidR="003F0101">
          <w:rPr>
            <w:noProof/>
            <w:webHidden/>
          </w:rPr>
          <w:t>306</w:t>
        </w:r>
        <w:r>
          <w:rPr>
            <w:noProof/>
            <w:webHidden/>
          </w:rPr>
          <w:fldChar w:fldCharType="end"/>
        </w:r>
      </w:hyperlink>
    </w:p>
    <w:p w14:paraId="7F9B9B0A" w14:textId="202CAE85"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69" w:history="1">
        <w:r w:rsidRPr="00397B2D">
          <w:rPr>
            <w:rStyle w:val="Hyperlink"/>
            <w:noProof/>
          </w:rPr>
          <w:t>3. Wage relativities and growth</w:t>
        </w:r>
        <w:r>
          <w:rPr>
            <w:noProof/>
            <w:webHidden/>
          </w:rPr>
          <w:tab/>
        </w:r>
        <w:r>
          <w:rPr>
            <w:noProof/>
            <w:webHidden/>
          </w:rPr>
          <w:fldChar w:fldCharType="begin"/>
        </w:r>
        <w:r>
          <w:rPr>
            <w:noProof/>
            <w:webHidden/>
          </w:rPr>
          <w:instrText xml:space="preserve"> PAGEREF _Toc189393669 \h </w:instrText>
        </w:r>
        <w:r>
          <w:rPr>
            <w:noProof/>
            <w:webHidden/>
          </w:rPr>
        </w:r>
        <w:r>
          <w:rPr>
            <w:noProof/>
            <w:webHidden/>
          </w:rPr>
          <w:fldChar w:fldCharType="separate"/>
        </w:r>
        <w:r w:rsidR="003F0101">
          <w:rPr>
            <w:noProof/>
            <w:webHidden/>
          </w:rPr>
          <w:t>316</w:t>
        </w:r>
        <w:r>
          <w:rPr>
            <w:noProof/>
            <w:webHidden/>
          </w:rPr>
          <w:fldChar w:fldCharType="end"/>
        </w:r>
      </w:hyperlink>
    </w:p>
    <w:p w14:paraId="0F97D25C" w14:textId="6022D0A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70" w:history="1">
        <w:r w:rsidRPr="00397B2D">
          <w:rPr>
            <w:rStyle w:val="Hyperlink"/>
            <w:noProof/>
          </w:rPr>
          <w:t>3.1 WPI data</w:t>
        </w:r>
        <w:r>
          <w:rPr>
            <w:noProof/>
            <w:webHidden/>
          </w:rPr>
          <w:tab/>
        </w:r>
        <w:r>
          <w:rPr>
            <w:noProof/>
            <w:webHidden/>
          </w:rPr>
          <w:fldChar w:fldCharType="begin"/>
        </w:r>
        <w:r>
          <w:rPr>
            <w:noProof/>
            <w:webHidden/>
          </w:rPr>
          <w:instrText xml:space="preserve"> PAGEREF _Toc189393670 \h </w:instrText>
        </w:r>
        <w:r>
          <w:rPr>
            <w:noProof/>
            <w:webHidden/>
          </w:rPr>
        </w:r>
        <w:r>
          <w:rPr>
            <w:noProof/>
            <w:webHidden/>
          </w:rPr>
          <w:fldChar w:fldCharType="separate"/>
        </w:r>
        <w:r w:rsidR="003F0101">
          <w:rPr>
            <w:noProof/>
            <w:webHidden/>
          </w:rPr>
          <w:t>319</w:t>
        </w:r>
        <w:r>
          <w:rPr>
            <w:noProof/>
            <w:webHidden/>
          </w:rPr>
          <w:fldChar w:fldCharType="end"/>
        </w:r>
      </w:hyperlink>
    </w:p>
    <w:p w14:paraId="4E6DD37C" w14:textId="7EEC967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71" w:history="1">
        <w:r w:rsidRPr="00397B2D">
          <w:rPr>
            <w:rStyle w:val="Hyperlink"/>
            <w:noProof/>
          </w:rPr>
          <w:t>3.2 Average weekly ordinary time earnings (AWOTE) data</w:t>
        </w:r>
        <w:r>
          <w:rPr>
            <w:noProof/>
            <w:webHidden/>
          </w:rPr>
          <w:tab/>
        </w:r>
        <w:r>
          <w:rPr>
            <w:noProof/>
            <w:webHidden/>
          </w:rPr>
          <w:fldChar w:fldCharType="begin"/>
        </w:r>
        <w:r>
          <w:rPr>
            <w:noProof/>
            <w:webHidden/>
          </w:rPr>
          <w:instrText xml:space="preserve"> PAGEREF _Toc189393671 \h </w:instrText>
        </w:r>
        <w:r>
          <w:rPr>
            <w:noProof/>
            <w:webHidden/>
          </w:rPr>
        </w:r>
        <w:r>
          <w:rPr>
            <w:noProof/>
            <w:webHidden/>
          </w:rPr>
          <w:fldChar w:fldCharType="separate"/>
        </w:r>
        <w:r w:rsidR="003F0101">
          <w:rPr>
            <w:noProof/>
            <w:webHidden/>
          </w:rPr>
          <w:t>329</w:t>
        </w:r>
        <w:r>
          <w:rPr>
            <w:noProof/>
            <w:webHidden/>
          </w:rPr>
          <w:fldChar w:fldCharType="end"/>
        </w:r>
      </w:hyperlink>
    </w:p>
    <w:p w14:paraId="6657217F" w14:textId="4AAA1ECE"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72" w:history="1">
        <w:r w:rsidRPr="00397B2D">
          <w:rPr>
            <w:rStyle w:val="Hyperlink"/>
            <w:noProof/>
          </w:rPr>
          <w:t>3.3 Employee earnings and hours (EEH)</w:t>
        </w:r>
        <w:r>
          <w:rPr>
            <w:noProof/>
            <w:webHidden/>
          </w:rPr>
          <w:tab/>
        </w:r>
        <w:r>
          <w:rPr>
            <w:noProof/>
            <w:webHidden/>
          </w:rPr>
          <w:fldChar w:fldCharType="begin"/>
        </w:r>
        <w:r>
          <w:rPr>
            <w:noProof/>
            <w:webHidden/>
          </w:rPr>
          <w:instrText xml:space="preserve"> PAGEREF _Toc189393672 \h </w:instrText>
        </w:r>
        <w:r>
          <w:rPr>
            <w:noProof/>
            <w:webHidden/>
          </w:rPr>
        </w:r>
        <w:r>
          <w:rPr>
            <w:noProof/>
            <w:webHidden/>
          </w:rPr>
          <w:fldChar w:fldCharType="separate"/>
        </w:r>
        <w:r w:rsidR="003F0101">
          <w:rPr>
            <w:noProof/>
            <w:webHidden/>
          </w:rPr>
          <w:t>333</w:t>
        </w:r>
        <w:r>
          <w:rPr>
            <w:noProof/>
            <w:webHidden/>
          </w:rPr>
          <w:fldChar w:fldCharType="end"/>
        </w:r>
      </w:hyperlink>
    </w:p>
    <w:p w14:paraId="37AD0318" w14:textId="11B3FD27"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73" w:history="1">
        <w:r w:rsidRPr="00397B2D">
          <w:rPr>
            <w:rStyle w:val="Hyperlink"/>
            <w:noProof/>
          </w:rPr>
          <w:t>3.4 OECD data</w:t>
        </w:r>
        <w:r>
          <w:rPr>
            <w:noProof/>
            <w:webHidden/>
          </w:rPr>
          <w:tab/>
        </w:r>
        <w:r>
          <w:rPr>
            <w:noProof/>
            <w:webHidden/>
          </w:rPr>
          <w:fldChar w:fldCharType="begin"/>
        </w:r>
        <w:r>
          <w:rPr>
            <w:noProof/>
            <w:webHidden/>
          </w:rPr>
          <w:instrText xml:space="preserve"> PAGEREF _Toc189393673 \h </w:instrText>
        </w:r>
        <w:r>
          <w:rPr>
            <w:noProof/>
            <w:webHidden/>
          </w:rPr>
        </w:r>
        <w:r>
          <w:rPr>
            <w:noProof/>
            <w:webHidden/>
          </w:rPr>
          <w:fldChar w:fldCharType="separate"/>
        </w:r>
        <w:r w:rsidR="003F0101">
          <w:rPr>
            <w:noProof/>
            <w:webHidden/>
          </w:rPr>
          <w:t>336</w:t>
        </w:r>
        <w:r>
          <w:rPr>
            <w:noProof/>
            <w:webHidden/>
          </w:rPr>
          <w:fldChar w:fldCharType="end"/>
        </w:r>
      </w:hyperlink>
    </w:p>
    <w:p w14:paraId="035C7029" w14:textId="3BDB3868"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74" w:history="1">
        <w:r w:rsidRPr="00397B2D">
          <w:rPr>
            <w:rStyle w:val="Hyperlink"/>
            <w:noProof/>
          </w:rPr>
          <w:t>3.5 HILDA data</w:t>
        </w:r>
        <w:r>
          <w:rPr>
            <w:noProof/>
            <w:webHidden/>
          </w:rPr>
          <w:tab/>
        </w:r>
        <w:r>
          <w:rPr>
            <w:noProof/>
            <w:webHidden/>
          </w:rPr>
          <w:fldChar w:fldCharType="begin"/>
        </w:r>
        <w:r>
          <w:rPr>
            <w:noProof/>
            <w:webHidden/>
          </w:rPr>
          <w:instrText xml:space="preserve"> PAGEREF _Toc189393674 \h </w:instrText>
        </w:r>
        <w:r>
          <w:rPr>
            <w:noProof/>
            <w:webHidden/>
          </w:rPr>
        </w:r>
        <w:r>
          <w:rPr>
            <w:noProof/>
            <w:webHidden/>
          </w:rPr>
          <w:fldChar w:fldCharType="separate"/>
        </w:r>
        <w:r w:rsidR="003F0101">
          <w:rPr>
            <w:noProof/>
            <w:webHidden/>
          </w:rPr>
          <w:t>337</w:t>
        </w:r>
        <w:r>
          <w:rPr>
            <w:noProof/>
            <w:webHidden/>
          </w:rPr>
          <w:fldChar w:fldCharType="end"/>
        </w:r>
      </w:hyperlink>
    </w:p>
    <w:p w14:paraId="0C479077" w14:textId="4E191D09" w:rsidR="009F5831" w:rsidRDefault="009F5831">
      <w:pPr>
        <w:pStyle w:val="TOC1"/>
        <w:rPr>
          <w:rFonts w:eastAsiaTheme="minorEastAsia"/>
          <w:noProof/>
          <w:kern w:val="2"/>
          <w:sz w:val="24"/>
          <w:szCs w:val="24"/>
          <w:lang w:eastAsia="en-AU"/>
          <w14:ligatures w14:val="standardContextual"/>
        </w:rPr>
      </w:pPr>
      <w:hyperlink w:anchor="_Toc189393675" w:history="1">
        <w:r w:rsidRPr="00397B2D">
          <w:rPr>
            <w:rStyle w:val="Hyperlink"/>
            <w:noProof/>
          </w:rPr>
          <w:t>Appendix 2 – Federal Workplace Agreements Database</w:t>
        </w:r>
        <w:r>
          <w:rPr>
            <w:noProof/>
            <w:webHidden/>
          </w:rPr>
          <w:tab/>
        </w:r>
        <w:r>
          <w:rPr>
            <w:noProof/>
            <w:webHidden/>
          </w:rPr>
          <w:fldChar w:fldCharType="begin"/>
        </w:r>
        <w:r>
          <w:rPr>
            <w:noProof/>
            <w:webHidden/>
          </w:rPr>
          <w:instrText xml:space="preserve"> PAGEREF _Toc189393675 \h </w:instrText>
        </w:r>
        <w:r>
          <w:rPr>
            <w:noProof/>
            <w:webHidden/>
          </w:rPr>
        </w:r>
        <w:r>
          <w:rPr>
            <w:noProof/>
            <w:webHidden/>
          </w:rPr>
          <w:fldChar w:fldCharType="separate"/>
        </w:r>
        <w:r w:rsidR="003F0101">
          <w:rPr>
            <w:noProof/>
            <w:webHidden/>
          </w:rPr>
          <w:t>351</w:t>
        </w:r>
        <w:r>
          <w:rPr>
            <w:noProof/>
            <w:webHidden/>
          </w:rPr>
          <w:fldChar w:fldCharType="end"/>
        </w:r>
      </w:hyperlink>
    </w:p>
    <w:p w14:paraId="307DE838" w14:textId="09345820" w:rsidR="009F5831" w:rsidRDefault="009F5831">
      <w:pPr>
        <w:pStyle w:val="TOC1"/>
        <w:rPr>
          <w:rFonts w:eastAsiaTheme="minorEastAsia"/>
          <w:noProof/>
          <w:kern w:val="2"/>
          <w:sz w:val="24"/>
          <w:szCs w:val="24"/>
          <w:lang w:eastAsia="en-AU"/>
          <w14:ligatures w14:val="standardContextual"/>
        </w:rPr>
      </w:pPr>
      <w:hyperlink w:anchor="_Toc189393676" w:history="1">
        <w:r w:rsidRPr="00397B2D">
          <w:rPr>
            <w:rStyle w:val="Hyperlink"/>
            <w:noProof/>
          </w:rPr>
          <w:t>Appendix 3 – Fair Work Commission data</w:t>
        </w:r>
        <w:r>
          <w:rPr>
            <w:noProof/>
            <w:webHidden/>
          </w:rPr>
          <w:tab/>
        </w:r>
        <w:r>
          <w:rPr>
            <w:noProof/>
            <w:webHidden/>
          </w:rPr>
          <w:fldChar w:fldCharType="begin"/>
        </w:r>
        <w:r>
          <w:rPr>
            <w:noProof/>
            <w:webHidden/>
          </w:rPr>
          <w:instrText xml:space="preserve"> PAGEREF _Toc189393676 \h </w:instrText>
        </w:r>
        <w:r>
          <w:rPr>
            <w:noProof/>
            <w:webHidden/>
          </w:rPr>
        </w:r>
        <w:r>
          <w:rPr>
            <w:noProof/>
            <w:webHidden/>
          </w:rPr>
          <w:fldChar w:fldCharType="separate"/>
        </w:r>
        <w:r w:rsidR="003F0101">
          <w:rPr>
            <w:noProof/>
            <w:webHidden/>
          </w:rPr>
          <w:t>366</w:t>
        </w:r>
        <w:r>
          <w:rPr>
            <w:noProof/>
            <w:webHidden/>
          </w:rPr>
          <w:fldChar w:fldCharType="end"/>
        </w:r>
      </w:hyperlink>
    </w:p>
    <w:p w14:paraId="69426EA7" w14:textId="0F8DBB2C"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77" w:history="1">
        <w:r w:rsidRPr="00397B2D">
          <w:rPr>
            <w:rStyle w:val="Hyperlink"/>
            <w:noProof/>
          </w:rPr>
          <w:t>1. Enterprise agreement applications</w:t>
        </w:r>
        <w:r>
          <w:rPr>
            <w:noProof/>
            <w:webHidden/>
          </w:rPr>
          <w:tab/>
        </w:r>
        <w:r>
          <w:rPr>
            <w:noProof/>
            <w:webHidden/>
          </w:rPr>
          <w:fldChar w:fldCharType="begin"/>
        </w:r>
        <w:r>
          <w:rPr>
            <w:noProof/>
            <w:webHidden/>
          </w:rPr>
          <w:instrText xml:space="preserve"> PAGEREF _Toc189393677 \h </w:instrText>
        </w:r>
        <w:r>
          <w:rPr>
            <w:noProof/>
            <w:webHidden/>
          </w:rPr>
        </w:r>
        <w:r>
          <w:rPr>
            <w:noProof/>
            <w:webHidden/>
          </w:rPr>
          <w:fldChar w:fldCharType="separate"/>
        </w:r>
        <w:r w:rsidR="003F0101">
          <w:rPr>
            <w:noProof/>
            <w:webHidden/>
          </w:rPr>
          <w:t>366</w:t>
        </w:r>
        <w:r>
          <w:rPr>
            <w:noProof/>
            <w:webHidden/>
          </w:rPr>
          <w:fldChar w:fldCharType="end"/>
        </w:r>
      </w:hyperlink>
    </w:p>
    <w:p w14:paraId="349BF35B" w14:textId="2F84F0EA"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78" w:history="1">
        <w:r w:rsidRPr="00397B2D">
          <w:rPr>
            <w:rStyle w:val="Hyperlink"/>
            <w:noProof/>
          </w:rPr>
          <w:t>2. Outcomes of enterprise agreement applications</w:t>
        </w:r>
        <w:r>
          <w:rPr>
            <w:noProof/>
            <w:webHidden/>
          </w:rPr>
          <w:tab/>
        </w:r>
        <w:r>
          <w:rPr>
            <w:noProof/>
            <w:webHidden/>
          </w:rPr>
          <w:fldChar w:fldCharType="begin"/>
        </w:r>
        <w:r>
          <w:rPr>
            <w:noProof/>
            <w:webHidden/>
          </w:rPr>
          <w:instrText xml:space="preserve"> PAGEREF _Toc189393678 \h </w:instrText>
        </w:r>
        <w:r>
          <w:rPr>
            <w:noProof/>
            <w:webHidden/>
          </w:rPr>
        </w:r>
        <w:r>
          <w:rPr>
            <w:noProof/>
            <w:webHidden/>
          </w:rPr>
          <w:fldChar w:fldCharType="separate"/>
        </w:r>
        <w:r w:rsidR="003F0101">
          <w:rPr>
            <w:noProof/>
            <w:webHidden/>
          </w:rPr>
          <w:t>368</w:t>
        </w:r>
        <w:r>
          <w:rPr>
            <w:noProof/>
            <w:webHidden/>
          </w:rPr>
          <w:fldChar w:fldCharType="end"/>
        </w:r>
      </w:hyperlink>
    </w:p>
    <w:p w14:paraId="5DD3B91B" w14:textId="1D3804A0"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79" w:history="1">
        <w:r w:rsidRPr="00397B2D">
          <w:rPr>
            <w:rStyle w:val="Hyperlink"/>
            <w:noProof/>
          </w:rPr>
          <w:t>3. Timeliness of enterprise agreement approvals</w:t>
        </w:r>
        <w:r>
          <w:rPr>
            <w:noProof/>
            <w:webHidden/>
          </w:rPr>
          <w:tab/>
        </w:r>
        <w:r>
          <w:rPr>
            <w:noProof/>
            <w:webHidden/>
          </w:rPr>
          <w:fldChar w:fldCharType="begin"/>
        </w:r>
        <w:r>
          <w:rPr>
            <w:noProof/>
            <w:webHidden/>
          </w:rPr>
          <w:instrText xml:space="preserve"> PAGEREF _Toc189393679 \h </w:instrText>
        </w:r>
        <w:r>
          <w:rPr>
            <w:noProof/>
            <w:webHidden/>
          </w:rPr>
        </w:r>
        <w:r>
          <w:rPr>
            <w:noProof/>
            <w:webHidden/>
          </w:rPr>
          <w:fldChar w:fldCharType="separate"/>
        </w:r>
        <w:r w:rsidR="003F0101">
          <w:rPr>
            <w:noProof/>
            <w:webHidden/>
          </w:rPr>
          <w:t>370</w:t>
        </w:r>
        <w:r>
          <w:rPr>
            <w:noProof/>
            <w:webHidden/>
          </w:rPr>
          <w:fldChar w:fldCharType="end"/>
        </w:r>
      </w:hyperlink>
    </w:p>
    <w:p w14:paraId="1E7132DA" w14:textId="357AAFEC"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80" w:history="1">
        <w:r w:rsidRPr="00397B2D">
          <w:rPr>
            <w:rStyle w:val="Hyperlink"/>
            <w:noProof/>
          </w:rPr>
          <w:t>4. Majority support determination applications</w:t>
        </w:r>
        <w:r>
          <w:rPr>
            <w:noProof/>
            <w:webHidden/>
          </w:rPr>
          <w:tab/>
        </w:r>
        <w:r>
          <w:rPr>
            <w:noProof/>
            <w:webHidden/>
          </w:rPr>
          <w:fldChar w:fldCharType="begin"/>
        </w:r>
        <w:r>
          <w:rPr>
            <w:noProof/>
            <w:webHidden/>
          </w:rPr>
          <w:instrText xml:space="preserve"> PAGEREF _Toc189393680 \h </w:instrText>
        </w:r>
        <w:r>
          <w:rPr>
            <w:noProof/>
            <w:webHidden/>
          </w:rPr>
        </w:r>
        <w:r>
          <w:rPr>
            <w:noProof/>
            <w:webHidden/>
          </w:rPr>
          <w:fldChar w:fldCharType="separate"/>
        </w:r>
        <w:r w:rsidR="003F0101">
          <w:rPr>
            <w:noProof/>
            <w:webHidden/>
          </w:rPr>
          <w:t>371</w:t>
        </w:r>
        <w:r>
          <w:rPr>
            <w:noProof/>
            <w:webHidden/>
          </w:rPr>
          <w:fldChar w:fldCharType="end"/>
        </w:r>
      </w:hyperlink>
    </w:p>
    <w:p w14:paraId="77B89A34" w14:textId="44A50318"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81" w:history="1">
        <w:r w:rsidRPr="00397B2D">
          <w:rPr>
            <w:rStyle w:val="Hyperlink"/>
            <w:noProof/>
          </w:rPr>
          <w:t>5. Industrial action</w:t>
        </w:r>
        <w:r>
          <w:rPr>
            <w:noProof/>
            <w:webHidden/>
          </w:rPr>
          <w:tab/>
        </w:r>
        <w:r>
          <w:rPr>
            <w:noProof/>
            <w:webHidden/>
          </w:rPr>
          <w:fldChar w:fldCharType="begin"/>
        </w:r>
        <w:r>
          <w:rPr>
            <w:noProof/>
            <w:webHidden/>
          </w:rPr>
          <w:instrText xml:space="preserve"> PAGEREF _Toc189393681 \h </w:instrText>
        </w:r>
        <w:r>
          <w:rPr>
            <w:noProof/>
            <w:webHidden/>
          </w:rPr>
        </w:r>
        <w:r>
          <w:rPr>
            <w:noProof/>
            <w:webHidden/>
          </w:rPr>
          <w:fldChar w:fldCharType="separate"/>
        </w:r>
        <w:r w:rsidR="003F0101">
          <w:rPr>
            <w:noProof/>
            <w:webHidden/>
          </w:rPr>
          <w:t>372</w:t>
        </w:r>
        <w:r>
          <w:rPr>
            <w:noProof/>
            <w:webHidden/>
          </w:rPr>
          <w:fldChar w:fldCharType="end"/>
        </w:r>
      </w:hyperlink>
    </w:p>
    <w:p w14:paraId="0000A1E6" w14:textId="54C89BE6"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82" w:history="1">
        <w:r w:rsidRPr="00397B2D">
          <w:rPr>
            <w:rStyle w:val="Hyperlink"/>
            <w:noProof/>
          </w:rPr>
          <w:t>6. Sexual harassment</w:t>
        </w:r>
        <w:r>
          <w:rPr>
            <w:noProof/>
            <w:webHidden/>
          </w:rPr>
          <w:tab/>
        </w:r>
        <w:r>
          <w:rPr>
            <w:noProof/>
            <w:webHidden/>
          </w:rPr>
          <w:fldChar w:fldCharType="begin"/>
        </w:r>
        <w:r>
          <w:rPr>
            <w:noProof/>
            <w:webHidden/>
          </w:rPr>
          <w:instrText xml:space="preserve"> PAGEREF _Toc189393682 \h </w:instrText>
        </w:r>
        <w:r>
          <w:rPr>
            <w:noProof/>
            <w:webHidden/>
          </w:rPr>
        </w:r>
        <w:r>
          <w:rPr>
            <w:noProof/>
            <w:webHidden/>
          </w:rPr>
          <w:fldChar w:fldCharType="separate"/>
        </w:r>
        <w:r w:rsidR="003F0101">
          <w:rPr>
            <w:noProof/>
            <w:webHidden/>
          </w:rPr>
          <w:t>374</w:t>
        </w:r>
        <w:r>
          <w:rPr>
            <w:noProof/>
            <w:webHidden/>
          </w:rPr>
          <w:fldChar w:fldCharType="end"/>
        </w:r>
      </w:hyperlink>
    </w:p>
    <w:p w14:paraId="334FA256" w14:textId="54203EE5" w:rsidR="009F5831" w:rsidRDefault="009F5831">
      <w:pPr>
        <w:pStyle w:val="TOC1"/>
        <w:rPr>
          <w:rFonts w:eastAsiaTheme="minorEastAsia"/>
          <w:noProof/>
          <w:kern w:val="2"/>
          <w:sz w:val="24"/>
          <w:szCs w:val="24"/>
          <w:lang w:eastAsia="en-AU"/>
          <w14:ligatures w14:val="standardContextual"/>
        </w:rPr>
      </w:pPr>
      <w:hyperlink w:anchor="_Toc189393683" w:history="1">
        <w:r w:rsidRPr="00397B2D">
          <w:rPr>
            <w:rStyle w:val="Hyperlink"/>
            <w:noProof/>
          </w:rPr>
          <w:t>Appendix 4 – Productivity and industrial relations: competing perspectives, trends and evolving challenges</w:t>
        </w:r>
        <w:r>
          <w:rPr>
            <w:noProof/>
            <w:webHidden/>
          </w:rPr>
          <w:tab/>
        </w:r>
        <w:r>
          <w:rPr>
            <w:noProof/>
            <w:webHidden/>
          </w:rPr>
          <w:fldChar w:fldCharType="begin"/>
        </w:r>
        <w:r>
          <w:rPr>
            <w:noProof/>
            <w:webHidden/>
          </w:rPr>
          <w:instrText xml:space="preserve"> PAGEREF _Toc189393683 \h </w:instrText>
        </w:r>
        <w:r>
          <w:rPr>
            <w:noProof/>
            <w:webHidden/>
          </w:rPr>
        </w:r>
        <w:r>
          <w:rPr>
            <w:noProof/>
            <w:webHidden/>
          </w:rPr>
          <w:fldChar w:fldCharType="separate"/>
        </w:r>
        <w:r w:rsidR="003F0101">
          <w:rPr>
            <w:noProof/>
            <w:webHidden/>
          </w:rPr>
          <w:t>375</w:t>
        </w:r>
        <w:r>
          <w:rPr>
            <w:noProof/>
            <w:webHidden/>
          </w:rPr>
          <w:fldChar w:fldCharType="end"/>
        </w:r>
      </w:hyperlink>
    </w:p>
    <w:p w14:paraId="11139669" w14:textId="198F473C"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84" w:history="1">
        <w:r w:rsidRPr="00397B2D">
          <w:rPr>
            <w:rStyle w:val="Hyperlink"/>
            <w:noProof/>
            <w:lang w:val="en-US"/>
          </w:rPr>
          <w:t xml:space="preserve">1. </w:t>
        </w:r>
        <w:r w:rsidRPr="00397B2D">
          <w:rPr>
            <w:rStyle w:val="Hyperlink"/>
            <w:noProof/>
          </w:rPr>
          <w:t>Introduction</w:t>
        </w:r>
        <w:r>
          <w:rPr>
            <w:noProof/>
            <w:webHidden/>
          </w:rPr>
          <w:tab/>
        </w:r>
        <w:r>
          <w:rPr>
            <w:noProof/>
            <w:webHidden/>
          </w:rPr>
          <w:fldChar w:fldCharType="begin"/>
        </w:r>
        <w:r>
          <w:rPr>
            <w:noProof/>
            <w:webHidden/>
          </w:rPr>
          <w:instrText xml:space="preserve"> PAGEREF _Toc189393684 \h </w:instrText>
        </w:r>
        <w:r>
          <w:rPr>
            <w:noProof/>
            <w:webHidden/>
          </w:rPr>
        </w:r>
        <w:r>
          <w:rPr>
            <w:noProof/>
            <w:webHidden/>
          </w:rPr>
          <w:fldChar w:fldCharType="separate"/>
        </w:r>
        <w:r w:rsidR="003F0101">
          <w:rPr>
            <w:noProof/>
            <w:webHidden/>
          </w:rPr>
          <w:t>375</w:t>
        </w:r>
        <w:r>
          <w:rPr>
            <w:noProof/>
            <w:webHidden/>
          </w:rPr>
          <w:fldChar w:fldCharType="end"/>
        </w:r>
      </w:hyperlink>
    </w:p>
    <w:p w14:paraId="377E0141" w14:textId="7E72C0B7"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85" w:history="1">
        <w:r w:rsidRPr="00397B2D">
          <w:rPr>
            <w:rStyle w:val="Hyperlink"/>
            <w:noProof/>
            <w:lang w:val="en-US"/>
          </w:rPr>
          <w:t xml:space="preserve">2. Different (and often </w:t>
        </w:r>
        <w:r w:rsidRPr="00397B2D">
          <w:rPr>
            <w:rStyle w:val="Hyperlink"/>
            <w:noProof/>
          </w:rPr>
          <w:t>competing</w:t>
        </w:r>
        <w:r w:rsidRPr="00397B2D">
          <w:rPr>
            <w:rStyle w:val="Hyperlink"/>
            <w:noProof/>
            <w:lang w:val="en-US"/>
          </w:rPr>
          <w:t>) perspectives on productivity</w:t>
        </w:r>
        <w:r>
          <w:rPr>
            <w:noProof/>
            <w:webHidden/>
          </w:rPr>
          <w:tab/>
        </w:r>
        <w:r>
          <w:rPr>
            <w:noProof/>
            <w:webHidden/>
          </w:rPr>
          <w:fldChar w:fldCharType="begin"/>
        </w:r>
        <w:r>
          <w:rPr>
            <w:noProof/>
            <w:webHidden/>
          </w:rPr>
          <w:instrText xml:space="preserve"> PAGEREF _Toc189393685 \h </w:instrText>
        </w:r>
        <w:r>
          <w:rPr>
            <w:noProof/>
            <w:webHidden/>
          </w:rPr>
        </w:r>
        <w:r>
          <w:rPr>
            <w:noProof/>
            <w:webHidden/>
          </w:rPr>
          <w:fldChar w:fldCharType="separate"/>
        </w:r>
        <w:r w:rsidR="003F0101">
          <w:rPr>
            <w:noProof/>
            <w:webHidden/>
          </w:rPr>
          <w:t>375</w:t>
        </w:r>
        <w:r>
          <w:rPr>
            <w:noProof/>
            <w:webHidden/>
          </w:rPr>
          <w:fldChar w:fldCharType="end"/>
        </w:r>
      </w:hyperlink>
    </w:p>
    <w:p w14:paraId="7802DC8C" w14:textId="39244268"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86" w:history="1">
        <w:r w:rsidRPr="00397B2D">
          <w:rPr>
            <w:rStyle w:val="Hyperlink"/>
            <w:noProof/>
            <w:lang w:val="en-US"/>
          </w:rPr>
          <w:t>3. The definition and measurement of productivity</w:t>
        </w:r>
        <w:r>
          <w:rPr>
            <w:noProof/>
            <w:webHidden/>
          </w:rPr>
          <w:tab/>
        </w:r>
        <w:r>
          <w:rPr>
            <w:noProof/>
            <w:webHidden/>
          </w:rPr>
          <w:fldChar w:fldCharType="begin"/>
        </w:r>
        <w:r>
          <w:rPr>
            <w:noProof/>
            <w:webHidden/>
          </w:rPr>
          <w:instrText xml:space="preserve"> PAGEREF _Toc189393686 \h </w:instrText>
        </w:r>
        <w:r>
          <w:rPr>
            <w:noProof/>
            <w:webHidden/>
          </w:rPr>
        </w:r>
        <w:r>
          <w:rPr>
            <w:noProof/>
            <w:webHidden/>
          </w:rPr>
          <w:fldChar w:fldCharType="separate"/>
        </w:r>
        <w:r w:rsidR="003F0101">
          <w:rPr>
            <w:noProof/>
            <w:webHidden/>
          </w:rPr>
          <w:t>376</w:t>
        </w:r>
        <w:r>
          <w:rPr>
            <w:noProof/>
            <w:webHidden/>
          </w:rPr>
          <w:fldChar w:fldCharType="end"/>
        </w:r>
      </w:hyperlink>
    </w:p>
    <w:p w14:paraId="20D3E112" w14:textId="0DA6249E" w:rsidR="009F5831" w:rsidRDefault="009F5831">
      <w:pPr>
        <w:pStyle w:val="TOC3"/>
        <w:tabs>
          <w:tab w:val="left" w:pos="1200"/>
          <w:tab w:val="right" w:leader="dot" w:pos="9016"/>
        </w:tabs>
        <w:rPr>
          <w:rFonts w:eastAsiaTheme="minorEastAsia"/>
          <w:noProof/>
          <w:kern w:val="2"/>
          <w:sz w:val="24"/>
          <w:szCs w:val="24"/>
          <w:lang w:eastAsia="en-AU"/>
          <w14:ligatures w14:val="standardContextual"/>
        </w:rPr>
      </w:pPr>
      <w:hyperlink w:anchor="_Toc189393687" w:history="1">
        <w:r w:rsidRPr="00397B2D">
          <w:rPr>
            <w:rStyle w:val="Hyperlink"/>
            <w:noProof/>
          </w:rPr>
          <w:t xml:space="preserve">3.1 </w:t>
        </w:r>
        <w:r>
          <w:rPr>
            <w:rFonts w:eastAsiaTheme="minorEastAsia"/>
            <w:noProof/>
            <w:kern w:val="2"/>
            <w:sz w:val="24"/>
            <w:szCs w:val="24"/>
            <w:lang w:eastAsia="en-AU"/>
            <w14:ligatures w14:val="standardContextual"/>
          </w:rPr>
          <w:tab/>
        </w:r>
        <w:r w:rsidRPr="00397B2D">
          <w:rPr>
            <w:rStyle w:val="Hyperlink"/>
            <w:noProof/>
          </w:rPr>
          <w:t>Productivity at the national level</w:t>
        </w:r>
        <w:r>
          <w:rPr>
            <w:noProof/>
            <w:webHidden/>
          </w:rPr>
          <w:tab/>
        </w:r>
        <w:r>
          <w:rPr>
            <w:noProof/>
            <w:webHidden/>
          </w:rPr>
          <w:fldChar w:fldCharType="begin"/>
        </w:r>
        <w:r>
          <w:rPr>
            <w:noProof/>
            <w:webHidden/>
          </w:rPr>
          <w:instrText xml:space="preserve"> PAGEREF _Toc189393687 \h </w:instrText>
        </w:r>
        <w:r>
          <w:rPr>
            <w:noProof/>
            <w:webHidden/>
          </w:rPr>
        </w:r>
        <w:r>
          <w:rPr>
            <w:noProof/>
            <w:webHidden/>
          </w:rPr>
          <w:fldChar w:fldCharType="separate"/>
        </w:r>
        <w:r w:rsidR="003F0101">
          <w:rPr>
            <w:noProof/>
            <w:webHidden/>
          </w:rPr>
          <w:t>377</w:t>
        </w:r>
        <w:r>
          <w:rPr>
            <w:noProof/>
            <w:webHidden/>
          </w:rPr>
          <w:fldChar w:fldCharType="end"/>
        </w:r>
      </w:hyperlink>
    </w:p>
    <w:p w14:paraId="7B6E2CE7" w14:textId="1A8E9CD5" w:rsidR="009F5831" w:rsidRDefault="009F5831">
      <w:pPr>
        <w:pStyle w:val="TOC3"/>
        <w:tabs>
          <w:tab w:val="left" w:pos="1200"/>
          <w:tab w:val="right" w:leader="dot" w:pos="9016"/>
        </w:tabs>
        <w:rPr>
          <w:rFonts w:eastAsiaTheme="minorEastAsia"/>
          <w:noProof/>
          <w:kern w:val="2"/>
          <w:sz w:val="24"/>
          <w:szCs w:val="24"/>
          <w:lang w:eastAsia="en-AU"/>
          <w14:ligatures w14:val="standardContextual"/>
        </w:rPr>
      </w:pPr>
      <w:hyperlink w:anchor="_Toc189393688" w:history="1">
        <w:r w:rsidRPr="00397B2D">
          <w:rPr>
            <w:rStyle w:val="Hyperlink"/>
            <w:noProof/>
          </w:rPr>
          <w:t>3.2</w:t>
        </w:r>
        <w:r>
          <w:rPr>
            <w:rFonts w:eastAsiaTheme="minorEastAsia"/>
            <w:noProof/>
            <w:kern w:val="2"/>
            <w:sz w:val="24"/>
            <w:szCs w:val="24"/>
            <w:lang w:eastAsia="en-AU"/>
            <w14:ligatures w14:val="standardContextual"/>
          </w:rPr>
          <w:tab/>
        </w:r>
        <w:r w:rsidRPr="00397B2D">
          <w:rPr>
            <w:rStyle w:val="Hyperlink"/>
            <w:noProof/>
          </w:rPr>
          <w:t>Productivity at the industry level</w:t>
        </w:r>
        <w:r>
          <w:rPr>
            <w:noProof/>
            <w:webHidden/>
          </w:rPr>
          <w:tab/>
        </w:r>
        <w:r>
          <w:rPr>
            <w:noProof/>
            <w:webHidden/>
          </w:rPr>
          <w:fldChar w:fldCharType="begin"/>
        </w:r>
        <w:r>
          <w:rPr>
            <w:noProof/>
            <w:webHidden/>
          </w:rPr>
          <w:instrText xml:space="preserve"> PAGEREF _Toc189393688 \h </w:instrText>
        </w:r>
        <w:r>
          <w:rPr>
            <w:noProof/>
            <w:webHidden/>
          </w:rPr>
        </w:r>
        <w:r>
          <w:rPr>
            <w:noProof/>
            <w:webHidden/>
          </w:rPr>
          <w:fldChar w:fldCharType="separate"/>
        </w:r>
        <w:r w:rsidR="003F0101">
          <w:rPr>
            <w:noProof/>
            <w:webHidden/>
          </w:rPr>
          <w:t>380</w:t>
        </w:r>
        <w:r>
          <w:rPr>
            <w:noProof/>
            <w:webHidden/>
          </w:rPr>
          <w:fldChar w:fldCharType="end"/>
        </w:r>
      </w:hyperlink>
    </w:p>
    <w:p w14:paraId="4CBD910E" w14:textId="23DE43FF" w:rsidR="009F5831" w:rsidRDefault="009F5831">
      <w:pPr>
        <w:pStyle w:val="TOC3"/>
        <w:tabs>
          <w:tab w:val="left" w:pos="1200"/>
          <w:tab w:val="right" w:leader="dot" w:pos="9016"/>
        </w:tabs>
        <w:rPr>
          <w:rFonts w:eastAsiaTheme="minorEastAsia"/>
          <w:noProof/>
          <w:kern w:val="2"/>
          <w:sz w:val="24"/>
          <w:szCs w:val="24"/>
          <w:lang w:eastAsia="en-AU"/>
          <w14:ligatures w14:val="standardContextual"/>
        </w:rPr>
      </w:pPr>
      <w:hyperlink w:anchor="_Toc189393689" w:history="1">
        <w:r w:rsidRPr="00397B2D">
          <w:rPr>
            <w:rStyle w:val="Hyperlink"/>
            <w:noProof/>
          </w:rPr>
          <w:t>3.3</w:t>
        </w:r>
        <w:r>
          <w:rPr>
            <w:rFonts w:eastAsiaTheme="minorEastAsia"/>
            <w:noProof/>
            <w:kern w:val="2"/>
            <w:sz w:val="24"/>
            <w:szCs w:val="24"/>
            <w:lang w:eastAsia="en-AU"/>
            <w14:ligatures w14:val="standardContextual"/>
          </w:rPr>
          <w:tab/>
        </w:r>
        <w:r w:rsidRPr="00397B2D">
          <w:rPr>
            <w:rStyle w:val="Hyperlink"/>
            <w:noProof/>
          </w:rPr>
          <w:t>Enterprise productivity</w:t>
        </w:r>
        <w:r>
          <w:rPr>
            <w:noProof/>
            <w:webHidden/>
          </w:rPr>
          <w:tab/>
        </w:r>
        <w:r>
          <w:rPr>
            <w:noProof/>
            <w:webHidden/>
          </w:rPr>
          <w:fldChar w:fldCharType="begin"/>
        </w:r>
        <w:r>
          <w:rPr>
            <w:noProof/>
            <w:webHidden/>
          </w:rPr>
          <w:instrText xml:space="preserve"> PAGEREF _Toc189393689 \h </w:instrText>
        </w:r>
        <w:r>
          <w:rPr>
            <w:noProof/>
            <w:webHidden/>
          </w:rPr>
        </w:r>
        <w:r>
          <w:rPr>
            <w:noProof/>
            <w:webHidden/>
          </w:rPr>
          <w:fldChar w:fldCharType="separate"/>
        </w:r>
        <w:r w:rsidR="003F0101">
          <w:rPr>
            <w:noProof/>
            <w:webHidden/>
          </w:rPr>
          <w:t>383</w:t>
        </w:r>
        <w:r>
          <w:rPr>
            <w:noProof/>
            <w:webHidden/>
          </w:rPr>
          <w:fldChar w:fldCharType="end"/>
        </w:r>
      </w:hyperlink>
    </w:p>
    <w:p w14:paraId="1F7298BC" w14:textId="4B792DDC" w:rsidR="009F5831" w:rsidRDefault="009F5831">
      <w:pPr>
        <w:pStyle w:val="TOC2"/>
        <w:tabs>
          <w:tab w:val="left" w:pos="720"/>
          <w:tab w:val="right" w:leader="dot" w:pos="9016"/>
        </w:tabs>
        <w:rPr>
          <w:rFonts w:eastAsiaTheme="minorEastAsia"/>
          <w:noProof/>
          <w:kern w:val="2"/>
          <w:sz w:val="24"/>
          <w:szCs w:val="24"/>
          <w:lang w:eastAsia="en-AU"/>
          <w14:ligatures w14:val="standardContextual"/>
        </w:rPr>
      </w:pPr>
      <w:hyperlink w:anchor="_Toc189393690" w:history="1">
        <w:r w:rsidRPr="00397B2D">
          <w:rPr>
            <w:rStyle w:val="Hyperlink"/>
            <w:noProof/>
            <w:lang w:val="en-US"/>
          </w:rPr>
          <w:t>4.</w:t>
        </w:r>
        <w:r>
          <w:rPr>
            <w:rFonts w:eastAsiaTheme="minorEastAsia"/>
            <w:noProof/>
            <w:kern w:val="2"/>
            <w:sz w:val="24"/>
            <w:szCs w:val="24"/>
            <w:lang w:eastAsia="en-AU"/>
            <w14:ligatures w14:val="standardContextual"/>
          </w:rPr>
          <w:tab/>
        </w:r>
        <w:r w:rsidRPr="00397B2D">
          <w:rPr>
            <w:rStyle w:val="Hyperlink"/>
            <w:noProof/>
            <w:lang w:val="en-US"/>
          </w:rPr>
          <w:t>The causes of productivity growth</w:t>
        </w:r>
        <w:r>
          <w:rPr>
            <w:noProof/>
            <w:webHidden/>
          </w:rPr>
          <w:tab/>
        </w:r>
        <w:r>
          <w:rPr>
            <w:noProof/>
            <w:webHidden/>
          </w:rPr>
          <w:fldChar w:fldCharType="begin"/>
        </w:r>
        <w:r>
          <w:rPr>
            <w:noProof/>
            <w:webHidden/>
          </w:rPr>
          <w:instrText xml:space="preserve"> PAGEREF _Toc189393690 \h </w:instrText>
        </w:r>
        <w:r>
          <w:rPr>
            <w:noProof/>
            <w:webHidden/>
          </w:rPr>
        </w:r>
        <w:r>
          <w:rPr>
            <w:noProof/>
            <w:webHidden/>
          </w:rPr>
          <w:fldChar w:fldCharType="separate"/>
        </w:r>
        <w:r w:rsidR="003F0101">
          <w:rPr>
            <w:noProof/>
            <w:webHidden/>
          </w:rPr>
          <w:t>384</w:t>
        </w:r>
        <w:r>
          <w:rPr>
            <w:noProof/>
            <w:webHidden/>
          </w:rPr>
          <w:fldChar w:fldCharType="end"/>
        </w:r>
      </w:hyperlink>
    </w:p>
    <w:p w14:paraId="0A5A2530" w14:textId="12D090E9" w:rsidR="009F5831" w:rsidRDefault="009F5831">
      <w:pPr>
        <w:pStyle w:val="TOC3"/>
        <w:tabs>
          <w:tab w:val="left" w:pos="1200"/>
          <w:tab w:val="right" w:leader="dot" w:pos="9016"/>
        </w:tabs>
        <w:rPr>
          <w:rFonts w:eastAsiaTheme="minorEastAsia"/>
          <w:noProof/>
          <w:kern w:val="2"/>
          <w:sz w:val="24"/>
          <w:szCs w:val="24"/>
          <w:lang w:eastAsia="en-AU"/>
          <w14:ligatures w14:val="standardContextual"/>
        </w:rPr>
      </w:pPr>
      <w:hyperlink w:anchor="_Toc189393691" w:history="1">
        <w:r w:rsidRPr="00397B2D">
          <w:rPr>
            <w:rStyle w:val="Hyperlink"/>
            <w:noProof/>
          </w:rPr>
          <w:t>4.1</w:t>
        </w:r>
        <w:r>
          <w:rPr>
            <w:rFonts w:eastAsiaTheme="minorEastAsia"/>
            <w:noProof/>
            <w:kern w:val="2"/>
            <w:sz w:val="24"/>
            <w:szCs w:val="24"/>
            <w:lang w:eastAsia="en-AU"/>
            <w14:ligatures w14:val="standardContextual"/>
          </w:rPr>
          <w:tab/>
        </w:r>
        <w:r w:rsidRPr="00397B2D">
          <w:rPr>
            <w:rStyle w:val="Hyperlink"/>
            <w:noProof/>
          </w:rPr>
          <w:t>The factors influencing national productivity growth</w:t>
        </w:r>
        <w:r>
          <w:rPr>
            <w:noProof/>
            <w:webHidden/>
          </w:rPr>
          <w:tab/>
        </w:r>
        <w:r>
          <w:rPr>
            <w:noProof/>
            <w:webHidden/>
          </w:rPr>
          <w:fldChar w:fldCharType="begin"/>
        </w:r>
        <w:r>
          <w:rPr>
            <w:noProof/>
            <w:webHidden/>
          </w:rPr>
          <w:instrText xml:space="preserve"> PAGEREF _Toc189393691 \h </w:instrText>
        </w:r>
        <w:r>
          <w:rPr>
            <w:noProof/>
            <w:webHidden/>
          </w:rPr>
        </w:r>
        <w:r>
          <w:rPr>
            <w:noProof/>
            <w:webHidden/>
          </w:rPr>
          <w:fldChar w:fldCharType="separate"/>
        </w:r>
        <w:r w:rsidR="003F0101">
          <w:rPr>
            <w:noProof/>
            <w:webHidden/>
          </w:rPr>
          <w:t>384</w:t>
        </w:r>
        <w:r>
          <w:rPr>
            <w:noProof/>
            <w:webHidden/>
          </w:rPr>
          <w:fldChar w:fldCharType="end"/>
        </w:r>
      </w:hyperlink>
    </w:p>
    <w:p w14:paraId="3F516174" w14:textId="4091D985"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92" w:history="1">
        <w:r w:rsidRPr="00397B2D">
          <w:rPr>
            <w:rStyle w:val="Hyperlink"/>
            <w:noProof/>
          </w:rPr>
          <w:t>4.2 The causes of enterprise-level productivity growth</w:t>
        </w:r>
        <w:r>
          <w:rPr>
            <w:noProof/>
            <w:webHidden/>
          </w:rPr>
          <w:tab/>
        </w:r>
        <w:r>
          <w:rPr>
            <w:noProof/>
            <w:webHidden/>
          </w:rPr>
          <w:fldChar w:fldCharType="begin"/>
        </w:r>
        <w:r>
          <w:rPr>
            <w:noProof/>
            <w:webHidden/>
          </w:rPr>
          <w:instrText xml:space="preserve"> PAGEREF _Toc189393692 \h </w:instrText>
        </w:r>
        <w:r>
          <w:rPr>
            <w:noProof/>
            <w:webHidden/>
          </w:rPr>
        </w:r>
        <w:r>
          <w:rPr>
            <w:noProof/>
            <w:webHidden/>
          </w:rPr>
          <w:fldChar w:fldCharType="separate"/>
        </w:r>
        <w:r w:rsidR="003F0101">
          <w:rPr>
            <w:noProof/>
            <w:webHidden/>
          </w:rPr>
          <w:t>389</w:t>
        </w:r>
        <w:r>
          <w:rPr>
            <w:noProof/>
            <w:webHidden/>
          </w:rPr>
          <w:fldChar w:fldCharType="end"/>
        </w:r>
      </w:hyperlink>
    </w:p>
    <w:p w14:paraId="30146FC4" w14:textId="179DD926" w:rsidR="009F5831" w:rsidRDefault="009F5831">
      <w:pPr>
        <w:pStyle w:val="TOC2"/>
        <w:tabs>
          <w:tab w:val="left" w:pos="720"/>
          <w:tab w:val="right" w:leader="dot" w:pos="9016"/>
        </w:tabs>
        <w:rPr>
          <w:rFonts w:eastAsiaTheme="minorEastAsia"/>
          <w:noProof/>
          <w:kern w:val="2"/>
          <w:sz w:val="24"/>
          <w:szCs w:val="24"/>
          <w:lang w:eastAsia="en-AU"/>
          <w14:ligatures w14:val="standardContextual"/>
        </w:rPr>
      </w:pPr>
      <w:hyperlink w:anchor="_Toc189393693" w:history="1">
        <w:r w:rsidRPr="00397B2D">
          <w:rPr>
            <w:rStyle w:val="Hyperlink"/>
            <w:noProof/>
            <w:lang w:val="en-US"/>
          </w:rPr>
          <w:t>5.</w:t>
        </w:r>
        <w:r>
          <w:rPr>
            <w:rFonts w:eastAsiaTheme="minorEastAsia"/>
            <w:noProof/>
            <w:kern w:val="2"/>
            <w:sz w:val="24"/>
            <w:szCs w:val="24"/>
            <w:lang w:eastAsia="en-AU"/>
            <w14:ligatures w14:val="standardContextual"/>
          </w:rPr>
          <w:tab/>
        </w:r>
        <w:r w:rsidRPr="00397B2D">
          <w:rPr>
            <w:rStyle w:val="Hyperlink"/>
            <w:noProof/>
            <w:lang w:val="en-US"/>
          </w:rPr>
          <w:t xml:space="preserve">Summary and </w:t>
        </w:r>
        <w:r w:rsidRPr="00397B2D">
          <w:rPr>
            <w:rStyle w:val="Hyperlink"/>
            <w:noProof/>
          </w:rPr>
          <w:t>conclusion</w:t>
        </w:r>
        <w:r>
          <w:rPr>
            <w:noProof/>
            <w:webHidden/>
          </w:rPr>
          <w:tab/>
        </w:r>
        <w:r>
          <w:rPr>
            <w:noProof/>
            <w:webHidden/>
          </w:rPr>
          <w:fldChar w:fldCharType="begin"/>
        </w:r>
        <w:r>
          <w:rPr>
            <w:noProof/>
            <w:webHidden/>
          </w:rPr>
          <w:instrText xml:space="preserve"> PAGEREF _Toc189393693 \h </w:instrText>
        </w:r>
        <w:r>
          <w:rPr>
            <w:noProof/>
            <w:webHidden/>
          </w:rPr>
        </w:r>
        <w:r>
          <w:rPr>
            <w:noProof/>
            <w:webHidden/>
          </w:rPr>
          <w:fldChar w:fldCharType="separate"/>
        </w:r>
        <w:r w:rsidR="003F0101">
          <w:rPr>
            <w:noProof/>
            <w:webHidden/>
          </w:rPr>
          <w:t>393</w:t>
        </w:r>
        <w:r>
          <w:rPr>
            <w:noProof/>
            <w:webHidden/>
          </w:rPr>
          <w:fldChar w:fldCharType="end"/>
        </w:r>
      </w:hyperlink>
    </w:p>
    <w:p w14:paraId="1B1076C4" w14:textId="29E82B4D" w:rsidR="009F5831" w:rsidRDefault="009F5831">
      <w:pPr>
        <w:pStyle w:val="TOC1"/>
        <w:rPr>
          <w:rFonts w:eastAsiaTheme="minorEastAsia"/>
          <w:noProof/>
          <w:kern w:val="2"/>
          <w:sz w:val="24"/>
          <w:szCs w:val="24"/>
          <w:lang w:eastAsia="en-AU"/>
          <w14:ligatures w14:val="standardContextual"/>
        </w:rPr>
      </w:pPr>
      <w:hyperlink w:anchor="_Toc189393694" w:history="1">
        <w:r w:rsidRPr="00397B2D">
          <w:rPr>
            <w:rStyle w:val="Hyperlink"/>
            <w:noProof/>
          </w:rPr>
          <w:t>Appendix 5 – Additional tables</w:t>
        </w:r>
        <w:r>
          <w:rPr>
            <w:noProof/>
            <w:webHidden/>
          </w:rPr>
          <w:tab/>
        </w:r>
        <w:r>
          <w:rPr>
            <w:noProof/>
            <w:webHidden/>
          </w:rPr>
          <w:fldChar w:fldCharType="begin"/>
        </w:r>
        <w:r>
          <w:rPr>
            <w:noProof/>
            <w:webHidden/>
          </w:rPr>
          <w:instrText xml:space="preserve"> PAGEREF _Toc189393694 \h </w:instrText>
        </w:r>
        <w:r>
          <w:rPr>
            <w:noProof/>
            <w:webHidden/>
          </w:rPr>
        </w:r>
        <w:r>
          <w:rPr>
            <w:noProof/>
            <w:webHidden/>
          </w:rPr>
          <w:fldChar w:fldCharType="separate"/>
        </w:r>
        <w:r w:rsidR="003F0101">
          <w:rPr>
            <w:noProof/>
            <w:webHidden/>
          </w:rPr>
          <w:t>394</w:t>
        </w:r>
        <w:r>
          <w:rPr>
            <w:noProof/>
            <w:webHidden/>
          </w:rPr>
          <w:fldChar w:fldCharType="end"/>
        </w:r>
      </w:hyperlink>
    </w:p>
    <w:p w14:paraId="61A8F865" w14:textId="71C64524" w:rsidR="009F5831" w:rsidRDefault="009F5831">
      <w:pPr>
        <w:pStyle w:val="TOC1"/>
        <w:rPr>
          <w:rFonts w:eastAsiaTheme="minorEastAsia"/>
          <w:noProof/>
          <w:kern w:val="2"/>
          <w:sz w:val="24"/>
          <w:szCs w:val="24"/>
          <w:lang w:eastAsia="en-AU"/>
          <w14:ligatures w14:val="standardContextual"/>
        </w:rPr>
      </w:pPr>
      <w:hyperlink w:anchor="_Toc189393695" w:history="1">
        <w:r w:rsidRPr="00397B2D">
          <w:rPr>
            <w:rStyle w:val="Hyperlink"/>
            <w:noProof/>
          </w:rPr>
          <w:t>Appendix 6 – Acronyms and abbreviations</w:t>
        </w:r>
        <w:r>
          <w:rPr>
            <w:noProof/>
            <w:webHidden/>
          </w:rPr>
          <w:tab/>
        </w:r>
        <w:r>
          <w:rPr>
            <w:noProof/>
            <w:webHidden/>
          </w:rPr>
          <w:fldChar w:fldCharType="begin"/>
        </w:r>
        <w:r>
          <w:rPr>
            <w:noProof/>
            <w:webHidden/>
          </w:rPr>
          <w:instrText xml:space="preserve"> PAGEREF _Toc189393695 \h </w:instrText>
        </w:r>
        <w:r>
          <w:rPr>
            <w:noProof/>
            <w:webHidden/>
          </w:rPr>
        </w:r>
        <w:r>
          <w:rPr>
            <w:noProof/>
            <w:webHidden/>
          </w:rPr>
          <w:fldChar w:fldCharType="separate"/>
        </w:r>
        <w:r w:rsidR="003F0101">
          <w:rPr>
            <w:noProof/>
            <w:webHidden/>
          </w:rPr>
          <w:t>396</w:t>
        </w:r>
        <w:r>
          <w:rPr>
            <w:noProof/>
            <w:webHidden/>
          </w:rPr>
          <w:fldChar w:fldCharType="end"/>
        </w:r>
      </w:hyperlink>
    </w:p>
    <w:p w14:paraId="2A4E2790" w14:textId="5D1691D4" w:rsidR="009F5831" w:rsidRDefault="009F5831">
      <w:pPr>
        <w:pStyle w:val="TOC1"/>
        <w:rPr>
          <w:rFonts w:eastAsiaTheme="minorEastAsia"/>
          <w:noProof/>
          <w:kern w:val="2"/>
          <w:sz w:val="24"/>
          <w:szCs w:val="24"/>
          <w:lang w:eastAsia="en-AU"/>
          <w14:ligatures w14:val="standardContextual"/>
        </w:rPr>
      </w:pPr>
      <w:hyperlink w:anchor="_Toc189393696" w:history="1">
        <w:r w:rsidRPr="00397B2D">
          <w:rPr>
            <w:rStyle w:val="Hyperlink"/>
            <w:noProof/>
          </w:rPr>
          <w:t>Appendix 7 – Terms of Reference</w:t>
        </w:r>
        <w:r>
          <w:rPr>
            <w:noProof/>
            <w:webHidden/>
          </w:rPr>
          <w:tab/>
        </w:r>
        <w:r>
          <w:rPr>
            <w:noProof/>
            <w:webHidden/>
          </w:rPr>
          <w:fldChar w:fldCharType="begin"/>
        </w:r>
        <w:r>
          <w:rPr>
            <w:noProof/>
            <w:webHidden/>
          </w:rPr>
          <w:instrText xml:space="preserve"> PAGEREF _Toc189393696 \h </w:instrText>
        </w:r>
        <w:r>
          <w:rPr>
            <w:noProof/>
            <w:webHidden/>
          </w:rPr>
        </w:r>
        <w:r>
          <w:rPr>
            <w:noProof/>
            <w:webHidden/>
          </w:rPr>
          <w:fldChar w:fldCharType="separate"/>
        </w:r>
        <w:r w:rsidR="003F0101">
          <w:rPr>
            <w:noProof/>
            <w:webHidden/>
          </w:rPr>
          <w:t>398</w:t>
        </w:r>
        <w:r>
          <w:rPr>
            <w:noProof/>
            <w:webHidden/>
          </w:rPr>
          <w:fldChar w:fldCharType="end"/>
        </w:r>
      </w:hyperlink>
    </w:p>
    <w:p w14:paraId="1350963B" w14:textId="0BF75B91"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697" w:history="1">
        <w:r w:rsidRPr="00397B2D">
          <w:rPr>
            <w:rStyle w:val="Hyperlink"/>
            <w:noProof/>
          </w:rPr>
          <w:t>Terms of Reference</w:t>
        </w:r>
        <w:r>
          <w:rPr>
            <w:noProof/>
            <w:webHidden/>
          </w:rPr>
          <w:tab/>
        </w:r>
        <w:r>
          <w:rPr>
            <w:noProof/>
            <w:webHidden/>
          </w:rPr>
          <w:fldChar w:fldCharType="begin"/>
        </w:r>
        <w:r>
          <w:rPr>
            <w:noProof/>
            <w:webHidden/>
          </w:rPr>
          <w:instrText xml:space="preserve"> PAGEREF _Toc189393697 \h </w:instrText>
        </w:r>
        <w:r>
          <w:rPr>
            <w:noProof/>
            <w:webHidden/>
          </w:rPr>
        </w:r>
        <w:r>
          <w:rPr>
            <w:noProof/>
            <w:webHidden/>
          </w:rPr>
          <w:fldChar w:fldCharType="separate"/>
        </w:r>
        <w:r w:rsidR="003F0101">
          <w:rPr>
            <w:noProof/>
            <w:webHidden/>
          </w:rPr>
          <w:t>398</w:t>
        </w:r>
        <w:r>
          <w:rPr>
            <w:noProof/>
            <w:webHidden/>
          </w:rPr>
          <w:fldChar w:fldCharType="end"/>
        </w:r>
      </w:hyperlink>
    </w:p>
    <w:p w14:paraId="15A023E3" w14:textId="7A8D7B80"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98" w:history="1">
        <w:r w:rsidRPr="00397B2D">
          <w:rPr>
            <w:rStyle w:val="Hyperlink"/>
            <w:noProof/>
          </w:rPr>
          <w:t>Scope of the Review</w:t>
        </w:r>
        <w:r>
          <w:rPr>
            <w:noProof/>
            <w:webHidden/>
          </w:rPr>
          <w:tab/>
        </w:r>
        <w:r>
          <w:rPr>
            <w:noProof/>
            <w:webHidden/>
          </w:rPr>
          <w:fldChar w:fldCharType="begin"/>
        </w:r>
        <w:r>
          <w:rPr>
            <w:noProof/>
            <w:webHidden/>
          </w:rPr>
          <w:instrText xml:space="preserve"> PAGEREF _Toc189393698 \h </w:instrText>
        </w:r>
        <w:r>
          <w:rPr>
            <w:noProof/>
            <w:webHidden/>
          </w:rPr>
        </w:r>
        <w:r>
          <w:rPr>
            <w:noProof/>
            <w:webHidden/>
          </w:rPr>
          <w:fldChar w:fldCharType="separate"/>
        </w:r>
        <w:r w:rsidR="003F0101">
          <w:rPr>
            <w:noProof/>
            <w:webHidden/>
          </w:rPr>
          <w:t>398</w:t>
        </w:r>
        <w:r>
          <w:rPr>
            <w:noProof/>
            <w:webHidden/>
          </w:rPr>
          <w:fldChar w:fldCharType="end"/>
        </w:r>
      </w:hyperlink>
    </w:p>
    <w:p w14:paraId="3B8D75C2" w14:textId="2FA227E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699" w:history="1">
        <w:r w:rsidRPr="00397B2D">
          <w:rPr>
            <w:rStyle w:val="Hyperlink"/>
            <w:noProof/>
          </w:rPr>
          <w:t>Conduct of the review</w:t>
        </w:r>
        <w:r>
          <w:rPr>
            <w:noProof/>
            <w:webHidden/>
          </w:rPr>
          <w:tab/>
        </w:r>
        <w:r>
          <w:rPr>
            <w:noProof/>
            <w:webHidden/>
          </w:rPr>
          <w:fldChar w:fldCharType="begin"/>
        </w:r>
        <w:r>
          <w:rPr>
            <w:noProof/>
            <w:webHidden/>
          </w:rPr>
          <w:instrText xml:space="preserve"> PAGEREF _Toc189393699 \h </w:instrText>
        </w:r>
        <w:r>
          <w:rPr>
            <w:noProof/>
            <w:webHidden/>
          </w:rPr>
        </w:r>
        <w:r>
          <w:rPr>
            <w:noProof/>
            <w:webHidden/>
          </w:rPr>
          <w:fldChar w:fldCharType="separate"/>
        </w:r>
        <w:r w:rsidR="003F0101">
          <w:rPr>
            <w:noProof/>
            <w:webHidden/>
          </w:rPr>
          <w:t>399</w:t>
        </w:r>
        <w:r>
          <w:rPr>
            <w:noProof/>
            <w:webHidden/>
          </w:rPr>
          <w:fldChar w:fldCharType="end"/>
        </w:r>
      </w:hyperlink>
    </w:p>
    <w:p w14:paraId="3CEB7974" w14:textId="6083C729"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700" w:history="1">
        <w:r w:rsidRPr="00397B2D">
          <w:rPr>
            <w:rStyle w:val="Hyperlink"/>
            <w:noProof/>
          </w:rPr>
          <w:t>Publication</w:t>
        </w:r>
        <w:r>
          <w:rPr>
            <w:noProof/>
            <w:webHidden/>
          </w:rPr>
          <w:tab/>
        </w:r>
        <w:r>
          <w:rPr>
            <w:noProof/>
            <w:webHidden/>
          </w:rPr>
          <w:fldChar w:fldCharType="begin"/>
        </w:r>
        <w:r>
          <w:rPr>
            <w:noProof/>
            <w:webHidden/>
          </w:rPr>
          <w:instrText xml:space="preserve"> PAGEREF _Toc189393700 \h </w:instrText>
        </w:r>
        <w:r>
          <w:rPr>
            <w:noProof/>
            <w:webHidden/>
          </w:rPr>
        </w:r>
        <w:r>
          <w:rPr>
            <w:noProof/>
            <w:webHidden/>
          </w:rPr>
          <w:fldChar w:fldCharType="separate"/>
        </w:r>
        <w:r w:rsidR="003F0101">
          <w:rPr>
            <w:noProof/>
            <w:webHidden/>
          </w:rPr>
          <w:t>399</w:t>
        </w:r>
        <w:r>
          <w:rPr>
            <w:noProof/>
            <w:webHidden/>
          </w:rPr>
          <w:fldChar w:fldCharType="end"/>
        </w:r>
      </w:hyperlink>
    </w:p>
    <w:p w14:paraId="309F3926" w14:textId="4CC3C75E" w:rsidR="009F5831" w:rsidRDefault="009F5831">
      <w:pPr>
        <w:pStyle w:val="TOC1"/>
        <w:rPr>
          <w:rFonts w:eastAsiaTheme="minorEastAsia"/>
          <w:noProof/>
          <w:kern w:val="2"/>
          <w:sz w:val="24"/>
          <w:szCs w:val="24"/>
          <w:lang w:eastAsia="en-AU"/>
          <w14:ligatures w14:val="standardContextual"/>
        </w:rPr>
      </w:pPr>
      <w:hyperlink w:anchor="_Toc189393701" w:history="1">
        <w:r w:rsidRPr="00397B2D">
          <w:rPr>
            <w:rStyle w:val="Hyperlink"/>
            <w:noProof/>
          </w:rPr>
          <w:t>Appendix 8 – Stakeholder input</w:t>
        </w:r>
        <w:r>
          <w:rPr>
            <w:noProof/>
            <w:webHidden/>
          </w:rPr>
          <w:tab/>
        </w:r>
        <w:r>
          <w:rPr>
            <w:noProof/>
            <w:webHidden/>
          </w:rPr>
          <w:fldChar w:fldCharType="begin"/>
        </w:r>
        <w:r>
          <w:rPr>
            <w:noProof/>
            <w:webHidden/>
          </w:rPr>
          <w:instrText xml:space="preserve"> PAGEREF _Toc189393701 \h </w:instrText>
        </w:r>
        <w:r>
          <w:rPr>
            <w:noProof/>
            <w:webHidden/>
          </w:rPr>
        </w:r>
        <w:r>
          <w:rPr>
            <w:noProof/>
            <w:webHidden/>
          </w:rPr>
          <w:fldChar w:fldCharType="separate"/>
        </w:r>
        <w:r w:rsidR="003F0101">
          <w:rPr>
            <w:noProof/>
            <w:webHidden/>
          </w:rPr>
          <w:t>401</w:t>
        </w:r>
        <w:r>
          <w:rPr>
            <w:noProof/>
            <w:webHidden/>
          </w:rPr>
          <w:fldChar w:fldCharType="end"/>
        </w:r>
      </w:hyperlink>
    </w:p>
    <w:p w14:paraId="676030C2" w14:textId="3A06E561"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702" w:history="1">
        <w:r w:rsidRPr="00397B2D">
          <w:rPr>
            <w:rStyle w:val="Hyperlink"/>
            <w:noProof/>
          </w:rPr>
          <w:t>Written submissions received</w:t>
        </w:r>
        <w:r>
          <w:rPr>
            <w:noProof/>
            <w:webHidden/>
          </w:rPr>
          <w:tab/>
        </w:r>
        <w:r>
          <w:rPr>
            <w:noProof/>
            <w:webHidden/>
          </w:rPr>
          <w:fldChar w:fldCharType="begin"/>
        </w:r>
        <w:r>
          <w:rPr>
            <w:noProof/>
            <w:webHidden/>
          </w:rPr>
          <w:instrText xml:space="preserve"> PAGEREF _Toc189393702 \h </w:instrText>
        </w:r>
        <w:r>
          <w:rPr>
            <w:noProof/>
            <w:webHidden/>
          </w:rPr>
        </w:r>
        <w:r>
          <w:rPr>
            <w:noProof/>
            <w:webHidden/>
          </w:rPr>
          <w:fldChar w:fldCharType="separate"/>
        </w:r>
        <w:r w:rsidR="003F0101">
          <w:rPr>
            <w:noProof/>
            <w:webHidden/>
          </w:rPr>
          <w:t>401</w:t>
        </w:r>
        <w:r>
          <w:rPr>
            <w:noProof/>
            <w:webHidden/>
          </w:rPr>
          <w:fldChar w:fldCharType="end"/>
        </w:r>
      </w:hyperlink>
    </w:p>
    <w:p w14:paraId="703B6707" w14:textId="04C5653D" w:rsidR="009F5831" w:rsidRDefault="009F5831">
      <w:pPr>
        <w:pStyle w:val="TOC3"/>
        <w:tabs>
          <w:tab w:val="right" w:leader="dot" w:pos="9016"/>
        </w:tabs>
        <w:rPr>
          <w:rFonts w:eastAsiaTheme="minorEastAsia"/>
          <w:noProof/>
          <w:kern w:val="2"/>
          <w:sz w:val="24"/>
          <w:szCs w:val="24"/>
          <w:lang w:eastAsia="en-AU"/>
          <w14:ligatures w14:val="standardContextual"/>
        </w:rPr>
      </w:pPr>
      <w:hyperlink w:anchor="_Toc189393703" w:history="1">
        <w:r w:rsidRPr="00397B2D">
          <w:rPr>
            <w:rStyle w:val="Hyperlink"/>
            <w:noProof/>
          </w:rPr>
          <w:t>Roundtables</w:t>
        </w:r>
        <w:r>
          <w:rPr>
            <w:noProof/>
            <w:webHidden/>
          </w:rPr>
          <w:tab/>
        </w:r>
        <w:r>
          <w:rPr>
            <w:noProof/>
            <w:webHidden/>
          </w:rPr>
          <w:fldChar w:fldCharType="begin"/>
        </w:r>
        <w:r>
          <w:rPr>
            <w:noProof/>
            <w:webHidden/>
          </w:rPr>
          <w:instrText xml:space="preserve"> PAGEREF _Toc189393703 \h </w:instrText>
        </w:r>
        <w:r>
          <w:rPr>
            <w:noProof/>
            <w:webHidden/>
          </w:rPr>
        </w:r>
        <w:r>
          <w:rPr>
            <w:noProof/>
            <w:webHidden/>
          </w:rPr>
          <w:fldChar w:fldCharType="separate"/>
        </w:r>
        <w:r w:rsidR="003F0101">
          <w:rPr>
            <w:noProof/>
            <w:webHidden/>
          </w:rPr>
          <w:t>403</w:t>
        </w:r>
        <w:r>
          <w:rPr>
            <w:noProof/>
            <w:webHidden/>
          </w:rPr>
          <w:fldChar w:fldCharType="end"/>
        </w:r>
      </w:hyperlink>
    </w:p>
    <w:p w14:paraId="31EC6E9B" w14:textId="02CE4672" w:rsidR="009F5831" w:rsidRDefault="009F5831">
      <w:pPr>
        <w:pStyle w:val="TOC1"/>
        <w:rPr>
          <w:rFonts w:eastAsiaTheme="minorEastAsia"/>
          <w:noProof/>
          <w:kern w:val="2"/>
          <w:sz w:val="24"/>
          <w:szCs w:val="24"/>
          <w:lang w:eastAsia="en-AU"/>
          <w14:ligatures w14:val="standardContextual"/>
        </w:rPr>
      </w:pPr>
      <w:hyperlink w:anchor="_Toc189393704" w:history="1">
        <w:r w:rsidRPr="00397B2D">
          <w:rPr>
            <w:rStyle w:val="Hyperlink"/>
            <w:noProof/>
          </w:rPr>
          <w:t>Appendix 9 – The FWC and pay equity</w:t>
        </w:r>
        <w:r>
          <w:rPr>
            <w:noProof/>
            <w:webHidden/>
          </w:rPr>
          <w:tab/>
        </w:r>
        <w:r>
          <w:rPr>
            <w:noProof/>
            <w:webHidden/>
          </w:rPr>
          <w:fldChar w:fldCharType="begin"/>
        </w:r>
        <w:r>
          <w:rPr>
            <w:noProof/>
            <w:webHidden/>
          </w:rPr>
          <w:instrText xml:space="preserve"> PAGEREF _Toc189393704 \h </w:instrText>
        </w:r>
        <w:r>
          <w:rPr>
            <w:noProof/>
            <w:webHidden/>
          </w:rPr>
        </w:r>
        <w:r>
          <w:rPr>
            <w:noProof/>
            <w:webHidden/>
          </w:rPr>
          <w:fldChar w:fldCharType="separate"/>
        </w:r>
        <w:r w:rsidR="003F0101">
          <w:rPr>
            <w:noProof/>
            <w:webHidden/>
          </w:rPr>
          <w:t>405</w:t>
        </w:r>
        <w:r>
          <w:rPr>
            <w:noProof/>
            <w:webHidden/>
          </w:rPr>
          <w:fldChar w:fldCharType="end"/>
        </w:r>
      </w:hyperlink>
    </w:p>
    <w:p w14:paraId="565BFBE9" w14:textId="1978CD50"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705" w:history="1">
        <w:r w:rsidRPr="00397B2D">
          <w:rPr>
            <w:rStyle w:val="Hyperlink"/>
            <w:noProof/>
          </w:rPr>
          <w:t>1. The Aged Care Work Value case</w:t>
        </w:r>
        <w:r>
          <w:rPr>
            <w:noProof/>
            <w:webHidden/>
          </w:rPr>
          <w:tab/>
        </w:r>
        <w:r>
          <w:rPr>
            <w:noProof/>
            <w:webHidden/>
          </w:rPr>
          <w:fldChar w:fldCharType="begin"/>
        </w:r>
        <w:r>
          <w:rPr>
            <w:noProof/>
            <w:webHidden/>
          </w:rPr>
          <w:instrText xml:space="preserve"> PAGEREF _Toc189393705 \h </w:instrText>
        </w:r>
        <w:r>
          <w:rPr>
            <w:noProof/>
            <w:webHidden/>
          </w:rPr>
        </w:r>
        <w:r>
          <w:rPr>
            <w:noProof/>
            <w:webHidden/>
          </w:rPr>
          <w:fldChar w:fldCharType="separate"/>
        </w:r>
        <w:r w:rsidR="003F0101">
          <w:rPr>
            <w:noProof/>
            <w:webHidden/>
          </w:rPr>
          <w:t>405</w:t>
        </w:r>
        <w:r>
          <w:rPr>
            <w:noProof/>
            <w:webHidden/>
          </w:rPr>
          <w:fldChar w:fldCharType="end"/>
        </w:r>
      </w:hyperlink>
    </w:p>
    <w:p w14:paraId="21DBFE0D" w14:textId="430BDB08"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706" w:history="1">
        <w:r w:rsidRPr="00397B2D">
          <w:rPr>
            <w:rStyle w:val="Hyperlink"/>
            <w:noProof/>
          </w:rPr>
          <w:t>2. FWC gender pay equity research project</w:t>
        </w:r>
        <w:r>
          <w:rPr>
            <w:noProof/>
            <w:webHidden/>
          </w:rPr>
          <w:tab/>
        </w:r>
        <w:r>
          <w:rPr>
            <w:noProof/>
            <w:webHidden/>
          </w:rPr>
          <w:fldChar w:fldCharType="begin"/>
        </w:r>
        <w:r>
          <w:rPr>
            <w:noProof/>
            <w:webHidden/>
          </w:rPr>
          <w:instrText xml:space="preserve"> PAGEREF _Toc189393706 \h </w:instrText>
        </w:r>
        <w:r>
          <w:rPr>
            <w:noProof/>
            <w:webHidden/>
          </w:rPr>
        </w:r>
        <w:r>
          <w:rPr>
            <w:noProof/>
            <w:webHidden/>
          </w:rPr>
          <w:fldChar w:fldCharType="separate"/>
        </w:r>
        <w:r w:rsidR="003F0101">
          <w:rPr>
            <w:noProof/>
            <w:webHidden/>
          </w:rPr>
          <w:t>406</w:t>
        </w:r>
        <w:r>
          <w:rPr>
            <w:noProof/>
            <w:webHidden/>
          </w:rPr>
          <w:fldChar w:fldCharType="end"/>
        </w:r>
      </w:hyperlink>
    </w:p>
    <w:p w14:paraId="0FADFB7D" w14:textId="50B60CCA"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707" w:history="1">
        <w:r w:rsidRPr="00397B2D">
          <w:rPr>
            <w:rStyle w:val="Hyperlink"/>
            <w:noProof/>
          </w:rPr>
          <w:t>3. FWC 2023</w:t>
        </w:r>
        <w:r w:rsidRPr="00397B2D">
          <w:rPr>
            <w:rStyle w:val="Hyperlink"/>
            <w:rFonts w:ascii="Symbol" w:eastAsia="Symbol" w:hAnsi="Symbol" w:cs="Symbol"/>
            <w:noProof/>
          </w:rPr>
          <w:sym w:font="Symbol" w:char="F02D"/>
        </w:r>
        <w:r w:rsidRPr="00397B2D">
          <w:rPr>
            <w:rStyle w:val="Hyperlink"/>
            <w:noProof/>
          </w:rPr>
          <w:t>24 Modern Awards Review</w:t>
        </w:r>
        <w:r>
          <w:rPr>
            <w:noProof/>
            <w:webHidden/>
          </w:rPr>
          <w:tab/>
        </w:r>
        <w:r>
          <w:rPr>
            <w:noProof/>
            <w:webHidden/>
          </w:rPr>
          <w:fldChar w:fldCharType="begin"/>
        </w:r>
        <w:r>
          <w:rPr>
            <w:noProof/>
            <w:webHidden/>
          </w:rPr>
          <w:instrText xml:space="preserve"> PAGEREF _Toc189393707 \h </w:instrText>
        </w:r>
        <w:r>
          <w:rPr>
            <w:noProof/>
            <w:webHidden/>
          </w:rPr>
        </w:r>
        <w:r>
          <w:rPr>
            <w:noProof/>
            <w:webHidden/>
          </w:rPr>
          <w:fldChar w:fldCharType="separate"/>
        </w:r>
        <w:r w:rsidR="003F0101">
          <w:rPr>
            <w:noProof/>
            <w:webHidden/>
          </w:rPr>
          <w:t>407</w:t>
        </w:r>
        <w:r>
          <w:rPr>
            <w:noProof/>
            <w:webHidden/>
          </w:rPr>
          <w:fldChar w:fldCharType="end"/>
        </w:r>
      </w:hyperlink>
    </w:p>
    <w:p w14:paraId="209597D2" w14:textId="1A0B2C8C" w:rsidR="009F5831" w:rsidRDefault="009F5831">
      <w:pPr>
        <w:pStyle w:val="TOC2"/>
        <w:tabs>
          <w:tab w:val="right" w:leader="dot" w:pos="9016"/>
        </w:tabs>
        <w:rPr>
          <w:rFonts w:eastAsiaTheme="minorEastAsia"/>
          <w:noProof/>
          <w:kern w:val="2"/>
          <w:sz w:val="24"/>
          <w:szCs w:val="24"/>
          <w:lang w:eastAsia="en-AU"/>
          <w14:ligatures w14:val="standardContextual"/>
        </w:rPr>
      </w:pPr>
      <w:hyperlink w:anchor="_Toc189393708" w:history="1">
        <w:r w:rsidRPr="00397B2D">
          <w:rPr>
            <w:rStyle w:val="Hyperlink"/>
            <w:noProof/>
          </w:rPr>
          <w:t>4. Annual wage reviews</w:t>
        </w:r>
        <w:r>
          <w:rPr>
            <w:noProof/>
            <w:webHidden/>
          </w:rPr>
          <w:tab/>
        </w:r>
        <w:r>
          <w:rPr>
            <w:noProof/>
            <w:webHidden/>
          </w:rPr>
          <w:fldChar w:fldCharType="begin"/>
        </w:r>
        <w:r>
          <w:rPr>
            <w:noProof/>
            <w:webHidden/>
          </w:rPr>
          <w:instrText xml:space="preserve"> PAGEREF _Toc189393708 \h </w:instrText>
        </w:r>
        <w:r>
          <w:rPr>
            <w:noProof/>
            <w:webHidden/>
          </w:rPr>
        </w:r>
        <w:r>
          <w:rPr>
            <w:noProof/>
            <w:webHidden/>
          </w:rPr>
          <w:fldChar w:fldCharType="separate"/>
        </w:r>
        <w:r w:rsidR="003F0101">
          <w:rPr>
            <w:noProof/>
            <w:webHidden/>
          </w:rPr>
          <w:t>407</w:t>
        </w:r>
        <w:r>
          <w:rPr>
            <w:noProof/>
            <w:webHidden/>
          </w:rPr>
          <w:fldChar w:fldCharType="end"/>
        </w:r>
      </w:hyperlink>
    </w:p>
    <w:p w14:paraId="25EE099D" w14:textId="7C2C39C1" w:rsidR="009F5831" w:rsidRDefault="009F5831">
      <w:pPr>
        <w:pStyle w:val="TOC1"/>
        <w:rPr>
          <w:rFonts w:eastAsiaTheme="minorEastAsia"/>
          <w:noProof/>
          <w:kern w:val="2"/>
          <w:sz w:val="24"/>
          <w:szCs w:val="24"/>
          <w:lang w:eastAsia="en-AU"/>
          <w14:ligatures w14:val="standardContextual"/>
        </w:rPr>
      </w:pPr>
      <w:hyperlink w:anchor="_Toc189393709" w:history="1">
        <w:r w:rsidRPr="00397B2D">
          <w:rPr>
            <w:rStyle w:val="Hyperlink"/>
            <w:noProof/>
          </w:rPr>
          <w:t>Appendix 10 – The Fair Work framework</w:t>
        </w:r>
        <w:r>
          <w:rPr>
            <w:noProof/>
            <w:webHidden/>
          </w:rPr>
          <w:tab/>
        </w:r>
        <w:r>
          <w:rPr>
            <w:noProof/>
            <w:webHidden/>
          </w:rPr>
          <w:fldChar w:fldCharType="begin"/>
        </w:r>
        <w:r>
          <w:rPr>
            <w:noProof/>
            <w:webHidden/>
          </w:rPr>
          <w:instrText xml:space="preserve"> PAGEREF _Toc189393709 \h </w:instrText>
        </w:r>
        <w:r>
          <w:rPr>
            <w:noProof/>
            <w:webHidden/>
          </w:rPr>
        </w:r>
        <w:r>
          <w:rPr>
            <w:noProof/>
            <w:webHidden/>
          </w:rPr>
          <w:fldChar w:fldCharType="separate"/>
        </w:r>
        <w:r w:rsidR="003F0101">
          <w:rPr>
            <w:noProof/>
            <w:webHidden/>
          </w:rPr>
          <w:t>409</w:t>
        </w:r>
        <w:r>
          <w:rPr>
            <w:noProof/>
            <w:webHidden/>
          </w:rPr>
          <w:fldChar w:fldCharType="end"/>
        </w:r>
      </w:hyperlink>
    </w:p>
    <w:p w14:paraId="1CA10226" w14:textId="37F399F6" w:rsidR="00686411" w:rsidRDefault="005D145F">
      <w:pPr>
        <w:spacing w:after="160"/>
      </w:pPr>
      <w:r>
        <w:fldChar w:fldCharType="end"/>
      </w:r>
    </w:p>
    <w:p w14:paraId="03D0F183" w14:textId="77777777" w:rsidR="00686411" w:rsidRDefault="00686411">
      <w:pPr>
        <w:spacing w:after="160"/>
      </w:pPr>
      <w:r>
        <w:br w:type="page"/>
      </w:r>
    </w:p>
    <w:p w14:paraId="11E5B344" w14:textId="77777777" w:rsidR="00535D26" w:rsidRPr="00167CB8" w:rsidRDefault="00535D26" w:rsidP="00535D26">
      <w:pPr>
        <w:pStyle w:val="Heading2"/>
        <w:rPr>
          <w:rFonts w:asciiTheme="minorHAnsi" w:hAnsiTheme="minorHAnsi"/>
        </w:rPr>
      </w:pPr>
      <w:bookmarkStart w:id="2" w:name="_Toc189260177"/>
      <w:bookmarkStart w:id="3" w:name="_Toc189260194"/>
      <w:bookmarkStart w:id="4" w:name="_Toc189393510"/>
      <w:bookmarkStart w:id="5" w:name="_Hlk189235932"/>
      <w:r w:rsidRPr="00167CB8">
        <w:rPr>
          <w:rFonts w:asciiTheme="minorHAnsi" w:hAnsiTheme="minorHAnsi"/>
        </w:rPr>
        <w:lastRenderedPageBreak/>
        <w:t>Overview</w:t>
      </w:r>
      <w:bookmarkEnd w:id="2"/>
      <w:bookmarkEnd w:id="3"/>
      <w:bookmarkEnd w:id="4"/>
    </w:p>
    <w:p w14:paraId="341AF6A5" w14:textId="77777777" w:rsidR="00535D26" w:rsidRPr="00167CB8" w:rsidRDefault="00535D26" w:rsidP="00535D26">
      <w:pPr>
        <w:pStyle w:val="Heading3"/>
      </w:pPr>
      <w:bookmarkStart w:id="6" w:name="_Toc189260195"/>
      <w:bookmarkStart w:id="7" w:name="_Toc189393511"/>
      <w:r w:rsidRPr="00167CB8">
        <w:t>Chapter 1. Introduction</w:t>
      </w:r>
      <w:bookmarkEnd w:id="6"/>
      <w:bookmarkEnd w:id="7"/>
    </w:p>
    <w:p w14:paraId="0974E199" w14:textId="77777777" w:rsidR="00535D26" w:rsidRPr="00167CB8" w:rsidRDefault="00535D26" w:rsidP="00535D26">
      <w:r w:rsidRPr="00167CB8">
        <w:t xml:space="preserve">This Review Panel was tasked with considering the appropriateness, effectiveness and consequences (intended or otherwise) of the </w:t>
      </w:r>
      <w:r w:rsidRPr="00167CB8">
        <w:rPr>
          <w:i/>
          <w:iCs/>
        </w:rPr>
        <w:t xml:space="preserve">Fair Work Legislation Amendment (Secure Jobs, Better Pay) Act </w:t>
      </w:r>
      <w:r w:rsidRPr="00167CB8">
        <w:rPr>
          <w:i/>
        </w:rPr>
        <w:t>2022</w:t>
      </w:r>
      <w:r w:rsidRPr="00167CB8">
        <w:t xml:space="preserve"> (Cth) </w:t>
      </w:r>
      <w:r w:rsidRPr="00167CB8">
        <w:rPr>
          <w:iCs/>
        </w:rPr>
        <w:t>(Secure Jobs, Better Pay Act)</w:t>
      </w:r>
      <w:r w:rsidRPr="00167CB8">
        <w:rPr>
          <w:i/>
          <w:iCs/>
        </w:rPr>
        <w:t xml:space="preserve"> </w:t>
      </w:r>
      <w:r w:rsidRPr="00167CB8">
        <w:t xml:space="preserve">reforms and whether any further amendments are required to improve their operation. The Panel was also asked to consider Part 16A of Schedule 1 to </w:t>
      </w:r>
      <w:r w:rsidRPr="00167CB8">
        <w:rPr>
          <w:i/>
          <w:iCs/>
        </w:rPr>
        <w:t>the</w:t>
      </w:r>
      <w:r w:rsidRPr="00167CB8">
        <w:t xml:space="preserve"> </w:t>
      </w:r>
      <w:r w:rsidRPr="00167CB8">
        <w:rPr>
          <w:i/>
          <w:iCs/>
        </w:rPr>
        <w:t>Fair Work Legislation Amendment (Closing Loopholes Act) 2023</w:t>
      </w:r>
      <w:r w:rsidRPr="00167CB8">
        <w:t xml:space="preserve"> (Cth) (Closing Loopholes Act). </w:t>
      </w:r>
    </w:p>
    <w:p w14:paraId="63FF7343" w14:textId="77777777" w:rsidR="00535D26" w:rsidRPr="00167CB8" w:rsidRDefault="00535D26" w:rsidP="00535D26">
      <w:r w:rsidRPr="00167CB8">
        <w:t>This draft report reflects the considerations of the Review Panel thus far and provides an opportunity for stakeholders to provide feedback on the preliminary findings and recommendations.</w:t>
      </w:r>
    </w:p>
    <w:p w14:paraId="59F5B285" w14:textId="2EEDD875" w:rsidR="00535D26" w:rsidRPr="00167CB8" w:rsidRDefault="00535D26" w:rsidP="00535D26">
      <w:r w:rsidRPr="00167CB8">
        <w:t xml:space="preserve">This introductory chapter is designed to assist readers to understand the draft report as a whole. Towards this end, it begins by exploring </w:t>
      </w:r>
      <w:r w:rsidR="00580D6A">
        <w:t>two</w:t>
      </w:r>
      <w:r w:rsidR="00580D6A" w:rsidRPr="00167CB8">
        <w:t xml:space="preserve"> </w:t>
      </w:r>
      <w:r w:rsidRPr="00167CB8">
        <w:t>contexts that proved influential: the highly adversarial environment in which the Review was undertaken; and the limited time and data available to assess the amendments. The chapter then provides an overview of the Review Panel’s approach, a brief preview of the main findings and a summary of the report’s structure.</w:t>
      </w:r>
    </w:p>
    <w:p w14:paraId="41CE88B6" w14:textId="77777777" w:rsidR="00535D26" w:rsidRPr="00167CB8" w:rsidRDefault="00535D26" w:rsidP="00535D26">
      <w:pPr>
        <w:pStyle w:val="Heading5"/>
      </w:pPr>
      <w:r w:rsidRPr="00167CB8">
        <w:t>1.1 The impact of adversarialism on the Review</w:t>
      </w:r>
    </w:p>
    <w:p w14:paraId="2B5F7347" w14:textId="77777777" w:rsidR="00535D26" w:rsidRPr="00167CB8" w:rsidRDefault="00535D26" w:rsidP="00535D26">
      <w:r w:rsidRPr="00167CB8">
        <w:t>Australia has an adversarial system of industrial relations and politics. In this context, Australian governments make choices about the ‘correct’ balance to be struck in industrial relations legislation – choices that reflect, amongst other things, the government’s perceptions of the current state of play in industrial relations and its policy preferences.</w:t>
      </w:r>
    </w:p>
    <w:p w14:paraId="07D63760" w14:textId="77777777" w:rsidR="00535D26" w:rsidRPr="00167CB8" w:rsidRDefault="00535D26" w:rsidP="00535D26">
      <w:r w:rsidRPr="00167CB8">
        <w:t xml:space="preserve">The history of the </w:t>
      </w:r>
      <w:r w:rsidRPr="00167CB8">
        <w:rPr>
          <w:i/>
          <w:iCs/>
        </w:rPr>
        <w:t>Fair Work Act 2009</w:t>
      </w:r>
      <w:r w:rsidRPr="00167CB8">
        <w:t xml:space="preserve"> (Cth) reflects this tradition, with ongoing attempts by governments to find balance (or ‘fairness’) between productivity and workers’ rights, individual and collective flexibility and control, and the genuine needs of employers and employees.</w:t>
      </w:r>
      <w:r w:rsidRPr="00167CB8">
        <w:rPr>
          <w:rStyle w:val="FootnoteReference"/>
        </w:rPr>
        <w:footnoteReference w:id="2"/>
      </w:r>
      <w:r w:rsidRPr="00167CB8">
        <w:t xml:space="preserve"> The first review of the Fair Work Act</w:t>
      </w:r>
      <w:r w:rsidRPr="00167CB8">
        <w:rPr>
          <w:i/>
          <w:iCs/>
        </w:rPr>
        <w:t xml:space="preserve"> </w:t>
      </w:r>
      <w:r w:rsidRPr="00167CB8">
        <w:t>(conducted by the distinguished reviewers Professor Emeritus Ron McCallum AO, Dr John Edwards and the Hon Michael Moore), for example, noted that for ‘well over a century Australians have debated what is the right legal framework for wages, working conditions and employment’.</w:t>
      </w:r>
      <w:r w:rsidRPr="00167CB8">
        <w:rPr>
          <w:vertAlign w:val="superscript"/>
        </w:rPr>
        <w:footnoteReference w:id="3"/>
      </w:r>
      <w:r w:rsidRPr="00167CB8">
        <w:t xml:space="preserve"> </w:t>
      </w:r>
    </w:p>
    <w:p w14:paraId="4017036A" w14:textId="77777777" w:rsidR="00535D26" w:rsidRPr="00167CB8" w:rsidRDefault="00535D26" w:rsidP="00535D26">
      <w:r w:rsidRPr="00167CB8">
        <w:t xml:space="preserve">The Secure Jobs, Better Pay reforms continue this tradition. The Review Panel found a divergence of opinion – strongly held and forcefully expressed – between the major stakeholders over whether the amendments represent the ‘right’ balance. </w:t>
      </w:r>
    </w:p>
    <w:p w14:paraId="4DEAD36C" w14:textId="52835152" w:rsidR="00535D26" w:rsidRPr="00167CB8" w:rsidRDefault="00535D26" w:rsidP="00535D26">
      <w:r w:rsidRPr="00167CB8">
        <w:t>The choices made by the Australian Government were welcomed by some. In particular, the amendments were lauded by the Australian Council of Trade Unions as a ‘critical and welcome measure to get wages moving in this country’,</w:t>
      </w:r>
      <w:r w:rsidRPr="00167CB8">
        <w:rPr>
          <w:rStyle w:val="FootnoteReference"/>
        </w:rPr>
        <w:footnoteReference w:id="4"/>
      </w:r>
      <w:r w:rsidRPr="00167CB8">
        <w:t xml:space="preserve"> while most unions responded to it positively.</w:t>
      </w:r>
    </w:p>
    <w:p w14:paraId="44BDAEE0" w14:textId="77777777" w:rsidR="00535D26" w:rsidRPr="00167CB8" w:rsidRDefault="00535D26" w:rsidP="00535D26">
      <w:r w:rsidRPr="00167CB8">
        <w:lastRenderedPageBreak/>
        <w:t>Community sector representatives also welcomed the (then) Bill as an ‘opportunity to strengthen the industrial relations system for community organisations and their workforces, improving the pay, conditions and quality of employment in the sector’.</w:t>
      </w:r>
      <w:r w:rsidRPr="00167CB8">
        <w:rPr>
          <w:rStyle w:val="FootnoteReference"/>
        </w:rPr>
        <w:footnoteReference w:id="5"/>
      </w:r>
      <w:r w:rsidRPr="00167CB8">
        <w:t xml:space="preserve"> </w:t>
      </w:r>
    </w:p>
    <w:p w14:paraId="3BEA9CA5" w14:textId="55A22C4C" w:rsidR="00535D26" w:rsidRPr="00167CB8" w:rsidRDefault="00535D26" w:rsidP="00535D26">
      <w:r w:rsidRPr="00167CB8">
        <w:t>Others, especially employer representatives, were far more negative, suggesting the provisions would lead to ‘reduced productivity, industry-wide strikes, lengthy delays, surging costs, falling revenue, job losses and foregone opportunities</w:t>
      </w:r>
      <w:r w:rsidR="00330365">
        <w:t>.</w:t>
      </w:r>
      <w:r w:rsidRPr="00167CB8">
        <w:t>’</w:t>
      </w:r>
      <w:r w:rsidRPr="00167CB8">
        <w:rPr>
          <w:rStyle w:val="FootnoteReference"/>
        </w:rPr>
        <w:footnoteReference w:id="6"/>
      </w:r>
      <w:r w:rsidRPr="00167CB8">
        <w:t xml:space="preserve"> </w:t>
      </w:r>
    </w:p>
    <w:p w14:paraId="3288348B" w14:textId="1B327586" w:rsidR="00535D26" w:rsidRPr="00167CB8" w:rsidRDefault="00535D26" w:rsidP="00535D26">
      <w:r w:rsidRPr="00167CB8">
        <w:t xml:space="preserve">In this way, the adversarial – often mutually hostile – attitudes and policy positions revealed by the stakeholder submissions are typical of ‘the Australian way’. More importantly, they also had an </w:t>
      </w:r>
      <w:r w:rsidR="00DA6ECA">
        <w:t>major</w:t>
      </w:r>
      <w:r w:rsidR="00DA6ECA" w:rsidRPr="00167CB8">
        <w:t xml:space="preserve"> </w:t>
      </w:r>
      <w:r w:rsidRPr="00167CB8">
        <w:t>impact on this Review. Adversarialism makes independent assessments – like the one contained in this report – more difficult. When parties disagree, they tend not to trust each other. The sharing and analysis of information is incomplete and tends to favour one side while ignoring the other. The exchanges in the Review process tended, therefore, to be ‘zero sum games’ rather than the mutual gains ventures that are often evident when transparency and shared learning creates added value for all.</w:t>
      </w:r>
    </w:p>
    <w:p w14:paraId="2E5480BA" w14:textId="77777777" w:rsidR="00535D26" w:rsidRPr="00167CB8" w:rsidRDefault="00535D26" w:rsidP="00535D26">
      <w:pPr>
        <w:pStyle w:val="Heading5"/>
      </w:pPr>
      <w:r w:rsidRPr="00167CB8">
        <w:t>1.2 The impacts of limited time and data on the Review</w:t>
      </w:r>
    </w:p>
    <w:p w14:paraId="7ADB3D4D" w14:textId="77777777" w:rsidR="00535D26" w:rsidRPr="00167CB8" w:rsidRDefault="00535D26" w:rsidP="00535D26">
      <w:r w:rsidRPr="00167CB8">
        <w:t>The limited time available for the Review can be seen in its background. The Secure Jobs, Better Pay Act received royal assent on 6 December 2022. Section 4 of the Act mandated that a review start within 2 years (see the Terms of Reference in Appendix 7). The various provisions of the Act, however, commenced operation at different times. Some provisions began operation immediately, but others (as mentioned throughout the report) commenced on 6 March 2023, 6 June 2023 and even 6 December 2023.</w:t>
      </w:r>
      <w:r w:rsidRPr="00167CB8">
        <w:rPr>
          <w:rStyle w:val="FootnoteReference"/>
        </w:rPr>
        <w:footnoteReference w:id="7"/>
      </w:r>
      <w:r w:rsidRPr="00167CB8">
        <w:t xml:space="preserve">  </w:t>
      </w:r>
    </w:p>
    <w:p w14:paraId="47CBBC17" w14:textId="5FC77D5D" w:rsidR="00535D26" w:rsidRPr="00167CB8" w:rsidRDefault="00535D26" w:rsidP="00535D26">
      <w:r w:rsidRPr="00167CB8">
        <w:t>Part 16A of Schedule 1</w:t>
      </w:r>
      <w:r w:rsidRPr="00167CB8" w:rsidDel="00A90428">
        <w:t xml:space="preserve"> </w:t>
      </w:r>
      <w:r w:rsidRPr="00167CB8">
        <w:t xml:space="preserve">to the Closing Loopholes Act, which addresses right of entry provisions in the Fair Work Act authorising union representatives to gain greater access to workplaces without the usual permissions relevant under the Fair Work Act, commenced on 15 December 2023. This amending legislation also contained a requirement for a review to start within </w:t>
      </w:r>
      <w:r w:rsidR="00D34326">
        <w:t>two</w:t>
      </w:r>
      <w:r w:rsidR="00D34326" w:rsidRPr="00167CB8">
        <w:t xml:space="preserve"> </w:t>
      </w:r>
      <w:r w:rsidRPr="00167CB8">
        <w:t>years, but it mandated that the review of Part 16A commence within just 9 months.</w:t>
      </w:r>
    </w:p>
    <w:p w14:paraId="6DFBA7C7" w14:textId="06730DFA" w:rsidR="00535D26" w:rsidRPr="00167CB8" w:rsidRDefault="00535D26" w:rsidP="00535D26">
      <w:r w:rsidRPr="00167CB8">
        <w:t xml:space="preserve">The period between the conduct of the Review and the commencement of parts of the legislation was therefore brief. This had consequences for the data that was available from independent agencies and made it particularly challenging to assess whether the amendments were having their intended effect or not. This can be seen in </w:t>
      </w:r>
      <w:r w:rsidR="00642745">
        <w:t>two</w:t>
      </w:r>
      <w:r w:rsidR="00642745" w:rsidRPr="00167CB8">
        <w:t xml:space="preserve"> </w:t>
      </w:r>
      <w:r w:rsidRPr="00167CB8">
        <w:t xml:space="preserve">ways. First, routine data reported by government agencies – like the Australian Bureau of Statistics (ABS), the Department of Employment and Workplace Relations (DEWR), the Fair Work Ombudsman (FWO) and the Fair Work Commission (FWC) – is subject to understandable time lags. ABS data on methods of pay setting, for example, are only gathered and published bi-annually, making their most recent data applicable to May 2023. Data on collective agreements published by DEWR from the Workplace Agreements Database was also subject to time lags, resulting in only 7 quarters (1¾ years) being available before the completion of this report. These time delays meant that much quantitative data was often not up to date. Sometimes, as-yet unreported or other quantitative data was provided by the agencies, but this could not always meet requirements. </w:t>
      </w:r>
    </w:p>
    <w:p w14:paraId="6A606CEF" w14:textId="77777777" w:rsidR="00535D26" w:rsidRPr="00167CB8" w:rsidRDefault="00535D26" w:rsidP="00535D26">
      <w:r w:rsidRPr="00167CB8">
        <w:lastRenderedPageBreak/>
        <w:t xml:space="preserve">Similarly, an important source of qualitative data was the decisions of tribunals (like FWC) or courts (like the Federal Court), but these were often not finalised before completion of the Review. They usually require the initiation of disputes by affected individuals or organisations, which invariably (and properly) follow procedures. They also involve prospects of appeal. These decisions are often necessary in setting the ground rules on how the amendments operate in practice beyond the boundaries of the specific disputes. </w:t>
      </w:r>
    </w:p>
    <w:p w14:paraId="103FFF8B" w14:textId="77777777" w:rsidR="00535D26" w:rsidRPr="00167CB8" w:rsidRDefault="00535D26" w:rsidP="00535D26">
      <w:r w:rsidRPr="00167CB8">
        <w:t>Second, the Review Panel was mostly unable to systematically consider the impact on individual workplaces where there had not been legal proceedings, disputes or other regulatory action. In these situations, changes flow from voluntary compliance with the amendments. These ‘shadow effects’, such as an employer taking additional steps to protect workers from sexual harassment, are part of the ultimate goal of the legislative provisions. The law enables and influences changes in behaviour. It also carves out definitions of unacceptable behaviour, including by providing avenues for remedy.</w:t>
      </w:r>
    </w:p>
    <w:p w14:paraId="023B2E7F" w14:textId="77777777" w:rsidR="00535D26" w:rsidRPr="00167CB8" w:rsidRDefault="00535D26" w:rsidP="00535D26">
      <w:r w:rsidRPr="00167CB8">
        <w:t>To comprehensively determine the effectiveness of legal change, therefore, the Review Panel ideally assesses the nature and extent of behaviour that sits between the enabled and the prohibited (i.e. voluntary compliance). Given the time available to conduct this Review, the required systematic and ‘scientifically reliable’ surveys of workplaces were not completed.</w:t>
      </w:r>
    </w:p>
    <w:p w14:paraId="33737E0D" w14:textId="77777777" w:rsidR="00535D26" w:rsidRPr="00167CB8" w:rsidRDefault="00535D26" w:rsidP="00535D26">
      <w:r w:rsidRPr="00167CB8">
        <w:t>In the absence of independent data, the Review relied on the views of stakeholders, who reported feedback on the amendments they had received from their members. However, this data was rarely reported in ways that were as rigorous as might have been hoped for a significant undertaking like this Review. For example, it was often not revealed how many members had provided such feedback or how statistically representative the sample was; the form of the feedback reported; or the exact wording of questions to which members were responding, despite an express request from the Review Panel in its call for submissions.</w:t>
      </w:r>
    </w:p>
    <w:p w14:paraId="70B7903D" w14:textId="77777777" w:rsidR="00535D26" w:rsidRPr="00167CB8" w:rsidRDefault="00535D26" w:rsidP="00535D26">
      <w:r w:rsidRPr="00167CB8">
        <w:t xml:space="preserve">Moreover, in the absence of independent data, the stakeholders often filled in data gaps with opinions about what they considered was ‘likely’ to happen, based on their experiences, expectations or beliefs. Given the adversarialism discussed above, the data that was reported in this way by stakeholder groups ran the dangers of being incomplete and unreliable. </w:t>
      </w:r>
    </w:p>
    <w:p w14:paraId="4D256AFF" w14:textId="77777777" w:rsidR="00535D26" w:rsidRPr="00167CB8" w:rsidRDefault="00535D26" w:rsidP="00535D26">
      <w:pPr>
        <w:pStyle w:val="Heading5"/>
      </w:pPr>
      <w:r w:rsidRPr="00167CB8">
        <w:t xml:space="preserve">1.3 Review background </w:t>
      </w:r>
    </w:p>
    <w:p w14:paraId="2F8695C6" w14:textId="77777777" w:rsidR="00535D26" w:rsidRPr="00167CB8" w:rsidRDefault="00535D26" w:rsidP="00535D26">
      <w:r w:rsidRPr="00167CB8">
        <w:t xml:space="preserve">On 2 October 2024 the Minister for Employment and Workplace Relations, Senator the Hon Murray Watt, announced the appointment of Emeritus Professor Mark Bray and Professor Alison Preston to conduct an independent review of the </w:t>
      </w:r>
      <w:r w:rsidRPr="00167CB8" w:rsidDel="008C62CF">
        <w:t>Secure Jobs, Better Pay</w:t>
      </w:r>
      <w:r w:rsidRPr="00167CB8">
        <w:t xml:space="preserve"> Act and of the amendments made by Part 16A of Schedule 1 to the </w:t>
      </w:r>
      <w:r w:rsidRPr="00167CB8" w:rsidDel="008C62CF">
        <w:t>Closing Loopholes</w:t>
      </w:r>
      <w:r w:rsidRPr="00167CB8">
        <w:t xml:space="preserve"> Act. </w:t>
      </w:r>
    </w:p>
    <w:p w14:paraId="592C9E4D" w14:textId="77777777" w:rsidR="00535D26" w:rsidRPr="00167CB8" w:rsidRDefault="00535D26" w:rsidP="00535D26">
      <w:r w:rsidRPr="00167CB8">
        <w:t>A secretariat was appointed within DEWR to assist the Review Panel in undertaking its review. The Panel is grateful to the secretariat for their assistance in undertaking this large task. Any views expressed in this report are those of the Review Panel.</w:t>
      </w:r>
    </w:p>
    <w:p w14:paraId="1FC1D3DB" w14:textId="306D1B26" w:rsidR="00535D26" w:rsidRPr="00167CB8" w:rsidRDefault="00535D26" w:rsidP="00535D26">
      <w:r w:rsidRPr="00167CB8">
        <w:t xml:space="preserve">The draft report was delivered to Minister Watt on Friday </w:t>
      </w:r>
      <w:r w:rsidR="009F4F05">
        <w:t>24</w:t>
      </w:r>
      <w:r w:rsidR="009F4F05" w:rsidRPr="00167CB8">
        <w:t xml:space="preserve"> </w:t>
      </w:r>
      <w:r w:rsidRPr="00167CB8">
        <w:t xml:space="preserve">January 2025 and </w:t>
      </w:r>
      <w:r w:rsidR="008321DD">
        <w:t xml:space="preserve">then edited. It </w:t>
      </w:r>
      <w:r w:rsidR="00E21F57">
        <w:t xml:space="preserve">was </w:t>
      </w:r>
      <w:r w:rsidRPr="00167CB8">
        <w:t>published on the Review’s website on Monday 3 February 2025.</w:t>
      </w:r>
    </w:p>
    <w:p w14:paraId="69E930E7" w14:textId="77777777" w:rsidR="00535D26" w:rsidRPr="00167CB8" w:rsidRDefault="00535D26" w:rsidP="00535D26">
      <w:pPr>
        <w:pStyle w:val="Heading5"/>
      </w:pPr>
      <w:r w:rsidRPr="00167CB8">
        <w:t>1.3.1 Terms of Reference</w:t>
      </w:r>
    </w:p>
    <w:p w14:paraId="3205FE89" w14:textId="77777777" w:rsidR="00535D26" w:rsidRPr="00167CB8" w:rsidRDefault="00535D26" w:rsidP="00535D26">
      <w:r w:rsidRPr="00167CB8">
        <w:t>The Review’s Terms of Reference are available at Appendix 7.</w:t>
      </w:r>
    </w:p>
    <w:p w14:paraId="2B02A7D6" w14:textId="77777777" w:rsidR="00535D26" w:rsidRPr="00167CB8" w:rsidRDefault="00535D26" w:rsidP="00535D26">
      <w:pPr>
        <w:pStyle w:val="Heading5"/>
      </w:pPr>
      <w:r w:rsidRPr="00167CB8">
        <w:lastRenderedPageBreak/>
        <w:t>1.3.2 Consultation</w:t>
      </w:r>
    </w:p>
    <w:p w14:paraId="1FED7CF5" w14:textId="77777777" w:rsidR="00535D26" w:rsidRPr="00167CB8" w:rsidRDefault="00535D26" w:rsidP="00535D26">
      <w:r w:rsidRPr="00167CB8">
        <w:t xml:space="preserve">The Panel conducted consultation with key stakeholders. The commencement of the Review was announced by Minister Watt on 2 October 2024 and interested parties were encouraged to engage with the reviewers and provide their perspectives. </w:t>
      </w:r>
    </w:p>
    <w:p w14:paraId="74DF9007" w14:textId="77777777" w:rsidR="00535D26" w:rsidRPr="00167CB8" w:rsidRDefault="00535D26" w:rsidP="00535D26">
      <w:r w:rsidRPr="00167CB8">
        <w:t xml:space="preserve">On 18 October 2024 a call for submissions was made and interested parties were encouraged to provide evidence to the Review. The deadline for written submissions was 29 November 2024. </w:t>
      </w:r>
    </w:p>
    <w:p w14:paraId="3FA55241" w14:textId="77777777" w:rsidR="00535D26" w:rsidRPr="00167CB8" w:rsidRDefault="00535D26" w:rsidP="00535D26">
      <w:r w:rsidRPr="00167CB8">
        <w:t xml:space="preserve">Over 3 days covering Wednesday 30 October 2024 to Friday 1 November 2024 the Panel held a series of meetings and roundtable consultations with peak employer groups, unions and academics.  </w:t>
      </w:r>
    </w:p>
    <w:p w14:paraId="44516F3D" w14:textId="77777777" w:rsidR="00535D26" w:rsidRPr="00167CB8" w:rsidRDefault="00535D26" w:rsidP="00535D26">
      <w:r w:rsidRPr="00167CB8">
        <w:t xml:space="preserve">Appendix 8, ‘Stakeholder input’, provides a list of all the submissions received and consultations that were conducted. </w:t>
      </w:r>
    </w:p>
    <w:p w14:paraId="03255905" w14:textId="77777777" w:rsidR="00535D26" w:rsidRPr="00167CB8" w:rsidRDefault="00535D26" w:rsidP="00535D26">
      <w:r w:rsidRPr="00167CB8">
        <w:t>In response to the request from the Review Panel, 47 submissions were received, 46 of which were published on the Review website. The Panel held consultations with major stakeholders prior to receiving submissions and again when developing the report and recommendations. The Panel expresses its gratitude to the stakeholders for their contributions.</w:t>
      </w:r>
    </w:p>
    <w:p w14:paraId="4AD4D0D5" w14:textId="77777777" w:rsidR="00535D26" w:rsidRPr="00167CB8" w:rsidRDefault="00535D26" w:rsidP="00535D26">
      <w:pPr>
        <w:pStyle w:val="Heading5"/>
      </w:pPr>
      <w:r w:rsidRPr="00167CB8">
        <w:t>1.3.3 Approach to the Review</w:t>
      </w:r>
    </w:p>
    <w:p w14:paraId="615C682D" w14:textId="77777777" w:rsidR="00535D26" w:rsidRPr="00167CB8" w:rsidRDefault="00535D26" w:rsidP="00535D26">
      <w:r w:rsidRPr="00167CB8">
        <w:t>The Review Panel has sought to undertake an evidenced-based analysis of the legislative changes, comparing their effects with the Australian Government’s stated intent.</w:t>
      </w:r>
    </w:p>
    <w:p w14:paraId="31156D4D" w14:textId="01A81F7A" w:rsidR="00535D26" w:rsidRPr="00167CB8" w:rsidRDefault="00535D26" w:rsidP="00535D26">
      <w:r w:rsidRPr="00167CB8">
        <w:t xml:space="preserve">The analysis incorporates data and statistics from sources, including the ABS, the FWC, the FWO, DEWR, and the Household Income and Labour Dynamics Australia (HILDA) </w:t>
      </w:r>
      <w:r w:rsidR="00847812">
        <w:t>S</w:t>
      </w:r>
      <w:r w:rsidRPr="00167CB8">
        <w:t>urvey. It also draws on academic research, case law and additional evidence such as case studies submitted or discussed during consultations.</w:t>
      </w:r>
    </w:p>
    <w:p w14:paraId="1E0EEC7B" w14:textId="77777777" w:rsidR="00535D26" w:rsidRPr="00167CB8" w:rsidRDefault="00535D26" w:rsidP="00535D26">
      <w:r w:rsidRPr="00167CB8">
        <w:t>Given the contested nature of much of the subject matter, the Review Panel has assessed available evidence and offered independent insights based on the panel members’ expertise and experience.</w:t>
      </w:r>
    </w:p>
    <w:p w14:paraId="3D92E56E" w14:textId="77777777" w:rsidR="00535D26" w:rsidRPr="00167CB8" w:rsidRDefault="00535D26" w:rsidP="00535D26">
      <w:pPr>
        <w:pStyle w:val="Heading5"/>
      </w:pPr>
      <w:r w:rsidRPr="00167CB8">
        <w:t>1.3.4 Limitations</w:t>
      </w:r>
    </w:p>
    <w:p w14:paraId="47787006" w14:textId="77777777" w:rsidR="00535D26" w:rsidRPr="00167CB8" w:rsidRDefault="00535D26" w:rsidP="00535D26">
      <w:r w:rsidRPr="00167CB8">
        <w:t>The Review Panel has made use of all available evidence to reach the findings outlined in this report. However, data limitations and the impact of subsequent amending Acts have made it difficult to reach definitive conclusions on some measures. The Review Panel has also been cautious about delineating the impact of the amendments from the impact of the broader context, including global economic forces. To address the availability of data for future reviews and evidence-based policymaking, the Review Panel considers improvements necessary in data for the workplace relations system.</w:t>
      </w:r>
    </w:p>
    <w:p w14:paraId="726E5F75" w14:textId="77777777" w:rsidR="00535D26" w:rsidRPr="00167CB8" w:rsidRDefault="00535D26" w:rsidP="00535D26">
      <w:pPr>
        <w:pStyle w:val="Heading5"/>
      </w:pPr>
      <w:r w:rsidRPr="00167CB8">
        <w:t>1.3.5 Preview of the findings</w:t>
      </w:r>
    </w:p>
    <w:p w14:paraId="0F50FE13" w14:textId="77777777" w:rsidR="00535D26" w:rsidRPr="00167CB8" w:rsidRDefault="00535D26" w:rsidP="00535D26">
      <w:r w:rsidRPr="00167CB8">
        <w:t xml:space="preserve">The Review Panel has found that the Secure Jobs, Better Pay reforms are, on the whole, achieving the Australian Government’s intent, operating appropriately and effectively and with minimal unintended consequences. </w:t>
      </w:r>
    </w:p>
    <w:p w14:paraId="312FC80A" w14:textId="77777777" w:rsidR="00535D26" w:rsidRPr="00167CB8" w:rsidRDefault="00535D26" w:rsidP="00535D26">
      <w:r w:rsidRPr="00167CB8">
        <w:t xml:space="preserve">A number of stakeholders note the timing of the Review, claiming it is too soon and there is insufficient time for the impact of the amendments to be fully assessed. Stakeholders such as Maritime Industry Australia Ltd, Chamber of Commerce and Industry of Western Australia, </w:t>
      </w:r>
      <w:r w:rsidRPr="00167CB8">
        <w:rPr>
          <w:bCs/>
          <w:iCs/>
          <w:szCs w:val="18"/>
        </w:rPr>
        <w:lastRenderedPageBreak/>
        <w:t>Australian Resources &amp; Energy Employer Association</w:t>
      </w:r>
      <w:r w:rsidRPr="00167CB8">
        <w:t xml:space="preserve">, Australian Chamber of Commerce and Industry (ACCI) and Law Council of Australia submit that a further review of the provisions should be undertaken in due course. ACCI suggest that a subsequent review of the Secure Jobs, Better Pay Act should occur in 2 years’ time. </w:t>
      </w:r>
    </w:p>
    <w:p w14:paraId="1119F6C3" w14:textId="77777777" w:rsidR="00535D26" w:rsidRPr="00167CB8" w:rsidRDefault="00535D26" w:rsidP="00535D26">
      <w:r w:rsidRPr="00167CB8">
        <w:t>The Review Panel acknowledges that several provisions are yet to be tested. For example, in relation to the bargaining amendments, it may be 4 years until the bargaining cycles have concluded and the impacts of the reforms are understood. Similarly, important test case decisions by tribunals and/or courts leave key provisions unresolved.</w:t>
      </w:r>
    </w:p>
    <w:p w14:paraId="2C1C4320" w14:textId="77777777" w:rsidR="00535D26" w:rsidRPr="00167CB8" w:rsidRDefault="00535D26" w:rsidP="00535D26">
      <w:r w:rsidRPr="00167CB8">
        <w:t>Given the above, the Review Panel recommends that the Australian Government ensure that there is a regular collection of suitable data necessary to monitor developments in the workplace relations system. Efforts should focus, in particular, on the collation of data suitable for a detailed and rigorous analysis of:</w:t>
      </w:r>
    </w:p>
    <w:p w14:paraId="5347E383"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 xml:space="preserve">the new pay transparency laws </w:t>
      </w:r>
    </w:p>
    <w:p w14:paraId="07EFFDF9"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the use of fixed-term contracts, including their length, frequency of renewals, context for why they are used, the application of various exceptions in practice and the experience of individuals on fixed-term contracts</w:t>
      </w:r>
    </w:p>
    <w:p w14:paraId="1CEEE3B8"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 xml:space="preserve">the mechanism used to commence bargaining in all matters </w:t>
      </w:r>
    </w:p>
    <w:p w14:paraId="13A2CE68"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 xml:space="preserve">the type of multi-employer agreement (i.e. cooperative workplace agreement, supported bargaining agreement or single interest employer agreement) and the size of the employer the agreement relates to </w:t>
      </w:r>
    </w:p>
    <w:p w14:paraId="67D526F9"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 xml:space="preserve">the incidence and coverage of enterprise agreements that have nominally expired more than 5 years ago and identification of the wages and conditions under these instruments as compared to the applicable modern awards </w:t>
      </w:r>
    </w:p>
    <w:p w14:paraId="77450B53"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the effect of collective bargaining on gender equality</w:t>
      </w:r>
    </w:p>
    <w:p w14:paraId="2ED06C6F"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the application and impact of the amendments prohibiting employer advertisements with pay rates that would contravene the Fair Work Act in practice</w:t>
      </w:r>
    </w:p>
    <w:p w14:paraId="0CDCACC7" w14:textId="77777777" w:rsidR="00535D26" w:rsidRPr="00167CB8" w:rsidRDefault="00535D26" w:rsidP="00567FCA">
      <w:pPr>
        <w:pStyle w:val="ListParagraph"/>
        <w:numPr>
          <w:ilvl w:val="0"/>
          <w:numId w:val="38"/>
        </w:numPr>
        <w:spacing w:line="278" w:lineRule="auto"/>
        <w:rPr>
          <w:sz w:val="22"/>
          <w:szCs w:val="22"/>
        </w:rPr>
      </w:pPr>
      <w:r w:rsidRPr="00167CB8">
        <w:rPr>
          <w:sz w:val="22"/>
          <w:szCs w:val="22"/>
        </w:rPr>
        <w:t>the use of the right of entry amendments (from the Closing Loopholes Act).</w:t>
      </w:r>
    </w:p>
    <w:p w14:paraId="08DD0897" w14:textId="46943FC7" w:rsidR="00535D26" w:rsidRPr="00167CB8" w:rsidRDefault="00535D26" w:rsidP="00535D26">
      <w:r w:rsidRPr="00167CB8">
        <w:t>The Review Panel also recommends a subsequent review of the Secure Jobs, Better Pay Act amendments once the gaps in the data have been addressed and additional evidence is available. The Panel acknowledges that, in some cases where new data is sought, it may not be possible to make historical comparisons. To allow sufficient time for data to be collected and for the amendments to play out, the Review Panel considers a subsequent review should occur in 2 to 3 years’ time.</w:t>
      </w:r>
    </w:p>
    <w:p w14:paraId="792CCB3D" w14:textId="153991CB" w:rsidR="00FF7D2F" w:rsidRPr="00167CB8" w:rsidRDefault="00FF7D2F" w:rsidP="00535D26">
      <w:pPr>
        <w:rPr>
          <w:b/>
          <w:bCs/>
        </w:rPr>
      </w:pPr>
      <w:r w:rsidRPr="00167CB8">
        <w:rPr>
          <w:b/>
          <w:bCs/>
        </w:rPr>
        <w:t xml:space="preserve">Draft </w:t>
      </w:r>
      <w:r w:rsidR="009A45A6" w:rsidRPr="00167CB8">
        <w:rPr>
          <w:b/>
          <w:bCs/>
        </w:rPr>
        <w:t>R</w:t>
      </w:r>
      <w:r w:rsidRPr="00167CB8">
        <w:rPr>
          <w:b/>
          <w:bCs/>
        </w:rPr>
        <w:t xml:space="preserve">ecommendation 1: The Australian Government should undertake a further review into operation of the </w:t>
      </w:r>
      <w:r w:rsidRPr="00167CB8">
        <w:rPr>
          <w:b/>
          <w:bCs/>
          <w:i/>
          <w:iCs/>
        </w:rPr>
        <w:t>Fair Work Legislation Amendment (Secure Jobs, Better Pay) Act 2022</w:t>
      </w:r>
      <w:r w:rsidRPr="00167CB8">
        <w:rPr>
          <w:b/>
          <w:bCs/>
        </w:rPr>
        <w:t xml:space="preserve"> in 2 to 3 years</w:t>
      </w:r>
      <w:r w:rsidR="003D3631">
        <w:rPr>
          <w:b/>
          <w:bCs/>
        </w:rPr>
        <w:t>’</w:t>
      </w:r>
      <w:r w:rsidRPr="00167CB8">
        <w:rPr>
          <w:b/>
          <w:bCs/>
        </w:rPr>
        <w:t xml:space="preserve"> time. The Government should consult with stakeholders to determine the most appropriate timeframe for a further review.</w:t>
      </w:r>
    </w:p>
    <w:p w14:paraId="229F4879" w14:textId="54A219B4" w:rsidR="00535D26" w:rsidRPr="00167CB8" w:rsidRDefault="00535D26" w:rsidP="00535D26">
      <w:r w:rsidRPr="00167CB8">
        <w:t>Further recommendations are listed in Chapter 2 of this report.</w:t>
      </w:r>
    </w:p>
    <w:p w14:paraId="53AC0599" w14:textId="77777777" w:rsidR="00535D26" w:rsidRPr="00167CB8" w:rsidRDefault="00535D26" w:rsidP="00535D26">
      <w:pPr>
        <w:pStyle w:val="Heading5"/>
      </w:pPr>
      <w:r w:rsidRPr="00167CB8">
        <w:t>1.3.6 The structure of the report</w:t>
      </w:r>
    </w:p>
    <w:p w14:paraId="095FAEE7" w14:textId="77777777" w:rsidR="00535D26" w:rsidRPr="00167CB8" w:rsidRDefault="00535D26" w:rsidP="00535D26">
      <w:r w:rsidRPr="00167CB8">
        <w:t>The Review Panel identified 4 key aspirations of the Australian Government’s</w:t>
      </w:r>
      <w:r w:rsidRPr="00167CB8" w:rsidDel="00D37B51">
        <w:t xml:space="preserve"> </w:t>
      </w:r>
      <w:r w:rsidRPr="00167CB8">
        <w:t>Secure Jobs, Better Pay reforms, which correspond broadly with the 4 main parts of this report:</w:t>
      </w:r>
    </w:p>
    <w:p w14:paraId="36C5921C" w14:textId="77777777" w:rsidR="00535D26" w:rsidRPr="00167CB8" w:rsidRDefault="00535D26" w:rsidP="00535D26">
      <w:pPr>
        <w:pStyle w:val="ListBullet"/>
      </w:pPr>
      <w:r w:rsidRPr="00167CB8">
        <w:lastRenderedPageBreak/>
        <w:t>Integrating institutions</w:t>
      </w:r>
    </w:p>
    <w:p w14:paraId="54830CDE" w14:textId="77777777" w:rsidR="00535D26" w:rsidRPr="00167CB8" w:rsidRDefault="00535D26" w:rsidP="00535D26">
      <w:pPr>
        <w:pStyle w:val="ListBullet"/>
      </w:pPr>
      <w:r w:rsidRPr="00167CB8">
        <w:t>Advancing wages</w:t>
      </w:r>
    </w:p>
    <w:p w14:paraId="4291928A" w14:textId="77777777" w:rsidR="00535D26" w:rsidRPr="00167CB8" w:rsidRDefault="00535D26" w:rsidP="00535D26">
      <w:pPr>
        <w:pStyle w:val="ListBullet"/>
      </w:pPr>
      <w:r w:rsidRPr="00167CB8">
        <w:t>Closing the gender pay gap and improving gender equality</w:t>
      </w:r>
    </w:p>
    <w:p w14:paraId="65AF9591" w14:textId="77777777" w:rsidR="00535D26" w:rsidRPr="00167CB8" w:rsidRDefault="00535D26" w:rsidP="00535D26">
      <w:pPr>
        <w:pStyle w:val="ListBullet"/>
      </w:pPr>
      <w:r w:rsidRPr="00167CB8">
        <w:t>Improving job security.</w:t>
      </w:r>
    </w:p>
    <w:p w14:paraId="1C09C8EC" w14:textId="77777777" w:rsidR="00535D26" w:rsidRPr="00167CB8" w:rsidRDefault="00535D26" w:rsidP="00535D26">
      <w:pPr>
        <w:spacing w:after="160"/>
      </w:pPr>
      <w:r w:rsidRPr="00167CB8">
        <w:t xml:space="preserve">Each of the 4 parts of the report has a separate introductory chapter focusing on the main themes. </w:t>
      </w:r>
    </w:p>
    <w:p w14:paraId="3E6DD921" w14:textId="6C0E089E" w:rsidR="00535D26" w:rsidRPr="00167CB8" w:rsidRDefault="00535D26" w:rsidP="00535D26">
      <w:pPr>
        <w:spacing w:after="160"/>
        <w:rPr>
          <w:rFonts w:cstheme="minorHAnsi"/>
        </w:rPr>
      </w:pPr>
      <w:r w:rsidRPr="00167CB8">
        <w:rPr>
          <w:rFonts w:cstheme="minorHAnsi"/>
        </w:rPr>
        <w:t>To ensure consistency, each chapter</w:t>
      </w:r>
      <w:r w:rsidRPr="00167CB8" w:rsidDel="008D7126">
        <w:rPr>
          <w:rFonts w:cstheme="minorHAnsi"/>
        </w:rPr>
        <w:t xml:space="preserve"> </w:t>
      </w:r>
      <w:r w:rsidR="00DB0212">
        <w:rPr>
          <w:rFonts w:cstheme="minorHAnsi"/>
        </w:rPr>
        <w:t>begins with the ame</w:t>
      </w:r>
      <w:r w:rsidR="00E527CE">
        <w:rPr>
          <w:rFonts w:cstheme="minorHAnsi"/>
        </w:rPr>
        <w:t xml:space="preserve">ndments themselves and then data and analysis </w:t>
      </w:r>
      <w:r w:rsidRPr="00167CB8">
        <w:rPr>
          <w:rFonts w:cstheme="minorHAnsi"/>
        </w:rPr>
        <w:t xml:space="preserve">is divided into </w:t>
      </w:r>
      <w:r w:rsidR="00E527CE">
        <w:rPr>
          <w:rFonts w:cstheme="minorHAnsi"/>
        </w:rPr>
        <w:t>three</w:t>
      </w:r>
      <w:r w:rsidRPr="00167CB8">
        <w:rPr>
          <w:rFonts w:cstheme="minorHAnsi"/>
        </w:rPr>
        <w:t xml:space="preserve"> sections: one addressing quantitative data, another focusing on qualitative data (including case studies and decisions), and a third presenting insights from stakeholders and submissions. If no quantitative or qualitative data is available, this will be noted.</w:t>
      </w:r>
    </w:p>
    <w:p w14:paraId="172FA733" w14:textId="444F0472" w:rsidR="00535D26" w:rsidRPr="00167CB8" w:rsidRDefault="00535D26" w:rsidP="00535D26">
      <w:r w:rsidRPr="00167CB8">
        <w:t>The remainder of the report is organised as follows:</w:t>
      </w:r>
    </w:p>
    <w:p w14:paraId="1A2E0BB3" w14:textId="77777777" w:rsidR="00535D26" w:rsidRPr="00167CB8" w:rsidRDefault="00535D26" w:rsidP="00535D26">
      <w:pPr>
        <w:pStyle w:val="ListParagraph"/>
        <w:ind w:firstLine="720"/>
        <w:rPr>
          <w:rFonts w:eastAsia="Calibri"/>
          <w:sz w:val="22"/>
          <w:szCs w:val="22"/>
        </w:rPr>
      </w:pPr>
      <w:r w:rsidRPr="00167CB8">
        <w:rPr>
          <w:rFonts w:eastAsia="Calibri"/>
          <w:sz w:val="22"/>
          <w:szCs w:val="22"/>
        </w:rPr>
        <w:t xml:space="preserve">2. </w:t>
      </w:r>
      <w:r w:rsidRPr="00167CB8">
        <w:rPr>
          <w:sz w:val="22"/>
          <w:szCs w:val="22"/>
        </w:rPr>
        <w:t>Recommendations</w:t>
      </w:r>
    </w:p>
    <w:p w14:paraId="73838008" w14:textId="77777777" w:rsidR="00535D26" w:rsidRPr="00167CB8" w:rsidRDefault="00535D26" w:rsidP="00535D26">
      <w:pPr>
        <w:pStyle w:val="ListParagraph"/>
        <w:rPr>
          <w:rFonts w:eastAsia="Calibri"/>
          <w:sz w:val="22"/>
          <w:szCs w:val="22"/>
        </w:rPr>
      </w:pPr>
    </w:p>
    <w:p w14:paraId="16D3A0FB" w14:textId="77777777" w:rsidR="00535D26" w:rsidRPr="00167CB8" w:rsidRDefault="00535D26" w:rsidP="00535D26">
      <w:pPr>
        <w:pStyle w:val="ListParagraph"/>
        <w:rPr>
          <w:rFonts w:eastAsia="Calibri"/>
          <w:sz w:val="22"/>
          <w:szCs w:val="22"/>
        </w:rPr>
      </w:pPr>
      <w:r w:rsidRPr="00167CB8">
        <w:rPr>
          <w:rFonts w:eastAsia="Calibri"/>
          <w:sz w:val="22"/>
          <w:szCs w:val="22"/>
        </w:rPr>
        <w:t xml:space="preserve">Part 1. Institutional </w:t>
      </w:r>
      <w:r w:rsidRPr="00167CB8">
        <w:rPr>
          <w:sz w:val="22"/>
          <w:szCs w:val="22"/>
        </w:rPr>
        <w:t>integration</w:t>
      </w:r>
    </w:p>
    <w:p w14:paraId="4FD36A37" w14:textId="77777777" w:rsidR="00535D26" w:rsidRPr="00167CB8" w:rsidRDefault="00535D26" w:rsidP="00535D26">
      <w:pPr>
        <w:pStyle w:val="ListParagraph"/>
        <w:ind w:left="1440"/>
        <w:rPr>
          <w:rFonts w:eastAsia="Calibri"/>
          <w:sz w:val="22"/>
          <w:szCs w:val="22"/>
        </w:rPr>
      </w:pPr>
      <w:r w:rsidRPr="00167CB8">
        <w:rPr>
          <w:rFonts w:eastAsia="Calibri"/>
          <w:sz w:val="22"/>
          <w:szCs w:val="22"/>
        </w:rPr>
        <w:t>3. Introduction to Part 1</w:t>
      </w:r>
    </w:p>
    <w:p w14:paraId="7C9EA02F" w14:textId="77777777" w:rsidR="00535D26" w:rsidRPr="00167CB8" w:rsidRDefault="00535D26" w:rsidP="00535D26">
      <w:pPr>
        <w:pStyle w:val="ListParagraph"/>
        <w:ind w:left="1440"/>
        <w:rPr>
          <w:sz w:val="22"/>
          <w:szCs w:val="22"/>
        </w:rPr>
      </w:pPr>
      <w:r w:rsidRPr="00167CB8">
        <w:rPr>
          <w:rFonts w:eastAsia="Calibri"/>
          <w:sz w:val="22"/>
          <w:szCs w:val="22"/>
        </w:rPr>
        <w:t>4. Abolition of ABCC</w:t>
      </w:r>
    </w:p>
    <w:p w14:paraId="6C7433F7" w14:textId="77777777" w:rsidR="00535D26" w:rsidRPr="00167CB8" w:rsidRDefault="00535D26" w:rsidP="00535D26">
      <w:pPr>
        <w:pStyle w:val="ListParagraph"/>
        <w:ind w:left="1440"/>
        <w:rPr>
          <w:sz w:val="22"/>
          <w:szCs w:val="22"/>
        </w:rPr>
      </w:pPr>
      <w:r w:rsidRPr="00167CB8">
        <w:rPr>
          <w:sz w:val="22"/>
          <w:szCs w:val="22"/>
        </w:rPr>
        <w:t>5. Establishment of NCIF</w:t>
      </w:r>
    </w:p>
    <w:p w14:paraId="40FA858A" w14:textId="77777777" w:rsidR="00535D26" w:rsidRPr="00167CB8" w:rsidRDefault="00535D26" w:rsidP="00535D26">
      <w:pPr>
        <w:pStyle w:val="ListParagraph"/>
        <w:ind w:left="1440"/>
        <w:rPr>
          <w:sz w:val="22"/>
          <w:szCs w:val="22"/>
        </w:rPr>
      </w:pPr>
      <w:r w:rsidRPr="00167CB8">
        <w:rPr>
          <w:sz w:val="22"/>
          <w:szCs w:val="22"/>
        </w:rPr>
        <w:t>6. Abolition of ROC</w:t>
      </w:r>
    </w:p>
    <w:p w14:paraId="65E1CDE1" w14:textId="77777777" w:rsidR="00535D26" w:rsidRPr="00167CB8" w:rsidRDefault="00535D26" w:rsidP="00535D26">
      <w:pPr>
        <w:pStyle w:val="ListParagraph"/>
        <w:ind w:left="1440"/>
        <w:rPr>
          <w:sz w:val="22"/>
          <w:szCs w:val="22"/>
        </w:rPr>
      </w:pPr>
      <w:r w:rsidRPr="00167CB8">
        <w:rPr>
          <w:sz w:val="22"/>
          <w:szCs w:val="22"/>
        </w:rPr>
        <w:t>7. Additional registered organisations enforcement options</w:t>
      </w:r>
    </w:p>
    <w:p w14:paraId="22A42D45" w14:textId="77777777" w:rsidR="00535D26" w:rsidRPr="00167CB8" w:rsidRDefault="00535D26" w:rsidP="00535D26">
      <w:pPr>
        <w:pStyle w:val="ListParagraph"/>
        <w:rPr>
          <w:sz w:val="22"/>
          <w:szCs w:val="22"/>
        </w:rPr>
      </w:pPr>
    </w:p>
    <w:p w14:paraId="0F698590" w14:textId="77777777" w:rsidR="00535D26" w:rsidRPr="00167CB8" w:rsidRDefault="00535D26" w:rsidP="00535D26">
      <w:pPr>
        <w:pStyle w:val="ListParagraph"/>
        <w:rPr>
          <w:sz w:val="22"/>
          <w:szCs w:val="22"/>
        </w:rPr>
      </w:pPr>
      <w:r w:rsidRPr="00167CB8">
        <w:rPr>
          <w:sz w:val="22"/>
          <w:szCs w:val="22"/>
        </w:rPr>
        <w:t>Part 2. Bargaining and agreements</w:t>
      </w:r>
    </w:p>
    <w:p w14:paraId="5E35A274" w14:textId="77777777" w:rsidR="00535D26" w:rsidRPr="00167CB8" w:rsidRDefault="00535D26" w:rsidP="00535D26">
      <w:pPr>
        <w:pStyle w:val="ListParagraph"/>
        <w:ind w:left="1440"/>
        <w:rPr>
          <w:sz w:val="22"/>
          <w:szCs w:val="22"/>
        </w:rPr>
      </w:pPr>
      <w:r w:rsidRPr="00167CB8">
        <w:rPr>
          <w:sz w:val="22"/>
          <w:szCs w:val="22"/>
        </w:rPr>
        <w:t>8. Introduction to the bargaining and agreements chapters</w:t>
      </w:r>
    </w:p>
    <w:p w14:paraId="4AA61E5F" w14:textId="77777777" w:rsidR="00535D26" w:rsidRPr="00167CB8" w:rsidRDefault="00535D26" w:rsidP="00535D26">
      <w:pPr>
        <w:pStyle w:val="ListParagraph"/>
        <w:ind w:left="1440"/>
        <w:rPr>
          <w:sz w:val="22"/>
          <w:szCs w:val="22"/>
        </w:rPr>
      </w:pPr>
      <w:r w:rsidRPr="00167CB8">
        <w:rPr>
          <w:sz w:val="22"/>
          <w:szCs w:val="22"/>
        </w:rPr>
        <w:t>9. Initiating bargaining</w:t>
      </w:r>
    </w:p>
    <w:p w14:paraId="61E8015F" w14:textId="77777777" w:rsidR="00535D26" w:rsidRPr="00167CB8" w:rsidRDefault="00535D26" w:rsidP="00535D26">
      <w:pPr>
        <w:pStyle w:val="ListParagraph"/>
        <w:ind w:left="1440"/>
        <w:rPr>
          <w:sz w:val="22"/>
          <w:szCs w:val="22"/>
        </w:rPr>
      </w:pPr>
      <w:r w:rsidRPr="00167CB8">
        <w:rPr>
          <w:sz w:val="22"/>
          <w:szCs w:val="22"/>
        </w:rPr>
        <w:t>10. Cooperative workplaces</w:t>
      </w:r>
    </w:p>
    <w:p w14:paraId="1C8971B4" w14:textId="77777777" w:rsidR="00535D26" w:rsidRPr="00167CB8" w:rsidRDefault="00535D26" w:rsidP="00535D26">
      <w:pPr>
        <w:pStyle w:val="ListParagraph"/>
        <w:ind w:left="1440"/>
        <w:rPr>
          <w:sz w:val="22"/>
          <w:szCs w:val="22"/>
        </w:rPr>
      </w:pPr>
      <w:r w:rsidRPr="00167CB8">
        <w:rPr>
          <w:sz w:val="22"/>
          <w:szCs w:val="22"/>
        </w:rPr>
        <w:t>11. Supported bargaining</w:t>
      </w:r>
    </w:p>
    <w:p w14:paraId="5FDBD836" w14:textId="77777777" w:rsidR="00535D26" w:rsidRPr="00167CB8" w:rsidRDefault="00535D26" w:rsidP="00535D26">
      <w:pPr>
        <w:pStyle w:val="ListParagraph"/>
        <w:ind w:left="1440"/>
        <w:rPr>
          <w:sz w:val="22"/>
          <w:szCs w:val="22"/>
        </w:rPr>
      </w:pPr>
      <w:r w:rsidRPr="00167CB8">
        <w:rPr>
          <w:sz w:val="22"/>
          <w:szCs w:val="22"/>
        </w:rPr>
        <w:t>12. Single interest employer authorisations</w:t>
      </w:r>
    </w:p>
    <w:p w14:paraId="100276F2" w14:textId="77777777" w:rsidR="00535D26" w:rsidRPr="00167CB8" w:rsidRDefault="00535D26" w:rsidP="00535D26">
      <w:pPr>
        <w:pStyle w:val="ListParagraph"/>
        <w:ind w:left="1440"/>
        <w:rPr>
          <w:sz w:val="22"/>
          <w:szCs w:val="22"/>
        </w:rPr>
      </w:pPr>
      <w:r w:rsidRPr="00167CB8">
        <w:rPr>
          <w:sz w:val="22"/>
          <w:szCs w:val="22"/>
        </w:rPr>
        <w:t>13. Excluded work</w:t>
      </w:r>
    </w:p>
    <w:p w14:paraId="4999E7E6" w14:textId="77777777" w:rsidR="00535D26" w:rsidRPr="00167CB8" w:rsidRDefault="00535D26" w:rsidP="00535D26">
      <w:pPr>
        <w:pStyle w:val="ListParagraph"/>
        <w:ind w:left="1440"/>
        <w:rPr>
          <w:sz w:val="22"/>
          <w:szCs w:val="22"/>
        </w:rPr>
      </w:pPr>
      <w:r w:rsidRPr="00167CB8">
        <w:rPr>
          <w:sz w:val="22"/>
          <w:szCs w:val="22"/>
        </w:rPr>
        <w:t>14. Bargaining disputes</w:t>
      </w:r>
    </w:p>
    <w:p w14:paraId="30622F0F" w14:textId="77777777" w:rsidR="00535D26" w:rsidRPr="00167CB8" w:rsidRDefault="00535D26" w:rsidP="00535D26">
      <w:pPr>
        <w:pStyle w:val="ListParagraph"/>
        <w:ind w:left="1440"/>
        <w:rPr>
          <w:sz w:val="22"/>
          <w:szCs w:val="22"/>
        </w:rPr>
      </w:pPr>
      <w:r w:rsidRPr="00167CB8">
        <w:rPr>
          <w:sz w:val="22"/>
          <w:szCs w:val="22"/>
        </w:rPr>
        <w:t>15. Industrial action</w:t>
      </w:r>
    </w:p>
    <w:p w14:paraId="41B41762" w14:textId="77777777" w:rsidR="00535D26" w:rsidRPr="00167CB8" w:rsidRDefault="00535D26" w:rsidP="00535D26">
      <w:pPr>
        <w:pStyle w:val="ListParagraph"/>
        <w:ind w:left="1440"/>
        <w:rPr>
          <w:sz w:val="22"/>
          <w:szCs w:val="22"/>
        </w:rPr>
      </w:pPr>
      <w:r w:rsidRPr="00167CB8">
        <w:rPr>
          <w:sz w:val="22"/>
          <w:szCs w:val="22"/>
        </w:rPr>
        <w:t>16. Enterprise agreement approval</w:t>
      </w:r>
    </w:p>
    <w:p w14:paraId="34F1E8A3" w14:textId="77777777" w:rsidR="00535D26" w:rsidRPr="00167CB8" w:rsidRDefault="00535D26" w:rsidP="00535D26">
      <w:pPr>
        <w:pStyle w:val="ListParagraph"/>
        <w:ind w:left="1440"/>
        <w:rPr>
          <w:sz w:val="22"/>
          <w:szCs w:val="22"/>
        </w:rPr>
      </w:pPr>
      <w:r w:rsidRPr="00167CB8">
        <w:rPr>
          <w:sz w:val="22"/>
          <w:szCs w:val="22"/>
        </w:rPr>
        <w:t>17. Better off overall test</w:t>
      </w:r>
    </w:p>
    <w:p w14:paraId="3F768D7B" w14:textId="77777777" w:rsidR="00535D26" w:rsidRPr="00167CB8" w:rsidRDefault="00535D26" w:rsidP="00535D26">
      <w:pPr>
        <w:pStyle w:val="ListParagraph"/>
        <w:ind w:left="1440"/>
        <w:rPr>
          <w:sz w:val="22"/>
          <w:szCs w:val="22"/>
        </w:rPr>
      </w:pPr>
      <w:r w:rsidRPr="00167CB8">
        <w:rPr>
          <w:sz w:val="22"/>
          <w:szCs w:val="22"/>
        </w:rPr>
        <w:t>18. Dealing with error in enterprise agreements</w:t>
      </w:r>
    </w:p>
    <w:p w14:paraId="421E8079" w14:textId="77777777" w:rsidR="00535D26" w:rsidRPr="00167CB8" w:rsidRDefault="00535D26" w:rsidP="00535D26">
      <w:pPr>
        <w:pStyle w:val="ListParagraph"/>
        <w:ind w:left="1440"/>
        <w:rPr>
          <w:sz w:val="22"/>
          <w:szCs w:val="22"/>
        </w:rPr>
      </w:pPr>
      <w:r w:rsidRPr="00167CB8">
        <w:rPr>
          <w:sz w:val="22"/>
          <w:szCs w:val="22"/>
        </w:rPr>
        <w:t>19. Varying enterprise agreements to remove employers and their employees</w:t>
      </w:r>
    </w:p>
    <w:p w14:paraId="2733852A" w14:textId="77777777" w:rsidR="00535D26" w:rsidRPr="00167CB8" w:rsidRDefault="00535D26" w:rsidP="00535D26">
      <w:pPr>
        <w:pStyle w:val="ListParagraph"/>
        <w:ind w:left="1440"/>
        <w:rPr>
          <w:sz w:val="22"/>
          <w:szCs w:val="22"/>
        </w:rPr>
      </w:pPr>
      <w:r w:rsidRPr="00167CB8">
        <w:rPr>
          <w:sz w:val="22"/>
          <w:szCs w:val="22"/>
        </w:rPr>
        <w:t>20. Termination of agreements</w:t>
      </w:r>
    </w:p>
    <w:p w14:paraId="7E88629D" w14:textId="77777777" w:rsidR="00535D26" w:rsidRPr="00167CB8" w:rsidRDefault="00535D26" w:rsidP="00535D26">
      <w:pPr>
        <w:pStyle w:val="ListParagraph"/>
        <w:ind w:left="1440"/>
        <w:rPr>
          <w:sz w:val="22"/>
          <w:szCs w:val="22"/>
        </w:rPr>
      </w:pPr>
      <w:r w:rsidRPr="00167CB8">
        <w:rPr>
          <w:sz w:val="22"/>
          <w:szCs w:val="22"/>
        </w:rPr>
        <w:t>21. Sunsetting of ‘zombie’ agreements</w:t>
      </w:r>
    </w:p>
    <w:p w14:paraId="513C1061" w14:textId="77777777" w:rsidR="00535D26" w:rsidRPr="00167CB8" w:rsidRDefault="00535D26" w:rsidP="00535D26">
      <w:pPr>
        <w:pStyle w:val="ListParagraph"/>
        <w:rPr>
          <w:sz w:val="22"/>
          <w:szCs w:val="22"/>
        </w:rPr>
      </w:pPr>
    </w:p>
    <w:p w14:paraId="084D3015" w14:textId="77777777" w:rsidR="00535D26" w:rsidRPr="00167CB8" w:rsidRDefault="00535D26" w:rsidP="00535D26">
      <w:pPr>
        <w:pStyle w:val="ListParagraph"/>
        <w:rPr>
          <w:sz w:val="22"/>
          <w:szCs w:val="22"/>
        </w:rPr>
      </w:pPr>
      <w:r w:rsidRPr="00167CB8">
        <w:rPr>
          <w:sz w:val="22"/>
          <w:szCs w:val="22"/>
        </w:rPr>
        <w:t>Part 3. Job security and gender equality</w:t>
      </w:r>
    </w:p>
    <w:p w14:paraId="143A5D1D" w14:textId="77777777" w:rsidR="00535D26" w:rsidRPr="00167CB8" w:rsidRDefault="00535D26" w:rsidP="00535D26">
      <w:pPr>
        <w:pStyle w:val="ListParagraph"/>
        <w:ind w:left="1440"/>
        <w:rPr>
          <w:sz w:val="22"/>
          <w:szCs w:val="22"/>
        </w:rPr>
      </w:pPr>
      <w:r w:rsidRPr="00167CB8">
        <w:rPr>
          <w:sz w:val="22"/>
          <w:szCs w:val="22"/>
        </w:rPr>
        <w:t>22. Context for the Job Security &amp; Gender Equality amendments</w:t>
      </w:r>
    </w:p>
    <w:p w14:paraId="1E12DFF4" w14:textId="77777777" w:rsidR="00535D26" w:rsidRPr="00167CB8" w:rsidRDefault="00535D26" w:rsidP="00535D26">
      <w:pPr>
        <w:pStyle w:val="ListParagraph"/>
        <w:ind w:left="1440"/>
        <w:rPr>
          <w:sz w:val="22"/>
          <w:szCs w:val="22"/>
        </w:rPr>
      </w:pPr>
      <w:r w:rsidRPr="00167CB8">
        <w:rPr>
          <w:sz w:val="22"/>
          <w:szCs w:val="22"/>
        </w:rPr>
        <w:t>23. Paid family and domestic violence leave</w:t>
      </w:r>
    </w:p>
    <w:p w14:paraId="552652E1" w14:textId="77777777" w:rsidR="00535D26" w:rsidRPr="00167CB8" w:rsidRDefault="00535D26" w:rsidP="00535D26">
      <w:pPr>
        <w:pStyle w:val="ListParagraph"/>
        <w:ind w:left="1440"/>
        <w:rPr>
          <w:sz w:val="22"/>
          <w:szCs w:val="22"/>
        </w:rPr>
      </w:pPr>
      <w:r w:rsidRPr="00167CB8">
        <w:rPr>
          <w:sz w:val="22"/>
          <w:szCs w:val="22"/>
        </w:rPr>
        <w:t>24. Objects of the Fair Work Act</w:t>
      </w:r>
    </w:p>
    <w:p w14:paraId="3A466744" w14:textId="77777777" w:rsidR="00535D26" w:rsidRPr="00167CB8" w:rsidRDefault="00535D26" w:rsidP="00535D26">
      <w:pPr>
        <w:pStyle w:val="ListParagraph"/>
        <w:ind w:left="1440"/>
        <w:rPr>
          <w:sz w:val="22"/>
          <w:szCs w:val="22"/>
        </w:rPr>
      </w:pPr>
      <w:r w:rsidRPr="00167CB8">
        <w:rPr>
          <w:sz w:val="22"/>
          <w:szCs w:val="22"/>
        </w:rPr>
        <w:t>25. Equal remuneration</w:t>
      </w:r>
    </w:p>
    <w:p w14:paraId="39F47A43" w14:textId="77777777" w:rsidR="00535D26" w:rsidRPr="00167CB8" w:rsidRDefault="00535D26" w:rsidP="00535D26">
      <w:pPr>
        <w:pStyle w:val="ListParagraph"/>
        <w:ind w:left="1440"/>
        <w:rPr>
          <w:sz w:val="22"/>
          <w:szCs w:val="22"/>
        </w:rPr>
      </w:pPr>
      <w:r w:rsidRPr="00167CB8">
        <w:rPr>
          <w:sz w:val="22"/>
          <w:szCs w:val="22"/>
        </w:rPr>
        <w:t>26. Expert panels</w:t>
      </w:r>
    </w:p>
    <w:p w14:paraId="73033F05" w14:textId="77777777" w:rsidR="00535D26" w:rsidRPr="00167CB8" w:rsidRDefault="00535D26" w:rsidP="00535D26">
      <w:pPr>
        <w:pStyle w:val="ListParagraph"/>
        <w:ind w:left="1440"/>
        <w:rPr>
          <w:sz w:val="22"/>
          <w:szCs w:val="22"/>
        </w:rPr>
      </w:pPr>
      <w:r w:rsidRPr="00167CB8">
        <w:rPr>
          <w:sz w:val="22"/>
          <w:szCs w:val="22"/>
        </w:rPr>
        <w:lastRenderedPageBreak/>
        <w:t>27. Prohibiting pay secrecy</w:t>
      </w:r>
    </w:p>
    <w:p w14:paraId="5E95851F" w14:textId="77777777" w:rsidR="00535D26" w:rsidRPr="00167CB8" w:rsidRDefault="00535D26" w:rsidP="00535D26">
      <w:pPr>
        <w:pStyle w:val="ListParagraph"/>
        <w:ind w:left="1440"/>
        <w:rPr>
          <w:sz w:val="22"/>
          <w:szCs w:val="22"/>
        </w:rPr>
      </w:pPr>
      <w:r w:rsidRPr="00167CB8">
        <w:rPr>
          <w:sz w:val="22"/>
          <w:szCs w:val="22"/>
        </w:rPr>
        <w:t>28. Prohibiting sexual harassment in connection with work</w:t>
      </w:r>
    </w:p>
    <w:p w14:paraId="2920DC17" w14:textId="77777777" w:rsidR="00535D26" w:rsidRPr="00167CB8" w:rsidRDefault="00535D26" w:rsidP="00535D26">
      <w:pPr>
        <w:pStyle w:val="ListParagraph"/>
        <w:ind w:left="1440"/>
        <w:rPr>
          <w:sz w:val="22"/>
          <w:szCs w:val="22"/>
        </w:rPr>
      </w:pPr>
      <w:r w:rsidRPr="00167CB8">
        <w:rPr>
          <w:sz w:val="22"/>
          <w:szCs w:val="22"/>
        </w:rPr>
        <w:t>29. Anti-discrimination and special measures</w:t>
      </w:r>
    </w:p>
    <w:p w14:paraId="6CA8326C" w14:textId="77777777" w:rsidR="00535D26" w:rsidRPr="00167CB8" w:rsidRDefault="00535D26" w:rsidP="00535D26">
      <w:pPr>
        <w:pStyle w:val="ListParagraph"/>
        <w:ind w:left="1440"/>
        <w:rPr>
          <w:sz w:val="22"/>
          <w:szCs w:val="22"/>
        </w:rPr>
      </w:pPr>
      <w:r w:rsidRPr="00167CB8">
        <w:rPr>
          <w:sz w:val="22"/>
          <w:szCs w:val="22"/>
        </w:rPr>
        <w:t>30. Fixed term contracts</w:t>
      </w:r>
    </w:p>
    <w:p w14:paraId="0BA351CC" w14:textId="77777777" w:rsidR="00535D26" w:rsidRPr="00167CB8" w:rsidRDefault="00535D26" w:rsidP="00535D26">
      <w:pPr>
        <w:pStyle w:val="ListParagraph"/>
        <w:ind w:left="1440"/>
        <w:rPr>
          <w:sz w:val="22"/>
          <w:szCs w:val="22"/>
        </w:rPr>
      </w:pPr>
      <w:r w:rsidRPr="00167CB8">
        <w:rPr>
          <w:sz w:val="22"/>
          <w:szCs w:val="22"/>
        </w:rPr>
        <w:t>31. Flexible work</w:t>
      </w:r>
    </w:p>
    <w:p w14:paraId="1385BCA1" w14:textId="77777777" w:rsidR="00535D26" w:rsidRPr="00167CB8" w:rsidRDefault="00535D26" w:rsidP="00535D26">
      <w:pPr>
        <w:pStyle w:val="ListParagraph"/>
        <w:ind w:left="1440"/>
        <w:rPr>
          <w:sz w:val="22"/>
          <w:szCs w:val="22"/>
        </w:rPr>
      </w:pPr>
      <w:r w:rsidRPr="00167CB8">
        <w:rPr>
          <w:sz w:val="22"/>
          <w:szCs w:val="22"/>
        </w:rPr>
        <w:t>32. Unpaid parental leave</w:t>
      </w:r>
    </w:p>
    <w:p w14:paraId="0CA224D6" w14:textId="77777777" w:rsidR="00535D26" w:rsidRPr="00167CB8" w:rsidRDefault="00535D26" w:rsidP="00535D26">
      <w:pPr>
        <w:pStyle w:val="ListParagraph"/>
        <w:rPr>
          <w:sz w:val="22"/>
          <w:szCs w:val="22"/>
        </w:rPr>
      </w:pPr>
    </w:p>
    <w:p w14:paraId="436BEFFF" w14:textId="77777777" w:rsidR="00535D26" w:rsidRPr="00167CB8" w:rsidRDefault="00535D26" w:rsidP="00535D26">
      <w:pPr>
        <w:pStyle w:val="ListParagraph"/>
        <w:rPr>
          <w:sz w:val="22"/>
          <w:szCs w:val="22"/>
        </w:rPr>
      </w:pPr>
      <w:r w:rsidRPr="00167CB8">
        <w:rPr>
          <w:sz w:val="22"/>
          <w:szCs w:val="22"/>
        </w:rPr>
        <w:t>Part 4. Miscellaneous</w:t>
      </w:r>
    </w:p>
    <w:p w14:paraId="1EE2E3B4" w14:textId="77777777" w:rsidR="00535D26" w:rsidRPr="00167CB8" w:rsidRDefault="00535D26" w:rsidP="00535D26">
      <w:pPr>
        <w:pStyle w:val="ListParagraph"/>
        <w:ind w:left="1440"/>
        <w:rPr>
          <w:sz w:val="22"/>
          <w:szCs w:val="22"/>
        </w:rPr>
      </w:pPr>
      <w:r w:rsidRPr="00167CB8">
        <w:rPr>
          <w:sz w:val="22"/>
          <w:szCs w:val="22"/>
        </w:rPr>
        <w:t>33. Context for the Miscellaneous amendments</w:t>
      </w:r>
    </w:p>
    <w:p w14:paraId="0146309C" w14:textId="77777777" w:rsidR="00535D26" w:rsidRPr="00167CB8" w:rsidRDefault="00535D26" w:rsidP="00535D26">
      <w:pPr>
        <w:pStyle w:val="ListParagraph"/>
        <w:ind w:left="1440"/>
        <w:rPr>
          <w:sz w:val="22"/>
          <w:szCs w:val="22"/>
        </w:rPr>
      </w:pPr>
      <w:r w:rsidRPr="00167CB8">
        <w:rPr>
          <w:sz w:val="22"/>
          <w:szCs w:val="22"/>
        </w:rPr>
        <w:t>34. Enhancing small claims process</w:t>
      </w:r>
    </w:p>
    <w:p w14:paraId="7CC37755" w14:textId="77777777" w:rsidR="00535D26" w:rsidRPr="00167CB8" w:rsidRDefault="00535D26" w:rsidP="00535D26">
      <w:pPr>
        <w:pStyle w:val="ListParagraph"/>
        <w:ind w:left="1440"/>
        <w:rPr>
          <w:sz w:val="22"/>
          <w:szCs w:val="22"/>
        </w:rPr>
      </w:pPr>
      <w:r w:rsidRPr="00167CB8">
        <w:rPr>
          <w:sz w:val="22"/>
          <w:szCs w:val="22"/>
        </w:rPr>
        <w:t>35. Prohibiting employer advertisements with pay rates that would contravene the Act</w:t>
      </w:r>
    </w:p>
    <w:p w14:paraId="71C5ED97" w14:textId="77777777" w:rsidR="00535D26" w:rsidRPr="00167CB8" w:rsidRDefault="00535D26" w:rsidP="00535D26">
      <w:pPr>
        <w:pStyle w:val="ListParagraph"/>
        <w:ind w:left="1440"/>
        <w:rPr>
          <w:sz w:val="22"/>
          <w:szCs w:val="22"/>
        </w:rPr>
      </w:pPr>
      <w:r w:rsidRPr="00167CB8">
        <w:rPr>
          <w:sz w:val="22"/>
          <w:szCs w:val="22"/>
        </w:rPr>
        <w:t>36. Having regard to certain additional matters</w:t>
      </w:r>
    </w:p>
    <w:p w14:paraId="5138AD05" w14:textId="77777777" w:rsidR="00535D26" w:rsidRPr="00167CB8" w:rsidRDefault="00535D26" w:rsidP="00535D26">
      <w:pPr>
        <w:pStyle w:val="ListParagraph"/>
        <w:ind w:left="1440"/>
        <w:rPr>
          <w:sz w:val="22"/>
          <w:szCs w:val="22"/>
        </w:rPr>
      </w:pPr>
      <w:r w:rsidRPr="00167CB8">
        <w:rPr>
          <w:sz w:val="22"/>
          <w:szCs w:val="22"/>
        </w:rPr>
        <w:t xml:space="preserve">37. Amendment of the </w:t>
      </w:r>
      <w:r w:rsidRPr="00167CB8">
        <w:rPr>
          <w:i/>
          <w:sz w:val="22"/>
          <w:szCs w:val="22"/>
        </w:rPr>
        <w:t>Safety, Rehabilitation and Compensation Act 1988</w:t>
      </w:r>
    </w:p>
    <w:p w14:paraId="25139C8C" w14:textId="27D14BA3" w:rsidR="00535D26" w:rsidRPr="00167CB8" w:rsidRDefault="00535D26" w:rsidP="00330365">
      <w:pPr>
        <w:pStyle w:val="ListParagraph"/>
        <w:ind w:left="1440"/>
        <w:rPr>
          <w:sz w:val="22"/>
          <w:szCs w:val="22"/>
        </w:rPr>
      </w:pPr>
      <w:r w:rsidRPr="00167CB8">
        <w:rPr>
          <w:sz w:val="22"/>
          <w:szCs w:val="22"/>
        </w:rPr>
        <w:t xml:space="preserve">38. </w:t>
      </w:r>
      <w:r w:rsidR="00330365" w:rsidRPr="00330365">
        <w:rPr>
          <w:sz w:val="22"/>
          <w:szCs w:val="22"/>
        </w:rPr>
        <w:t xml:space="preserve">Closing Loopholes Act: Right of entry </w:t>
      </w:r>
      <w:r w:rsidR="00330365" w:rsidRPr="00330365">
        <w:rPr>
          <w:sz w:val="22"/>
          <w:szCs w:val="22"/>
        </w:rPr>
        <w:sym w:font="Symbol" w:char="F02D"/>
      </w:r>
      <w:r w:rsidR="00330365" w:rsidRPr="00330365">
        <w:rPr>
          <w:sz w:val="22"/>
          <w:szCs w:val="22"/>
        </w:rPr>
        <w:t xml:space="preserve"> assisting health and safety representatives</w:t>
      </w:r>
    </w:p>
    <w:p w14:paraId="7C697C80" w14:textId="77777777" w:rsidR="00535D26" w:rsidRPr="00167CB8" w:rsidRDefault="00535D26" w:rsidP="00535D26">
      <w:pPr>
        <w:pStyle w:val="ListParagraph"/>
        <w:rPr>
          <w:sz w:val="22"/>
          <w:szCs w:val="22"/>
        </w:rPr>
      </w:pPr>
      <w:r w:rsidRPr="00167CB8">
        <w:rPr>
          <w:sz w:val="22"/>
          <w:szCs w:val="22"/>
        </w:rPr>
        <w:t>Part 5. Next steps</w:t>
      </w:r>
    </w:p>
    <w:p w14:paraId="75DA2BF0" w14:textId="77777777" w:rsidR="00535D26" w:rsidRPr="00167CB8" w:rsidRDefault="00535D26" w:rsidP="00535D26">
      <w:pPr>
        <w:pStyle w:val="ListParagraph"/>
        <w:rPr>
          <w:sz w:val="22"/>
          <w:szCs w:val="22"/>
        </w:rPr>
      </w:pPr>
      <w:r w:rsidRPr="00167CB8">
        <w:rPr>
          <w:sz w:val="22"/>
          <w:szCs w:val="22"/>
        </w:rPr>
        <w:t>Appendices</w:t>
      </w:r>
    </w:p>
    <w:bookmarkEnd w:id="5"/>
    <w:p w14:paraId="4DD496B0" w14:textId="77777777" w:rsidR="00535D26" w:rsidRPr="00167CB8" w:rsidRDefault="00535D26" w:rsidP="00535D26"/>
    <w:p w14:paraId="67BEC982" w14:textId="2C1F847B" w:rsidR="002B27FD" w:rsidRPr="00167CB8" w:rsidRDefault="002B27FD">
      <w:pPr>
        <w:spacing w:after="160"/>
        <w:rPr>
          <w:rFonts w:eastAsiaTheme="majorEastAsia" w:cstheme="majorBidi"/>
          <w:b/>
          <w:color w:val="009B9F" w:themeColor="background2"/>
          <w:sz w:val="44"/>
          <w:szCs w:val="26"/>
        </w:rPr>
      </w:pPr>
      <w:r w:rsidRPr="00167CB8">
        <w:br w:type="page"/>
      </w:r>
    </w:p>
    <w:p w14:paraId="62F95F2E" w14:textId="07B8FCEB" w:rsidR="003A0C6C" w:rsidRPr="00167CB8" w:rsidRDefault="007B2AFD" w:rsidP="00E4748E">
      <w:pPr>
        <w:pStyle w:val="Heading3"/>
      </w:pPr>
      <w:bookmarkStart w:id="8" w:name="_Toc188277903"/>
      <w:bookmarkStart w:id="9" w:name="_Toc189260196"/>
      <w:bookmarkStart w:id="10" w:name="_Toc189393512"/>
      <w:r w:rsidRPr="00167CB8">
        <w:lastRenderedPageBreak/>
        <w:t xml:space="preserve">Chapter </w:t>
      </w:r>
      <w:r w:rsidR="00D759BE" w:rsidRPr="00167CB8" w:rsidDel="007B2AFD">
        <w:t>2</w:t>
      </w:r>
      <w:r w:rsidR="00D759BE" w:rsidRPr="00167CB8">
        <w:t>.</w:t>
      </w:r>
      <w:r w:rsidR="005F29CC" w:rsidRPr="00167CB8">
        <w:t xml:space="preserve"> </w:t>
      </w:r>
      <w:r w:rsidR="003A56D5" w:rsidRPr="00167CB8">
        <w:t xml:space="preserve">Draft </w:t>
      </w:r>
      <w:r w:rsidR="00BC62B8" w:rsidRPr="00167CB8">
        <w:t>r</w:t>
      </w:r>
      <w:r w:rsidR="003A0C6C" w:rsidRPr="00167CB8">
        <w:t>ecommendations</w:t>
      </w:r>
      <w:bookmarkEnd w:id="8"/>
      <w:bookmarkEnd w:id="9"/>
      <w:bookmarkEnd w:id="10"/>
    </w:p>
    <w:p w14:paraId="72F1CD57" w14:textId="144BFE31" w:rsidR="00910485" w:rsidRPr="00167CB8" w:rsidRDefault="00910485" w:rsidP="00910485">
      <w:pPr>
        <w:rPr>
          <w:iCs/>
        </w:rPr>
      </w:pPr>
      <w:r w:rsidRPr="00167CB8">
        <w:rPr>
          <w:b/>
          <w:bCs/>
        </w:rPr>
        <w:t xml:space="preserve">Draft </w:t>
      </w:r>
      <w:r w:rsidR="00385FE3" w:rsidRPr="00167CB8">
        <w:rPr>
          <w:b/>
          <w:bCs/>
        </w:rPr>
        <w:t>R</w:t>
      </w:r>
      <w:r w:rsidRPr="00167CB8">
        <w:rPr>
          <w:b/>
          <w:bCs/>
        </w:rPr>
        <w:t xml:space="preserve">ecommendation 1: </w:t>
      </w:r>
      <w:r w:rsidR="00170740" w:rsidRPr="00167CB8">
        <w:t xml:space="preserve">The Australian Government should undertake a further review into operation of the </w:t>
      </w:r>
      <w:r w:rsidR="00170740" w:rsidRPr="00167CB8">
        <w:rPr>
          <w:i/>
          <w:iCs/>
        </w:rPr>
        <w:t xml:space="preserve">Fair Work Legislation Amendment (Secure Jobs, Better Pay) Act </w:t>
      </w:r>
      <w:r w:rsidR="00170740" w:rsidRPr="00167CB8">
        <w:rPr>
          <w:i/>
        </w:rPr>
        <w:t>2022</w:t>
      </w:r>
      <w:r w:rsidR="00170740" w:rsidRPr="00167CB8">
        <w:rPr>
          <w:iCs/>
        </w:rPr>
        <w:t xml:space="preserve"> </w:t>
      </w:r>
      <w:r w:rsidR="00170740" w:rsidRPr="00167CB8">
        <w:t>in</w:t>
      </w:r>
      <w:r w:rsidR="00170740" w:rsidRPr="00167CB8">
        <w:rPr>
          <w:iCs/>
        </w:rPr>
        <w:t xml:space="preserve"> 2 to 3 years</w:t>
      </w:r>
      <w:r w:rsidR="003D3631">
        <w:rPr>
          <w:iCs/>
        </w:rPr>
        <w:t>’</w:t>
      </w:r>
      <w:r w:rsidR="00170740" w:rsidRPr="00167CB8">
        <w:rPr>
          <w:iCs/>
        </w:rPr>
        <w:t xml:space="preserve"> time. The Government should consult with stakeholders to determine the most appropriate timeframe for a further review.</w:t>
      </w:r>
    </w:p>
    <w:p w14:paraId="61C7EB6A" w14:textId="0AB24C00" w:rsidR="00582A03" w:rsidRPr="00167CB8" w:rsidRDefault="00582A03" w:rsidP="00582A03">
      <w:pPr>
        <w:rPr>
          <w:b/>
          <w:bCs/>
        </w:rPr>
      </w:pPr>
      <w:r w:rsidRPr="00167CB8">
        <w:rPr>
          <w:b/>
          <w:bCs/>
        </w:rPr>
        <w:t>Institutions</w:t>
      </w:r>
    </w:p>
    <w:p w14:paraId="502BC8B2" w14:textId="1B2C2EC5" w:rsidR="00835AA6" w:rsidRPr="00167CB8" w:rsidRDefault="00835AA6" w:rsidP="00835AA6">
      <w:r w:rsidRPr="00167CB8">
        <w:rPr>
          <w:b/>
          <w:bCs/>
        </w:rPr>
        <w:t>Draft Recommendation 2:</w:t>
      </w:r>
      <w:r w:rsidRPr="00167CB8">
        <w:t xml:space="preserve"> The</w:t>
      </w:r>
      <w:r w:rsidR="00372A44">
        <w:t xml:space="preserve"> </w:t>
      </w:r>
      <w:r w:rsidR="00372A44" w:rsidRPr="00167CB8">
        <w:t xml:space="preserve">National Construction Industry Forum (NCIF) </w:t>
      </w:r>
      <w:r w:rsidRPr="00167CB8">
        <w:t xml:space="preserve">continue its work developing and implementing the Building and Construction Industry sector Blueprint to bring cultural change to the industry. </w:t>
      </w:r>
    </w:p>
    <w:p w14:paraId="3ABF4236" w14:textId="77777777" w:rsidR="00835AA6" w:rsidRPr="00167CB8" w:rsidRDefault="00835AA6" w:rsidP="00835AA6">
      <w:r w:rsidRPr="00167CB8">
        <w:rPr>
          <w:b/>
          <w:bCs/>
        </w:rPr>
        <w:t>Draft Recommendation 3:</w:t>
      </w:r>
      <w:r w:rsidRPr="00167CB8">
        <w:t xml:space="preserve">  The Australian</w:t>
      </w:r>
      <w:r w:rsidRPr="00167CB8" w:rsidDel="00832C62">
        <w:t xml:space="preserve"> </w:t>
      </w:r>
      <w:r w:rsidRPr="00167CB8">
        <w:t xml:space="preserve">Government consider utilising the NCIF as a model tripartite forum to advise the Australian Government on other industries. </w:t>
      </w:r>
    </w:p>
    <w:p w14:paraId="565BDA85" w14:textId="77777777" w:rsidR="00835AA6" w:rsidRPr="00167CB8" w:rsidRDefault="00835AA6" w:rsidP="00835AA6">
      <w:pPr>
        <w:rPr>
          <w:bCs/>
          <w:color w:val="FF0000"/>
        </w:rPr>
      </w:pPr>
      <w:r w:rsidRPr="00167CB8">
        <w:rPr>
          <w:b/>
        </w:rPr>
        <w:t>Draft Recommendation 4:</w:t>
      </w:r>
      <w:r w:rsidRPr="00167CB8">
        <w:rPr>
          <w:bCs/>
        </w:rPr>
        <w:t xml:space="preserve"> The Australian Government consult, including with the General Manager of the Fair Work Commission (FWC), to consider whether penalty amounts</w:t>
      </w:r>
      <w:r w:rsidRPr="00167CB8" w:rsidDel="00FA542E">
        <w:rPr>
          <w:bCs/>
        </w:rPr>
        <w:t xml:space="preserve"> </w:t>
      </w:r>
      <w:r w:rsidRPr="00167CB8">
        <w:rPr>
          <w:bCs/>
        </w:rPr>
        <w:t xml:space="preserve">payable under Infringement Notices are proportionate to the contraventions that are subject to an Infringement Notice under the </w:t>
      </w:r>
      <w:r w:rsidRPr="00167CB8">
        <w:rPr>
          <w:bCs/>
          <w:i/>
          <w:iCs/>
        </w:rPr>
        <w:t>Fair Work (Registered Organisations) Act 2009</w:t>
      </w:r>
      <w:r w:rsidRPr="00167CB8">
        <w:rPr>
          <w:bCs/>
        </w:rPr>
        <w:t>.</w:t>
      </w:r>
    </w:p>
    <w:p w14:paraId="3501E181" w14:textId="04FBD0FD" w:rsidR="00582A03" w:rsidRPr="00167CB8" w:rsidRDefault="00582A03" w:rsidP="00582A03">
      <w:pPr>
        <w:rPr>
          <w:b/>
          <w:bCs/>
        </w:rPr>
      </w:pPr>
      <w:r w:rsidRPr="00167CB8">
        <w:rPr>
          <w:b/>
          <w:bCs/>
        </w:rPr>
        <w:t>Bargaining and agreements</w:t>
      </w:r>
    </w:p>
    <w:p w14:paraId="7424706E" w14:textId="53BD4A65" w:rsidR="008D6864" w:rsidRPr="00167CB8" w:rsidRDefault="008D6864" w:rsidP="008D6864">
      <w:r w:rsidRPr="00167CB8">
        <w:rPr>
          <w:b/>
          <w:bCs/>
        </w:rPr>
        <w:t>Draft Recommendation 5:</w:t>
      </w:r>
      <w:r w:rsidRPr="00167CB8">
        <w:t xml:space="preserve"> The FWC should publish guidance to assist employers understand their obligations after receiving a written request to bargain under s</w:t>
      </w:r>
      <w:r w:rsidR="000F12C0" w:rsidRPr="00167CB8">
        <w:t xml:space="preserve"> </w:t>
      </w:r>
      <w:r w:rsidRPr="00167CB8">
        <w:t>173(2A) of the Fair Work Act. This guidance material should include a template written request for bargaining representatives. The template written request should outline, amongst other matters, the requirement for employers to issue a notice of employee representational rights (NERR) within 14 days of receiving the request and details of known bargaining representatives.</w:t>
      </w:r>
    </w:p>
    <w:p w14:paraId="34FA105E" w14:textId="40AAADA5" w:rsidR="008D6864" w:rsidRPr="00167CB8" w:rsidRDefault="008D6864" w:rsidP="008D6864">
      <w:r w:rsidRPr="00167CB8">
        <w:rPr>
          <w:b/>
          <w:bCs/>
        </w:rPr>
        <w:t>Draft Recommendation 6:</w:t>
      </w:r>
      <w:r w:rsidRPr="00167CB8">
        <w:t xml:space="preserve"> The mandatory conciliation conference in s</w:t>
      </w:r>
      <w:r w:rsidR="009208A5" w:rsidRPr="00167CB8">
        <w:t> </w:t>
      </w:r>
      <w:r w:rsidRPr="00167CB8">
        <w:t>448A of the Fair Work Act should be amended to provide the FWC with the discretion not to conduct a conference if there is agreement of relevant bargaining representatives.</w:t>
      </w:r>
    </w:p>
    <w:p w14:paraId="7852A8E8" w14:textId="4FDEA10A" w:rsidR="008D6864" w:rsidRPr="00167CB8" w:rsidRDefault="008D6864" w:rsidP="008D6864">
      <w:r w:rsidRPr="00167CB8">
        <w:rPr>
          <w:b/>
          <w:bCs/>
        </w:rPr>
        <w:t>Draft Recommendation 7:</w:t>
      </w:r>
      <w:r w:rsidRPr="00167CB8">
        <w:t xml:space="preserve"> The Australian Government amend the Fair Work Act to ensure the statement of principles on genuine agreement is a complete statement of the matters FWC must consider in relation to whether a proposed enterprise agreement has been genuinely agreed. This should include, at least, removing duplication of requirements in s</w:t>
      </w:r>
      <w:r w:rsidR="009208A5" w:rsidRPr="00167CB8">
        <w:t> </w:t>
      </w:r>
      <w:r w:rsidRPr="00167CB8">
        <w:t>180(5) and s</w:t>
      </w:r>
      <w:r w:rsidR="009208A5" w:rsidRPr="00167CB8">
        <w:t> </w:t>
      </w:r>
      <w:r w:rsidRPr="00167CB8">
        <w:t>188(4A) of the Fair Work Act and the Statement of Principles on Genuine Agreement.</w:t>
      </w:r>
    </w:p>
    <w:p w14:paraId="1626C66B" w14:textId="77777777" w:rsidR="008D6864" w:rsidRPr="00167CB8" w:rsidRDefault="008D6864" w:rsidP="008D6864">
      <w:r w:rsidRPr="00167CB8">
        <w:rPr>
          <w:b/>
          <w:bCs/>
        </w:rPr>
        <w:t>Draft Recommendation 8:</w:t>
      </w:r>
      <w:r w:rsidRPr="00167CB8">
        <w:t xml:space="preserve"> The FWC regularly engage with its Enterprise Agreements and Bargaining Advisory Group to review and advise on the operation of the Statement of Principles of Genuine Agreement to ensure it is operating appropriately and effectively.</w:t>
      </w:r>
    </w:p>
    <w:p w14:paraId="7542AD46" w14:textId="7DA8A078" w:rsidR="00582A03" w:rsidRPr="00167CB8" w:rsidRDefault="00582A03" w:rsidP="00582A03">
      <w:pPr>
        <w:rPr>
          <w:b/>
          <w:bCs/>
        </w:rPr>
      </w:pPr>
      <w:r w:rsidRPr="00167CB8">
        <w:rPr>
          <w:b/>
          <w:bCs/>
        </w:rPr>
        <w:t>Job security and gender equality</w:t>
      </w:r>
    </w:p>
    <w:p w14:paraId="7B8CFBE5" w14:textId="77777777" w:rsidR="001C309A" w:rsidRPr="00167CB8" w:rsidRDefault="001C309A" w:rsidP="001C309A">
      <w:pPr>
        <w:rPr>
          <w:rStyle w:val="Emphasis"/>
          <w:i w:val="0"/>
          <w:iCs w:val="0"/>
        </w:rPr>
      </w:pPr>
      <w:r w:rsidRPr="00167CB8">
        <w:rPr>
          <w:rStyle w:val="Emphasis"/>
          <w:b/>
          <w:bCs/>
          <w:i w:val="0"/>
          <w:iCs w:val="0"/>
        </w:rPr>
        <w:t>Draft Recommendation 9:</w:t>
      </w:r>
      <w:r w:rsidRPr="00167CB8">
        <w:rPr>
          <w:rStyle w:val="Emphasis"/>
          <w:i w:val="0"/>
          <w:iCs w:val="0"/>
        </w:rPr>
        <w:t xml:space="preserve"> The Review Panel encourages the FWC to continue its program of work to advance gender equality, particularly by addressing the low pay in other female dominated sectors (beyond care work), and to set out broader principles for identifying and addressing work value and gender undervaluation.</w:t>
      </w:r>
    </w:p>
    <w:p w14:paraId="6AA87DB2" w14:textId="77777777" w:rsidR="001C309A" w:rsidRPr="00167CB8" w:rsidRDefault="001C309A" w:rsidP="001C309A">
      <w:pPr>
        <w:rPr>
          <w:rStyle w:val="Emphasis"/>
          <w:i w:val="0"/>
          <w:iCs w:val="0"/>
        </w:rPr>
      </w:pPr>
      <w:r w:rsidRPr="00167CB8">
        <w:rPr>
          <w:rStyle w:val="Emphasis"/>
          <w:b/>
          <w:bCs/>
          <w:i w:val="0"/>
          <w:iCs w:val="0"/>
        </w:rPr>
        <w:lastRenderedPageBreak/>
        <w:t xml:space="preserve">Draft Recommendation 10: </w:t>
      </w:r>
      <w:r w:rsidRPr="00167CB8">
        <w:rPr>
          <w:rStyle w:val="Emphasis"/>
          <w:i w:val="0"/>
          <w:iCs w:val="0"/>
        </w:rPr>
        <w:t>The FWC continue to support parties and facilitate proceedings to address gender undervaluation, including through its gender pay equity unit undertaking research and gathering evidence to support future work value proceedings.</w:t>
      </w:r>
    </w:p>
    <w:p w14:paraId="5CEAF918" w14:textId="77777777" w:rsidR="001C309A" w:rsidRPr="00167CB8" w:rsidRDefault="001C309A" w:rsidP="001C309A">
      <w:pPr>
        <w:rPr>
          <w:rStyle w:val="Emphasis"/>
          <w:i w:val="0"/>
          <w:iCs w:val="0"/>
        </w:rPr>
      </w:pPr>
      <w:r w:rsidRPr="00167CB8">
        <w:rPr>
          <w:rStyle w:val="Emphasis"/>
          <w:b/>
          <w:bCs/>
          <w:i w:val="0"/>
          <w:iCs w:val="0"/>
        </w:rPr>
        <w:t>Draft Recommendation 11:</w:t>
      </w:r>
      <w:r w:rsidRPr="00167CB8">
        <w:rPr>
          <w:rStyle w:val="Emphasis"/>
          <w:i w:val="0"/>
          <w:iCs w:val="0"/>
        </w:rPr>
        <w:t xml:space="preserve"> The Australian Government take steps to advise the FWC and stakeholders of its position on funding for the outcomes of FWC reviews to address gender undervaluation at the earliest opportunities.</w:t>
      </w:r>
    </w:p>
    <w:p w14:paraId="3D62E8FB" w14:textId="77777777" w:rsidR="001C309A" w:rsidRPr="00167CB8" w:rsidRDefault="001C309A" w:rsidP="001C309A">
      <w:pPr>
        <w:rPr>
          <w:bCs/>
        </w:rPr>
      </w:pPr>
      <w:r w:rsidRPr="00167CB8">
        <w:rPr>
          <w:b/>
        </w:rPr>
        <w:t>Draft Recommendation 12:</w:t>
      </w:r>
      <w:r w:rsidRPr="00167CB8">
        <w:rPr>
          <w:bCs/>
        </w:rPr>
        <w:t xml:space="preserve"> The Australian Government should actively monitor bargaining outcomes in sectors that receive significant increases to modern award rates of pay due to gender undervaluation. This monitoring is essential to ensure that these increases lead to sustained improvements in pay equity and do not result in unintended changes in wage-setting practices within enterprise agreements.</w:t>
      </w:r>
    </w:p>
    <w:p w14:paraId="1690C82B" w14:textId="77C40F86" w:rsidR="001C309A" w:rsidRPr="00167CB8" w:rsidRDefault="001C309A" w:rsidP="001C309A">
      <w:pPr>
        <w:rPr>
          <w:rStyle w:val="Emphasis"/>
          <w:i w:val="0"/>
          <w:iCs w:val="0"/>
          <w:strike/>
        </w:rPr>
      </w:pPr>
      <w:r w:rsidRPr="00167CB8">
        <w:rPr>
          <w:rStyle w:val="Emphasis"/>
          <w:b/>
          <w:bCs/>
          <w:i w:val="0"/>
          <w:iCs w:val="0"/>
        </w:rPr>
        <w:t>Draft Recommendation 13:</w:t>
      </w:r>
      <w:r w:rsidRPr="00167CB8">
        <w:rPr>
          <w:rStyle w:val="Emphasis"/>
          <w:i w:val="0"/>
          <w:iCs w:val="0"/>
        </w:rPr>
        <w:t xml:space="preserve"> The Australian Government amend the Fair Work Act at s</w:t>
      </w:r>
      <w:r w:rsidR="009208A5" w:rsidRPr="00167CB8">
        <w:rPr>
          <w:rStyle w:val="Emphasis"/>
          <w:i w:val="0"/>
          <w:iCs w:val="0"/>
        </w:rPr>
        <w:t> </w:t>
      </w:r>
      <w:r w:rsidRPr="00167CB8">
        <w:rPr>
          <w:rStyle w:val="Emphasis"/>
          <w:i w:val="0"/>
          <w:iCs w:val="0"/>
        </w:rPr>
        <w:t xml:space="preserve">620(1)(b) to include gender pay equity as an additional area of expertise when appointing Expert Panel Members to the Annual Wage Review Expert Panel. </w:t>
      </w:r>
    </w:p>
    <w:p w14:paraId="4B5BCB13" w14:textId="77777777" w:rsidR="001C309A" w:rsidRPr="00167CB8" w:rsidRDefault="001C309A" w:rsidP="001C309A">
      <w:pPr>
        <w:rPr>
          <w:rStyle w:val="Emphasis"/>
          <w:bCs/>
          <w:i w:val="0"/>
          <w:iCs w:val="0"/>
          <w:lang w:val="en-US"/>
        </w:rPr>
      </w:pPr>
      <w:r w:rsidRPr="00167CB8">
        <w:rPr>
          <w:rStyle w:val="Emphasis"/>
          <w:b/>
          <w:i w:val="0"/>
          <w:iCs w:val="0"/>
          <w:lang w:val="en-US"/>
        </w:rPr>
        <w:t>Draft Recommendation 14:</w:t>
      </w:r>
      <w:r w:rsidRPr="00167CB8">
        <w:rPr>
          <w:rStyle w:val="Emphasis"/>
          <w:bCs/>
          <w:i w:val="0"/>
          <w:iCs w:val="0"/>
          <w:lang w:val="en-US"/>
        </w:rPr>
        <w:t xml:space="preserve"> The Fair Work Act should be amended to provide the FWC President with greater discretion in determining when a Care and Community Sector Expert Panel is required.</w:t>
      </w:r>
    </w:p>
    <w:p w14:paraId="1B8A6D40" w14:textId="77777777" w:rsidR="001C309A" w:rsidRPr="00167CB8" w:rsidRDefault="001C309A" w:rsidP="001C309A">
      <w:pPr>
        <w:rPr>
          <w:rStyle w:val="Emphasis"/>
          <w:i w:val="0"/>
          <w:lang w:val="en-US"/>
        </w:rPr>
      </w:pPr>
      <w:r w:rsidRPr="00167CB8">
        <w:rPr>
          <w:b/>
          <w:bCs/>
        </w:rPr>
        <w:t>Draft Recommendation 15:</w:t>
      </w:r>
      <w:r w:rsidRPr="00167CB8">
        <w:t xml:space="preserve">  The Australian Government should undertake further research and consider whether it is appropriate to extend the protected attributes in the Fair Work Act to cover perimenopause and menopause, as well as other reproductive health issues.</w:t>
      </w:r>
    </w:p>
    <w:p w14:paraId="12BADF4C" w14:textId="77777777" w:rsidR="00072852" w:rsidRPr="00167CB8" w:rsidRDefault="00072852" w:rsidP="00072852">
      <w:r w:rsidRPr="00167CB8">
        <w:rPr>
          <w:b/>
          <w:bCs/>
        </w:rPr>
        <w:t>Draft Recommendation 16:</w:t>
      </w:r>
      <w:r w:rsidRPr="00167CB8">
        <w:t xml:space="preserve">  The Australian Government should reconsider the approach to limiting the use of fixed term contracts. The Review Panel is seeking stakeholder views on the following options:</w:t>
      </w:r>
    </w:p>
    <w:p w14:paraId="2615343D" w14:textId="77777777" w:rsidR="00072852" w:rsidRPr="00167CB8" w:rsidRDefault="00072852" w:rsidP="00567FCA">
      <w:pPr>
        <w:pStyle w:val="ListParagraph"/>
        <w:numPr>
          <w:ilvl w:val="0"/>
          <w:numId w:val="22"/>
        </w:numPr>
        <w:rPr>
          <w:sz w:val="22"/>
          <w:szCs w:val="22"/>
        </w:rPr>
      </w:pPr>
      <w:r w:rsidRPr="00167CB8">
        <w:rPr>
          <w:sz w:val="22"/>
          <w:szCs w:val="22"/>
        </w:rPr>
        <w:t>amending the existing framework to make the limitation and current exceptions more readily applicable in practice (for example, by increasing the years/renewals threshold or clarifying the Australian Government funding exception), or</w:t>
      </w:r>
    </w:p>
    <w:p w14:paraId="1681C288" w14:textId="77777777" w:rsidR="00072852" w:rsidRPr="00167CB8" w:rsidRDefault="00072852" w:rsidP="00567FCA">
      <w:pPr>
        <w:pStyle w:val="ListParagraph"/>
        <w:numPr>
          <w:ilvl w:val="0"/>
          <w:numId w:val="22"/>
        </w:numPr>
        <w:rPr>
          <w:rStyle w:val="Emphasis"/>
          <w:i w:val="0"/>
          <w:iCs w:val="0"/>
          <w:sz w:val="22"/>
          <w:szCs w:val="22"/>
        </w:rPr>
      </w:pPr>
      <w:r w:rsidRPr="00167CB8">
        <w:rPr>
          <w:sz w:val="22"/>
          <w:szCs w:val="22"/>
        </w:rPr>
        <w:t>introducing a principles-based framework into the Fair Work Act with specific limitations and exemptions primarily determined through the FWC (further consideration would need to be given to technical aspects of implementation including application to award/agreement free employees).</w:t>
      </w:r>
    </w:p>
    <w:p w14:paraId="1DDA21EE" w14:textId="0529BA81" w:rsidR="00582A03" w:rsidRPr="00167CB8" w:rsidRDefault="00582A03" w:rsidP="00582A03">
      <w:pPr>
        <w:rPr>
          <w:b/>
          <w:bCs/>
        </w:rPr>
      </w:pPr>
      <w:r w:rsidRPr="00167CB8">
        <w:rPr>
          <w:b/>
          <w:bCs/>
        </w:rPr>
        <w:t>Miscellaneous</w:t>
      </w:r>
    </w:p>
    <w:p w14:paraId="13112690" w14:textId="77777777" w:rsidR="00C64492" w:rsidRPr="00167CB8" w:rsidRDefault="00C64492" w:rsidP="00C64492">
      <w:r w:rsidRPr="00167CB8">
        <w:rPr>
          <w:b/>
          <w:bCs/>
        </w:rPr>
        <w:t>Draft Recommendation 17:</w:t>
      </w:r>
      <w:r w:rsidRPr="00167CB8">
        <w:t xml:space="preserve"> Consistent with recommendations 9, 10 and 11 of the Department of Employment and Workplace Relations’ Review of the Fair Work Act Small Claims Procedure:</w:t>
      </w:r>
    </w:p>
    <w:p w14:paraId="14012633" w14:textId="77777777" w:rsidR="00C64492" w:rsidRPr="00167CB8" w:rsidRDefault="00C64492" w:rsidP="00567FCA">
      <w:pPr>
        <w:pStyle w:val="ListParagraph"/>
        <w:numPr>
          <w:ilvl w:val="0"/>
          <w:numId w:val="23"/>
        </w:numPr>
        <w:rPr>
          <w:sz w:val="22"/>
          <w:szCs w:val="22"/>
        </w:rPr>
      </w:pPr>
      <w:r w:rsidRPr="00167CB8">
        <w:rPr>
          <w:sz w:val="22"/>
          <w:szCs w:val="22"/>
        </w:rPr>
        <w:t xml:space="preserve">9. The Government should undertake further work to consider whether additional funding is required for legal assistance in small claims matters, to enable: </w:t>
      </w:r>
    </w:p>
    <w:p w14:paraId="0B233BBC" w14:textId="77777777" w:rsidR="00C64492" w:rsidRPr="00167CB8" w:rsidRDefault="00C64492" w:rsidP="00C64492">
      <w:pPr>
        <w:pStyle w:val="ListParagraph"/>
        <w:ind w:left="1440"/>
        <w:rPr>
          <w:sz w:val="22"/>
          <w:szCs w:val="22"/>
        </w:rPr>
      </w:pPr>
      <w:r w:rsidRPr="00167CB8">
        <w:rPr>
          <w:sz w:val="22"/>
          <w:szCs w:val="22"/>
        </w:rPr>
        <w:t xml:space="preserve">a. the establishment of duty lawyer services </w:t>
      </w:r>
    </w:p>
    <w:p w14:paraId="61B76087" w14:textId="77777777" w:rsidR="00C64492" w:rsidRPr="00167CB8" w:rsidRDefault="00C64492" w:rsidP="00C64492">
      <w:pPr>
        <w:pStyle w:val="ListParagraph"/>
        <w:ind w:left="1440"/>
        <w:rPr>
          <w:sz w:val="22"/>
          <w:szCs w:val="22"/>
        </w:rPr>
      </w:pPr>
      <w:r w:rsidRPr="00167CB8">
        <w:rPr>
          <w:sz w:val="22"/>
          <w:szCs w:val="22"/>
        </w:rPr>
        <w:t xml:space="preserve">b. the provision of targeted community legal education initiatives, and </w:t>
      </w:r>
    </w:p>
    <w:p w14:paraId="52FF14F3" w14:textId="77777777" w:rsidR="00C64492" w:rsidRPr="00167CB8" w:rsidRDefault="00C64492" w:rsidP="00C64492">
      <w:pPr>
        <w:pStyle w:val="ListParagraph"/>
        <w:ind w:left="1440"/>
        <w:rPr>
          <w:sz w:val="22"/>
          <w:szCs w:val="22"/>
        </w:rPr>
      </w:pPr>
      <w:r w:rsidRPr="00167CB8">
        <w:rPr>
          <w:sz w:val="22"/>
          <w:szCs w:val="22"/>
        </w:rPr>
        <w:t>c. legal assistance providers to assist and represent more workers.</w:t>
      </w:r>
    </w:p>
    <w:p w14:paraId="1ED39C6D" w14:textId="77777777" w:rsidR="00C64492" w:rsidRPr="00167CB8" w:rsidRDefault="00C64492" w:rsidP="00567FCA">
      <w:pPr>
        <w:pStyle w:val="ListParagraph"/>
        <w:numPr>
          <w:ilvl w:val="0"/>
          <w:numId w:val="23"/>
        </w:numPr>
        <w:rPr>
          <w:sz w:val="22"/>
          <w:szCs w:val="22"/>
        </w:rPr>
      </w:pPr>
      <w:r w:rsidRPr="00167CB8">
        <w:rPr>
          <w:sz w:val="22"/>
          <w:szCs w:val="22"/>
        </w:rPr>
        <w:t xml:space="preserve">10. Once data on the effects of the increased monetary cap becomes available, the Department of Employment and Workplace Relations should consider whether any </w:t>
      </w:r>
      <w:r w:rsidRPr="00167CB8">
        <w:rPr>
          <w:sz w:val="22"/>
          <w:szCs w:val="22"/>
        </w:rPr>
        <w:lastRenderedPageBreak/>
        <w:t xml:space="preserve">additional changes to the small claims procedure under the </w:t>
      </w:r>
      <w:r w:rsidRPr="00167CB8">
        <w:rPr>
          <w:i/>
          <w:iCs/>
          <w:sz w:val="22"/>
          <w:szCs w:val="22"/>
        </w:rPr>
        <w:t>Fair Work Act 2009</w:t>
      </w:r>
      <w:r w:rsidRPr="00167CB8">
        <w:rPr>
          <w:sz w:val="22"/>
          <w:szCs w:val="22"/>
        </w:rPr>
        <w:t xml:space="preserve"> are necessary.</w:t>
      </w:r>
      <w:r w:rsidRPr="00167CB8">
        <w:rPr>
          <w:rStyle w:val="FootnoteReference"/>
          <w:sz w:val="22"/>
          <w:szCs w:val="22"/>
        </w:rPr>
        <w:t xml:space="preserve"> </w:t>
      </w:r>
    </w:p>
    <w:p w14:paraId="3724B586" w14:textId="77777777" w:rsidR="00C64492" w:rsidRPr="00167CB8" w:rsidRDefault="00C64492" w:rsidP="00567FCA">
      <w:pPr>
        <w:pStyle w:val="ListParagraph"/>
        <w:numPr>
          <w:ilvl w:val="0"/>
          <w:numId w:val="23"/>
        </w:numPr>
        <w:rPr>
          <w:sz w:val="22"/>
          <w:szCs w:val="22"/>
        </w:rPr>
      </w:pPr>
      <w:r w:rsidRPr="00167CB8">
        <w:rPr>
          <w:sz w:val="22"/>
          <w:szCs w:val="22"/>
        </w:rPr>
        <w:t>11. Noting differing views about the potentially complementary nature of extending small claims jurisdiction to a tribunal and establishing an industrial court, it is recommended that Government consider these options further and determine which option, if any, to pursue. In progressing the selected policy, stakeholder feedback, including that received as part of the Small Claims Review, should be considered.</w:t>
      </w:r>
    </w:p>
    <w:p w14:paraId="1D2EE685" w14:textId="77777777" w:rsidR="001B3344" w:rsidRPr="00167CB8" w:rsidRDefault="001B3344" w:rsidP="001B3344">
      <w:pPr>
        <w:rPr>
          <w:rFonts w:cstheme="minorHAnsi"/>
          <w:bCs/>
          <w:iCs/>
          <w:lang w:val="en-US"/>
        </w:rPr>
      </w:pPr>
      <w:r w:rsidRPr="00167CB8">
        <w:rPr>
          <w:rFonts w:cstheme="minorHAnsi"/>
          <w:b/>
          <w:bCs/>
          <w:iCs/>
          <w:lang w:val="en-US"/>
        </w:rPr>
        <w:t>Draft Recommendation 18:</w:t>
      </w:r>
      <w:r w:rsidRPr="00167CB8">
        <w:rPr>
          <w:rFonts w:cstheme="minorHAnsi"/>
          <w:bCs/>
          <w:iCs/>
          <w:lang w:val="en-US"/>
        </w:rPr>
        <w:t xml:space="preserve"> The Fair Work Ombudsman (FWO) should engage with job advertising platforms and other technology stakeholders to ensure that all job advertisements include accurate and lawful information, supported by the FWO’s public education initiatives and materials.</w:t>
      </w:r>
    </w:p>
    <w:p w14:paraId="2B4E4E11" w14:textId="77777777" w:rsidR="001B3344" w:rsidRPr="00167CB8" w:rsidRDefault="001B3344" w:rsidP="001B3344">
      <w:r w:rsidRPr="00167CB8">
        <w:rPr>
          <w:b/>
          <w:bCs/>
        </w:rPr>
        <w:t>Draft Recommendation 19:</w:t>
      </w:r>
      <w:r w:rsidRPr="00167CB8">
        <w:t xml:space="preserve"> The FWC </w:t>
      </w:r>
      <w:r w:rsidRPr="00167CB8" w:rsidDel="001F67CD">
        <w:t xml:space="preserve">should </w:t>
      </w:r>
      <w:r w:rsidRPr="00167CB8">
        <w:t>implement an automatic language translation tool on its website (as used by the FWO) and the Australian Government should investigate whether such tools could be used to translate materials into First Nations languages.</w:t>
      </w:r>
    </w:p>
    <w:p w14:paraId="642BAB2F" w14:textId="4771B768" w:rsidR="00A148FE" w:rsidRPr="00167CB8" w:rsidRDefault="00155F5B" w:rsidP="007D3897">
      <w:pPr>
        <w:pStyle w:val="Heading2"/>
      </w:pPr>
      <w:r w:rsidRPr="00167CB8">
        <w:br w:type="page"/>
      </w:r>
      <w:bookmarkStart w:id="11" w:name="_Toc189260178"/>
      <w:bookmarkStart w:id="12" w:name="_Toc189260197"/>
      <w:bookmarkStart w:id="13" w:name="_Toc189393513"/>
      <w:r w:rsidR="007B2AFD" w:rsidRPr="00167CB8">
        <w:lastRenderedPageBreak/>
        <w:t>Part</w:t>
      </w:r>
      <w:bookmarkStart w:id="14" w:name="_Toc188277904"/>
      <w:r w:rsidR="007B2AFD" w:rsidRPr="00167CB8">
        <w:t xml:space="preserve"> 1</w:t>
      </w:r>
      <w:r w:rsidR="00C643A3" w:rsidRPr="00167CB8">
        <w:t>.</w:t>
      </w:r>
      <w:r w:rsidR="00734554" w:rsidRPr="00167CB8">
        <w:t xml:space="preserve"> </w:t>
      </w:r>
      <w:r w:rsidR="00C643A3" w:rsidRPr="00167CB8">
        <w:t>Institutions</w:t>
      </w:r>
      <w:bookmarkEnd w:id="11"/>
      <w:bookmarkEnd w:id="12"/>
      <w:bookmarkEnd w:id="14"/>
      <w:bookmarkEnd w:id="13"/>
    </w:p>
    <w:p w14:paraId="64BB361B" w14:textId="5B974D9F" w:rsidR="00A148FE" w:rsidRPr="00167CB8" w:rsidRDefault="00A148FE" w:rsidP="00A148FE">
      <w:r w:rsidRPr="00167CB8">
        <w:t xml:space="preserve">The </w:t>
      </w:r>
      <w:r w:rsidR="00D37B51" w:rsidRPr="00167CB8">
        <w:t>Secure Jobs, Better Pay</w:t>
      </w:r>
      <w:r w:rsidRPr="00167CB8">
        <w:t xml:space="preserve"> amendments include </w:t>
      </w:r>
      <w:r w:rsidR="00BC62B8" w:rsidRPr="00167CB8">
        <w:t xml:space="preserve">2 </w:t>
      </w:r>
      <w:r w:rsidRPr="00167CB8">
        <w:t xml:space="preserve">major institutional changes and consequential amendments: first, the winding up of the </w:t>
      </w:r>
      <w:r w:rsidR="00230690" w:rsidRPr="00167CB8">
        <w:t xml:space="preserve">Australian Building and Construction Commission </w:t>
      </w:r>
      <w:r w:rsidRPr="00167CB8">
        <w:t>and its integration (mainly) with the Fair Work Ombudsman; and</w:t>
      </w:r>
      <w:r w:rsidR="00BC62B8" w:rsidRPr="00167CB8">
        <w:t>,</w:t>
      </w:r>
      <w:r w:rsidRPr="00167CB8">
        <w:t xml:space="preserve"> second, the winding up of the </w:t>
      </w:r>
      <w:r w:rsidR="00230690" w:rsidRPr="00167CB8">
        <w:t xml:space="preserve">Registered Organisations </w:t>
      </w:r>
      <w:r w:rsidR="00DD4796" w:rsidRPr="00167CB8">
        <w:t>Commission</w:t>
      </w:r>
      <w:r w:rsidRPr="00167CB8">
        <w:t>, its administrative integration with the Fair Work Commission and the transfer of its powers to the General Manager as a regulator.</w:t>
      </w:r>
    </w:p>
    <w:p w14:paraId="7D17879E" w14:textId="14B2B07E" w:rsidR="00A148FE" w:rsidRPr="00167CB8" w:rsidRDefault="00DA72CC" w:rsidP="00A148FE">
      <w:r w:rsidRPr="00167CB8">
        <w:t>C</w:t>
      </w:r>
      <w:r w:rsidR="00A148FE" w:rsidRPr="00167CB8">
        <w:t>hapter</w:t>
      </w:r>
      <w:r w:rsidRPr="00167CB8">
        <w:t> 3</w:t>
      </w:r>
      <w:r w:rsidR="00A148FE" w:rsidRPr="00167CB8">
        <w:t xml:space="preserve"> provides an introduction to </w:t>
      </w:r>
      <w:r w:rsidR="00DD4796" w:rsidRPr="00167CB8">
        <w:t xml:space="preserve">this </w:t>
      </w:r>
      <w:r w:rsidRPr="00167CB8">
        <w:t xml:space="preserve">Part </w:t>
      </w:r>
      <w:r w:rsidR="00DD4796" w:rsidRPr="00167CB8">
        <w:t>on institutions</w:t>
      </w:r>
      <w:r w:rsidR="00A148FE" w:rsidRPr="00167CB8">
        <w:t xml:space="preserve"> that identifies and briefly introduces </w:t>
      </w:r>
      <w:r w:rsidR="00BC62B8" w:rsidRPr="00167CB8">
        <w:t xml:space="preserve">2 </w:t>
      </w:r>
      <w:r w:rsidR="00A148FE" w:rsidRPr="00167CB8">
        <w:t xml:space="preserve">themes found by the </w:t>
      </w:r>
      <w:r w:rsidR="00DD4796" w:rsidRPr="00167CB8">
        <w:t xml:space="preserve">Review </w:t>
      </w:r>
      <w:r w:rsidR="00A148FE" w:rsidRPr="00167CB8">
        <w:t>Panel to lie behind these amendments: the primary theme of institutional integration; and a secondary theme of advancing a more conciliatory regulatory style.</w:t>
      </w:r>
    </w:p>
    <w:p w14:paraId="0ABAA220" w14:textId="77777777" w:rsidR="00A148FE" w:rsidRPr="00167CB8" w:rsidRDefault="00A148FE" w:rsidP="00A148FE">
      <w:r w:rsidRPr="00167CB8">
        <w:t>These themes reflect policy choices of government, which in turn flow from what government sees as the weaknesses of the policy options implemented by previous governments; namely, institutional separation and a more confrontational regulatory style respectively.</w:t>
      </w:r>
    </w:p>
    <w:p w14:paraId="34EA647E" w14:textId="363AE8A4" w:rsidR="00A148FE" w:rsidRPr="00167CB8" w:rsidRDefault="00A148FE" w:rsidP="00A148FE">
      <w:r w:rsidRPr="00167CB8">
        <w:t xml:space="preserve">In this way, this </w:t>
      </w:r>
      <w:r w:rsidR="00422CC6" w:rsidRPr="00167CB8">
        <w:t>i</w:t>
      </w:r>
      <w:r w:rsidRPr="00167CB8">
        <w:t xml:space="preserve">ntroduction is designed to explore the rationales behind the institutional changes delivered by the </w:t>
      </w:r>
      <w:r w:rsidR="00D37B51" w:rsidRPr="00167CB8">
        <w:t>Secure Jobs, Better Pay</w:t>
      </w:r>
      <w:r w:rsidR="00D37B51" w:rsidRPr="00167CB8" w:rsidDel="00D37B51">
        <w:t xml:space="preserve"> </w:t>
      </w:r>
      <w:r w:rsidRPr="00167CB8">
        <w:t>amendments and to anticipate the results of the institutional changes that follow</w:t>
      </w:r>
      <w:r w:rsidR="00AF38DE" w:rsidRPr="00167CB8">
        <w:t>.</w:t>
      </w:r>
    </w:p>
    <w:p w14:paraId="61B4EAC9" w14:textId="77777777" w:rsidR="00D74406" w:rsidRPr="00167CB8" w:rsidRDefault="00D74406">
      <w:pPr>
        <w:spacing w:after="160"/>
        <w:rPr>
          <w:rFonts w:eastAsiaTheme="majorEastAsia" w:cstheme="majorBidi"/>
          <w:b/>
          <w:color w:val="0D2C6C" w:themeColor="text1"/>
          <w:sz w:val="32"/>
          <w:szCs w:val="24"/>
        </w:rPr>
      </w:pPr>
      <w:bookmarkStart w:id="15" w:name="_Toc188277905"/>
      <w:r w:rsidRPr="00167CB8">
        <w:br w:type="page"/>
      </w:r>
    </w:p>
    <w:p w14:paraId="1F1DF876" w14:textId="31B401C7" w:rsidR="00A148FE" w:rsidRPr="00167CB8" w:rsidRDefault="007B2AFD" w:rsidP="00A148FE">
      <w:pPr>
        <w:pStyle w:val="Heading3"/>
        <w:rPr>
          <w:rFonts w:asciiTheme="minorHAnsi" w:hAnsiTheme="minorHAnsi"/>
        </w:rPr>
      </w:pPr>
      <w:bookmarkStart w:id="16" w:name="_Toc189260198"/>
      <w:bookmarkStart w:id="17" w:name="_Toc189393514"/>
      <w:r w:rsidRPr="00167CB8">
        <w:rPr>
          <w:rFonts w:asciiTheme="minorHAnsi" w:hAnsiTheme="minorHAnsi"/>
        </w:rPr>
        <w:lastRenderedPageBreak/>
        <w:t>Chapter 3.</w:t>
      </w:r>
      <w:r w:rsidR="00A148FE" w:rsidRPr="00167CB8">
        <w:rPr>
          <w:rFonts w:asciiTheme="minorHAnsi" w:hAnsiTheme="minorHAnsi"/>
        </w:rPr>
        <w:t xml:space="preserve"> </w:t>
      </w:r>
      <w:r w:rsidR="00E106BF" w:rsidRPr="00167CB8">
        <w:rPr>
          <w:rFonts w:asciiTheme="minorHAnsi" w:hAnsiTheme="minorHAnsi"/>
        </w:rPr>
        <w:t>Introduction to Part 1</w:t>
      </w:r>
      <w:bookmarkEnd w:id="15"/>
      <w:bookmarkEnd w:id="16"/>
      <w:bookmarkEnd w:id="17"/>
    </w:p>
    <w:p w14:paraId="15846E66" w14:textId="2CE993BE" w:rsidR="00AC2858" w:rsidRPr="00167CB8" w:rsidRDefault="00AC2858" w:rsidP="00C157DC">
      <w:pPr>
        <w:rPr>
          <w:rFonts w:cs="Calibri"/>
        </w:rPr>
      </w:pPr>
      <w:r w:rsidRPr="00167CB8">
        <w:rPr>
          <w:rFonts w:cs="Calibri"/>
        </w:rPr>
        <w:t xml:space="preserve">There is a long history of specialist and industry-specific regulation within Australian industrial relations. There have been corresponding longstanding debates over whether regulation should be dealt with by integrated institutional arrangements or those that recognise the special circumstances of industries or industrial matters. These debates have been shaped not only by politics – </w:t>
      </w:r>
      <w:r w:rsidR="00422CC6" w:rsidRPr="00167CB8">
        <w:rPr>
          <w:rFonts w:cs="Calibri"/>
        </w:rPr>
        <w:t>for example,</w:t>
      </w:r>
      <w:r w:rsidRPr="00167CB8">
        <w:rPr>
          <w:rFonts w:cs="Calibri"/>
        </w:rPr>
        <w:t xml:space="preserve"> one government reversing the policy decisions of a previous government – but also by differing perspectives among stakeholders, including employer groups, unions and policy experts. </w:t>
      </w:r>
    </w:p>
    <w:p w14:paraId="148C04D1" w14:textId="39590CBE" w:rsidR="00AC2858" w:rsidRPr="00167CB8" w:rsidRDefault="00957689" w:rsidP="00C157DC">
      <w:pPr>
        <w:rPr>
          <w:rFonts w:cs="Calibri"/>
        </w:rPr>
      </w:pPr>
      <w:r w:rsidRPr="00167CB8">
        <w:rPr>
          <w:rFonts w:cs="Calibri"/>
        </w:rPr>
        <w:t>For example, t</w:t>
      </w:r>
      <w:r w:rsidR="00AC2858" w:rsidRPr="00167CB8">
        <w:rPr>
          <w:rFonts w:cs="Calibri"/>
        </w:rPr>
        <w:t xml:space="preserve">he </w:t>
      </w:r>
      <w:r w:rsidRPr="00167CB8">
        <w:rPr>
          <w:rFonts w:cs="Calibri"/>
        </w:rPr>
        <w:t>Committee of Review into Australian Industrial Relations Law and Systems (</w:t>
      </w:r>
      <w:r w:rsidR="00AC2858" w:rsidRPr="00167CB8">
        <w:rPr>
          <w:rFonts w:cs="Calibri"/>
        </w:rPr>
        <w:t>Hancock Inquiry</w:t>
      </w:r>
      <w:r w:rsidRPr="00167CB8">
        <w:rPr>
          <w:rFonts w:cs="Calibri"/>
        </w:rPr>
        <w:t xml:space="preserve">) </w:t>
      </w:r>
      <w:r w:rsidRPr="00167CB8">
        <w:rPr>
          <w:rFonts w:ascii="Symbol" w:eastAsia="Symbol" w:hAnsi="Symbol" w:cs="Symbol"/>
        </w:rPr>
        <w:sym w:font="Symbol" w:char="F02D"/>
      </w:r>
      <w:r w:rsidRPr="00167CB8">
        <w:rPr>
          <w:rFonts w:cs="Calibri"/>
        </w:rPr>
        <w:t xml:space="preserve"> an </w:t>
      </w:r>
      <w:r w:rsidR="00AC2858" w:rsidRPr="00167CB8">
        <w:rPr>
          <w:rFonts w:cs="Calibri"/>
        </w:rPr>
        <w:t>independent review that reported in April 1985</w:t>
      </w:r>
      <w:r w:rsidRPr="00167CB8">
        <w:rPr>
          <w:rFonts w:cs="Calibri"/>
        </w:rPr>
        <w:t xml:space="preserve"> </w:t>
      </w:r>
      <w:r w:rsidRPr="00167CB8">
        <w:rPr>
          <w:rFonts w:ascii="Symbol" w:eastAsia="Symbol" w:hAnsi="Symbol" w:cs="Symbol"/>
        </w:rPr>
        <w:sym w:font="Symbol" w:char="F02D"/>
      </w:r>
      <w:r w:rsidRPr="00167CB8">
        <w:rPr>
          <w:rFonts w:cs="Calibri"/>
        </w:rPr>
        <w:t xml:space="preserve"> </w:t>
      </w:r>
      <w:r w:rsidR="00AC2858" w:rsidRPr="00167CB8">
        <w:rPr>
          <w:rFonts w:cs="Calibri"/>
        </w:rPr>
        <w:t>identified a wide range of specialist institutional arrangements operating at the time, including those responsible for industrial relations in the Australian Capital Territory, the maritime industry, the waterside industry, Commonwealth projects, flight crew officers, the coal</w:t>
      </w:r>
      <w:r w:rsidR="0037336D" w:rsidRPr="00167CB8">
        <w:rPr>
          <w:rFonts w:cs="Calibri"/>
        </w:rPr>
        <w:t xml:space="preserve"> </w:t>
      </w:r>
      <w:r w:rsidR="00AC2858" w:rsidRPr="00167CB8">
        <w:rPr>
          <w:rFonts w:cs="Calibri"/>
        </w:rPr>
        <w:t>mining industry, academic salaries and the federal public sector, amongst many others.</w:t>
      </w:r>
      <w:r w:rsidRPr="00167CB8">
        <w:rPr>
          <w:rStyle w:val="FootnoteReference"/>
          <w:rFonts w:cs="Calibri"/>
        </w:rPr>
        <w:footnoteReference w:id="8"/>
      </w:r>
      <w:r w:rsidR="00AC2858" w:rsidRPr="00167CB8">
        <w:rPr>
          <w:rFonts w:cs="Calibri"/>
        </w:rPr>
        <w:t xml:space="preserve"> That inquiry advocated the integration of most of these specialist tribunals/agencies into the </w:t>
      </w:r>
      <w:r w:rsidR="0037336D" w:rsidRPr="00167CB8">
        <w:rPr>
          <w:rFonts w:cs="Calibri"/>
        </w:rPr>
        <w:t>‘</w:t>
      </w:r>
      <w:r w:rsidR="00AC2858" w:rsidRPr="00167CB8">
        <w:rPr>
          <w:rFonts w:cs="Calibri"/>
        </w:rPr>
        <w:t>mainstream</w:t>
      </w:r>
      <w:r w:rsidR="0037336D" w:rsidRPr="00167CB8">
        <w:rPr>
          <w:rFonts w:cs="Calibri"/>
        </w:rPr>
        <w:t>’</w:t>
      </w:r>
      <w:r w:rsidR="00AC2858" w:rsidRPr="00167CB8">
        <w:rPr>
          <w:rFonts w:cs="Calibri"/>
        </w:rPr>
        <w:t xml:space="preserve"> associated with the </w:t>
      </w:r>
      <w:r w:rsidR="003E091C" w:rsidRPr="00167CB8">
        <w:rPr>
          <w:rFonts w:cs="Calibri"/>
        </w:rPr>
        <w:t xml:space="preserve">Australian Conciliation and </w:t>
      </w:r>
      <w:r w:rsidR="00AC2858" w:rsidRPr="00167CB8">
        <w:rPr>
          <w:rFonts w:cs="Calibri"/>
        </w:rPr>
        <w:t>Arbitration Commission</w:t>
      </w:r>
      <w:r w:rsidR="0037336D" w:rsidRPr="00167CB8">
        <w:rPr>
          <w:rFonts w:cs="Calibri"/>
        </w:rPr>
        <w:t xml:space="preserve"> </w:t>
      </w:r>
      <w:r w:rsidR="0037336D" w:rsidRPr="00167CB8">
        <w:rPr>
          <w:rFonts w:ascii="Symbol" w:eastAsia="Symbol" w:hAnsi="Symbol" w:cs="Symbol"/>
        </w:rPr>
        <w:sym w:font="Symbol" w:char="F02D"/>
      </w:r>
      <w:r w:rsidR="0037336D" w:rsidRPr="00167CB8">
        <w:rPr>
          <w:rFonts w:cs="Calibri"/>
        </w:rPr>
        <w:t xml:space="preserve"> </w:t>
      </w:r>
      <w:r w:rsidR="00AC2858" w:rsidRPr="00167CB8">
        <w:rPr>
          <w:rFonts w:cs="Calibri"/>
        </w:rPr>
        <w:t xml:space="preserve">an outcome achieved through the </w:t>
      </w:r>
      <w:r w:rsidR="00AC2858" w:rsidRPr="00167CB8">
        <w:rPr>
          <w:rFonts w:cs="Calibri"/>
          <w:i/>
          <w:iCs/>
        </w:rPr>
        <w:t>Industrial Relations Act</w:t>
      </w:r>
      <w:r w:rsidR="00AC2858" w:rsidRPr="00167CB8">
        <w:rPr>
          <w:rFonts w:cs="Calibri"/>
        </w:rPr>
        <w:t xml:space="preserve"> </w:t>
      </w:r>
      <w:r w:rsidR="00AC2858" w:rsidRPr="00167CB8">
        <w:rPr>
          <w:rFonts w:cs="Calibri"/>
          <w:i/>
          <w:iCs/>
        </w:rPr>
        <w:t>1988</w:t>
      </w:r>
      <w:r w:rsidR="00422CC6" w:rsidRPr="00167CB8">
        <w:rPr>
          <w:rFonts w:cs="Calibri"/>
        </w:rPr>
        <w:t xml:space="preserve"> (Cth)</w:t>
      </w:r>
      <w:r w:rsidR="00AC2858" w:rsidRPr="00167CB8">
        <w:rPr>
          <w:rFonts w:cs="Calibri"/>
        </w:rPr>
        <w:t>.</w:t>
      </w:r>
    </w:p>
    <w:p w14:paraId="5AA17D85" w14:textId="284AAEB7" w:rsidR="00AC2858" w:rsidRPr="00167CB8" w:rsidRDefault="00AC2858" w:rsidP="00C157DC">
      <w:pPr>
        <w:rPr>
          <w:rFonts w:cs="Calibri"/>
        </w:rPr>
      </w:pPr>
      <w:r w:rsidRPr="00167CB8">
        <w:rPr>
          <w:rFonts w:cs="Calibri"/>
        </w:rPr>
        <w:t xml:space="preserve">Subsequently, varying levels of separation and integration of specialist tribunals </w:t>
      </w:r>
      <w:r w:rsidR="0037336D" w:rsidRPr="00167CB8">
        <w:rPr>
          <w:rFonts w:cs="Calibri"/>
        </w:rPr>
        <w:t xml:space="preserve">have </w:t>
      </w:r>
      <w:r w:rsidRPr="00167CB8">
        <w:rPr>
          <w:rFonts w:cs="Calibri"/>
        </w:rPr>
        <w:t>occurred for decades</w:t>
      </w:r>
      <w:r w:rsidR="0037336D" w:rsidRPr="00167CB8">
        <w:rPr>
          <w:rFonts w:cs="Calibri"/>
        </w:rPr>
        <w:t>,</w:t>
      </w:r>
      <w:r w:rsidRPr="00167CB8">
        <w:rPr>
          <w:rFonts w:cs="Calibri"/>
        </w:rPr>
        <w:t xml:space="preserve"> including:</w:t>
      </w:r>
    </w:p>
    <w:p w14:paraId="00594EFB" w14:textId="0F785B61" w:rsidR="00AC2858" w:rsidRPr="00167CB8" w:rsidRDefault="0037336D" w:rsidP="00567FCA">
      <w:pPr>
        <w:numPr>
          <w:ilvl w:val="0"/>
          <w:numId w:val="14"/>
        </w:numPr>
        <w:spacing w:after="160"/>
        <w:rPr>
          <w:rFonts w:cs="Calibri"/>
        </w:rPr>
      </w:pPr>
      <w:r w:rsidRPr="00167CB8">
        <w:rPr>
          <w:rFonts w:cs="Calibri"/>
        </w:rPr>
        <w:t xml:space="preserve">in the 1990s and 2000s, </w:t>
      </w:r>
      <w:r w:rsidR="00AC2858" w:rsidRPr="00167CB8">
        <w:rPr>
          <w:rFonts w:cs="Calibri"/>
        </w:rPr>
        <w:t xml:space="preserve">the separation of agencies from the Australian Industrial Relations Commission, and later </w:t>
      </w:r>
      <w:r w:rsidR="00422CC6" w:rsidRPr="00167CB8">
        <w:rPr>
          <w:rFonts w:cs="Calibri"/>
        </w:rPr>
        <w:t>Fair Work Australia (</w:t>
      </w:r>
      <w:r w:rsidR="00AC2858" w:rsidRPr="00167CB8">
        <w:rPr>
          <w:rFonts w:cs="Calibri"/>
        </w:rPr>
        <w:t>FWA</w:t>
      </w:r>
      <w:r w:rsidR="00422CC6" w:rsidRPr="00167CB8">
        <w:rPr>
          <w:rFonts w:cs="Calibri"/>
        </w:rPr>
        <w:t>)</w:t>
      </w:r>
      <w:r w:rsidR="00AC2858" w:rsidRPr="00167CB8">
        <w:rPr>
          <w:rFonts w:cs="Calibri"/>
        </w:rPr>
        <w:t xml:space="preserve"> and the </w:t>
      </w:r>
      <w:r w:rsidR="00422CC6" w:rsidRPr="00167CB8">
        <w:rPr>
          <w:rFonts w:cs="Calibri"/>
        </w:rPr>
        <w:t>Fair Work Commission (</w:t>
      </w:r>
      <w:r w:rsidR="00AC2858" w:rsidRPr="00167CB8">
        <w:rPr>
          <w:rFonts w:cs="Calibri"/>
        </w:rPr>
        <w:t>FWC</w:t>
      </w:r>
      <w:r w:rsidR="00422CC6" w:rsidRPr="00167CB8">
        <w:rPr>
          <w:rFonts w:cs="Calibri"/>
        </w:rPr>
        <w:t>)</w:t>
      </w:r>
      <w:r w:rsidR="00AC2858" w:rsidRPr="00167CB8">
        <w:rPr>
          <w:rFonts w:cs="Calibri"/>
        </w:rPr>
        <w:t>, to regulate industrial relations in specific industries (especially building and construction</w:t>
      </w:r>
      <w:r w:rsidR="007656C1" w:rsidRPr="00167CB8">
        <w:rPr>
          <w:rFonts w:cs="Calibri"/>
        </w:rPr>
        <w:t>)</w:t>
      </w:r>
      <w:r w:rsidR="00957689" w:rsidRPr="00167CB8">
        <w:rPr>
          <w:rStyle w:val="FootnoteReference"/>
          <w:rFonts w:cs="Calibri"/>
        </w:rPr>
        <w:footnoteReference w:id="9"/>
      </w:r>
      <w:r w:rsidR="00AC2858" w:rsidRPr="00167CB8">
        <w:rPr>
          <w:rFonts w:cs="Calibri"/>
        </w:rPr>
        <w:t xml:space="preserve"> and specific industrial matters (</w:t>
      </w:r>
      <w:r w:rsidR="00957689" w:rsidRPr="00167CB8">
        <w:rPr>
          <w:rFonts w:cs="Calibri"/>
        </w:rPr>
        <w:t xml:space="preserve">e.g. </w:t>
      </w:r>
      <w:r w:rsidR="00AC2858" w:rsidRPr="00167CB8">
        <w:rPr>
          <w:rFonts w:cs="Calibri"/>
        </w:rPr>
        <w:t>the approval of workplace agreements through the Workplace Authority</w:t>
      </w:r>
      <w:r w:rsidR="00957689" w:rsidRPr="00167CB8">
        <w:rPr>
          <w:rStyle w:val="FootnoteReference"/>
          <w:rFonts w:cs="Calibri"/>
        </w:rPr>
        <w:footnoteReference w:id="10"/>
      </w:r>
      <w:r w:rsidR="00AC2858" w:rsidRPr="00167CB8">
        <w:rPr>
          <w:rFonts w:cs="Calibri"/>
        </w:rPr>
        <w:t xml:space="preserve"> and to determination of minimum wages through the Australian Fair Pay Commission</w:t>
      </w:r>
      <w:r w:rsidR="007656C1" w:rsidRPr="00167CB8">
        <w:rPr>
          <w:rFonts w:cs="Calibri"/>
        </w:rPr>
        <w:t>)</w:t>
      </w:r>
      <w:r w:rsidR="00957689" w:rsidRPr="00167CB8">
        <w:rPr>
          <w:rStyle w:val="FootnoteReference"/>
          <w:rFonts w:cs="Calibri"/>
        </w:rPr>
        <w:footnoteReference w:id="11"/>
      </w:r>
    </w:p>
    <w:p w14:paraId="7D37A9BA" w14:textId="0E3173DB" w:rsidR="00AC2858" w:rsidRPr="00167CB8" w:rsidRDefault="0037336D" w:rsidP="00567FCA">
      <w:pPr>
        <w:numPr>
          <w:ilvl w:val="0"/>
          <w:numId w:val="14"/>
        </w:numPr>
        <w:spacing w:after="160"/>
        <w:rPr>
          <w:rFonts w:cs="Calibri"/>
        </w:rPr>
      </w:pPr>
      <w:r w:rsidRPr="00167CB8">
        <w:rPr>
          <w:rFonts w:cs="Calibri"/>
        </w:rPr>
        <w:t xml:space="preserve">in the early 2010s, </w:t>
      </w:r>
      <w:r w:rsidR="00AC2858" w:rsidRPr="00167CB8">
        <w:rPr>
          <w:rFonts w:cs="Calibri"/>
        </w:rPr>
        <w:t xml:space="preserve">the integration of specialist agencies, such as the abolition of the Office of the Employment Advocate and the Australian Fair Pay Commission into the then </w:t>
      </w:r>
      <w:r w:rsidR="00422CC6" w:rsidRPr="00167CB8">
        <w:rPr>
          <w:rFonts w:cs="Calibri"/>
        </w:rPr>
        <w:t xml:space="preserve">FWA </w:t>
      </w:r>
      <w:r w:rsidR="00AC2858" w:rsidRPr="00167CB8">
        <w:rPr>
          <w:rFonts w:cs="Calibri"/>
        </w:rPr>
        <w:t xml:space="preserve">and now the </w:t>
      </w:r>
      <w:r w:rsidR="00422CC6" w:rsidRPr="00167CB8">
        <w:rPr>
          <w:rFonts w:cs="Calibri"/>
        </w:rPr>
        <w:t>FWC</w:t>
      </w:r>
    </w:p>
    <w:p w14:paraId="5B774DC4" w14:textId="4598C644" w:rsidR="00AC2858" w:rsidRPr="00167CB8" w:rsidRDefault="0037336D" w:rsidP="00567FCA">
      <w:pPr>
        <w:pStyle w:val="ListParagraph"/>
        <w:numPr>
          <w:ilvl w:val="0"/>
          <w:numId w:val="14"/>
        </w:numPr>
        <w:spacing w:line="259" w:lineRule="auto"/>
        <w:rPr>
          <w:rFonts w:cs="Calibri"/>
          <w:sz w:val="22"/>
          <w:szCs w:val="22"/>
        </w:rPr>
      </w:pPr>
      <w:r w:rsidRPr="00167CB8">
        <w:rPr>
          <w:rFonts w:cs="Calibri"/>
          <w:sz w:val="22"/>
          <w:szCs w:val="22"/>
        </w:rPr>
        <w:t xml:space="preserve">in the early 2010s to 2022, </w:t>
      </w:r>
      <w:r w:rsidR="00AC2858" w:rsidRPr="00167CB8">
        <w:rPr>
          <w:rFonts w:cs="Calibri"/>
          <w:sz w:val="22"/>
          <w:szCs w:val="22"/>
        </w:rPr>
        <w:t xml:space="preserve">the separation again of specialist agencies regulating registered organisations (i.e. the </w:t>
      </w:r>
      <w:r w:rsidR="00957689" w:rsidRPr="00167CB8">
        <w:rPr>
          <w:rFonts w:cs="Calibri"/>
          <w:sz w:val="22"/>
          <w:szCs w:val="22"/>
        </w:rPr>
        <w:t>Registered Organisations Commission (</w:t>
      </w:r>
      <w:r w:rsidR="00AC2858" w:rsidRPr="00167CB8">
        <w:rPr>
          <w:rFonts w:cs="Calibri"/>
          <w:sz w:val="22"/>
          <w:szCs w:val="22"/>
        </w:rPr>
        <w:t>ROC</w:t>
      </w:r>
      <w:r w:rsidR="00957689" w:rsidRPr="00167CB8">
        <w:rPr>
          <w:rFonts w:cs="Calibri"/>
          <w:sz w:val="22"/>
          <w:szCs w:val="22"/>
        </w:rPr>
        <w:t>)</w:t>
      </w:r>
      <w:r w:rsidR="00AC2858" w:rsidRPr="00167CB8">
        <w:rPr>
          <w:rFonts w:cs="Calibri"/>
          <w:sz w:val="22"/>
          <w:szCs w:val="22"/>
        </w:rPr>
        <w:t xml:space="preserve">) and the building and construction industry (i.e. the </w:t>
      </w:r>
      <w:r w:rsidR="00957689" w:rsidRPr="00167CB8">
        <w:rPr>
          <w:rFonts w:cs="Calibri"/>
          <w:sz w:val="22"/>
          <w:szCs w:val="22"/>
        </w:rPr>
        <w:t>Australian Building and Construction Commission (</w:t>
      </w:r>
      <w:r w:rsidR="00AC2858" w:rsidRPr="00167CB8">
        <w:rPr>
          <w:rFonts w:cs="Calibri"/>
          <w:sz w:val="22"/>
          <w:szCs w:val="22"/>
        </w:rPr>
        <w:t>ABCC</w:t>
      </w:r>
      <w:r w:rsidR="00957689" w:rsidRPr="00167CB8">
        <w:rPr>
          <w:rFonts w:cs="Calibri"/>
          <w:sz w:val="22"/>
          <w:szCs w:val="22"/>
        </w:rPr>
        <w:t>)</w:t>
      </w:r>
      <w:r w:rsidR="00AC2858" w:rsidRPr="00167CB8">
        <w:rPr>
          <w:rFonts w:cs="Calibri"/>
          <w:sz w:val="22"/>
          <w:szCs w:val="22"/>
        </w:rPr>
        <w:t>).</w:t>
      </w:r>
    </w:p>
    <w:p w14:paraId="0AEF308C" w14:textId="7F635C48" w:rsidR="00AC2858" w:rsidRPr="00167CB8" w:rsidRDefault="00AC2858" w:rsidP="00C157DC">
      <w:pPr>
        <w:rPr>
          <w:rFonts w:cs="Calibri"/>
        </w:rPr>
      </w:pPr>
      <w:r w:rsidRPr="00167CB8">
        <w:rPr>
          <w:rFonts w:cs="Calibri"/>
        </w:rPr>
        <w:lastRenderedPageBreak/>
        <w:t>To generalise across the decades, the reasons behind increased separation in institutional arrangements have varied from case to case,</w:t>
      </w:r>
      <w:r w:rsidR="00957689" w:rsidRPr="00167CB8">
        <w:rPr>
          <w:rStyle w:val="FootnoteReference"/>
          <w:rFonts w:cs="Calibri"/>
        </w:rPr>
        <w:footnoteReference w:id="12"/>
      </w:r>
      <w:r w:rsidRPr="00167CB8">
        <w:rPr>
          <w:rFonts w:cs="Calibri"/>
        </w:rPr>
        <w:t xml:space="preserve"> but the </w:t>
      </w:r>
      <w:r w:rsidR="0037336D" w:rsidRPr="00167CB8">
        <w:rPr>
          <w:rFonts w:cs="Calibri"/>
        </w:rPr>
        <w:t xml:space="preserve">2 </w:t>
      </w:r>
      <w:r w:rsidRPr="00167CB8">
        <w:rPr>
          <w:rFonts w:cs="Calibri"/>
        </w:rPr>
        <w:t>principal factors involve combinations of the following:</w:t>
      </w:r>
      <w:r w:rsidR="00957689" w:rsidRPr="00167CB8">
        <w:rPr>
          <w:rStyle w:val="FootnoteReference"/>
          <w:rFonts w:cs="Calibri"/>
        </w:rPr>
        <w:footnoteReference w:id="13"/>
      </w:r>
    </w:p>
    <w:p w14:paraId="15262442" w14:textId="19CB0847" w:rsidR="00AC2858" w:rsidRPr="00167CB8" w:rsidRDefault="0037336D" w:rsidP="00567FCA">
      <w:pPr>
        <w:numPr>
          <w:ilvl w:val="0"/>
          <w:numId w:val="13"/>
        </w:numPr>
        <w:spacing w:after="160"/>
        <w:rPr>
          <w:rFonts w:cs="Calibri"/>
        </w:rPr>
      </w:pPr>
      <w:r w:rsidRPr="00167CB8">
        <w:rPr>
          <w:rFonts w:cs="Calibri"/>
        </w:rPr>
        <w:t>t</w:t>
      </w:r>
      <w:r w:rsidR="00AC2858" w:rsidRPr="00167CB8">
        <w:rPr>
          <w:rFonts w:cs="Calibri"/>
        </w:rPr>
        <w:t xml:space="preserve">he </w:t>
      </w:r>
      <w:r w:rsidR="00AC2858" w:rsidRPr="00167CB8">
        <w:rPr>
          <w:rFonts w:cs="Calibri"/>
          <w:i/>
          <w:iCs/>
        </w:rPr>
        <w:t>Constitution</w:t>
      </w:r>
      <w:r w:rsidR="00AC2858" w:rsidRPr="00167CB8">
        <w:rPr>
          <w:rFonts w:cs="Calibri"/>
        </w:rPr>
        <w:t xml:space="preserve">, so that a number of early specialist tribunals were established not under the conciliation and arbitration powers of the </w:t>
      </w:r>
      <w:r w:rsidR="00AC2858" w:rsidRPr="00167CB8">
        <w:rPr>
          <w:rFonts w:cs="Calibri"/>
          <w:i/>
          <w:iCs/>
        </w:rPr>
        <w:t>Constitution</w:t>
      </w:r>
      <w:r w:rsidR="00AC2858" w:rsidRPr="00167CB8">
        <w:rPr>
          <w:rFonts w:cs="Calibri"/>
        </w:rPr>
        <w:t xml:space="preserve"> but under other powers, such as the interstate trade or the foreign affairs powers. The </w:t>
      </w:r>
      <w:r w:rsidR="00AC2858" w:rsidRPr="00167CB8">
        <w:rPr>
          <w:rFonts w:cs="Calibri"/>
          <w:i/>
          <w:iCs/>
        </w:rPr>
        <w:t>Constitution</w:t>
      </w:r>
      <w:r w:rsidR="00AC2858" w:rsidRPr="00167CB8">
        <w:rPr>
          <w:rFonts w:cs="Calibri"/>
        </w:rPr>
        <w:t>, however, became less important after the move to a dominant reliance of the corporations power under the Work Choices amendments – a move that was confirmed by the High Court in 2006</w:t>
      </w:r>
    </w:p>
    <w:p w14:paraId="7349B0B2" w14:textId="595EFA16" w:rsidR="00AC2858" w:rsidRPr="00167CB8" w:rsidRDefault="0037336D" w:rsidP="00567FCA">
      <w:pPr>
        <w:numPr>
          <w:ilvl w:val="0"/>
          <w:numId w:val="13"/>
        </w:numPr>
        <w:spacing w:after="160"/>
        <w:rPr>
          <w:rFonts w:cs="Calibri"/>
        </w:rPr>
      </w:pPr>
      <w:r w:rsidRPr="00167CB8">
        <w:rPr>
          <w:rFonts w:cs="Calibri"/>
        </w:rPr>
        <w:t>h</w:t>
      </w:r>
      <w:r w:rsidR="00AC2858" w:rsidRPr="00167CB8">
        <w:rPr>
          <w:rFonts w:cs="Calibri"/>
        </w:rPr>
        <w:t xml:space="preserve">igh levels of industrial disputation in specific industries, which meant that they represented either political </w:t>
      </w:r>
      <w:r w:rsidRPr="00167CB8">
        <w:rPr>
          <w:rFonts w:cs="Calibri"/>
        </w:rPr>
        <w:t>‘</w:t>
      </w:r>
      <w:r w:rsidR="00AC2858" w:rsidRPr="00167CB8">
        <w:rPr>
          <w:rFonts w:cs="Calibri"/>
        </w:rPr>
        <w:t>problems</w:t>
      </w:r>
      <w:r w:rsidRPr="00167CB8">
        <w:rPr>
          <w:rFonts w:cs="Calibri"/>
        </w:rPr>
        <w:t>’</w:t>
      </w:r>
      <w:r w:rsidR="00AC2858" w:rsidRPr="00167CB8">
        <w:rPr>
          <w:rFonts w:cs="Calibri"/>
        </w:rPr>
        <w:t xml:space="preserve"> for governments or they provided governments with the opportunity to use separation to gain political </w:t>
      </w:r>
      <w:r w:rsidRPr="00167CB8">
        <w:rPr>
          <w:rFonts w:cs="Calibri"/>
        </w:rPr>
        <w:t>‘</w:t>
      </w:r>
      <w:r w:rsidR="00AC2858" w:rsidRPr="00167CB8">
        <w:rPr>
          <w:rFonts w:cs="Calibri"/>
        </w:rPr>
        <w:t>advantages</w:t>
      </w:r>
      <w:r w:rsidRPr="00167CB8">
        <w:rPr>
          <w:rFonts w:cs="Calibri"/>
        </w:rPr>
        <w:t>’</w:t>
      </w:r>
      <w:r w:rsidR="00AC2858" w:rsidRPr="00167CB8">
        <w:rPr>
          <w:rFonts w:cs="Calibri"/>
        </w:rPr>
        <w:t xml:space="preserve">. </w:t>
      </w:r>
    </w:p>
    <w:p w14:paraId="4C0A2322" w14:textId="4DBBB3F6" w:rsidR="00AC2858" w:rsidRPr="00167CB8" w:rsidRDefault="00AC2858" w:rsidP="00C157DC">
      <w:pPr>
        <w:rPr>
          <w:rFonts w:cs="Calibri"/>
        </w:rPr>
      </w:pPr>
      <w:r w:rsidRPr="00167CB8">
        <w:rPr>
          <w:rFonts w:cs="Calibri"/>
        </w:rPr>
        <w:t xml:space="preserve">The issue of institutional separation/integration has again been raised through the </w:t>
      </w:r>
      <w:r w:rsidR="00D37B51" w:rsidRPr="00167CB8">
        <w:rPr>
          <w:rFonts w:cs="Calibri"/>
        </w:rPr>
        <w:t>Secure Jobs, Better Pay</w:t>
      </w:r>
      <w:r w:rsidRPr="00167CB8">
        <w:rPr>
          <w:rFonts w:cs="Calibri"/>
        </w:rPr>
        <w:t xml:space="preserve"> amendments, which have integrated the previously separate ABCC and ROC within </w:t>
      </w:r>
      <w:r w:rsidR="0037336D" w:rsidRPr="00167CB8">
        <w:rPr>
          <w:rFonts w:cs="Calibri"/>
        </w:rPr>
        <w:t>‘</w:t>
      </w:r>
      <w:r w:rsidRPr="00167CB8">
        <w:rPr>
          <w:rFonts w:cs="Calibri"/>
        </w:rPr>
        <w:t>mainstream</w:t>
      </w:r>
      <w:r w:rsidR="0037336D" w:rsidRPr="00167CB8">
        <w:rPr>
          <w:rFonts w:cs="Calibri"/>
        </w:rPr>
        <w:t>’</w:t>
      </w:r>
      <w:r w:rsidRPr="00167CB8">
        <w:rPr>
          <w:rFonts w:cs="Calibri"/>
        </w:rPr>
        <w:t xml:space="preserve"> institutions: the FWO and FWC respectively. The then Minister for Employment and Workplace Relations, the Hon Tony Burke MP, for example, in the </w:t>
      </w:r>
      <w:r w:rsidR="005A7881" w:rsidRPr="00167CB8">
        <w:rPr>
          <w:rFonts w:cs="Calibri"/>
        </w:rPr>
        <w:t>s</w:t>
      </w:r>
      <w:r w:rsidRPr="00167CB8">
        <w:rPr>
          <w:rFonts w:cs="Calibri"/>
        </w:rPr>
        <w:t xml:space="preserve">econd </w:t>
      </w:r>
      <w:r w:rsidR="005A7881" w:rsidRPr="00167CB8">
        <w:rPr>
          <w:rFonts w:cs="Calibri"/>
        </w:rPr>
        <w:t>r</w:t>
      </w:r>
      <w:r w:rsidRPr="00167CB8">
        <w:rPr>
          <w:rFonts w:cs="Calibri"/>
        </w:rPr>
        <w:t xml:space="preserve">eading </w:t>
      </w:r>
      <w:r w:rsidR="005A7881" w:rsidRPr="00167CB8">
        <w:rPr>
          <w:rFonts w:cs="Calibri"/>
        </w:rPr>
        <w:t>s</w:t>
      </w:r>
      <w:r w:rsidRPr="00167CB8">
        <w:rPr>
          <w:rFonts w:cs="Calibri"/>
        </w:rPr>
        <w:t xml:space="preserve">peech for the </w:t>
      </w:r>
      <w:r w:rsidR="00957689" w:rsidRPr="00167CB8">
        <w:rPr>
          <w:rFonts w:cs="Calibri"/>
        </w:rPr>
        <w:t>Fair Work Legislation Amendment (Secure Jobs, Better Pay) Bill 2022 (</w:t>
      </w:r>
      <w:r w:rsidR="00D37B51" w:rsidRPr="00167CB8">
        <w:rPr>
          <w:rFonts w:cs="Calibri"/>
        </w:rPr>
        <w:t>Secure Jobs, Better Pay</w:t>
      </w:r>
      <w:r w:rsidRPr="00167CB8">
        <w:rPr>
          <w:rFonts w:cs="Calibri"/>
        </w:rPr>
        <w:t xml:space="preserve"> Bill</w:t>
      </w:r>
      <w:r w:rsidR="00957689" w:rsidRPr="00167CB8">
        <w:rPr>
          <w:rFonts w:cs="Calibri"/>
        </w:rPr>
        <w:t>)</w:t>
      </w:r>
      <w:r w:rsidR="0037336D" w:rsidRPr="00167CB8">
        <w:rPr>
          <w:rFonts w:cs="Calibri"/>
        </w:rPr>
        <w:t>,</w:t>
      </w:r>
      <w:r w:rsidRPr="00167CB8">
        <w:rPr>
          <w:rFonts w:cs="Calibri"/>
        </w:rPr>
        <w:t xml:space="preserve"> stated that the ABCC and the ROC were </w:t>
      </w:r>
      <w:r w:rsidR="008D2180" w:rsidRPr="00167CB8">
        <w:rPr>
          <w:rFonts w:cs="Calibri"/>
        </w:rPr>
        <w:t>‘</w:t>
      </w:r>
      <w:r w:rsidRPr="00167CB8">
        <w:rPr>
          <w:rFonts w:cs="Calibri"/>
        </w:rPr>
        <w:t>ineffective and discredited institutions, more concerned about prosecuting workers and their representatives than tackling rampant wage theft or addressing workplace safety, or educating and promoting good workplace relations</w:t>
      </w:r>
      <w:r w:rsidR="008D2180" w:rsidRPr="00167CB8">
        <w:rPr>
          <w:rFonts w:cs="Calibri"/>
        </w:rPr>
        <w:t>’</w:t>
      </w:r>
      <w:r w:rsidRPr="00167CB8">
        <w:rPr>
          <w:rFonts w:cs="Calibri"/>
        </w:rPr>
        <w:t>.</w:t>
      </w:r>
      <w:r w:rsidR="008D2180" w:rsidRPr="00167CB8">
        <w:rPr>
          <w:rFonts w:cs="Calibri"/>
        </w:rPr>
        <w:t xml:space="preserve"> H</w:t>
      </w:r>
      <w:r w:rsidRPr="00167CB8">
        <w:rPr>
          <w:rFonts w:cs="Calibri"/>
        </w:rPr>
        <w:t>e went on to anticipate institutional integration:</w:t>
      </w:r>
    </w:p>
    <w:p w14:paraId="3BF2B81A" w14:textId="674214D4" w:rsidR="00AC2858" w:rsidRPr="00167CB8" w:rsidRDefault="00AC2858" w:rsidP="00C83147">
      <w:pPr>
        <w:pStyle w:val="Quote"/>
      </w:pPr>
      <w:r w:rsidRPr="00167CB8">
        <w:t>This bill [i</w:t>
      </w:r>
      <w:r w:rsidR="0037336D" w:rsidRPr="00167CB8">
        <w:t>.</w:t>
      </w:r>
      <w:r w:rsidRPr="00167CB8">
        <w:t xml:space="preserve">e. the </w:t>
      </w:r>
      <w:r w:rsidR="008D2180" w:rsidRPr="00167CB8">
        <w:t xml:space="preserve">Secure Jobs, Better Pay </w:t>
      </w:r>
      <w:r w:rsidRPr="00167CB8">
        <w:t>amendments] will abolish the ABCC and the Registered Organisations Commission. The Fair Work Ombudsman will be the workplace relations regulator for all industries and the general manager of the Fair Work Commission will be the regulator on registered organisations.</w:t>
      </w:r>
    </w:p>
    <w:p w14:paraId="698D94BC" w14:textId="67285BEB" w:rsidR="00AC2858" w:rsidRPr="00167CB8" w:rsidRDefault="00AC2858" w:rsidP="00C157DC">
      <w:pPr>
        <w:rPr>
          <w:rFonts w:cs="Calibri"/>
        </w:rPr>
      </w:pPr>
      <w:r w:rsidRPr="00167CB8">
        <w:rPr>
          <w:rFonts w:cs="Calibri"/>
        </w:rPr>
        <w:t>This Panel broadly supports integration rather than separation, for reasons similar to those articulated by Hancock et al.</w:t>
      </w:r>
      <w:r w:rsidR="00957689" w:rsidRPr="00167CB8">
        <w:rPr>
          <w:rStyle w:val="FootnoteReference"/>
          <w:rFonts w:cs="Calibri"/>
        </w:rPr>
        <w:footnoteReference w:id="14"/>
      </w:r>
      <w:r w:rsidRPr="00167CB8">
        <w:rPr>
          <w:rFonts w:cs="Calibri"/>
        </w:rPr>
        <w:t xml:space="preserve"> First, there is the observation that an integrated system (rather than a fragmented one) is more likely to be accepted and especially understood by the industrial relations parties and the community more generally. Second, integration encourages consistency and equity in outcomes. Third, there is the admirable objective of administrative efficiency, which is likely to be greater under an integrated system. </w:t>
      </w:r>
    </w:p>
    <w:p w14:paraId="778FE196" w14:textId="0CFBA131" w:rsidR="00AC2858" w:rsidRPr="00167CB8" w:rsidRDefault="00AC2858" w:rsidP="00C157DC">
      <w:pPr>
        <w:rPr>
          <w:rFonts w:cs="Calibri"/>
        </w:rPr>
      </w:pPr>
      <w:r w:rsidRPr="00167CB8">
        <w:rPr>
          <w:rFonts w:cs="Calibri"/>
        </w:rPr>
        <w:t>An additional – fourth – reason goes well beyond the Hancock</w:t>
      </w:r>
      <w:r w:rsidR="00957689" w:rsidRPr="00167CB8">
        <w:rPr>
          <w:rFonts w:cs="Calibri"/>
        </w:rPr>
        <w:t xml:space="preserve"> Inquiry</w:t>
      </w:r>
      <w:r w:rsidRPr="00167CB8">
        <w:rPr>
          <w:rFonts w:cs="Calibri"/>
        </w:rPr>
        <w:t xml:space="preserve"> </w:t>
      </w:r>
      <w:r w:rsidR="00957689" w:rsidRPr="00167CB8">
        <w:rPr>
          <w:rFonts w:cs="Calibri"/>
        </w:rPr>
        <w:t>r</w:t>
      </w:r>
      <w:r w:rsidRPr="00167CB8">
        <w:rPr>
          <w:rFonts w:cs="Calibri"/>
        </w:rPr>
        <w:t xml:space="preserve">eport by focusing on the political advantage perceived to flow from the choice between institutional integration and separation. More specifically, there seems little doubt that between 2005 and 2020 institutional separation was preferred for the regulation of the building and construction industry because government saw advantage in separation. Integration of the industry under the </w:t>
      </w:r>
      <w:r w:rsidR="00D37B51" w:rsidRPr="00167CB8">
        <w:rPr>
          <w:rFonts w:cs="Calibri"/>
        </w:rPr>
        <w:t>Secure Jobs, Better Pay</w:t>
      </w:r>
      <w:r w:rsidRPr="00167CB8">
        <w:rPr>
          <w:rFonts w:cs="Calibri"/>
        </w:rPr>
        <w:t xml:space="preserve"> amendments suggests a different political assessment. </w:t>
      </w:r>
    </w:p>
    <w:p w14:paraId="65CE29E8" w14:textId="59DFBF71" w:rsidR="00AC2858" w:rsidRPr="00167CB8" w:rsidRDefault="00AC2858" w:rsidP="00C157DC">
      <w:pPr>
        <w:rPr>
          <w:rFonts w:cs="Calibri"/>
        </w:rPr>
      </w:pPr>
      <w:r w:rsidRPr="00167CB8">
        <w:rPr>
          <w:rFonts w:cs="Calibri"/>
        </w:rPr>
        <w:lastRenderedPageBreak/>
        <w:t xml:space="preserve">Beyond the broad rationale of integrating institutional arrangements with the </w:t>
      </w:r>
      <w:r w:rsidR="0037336D" w:rsidRPr="00167CB8">
        <w:rPr>
          <w:rFonts w:cs="Calibri"/>
        </w:rPr>
        <w:t>‘</w:t>
      </w:r>
      <w:r w:rsidRPr="00167CB8">
        <w:rPr>
          <w:rFonts w:cs="Calibri"/>
        </w:rPr>
        <w:t>mainstream</w:t>
      </w:r>
      <w:r w:rsidR="0037336D" w:rsidRPr="00167CB8">
        <w:rPr>
          <w:rFonts w:cs="Calibri"/>
        </w:rPr>
        <w:t>’</w:t>
      </w:r>
      <w:r w:rsidRPr="00167CB8">
        <w:rPr>
          <w:rFonts w:cs="Calibri"/>
        </w:rPr>
        <w:t xml:space="preserve">, governments of different political persuasions have associated institutional arrangements with the adoption of specific </w:t>
      </w:r>
      <w:r w:rsidR="0037336D" w:rsidRPr="00167CB8">
        <w:rPr>
          <w:rFonts w:cs="Calibri"/>
        </w:rPr>
        <w:t>‘</w:t>
      </w:r>
      <w:r w:rsidRPr="00167CB8">
        <w:rPr>
          <w:rFonts w:cs="Calibri"/>
        </w:rPr>
        <w:t>regulatory strategies</w:t>
      </w:r>
      <w:r w:rsidR="0037336D" w:rsidRPr="00167CB8">
        <w:rPr>
          <w:rFonts w:cs="Calibri"/>
        </w:rPr>
        <w:t>’</w:t>
      </w:r>
      <w:r w:rsidRPr="00167CB8">
        <w:rPr>
          <w:rFonts w:cs="Calibri"/>
        </w:rPr>
        <w:t xml:space="preserve">; indeed, governments have generally indicated their preferred regulatory strategies through the legislative provisions governing them and, to a lesser extent, the individuals that governments appoint to lead regulatory institutions. </w:t>
      </w:r>
    </w:p>
    <w:p w14:paraId="312A9135" w14:textId="6BDE456F" w:rsidR="00AC2858" w:rsidRPr="00167CB8" w:rsidRDefault="00AC2858" w:rsidP="00C157DC">
      <w:pPr>
        <w:rPr>
          <w:rFonts w:cs="Calibri"/>
        </w:rPr>
      </w:pPr>
      <w:r w:rsidRPr="00167CB8">
        <w:rPr>
          <w:rFonts w:cs="Calibri"/>
        </w:rPr>
        <w:t>Gunningham provides a good overview of the development of ideas about regulatory strategies.</w:t>
      </w:r>
      <w:r w:rsidR="00957689" w:rsidRPr="00167CB8">
        <w:rPr>
          <w:rStyle w:val="FootnoteReference"/>
          <w:rFonts w:cs="Calibri"/>
        </w:rPr>
        <w:footnoteReference w:id="15"/>
      </w:r>
      <w:r w:rsidRPr="00167CB8">
        <w:rPr>
          <w:rFonts w:cs="Calibri"/>
        </w:rPr>
        <w:t xml:space="preserve"> He says that early thinking tended to identify </w:t>
      </w:r>
      <w:r w:rsidR="0037336D" w:rsidRPr="00167CB8">
        <w:rPr>
          <w:rFonts w:cs="Calibri"/>
        </w:rPr>
        <w:t xml:space="preserve">2 </w:t>
      </w:r>
      <w:r w:rsidRPr="00167CB8">
        <w:rPr>
          <w:rFonts w:cs="Calibri"/>
        </w:rPr>
        <w:t xml:space="preserve">broad strategies used by regulatory authorities: </w:t>
      </w:r>
      <w:r w:rsidR="0037336D" w:rsidRPr="00167CB8">
        <w:rPr>
          <w:rFonts w:cs="Calibri"/>
        </w:rPr>
        <w:t>‘</w:t>
      </w:r>
      <w:r w:rsidRPr="00167CB8">
        <w:rPr>
          <w:rFonts w:cs="Calibri"/>
        </w:rPr>
        <w:t>punish</w:t>
      </w:r>
      <w:r w:rsidR="0037336D" w:rsidRPr="00167CB8">
        <w:rPr>
          <w:rFonts w:cs="Calibri"/>
        </w:rPr>
        <w:t>’</w:t>
      </w:r>
      <w:r w:rsidRPr="00167CB8">
        <w:rPr>
          <w:rFonts w:cs="Calibri"/>
        </w:rPr>
        <w:t xml:space="preserve"> or </w:t>
      </w:r>
      <w:r w:rsidR="0037336D" w:rsidRPr="00167CB8">
        <w:rPr>
          <w:rFonts w:cs="Calibri"/>
        </w:rPr>
        <w:t>‘</w:t>
      </w:r>
      <w:r w:rsidRPr="00167CB8">
        <w:rPr>
          <w:rFonts w:cs="Calibri"/>
        </w:rPr>
        <w:t>persuade</w:t>
      </w:r>
      <w:r w:rsidR="0037336D" w:rsidRPr="00167CB8">
        <w:rPr>
          <w:rFonts w:cs="Calibri"/>
        </w:rPr>
        <w:t>’</w:t>
      </w:r>
      <w:r w:rsidRPr="00167CB8">
        <w:rPr>
          <w:rFonts w:cs="Calibri"/>
        </w:rPr>
        <w:t xml:space="preserve">. Under the former, emphasis was given to </w:t>
      </w:r>
      <w:r w:rsidR="0037336D" w:rsidRPr="00167CB8">
        <w:rPr>
          <w:rFonts w:cs="Calibri"/>
        </w:rPr>
        <w:t>‘</w:t>
      </w:r>
      <w:r w:rsidRPr="00167CB8">
        <w:rPr>
          <w:rFonts w:cs="Calibri"/>
        </w:rPr>
        <w:t>a confrontational style of enforcement and sanctioning of rule-breaking behaviour</w:t>
      </w:r>
      <w:r w:rsidR="0037336D" w:rsidRPr="00167CB8">
        <w:rPr>
          <w:rFonts w:cs="Calibri"/>
        </w:rPr>
        <w:t>’</w:t>
      </w:r>
      <w:r w:rsidRPr="00167CB8">
        <w:rPr>
          <w:rFonts w:cs="Calibri"/>
        </w:rPr>
        <w:t>,</w:t>
      </w:r>
      <w:r w:rsidR="00957689" w:rsidRPr="00167CB8">
        <w:rPr>
          <w:rStyle w:val="FootnoteReference"/>
          <w:rFonts w:cs="Calibri"/>
        </w:rPr>
        <w:footnoteReference w:id="16"/>
      </w:r>
      <w:r w:rsidRPr="00167CB8">
        <w:rPr>
          <w:rFonts w:cs="Calibri"/>
        </w:rPr>
        <w:t xml:space="preserve"> while the latter emphasised </w:t>
      </w:r>
      <w:r w:rsidR="0037336D" w:rsidRPr="00167CB8">
        <w:rPr>
          <w:rFonts w:cs="Calibri"/>
        </w:rPr>
        <w:t>‘</w:t>
      </w:r>
      <w:r w:rsidRPr="00167CB8">
        <w:rPr>
          <w:rFonts w:cs="Calibri"/>
        </w:rPr>
        <w:t>cooperation rather than confrontation and conciliation rather than coercion</w:t>
      </w:r>
      <w:r w:rsidR="0037336D" w:rsidRPr="00167CB8">
        <w:rPr>
          <w:rFonts w:cs="Calibri"/>
        </w:rPr>
        <w:t>’</w:t>
      </w:r>
      <w:r w:rsidRPr="00167CB8">
        <w:rPr>
          <w:rFonts w:cs="Calibri"/>
        </w:rPr>
        <w:t>.</w:t>
      </w:r>
      <w:r w:rsidR="00957689" w:rsidRPr="00167CB8">
        <w:rPr>
          <w:rStyle w:val="FootnoteReference"/>
          <w:rFonts w:cs="Calibri"/>
        </w:rPr>
        <w:footnoteReference w:id="17"/>
      </w:r>
      <w:r w:rsidRPr="00167CB8">
        <w:rPr>
          <w:rFonts w:cs="Calibri"/>
        </w:rPr>
        <w:t xml:space="preserve"> Broadly, the unresolved problem of this analysis was that the </w:t>
      </w:r>
      <w:r w:rsidR="0037336D" w:rsidRPr="00167CB8">
        <w:rPr>
          <w:rFonts w:cs="Calibri"/>
        </w:rPr>
        <w:t xml:space="preserve">2 </w:t>
      </w:r>
      <w:r w:rsidRPr="00167CB8">
        <w:rPr>
          <w:rFonts w:cs="Calibri"/>
        </w:rPr>
        <w:t>strategies were considered alternative extremes rather than complementary components of a single regulatory effort</w:t>
      </w:r>
      <w:r w:rsidR="00F806F9" w:rsidRPr="00167CB8">
        <w:rPr>
          <w:rFonts w:cs="Calibri"/>
        </w:rPr>
        <w:t>.</w:t>
      </w:r>
      <w:r w:rsidRPr="00167CB8">
        <w:rPr>
          <w:rFonts w:cs="Calibri"/>
        </w:rPr>
        <w:t xml:space="preserve"> </w:t>
      </w:r>
      <w:r w:rsidR="00F806F9" w:rsidRPr="00167CB8">
        <w:rPr>
          <w:rFonts w:cs="Calibri"/>
        </w:rPr>
        <w:t>I</w:t>
      </w:r>
      <w:r w:rsidRPr="00167CB8">
        <w:rPr>
          <w:rFonts w:cs="Calibri"/>
        </w:rPr>
        <w:t>t is not an ‘either</w:t>
      </w:r>
      <w:r w:rsidR="0037336D" w:rsidRPr="00167CB8">
        <w:rPr>
          <w:rFonts w:cs="Calibri"/>
        </w:rPr>
        <w:t>/</w:t>
      </w:r>
      <w:r w:rsidRPr="00167CB8">
        <w:rPr>
          <w:rFonts w:cs="Calibri"/>
        </w:rPr>
        <w:t>or’ situation.</w:t>
      </w:r>
    </w:p>
    <w:p w14:paraId="7509E953" w14:textId="5FF835B6" w:rsidR="00AC2858" w:rsidRPr="002F3BED" w:rsidRDefault="00AC2858" w:rsidP="00C157DC">
      <w:r w:rsidRPr="00167CB8">
        <w:rPr>
          <w:rFonts w:cs="Calibri"/>
        </w:rPr>
        <w:t xml:space="preserve">Ayres </w:t>
      </w:r>
      <w:r w:rsidR="0037336D" w:rsidRPr="00167CB8">
        <w:rPr>
          <w:rFonts w:cs="Calibri"/>
        </w:rPr>
        <w:t xml:space="preserve">and </w:t>
      </w:r>
      <w:r w:rsidRPr="00167CB8">
        <w:rPr>
          <w:rFonts w:cs="Calibri"/>
        </w:rPr>
        <w:t>Braithwaite</w:t>
      </w:r>
      <w:r w:rsidR="00957689" w:rsidRPr="00167CB8">
        <w:rPr>
          <w:rFonts w:cs="Calibri"/>
        </w:rPr>
        <w:t>’s</w:t>
      </w:r>
      <w:r w:rsidRPr="00167CB8">
        <w:rPr>
          <w:rFonts w:cs="Calibri"/>
        </w:rPr>
        <w:t xml:space="preserve"> notion of </w:t>
      </w:r>
      <w:r w:rsidR="0037336D" w:rsidRPr="00167CB8">
        <w:rPr>
          <w:rFonts w:cs="Calibri"/>
        </w:rPr>
        <w:t>‘</w:t>
      </w:r>
      <w:r w:rsidRPr="00167CB8">
        <w:rPr>
          <w:rFonts w:cs="Calibri"/>
        </w:rPr>
        <w:t>responsive regulation</w:t>
      </w:r>
      <w:r w:rsidR="0037336D" w:rsidRPr="00167CB8">
        <w:rPr>
          <w:rFonts w:cs="Calibri"/>
        </w:rPr>
        <w:t>’</w:t>
      </w:r>
      <w:r w:rsidRPr="00167CB8">
        <w:rPr>
          <w:rFonts w:cs="Calibri"/>
        </w:rPr>
        <w:t xml:space="preserve"> was subsequently considered an attempt to overcome this weakness, especially by developing the concept of an </w:t>
      </w:r>
      <w:r w:rsidR="0037336D" w:rsidRPr="00167CB8">
        <w:rPr>
          <w:rFonts w:cs="Calibri"/>
        </w:rPr>
        <w:t>‘</w:t>
      </w:r>
      <w:r w:rsidRPr="00167CB8">
        <w:rPr>
          <w:rFonts w:cs="Calibri"/>
        </w:rPr>
        <w:t>enforcement pyramid</w:t>
      </w:r>
      <w:r w:rsidR="0037336D" w:rsidRPr="00167CB8">
        <w:rPr>
          <w:rFonts w:cs="Calibri"/>
        </w:rPr>
        <w:t>’</w:t>
      </w:r>
      <w:r w:rsidRPr="00167CB8">
        <w:rPr>
          <w:rFonts w:cs="Calibri"/>
        </w:rPr>
        <w:t xml:space="preserve"> (see</w:t>
      </w:r>
      <w:r w:rsidR="00845553">
        <w:rPr>
          <w:rFonts w:cs="Calibri"/>
        </w:rPr>
        <w:t xml:space="preserve"> F</w:t>
      </w:r>
      <w:r w:rsidR="005C1B28">
        <w:rPr>
          <w:rFonts w:cs="Calibri"/>
        </w:rPr>
        <w:t>igure 1</w:t>
      </w:r>
      <w:r w:rsidRPr="00167CB8">
        <w:rPr>
          <w:rFonts w:cs="Calibri"/>
        </w:rPr>
        <w:t>).</w:t>
      </w:r>
      <w:r w:rsidR="00957689" w:rsidRPr="00167CB8">
        <w:rPr>
          <w:rStyle w:val="FootnoteReference"/>
          <w:rFonts w:cs="Calibri"/>
        </w:rPr>
        <w:footnoteReference w:id="18"/>
      </w:r>
      <w:r w:rsidRPr="00167CB8">
        <w:rPr>
          <w:rFonts w:cs="Calibri"/>
        </w:rPr>
        <w:t xml:space="preserve"> In this pyramid, the most common regulatory response</w:t>
      </w:r>
      <w:r w:rsidR="0037336D" w:rsidRPr="00167CB8">
        <w:rPr>
          <w:rFonts w:cs="Calibri"/>
        </w:rPr>
        <w:t>s</w:t>
      </w:r>
      <w:r w:rsidRPr="00167CB8">
        <w:rPr>
          <w:rFonts w:cs="Calibri"/>
        </w:rPr>
        <w:t xml:space="preserve"> by agencies (at the base of the pyramid) </w:t>
      </w:r>
      <w:r w:rsidR="0037336D" w:rsidRPr="00167CB8">
        <w:rPr>
          <w:rFonts w:cs="Calibri"/>
        </w:rPr>
        <w:t xml:space="preserve">were </w:t>
      </w:r>
      <w:r w:rsidRPr="00167CB8">
        <w:rPr>
          <w:rFonts w:cs="Calibri"/>
        </w:rPr>
        <w:t xml:space="preserve">persuasion or warnings, directions and negotiated outcomes. As the regulatory agency worked up the pyramid towards less common strategies, the strategies became increasingly punitive, emphasising civil and then criminal penalties and finally reaching licence revocation or </w:t>
      </w:r>
      <w:r w:rsidR="0037336D" w:rsidRPr="00167CB8">
        <w:rPr>
          <w:rFonts w:cs="Calibri"/>
        </w:rPr>
        <w:t>‘</w:t>
      </w:r>
      <w:r w:rsidRPr="00167CB8">
        <w:rPr>
          <w:rFonts w:cs="Calibri"/>
        </w:rPr>
        <w:t>incapacitation</w:t>
      </w:r>
      <w:r w:rsidR="0037336D" w:rsidRPr="00167CB8">
        <w:rPr>
          <w:rFonts w:cs="Calibri"/>
        </w:rPr>
        <w:t>’</w:t>
      </w:r>
      <w:r w:rsidRPr="00167CB8">
        <w:rPr>
          <w:rFonts w:cs="Calibri"/>
        </w:rPr>
        <w:t xml:space="preserve"> at the top.</w:t>
      </w:r>
    </w:p>
    <w:p w14:paraId="245ECCA2" w14:textId="2C637E76" w:rsidR="005178E9" w:rsidRPr="00167CB8" w:rsidRDefault="005178E9" w:rsidP="00470AB9">
      <w:pPr>
        <w:pStyle w:val="Caption"/>
      </w:pPr>
      <w:bookmarkStart w:id="18" w:name="_Ref188392321"/>
      <w:bookmarkStart w:id="19" w:name="_Ref188392314"/>
    </w:p>
    <w:p w14:paraId="322C83BF" w14:textId="783CE4ED" w:rsidR="00C136C7" w:rsidRPr="00167CB8" w:rsidRDefault="00C136C7" w:rsidP="00470AB9">
      <w:pPr>
        <w:pStyle w:val="Caption"/>
      </w:pPr>
      <w:bookmarkStart w:id="20" w:name="_Toc189310807"/>
      <w:r w:rsidRPr="00167CB8">
        <w:t>Figure</w:t>
      </w:r>
      <w:bookmarkEnd w:id="18"/>
      <w:r w:rsidR="00C7470B">
        <w:t xml:space="preserve"> 1</w:t>
      </w:r>
      <w:r w:rsidRPr="00167CB8">
        <w:t xml:space="preserve">: The </w:t>
      </w:r>
      <w:r w:rsidR="0037336D" w:rsidRPr="00167CB8">
        <w:t>e</w:t>
      </w:r>
      <w:r w:rsidRPr="00167CB8">
        <w:t xml:space="preserve">nforcement </w:t>
      </w:r>
      <w:r w:rsidR="0037336D" w:rsidRPr="00167CB8">
        <w:t>p</w:t>
      </w:r>
      <w:r w:rsidRPr="00167CB8">
        <w:t>yramid</w:t>
      </w:r>
      <w:bookmarkEnd w:id="19"/>
      <w:bookmarkEnd w:id="20"/>
    </w:p>
    <w:p w14:paraId="11F776A3" w14:textId="7266B9AE" w:rsidR="00957689" w:rsidRPr="00167CB8" w:rsidRDefault="005178E9" w:rsidP="008D2180">
      <w:r w:rsidRPr="00167CB8">
        <w:rPr>
          <w:noProof/>
        </w:rPr>
        <w:drawing>
          <wp:inline distT="0" distB="0" distL="0" distR="0" wp14:anchorId="192D6930" wp14:editId="7E2910BA">
            <wp:extent cx="4340225" cy="3383915"/>
            <wp:effectExtent l="19050" t="19050" r="41275" b="26035"/>
            <wp:docPr id="9237206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643DF4F" w14:textId="242D82D7" w:rsidR="008D2180" w:rsidRPr="00167CB8" w:rsidRDefault="008D2180" w:rsidP="008D2180">
      <w:pPr>
        <w:pStyle w:val="Source"/>
      </w:pPr>
      <w:r w:rsidRPr="00167CB8">
        <w:rPr>
          <w:b/>
          <w:bCs/>
        </w:rPr>
        <w:t>Source:</w:t>
      </w:r>
      <w:r w:rsidRPr="00167CB8">
        <w:t xml:space="preserve"> Ayres and Braithwaite</w:t>
      </w:r>
      <w:r w:rsidR="00957689" w:rsidRPr="00167CB8">
        <w:t>.</w:t>
      </w:r>
      <w:r w:rsidR="00957689" w:rsidRPr="00167CB8">
        <w:rPr>
          <w:rStyle w:val="FootnoteReference"/>
        </w:rPr>
        <w:footnoteReference w:id="19"/>
      </w:r>
    </w:p>
    <w:p w14:paraId="39DE032F" w14:textId="13595E74" w:rsidR="00AC2858" w:rsidRPr="00167CB8" w:rsidRDefault="00AC2858" w:rsidP="00C157DC">
      <w:pPr>
        <w:rPr>
          <w:rFonts w:cs="Calibri"/>
        </w:rPr>
      </w:pPr>
      <w:r w:rsidRPr="00167CB8">
        <w:rPr>
          <w:rFonts w:cs="Calibri"/>
        </w:rPr>
        <w:t xml:space="preserve">The advantage of this </w:t>
      </w:r>
      <w:r w:rsidR="0037336D" w:rsidRPr="00167CB8">
        <w:rPr>
          <w:rFonts w:cs="Calibri"/>
        </w:rPr>
        <w:t>‘</w:t>
      </w:r>
      <w:r w:rsidRPr="00167CB8">
        <w:rPr>
          <w:rFonts w:cs="Calibri"/>
        </w:rPr>
        <w:t>responsive</w:t>
      </w:r>
      <w:r w:rsidR="0037336D" w:rsidRPr="00167CB8">
        <w:rPr>
          <w:rFonts w:cs="Calibri"/>
        </w:rPr>
        <w:t>’</w:t>
      </w:r>
      <w:r w:rsidRPr="00167CB8">
        <w:rPr>
          <w:rFonts w:cs="Calibri"/>
        </w:rPr>
        <w:t xml:space="preserve"> approach is the recognition it gives to the possibility of the same agency advancing different strategic responses to address different types of problems. This type of analysis therefore tends to focus attention on attributes of the regulatory problems.</w:t>
      </w:r>
    </w:p>
    <w:p w14:paraId="152CE763" w14:textId="3367FE6B" w:rsidR="00AC2858" w:rsidRPr="00167CB8" w:rsidRDefault="00AC2858" w:rsidP="00C157DC">
      <w:pPr>
        <w:rPr>
          <w:rFonts w:cs="Calibri"/>
        </w:rPr>
      </w:pPr>
      <w:r w:rsidRPr="00167CB8">
        <w:rPr>
          <w:rFonts w:cs="Calibri"/>
        </w:rPr>
        <w:t xml:space="preserve">An alternative explanation of regulatory choice focuses on the attributes of the </w:t>
      </w:r>
      <w:r w:rsidR="00CE606C" w:rsidRPr="00167CB8">
        <w:rPr>
          <w:rFonts w:cs="Calibri"/>
        </w:rPr>
        <w:t xml:space="preserve">Australian </w:t>
      </w:r>
      <w:r w:rsidR="0037336D" w:rsidRPr="00167CB8">
        <w:rPr>
          <w:rFonts w:cs="Calibri"/>
        </w:rPr>
        <w:t>g</w:t>
      </w:r>
      <w:r w:rsidRPr="00167CB8">
        <w:rPr>
          <w:rFonts w:cs="Calibri"/>
        </w:rPr>
        <w:t>overnments establishing the legislative base for regulation or for the regulatory agency itself. This approach to explanation – which overlaps with some of the factors discussed above as explaining the choice between institutional integration versus institutional separation – suggests that decisions about the most appropriate regulatory strategy for addressing different problems were influenced by the political judg</w:t>
      </w:r>
      <w:r w:rsidR="0037336D" w:rsidRPr="00167CB8">
        <w:rPr>
          <w:rFonts w:cs="Calibri"/>
        </w:rPr>
        <w:t>e</w:t>
      </w:r>
      <w:r w:rsidRPr="00167CB8">
        <w:rPr>
          <w:rFonts w:cs="Calibri"/>
        </w:rPr>
        <w:t>ments made by governments. In other words, it might be expected – other things being equal – that governments would choose regulatory strategies that they thought would bring them advantage.</w:t>
      </w:r>
    </w:p>
    <w:p w14:paraId="70013FB9" w14:textId="52A5B634" w:rsidR="00AC2858" w:rsidRPr="00167CB8" w:rsidRDefault="006A422B" w:rsidP="006A422B">
      <w:pPr>
        <w:spacing w:after="160"/>
        <w:rPr>
          <w:rFonts w:cs="Calibri"/>
        </w:rPr>
      </w:pPr>
      <w:r w:rsidRPr="00167CB8">
        <w:rPr>
          <w:rFonts w:cs="Calibri"/>
        </w:rPr>
        <w:br w:type="page"/>
      </w:r>
    </w:p>
    <w:p w14:paraId="13F407E3" w14:textId="37981754" w:rsidR="00A148FE" w:rsidRPr="00167CB8" w:rsidRDefault="007B2AFD" w:rsidP="00E73835">
      <w:pPr>
        <w:pStyle w:val="Heading3"/>
        <w:rPr>
          <w:rFonts w:asciiTheme="minorHAnsi" w:hAnsiTheme="minorHAnsi"/>
        </w:rPr>
      </w:pPr>
      <w:bookmarkStart w:id="21" w:name="_Toc187421560"/>
      <w:bookmarkStart w:id="22" w:name="_Toc187946362"/>
      <w:bookmarkStart w:id="23" w:name="_Toc188277906"/>
      <w:bookmarkStart w:id="24" w:name="_Toc189260199"/>
      <w:bookmarkStart w:id="25" w:name="_Toc189393515"/>
      <w:r w:rsidRPr="00167CB8">
        <w:rPr>
          <w:rFonts w:asciiTheme="minorHAnsi" w:hAnsiTheme="minorHAnsi"/>
        </w:rPr>
        <w:lastRenderedPageBreak/>
        <w:t xml:space="preserve">Chapter </w:t>
      </w:r>
      <w:r w:rsidR="003220B5" w:rsidRPr="00167CB8">
        <w:rPr>
          <w:rFonts w:asciiTheme="minorHAnsi" w:hAnsiTheme="minorHAnsi"/>
        </w:rPr>
        <w:t>4</w:t>
      </w:r>
      <w:r w:rsidRPr="00167CB8">
        <w:rPr>
          <w:rFonts w:asciiTheme="minorHAnsi" w:hAnsiTheme="minorHAnsi"/>
        </w:rPr>
        <w:t>.</w:t>
      </w:r>
      <w:r w:rsidR="00A148FE" w:rsidRPr="00167CB8">
        <w:rPr>
          <w:rFonts w:asciiTheme="minorHAnsi" w:hAnsiTheme="minorHAnsi"/>
        </w:rPr>
        <w:t xml:space="preserve"> </w:t>
      </w:r>
      <w:bookmarkEnd w:id="21"/>
      <w:bookmarkEnd w:id="22"/>
      <w:r w:rsidR="009620F3" w:rsidRPr="00167CB8">
        <w:rPr>
          <w:rFonts w:asciiTheme="minorHAnsi" w:hAnsiTheme="minorHAnsi"/>
        </w:rPr>
        <w:t>Abolition of</w:t>
      </w:r>
      <w:r w:rsidR="00957689" w:rsidRPr="00167CB8">
        <w:rPr>
          <w:rFonts w:asciiTheme="minorHAnsi" w:hAnsiTheme="minorHAnsi"/>
        </w:rPr>
        <w:t xml:space="preserve"> the</w:t>
      </w:r>
      <w:r w:rsidR="009620F3" w:rsidRPr="00167CB8">
        <w:rPr>
          <w:rFonts w:asciiTheme="minorHAnsi" w:hAnsiTheme="minorHAnsi"/>
        </w:rPr>
        <w:t xml:space="preserve"> </w:t>
      </w:r>
      <w:r w:rsidR="00957689" w:rsidRPr="00167CB8">
        <w:rPr>
          <w:rFonts w:asciiTheme="minorHAnsi" w:hAnsiTheme="minorHAnsi"/>
        </w:rPr>
        <w:t>Australian Building and Construction Commission</w:t>
      </w:r>
      <w:bookmarkEnd w:id="23"/>
      <w:bookmarkEnd w:id="24"/>
      <w:bookmarkEnd w:id="25"/>
    </w:p>
    <w:p w14:paraId="3D26F978" w14:textId="4CED9F66" w:rsidR="00A23930" w:rsidRPr="00167CB8" w:rsidRDefault="00F209BB" w:rsidP="00A23930">
      <w:r w:rsidRPr="00167CB8">
        <w:t xml:space="preserve">This chapter follows the abolition of the </w:t>
      </w:r>
      <w:r w:rsidR="00957689" w:rsidRPr="00167CB8">
        <w:t>Australian Building and Construction Commission (</w:t>
      </w:r>
      <w:r w:rsidRPr="00167CB8">
        <w:t>ABCC</w:t>
      </w:r>
      <w:r w:rsidR="00957689" w:rsidRPr="00167CB8">
        <w:t>)</w:t>
      </w:r>
      <w:r w:rsidRPr="00167CB8">
        <w:t xml:space="preserve"> and its integration into the </w:t>
      </w:r>
      <w:r w:rsidR="00957689" w:rsidRPr="00167CB8">
        <w:t>Fair Work Ombudsman (</w:t>
      </w:r>
      <w:r w:rsidRPr="00167CB8">
        <w:t>FWO</w:t>
      </w:r>
      <w:r w:rsidR="00957689" w:rsidRPr="00167CB8">
        <w:t>)</w:t>
      </w:r>
      <w:r w:rsidRPr="00167CB8">
        <w:t xml:space="preserve">, exploring the connection with the </w:t>
      </w:r>
      <w:r w:rsidR="0037336D" w:rsidRPr="00167CB8">
        <w:t xml:space="preserve">2 </w:t>
      </w:r>
      <w:r w:rsidRPr="00167CB8">
        <w:t>themes highlighted in the previous chapter</w:t>
      </w:r>
      <w:r w:rsidR="006E264B" w:rsidRPr="00167CB8">
        <w:t>;</w:t>
      </w:r>
      <w:r w:rsidRPr="00167CB8">
        <w:t xml:space="preserve"> namely</w:t>
      </w:r>
      <w:r w:rsidR="006E264B" w:rsidRPr="00167CB8">
        <w:t>,</w:t>
      </w:r>
      <w:r w:rsidRPr="00167CB8">
        <w:t xml:space="preserve"> institutional integration and regulatory strategies. </w:t>
      </w:r>
    </w:p>
    <w:p w14:paraId="13DF5860" w14:textId="1873A7D7" w:rsidR="00A148FE" w:rsidRPr="00167CB8" w:rsidRDefault="003220B5" w:rsidP="00E4748E">
      <w:pPr>
        <w:pStyle w:val="Heading4"/>
      </w:pPr>
      <w:bookmarkStart w:id="26" w:name="_Toc185851504"/>
      <w:bookmarkStart w:id="27" w:name="_Toc187421561"/>
      <w:bookmarkStart w:id="28" w:name="_Toc187946363"/>
      <w:bookmarkStart w:id="29" w:name="_Toc188277907"/>
      <w:bookmarkStart w:id="30" w:name="_Toc189260200"/>
      <w:bookmarkStart w:id="31" w:name="_Toc189393516"/>
      <w:r w:rsidRPr="00167CB8">
        <w:t>4</w:t>
      </w:r>
      <w:r w:rsidR="00E73835" w:rsidRPr="00167CB8">
        <w:t>.</w:t>
      </w:r>
      <w:r w:rsidR="00A148FE" w:rsidRPr="00167CB8">
        <w:t xml:space="preserve">1 </w:t>
      </w:r>
      <w:bookmarkEnd w:id="26"/>
      <w:bookmarkEnd w:id="27"/>
      <w:bookmarkEnd w:id="28"/>
      <w:r w:rsidR="009109D5" w:rsidRPr="00167CB8">
        <w:t xml:space="preserve">Amendments </w:t>
      </w:r>
      <w:r w:rsidR="006E264B" w:rsidRPr="00167CB8">
        <w:t>and</w:t>
      </w:r>
      <w:r w:rsidR="009109D5" w:rsidRPr="00167CB8">
        <w:t xml:space="preserve"> </w:t>
      </w:r>
      <w:r w:rsidR="006E264B" w:rsidRPr="00167CB8">
        <w:t>i</w:t>
      </w:r>
      <w:r w:rsidR="009109D5" w:rsidRPr="00167CB8">
        <w:t>ntent</w:t>
      </w:r>
      <w:bookmarkEnd w:id="29"/>
      <w:bookmarkEnd w:id="30"/>
      <w:bookmarkEnd w:id="31"/>
    </w:p>
    <w:p w14:paraId="2F1279FE" w14:textId="5A573937" w:rsidR="00A148FE" w:rsidRPr="00167CB8" w:rsidRDefault="00A148FE" w:rsidP="00A148FE">
      <w:r w:rsidRPr="00167CB8">
        <w:t xml:space="preserve">The </w:t>
      </w:r>
      <w:r w:rsidR="00E76385" w:rsidRPr="00167CB8">
        <w:t>Secure Jobs, Better Pay</w:t>
      </w:r>
      <w:r w:rsidRPr="00167CB8">
        <w:t xml:space="preserve"> Act abolished the </w:t>
      </w:r>
      <w:r w:rsidR="00FC29FB" w:rsidRPr="00167CB8">
        <w:t>commercial</w:t>
      </w:r>
      <w:r w:rsidRPr="00167CB8">
        <w:t xml:space="preserve"> building and construction industry-specific regulator, the ABCC. The </w:t>
      </w:r>
      <w:r w:rsidR="00D37B51" w:rsidRPr="00167CB8">
        <w:t>Secure Jobs, Better Pay</w:t>
      </w:r>
      <w:r w:rsidRPr="00167CB8">
        <w:t xml:space="preserve"> Act also repealed the Code for the Tendering and Performance on Building Work 2016 (Building Code). Regulatory responsibility for </w:t>
      </w:r>
      <w:r w:rsidR="00C22C2D" w:rsidRPr="00167CB8">
        <w:t xml:space="preserve">oversight of </w:t>
      </w:r>
      <w:r w:rsidRPr="00167CB8">
        <w:t xml:space="preserve">the building and construction sector was reintegrated into the FWO. </w:t>
      </w:r>
    </w:p>
    <w:p w14:paraId="42E73314" w14:textId="5F3AE77E" w:rsidR="00A148FE" w:rsidRPr="00167CB8" w:rsidRDefault="003220B5" w:rsidP="00A148FE">
      <w:pPr>
        <w:pStyle w:val="Heading5"/>
        <w:rPr>
          <w:rFonts w:asciiTheme="minorHAnsi" w:hAnsiTheme="minorHAnsi"/>
        </w:rPr>
      </w:pPr>
      <w:bookmarkStart w:id="32" w:name="_Toc187421563"/>
      <w:bookmarkStart w:id="33" w:name="_Toc187946365"/>
      <w:r w:rsidRPr="00167CB8">
        <w:rPr>
          <w:rFonts w:asciiTheme="minorHAnsi" w:hAnsiTheme="minorHAnsi"/>
        </w:rPr>
        <w:t>4</w:t>
      </w:r>
      <w:r w:rsidR="00B05465" w:rsidRPr="00167CB8">
        <w:rPr>
          <w:rFonts w:asciiTheme="minorHAnsi" w:hAnsiTheme="minorHAnsi"/>
        </w:rPr>
        <w:t>.</w:t>
      </w:r>
      <w:r w:rsidR="00377CA9" w:rsidRPr="00167CB8">
        <w:rPr>
          <w:rFonts w:asciiTheme="minorHAnsi" w:hAnsiTheme="minorHAnsi"/>
        </w:rPr>
        <w:t>1.</w:t>
      </w:r>
      <w:r w:rsidR="00564EEC" w:rsidRPr="00167CB8">
        <w:rPr>
          <w:rFonts w:asciiTheme="minorHAnsi" w:hAnsiTheme="minorHAnsi"/>
        </w:rPr>
        <w:t>1</w:t>
      </w:r>
      <w:r w:rsidR="00377CA9" w:rsidRPr="00167CB8">
        <w:rPr>
          <w:rFonts w:asciiTheme="minorHAnsi" w:hAnsiTheme="minorHAnsi"/>
        </w:rPr>
        <w:t xml:space="preserve"> </w:t>
      </w:r>
      <w:r w:rsidR="00E42AC2" w:rsidRPr="00167CB8">
        <w:rPr>
          <w:rFonts w:asciiTheme="minorHAnsi" w:hAnsiTheme="minorHAnsi"/>
        </w:rPr>
        <w:t xml:space="preserve">Secure Jobs, Better Pay </w:t>
      </w:r>
      <w:r w:rsidR="006E264B" w:rsidRPr="00167CB8">
        <w:rPr>
          <w:rFonts w:asciiTheme="minorHAnsi" w:hAnsiTheme="minorHAnsi"/>
        </w:rPr>
        <w:t>a</w:t>
      </w:r>
      <w:r w:rsidR="00A148FE" w:rsidRPr="00167CB8">
        <w:rPr>
          <w:rFonts w:asciiTheme="minorHAnsi" w:hAnsiTheme="minorHAnsi"/>
        </w:rPr>
        <w:t>mendments</w:t>
      </w:r>
      <w:bookmarkEnd w:id="32"/>
      <w:bookmarkEnd w:id="33"/>
    </w:p>
    <w:p w14:paraId="3A9F4C79" w14:textId="77E212FF" w:rsidR="00A148FE" w:rsidRPr="00167CB8" w:rsidRDefault="00A148FE" w:rsidP="00A148FE">
      <w:r w:rsidRPr="00167CB8">
        <w:t xml:space="preserve">Part 3 of </w:t>
      </w:r>
      <w:r w:rsidR="00C22C2D" w:rsidRPr="00167CB8">
        <w:t>Schedule 1 of</w:t>
      </w:r>
      <w:r w:rsidRPr="00167CB8">
        <w:t xml:space="preserve"> the </w:t>
      </w:r>
      <w:r w:rsidR="00D37B51" w:rsidRPr="00167CB8">
        <w:t xml:space="preserve">Secure Jobs, Better Pay </w:t>
      </w:r>
      <w:r w:rsidRPr="00167CB8">
        <w:t>Act:</w:t>
      </w:r>
    </w:p>
    <w:p w14:paraId="0C459F5E" w14:textId="600C3F62" w:rsidR="00A148FE" w:rsidRPr="00167CB8" w:rsidRDefault="00A148FE" w:rsidP="00567FCA">
      <w:pPr>
        <w:pStyle w:val="ListParagraph"/>
        <w:numPr>
          <w:ilvl w:val="0"/>
          <w:numId w:val="12"/>
        </w:numPr>
        <w:spacing w:line="259" w:lineRule="auto"/>
        <w:rPr>
          <w:sz w:val="22"/>
          <w:szCs w:val="22"/>
        </w:rPr>
      </w:pPr>
      <w:r w:rsidRPr="00167CB8">
        <w:rPr>
          <w:sz w:val="22"/>
          <w:szCs w:val="22"/>
        </w:rPr>
        <w:t xml:space="preserve">abolished the ABCC by repealing relevant the parts of the </w:t>
      </w:r>
      <w:r w:rsidRPr="00167CB8">
        <w:rPr>
          <w:i/>
          <w:sz w:val="22"/>
          <w:szCs w:val="22"/>
        </w:rPr>
        <w:t xml:space="preserve">Building and Construction Industry (Improving Productivity) Act 2016 </w:t>
      </w:r>
      <w:r w:rsidR="008D2180" w:rsidRPr="00167CB8">
        <w:rPr>
          <w:iCs/>
          <w:sz w:val="22"/>
          <w:szCs w:val="22"/>
        </w:rPr>
        <w:t xml:space="preserve">(Cth) </w:t>
      </w:r>
      <w:r w:rsidRPr="00167CB8">
        <w:rPr>
          <w:sz w:val="22"/>
          <w:szCs w:val="22"/>
        </w:rPr>
        <w:t>(BCIIP Act)</w:t>
      </w:r>
      <w:r w:rsidRPr="00167CB8">
        <w:rPr>
          <w:rStyle w:val="Heading3Char"/>
          <w:rFonts w:asciiTheme="minorHAnsi" w:hAnsiTheme="minorHAnsi"/>
          <w:sz w:val="22"/>
          <w:szCs w:val="22"/>
        </w:rPr>
        <w:t xml:space="preserve"> </w:t>
      </w:r>
    </w:p>
    <w:p w14:paraId="65FF91B8" w14:textId="50E86B04" w:rsidR="00A148FE" w:rsidRPr="00167CB8" w:rsidRDefault="00A148FE" w:rsidP="00567FCA">
      <w:pPr>
        <w:pStyle w:val="ListParagraph"/>
        <w:numPr>
          <w:ilvl w:val="0"/>
          <w:numId w:val="12"/>
        </w:numPr>
        <w:spacing w:line="259" w:lineRule="auto"/>
        <w:rPr>
          <w:sz w:val="22"/>
          <w:szCs w:val="22"/>
        </w:rPr>
      </w:pPr>
      <w:r w:rsidRPr="00167CB8">
        <w:rPr>
          <w:sz w:val="22"/>
          <w:szCs w:val="22"/>
        </w:rPr>
        <w:t xml:space="preserve">repealed the Building Code </w:t>
      </w:r>
    </w:p>
    <w:p w14:paraId="18861F01" w14:textId="7F5E5F2D" w:rsidR="00A148FE" w:rsidRPr="00167CB8" w:rsidRDefault="00A148FE" w:rsidP="00567FCA">
      <w:pPr>
        <w:pStyle w:val="ListParagraph"/>
        <w:numPr>
          <w:ilvl w:val="0"/>
          <w:numId w:val="12"/>
        </w:numPr>
        <w:spacing w:line="259" w:lineRule="auto"/>
        <w:rPr>
          <w:sz w:val="22"/>
          <w:szCs w:val="22"/>
        </w:rPr>
      </w:pPr>
      <w:r w:rsidRPr="00167CB8">
        <w:rPr>
          <w:sz w:val="22"/>
          <w:szCs w:val="22"/>
        </w:rPr>
        <w:t>removed provisions for higher penalties for building industry participants and the broader circumstances in which they apply</w:t>
      </w:r>
    </w:p>
    <w:p w14:paraId="6C603710" w14:textId="4CF35215" w:rsidR="00A148FE" w:rsidRPr="00167CB8" w:rsidRDefault="00A148FE" w:rsidP="00567FCA">
      <w:pPr>
        <w:pStyle w:val="ListParagraph"/>
        <w:numPr>
          <w:ilvl w:val="0"/>
          <w:numId w:val="12"/>
        </w:numPr>
        <w:spacing w:line="259" w:lineRule="auto"/>
        <w:rPr>
          <w:sz w:val="22"/>
          <w:szCs w:val="22"/>
        </w:rPr>
      </w:pPr>
      <w:r w:rsidRPr="00167CB8">
        <w:rPr>
          <w:sz w:val="22"/>
          <w:szCs w:val="22"/>
        </w:rPr>
        <w:t>provided for transitional arrangements for the abolition of the ABCC, including transferring investigations and pending court proceedings to the FWO.</w:t>
      </w:r>
      <w:r w:rsidR="00685010" w:rsidRPr="00167CB8">
        <w:rPr>
          <w:rStyle w:val="FootnoteReference"/>
        </w:rPr>
        <w:footnoteReference w:id="20"/>
      </w:r>
      <w:r w:rsidRPr="00167CB8">
        <w:rPr>
          <w:sz w:val="22"/>
          <w:szCs w:val="22"/>
        </w:rPr>
        <w:t xml:space="preserve"> </w:t>
      </w:r>
    </w:p>
    <w:p w14:paraId="422D4883" w14:textId="66FB0619" w:rsidR="00A148FE" w:rsidRPr="00167CB8" w:rsidRDefault="002F5F42" w:rsidP="00A148FE">
      <w:r w:rsidRPr="00167CB8">
        <w:t>P</w:t>
      </w:r>
      <w:r w:rsidR="00A148FE" w:rsidRPr="00167CB8">
        <w:t xml:space="preserve">rovisions relating to the Work Health and Safety Accreditation Scheme and Office of the Federal Safety Commissioner </w:t>
      </w:r>
      <w:r w:rsidRPr="00167CB8">
        <w:t xml:space="preserve">were retained </w:t>
      </w:r>
      <w:r w:rsidR="00A148FE" w:rsidRPr="00167CB8">
        <w:t xml:space="preserve">in a renamed Act, the </w:t>
      </w:r>
      <w:r w:rsidR="00A148FE" w:rsidRPr="00167CB8">
        <w:rPr>
          <w:i/>
        </w:rPr>
        <w:t>Federal Safety Commissioner Act 2022</w:t>
      </w:r>
      <w:r w:rsidR="008D2180" w:rsidRPr="00167CB8">
        <w:rPr>
          <w:iCs/>
        </w:rPr>
        <w:t xml:space="preserve"> (Cth)</w:t>
      </w:r>
      <w:r w:rsidR="00A148FE" w:rsidRPr="00167CB8">
        <w:t>.</w:t>
      </w:r>
      <w:r w:rsidR="00A148FE" w:rsidRPr="00167CB8">
        <w:rPr>
          <w:rStyle w:val="FootnoteReference"/>
        </w:rPr>
        <w:footnoteReference w:id="21"/>
      </w:r>
      <w:bookmarkStart w:id="34" w:name="_Toc185594490"/>
    </w:p>
    <w:p w14:paraId="3C36CBC8" w14:textId="3DF04741" w:rsidR="001D5FF8" w:rsidRPr="00167CB8" w:rsidRDefault="001D5FF8" w:rsidP="00A148FE">
      <w:r w:rsidRPr="00167CB8">
        <w:t>These amendments commenced on 6 February 2023</w:t>
      </w:r>
      <w:r w:rsidR="003E0762" w:rsidRPr="00167CB8">
        <w:t xml:space="preserve">. </w:t>
      </w:r>
    </w:p>
    <w:bookmarkEnd w:id="34"/>
    <w:p w14:paraId="04ACCE61" w14:textId="69550175" w:rsidR="00A148FE" w:rsidRPr="00167CB8" w:rsidRDefault="003D4E16" w:rsidP="00A148FE">
      <w:r w:rsidRPr="00167CB8">
        <w:t>W</w:t>
      </w:r>
      <w:r w:rsidR="00A148FE" w:rsidRPr="00167CB8">
        <w:t xml:space="preserve">hile many of the FWO’s powers are the same as or similar to those of the former ABCC, not all </w:t>
      </w:r>
      <w:r w:rsidR="00E24222" w:rsidRPr="00167CB8">
        <w:t xml:space="preserve">the </w:t>
      </w:r>
      <w:r w:rsidR="00A148FE" w:rsidRPr="00167CB8">
        <w:t>powers of the ABCC are available to the FWO.</w:t>
      </w:r>
      <w:r w:rsidR="009100D0" w:rsidRPr="00167CB8">
        <w:t xml:space="preserve"> </w:t>
      </w:r>
      <w:r w:rsidR="00A148FE" w:rsidRPr="00167CB8">
        <w:t>Key differences in the powers of the agencies are outlined below.</w:t>
      </w:r>
    </w:p>
    <w:p w14:paraId="7476054D" w14:textId="126C11AF" w:rsidR="00A148FE" w:rsidRPr="00167CB8" w:rsidRDefault="00A148FE" w:rsidP="00A148FE">
      <w:r w:rsidRPr="00167CB8">
        <w:t>First, there</w:t>
      </w:r>
      <w:r w:rsidRPr="00167CB8" w:rsidDel="00195B24">
        <w:t xml:space="preserve"> </w:t>
      </w:r>
      <w:r w:rsidR="00195B24" w:rsidRPr="00167CB8">
        <w:t>were</w:t>
      </w:r>
      <w:r w:rsidRPr="00167CB8">
        <w:t xml:space="preserve"> differences between the agencies</w:t>
      </w:r>
      <w:r w:rsidR="009100D0" w:rsidRPr="00167CB8">
        <w:t>’</w:t>
      </w:r>
      <w:r w:rsidRPr="00167CB8">
        <w:t xml:space="preserve"> powers to issue notices. The FWO can apply to the Administrative Review Tribunal for a </w:t>
      </w:r>
      <w:r w:rsidR="00630AAA" w:rsidRPr="00167CB8">
        <w:t>‘</w:t>
      </w:r>
      <w:r w:rsidRPr="00167CB8">
        <w:t xml:space="preserve">FWO </w:t>
      </w:r>
      <w:r w:rsidR="00957689" w:rsidRPr="00167CB8">
        <w:t>n</w:t>
      </w:r>
      <w:r w:rsidRPr="00167CB8">
        <w:t>otice</w:t>
      </w:r>
      <w:r w:rsidR="00630AAA" w:rsidRPr="00167CB8">
        <w:t>’</w:t>
      </w:r>
      <w:r w:rsidRPr="00167CB8">
        <w:t>, which is a written notice that may require a person to provide information, produce documents or attend and answer questions relevant to the investigation.</w:t>
      </w:r>
      <w:r w:rsidRPr="00167CB8">
        <w:rPr>
          <w:vertAlign w:val="superscript"/>
        </w:rPr>
        <w:footnoteReference w:id="22"/>
      </w:r>
      <w:r w:rsidRPr="00167CB8">
        <w:t xml:space="preserve"> The ABC Commissioner had a generally similar power to apply to an Administrative Appeals Tribunal presidential member for an examination notice.</w:t>
      </w:r>
      <w:r w:rsidRPr="00167CB8">
        <w:rPr>
          <w:vertAlign w:val="superscript"/>
        </w:rPr>
        <w:footnoteReference w:id="23"/>
      </w:r>
    </w:p>
    <w:p w14:paraId="6EB63F4D" w14:textId="56EF3253" w:rsidR="00A148FE" w:rsidRPr="00167CB8" w:rsidRDefault="00E00B22" w:rsidP="00A148FE">
      <w:r w:rsidRPr="00167CB8">
        <w:t>A</w:t>
      </w:r>
      <w:r w:rsidR="00A148FE" w:rsidRPr="00167CB8">
        <w:t xml:space="preserve"> key difference between FWO notices and examination notices is that the FWO can only issue a FWO notice in relation to a defined set of suspected contraventions </w:t>
      </w:r>
      <w:r w:rsidR="00776C5B" w:rsidRPr="00167CB8">
        <w:t xml:space="preserve">of </w:t>
      </w:r>
      <w:r w:rsidR="00A148FE" w:rsidRPr="00167CB8">
        <w:t xml:space="preserve">the Fair Work Act, a fair work instrument or a safety net contractual entitlement. </w:t>
      </w:r>
    </w:p>
    <w:p w14:paraId="60A74F34" w14:textId="6A5F2EC6" w:rsidR="00A148FE" w:rsidRPr="00167CB8" w:rsidRDefault="00A148FE" w:rsidP="00A148FE">
      <w:r w:rsidRPr="00167CB8">
        <w:lastRenderedPageBreak/>
        <w:t xml:space="preserve">The FWO notices must relate directly or indirectly to underpayments, unreasonable </w:t>
      </w:r>
      <w:r w:rsidR="00776C5B" w:rsidRPr="00167CB8">
        <w:t xml:space="preserve">deductions or </w:t>
      </w:r>
      <w:r w:rsidR="00B138DF" w:rsidRPr="00167CB8">
        <w:t xml:space="preserve">requirements on employees </w:t>
      </w:r>
      <w:r w:rsidRPr="00167CB8">
        <w:t xml:space="preserve">to spend or pay amounts paid or payable, unfair dismissal, bullying, workplace sexual harassment, unlawful discrimination, National Employment Standards (NES) contraventions, underpayment of </w:t>
      </w:r>
      <w:r w:rsidR="00B138DF" w:rsidRPr="00167CB8">
        <w:t>entitlements under</w:t>
      </w:r>
      <w:r w:rsidRPr="00167CB8" w:rsidDel="00B138DF">
        <w:t xml:space="preserve"> </w:t>
      </w:r>
      <w:r w:rsidRPr="00167CB8">
        <w:t>a minimum standards order or road transport contractual chain</w:t>
      </w:r>
      <w:r w:rsidR="00B138DF" w:rsidRPr="00167CB8">
        <w:t xml:space="preserve"> order</w:t>
      </w:r>
      <w:r w:rsidRPr="00167CB8">
        <w:t>, unfair deactivation of an employee-like worker or unfair termination of a regulated road transport contractor, or coercion</w:t>
      </w:r>
      <w:r w:rsidR="00B138DF" w:rsidRPr="00167CB8">
        <w:t xml:space="preserve"> of an employee by an employer</w:t>
      </w:r>
      <w:r w:rsidRPr="00167CB8">
        <w:t>.</w:t>
      </w:r>
      <w:r w:rsidRPr="00167CB8">
        <w:rPr>
          <w:vertAlign w:val="superscript"/>
        </w:rPr>
        <w:footnoteReference w:id="24"/>
      </w:r>
    </w:p>
    <w:p w14:paraId="0D965CD4" w14:textId="3FEF3398" w:rsidR="00A148FE" w:rsidRPr="00167CB8" w:rsidRDefault="00A148FE" w:rsidP="00A148FE">
      <w:r w:rsidRPr="00167CB8">
        <w:t>In contrast, the ABC</w:t>
      </w:r>
      <w:r w:rsidR="00B138DF" w:rsidRPr="00167CB8">
        <w:t xml:space="preserve"> Commissioner</w:t>
      </w:r>
      <w:r w:rsidRPr="00167CB8">
        <w:t xml:space="preserve"> could issue an examination notice if they believe</w:t>
      </w:r>
      <w:r w:rsidR="00D955AE" w:rsidRPr="00167CB8">
        <w:t>d</w:t>
      </w:r>
      <w:r w:rsidRPr="00167CB8">
        <w:t xml:space="preserve"> </w:t>
      </w:r>
      <w:r w:rsidR="00B138DF" w:rsidRPr="00167CB8">
        <w:t>on reasonable grounds</w:t>
      </w:r>
      <w:r w:rsidRPr="00167CB8">
        <w:t xml:space="preserve"> the person</w:t>
      </w:r>
      <w:r w:rsidR="00B138DF" w:rsidRPr="00167CB8">
        <w:t xml:space="preserve"> had</w:t>
      </w:r>
      <w:r w:rsidRPr="00167CB8">
        <w:t xml:space="preserve"> </w:t>
      </w:r>
      <w:r w:rsidR="00630AAA" w:rsidRPr="00167CB8">
        <w:t>‘</w:t>
      </w:r>
      <w:r w:rsidRPr="00167CB8">
        <w:t xml:space="preserve">information or documents relevant to an investigation… into a suspected contravention by a building industry participant of </w:t>
      </w:r>
      <w:r w:rsidR="00B138DF" w:rsidRPr="00167CB8">
        <w:t>the BCIIP Act</w:t>
      </w:r>
      <w:r w:rsidRPr="00167CB8" w:rsidDel="00B138DF">
        <w:t xml:space="preserve"> </w:t>
      </w:r>
      <w:r w:rsidRPr="00167CB8">
        <w:t>or a designated building law</w:t>
      </w:r>
      <w:r w:rsidR="00630AAA" w:rsidRPr="00167CB8">
        <w:t>’</w:t>
      </w:r>
      <w:r w:rsidRPr="00167CB8">
        <w:t>.</w:t>
      </w:r>
      <w:r w:rsidRPr="00167CB8">
        <w:rPr>
          <w:vertAlign w:val="superscript"/>
        </w:rPr>
        <w:footnoteReference w:id="25"/>
      </w:r>
    </w:p>
    <w:p w14:paraId="5C73E9CF" w14:textId="30CDA907" w:rsidR="00A148FE" w:rsidRPr="00167CB8" w:rsidRDefault="00A148FE" w:rsidP="00A148FE">
      <w:r w:rsidRPr="00167CB8">
        <w:t xml:space="preserve">Second, the FWO’s power to issue a </w:t>
      </w:r>
      <w:r w:rsidR="00957689" w:rsidRPr="00167CB8">
        <w:t>c</w:t>
      </w:r>
      <w:r w:rsidRPr="00167CB8">
        <w:t xml:space="preserve">ompliance </w:t>
      </w:r>
      <w:r w:rsidR="00957689" w:rsidRPr="00167CB8">
        <w:t>n</w:t>
      </w:r>
      <w:r w:rsidRPr="00167CB8">
        <w:t>otice is limited to certain entitlement-related provisions (</w:t>
      </w:r>
      <w:r w:rsidR="00D30008" w:rsidRPr="00167CB8">
        <w:t xml:space="preserve">among others, a provision of </w:t>
      </w:r>
      <w:r w:rsidRPr="00167CB8">
        <w:t xml:space="preserve">the </w:t>
      </w:r>
      <w:r w:rsidR="00957689" w:rsidRPr="00167CB8">
        <w:t>NES</w:t>
      </w:r>
      <w:r w:rsidRPr="00167CB8">
        <w:t xml:space="preserve">, </w:t>
      </w:r>
      <w:r w:rsidR="00D30008" w:rsidRPr="00167CB8">
        <w:t xml:space="preserve">a term of a </w:t>
      </w:r>
      <w:r w:rsidRPr="00167CB8">
        <w:t xml:space="preserve">modern awards </w:t>
      </w:r>
      <w:r w:rsidR="00D30008" w:rsidRPr="00167CB8">
        <w:t>or</w:t>
      </w:r>
      <w:r w:rsidRPr="00167CB8">
        <w:t xml:space="preserve"> enterprise agreements, a </w:t>
      </w:r>
      <w:r w:rsidR="00D30008" w:rsidRPr="00167CB8">
        <w:t>term of a</w:t>
      </w:r>
      <w:r w:rsidRPr="00167CB8">
        <w:t xml:space="preserve"> workplace determination, </w:t>
      </w:r>
      <w:r w:rsidR="00D30008" w:rsidRPr="00167CB8">
        <w:t>a term of a</w:t>
      </w:r>
      <w:r w:rsidRPr="00167CB8">
        <w:t xml:space="preserve"> national minimum wage</w:t>
      </w:r>
      <w:r w:rsidR="00D30008" w:rsidRPr="00167CB8">
        <w:t xml:space="preserve"> order</w:t>
      </w:r>
      <w:r w:rsidRPr="00167CB8">
        <w:t xml:space="preserve">, or a term of an </w:t>
      </w:r>
      <w:r w:rsidR="00957689" w:rsidRPr="00167CB8">
        <w:t>equal remuneration order (</w:t>
      </w:r>
      <w:r w:rsidR="00051A9A" w:rsidRPr="00167CB8">
        <w:rPr>
          <w:rFonts w:cstheme="minorHAnsi"/>
        </w:rPr>
        <w:t>ERO</w:t>
      </w:r>
      <w:r w:rsidR="00957689" w:rsidRPr="00167CB8">
        <w:rPr>
          <w:rFonts w:cstheme="minorHAnsi"/>
        </w:rPr>
        <w:t>)</w:t>
      </w:r>
      <w:r w:rsidRPr="00167CB8">
        <w:t>)</w:t>
      </w:r>
      <w:r w:rsidR="00630AAA" w:rsidRPr="00167CB8">
        <w:t>,</w:t>
      </w:r>
      <w:r w:rsidRPr="00167CB8">
        <w:rPr>
          <w:rStyle w:val="FootnoteReference"/>
        </w:rPr>
        <w:footnoteReference w:id="26"/>
      </w:r>
      <w:r w:rsidRPr="00167CB8">
        <w:t xml:space="preserve"> </w:t>
      </w:r>
      <w:r w:rsidR="00630AAA" w:rsidRPr="00167CB8">
        <w:t>w</w:t>
      </w:r>
      <w:r w:rsidRPr="00167CB8">
        <w:t xml:space="preserve">hereas the ABCC power </w:t>
      </w:r>
      <w:r w:rsidR="00CA269C" w:rsidRPr="00167CB8">
        <w:t xml:space="preserve">to issue a </w:t>
      </w:r>
      <w:r w:rsidR="00957689" w:rsidRPr="00167CB8">
        <w:t>c</w:t>
      </w:r>
      <w:r w:rsidR="00CA269C" w:rsidRPr="00167CB8">
        <w:t xml:space="preserve">ompliance </w:t>
      </w:r>
      <w:r w:rsidR="00957689" w:rsidRPr="00167CB8">
        <w:t>n</w:t>
      </w:r>
      <w:r w:rsidR="00CA269C" w:rsidRPr="00167CB8">
        <w:t xml:space="preserve">otice </w:t>
      </w:r>
      <w:r w:rsidRPr="00167CB8">
        <w:t>was broader and related to contraventions (direct</w:t>
      </w:r>
      <w:r w:rsidR="00D30008" w:rsidRPr="00167CB8">
        <w:t>ly</w:t>
      </w:r>
      <w:r w:rsidRPr="00167CB8">
        <w:t xml:space="preserve"> or indirect</w:t>
      </w:r>
      <w:r w:rsidR="00D30008" w:rsidRPr="00167CB8">
        <w:t>ly</w:t>
      </w:r>
      <w:r w:rsidRPr="00167CB8">
        <w:t>) of the BCIIP Act, a designed building law or the Building Code that related to building work.</w:t>
      </w:r>
      <w:r w:rsidRPr="00167CB8">
        <w:rPr>
          <w:rStyle w:val="FootnoteReference"/>
        </w:rPr>
        <w:footnoteReference w:id="27"/>
      </w:r>
      <w:r w:rsidRPr="00167CB8">
        <w:t xml:space="preserve"> </w:t>
      </w:r>
    </w:p>
    <w:p w14:paraId="65DD9E43" w14:textId="09C6DF0F" w:rsidR="00A148FE" w:rsidRPr="00167CB8" w:rsidRDefault="00B452D8" w:rsidP="00A148FE">
      <w:pPr>
        <w:spacing w:after="120"/>
      </w:pPr>
      <w:r w:rsidRPr="00167CB8">
        <w:t>Third, there were also differences between the power of FWO and ABC inspectors to enter premises. FWO inspectors cannot enter part of a premises that is used for residential purposes unless they reasonably believe the work is being performed on that part of the premises.</w:t>
      </w:r>
      <w:r w:rsidR="00726156" w:rsidRPr="00167CB8">
        <w:rPr>
          <w:rStyle w:val="FootnoteReference"/>
        </w:rPr>
        <w:footnoteReference w:id="28"/>
      </w:r>
      <w:r w:rsidRPr="00167CB8">
        <w:t xml:space="preserve"> ABC inspectors had broader powers to enter premises, with limitation if some parts of the premises were used for residential purposes.</w:t>
      </w:r>
      <w:r w:rsidR="00C52174" w:rsidRPr="00167CB8">
        <w:rPr>
          <w:rStyle w:val="FootnoteReference"/>
        </w:rPr>
        <w:footnoteReference w:id="29"/>
      </w:r>
      <w:r w:rsidRPr="00167CB8">
        <w:t xml:space="preserve"> The ABC </w:t>
      </w:r>
      <w:r w:rsidR="00957689" w:rsidRPr="00167CB8">
        <w:t>i</w:t>
      </w:r>
      <w:r w:rsidRPr="00167CB8">
        <w:t>nspectors could enter residential premises if they had a reasonable belief that building work was being performed on that part of the premises.</w:t>
      </w:r>
    </w:p>
    <w:p w14:paraId="54F76075" w14:textId="2D67F9E6" w:rsidR="00A148FE" w:rsidRPr="00167CB8" w:rsidRDefault="00B843C4" w:rsidP="00A148FE">
      <w:r w:rsidRPr="00167CB8">
        <w:t>Fourth</w:t>
      </w:r>
      <w:r w:rsidR="0027462D" w:rsidRPr="00167CB8">
        <w:t>, t</w:t>
      </w:r>
      <w:r w:rsidR="00A148FE" w:rsidRPr="00167CB8">
        <w:t xml:space="preserve">he ABC Commissioner could </w:t>
      </w:r>
      <w:r w:rsidR="0027462D" w:rsidRPr="00167CB8">
        <w:t xml:space="preserve">also </w:t>
      </w:r>
      <w:r w:rsidR="00A148FE" w:rsidRPr="00167CB8">
        <w:t>intervene in civil proceedings that arose under the BCIIP Act or a designated building law, involve</w:t>
      </w:r>
      <w:r w:rsidR="0027462D" w:rsidRPr="00167CB8">
        <w:t>d</w:t>
      </w:r>
      <w:r w:rsidR="00A148FE" w:rsidRPr="00167CB8">
        <w:t xml:space="preserve"> a building industry participant or building work, and were in the public interest.</w:t>
      </w:r>
      <w:r w:rsidR="00A148FE" w:rsidRPr="00167CB8">
        <w:rPr>
          <w:rStyle w:val="FootnoteReference"/>
        </w:rPr>
        <w:footnoteReference w:id="30"/>
      </w:r>
      <w:r w:rsidR="00A148FE" w:rsidRPr="00167CB8">
        <w:t xml:space="preserve"> The ABC Commissioner could also intervene or make submissions in a matter before the FWC that arises under the Fair Work Act involving a building industry participant or building work.</w:t>
      </w:r>
      <w:r w:rsidR="00A148FE" w:rsidRPr="00167CB8">
        <w:rPr>
          <w:rStyle w:val="FootnoteReference"/>
        </w:rPr>
        <w:footnoteReference w:id="31"/>
      </w:r>
    </w:p>
    <w:p w14:paraId="313C46C4" w14:textId="080BF9AC" w:rsidR="00A148FE" w:rsidRPr="00167CB8" w:rsidRDefault="00A148FE" w:rsidP="00A148FE">
      <w:r w:rsidRPr="00167CB8">
        <w:t>In contrast, while the Minister for Employment and Workplace Relations can intervene in matters that arise under the Fair Work Act or make submissions before the FWC in certain circumstances, the FWO cannot.</w:t>
      </w:r>
      <w:r w:rsidRPr="00167CB8">
        <w:rPr>
          <w:rStyle w:val="FootnoteReference"/>
        </w:rPr>
        <w:footnoteReference w:id="32"/>
      </w:r>
    </w:p>
    <w:p w14:paraId="7073AB03" w14:textId="08EAAFEB" w:rsidR="00A148FE" w:rsidRPr="00167CB8" w:rsidRDefault="00A148FE" w:rsidP="00A148FE">
      <w:pPr>
        <w:rPr>
          <w:i/>
        </w:rPr>
      </w:pPr>
      <w:r w:rsidRPr="00167CB8">
        <w:t>There</w:t>
      </w:r>
      <w:r w:rsidRPr="00167CB8" w:rsidDel="00D71448">
        <w:t xml:space="preserve"> </w:t>
      </w:r>
      <w:r w:rsidR="00D71448" w:rsidRPr="00167CB8">
        <w:t>were</w:t>
      </w:r>
      <w:r w:rsidRPr="00167CB8">
        <w:t xml:space="preserve"> other differences between ABCC and FWO powers. For example, the ABC Commissioner could publish details of noncompliance if they believed it was in the public interest to do so.</w:t>
      </w:r>
      <w:r w:rsidR="001E2CD0" w:rsidRPr="00167CB8">
        <w:rPr>
          <w:rStyle w:val="FootnoteReference"/>
        </w:rPr>
        <w:footnoteReference w:id="33"/>
      </w:r>
      <w:r w:rsidRPr="00167CB8">
        <w:rPr>
          <w:rStyle w:val="FootnoteReference"/>
        </w:rPr>
        <w:t xml:space="preserve"> </w:t>
      </w:r>
      <w:r w:rsidRPr="00167CB8">
        <w:t xml:space="preserve">Further, the BCIIP Act also did not excuse a person from giving information on the ground that to do so would contravene another law (although if the person gave </w:t>
      </w:r>
      <w:r w:rsidRPr="00167CB8">
        <w:lastRenderedPageBreak/>
        <w:t>information under an examination notice, they were protected from liability for contravening the other law).</w:t>
      </w:r>
      <w:r w:rsidRPr="00167CB8">
        <w:rPr>
          <w:rStyle w:val="FootnoteReference"/>
        </w:rPr>
        <w:footnoteReference w:id="34"/>
      </w:r>
    </w:p>
    <w:p w14:paraId="2FBEBFCB" w14:textId="2D852F71" w:rsidR="00A148FE" w:rsidRPr="00167CB8" w:rsidRDefault="00A148FE" w:rsidP="00A148FE">
      <w:r w:rsidRPr="00167CB8">
        <w:t>The</w:t>
      </w:r>
      <w:r w:rsidRPr="00167CB8" w:rsidDel="00CF6DA2">
        <w:t xml:space="preserve"> </w:t>
      </w:r>
      <w:r w:rsidR="00CF6DA2" w:rsidRPr="00167CB8">
        <w:t>Secure Jobs, Better Pay</w:t>
      </w:r>
      <w:r w:rsidRPr="00167CB8">
        <w:t xml:space="preserve"> amendments </w:t>
      </w:r>
      <w:r w:rsidR="00972EA3" w:rsidRPr="00167CB8">
        <w:t>also</w:t>
      </w:r>
      <w:r w:rsidRPr="00167CB8">
        <w:t xml:space="preserve"> </w:t>
      </w:r>
      <w:r w:rsidR="00DA1C9C" w:rsidRPr="00167CB8">
        <w:t xml:space="preserve">aligned </w:t>
      </w:r>
      <w:r w:rsidRPr="00167CB8">
        <w:t>penalty provisions for the commercial building and construction sector with the F</w:t>
      </w:r>
      <w:r w:rsidR="00F50AB1" w:rsidRPr="00167CB8">
        <w:t xml:space="preserve">air </w:t>
      </w:r>
      <w:r w:rsidRPr="00167CB8">
        <w:t>W</w:t>
      </w:r>
      <w:r w:rsidR="00F50AB1" w:rsidRPr="00167CB8">
        <w:t>ork</w:t>
      </w:r>
      <w:r w:rsidRPr="00167CB8">
        <w:t xml:space="preserve"> Act penalty regime. </w:t>
      </w:r>
    </w:p>
    <w:p w14:paraId="43D0916F" w14:textId="10768776" w:rsidR="00A148FE" w:rsidRPr="00167CB8" w:rsidRDefault="00A148FE" w:rsidP="00A148FE">
      <w:r w:rsidRPr="00167CB8">
        <w:t>For many contraventions, the F</w:t>
      </w:r>
      <w:r w:rsidR="00F50AB1" w:rsidRPr="00167CB8">
        <w:t xml:space="preserve">air </w:t>
      </w:r>
      <w:r w:rsidRPr="00167CB8">
        <w:t>W</w:t>
      </w:r>
      <w:r w:rsidR="00F50AB1" w:rsidRPr="00167CB8">
        <w:t>ork</w:t>
      </w:r>
      <w:r w:rsidRPr="00167CB8">
        <w:t xml:space="preserve"> Act prescribes maximum penalties of 300 penalty units for bodies corporate ($99,000), compared to 1,000 penalty units for bodies corporate ($330,000) </w:t>
      </w:r>
      <w:r w:rsidR="00150B66" w:rsidRPr="00167CB8">
        <w:t>applicable for certain contraventions under the repealed BCIIP Act. For similar civil penalty provisions which appeared in both Acts</w:t>
      </w:r>
      <w:r w:rsidR="00630AAA" w:rsidRPr="00167CB8">
        <w:t xml:space="preserve"> </w:t>
      </w:r>
      <w:r w:rsidR="00630AAA" w:rsidRPr="00167CB8">
        <w:rPr>
          <w:rFonts w:ascii="Symbol" w:eastAsia="Symbol" w:hAnsi="Symbol" w:cs="Symbol"/>
        </w:rPr>
        <w:sym w:font="Symbol" w:char="F02D"/>
      </w:r>
      <w:r w:rsidR="00630AAA" w:rsidRPr="00167CB8">
        <w:t xml:space="preserve"> </w:t>
      </w:r>
      <w:r w:rsidR="00150B66" w:rsidRPr="00167CB8">
        <w:t>for example</w:t>
      </w:r>
      <w:r w:rsidR="00630AAA" w:rsidRPr="00167CB8">
        <w:t>,</w:t>
      </w:r>
      <w:r w:rsidRPr="00167CB8">
        <w:t xml:space="preserve"> coercion in relation to allocation of duties, etc</w:t>
      </w:r>
      <w:r w:rsidR="00957689" w:rsidRPr="00167CB8">
        <w:t>.;</w:t>
      </w:r>
      <w:r w:rsidRPr="00167CB8">
        <w:rPr>
          <w:vertAlign w:val="superscript"/>
        </w:rPr>
        <w:footnoteReference w:id="35"/>
      </w:r>
      <w:r w:rsidRPr="00167CB8">
        <w:t xml:space="preserve"> coercion in relation to making, varying, terminating, etc enterprise agreements</w:t>
      </w:r>
      <w:r w:rsidR="00957689" w:rsidRPr="00167CB8">
        <w:t>;</w:t>
      </w:r>
      <w:r w:rsidRPr="00167CB8">
        <w:rPr>
          <w:vertAlign w:val="superscript"/>
        </w:rPr>
        <w:footnoteReference w:id="36"/>
      </w:r>
      <w:r w:rsidRPr="00167CB8">
        <w:t xml:space="preserve"> taking action against a building employer due to coverage by particular instruments</w:t>
      </w:r>
      <w:r w:rsidR="00957689" w:rsidRPr="00167CB8">
        <w:t>;</w:t>
      </w:r>
      <w:r w:rsidRPr="00167CB8">
        <w:rPr>
          <w:vertAlign w:val="superscript"/>
        </w:rPr>
        <w:footnoteReference w:id="37"/>
      </w:r>
      <w:r w:rsidRPr="00167CB8">
        <w:t xml:space="preserve"> and hindering or obstructing authorised officers</w:t>
      </w:r>
      <w:r w:rsidRPr="00167CB8">
        <w:rPr>
          <w:vertAlign w:val="superscript"/>
        </w:rPr>
        <w:footnoteReference w:id="38"/>
      </w:r>
      <w:r w:rsidRPr="00167CB8">
        <w:t xml:space="preserve"> </w:t>
      </w:r>
      <w:r w:rsidR="00630AAA" w:rsidRPr="00167CB8">
        <w:rPr>
          <w:rFonts w:ascii="Symbol" w:eastAsia="Symbol" w:hAnsi="Symbol" w:cs="Symbol"/>
        </w:rPr>
        <w:sym w:font="Symbol" w:char="F02D"/>
      </w:r>
      <w:r w:rsidR="00630AAA" w:rsidRPr="00167CB8">
        <w:t xml:space="preserve"> </w:t>
      </w:r>
      <w:r w:rsidR="00CC1A14" w:rsidRPr="00167CB8">
        <w:t>the maximum penalties were higher for bodies corporate under the BCIIP Act.</w:t>
      </w:r>
      <w:r w:rsidRPr="00167CB8">
        <w:t xml:space="preserve">  </w:t>
      </w:r>
    </w:p>
    <w:p w14:paraId="33681C20" w14:textId="4DBFE7D9" w:rsidR="00A148FE" w:rsidRPr="00167CB8" w:rsidRDefault="00A148FE" w:rsidP="00A148FE">
      <w:r w:rsidRPr="00167CB8">
        <w:t>The F</w:t>
      </w:r>
      <w:r w:rsidR="00B94757" w:rsidRPr="00167CB8">
        <w:t xml:space="preserve">air </w:t>
      </w:r>
      <w:r w:rsidRPr="00167CB8">
        <w:t>W</w:t>
      </w:r>
      <w:r w:rsidR="00B94757" w:rsidRPr="00167CB8">
        <w:t>ork</w:t>
      </w:r>
      <w:r w:rsidRPr="00167CB8">
        <w:t xml:space="preserve"> Act also does not include a civil penalty in relation to engaging in or organising unlawful industrial action and engaging in unlawful picketing. These</w:t>
      </w:r>
      <w:r w:rsidRPr="00167CB8" w:rsidDel="006E552A">
        <w:t xml:space="preserve"> </w:t>
      </w:r>
      <w:r w:rsidR="006E552A" w:rsidRPr="00167CB8">
        <w:t>were</w:t>
      </w:r>
      <w:r w:rsidRPr="00167CB8">
        <w:t xml:space="preserve"> contravention</w:t>
      </w:r>
      <w:r w:rsidR="00F143BA" w:rsidRPr="00167CB8">
        <w:t>s</w:t>
      </w:r>
      <w:r w:rsidRPr="00167CB8">
        <w:t xml:space="preserve"> under the BCIIP Act that each attracted civil penalties of 1,000 penalty units for bodies corporate ($330,000).</w:t>
      </w:r>
      <w:r w:rsidRPr="00167CB8">
        <w:rPr>
          <w:rStyle w:val="FootnoteReference"/>
        </w:rPr>
        <w:footnoteReference w:id="39"/>
      </w:r>
      <w:r w:rsidRPr="00167CB8">
        <w:t xml:space="preserve"> </w:t>
      </w:r>
    </w:p>
    <w:p w14:paraId="3C0BD86F" w14:textId="1D26626B" w:rsidR="00A148FE" w:rsidRPr="00167CB8" w:rsidRDefault="00A148FE" w:rsidP="00A148FE">
      <w:r w:rsidRPr="00167CB8">
        <w:t xml:space="preserve">The penalty for failing to comply with a </w:t>
      </w:r>
      <w:r w:rsidR="00D20C3E" w:rsidRPr="00167CB8">
        <w:t xml:space="preserve">FWO </w:t>
      </w:r>
      <w:r w:rsidRPr="00167CB8">
        <w:t>notice is a civil penalty under the Fair Work Act</w:t>
      </w:r>
      <w:r w:rsidR="00B81404" w:rsidRPr="00167CB8">
        <w:t>,</w:t>
      </w:r>
      <w:r w:rsidR="004C1CFF" w:rsidRPr="00167CB8">
        <w:rPr>
          <w:rStyle w:val="FootnoteReference"/>
        </w:rPr>
        <w:footnoteReference w:id="40"/>
      </w:r>
      <w:r w:rsidRPr="00167CB8">
        <w:t xml:space="preserve"> while under the BCIIP Act </w:t>
      </w:r>
      <w:r w:rsidR="00E22EFD" w:rsidRPr="00167CB8">
        <w:t>failing to comply with an examination not</w:t>
      </w:r>
      <w:r w:rsidR="00B81404" w:rsidRPr="00167CB8">
        <w:t>i</w:t>
      </w:r>
      <w:r w:rsidR="00E22EFD" w:rsidRPr="00167CB8">
        <w:t>ce</w:t>
      </w:r>
      <w:r w:rsidRPr="00167CB8" w:rsidDel="00E22EFD">
        <w:t xml:space="preserve"> </w:t>
      </w:r>
      <w:r w:rsidRPr="00167CB8">
        <w:t>was a criminal offence with up to 6 months</w:t>
      </w:r>
      <w:r w:rsidR="00957689" w:rsidRPr="00167CB8">
        <w:t>’</w:t>
      </w:r>
      <w:r w:rsidRPr="00167CB8">
        <w:t xml:space="preserve"> imprisonment and/or up to a maximum of 30 penalty units.</w:t>
      </w:r>
      <w:r w:rsidRPr="00167CB8">
        <w:rPr>
          <w:rStyle w:val="FootnoteReference"/>
        </w:rPr>
        <w:footnoteReference w:id="41"/>
      </w:r>
      <w:r w:rsidRPr="00167CB8">
        <w:t xml:space="preserve"> </w:t>
      </w:r>
    </w:p>
    <w:p w14:paraId="5F1E5623" w14:textId="2E376494" w:rsidR="00A148FE" w:rsidRPr="00167CB8" w:rsidRDefault="003220B5" w:rsidP="00A148FE">
      <w:pPr>
        <w:pStyle w:val="Heading5"/>
        <w:rPr>
          <w:rFonts w:asciiTheme="minorHAnsi" w:hAnsiTheme="minorHAnsi"/>
        </w:rPr>
      </w:pPr>
      <w:bookmarkStart w:id="35" w:name="_Toc187421565"/>
      <w:bookmarkStart w:id="36" w:name="_Toc187946367"/>
      <w:r w:rsidRPr="00167CB8">
        <w:rPr>
          <w:rFonts w:asciiTheme="minorHAnsi" w:hAnsiTheme="minorHAnsi"/>
        </w:rPr>
        <w:t>4</w:t>
      </w:r>
      <w:r w:rsidR="003D4E16" w:rsidRPr="00167CB8">
        <w:rPr>
          <w:rFonts w:asciiTheme="minorHAnsi" w:hAnsiTheme="minorHAnsi"/>
        </w:rPr>
        <w:t>.1.</w:t>
      </w:r>
      <w:r w:rsidR="00564EEC" w:rsidRPr="00167CB8">
        <w:rPr>
          <w:rFonts w:asciiTheme="minorHAnsi" w:hAnsiTheme="minorHAnsi"/>
        </w:rPr>
        <w:t>2</w:t>
      </w:r>
      <w:r w:rsidR="00A148FE" w:rsidRPr="00167CB8">
        <w:rPr>
          <w:rFonts w:asciiTheme="minorHAnsi" w:hAnsiTheme="minorHAnsi"/>
        </w:rPr>
        <w:t xml:space="preserve"> Intent of </w:t>
      </w:r>
      <w:r w:rsidR="00E42AC2" w:rsidRPr="00167CB8">
        <w:rPr>
          <w:rFonts w:asciiTheme="minorHAnsi" w:hAnsiTheme="minorHAnsi"/>
        </w:rPr>
        <w:t xml:space="preserve">Secure Jobs, Better Pay </w:t>
      </w:r>
      <w:r w:rsidR="00630AAA" w:rsidRPr="00167CB8">
        <w:rPr>
          <w:rFonts w:asciiTheme="minorHAnsi" w:hAnsiTheme="minorHAnsi"/>
        </w:rPr>
        <w:t>a</w:t>
      </w:r>
      <w:r w:rsidR="00E42AC2" w:rsidRPr="00167CB8">
        <w:rPr>
          <w:rFonts w:asciiTheme="minorHAnsi" w:hAnsiTheme="minorHAnsi"/>
        </w:rPr>
        <w:t>mendments</w:t>
      </w:r>
      <w:r w:rsidR="00E42AC2" w:rsidRPr="00167CB8" w:rsidDel="00E42AC2">
        <w:rPr>
          <w:rFonts w:asciiTheme="minorHAnsi" w:hAnsiTheme="minorHAnsi"/>
        </w:rPr>
        <w:t xml:space="preserve"> </w:t>
      </w:r>
      <w:bookmarkEnd w:id="35"/>
      <w:bookmarkEnd w:id="36"/>
    </w:p>
    <w:p w14:paraId="620F6F2A" w14:textId="569B1699" w:rsidR="00A148FE" w:rsidRPr="00167CB8" w:rsidRDefault="00A148FE" w:rsidP="00A148FE">
      <w:r w:rsidRPr="00167CB8">
        <w:t xml:space="preserve">The </w:t>
      </w:r>
      <w:r w:rsidR="007F54FB" w:rsidRPr="00167CB8">
        <w:t>Secure Jobs, Beter Pay</w:t>
      </w:r>
      <w:r w:rsidRPr="00167CB8">
        <w:t xml:space="preserve"> amendments intended to reintegrate the ABCC and regulatory responsibility for the commercial building and construction sector into the FWO.</w:t>
      </w:r>
      <w:r w:rsidRPr="00167CB8">
        <w:rPr>
          <w:rFonts w:ascii="Aptos" w:hAnsi="Aptos"/>
          <w:color w:val="000000"/>
          <w:shd w:val="clear" w:color="auto" w:fill="FFFFFF"/>
        </w:rPr>
        <w:t xml:space="preserve"> </w:t>
      </w:r>
      <w:r w:rsidR="0064597C" w:rsidRPr="00167CB8">
        <w:rPr>
          <w:rFonts w:ascii="Aptos" w:hAnsi="Aptos"/>
          <w:color w:val="000000"/>
          <w:shd w:val="clear" w:color="auto" w:fill="FFFFFF"/>
        </w:rPr>
        <w:t>T</w:t>
      </w:r>
      <w:r w:rsidR="0064597C" w:rsidRPr="00167CB8">
        <w:t xml:space="preserve">he then Minister for Employment and Workplace Relations, the Hon Tony Burke MP, stated in the </w:t>
      </w:r>
      <w:r w:rsidR="008D2180" w:rsidRPr="00167CB8">
        <w:t>s</w:t>
      </w:r>
      <w:r w:rsidR="0064597C" w:rsidRPr="00167CB8">
        <w:t xml:space="preserve">econd </w:t>
      </w:r>
      <w:r w:rsidR="008D2180" w:rsidRPr="00167CB8">
        <w:t>r</w:t>
      </w:r>
      <w:r w:rsidR="0064597C" w:rsidRPr="00167CB8">
        <w:t xml:space="preserve">eading </w:t>
      </w:r>
      <w:r w:rsidR="008D2180" w:rsidRPr="00167CB8">
        <w:t>s</w:t>
      </w:r>
      <w:r w:rsidR="0064597C" w:rsidRPr="00167CB8">
        <w:t xml:space="preserve">peech for the </w:t>
      </w:r>
      <w:r w:rsidR="00542250" w:rsidRPr="00167CB8">
        <w:t>Secure Jobs, Better Pay</w:t>
      </w:r>
      <w:r w:rsidR="0064597C" w:rsidRPr="00167CB8">
        <w:t xml:space="preserve"> Bill that</w:t>
      </w:r>
      <w:r w:rsidRPr="00167CB8" w:rsidDel="0064597C">
        <w:t xml:space="preserve"> </w:t>
      </w:r>
      <w:r w:rsidR="00630AAA" w:rsidRPr="00167CB8">
        <w:t>‘</w:t>
      </w:r>
      <w:r w:rsidRPr="00167CB8">
        <w:t>[t]his bill will abolish the ABCC [and the ROC]. The Fair Work Ombudsman will be the workplace relations regulator for all industries</w:t>
      </w:r>
      <w:r w:rsidR="00630AAA" w:rsidRPr="00167CB8">
        <w:t>’</w:t>
      </w:r>
      <w:r w:rsidRPr="00167CB8">
        <w:t xml:space="preserve">. </w:t>
      </w:r>
    </w:p>
    <w:p w14:paraId="0528927A" w14:textId="265221EE" w:rsidR="00A148FE" w:rsidRPr="00167CB8" w:rsidRDefault="00A148FE" w:rsidP="00A148FE">
      <w:r w:rsidRPr="00167CB8">
        <w:t xml:space="preserve">The Minister had previously stated that </w:t>
      </w:r>
      <w:r w:rsidR="00630AAA" w:rsidRPr="00167CB8">
        <w:t>‘</w:t>
      </w:r>
      <w:r w:rsidRPr="00167CB8">
        <w:t>[b]uilding workers should be subject to the same laws and regulations as all other workers</w:t>
      </w:r>
      <w:r w:rsidR="00630AAA" w:rsidRPr="00167CB8">
        <w:t>’;</w:t>
      </w:r>
      <w:r w:rsidRPr="00167CB8">
        <w:t xml:space="preserve"> however</w:t>
      </w:r>
      <w:r w:rsidR="00630AAA" w:rsidRPr="00167CB8">
        <w:t>,</w:t>
      </w:r>
      <w:r w:rsidRPr="00167CB8">
        <w:t xml:space="preserve"> the Building Code meant that </w:t>
      </w:r>
      <w:r w:rsidR="00630AAA" w:rsidRPr="00167CB8">
        <w:t>‘</w:t>
      </w:r>
      <w:r w:rsidRPr="00167CB8">
        <w:t>construction employers and workers on Government-funded building sites have been subject to restrictions that don’t apply to people in other industries</w:t>
      </w:r>
      <w:r w:rsidR="00630AAA" w:rsidRPr="00167CB8">
        <w:t>’</w:t>
      </w:r>
      <w:r w:rsidRPr="00167CB8">
        <w:t>.</w:t>
      </w:r>
      <w:r w:rsidRPr="00167CB8">
        <w:rPr>
          <w:vertAlign w:val="superscript"/>
        </w:rPr>
        <w:footnoteReference w:id="42"/>
      </w:r>
    </w:p>
    <w:p w14:paraId="0087FB3C" w14:textId="37EC72EB" w:rsidR="00A148FE" w:rsidRPr="00167CB8" w:rsidRDefault="00A148FE" w:rsidP="00A148FE">
      <w:r w:rsidRPr="00167CB8">
        <w:t xml:space="preserve">This aspect of the </w:t>
      </w:r>
      <w:r w:rsidR="00073733" w:rsidRPr="00167CB8">
        <w:t xml:space="preserve">Secure Jobs, Better Pay </w:t>
      </w:r>
      <w:r w:rsidRPr="00167CB8">
        <w:t xml:space="preserve">amendments was strongly opposed. </w:t>
      </w:r>
      <w:r w:rsidR="00E44D75" w:rsidRPr="00167CB8">
        <w:t>I</w:t>
      </w:r>
      <w:r w:rsidR="003A7816" w:rsidRPr="00167CB8">
        <w:t xml:space="preserve">n the dissenting report of the </w:t>
      </w:r>
      <w:r w:rsidR="00E44D75" w:rsidRPr="00167CB8">
        <w:t>S</w:t>
      </w:r>
      <w:r w:rsidR="00EB3609" w:rsidRPr="00167CB8">
        <w:t>enate</w:t>
      </w:r>
      <w:r w:rsidR="00F104CF" w:rsidRPr="00167CB8">
        <w:t xml:space="preserve"> </w:t>
      </w:r>
      <w:r w:rsidR="008D2180" w:rsidRPr="00167CB8">
        <w:t xml:space="preserve">Education and Employment Legislation Committee </w:t>
      </w:r>
      <w:r w:rsidR="00E44D75" w:rsidRPr="00167CB8">
        <w:t>I</w:t>
      </w:r>
      <w:r w:rsidR="00EB3609" w:rsidRPr="00167CB8">
        <w:t>nquiry into the</w:t>
      </w:r>
      <w:r w:rsidR="008D2180" w:rsidRPr="00167CB8">
        <w:t xml:space="preserve"> Fair Work Legislation Amendment</w:t>
      </w:r>
      <w:r w:rsidR="00EB3609" w:rsidRPr="00167CB8">
        <w:t xml:space="preserve"> </w:t>
      </w:r>
      <w:r w:rsidR="008D2180" w:rsidRPr="00167CB8">
        <w:t>(</w:t>
      </w:r>
      <w:r w:rsidR="00EB3609" w:rsidRPr="00167CB8">
        <w:t>Secure Jobs, Bet</w:t>
      </w:r>
      <w:r w:rsidR="006E1871" w:rsidRPr="00167CB8">
        <w:t>t</w:t>
      </w:r>
      <w:r w:rsidR="00EB3609" w:rsidRPr="00167CB8">
        <w:t>er Pay</w:t>
      </w:r>
      <w:r w:rsidR="008D2180" w:rsidRPr="00167CB8">
        <w:t>)</w:t>
      </w:r>
      <w:r w:rsidR="00EB3609" w:rsidRPr="00167CB8">
        <w:t xml:space="preserve"> Bill</w:t>
      </w:r>
      <w:r w:rsidR="008D2180" w:rsidRPr="00167CB8">
        <w:t xml:space="preserve"> 2022</w:t>
      </w:r>
      <w:r w:rsidR="00E44D75" w:rsidRPr="00167CB8">
        <w:t xml:space="preserve">, employer groups asserted </w:t>
      </w:r>
      <w:r w:rsidR="00E44D75" w:rsidRPr="00167CB8">
        <w:lastRenderedPageBreak/>
        <w:t>that</w:t>
      </w:r>
      <w:r w:rsidR="00EB3609" w:rsidRPr="00167CB8">
        <w:t xml:space="preserve"> </w:t>
      </w:r>
      <w:r w:rsidRPr="00167CB8">
        <w:t>the ABCC ha</w:t>
      </w:r>
      <w:r w:rsidR="00C94C64" w:rsidRPr="00167CB8">
        <w:t xml:space="preserve">d ensured </w:t>
      </w:r>
      <w:r w:rsidRPr="00167CB8">
        <w:t>the rule of law and driven cultural change in the industry</w:t>
      </w:r>
      <w:r w:rsidR="00A7310F" w:rsidRPr="00167CB8">
        <w:t>.</w:t>
      </w:r>
      <w:r w:rsidR="00A7310F" w:rsidRPr="00167CB8">
        <w:rPr>
          <w:vertAlign w:val="superscript"/>
        </w:rPr>
        <w:footnoteReference w:id="43"/>
      </w:r>
      <w:r w:rsidR="00821714" w:rsidRPr="00167CB8">
        <w:t xml:space="preserve"> </w:t>
      </w:r>
      <w:r w:rsidR="00A7310F" w:rsidRPr="00167CB8">
        <w:t xml:space="preserve">They also </w:t>
      </w:r>
      <w:r w:rsidR="00A94583" w:rsidRPr="00167CB8">
        <w:t>noted</w:t>
      </w:r>
      <w:r w:rsidRPr="00167CB8">
        <w:t xml:space="preserve"> that higher penalties should remain</w:t>
      </w:r>
      <w:r w:rsidR="00D64F31" w:rsidRPr="00167CB8">
        <w:t>.</w:t>
      </w:r>
      <w:r w:rsidRPr="00167CB8">
        <w:rPr>
          <w:vertAlign w:val="superscript"/>
        </w:rPr>
        <w:footnoteReference w:id="44"/>
      </w:r>
      <w:r w:rsidRPr="00167CB8">
        <w:t xml:space="preserve"> </w:t>
      </w:r>
    </w:p>
    <w:p w14:paraId="7BBDE703" w14:textId="77777777" w:rsidR="00A148FE" w:rsidRPr="00167CB8" w:rsidRDefault="00A148FE" w:rsidP="00A148FE">
      <w:r w:rsidRPr="00167CB8">
        <w:t>The dissenting report also stated that the FWO is not a like-for-like replacement for the ABCC and is not the best equipped or resourced agency to apply the law on building and construction sites. Concern with lower maximum penalties for building and construction participants was also noted.</w:t>
      </w:r>
      <w:r w:rsidRPr="00167CB8">
        <w:rPr>
          <w:vertAlign w:val="superscript"/>
        </w:rPr>
        <w:footnoteReference w:id="45"/>
      </w:r>
      <w:r w:rsidRPr="00167CB8">
        <w:t xml:space="preserve"> The Review Panel notes that submissions by employer groups to the Review made similar points about the FWO’s appropriateness for regulating the sector.</w:t>
      </w:r>
      <w:r w:rsidRPr="00167CB8">
        <w:rPr>
          <w:rStyle w:val="FootnoteReference"/>
        </w:rPr>
        <w:footnoteReference w:id="46"/>
      </w:r>
      <w:r w:rsidRPr="00167CB8">
        <w:t xml:space="preserve"> </w:t>
      </w:r>
    </w:p>
    <w:p w14:paraId="23789789" w14:textId="2211F89F" w:rsidR="00A148FE" w:rsidRPr="00167CB8" w:rsidRDefault="00A148FE" w:rsidP="00A148FE">
      <w:r w:rsidRPr="00167CB8">
        <w:t>In addition to reintegrating commercial building and construction int</w:t>
      </w:r>
      <w:r w:rsidR="0006279A" w:rsidRPr="00167CB8">
        <w:t>o</w:t>
      </w:r>
      <w:r w:rsidRPr="00167CB8">
        <w:t xml:space="preserve"> the broader regulatory framework of the FWO, the </w:t>
      </w:r>
      <w:r w:rsidR="00CE606C" w:rsidRPr="00167CB8">
        <w:t xml:space="preserve">Australian </w:t>
      </w:r>
      <w:r w:rsidRPr="00167CB8">
        <w:t>Government intended for a more collaborative and conciliatory approach to be taken in regulating the sector.</w:t>
      </w:r>
    </w:p>
    <w:p w14:paraId="723BFC37" w14:textId="0B74C323" w:rsidR="00A148FE" w:rsidRPr="00167CB8" w:rsidRDefault="00A148FE" w:rsidP="00630AAA">
      <w:r w:rsidRPr="00167CB8">
        <w:t xml:space="preserve">In the </w:t>
      </w:r>
      <w:r w:rsidR="008D2180" w:rsidRPr="00167CB8">
        <w:t>s</w:t>
      </w:r>
      <w:r w:rsidR="00FA5E01" w:rsidRPr="00167CB8">
        <w:t xml:space="preserve">econd </w:t>
      </w:r>
      <w:r w:rsidR="008D2180" w:rsidRPr="00167CB8">
        <w:t>r</w:t>
      </w:r>
      <w:r w:rsidR="00FA5E01" w:rsidRPr="00167CB8">
        <w:t xml:space="preserve">eading </w:t>
      </w:r>
      <w:r w:rsidR="008D2180" w:rsidRPr="00167CB8">
        <w:t>s</w:t>
      </w:r>
      <w:r w:rsidR="00FA5E01" w:rsidRPr="00167CB8">
        <w:t>peech</w:t>
      </w:r>
      <w:r w:rsidRPr="00167CB8">
        <w:t xml:space="preserve">, </w:t>
      </w:r>
      <w:r w:rsidR="00487734" w:rsidRPr="00167CB8">
        <w:t xml:space="preserve">the then </w:t>
      </w:r>
      <w:r w:rsidR="00630AAA" w:rsidRPr="00167CB8">
        <w:t xml:space="preserve">Minister for Employment and Workplace Relations, the Hon Tony Burke MP, </w:t>
      </w:r>
      <w:r w:rsidRPr="00167CB8">
        <w:t xml:space="preserve">described the ABCC </w:t>
      </w:r>
      <w:r w:rsidR="00957689" w:rsidRPr="00167CB8">
        <w:t>(</w:t>
      </w:r>
      <w:r w:rsidRPr="00167CB8">
        <w:t>and ROC</w:t>
      </w:r>
      <w:r w:rsidR="00957689" w:rsidRPr="00167CB8">
        <w:t>)</w:t>
      </w:r>
      <w:r w:rsidRPr="00167CB8">
        <w:t xml:space="preserve"> as</w:t>
      </w:r>
      <w:r w:rsidR="00630AAA" w:rsidRPr="00167CB8">
        <w:t xml:space="preserve"> ‘</w:t>
      </w:r>
      <w:r w:rsidRPr="00167CB8">
        <w:t>ineffective and discredited institutions, more concerned about prosecuting workers and their representatives than tackling rampant wage theft or addressing workplace safety, or educating and promoting good workplace relations</w:t>
      </w:r>
      <w:r w:rsidR="00630AAA" w:rsidRPr="00167CB8">
        <w:t>’</w:t>
      </w:r>
      <w:r w:rsidRPr="00167CB8">
        <w:t>.</w:t>
      </w:r>
      <w:r w:rsidRPr="00167CB8">
        <w:rPr>
          <w:vertAlign w:val="superscript"/>
        </w:rPr>
        <w:footnoteReference w:id="47"/>
      </w:r>
      <w:r w:rsidRPr="00167CB8">
        <w:t xml:space="preserve">  </w:t>
      </w:r>
    </w:p>
    <w:p w14:paraId="1601EBF6" w14:textId="560A220F" w:rsidR="00A148FE" w:rsidRPr="00167CB8" w:rsidRDefault="00AA50EF" w:rsidP="00630AAA">
      <w:r w:rsidRPr="00167CB8">
        <w:t>When the Building Code was amended in July 2022, the t</w:t>
      </w:r>
      <w:r w:rsidR="00A148FE" w:rsidRPr="00167CB8">
        <w:t xml:space="preserve">hen Minister </w:t>
      </w:r>
      <w:r w:rsidR="00B81376" w:rsidRPr="00167CB8">
        <w:t xml:space="preserve">for Employment and Workplace Relations </w:t>
      </w:r>
      <w:r w:rsidR="00A148FE" w:rsidRPr="00167CB8">
        <w:t xml:space="preserve">also described the ABCC as having been </w:t>
      </w:r>
      <w:r w:rsidR="00630AAA" w:rsidRPr="00167CB8">
        <w:t>‘</w:t>
      </w:r>
      <w:r w:rsidR="00A148FE" w:rsidRPr="00167CB8">
        <w:t>set up by the Liberals and Nationals to discredit and dismantle unions and undermine the pay, conditions and job security of ordinary Australian workers</w:t>
      </w:r>
      <w:r w:rsidR="00630AAA" w:rsidRPr="00167CB8">
        <w:t>’</w:t>
      </w:r>
      <w:r w:rsidR="00A148FE" w:rsidRPr="00167CB8">
        <w:t>.</w:t>
      </w:r>
      <w:r w:rsidR="00A148FE" w:rsidRPr="00167CB8">
        <w:rPr>
          <w:rStyle w:val="FootnoteReference"/>
        </w:rPr>
        <w:footnoteReference w:id="48"/>
      </w:r>
    </w:p>
    <w:p w14:paraId="5FB72CD2" w14:textId="161BFB41" w:rsidR="00A148FE" w:rsidRPr="00167CB8" w:rsidRDefault="003220B5" w:rsidP="00A148FE">
      <w:pPr>
        <w:pStyle w:val="Heading4"/>
        <w:rPr>
          <w:rFonts w:asciiTheme="minorHAnsi" w:hAnsiTheme="minorHAnsi"/>
        </w:rPr>
      </w:pPr>
      <w:bookmarkStart w:id="37" w:name="_Toc187421566"/>
      <w:bookmarkStart w:id="38" w:name="_Toc187946368"/>
      <w:bookmarkStart w:id="39" w:name="_Toc188277908"/>
      <w:bookmarkStart w:id="40" w:name="_Toc189260201"/>
      <w:bookmarkStart w:id="41" w:name="_Toc189393517"/>
      <w:r w:rsidRPr="00167CB8">
        <w:rPr>
          <w:rFonts w:asciiTheme="minorHAnsi" w:hAnsiTheme="minorHAnsi"/>
        </w:rPr>
        <w:t>4</w:t>
      </w:r>
      <w:r w:rsidR="00390A11" w:rsidRPr="00167CB8">
        <w:rPr>
          <w:rFonts w:asciiTheme="minorHAnsi" w:hAnsiTheme="minorHAnsi"/>
        </w:rPr>
        <w:t>.2</w:t>
      </w:r>
      <w:r w:rsidR="00A148FE" w:rsidRPr="00167CB8">
        <w:rPr>
          <w:rFonts w:asciiTheme="minorHAnsi" w:hAnsiTheme="minorHAnsi"/>
        </w:rPr>
        <w:t xml:space="preserve"> Impact </w:t>
      </w:r>
      <w:r w:rsidR="00630AAA" w:rsidRPr="00167CB8">
        <w:rPr>
          <w:rFonts w:asciiTheme="minorHAnsi" w:hAnsiTheme="minorHAnsi"/>
        </w:rPr>
        <w:t>and i</w:t>
      </w:r>
      <w:r w:rsidR="00A148FE" w:rsidRPr="00167CB8">
        <w:rPr>
          <w:rFonts w:asciiTheme="minorHAnsi" w:hAnsiTheme="minorHAnsi"/>
        </w:rPr>
        <w:t>ssues</w:t>
      </w:r>
      <w:bookmarkEnd w:id="37"/>
      <w:bookmarkEnd w:id="38"/>
      <w:bookmarkEnd w:id="39"/>
      <w:bookmarkEnd w:id="40"/>
      <w:bookmarkEnd w:id="41"/>
    </w:p>
    <w:p w14:paraId="113F6882" w14:textId="4C47A78D" w:rsidR="00A148FE" w:rsidRPr="00167CB8" w:rsidRDefault="00A148FE" w:rsidP="00A148FE">
      <w:r w:rsidRPr="00167CB8">
        <w:t>The FWO has had responsibility for enforcing the Fair Work Act in the building and construction sector and investigations of alleged contraventions since 10 November 2022.</w:t>
      </w:r>
      <w:r w:rsidRPr="00167CB8">
        <w:rPr>
          <w:vertAlign w:val="superscript"/>
        </w:rPr>
        <w:footnoteReference w:id="49"/>
      </w:r>
      <w:r w:rsidRPr="00167CB8">
        <w:t xml:space="preserve"> Responsibility for existing litigation matters transferred to the FWO from 6 February 2023. The </w:t>
      </w:r>
      <w:r w:rsidR="00B20ADD" w:rsidRPr="00167CB8">
        <w:t>Review Panel notes that the</w:t>
      </w:r>
      <w:r w:rsidRPr="00167CB8">
        <w:t xml:space="preserve"> FWO’s functions </w:t>
      </w:r>
      <w:r w:rsidR="00B20ADD" w:rsidRPr="00167CB8">
        <w:t xml:space="preserve">more broadly are to </w:t>
      </w:r>
      <w:r w:rsidR="00423397" w:rsidRPr="00167CB8">
        <w:t>provid</w:t>
      </w:r>
      <w:r w:rsidR="00B20ADD" w:rsidRPr="00167CB8">
        <w:t>e</w:t>
      </w:r>
      <w:r w:rsidR="001E0A89" w:rsidRPr="00167CB8">
        <w:t xml:space="preserve"> </w:t>
      </w:r>
      <w:r w:rsidRPr="00167CB8">
        <w:t>education, assistance, advice and guidance to employers and employees; promot</w:t>
      </w:r>
      <w:r w:rsidR="00F81A7C" w:rsidRPr="00167CB8">
        <w:t>e</w:t>
      </w:r>
      <w:r w:rsidRPr="00167CB8">
        <w:t xml:space="preserve"> and </w:t>
      </w:r>
      <w:r w:rsidRPr="00167CB8" w:rsidDel="001E0A89">
        <w:t>monitor</w:t>
      </w:r>
      <w:r w:rsidRPr="00167CB8">
        <w:t xml:space="preserve"> compliance with workplace laws; and tak</w:t>
      </w:r>
      <w:r w:rsidR="00CD4E94" w:rsidRPr="00167CB8">
        <w:t>e</w:t>
      </w:r>
      <w:r w:rsidRPr="00167CB8">
        <w:t xml:space="preserve"> appropriate enforcement action.</w:t>
      </w:r>
      <w:r w:rsidRPr="00167CB8">
        <w:rPr>
          <w:vertAlign w:val="superscript"/>
        </w:rPr>
        <w:footnoteReference w:id="50"/>
      </w:r>
      <w:r w:rsidRPr="00167CB8">
        <w:t xml:space="preserve"> </w:t>
      </w:r>
    </w:p>
    <w:p w14:paraId="4898EC23" w14:textId="197641F5" w:rsidR="00A148FE" w:rsidRPr="00167CB8" w:rsidRDefault="00A148FE" w:rsidP="00A148FE">
      <w:r w:rsidRPr="00167CB8">
        <w:lastRenderedPageBreak/>
        <w:t xml:space="preserve">The FWO received additional funding of $69.9 million over </w:t>
      </w:r>
      <w:r w:rsidR="00630AAA" w:rsidRPr="00167CB8">
        <w:t xml:space="preserve">4 </w:t>
      </w:r>
      <w:r w:rsidRPr="00167CB8">
        <w:t>years in the October 2022</w:t>
      </w:r>
      <w:r w:rsidR="00630AAA" w:rsidRPr="00167CB8">
        <w:rPr>
          <w:rFonts w:ascii="Symbol" w:eastAsia="Symbol" w:hAnsi="Symbol" w:cs="Symbol"/>
        </w:rPr>
        <w:sym w:font="Symbol" w:char="F02D"/>
      </w:r>
      <w:r w:rsidRPr="00167CB8">
        <w:t xml:space="preserve">23 </w:t>
      </w:r>
      <w:r w:rsidR="00630AAA" w:rsidRPr="00167CB8">
        <w:t>f</w:t>
      </w:r>
      <w:r w:rsidRPr="00167CB8">
        <w:t>ederal budget to more comprehensively regulate the Fair Work Act in the commercial building and construction industry.</w:t>
      </w:r>
      <w:r w:rsidRPr="00167CB8">
        <w:rPr>
          <w:rStyle w:val="FootnoteReference"/>
        </w:rPr>
        <w:footnoteReference w:id="51"/>
      </w:r>
      <w:r w:rsidRPr="00167CB8">
        <w:t xml:space="preserve"> </w:t>
      </w:r>
    </w:p>
    <w:p w14:paraId="2DA7DB4D" w14:textId="1F0ECF8D" w:rsidR="00A148FE" w:rsidRPr="00167CB8" w:rsidRDefault="00A148FE" w:rsidP="00A148FE">
      <w:r w:rsidRPr="00167CB8">
        <w:t xml:space="preserve">In response to changing government priorities and the referral of ABCC powers, </w:t>
      </w:r>
      <w:r w:rsidR="00957689" w:rsidRPr="00167CB8">
        <w:t xml:space="preserve">in 2022 </w:t>
      </w:r>
      <w:r w:rsidRPr="00167CB8">
        <w:t>the FWO also set up an Industrial Compliance Branch to deliver industrial compliance work, including (but not limited to) the building and construction sector.</w:t>
      </w:r>
      <w:r w:rsidRPr="00167CB8">
        <w:rPr>
          <w:vertAlign w:val="superscript"/>
        </w:rPr>
        <w:footnoteReference w:id="52"/>
      </w:r>
    </w:p>
    <w:p w14:paraId="1B94D19F" w14:textId="132666C3" w:rsidR="00A148FE" w:rsidRPr="00167CB8" w:rsidRDefault="00A148FE" w:rsidP="00A148FE">
      <w:pPr>
        <w:rPr>
          <w:color w:val="777778" w:themeColor="accent5"/>
        </w:rPr>
      </w:pPr>
      <w:r w:rsidRPr="00167CB8">
        <w:t xml:space="preserve">Since 13 July 2024 there have also been a series of media allegations relating to alleged criminality and corruption in the Construction and General Division of the </w:t>
      </w:r>
      <w:r w:rsidR="00957689" w:rsidRPr="00167CB8">
        <w:t>Construction, Forestry and Maritime Employees Union (</w:t>
      </w:r>
      <w:r w:rsidRPr="00167CB8">
        <w:t>CFMEU</w:t>
      </w:r>
      <w:r w:rsidR="00957689" w:rsidRPr="00167CB8">
        <w:t>)</w:t>
      </w:r>
      <w:r w:rsidRPr="00167CB8">
        <w:t>. This has resulted in the Construction and General Division of the CFMEU being placed into administration on 23 August 2024 for up to 5</w:t>
      </w:r>
      <w:r w:rsidR="00957689" w:rsidRPr="00167CB8">
        <w:t> </w:t>
      </w:r>
      <w:r w:rsidRPr="00167CB8">
        <w:t>years.</w:t>
      </w:r>
      <w:r w:rsidRPr="00167CB8">
        <w:rPr>
          <w:vertAlign w:val="superscript"/>
        </w:rPr>
        <w:footnoteReference w:id="53"/>
      </w:r>
      <w:r w:rsidRPr="00167CB8">
        <w:t xml:space="preserve"> At the request of the then Minister</w:t>
      </w:r>
      <w:r w:rsidR="00AA3C67" w:rsidRPr="00167CB8">
        <w:t xml:space="preserve"> for Employment and Workplace Relations</w:t>
      </w:r>
      <w:r w:rsidRPr="00167CB8">
        <w:t>,</w:t>
      </w:r>
      <w:r w:rsidR="00AA3C67" w:rsidRPr="00167CB8">
        <w:t xml:space="preserve"> the Hon Tony Burke MP</w:t>
      </w:r>
      <w:r w:rsidRPr="00167CB8">
        <w:t>, the FWO is also undertaking an investigation into the CFMEU</w:t>
      </w:r>
      <w:r w:rsidR="00957689" w:rsidRPr="00167CB8">
        <w:t>,</w:t>
      </w:r>
      <w:r w:rsidRPr="00167CB8">
        <w:t xml:space="preserve"> and the </w:t>
      </w:r>
      <w:r w:rsidR="00630AAA" w:rsidRPr="00167CB8">
        <w:t>Australian Federal Police</w:t>
      </w:r>
      <w:r w:rsidRPr="00167CB8">
        <w:t xml:space="preserve"> is separately assisting to address the allegations.</w:t>
      </w:r>
    </w:p>
    <w:p w14:paraId="373A8087" w14:textId="4341148A" w:rsidR="00A148FE" w:rsidRPr="00167CB8" w:rsidRDefault="003220B5" w:rsidP="00A148FE">
      <w:pPr>
        <w:pStyle w:val="Heading5"/>
        <w:rPr>
          <w:rFonts w:asciiTheme="minorHAnsi" w:hAnsiTheme="minorHAnsi"/>
        </w:rPr>
      </w:pPr>
      <w:bookmarkStart w:id="42" w:name="_Toc187421567"/>
      <w:bookmarkStart w:id="43" w:name="_Toc187946369"/>
      <w:r w:rsidRPr="00167CB8">
        <w:rPr>
          <w:rFonts w:asciiTheme="minorHAnsi" w:hAnsiTheme="minorHAnsi"/>
        </w:rPr>
        <w:t>4</w:t>
      </w:r>
      <w:r w:rsidR="00FC0830" w:rsidRPr="00167CB8">
        <w:rPr>
          <w:rFonts w:asciiTheme="minorHAnsi" w:hAnsiTheme="minorHAnsi"/>
        </w:rPr>
        <w:t>.2.1</w:t>
      </w:r>
      <w:r w:rsidR="00A148FE" w:rsidRPr="00167CB8">
        <w:rPr>
          <w:rFonts w:asciiTheme="minorHAnsi" w:hAnsiTheme="minorHAnsi"/>
        </w:rPr>
        <w:t xml:space="preserve"> Quantitative </w:t>
      </w:r>
      <w:r w:rsidR="00630AAA" w:rsidRPr="00167CB8">
        <w:rPr>
          <w:rFonts w:asciiTheme="minorHAnsi" w:hAnsiTheme="minorHAnsi"/>
        </w:rPr>
        <w:t>e</w:t>
      </w:r>
      <w:r w:rsidR="00A148FE" w:rsidRPr="00167CB8">
        <w:rPr>
          <w:rFonts w:asciiTheme="minorHAnsi" w:hAnsiTheme="minorHAnsi"/>
        </w:rPr>
        <w:t>vidence</w:t>
      </w:r>
      <w:bookmarkEnd w:id="42"/>
      <w:bookmarkEnd w:id="43"/>
    </w:p>
    <w:p w14:paraId="5A61849F" w14:textId="13B943BF" w:rsidR="00A148FE" w:rsidRPr="00167CB8" w:rsidRDefault="00A148FE" w:rsidP="00C157DC">
      <w:pPr>
        <w:rPr>
          <w:rFonts w:eastAsia="MS Mincho" w:cs="Arial"/>
        </w:rPr>
      </w:pPr>
      <w:r w:rsidRPr="00167CB8">
        <w:rPr>
          <w:rFonts w:eastAsia="MS Mincho" w:cs="Arial"/>
        </w:rPr>
        <w:t xml:space="preserve">To understand impacts of the amendments, the Review Panel has been assisted by data from the FWO and other publicly available information. </w:t>
      </w:r>
      <w:r w:rsidR="00E0693A" w:rsidRPr="00167CB8">
        <w:rPr>
          <w:rFonts w:eastAsia="MS Mincho" w:cs="Arial"/>
        </w:rPr>
        <w:t xml:space="preserve">The Review Panel has considered data relating to </w:t>
      </w:r>
      <w:r w:rsidR="003E7BF7" w:rsidRPr="00167CB8">
        <w:rPr>
          <w:rFonts w:eastAsia="MS Mincho" w:cs="Arial"/>
        </w:rPr>
        <w:t>wage recoveries</w:t>
      </w:r>
      <w:r w:rsidR="00BE2A26" w:rsidRPr="00167CB8">
        <w:rPr>
          <w:rFonts w:eastAsia="MS Mincho" w:cs="Arial"/>
        </w:rPr>
        <w:t xml:space="preserve"> and compliance and enforcement</w:t>
      </w:r>
      <w:r w:rsidR="00D15834" w:rsidRPr="00167CB8">
        <w:rPr>
          <w:rFonts w:eastAsia="MS Mincho" w:cs="Arial"/>
        </w:rPr>
        <w:t xml:space="preserve"> to</w:t>
      </w:r>
      <w:r w:rsidR="003E7BF7" w:rsidRPr="00167CB8">
        <w:rPr>
          <w:rFonts w:eastAsia="MS Mincho" w:cs="Arial"/>
        </w:rPr>
        <w:t xml:space="preserve"> </w:t>
      </w:r>
      <w:r w:rsidR="00D163AB" w:rsidRPr="00167CB8">
        <w:rPr>
          <w:rFonts w:eastAsia="MS Mincho" w:cs="Arial"/>
        </w:rPr>
        <w:t>indicate work in the sector</w:t>
      </w:r>
      <w:r w:rsidR="00BE2A26" w:rsidRPr="00167CB8">
        <w:rPr>
          <w:rFonts w:eastAsia="MS Mincho" w:cs="Arial"/>
        </w:rPr>
        <w:t>.</w:t>
      </w:r>
      <w:r w:rsidR="00E0693A" w:rsidRPr="00167CB8">
        <w:rPr>
          <w:rFonts w:eastAsia="MS Mincho" w:cs="Arial"/>
        </w:rPr>
        <w:t xml:space="preserve"> </w:t>
      </w:r>
    </w:p>
    <w:p w14:paraId="6A29AFD6" w14:textId="7F9F3B67" w:rsidR="00A148FE" w:rsidRPr="00167CB8" w:rsidRDefault="00A148FE" w:rsidP="00C157DC">
      <w:pPr>
        <w:rPr>
          <w:rFonts w:eastAsia="MS Mincho" w:cs="Arial"/>
        </w:rPr>
      </w:pPr>
      <w:r w:rsidRPr="00167CB8">
        <w:rPr>
          <w:rFonts w:eastAsia="MS Mincho" w:cs="Arial"/>
        </w:rPr>
        <w:t xml:space="preserve">The Review Panel notes that the FWO data in relation to the building and construction sector that is discussed in this report covers the entire building and construction sector, not only the commercial building and construction sector. </w:t>
      </w:r>
      <w:r w:rsidR="00753D82" w:rsidRPr="00167CB8">
        <w:rPr>
          <w:rFonts w:eastAsia="MS Mincho" w:cs="Arial"/>
        </w:rPr>
        <w:t xml:space="preserve">In addition, the </w:t>
      </w:r>
      <w:r w:rsidR="00946F3B" w:rsidRPr="00167CB8">
        <w:rPr>
          <w:rFonts w:eastAsia="MS Mincho" w:cs="Arial"/>
        </w:rPr>
        <w:t xml:space="preserve">available data for ABCC </w:t>
      </w:r>
      <w:r w:rsidR="00753D82" w:rsidRPr="00167CB8">
        <w:rPr>
          <w:rFonts w:eastAsia="MS Mincho" w:cs="Arial"/>
        </w:rPr>
        <w:t xml:space="preserve">activities </w:t>
      </w:r>
      <w:r w:rsidR="00946F3B" w:rsidRPr="00167CB8">
        <w:rPr>
          <w:rFonts w:eastAsia="MS Mincho" w:cs="Arial"/>
        </w:rPr>
        <w:t xml:space="preserve">is </w:t>
      </w:r>
      <w:r w:rsidR="00753D82" w:rsidRPr="00167CB8">
        <w:rPr>
          <w:rFonts w:eastAsia="MS Mincho" w:cs="Arial"/>
        </w:rPr>
        <w:t xml:space="preserve">more limited than </w:t>
      </w:r>
      <w:r w:rsidR="0045368D" w:rsidRPr="00167CB8">
        <w:rPr>
          <w:rFonts w:eastAsia="MS Mincho" w:cs="Arial"/>
        </w:rPr>
        <w:t>that</w:t>
      </w:r>
      <w:r w:rsidR="00753D82" w:rsidRPr="00167CB8">
        <w:rPr>
          <w:rFonts w:eastAsia="MS Mincho" w:cs="Arial"/>
        </w:rPr>
        <w:t xml:space="preserve"> available for the FWO. </w:t>
      </w:r>
      <w:r w:rsidRPr="00167CB8">
        <w:rPr>
          <w:rFonts w:eastAsia="MS Mincho" w:cs="Arial"/>
        </w:rPr>
        <w:t>Th</w:t>
      </w:r>
      <w:r w:rsidR="00753D82" w:rsidRPr="00167CB8">
        <w:rPr>
          <w:rFonts w:eastAsia="MS Mincho" w:cs="Arial"/>
        </w:rPr>
        <w:t>ese matters</w:t>
      </w:r>
      <w:r w:rsidRPr="00167CB8">
        <w:rPr>
          <w:rFonts w:eastAsia="MS Mincho" w:cs="Arial"/>
        </w:rPr>
        <w:t xml:space="preserve"> make a direct comparison between FWO and ABCC data difficult. </w:t>
      </w:r>
    </w:p>
    <w:p w14:paraId="5C4B8A0B" w14:textId="7B1B2D9E" w:rsidR="00A148FE" w:rsidRPr="00167CB8" w:rsidRDefault="00A148FE" w:rsidP="00C157DC">
      <w:pPr>
        <w:rPr>
          <w:rFonts w:eastAsia="MS Mincho" w:cs="Arial"/>
        </w:rPr>
      </w:pPr>
      <w:r w:rsidRPr="00167CB8">
        <w:rPr>
          <w:rFonts w:eastAsia="MS Mincho" w:cs="Arial"/>
        </w:rPr>
        <w:t>The construction sector is over</w:t>
      </w:r>
      <w:r w:rsidR="008D2180" w:rsidRPr="00167CB8">
        <w:rPr>
          <w:rFonts w:eastAsia="MS Mincho" w:cs="Arial"/>
        </w:rPr>
        <w:t>-</w:t>
      </w:r>
      <w:r w:rsidRPr="00167CB8">
        <w:rPr>
          <w:rFonts w:eastAsia="MS Mincho" w:cs="Arial"/>
        </w:rPr>
        <w:t xml:space="preserve">represented in </w:t>
      </w:r>
      <w:r w:rsidR="00173115" w:rsidRPr="00167CB8">
        <w:rPr>
          <w:rFonts w:eastAsia="MS Mincho" w:cs="Arial"/>
        </w:rPr>
        <w:t xml:space="preserve">requests for assistance (RfAs) </w:t>
      </w:r>
      <w:r w:rsidRPr="00167CB8">
        <w:rPr>
          <w:rFonts w:eastAsia="MS Mincho" w:cs="Arial"/>
        </w:rPr>
        <w:t>to the FWO</w:t>
      </w:r>
      <w:r w:rsidR="00850D7B" w:rsidRPr="00167CB8">
        <w:rPr>
          <w:rFonts w:eastAsia="MS Mincho" w:cs="Arial"/>
        </w:rPr>
        <w:t>. The construction sector employs</w:t>
      </w:r>
      <w:r w:rsidRPr="00167CB8">
        <w:rPr>
          <w:rFonts w:eastAsia="MS Mincho" w:cs="Arial"/>
        </w:rPr>
        <w:t xml:space="preserve"> around 9%</w:t>
      </w:r>
      <w:r w:rsidRPr="00167CB8">
        <w:rPr>
          <w:rFonts w:eastAsia="MS Mincho" w:cs="Arial"/>
          <w:vertAlign w:val="superscript"/>
        </w:rPr>
        <w:t xml:space="preserve"> </w:t>
      </w:r>
      <w:r w:rsidRPr="00167CB8">
        <w:rPr>
          <w:rFonts w:eastAsia="MS Mincho" w:cs="Arial"/>
        </w:rPr>
        <w:t>of the Australian workforce</w:t>
      </w:r>
      <w:r w:rsidR="00F60001" w:rsidRPr="00167CB8">
        <w:rPr>
          <w:rFonts w:eastAsia="MS Mincho" w:cs="Arial"/>
          <w:vertAlign w:val="superscript"/>
        </w:rPr>
        <w:footnoteReference w:id="54"/>
      </w:r>
      <w:r w:rsidRPr="00167CB8">
        <w:rPr>
          <w:rFonts w:eastAsia="MS Mincho" w:cs="Arial"/>
        </w:rPr>
        <w:t xml:space="preserve"> and </w:t>
      </w:r>
      <w:r w:rsidR="00850D7B" w:rsidRPr="00167CB8">
        <w:rPr>
          <w:rFonts w:eastAsia="MS Mincho" w:cs="Arial"/>
        </w:rPr>
        <w:t>account</w:t>
      </w:r>
      <w:r w:rsidR="00492388" w:rsidRPr="00167CB8">
        <w:rPr>
          <w:rFonts w:eastAsia="MS Mincho" w:cs="Arial"/>
        </w:rPr>
        <w:t>ed</w:t>
      </w:r>
      <w:r w:rsidR="00850D7B" w:rsidRPr="00167CB8">
        <w:rPr>
          <w:rFonts w:eastAsia="MS Mincho" w:cs="Arial"/>
        </w:rPr>
        <w:t xml:space="preserve"> </w:t>
      </w:r>
      <w:r w:rsidRPr="00167CB8">
        <w:rPr>
          <w:rFonts w:eastAsia="MS Mincho" w:cs="Arial"/>
        </w:rPr>
        <w:t xml:space="preserve">for 14% of disputes received </w:t>
      </w:r>
      <w:r w:rsidR="00850D7B" w:rsidRPr="00167CB8">
        <w:rPr>
          <w:rFonts w:eastAsia="MS Mincho" w:cs="Arial"/>
        </w:rPr>
        <w:t>by the FWO</w:t>
      </w:r>
      <w:r w:rsidRPr="00167CB8">
        <w:rPr>
          <w:rFonts w:eastAsia="MS Mincho" w:cs="Arial"/>
        </w:rPr>
        <w:t xml:space="preserve"> in 2023</w:t>
      </w:r>
      <w:r w:rsidR="00630AAA" w:rsidRPr="00167CB8">
        <w:rPr>
          <w:rFonts w:ascii="Symbol" w:eastAsia="Symbol" w:hAnsi="Symbol" w:cs="Symbol"/>
        </w:rPr>
        <w:sym w:font="Symbol" w:char="F02D"/>
      </w:r>
      <w:r w:rsidRPr="00167CB8">
        <w:rPr>
          <w:rFonts w:eastAsia="MS Mincho" w:cs="Arial"/>
        </w:rPr>
        <w:t>24.</w:t>
      </w:r>
      <w:r w:rsidRPr="00167CB8">
        <w:rPr>
          <w:rStyle w:val="FootnoteReference"/>
          <w:rFonts w:eastAsia="MS Mincho" w:cs="Arial"/>
        </w:rPr>
        <w:footnoteReference w:id="55"/>
      </w:r>
      <w:r w:rsidRPr="00167CB8">
        <w:rPr>
          <w:rFonts w:eastAsia="MS Mincho" w:cs="Arial"/>
        </w:rPr>
        <w:t xml:space="preserve"> The FWO notes this is </w:t>
      </w:r>
      <w:r w:rsidR="00630AAA" w:rsidRPr="00167CB8">
        <w:rPr>
          <w:rFonts w:eastAsia="MS Mincho" w:cs="Arial"/>
        </w:rPr>
        <w:t>‘</w:t>
      </w:r>
      <w:r w:rsidRPr="00167CB8">
        <w:rPr>
          <w:rFonts w:eastAsia="MS Mincho" w:cs="Arial"/>
        </w:rPr>
        <w:t>in part due to rapidly growing employment numbers (including apprenticeships and trainees) in recent years</w:t>
      </w:r>
      <w:r w:rsidR="00630AAA" w:rsidRPr="00167CB8">
        <w:rPr>
          <w:rFonts w:eastAsia="MS Mincho" w:cs="Arial"/>
        </w:rPr>
        <w:t>’</w:t>
      </w:r>
      <w:r w:rsidRPr="00167CB8">
        <w:rPr>
          <w:rFonts w:eastAsia="MS Mincho" w:cs="Arial"/>
        </w:rPr>
        <w:t>.</w:t>
      </w:r>
      <w:r w:rsidRPr="00167CB8">
        <w:rPr>
          <w:rFonts w:eastAsia="MS Mincho" w:cs="Arial"/>
          <w:vertAlign w:val="superscript"/>
        </w:rPr>
        <w:footnoteReference w:id="56"/>
      </w:r>
      <w:r w:rsidRPr="00167CB8">
        <w:rPr>
          <w:rFonts w:eastAsia="MS Mincho" w:cs="Arial"/>
        </w:rPr>
        <w:t xml:space="preserve"> </w:t>
      </w:r>
    </w:p>
    <w:p w14:paraId="1F376EE0" w14:textId="77777777" w:rsidR="00D34BBF" w:rsidRDefault="00D34BBF">
      <w:pPr>
        <w:spacing w:after="160"/>
        <w:rPr>
          <w:rFonts w:cs="Calibri"/>
          <w:b/>
          <w:bCs/>
          <w:lang w:val="en-US"/>
        </w:rPr>
      </w:pPr>
      <w:r>
        <w:br w:type="page"/>
      </w:r>
    </w:p>
    <w:p w14:paraId="58FBB803" w14:textId="10E79478" w:rsidR="00A148FE" w:rsidRPr="00167CB8" w:rsidRDefault="00A148FE" w:rsidP="00470AB9">
      <w:pPr>
        <w:pStyle w:val="Caption"/>
      </w:pPr>
      <w:r w:rsidRPr="00167CB8">
        <w:lastRenderedPageBreak/>
        <w:t xml:space="preserve">Table 1: FWO </w:t>
      </w:r>
      <w:r w:rsidR="00630AAA" w:rsidRPr="00167CB8">
        <w:t>r</w:t>
      </w:r>
      <w:r w:rsidRPr="00167CB8">
        <w:t xml:space="preserve">equests for </w:t>
      </w:r>
      <w:r w:rsidR="00630AAA" w:rsidRPr="00167CB8">
        <w:t>a</w:t>
      </w:r>
      <w:r w:rsidRPr="00167CB8">
        <w:t>ssistance completed in the building and construction sector</w:t>
      </w:r>
      <w:r w:rsidR="00957689" w:rsidRPr="00167CB8">
        <w:t>,</w:t>
      </w:r>
      <w:r w:rsidRPr="00167CB8">
        <w:t xml:space="preserve"> 202</w:t>
      </w:r>
      <w:r w:rsidR="001526EB" w:rsidRPr="00167CB8">
        <w:t>0</w:t>
      </w:r>
      <w:r w:rsidR="00630AAA" w:rsidRPr="00167CB8">
        <w:rPr>
          <w:rFonts w:ascii="Symbol" w:eastAsia="Symbol" w:hAnsi="Symbol" w:cs="Symbol"/>
        </w:rPr>
        <w:sym w:font="Symbol" w:char="F02D"/>
      </w:r>
      <w:r w:rsidRPr="00167CB8">
        <w:t>21 to 2024</w:t>
      </w:r>
      <w:r w:rsidR="00630AAA" w:rsidRPr="00167CB8">
        <w:rPr>
          <w:rFonts w:ascii="Symbol" w:eastAsia="Symbol" w:hAnsi="Symbol" w:cs="Symbol"/>
        </w:rPr>
        <w:sym w:font="Symbol" w:char="F02D"/>
      </w:r>
      <w:r w:rsidRPr="00167CB8">
        <w:t>25 (to 31 October 2024)</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182"/>
        <w:gridCol w:w="1182"/>
        <w:gridCol w:w="1182"/>
        <w:gridCol w:w="1182"/>
        <w:gridCol w:w="1182"/>
        <w:gridCol w:w="1183"/>
      </w:tblGrid>
      <w:tr w:rsidR="00A148FE" w:rsidRPr="00167CB8" w14:paraId="0DA7D02C" w14:textId="77777777" w:rsidTr="00473189">
        <w:trPr>
          <w:jc w:val="center"/>
        </w:trPr>
        <w:tc>
          <w:tcPr>
            <w:tcW w:w="1696"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4BCF3A22" w14:textId="4001C69B" w:rsidR="00A148FE" w:rsidRPr="00167CB8" w:rsidRDefault="00473189" w:rsidP="00C157DC">
            <w:pPr>
              <w:rPr>
                <w:rFonts w:eastAsia="MS Mincho" w:cs="Arial"/>
                <w:bCs/>
                <w:sz w:val="20"/>
                <w:szCs w:val="20"/>
              </w:rPr>
            </w:pPr>
            <w:r w:rsidRPr="00167CB8">
              <w:rPr>
                <w:rFonts w:eastAsia="MS Mincho" w:cs="Arial"/>
                <w:bCs/>
                <w:sz w:val="20"/>
                <w:szCs w:val="20"/>
              </w:rPr>
              <w:t>Financial year</w:t>
            </w:r>
          </w:p>
        </w:tc>
        <w:tc>
          <w:tcPr>
            <w:tcW w:w="118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67F60B88" w14:textId="7DC70F64" w:rsidR="00A148FE" w:rsidRPr="00167CB8" w:rsidRDefault="00630AAA"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20</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21</w:t>
            </w:r>
          </w:p>
        </w:tc>
        <w:tc>
          <w:tcPr>
            <w:tcW w:w="118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652550CC" w14:textId="037C0CE2" w:rsidR="00A148FE" w:rsidRPr="00167CB8" w:rsidRDefault="00630AAA"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21</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22</w:t>
            </w:r>
          </w:p>
        </w:tc>
        <w:tc>
          <w:tcPr>
            <w:tcW w:w="118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63998DA1" w14:textId="286DC89B" w:rsidR="00A148FE" w:rsidRPr="00167CB8" w:rsidRDefault="00630AAA"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22</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23</w:t>
            </w:r>
          </w:p>
        </w:tc>
        <w:tc>
          <w:tcPr>
            <w:tcW w:w="118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14DB4C6E" w14:textId="51A45625" w:rsidR="00A148FE" w:rsidRPr="00167CB8" w:rsidRDefault="00630AAA"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23</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24</w:t>
            </w:r>
          </w:p>
        </w:tc>
        <w:tc>
          <w:tcPr>
            <w:tcW w:w="118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3C0FE3DD" w14:textId="43E7EBB7" w:rsidR="00A148FE" w:rsidRPr="00167CB8" w:rsidRDefault="00630AAA" w:rsidP="00C157DC">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24</w:t>
            </w:r>
            <w:r w:rsidRPr="00167CB8">
              <w:rPr>
                <w:rFonts w:ascii="Symbol" w:eastAsia="Symbol" w:hAnsi="Symbol" w:cs="Symbol"/>
                <w:b/>
                <w:sz w:val="20"/>
                <w:szCs w:val="20"/>
              </w:rPr>
              <w:sym w:font="Symbol" w:char="F02D"/>
            </w:r>
            <w:r w:rsidR="00A148FE" w:rsidRPr="00167CB8">
              <w:rPr>
                <w:rFonts w:eastAsia="MS Mincho" w:cs="Arial"/>
                <w:b/>
                <w:sz w:val="20"/>
                <w:szCs w:val="20"/>
              </w:rPr>
              <w:t>25 to 31 Oct</w:t>
            </w:r>
          </w:p>
        </w:tc>
        <w:tc>
          <w:tcPr>
            <w:tcW w:w="1183" w:type="dxa"/>
            <w:tcBorders>
              <w:top w:val="single" w:sz="4" w:space="0" w:color="auto"/>
              <w:left w:val="single" w:sz="4" w:space="0" w:color="auto"/>
              <w:bottom w:val="single" w:sz="4" w:space="0" w:color="auto"/>
              <w:right w:val="single" w:sz="4" w:space="0" w:color="auto"/>
            </w:tcBorders>
            <w:shd w:val="clear" w:color="auto" w:fill="EAEBEC" w:themeFill="text2" w:themeFillTint="1A"/>
            <w:hideMark/>
          </w:tcPr>
          <w:p w14:paraId="48A56F33" w14:textId="77777777" w:rsidR="00A148FE" w:rsidRPr="00167CB8" w:rsidRDefault="00A148FE" w:rsidP="00C157DC">
            <w:pPr>
              <w:jc w:val="center"/>
              <w:rPr>
                <w:rFonts w:eastAsia="MS Mincho" w:cs="Arial"/>
                <w:b/>
                <w:sz w:val="20"/>
                <w:szCs w:val="20"/>
              </w:rPr>
            </w:pPr>
            <w:r w:rsidRPr="00167CB8">
              <w:rPr>
                <w:rFonts w:eastAsia="MS Mincho" w:cs="Arial"/>
                <w:b/>
                <w:sz w:val="20"/>
                <w:szCs w:val="20"/>
              </w:rPr>
              <w:t>Total</w:t>
            </w:r>
          </w:p>
        </w:tc>
      </w:tr>
      <w:tr w:rsidR="00A148FE" w:rsidRPr="00167CB8" w14:paraId="0B82A6B0" w14:textId="77777777" w:rsidTr="00473189">
        <w:trPr>
          <w:jc w:val="center"/>
        </w:trPr>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9D6E3" w14:textId="334AA865" w:rsidR="00A148FE" w:rsidRPr="00167CB8" w:rsidRDefault="00A148FE" w:rsidP="00C157DC">
            <w:pPr>
              <w:rPr>
                <w:rFonts w:eastAsia="MS Mincho" w:cs="Arial"/>
                <w:bCs/>
                <w:sz w:val="20"/>
                <w:szCs w:val="20"/>
              </w:rPr>
            </w:pPr>
            <w:r w:rsidRPr="00167CB8">
              <w:rPr>
                <w:rFonts w:eastAsia="MS Mincho" w:cs="Arial"/>
                <w:bCs/>
                <w:sz w:val="20"/>
                <w:szCs w:val="20"/>
              </w:rPr>
              <w:t xml:space="preserve">Number of </w:t>
            </w:r>
            <w:r w:rsidR="00957689" w:rsidRPr="00167CB8">
              <w:rPr>
                <w:rFonts w:eastAsia="MS Mincho" w:cs="Arial"/>
                <w:bCs/>
                <w:sz w:val="20"/>
                <w:szCs w:val="20"/>
              </w:rPr>
              <w:t xml:space="preserve">requests for assistance </w:t>
            </w:r>
            <w:r w:rsidRPr="00167CB8">
              <w:rPr>
                <w:rFonts w:eastAsia="MS Mincho" w:cs="Arial"/>
                <w:bCs/>
                <w:sz w:val="20"/>
                <w:szCs w:val="20"/>
              </w:rPr>
              <w:t>completed</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5B76E" w14:textId="77777777" w:rsidR="00A148FE" w:rsidRPr="00167CB8" w:rsidRDefault="00A148FE" w:rsidP="00C157DC">
            <w:pPr>
              <w:jc w:val="center"/>
              <w:rPr>
                <w:rFonts w:eastAsia="MS Mincho" w:cs="Arial"/>
                <w:sz w:val="20"/>
                <w:szCs w:val="20"/>
              </w:rPr>
            </w:pPr>
            <w:r w:rsidRPr="00167CB8">
              <w:rPr>
                <w:rFonts w:eastAsia="MS Mincho" w:cs="Arial"/>
                <w:sz w:val="20"/>
                <w:szCs w:val="20"/>
              </w:rPr>
              <w:t>2,350</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BABF43" w14:textId="77777777" w:rsidR="00A148FE" w:rsidRPr="00167CB8" w:rsidRDefault="00A148FE" w:rsidP="00C157DC">
            <w:pPr>
              <w:jc w:val="center"/>
              <w:rPr>
                <w:rFonts w:eastAsia="MS Mincho" w:cs="Arial"/>
                <w:sz w:val="20"/>
                <w:szCs w:val="20"/>
              </w:rPr>
            </w:pPr>
            <w:r w:rsidRPr="00167CB8">
              <w:rPr>
                <w:rFonts w:eastAsia="MS Mincho" w:cs="Arial"/>
                <w:sz w:val="20"/>
                <w:szCs w:val="20"/>
              </w:rPr>
              <w:t>2,436</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87869" w14:textId="77777777" w:rsidR="00A148FE" w:rsidRPr="00167CB8" w:rsidRDefault="00A148FE" w:rsidP="00C157DC">
            <w:pPr>
              <w:jc w:val="center"/>
              <w:rPr>
                <w:rFonts w:eastAsia="MS Mincho" w:cs="Arial"/>
                <w:sz w:val="20"/>
                <w:szCs w:val="20"/>
              </w:rPr>
            </w:pPr>
            <w:r w:rsidRPr="00167CB8">
              <w:rPr>
                <w:rFonts w:eastAsia="MS Mincho" w:cs="Arial"/>
                <w:sz w:val="20"/>
                <w:szCs w:val="20"/>
              </w:rPr>
              <w:t>2,068</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400C6A" w14:textId="77777777" w:rsidR="00A148FE" w:rsidRPr="00167CB8" w:rsidRDefault="00A148FE" w:rsidP="00C157DC">
            <w:pPr>
              <w:jc w:val="center"/>
              <w:rPr>
                <w:rFonts w:eastAsia="MS Mincho" w:cs="Arial"/>
                <w:sz w:val="20"/>
                <w:szCs w:val="20"/>
              </w:rPr>
            </w:pPr>
            <w:r w:rsidRPr="00167CB8">
              <w:rPr>
                <w:rFonts w:eastAsia="MS Mincho" w:cs="Arial"/>
                <w:sz w:val="20"/>
                <w:szCs w:val="20"/>
              </w:rPr>
              <w:t>2,509</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292828" w14:textId="77777777" w:rsidR="00A148FE" w:rsidRPr="00167CB8" w:rsidRDefault="00A148FE" w:rsidP="00C157DC">
            <w:pPr>
              <w:jc w:val="center"/>
              <w:rPr>
                <w:rFonts w:eastAsia="MS Mincho" w:cs="Arial"/>
                <w:sz w:val="20"/>
                <w:szCs w:val="20"/>
              </w:rPr>
            </w:pPr>
            <w:r w:rsidRPr="00167CB8">
              <w:rPr>
                <w:rFonts w:eastAsia="MS Mincho" w:cs="Arial"/>
                <w:sz w:val="20"/>
                <w:szCs w:val="20"/>
              </w:rPr>
              <w:t>938</w:t>
            </w:r>
          </w:p>
        </w:tc>
        <w:tc>
          <w:tcPr>
            <w:tcW w:w="1183" w:type="dxa"/>
            <w:tcBorders>
              <w:top w:val="single" w:sz="4" w:space="0" w:color="auto"/>
              <w:left w:val="single" w:sz="4" w:space="0" w:color="auto"/>
              <w:bottom w:val="single" w:sz="4" w:space="0" w:color="auto"/>
              <w:right w:val="single" w:sz="4" w:space="0" w:color="auto"/>
            </w:tcBorders>
            <w:hideMark/>
          </w:tcPr>
          <w:p w14:paraId="54F664B7" w14:textId="77777777" w:rsidR="00A148FE" w:rsidRPr="00167CB8" w:rsidRDefault="00A148FE" w:rsidP="00C157DC">
            <w:pPr>
              <w:jc w:val="center"/>
              <w:rPr>
                <w:rFonts w:eastAsia="MS Mincho" w:cs="Arial"/>
                <w:sz w:val="20"/>
                <w:szCs w:val="20"/>
              </w:rPr>
            </w:pPr>
            <w:r w:rsidRPr="00167CB8">
              <w:rPr>
                <w:rFonts w:eastAsia="MS Mincho" w:cs="Arial"/>
                <w:sz w:val="20"/>
                <w:szCs w:val="20"/>
              </w:rPr>
              <w:t>10,301</w:t>
            </w:r>
          </w:p>
        </w:tc>
      </w:tr>
    </w:tbl>
    <w:p w14:paraId="2E415820" w14:textId="6A38D5FC" w:rsidR="00A148FE" w:rsidRPr="00167CB8" w:rsidRDefault="00A148FE" w:rsidP="008D2180">
      <w:pPr>
        <w:pStyle w:val="Source"/>
      </w:pPr>
      <w:r w:rsidRPr="00167CB8">
        <w:rPr>
          <w:b/>
          <w:bCs/>
        </w:rPr>
        <w:t>Source:</w:t>
      </w:r>
      <w:r w:rsidRPr="00167CB8">
        <w:t xml:space="preserve"> Data provided to the Review by the FWO</w:t>
      </w:r>
      <w:r w:rsidR="008D2180" w:rsidRPr="00167CB8">
        <w:t>.</w:t>
      </w:r>
    </w:p>
    <w:p w14:paraId="1BDE8138" w14:textId="72FBF114" w:rsidR="00A148FE" w:rsidRPr="00167CB8" w:rsidRDefault="00A148FE" w:rsidP="00C157DC">
      <w:pPr>
        <w:rPr>
          <w:rFonts w:eastAsia="MS Mincho" w:cs="Arial"/>
        </w:rPr>
      </w:pPr>
      <w:r w:rsidRPr="00167CB8">
        <w:rPr>
          <w:rFonts w:eastAsia="MS Mincho" w:cs="Arial"/>
        </w:rPr>
        <w:t xml:space="preserve">The FWO’s wage recoveries </w:t>
      </w:r>
      <w:r w:rsidR="007312E5" w:rsidRPr="00167CB8">
        <w:rPr>
          <w:rFonts w:eastAsia="MS Mincho" w:cs="Arial"/>
        </w:rPr>
        <w:t>from 2020</w:t>
      </w:r>
      <w:r w:rsidR="00630AAA" w:rsidRPr="00167CB8">
        <w:rPr>
          <w:rFonts w:ascii="Symbol" w:eastAsia="Symbol" w:hAnsi="Symbol" w:cs="Symbol"/>
        </w:rPr>
        <w:sym w:font="Symbol" w:char="F02D"/>
      </w:r>
      <w:r w:rsidR="007312E5" w:rsidRPr="00167CB8">
        <w:rPr>
          <w:rFonts w:eastAsia="MS Mincho" w:cs="Arial"/>
        </w:rPr>
        <w:t>21 to 2024</w:t>
      </w:r>
      <w:r w:rsidR="00630AAA" w:rsidRPr="00167CB8">
        <w:rPr>
          <w:rFonts w:ascii="Symbol" w:eastAsia="Symbol" w:hAnsi="Symbol" w:cs="Symbol"/>
        </w:rPr>
        <w:sym w:font="Symbol" w:char="F02D"/>
      </w:r>
      <w:r w:rsidR="007312E5" w:rsidRPr="00167CB8">
        <w:rPr>
          <w:rFonts w:eastAsia="MS Mincho" w:cs="Arial"/>
        </w:rPr>
        <w:t>25 (to 31 October 2024)</w:t>
      </w:r>
      <w:r w:rsidR="00630AAA" w:rsidRPr="00167CB8">
        <w:rPr>
          <w:rFonts w:eastAsia="MS Mincho" w:cs="Arial"/>
        </w:rPr>
        <w:t xml:space="preserve"> </w:t>
      </w:r>
      <w:r w:rsidRPr="00167CB8">
        <w:rPr>
          <w:rFonts w:eastAsia="MS Mincho" w:cs="Arial"/>
        </w:rPr>
        <w:t xml:space="preserve">for the building and construction sector are outlined in </w:t>
      </w:r>
      <w:r w:rsidR="00A14864" w:rsidRPr="00167CB8">
        <w:rPr>
          <w:rFonts w:eastAsia="MS Mincho" w:cs="Arial"/>
        </w:rPr>
        <w:t>T</w:t>
      </w:r>
      <w:r w:rsidRPr="00167CB8">
        <w:rPr>
          <w:rFonts w:eastAsia="MS Mincho" w:cs="Arial"/>
        </w:rPr>
        <w:t xml:space="preserve">able 2. The Panel notes the FWO has had responsibility for the sector since 10 November 2022 (over </w:t>
      </w:r>
      <w:r w:rsidR="00630AAA" w:rsidRPr="00167CB8">
        <w:rPr>
          <w:rFonts w:eastAsia="MS Mincho" w:cs="Arial"/>
        </w:rPr>
        <w:t xml:space="preserve">4 </w:t>
      </w:r>
      <w:r w:rsidRPr="00167CB8">
        <w:rPr>
          <w:rFonts w:eastAsia="MS Mincho" w:cs="Arial"/>
        </w:rPr>
        <w:t>months into the 2022</w:t>
      </w:r>
      <w:r w:rsidR="00630AAA" w:rsidRPr="00167CB8">
        <w:rPr>
          <w:rFonts w:ascii="Symbol" w:eastAsia="Symbol" w:hAnsi="Symbol" w:cs="Symbol"/>
        </w:rPr>
        <w:sym w:font="Symbol" w:char="F02D"/>
      </w:r>
      <w:r w:rsidRPr="00167CB8">
        <w:rPr>
          <w:rFonts w:eastAsia="MS Mincho" w:cs="Arial"/>
        </w:rPr>
        <w:t>23 financial year</w:t>
      </w:r>
      <w:r w:rsidR="00955443" w:rsidRPr="00167CB8">
        <w:rPr>
          <w:rFonts w:eastAsia="MS Mincho" w:cs="Arial"/>
        </w:rPr>
        <w:t>).</w:t>
      </w:r>
      <w:r w:rsidR="00BA40CF" w:rsidRPr="00167CB8">
        <w:rPr>
          <w:rFonts w:eastAsia="MS Mincho" w:cs="Arial"/>
        </w:rPr>
        <w:t xml:space="preserve"> </w:t>
      </w:r>
      <w:r w:rsidR="00725CE5" w:rsidRPr="00167CB8">
        <w:rPr>
          <w:rFonts w:eastAsia="MS Mincho" w:cs="Arial"/>
        </w:rPr>
        <w:t>I</w:t>
      </w:r>
      <w:r w:rsidR="007312E5" w:rsidRPr="00167CB8">
        <w:rPr>
          <w:rFonts w:eastAsia="MS Mincho" w:cs="Arial"/>
        </w:rPr>
        <w:t>n the period from 10 November 2022 to 31 October 2024, the FWO recovered $8,770,086 in wages and entitlements for workers in the building and construction sector.</w:t>
      </w:r>
    </w:p>
    <w:p w14:paraId="421000A9" w14:textId="6896BD21" w:rsidR="00A148FE" w:rsidRPr="00167CB8" w:rsidRDefault="00A148FE" w:rsidP="00470AB9">
      <w:pPr>
        <w:pStyle w:val="Caption"/>
      </w:pPr>
      <w:r w:rsidRPr="00167CB8">
        <w:t>Table 2: FWO recoveries for the building and construction sector 202</w:t>
      </w:r>
      <w:r w:rsidR="00725CE5" w:rsidRPr="00167CB8">
        <w:t>0</w:t>
      </w:r>
      <w:r w:rsidR="00955443" w:rsidRPr="00167CB8">
        <w:rPr>
          <w:rFonts w:ascii="Symbol" w:eastAsia="Symbol" w:hAnsi="Symbol" w:cs="Symbol"/>
        </w:rPr>
        <w:sym w:font="Symbol" w:char="F02D"/>
      </w:r>
      <w:r w:rsidRPr="00167CB8">
        <w:t>21 to 2024</w:t>
      </w:r>
      <w:r w:rsidR="00955443" w:rsidRPr="00167CB8">
        <w:rPr>
          <w:rFonts w:ascii="Symbol" w:eastAsia="Symbol" w:hAnsi="Symbol" w:cs="Symbol"/>
        </w:rPr>
        <w:sym w:font="Symbol" w:char="F02D"/>
      </w:r>
      <w:r w:rsidRPr="00167CB8">
        <w:t>2</w:t>
      </w:r>
      <w:r w:rsidR="00AD4130" w:rsidRPr="00167CB8">
        <w:t>5</w:t>
      </w:r>
      <w:r w:rsidRPr="00167CB8">
        <w:t xml:space="preserve"> (to 31 October 2024)</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158"/>
        <w:gridCol w:w="1159"/>
        <w:gridCol w:w="1158"/>
        <w:gridCol w:w="1159"/>
        <w:gridCol w:w="1158"/>
        <w:gridCol w:w="1159"/>
      </w:tblGrid>
      <w:tr w:rsidR="00A148FE" w:rsidRPr="00167CB8" w14:paraId="4D630375" w14:textId="77777777" w:rsidTr="00473189">
        <w:trPr>
          <w:jc w:val="center"/>
        </w:trPr>
        <w:tc>
          <w:tcPr>
            <w:tcW w:w="1696"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7AF61986" w14:textId="4E2EB3AC" w:rsidR="00A148FE" w:rsidRPr="00167CB8" w:rsidRDefault="00473189" w:rsidP="00C157DC">
            <w:pPr>
              <w:rPr>
                <w:rFonts w:eastAsia="MS Mincho" w:cs="Arial"/>
                <w:bCs/>
                <w:sz w:val="20"/>
                <w:szCs w:val="20"/>
              </w:rPr>
            </w:pPr>
            <w:r w:rsidRPr="00167CB8">
              <w:rPr>
                <w:rFonts w:eastAsia="MS Mincho" w:cs="Arial"/>
                <w:bCs/>
                <w:sz w:val="20"/>
                <w:szCs w:val="20"/>
              </w:rPr>
              <w:t>Financial year</w:t>
            </w:r>
          </w:p>
        </w:tc>
        <w:tc>
          <w:tcPr>
            <w:tcW w:w="1158"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4E3E2A7B" w14:textId="008050FE" w:rsidR="00A148FE" w:rsidRPr="00167CB8" w:rsidRDefault="00955443"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20</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21</w:t>
            </w:r>
          </w:p>
        </w:tc>
        <w:tc>
          <w:tcPr>
            <w:tcW w:w="1159"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41F093D0" w14:textId="54F982D2" w:rsidR="00A148FE" w:rsidRPr="00167CB8" w:rsidRDefault="00955443"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21</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22</w:t>
            </w:r>
          </w:p>
        </w:tc>
        <w:tc>
          <w:tcPr>
            <w:tcW w:w="1158"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45637851" w14:textId="78DF83AB" w:rsidR="00A148FE" w:rsidRPr="00167CB8" w:rsidRDefault="00955443"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22</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23</w:t>
            </w:r>
          </w:p>
        </w:tc>
        <w:tc>
          <w:tcPr>
            <w:tcW w:w="1159"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140B8888" w14:textId="582B2109" w:rsidR="00A148FE" w:rsidRPr="00167CB8" w:rsidRDefault="00955443" w:rsidP="00C157DC">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23</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24</w:t>
            </w:r>
          </w:p>
        </w:tc>
        <w:tc>
          <w:tcPr>
            <w:tcW w:w="1158"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1981795D" w14:textId="3D7537C8" w:rsidR="00A148FE" w:rsidRPr="00167CB8" w:rsidRDefault="00955443" w:rsidP="00C157DC">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24</w:t>
            </w:r>
            <w:r w:rsidRPr="00167CB8">
              <w:rPr>
                <w:rFonts w:ascii="Symbol" w:eastAsia="Symbol" w:hAnsi="Symbol" w:cs="Symbol"/>
                <w:b/>
                <w:sz w:val="20"/>
                <w:szCs w:val="20"/>
              </w:rPr>
              <w:sym w:font="Symbol" w:char="F02D"/>
            </w:r>
            <w:r w:rsidR="00A148FE" w:rsidRPr="00167CB8">
              <w:rPr>
                <w:rFonts w:eastAsia="MS Mincho" w:cs="Arial"/>
                <w:b/>
                <w:sz w:val="20"/>
                <w:szCs w:val="20"/>
              </w:rPr>
              <w:t>25 to 31 Oct</w:t>
            </w:r>
          </w:p>
        </w:tc>
        <w:tc>
          <w:tcPr>
            <w:tcW w:w="1159" w:type="dxa"/>
            <w:tcBorders>
              <w:top w:val="single" w:sz="4" w:space="0" w:color="auto"/>
              <w:left w:val="single" w:sz="4" w:space="0" w:color="auto"/>
              <w:bottom w:val="single" w:sz="4" w:space="0" w:color="auto"/>
              <w:right w:val="single" w:sz="4" w:space="0" w:color="auto"/>
            </w:tcBorders>
            <w:shd w:val="clear" w:color="auto" w:fill="EAEBEC" w:themeFill="text2" w:themeFillTint="1A"/>
            <w:hideMark/>
          </w:tcPr>
          <w:p w14:paraId="1719A1DB" w14:textId="77777777" w:rsidR="00A148FE" w:rsidRPr="00167CB8" w:rsidRDefault="00A148FE" w:rsidP="00C157DC">
            <w:pPr>
              <w:jc w:val="center"/>
              <w:rPr>
                <w:rFonts w:eastAsia="MS Mincho" w:cs="Arial"/>
                <w:b/>
                <w:sz w:val="20"/>
                <w:szCs w:val="20"/>
              </w:rPr>
            </w:pPr>
            <w:r w:rsidRPr="00167CB8">
              <w:rPr>
                <w:rFonts w:eastAsia="MS Mincho" w:cs="Arial"/>
                <w:b/>
                <w:sz w:val="20"/>
                <w:szCs w:val="20"/>
              </w:rPr>
              <w:t>Total</w:t>
            </w:r>
          </w:p>
        </w:tc>
      </w:tr>
      <w:tr w:rsidR="00A148FE" w:rsidRPr="00167CB8" w14:paraId="3E0CB23E" w14:textId="77777777" w:rsidTr="00473189">
        <w:trPr>
          <w:jc w:val="center"/>
        </w:trPr>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8827B" w14:textId="77777777" w:rsidR="00A148FE" w:rsidRPr="00167CB8" w:rsidRDefault="00A148FE" w:rsidP="00C157DC">
            <w:pPr>
              <w:rPr>
                <w:rFonts w:eastAsia="MS Mincho" w:cs="Arial"/>
                <w:bCs/>
                <w:sz w:val="20"/>
                <w:szCs w:val="20"/>
              </w:rPr>
            </w:pPr>
            <w:r w:rsidRPr="00167CB8">
              <w:rPr>
                <w:rFonts w:eastAsia="MS Mincho" w:cs="Arial"/>
                <w:bCs/>
                <w:sz w:val="20"/>
                <w:szCs w:val="20"/>
              </w:rPr>
              <w:t>Total recoveries</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02A6DE" w14:textId="77777777" w:rsidR="00A148FE" w:rsidRPr="00FB1BBC" w:rsidRDefault="00A148FE" w:rsidP="00C157DC">
            <w:pPr>
              <w:jc w:val="center"/>
              <w:rPr>
                <w:rFonts w:eastAsia="MS Mincho" w:cs="Arial"/>
                <w:sz w:val="18"/>
                <w:szCs w:val="18"/>
              </w:rPr>
            </w:pPr>
            <w:r w:rsidRPr="00FB1BBC">
              <w:rPr>
                <w:sz w:val="18"/>
                <w:szCs w:val="18"/>
              </w:rPr>
              <w:t>$2,552,141</w:t>
            </w:r>
          </w:p>
        </w:tc>
        <w:tc>
          <w:tcPr>
            <w:tcW w:w="11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C841A2" w14:textId="77777777" w:rsidR="00A148FE" w:rsidRPr="00FB1BBC" w:rsidRDefault="00A148FE" w:rsidP="00C157DC">
            <w:pPr>
              <w:jc w:val="center"/>
              <w:rPr>
                <w:rFonts w:eastAsia="MS Mincho" w:cs="Arial"/>
                <w:sz w:val="18"/>
                <w:szCs w:val="18"/>
              </w:rPr>
            </w:pPr>
            <w:r w:rsidRPr="00FB1BBC">
              <w:rPr>
                <w:sz w:val="18"/>
                <w:szCs w:val="18"/>
              </w:rPr>
              <w:t>$2,177,692</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A930F" w14:textId="77777777" w:rsidR="00A148FE" w:rsidRPr="00FB1BBC" w:rsidRDefault="00A148FE" w:rsidP="00C157DC">
            <w:pPr>
              <w:jc w:val="center"/>
              <w:rPr>
                <w:rFonts w:eastAsia="MS Mincho" w:cs="Arial"/>
                <w:sz w:val="18"/>
                <w:szCs w:val="18"/>
              </w:rPr>
            </w:pPr>
            <w:r w:rsidRPr="00FB1BBC">
              <w:rPr>
                <w:sz w:val="18"/>
                <w:szCs w:val="18"/>
              </w:rPr>
              <w:t>$4,215,968</w:t>
            </w:r>
          </w:p>
        </w:tc>
        <w:tc>
          <w:tcPr>
            <w:tcW w:w="11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386A8F" w14:textId="77777777" w:rsidR="00A148FE" w:rsidRPr="00FB1BBC" w:rsidRDefault="00A148FE" w:rsidP="00C157DC">
            <w:pPr>
              <w:jc w:val="center"/>
              <w:rPr>
                <w:rFonts w:eastAsia="MS Mincho" w:cs="Arial"/>
                <w:sz w:val="18"/>
                <w:szCs w:val="18"/>
              </w:rPr>
            </w:pPr>
            <w:r w:rsidRPr="00FB1BBC">
              <w:rPr>
                <w:sz w:val="18"/>
                <w:szCs w:val="18"/>
              </w:rPr>
              <w:t>$3,031,089</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CCE10" w14:textId="77777777" w:rsidR="00A148FE" w:rsidRPr="00FB1BBC" w:rsidRDefault="00A148FE" w:rsidP="00C157DC">
            <w:pPr>
              <w:jc w:val="center"/>
              <w:rPr>
                <w:rFonts w:eastAsia="MS Mincho" w:cs="Arial"/>
                <w:sz w:val="18"/>
                <w:szCs w:val="18"/>
              </w:rPr>
            </w:pPr>
            <w:r w:rsidRPr="00FB1BBC">
              <w:rPr>
                <w:sz w:val="18"/>
                <w:szCs w:val="18"/>
              </w:rPr>
              <w:t>$1,322,197</w:t>
            </w:r>
          </w:p>
        </w:tc>
        <w:tc>
          <w:tcPr>
            <w:tcW w:w="1159" w:type="dxa"/>
            <w:tcBorders>
              <w:top w:val="single" w:sz="4" w:space="0" w:color="auto"/>
              <w:left w:val="single" w:sz="4" w:space="0" w:color="auto"/>
              <w:bottom w:val="single" w:sz="4" w:space="0" w:color="auto"/>
              <w:right w:val="single" w:sz="4" w:space="0" w:color="auto"/>
            </w:tcBorders>
            <w:hideMark/>
          </w:tcPr>
          <w:p w14:paraId="4859F4AF" w14:textId="33686D6F" w:rsidR="00A148FE" w:rsidRPr="00FB1BBC" w:rsidRDefault="00A148FE" w:rsidP="00C157DC">
            <w:pPr>
              <w:jc w:val="center"/>
              <w:rPr>
                <w:rFonts w:eastAsia="MS Mincho" w:cs="Arial"/>
                <w:sz w:val="18"/>
                <w:szCs w:val="18"/>
              </w:rPr>
            </w:pPr>
            <w:r w:rsidRPr="00FB1BBC">
              <w:rPr>
                <w:sz w:val="18"/>
                <w:szCs w:val="18"/>
              </w:rPr>
              <w:t>$</w:t>
            </w:r>
            <w:r w:rsidR="00561D31" w:rsidRPr="00FB1BBC">
              <w:rPr>
                <w:sz w:val="18"/>
                <w:szCs w:val="18"/>
              </w:rPr>
              <w:t xml:space="preserve"> 13,299,087</w:t>
            </w:r>
            <w:r w:rsidR="00561D31" w:rsidRPr="00FB1BBC" w:rsidDel="00CC2B6B">
              <w:rPr>
                <w:sz w:val="18"/>
                <w:szCs w:val="18"/>
              </w:rPr>
              <w:t xml:space="preserve"> </w:t>
            </w:r>
          </w:p>
        </w:tc>
      </w:tr>
    </w:tbl>
    <w:p w14:paraId="68C58FCB" w14:textId="6029E1DF" w:rsidR="00FB2AF0" w:rsidRPr="00167CB8" w:rsidRDefault="008D2180" w:rsidP="00FB2AF0">
      <w:pPr>
        <w:pStyle w:val="Source"/>
      </w:pPr>
      <w:r w:rsidRPr="00167CB8">
        <w:t xml:space="preserve">Source: </w:t>
      </w:r>
      <w:r w:rsidR="00FB2AF0" w:rsidRPr="00167CB8">
        <w:t>Data provided to the Review by the FWO.</w:t>
      </w:r>
    </w:p>
    <w:p w14:paraId="225546A6" w14:textId="6E215803" w:rsidR="00A148FE" w:rsidRPr="00167CB8" w:rsidRDefault="0045368D" w:rsidP="00C157DC">
      <w:pPr>
        <w:rPr>
          <w:rFonts w:eastAsia="MS Mincho" w:cs="Arial"/>
        </w:rPr>
      </w:pPr>
      <w:r w:rsidRPr="00167CB8">
        <w:rPr>
          <w:rFonts w:eastAsia="MS Mincho" w:cs="Arial"/>
        </w:rPr>
        <w:t>Publicly available information shows</w:t>
      </w:r>
      <w:r w:rsidR="00A148FE" w:rsidRPr="00167CB8">
        <w:rPr>
          <w:rFonts w:eastAsia="MS Mincho" w:cs="Arial"/>
        </w:rPr>
        <w:t xml:space="preserve"> the ABCC’s total wage recoveries were </w:t>
      </w:r>
      <w:r w:rsidR="00955443" w:rsidRPr="00167CB8">
        <w:rPr>
          <w:rFonts w:eastAsia="MS Mincho" w:cs="Arial"/>
        </w:rPr>
        <w:t>‘</w:t>
      </w:r>
      <w:r w:rsidR="00A148FE" w:rsidRPr="00167CB8">
        <w:rPr>
          <w:rFonts w:eastAsia="MS Mincho" w:cs="Arial"/>
        </w:rPr>
        <w:t>more than $5.7 million</w:t>
      </w:r>
      <w:r w:rsidR="00955443" w:rsidRPr="00167CB8">
        <w:rPr>
          <w:rFonts w:eastAsia="MS Mincho" w:cs="Arial"/>
        </w:rPr>
        <w:t>’</w:t>
      </w:r>
      <w:r w:rsidR="00A148FE" w:rsidRPr="00167CB8">
        <w:rPr>
          <w:rFonts w:eastAsia="MS Mincho" w:cs="Arial"/>
        </w:rPr>
        <w:t xml:space="preserve"> over the 5 years and 7 months from December 2016 to 30 June 2022.</w:t>
      </w:r>
      <w:r w:rsidR="00A148FE" w:rsidRPr="00167CB8">
        <w:rPr>
          <w:rFonts w:eastAsia="MS Mincho" w:cs="Arial"/>
          <w:vertAlign w:val="superscript"/>
        </w:rPr>
        <w:footnoteReference w:id="57"/>
      </w:r>
      <w:r w:rsidR="00A148FE" w:rsidRPr="00167CB8">
        <w:rPr>
          <w:rFonts w:eastAsia="MS Mincho" w:cs="Arial"/>
        </w:rPr>
        <w:t xml:space="preserve"> Th</w:t>
      </w:r>
      <w:r w:rsidR="00957689" w:rsidRPr="00167CB8">
        <w:rPr>
          <w:rFonts w:eastAsia="MS Mincho" w:cs="Arial"/>
        </w:rPr>
        <w:t>e</w:t>
      </w:r>
      <w:r w:rsidR="00A148FE" w:rsidRPr="00167CB8">
        <w:rPr>
          <w:rFonts w:eastAsia="MS Mincho" w:cs="Arial"/>
        </w:rPr>
        <w:t xml:space="preserve"> ABCC notes that this included $2.5 million in 2021</w:t>
      </w:r>
      <w:r w:rsidR="00955443" w:rsidRPr="00167CB8">
        <w:rPr>
          <w:rFonts w:ascii="Symbol" w:eastAsia="Symbol" w:hAnsi="Symbol" w:cs="Symbol"/>
        </w:rPr>
        <w:sym w:font="Symbol" w:char="F02D"/>
      </w:r>
      <w:r w:rsidR="00A148FE" w:rsidRPr="00167CB8">
        <w:rPr>
          <w:rFonts w:eastAsia="MS Mincho" w:cs="Arial"/>
        </w:rPr>
        <w:t xml:space="preserve">22, which was an </w:t>
      </w:r>
      <w:r w:rsidR="00955443" w:rsidRPr="00167CB8">
        <w:rPr>
          <w:rFonts w:eastAsia="MS Mincho" w:cs="Arial"/>
        </w:rPr>
        <w:t>‘</w:t>
      </w:r>
      <w:r w:rsidR="00A148FE" w:rsidRPr="00167CB8">
        <w:rPr>
          <w:rFonts w:eastAsia="MS Mincho" w:cs="Arial"/>
        </w:rPr>
        <w:t>increase of more than 182% from the previous reporting period</w:t>
      </w:r>
      <w:r w:rsidR="00955443" w:rsidRPr="00167CB8">
        <w:rPr>
          <w:rFonts w:eastAsia="MS Mincho" w:cs="Arial"/>
        </w:rPr>
        <w:t>’</w:t>
      </w:r>
      <w:r w:rsidR="00A148FE" w:rsidRPr="00167CB8">
        <w:rPr>
          <w:rFonts w:eastAsia="MS Mincho" w:cs="Arial"/>
        </w:rPr>
        <w:t>.</w:t>
      </w:r>
    </w:p>
    <w:p w14:paraId="3C8402AE" w14:textId="16BED742" w:rsidR="00A148FE" w:rsidRPr="00167CB8" w:rsidRDefault="00A148FE" w:rsidP="00C157DC">
      <w:pPr>
        <w:rPr>
          <w:rFonts w:eastAsia="MS Mincho" w:cs="Arial"/>
        </w:rPr>
      </w:pPr>
      <w:r w:rsidRPr="00167CB8">
        <w:rPr>
          <w:rFonts w:eastAsia="MS Mincho" w:cs="Arial"/>
        </w:rPr>
        <w:t xml:space="preserve">The FWO’s compliance and enforcement work in the building and construction sector is shown in </w:t>
      </w:r>
      <w:r w:rsidR="00957689" w:rsidRPr="00167CB8">
        <w:rPr>
          <w:rFonts w:eastAsia="MS Mincho" w:cs="Arial"/>
        </w:rPr>
        <w:t>T</w:t>
      </w:r>
      <w:r w:rsidRPr="00167CB8">
        <w:rPr>
          <w:rFonts w:eastAsia="MS Mincho" w:cs="Arial"/>
        </w:rPr>
        <w:t xml:space="preserve">able </w:t>
      </w:r>
      <w:r w:rsidR="002F797D" w:rsidRPr="00167CB8">
        <w:rPr>
          <w:rFonts w:eastAsia="MS Mincho" w:cs="Arial"/>
        </w:rPr>
        <w:t>3</w:t>
      </w:r>
      <w:r w:rsidRPr="00167CB8">
        <w:rPr>
          <w:rFonts w:eastAsia="MS Mincho" w:cs="Arial"/>
        </w:rPr>
        <w:t xml:space="preserve">, which </w:t>
      </w:r>
      <w:r w:rsidR="00AF5DAB" w:rsidRPr="00167CB8">
        <w:rPr>
          <w:rFonts w:eastAsia="MS Mincho" w:cs="Arial"/>
        </w:rPr>
        <w:t xml:space="preserve">includes </w:t>
      </w:r>
      <w:r w:rsidRPr="00167CB8">
        <w:rPr>
          <w:rFonts w:eastAsia="MS Mincho" w:cs="Arial"/>
        </w:rPr>
        <w:t>the number of investigations undertaken, matters completed, and enforcement tools used by the FWO in the building and construction sector from 2020</w:t>
      </w:r>
      <w:r w:rsidR="00955443" w:rsidRPr="00167CB8">
        <w:rPr>
          <w:rFonts w:ascii="Symbol" w:eastAsia="Symbol" w:hAnsi="Symbol" w:cs="Symbol"/>
        </w:rPr>
        <w:sym w:font="Symbol" w:char="F02D"/>
      </w:r>
      <w:r w:rsidRPr="00167CB8">
        <w:rPr>
          <w:rFonts w:eastAsia="MS Mincho" w:cs="Arial"/>
        </w:rPr>
        <w:t>21 to 2024</w:t>
      </w:r>
      <w:r w:rsidR="00955443" w:rsidRPr="00167CB8">
        <w:rPr>
          <w:rFonts w:ascii="Symbol" w:eastAsia="Symbol" w:hAnsi="Symbol" w:cs="Symbol"/>
        </w:rPr>
        <w:sym w:font="Symbol" w:char="F02D"/>
      </w:r>
      <w:r w:rsidRPr="00167CB8">
        <w:rPr>
          <w:rFonts w:eastAsia="MS Mincho" w:cs="Arial"/>
        </w:rPr>
        <w:t>25 (to 31 October 2024). This includes litigations, which the FWO undertakes where appropriate (generally in response to serious, significant and/or systemic noncompliance) and where it is in the public interest.</w:t>
      </w:r>
      <w:r w:rsidRPr="00167CB8">
        <w:rPr>
          <w:rStyle w:val="FootnoteReference"/>
          <w:rFonts w:eastAsia="MS Mincho" w:cs="Arial"/>
        </w:rPr>
        <w:footnoteReference w:id="58"/>
      </w:r>
      <w:r w:rsidRPr="00167CB8">
        <w:rPr>
          <w:rFonts w:eastAsia="MS Mincho" w:cs="Arial"/>
        </w:rPr>
        <w:t xml:space="preserve"> </w:t>
      </w:r>
    </w:p>
    <w:p w14:paraId="55A1F894" w14:textId="77777777" w:rsidR="00FB1BBC" w:rsidRDefault="00FB1BBC">
      <w:pPr>
        <w:spacing w:after="160"/>
        <w:rPr>
          <w:rFonts w:cs="Calibri"/>
          <w:b/>
          <w:bCs/>
          <w:lang w:val="en-US"/>
        </w:rPr>
      </w:pPr>
      <w:r>
        <w:br w:type="page"/>
      </w:r>
    </w:p>
    <w:p w14:paraId="2F67A5C7" w14:textId="034A54C0" w:rsidR="00A148FE" w:rsidRPr="00167CB8" w:rsidRDefault="00A148FE" w:rsidP="00470AB9">
      <w:pPr>
        <w:pStyle w:val="Caption"/>
      </w:pPr>
      <w:r w:rsidRPr="00167CB8">
        <w:lastRenderedPageBreak/>
        <w:t xml:space="preserve">Table </w:t>
      </w:r>
      <w:r w:rsidR="005C7AD5" w:rsidRPr="00167CB8">
        <w:t>3</w:t>
      </w:r>
      <w:r w:rsidRPr="00167CB8">
        <w:t>: FWO building and construction sector industry data </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2"/>
        <w:gridCol w:w="1134"/>
        <w:gridCol w:w="1134"/>
        <w:gridCol w:w="1417"/>
        <w:gridCol w:w="1290"/>
        <w:gridCol w:w="1102"/>
      </w:tblGrid>
      <w:tr w:rsidR="00A148FE" w:rsidRPr="00167CB8" w14:paraId="59A3E9D0" w14:textId="77777777" w:rsidTr="005A27C2">
        <w:tc>
          <w:tcPr>
            <w:tcW w:w="238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515B5368" w14:textId="77777777" w:rsidR="00A148FE" w:rsidRPr="00167CB8" w:rsidRDefault="00A148FE" w:rsidP="00EA4698">
            <w:pPr>
              <w:rPr>
                <w:rFonts w:eastAsia="MS Mincho"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379B9E0A" w14:textId="2CA40B25" w:rsidR="00A148FE" w:rsidRPr="00167CB8" w:rsidRDefault="00955443" w:rsidP="00EA4698">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20</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21</w:t>
            </w:r>
          </w:p>
        </w:tc>
        <w:tc>
          <w:tcPr>
            <w:tcW w:w="1134"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680AB6A1" w14:textId="092BB5C8" w:rsidR="00A148FE" w:rsidRPr="00167CB8" w:rsidRDefault="00955443" w:rsidP="00EA4698">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21</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22</w:t>
            </w:r>
          </w:p>
        </w:tc>
        <w:tc>
          <w:tcPr>
            <w:tcW w:w="1417"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7E0D25E3" w14:textId="51A507AE" w:rsidR="00A148FE" w:rsidRPr="00167CB8" w:rsidRDefault="00955443" w:rsidP="00EA4698">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22</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23</w:t>
            </w:r>
          </w:p>
        </w:tc>
        <w:tc>
          <w:tcPr>
            <w:tcW w:w="1290"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597368C7" w14:textId="684F65B4" w:rsidR="00A148FE" w:rsidRPr="00167CB8" w:rsidRDefault="00955443" w:rsidP="00EA4698">
            <w:pPr>
              <w:jc w:val="center"/>
              <w:rPr>
                <w:rFonts w:eastAsia="MS Mincho" w:cs="Arial"/>
                <w:b/>
                <w:sz w:val="20"/>
                <w:szCs w:val="20"/>
              </w:rPr>
            </w:pPr>
            <w:r w:rsidRPr="00167CB8">
              <w:rPr>
                <w:rFonts w:eastAsia="MS Mincho" w:cs="Arial"/>
                <w:b/>
                <w:color w:val="000000"/>
                <w:sz w:val="20"/>
                <w:szCs w:val="20"/>
              </w:rPr>
              <w:t>20</w:t>
            </w:r>
            <w:r w:rsidR="00A148FE" w:rsidRPr="00167CB8">
              <w:rPr>
                <w:rFonts w:eastAsia="MS Mincho" w:cs="Arial"/>
                <w:b/>
                <w:color w:val="000000"/>
                <w:sz w:val="20"/>
                <w:szCs w:val="20"/>
              </w:rPr>
              <w:t>23</w:t>
            </w:r>
            <w:r w:rsidRPr="00167CB8">
              <w:rPr>
                <w:rFonts w:ascii="Symbol" w:eastAsia="Symbol" w:hAnsi="Symbol" w:cs="Symbol"/>
                <w:b/>
                <w:color w:val="000000"/>
                <w:sz w:val="20"/>
                <w:szCs w:val="20"/>
              </w:rPr>
              <w:sym w:font="Symbol" w:char="F02D"/>
            </w:r>
            <w:r w:rsidR="00A148FE" w:rsidRPr="00167CB8">
              <w:rPr>
                <w:rFonts w:eastAsia="MS Mincho" w:cs="Arial"/>
                <w:b/>
                <w:color w:val="000000"/>
                <w:sz w:val="20"/>
                <w:szCs w:val="20"/>
              </w:rPr>
              <w:t>24</w:t>
            </w:r>
          </w:p>
        </w:tc>
        <w:tc>
          <w:tcPr>
            <w:tcW w:w="1102"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hideMark/>
          </w:tcPr>
          <w:p w14:paraId="3B87891D" w14:textId="44EE2D41" w:rsidR="00A148FE" w:rsidRPr="00167CB8" w:rsidRDefault="00955443" w:rsidP="00EA4698">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24</w:t>
            </w:r>
            <w:r w:rsidRPr="00167CB8">
              <w:rPr>
                <w:rFonts w:ascii="Symbol" w:eastAsia="Symbol" w:hAnsi="Symbol" w:cs="Symbol"/>
                <w:b/>
                <w:sz w:val="20"/>
                <w:szCs w:val="20"/>
              </w:rPr>
              <w:sym w:font="Symbol" w:char="F02D"/>
            </w:r>
            <w:r w:rsidR="00A148FE" w:rsidRPr="00167CB8">
              <w:rPr>
                <w:rFonts w:eastAsia="MS Mincho" w:cs="Arial"/>
                <w:b/>
                <w:sz w:val="20"/>
                <w:szCs w:val="20"/>
              </w:rPr>
              <w:t>25 to 31 Oct</w:t>
            </w:r>
          </w:p>
        </w:tc>
      </w:tr>
      <w:tr w:rsidR="00A148FE" w:rsidRPr="00167CB8" w14:paraId="44E0FC21"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4DA6F6" w14:textId="658653D4" w:rsidR="00A148FE" w:rsidRPr="00167CB8" w:rsidRDefault="00A148FE" w:rsidP="00EA4698">
            <w:pPr>
              <w:rPr>
                <w:rFonts w:eastAsia="MS Mincho" w:cs="Arial"/>
                <w:sz w:val="20"/>
                <w:szCs w:val="20"/>
              </w:rPr>
            </w:pPr>
            <w:r w:rsidRPr="00167CB8">
              <w:rPr>
                <w:rFonts w:eastAsia="MS Mincho" w:cs="Arial"/>
                <w:sz w:val="20"/>
                <w:szCs w:val="20"/>
              </w:rPr>
              <w:t>Number of investigations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AC90A" w14:textId="77777777" w:rsidR="00A148FE" w:rsidRPr="00167CB8" w:rsidRDefault="00A148FE" w:rsidP="00EA4698">
            <w:pPr>
              <w:jc w:val="center"/>
              <w:rPr>
                <w:rFonts w:eastAsia="MS Mincho" w:cs="Arial"/>
                <w:sz w:val="20"/>
                <w:szCs w:val="20"/>
              </w:rPr>
            </w:pPr>
            <w:r w:rsidRPr="00167CB8">
              <w:rPr>
                <w:rFonts w:eastAsia="MS Mincho" w:cs="Arial"/>
                <w:sz w:val="20"/>
                <w:szCs w:val="20"/>
              </w:rPr>
              <w:t>411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F5BC7" w14:textId="77777777" w:rsidR="00A148FE" w:rsidRPr="00167CB8" w:rsidRDefault="00A148FE" w:rsidP="00EA4698">
            <w:pPr>
              <w:jc w:val="center"/>
              <w:rPr>
                <w:rFonts w:eastAsia="MS Mincho" w:cs="Arial"/>
                <w:sz w:val="20"/>
                <w:szCs w:val="20"/>
              </w:rPr>
            </w:pPr>
            <w:r w:rsidRPr="00167CB8">
              <w:rPr>
                <w:rFonts w:eastAsia="MS Mincho" w:cs="Arial"/>
                <w:sz w:val="20"/>
                <w:szCs w:val="20"/>
              </w:rPr>
              <w:t>627</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00ACAC" w14:textId="77777777" w:rsidR="00A148FE" w:rsidRPr="00167CB8" w:rsidRDefault="00A148FE" w:rsidP="00EA4698">
            <w:pPr>
              <w:jc w:val="center"/>
              <w:rPr>
                <w:rFonts w:eastAsia="MS Mincho" w:cs="Arial"/>
                <w:sz w:val="20"/>
                <w:szCs w:val="20"/>
              </w:rPr>
            </w:pPr>
            <w:r w:rsidRPr="00167CB8">
              <w:rPr>
                <w:rFonts w:eastAsia="MS Mincho" w:cs="Arial"/>
                <w:sz w:val="20"/>
                <w:szCs w:val="20"/>
              </w:rPr>
              <w:t>547</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ED11FC" w14:textId="77777777" w:rsidR="00A148FE" w:rsidRPr="00167CB8" w:rsidRDefault="00A148FE" w:rsidP="00EA4698">
            <w:pPr>
              <w:jc w:val="center"/>
              <w:rPr>
                <w:rFonts w:eastAsia="MS Mincho" w:cs="Arial"/>
                <w:sz w:val="20"/>
                <w:szCs w:val="20"/>
              </w:rPr>
            </w:pPr>
            <w:r w:rsidRPr="00167CB8">
              <w:rPr>
                <w:rFonts w:eastAsia="MS Mincho" w:cs="Arial"/>
                <w:sz w:val="20"/>
                <w:szCs w:val="20"/>
              </w:rPr>
              <w:t>627</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D7BFAB" w14:textId="77777777" w:rsidR="00A148FE" w:rsidRPr="00167CB8" w:rsidRDefault="00A148FE" w:rsidP="00EA4698">
            <w:pPr>
              <w:jc w:val="center"/>
              <w:rPr>
                <w:rFonts w:eastAsia="MS Mincho" w:cs="Arial"/>
                <w:sz w:val="20"/>
                <w:szCs w:val="20"/>
              </w:rPr>
            </w:pPr>
            <w:r w:rsidRPr="00167CB8">
              <w:rPr>
                <w:rFonts w:eastAsia="MS Mincho" w:cs="Arial"/>
                <w:sz w:val="20"/>
                <w:szCs w:val="20"/>
              </w:rPr>
              <w:t>147</w:t>
            </w:r>
          </w:p>
        </w:tc>
      </w:tr>
      <w:tr w:rsidR="00A148FE" w:rsidRPr="00167CB8" w14:paraId="3F0B3799"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5653E" w14:textId="575BD3C6" w:rsidR="00A148FE" w:rsidRPr="00167CB8" w:rsidRDefault="00A148FE" w:rsidP="00EA4698">
            <w:pPr>
              <w:rPr>
                <w:rFonts w:eastAsia="MS Mincho" w:cs="Arial"/>
                <w:sz w:val="20"/>
                <w:szCs w:val="20"/>
              </w:rPr>
            </w:pPr>
            <w:r w:rsidRPr="00167CB8">
              <w:rPr>
                <w:rFonts w:eastAsia="MS Mincho" w:cs="Arial"/>
                <w:sz w:val="20"/>
                <w:szCs w:val="20"/>
              </w:rPr>
              <w:t xml:space="preserve">Number of </w:t>
            </w:r>
            <w:r w:rsidR="00957689" w:rsidRPr="00167CB8">
              <w:rPr>
                <w:rFonts w:eastAsia="MS Mincho" w:cs="Arial"/>
                <w:sz w:val="20"/>
                <w:szCs w:val="20"/>
              </w:rPr>
              <w:t>c</w:t>
            </w:r>
            <w:r w:rsidRPr="00167CB8">
              <w:rPr>
                <w:rFonts w:eastAsia="MS Mincho" w:cs="Arial"/>
                <w:sz w:val="20"/>
                <w:szCs w:val="20"/>
              </w:rPr>
              <w:t xml:space="preserve">ompliance </w:t>
            </w:r>
            <w:r w:rsidR="00957689" w:rsidRPr="00167CB8">
              <w:rPr>
                <w:rFonts w:eastAsia="MS Mincho" w:cs="Arial"/>
                <w:sz w:val="20"/>
                <w:szCs w:val="20"/>
              </w:rPr>
              <w:t>n</w:t>
            </w:r>
            <w:r w:rsidRPr="00167CB8">
              <w:rPr>
                <w:rFonts w:eastAsia="MS Mincho" w:cs="Arial"/>
                <w:sz w:val="20"/>
                <w:szCs w:val="20"/>
              </w:rPr>
              <w:t>otices issued</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9BA8A" w14:textId="77777777" w:rsidR="00A148FE" w:rsidRPr="00167CB8" w:rsidRDefault="00A148FE" w:rsidP="00EA4698">
            <w:pPr>
              <w:jc w:val="center"/>
              <w:rPr>
                <w:rFonts w:eastAsia="MS Mincho" w:cs="Arial"/>
                <w:sz w:val="20"/>
                <w:szCs w:val="20"/>
              </w:rPr>
            </w:pPr>
            <w:r w:rsidRPr="00167CB8">
              <w:rPr>
                <w:rFonts w:eastAsia="MS Mincho" w:cs="Arial"/>
                <w:sz w:val="20"/>
                <w:szCs w:val="20"/>
              </w:rPr>
              <w:t>252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610C1" w14:textId="77777777" w:rsidR="00A148FE" w:rsidRPr="00167CB8" w:rsidRDefault="00A148FE" w:rsidP="00EA4698">
            <w:pPr>
              <w:jc w:val="center"/>
              <w:rPr>
                <w:rFonts w:eastAsia="MS Mincho" w:cs="Arial"/>
                <w:sz w:val="20"/>
                <w:szCs w:val="20"/>
              </w:rPr>
            </w:pPr>
            <w:r w:rsidRPr="00167CB8">
              <w:rPr>
                <w:rFonts w:eastAsia="MS Mincho" w:cs="Arial"/>
                <w:sz w:val="20"/>
                <w:szCs w:val="20"/>
              </w:rPr>
              <w:t>367</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DA709" w14:textId="77777777" w:rsidR="00A148FE" w:rsidRPr="00167CB8" w:rsidRDefault="00A148FE" w:rsidP="00EA4698">
            <w:pPr>
              <w:jc w:val="center"/>
              <w:rPr>
                <w:rFonts w:eastAsia="MS Mincho" w:cs="Arial"/>
                <w:sz w:val="20"/>
                <w:szCs w:val="20"/>
              </w:rPr>
            </w:pPr>
            <w:r w:rsidRPr="00167CB8">
              <w:rPr>
                <w:rFonts w:eastAsia="MS Mincho" w:cs="Arial"/>
                <w:sz w:val="20"/>
                <w:szCs w:val="20"/>
              </w:rPr>
              <w:t>363</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2DE5D4" w14:textId="77777777" w:rsidR="00A148FE" w:rsidRPr="00167CB8" w:rsidRDefault="00A148FE" w:rsidP="00EA4698">
            <w:pPr>
              <w:jc w:val="center"/>
              <w:rPr>
                <w:rFonts w:eastAsia="MS Mincho" w:cs="Arial"/>
                <w:sz w:val="20"/>
                <w:szCs w:val="20"/>
              </w:rPr>
            </w:pPr>
            <w:r w:rsidRPr="00167CB8">
              <w:rPr>
                <w:rFonts w:eastAsia="MS Mincho" w:cs="Arial"/>
                <w:sz w:val="20"/>
                <w:szCs w:val="20"/>
              </w:rPr>
              <w:t>390</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D6BC85" w14:textId="77777777" w:rsidR="00A148FE" w:rsidRPr="00167CB8" w:rsidRDefault="00A148FE" w:rsidP="00EA4698">
            <w:pPr>
              <w:jc w:val="center"/>
              <w:rPr>
                <w:rFonts w:eastAsia="MS Mincho" w:cs="Arial"/>
                <w:sz w:val="20"/>
                <w:szCs w:val="20"/>
              </w:rPr>
            </w:pPr>
            <w:r w:rsidRPr="00167CB8">
              <w:rPr>
                <w:rFonts w:eastAsia="MS Mincho" w:cs="Arial"/>
                <w:sz w:val="20"/>
                <w:szCs w:val="20"/>
              </w:rPr>
              <w:t>57</w:t>
            </w:r>
          </w:p>
        </w:tc>
      </w:tr>
      <w:tr w:rsidR="00A148FE" w:rsidRPr="00167CB8" w14:paraId="1D07AD78"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60B709" w14:textId="1C117566" w:rsidR="00A148FE" w:rsidRPr="00167CB8" w:rsidRDefault="00A148FE" w:rsidP="00EA4698">
            <w:pPr>
              <w:rPr>
                <w:rFonts w:eastAsia="MS Mincho" w:cs="Arial"/>
                <w:sz w:val="20"/>
                <w:szCs w:val="20"/>
              </w:rPr>
            </w:pPr>
            <w:r w:rsidRPr="00167CB8">
              <w:rPr>
                <w:rFonts w:eastAsia="MS Mincho" w:cs="Arial"/>
                <w:sz w:val="20"/>
                <w:szCs w:val="20"/>
              </w:rPr>
              <w:t xml:space="preserve">Number of </w:t>
            </w:r>
            <w:r w:rsidR="00957689" w:rsidRPr="00167CB8">
              <w:rPr>
                <w:rFonts w:eastAsia="MS Mincho" w:cs="Arial"/>
                <w:sz w:val="20"/>
                <w:szCs w:val="20"/>
              </w:rPr>
              <w:t>i</w:t>
            </w:r>
            <w:r w:rsidRPr="00167CB8">
              <w:rPr>
                <w:rFonts w:eastAsia="MS Mincho" w:cs="Arial"/>
                <w:sz w:val="20"/>
                <w:szCs w:val="20"/>
              </w:rPr>
              <w:t xml:space="preserve">nfringement </w:t>
            </w:r>
            <w:r w:rsidR="00957689" w:rsidRPr="00167CB8">
              <w:rPr>
                <w:rFonts w:eastAsia="MS Mincho" w:cs="Arial"/>
                <w:sz w:val="20"/>
                <w:szCs w:val="20"/>
              </w:rPr>
              <w:t>n</w:t>
            </w:r>
            <w:r w:rsidRPr="00167CB8">
              <w:rPr>
                <w:rFonts w:eastAsia="MS Mincho" w:cs="Arial"/>
                <w:sz w:val="20"/>
                <w:szCs w:val="20"/>
              </w:rPr>
              <w:t>otices issued</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A8E91" w14:textId="77777777" w:rsidR="00A148FE" w:rsidRPr="00167CB8" w:rsidRDefault="00A148FE" w:rsidP="00EA4698">
            <w:pPr>
              <w:jc w:val="center"/>
              <w:rPr>
                <w:rFonts w:eastAsia="MS Mincho" w:cs="Arial"/>
                <w:sz w:val="20"/>
                <w:szCs w:val="20"/>
              </w:rPr>
            </w:pPr>
            <w:r w:rsidRPr="00167CB8">
              <w:rPr>
                <w:rFonts w:eastAsia="MS Mincho" w:cs="Arial"/>
                <w:sz w:val="20"/>
                <w:szCs w:val="20"/>
              </w:rPr>
              <w:t>39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1C104A" w14:textId="77777777" w:rsidR="00A148FE" w:rsidRPr="00167CB8" w:rsidRDefault="00A148FE" w:rsidP="00EA4698">
            <w:pPr>
              <w:jc w:val="center"/>
              <w:rPr>
                <w:rFonts w:eastAsia="MS Mincho" w:cs="Arial"/>
                <w:sz w:val="20"/>
                <w:szCs w:val="20"/>
              </w:rPr>
            </w:pPr>
            <w:r w:rsidRPr="00167CB8">
              <w:rPr>
                <w:rFonts w:eastAsia="MS Mincho" w:cs="Arial"/>
                <w:sz w:val="20"/>
                <w:szCs w:val="20"/>
              </w:rPr>
              <w:t>45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A9C8E4" w14:textId="77777777" w:rsidR="00A148FE" w:rsidRPr="00167CB8" w:rsidRDefault="00A148FE" w:rsidP="00EA4698">
            <w:pPr>
              <w:jc w:val="center"/>
              <w:rPr>
                <w:rFonts w:eastAsia="MS Mincho" w:cs="Arial"/>
                <w:sz w:val="20"/>
                <w:szCs w:val="20"/>
              </w:rPr>
            </w:pPr>
            <w:r w:rsidRPr="00167CB8">
              <w:rPr>
                <w:rFonts w:eastAsia="MS Mincho" w:cs="Arial"/>
                <w:sz w:val="20"/>
                <w:szCs w:val="20"/>
              </w:rPr>
              <w:t>64</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C9CC7" w14:textId="77777777" w:rsidR="00A148FE" w:rsidRPr="00167CB8" w:rsidRDefault="00A148FE" w:rsidP="00EA4698">
            <w:pPr>
              <w:jc w:val="center"/>
              <w:rPr>
                <w:rFonts w:eastAsia="MS Mincho" w:cs="Arial"/>
                <w:sz w:val="20"/>
                <w:szCs w:val="20"/>
              </w:rPr>
            </w:pPr>
            <w:r w:rsidRPr="00167CB8">
              <w:rPr>
                <w:rFonts w:eastAsia="MS Mincho" w:cs="Arial"/>
                <w:sz w:val="20"/>
                <w:szCs w:val="20"/>
              </w:rPr>
              <w:t>60</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78937" w14:textId="77777777" w:rsidR="00A148FE" w:rsidRPr="00167CB8" w:rsidRDefault="00A148FE" w:rsidP="00EA4698">
            <w:pPr>
              <w:jc w:val="center"/>
              <w:rPr>
                <w:rFonts w:eastAsia="MS Mincho" w:cs="Arial"/>
                <w:sz w:val="20"/>
                <w:szCs w:val="20"/>
              </w:rPr>
            </w:pPr>
            <w:r w:rsidRPr="00167CB8">
              <w:rPr>
                <w:rFonts w:eastAsia="MS Mincho" w:cs="Arial"/>
                <w:sz w:val="20"/>
                <w:szCs w:val="20"/>
              </w:rPr>
              <w:t>13</w:t>
            </w:r>
          </w:p>
        </w:tc>
      </w:tr>
      <w:tr w:rsidR="00A148FE" w:rsidRPr="00167CB8" w14:paraId="6507313B"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687B2" w14:textId="548193CD" w:rsidR="00A148FE" w:rsidRPr="00167CB8" w:rsidRDefault="00A148FE" w:rsidP="00EA4698">
            <w:pPr>
              <w:rPr>
                <w:rFonts w:eastAsia="MS Mincho" w:cs="Arial"/>
                <w:sz w:val="20"/>
                <w:szCs w:val="20"/>
              </w:rPr>
            </w:pPr>
            <w:r w:rsidRPr="00167CB8">
              <w:rPr>
                <w:rFonts w:eastAsia="MS Mincho" w:cs="Arial"/>
                <w:sz w:val="20"/>
                <w:szCs w:val="20"/>
              </w:rPr>
              <w:t xml:space="preserve">Number of </w:t>
            </w:r>
            <w:r w:rsidR="00955443" w:rsidRPr="00167CB8">
              <w:rPr>
                <w:rFonts w:eastAsia="MS Mincho" w:cs="Arial"/>
                <w:sz w:val="20"/>
                <w:szCs w:val="20"/>
              </w:rPr>
              <w:t>e</w:t>
            </w:r>
            <w:r w:rsidRPr="00167CB8">
              <w:rPr>
                <w:rFonts w:eastAsia="MS Mincho" w:cs="Arial"/>
                <w:sz w:val="20"/>
                <w:szCs w:val="20"/>
              </w:rPr>
              <w:t xml:space="preserve">nforceable </w:t>
            </w:r>
            <w:r w:rsidR="00955443" w:rsidRPr="00167CB8">
              <w:rPr>
                <w:rFonts w:eastAsia="MS Mincho" w:cs="Arial"/>
                <w:sz w:val="20"/>
                <w:szCs w:val="20"/>
              </w:rPr>
              <w:t>u</w:t>
            </w:r>
            <w:r w:rsidRPr="00167CB8">
              <w:rPr>
                <w:rFonts w:eastAsia="MS Mincho" w:cs="Arial"/>
                <w:sz w:val="20"/>
                <w:szCs w:val="20"/>
              </w:rPr>
              <w:t>ndertakings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E08CDC" w14:textId="0A0FFDA9" w:rsidR="00A148FE" w:rsidRPr="00167CB8" w:rsidRDefault="00955443" w:rsidP="00EA4698">
            <w:pPr>
              <w:jc w:val="center"/>
              <w:rPr>
                <w:rFonts w:eastAsia="MS Mincho" w:cs="Arial"/>
                <w:sz w:val="20"/>
                <w:szCs w:val="20"/>
              </w:rPr>
            </w:pPr>
            <w:r w:rsidRPr="00167CB8">
              <w:rPr>
                <w:rFonts w:ascii="Symbol" w:eastAsia="Symbol" w:hAnsi="Symbol" w:cs="Symbol"/>
                <w:sz w:val="20"/>
                <w:szCs w:val="20"/>
              </w:rPr>
              <w:sym w:font="Symbol" w:char="F02D"/>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889B8E" w14:textId="2282FC3C" w:rsidR="00A148FE" w:rsidRPr="00167CB8" w:rsidRDefault="00955443" w:rsidP="00EA4698">
            <w:pPr>
              <w:jc w:val="center"/>
              <w:rPr>
                <w:rFonts w:eastAsia="MS Mincho" w:cs="Arial"/>
                <w:sz w:val="20"/>
                <w:szCs w:val="20"/>
              </w:rPr>
            </w:pPr>
            <w:r w:rsidRPr="00167CB8">
              <w:rPr>
                <w:rFonts w:ascii="Symbol" w:eastAsia="Symbol" w:hAnsi="Symbol" w:cs="Symbol"/>
                <w:sz w:val="20"/>
                <w:szCs w:val="20"/>
              </w:rPr>
              <w:sym w:font="Symbol" w:char="F02D"/>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462F0" w14:textId="16135A59" w:rsidR="00A148FE" w:rsidRPr="00167CB8" w:rsidRDefault="00955443" w:rsidP="00EA4698">
            <w:pPr>
              <w:jc w:val="center"/>
              <w:rPr>
                <w:rFonts w:eastAsia="MS Mincho" w:cs="Arial"/>
                <w:sz w:val="20"/>
                <w:szCs w:val="20"/>
              </w:rPr>
            </w:pPr>
            <w:r w:rsidRPr="00167CB8">
              <w:rPr>
                <w:rFonts w:ascii="Symbol" w:eastAsia="Symbol" w:hAnsi="Symbol" w:cs="Symbol"/>
                <w:sz w:val="20"/>
                <w:szCs w:val="20"/>
              </w:rPr>
              <w:sym w:font="Symbol" w:char="F02D"/>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146E8D" w14:textId="7F7DC5EB" w:rsidR="00A148FE" w:rsidRPr="00167CB8" w:rsidRDefault="00955443" w:rsidP="00EA4698">
            <w:pPr>
              <w:jc w:val="center"/>
              <w:rPr>
                <w:rFonts w:eastAsia="MS Mincho" w:cs="Arial"/>
                <w:sz w:val="20"/>
                <w:szCs w:val="20"/>
              </w:rPr>
            </w:pPr>
            <w:r w:rsidRPr="00167CB8">
              <w:rPr>
                <w:rFonts w:ascii="Symbol" w:eastAsia="Symbol" w:hAnsi="Symbol" w:cs="Symbol"/>
                <w:sz w:val="20"/>
                <w:szCs w:val="20"/>
              </w:rPr>
              <w:sym w:font="Symbol" w:char="F02D"/>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E1D724" w14:textId="171ED46A" w:rsidR="00A148FE" w:rsidRPr="00167CB8" w:rsidRDefault="00955443" w:rsidP="00EA4698">
            <w:pPr>
              <w:jc w:val="center"/>
              <w:rPr>
                <w:rFonts w:eastAsia="MS Mincho" w:cs="Arial"/>
                <w:sz w:val="20"/>
                <w:szCs w:val="20"/>
              </w:rPr>
            </w:pPr>
            <w:r w:rsidRPr="00167CB8">
              <w:rPr>
                <w:rFonts w:ascii="Symbol" w:eastAsia="Symbol" w:hAnsi="Symbol" w:cs="Symbol"/>
                <w:sz w:val="20"/>
                <w:szCs w:val="20"/>
              </w:rPr>
              <w:sym w:font="Symbol" w:char="F02D"/>
            </w:r>
          </w:p>
        </w:tc>
      </w:tr>
      <w:tr w:rsidR="00A148FE" w:rsidRPr="00167CB8" w14:paraId="4A8A4971"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88444" w14:textId="471FE0FD" w:rsidR="00A148FE" w:rsidRPr="00167CB8" w:rsidRDefault="00A148FE" w:rsidP="00EA4698">
            <w:pPr>
              <w:rPr>
                <w:rFonts w:eastAsia="MS Mincho" w:cs="Arial"/>
                <w:sz w:val="20"/>
                <w:szCs w:val="20"/>
              </w:rPr>
            </w:pPr>
            <w:r w:rsidRPr="00167CB8">
              <w:rPr>
                <w:rFonts w:eastAsia="MS Mincho" w:cs="Arial"/>
                <w:sz w:val="20"/>
                <w:szCs w:val="20"/>
              </w:rPr>
              <w:t>Number of litigations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70AC1" w14:textId="77777777" w:rsidR="00A148FE" w:rsidRPr="00167CB8" w:rsidRDefault="00A148FE" w:rsidP="00EA4698">
            <w:pPr>
              <w:jc w:val="center"/>
              <w:rPr>
                <w:rFonts w:eastAsia="MS Mincho" w:cs="Arial"/>
                <w:sz w:val="20"/>
                <w:szCs w:val="20"/>
              </w:rPr>
            </w:pPr>
            <w:r w:rsidRPr="00167CB8">
              <w:rPr>
                <w:rFonts w:eastAsia="MS Mincho" w:cs="Arial"/>
                <w:sz w:val="20"/>
                <w:szCs w:val="20"/>
              </w:rPr>
              <w:t>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47717" w14:textId="77777777" w:rsidR="00A148FE" w:rsidRPr="00167CB8" w:rsidRDefault="00A148FE" w:rsidP="00EA4698">
            <w:pPr>
              <w:jc w:val="center"/>
              <w:rPr>
                <w:rFonts w:eastAsia="MS Mincho" w:cs="Arial"/>
                <w:sz w:val="20"/>
                <w:szCs w:val="20"/>
              </w:rPr>
            </w:pPr>
            <w:r w:rsidRPr="00167CB8">
              <w:rPr>
                <w:rFonts w:eastAsia="MS Mincho" w:cs="Arial"/>
                <w:sz w:val="20"/>
                <w:szCs w:val="20"/>
              </w:rPr>
              <w:t>16</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97330" w14:textId="77777777" w:rsidR="00A148FE" w:rsidRPr="00167CB8" w:rsidRDefault="00A148FE" w:rsidP="00EA4698">
            <w:pPr>
              <w:jc w:val="center"/>
              <w:rPr>
                <w:rFonts w:eastAsia="MS Mincho" w:cs="Arial"/>
                <w:sz w:val="20"/>
                <w:szCs w:val="20"/>
              </w:rPr>
            </w:pPr>
            <w:r w:rsidRPr="00167CB8">
              <w:rPr>
                <w:rFonts w:eastAsia="MS Mincho" w:cs="Arial"/>
                <w:sz w:val="20"/>
                <w:szCs w:val="20"/>
              </w:rPr>
              <w:t>18</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4DD5F" w14:textId="77777777" w:rsidR="00A148FE" w:rsidRPr="00167CB8" w:rsidRDefault="00A148FE" w:rsidP="00EA4698">
            <w:pPr>
              <w:jc w:val="center"/>
              <w:rPr>
                <w:rFonts w:eastAsia="MS Mincho" w:cs="Arial"/>
                <w:sz w:val="20"/>
                <w:szCs w:val="20"/>
              </w:rPr>
            </w:pPr>
            <w:r w:rsidRPr="00167CB8">
              <w:rPr>
                <w:rFonts w:eastAsia="MS Mincho" w:cs="Arial"/>
                <w:sz w:val="20"/>
                <w:szCs w:val="20"/>
              </w:rPr>
              <w:t>10</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D2C52" w14:textId="77777777" w:rsidR="00A148FE" w:rsidRPr="00167CB8" w:rsidRDefault="00A148FE" w:rsidP="00EA4698">
            <w:pPr>
              <w:jc w:val="center"/>
              <w:rPr>
                <w:rFonts w:eastAsia="MS Mincho" w:cs="Arial"/>
                <w:sz w:val="20"/>
                <w:szCs w:val="20"/>
              </w:rPr>
            </w:pPr>
            <w:r w:rsidRPr="00167CB8">
              <w:rPr>
                <w:rFonts w:eastAsia="MS Mincho" w:cs="Arial"/>
                <w:sz w:val="20"/>
                <w:szCs w:val="20"/>
              </w:rPr>
              <w:t xml:space="preserve">6 </w:t>
            </w:r>
          </w:p>
        </w:tc>
      </w:tr>
      <w:tr w:rsidR="00A148FE" w:rsidRPr="00167CB8" w14:paraId="69E11F66"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04400" w14:textId="14C7ACB8" w:rsidR="00A148FE" w:rsidRPr="00167CB8" w:rsidRDefault="00A148FE" w:rsidP="00EA4698">
            <w:pPr>
              <w:rPr>
                <w:rFonts w:eastAsia="MS Mincho" w:cs="Arial"/>
                <w:sz w:val="20"/>
                <w:szCs w:val="20"/>
              </w:rPr>
            </w:pPr>
            <w:r w:rsidRPr="00167CB8">
              <w:rPr>
                <w:rFonts w:eastAsia="MS Mincho" w:cs="Arial"/>
                <w:sz w:val="20"/>
                <w:szCs w:val="20"/>
              </w:rPr>
              <w:t>Total court</w:t>
            </w:r>
            <w:r w:rsidR="00955443" w:rsidRPr="00167CB8">
              <w:rPr>
                <w:rFonts w:eastAsia="MS Mincho" w:cs="Arial"/>
                <w:sz w:val="20"/>
                <w:szCs w:val="20"/>
              </w:rPr>
              <w:t>-</w:t>
            </w:r>
            <w:r w:rsidRPr="00167CB8">
              <w:rPr>
                <w:rFonts w:eastAsia="MS Mincho" w:cs="Arial"/>
                <w:sz w:val="20"/>
                <w:szCs w:val="20"/>
              </w:rPr>
              <w:t>ordered penalties</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D8691" w14:textId="77777777" w:rsidR="00A148FE" w:rsidRPr="00167CB8" w:rsidRDefault="00A148FE" w:rsidP="00EA4698">
            <w:pPr>
              <w:jc w:val="center"/>
              <w:rPr>
                <w:rFonts w:eastAsia="MS Mincho" w:cs="Arial"/>
                <w:sz w:val="20"/>
                <w:szCs w:val="20"/>
              </w:rPr>
            </w:pPr>
            <w:r w:rsidRPr="00167CB8">
              <w:rPr>
                <w:rFonts w:eastAsia="MS Mincho" w:cs="Arial"/>
                <w:sz w:val="20"/>
                <w:szCs w:val="20"/>
              </w:rPr>
              <w:t>$121,958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106F52" w14:textId="77777777" w:rsidR="00A148FE" w:rsidRPr="00167CB8" w:rsidRDefault="00A148FE" w:rsidP="00EA4698">
            <w:pPr>
              <w:jc w:val="center"/>
              <w:rPr>
                <w:rFonts w:eastAsia="MS Mincho" w:cs="Arial"/>
                <w:sz w:val="20"/>
                <w:szCs w:val="20"/>
              </w:rPr>
            </w:pPr>
            <w:r w:rsidRPr="00167CB8">
              <w:rPr>
                <w:rFonts w:eastAsia="MS Mincho" w:cs="Arial"/>
                <w:sz w:val="20"/>
                <w:szCs w:val="20"/>
              </w:rPr>
              <w:t>$73,574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865D" w14:textId="77777777" w:rsidR="00A148FE" w:rsidRPr="00167CB8" w:rsidRDefault="00A148FE" w:rsidP="00EA4698">
            <w:pPr>
              <w:jc w:val="center"/>
              <w:rPr>
                <w:rFonts w:eastAsia="MS Mincho" w:cs="Arial"/>
                <w:sz w:val="20"/>
                <w:szCs w:val="20"/>
              </w:rPr>
            </w:pPr>
            <w:r w:rsidRPr="00167CB8">
              <w:rPr>
                <w:rFonts w:eastAsia="MS Mincho" w:cs="Arial"/>
                <w:sz w:val="20"/>
                <w:szCs w:val="20"/>
              </w:rPr>
              <w:t>$1,095,603</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E7500" w14:textId="77777777" w:rsidR="00A148FE" w:rsidRPr="00167CB8" w:rsidRDefault="00A148FE" w:rsidP="00EA4698">
            <w:pPr>
              <w:jc w:val="center"/>
              <w:rPr>
                <w:rFonts w:eastAsia="MS Mincho" w:cs="Arial"/>
                <w:sz w:val="20"/>
                <w:szCs w:val="20"/>
              </w:rPr>
            </w:pPr>
            <w:r w:rsidRPr="00167CB8">
              <w:rPr>
                <w:rFonts w:eastAsia="MS Mincho" w:cs="Arial"/>
                <w:sz w:val="20"/>
                <w:szCs w:val="20"/>
              </w:rPr>
              <w:t>$1,349,578</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B6B52" w14:textId="77777777" w:rsidR="00A148FE" w:rsidRPr="00167CB8" w:rsidRDefault="00A148FE" w:rsidP="00EA4698">
            <w:pPr>
              <w:jc w:val="center"/>
              <w:rPr>
                <w:rFonts w:eastAsia="MS Mincho" w:cs="Arial"/>
                <w:sz w:val="20"/>
                <w:szCs w:val="20"/>
              </w:rPr>
            </w:pPr>
            <w:r w:rsidRPr="00167CB8">
              <w:rPr>
                <w:rFonts w:eastAsia="MS Mincho" w:cs="Arial"/>
                <w:sz w:val="20"/>
                <w:szCs w:val="20"/>
              </w:rPr>
              <w:t>$552,968</w:t>
            </w:r>
          </w:p>
        </w:tc>
      </w:tr>
      <w:tr w:rsidR="00A148FE" w:rsidRPr="00167CB8" w14:paraId="328EE4FA" w14:textId="77777777" w:rsidTr="005A27C2">
        <w:tc>
          <w:tcPr>
            <w:tcW w:w="23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E7A92" w14:textId="058BD315" w:rsidR="00A148FE" w:rsidRPr="00167CB8" w:rsidRDefault="00A148FE" w:rsidP="00EA4698">
            <w:pPr>
              <w:rPr>
                <w:rFonts w:eastAsia="MS Mincho" w:cs="Arial"/>
                <w:sz w:val="20"/>
                <w:szCs w:val="20"/>
              </w:rPr>
            </w:pPr>
            <w:r w:rsidRPr="00167CB8">
              <w:rPr>
                <w:rFonts w:eastAsia="MS Mincho" w:cs="Arial"/>
                <w:sz w:val="20"/>
                <w:szCs w:val="20"/>
              </w:rPr>
              <w:t>Total matters completed overall</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1302C" w14:textId="77777777" w:rsidR="00A148FE" w:rsidRPr="00167CB8" w:rsidRDefault="00A148FE" w:rsidP="00EA4698">
            <w:pPr>
              <w:jc w:val="center"/>
              <w:rPr>
                <w:rFonts w:eastAsia="MS Mincho" w:cs="Arial"/>
                <w:sz w:val="20"/>
                <w:szCs w:val="20"/>
              </w:rPr>
            </w:pPr>
            <w:r w:rsidRPr="00167CB8">
              <w:rPr>
                <w:rFonts w:eastAsia="MS Mincho" w:cs="Arial"/>
                <w:sz w:val="20"/>
                <w:szCs w:val="20"/>
              </w:rPr>
              <w:t>2,428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1C8A6" w14:textId="77777777" w:rsidR="00A148FE" w:rsidRPr="00167CB8" w:rsidRDefault="00A148FE" w:rsidP="00EA4698">
            <w:pPr>
              <w:jc w:val="center"/>
              <w:rPr>
                <w:rFonts w:eastAsia="MS Mincho" w:cs="Arial"/>
                <w:sz w:val="20"/>
                <w:szCs w:val="20"/>
              </w:rPr>
            </w:pPr>
            <w:r w:rsidRPr="00167CB8">
              <w:rPr>
                <w:rFonts w:eastAsia="MS Mincho" w:cs="Arial"/>
                <w:sz w:val="20"/>
                <w:szCs w:val="20"/>
              </w:rPr>
              <w:t>2,482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B58C7" w14:textId="77777777" w:rsidR="00A148FE" w:rsidRPr="00167CB8" w:rsidRDefault="00A148FE" w:rsidP="00EA4698">
            <w:pPr>
              <w:jc w:val="center"/>
              <w:rPr>
                <w:rFonts w:eastAsia="MS Mincho" w:cs="Arial"/>
                <w:sz w:val="20"/>
                <w:szCs w:val="20"/>
              </w:rPr>
            </w:pPr>
            <w:r w:rsidRPr="00167CB8">
              <w:rPr>
                <w:rFonts w:eastAsia="MS Mincho" w:cs="Arial"/>
                <w:sz w:val="20"/>
                <w:szCs w:val="20"/>
              </w:rPr>
              <w:t>2,089</w:t>
            </w:r>
          </w:p>
        </w:tc>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9A747" w14:textId="77777777" w:rsidR="00A148FE" w:rsidRPr="00167CB8" w:rsidRDefault="00A148FE" w:rsidP="00EA4698">
            <w:pPr>
              <w:jc w:val="center"/>
              <w:rPr>
                <w:rFonts w:eastAsia="MS Mincho" w:cs="Arial"/>
                <w:sz w:val="20"/>
                <w:szCs w:val="20"/>
              </w:rPr>
            </w:pPr>
            <w:r w:rsidRPr="00167CB8">
              <w:rPr>
                <w:rFonts w:eastAsia="MS Mincho" w:cs="Arial"/>
                <w:sz w:val="20"/>
                <w:szCs w:val="20"/>
              </w:rPr>
              <w:t>2,543</w:t>
            </w:r>
          </w:p>
        </w:tc>
        <w:tc>
          <w:tcPr>
            <w:tcW w:w="11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33897" w14:textId="77777777" w:rsidR="00A148FE" w:rsidRPr="00167CB8" w:rsidRDefault="00A148FE" w:rsidP="00EA4698">
            <w:pPr>
              <w:jc w:val="center"/>
              <w:rPr>
                <w:rFonts w:eastAsia="MS Mincho" w:cs="Arial"/>
                <w:sz w:val="20"/>
                <w:szCs w:val="20"/>
              </w:rPr>
            </w:pPr>
            <w:r w:rsidRPr="00167CB8">
              <w:rPr>
                <w:rFonts w:eastAsia="MS Mincho" w:cs="Arial"/>
                <w:sz w:val="20"/>
                <w:szCs w:val="20"/>
              </w:rPr>
              <w:t>954</w:t>
            </w:r>
          </w:p>
        </w:tc>
      </w:tr>
    </w:tbl>
    <w:p w14:paraId="2EF328DB" w14:textId="09616C29" w:rsidR="00A148FE" w:rsidRPr="00167CB8" w:rsidRDefault="00A148FE" w:rsidP="008D2180">
      <w:pPr>
        <w:pStyle w:val="Source"/>
      </w:pPr>
      <w:r w:rsidRPr="00167CB8">
        <w:rPr>
          <w:b/>
          <w:bCs/>
        </w:rPr>
        <w:t>Source:</w:t>
      </w:r>
      <w:r w:rsidRPr="00167CB8">
        <w:t xml:space="preserve"> Data provided by the FWO</w:t>
      </w:r>
      <w:r w:rsidR="008D2180" w:rsidRPr="00167CB8">
        <w:t>.</w:t>
      </w:r>
    </w:p>
    <w:p w14:paraId="417331D3" w14:textId="7668BCA5" w:rsidR="00A148FE" w:rsidRPr="00167CB8" w:rsidRDefault="00A148FE" w:rsidP="00EA4698">
      <w:pPr>
        <w:rPr>
          <w:rFonts w:eastAsia="MS Mincho" w:cs="Arial"/>
        </w:rPr>
      </w:pPr>
      <w:r w:rsidRPr="00167CB8">
        <w:rPr>
          <w:rFonts w:eastAsia="MS Mincho" w:cs="Arial"/>
        </w:rPr>
        <w:t xml:space="preserve">The ABCC’s investigations commenced and </w:t>
      </w:r>
      <w:r w:rsidR="006A717C" w:rsidRPr="00167CB8">
        <w:rPr>
          <w:rFonts w:eastAsia="MS Mincho" w:cs="Arial"/>
        </w:rPr>
        <w:t xml:space="preserve">finalised </w:t>
      </w:r>
      <w:r w:rsidRPr="00167CB8">
        <w:rPr>
          <w:rFonts w:eastAsia="MS Mincho" w:cs="Arial"/>
        </w:rPr>
        <w:t>between 2018</w:t>
      </w:r>
      <w:r w:rsidR="00955443" w:rsidRPr="00167CB8">
        <w:rPr>
          <w:rFonts w:ascii="Symbol" w:eastAsia="Symbol" w:hAnsi="Symbol" w:cs="Symbol"/>
        </w:rPr>
        <w:sym w:font="Symbol" w:char="F02D"/>
      </w:r>
      <w:r w:rsidR="00955443" w:rsidRPr="00167CB8">
        <w:rPr>
          <w:rFonts w:eastAsia="MS Mincho" w:cs="Arial"/>
        </w:rPr>
        <w:t>19</w:t>
      </w:r>
      <w:r w:rsidRPr="00167CB8">
        <w:rPr>
          <w:rFonts w:eastAsia="MS Mincho" w:cs="Arial"/>
        </w:rPr>
        <w:t xml:space="preserve"> and 2022</w:t>
      </w:r>
      <w:r w:rsidR="00955443" w:rsidRPr="00167CB8">
        <w:rPr>
          <w:rFonts w:ascii="Symbol" w:eastAsia="Symbol" w:hAnsi="Symbol" w:cs="Symbol"/>
        </w:rPr>
        <w:sym w:font="Symbol" w:char="F02D"/>
      </w:r>
      <w:r w:rsidRPr="00167CB8">
        <w:rPr>
          <w:rFonts w:eastAsia="MS Mincho" w:cs="Arial"/>
        </w:rPr>
        <w:t xml:space="preserve">23 are outlined below in Table </w:t>
      </w:r>
      <w:r w:rsidR="002F797D" w:rsidRPr="00167CB8">
        <w:rPr>
          <w:rFonts w:eastAsia="MS Mincho" w:cs="Arial"/>
        </w:rPr>
        <w:t>4</w:t>
      </w:r>
      <w:r w:rsidRPr="00167CB8">
        <w:rPr>
          <w:rFonts w:eastAsia="MS Mincho" w:cs="Arial"/>
        </w:rPr>
        <w:t xml:space="preserve"> below. </w:t>
      </w:r>
    </w:p>
    <w:p w14:paraId="7B4B4470" w14:textId="2B1A06F8" w:rsidR="00A148FE" w:rsidRPr="00167CB8" w:rsidRDefault="00A148FE" w:rsidP="00470AB9">
      <w:pPr>
        <w:pStyle w:val="Caption"/>
      </w:pPr>
      <w:r w:rsidRPr="00167CB8">
        <w:t xml:space="preserve">Table </w:t>
      </w:r>
      <w:r w:rsidR="002F797D" w:rsidRPr="00167CB8">
        <w:t>4</w:t>
      </w:r>
      <w:r w:rsidRPr="00167CB8">
        <w:t>: ABCC building and construction sector industry data </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9"/>
        <w:gridCol w:w="1105"/>
        <w:gridCol w:w="1106"/>
        <w:gridCol w:w="1105"/>
        <w:gridCol w:w="1106"/>
        <w:gridCol w:w="1106"/>
      </w:tblGrid>
      <w:tr w:rsidR="00A148FE" w:rsidRPr="00167CB8" w14:paraId="0A51ADF8" w14:textId="77777777" w:rsidTr="00796A6E">
        <w:tc>
          <w:tcPr>
            <w:tcW w:w="2949"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118D8642" w14:textId="1D19BDF4" w:rsidR="00A148FE" w:rsidRPr="00167CB8" w:rsidRDefault="00796A6E" w:rsidP="00EA4698">
            <w:pPr>
              <w:rPr>
                <w:rFonts w:eastAsia="MS Mincho" w:cs="Arial"/>
                <w:bCs/>
                <w:sz w:val="20"/>
                <w:szCs w:val="20"/>
              </w:rPr>
            </w:pPr>
            <w:r w:rsidRPr="00167CB8">
              <w:rPr>
                <w:rFonts w:eastAsia="MS Mincho" w:cs="Arial"/>
                <w:bCs/>
                <w:sz w:val="20"/>
                <w:szCs w:val="20"/>
              </w:rPr>
              <w:t>Financial year</w:t>
            </w:r>
          </w:p>
        </w:tc>
        <w:tc>
          <w:tcPr>
            <w:tcW w:w="1105"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7D645855" w14:textId="086000EB" w:rsidR="00A148FE" w:rsidRPr="00167CB8" w:rsidRDefault="00955443" w:rsidP="00EA4698">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18</w:t>
            </w:r>
            <w:r w:rsidRPr="00167CB8">
              <w:rPr>
                <w:rFonts w:ascii="Symbol" w:eastAsia="Symbol" w:hAnsi="Symbol" w:cs="Symbol"/>
                <w:b/>
                <w:sz w:val="20"/>
                <w:szCs w:val="20"/>
              </w:rPr>
              <w:sym w:font="Symbol" w:char="F02D"/>
            </w:r>
            <w:r w:rsidR="00A148FE" w:rsidRPr="00167CB8">
              <w:rPr>
                <w:rFonts w:eastAsia="MS Mincho" w:cs="Arial"/>
                <w:b/>
                <w:sz w:val="20"/>
                <w:szCs w:val="20"/>
              </w:rPr>
              <w:t>19</w:t>
            </w:r>
          </w:p>
        </w:tc>
        <w:tc>
          <w:tcPr>
            <w:tcW w:w="1106"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0D9DA43A" w14:textId="0C946E4A" w:rsidR="00A148FE" w:rsidRPr="00167CB8" w:rsidRDefault="00955443" w:rsidP="00EA4698">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19</w:t>
            </w:r>
            <w:r w:rsidRPr="00167CB8">
              <w:rPr>
                <w:rFonts w:ascii="Symbol" w:eastAsia="Symbol" w:hAnsi="Symbol" w:cs="Symbol"/>
                <w:b/>
                <w:sz w:val="20"/>
                <w:szCs w:val="20"/>
              </w:rPr>
              <w:sym w:font="Symbol" w:char="F02D"/>
            </w:r>
            <w:r w:rsidR="00A148FE" w:rsidRPr="00167CB8">
              <w:rPr>
                <w:rFonts w:eastAsia="MS Mincho" w:cs="Arial"/>
                <w:b/>
                <w:sz w:val="20"/>
                <w:szCs w:val="20"/>
              </w:rPr>
              <w:t>20</w:t>
            </w:r>
          </w:p>
        </w:tc>
        <w:tc>
          <w:tcPr>
            <w:tcW w:w="1105"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73B1F58C" w14:textId="055E19DC" w:rsidR="00A148FE" w:rsidRPr="00167CB8" w:rsidRDefault="00955443" w:rsidP="00EA4698">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20</w:t>
            </w:r>
            <w:r w:rsidRPr="00167CB8">
              <w:rPr>
                <w:rFonts w:ascii="Symbol" w:eastAsia="Symbol" w:hAnsi="Symbol" w:cs="Symbol"/>
                <w:b/>
                <w:sz w:val="20"/>
                <w:szCs w:val="20"/>
              </w:rPr>
              <w:sym w:font="Symbol" w:char="F02D"/>
            </w:r>
            <w:r w:rsidR="00A148FE" w:rsidRPr="00167CB8">
              <w:rPr>
                <w:rFonts w:eastAsia="MS Mincho" w:cs="Arial"/>
                <w:b/>
                <w:sz w:val="20"/>
                <w:szCs w:val="20"/>
              </w:rPr>
              <w:t>21</w:t>
            </w:r>
          </w:p>
        </w:tc>
        <w:tc>
          <w:tcPr>
            <w:tcW w:w="1106" w:type="dxa"/>
            <w:tcBorders>
              <w:top w:val="single" w:sz="4" w:space="0" w:color="auto"/>
              <w:left w:val="single" w:sz="4" w:space="0" w:color="auto"/>
              <w:bottom w:val="single" w:sz="4" w:space="0" w:color="auto"/>
              <w:right w:val="single" w:sz="4" w:space="0" w:color="auto"/>
            </w:tcBorders>
            <w:shd w:val="clear" w:color="auto" w:fill="EAEBEC" w:themeFill="text2" w:themeFillTint="1A"/>
            <w:tcMar>
              <w:top w:w="0" w:type="dxa"/>
              <w:left w:w="108" w:type="dxa"/>
              <w:bottom w:w="0" w:type="dxa"/>
              <w:right w:w="108" w:type="dxa"/>
            </w:tcMar>
          </w:tcPr>
          <w:p w14:paraId="0D25E9B5" w14:textId="1A9C6183" w:rsidR="00A148FE" w:rsidRPr="00167CB8" w:rsidRDefault="00955443" w:rsidP="00EA4698">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21</w:t>
            </w:r>
            <w:r w:rsidRPr="00167CB8">
              <w:rPr>
                <w:rFonts w:ascii="Symbol" w:eastAsia="Symbol" w:hAnsi="Symbol" w:cs="Symbol"/>
                <w:b/>
                <w:sz w:val="20"/>
                <w:szCs w:val="20"/>
              </w:rPr>
              <w:sym w:font="Symbol" w:char="F02D"/>
            </w:r>
            <w:r w:rsidR="00A148FE" w:rsidRPr="00167CB8">
              <w:rPr>
                <w:rFonts w:eastAsia="MS Mincho" w:cs="Arial"/>
                <w:b/>
                <w:sz w:val="20"/>
                <w:szCs w:val="20"/>
              </w:rPr>
              <w:t>22</w:t>
            </w:r>
          </w:p>
        </w:tc>
        <w:tc>
          <w:tcPr>
            <w:tcW w:w="1106" w:type="dxa"/>
            <w:tcBorders>
              <w:top w:val="single" w:sz="4" w:space="0" w:color="auto"/>
              <w:left w:val="single" w:sz="4" w:space="0" w:color="auto"/>
              <w:bottom w:val="single" w:sz="4" w:space="0" w:color="auto"/>
              <w:right w:val="single" w:sz="4" w:space="0" w:color="auto"/>
            </w:tcBorders>
            <w:shd w:val="clear" w:color="auto" w:fill="EAEBEC" w:themeFill="text2" w:themeFillTint="1A"/>
          </w:tcPr>
          <w:p w14:paraId="02838353" w14:textId="7A0DC521" w:rsidR="00A148FE" w:rsidRPr="00167CB8" w:rsidRDefault="00955443" w:rsidP="00EA4698">
            <w:pPr>
              <w:jc w:val="center"/>
              <w:rPr>
                <w:rFonts w:eastAsia="MS Mincho" w:cs="Arial"/>
                <w:b/>
                <w:sz w:val="20"/>
                <w:szCs w:val="20"/>
              </w:rPr>
            </w:pPr>
            <w:r w:rsidRPr="00167CB8">
              <w:rPr>
                <w:rFonts w:eastAsia="MS Mincho" w:cs="Arial"/>
                <w:b/>
                <w:sz w:val="20"/>
                <w:szCs w:val="20"/>
              </w:rPr>
              <w:t>20</w:t>
            </w:r>
            <w:r w:rsidR="00A148FE" w:rsidRPr="00167CB8">
              <w:rPr>
                <w:rFonts w:eastAsia="MS Mincho" w:cs="Arial"/>
                <w:b/>
                <w:sz w:val="20"/>
                <w:szCs w:val="20"/>
              </w:rPr>
              <w:t>22</w:t>
            </w:r>
            <w:r w:rsidRPr="00167CB8">
              <w:rPr>
                <w:rFonts w:ascii="Symbol" w:eastAsia="Symbol" w:hAnsi="Symbol" w:cs="Symbol"/>
                <w:b/>
                <w:sz w:val="20"/>
                <w:szCs w:val="20"/>
              </w:rPr>
              <w:sym w:font="Symbol" w:char="F02D"/>
            </w:r>
            <w:r w:rsidR="00A148FE" w:rsidRPr="00167CB8">
              <w:rPr>
                <w:rFonts w:eastAsia="MS Mincho" w:cs="Arial"/>
                <w:b/>
                <w:sz w:val="20"/>
                <w:szCs w:val="20"/>
              </w:rPr>
              <w:t>23 (to 30 June 2023)</w:t>
            </w:r>
          </w:p>
        </w:tc>
      </w:tr>
      <w:tr w:rsidR="00A148FE" w:rsidRPr="00167CB8" w14:paraId="329472F4" w14:textId="77777777" w:rsidTr="00796A6E">
        <w:tc>
          <w:tcPr>
            <w:tcW w:w="2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8BBA04" w14:textId="77777777" w:rsidR="00A148FE" w:rsidRPr="00167CB8" w:rsidRDefault="00A148FE" w:rsidP="00EA4698">
            <w:pPr>
              <w:rPr>
                <w:rFonts w:eastAsia="MS Mincho" w:cs="Arial"/>
                <w:sz w:val="20"/>
                <w:szCs w:val="20"/>
              </w:rPr>
            </w:pPr>
            <w:r w:rsidRPr="00167CB8">
              <w:rPr>
                <w:rFonts w:eastAsia="MS Mincho" w:cs="Arial"/>
                <w:sz w:val="20"/>
                <w:szCs w:val="20"/>
              </w:rPr>
              <w:t>Investigations commenced</w:t>
            </w:r>
          </w:p>
        </w:tc>
        <w:tc>
          <w:tcPr>
            <w:tcW w:w="1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6C21C1" w14:textId="77777777" w:rsidR="00A148FE" w:rsidRPr="00167CB8" w:rsidRDefault="00A148FE" w:rsidP="00EA4698">
            <w:pPr>
              <w:jc w:val="center"/>
              <w:rPr>
                <w:rFonts w:eastAsia="MS Mincho" w:cs="Arial"/>
                <w:sz w:val="20"/>
                <w:szCs w:val="20"/>
              </w:rPr>
            </w:pPr>
            <w:r w:rsidRPr="00167CB8">
              <w:rPr>
                <w:rFonts w:eastAsia="MS Mincho" w:cs="Arial"/>
                <w:sz w:val="20"/>
                <w:szCs w:val="20"/>
              </w:rPr>
              <w:t xml:space="preserve">206 </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7D2D7" w14:textId="77777777" w:rsidR="00A148FE" w:rsidRPr="00167CB8" w:rsidRDefault="00A148FE" w:rsidP="00EA4698">
            <w:pPr>
              <w:jc w:val="center"/>
              <w:rPr>
                <w:rFonts w:eastAsia="MS Mincho" w:cs="Arial"/>
                <w:sz w:val="20"/>
                <w:szCs w:val="20"/>
              </w:rPr>
            </w:pPr>
            <w:r w:rsidRPr="00167CB8">
              <w:rPr>
                <w:rFonts w:eastAsia="MS Mincho" w:cs="Arial"/>
                <w:sz w:val="20"/>
                <w:szCs w:val="20"/>
              </w:rPr>
              <w:t xml:space="preserve">162 </w:t>
            </w:r>
          </w:p>
        </w:tc>
        <w:tc>
          <w:tcPr>
            <w:tcW w:w="1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4040E4" w14:textId="77777777" w:rsidR="00A148FE" w:rsidRPr="00167CB8" w:rsidRDefault="00A148FE" w:rsidP="00EA4698">
            <w:pPr>
              <w:jc w:val="center"/>
              <w:rPr>
                <w:rFonts w:eastAsia="MS Mincho" w:cs="Arial"/>
                <w:sz w:val="20"/>
                <w:szCs w:val="20"/>
              </w:rPr>
            </w:pPr>
            <w:r w:rsidRPr="00167CB8">
              <w:rPr>
                <w:rFonts w:eastAsia="MS Mincho" w:cs="Arial"/>
                <w:sz w:val="20"/>
                <w:szCs w:val="20"/>
              </w:rPr>
              <w:t>117</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067346" w14:textId="77777777" w:rsidR="00A148FE" w:rsidRPr="00167CB8" w:rsidRDefault="00A148FE" w:rsidP="00EA4698">
            <w:pPr>
              <w:jc w:val="center"/>
              <w:rPr>
                <w:rFonts w:eastAsia="MS Mincho" w:cs="Arial"/>
                <w:sz w:val="20"/>
                <w:szCs w:val="20"/>
              </w:rPr>
            </w:pPr>
            <w:r w:rsidRPr="00167CB8">
              <w:rPr>
                <w:rFonts w:eastAsia="MS Mincho" w:cs="Arial"/>
                <w:sz w:val="20"/>
                <w:szCs w:val="20"/>
              </w:rPr>
              <w:t xml:space="preserve">164 </w:t>
            </w:r>
          </w:p>
        </w:tc>
        <w:tc>
          <w:tcPr>
            <w:tcW w:w="1106" w:type="dxa"/>
            <w:tcBorders>
              <w:top w:val="single" w:sz="4" w:space="0" w:color="auto"/>
              <w:left w:val="single" w:sz="4" w:space="0" w:color="auto"/>
              <w:bottom w:val="single" w:sz="4" w:space="0" w:color="auto"/>
              <w:right w:val="single" w:sz="4" w:space="0" w:color="auto"/>
            </w:tcBorders>
          </w:tcPr>
          <w:p w14:paraId="051FDE01" w14:textId="6C105A29" w:rsidR="00A148FE" w:rsidRPr="00167CB8" w:rsidRDefault="00A148FE" w:rsidP="00955443">
            <w:pPr>
              <w:jc w:val="center"/>
              <w:rPr>
                <w:rFonts w:eastAsia="MS Mincho" w:cs="Arial"/>
                <w:sz w:val="20"/>
                <w:szCs w:val="20"/>
              </w:rPr>
            </w:pPr>
            <w:r w:rsidRPr="00167CB8">
              <w:rPr>
                <w:rFonts w:eastAsia="MS Mincho" w:cs="Arial"/>
                <w:sz w:val="20"/>
                <w:szCs w:val="20"/>
              </w:rPr>
              <w:t>30</w:t>
            </w:r>
          </w:p>
        </w:tc>
      </w:tr>
      <w:tr w:rsidR="00A148FE" w:rsidRPr="00167CB8" w14:paraId="25A12D6A" w14:textId="77777777" w:rsidTr="00796A6E">
        <w:tc>
          <w:tcPr>
            <w:tcW w:w="29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AC306" w14:textId="77777777" w:rsidR="00A148FE" w:rsidRPr="00167CB8" w:rsidRDefault="00A148FE" w:rsidP="00EA4698">
            <w:pPr>
              <w:rPr>
                <w:rFonts w:eastAsia="MS Mincho" w:cs="Arial"/>
                <w:sz w:val="20"/>
                <w:szCs w:val="20"/>
              </w:rPr>
            </w:pPr>
            <w:r w:rsidRPr="00167CB8">
              <w:rPr>
                <w:rFonts w:eastAsia="MS Mincho" w:cs="Arial"/>
                <w:sz w:val="20"/>
                <w:szCs w:val="20"/>
              </w:rPr>
              <w:t>Investigations finalised</w:t>
            </w:r>
          </w:p>
        </w:tc>
        <w:tc>
          <w:tcPr>
            <w:tcW w:w="1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E8827D" w14:textId="77777777" w:rsidR="00A148FE" w:rsidRPr="00167CB8" w:rsidRDefault="00A148FE" w:rsidP="00EA4698">
            <w:pPr>
              <w:jc w:val="center"/>
              <w:rPr>
                <w:rFonts w:eastAsia="MS Mincho" w:cs="Arial"/>
                <w:sz w:val="20"/>
                <w:szCs w:val="20"/>
              </w:rPr>
            </w:pPr>
            <w:r w:rsidRPr="00167CB8">
              <w:rPr>
                <w:rFonts w:eastAsia="MS Mincho" w:cs="Arial"/>
                <w:sz w:val="20"/>
                <w:szCs w:val="20"/>
              </w:rPr>
              <w:t>216</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E2CFED" w14:textId="77777777" w:rsidR="00A148FE" w:rsidRPr="00167CB8" w:rsidRDefault="00A148FE" w:rsidP="00EA4698">
            <w:pPr>
              <w:jc w:val="center"/>
              <w:rPr>
                <w:rFonts w:eastAsia="MS Mincho" w:cs="Arial"/>
                <w:sz w:val="20"/>
                <w:szCs w:val="20"/>
              </w:rPr>
            </w:pPr>
            <w:r w:rsidRPr="00167CB8">
              <w:rPr>
                <w:rFonts w:eastAsia="MS Mincho" w:cs="Arial"/>
                <w:sz w:val="20"/>
                <w:szCs w:val="20"/>
              </w:rPr>
              <w:t>147</w:t>
            </w:r>
          </w:p>
        </w:tc>
        <w:tc>
          <w:tcPr>
            <w:tcW w:w="1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53F25" w14:textId="504A8115" w:rsidR="00A148FE" w:rsidRPr="00167CB8" w:rsidRDefault="00A148FE" w:rsidP="00955443">
            <w:pPr>
              <w:jc w:val="center"/>
              <w:rPr>
                <w:rFonts w:eastAsia="MS Mincho" w:cs="Arial"/>
                <w:sz w:val="20"/>
                <w:szCs w:val="20"/>
              </w:rPr>
            </w:pPr>
            <w:r w:rsidRPr="00167CB8">
              <w:rPr>
                <w:rFonts w:eastAsia="MS Mincho" w:cs="Arial"/>
                <w:sz w:val="20"/>
                <w:szCs w:val="20"/>
              </w:rPr>
              <w:t>134</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419AD" w14:textId="77777777" w:rsidR="00A148FE" w:rsidRPr="00167CB8" w:rsidRDefault="00A148FE" w:rsidP="00EA4698">
            <w:pPr>
              <w:jc w:val="center"/>
              <w:rPr>
                <w:rFonts w:eastAsia="MS Mincho" w:cs="Arial"/>
                <w:sz w:val="20"/>
                <w:szCs w:val="20"/>
              </w:rPr>
            </w:pPr>
            <w:r w:rsidRPr="00167CB8">
              <w:rPr>
                <w:rFonts w:eastAsia="MS Mincho" w:cs="Arial"/>
                <w:sz w:val="20"/>
                <w:szCs w:val="20"/>
              </w:rPr>
              <w:t>171</w:t>
            </w:r>
          </w:p>
        </w:tc>
        <w:tc>
          <w:tcPr>
            <w:tcW w:w="1106" w:type="dxa"/>
            <w:tcBorders>
              <w:top w:val="single" w:sz="4" w:space="0" w:color="auto"/>
              <w:left w:val="single" w:sz="4" w:space="0" w:color="auto"/>
              <w:bottom w:val="single" w:sz="4" w:space="0" w:color="auto"/>
              <w:right w:val="single" w:sz="4" w:space="0" w:color="auto"/>
            </w:tcBorders>
          </w:tcPr>
          <w:p w14:paraId="3F89D445" w14:textId="77777777" w:rsidR="00A148FE" w:rsidRPr="00167CB8" w:rsidRDefault="00A148FE" w:rsidP="00EA4698">
            <w:pPr>
              <w:jc w:val="center"/>
              <w:rPr>
                <w:rFonts w:eastAsia="MS Mincho" w:cs="Arial"/>
                <w:sz w:val="20"/>
                <w:szCs w:val="20"/>
              </w:rPr>
            </w:pPr>
            <w:r w:rsidRPr="00167CB8">
              <w:rPr>
                <w:rFonts w:eastAsia="MS Mincho" w:cs="Arial"/>
                <w:sz w:val="20"/>
                <w:szCs w:val="20"/>
              </w:rPr>
              <w:t>78</w:t>
            </w:r>
          </w:p>
        </w:tc>
      </w:tr>
    </w:tbl>
    <w:p w14:paraId="335806E3" w14:textId="1084C14B" w:rsidR="00A148FE" w:rsidRPr="00167CB8" w:rsidRDefault="00A148FE" w:rsidP="008D2180">
      <w:pPr>
        <w:pStyle w:val="Source"/>
      </w:pPr>
      <w:r w:rsidRPr="00167CB8">
        <w:rPr>
          <w:b/>
          <w:bCs/>
        </w:rPr>
        <w:t>Source:</w:t>
      </w:r>
      <w:r w:rsidRPr="00167CB8">
        <w:t xml:space="preserve"> ABCC </w:t>
      </w:r>
      <w:r w:rsidR="00955443" w:rsidRPr="00167CB8">
        <w:t>a</w:t>
      </w:r>
      <w:r w:rsidRPr="00167CB8">
        <w:t xml:space="preserve">nnual </w:t>
      </w:r>
      <w:r w:rsidR="00955443" w:rsidRPr="00167CB8">
        <w:t>r</w:t>
      </w:r>
      <w:r w:rsidRPr="00167CB8">
        <w:t>eports 2018</w:t>
      </w:r>
      <w:r w:rsidR="00955443" w:rsidRPr="00167CB8">
        <w:rPr>
          <w:rFonts w:ascii="Symbol" w:eastAsia="Symbol" w:hAnsi="Symbol" w:cs="Symbol"/>
        </w:rPr>
        <w:sym w:font="Symbol" w:char="F02D"/>
      </w:r>
      <w:r w:rsidRPr="00167CB8">
        <w:t>19, 2019</w:t>
      </w:r>
      <w:r w:rsidR="00955443" w:rsidRPr="00167CB8">
        <w:rPr>
          <w:rFonts w:ascii="Symbol" w:eastAsia="Symbol" w:hAnsi="Symbol" w:cs="Symbol"/>
        </w:rPr>
        <w:sym w:font="Symbol" w:char="F02D"/>
      </w:r>
      <w:r w:rsidRPr="00167CB8">
        <w:t>20, 2020</w:t>
      </w:r>
      <w:r w:rsidR="00955443" w:rsidRPr="00167CB8">
        <w:rPr>
          <w:rFonts w:ascii="Symbol" w:eastAsia="Symbol" w:hAnsi="Symbol" w:cs="Symbol"/>
        </w:rPr>
        <w:sym w:font="Symbol" w:char="F02D"/>
      </w:r>
      <w:r w:rsidRPr="00167CB8">
        <w:t>21, and 2021</w:t>
      </w:r>
      <w:r w:rsidR="00955443" w:rsidRPr="00167CB8">
        <w:rPr>
          <w:rFonts w:ascii="Symbol" w:eastAsia="Symbol" w:hAnsi="Symbol" w:cs="Symbol"/>
        </w:rPr>
        <w:sym w:font="Symbol" w:char="F02D"/>
      </w:r>
      <w:r w:rsidRPr="00167CB8">
        <w:t>22; FWO</w:t>
      </w:r>
      <w:r w:rsidR="00A14864" w:rsidRPr="00167CB8">
        <w:t>,</w:t>
      </w:r>
      <w:r w:rsidRPr="00167CB8">
        <w:t xml:space="preserve"> </w:t>
      </w:r>
      <w:r w:rsidRPr="00167CB8">
        <w:rPr>
          <w:i/>
          <w:iCs/>
        </w:rPr>
        <w:t>Annual Report 2022</w:t>
      </w:r>
      <w:r w:rsidR="00955443" w:rsidRPr="00167CB8">
        <w:rPr>
          <w:rFonts w:ascii="Symbol" w:eastAsia="Symbol" w:hAnsi="Symbol" w:cs="Symbol"/>
          <w:i/>
        </w:rPr>
        <w:sym w:font="Symbol" w:char="F02D"/>
      </w:r>
      <w:r w:rsidRPr="00167CB8">
        <w:rPr>
          <w:i/>
          <w:iCs/>
        </w:rPr>
        <w:t>23</w:t>
      </w:r>
      <w:r w:rsidR="008D2180" w:rsidRPr="00167CB8">
        <w:t>.</w:t>
      </w:r>
    </w:p>
    <w:p w14:paraId="530D01F7" w14:textId="4238FFA6" w:rsidR="00A148FE" w:rsidRPr="00167CB8" w:rsidRDefault="00465C1C" w:rsidP="00EA4698">
      <w:pPr>
        <w:rPr>
          <w:rFonts w:eastAsia="MS Mincho" w:cs="Arial"/>
        </w:rPr>
      </w:pPr>
      <w:r w:rsidRPr="00167CB8">
        <w:rPr>
          <w:rFonts w:eastAsia="MS Mincho" w:cs="Arial"/>
        </w:rPr>
        <w:t xml:space="preserve">Between </w:t>
      </w:r>
      <w:r w:rsidR="00A148FE" w:rsidRPr="00167CB8">
        <w:rPr>
          <w:rFonts w:eastAsia="MS Mincho" w:cs="Arial"/>
        </w:rPr>
        <w:t>2020</w:t>
      </w:r>
      <w:r w:rsidR="00955443" w:rsidRPr="00167CB8">
        <w:rPr>
          <w:rFonts w:ascii="Symbol" w:eastAsia="Symbol" w:hAnsi="Symbol" w:cs="Symbol"/>
        </w:rPr>
        <w:sym w:font="Symbol" w:char="F02D"/>
      </w:r>
      <w:r w:rsidR="00A148FE" w:rsidRPr="00167CB8">
        <w:rPr>
          <w:rFonts w:eastAsia="MS Mincho" w:cs="Arial"/>
        </w:rPr>
        <w:t xml:space="preserve">21 </w:t>
      </w:r>
      <w:r w:rsidRPr="00167CB8">
        <w:rPr>
          <w:rFonts w:eastAsia="MS Mincho" w:cs="Arial"/>
        </w:rPr>
        <w:t xml:space="preserve">and </w:t>
      </w:r>
      <w:r w:rsidR="00A148FE" w:rsidRPr="00167CB8">
        <w:rPr>
          <w:rFonts w:eastAsia="MS Mincho" w:cs="Arial"/>
        </w:rPr>
        <w:t>2024</w:t>
      </w:r>
      <w:r w:rsidR="00955443" w:rsidRPr="00167CB8">
        <w:rPr>
          <w:rFonts w:ascii="Symbol" w:eastAsia="Symbol" w:hAnsi="Symbol" w:cs="Symbol"/>
        </w:rPr>
        <w:sym w:font="Symbol" w:char="F02D"/>
      </w:r>
      <w:r w:rsidR="00A148FE" w:rsidRPr="00167CB8">
        <w:rPr>
          <w:rFonts w:eastAsia="MS Mincho" w:cs="Arial"/>
        </w:rPr>
        <w:t>25 (to 31 October 2024), the FWO commenced 55 litigations and secured $1,833,103 in court</w:t>
      </w:r>
      <w:r w:rsidR="00955443" w:rsidRPr="00167CB8">
        <w:rPr>
          <w:rFonts w:eastAsia="MS Mincho" w:cs="Arial"/>
        </w:rPr>
        <w:t>-</w:t>
      </w:r>
      <w:r w:rsidR="00A148FE" w:rsidRPr="00167CB8">
        <w:rPr>
          <w:rFonts w:eastAsia="MS Mincho" w:cs="Arial"/>
        </w:rPr>
        <w:t xml:space="preserve">ordered penalties in the building and construction sector. This includes part of the period in which the FWO has been responsible for the entire building and construction sector.  </w:t>
      </w:r>
    </w:p>
    <w:p w14:paraId="35112FDB" w14:textId="2579F966" w:rsidR="00A148FE" w:rsidRPr="00167CB8" w:rsidRDefault="00A148FE" w:rsidP="00EA4698">
      <w:pPr>
        <w:rPr>
          <w:rFonts w:eastAsia="MS Mincho" w:cs="Arial"/>
        </w:rPr>
      </w:pPr>
      <w:r w:rsidRPr="00167CB8">
        <w:rPr>
          <w:rFonts w:eastAsia="MS Mincho" w:cs="Arial"/>
        </w:rPr>
        <w:t>From 2 December 2016 to the end of the 2021</w:t>
      </w:r>
      <w:r w:rsidR="00955443" w:rsidRPr="00167CB8">
        <w:rPr>
          <w:rFonts w:ascii="Symbol" w:eastAsia="Symbol" w:hAnsi="Symbol" w:cs="Symbol"/>
        </w:rPr>
        <w:sym w:font="Symbol" w:char="F02D"/>
      </w:r>
      <w:r w:rsidRPr="00167CB8">
        <w:rPr>
          <w:rFonts w:eastAsia="MS Mincho" w:cs="Arial"/>
        </w:rPr>
        <w:t>22 financial year, the ABCC had finalised 110 court proceedings and imposed a total of $17,330,718 in court</w:t>
      </w:r>
      <w:r w:rsidR="00955443" w:rsidRPr="00167CB8">
        <w:rPr>
          <w:rFonts w:eastAsia="MS Mincho" w:cs="Arial"/>
        </w:rPr>
        <w:t>-</w:t>
      </w:r>
      <w:r w:rsidRPr="00167CB8">
        <w:rPr>
          <w:rFonts w:eastAsia="MS Mincho" w:cs="Arial"/>
        </w:rPr>
        <w:t>ordered penalties.</w:t>
      </w:r>
      <w:r w:rsidRPr="00167CB8">
        <w:rPr>
          <w:rStyle w:val="FootnoteReference"/>
          <w:rFonts w:eastAsia="MS Mincho" w:cs="Arial"/>
        </w:rPr>
        <w:footnoteReference w:id="59"/>
      </w:r>
      <w:r w:rsidRPr="00167CB8">
        <w:rPr>
          <w:rFonts w:eastAsia="MS Mincho" w:cs="Arial"/>
        </w:rPr>
        <w:t xml:space="preserve"> The ABCC finalised a further </w:t>
      </w:r>
      <w:r w:rsidR="00955443" w:rsidRPr="00167CB8">
        <w:rPr>
          <w:rFonts w:eastAsia="MS Mincho" w:cs="Arial"/>
        </w:rPr>
        <w:t xml:space="preserve">8 </w:t>
      </w:r>
      <w:r w:rsidRPr="00167CB8">
        <w:rPr>
          <w:rFonts w:eastAsia="MS Mincho" w:cs="Arial"/>
        </w:rPr>
        <w:t>proceedings in 2022</w:t>
      </w:r>
      <w:r w:rsidR="00955443" w:rsidRPr="00167CB8">
        <w:rPr>
          <w:rFonts w:ascii="Symbol" w:eastAsia="Symbol" w:hAnsi="Symbol" w:cs="Symbol"/>
        </w:rPr>
        <w:sym w:font="Symbol" w:char="F02D"/>
      </w:r>
      <w:r w:rsidRPr="00167CB8">
        <w:rPr>
          <w:rFonts w:eastAsia="MS Mincho" w:cs="Arial"/>
        </w:rPr>
        <w:t>23.</w:t>
      </w:r>
      <w:r w:rsidRPr="00167CB8">
        <w:rPr>
          <w:rStyle w:val="FootnoteReference"/>
          <w:rFonts w:eastAsia="MS Mincho" w:cs="Arial"/>
        </w:rPr>
        <w:footnoteReference w:id="60"/>
      </w:r>
      <w:r w:rsidRPr="00167CB8">
        <w:rPr>
          <w:rFonts w:eastAsia="MS Mincho" w:cs="Arial"/>
        </w:rPr>
        <w:t xml:space="preserve">  </w:t>
      </w:r>
    </w:p>
    <w:p w14:paraId="6F65B734" w14:textId="23823C98" w:rsidR="00A148FE" w:rsidRPr="00167CB8" w:rsidRDefault="00A148FE" w:rsidP="00EA4698">
      <w:pPr>
        <w:rPr>
          <w:rFonts w:eastAsia="MS Mincho" w:cs="Arial"/>
        </w:rPr>
      </w:pPr>
      <w:r w:rsidRPr="00167CB8">
        <w:rPr>
          <w:rFonts w:eastAsia="MS Mincho" w:cs="Arial"/>
        </w:rPr>
        <w:lastRenderedPageBreak/>
        <w:t xml:space="preserve">The ABCC had a </w:t>
      </w:r>
      <w:r w:rsidR="00955443" w:rsidRPr="00167CB8">
        <w:rPr>
          <w:rFonts w:eastAsia="MS Mincho" w:cs="Arial"/>
        </w:rPr>
        <w:t>k</w:t>
      </w:r>
      <w:r w:rsidRPr="00167CB8">
        <w:rPr>
          <w:rFonts w:eastAsia="MS Mincho" w:cs="Arial"/>
        </w:rPr>
        <w:t xml:space="preserve">ey </w:t>
      </w:r>
      <w:r w:rsidR="00955443" w:rsidRPr="00167CB8">
        <w:rPr>
          <w:rFonts w:eastAsia="MS Mincho" w:cs="Arial"/>
        </w:rPr>
        <w:t>p</w:t>
      </w:r>
      <w:r w:rsidRPr="00167CB8">
        <w:rPr>
          <w:rFonts w:eastAsia="MS Mincho" w:cs="Arial"/>
        </w:rPr>
        <w:t xml:space="preserve">erformance </w:t>
      </w:r>
      <w:r w:rsidR="00955443" w:rsidRPr="00167CB8">
        <w:rPr>
          <w:rFonts w:eastAsia="MS Mincho" w:cs="Arial"/>
        </w:rPr>
        <w:t>i</w:t>
      </w:r>
      <w:r w:rsidRPr="00167CB8">
        <w:rPr>
          <w:rFonts w:eastAsia="MS Mincho" w:cs="Arial"/>
        </w:rPr>
        <w:t xml:space="preserve">ndicator </w:t>
      </w:r>
      <w:r w:rsidR="00955443" w:rsidRPr="00167CB8">
        <w:rPr>
          <w:rFonts w:eastAsia="MS Mincho" w:cs="Arial"/>
        </w:rPr>
        <w:t xml:space="preserve">(KPI) </w:t>
      </w:r>
      <w:r w:rsidRPr="00167CB8">
        <w:rPr>
          <w:rFonts w:eastAsia="MS Mincho" w:cs="Arial"/>
        </w:rPr>
        <w:t>relating to physical site visits. The ABCC exceeded this KPI, undertaking 1,326 site visits in 2021</w:t>
      </w:r>
      <w:r w:rsidR="00955443" w:rsidRPr="00167CB8">
        <w:rPr>
          <w:rFonts w:ascii="Symbol" w:eastAsia="Symbol" w:hAnsi="Symbol" w:cs="Symbol"/>
        </w:rPr>
        <w:sym w:font="Symbol" w:char="F02D"/>
      </w:r>
      <w:r w:rsidRPr="00167CB8">
        <w:rPr>
          <w:rFonts w:eastAsia="MS Mincho" w:cs="Arial"/>
        </w:rPr>
        <w:t>22</w:t>
      </w:r>
      <w:r w:rsidR="00955443" w:rsidRPr="00167CB8">
        <w:rPr>
          <w:rFonts w:eastAsia="MS Mincho" w:cs="Arial"/>
        </w:rPr>
        <w:t>,</w:t>
      </w:r>
      <w:r w:rsidRPr="00167CB8">
        <w:rPr>
          <w:rStyle w:val="FootnoteReference"/>
          <w:rFonts w:eastAsia="MS Mincho" w:cs="Arial"/>
        </w:rPr>
        <w:footnoteReference w:id="61"/>
      </w:r>
      <w:r w:rsidRPr="00167CB8">
        <w:rPr>
          <w:rFonts w:eastAsia="MS Mincho" w:cs="Arial"/>
        </w:rPr>
        <w:t xml:space="preserve"> 1,543 in 2020</w:t>
      </w:r>
      <w:r w:rsidR="00955443" w:rsidRPr="00167CB8">
        <w:rPr>
          <w:rFonts w:ascii="Symbol" w:eastAsia="Symbol" w:hAnsi="Symbol" w:cs="Symbol"/>
        </w:rPr>
        <w:sym w:font="Symbol" w:char="F02D"/>
      </w:r>
      <w:r w:rsidRPr="00167CB8">
        <w:rPr>
          <w:rFonts w:eastAsia="MS Mincho" w:cs="Arial"/>
        </w:rPr>
        <w:t>21</w:t>
      </w:r>
      <w:r w:rsidR="00955443" w:rsidRPr="00167CB8">
        <w:rPr>
          <w:rFonts w:eastAsia="MS Mincho" w:cs="Arial"/>
        </w:rPr>
        <w:t>,</w:t>
      </w:r>
      <w:r w:rsidRPr="00167CB8">
        <w:rPr>
          <w:rStyle w:val="FootnoteReference"/>
          <w:rFonts w:eastAsia="MS Mincho" w:cs="Arial"/>
        </w:rPr>
        <w:footnoteReference w:id="62"/>
      </w:r>
      <w:r w:rsidRPr="00167CB8">
        <w:rPr>
          <w:rFonts w:eastAsia="MS Mincho" w:cs="Arial"/>
        </w:rPr>
        <w:t xml:space="preserve"> 1,371 in 2019</w:t>
      </w:r>
      <w:r w:rsidR="00955443" w:rsidRPr="00167CB8">
        <w:rPr>
          <w:rFonts w:ascii="Symbol" w:eastAsia="Symbol" w:hAnsi="Symbol" w:cs="Symbol"/>
        </w:rPr>
        <w:sym w:font="Symbol" w:char="F02D"/>
      </w:r>
      <w:r w:rsidRPr="00167CB8">
        <w:rPr>
          <w:rFonts w:eastAsia="MS Mincho" w:cs="Arial"/>
        </w:rPr>
        <w:t>20</w:t>
      </w:r>
      <w:r w:rsidR="00955443" w:rsidRPr="00167CB8">
        <w:rPr>
          <w:rFonts w:eastAsia="MS Mincho" w:cs="Arial"/>
        </w:rPr>
        <w:t>,</w:t>
      </w:r>
      <w:r w:rsidRPr="00167CB8">
        <w:rPr>
          <w:rStyle w:val="FootnoteReference"/>
          <w:rFonts w:eastAsia="MS Mincho" w:cs="Arial"/>
        </w:rPr>
        <w:footnoteReference w:id="63"/>
      </w:r>
      <w:r w:rsidRPr="00167CB8">
        <w:rPr>
          <w:rFonts w:eastAsia="MS Mincho" w:cs="Arial"/>
        </w:rPr>
        <w:t xml:space="preserve"> and 1,382 in 2018</w:t>
      </w:r>
      <w:r w:rsidR="00955443" w:rsidRPr="00167CB8">
        <w:rPr>
          <w:rFonts w:ascii="Symbol" w:eastAsia="Symbol" w:hAnsi="Symbol" w:cs="Symbol"/>
        </w:rPr>
        <w:sym w:font="Symbol" w:char="F02D"/>
      </w:r>
      <w:r w:rsidRPr="00167CB8">
        <w:rPr>
          <w:rFonts w:eastAsia="MS Mincho" w:cs="Arial"/>
        </w:rPr>
        <w:t>19.</w:t>
      </w:r>
      <w:r w:rsidRPr="00167CB8">
        <w:rPr>
          <w:rStyle w:val="FootnoteReference"/>
          <w:rFonts w:eastAsia="MS Mincho" w:cs="Arial"/>
        </w:rPr>
        <w:footnoteReference w:id="64"/>
      </w:r>
      <w:r w:rsidRPr="00167CB8">
        <w:rPr>
          <w:rFonts w:eastAsia="MS Mincho" w:cs="Arial"/>
        </w:rPr>
        <w:t xml:space="preserve"> </w:t>
      </w:r>
    </w:p>
    <w:p w14:paraId="2C322D25" w14:textId="565B5E39" w:rsidR="00A148FE" w:rsidRPr="00167CB8" w:rsidRDefault="00A148FE" w:rsidP="00EA4698">
      <w:pPr>
        <w:rPr>
          <w:rFonts w:eastAsia="MS Mincho" w:cs="Arial"/>
        </w:rPr>
      </w:pPr>
      <w:r w:rsidRPr="00167CB8">
        <w:rPr>
          <w:rFonts w:eastAsia="MS Mincho" w:cs="Arial"/>
        </w:rPr>
        <w:t xml:space="preserve">Court proceedings and wage matters were also transferred from the ABCC to the FWO, with the FWO taking carriage of all ABCC court proceedings </w:t>
      </w:r>
      <w:r w:rsidR="007C31FE" w:rsidRPr="00167CB8">
        <w:rPr>
          <w:rFonts w:eastAsia="MS Mincho" w:cs="Arial"/>
        </w:rPr>
        <w:t xml:space="preserve">on 6 </w:t>
      </w:r>
      <w:r w:rsidRPr="00167CB8">
        <w:rPr>
          <w:rFonts w:eastAsia="MS Mincho" w:cs="Arial"/>
        </w:rPr>
        <w:t>December 2022. This resulted in 41</w:t>
      </w:r>
      <w:r w:rsidR="00957689" w:rsidRPr="00167CB8">
        <w:rPr>
          <w:rFonts w:eastAsia="MS Mincho" w:cs="Arial"/>
        </w:rPr>
        <w:t> </w:t>
      </w:r>
      <w:r w:rsidRPr="00167CB8">
        <w:rPr>
          <w:rFonts w:eastAsia="MS Mincho" w:cs="Arial"/>
        </w:rPr>
        <w:t>matters being transferred from the ABCC to the FWO.</w:t>
      </w:r>
      <w:r w:rsidRPr="00167CB8">
        <w:rPr>
          <w:rFonts w:eastAsia="MS Mincho" w:cs="Arial"/>
          <w:vertAlign w:val="superscript"/>
        </w:rPr>
        <w:footnoteReference w:id="65"/>
      </w:r>
      <w:r w:rsidRPr="00167CB8">
        <w:rPr>
          <w:rFonts w:eastAsia="MS Mincho" w:cs="Arial"/>
        </w:rPr>
        <w:t xml:space="preserve"> Of these matters, 39 matters have been finalised (of which 9 have been wholly discontinued by the FWO) and 2 remain before the courts</w:t>
      </w:r>
      <w:r w:rsidR="0019570D" w:rsidRPr="00167CB8">
        <w:rPr>
          <w:rFonts w:eastAsia="MS Mincho" w:cs="Arial"/>
        </w:rPr>
        <w:t xml:space="preserve"> as of 22 November 2024</w:t>
      </w:r>
      <w:r w:rsidRPr="00167CB8">
        <w:rPr>
          <w:rFonts w:eastAsia="MS Mincho" w:cs="Arial"/>
        </w:rPr>
        <w:t xml:space="preserve">. Of the transferred cases that have been finalised, the FWO has recovered penalties that total $3,668,466. </w:t>
      </w:r>
    </w:p>
    <w:p w14:paraId="1BFAA39C" w14:textId="0EC234E9" w:rsidR="00A148FE" w:rsidRPr="00167CB8" w:rsidRDefault="00A148FE" w:rsidP="00EA4698">
      <w:pPr>
        <w:rPr>
          <w:rFonts w:eastAsia="MS Mincho" w:cs="Arial"/>
        </w:rPr>
      </w:pPr>
      <w:r w:rsidRPr="00167CB8">
        <w:rPr>
          <w:rFonts w:eastAsia="MS Mincho" w:cs="Arial"/>
        </w:rPr>
        <w:t>In addition to these court proceedings, 31 matters relating to wages and entitlements were transferred to the FWO from the ABCC.</w:t>
      </w:r>
      <w:r w:rsidR="0031739F" w:rsidRPr="00167CB8">
        <w:rPr>
          <w:rFonts w:eastAsia="MS Mincho" w:cs="Arial"/>
        </w:rPr>
        <w:t xml:space="preserve"> 30 of these matters have been finalised, resulting in $85,428.11 recovered.</w:t>
      </w:r>
    </w:p>
    <w:p w14:paraId="79634FDD" w14:textId="0A3A83BB" w:rsidR="00A148FE" w:rsidRPr="00167CB8" w:rsidRDefault="003220B5" w:rsidP="00A148FE">
      <w:pPr>
        <w:pStyle w:val="Heading5"/>
        <w:rPr>
          <w:rFonts w:asciiTheme="minorHAnsi" w:hAnsiTheme="minorHAnsi"/>
        </w:rPr>
      </w:pPr>
      <w:bookmarkStart w:id="44" w:name="_Toc187421568"/>
      <w:bookmarkStart w:id="45" w:name="_Toc187946370"/>
      <w:r w:rsidRPr="00167CB8">
        <w:rPr>
          <w:rFonts w:asciiTheme="minorHAnsi" w:hAnsiTheme="minorHAnsi"/>
        </w:rPr>
        <w:t>4</w:t>
      </w:r>
      <w:r w:rsidR="002017CC" w:rsidRPr="00167CB8">
        <w:rPr>
          <w:rFonts w:asciiTheme="minorHAnsi" w:hAnsiTheme="minorHAnsi"/>
        </w:rPr>
        <w:t>.2.2</w:t>
      </w:r>
      <w:r w:rsidR="00A148FE" w:rsidRPr="00167CB8">
        <w:rPr>
          <w:rFonts w:asciiTheme="minorHAnsi" w:hAnsiTheme="minorHAnsi"/>
        </w:rPr>
        <w:t xml:space="preserve"> Qualitative </w:t>
      </w:r>
      <w:r w:rsidR="00955443" w:rsidRPr="00167CB8">
        <w:rPr>
          <w:rFonts w:asciiTheme="minorHAnsi" w:hAnsiTheme="minorHAnsi"/>
        </w:rPr>
        <w:t>e</w:t>
      </w:r>
      <w:r w:rsidR="00A148FE" w:rsidRPr="00167CB8">
        <w:rPr>
          <w:rFonts w:asciiTheme="minorHAnsi" w:hAnsiTheme="minorHAnsi"/>
        </w:rPr>
        <w:t>vidence</w:t>
      </w:r>
      <w:bookmarkEnd w:id="44"/>
      <w:bookmarkEnd w:id="45"/>
    </w:p>
    <w:p w14:paraId="71FBDA54" w14:textId="707A75E3" w:rsidR="00A148FE" w:rsidRPr="00167CB8" w:rsidRDefault="00A148FE" w:rsidP="00EA4698">
      <w:pPr>
        <w:rPr>
          <w:rFonts w:eastAsia="MS Mincho" w:cs="Arial"/>
        </w:rPr>
      </w:pPr>
      <w:r w:rsidRPr="00167CB8">
        <w:rPr>
          <w:rFonts w:eastAsia="MS Mincho" w:cs="Arial"/>
        </w:rPr>
        <w:t xml:space="preserve">The FWO released a new Compliance and Enforcement Policy in January 2025 which guides the agencies </w:t>
      </w:r>
      <w:r w:rsidR="00754DD0" w:rsidRPr="00167CB8">
        <w:rPr>
          <w:rFonts w:eastAsia="MS Mincho" w:cs="Arial"/>
        </w:rPr>
        <w:t xml:space="preserve">fulfillment of its </w:t>
      </w:r>
      <w:r w:rsidRPr="00167CB8">
        <w:rPr>
          <w:rFonts w:eastAsia="MS Mincho" w:cs="Arial"/>
        </w:rPr>
        <w:t xml:space="preserve">compliance and enforcement </w:t>
      </w:r>
      <w:r w:rsidR="00754DD0" w:rsidRPr="00167CB8">
        <w:rPr>
          <w:rFonts w:eastAsia="MS Mincho" w:cs="Arial"/>
        </w:rPr>
        <w:t xml:space="preserve">functions and </w:t>
      </w:r>
      <w:r w:rsidR="000C7B95" w:rsidRPr="00167CB8">
        <w:rPr>
          <w:rFonts w:eastAsia="MS Mincho" w:cs="Arial"/>
        </w:rPr>
        <w:t>use of compliance and enforcement powers</w:t>
      </w:r>
      <w:r w:rsidRPr="00167CB8">
        <w:rPr>
          <w:rFonts w:eastAsia="MS Mincho" w:cs="Arial"/>
        </w:rPr>
        <w:t>.</w:t>
      </w:r>
      <w:r w:rsidRPr="00167CB8">
        <w:rPr>
          <w:rStyle w:val="FootnoteReference"/>
          <w:rFonts w:eastAsia="MS Mincho" w:cs="Arial"/>
        </w:rPr>
        <w:footnoteReference w:id="66"/>
      </w:r>
      <w:r w:rsidRPr="00167CB8">
        <w:rPr>
          <w:rFonts w:eastAsia="MS Mincho" w:cs="Arial"/>
        </w:rPr>
        <w:t xml:space="preserve"> </w:t>
      </w:r>
      <w:r w:rsidR="00817BF1" w:rsidRPr="00167CB8">
        <w:rPr>
          <w:rFonts w:eastAsia="MS Mincho" w:cs="Arial"/>
        </w:rPr>
        <w:t xml:space="preserve">The Compliance and Enforcement Policy </w:t>
      </w:r>
      <w:r w:rsidRPr="00167CB8">
        <w:rPr>
          <w:rFonts w:eastAsia="MS Mincho" w:cs="Arial"/>
        </w:rPr>
        <w:t xml:space="preserve">outlines the FWO’s compliance and enforcement regulatory model, which is driven by the </w:t>
      </w:r>
      <w:r w:rsidR="00955443" w:rsidRPr="00167CB8">
        <w:rPr>
          <w:rFonts w:eastAsia="MS Mincho" w:cs="Arial"/>
        </w:rPr>
        <w:t>‘</w:t>
      </w:r>
      <w:r w:rsidRPr="00167CB8">
        <w:rPr>
          <w:rFonts w:eastAsia="MS Mincho" w:cs="Arial"/>
        </w:rPr>
        <w:t>Compliance Triangle</w:t>
      </w:r>
      <w:r w:rsidR="00955443" w:rsidRPr="00167CB8">
        <w:rPr>
          <w:rFonts w:eastAsia="MS Mincho" w:cs="Arial"/>
        </w:rPr>
        <w:t>’</w:t>
      </w:r>
      <w:r w:rsidRPr="00167CB8">
        <w:rPr>
          <w:rFonts w:eastAsia="MS Mincho" w:cs="Arial"/>
        </w:rPr>
        <w:t xml:space="preserve">, as seen in Figure </w:t>
      </w:r>
      <w:r w:rsidR="0004337D" w:rsidRPr="00167CB8">
        <w:rPr>
          <w:rFonts w:eastAsia="MS Mincho" w:cs="Arial"/>
        </w:rPr>
        <w:t>2</w:t>
      </w:r>
      <w:r w:rsidRPr="00167CB8">
        <w:rPr>
          <w:rFonts w:eastAsia="MS Mincho" w:cs="Arial"/>
        </w:rPr>
        <w:t xml:space="preserve"> below.</w:t>
      </w:r>
    </w:p>
    <w:p w14:paraId="682C9D4B" w14:textId="77777777" w:rsidR="00465C1C" w:rsidRPr="00167CB8" w:rsidRDefault="00465C1C" w:rsidP="00470AB9">
      <w:pPr>
        <w:pStyle w:val="Caption"/>
      </w:pPr>
      <w:r w:rsidRPr="00167CB8">
        <w:lastRenderedPageBreak/>
        <w:t>Figure 2: The FWO’s Compliance Triangle</w:t>
      </w:r>
      <w:r w:rsidRPr="00167CB8">
        <w:rPr>
          <w:rStyle w:val="FootnoteReference"/>
          <w:rFonts w:eastAsia="MS Mincho" w:cs="Arial"/>
        </w:rPr>
        <w:footnoteReference w:id="67"/>
      </w:r>
    </w:p>
    <w:p w14:paraId="65F3AAE5" w14:textId="77777777" w:rsidR="00A148FE" w:rsidRPr="00167CB8" w:rsidRDefault="00A148FE" w:rsidP="003216EC">
      <w:pPr>
        <w:keepNext/>
        <w:jc w:val="center"/>
        <w:rPr>
          <w:rFonts w:eastAsia="MS Mincho" w:cs="Arial"/>
        </w:rPr>
      </w:pPr>
      <w:r w:rsidRPr="00167CB8">
        <w:rPr>
          <w:rFonts w:eastAsia="MS Mincho" w:cs="Arial"/>
          <w:noProof/>
        </w:rPr>
        <w:drawing>
          <wp:inline distT="0" distB="0" distL="0" distR="0" wp14:anchorId="363D0C3F" wp14:editId="5F0BA108">
            <wp:extent cx="3234906" cy="2933535"/>
            <wp:effectExtent l="0" t="0" r="3810" b="635"/>
            <wp:docPr id="1934269409" name="Picture 1" descr="A diagram of a com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55794" name="Picture 1" descr="A diagram of a compliance&#10;&#10;Description automatically generated"/>
                    <pic:cNvPicPr/>
                  </pic:nvPicPr>
                  <pic:blipFill>
                    <a:blip r:embed="rId18"/>
                    <a:stretch>
                      <a:fillRect/>
                    </a:stretch>
                  </pic:blipFill>
                  <pic:spPr>
                    <a:xfrm>
                      <a:off x="0" y="0"/>
                      <a:ext cx="3250348" cy="2947538"/>
                    </a:xfrm>
                    <a:prstGeom prst="rect">
                      <a:avLst/>
                    </a:prstGeom>
                  </pic:spPr>
                </pic:pic>
              </a:graphicData>
            </a:graphic>
          </wp:inline>
        </w:drawing>
      </w:r>
    </w:p>
    <w:p w14:paraId="453F3CBB" w14:textId="2F5B92CD" w:rsidR="00A148FE" w:rsidRPr="00167CB8" w:rsidRDefault="00A148FE" w:rsidP="00EA4698">
      <w:pPr>
        <w:rPr>
          <w:rFonts w:eastAsia="MS Mincho" w:cs="Arial"/>
        </w:rPr>
      </w:pPr>
      <w:r w:rsidRPr="00167CB8">
        <w:rPr>
          <w:rFonts w:eastAsia="MS Mincho" w:cs="Arial"/>
        </w:rPr>
        <w:t xml:space="preserve">In this regulatory model, the majority of requests for assistance are responded to through the FWO providing information, education and advice to </w:t>
      </w:r>
      <w:r w:rsidR="00955443" w:rsidRPr="00167CB8">
        <w:rPr>
          <w:rFonts w:eastAsia="MS Mincho" w:cs="Arial"/>
        </w:rPr>
        <w:t>‘</w:t>
      </w:r>
      <w:r w:rsidRPr="00167CB8">
        <w:rPr>
          <w:rFonts w:eastAsia="MS Mincho" w:cs="Arial"/>
        </w:rPr>
        <w:t>support cooperation between parties</w:t>
      </w:r>
      <w:r w:rsidR="00955443" w:rsidRPr="00167CB8">
        <w:rPr>
          <w:rFonts w:eastAsia="MS Mincho" w:cs="Arial"/>
        </w:rPr>
        <w:t>’</w:t>
      </w:r>
      <w:r w:rsidRPr="00167CB8">
        <w:rPr>
          <w:rFonts w:eastAsia="MS Mincho" w:cs="Arial"/>
        </w:rPr>
        <w:t xml:space="preserve"> and </w:t>
      </w:r>
      <w:r w:rsidR="00955443" w:rsidRPr="00167CB8">
        <w:rPr>
          <w:rFonts w:eastAsia="MS Mincho" w:cs="Arial"/>
        </w:rPr>
        <w:t>‘</w:t>
      </w:r>
      <w:r w:rsidRPr="00167CB8">
        <w:rPr>
          <w:rFonts w:eastAsia="MS Mincho" w:cs="Arial"/>
        </w:rPr>
        <w:t>encourage voluntary compliance</w:t>
      </w:r>
      <w:r w:rsidR="00955443" w:rsidRPr="00167CB8">
        <w:rPr>
          <w:rFonts w:eastAsia="MS Mincho" w:cs="Arial"/>
        </w:rPr>
        <w:t>’</w:t>
      </w:r>
      <w:r w:rsidRPr="00167CB8">
        <w:rPr>
          <w:rFonts w:eastAsia="MS Mincho" w:cs="Arial"/>
        </w:rPr>
        <w:t>.</w:t>
      </w:r>
      <w:r w:rsidRPr="00167CB8">
        <w:rPr>
          <w:rStyle w:val="FootnoteReference"/>
          <w:rFonts w:eastAsia="MS Mincho" w:cs="Arial"/>
        </w:rPr>
        <w:footnoteReference w:id="68"/>
      </w:r>
      <w:r w:rsidRPr="00167CB8">
        <w:rPr>
          <w:rFonts w:eastAsia="MS Mincho" w:cs="Arial"/>
        </w:rPr>
        <w:t xml:space="preserve"> Through its advice and education function, the FWO raises stakeholder awareness of rights and obligations under workplace law, promotes engagement at the workplace-level, and </w:t>
      </w:r>
      <w:r w:rsidR="00955443" w:rsidRPr="00167CB8">
        <w:rPr>
          <w:rFonts w:eastAsia="MS Mincho" w:cs="Arial"/>
        </w:rPr>
        <w:t>‘</w:t>
      </w:r>
      <w:r w:rsidRPr="00167CB8">
        <w:rPr>
          <w:rFonts w:eastAsia="MS Mincho" w:cs="Arial"/>
        </w:rPr>
        <w:t>builds capabilities that sustain compliance</w:t>
      </w:r>
      <w:r w:rsidR="00955443" w:rsidRPr="00167CB8">
        <w:rPr>
          <w:rFonts w:eastAsia="MS Mincho" w:cs="Arial"/>
        </w:rPr>
        <w:t>’</w:t>
      </w:r>
      <w:r w:rsidRPr="00167CB8">
        <w:rPr>
          <w:rFonts w:eastAsia="MS Mincho" w:cs="Arial"/>
        </w:rPr>
        <w:t>.</w:t>
      </w:r>
      <w:r w:rsidRPr="00167CB8">
        <w:rPr>
          <w:rStyle w:val="FootnoteReference"/>
          <w:rFonts w:eastAsia="MS Mincho" w:cs="Arial"/>
        </w:rPr>
        <w:footnoteReference w:id="69"/>
      </w:r>
    </w:p>
    <w:p w14:paraId="466E720F" w14:textId="671B97BD" w:rsidR="00BD718E" w:rsidRPr="00167CB8" w:rsidRDefault="00A148FE" w:rsidP="00EA4698">
      <w:pPr>
        <w:rPr>
          <w:rFonts w:eastAsia="MS Mincho" w:cs="Arial"/>
        </w:rPr>
      </w:pPr>
      <w:r w:rsidRPr="00167CB8">
        <w:rPr>
          <w:rFonts w:eastAsia="MS Mincho" w:cs="Arial"/>
        </w:rPr>
        <w:t>The second largest number of requests for assistance fall in the middle tier, under which the FWO undertakes guided compliance (usually following an investigation).</w:t>
      </w:r>
      <w:r w:rsidRPr="00167CB8">
        <w:rPr>
          <w:rStyle w:val="FootnoteReference"/>
          <w:rFonts w:eastAsia="MS Mincho" w:cs="Arial"/>
        </w:rPr>
        <w:footnoteReference w:id="70"/>
      </w:r>
      <w:r w:rsidRPr="00167CB8">
        <w:rPr>
          <w:rFonts w:eastAsia="MS Mincho" w:cs="Arial"/>
        </w:rPr>
        <w:t xml:space="preserve"> This most commonly involves the FWO issuing compliance notices but can involve use of other enforcement tools such as contravention letters.</w:t>
      </w:r>
      <w:r w:rsidRPr="00167CB8">
        <w:rPr>
          <w:rStyle w:val="FootnoteReference"/>
          <w:rFonts w:eastAsia="MS Mincho" w:cs="Arial"/>
        </w:rPr>
        <w:footnoteReference w:id="71"/>
      </w:r>
      <w:r w:rsidRPr="00167CB8">
        <w:rPr>
          <w:rFonts w:eastAsia="MS Mincho" w:cs="Arial"/>
        </w:rPr>
        <w:t xml:space="preserve"> </w:t>
      </w:r>
    </w:p>
    <w:p w14:paraId="2609A063" w14:textId="3896ACCB" w:rsidR="00A148FE" w:rsidRPr="00167CB8" w:rsidRDefault="00A148FE" w:rsidP="00EA4698">
      <w:pPr>
        <w:rPr>
          <w:rFonts w:eastAsia="MS Mincho" w:cs="Arial"/>
          <w:i/>
        </w:rPr>
      </w:pPr>
      <w:r w:rsidRPr="00167CB8">
        <w:rPr>
          <w:rFonts w:eastAsia="MS Mincho" w:cs="Arial"/>
        </w:rPr>
        <w:t xml:space="preserve">The smallest number of requests for assistance fall into the </w:t>
      </w:r>
      <w:r w:rsidR="00955443" w:rsidRPr="00167CB8">
        <w:rPr>
          <w:rFonts w:eastAsia="MS Mincho" w:cs="Arial"/>
        </w:rPr>
        <w:t>‘</w:t>
      </w:r>
      <w:r w:rsidRPr="00167CB8">
        <w:rPr>
          <w:rFonts w:eastAsia="MS Mincho" w:cs="Arial"/>
        </w:rPr>
        <w:t>enforced compliance</w:t>
      </w:r>
      <w:r w:rsidR="00955443" w:rsidRPr="00167CB8">
        <w:rPr>
          <w:rFonts w:eastAsia="MS Mincho" w:cs="Arial"/>
        </w:rPr>
        <w:t>’</w:t>
      </w:r>
      <w:r w:rsidRPr="00167CB8">
        <w:rPr>
          <w:rFonts w:eastAsia="MS Mincho" w:cs="Arial"/>
        </w:rPr>
        <w:t xml:space="preserve"> tier of the triangle, which </w:t>
      </w:r>
      <w:r w:rsidR="00F4254B" w:rsidRPr="00167CB8">
        <w:rPr>
          <w:rFonts w:eastAsia="MS Mincho" w:cs="Arial"/>
        </w:rPr>
        <w:t xml:space="preserve">deals with </w:t>
      </w:r>
      <w:r w:rsidRPr="00167CB8">
        <w:rPr>
          <w:rFonts w:eastAsia="MS Mincho" w:cs="Arial"/>
        </w:rPr>
        <w:t>significant noncompliance that warrants a stronger enforcement response, such as litigation.</w:t>
      </w:r>
      <w:r w:rsidRPr="00167CB8">
        <w:rPr>
          <w:rStyle w:val="FootnoteReference"/>
          <w:rFonts w:eastAsia="MS Mincho" w:cs="Arial"/>
        </w:rPr>
        <w:footnoteReference w:id="72"/>
      </w:r>
      <w:r w:rsidRPr="00167CB8">
        <w:rPr>
          <w:rFonts w:eastAsia="MS Mincho" w:cs="Arial"/>
        </w:rPr>
        <w:t xml:space="preserve"> </w:t>
      </w:r>
    </w:p>
    <w:p w14:paraId="5A5AB042" w14:textId="23796EBE" w:rsidR="00A148FE" w:rsidRPr="00167CB8" w:rsidDel="007E36B6" w:rsidRDefault="00A148FE" w:rsidP="00EA4698">
      <w:pPr>
        <w:rPr>
          <w:rFonts w:eastAsia="MS Mincho" w:cs="Arial"/>
        </w:rPr>
      </w:pPr>
      <w:r w:rsidRPr="00167CB8">
        <w:rPr>
          <w:rFonts w:eastAsia="MS Mincho" w:cs="Arial"/>
        </w:rPr>
        <w:t>In response to taking on responsibility for the commercial building and construction sector, t</w:t>
      </w:r>
      <w:r w:rsidRPr="00167CB8" w:rsidDel="007E36B6">
        <w:rPr>
          <w:rFonts w:eastAsia="MS Mincho" w:cs="Arial"/>
        </w:rPr>
        <w:t xml:space="preserve">he FWO </w:t>
      </w:r>
      <w:r w:rsidRPr="00167CB8">
        <w:rPr>
          <w:rFonts w:eastAsia="MS Mincho" w:cs="Arial"/>
        </w:rPr>
        <w:t xml:space="preserve">has </w:t>
      </w:r>
      <w:r w:rsidR="00955443" w:rsidRPr="00167CB8">
        <w:rPr>
          <w:rFonts w:eastAsia="MS Mincho" w:cs="Arial"/>
        </w:rPr>
        <w:t>‘</w:t>
      </w:r>
      <w:r w:rsidRPr="00167CB8" w:rsidDel="007E36B6">
        <w:rPr>
          <w:rFonts w:eastAsia="MS Mincho" w:cs="Arial"/>
        </w:rPr>
        <w:t>published</w:t>
      </w:r>
      <w:r w:rsidRPr="00167CB8">
        <w:rPr>
          <w:rFonts w:eastAsia="MS Mincho" w:cs="Arial"/>
        </w:rPr>
        <w:t xml:space="preserve"> [its]</w:t>
      </w:r>
      <w:r w:rsidRPr="00167CB8" w:rsidDel="007E36B6">
        <w:rPr>
          <w:rFonts w:eastAsia="MS Mincho" w:cs="Arial"/>
        </w:rPr>
        <w:t xml:space="preserve"> tailored industry information with pathways to other relevant information across the website</w:t>
      </w:r>
      <w:r w:rsidR="00955443" w:rsidRPr="00167CB8">
        <w:rPr>
          <w:rFonts w:eastAsia="MS Mincho" w:cs="Arial"/>
        </w:rPr>
        <w:t>’</w:t>
      </w:r>
      <w:r w:rsidRPr="00167CB8" w:rsidDel="007E36B6">
        <w:rPr>
          <w:rFonts w:eastAsia="MS Mincho" w:cs="Arial"/>
        </w:rPr>
        <w:t xml:space="preserve">, </w:t>
      </w:r>
      <w:r w:rsidR="00955443" w:rsidRPr="00167CB8">
        <w:rPr>
          <w:rFonts w:eastAsia="MS Mincho" w:cs="Arial"/>
        </w:rPr>
        <w:t>‘</w:t>
      </w:r>
      <w:r w:rsidRPr="00167CB8" w:rsidDel="007E36B6">
        <w:rPr>
          <w:rFonts w:eastAsia="MS Mincho" w:cs="Arial"/>
        </w:rPr>
        <w:t xml:space="preserve">made changes across </w:t>
      </w:r>
      <w:r w:rsidRPr="00167CB8">
        <w:rPr>
          <w:rFonts w:eastAsia="MS Mincho" w:cs="Arial"/>
        </w:rPr>
        <w:t>[its]</w:t>
      </w:r>
      <w:r w:rsidRPr="00167CB8" w:rsidDel="007E36B6">
        <w:rPr>
          <w:rFonts w:eastAsia="MS Mincho" w:cs="Arial"/>
        </w:rPr>
        <w:t xml:space="preserve"> website to promote important information for the industry and to ensure relevant information is easy to find</w:t>
      </w:r>
      <w:r w:rsidR="00955443" w:rsidRPr="00167CB8">
        <w:rPr>
          <w:rFonts w:eastAsia="MS Mincho" w:cs="Arial"/>
        </w:rPr>
        <w:t>’</w:t>
      </w:r>
      <w:r w:rsidRPr="00167CB8">
        <w:rPr>
          <w:rFonts w:eastAsia="MS Mincho" w:cs="Arial"/>
        </w:rPr>
        <w:t xml:space="preserve"> and </w:t>
      </w:r>
      <w:r w:rsidR="00955443" w:rsidRPr="00167CB8">
        <w:rPr>
          <w:rFonts w:eastAsia="MS Mincho" w:cs="Arial"/>
        </w:rPr>
        <w:t>‘</w:t>
      </w:r>
      <w:r w:rsidRPr="00167CB8" w:rsidDel="007E36B6">
        <w:rPr>
          <w:rFonts w:eastAsia="MS Mincho" w:cs="Arial"/>
        </w:rPr>
        <w:t xml:space="preserve">updated existing </w:t>
      </w:r>
      <w:r w:rsidRPr="00167CB8">
        <w:rPr>
          <w:rFonts w:eastAsia="MS Mincho" w:cs="Arial"/>
        </w:rPr>
        <w:t xml:space="preserve">[web] </w:t>
      </w:r>
      <w:r w:rsidRPr="00167CB8" w:rsidDel="007E36B6">
        <w:rPr>
          <w:rFonts w:eastAsia="MS Mincho" w:cs="Arial"/>
        </w:rPr>
        <w:t>information with comprehensive industry-specific information</w:t>
      </w:r>
      <w:r w:rsidR="00955443" w:rsidRPr="00167CB8">
        <w:rPr>
          <w:rFonts w:eastAsia="MS Mincho" w:cs="Arial"/>
        </w:rPr>
        <w:t>’</w:t>
      </w:r>
      <w:r w:rsidRPr="00167CB8" w:rsidDel="007E36B6">
        <w:rPr>
          <w:rFonts w:eastAsia="MS Mincho" w:cs="Arial"/>
        </w:rPr>
        <w:t>.</w:t>
      </w:r>
      <w:r w:rsidRPr="00167CB8" w:rsidDel="007E36B6">
        <w:rPr>
          <w:rFonts w:eastAsia="MS Mincho" w:cs="Arial"/>
          <w:vertAlign w:val="superscript"/>
        </w:rPr>
        <w:footnoteReference w:id="73"/>
      </w:r>
      <w:r w:rsidRPr="00167CB8" w:rsidDel="007E36B6">
        <w:rPr>
          <w:rFonts w:eastAsia="MS Mincho" w:cs="Arial"/>
        </w:rPr>
        <w:t xml:space="preserve"> </w:t>
      </w:r>
      <w:r w:rsidRPr="00167CB8">
        <w:rPr>
          <w:rFonts w:eastAsia="MS Mincho" w:cs="Arial"/>
        </w:rPr>
        <w:t>The FWO has</w:t>
      </w:r>
      <w:r w:rsidRPr="00167CB8" w:rsidDel="007E36B6">
        <w:rPr>
          <w:rFonts w:eastAsia="MS Mincho" w:cs="Arial"/>
        </w:rPr>
        <w:t xml:space="preserve"> </w:t>
      </w:r>
      <w:r w:rsidRPr="00167CB8" w:rsidDel="007E36B6">
        <w:rPr>
          <w:rFonts w:eastAsia="MS Mincho" w:cs="Arial"/>
        </w:rPr>
        <w:lastRenderedPageBreak/>
        <w:t>conducted user testing to ensure the information meets the needs of industry employers and employees.</w:t>
      </w:r>
      <w:r w:rsidRPr="00167CB8" w:rsidDel="007E36B6">
        <w:rPr>
          <w:rFonts w:eastAsia="MS Mincho" w:cs="Arial"/>
          <w:vertAlign w:val="superscript"/>
        </w:rPr>
        <w:footnoteReference w:id="74"/>
      </w:r>
      <w:r w:rsidRPr="00167CB8" w:rsidDel="007E36B6">
        <w:rPr>
          <w:rFonts w:eastAsia="MS Mincho" w:cs="Arial"/>
        </w:rPr>
        <w:t xml:space="preserve">  </w:t>
      </w:r>
    </w:p>
    <w:p w14:paraId="6428B9F4" w14:textId="30FEE5B4" w:rsidR="00A148FE" w:rsidRPr="00167CB8" w:rsidDel="007E36B6" w:rsidRDefault="00A148FE" w:rsidP="00EA4698">
      <w:pPr>
        <w:rPr>
          <w:rFonts w:eastAsia="MS Mincho" w:cs="Arial"/>
        </w:rPr>
      </w:pPr>
      <w:r w:rsidRPr="00167CB8" w:rsidDel="007E36B6">
        <w:rPr>
          <w:rFonts w:eastAsia="MS Mincho" w:cs="Arial"/>
        </w:rPr>
        <w:t xml:space="preserve">In December 2023 the FWO launched a dedicated section of their website, </w:t>
      </w:r>
      <w:r w:rsidR="00B72070" w:rsidRPr="00167CB8">
        <w:rPr>
          <w:rFonts w:eastAsia="MS Mincho" w:cs="Arial"/>
        </w:rPr>
        <w:t>‘</w:t>
      </w:r>
      <w:r w:rsidRPr="00167CB8" w:rsidDel="007E36B6">
        <w:rPr>
          <w:rFonts w:eastAsia="MS Mincho" w:cs="Arial"/>
        </w:rPr>
        <w:t xml:space="preserve">Find help for </w:t>
      </w:r>
      <w:r w:rsidR="00E03293" w:rsidRPr="00167CB8">
        <w:rPr>
          <w:rFonts w:eastAsia="MS Mincho" w:cs="Arial"/>
        </w:rPr>
        <w:t>b</w:t>
      </w:r>
      <w:r w:rsidRPr="00167CB8" w:rsidDel="007E36B6">
        <w:rPr>
          <w:rFonts w:eastAsia="MS Mincho" w:cs="Arial"/>
        </w:rPr>
        <w:t>uilding and construction industry</w:t>
      </w:r>
      <w:r w:rsidR="00B72070" w:rsidRPr="00167CB8">
        <w:rPr>
          <w:rFonts w:eastAsia="MS Mincho" w:cs="Arial"/>
        </w:rPr>
        <w:t>’</w:t>
      </w:r>
      <w:r w:rsidRPr="00167CB8" w:rsidDel="007E36B6">
        <w:rPr>
          <w:rFonts w:eastAsia="MS Mincho" w:cs="Arial"/>
        </w:rPr>
        <w:t>, which contains information on understanding the building and construction industry (and which awards apply), entitlements and allowances under the Building and Construction Award, apprentice entitlements in the industry, and workplace protections.</w:t>
      </w:r>
      <w:r w:rsidRPr="00167CB8" w:rsidDel="007E36B6">
        <w:rPr>
          <w:rFonts w:eastAsia="MS Mincho" w:cs="Arial"/>
          <w:vertAlign w:val="superscript"/>
        </w:rPr>
        <w:footnoteReference w:id="75"/>
      </w:r>
      <w:r w:rsidRPr="00167CB8" w:rsidDel="007E36B6">
        <w:rPr>
          <w:rFonts w:eastAsia="MS Mincho" w:cs="Arial"/>
        </w:rPr>
        <w:t xml:space="preserve"> The FWO updated their dedicated existing website information and resources to ensure they provide appropriate information for the whole building and construction industry.</w:t>
      </w:r>
      <w:r w:rsidRPr="00167CB8" w:rsidDel="007E36B6">
        <w:rPr>
          <w:rFonts w:eastAsia="MS Mincho" w:cs="Arial"/>
          <w:vertAlign w:val="superscript"/>
        </w:rPr>
        <w:footnoteReference w:id="76"/>
      </w:r>
      <w:r w:rsidRPr="00167CB8" w:rsidDel="007E36B6">
        <w:rPr>
          <w:rFonts w:eastAsia="MS Mincho" w:cs="Arial"/>
        </w:rPr>
        <w:t xml:space="preserve"> </w:t>
      </w:r>
    </w:p>
    <w:p w14:paraId="0972A7A7" w14:textId="562A2648" w:rsidR="00A148FE" w:rsidRPr="00167CB8" w:rsidRDefault="00A148FE" w:rsidP="00EA4698">
      <w:pPr>
        <w:rPr>
          <w:rFonts w:eastAsia="MS Mincho" w:cs="Arial"/>
        </w:rPr>
      </w:pPr>
      <w:r w:rsidRPr="00167CB8" w:rsidDel="007E36B6">
        <w:rPr>
          <w:rFonts w:eastAsia="MS Mincho" w:cs="Arial"/>
        </w:rPr>
        <w:t xml:space="preserve">The FWO is engaging directly with the construction industry on an ongoing basis regarding the changes to its role enforcing the Fair Work Act in </w:t>
      </w:r>
      <w:r w:rsidRPr="00167CB8">
        <w:rPr>
          <w:rFonts w:eastAsia="MS Mincho" w:cs="Arial"/>
        </w:rPr>
        <w:t xml:space="preserve">the </w:t>
      </w:r>
      <w:r w:rsidRPr="00167CB8" w:rsidDel="007E36B6">
        <w:rPr>
          <w:rFonts w:eastAsia="MS Mincho" w:cs="Arial"/>
        </w:rPr>
        <w:t>commercial building and construction</w:t>
      </w:r>
      <w:r w:rsidRPr="00167CB8">
        <w:rPr>
          <w:rFonts w:eastAsia="MS Mincho" w:cs="Arial"/>
        </w:rPr>
        <w:t xml:space="preserve"> sector</w:t>
      </w:r>
      <w:r w:rsidRPr="00167CB8" w:rsidDel="007E36B6">
        <w:rPr>
          <w:rFonts w:eastAsia="MS Mincho" w:cs="Arial"/>
        </w:rPr>
        <w:t xml:space="preserve">. </w:t>
      </w:r>
      <w:r w:rsidRPr="00167CB8">
        <w:rPr>
          <w:rFonts w:eastAsia="MS Mincho" w:cs="Arial"/>
        </w:rPr>
        <w:t>In 2023</w:t>
      </w:r>
      <w:r w:rsidR="00B72070" w:rsidRPr="00167CB8">
        <w:rPr>
          <w:rFonts w:ascii="Symbol" w:eastAsia="Symbol" w:hAnsi="Symbol" w:cs="Symbol"/>
        </w:rPr>
        <w:sym w:font="Symbol" w:char="F02D"/>
      </w:r>
      <w:r w:rsidRPr="00167CB8">
        <w:rPr>
          <w:rFonts w:eastAsia="MS Mincho" w:cs="Arial"/>
        </w:rPr>
        <w:t>24 the FWO</w:t>
      </w:r>
      <w:r w:rsidR="000C3A86" w:rsidRPr="00167CB8">
        <w:rPr>
          <w:rFonts w:eastAsia="MS Mincho" w:cs="Arial"/>
        </w:rPr>
        <w:t xml:space="preserve"> had</w:t>
      </w:r>
      <w:r w:rsidRPr="00167CB8">
        <w:rPr>
          <w:rFonts w:eastAsia="MS Mincho" w:cs="Arial"/>
        </w:rPr>
        <w:t xml:space="preserve"> </w:t>
      </w:r>
      <w:r w:rsidR="00B72070" w:rsidRPr="00167CB8">
        <w:rPr>
          <w:rFonts w:eastAsia="MS Mincho" w:cs="Arial"/>
        </w:rPr>
        <w:t>‘</w:t>
      </w:r>
      <w:r w:rsidRPr="00167CB8">
        <w:rPr>
          <w:rFonts w:eastAsia="MS Mincho" w:cs="Arial"/>
        </w:rPr>
        <w:t>focused on resetting expectation and standards of behaviour within the industry</w:t>
      </w:r>
      <w:r w:rsidR="00F33FAB" w:rsidRPr="00167CB8">
        <w:rPr>
          <w:rFonts w:eastAsia="MS Mincho" w:cs="Arial"/>
        </w:rPr>
        <w:t xml:space="preserve"> – particularly within the education space</w:t>
      </w:r>
      <w:r w:rsidR="00B72070" w:rsidRPr="00167CB8">
        <w:rPr>
          <w:rFonts w:eastAsia="MS Mincho" w:cs="Arial"/>
        </w:rPr>
        <w:t xml:space="preserve"> </w:t>
      </w:r>
      <w:r w:rsidR="00F33FAB" w:rsidRPr="00167CB8">
        <w:rPr>
          <w:rFonts w:eastAsia="MS Mincho" w:cs="Arial"/>
        </w:rPr>
        <w:t>… and engagement with key stakeholders</w:t>
      </w:r>
      <w:r w:rsidR="00B72070" w:rsidRPr="00167CB8">
        <w:rPr>
          <w:rFonts w:eastAsia="MS Mincho" w:cs="Arial"/>
        </w:rPr>
        <w:t>’</w:t>
      </w:r>
      <w:r w:rsidR="00F33FAB" w:rsidRPr="00167CB8">
        <w:rPr>
          <w:rFonts w:eastAsia="MS Mincho" w:cs="Arial"/>
        </w:rPr>
        <w:t xml:space="preserve"> such as though the Building and Construction Reference Group</w:t>
      </w:r>
      <w:r w:rsidRPr="00167CB8">
        <w:rPr>
          <w:rFonts w:eastAsia="MS Mincho" w:cs="Arial"/>
        </w:rPr>
        <w:t>.</w:t>
      </w:r>
      <w:r w:rsidRPr="00167CB8">
        <w:rPr>
          <w:rStyle w:val="FootnoteReference"/>
          <w:rFonts w:eastAsia="MS Mincho" w:cs="Arial"/>
        </w:rPr>
        <w:footnoteReference w:id="77"/>
      </w:r>
      <w:r w:rsidRPr="00167CB8">
        <w:rPr>
          <w:rFonts w:eastAsia="MS Mincho" w:cs="Arial"/>
        </w:rPr>
        <w:t xml:space="preserve"> </w:t>
      </w:r>
    </w:p>
    <w:p w14:paraId="0E965543" w14:textId="6BD24AA2" w:rsidR="00A148FE" w:rsidRPr="00167CB8" w:rsidRDefault="00D669F5" w:rsidP="00EA4698">
      <w:pPr>
        <w:jc w:val="both"/>
        <w:rPr>
          <w:rFonts w:eastAsia="MS Mincho" w:cs="Arial"/>
        </w:rPr>
      </w:pPr>
      <w:r w:rsidRPr="00167CB8">
        <w:rPr>
          <w:rFonts w:eastAsia="MS Mincho" w:cs="Arial"/>
        </w:rPr>
        <w:t>T</w:t>
      </w:r>
      <w:r w:rsidR="00A148FE" w:rsidRPr="00167CB8">
        <w:rPr>
          <w:rFonts w:eastAsia="MS Mincho" w:cs="Arial"/>
        </w:rPr>
        <w:t>he FWO’s October 2023 Regulator Statement of Intent indicated a shift towards tripartism, collaboration and engagement in their approach to regulation and building a culture of compliance.</w:t>
      </w:r>
      <w:r w:rsidR="00A148FE" w:rsidRPr="00167CB8">
        <w:rPr>
          <w:rFonts w:eastAsia="MS Mincho" w:cs="Arial"/>
          <w:vertAlign w:val="superscript"/>
        </w:rPr>
        <w:footnoteReference w:id="78"/>
      </w:r>
      <w:r w:rsidR="00A148FE" w:rsidRPr="00167CB8">
        <w:rPr>
          <w:rFonts w:eastAsia="MS Mincho" w:cs="Arial"/>
        </w:rPr>
        <w:t xml:space="preserve"> </w:t>
      </w:r>
      <w:r w:rsidR="00C05B43" w:rsidRPr="00167CB8">
        <w:rPr>
          <w:rStyle w:val="FootnoteReference"/>
          <w:rFonts w:eastAsia="MS Mincho" w:cs="Arial"/>
        </w:rPr>
        <w:footnoteReference w:id="79"/>
      </w:r>
      <w:r w:rsidR="00A148FE" w:rsidRPr="00167CB8">
        <w:rPr>
          <w:rFonts w:eastAsia="MS Mincho" w:cs="Arial"/>
        </w:rPr>
        <w:t xml:space="preserve"> This led to the development of tripartite advisory and priority sector reference groups.</w:t>
      </w:r>
      <w:r w:rsidR="00A148FE" w:rsidRPr="00167CB8">
        <w:rPr>
          <w:rFonts w:eastAsia="MS Mincho" w:cs="Arial"/>
          <w:vertAlign w:val="superscript"/>
        </w:rPr>
        <w:footnoteReference w:id="80"/>
      </w:r>
      <w:r w:rsidR="00A148FE" w:rsidRPr="00167CB8">
        <w:rPr>
          <w:rFonts w:eastAsia="MS Mincho" w:cs="Arial"/>
        </w:rPr>
        <w:t xml:space="preserve"> One such reference group relevant to this review is the </w:t>
      </w:r>
      <w:r w:rsidR="00E03293" w:rsidRPr="00167CB8">
        <w:rPr>
          <w:rFonts w:eastAsia="MS Mincho" w:cs="Arial"/>
        </w:rPr>
        <w:t>b</w:t>
      </w:r>
      <w:r w:rsidR="00A148FE" w:rsidRPr="00167CB8">
        <w:rPr>
          <w:rFonts w:eastAsia="MS Mincho" w:cs="Arial"/>
        </w:rPr>
        <w:t xml:space="preserve">uilding and </w:t>
      </w:r>
      <w:r w:rsidR="00E03293" w:rsidRPr="00167CB8">
        <w:rPr>
          <w:rFonts w:eastAsia="MS Mincho" w:cs="Arial"/>
        </w:rPr>
        <w:t>c</w:t>
      </w:r>
      <w:r w:rsidR="00A148FE" w:rsidRPr="00167CB8">
        <w:rPr>
          <w:rFonts w:eastAsia="MS Mincho" w:cs="Arial"/>
        </w:rPr>
        <w:t xml:space="preserve">onstruction </w:t>
      </w:r>
      <w:r w:rsidR="00E03293" w:rsidRPr="00167CB8">
        <w:rPr>
          <w:rFonts w:eastAsia="MS Mincho" w:cs="Arial"/>
        </w:rPr>
        <w:t>i</w:t>
      </w:r>
      <w:r w:rsidR="00A148FE" w:rsidRPr="00167CB8">
        <w:rPr>
          <w:rFonts w:eastAsia="MS Mincho" w:cs="Arial"/>
        </w:rPr>
        <w:t>ndustry sector reference group, which was established in early 2024</w:t>
      </w:r>
      <w:r w:rsidR="002D0707" w:rsidRPr="00167CB8">
        <w:rPr>
          <w:rFonts w:eastAsia="MS Mincho" w:cs="Arial"/>
        </w:rPr>
        <w:t xml:space="preserve">. The reference </w:t>
      </w:r>
      <w:r w:rsidR="00AA2343" w:rsidRPr="00167CB8">
        <w:rPr>
          <w:rFonts w:eastAsia="MS Mincho" w:cs="Arial"/>
        </w:rPr>
        <w:t>group</w:t>
      </w:r>
      <w:r w:rsidR="002D0707" w:rsidRPr="00167CB8">
        <w:rPr>
          <w:rFonts w:eastAsia="MS Mincho" w:cs="Arial"/>
        </w:rPr>
        <w:t xml:space="preserve"> </w:t>
      </w:r>
      <w:r w:rsidR="008D4C22" w:rsidRPr="00167CB8">
        <w:rPr>
          <w:rFonts w:eastAsia="MS Mincho" w:cs="Arial"/>
        </w:rPr>
        <w:t>helps to ensure</w:t>
      </w:r>
      <w:r w:rsidR="00AA2343" w:rsidRPr="00167CB8">
        <w:rPr>
          <w:rFonts w:eastAsia="MS Mincho" w:cs="Arial"/>
        </w:rPr>
        <w:t xml:space="preserve"> </w:t>
      </w:r>
      <w:r w:rsidR="00564A65" w:rsidRPr="00167CB8">
        <w:rPr>
          <w:rFonts w:eastAsia="MS Mincho" w:cs="Arial"/>
        </w:rPr>
        <w:t>regular</w:t>
      </w:r>
      <w:r w:rsidR="00AA2343" w:rsidRPr="00167CB8">
        <w:rPr>
          <w:rFonts w:eastAsia="MS Mincho" w:cs="Arial"/>
        </w:rPr>
        <w:t xml:space="preserve"> communication with stakeholders on industry issues</w:t>
      </w:r>
      <w:r w:rsidR="00B72070" w:rsidRPr="00167CB8">
        <w:rPr>
          <w:rFonts w:eastAsia="MS Mincho" w:cs="Arial"/>
        </w:rPr>
        <w:t>;</w:t>
      </w:r>
      <w:r w:rsidR="002D0707" w:rsidRPr="00167CB8">
        <w:rPr>
          <w:rFonts w:eastAsia="MS Mincho" w:cs="Arial"/>
        </w:rPr>
        <w:t xml:space="preserve"> </w:t>
      </w:r>
      <w:r w:rsidR="00932AA3" w:rsidRPr="00167CB8">
        <w:rPr>
          <w:rFonts w:eastAsia="MS Mincho" w:cs="Arial"/>
        </w:rPr>
        <w:t>opportunities to seek input on FWO advice, education resources and activities</w:t>
      </w:r>
      <w:r w:rsidR="00B72070" w:rsidRPr="00167CB8">
        <w:rPr>
          <w:rFonts w:eastAsia="MS Mincho" w:cs="Arial"/>
        </w:rPr>
        <w:t>;</w:t>
      </w:r>
      <w:r w:rsidR="00932AA3" w:rsidRPr="00167CB8">
        <w:rPr>
          <w:rFonts w:eastAsia="MS Mincho" w:cs="Arial"/>
        </w:rPr>
        <w:t xml:space="preserve"> and identifying opportunities and initiatives to promote compliance.</w:t>
      </w:r>
      <w:r w:rsidR="00654243" w:rsidRPr="00167CB8">
        <w:rPr>
          <w:rStyle w:val="FootnoteReference"/>
          <w:rFonts w:eastAsia="MS Mincho" w:cs="Arial"/>
        </w:rPr>
        <w:footnoteReference w:id="81"/>
      </w:r>
      <w:r w:rsidR="002D0707" w:rsidRPr="00167CB8">
        <w:rPr>
          <w:rFonts w:eastAsia="MS Mincho" w:cs="Arial"/>
        </w:rPr>
        <w:t xml:space="preserve"> </w:t>
      </w:r>
      <w:r w:rsidR="00A148FE" w:rsidRPr="00167CB8">
        <w:rPr>
          <w:rFonts w:eastAsia="MS Mincho" w:cs="Arial"/>
        </w:rPr>
        <w:t xml:space="preserve"> </w:t>
      </w:r>
    </w:p>
    <w:p w14:paraId="3851A988" w14:textId="225681ED" w:rsidR="00A148FE" w:rsidRPr="00167CB8" w:rsidRDefault="00A148FE" w:rsidP="00A148FE">
      <w:r w:rsidRPr="00167CB8">
        <w:t xml:space="preserve">On 13 July 2024 a joint media investigation by the </w:t>
      </w:r>
      <w:r w:rsidRPr="00167CB8">
        <w:rPr>
          <w:i/>
          <w:iCs/>
        </w:rPr>
        <w:t>Australian Financial Review</w:t>
      </w:r>
      <w:r w:rsidRPr="00167CB8">
        <w:t xml:space="preserve">, the </w:t>
      </w:r>
      <w:r w:rsidRPr="00167CB8">
        <w:rPr>
          <w:i/>
          <w:iCs/>
        </w:rPr>
        <w:t>Age</w:t>
      </w:r>
      <w:r w:rsidRPr="00167CB8">
        <w:t xml:space="preserve">, the </w:t>
      </w:r>
      <w:r w:rsidRPr="00167CB8">
        <w:rPr>
          <w:i/>
          <w:iCs/>
        </w:rPr>
        <w:t>Sydney Morning Herald</w:t>
      </w:r>
      <w:r w:rsidRPr="00167CB8">
        <w:t xml:space="preserve"> and </w:t>
      </w:r>
      <w:r w:rsidRPr="00167CB8">
        <w:rPr>
          <w:i/>
          <w:iCs/>
        </w:rPr>
        <w:t>60 minutes</w:t>
      </w:r>
      <w:r w:rsidRPr="00167CB8">
        <w:t xml:space="preserve"> alleged criminality and corruption on </w:t>
      </w:r>
      <w:r w:rsidR="003447E8" w:rsidRPr="00167CB8">
        <w:t xml:space="preserve">Australian </w:t>
      </w:r>
      <w:r w:rsidR="00B72070" w:rsidRPr="00167CB8">
        <w:t>G</w:t>
      </w:r>
      <w:r w:rsidR="003447E8" w:rsidRPr="00167CB8">
        <w:t xml:space="preserve">overnment </w:t>
      </w:r>
      <w:r w:rsidRPr="00167CB8">
        <w:t>and state government</w:t>
      </w:r>
      <w:r w:rsidR="00B72070" w:rsidRPr="00167CB8">
        <w:t xml:space="preserve"> </w:t>
      </w:r>
      <w:r w:rsidRPr="00167CB8">
        <w:t>funded projects</w:t>
      </w:r>
      <w:r w:rsidR="00E03293" w:rsidRPr="00167CB8">
        <w:t>,</w:t>
      </w:r>
      <w:r w:rsidRPr="00167CB8">
        <w:rPr>
          <w:rStyle w:val="FootnoteReference"/>
        </w:rPr>
        <w:footnoteReference w:id="82"/>
      </w:r>
      <w:r w:rsidRPr="00167CB8">
        <w:t xml:space="preserve"> </w:t>
      </w:r>
      <w:r w:rsidR="00E03293" w:rsidRPr="00167CB8">
        <w:t xml:space="preserve">including </w:t>
      </w:r>
      <w:r w:rsidRPr="00167CB8">
        <w:t xml:space="preserve">accusations of corruption, intimidation and threats of violence in Victoria, Tasmania, New South Wales, Queensland and Western Australian branches of the Construction and General Division of the CFMEU. They have also alleged criminals </w:t>
      </w:r>
      <w:r w:rsidR="0062255B" w:rsidRPr="00167CB8">
        <w:t>were</w:t>
      </w:r>
      <w:r w:rsidRPr="00167CB8">
        <w:t xml:space="preserve"> acting as CFMEU delegates on </w:t>
      </w:r>
      <w:r w:rsidR="00902862" w:rsidRPr="00167CB8">
        <w:t xml:space="preserve">Australian </w:t>
      </w:r>
      <w:r w:rsidRPr="00167CB8">
        <w:t>and state government</w:t>
      </w:r>
      <w:r w:rsidR="00B72070" w:rsidRPr="00167CB8">
        <w:t xml:space="preserve"> </w:t>
      </w:r>
      <w:r w:rsidRPr="00167CB8">
        <w:t xml:space="preserve">funded projects, particularly in Victoria. </w:t>
      </w:r>
    </w:p>
    <w:p w14:paraId="2FE1971B" w14:textId="5C0B14F2" w:rsidR="00A148FE" w:rsidRPr="00167CB8" w:rsidRDefault="00A148FE" w:rsidP="00A148FE">
      <w:r w:rsidRPr="00167CB8">
        <w:t>On 23 August 2024, in response to these allegations,</w:t>
      </w:r>
      <w:r w:rsidRPr="00167CB8">
        <w:rPr>
          <w:vertAlign w:val="superscript"/>
        </w:rPr>
        <w:footnoteReference w:id="83"/>
      </w:r>
      <w:r w:rsidRPr="00167CB8">
        <w:t xml:space="preserve"> the </w:t>
      </w:r>
      <w:r w:rsidR="00CE606C" w:rsidRPr="00167CB8">
        <w:t>Australian</w:t>
      </w:r>
      <w:r w:rsidR="00CE606C" w:rsidRPr="00167CB8" w:rsidDel="00CE606C">
        <w:t xml:space="preserve"> </w:t>
      </w:r>
      <w:r w:rsidR="00CE606C" w:rsidRPr="00167CB8">
        <w:t>G</w:t>
      </w:r>
      <w:r w:rsidRPr="00167CB8">
        <w:t xml:space="preserve">overnment placed the Construction and General Division of the CFMEU and all of its branches into administration for </w:t>
      </w:r>
      <w:r w:rsidRPr="00167CB8">
        <w:lastRenderedPageBreak/>
        <w:t>a period of up to 5 years.</w:t>
      </w:r>
      <w:r w:rsidRPr="00167CB8">
        <w:rPr>
          <w:vertAlign w:val="superscript"/>
        </w:rPr>
        <w:footnoteReference w:id="84"/>
      </w:r>
      <w:r w:rsidRPr="00167CB8">
        <w:t xml:space="preserve"> The </w:t>
      </w:r>
      <w:r w:rsidR="00B72070" w:rsidRPr="00167CB8">
        <w:t>a</w:t>
      </w:r>
      <w:r w:rsidRPr="00167CB8">
        <w:t xml:space="preserve">dministration is aimed at </w:t>
      </w:r>
      <w:r w:rsidR="00B72070" w:rsidRPr="00167CB8">
        <w:t>‘</w:t>
      </w:r>
      <w:r w:rsidRPr="00167CB8">
        <w:t>ensuring that the Construction and General Division and its Divisional branches return to a position where they are democratically controlled and operate effectively and lawfully in the interests of members</w:t>
      </w:r>
      <w:r w:rsidR="00B72070" w:rsidRPr="00167CB8">
        <w:t>’</w:t>
      </w:r>
      <w:r w:rsidRPr="00167CB8">
        <w:t>.</w:t>
      </w:r>
      <w:r w:rsidRPr="00167CB8">
        <w:rPr>
          <w:vertAlign w:val="superscript"/>
        </w:rPr>
        <w:footnoteReference w:id="85"/>
      </w:r>
    </w:p>
    <w:p w14:paraId="7C6EB255" w14:textId="3524515C" w:rsidR="00A148FE" w:rsidRPr="00167CB8" w:rsidRDefault="00A148FE" w:rsidP="00EA4698">
      <w:pPr>
        <w:rPr>
          <w:rFonts w:eastAsia="MS Mincho" w:cs="Arial"/>
        </w:rPr>
      </w:pPr>
      <w:r w:rsidRPr="00167CB8">
        <w:rPr>
          <w:rFonts w:eastAsia="MS Mincho" w:cs="Arial"/>
        </w:rPr>
        <w:t xml:space="preserve">In response to these allegations, the former Minister </w:t>
      </w:r>
      <w:r w:rsidR="00E35CDD" w:rsidRPr="00167CB8">
        <w:rPr>
          <w:rFonts w:eastAsia="MS Mincho" w:cs="Arial"/>
        </w:rPr>
        <w:t>for Employment and Workplace Relations, the Hon Tony Burke MP,</w:t>
      </w:r>
      <w:r w:rsidRPr="00167CB8">
        <w:rPr>
          <w:rFonts w:eastAsia="MS Mincho" w:cs="Arial"/>
        </w:rPr>
        <w:t xml:space="preserve"> also wrote to the Fair Work Ombudsman, Anna Booth, on 17 July 2024 requesting the FWO investigate alleged serious misconduct within the branches of the Construction and General Division of the CFMEU.</w:t>
      </w:r>
      <w:r w:rsidRPr="00167CB8">
        <w:rPr>
          <w:rFonts w:eastAsia="MS Mincho" w:cs="Arial"/>
          <w:vertAlign w:val="superscript"/>
        </w:rPr>
        <w:footnoteReference w:id="86"/>
      </w:r>
      <w:r w:rsidRPr="00167CB8">
        <w:rPr>
          <w:rFonts w:eastAsia="MS Mincho" w:cs="Arial"/>
        </w:rPr>
        <w:t xml:space="preserve"> </w:t>
      </w:r>
      <w:r w:rsidRPr="00167CB8">
        <w:rPr>
          <w:rFonts w:eastAsia="MS Mincho" w:cs="Arial"/>
          <w:vertAlign w:val="superscript"/>
        </w:rPr>
        <w:footnoteReference w:id="87"/>
      </w:r>
    </w:p>
    <w:p w14:paraId="3DBC6AAE" w14:textId="7D0A6517" w:rsidR="00A148FE" w:rsidRPr="00167CB8" w:rsidRDefault="00A148FE" w:rsidP="00EA4698">
      <w:pPr>
        <w:rPr>
          <w:rFonts w:eastAsia="MS Mincho" w:cs="Arial"/>
        </w:rPr>
      </w:pPr>
      <w:r w:rsidRPr="00167CB8">
        <w:rPr>
          <w:rFonts w:eastAsia="MS Mincho" w:cs="Arial"/>
        </w:rPr>
        <w:t xml:space="preserve">On 16 October 2024 </w:t>
      </w:r>
      <w:r w:rsidR="00F26BAA" w:rsidRPr="00167CB8">
        <w:rPr>
          <w:rFonts w:eastAsia="MS Mincho" w:cs="Arial"/>
        </w:rPr>
        <w:t xml:space="preserve">the </w:t>
      </w:r>
      <w:r w:rsidRPr="00167CB8">
        <w:rPr>
          <w:rFonts w:eastAsia="MS Mincho" w:cs="Arial"/>
        </w:rPr>
        <w:t>Minister</w:t>
      </w:r>
      <w:r w:rsidR="00F26BAA" w:rsidRPr="00167CB8">
        <w:rPr>
          <w:rFonts w:eastAsia="MS Mincho" w:cs="Arial"/>
        </w:rPr>
        <w:t xml:space="preserve"> for Employment and Workplace Relations, Senator</w:t>
      </w:r>
      <w:r w:rsidR="00700964" w:rsidRPr="00167CB8">
        <w:rPr>
          <w:rFonts w:eastAsia="MS Mincho" w:cs="Arial"/>
        </w:rPr>
        <w:t xml:space="preserve"> the Hon</w:t>
      </w:r>
      <w:r w:rsidR="00F26BAA" w:rsidRPr="00167CB8">
        <w:rPr>
          <w:rFonts w:eastAsia="MS Mincho" w:cs="Arial"/>
        </w:rPr>
        <w:t xml:space="preserve"> Murray</w:t>
      </w:r>
      <w:r w:rsidRPr="00167CB8">
        <w:rPr>
          <w:rFonts w:eastAsia="MS Mincho" w:cs="Arial"/>
        </w:rPr>
        <w:t xml:space="preserve"> Watt</w:t>
      </w:r>
      <w:r w:rsidR="00B72070" w:rsidRPr="00167CB8">
        <w:rPr>
          <w:rFonts w:eastAsia="MS Mincho" w:cs="Arial"/>
        </w:rPr>
        <w:t>,</w:t>
      </w:r>
      <w:r w:rsidRPr="00167CB8">
        <w:rPr>
          <w:rFonts w:eastAsia="MS Mincho" w:cs="Arial"/>
        </w:rPr>
        <w:t xml:space="preserve"> commented that the </w:t>
      </w:r>
      <w:r w:rsidR="00B72070" w:rsidRPr="00167CB8">
        <w:rPr>
          <w:rFonts w:eastAsia="MS Mincho" w:cs="Arial"/>
        </w:rPr>
        <w:t>‘</w:t>
      </w:r>
      <w:r w:rsidRPr="00167CB8">
        <w:rPr>
          <w:rFonts w:eastAsia="MS Mincho" w:cs="Arial"/>
        </w:rPr>
        <w:t>FWO’s report [relating to the investigations into the CFMEU requested by the then Minister] complements the ongoing work being done by the administrator of the union</w:t>
      </w:r>
      <w:r w:rsidR="00B72070" w:rsidRPr="00167CB8">
        <w:rPr>
          <w:rFonts w:eastAsia="MS Mincho" w:cs="Arial"/>
        </w:rPr>
        <w:t>’</w:t>
      </w:r>
      <w:r w:rsidRPr="00167CB8">
        <w:rPr>
          <w:rFonts w:eastAsia="MS Mincho" w:cs="Arial"/>
        </w:rPr>
        <w:t xml:space="preserve"> and that there were 42 ongoing investigations. Of note, 9 of these were on foot prior to the Minister’s request. </w:t>
      </w:r>
    </w:p>
    <w:p w14:paraId="00555C2C" w14:textId="6FFE1033" w:rsidR="00A148FE" w:rsidRPr="00167CB8" w:rsidRDefault="003220B5" w:rsidP="00A148FE">
      <w:pPr>
        <w:pStyle w:val="Heading5"/>
        <w:rPr>
          <w:rFonts w:asciiTheme="minorHAnsi" w:hAnsiTheme="minorHAnsi"/>
        </w:rPr>
      </w:pPr>
      <w:bookmarkStart w:id="46" w:name="_Toc187421569"/>
      <w:bookmarkStart w:id="47" w:name="_Toc187946371"/>
      <w:r w:rsidRPr="00167CB8">
        <w:rPr>
          <w:rFonts w:asciiTheme="minorHAnsi" w:hAnsiTheme="minorHAnsi"/>
        </w:rPr>
        <w:t>4</w:t>
      </w:r>
      <w:r w:rsidR="002017CC" w:rsidRPr="00167CB8">
        <w:rPr>
          <w:rFonts w:asciiTheme="minorHAnsi" w:hAnsiTheme="minorHAnsi"/>
        </w:rPr>
        <w:t>.2.3</w:t>
      </w:r>
      <w:r w:rsidR="00A148FE" w:rsidRPr="00167CB8">
        <w:rPr>
          <w:rFonts w:asciiTheme="minorHAnsi" w:hAnsiTheme="minorHAnsi"/>
        </w:rPr>
        <w:t xml:space="preserve"> Stakeholder views</w:t>
      </w:r>
      <w:bookmarkEnd w:id="46"/>
      <w:bookmarkEnd w:id="47"/>
    </w:p>
    <w:p w14:paraId="65BDB7FC" w14:textId="14E78087" w:rsidR="00A148FE" w:rsidRPr="00167CB8" w:rsidRDefault="00B72070" w:rsidP="00A148FE">
      <w:r w:rsidRPr="00167CB8">
        <w:t>In their submissions to the Review, s</w:t>
      </w:r>
      <w:r w:rsidR="00A148FE" w:rsidRPr="00167CB8">
        <w:t xml:space="preserve">takeholders expressed a range of views on the abolition of the ABCC and the transfer of responsibility for the commercial building and construction sector. </w:t>
      </w:r>
    </w:p>
    <w:p w14:paraId="3A481AA3" w14:textId="77777777" w:rsidR="00A148FE" w:rsidRPr="00167CB8" w:rsidRDefault="00A148FE" w:rsidP="00A148FE">
      <w:r w:rsidRPr="00167CB8">
        <w:t xml:space="preserve">Employee organisations expressed support for the amendments. </w:t>
      </w:r>
    </w:p>
    <w:p w14:paraId="7B32AA24" w14:textId="5B0FE874" w:rsidR="00A148FE" w:rsidRPr="00167CB8" w:rsidRDefault="00A148FE" w:rsidP="00A148FE">
      <w:r w:rsidRPr="00167CB8">
        <w:t>Unions submit</w:t>
      </w:r>
      <w:r w:rsidR="00E03293" w:rsidRPr="00167CB8">
        <w:t>ted</w:t>
      </w:r>
      <w:r w:rsidRPr="00167CB8">
        <w:t xml:space="preserve"> </w:t>
      </w:r>
      <w:r w:rsidR="00E03293" w:rsidRPr="00167CB8">
        <w:t xml:space="preserve">that </w:t>
      </w:r>
      <w:r w:rsidRPr="00167CB8">
        <w:t xml:space="preserve">the ABCC was politically motivated and ineffective. The </w:t>
      </w:r>
      <w:r w:rsidR="00E03293" w:rsidRPr="00167CB8">
        <w:t>Australian Council of Trade Unions (</w:t>
      </w:r>
      <w:r w:rsidRPr="00167CB8">
        <w:t>ACTU</w:t>
      </w:r>
      <w:r w:rsidR="00E03293" w:rsidRPr="00167CB8">
        <w:t>)</w:t>
      </w:r>
      <w:r w:rsidRPr="00167CB8">
        <w:t xml:space="preserve"> stated that the ABCC was </w:t>
      </w:r>
      <w:r w:rsidR="002F51B6" w:rsidRPr="00167CB8">
        <w:t>a</w:t>
      </w:r>
      <w:r w:rsidRPr="00167CB8">
        <w:t xml:space="preserve"> </w:t>
      </w:r>
      <w:r w:rsidR="00B72070" w:rsidRPr="00167CB8">
        <w:t>‘</w:t>
      </w:r>
      <w:r w:rsidRPr="00167CB8">
        <w:t>highly politicised organisation</w:t>
      </w:r>
      <w:r w:rsidR="00B72070" w:rsidRPr="00167CB8">
        <w:t>’</w:t>
      </w:r>
      <w:r w:rsidRPr="00167CB8">
        <w:t xml:space="preserve">. </w:t>
      </w:r>
      <w:r w:rsidR="00E03293" w:rsidRPr="00167CB8">
        <w:t xml:space="preserve">It </w:t>
      </w:r>
      <w:r w:rsidRPr="00167CB8">
        <w:t>also stated that the ABCC</w:t>
      </w:r>
      <w:r w:rsidRPr="00167CB8" w:rsidDel="00C66B1C">
        <w:t xml:space="preserve"> </w:t>
      </w:r>
      <w:r w:rsidR="00B72070" w:rsidRPr="00167CB8">
        <w:t>‘</w:t>
      </w:r>
      <w:r w:rsidRPr="00167CB8">
        <w:t>did nothing to uncover or investigate the recent issues identified in the Construction and General Division (C&amp;G) of the CFMEU, now being handled by the Administrator</w:t>
      </w:r>
      <w:r w:rsidR="00B72070" w:rsidRPr="00167CB8">
        <w:t>’</w:t>
      </w:r>
      <w:r w:rsidRPr="00167CB8">
        <w:t>.</w:t>
      </w:r>
      <w:r w:rsidRPr="00167CB8">
        <w:rPr>
          <w:rStyle w:val="FootnoteReference"/>
        </w:rPr>
        <w:footnoteReference w:id="88"/>
      </w:r>
      <w:r w:rsidRPr="00167CB8">
        <w:t xml:space="preserve"> </w:t>
      </w:r>
    </w:p>
    <w:p w14:paraId="61B6197E" w14:textId="4E846FFC" w:rsidR="00A148FE" w:rsidRPr="00167CB8" w:rsidRDefault="00A148FE" w:rsidP="00A148FE">
      <w:r w:rsidRPr="00167CB8">
        <w:t xml:space="preserve">The </w:t>
      </w:r>
      <w:r w:rsidR="002F51B6" w:rsidRPr="00167CB8">
        <w:t xml:space="preserve">Construction and General Division of the </w:t>
      </w:r>
      <w:r w:rsidRPr="00167CB8">
        <w:t xml:space="preserve">CFMEU stated the ABCC and Building Code were </w:t>
      </w:r>
      <w:r w:rsidR="00B72070" w:rsidRPr="00167CB8">
        <w:t>‘</w:t>
      </w:r>
      <w:r w:rsidRPr="00167CB8">
        <w:t>an ideologically driven and authoritarian organisation focused almost exclusively on de-unionising the construction industry</w:t>
      </w:r>
      <w:r w:rsidR="00B72070" w:rsidRPr="00167CB8">
        <w:t>’</w:t>
      </w:r>
      <w:r w:rsidRPr="00167CB8">
        <w:t>, citing cases brought against the Construction and General Division of the CFMEU by the ABCC.</w:t>
      </w:r>
      <w:r w:rsidRPr="00167CB8">
        <w:rPr>
          <w:rStyle w:val="FootnoteReference"/>
        </w:rPr>
        <w:footnoteReference w:id="89"/>
      </w:r>
      <w:r w:rsidRPr="00167CB8">
        <w:t xml:space="preserve"> </w:t>
      </w:r>
      <w:r w:rsidR="00E03293" w:rsidRPr="00167CB8">
        <w:t xml:space="preserve">It </w:t>
      </w:r>
      <w:r w:rsidRPr="00167CB8">
        <w:t xml:space="preserve">also argued </w:t>
      </w:r>
      <w:r w:rsidR="00B72070" w:rsidRPr="00167CB8">
        <w:t>‘</w:t>
      </w:r>
      <w:r w:rsidRPr="00167CB8">
        <w:t>construction workers did not have the same rights as other workers</w:t>
      </w:r>
      <w:r w:rsidR="006C0D5D">
        <w:t>.</w:t>
      </w:r>
      <w:r w:rsidR="00B72070" w:rsidRPr="00167CB8">
        <w:t>’</w:t>
      </w:r>
      <w:r w:rsidRPr="00167CB8">
        <w:rPr>
          <w:rStyle w:val="FootnoteReference"/>
        </w:rPr>
        <w:footnoteReference w:id="90"/>
      </w:r>
      <w:r w:rsidRPr="00167CB8">
        <w:t xml:space="preserve">  </w:t>
      </w:r>
    </w:p>
    <w:p w14:paraId="21FCDEB3" w14:textId="0D36CEB4" w:rsidR="00A148FE" w:rsidRPr="00167CB8" w:rsidRDefault="00A148FE" w:rsidP="00A148FE">
      <w:r w:rsidRPr="00167CB8">
        <w:lastRenderedPageBreak/>
        <w:t>The CFMEU also argued the ABCC failed to address endemic issues</w:t>
      </w:r>
      <w:r w:rsidR="00AA4593" w:rsidRPr="00167CB8">
        <w:t xml:space="preserve"> in the industry</w:t>
      </w:r>
      <w:r w:rsidRPr="00167CB8">
        <w:t xml:space="preserve">, such as </w:t>
      </w:r>
      <w:r w:rsidR="00B72070" w:rsidRPr="00167CB8">
        <w:t>‘</w:t>
      </w:r>
      <w:r w:rsidRPr="00167CB8">
        <w:t>wage theft, sham contracting and work health safety issues</w:t>
      </w:r>
      <w:r w:rsidR="00B72070" w:rsidRPr="00167CB8">
        <w:t>’</w:t>
      </w:r>
      <w:r w:rsidRPr="00167CB8">
        <w:t xml:space="preserve">. The </w:t>
      </w:r>
      <w:r w:rsidR="00A27E89" w:rsidRPr="00167CB8">
        <w:t xml:space="preserve">Construction and General Division of the </w:t>
      </w:r>
      <w:r w:rsidRPr="00167CB8">
        <w:t xml:space="preserve">CFMEU </w:t>
      </w:r>
      <w:r w:rsidR="00A27E89" w:rsidRPr="00167CB8">
        <w:t>also</w:t>
      </w:r>
      <w:r w:rsidRPr="00167CB8">
        <w:t xml:space="preserve"> submit</w:t>
      </w:r>
      <w:r w:rsidR="00E03293" w:rsidRPr="00167CB8">
        <w:t>ted</w:t>
      </w:r>
      <w:r w:rsidRPr="00167CB8">
        <w:t xml:space="preserve"> that the ABCC only ran </w:t>
      </w:r>
      <w:r w:rsidR="00B72070" w:rsidRPr="00167CB8">
        <w:t xml:space="preserve">3 </w:t>
      </w:r>
      <w:r w:rsidRPr="00167CB8">
        <w:t xml:space="preserve">cases against employers to recover unpaid wages, did not pursue any sham contracting matters and only commenced </w:t>
      </w:r>
      <w:r w:rsidR="00B72070" w:rsidRPr="00167CB8">
        <w:t xml:space="preserve">3 </w:t>
      </w:r>
      <w:r w:rsidRPr="00167CB8">
        <w:t>prosecutions of employers.</w:t>
      </w:r>
      <w:r w:rsidRPr="00167CB8">
        <w:rPr>
          <w:rStyle w:val="FootnoteReference"/>
        </w:rPr>
        <w:footnoteReference w:id="91"/>
      </w:r>
      <w:r w:rsidRPr="00167CB8">
        <w:t xml:space="preserve"> </w:t>
      </w:r>
      <w:r w:rsidR="00E03293" w:rsidRPr="00167CB8">
        <w:t xml:space="preserve">It </w:t>
      </w:r>
      <w:r w:rsidRPr="00167CB8">
        <w:t>cited PwC modelling from 2019 that found the construction industry made up 10% of the national workforce but almost 25% of estimated annual underpayments of workers.</w:t>
      </w:r>
      <w:r w:rsidRPr="00167CB8">
        <w:rPr>
          <w:rStyle w:val="FootnoteReference"/>
        </w:rPr>
        <w:footnoteReference w:id="92"/>
      </w:r>
      <w:r w:rsidRPr="00167CB8">
        <w:t xml:space="preserve">  </w:t>
      </w:r>
    </w:p>
    <w:p w14:paraId="7CF85064" w14:textId="151122B2" w:rsidR="00A148FE" w:rsidRPr="00167CB8" w:rsidRDefault="00A148FE" w:rsidP="00A148FE">
      <w:r w:rsidRPr="00167CB8">
        <w:t>Employer groups were critical of the abolition of the ABCC and called for the ABCC and the Building Code to be re</w:t>
      </w:r>
      <w:r w:rsidR="00B72070" w:rsidRPr="00167CB8">
        <w:t>-</w:t>
      </w:r>
      <w:r w:rsidRPr="00167CB8">
        <w:t>established. There was a common sentiment that a specialised regulator such as the ABCC is needed to regulate the building and construction sector.</w:t>
      </w:r>
    </w:p>
    <w:p w14:paraId="5D310496" w14:textId="7E2EFC5E" w:rsidR="00A148FE" w:rsidRPr="00167CB8" w:rsidRDefault="00A148FE" w:rsidP="00A148FE">
      <w:pPr>
        <w:tabs>
          <w:tab w:val="left" w:pos="1620"/>
        </w:tabs>
      </w:pPr>
      <w:r w:rsidRPr="00167CB8">
        <w:t xml:space="preserve">Employer groups expressed significant concern about adverse impacts arising from the abolition of the ABCC. In particular, </w:t>
      </w:r>
      <w:r w:rsidR="00B703A4" w:rsidRPr="00167CB8">
        <w:t xml:space="preserve">employer groups were concerned with </w:t>
      </w:r>
      <w:r w:rsidR="002442C3" w:rsidRPr="00167CB8">
        <w:t>a perceived</w:t>
      </w:r>
      <w:r w:rsidRPr="00167CB8">
        <w:t xml:space="preserve"> lack of enforcement and oversight of the activities of the CFMEU. Ai Group stated that the ABCC was abolished in the face of entrenched unacceptable CFMEU conduct.</w:t>
      </w:r>
      <w:r w:rsidRPr="00167CB8">
        <w:rPr>
          <w:rStyle w:val="FootnoteReference"/>
        </w:rPr>
        <w:footnoteReference w:id="93"/>
      </w:r>
      <w:r w:rsidRPr="00167CB8">
        <w:t xml:space="preserve"> </w:t>
      </w:r>
      <w:r w:rsidR="00E03293" w:rsidRPr="00167CB8">
        <w:t>The Business Council of Australia (</w:t>
      </w:r>
      <w:r w:rsidRPr="00167CB8">
        <w:t>BCA</w:t>
      </w:r>
      <w:r w:rsidR="00E03293" w:rsidRPr="00167CB8">
        <w:t>)</w:t>
      </w:r>
      <w:r w:rsidRPr="00167CB8">
        <w:t xml:space="preserve"> noted the need for industry-specific solutions, stating that </w:t>
      </w:r>
      <w:r w:rsidR="00B72070" w:rsidRPr="00167CB8">
        <w:t>‘</w:t>
      </w:r>
      <w:r w:rsidRPr="00167CB8">
        <w:t>at the heart of these problems is the systemic culture of lawbreaking and recidivism of the</w:t>
      </w:r>
      <w:r w:rsidR="00B72070" w:rsidRPr="00167CB8">
        <w:t xml:space="preserve"> </w:t>
      </w:r>
      <w:r w:rsidRPr="00167CB8">
        <w:t>… construction and general division of the CFMEU</w:t>
      </w:r>
      <w:r w:rsidR="00B72070" w:rsidRPr="00167CB8">
        <w:t>’</w:t>
      </w:r>
      <w:r w:rsidRPr="00167CB8">
        <w:t xml:space="preserve"> and that</w:t>
      </w:r>
      <w:r w:rsidRPr="00167CB8" w:rsidDel="00100509">
        <w:t xml:space="preserve"> </w:t>
      </w:r>
      <w:r w:rsidR="00B72070" w:rsidRPr="00167CB8">
        <w:t>‘</w:t>
      </w:r>
      <w:r w:rsidRPr="00167CB8">
        <w:t>[c]ourts have found that the CFMEU has repeatedly and deliberately breached industrial legislation, undertaking disruptive, threatening, and abusive behaviour towards employers and employees</w:t>
      </w:r>
      <w:r w:rsidR="00B72070" w:rsidRPr="00167CB8">
        <w:t>’</w:t>
      </w:r>
      <w:r w:rsidRPr="00167CB8">
        <w:t>.</w:t>
      </w:r>
      <w:r w:rsidRPr="00167CB8">
        <w:rPr>
          <w:rStyle w:val="FootnoteReference"/>
        </w:rPr>
        <w:footnoteReference w:id="94"/>
      </w:r>
      <w:r w:rsidRPr="00167CB8">
        <w:t xml:space="preserve"> </w:t>
      </w:r>
    </w:p>
    <w:p w14:paraId="3C89DCDD" w14:textId="6DD6D074" w:rsidR="00A148FE" w:rsidRPr="00167CB8" w:rsidRDefault="00E03293" w:rsidP="00A148FE">
      <w:pPr>
        <w:tabs>
          <w:tab w:val="left" w:pos="1620"/>
        </w:tabs>
      </w:pPr>
      <w:r w:rsidRPr="00167CB8">
        <w:t>The Housing Industry Association (</w:t>
      </w:r>
      <w:r w:rsidR="00A148FE" w:rsidRPr="00167CB8">
        <w:t>HIA</w:t>
      </w:r>
      <w:r w:rsidRPr="00167CB8">
        <w:t>)</w:t>
      </w:r>
      <w:r w:rsidR="00A148FE" w:rsidRPr="00167CB8">
        <w:t xml:space="preserve"> argued </w:t>
      </w:r>
      <w:r w:rsidR="00D96071" w:rsidRPr="00167CB8">
        <w:t xml:space="preserve">the </w:t>
      </w:r>
      <w:r w:rsidR="003C5767" w:rsidRPr="00167CB8">
        <w:t xml:space="preserve">abolition of the ABCC </w:t>
      </w:r>
      <w:r w:rsidR="00A148FE" w:rsidRPr="00167CB8">
        <w:t xml:space="preserve">has resulted in a regulatory gap at the time allegations about the CFMEU have come to light and highlighted contraventions by the union since 2003, </w:t>
      </w:r>
      <w:r w:rsidR="00B72070" w:rsidRPr="00167CB8">
        <w:t>‘</w:t>
      </w:r>
      <w:r w:rsidR="00A148FE" w:rsidRPr="00167CB8">
        <w:t>resulting in over $24 million in penalties, and $4 million ordered against office holders, employees, delegates and members</w:t>
      </w:r>
      <w:r w:rsidR="00B72070" w:rsidRPr="00167CB8">
        <w:t>’</w:t>
      </w:r>
      <w:r w:rsidR="00A148FE" w:rsidRPr="00167CB8">
        <w:t>.</w:t>
      </w:r>
      <w:r w:rsidR="00A148FE" w:rsidRPr="00167CB8">
        <w:rPr>
          <w:rStyle w:val="FootnoteReference"/>
        </w:rPr>
        <w:footnoteReference w:id="95"/>
      </w:r>
      <w:r w:rsidR="00A148FE" w:rsidRPr="00167CB8">
        <w:t xml:space="preserve"> MCA argued the abolition of the ABCC has weakened union accountability.</w:t>
      </w:r>
      <w:r w:rsidR="00A148FE" w:rsidRPr="00167CB8">
        <w:rPr>
          <w:rStyle w:val="FootnoteReference"/>
        </w:rPr>
        <w:footnoteReference w:id="96"/>
      </w:r>
      <w:r w:rsidR="00A148FE" w:rsidRPr="00167CB8">
        <w:t xml:space="preserve"> </w:t>
      </w:r>
      <w:r w:rsidRPr="00167CB8">
        <w:t>Master Builders Australia (</w:t>
      </w:r>
      <w:r w:rsidR="00A148FE" w:rsidRPr="00167CB8">
        <w:t>MBA</w:t>
      </w:r>
      <w:r w:rsidRPr="00167CB8">
        <w:t>)</w:t>
      </w:r>
      <w:r w:rsidR="00A148FE" w:rsidRPr="00167CB8">
        <w:t xml:space="preserve"> argued that the abolition of the ABCC and Building Code has led to the return of </w:t>
      </w:r>
      <w:r w:rsidR="00B72070" w:rsidRPr="00167CB8">
        <w:t>‘</w:t>
      </w:r>
      <w:r w:rsidR="00A148FE" w:rsidRPr="00167CB8">
        <w:t>historical unlawful and anti-productive practices, leaving the industry without the necessary protections or an effective regulator to assist them enforce their rights</w:t>
      </w:r>
      <w:r w:rsidR="00B72070" w:rsidRPr="00167CB8">
        <w:t>’.</w:t>
      </w:r>
      <w:r w:rsidR="00A148FE" w:rsidRPr="00167CB8">
        <w:rPr>
          <w:rStyle w:val="FootnoteReference"/>
        </w:rPr>
        <w:footnoteReference w:id="97"/>
      </w:r>
    </w:p>
    <w:p w14:paraId="0FEAD31E" w14:textId="6507E1B5" w:rsidR="00A148FE" w:rsidRPr="00167CB8" w:rsidRDefault="00E03293" w:rsidP="00A148FE">
      <w:pPr>
        <w:tabs>
          <w:tab w:val="left" w:pos="1620"/>
        </w:tabs>
      </w:pPr>
      <w:r w:rsidRPr="00167CB8">
        <w:t>The Australian Resources &amp; Energy Employer Association (</w:t>
      </w:r>
      <w:r w:rsidR="00A148FE" w:rsidRPr="00167CB8">
        <w:t>AREEA</w:t>
      </w:r>
      <w:r w:rsidRPr="00167CB8">
        <w:t>)</w:t>
      </w:r>
      <w:r w:rsidR="00A148FE" w:rsidRPr="00167CB8">
        <w:t xml:space="preserve"> argued that the abolition of the ABCC led to the </w:t>
      </w:r>
      <w:r w:rsidR="00CE606C" w:rsidRPr="00167CB8">
        <w:t xml:space="preserve">Australian </w:t>
      </w:r>
      <w:r w:rsidR="00A148FE" w:rsidRPr="00167CB8">
        <w:t xml:space="preserve">Government needing to place the </w:t>
      </w:r>
      <w:r w:rsidR="00921233" w:rsidRPr="00167CB8">
        <w:t xml:space="preserve">Construction and General Division of the </w:t>
      </w:r>
      <w:r w:rsidR="00A148FE" w:rsidRPr="00167CB8">
        <w:t>CFMEU into administration.</w:t>
      </w:r>
      <w:r w:rsidR="00A148FE" w:rsidRPr="00167CB8">
        <w:rPr>
          <w:rStyle w:val="FootnoteReference"/>
        </w:rPr>
        <w:footnoteReference w:id="98"/>
      </w:r>
      <w:r w:rsidR="00A148FE" w:rsidRPr="00167CB8">
        <w:t xml:space="preserve"> </w:t>
      </w:r>
      <w:r w:rsidR="00C260BA" w:rsidRPr="00167CB8">
        <w:t>Master Electricians Australia (</w:t>
      </w:r>
      <w:r w:rsidR="00A148FE" w:rsidRPr="00167CB8">
        <w:t>MEA</w:t>
      </w:r>
      <w:r w:rsidR="00C260BA" w:rsidRPr="00167CB8">
        <w:t>)</w:t>
      </w:r>
      <w:r w:rsidR="00A148FE" w:rsidRPr="00167CB8">
        <w:t xml:space="preserve"> believes that cultural change within the CFMEU now depends solely on its administrator and that reinstating the ABCC would likely result in changed </w:t>
      </w:r>
      <w:r w:rsidR="00CE5E0D" w:rsidRPr="00167CB8">
        <w:t>behaviour</w:t>
      </w:r>
      <w:r w:rsidR="00A148FE" w:rsidRPr="00167CB8">
        <w:t>.</w:t>
      </w:r>
      <w:r w:rsidR="00A148FE" w:rsidRPr="00167CB8">
        <w:rPr>
          <w:rStyle w:val="FootnoteReference"/>
        </w:rPr>
        <w:footnoteReference w:id="99"/>
      </w:r>
      <w:r w:rsidR="00A148FE" w:rsidRPr="00167CB8">
        <w:t xml:space="preserve"> </w:t>
      </w:r>
    </w:p>
    <w:p w14:paraId="3EB1EEA7" w14:textId="6D97D81C" w:rsidR="00A148FE" w:rsidRPr="00167CB8" w:rsidRDefault="00A148FE" w:rsidP="00A148FE">
      <w:pPr>
        <w:tabs>
          <w:tab w:val="left" w:pos="1620"/>
        </w:tabs>
      </w:pPr>
      <w:r w:rsidRPr="00167CB8">
        <w:t xml:space="preserve">Many employer groups argued the FWO is not an effective replacement for the ABCC. MBA </w:t>
      </w:r>
      <w:r w:rsidR="00C260BA" w:rsidRPr="00167CB8">
        <w:t xml:space="preserve">said it </w:t>
      </w:r>
      <w:r w:rsidRPr="00167CB8">
        <w:t>believe</w:t>
      </w:r>
      <w:r w:rsidR="00C260BA" w:rsidRPr="00167CB8">
        <w:t>s</w:t>
      </w:r>
      <w:r w:rsidRPr="00167CB8">
        <w:t xml:space="preserve"> issues in the industry have been made worse by the FWO not being an effective replacement for the ABCC, noting the FWO had not filed a new case against the CFMEU following the ABCC’s abolition and discontinued or partially discontinued 12 of the 41 cases </w:t>
      </w:r>
      <w:r w:rsidRPr="00167CB8">
        <w:lastRenderedPageBreak/>
        <w:t>transferred from the ABCC.</w:t>
      </w:r>
      <w:r w:rsidRPr="00167CB8">
        <w:rPr>
          <w:rStyle w:val="FootnoteReference"/>
        </w:rPr>
        <w:footnoteReference w:id="100"/>
      </w:r>
      <w:r w:rsidRPr="00167CB8">
        <w:t xml:space="preserve"> </w:t>
      </w:r>
      <w:r w:rsidR="00C260BA" w:rsidRPr="00167CB8">
        <w:t xml:space="preserve">It </w:t>
      </w:r>
      <w:r w:rsidRPr="00167CB8">
        <w:t>also stated the FWO does not have the appropriate resources or powers to effectively regulate widely known industry problems.</w:t>
      </w:r>
      <w:r w:rsidRPr="00167CB8">
        <w:rPr>
          <w:rStyle w:val="FootnoteReference"/>
        </w:rPr>
        <w:footnoteReference w:id="101"/>
      </w:r>
      <w:r w:rsidRPr="00167CB8">
        <w:t xml:space="preserve">   </w:t>
      </w:r>
    </w:p>
    <w:p w14:paraId="5442740F" w14:textId="209A0D78" w:rsidR="00A148FE" w:rsidRPr="00167CB8" w:rsidRDefault="00C260BA" w:rsidP="00B72070">
      <w:r w:rsidRPr="00167CB8">
        <w:t>The Australian Chamber of Commerce and Industry (</w:t>
      </w:r>
      <w:r w:rsidR="00A148FE" w:rsidRPr="00167CB8">
        <w:t>ACCI</w:t>
      </w:r>
      <w:r w:rsidRPr="00167CB8">
        <w:t>)</w:t>
      </w:r>
      <w:r w:rsidR="00A148FE" w:rsidRPr="00167CB8">
        <w:t xml:space="preserve"> also noted comments by Judge</w:t>
      </w:r>
      <w:r w:rsidRPr="00167CB8">
        <w:t> </w:t>
      </w:r>
      <w:r w:rsidR="00A148FE" w:rsidRPr="00167CB8">
        <w:t xml:space="preserve">Vasta in relation to the </w:t>
      </w:r>
      <w:r w:rsidR="00B72070" w:rsidRPr="00167CB8">
        <w:t>‘</w:t>
      </w:r>
      <w:r w:rsidR="00A148FE" w:rsidRPr="00167CB8">
        <w:t>partial discontinuation of a matter where it [the FWO] abandoned “the most serious”</w:t>
      </w:r>
      <w:r w:rsidR="00A148FE" w:rsidRPr="00167CB8">
        <w:rPr>
          <w:rStyle w:val="FootnoteReference"/>
        </w:rPr>
        <w:footnoteReference w:id="102"/>
      </w:r>
      <w:r w:rsidR="00A148FE" w:rsidRPr="00167CB8">
        <w:t xml:space="preserve"> claim involving threats of violence and corruption allegations</w:t>
      </w:r>
      <w:r w:rsidR="006C0D5D">
        <w:t>.</w:t>
      </w:r>
      <w:r w:rsidR="00B72070" w:rsidRPr="00167CB8">
        <w:t>’</w:t>
      </w:r>
      <w:r w:rsidR="00A148FE" w:rsidRPr="00167CB8">
        <w:rPr>
          <w:rStyle w:val="FootnoteReference"/>
        </w:rPr>
        <w:footnoteReference w:id="103"/>
      </w:r>
      <w:r w:rsidR="00A148FE" w:rsidRPr="00167CB8">
        <w:t xml:space="preserve"> Judge</w:t>
      </w:r>
      <w:r w:rsidRPr="00167CB8">
        <w:t> </w:t>
      </w:r>
      <w:r w:rsidR="00A148FE" w:rsidRPr="00167CB8">
        <w:t>Vasta stated that</w:t>
      </w:r>
      <w:r w:rsidR="00B72070" w:rsidRPr="00167CB8">
        <w:t xml:space="preserve"> ‘</w:t>
      </w:r>
      <w:r w:rsidR="00A148FE" w:rsidRPr="00167CB8">
        <w:t>there may be a perception that the FWO had not complied with the obligations as a model litigant</w:t>
      </w:r>
      <w:r w:rsidR="00B72070" w:rsidRPr="00167CB8">
        <w:t>’ and that:</w:t>
      </w:r>
    </w:p>
    <w:p w14:paraId="146B52DF" w14:textId="3ECFF91E" w:rsidR="00A148FE" w:rsidRPr="00167CB8" w:rsidRDefault="00A148FE" w:rsidP="00C83147">
      <w:pPr>
        <w:pStyle w:val="Quote"/>
      </w:pPr>
      <w:r w:rsidRPr="00167CB8">
        <w:t>the perception may very well be that the FWO has, by its own actions, not lived up to its purpose. Whilst it must treat all victims equally and all perpetrators equally, the perception here may very well be an Orwellian one; that is, that some victims, and some perpetrators, are more equal than others.</w:t>
      </w:r>
    </w:p>
    <w:p w14:paraId="7456EC4E" w14:textId="16391A78" w:rsidR="00A148FE" w:rsidRPr="00167CB8" w:rsidRDefault="00A148FE" w:rsidP="00A148FE">
      <w:pPr>
        <w:tabs>
          <w:tab w:val="left" w:pos="1620"/>
        </w:tabs>
      </w:pPr>
      <w:r w:rsidRPr="00167CB8">
        <w:t>MBA argued that studies have identified an adverse impact on construction costs and the national housing crisis.</w:t>
      </w:r>
      <w:r w:rsidRPr="00167CB8">
        <w:rPr>
          <w:rStyle w:val="FootnoteReference"/>
        </w:rPr>
        <w:footnoteReference w:id="104"/>
      </w:r>
      <w:r w:rsidRPr="00167CB8">
        <w:t xml:space="preserve"> For example, MBA cite</w:t>
      </w:r>
      <w:r w:rsidR="00C260BA" w:rsidRPr="00167CB8">
        <w:t>d</w:t>
      </w:r>
      <w:r w:rsidRPr="00167CB8">
        <w:t xml:space="preserve"> a finding that the cost of a </w:t>
      </w:r>
      <w:r w:rsidR="00B72070" w:rsidRPr="00167CB8">
        <w:t>2</w:t>
      </w:r>
      <w:r w:rsidRPr="00167CB8">
        <w:t>-bedroom apartment increased by 33</w:t>
      </w:r>
      <w:r w:rsidR="00B72070" w:rsidRPr="00167CB8">
        <w:t>%</w:t>
      </w:r>
      <w:r w:rsidRPr="00167CB8">
        <w:t xml:space="preserve"> and up to 96 days per year were lost</w:t>
      </w:r>
      <w:r w:rsidR="0054065C" w:rsidRPr="00167CB8">
        <w:t>,</w:t>
      </w:r>
      <w:r w:rsidRPr="00167CB8">
        <w:t xml:space="preserve"> and </w:t>
      </w:r>
      <w:r w:rsidR="00607F7C" w:rsidRPr="00167CB8">
        <w:t>other</w:t>
      </w:r>
      <w:r w:rsidRPr="00167CB8">
        <w:t xml:space="preserve"> analysis that the amendments added 10</w:t>
      </w:r>
      <w:r w:rsidR="00B72070" w:rsidRPr="00167CB8">
        <w:t>%</w:t>
      </w:r>
      <w:r w:rsidRPr="00167CB8">
        <w:t xml:space="preserve"> to the cost of construction of an apartment.</w:t>
      </w:r>
      <w:r w:rsidRPr="00167CB8">
        <w:rPr>
          <w:rStyle w:val="FootnoteReference"/>
        </w:rPr>
        <w:footnoteReference w:id="105"/>
      </w:r>
    </w:p>
    <w:p w14:paraId="45B46E7D" w14:textId="325BA482" w:rsidR="00A148FE" w:rsidRPr="00167CB8" w:rsidRDefault="00A148FE" w:rsidP="00A148FE">
      <w:r w:rsidRPr="00167CB8">
        <w:t>Ai Group and HIA recommended that, if the ABCC is not to be re</w:t>
      </w:r>
      <w:r w:rsidR="00B72070" w:rsidRPr="00167CB8">
        <w:t>-</w:t>
      </w:r>
      <w:r w:rsidRPr="00167CB8">
        <w:t xml:space="preserve">established, there should be a dedicated division within the FWO with responsibility for regulating the building and construction sector and with the necessary resourcing and powers to regulate the sector. MBA noted the need for the </w:t>
      </w:r>
      <w:r w:rsidR="00B72070" w:rsidRPr="00167CB8">
        <w:t>‘</w:t>
      </w:r>
      <w:r w:rsidRPr="00167CB8">
        <w:t>full range</w:t>
      </w:r>
      <w:r w:rsidR="00B72070" w:rsidRPr="00167CB8">
        <w:t>’</w:t>
      </w:r>
      <w:r w:rsidRPr="00167CB8">
        <w:t xml:space="preserve"> of ABCC powers, including </w:t>
      </w:r>
      <w:r w:rsidR="00B72070" w:rsidRPr="00167CB8">
        <w:t>‘</w:t>
      </w:r>
      <w:r w:rsidRPr="00167CB8">
        <w:t>unlawful picketing, coercion, compulsory examination and investigations powers and increases in penalties for such conduct</w:t>
      </w:r>
      <w:r w:rsidR="00B72070" w:rsidRPr="00167CB8">
        <w:t>’.</w:t>
      </w:r>
      <w:r w:rsidR="00B72070" w:rsidRPr="00167CB8">
        <w:rPr>
          <w:rStyle w:val="FootnoteReference"/>
        </w:rPr>
        <w:footnoteReference w:id="106"/>
      </w:r>
      <w:r w:rsidR="0025068E" w:rsidRPr="0025068E">
        <w:rPr>
          <w:vertAlign w:val="superscript"/>
        </w:rPr>
        <w:t>,</w:t>
      </w:r>
      <w:r w:rsidR="00B72070" w:rsidRPr="00167CB8">
        <w:t xml:space="preserve"> </w:t>
      </w:r>
      <w:r w:rsidRPr="00167CB8">
        <w:rPr>
          <w:rStyle w:val="FootnoteReference"/>
        </w:rPr>
        <w:footnoteReference w:id="107"/>
      </w:r>
      <w:r w:rsidRPr="00167CB8">
        <w:t xml:space="preserve"> </w:t>
      </w:r>
    </w:p>
    <w:p w14:paraId="35FF7885" w14:textId="6A6F96FD" w:rsidR="00A148FE" w:rsidRPr="00167CB8" w:rsidRDefault="003220B5" w:rsidP="00A148FE">
      <w:pPr>
        <w:pStyle w:val="Heading4"/>
        <w:rPr>
          <w:rFonts w:asciiTheme="minorHAnsi" w:hAnsiTheme="minorHAnsi"/>
        </w:rPr>
      </w:pPr>
      <w:bookmarkStart w:id="48" w:name="_Toc187421570"/>
      <w:bookmarkStart w:id="49" w:name="_Toc187946372"/>
      <w:bookmarkStart w:id="50" w:name="_Toc188277909"/>
      <w:bookmarkStart w:id="51" w:name="_Toc189260202"/>
      <w:bookmarkStart w:id="52" w:name="_Toc189393518"/>
      <w:r w:rsidRPr="00167CB8">
        <w:rPr>
          <w:rFonts w:asciiTheme="minorHAnsi" w:hAnsiTheme="minorHAnsi"/>
        </w:rPr>
        <w:t>4</w:t>
      </w:r>
      <w:r w:rsidR="002017CC" w:rsidRPr="00167CB8">
        <w:rPr>
          <w:rFonts w:asciiTheme="minorHAnsi" w:hAnsiTheme="minorHAnsi"/>
        </w:rPr>
        <w:t>.3</w:t>
      </w:r>
      <w:r w:rsidR="00A148FE" w:rsidRPr="00167CB8">
        <w:rPr>
          <w:rFonts w:asciiTheme="minorHAnsi" w:hAnsiTheme="minorHAnsi"/>
        </w:rPr>
        <w:t xml:space="preserve"> Findings </w:t>
      </w:r>
      <w:r w:rsidR="00B72070" w:rsidRPr="00167CB8">
        <w:rPr>
          <w:rFonts w:asciiTheme="minorHAnsi" w:hAnsiTheme="minorHAnsi"/>
        </w:rPr>
        <w:t>and</w:t>
      </w:r>
      <w:r w:rsidR="00A148FE" w:rsidRPr="00167CB8">
        <w:rPr>
          <w:rFonts w:asciiTheme="minorHAnsi" w:hAnsiTheme="minorHAnsi"/>
        </w:rPr>
        <w:t xml:space="preserve"> </w:t>
      </w:r>
      <w:r w:rsidR="00B72070" w:rsidRPr="00167CB8">
        <w:rPr>
          <w:rFonts w:asciiTheme="minorHAnsi" w:hAnsiTheme="minorHAnsi"/>
        </w:rPr>
        <w:t>r</w:t>
      </w:r>
      <w:r w:rsidR="00A148FE" w:rsidRPr="00167CB8">
        <w:rPr>
          <w:rFonts w:asciiTheme="minorHAnsi" w:hAnsiTheme="minorHAnsi"/>
        </w:rPr>
        <w:t>ecommendations</w:t>
      </w:r>
      <w:bookmarkEnd w:id="48"/>
      <w:bookmarkEnd w:id="49"/>
      <w:bookmarkEnd w:id="50"/>
      <w:bookmarkEnd w:id="51"/>
      <w:bookmarkEnd w:id="52"/>
    </w:p>
    <w:p w14:paraId="24BF4841" w14:textId="6E7BDAAF" w:rsidR="00A148FE" w:rsidRPr="00167CB8" w:rsidRDefault="00A148FE" w:rsidP="00A148FE">
      <w:r w:rsidRPr="00167CB8">
        <w:t xml:space="preserve">The Review Panel </w:t>
      </w:r>
      <w:r w:rsidR="00D0579D" w:rsidRPr="00167CB8">
        <w:t xml:space="preserve">considers </w:t>
      </w:r>
      <w:r w:rsidRPr="00167CB8">
        <w:t xml:space="preserve">that the </w:t>
      </w:r>
      <w:r w:rsidR="00B72070" w:rsidRPr="00167CB8">
        <w:t>amendments abolishing</w:t>
      </w:r>
      <w:r w:rsidRPr="00167CB8">
        <w:t xml:space="preserve"> the ABCC and the transfer of responsibilities for the regulation of the commercial building and construction sector to the FWO </w:t>
      </w:r>
      <w:r w:rsidR="00B72070" w:rsidRPr="00167CB8">
        <w:t>are</w:t>
      </w:r>
      <w:r w:rsidRPr="00167CB8">
        <w:t xml:space="preserve"> operating as intended. </w:t>
      </w:r>
    </w:p>
    <w:p w14:paraId="5943B975" w14:textId="20815899" w:rsidR="00A148FE" w:rsidRPr="00167CB8" w:rsidRDefault="00A148FE" w:rsidP="00A148FE">
      <w:r w:rsidRPr="00167CB8">
        <w:t xml:space="preserve">The Review Panel considers that the amendments have achieved their intent of making the commercial building and construction sector subject to the same laws and regulations as other sectors. The amendments have also resulted in the reintegration of the sector with the broader regulatory framework overseen by the FWO. </w:t>
      </w:r>
    </w:p>
    <w:p w14:paraId="162EA129" w14:textId="1D30A426" w:rsidR="00A148FE" w:rsidRPr="00167CB8" w:rsidRDefault="00295D73" w:rsidP="00A148FE">
      <w:r w:rsidRPr="00167CB8">
        <w:t xml:space="preserve">The Review Panel </w:t>
      </w:r>
      <w:r w:rsidR="00A148FE" w:rsidRPr="00167CB8">
        <w:t>note</w:t>
      </w:r>
      <w:r w:rsidR="00B72070" w:rsidRPr="00167CB8">
        <w:t>s</w:t>
      </w:r>
      <w:r w:rsidR="00A148FE" w:rsidRPr="00167CB8">
        <w:t xml:space="preserve"> that this may provide the opportunity for a more balanced industrial relations framework for employers and workers in the industry. While the industry has </w:t>
      </w:r>
      <w:r w:rsidR="00A148FE" w:rsidRPr="00167CB8">
        <w:lastRenderedPageBreak/>
        <w:t>substantial ongoing issues with noncompliance</w:t>
      </w:r>
      <w:r w:rsidR="00FC0BEE" w:rsidRPr="00167CB8">
        <w:t xml:space="preserve"> (by unions </w:t>
      </w:r>
      <w:r w:rsidR="00FC0BEE" w:rsidRPr="00167CB8">
        <w:rPr>
          <w:i/>
          <w:iCs/>
        </w:rPr>
        <w:t xml:space="preserve">and </w:t>
      </w:r>
      <w:r w:rsidR="00FC0BEE" w:rsidRPr="00167CB8">
        <w:t>employers)</w:t>
      </w:r>
      <w:r w:rsidR="00A148FE" w:rsidRPr="00167CB8">
        <w:t xml:space="preserve">, this framework may provide the opportunity to begin to address these issues.  </w:t>
      </w:r>
    </w:p>
    <w:p w14:paraId="15E96BB4" w14:textId="03E69614" w:rsidR="00A148FE" w:rsidRPr="00167CB8" w:rsidRDefault="00A148FE" w:rsidP="00EA4698">
      <w:pPr>
        <w:rPr>
          <w:rFonts w:eastAsia="MS Mincho" w:cs="Arial"/>
        </w:rPr>
      </w:pPr>
      <w:r w:rsidRPr="00167CB8">
        <w:t>The Review Panel notes that the qualitative and quantitative evidence reveal</w:t>
      </w:r>
      <w:r w:rsidR="00D9794E" w:rsidRPr="00167CB8">
        <w:t>s</w:t>
      </w:r>
      <w:r w:rsidRPr="00167CB8">
        <w:t xml:space="preserve"> the different regulatory approaches of the ABCC and the FWO to the building and construction sector (and in the case of the FWO more broadly). </w:t>
      </w:r>
    </w:p>
    <w:p w14:paraId="36D588A5" w14:textId="5FE30478" w:rsidR="00A148FE" w:rsidRPr="00167CB8" w:rsidRDefault="00295D73" w:rsidP="00EA4698">
      <w:r w:rsidRPr="00167CB8">
        <w:t xml:space="preserve">The Review Panel </w:t>
      </w:r>
      <w:r w:rsidR="00A148FE" w:rsidRPr="00167CB8">
        <w:t>believe</w:t>
      </w:r>
      <w:r w:rsidR="00D9794E" w:rsidRPr="00167CB8">
        <w:t>s</w:t>
      </w:r>
      <w:r w:rsidR="00A148FE" w:rsidRPr="00167CB8">
        <w:t xml:space="preserve"> that the number of litigations undertaken by the ABCC and associated court-ordered penalties sought in response to noncompliance in the sector indicates the ABCC’s approach to regulation had a strong focus on litigation.</w:t>
      </w:r>
      <w:r w:rsidR="0084176E" w:rsidRPr="00167CB8">
        <w:t xml:space="preserve"> </w:t>
      </w:r>
      <w:r w:rsidR="00316339" w:rsidRPr="00167CB8">
        <w:t>Although</w:t>
      </w:r>
      <w:r w:rsidR="0084176E" w:rsidRPr="00167CB8">
        <w:t xml:space="preserve"> the ABCC </w:t>
      </w:r>
      <w:r w:rsidR="003D237C" w:rsidRPr="00167CB8">
        <w:t>had</w:t>
      </w:r>
      <w:r w:rsidR="0084176E" w:rsidRPr="00167CB8">
        <w:t xml:space="preserve"> other compliance and enforcement tools </w:t>
      </w:r>
      <w:r w:rsidR="00316339" w:rsidRPr="00167CB8">
        <w:t>at its disposal</w:t>
      </w:r>
      <w:r w:rsidR="0084176E" w:rsidRPr="00167CB8">
        <w:t xml:space="preserve">, </w:t>
      </w:r>
      <w:r w:rsidR="004245B0" w:rsidRPr="00167CB8">
        <w:t xml:space="preserve">this </w:t>
      </w:r>
      <w:r w:rsidR="00335807" w:rsidRPr="00167CB8">
        <w:t xml:space="preserve">focus </w:t>
      </w:r>
      <w:r w:rsidR="004245B0" w:rsidRPr="00167CB8">
        <w:t xml:space="preserve">is a key difference between the approach of the </w:t>
      </w:r>
      <w:r w:rsidR="00D9794E" w:rsidRPr="00167CB8">
        <w:t xml:space="preserve">2 </w:t>
      </w:r>
      <w:r w:rsidR="004245B0" w:rsidRPr="00167CB8">
        <w:t xml:space="preserve">regulators. </w:t>
      </w:r>
    </w:p>
    <w:p w14:paraId="38E7FAE2" w14:textId="67AE1771" w:rsidR="00A148FE" w:rsidRPr="00167CB8" w:rsidRDefault="008908B1" w:rsidP="00EA4698">
      <w:r w:rsidRPr="00167CB8">
        <w:t>T</w:t>
      </w:r>
      <w:r w:rsidR="00A148FE" w:rsidRPr="00167CB8">
        <w:t>he FWO</w:t>
      </w:r>
      <w:r w:rsidR="008C1B38" w:rsidRPr="00167CB8">
        <w:t>’s approach</w:t>
      </w:r>
      <w:r w:rsidR="00A148FE" w:rsidRPr="00167CB8">
        <w:t xml:space="preserve"> uses its suite of enforcement tools to respond to noncompliance </w:t>
      </w:r>
      <w:r w:rsidR="006552D6" w:rsidRPr="00167CB8">
        <w:t>(</w:t>
      </w:r>
      <w:r w:rsidR="00A148FE" w:rsidRPr="00167CB8">
        <w:rPr>
          <w:rFonts w:eastAsia="MS Mincho" w:cs="Arial"/>
        </w:rPr>
        <w:t>where appropriate</w:t>
      </w:r>
      <w:r w:rsidR="006552D6" w:rsidRPr="00167CB8">
        <w:rPr>
          <w:rFonts w:eastAsia="MS Mincho" w:cs="Arial"/>
        </w:rPr>
        <w:t>)</w:t>
      </w:r>
      <w:r w:rsidR="00D52B20" w:rsidRPr="00167CB8">
        <w:rPr>
          <w:rFonts w:eastAsia="MS Mincho" w:cs="Arial"/>
        </w:rPr>
        <w:t xml:space="preserve"> and</w:t>
      </w:r>
      <w:r w:rsidR="006552D6" w:rsidRPr="00167CB8">
        <w:rPr>
          <w:rFonts w:eastAsia="MS Mincho" w:cs="Arial"/>
        </w:rPr>
        <w:t xml:space="preserve"> </w:t>
      </w:r>
      <w:r w:rsidR="00A148FE" w:rsidRPr="00167CB8">
        <w:rPr>
          <w:rFonts w:eastAsia="MS Mincho" w:cs="Arial"/>
        </w:rPr>
        <w:t>use</w:t>
      </w:r>
      <w:r w:rsidR="00475F80" w:rsidRPr="00167CB8">
        <w:rPr>
          <w:rFonts w:eastAsia="MS Mincho" w:cs="Arial"/>
        </w:rPr>
        <w:t>s</w:t>
      </w:r>
      <w:r w:rsidR="00A148FE" w:rsidRPr="00167CB8">
        <w:rPr>
          <w:rFonts w:eastAsia="MS Mincho" w:cs="Arial"/>
        </w:rPr>
        <w:t xml:space="preserve"> non-punitive compliance tools</w:t>
      </w:r>
      <w:r w:rsidR="006A59C8" w:rsidRPr="00167CB8">
        <w:rPr>
          <w:rFonts w:eastAsia="MS Mincho" w:cs="Arial"/>
        </w:rPr>
        <w:t>,</w:t>
      </w:r>
      <w:r w:rsidR="00A148FE" w:rsidRPr="00167CB8">
        <w:rPr>
          <w:rFonts w:eastAsia="MS Mincho" w:cs="Arial"/>
        </w:rPr>
        <w:t xml:space="preserve"> such as compliance notices (as seen in the data in </w:t>
      </w:r>
      <w:r w:rsidR="00C260BA" w:rsidRPr="00167CB8">
        <w:rPr>
          <w:rFonts w:eastAsia="MS Mincho" w:cs="Arial"/>
        </w:rPr>
        <w:t>T</w:t>
      </w:r>
      <w:r w:rsidR="00A148FE" w:rsidRPr="00167CB8">
        <w:rPr>
          <w:rFonts w:eastAsia="MS Mincho" w:cs="Arial"/>
        </w:rPr>
        <w:t xml:space="preserve">able </w:t>
      </w:r>
      <w:r w:rsidR="00462920" w:rsidRPr="00167CB8">
        <w:rPr>
          <w:rFonts w:eastAsia="MS Mincho" w:cs="Arial"/>
        </w:rPr>
        <w:t>3</w:t>
      </w:r>
      <w:r w:rsidR="00A148FE" w:rsidRPr="00167CB8">
        <w:rPr>
          <w:rFonts w:eastAsia="MS Mincho" w:cs="Arial"/>
        </w:rPr>
        <w:t>). These tools require a person to take action to remedy noncompliance, such as rectifying underpayments, without admitting to or being found to have committed contraventions.</w:t>
      </w:r>
      <w:r w:rsidR="00A148FE" w:rsidRPr="00167CB8">
        <w:rPr>
          <w:rStyle w:val="FootnoteReference"/>
          <w:rFonts w:eastAsia="MS Mincho" w:cs="Arial"/>
        </w:rPr>
        <w:footnoteReference w:id="108"/>
      </w:r>
      <w:r w:rsidR="00A148FE" w:rsidRPr="00167CB8">
        <w:rPr>
          <w:rFonts w:eastAsia="MS Mincho" w:cs="Arial"/>
        </w:rPr>
        <w:t xml:space="preserve"> The FWO has also issued infringement notices in response to contraventions, which require a person to pay a penalty for contraventions</w:t>
      </w:r>
      <w:r w:rsidR="003834B8" w:rsidRPr="00167CB8">
        <w:rPr>
          <w:rFonts w:eastAsia="MS Mincho" w:cs="Arial"/>
        </w:rPr>
        <w:t xml:space="preserve">. </w:t>
      </w:r>
      <w:r w:rsidR="00A148FE" w:rsidRPr="00167CB8">
        <w:rPr>
          <w:rFonts w:eastAsia="MS Mincho" w:cs="Arial"/>
        </w:rPr>
        <w:t xml:space="preserve"> </w:t>
      </w:r>
      <w:r w:rsidR="00F54554" w:rsidRPr="00167CB8">
        <w:rPr>
          <w:rFonts w:eastAsia="MS Mincho" w:cs="Arial"/>
        </w:rPr>
        <w:t xml:space="preserve">If a person complies with an infringement notice, </w:t>
      </w:r>
      <w:r w:rsidR="00A148FE" w:rsidRPr="00167CB8">
        <w:rPr>
          <w:rFonts w:eastAsia="MS Mincho" w:cs="Arial"/>
        </w:rPr>
        <w:t>th</w:t>
      </w:r>
      <w:r w:rsidR="00D9794E" w:rsidRPr="00167CB8">
        <w:rPr>
          <w:rFonts w:eastAsia="MS Mincho" w:cs="Arial"/>
        </w:rPr>
        <w:t>e</w:t>
      </w:r>
      <w:r w:rsidR="00A148FE" w:rsidRPr="00167CB8">
        <w:rPr>
          <w:rFonts w:eastAsia="MS Mincho" w:cs="Arial"/>
        </w:rPr>
        <w:t>y are not taken to have admitted to the contravention.</w:t>
      </w:r>
      <w:r w:rsidR="00A148FE" w:rsidRPr="00167CB8">
        <w:rPr>
          <w:rStyle w:val="FootnoteReference"/>
          <w:rFonts w:eastAsia="MS Mincho" w:cs="Arial"/>
        </w:rPr>
        <w:footnoteReference w:id="109"/>
      </w:r>
      <w:r w:rsidR="00A148FE" w:rsidRPr="00167CB8">
        <w:rPr>
          <w:rFonts w:eastAsia="MS Mincho" w:cs="Arial"/>
        </w:rPr>
        <w:t xml:space="preserve"> </w:t>
      </w:r>
    </w:p>
    <w:p w14:paraId="36907AE2" w14:textId="3946C14F" w:rsidR="00A148FE" w:rsidRPr="00167CB8" w:rsidRDefault="00A148FE" w:rsidP="00EA4698">
      <w:r w:rsidRPr="00167CB8">
        <w:rPr>
          <w:rFonts w:eastAsia="MS Mincho" w:cs="Arial"/>
        </w:rPr>
        <w:t xml:space="preserve">The </w:t>
      </w:r>
      <w:r w:rsidR="00C5107C" w:rsidRPr="00167CB8">
        <w:rPr>
          <w:rFonts w:eastAsia="MS Mincho" w:cs="Arial"/>
        </w:rPr>
        <w:t xml:space="preserve">Review </w:t>
      </w:r>
      <w:r w:rsidR="00C260BA" w:rsidRPr="00167CB8">
        <w:rPr>
          <w:rFonts w:eastAsia="MS Mincho" w:cs="Arial"/>
        </w:rPr>
        <w:t>P</w:t>
      </w:r>
      <w:r w:rsidRPr="00167CB8">
        <w:rPr>
          <w:rFonts w:eastAsia="MS Mincho" w:cs="Arial"/>
        </w:rPr>
        <w:t>anel notes that</w:t>
      </w:r>
      <w:r w:rsidR="00D9794E" w:rsidRPr="00167CB8">
        <w:rPr>
          <w:rFonts w:eastAsia="MS Mincho" w:cs="Arial"/>
        </w:rPr>
        <w:t>,</w:t>
      </w:r>
      <w:r w:rsidRPr="00167CB8">
        <w:rPr>
          <w:rFonts w:eastAsia="MS Mincho" w:cs="Arial"/>
        </w:rPr>
        <w:t xml:space="preserve"> from 2022</w:t>
      </w:r>
      <w:r w:rsidR="00D9794E" w:rsidRPr="00167CB8">
        <w:rPr>
          <w:rFonts w:ascii="Symbol" w:eastAsia="Symbol" w:hAnsi="Symbol" w:cs="Symbol"/>
        </w:rPr>
        <w:sym w:font="Symbol" w:char="F02D"/>
      </w:r>
      <w:r w:rsidRPr="00167CB8">
        <w:rPr>
          <w:rFonts w:eastAsia="MS Mincho" w:cs="Arial"/>
        </w:rPr>
        <w:t>23 to 2024</w:t>
      </w:r>
      <w:r w:rsidR="00D9794E" w:rsidRPr="00167CB8">
        <w:rPr>
          <w:rFonts w:ascii="Symbol" w:eastAsia="Symbol" w:hAnsi="Symbol" w:cs="Symbol"/>
        </w:rPr>
        <w:sym w:font="Symbol" w:char="F02D"/>
      </w:r>
      <w:r w:rsidRPr="00167CB8">
        <w:rPr>
          <w:rFonts w:eastAsia="MS Mincho" w:cs="Arial"/>
        </w:rPr>
        <w:t>25 (to 31 October 2024), the FWO commenced 2,359 investigations. Over a similar period, between 2018</w:t>
      </w:r>
      <w:r w:rsidR="00D9794E" w:rsidRPr="00167CB8">
        <w:rPr>
          <w:rFonts w:ascii="Symbol" w:eastAsia="Symbol" w:hAnsi="Symbol" w:cs="Symbol"/>
        </w:rPr>
        <w:sym w:font="Symbol" w:char="F02D"/>
      </w:r>
      <w:r w:rsidRPr="00167CB8">
        <w:rPr>
          <w:rFonts w:eastAsia="MS Mincho" w:cs="Arial"/>
        </w:rPr>
        <w:t>19 to 2022</w:t>
      </w:r>
      <w:r w:rsidR="00D9794E" w:rsidRPr="00167CB8">
        <w:rPr>
          <w:rFonts w:ascii="Symbol" w:eastAsia="Symbol" w:hAnsi="Symbol" w:cs="Symbol"/>
        </w:rPr>
        <w:sym w:font="Symbol" w:char="F02D"/>
      </w:r>
      <w:r w:rsidRPr="00167CB8">
        <w:rPr>
          <w:rFonts w:eastAsia="MS Mincho" w:cs="Arial"/>
        </w:rPr>
        <w:t xml:space="preserve">23, the ABCC commenced 679 investigations and finalised 746 investigations. </w:t>
      </w:r>
      <w:r w:rsidR="00871DDE" w:rsidRPr="00167CB8">
        <w:rPr>
          <w:rFonts w:eastAsia="MS Mincho" w:cs="Arial"/>
        </w:rPr>
        <w:t xml:space="preserve">The Review Panel </w:t>
      </w:r>
      <w:r w:rsidRPr="00167CB8">
        <w:rPr>
          <w:rFonts w:eastAsia="MS Mincho" w:cs="Arial"/>
        </w:rPr>
        <w:t>note</w:t>
      </w:r>
      <w:r w:rsidR="00014921" w:rsidRPr="00167CB8">
        <w:rPr>
          <w:rFonts w:eastAsia="MS Mincho" w:cs="Arial"/>
        </w:rPr>
        <w:t>s</w:t>
      </w:r>
      <w:r w:rsidRPr="00167CB8">
        <w:rPr>
          <w:rFonts w:eastAsia="MS Mincho" w:cs="Arial"/>
        </w:rPr>
        <w:t xml:space="preserve"> that</w:t>
      </w:r>
      <w:r w:rsidR="00D9794E" w:rsidRPr="00167CB8">
        <w:rPr>
          <w:rFonts w:eastAsia="MS Mincho" w:cs="Arial"/>
        </w:rPr>
        <w:t>,</w:t>
      </w:r>
      <w:r w:rsidRPr="00167CB8">
        <w:rPr>
          <w:rFonts w:eastAsia="MS Mincho" w:cs="Arial"/>
        </w:rPr>
        <w:t xml:space="preserve"> while the FWO therefore undertook more investigations in the sector than the ABCC over a similar period of time, the FWO has had broader responsibility for the entire building and construction sector since 10 November 2022, while the ABCC’s investigations were limited to the commercial building and construction sector. </w:t>
      </w:r>
    </w:p>
    <w:p w14:paraId="6DADA412" w14:textId="299E6388" w:rsidR="00A148FE" w:rsidRPr="00167CB8" w:rsidRDefault="00A148FE" w:rsidP="00A148FE">
      <w:pPr>
        <w:rPr>
          <w:rFonts w:eastAsia="MS Mincho" w:cs="Arial"/>
        </w:rPr>
      </w:pPr>
      <w:r w:rsidRPr="00167CB8">
        <w:t>The Review Panel notes that the FWO’s wages recoveries for the building and construction sector have been higher than the ABCC’s recoveries over a shorter period of time</w:t>
      </w:r>
      <w:r w:rsidRPr="00167CB8">
        <w:rPr>
          <w:rFonts w:eastAsia="MS Mincho" w:cs="Arial"/>
        </w:rPr>
        <w:t xml:space="preserve">. These may be indicative of a more </w:t>
      </w:r>
      <w:r w:rsidR="00D9794E" w:rsidRPr="00167CB8">
        <w:rPr>
          <w:rFonts w:eastAsia="MS Mincho" w:cs="Arial"/>
        </w:rPr>
        <w:t>‘</w:t>
      </w:r>
      <w:r w:rsidRPr="00167CB8">
        <w:rPr>
          <w:rFonts w:eastAsia="MS Mincho" w:cs="Arial"/>
        </w:rPr>
        <w:t>balanced approach</w:t>
      </w:r>
      <w:r w:rsidR="00D9794E" w:rsidRPr="00167CB8">
        <w:rPr>
          <w:rFonts w:eastAsia="MS Mincho" w:cs="Arial"/>
        </w:rPr>
        <w:t>’</w:t>
      </w:r>
      <w:r w:rsidRPr="00167CB8">
        <w:rPr>
          <w:rFonts w:eastAsia="MS Mincho" w:cs="Arial"/>
        </w:rPr>
        <w:t xml:space="preserve"> to noncompliance by employers and employee organisations in the sector. However, again</w:t>
      </w:r>
      <w:r w:rsidRPr="00167CB8" w:rsidDel="00295D73">
        <w:rPr>
          <w:rFonts w:eastAsia="MS Mincho" w:cs="Arial"/>
        </w:rPr>
        <w:t xml:space="preserve"> </w:t>
      </w:r>
      <w:r w:rsidR="00295D73" w:rsidRPr="00167CB8">
        <w:rPr>
          <w:rFonts w:eastAsia="MS Mincho" w:cs="Arial"/>
        </w:rPr>
        <w:t>t</w:t>
      </w:r>
      <w:r w:rsidR="00295D73" w:rsidRPr="00167CB8">
        <w:t>he Review Panel</w:t>
      </w:r>
      <w:r w:rsidR="00295D73" w:rsidRPr="00167CB8">
        <w:rPr>
          <w:rFonts w:eastAsia="MS Mincho" w:cs="Arial"/>
        </w:rPr>
        <w:t xml:space="preserve"> </w:t>
      </w:r>
      <w:r w:rsidRPr="00167CB8">
        <w:rPr>
          <w:rFonts w:eastAsia="MS Mincho" w:cs="Arial"/>
        </w:rPr>
        <w:t>note</w:t>
      </w:r>
      <w:r w:rsidR="00C260BA" w:rsidRPr="00167CB8">
        <w:rPr>
          <w:rFonts w:eastAsia="MS Mincho" w:cs="Arial"/>
        </w:rPr>
        <w:t>s</w:t>
      </w:r>
      <w:r w:rsidRPr="00167CB8">
        <w:rPr>
          <w:rFonts w:eastAsia="MS Mincho" w:cs="Arial"/>
        </w:rPr>
        <w:t xml:space="preserve"> </w:t>
      </w:r>
      <w:r w:rsidR="00D9794E" w:rsidRPr="00167CB8">
        <w:rPr>
          <w:rFonts w:eastAsia="MS Mincho" w:cs="Arial"/>
        </w:rPr>
        <w:t xml:space="preserve">the </w:t>
      </w:r>
      <w:r w:rsidRPr="00167CB8">
        <w:rPr>
          <w:rFonts w:eastAsia="MS Mincho" w:cs="Arial"/>
        </w:rPr>
        <w:t xml:space="preserve">limitations of this data comparison, as the FWO’s recoveries cover the entire building and construction sector (while the ABCC’s were limited to commercial building and construction). </w:t>
      </w:r>
      <w:r w:rsidR="00574031" w:rsidRPr="00167CB8">
        <w:rPr>
          <w:rFonts w:eastAsia="MS Mincho" w:cs="Arial"/>
        </w:rPr>
        <w:t>The Review Panel also acknowledges that FWO’s recoveries from wage matters transferred from the ABCC are a small portion of its overall building and construction recoveries.</w:t>
      </w:r>
    </w:p>
    <w:p w14:paraId="397C3C8D" w14:textId="44E33D57" w:rsidR="00A148FE" w:rsidRPr="00167CB8" w:rsidRDefault="00A148FE" w:rsidP="00A148FE">
      <w:pPr>
        <w:rPr>
          <w:rFonts w:eastAsia="MS Mincho" w:cs="Arial"/>
        </w:rPr>
      </w:pPr>
      <w:r w:rsidRPr="00167CB8">
        <w:rPr>
          <w:rFonts w:eastAsia="MS Mincho" w:cs="Arial"/>
        </w:rPr>
        <w:t>The Review Panel also contends that the large increase in wage recoveries by the ABCC in 2021</w:t>
      </w:r>
      <w:r w:rsidR="00D9794E" w:rsidRPr="00167CB8">
        <w:rPr>
          <w:rFonts w:ascii="Symbol" w:eastAsia="Symbol" w:hAnsi="Symbol" w:cs="Symbol"/>
        </w:rPr>
        <w:sym w:font="Symbol" w:char="F02D"/>
      </w:r>
      <w:r w:rsidRPr="00167CB8">
        <w:rPr>
          <w:rFonts w:eastAsia="MS Mincho" w:cs="Arial"/>
        </w:rPr>
        <w:t xml:space="preserve">22 may be seen in the context of social and political pressure on the ABCC to recover more wages during the period in which the </w:t>
      </w:r>
      <w:r w:rsidR="00CE606C" w:rsidRPr="00167CB8">
        <w:rPr>
          <w:rFonts w:eastAsia="MS Mincho" w:cs="Arial"/>
        </w:rPr>
        <w:t xml:space="preserve">Australian </w:t>
      </w:r>
      <w:r w:rsidRPr="00167CB8">
        <w:rPr>
          <w:rFonts w:eastAsia="MS Mincho" w:cs="Arial"/>
        </w:rPr>
        <w:t xml:space="preserve">Government had committed to abolishing the agency.  </w:t>
      </w:r>
    </w:p>
    <w:p w14:paraId="6E2BCA5B" w14:textId="4B530C34" w:rsidR="00A148FE" w:rsidRPr="00167CB8" w:rsidRDefault="00A148FE" w:rsidP="00A148FE">
      <w:r w:rsidRPr="00167CB8">
        <w:t xml:space="preserve">The Review Panel notes that there are long-term and systemic issues with noncompliance in the sector. </w:t>
      </w:r>
      <w:r w:rsidR="00E80144" w:rsidRPr="00167CB8">
        <w:t xml:space="preserve">The Review Panel </w:t>
      </w:r>
      <w:r w:rsidRPr="00167CB8">
        <w:t>note</w:t>
      </w:r>
      <w:r w:rsidR="00D9794E" w:rsidRPr="00167CB8">
        <w:t>s</w:t>
      </w:r>
      <w:r w:rsidRPr="00167CB8">
        <w:t xml:space="preserve"> concerns of employer groups in submissions to this Review </w:t>
      </w:r>
      <w:r w:rsidRPr="00167CB8">
        <w:lastRenderedPageBreak/>
        <w:t xml:space="preserve">relating to the powers and penalties in the Fair Work Act. This includes the HIA’s comments that the amendments </w:t>
      </w:r>
      <w:r w:rsidR="00D9794E" w:rsidRPr="00167CB8">
        <w:t>‘</w:t>
      </w:r>
      <w:r w:rsidRPr="00167CB8">
        <w:t>reduce the disincentives to engage in such behaviour and are being pursued despite the fact the current penalties are apparently insufficient to deter union misconduct</w:t>
      </w:r>
      <w:r w:rsidR="00D9794E" w:rsidRPr="00167CB8">
        <w:t>’</w:t>
      </w:r>
      <w:r w:rsidRPr="00167CB8">
        <w:t>.</w:t>
      </w:r>
      <w:r w:rsidRPr="00167CB8">
        <w:rPr>
          <w:rStyle w:val="FootnoteReference"/>
        </w:rPr>
        <w:footnoteReference w:id="110"/>
      </w:r>
      <w:r w:rsidRPr="00167CB8">
        <w:t xml:space="preserve"> However, the Review </w:t>
      </w:r>
      <w:r w:rsidR="00D9794E" w:rsidRPr="00167CB8">
        <w:t>P</w:t>
      </w:r>
      <w:r w:rsidRPr="00167CB8">
        <w:t xml:space="preserve">anel has not been presented with or seen evidence that the regulatory approach of the ABCC or the powers and penalties that were available to that agency necessarily resulted in greater compliance in the commercial building and construction sector. </w:t>
      </w:r>
    </w:p>
    <w:p w14:paraId="20FEFCCC" w14:textId="3C5D1E2A" w:rsidR="00A148FE" w:rsidRPr="00167CB8" w:rsidRDefault="00A148FE" w:rsidP="00A148FE">
      <w:r w:rsidRPr="00167CB8">
        <w:t xml:space="preserve">The Review Panel also notes that the </w:t>
      </w:r>
      <w:r w:rsidR="00C260BA" w:rsidRPr="00167CB8">
        <w:t>a</w:t>
      </w:r>
      <w:r w:rsidRPr="00167CB8">
        <w:t xml:space="preserve">dministrator of the Construction and General Division </w:t>
      </w:r>
      <w:r w:rsidR="00255F54" w:rsidRPr="00167CB8">
        <w:t>of the CFMEU</w:t>
      </w:r>
      <w:r w:rsidRPr="00167CB8">
        <w:t xml:space="preserve"> has significant powers to address noncompliance</w:t>
      </w:r>
      <w:r w:rsidR="00C260BA" w:rsidRPr="00167CB8">
        <w:t xml:space="preserve">, including </w:t>
      </w:r>
      <w:r w:rsidRPr="00167CB8">
        <w:t>powers to suspend, remove, expel or disqualify a member or office holder</w:t>
      </w:r>
      <w:r w:rsidR="00D9794E" w:rsidRPr="00167CB8">
        <w:t>;</w:t>
      </w:r>
      <w:r w:rsidRPr="00167CB8">
        <w:rPr>
          <w:rStyle w:val="FootnoteReference"/>
        </w:rPr>
        <w:footnoteReference w:id="111"/>
      </w:r>
      <w:r w:rsidRPr="00167CB8">
        <w:t xml:space="preserve"> undertake investigations</w:t>
      </w:r>
      <w:r w:rsidR="00D9794E" w:rsidRPr="00167CB8">
        <w:t>;</w:t>
      </w:r>
      <w:r w:rsidRPr="00167CB8">
        <w:t xml:space="preserve"> terminate employment</w:t>
      </w:r>
      <w:r w:rsidR="003E1B4E" w:rsidRPr="00167CB8">
        <w:t xml:space="preserve"> or</w:t>
      </w:r>
      <w:r w:rsidRPr="00167CB8">
        <w:t xml:space="preserve"> refer conduct to other government bodies</w:t>
      </w:r>
      <w:r w:rsidR="003C3148" w:rsidRPr="00167CB8">
        <w:t xml:space="preserve">. </w:t>
      </w:r>
      <w:r w:rsidRPr="00167CB8">
        <w:t xml:space="preserve">The Review Panel believes that these powers provide a pathway to respond to noncompliance by the Construction and General Division of the CFMEU during the administration and while the </w:t>
      </w:r>
      <w:r w:rsidR="00C260BA" w:rsidRPr="00167CB8">
        <w:t>National Construction Industry Forum (</w:t>
      </w:r>
      <w:r w:rsidRPr="00167CB8">
        <w:t>NCIF</w:t>
      </w:r>
      <w:r w:rsidR="00C260BA" w:rsidRPr="00167CB8">
        <w:t>)</w:t>
      </w:r>
      <w:r w:rsidRPr="00167CB8">
        <w:t xml:space="preserve"> develops the Building and Construction Industry Blueprint (discussed in section </w:t>
      </w:r>
      <w:r w:rsidR="00A53BD8" w:rsidRPr="00167CB8">
        <w:t>5</w:t>
      </w:r>
      <w:r w:rsidRPr="00167CB8">
        <w:t xml:space="preserve">.2.2 of this report) with the aim of effecting cultural change within the industry.    </w:t>
      </w:r>
    </w:p>
    <w:p w14:paraId="7134DBC6" w14:textId="5B5B0F37" w:rsidR="00A148FE" w:rsidRPr="00167CB8" w:rsidRDefault="00A148FE" w:rsidP="00A148FE">
      <w:r w:rsidRPr="00167CB8">
        <w:t>The Review Panel believes that the building and construction sector needs cultural and behavio</w:t>
      </w:r>
      <w:r w:rsidR="008B7561" w:rsidRPr="00167CB8">
        <w:t>u</w:t>
      </w:r>
      <w:r w:rsidRPr="00167CB8">
        <w:t xml:space="preserve">ral change to begin to address systemic noncompliance. In this, </w:t>
      </w:r>
      <w:r w:rsidR="00E80144" w:rsidRPr="00167CB8">
        <w:t xml:space="preserve">the Review Panel </w:t>
      </w:r>
      <w:r w:rsidRPr="00167CB8">
        <w:t>again note</w:t>
      </w:r>
      <w:r w:rsidR="00D9794E" w:rsidRPr="00167CB8">
        <w:t>s</w:t>
      </w:r>
      <w:r w:rsidRPr="00167CB8">
        <w:t xml:space="preserve"> the work of the NCIF</w:t>
      </w:r>
      <w:r w:rsidR="00D9794E" w:rsidRPr="00167CB8">
        <w:t>,</w:t>
      </w:r>
      <w:r w:rsidRPr="00167CB8">
        <w:t xml:space="preserve"> as explored in section </w:t>
      </w:r>
      <w:r w:rsidR="00A53BD8" w:rsidRPr="00167CB8">
        <w:t>5</w:t>
      </w:r>
      <w:r w:rsidRPr="00167CB8">
        <w:t xml:space="preserve">.2.2 of this report below and related recommendations. </w:t>
      </w:r>
    </w:p>
    <w:p w14:paraId="13E02794" w14:textId="69ACCDAD" w:rsidR="00A148FE" w:rsidRPr="00167CB8" w:rsidRDefault="00A148FE" w:rsidP="00A148FE">
      <w:r w:rsidRPr="00167CB8">
        <w:t xml:space="preserve">In this context, the Review Panel also notes the broad approach of the FWO to building cooperation and tripartism as set out in the Regulator Statement of Intent. </w:t>
      </w:r>
      <w:r w:rsidR="00E80144" w:rsidRPr="00167CB8">
        <w:t>The Review Panel</w:t>
      </w:r>
      <w:r w:rsidRPr="00167CB8" w:rsidDel="00E80144">
        <w:t xml:space="preserve"> </w:t>
      </w:r>
      <w:r w:rsidRPr="00167CB8">
        <w:t>also note</w:t>
      </w:r>
      <w:r w:rsidR="00D9794E" w:rsidRPr="00167CB8">
        <w:t>s</w:t>
      </w:r>
      <w:r w:rsidRPr="00167CB8">
        <w:t xml:space="preserve"> that</w:t>
      </w:r>
      <w:r w:rsidR="00D9794E" w:rsidRPr="00167CB8">
        <w:t>,</w:t>
      </w:r>
      <w:r w:rsidRPr="00167CB8">
        <w:t xml:space="preserve"> wh</w:t>
      </w:r>
      <w:r w:rsidR="008B7561" w:rsidRPr="00167CB8">
        <w:t>i</w:t>
      </w:r>
      <w:r w:rsidRPr="00167CB8">
        <w:t xml:space="preserve">le the FWO takes appropriate enforcement action in line with its compliance and enforcement policy, it also has a focus on behavioural and cultural change </w:t>
      </w:r>
      <w:r w:rsidR="00FE2E75" w:rsidRPr="00167CB8">
        <w:t>to</w:t>
      </w:r>
      <w:r w:rsidRPr="00167CB8">
        <w:t xml:space="preserve"> drive workplace relations compliance.  </w:t>
      </w:r>
    </w:p>
    <w:p w14:paraId="195B1AEE" w14:textId="77777777" w:rsidR="00A148FE" w:rsidRPr="00167CB8" w:rsidRDefault="00A148FE" w:rsidP="00A148FE">
      <w:r w:rsidRPr="00167CB8">
        <w:t xml:space="preserve">As such, at this stage, the Review Panel does not make any recommendations relating to the abolition of the ABCC. </w:t>
      </w:r>
    </w:p>
    <w:p w14:paraId="271DD0E1" w14:textId="3AF6FC79" w:rsidR="00A148FE" w:rsidRPr="00167CB8" w:rsidRDefault="006A422B" w:rsidP="006A422B">
      <w:pPr>
        <w:spacing w:after="160"/>
      </w:pPr>
      <w:r w:rsidRPr="00167CB8">
        <w:br w:type="page"/>
      </w:r>
    </w:p>
    <w:p w14:paraId="5724DED9" w14:textId="255B64DA" w:rsidR="00A148FE" w:rsidRPr="00167CB8" w:rsidRDefault="00BA0268" w:rsidP="00A148FE">
      <w:pPr>
        <w:pStyle w:val="Heading3"/>
        <w:rPr>
          <w:rFonts w:asciiTheme="minorHAnsi" w:hAnsiTheme="minorHAnsi"/>
        </w:rPr>
      </w:pPr>
      <w:bookmarkStart w:id="53" w:name="_Toc187946373"/>
      <w:bookmarkStart w:id="54" w:name="_Toc188277910"/>
      <w:bookmarkStart w:id="55" w:name="_Toc189260203"/>
      <w:bookmarkStart w:id="56" w:name="_Toc189393519"/>
      <w:r w:rsidRPr="00167CB8">
        <w:rPr>
          <w:rFonts w:asciiTheme="minorHAnsi" w:hAnsiTheme="minorHAnsi"/>
        </w:rPr>
        <w:lastRenderedPageBreak/>
        <w:t xml:space="preserve">Chapter </w:t>
      </w:r>
      <w:r w:rsidR="003220B5" w:rsidRPr="00167CB8">
        <w:rPr>
          <w:rFonts w:asciiTheme="minorHAnsi" w:hAnsiTheme="minorHAnsi"/>
        </w:rPr>
        <w:t>5</w:t>
      </w:r>
      <w:r w:rsidR="00311228" w:rsidRPr="00167CB8">
        <w:rPr>
          <w:rFonts w:asciiTheme="minorHAnsi" w:hAnsiTheme="minorHAnsi"/>
        </w:rPr>
        <w:t>.</w:t>
      </w:r>
      <w:r w:rsidR="00A148FE" w:rsidRPr="00167CB8">
        <w:rPr>
          <w:rFonts w:asciiTheme="minorHAnsi" w:hAnsiTheme="minorHAnsi"/>
        </w:rPr>
        <w:t xml:space="preserve"> Establishment of </w:t>
      </w:r>
      <w:r w:rsidR="00C260BA" w:rsidRPr="00167CB8">
        <w:rPr>
          <w:rFonts w:asciiTheme="minorHAnsi" w:hAnsiTheme="minorHAnsi"/>
        </w:rPr>
        <w:t>National Construction Industry Forum</w:t>
      </w:r>
      <w:bookmarkStart w:id="57" w:name="_Toc187421572"/>
      <w:bookmarkEnd w:id="53"/>
      <w:bookmarkEnd w:id="54"/>
      <w:bookmarkEnd w:id="55"/>
      <w:bookmarkEnd w:id="56"/>
    </w:p>
    <w:p w14:paraId="3C860220" w14:textId="47ACCB03" w:rsidR="00A148FE" w:rsidRPr="00167CB8" w:rsidRDefault="00A148FE" w:rsidP="00A148FE">
      <w:r w:rsidRPr="00167CB8">
        <w:t>The</w:t>
      </w:r>
      <w:r w:rsidRPr="00167CB8" w:rsidDel="00542250">
        <w:t xml:space="preserve"> </w:t>
      </w:r>
      <w:r w:rsidR="00542250" w:rsidRPr="00167CB8">
        <w:t xml:space="preserve">Secure Jobs, Better Pay </w:t>
      </w:r>
      <w:r w:rsidRPr="00167CB8">
        <w:t>Act established the National Construction Industry Forum (NCIF) from 1 July 2023. Members of the NCIF were initially announced on 23 July 2023 and membership was expanded in September 2024.</w:t>
      </w:r>
      <w:bookmarkEnd w:id="57"/>
      <w:r w:rsidRPr="00167CB8">
        <w:t xml:space="preserve"> </w:t>
      </w:r>
    </w:p>
    <w:p w14:paraId="7C0C508D" w14:textId="3DAB9EF8" w:rsidR="00A148FE" w:rsidRPr="00167CB8" w:rsidRDefault="00A148FE" w:rsidP="00A148FE">
      <w:r w:rsidRPr="00167CB8">
        <w:t xml:space="preserve">The NCIF is a tripartite body that provides advice to </w:t>
      </w:r>
      <w:r w:rsidR="00D9794E" w:rsidRPr="00167CB8">
        <w:t>g</w:t>
      </w:r>
      <w:r w:rsidRPr="00167CB8">
        <w:t xml:space="preserve">overnment on a broad range of issues in relation to work in the building and construction industry. In this way, the NCIF links with the theme of these amendments towards a more conciliatory approach to the building and construction </w:t>
      </w:r>
      <w:r w:rsidR="00585414" w:rsidRPr="00167CB8">
        <w:t xml:space="preserve">industry </w:t>
      </w:r>
      <w:r w:rsidRPr="00167CB8">
        <w:t>than recent Coalition governments.</w:t>
      </w:r>
    </w:p>
    <w:p w14:paraId="7F7B23A2" w14:textId="236E92CC" w:rsidR="00A148FE" w:rsidRPr="00167CB8" w:rsidRDefault="00A148FE" w:rsidP="00A148FE">
      <w:r w:rsidRPr="00167CB8">
        <w:t xml:space="preserve">In announcing the inaugural members, the Minister </w:t>
      </w:r>
      <w:r w:rsidR="00C260BA" w:rsidRPr="00167CB8">
        <w:t xml:space="preserve">for Employment and Workplace Relations </w:t>
      </w:r>
      <w:r w:rsidRPr="00167CB8">
        <w:t xml:space="preserve">noted that the NCIF was an outcome of the Jobs and Skills Summit that </w:t>
      </w:r>
      <w:r w:rsidR="00D9794E" w:rsidRPr="00167CB8">
        <w:t>‘</w:t>
      </w:r>
      <w:r w:rsidRPr="00167CB8">
        <w:t>brought together business, unions and governments to talk about shared challenges facing our economy – including workplaces in the building and construction industry</w:t>
      </w:r>
      <w:r w:rsidR="00D9794E" w:rsidRPr="00167CB8">
        <w:t>’</w:t>
      </w:r>
      <w:r w:rsidRPr="00167CB8">
        <w:t>.</w:t>
      </w:r>
      <w:r w:rsidRPr="00167CB8">
        <w:rPr>
          <w:vertAlign w:val="superscript"/>
        </w:rPr>
        <w:footnoteReference w:id="112"/>
      </w:r>
      <w:r w:rsidRPr="00167CB8">
        <w:t xml:space="preserve"> He also noted that at the Jobs and Skills Summit </w:t>
      </w:r>
      <w:r w:rsidR="00D9794E" w:rsidRPr="00167CB8">
        <w:t>‘</w:t>
      </w:r>
      <w:r w:rsidRPr="00167CB8">
        <w:t>[w]e agreed to work together, taking a tripartite approach – a principle of equal and shared collaboration between governments, unions and industry – on matters that affect workers and businesses</w:t>
      </w:r>
      <w:r w:rsidR="00D9794E" w:rsidRPr="00167CB8">
        <w:t>’</w:t>
      </w:r>
      <w:r w:rsidRPr="00167CB8">
        <w:t xml:space="preserve"> and that the NCIF will do this.</w:t>
      </w:r>
      <w:r w:rsidRPr="00167CB8">
        <w:rPr>
          <w:vertAlign w:val="superscript"/>
        </w:rPr>
        <w:footnoteReference w:id="113"/>
      </w:r>
      <w:r w:rsidRPr="00167CB8">
        <w:t xml:space="preserve"> The Minister noted that </w:t>
      </w:r>
      <w:r w:rsidR="00D9794E" w:rsidRPr="00167CB8">
        <w:t>‘</w:t>
      </w:r>
      <w:r w:rsidRPr="00167CB8">
        <w:t>as a priority the Forum will look at issues around gender equity, particularly the recruitment and retainment of women workers</w:t>
      </w:r>
      <w:r w:rsidR="00D9794E" w:rsidRPr="00167CB8">
        <w:t>’</w:t>
      </w:r>
      <w:r w:rsidRPr="00167CB8">
        <w:t>.</w:t>
      </w:r>
      <w:r w:rsidRPr="00167CB8">
        <w:rPr>
          <w:rStyle w:val="FootnoteReference"/>
        </w:rPr>
        <w:footnoteReference w:id="114"/>
      </w:r>
      <w:r w:rsidRPr="00167CB8">
        <w:t xml:space="preserve">  </w:t>
      </w:r>
    </w:p>
    <w:p w14:paraId="32130C24" w14:textId="48E4B175" w:rsidR="00A148FE" w:rsidRPr="00167CB8" w:rsidRDefault="003220B5" w:rsidP="00A148FE">
      <w:pPr>
        <w:pStyle w:val="Heading4"/>
        <w:rPr>
          <w:rFonts w:asciiTheme="minorHAnsi" w:hAnsiTheme="minorHAnsi"/>
        </w:rPr>
      </w:pPr>
      <w:bookmarkStart w:id="58" w:name="_Toc187421573"/>
      <w:bookmarkStart w:id="59" w:name="_Toc187946374"/>
      <w:bookmarkStart w:id="60" w:name="_Toc188277911"/>
      <w:bookmarkStart w:id="61" w:name="_Toc189260204"/>
      <w:bookmarkStart w:id="62" w:name="_Toc189393520"/>
      <w:r w:rsidRPr="00167CB8">
        <w:rPr>
          <w:rFonts w:asciiTheme="minorHAnsi" w:hAnsiTheme="minorHAnsi"/>
        </w:rPr>
        <w:t>5</w:t>
      </w:r>
      <w:r w:rsidR="00BA0268" w:rsidRPr="00167CB8">
        <w:rPr>
          <w:rFonts w:asciiTheme="minorHAnsi" w:hAnsiTheme="minorHAnsi"/>
        </w:rPr>
        <w:t>.1</w:t>
      </w:r>
      <w:r w:rsidR="00A148FE" w:rsidRPr="00167CB8">
        <w:rPr>
          <w:rFonts w:asciiTheme="minorHAnsi" w:hAnsiTheme="minorHAnsi"/>
        </w:rPr>
        <w:t xml:space="preserve"> Amendments </w:t>
      </w:r>
      <w:r w:rsidR="00D9794E" w:rsidRPr="00167CB8">
        <w:rPr>
          <w:rFonts w:asciiTheme="minorHAnsi" w:hAnsiTheme="minorHAnsi"/>
        </w:rPr>
        <w:t>and</w:t>
      </w:r>
      <w:r w:rsidR="00A148FE" w:rsidRPr="00167CB8">
        <w:rPr>
          <w:rFonts w:asciiTheme="minorHAnsi" w:hAnsiTheme="minorHAnsi"/>
        </w:rPr>
        <w:t xml:space="preserve"> </w:t>
      </w:r>
      <w:r w:rsidR="00D9794E" w:rsidRPr="00167CB8">
        <w:rPr>
          <w:rFonts w:asciiTheme="minorHAnsi" w:hAnsiTheme="minorHAnsi"/>
        </w:rPr>
        <w:t>i</w:t>
      </w:r>
      <w:r w:rsidR="00A148FE" w:rsidRPr="00167CB8">
        <w:rPr>
          <w:rFonts w:asciiTheme="minorHAnsi" w:hAnsiTheme="minorHAnsi"/>
        </w:rPr>
        <w:t>ntent</w:t>
      </w:r>
      <w:bookmarkEnd w:id="58"/>
      <w:bookmarkEnd w:id="59"/>
      <w:bookmarkEnd w:id="60"/>
      <w:bookmarkEnd w:id="61"/>
      <w:bookmarkEnd w:id="62"/>
    </w:p>
    <w:p w14:paraId="1FC59886" w14:textId="36DFEF3C" w:rsidR="00A148FE" w:rsidRPr="00167CB8" w:rsidRDefault="00A148FE" w:rsidP="00A148FE">
      <w:r w:rsidRPr="00167CB8">
        <w:t xml:space="preserve">This section provides an outline of the amendments in the </w:t>
      </w:r>
      <w:r w:rsidR="00542250" w:rsidRPr="00167CB8">
        <w:t>Secure Jobs, Better Pay</w:t>
      </w:r>
      <w:r w:rsidRPr="00167CB8">
        <w:t xml:space="preserve"> Act that established the NCIF.</w:t>
      </w:r>
      <w:r w:rsidRPr="00167CB8">
        <w:rPr>
          <w:rStyle w:val="FootnoteReference"/>
        </w:rPr>
        <w:footnoteReference w:id="115"/>
      </w:r>
      <w:r w:rsidRPr="00167CB8">
        <w:t xml:space="preserve"> It also provides information on the intent of the changes.</w:t>
      </w:r>
    </w:p>
    <w:p w14:paraId="7A78FF2E" w14:textId="1D6E4B21" w:rsidR="00A148FE" w:rsidRPr="00167CB8" w:rsidRDefault="003220B5" w:rsidP="00A148FE">
      <w:pPr>
        <w:pStyle w:val="Heading5"/>
        <w:rPr>
          <w:rFonts w:asciiTheme="minorHAnsi" w:hAnsiTheme="minorHAnsi"/>
        </w:rPr>
      </w:pPr>
      <w:bookmarkStart w:id="63" w:name="_Toc187421574"/>
      <w:bookmarkStart w:id="64" w:name="_Toc187946375"/>
      <w:r w:rsidRPr="00167CB8">
        <w:rPr>
          <w:rFonts w:asciiTheme="minorHAnsi" w:hAnsiTheme="minorHAnsi"/>
        </w:rPr>
        <w:t>5</w:t>
      </w:r>
      <w:r w:rsidR="00BA0268" w:rsidRPr="00167CB8">
        <w:rPr>
          <w:rFonts w:asciiTheme="minorHAnsi" w:hAnsiTheme="minorHAnsi"/>
        </w:rPr>
        <w:t>.1.1</w:t>
      </w:r>
      <w:r w:rsidR="00A148FE" w:rsidRPr="00167CB8">
        <w:rPr>
          <w:rFonts w:asciiTheme="minorHAnsi" w:hAnsiTheme="minorHAnsi"/>
        </w:rPr>
        <w:t xml:space="preserve"> </w:t>
      </w:r>
      <w:r w:rsidR="00E42AC2" w:rsidRPr="00167CB8">
        <w:rPr>
          <w:rFonts w:asciiTheme="minorHAnsi" w:hAnsiTheme="minorHAnsi"/>
        </w:rPr>
        <w:t xml:space="preserve">Secure Jobs, Better Pay </w:t>
      </w:r>
      <w:r w:rsidR="00D9794E" w:rsidRPr="00167CB8">
        <w:rPr>
          <w:rFonts w:asciiTheme="minorHAnsi" w:hAnsiTheme="minorHAnsi"/>
        </w:rPr>
        <w:t>a</w:t>
      </w:r>
      <w:r w:rsidR="00A148FE" w:rsidRPr="00167CB8">
        <w:rPr>
          <w:rFonts w:asciiTheme="minorHAnsi" w:hAnsiTheme="minorHAnsi"/>
        </w:rPr>
        <w:t>mendments</w:t>
      </w:r>
      <w:bookmarkEnd w:id="63"/>
      <w:bookmarkEnd w:id="64"/>
    </w:p>
    <w:p w14:paraId="0EE271E3" w14:textId="457ED3CF" w:rsidR="00A148FE" w:rsidRPr="00167CB8" w:rsidRDefault="00A148FE" w:rsidP="00A148FE">
      <w:r w:rsidRPr="00167CB8">
        <w:t xml:space="preserve">The </w:t>
      </w:r>
      <w:r w:rsidR="00542250" w:rsidRPr="00167CB8">
        <w:t>Secure Jobs, Better Pay</w:t>
      </w:r>
      <w:r w:rsidRPr="00167CB8">
        <w:t xml:space="preserve"> Act amended the Fair Work Act by inserting new Part 6-4D of Chapter 6 to establish the NCIF.</w:t>
      </w:r>
    </w:p>
    <w:p w14:paraId="2037D3C7" w14:textId="05ABC85B" w:rsidR="00A148FE" w:rsidRPr="00167CB8" w:rsidRDefault="00A148FE" w:rsidP="00C6528C">
      <w:r w:rsidRPr="00167CB8">
        <w:t>Section 789GZD of the F</w:t>
      </w:r>
      <w:r w:rsidR="00E76755" w:rsidRPr="00167CB8">
        <w:t xml:space="preserve">air </w:t>
      </w:r>
      <w:r w:rsidRPr="00167CB8">
        <w:t>W</w:t>
      </w:r>
      <w:r w:rsidR="00E76755" w:rsidRPr="00167CB8">
        <w:t>ork</w:t>
      </w:r>
      <w:r w:rsidRPr="00167CB8">
        <w:t xml:space="preserve"> Act sets out the function of the NCIF as follows:</w:t>
      </w:r>
    </w:p>
    <w:p w14:paraId="18C4499E" w14:textId="736CA6A6" w:rsidR="00A148FE" w:rsidRPr="00167CB8" w:rsidRDefault="00A148FE" w:rsidP="00C83147">
      <w:pPr>
        <w:pStyle w:val="Quote"/>
      </w:pPr>
      <w:bookmarkStart w:id="65" w:name="_Toc185579528"/>
      <w:bookmarkStart w:id="66" w:name="_Toc187946376"/>
      <w:r w:rsidRPr="00167CB8">
        <w:t>789GZD Function of the Forum</w:t>
      </w:r>
      <w:bookmarkEnd w:id="65"/>
      <w:bookmarkEnd w:id="66"/>
    </w:p>
    <w:p w14:paraId="3D490173" w14:textId="77777777" w:rsidR="00A148FE" w:rsidRPr="00167CB8" w:rsidRDefault="00A148FE" w:rsidP="00C83147">
      <w:pPr>
        <w:pStyle w:val="Quote"/>
      </w:pPr>
      <w:r w:rsidRPr="00167CB8">
        <w:t>(1)</w:t>
      </w:r>
      <w:r w:rsidRPr="00167CB8">
        <w:tab/>
        <w:t>The function of the National Construction Industry Forum is to provide advice to the Government in relation to work in the building and construction industry.</w:t>
      </w:r>
    </w:p>
    <w:p w14:paraId="34C96475" w14:textId="77777777" w:rsidR="00A148FE" w:rsidRPr="00167CB8" w:rsidRDefault="00A148FE" w:rsidP="00C83147">
      <w:pPr>
        <w:pStyle w:val="Quote"/>
      </w:pPr>
      <w:r w:rsidRPr="00167CB8">
        <w:t>(2)</w:t>
      </w:r>
      <w:r w:rsidRPr="00167CB8">
        <w:tab/>
        <w:t>The matters in relation to which the Forum may provide advice include, but are not limited to, the following:</w:t>
      </w:r>
    </w:p>
    <w:p w14:paraId="2D1FA184" w14:textId="77777777" w:rsidR="00A148FE" w:rsidRPr="00167CB8" w:rsidRDefault="00A148FE" w:rsidP="00C83147">
      <w:pPr>
        <w:pStyle w:val="Quote"/>
      </w:pPr>
      <w:r w:rsidRPr="00167CB8">
        <w:lastRenderedPageBreak/>
        <w:tab/>
        <w:t>(a)</w:t>
      </w:r>
      <w:r w:rsidRPr="00167CB8">
        <w:tab/>
        <w:t>workplace relations;</w:t>
      </w:r>
    </w:p>
    <w:p w14:paraId="31840398" w14:textId="77777777" w:rsidR="00A148FE" w:rsidRPr="00167CB8" w:rsidRDefault="00A148FE" w:rsidP="00C83147">
      <w:pPr>
        <w:pStyle w:val="Quote"/>
      </w:pPr>
      <w:r w:rsidRPr="00167CB8">
        <w:tab/>
        <w:t>(b)</w:t>
      </w:r>
      <w:r w:rsidRPr="00167CB8">
        <w:tab/>
        <w:t>skills and training;</w:t>
      </w:r>
    </w:p>
    <w:p w14:paraId="308AB25D" w14:textId="77777777" w:rsidR="00A148FE" w:rsidRPr="00167CB8" w:rsidRDefault="00A148FE" w:rsidP="00C83147">
      <w:pPr>
        <w:pStyle w:val="Quote"/>
      </w:pPr>
      <w:r w:rsidRPr="00167CB8">
        <w:tab/>
        <w:t>(c)</w:t>
      </w:r>
      <w:r w:rsidRPr="00167CB8">
        <w:tab/>
        <w:t>safety;</w:t>
      </w:r>
    </w:p>
    <w:p w14:paraId="53E972F3" w14:textId="77777777" w:rsidR="00A148FE" w:rsidRPr="00167CB8" w:rsidRDefault="00A148FE" w:rsidP="00C83147">
      <w:pPr>
        <w:pStyle w:val="Quote"/>
      </w:pPr>
      <w:r w:rsidRPr="00167CB8">
        <w:tab/>
        <w:t>(d)</w:t>
      </w:r>
      <w:r w:rsidRPr="00167CB8">
        <w:tab/>
        <w:t>productivity;</w:t>
      </w:r>
    </w:p>
    <w:p w14:paraId="3DEBB3F6" w14:textId="77777777" w:rsidR="00A148FE" w:rsidRPr="00167CB8" w:rsidRDefault="00A148FE" w:rsidP="00C83147">
      <w:pPr>
        <w:pStyle w:val="Quote"/>
      </w:pPr>
      <w:r w:rsidRPr="00167CB8">
        <w:tab/>
        <w:t>(e)</w:t>
      </w:r>
      <w:r w:rsidRPr="00167CB8">
        <w:tab/>
        <w:t>diversity and gender equity;</w:t>
      </w:r>
    </w:p>
    <w:p w14:paraId="1663BC7C" w14:textId="77777777" w:rsidR="00A148FE" w:rsidRPr="00167CB8" w:rsidRDefault="00A148FE" w:rsidP="00C83147">
      <w:pPr>
        <w:pStyle w:val="Quote"/>
      </w:pPr>
      <w:r w:rsidRPr="00167CB8">
        <w:tab/>
        <w:t>(f)</w:t>
      </w:r>
      <w:r w:rsidRPr="00167CB8">
        <w:tab/>
        <w:t>industry culture.</w:t>
      </w:r>
    </w:p>
    <w:p w14:paraId="0B42ABE7" w14:textId="15D2B373" w:rsidR="00A148FE" w:rsidRPr="00167CB8" w:rsidRDefault="00A148FE" w:rsidP="00C83147">
      <w:pPr>
        <w:pStyle w:val="Quote"/>
      </w:pPr>
      <w:r w:rsidRPr="00167CB8">
        <w:t>(3)</w:t>
      </w:r>
      <w:r w:rsidRPr="00167CB8">
        <w:tab/>
        <w:t>Matters for advice may be:</w:t>
      </w:r>
    </w:p>
    <w:p w14:paraId="17C98201" w14:textId="77777777" w:rsidR="00A148FE" w:rsidRPr="00167CB8" w:rsidRDefault="00A148FE" w:rsidP="00C83147">
      <w:pPr>
        <w:pStyle w:val="Quote"/>
      </w:pPr>
      <w:r w:rsidRPr="00167CB8">
        <w:tab/>
        <w:t>(a)</w:t>
      </w:r>
      <w:r w:rsidRPr="00167CB8">
        <w:tab/>
        <w:t>raised by the Government; or</w:t>
      </w:r>
    </w:p>
    <w:p w14:paraId="288D25F9" w14:textId="1BA128BF" w:rsidR="00A148FE" w:rsidRPr="00167CB8" w:rsidRDefault="00A148FE" w:rsidP="00C83147">
      <w:pPr>
        <w:pStyle w:val="Quote"/>
      </w:pPr>
      <w:r w:rsidRPr="00167CB8">
        <w:tab/>
        <w:t>(b)</w:t>
      </w:r>
      <w:r w:rsidRPr="00167CB8">
        <w:tab/>
        <w:t>agreed between the members of the Forum.</w:t>
      </w:r>
    </w:p>
    <w:p w14:paraId="49F6917B" w14:textId="7AA1253D" w:rsidR="00A148FE" w:rsidRPr="00167CB8" w:rsidRDefault="00A148FE" w:rsidP="00A148FE">
      <w:r w:rsidRPr="00167CB8">
        <w:t xml:space="preserve">Section 789GZE of the </w:t>
      </w:r>
      <w:r w:rsidR="00886395" w:rsidRPr="00167CB8">
        <w:t>Fair Work Act</w:t>
      </w:r>
      <w:r w:rsidRPr="00167CB8">
        <w:t xml:space="preserve"> outlines the membership of the NCIF and provides: </w:t>
      </w:r>
    </w:p>
    <w:p w14:paraId="1337F53A" w14:textId="458BDDAA" w:rsidR="00A148FE" w:rsidRPr="00167CB8" w:rsidRDefault="00A148FE" w:rsidP="00C83147">
      <w:pPr>
        <w:pStyle w:val="Quote"/>
      </w:pPr>
      <w:bookmarkStart w:id="67" w:name="_Toc185579529"/>
      <w:bookmarkStart w:id="68" w:name="_Toc187946377"/>
      <w:r w:rsidRPr="00167CB8">
        <w:rPr>
          <w:rStyle w:val="CharSectno0"/>
          <w:rFonts w:asciiTheme="minorHAnsi" w:hAnsiTheme="minorHAnsi"/>
        </w:rPr>
        <w:t>789GZE</w:t>
      </w:r>
      <w:r w:rsidRPr="00167CB8">
        <w:t xml:space="preserve"> Membership</w:t>
      </w:r>
      <w:bookmarkEnd w:id="67"/>
      <w:bookmarkEnd w:id="68"/>
    </w:p>
    <w:p w14:paraId="64C767DE" w14:textId="7EAD867C" w:rsidR="00A148FE" w:rsidRPr="00167CB8" w:rsidRDefault="00A148FE" w:rsidP="00C83147">
      <w:pPr>
        <w:pStyle w:val="Quote"/>
      </w:pPr>
      <w:r w:rsidRPr="00167CB8">
        <w:t>(1)</w:t>
      </w:r>
      <w:r w:rsidRPr="00167CB8">
        <w:tab/>
        <w:t>The members of the National Construction Industry Forum are:</w:t>
      </w:r>
    </w:p>
    <w:p w14:paraId="50E89985" w14:textId="423FABFF" w:rsidR="00A148FE" w:rsidRPr="00167CB8" w:rsidRDefault="00C260BA" w:rsidP="00C83147">
      <w:pPr>
        <w:pStyle w:val="Quote"/>
      </w:pPr>
      <w:r w:rsidRPr="00167CB8">
        <w:tab/>
      </w:r>
      <w:r w:rsidR="00A148FE" w:rsidRPr="00167CB8">
        <w:tab/>
        <w:t>(a)</w:t>
      </w:r>
      <w:r w:rsidR="00A148FE" w:rsidRPr="00167CB8">
        <w:tab/>
        <w:t>the Minister; and</w:t>
      </w:r>
    </w:p>
    <w:p w14:paraId="06567669" w14:textId="0DF395A5" w:rsidR="00A148FE" w:rsidRPr="00167CB8" w:rsidRDefault="00C260BA" w:rsidP="00C83147">
      <w:pPr>
        <w:pStyle w:val="Quote"/>
      </w:pPr>
      <w:r w:rsidRPr="00167CB8">
        <w:tab/>
      </w:r>
      <w:r w:rsidR="00A148FE" w:rsidRPr="00167CB8">
        <w:tab/>
        <w:t>(b)</w:t>
      </w:r>
      <w:r w:rsidR="00A148FE" w:rsidRPr="00167CB8">
        <w:tab/>
        <w:t>the Infrastructure Minister; and</w:t>
      </w:r>
    </w:p>
    <w:p w14:paraId="3E094D9F" w14:textId="54A42873" w:rsidR="00A148FE" w:rsidRPr="00167CB8" w:rsidRDefault="00C260BA" w:rsidP="00C83147">
      <w:pPr>
        <w:pStyle w:val="Quote"/>
      </w:pPr>
      <w:r w:rsidRPr="00167CB8">
        <w:tab/>
      </w:r>
      <w:r w:rsidR="00A148FE" w:rsidRPr="00167CB8">
        <w:tab/>
        <w:t>(c)</w:t>
      </w:r>
      <w:r w:rsidR="00A148FE" w:rsidRPr="00167CB8">
        <w:tab/>
        <w:t>the Industry Minister; and</w:t>
      </w:r>
    </w:p>
    <w:p w14:paraId="05F39E70" w14:textId="63569593" w:rsidR="00A148FE" w:rsidRPr="00167CB8" w:rsidRDefault="00C260BA" w:rsidP="00C83147">
      <w:pPr>
        <w:pStyle w:val="Quote"/>
      </w:pPr>
      <w:r w:rsidRPr="00167CB8">
        <w:tab/>
      </w:r>
      <w:r w:rsidR="00A148FE" w:rsidRPr="00167CB8">
        <w:tab/>
        <w:t>(d)</w:t>
      </w:r>
      <w:r w:rsidR="00A148FE" w:rsidRPr="00167CB8">
        <w:tab/>
        <w:t>the members appointed by the Minister.</w:t>
      </w:r>
    </w:p>
    <w:p w14:paraId="6E11E1B6" w14:textId="620D3396" w:rsidR="00A148FE" w:rsidRPr="00167CB8" w:rsidRDefault="00A148FE" w:rsidP="00C83147">
      <w:pPr>
        <w:pStyle w:val="Quote"/>
      </w:pPr>
      <w:r w:rsidRPr="00167CB8">
        <w:t>(2)</w:t>
      </w:r>
      <w:r w:rsidRPr="00167CB8">
        <w:tab/>
        <w:t>The Minister must appoint:</w:t>
      </w:r>
    </w:p>
    <w:p w14:paraId="3F0CF7B5" w14:textId="77777777" w:rsidR="00A148FE" w:rsidRPr="00167CB8" w:rsidRDefault="00A148FE" w:rsidP="00057C45">
      <w:pPr>
        <w:pStyle w:val="Quote"/>
        <w:ind w:left="2160" w:firstLine="720"/>
      </w:pPr>
      <w:r w:rsidRPr="00167CB8">
        <w:t>(a)</w:t>
      </w:r>
      <w:r w:rsidRPr="00167CB8">
        <w:tab/>
        <w:t>one or more members who have experience representing employees in the building and construction industry; and</w:t>
      </w:r>
    </w:p>
    <w:p w14:paraId="6F87A681" w14:textId="77777777" w:rsidR="00A148FE" w:rsidRPr="00167CB8" w:rsidRDefault="00A148FE" w:rsidP="00057C45">
      <w:pPr>
        <w:pStyle w:val="Quote"/>
        <w:ind w:left="2160" w:firstLine="720"/>
      </w:pPr>
      <w:r w:rsidRPr="00167CB8">
        <w:t>(b)</w:t>
      </w:r>
      <w:r w:rsidRPr="00167CB8">
        <w:tab/>
        <w:t>an equal number of members who have experience representing employers in the building and construction industry, including at least one member who has experience representing contractors in the building and construction industry, and one member with experience in small to medium sized enterprises in the residential building sector.</w:t>
      </w:r>
    </w:p>
    <w:p w14:paraId="420B9534" w14:textId="2F80FB1A" w:rsidR="00A148FE" w:rsidRPr="00167CB8" w:rsidRDefault="00A148FE" w:rsidP="00C83147">
      <w:pPr>
        <w:pStyle w:val="Quote"/>
      </w:pPr>
      <w:r w:rsidRPr="00167CB8">
        <w:t>(3)</w:t>
      </w:r>
      <w:r w:rsidRPr="00167CB8">
        <w:tab/>
        <w:t>The Minister may appoint any other person.</w:t>
      </w:r>
    </w:p>
    <w:p w14:paraId="5167CCEC" w14:textId="0E50B754" w:rsidR="00A148FE" w:rsidRPr="00167CB8" w:rsidRDefault="00A148FE" w:rsidP="00D95AE5">
      <w:r w:rsidRPr="00167CB8">
        <w:t xml:space="preserve">The </w:t>
      </w:r>
      <w:r w:rsidR="00542250" w:rsidRPr="00167CB8">
        <w:t>Secure Jobs, Better Pay</w:t>
      </w:r>
      <w:r w:rsidRPr="00167CB8">
        <w:t xml:space="preserve"> Act also established the mechanical provisions for </w:t>
      </w:r>
      <w:r w:rsidR="00F66680" w:rsidRPr="00167CB8">
        <w:t>the NCIF</w:t>
      </w:r>
      <w:r w:rsidR="00D9794E" w:rsidRPr="00167CB8">
        <w:t>,</w:t>
      </w:r>
      <w:r w:rsidR="00F66680" w:rsidRPr="00167CB8">
        <w:t xml:space="preserve"> including </w:t>
      </w:r>
      <w:r w:rsidRPr="00167CB8">
        <w:t>the chair</w:t>
      </w:r>
      <w:r w:rsidR="00D9794E" w:rsidRPr="00167CB8">
        <w:t>;</w:t>
      </w:r>
      <w:r w:rsidRPr="00167CB8">
        <w:rPr>
          <w:rStyle w:val="FootnoteReference"/>
        </w:rPr>
        <w:footnoteReference w:id="116"/>
      </w:r>
      <w:r w:rsidRPr="00167CB8">
        <w:t xml:space="preserve"> frequency and procedure for meetings</w:t>
      </w:r>
      <w:r w:rsidR="00D9794E" w:rsidRPr="00167CB8">
        <w:t>;</w:t>
      </w:r>
      <w:r w:rsidRPr="00167CB8">
        <w:rPr>
          <w:rStyle w:val="FootnoteReference"/>
        </w:rPr>
        <w:footnoteReference w:id="117"/>
      </w:r>
      <w:r w:rsidRPr="00167CB8">
        <w:t xml:space="preserve"> confidentiality</w:t>
      </w:r>
      <w:r w:rsidR="00D9794E" w:rsidRPr="00167CB8">
        <w:t>;</w:t>
      </w:r>
      <w:r w:rsidRPr="00167CB8">
        <w:rPr>
          <w:rStyle w:val="FootnoteReference"/>
        </w:rPr>
        <w:footnoteReference w:id="118"/>
      </w:r>
      <w:r w:rsidRPr="00167CB8">
        <w:t xml:space="preserve"> </w:t>
      </w:r>
      <w:r w:rsidR="000B6A4A" w:rsidRPr="00167CB8">
        <w:t xml:space="preserve">travel </w:t>
      </w:r>
      <w:r w:rsidR="000B6A4A" w:rsidRPr="00167CB8">
        <w:lastRenderedPageBreak/>
        <w:t>allowance for members</w:t>
      </w:r>
      <w:r w:rsidR="00D9794E" w:rsidRPr="00167CB8">
        <w:t>;</w:t>
      </w:r>
      <w:r w:rsidRPr="00167CB8">
        <w:rPr>
          <w:rStyle w:val="FootnoteReference"/>
        </w:rPr>
        <w:footnoteReference w:id="119"/>
      </w:r>
      <w:r w:rsidRPr="00167CB8">
        <w:t xml:space="preserve"> and the substitution,</w:t>
      </w:r>
      <w:r w:rsidRPr="00167CB8">
        <w:rPr>
          <w:rStyle w:val="FootnoteReference"/>
        </w:rPr>
        <w:footnoteReference w:id="120"/>
      </w:r>
      <w:r w:rsidRPr="00167CB8">
        <w:t xml:space="preserve"> resignation</w:t>
      </w:r>
      <w:r w:rsidRPr="00167CB8">
        <w:rPr>
          <w:rStyle w:val="FootnoteReference"/>
        </w:rPr>
        <w:footnoteReference w:id="121"/>
      </w:r>
      <w:r w:rsidRPr="00167CB8">
        <w:t xml:space="preserve"> and termination of appointment of members.</w:t>
      </w:r>
      <w:r w:rsidRPr="00167CB8">
        <w:rPr>
          <w:rStyle w:val="FootnoteReference"/>
        </w:rPr>
        <w:footnoteReference w:id="122"/>
      </w:r>
    </w:p>
    <w:p w14:paraId="162D5C31" w14:textId="4995C178" w:rsidR="00A148FE" w:rsidRPr="00167CB8" w:rsidRDefault="003220B5" w:rsidP="00A148FE">
      <w:pPr>
        <w:pStyle w:val="Heading5"/>
        <w:rPr>
          <w:rFonts w:asciiTheme="minorHAnsi" w:hAnsiTheme="minorHAnsi"/>
        </w:rPr>
      </w:pPr>
      <w:bookmarkStart w:id="69" w:name="_Toc187421575"/>
      <w:bookmarkStart w:id="70" w:name="_Toc187946378"/>
      <w:r w:rsidRPr="00167CB8">
        <w:rPr>
          <w:rFonts w:asciiTheme="minorHAnsi" w:hAnsiTheme="minorHAnsi"/>
        </w:rPr>
        <w:t>5</w:t>
      </w:r>
      <w:r w:rsidR="0081544F" w:rsidRPr="00167CB8">
        <w:rPr>
          <w:rFonts w:asciiTheme="minorHAnsi" w:hAnsiTheme="minorHAnsi"/>
        </w:rPr>
        <w:t>.1.2</w:t>
      </w:r>
      <w:r w:rsidR="00A148FE" w:rsidRPr="00167CB8">
        <w:rPr>
          <w:rFonts w:asciiTheme="minorHAnsi" w:hAnsiTheme="minorHAnsi"/>
        </w:rPr>
        <w:t xml:space="preserve"> Intent of </w:t>
      </w:r>
      <w:r w:rsidR="00E42AC2" w:rsidRPr="00167CB8">
        <w:rPr>
          <w:rFonts w:asciiTheme="minorHAnsi" w:hAnsiTheme="minorHAnsi"/>
        </w:rPr>
        <w:t>Secure Jobs, Better Pay</w:t>
      </w:r>
      <w:r w:rsidR="00A148FE" w:rsidRPr="00167CB8">
        <w:rPr>
          <w:rFonts w:asciiTheme="minorHAnsi" w:hAnsiTheme="minorHAnsi"/>
        </w:rPr>
        <w:t xml:space="preserve"> </w:t>
      </w:r>
      <w:r w:rsidR="00D9794E" w:rsidRPr="00167CB8">
        <w:rPr>
          <w:rFonts w:asciiTheme="minorHAnsi" w:hAnsiTheme="minorHAnsi"/>
        </w:rPr>
        <w:t>a</w:t>
      </w:r>
      <w:r w:rsidR="00A148FE" w:rsidRPr="00167CB8">
        <w:rPr>
          <w:rFonts w:asciiTheme="minorHAnsi" w:hAnsiTheme="minorHAnsi"/>
        </w:rPr>
        <w:t>mendments</w:t>
      </w:r>
      <w:bookmarkEnd w:id="69"/>
      <w:bookmarkEnd w:id="70"/>
      <w:r w:rsidR="00E42AC2" w:rsidRPr="00167CB8" w:rsidDel="00E42AC2">
        <w:rPr>
          <w:rFonts w:asciiTheme="minorHAnsi" w:hAnsiTheme="minorHAnsi"/>
        </w:rPr>
        <w:t xml:space="preserve"> </w:t>
      </w:r>
    </w:p>
    <w:p w14:paraId="65369133" w14:textId="52940046" w:rsidR="00A148FE" w:rsidRPr="00167CB8" w:rsidRDefault="00A148FE" w:rsidP="00A148FE">
      <w:r w:rsidRPr="00167CB8">
        <w:t xml:space="preserve">The intent of establishing the NCIF was to give </w:t>
      </w:r>
      <w:r w:rsidR="00D9794E" w:rsidRPr="00167CB8">
        <w:t>‘</w:t>
      </w:r>
      <w:r w:rsidRPr="00167CB8">
        <w:t>further opportunities for industry participants to organise and have their views heard by government</w:t>
      </w:r>
      <w:r w:rsidR="00D9794E" w:rsidRPr="00167CB8">
        <w:t>’</w:t>
      </w:r>
      <w:r w:rsidRPr="00167CB8">
        <w:t>.</w:t>
      </w:r>
      <w:r w:rsidRPr="00167CB8">
        <w:rPr>
          <w:vertAlign w:val="superscript"/>
        </w:rPr>
        <w:footnoteReference w:id="123"/>
      </w:r>
      <w:r w:rsidRPr="00167CB8">
        <w:t xml:space="preserve">  </w:t>
      </w:r>
    </w:p>
    <w:p w14:paraId="796D43B7" w14:textId="110D07BC" w:rsidR="00A148FE" w:rsidRPr="00167CB8" w:rsidRDefault="00A148FE" w:rsidP="00A148FE">
      <w:r w:rsidRPr="00167CB8">
        <w:t xml:space="preserve">The establishment of the NCIF was an outcome of the </w:t>
      </w:r>
      <w:r w:rsidR="00CE606C" w:rsidRPr="00167CB8">
        <w:t xml:space="preserve">Australian </w:t>
      </w:r>
      <w:r w:rsidRPr="00167CB8">
        <w:t xml:space="preserve">Government’s Jobs and Skills Summit. One of the outcomes for immediate action from the </w:t>
      </w:r>
      <w:r w:rsidR="00D9794E" w:rsidRPr="00167CB8">
        <w:t>s</w:t>
      </w:r>
      <w:r w:rsidRPr="00167CB8">
        <w:t xml:space="preserve">ummit was to </w:t>
      </w:r>
      <w:r w:rsidR="00D9794E" w:rsidRPr="00167CB8">
        <w:t>‘</w:t>
      </w:r>
      <w:r w:rsidRPr="00167CB8">
        <w:t>establish a tripartite National Construction Industry Forum to constructively address issues such as mental health, safety, training, apprentices, productivity, culture, diversity and gender equity in the industry</w:t>
      </w:r>
      <w:r w:rsidR="00D9794E" w:rsidRPr="00167CB8">
        <w:t>’</w:t>
      </w:r>
      <w:r w:rsidRPr="00167CB8">
        <w:t>.</w:t>
      </w:r>
      <w:r w:rsidRPr="00167CB8">
        <w:rPr>
          <w:vertAlign w:val="superscript"/>
        </w:rPr>
        <w:footnoteReference w:id="124"/>
      </w:r>
      <w:r w:rsidRPr="00167CB8">
        <w:t xml:space="preserve"> </w:t>
      </w:r>
    </w:p>
    <w:p w14:paraId="6FCBBCC9" w14:textId="1E5D95E1" w:rsidR="00A148FE" w:rsidRPr="00167CB8" w:rsidRDefault="00A148FE" w:rsidP="00A148FE">
      <w:r w:rsidRPr="00167CB8">
        <w:t xml:space="preserve">The </w:t>
      </w:r>
      <w:r w:rsidR="00CE606C" w:rsidRPr="00167CB8">
        <w:t xml:space="preserve">Australian </w:t>
      </w:r>
      <w:r w:rsidRPr="00167CB8">
        <w:t>Government has stated that it views the NCIF and tripartism as important factors in driving long-term change in the construction sector and improving industry culture.</w:t>
      </w:r>
      <w:r w:rsidRPr="00167CB8">
        <w:rPr>
          <w:vertAlign w:val="superscript"/>
        </w:rPr>
        <w:footnoteReference w:id="125"/>
      </w:r>
      <w:r w:rsidRPr="00167CB8">
        <w:t xml:space="preserve"> </w:t>
      </w:r>
    </w:p>
    <w:p w14:paraId="76166E37" w14:textId="3BEE806E" w:rsidR="00A148FE" w:rsidRPr="00167CB8" w:rsidRDefault="00A148FE" w:rsidP="00A148FE">
      <w:r w:rsidRPr="00167CB8">
        <w:t xml:space="preserve">The use of a tripartite group to encourage cooperation in the building and construction industry and engage stakeholders in advice to </w:t>
      </w:r>
      <w:r w:rsidR="00FF69F0" w:rsidRPr="00167CB8">
        <w:t xml:space="preserve">the Australian </w:t>
      </w:r>
      <w:r w:rsidR="00D9794E" w:rsidRPr="00167CB8">
        <w:t>G</w:t>
      </w:r>
      <w:r w:rsidRPr="00167CB8">
        <w:t xml:space="preserve">overnment is consistent with the different forms of regulation theme outlined in the introduction to this chapter. </w:t>
      </w:r>
    </w:p>
    <w:p w14:paraId="558F3648" w14:textId="71849308" w:rsidR="00A148FE" w:rsidRPr="00167CB8" w:rsidRDefault="003220B5" w:rsidP="00A148FE">
      <w:pPr>
        <w:pStyle w:val="Heading4"/>
        <w:rPr>
          <w:rFonts w:asciiTheme="minorHAnsi" w:hAnsiTheme="minorHAnsi"/>
        </w:rPr>
      </w:pPr>
      <w:bookmarkStart w:id="71" w:name="_Toc187421576"/>
      <w:bookmarkStart w:id="72" w:name="_Toc187946379"/>
      <w:bookmarkStart w:id="73" w:name="_Toc188277912"/>
      <w:bookmarkStart w:id="74" w:name="_Toc189260205"/>
      <w:bookmarkStart w:id="75" w:name="_Toc189393521"/>
      <w:r w:rsidRPr="00167CB8">
        <w:rPr>
          <w:rFonts w:asciiTheme="minorHAnsi" w:hAnsiTheme="minorHAnsi"/>
        </w:rPr>
        <w:t>5</w:t>
      </w:r>
      <w:r w:rsidR="0081544F" w:rsidRPr="00167CB8">
        <w:rPr>
          <w:rFonts w:asciiTheme="minorHAnsi" w:hAnsiTheme="minorHAnsi"/>
        </w:rPr>
        <w:t>.2</w:t>
      </w:r>
      <w:r w:rsidR="00A148FE" w:rsidRPr="00167CB8">
        <w:rPr>
          <w:rFonts w:asciiTheme="minorHAnsi" w:hAnsiTheme="minorHAnsi"/>
        </w:rPr>
        <w:t xml:space="preserve"> Impact </w:t>
      </w:r>
      <w:r w:rsidR="00D9794E" w:rsidRPr="00167CB8">
        <w:rPr>
          <w:rFonts w:asciiTheme="minorHAnsi" w:hAnsiTheme="minorHAnsi"/>
        </w:rPr>
        <w:t>and</w:t>
      </w:r>
      <w:r w:rsidR="00A148FE" w:rsidRPr="00167CB8">
        <w:rPr>
          <w:rFonts w:asciiTheme="minorHAnsi" w:hAnsiTheme="minorHAnsi"/>
        </w:rPr>
        <w:t xml:space="preserve"> </w:t>
      </w:r>
      <w:r w:rsidR="00D9794E" w:rsidRPr="00167CB8">
        <w:rPr>
          <w:rFonts w:asciiTheme="minorHAnsi" w:hAnsiTheme="minorHAnsi"/>
        </w:rPr>
        <w:t>i</w:t>
      </w:r>
      <w:r w:rsidR="00A148FE" w:rsidRPr="00167CB8">
        <w:rPr>
          <w:rFonts w:asciiTheme="minorHAnsi" w:hAnsiTheme="minorHAnsi"/>
        </w:rPr>
        <w:t>ssues</w:t>
      </w:r>
      <w:bookmarkEnd w:id="71"/>
      <w:bookmarkEnd w:id="72"/>
      <w:bookmarkEnd w:id="73"/>
      <w:bookmarkEnd w:id="74"/>
      <w:bookmarkEnd w:id="75"/>
    </w:p>
    <w:p w14:paraId="72223D32" w14:textId="77777777" w:rsidR="00A148FE" w:rsidRPr="00167CB8" w:rsidRDefault="00A148FE" w:rsidP="00A148FE">
      <w:r w:rsidRPr="00167CB8">
        <w:t>This section sets out relevant quantitative and qualitative evidence on the NCIF, as well as an outline of the stakeholder views.</w:t>
      </w:r>
    </w:p>
    <w:p w14:paraId="2692AD96" w14:textId="2B77A6FC" w:rsidR="00A148FE" w:rsidRPr="00167CB8" w:rsidRDefault="003220B5" w:rsidP="00A148FE">
      <w:pPr>
        <w:pStyle w:val="Heading5"/>
        <w:rPr>
          <w:rFonts w:asciiTheme="minorHAnsi" w:hAnsiTheme="minorHAnsi"/>
        </w:rPr>
      </w:pPr>
      <w:bookmarkStart w:id="76" w:name="_Toc187421577"/>
      <w:bookmarkStart w:id="77" w:name="_Toc187946380"/>
      <w:r w:rsidRPr="00167CB8">
        <w:rPr>
          <w:rFonts w:asciiTheme="minorHAnsi" w:hAnsiTheme="minorHAnsi"/>
        </w:rPr>
        <w:t>5</w:t>
      </w:r>
      <w:r w:rsidR="0081544F" w:rsidRPr="00167CB8">
        <w:rPr>
          <w:rFonts w:asciiTheme="minorHAnsi" w:hAnsiTheme="minorHAnsi"/>
        </w:rPr>
        <w:t>.2.1</w:t>
      </w:r>
      <w:r w:rsidR="00A148FE" w:rsidRPr="00167CB8">
        <w:rPr>
          <w:rFonts w:asciiTheme="minorHAnsi" w:hAnsiTheme="minorHAnsi"/>
        </w:rPr>
        <w:t xml:space="preserve"> Quantitative </w:t>
      </w:r>
      <w:r w:rsidR="00D9794E" w:rsidRPr="00167CB8">
        <w:rPr>
          <w:rFonts w:asciiTheme="minorHAnsi" w:hAnsiTheme="minorHAnsi"/>
        </w:rPr>
        <w:t>e</w:t>
      </w:r>
      <w:r w:rsidR="00A148FE" w:rsidRPr="00167CB8">
        <w:rPr>
          <w:rFonts w:asciiTheme="minorHAnsi" w:hAnsiTheme="minorHAnsi"/>
        </w:rPr>
        <w:t>vidence</w:t>
      </w:r>
      <w:bookmarkEnd w:id="76"/>
      <w:bookmarkEnd w:id="77"/>
    </w:p>
    <w:p w14:paraId="561F9C01" w14:textId="3936FBD2" w:rsidR="00A148FE" w:rsidRPr="00167CB8" w:rsidRDefault="00A148FE" w:rsidP="00E4748E">
      <w:bookmarkStart w:id="78" w:name="_Toc187421578"/>
      <w:bookmarkStart w:id="79" w:name="_Toc187946381"/>
      <w:r w:rsidRPr="00167CB8">
        <w:t xml:space="preserve">The NCIF has held </w:t>
      </w:r>
      <w:r w:rsidR="00D9794E" w:rsidRPr="00167CB8">
        <w:t xml:space="preserve">3 </w:t>
      </w:r>
      <w:r w:rsidRPr="00167CB8">
        <w:t>meetings as at the time of publication of this report</w:t>
      </w:r>
      <w:bookmarkEnd w:id="78"/>
      <w:r w:rsidRPr="00167CB8">
        <w:rPr>
          <w:bCs/>
        </w:rPr>
        <w:t>.</w:t>
      </w:r>
      <w:r w:rsidR="00A21A9D" w:rsidRPr="00167CB8">
        <w:rPr>
          <w:bCs/>
          <w:vertAlign w:val="superscript"/>
        </w:rPr>
        <w:footnoteReference w:id="126"/>
      </w:r>
      <w:r w:rsidRPr="00167CB8">
        <w:rPr>
          <w:b/>
        </w:rPr>
        <w:t xml:space="preserve"> </w:t>
      </w:r>
      <w:r w:rsidRPr="00167CB8">
        <w:t xml:space="preserve">These </w:t>
      </w:r>
      <w:r w:rsidR="001A4DA2" w:rsidRPr="00167CB8">
        <w:rPr>
          <w:bCs/>
        </w:rPr>
        <w:t xml:space="preserve">are addressed in </w:t>
      </w:r>
      <w:r w:rsidR="001A4DA2" w:rsidRPr="00167CB8">
        <w:t xml:space="preserve">section </w:t>
      </w:r>
      <w:r w:rsidR="00536309" w:rsidRPr="00167CB8">
        <w:t>5.2.2</w:t>
      </w:r>
      <w:r w:rsidR="00536309" w:rsidRPr="00167CB8">
        <w:rPr>
          <w:bCs/>
        </w:rPr>
        <w:t xml:space="preserve"> </w:t>
      </w:r>
      <w:r w:rsidR="001A4DA2" w:rsidRPr="00167CB8">
        <w:rPr>
          <w:bCs/>
        </w:rPr>
        <w:t xml:space="preserve">of this </w:t>
      </w:r>
      <w:r w:rsidR="00536309" w:rsidRPr="00167CB8">
        <w:rPr>
          <w:bCs/>
        </w:rPr>
        <w:t>report</w:t>
      </w:r>
      <w:r w:rsidR="001A4DA2" w:rsidRPr="00167CB8">
        <w:rPr>
          <w:bCs/>
        </w:rPr>
        <w:t>.</w:t>
      </w:r>
      <w:r w:rsidRPr="00167CB8">
        <w:rPr>
          <w:b/>
        </w:rPr>
        <w:t xml:space="preserve"> </w:t>
      </w:r>
      <w:bookmarkEnd w:id="79"/>
    </w:p>
    <w:p w14:paraId="5A867058" w14:textId="086C442F" w:rsidR="00A148FE" w:rsidRPr="00167CB8" w:rsidRDefault="003220B5" w:rsidP="00A148FE">
      <w:pPr>
        <w:pStyle w:val="Heading5"/>
        <w:rPr>
          <w:rFonts w:asciiTheme="minorHAnsi" w:hAnsiTheme="minorHAnsi"/>
        </w:rPr>
      </w:pPr>
      <w:bookmarkStart w:id="80" w:name="_Toc187421579"/>
      <w:bookmarkStart w:id="81" w:name="_Toc187946382"/>
      <w:r w:rsidRPr="00167CB8">
        <w:rPr>
          <w:rFonts w:asciiTheme="minorHAnsi" w:hAnsiTheme="minorHAnsi"/>
        </w:rPr>
        <w:t>5</w:t>
      </w:r>
      <w:r w:rsidR="0081544F" w:rsidRPr="00167CB8">
        <w:rPr>
          <w:rFonts w:asciiTheme="minorHAnsi" w:hAnsiTheme="minorHAnsi"/>
        </w:rPr>
        <w:t>.2.2</w:t>
      </w:r>
      <w:r w:rsidR="00A148FE" w:rsidRPr="00167CB8">
        <w:rPr>
          <w:rFonts w:asciiTheme="minorHAnsi" w:hAnsiTheme="minorHAnsi"/>
        </w:rPr>
        <w:t xml:space="preserve"> Qualitative </w:t>
      </w:r>
      <w:r w:rsidR="00D9794E" w:rsidRPr="00167CB8">
        <w:rPr>
          <w:rFonts w:asciiTheme="minorHAnsi" w:hAnsiTheme="minorHAnsi"/>
        </w:rPr>
        <w:t>e</w:t>
      </w:r>
      <w:r w:rsidR="00A148FE" w:rsidRPr="00167CB8">
        <w:rPr>
          <w:rFonts w:asciiTheme="minorHAnsi" w:hAnsiTheme="minorHAnsi"/>
        </w:rPr>
        <w:t>vidence</w:t>
      </w:r>
      <w:bookmarkEnd w:id="80"/>
      <w:bookmarkEnd w:id="81"/>
    </w:p>
    <w:p w14:paraId="7290C50B" w14:textId="17F5C3F0" w:rsidR="00A148FE" w:rsidRPr="00167CB8" w:rsidRDefault="00A148FE" w:rsidP="00A148FE">
      <w:r w:rsidRPr="00167CB8">
        <w:t>On 23 July 2023 the then Minister for Employment and Workplace Relations, the Hon Tony Burke MP, announced the appointment of 12 representatives to the NCIF from:</w:t>
      </w:r>
    </w:p>
    <w:p w14:paraId="36E43879" w14:textId="26CBE9F0" w:rsidR="00A148FE" w:rsidRPr="00167CB8" w:rsidRDefault="00A148FE" w:rsidP="00EA3E2F">
      <w:pPr>
        <w:pStyle w:val="ListBullet"/>
      </w:pPr>
      <w:r w:rsidRPr="00167CB8">
        <w:t>Housing Industry Association</w:t>
      </w:r>
      <w:r w:rsidR="00246589" w:rsidRPr="00167CB8">
        <w:t xml:space="preserve"> (HIA)</w:t>
      </w:r>
    </w:p>
    <w:p w14:paraId="6C574F00" w14:textId="5ABEF963" w:rsidR="00A148FE" w:rsidRPr="00167CB8" w:rsidRDefault="00A148FE" w:rsidP="00EA3E2F">
      <w:pPr>
        <w:pStyle w:val="ListBullet"/>
      </w:pPr>
      <w:r w:rsidRPr="00167CB8">
        <w:t>National Electrical and Communications Association</w:t>
      </w:r>
      <w:r w:rsidR="00246589" w:rsidRPr="00167CB8">
        <w:t xml:space="preserve"> (NECA)</w:t>
      </w:r>
    </w:p>
    <w:p w14:paraId="6C7E930E" w14:textId="77777777" w:rsidR="00A148FE" w:rsidRPr="00167CB8" w:rsidRDefault="00A148FE" w:rsidP="00EA3E2F">
      <w:pPr>
        <w:pStyle w:val="ListBullet"/>
      </w:pPr>
      <w:r w:rsidRPr="00167CB8">
        <w:t>Dexus Funds Management and the Property Council of Australia</w:t>
      </w:r>
    </w:p>
    <w:p w14:paraId="4EDC7B31" w14:textId="77777777" w:rsidR="00A148FE" w:rsidRPr="00167CB8" w:rsidRDefault="00A148FE" w:rsidP="00EA3E2F">
      <w:pPr>
        <w:pStyle w:val="ListBullet"/>
      </w:pPr>
      <w:r w:rsidRPr="00167CB8">
        <w:t>Australian Owned Contractors</w:t>
      </w:r>
    </w:p>
    <w:p w14:paraId="7B6EF16C" w14:textId="673AC77B" w:rsidR="00A148FE" w:rsidRPr="00167CB8" w:rsidRDefault="00A148FE" w:rsidP="00EA3E2F">
      <w:pPr>
        <w:pStyle w:val="ListBullet"/>
      </w:pPr>
      <w:r w:rsidRPr="00167CB8">
        <w:t>Australian Constructors Association</w:t>
      </w:r>
      <w:r w:rsidR="001A66D6" w:rsidRPr="00167CB8">
        <w:t xml:space="preserve"> (ACA)</w:t>
      </w:r>
    </w:p>
    <w:p w14:paraId="6A30A847" w14:textId="77777777" w:rsidR="00A148FE" w:rsidRPr="00167CB8" w:rsidRDefault="00A148FE" w:rsidP="00EA3E2F">
      <w:pPr>
        <w:pStyle w:val="ListBullet"/>
      </w:pPr>
      <w:r w:rsidRPr="00167CB8">
        <w:lastRenderedPageBreak/>
        <w:t>Roberts Co</w:t>
      </w:r>
      <w:r w:rsidRPr="00167CB8" w:rsidDel="00D9794E">
        <w:t>.</w:t>
      </w:r>
    </w:p>
    <w:p w14:paraId="67B4A94C" w14:textId="77777777" w:rsidR="00A148FE" w:rsidRPr="00167CB8" w:rsidRDefault="00A148FE" w:rsidP="00EA3E2F">
      <w:pPr>
        <w:pStyle w:val="ListBullet"/>
      </w:pPr>
      <w:r w:rsidRPr="00167CB8">
        <w:t>Construction, Forestry, Maritime, Mining and Energy Union (CFMEU)</w:t>
      </w:r>
    </w:p>
    <w:p w14:paraId="18CFABF8" w14:textId="77777777" w:rsidR="00A148FE" w:rsidRPr="00167CB8" w:rsidRDefault="00A148FE" w:rsidP="00EA3E2F">
      <w:pPr>
        <w:pStyle w:val="ListBullet"/>
      </w:pPr>
      <w:r w:rsidRPr="00167CB8">
        <w:t>Australian Workers’ Union (AWU)</w:t>
      </w:r>
    </w:p>
    <w:p w14:paraId="7204F706" w14:textId="0C4C10D9" w:rsidR="00A148FE" w:rsidRPr="00167CB8" w:rsidRDefault="00A148FE" w:rsidP="00EA3E2F">
      <w:pPr>
        <w:pStyle w:val="ListBullet"/>
      </w:pPr>
      <w:r w:rsidRPr="00167CB8">
        <w:t>Australian Manufacturing Workers’ Union</w:t>
      </w:r>
      <w:r w:rsidR="00246589" w:rsidRPr="00167CB8">
        <w:t xml:space="preserve"> (AMWU)</w:t>
      </w:r>
    </w:p>
    <w:p w14:paraId="05DF0B73" w14:textId="50F5A05B" w:rsidR="00A148FE" w:rsidRPr="00167CB8" w:rsidRDefault="00A148FE" w:rsidP="00EA3E2F">
      <w:pPr>
        <w:pStyle w:val="ListBullet"/>
      </w:pPr>
      <w:r w:rsidRPr="00167CB8">
        <w:t>Electrical Trades Union (ETU)</w:t>
      </w:r>
      <w:r w:rsidR="00D95AE5" w:rsidRPr="00167CB8">
        <w:t>.</w:t>
      </w:r>
      <w:r w:rsidRPr="00167CB8">
        <w:rPr>
          <w:vertAlign w:val="superscript"/>
        </w:rPr>
        <w:footnoteReference w:id="127"/>
      </w:r>
    </w:p>
    <w:p w14:paraId="58C6FEBC" w14:textId="639651AA" w:rsidR="00A148FE" w:rsidRPr="00167CB8" w:rsidRDefault="00A148FE" w:rsidP="00A148FE">
      <w:r w:rsidRPr="00167CB8">
        <w:t>The NCIF held its first meeting on 20 October 2023, and meetings have subsequently been held on 23 February 2024</w:t>
      </w:r>
      <w:r w:rsidR="00540821" w:rsidRPr="00167CB8">
        <w:t xml:space="preserve"> and </w:t>
      </w:r>
      <w:r w:rsidRPr="00167CB8">
        <w:t xml:space="preserve">16 October 2024. The NCIF has established </w:t>
      </w:r>
      <w:r w:rsidR="00D9794E" w:rsidRPr="00167CB8">
        <w:t xml:space="preserve">2 </w:t>
      </w:r>
      <w:r w:rsidRPr="00167CB8">
        <w:t>subcommittees</w:t>
      </w:r>
      <w:r w:rsidR="00D9794E" w:rsidRPr="00167CB8">
        <w:t xml:space="preserve"> </w:t>
      </w:r>
      <w:r w:rsidRPr="00167CB8">
        <w:t>– the Gender Equity Subcommittee (which considers gender equity in the construction sector) and the Financial Viability Subcommittee (which considers financial viability in the construction sector).</w:t>
      </w:r>
      <w:r w:rsidRPr="00167CB8">
        <w:rPr>
          <w:vertAlign w:val="superscript"/>
        </w:rPr>
        <w:footnoteReference w:id="128"/>
      </w:r>
      <w:r w:rsidRPr="00167CB8">
        <w:t xml:space="preserve"> The </w:t>
      </w:r>
      <w:r w:rsidR="00D9794E" w:rsidRPr="00167CB8">
        <w:t>t</w:t>
      </w:r>
      <w:r w:rsidRPr="00167CB8">
        <w:t xml:space="preserve">erms of </w:t>
      </w:r>
      <w:r w:rsidR="00D9794E" w:rsidRPr="00167CB8">
        <w:t>r</w:t>
      </w:r>
      <w:r w:rsidRPr="00167CB8">
        <w:t>eference for the NCIF largely reflect the legislative requirements of the NCIF.</w:t>
      </w:r>
      <w:r w:rsidRPr="00167CB8">
        <w:rPr>
          <w:vertAlign w:val="superscript"/>
        </w:rPr>
        <w:footnoteReference w:id="129"/>
      </w:r>
      <w:r w:rsidRPr="00167CB8">
        <w:t xml:space="preserve"> They were endorsed by NCIF members on 20 October 2023.  </w:t>
      </w:r>
    </w:p>
    <w:p w14:paraId="652768D5" w14:textId="50E3A643" w:rsidR="00A148FE" w:rsidRPr="00167CB8" w:rsidRDefault="00A148FE" w:rsidP="00A148FE">
      <w:r w:rsidRPr="00167CB8">
        <w:t>In September 2024</w:t>
      </w:r>
      <w:r w:rsidR="00D9794E" w:rsidRPr="00167CB8">
        <w:t xml:space="preserve"> the</w:t>
      </w:r>
      <w:r w:rsidRPr="00167CB8">
        <w:t xml:space="preserve"> Minister for Employment and Workplace Relations, </w:t>
      </w:r>
      <w:r w:rsidR="00D95AE5" w:rsidRPr="00167CB8">
        <w:t xml:space="preserve">Senator </w:t>
      </w:r>
      <w:r w:rsidRPr="00167CB8">
        <w:t xml:space="preserve">the Hon Murray Watt, announced that the NCIF would be </w:t>
      </w:r>
      <w:r w:rsidR="00D9794E" w:rsidRPr="00167CB8">
        <w:t>‘</w:t>
      </w:r>
      <w:r w:rsidRPr="00167CB8">
        <w:t>reinvigorated</w:t>
      </w:r>
      <w:r w:rsidR="00D9794E" w:rsidRPr="00167CB8">
        <w:t>’</w:t>
      </w:r>
      <w:r w:rsidRPr="00167CB8">
        <w:t xml:space="preserve"> to change the culture of the construction industry </w:t>
      </w:r>
      <w:r w:rsidR="00CB0CA0" w:rsidRPr="00167CB8">
        <w:t>and to</w:t>
      </w:r>
      <w:r w:rsidRPr="00167CB8">
        <w:t xml:space="preserve"> build cooperation, not conflict, and an industry that works for everyone.</w:t>
      </w:r>
      <w:r w:rsidRPr="00167CB8">
        <w:rPr>
          <w:vertAlign w:val="superscript"/>
        </w:rPr>
        <w:footnoteReference w:id="130"/>
      </w:r>
      <w:r w:rsidRPr="00167CB8">
        <w:t xml:space="preserve"> He also announced the NCIF membership would be broadened through the addition of Master Builders Australia </w:t>
      </w:r>
      <w:r w:rsidR="00D9794E" w:rsidRPr="00167CB8">
        <w:t xml:space="preserve">(MBA) </w:t>
      </w:r>
      <w:r w:rsidRPr="00167CB8">
        <w:t>and the Civil Contractors Federation.</w:t>
      </w:r>
      <w:r w:rsidRPr="00167CB8">
        <w:rPr>
          <w:vertAlign w:val="superscript"/>
        </w:rPr>
        <w:footnoteReference w:id="131"/>
      </w:r>
      <w:r w:rsidRPr="00167CB8">
        <w:t xml:space="preserve"> </w:t>
      </w:r>
    </w:p>
    <w:p w14:paraId="33ED9ADB" w14:textId="7650887E" w:rsidR="00A148FE" w:rsidRPr="00167CB8" w:rsidRDefault="00A148FE" w:rsidP="00A148FE">
      <w:r w:rsidRPr="00167CB8">
        <w:t xml:space="preserve">On appointment, the Civil Contractors Federation noted they were </w:t>
      </w:r>
      <w:r w:rsidR="00D9794E" w:rsidRPr="00167CB8">
        <w:t>‘</w:t>
      </w:r>
      <w:r w:rsidRPr="00167CB8">
        <w:t>pleased to have been appointed to the NCIF</w:t>
      </w:r>
      <w:r w:rsidR="00D9794E" w:rsidRPr="00167CB8">
        <w:t>’</w:t>
      </w:r>
      <w:r w:rsidRPr="00167CB8">
        <w:t xml:space="preserve"> and </w:t>
      </w:r>
      <w:r w:rsidR="00D9794E" w:rsidRPr="00167CB8">
        <w:t>‘</w:t>
      </w:r>
      <w:r w:rsidRPr="00167CB8">
        <w:t xml:space="preserve">[b]ringing together all key construction stakeholders must be the starting point for the </w:t>
      </w:r>
      <w:r w:rsidR="00CE606C" w:rsidRPr="00167CB8">
        <w:t xml:space="preserve">Australian </w:t>
      </w:r>
      <w:r w:rsidRPr="00167CB8">
        <w:t>Government to advance necessary reforms that are urgently needed</w:t>
      </w:r>
      <w:r w:rsidR="00D9794E" w:rsidRPr="00167CB8">
        <w:t>’</w:t>
      </w:r>
      <w:r w:rsidRPr="00167CB8">
        <w:t>.</w:t>
      </w:r>
      <w:r w:rsidRPr="00167CB8">
        <w:rPr>
          <w:vertAlign w:val="superscript"/>
        </w:rPr>
        <w:footnoteReference w:id="132"/>
      </w:r>
      <w:r w:rsidRPr="00167CB8">
        <w:t xml:space="preserve"> </w:t>
      </w:r>
      <w:r w:rsidR="003B46A0" w:rsidRPr="00167CB8">
        <w:t>MBA</w:t>
      </w:r>
      <w:r w:rsidRPr="00167CB8">
        <w:t xml:space="preserve"> noted that their appointment to the NCIF </w:t>
      </w:r>
      <w:r w:rsidR="004C1BF2" w:rsidRPr="00167CB8">
        <w:t>w</w:t>
      </w:r>
      <w:r w:rsidRPr="00167CB8">
        <w:t>as a positive step in tackling key industry challenges</w:t>
      </w:r>
      <w:r w:rsidR="00D95AE5" w:rsidRPr="00167CB8">
        <w:t>. It stated</w:t>
      </w:r>
      <w:r w:rsidRPr="00167CB8">
        <w:t xml:space="preserve"> that </w:t>
      </w:r>
      <w:r w:rsidR="00D9794E" w:rsidRPr="00167CB8">
        <w:t>‘</w:t>
      </w:r>
      <w:r w:rsidRPr="00167CB8">
        <w:t>[i]t’s important that all key stakeholders are around the table to discuss and progress reforms in relation to the massive issues facing the industry</w:t>
      </w:r>
      <w:r w:rsidR="00D9794E" w:rsidRPr="00167CB8">
        <w:t>’</w:t>
      </w:r>
      <w:r w:rsidRPr="00167CB8">
        <w:t xml:space="preserve"> and </w:t>
      </w:r>
      <w:r w:rsidR="00603B96" w:rsidRPr="00167CB8">
        <w:t>‘</w:t>
      </w:r>
      <w:r w:rsidRPr="00167CB8">
        <w:t>[t]his is the opportunity for meaningful and positive change in the industry</w:t>
      </w:r>
      <w:r w:rsidR="00603B96" w:rsidRPr="00167CB8">
        <w:t>’</w:t>
      </w:r>
      <w:r w:rsidRPr="00167CB8">
        <w:t>.</w:t>
      </w:r>
      <w:r w:rsidRPr="00167CB8">
        <w:rPr>
          <w:vertAlign w:val="superscript"/>
        </w:rPr>
        <w:footnoteReference w:id="133"/>
      </w:r>
      <w:r w:rsidRPr="00167CB8">
        <w:t xml:space="preserve"> </w:t>
      </w:r>
    </w:p>
    <w:p w14:paraId="3D5A977B" w14:textId="0022259C" w:rsidR="00A148FE" w:rsidRPr="00167CB8" w:rsidRDefault="00A148FE" w:rsidP="00A148FE">
      <w:r w:rsidRPr="00167CB8">
        <w:t>An NCIF meeting was subsequently held</w:t>
      </w:r>
      <w:r w:rsidR="00603B96" w:rsidRPr="00167CB8">
        <w:t>,</w:t>
      </w:r>
      <w:r w:rsidRPr="00167CB8">
        <w:t xml:space="preserve"> on 16 October 2024</w:t>
      </w:r>
      <w:r w:rsidR="00603B96" w:rsidRPr="00167CB8">
        <w:t>,</w:t>
      </w:r>
      <w:r w:rsidRPr="00167CB8">
        <w:t xml:space="preserve"> that discussed collaboratively identifying the key challenges for the sector and using that to underpin a Building and Construction Industry Blueprint </w:t>
      </w:r>
      <w:r w:rsidR="00465C1C" w:rsidRPr="00167CB8">
        <w:t xml:space="preserve">(Blueprint) </w:t>
      </w:r>
      <w:r w:rsidRPr="00167CB8">
        <w:t xml:space="preserve">that will </w:t>
      </w:r>
      <w:r w:rsidR="00603B96" w:rsidRPr="00167CB8">
        <w:t>‘</w:t>
      </w:r>
      <w:r w:rsidRPr="00167CB8">
        <w:t xml:space="preserve">[i]dentify and prioritise the industry’s key </w:t>
      </w:r>
      <w:r w:rsidRPr="00167CB8">
        <w:lastRenderedPageBreak/>
        <w:t>challenges and develop a staged workplan for the Forum to consider appropriate solutions</w:t>
      </w:r>
      <w:r w:rsidR="00603B96" w:rsidRPr="00167CB8">
        <w:t>’</w:t>
      </w:r>
      <w:r w:rsidRPr="00167CB8">
        <w:t>.</w:t>
      </w:r>
      <w:r w:rsidRPr="00167CB8">
        <w:rPr>
          <w:vertAlign w:val="superscript"/>
        </w:rPr>
        <w:footnoteReference w:id="134"/>
      </w:r>
      <w:r w:rsidRPr="00167CB8">
        <w:t xml:space="preserve"> This will include the issue of industry culture.</w:t>
      </w:r>
      <w:r w:rsidRPr="00167CB8">
        <w:rPr>
          <w:vertAlign w:val="superscript"/>
        </w:rPr>
        <w:footnoteReference w:id="135"/>
      </w:r>
      <w:r w:rsidRPr="00167CB8">
        <w:t xml:space="preserve"> The </w:t>
      </w:r>
      <w:r w:rsidR="008B157B" w:rsidRPr="00167CB8">
        <w:t>B</w:t>
      </w:r>
      <w:r w:rsidRPr="00167CB8">
        <w:t xml:space="preserve">lueprint will be developed within </w:t>
      </w:r>
      <w:r w:rsidR="00603B96" w:rsidRPr="00167CB8">
        <w:t xml:space="preserve">6 </w:t>
      </w:r>
      <w:r w:rsidRPr="00167CB8">
        <w:t xml:space="preserve">months </w:t>
      </w:r>
      <w:r w:rsidR="00603B96" w:rsidRPr="00167CB8">
        <w:t>(</w:t>
      </w:r>
      <w:r w:rsidR="00446661" w:rsidRPr="00167CB8">
        <w:t>from October 2024</w:t>
      </w:r>
      <w:r w:rsidR="00603B96" w:rsidRPr="00167CB8">
        <w:t>)</w:t>
      </w:r>
      <w:r w:rsidRPr="00167CB8">
        <w:t xml:space="preserve"> and will complement existing work </w:t>
      </w:r>
      <w:r w:rsidR="00985151" w:rsidRPr="00167CB8">
        <w:t>underway.</w:t>
      </w:r>
      <w:r w:rsidR="00895560" w:rsidRPr="00167CB8">
        <w:t xml:space="preserve"> </w:t>
      </w:r>
    </w:p>
    <w:p w14:paraId="57720DF1" w14:textId="390981A0" w:rsidR="00A148FE" w:rsidRPr="00167CB8" w:rsidRDefault="00A148FE" w:rsidP="00A148FE">
      <w:r w:rsidRPr="00167CB8">
        <w:t>On 21 November</w:t>
      </w:r>
      <w:r w:rsidR="00895560" w:rsidRPr="00167CB8">
        <w:t xml:space="preserve"> 2024</w:t>
      </w:r>
      <w:r w:rsidRPr="00167CB8">
        <w:t xml:space="preserve"> </w:t>
      </w:r>
      <w:r w:rsidR="00C23A9C" w:rsidRPr="00167CB8">
        <w:t xml:space="preserve">the </w:t>
      </w:r>
      <w:r w:rsidRPr="00167CB8">
        <w:t>Minister</w:t>
      </w:r>
      <w:r w:rsidR="00C23A9C" w:rsidRPr="00167CB8">
        <w:t xml:space="preserve"> for Employment and Workplace Relations, </w:t>
      </w:r>
      <w:r w:rsidR="00AC0BA2" w:rsidRPr="00167CB8">
        <w:t>Senator the Hon Murray</w:t>
      </w:r>
      <w:r w:rsidRPr="00167CB8">
        <w:t xml:space="preserve"> Watt</w:t>
      </w:r>
      <w:r w:rsidR="00CE525B" w:rsidRPr="00167CB8">
        <w:t>,</w:t>
      </w:r>
      <w:r w:rsidRPr="00167CB8">
        <w:t xml:space="preserve"> announced that the </w:t>
      </w:r>
      <w:r w:rsidR="00CE606C" w:rsidRPr="00167CB8">
        <w:t xml:space="preserve">Australian </w:t>
      </w:r>
      <w:r w:rsidRPr="00167CB8">
        <w:t xml:space="preserve">Government had appointed Dr Rod Harrison, a former Deputy President of the Australian Industrial Relations Commission and the NSW Industrial Relations Commission, to assist members with developing the </w:t>
      </w:r>
      <w:r w:rsidR="00BD7882" w:rsidRPr="00167CB8">
        <w:t>B</w:t>
      </w:r>
      <w:r w:rsidRPr="00167CB8">
        <w:t>lueprint.</w:t>
      </w:r>
      <w:r w:rsidRPr="00167CB8">
        <w:rPr>
          <w:vertAlign w:val="superscript"/>
        </w:rPr>
        <w:footnoteReference w:id="136"/>
      </w:r>
      <w:r w:rsidRPr="00167CB8">
        <w:t xml:space="preserve">  </w:t>
      </w:r>
    </w:p>
    <w:p w14:paraId="4D8DC299" w14:textId="4AB42D76" w:rsidR="00A148FE" w:rsidRPr="00167CB8" w:rsidRDefault="00A148FE" w:rsidP="00A148FE">
      <w:r w:rsidRPr="00167CB8">
        <w:t xml:space="preserve">Minister Watt also noted that the NCIF </w:t>
      </w:r>
      <w:r w:rsidR="00603B96" w:rsidRPr="00167CB8">
        <w:t>‘</w:t>
      </w:r>
      <w:r w:rsidRPr="00167CB8">
        <w:t>agreed that real long-term change must come from, and be driven by, the building and construction industry itself, with the support of government</w:t>
      </w:r>
      <w:r w:rsidR="00603B96" w:rsidRPr="00167CB8">
        <w:t>’</w:t>
      </w:r>
      <w:r w:rsidRPr="00167CB8">
        <w:t xml:space="preserve"> and </w:t>
      </w:r>
      <w:r w:rsidR="00235413" w:rsidRPr="00167CB8">
        <w:t>reinforced that</w:t>
      </w:r>
      <w:r w:rsidR="00603B96" w:rsidRPr="00167CB8">
        <w:t>,</w:t>
      </w:r>
      <w:r w:rsidR="00235413" w:rsidRPr="00167CB8">
        <w:t xml:space="preserve"> </w:t>
      </w:r>
      <w:r w:rsidRPr="00167CB8">
        <w:t xml:space="preserve">to meet the objectives of creating lasting and tangible change within the industry, </w:t>
      </w:r>
      <w:r w:rsidR="00826403" w:rsidRPr="00167CB8">
        <w:t>cooperation is required</w:t>
      </w:r>
      <w:r w:rsidRPr="00167CB8">
        <w:t>.</w:t>
      </w:r>
      <w:r w:rsidRPr="00167CB8">
        <w:rPr>
          <w:vertAlign w:val="superscript"/>
        </w:rPr>
        <w:footnoteReference w:id="137"/>
      </w:r>
      <w:r w:rsidRPr="00167CB8">
        <w:t xml:space="preserve"> Minister Watt noted that </w:t>
      </w:r>
      <w:r w:rsidR="00603B96" w:rsidRPr="00167CB8">
        <w:t>‘</w:t>
      </w:r>
      <w:r w:rsidRPr="00167CB8">
        <w:t>[w]orking together to address the persistent challenges facing [the] industry is key to ensuring it is an industry that works for everyone</w:t>
      </w:r>
      <w:r w:rsidR="00603B96" w:rsidRPr="00167CB8">
        <w:t>’</w:t>
      </w:r>
      <w:r w:rsidRPr="00167CB8">
        <w:t>.</w:t>
      </w:r>
      <w:r w:rsidRPr="00167CB8">
        <w:rPr>
          <w:vertAlign w:val="superscript"/>
        </w:rPr>
        <w:footnoteReference w:id="138"/>
      </w:r>
      <w:r w:rsidRPr="00167CB8">
        <w:t xml:space="preserve"> </w:t>
      </w:r>
    </w:p>
    <w:p w14:paraId="526F3E93" w14:textId="2708BBEC" w:rsidR="00A148FE" w:rsidRPr="00167CB8" w:rsidRDefault="00A148FE" w:rsidP="00A148FE">
      <w:r w:rsidRPr="00167CB8">
        <w:t xml:space="preserve">To these ends, the Review Panel notes former </w:t>
      </w:r>
      <w:r w:rsidR="00D95AE5" w:rsidRPr="00167CB8">
        <w:t xml:space="preserve">Deputy President </w:t>
      </w:r>
      <w:r w:rsidRPr="00167CB8">
        <w:t xml:space="preserve">Harrison’s experience in promoting cooperation on large-scale construction projects in the Hunter region. </w:t>
      </w:r>
      <w:r w:rsidR="00E80144" w:rsidRPr="00167CB8">
        <w:t xml:space="preserve">The Review Panel </w:t>
      </w:r>
      <w:r w:rsidR="00603B96" w:rsidRPr="00167CB8">
        <w:t xml:space="preserve">is </w:t>
      </w:r>
      <w:r w:rsidRPr="00167CB8">
        <w:t>not privy to any future outcomes of the NCIF relating to the Blueprint</w:t>
      </w:r>
      <w:r w:rsidR="00603B96" w:rsidRPr="00167CB8">
        <w:t>;</w:t>
      </w:r>
      <w:r w:rsidRPr="00167CB8">
        <w:t xml:space="preserve"> </w:t>
      </w:r>
      <w:r w:rsidR="009B5D5E" w:rsidRPr="00167CB8">
        <w:t>however</w:t>
      </w:r>
      <w:r w:rsidR="00603B96" w:rsidRPr="00167CB8">
        <w:t>,</w:t>
      </w:r>
      <w:r w:rsidR="009B5D5E" w:rsidRPr="00167CB8">
        <w:t xml:space="preserve"> </w:t>
      </w:r>
      <w:r w:rsidR="00603B96" w:rsidRPr="00167CB8">
        <w:t xml:space="preserve">it </w:t>
      </w:r>
      <w:r w:rsidRPr="00167CB8">
        <w:t>believe</w:t>
      </w:r>
      <w:r w:rsidR="00603B96" w:rsidRPr="00167CB8">
        <w:t>s</w:t>
      </w:r>
      <w:r w:rsidRPr="00167CB8">
        <w:t xml:space="preserve"> this experience, </w:t>
      </w:r>
      <w:r w:rsidR="004D35CC" w:rsidRPr="00167CB8">
        <w:t>which</w:t>
      </w:r>
      <w:r w:rsidRPr="00167CB8">
        <w:t xml:space="preserve"> includes using the </w:t>
      </w:r>
      <w:r w:rsidR="00D95AE5" w:rsidRPr="00167CB8">
        <w:t>Fair Work Commission (</w:t>
      </w:r>
      <w:r w:rsidRPr="00167CB8">
        <w:t>FWC</w:t>
      </w:r>
      <w:r w:rsidR="00D95AE5" w:rsidRPr="00167CB8">
        <w:t>)</w:t>
      </w:r>
      <w:r w:rsidRPr="00167CB8">
        <w:t xml:space="preserve"> to provide onsite industrial relations leadership and discipline amongst the parties on large projects</w:t>
      </w:r>
      <w:r w:rsidR="006E64FB" w:rsidRPr="00167CB8">
        <w:t>,</w:t>
      </w:r>
      <w:r w:rsidR="00826403" w:rsidRPr="00167CB8">
        <w:t xml:space="preserve"> </w:t>
      </w:r>
      <w:r w:rsidRPr="00167CB8">
        <w:t>offers great potential.</w:t>
      </w:r>
      <w:r w:rsidRPr="00167CB8">
        <w:rPr>
          <w:rStyle w:val="FootnoteReference"/>
        </w:rPr>
        <w:footnoteReference w:id="139"/>
      </w:r>
      <w:r w:rsidRPr="00167CB8">
        <w:t xml:space="preserve"> </w:t>
      </w:r>
    </w:p>
    <w:p w14:paraId="10C062D3" w14:textId="20291205" w:rsidR="00A148FE" w:rsidRPr="00167CB8" w:rsidRDefault="003220B5" w:rsidP="00A148FE">
      <w:pPr>
        <w:pStyle w:val="Heading5"/>
        <w:rPr>
          <w:rFonts w:asciiTheme="minorHAnsi" w:hAnsiTheme="minorHAnsi"/>
        </w:rPr>
      </w:pPr>
      <w:bookmarkStart w:id="82" w:name="_Toc187421580"/>
      <w:bookmarkStart w:id="83" w:name="_Toc187946383"/>
      <w:r w:rsidRPr="00167CB8">
        <w:rPr>
          <w:rFonts w:asciiTheme="minorHAnsi" w:hAnsiTheme="minorHAnsi"/>
        </w:rPr>
        <w:t>5</w:t>
      </w:r>
      <w:r w:rsidR="007B644C" w:rsidRPr="00167CB8">
        <w:rPr>
          <w:rFonts w:asciiTheme="minorHAnsi" w:hAnsiTheme="minorHAnsi"/>
        </w:rPr>
        <w:t>.2.3</w:t>
      </w:r>
      <w:r w:rsidR="00A148FE" w:rsidRPr="00167CB8">
        <w:rPr>
          <w:rFonts w:asciiTheme="minorHAnsi" w:hAnsiTheme="minorHAnsi"/>
        </w:rPr>
        <w:t xml:space="preserve"> Stakeholder views</w:t>
      </w:r>
      <w:bookmarkEnd w:id="82"/>
      <w:bookmarkEnd w:id="83"/>
    </w:p>
    <w:p w14:paraId="3F9BEED3" w14:textId="77777777" w:rsidR="00A148FE" w:rsidRPr="00167CB8" w:rsidRDefault="00A148FE" w:rsidP="00A148FE">
      <w:r w:rsidRPr="00167CB8">
        <w:t xml:space="preserve">Employee organisations did not provide any views on the NCIF in their submissions to the Review. </w:t>
      </w:r>
    </w:p>
    <w:p w14:paraId="5C25FB01" w14:textId="151E0BAD" w:rsidR="00A148FE" w:rsidRPr="00167CB8" w:rsidRDefault="00A148FE" w:rsidP="00A148FE">
      <w:r w:rsidRPr="00167CB8">
        <w:t>Employer</w:t>
      </w:r>
      <w:r w:rsidRPr="00167CB8" w:rsidDel="005B7B62">
        <w:t xml:space="preserve"> </w:t>
      </w:r>
      <w:r w:rsidR="005B7B62" w:rsidRPr="00167CB8">
        <w:t xml:space="preserve">associations </w:t>
      </w:r>
      <w:r w:rsidRPr="00167CB8">
        <w:t xml:space="preserve">provided mixed views on the NCIF. In their submission, HIA and </w:t>
      </w:r>
      <w:r w:rsidR="00D95AE5" w:rsidRPr="00167CB8">
        <w:t>the Australian Chamber of Commerce and Industry (</w:t>
      </w:r>
      <w:r w:rsidRPr="00167CB8">
        <w:t>ACCI</w:t>
      </w:r>
      <w:r w:rsidR="00D95AE5" w:rsidRPr="00167CB8">
        <w:t>)</w:t>
      </w:r>
      <w:r w:rsidRPr="00167CB8">
        <w:t xml:space="preserve"> were supportive of the NCIF</w:t>
      </w:r>
      <w:r w:rsidR="003A16B5" w:rsidRPr="00167CB8">
        <w:t>;</w:t>
      </w:r>
      <w:r w:rsidRPr="00167CB8">
        <w:t xml:space="preserve"> however</w:t>
      </w:r>
      <w:r w:rsidR="003A16B5" w:rsidRPr="00167CB8">
        <w:t>,</w:t>
      </w:r>
      <w:r w:rsidRPr="00167CB8">
        <w:t xml:space="preserve"> they did not see it as a replacement for </w:t>
      </w:r>
      <w:r w:rsidR="00DE0C65" w:rsidRPr="00167CB8">
        <w:t>an industry-specific regulator</w:t>
      </w:r>
      <w:r w:rsidRPr="00167CB8">
        <w:t>. Rather, they see the NCIF as an institution that would work well in parallel with the ABCC and Building Code.</w:t>
      </w:r>
      <w:r w:rsidRPr="00167CB8">
        <w:rPr>
          <w:vertAlign w:val="superscript"/>
        </w:rPr>
        <w:footnoteReference w:id="140"/>
      </w:r>
      <w:r w:rsidRPr="00167CB8">
        <w:t xml:space="preserve"> </w:t>
      </w:r>
      <w:r w:rsidRPr="00167CB8">
        <w:rPr>
          <w:vertAlign w:val="superscript"/>
        </w:rPr>
        <w:footnoteReference w:id="141"/>
      </w:r>
    </w:p>
    <w:p w14:paraId="381B33D9" w14:textId="2EE9DE8C" w:rsidR="00A148FE" w:rsidRPr="00167CB8" w:rsidRDefault="00A148FE" w:rsidP="00A148FE">
      <w:r w:rsidRPr="00167CB8">
        <w:lastRenderedPageBreak/>
        <w:t>In contrast, Ai Group submit</w:t>
      </w:r>
      <w:r w:rsidR="00D95AE5" w:rsidRPr="00167CB8">
        <w:t>ted</w:t>
      </w:r>
      <w:r w:rsidRPr="00167CB8">
        <w:t xml:space="preserve"> that it was at best premature to form a view on the effectiveness on the NCIF.</w:t>
      </w:r>
      <w:r w:rsidRPr="00167CB8">
        <w:rPr>
          <w:vertAlign w:val="superscript"/>
        </w:rPr>
        <w:footnoteReference w:id="142"/>
      </w:r>
      <w:r w:rsidRPr="00167CB8">
        <w:t xml:space="preserve"> </w:t>
      </w:r>
      <w:r w:rsidR="00D95AE5" w:rsidRPr="00167CB8">
        <w:t xml:space="preserve">It </w:t>
      </w:r>
      <w:r w:rsidRPr="00167CB8">
        <w:t>stated that, given the CFMEU’s behaviour, current workplace relations laws (including those that established the NCIF) are blatantly inadequate for addressing issues in the construction industry.</w:t>
      </w:r>
      <w:r w:rsidRPr="00167CB8">
        <w:rPr>
          <w:vertAlign w:val="superscript"/>
        </w:rPr>
        <w:footnoteReference w:id="143"/>
      </w:r>
      <w:r w:rsidRPr="00167CB8">
        <w:t xml:space="preserve"> </w:t>
      </w:r>
    </w:p>
    <w:p w14:paraId="06A0E78C" w14:textId="17C8EC3E" w:rsidR="00A148FE" w:rsidRPr="00167CB8" w:rsidRDefault="00CF4D72" w:rsidP="00A148FE">
      <w:r w:rsidRPr="00167CB8">
        <w:t>MBA</w:t>
      </w:r>
      <w:r w:rsidR="00A148FE" w:rsidRPr="00167CB8">
        <w:t xml:space="preserve"> stated that the NCIF was welcomed by industry and noted its appointment to the NCIF and the development of the industry Blueprint.</w:t>
      </w:r>
      <w:r w:rsidR="00A148FE" w:rsidRPr="00167CB8">
        <w:rPr>
          <w:rStyle w:val="FootnoteReference"/>
        </w:rPr>
        <w:footnoteReference w:id="144"/>
      </w:r>
      <w:r w:rsidR="00A148FE" w:rsidRPr="00167CB8">
        <w:t xml:space="preserve"> It recommended the NCIF remain in operation and </w:t>
      </w:r>
      <w:r w:rsidR="003A16B5" w:rsidRPr="00167CB8">
        <w:t>‘</w:t>
      </w:r>
      <w:r w:rsidR="00A148FE" w:rsidRPr="00167CB8">
        <w:t>[t]hat Government ensure necessary and appropriate funding appropriations are given to the Forum, to enable and support its work and functions</w:t>
      </w:r>
      <w:r w:rsidR="003A16B5" w:rsidRPr="00167CB8">
        <w:t>’</w:t>
      </w:r>
      <w:r w:rsidR="00A148FE" w:rsidRPr="00167CB8">
        <w:t>.</w:t>
      </w:r>
      <w:r w:rsidR="00A148FE" w:rsidRPr="00167CB8">
        <w:rPr>
          <w:vertAlign w:val="superscript"/>
        </w:rPr>
        <w:footnoteReference w:id="145"/>
      </w:r>
      <w:r w:rsidR="00A148FE" w:rsidRPr="00167CB8">
        <w:t xml:space="preserve"> </w:t>
      </w:r>
    </w:p>
    <w:p w14:paraId="65DFA5EC" w14:textId="3261CD74" w:rsidR="00A148FE" w:rsidRPr="00167CB8" w:rsidRDefault="00A148FE" w:rsidP="00A148FE">
      <w:r w:rsidRPr="00167CB8">
        <w:t>It is telling that there is not significant criticism of the NCIF by stakeholders. The tripartite approach of the NCIF is key to building working relationships in the building and construction sector, understanding issues faced by the sector and providing advice to government. This is seen in the development of the Blueprint, which will bring together the sector to drive much</w:t>
      </w:r>
      <w:r w:rsidR="003A16B5" w:rsidRPr="00167CB8">
        <w:t>-</w:t>
      </w:r>
      <w:r w:rsidRPr="00167CB8">
        <w:t>needed long-term change in the industry.</w:t>
      </w:r>
      <w:r w:rsidRPr="00167CB8">
        <w:rPr>
          <w:vertAlign w:val="superscript"/>
        </w:rPr>
        <w:footnoteReference w:id="146"/>
      </w:r>
      <w:r w:rsidRPr="00167CB8">
        <w:t xml:space="preserve"> </w:t>
      </w:r>
    </w:p>
    <w:p w14:paraId="4FED3430" w14:textId="27E4D4ED" w:rsidR="00A148FE" w:rsidRPr="00167CB8" w:rsidRDefault="003220B5" w:rsidP="00A148FE">
      <w:pPr>
        <w:pStyle w:val="Heading4"/>
        <w:rPr>
          <w:rFonts w:asciiTheme="minorHAnsi" w:hAnsiTheme="minorHAnsi"/>
        </w:rPr>
      </w:pPr>
      <w:bookmarkStart w:id="84" w:name="_Toc187421581"/>
      <w:bookmarkStart w:id="85" w:name="_Toc187946384"/>
      <w:bookmarkStart w:id="86" w:name="_Toc188277913"/>
      <w:bookmarkStart w:id="87" w:name="_Toc189260206"/>
      <w:bookmarkStart w:id="88" w:name="_Toc189393522"/>
      <w:r w:rsidRPr="00167CB8">
        <w:rPr>
          <w:rFonts w:asciiTheme="minorHAnsi" w:hAnsiTheme="minorHAnsi"/>
        </w:rPr>
        <w:t>5</w:t>
      </w:r>
      <w:r w:rsidR="00C6528C" w:rsidRPr="00167CB8">
        <w:rPr>
          <w:rFonts w:asciiTheme="minorHAnsi" w:hAnsiTheme="minorHAnsi"/>
        </w:rPr>
        <w:t>.3</w:t>
      </w:r>
      <w:r w:rsidR="00A148FE" w:rsidRPr="00167CB8">
        <w:rPr>
          <w:rFonts w:asciiTheme="minorHAnsi" w:hAnsiTheme="minorHAnsi"/>
        </w:rPr>
        <w:t xml:space="preserve"> Findings </w:t>
      </w:r>
      <w:r w:rsidR="003A16B5" w:rsidRPr="00167CB8">
        <w:rPr>
          <w:rFonts w:asciiTheme="minorHAnsi" w:hAnsiTheme="minorHAnsi"/>
        </w:rPr>
        <w:t>and</w:t>
      </w:r>
      <w:r w:rsidR="00A148FE" w:rsidRPr="00167CB8">
        <w:rPr>
          <w:rFonts w:asciiTheme="minorHAnsi" w:hAnsiTheme="minorHAnsi"/>
        </w:rPr>
        <w:t xml:space="preserve"> </w:t>
      </w:r>
      <w:r w:rsidR="003A16B5" w:rsidRPr="00167CB8">
        <w:rPr>
          <w:rFonts w:asciiTheme="minorHAnsi" w:hAnsiTheme="minorHAnsi"/>
        </w:rPr>
        <w:t>r</w:t>
      </w:r>
      <w:r w:rsidR="00A148FE" w:rsidRPr="00167CB8">
        <w:rPr>
          <w:rFonts w:asciiTheme="minorHAnsi" w:hAnsiTheme="minorHAnsi"/>
        </w:rPr>
        <w:t>ecommendations</w:t>
      </w:r>
      <w:bookmarkEnd w:id="84"/>
      <w:bookmarkEnd w:id="85"/>
      <w:bookmarkEnd w:id="86"/>
      <w:bookmarkEnd w:id="87"/>
      <w:bookmarkEnd w:id="88"/>
    </w:p>
    <w:p w14:paraId="59F7ED07" w14:textId="1EDA8080" w:rsidR="00A148FE" w:rsidRPr="00167CB8" w:rsidRDefault="00A148FE" w:rsidP="00A148FE">
      <w:r w:rsidRPr="00167CB8">
        <w:t xml:space="preserve">The Review Panel finds that the </w:t>
      </w:r>
      <w:r w:rsidR="009B4D3B" w:rsidRPr="00167CB8">
        <w:t xml:space="preserve">Secure Jobs, Better Pay </w:t>
      </w:r>
      <w:r w:rsidRPr="00167CB8">
        <w:t xml:space="preserve">amendments that establish the NCIF are working as intended. </w:t>
      </w:r>
    </w:p>
    <w:p w14:paraId="174D0C59" w14:textId="5E2FDB04" w:rsidR="00A148FE" w:rsidRPr="00167CB8" w:rsidRDefault="00A148FE" w:rsidP="00A148FE">
      <w:r w:rsidRPr="00167CB8">
        <w:t xml:space="preserve">The NCIF is still in its infancy, so evidence is limited as to any impact on the building and construction </w:t>
      </w:r>
      <w:r w:rsidR="00F039B3" w:rsidRPr="00167CB8">
        <w:t>industry</w:t>
      </w:r>
      <w:r w:rsidRPr="00167CB8">
        <w:t>. However, the Review Panel is encouraged by the work of the NCIF in attempting to drive cultural change and cooperation in the industry, including the development of the Blueprint and the appointment of Dr Rod Harrison to assist with its development.</w:t>
      </w:r>
    </w:p>
    <w:p w14:paraId="01DF6DE7" w14:textId="6CF2146C" w:rsidR="00A148FE" w:rsidRPr="00167CB8" w:rsidRDefault="00A148FE" w:rsidP="00A148FE">
      <w:r w:rsidRPr="00167CB8">
        <w:t xml:space="preserve">The Review Panel agrees that a tripartite approach is key to building cooperation, understanding issues and providing advice to government on the sector. The Review Panel considers that the NCIF has the potential to drive a more conciliatory approach by all industry participants and to drive broader cultural change in the industry. </w:t>
      </w:r>
    </w:p>
    <w:p w14:paraId="7387F9E7" w14:textId="770ED24C" w:rsidR="00A148FE" w:rsidRPr="00167CB8" w:rsidRDefault="00A148FE" w:rsidP="00A148FE">
      <w:r w:rsidRPr="00167CB8">
        <w:t>The Review Panel is further encouraged by the lack of significant criticism for the NCIF. Given the broad issues in the sector and history of adversarialism in the sector, this indicates broad support for the NCIF.</w:t>
      </w:r>
    </w:p>
    <w:p w14:paraId="428AFB98" w14:textId="0EA6B023" w:rsidR="00A148FE" w:rsidRPr="00167CB8" w:rsidRDefault="00A148FE" w:rsidP="00A148FE">
      <w:r w:rsidRPr="00167CB8">
        <w:t>The Review Panel finds that the NCIF is operating as intended and is an appropriate institution to drive tripartism and cultural change.</w:t>
      </w:r>
    </w:p>
    <w:p w14:paraId="01CBE294" w14:textId="2BBFF260" w:rsidR="00663D4E" w:rsidRPr="00167CB8" w:rsidRDefault="00A148FE" w:rsidP="00A148FE">
      <w:r w:rsidRPr="00167CB8">
        <w:t xml:space="preserve">The Review Panel makes </w:t>
      </w:r>
      <w:r w:rsidR="003A16B5" w:rsidRPr="00167CB8">
        <w:t xml:space="preserve">2 </w:t>
      </w:r>
      <w:r w:rsidRPr="00167CB8">
        <w:t xml:space="preserve">recommendations in relation to the NCIF. </w:t>
      </w:r>
    </w:p>
    <w:p w14:paraId="69B7CA8D" w14:textId="77777777" w:rsidR="008142BF" w:rsidRPr="00167CB8" w:rsidRDefault="008142BF" w:rsidP="008142BF">
      <w:pPr>
        <w:rPr>
          <w:b/>
          <w:bCs/>
        </w:rPr>
      </w:pPr>
      <w:r w:rsidRPr="00167CB8">
        <w:rPr>
          <w:b/>
          <w:bCs/>
        </w:rPr>
        <w:t xml:space="preserve">Draft Recommendation 2: The NCIF continue its work developing and implementing the Building and Construction Industry sector Blueprint to bring cultural change to the industry. </w:t>
      </w:r>
    </w:p>
    <w:p w14:paraId="4AE27856" w14:textId="77777777" w:rsidR="008142BF" w:rsidRPr="00167CB8" w:rsidRDefault="008142BF" w:rsidP="008142BF">
      <w:pPr>
        <w:rPr>
          <w:b/>
          <w:bCs/>
        </w:rPr>
      </w:pPr>
      <w:r w:rsidRPr="00167CB8">
        <w:rPr>
          <w:b/>
          <w:bCs/>
        </w:rPr>
        <w:lastRenderedPageBreak/>
        <w:t>Draft Recommendation 3:  The Australian</w:t>
      </w:r>
      <w:r w:rsidRPr="00167CB8" w:rsidDel="00832C62">
        <w:rPr>
          <w:b/>
          <w:bCs/>
        </w:rPr>
        <w:t xml:space="preserve"> </w:t>
      </w:r>
      <w:r w:rsidRPr="00167CB8">
        <w:rPr>
          <w:b/>
          <w:bCs/>
        </w:rPr>
        <w:t xml:space="preserve">Government consider utilising the NCIF as a model tripartite forum to advise the Australian Government on other industries. </w:t>
      </w:r>
    </w:p>
    <w:p w14:paraId="28726AE6" w14:textId="2902ECAA" w:rsidR="00A148FE" w:rsidRPr="00167CB8" w:rsidRDefault="001B7BCE" w:rsidP="001B7BCE">
      <w:pPr>
        <w:spacing w:after="160"/>
      </w:pPr>
      <w:r w:rsidRPr="00167CB8">
        <w:br w:type="page"/>
      </w:r>
    </w:p>
    <w:p w14:paraId="172C6865" w14:textId="1C699A6F" w:rsidR="00A148FE" w:rsidRPr="00167CB8" w:rsidRDefault="00730665" w:rsidP="00A148FE">
      <w:pPr>
        <w:pStyle w:val="Heading3"/>
        <w:rPr>
          <w:rFonts w:asciiTheme="minorHAnsi" w:hAnsiTheme="minorHAnsi"/>
        </w:rPr>
      </w:pPr>
      <w:bookmarkStart w:id="89" w:name="_Toc187421582"/>
      <w:bookmarkStart w:id="90" w:name="_Toc187946385"/>
      <w:bookmarkStart w:id="91" w:name="_Toc188277914"/>
      <w:bookmarkStart w:id="92" w:name="_Toc189260207"/>
      <w:bookmarkStart w:id="93" w:name="_Toc189393523"/>
      <w:r w:rsidRPr="00167CB8">
        <w:rPr>
          <w:rFonts w:asciiTheme="minorHAnsi" w:hAnsiTheme="minorHAnsi"/>
        </w:rPr>
        <w:lastRenderedPageBreak/>
        <w:t xml:space="preserve">Chapter </w:t>
      </w:r>
      <w:r w:rsidR="003220B5" w:rsidRPr="00167CB8">
        <w:rPr>
          <w:rFonts w:asciiTheme="minorHAnsi" w:hAnsiTheme="minorHAnsi"/>
        </w:rPr>
        <w:t>6</w:t>
      </w:r>
      <w:r w:rsidR="00C6528C" w:rsidRPr="00167CB8">
        <w:rPr>
          <w:rFonts w:asciiTheme="minorHAnsi" w:hAnsiTheme="minorHAnsi"/>
        </w:rPr>
        <w:t>.</w:t>
      </w:r>
      <w:r w:rsidR="00A148FE" w:rsidRPr="00167CB8">
        <w:rPr>
          <w:rFonts w:asciiTheme="minorHAnsi" w:hAnsiTheme="minorHAnsi"/>
        </w:rPr>
        <w:t xml:space="preserve"> Abolition of </w:t>
      </w:r>
      <w:r w:rsidR="00D95AE5" w:rsidRPr="00167CB8">
        <w:rPr>
          <w:rFonts w:asciiTheme="minorHAnsi" w:hAnsiTheme="minorHAnsi"/>
        </w:rPr>
        <w:t xml:space="preserve">the </w:t>
      </w:r>
      <w:r w:rsidR="00A148FE" w:rsidRPr="00167CB8">
        <w:rPr>
          <w:rFonts w:asciiTheme="minorHAnsi" w:hAnsiTheme="minorHAnsi"/>
        </w:rPr>
        <w:t>R</w:t>
      </w:r>
      <w:r w:rsidR="00465C1C" w:rsidRPr="00167CB8">
        <w:rPr>
          <w:rFonts w:asciiTheme="minorHAnsi" w:hAnsiTheme="minorHAnsi"/>
        </w:rPr>
        <w:t>egistered Organisations Commission</w:t>
      </w:r>
      <w:bookmarkEnd w:id="89"/>
      <w:bookmarkEnd w:id="90"/>
      <w:bookmarkEnd w:id="91"/>
      <w:bookmarkEnd w:id="92"/>
      <w:bookmarkEnd w:id="93"/>
    </w:p>
    <w:p w14:paraId="1DADA25E" w14:textId="181DD29A" w:rsidR="00A148FE" w:rsidRPr="00167CB8" w:rsidRDefault="00A148FE" w:rsidP="00A148FE">
      <w:bookmarkStart w:id="94" w:name="_Toc185851536"/>
      <w:r w:rsidRPr="00167CB8">
        <w:t xml:space="preserve">Part 1 of Schedule 1 </w:t>
      </w:r>
      <w:r w:rsidR="00537A5F" w:rsidRPr="00167CB8">
        <w:t xml:space="preserve">to </w:t>
      </w:r>
      <w:r w:rsidRPr="00167CB8">
        <w:t xml:space="preserve">the </w:t>
      </w:r>
      <w:r w:rsidR="00B75E34" w:rsidRPr="00167CB8">
        <w:t xml:space="preserve">Secure Jobs, Better Pay </w:t>
      </w:r>
      <w:r w:rsidRPr="00167CB8">
        <w:t xml:space="preserve">Act abolished the Registered Organisations Commission (ROC) and transferred the regulatory powers and functions of the Registered Organisations Commissioner to the General Manager of the </w:t>
      </w:r>
      <w:r w:rsidR="00D95AE5" w:rsidRPr="00167CB8">
        <w:t>Fair Work Commission (</w:t>
      </w:r>
      <w:r w:rsidRPr="00167CB8">
        <w:t>FWC</w:t>
      </w:r>
      <w:r w:rsidR="00D95AE5" w:rsidRPr="00167CB8">
        <w:t>)</w:t>
      </w:r>
      <w:r w:rsidRPr="00167CB8">
        <w:t xml:space="preserve"> from 6 March 2023.</w:t>
      </w:r>
    </w:p>
    <w:p w14:paraId="293AA20D" w14:textId="77777777" w:rsidR="00A148FE" w:rsidRPr="00167CB8" w:rsidRDefault="00A148FE" w:rsidP="00A148FE">
      <w:r w:rsidRPr="00167CB8">
        <w:t xml:space="preserve">This returns to the position as it existed prior to the establishment of the ROC on 1 May 2017. </w:t>
      </w:r>
    </w:p>
    <w:p w14:paraId="4967A583" w14:textId="74FFE644" w:rsidR="00A148FE" w:rsidRPr="00167CB8" w:rsidRDefault="00A148FE" w:rsidP="00A148FE">
      <w:r w:rsidRPr="00167CB8">
        <w:t xml:space="preserve">This Review </w:t>
      </w:r>
      <w:r w:rsidR="009B7E86" w:rsidRPr="00167CB8">
        <w:t xml:space="preserve">Panel </w:t>
      </w:r>
      <w:r w:rsidRPr="00167CB8">
        <w:t xml:space="preserve">acknowledges that the </w:t>
      </w:r>
      <w:r w:rsidR="00777D23" w:rsidRPr="00167CB8">
        <w:t xml:space="preserve">Secure Jobs, Better Pay </w:t>
      </w:r>
      <w:r w:rsidRPr="00167CB8">
        <w:t xml:space="preserve">amendments discussed in this </w:t>
      </w:r>
      <w:r w:rsidR="003A16B5" w:rsidRPr="00167CB8">
        <w:t>r</w:t>
      </w:r>
      <w:r w:rsidRPr="00167CB8">
        <w:t xml:space="preserve">eport form part of a broader political debate over how </w:t>
      </w:r>
      <w:r w:rsidR="00AC3A43" w:rsidRPr="00167CB8">
        <w:t xml:space="preserve">federally registered </w:t>
      </w:r>
      <w:r w:rsidR="002A002A" w:rsidRPr="00167CB8">
        <w:t>employee associations (unions) and employer associations registered</w:t>
      </w:r>
      <w:r w:rsidR="00AC3A43" w:rsidRPr="00167CB8">
        <w:t xml:space="preserve"> under the </w:t>
      </w:r>
      <w:r w:rsidR="00D95AE5" w:rsidRPr="00167CB8">
        <w:rPr>
          <w:i/>
          <w:iCs/>
        </w:rPr>
        <w:t>Fair Work (Registered Organisations) Act 2009</w:t>
      </w:r>
      <w:r w:rsidR="00D95AE5" w:rsidRPr="00167CB8">
        <w:t xml:space="preserve"> (Cth) (</w:t>
      </w:r>
      <w:r w:rsidR="00AC3A43" w:rsidRPr="00167CB8">
        <w:t>RO Act</w:t>
      </w:r>
      <w:r w:rsidR="00D95AE5" w:rsidRPr="00167CB8">
        <w:t>)</w:t>
      </w:r>
      <w:r w:rsidR="00AC3A43" w:rsidRPr="00167CB8">
        <w:t xml:space="preserve"> </w:t>
      </w:r>
      <w:r w:rsidRPr="00167CB8">
        <w:t xml:space="preserve">are regulated. </w:t>
      </w:r>
      <w:r w:rsidR="00CD38DD" w:rsidRPr="00167CB8">
        <w:t xml:space="preserve">This Review Panel </w:t>
      </w:r>
      <w:r w:rsidRPr="00167CB8">
        <w:t>focus</w:t>
      </w:r>
      <w:r w:rsidR="00CD38DD" w:rsidRPr="00167CB8">
        <w:t>es</w:t>
      </w:r>
      <w:r w:rsidRPr="00167CB8">
        <w:t xml:space="preserve"> appropriately on the limited scope of the </w:t>
      </w:r>
      <w:r w:rsidR="003A16B5" w:rsidRPr="00167CB8">
        <w:t>R</w:t>
      </w:r>
      <w:r w:rsidRPr="00167CB8">
        <w:t xml:space="preserve">eview which includes the effectiveness, appropriateness and any unintended consequences of the 2022 </w:t>
      </w:r>
      <w:r w:rsidR="00777D23" w:rsidRPr="00167CB8">
        <w:t xml:space="preserve">Secure Jobs, Better Pay </w:t>
      </w:r>
      <w:r w:rsidRPr="00167CB8">
        <w:t xml:space="preserve">amendments.  </w:t>
      </w:r>
    </w:p>
    <w:p w14:paraId="0BC4D978" w14:textId="4564B3D3" w:rsidR="00A148FE" w:rsidRPr="00167CB8" w:rsidRDefault="003220B5" w:rsidP="00A148FE">
      <w:pPr>
        <w:pStyle w:val="Heading4"/>
        <w:rPr>
          <w:rFonts w:asciiTheme="minorHAnsi" w:hAnsiTheme="minorHAnsi"/>
        </w:rPr>
      </w:pPr>
      <w:bookmarkStart w:id="95" w:name="_Toc187421583"/>
      <w:bookmarkStart w:id="96" w:name="_Toc187946386"/>
      <w:bookmarkStart w:id="97" w:name="_Toc188277915"/>
      <w:bookmarkStart w:id="98" w:name="_Toc189260208"/>
      <w:bookmarkStart w:id="99" w:name="_Toc189393524"/>
      <w:r w:rsidRPr="00167CB8">
        <w:rPr>
          <w:rFonts w:asciiTheme="minorHAnsi" w:hAnsiTheme="minorHAnsi"/>
        </w:rPr>
        <w:t>6</w:t>
      </w:r>
      <w:r w:rsidR="00ED003F" w:rsidRPr="00167CB8">
        <w:t>.1</w:t>
      </w:r>
      <w:r w:rsidR="00A148FE" w:rsidRPr="00167CB8">
        <w:rPr>
          <w:rFonts w:asciiTheme="minorHAnsi" w:hAnsiTheme="minorHAnsi"/>
        </w:rPr>
        <w:t xml:space="preserve"> Amendments </w:t>
      </w:r>
      <w:r w:rsidR="003A16B5" w:rsidRPr="00167CB8">
        <w:rPr>
          <w:rFonts w:asciiTheme="minorHAnsi" w:hAnsiTheme="minorHAnsi"/>
        </w:rPr>
        <w:t>and</w:t>
      </w:r>
      <w:r w:rsidR="00A148FE" w:rsidRPr="00167CB8">
        <w:rPr>
          <w:rFonts w:asciiTheme="minorHAnsi" w:hAnsiTheme="minorHAnsi"/>
        </w:rPr>
        <w:t xml:space="preserve"> </w:t>
      </w:r>
      <w:r w:rsidR="003A16B5" w:rsidRPr="00167CB8">
        <w:rPr>
          <w:rFonts w:asciiTheme="minorHAnsi" w:hAnsiTheme="minorHAnsi"/>
        </w:rPr>
        <w:t>i</w:t>
      </w:r>
      <w:r w:rsidR="00A148FE" w:rsidRPr="00167CB8">
        <w:rPr>
          <w:rFonts w:asciiTheme="minorHAnsi" w:hAnsiTheme="minorHAnsi"/>
        </w:rPr>
        <w:t>ntent</w:t>
      </w:r>
      <w:bookmarkEnd w:id="95"/>
      <w:bookmarkEnd w:id="96"/>
      <w:bookmarkEnd w:id="97"/>
      <w:bookmarkEnd w:id="98"/>
      <w:bookmarkEnd w:id="99"/>
    </w:p>
    <w:p w14:paraId="57749EC8" w14:textId="5F35852E" w:rsidR="00ED003F" w:rsidRPr="00167CB8" w:rsidRDefault="00EC2516" w:rsidP="00E4748E">
      <w:r w:rsidRPr="00167CB8">
        <w:t>The amen</w:t>
      </w:r>
      <w:r w:rsidR="009C6182" w:rsidRPr="00167CB8">
        <w:t xml:space="preserve">dments </w:t>
      </w:r>
      <w:r w:rsidR="00BE15BC" w:rsidRPr="00167CB8">
        <w:t xml:space="preserve">had the practical consequence of transferring </w:t>
      </w:r>
      <w:r w:rsidR="003818A5" w:rsidRPr="00167CB8">
        <w:t xml:space="preserve">powers and functions of the former ROC to the FWC. </w:t>
      </w:r>
    </w:p>
    <w:p w14:paraId="19D79994" w14:textId="43537D05" w:rsidR="00A148FE" w:rsidRPr="00167CB8" w:rsidRDefault="00146305" w:rsidP="00A148FE">
      <w:pPr>
        <w:pStyle w:val="Heading5"/>
        <w:rPr>
          <w:rFonts w:asciiTheme="minorHAnsi" w:hAnsiTheme="minorHAnsi"/>
        </w:rPr>
      </w:pPr>
      <w:bookmarkStart w:id="100" w:name="_Toc187421584"/>
      <w:bookmarkStart w:id="101" w:name="_Toc187946387"/>
      <w:r w:rsidRPr="00167CB8">
        <w:rPr>
          <w:rFonts w:asciiTheme="minorHAnsi" w:hAnsiTheme="minorHAnsi"/>
        </w:rPr>
        <w:t>6</w:t>
      </w:r>
      <w:r w:rsidR="006B7B08" w:rsidRPr="00167CB8">
        <w:rPr>
          <w:rFonts w:asciiTheme="minorHAnsi" w:hAnsiTheme="minorHAnsi"/>
        </w:rPr>
        <w:t>.1.1</w:t>
      </w:r>
      <w:r w:rsidR="00A148FE" w:rsidRPr="00167CB8">
        <w:rPr>
          <w:rFonts w:asciiTheme="minorHAnsi" w:hAnsiTheme="minorHAnsi"/>
        </w:rPr>
        <w:t xml:space="preserve"> </w:t>
      </w:r>
      <w:r w:rsidR="00E42AC2" w:rsidRPr="00167CB8">
        <w:rPr>
          <w:rFonts w:asciiTheme="minorHAnsi" w:hAnsiTheme="minorHAnsi"/>
        </w:rPr>
        <w:t xml:space="preserve">Secure Jobs, Better Pay </w:t>
      </w:r>
      <w:r w:rsidR="003A16B5" w:rsidRPr="00167CB8">
        <w:rPr>
          <w:rFonts w:asciiTheme="minorHAnsi" w:hAnsiTheme="minorHAnsi"/>
        </w:rPr>
        <w:t>a</w:t>
      </w:r>
      <w:r w:rsidR="00E42AC2" w:rsidRPr="00167CB8">
        <w:rPr>
          <w:rFonts w:asciiTheme="minorHAnsi" w:hAnsiTheme="minorHAnsi"/>
        </w:rPr>
        <w:t>mendments</w:t>
      </w:r>
      <w:r w:rsidR="00E42AC2" w:rsidRPr="00167CB8" w:rsidDel="00E42AC2">
        <w:rPr>
          <w:rFonts w:asciiTheme="minorHAnsi" w:hAnsiTheme="minorHAnsi"/>
        </w:rPr>
        <w:t xml:space="preserve"> </w:t>
      </w:r>
      <w:bookmarkEnd w:id="100"/>
      <w:bookmarkEnd w:id="101"/>
    </w:p>
    <w:p w14:paraId="7F2B7317" w14:textId="0C3FA460" w:rsidR="00A148FE" w:rsidRPr="00167CB8" w:rsidRDefault="00A148FE" w:rsidP="00A148FE">
      <w:r w:rsidRPr="00167CB8">
        <w:t xml:space="preserve">Many of the </w:t>
      </w:r>
      <w:r w:rsidR="003A39F5" w:rsidRPr="00167CB8">
        <w:t xml:space="preserve">Secure Jobs, Better Pay </w:t>
      </w:r>
      <w:r w:rsidRPr="00167CB8">
        <w:t xml:space="preserve">amendments substitute the various references to the ROC and its Commissioner with the FWC and its </w:t>
      </w:r>
      <w:r w:rsidR="002C3E7A" w:rsidRPr="00167CB8">
        <w:t>General Manager</w:t>
      </w:r>
      <w:r w:rsidR="006B7B08" w:rsidRPr="00167CB8">
        <w:t xml:space="preserve"> </w:t>
      </w:r>
      <w:r w:rsidRPr="00167CB8">
        <w:t>in both the RO Act and the F</w:t>
      </w:r>
      <w:r w:rsidR="00104B0E" w:rsidRPr="00167CB8">
        <w:t xml:space="preserve">air </w:t>
      </w:r>
      <w:r w:rsidRPr="00167CB8">
        <w:t>W</w:t>
      </w:r>
      <w:r w:rsidR="00104B0E" w:rsidRPr="00167CB8">
        <w:t>ork</w:t>
      </w:r>
      <w:r w:rsidRPr="00167CB8">
        <w:t xml:space="preserve"> Act. </w:t>
      </w:r>
    </w:p>
    <w:p w14:paraId="40EB3FA1" w14:textId="726CD25E" w:rsidR="00A148FE" w:rsidRPr="00167CB8" w:rsidRDefault="00A148FE" w:rsidP="00A148FE">
      <w:r w:rsidRPr="00167CB8">
        <w:t xml:space="preserve">However, the </w:t>
      </w:r>
      <w:r w:rsidR="00B74F9B" w:rsidRPr="00167CB8">
        <w:t xml:space="preserve">Secure Jobs, Better Pay </w:t>
      </w:r>
      <w:r w:rsidRPr="00167CB8">
        <w:t xml:space="preserve">Act made substantive amendments to the functions of the </w:t>
      </w:r>
      <w:r w:rsidR="002C3E7A" w:rsidRPr="00167CB8">
        <w:t xml:space="preserve">General Manager </w:t>
      </w:r>
      <w:r w:rsidRPr="00167CB8">
        <w:t>under</w:t>
      </w:r>
      <w:r w:rsidRPr="00167CB8" w:rsidDel="00B8297F">
        <w:t xml:space="preserve"> </w:t>
      </w:r>
      <w:r w:rsidR="00B8297F" w:rsidRPr="00167CB8">
        <w:t>s</w:t>
      </w:r>
      <w:r w:rsidR="003A16B5" w:rsidRPr="00167CB8">
        <w:t> </w:t>
      </w:r>
      <w:r w:rsidRPr="00167CB8">
        <w:t xml:space="preserve">329A of the RO Act, inserting a new function in </w:t>
      </w:r>
      <w:r w:rsidR="00B8297F" w:rsidRPr="00167CB8">
        <w:t>s</w:t>
      </w:r>
      <w:r w:rsidR="003A16B5" w:rsidRPr="00167CB8">
        <w:t> </w:t>
      </w:r>
      <w:r w:rsidRPr="00167CB8">
        <w:t>329A(2). Section</w:t>
      </w:r>
      <w:r w:rsidR="003A16B5" w:rsidRPr="00167CB8">
        <w:t> </w:t>
      </w:r>
      <w:r w:rsidRPr="00167CB8">
        <w:t>329A provides:</w:t>
      </w:r>
    </w:p>
    <w:p w14:paraId="1BF4CA26" w14:textId="53BEE4E4" w:rsidR="00A148FE" w:rsidRPr="00167CB8" w:rsidRDefault="00A148FE" w:rsidP="00C83147">
      <w:pPr>
        <w:pStyle w:val="Quote"/>
      </w:pPr>
      <w:r w:rsidRPr="00167CB8">
        <w:t>329A Functions of the General Manager</w:t>
      </w:r>
    </w:p>
    <w:p w14:paraId="18FBD24C" w14:textId="5D5FD631" w:rsidR="00A148FE" w:rsidRPr="00167CB8" w:rsidRDefault="00A148FE" w:rsidP="00567FCA">
      <w:pPr>
        <w:pStyle w:val="Quote"/>
        <w:numPr>
          <w:ilvl w:val="0"/>
          <w:numId w:val="27"/>
        </w:numPr>
      </w:pPr>
      <w:r w:rsidRPr="00167CB8">
        <w:t>The General Manager has the following functions:</w:t>
      </w:r>
    </w:p>
    <w:p w14:paraId="0FBF73D2" w14:textId="40A90E10" w:rsidR="00A148FE" w:rsidRPr="00167CB8" w:rsidRDefault="00A148FE" w:rsidP="00567FCA">
      <w:pPr>
        <w:pStyle w:val="Quote"/>
        <w:numPr>
          <w:ilvl w:val="0"/>
          <w:numId w:val="26"/>
        </w:numPr>
      </w:pPr>
      <w:r w:rsidRPr="00167CB8">
        <w:t>to promote:</w:t>
      </w:r>
    </w:p>
    <w:p w14:paraId="3ECAFA55" w14:textId="366CB840" w:rsidR="00A148FE" w:rsidRPr="00167CB8" w:rsidRDefault="00A148FE" w:rsidP="00567FCA">
      <w:pPr>
        <w:pStyle w:val="Quote"/>
        <w:numPr>
          <w:ilvl w:val="0"/>
          <w:numId w:val="28"/>
        </w:numPr>
      </w:pPr>
      <w:r w:rsidRPr="00167CB8">
        <w:t>efficient management of organisations and high standards of accountability of organisations and their office holders to their members; and</w:t>
      </w:r>
    </w:p>
    <w:p w14:paraId="0BF26DD1" w14:textId="0C407F67" w:rsidR="00A148FE" w:rsidRPr="00167CB8" w:rsidRDefault="00A148FE" w:rsidP="00567FCA">
      <w:pPr>
        <w:pStyle w:val="Quote"/>
        <w:numPr>
          <w:ilvl w:val="0"/>
          <w:numId w:val="28"/>
        </w:numPr>
      </w:pPr>
      <w:r w:rsidRPr="00167CB8">
        <w:t>compliance with financial reporting and accountability requirements of this Act;</w:t>
      </w:r>
    </w:p>
    <w:p w14:paraId="6E6BA3B8" w14:textId="21645BDA" w:rsidR="00A148FE" w:rsidRPr="00167CB8" w:rsidRDefault="00A148FE" w:rsidP="00C83147">
      <w:pPr>
        <w:pStyle w:val="Quote"/>
      </w:pPr>
      <w:r w:rsidRPr="00167CB8">
        <w:t>including by providing education, assistance and advice to organisations and their members;</w:t>
      </w:r>
    </w:p>
    <w:p w14:paraId="3274BDE9" w14:textId="22246DF9" w:rsidR="00A148FE" w:rsidRPr="00167CB8" w:rsidRDefault="00A148FE" w:rsidP="00567FCA">
      <w:pPr>
        <w:pStyle w:val="Quote"/>
        <w:numPr>
          <w:ilvl w:val="0"/>
          <w:numId w:val="26"/>
        </w:numPr>
      </w:pPr>
      <w:r w:rsidRPr="00167CB8">
        <w:t>to monitor acts and practices to ensure they comply with the provisions of this Act providing for the democratic functioning and control of organisations;</w:t>
      </w:r>
    </w:p>
    <w:p w14:paraId="43A6550F" w14:textId="6A9BB0A3" w:rsidR="00A148FE" w:rsidRPr="00167CB8" w:rsidRDefault="00A148FE" w:rsidP="00567FCA">
      <w:pPr>
        <w:pStyle w:val="Quote"/>
        <w:numPr>
          <w:ilvl w:val="0"/>
          <w:numId w:val="26"/>
        </w:numPr>
      </w:pPr>
      <w:r w:rsidRPr="00167CB8">
        <w:lastRenderedPageBreak/>
        <w:t>to do anything incidental to or conducive to the performance of any of the above functions.</w:t>
      </w:r>
    </w:p>
    <w:p w14:paraId="5F19E9E1" w14:textId="77777777" w:rsidR="00A148FE" w:rsidRPr="00167CB8" w:rsidRDefault="00A148FE" w:rsidP="00C83147">
      <w:pPr>
        <w:pStyle w:val="Quote"/>
      </w:pPr>
      <w:r w:rsidRPr="00167CB8">
        <w:t>Note: Section 657 of the Fair Work Act sets out the General Manager’s powers.</w:t>
      </w:r>
    </w:p>
    <w:p w14:paraId="002E36E2" w14:textId="788700C4" w:rsidR="00A148FE" w:rsidRPr="00167CB8" w:rsidRDefault="00A148FE" w:rsidP="00567FCA">
      <w:pPr>
        <w:pStyle w:val="Quote"/>
        <w:numPr>
          <w:ilvl w:val="0"/>
          <w:numId w:val="27"/>
        </w:numPr>
      </w:pPr>
      <w:r w:rsidRPr="00167CB8">
        <w:t>In performing functions and exercising powers under this Act, the General Manager must seek to embed within organisations a culture of good governance and voluntary compliance with the law.</w:t>
      </w:r>
    </w:p>
    <w:p w14:paraId="07FC1CED" w14:textId="614D3DF8" w:rsidR="00A148FE" w:rsidRPr="00167CB8" w:rsidRDefault="00A148FE" w:rsidP="00A148FE">
      <w:r w:rsidRPr="00167CB8">
        <w:t xml:space="preserve">The </w:t>
      </w:r>
      <w:r w:rsidR="003A39F5" w:rsidRPr="00167CB8">
        <w:t xml:space="preserve">Secure Jobs, Better Pay </w:t>
      </w:r>
      <w:r w:rsidRPr="00167CB8">
        <w:t xml:space="preserve">Act also gave the </w:t>
      </w:r>
      <w:r w:rsidR="004B42E3" w:rsidRPr="00167CB8">
        <w:t>General Manager</w:t>
      </w:r>
      <w:r w:rsidRPr="00167CB8">
        <w:t xml:space="preserve"> new powers to issue </w:t>
      </w:r>
      <w:r w:rsidR="003A16B5" w:rsidRPr="00167CB8">
        <w:t>i</w:t>
      </w:r>
      <w:r w:rsidRPr="00167CB8">
        <w:t xml:space="preserve">nfringement </w:t>
      </w:r>
      <w:r w:rsidR="003A16B5" w:rsidRPr="00167CB8">
        <w:t>n</w:t>
      </w:r>
      <w:r w:rsidRPr="00167CB8">
        <w:t xml:space="preserve">otices and enter into </w:t>
      </w:r>
      <w:r w:rsidR="003A16B5" w:rsidRPr="00167CB8">
        <w:t>e</w:t>
      </w:r>
      <w:r w:rsidRPr="00167CB8">
        <w:t xml:space="preserve">nforceable </w:t>
      </w:r>
      <w:r w:rsidR="003A16B5" w:rsidRPr="00167CB8">
        <w:t>u</w:t>
      </w:r>
      <w:r w:rsidRPr="00167CB8">
        <w:t xml:space="preserve">ndertakings, which are discussed in the following chapter.  </w:t>
      </w:r>
      <w:bookmarkStart w:id="102" w:name="_Toc187421585"/>
    </w:p>
    <w:p w14:paraId="5D02B030" w14:textId="4BC03A56" w:rsidR="00600CD0" w:rsidRPr="00167CB8" w:rsidRDefault="00600CD0" w:rsidP="00A148FE">
      <w:r w:rsidRPr="00167CB8">
        <w:t xml:space="preserve">These amendments commenced on </w:t>
      </w:r>
      <w:r w:rsidR="00E64560" w:rsidRPr="00167CB8">
        <w:t xml:space="preserve">6 March 2023. </w:t>
      </w:r>
    </w:p>
    <w:p w14:paraId="6DEE52A3" w14:textId="6B4F2EE1" w:rsidR="00A148FE" w:rsidRPr="00167CB8" w:rsidRDefault="00146305" w:rsidP="00A148FE">
      <w:pPr>
        <w:pStyle w:val="Heading5"/>
        <w:rPr>
          <w:rFonts w:asciiTheme="minorHAnsi" w:hAnsiTheme="minorHAnsi"/>
        </w:rPr>
      </w:pPr>
      <w:bookmarkStart w:id="103" w:name="_Toc187946388"/>
      <w:r w:rsidRPr="00167CB8">
        <w:rPr>
          <w:rFonts w:asciiTheme="minorHAnsi" w:hAnsiTheme="minorHAnsi"/>
        </w:rPr>
        <w:t>6</w:t>
      </w:r>
      <w:r w:rsidR="006B7B08" w:rsidRPr="00167CB8">
        <w:rPr>
          <w:rFonts w:asciiTheme="minorHAnsi" w:hAnsiTheme="minorHAnsi"/>
        </w:rPr>
        <w:t>.1.2</w:t>
      </w:r>
      <w:r w:rsidR="00A148FE" w:rsidRPr="00167CB8">
        <w:rPr>
          <w:rFonts w:asciiTheme="minorHAnsi" w:hAnsiTheme="minorHAnsi"/>
        </w:rPr>
        <w:t xml:space="preserve"> Intent of </w:t>
      </w:r>
      <w:bookmarkEnd w:id="102"/>
      <w:bookmarkEnd w:id="103"/>
      <w:r w:rsidR="00E42AC2" w:rsidRPr="00167CB8">
        <w:rPr>
          <w:rFonts w:asciiTheme="minorHAnsi" w:hAnsiTheme="minorHAnsi"/>
        </w:rPr>
        <w:t xml:space="preserve">Secure Jobs, Better Pay </w:t>
      </w:r>
      <w:r w:rsidR="003A16B5" w:rsidRPr="00167CB8">
        <w:rPr>
          <w:rFonts w:asciiTheme="minorHAnsi" w:hAnsiTheme="minorHAnsi"/>
        </w:rPr>
        <w:t>a</w:t>
      </w:r>
      <w:r w:rsidR="00E42AC2" w:rsidRPr="00167CB8">
        <w:rPr>
          <w:rFonts w:asciiTheme="minorHAnsi" w:hAnsiTheme="minorHAnsi"/>
        </w:rPr>
        <w:t>mendments</w:t>
      </w:r>
    </w:p>
    <w:p w14:paraId="7063F270" w14:textId="5C90F98A" w:rsidR="00136C4A" w:rsidRPr="00167CB8" w:rsidRDefault="00136C4A" w:rsidP="00A148FE">
      <w:r w:rsidRPr="00167CB8">
        <w:t xml:space="preserve">The intent of these provisions was to </w:t>
      </w:r>
      <w:r w:rsidR="002A096F" w:rsidRPr="00167CB8">
        <w:t>move</w:t>
      </w:r>
      <w:r w:rsidRPr="00167CB8">
        <w:t xml:space="preserve"> </w:t>
      </w:r>
      <w:r w:rsidR="00BB52F0" w:rsidRPr="00167CB8">
        <w:t xml:space="preserve">the </w:t>
      </w:r>
      <w:r w:rsidR="00F43863" w:rsidRPr="00167CB8">
        <w:t xml:space="preserve">regulatory </w:t>
      </w:r>
      <w:r w:rsidR="002A096F" w:rsidRPr="00167CB8">
        <w:t xml:space="preserve">role of the </w:t>
      </w:r>
      <w:r w:rsidR="00BB52F0" w:rsidRPr="00167CB8">
        <w:t>ROC</w:t>
      </w:r>
      <w:r w:rsidR="003A16B5" w:rsidRPr="00167CB8">
        <w:t>,</w:t>
      </w:r>
      <w:r w:rsidR="00BB52F0" w:rsidRPr="00167CB8">
        <w:t xml:space="preserve"> which was claim</w:t>
      </w:r>
      <w:r w:rsidR="004369E8" w:rsidRPr="00167CB8">
        <w:t>ed</w:t>
      </w:r>
      <w:r w:rsidR="00BB52F0" w:rsidRPr="00167CB8">
        <w:t xml:space="preserve"> to be an ineffective and discredited institution, </w:t>
      </w:r>
      <w:r w:rsidR="002A096F" w:rsidRPr="00167CB8">
        <w:t>into</w:t>
      </w:r>
      <w:r w:rsidR="00BB52F0" w:rsidRPr="00167CB8">
        <w:t xml:space="preserve"> the FWC</w:t>
      </w:r>
      <w:r w:rsidR="004369E8" w:rsidRPr="00167CB8">
        <w:t xml:space="preserve"> and give the General Manager </w:t>
      </w:r>
      <w:r w:rsidR="002A096F" w:rsidRPr="00167CB8">
        <w:t>the</w:t>
      </w:r>
      <w:r w:rsidR="004369E8" w:rsidRPr="00167CB8">
        <w:t xml:space="preserve"> over</w:t>
      </w:r>
      <w:r w:rsidR="004B7CE4" w:rsidRPr="00167CB8">
        <w:t>t</w:t>
      </w:r>
      <w:r w:rsidR="004369E8" w:rsidRPr="00167CB8">
        <w:t xml:space="preserve"> function to </w:t>
      </w:r>
      <w:r w:rsidR="00C4665F" w:rsidRPr="00167CB8">
        <w:t xml:space="preserve">seek to embed </w:t>
      </w:r>
      <w:r w:rsidR="008858B4" w:rsidRPr="00167CB8">
        <w:t xml:space="preserve">by way of education </w:t>
      </w:r>
      <w:r w:rsidR="00C4665F" w:rsidRPr="00167CB8">
        <w:t>good governance</w:t>
      </w:r>
      <w:r w:rsidR="008858B4" w:rsidRPr="00167CB8">
        <w:t xml:space="preserve"> practices</w:t>
      </w:r>
      <w:r w:rsidR="00C4665F" w:rsidRPr="00167CB8">
        <w:t xml:space="preserve"> in</w:t>
      </w:r>
      <w:r w:rsidR="002A096F" w:rsidRPr="00167CB8">
        <w:t>to</w:t>
      </w:r>
      <w:r w:rsidR="00C4665F" w:rsidRPr="00167CB8">
        <w:t xml:space="preserve"> </w:t>
      </w:r>
      <w:r w:rsidR="00D95AE5" w:rsidRPr="00167CB8">
        <w:t>r</w:t>
      </w:r>
      <w:r w:rsidR="00C4665F" w:rsidRPr="00167CB8">
        <w:t xml:space="preserve">egistered </w:t>
      </w:r>
      <w:r w:rsidR="00D95AE5" w:rsidRPr="00167CB8">
        <w:t>o</w:t>
      </w:r>
      <w:r w:rsidR="00C4665F" w:rsidRPr="00167CB8">
        <w:t>rganisations</w:t>
      </w:r>
      <w:r w:rsidR="00BB52F0" w:rsidRPr="00167CB8">
        <w:t>.</w:t>
      </w:r>
    </w:p>
    <w:p w14:paraId="6AE53BAD" w14:textId="2263B26E" w:rsidR="00A148FE" w:rsidRPr="00167CB8" w:rsidRDefault="00A148FE" w:rsidP="00A148FE">
      <w:r w:rsidRPr="00167CB8">
        <w:t xml:space="preserve">As discussed above in the ABCC chapter in </w:t>
      </w:r>
      <w:r w:rsidR="00D95AE5" w:rsidRPr="00167CB8">
        <w:t xml:space="preserve">Part </w:t>
      </w:r>
      <w:r w:rsidR="007E3BE7" w:rsidRPr="00167CB8">
        <w:t>1</w:t>
      </w:r>
      <w:r w:rsidRPr="00167CB8">
        <w:t xml:space="preserve"> of this </w:t>
      </w:r>
      <w:r w:rsidR="009B6671" w:rsidRPr="00167CB8">
        <w:t>r</w:t>
      </w:r>
      <w:r w:rsidRPr="00167CB8">
        <w:t xml:space="preserve">eport, the then Minister for Employment and Workplace Relations, the Hon Tony Burke MP, in the </w:t>
      </w:r>
      <w:r w:rsidR="00C06D45" w:rsidRPr="00167CB8">
        <w:t>s</w:t>
      </w:r>
      <w:r w:rsidRPr="00167CB8">
        <w:t xml:space="preserve">econd </w:t>
      </w:r>
      <w:r w:rsidR="00C06D45" w:rsidRPr="00167CB8">
        <w:t>r</w:t>
      </w:r>
      <w:r w:rsidRPr="00167CB8">
        <w:t xml:space="preserve">eading </w:t>
      </w:r>
      <w:r w:rsidR="00C06D45" w:rsidRPr="00167CB8">
        <w:t>s</w:t>
      </w:r>
      <w:r w:rsidRPr="00167CB8">
        <w:t xml:space="preserve">peech for the </w:t>
      </w:r>
      <w:r w:rsidR="003A39F5" w:rsidRPr="00167CB8">
        <w:t xml:space="preserve">Secure Jobs, Better Pay </w:t>
      </w:r>
      <w:r w:rsidRPr="00167CB8">
        <w:t>Bill stated that the ABCC and the ROC were ‘ineffective and discredited institutions’.</w:t>
      </w:r>
      <w:r w:rsidRPr="00167CB8">
        <w:rPr>
          <w:vertAlign w:val="superscript"/>
        </w:rPr>
        <w:footnoteReference w:id="147"/>
      </w:r>
      <w:r w:rsidRPr="00167CB8">
        <w:t xml:space="preserve"> He also claimed they were </w:t>
      </w:r>
      <w:r w:rsidR="006A757E" w:rsidRPr="00167CB8">
        <w:t>‘</w:t>
      </w:r>
      <w:r w:rsidRPr="00167CB8">
        <w:t>more concerned’ with ‘prosecuting workers and their representatives than tackling rampant wage theft or addressing workplace safety, or educating and promoting good workplace relations’.</w:t>
      </w:r>
      <w:r w:rsidRPr="00167CB8">
        <w:rPr>
          <w:rStyle w:val="FootnoteReference"/>
        </w:rPr>
        <w:footnoteReference w:id="148"/>
      </w:r>
      <w:r w:rsidR="00894A6B" w:rsidRPr="00167CB8">
        <w:t xml:space="preserve"> This </w:t>
      </w:r>
      <w:r w:rsidR="009132B6" w:rsidRPr="00167CB8">
        <w:t xml:space="preserve">aligns with the theme of different regulatory approaches. </w:t>
      </w:r>
      <w:r w:rsidR="00894A6B" w:rsidRPr="00167CB8">
        <w:t xml:space="preserve"> </w:t>
      </w:r>
    </w:p>
    <w:p w14:paraId="772F524E" w14:textId="65E71E0C" w:rsidR="00A148FE" w:rsidRPr="00167CB8" w:rsidRDefault="00A148FE" w:rsidP="00A148FE">
      <w:r w:rsidRPr="00167CB8">
        <w:t xml:space="preserve">In relation to the </w:t>
      </w:r>
      <w:r w:rsidR="004B42E3" w:rsidRPr="00167CB8">
        <w:t>General Manager</w:t>
      </w:r>
      <w:r w:rsidRPr="00167CB8">
        <w:t xml:space="preserve">’s additional function in </w:t>
      </w:r>
      <w:r w:rsidR="00B8297F" w:rsidRPr="00167CB8">
        <w:t>s</w:t>
      </w:r>
      <w:r w:rsidR="009B6671" w:rsidRPr="00167CB8">
        <w:t> </w:t>
      </w:r>
      <w:r w:rsidRPr="00167CB8">
        <w:t>329A(2)</w:t>
      </w:r>
      <w:r w:rsidR="006A757E" w:rsidRPr="00167CB8">
        <w:t xml:space="preserve"> of the RO Act</w:t>
      </w:r>
      <w:r w:rsidRPr="00167CB8">
        <w:t xml:space="preserve">, the revised </w:t>
      </w:r>
      <w:r w:rsidR="00D95AE5" w:rsidRPr="00167CB8">
        <w:t>E</w:t>
      </w:r>
      <w:r w:rsidRPr="00167CB8">
        <w:t xml:space="preserve">xplanatory </w:t>
      </w:r>
      <w:r w:rsidR="00D95AE5" w:rsidRPr="00167CB8">
        <w:t>M</w:t>
      </w:r>
      <w:r w:rsidRPr="00167CB8">
        <w:t>emorandum stated that the intention of the new function was to ‘ensure that the General Manager considers education when performing functions under the RO Act’.</w:t>
      </w:r>
      <w:r w:rsidRPr="00167CB8">
        <w:rPr>
          <w:rStyle w:val="FootnoteReference"/>
        </w:rPr>
        <w:footnoteReference w:id="149"/>
      </w:r>
    </w:p>
    <w:p w14:paraId="6D758148" w14:textId="26E895AD" w:rsidR="00A148FE" w:rsidRPr="00167CB8" w:rsidRDefault="00A148FE" w:rsidP="00A148FE">
      <w:r w:rsidRPr="00167CB8">
        <w:t>The broader policy intent described in the Explanatory Memorandum for the abolition of the ROC (and also the ABCC) was aimed at ‘[r]estoring fairness and integrity to workplace relations institutions’.</w:t>
      </w:r>
      <w:r w:rsidRPr="00167CB8">
        <w:rPr>
          <w:rStyle w:val="FootnoteReference"/>
        </w:rPr>
        <w:footnoteReference w:id="150"/>
      </w:r>
      <w:r w:rsidR="006A757E" w:rsidRPr="00167CB8">
        <w:t xml:space="preserve"> </w:t>
      </w:r>
      <w:r w:rsidRPr="00167CB8">
        <w:t xml:space="preserve">The </w:t>
      </w:r>
      <w:r w:rsidR="009B6671" w:rsidRPr="00167CB8">
        <w:t>Australian Labor Party (</w:t>
      </w:r>
      <w:r w:rsidRPr="00167CB8">
        <w:t>ALP</w:t>
      </w:r>
      <w:r w:rsidR="009B6671" w:rsidRPr="00167CB8">
        <w:t>)</w:t>
      </w:r>
      <w:r w:rsidRPr="00167CB8">
        <w:t xml:space="preserve"> opposed the establishment of the ROC on each occasion a Bill for its creation has been before </w:t>
      </w:r>
      <w:r w:rsidR="00C06D45" w:rsidRPr="00167CB8">
        <w:t>p</w:t>
      </w:r>
      <w:r w:rsidRPr="00167CB8">
        <w:t>arliament. Further, after the</w:t>
      </w:r>
      <w:r w:rsidRPr="00167CB8" w:rsidDel="00556D07">
        <w:t xml:space="preserve"> </w:t>
      </w:r>
      <w:r w:rsidR="00556D07" w:rsidRPr="00167CB8">
        <w:t xml:space="preserve">establishment </w:t>
      </w:r>
      <w:r w:rsidRPr="00167CB8">
        <w:t xml:space="preserve">of the ROC, ALP policy committed to abolishing </w:t>
      </w:r>
      <w:r w:rsidR="00556D07" w:rsidRPr="00167CB8">
        <w:t>it</w:t>
      </w:r>
      <w:r w:rsidRPr="00167CB8">
        <w:t xml:space="preserve">, including in its 2022 policy platform. </w:t>
      </w:r>
      <w:r w:rsidR="00894A6B" w:rsidRPr="00167CB8">
        <w:t xml:space="preserve">This aligns with the theme of institutional integration.  </w:t>
      </w:r>
    </w:p>
    <w:p w14:paraId="4FED863D" w14:textId="25A12F3C" w:rsidR="00A148FE" w:rsidRPr="00167CB8" w:rsidRDefault="00146305" w:rsidP="00A148FE">
      <w:pPr>
        <w:pStyle w:val="Heading4"/>
        <w:rPr>
          <w:rFonts w:asciiTheme="minorHAnsi" w:hAnsiTheme="minorHAnsi"/>
        </w:rPr>
      </w:pPr>
      <w:bookmarkStart w:id="104" w:name="_Toc187421586"/>
      <w:bookmarkStart w:id="105" w:name="_Toc187946389"/>
      <w:bookmarkStart w:id="106" w:name="_Toc188277916"/>
      <w:bookmarkStart w:id="107" w:name="_Toc189260209"/>
      <w:bookmarkStart w:id="108" w:name="_Toc189393525"/>
      <w:r w:rsidRPr="00167CB8">
        <w:rPr>
          <w:rFonts w:asciiTheme="minorHAnsi" w:hAnsiTheme="minorHAnsi"/>
        </w:rPr>
        <w:lastRenderedPageBreak/>
        <w:t>6</w:t>
      </w:r>
      <w:r w:rsidR="00700C7D" w:rsidRPr="00167CB8">
        <w:rPr>
          <w:rFonts w:asciiTheme="minorHAnsi" w:hAnsiTheme="minorHAnsi"/>
        </w:rPr>
        <w:t>.2</w:t>
      </w:r>
      <w:r w:rsidR="00A148FE" w:rsidRPr="00167CB8">
        <w:rPr>
          <w:rFonts w:asciiTheme="minorHAnsi" w:hAnsiTheme="minorHAnsi"/>
        </w:rPr>
        <w:t xml:space="preserve"> Impact </w:t>
      </w:r>
      <w:r w:rsidR="009B6671" w:rsidRPr="00167CB8">
        <w:rPr>
          <w:rFonts w:asciiTheme="minorHAnsi" w:hAnsiTheme="minorHAnsi"/>
        </w:rPr>
        <w:t>and</w:t>
      </w:r>
      <w:r w:rsidR="00A148FE" w:rsidRPr="00167CB8">
        <w:rPr>
          <w:rFonts w:asciiTheme="minorHAnsi" w:hAnsiTheme="minorHAnsi"/>
        </w:rPr>
        <w:t xml:space="preserve"> </w:t>
      </w:r>
      <w:r w:rsidR="009B6671" w:rsidRPr="00167CB8">
        <w:rPr>
          <w:rFonts w:asciiTheme="minorHAnsi" w:hAnsiTheme="minorHAnsi"/>
        </w:rPr>
        <w:t>i</w:t>
      </w:r>
      <w:r w:rsidR="00A148FE" w:rsidRPr="00167CB8">
        <w:rPr>
          <w:rFonts w:asciiTheme="minorHAnsi" w:hAnsiTheme="minorHAnsi"/>
        </w:rPr>
        <w:t>ssues</w:t>
      </w:r>
      <w:bookmarkEnd w:id="104"/>
      <w:bookmarkEnd w:id="105"/>
      <w:bookmarkEnd w:id="106"/>
      <w:bookmarkEnd w:id="107"/>
      <w:bookmarkEnd w:id="108"/>
    </w:p>
    <w:p w14:paraId="6643BF54" w14:textId="48379AB4" w:rsidR="00A148FE" w:rsidRPr="00167CB8" w:rsidRDefault="00A148FE" w:rsidP="00A148FE">
      <w:r w:rsidRPr="00167CB8">
        <w:t xml:space="preserve">Since the passing of the amendments, the </w:t>
      </w:r>
      <w:r w:rsidR="004B42E3" w:rsidRPr="00167CB8">
        <w:t>General Manager</w:t>
      </w:r>
      <w:r w:rsidRPr="00167CB8">
        <w:t xml:space="preserve"> has </w:t>
      </w:r>
      <w:r w:rsidR="00562D96" w:rsidRPr="00167CB8">
        <w:t xml:space="preserve">taken on </w:t>
      </w:r>
      <w:r w:rsidRPr="00167CB8">
        <w:t xml:space="preserve">the functions of the ROC and established renewed regulatory functions within the operations of the FWC. </w:t>
      </w:r>
    </w:p>
    <w:p w14:paraId="500FEC4E" w14:textId="339DD5CF" w:rsidR="00A148FE" w:rsidRPr="00167CB8" w:rsidRDefault="00146305" w:rsidP="00A148FE">
      <w:pPr>
        <w:pStyle w:val="Heading5"/>
        <w:rPr>
          <w:rFonts w:asciiTheme="minorHAnsi" w:hAnsiTheme="minorHAnsi"/>
        </w:rPr>
      </w:pPr>
      <w:bookmarkStart w:id="109" w:name="_Toc187421587"/>
      <w:bookmarkStart w:id="110" w:name="_Toc187946390"/>
      <w:r w:rsidRPr="00167CB8">
        <w:rPr>
          <w:rFonts w:asciiTheme="minorHAnsi" w:hAnsiTheme="minorHAnsi"/>
        </w:rPr>
        <w:t>6</w:t>
      </w:r>
      <w:r w:rsidR="00700C7D" w:rsidRPr="00167CB8">
        <w:rPr>
          <w:rFonts w:asciiTheme="minorHAnsi" w:hAnsiTheme="minorHAnsi"/>
        </w:rPr>
        <w:t>.2.1</w:t>
      </w:r>
      <w:r w:rsidR="00A148FE" w:rsidRPr="00167CB8">
        <w:rPr>
          <w:rFonts w:asciiTheme="minorHAnsi" w:hAnsiTheme="minorHAnsi"/>
        </w:rPr>
        <w:t xml:space="preserve"> Quantitative </w:t>
      </w:r>
      <w:r w:rsidR="009B6671" w:rsidRPr="00167CB8">
        <w:rPr>
          <w:rFonts w:asciiTheme="minorHAnsi" w:hAnsiTheme="minorHAnsi"/>
        </w:rPr>
        <w:t>e</w:t>
      </w:r>
      <w:r w:rsidR="00A148FE" w:rsidRPr="00167CB8">
        <w:rPr>
          <w:rFonts w:asciiTheme="minorHAnsi" w:hAnsiTheme="minorHAnsi"/>
        </w:rPr>
        <w:t>vidence</w:t>
      </w:r>
      <w:bookmarkEnd w:id="109"/>
      <w:bookmarkEnd w:id="110"/>
    </w:p>
    <w:p w14:paraId="0DE950AB" w14:textId="5DA0F9A8" w:rsidR="00A148FE" w:rsidRPr="00167CB8" w:rsidRDefault="00A148FE" w:rsidP="00A148FE">
      <w:r w:rsidRPr="00167CB8">
        <w:t xml:space="preserve">The FWC </w:t>
      </w:r>
      <w:r w:rsidRPr="00167CB8">
        <w:rPr>
          <w:i/>
          <w:iCs/>
        </w:rPr>
        <w:t xml:space="preserve">Annual </w:t>
      </w:r>
      <w:r w:rsidR="00D95AE5" w:rsidRPr="00167CB8">
        <w:rPr>
          <w:i/>
          <w:iCs/>
        </w:rPr>
        <w:t>R</w:t>
      </w:r>
      <w:r w:rsidRPr="00167CB8">
        <w:rPr>
          <w:i/>
          <w:iCs/>
        </w:rPr>
        <w:t>eport</w:t>
      </w:r>
      <w:r w:rsidRPr="00167CB8">
        <w:t xml:space="preserve"> </w:t>
      </w:r>
      <w:r w:rsidR="00D95AE5" w:rsidRPr="00167CB8">
        <w:rPr>
          <w:i/>
          <w:iCs/>
        </w:rPr>
        <w:t>2022</w:t>
      </w:r>
      <w:r w:rsidR="00D95AE5" w:rsidRPr="00167CB8">
        <w:rPr>
          <w:rFonts w:ascii="Symbol" w:eastAsia="Symbol" w:hAnsi="Symbol" w:cs="Symbol"/>
          <w:i/>
        </w:rPr>
        <w:sym w:font="Symbol" w:char="F02D"/>
      </w:r>
      <w:r w:rsidR="00D95AE5" w:rsidRPr="00167CB8">
        <w:rPr>
          <w:i/>
          <w:iCs/>
        </w:rPr>
        <w:t>23</w:t>
      </w:r>
      <w:r w:rsidR="00D95AE5" w:rsidRPr="00167CB8">
        <w:t xml:space="preserve"> </w:t>
      </w:r>
      <w:r w:rsidRPr="00167CB8">
        <w:t>stated that:</w:t>
      </w:r>
      <w:r w:rsidRPr="00167CB8">
        <w:rPr>
          <w:vertAlign w:val="superscript"/>
        </w:rPr>
        <w:footnoteReference w:id="151"/>
      </w:r>
    </w:p>
    <w:p w14:paraId="4AC86BEA" w14:textId="415F918F" w:rsidR="00A148FE" w:rsidRPr="00167CB8" w:rsidRDefault="00A148FE" w:rsidP="00C83147">
      <w:pPr>
        <w:pStyle w:val="Quote"/>
      </w:pPr>
      <w:r w:rsidRPr="00167CB8">
        <w:t>On 6 March 2023, the functions of the Registered Organisations Commissioner were transferred to the General Manager of the Commission. Between 6 March 2023 and 30 June 2023, we received 472 matters relating to these transferred functions.</w:t>
      </w:r>
    </w:p>
    <w:p w14:paraId="1B619EDE" w14:textId="746F5069" w:rsidR="00A148FE" w:rsidRPr="00167CB8" w:rsidRDefault="00A148FE" w:rsidP="00A148FE">
      <w:r w:rsidRPr="00167CB8">
        <w:t xml:space="preserve">Prior to the transfer of any workload from the ROC to the FWC, the FWC </w:t>
      </w:r>
      <w:r w:rsidRPr="00167CB8">
        <w:rPr>
          <w:i/>
          <w:iCs/>
        </w:rPr>
        <w:t xml:space="preserve">Annual Report </w:t>
      </w:r>
      <w:r w:rsidR="00D95AE5" w:rsidRPr="00167CB8">
        <w:rPr>
          <w:i/>
          <w:iCs/>
        </w:rPr>
        <w:t>2021</w:t>
      </w:r>
      <w:r w:rsidR="00D95AE5" w:rsidRPr="00167CB8">
        <w:rPr>
          <w:rFonts w:ascii="Symbol" w:eastAsia="Symbol" w:hAnsi="Symbol" w:cs="Symbol"/>
          <w:i/>
        </w:rPr>
        <w:sym w:font="Symbol" w:char="F02D"/>
      </w:r>
      <w:r w:rsidR="00D95AE5" w:rsidRPr="00167CB8">
        <w:rPr>
          <w:i/>
          <w:iCs/>
        </w:rPr>
        <w:t>22</w:t>
      </w:r>
      <w:r w:rsidR="00D95AE5" w:rsidRPr="00167CB8">
        <w:t xml:space="preserve"> </w:t>
      </w:r>
      <w:r w:rsidRPr="00167CB8">
        <w:t xml:space="preserve">disclosed that </w:t>
      </w:r>
      <w:r w:rsidRPr="00167CB8">
        <w:rPr>
          <w:bCs/>
        </w:rPr>
        <w:t>211</w:t>
      </w:r>
      <w:r w:rsidRPr="00167CB8">
        <w:rPr>
          <w:b/>
        </w:rPr>
        <w:t xml:space="preserve"> </w:t>
      </w:r>
      <w:r w:rsidRPr="00167CB8">
        <w:t>applications had been lodged under the RO Act.</w:t>
      </w:r>
      <w:r w:rsidRPr="00167CB8">
        <w:rPr>
          <w:vertAlign w:val="superscript"/>
        </w:rPr>
        <w:footnoteReference w:id="152"/>
      </w:r>
      <w:r w:rsidRPr="00167CB8">
        <w:t xml:space="preserve"> </w:t>
      </w:r>
      <w:r w:rsidR="00D24E65" w:rsidRPr="00167CB8">
        <w:t xml:space="preserve">The FWC </w:t>
      </w:r>
      <w:r w:rsidR="00D24E65" w:rsidRPr="00167CB8">
        <w:rPr>
          <w:i/>
          <w:iCs/>
        </w:rPr>
        <w:t xml:space="preserve">Annual Report </w:t>
      </w:r>
      <w:r w:rsidR="00D95AE5" w:rsidRPr="00167CB8">
        <w:rPr>
          <w:i/>
          <w:iCs/>
        </w:rPr>
        <w:t>2022</w:t>
      </w:r>
      <w:r w:rsidR="00D95AE5" w:rsidRPr="00167CB8">
        <w:rPr>
          <w:rFonts w:ascii="Symbol" w:eastAsia="Symbol" w:hAnsi="Symbol" w:cs="Symbol"/>
          <w:i/>
        </w:rPr>
        <w:sym w:font="Symbol" w:char="F02D"/>
      </w:r>
      <w:r w:rsidR="00D95AE5" w:rsidRPr="00167CB8">
        <w:rPr>
          <w:i/>
          <w:iCs/>
        </w:rPr>
        <w:t>23</w:t>
      </w:r>
      <w:r w:rsidR="00D95AE5" w:rsidRPr="00167CB8">
        <w:t xml:space="preserve"> </w:t>
      </w:r>
      <w:r w:rsidR="00D24E65" w:rsidRPr="00167CB8">
        <w:t>disclosed that 143</w:t>
      </w:r>
      <w:r w:rsidR="00D24E65" w:rsidRPr="00167CB8">
        <w:rPr>
          <w:b/>
        </w:rPr>
        <w:t xml:space="preserve"> </w:t>
      </w:r>
      <w:r w:rsidR="00D24E65" w:rsidRPr="00167CB8">
        <w:t>lodge</w:t>
      </w:r>
      <w:r w:rsidR="00357C4E" w:rsidRPr="00167CB8">
        <w:t>ments</w:t>
      </w:r>
      <w:r w:rsidR="00D24E65" w:rsidRPr="00167CB8">
        <w:t xml:space="preserve"> under the RO Act.</w:t>
      </w:r>
      <w:r w:rsidR="00D24E65" w:rsidRPr="00167CB8">
        <w:rPr>
          <w:rStyle w:val="FootnoteReference"/>
        </w:rPr>
        <w:footnoteReference w:id="153"/>
      </w:r>
      <w:r w:rsidR="004B2405" w:rsidRPr="00167CB8">
        <w:t xml:space="preserve"> </w:t>
      </w:r>
      <w:r w:rsidR="00137882" w:rsidRPr="00167CB8">
        <w:t xml:space="preserve">One </w:t>
      </w:r>
      <w:r w:rsidR="00030918" w:rsidRPr="00167CB8">
        <w:t>formal</w:t>
      </w:r>
      <w:r w:rsidRPr="00167CB8">
        <w:t xml:space="preserve"> investigation under the RO Act </w:t>
      </w:r>
      <w:r w:rsidR="00137882" w:rsidRPr="00167CB8">
        <w:t xml:space="preserve">was </w:t>
      </w:r>
      <w:r w:rsidRPr="00167CB8">
        <w:t>transferred from the ROC to the FWC.</w:t>
      </w:r>
      <w:r w:rsidRPr="00167CB8">
        <w:rPr>
          <w:vertAlign w:val="superscript"/>
        </w:rPr>
        <w:footnoteReference w:id="154"/>
      </w:r>
      <w:r w:rsidRPr="00167CB8">
        <w:t xml:space="preserve"> </w:t>
      </w:r>
    </w:p>
    <w:p w14:paraId="0B187C19" w14:textId="6BCF91AD" w:rsidR="00A148FE" w:rsidRPr="00167CB8" w:rsidRDefault="00A148FE" w:rsidP="00A148FE">
      <w:r w:rsidRPr="00167CB8">
        <w:t xml:space="preserve">The FWC </w:t>
      </w:r>
      <w:r w:rsidRPr="00167CB8">
        <w:rPr>
          <w:i/>
          <w:iCs/>
        </w:rPr>
        <w:t xml:space="preserve">Annual Report </w:t>
      </w:r>
      <w:r w:rsidR="00D95AE5" w:rsidRPr="00167CB8">
        <w:rPr>
          <w:i/>
          <w:iCs/>
        </w:rPr>
        <w:t>2023</w:t>
      </w:r>
      <w:r w:rsidR="00D95AE5" w:rsidRPr="00167CB8">
        <w:rPr>
          <w:rFonts w:ascii="Symbol" w:eastAsia="Symbol" w:hAnsi="Symbol" w:cs="Symbol"/>
          <w:i/>
        </w:rPr>
        <w:sym w:font="Symbol" w:char="F02D"/>
      </w:r>
      <w:r w:rsidR="00D95AE5" w:rsidRPr="00167CB8">
        <w:rPr>
          <w:i/>
          <w:iCs/>
        </w:rPr>
        <w:t>24</w:t>
      </w:r>
      <w:r w:rsidR="00D95AE5" w:rsidRPr="00167CB8">
        <w:t xml:space="preserve"> </w:t>
      </w:r>
      <w:r w:rsidRPr="00167CB8">
        <w:t>is informative</w:t>
      </w:r>
      <w:r w:rsidR="004B2405" w:rsidRPr="00167CB8">
        <w:t>,</w:t>
      </w:r>
      <w:r w:rsidRPr="00167CB8">
        <w:t xml:space="preserve"> </w:t>
      </w:r>
      <w:r w:rsidR="00710514" w:rsidRPr="00167CB8">
        <w:t xml:space="preserve">as </w:t>
      </w:r>
      <w:r w:rsidRPr="00167CB8">
        <w:t>it covers the first full year following the ROC’s abolition and discloses that the FWC handled 1,618</w:t>
      </w:r>
      <w:r w:rsidR="00941694" w:rsidRPr="00167CB8">
        <w:t xml:space="preserve"> </w:t>
      </w:r>
      <w:r w:rsidR="003B07B0" w:rsidRPr="00167CB8">
        <w:t xml:space="preserve">lodgements </w:t>
      </w:r>
      <w:r w:rsidRPr="00167CB8">
        <w:t>pertaining to the RO</w:t>
      </w:r>
      <w:r w:rsidR="004B2405" w:rsidRPr="00167CB8">
        <w:t> </w:t>
      </w:r>
      <w:r w:rsidRPr="00167CB8">
        <w:t>Act.</w:t>
      </w:r>
      <w:r w:rsidRPr="00167CB8">
        <w:rPr>
          <w:vertAlign w:val="superscript"/>
        </w:rPr>
        <w:footnoteReference w:id="155"/>
      </w:r>
      <w:r w:rsidRPr="00167CB8">
        <w:t xml:space="preserve"> </w:t>
      </w:r>
    </w:p>
    <w:p w14:paraId="455D8F91" w14:textId="4B354495" w:rsidR="00A148FE" w:rsidRPr="00167CB8" w:rsidRDefault="00A148FE" w:rsidP="00A148FE">
      <w:r w:rsidRPr="00167CB8">
        <w:t>The</w:t>
      </w:r>
      <w:r w:rsidR="00A3256D" w:rsidRPr="00167CB8">
        <w:t xml:space="preserve"> </w:t>
      </w:r>
      <w:r w:rsidRPr="00167CB8">
        <w:t>increase of</w:t>
      </w:r>
      <w:r w:rsidR="00425C4C" w:rsidRPr="00167CB8">
        <w:t xml:space="preserve"> </w:t>
      </w:r>
      <w:r w:rsidRPr="00167CB8">
        <w:rPr>
          <w:bCs/>
        </w:rPr>
        <w:t>1,475</w:t>
      </w:r>
      <w:r w:rsidRPr="00167CB8">
        <w:t xml:space="preserve"> </w:t>
      </w:r>
      <w:r w:rsidR="0048199A" w:rsidRPr="00167CB8">
        <w:t xml:space="preserve">lodgements </w:t>
      </w:r>
      <w:r w:rsidR="00A3256D" w:rsidRPr="00167CB8">
        <w:t xml:space="preserve">in the </w:t>
      </w:r>
      <w:r w:rsidR="00D95AE5" w:rsidRPr="00167CB8">
        <w:t>a</w:t>
      </w:r>
      <w:r w:rsidR="00A3256D" w:rsidRPr="00167CB8">
        <w:t xml:space="preserve">nnual </w:t>
      </w:r>
      <w:r w:rsidR="00D95AE5" w:rsidRPr="00167CB8">
        <w:t>r</w:t>
      </w:r>
      <w:r w:rsidR="00A3256D" w:rsidRPr="00167CB8">
        <w:t xml:space="preserve">eport </w:t>
      </w:r>
      <w:r w:rsidRPr="00167CB8">
        <w:t xml:space="preserve">following the abolition of the ROC </w:t>
      </w:r>
      <w:r w:rsidR="00191254" w:rsidRPr="00167CB8">
        <w:t>compared to prior to its abolition</w:t>
      </w:r>
      <w:r w:rsidRPr="00167CB8">
        <w:t xml:space="preserve"> is </w:t>
      </w:r>
      <w:r w:rsidR="003F7958" w:rsidRPr="00167CB8">
        <w:t>indicative of</w:t>
      </w:r>
      <w:r w:rsidRPr="00167CB8">
        <w:t xml:space="preserve"> the high volume of routine work the ROC performed under RO Act, which transferred to the FWC. That work is substantially made up of applications and lodg</w:t>
      </w:r>
      <w:r w:rsidR="00A25482" w:rsidRPr="00167CB8">
        <w:t>e</w:t>
      </w:r>
      <w:r w:rsidRPr="00167CB8">
        <w:t xml:space="preserve">ments of paperwork that </w:t>
      </w:r>
      <w:r w:rsidR="00D95AE5" w:rsidRPr="00167CB8">
        <w:t>r</w:t>
      </w:r>
      <w:r w:rsidRPr="00167CB8">
        <w:t xml:space="preserve">egistered </w:t>
      </w:r>
      <w:r w:rsidR="00D95AE5" w:rsidRPr="00167CB8">
        <w:t>o</w:t>
      </w:r>
      <w:r w:rsidRPr="00167CB8">
        <w:t xml:space="preserve">rganisations are required to lodge with the regulator to be compliant with the RO Act.  </w:t>
      </w:r>
    </w:p>
    <w:p w14:paraId="52CD6355" w14:textId="65C0F169" w:rsidR="00A148FE" w:rsidRPr="00167CB8" w:rsidRDefault="00A148FE" w:rsidP="00A148FE">
      <w:r w:rsidRPr="00167CB8">
        <w:t xml:space="preserve">The FWC reported </w:t>
      </w:r>
      <w:r w:rsidR="00283715" w:rsidRPr="00167CB8">
        <w:t xml:space="preserve">in its </w:t>
      </w:r>
      <w:r w:rsidR="00283715" w:rsidRPr="00167CB8">
        <w:rPr>
          <w:i/>
          <w:iCs/>
        </w:rPr>
        <w:t xml:space="preserve">Annual Report </w:t>
      </w:r>
      <w:r w:rsidR="00D95AE5" w:rsidRPr="00167CB8">
        <w:rPr>
          <w:i/>
          <w:iCs/>
        </w:rPr>
        <w:t>2022</w:t>
      </w:r>
      <w:r w:rsidR="00D95AE5" w:rsidRPr="00167CB8">
        <w:rPr>
          <w:rFonts w:ascii="Symbol" w:eastAsia="Symbol" w:hAnsi="Symbol" w:cs="Symbol"/>
          <w:i/>
        </w:rPr>
        <w:sym w:font="Symbol" w:char="F02D"/>
      </w:r>
      <w:r w:rsidR="00D95AE5" w:rsidRPr="00167CB8">
        <w:rPr>
          <w:i/>
          <w:iCs/>
        </w:rPr>
        <w:t>23</w:t>
      </w:r>
      <w:r w:rsidR="00D95AE5" w:rsidRPr="00167CB8">
        <w:t xml:space="preserve"> </w:t>
      </w:r>
      <w:r w:rsidRPr="00167CB8">
        <w:t xml:space="preserve">that 33 </w:t>
      </w:r>
      <w:r w:rsidR="000C532C" w:rsidRPr="00167CB8">
        <w:t>major</w:t>
      </w:r>
      <w:r w:rsidR="009D6723" w:rsidRPr="00167CB8">
        <w:t xml:space="preserve"> </w:t>
      </w:r>
      <w:r w:rsidRPr="00167CB8">
        <w:t>education activities were completed</w:t>
      </w:r>
      <w:r w:rsidR="004F0669" w:rsidRPr="00167CB8">
        <w:t>,</w:t>
      </w:r>
      <w:r w:rsidRPr="00167CB8">
        <w:t xml:space="preserve"> which </w:t>
      </w:r>
      <w:r w:rsidR="00EF3562" w:rsidRPr="00167CB8">
        <w:t xml:space="preserve">appears </w:t>
      </w:r>
      <w:r w:rsidRPr="00167CB8">
        <w:t xml:space="preserve">generally comparable to the number of educational activities that were being undertaken by the ROC. </w:t>
      </w:r>
      <w:r w:rsidR="001249BE" w:rsidRPr="00167CB8">
        <w:t xml:space="preserve">In </w:t>
      </w:r>
      <w:r w:rsidR="00644571" w:rsidRPr="00167CB8">
        <w:t xml:space="preserve">its </w:t>
      </w:r>
      <w:r w:rsidR="00830931" w:rsidRPr="00167CB8">
        <w:rPr>
          <w:i/>
          <w:iCs/>
        </w:rPr>
        <w:t xml:space="preserve">Annual Report </w:t>
      </w:r>
      <w:r w:rsidR="00D95AE5" w:rsidRPr="00167CB8">
        <w:rPr>
          <w:i/>
          <w:iCs/>
        </w:rPr>
        <w:t>2023</w:t>
      </w:r>
      <w:r w:rsidR="00D95AE5" w:rsidRPr="00167CB8">
        <w:rPr>
          <w:rFonts w:ascii="Symbol" w:eastAsia="Symbol" w:hAnsi="Symbol" w:cs="Symbol"/>
          <w:i/>
        </w:rPr>
        <w:sym w:font="Symbol" w:char="F02D"/>
      </w:r>
      <w:r w:rsidR="00D95AE5" w:rsidRPr="00167CB8">
        <w:rPr>
          <w:i/>
          <w:iCs/>
        </w:rPr>
        <w:t>24</w:t>
      </w:r>
      <w:r w:rsidR="00D95AE5" w:rsidRPr="00167CB8">
        <w:t xml:space="preserve"> </w:t>
      </w:r>
      <w:r w:rsidR="00830931" w:rsidRPr="00167CB8">
        <w:t>the FWC reported that 21 major education activities were completed and</w:t>
      </w:r>
      <w:r w:rsidR="00AA1C7F" w:rsidRPr="00167CB8">
        <w:t xml:space="preserve"> separately reported</w:t>
      </w:r>
      <w:r w:rsidR="002E01B2" w:rsidRPr="00167CB8">
        <w:t xml:space="preserve"> a further </w:t>
      </w:r>
      <w:r w:rsidR="00AA1C7F" w:rsidRPr="00167CB8">
        <w:t>17</w:t>
      </w:r>
      <w:r w:rsidR="004A4309" w:rsidRPr="00167CB8">
        <w:t xml:space="preserve"> education </w:t>
      </w:r>
      <w:r w:rsidR="002E01B2" w:rsidRPr="00167CB8">
        <w:t>activities under the RO Act.</w:t>
      </w:r>
      <w:r w:rsidR="002E01B2" w:rsidRPr="00167CB8">
        <w:rPr>
          <w:rStyle w:val="FootnoteReference"/>
          <w:rFonts w:eastAsia="Times New Roman" w:cs="Times New Roman"/>
          <w:color w:val="000000"/>
          <w:sz w:val="16"/>
          <w:szCs w:val="16"/>
          <w:lang w:eastAsia="en-AU"/>
        </w:rPr>
        <w:footnoteReference w:id="156"/>
      </w:r>
      <w:r w:rsidR="002E01B2" w:rsidRPr="00167CB8">
        <w:rPr>
          <w:rFonts w:eastAsia="Times New Roman" w:cs="Times New Roman"/>
          <w:color w:val="000000"/>
          <w:sz w:val="16"/>
          <w:szCs w:val="16"/>
          <w:lang w:eastAsia="en-AU"/>
        </w:rPr>
        <w:t xml:space="preserve"> </w:t>
      </w:r>
      <w:r w:rsidRPr="00167CB8">
        <w:t xml:space="preserve">Table </w:t>
      </w:r>
      <w:r w:rsidR="00BE31F2" w:rsidRPr="00167CB8">
        <w:t xml:space="preserve">5 </w:t>
      </w:r>
      <w:r w:rsidR="003F7BC7" w:rsidRPr="00167CB8">
        <w:t>shows</w:t>
      </w:r>
      <w:r w:rsidR="00743434" w:rsidRPr="00167CB8">
        <w:t xml:space="preserve"> the number of </w:t>
      </w:r>
      <w:r w:rsidR="0087780B" w:rsidRPr="00167CB8">
        <w:t>m</w:t>
      </w:r>
      <w:r w:rsidR="00743434" w:rsidRPr="00167CB8">
        <w:t xml:space="preserve">ajor education activities undertaken </w:t>
      </w:r>
      <w:r w:rsidR="0087780B" w:rsidRPr="00167CB8">
        <w:t xml:space="preserve">by the </w:t>
      </w:r>
      <w:r w:rsidR="00743434" w:rsidRPr="00167CB8">
        <w:t xml:space="preserve">ROC </w:t>
      </w:r>
      <w:r w:rsidR="003F7BC7" w:rsidRPr="00167CB8">
        <w:t>and</w:t>
      </w:r>
      <w:r w:rsidR="0087780B" w:rsidRPr="00167CB8">
        <w:t xml:space="preserve"> the</w:t>
      </w:r>
      <w:r w:rsidR="00743434" w:rsidRPr="00167CB8">
        <w:t xml:space="preserve"> FWC</w:t>
      </w:r>
      <w:r w:rsidRPr="00167CB8">
        <w:t>.</w:t>
      </w:r>
    </w:p>
    <w:p w14:paraId="288F77DC" w14:textId="77777777" w:rsidR="00306211" w:rsidRDefault="00306211">
      <w:pPr>
        <w:spacing w:after="160"/>
        <w:rPr>
          <w:rFonts w:cs="Calibri"/>
          <w:b/>
          <w:bCs/>
          <w:lang w:val="en-US"/>
        </w:rPr>
      </w:pPr>
      <w:r>
        <w:br w:type="page"/>
      </w:r>
    </w:p>
    <w:p w14:paraId="2C688A6C" w14:textId="63435136" w:rsidR="00A148FE" w:rsidRPr="00167CB8" w:rsidRDefault="00A148FE" w:rsidP="00470AB9">
      <w:pPr>
        <w:pStyle w:val="Caption"/>
      </w:pPr>
      <w:r w:rsidRPr="00167CB8">
        <w:lastRenderedPageBreak/>
        <w:t xml:space="preserve">Table </w:t>
      </w:r>
      <w:r w:rsidR="00BE31F2" w:rsidRPr="00167CB8">
        <w:t>5</w:t>
      </w:r>
      <w:r w:rsidR="00C06D45" w:rsidRPr="00167CB8">
        <w:t>:</w:t>
      </w:r>
      <w:r w:rsidRPr="00167CB8">
        <w:t xml:space="preserve"> Major education activities undertaken </w:t>
      </w:r>
      <w:r w:rsidR="00D95AE5" w:rsidRPr="00167CB8">
        <w:t xml:space="preserve">Registered Organisations Commission </w:t>
      </w:r>
      <w:r w:rsidRPr="00167CB8">
        <w:t xml:space="preserve">and </w:t>
      </w:r>
      <w:r w:rsidR="00D95AE5" w:rsidRPr="00167CB8">
        <w:t>Fair Work Commission</w:t>
      </w:r>
    </w:p>
    <w:tbl>
      <w:tblPr>
        <w:tblpPr w:leftFromText="180" w:rightFromText="180" w:vertAnchor="text" w:tblpY="1"/>
        <w:tblOverlap w:val="never"/>
        <w:tblW w:w="8936" w:type="dxa"/>
        <w:tblLook w:val="04A0" w:firstRow="1" w:lastRow="0" w:firstColumn="1" w:lastColumn="0" w:noHBand="0" w:noVBand="1"/>
      </w:tblPr>
      <w:tblGrid>
        <w:gridCol w:w="1135"/>
        <w:gridCol w:w="1025"/>
        <w:gridCol w:w="1354"/>
        <w:gridCol w:w="5422"/>
      </w:tblGrid>
      <w:tr w:rsidR="00A148FE" w:rsidRPr="00167CB8" w14:paraId="44BA7727" w14:textId="77777777" w:rsidTr="00E62C87">
        <w:trPr>
          <w:trHeight w:val="313"/>
        </w:trPr>
        <w:tc>
          <w:tcPr>
            <w:tcW w:w="89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2335" w14:textId="2B5F6109" w:rsidR="00A148FE" w:rsidRPr="00167CB8" w:rsidRDefault="00A148FE" w:rsidP="00036836">
            <w:pPr>
              <w:rPr>
                <w:rFonts w:eastAsia="Times New Roman" w:cs="Times New Roman"/>
                <w:b/>
                <w:color w:val="000000"/>
                <w:sz w:val="16"/>
                <w:szCs w:val="16"/>
                <w:lang w:eastAsia="en-AU"/>
              </w:rPr>
            </w:pPr>
            <w:bookmarkStart w:id="111" w:name="_Toc187421588"/>
            <w:r w:rsidRPr="00167CB8">
              <w:rPr>
                <w:rFonts w:eastAsia="Times New Roman" w:cs="Times New Roman"/>
                <w:b/>
                <w:color w:val="000000"/>
                <w:sz w:val="16"/>
                <w:szCs w:val="16"/>
                <w:lang w:eastAsia="en-AU"/>
              </w:rPr>
              <w:t xml:space="preserve">Number of major education activities targeted at organisations and their members by </w:t>
            </w:r>
            <w:r w:rsidR="00D95AE5" w:rsidRPr="00167CB8">
              <w:rPr>
                <w:rFonts w:eastAsia="Times New Roman" w:cs="Times New Roman"/>
                <w:b/>
                <w:color w:val="000000"/>
                <w:sz w:val="16"/>
                <w:szCs w:val="16"/>
                <w:lang w:eastAsia="en-AU"/>
              </w:rPr>
              <w:t>a</w:t>
            </w:r>
            <w:r w:rsidRPr="00167CB8">
              <w:rPr>
                <w:rFonts w:eastAsia="Times New Roman" w:cs="Times New Roman"/>
                <w:b/>
                <w:color w:val="000000"/>
                <w:sz w:val="16"/>
                <w:szCs w:val="16"/>
                <w:lang w:eastAsia="en-AU"/>
              </w:rPr>
              <w:t xml:space="preserve">nnual </w:t>
            </w:r>
            <w:r w:rsidR="00D95AE5" w:rsidRPr="00167CB8">
              <w:rPr>
                <w:rFonts w:eastAsia="Times New Roman" w:cs="Times New Roman"/>
                <w:b/>
                <w:color w:val="000000"/>
                <w:sz w:val="16"/>
                <w:szCs w:val="16"/>
                <w:lang w:eastAsia="en-AU"/>
              </w:rPr>
              <w:t>r</w:t>
            </w:r>
            <w:r w:rsidRPr="00167CB8">
              <w:rPr>
                <w:rFonts w:eastAsia="Times New Roman" w:cs="Times New Roman"/>
                <w:b/>
                <w:color w:val="000000"/>
                <w:sz w:val="16"/>
                <w:szCs w:val="16"/>
                <w:lang w:eastAsia="en-AU"/>
              </w:rPr>
              <w:t xml:space="preserve">eport </w:t>
            </w:r>
          </w:p>
        </w:tc>
      </w:tr>
      <w:tr w:rsidR="00A148FE" w:rsidRPr="00167CB8" w14:paraId="2F8DDCE2" w14:textId="77777777" w:rsidTr="00E62C87">
        <w:trPr>
          <w:trHeight w:val="313"/>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9F746"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Institution</w:t>
            </w:r>
          </w:p>
        </w:tc>
        <w:tc>
          <w:tcPr>
            <w:tcW w:w="1025" w:type="dxa"/>
            <w:tcBorders>
              <w:top w:val="single" w:sz="4" w:space="0" w:color="auto"/>
              <w:left w:val="nil"/>
              <w:bottom w:val="single" w:sz="4" w:space="0" w:color="auto"/>
              <w:right w:val="single" w:sz="4" w:space="0" w:color="auto"/>
            </w:tcBorders>
            <w:shd w:val="clear" w:color="auto" w:fill="auto"/>
            <w:noWrap/>
            <w:vAlign w:val="bottom"/>
          </w:tcPr>
          <w:p w14:paraId="221005AF"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Year</w:t>
            </w:r>
          </w:p>
        </w:tc>
        <w:tc>
          <w:tcPr>
            <w:tcW w:w="1354" w:type="dxa"/>
            <w:tcBorders>
              <w:top w:val="single" w:sz="4" w:space="0" w:color="auto"/>
              <w:left w:val="nil"/>
              <w:bottom w:val="single" w:sz="4" w:space="0" w:color="auto"/>
              <w:right w:val="single" w:sz="4" w:space="0" w:color="auto"/>
            </w:tcBorders>
            <w:shd w:val="clear" w:color="auto" w:fill="auto"/>
            <w:noWrap/>
            <w:vAlign w:val="bottom"/>
          </w:tcPr>
          <w:p w14:paraId="5BB6C877" w14:textId="77777777"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Number completed</w:t>
            </w:r>
          </w:p>
        </w:tc>
        <w:tc>
          <w:tcPr>
            <w:tcW w:w="5421" w:type="dxa"/>
            <w:tcBorders>
              <w:top w:val="single" w:sz="4" w:space="0" w:color="auto"/>
              <w:left w:val="nil"/>
              <w:bottom w:val="single" w:sz="4" w:space="0" w:color="auto"/>
              <w:right w:val="single" w:sz="4" w:space="0" w:color="auto"/>
            </w:tcBorders>
            <w:shd w:val="clear" w:color="auto" w:fill="auto"/>
            <w:noWrap/>
            <w:vAlign w:val="bottom"/>
          </w:tcPr>
          <w:p w14:paraId="0E35586C"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Source</w:t>
            </w:r>
          </w:p>
        </w:tc>
      </w:tr>
      <w:tr w:rsidR="00A148FE" w:rsidRPr="00167CB8" w14:paraId="7E237F90" w14:textId="77777777" w:rsidTr="00E62C87">
        <w:trPr>
          <w:trHeight w:val="313"/>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705FA609"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w:t>
            </w:r>
          </w:p>
        </w:tc>
        <w:tc>
          <w:tcPr>
            <w:tcW w:w="1025" w:type="dxa"/>
            <w:tcBorders>
              <w:top w:val="nil"/>
              <w:left w:val="nil"/>
              <w:bottom w:val="single" w:sz="4" w:space="0" w:color="auto"/>
              <w:right w:val="single" w:sz="4" w:space="0" w:color="auto"/>
            </w:tcBorders>
            <w:shd w:val="clear" w:color="auto" w:fill="auto"/>
            <w:noWrap/>
            <w:vAlign w:val="bottom"/>
            <w:hideMark/>
          </w:tcPr>
          <w:p w14:paraId="2071A29B" w14:textId="051A6DCA"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2018</w:t>
            </w:r>
            <w:r w:rsidR="00283715" w:rsidRPr="00167CB8">
              <w:rPr>
                <w:rFonts w:ascii="Symbol" w:eastAsia="Symbol" w:hAnsi="Symbol" w:cs="Symbol"/>
                <w:color w:val="000000"/>
                <w:sz w:val="16"/>
                <w:szCs w:val="16"/>
                <w:lang w:eastAsia="en-AU"/>
              </w:rPr>
              <w:sym w:font="Symbol" w:char="F02D"/>
            </w:r>
            <w:r w:rsidRPr="00167CB8">
              <w:rPr>
                <w:rFonts w:eastAsia="Times New Roman" w:cs="Times New Roman"/>
                <w:color w:val="000000"/>
                <w:sz w:val="16"/>
                <w:szCs w:val="16"/>
                <w:lang w:eastAsia="en-AU"/>
              </w:rPr>
              <w:t>19</w:t>
            </w:r>
          </w:p>
        </w:tc>
        <w:tc>
          <w:tcPr>
            <w:tcW w:w="1354" w:type="dxa"/>
            <w:tcBorders>
              <w:top w:val="nil"/>
              <w:left w:val="nil"/>
              <w:bottom w:val="single" w:sz="4" w:space="0" w:color="auto"/>
              <w:right w:val="single" w:sz="4" w:space="0" w:color="auto"/>
            </w:tcBorders>
            <w:shd w:val="clear" w:color="auto" w:fill="auto"/>
            <w:noWrap/>
            <w:vAlign w:val="bottom"/>
            <w:hideMark/>
          </w:tcPr>
          <w:p w14:paraId="4277C72F" w14:textId="77777777"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22</w:t>
            </w:r>
          </w:p>
        </w:tc>
        <w:tc>
          <w:tcPr>
            <w:tcW w:w="5421" w:type="dxa"/>
            <w:tcBorders>
              <w:top w:val="nil"/>
              <w:left w:val="nil"/>
              <w:bottom w:val="single" w:sz="4" w:space="0" w:color="auto"/>
              <w:right w:val="single" w:sz="4" w:space="0" w:color="auto"/>
            </w:tcBorders>
            <w:shd w:val="clear" w:color="auto" w:fill="auto"/>
            <w:noWrap/>
            <w:vAlign w:val="bottom"/>
            <w:hideMark/>
          </w:tcPr>
          <w:p w14:paraId="08213CBB" w14:textId="61F297DA" w:rsidR="00A148FE" w:rsidRPr="00167CB8" w:rsidRDefault="00854B23" w:rsidP="006000ED">
            <w:pPr>
              <w:spacing w:after="0"/>
              <w:rPr>
                <w:rFonts w:eastAsia="Times New Roman" w:cs="Times New Roman"/>
                <w:i/>
                <w:iCs/>
                <w:sz w:val="16"/>
                <w:szCs w:val="16"/>
                <w:lang w:eastAsia="en-AU"/>
              </w:rPr>
            </w:pPr>
            <w:r w:rsidRPr="00167CB8">
              <w:rPr>
                <w:rFonts w:eastAsia="Times New Roman" w:cs="Times New Roman"/>
                <w:sz w:val="16"/>
                <w:szCs w:val="16"/>
                <w:lang w:eastAsia="en-AU"/>
              </w:rPr>
              <w:t>Fair Work Ombudsman and Registered Organisations Commission Entity</w:t>
            </w:r>
            <w:r w:rsidR="00D95AE5" w:rsidRPr="00167CB8">
              <w:rPr>
                <w:rFonts w:eastAsia="Times New Roman" w:cs="Times New Roman"/>
                <w:sz w:val="16"/>
                <w:szCs w:val="16"/>
                <w:lang w:eastAsia="en-AU"/>
              </w:rPr>
              <w:t>,</w:t>
            </w:r>
            <w:r w:rsidRPr="00167CB8">
              <w:rPr>
                <w:rFonts w:eastAsia="Times New Roman" w:cs="Times New Roman"/>
                <w:i/>
                <w:iCs/>
                <w:sz w:val="16"/>
                <w:szCs w:val="16"/>
                <w:lang w:eastAsia="en-AU"/>
              </w:rPr>
              <w:t xml:space="preserve"> Annual Report 2018–19</w:t>
            </w:r>
          </w:p>
        </w:tc>
      </w:tr>
      <w:tr w:rsidR="00A148FE" w:rsidRPr="00167CB8" w14:paraId="016D3097" w14:textId="77777777" w:rsidTr="00E62C87">
        <w:trPr>
          <w:trHeight w:val="313"/>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32E1A8E8"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w:t>
            </w:r>
          </w:p>
        </w:tc>
        <w:tc>
          <w:tcPr>
            <w:tcW w:w="1025" w:type="dxa"/>
            <w:tcBorders>
              <w:top w:val="nil"/>
              <w:left w:val="nil"/>
              <w:bottom w:val="single" w:sz="4" w:space="0" w:color="auto"/>
              <w:right w:val="single" w:sz="4" w:space="0" w:color="auto"/>
            </w:tcBorders>
            <w:shd w:val="clear" w:color="auto" w:fill="auto"/>
            <w:noWrap/>
            <w:vAlign w:val="bottom"/>
            <w:hideMark/>
          </w:tcPr>
          <w:p w14:paraId="16198DD9" w14:textId="32B86C40"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2019</w:t>
            </w:r>
            <w:r w:rsidR="00283715" w:rsidRPr="00167CB8">
              <w:rPr>
                <w:rFonts w:ascii="Symbol" w:eastAsia="Symbol" w:hAnsi="Symbol" w:cs="Symbol"/>
                <w:color w:val="000000"/>
                <w:sz w:val="16"/>
                <w:szCs w:val="16"/>
                <w:lang w:eastAsia="en-AU"/>
              </w:rPr>
              <w:sym w:font="Symbol" w:char="F02D"/>
            </w:r>
            <w:r w:rsidRPr="00167CB8">
              <w:rPr>
                <w:rFonts w:eastAsia="Times New Roman" w:cs="Times New Roman"/>
                <w:color w:val="000000"/>
                <w:sz w:val="16"/>
                <w:szCs w:val="16"/>
                <w:lang w:eastAsia="en-AU"/>
              </w:rPr>
              <w:t>20</w:t>
            </w:r>
          </w:p>
        </w:tc>
        <w:tc>
          <w:tcPr>
            <w:tcW w:w="1354" w:type="dxa"/>
            <w:tcBorders>
              <w:top w:val="nil"/>
              <w:left w:val="nil"/>
              <w:bottom w:val="single" w:sz="4" w:space="0" w:color="auto"/>
              <w:right w:val="single" w:sz="4" w:space="0" w:color="auto"/>
            </w:tcBorders>
            <w:shd w:val="clear" w:color="auto" w:fill="auto"/>
            <w:noWrap/>
            <w:vAlign w:val="bottom"/>
            <w:hideMark/>
          </w:tcPr>
          <w:p w14:paraId="6D636ED5" w14:textId="77777777"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36</w:t>
            </w:r>
          </w:p>
        </w:tc>
        <w:tc>
          <w:tcPr>
            <w:tcW w:w="5421" w:type="dxa"/>
            <w:tcBorders>
              <w:top w:val="nil"/>
              <w:left w:val="nil"/>
              <w:bottom w:val="single" w:sz="4" w:space="0" w:color="auto"/>
              <w:right w:val="single" w:sz="4" w:space="0" w:color="auto"/>
            </w:tcBorders>
            <w:shd w:val="clear" w:color="auto" w:fill="auto"/>
            <w:noWrap/>
            <w:vAlign w:val="bottom"/>
            <w:hideMark/>
          </w:tcPr>
          <w:p w14:paraId="1A9FD9A4" w14:textId="681D95DC" w:rsidR="00A148FE" w:rsidRPr="00167CB8" w:rsidRDefault="00755F75" w:rsidP="006000ED">
            <w:pPr>
              <w:spacing w:after="0"/>
              <w:rPr>
                <w:rFonts w:eastAsia="Times New Roman" w:cs="Times New Roman"/>
                <w:i/>
                <w:iCs/>
                <w:sz w:val="16"/>
                <w:szCs w:val="16"/>
                <w:lang w:eastAsia="en-AU"/>
              </w:rPr>
            </w:pPr>
            <w:r w:rsidRPr="00167CB8">
              <w:rPr>
                <w:rFonts w:eastAsia="Times New Roman" w:cs="Times New Roman"/>
                <w:sz w:val="16"/>
                <w:szCs w:val="16"/>
                <w:lang w:eastAsia="en-AU"/>
              </w:rPr>
              <w:t>Fair Work Ombudsman and Registered Organisations Commission Entity</w:t>
            </w:r>
            <w:r w:rsidR="00D95AE5" w:rsidRPr="00167CB8">
              <w:rPr>
                <w:rFonts w:eastAsia="Times New Roman" w:cs="Times New Roman"/>
                <w:sz w:val="16"/>
                <w:szCs w:val="16"/>
                <w:lang w:eastAsia="en-AU"/>
              </w:rPr>
              <w:t>,</w:t>
            </w:r>
            <w:r w:rsidRPr="00167CB8">
              <w:rPr>
                <w:rFonts w:eastAsia="Times New Roman" w:cs="Times New Roman"/>
                <w:i/>
                <w:iCs/>
                <w:sz w:val="16"/>
                <w:szCs w:val="16"/>
                <w:lang w:eastAsia="en-AU"/>
              </w:rPr>
              <w:t xml:space="preserve"> Annual Report 2019</w:t>
            </w:r>
            <w:r w:rsidR="00283715" w:rsidRPr="00167CB8">
              <w:rPr>
                <w:rFonts w:ascii="Symbol" w:eastAsia="Symbol" w:hAnsi="Symbol" w:cs="Symbol"/>
                <w:i/>
                <w:sz w:val="16"/>
                <w:szCs w:val="16"/>
                <w:lang w:eastAsia="en-AU"/>
              </w:rPr>
              <w:sym w:font="Symbol" w:char="F02D"/>
            </w:r>
            <w:r w:rsidRPr="00167CB8">
              <w:rPr>
                <w:rFonts w:eastAsia="Times New Roman" w:cs="Times New Roman"/>
                <w:i/>
                <w:iCs/>
                <w:sz w:val="16"/>
                <w:szCs w:val="16"/>
                <w:lang w:eastAsia="en-AU"/>
              </w:rPr>
              <w:t>20</w:t>
            </w:r>
          </w:p>
        </w:tc>
      </w:tr>
      <w:tr w:rsidR="00A148FE" w:rsidRPr="00167CB8" w14:paraId="55061B9A" w14:textId="77777777" w:rsidTr="00E62C87">
        <w:trPr>
          <w:trHeight w:val="313"/>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54EDB352"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w:t>
            </w:r>
          </w:p>
        </w:tc>
        <w:tc>
          <w:tcPr>
            <w:tcW w:w="1025" w:type="dxa"/>
            <w:tcBorders>
              <w:top w:val="nil"/>
              <w:left w:val="nil"/>
              <w:bottom w:val="single" w:sz="4" w:space="0" w:color="auto"/>
              <w:right w:val="single" w:sz="4" w:space="0" w:color="auto"/>
            </w:tcBorders>
            <w:shd w:val="clear" w:color="auto" w:fill="auto"/>
            <w:noWrap/>
            <w:vAlign w:val="bottom"/>
            <w:hideMark/>
          </w:tcPr>
          <w:p w14:paraId="3E053FE9" w14:textId="520B051E"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2020–21</w:t>
            </w:r>
          </w:p>
        </w:tc>
        <w:tc>
          <w:tcPr>
            <w:tcW w:w="1354" w:type="dxa"/>
            <w:tcBorders>
              <w:top w:val="nil"/>
              <w:left w:val="nil"/>
              <w:bottom w:val="single" w:sz="4" w:space="0" w:color="auto"/>
              <w:right w:val="single" w:sz="4" w:space="0" w:color="auto"/>
            </w:tcBorders>
            <w:shd w:val="clear" w:color="auto" w:fill="auto"/>
            <w:noWrap/>
            <w:vAlign w:val="bottom"/>
            <w:hideMark/>
          </w:tcPr>
          <w:p w14:paraId="6A719AE5" w14:textId="77777777"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34</w:t>
            </w:r>
          </w:p>
        </w:tc>
        <w:tc>
          <w:tcPr>
            <w:tcW w:w="5421" w:type="dxa"/>
            <w:tcBorders>
              <w:top w:val="nil"/>
              <w:left w:val="nil"/>
              <w:bottom w:val="single" w:sz="4" w:space="0" w:color="auto"/>
              <w:right w:val="single" w:sz="4" w:space="0" w:color="auto"/>
            </w:tcBorders>
            <w:shd w:val="clear" w:color="auto" w:fill="auto"/>
            <w:noWrap/>
            <w:vAlign w:val="bottom"/>
            <w:hideMark/>
          </w:tcPr>
          <w:p w14:paraId="23502773" w14:textId="0BD034D5" w:rsidR="00A148FE" w:rsidRPr="00167CB8" w:rsidRDefault="00854B23" w:rsidP="006000ED">
            <w:pPr>
              <w:spacing w:after="0"/>
              <w:rPr>
                <w:rFonts w:eastAsia="Times New Roman" w:cs="Times New Roman"/>
                <w:i/>
                <w:iCs/>
                <w:sz w:val="16"/>
                <w:szCs w:val="16"/>
                <w:lang w:eastAsia="en-AU"/>
              </w:rPr>
            </w:pPr>
            <w:r w:rsidRPr="00167CB8">
              <w:rPr>
                <w:rFonts w:eastAsia="Times New Roman" w:cs="Times New Roman"/>
                <w:sz w:val="16"/>
                <w:szCs w:val="16"/>
                <w:lang w:eastAsia="en-AU"/>
              </w:rPr>
              <w:t>Fair Work Ombudsman and Registered Organisations Commission Entity</w:t>
            </w:r>
            <w:r w:rsidR="00D95AE5" w:rsidRPr="00167CB8">
              <w:rPr>
                <w:rFonts w:eastAsia="Times New Roman" w:cs="Times New Roman"/>
                <w:sz w:val="16"/>
                <w:szCs w:val="16"/>
                <w:lang w:eastAsia="en-AU"/>
              </w:rPr>
              <w:t>,</w:t>
            </w:r>
            <w:r w:rsidRPr="00167CB8">
              <w:rPr>
                <w:rFonts w:eastAsia="Times New Roman" w:cs="Times New Roman"/>
                <w:i/>
                <w:iCs/>
                <w:sz w:val="16"/>
                <w:szCs w:val="16"/>
                <w:lang w:eastAsia="en-AU"/>
              </w:rPr>
              <w:t xml:space="preserve"> Annual Report 2020</w:t>
            </w:r>
            <w:r w:rsidR="00283715" w:rsidRPr="00167CB8">
              <w:rPr>
                <w:rFonts w:ascii="Symbol" w:eastAsia="Symbol" w:hAnsi="Symbol" w:cs="Symbol"/>
                <w:i/>
                <w:sz w:val="16"/>
                <w:szCs w:val="16"/>
                <w:lang w:eastAsia="en-AU"/>
              </w:rPr>
              <w:sym w:font="Symbol" w:char="F02D"/>
            </w:r>
            <w:r w:rsidRPr="00167CB8">
              <w:rPr>
                <w:rFonts w:eastAsia="Times New Roman" w:cs="Times New Roman"/>
                <w:i/>
                <w:iCs/>
                <w:sz w:val="16"/>
                <w:szCs w:val="16"/>
                <w:lang w:eastAsia="en-AU"/>
              </w:rPr>
              <w:t xml:space="preserve">21 </w:t>
            </w:r>
          </w:p>
        </w:tc>
      </w:tr>
      <w:tr w:rsidR="00A148FE" w:rsidRPr="00167CB8" w14:paraId="7FA8B37E" w14:textId="77777777" w:rsidTr="00E62C87">
        <w:trPr>
          <w:trHeight w:val="313"/>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665DBEF5"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w:t>
            </w:r>
          </w:p>
        </w:tc>
        <w:tc>
          <w:tcPr>
            <w:tcW w:w="1025" w:type="dxa"/>
            <w:tcBorders>
              <w:top w:val="nil"/>
              <w:left w:val="nil"/>
              <w:bottom w:val="single" w:sz="4" w:space="0" w:color="auto"/>
              <w:right w:val="single" w:sz="4" w:space="0" w:color="auto"/>
            </w:tcBorders>
            <w:shd w:val="clear" w:color="auto" w:fill="auto"/>
            <w:noWrap/>
            <w:vAlign w:val="bottom"/>
            <w:hideMark/>
          </w:tcPr>
          <w:p w14:paraId="357398F1" w14:textId="4D877631"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2021</w:t>
            </w:r>
            <w:r w:rsidR="00283715" w:rsidRPr="00167CB8">
              <w:rPr>
                <w:rFonts w:ascii="Symbol" w:eastAsia="Symbol" w:hAnsi="Symbol" w:cs="Symbol"/>
                <w:color w:val="000000"/>
                <w:sz w:val="16"/>
                <w:szCs w:val="16"/>
                <w:lang w:eastAsia="en-AU"/>
              </w:rPr>
              <w:sym w:font="Symbol" w:char="F02D"/>
            </w:r>
            <w:r w:rsidRPr="00167CB8">
              <w:rPr>
                <w:rFonts w:eastAsia="Times New Roman" w:cs="Times New Roman"/>
                <w:color w:val="000000"/>
                <w:sz w:val="16"/>
                <w:szCs w:val="16"/>
                <w:lang w:eastAsia="en-AU"/>
              </w:rPr>
              <w:t>22</w:t>
            </w:r>
          </w:p>
        </w:tc>
        <w:tc>
          <w:tcPr>
            <w:tcW w:w="1354" w:type="dxa"/>
            <w:tcBorders>
              <w:top w:val="nil"/>
              <w:left w:val="nil"/>
              <w:bottom w:val="single" w:sz="4" w:space="0" w:color="auto"/>
              <w:right w:val="single" w:sz="4" w:space="0" w:color="auto"/>
            </w:tcBorders>
            <w:shd w:val="clear" w:color="auto" w:fill="auto"/>
            <w:noWrap/>
            <w:vAlign w:val="bottom"/>
            <w:hideMark/>
          </w:tcPr>
          <w:p w14:paraId="2EBF2A85" w14:textId="77777777"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34</w:t>
            </w:r>
          </w:p>
        </w:tc>
        <w:tc>
          <w:tcPr>
            <w:tcW w:w="5421" w:type="dxa"/>
            <w:tcBorders>
              <w:top w:val="nil"/>
              <w:left w:val="nil"/>
              <w:bottom w:val="single" w:sz="4" w:space="0" w:color="auto"/>
              <w:right w:val="single" w:sz="4" w:space="0" w:color="auto"/>
            </w:tcBorders>
            <w:shd w:val="clear" w:color="auto" w:fill="auto"/>
            <w:noWrap/>
            <w:vAlign w:val="bottom"/>
            <w:hideMark/>
          </w:tcPr>
          <w:p w14:paraId="76CF0967" w14:textId="60CE1316" w:rsidR="00A148FE" w:rsidRPr="00167CB8" w:rsidRDefault="00755F75" w:rsidP="006000ED">
            <w:pPr>
              <w:spacing w:after="0"/>
              <w:rPr>
                <w:rFonts w:eastAsia="Times New Roman" w:cs="Times New Roman"/>
                <w:i/>
                <w:iCs/>
                <w:sz w:val="16"/>
                <w:szCs w:val="16"/>
                <w:lang w:eastAsia="en-AU"/>
              </w:rPr>
            </w:pPr>
            <w:r w:rsidRPr="00167CB8">
              <w:rPr>
                <w:rFonts w:eastAsia="Times New Roman" w:cs="Times New Roman"/>
                <w:sz w:val="16"/>
                <w:szCs w:val="16"/>
                <w:lang w:eastAsia="en-AU"/>
              </w:rPr>
              <w:t>Fair Work Ombudsman and Registered Organisations Commission Entity</w:t>
            </w:r>
            <w:r w:rsidR="00D95AE5" w:rsidRPr="00167CB8">
              <w:rPr>
                <w:rFonts w:eastAsia="Times New Roman" w:cs="Times New Roman"/>
                <w:sz w:val="16"/>
                <w:szCs w:val="16"/>
                <w:lang w:eastAsia="en-AU"/>
              </w:rPr>
              <w:t>,</w:t>
            </w:r>
            <w:r w:rsidRPr="00167CB8">
              <w:rPr>
                <w:rFonts w:eastAsia="Times New Roman" w:cs="Times New Roman"/>
                <w:i/>
                <w:iCs/>
                <w:sz w:val="16"/>
                <w:szCs w:val="16"/>
                <w:lang w:eastAsia="en-AU"/>
              </w:rPr>
              <w:t xml:space="preserve"> Annual Report 2021</w:t>
            </w:r>
            <w:r w:rsidR="00283715" w:rsidRPr="00167CB8">
              <w:rPr>
                <w:rFonts w:ascii="Symbol" w:eastAsia="Symbol" w:hAnsi="Symbol" w:cs="Symbol"/>
                <w:i/>
                <w:sz w:val="16"/>
                <w:szCs w:val="16"/>
                <w:lang w:eastAsia="en-AU"/>
              </w:rPr>
              <w:sym w:font="Symbol" w:char="F02D"/>
            </w:r>
            <w:r w:rsidRPr="00167CB8">
              <w:rPr>
                <w:rFonts w:eastAsia="Times New Roman" w:cs="Times New Roman"/>
                <w:i/>
                <w:iCs/>
                <w:sz w:val="16"/>
                <w:szCs w:val="16"/>
                <w:lang w:eastAsia="en-AU"/>
              </w:rPr>
              <w:t>22</w:t>
            </w:r>
          </w:p>
        </w:tc>
      </w:tr>
      <w:tr w:rsidR="00A148FE" w:rsidRPr="00167CB8" w14:paraId="599054CF" w14:textId="77777777" w:rsidTr="00E62C87">
        <w:trPr>
          <w:trHeight w:val="313"/>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05FAEB61" w14:textId="77777777"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 / ROC</w:t>
            </w:r>
          </w:p>
        </w:tc>
        <w:tc>
          <w:tcPr>
            <w:tcW w:w="1025" w:type="dxa"/>
            <w:tcBorders>
              <w:top w:val="nil"/>
              <w:left w:val="nil"/>
              <w:bottom w:val="single" w:sz="4" w:space="0" w:color="auto"/>
              <w:right w:val="single" w:sz="4" w:space="0" w:color="auto"/>
            </w:tcBorders>
            <w:shd w:val="clear" w:color="auto" w:fill="auto"/>
            <w:noWrap/>
            <w:vAlign w:val="bottom"/>
            <w:hideMark/>
          </w:tcPr>
          <w:p w14:paraId="06248C6F" w14:textId="5CBF124D" w:rsidR="00A148FE" w:rsidRPr="00167CB8" w:rsidRDefault="00A148FE" w:rsidP="006000E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2022</w:t>
            </w:r>
            <w:r w:rsidR="00283715" w:rsidRPr="00167CB8">
              <w:rPr>
                <w:rFonts w:ascii="Symbol" w:eastAsia="Symbol" w:hAnsi="Symbol" w:cs="Symbol"/>
                <w:color w:val="000000"/>
                <w:sz w:val="16"/>
                <w:szCs w:val="16"/>
                <w:lang w:eastAsia="en-AU"/>
              </w:rPr>
              <w:sym w:font="Symbol" w:char="F02D"/>
            </w:r>
            <w:r w:rsidRPr="00167CB8">
              <w:rPr>
                <w:rFonts w:eastAsia="Times New Roman" w:cs="Times New Roman"/>
                <w:color w:val="000000"/>
                <w:sz w:val="16"/>
                <w:szCs w:val="16"/>
                <w:lang w:eastAsia="en-AU"/>
              </w:rPr>
              <w:t xml:space="preserve">23 </w:t>
            </w:r>
          </w:p>
        </w:tc>
        <w:tc>
          <w:tcPr>
            <w:tcW w:w="1354" w:type="dxa"/>
            <w:tcBorders>
              <w:top w:val="nil"/>
              <w:left w:val="nil"/>
              <w:bottom w:val="single" w:sz="4" w:space="0" w:color="auto"/>
              <w:right w:val="single" w:sz="4" w:space="0" w:color="auto"/>
            </w:tcBorders>
            <w:shd w:val="clear" w:color="auto" w:fill="auto"/>
            <w:noWrap/>
            <w:vAlign w:val="bottom"/>
            <w:hideMark/>
          </w:tcPr>
          <w:p w14:paraId="432C2789" w14:textId="77777777"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33</w:t>
            </w:r>
          </w:p>
        </w:tc>
        <w:tc>
          <w:tcPr>
            <w:tcW w:w="5421" w:type="dxa"/>
            <w:tcBorders>
              <w:top w:val="nil"/>
              <w:left w:val="nil"/>
              <w:bottom w:val="single" w:sz="4" w:space="0" w:color="auto"/>
              <w:right w:val="single" w:sz="4" w:space="0" w:color="auto"/>
            </w:tcBorders>
            <w:shd w:val="clear" w:color="auto" w:fill="auto"/>
            <w:noWrap/>
            <w:vAlign w:val="bottom"/>
            <w:hideMark/>
          </w:tcPr>
          <w:p w14:paraId="0FF588DE" w14:textId="624E1321" w:rsidR="00A148FE" w:rsidRPr="00167CB8" w:rsidRDefault="00D95AE5" w:rsidP="006000ED">
            <w:pPr>
              <w:spacing w:after="0"/>
              <w:rPr>
                <w:rFonts w:eastAsia="Times New Roman" w:cs="Times New Roman"/>
                <w:sz w:val="16"/>
                <w:szCs w:val="16"/>
                <w:lang w:eastAsia="en-AU"/>
              </w:rPr>
            </w:pPr>
            <w:r w:rsidRPr="00167CB8">
              <w:rPr>
                <w:rFonts w:eastAsia="Times New Roman" w:cs="Times New Roman"/>
                <w:sz w:val="16"/>
                <w:szCs w:val="16"/>
                <w:lang w:eastAsia="en-AU"/>
              </w:rPr>
              <w:t xml:space="preserve">Fair Work Commission, </w:t>
            </w:r>
            <w:r w:rsidR="00755F75" w:rsidRPr="00167CB8">
              <w:rPr>
                <w:rFonts w:eastAsia="Times New Roman" w:cs="Times New Roman"/>
                <w:i/>
                <w:iCs/>
                <w:sz w:val="16"/>
                <w:szCs w:val="16"/>
                <w:lang w:eastAsia="en-AU"/>
              </w:rPr>
              <w:t>Annual Report 2022</w:t>
            </w:r>
            <w:r w:rsidR="00283715" w:rsidRPr="00167CB8">
              <w:rPr>
                <w:rFonts w:ascii="Symbol" w:eastAsia="Symbol" w:hAnsi="Symbol" w:cs="Symbol"/>
                <w:i/>
                <w:sz w:val="16"/>
                <w:szCs w:val="16"/>
                <w:lang w:eastAsia="en-AU"/>
              </w:rPr>
              <w:sym w:font="Symbol" w:char="F02D"/>
            </w:r>
            <w:r w:rsidR="00755F75" w:rsidRPr="00167CB8">
              <w:rPr>
                <w:rFonts w:eastAsia="Times New Roman" w:cs="Times New Roman"/>
                <w:i/>
                <w:iCs/>
                <w:sz w:val="16"/>
                <w:szCs w:val="16"/>
                <w:lang w:eastAsia="en-AU"/>
              </w:rPr>
              <w:t>2023</w:t>
            </w:r>
          </w:p>
        </w:tc>
      </w:tr>
      <w:tr w:rsidR="00A148FE" w:rsidRPr="00167CB8" w14:paraId="100AFBC3" w14:textId="77777777" w:rsidTr="00E62C87">
        <w:trPr>
          <w:trHeight w:val="313"/>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14:paraId="111270D4" w14:textId="77777777" w:rsidR="00A148FE" w:rsidRPr="00167CB8" w:rsidRDefault="00A148FE" w:rsidP="00C5251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c>
          <w:tcPr>
            <w:tcW w:w="1025" w:type="dxa"/>
            <w:tcBorders>
              <w:top w:val="nil"/>
              <w:left w:val="nil"/>
              <w:bottom w:val="single" w:sz="4" w:space="0" w:color="auto"/>
              <w:right w:val="single" w:sz="4" w:space="0" w:color="auto"/>
            </w:tcBorders>
            <w:shd w:val="clear" w:color="auto" w:fill="auto"/>
            <w:noWrap/>
            <w:vAlign w:val="bottom"/>
            <w:hideMark/>
          </w:tcPr>
          <w:p w14:paraId="0B7F3083" w14:textId="6840C28F" w:rsidR="00A148FE" w:rsidRPr="00167CB8" w:rsidRDefault="00A148FE" w:rsidP="00C5251D">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2023</w:t>
            </w:r>
            <w:r w:rsidR="00283715" w:rsidRPr="00167CB8">
              <w:rPr>
                <w:rFonts w:ascii="Symbol" w:eastAsia="Symbol" w:hAnsi="Symbol" w:cs="Symbol"/>
                <w:color w:val="000000"/>
                <w:sz w:val="16"/>
                <w:szCs w:val="16"/>
                <w:lang w:eastAsia="en-AU"/>
              </w:rPr>
              <w:sym w:font="Symbol" w:char="F02D"/>
            </w:r>
            <w:r w:rsidRPr="00167CB8">
              <w:rPr>
                <w:rFonts w:eastAsia="Times New Roman" w:cs="Times New Roman"/>
                <w:color w:val="000000"/>
                <w:sz w:val="16"/>
                <w:szCs w:val="16"/>
                <w:lang w:eastAsia="en-AU"/>
              </w:rPr>
              <w:t xml:space="preserve">24 </w:t>
            </w:r>
          </w:p>
        </w:tc>
        <w:tc>
          <w:tcPr>
            <w:tcW w:w="1354" w:type="dxa"/>
            <w:tcBorders>
              <w:top w:val="nil"/>
              <w:left w:val="nil"/>
              <w:bottom w:val="single" w:sz="4" w:space="0" w:color="auto"/>
              <w:right w:val="single" w:sz="4" w:space="0" w:color="auto"/>
            </w:tcBorders>
            <w:shd w:val="clear" w:color="auto" w:fill="auto"/>
            <w:noWrap/>
            <w:vAlign w:val="bottom"/>
            <w:hideMark/>
          </w:tcPr>
          <w:p w14:paraId="2974CD9C" w14:textId="22F5F456" w:rsidR="00A148FE" w:rsidRPr="00167CB8" w:rsidRDefault="00A148FE" w:rsidP="00306211">
            <w:pPr>
              <w:spacing w:after="0"/>
              <w:jc w:val="center"/>
              <w:rPr>
                <w:rFonts w:eastAsia="Times New Roman" w:cs="Times New Roman"/>
                <w:color w:val="000000"/>
                <w:sz w:val="16"/>
                <w:szCs w:val="16"/>
                <w:lang w:eastAsia="en-AU"/>
              </w:rPr>
            </w:pPr>
            <w:r w:rsidRPr="00167CB8">
              <w:rPr>
                <w:rFonts w:eastAsia="Times New Roman" w:cs="Times New Roman"/>
                <w:color w:val="000000"/>
                <w:sz w:val="16"/>
                <w:szCs w:val="16"/>
                <w:lang w:eastAsia="en-AU"/>
              </w:rPr>
              <w:t>21</w:t>
            </w:r>
          </w:p>
        </w:tc>
        <w:tc>
          <w:tcPr>
            <w:tcW w:w="5421" w:type="dxa"/>
            <w:tcBorders>
              <w:top w:val="nil"/>
              <w:left w:val="nil"/>
              <w:bottom w:val="single" w:sz="4" w:space="0" w:color="auto"/>
              <w:right w:val="single" w:sz="4" w:space="0" w:color="auto"/>
            </w:tcBorders>
            <w:shd w:val="clear" w:color="auto" w:fill="auto"/>
            <w:noWrap/>
            <w:vAlign w:val="bottom"/>
            <w:hideMark/>
          </w:tcPr>
          <w:p w14:paraId="0100A01C" w14:textId="2895D571" w:rsidR="00A148FE" w:rsidRPr="00167CB8" w:rsidRDefault="00D95AE5" w:rsidP="00C5251D">
            <w:pPr>
              <w:spacing w:after="0"/>
              <w:rPr>
                <w:rFonts w:eastAsia="Times New Roman" w:cs="Times New Roman"/>
                <w:sz w:val="16"/>
                <w:szCs w:val="16"/>
                <w:lang w:eastAsia="en-AU"/>
              </w:rPr>
            </w:pPr>
            <w:r w:rsidRPr="00167CB8">
              <w:rPr>
                <w:rFonts w:eastAsia="Times New Roman" w:cs="Times New Roman"/>
                <w:sz w:val="16"/>
                <w:szCs w:val="16"/>
                <w:lang w:eastAsia="en-AU"/>
              </w:rPr>
              <w:t xml:space="preserve">Fair Work Commission, </w:t>
            </w:r>
            <w:r w:rsidR="00755F75" w:rsidRPr="00167CB8">
              <w:rPr>
                <w:rFonts w:eastAsia="Times New Roman" w:cs="Times New Roman"/>
                <w:i/>
                <w:iCs/>
                <w:sz w:val="16"/>
                <w:szCs w:val="16"/>
                <w:lang w:eastAsia="en-AU"/>
              </w:rPr>
              <w:t>Annual Report 2023</w:t>
            </w:r>
            <w:r w:rsidR="00283715" w:rsidRPr="00167CB8">
              <w:rPr>
                <w:rFonts w:ascii="Symbol" w:eastAsia="Symbol" w:hAnsi="Symbol" w:cs="Symbol"/>
                <w:i/>
                <w:sz w:val="16"/>
                <w:szCs w:val="16"/>
                <w:lang w:eastAsia="en-AU"/>
              </w:rPr>
              <w:sym w:font="Symbol" w:char="F02D"/>
            </w:r>
            <w:r w:rsidR="00755F75" w:rsidRPr="00167CB8">
              <w:rPr>
                <w:rFonts w:eastAsia="Times New Roman" w:cs="Times New Roman"/>
                <w:i/>
                <w:iCs/>
                <w:sz w:val="16"/>
                <w:szCs w:val="16"/>
                <w:lang w:eastAsia="en-AU"/>
              </w:rPr>
              <w:t>24</w:t>
            </w:r>
          </w:p>
        </w:tc>
      </w:tr>
    </w:tbl>
    <w:p w14:paraId="4A48BC8D" w14:textId="064B08BC" w:rsidR="00D95AE5" w:rsidRPr="00167CB8" w:rsidRDefault="00D95AE5" w:rsidP="00C06D45">
      <w:pPr>
        <w:pStyle w:val="Source"/>
      </w:pPr>
      <w:r w:rsidRPr="00167CB8">
        <w:rPr>
          <w:b/>
          <w:bCs/>
        </w:rPr>
        <w:t>Note:</w:t>
      </w:r>
      <w:r w:rsidRPr="00167CB8">
        <w:t xml:space="preserve"> ROC: Registered Organisations Commission; FWC: Fair Work Commission.</w:t>
      </w:r>
    </w:p>
    <w:p w14:paraId="1069140D" w14:textId="11E7CEEA" w:rsidR="00A148FE" w:rsidRPr="00167CB8" w:rsidRDefault="00A148FE" w:rsidP="00C06D45">
      <w:pPr>
        <w:pStyle w:val="Source"/>
      </w:pPr>
      <w:r w:rsidRPr="00167CB8">
        <w:rPr>
          <w:b/>
          <w:bCs/>
        </w:rPr>
        <w:t>Source:</w:t>
      </w:r>
      <w:r w:rsidRPr="00167CB8">
        <w:t xml:space="preserve"> </w:t>
      </w:r>
      <w:r w:rsidR="00C06D45" w:rsidRPr="00167CB8">
        <w:t>A</w:t>
      </w:r>
      <w:r w:rsidR="00710C75" w:rsidRPr="00167CB8">
        <w:t xml:space="preserve">nnual </w:t>
      </w:r>
      <w:r w:rsidR="00283715" w:rsidRPr="00167CB8">
        <w:t>r</w:t>
      </w:r>
      <w:r w:rsidR="00710C75" w:rsidRPr="00167CB8">
        <w:t xml:space="preserve">eports of the </w:t>
      </w:r>
      <w:r w:rsidRPr="00167CB8">
        <w:t xml:space="preserve">Fair Work Ombudsman and Registered Organisations Commission Entity </w:t>
      </w:r>
      <w:r w:rsidR="00740544" w:rsidRPr="00167CB8">
        <w:t>period</w:t>
      </w:r>
      <w:r w:rsidRPr="00167CB8">
        <w:t xml:space="preserve"> </w:t>
      </w:r>
      <w:r w:rsidR="00710C75" w:rsidRPr="00167CB8">
        <w:t>2018</w:t>
      </w:r>
      <w:r w:rsidR="00283715" w:rsidRPr="00167CB8">
        <w:rPr>
          <w:rFonts w:ascii="Symbol" w:eastAsia="Symbol" w:hAnsi="Symbol" w:cs="Symbol"/>
        </w:rPr>
        <w:sym w:font="Symbol" w:char="F02D"/>
      </w:r>
      <w:r w:rsidR="00710C75" w:rsidRPr="00167CB8">
        <w:t>19 to 2021</w:t>
      </w:r>
      <w:r w:rsidR="00283715" w:rsidRPr="00167CB8">
        <w:rPr>
          <w:rFonts w:ascii="Symbol" w:eastAsia="Symbol" w:hAnsi="Symbol" w:cs="Symbol"/>
        </w:rPr>
        <w:sym w:font="Symbol" w:char="F02D"/>
      </w:r>
      <w:r w:rsidR="00710C75" w:rsidRPr="00167CB8">
        <w:t xml:space="preserve">22 and </w:t>
      </w:r>
      <w:r w:rsidR="00283715" w:rsidRPr="00167CB8">
        <w:t>a</w:t>
      </w:r>
      <w:r w:rsidR="009237F0" w:rsidRPr="00167CB8">
        <w:t xml:space="preserve">nnual </w:t>
      </w:r>
      <w:r w:rsidR="00283715" w:rsidRPr="00167CB8">
        <w:t>r</w:t>
      </w:r>
      <w:r w:rsidR="009237F0" w:rsidRPr="00167CB8">
        <w:t>eports of the</w:t>
      </w:r>
      <w:r w:rsidRPr="00167CB8">
        <w:t xml:space="preserve"> FWC</w:t>
      </w:r>
      <w:r w:rsidR="00283715" w:rsidRPr="00167CB8">
        <w:t>,</w:t>
      </w:r>
      <w:r w:rsidRPr="00167CB8">
        <w:t xml:space="preserve"> period </w:t>
      </w:r>
      <w:r w:rsidR="009237F0" w:rsidRPr="00167CB8">
        <w:t>2022</w:t>
      </w:r>
      <w:r w:rsidR="00283715" w:rsidRPr="00167CB8">
        <w:rPr>
          <w:rFonts w:ascii="Symbol" w:eastAsia="Symbol" w:hAnsi="Symbol" w:cs="Symbol"/>
        </w:rPr>
        <w:sym w:font="Symbol" w:char="F02D"/>
      </w:r>
      <w:r w:rsidR="009237F0" w:rsidRPr="00167CB8">
        <w:t xml:space="preserve">23 </w:t>
      </w:r>
      <w:r w:rsidRPr="00167CB8">
        <w:t>to 2023</w:t>
      </w:r>
      <w:r w:rsidR="00283715" w:rsidRPr="00167CB8">
        <w:rPr>
          <w:rFonts w:ascii="Symbol" w:eastAsia="Symbol" w:hAnsi="Symbol" w:cs="Symbol"/>
        </w:rPr>
        <w:sym w:font="Symbol" w:char="F02D"/>
      </w:r>
      <w:r w:rsidRPr="00167CB8">
        <w:t>24.</w:t>
      </w:r>
    </w:p>
    <w:p w14:paraId="4727D9C5" w14:textId="4358E860" w:rsidR="007817BD" w:rsidRPr="00167CB8" w:rsidRDefault="00A148FE" w:rsidP="00A148FE">
      <w:r w:rsidRPr="00167CB8">
        <w:t xml:space="preserve">The FWC website </w:t>
      </w:r>
      <w:r w:rsidR="007A615A" w:rsidRPr="00167CB8">
        <w:t>maintain</w:t>
      </w:r>
      <w:r w:rsidR="003F7BC7" w:rsidRPr="00167CB8">
        <w:t>s</w:t>
      </w:r>
      <w:r w:rsidR="00B6337F" w:rsidRPr="00167CB8">
        <w:t xml:space="preserve"> a list of</w:t>
      </w:r>
      <w:r w:rsidR="007A615A" w:rsidRPr="00167CB8">
        <w:t xml:space="preserve"> </w:t>
      </w:r>
      <w:r w:rsidRPr="00167CB8">
        <w:t xml:space="preserve">all </w:t>
      </w:r>
      <w:r w:rsidR="00A76F36" w:rsidRPr="00167CB8">
        <w:t>concluded and current</w:t>
      </w:r>
      <w:r w:rsidR="00FE40C6" w:rsidRPr="00167CB8">
        <w:t xml:space="preserve"> </w:t>
      </w:r>
      <w:r w:rsidR="00406DEB" w:rsidRPr="00167CB8">
        <w:t>formal</w:t>
      </w:r>
      <w:r w:rsidRPr="00167CB8">
        <w:t xml:space="preserve"> inquiries and investigations</w:t>
      </w:r>
      <w:r w:rsidR="00A30EF3" w:rsidRPr="00167CB8">
        <w:t xml:space="preserve"> </w:t>
      </w:r>
      <w:r w:rsidR="007A615A" w:rsidRPr="00167CB8">
        <w:t>since</w:t>
      </w:r>
      <w:r w:rsidR="00A30EF3" w:rsidRPr="00167CB8">
        <w:t xml:space="preserve"> 2011. </w:t>
      </w:r>
      <w:r w:rsidRPr="00167CB8">
        <w:t xml:space="preserve">The list includes those commenced by the FWC prior to the ROC’s establishment, transferred to the ROC, commenced while the ROC was in operation, </w:t>
      </w:r>
      <w:r w:rsidR="00866449" w:rsidRPr="00167CB8">
        <w:t xml:space="preserve">and </w:t>
      </w:r>
      <w:r w:rsidRPr="00167CB8">
        <w:t>transferred back to the FWC</w:t>
      </w:r>
      <w:r w:rsidR="00866449" w:rsidRPr="00167CB8">
        <w:t>;</w:t>
      </w:r>
      <w:r w:rsidRPr="00167CB8">
        <w:t xml:space="preserve"> and any </w:t>
      </w:r>
      <w:r w:rsidR="00616DCE" w:rsidRPr="00167CB8">
        <w:t>that have been</w:t>
      </w:r>
      <w:r w:rsidRPr="00167CB8">
        <w:t xml:space="preserve"> commenced since the ROC was abolished. The ROC commenced 16 inquiries or investigations related to conduct in employer associations and 20 into unions (or a reporting unit of a union), according to the current and concluded ‘inquiries and investigations’ listed on the FWC’s website.</w:t>
      </w:r>
      <w:r w:rsidRPr="00167CB8">
        <w:rPr>
          <w:rStyle w:val="FootnoteReference"/>
        </w:rPr>
        <w:footnoteReference w:id="157"/>
      </w:r>
      <w:r w:rsidRPr="00167CB8">
        <w:t xml:space="preserve"> </w:t>
      </w:r>
    </w:p>
    <w:p w14:paraId="2A32FC25" w14:textId="04F99AA3" w:rsidR="00A148FE" w:rsidRPr="00167CB8" w:rsidRDefault="00D52BE0" w:rsidP="00A148FE">
      <w:r w:rsidRPr="00167CB8">
        <w:t>As at 1</w:t>
      </w:r>
      <w:r w:rsidR="001245FA" w:rsidRPr="00167CB8">
        <w:t>7</w:t>
      </w:r>
      <w:r w:rsidRPr="00167CB8">
        <w:t xml:space="preserve"> January 2025 </w:t>
      </w:r>
      <w:r w:rsidR="00E72C59" w:rsidRPr="00167CB8">
        <w:t>the FWC</w:t>
      </w:r>
      <w:r w:rsidR="00866449" w:rsidRPr="00167CB8">
        <w:t>,</w:t>
      </w:r>
      <w:r w:rsidR="00E72C59" w:rsidRPr="00167CB8">
        <w:t xml:space="preserve"> </w:t>
      </w:r>
      <w:r w:rsidR="00086BC4" w:rsidRPr="00167CB8">
        <w:t>while regulator</w:t>
      </w:r>
      <w:r w:rsidR="005967F3" w:rsidRPr="00167CB8">
        <w:t xml:space="preserve"> (prior to 1 May 2017 and since 6 March 2023 combined)</w:t>
      </w:r>
      <w:r w:rsidR="00866449" w:rsidRPr="00167CB8">
        <w:t>,</w:t>
      </w:r>
      <w:r w:rsidR="005967F3" w:rsidRPr="00167CB8">
        <w:t xml:space="preserve"> </w:t>
      </w:r>
      <w:r w:rsidR="00A148FE" w:rsidRPr="00167CB8">
        <w:t>ha</w:t>
      </w:r>
      <w:r w:rsidR="003B2BD5" w:rsidRPr="00167CB8">
        <w:t>d</w:t>
      </w:r>
      <w:r w:rsidR="00A148FE" w:rsidRPr="00167CB8">
        <w:t xml:space="preserve"> commenced inquiries or investigations into </w:t>
      </w:r>
      <w:r w:rsidR="00ED5FB1" w:rsidRPr="00167CB8">
        <w:t>4</w:t>
      </w:r>
      <w:r w:rsidR="002B6AC4" w:rsidRPr="00167CB8">
        <w:t xml:space="preserve"> </w:t>
      </w:r>
      <w:r w:rsidR="00A148FE" w:rsidRPr="00167CB8">
        <w:t>employer association</w:t>
      </w:r>
      <w:r w:rsidR="005D36DF" w:rsidRPr="00167CB8">
        <w:t>s</w:t>
      </w:r>
      <w:r w:rsidR="00A148FE" w:rsidRPr="00167CB8">
        <w:t xml:space="preserve"> and 37 into unions</w:t>
      </w:r>
      <w:r w:rsidR="00882F6C" w:rsidRPr="00167CB8">
        <w:t xml:space="preserve"> (or a reporting unit of a union)</w:t>
      </w:r>
      <w:r w:rsidR="00A148FE" w:rsidRPr="00167CB8">
        <w:t xml:space="preserve">, according to </w:t>
      </w:r>
      <w:r w:rsidR="00586CBD" w:rsidRPr="00167CB8">
        <w:t xml:space="preserve">analysis of </w:t>
      </w:r>
      <w:r w:rsidR="00A148FE" w:rsidRPr="00167CB8">
        <w:t>the current and concluded ‘inquiries and investigations’ listed on the FWC’s website.</w:t>
      </w:r>
      <w:r w:rsidR="00A148FE" w:rsidRPr="00167CB8">
        <w:rPr>
          <w:rStyle w:val="FootnoteReference"/>
        </w:rPr>
        <w:footnoteReference w:id="158"/>
      </w:r>
      <w:r w:rsidR="00A148FE" w:rsidRPr="00167CB8">
        <w:t xml:space="preserve"> </w:t>
      </w:r>
    </w:p>
    <w:p w14:paraId="00FFE93B" w14:textId="25F93828" w:rsidR="00A148FE" w:rsidRPr="00167CB8" w:rsidRDefault="00A148FE" w:rsidP="00A148FE">
      <w:r w:rsidRPr="00167CB8">
        <w:t>As at 1</w:t>
      </w:r>
      <w:r w:rsidR="001245FA" w:rsidRPr="00167CB8">
        <w:t>7</w:t>
      </w:r>
      <w:r w:rsidRPr="00167CB8">
        <w:t xml:space="preserve"> January 2025 the </w:t>
      </w:r>
      <w:r w:rsidR="004B42E3" w:rsidRPr="00167CB8">
        <w:t xml:space="preserve">General Manager </w:t>
      </w:r>
      <w:r w:rsidRPr="00167CB8">
        <w:t xml:space="preserve">has commenced </w:t>
      </w:r>
      <w:r w:rsidR="000F3641" w:rsidRPr="00167CB8">
        <w:t xml:space="preserve">2 </w:t>
      </w:r>
      <w:r w:rsidRPr="00167CB8">
        <w:t>court proceedings since the abolition of the ROC.</w:t>
      </w:r>
      <w:r w:rsidRPr="00167CB8">
        <w:rPr>
          <w:rStyle w:val="FootnoteReference"/>
        </w:rPr>
        <w:footnoteReference w:id="159"/>
      </w:r>
      <w:r w:rsidRPr="00167CB8">
        <w:t xml:space="preserve">  </w:t>
      </w:r>
    </w:p>
    <w:p w14:paraId="74A326BA" w14:textId="13853BAD" w:rsidR="00A148FE" w:rsidRPr="00167CB8" w:rsidRDefault="00A148FE" w:rsidP="00A148FE">
      <w:r w:rsidRPr="00167CB8">
        <w:t xml:space="preserve">By way of a general comparison, the ROC only commenced </w:t>
      </w:r>
      <w:r w:rsidR="00866449" w:rsidRPr="00167CB8">
        <w:t xml:space="preserve">5 </w:t>
      </w:r>
      <w:r w:rsidR="001F2502" w:rsidRPr="00167CB8">
        <w:t xml:space="preserve">civil penalty </w:t>
      </w:r>
      <w:r w:rsidRPr="00167CB8">
        <w:t>court proceedings during its entire period of operation</w:t>
      </w:r>
      <w:r w:rsidR="00217BBD" w:rsidRPr="00167CB8">
        <w:t xml:space="preserve"> (from </w:t>
      </w:r>
      <w:r w:rsidR="00160ABE" w:rsidRPr="00167CB8">
        <w:t xml:space="preserve">1 </w:t>
      </w:r>
      <w:r w:rsidR="00532D79" w:rsidRPr="00167CB8">
        <w:t xml:space="preserve">May 2017 to </w:t>
      </w:r>
      <w:r w:rsidR="00160ABE" w:rsidRPr="00167CB8">
        <w:t>6</w:t>
      </w:r>
      <w:r w:rsidR="00532D79" w:rsidRPr="00167CB8">
        <w:t xml:space="preserve"> March 2023)</w:t>
      </w:r>
      <w:r w:rsidRPr="00167CB8">
        <w:t>, according to the ‘</w:t>
      </w:r>
      <w:r w:rsidR="00D95AE5" w:rsidRPr="00167CB8">
        <w:t>C</w:t>
      </w:r>
      <w:r w:rsidRPr="00167CB8">
        <w:t xml:space="preserve">ompleted </w:t>
      </w:r>
      <w:r w:rsidR="00D95AE5" w:rsidRPr="00167CB8">
        <w:t>F</w:t>
      </w:r>
      <w:r w:rsidRPr="00167CB8">
        <w:t xml:space="preserve">ederal </w:t>
      </w:r>
      <w:r w:rsidR="00D95AE5" w:rsidRPr="00167CB8">
        <w:t>C</w:t>
      </w:r>
      <w:r w:rsidRPr="00167CB8">
        <w:t>ourt proceedings’ summary information on the FWC’s website.</w:t>
      </w:r>
      <w:r w:rsidRPr="00167CB8">
        <w:rPr>
          <w:rStyle w:val="FootnoteReference"/>
        </w:rPr>
        <w:footnoteReference w:id="160"/>
      </w:r>
      <w:r w:rsidRPr="00167CB8">
        <w:t xml:space="preserve"> Table </w:t>
      </w:r>
      <w:r w:rsidR="001C22B8" w:rsidRPr="00167CB8">
        <w:t>65</w:t>
      </w:r>
      <w:r w:rsidRPr="00167CB8">
        <w:t xml:space="preserve"> in Appendix </w:t>
      </w:r>
      <w:r w:rsidR="001C22B8" w:rsidRPr="00167CB8">
        <w:t>5</w:t>
      </w:r>
      <w:r w:rsidR="00C07E33" w:rsidRPr="00167CB8">
        <w:t xml:space="preserve"> shows the </w:t>
      </w:r>
      <w:r w:rsidRPr="00167CB8">
        <w:t xml:space="preserve">Federal Court proceedings commenced by the regulator. </w:t>
      </w:r>
    </w:p>
    <w:p w14:paraId="7C921117" w14:textId="6BA08C46" w:rsidR="00A148FE" w:rsidRPr="00167CB8" w:rsidRDefault="00A148FE" w:rsidP="00A148FE">
      <w:r w:rsidRPr="00167CB8">
        <w:t xml:space="preserve">Two court proceedings had been commenced by the ROC and transferred to the </w:t>
      </w:r>
      <w:r w:rsidR="004B42E3" w:rsidRPr="00167CB8">
        <w:t xml:space="preserve">General Manager </w:t>
      </w:r>
      <w:r w:rsidRPr="00167CB8">
        <w:t xml:space="preserve">as the applicant on 6 March 2023. </w:t>
      </w:r>
    </w:p>
    <w:p w14:paraId="0AA6937F" w14:textId="794F1936" w:rsidR="00A148FE" w:rsidRPr="00167CB8" w:rsidRDefault="00A148FE" w:rsidP="00A148FE">
      <w:r w:rsidRPr="00167CB8">
        <w:t>One of those court proceedings</w:t>
      </w:r>
      <w:r w:rsidR="000105A1" w:rsidRPr="00167CB8">
        <w:t xml:space="preserve">, </w:t>
      </w:r>
      <w:r w:rsidR="000105A1" w:rsidRPr="00167CB8">
        <w:rPr>
          <w:i/>
          <w:iCs/>
        </w:rPr>
        <w:t>Fair Work Commission v Australian Workers' Union</w:t>
      </w:r>
      <w:r w:rsidR="000105A1" w:rsidRPr="00167CB8">
        <w:t xml:space="preserve"> [2023] FCA 1642, </w:t>
      </w:r>
      <w:r w:rsidRPr="00167CB8">
        <w:t xml:space="preserve">concluded </w:t>
      </w:r>
      <w:r w:rsidR="00CD01B3" w:rsidRPr="00167CB8">
        <w:t xml:space="preserve">(on </w:t>
      </w:r>
      <w:r w:rsidR="000F60F6" w:rsidRPr="00167CB8">
        <w:t>21 December 2023</w:t>
      </w:r>
      <w:r w:rsidR="0038226C" w:rsidRPr="00167CB8">
        <w:t>)</w:t>
      </w:r>
      <w:r w:rsidR="00866449" w:rsidRPr="00167CB8">
        <w:t xml:space="preserve"> </w:t>
      </w:r>
      <w:r w:rsidRPr="00167CB8">
        <w:t xml:space="preserve">with an agreed penalty of $290,000 which was imposed on the </w:t>
      </w:r>
      <w:r w:rsidR="00D95AE5" w:rsidRPr="00167CB8">
        <w:t>Australian Workers’ Union (</w:t>
      </w:r>
      <w:r w:rsidRPr="00167CB8">
        <w:t>AWU</w:t>
      </w:r>
      <w:r w:rsidR="00D95AE5" w:rsidRPr="00167CB8">
        <w:t>)</w:t>
      </w:r>
      <w:r w:rsidR="00866449" w:rsidRPr="00167CB8">
        <w:t>,</w:t>
      </w:r>
      <w:r w:rsidRPr="00167CB8">
        <w:t xml:space="preserve"> with the AWU expressing contrition and agreeing to publish a joint statement acknowledging the contraventions and the importance of </w:t>
      </w:r>
      <w:r w:rsidRPr="00167CB8">
        <w:lastRenderedPageBreak/>
        <w:t>compliance.</w:t>
      </w:r>
      <w:r w:rsidRPr="00167CB8">
        <w:rPr>
          <w:rStyle w:val="FootnoteReference"/>
        </w:rPr>
        <w:footnoteReference w:id="161"/>
      </w:r>
      <w:r w:rsidRPr="00167CB8">
        <w:t xml:space="preserve"> The AWU admitted to 27,140 contraventions in relation to its keeping of its register of members, reporting of member numbers and failure to remove members from its register of members.</w:t>
      </w:r>
      <w:r w:rsidRPr="00167CB8">
        <w:rPr>
          <w:rStyle w:val="FootnoteReference"/>
        </w:rPr>
        <w:footnoteReference w:id="162"/>
      </w:r>
      <w:r w:rsidRPr="00167CB8">
        <w:t xml:space="preserve">  </w:t>
      </w:r>
    </w:p>
    <w:p w14:paraId="33753798" w14:textId="5E43D3C3" w:rsidR="00A148FE" w:rsidRPr="00167CB8" w:rsidRDefault="00A148FE" w:rsidP="00A148FE">
      <w:r w:rsidRPr="00167CB8">
        <w:t xml:space="preserve">In the other proceeding </w:t>
      </w:r>
      <w:r w:rsidR="00755F75" w:rsidRPr="00167CB8">
        <w:t xml:space="preserve">General Manager of the </w:t>
      </w:r>
      <w:r w:rsidR="00755F75" w:rsidRPr="00167CB8">
        <w:rPr>
          <w:i/>
          <w:iCs/>
        </w:rPr>
        <w:t>Fair Work Commission v Smyth</w:t>
      </w:r>
      <w:r w:rsidR="00C06D45" w:rsidRPr="00167CB8">
        <w:t>,</w:t>
      </w:r>
      <w:r w:rsidR="00C06D45" w:rsidRPr="00167CB8">
        <w:rPr>
          <w:rStyle w:val="FootnoteReference"/>
        </w:rPr>
        <w:footnoteReference w:id="163"/>
      </w:r>
      <w:r w:rsidRPr="00167CB8">
        <w:t xml:space="preserve"> the application was dismissed by the Court</w:t>
      </w:r>
      <w:r w:rsidR="001A7DD6" w:rsidRPr="00167CB8">
        <w:t xml:space="preserve"> (on 28 March 2024)</w:t>
      </w:r>
      <w:r w:rsidRPr="00167CB8">
        <w:t xml:space="preserve"> </w:t>
      </w:r>
      <w:r w:rsidR="00D95AE5" w:rsidRPr="00167CB8">
        <w:t xml:space="preserve">in </w:t>
      </w:r>
      <w:r w:rsidR="009F1CD6" w:rsidRPr="00167CB8">
        <w:t>relat</w:t>
      </w:r>
      <w:r w:rsidR="00D95AE5" w:rsidRPr="00167CB8">
        <w:t>ion</w:t>
      </w:r>
      <w:r w:rsidR="009F1CD6" w:rsidRPr="00167CB8">
        <w:t xml:space="preserve"> to</w:t>
      </w:r>
      <w:r w:rsidRPr="00167CB8" w:rsidDel="00767953">
        <w:t xml:space="preserve"> </w:t>
      </w:r>
      <w:r w:rsidRPr="00167CB8">
        <w:t xml:space="preserve">a technical point </w:t>
      </w:r>
      <w:r w:rsidR="009F1CD6" w:rsidRPr="00167CB8">
        <w:t>on</w:t>
      </w:r>
      <w:r w:rsidRPr="00167CB8">
        <w:t xml:space="preserve"> the timeframe of the conduct having elapsed under </w:t>
      </w:r>
      <w:r w:rsidR="00B8297F" w:rsidRPr="00167CB8">
        <w:t>s</w:t>
      </w:r>
      <w:r w:rsidR="00866449" w:rsidRPr="00167CB8">
        <w:t> </w:t>
      </w:r>
      <w:r w:rsidRPr="00167CB8">
        <w:t>320 of the RO Act.</w:t>
      </w:r>
      <w:r w:rsidR="00BD7A1A" w:rsidRPr="00167CB8">
        <w:rPr>
          <w:rStyle w:val="FootnoteReference"/>
        </w:rPr>
        <w:t xml:space="preserve"> </w:t>
      </w:r>
      <w:r w:rsidR="00BD7A1A" w:rsidRPr="00167CB8">
        <w:rPr>
          <w:rStyle w:val="FootnoteReference"/>
        </w:rPr>
        <w:footnoteReference w:id="164"/>
      </w:r>
    </w:p>
    <w:p w14:paraId="32E28E7F" w14:textId="1F0956DF" w:rsidR="00A148FE" w:rsidRPr="00167CB8" w:rsidRDefault="00A148FE" w:rsidP="00A148FE">
      <w:r w:rsidRPr="00167CB8">
        <w:t xml:space="preserve">One investigation transferred from the ROC to the </w:t>
      </w:r>
      <w:r w:rsidR="004B42E3" w:rsidRPr="00167CB8">
        <w:t xml:space="preserve">General Manager </w:t>
      </w:r>
      <w:r w:rsidR="00B05D8E" w:rsidRPr="00167CB8">
        <w:t>led to</w:t>
      </w:r>
      <w:r w:rsidRPr="00167CB8">
        <w:t xml:space="preserve"> the </w:t>
      </w:r>
      <w:r w:rsidR="004B42E3" w:rsidRPr="00167CB8">
        <w:t xml:space="preserve">General Manager </w:t>
      </w:r>
      <w:r w:rsidRPr="00167CB8">
        <w:t>determin</w:t>
      </w:r>
      <w:r w:rsidR="00E936CB" w:rsidRPr="00167CB8">
        <w:t>ing</w:t>
      </w:r>
      <w:r w:rsidRPr="00167CB8">
        <w:t xml:space="preserve"> to commence Federal Court proceedings on 23 August 2024.</w:t>
      </w:r>
      <w:r w:rsidRPr="00167CB8">
        <w:rPr>
          <w:rStyle w:val="FootnoteReference"/>
        </w:rPr>
        <w:footnoteReference w:id="165"/>
      </w:r>
      <w:r w:rsidRPr="00167CB8">
        <w:t xml:space="preserve"> </w:t>
      </w:r>
    </w:p>
    <w:p w14:paraId="38817488" w14:textId="6391549C" w:rsidR="00A148FE" w:rsidRPr="00167CB8" w:rsidRDefault="00A148FE" w:rsidP="00A148FE">
      <w:r w:rsidRPr="00167CB8">
        <w:t xml:space="preserve">The </w:t>
      </w:r>
      <w:r w:rsidR="004B42E3" w:rsidRPr="00167CB8">
        <w:t xml:space="preserve">General Manager </w:t>
      </w:r>
      <w:r w:rsidRPr="00167CB8">
        <w:t xml:space="preserve">has </w:t>
      </w:r>
      <w:r w:rsidR="00FF44A2" w:rsidRPr="00167CB8">
        <w:t>also</w:t>
      </w:r>
      <w:r w:rsidRPr="00167CB8">
        <w:t xml:space="preserve"> taken an active role as the regulator</w:t>
      </w:r>
      <w:r w:rsidR="00FF44A2" w:rsidRPr="00167CB8">
        <w:t xml:space="preserve"> where appropriate</w:t>
      </w:r>
      <w:r w:rsidRPr="00167CB8">
        <w:t xml:space="preserve">. In response to the widespread media reporting of misconduct at the </w:t>
      </w:r>
      <w:r w:rsidR="00D95AE5" w:rsidRPr="00167CB8">
        <w:t>Construction, Forestry and Maritime Employees Union (</w:t>
      </w:r>
      <w:r w:rsidRPr="00167CB8">
        <w:t>CFMEU</w:t>
      </w:r>
      <w:r w:rsidR="00D95AE5" w:rsidRPr="00167CB8">
        <w:t>)</w:t>
      </w:r>
      <w:r w:rsidRPr="00167CB8">
        <w:t xml:space="preserve"> in 2024 (which has been collectively referred to as the ‘Building Bad’ series of media reporting),</w:t>
      </w:r>
      <w:r w:rsidRPr="00167CB8">
        <w:rPr>
          <w:rStyle w:val="FootnoteReference"/>
        </w:rPr>
        <w:footnoteReference w:id="166"/>
      </w:r>
      <w:r w:rsidRPr="00167CB8">
        <w:t xml:space="preserve"> the </w:t>
      </w:r>
      <w:r w:rsidR="004B42E3" w:rsidRPr="00167CB8">
        <w:t xml:space="preserve">General Manager </w:t>
      </w:r>
      <w:r w:rsidRPr="00167CB8">
        <w:t>sought to place the CFMEU Construction and General Division in administration to address mounting compliance concerns connected with the CFMEU.</w:t>
      </w:r>
    </w:p>
    <w:p w14:paraId="59604971" w14:textId="4552E61E" w:rsidR="00A148FE" w:rsidRPr="00167CB8" w:rsidRDefault="00A148FE" w:rsidP="00A148FE">
      <w:r w:rsidRPr="00167CB8">
        <w:t>The FWC’s media release of 2 August 2024 stated:</w:t>
      </w:r>
      <w:r w:rsidR="00D95AE5" w:rsidRPr="00167CB8">
        <w:rPr>
          <w:rStyle w:val="FootnoteReference"/>
        </w:rPr>
        <w:footnoteReference w:id="167"/>
      </w:r>
    </w:p>
    <w:p w14:paraId="5DEE4B31" w14:textId="7C7BBE30" w:rsidR="00A148FE" w:rsidRPr="00167CB8" w:rsidRDefault="00A148FE" w:rsidP="00C83147">
      <w:pPr>
        <w:pStyle w:val="Quote"/>
      </w:pPr>
      <w:r w:rsidRPr="00167CB8">
        <w:t>The Fair Work Commission’s General Manager, Murray Furlong, has today initiated proceedings in the Federal Court under s.323 of the </w:t>
      </w:r>
      <w:r w:rsidRPr="00167CB8">
        <w:rPr>
          <w:i/>
        </w:rPr>
        <w:t>Fair Work (Registered Organisations) Act 2009</w:t>
      </w:r>
      <w:r w:rsidRPr="00167CB8">
        <w:t> (RO Act) to appoint an independent administrator for the Construction and General Division of the Construction, Forestry and Maritime Employees Union (CFMEU).</w:t>
      </w:r>
    </w:p>
    <w:p w14:paraId="19C77A29" w14:textId="77777777" w:rsidR="00A148FE" w:rsidRPr="00167CB8" w:rsidRDefault="00A148FE" w:rsidP="00C83147">
      <w:pPr>
        <w:pStyle w:val="Quote"/>
      </w:pPr>
      <w:r w:rsidRPr="00167CB8">
        <w:t>…</w:t>
      </w:r>
    </w:p>
    <w:p w14:paraId="14A624D4" w14:textId="479A8095" w:rsidR="00A148FE" w:rsidRPr="00167CB8" w:rsidRDefault="00A148FE" w:rsidP="00C83147">
      <w:pPr>
        <w:pStyle w:val="Quote"/>
      </w:pPr>
      <w:r w:rsidRPr="00167CB8">
        <w:t>As part of the commitment to being an open and transparent regulator, the Fair Work Commission’s General Manager is establishing a Building and Construction Industry Committee. The committee will report to the General Manager. The Administrator will also be required to meet with the General Manager regularly throughout the administration to report on the scheme’s progress.</w:t>
      </w:r>
    </w:p>
    <w:p w14:paraId="44DF99C1" w14:textId="34559173" w:rsidR="00A148FE" w:rsidRPr="00167CB8" w:rsidRDefault="00A148FE" w:rsidP="00A148FE">
      <w:r w:rsidRPr="00167CB8">
        <w:t xml:space="preserve">Ultimately, </w:t>
      </w:r>
      <w:r w:rsidR="00D95AE5" w:rsidRPr="00167CB8">
        <w:t>p</w:t>
      </w:r>
      <w:r w:rsidRPr="00167CB8">
        <w:t xml:space="preserve">arliament legislated </w:t>
      </w:r>
      <w:r w:rsidR="003606A8" w:rsidRPr="00167CB8">
        <w:t xml:space="preserve">a process to </w:t>
      </w:r>
      <w:r w:rsidR="0019735E" w:rsidRPr="00167CB8">
        <w:t>facilitate</w:t>
      </w:r>
      <w:r w:rsidRPr="00167CB8">
        <w:t xml:space="preserve"> the appointment of an administrator of the CFMEU Construction and General Division</w:t>
      </w:r>
      <w:r w:rsidR="00866449" w:rsidRPr="00167CB8">
        <w:t>,</w:t>
      </w:r>
      <w:r w:rsidRPr="00167CB8">
        <w:t xml:space="preserve"> and the </w:t>
      </w:r>
      <w:r w:rsidR="004B42E3" w:rsidRPr="00167CB8">
        <w:t>General Manager</w:t>
      </w:r>
      <w:r w:rsidRPr="00167CB8">
        <w:t>’s court proceedings were withdrawn</w:t>
      </w:r>
      <w:r w:rsidR="00FA5A9E" w:rsidRPr="00167CB8">
        <w:t xml:space="preserve"> on 4 September 2024</w:t>
      </w:r>
      <w:r w:rsidRPr="00167CB8">
        <w:t>.</w:t>
      </w:r>
      <w:r w:rsidR="00BC2DDB" w:rsidRPr="00167CB8">
        <w:rPr>
          <w:rStyle w:val="FootnoteReference"/>
        </w:rPr>
        <w:t xml:space="preserve"> </w:t>
      </w:r>
      <w:r w:rsidR="00BC2DDB" w:rsidRPr="00167CB8">
        <w:rPr>
          <w:rStyle w:val="FootnoteReference"/>
        </w:rPr>
        <w:footnoteReference w:id="168"/>
      </w:r>
      <w:r w:rsidR="00BC2DDB" w:rsidRPr="00167CB8">
        <w:t xml:space="preserve"> </w:t>
      </w:r>
      <w:r w:rsidRPr="00167CB8">
        <w:t xml:space="preserve"> The administrator’s role was to ensure that this </w:t>
      </w:r>
      <w:r w:rsidR="00866449" w:rsidRPr="00167CB8">
        <w:t>d</w:t>
      </w:r>
      <w:r w:rsidRPr="00167CB8">
        <w:t xml:space="preserve">ivision and its branches operate lawfully and effectively in the members’ interests, and </w:t>
      </w:r>
      <w:r w:rsidR="00866449" w:rsidRPr="00167CB8">
        <w:t xml:space="preserve">the administrator </w:t>
      </w:r>
      <w:r w:rsidRPr="00167CB8">
        <w:t>may refer complaints to a law enforcement agency or regulator.</w:t>
      </w:r>
      <w:r w:rsidRPr="00167CB8">
        <w:rPr>
          <w:rStyle w:val="FootnoteReference"/>
        </w:rPr>
        <w:footnoteReference w:id="169"/>
      </w:r>
    </w:p>
    <w:p w14:paraId="511A588E" w14:textId="0A900E35" w:rsidR="00A148FE" w:rsidRPr="00167CB8" w:rsidRDefault="00A148FE" w:rsidP="00A148FE">
      <w:r w:rsidRPr="00167CB8">
        <w:lastRenderedPageBreak/>
        <w:t xml:space="preserve">In a further media release of 23 August 2024 the </w:t>
      </w:r>
      <w:r w:rsidR="004B42E3" w:rsidRPr="00167CB8">
        <w:t>General Manager</w:t>
      </w:r>
      <w:r w:rsidRPr="00167CB8">
        <w:t xml:space="preserve"> stated:</w:t>
      </w:r>
      <w:r w:rsidRPr="00167CB8">
        <w:rPr>
          <w:rStyle w:val="FootnoteReference"/>
        </w:rPr>
        <w:footnoteReference w:id="170"/>
      </w:r>
    </w:p>
    <w:p w14:paraId="7AC41873" w14:textId="39C4D755" w:rsidR="00A148FE" w:rsidRPr="00167CB8" w:rsidRDefault="00A148FE" w:rsidP="00C83147">
      <w:pPr>
        <w:pStyle w:val="Quote"/>
      </w:pPr>
      <w:r w:rsidRPr="00167CB8">
        <w:t>in accordance with the provisions of the </w:t>
      </w:r>
      <w:r w:rsidRPr="00167CB8">
        <w:rPr>
          <w:i/>
        </w:rPr>
        <w:t>Fair Work (Registered Organisations) Amendment (Administration) Act 2024</w:t>
      </w:r>
      <w:r w:rsidRPr="00167CB8">
        <w:t xml:space="preserve">, the Construction and General Division of the Construction, Forestry and Maritime Employees Union (CFMEU) has been placed under administration for up to five years. </w:t>
      </w:r>
    </w:p>
    <w:p w14:paraId="4FEADDF3" w14:textId="77777777" w:rsidR="00A148FE" w:rsidRPr="00167CB8" w:rsidRDefault="00A148FE" w:rsidP="00C83147">
      <w:pPr>
        <w:pStyle w:val="Quote"/>
      </w:pPr>
      <w:r w:rsidRPr="00167CB8">
        <w:t>…</w:t>
      </w:r>
    </w:p>
    <w:p w14:paraId="55D8AFF6" w14:textId="3D88169A" w:rsidR="00A148FE" w:rsidRPr="00167CB8" w:rsidRDefault="00A148FE" w:rsidP="00CB58A5">
      <w:pPr>
        <w:pStyle w:val="Quote"/>
      </w:pPr>
      <w:r w:rsidRPr="00167CB8">
        <w:t>Today I have signed an instrument to appoint Mr Mark Irving KC as Administrator.</w:t>
      </w:r>
    </w:p>
    <w:p w14:paraId="74E365C7" w14:textId="307B0EF7" w:rsidR="00A148FE" w:rsidRPr="00167CB8" w:rsidRDefault="00146305" w:rsidP="00A148FE">
      <w:pPr>
        <w:pStyle w:val="Heading5"/>
        <w:rPr>
          <w:rFonts w:asciiTheme="minorHAnsi" w:hAnsiTheme="minorHAnsi"/>
        </w:rPr>
      </w:pPr>
      <w:bookmarkStart w:id="112" w:name="_Toc187946391"/>
      <w:r w:rsidRPr="00167CB8">
        <w:rPr>
          <w:rFonts w:asciiTheme="minorHAnsi" w:hAnsiTheme="minorHAnsi"/>
        </w:rPr>
        <w:t>6</w:t>
      </w:r>
      <w:r w:rsidR="007F7621" w:rsidRPr="00167CB8">
        <w:rPr>
          <w:rFonts w:asciiTheme="minorHAnsi" w:hAnsiTheme="minorHAnsi"/>
        </w:rPr>
        <w:t>.2.2</w:t>
      </w:r>
      <w:r w:rsidR="00A148FE" w:rsidRPr="00167CB8">
        <w:rPr>
          <w:rFonts w:asciiTheme="minorHAnsi" w:hAnsiTheme="minorHAnsi"/>
        </w:rPr>
        <w:t xml:space="preserve"> Qualitative </w:t>
      </w:r>
      <w:r w:rsidR="00866449" w:rsidRPr="00167CB8">
        <w:rPr>
          <w:rFonts w:asciiTheme="minorHAnsi" w:hAnsiTheme="minorHAnsi"/>
        </w:rPr>
        <w:t>e</w:t>
      </w:r>
      <w:r w:rsidR="00A148FE" w:rsidRPr="00167CB8">
        <w:rPr>
          <w:rFonts w:asciiTheme="minorHAnsi" w:hAnsiTheme="minorHAnsi"/>
        </w:rPr>
        <w:t>vidence</w:t>
      </w:r>
      <w:bookmarkEnd w:id="111"/>
      <w:bookmarkEnd w:id="112"/>
    </w:p>
    <w:p w14:paraId="52C483B8" w14:textId="3A7B8DD4" w:rsidR="00A148FE" w:rsidRPr="00167CB8" w:rsidRDefault="00A148FE" w:rsidP="00A148FE">
      <w:r w:rsidRPr="00167CB8">
        <w:t xml:space="preserve">The Review Panel has not identified qualitative evidence </w:t>
      </w:r>
      <w:r w:rsidR="004E1912" w:rsidRPr="00167CB8">
        <w:t>in the form of</w:t>
      </w:r>
      <w:r w:rsidRPr="00167CB8">
        <w:t xml:space="preserve"> major cases from a court or tribunal that would suggest the abolition of the ROC and re</w:t>
      </w:r>
      <w:r w:rsidR="00866449" w:rsidRPr="00167CB8">
        <w:t>-</w:t>
      </w:r>
      <w:r w:rsidRPr="00167CB8">
        <w:t xml:space="preserve">establishment of the </w:t>
      </w:r>
      <w:r w:rsidR="00894C08" w:rsidRPr="00167CB8">
        <w:t xml:space="preserve">General Manager </w:t>
      </w:r>
      <w:r w:rsidRPr="00167CB8">
        <w:t xml:space="preserve">as regulator has not been effective or appropriate. </w:t>
      </w:r>
      <w:r w:rsidR="00D95AE5" w:rsidRPr="00167CB8">
        <w:t xml:space="preserve">Also, there is no </w:t>
      </w:r>
      <w:r w:rsidRPr="00167CB8">
        <w:t xml:space="preserve">qualitative evidence </w:t>
      </w:r>
      <w:r w:rsidR="00D95AE5" w:rsidRPr="00167CB8">
        <w:t xml:space="preserve">to </w:t>
      </w:r>
      <w:r w:rsidRPr="00167CB8">
        <w:t xml:space="preserve">indicate that the </w:t>
      </w:r>
      <w:r w:rsidR="003A39F5" w:rsidRPr="00167CB8">
        <w:t xml:space="preserve">Secure Jobs, Better Pay </w:t>
      </w:r>
      <w:r w:rsidRPr="00167CB8">
        <w:t xml:space="preserve">Act amendments have led to unintended consequences that would require redress by way of findings and further recommendations in this chapter.  </w:t>
      </w:r>
    </w:p>
    <w:p w14:paraId="57FE1092" w14:textId="708FAB9B" w:rsidR="00A148FE" w:rsidRPr="00167CB8" w:rsidRDefault="00A63F68" w:rsidP="00A148FE">
      <w:r w:rsidRPr="00167CB8">
        <w:t>However, o</w:t>
      </w:r>
      <w:r w:rsidR="00A148FE" w:rsidRPr="00167CB8">
        <w:t xml:space="preserve">ne way the Review Panel can consider the operation of amendments is to look at the actions the </w:t>
      </w:r>
      <w:r w:rsidR="004B42E3" w:rsidRPr="00167CB8">
        <w:t xml:space="preserve">General Manager </w:t>
      </w:r>
      <w:r w:rsidR="00A148FE" w:rsidRPr="00167CB8">
        <w:t xml:space="preserve">has taken since the abolition of the ROC and the approach taken to regulate </w:t>
      </w:r>
      <w:r w:rsidR="00D95AE5" w:rsidRPr="00167CB8">
        <w:t>r</w:t>
      </w:r>
      <w:r w:rsidR="00A148FE" w:rsidRPr="00167CB8">
        <w:t xml:space="preserve">egistered </w:t>
      </w:r>
      <w:r w:rsidR="00D95AE5" w:rsidRPr="00167CB8">
        <w:t>o</w:t>
      </w:r>
      <w:r w:rsidR="00A148FE" w:rsidRPr="00167CB8">
        <w:t xml:space="preserve">rganisations. </w:t>
      </w:r>
    </w:p>
    <w:p w14:paraId="48CE8C00" w14:textId="4C0B81BE" w:rsidR="00A148FE" w:rsidRPr="00167CB8" w:rsidRDefault="00A148FE" w:rsidP="00A148FE">
      <w:r w:rsidRPr="00167CB8">
        <w:t xml:space="preserve">While the regulatory statements presented by the ROC when it was in operation and the current approach by the </w:t>
      </w:r>
      <w:r w:rsidR="004B42E3" w:rsidRPr="00167CB8">
        <w:t xml:space="preserve">General Manager </w:t>
      </w:r>
      <w:r w:rsidRPr="00167CB8">
        <w:t xml:space="preserve">demonstrate a generally similar approach to regulatory compliance, there are some observable distinguishing factors. These can perhaps be attributed to the approach taken by the agency head. </w:t>
      </w:r>
    </w:p>
    <w:p w14:paraId="36DDC979" w14:textId="5C2EA826" w:rsidR="00A148FE" w:rsidRPr="00167CB8" w:rsidRDefault="00A148FE" w:rsidP="00A148FE">
      <w:r w:rsidRPr="00167CB8">
        <w:t xml:space="preserve">On 22 May 2024 the </w:t>
      </w:r>
      <w:r w:rsidR="004B42E3" w:rsidRPr="00167CB8">
        <w:t xml:space="preserve">General Manager </w:t>
      </w:r>
      <w:r w:rsidRPr="00167CB8">
        <w:t xml:space="preserve">published a new Compliance and Enforcement Policy (Compliance Policy) which emphasised cooperation with </w:t>
      </w:r>
      <w:r w:rsidR="00D95AE5" w:rsidRPr="00167CB8">
        <w:t>r</w:t>
      </w:r>
      <w:r w:rsidRPr="00167CB8">
        <w:t xml:space="preserve">egistered </w:t>
      </w:r>
      <w:r w:rsidR="00D95AE5" w:rsidRPr="00167CB8">
        <w:t>o</w:t>
      </w:r>
      <w:r w:rsidRPr="00167CB8">
        <w:t>rganisations</w:t>
      </w:r>
      <w:r w:rsidR="00866449" w:rsidRPr="00167CB8">
        <w:t>,</w:t>
      </w:r>
      <w:r w:rsidRPr="00167CB8">
        <w:t xml:space="preserve"> stating:</w:t>
      </w:r>
      <w:r w:rsidRPr="00167CB8">
        <w:rPr>
          <w:vertAlign w:val="superscript"/>
        </w:rPr>
        <w:footnoteReference w:id="171"/>
      </w:r>
    </w:p>
    <w:p w14:paraId="7586E8E4" w14:textId="04F5AA80" w:rsidR="00A148FE" w:rsidRPr="00167CB8" w:rsidRDefault="00A148FE" w:rsidP="00C83147">
      <w:pPr>
        <w:pStyle w:val="Quote"/>
      </w:pPr>
      <w:r w:rsidRPr="00167CB8">
        <w:t xml:space="preserve">There are common interests shared by the registered organisations and the General Manager to: </w:t>
      </w:r>
    </w:p>
    <w:p w14:paraId="53A16D09" w14:textId="5F9AAB2B" w:rsidR="00A148FE" w:rsidRPr="00167CB8" w:rsidRDefault="00A148FE" w:rsidP="00567FCA">
      <w:pPr>
        <w:pStyle w:val="Quote"/>
        <w:numPr>
          <w:ilvl w:val="0"/>
          <w:numId w:val="29"/>
        </w:numPr>
      </w:pPr>
      <w:r w:rsidRPr="00167CB8">
        <w:t xml:space="preserve">enhance the democratic functioning of registered organisations </w:t>
      </w:r>
    </w:p>
    <w:p w14:paraId="72E0D5FF" w14:textId="4BA57314" w:rsidR="00A148FE" w:rsidRPr="00167CB8" w:rsidRDefault="00A148FE" w:rsidP="00567FCA">
      <w:pPr>
        <w:pStyle w:val="Quote"/>
        <w:numPr>
          <w:ilvl w:val="0"/>
          <w:numId w:val="29"/>
        </w:numPr>
      </w:pPr>
      <w:r w:rsidRPr="00167CB8">
        <w:t xml:space="preserve">empower registered organisations to achieve voluntary compliance effectively and efficiently </w:t>
      </w:r>
    </w:p>
    <w:p w14:paraId="367E8EC6" w14:textId="253C93AB" w:rsidR="00A148FE" w:rsidRPr="00167CB8" w:rsidRDefault="00A148FE" w:rsidP="00567FCA">
      <w:pPr>
        <w:pStyle w:val="Quote"/>
        <w:numPr>
          <w:ilvl w:val="0"/>
          <w:numId w:val="29"/>
        </w:numPr>
      </w:pPr>
      <w:r w:rsidRPr="00167CB8">
        <w:t xml:space="preserve">enable high levels of ongoing compliance, transparency and accountability of registered organisations to their members </w:t>
      </w:r>
    </w:p>
    <w:p w14:paraId="30381494" w14:textId="1FF9D2F3" w:rsidR="00A148FE" w:rsidRPr="00167CB8" w:rsidRDefault="00A148FE" w:rsidP="00567FCA">
      <w:pPr>
        <w:pStyle w:val="Quote"/>
        <w:numPr>
          <w:ilvl w:val="0"/>
          <w:numId w:val="29"/>
        </w:numPr>
      </w:pPr>
      <w:r w:rsidRPr="00167CB8">
        <w:t xml:space="preserve">minimise unnecessary red tape and barriers to achieving compliance </w:t>
      </w:r>
    </w:p>
    <w:p w14:paraId="727A32A7" w14:textId="4E1E8739" w:rsidR="00A148FE" w:rsidRPr="00167CB8" w:rsidRDefault="00A148FE" w:rsidP="00567FCA">
      <w:pPr>
        <w:pStyle w:val="Quote"/>
        <w:numPr>
          <w:ilvl w:val="0"/>
          <w:numId w:val="29"/>
        </w:numPr>
      </w:pPr>
      <w:r w:rsidRPr="00167CB8">
        <w:lastRenderedPageBreak/>
        <w:t xml:space="preserve">actively encouraging and supporting members to confidently participate in the running of their organisations. </w:t>
      </w:r>
    </w:p>
    <w:p w14:paraId="54F6160C" w14:textId="04367279" w:rsidR="00A148FE" w:rsidRPr="00167CB8" w:rsidRDefault="00A148FE" w:rsidP="00C83147">
      <w:pPr>
        <w:pStyle w:val="Quote"/>
      </w:pPr>
      <w:r w:rsidRPr="00167CB8">
        <w:t>These common interests are at the centre of the General Manager’s approach to compliance and enforcement.</w:t>
      </w:r>
    </w:p>
    <w:p w14:paraId="7FB89B0E" w14:textId="51A78363" w:rsidR="00A148FE" w:rsidRPr="00167CB8" w:rsidRDefault="00A148FE" w:rsidP="00A148FE">
      <w:r w:rsidRPr="00167CB8">
        <w:t xml:space="preserve">The Compliance Policy stated the </w:t>
      </w:r>
      <w:r w:rsidR="004B42E3" w:rsidRPr="00167CB8">
        <w:t xml:space="preserve">General Manager </w:t>
      </w:r>
      <w:r w:rsidRPr="00167CB8">
        <w:t xml:space="preserve">aims to work closely with </w:t>
      </w:r>
      <w:r w:rsidR="00D95AE5" w:rsidRPr="00167CB8">
        <w:t>r</w:t>
      </w:r>
      <w:r w:rsidRPr="00167CB8">
        <w:t xml:space="preserve">egistered </w:t>
      </w:r>
      <w:r w:rsidR="00D95AE5" w:rsidRPr="00167CB8">
        <w:t>o</w:t>
      </w:r>
      <w:r w:rsidRPr="00167CB8">
        <w:t>rganisations</w:t>
      </w:r>
      <w:r w:rsidR="00013EFB" w:rsidRPr="00167CB8">
        <w:t xml:space="preserve">. Under the heading </w:t>
      </w:r>
      <w:r w:rsidR="009100D3" w:rsidRPr="00167CB8">
        <w:t>‘</w:t>
      </w:r>
      <w:r w:rsidR="00C80129" w:rsidRPr="00167CB8">
        <w:t>C</w:t>
      </w:r>
      <w:r w:rsidR="00013EFB" w:rsidRPr="00167CB8">
        <w:t>ooperation and working closely together</w:t>
      </w:r>
      <w:r w:rsidR="009100D3" w:rsidRPr="00167CB8">
        <w:t>’</w:t>
      </w:r>
      <w:r w:rsidR="00013EFB" w:rsidRPr="00167CB8">
        <w:t>, it outlines the General Manager’s approach</w:t>
      </w:r>
      <w:r w:rsidRPr="00167CB8">
        <w:t>:</w:t>
      </w:r>
      <w:r w:rsidRPr="00167CB8">
        <w:rPr>
          <w:vertAlign w:val="superscript"/>
        </w:rPr>
        <w:footnoteReference w:id="172"/>
      </w:r>
    </w:p>
    <w:p w14:paraId="3CBB0FDC" w14:textId="13B0B2B0" w:rsidR="00A148FE" w:rsidRPr="00167CB8" w:rsidRDefault="00A148FE" w:rsidP="00C83147">
      <w:pPr>
        <w:pStyle w:val="Quote"/>
      </w:pPr>
      <w:r w:rsidRPr="00167CB8">
        <w:t>We will seek to foster a regulatory environment which encourages organisations to cooperate and genuinely engage in self-reporting to secure voluntary compliance, in order to experience improved outcomes that are faster and more cost effective for the organisation and their members.</w:t>
      </w:r>
    </w:p>
    <w:p w14:paraId="40CF89A2" w14:textId="1C2FC04C" w:rsidR="00A148FE" w:rsidRPr="00167CB8" w:rsidRDefault="00A148FE" w:rsidP="00A148FE">
      <w:r w:rsidRPr="00167CB8">
        <w:t xml:space="preserve">The </w:t>
      </w:r>
      <w:r w:rsidR="004B42E3" w:rsidRPr="00167CB8">
        <w:t xml:space="preserve">General Manager </w:t>
      </w:r>
      <w:r w:rsidRPr="00167CB8">
        <w:t>has taken strong steps towards engagement and creating a cooperative regulatory environment. In February 2023,</w:t>
      </w:r>
      <w:r w:rsidR="00FB2063" w:rsidRPr="00167CB8">
        <w:t xml:space="preserve"> for example</w:t>
      </w:r>
      <w:r w:rsidRPr="00167CB8">
        <w:t xml:space="preserve">, prior to the transfer of the ROC to the FWC, the </w:t>
      </w:r>
      <w:r w:rsidR="004B42E3" w:rsidRPr="00167CB8">
        <w:t xml:space="preserve">General Manager </w:t>
      </w:r>
      <w:r w:rsidRPr="00167CB8">
        <w:t xml:space="preserve">established a Registered Organisations Commission Transitional Advisory Committee (ROCTAC) including senior representatives from the </w:t>
      </w:r>
      <w:r w:rsidR="00D95AE5" w:rsidRPr="00167CB8">
        <w:t>Australian Council of Trade Unions (</w:t>
      </w:r>
      <w:r w:rsidRPr="00167CB8">
        <w:t>ACTU</w:t>
      </w:r>
      <w:r w:rsidR="00D95AE5" w:rsidRPr="00167CB8">
        <w:t>)</w:t>
      </w:r>
      <w:r w:rsidRPr="00167CB8">
        <w:t xml:space="preserve">, </w:t>
      </w:r>
      <w:r w:rsidR="00D95AE5" w:rsidRPr="00167CB8">
        <w:t>Australian Chamber of Commerce and Industry (</w:t>
      </w:r>
      <w:r w:rsidRPr="00167CB8">
        <w:t>ACCI</w:t>
      </w:r>
      <w:r w:rsidR="00D95AE5" w:rsidRPr="00167CB8">
        <w:t>)</w:t>
      </w:r>
      <w:r w:rsidRPr="00167CB8">
        <w:t xml:space="preserve"> and Ai</w:t>
      </w:r>
      <w:r w:rsidR="003769AE" w:rsidRPr="00167CB8">
        <w:t xml:space="preserve"> </w:t>
      </w:r>
      <w:r w:rsidRPr="00167CB8">
        <w:t>Group.</w:t>
      </w:r>
      <w:r w:rsidRPr="00167CB8">
        <w:rPr>
          <w:vertAlign w:val="superscript"/>
        </w:rPr>
        <w:footnoteReference w:id="173"/>
      </w:r>
    </w:p>
    <w:p w14:paraId="74DFEE61" w14:textId="1B980463" w:rsidR="00A148FE" w:rsidRPr="00167CB8" w:rsidRDefault="00A148FE" w:rsidP="00A148FE">
      <w:r w:rsidRPr="00167CB8">
        <w:t xml:space="preserve">In March 2023, shortly after functions had transferred to the FWC, the </w:t>
      </w:r>
      <w:r w:rsidR="004B42E3" w:rsidRPr="00167CB8">
        <w:t xml:space="preserve">General Manager </w:t>
      </w:r>
      <w:r w:rsidRPr="00167CB8">
        <w:t xml:space="preserve">commissioned former FWC tribunal members to undertake an external review of </w:t>
      </w:r>
      <w:r w:rsidR="00D95AE5" w:rsidRPr="00167CB8">
        <w:t>r</w:t>
      </w:r>
      <w:r w:rsidRPr="00167CB8">
        <w:t xml:space="preserve">egistered </w:t>
      </w:r>
      <w:r w:rsidR="00D95AE5" w:rsidRPr="00167CB8">
        <w:t>o</w:t>
      </w:r>
      <w:r w:rsidRPr="00167CB8">
        <w:t xml:space="preserve">rganisations </w:t>
      </w:r>
      <w:r w:rsidR="00D95AE5" w:rsidRPr="00167CB8">
        <w:t>g</w:t>
      </w:r>
      <w:r w:rsidRPr="00167CB8">
        <w:t xml:space="preserve">overnance and </w:t>
      </w:r>
      <w:r w:rsidR="00D95AE5" w:rsidRPr="00167CB8">
        <w:t>c</w:t>
      </w:r>
      <w:r w:rsidRPr="00167CB8">
        <w:t>ompliance (the External Review).</w:t>
      </w:r>
      <w:r w:rsidRPr="00167CB8">
        <w:rPr>
          <w:vertAlign w:val="superscript"/>
        </w:rPr>
        <w:footnoteReference w:id="174"/>
      </w:r>
      <w:r w:rsidRPr="00167CB8">
        <w:t xml:space="preserve"> The purpose of the External Review was to assist the </w:t>
      </w:r>
      <w:r w:rsidR="00BA69D1" w:rsidRPr="00167CB8">
        <w:t xml:space="preserve">General Manager </w:t>
      </w:r>
      <w:r w:rsidRPr="00167CB8">
        <w:t>to align their priorities, objectives and role as regulator following the abolition of the ROC.</w:t>
      </w:r>
    </w:p>
    <w:p w14:paraId="4DC8F9F8" w14:textId="31ED1A24" w:rsidR="00A148FE" w:rsidRPr="00167CB8" w:rsidRDefault="00A148FE" w:rsidP="00A148FE">
      <w:r w:rsidRPr="00167CB8">
        <w:t xml:space="preserve">The External Review was </w:t>
      </w:r>
      <w:r w:rsidR="00FE26A5" w:rsidRPr="00167CB8">
        <w:t xml:space="preserve">presented </w:t>
      </w:r>
      <w:r w:rsidRPr="00167CB8">
        <w:t xml:space="preserve">to the </w:t>
      </w:r>
      <w:r w:rsidR="004B42E3" w:rsidRPr="00167CB8">
        <w:t xml:space="preserve">General Manager </w:t>
      </w:r>
      <w:r w:rsidRPr="00167CB8">
        <w:t>on 21 August 2023 and made 25 recommendations, which included some recommendations for legislative amendment. The External Review stated:</w:t>
      </w:r>
      <w:r w:rsidRPr="00167CB8">
        <w:rPr>
          <w:vertAlign w:val="superscript"/>
        </w:rPr>
        <w:footnoteReference w:id="175"/>
      </w:r>
    </w:p>
    <w:p w14:paraId="322A8D50" w14:textId="70109830" w:rsidR="00A148FE" w:rsidRPr="00167CB8" w:rsidRDefault="00A148FE" w:rsidP="00C83147">
      <w:pPr>
        <w:pStyle w:val="Quote"/>
      </w:pPr>
      <w:r w:rsidRPr="00167CB8">
        <w:t xml:space="preserve">It is important that in performing their functions under the Act, the </w:t>
      </w:r>
      <w:r w:rsidR="004B42E3" w:rsidRPr="00167CB8">
        <w:t xml:space="preserve">General Manager </w:t>
      </w:r>
      <w:r w:rsidRPr="00167CB8">
        <w:t xml:space="preserve">and the staff in the ROSB [Registered Organisations Services Branch] have regard to the underlying purpose of the regulatory scheme. This is not to achieve ‘compliance for compliance’s sake’ but to protect the interests of members of registered organisations (ROs) by: </w:t>
      </w:r>
    </w:p>
    <w:p w14:paraId="257C1752" w14:textId="77777777" w:rsidR="00A148FE" w:rsidRPr="00167CB8" w:rsidRDefault="00A148FE" w:rsidP="00567FCA">
      <w:pPr>
        <w:pStyle w:val="Quote"/>
        <w:numPr>
          <w:ilvl w:val="0"/>
          <w:numId w:val="24"/>
        </w:numPr>
      </w:pPr>
      <w:r w:rsidRPr="00167CB8">
        <w:t xml:space="preserve">ensuring that organisations registered are representative of and accountable to their members; </w:t>
      </w:r>
    </w:p>
    <w:p w14:paraId="249775CA" w14:textId="77777777" w:rsidR="00A148FE" w:rsidRPr="00167CB8" w:rsidRDefault="00A148FE" w:rsidP="00567FCA">
      <w:pPr>
        <w:pStyle w:val="Quote"/>
        <w:numPr>
          <w:ilvl w:val="0"/>
          <w:numId w:val="24"/>
        </w:numPr>
      </w:pPr>
      <w:r w:rsidRPr="00167CB8">
        <w:t xml:space="preserve">ensuring that organisations are run democratically; </w:t>
      </w:r>
    </w:p>
    <w:p w14:paraId="618E876B" w14:textId="77777777" w:rsidR="00A148FE" w:rsidRPr="00167CB8" w:rsidRDefault="00A148FE" w:rsidP="00567FCA">
      <w:pPr>
        <w:pStyle w:val="Quote"/>
        <w:numPr>
          <w:ilvl w:val="0"/>
          <w:numId w:val="24"/>
        </w:numPr>
      </w:pPr>
      <w:r w:rsidRPr="00167CB8">
        <w:lastRenderedPageBreak/>
        <w:t xml:space="preserve">ensuring that organisations are able to operate effectively; </w:t>
      </w:r>
    </w:p>
    <w:p w14:paraId="524B474E" w14:textId="77777777" w:rsidR="008C58C4" w:rsidRPr="00167CB8" w:rsidRDefault="00A148FE" w:rsidP="00567FCA">
      <w:pPr>
        <w:pStyle w:val="Quote"/>
        <w:numPr>
          <w:ilvl w:val="0"/>
          <w:numId w:val="24"/>
        </w:numPr>
      </w:pPr>
      <w:r w:rsidRPr="00167CB8">
        <w:t xml:space="preserve">encouraging members are able to participate in the affairs of their organisation; </w:t>
      </w:r>
    </w:p>
    <w:p w14:paraId="33EE0730" w14:textId="7F754E56" w:rsidR="00A148FE" w:rsidRPr="00167CB8" w:rsidRDefault="00A148FE" w:rsidP="00567FCA">
      <w:pPr>
        <w:pStyle w:val="Quote"/>
        <w:numPr>
          <w:ilvl w:val="0"/>
          <w:numId w:val="24"/>
        </w:numPr>
      </w:pPr>
      <w:r w:rsidRPr="00167CB8">
        <w:t xml:space="preserve">ensuring that financial reporting is in a form that assists members; and </w:t>
      </w:r>
    </w:p>
    <w:p w14:paraId="4D9684D1" w14:textId="77777777" w:rsidR="00A148FE" w:rsidRPr="00167CB8" w:rsidRDefault="00A148FE" w:rsidP="00567FCA">
      <w:pPr>
        <w:pStyle w:val="Quote"/>
        <w:numPr>
          <w:ilvl w:val="0"/>
          <w:numId w:val="24"/>
        </w:numPr>
      </w:pPr>
      <w:r w:rsidRPr="00167CB8">
        <w:t xml:space="preserve">organisations are managed efficiently. </w:t>
      </w:r>
    </w:p>
    <w:p w14:paraId="2272319A" w14:textId="47AB63B8" w:rsidR="00A148FE" w:rsidRPr="00167CB8" w:rsidRDefault="00A148FE" w:rsidP="00C83147">
      <w:pPr>
        <w:pStyle w:val="Quote"/>
      </w:pPr>
      <w:r w:rsidRPr="00167CB8">
        <w:t>The focus on protecting the members’ interests needs to be reflected in the Branch’s planning.</w:t>
      </w:r>
    </w:p>
    <w:p w14:paraId="11E59519" w14:textId="2609E547" w:rsidR="00A148FE" w:rsidRPr="00167CB8" w:rsidRDefault="00A148FE" w:rsidP="00A148FE">
      <w:r w:rsidRPr="00167CB8">
        <w:t>The</w:t>
      </w:r>
      <w:r w:rsidRPr="00167CB8" w:rsidDel="00272772">
        <w:t xml:space="preserve"> </w:t>
      </w:r>
      <w:r w:rsidR="00272772" w:rsidRPr="00167CB8">
        <w:t xml:space="preserve">General Manager </w:t>
      </w:r>
      <w:r w:rsidRPr="00167CB8">
        <w:t xml:space="preserve">published a response to the External Review which focused not only on the powers and functions transferred by the </w:t>
      </w:r>
      <w:r w:rsidR="00272772" w:rsidRPr="00167CB8">
        <w:t xml:space="preserve">Secure Jobs, Better Pay </w:t>
      </w:r>
      <w:r w:rsidRPr="00167CB8">
        <w:t xml:space="preserve">Act but also the operation of the </w:t>
      </w:r>
      <w:r w:rsidR="00E54DE0" w:rsidRPr="00167CB8">
        <w:t>Registered Organisations Services Branch (</w:t>
      </w:r>
      <w:r w:rsidRPr="00167CB8">
        <w:t>ROSB</w:t>
      </w:r>
      <w:r w:rsidR="00E54DE0" w:rsidRPr="00167CB8">
        <w:t>)</w:t>
      </w:r>
      <w:r w:rsidRPr="00167CB8">
        <w:t xml:space="preserve"> in the FWC, more generally.</w:t>
      </w:r>
      <w:r w:rsidRPr="00167CB8">
        <w:rPr>
          <w:vertAlign w:val="superscript"/>
        </w:rPr>
        <w:footnoteReference w:id="176"/>
      </w:r>
      <w:r w:rsidRPr="00167CB8">
        <w:t xml:space="preserve"> In it the G</w:t>
      </w:r>
      <w:r w:rsidR="00272772" w:rsidRPr="00167CB8">
        <w:t xml:space="preserve">eneral </w:t>
      </w:r>
      <w:r w:rsidRPr="00167CB8">
        <w:t>M</w:t>
      </w:r>
      <w:r w:rsidR="00272772" w:rsidRPr="00167CB8">
        <w:t>anager</w:t>
      </w:r>
      <w:r w:rsidRPr="00167CB8">
        <w:t xml:space="preserve"> outlined measures to be taken in response to the External Review and described ‘a permanent advisory group, the Registered Organisations Advisory Committee (ROAC) … to provide advice and assistance to the Commission’.</w:t>
      </w:r>
      <w:r w:rsidRPr="00167CB8">
        <w:rPr>
          <w:vertAlign w:val="superscript"/>
        </w:rPr>
        <w:footnoteReference w:id="177"/>
      </w:r>
      <w:r w:rsidRPr="00167CB8">
        <w:t xml:space="preserve"> </w:t>
      </w:r>
    </w:p>
    <w:p w14:paraId="2F95A3BE" w14:textId="785630F1" w:rsidR="00A148FE" w:rsidRPr="00167CB8" w:rsidRDefault="00A148FE" w:rsidP="00A148FE">
      <w:r w:rsidRPr="00167CB8">
        <w:t xml:space="preserve">The </w:t>
      </w:r>
      <w:r w:rsidR="004B42E3" w:rsidRPr="00167CB8">
        <w:t>General Manager</w:t>
      </w:r>
      <w:r w:rsidRPr="00167CB8" w:rsidDel="004B42E3">
        <w:t xml:space="preserve"> </w:t>
      </w:r>
      <w:r w:rsidRPr="00167CB8">
        <w:t>also initiated a compliance practitioners’ reference group (CPRG) to consult on technical matters which meets quarterly.</w:t>
      </w:r>
      <w:r w:rsidRPr="00167CB8">
        <w:rPr>
          <w:rStyle w:val="FootnoteReference"/>
        </w:rPr>
        <w:footnoteReference w:id="178"/>
      </w:r>
      <w:r w:rsidRPr="00167CB8">
        <w:t xml:space="preserve"> It aims ‘to provide timely feedback on compliance-related issues affecting registered organisations, their members, branches and officers’.</w:t>
      </w:r>
      <w:r w:rsidRPr="00167CB8">
        <w:rPr>
          <w:rStyle w:val="FootnoteReference"/>
        </w:rPr>
        <w:footnoteReference w:id="179"/>
      </w:r>
      <w:r w:rsidRPr="00167CB8">
        <w:t xml:space="preserve"> </w:t>
      </w:r>
    </w:p>
    <w:p w14:paraId="1AB78AB0" w14:textId="75A4136F" w:rsidR="00A148FE" w:rsidRPr="00167CB8" w:rsidRDefault="00A148FE" w:rsidP="00A148FE">
      <w:r w:rsidRPr="00167CB8">
        <w:t xml:space="preserve">The </w:t>
      </w:r>
      <w:r w:rsidR="004B42E3" w:rsidRPr="00167CB8">
        <w:t xml:space="preserve">General Manager </w:t>
      </w:r>
      <w:r w:rsidRPr="00167CB8">
        <w:t xml:space="preserve">also engages through a ‘General Manager’s Listen and Learn’ program which </w:t>
      </w:r>
      <w:r w:rsidR="00E54DE0" w:rsidRPr="00167CB8">
        <w:t>r</w:t>
      </w:r>
      <w:r w:rsidRPr="00167CB8">
        <w:t xml:space="preserve">egistered </w:t>
      </w:r>
      <w:r w:rsidR="00E54DE0" w:rsidRPr="00167CB8">
        <w:t>o</w:t>
      </w:r>
      <w:r w:rsidRPr="00167CB8">
        <w:t>rganisations can nominate to participate in.</w:t>
      </w:r>
      <w:r w:rsidRPr="00167CB8">
        <w:rPr>
          <w:rStyle w:val="FootnoteReference"/>
        </w:rPr>
        <w:footnoteReference w:id="180"/>
      </w:r>
      <w:r w:rsidRPr="00167CB8">
        <w:t xml:space="preserve"> The FWC state</w:t>
      </w:r>
      <w:r w:rsidR="00E54DE0" w:rsidRPr="00167CB8">
        <w:t>d</w:t>
      </w:r>
      <w:r w:rsidRPr="00167CB8">
        <w:t xml:space="preserve"> that the program is ‘a way for us to learn more about the day-to-day experiences of compliance officers working in registered organisations’.</w:t>
      </w:r>
      <w:r w:rsidRPr="00167CB8">
        <w:rPr>
          <w:rStyle w:val="FootnoteReference"/>
        </w:rPr>
        <w:footnoteReference w:id="181"/>
      </w:r>
      <w:r w:rsidRPr="00167CB8">
        <w:t xml:space="preserve"> </w:t>
      </w:r>
    </w:p>
    <w:p w14:paraId="0E50538A" w14:textId="423E133A" w:rsidR="00A148FE" w:rsidRPr="00167CB8" w:rsidRDefault="00A148FE" w:rsidP="00A148FE">
      <w:r w:rsidRPr="00167CB8">
        <w:t xml:space="preserve">Among other steps taken in 2023, in April the </w:t>
      </w:r>
      <w:r w:rsidR="004B42E3" w:rsidRPr="00167CB8">
        <w:t xml:space="preserve">General Manager </w:t>
      </w:r>
      <w:r w:rsidRPr="00167CB8">
        <w:t xml:space="preserve">released an interim Compliance and Enforcement Policy. </w:t>
      </w:r>
    </w:p>
    <w:p w14:paraId="60E60725" w14:textId="498C6EE5" w:rsidR="00A148FE" w:rsidRPr="00167CB8" w:rsidRDefault="00A148FE" w:rsidP="00866449">
      <w:r w:rsidRPr="00167CB8">
        <w:t xml:space="preserve">The </w:t>
      </w:r>
      <w:r w:rsidR="004B42E3" w:rsidRPr="00167CB8">
        <w:t>General Manager</w:t>
      </w:r>
      <w:r w:rsidRPr="00167CB8" w:rsidDel="004B42E3">
        <w:t xml:space="preserve"> </w:t>
      </w:r>
      <w:r w:rsidRPr="00167CB8">
        <w:t>also produced an ‘Interim Registered Organisations Engagement and Education Strategy’ for the period July to September 2023.</w:t>
      </w:r>
      <w:r w:rsidRPr="00167CB8">
        <w:rPr>
          <w:vertAlign w:val="superscript"/>
        </w:rPr>
        <w:footnoteReference w:id="182"/>
      </w:r>
      <w:r w:rsidRPr="00167CB8">
        <w:t xml:space="preserve"> It stated that the FWC had maintained continuity with the ROC’s previous educative program engagement with stakeholders and </w:t>
      </w:r>
      <w:r w:rsidR="00954D57" w:rsidRPr="00167CB8">
        <w:t>committed</w:t>
      </w:r>
      <w:r w:rsidR="00866449" w:rsidRPr="00167CB8" w:rsidDel="00866449">
        <w:t xml:space="preserve"> </w:t>
      </w:r>
      <w:r w:rsidR="00866449" w:rsidRPr="00167CB8">
        <w:t xml:space="preserve">‘to making it easy for registered organisations to comply with their </w:t>
      </w:r>
      <w:r w:rsidR="00866449" w:rsidRPr="00167CB8">
        <w:lastRenderedPageBreak/>
        <w:t>statutory obligations, and to regularly engage with industry groups and stakeholders to achieve this’.</w:t>
      </w:r>
      <w:r w:rsidRPr="00167CB8">
        <w:rPr>
          <w:vertAlign w:val="superscript"/>
        </w:rPr>
        <w:footnoteReference w:id="183"/>
      </w:r>
    </w:p>
    <w:p w14:paraId="73AD082E" w14:textId="25F2A3F6" w:rsidR="00A148FE" w:rsidRPr="00167CB8" w:rsidRDefault="00A148FE" w:rsidP="00A148FE">
      <w:r w:rsidRPr="00167CB8">
        <w:t xml:space="preserve">On 6 March 2024 the </w:t>
      </w:r>
      <w:r w:rsidR="004B42E3" w:rsidRPr="00167CB8">
        <w:t xml:space="preserve">General Manager </w:t>
      </w:r>
      <w:r w:rsidRPr="00167CB8">
        <w:t>produced a 12 Month Review ‘of [the FWC’s] work supporting registered organisations’ which stated:</w:t>
      </w:r>
      <w:r w:rsidRPr="00167CB8">
        <w:rPr>
          <w:vertAlign w:val="superscript"/>
        </w:rPr>
        <w:footnoteReference w:id="184"/>
      </w:r>
    </w:p>
    <w:p w14:paraId="501FC293" w14:textId="7C4427F8" w:rsidR="00A148FE" w:rsidRPr="00167CB8" w:rsidRDefault="00A148FE" w:rsidP="00C83147">
      <w:pPr>
        <w:pStyle w:val="Quote"/>
      </w:pPr>
      <w:r w:rsidRPr="00167CB8">
        <w:t>Since 6 March 2023, we have successfully transitioned former Registered Organisations Commission (ROC) staff and operational systems. We have undertaken an external governance and compliance review, significantly improved timeliness of entry permit and rule alterations applications and initiated or completed more than 30 projects to enhance service delivery. Throughout this time, we have continued to provide seamless service and assistance to registered organisations.</w:t>
      </w:r>
    </w:p>
    <w:p w14:paraId="6D785099" w14:textId="6888CC56" w:rsidR="00A148FE" w:rsidRPr="00167CB8" w:rsidRDefault="00A148FE" w:rsidP="00A148FE">
      <w:r w:rsidRPr="00167CB8">
        <w:t xml:space="preserve">The </w:t>
      </w:r>
      <w:r w:rsidR="004B42E3" w:rsidRPr="00167CB8">
        <w:t>General Manager</w:t>
      </w:r>
      <w:r w:rsidRPr="00167CB8">
        <w:t>’s 12 Month Review stated in respect to the ‘transition’ and the establishment of the ROSB in the FWC:</w:t>
      </w:r>
      <w:r w:rsidRPr="00167CB8">
        <w:rPr>
          <w:vertAlign w:val="superscript"/>
        </w:rPr>
        <w:footnoteReference w:id="185"/>
      </w:r>
    </w:p>
    <w:p w14:paraId="42E43A14" w14:textId="683D28FA" w:rsidR="00A148FE" w:rsidRPr="00167CB8" w:rsidRDefault="00A148FE" w:rsidP="00C83147">
      <w:pPr>
        <w:pStyle w:val="Quote"/>
      </w:pPr>
      <w:r w:rsidRPr="00167CB8">
        <w:t>As a result of careful planning ahead of 6 March 2023, we were able to transfer the ROC’s people and systems to the Commission with minimal interruption. Registered organisations received uninterrupted services during this time to ensure they could continue to comply with their obligations under the</w:t>
      </w:r>
      <w:r w:rsidRPr="00167CB8">
        <w:rPr>
          <w:i/>
        </w:rPr>
        <w:t xml:space="preserve"> Fair Work (Registered Organisations) Act 2009</w:t>
      </w:r>
      <w:r w:rsidRPr="00167CB8">
        <w:t xml:space="preserve"> (the RO Act). In July 2023, with the team successfully transferred and operating well, we established the Registered Organisations Services Branch (ROSB). We did this by consolidating the Commission’s Registered Organisations (Registration, Permits and Rules) Section with the former ROC team.</w:t>
      </w:r>
    </w:p>
    <w:p w14:paraId="4894F705" w14:textId="0F6CBEE9" w:rsidR="00A148FE" w:rsidRPr="00167CB8" w:rsidRDefault="00A148FE" w:rsidP="00A148FE">
      <w:pPr>
        <w:rPr>
          <w:rFonts w:eastAsia="Aptos" w:cs="Aptos"/>
        </w:rPr>
      </w:pPr>
      <w:r w:rsidRPr="00167CB8">
        <w:rPr>
          <w:rFonts w:eastAsia="Aptos" w:cs="Aptos"/>
        </w:rPr>
        <w:t xml:space="preserve">In relation to how the </w:t>
      </w:r>
      <w:r w:rsidR="004B42E3" w:rsidRPr="00167CB8">
        <w:t xml:space="preserve">General Manager </w:t>
      </w:r>
      <w:r w:rsidRPr="00167CB8">
        <w:rPr>
          <w:rFonts w:eastAsia="Aptos" w:cs="Aptos"/>
        </w:rPr>
        <w:t xml:space="preserve">had progressed with the recommendations of the External Review, the </w:t>
      </w:r>
      <w:r w:rsidR="004B42E3" w:rsidRPr="00167CB8">
        <w:t xml:space="preserve">General Manager </w:t>
      </w:r>
      <w:r w:rsidRPr="00167CB8">
        <w:rPr>
          <w:rFonts w:eastAsia="Aptos" w:cs="Aptos"/>
        </w:rPr>
        <w:t>stated in the 12 Month Review that:</w:t>
      </w:r>
      <w:r w:rsidRPr="00167CB8">
        <w:rPr>
          <w:rFonts w:eastAsia="Aptos" w:cs="Aptos"/>
          <w:vertAlign w:val="superscript"/>
        </w:rPr>
        <w:footnoteReference w:id="186"/>
      </w:r>
    </w:p>
    <w:p w14:paraId="15D547EC" w14:textId="0D59F12A" w:rsidR="00A148FE" w:rsidRPr="00167CB8" w:rsidRDefault="00A148FE" w:rsidP="00C83147">
      <w:pPr>
        <w:pStyle w:val="Quote"/>
      </w:pPr>
      <w:r w:rsidRPr="00167CB8">
        <w:t xml:space="preserve">In my response to the review (published on 28 September 2023), I committed to progress each of the approximately 25 recommendations. I am pleased to advise that every recommendation has now either been completed or significant action taken towards implementation or delivery. </w:t>
      </w:r>
    </w:p>
    <w:p w14:paraId="3234D8B1" w14:textId="4E8592C7" w:rsidR="00A148FE" w:rsidRPr="00167CB8" w:rsidRDefault="00A148FE" w:rsidP="00C83147">
      <w:pPr>
        <w:pStyle w:val="Quote"/>
      </w:pPr>
      <w:r w:rsidRPr="00167CB8">
        <w:t>I noted at the time that some of the recommendations from the review would require legislative change. My powers are confined to the functions prescribed by the RO Act. Information has been provided to the Department of Employment and Workplace Relations for their consideration as the agency responsible for policy across this portfolio of government.</w:t>
      </w:r>
    </w:p>
    <w:p w14:paraId="3069BB5E" w14:textId="59E4AEFC" w:rsidR="00A148FE" w:rsidRPr="00167CB8" w:rsidRDefault="00146305" w:rsidP="00A148FE">
      <w:pPr>
        <w:pStyle w:val="Heading5"/>
        <w:rPr>
          <w:rFonts w:asciiTheme="minorHAnsi" w:hAnsiTheme="minorHAnsi"/>
        </w:rPr>
      </w:pPr>
      <w:bookmarkStart w:id="113" w:name="_Toc187421589"/>
      <w:bookmarkStart w:id="114" w:name="_Toc187946392"/>
      <w:r w:rsidRPr="00167CB8">
        <w:rPr>
          <w:rFonts w:asciiTheme="minorHAnsi" w:hAnsiTheme="minorHAnsi"/>
        </w:rPr>
        <w:lastRenderedPageBreak/>
        <w:t>6</w:t>
      </w:r>
      <w:r w:rsidR="007F7621" w:rsidRPr="00167CB8">
        <w:rPr>
          <w:rFonts w:asciiTheme="minorHAnsi" w:hAnsiTheme="minorHAnsi"/>
        </w:rPr>
        <w:t>.2.3</w:t>
      </w:r>
      <w:r w:rsidR="00A148FE" w:rsidRPr="00167CB8">
        <w:rPr>
          <w:rFonts w:asciiTheme="minorHAnsi" w:hAnsiTheme="minorHAnsi"/>
        </w:rPr>
        <w:t xml:space="preserve"> Stakeholder views</w:t>
      </w:r>
      <w:bookmarkEnd w:id="113"/>
      <w:bookmarkEnd w:id="114"/>
    </w:p>
    <w:p w14:paraId="6345E069" w14:textId="77777777" w:rsidR="00A148FE" w:rsidRPr="00167CB8" w:rsidRDefault="00A148FE" w:rsidP="00A148FE">
      <w:r w:rsidRPr="00167CB8">
        <w:t xml:space="preserve">In submissions to the Review, employee organisations, the ACTU and the Law Council of Australia provided positive feedback on the abolition of the ROC. </w:t>
      </w:r>
    </w:p>
    <w:p w14:paraId="0ABEFF21" w14:textId="5B25FBD0" w:rsidR="00A148FE" w:rsidRPr="00167CB8" w:rsidRDefault="00A148FE" w:rsidP="00A148FE">
      <w:r w:rsidRPr="00167CB8">
        <w:t>Generally, the submissions indicate</w:t>
      </w:r>
      <w:r w:rsidR="00E54DE0" w:rsidRPr="00167CB8">
        <w:t>d</w:t>
      </w:r>
      <w:r w:rsidRPr="00167CB8">
        <w:t xml:space="preserve"> that the abolition of the ROC, transferal of powers to the FWC (including the inclusion of </w:t>
      </w:r>
      <w:r w:rsidR="00866449" w:rsidRPr="00167CB8">
        <w:t>i</w:t>
      </w:r>
      <w:r w:rsidRPr="00167CB8">
        <w:t xml:space="preserve">nfringement </w:t>
      </w:r>
      <w:r w:rsidR="00866449" w:rsidRPr="00167CB8">
        <w:t>n</w:t>
      </w:r>
      <w:r w:rsidRPr="00167CB8">
        <w:t xml:space="preserve">otice and </w:t>
      </w:r>
      <w:r w:rsidR="00866449" w:rsidRPr="00167CB8">
        <w:t>e</w:t>
      </w:r>
      <w:r w:rsidRPr="00167CB8">
        <w:t xml:space="preserve">nforceable </w:t>
      </w:r>
      <w:r w:rsidR="00866449" w:rsidRPr="00167CB8">
        <w:t>u</w:t>
      </w:r>
      <w:r w:rsidRPr="00167CB8">
        <w:t xml:space="preserve">ndertakings powers) have not been particularly contentious as implemented in practice. </w:t>
      </w:r>
    </w:p>
    <w:p w14:paraId="5C4E4671" w14:textId="60921C4A" w:rsidR="00A148FE" w:rsidRPr="00167CB8" w:rsidRDefault="00A148FE" w:rsidP="00A148FE">
      <w:r w:rsidRPr="00167CB8">
        <w:t xml:space="preserve">The </w:t>
      </w:r>
      <w:r w:rsidR="00E54DE0" w:rsidRPr="00167CB8">
        <w:t>United Workers Union (</w:t>
      </w:r>
      <w:r w:rsidR="00843C5B" w:rsidRPr="00167CB8">
        <w:t>UWU</w:t>
      </w:r>
      <w:r w:rsidR="00E54DE0" w:rsidRPr="00167CB8">
        <w:t>)</w:t>
      </w:r>
      <w:r w:rsidRPr="00167CB8">
        <w:t xml:space="preserve"> stated:</w:t>
      </w:r>
      <w:r w:rsidR="00E54DE0" w:rsidRPr="00167CB8">
        <w:rPr>
          <w:rStyle w:val="FootnoteReference"/>
        </w:rPr>
        <w:footnoteReference w:id="187"/>
      </w:r>
    </w:p>
    <w:p w14:paraId="41F13265" w14:textId="688F4738" w:rsidR="00A148FE" w:rsidRPr="00167CB8" w:rsidRDefault="00A148FE" w:rsidP="00C83147">
      <w:pPr>
        <w:pStyle w:val="Quote"/>
      </w:pPr>
      <w:r w:rsidRPr="00167CB8">
        <w:t xml:space="preserve">The abolition of the ROC and transference of the regulatory powers and functions of the Commissioner to the General Manager of the FWC is supported by UWU as a positive development. Registered organisations such as UWU continue to have the same reporting and compliance obligations as they did under the </w:t>
      </w:r>
      <w:r w:rsidRPr="00167CB8">
        <w:rPr>
          <w:i/>
        </w:rPr>
        <w:t>Fair Work (Registered Organisations) Act 2009</w:t>
      </w:r>
      <w:r w:rsidRPr="00167CB8">
        <w:t>. However, the changed regulatory approach means that the FWC and Fair Work Ombudsman (FWO) are more appropriately focused on ensuring and supporting compliance, and more willing to engage and listen to unions.</w:t>
      </w:r>
    </w:p>
    <w:p w14:paraId="5D272242" w14:textId="3F8D74ED" w:rsidR="00A148FE" w:rsidRPr="00167CB8" w:rsidRDefault="00A148FE" w:rsidP="00A148FE">
      <w:r w:rsidRPr="00167CB8">
        <w:t>The ACTU stated:</w:t>
      </w:r>
      <w:r w:rsidR="00E54DE0" w:rsidRPr="00167CB8">
        <w:rPr>
          <w:rStyle w:val="FootnoteReference"/>
        </w:rPr>
        <w:footnoteReference w:id="188"/>
      </w:r>
    </w:p>
    <w:p w14:paraId="415A2873" w14:textId="0C66DC08" w:rsidR="00A148FE" w:rsidRPr="00167CB8" w:rsidRDefault="00A148FE" w:rsidP="00C83147">
      <w:pPr>
        <w:pStyle w:val="Quote"/>
      </w:pPr>
      <w:r w:rsidRPr="00167CB8">
        <w:t xml:space="preserve">[The ROAC and CPRG] have been useful and are supported by the ACTU. </w:t>
      </w:r>
    </w:p>
    <w:p w14:paraId="3ACEA1E3" w14:textId="77777777" w:rsidR="00A148FE" w:rsidRPr="00167CB8" w:rsidRDefault="00A148FE" w:rsidP="00C83147">
      <w:pPr>
        <w:pStyle w:val="Quote"/>
      </w:pPr>
      <w:r w:rsidRPr="00167CB8">
        <w:t xml:space="preserve">… </w:t>
      </w:r>
    </w:p>
    <w:p w14:paraId="242560B3" w14:textId="77777777" w:rsidR="00A148FE" w:rsidRPr="00167CB8" w:rsidRDefault="00A148FE" w:rsidP="00C83147">
      <w:pPr>
        <w:pStyle w:val="Quote"/>
      </w:pPr>
      <w:r w:rsidRPr="00167CB8">
        <w:t xml:space="preserve">The General Manager has also published a new Compliance and Enforcement Policy for registered organisations which sets out a commitment to providing a positive regulatory culture through a focus on assistance, education and collaboration. </w:t>
      </w:r>
    </w:p>
    <w:p w14:paraId="48FB87B2" w14:textId="77777777" w:rsidR="00A148FE" w:rsidRPr="00167CB8" w:rsidRDefault="00A148FE" w:rsidP="00C83147">
      <w:pPr>
        <w:pStyle w:val="Quote"/>
      </w:pPr>
      <w:r w:rsidRPr="00167CB8">
        <w:t xml:space="preserve">The ACTU is supportive of the stated new focus and ACTU affiliates have reported general improvements in the accessibility, advice and assistance provided by the regulator. Affiliates have reported amongst other things: </w:t>
      </w:r>
    </w:p>
    <w:p w14:paraId="74919B3E" w14:textId="11F432EE" w:rsidR="00A148FE" w:rsidRPr="00167CB8" w:rsidRDefault="00A148FE" w:rsidP="00567FCA">
      <w:pPr>
        <w:pStyle w:val="Quote"/>
        <w:numPr>
          <w:ilvl w:val="0"/>
          <w:numId w:val="29"/>
        </w:numPr>
      </w:pPr>
      <w:r w:rsidRPr="00167CB8">
        <w:t xml:space="preserve">An approach characterised by a substantially less accusatory and combative </w:t>
      </w:r>
      <w:r w:rsidR="00D07E8A" w:rsidRPr="00167CB8">
        <w:t>‘</w:t>
      </w:r>
      <w:r w:rsidRPr="00167CB8">
        <w:t>policing</w:t>
      </w:r>
      <w:r w:rsidR="00D07E8A" w:rsidRPr="00167CB8">
        <w:t>’</w:t>
      </w:r>
      <w:r w:rsidRPr="00167CB8">
        <w:t xml:space="preserve"> of union activity. </w:t>
      </w:r>
    </w:p>
    <w:p w14:paraId="10FD82BA" w14:textId="60528A55" w:rsidR="00A148FE" w:rsidRPr="00167CB8" w:rsidRDefault="00A148FE" w:rsidP="00567FCA">
      <w:pPr>
        <w:pStyle w:val="Quote"/>
        <w:numPr>
          <w:ilvl w:val="0"/>
          <w:numId w:val="29"/>
        </w:numPr>
      </w:pPr>
      <w:r w:rsidRPr="00167CB8">
        <w:t xml:space="preserve">A more constructive and less punitive approach to accidental administrative error or omissions in reporting. </w:t>
      </w:r>
    </w:p>
    <w:p w14:paraId="688CCDF1" w14:textId="5991CFB8" w:rsidR="00A148FE" w:rsidRPr="00167CB8" w:rsidRDefault="00A148FE" w:rsidP="00567FCA">
      <w:pPr>
        <w:pStyle w:val="Quote"/>
        <w:numPr>
          <w:ilvl w:val="0"/>
          <w:numId w:val="29"/>
        </w:numPr>
      </w:pPr>
      <w:r w:rsidRPr="00167CB8">
        <w:t xml:space="preserve">Improved consultation around issues affecting registered organisations. </w:t>
      </w:r>
    </w:p>
    <w:p w14:paraId="7CC5957A" w14:textId="49DAB4D0" w:rsidR="00A148FE" w:rsidRPr="00167CB8" w:rsidRDefault="00A148FE" w:rsidP="00567FCA">
      <w:pPr>
        <w:pStyle w:val="Quote"/>
        <w:numPr>
          <w:ilvl w:val="0"/>
          <w:numId w:val="29"/>
        </w:numPr>
      </w:pPr>
      <w:r w:rsidRPr="00167CB8">
        <w:t xml:space="preserve">A greater emphasis on education and providing assistance to unions to achieve best practise compliance. </w:t>
      </w:r>
    </w:p>
    <w:p w14:paraId="43045DFC" w14:textId="665769C6" w:rsidR="00A148FE" w:rsidRPr="00167CB8" w:rsidRDefault="00A148FE" w:rsidP="00567FCA">
      <w:pPr>
        <w:pStyle w:val="Quote"/>
        <w:numPr>
          <w:ilvl w:val="0"/>
          <w:numId w:val="29"/>
        </w:numPr>
      </w:pPr>
      <w:r w:rsidRPr="00167CB8">
        <w:lastRenderedPageBreak/>
        <w:t>A useful and overdue streamlining of administrative processes and improved timeliness with respect to right of entry permits and governance training.</w:t>
      </w:r>
    </w:p>
    <w:p w14:paraId="19965F58" w14:textId="77777777" w:rsidR="00A148FE" w:rsidRPr="00167CB8" w:rsidRDefault="00A148FE" w:rsidP="00C83147">
      <w:pPr>
        <w:pStyle w:val="Quote"/>
      </w:pPr>
      <w:r w:rsidRPr="00167CB8">
        <w:t>Overall, the ACTU believes that the change of approach has assisted affiliates to pursue better governance and voluntary compliance with the FW(RO) Act.</w:t>
      </w:r>
    </w:p>
    <w:p w14:paraId="38D481CB" w14:textId="029E01A3" w:rsidR="00A148FE" w:rsidRPr="00167CB8" w:rsidRDefault="00A148FE" w:rsidP="00C83147">
      <w:pPr>
        <w:pStyle w:val="Quote"/>
      </w:pPr>
      <w:r w:rsidRPr="00167CB8">
        <w:t xml:space="preserve">Further, to be able to report positive feedback from a significant number of affiliates at the same time the regulator remains notably active in the investigative and compliance space demonstrates what appears to be an improvement in the sophistication of the approach of the regulator. It is our view that the positive steps that appear to have been taken to move away from </w:t>
      </w:r>
      <w:r w:rsidR="00D07E8A" w:rsidRPr="00167CB8">
        <w:t>‘</w:t>
      </w:r>
      <w:r w:rsidRPr="00167CB8">
        <w:t>gotcha moment</w:t>
      </w:r>
      <w:r w:rsidR="00D07E8A" w:rsidRPr="00167CB8">
        <w:t>’</w:t>
      </w:r>
      <w:r w:rsidRPr="00167CB8">
        <w:t xml:space="preserve"> regulatory enforcement to a greater focus on the primary goals of the regulation of registered organisations are directly attributable to the changes made by SJBP Act.</w:t>
      </w:r>
    </w:p>
    <w:p w14:paraId="4B8425E2" w14:textId="02B17BE5" w:rsidR="00A148FE" w:rsidRPr="00167CB8" w:rsidRDefault="00A148FE" w:rsidP="00A148FE">
      <w:r w:rsidRPr="00167CB8">
        <w:t>The Law Council of Australia stated that ‘[f]eedback received from our membership is that this has been a positive operational change, and we welcome what appears to be an enhanced consultative approach by the Commission as a result</w:t>
      </w:r>
      <w:r w:rsidR="00D07E8A" w:rsidRPr="00167CB8">
        <w:t>’</w:t>
      </w:r>
      <w:r w:rsidRPr="00167CB8">
        <w:t>.</w:t>
      </w:r>
      <w:r w:rsidR="0013448A" w:rsidRPr="00167CB8">
        <w:rPr>
          <w:rStyle w:val="FootnoteReference"/>
        </w:rPr>
        <w:footnoteReference w:id="189"/>
      </w:r>
    </w:p>
    <w:p w14:paraId="27AE207A" w14:textId="62711378" w:rsidR="00A148FE" w:rsidRPr="00167CB8" w:rsidRDefault="00E54DE0" w:rsidP="00A148FE">
      <w:r w:rsidRPr="00167CB8">
        <w:rPr>
          <w:rFonts w:ascii="Aptos" w:eastAsia="Aptos" w:hAnsi="Aptos" w:cs="Aptos"/>
        </w:rPr>
        <w:t>The Australian Resources &amp; Energy Employer Association (</w:t>
      </w:r>
      <w:r w:rsidR="009C685C" w:rsidRPr="00167CB8">
        <w:rPr>
          <w:rFonts w:ascii="Aptos" w:eastAsia="Aptos" w:hAnsi="Aptos" w:cs="Aptos"/>
        </w:rPr>
        <w:t>AREEA</w:t>
      </w:r>
      <w:r w:rsidRPr="00167CB8">
        <w:rPr>
          <w:rFonts w:ascii="Aptos" w:eastAsia="Aptos" w:hAnsi="Aptos" w:cs="Aptos"/>
        </w:rPr>
        <w:t>)</w:t>
      </w:r>
      <w:r w:rsidR="00A148FE" w:rsidRPr="00167CB8">
        <w:t xml:space="preserve"> stated that there is now a single body for regulation of </w:t>
      </w:r>
      <w:r w:rsidRPr="00167CB8">
        <w:t>r</w:t>
      </w:r>
      <w:r w:rsidR="00A148FE" w:rsidRPr="00167CB8">
        <w:t xml:space="preserve">egistered </w:t>
      </w:r>
      <w:r w:rsidRPr="00167CB8">
        <w:t>o</w:t>
      </w:r>
      <w:r w:rsidR="00A148FE" w:rsidRPr="00167CB8">
        <w:t>rganisations:</w:t>
      </w:r>
      <w:r w:rsidRPr="00167CB8">
        <w:rPr>
          <w:rStyle w:val="FootnoteReference"/>
        </w:rPr>
        <w:footnoteReference w:id="190"/>
      </w:r>
    </w:p>
    <w:p w14:paraId="5E20A5D6" w14:textId="2704BDA2" w:rsidR="00A148FE" w:rsidRPr="00167CB8" w:rsidRDefault="00A148FE" w:rsidP="00C83147">
      <w:pPr>
        <w:pStyle w:val="Quote"/>
      </w:pPr>
      <w:r w:rsidRPr="00167CB8">
        <w:t xml:space="preserve">AREEA has historically been agnostic on the need for </w:t>
      </w:r>
      <w:r w:rsidR="0083471B" w:rsidRPr="00167CB8">
        <w:t xml:space="preserve">a </w:t>
      </w:r>
      <w:r w:rsidRPr="00167CB8">
        <w:t>sep</w:t>
      </w:r>
      <w:r w:rsidR="0083471B" w:rsidRPr="00167CB8">
        <w:t>a</w:t>
      </w:r>
      <w:r w:rsidRPr="00167CB8">
        <w:t>rate body to regulate registered organisations such as trade unions. Arguably the ROC has had little impact on the militancy and persistent lawbreaking of unions such as the CFMEU.</w:t>
      </w:r>
    </w:p>
    <w:p w14:paraId="53892FFC" w14:textId="52A78EC5" w:rsidR="001E194A" w:rsidRPr="00167CB8" w:rsidRDefault="001E194A" w:rsidP="00C83147">
      <w:pPr>
        <w:pStyle w:val="Quote"/>
      </w:pPr>
      <w:r w:rsidRPr="00167CB8">
        <w:t>…</w:t>
      </w:r>
    </w:p>
    <w:p w14:paraId="2586E174" w14:textId="266A8087" w:rsidR="00A148FE" w:rsidRPr="00167CB8" w:rsidRDefault="00A148FE" w:rsidP="00C83147">
      <w:pPr>
        <w:pStyle w:val="Quote"/>
      </w:pPr>
      <w:r w:rsidRPr="00167CB8">
        <w:t>Transferring the ROC functions and powers to the FWC means there is now a single body with regulatory responsibilities for registered organisations, provided it is appropriate [sic] resourced.</w:t>
      </w:r>
    </w:p>
    <w:p w14:paraId="4283E965" w14:textId="62A6F1D5" w:rsidR="00A148FE" w:rsidRPr="00167CB8" w:rsidRDefault="00A148FE" w:rsidP="00A148FE">
      <w:r w:rsidRPr="00167CB8">
        <w:t xml:space="preserve">AREEA also advocated for </w:t>
      </w:r>
      <w:r w:rsidR="00E54DE0" w:rsidRPr="00167CB8">
        <w:t>r</w:t>
      </w:r>
      <w:r w:rsidRPr="00167CB8">
        <w:t xml:space="preserve">egistered </w:t>
      </w:r>
      <w:r w:rsidR="00E54DE0" w:rsidRPr="00167CB8">
        <w:t>o</w:t>
      </w:r>
      <w:r w:rsidRPr="00167CB8">
        <w:t>rganisations to be regulated by ASIC:</w:t>
      </w:r>
      <w:r w:rsidR="00E54DE0" w:rsidRPr="00167CB8">
        <w:rPr>
          <w:rStyle w:val="FootnoteReference"/>
        </w:rPr>
        <w:footnoteReference w:id="191"/>
      </w:r>
    </w:p>
    <w:p w14:paraId="599DA1C1" w14:textId="2714F7CC" w:rsidR="00A148FE" w:rsidRPr="00167CB8" w:rsidRDefault="00A148FE" w:rsidP="00C83147">
      <w:pPr>
        <w:pStyle w:val="Quote"/>
      </w:pPr>
      <w:r w:rsidRPr="00167CB8">
        <w:t xml:space="preserve">For the record, AREEA’s longstanding position has been that all Registered Organisations should fall under the jurisdiction of the </w:t>
      </w:r>
      <w:r w:rsidRPr="00167CB8">
        <w:rPr>
          <w:i/>
        </w:rPr>
        <w:t>Corporations Act 2001</w:t>
      </w:r>
      <w:r w:rsidRPr="00167CB8">
        <w:t xml:space="preserve"> and regulated by the Australian Securities and Investment Commission (ASIC). Many unions and registered employer groups are large multi-million-dollar businesses. It makes little sense for such organisations to be subject to their own set of rules and held to a lesser standard of governance and transparency than other Australian business.</w:t>
      </w:r>
    </w:p>
    <w:p w14:paraId="47BBC070" w14:textId="2BFFD182" w:rsidR="001D0828" w:rsidRPr="00167CB8" w:rsidRDefault="00D54EE4" w:rsidP="001D0828">
      <w:pPr>
        <w:rPr>
          <w:lang w:val="en-US"/>
        </w:rPr>
      </w:pPr>
      <w:r w:rsidRPr="00167CB8">
        <w:rPr>
          <w:lang w:val="en-US"/>
        </w:rPr>
        <w:lastRenderedPageBreak/>
        <w:t xml:space="preserve">HIA made similar recommendations that governance requirements for unions mirror the obligations under the </w:t>
      </w:r>
      <w:r w:rsidRPr="00167CB8">
        <w:rPr>
          <w:i/>
          <w:iCs/>
          <w:lang w:val="en-US"/>
        </w:rPr>
        <w:t>Corporations Act 2001</w:t>
      </w:r>
      <w:r w:rsidRPr="00167CB8">
        <w:rPr>
          <w:lang w:val="en-US"/>
        </w:rPr>
        <w:t>.</w:t>
      </w:r>
      <w:r w:rsidRPr="00167CB8">
        <w:rPr>
          <w:rStyle w:val="FootnoteReference"/>
          <w:lang w:val="en-US"/>
        </w:rPr>
        <w:footnoteReference w:id="192"/>
      </w:r>
      <w:r w:rsidRPr="00167CB8">
        <w:rPr>
          <w:lang w:val="en-US"/>
        </w:rPr>
        <w:t xml:space="preserve">  </w:t>
      </w:r>
    </w:p>
    <w:p w14:paraId="0A250655" w14:textId="5C4005C1" w:rsidR="00A148FE" w:rsidRPr="00167CB8" w:rsidRDefault="00146305" w:rsidP="00A148FE">
      <w:pPr>
        <w:pStyle w:val="Heading4"/>
        <w:rPr>
          <w:rFonts w:asciiTheme="minorHAnsi" w:hAnsiTheme="minorHAnsi"/>
        </w:rPr>
      </w:pPr>
      <w:bookmarkStart w:id="115" w:name="_Toc187421590"/>
      <w:bookmarkStart w:id="116" w:name="_Toc187946394"/>
      <w:bookmarkStart w:id="117" w:name="_Toc188277917"/>
      <w:bookmarkStart w:id="118" w:name="_Toc189260210"/>
      <w:bookmarkStart w:id="119" w:name="_Toc189393526"/>
      <w:r w:rsidRPr="00167CB8">
        <w:rPr>
          <w:rFonts w:asciiTheme="minorHAnsi" w:hAnsiTheme="minorHAnsi"/>
        </w:rPr>
        <w:t>6</w:t>
      </w:r>
      <w:r w:rsidR="008E74A0" w:rsidRPr="00167CB8">
        <w:rPr>
          <w:rFonts w:asciiTheme="minorHAnsi" w:hAnsiTheme="minorHAnsi"/>
        </w:rPr>
        <w:t>.3</w:t>
      </w:r>
      <w:r w:rsidR="00A148FE" w:rsidRPr="00167CB8">
        <w:rPr>
          <w:rFonts w:asciiTheme="minorHAnsi" w:hAnsiTheme="minorHAnsi"/>
        </w:rPr>
        <w:t xml:space="preserve"> Findings </w:t>
      </w:r>
      <w:r w:rsidR="00D07E8A" w:rsidRPr="00167CB8">
        <w:rPr>
          <w:rFonts w:asciiTheme="minorHAnsi" w:hAnsiTheme="minorHAnsi"/>
        </w:rPr>
        <w:t>and</w:t>
      </w:r>
      <w:r w:rsidR="00A148FE" w:rsidRPr="00167CB8">
        <w:rPr>
          <w:rFonts w:asciiTheme="minorHAnsi" w:hAnsiTheme="minorHAnsi"/>
        </w:rPr>
        <w:t xml:space="preserve"> </w:t>
      </w:r>
      <w:r w:rsidR="00D07E8A" w:rsidRPr="00167CB8">
        <w:rPr>
          <w:rFonts w:asciiTheme="minorHAnsi" w:hAnsiTheme="minorHAnsi"/>
        </w:rPr>
        <w:t>r</w:t>
      </w:r>
      <w:r w:rsidR="00A148FE" w:rsidRPr="00167CB8">
        <w:rPr>
          <w:rFonts w:asciiTheme="minorHAnsi" w:hAnsiTheme="minorHAnsi"/>
        </w:rPr>
        <w:t>ecommendations</w:t>
      </w:r>
      <w:bookmarkEnd w:id="115"/>
      <w:bookmarkEnd w:id="116"/>
      <w:bookmarkEnd w:id="117"/>
      <w:bookmarkEnd w:id="118"/>
      <w:bookmarkEnd w:id="119"/>
    </w:p>
    <w:p w14:paraId="7EE56CD5" w14:textId="6C8F8BB6" w:rsidR="00A148FE" w:rsidRPr="00167CB8" w:rsidRDefault="00A148FE" w:rsidP="00A148FE">
      <w:r w:rsidRPr="00167CB8">
        <w:t>The Review Panel find</w:t>
      </w:r>
      <w:r w:rsidR="004157C1" w:rsidRPr="00167CB8">
        <w:t>s</w:t>
      </w:r>
      <w:r w:rsidRPr="00167CB8">
        <w:t xml:space="preserve"> that the amendments have been effective and appropriate. The Review Panel ha</w:t>
      </w:r>
      <w:r w:rsidR="00B03A29" w:rsidRPr="00167CB8">
        <w:t>s</w:t>
      </w:r>
      <w:r w:rsidRPr="00167CB8">
        <w:t xml:space="preserve"> not identified unintended consequences that would lead to specific recommendations. </w:t>
      </w:r>
      <w:r w:rsidR="00142F98" w:rsidRPr="00167CB8">
        <w:t xml:space="preserve">The transfer of the regulatory powers and functions of the ROC to the General Manager of the FWC from 6 March 2023 appears to have worked successfully.  </w:t>
      </w:r>
      <w:r w:rsidR="00D42043" w:rsidRPr="00167CB8">
        <w:t xml:space="preserve"> </w:t>
      </w:r>
    </w:p>
    <w:p w14:paraId="428D28A1" w14:textId="1A0C7AC1" w:rsidR="00A148FE" w:rsidRPr="00167CB8" w:rsidRDefault="00A148FE" w:rsidP="00A148FE">
      <w:r w:rsidRPr="00167CB8">
        <w:t>The Review Panel find</w:t>
      </w:r>
      <w:r w:rsidR="00D07E8A" w:rsidRPr="00167CB8">
        <w:t>s</w:t>
      </w:r>
      <w:r w:rsidRPr="00167CB8">
        <w:t xml:space="preserve"> these amendments have enabled the </w:t>
      </w:r>
      <w:r w:rsidR="00C048B2" w:rsidRPr="00167CB8">
        <w:t xml:space="preserve">General Manager </w:t>
      </w:r>
      <w:r w:rsidRPr="00167CB8">
        <w:t xml:space="preserve">to adopt a different regulatory approach to the ROC as the regulator of </w:t>
      </w:r>
      <w:r w:rsidR="00E54DE0" w:rsidRPr="00167CB8">
        <w:t>r</w:t>
      </w:r>
      <w:r w:rsidRPr="00167CB8">
        <w:t xml:space="preserve">egistered </w:t>
      </w:r>
      <w:r w:rsidR="00E54DE0" w:rsidRPr="00167CB8">
        <w:t>o</w:t>
      </w:r>
      <w:r w:rsidRPr="00167CB8">
        <w:t>rganisations.</w:t>
      </w:r>
    </w:p>
    <w:p w14:paraId="3C5C8F11" w14:textId="58D94715" w:rsidR="00A148FE" w:rsidRPr="00167CB8" w:rsidRDefault="00A148FE" w:rsidP="00A148FE">
      <w:r w:rsidRPr="00167CB8">
        <w:t xml:space="preserve">The available qualitative evidence suggests that the </w:t>
      </w:r>
      <w:r w:rsidR="00C048B2" w:rsidRPr="00167CB8">
        <w:t xml:space="preserve">General Manager </w:t>
      </w:r>
      <w:r w:rsidRPr="00167CB8">
        <w:t xml:space="preserve">is committed to engagement, consultation and addressing compliance using a variety of methods, including the </w:t>
      </w:r>
      <w:r w:rsidR="00AB18F6" w:rsidRPr="00167CB8">
        <w:rPr>
          <w:rFonts w:ascii="Aptos" w:eastAsia="Aptos" w:hAnsi="Aptos" w:cs="Aptos"/>
        </w:rPr>
        <w:t>CPRG</w:t>
      </w:r>
      <w:r w:rsidR="004C3BA5" w:rsidRPr="00167CB8">
        <w:t xml:space="preserve"> and </w:t>
      </w:r>
      <w:r w:rsidRPr="00167CB8">
        <w:t>advisory ROCTAC</w:t>
      </w:r>
      <w:r w:rsidR="004C3BA5" w:rsidRPr="00167CB8">
        <w:t>,</w:t>
      </w:r>
      <w:r w:rsidRPr="00167CB8">
        <w:t xml:space="preserve"> and has embraced a regulatory approach that can be differentiated </w:t>
      </w:r>
      <w:r w:rsidR="004C3BA5" w:rsidRPr="00167CB8">
        <w:t>from</w:t>
      </w:r>
      <w:r w:rsidRPr="00167CB8">
        <w:t xml:space="preserve"> the ROC. </w:t>
      </w:r>
    </w:p>
    <w:p w14:paraId="45E94C34" w14:textId="59EFB61C" w:rsidR="00A148FE" w:rsidRPr="00167CB8" w:rsidRDefault="00223C12" w:rsidP="00A148FE">
      <w:r w:rsidRPr="00167CB8">
        <w:t>The Review Panel makes</w:t>
      </w:r>
      <w:r w:rsidR="00A148FE" w:rsidRPr="00167CB8">
        <w:t xml:space="preserve"> no recommendations regarding the abolition of the ROC. </w:t>
      </w:r>
    </w:p>
    <w:p w14:paraId="2BBDCFC1" w14:textId="1F213886" w:rsidR="00A148FE" w:rsidRPr="00167CB8" w:rsidRDefault="001B7BCE" w:rsidP="001B7BCE">
      <w:pPr>
        <w:spacing w:after="160"/>
      </w:pPr>
      <w:r w:rsidRPr="00167CB8">
        <w:br w:type="page"/>
      </w:r>
    </w:p>
    <w:p w14:paraId="221D363E" w14:textId="7E6E13D9" w:rsidR="00A148FE" w:rsidRPr="00167CB8" w:rsidRDefault="008E74A0" w:rsidP="00A148FE">
      <w:pPr>
        <w:pStyle w:val="Heading3"/>
        <w:rPr>
          <w:rFonts w:asciiTheme="minorHAnsi" w:hAnsiTheme="minorHAnsi"/>
        </w:rPr>
      </w:pPr>
      <w:bookmarkStart w:id="120" w:name="_Toc187946396"/>
      <w:bookmarkStart w:id="121" w:name="_Toc188277918"/>
      <w:bookmarkStart w:id="122" w:name="_Toc189260211"/>
      <w:bookmarkStart w:id="123" w:name="_Toc189393527"/>
      <w:r w:rsidRPr="00167CB8">
        <w:rPr>
          <w:rFonts w:asciiTheme="minorHAnsi" w:hAnsiTheme="minorHAnsi"/>
        </w:rPr>
        <w:lastRenderedPageBreak/>
        <w:t xml:space="preserve">Chapter </w:t>
      </w:r>
      <w:r w:rsidR="00146305" w:rsidRPr="00167CB8">
        <w:rPr>
          <w:rFonts w:asciiTheme="minorHAnsi" w:hAnsiTheme="minorHAnsi"/>
        </w:rPr>
        <w:t>7</w:t>
      </w:r>
      <w:r w:rsidR="00980791" w:rsidRPr="00167CB8">
        <w:rPr>
          <w:rFonts w:asciiTheme="minorHAnsi" w:hAnsiTheme="minorHAnsi"/>
        </w:rPr>
        <w:t>.</w:t>
      </w:r>
      <w:r w:rsidR="00A148FE" w:rsidRPr="00167CB8" w:rsidDel="00045A57">
        <w:rPr>
          <w:rFonts w:asciiTheme="minorHAnsi" w:hAnsiTheme="minorHAnsi"/>
        </w:rPr>
        <w:t xml:space="preserve"> </w:t>
      </w:r>
      <w:r w:rsidR="00A148FE" w:rsidRPr="00167CB8">
        <w:rPr>
          <w:rFonts w:asciiTheme="minorHAnsi" w:hAnsiTheme="minorHAnsi"/>
        </w:rPr>
        <w:t>Additional registered organisations enforcement options</w:t>
      </w:r>
      <w:bookmarkEnd w:id="120"/>
      <w:bookmarkEnd w:id="121"/>
      <w:bookmarkEnd w:id="122"/>
      <w:bookmarkEnd w:id="123"/>
    </w:p>
    <w:p w14:paraId="55B6A9B6" w14:textId="581C0C73" w:rsidR="00A148FE" w:rsidRPr="00167CB8" w:rsidRDefault="00A148FE" w:rsidP="00A148FE">
      <w:bookmarkStart w:id="124" w:name="_Hlk187666042"/>
      <w:r w:rsidRPr="00167CB8">
        <w:t xml:space="preserve">These amendments operate in conjunction with the abolition of the </w:t>
      </w:r>
      <w:r w:rsidR="00E54DE0" w:rsidRPr="00167CB8">
        <w:t>Registered Organisations Commission (</w:t>
      </w:r>
      <w:r w:rsidRPr="00167CB8">
        <w:t>ROC</w:t>
      </w:r>
      <w:r w:rsidR="00E54DE0" w:rsidRPr="00167CB8">
        <w:t>)</w:t>
      </w:r>
      <w:r w:rsidRPr="00167CB8">
        <w:t xml:space="preserve"> discussed in </w:t>
      </w:r>
      <w:r w:rsidR="002F49D5" w:rsidRPr="00167CB8">
        <w:t xml:space="preserve">the preceding </w:t>
      </w:r>
      <w:r w:rsidR="005162D5" w:rsidRPr="00167CB8">
        <w:t>C</w:t>
      </w:r>
      <w:r w:rsidRPr="00167CB8">
        <w:t xml:space="preserve">hapter </w:t>
      </w:r>
      <w:r w:rsidR="00422623" w:rsidRPr="00167CB8">
        <w:t xml:space="preserve">6 </w:t>
      </w:r>
      <w:r w:rsidRPr="00167CB8">
        <w:t xml:space="preserve">of this report. The </w:t>
      </w:r>
      <w:r w:rsidR="00FE4029" w:rsidRPr="00167CB8">
        <w:t xml:space="preserve">Secure Jobs, Better Pay </w:t>
      </w:r>
      <w:r w:rsidRPr="00167CB8">
        <w:t xml:space="preserve">Act introduced </w:t>
      </w:r>
      <w:r w:rsidR="004C3BA5" w:rsidRPr="00167CB8">
        <w:t xml:space="preserve">2 </w:t>
      </w:r>
      <w:r w:rsidRPr="00167CB8">
        <w:t xml:space="preserve">new regulatory enforcement options into the </w:t>
      </w:r>
      <w:r w:rsidR="00E54DE0" w:rsidRPr="00167CB8">
        <w:rPr>
          <w:i/>
          <w:iCs/>
        </w:rPr>
        <w:t>Fair Work (Registered Organisations) Act 2009</w:t>
      </w:r>
      <w:r w:rsidR="00E54DE0" w:rsidRPr="00167CB8">
        <w:t xml:space="preserve"> (Cth) (</w:t>
      </w:r>
      <w:r w:rsidRPr="00167CB8">
        <w:t>RO Act</w:t>
      </w:r>
      <w:r w:rsidR="00E54DE0" w:rsidRPr="00167CB8">
        <w:t>)</w:t>
      </w:r>
      <w:r w:rsidRPr="00167CB8">
        <w:t xml:space="preserve">. </w:t>
      </w:r>
    </w:p>
    <w:p w14:paraId="5B998601" w14:textId="076527A6" w:rsidR="00A148FE" w:rsidRPr="00167CB8" w:rsidRDefault="008E4B42" w:rsidP="00A148FE">
      <w:r w:rsidRPr="00167CB8">
        <w:t xml:space="preserve">Where noncompliance has been identified, </w:t>
      </w:r>
      <w:r w:rsidR="00E54DE0" w:rsidRPr="00167CB8">
        <w:t xml:space="preserve">the amendments </w:t>
      </w:r>
      <w:r w:rsidR="00A148FE" w:rsidRPr="00167CB8">
        <w:t xml:space="preserve">provide the </w:t>
      </w:r>
      <w:r w:rsidR="00C048B2" w:rsidRPr="00167CB8">
        <w:t xml:space="preserve">General Manager </w:t>
      </w:r>
      <w:r w:rsidR="00A148FE" w:rsidRPr="00167CB8">
        <w:t xml:space="preserve">with the power to issue </w:t>
      </w:r>
      <w:r w:rsidR="004C3BA5" w:rsidRPr="00167CB8">
        <w:t>i</w:t>
      </w:r>
      <w:r w:rsidR="00A148FE" w:rsidRPr="00167CB8">
        <w:t xml:space="preserve">nfringement </w:t>
      </w:r>
      <w:r w:rsidR="004C3BA5" w:rsidRPr="00167CB8">
        <w:t>n</w:t>
      </w:r>
      <w:r w:rsidR="00A148FE" w:rsidRPr="00167CB8">
        <w:t xml:space="preserve">otices and enter into </w:t>
      </w:r>
      <w:r w:rsidR="004C3BA5" w:rsidRPr="00167CB8">
        <w:t>e</w:t>
      </w:r>
      <w:r w:rsidR="00A148FE" w:rsidRPr="00167CB8">
        <w:t xml:space="preserve">nforceable </w:t>
      </w:r>
      <w:r w:rsidR="004C3BA5" w:rsidRPr="00167CB8">
        <w:t>u</w:t>
      </w:r>
      <w:r w:rsidR="00A148FE" w:rsidRPr="00167CB8">
        <w:t xml:space="preserve">ndertakings. These are new enforcement powers that the ROC did not have access to under </w:t>
      </w:r>
      <w:r w:rsidR="00CA5C80" w:rsidRPr="00167CB8">
        <w:t>previous</w:t>
      </w:r>
      <w:r w:rsidR="00A148FE" w:rsidRPr="00167CB8">
        <w:t xml:space="preserve"> legislation</w:t>
      </w:r>
      <w:r w:rsidR="00CA5C80" w:rsidRPr="00167CB8">
        <w:t>.</w:t>
      </w:r>
    </w:p>
    <w:p w14:paraId="2BB6BADE" w14:textId="209D730C" w:rsidR="00A148FE" w:rsidRPr="00167CB8" w:rsidRDefault="00146305" w:rsidP="00A148FE">
      <w:pPr>
        <w:pStyle w:val="Heading4"/>
        <w:rPr>
          <w:rFonts w:asciiTheme="minorHAnsi" w:hAnsiTheme="minorHAnsi"/>
        </w:rPr>
      </w:pPr>
      <w:bookmarkStart w:id="125" w:name="_Toc187946397"/>
      <w:bookmarkStart w:id="126" w:name="_Toc188277919"/>
      <w:bookmarkStart w:id="127" w:name="_Toc189260212"/>
      <w:bookmarkStart w:id="128" w:name="_Toc189393528"/>
      <w:bookmarkEnd w:id="124"/>
      <w:r w:rsidRPr="00167CB8">
        <w:rPr>
          <w:rFonts w:asciiTheme="minorHAnsi" w:hAnsiTheme="minorHAnsi"/>
        </w:rPr>
        <w:t>7</w:t>
      </w:r>
      <w:r w:rsidR="002342F7" w:rsidRPr="00167CB8">
        <w:rPr>
          <w:rFonts w:asciiTheme="minorHAnsi" w:hAnsiTheme="minorHAnsi"/>
        </w:rPr>
        <w:t>.1</w:t>
      </w:r>
      <w:r w:rsidR="00A148FE" w:rsidRPr="00167CB8">
        <w:rPr>
          <w:rFonts w:asciiTheme="minorHAnsi" w:hAnsiTheme="minorHAnsi"/>
        </w:rPr>
        <w:t xml:space="preserve"> Amendments </w:t>
      </w:r>
      <w:r w:rsidR="004C3BA5" w:rsidRPr="00167CB8">
        <w:rPr>
          <w:rFonts w:asciiTheme="minorHAnsi" w:hAnsiTheme="minorHAnsi"/>
        </w:rPr>
        <w:t>and</w:t>
      </w:r>
      <w:r w:rsidR="00A148FE" w:rsidRPr="00167CB8">
        <w:rPr>
          <w:rFonts w:asciiTheme="minorHAnsi" w:hAnsiTheme="minorHAnsi"/>
        </w:rPr>
        <w:t xml:space="preserve"> </w:t>
      </w:r>
      <w:r w:rsidR="004C3BA5" w:rsidRPr="00167CB8">
        <w:rPr>
          <w:rFonts w:asciiTheme="minorHAnsi" w:hAnsiTheme="minorHAnsi"/>
        </w:rPr>
        <w:t>i</w:t>
      </w:r>
      <w:r w:rsidR="00A148FE" w:rsidRPr="00167CB8">
        <w:rPr>
          <w:rFonts w:asciiTheme="minorHAnsi" w:hAnsiTheme="minorHAnsi"/>
        </w:rPr>
        <w:t>ntent</w:t>
      </w:r>
      <w:bookmarkEnd w:id="125"/>
      <w:bookmarkEnd w:id="126"/>
      <w:bookmarkEnd w:id="127"/>
      <w:bookmarkEnd w:id="128"/>
    </w:p>
    <w:p w14:paraId="1C2B9CB5" w14:textId="0CC9F721" w:rsidR="00A148FE" w:rsidRPr="00167CB8" w:rsidRDefault="00A148FE" w:rsidP="00A148FE">
      <w:r w:rsidRPr="00167CB8">
        <w:t xml:space="preserve">The new powers operate under the RO Act in conjunction with and by reference to the </w:t>
      </w:r>
      <w:r w:rsidRPr="00167CB8">
        <w:rPr>
          <w:i/>
        </w:rPr>
        <w:t>Regulatory Powers (Standard Provisions) Act 2014</w:t>
      </w:r>
      <w:r w:rsidRPr="00167CB8">
        <w:t xml:space="preserve"> </w:t>
      </w:r>
      <w:r w:rsidR="006D29EF" w:rsidRPr="00167CB8">
        <w:t xml:space="preserve">(Cth) </w:t>
      </w:r>
      <w:r w:rsidRPr="00167CB8">
        <w:t xml:space="preserve">(Regulatory Powers Act). All of the existing enforcement options that the ROC had under the RO Act continue, </w:t>
      </w:r>
      <w:r w:rsidR="00E54DE0" w:rsidRPr="00167CB8">
        <w:t xml:space="preserve">including the options </w:t>
      </w:r>
      <w:r w:rsidRPr="00167CB8">
        <w:t>to make inquiries,</w:t>
      </w:r>
      <w:r w:rsidRPr="00167CB8">
        <w:rPr>
          <w:rStyle w:val="FootnoteReference"/>
        </w:rPr>
        <w:footnoteReference w:id="193"/>
      </w:r>
      <w:r w:rsidRPr="00167CB8">
        <w:t xml:space="preserve"> conduct investigations</w:t>
      </w:r>
      <w:r w:rsidRPr="00167CB8">
        <w:rPr>
          <w:rStyle w:val="FootnoteReference"/>
        </w:rPr>
        <w:footnoteReference w:id="194"/>
      </w:r>
      <w:r w:rsidRPr="00167CB8">
        <w:t xml:space="preserve"> and commenc</w:t>
      </w:r>
      <w:r w:rsidR="00E54DE0" w:rsidRPr="00167CB8">
        <w:t>e</w:t>
      </w:r>
      <w:r w:rsidRPr="00167CB8">
        <w:t xml:space="preserve"> proceedings.</w:t>
      </w:r>
      <w:r w:rsidRPr="00167CB8">
        <w:rPr>
          <w:rStyle w:val="FootnoteReference"/>
        </w:rPr>
        <w:footnoteReference w:id="195"/>
      </w:r>
      <w:r w:rsidRPr="00167CB8">
        <w:t xml:space="preserve"> </w:t>
      </w:r>
    </w:p>
    <w:p w14:paraId="58C15E9D" w14:textId="3B1A6689" w:rsidR="006F3CB3" w:rsidRPr="00167CB8" w:rsidRDefault="00146305" w:rsidP="00933B2D">
      <w:pPr>
        <w:pStyle w:val="Heading5"/>
      </w:pPr>
      <w:r w:rsidRPr="00167CB8">
        <w:rPr>
          <w:rFonts w:asciiTheme="minorHAnsi" w:hAnsiTheme="minorHAnsi"/>
        </w:rPr>
        <w:t>7</w:t>
      </w:r>
      <w:r w:rsidR="006F3CB3" w:rsidRPr="00167CB8">
        <w:rPr>
          <w:rFonts w:asciiTheme="minorHAnsi" w:hAnsiTheme="minorHAnsi"/>
        </w:rPr>
        <w:t xml:space="preserve">.1.1 </w:t>
      </w:r>
      <w:r w:rsidR="00E42AC2" w:rsidRPr="00167CB8">
        <w:rPr>
          <w:rFonts w:asciiTheme="minorHAnsi" w:hAnsiTheme="minorHAnsi"/>
        </w:rPr>
        <w:t xml:space="preserve">Secure Jobs, Better Pay </w:t>
      </w:r>
      <w:r w:rsidR="004C3BA5" w:rsidRPr="00167CB8">
        <w:rPr>
          <w:rFonts w:asciiTheme="minorHAnsi" w:hAnsiTheme="minorHAnsi"/>
        </w:rPr>
        <w:t>a</w:t>
      </w:r>
      <w:r w:rsidR="00E42AC2" w:rsidRPr="00167CB8">
        <w:rPr>
          <w:rFonts w:asciiTheme="minorHAnsi" w:hAnsiTheme="minorHAnsi"/>
        </w:rPr>
        <w:t>mendments</w:t>
      </w:r>
      <w:r w:rsidR="00E42AC2" w:rsidRPr="00167CB8" w:rsidDel="00E42AC2">
        <w:rPr>
          <w:rFonts w:asciiTheme="minorHAnsi" w:hAnsiTheme="minorHAnsi"/>
        </w:rPr>
        <w:t xml:space="preserve"> </w:t>
      </w:r>
    </w:p>
    <w:p w14:paraId="50279F39" w14:textId="08F6D57C" w:rsidR="00A148FE" w:rsidRPr="00167CB8" w:rsidRDefault="00A148FE" w:rsidP="00A148FE">
      <w:r w:rsidRPr="00167CB8">
        <w:t xml:space="preserve">Part </w:t>
      </w:r>
      <w:r w:rsidR="001B3BF2" w:rsidRPr="00167CB8">
        <w:t>2</w:t>
      </w:r>
      <w:r w:rsidRPr="00167CB8">
        <w:t xml:space="preserve"> of Schedule 1 </w:t>
      </w:r>
      <w:r w:rsidR="00A90428" w:rsidRPr="00167CB8">
        <w:t>to</w:t>
      </w:r>
      <w:r w:rsidRPr="00167CB8">
        <w:t xml:space="preserve"> the </w:t>
      </w:r>
      <w:r w:rsidR="00FE4029" w:rsidRPr="00167CB8">
        <w:t xml:space="preserve">Secure Jobs, Better Pay </w:t>
      </w:r>
      <w:r w:rsidRPr="00167CB8">
        <w:t xml:space="preserve">Act added </w:t>
      </w:r>
      <w:r w:rsidR="004C3BA5" w:rsidRPr="00167CB8">
        <w:t>s</w:t>
      </w:r>
      <w:r w:rsidR="00B8297F" w:rsidRPr="00167CB8">
        <w:t>s</w:t>
      </w:r>
      <w:r w:rsidR="004C3BA5" w:rsidRPr="00167CB8">
        <w:t> </w:t>
      </w:r>
      <w:r w:rsidRPr="00167CB8">
        <w:t>316A and 316B to the RO Act. Section</w:t>
      </w:r>
      <w:r w:rsidR="004C3BA5" w:rsidRPr="00167CB8">
        <w:t> </w:t>
      </w:r>
      <w:r w:rsidRPr="00167CB8">
        <w:t xml:space="preserve">316A of the RO Act contains a list </w:t>
      </w:r>
      <w:r w:rsidR="00E54DE0" w:rsidRPr="00167CB8">
        <w:t xml:space="preserve">of </w:t>
      </w:r>
      <w:r w:rsidRPr="00167CB8">
        <w:t xml:space="preserve">64 provisions of the RO Act and </w:t>
      </w:r>
      <w:r w:rsidR="001C37DC" w:rsidRPr="00167CB8">
        <w:t xml:space="preserve">includes </w:t>
      </w:r>
      <w:r w:rsidR="004C3BA5" w:rsidRPr="00167CB8">
        <w:t xml:space="preserve">9 </w:t>
      </w:r>
      <w:r w:rsidRPr="00167CB8">
        <w:t xml:space="preserve">provisions in the </w:t>
      </w:r>
      <w:r w:rsidR="00764912" w:rsidRPr="00167CB8">
        <w:rPr>
          <w:i/>
          <w:iCs/>
        </w:rPr>
        <w:t>Fair Work (Registered Organisations) Regulations 2009</w:t>
      </w:r>
      <w:r w:rsidRPr="00167CB8">
        <w:t xml:space="preserve"> (RO Regulations) which can be ‘subject to an infringement notice’.</w:t>
      </w:r>
      <w:r w:rsidRPr="00167CB8">
        <w:rPr>
          <w:rStyle w:val="FootnoteReference"/>
        </w:rPr>
        <w:footnoteReference w:id="196"/>
      </w:r>
    </w:p>
    <w:p w14:paraId="1B1434E3" w14:textId="018030EC" w:rsidR="00A148FE" w:rsidRPr="00167CB8" w:rsidRDefault="00A148FE" w:rsidP="00A148FE">
      <w:r w:rsidRPr="00167CB8">
        <w:t>The Attorney</w:t>
      </w:r>
      <w:r w:rsidR="004C3BA5" w:rsidRPr="00167CB8">
        <w:t>-</w:t>
      </w:r>
      <w:r w:rsidRPr="00167CB8">
        <w:t xml:space="preserve">General’s </w:t>
      </w:r>
      <w:r w:rsidR="00EF2A6E" w:rsidRPr="00167CB8">
        <w:t xml:space="preserve">Department </w:t>
      </w:r>
      <w:r w:rsidRPr="00167CB8">
        <w:t xml:space="preserve">stated guidance is that </w:t>
      </w:r>
      <w:r w:rsidR="004C3BA5" w:rsidRPr="00167CB8">
        <w:t>i</w:t>
      </w:r>
      <w:r w:rsidRPr="00167CB8">
        <w:t xml:space="preserve">nfringement </w:t>
      </w:r>
      <w:r w:rsidR="004C3BA5" w:rsidRPr="00167CB8">
        <w:t>n</w:t>
      </w:r>
      <w:r w:rsidRPr="00167CB8">
        <w:t>otices are ‘generally issued for minor matters where a high volume of contraventions are expected</w:t>
      </w:r>
      <w:r w:rsidR="004C3BA5" w:rsidRPr="00167CB8">
        <w:t>’</w:t>
      </w:r>
      <w:r w:rsidRPr="00167CB8">
        <w:t>.</w:t>
      </w:r>
      <w:r w:rsidRPr="00167CB8">
        <w:rPr>
          <w:rStyle w:val="FootnoteReference"/>
        </w:rPr>
        <w:footnoteReference w:id="197"/>
      </w:r>
    </w:p>
    <w:p w14:paraId="713DA082" w14:textId="2DE17EBD" w:rsidR="00A148FE" w:rsidRPr="00167CB8" w:rsidRDefault="00A148FE" w:rsidP="00A148FE">
      <w:r w:rsidRPr="00167CB8">
        <w:t xml:space="preserve">The </w:t>
      </w:r>
      <w:r w:rsidR="00FE4029" w:rsidRPr="00167CB8">
        <w:t xml:space="preserve">Secure Jobs, Better Pay </w:t>
      </w:r>
      <w:r w:rsidRPr="00167CB8">
        <w:t xml:space="preserve">amendments use of the standard framework in the Regulatory Powers Act. </w:t>
      </w:r>
    </w:p>
    <w:p w14:paraId="64439655" w14:textId="0D1ADAAA" w:rsidR="00A148FE" w:rsidRPr="00167CB8" w:rsidRDefault="00A148FE" w:rsidP="00A148FE">
      <w:r w:rsidRPr="00167CB8">
        <w:t xml:space="preserve">The </w:t>
      </w:r>
      <w:r w:rsidR="00FE4029" w:rsidRPr="00167CB8">
        <w:t xml:space="preserve">Secure Jobs, Better Pay </w:t>
      </w:r>
      <w:r w:rsidRPr="00167CB8">
        <w:t>amendments allow the General Manager or their delegate to accept an enforceable undertaking under Part 4 of Chapter 10 of the RO Act and Part 6 of the Regulatory Powers Act.</w:t>
      </w:r>
    </w:p>
    <w:p w14:paraId="37408583" w14:textId="29774668" w:rsidR="00575A5F" w:rsidRPr="00167CB8" w:rsidRDefault="00575A5F" w:rsidP="00A148FE">
      <w:r w:rsidRPr="00167CB8">
        <w:t xml:space="preserve">These amendments commenced </w:t>
      </w:r>
      <w:r w:rsidR="004C3BA5" w:rsidRPr="00167CB8">
        <w:t xml:space="preserve">on </w:t>
      </w:r>
      <w:r w:rsidR="00BA013B" w:rsidRPr="00167CB8">
        <w:t xml:space="preserve">6 March 2023. </w:t>
      </w:r>
    </w:p>
    <w:p w14:paraId="0FEB2581" w14:textId="3EC7EA8F" w:rsidR="00A148FE" w:rsidRPr="00167CB8" w:rsidRDefault="00146305" w:rsidP="00A148FE">
      <w:pPr>
        <w:pStyle w:val="Heading5"/>
        <w:rPr>
          <w:rFonts w:asciiTheme="minorHAnsi" w:hAnsiTheme="minorHAnsi"/>
        </w:rPr>
      </w:pPr>
      <w:bookmarkStart w:id="129" w:name="_Toc187946398"/>
      <w:r w:rsidRPr="00167CB8">
        <w:rPr>
          <w:rFonts w:asciiTheme="minorHAnsi" w:hAnsiTheme="minorHAnsi"/>
        </w:rPr>
        <w:t>7</w:t>
      </w:r>
      <w:r w:rsidR="006F3CB3" w:rsidRPr="00167CB8">
        <w:rPr>
          <w:rFonts w:asciiTheme="minorHAnsi" w:hAnsiTheme="minorHAnsi"/>
        </w:rPr>
        <w:t>.1.2</w:t>
      </w:r>
      <w:r w:rsidR="00A148FE" w:rsidRPr="00167CB8">
        <w:rPr>
          <w:rFonts w:asciiTheme="minorHAnsi" w:hAnsiTheme="minorHAnsi"/>
        </w:rPr>
        <w:t xml:space="preserve"> Intent of </w:t>
      </w:r>
      <w:bookmarkEnd w:id="129"/>
      <w:r w:rsidR="00E42AC2" w:rsidRPr="00167CB8">
        <w:rPr>
          <w:rFonts w:asciiTheme="minorHAnsi" w:hAnsiTheme="minorHAnsi"/>
        </w:rPr>
        <w:t xml:space="preserve">Secure Jobs, Better Pay </w:t>
      </w:r>
      <w:r w:rsidR="004C3BA5" w:rsidRPr="00167CB8">
        <w:rPr>
          <w:rFonts w:asciiTheme="minorHAnsi" w:hAnsiTheme="minorHAnsi"/>
        </w:rPr>
        <w:t>a</w:t>
      </w:r>
      <w:r w:rsidR="00E42AC2" w:rsidRPr="00167CB8">
        <w:rPr>
          <w:rFonts w:asciiTheme="minorHAnsi" w:hAnsiTheme="minorHAnsi"/>
        </w:rPr>
        <w:t>mendments</w:t>
      </w:r>
    </w:p>
    <w:p w14:paraId="4B0A8B8C" w14:textId="04EBD714" w:rsidR="00A148FE" w:rsidRPr="00167CB8" w:rsidRDefault="001B4088" w:rsidP="00A148FE">
      <w:r w:rsidRPr="00167CB8">
        <w:t xml:space="preserve">As part of the integration of the ROC with the </w:t>
      </w:r>
      <w:r w:rsidR="00E54DE0" w:rsidRPr="00167CB8">
        <w:t>Fair Work Commission (</w:t>
      </w:r>
      <w:r w:rsidRPr="00167CB8">
        <w:t>FWC</w:t>
      </w:r>
      <w:r w:rsidR="00E54DE0" w:rsidRPr="00167CB8">
        <w:t>)</w:t>
      </w:r>
      <w:r w:rsidRPr="00167CB8">
        <w:t>, t</w:t>
      </w:r>
      <w:r w:rsidR="00A148FE" w:rsidRPr="00167CB8">
        <w:t>he intent of the</w:t>
      </w:r>
      <w:r w:rsidR="00BA013B" w:rsidRPr="00167CB8">
        <w:t xml:space="preserve">se provisions </w:t>
      </w:r>
      <w:r w:rsidR="00A148FE" w:rsidRPr="00167CB8">
        <w:t xml:space="preserve">was to give the </w:t>
      </w:r>
      <w:r w:rsidR="00C048B2" w:rsidRPr="00167CB8">
        <w:t xml:space="preserve">General Manager </w:t>
      </w:r>
      <w:r w:rsidR="00A148FE" w:rsidRPr="00167CB8">
        <w:t xml:space="preserve">a wider range of regulatory options similar </w:t>
      </w:r>
      <w:r w:rsidR="00E54DE0" w:rsidRPr="00167CB8">
        <w:t xml:space="preserve">to those of other </w:t>
      </w:r>
      <w:r w:rsidR="00A148FE" w:rsidRPr="00167CB8">
        <w:t>regulators.</w:t>
      </w:r>
      <w:r w:rsidR="00A148FE" w:rsidRPr="00167CB8">
        <w:rPr>
          <w:rStyle w:val="FootnoteReference"/>
        </w:rPr>
        <w:footnoteReference w:id="198"/>
      </w:r>
      <w:r w:rsidR="00A148FE" w:rsidRPr="00167CB8">
        <w:t xml:space="preserve"> </w:t>
      </w:r>
    </w:p>
    <w:p w14:paraId="6E9850D9" w14:textId="249E15EB" w:rsidR="00A148FE" w:rsidRPr="00167CB8" w:rsidRDefault="00A148FE" w:rsidP="00A148FE">
      <w:r w:rsidRPr="00167CB8">
        <w:lastRenderedPageBreak/>
        <w:t>The revised Explanatory Memorandum noted that</w:t>
      </w:r>
      <w:r w:rsidR="004C3BA5" w:rsidRPr="00167CB8">
        <w:t>,</w:t>
      </w:r>
      <w:r w:rsidRPr="00167CB8">
        <w:t xml:space="preserve"> while the ROC had ‘general powers to undertake investigations to secure compliance with the RO Act, they do not have many of the compliance and enforcement tools that comparable Commonwealth regulators have’.</w:t>
      </w:r>
      <w:r w:rsidRPr="00167CB8">
        <w:rPr>
          <w:rStyle w:val="FootnoteReference"/>
        </w:rPr>
        <w:footnoteReference w:id="199"/>
      </w:r>
      <w:r w:rsidRPr="00167CB8">
        <w:t xml:space="preserve">   </w:t>
      </w:r>
    </w:p>
    <w:p w14:paraId="6462909D" w14:textId="77777777" w:rsidR="00A148FE" w:rsidRPr="00167CB8" w:rsidRDefault="00A148FE" w:rsidP="00A148FE">
      <w:r w:rsidRPr="00167CB8">
        <w:t>The Explanatory Memorandum also explained that ‘with more enforcement tools to choose from, the new regulator would have a greater ability to choose an appropriate enforcement tool to match the circumstances of each case’.</w:t>
      </w:r>
      <w:r w:rsidRPr="00167CB8">
        <w:rPr>
          <w:rStyle w:val="FootnoteReference"/>
        </w:rPr>
        <w:footnoteReference w:id="200"/>
      </w:r>
    </w:p>
    <w:p w14:paraId="3452B393" w14:textId="66A6D0E3" w:rsidR="00A148FE" w:rsidRPr="00167CB8" w:rsidRDefault="00A148FE" w:rsidP="00A148FE">
      <w:r w:rsidRPr="00167CB8">
        <w:t xml:space="preserve">Infringement </w:t>
      </w:r>
      <w:r w:rsidR="004C3BA5" w:rsidRPr="00167CB8">
        <w:t>n</w:t>
      </w:r>
      <w:r w:rsidRPr="00167CB8">
        <w:t xml:space="preserve">otices are intended to be a flexible compliance option for regulators. </w:t>
      </w:r>
    </w:p>
    <w:p w14:paraId="63BFCE64" w14:textId="5858B3E0" w:rsidR="00A148FE" w:rsidRPr="00167CB8" w:rsidRDefault="00A148FE" w:rsidP="00A148FE">
      <w:r w:rsidRPr="00167CB8">
        <w:t xml:space="preserve">They </w:t>
      </w:r>
      <w:r w:rsidRPr="00167CB8">
        <w:rPr>
          <w:rFonts w:cs="Open Sans"/>
          <w:color w:val="222222"/>
          <w:shd w:val="clear" w:color="auto" w:fill="FFFFFF"/>
        </w:rPr>
        <w:t>are</w:t>
      </w:r>
      <w:r w:rsidRPr="00167CB8">
        <w:rPr>
          <w:rFonts w:cs="Open Sans"/>
          <w:color w:val="222222"/>
        </w:rPr>
        <w:t xml:space="preserve"> intended</w:t>
      </w:r>
      <w:r w:rsidRPr="00167CB8">
        <w:rPr>
          <w:rFonts w:cs="Open Sans"/>
          <w:color w:val="222222"/>
          <w:shd w:val="clear" w:color="auto" w:fill="FFFFFF"/>
        </w:rPr>
        <w:t xml:space="preserve"> to be </w:t>
      </w:r>
      <w:r w:rsidRPr="00167CB8">
        <w:t>‘generally issued for minor matters where a high volume of contraventions are expected, such as failing to comply with reporting obligations, failing to respond to a notice or failing to provide information’.</w:t>
      </w:r>
      <w:r w:rsidRPr="00167CB8">
        <w:rPr>
          <w:rStyle w:val="FootnoteReference"/>
        </w:rPr>
        <w:footnoteReference w:id="201"/>
      </w:r>
      <w:r w:rsidRPr="00167CB8">
        <w:t xml:space="preserve"> They are also intended to ‘provide an effective administrative mechanism to regulate these matters’.</w:t>
      </w:r>
      <w:r w:rsidRPr="00167CB8">
        <w:rPr>
          <w:rStyle w:val="FootnoteReference"/>
        </w:rPr>
        <w:footnoteReference w:id="202"/>
      </w:r>
      <w:r w:rsidR="00134DF4" w:rsidRPr="00167CB8">
        <w:t xml:space="preserve"> </w:t>
      </w:r>
    </w:p>
    <w:p w14:paraId="505DB0D0" w14:textId="086D0E51" w:rsidR="00A148FE" w:rsidRPr="00167CB8" w:rsidRDefault="00A148FE" w:rsidP="00A148FE">
      <w:r w:rsidRPr="00167CB8">
        <w:t xml:space="preserve">In contrast to </w:t>
      </w:r>
      <w:r w:rsidR="004C3BA5" w:rsidRPr="00167CB8">
        <w:t>i</w:t>
      </w:r>
      <w:r w:rsidRPr="00167CB8">
        <w:t xml:space="preserve">nfringement </w:t>
      </w:r>
      <w:r w:rsidR="004C3BA5" w:rsidRPr="00167CB8">
        <w:t>n</w:t>
      </w:r>
      <w:r w:rsidRPr="00167CB8">
        <w:t xml:space="preserve">otices, </w:t>
      </w:r>
      <w:r w:rsidR="00B84BF8" w:rsidRPr="00167CB8">
        <w:t xml:space="preserve">the </w:t>
      </w:r>
      <w:r w:rsidR="002F2291" w:rsidRPr="00167CB8">
        <w:t>compliance concerns</w:t>
      </w:r>
      <w:r w:rsidR="00B84BF8" w:rsidRPr="00167CB8">
        <w:t xml:space="preserve"> that</w:t>
      </w:r>
      <w:r w:rsidR="0086292F" w:rsidRPr="00167CB8">
        <w:t xml:space="preserve"> </w:t>
      </w:r>
      <w:r w:rsidR="004C3BA5" w:rsidRPr="00167CB8">
        <w:t>e</w:t>
      </w:r>
      <w:r w:rsidRPr="00167CB8">
        <w:t xml:space="preserve">nforceable </w:t>
      </w:r>
      <w:r w:rsidR="004C3BA5" w:rsidRPr="00167CB8">
        <w:t>u</w:t>
      </w:r>
      <w:r w:rsidRPr="00167CB8">
        <w:t xml:space="preserve">ndertakings </w:t>
      </w:r>
      <w:r w:rsidR="00B84BF8" w:rsidRPr="00167CB8">
        <w:t xml:space="preserve">can apply to </w:t>
      </w:r>
      <w:r w:rsidRPr="00167CB8">
        <w:t xml:space="preserve">are not defined by a limited list of certain provisions. They are </w:t>
      </w:r>
      <w:r w:rsidR="00491A14" w:rsidRPr="00167CB8">
        <w:t xml:space="preserve">entered into </w:t>
      </w:r>
      <w:r w:rsidRPr="00167CB8">
        <w:t>voluntar</w:t>
      </w:r>
      <w:r w:rsidR="005A3092" w:rsidRPr="00167CB8">
        <w:t>il</w:t>
      </w:r>
      <w:r w:rsidRPr="00167CB8">
        <w:t xml:space="preserve">y </w:t>
      </w:r>
      <w:r w:rsidR="005A3092" w:rsidRPr="00167CB8">
        <w:t>by a party</w:t>
      </w:r>
      <w:r w:rsidR="00491A14" w:rsidRPr="00167CB8">
        <w:t xml:space="preserve"> </w:t>
      </w:r>
      <w:r w:rsidR="006B4AF7" w:rsidRPr="00167CB8">
        <w:t xml:space="preserve">with </w:t>
      </w:r>
      <w:r w:rsidRPr="00167CB8">
        <w:t xml:space="preserve">the </w:t>
      </w:r>
      <w:r w:rsidR="00C048B2" w:rsidRPr="00167CB8">
        <w:t>General Manager</w:t>
      </w:r>
      <w:r w:rsidR="00906EF2" w:rsidRPr="00167CB8">
        <w:t>. I</w:t>
      </w:r>
      <w:r w:rsidRPr="00167CB8">
        <w:t xml:space="preserve">f contravened </w:t>
      </w:r>
      <w:r w:rsidR="003D5328" w:rsidRPr="00167CB8">
        <w:t xml:space="preserve">they </w:t>
      </w:r>
      <w:r w:rsidR="00662B5F" w:rsidRPr="00167CB8">
        <w:t xml:space="preserve">may </w:t>
      </w:r>
      <w:r w:rsidRPr="00167CB8">
        <w:t xml:space="preserve">be enforced in court. </w:t>
      </w:r>
    </w:p>
    <w:p w14:paraId="3554F747" w14:textId="3665064A" w:rsidR="00A148FE" w:rsidRPr="00167CB8" w:rsidRDefault="00146305" w:rsidP="00A148FE">
      <w:pPr>
        <w:pStyle w:val="Heading4"/>
        <w:rPr>
          <w:rFonts w:asciiTheme="minorHAnsi" w:hAnsiTheme="minorHAnsi"/>
        </w:rPr>
      </w:pPr>
      <w:bookmarkStart w:id="130" w:name="_Toc187946399"/>
      <w:bookmarkStart w:id="131" w:name="_Toc188277920"/>
      <w:bookmarkStart w:id="132" w:name="_Toc189260213"/>
      <w:bookmarkStart w:id="133" w:name="_Toc189393529"/>
      <w:r w:rsidRPr="00167CB8">
        <w:rPr>
          <w:rFonts w:asciiTheme="minorHAnsi" w:hAnsiTheme="minorHAnsi"/>
        </w:rPr>
        <w:t>7</w:t>
      </w:r>
      <w:r w:rsidR="005C7BBB" w:rsidRPr="00167CB8">
        <w:rPr>
          <w:rFonts w:asciiTheme="minorHAnsi" w:hAnsiTheme="minorHAnsi"/>
        </w:rPr>
        <w:t>.2</w:t>
      </w:r>
      <w:r w:rsidR="00A148FE" w:rsidRPr="00167CB8">
        <w:rPr>
          <w:rFonts w:asciiTheme="minorHAnsi" w:hAnsiTheme="minorHAnsi"/>
        </w:rPr>
        <w:t xml:space="preserve"> Impact </w:t>
      </w:r>
      <w:r w:rsidR="004C3BA5" w:rsidRPr="00167CB8">
        <w:rPr>
          <w:rFonts w:asciiTheme="minorHAnsi" w:hAnsiTheme="minorHAnsi"/>
        </w:rPr>
        <w:t>and</w:t>
      </w:r>
      <w:r w:rsidR="00A148FE" w:rsidRPr="00167CB8">
        <w:rPr>
          <w:rFonts w:asciiTheme="minorHAnsi" w:hAnsiTheme="minorHAnsi"/>
        </w:rPr>
        <w:t xml:space="preserve"> </w:t>
      </w:r>
      <w:r w:rsidR="004C3BA5" w:rsidRPr="00167CB8">
        <w:rPr>
          <w:rFonts w:asciiTheme="minorHAnsi" w:hAnsiTheme="minorHAnsi"/>
        </w:rPr>
        <w:t>i</w:t>
      </w:r>
      <w:r w:rsidR="00A148FE" w:rsidRPr="00167CB8">
        <w:rPr>
          <w:rFonts w:asciiTheme="minorHAnsi" w:hAnsiTheme="minorHAnsi"/>
        </w:rPr>
        <w:t>ssues</w:t>
      </w:r>
      <w:bookmarkEnd w:id="130"/>
      <w:bookmarkEnd w:id="131"/>
      <w:bookmarkEnd w:id="132"/>
      <w:bookmarkEnd w:id="133"/>
    </w:p>
    <w:p w14:paraId="179F1EDC" w14:textId="42D62C6D" w:rsidR="00A148FE" w:rsidRPr="00167CB8" w:rsidRDefault="00A148FE" w:rsidP="00A148FE">
      <w:r w:rsidRPr="00167CB8">
        <w:t xml:space="preserve">These amendments do not appear to have </w:t>
      </w:r>
      <w:r w:rsidR="009C286C" w:rsidRPr="00167CB8">
        <w:t>had</w:t>
      </w:r>
      <w:r w:rsidRPr="00167CB8">
        <w:t xml:space="preserve"> a significant impact on the regulation of </w:t>
      </w:r>
      <w:r w:rsidR="00E54DE0" w:rsidRPr="00167CB8">
        <w:t>r</w:t>
      </w:r>
      <w:r w:rsidRPr="00167CB8">
        <w:t xml:space="preserve">egistered </w:t>
      </w:r>
      <w:r w:rsidR="00E54DE0" w:rsidRPr="00167CB8">
        <w:t>o</w:t>
      </w:r>
      <w:r w:rsidRPr="00167CB8">
        <w:t xml:space="preserve">rganisations. </w:t>
      </w:r>
    </w:p>
    <w:p w14:paraId="4E6F9D03" w14:textId="4875A123" w:rsidR="00A148FE" w:rsidRPr="00167CB8" w:rsidRDefault="00A148FE" w:rsidP="00A148FE">
      <w:r w:rsidRPr="00167CB8">
        <w:t xml:space="preserve">The inference that might be drawn is that the amendments have not had a significant impact on the way </w:t>
      </w:r>
      <w:r w:rsidR="00E54DE0" w:rsidRPr="00167CB8">
        <w:t>r</w:t>
      </w:r>
      <w:r w:rsidRPr="00167CB8">
        <w:t xml:space="preserve">egistered </w:t>
      </w:r>
      <w:r w:rsidR="00E54DE0" w:rsidRPr="00167CB8">
        <w:t>o</w:t>
      </w:r>
      <w:r w:rsidRPr="00167CB8">
        <w:t xml:space="preserve">rganisations are regulated over the nearly </w:t>
      </w:r>
      <w:r w:rsidR="004C3BA5" w:rsidRPr="00167CB8">
        <w:t xml:space="preserve">2 </w:t>
      </w:r>
      <w:r w:rsidRPr="00167CB8">
        <w:t xml:space="preserve">years these provisions have been in operation. </w:t>
      </w:r>
    </w:p>
    <w:p w14:paraId="2AE753AF" w14:textId="63B39733" w:rsidR="00A148FE" w:rsidRPr="00167CB8" w:rsidRDefault="00146305" w:rsidP="00A148FE">
      <w:pPr>
        <w:pStyle w:val="Heading5"/>
        <w:rPr>
          <w:rFonts w:asciiTheme="minorHAnsi" w:hAnsiTheme="minorHAnsi"/>
        </w:rPr>
      </w:pPr>
      <w:bookmarkStart w:id="134" w:name="_Toc187946400"/>
      <w:r w:rsidRPr="00167CB8">
        <w:rPr>
          <w:rFonts w:asciiTheme="minorHAnsi" w:hAnsiTheme="minorHAnsi"/>
        </w:rPr>
        <w:t>7</w:t>
      </w:r>
      <w:r w:rsidR="005C7BBB" w:rsidRPr="00167CB8">
        <w:rPr>
          <w:rFonts w:asciiTheme="minorHAnsi" w:hAnsiTheme="minorHAnsi"/>
        </w:rPr>
        <w:t>.2.1</w:t>
      </w:r>
      <w:r w:rsidR="00A148FE" w:rsidRPr="00167CB8">
        <w:rPr>
          <w:rFonts w:asciiTheme="minorHAnsi" w:hAnsiTheme="minorHAnsi"/>
        </w:rPr>
        <w:t xml:space="preserve"> Quantitative </w:t>
      </w:r>
      <w:r w:rsidR="004C3BA5" w:rsidRPr="00167CB8">
        <w:rPr>
          <w:rFonts w:asciiTheme="minorHAnsi" w:hAnsiTheme="minorHAnsi"/>
        </w:rPr>
        <w:t>e</w:t>
      </w:r>
      <w:r w:rsidR="00A148FE" w:rsidRPr="00167CB8">
        <w:rPr>
          <w:rFonts w:asciiTheme="minorHAnsi" w:hAnsiTheme="minorHAnsi"/>
        </w:rPr>
        <w:t>vidence</w:t>
      </w:r>
      <w:bookmarkEnd w:id="134"/>
    </w:p>
    <w:p w14:paraId="07822104" w14:textId="38EBA530" w:rsidR="00A148FE" w:rsidRPr="00167CB8" w:rsidRDefault="001877E5" w:rsidP="00A148FE">
      <w:r w:rsidRPr="00167CB8">
        <w:t xml:space="preserve">As at </w:t>
      </w:r>
      <w:r w:rsidR="00634F51" w:rsidRPr="00167CB8">
        <w:t>17 January 202</w:t>
      </w:r>
      <w:r w:rsidR="00E456C4" w:rsidRPr="00167CB8">
        <w:t>5</w:t>
      </w:r>
      <w:r w:rsidR="00A148FE" w:rsidRPr="00167CB8">
        <w:t xml:space="preserve"> the FWC ha</w:t>
      </w:r>
      <w:r w:rsidR="004A59B0" w:rsidRPr="00167CB8">
        <w:t>d</w:t>
      </w:r>
      <w:r w:rsidR="00A148FE" w:rsidRPr="00167CB8">
        <w:t xml:space="preserve"> issued no </w:t>
      </w:r>
      <w:r w:rsidR="006D29EF" w:rsidRPr="00167CB8">
        <w:t>i</w:t>
      </w:r>
      <w:r w:rsidR="00A148FE" w:rsidRPr="00167CB8">
        <w:t xml:space="preserve">nfringement </w:t>
      </w:r>
      <w:r w:rsidR="006D29EF" w:rsidRPr="00167CB8">
        <w:t>n</w:t>
      </w:r>
      <w:r w:rsidR="00A148FE" w:rsidRPr="00167CB8">
        <w:t xml:space="preserve">otices and </w:t>
      </w:r>
      <w:r w:rsidR="006D29EF" w:rsidRPr="00167CB8">
        <w:t>2 e</w:t>
      </w:r>
      <w:r w:rsidR="00A148FE" w:rsidRPr="00167CB8">
        <w:t xml:space="preserve">nforceable </w:t>
      </w:r>
      <w:r w:rsidR="006D29EF" w:rsidRPr="00167CB8">
        <w:t>u</w:t>
      </w:r>
      <w:r w:rsidR="00A148FE" w:rsidRPr="00167CB8">
        <w:t>ndertakings</w:t>
      </w:r>
      <w:r w:rsidR="00634F51" w:rsidRPr="00167CB8">
        <w:t xml:space="preserve"> to </w:t>
      </w:r>
      <w:r w:rsidR="00E54DE0" w:rsidRPr="00167CB8">
        <w:t>r</w:t>
      </w:r>
      <w:r w:rsidR="00634F51" w:rsidRPr="00167CB8">
        <w:t xml:space="preserve">egistered </w:t>
      </w:r>
      <w:r w:rsidR="00E54DE0" w:rsidRPr="00167CB8">
        <w:t>o</w:t>
      </w:r>
      <w:r w:rsidR="00634F51" w:rsidRPr="00167CB8">
        <w:t>rgani</w:t>
      </w:r>
      <w:r w:rsidRPr="00167CB8">
        <w:t>s</w:t>
      </w:r>
      <w:r w:rsidR="00634F51" w:rsidRPr="00167CB8">
        <w:t>ation</w:t>
      </w:r>
      <w:r w:rsidRPr="00167CB8">
        <w:t>s</w:t>
      </w:r>
      <w:r w:rsidR="00A148FE" w:rsidRPr="00167CB8">
        <w:t xml:space="preserve">. </w:t>
      </w:r>
    </w:p>
    <w:p w14:paraId="26395206" w14:textId="3E84E0DD" w:rsidR="00A148FE" w:rsidRPr="00167CB8" w:rsidRDefault="00A148FE" w:rsidP="00A148FE">
      <w:r w:rsidRPr="00167CB8">
        <w:t xml:space="preserve">The first </w:t>
      </w:r>
      <w:r w:rsidR="006D29EF" w:rsidRPr="00167CB8">
        <w:t>e</w:t>
      </w:r>
      <w:r w:rsidRPr="00167CB8">
        <w:t xml:space="preserve">nforceable </w:t>
      </w:r>
      <w:r w:rsidR="006D29EF" w:rsidRPr="00167CB8">
        <w:t>u</w:t>
      </w:r>
      <w:r w:rsidRPr="00167CB8">
        <w:t xml:space="preserve">ndertaking </w:t>
      </w:r>
      <w:r w:rsidR="009F7118" w:rsidRPr="00167CB8">
        <w:t>(</w:t>
      </w:r>
      <w:r w:rsidRPr="00167CB8">
        <w:t>dated 13 September 2024</w:t>
      </w:r>
      <w:r w:rsidR="009F7118" w:rsidRPr="00167CB8">
        <w:t>)</w:t>
      </w:r>
      <w:r w:rsidRPr="00167CB8">
        <w:t xml:space="preserve"> was made with the </w:t>
      </w:r>
      <w:hyperlink r:id="rId19" w:tgtFrame="_blank" w:history="1">
        <w:r w:rsidRPr="00167CB8">
          <w:t>Transport Workers’ Union of Australia (TWU)</w:t>
        </w:r>
        <w:r w:rsidR="00236950" w:rsidRPr="00167CB8">
          <w:t>,</w:t>
        </w:r>
        <w:r w:rsidRPr="00167CB8">
          <w:t xml:space="preserve"> </w:t>
        </w:r>
        <w:r w:rsidR="004C3BA5" w:rsidRPr="00167CB8">
          <w:t xml:space="preserve">which </w:t>
        </w:r>
        <w:r w:rsidRPr="00167CB8">
          <w:t>entered into the undertaking as a result of noncomp</w:t>
        </w:r>
        <w:bookmarkStart w:id="135" w:name="_Hlt187679301"/>
        <w:bookmarkStart w:id="136" w:name="_Hlt187679302"/>
        <w:r w:rsidRPr="00167CB8">
          <w:t>l</w:t>
        </w:r>
        <w:bookmarkEnd w:id="135"/>
        <w:bookmarkEnd w:id="136"/>
        <w:r w:rsidRPr="00167CB8">
          <w:t>iance by its Victoria</w:t>
        </w:r>
        <w:r w:rsidR="004C3BA5" w:rsidRPr="00167CB8">
          <w:rPr>
            <w:rFonts w:ascii="Symbol" w:eastAsia="Symbol" w:hAnsi="Symbol" w:cs="Symbol"/>
          </w:rPr>
          <w:sym w:font="Symbol" w:char="F02D"/>
        </w:r>
        <w:r w:rsidRPr="00167CB8">
          <w:t>Tasmania Branch.</w:t>
        </w:r>
      </w:hyperlink>
      <w:r w:rsidRPr="00167CB8">
        <w:rPr>
          <w:rStyle w:val="FootnoteReference"/>
        </w:rPr>
        <w:footnoteReference w:id="203"/>
      </w:r>
      <w:r w:rsidRPr="00167CB8">
        <w:t xml:space="preserve"> The TWU admitted that its conduct was likely to have amounted to a contravention of </w:t>
      </w:r>
      <w:r w:rsidR="00B8297F" w:rsidRPr="00167CB8">
        <w:t>s</w:t>
      </w:r>
      <w:r w:rsidR="004C3BA5" w:rsidRPr="00167CB8">
        <w:t> </w:t>
      </w:r>
      <w:r w:rsidRPr="00167CB8">
        <w:t>230(2)(b) of the RO Act for each of the 5,765 former members it failed to remove from its register of members.</w:t>
      </w:r>
      <w:r w:rsidRPr="00167CB8">
        <w:rPr>
          <w:rStyle w:val="FootnoteReference"/>
        </w:rPr>
        <w:footnoteReference w:id="204"/>
      </w:r>
      <w:r w:rsidRPr="00167CB8">
        <w:t xml:space="preserve"> </w:t>
      </w:r>
    </w:p>
    <w:p w14:paraId="000C732B" w14:textId="6CEC89D3" w:rsidR="00A148FE" w:rsidRPr="00167CB8" w:rsidRDefault="00A148FE" w:rsidP="00A148FE">
      <w:r w:rsidRPr="00167CB8">
        <w:t>The second</w:t>
      </w:r>
      <w:r w:rsidR="00945AA0" w:rsidRPr="00167CB8">
        <w:t xml:space="preserve"> </w:t>
      </w:r>
      <w:r w:rsidR="006D29EF" w:rsidRPr="00167CB8">
        <w:t>e</w:t>
      </w:r>
      <w:r w:rsidR="00945AA0" w:rsidRPr="00167CB8">
        <w:t xml:space="preserve">nforceable </w:t>
      </w:r>
      <w:r w:rsidR="006D29EF" w:rsidRPr="00167CB8">
        <w:t>u</w:t>
      </w:r>
      <w:r w:rsidR="00945AA0" w:rsidRPr="00167CB8">
        <w:t>ndertaking</w:t>
      </w:r>
      <w:r w:rsidRPr="00167CB8">
        <w:t xml:space="preserve"> </w:t>
      </w:r>
      <w:r w:rsidR="0035485C" w:rsidRPr="00167CB8">
        <w:t>(</w:t>
      </w:r>
      <w:r w:rsidRPr="00167CB8">
        <w:t>dated 21 December 2023</w:t>
      </w:r>
      <w:r w:rsidR="00885D5B" w:rsidRPr="00167CB8">
        <w:t>)</w:t>
      </w:r>
      <w:r w:rsidRPr="00167CB8">
        <w:t xml:space="preserve"> was made with the </w:t>
      </w:r>
      <w:r w:rsidR="00BF581F" w:rsidRPr="00167CB8">
        <w:t xml:space="preserve">Community and Public Sector Union </w:t>
      </w:r>
      <w:r w:rsidR="00EB2021" w:rsidRPr="00167CB8">
        <w:t xml:space="preserve">(CPSU) </w:t>
      </w:r>
      <w:r w:rsidR="00BF581F" w:rsidRPr="00167CB8">
        <w:t xml:space="preserve">regarding the Western Australian Prison Officers’ Union </w:t>
      </w:r>
      <w:r w:rsidR="00E54DE0" w:rsidRPr="00167CB8">
        <w:t xml:space="preserve">(WAPOU) </w:t>
      </w:r>
      <w:r w:rsidR="00BF581F" w:rsidRPr="00167CB8">
        <w:t>Branch, SPSF Group.</w:t>
      </w:r>
      <w:r w:rsidRPr="00167CB8">
        <w:rPr>
          <w:rStyle w:val="FootnoteReference"/>
        </w:rPr>
        <w:footnoteReference w:id="205"/>
      </w:r>
      <w:r w:rsidRPr="00167CB8">
        <w:t xml:space="preserve"> The CPSU admitted that between 2016 and 2020 </w:t>
      </w:r>
      <w:r w:rsidR="006F1E51" w:rsidRPr="00167CB8">
        <w:t xml:space="preserve">its </w:t>
      </w:r>
      <w:r w:rsidRPr="00167CB8">
        <w:t xml:space="preserve">WAPOU Branch conducted at least 15 elections for its office holders in a manner that was not permitted </w:t>
      </w:r>
      <w:r w:rsidRPr="00167CB8">
        <w:lastRenderedPageBreak/>
        <w:t xml:space="preserve">by the CPSU’s rules. In doing so the WAPOU Branch contravened provisions of the RO Act, including </w:t>
      </w:r>
      <w:r w:rsidR="00B8297F" w:rsidRPr="00167CB8">
        <w:t>s</w:t>
      </w:r>
      <w:r w:rsidR="004C3BA5" w:rsidRPr="00167CB8">
        <w:t> </w:t>
      </w:r>
      <w:r w:rsidRPr="00167CB8">
        <w:t xml:space="preserve">189, which requires that elections for offices are to be conducted by the </w:t>
      </w:r>
      <w:r w:rsidR="00E54DE0" w:rsidRPr="00167CB8">
        <w:t>Australian Electoral Commission</w:t>
      </w:r>
      <w:r w:rsidR="00DF166F" w:rsidRPr="00167CB8">
        <w:t xml:space="preserve"> (AEC)</w:t>
      </w:r>
      <w:r w:rsidRPr="00167CB8">
        <w:t>.</w:t>
      </w:r>
    </w:p>
    <w:p w14:paraId="78AAFAEE" w14:textId="61CADB48" w:rsidR="00A148FE" w:rsidRPr="00167CB8" w:rsidRDefault="00A148FE" w:rsidP="00A148FE">
      <w:r w:rsidRPr="00167CB8">
        <w:t xml:space="preserve">The penalty amounts that the General Manager must include on an </w:t>
      </w:r>
      <w:r w:rsidR="00E54DE0" w:rsidRPr="00167CB8">
        <w:t>i</w:t>
      </w:r>
      <w:r w:rsidRPr="00167CB8">
        <w:t xml:space="preserve">nfringement </w:t>
      </w:r>
      <w:r w:rsidR="00E54DE0" w:rsidRPr="00167CB8">
        <w:t>n</w:t>
      </w:r>
      <w:r w:rsidRPr="00167CB8">
        <w:t>otice are calculated by reference to the Regulatory Powers Act</w:t>
      </w:r>
      <w:r w:rsidR="004C3BA5" w:rsidRPr="00167CB8">
        <w:t>,</w:t>
      </w:r>
      <w:r w:rsidRPr="00167CB8">
        <w:t xml:space="preserve"> and the </w:t>
      </w:r>
      <w:r w:rsidR="00C048B2" w:rsidRPr="00167CB8">
        <w:t xml:space="preserve">General Manager </w:t>
      </w:r>
      <w:r w:rsidRPr="00167CB8">
        <w:t xml:space="preserve">has no discretion to alter those fixed penalty amounts. </w:t>
      </w:r>
    </w:p>
    <w:p w14:paraId="7D842BB7" w14:textId="647EE0DC" w:rsidR="00D462A3" w:rsidRPr="00167CB8" w:rsidRDefault="00A148FE" w:rsidP="00A148FE">
      <w:r w:rsidRPr="00167CB8">
        <w:t>By way of example, various civil penalty provisions in the RO Act</w:t>
      </w:r>
      <w:r w:rsidR="00EA56DC" w:rsidRPr="00167CB8">
        <w:t>,</w:t>
      </w:r>
      <w:r w:rsidRPr="00167CB8">
        <w:t xml:space="preserve"> which could be subject to an </w:t>
      </w:r>
      <w:r w:rsidR="00E54DE0" w:rsidRPr="00167CB8">
        <w:t>i</w:t>
      </w:r>
      <w:r w:rsidRPr="00167CB8">
        <w:t xml:space="preserve">nfringement </w:t>
      </w:r>
      <w:r w:rsidR="00E54DE0" w:rsidRPr="00167CB8">
        <w:t>n</w:t>
      </w:r>
      <w:r w:rsidRPr="00167CB8">
        <w:t xml:space="preserve">otice and </w:t>
      </w:r>
      <w:r w:rsidR="00556FE6" w:rsidRPr="00167CB8">
        <w:t xml:space="preserve">with </w:t>
      </w:r>
      <w:r w:rsidRPr="00167CB8">
        <w:t>which registered organisations regularly must comply</w:t>
      </w:r>
      <w:r w:rsidR="00E54DE0" w:rsidRPr="00167CB8">
        <w:t>,</w:t>
      </w:r>
      <w:r w:rsidRPr="00167CB8">
        <w:t xml:space="preserve"> include </w:t>
      </w:r>
      <w:r w:rsidR="00575A5F" w:rsidRPr="00167CB8">
        <w:t>ss</w:t>
      </w:r>
      <w:r w:rsidR="004C3BA5" w:rsidRPr="00167CB8">
        <w:t> </w:t>
      </w:r>
      <w:r w:rsidRPr="00167CB8">
        <w:t xml:space="preserve">172, 189, 230, 233, 237, 253, 254, </w:t>
      </w:r>
      <w:r w:rsidR="00AA1AD1" w:rsidRPr="00167CB8">
        <w:t>256,</w:t>
      </w:r>
      <w:r w:rsidRPr="00167CB8">
        <w:t xml:space="preserve"> 265, 266, 268, 293C, 293J and 293K of the RO Act.</w:t>
      </w:r>
      <w:r w:rsidR="008B3BCC" w:rsidRPr="00167CB8">
        <w:t xml:space="preserve"> These provisions relate to th</w:t>
      </w:r>
      <w:r w:rsidR="00C33961" w:rsidRPr="00167CB8">
        <w:t>e reporting and maintenance of financial</w:t>
      </w:r>
      <w:r w:rsidR="00BD14DB" w:rsidRPr="00167CB8">
        <w:t xml:space="preserve">, </w:t>
      </w:r>
      <w:r w:rsidR="00C33961" w:rsidRPr="00167CB8">
        <w:t>membership</w:t>
      </w:r>
      <w:r w:rsidR="00BD14DB" w:rsidRPr="00167CB8">
        <w:t xml:space="preserve"> and other</w:t>
      </w:r>
      <w:r w:rsidR="008B3BCC" w:rsidRPr="00167CB8">
        <w:t xml:space="preserve"> records</w:t>
      </w:r>
      <w:r w:rsidR="00C33961" w:rsidRPr="00167CB8">
        <w:t xml:space="preserve">, </w:t>
      </w:r>
      <w:r w:rsidR="008E6657" w:rsidRPr="00167CB8">
        <w:t xml:space="preserve">elections, </w:t>
      </w:r>
      <w:r w:rsidR="00AA1AD1" w:rsidRPr="00167CB8">
        <w:t xml:space="preserve">auditors or reporting units, </w:t>
      </w:r>
      <w:r w:rsidR="008E6657" w:rsidRPr="00167CB8">
        <w:t xml:space="preserve">removal of offices from </w:t>
      </w:r>
      <w:r w:rsidR="00C33961" w:rsidRPr="00167CB8">
        <w:t>the register of members</w:t>
      </w:r>
      <w:r w:rsidR="00314439" w:rsidRPr="00167CB8">
        <w:t>, annual reporting of</w:t>
      </w:r>
      <w:r w:rsidR="00C33961" w:rsidRPr="00167CB8">
        <w:t xml:space="preserve"> </w:t>
      </w:r>
      <w:r w:rsidR="0001750C" w:rsidRPr="00167CB8">
        <w:t>information, office holder change notifications and</w:t>
      </w:r>
      <w:r w:rsidR="008B3BCC" w:rsidRPr="00167CB8">
        <w:t xml:space="preserve"> </w:t>
      </w:r>
      <w:r w:rsidR="00C33961" w:rsidRPr="00167CB8">
        <w:t>office holde</w:t>
      </w:r>
      <w:r w:rsidR="007A42DA" w:rsidRPr="00167CB8">
        <w:t>r remuneration disclosures</w:t>
      </w:r>
      <w:r w:rsidR="004C3BA5" w:rsidRPr="00167CB8">
        <w:t>,</w:t>
      </w:r>
      <w:r w:rsidR="00C33961" w:rsidRPr="00167CB8">
        <w:t xml:space="preserve"> </w:t>
      </w:r>
      <w:r w:rsidR="0001750C" w:rsidRPr="00167CB8">
        <w:t xml:space="preserve">and related party </w:t>
      </w:r>
      <w:r w:rsidR="00C33961" w:rsidRPr="00167CB8">
        <w:t xml:space="preserve">financial disclosures. </w:t>
      </w:r>
    </w:p>
    <w:p w14:paraId="52697326" w14:textId="3937649F" w:rsidR="00A148FE" w:rsidRPr="00167CB8" w:rsidRDefault="00A148FE" w:rsidP="00A148FE">
      <w:r w:rsidRPr="00167CB8">
        <w:t xml:space="preserve">The penalty amount that the </w:t>
      </w:r>
      <w:r w:rsidR="00C048B2" w:rsidRPr="00167CB8">
        <w:t xml:space="preserve">General Manager </w:t>
      </w:r>
      <w:r w:rsidRPr="00167CB8">
        <w:t xml:space="preserve">must include on an </w:t>
      </w:r>
      <w:r w:rsidR="00E54DE0" w:rsidRPr="00167CB8">
        <w:t>i</w:t>
      </w:r>
      <w:r w:rsidRPr="00167CB8">
        <w:t>nfringement</w:t>
      </w:r>
      <w:r w:rsidR="00E54DE0" w:rsidRPr="00167CB8">
        <w:t xml:space="preserve"> n</w:t>
      </w:r>
      <w:r w:rsidRPr="00167CB8">
        <w:t>otice to a registered organisation (as a body corporate) for these</w:t>
      </w:r>
      <w:r w:rsidR="008179E6" w:rsidRPr="00167CB8">
        <w:t>,</w:t>
      </w:r>
      <w:r w:rsidRPr="00167CB8">
        <w:t xml:space="preserve"> and many other</w:t>
      </w:r>
      <w:r w:rsidR="006051A3" w:rsidRPr="00167CB8">
        <w:t xml:space="preserve"> (</w:t>
      </w:r>
      <w:r w:rsidR="0011350F" w:rsidRPr="00167CB8">
        <w:t>but not all</w:t>
      </w:r>
      <w:r w:rsidR="006051A3" w:rsidRPr="00167CB8">
        <w:t>)</w:t>
      </w:r>
      <w:r w:rsidR="008179E6" w:rsidRPr="00167CB8">
        <w:t>,</w:t>
      </w:r>
      <w:r w:rsidRPr="00167CB8">
        <w:t xml:space="preserve"> of the </w:t>
      </w:r>
      <w:r w:rsidR="00E54DE0" w:rsidRPr="00167CB8">
        <w:t>i</w:t>
      </w:r>
      <w:r w:rsidRPr="00167CB8">
        <w:t xml:space="preserve">nfringement </w:t>
      </w:r>
      <w:r w:rsidR="00E54DE0" w:rsidRPr="00167CB8">
        <w:t>n</w:t>
      </w:r>
      <w:r w:rsidRPr="00167CB8">
        <w:t>otices for contravening conduct that occurred after 7 November 2024</w:t>
      </w:r>
      <w:r w:rsidR="00E54DE0" w:rsidRPr="00167CB8">
        <w:t>,</w:t>
      </w:r>
      <w:r w:rsidRPr="00167CB8">
        <w:t xml:space="preserve"> would be $19,800 per contravention.</w:t>
      </w:r>
      <w:r w:rsidRPr="00167CB8">
        <w:rPr>
          <w:color w:val="FF0000"/>
        </w:rPr>
        <w:t xml:space="preserve">  </w:t>
      </w:r>
    </w:p>
    <w:p w14:paraId="327355A4" w14:textId="1D1C031A" w:rsidR="00A148FE" w:rsidRPr="00167CB8" w:rsidRDefault="00146305" w:rsidP="00A148FE">
      <w:pPr>
        <w:pStyle w:val="Heading5"/>
        <w:rPr>
          <w:rFonts w:asciiTheme="minorHAnsi" w:hAnsiTheme="minorHAnsi"/>
        </w:rPr>
      </w:pPr>
      <w:bookmarkStart w:id="137" w:name="_Toc187946401"/>
      <w:r w:rsidRPr="00167CB8">
        <w:rPr>
          <w:rFonts w:asciiTheme="minorHAnsi" w:hAnsiTheme="minorHAnsi"/>
        </w:rPr>
        <w:t>7</w:t>
      </w:r>
      <w:r w:rsidR="005C7BBB" w:rsidRPr="00167CB8">
        <w:rPr>
          <w:rFonts w:asciiTheme="minorHAnsi" w:hAnsiTheme="minorHAnsi"/>
        </w:rPr>
        <w:t>.2.2</w:t>
      </w:r>
      <w:r w:rsidR="00A148FE" w:rsidRPr="00167CB8">
        <w:rPr>
          <w:rFonts w:asciiTheme="minorHAnsi" w:hAnsiTheme="minorHAnsi"/>
        </w:rPr>
        <w:t xml:space="preserve"> Qualitative </w:t>
      </w:r>
      <w:r w:rsidR="004C3BA5" w:rsidRPr="00167CB8">
        <w:rPr>
          <w:rFonts w:asciiTheme="minorHAnsi" w:hAnsiTheme="minorHAnsi"/>
        </w:rPr>
        <w:t>e</w:t>
      </w:r>
      <w:r w:rsidR="00A148FE" w:rsidRPr="00167CB8">
        <w:rPr>
          <w:rFonts w:asciiTheme="minorHAnsi" w:hAnsiTheme="minorHAnsi"/>
        </w:rPr>
        <w:t>vidence</w:t>
      </w:r>
      <w:bookmarkEnd w:id="137"/>
    </w:p>
    <w:p w14:paraId="0DA95072" w14:textId="3A1FC2B4" w:rsidR="00A148FE" w:rsidRPr="00167CB8" w:rsidRDefault="00A148FE" w:rsidP="00A148FE">
      <w:r w:rsidRPr="00167CB8">
        <w:t xml:space="preserve">Stakeholder engagement raised </w:t>
      </w:r>
      <w:r w:rsidR="007A790B" w:rsidRPr="00167CB8">
        <w:t xml:space="preserve">a </w:t>
      </w:r>
      <w:r w:rsidRPr="00167CB8">
        <w:t>question</w:t>
      </w:r>
      <w:r w:rsidRPr="00167CB8" w:rsidDel="007A790B">
        <w:t xml:space="preserve"> </w:t>
      </w:r>
      <w:r w:rsidR="007A790B" w:rsidRPr="00167CB8">
        <w:t>in relation</w:t>
      </w:r>
      <w:r w:rsidRPr="00167CB8">
        <w:t xml:space="preserve"> to whether the </w:t>
      </w:r>
      <w:r w:rsidR="00E54DE0" w:rsidRPr="00167CB8">
        <w:t>i</w:t>
      </w:r>
      <w:r w:rsidRPr="00167CB8">
        <w:t xml:space="preserve">nfringement </w:t>
      </w:r>
      <w:r w:rsidR="00E54DE0" w:rsidRPr="00167CB8">
        <w:t>n</w:t>
      </w:r>
      <w:r w:rsidRPr="00167CB8">
        <w:t xml:space="preserve">otice penalty amount that is calculated by reference to the Regulatory Powers Act is proportionate to contravening conduct which is potentially subject to an </w:t>
      </w:r>
      <w:r w:rsidR="00E54DE0" w:rsidRPr="00167CB8">
        <w:t>i</w:t>
      </w:r>
      <w:r w:rsidRPr="00167CB8">
        <w:t xml:space="preserve">nfringement </w:t>
      </w:r>
      <w:r w:rsidR="00E54DE0" w:rsidRPr="00167CB8">
        <w:t>n</w:t>
      </w:r>
      <w:r w:rsidRPr="00167CB8">
        <w:t xml:space="preserve">otice under </w:t>
      </w:r>
      <w:r w:rsidR="00575A5F" w:rsidRPr="00167CB8">
        <w:t>s</w:t>
      </w:r>
      <w:r w:rsidR="004C3BA5" w:rsidRPr="00167CB8">
        <w:t> </w:t>
      </w:r>
      <w:r w:rsidRPr="00167CB8">
        <w:t xml:space="preserve">316A of the RO Act. </w:t>
      </w:r>
    </w:p>
    <w:p w14:paraId="337FCD0D" w14:textId="62088661" w:rsidR="00A148FE" w:rsidRPr="00167CB8" w:rsidRDefault="00A148FE" w:rsidP="00A148FE">
      <w:r w:rsidRPr="00167CB8">
        <w:t xml:space="preserve">The FWC’s Compliance Policy set out how the </w:t>
      </w:r>
      <w:r w:rsidR="00C048B2" w:rsidRPr="00167CB8">
        <w:t xml:space="preserve">General Manager </w:t>
      </w:r>
      <w:r w:rsidRPr="00167CB8">
        <w:t xml:space="preserve">would regulate </w:t>
      </w:r>
      <w:r w:rsidR="00E54DE0" w:rsidRPr="00167CB8">
        <w:t>r</w:t>
      </w:r>
      <w:r w:rsidRPr="00167CB8">
        <w:t xml:space="preserve">egistered </w:t>
      </w:r>
      <w:r w:rsidR="00E54DE0" w:rsidRPr="00167CB8">
        <w:t>o</w:t>
      </w:r>
      <w:r w:rsidRPr="00167CB8">
        <w:t>rganisations and outlined ‘how new enforcement powers granted to the General Manager in March 2023</w:t>
      </w:r>
      <w:r w:rsidR="00E54DE0" w:rsidRPr="00167CB8">
        <w:t>’</w:t>
      </w:r>
      <w:r w:rsidRPr="00167CB8">
        <w:t xml:space="preserve"> under the</w:t>
      </w:r>
      <w:r w:rsidRPr="00167CB8">
        <w:rPr>
          <w:i/>
        </w:rPr>
        <w:t xml:space="preserve"> </w:t>
      </w:r>
      <w:r w:rsidR="00E057D5" w:rsidRPr="00167CB8">
        <w:t xml:space="preserve">Secure Jobs, Better Pay </w:t>
      </w:r>
      <w:r w:rsidRPr="00167CB8">
        <w:t>Act would be used.</w:t>
      </w:r>
      <w:r w:rsidRPr="00167CB8">
        <w:rPr>
          <w:vertAlign w:val="superscript"/>
        </w:rPr>
        <w:footnoteReference w:id="206"/>
      </w:r>
      <w:r w:rsidRPr="00167CB8">
        <w:t xml:space="preserve"> The FWC has also published guidance material on its website and in its Compliance and Enforcement Policy.</w:t>
      </w:r>
      <w:r w:rsidRPr="00167CB8">
        <w:rPr>
          <w:rStyle w:val="FootnoteReference"/>
        </w:rPr>
        <w:footnoteReference w:id="207"/>
      </w:r>
    </w:p>
    <w:p w14:paraId="48EA48EF" w14:textId="2F6919A1" w:rsidR="00A148FE" w:rsidRPr="00167CB8" w:rsidRDefault="00A148FE" w:rsidP="00A148FE">
      <w:r w:rsidRPr="00167CB8">
        <w:t xml:space="preserve">The </w:t>
      </w:r>
      <w:r w:rsidR="00E057D5" w:rsidRPr="00167CB8">
        <w:t>Secure Jobs, Better Pay</w:t>
      </w:r>
      <w:r w:rsidRPr="00167CB8">
        <w:t xml:space="preserve"> </w:t>
      </w:r>
      <w:r w:rsidR="006D29EF" w:rsidRPr="00167CB8">
        <w:t>i</w:t>
      </w:r>
      <w:r w:rsidRPr="00167CB8">
        <w:t xml:space="preserve">nfringement </w:t>
      </w:r>
      <w:r w:rsidR="006D29EF" w:rsidRPr="00167CB8">
        <w:t>n</w:t>
      </w:r>
      <w:r w:rsidRPr="00167CB8">
        <w:t xml:space="preserve">otice amendments were not entered into </w:t>
      </w:r>
      <w:r w:rsidR="00E54DE0" w:rsidRPr="00167CB8">
        <w:t xml:space="preserve">in </w:t>
      </w:r>
      <w:r w:rsidRPr="00167CB8">
        <w:t xml:space="preserve">a new jurisdiction or in a vacuum. Past regulators have successfully prosecuted contraventions and had penalties ordered in the Federal Court for contraventions of the same provisions </w:t>
      </w:r>
      <w:r w:rsidR="00E54DE0" w:rsidRPr="00167CB8">
        <w:t xml:space="preserve">that </w:t>
      </w:r>
      <w:r w:rsidRPr="00167CB8">
        <w:t xml:space="preserve">can now be subject to an </w:t>
      </w:r>
      <w:r w:rsidR="00E54DE0" w:rsidRPr="00167CB8">
        <w:t>i</w:t>
      </w:r>
      <w:r w:rsidRPr="00167CB8">
        <w:t xml:space="preserve">nfringement </w:t>
      </w:r>
      <w:r w:rsidR="00E54DE0" w:rsidRPr="00167CB8">
        <w:t>n</w:t>
      </w:r>
      <w:r w:rsidRPr="00167CB8">
        <w:t>otice, indicating that there is precedent which tends to suggest the potential amount of those penalties.</w:t>
      </w:r>
    </w:p>
    <w:p w14:paraId="5EFCD12A" w14:textId="361AE186" w:rsidR="00A148FE" w:rsidRPr="00167CB8" w:rsidRDefault="00146305" w:rsidP="00A148FE">
      <w:pPr>
        <w:pStyle w:val="Heading5"/>
        <w:rPr>
          <w:rFonts w:asciiTheme="minorHAnsi" w:hAnsiTheme="minorHAnsi"/>
        </w:rPr>
      </w:pPr>
      <w:bookmarkStart w:id="138" w:name="_Toc187946402"/>
      <w:r w:rsidRPr="00167CB8">
        <w:rPr>
          <w:rFonts w:asciiTheme="minorHAnsi" w:hAnsiTheme="minorHAnsi"/>
        </w:rPr>
        <w:t>7</w:t>
      </w:r>
      <w:r w:rsidR="005C7BBB" w:rsidRPr="00167CB8">
        <w:rPr>
          <w:rFonts w:asciiTheme="minorHAnsi" w:hAnsiTheme="minorHAnsi"/>
        </w:rPr>
        <w:t>.2.3</w:t>
      </w:r>
      <w:r w:rsidR="00A148FE" w:rsidRPr="00167CB8">
        <w:rPr>
          <w:rFonts w:asciiTheme="minorHAnsi" w:hAnsiTheme="minorHAnsi"/>
        </w:rPr>
        <w:t xml:space="preserve"> Stakeholder views</w:t>
      </w:r>
      <w:bookmarkEnd w:id="138"/>
    </w:p>
    <w:p w14:paraId="23F11805" w14:textId="404AA2FA" w:rsidR="00A148FE" w:rsidRPr="00167CB8" w:rsidRDefault="00A148FE" w:rsidP="00A148FE">
      <w:r w:rsidRPr="00167CB8">
        <w:t xml:space="preserve">Few of the submissions to the Review made mention of the </w:t>
      </w:r>
      <w:r w:rsidR="00C048B2" w:rsidRPr="00167CB8">
        <w:t xml:space="preserve">General Manager </w:t>
      </w:r>
      <w:r w:rsidRPr="00167CB8">
        <w:t>’s adoption of the ROC’s regulatory regime</w:t>
      </w:r>
      <w:r w:rsidR="0069653D" w:rsidRPr="00167CB8">
        <w:t xml:space="preserve"> or new enforcement powers</w:t>
      </w:r>
      <w:r w:rsidRPr="00167CB8">
        <w:t xml:space="preserve">. </w:t>
      </w:r>
    </w:p>
    <w:p w14:paraId="73333089" w14:textId="7211DE0D" w:rsidR="00A148FE" w:rsidRPr="00167CB8" w:rsidRDefault="00A148FE" w:rsidP="00A148FE">
      <w:r w:rsidRPr="00167CB8">
        <w:t xml:space="preserve">The </w:t>
      </w:r>
      <w:r w:rsidR="00E54DE0" w:rsidRPr="00167CB8">
        <w:t>Minerals Council of Australia (</w:t>
      </w:r>
      <w:r w:rsidR="000E6ADB" w:rsidRPr="00167CB8">
        <w:t>MCA</w:t>
      </w:r>
      <w:r w:rsidR="00E54DE0" w:rsidRPr="00167CB8">
        <w:t>)</w:t>
      </w:r>
      <w:r w:rsidRPr="00167CB8">
        <w:t xml:space="preserve"> stated that ‘Unions must be better regulated to prevent corruption and abuses</w:t>
      </w:r>
      <w:r w:rsidR="001931E2">
        <w:t>.</w:t>
      </w:r>
      <w:r w:rsidRPr="00167CB8">
        <w:t>’</w:t>
      </w:r>
      <w:r w:rsidR="00A13399" w:rsidRPr="00167CB8">
        <w:rPr>
          <w:rStyle w:val="FootnoteReference"/>
        </w:rPr>
        <w:footnoteReference w:id="208"/>
      </w:r>
      <w:r w:rsidRPr="00167CB8">
        <w:t xml:space="preserve"> </w:t>
      </w:r>
    </w:p>
    <w:p w14:paraId="0DD9E4DE" w14:textId="6E0906DC" w:rsidR="00A148FE" w:rsidRPr="00167CB8" w:rsidRDefault="00A148FE" w:rsidP="00A148FE">
      <w:r w:rsidRPr="00167CB8">
        <w:lastRenderedPageBreak/>
        <w:t xml:space="preserve">The </w:t>
      </w:r>
      <w:r w:rsidR="00E54DE0" w:rsidRPr="00167CB8">
        <w:t>United Workers Union (</w:t>
      </w:r>
      <w:r w:rsidR="00E5652C" w:rsidRPr="00167CB8">
        <w:t>U</w:t>
      </w:r>
      <w:r w:rsidR="000E6ADB" w:rsidRPr="00167CB8">
        <w:t>WU</w:t>
      </w:r>
      <w:r w:rsidR="00E54DE0" w:rsidRPr="00167CB8">
        <w:t>)</w:t>
      </w:r>
      <w:r w:rsidRPr="00167CB8">
        <w:t xml:space="preserve"> stated the ‘additional enforcement options, such as enforceable undertakings, has helped the parties to save costs on compliance’.</w:t>
      </w:r>
      <w:r w:rsidR="00A13399" w:rsidRPr="00167CB8">
        <w:rPr>
          <w:rStyle w:val="FootnoteReference"/>
        </w:rPr>
        <w:footnoteReference w:id="209"/>
      </w:r>
    </w:p>
    <w:p w14:paraId="7B2DDE1B" w14:textId="4119F889" w:rsidR="00A148FE" w:rsidRPr="00167CB8" w:rsidRDefault="00A148FE" w:rsidP="00A148FE">
      <w:r w:rsidRPr="00167CB8">
        <w:t xml:space="preserve">The </w:t>
      </w:r>
      <w:r w:rsidR="00E54DE0" w:rsidRPr="00167CB8">
        <w:t>Australian Council of Trade Unions (</w:t>
      </w:r>
      <w:r w:rsidRPr="00167CB8">
        <w:t>ACTU</w:t>
      </w:r>
      <w:r w:rsidR="00E54DE0" w:rsidRPr="00167CB8">
        <w:t>)</w:t>
      </w:r>
      <w:r w:rsidRPr="00167CB8">
        <w:t xml:space="preserve"> states that it sees ‘the introduction of enforceable undertakings as a positive change to the regulation of registered organisations</w:t>
      </w:r>
      <w:r w:rsidR="001931E2">
        <w:t>.</w:t>
      </w:r>
      <w:r w:rsidRPr="00167CB8">
        <w:t>’</w:t>
      </w:r>
      <w:r w:rsidRPr="00167CB8">
        <w:rPr>
          <w:rStyle w:val="FootnoteReference"/>
        </w:rPr>
        <w:footnoteReference w:id="210"/>
      </w:r>
    </w:p>
    <w:p w14:paraId="29AE9A43" w14:textId="2DE3A146" w:rsidR="00A148FE" w:rsidRPr="00167CB8" w:rsidRDefault="00146305" w:rsidP="00A148FE">
      <w:pPr>
        <w:pStyle w:val="Heading4"/>
        <w:rPr>
          <w:rFonts w:asciiTheme="minorHAnsi" w:hAnsiTheme="minorHAnsi"/>
        </w:rPr>
      </w:pPr>
      <w:bookmarkStart w:id="139" w:name="_Toc187946403"/>
      <w:bookmarkStart w:id="140" w:name="_Toc188277921"/>
      <w:bookmarkStart w:id="141" w:name="_Toc189260214"/>
      <w:bookmarkStart w:id="142" w:name="_Toc189393530"/>
      <w:r w:rsidRPr="00167CB8">
        <w:rPr>
          <w:rFonts w:asciiTheme="minorHAnsi" w:hAnsiTheme="minorHAnsi"/>
        </w:rPr>
        <w:t>7</w:t>
      </w:r>
      <w:r w:rsidR="005C7BBB" w:rsidRPr="00167CB8">
        <w:rPr>
          <w:rFonts w:asciiTheme="minorHAnsi" w:hAnsiTheme="minorHAnsi"/>
        </w:rPr>
        <w:t>.</w:t>
      </w:r>
      <w:r w:rsidR="00093F67" w:rsidRPr="00167CB8">
        <w:rPr>
          <w:rFonts w:asciiTheme="minorHAnsi" w:hAnsiTheme="minorHAnsi"/>
        </w:rPr>
        <w:t>3</w:t>
      </w:r>
      <w:r w:rsidR="00A148FE" w:rsidRPr="00167CB8">
        <w:rPr>
          <w:rFonts w:asciiTheme="minorHAnsi" w:hAnsiTheme="minorHAnsi"/>
        </w:rPr>
        <w:t xml:space="preserve"> Findings </w:t>
      </w:r>
      <w:r w:rsidR="004C3BA5" w:rsidRPr="00167CB8">
        <w:rPr>
          <w:rFonts w:asciiTheme="minorHAnsi" w:hAnsiTheme="minorHAnsi"/>
        </w:rPr>
        <w:t>and</w:t>
      </w:r>
      <w:r w:rsidR="00A148FE" w:rsidRPr="00167CB8">
        <w:rPr>
          <w:rFonts w:asciiTheme="minorHAnsi" w:hAnsiTheme="minorHAnsi"/>
        </w:rPr>
        <w:t xml:space="preserve"> </w:t>
      </w:r>
      <w:r w:rsidR="004C3BA5" w:rsidRPr="00167CB8">
        <w:rPr>
          <w:rFonts w:asciiTheme="minorHAnsi" w:hAnsiTheme="minorHAnsi"/>
        </w:rPr>
        <w:t>r</w:t>
      </w:r>
      <w:r w:rsidR="00A148FE" w:rsidRPr="00167CB8">
        <w:rPr>
          <w:rFonts w:asciiTheme="minorHAnsi" w:hAnsiTheme="minorHAnsi"/>
        </w:rPr>
        <w:t>ecommendations</w:t>
      </w:r>
      <w:bookmarkEnd w:id="139"/>
      <w:bookmarkEnd w:id="140"/>
      <w:bookmarkEnd w:id="141"/>
      <w:bookmarkEnd w:id="142"/>
    </w:p>
    <w:p w14:paraId="04F3ED73" w14:textId="204B3A42" w:rsidR="00A92E60" w:rsidRPr="00167CB8" w:rsidRDefault="00A92E60" w:rsidP="00A92E60">
      <w:bookmarkStart w:id="143" w:name="_Hlk188605478"/>
      <w:r w:rsidRPr="00167CB8">
        <w:t xml:space="preserve">The Review </w:t>
      </w:r>
      <w:r w:rsidR="00FD43E0" w:rsidRPr="00167CB8">
        <w:t>P</w:t>
      </w:r>
      <w:r w:rsidRPr="00167CB8">
        <w:t xml:space="preserve">anel finds mixed evidence relating to the effectiveness of the amendments. </w:t>
      </w:r>
    </w:p>
    <w:p w14:paraId="1CE917EB" w14:textId="4959DC29" w:rsidR="00A92E60" w:rsidRPr="00167CB8" w:rsidRDefault="00A92E60" w:rsidP="00A92E60">
      <w:r w:rsidRPr="00167CB8">
        <w:t xml:space="preserve">The Review Panel finds that the power of the General Manager </w:t>
      </w:r>
      <w:r w:rsidR="005F4A11" w:rsidRPr="00167CB8">
        <w:t>of the FWC</w:t>
      </w:r>
      <w:r w:rsidRPr="00167CB8">
        <w:t xml:space="preserve"> to issue </w:t>
      </w:r>
      <w:r w:rsidR="004C3BA5" w:rsidRPr="00167CB8">
        <w:t>e</w:t>
      </w:r>
      <w:r w:rsidRPr="00167CB8">
        <w:t xml:space="preserve">nforceable </w:t>
      </w:r>
      <w:r w:rsidR="004C3BA5" w:rsidRPr="00167CB8">
        <w:t>u</w:t>
      </w:r>
      <w:r w:rsidRPr="00167CB8">
        <w:t xml:space="preserve">ndertakings is operating as intended, with the General Manager having issued </w:t>
      </w:r>
      <w:r w:rsidR="004C3BA5" w:rsidRPr="00167CB8">
        <w:t>2 e</w:t>
      </w:r>
      <w:r w:rsidRPr="00167CB8">
        <w:t xml:space="preserve">nforceable </w:t>
      </w:r>
      <w:r w:rsidR="004C3BA5" w:rsidRPr="00167CB8">
        <w:t>u</w:t>
      </w:r>
      <w:r w:rsidRPr="00167CB8">
        <w:t xml:space="preserve">ndertakings since the provisions came into effect on 6 March 2023. </w:t>
      </w:r>
    </w:p>
    <w:p w14:paraId="7E07CEDF" w14:textId="7CF64987" w:rsidR="006448AB" w:rsidRPr="00167CB8" w:rsidRDefault="00A92E60" w:rsidP="00C8207B">
      <w:r w:rsidRPr="00167CB8">
        <w:t xml:space="preserve">However, the Review Panel finds that the </w:t>
      </w:r>
      <w:r w:rsidR="006D29EF" w:rsidRPr="00167CB8">
        <w:t>i</w:t>
      </w:r>
      <w:r w:rsidRPr="00167CB8">
        <w:t xml:space="preserve">nfringement </w:t>
      </w:r>
      <w:r w:rsidR="006D29EF" w:rsidRPr="00167CB8">
        <w:t>n</w:t>
      </w:r>
      <w:r w:rsidRPr="00167CB8">
        <w:t xml:space="preserve">otices power is not operating as effectively as it could. The General Manager of the FWC has not issued an </w:t>
      </w:r>
      <w:r w:rsidR="006D29EF" w:rsidRPr="00167CB8">
        <w:t>i</w:t>
      </w:r>
      <w:r w:rsidRPr="00167CB8">
        <w:t xml:space="preserve">nfringement </w:t>
      </w:r>
      <w:r w:rsidR="006D29EF" w:rsidRPr="00167CB8">
        <w:t>n</w:t>
      </w:r>
      <w:r w:rsidRPr="00167CB8">
        <w:t>otice between 6 March</w:t>
      </w:r>
      <w:r w:rsidR="005F4A11" w:rsidRPr="00167CB8">
        <w:t xml:space="preserve"> 2023</w:t>
      </w:r>
      <w:r w:rsidRPr="00167CB8">
        <w:t xml:space="preserve">, when the provisions came into effect, and </w:t>
      </w:r>
      <w:r w:rsidR="00322A74" w:rsidRPr="00167CB8">
        <w:t>1</w:t>
      </w:r>
      <w:r w:rsidRPr="00167CB8">
        <w:t xml:space="preserve">7 January 2025. </w:t>
      </w:r>
    </w:p>
    <w:p w14:paraId="1266EF83" w14:textId="06B58DE7" w:rsidR="006E6341" w:rsidRPr="00167CB8" w:rsidRDefault="006F0CE3">
      <w:r w:rsidRPr="00167CB8">
        <w:t>The Review Panel notes that a</w:t>
      </w:r>
      <w:r w:rsidR="00A92E60" w:rsidRPr="00167CB8">
        <w:t>n impediment to wider use of this sanction appears to be the scale of penalties, which is beyond the discretion of the General Manager. For example,</w:t>
      </w:r>
      <w:r w:rsidR="00EB35A0" w:rsidRPr="00167CB8">
        <w:t xml:space="preserve"> for a </w:t>
      </w:r>
      <w:r w:rsidR="00150602" w:rsidRPr="00167CB8">
        <w:t>r</w:t>
      </w:r>
      <w:r w:rsidR="00EB35A0" w:rsidRPr="00167CB8">
        <w:t xml:space="preserve">egistered </w:t>
      </w:r>
      <w:r w:rsidR="00150602" w:rsidRPr="00167CB8">
        <w:t>o</w:t>
      </w:r>
      <w:r w:rsidR="00EB35A0" w:rsidRPr="00167CB8">
        <w:t xml:space="preserve">rganisation’s paperwork-based error, such as missing </w:t>
      </w:r>
      <w:r w:rsidR="00963368" w:rsidRPr="00167CB8">
        <w:t>a timeframe to lodge prescribed information in relation to an election to be conducted by the AEC (under s.189 of the RO Act),</w:t>
      </w:r>
      <w:r w:rsidR="00A92E60" w:rsidRPr="00167CB8">
        <w:t xml:space="preserve"> </w:t>
      </w:r>
      <w:r w:rsidR="008E77D7" w:rsidRPr="00167CB8">
        <w:t>the</w:t>
      </w:r>
      <w:r w:rsidR="00A92E60" w:rsidRPr="00167CB8">
        <w:t xml:space="preserve"> </w:t>
      </w:r>
      <w:r w:rsidR="006D29EF" w:rsidRPr="00167CB8">
        <w:t>i</w:t>
      </w:r>
      <w:r w:rsidR="00A92E60" w:rsidRPr="00167CB8">
        <w:t xml:space="preserve">nfringement </w:t>
      </w:r>
      <w:r w:rsidR="006D29EF" w:rsidRPr="00167CB8">
        <w:t>n</w:t>
      </w:r>
      <w:r w:rsidR="00A92E60" w:rsidRPr="00167CB8">
        <w:t xml:space="preserve">otice penalty amount is $19,800 per alleged contravention. </w:t>
      </w:r>
      <w:r w:rsidR="008E77D7" w:rsidRPr="00167CB8">
        <w:t>The Review Panel considers that t</w:t>
      </w:r>
      <w:r w:rsidR="00A92E60" w:rsidRPr="00167CB8">
        <w:t xml:space="preserve">his seems disproportionate to the conduct and alleged contravention they seek to address. These penalties may also be disproportionate compared to penalties for less serious conduct under other provisions of the RO Act. </w:t>
      </w:r>
      <w:bookmarkEnd w:id="143"/>
      <w:r w:rsidR="008E77D7" w:rsidRPr="00167CB8">
        <w:t>The Review Panel makes a recommendation in relation to this.</w:t>
      </w:r>
      <w:r w:rsidR="001613D5" w:rsidRPr="00167CB8">
        <w:t xml:space="preserve"> </w:t>
      </w:r>
      <w:r w:rsidR="00706D7D" w:rsidRPr="00167CB8">
        <w:t xml:space="preserve"> </w:t>
      </w:r>
    </w:p>
    <w:p w14:paraId="0F9217E5" w14:textId="43049BE8" w:rsidR="00734554" w:rsidRPr="00D80BBC" w:rsidRDefault="00D80BBC" w:rsidP="00D80BBC">
      <w:r w:rsidRPr="00167CB8">
        <w:rPr>
          <w:b/>
          <w:bCs/>
        </w:rPr>
        <w:t>Draft Recommendation 4: The Australian Government consult, including with the General Manager of the Fair Work Commission (FWC), to consider whether penalty amounts</w:t>
      </w:r>
      <w:r w:rsidRPr="00167CB8" w:rsidDel="00FA542E">
        <w:rPr>
          <w:b/>
          <w:bCs/>
        </w:rPr>
        <w:t xml:space="preserve"> </w:t>
      </w:r>
      <w:r w:rsidRPr="00167CB8">
        <w:rPr>
          <w:b/>
          <w:bCs/>
        </w:rPr>
        <w:t xml:space="preserve">payable under Infringement Notices are proportionate to the contraventions that are subject to an Infringement Notice under the </w:t>
      </w:r>
      <w:r w:rsidRPr="00167CB8">
        <w:rPr>
          <w:b/>
          <w:bCs/>
          <w:i/>
          <w:iCs/>
        </w:rPr>
        <w:t>Fair Work (Registered Organisations) Act 2009</w:t>
      </w:r>
      <w:r w:rsidRPr="00167CB8">
        <w:rPr>
          <w:b/>
          <w:bCs/>
        </w:rPr>
        <w:t>.</w:t>
      </w:r>
      <w:bookmarkEnd w:id="94"/>
      <w:r w:rsidR="00734554" w:rsidRPr="00167CB8">
        <w:rPr>
          <w:b/>
          <w:bCs/>
        </w:rPr>
        <w:br w:type="page"/>
      </w:r>
    </w:p>
    <w:p w14:paraId="6F068695" w14:textId="46D092D8" w:rsidR="00173F8E" w:rsidRPr="00167CB8" w:rsidRDefault="00173F8E" w:rsidP="00173F8E">
      <w:pPr>
        <w:pStyle w:val="Heading2"/>
        <w:rPr>
          <w:rFonts w:asciiTheme="minorHAnsi" w:hAnsiTheme="minorHAnsi"/>
        </w:rPr>
      </w:pPr>
      <w:bookmarkStart w:id="144" w:name="_Toc189260179"/>
      <w:bookmarkStart w:id="145" w:name="_Toc189260215"/>
      <w:bookmarkStart w:id="146" w:name="_Toc189393531"/>
      <w:r w:rsidRPr="00167CB8">
        <w:rPr>
          <w:rFonts w:asciiTheme="minorHAnsi" w:hAnsiTheme="minorHAnsi"/>
        </w:rPr>
        <w:lastRenderedPageBreak/>
        <w:t>Part 2. Bargaining and agreements</w:t>
      </w:r>
      <w:bookmarkEnd w:id="144"/>
      <w:bookmarkEnd w:id="145"/>
      <w:bookmarkEnd w:id="146"/>
    </w:p>
    <w:p w14:paraId="28B153E0" w14:textId="77777777" w:rsidR="00173F8E" w:rsidRPr="00167CB8" w:rsidRDefault="00173F8E" w:rsidP="00173F8E">
      <w:r w:rsidRPr="00167CB8">
        <w:br w:type="page"/>
      </w:r>
    </w:p>
    <w:p w14:paraId="35EB913E" w14:textId="0816A464" w:rsidR="00173F8E" w:rsidRPr="00167CB8" w:rsidRDefault="00173F8E" w:rsidP="00173F8E">
      <w:pPr>
        <w:pStyle w:val="Heading3"/>
        <w:rPr>
          <w:rFonts w:asciiTheme="minorHAnsi" w:hAnsiTheme="minorHAnsi"/>
        </w:rPr>
      </w:pPr>
      <w:bookmarkStart w:id="147" w:name="_Toc189393532"/>
      <w:bookmarkStart w:id="148" w:name="_Toc189260216"/>
      <w:r w:rsidRPr="00167CB8">
        <w:rPr>
          <w:rFonts w:asciiTheme="minorHAnsi" w:hAnsiTheme="minorHAnsi"/>
        </w:rPr>
        <w:lastRenderedPageBreak/>
        <w:t>Chapter 8. Introduction to the bargaining and agreements</w:t>
      </w:r>
      <w:bookmarkEnd w:id="147"/>
      <w:r w:rsidRPr="00167CB8">
        <w:rPr>
          <w:rFonts w:asciiTheme="minorHAnsi" w:hAnsiTheme="minorHAnsi"/>
        </w:rPr>
        <w:t xml:space="preserve"> </w:t>
      </w:r>
      <w:bookmarkEnd w:id="148"/>
    </w:p>
    <w:p w14:paraId="292FBB56" w14:textId="3B50A687" w:rsidR="00173F8E" w:rsidRPr="00167CB8" w:rsidRDefault="00E03428" w:rsidP="00173F8E">
      <w:pPr>
        <w:pStyle w:val="Heading4"/>
        <w:rPr>
          <w:b w:val="0"/>
        </w:rPr>
      </w:pPr>
      <w:bookmarkStart w:id="149" w:name="_Toc189260217"/>
      <w:bookmarkStart w:id="150" w:name="_Toc189393533"/>
      <w:r w:rsidRPr="00167CB8">
        <w:t>8</w:t>
      </w:r>
      <w:r w:rsidR="00173F8E" w:rsidRPr="00167CB8">
        <w:t>.1 Introduction</w:t>
      </w:r>
      <w:bookmarkEnd w:id="149"/>
      <w:bookmarkEnd w:id="150"/>
    </w:p>
    <w:p w14:paraId="2732947B" w14:textId="66FFFEAF" w:rsidR="00173F8E" w:rsidRPr="00167CB8" w:rsidRDefault="00173F8E" w:rsidP="00173F8E">
      <w:r w:rsidRPr="00167CB8">
        <w:t xml:space="preserve">Central to the </w:t>
      </w:r>
      <w:r w:rsidR="00B244E4" w:rsidRPr="00167CB8">
        <w:t xml:space="preserve">Secure Jobs, Better Pay </w:t>
      </w:r>
      <w:r w:rsidRPr="00167CB8">
        <w:t xml:space="preserve">amendments – and therefore to this Review – are </w:t>
      </w:r>
      <w:r w:rsidR="004C3BA5" w:rsidRPr="00167CB8">
        <w:t xml:space="preserve">2 </w:t>
      </w:r>
      <w:r w:rsidRPr="00167CB8">
        <w:t xml:space="preserve">objectives: the need to ‘get wages back on track’ and to advance ‘gender equality’. Collective bargaining, which is the focus of this </w:t>
      </w:r>
      <w:r w:rsidR="004C3BA5" w:rsidRPr="00167CB8">
        <w:t>p</w:t>
      </w:r>
      <w:r w:rsidRPr="00167CB8">
        <w:t>art of the Review, is considered by the government to be a key mechanism by which both objectives can be achieved. Put another way, it is assumed that expanding the incidence and coverage of collective bargaining will increase wages and improve gender equality.</w:t>
      </w:r>
    </w:p>
    <w:p w14:paraId="5A76FC09" w14:textId="0C554A1A" w:rsidR="00173F8E" w:rsidRPr="00167CB8" w:rsidRDefault="00173F8E" w:rsidP="00173F8E">
      <w:r w:rsidRPr="00167CB8">
        <w:t xml:space="preserve">This </w:t>
      </w:r>
      <w:r w:rsidR="004C3BA5" w:rsidRPr="00167CB8">
        <w:t>i</w:t>
      </w:r>
      <w:r w:rsidRPr="00167CB8">
        <w:t xml:space="preserve">ntroduction provides background that confirms both the validity and urgency of these objectives. The evidence is partly historical, showing a serious decline of wages in Australia over recent decades and how it corresponds with significant decreases in the incidence and coverage of collective bargaining. The </w:t>
      </w:r>
      <w:r w:rsidR="004C3BA5" w:rsidRPr="00167CB8">
        <w:t>i</w:t>
      </w:r>
      <w:r w:rsidRPr="00167CB8">
        <w:t>ntroduction is also partly comparative, in that it demonstrates the distinctiveness of the Australian system and shows the close correspondence in other countries between high wages and gender equality, on the one hand, and the high incidence and coverage of collective bargaining, on the other.</w:t>
      </w:r>
    </w:p>
    <w:p w14:paraId="21AFDECE" w14:textId="7BC06596" w:rsidR="00173F8E" w:rsidRPr="00167CB8" w:rsidRDefault="00173F8E" w:rsidP="00173F8E">
      <w:r w:rsidRPr="00167CB8">
        <w:t>Before embarking on these historical and comparative tasks, there are some important definitional issues to clarify. The Review’s Terms of Reference use the term ‘enterprise bargaining’</w:t>
      </w:r>
      <w:r w:rsidR="004C3BA5" w:rsidRPr="00167CB8">
        <w:t>,</w:t>
      </w:r>
      <w:r w:rsidRPr="00167CB8">
        <w:t xml:space="preserve"> whereas the title of this chapter and its content indicate a preference for the broader term ‘collective bargaining’</w:t>
      </w:r>
      <w:r w:rsidR="004C3BA5" w:rsidRPr="00167CB8">
        <w:t>.</w:t>
      </w:r>
      <w:r w:rsidRPr="00167CB8">
        <w:t xml:space="preserve"> Collective bargaining includes specific forms, like single-enterprise bargaining and multi-employer bargaining. Even here there are at least </w:t>
      </w:r>
      <w:r w:rsidR="004C3BA5" w:rsidRPr="00167CB8">
        <w:t xml:space="preserve">2 </w:t>
      </w:r>
      <w:r w:rsidRPr="00167CB8">
        <w:t xml:space="preserve">sources of definitional confusion, both emanating from the Act itself. First, the definition of a </w:t>
      </w:r>
      <w:r w:rsidR="00B244E4" w:rsidRPr="00167CB8">
        <w:t>‘</w:t>
      </w:r>
      <w:r w:rsidRPr="00167CB8">
        <w:t>single enterprise</w:t>
      </w:r>
      <w:r w:rsidR="00B244E4" w:rsidRPr="00167CB8">
        <w:t>’</w:t>
      </w:r>
      <w:r w:rsidRPr="00167CB8">
        <w:t xml:space="preserve"> is contested</w:t>
      </w:r>
      <w:r w:rsidR="00B244E4" w:rsidRPr="00167CB8">
        <w:t xml:space="preserve"> </w:t>
      </w:r>
      <w:r w:rsidR="00B244E4" w:rsidRPr="00167CB8">
        <w:rPr>
          <w:rFonts w:ascii="Symbol" w:eastAsia="Symbol" w:hAnsi="Symbol" w:cs="Symbol"/>
        </w:rPr>
        <w:sym w:font="Symbol" w:char="F02D"/>
      </w:r>
      <w:r w:rsidR="00B244E4" w:rsidRPr="00167CB8">
        <w:t xml:space="preserve"> it can range </w:t>
      </w:r>
      <w:r w:rsidRPr="00167CB8">
        <w:t>from small organisations surrounding owner</w:t>
      </w:r>
      <w:r w:rsidR="004C3BA5" w:rsidRPr="00167CB8">
        <w:rPr>
          <w:rFonts w:ascii="Symbol" w:eastAsia="Symbol" w:hAnsi="Symbol" w:cs="Symbol"/>
        </w:rPr>
        <w:sym w:font="Symbol" w:char="F02D"/>
      </w:r>
      <w:r w:rsidRPr="00167CB8">
        <w:t>managers to large corporations, encompassing multiple workplaces or franchisees. Second, the Fair Work Act’s approach to this topic technically makes the term ‘collective agreement-making’ more accurate, since some collective agreements at the level of the single enterprise are made without ‘bargaining’.</w:t>
      </w:r>
      <w:r w:rsidR="00093B40" w:rsidRPr="00167CB8">
        <w:rPr>
          <w:rStyle w:val="FootnoteReference"/>
        </w:rPr>
        <w:footnoteReference w:id="211"/>
      </w:r>
      <w:r w:rsidRPr="00167CB8">
        <w:t xml:space="preserve"> The term ‘collective bargaining’, however, is widely used by practitioners and scholars alike and will be used here.</w:t>
      </w:r>
    </w:p>
    <w:p w14:paraId="73035023" w14:textId="44A10BB1" w:rsidR="00173F8E" w:rsidRPr="00167CB8" w:rsidRDefault="00173F8E" w:rsidP="00173F8E">
      <w:r w:rsidRPr="00167CB8">
        <w:t xml:space="preserve">Finally, collective bargaining is surprisingly complicated. Consequently, </w:t>
      </w:r>
      <w:r w:rsidR="00B244E4" w:rsidRPr="00167CB8">
        <w:t xml:space="preserve">when </w:t>
      </w:r>
      <w:r w:rsidRPr="00167CB8">
        <w:t>describing trends in collective bargaining in Australia (and elsewhere)</w:t>
      </w:r>
      <w:r w:rsidR="00B244E4" w:rsidRPr="00167CB8">
        <w:t>, there is a</w:t>
      </w:r>
      <w:r w:rsidRPr="00167CB8">
        <w:t xml:space="preserve"> need to focus on its various ‘dimensions’.</w:t>
      </w:r>
      <w:r w:rsidRPr="00167CB8">
        <w:rPr>
          <w:rStyle w:val="FootnoteReference"/>
        </w:rPr>
        <w:footnoteReference w:id="212"/>
      </w:r>
      <w:r w:rsidRPr="00167CB8">
        <w:t xml:space="preserve"> In particular, this chapter examines </w:t>
      </w:r>
      <w:r w:rsidR="004C3BA5" w:rsidRPr="00167CB8">
        <w:t xml:space="preserve">5 </w:t>
      </w:r>
      <w:r w:rsidRPr="00167CB8">
        <w:t xml:space="preserve">dimensions of collective bargaining, which are defined in </w:t>
      </w:r>
      <w:r w:rsidR="00B244E4" w:rsidRPr="00167CB8">
        <w:t>T</w:t>
      </w:r>
      <w:r w:rsidRPr="00167CB8">
        <w:t xml:space="preserve">able </w:t>
      </w:r>
      <w:r w:rsidR="00495BF1" w:rsidRPr="00167CB8">
        <w:t>6</w:t>
      </w:r>
      <w:r w:rsidRPr="00167CB8">
        <w:t>. These dimensions of collective bargaining are especially useful for understanding long-term trends within a country and comparisons of national systems of collective bargaining across nations. Why? The dimensions of collective bargaining help to overcome the complexity – and the related confusion – in historical or legal accounts by highlighting the ‘big picture’ of what the law means. They also help to identify the distinctiveness of collective bargaining in one country at any one time. Together, the dimensions produce a more complete and realistic picture of collective bargaining.</w:t>
      </w:r>
    </w:p>
    <w:p w14:paraId="61263D9B" w14:textId="2670F47D" w:rsidR="00173F8E" w:rsidRPr="00167CB8" w:rsidRDefault="00173F8E" w:rsidP="00470AB9">
      <w:pPr>
        <w:pStyle w:val="Caption"/>
      </w:pPr>
      <w:r w:rsidRPr="00167CB8">
        <w:lastRenderedPageBreak/>
        <w:t xml:space="preserve">Table </w:t>
      </w:r>
      <w:r w:rsidR="00FD716F" w:rsidRPr="00167CB8">
        <w:t>6</w:t>
      </w:r>
      <w:r w:rsidRPr="00167CB8">
        <w:t xml:space="preserve">: The dimensions of collective bargaining </w:t>
      </w:r>
    </w:p>
    <w:tbl>
      <w:tblPr>
        <w:tblStyle w:val="TableGrid"/>
        <w:tblW w:w="0" w:type="auto"/>
        <w:tblLook w:val="04A0" w:firstRow="1" w:lastRow="0" w:firstColumn="1" w:lastColumn="0" w:noHBand="0" w:noVBand="1"/>
      </w:tblPr>
      <w:tblGrid>
        <w:gridCol w:w="2263"/>
        <w:gridCol w:w="6753"/>
      </w:tblGrid>
      <w:tr w:rsidR="00173F8E" w:rsidRPr="00167CB8" w14:paraId="3F68FF5A" w14:textId="77777777">
        <w:tc>
          <w:tcPr>
            <w:tcW w:w="2263" w:type="dxa"/>
          </w:tcPr>
          <w:p w14:paraId="13165CEC" w14:textId="77777777" w:rsidR="00173F8E" w:rsidRPr="00167CB8" w:rsidRDefault="00173F8E">
            <w:r w:rsidRPr="00167CB8">
              <w:t>Dimension</w:t>
            </w:r>
          </w:p>
        </w:tc>
        <w:tc>
          <w:tcPr>
            <w:tcW w:w="6753" w:type="dxa"/>
          </w:tcPr>
          <w:p w14:paraId="5BF775A4" w14:textId="77777777" w:rsidR="00173F8E" w:rsidRPr="00167CB8" w:rsidRDefault="00173F8E">
            <w:r w:rsidRPr="00167CB8">
              <w:t>Definition</w:t>
            </w:r>
          </w:p>
        </w:tc>
      </w:tr>
      <w:tr w:rsidR="00173F8E" w:rsidRPr="00167CB8" w14:paraId="7D0D4983" w14:textId="77777777">
        <w:tc>
          <w:tcPr>
            <w:tcW w:w="2263" w:type="dxa"/>
          </w:tcPr>
          <w:p w14:paraId="3A18F351" w14:textId="77777777" w:rsidR="00173F8E" w:rsidRPr="00167CB8" w:rsidRDefault="00173F8E">
            <w:r w:rsidRPr="00167CB8">
              <w:t>Status</w:t>
            </w:r>
          </w:p>
        </w:tc>
        <w:tc>
          <w:tcPr>
            <w:tcW w:w="6753" w:type="dxa"/>
          </w:tcPr>
          <w:p w14:paraId="6A3B392C" w14:textId="77777777" w:rsidR="00173F8E" w:rsidRPr="00167CB8" w:rsidRDefault="00173F8E">
            <w:r w:rsidRPr="00167CB8">
              <w:t>The degree of formality in bargaining and/or agreements, which is heavily influenced by the law.</w:t>
            </w:r>
          </w:p>
        </w:tc>
      </w:tr>
      <w:tr w:rsidR="00173F8E" w:rsidRPr="00167CB8" w14:paraId="68B4C379" w14:textId="77777777">
        <w:tc>
          <w:tcPr>
            <w:tcW w:w="2263" w:type="dxa"/>
          </w:tcPr>
          <w:p w14:paraId="01CA2273" w14:textId="77777777" w:rsidR="00173F8E" w:rsidRPr="00167CB8" w:rsidRDefault="00173F8E">
            <w:r w:rsidRPr="00167CB8">
              <w:t>Level</w:t>
            </w:r>
          </w:p>
        </w:tc>
        <w:tc>
          <w:tcPr>
            <w:tcW w:w="6753" w:type="dxa"/>
          </w:tcPr>
          <w:p w14:paraId="429852FE" w14:textId="77777777" w:rsidR="00173F8E" w:rsidRPr="00167CB8" w:rsidRDefault="00173F8E">
            <w:r w:rsidRPr="00167CB8">
              <w:t>The degree of aggregation in bargaining and/or agreements, which indicates the degree of centralisation or decentralisation.</w:t>
            </w:r>
          </w:p>
        </w:tc>
      </w:tr>
      <w:tr w:rsidR="00173F8E" w:rsidRPr="00167CB8" w14:paraId="40DF9E3E" w14:textId="77777777">
        <w:tc>
          <w:tcPr>
            <w:tcW w:w="2263" w:type="dxa"/>
          </w:tcPr>
          <w:p w14:paraId="79BBEAB2" w14:textId="77777777" w:rsidR="00173F8E" w:rsidRPr="00167CB8" w:rsidRDefault="00173F8E">
            <w:r w:rsidRPr="00167CB8">
              <w:t>Parties or agents</w:t>
            </w:r>
          </w:p>
        </w:tc>
        <w:tc>
          <w:tcPr>
            <w:tcW w:w="6753" w:type="dxa"/>
          </w:tcPr>
          <w:p w14:paraId="3927A487" w14:textId="77777777" w:rsidR="00173F8E" w:rsidRPr="00167CB8" w:rsidRDefault="00173F8E">
            <w:r w:rsidRPr="00167CB8">
              <w:t>Employers or employees (and/or the individuals or organisations that represent them) in the bargaining or agreement.</w:t>
            </w:r>
          </w:p>
        </w:tc>
      </w:tr>
      <w:tr w:rsidR="00173F8E" w:rsidRPr="00167CB8" w14:paraId="4C6D9B39" w14:textId="77777777">
        <w:tc>
          <w:tcPr>
            <w:tcW w:w="2263" w:type="dxa"/>
          </w:tcPr>
          <w:p w14:paraId="5DC68A23" w14:textId="77777777" w:rsidR="00173F8E" w:rsidRPr="00167CB8" w:rsidRDefault="00173F8E">
            <w:r w:rsidRPr="00167CB8">
              <w:t xml:space="preserve">Incidence and coverage </w:t>
            </w:r>
          </w:p>
        </w:tc>
        <w:tc>
          <w:tcPr>
            <w:tcW w:w="6753" w:type="dxa"/>
          </w:tcPr>
          <w:p w14:paraId="24AE43D9" w14:textId="77777777" w:rsidR="00173F8E" w:rsidRPr="00167CB8" w:rsidRDefault="00173F8E">
            <w:r w:rsidRPr="00167CB8">
              <w:t>The number of collective agreements at various levels and the proportions of the workforce covered by them.</w:t>
            </w:r>
          </w:p>
        </w:tc>
      </w:tr>
      <w:tr w:rsidR="00173F8E" w:rsidRPr="00167CB8" w14:paraId="4AC99062" w14:textId="77777777">
        <w:tc>
          <w:tcPr>
            <w:tcW w:w="2263" w:type="dxa"/>
          </w:tcPr>
          <w:p w14:paraId="23E8A6CF" w14:textId="77777777" w:rsidR="00173F8E" w:rsidRPr="00167CB8" w:rsidRDefault="00173F8E">
            <w:r w:rsidRPr="00167CB8">
              <w:t>Outcomes</w:t>
            </w:r>
          </w:p>
        </w:tc>
        <w:tc>
          <w:tcPr>
            <w:tcW w:w="6753" w:type="dxa"/>
          </w:tcPr>
          <w:p w14:paraId="2F542985" w14:textId="77777777" w:rsidR="00173F8E" w:rsidRPr="00167CB8" w:rsidRDefault="00173F8E">
            <w:r w:rsidRPr="00167CB8">
              <w:t>The procedures or substantive content of agreement, including wages, working conditions, industrial disputes, shares of national income and productivity.</w:t>
            </w:r>
          </w:p>
        </w:tc>
      </w:tr>
    </w:tbl>
    <w:p w14:paraId="31B4DADE" w14:textId="5660319B" w:rsidR="00173F8E" w:rsidRPr="00167CB8" w:rsidRDefault="00E03428" w:rsidP="00173F8E">
      <w:pPr>
        <w:pStyle w:val="Heading4"/>
      </w:pPr>
      <w:bookmarkStart w:id="151" w:name="_Toc189260218"/>
      <w:bookmarkStart w:id="152" w:name="_Toc189393534"/>
      <w:r w:rsidRPr="00167CB8">
        <w:t>8</w:t>
      </w:r>
      <w:r w:rsidR="00173F8E" w:rsidRPr="00167CB8">
        <w:t>.2 Collective bargaining before the Fair Work Act 2009</w:t>
      </w:r>
      <w:bookmarkEnd w:id="151"/>
      <w:bookmarkEnd w:id="152"/>
    </w:p>
    <w:p w14:paraId="023D3345" w14:textId="0261850B" w:rsidR="00173F8E" w:rsidRPr="00167CB8" w:rsidRDefault="00173F8E" w:rsidP="00173F8E">
      <w:r w:rsidRPr="00167CB8">
        <w:t>Before the 1990s, collective bargaining was common in Australia, but it took place as part of a system of compulsory conciliation and arbitration.</w:t>
      </w:r>
      <w:r w:rsidRPr="00167CB8">
        <w:rPr>
          <w:rStyle w:val="FootnoteReference"/>
        </w:rPr>
        <w:footnoteReference w:id="213"/>
      </w:r>
      <w:r w:rsidRPr="00167CB8">
        <w:t xml:space="preserve"> Collective bargaining came in </w:t>
      </w:r>
      <w:r w:rsidR="004C3BA5" w:rsidRPr="00167CB8">
        <w:t xml:space="preserve">2 </w:t>
      </w:r>
      <w:r w:rsidRPr="00167CB8">
        <w:t>forms:</w:t>
      </w:r>
      <w:r w:rsidR="00093B40" w:rsidRPr="00167CB8">
        <w:rPr>
          <w:rStyle w:val="FootnoteReference"/>
        </w:rPr>
        <w:footnoteReference w:id="214"/>
      </w:r>
    </w:p>
    <w:p w14:paraId="00E48F86" w14:textId="72399783" w:rsidR="00173F8E" w:rsidRPr="00167CB8" w:rsidRDefault="00173F8E" w:rsidP="00EA3E2F">
      <w:pPr>
        <w:pStyle w:val="ListBullet"/>
      </w:pPr>
      <w:r w:rsidRPr="00167CB8">
        <w:t>‘within’ the system of conciliation and arbitration, as part of the complex process by which awards were made and varied</w:t>
      </w:r>
    </w:p>
    <w:p w14:paraId="5B62B6A9" w14:textId="77777777" w:rsidR="00173F8E" w:rsidRPr="00167CB8" w:rsidRDefault="00173F8E" w:rsidP="00EA3E2F">
      <w:pPr>
        <w:pStyle w:val="ListBullet"/>
      </w:pPr>
      <w:r w:rsidRPr="00167CB8">
        <w:t>‘outside’ the system, focused on creating wages and working conditions that were superior to those embedded in awards.</w:t>
      </w:r>
    </w:p>
    <w:p w14:paraId="75065DF5" w14:textId="7A345D43" w:rsidR="00173F8E" w:rsidRPr="00167CB8" w:rsidRDefault="00173F8E" w:rsidP="00173F8E">
      <w:r w:rsidRPr="00167CB8">
        <w:t>Both these forms of collective bargaining were relatively informal and ‘under the shadow’ of the industrial tribunals, since awards were the formal mechanisms determining wages and working conditions. Collective bargaining brought a degree of flexibility and decentralisation to a system that was mostly centralised, although the importance of decentralised collective bargaining varied over time and across industries.</w:t>
      </w:r>
      <w:r w:rsidR="00093B40" w:rsidRPr="00167CB8">
        <w:rPr>
          <w:rStyle w:val="FootnoteReference"/>
        </w:rPr>
        <w:footnoteReference w:id="215"/>
      </w:r>
      <w:r w:rsidRPr="00167CB8">
        <w:t xml:space="preserve"> Unions were the sole employee representatives </w:t>
      </w:r>
      <w:r w:rsidR="00B244E4" w:rsidRPr="00167CB8">
        <w:t xml:space="preserve">that </w:t>
      </w:r>
      <w:r w:rsidRPr="00167CB8">
        <w:t xml:space="preserve">were engaged with employers in making collective agreements. Satisfaction with this pre-1990 regime was broadly confirmed by the Hancock </w:t>
      </w:r>
      <w:r w:rsidR="00B168B2" w:rsidRPr="00167CB8">
        <w:t>R</w:t>
      </w:r>
      <w:r w:rsidRPr="00167CB8">
        <w:t>eport and new legislation passed by parliament in 1988.</w:t>
      </w:r>
    </w:p>
    <w:p w14:paraId="104F74AC" w14:textId="45EAD724" w:rsidR="00173F8E" w:rsidRPr="00167CB8" w:rsidRDefault="00173F8E" w:rsidP="00173F8E">
      <w:r w:rsidRPr="00167CB8">
        <w:t xml:space="preserve">The period between 1988 and the enactment of the Fair Work Act in 2009, however, saw Australian labour law change dramatically, respectively producing </w:t>
      </w:r>
      <w:r w:rsidR="001920EF" w:rsidRPr="00167CB8">
        <w:t xml:space="preserve">3 </w:t>
      </w:r>
      <w:r w:rsidRPr="00167CB8">
        <w:t xml:space="preserve">defining statutes: the </w:t>
      </w:r>
      <w:r w:rsidRPr="00167CB8">
        <w:rPr>
          <w:i/>
          <w:iCs/>
        </w:rPr>
        <w:t>Industrial Relations Reform Act 1993</w:t>
      </w:r>
      <w:r w:rsidR="00B244E4" w:rsidRPr="00167CB8">
        <w:t xml:space="preserve"> (Cth)</w:t>
      </w:r>
      <w:r w:rsidRPr="00167CB8">
        <w:t xml:space="preserve">; the </w:t>
      </w:r>
      <w:r w:rsidRPr="00167CB8">
        <w:rPr>
          <w:i/>
          <w:iCs/>
        </w:rPr>
        <w:t>Workplace Relations Act 1996</w:t>
      </w:r>
      <w:r w:rsidR="00B244E4" w:rsidRPr="00167CB8">
        <w:t xml:space="preserve"> (Cth)</w:t>
      </w:r>
      <w:r w:rsidRPr="00167CB8">
        <w:t xml:space="preserve">; and the </w:t>
      </w:r>
      <w:r w:rsidRPr="00167CB8">
        <w:rPr>
          <w:i/>
          <w:iCs/>
        </w:rPr>
        <w:t>Workplace Relations (Work Choices) Amendment Act 2005</w:t>
      </w:r>
      <w:r w:rsidR="00B244E4" w:rsidRPr="00167CB8">
        <w:t xml:space="preserve"> (Cth)</w:t>
      </w:r>
      <w:r w:rsidRPr="00167CB8">
        <w:t>.</w:t>
      </w:r>
    </w:p>
    <w:p w14:paraId="533B96EA" w14:textId="307CA218" w:rsidR="00173F8E" w:rsidRPr="00167CB8" w:rsidRDefault="00173F8E" w:rsidP="00173F8E">
      <w:r w:rsidRPr="00167CB8">
        <w:t xml:space="preserve">There were some similarities between the labour law regimes resulting from these legislative changes, especially relating to collective bargaining as a process for determining wages and </w:t>
      </w:r>
      <w:r w:rsidRPr="00167CB8">
        <w:lastRenderedPageBreak/>
        <w:t xml:space="preserve">working conditions. For example, in contrast to the pre-1990s period, each regime saw collective bargaining as a formal process for determining wages and working conditions, albeit just one amongst several different formal processes (others including award-making and individual bargaining). Both sides of politics broadly considered that collective bargaining should be decentralised to at least the enterprise level. Interestingly, both the Labor and </w:t>
      </w:r>
      <w:r w:rsidR="00B244E4" w:rsidRPr="00167CB8">
        <w:t>C</w:t>
      </w:r>
      <w:r w:rsidRPr="00167CB8">
        <w:t>oalition governments also supported a combination of union and non-union forms of collective bargaining, albeit for different reasons.</w:t>
      </w:r>
      <w:r w:rsidR="00093B40" w:rsidRPr="00167CB8">
        <w:rPr>
          <w:rStyle w:val="FootnoteReference"/>
        </w:rPr>
        <w:footnoteReference w:id="216"/>
      </w:r>
      <w:r w:rsidRPr="00167CB8">
        <w:t xml:space="preserve"> Finally, both sides expected enterprise agreements to replace awards rather than supplement them, even if the relationship between collective agreements and minimum standards provided in awards varied according to the government in power.</w:t>
      </w:r>
      <w:r w:rsidRPr="00167CB8">
        <w:rPr>
          <w:rStyle w:val="FootnoteReference"/>
        </w:rPr>
        <w:footnoteReference w:id="217"/>
      </w:r>
    </w:p>
    <w:p w14:paraId="30198432" w14:textId="644A9FAC" w:rsidR="00173F8E" w:rsidRPr="00167CB8" w:rsidRDefault="00173F8E" w:rsidP="00173F8E">
      <w:r w:rsidRPr="00167CB8">
        <w:t xml:space="preserve">Despite these similarities, it is differences between these </w:t>
      </w:r>
      <w:r w:rsidR="00453C12" w:rsidRPr="00167CB8">
        <w:t xml:space="preserve">3 </w:t>
      </w:r>
      <w:r w:rsidRPr="00167CB8">
        <w:t>labour law regimes that are most often emphasised because each regime embodied different ideas held by the political parties about how to govern Australian industrial relations. Much of this disagreement focused on the respective roles of unions and industrial tribunals.</w:t>
      </w:r>
      <w:r w:rsidR="00093B40" w:rsidRPr="00167CB8">
        <w:rPr>
          <w:rStyle w:val="FootnoteReference"/>
        </w:rPr>
        <w:footnoteReference w:id="218"/>
      </w:r>
      <w:r w:rsidRPr="00167CB8">
        <w:t xml:space="preserve"> Particularly important were differences over the priority given to collective bargaining compared to other processes and the legal rules governing collective bargaining.</w:t>
      </w:r>
      <w:r w:rsidR="00093B40" w:rsidRPr="00167CB8">
        <w:rPr>
          <w:rStyle w:val="FootnoteReference"/>
        </w:rPr>
        <w:footnoteReference w:id="219"/>
      </w:r>
      <w:r w:rsidRPr="00167CB8">
        <w:t xml:space="preserve"> There was little doubt, for example, that the 1993 amendments privileged collective bargaining undertaken between employers and unions, while the 2005 Work Choices amendments (and, to a lesser extent, the </w:t>
      </w:r>
      <w:r w:rsidR="00B244E4" w:rsidRPr="00167CB8">
        <w:rPr>
          <w:i/>
          <w:iCs/>
        </w:rPr>
        <w:t xml:space="preserve">Workplace Relations </w:t>
      </w:r>
      <w:r w:rsidRPr="00167CB8">
        <w:rPr>
          <w:i/>
          <w:iCs/>
        </w:rPr>
        <w:t>Act</w:t>
      </w:r>
      <w:r w:rsidR="00B244E4" w:rsidRPr="00167CB8">
        <w:rPr>
          <w:i/>
          <w:iCs/>
        </w:rPr>
        <w:t xml:space="preserve"> 1996</w:t>
      </w:r>
      <w:r w:rsidRPr="00167CB8">
        <w:t xml:space="preserve">) privileged individual and non-union collective processes. </w:t>
      </w:r>
    </w:p>
    <w:p w14:paraId="5DF14F4C" w14:textId="1D15F90A" w:rsidR="00173F8E" w:rsidRPr="00167CB8" w:rsidRDefault="005D145F" w:rsidP="005D145F">
      <w:pPr>
        <w:pStyle w:val="Heading4"/>
        <w:rPr>
          <w:b w:val="0"/>
        </w:rPr>
      </w:pPr>
      <w:bookmarkStart w:id="153" w:name="_Toc189260219"/>
      <w:bookmarkStart w:id="154" w:name="_Toc189393535"/>
      <w:r>
        <w:t xml:space="preserve">8.3 </w:t>
      </w:r>
      <w:r w:rsidR="00173F8E" w:rsidRPr="00167CB8">
        <w:t>Collective bargaining under the Fair Work Act, 2009</w:t>
      </w:r>
      <w:r w:rsidR="00453C12" w:rsidRPr="00167CB8">
        <w:rPr>
          <w:rFonts w:ascii="Symbol" w:eastAsia="Symbol" w:hAnsi="Symbol" w:cs="Symbol"/>
        </w:rPr>
        <w:sym w:font="Symbol" w:char="F02D"/>
      </w:r>
      <w:r w:rsidR="00173F8E" w:rsidRPr="00167CB8">
        <w:t>2022</w:t>
      </w:r>
      <w:bookmarkEnd w:id="153"/>
      <w:bookmarkEnd w:id="154"/>
    </w:p>
    <w:p w14:paraId="0D7C0E59" w14:textId="0CDFB5C1" w:rsidR="00173F8E" w:rsidRPr="00167CB8" w:rsidRDefault="00173F8E" w:rsidP="00173F8E">
      <w:r w:rsidRPr="00167CB8">
        <w:t xml:space="preserve">Following this turbulent 20-year period, the Fair Work Act was established by the Rudd-led Labor government in 2009. From the beginning, however, the Fair Work Act was </w:t>
      </w:r>
      <w:r w:rsidR="00453C12" w:rsidRPr="00167CB8">
        <w:t>‘</w:t>
      </w:r>
      <w:r w:rsidRPr="00167CB8">
        <w:t>peculiar</w:t>
      </w:r>
      <w:r w:rsidR="00453C12" w:rsidRPr="00167CB8">
        <w:t>’</w:t>
      </w:r>
      <w:r w:rsidRPr="00167CB8">
        <w:t>,</w:t>
      </w:r>
      <w:r w:rsidR="00093B40" w:rsidRPr="00167CB8">
        <w:rPr>
          <w:rStyle w:val="FootnoteReference"/>
        </w:rPr>
        <w:footnoteReference w:id="220"/>
      </w:r>
      <w:r w:rsidRPr="00167CB8">
        <w:t xml:space="preserve"> bringing an unusual mixture of continuity and change, individualism and collectivism, voluntarism and compulsion. </w:t>
      </w:r>
    </w:p>
    <w:p w14:paraId="6B3F29D9" w14:textId="7D4C72F1" w:rsidR="00173F8E" w:rsidRPr="00167CB8" w:rsidRDefault="00173F8E" w:rsidP="00173F8E">
      <w:r w:rsidRPr="00167CB8">
        <w:t>Despite the political differences between the major political parties, for example, the originating Fair Work Act continued a number of features from the preceding Work Choices regime, including provisions restricting industrial action, union right of entry and freedom of association.</w:t>
      </w:r>
      <w:r w:rsidR="00093B40" w:rsidRPr="00167CB8">
        <w:rPr>
          <w:rStyle w:val="FootnoteReference"/>
        </w:rPr>
        <w:footnoteReference w:id="221"/>
      </w:r>
      <w:r w:rsidRPr="00167CB8">
        <w:t xml:space="preserve"> Moreover, between 2009 and 2022, the originating Act was amended only 17 times and the fundamentals of the legislation – and</w:t>
      </w:r>
      <w:r w:rsidR="00B244E4" w:rsidRPr="00167CB8">
        <w:t>,</w:t>
      </w:r>
      <w:r w:rsidRPr="00167CB8">
        <w:t xml:space="preserve"> in particular</w:t>
      </w:r>
      <w:r w:rsidR="00B244E4" w:rsidRPr="00167CB8">
        <w:t>,</w:t>
      </w:r>
      <w:r w:rsidRPr="00167CB8">
        <w:t xml:space="preserve"> the regulation of collective bargaining – remained essentially the same. </w:t>
      </w:r>
    </w:p>
    <w:p w14:paraId="7135488A" w14:textId="7DB80FBD" w:rsidR="00173F8E" w:rsidRPr="00167CB8" w:rsidRDefault="00173F8E" w:rsidP="00173F8E">
      <w:r w:rsidRPr="00167CB8">
        <w:lastRenderedPageBreak/>
        <w:t>This legislative stability, however, was not the result of political consensus between the major political parties over industrial relations. They continued to disagree significantly on how the labour market should be regulated.</w:t>
      </w:r>
      <w:r w:rsidR="00093B40" w:rsidRPr="00167CB8">
        <w:rPr>
          <w:rStyle w:val="FootnoteReference"/>
        </w:rPr>
        <w:footnoteReference w:id="222"/>
      </w:r>
      <w:r w:rsidRPr="00167CB8">
        <w:t xml:space="preserve"> Rather, stability reflected </w:t>
      </w:r>
      <w:r w:rsidR="00453C12" w:rsidRPr="00167CB8">
        <w:t xml:space="preserve">2 </w:t>
      </w:r>
      <w:r w:rsidRPr="00167CB8">
        <w:t>key elements. First, there seemed to be an unwillingness on both sides to engage in further reform: Labor governments introduced only a few amendments to the Act before they lost power in 2013, most of these amendments representing the less controversial recommendations of the major review of the Act in 2012.</w:t>
      </w:r>
      <w:r w:rsidR="00093B40" w:rsidRPr="00167CB8">
        <w:rPr>
          <w:rStyle w:val="FootnoteReference"/>
        </w:rPr>
        <w:footnoteReference w:id="223"/>
      </w:r>
      <w:r w:rsidRPr="00167CB8">
        <w:t xml:space="preserve"> Later, Coalition governments rarely sought to raise industrial relations issues or amend the legislation, apparently because they were cautious about the negative political consequences they experienced in the 2007 election. Second, the relative legislative stability also reflected political deadlock, in which neither Labor governments (2007</w:t>
      </w:r>
      <w:r w:rsidR="00453C12" w:rsidRPr="00167CB8">
        <w:rPr>
          <w:rFonts w:ascii="Symbol" w:eastAsia="Symbol" w:hAnsi="Symbol" w:cs="Symbol"/>
        </w:rPr>
        <w:sym w:font="Symbol" w:char="F02D"/>
      </w:r>
      <w:r w:rsidRPr="00167CB8">
        <w:t>2013) nor Coalition governments (2013</w:t>
      </w:r>
      <w:r w:rsidR="00453C12" w:rsidRPr="00167CB8">
        <w:rPr>
          <w:rFonts w:ascii="Symbol" w:eastAsia="Symbol" w:hAnsi="Symbol" w:cs="Symbol"/>
        </w:rPr>
        <w:sym w:font="Symbol" w:char="F02D"/>
      </w:r>
      <w:r w:rsidRPr="00167CB8">
        <w:t>2022) had the capacity to unilaterally amend the Act without majority numbers in both houses of federal parliament.</w:t>
      </w:r>
    </w:p>
    <w:p w14:paraId="242CC6C1" w14:textId="36DCFE66" w:rsidR="00173F8E" w:rsidRPr="00167CB8" w:rsidRDefault="00E03428" w:rsidP="00173F8E">
      <w:pPr>
        <w:pStyle w:val="Heading5"/>
      </w:pPr>
      <w:r w:rsidRPr="00167CB8">
        <w:t>8</w:t>
      </w:r>
      <w:r w:rsidR="00173F8E" w:rsidRPr="00167CB8">
        <w:t>.3.1 Status</w:t>
      </w:r>
    </w:p>
    <w:p w14:paraId="64D18DE3" w14:textId="5C15C68A" w:rsidR="00173F8E" w:rsidRPr="00167CB8" w:rsidRDefault="00173F8E" w:rsidP="00173F8E">
      <w:r w:rsidRPr="00167CB8">
        <w:t>The formal status of collective bargaining under the F</w:t>
      </w:r>
      <w:r w:rsidR="00B244E4" w:rsidRPr="00167CB8">
        <w:t xml:space="preserve">air </w:t>
      </w:r>
      <w:r w:rsidRPr="00167CB8">
        <w:t>W</w:t>
      </w:r>
      <w:r w:rsidR="00B244E4" w:rsidRPr="00167CB8">
        <w:t>ork</w:t>
      </w:r>
      <w:r w:rsidRPr="00167CB8">
        <w:t xml:space="preserve"> Act continued the post-1993 tradition, in which collective bargaining had become closely regulated by the law. Employers were legally obliged to recognise employee bargaining representatives in the making of collective agreements. The parties to bargaining and their representatives needed to abide by extensive procedural rules, which were mostly supervised by the </w:t>
      </w:r>
      <w:r w:rsidR="00B244E4" w:rsidRPr="00167CB8">
        <w:t>Fair Work Commission (</w:t>
      </w:r>
      <w:r w:rsidRPr="00167CB8">
        <w:t>FWC</w:t>
      </w:r>
      <w:r w:rsidR="00B244E4" w:rsidRPr="00167CB8">
        <w:t>)</w:t>
      </w:r>
      <w:r w:rsidRPr="00167CB8">
        <w:t>. Collective agreements, which were the outcome of collective bargaining, gained legally</w:t>
      </w:r>
      <w:r w:rsidR="00453C12" w:rsidRPr="00167CB8">
        <w:t xml:space="preserve"> </w:t>
      </w:r>
      <w:r w:rsidRPr="00167CB8">
        <w:t>binding status only after being approved by the FWC. One of the key requirements for the approval of collective agreements was that they passed a quite technical and legalistic test – in the form of a ‘no disadvantage test’ or its equivalent. Finally, the capacity of the parties to take industrial action during collective bargaining was strictly limited by the law.</w:t>
      </w:r>
      <w:r w:rsidR="00093B40" w:rsidRPr="00167CB8">
        <w:rPr>
          <w:rStyle w:val="FootnoteReference"/>
        </w:rPr>
        <w:footnoteReference w:id="224"/>
      </w:r>
      <w:r w:rsidRPr="00167CB8">
        <w:t xml:space="preserve"> </w:t>
      </w:r>
    </w:p>
    <w:p w14:paraId="563D2B02" w14:textId="6B3F318D" w:rsidR="00173F8E" w:rsidRPr="00167CB8" w:rsidRDefault="00173F8E" w:rsidP="00173F8E">
      <w:r w:rsidRPr="00167CB8">
        <w:t>The formal status of collective bargaining was reinforced by the attitudes and behaviours of the parties; what Pohler called the ‘social norms’ surrounding collective bargaining.</w:t>
      </w:r>
      <w:r w:rsidR="00093B40" w:rsidRPr="00167CB8">
        <w:rPr>
          <w:rStyle w:val="FootnoteReference"/>
        </w:rPr>
        <w:footnoteReference w:id="225"/>
      </w:r>
      <w:r w:rsidRPr="00167CB8">
        <w:t xml:space="preserve"> In Australia, with a strong adversarial tradition in industrial relations and in politics, the law was considered vital by all parties</w:t>
      </w:r>
      <w:r w:rsidR="00453C12" w:rsidRPr="00167CB8">
        <w:t>,</w:t>
      </w:r>
      <w:r w:rsidRPr="00167CB8">
        <w:t xml:space="preserve"> as it deeply influenced their behaviours in the bargaining process.</w:t>
      </w:r>
      <w:r w:rsidR="00093B40" w:rsidRPr="00167CB8">
        <w:rPr>
          <w:rStyle w:val="FootnoteReference"/>
        </w:rPr>
        <w:footnoteReference w:id="226"/>
      </w:r>
      <w:r w:rsidRPr="00167CB8">
        <w:t xml:space="preserve"> Moreover, whenever the parties to bargaining were dissatisfied with some aspect of bargaining, they frequently chose not to change their behaviours but instead focused their energies on seeking to change the law. This legal strategy took </w:t>
      </w:r>
      <w:r w:rsidR="00453C12" w:rsidRPr="00167CB8">
        <w:t xml:space="preserve">2 </w:t>
      </w:r>
      <w:r w:rsidRPr="00167CB8">
        <w:t>main forms. First, the parties engaged in political lobbying, aiming to change legislation.</w:t>
      </w:r>
      <w:r w:rsidR="00093B40" w:rsidRPr="00167CB8">
        <w:rPr>
          <w:rStyle w:val="FootnoteReference"/>
        </w:rPr>
        <w:footnoteReference w:id="227"/>
      </w:r>
      <w:r w:rsidRPr="00167CB8">
        <w:t xml:space="preserve"> Second, in the event of being unable to change the legislation, the parties often sought to change the law in another way – that is, by launching litigation in courts and tribunals. Some commentators argued that success in these legal actions between 2012 and 2022 led to changes in the law of collective bargaining that </w:t>
      </w:r>
      <w:r w:rsidRPr="00167CB8">
        <w:lastRenderedPageBreak/>
        <w:t xml:space="preserve">advantaged employers, contributed to significant declines in the incidence and coverage of collective agreements, and ultimately prompted the legislative amendments that are the subject of this </w:t>
      </w:r>
      <w:r w:rsidR="00093B40" w:rsidRPr="00167CB8">
        <w:t>R</w:t>
      </w:r>
      <w:r w:rsidRPr="00167CB8">
        <w:t>eview.</w:t>
      </w:r>
      <w:r w:rsidR="00093B40" w:rsidRPr="00167CB8">
        <w:rPr>
          <w:rStyle w:val="FootnoteReference"/>
        </w:rPr>
        <w:footnoteReference w:id="228"/>
      </w:r>
    </w:p>
    <w:p w14:paraId="03A7DB00" w14:textId="5AC52788" w:rsidR="00173F8E" w:rsidRPr="00167CB8" w:rsidRDefault="00173F8E" w:rsidP="00173F8E">
      <w:r w:rsidRPr="00167CB8">
        <w:t>In many countries, and at different times in Australia, these aspects of collective bargaining were not as formally or legally regulated as they were under the F</w:t>
      </w:r>
      <w:r w:rsidR="00B244E4" w:rsidRPr="00167CB8">
        <w:t xml:space="preserve">air </w:t>
      </w:r>
      <w:r w:rsidRPr="00167CB8">
        <w:t>W</w:t>
      </w:r>
      <w:r w:rsidR="00B244E4" w:rsidRPr="00167CB8">
        <w:t>ork</w:t>
      </w:r>
      <w:r w:rsidRPr="00167CB8">
        <w:t xml:space="preserve"> Act. The classic comparative example of collective bargaining without extensive legal regulation was the ‘voluntarist’ system in the United Kingdom before the 1980s.</w:t>
      </w:r>
      <w:r w:rsidR="00093B40" w:rsidRPr="00167CB8">
        <w:rPr>
          <w:rStyle w:val="FootnoteReference"/>
        </w:rPr>
        <w:footnoteReference w:id="229"/>
      </w:r>
      <w:r w:rsidRPr="00167CB8">
        <w:t xml:space="preserve"> Denmark,</w:t>
      </w:r>
      <w:r w:rsidR="00093B40" w:rsidRPr="00167CB8">
        <w:rPr>
          <w:rStyle w:val="FootnoteReference"/>
        </w:rPr>
        <w:footnoteReference w:id="230"/>
      </w:r>
      <w:r w:rsidRPr="00167CB8">
        <w:t xml:space="preserve"> New Zealand</w:t>
      </w:r>
      <w:r w:rsidR="00093B40" w:rsidRPr="00167CB8">
        <w:rPr>
          <w:rStyle w:val="FootnoteReference"/>
        </w:rPr>
        <w:footnoteReference w:id="231"/>
      </w:r>
      <w:r w:rsidRPr="00167CB8">
        <w:t xml:space="preserve"> and Ireland</w:t>
      </w:r>
      <w:r w:rsidR="00093B40" w:rsidRPr="00167CB8">
        <w:rPr>
          <w:rStyle w:val="FootnoteReference"/>
        </w:rPr>
        <w:footnoteReference w:id="232"/>
      </w:r>
      <w:r w:rsidRPr="00167CB8">
        <w:t xml:space="preserve"> also have bargaining systems that are significantly less legalistic than Australia’s. Collective bargaining in Australia was certainly far less formal and legalistic before the 1990s.</w:t>
      </w:r>
    </w:p>
    <w:p w14:paraId="5989385C" w14:textId="67CE7C7A" w:rsidR="00173F8E" w:rsidRPr="00167CB8" w:rsidRDefault="00173F8E" w:rsidP="00173F8E">
      <w:r w:rsidRPr="00167CB8">
        <w:t>The formal status of the collective bargaining in Australia under the F</w:t>
      </w:r>
      <w:r w:rsidR="00B244E4" w:rsidRPr="00167CB8">
        <w:t xml:space="preserve">air </w:t>
      </w:r>
      <w:r w:rsidRPr="00167CB8">
        <w:t>W</w:t>
      </w:r>
      <w:r w:rsidR="00B244E4" w:rsidRPr="00167CB8">
        <w:t>ork</w:t>
      </w:r>
      <w:r w:rsidRPr="00167CB8">
        <w:t xml:space="preserve"> Act can therefore be considered ‘distinctive’.</w:t>
      </w:r>
      <w:r w:rsidR="00093B40" w:rsidRPr="00167CB8">
        <w:rPr>
          <w:rStyle w:val="FootnoteReference"/>
        </w:rPr>
        <w:footnoteReference w:id="233"/>
      </w:r>
      <w:r w:rsidRPr="00167CB8">
        <w:t xml:space="preserve"> This begs the question of why</w:t>
      </w:r>
      <w:r w:rsidR="00453C12" w:rsidRPr="00167CB8">
        <w:t>.</w:t>
      </w:r>
      <w:r w:rsidRPr="00167CB8">
        <w:t xml:space="preserve"> Two factors may be part of the explanation. The first is historical: the state has been central to economic development generally, and industrial relations more specifically, since the establishment of European settlement in Australia.</w:t>
      </w:r>
      <w:r w:rsidR="00093B40" w:rsidRPr="00167CB8">
        <w:rPr>
          <w:rStyle w:val="FootnoteReference"/>
        </w:rPr>
        <w:footnoteReference w:id="234"/>
      </w:r>
      <w:r w:rsidRPr="00167CB8">
        <w:t xml:space="preserve"> The entrenchment of enterprise bargaining as a system during the 1990s arguably represented a move away from the state – promoted by the popularity of neoliberal ideas and policy frameworks – but perhaps the form of enterprise bargaining was inevitably influenced by the long history of state regulation in Australia.</w:t>
      </w:r>
    </w:p>
    <w:p w14:paraId="00440575" w14:textId="0E1EE9C8" w:rsidR="00173F8E" w:rsidRPr="00167CB8" w:rsidRDefault="00173F8E" w:rsidP="00173F8E">
      <w:r w:rsidRPr="00167CB8">
        <w:t>A second potential factor is the intense adversarialism of industrial relations and politics in Australia: when the main parties – both industrial relations and political – distrust each other, they tend to seek highly</w:t>
      </w:r>
      <w:r w:rsidR="00453C12" w:rsidRPr="00167CB8">
        <w:t xml:space="preserve"> </w:t>
      </w:r>
      <w:r w:rsidRPr="00167CB8">
        <w:t>prescriptive rules to regulate behaviours. This adversarialism was evident during the 19th century, most conspicuously in the great strikes of the 1890s, but it was somewhat hidden during much of the 20th century by the broad policy consensus over the necessity of compulsory conciliation and arbitration. Adversarialism re-emerged from the 1980s onwards</w:t>
      </w:r>
      <w:r w:rsidR="00093B40" w:rsidRPr="00167CB8">
        <w:rPr>
          <w:rStyle w:val="FootnoteReference"/>
        </w:rPr>
        <w:footnoteReference w:id="235"/>
      </w:r>
      <w:r w:rsidRPr="00167CB8">
        <w:t xml:space="preserve"> and became entrenched in the formal foundations of industrial relations as they were reformed from the 1990s onwards.</w:t>
      </w:r>
    </w:p>
    <w:p w14:paraId="4C91F96C" w14:textId="0EEE50D2" w:rsidR="00173F8E" w:rsidRPr="00167CB8" w:rsidRDefault="00E03428" w:rsidP="00173F8E">
      <w:pPr>
        <w:pStyle w:val="Heading5"/>
      </w:pPr>
      <w:r w:rsidRPr="00167CB8">
        <w:t>8</w:t>
      </w:r>
      <w:r w:rsidR="00173F8E" w:rsidRPr="00167CB8">
        <w:t>.3.2 Level</w:t>
      </w:r>
    </w:p>
    <w:p w14:paraId="171A8C9D" w14:textId="61CD6AFF" w:rsidR="00173F8E" w:rsidRPr="00167CB8" w:rsidRDefault="00173F8E" w:rsidP="00B244E4">
      <w:r w:rsidRPr="00167CB8">
        <w:t>Conceptually, the level of collective bargaining focuses on the degree of aggregation, which varies from the individual workgroup through to a workplace or enterprise to the industry or a whole nation. The dominant level of collective bargaining in Australia under the F</w:t>
      </w:r>
      <w:r w:rsidR="00B244E4" w:rsidRPr="00167CB8">
        <w:t xml:space="preserve">air </w:t>
      </w:r>
      <w:r w:rsidRPr="00167CB8">
        <w:t>W</w:t>
      </w:r>
      <w:r w:rsidR="00B244E4" w:rsidRPr="00167CB8">
        <w:t>ork</w:t>
      </w:r>
      <w:r w:rsidRPr="00167CB8">
        <w:t xml:space="preserve"> Act was undoubtedly the single enterprise, which made Australia’s collective bargaining system highly decentralised. Over the decade preceding the amendments (i</w:t>
      </w:r>
      <w:r w:rsidR="00453C12" w:rsidRPr="00167CB8">
        <w:t>.</w:t>
      </w:r>
      <w:r w:rsidRPr="00167CB8">
        <w:t>e. 2013</w:t>
      </w:r>
      <w:r w:rsidR="00453C12" w:rsidRPr="00167CB8">
        <w:rPr>
          <w:rFonts w:ascii="Symbol" w:eastAsia="Symbol" w:hAnsi="Symbol" w:cs="Symbol"/>
        </w:rPr>
        <w:sym w:font="Symbol" w:char="F02D"/>
      </w:r>
      <w:r w:rsidRPr="00167CB8">
        <w:t xml:space="preserve">2022), data from the Department of Employment </w:t>
      </w:r>
      <w:r w:rsidR="00453C12" w:rsidRPr="00167CB8">
        <w:t xml:space="preserve">and </w:t>
      </w:r>
      <w:r w:rsidRPr="00167CB8">
        <w:t xml:space="preserve">Workplace Relations (DEWR) Workplace Agreements Database (WAD) indicates that in the federal system multi-employer agreements represented </w:t>
      </w:r>
      <w:r w:rsidRPr="00167CB8">
        <w:lastRenderedPageBreak/>
        <w:t>only 0.5% of all new agreements approved in the period and 3.4% of the total number of employees covered. This meant that over the 2013</w:t>
      </w:r>
      <w:r w:rsidR="00453C12" w:rsidRPr="00167CB8">
        <w:rPr>
          <w:rFonts w:ascii="Symbol" w:eastAsia="Symbol" w:hAnsi="Symbol" w:cs="Symbol"/>
        </w:rPr>
        <w:sym w:font="Symbol" w:char="F02D"/>
      </w:r>
      <w:r w:rsidRPr="00167CB8">
        <w:t>2022 period single-enterprise agreements respectively accounted for 99.5% of all new agreements and 96.6% of the employees covered by those agreements.</w:t>
      </w:r>
    </w:p>
    <w:p w14:paraId="709125DE" w14:textId="1940B981" w:rsidR="00173F8E" w:rsidRPr="00167CB8" w:rsidRDefault="00173F8E" w:rsidP="00470AB9">
      <w:pPr>
        <w:pStyle w:val="Caption"/>
      </w:pPr>
      <w:r w:rsidRPr="00167CB8">
        <w:t xml:space="preserve">Table </w:t>
      </w:r>
      <w:r w:rsidR="00A1613C" w:rsidRPr="00167CB8">
        <w:t>7:</w:t>
      </w:r>
      <w:r w:rsidR="00954041" w:rsidRPr="00167CB8">
        <w:t xml:space="preserve"> New single-enterprise and multi-enterprise agreements approved 2013-2022</w:t>
      </w:r>
    </w:p>
    <w:tbl>
      <w:tblPr>
        <w:tblStyle w:val="TableGrid"/>
        <w:tblW w:w="0" w:type="auto"/>
        <w:tblLook w:val="04A0" w:firstRow="1" w:lastRow="0" w:firstColumn="1" w:lastColumn="0" w:noHBand="0" w:noVBand="1"/>
      </w:tblPr>
      <w:tblGrid>
        <w:gridCol w:w="1803"/>
        <w:gridCol w:w="1803"/>
        <w:gridCol w:w="1803"/>
        <w:gridCol w:w="1803"/>
        <w:gridCol w:w="1804"/>
      </w:tblGrid>
      <w:tr w:rsidR="00173F8E" w:rsidRPr="00167CB8" w14:paraId="7DC94554" w14:textId="77777777">
        <w:tc>
          <w:tcPr>
            <w:tcW w:w="1803" w:type="dxa"/>
            <w:vMerge w:val="restart"/>
            <w:vAlign w:val="center"/>
          </w:tcPr>
          <w:p w14:paraId="0B66B6C1" w14:textId="77777777" w:rsidR="00173F8E" w:rsidRPr="00167CB8" w:rsidRDefault="00173F8E">
            <w:pPr>
              <w:jc w:val="center"/>
            </w:pPr>
            <w:r w:rsidRPr="00167CB8">
              <w:t>Years</w:t>
            </w:r>
          </w:p>
        </w:tc>
        <w:tc>
          <w:tcPr>
            <w:tcW w:w="3606" w:type="dxa"/>
            <w:gridSpan w:val="2"/>
            <w:vAlign w:val="center"/>
          </w:tcPr>
          <w:p w14:paraId="7E7DBC63" w14:textId="208E9B2B" w:rsidR="00173F8E" w:rsidRPr="00167CB8" w:rsidRDefault="00173F8E">
            <w:pPr>
              <w:jc w:val="center"/>
            </w:pPr>
            <w:r w:rsidRPr="00167CB8">
              <w:t>New single</w:t>
            </w:r>
            <w:r w:rsidR="00B244E4" w:rsidRPr="00167CB8">
              <w:t>-</w:t>
            </w:r>
            <w:r w:rsidRPr="00167CB8">
              <w:t>enterprise agreements approved</w:t>
            </w:r>
          </w:p>
        </w:tc>
        <w:tc>
          <w:tcPr>
            <w:tcW w:w="3607" w:type="dxa"/>
            <w:gridSpan w:val="2"/>
            <w:vAlign w:val="center"/>
          </w:tcPr>
          <w:p w14:paraId="38B11D99" w14:textId="77777777" w:rsidR="00173F8E" w:rsidRPr="00167CB8" w:rsidRDefault="00173F8E">
            <w:pPr>
              <w:jc w:val="center"/>
            </w:pPr>
            <w:r w:rsidRPr="00167CB8">
              <w:t>New multi-enterprise agreements approved</w:t>
            </w:r>
          </w:p>
        </w:tc>
      </w:tr>
      <w:tr w:rsidR="00173F8E" w:rsidRPr="00167CB8" w14:paraId="433251AD" w14:textId="77777777">
        <w:tc>
          <w:tcPr>
            <w:tcW w:w="1803" w:type="dxa"/>
            <w:vMerge/>
            <w:vAlign w:val="center"/>
          </w:tcPr>
          <w:p w14:paraId="2D75A40C" w14:textId="77777777" w:rsidR="00173F8E" w:rsidRPr="00167CB8" w:rsidRDefault="00173F8E">
            <w:pPr>
              <w:jc w:val="center"/>
            </w:pPr>
          </w:p>
        </w:tc>
        <w:tc>
          <w:tcPr>
            <w:tcW w:w="1803" w:type="dxa"/>
            <w:vAlign w:val="center"/>
          </w:tcPr>
          <w:p w14:paraId="15233601" w14:textId="77777777" w:rsidR="00173F8E" w:rsidRPr="00167CB8" w:rsidRDefault="00173F8E">
            <w:pPr>
              <w:jc w:val="center"/>
            </w:pPr>
            <w:r w:rsidRPr="00167CB8">
              <w:t>Number approved</w:t>
            </w:r>
          </w:p>
        </w:tc>
        <w:tc>
          <w:tcPr>
            <w:tcW w:w="1803" w:type="dxa"/>
            <w:vAlign w:val="center"/>
          </w:tcPr>
          <w:p w14:paraId="02DB8F72" w14:textId="77777777" w:rsidR="00173F8E" w:rsidRPr="00167CB8" w:rsidRDefault="00173F8E">
            <w:pPr>
              <w:jc w:val="center"/>
            </w:pPr>
            <w:r w:rsidRPr="00167CB8">
              <w:t>Number of employees covered</w:t>
            </w:r>
          </w:p>
        </w:tc>
        <w:tc>
          <w:tcPr>
            <w:tcW w:w="1803" w:type="dxa"/>
            <w:vAlign w:val="center"/>
          </w:tcPr>
          <w:p w14:paraId="3C1ABC0A" w14:textId="77777777" w:rsidR="00173F8E" w:rsidRPr="00167CB8" w:rsidRDefault="00173F8E">
            <w:pPr>
              <w:jc w:val="center"/>
            </w:pPr>
            <w:r w:rsidRPr="00167CB8">
              <w:t>Number approved</w:t>
            </w:r>
          </w:p>
        </w:tc>
        <w:tc>
          <w:tcPr>
            <w:tcW w:w="1804" w:type="dxa"/>
            <w:vAlign w:val="center"/>
          </w:tcPr>
          <w:p w14:paraId="68ACAB3E" w14:textId="77777777" w:rsidR="00173F8E" w:rsidRPr="00167CB8" w:rsidRDefault="00173F8E">
            <w:pPr>
              <w:jc w:val="center"/>
            </w:pPr>
            <w:r w:rsidRPr="00167CB8">
              <w:t>Number of employees covered</w:t>
            </w:r>
          </w:p>
        </w:tc>
      </w:tr>
      <w:tr w:rsidR="00173F8E" w:rsidRPr="00167CB8" w14:paraId="024389E8" w14:textId="77777777">
        <w:tc>
          <w:tcPr>
            <w:tcW w:w="1803" w:type="dxa"/>
            <w:vAlign w:val="center"/>
          </w:tcPr>
          <w:p w14:paraId="7C741FC1" w14:textId="19E394FE" w:rsidR="00173F8E" w:rsidRPr="00167CB8" w:rsidRDefault="00173F8E">
            <w:pPr>
              <w:jc w:val="center"/>
            </w:pPr>
            <w:r w:rsidRPr="00167CB8">
              <w:t>2013</w:t>
            </w:r>
            <w:r w:rsidR="00453C12" w:rsidRPr="00167CB8">
              <w:rPr>
                <w:rFonts w:ascii="Symbol" w:eastAsia="Symbol" w:hAnsi="Symbol" w:cs="Symbol"/>
              </w:rPr>
              <w:sym w:font="Symbol" w:char="F02D"/>
            </w:r>
            <w:r w:rsidR="00453C12" w:rsidRPr="00167CB8">
              <w:t>20</w:t>
            </w:r>
            <w:r w:rsidRPr="00167CB8">
              <w:t>22</w:t>
            </w:r>
          </w:p>
        </w:tc>
        <w:tc>
          <w:tcPr>
            <w:tcW w:w="1803" w:type="dxa"/>
            <w:vAlign w:val="center"/>
          </w:tcPr>
          <w:p w14:paraId="0DF31B03" w14:textId="77777777" w:rsidR="00173F8E" w:rsidRPr="00167CB8" w:rsidRDefault="00173F8E">
            <w:pPr>
              <w:jc w:val="center"/>
            </w:pPr>
            <w:r w:rsidRPr="00167CB8">
              <w:t>46,848</w:t>
            </w:r>
          </w:p>
        </w:tc>
        <w:tc>
          <w:tcPr>
            <w:tcW w:w="1803" w:type="dxa"/>
            <w:vAlign w:val="center"/>
          </w:tcPr>
          <w:p w14:paraId="42600B25" w14:textId="77777777" w:rsidR="00173F8E" w:rsidRPr="00167CB8" w:rsidRDefault="00173F8E">
            <w:pPr>
              <w:jc w:val="center"/>
            </w:pPr>
            <w:r w:rsidRPr="00167CB8">
              <w:t>6,943,262</w:t>
            </w:r>
          </w:p>
        </w:tc>
        <w:tc>
          <w:tcPr>
            <w:tcW w:w="1803" w:type="dxa"/>
            <w:vAlign w:val="center"/>
          </w:tcPr>
          <w:p w14:paraId="79986819" w14:textId="77777777" w:rsidR="00173F8E" w:rsidRPr="00167CB8" w:rsidRDefault="00173F8E">
            <w:pPr>
              <w:jc w:val="center"/>
            </w:pPr>
            <w:r w:rsidRPr="00167CB8">
              <w:t>213</w:t>
            </w:r>
          </w:p>
        </w:tc>
        <w:tc>
          <w:tcPr>
            <w:tcW w:w="1804" w:type="dxa"/>
            <w:vAlign w:val="center"/>
          </w:tcPr>
          <w:p w14:paraId="66DE893B" w14:textId="77777777" w:rsidR="00173F8E" w:rsidRPr="00167CB8" w:rsidRDefault="00173F8E">
            <w:pPr>
              <w:jc w:val="center"/>
            </w:pPr>
            <w:r w:rsidRPr="00167CB8">
              <w:t>240,865</w:t>
            </w:r>
          </w:p>
        </w:tc>
      </w:tr>
    </w:tbl>
    <w:p w14:paraId="740E4B37" w14:textId="7348BBFB" w:rsidR="00173F8E" w:rsidRPr="00167CB8" w:rsidRDefault="00173F8E" w:rsidP="00093B40">
      <w:pPr>
        <w:pStyle w:val="Source"/>
      </w:pPr>
      <w:r w:rsidRPr="00167CB8">
        <w:rPr>
          <w:b/>
          <w:bCs/>
        </w:rPr>
        <w:t>Source:</w:t>
      </w:r>
      <w:r w:rsidRPr="00167CB8">
        <w:t xml:space="preserve"> S</w:t>
      </w:r>
      <w:r w:rsidR="00875580">
        <w:t>ee</w:t>
      </w:r>
      <w:r w:rsidRPr="00167CB8">
        <w:t xml:space="preserve"> Appendix 2.</w:t>
      </w:r>
    </w:p>
    <w:p w14:paraId="65CCEAD1" w14:textId="3A179A0C" w:rsidR="00173F8E" w:rsidRPr="00167CB8" w:rsidRDefault="00173F8E" w:rsidP="00453C12">
      <w:r w:rsidRPr="00167CB8">
        <w:t>This decentralisation partly resulted from the F</w:t>
      </w:r>
      <w:r w:rsidR="00B244E4" w:rsidRPr="00167CB8">
        <w:t xml:space="preserve">air </w:t>
      </w:r>
      <w:r w:rsidRPr="00167CB8">
        <w:t>W</w:t>
      </w:r>
      <w:r w:rsidR="00B244E4" w:rsidRPr="00167CB8">
        <w:t>ork</w:t>
      </w:r>
      <w:r w:rsidRPr="00167CB8">
        <w:t xml:space="preserve"> Act itself, which strongly supported bargaining at the level of the single enterprise and made bargaining above this level more difficult. For example, one of the ‘</w:t>
      </w:r>
      <w:r w:rsidR="00B244E4" w:rsidRPr="00167CB8">
        <w:t>O</w:t>
      </w:r>
      <w:r w:rsidRPr="00167CB8">
        <w:t xml:space="preserve">bjects’ of the Act was </w:t>
      </w:r>
      <w:r w:rsidR="00453C12" w:rsidRPr="00167CB8">
        <w:t>‘</w:t>
      </w:r>
      <w:r w:rsidRPr="00167CB8">
        <w:t>achieving productivity and fairness through an emphasis on enterprise-level collective bargaining underpinned by simple good faith bargaining obligations and clear rules governing industrial action</w:t>
      </w:r>
      <w:r w:rsidR="00453C12" w:rsidRPr="00167CB8">
        <w:t>’</w:t>
      </w:r>
      <w:r w:rsidRPr="00167CB8">
        <w:t xml:space="preserve"> (s</w:t>
      </w:r>
      <w:r w:rsidR="00453C12" w:rsidRPr="00167CB8">
        <w:t> </w:t>
      </w:r>
      <w:r w:rsidRPr="00167CB8">
        <w:t>3(f)). There was also a prohibition against industrial action in support of ‘pattern bargaining’ or other types of bargaining above the level of the single enterprise; as one well-informed commentator said</w:t>
      </w:r>
      <w:r w:rsidR="00453C12" w:rsidRPr="00167CB8">
        <w:t>, ‘</w:t>
      </w:r>
      <w:r w:rsidRPr="00167CB8">
        <w:t>Under the FW Act lawful strike action may only be taken against an employer in support of claims to be in a proposed single-enterprise agreement</w:t>
      </w:r>
      <w:r w:rsidR="00453C12" w:rsidRPr="00167CB8">
        <w:t>’</w:t>
      </w:r>
      <w:r w:rsidRPr="00167CB8">
        <w:t>.</w:t>
      </w:r>
      <w:r w:rsidR="00093B40" w:rsidRPr="00167CB8">
        <w:rPr>
          <w:rStyle w:val="FootnoteReference"/>
        </w:rPr>
        <w:footnoteReference w:id="236"/>
      </w:r>
    </w:p>
    <w:p w14:paraId="015951BC" w14:textId="57A5847C" w:rsidR="00173F8E" w:rsidRPr="00167CB8" w:rsidRDefault="00173F8E" w:rsidP="00173F8E">
      <w:r w:rsidRPr="00167CB8">
        <w:t xml:space="preserve">The originating </w:t>
      </w:r>
      <w:r w:rsidRPr="00167CB8">
        <w:rPr>
          <w:i/>
          <w:iCs/>
        </w:rPr>
        <w:t>F</w:t>
      </w:r>
      <w:r w:rsidR="00B244E4" w:rsidRPr="00167CB8">
        <w:rPr>
          <w:i/>
          <w:iCs/>
        </w:rPr>
        <w:t xml:space="preserve">air </w:t>
      </w:r>
      <w:r w:rsidRPr="00167CB8">
        <w:rPr>
          <w:i/>
          <w:iCs/>
        </w:rPr>
        <w:t>W</w:t>
      </w:r>
      <w:r w:rsidR="00B244E4" w:rsidRPr="00167CB8">
        <w:rPr>
          <w:i/>
          <w:iCs/>
        </w:rPr>
        <w:t>ork</w:t>
      </w:r>
      <w:r w:rsidRPr="00167CB8">
        <w:rPr>
          <w:i/>
          <w:iCs/>
        </w:rPr>
        <w:t xml:space="preserve"> Act 2009</w:t>
      </w:r>
      <w:r w:rsidRPr="00167CB8">
        <w:t xml:space="preserve"> actually included provisions that were designed to encourage multi-employer bargaining in some circumstances (see the former sections in Part 2-4, Division 10, of the Act). These provisions, however, failed to achieve this purpose.</w:t>
      </w:r>
      <w:r w:rsidRPr="00167CB8">
        <w:rPr>
          <w:rStyle w:val="FootnoteReference"/>
        </w:rPr>
        <w:footnoteReference w:id="237"/>
      </w:r>
      <w:r w:rsidRPr="00167CB8">
        <w:t xml:space="preserve"> Perhaps most conspicuously, the provisions that were designed to assist low-paid workers to improve their situations through multi-employer bargaining (i</w:t>
      </w:r>
      <w:r w:rsidR="00453C12" w:rsidRPr="00167CB8">
        <w:t>.</w:t>
      </w:r>
      <w:r w:rsidRPr="00167CB8">
        <w:t>e. the low-paid stream) failed after ‘narrow’ interpretations by the FWC made it difficult to meet entry requirements.</w:t>
      </w:r>
      <w:r w:rsidR="00093B40" w:rsidRPr="00167CB8">
        <w:rPr>
          <w:rStyle w:val="FootnoteReference"/>
        </w:rPr>
        <w:footnoteReference w:id="238"/>
      </w:r>
      <w:r w:rsidRPr="00167CB8">
        <w:t xml:space="preserve"> These legislative provisions remained the same until the </w:t>
      </w:r>
      <w:r w:rsidR="00453C12" w:rsidRPr="00167CB8">
        <w:t xml:space="preserve">Secure Jobs, Better Pay </w:t>
      </w:r>
      <w:r w:rsidRPr="00167CB8">
        <w:t>amendments.</w:t>
      </w:r>
    </w:p>
    <w:p w14:paraId="5AA14BCC" w14:textId="03D86E94" w:rsidR="00173F8E" w:rsidRPr="00167CB8" w:rsidRDefault="00173F8E" w:rsidP="00173F8E">
      <w:r w:rsidRPr="00167CB8">
        <w:t>At the same time, beyond the law, the parties mostly supported decentralisation. Employers and the Coalition political parties, for example, were deeply and continuously committed to bargaining being confined to the single enterprise. The enthusiasm of employers was partly driven by what they saw as better outcomes of single-enterprise bargaining, but it was also motivated by the process that gave them control of most of the key decisions. As McCrystal recently stated:</w:t>
      </w:r>
      <w:r w:rsidR="00093B40" w:rsidRPr="00167CB8">
        <w:rPr>
          <w:rStyle w:val="FootnoteReference"/>
        </w:rPr>
        <w:footnoteReference w:id="239"/>
      </w:r>
    </w:p>
    <w:p w14:paraId="78E5BB48" w14:textId="1E4261AB" w:rsidR="00173F8E" w:rsidRPr="00167CB8" w:rsidRDefault="00173F8E" w:rsidP="00C83147">
      <w:pPr>
        <w:pStyle w:val="Quote"/>
      </w:pPr>
      <w:r w:rsidRPr="00167CB8">
        <w:lastRenderedPageBreak/>
        <w:t>Employers are responsible for initiating agreement-making and advising employees of their rights to be represented in bargaining (even where required to bargain under the Act), explaining the effect of a proposed agreement to employees, conducting a vote of employees to make an agreement, and lodging the agreement with the FWC for approval</w:t>
      </w:r>
      <w:r w:rsidR="00B244E4" w:rsidRPr="00167CB8">
        <w:t xml:space="preserve"> </w:t>
      </w:r>
      <w:r w:rsidRPr="00167CB8">
        <w:t xml:space="preserve">… While unions can also perform some of these functions, they are not necessary or required for any of them. </w:t>
      </w:r>
    </w:p>
    <w:p w14:paraId="204EAD39" w14:textId="4CE8FA90" w:rsidR="00173F8E" w:rsidRPr="00167CB8" w:rsidRDefault="00173F8E" w:rsidP="00173F8E">
      <w:r w:rsidRPr="00167CB8">
        <w:t xml:space="preserve">In 2019 a columnist at </w:t>
      </w:r>
      <w:r w:rsidRPr="00167CB8">
        <w:rPr>
          <w:i/>
          <w:iCs/>
        </w:rPr>
        <w:t>The Australian</w:t>
      </w:r>
      <w:r w:rsidRPr="00167CB8">
        <w:t xml:space="preserve"> newspaper warned Australian employers not to forget how the F</w:t>
      </w:r>
      <w:r w:rsidR="00B244E4" w:rsidRPr="00167CB8">
        <w:t xml:space="preserve">air </w:t>
      </w:r>
      <w:r w:rsidRPr="00167CB8">
        <w:t>W</w:t>
      </w:r>
      <w:r w:rsidR="00B244E4" w:rsidRPr="00167CB8">
        <w:t>ork</w:t>
      </w:r>
      <w:r w:rsidRPr="00167CB8">
        <w:t xml:space="preserve"> Act had benefited them:</w:t>
      </w:r>
      <w:r w:rsidR="00093B40" w:rsidRPr="00167CB8">
        <w:rPr>
          <w:rStyle w:val="FootnoteReference"/>
        </w:rPr>
        <w:footnoteReference w:id="240"/>
      </w:r>
    </w:p>
    <w:p w14:paraId="05582520" w14:textId="5F07A029" w:rsidR="00173F8E" w:rsidRPr="00167CB8" w:rsidRDefault="00173F8E" w:rsidP="00C83147">
      <w:pPr>
        <w:pStyle w:val="Quote"/>
      </w:pPr>
      <w:r w:rsidRPr="00167CB8">
        <w:t>The Fair Work Act has been in place for a decade and consider what it has bequeathed. Stability, years and years of moderate wage growth, declining industrial disputation over the longer term, private sector union membership at an all-time low, and an enterprise bargaining system (thankfully) shrinking by the day.</w:t>
      </w:r>
    </w:p>
    <w:p w14:paraId="2194DFB2" w14:textId="198414DF" w:rsidR="00173F8E" w:rsidRPr="00167CB8" w:rsidRDefault="00173F8E" w:rsidP="00173F8E">
      <w:r w:rsidRPr="00167CB8">
        <w:t xml:space="preserve">The preferences of unions and the </w:t>
      </w:r>
      <w:r w:rsidR="00B244E4" w:rsidRPr="00167CB8">
        <w:t>Australian Labor Party (</w:t>
      </w:r>
      <w:r w:rsidRPr="00167CB8">
        <w:t>ALP</w:t>
      </w:r>
      <w:r w:rsidR="00B244E4" w:rsidRPr="00167CB8">
        <w:t>)</w:t>
      </w:r>
      <w:r w:rsidRPr="00167CB8">
        <w:t xml:space="preserve"> were more varied. The ALP remained committed to the single enterprise as the ‘primary’ level of bargaining under the F</w:t>
      </w:r>
      <w:r w:rsidR="00B244E4" w:rsidRPr="00167CB8">
        <w:t xml:space="preserve">air </w:t>
      </w:r>
      <w:r w:rsidRPr="00167CB8">
        <w:t>W</w:t>
      </w:r>
      <w:r w:rsidR="00B244E4" w:rsidRPr="00167CB8">
        <w:t>ork</w:t>
      </w:r>
      <w:r w:rsidRPr="00167CB8">
        <w:t xml:space="preserve"> Act. Unions, however, were less impressed with single-enterprise bargaining, recognising that it had contributed to declining union membership and resources.</w:t>
      </w:r>
      <w:r w:rsidR="00093B40" w:rsidRPr="00167CB8">
        <w:rPr>
          <w:rStyle w:val="FootnoteReference"/>
        </w:rPr>
        <w:footnoteReference w:id="241"/>
      </w:r>
      <w:r w:rsidRPr="00167CB8">
        <w:t xml:space="preserve"> Their preference was for various forms of multi-employer bargaining. Union agitation about this matter was especially strong during its </w:t>
      </w:r>
      <w:r w:rsidR="00F3345A" w:rsidRPr="00167CB8">
        <w:t>‘</w:t>
      </w:r>
      <w:r w:rsidRPr="00167CB8">
        <w:t>Change the Rules</w:t>
      </w:r>
      <w:r w:rsidR="00F3345A" w:rsidRPr="00167CB8">
        <w:t>’</w:t>
      </w:r>
      <w:r w:rsidRPr="00167CB8">
        <w:t xml:space="preserve"> campaign leading up to the 2019 federal election – a campaign that, amongst other things, advocated the revision of the F</w:t>
      </w:r>
      <w:r w:rsidR="00B244E4" w:rsidRPr="00167CB8">
        <w:t xml:space="preserve">air </w:t>
      </w:r>
      <w:r w:rsidRPr="00167CB8">
        <w:t>W</w:t>
      </w:r>
      <w:r w:rsidR="00B244E4" w:rsidRPr="00167CB8">
        <w:t>ork</w:t>
      </w:r>
      <w:r w:rsidRPr="00167CB8">
        <w:t xml:space="preserve"> Act’s treatment of single-enterprise collective bargaining and the expansion of multi-employer bargaining.</w:t>
      </w:r>
      <w:r w:rsidR="00093B40" w:rsidRPr="00167CB8">
        <w:rPr>
          <w:rStyle w:val="FootnoteReference"/>
        </w:rPr>
        <w:footnoteReference w:id="242"/>
      </w:r>
    </w:p>
    <w:p w14:paraId="67566370" w14:textId="7B215B71" w:rsidR="00173F8E" w:rsidRPr="00167CB8" w:rsidRDefault="00173F8E" w:rsidP="00173F8E">
      <w:r w:rsidRPr="00167CB8">
        <w:t>The highly decentralised approach towards collective bargaining situated Australia at an extreme amongst other countries, where multi-employer bargaining was far more common.</w:t>
      </w:r>
      <w:r w:rsidRPr="00167CB8">
        <w:rPr>
          <w:rStyle w:val="FootnoteReference"/>
        </w:rPr>
        <w:footnoteReference w:id="243"/>
      </w:r>
      <w:r w:rsidRPr="00167CB8">
        <w:t xml:space="preserve"> Moreover, international agencies, like the OECD, previously supporters of highly decentralised collective bargaining (or even no collective bargaining at all), have in recent years reversed this position and begun to advocate more centralised bargaining arrangements, like multi-employer collective bargaining.</w:t>
      </w:r>
      <w:r w:rsidR="00093B40" w:rsidRPr="00167CB8">
        <w:rPr>
          <w:rStyle w:val="FootnoteReference"/>
        </w:rPr>
        <w:footnoteReference w:id="244"/>
      </w:r>
    </w:p>
    <w:p w14:paraId="7831AD3B" w14:textId="1729484D" w:rsidR="00173F8E" w:rsidRPr="00167CB8" w:rsidRDefault="00E03428" w:rsidP="00173F8E">
      <w:pPr>
        <w:pStyle w:val="Heading5"/>
      </w:pPr>
      <w:r w:rsidRPr="00167CB8">
        <w:t>8</w:t>
      </w:r>
      <w:r w:rsidR="00173F8E" w:rsidRPr="00167CB8">
        <w:t>.3.3 Parties or agents</w:t>
      </w:r>
    </w:p>
    <w:p w14:paraId="24CF9FB4" w14:textId="1C89E33E" w:rsidR="00173F8E" w:rsidRPr="00167CB8" w:rsidRDefault="00173F8E" w:rsidP="00173F8E">
      <w:r w:rsidRPr="00167CB8">
        <w:t>The individuals or organisations representing employees and employers in collective bargaining (i</w:t>
      </w:r>
      <w:r w:rsidR="00F3345A" w:rsidRPr="00167CB8">
        <w:t>.</w:t>
      </w:r>
      <w:r w:rsidRPr="00167CB8">
        <w:t>e. the ‘bargaining agents’) under the F</w:t>
      </w:r>
      <w:r w:rsidR="00B244E4" w:rsidRPr="00167CB8">
        <w:t xml:space="preserve">air </w:t>
      </w:r>
      <w:r w:rsidRPr="00167CB8">
        <w:t>W</w:t>
      </w:r>
      <w:r w:rsidR="00B244E4" w:rsidRPr="00167CB8">
        <w:t>ork</w:t>
      </w:r>
      <w:r w:rsidRPr="00167CB8">
        <w:t xml:space="preserve"> Act between 2009</w:t>
      </w:r>
      <w:r w:rsidR="00F3345A" w:rsidRPr="00167CB8">
        <w:t xml:space="preserve"> and </w:t>
      </w:r>
      <w:r w:rsidRPr="00167CB8">
        <w:t xml:space="preserve">2022 were distinctive </w:t>
      </w:r>
      <w:r w:rsidRPr="00167CB8">
        <w:lastRenderedPageBreak/>
        <w:t xml:space="preserve">(both historically within Australia and internationally) in several ways. First, employers were legally obliged to recognise the bargaining representatives nominated by their employees; such recognition was </w:t>
      </w:r>
      <w:r w:rsidR="00B357B9" w:rsidRPr="00167CB8">
        <w:t xml:space="preserve">not </w:t>
      </w:r>
      <w:r w:rsidRPr="00167CB8">
        <w:t>unusual historically</w:t>
      </w:r>
      <w:r w:rsidR="00B357B9" w:rsidRPr="00167CB8">
        <w:t>, either</w:t>
      </w:r>
      <w:r w:rsidRPr="00167CB8">
        <w:t xml:space="preserve"> in Australia or in other countries.</w:t>
      </w:r>
      <w:r w:rsidR="00093B40" w:rsidRPr="00167CB8">
        <w:rPr>
          <w:rStyle w:val="FootnoteReference"/>
        </w:rPr>
        <w:footnoteReference w:id="245"/>
      </w:r>
      <w:r w:rsidRPr="00167CB8">
        <w:t xml:space="preserve"> The form of legal recognition, however, was exceptional because it rested on individual legal rights to achieve collective ends. This came through the original F</w:t>
      </w:r>
      <w:r w:rsidR="00B244E4" w:rsidRPr="00167CB8">
        <w:t xml:space="preserve">air </w:t>
      </w:r>
      <w:r w:rsidRPr="00167CB8">
        <w:t>W</w:t>
      </w:r>
      <w:r w:rsidR="00B244E4" w:rsidRPr="00167CB8">
        <w:t>ork</w:t>
      </w:r>
      <w:r w:rsidRPr="00167CB8">
        <w:t xml:space="preserve"> Act obliging employers who voluntarily wished to initiate collective bargaining to notify all individual employees to be covered by the agreement of their right to nominate a bargaining agent; this agent could be their union, an individual or even themselves. Once representatives had been nominated, the employer was obliged to ‘bargain in good faith’ with those nominated representatives. The only circumstances in which an employer could be compelled to initiate bargaining was when a bargaining representative went to the FWC and won either a Majority Support Determination or a </w:t>
      </w:r>
      <w:r w:rsidR="00B244E4" w:rsidRPr="00167CB8">
        <w:t>s</w:t>
      </w:r>
      <w:r w:rsidRPr="00167CB8">
        <w:t>cope order.</w:t>
      </w:r>
      <w:r w:rsidR="00093B40" w:rsidRPr="00167CB8">
        <w:rPr>
          <w:rStyle w:val="FootnoteReference"/>
        </w:rPr>
        <w:footnoteReference w:id="246"/>
      </w:r>
    </w:p>
    <w:p w14:paraId="4C2E8C30" w14:textId="3A08BD80" w:rsidR="00173F8E" w:rsidRPr="00167CB8" w:rsidRDefault="00173F8E" w:rsidP="00173F8E">
      <w:r w:rsidRPr="00167CB8">
        <w:t xml:space="preserve">Second, employee representation was not confined to unions. Non-union employee representation came in </w:t>
      </w:r>
      <w:r w:rsidR="00B244E4" w:rsidRPr="00167CB8">
        <w:t xml:space="preserve">2 </w:t>
      </w:r>
      <w:r w:rsidRPr="00167CB8">
        <w:t>ways: individual employees nominating themselves or other individuals as their bargaining agents; and employers completing an enterprise agreement – with or without any bargaining with employee representatives – and then directly gaining consent from employees.</w:t>
      </w:r>
      <w:r w:rsidR="00093B40" w:rsidRPr="00167CB8">
        <w:rPr>
          <w:rStyle w:val="FootnoteReference"/>
        </w:rPr>
        <w:footnoteReference w:id="247"/>
      </w:r>
      <w:r w:rsidRPr="00167CB8">
        <w:t xml:space="preserve"> Both non-union forms of representation were unusual internationally and historically within Australia.</w:t>
      </w:r>
      <w:r w:rsidR="00093B40" w:rsidRPr="00167CB8">
        <w:rPr>
          <w:rStyle w:val="FootnoteReference"/>
        </w:rPr>
        <w:footnoteReference w:id="248"/>
      </w:r>
    </w:p>
    <w:p w14:paraId="30C4F870" w14:textId="3E15CAFE" w:rsidR="00173F8E" w:rsidRPr="00167CB8" w:rsidRDefault="00173F8E" w:rsidP="00173F8E">
      <w:r w:rsidRPr="00167CB8">
        <w:t xml:space="preserve">Third, where unions represented employees in bargaining in Australia, it usually came in some combination of full-time officials employed by unions and part-time union delegates employed within workplaces by employers. The mixture of these </w:t>
      </w:r>
      <w:r w:rsidR="00774DDC" w:rsidRPr="00167CB8">
        <w:t xml:space="preserve">2 </w:t>
      </w:r>
      <w:r w:rsidRPr="00167CB8">
        <w:t>forms of representation varied over time and according to circumstances.</w:t>
      </w:r>
    </w:p>
    <w:p w14:paraId="0F7BA2DA" w14:textId="6519558D" w:rsidR="00173F8E" w:rsidRPr="00167CB8" w:rsidRDefault="00173F8E" w:rsidP="00173F8E">
      <w:r w:rsidRPr="00167CB8">
        <w:t>Fourth, employers also had a legal right under s</w:t>
      </w:r>
      <w:r w:rsidR="00774DDC" w:rsidRPr="00167CB8">
        <w:t> </w:t>
      </w:r>
      <w:r w:rsidRPr="00167CB8">
        <w:t>176(1) of the F</w:t>
      </w:r>
      <w:r w:rsidR="00B244E4" w:rsidRPr="00167CB8">
        <w:t xml:space="preserve">air </w:t>
      </w:r>
      <w:r w:rsidRPr="00167CB8">
        <w:t>W</w:t>
      </w:r>
      <w:r w:rsidR="00B244E4" w:rsidRPr="00167CB8">
        <w:t>ork</w:t>
      </w:r>
      <w:r w:rsidRPr="00167CB8">
        <w:t xml:space="preserve"> Act to appoint (in writing) a representative to bargain on their behalf, which could be the employer itself, a consultant or a lawyer, who is also covered by the resulting agreement.</w:t>
      </w:r>
    </w:p>
    <w:p w14:paraId="15234796" w14:textId="2AD47AF1" w:rsidR="00173F8E" w:rsidRPr="00167CB8" w:rsidRDefault="00173F8E" w:rsidP="00173F8E">
      <w:r w:rsidRPr="00167CB8">
        <w:t>Fifth, under the Fair Work Act, bargaining representatives did not legally become parties to any collective agreement resulting from the bargaining process. Rather, except for ‘greenfields agreements’, all collective agreements were made by one or more employers and their employees.</w:t>
      </w:r>
      <w:r w:rsidRPr="00167CB8">
        <w:rPr>
          <w:rStyle w:val="FootnoteReference"/>
        </w:rPr>
        <w:footnoteReference w:id="249"/>
      </w:r>
      <w:r w:rsidRPr="00167CB8">
        <w:t xml:space="preserve"> If bargaining representatives wished to be considered as ‘covered’ by the agreement (and thereby enjoy the limited legal privileges that such coverage brought), they had to apply to and be approved by the </w:t>
      </w:r>
      <w:r w:rsidR="00B244E4" w:rsidRPr="00167CB8">
        <w:t xml:space="preserve">FWC </w:t>
      </w:r>
      <w:r w:rsidRPr="00167CB8">
        <w:t>under s</w:t>
      </w:r>
      <w:r w:rsidR="00774DDC" w:rsidRPr="00167CB8">
        <w:t> </w:t>
      </w:r>
      <w:r w:rsidRPr="00167CB8">
        <w:t>183 of the F</w:t>
      </w:r>
      <w:r w:rsidR="00B244E4" w:rsidRPr="00167CB8">
        <w:t xml:space="preserve">air </w:t>
      </w:r>
      <w:r w:rsidRPr="00167CB8">
        <w:t>W</w:t>
      </w:r>
      <w:r w:rsidR="00B244E4" w:rsidRPr="00167CB8">
        <w:t>ork</w:t>
      </w:r>
      <w:r w:rsidRPr="00167CB8">
        <w:t xml:space="preserve"> Act. This legal situation was unusual historically within Australia and compared to most other countries.</w:t>
      </w:r>
    </w:p>
    <w:p w14:paraId="057DF66D" w14:textId="13B91279" w:rsidR="00173F8E" w:rsidRPr="00167CB8" w:rsidRDefault="00173F8E" w:rsidP="00173F8E">
      <w:r w:rsidRPr="00167CB8">
        <w:t xml:space="preserve">Finally, the role of </w:t>
      </w:r>
      <w:r w:rsidR="00774DDC" w:rsidRPr="00167CB8">
        <w:t>‘</w:t>
      </w:r>
      <w:r w:rsidRPr="00167CB8">
        <w:t>third</w:t>
      </w:r>
      <w:r w:rsidR="00774DDC" w:rsidRPr="00167CB8">
        <w:t xml:space="preserve"> </w:t>
      </w:r>
      <w:r w:rsidRPr="00167CB8">
        <w:t>parties</w:t>
      </w:r>
      <w:r w:rsidR="00774DDC" w:rsidRPr="00167CB8">
        <w:t>’</w:t>
      </w:r>
      <w:r w:rsidRPr="00167CB8">
        <w:t xml:space="preserve"> in collective bargaining has been vital but frequently neglected in the research literature, in Australia and internationally. In particular, Australian industrial </w:t>
      </w:r>
      <w:r w:rsidRPr="00167CB8">
        <w:lastRenderedPageBreak/>
        <w:t xml:space="preserve">tribunals were central under the original Fair Work Act, although their role was quite different </w:t>
      </w:r>
      <w:r w:rsidR="00774DDC" w:rsidRPr="00167CB8">
        <w:t xml:space="preserve">from </w:t>
      </w:r>
      <w:r w:rsidRPr="00167CB8">
        <w:t>the historical conciliation and arbitration system.</w:t>
      </w:r>
      <w:r w:rsidR="00093B40" w:rsidRPr="00167CB8">
        <w:rPr>
          <w:rStyle w:val="FootnoteReference"/>
        </w:rPr>
        <w:footnoteReference w:id="250"/>
      </w:r>
      <w:r w:rsidRPr="00167CB8">
        <w:t xml:space="preserve"> On the one hand, tribunal </w:t>
      </w:r>
      <w:r w:rsidR="00774DDC" w:rsidRPr="00167CB8">
        <w:t>m</w:t>
      </w:r>
      <w:r w:rsidRPr="00167CB8">
        <w:t xml:space="preserve">embers rarely decided </w:t>
      </w:r>
      <w:r w:rsidRPr="00167CB8">
        <w:rPr>
          <w:i/>
          <w:iCs/>
        </w:rPr>
        <w:t>substantive</w:t>
      </w:r>
      <w:r w:rsidRPr="00167CB8">
        <w:t xml:space="preserve"> terms in collective agreements; the only exceptions were </w:t>
      </w:r>
      <w:r w:rsidR="00774DDC" w:rsidRPr="00167CB8">
        <w:t>‘</w:t>
      </w:r>
      <w:r w:rsidRPr="00167CB8">
        <w:t>workplace determinations</w:t>
      </w:r>
      <w:r w:rsidR="00774DDC" w:rsidRPr="00167CB8">
        <w:t>’</w:t>
      </w:r>
      <w:r w:rsidRPr="00167CB8">
        <w:t>, which were made unilaterally by the FWC. These determinations, however, were only made when employers and employee representatives (usually unions) were unable to agree amongst themselves and consequent industrial action was likely to cause significant economic distress.</w:t>
      </w:r>
      <w:r w:rsidR="00B244E4" w:rsidRPr="00167CB8">
        <w:rPr>
          <w:rStyle w:val="FootnoteReference"/>
        </w:rPr>
        <w:footnoteReference w:id="251"/>
      </w:r>
      <w:r w:rsidRPr="00167CB8">
        <w:t xml:space="preserve"> The FWC’s role, however, was extensive (and internationally unusual) in its procedural supervision of bargaining and its approval of subsequent agreements.</w:t>
      </w:r>
      <w:r w:rsidR="00093B40" w:rsidRPr="00167CB8">
        <w:rPr>
          <w:rStyle w:val="FootnoteReference"/>
        </w:rPr>
        <w:footnoteReference w:id="252"/>
      </w:r>
      <w:r w:rsidRPr="00167CB8">
        <w:t xml:space="preserve"> </w:t>
      </w:r>
    </w:p>
    <w:p w14:paraId="4C63582A" w14:textId="55279F58" w:rsidR="00173F8E" w:rsidRPr="00167CB8" w:rsidRDefault="00173F8E" w:rsidP="00173F8E">
      <w:r w:rsidRPr="00167CB8">
        <w:t>These features of the agents/parties under the collective bargaining provisions of the F</w:t>
      </w:r>
      <w:r w:rsidR="00B244E4" w:rsidRPr="00167CB8">
        <w:t xml:space="preserve">air </w:t>
      </w:r>
      <w:r w:rsidRPr="00167CB8">
        <w:t>W</w:t>
      </w:r>
      <w:r w:rsidR="00B244E4" w:rsidRPr="00167CB8">
        <w:t>ork</w:t>
      </w:r>
      <w:r w:rsidRPr="00167CB8">
        <w:t xml:space="preserve"> Act are important because several of them were changed by the </w:t>
      </w:r>
      <w:r w:rsidR="00774DDC" w:rsidRPr="00167CB8">
        <w:t xml:space="preserve">Secure Jobs, Better Pay </w:t>
      </w:r>
      <w:r w:rsidRPr="00167CB8">
        <w:t>amendments.</w:t>
      </w:r>
    </w:p>
    <w:p w14:paraId="1A3A0F50" w14:textId="293B9CF0" w:rsidR="00173F8E" w:rsidRPr="00167CB8" w:rsidRDefault="00E03428" w:rsidP="00173F8E">
      <w:pPr>
        <w:pStyle w:val="Heading5"/>
      </w:pPr>
      <w:r w:rsidRPr="00167CB8">
        <w:t>8</w:t>
      </w:r>
      <w:r w:rsidR="00173F8E" w:rsidRPr="00167CB8">
        <w:t>.</w:t>
      </w:r>
      <w:r w:rsidR="00E541C4" w:rsidRPr="00167CB8">
        <w:t>3</w:t>
      </w:r>
      <w:r w:rsidR="00173F8E" w:rsidRPr="00167CB8">
        <w:t>.4 Incidence and coverage</w:t>
      </w:r>
    </w:p>
    <w:p w14:paraId="406A318D" w14:textId="49849381" w:rsidR="00173F8E" w:rsidRPr="00167CB8" w:rsidRDefault="00173F8E" w:rsidP="00173F8E">
      <w:r w:rsidRPr="00167CB8">
        <w:t>The significant declines of both the incidence and coverage of collective bargaining/agreements during the 2009</w:t>
      </w:r>
      <w:r w:rsidR="00774DDC" w:rsidRPr="00167CB8">
        <w:rPr>
          <w:rFonts w:ascii="Symbol" w:eastAsia="Symbol" w:hAnsi="Symbol" w:cs="Symbol"/>
        </w:rPr>
        <w:sym w:font="Symbol" w:char="F02D"/>
      </w:r>
      <w:r w:rsidRPr="00167CB8">
        <w:t>2022 period led directly to the 2022 legislative amendments. In the period immediately after the passing of the F</w:t>
      </w:r>
      <w:r w:rsidR="00B244E4" w:rsidRPr="00167CB8">
        <w:t xml:space="preserve">air </w:t>
      </w:r>
      <w:r w:rsidRPr="00167CB8">
        <w:t>W</w:t>
      </w:r>
      <w:r w:rsidR="00B244E4" w:rsidRPr="00167CB8">
        <w:t>ork</w:t>
      </w:r>
      <w:r w:rsidRPr="00167CB8">
        <w:t xml:space="preserve"> Act, however, there was a shared belief – amongst Labor and </w:t>
      </w:r>
      <w:r w:rsidR="00544ABE" w:rsidRPr="00167CB8">
        <w:t>C</w:t>
      </w:r>
      <w:r w:rsidRPr="00167CB8">
        <w:t>oalition politicians, union and employer representatives, and academic and media commentators alike – that the F</w:t>
      </w:r>
      <w:r w:rsidR="00544ABE" w:rsidRPr="00167CB8">
        <w:t xml:space="preserve">air </w:t>
      </w:r>
      <w:r w:rsidRPr="00167CB8">
        <w:t>W</w:t>
      </w:r>
      <w:r w:rsidR="00544ABE" w:rsidRPr="00167CB8">
        <w:t>ork</w:t>
      </w:r>
      <w:r w:rsidRPr="00167CB8">
        <w:t xml:space="preserve"> Act would bring greater collectivisation and expanded collective bargaining, although they differed considerably in the desirability of the expected resurgence of collective bargaining.</w:t>
      </w:r>
      <w:r w:rsidR="00093B40" w:rsidRPr="00167CB8">
        <w:rPr>
          <w:rStyle w:val="FootnoteReference"/>
        </w:rPr>
        <w:footnoteReference w:id="253"/>
      </w:r>
      <w:r w:rsidRPr="00167CB8">
        <w:t xml:space="preserve"> </w:t>
      </w:r>
    </w:p>
    <w:p w14:paraId="44FBBE9F" w14:textId="515176E0" w:rsidR="00173F8E" w:rsidRPr="00167CB8" w:rsidRDefault="00173F8E" w:rsidP="00173F8E">
      <w:r w:rsidRPr="00167CB8">
        <w:t>The language used by the stakeholders to express these positions with respect to the new F</w:t>
      </w:r>
      <w:r w:rsidR="00544ABE" w:rsidRPr="00167CB8">
        <w:t xml:space="preserve">air </w:t>
      </w:r>
      <w:r w:rsidRPr="00167CB8">
        <w:t>W</w:t>
      </w:r>
      <w:r w:rsidR="00544ABE" w:rsidRPr="00167CB8">
        <w:t>ork</w:t>
      </w:r>
      <w:r w:rsidR="00774DDC" w:rsidRPr="00167CB8">
        <w:t> </w:t>
      </w:r>
      <w:r w:rsidRPr="00167CB8">
        <w:t xml:space="preserve">Act was remarkably similar to the words and reactions of the same groups to the </w:t>
      </w:r>
      <w:r w:rsidR="00774DDC" w:rsidRPr="00167CB8">
        <w:t xml:space="preserve">Secure Jobs, Better Pay </w:t>
      </w:r>
      <w:r w:rsidRPr="00167CB8">
        <w:t xml:space="preserve">amendments. To cite just a few who were cited in Bray </w:t>
      </w:r>
      <w:r w:rsidR="00093B40" w:rsidRPr="00167CB8">
        <w:t>and</w:t>
      </w:r>
      <w:r w:rsidRPr="00167CB8">
        <w:t xml:space="preserve"> Macneil,</w:t>
      </w:r>
      <w:r w:rsidR="00093B40" w:rsidRPr="00167CB8">
        <w:rPr>
          <w:rStyle w:val="FootnoteReference"/>
        </w:rPr>
        <w:footnoteReference w:id="254"/>
      </w:r>
      <w:r w:rsidRPr="00167CB8">
        <w:t xml:space="preserve"> the Labor </w:t>
      </w:r>
      <w:r w:rsidR="00B30D79" w:rsidRPr="00167CB8">
        <w:t>M</w:t>
      </w:r>
      <w:r w:rsidRPr="00167CB8">
        <w:t>inister responsible for the original F</w:t>
      </w:r>
      <w:r w:rsidR="00544ABE" w:rsidRPr="00167CB8">
        <w:t xml:space="preserve">air </w:t>
      </w:r>
      <w:r w:rsidRPr="00167CB8">
        <w:t>W</w:t>
      </w:r>
      <w:r w:rsidR="00544ABE" w:rsidRPr="00167CB8">
        <w:t>ork</w:t>
      </w:r>
      <w:r w:rsidRPr="00167CB8">
        <w:t xml:space="preserve"> Act, </w:t>
      </w:r>
      <w:r w:rsidR="00774DDC" w:rsidRPr="00167CB8">
        <w:t xml:space="preserve">the Hon </w:t>
      </w:r>
      <w:r w:rsidRPr="00167CB8">
        <w:t>Julia Gillard, claimed the statute would ‘deliver a system that has at its heart bargaining in good faith at the enterprise level, as this is essential to maximise workplace cooperation, improve economic productivity and create rising national prosperity’. Union leaders ‘welcomed the dawning of a new era’ and were ‘determined to use the Act to protect workers’ rights and spread collective bargaining’. In contrast, employer leaders described the Act, especially the primacy it gave to collective bargaining, as bringing ‘the biggest increase in union power since Federation’ and ensuring that ‘the pendulum has swung too far towards unions</w:t>
      </w:r>
      <w:r w:rsidR="00D55035">
        <w:t>.</w:t>
      </w:r>
      <w:r w:rsidRPr="00167CB8">
        <w:t xml:space="preserve">’ </w:t>
      </w:r>
    </w:p>
    <w:p w14:paraId="08CCAFC8" w14:textId="45D14EDD" w:rsidR="00173F8E" w:rsidRDefault="00173F8E" w:rsidP="00173F8E">
      <w:r w:rsidRPr="00167CB8">
        <w:t xml:space="preserve">Measures of the incidence and coverage of collective agreements in the years immediately after the </w:t>
      </w:r>
      <w:r w:rsidRPr="00167CB8">
        <w:rPr>
          <w:i/>
          <w:iCs/>
        </w:rPr>
        <w:t>F</w:t>
      </w:r>
      <w:r w:rsidR="00544ABE" w:rsidRPr="00167CB8">
        <w:rPr>
          <w:i/>
          <w:iCs/>
        </w:rPr>
        <w:t xml:space="preserve">air </w:t>
      </w:r>
      <w:r w:rsidRPr="00167CB8">
        <w:rPr>
          <w:i/>
          <w:iCs/>
        </w:rPr>
        <w:t>W</w:t>
      </w:r>
      <w:r w:rsidR="00544ABE" w:rsidRPr="00167CB8">
        <w:rPr>
          <w:i/>
          <w:iCs/>
        </w:rPr>
        <w:t>ork</w:t>
      </w:r>
      <w:r w:rsidRPr="00167CB8">
        <w:rPr>
          <w:i/>
          <w:iCs/>
        </w:rPr>
        <w:t xml:space="preserve"> Act 2009</w:t>
      </w:r>
      <w:r w:rsidRPr="00167CB8">
        <w:t xml:space="preserve"> initially showed increases. Figure </w:t>
      </w:r>
      <w:r w:rsidR="00E416E9" w:rsidRPr="00167CB8">
        <w:t>3</w:t>
      </w:r>
      <w:r w:rsidRPr="00167CB8">
        <w:t xml:space="preserve"> shows the number of new agreements approved annually between the September quarters of each year. The approval of new ‘enterprise agreements’ (collective agreements) reached a high of 8,265 between October 2011 and September 2012, with an annual average (between October 2009 and September 2012 inclusive) of 7,437</w:t>
      </w:r>
      <w:r w:rsidR="00774DDC" w:rsidRPr="00167CB8">
        <w:t xml:space="preserve"> </w:t>
      </w:r>
      <w:r w:rsidR="00774DDC" w:rsidRPr="00167CB8">
        <w:rPr>
          <w:rFonts w:ascii="Symbol" w:eastAsia="Symbol" w:hAnsi="Symbol" w:cs="Symbol"/>
        </w:rPr>
        <w:t>-</w:t>
      </w:r>
      <w:r w:rsidR="00774DDC" w:rsidRPr="00167CB8">
        <w:t xml:space="preserve"> </w:t>
      </w:r>
      <w:r w:rsidRPr="00167CB8">
        <w:t>far above the 1998</w:t>
      </w:r>
      <w:r w:rsidR="00774DDC" w:rsidRPr="00167CB8">
        <w:rPr>
          <w:rFonts w:ascii="Symbol" w:eastAsia="Symbol" w:hAnsi="Symbol" w:cs="Symbol"/>
        </w:rPr>
        <w:t>-</w:t>
      </w:r>
      <w:r w:rsidRPr="00167CB8">
        <w:t xml:space="preserve">2009 average. The coverage of these new </w:t>
      </w:r>
      <w:r w:rsidRPr="00167CB8">
        <w:lastRenderedPageBreak/>
        <w:t>agreements went over 1 million employees in 2013, with an annual average (between October 2009 and September 2013 inclusive) of 984,507. Again, this was well over the long-term average of around 780,000 between 1998 and 2008.</w:t>
      </w:r>
      <w:r w:rsidR="00093B40" w:rsidRPr="00167CB8">
        <w:rPr>
          <w:rStyle w:val="FootnoteReference"/>
        </w:rPr>
        <w:footnoteReference w:id="255"/>
      </w:r>
    </w:p>
    <w:p w14:paraId="69052A5D" w14:textId="53D795A6" w:rsidR="00173F8E" w:rsidRPr="00C7470B" w:rsidRDefault="00173F8E" w:rsidP="00151FCB">
      <w:pPr>
        <w:rPr>
          <w:rFonts w:cs="Calibri"/>
          <w:b/>
          <w:bCs/>
          <w:lang w:val="en-US"/>
        </w:rPr>
      </w:pPr>
      <w:r w:rsidRPr="00C7470B">
        <w:rPr>
          <w:rFonts w:cs="Calibri"/>
          <w:b/>
          <w:bCs/>
          <w:lang w:val="en-US"/>
        </w:rPr>
        <w:t xml:space="preserve">Figure </w:t>
      </w:r>
      <w:r w:rsidR="003D0332" w:rsidRPr="00C7470B">
        <w:rPr>
          <w:rFonts w:cs="Calibri"/>
          <w:b/>
          <w:bCs/>
          <w:lang w:val="en-US"/>
        </w:rPr>
        <w:t>3</w:t>
      </w:r>
      <w:r w:rsidRPr="00C7470B">
        <w:rPr>
          <w:rFonts w:cs="Calibri"/>
          <w:b/>
          <w:bCs/>
          <w:lang w:val="en-US"/>
        </w:rPr>
        <w:t>: Number of new agreements approved and number of employees covered, 2009–2024, annual to September quarter</w:t>
      </w:r>
    </w:p>
    <w:p w14:paraId="06371345" w14:textId="77777777" w:rsidR="00173F8E" w:rsidRPr="00167CB8" w:rsidRDefault="00173F8E" w:rsidP="00173F8E">
      <w:pPr>
        <w:spacing w:after="120" w:line="240" w:lineRule="auto"/>
        <w:rPr>
          <w:sz w:val="24"/>
          <w:szCs w:val="24"/>
        </w:rPr>
      </w:pPr>
      <w:r w:rsidRPr="00167CB8">
        <w:rPr>
          <w:noProof/>
        </w:rPr>
        <w:drawing>
          <wp:inline distT="0" distB="0" distL="0" distR="0" wp14:anchorId="46F0A98D" wp14:editId="19A5738C">
            <wp:extent cx="5731510" cy="3446062"/>
            <wp:effectExtent l="0" t="0" r="2540" b="2540"/>
            <wp:docPr id="152419977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EAFD9C" w14:textId="161A876D" w:rsidR="00173F8E" w:rsidRPr="00167CB8" w:rsidRDefault="00173F8E" w:rsidP="00774DDC">
      <w:pPr>
        <w:pStyle w:val="Source"/>
      </w:pPr>
      <w:r w:rsidRPr="00167CB8">
        <w:rPr>
          <w:b/>
          <w:bCs/>
        </w:rPr>
        <w:t>Source:</w:t>
      </w:r>
      <w:r w:rsidRPr="00167CB8">
        <w:t xml:space="preserve"> DEWR Workplace Agreements Database</w:t>
      </w:r>
      <w:r w:rsidR="00774DDC" w:rsidRPr="00167CB8">
        <w:t>.</w:t>
      </w:r>
    </w:p>
    <w:p w14:paraId="170FFE59" w14:textId="12CA2B61" w:rsidR="00173F8E" w:rsidRPr="00167CB8" w:rsidRDefault="00173F8E" w:rsidP="00173F8E">
      <w:pPr>
        <w:spacing w:after="120" w:line="240" w:lineRule="auto"/>
        <w:rPr>
          <w:sz w:val="20"/>
          <w:szCs w:val="20"/>
        </w:rPr>
      </w:pPr>
      <w:r w:rsidRPr="00167CB8">
        <w:rPr>
          <w:b/>
          <w:bCs/>
          <w:sz w:val="20"/>
          <w:szCs w:val="20"/>
        </w:rPr>
        <w:t>Alt-text:</w:t>
      </w:r>
      <w:r w:rsidRPr="00167CB8">
        <w:rPr>
          <w:sz w:val="20"/>
          <w:szCs w:val="20"/>
        </w:rPr>
        <w:t xml:space="preserve"> A combination chart. The bars show the number of new approved agreements between the October 2009 and September 2024 and the line shows number of employees covered by these new agreements. Between October 2022 and September 2023 a total of 3,978 new agreements were approved across all sectors (LHS axis) covering 788,393 employees. In the period October 2023 to September 2024 a total of 4417 new agreements had been approved covering 1,258,322 employees, representing the highest coverage by new agreements since 2010. </w:t>
      </w:r>
    </w:p>
    <w:p w14:paraId="4107FBF6" w14:textId="54EBD10A" w:rsidR="00173F8E" w:rsidRPr="00167CB8" w:rsidRDefault="00173F8E" w:rsidP="00173F8E">
      <w:r w:rsidRPr="00167CB8">
        <w:t xml:space="preserve">Alternatively, data on </w:t>
      </w:r>
      <w:r w:rsidR="00774DDC" w:rsidRPr="00167CB8">
        <w:t>‘</w:t>
      </w:r>
      <w:r w:rsidRPr="00167CB8">
        <w:t>current</w:t>
      </w:r>
      <w:r w:rsidR="00774DDC" w:rsidRPr="00167CB8">
        <w:t>’</w:t>
      </w:r>
      <w:r w:rsidRPr="00167CB8">
        <w:t xml:space="preserve"> agreements at the end of each September quarter (see </w:t>
      </w:r>
      <w:r w:rsidR="00544ABE" w:rsidRPr="00167CB8">
        <w:t>F</w:t>
      </w:r>
      <w:r w:rsidRPr="00167CB8">
        <w:t xml:space="preserve">igure </w:t>
      </w:r>
      <w:r w:rsidR="00DF5C6D" w:rsidRPr="00167CB8">
        <w:t>4</w:t>
      </w:r>
      <w:r w:rsidRPr="00167CB8">
        <w:t>) show similar, but also slightly different, trends. The number of current agreements reached a peak of 24,046 in September 2010, while the number did not decline below 20,000 until September 2014; during the 5-year period from September 2009 to September 2013 inclusive, the annual average was 23,104. The number of employees covered by these current agreements peaked in September 2013 period at 2,490,652, while the annual average over the 6-year period between September 2010 and September 2015 was 2,369,941.</w:t>
      </w:r>
      <w:r w:rsidRPr="00167CB8">
        <w:rPr>
          <w:rStyle w:val="FootnoteReference"/>
        </w:rPr>
        <w:footnoteReference w:id="256"/>
      </w:r>
      <w:r w:rsidRPr="00167CB8">
        <w:t xml:space="preserve"> </w:t>
      </w:r>
    </w:p>
    <w:p w14:paraId="2F402F8D" w14:textId="77777777" w:rsidR="00C7470B" w:rsidRDefault="00C7470B">
      <w:pPr>
        <w:spacing w:after="160"/>
        <w:rPr>
          <w:rFonts w:cs="Calibri"/>
          <w:b/>
          <w:bCs/>
          <w:lang w:val="en-US"/>
        </w:rPr>
      </w:pPr>
      <w:r>
        <w:rPr>
          <w:rFonts w:cs="Calibri"/>
          <w:b/>
          <w:bCs/>
          <w:lang w:val="en-US"/>
        </w:rPr>
        <w:br w:type="page"/>
      </w:r>
    </w:p>
    <w:p w14:paraId="6A59E096" w14:textId="4225627D" w:rsidR="00173F8E" w:rsidRPr="00C7470B" w:rsidRDefault="00173F8E" w:rsidP="00C7470B">
      <w:pPr>
        <w:rPr>
          <w:rFonts w:cs="Calibri"/>
          <w:b/>
          <w:bCs/>
          <w:lang w:val="en-US"/>
        </w:rPr>
      </w:pPr>
      <w:r w:rsidRPr="00C7470B">
        <w:rPr>
          <w:rFonts w:cs="Calibri"/>
          <w:b/>
          <w:bCs/>
          <w:lang w:val="en-US"/>
        </w:rPr>
        <w:lastRenderedPageBreak/>
        <w:t xml:space="preserve">Figure </w:t>
      </w:r>
      <w:r w:rsidR="00B33940" w:rsidRPr="00C7470B">
        <w:rPr>
          <w:rFonts w:cs="Calibri"/>
          <w:b/>
          <w:bCs/>
          <w:lang w:val="en-US"/>
        </w:rPr>
        <w:t>4</w:t>
      </w:r>
      <w:r w:rsidRPr="00C7470B">
        <w:rPr>
          <w:rFonts w:cs="Calibri"/>
          <w:b/>
          <w:bCs/>
          <w:lang w:val="en-US"/>
        </w:rPr>
        <w:t xml:space="preserve">: Number of current enterprise agreements and the employees covered by them, 2009–2024, </w:t>
      </w:r>
      <w:r w:rsidR="00544ABE" w:rsidRPr="00C7470B">
        <w:rPr>
          <w:rFonts w:cs="Calibri"/>
          <w:b/>
          <w:bCs/>
          <w:lang w:val="en-US"/>
        </w:rPr>
        <w:t>e</w:t>
      </w:r>
      <w:r w:rsidRPr="00C7470B">
        <w:rPr>
          <w:rFonts w:cs="Calibri"/>
          <w:b/>
          <w:bCs/>
          <w:lang w:val="en-US"/>
        </w:rPr>
        <w:t>nd of September</w:t>
      </w:r>
    </w:p>
    <w:p w14:paraId="1509BAA1" w14:textId="77777777" w:rsidR="00173F8E" w:rsidRPr="00167CB8" w:rsidRDefault="00173F8E" w:rsidP="00173F8E">
      <w:r w:rsidRPr="00167CB8">
        <w:rPr>
          <w:rFonts w:cs="Calibri"/>
          <w:noProof/>
          <w:sz w:val="20"/>
          <w:szCs w:val="20"/>
        </w:rPr>
        <w:drawing>
          <wp:inline distT="0" distB="0" distL="0" distR="0" wp14:anchorId="7B4E75DB" wp14:editId="0C0C5503">
            <wp:extent cx="5731510" cy="3649774"/>
            <wp:effectExtent l="0" t="0" r="2540" b="8255"/>
            <wp:docPr id="13495674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4967B0" w14:textId="7DBA6042" w:rsidR="00173F8E" w:rsidRPr="00167CB8" w:rsidRDefault="00173F8E" w:rsidP="00774DDC">
      <w:pPr>
        <w:pStyle w:val="Source"/>
      </w:pPr>
      <w:r w:rsidRPr="00167CB8">
        <w:rPr>
          <w:b/>
          <w:bCs/>
        </w:rPr>
        <w:t>Source:</w:t>
      </w:r>
      <w:r w:rsidRPr="00167CB8">
        <w:t xml:space="preserve"> DEWR Workplace Agreements Database</w:t>
      </w:r>
      <w:r w:rsidR="00774DDC" w:rsidRPr="00167CB8">
        <w:t>.</w:t>
      </w:r>
    </w:p>
    <w:p w14:paraId="07597A4C" w14:textId="49FEB397" w:rsidR="00173F8E" w:rsidRPr="00167CB8" w:rsidRDefault="00173F8E" w:rsidP="00173F8E">
      <w:r w:rsidRPr="00167CB8">
        <w:rPr>
          <w:rFonts w:cs="Calibri"/>
          <w:b/>
          <w:sz w:val="20"/>
          <w:szCs w:val="20"/>
        </w:rPr>
        <w:t>Alt-text:</w:t>
      </w:r>
      <w:r w:rsidRPr="00167CB8">
        <w:rPr>
          <w:rFonts w:cs="Calibri"/>
          <w:sz w:val="20"/>
          <w:szCs w:val="20"/>
        </w:rPr>
        <w:t xml:space="preserve"> A combination chart. The bars shows the number of current agreements on the last day of September between 2009 to 2024 and the line shows number of employees covered by these agreements. In September 2023 the number of current agreements was equal to 9,889. This was below the number in September 2022, equal to 11,054. The coverage, however, increased between these </w:t>
      </w:r>
      <w:r w:rsidR="00774DDC" w:rsidRPr="00167CB8">
        <w:rPr>
          <w:rFonts w:cs="Calibri"/>
          <w:sz w:val="20"/>
          <w:szCs w:val="20"/>
        </w:rPr>
        <w:t>2</w:t>
      </w:r>
      <w:r w:rsidR="00544ABE" w:rsidRPr="00167CB8">
        <w:rPr>
          <w:rFonts w:cs="Calibri"/>
          <w:sz w:val="20"/>
          <w:szCs w:val="20"/>
        </w:rPr>
        <w:t> </w:t>
      </w:r>
      <w:r w:rsidRPr="00167CB8">
        <w:rPr>
          <w:rFonts w:cs="Calibri"/>
          <w:sz w:val="20"/>
          <w:szCs w:val="20"/>
        </w:rPr>
        <w:t>periods, from 1.7 million in September 2022 to 1.8 million in September 2023. In September 2024 the number of current agreements was equal to 10,113 and the coverage was equal to 2,206,033 workers. The previous highest coverage was at September 2013 (equal to 2.49 million workers).</w:t>
      </w:r>
    </w:p>
    <w:p w14:paraId="601A47D6" w14:textId="2A23B61C" w:rsidR="00173F8E" w:rsidRPr="00167CB8" w:rsidRDefault="00173F8E" w:rsidP="00173F8E">
      <w:r w:rsidRPr="00167CB8">
        <w:t xml:space="preserve">The </w:t>
      </w:r>
      <w:r w:rsidR="00544ABE" w:rsidRPr="00167CB8">
        <w:t>Australian Council of Trade Unions (</w:t>
      </w:r>
      <w:r w:rsidRPr="00167CB8">
        <w:t>ACTU</w:t>
      </w:r>
      <w:r w:rsidR="00544ABE" w:rsidRPr="00167CB8">
        <w:t>)</w:t>
      </w:r>
      <w:r w:rsidRPr="00167CB8">
        <w:t xml:space="preserve"> expressed its satisfaction with these early developments and contrasted them with </w:t>
      </w:r>
      <w:r w:rsidR="00D43471">
        <w:t>previous</w:t>
      </w:r>
      <w:r w:rsidR="00D43471" w:rsidRPr="00167CB8">
        <w:t xml:space="preserve"> </w:t>
      </w:r>
      <w:r w:rsidRPr="00167CB8">
        <w:t>legal regimes:</w:t>
      </w:r>
      <w:r w:rsidR="00D73E6B" w:rsidRPr="00167CB8">
        <w:rPr>
          <w:rStyle w:val="FootnoteReference"/>
        </w:rPr>
        <w:footnoteReference w:id="257"/>
      </w:r>
      <w:r w:rsidRPr="00167CB8">
        <w:t xml:space="preserve"> </w:t>
      </w:r>
    </w:p>
    <w:p w14:paraId="6B42C185" w14:textId="75C49617" w:rsidR="00173F8E" w:rsidRPr="00167CB8" w:rsidRDefault="00173F8E" w:rsidP="00C83147">
      <w:pPr>
        <w:pStyle w:val="Quote"/>
      </w:pPr>
      <w:r w:rsidRPr="00167CB8">
        <w:t>The Fair Work Act places collective bargaining at the core of the Australian industrial relations system, in stark contrast to Work Choices that sought to undermine collective agreements, leaving workers to fend for themselves</w:t>
      </w:r>
      <w:r w:rsidR="00774DDC" w:rsidRPr="00167CB8">
        <w:t>.</w:t>
      </w:r>
      <w:r w:rsidRPr="00167CB8">
        <w:t xml:space="preserve"> </w:t>
      </w:r>
    </w:p>
    <w:p w14:paraId="688C78E7" w14:textId="2D87DABF" w:rsidR="00701F49" w:rsidRPr="005022DB" w:rsidRDefault="00701F49" w:rsidP="00701F49">
      <w:r>
        <w:t xml:space="preserve">After 2012, however, the incidence and coverage of collective agreements declined precipitously. This can be seen in the data for “new enterprise agreements”, which are </w:t>
      </w:r>
      <w:r w:rsidRPr="00C274E9">
        <w:t xml:space="preserve">summarised in Figure </w:t>
      </w:r>
      <w:r w:rsidR="00BC0EF1" w:rsidRPr="00C274E9">
        <w:t>3</w:t>
      </w:r>
      <w:r w:rsidR="007075E2" w:rsidRPr="00C274E9">
        <w:t xml:space="preserve"> and also </w:t>
      </w:r>
      <w:r w:rsidR="00C274E9">
        <w:t>reported</w:t>
      </w:r>
      <w:r w:rsidR="007075E2">
        <w:t xml:space="preserve"> in </w:t>
      </w:r>
      <w:r w:rsidR="007075E2" w:rsidRPr="00C274E9">
        <w:t>Appendix 2</w:t>
      </w:r>
      <w:r w:rsidR="00BC0EF1" w:rsidRPr="00C274E9">
        <w:t>. T</w:t>
      </w:r>
      <w:r w:rsidRPr="00C274E9">
        <w:t>he total number</w:t>
      </w:r>
      <w:r>
        <w:t xml:space="preserve"> of new collective </w:t>
      </w:r>
      <w:r w:rsidRPr="007A248C">
        <w:t xml:space="preserve">agreements fell by 49% from 8,265 in the year ending in the September quarter of 2012 to 4,187 over the same </w:t>
      </w:r>
      <w:r w:rsidR="00D71991">
        <w:t>four-qua</w:t>
      </w:r>
      <w:r w:rsidR="009300F9">
        <w:t>r</w:t>
      </w:r>
      <w:r w:rsidR="00D71991">
        <w:t>terly</w:t>
      </w:r>
      <w:r w:rsidRPr="007A248C">
        <w:t xml:space="preserve"> period in 2022, although</w:t>
      </w:r>
      <w:r>
        <w:t xml:space="preserve"> it had reached lower </w:t>
      </w:r>
      <w:r w:rsidRPr="005022DB">
        <w:t xml:space="preserve">annual number in some earlier years. The number of employees covered by these new agreements fell by 46% </w:t>
      </w:r>
      <w:r w:rsidRPr="005022DB">
        <w:lastRenderedPageBreak/>
        <w:t xml:space="preserve">from </w:t>
      </w:r>
      <w:r w:rsidRPr="005022DB">
        <w:rPr>
          <w:rFonts w:ascii="Aptos Narrow" w:hAnsi="Aptos Narrow"/>
          <w:color w:val="000000"/>
        </w:rPr>
        <w:t xml:space="preserve">1,053,681 in </w:t>
      </w:r>
      <w:r w:rsidR="002F1A7B">
        <w:rPr>
          <w:rFonts w:ascii="Aptos Narrow" w:hAnsi="Aptos Narrow"/>
          <w:color w:val="000000"/>
        </w:rPr>
        <w:t xml:space="preserve">the four quarters to September </w:t>
      </w:r>
      <w:r w:rsidRPr="005022DB">
        <w:t xml:space="preserve">2013 to </w:t>
      </w:r>
      <w:r w:rsidRPr="005022DB">
        <w:rPr>
          <w:rFonts w:ascii="Aptos Narrow" w:hAnsi="Aptos Narrow"/>
          <w:color w:val="000000"/>
        </w:rPr>
        <w:t xml:space="preserve">a low of 571,102 </w:t>
      </w:r>
      <w:r w:rsidRPr="005022DB">
        <w:t>in 2021, although coverage had begun to increase in the year to the September quarter in 2022.</w:t>
      </w:r>
    </w:p>
    <w:p w14:paraId="70071B98" w14:textId="3E9C1021" w:rsidR="00701F49" w:rsidRDefault="00701F49" w:rsidP="00701F49">
      <w:r>
        <w:t xml:space="preserve">The decline is also evident in </w:t>
      </w:r>
      <w:r w:rsidR="008279E9">
        <w:t>the</w:t>
      </w:r>
      <w:r>
        <w:t xml:space="preserve"> “current” enterprise agreements (</w:t>
      </w:r>
      <w:r w:rsidR="009E24F3">
        <w:t>Figure 4</w:t>
      </w:r>
      <w:r w:rsidRPr="008B744A">
        <w:t xml:space="preserve">). The number of </w:t>
      </w:r>
      <w:r w:rsidRPr="00D001EB">
        <w:t xml:space="preserve">agreements fell by 57% from </w:t>
      </w:r>
      <w:r w:rsidRPr="00D001EB">
        <w:rPr>
          <w:rFonts w:ascii="Aptos Narrow" w:eastAsia="Times New Roman" w:hAnsi="Aptos Narrow" w:cs="Times New Roman"/>
          <w:color w:val="000000"/>
          <w:lang w:eastAsia="en-AU"/>
        </w:rPr>
        <w:t xml:space="preserve">22,957 </w:t>
      </w:r>
      <w:r w:rsidRPr="00D001EB">
        <w:t xml:space="preserve">at the end of the September quarter of 2013 to a low of </w:t>
      </w:r>
      <w:r w:rsidRPr="00D001EB">
        <w:rPr>
          <w:rFonts w:ascii="Aptos Narrow" w:eastAsia="Times New Roman" w:hAnsi="Aptos Narrow" w:cs="Times New Roman"/>
          <w:color w:val="000000"/>
          <w:lang w:eastAsia="en-AU"/>
        </w:rPr>
        <w:t>9,912</w:t>
      </w:r>
      <w:r w:rsidRPr="00D001EB">
        <w:t xml:space="preserve"> at the end of the same quarter in 2020,</w:t>
      </w:r>
      <w:r w:rsidRPr="008B744A">
        <w:t xml:space="preserve"> </w:t>
      </w:r>
      <w:r>
        <w:t>although the number increased in the following two years</w:t>
      </w:r>
      <w:r w:rsidRPr="00E22246">
        <w:t xml:space="preserve">. The coverage of these current agreements fell by 30% from </w:t>
      </w:r>
      <w:r w:rsidRPr="00E22246">
        <w:rPr>
          <w:rFonts w:ascii="Aptos Narrow" w:eastAsia="Times New Roman" w:hAnsi="Aptos Narrow" w:cs="Times New Roman"/>
          <w:color w:val="000000"/>
          <w:lang w:eastAsia="en-AU"/>
        </w:rPr>
        <w:t>2,490,652</w:t>
      </w:r>
      <w:r w:rsidRPr="00E22246">
        <w:t xml:space="preserve">at the end of September in 2013 to </w:t>
      </w:r>
      <w:r w:rsidRPr="00E22246">
        <w:rPr>
          <w:rFonts w:ascii="Aptos Narrow" w:eastAsia="Times New Roman" w:hAnsi="Aptos Narrow" w:cs="Times New Roman"/>
          <w:color w:val="000000"/>
          <w:lang w:eastAsia="en-AU"/>
        </w:rPr>
        <w:t xml:space="preserve">1,732,829 </w:t>
      </w:r>
      <w:r w:rsidRPr="00E22246">
        <w:t>at the end of September in 2022.</w:t>
      </w:r>
      <w:r>
        <w:t xml:space="preserve"> </w:t>
      </w:r>
    </w:p>
    <w:p w14:paraId="7B06F0EA" w14:textId="21F2F8DF" w:rsidR="00173F8E" w:rsidRPr="00167CB8" w:rsidRDefault="00173F8E" w:rsidP="00173F8E">
      <w:r w:rsidRPr="00167CB8">
        <w:t xml:space="preserve">The disaggregation of the decline in the incidence and coverage of enterprise agreements also reveals important trends, in that it: </w:t>
      </w:r>
    </w:p>
    <w:p w14:paraId="54554CE6" w14:textId="656FEC13" w:rsidR="00173F8E" w:rsidRPr="00167CB8" w:rsidRDefault="00173F8E" w:rsidP="00EA3E2F">
      <w:pPr>
        <w:pStyle w:val="ListBullet"/>
      </w:pPr>
      <w:r w:rsidRPr="00167CB8">
        <w:t>was most significant in the private sector and less dramatic in the public sector</w:t>
      </w:r>
      <w:r w:rsidR="00D73E6B" w:rsidRPr="00167CB8">
        <w:rPr>
          <w:rStyle w:val="FootnoteReference"/>
        </w:rPr>
        <w:footnoteReference w:id="258"/>
      </w:r>
    </w:p>
    <w:p w14:paraId="6C6F22B6" w14:textId="77777777" w:rsidR="00C775D0" w:rsidRDefault="00173F8E" w:rsidP="00C775D0">
      <w:pPr>
        <w:pStyle w:val="ListBullet"/>
      </w:pPr>
      <w:r w:rsidRPr="00167CB8">
        <w:t>was fairly consistent (at least in percentage terms) between union and non-union agreements</w:t>
      </w:r>
      <w:r w:rsidR="00D73E6B" w:rsidRPr="00167CB8">
        <w:rPr>
          <w:rStyle w:val="FootnoteReference"/>
        </w:rPr>
        <w:footnoteReference w:id="259"/>
      </w:r>
    </w:p>
    <w:p w14:paraId="661F0516" w14:textId="7E465D1D" w:rsidR="00173F8E" w:rsidRDefault="00173F8E" w:rsidP="00C775D0">
      <w:pPr>
        <w:pStyle w:val="ListBullet"/>
      </w:pPr>
      <w:r w:rsidRPr="00167CB8">
        <w:t>varied by size of agreement,</w:t>
      </w:r>
      <w:r w:rsidR="00D73E6B" w:rsidRPr="00167CB8">
        <w:rPr>
          <w:rStyle w:val="FootnoteReference"/>
        </w:rPr>
        <w:footnoteReference w:id="260"/>
      </w:r>
      <w:r w:rsidRPr="00167CB8">
        <w:t xml:space="preserve"> with smaller agreements falling further and faster than large agreements (see </w:t>
      </w:r>
      <w:r w:rsidR="00544ABE" w:rsidRPr="00167CB8">
        <w:t>F</w:t>
      </w:r>
      <w:r w:rsidRPr="00167CB8">
        <w:t xml:space="preserve">igure </w:t>
      </w:r>
      <w:r w:rsidR="000277A8" w:rsidRPr="00167CB8">
        <w:t>5</w:t>
      </w:r>
      <w:r w:rsidRPr="00167CB8">
        <w:t>).</w:t>
      </w:r>
      <w:r w:rsidRPr="00167CB8">
        <w:rPr>
          <w:rStyle w:val="FootnoteReference"/>
        </w:rPr>
        <w:footnoteReference w:id="261"/>
      </w:r>
      <w:r w:rsidRPr="00167CB8">
        <w:t xml:space="preserve"> </w:t>
      </w:r>
    </w:p>
    <w:p w14:paraId="4F12FB2D" w14:textId="49FE3747" w:rsidR="00173F8E" w:rsidRPr="00C7470B" w:rsidRDefault="00173F8E" w:rsidP="00C7470B">
      <w:pPr>
        <w:rPr>
          <w:rFonts w:cs="Calibri"/>
          <w:b/>
          <w:bCs/>
          <w:lang w:val="en-US"/>
        </w:rPr>
      </w:pPr>
      <w:r w:rsidRPr="00C7470B">
        <w:rPr>
          <w:rFonts w:cs="Calibri"/>
          <w:b/>
          <w:bCs/>
          <w:lang w:val="en-US"/>
        </w:rPr>
        <w:t xml:space="preserve">Figure </w:t>
      </w:r>
      <w:r w:rsidR="000277A8" w:rsidRPr="00C7470B">
        <w:rPr>
          <w:rFonts w:cs="Calibri"/>
          <w:b/>
          <w:bCs/>
          <w:lang w:val="en-US"/>
        </w:rPr>
        <w:t>5</w:t>
      </w:r>
      <w:r w:rsidRPr="00C7470B">
        <w:rPr>
          <w:rFonts w:cs="Calibri"/>
          <w:b/>
          <w:bCs/>
          <w:lang w:val="en-US"/>
        </w:rPr>
        <w:t>: Trends in enterprise agreement approvals by agreement size, Australia, 2009</w:t>
      </w:r>
      <w:r w:rsidR="00774DDC" w:rsidRPr="00C7470B">
        <w:rPr>
          <w:rFonts w:cs="Calibri"/>
          <w:b/>
          <w:bCs/>
          <w:lang w:val="en-US"/>
        </w:rPr>
        <w:sym w:font="Symbol" w:char="F02D"/>
      </w:r>
      <w:r w:rsidRPr="00C7470B">
        <w:rPr>
          <w:rFonts w:cs="Calibri"/>
          <w:b/>
          <w:bCs/>
          <w:lang w:val="en-US"/>
        </w:rPr>
        <w:t>2024</w:t>
      </w:r>
    </w:p>
    <w:p w14:paraId="263AD38D" w14:textId="77777777" w:rsidR="00173F8E" w:rsidRPr="00167CB8" w:rsidRDefault="00173F8E" w:rsidP="00173F8E">
      <w:r w:rsidRPr="00167CB8">
        <w:rPr>
          <w:noProof/>
        </w:rPr>
        <w:drawing>
          <wp:inline distT="0" distB="0" distL="0" distR="0" wp14:anchorId="502610B5" wp14:editId="1AC1B7C0">
            <wp:extent cx="5621572" cy="3387090"/>
            <wp:effectExtent l="0" t="0" r="0" b="3810"/>
            <wp:docPr id="20166440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D298C5" w14:textId="0B5BE812" w:rsidR="00173F8E" w:rsidRPr="00167CB8" w:rsidRDefault="00173F8E" w:rsidP="00774DDC">
      <w:pPr>
        <w:pStyle w:val="Source"/>
      </w:pPr>
      <w:r w:rsidRPr="00167CB8">
        <w:rPr>
          <w:b/>
          <w:bCs/>
        </w:rPr>
        <w:t>Source:</w:t>
      </w:r>
      <w:r w:rsidRPr="00167CB8">
        <w:t xml:space="preserve"> DEWR Workplace Agreements Database</w:t>
      </w:r>
      <w:r w:rsidR="00774DDC" w:rsidRPr="00167CB8">
        <w:t>.</w:t>
      </w:r>
    </w:p>
    <w:p w14:paraId="5F3BA185" w14:textId="77777777" w:rsidR="00173F8E" w:rsidRPr="00167CB8" w:rsidRDefault="00173F8E" w:rsidP="00173F8E">
      <w:pPr>
        <w:spacing w:before="120"/>
        <w:rPr>
          <w:sz w:val="18"/>
        </w:rPr>
      </w:pPr>
      <w:r w:rsidRPr="00167CB8">
        <w:rPr>
          <w:b/>
          <w:sz w:val="18"/>
        </w:rPr>
        <w:lastRenderedPageBreak/>
        <w:t>Alt text:</w:t>
      </w:r>
      <w:r w:rsidRPr="00167CB8">
        <w:rPr>
          <w:sz w:val="18"/>
        </w:rPr>
        <w:t xml:space="preserve"> A line chart showing the number of enterprise agreements approved in each quarter from September 2009 to September 2024, by the size of the employee cohort covered by the agreement. In the September quarter 2024 there were 186 enterprise agreements approved that covered fewer than 10 employees, 268 that covered 10 to 24 employees, 161 that covered 25 to 49 employees, 123 that covered 50 to 99 employees and 197 that covered more than 100 employees.</w:t>
      </w:r>
    </w:p>
    <w:p w14:paraId="40200CC5" w14:textId="084EEF84" w:rsidR="00173F8E" w:rsidRDefault="00173F8E" w:rsidP="00173F8E">
      <w:r w:rsidRPr="00167CB8">
        <w:t xml:space="preserve">In summary, by the time of the passing of the </w:t>
      </w:r>
      <w:r w:rsidR="00774DDC" w:rsidRPr="00167CB8">
        <w:t xml:space="preserve">Secure Jobs, Better Pay </w:t>
      </w:r>
      <w:r w:rsidRPr="00167CB8">
        <w:t>amendments in late 2022, evidence of the decline in the incidence and coverage of collective agreements since 2012 was compelling. Many commentators suggested that this decline was associated with – if not caused by – the provisions of the F</w:t>
      </w:r>
      <w:r w:rsidR="00544ABE" w:rsidRPr="00167CB8">
        <w:t xml:space="preserve">air </w:t>
      </w:r>
      <w:r w:rsidRPr="00167CB8">
        <w:t>W</w:t>
      </w:r>
      <w:r w:rsidR="00544ABE" w:rsidRPr="00167CB8">
        <w:t>ork</w:t>
      </w:r>
      <w:r w:rsidRPr="00167CB8">
        <w:t xml:space="preserve"> Act.</w:t>
      </w:r>
    </w:p>
    <w:p w14:paraId="2896BC02" w14:textId="2B3CBA20" w:rsidR="00173F8E" w:rsidRPr="00167CB8" w:rsidRDefault="00D4247C" w:rsidP="00173F8E">
      <w:pPr>
        <w:pStyle w:val="Heading5"/>
        <w:rPr>
          <w:b w:val="0"/>
        </w:rPr>
      </w:pPr>
      <w:r w:rsidRPr="00167CB8">
        <w:t>8</w:t>
      </w:r>
      <w:r w:rsidR="00173F8E" w:rsidRPr="00167CB8">
        <w:t xml:space="preserve">.3.5 Outcomes </w:t>
      </w:r>
    </w:p>
    <w:p w14:paraId="39B7556B" w14:textId="574745D0" w:rsidR="00173F8E" w:rsidRPr="00167CB8" w:rsidRDefault="00173F8E" w:rsidP="00173F8E">
      <w:r w:rsidRPr="00167CB8">
        <w:t xml:space="preserve">The decline in the incidence and coverage of collective agreements coincided with a number of key economic outcomes. This section will focus on </w:t>
      </w:r>
      <w:r w:rsidR="00D73E6B" w:rsidRPr="00167CB8">
        <w:t>3</w:t>
      </w:r>
      <w:r w:rsidRPr="00167CB8">
        <w:t>: wages; wages and productivity; and shares of national product.</w:t>
      </w:r>
    </w:p>
    <w:p w14:paraId="4954C8A8" w14:textId="78D8CBAE" w:rsidR="00173F8E" w:rsidRPr="00167CB8" w:rsidRDefault="00E541C4" w:rsidP="00173F8E">
      <w:pPr>
        <w:pStyle w:val="Heading6"/>
        <w:rPr>
          <w:b w:val="0"/>
        </w:rPr>
      </w:pPr>
      <w:r w:rsidRPr="00167CB8">
        <w:t>8</w:t>
      </w:r>
      <w:r w:rsidR="00173F8E" w:rsidRPr="00167CB8">
        <w:t xml:space="preserve">.3.5.1 Wages </w:t>
      </w:r>
    </w:p>
    <w:p w14:paraId="54A2A641" w14:textId="6822CEC2" w:rsidR="00173F8E" w:rsidRPr="00167CB8" w:rsidRDefault="00173F8E" w:rsidP="00173F8E">
      <w:r w:rsidRPr="00167CB8">
        <w:t xml:space="preserve">The first, and most important, is wages. As Statistical Appendix 1 shows, wage levels and growth may be measured in various ways. Two measures will be used here: the Wage Price Index (WPI) and Average Annual Wage Increases (AAWI). </w:t>
      </w:r>
    </w:p>
    <w:p w14:paraId="7ED0E18D" w14:textId="53BD1FC9" w:rsidR="00173F8E" w:rsidRPr="00167CB8" w:rsidRDefault="00173F8E" w:rsidP="00173F8E">
      <w:r w:rsidRPr="00167CB8">
        <w:t xml:space="preserve">Using the WPI, Figure </w:t>
      </w:r>
      <w:r w:rsidR="00A161C7" w:rsidRPr="00167CB8">
        <w:t>6</w:t>
      </w:r>
      <w:r w:rsidRPr="00167CB8">
        <w:t xml:space="preserve"> shows that </w:t>
      </w:r>
      <w:r w:rsidRPr="00167CB8">
        <w:rPr>
          <w:i/>
          <w:iCs/>
        </w:rPr>
        <w:t>nominal</w:t>
      </w:r>
      <w:r w:rsidRPr="00167CB8">
        <w:t xml:space="preserve"> wage growth (all industries) was basically stagnant between </w:t>
      </w:r>
      <w:r w:rsidR="00D73E6B" w:rsidRPr="00167CB8">
        <w:t xml:space="preserve">the </w:t>
      </w:r>
      <w:r w:rsidRPr="00167CB8">
        <w:t xml:space="preserve">March quarter 2013 and </w:t>
      </w:r>
      <w:r w:rsidR="00D73E6B" w:rsidRPr="00167CB8">
        <w:t xml:space="preserve">the </w:t>
      </w:r>
      <w:r w:rsidRPr="00167CB8">
        <w:t xml:space="preserve">December quarter 2019. Over this period, it averaged 2.3%, each quarter, falling to 1.7% over 2020 (the COVID-19 period). </w:t>
      </w:r>
    </w:p>
    <w:p w14:paraId="2E69EB8A" w14:textId="1139AC6F" w:rsidR="00173F8E" w:rsidRPr="00167CB8" w:rsidRDefault="00173F8E" w:rsidP="00173F8E">
      <w:r w:rsidRPr="00167CB8">
        <w:rPr>
          <w:i/>
          <w:iCs/>
        </w:rPr>
        <w:t>Real</w:t>
      </w:r>
      <w:r w:rsidRPr="00167CB8">
        <w:t xml:space="preserve"> wage growth (nominal wage growth adjusted for inflation, the </w:t>
      </w:r>
      <w:r w:rsidR="00D73E6B" w:rsidRPr="00167CB8">
        <w:t>consumer price index (</w:t>
      </w:r>
      <w:r w:rsidRPr="00167CB8">
        <w:t>CPI</w:t>
      </w:r>
      <w:r w:rsidR="00D73E6B" w:rsidRPr="00167CB8">
        <w:t>)</w:t>
      </w:r>
      <w:r w:rsidRPr="00167CB8">
        <w:t>) was equal to 0.4% between 2013 and 2019 and rose to 0.8% in 2020 (when the CPI fell). As inflation picked up after COVID-19</w:t>
      </w:r>
      <w:r w:rsidR="00D73E6B" w:rsidRPr="00167CB8">
        <w:t>,</w:t>
      </w:r>
      <w:r w:rsidRPr="00167CB8">
        <w:t xml:space="preserve"> real wage growth turned negative until the time when the </w:t>
      </w:r>
      <w:r w:rsidR="00D73E6B" w:rsidRPr="00167CB8">
        <w:t xml:space="preserve">Secure Jobs, Better Pay </w:t>
      </w:r>
      <w:r w:rsidRPr="00167CB8">
        <w:t>amendments were passed in December 2022.</w:t>
      </w:r>
    </w:p>
    <w:p w14:paraId="733B91BA" w14:textId="77777777" w:rsidR="00B23127" w:rsidRDefault="00B23127">
      <w:pPr>
        <w:spacing w:after="160"/>
        <w:rPr>
          <w:rFonts w:cs="Calibri"/>
          <w:b/>
          <w:bCs/>
          <w:lang w:val="en-US"/>
        </w:rPr>
      </w:pPr>
      <w:r>
        <w:rPr>
          <w:rFonts w:cs="Calibri"/>
          <w:b/>
          <w:bCs/>
          <w:lang w:val="en-US"/>
        </w:rPr>
        <w:br w:type="page"/>
      </w:r>
    </w:p>
    <w:p w14:paraId="66A5CC10" w14:textId="3D9E0BE8" w:rsidR="00173F8E" w:rsidRPr="00C7470B" w:rsidRDefault="00173F8E" w:rsidP="00C7470B">
      <w:pPr>
        <w:rPr>
          <w:rFonts w:cs="Calibri"/>
          <w:b/>
          <w:bCs/>
          <w:lang w:val="en-US"/>
        </w:rPr>
      </w:pPr>
      <w:r w:rsidRPr="00C7470B">
        <w:rPr>
          <w:rFonts w:cs="Calibri"/>
          <w:b/>
          <w:bCs/>
          <w:lang w:val="en-US"/>
        </w:rPr>
        <w:lastRenderedPageBreak/>
        <w:t xml:space="preserve">Figure </w:t>
      </w:r>
      <w:r w:rsidR="00E16440" w:rsidRPr="00C7470B">
        <w:rPr>
          <w:rFonts w:cs="Calibri"/>
          <w:b/>
          <w:bCs/>
          <w:lang w:val="en-US"/>
        </w:rPr>
        <w:t>6</w:t>
      </w:r>
      <w:r w:rsidRPr="00C7470B">
        <w:rPr>
          <w:rFonts w:cs="Calibri"/>
          <w:b/>
          <w:bCs/>
          <w:lang w:val="en-US"/>
        </w:rPr>
        <w:t xml:space="preserve">: Nominal and real wage growth in Australia, March 2010 to </w:t>
      </w:r>
      <w:r w:rsidR="00D73E6B" w:rsidRPr="00C7470B">
        <w:rPr>
          <w:rFonts w:cs="Calibri"/>
          <w:b/>
          <w:bCs/>
          <w:lang w:val="en-US"/>
        </w:rPr>
        <w:t>September </w:t>
      </w:r>
      <w:r w:rsidRPr="00C7470B">
        <w:rPr>
          <w:rFonts w:cs="Calibri"/>
          <w:b/>
          <w:bCs/>
          <w:lang w:val="en-US"/>
        </w:rPr>
        <w:t>2024</w:t>
      </w:r>
    </w:p>
    <w:p w14:paraId="01926300" w14:textId="2631957D" w:rsidR="00173F8E" w:rsidRPr="00167CB8" w:rsidRDefault="00173F8E" w:rsidP="00D73E6B">
      <w:pPr>
        <w:pStyle w:val="Source"/>
        <w:rPr>
          <w:b/>
          <w:bCs/>
        </w:rPr>
      </w:pPr>
      <w:r w:rsidRPr="00167CB8">
        <w:rPr>
          <w:noProof/>
        </w:rPr>
        <w:drawing>
          <wp:inline distT="0" distB="0" distL="0" distR="0" wp14:anchorId="5F040161" wp14:editId="561D264C">
            <wp:extent cx="5580507" cy="3649649"/>
            <wp:effectExtent l="0" t="0" r="1270" b="8255"/>
            <wp:docPr id="778849414" name="Picture 1" descr="A graph of a graph of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43439" name="Picture 1" descr="A graph of a graph of growth&#10;&#10;Description automatically generated with medium confidence"/>
                    <pic:cNvPicPr/>
                  </pic:nvPicPr>
                  <pic:blipFill>
                    <a:blip r:embed="rId23"/>
                    <a:stretch>
                      <a:fillRect/>
                    </a:stretch>
                  </pic:blipFill>
                  <pic:spPr>
                    <a:xfrm>
                      <a:off x="0" y="0"/>
                      <a:ext cx="5580507" cy="3649649"/>
                    </a:xfrm>
                    <a:prstGeom prst="rect">
                      <a:avLst/>
                    </a:prstGeom>
                  </pic:spPr>
                </pic:pic>
              </a:graphicData>
            </a:graphic>
          </wp:inline>
        </w:drawing>
      </w:r>
      <w:r w:rsidRPr="00167CB8">
        <w:rPr>
          <w:b/>
          <w:bCs/>
        </w:rPr>
        <w:t xml:space="preserve">Notes: </w:t>
      </w:r>
    </w:p>
    <w:p w14:paraId="67EC9AAA" w14:textId="77777777" w:rsidR="00173F8E" w:rsidRPr="00167CB8" w:rsidRDefault="00173F8E" w:rsidP="00D73E6B">
      <w:pPr>
        <w:pStyle w:val="Source"/>
      </w:pPr>
      <w:r w:rsidRPr="00167CB8">
        <w:t>1. ABS 6345.0 Wage Price Index, Australia. Table 1, Total hourly rates of pay excluding bonuses, original.</w:t>
      </w:r>
    </w:p>
    <w:p w14:paraId="7AF65747" w14:textId="77777777" w:rsidR="00173F8E" w:rsidRPr="00167CB8" w:rsidRDefault="00173F8E" w:rsidP="00D73E6B">
      <w:pPr>
        <w:pStyle w:val="Source"/>
      </w:pPr>
      <w:r w:rsidRPr="00167CB8">
        <w:t>2. ABS 6401.0 Consumer Price Index, Australia. Tables 1 and 2, All groups CPI Australia, original.</w:t>
      </w:r>
    </w:p>
    <w:p w14:paraId="577F3D32" w14:textId="51A7A116" w:rsidR="00173F8E" w:rsidRPr="00167CB8" w:rsidRDefault="00173F8E" w:rsidP="00D73E6B">
      <w:pPr>
        <w:pStyle w:val="Source"/>
      </w:pPr>
      <w:r w:rsidRPr="00167CB8">
        <w:t>3. Real wages derived by subtracting the CPI from the WPI which measures nominal wage growth.</w:t>
      </w:r>
    </w:p>
    <w:p w14:paraId="1EE93896" w14:textId="40D9B54F" w:rsidR="00173F8E" w:rsidRPr="00167CB8" w:rsidRDefault="00173F8E" w:rsidP="00173F8E">
      <w:r w:rsidRPr="00167CB8">
        <w:t>A second measure of wage growth came through the WAD’s data on the AAWI</w:t>
      </w:r>
      <w:r w:rsidR="00D73E6B" w:rsidRPr="00167CB8">
        <w:t xml:space="preserve"> </w:t>
      </w:r>
      <w:r w:rsidRPr="00167CB8">
        <w:t>in enterprise agreements; in other words, it measures only nominal (and not real) wage increases and it does not measure wage increases for awards or individual arrangements. This data generally shows that</w:t>
      </w:r>
      <w:r w:rsidR="00D73E6B" w:rsidRPr="00167CB8">
        <w:t>,</w:t>
      </w:r>
      <w:r w:rsidRPr="00167CB8">
        <w:t xml:space="preserve"> between September 2021 and the December 2022 quarter, the AAWI of new approved agreements was relatively static. Over the same period, the AAWI of current agreements also remained static.</w:t>
      </w:r>
    </w:p>
    <w:p w14:paraId="742C939A" w14:textId="281A9692" w:rsidR="00173F8E" w:rsidRPr="00167CB8" w:rsidRDefault="00E541C4" w:rsidP="00173F8E">
      <w:pPr>
        <w:pStyle w:val="Heading6"/>
      </w:pPr>
      <w:r w:rsidRPr="00167CB8">
        <w:t>8</w:t>
      </w:r>
      <w:r w:rsidR="00173F8E" w:rsidRPr="00167CB8">
        <w:t>.3.5.2 Wages and productivity</w:t>
      </w:r>
    </w:p>
    <w:p w14:paraId="6D27753A" w14:textId="051648DB" w:rsidR="00173F8E" w:rsidRPr="00167CB8" w:rsidRDefault="00173F8E" w:rsidP="00173F8E">
      <w:pPr>
        <w:rPr>
          <w:sz w:val="24"/>
          <w:szCs w:val="24"/>
        </w:rPr>
      </w:pPr>
      <w:r w:rsidRPr="00167CB8">
        <w:t xml:space="preserve">A key point about this account of wage growth (and decline) </w:t>
      </w:r>
      <w:r w:rsidR="0033167A" w:rsidRPr="00167CB8">
        <w:t>is</w:t>
      </w:r>
      <w:r w:rsidRPr="00167CB8">
        <w:t xml:space="preserve"> that real wages were not increasing in line with trends in labour productivity. This is graphically illustrated in Figure </w:t>
      </w:r>
      <w:r w:rsidR="00411FDF" w:rsidRPr="00167CB8">
        <w:t>7</w:t>
      </w:r>
      <w:r w:rsidRPr="00167CB8">
        <w:t xml:space="preserve"> below. Using indices of wages and labour productivity, based on progress after 2012, </w:t>
      </w:r>
      <w:r w:rsidR="00544ABE" w:rsidRPr="00167CB8">
        <w:t xml:space="preserve">Figure </w:t>
      </w:r>
      <w:r w:rsidR="00605246" w:rsidRPr="00167CB8">
        <w:t>7</w:t>
      </w:r>
      <w:r w:rsidR="00544ABE" w:rsidRPr="00167CB8">
        <w:t xml:space="preserve"> </w:t>
      </w:r>
      <w:r w:rsidRPr="00167CB8">
        <w:t xml:space="preserve">shows that between the March quarter 2013 and the December quarter 2019 real wages increased by 2.2%, while labour productivity increased by 6.0%. Moreover, at the time of the </w:t>
      </w:r>
      <w:r w:rsidR="00D73E6B" w:rsidRPr="00167CB8">
        <w:t xml:space="preserve">Secure Jobs, Better Pay </w:t>
      </w:r>
      <w:r w:rsidRPr="00167CB8">
        <w:t>amendments, new wages had reached a low point, well below real wages in 2012</w:t>
      </w:r>
      <w:r w:rsidR="00D73E6B" w:rsidRPr="00167CB8">
        <w:t>.</w:t>
      </w:r>
    </w:p>
    <w:p w14:paraId="245703D9" w14:textId="77777777" w:rsidR="00B23127" w:rsidRDefault="00B23127">
      <w:pPr>
        <w:spacing w:after="160"/>
        <w:rPr>
          <w:rFonts w:cs="Calibri"/>
          <w:b/>
          <w:bCs/>
          <w:lang w:val="en-US"/>
        </w:rPr>
      </w:pPr>
      <w:r>
        <w:rPr>
          <w:rFonts w:cs="Calibri"/>
          <w:b/>
          <w:bCs/>
          <w:lang w:val="en-US"/>
        </w:rPr>
        <w:br w:type="page"/>
      </w:r>
    </w:p>
    <w:p w14:paraId="1DC91CB2" w14:textId="6CA22AF6" w:rsidR="00173F8E" w:rsidRPr="00C7470B" w:rsidRDefault="00173F8E" w:rsidP="00C7470B">
      <w:pPr>
        <w:rPr>
          <w:rFonts w:cs="Calibri"/>
          <w:b/>
          <w:bCs/>
          <w:lang w:val="en-US"/>
        </w:rPr>
      </w:pPr>
      <w:r w:rsidRPr="00C7470B">
        <w:rPr>
          <w:rFonts w:cs="Calibri"/>
          <w:b/>
          <w:bCs/>
          <w:lang w:val="en-US"/>
        </w:rPr>
        <w:lastRenderedPageBreak/>
        <w:t xml:space="preserve">Figure </w:t>
      </w:r>
      <w:r w:rsidR="00DA086D" w:rsidRPr="00C7470B">
        <w:rPr>
          <w:rFonts w:cs="Calibri"/>
          <w:b/>
          <w:bCs/>
          <w:lang w:val="en-US"/>
        </w:rPr>
        <w:t>7</w:t>
      </w:r>
      <w:r w:rsidRPr="00C7470B">
        <w:rPr>
          <w:rFonts w:cs="Calibri"/>
          <w:b/>
          <w:bCs/>
          <w:lang w:val="en-US"/>
        </w:rPr>
        <w:t>: Real wage and productivity growth, 2012 to 2024</w:t>
      </w:r>
    </w:p>
    <w:p w14:paraId="475E9E6C" w14:textId="77777777" w:rsidR="00173F8E" w:rsidRPr="00167CB8" w:rsidRDefault="00173F8E" w:rsidP="00173F8E">
      <w:pPr>
        <w:spacing w:after="0" w:line="240" w:lineRule="auto"/>
        <w:rPr>
          <w:sz w:val="24"/>
          <w:szCs w:val="24"/>
        </w:rPr>
      </w:pPr>
      <w:r w:rsidRPr="00167CB8">
        <w:rPr>
          <w:noProof/>
        </w:rPr>
        <w:drawing>
          <wp:inline distT="0" distB="0" distL="0" distR="0" wp14:anchorId="57B27618" wp14:editId="746954D3">
            <wp:extent cx="5731510" cy="3748405"/>
            <wp:effectExtent l="0" t="0" r="2540" b="4445"/>
            <wp:docPr id="1502553242" name="Picture 1" descr="A graph of 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38860" name="Picture 1" descr="A graph of a graph with numbers and lines&#10;&#10;Description automatically generated with medium confidence"/>
                    <pic:cNvPicPr/>
                  </pic:nvPicPr>
                  <pic:blipFill>
                    <a:blip r:embed="rId24"/>
                    <a:stretch>
                      <a:fillRect/>
                    </a:stretch>
                  </pic:blipFill>
                  <pic:spPr>
                    <a:xfrm>
                      <a:off x="0" y="0"/>
                      <a:ext cx="5731510" cy="3748405"/>
                    </a:xfrm>
                    <a:prstGeom prst="rect">
                      <a:avLst/>
                    </a:prstGeom>
                  </pic:spPr>
                </pic:pic>
              </a:graphicData>
            </a:graphic>
          </wp:inline>
        </w:drawing>
      </w:r>
    </w:p>
    <w:p w14:paraId="13F07333" w14:textId="77777777" w:rsidR="00173F8E" w:rsidRPr="00167CB8" w:rsidRDefault="00173F8E" w:rsidP="00D73E6B">
      <w:pPr>
        <w:pStyle w:val="Source"/>
        <w:rPr>
          <w:b/>
          <w:bCs/>
        </w:rPr>
      </w:pPr>
      <w:r w:rsidRPr="00167CB8">
        <w:rPr>
          <w:b/>
          <w:bCs/>
        </w:rPr>
        <w:t xml:space="preserve">Notes: </w:t>
      </w:r>
    </w:p>
    <w:p w14:paraId="0A801677" w14:textId="553B648D" w:rsidR="00173F8E" w:rsidRPr="00167CB8" w:rsidRDefault="00173F8E" w:rsidP="00D73E6B">
      <w:pPr>
        <w:pStyle w:val="Source"/>
      </w:pPr>
      <w:r w:rsidRPr="00167CB8">
        <w:t>1. Indexed to June 2012.</w:t>
      </w:r>
    </w:p>
    <w:p w14:paraId="6EEA89C7" w14:textId="40F380AA" w:rsidR="00173F8E" w:rsidRPr="00167CB8" w:rsidRDefault="00173F8E" w:rsidP="00D73E6B">
      <w:pPr>
        <w:pStyle w:val="Source"/>
      </w:pPr>
      <w:r w:rsidRPr="00167CB8">
        <w:t xml:space="preserve">2. Labour productivity measures </w:t>
      </w:r>
      <w:r w:rsidR="00544ABE" w:rsidRPr="00167CB8">
        <w:t>gross domestic product (</w:t>
      </w:r>
      <w:r w:rsidRPr="00167CB8">
        <w:t>GDP</w:t>
      </w:r>
      <w:r w:rsidR="00544ABE" w:rsidRPr="00167CB8">
        <w:t>)</w:t>
      </w:r>
      <w:r w:rsidRPr="00167CB8">
        <w:t xml:space="preserve"> per unit labour input. It is derived by dividing seasonally adjusted GDP chain volume measures (National Accounts, ABS Cat No 5206.0, Table 1, series A2304402X) with information on seasonally adjusted total hours actually worked in all jobs from the Labour Account (ABS 6150.0.55.003, Table 1, series A85389483J). </w:t>
      </w:r>
    </w:p>
    <w:p w14:paraId="44BDE794" w14:textId="0DC3680B" w:rsidR="00173F8E" w:rsidRPr="00167CB8" w:rsidRDefault="00173F8E" w:rsidP="00D73E6B">
      <w:pPr>
        <w:pStyle w:val="Source"/>
      </w:pPr>
      <w:r w:rsidRPr="00167CB8">
        <w:t>3. WPI data source: ABS 6345.0 Wage Price Index, Australia. Table 1, Total hourly rates of pay excluding bonuses, original.</w:t>
      </w:r>
      <w:r w:rsidR="00544ABE" w:rsidRPr="00167CB8">
        <w:t xml:space="preserve"> </w:t>
      </w:r>
      <w:r w:rsidRPr="00167CB8">
        <w:t>CPI data source: ABS 6401.0 Consumer Price Index, Australia. Tables 1 and 2, All groups CPI Australia, original.</w:t>
      </w:r>
    </w:p>
    <w:p w14:paraId="4469FD52" w14:textId="7FC20984" w:rsidR="00173F8E" w:rsidRPr="00167CB8" w:rsidRDefault="00D51F64" w:rsidP="00D73E6B">
      <w:pPr>
        <w:pStyle w:val="Source"/>
      </w:pPr>
      <w:r>
        <w:t xml:space="preserve">4. </w:t>
      </w:r>
      <w:r w:rsidR="00173F8E" w:rsidRPr="00167CB8">
        <w:t xml:space="preserve">The red vertical line shows when the </w:t>
      </w:r>
      <w:r w:rsidR="00544ABE" w:rsidRPr="00167CB8">
        <w:t xml:space="preserve">Secure Jobs, Better Pay </w:t>
      </w:r>
      <w:r w:rsidR="00173F8E" w:rsidRPr="00167CB8">
        <w:t>Act came into effect.</w:t>
      </w:r>
    </w:p>
    <w:p w14:paraId="671A9DF0" w14:textId="1F0F2087" w:rsidR="00173F8E" w:rsidRPr="00167CB8" w:rsidRDefault="00E541C4" w:rsidP="00173F8E">
      <w:pPr>
        <w:pStyle w:val="Heading6"/>
        <w:rPr>
          <w:b w:val="0"/>
        </w:rPr>
      </w:pPr>
      <w:r w:rsidRPr="00167CB8">
        <w:t>8</w:t>
      </w:r>
      <w:r w:rsidR="00173F8E" w:rsidRPr="00167CB8">
        <w:t>.3.5.3 Shares of national product</w:t>
      </w:r>
    </w:p>
    <w:p w14:paraId="0329DDA1" w14:textId="164EE79E" w:rsidR="00173F8E" w:rsidRPr="00167CB8" w:rsidRDefault="00173F8E" w:rsidP="00173F8E">
      <w:r w:rsidRPr="00167CB8">
        <w:t>Another indicator of economic outcomes is the labour share (LS) of gross domestic product (GDP) – the proportion of total economic output that is received as compensation by paid employees.</w:t>
      </w:r>
      <w:r w:rsidRPr="00167CB8">
        <w:rPr>
          <w:rStyle w:val="FootnoteReference"/>
        </w:rPr>
        <w:footnoteReference w:id="262"/>
      </w:r>
      <w:r w:rsidRPr="00167CB8">
        <w:t xml:space="preserve"> Drawing on Australia’s National Accounts, the LS is estimated by dividing total compensation of employees (which includes wages, salaries and other benefits such as superannuation contributions by employers) by GDP. The </w:t>
      </w:r>
      <w:r w:rsidR="00544ABE" w:rsidRPr="00167CB8">
        <w:t>Australian Bureau of Statistics (</w:t>
      </w:r>
      <w:r w:rsidRPr="00167CB8">
        <w:t>ABS</w:t>
      </w:r>
      <w:r w:rsidR="00544ABE" w:rsidRPr="00167CB8">
        <w:t>)</w:t>
      </w:r>
      <w:r w:rsidRPr="00167CB8">
        <w:t xml:space="preserve"> series extends back to September 1959. Figure </w:t>
      </w:r>
      <w:r w:rsidR="00232B31" w:rsidRPr="00167CB8">
        <w:t>8</w:t>
      </w:r>
      <w:r w:rsidRPr="00167CB8">
        <w:t xml:space="preserve"> shows that the LS reached its highest peak in March 1975 at 58.3% and since then there has been a long-term decline in the share. It reached its lowest point in the June 2022 quarter at 44.8%. In the period March 2013 to December 2019, it declined by 0.3 percentage points and averaged 47.8% over the period. </w:t>
      </w:r>
    </w:p>
    <w:p w14:paraId="78280A01" w14:textId="79D31890" w:rsidR="00173F8E" w:rsidRPr="00167CB8" w:rsidRDefault="00173F8E" w:rsidP="00173F8E">
      <w:pPr>
        <w:spacing w:after="120" w:line="240" w:lineRule="auto"/>
      </w:pPr>
      <w:r w:rsidRPr="00167CB8">
        <w:lastRenderedPageBreak/>
        <w:t>The surge to 51% in the June 2020 quarter was caused by COVID-19. Between March 2020 and June 2020</w:t>
      </w:r>
      <w:r w:rsidR="00D73E6B" w:rsidRPr="00167CB8">
        <w:t>,</w:t>
      </w:r>
      <w:r w:rsidRPr="00167CB8">
        <w:t xml:space="preserve"> GDP declined by 7.2%. Total employee compensation fell by 1.6% over the same period.</w:t>
      </w:r>
    </w:p>
    <w:p w14:paraId="3A32F96C" w14:textId="3B5E4171" w:rsidR="00173F8E" w:rsidRPr="007137D7" w:rsidRDefault="00173F8E" w:rsidP="007137D7">
      <w:pPr>
        <w:pStyle w:val="Caption"/>
        <w:ind w:left="0"/>
      </w:pPr>
      <w:r w:rsidRPr="00167CB8">
        <w:t xml:space="preserve">Figure </w:t>
      </w:r>
      <w:r w:rsidR="00CC05AC" w:rsidRPr="00167CB8">
        <w:t>8</w:t>
      </w:r>
      <w:r w:rsidRPr="00167CB8">
        <w:t>: Labour compensation as a share of GDP, September 1959 to September</w:t>
      </w:r>
      <w:r w:rsidR="00D73E6B" w:rsidRPr="00167CB8">
        <w:t> </w:t>
      </w:r>
      <w:r w:rsidRPr="00167CB8">
        <w:t>2024</w:t>
      </w:r>
      <w:r w:rsidRPr="00167CB8">
        <w:rPr>
          <w:noProof/>
        </w:rPr>
        <w:t xml:space="preserve"> </w:t>
      </w:r>
      <w:r w:rsidRPr="00167CB8">
        <w:rPr>
          <w:noProof/>
        </w:rPr>
        <w:drawing>
          <wp:inline distT="0" distB="0" distL="0" distR="0" wp14:anchorId="07E82841" wp14:editId="705CF3FE">
            <wp:extent cx="5731510" cy="3748405"/>
            <wp:effectExtent l="0" t="0" r="2540" b="4445"/>
            <wp:docPr id="2030760952" name="Picture 1" descr="A grap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6871" name="Picture 1" descr="A graph of a stock market&#10;&#10;Description automatically generated"/>
                    <pic:cNvPicPr/>
                  </pic:nvPicPr>
                  <pic:blipFill>
                    <a:blip r:embed="rId25"/>
                    <a:stretch>
                      <a:fillRect/>
                    </a:stretch>
                  </pic:blipFill>
                  <pic:spPr>
                    <a:xfrm>
                      <a:off x="0" y="0"/>
                      <a:ext cx="5731510" cy="3748405"/>
                    </a:xfrm>
                    <a:prstGeom prst="rect">
                      <a:avLst/>
                    </a:prstGeom>
                  </pic:spPr>
                </pic:pic>
              </a:graphicData>
            </a:graphic>
          </wp:inline>
        </w:drawing>
      </w:r>
    </w:p>
    <w:p w14:paraId="5097796D" w14:textId="77777777" w:rsidR="00173F8E" w:rsidRPr="00167CB8" w:rsidRDefault="00173F8E" w:rsidP="00D73E6B">
      <w:pPr>
        <w:pStyle w:val="Source"/>
        <w:rPr>
          <w:b/>
          <w:bCs/>
        </w:rPr>
      </w:pPr>
      <w:r w:rsidRPr="00167CB8">
        <w:rPr>
          <w:b/>
          <w:bCs/>
        </w:rPr>
        <w:t>Notes:</w:t>
      </w:r>
    </w:p>
    <w:p w14:paraId="5E1A3897" w14:textId="77777777" w:rsidR="00173F8E" w:rsidRPr="00167CB8" w:rsidRDefault="00173F8E" w:rsidP="00D73E6B">
      <w:pPr>
        <w:pStyle w:val="Source"/>
      </w:pPr>
      <w:r w:rsidRPr="00167CB8">
        <w:t xml:space="preserve">1.  Source: ABS 5206.0 Australian National Accounts, Table 7 (Income from GDP, current prices).  </w:t>
      </w:r>
    </w:p>
    <w:p w14:paraId="2EF9EB92" w14:textId="77777777" w:rsidR="00173F8E" w:rsidRPr="00167CB8" w:rsidRDefault="00173F8E" w:rsidP="00D73E6B">
      <w:pPr>
        <w:pStyle w:val="Source"/>
      </w:pPr>
      <w:r w:rsidRPr="00167CB8">
        <w:t xml:space="preserve">2.  Share is derived by dividing Series ID: A2303359K (compensation of employees) by series ID A2304418T (Gross Domestic Product (GDP), seasonally adjusted. </w:t>
      </w:r>
    </w:p>
    <w:p w14:paraId="44CF1D66" w14:textId="42C8B4A5" w:rsidR="00173F8E" w:rsidRPr="00167CB8" w:rsidRDefault="00173F8E" w:rsidP="00D73E6B">
      <w:pPr>
        <w:pStyle w:val="Source"/>
      </w:pPr>
      <w:r w:rsidRPr="00167CB8">
        <w:t xml:space="preserve">3. </w:t>
      </w:r>
      <w:r w:rsidRPr="00167CB8">
        <w:rPr>
          <w:rFonts w:ascii="Calibri" w:hAnsi="Calibri" w:cs="Calibri"/>
        </w:rPr>
        <w:t xml:space="preserve">The red vertical line shows when the </w:t>
      </w:r>
      <w:r w:rsidR="00544ABE" w:rsidRPr="00167CB8">
        <w:rPr>
          <w:rFonts w:ascii="Calibri" w:hAnsi="Calibri" w:cs="Calibri"/>
        </w:rPr>
        <w:t xml:space="preserve">Secure Jobs, Better Pay </w:t>
      </w:r>
      <w:r w:rsidRPr="00167CB8">
        <w:rPr>
          <w:rFonts w:ascii="Calibri" w:hAnsi="Calibri" w:cs="Calibri"/>
        </w:rPr>
        <w:t>Act came into effect.</w:t>
      </w:r>
    </w:p>
    <w:p w14:paraId="58A7B855" w14:textId="11D31BA4" w:rsidR="00173F8E" w:rsidRPr="00167CB8" w:rsidRDefault="00E541C4" w:rsidP="00173F8E">
      <w:pPr>
        <w:pStyle w:val="Heading6"/>
        <w:rPr>
          <w:b w:val="0"/>
        </w:rPr>
      </w:pPr>
      <w:r w:rsidRPr="00167CB8">
        <w:t>8</w:t>
      </w:r>
      <w:r w:rsidR="00173F8E" w:rsidRPr="00167CB8">
        <w:t>.3.5.</w:t>
      </w:r>
      <w:r w:rsidR="00D4247C" w:rsidRPr="00167CB8">
        <w:t>4</w:t>
      </w:r>
      <w:r w:rsidR="00173F8E" w:rsidRPr="00167CB8">
        <w:t xml:space="preserve"> Pre-</w:t>
      </w:r>
      <w:r w:rsidR="00D73E6B" w:rsidRPr="00167CB8">
        <w:t xml:space="preserve">Secure Jobs, Better Pay </w:t>
      </w:r>
      <w:r w:rsidR="00173F8E" w:rsidRPr="00167CB8">
        <w:t xml:space="preserve">amendments </w:t>
      </w:r>
      <w:r w:rsidR="00D73E6B" w:rsidRPr="00167CB8">
        <w:rPr>
          <w:rFonts w:ascii="Symbol" w:eastAsia="Symbol" w:hAnsi="Symbol" w:cs="Symbol"/>
        </w:rPr>
        <w:sym w:font="Symbol" w:char="F02D"/>
      </w:r>
      <w:r w:rsidR="00173F8E" w:rsidRPr="00167CB8">
        <w:t xml:space="preserve"> </w:t>
      </w:r>
      <w:r w:rsidR="00D73E6B" w:rsidRPr="00167CB8">
        <w:t>c</w:t>
      </w:r>
      <w:r w:rsidR="00173F8E" w:rsidRPr="00167CB8">
        <w:t>onclusions</w:t>
      </w:r>
    </w:p>
    <w:p w14:paraId="35576C65" w14:textId="77777777" w:rsidR="00173F8E" w:rsidRPr="00167CB8" w:rsidRDefault="00173F8E" w:rsidP="00173F8E">
      <w:r w:rsidRPr="00167CB8">
        <w:t xml:space="preserve">In summary, according to these measures, the economic situation of Australian workers declined during the period between 2012 and 2022. This coincided closely with the decline of collective bargaining. </w:t>
      </w:r>
    </w:p>
    <w:p w14:paraId="1CF980BC" w14:textId="6E40844D" w:rsidR="00173F8E" w:rsidRPr="00167CB8" w:rsidRDefault="00173F8E" w:rsidP="00173F8E">
      <w:r w:rsidRPr="00167CB8">
        <w:t>The causes of this long-term decline in the economic situation of workers are undoubtedly complicated and include factors such as the market power of firms.</w:t>
      </w:r>
      <w:r w:rsidRPr="00167CB8">
        <w:rPr>
          <w:rStyle w:val="FootnoteReference"/>
        </w:rPr>
        <w:footnoteReference w:id="263"/>
      </w:r>
      <w:r w:rsidRPr="00167CB8">
        <w:t xml:space="preserve"> Many commentators, however, also attribute the decline to legal and institutional factors, especially the decline of collective bargaining.</w:t>
      </w:r>
      <w:r w:rsidR="00D73E6B" w:rsidRPr="00167CB8">
        <w:rPr>
          <w:rStyle w:val="FootnoteReference"/>
        </w:rPr>
        <w:footnoteReference w:id="264"/>
      </w:r>
      <w:r w:rsidRPr="00167CB8">
        <w:t xml:space="preserve"> </w:t>
      </w:r>
    </w:p>
    <w:p w14:paraId="2ACC6F0F" w14:textId="77777777" w:rsidR="00173F8E" w:rsidRPr="00167CB8" w:rsidRDefault="00173F8E" w:rsidP="00173F8E">
      <w:r w:rsidRPr="00167CB8">
        <w:lastRenderedPageBreak/>
        <w:t xml:space="preserve">Whatever the cause, the urgency of the problem and the need for change were undeniable. </w:t>
      </w:r>
    </w:p>
    <w:p w14:paraId="7FCD6637" w14:textId="03A0F826" w:rsidR="00173F8E" w:rsidRPr="00167CB8" w:rsidRDefault="00084A31" w:rsidP="00173F8E">
      <w:pPr>
        <w:pStyle w:val="Heading4"/>
        <w:rPr>
          <w:b w:val="0"/>
        </w:rPr>
      </w:pPr>
      <w:bookmarkStart w:id="155" w:name="_Toc189260220"/>
      <w:bookmarkStart w:id="156" w:name="_Toc189393536"/>
      <w:r w:rsidRPr="00167CB8">
        <w:t>8</w:t>
      </w:r>
      <w:r w:rsidR="00173F8E" w:rsidRPr="00167CB8">
        <w:t xml:space="preserve">.4 Developments in </w:t>
      </w:r>
      <w:r w:rsidR="00D73E6B" w:rsidRPr="00167CB8">
        <w:t>c</w:t>
      </w:r>
      <w:r w:rsidR="00173F8E" w:rsidRPr="00167CB8">
        <w:t xml:space="preserve">ollective </w:t>
      </w:r>
      <w:r w:rsidR="00D73E6B" w:rsidRPr="00167CB8">
        <w:t>b</w:t>
      </w:r>
      <w:r w:rsidR="00173F8E" w:rsidRPr="00167CB8">
        <w:t xml:space="preserve">argaining resulting from the </w:t>
      </w:r>
      <w:r w:rsidR="00D73E6B" w:rsidRPr="00167CB8">
        <w:t>Secure Jobs, Better Pay a</w:t>
      </w:r>
      <w:r w:rsidR="00173F8E" w:rsidRPr="00167CB8">
        <w:t>mendments, 2022</w:t>
      </w:r>
      <w:r w:rsidR="00D73E6B" w:rsidRPr="00167CB8">
        <w:rPr>
          <w:rFonts w:ascii="Symbol" w:eastAsia="Symbol" w:hAnsi="Symbol" w:cs="Symbol"/>
        </w:rPr>
        <w:sym w:font="Symbol" w:char="F02D"/>
      </w:r>
      <w:r w:rsidR="00173F8E" w:rsidRPr="00167CB8">
        <w:t>2024</w:t>
      </w:r>
      <w:bookmarkEnd w:id="155"/>
      <w:bookmarkEnd w:id="156"/>
    </w:p>
    <w:p w14:paraId="05D74F09" w14:textId="5E5A4733" w:rsidR="00173F8E" w:rsidRPr="00167CB8" w:rsidRDefault="00173F8E" w:rsidP="00173F8E">
      <w:r w:rsidRPr="00167CB8">
        <w:t xml:space="preserve">The amendments to the law surrounding collective bargaining and collective agreements emanating from the </w:t>
      </w:r>
      <w:r w:rsidR="00D73E6B" w:rsidRPr="00167CB8">
        <w:t xml:space="preserve">Secure Jobs, Better Pay </w:t>
      </w:r>
      <w:r w:rsidRPr="00167CB8">
        <w:t>Act in December 2022 are described in some detail in the following chapters, as are some of the effects of those amendments. This section</w:t>
      </w:r>
      <w:r w:rsidRPr="00167CB8" w:rsidDel="00FB2D45">
        <w:t xml:space="preserve"> </w:t>
      </w:r>
      <w:r w:rsidRPr="00167CB8">
        <w:t xml:space="preserve">instead focuses, first, on the ‘big picture’ by locating amendments within the dimensions of bargaining identified above in </w:t>
      </w:r>
      <w:r w:rsidR="006755CD">
        <w:t>sub</w:t>
      </w:r>
      <w:r w:rsidRPr="00167CB8">
        <w:t xml:space="preserve">section </w:t>
      </w:r>
      <w:r w:rsidR="00AE3C84" w:rsidRPr="00167CB8">
        <w:t>8</w:t>
      </w:r>
      <w:r w:rsidRPr="00167CB8">
        <w:t>.</w:t>
      </w:r>
      <w:r w:rsidR="00971849">
        <w:t>4.</w:t>
      </w:r>
      <w:r w:rsidRPr="00167CB8">
        <w:t xml:space="preserve">1. This helps to </w:t>
      </w:r>
      <w:r w:rsidR="00544ABE" w:rsidRPr="00167CB8">
        <w:t xml:space="preserve">give an </w:t>
      </w:r>
      <w:r w:rsidRPr="00167CB8">
        <w:t>understand</w:t>
      </w:r>
      <w:r w:rsidR="00544ABE" w:rsidRPr="00167CB8">
        <w:t>ing of</w:t>
      </w:r>
      <w:r w:rsidRPr="00167CB8">
        <w:t xml:space="preserve"> the intentions behind the amendments. The argument is that the collective bargaining amendments were intended to expand the incidence and coverage of collective bargaining. Moreover, this expansion of bargaining was intended to increase the wages received by Australian workers and improve the economic situation of those workers. </w:t>
      </w:r>
    </w:p>
    <w:p w14:paraId="2FFFB3E8" w14:textId="486A4E89" w:rsidR="00173F8E" w:rsidRPr="00167CB8" w:rsidRDefault="00173F8E" w:rsidP="00173F8E">
      <w:r w:rsidRPr="00167CB8">
        <w:t xml:space="preserve">The second and third subsections below then start to summarise the effects – as opposed to the intentions – of the amendments. In other words, they ask whether the incidence and coverage of collective agreements have increased since the passing of the amendments (section </w:t>
      </w:r>
      <w:r w:rsidR="0010582D" w:rsidRPr="00167CB8">
        <w:t>8.</w:t>
      </w:r>
      <w:r w:rsidR="002337F2" w:rsidRPr="00167CB8">
        <w:t>4.2</w:t>
      </w:r>
      <w:r w:rsidRPr="00167CB8">
        <w:t xml:space="preserve">) and whether there has there been some improvement in the economic situation of Australian workers (section </w:t>
      </w:r>
      <w:r w:rsidR="00377B6C" w:rsidRPr="00167CB8">
        <w:t>8.4.3</w:t>
      </w:r>
      <w:r w:rsidRPr="00167CB8">
        <w:t>). In this way, not only does this section summarise the ‘big picture’ but it also avoids the repetition across chapters of data on bargaining and wages outcomes.</w:t>
      </w:r>
      <w:r w:rsidRPr="00167CB8">
        <w:rPr>
          <w:rStyle w:val="FootnoteReference"/>
        </w:rPr>
        <w:footnoteReference w:id="265"/>
      </w:r>
      <w:r w:rsidRPr="00167CB8">
        <w:t xml:space="preserve"> </w:t>
      </w:r>
    </w:p>
    <w:p w14:paraId="7FA5A87D" w14:textId="137A4E19" w:rsidR="00173F8E" w:rsidRPr="00167CB8" w:rsidRDefault="00084A31" w:rsidP="00173F8E">
      <w:pPr>
        <w:pStyle w:val="Heading5"/>
        <w:rPr>
          <w:b w:val="0"/>
        </w:rPr>
      </w:pPr>
      <w:r w:rsidRPr="00167CB8">
        <w:t>8</w:t>
      </w:r>
      <w:r w:rsidR="00173F8E" w:rsidRPr="00167CB8">
        <w:t>.4.1 The status, level and agents of the amendments</w:t>
      </w:r>
    </w:p>
    <w:p w14:paraId="094CB25F" w14:textId="0753FA56" w:rsidR="00173F8E" w:rsidRPr="00167CB8" w:rsidRDefault="00173F8E" w:rsidP="00544ABE">
      <w:r w:rsidRPr="00167CB8">
        <w:t xml:space="preserve">Locating the amendments within the </w:t>
      </w:r>
      <w:r w:rsidR="00D73E6B" w:rsidRPr="00167CB8">
        <w:t xml:space="preserve">3 </w:t>
      </w:r>
      <w:r w:rsidRPr="00167CB8">
        <w:t xml:space="preserve">dimensions of collective bargaining (discussed above) helps to </w:t>
      </w:r>
      <w:r w:rsidR="00544ABE" w:rsidRPr="00167CB8">
        <w:t xml:space="preserve">give an </w:t>
      </w:r>
      <w:r w:rsidRPr="00167CB8">
        <w:t>understand</w:t>
      </w:r>
      <w:r w:rsidR="00544ABE" w:rsidRPr="00167CB8">
        <w:t>ing of</w:t>
      </w:r>
      <w:r w:rsidRPr="00167CB8">
        <w:t xml:space="preserve"> the intentions behind them.</w:t>
      </w:r>
    </w:p>
    <w:p w14:paraId="5E63A633" w14:textId="3BB77B4D" w:rsidR="00173F8E" w:rsidRPr="00167CB8" w:rsidRDefault="00084A31" w:rsidP="00173F8E">
      <w:pPr>
        <w:pStyle w:val="Heading6"/>
      </w:pPr>
      <w:r w:rsidRPr="00167CB8">
        <w:t>8</w:t>
      </w:r>
      <w:r w:rsidR="00173F8E" w:rsidRPr="00167CB8">
        <w:t xml:space="preserve">. 4.1.1 Status </w:t>
      </w:r>
    </w:p>
    <w:p w14:paraId="2FEBDB81" w14:textId="1503A207" w:rsidR="00173F8E" w:rsidRPr="00167CB8" w:rsidRDefault="00173F8E" w:rsidP="00173F8E">
      <w:r w:rsidRPr="00167CB8">
        <w:t xml:space="preserve">The </w:t>
      </w:r>
      <w:r w:rsidR="00D73E6B" w:rsidRPr="00167CB8">
        <w:t xml:space="preserve">Secure Jobs, Better Pay </w:t>
      </w:r>
      <w:r w:rsidRPr="00167CB8">
        <w:t xml:space="preserve">amendments mostly aim to reduce the barriers to collective agreement making created by excessive legal regulation, although some potentially work in the opposite direction. For example, amendments like those focused on the requirements for agreement approval (see Chapter </w:t>
      </w:r>
      <w:r w:rsidR="005118DA" w:rsidRPr="00167CB8">
        <w:t>16</w:t>
      </w:r>
      <w:r w:rsidRPr="00167CB8">
        <w:t xml:space="preserve">), the </w:t>
      </w:r>
      <w:r w:rsidR="00544ABE" w:rsidRPr="00167CB8">
        <w:t>Better Off Overall Test (</w:t>
      </w:r>
      <w:r w:rsidRPr="00167CB8">
        <w:t>BOOT</w:t>
      </w:r>
      <w:r w:rsidR="00544ABE" w:rsidRPr="00167CB8">
        <w:t>)</w:t>
      </w:r>
      <w:r w:rsidRPr="00167CB8">
        <w:t xml:space="preserve"> (see Chapter </w:t>
      </w:r>
      <w:r w:rsidR="005118DA" w:rsidRPr="00167CB8">
        <w:t>17</w:t>
      </w:r>
      <w:r w:rsidRPr="00167CB8">
        <w:t>)</w:t>
      </w:r>
      <w:r w:rsidR="00D73E6B" w:rsidRPr="00167CB8">
        <w:t xml:space="preserve"> and</w:t>
      </w:r>
      <w:r w:rsidRPr="00167CB8">
        <w:t xml:space="preserve"> the capacity of the FWC to deal with errors (see Chapter </w:t>
      </w:r>
      <w:r w:rsidR="005118DA" w:rsidRPr="00167CB8">
        <w:t>18</w:t>
      </w:r>
      <w:r w:rsidRPr="00167CB8">
        <w:t xml:space="preserve">) and vary enterprise agreements (see Chapter </w:t>
      </w:r>
      <w:r w:rsidR="005118DA" w:rsidRPr="00167CB8">
        <w:t>19</w:t>
      </w:r>
      <w:r w:rsidRPr="00167CB8">
        <w:t>) aim to simplify legal procedures for bargaining. They thereby encourage the making and expand the coverage of more single-enterprise collective agreements.</w:t>
      </w:r>
    </w:p>
    <w:p w14:paraId="0650A9B3" w14:textId="60319C9B" w:rsidR="00173F8E" w:rsidRPr="00167CB8" w:rsidRDefault="00173F8E" w:rsidP="00173F8E">
      <w:r w:rsidRPr="00167CB8">
        <w:t xml:space="preserve">At the same time, the legislative provisions specifying </w:t>
      </w:r>
      <w:r w:rsidR="006D7CA0" w:rsidRPr="00167CB8">
        <w:t xml:space="preserve">3 </w:t>
      </w:r>
      <w:r w:rsidRPr="00167CB8">
        <w:t xml:space="preserve">types of multi-employer bargaining, each with different procedural rules (see Chapters </w:t>
      </w:r>
      <w:r w:rsidR="00FB6C86" w:rsidRPr="00167CB8">
        <w:t>10 to 12</w:t>
      </w:r>
      <w:r w:rsidRPr="00167CB8">
        <w:t xml:space="preserve">), potentially add to the legal rules governing the making of those agreements. Each of the </w:t>
      </w:r>
      <w:r w:rsidR="006D7CA0" w:rsidRPr="00167CB8">
        <w:t xml:space="preserve">3 </w:t>
      </w:r>
      <w:r w:rsidRPr="00167CB8">
        <w:t xml:space="preserve">forms of multi-employer bargaining has different procedural rules, which must be digested and accommodated.  </w:t>
      </w:r>
    </w:p>
    <w:p w14:paraId="5F8AF697" w14:textId="0A01CE36" w:rsidR="00173F8E" w:rsidRPr="00167CB8" w:rsidRDefault="00084A31" w:rsidP="00173F8E">
      <w:pPr>
        <w:pStyle w:val="Heading6"/>
      </w:pPr>
      <w:r w:rsidRPr="00167CB8">
        <w:t>8</w:t>
      </w:r>
      <w:r w:rsidR="00173F8E" w:rsidRPr="00167CB8">
        <w:t>.4.1.2 Level</w:t>
      </w:r>
    </w:p>
    <w:p w14:paraId="7122F264" w14:textId="515A63E3" w:rsidR="00173F8E" w:rsidRPr="00167CB8" w:rsidRDefault="00173F8E" w:rsidP="00173F8E">
      <w:r w:rsidRPr="00167CB8">
        <w:t xml:space="preserve">The amendments reinforce the highly decentralised nature of Australia’s system of collective bargaining in at least </w:t>
      </w:r>
      <w:r w:rsidR="006D7CA0" w:rsidRPr="00167CB8">
        <w:t xml:space="preserve">2 </w:t>
      </w:r>
      <w:r w:rsidRPr="00167CB8">
        <w:t xml:space="preserve">ways. First, as Minister Burke said in his </w:t>
      </w:r>
      <w:r w:rsidR="006D7CA0" w:rsidRPr="00167CB8">
        <w:t>second r</w:t>
      </w:r>
      <w:r w:rsidRPr="00167CB8">
        <w:t xml:space="preserve">eading </w:t>
      </w:r>
      <w:r w:rsidR="006D7CA0" w:rsidRPr="00167CB8">
        <w:t>s</w:t>
      </w:r>
      <w:r w:rsidRPr="00167CB8">
        <w:t xml:space="preserve">peech to parliament in December 2022, single-enterprise bargaining remains the government’s preferred model, because it promotes improved productivity. </w:t>
      </w:r>
    </w:p>
    <w:p w14:paraId="64B9E9FA" w14:textId="71B68BF9" w:rsidR="00173F8E" w:rsidRPr="00167CB8" w:rsidRDefault="00173F8E" w:rsidP="00173F8E">
      <w:r w:rsidRPr="00167CB8">
        <w:lastRenderedPageBreak/>
        <w:t xml:space="preserve">Second, many of the amendments are explicitly aimed at breaking down some of the regulatory barriers that were considered to be preventing the single-enterprise bargaining and the making of more agreements at that level. Amendments focused on initiating bargaining (Chapter </w:t>
      </w:r>
      <w:r w:rsidR="00290840" w:rsidRPr="00167CB8">
        <w:t>9</w:t>
      </w:r>
      <w:r w:rsidRPr="00167CB8">
        <w:t xml:space="preserve">), resolving bargaining disputes (Chapter </w:t>
      </w:r>
      <w:r w:rsidR="001F1676" w:rsidRPr="00167CB8">
        <w:t>14</w:t>
      </w:r>
      <w:r w:rsidRPr="00167CB8">
        <w:t xml:space="preserve">), restricting the termination of existing agreements (Chapter </w:t>
      </w:r>
      <w:r w:rsidR="001F1676" w:rsidRPr="00167CB8">
        <w:t>20</w:t>
      </w:r>
      <w:r w:rsidRPr="00167CB8">
        <w:t>) and sunsetting ‘</w:t>
      </w:r>
      <w:r w:rsidR="006D7CA0" w:rsidRPr="00167CB8">
        <w:t>z</w:t>
      </w:r>
      <w:r w:rsidRPr="00167CB8">
        <w:t xml:space="preserve">ombie’ agreements (Chapter </w:t>
      </w:r>
      <w:r w:rsidR="00943370" w:rsidRPr="00167CB8">
        <w:t>21</w:t>
      </w:r>
      <w:r w:rsidRPr="00167CB8">
        <w:t xml:space="preserve">) mostly seek to increase the number and effectiveness of single-enterprise collective agreements. </w:t>
      </w:r>
    </w:p>
    <w:p w14:paraId="4B51FB34" w14:textId="0CCB92E0" w:rsidR="00173F8E" w:rsidRPr="00167CB8" w:rsidRDefault="00173F8E" w:rsidP="00173F8E">
      <w:r w:rsidRPr="00167CB8">
        <w:t xml:space="preserve">At the same time, however, other amendments aim to create – or reinvigorate – </w:t>
      </w:r>
      <w:r w:rsidR="006D7CA0" w:rsidRPr="00167CB8">
        <w:t xml:space="preserve">3 </w:t>
      </w:r>
      <w:r w:rsidRPr="00167CB8">
        <w:t xml:space="preserve">types of multi-employer bargaining, which represent collective bargaining </w:t>
      </w:r>
      <w:r w:rsidR="006D7CA0" w:rsidRPr="00167CB8">
        <w:t>‘</w:t>
      </w:r>
      <w:r w:rsidRPr="00167CB8">
        <w:t>above</w:t>
      </w:r>
      <w:r w:rsidR="006D7CA0" w:rsidRPr="00167CB8">
        <w:t>’</w:t>
      </w:r>
      <w:r w:rsidRPr="00167CB8">
        <w:t xml:space="preserve"> the level of the single enterprise. These amendments are justified mostly by the contribution that multi-employer bargaining can make towards expanding the coverage of bargaining but also the contribution they can make towards more equitable outcomes, in terms of higher wages for workers and greater gender equality.</w:t>
      </w:r>
    </w:p>
    <w:p w14:paraId="231EDC80" w14:textId="78CE5631" w:rsidR="00173F8E" w:rsidRPr="00167CB8" w:rsidRDefault="00173F8E" w:rsidP="00173F8E">
      <w:r w:rsidRPr="00167CB8">
        <w:t>This attempt to revive multi-employer bargaining is part of a renewed interest internationally in multi-employer bargaining.</w:t>
      </w:r>
      <w:r w:rsidR="006D7CA0" w:rsidRPr="00167CB8">
        <w:rPr>
          <w:rStyle w:val="FootnoteReference"/>
        </w:rPr>
        <w:footnoteReference w:id="266"/>
      </w:r>
      <w:r w:rsidRPr="00167CB8">
        <w:t xml:space="preserve"> This seems, however, to be a matter of considerable controversy amongst Australian stakeholders. Many unions support it, while many employer</w:t>
      </w:r>
      <w:r w:rsidR="006D7CA0" w:rsidRPr="00167CB8">
        <w:t>s</w:t>
      </w:r>
      <w:r w:rsidRPr="00167CB8">
        <w:t xml:space="preserve"> oppose it. Opposition brings the danger that new barriers will be placed in the way of those seeking to negotiate multi-employer agreements.</w:t>
      </w:r>
    </w:p>
    <w:p w14:paraId="71FDCF79" w14:textId="1ECD8632" w:rsidR="00173F8E" w:rsidRPr="00167CB8" w:rsidRDefault="00084A31" w:rsidP="00173F8E">
      <w:pPr>
        <w:pStyle w:val="Heading6"/>
      </w:pPr>
      <w:r w:rsidRPr="00167CB8">
        <w:t>8</w:t>
      </w:r>
      <w:r w:rsidR="00173F8E" w:rsidRPr="00167CB8">
        <w:t xml:space="preserve">.4.1.3 Agents </w:t>
      </w:r>
    </w:p>
    <w:p w14:paraId="64331E20" w14:textId="044ED6D7" w:rsidR="00173F8E" w:rsidRPr="00167CB8" w:rsidRDefault="00173F8E" w:rsidP="00173F8E">
      <w:r w:rsidRPr="00167CB8">
        <w:t xml:space="preserve">The amendments have little to say </w:t>
      </w:r>
      <w:r w:rsidRPr="00167CB8">
        <w:rPr>
          <w:i/>
          <w:iCs/>
        </w:rPr>
        <w:t>directly</w:t>
      </w:r>
      <w:r w:rsidRPr="00167CB8">
        <w:t xml:space="preserve"> about who negotiates single-enterprise collective agreements. Non-union agreements remain largely untouched, as Professor McCrystal has recently observed.</w:t>
      </w:r>
      <w:r w:rsidR="006D7CA0" w:rsidRPr="00167CB8">
        <w:rPr>
          <w:rStyle w:val="FootnoteReference"/>
        </w:rPr>
        <w:footnoteReference w:id="267"/>
      </w:r>
      <w:r w:rsidRPr="00167CB8">
        <w:t xml:space="preserve"> Moreover, individual employees retain their capacity to nominate themselves or non-union agents to represent them in bargaining, while the making of collective agreements still rests with a ballot, which </w:t>
      </w:r>
      <w:r w:rsidR="00544ABE" w:rsidRPr="00167CB8">
        <w:t xml:space="preserve">is </w:t>
      </w:r>
      <w:r w:rsidRPr="00167CB8">
        <w:t xml:space="preserve">organised by employers and explained to voters by employers. </w:t>
      </w:r>
    </w:p>
    <w:p w14:paraId="18179548" w14:textId="0324B54A" w:rsidR="00173F8E" w:rsidRPr="00167CB8" w:rsidRDefault="00173F8E" w:rsidP="00173F8E">
      <w:r w:rsidRPr="00167CB8">
        <w:t xml:space="preserve">It is arguable, however, that some amendments </w:t>
      </w:r>
      <w:r w:rsidRPr="00167CB8">
        <w:rPr>
          <w:i/>
          <w:iCs/>
        </w:rPr>
        <w:t>indirectly</w:t>
      </w:r>
      <w:r w:rsidRPr="00167CB8">
        <w:t xml:space="preserve"> seek to influence the </w:t>
      </w:r>
      <w:r w:rsidR="006D7CA0" w:rsidRPr="00167CB8">
        <w:t>‘</w:t>
      </w:r>
      <w:r w:rsidRPr="00167CB8">
        <w:t>who</w:t>
      </w:r>
      <w:r w:rsidR="006D7CA0" w:rsidRPr="00167CB8">
        <w:t>’</w:t>
      </w:r>
      <w:r w:rsidRPr="00167CB8">
        <w:t xml:space="preserve"> question with respect to single-enterprise bargaining. Amendments such as those developing new rules that ensure that agreements are </w:t>
      </w:r>
      <w:r w:rsidR="006D7CA0" w:rsidRPr="00167CB8">
        <w:t>‘</w:t>
      </w:r>
      <w:r w:rsidRPr="00167CB8">
        <w:t>genuinely agreed</w:t>
      </w:r>
      <w:r w:rsidR="006D7CA0" w:rsidRPr="00167CB8">
        <w:t>’</w:t>
      </w:r>
      <w:r w:rsidRPr="00167CB8">
        <w:t xml:space="preserve"> by those voting in the ballots (see Chapter</w:t>
      </w:r>
      <w:r w:rsidR="006D7CA0" w:rsidRPr="00167CB8">
        <w:t> </w:t>
      </w:r>
      <w:r w:rsidR="00C33E34" w:rsidRPr="00167CB8">
        <w:t>16</w:t>
      </w:r>
      <w:r w:rsidRPr="00167CB8">
        <w:t xml:space="preserve">) have the potential to reduce the number of non-union agreements and eliminate the insidious practice of ‘small cohort’ agreements. </w:t>
      </w:r>
    </w:p>
    <w:p w14:paraId="5BC6B4F6" w14:textId="1653A3ED" w:rsidR="00173F8E" w:rsidRPr="00167CB8" w:rsidRDefault="00173F8E" w:rsidP="00173F8E">
      <w:r w:rsidRPr="00167CB8">
        <w:t xml:space="preserve">Union representation is likely to be encouraged by their new capacity to initiate bargaining in some circumstances (see Chapter </w:t>
      </w:r>
      <w:r w:rsidR="002C61E9" w:rsidRPr="00167CB8">
        <w:t>9</w:t>
      </w:r>
      <w:r w:rsidRPr="00167CB8">
        <w:t xml:space="preserve">) and the new limitations on employers unilaterally applying for the termination of agreements during the bargaining period (see Chapter </w:t>
      </w:r>
      <w:r w:rsidR="0089665B" w:rsidRPr="00167CB8">
        <w:t>20</w:t>
      </w:r>
      <w:r w:rsidRPr="00167CB8">
        <w:t>).</w:t>
      </w:r>
    </w:p>
    <w:p w14:paraId="711917FB" w14:textId="15F39EC7" w:rsidR="00173F8E" w:rsidRPr="00167CB8" w:rsidRDefault="00173F8E" w:rsidP="00173F8E">
      <w:r w:rsidRPr="00167CB8">
        <w:t xml:space="preserve">Finally, there is little doubt that amendments focusing on multi-employer bargaining seek to ensure that unions play a greater role in representing workers. The authorisation of multi-employer bargaining and the approval by the FWC of the resulting multi-employer agreements mandate that unions must be part of proceedings, even if non-union bargaining representatives can still take part (see Chapters </w:t>
      </w:r>
      <w:r w:rsidR="006034E6" w:rsidRPr="00167CB8">
        <w:t>11</w:t>
      </w:r>
      <w:r w:rsidR="0021169D" w:rsidRPr="00167CB8">
        <w:t xml:space="preserve"> </w:t>
      </w:r>
      <w:r w:rsidR="006034E6" w:rsidRPr="00167CB8">
        <w:t>and</w:t>
      </w:r>
      <w:r w:rsidR="0021169D" w:rsidRPr="00167CB8">
        <w:t xml:space="preserve"> 12</w:t>
      </w:r>
      <w:r w:rsidRPr="00167CB8">
        <w:t xml:space="preserve">). </w:t>
      </w:r>
    </w:p>
    <w:p w14:paraId="6AB9F77C" w14:textId="4756BEDB" w:rsidR="00173F8E" w:rsidRPr="00167CB8" w:rsidRDefault="00553726" w:rsidP="00173F8E">
      <w:pPr>
        <w:pStyle w:val="Heading5"/>
        <w:rPr>
          <w:b w:val="0"/>
        </w:rPr>
      </w:pPr>
      <w:r w:rsidRPr="00167CB8">
        <w:t>8</w:t>
      </w:r>
      <w:r w:rsidR="00173F8E" w:rsidRPr="00167CB8">
        <w:t>.4.2 The incidence and coverage of collective agreements</w:t>
      </w:r>
    </w:p>
    <w:p w14:paraId="7B584143" w14:textId="7F5A3419" w:rsidR="00173F8E" w:rsidRPr="00167CB8" w:rsidRDefault="00173F8E" w:rsidP="00173F8E">
      <w:r w:rsidRPr="00167CB8">
        <w:t xml:space="preserve">Have the amendments been effective in achieving their goal of increasing the incidence and coverage of collective agreements? The first answer is that the data available to assess this </w:t>
      </w:r>
      <w:r w:rsidRPr="00167CB8">
        <w:lastRenderedPageBreak/>
        <w:t xml:space="preserve">question is insufficient. Not only have many of the relevant amendments been in operation for shorter periods than the legislation itself but there are </w:t>
      </w:r>
      <w:r w:rsidR="006D7CA0" w:rsidRPr="00167CB8">
        <w:t xml:space="preserve">also </w:t>
      </w:r>
      <w:r w:rsidRPr="00167CB8">
        <w:t>time lags that mean that data is not up</w:t>
      </w:r>
      <w:r w:rsidR="006D7CA0" w:rsidRPr="00167CB8">
        <w:t xml:space="preserve"> </w:t>
      </w:r>
      <w:r w:rsidRPr="00167CB8">
        <w:t>to</w:t>
      </w:r>
      <w:r w:rsidR="006D7CA0" w:rsidRPr="00167CB8">
        <w:t xml:space="preserve"> </w:t>
      </w:r>
      <w:r w:rsidRPr="00167CB8">
        <w:t xml:space="preserve">date. The WAD, gathered and published by the DEWR, is a vital data source, but there have been only </w:t>
      </w:r>
      <w:r w:rsidR="006D7CA0" w:rsidRPr="00167CB8">
        <w:t xml:space="preserve">7 </w:t>
      </w:r>
      <w:r w:rsidRPr="00167CB8">
        <w:t>quarters of data (</w:t>
      </w:r>
      <w:r w:rsidR="006D7CA0" w:rsidRPr="00167CB8">
        <w:t xml:space="preserve">that is, </w:t>
      </w:r>
      <w:r w:rsidRPr="00167CB8">
        <w:t xml:space="preserve">less than </w:t>
      </w:r>
      <w:r w:rsidR="006D7CA0" w:rsidRPr="00167CB8">
        <w:t xml:space="preserve">2 </w:t>
      </w:r>
      <w:r w:rsidRPr="00167CB8">
        <w:t xml:space="preserve">years) on trends in enterprise bargaining since the amendments passed parliament. Given that the duration of most enterprise agreements is around </w:t>
      </w:r>
      <w:r w:rsidR="006D7CA0" w:rsidRPr="00167CB8">
        <w:t xml:space="preserve">3 </w:t>
      </w:r>
      <w:r w:rsidRPr="00167CB8">
        <w:t xml:space="preserve">years, many agreements have not even been renewed under the new legislative provisions. </w:t>
      </w:r>
    </w:p>
    <w:p w14:paraId="03CC92CB" w14:textId="29C5BDE1" w:rsidR="00173F8E" w:rsidRPr="00167CB8" w:rsidRDefault="00173F8E" w:rsidP="00173F8E">
      <w:r w:rsidRPr="00167CB8">
        <w:t xml:space="preserve">Perhaps more disturbingly, the data published by the ABS on the coverage of bargaining is only gathered and published every </w:t>
      </w:r>
      <w:r w:rsidR="006D7CA0" w:rsidRPr="00167CB8">
        <w:t xml:space="preserve">2 </w:t>
      </w:r>
      <w:r w:rsidRPr="00167CB8">
        <w:t>years and the most recent data applies to August 2023. So these data shortages mean it is still too early to be sure</w:t>
      </w:r>
      <w:r w:rsidR="006D7CA0" w:rsidRPr="00167CB8">
        <w:t>.</w:t>
      </w:r>
    </w:p>
    <w:p w14:paraId="5A281524" w14:textId="7B4AE58E" w:rsidR="00173F8E" w:rsidRPr="00167CB8" w:rsidRDefault="00173F8E" w:rsidP="00173F8E">
      <w:r w:rsidRPr="00167CB8">
        <w:t>This said, the data that is available suggests modest increases during 2023 and 2024 in the incidence of collective agreements and especially in their coverage. Given the importance of these data and their relevance to many of the chapters in Part 2, this section will explore them in some detail. In an effort to overcome the fluctuating numbers in the quarterly data, especially for new agreements, the analysis focuses as much as possible on data</w:t>
      </w:r>
      <w:r w:rsidR="00FC2E09">
        <w:t xml:space="preserve"> aggregated over four quarters</w:t>
      </w:r>
      <w:r w:rsidRPr="00167CB8">
        <w:t>.</w:t>
      </w:r>
    </w:p>
    <w:p w14:paraId="4EBFE40A" w14:textId="77777777" w:rsidR="00173F8E" w:rsidRPr="00167CB8" w:rsidRDefault="00173F8E" w:rsidP="00173F8E">
      <w:r w:rsidRPr="00167CB8">
        <w:t>First, in terms of ‘new’ collective agreements approved by the FWC since the amendments were passed by parliament:</w:t>
      </w:r>
    </w:p>
    <w:p w14:paraId="329C24EE" w14:textId="22123BEE" w:rsidR="00173F8E" w:rsidRPr="00167CB8" w:rsidRDefault="00173F8E" w:rsidP="00EA3E2F">
      <w:pPr>
        <w:pStyle w:val="ListBullet"/>
      </w:pPr>
      <w:r w:rsidRPr="00167CB8">
        <w:t>In the year to September 2023 (September 2022 to September 2023)</w:t>
      </w:r>
      <w:r w:rsidR="006D7CA0" w:rsidRPr="00167CB8">
        <w:t>,</w:t>
      </w:r>
      <w:r w:rsidRPr="00167CB8">
        <w:t xml:space="preserve"> the annual total number of new approved agreements declined by 5% to 3,978. However, in the September 2023 to September 2024 period</w:t>
      </w:r>
      <w:r w:rsidR="006D7CA0" w:rsidRPr="00167CB8">
        <w:t>,</w:t>
      </w:r>
      <w:r w:rsidRPr="00167CB8">
        <w:t xml:space="preserve"> the number of new agreements increased by 11% to 4,417.</w:t>
      </w:r>
    </w:p>
    <w:p w14:paraId="53E62BA8" w14:textId="284D66A2" w:rsidR="00553726" w:rsidRPr="00167CB8" w:rsidRDefault="00553726" w:rsidP="00EA3E2F">
      <w:pPr>
        <w:pStyle w:val="ListBullet"/>
      </w:pPr>
      <w:r w:rsidRPr="00167CB8">
        <w:t>Corresponding with the periods outlined above, the total number of employees covered by new collective agreements declined by 3% to 788,393 by September 2023 and in the September 2023 to September 2024 period increased by a remarkable 60% to 1,258,322.</w:t>
      </w:r>
    </w:p>
    <w:p w14:paraId="057FEFDA" w14:textId="3091CF1C" w:rsidR="00173F8E" w:rsidRPr="00167CB8" w:rsidRDefault="00173F8E" w:rsidP="00173F8E">
      <w:r w:rsidRPr="00167CB8">
        <w:t>Second, in terms of ‘current’ agreements</w:t>
      </w:r>
      <w:r w:rsidR="006D7CA0" w:rsidRPr="00167CB8">
        <w:t>,</w:t>
      </w:r>
      <w:r w:rsidRPr="00167CB8">
        <w:t xml:space="preserve"> each 12-month period</w:t>
      </w:r>
      <w:r w:rsidR="006D7CA0" w:rsidRPr="00167CB8">
        <w:t xml:space="preserve"> </w:t>
      </w:r>
      <w:r w:rsidRPr="00167CB8">
        <w:t>since the amendments came into operation can be summarised as</w:t>
      </w:r>
      <w:r w:rsidR="00544ABE" w:rsidRPr="00167CB8">
        <w:t xml:space="preserve"> follows</w:t>
      </w:r>
      <w:r w:rsidRPr="00167CB8">
        <w:t>:</w:t>
      </w:r>
    </w:p>
    <w:p w14:paraId="1821356C" w14:textId="47099456" w:rsidR="00173F8E" w:rsidRPr="00167CB8" w:rsidRDefault="00544ABE" w:rsidP="00EA3E2F">
      <w:pPr>
        <w:pStyle w:val="ListBullet"/>
      </w:pPr>
      <w:r w:rsidRPr="00167CB8">
        <w:t>T</w:t>
      </w:r>
      <w:r w:rsidR="00173F8E" w:rsidRPr="00167CB8">
        <w:t>he total number of current agreements declined by 10.5% to 9,889 between September 2022 and September 2023 and then increased by 2% to 10,113 between September 2023 and September 2024</w:t>
      </w:r>
      <w:r w:rsidRPr="00167CB8">
        <w:t>.</w:t>
      </w:r>
    </w:p>
    <w:p w14:paraId="4D0B1EB0" w14:textId="0A9CD02A" w:rsidR="00173F8E" w:rsidRPr="00167CB8" w:rsidRDefault="00544ABE" w:rsidP="00EA3E2F">
      <w:pPr>
        <w:pStyle w:val="ListBullet"/>
      </w:pPr>
      <w:r w:rsidRPr="00167CB8">
        <w:t>T</w:t>
      </w:r>
      <w:r w:rsidR="00173F8E" w:rsidRPr="00167CB8">
        <w:t>heir corresponding coverage saw a decline of 5% in the 12 months to September 2023 to 1.8 million and then a 22% increase (to 2.2 million) in the 12 months to September 2024.</w:t>
      </w:r>
    </w:p>
    <w:p w14:paraId="3EA53774" w14:textId="3CEAA3DD" w:rsidR="00173F8E" w:rsidRPr="00167CB8" w:rsidRDefault="00173F8E" w:rsidP="00173F8E">
      <w:r w:rsidRPr="00167CB8">
        <w:t xml:space="preserve">The overall conclusion from these sources is that the incidence and coverage of collective bargaining, especially coverage, has increased markedly since the passing of the amendments. In the </w:t>
      </w:r>
      <w:r w:rsidR="006D7CA0" w:rsidRPr="00167CB8">
        <w:t xml:space="preserve">2 </w:t>
      </w:r>
      <w:r w:rsidRPr="00167CB8">
        <w:t xml:space="preserve">years (24 months) from September 2022 to September 2024 there </w:t>
      </w:r>
      <w:r w:rsidR="006D7CA0" w:rsidRPr="00167CB8">
        <w:t>w</w:t>
      </w:r>
      <w:r w:rsidRPr="00167CB8">
        <w:t>as a 27% increase in the number of employees covered by a collective agreement, consistent with the intentions of the amendments. These conclusions are supported by less complete data provided in subsequent chapters by agencies like the FWC and more anecdotal evidence provided by stakeholders. To repeat, though: these trends are very formative due to the limited time period involved</w:t>
      </w:r>
      <w:r w:rsidR="006D7CA0" w:rsidRPr="00167CB8">
        <w:t>,</w:t>
      </w:r>
      <w:r w:rsidRPr="00167CB8">
        <w:t xml:space="preserve"> and definitive evidence is not yet available.</w:t>
      </w:r>
    </w:p>
    <w:p w14:paraId="634D3E19" w14:textId="3285180A" w:rsidR="00173F8E" w:rsidRPr="00167CB8" w:rsidRDefault="00553726" w:rsidP="00173F8E">
      <w:pPr>
        <w:pStyle w:val="Heading5"/>
        <w:rPr>
          <w:b w:val="0"/>
        </w:rPr>
      </w:pPr>
      <w:r w:rsidRPr="00167CB8">
        <w:lastRenderedPageBreak/>
        <w:t>8</w:t>
      </w:r>
      <w:r w:rsidR="00173F8E" w:rsidRPr="00167CB8">
        <w:t>.4.3 Outcomes</w:t>
      </w:r>
    </w:p>
    <w:p w14:paraId="25542092" w14:textId="6975D120" w:rsidR="00173F8E" w:rsidRPr="00167CB8" w:rsidRDefault="00173F8E" w:rsidP="00173F8E">
      <w:pPr>
        <w:rPr>
          <w:b/>
        </w:rPr>
      </w:pPr>
      <w:r w:rsidRPr="00167CB8">
        <w:t xml:space="preserve">The </w:t>
      </w:r>
      <w:r w:rsidR="009C7E37">
        <w:t>increase</w:t>
      </w:r>
      <w:r w:rsidR="009C7E37" w:rsidRPr="00167CB8">
        <w:t xml:space="preserve"> </w:t>
      </w:r>
      <w:r w:rsidRPr="00167CB8">
        <w:t xml:space="preserve">in the incidence and coverage of collective agreements coincided with a number of key economic outcomes. This section will focus on </w:t>
      </w:r>
      <w:r w:rsidR="006D7CA0" w:rsidRPr="00167CB8">
        <w:t>2</w:t>
      </w:r>
      <w:r w:rsidRPr="00167CB8">
        <w:t>: wages; and shares of national product.</w:t>
      </w:r>
    </w:p>
    <w:p w14:paraId="27725290" w14:textId="36F81046" w:rsidR="00173F8E" w:rsidRPr="00167CB8" w:rsidRDefault="00EA1B54" w:rsidP="00173F8E">
      <w:pPr>
        <w:pStyle w:val="Heading6"/>
      </w:pPr>
      <w:r w:rsidRPr="00167CB8">
        <w:t>8</w:t>
      </w:r>
      <w:r w:rsidR="00173F8E" w:rsidRPr="00167CB8">
        <w:t>.4.3.1 Wages</w:t>
      </w:r>
    </w:p>
    <w:p w14:paraId="67D629C3" w14:textId="73C2C1CF" w:rsidR="00173F8E" w:rsidRPr="00167CB8" w:rsidRDefault="00173F8E" w:rsidP="00173F8E">
      <w:r w:rsidRPr="00167CB8">
        <w:t xml:space="preserve">An account of the wage trends begins with data on the </w:t>
      </w:r>
      <w:r w:rsidR="00544ABE" w:rsidRPr="00167CB8">
        <w:t>WPI</w:t>
      </w:r>
      <w:r w:rsidRPr="00167CB8">
        <w:t xml:space="preserve">. As shown at the right-hand side of Figure </w:t>
      </w:r>
      <w:r w:rsidR="00CF47CC">
        <w:t>6</w:t>
      </w:r>
      <w:r w:rsidRPr="00167CB8">
        <w:t xml:space="preserve"> </w:t>
      </w:r>
      <w:r w:rsidR="006D7CA0" w:rsidRPr="00167CB8">
        <w:t xml:space="preserve">above </w:t>
      </w:r>
      <w:r w:rsidRPr="00167CB8">
        <w:t xml:space="preserve">(in section </w:t>
      </w:r>
      <w:r w:rsidR="00F94F53" w:rsidRPr="00F94F53">
        <w:t xml:space="preserve">8.3.5.1 </w:t>
      </w:r>
      <w:r w:rsidRPr="00167CB8">
        <w:t xml:space="preserve">Wages above), </w:t>
      </w:r>
      <w:r w:rsidRPr="00167CB8">
        <w:rPr>
          <w:i/>
          <w:iCs/>
        </w:rPr>
        <w:t>nominal</w:t>
      </w:r>
      <w:r w:rsidRPr="00167CB8">
        <w:t xml:space="preserve"> wages increased after the amendments from 3.2% annual rate in the December quarter of 2022 to peak at 4.3% annual rate in 2023. Thereafter, the annual rate of increase decreased steadily to 3.5% in the September quarter of 2024.</w:t>
      </w:r>
    </w:p>
    <w:p w14:paraId="1E0D1AAC" w14:textId="0EC41A5B" w:rsidR="00173F8E" w:rsidRPr="00167CB8" w:rsidRDefault="00173F8E" w:rsidP="00173F8E">
      <w:r w:rsidRPr="00167CB8">
        <w:t xml:space="preserve">More importantly, over the same period, </w:t>
      </w:r>
      <w:r w:rsidRPr="00167CB8">
        <w:rPr>
          <w:i/>
          <w:iCs/>
        </w:rPr>
        <w:t>real</w:t>
      </w:r>
      <w:r w:rsidRPr="00167CB8">
        <w:t xml:space="preserve"> wages gradually increased each quarter after the amendments from an annual low of </w:t>
      </w:r>
      <w:r w:rsidR="006D7CA0" w:rsidRPr="00167CB8">
        <w:rPr>
          <w:rFonts w:ascii="Symbol" w:eastAsia="Symbol" w:hAnsi="Symbol" w:cs="Symbol"/>
        </w:rPr>
        <w:sym w:font="Symbol" w:char="F02D"/>
      </w:r>
      <w:r w:rsidRPr="00167CB8">
        <w:t xml:space="preserve">4.4% in the December quarter of 2022 until they exceeded price rises at the end of 2023. According to the latest data, real wages increased by 0.7% through the year to the September quarter 2024. These amount to modest real wage increases, but they suggest that the intentions of the amendments were achieved, although it took several quarters to reach positive – if still </w:t>
      </w:r>
      <w:r w:rsidR="0042401E">
        <w:t>small</w:t>
      </w:r>
      <w:r w:rsidR="0042401E" w:rsidRPr="00167CB8">
        <w:t xml:space="preserve"> </w:t>
      </w:r>
      <w:r w:rsidRPr="00167CB8">
        <w:t xml:space="preserve">– real wage increases above the inflation rate. </w:t>
      </w:r>
    </w:p>
    <w:p w14:paraId="77C5037C" w14:textId="4D656A6D" w:rsidR="00173F8E" w:rsidRPr="00167CB8" w:rsidRDefault="00173F8E" w:rsidP="00173F8E">
      <w:r w:rsidRPr="00167CB8">
        <w:t xml:space="preserve">Another measure of wages comes from the WAD, </w:t>
      </w:r>
      <w:r w:rsidR="00196873" w:rsidRPr="00167CB8">
        <w:t>particularly the</w:t>
      </w:r>
      <w:r w:rsidRPr="00167CB8">
        <w:t xml:space="preserve"> analyses</w:t>
      </w:r>
      <w:r w:rsidR="006D7CA0" w:rsidRPr="00167CB8">
        <w:t xml:space="preserve"> of</w:t>
      </w:r>
      <w:r w:rsidRPr="00167CB8">
        <w:t xml:space="preserve"> AAWI</w:t>
      </w:r>
      <w:r w:rsidR="00544ABE" w:rsidRPr="00167CB8">
        <w:t>s</w:t>
      </w:r>
      <w:r w:rsidRPr="00167CB8">
        <w:t xml:space="preserve"> contained in enterprise agreements. Figure 9 below summarises the trends. With respect to new agreements by the FWC each quarter, the AAWIs grew steadily to reach highs over 4% in late 2023, to be followed by slight decreases during the </w:t>
      </w:r>
      <w:r w:rsidR="006D7CA0" w:rsidRPr="00167CB8">
        <w:t xml:space="preserve">3 </w:t>
      </w:r>
      <w:r w:rsidRPr="00167CB8">
        <w:t xml:space="preserve">quarters of 2024. </w:t>
      </w:r>
    </w:p>
    <w:p w14:paraId="5C23A56E" w14:textId="46B0B5EF" w:rsidR="00173F8E" w:rsidRPr="00167CB8" w:rsidRDefault="00173F8E" w:rsidP="00173F8E">
      <w:r w:rsidRPr="00167CB8">
        <w:t>In terms of real AAWIs, the quarterly trends for new agreements show a marked increase commencing in the December 2022 quarter and peaking in the December 2023 quarter. The trend for current agreements has also increased over that period, steadily climbing to a peak in the latest available data</w:t>
      </w:r>
      <w:r w:rsidR="006D7CA0" w:rsidRPr="00167CB8">
        <w:t xml:space="preserve"> </w:t>
      </w:r>
      <w:r w:rsidR="006D7CA0" w:rsidRPr="00167CB8">
        <w:rPr>
          <w:rFonts w:ascii="Symbol" w:eastAsia="Symbol" w:hAnsi="Symbol" w:cs="Symbol"/>
        </w:rPr>
        <w:sym w:font="Symbol" w:char="F02D"/>
      </w:r>
      <w:r w:rsidR="006D7CA0" w:rsidRPr="00167CB8">
        <w:t xml:space="preserve"> for </w:t>
      </w:r>
      <w:r w:rsidRPr="00167CB8">
        <w:t xml:space="preserve">the September 2024 quarter.  </w:t>
      </w:r>
    </w:p>
    <w:p w14:paraId="14BA6714" w14:textId="4687F1E3" w:rsidR="00173F8E" w:rsidRPr="00167CB8" w:rsidRDefault="00173F8E" w:rsidP="00470AB9">
      <w:pPr>
        <w:pStyle w:val="Caption"/>
      </w:pPr>
      <w:r w:rsidRPr="00167CB8">
        <w:t xml:space="preserve">Figure </w:t>
      </w:r>
      <w:r w:rsidR="00090F75" w:rsidRPr="00167CB8">
        <w:t>9</w:t>
      </w:r>
      <w:r w:rsidRPr="00167CB8">
        <w:t>: Quarterly A</w:t>
      </w:r>
      <w:r w:rsidR="00F94CB6">
        <w:t>verage Annual Wage Increase (AAWI) (%)</w:t>
      </w:r>
      <w:r w:rsidRPr="00167CB8">
        <w:t xml:space="preserve"> for approved and current agreements</w:t>
      </w:r>
      <w:r w:rsidR="00A14864" w:rsidRPr="00167CB8">
        <w:t>, 2021 to 2024</w:t>
      </w:r>
    </w:p>
    <w:p w14:paraId="4E111666" w14:textId="77777777" w:rsidR="00173F8E" w:rsidRPr="00167CB8" w:rsidRDefault="00173F8E" w:rsidP="00173F8E">
      <w:r w:rsidRPr="00167CB8">
        <w:rPr>
          <w:noProof/>
        </w:rPr>
        <w:drawing>
          <wp:inline distT="0" distB="0" distL="0" distR="0" wp14:anchorId="390941D2" wp14:editId="332EFA85">
            <wp:extent cx="5793105" cy="3466214"/>
            <wp:effectExtent l="0" t="0" r="0" b="1270"/>
            <wp:docPr id="191872455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52060" w14:textId="71B07702" w:rsidR="00173F8E" w:rsidRPr="00167CB8" w:rsidRDefault="00173F8E" w:rsidP="006D7CA0">
      <w:pPr>
        <w:pStyle w:val="Source"/>
      </w:pPr>
      <w:r w:rsidRPr="00167CB8">
        <w:rPr>
          <w:b/>
          <w:bCs/>
        </w:rPr>
        <w:lastRenderedPageBreak/>
        <w:t>Source:</w:t>
      </w:r>
      <w:r w:rsidRPr="00167CB8">
        <w:t xml:space="preserve"> Trends in Federal Enterprise Bargaining, September quarter 2024, Chart 2</w:t>
      </w:r>
      <w:r w:rsidR="00544ABE" w:rsidRPr="00167CB8">
        <w:t>.</w:t>
      </w:r>
    </w:p>
    <w:p w14:paraId="7407A3C4" w14:textId="33B2D159" w:rsidR="00173F8E" w:rsidRPr="00167CB8" w:rsidRDefault="00173F8E" w:rsidP="006D7CA0">
      <w:pPr>
        <w:pStyle w:val="Source"/>
      </w:pPr>
      <w:r w:rsidRPr="00167CB8">
        <w:rPr>
          <w:b/>
          <w:bCs/>
        </w:rPr>
        <w:t>Alt text:</w:t>
      </w:r>
      <w:r w:rsidRPr="00167CB8">
        <w:t xml:space="preserve"> A combination chart with bars showing the AAWI for new agreements approved in each quarter and a line showing the AAWI for all agreement current on the last day of each quarter. The AAWI for agreements approved in the September quarter 2024 was 3.6%</w:t>
      </w:r>
      <w:r w:rsidR="006D7CA0" w:rsidRPr="00167CB8">
        <w:t>,</w:t>
      </w:r>
      <w:r w:rsidRPr="00167CB8">
        <w:t xml:space="preserve"> while the AAWI for agreement current as at 30 September 2024 was 3.5%.</w:t>
      </w:r>
    </w:p>
    <w:p w14:paraId="1C72A232" w14:textId="659522B2" w:rsidR="00173F8E" w:rsidRPr="00167CB8" w:rsidRDefault="00EA1B54" w:rsidP="00173F8E">
      <w:pPr>
        <w:pStyle w:val="Heading6"/>
        <w:rPr>
          <w:b w:val="0"/>
        </w:rPr>
      </w:pPr>
      <w:r w:rsidRPr="00167CB8">
        <w:t>8</w:t>
      </w:r>
      <w:r w:rsidR="00173F8E" w:rsidRPr="00167CB8">
        <w:t>.4.3.2 Wages and productivity</w:t>
      </w:r>
    </w:p>
    <w:p w14:paraId="74C51527" w14:textId="48AB9BDD" w:rsidR="00173F8E" w:rsidRPr="00167CB8" w:rsidRDefault="00173F8E" w:rsidP="00173F8E">
      <w:r w:rsidRPr="00167CB8">
        <w:t xml:space="preserve">Despite the real wage increases in 2024, shown in section </w:t>
      </w:r>
      <w:r w:rsidR="006034E6" w:rsidRPr="00167CB8">
        <w:t>8.3.5.2</w:t>
      </w:r>
      <w:r w:rsidR="008E59EB" w:rsidRPr="00167CB8">
        <w:t xml:space="preserve"> </w:t>
      </w:r>
      <w:r w:rsidRPr="00167CB8">
        <w:t xml:space="preserve">above, </w:t>
      </w:r>
      <w:r w:rsidR="00EF3397" w:rsidRPr="00167CB8">
        <w:t xml:space="preserve">wages and productivity </w:t>
      </w:r>
      <w:r w:rsidRPr="00167CB8">
        <w:t xml:space="preserve">continue to lie 2% below the level of real wages in June 2012. Moreover, despite the recent declines in labour productivity, it was still well above its level of June 2012 and the gap between labour productivity and real wages remained significant. In this way, any increase in real wages prompted by the </w:t>
      </w:r>
      <w:r w:rsidR="00EF3397" w:rsidRPr="00167CB8">
        <w:t xml:space="preserve">Secure Jobs, Better Pay </w:t>
      </w:r>
      <w:r w:rsidRPr="00167CB8">
        <w:t>amendments ha</w:t>
      </w:r>
      <w:r w:rsidR="0001621E">
        <w:t>s</w:t>
      </w:r>
      <w:r w:rsidRPr="00167CB8">
        <w:t xml:space="preserve"> not been able to overcome the previous declines. Whether real wages continue to rise and the gap reduce remains to be seen.</w:t>
      </w:r>
    </w:p>
    <w:p w14:paraId="166D4CD5" w14:textId="2560FBA1" w:rsidR="00173F8E" w:rsidRPr="00167CB8" w:rsidRDefault="00EA1B54" w:rsidP="00173F8E">
      <w:pPr>
        <w:pStyle w:val="Heading6"/>
      </w:pPr>
      <w:r w:rsidRPr="00167CB8">
        <w:t>8</w:t>
      </w:r>
      <w:r w:rsidR="00173F8E" w:rsidRPr="00167CB8">
        <w:t>.4.3.3 Shares of national product</w:t>
      </w:r>
    </w:p>
    <w:p w14:paraId="7A293F6C" w14:textId="314BC746" w:rsidR="00173F8E" w:rsidRPr="00167CB8" w:rsidRDefault="00173F8E" w:rsidP="00173F8E">
      <w:r w:rsidRPr="00167CB8">
        <w:t xml:space="preserve">The data on shares of national income provided (in section </w:t>
      </w:r>
      <w:r w:rsidR="00702613" w:rsidRPr="00167CB8">
        <w:t>8.3.5.3</w:t>
      </w:r>
      <w:r w:rsidR="00E07CA2">
        <w:t xml:space="preserve"> </w:t>
      </w:r>
      <w:r w:rsidRPr="00167CB8">
        <w:t xml:space="preserve">above) in Figure </w:t>
      </w:r>
      <w:r w:rsidR="002A3E3A" w:rsidRPr="00167CB8">
        <w:t>8</w:t>
      </w:r>
      <w:r w:rsidRPr="00167CB8">
        <w:t>: Labour compensation as a share of GDP show (at the right-hand side) that labour’s share rose steadily after the amendments from a low of 44.8% in the June 2022 quarter to 48% in the September quarter of 2024 (the latest data available).</w:t>
      </w:r>
    </w:p>
    <w:p w14:paraId="1B730D58" w14:textId="2B1F9C86" w:rsidR="00173F8E" w:rsidRPr="00167CB8" w:rsidRDefault="00EA1B54" w:rsidP="00EA1B54">
      <w:pPr>
        <w:pStyle w:val="Heading4"/>
        <w:rPr>
          <w:b w:val="0"/>
        </w:rPr>
      </w:pPr>
      <w:bookmarkStart w:id="157" w:name="_Toc189260221"/>
      <w:bookmarkStart w:id="158" w:name="_Toc189393537"/>
      <w:r w:rsidRPr="00167CB8">
        <w:t xml:space="preserve">8.5 </w:t>
      </w:r>
      <w:r w:rsidR="00173F8E" w:rsidRPr="00167CB8">
        <w:t>Conclusions</w:t>
      </w:r>
      <w:bookmarkEnd w:id="157"/>
      <w:bookmarkEnd w:id="158"/>
    </w:p>
    <w:p w14:paraId="27D3AD3B" w14:textId="007BB6F0" w:rsidR="00173F8E" w:rsidRPr="00167CB8" w:rsidRDefault="00173F8E" w:rsidP="00173F8E">
      <w:r w:rsidRPr="00167CB8">
        <w:t xml:space="preserve">This introductory chapter sets the scene for the more detailed assessment of specific amendments about bargaining and agreements in the chapters. It suggests </w:t>
      </w:r>
      <w:r w:rsidR="00EF3397" w:rsidRPr="00167CB8">
        <w:t xml:space="preserve">3 </w:t>
      </w:r>
      <w:r w:rsidRPr="00167CB8">
        <w:t>main conclusions.</w:t>
      </w:r>
    </w:p>
    <w:p w14:paraId="7EA9761D" w14:textId="77777777" w:rsidR="00173F8E" w:rsidRPr="00167CB8" w:rsidRDefault="00173F8E" w:rsidP="00173F8E">
      <w:r w:rsidRPr="00167CB8">
        <w:t>First, the decline in collective bargaining between 2012 and 2022 was significant and it occurred at the same time as there was a serious deterioration in the economic circumstances of Australian workers. Government action was necessary.</w:t>
      </w:r>
    </w:p>
    <w:p w14:paraId="462533E4" w14:textId="2525CECF" w:rsidR="00173F8E" w:rsidRPr="00167CB8" w:rsidRDefault="00173F8E" w:rsidP="00173F8E">
      <w:r w:rsidRPr="00167CB8">
        <w:t xml:space="preserve">Second, the main intentions of the bargaining and agreement amendments in the </w:t>
      </w:r>
      <w:r w:rsidR="00EF3397" w:rsidRPr="00167CB8">
        <w:t xml:space="preserve">Secure Jobs, Better Pay </w:t>
      </w:r>
      <w:r w:rsidRPr="00167CB8">
        <w:t>Act were to reverse the decline in collective bargaining and to increase wages.</w:t>
      </w:r>
    </w:p>
    <w:p w14:paraId="1C448753" w14:textId="77777777" w:rsidR="00173F8E" w:rsidRPr="00167CB8" w:rsidRDefault="00173F8E" w:rsidP="00173F8E">
      <w:r w:rsidRPr="00167CB8">
        <w:t>Third, the evidence about whether these intentions were realised is weak because of insufficient time elapsing since the amendments, but the early signs are positive: collective bargaining is increasing, especially the coverage of collective agreements, and wages (and other indicators workers’ economic circumstances) have started to improve.</w:t>
      </w:r>
    </w:p>
    <w:p w14:paraId="0C08384C" w14:textId="77777777" w:rsidR="00173F8E" w:rsidRPr="00167CB8" w:rsidRDefault="00173F8E" w:rsidP="00173F8E">
      <w:pPr>
        <w:spacing w:after="160"/>
      </w:pPr>
      <w:r w:rsidRPr="00167CB8">
        <w:br w:type="page"/>
      </w:r>
    </w:p>
    <w:p w14:paraId="1AEB56E7" w14:textId="0D0BD394" w:rsidR="00173F8E" w:rsidRPr="00167CB8" w:rsidRDefault="00173F8E" w:rsidP="00173F8E">
      <w:pPr>
        <w:pStyle w:val="Heading3"/>
        <w:rPr>
          <w:rFonts w:asciiTheme="minorHAnsi" w:hAnsiTheme="minorHAnsi"/>
        </w:rPr>
      </w:pPr>
      <w:bookmarkStart w:id="159" w:name="_Toc189260222"/>
      <w:bookmarkStart w:id="160" w:name="_Toc189393538"/>
      <w:r w:rsidRPr="00167CB8">
        <w:rPr>
          <w:rFonts w:asciiTheme="minorHAnsi" w:hAnsiTheme="minorHAnsi"/>
        </w:rPr>
        <w:lastRenderedPageBreak/>
        <w:t>Chapter 9. Initiating bargaining</w:t>
      </w:r>
      <w:bookmarkEnd w:id="159"/>
      <w:bookmarkEnd w:id="160"/>
    </w:p>
    <w:p w14:paraId="5171ADBD" w14:textId="77777777" w:rsidR="00173F8E" w:rsidRPr="00167CB8" w:rsidRDefault="00173F8E" w:rsidP="00EF3397">
      <w:r w:rsidRPr="00167CB8">
        <w:t>Part 15 of Schedule 1 to the Secure Jobs, Better Pay Act establishes a new method for initiating bargaining in limited circumstances. The substantive content of this chapter therefore focuses mainly on the question of bargaining representatives (especially unions) being empowered to commence bargaining for recently expired agreements.</w:t>
      </w:r>
    </w:p>
    <w:p w14:paraId="112312FD" w14:textId="5F9CA438" w:rsidR="00173F8E" w:rsidRPr="00167CB8" w:rsidRDefault="00EA1B54" w:rsidP="00173F8E">
      <w:pPr>
        <w:pStyle w:val="Heading4"/>
        <w:rPr>
          <w:rFonts w:asciiTheme="minorHAnsi" w:hAnsiTheme="minorHAnsi"/>
        </w:rPr>
      </w:pPr>
      <w:bookmarkStart w:id="161" w:name="_Toc189260223"/>
      <w:bookmarkStart w:id="162" w:name="_Toc189393539"/>
      <w:r w:rsidRPr="00167CB8">
        <w:rPr>
          <w:rFonts w:asciiTheme="minorHAnsi" w:hAnsiTheme="minorHAnsi"/>
        </w:rPr>
        <w:t>9</w:t>
      </w:r>
      <w:r w:rsidR="00173F8E" w:rsidRPr="00167CB8">
        <w:rPr>
          <w:rFonts w:asciiTheme="minorHAnsi" w:hAnsiTheme="minorHAnsi"/>
        </w:rPr>
        <w:t xml:space="preserve">.1 Amendments </w:t>
      </w:r>
      <w:r w:rsidR="00EF3397" w:rsidRPr="00167CB8">
        <w:rPr>
          <w:rFonts w:asciiTheme="minorHAnsi" w:hAnsiTheme="minorHAnsi"/>
        </w:rPr>
        <w:t>and</w:t>
      </w:r>
      <w:r w:rsidR="00173F8E" w:rsidRPr="00167CB8">
        <w:rPr>
          <w:rFonts w:asciiTheme="minorHAnsi" w:hAnsiTheme="minorHAnsi"/>
        </w:rPr>
        <w:t xml:space="preserve"> </w:t>
      </w:r>
      <w:r w:rsidR="00EF3397" w:rsidRPr="00167CB8">
        <w:rPr>
          <w:rFonts w:asciiTheme="minorHAnsi" w:hAnsiTheme="minorHAnsi"/>
        </w:rPr>
        <w:t>i</w:t>
      </w:r>
      <w:r w:rsidR="00173F8E" w:rsidRPr="00167CB8">
        <w:rPr>
          <w:rFonts w:asciiTheme="minorHAnsi" w:hAnsiTheme="minorHAnsi"/>
        </w:rPr>
        <w:t>ntent</w:t>
      </w:r>
      <w:bookmarkEnd w:id="161"/>
      <w:bookmarkEnd w:id="162"/>
      <w:r w:rsidR="00173F8E" w:rsidRPr="00167CB8">
        <w:rPr>
          <w:rFonts w:asciiTheme="minorHAnsi" w:hAnsiTheme="minorHAnsi"/>
        </w:rPr>
        <w:t xml:space="preserve"> </w:t>
      </w:r>
    </w:p>
    <w:p w14:paraId="099C39E6" w14:textId="1B0DF4DF" w:rsidR="00173F8E" w:rsidRPr="00167CB8" w:rsidRDefault="00173F8E" w:rsidP="00173F8E">
      <w:pPr>
        <w:spacing w:before="100" w:beforeAutospacing="1" w:after="100" w:afterAutospacing="1"/>
        <w:rPr>
          <w:rFonts w:eastAsia="Times New Roman" w:cs="Calibri"/>
          <w:lang w:eastAsia="en-AU"/>
        </w:rPr>
      </w:pPr>
      <w:r w:rsidRPr="00167CB8">
        <w:rPr>
          <w:rFonts w:eastAsia="Times New Roman" w:cs="Calibri"/>
          <w:lang w:eastAsia="en-AU"/>
        </w:rPr>
        <w:t>The amendments introduce a new mechanism to commence the bargaining process</w:t>
      </w:r>
      <w:r w:rsidR="0098328F">
        <w:rPr>
          <w:rFonts w:eastAsia="Times New Roman" w:cs="Calibri"/>
          <w:lang w:eastAsia="en-AU"/>
        </w:rPr>
        <w:t xml:space="preserve"> (the first subsection) before the intent behind them is discussed (the second subsection)</w:t>
      </w:r>
      <w:r w:rsidRPr="00167CB8">
        <w:rPr>
          <w:rFonts w:eastAsia="Times New Roman" w:cs="Calibri"/>
          <w:lang w:eastAsia="en-AU"/>
        </w:rPr>
        <w:t>.</w:t>
      </w:r>
    </w:p>
    <w:p w14:paraId="4965D2B1" w14:textId="1754D316" w:rsidR="00173F8E" w:rsidRPr="00167CB8" w:rsidRDefault="00EA1B54" w:rsidP="00173F8E">
      <w:pPr>
        <w:pStyle w:val="Heading5"/>
        <w:rPr>
          <w:rFonts w:asciiTheme="minorHAnsi" w:hAnsiTheme="minorHAnsi"/>
        </w:rPr>
      </w:pPr>
      <w:r w:rsidRPr="00167CB8">
        <w:rPr>
          <w:rFonts w:asciiTheme="minorHAnsi" w:hAnsiTheme="minorHAnsi"/>
        </w:rPr>
        <w:t>9</w:t>
      </w:r>
      <w:r w:rsidR="00173F8E" w:rsidRPr="00167CB8">
        <w:rPr>
          <w:rFonts w:asciiTheme="minorHAnsi" w:hAnsiTheme="minorHAnsi"/>
        </w:rPr>
        <w:t xml:space="preserve">.1.1 Secure Jobs, Better Pay </w:t>
      </w:r>
      <w:r w:rsidR="00EF3397" w:rsidRPr="00167CB8">
        <w:rPr>
          <w:rFonts w:asciiTheme="minorHAnsi" w:hAnsiTheme="minorHAnsi"/>
        </w:rPr>
        <w:t>a</w:t>
      </w:r>
      <w:r w:rsidR="00173F8E" w:rsidRPr="00167CB8">
        <w:rPr>
          <w:rFonts w:asciiTheme="minorHAnsi" w:hAnsiTheme="minorHAnsi"/>
        </w:rPr>
        <w:t>mendments</w:t>
      </w:r>
    </w:p>
    <w:p w14:paraId="6250BB99" w14:textId="2DF83D77" w:rsidR="00173F8E" w:rsidRPr="00167CB8" w:rsidRDefault="00173F8E" w:rsidP="00173F8E">
      <w:pPr>
        <w:spacing w:before="100" w:beforeAutospacing="1" w:after="100" w:afterAutospacing="1"/>
        <w:rPr>
          <w:rFonts w:eastAsia="Times New Roman" w:cs="Calibri"/>
          <w:lang w:eastAsia="en-AU"/>
        </w:rPr>
      </w:pPr>
      <w:r w:rsidRPr="00167CB8">
        <w:rPr>
          <w:rFonts w:eastAsia="Times New Roman" w:cs="Calibri"/>
          <w:lang w:eastAsia="en-AU"/>
        </w:rPr>
        <w:t xml:space="preserve">The </w:t>
      </w:r>
      <w:r w:rsidRPr="00167CB8">
        <w:rPr>
          <w:rFonts w:cs="Calibri"/>
        </w:rPr>
        <w:t>Secure Jobs, Better Pay</w:t>
      </w:r>
      <w:r w:rsidRPr="00167CB8">
        <w:rPr>
          <w:rFonts w:eastAsia="Times New Roman" w:cs="Calibri"/>
          <w:lang w:eastAsia="en-AU"/>
        </w:rPr>
        <w:t xml:space="preserve"> Act amends Division 3 of Part 2-4 of the Fair Work Act</w:t>
      </w:r>
      <w:r w:rsidRPr="00167CB8" w:rsidDel="00006EC4">
        <w:rPr>
          <w:rFonts w:eastAsia="Times New Roman" w:cs="Calibri"/>
          <w:lang w:eastAsia="en-AU"/>
        </w:rPr>
        <w:t xml:space="preserve"> </w:t>
      </w:r>
      <w:r w:rsidRPr="00167CB8">
        <w:rPr>
          <w:rFonts w:eastAsia="Times New Roman" w:cs="Calibri"/>
          <w:lang w:eastAsia="en-AU"/>
        </w:rPr>
        <w:t xml:space="preserve">in relation to ‘initiating bargaining’ for a replacement single-enterprise agreement. Specifically, via the </w:t>
      </w:r>
      <w:r w:rsidRPr="00167CB8">
        <w:rPr>
          <w:rFonts w:cs="Calibri"/>
        </w:rPr>
        <w:t>Secure Jobs, Better Pay</w:t>
      </w:r>
      <w:r w:rsidRPr="00167CB8">
        <w:rPr>
          <w:rFonts w:eastAsia="Times New Roman" w:cs="Calibri"/>
          <w:lang w:eastAsia="en-AU"/>
        </w:rPr>
        <w:t xml:space="preserve"> Act, </w:t>
      </w:r>
      <w:r w:rsidR="00EF3397" w:rsidRPr="00167CB8">
        <w:rPr>
          <w:rFonts w:eastAsia="Times New Roman" w:cs="Calibri"/>
          <w:lang w:eastAsia="en-AU"/>
        </w:rPr>
        <w:t xml:space="preserve">2 </w:t>
      </w:r>
      <w:r w:rsidRPr="00167CB8">
        <w:rPr>
          <w:rFonts w:eastAsia="Times New Roman" w:cs="Calibri"/>
          <w:lang w:eastAsia="en-AU"/>
        </w:rPr>
        <w:t>new sections (ss</w:t>
      </w:r>
      <w:r w:rsidR="00EF3397" w:rsidRPr="00167CB8">
        <w:rPr>
          <w:rFonts w:eastAsia="Times New Roman" w:cs="Calibri"/>
          <w:lang w:eastAsia="en-AU"/>
        </w:rPr>
        <w:t> </w:t>
      </w:r>
      <w:r w:rsidRPr="00167CB8">
        <w:rPr>
          <w:rFonts w:eastAsia="Times New Roman" w:cs="Calibri"/>
          <w:lang w:eastAsia="en-AU"/>
        </w:rPr>
        <w:t>173(2)(aa) and 173(2A)) have been introduced into the Fair Work Act:</w:t>
      </w:r>
    </w:p>
    <w:p w14:paraId="4E39BA9E" w14:textId="275AD0F4" w:rsidR="00173F8E" w:rsidRPr="00167CB8" w:rsidRDefault="00173F8E" w:rsidP="00C83147">
      <w:pPr>
        <w:pStyle w:val="Quote"/>
      </w:pPr>
      <w:r w:rsidRPr="00167CB8">
        <w:t xml:space="preserve">(2) </w:t>
      </w:r>
      <w:r w:rsidRPr="00167CB8">
        <w:tab/>
        <w:t>The </w:t>
      </w:r>
      <w:r w:rsidRPr="00167CB8">
        <w:rPr>
          <w:b/>
          <w:i/>
        </w:rPr>
        <w:t>notification time</w:t>
      </w:r>
      <w:r w:rsidRPr="00167CB8">
        <w:t> for a proposed enterprise agreement is the time when:</w:t>
      </w:r>
    </w:p>
    <w:p w14:paraId="17B917AB" w14:textId="77777777" w:rsidR="00173F8E" w:rsidRPr="00167CB8" w:rsidRDefault="00173F8E" w:rsidP="00C83147">
      <w:pPr>
        <w:pStyle w:val="Quote"/>
      </w:pPr>
      <w:r w:rsidRPr="00167CB8">
        <w:t>(a)  </w:t>
      </w:r>
      <w:r w:rsidRPr="00167CB8">
        <w:tab/>
        <w:t>the employer agrees to bargain, or initiates bargaining, for the agreement; or</w:t>
      </w:r>
    </w:p>
    <w:p w14:paraId="32CDAD8D" w14:textId="77777777" w:rsidR="00173F8E" w:rsidRPr="00167CB8" w:rsidRDefault="00173F8E" w:rsidP="00C83147">
      <w:pPr>
        <w:pStyle w:val="Quote"/>
      </w:pPr>
      <w:r w:rsidRPr="00167CB8">
        <w:t>(aa) </w:t>
      </w:r>
      <w:r w:rsidRPr="00167CB8">
        <w:tab/>
        <w:t>the employer receives a request to bargain under subsection  (2A) in relation to the agreement; …</w:t>
      </w:r>
    </w:p>
    <w:p w14:paraId="1787B711" w14:textId="77777777" w:rsidR="00173F8E" w:rsidRPr="00167CB8" w:rsidRDefault="00173F8E" w:rsidP="00C83147">
      <w:pPr>
        <w:pStyle w:val="Quote"/>
      </w:pPr>
      <w:r w:rsidRPr="00167CB8">
        <w:t>(2A) </w:t>
      </w:r>
      <w:r w:rsidRPr="00167CB8">
        <w:tab/>
        <w:t>A bargaining representative of an employee who will be covered by a proposed single - enterprise agreement (other than a greenfields agreement) may give the employer who will be covered by the proposed agreement a request in writing to bargain for the proposed agreement if:</w:t>
      </w:r>
    </w:p>
    <w:p w14:paraId="4C86CD88" w14:textId="77777777" w:rsidR="00173F8E" w:rsidRPr="00167CB8" w:rsidRDefault="00173F8E" w:rsidP="00C83147">
      <w:pPr>
        <w:pStyle w:val="Quote"/>
      </w:pPr>
      <w:r w:rsidRPr="00167CB8">
        <w:t>(a)  </w:t>
      </w:r>
      <w:r w:rsidRPr="00167CB8">
        <w:tab/>
        <w:t>the proposed agreement will replace an earlier single - enterprise agreement (the earlier agreement) that has passed its nominal expiry date; and</w:t>
      </w:r>
    </w:p>
    <w:p w14:paraId="6A87C9BF" w14:textId="77777777" w:rsidR="00173F8E" w:rsidRPr="00167CB8" w:rsidRDefault="00173F8E" w:rsidP="00C83147">
      <w:pPr>
        <w:pStyle w:val="Quote"/>
      </w:pPr>
      <w:r w:rsidRPr="00167CB8">
        <w:t>(b)  </w:t>
      </w:r>
      <w:r w:rsidRPr="00167CB8">
        <w:tab/>
        <w:t>a single interest employer authorisation did not cease to be in operation because of the making of the earlier agreement; and</w:t>
      </w:r>
    </w:p>
    <w:p w14:paraId="7653A170" w14:textId="77777777" w:rsidR="00173F8E" w:rsidRPr="00167CB8" w:rsidRDefault="00173F8E" w:rsidP="00C83147">
      <w:pPr>
        <w:pStyle w:val="Quote"/>
      </w:pPr>
      <w:r w:rsidRPr="00167CB8">
        <w:t>(c)  </w:t>
      </w:r>
      <w:r w:rsidRPr="00167CB8">
        <w:tab/>
        <w:t>no more than 5 years have passed since the nominal expiry date; and</w:t>
      </w:r>
    </w:p>
    <w:p w14:paraId="01654BF7" w14:textId="620EE87F" w:rsidR="00173F8E" w:rsidRPr="00167CB8" w:rsidRDefault="00173F8E" w:rsidP="00C83147">
      <w:pPr>
        <w:pStyle w:val="Quote"/>
      </w:pPr>
      <w:r w:rsidRPr="00167CB8">
        <w:t>(d)  </w:t>
      </w:r>
      <w:r w:rsidRPr="00167CB8">
        <w:tab/>
        <w:t>the proposed agreement will cover the same, or substantially the same, group of employees as the earlier agreement.</w:t>
      </w:r>
    </w:p>
    <w:p w14:paraId="3B40D6CA" w14:textId="77777777" w:rsidR="00B6584E" w:rsidRDefault="00173F8E" w:rsidP="00173F8E">
      <w:pPr>
        <w:spacing w:before="100" w:beforeAutospacing="1" w:after="100" w:afterAutospacing="1"/>
        <w:rPr>
          <w:rFonts w:eastAsia="Times New Roman" w:cs="Calibri"/>
          <w:lang w:eastAsia="en-AU"/>
        </w:rPr>
      </w:pPr>
      <w:r w:rsidRPr="00167CB8">
        <w:rPr>
          <w:rFonts w:eastAsia="Times New Roman" w:cs="Calibri"/>
          <w:lang w:eastAsia="en-AU"/>
        </w:rPr>
        <w:lastRenderedPageBreak/>
        <w:t>Generally, an employer that will be covered by a proposed agreement must take all reasonable steps to give notice of the right to be represented during bargaining to all employees.</w:t>
      </w:r>
      <w:r w:rsidRPr="00167CB8">
        <w:rPr>
          <w:rStyle w:val="FootnoteReference"/>
          <w:rFonts w:eastAsia="Times New Roman" w:cs="Calibri"/>
          <w:lang w:eastAsia="en-AU"/>
        </w:rPr>
        <w:footnoteReference w:id="268"/>
      </w:r>
      <w:r w:rsidRPr="00167CB8">
        <w:rPr>
          <w:rFonts w:eastAsia="Times New Roman" w:cs="Calibri"/>
          <w:lang w:eastAsia="en-AU"/>
        </w:rPr>
        <w:t xml:space="preserve"> The notice must be given at various specified times called the ‘notification time’. If an employer receives a request to bargain from a bargaining representative under s</w:t>
      </w:r>
      <w:r w:rsidR="00EF3397" w:rsidRPr="00167CB8">
        <w:rPr>
          <w:rFonts w:eastAsia="Times New Roman" w:cs="Calibri"/>
          <w:lang w:eastAsia="en-AU"/>
        </w:rPr>
        <w:t> </w:t>
      </w:r>
      <w:r w:rsidRPr="00167CB8">
        <w:rPr>
          <w:rFonts w:eastAsia="Times New Roman" w:cs="Calibri"/>
          <w:lang w:eastAsia="en-AU"/>
        </w:rPr>
        <w:t>173(2A), and if the request is valid, the employer is then obligated to issue a notice of employee representational rights (NERR) to all employees to be covered by the proposed single-enterprise agreement. The notice must be issued as soon as practicable but no later than 14 days after the notification time (s</w:t>
      </w:r>
      <w:r w:rsidR="00EF3397" w:rsidRPr="00167CB8">
        <w:rPr>
          <w:rFonts w:eastAsia="Times New Roman" w:cs="Calibri"/>
          <w:lang w:eastAsia="en-AU"/>
        </w:rPr>
        <w:t> </w:t>
      </w:r>
      <w:r w:rsidRPr="00167CB8">
        <w:rPr>
          <w:rFonts w:eastAsia="Times New Roman" w:cs="Calibri"/>
          <w:lang w:eastAsia="en-AU"/>
        </w:rPr>
        <w:t>173(3) of the Fair Work Act).</w:t>
      </w:r>
      <w:r w:rsidRPr="00167CB8">
        <w:rPr>
          <w:rStyle w:val="FootnoteReference"/>
          <w:rFonts w:eastAsia="Times New Roman" w:cs="Calibri"/>
          <w:lang w:eastAsia="en-AU"/>
        </w:rPr>
        <w:footnoteReference w:id="269"/>
      </w:r>
      <w:r w:rsidR="00EF3397" w:rsidRPr="00167CB8">
        <w:rPr>
          <w:rFonts w:eastAsia="Times New Roman" w:cs="Calibri"/>
          <w:lang w:eastAsia="en-AU"/>
        </w:rPr>
        <w:t xml:space="preserve"> </w:t>
      </w:r>
    </w:p>
    <w:p w14:paraId="261FE307" w14:textId="68450795" w:rsidR="00173F8E" w:rsidRPr="00167CB8" w:rsidRDefault="00173F8E" w:rsidP="00173F8E">
      <w:pPr>
        <w:spacing w:before="100" w:beforeAutospacing="1" w:after="100" w:afterAutospacing="1"/>
        <w:rPr>
          <w:rFonts w:eastAsia="Times New Roman" w:cs="Calibri"/>
          <w:lang w:eastAsia="en-AU"/>
        </w:rPr>
      </w:pPr>
      <w:r w:rsidRPr="00167CB8">
        <w:rPr>
          <w:rFonts w:eastAsia="Times New Roman" w:cs="Calibri"/>
          <w:lang w:eastAsia="en-AU"/>
        </w:rPr>
        <w:t>The amendments commenced on 7 December 2022.</w:t>
      </w:r>
    </w:p>
    <w:p w14:paraId="30554209" w14:textId="308C9964" w:rsidR="00173F8E" w:rsidRPr="00167CB8" w:rsidRDefault="00EA1B54" w:rsidP="00173F8E">
      <w:pPr>
        <w:pStyle w:val="Heading5"/>
        <w:rPr>
          <w:rFonts w:asciiTheme="minorHAnsi" w:hAnsiTheme="minorHAnsi"/>
        </w:rPr>
      </w:pPr>
      <w:r w:rsidRPr="00167CB8">
        <w:rPr>
          <w:rFonts w:asciiTheme="minorHAnsi" w:hAnsiTheme="minorHAnsi"/>
        </w:rPr>
        <w:t>9</w:t>
      </w:r>
      <w:r w:rsidR="00173F8E" w:rsidRPr="00167CB8">
        <w:rPr>
          <w:rFonts w:asciiTheme="minorHAnsi" w:hAnsiTheme="minorHAnsi"/>
        </w:rPr>
        <w:t xml:space="preserve">.1.2 Intent of Secure Jobs, Better Pay </w:t>
      </w:r>
      <w:r w:rsidR="00EF3397" w:rsidRPr="00167CB8">
        <w:rPr>
          <w:rFonts w:asciiTheme="minorHAnsi" w:hAnsiTheme="minorHAnsi"/>
        </w:rPr>
        <w:t>a</w:t>
      </w:r>
      <w:r w:rsidR="00173F8E" w:rsidRPr="00167CB8">
        <w:rPr>
          <w:rFonts w:asciiTheme="minorHAnsi" w:hAnsiTheme="minorHAnsi"/>
        </w:rPr>
        <w:t>mendments</w:t>
      </w:r>
    </w:p>
    <w:p w14:paraId="51D324FA" w14:textId="1CE56853" w:rsidR="00173F8E" w:rsidRPr="00167CB8" w:rsidRDefault="00173F8E" w:rsidP="00173F8E">
      <w:pPr>
        <w:rPr>
          <w:rFonts w:eastAsia="Times New Roman" w:cs="Times New Roman"/>
        </w:rPr>
      </w:pPr>
      <w:r w:rsidRPr="00167CB8">
        <w:rPr>
          <w:rFonts w:eastAsia="Times New Roman" w:cs="Times New Roman"/>
        </w:rPr>
        <w:t xml:space="preserve">The intent of </w:t>
      </w:r>
      <w:r w:rsidR="00EF3397" w:rsidRPr="00167CB8">
        <w:rPr>
          <w:rFonts w:eastAsia="Times New Roman" w:cs="Times New Roman"/>
        </w:rPr>
        <w:t xml:space="preserve">the Secure Jobs, Better Pay amendments </w:t>
      </w:r>
      <w:r w:rsidRPr="00167CB8">
        <w:rPr>
          <w:rFonts w:eastAsia="Times New Roman" w:cs="Times New Roman"/>
        </w:rPr>
        <w:t>was to streamline the process for initiating bargaining where the statutory criteria are met, thereby promoting the incidence and coverage of collective agreements</w:t>
      </w:r>
      <w:r w:rsidRPr="00167CB8" w:rsidDel="003E6712">
        <w:rPr>
          <w:rFonts w:eastAsia="Times New Roman" w:cs="Times New Roman"/>
        </w:rPr>
        <w:t xml:space="preserve">. </w:t>
      </w:r>
    </w:p>
    <w:p w14:paraId="2C3E7AE1" w14:textId="736C8AA7" w:rsidR="00173F8E" w:rsidRPr="00167CB8" w:rsidRDefault="00173F8E" w:rsidP="00173F8E">
      <w:pPr>
        <w:rPr>
          <w:rFonts w:eastAsia="Times New Roman" w:cs="Times New Roman"/>
        </w:rPr>
      </w:pPr>
      <w:r w:rsidRPr="00167CB8">
        <w:rPr>
          <w:rFonts w:eastAsia="Times New Roman" w:cs="Times New Roman"/>
        </w:rPr>
        <w:t xml:space="preserve">As noted in Chapter </w:t>
      </w:r>
      <w:r w:rsidR="00D758C4" w:rsidRPr="00167CB8">
        <w:rPr>
          <w:rFonts w:eastAsia="Times New Roman" w:cs="Times New Roman"/>
        </w:rPr>
        <w:t>8</w:t>
      </w:r>
      <w:r w:rsidRPr="00167CB8">
        <w:rPr>
          <w:rFonts w:eastAsia="Times New Roman" w:cs="Times New Roman"/>
        </w:rPr>
        <w:t>, the Australian collective bargaining regime prior to the amendments was unusual, internationally, in that employers had so much power over the bargaining process, including initiating bargaining, issuing NERRs, explaining the likely effects of the new agreement and running the ballots.</w:t>
      </w:r>
      <w:r w:rsidRPr="00167CB8">
        <w:rPr>
          <w:rFonts w:eastAsia="Times New Roman" w:cs="Times New Roman"/>
          <w:vertAlign w:val="superscript"/>
        </w:rPr>
        <w:footnoteReference w:id="270"/>
      </w:r>
      <w:r w:rsidRPr="00167CB8">
        <w:rPr>
          <w:rFonts w:eastAsia="Times New Roman" w:cs="Times New Roman"/>
        </w:rPr>
        <w:t xml:space="preserve"> </w:t>
      </w:r>
      <w:r w:rsidRPr="00167CB8">
        <w:rPr>
          <w:rFonts w:eastAsia="Times New Roman" w:cs="Calibri"/>
        </w:rPr>
        <w:t>If an employer exercise</w:t>
      </w:r>
      <w:r w:rsidR="00086860">
        <w:rPr>
          <w:rFonts w:eastAsia="Times New Roman" w:cs="Calibri"/>
        </w:rPr>
        <w:t>d</w:t>
      </w:r>
      <w:r w:rsidRPr="00167CB8">
        <w:rPr>
          <w:rFonts w:eastAsia="Times New Roman" w:cs="Calibri"/>
        </w:rPr>
        <w:t xml:space="preserve"> its power not to </w:t>
      </w:r>
      <w:r w:rsidRPr="00167CB8">
        <w:rPr>
          <w:rFonts w:eastAsia="Times New Roman" w:cs="Times New Roman"/>
        </w:rPr>
        <w:t xml:space="preserve">commence bargaining over a replacement agreement, the only recourse employees had was to seek a majority support determination (MSD) or a ‘scope’ order from the </w:t>
      </w:r>
      <w:r w:rsidR="00AB05BD" w:rsidRPr="00167CB8">
        <w:rPr>
          <w:rFonts w:eastAsia="Times New Roman" w:cs="Times New Roman"/>
        </w:rPr>
        <w:t>Fair Work Commission (</w:t>
      </w:r>
      <w:r w:rsidRPr="00167CB8">
        <w:rPr>
          <w:rFonts w:eastAsia="Times New Roman" w:cs="Times New Roman"/>
        </w:rPr>
        <w:t>FWC</w:t>
      </w:r>
      <w:r w:rsidR="00AB05BD"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71"/>
      </w:r>
      <w:r w:rsidRPr="00167CB8">
        <w:rPr>
          <w:rFonts w:eastAsia="Times New Roman" w:cs="Times New Roman"/>
        </w:rPr>
        <w:t xml:space="preserve"> </w:t>
      </w:r>
    </w:p>
    <w:p w14:paraId="73FCC2AE" w14:textId="7D7F03BB" w:rsidR="00173F8E" w:rsidRPr="00167CB8" w:rsidRDefault="00173F8E" w:rsidP="00173F8E">
      <w:pPr>
        <w:rPr>
          <w:rFonts w:eastAsia="Times New Roman" w:cs="Times New Roman"/>
        </w:rPr>
      </w:pPr>
      <w:r w:rsidRPr="00167CB8">
        <w:rPr>
          <w:rFonts w:eastAsia="Times New Roman" w:cs="Times New Roman"/>
        </w:rPr>
        <w:t>Case examples (described below) show instances where employers used this power to operate under agreements that had long since become outdated in that rates had fallen below the base rates in awards.</w:t>
      </w:r>
      <w:r w:rsidRPr="00167CB8">
        <w:rPr>
          <w:rFonts w:eastAsia="Times New Roman" w:cs="Times New Roman"/>
          <w:vertAlign w:val="superscript"/>
        </w:rPr>
        <w:footnoteReference w:id="272"/>
      </w:r>
      <w:r w:rsidRPr="00167CB8">
        <w:rPr>
          <w:rFonts w:eastAsia="Times New Roman" w:cs="Times New Roman"/>
        </w:rPr>
        <w:t xml:space="preserve"> The ongoing use of expired agreements is also thought to be a major factor contributing to a decline in the number of ‘active’ agreements in recent years. As the </w:t>
      </w:r>
      <w:r w:rsidR="00AB05BD" w:rsidRPr="00167CB8">
        <w:rPr>
          <w:rFonts w:eastAsia="Times New Roman" w:cs="Times New Roman"/>
        </w:rPr>
        <w:t>Business Council of Australia (</w:t>
      </w:r>
      <w:r w:rsidRPr="00167CB8">
        <w:rPr>
          <w:rFonts w:eastAsia="Times New Roman" w:cs="Times New Roman"/>
        </w:rPr>
        <w:t>BCA</w:t>
      </w:r>
      <w:r w:rsidR="00AB05BD" w:rsidRPr="00167CB8">
        <w:rPr>
          <w:rFonts w:eastAsia="Times New Roman" w:cs="Times New Roman"/>
        </w:rPr>
        <w:t>)</w:t>
      </w:r>
      <w:r w:rsidRPr="00167CB8">
        <w:rPr>
          <w:rFonts w:eastAsia="Times New Roman" w:cs="Times New Roman"/>
        </w:rPr>
        <w:t xml:space="preserve"> noted in a 2019 report on enterprise bargaining in Australia, </w:t>
      </w:r>
      <w:r w:rsidR="00EF3397" w:rsidRPr="00167CB8">
        <w:rPr>
          <w:rFonts w:eastAsia="Times New Roman" w:cs="Times New Roman"/>
        </w:rPr>
        <w:t>‘</w:t>
      </w:r>
      <w:r w:rsidRPr="00167CB8">
        <w:rPr>
          <w:rFonts w:eastAsia="Times New Roman" w:cs="Times New Roman"/>
        </w:rPr>
        <w:t>some employers and employees are choosing not to renegotiate agreements that have lapsed, but are still operational</w:t>
      </w:r>
      <w:r w:rsidR="00EF3397"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73"/>
      </w:r>
    </w:p>
    <w:p w14:paraId="42C58F36" w14:textId="1192C973" w:rsidR="00173F8E" w:rsidRPr="00167CB8" w:rsidRDefault="00173F8E" w:rsidP="00173F8E">
      <w:pPr>
        <w:rPr>
          <w:rFonts w:eastAsia="Times New Roman" w:cs="Times New Roman"/>
        </w:rPr>
      </w:pPr>
      <w:r w:rsidRPr="00167CB8">
        <w:rPr>
          <w:rFonts w:eastAsia="Times New Roman" w:cs="Times New Roman"/>
        </w:rPr>
        <w:t xml:space="preserve">Relatedly, the amendments also seek to </w:t>
      </w:r>
      <w:r w:rsidR="00EF3397" w:rsidRPr="00167CB8">
        <w:rPr>
          <w:rFonts w:eastAsia="Times New Roman" w:cs="Times New Roman"/>
        </w:rPr>
        <w:t>‘</w:t>
      </w:r>
      <w:r w:rsidRPr="00167CB8">
        <w:rPr>
          <w:rFonts w:eastAsia="Times New Roman" w:cs="Times New Roman"/>
        </w:rPr>
        <w:t>deliver on the Jobs and Skills Summit outcome of removing unnecessary limitations on access to enterprise agreements by reducing barriers to commencing bargaining</w:t>
      </w:r>
      <w:r w:rsidR="00EF3397" w:rsidRPr="00167CB8">
        <w:rPr>
          <w:rFonts w:eastAsia="Times New Roman" w:cs="Times New Roman"/>
        </w:rPr>
        <w:t>’</w:t>
      </w:r>
      <w:r w:rsidRPr="00167CB8">
        <w:rPr>
          <w:rFonts w:eastAsia="Times New Roman" w:cs="Times New Roman"/>
          <w:vertAlign w:val="superscript"/>
        </w:rPr>
        <w:footnoteReference w:id="274"/>
      </w:r>
      <w:r w:rsidRPr="00167CB8">
        <w:rPr>
          <w:rFonts w:eastAsia="Times New Roman" w:cs="Times New Roman"/>
        </w:rPr>
        <w:t xml:space="preserve"> and </w:t>
      </w:r>
      <w:r w:rsidRPr="00167CB8">
        <w:rPr>
          <w:rFonts w:eastAsia="Times New Roman" w:cs="Calibri"/>
        </w:rPr>
        <w:t>deliver some bargaining power back to employees and unions.</w:t>
      </w:r>
      <w:r w:rsidRPr="00167CB8">
        <w:rPr>
          <w:rFonts w:eastAsia="Times New Roman" w:cs="Times New Roman"/>
          <w:vertAlign w:val="superscript"/>
        </w:rPr>
        <w:footnoteReference w:id="275"/>
      </w:r>
      <w:r w:rsidRPr="00167CB8">
        <w:rPr>
          <w:rFonts w:eastAsia="Times New Roman" w:cs="Calibri"/>
        </w:rPr>
        <w:t xml:space="preserve"> </w:t>
      </w:r>
      <w:r w:rsidRPr="00167CB8">
        <w:rPr>
          <w:rFonts w:eastAsia="Times New Roman" w:cs="Times New Roman"/>
        </w:rPr>
        <w:t xml:space="preserve"> </w:t>
      </w:r>
    </w:p>
    <w:p w14:paraId="3013EA27" w14:textId="0934A65B" w:rsidR="00173F8E" w:rsidRPr="00167CB8" w:rsidRDefault="00EA1B54" w:rsidP="00173F8E">
      <w:pPr>
        <w:pStyle w:val="Heading4"/>
        <w:rPr>
          <w:rFonts w:asciiTheme="minorHAnsi" w:hAnsiTheme="minorHAnsi"/>
        </w:rPr>
      </w:pPr>
      <w:bookmarkStart w:id="163" w:name="_Toc189260224"/>
      <w:bookmarkStart w:id="164" w:name="_Toc189393540"/>
      <w:r w:rsidRPr="00167CB8">
        <w:rPr>
          <w:rFonts w:asciiTheme="minorHAnsi" w:hAnsiTheme="minorHAnsi"/>
        </w:rPr>
        <w:lastRenderedPageBreak/>
        <w:t>9</w:t>
      </w:r>
      <w:r w:rsidR="00173F8E" w:rsidRPr="00167CB8">
        <w:rPr>
          <w:rFonts w:asciiTheme="minorHAnsi" w:hAnsiTheme="minorHAnsi"/>
        </w:rPr>
        <w:t xml:space="preserve">.2 Impact </w:t>
      </w:r>
      <w:r w:rsidR="00EF3397" w:rsidRPr="00167CB8">
        <w:rPr>
          <w:rFonts w:asciiTheme="minorHAnsi" w:hAnsiTheme="minorHAnsi"/>
        </w:rPr>
        <w:t>and</w:t>
      </w:r>
      <w:r w:rsidR="00173F8E" w:rsidRPr="00167CB8">
        <w:rPr>
          <w:rFonts w:asciiTheme="minorHAnsi" w:hAnsiTheme="minorHAnsi"/>
        </w:rPr>
        <w:t xml:space="preserve"> </w:t>
      </w:r>
      <w:r w:rsidR="00EF3397" w:rsidRPr="00167CB8">
        <w:rPr>
          <w:rFonts w:asciiTheme="minorHAnsi" w:hAnsiTheme="minorHAnsi"/>
        </w:rPr>
        <w:t>i</w:t>
      </w:r>
      <w:r w:rsidR="00173F8E" w:rsidRPr="00167CB8">
        <w:rPr>
          <w:rFonts w:asciiTheme="minorHAnsi" w:hAnsiTheme="minorHAnsi"/>
        </w:rPr>
        <w:t>ssues</w:t>
      </w:r>
      <w:bookmarkEnd w:id="163"/>
      <w:bookmarkEnd w:id="164"/>
    </w:p>
    <w:p w14:paraId="070AA45A" w14:textId="43DEADFA" w:rsidR="00173F8E" w:rsidRPr="00167CB8" w:rsidRDefault="00173F8E" w:rsidP="00173F8E">
      <w:r w:rsidRPr="00167CB8">
        <w:t xml:space="preserve">The appropriateness and effectiveness of these amendments can be assessed through analysis of </w:t>
      </w:r>
      <w:r w:rsidR="00EF3397" w:rsidRPr="00167CB8">
        <w:t xml:space="preserve">3 </w:t>
      </w:r>
      <w:r w:rsidRPr="00167CB8">
        <w:t>types of data: quantitative data,</w:t>
      </w:r>
      <w:r w:rsidRPr="00167CB8" w:rsidDel="001E3C51">
        <w:t xml:space="preserve"> </w:t>
      </w:r>
      <w:r w:rsidRPr="00167CB8">
        <w:t xml:space="preserve">qualitative data where available, and the views expressed by stakeholders. </w:t>
      </w:r>
    </w:p>
    <w:p w14:paraId="3E4FBD6E" w14:textId="56332490" w:rsidR="00173F8E" w:rsidRPr="00167CB8" w:rsidRDefault="00EA1B54" w:rsidP="00173F8E">
      <w:pPr>
        <w:pStyle w:val="Heading5"/>
        <w:rPr>
          <w:rFonts w:asciiTheme="minorHAnsi" w:hAnsiTheme="minorHAnsi"/>
        </w:rPr>
      </w:pPr>
      <w:r w:rsidRPr="00167CB8">
        <w:rPr>
          <w:rFonts w:asciiTheme="minorHAnsi" w:hAnsiTheme="minorHAnsi"/>
        </w:rPr>
        <w:t>9</w:t>
      </w:r>
      <w:r w:rsidR="00173F8E" w:rsidRPr="00167CB8">
        <w:rPr>
          <w:rFonts w:asciiTheme="minorHAnsi" w:hAnsiTheme="minorHAnsi"/>
        </w:rPr>
        <w:t>.2.1 Quantitative evidence</w:t>
      </w:r>
    </w:p>
    <w:p w14:paraId="1422E94C" w14:textId="34FBFFAA" w:rsidR="00173F8E" w:rsidRPr="00167CB8" w:rsidRDefault="00173F8E" w:rsidP="00173F8E">
      <w:pPr>
        <w:rPr>
          <w:rFonts w:cstheme="minorHAnsi"/>
        </w:rPr>
      </w:pPr>
      <w:r w:rsidRPr="00167CB8">
        <w:rPr>
          <w:rFonts w:cstheme="minorHAnsi"/>
        </w:rPr>
        <w:t>There is a dearth of data specifically on how bargaining is initiated and the question of who initiates bargaining. The Review Panel make</w:t>
      </w:r>
      <w:r w:rsidR="00EF3397" w:rsidRPr="00167CB8">
        <w:rPr>
          <w:rFonts w:cstheme="minorHAnsi"/>
        </w:rPr>
        <w:t>s</w:t>
      </w:r>
      <w:r w:rsidRPr="00167CB8">
        <w:rPr>
          <w:rFonts w:cstheme="minorHAnsi"/>
        </w:rPr>
        <w:t xml:space="preserve"> a recommendation below that this gap be filled by expanding the data gathered and published by DEWR’s WAD.</w:t>
      </w:r>
    </w:p>
    <w:p w14:paraId="1A5CD543" w14:textId="4040D10F" w:rsidR="00173F8E" w:rsidRPr="00167CB8" w:rsidRDefault="00173F8E" w:rsidP="00173F8E">
      <w:pPr>
        <w:rPr>
          <w:rFonts w:cstheme="minorHAnsi"/>
        </w:rPr>
      </w:pPr>
      <w:r w:rsidRPr="00167CB8">
        <w:rPr>
          <w:rFonts w:cstheme="minorHAnsi"/>
        </w:rPr>
        <w:t xml:space="preserve">Although the WAD does not collect and report on the </w:t>
      </w:r>
      <w:r w:rsidRPr="00167CB8">
        <w:rPr>
          <w:rFonts w:eastAsia="Times New Roman" w:cs="Times New Roman"/>
        </w:rPr>
        <w:t>mechanism used to commence bargaining for all agreements</w:t>
      </w:r>
      <w:r w:rsidRPr="00167CB8">
        <w:rPr>
          <w:rFonts w:cstheme="minorHAnsi"/>
        </w:rPr>
        <w:t>, the WAD has collected information on the number of agreements where bargaining commenced under s</w:t>
      </w:r>
      <w:r w:rsidR="00EF3397" w:rsidRPr="00167CB8">
        <w:rPr>
          <w:rFonts w:cstheme="minorHAnsi"/>
        </w:rPr>
        <w:t> </w:t>
      </w:r>
      <w:r w:rsidRPr="00167CB8">
        <w:rPr>
          <w:rFonts w:cstheme="minorHAnsi"/>
        </w:rPr>
        <w:t xml:space="preserve">173(2A) of the </w:t>
      </w:r>
      <w:r w:rsidRPr="00167CB8">
        <w:rPr>
          <w:rFonts w:eastAsia="Times New Roman" w:cs="Calibri"/>
          <w:lang w:eastAsia="en-AU"/>
        </w:rPr>
        <w:t>Fair Work</w:t>
      </w:r>
      <w:r w:rsidRPr="00167CB8">
        <w:rPr>
          <w:rFonts w:cstheme="minorHAnsi"/>
        </w:rPr>
        <w:t xml:space="preserve"> Act</w:t>
      </w:r>
      <w:r w:rsidRPr="00167CB8" w:rsidDel="00006EC4">
        <w:rPr>
          <w:rFonts w:cstheme="minorHAnsi"/>
        </w:rPr>
        <w:t xml:space="preserve"> </w:t>
      </w:r>
      <w:r w:rsidRPr="00167CB8">
        <w:rPr>
          <w:rFonts w:cstheme="minorHAnsi"/>
        </w:rPr>
        <w:t xml:space="preserve">for agreements with a notification time on or after 7 December 2022 (when the provisions commenced). The data shows that 3.93% of agreements, or 187 agreements, approved from </w:t>
      </w:r>
      <w:r w:rsidR="00EF3397" w:rsidRPr="00167CB8">
        <w:rPr>
          <w:rFonts w:cstheme="minorHAnsi"/>
        </w:rPr>
        <w:t xml:space="preserve">the first quarter of </w:t>
      </w:r>
      <w:r w:rsidRPr="00167CB8">
        <w:rPr>
          <w:rFonts w:cstheme="minorHAnsi"/>
        </w:rPr>
        <w:t xml:space="preserve">2023 to </w:t>
      </w:r>
      <w:r w:rsidR="00EF3397" w:rsidRPr="00167CB8">
        <w:rPr>
          <w:rFonts w:cstheme="minorHAnsi"/>
        </w:rPr>
        <w:t xml:space="preserve">the third quarter of </w:t>
      </w:r>
      <w:r w:rsidRPr="00167CB8">
        <w:rPr>
          <w:rFonts w:cstheme="minorHAnsi"/>
        </w:rPr>
        <w:t>2024 commenced bargaining through a written request pursuant to the initiating bargaining provisions (in s</w:t>
      </w:r>
      <w:r w:rsidR="00EF3397" w:rsidRPr="00167CB8">
        <w:rPr>
          <w:rFonts w:cstheme="minorHAnsi"/>
        </w:rPr>
        <w:t> </w:t>
      </w:r>
      <w:r w:rsidRPr="00167CB8">
        <w:rPr>
          <w:rFonts w:cstheme="minorHAnsi"/>
        </w:rPr>
        <w:t xml:space="preserve">173(2A) of the </w:t>
      </w:r>
      <w:r w:rsidRPr="00167CB8">
        <w:rPr>
          <w:rFonts w:eastAsia="Times New Roman" w:cs="Calibri"/>
          <w:lang w:eastAsia="en-AU"/>
        </w:rPr>
        <w:t xml:space="preserve">Fair Work </w:t>
      </w:r>
      <w:r w:rsidRPr="00167CB8">
        <w:rPr>
          <w:rFonts w:cstheme="minorHAnsi"/>
        </w:rPr>
        <w:t>Act).</w:t>
      </w:r>
      <w:r w:rsidRPr="00167CB8">
        <w:rPr>
          <w:rStyle w:val="FootnoteReference"/>
          <w:rFonts w:cstheme="minorHAnsi"/>
        </w:rPr>
        <w:footnoteReference w:id="276"/>
      </w:r>
      <w:r w:rsidRPr="00167CB8">
        <w:rPr>
          <w:rFonts w:cstheme="minorHAnsi"/>
        </w:rPr>
        <w:t xml:space="preserve"> </w:t>
      </w:r>
    </w:p>
    <w:p w14:paraId="766E3E35" w14:textId="11A0F13D" w:rsidR="00173F8E" w:rsidRPr="00167CB8" w:rsidRDefault="00173F8E" w:rsidP="00173F8E">
      <w:pPr>
        <w:rPr>
          <w:rFonts w:cstheme="minorHAnsi"/>
        </w:rPr>
      </w:pPr>
      <w:r w:rsidRPr="00167CB8">
        <w:rPr>
          <w:rFonts w:cstheme="minorHAnsi"/>
        </w:rPr>
        <w:t xml:space="preserve">There also are other types of data that might more indirectly help to assess the question: the incidence and coverage of collective agreements and the number of </w:t>
      </w:r>
      <w:r w:rsidR="00AB05BD" w:rsidRPr="00167CB8">
        <w:rPr>
          <w:rFonts w:cstheme="minorHAnsi"/>
        </w:rPr>
        <w:t>majority support determinations (</w:t>
      </w:r>
      <w:r w:rsidRPr="00167CB8">
        <w:rPr>
          <w:rFonts w:cstheme="minorHAnsi"/>
        </w:rPr>
        <w:t>MSD</w:t>
      </w:r>
      <w:r w:rsidR="00AB05BD" w:rsidRPr="00167CB8">
        <w:rPr>
          <w:rFonts w:cstheme="minorHAnsi"/>
        </w:rPr>
        <w:t>s)</w:t>
      </w:r>
      <w:r w:rsidRPr="00167CB8">
        <w:rPr>
          <w:rFonts w:cstheme="minorHAnsi"/>
        </w:rPr>
        <w:t xml:space="preserve"> sought by the bargaining parties and then issued by the </w:t>
      </w:r>
      <w:r w:rsidR="00AB05BD" w:rsidRPr="00167CB8">
        <w:rPr>
          <w:rFonts w:cstheme="minorHAnsi"/>
        </w:rPr>
        <w:t>Fair Work Commission (</w:t>
      </w:r>
      <w:r w:rsidRPr="00167CB8">
        <w:rPr>
          <w:rFonts w:cstheme="minorHAnsi"/>
        </w:rPr>
        <w:t>FWC</w:t>
      </w:r>
      <w:r w:rsidR="00AB05BD" w:rsidRPr="00167CB8">
        <w:rPr>
          <w:rFonts w:cstheme="minorHAnsi"/>
        </w:rPr>
        <w:t>)</w:t>
      </w:r>
      <w:r w:rsidRPr="00167CB8">
        <w:rPr>
          <w:rFonts w:cstheme="minorHAnsi"/>
        </w:rPr>
        <w:t>.</w:t>
      </w:r>
    </w:p>
    <w:p w14:paraId="7E557368" w14:textId="5BAB097E" w:rsidR="00173F8E" w:rsidRPr="00167CB8" w:rsidRDefault="00173F8E" w:rsidP="00173F8E">
      <w:pPr>
        <w:rPr>
          <w:rFonts w:cstheme="minorHAnsi"/>
        </w:rPr>
      </w:pPr>
      <w:r w:rsidRPr="00167CB8">
        <w:rPr>
          <w:rFonts w:cstheme="minorHAnsi"/>
        </w:rPr>
        <w:t xml:space="preserve">First, trends since the commencement of the amendments in collective agreements have already been considered earlier in this </w:t>
      </w:r>
      <w:r w:rsidR="00EF3397" w:rsidRPr="00167CB8">
        <w:rPr>
          <w:rFonts w:cstheme="minorHAnsi"/>
        </w:rPr>
        <w:t>r</w:t>
      </w:r>
      <w:r w:rsidRPr="00167CB8">
        <w:rPr>
          <w:rFonts w:cstheme="minorHAnsi"/>
        </w:rPr>
        <w:t xml:space="preserve">eport (see Chapter </w:t>
      </w:r>
      <w:r w:rsidR="00E95071" w:rsidRPr="00167CB8">
        <w:rPr>
          <w:rFonts w:cstheme="minorHAnsi"/>
        </w:rPr>
        <w:t>8</w:t>
      </w:r>
      <w:r w:rsidRPr="00167CB8">
        <w:rPr>
          <w:rFonts w:cstheme="minorHAnsi"/>
        </w:rPr>
        <w:t>). The conclusion reached was that there have been modest increases in the number and especially the coverage of agreements. While these trends may be the result of multiple factors in addition to the amendments about initiating bargaining, these increases at least suggest some success in achieving the intent.</w:t>
      </w:r>
    </w:p>
    <w:p w14:paraId="2F395C3C" w14:textId="6684A620" w:rsidR="00173F8E" w:rsidRPr="00167CB8" w:rsidRDefault="00173F8E" w:rsidP="00173F8E">
      <w:pPr>
        <w:rPr>
          <w:rFonts w:cstheme="minorHAnsi"/>
        </w:rPr>
      </w:pPr>
      <w:r w:rsidRPr="00167CB8">
        <w:rPr>
          <w:rFonts w:cstheme="minorHAnsi"/>
        </w:rPr>
        <w:t xml:space="preserve">Second, there are trends in relation to the number of applications for and approvals of MSDs. The data available from the FWC in Figure </w:t>
      </w:r>
      <w:r w:rsidR="00E95071" w:rsidRPr="00167CB8">
        <w:rPr>
          <w:rFonts w:cstheme="minorHAnsi"/>
        </w:rPr>
        <w:t>10</w:t>
      </w:r>
      <w:r w:rsidRPr="00167CB8">
        <w:rPr>
          <w:rFonts w:cstheme="minorHAnsi"/>
        </w:rPr>
        <w:t xml:space="preserve"> shows that the number of MSD approval applications was largely the same for 2021</w:t>
      </w:r>
      <w:r w:rsidR="00EF3397" w:rsidRPr="00167CB8">
        <w:rPr>
          <w:rFonts w:ascii="Symbol" w:eastAsia="Symbol" w:hAnsi="Symbol" w:cstheme="minorHAnsi"/>
        </w:rPr>
        <w:sym w:font="Symbol" w:char="F02D"/>
      </w:r>
      <w:r w:rsidRPr="00167CB8">
        <w:rPr>
          <w:rFonts w:cstheme="minorHAnsi"/>
        </w:rPr>
        <w:t>22 and 2022</w:t>
      </w:r>
      <w:r w:rsidR="00EF3397" w:rsidRPr="00167CB8">
        <w:rPr>
          <w:rFonts w:ascii="Symbol" w:eastAsia="Symbol" w:hAnsi="Symbol" w:cstheme="minorHAnsi"/>
        </w:rPr>
        <w:sym w:font="Symbol" w:char="F02D"/>
      </w:r>
      <w:r w:rsidRPr="00167CB8">
        <w:rPr>
          <w:rFonts w:cstheme="minorHAnsi"/>
        </w:rPr>
        <w:t>23 at 97 and 98, respectively</w:t>
      </w:r>
      <w:r w:rsidR="00EF3397" w:rsidRPr="00167CB8">
        <w:rPr>
          <w:rFonts w:cstheme="minorHAnsi"/>
        </w:rPr>
        <w:t>;</w:t>
      </w:r>
      <w:r w:rsidRPr="00167CB8">
        <w:rPr>
          <w:rFonts w:cstheme="minorHAnsi"/>
        </w:rPr>
        <w:t xml:space="preserve"> however</w:t>
      </w:r>
      <w:r w:rsidR="00EF3397" w:rsidRPr="00167CB8">
        <w:rPr>
          <w:rFonts w:cstheme="minorHAnsi"/>
        </w:rPr>
        <w:t>,</w:t>
      </w:r>
      <w:r w:rsidRPr="00167CB8">
        <w:rPr>
          <w:rFonts w:cstheme="minorHAnsi"/>
        </w:rPr>
        <w:t xml:space="preserve"> </w:t>
      </w:r>
      <w:r w:rsidR="00AB05BD" w:rsidRPr="00167CB8">
        <w:rPr>
          <w:rFonts w:cstheme="minorHAnsi"/>
        </w:rPr>
        <w:t xml:space="preserve">it </w:t>
      </w:r>
      <w:r w:rsidRPr="00167CB8">
        <w:rPr>
          <w:rFonts w:cstheme="minorHAnsi"/>
        </w:rPr>
        <w:t>reduced by 26.5% to 72 in 2023</w:t>
      </w:r>
      <w:r w:rsidR="00EF3397" w:rsidRPr="00167CB8">
        <w:rPr>
          <w:rFonts w:ascii="Symbol" w:eastAsia="Symbol" w:hAnsi="Symbol" w:cstheme="minorHAnsi"/>
        </w:rPr>
        <w:sym w:font="Symbol" w:char="F02D"/>
      </w:r>
      <w:r w:rsidRPr="00167CB8">
        <w:rPr>
          <w:rFonts w:cstheme="minorHAnsi"/>
        </w:rPr>
        <w:t xml:space="preserve">24. </w:t>
      </w:r>
      <w:r w:rsidR="00D613FE">
        <w:rPr>
          <w:rFonts w:cstheme="minorHAnsi"/>
        </w:rPr>
        <w:t>W</w:t>
      </w:r>
      <w:r w:rsidRPr="00167CB8">
        <w:t>hile applications in total have decreased, so has the rate at which applications were withdrawn and dismissed. Therefore, while applications to approve MSDs have decreased, the number approved has remained stable.</w:t>
      </w:r>
    </w:p>
    <w:p w14:paraId="46944296" w14:textId="79DF3880" w:rsidR="00173F8E" w:rsidRDefault="00173F8E" w:rsidP="00470AB9">
      <w:pPr>
        <w:pStyle w:val="Caption"/>
      </w:pPr>
      <w:r w:rsidRPr="00167CB8">
        <w:lastRenderedPageBreak/>
        <w:t xml:space="preserve">Figure </w:t>
      </w:r>
      <w:r w:rsidR="00E95071" w:rsidRPr="00167CB8">
        <w:t>10</w:t>
      </w:r>
      <w:r w:rsidRPr="00167CB8">
        <w:t xml:space="preserve">: Outcomes </w:t>
      </w:r>
      <w:r w:rsidR="0011519F">
        <w:t xml:space="preserve">(#) </w:t>
      </w:r>
      <w:r w:rsidRPr="00167CB8">
        <w:t>of majority support determination (s</w:t>
      </w:r>
      <w:r w:rsidR="00EF3397" w:rsidRPr="00167CB8">
        <w:t> </w:t>
      </w:r>
      <w:r w:rsidRPr="00167CB8">
        <w:t>236)</w:t>
      </w:r>
      <w:r w:rsidR="0011519F">
        <w:t xml:space="preserve"> </w:t>
      </w:r>
      <w:r w:rsidRPr="00167CB8">
        <w:t>applications</w:t>
      </w:r>
      <w:r w:rsidR="00A14864" w:rsidRPr="00167CB8">
        <w:t>, 2021</w:t>
      </w:r>
      <w:r w:rsidR="00A14864" w:rsidRPr="00C7470B">
        <w:sym w:font="Symbol" w:char="F02D"/>
      </w:r>
      <w:r w:rsidR="00A14864" w:rsidRPr="00167CB8">
        <w:t>22 to 2023</w:t>
      </w:r>
      <w:r w:rsidR="00A14864" w:rsidRPr="00C7470B">
        <w:sym w:font="Symbol" w:char="F02D"/>
      </w:r>
      <w:r w:rsidR="00A14864" w:rsidRPr="00167CB8">
        <w:t>24</w:t>
      </w:r>
    </w:p>
    <w:p w14:paraId="5F748B8A" w14:textId="1BB45440" w:rsidR="003D6742" w:rsidRPr="003D6742" w:rsidRDefault="003D6742" w:rsidP="003D6742">
      <w:pPr>
        <w:rPr>
          <w:lang w:val="en-US"/>
        </w:rPr>
      </w:pPr>
      <w:r>
        <w:rPr>
          <w:noProof/>
          <w:lang w:val="en-US"/>
        </w:rPr>
        <w:drawing>
          <wp:inline distT="0" distB="0" distL="0" distR="0" wp14:anchorId="2D4EE8B3" wp14:editId="6DB6146F">
            <wp:extent cx="5665670" cy="3458817"/>
            <wp:effectExtent l="0" t="0" r="0" b="8890"/>
            <wp:docPr id="1462046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4288" cy="3464078"/>
                    </a:xfrm>
                    <a:prstGeom prst="rect">
                      <a:avLst/>
                    </a:prstGeom>
                    <a:noFill/>
                  </pic:spPr>
                </pic:pic>
              </a:graphicData>
            </a:graphic>
          </wp:inline>
        </w:drawing>
      </w:r>
    </w:p>
    <w:p w14:paraId="53F03462" w14:textId="5B1317E4" w:rsidR="00173F8E" w:rsidRPr="00167CB8" w:rsidRDefault="00173F8E" w:rsidP="00EF3397">
      <w:pPr>
        <w:pStyle w:val="Source"/>
      </w:pPr>
      <w:r w:rsidRPr="00167CB8">
        <w:rPr>
          <w:b/>
          <w:bCs/>
        </w:rPr>
        <w:t>Source:</w:t>
      </w:r>
      <w:r w:rsidRPr="00167CB8">
        <w:t xml:space="preserve"> Review analysis of data provided by the FWC, July 2021 –</w:t>
      </w:r>
      <w:r w:rsidR="00EF3397" w:rsidRPr="00167CB8">
        <w:t xml:space="preserve"> </w:t>
      </w:r>
      <w:r w:rsidRPr="00167CB8">
        <w:t>June 2024</w:t>
      </w:r>
      <w:r w:rsidR="00AB05BD" w:rsidRPr="00167CB8">
        <w:t>.</w:t>
      </w:r>
    </w:p>
    <w:p w14:paraId="411682F2" w14:textId="2514CBB9" w:rsidR="00173F8E" w:rsidRPr="00167CB8" w:rsidRDefault="00173F8E" w:rsidP="00EF3397">
      <w:pPr>
        <w:pStyle w:val="Source"/>
      </w:pPr>
      <w:r w:rsidRPr="00167CB8">
        <w:rPr>
          <w:b/>
          <w:bCs/>
        </w:rPr>
        <w:t>Alt text:</w:t>
      </w:r>
      <w:r w:rsidRPr="00167CB8">
        <w:t xml:space="preserve"> A clustered column chart showing the outcomes from majority support determination (MSD) applications for the 2021</w:t>
      </w:r>
      <w:r w:rsidR="00EF3397" w:rsidRPr="00167CB8">
        <w:rPr>
          <w:rFonts w:ascii="Symbol" w:eastAsia="Symbol" w:hAnsi="Symbol" w:cs="Symbol"/>
        </w:rPr>
        <w:sym w:font="Symbol" w:char="F02D"/>
      </w:r>
      <w:r w:rsidRPr="00167CB8">
        <w:t>22, 2022</w:t>
      </w:r>
      <w:r w:rsidR="00EF3397" w:rsidRPr="00167CB8">
        <w:rPr>
          <w:rFonts w:ascii="Symbol" w:eastAsia="Symbol" w:hAnsi="Symbol" w:cs="Symbol"/>
        </w:rPr>
        <w:sym w:font="Symbol" w:char="F02D"/>
      </w:r>
      <w:r w:rsidRPr="00167CB8">
        <w:t>23 and 20</w:t>
      </w:r>
      <w:r w:rsidR="00EF3397" w:rsidRPr="00167CB8">
        <w:t>2</w:t>
      </w:r>
      <w:r w:rsidRPr="00167CB8">
        <w:t>3-</w:t>
      </w:r>
      <w:r w:rsidR="00EF3397" w:rsidRPr="00167CB8">
        <w:t>2</w:t>
      </w:r>
      <w:r w:rsidRPr="00167CB8">
        <w:t>4 financial years. In 2023</w:t>
      </w:r>
      <w:r w:rsidR="00EF3397" w:rsidRPr="00167CB8">
        <w:rPr>
          <w:rFonts w:ascii="Symbol" w:eastAsia="Symbol" w:hAnsi="Symbol" w:cs="Symbol"/>
        </w:rPr>
        <w:sym w:font="Symbol" w:char="F02D"/>
      </w:r>
      <w:r w:rsidRPr="00167CB8">
        <w:t>24 total MSD applications received was equal to 72. This compares with 98 in 2022</w:t>
      </w:r>
      <w:r w:rsidR="00EF3397" w:rsidRPr="00167CB8">
        <w:rPr>
          <w:rFonts w:ascii="Symbol" w:eastAsia="Symbol" w:hAnsi="Symbol" w:cs="Symbol"/>
        </w:rPr>
        <w:sym w:font="Symbol" w:char="F02D"/>
      </w:r>
      <w:r w:rsidRPr="00167CB8">
        <w:t>23 and 97 in 2021</w:t>
      </w:r>
      <w:r w:rsidR="00EF3397" w:rsidRPr="00167CB8">
        <w:rPr>
          <w:rFonts w:ascii="Symbol" w:eastAsia="Symbol" w:hAnsi="Symbol" w:cs="Symbol"/>
        </w:rPr>
        <w:sym w:font="Symbol" w:char="F02D"/>
      </w:r>
      <w:r w:rsidRPr="00167CB8">
        <w:t xml:space="preserve">22. The number of MSDs issued is constant across the financial years. </w:t>
      </w:r>
    </w:p>
    <w:p w14:paraId="17AA549C" w14:textId="030E883A" w:rsidR="00173F8E" w:rsidRPr="00167CB8" w:rsidRDefault="00EA1B54" w:rsidP="00173F8E">
      <w:pPr>
        <w:pStyle w:val="Heading5"/>
        <w:rPr>
          <w:rFonts w:asciiTheme="minorHAnsi" w:hAnsiTheme="minorHAnsi"/>
        </w:rPr>
      </w:pPr>
      <w:r w:rsidRPr="00167CB8">
        <w:rPr>
          <w:rFonts w:cstheme="minorHAnsi"/>
        </w:rPr>
        <w:t>9</w:t>
      </w:r>
      <w:r w:rsidR="00173F8E" w:rsidRPr="00167CB8">
        <w:rPr>
          <w:rFonts w:cstheme="minorHAnsi"/>
        </w:rPr>
        <w:t>.2.2</w:t>
      </w:r>
      <w:r w:rsidR="00173F8E" w:rsidRPr="00167CB8">
        <w:rPr>
          <w:rFonts w:asciiTheme="minorHAnsi" w:hAnsiTheme="minorHAnsi"/>
        </w:rPr>
        <w:t xml:space="preserve"> Qualitative evidence</w:t>
      </w:r>
    </w:p>
    <w:p w14:paraId="7C7C9E37" w14:textId="77777777" w:rsidR="00173F8E" w:rsidRPr="00167CB8" w:rsidDel="002050D6" w:rsidRDefault="00173F8E" w:rsidP="00173F8E">
      <w:pPr>
        <w:rPr>
          <w:rFonts w:eastAsia="Aptos" w:cs="Calibri"/>
        </w:rPr>
      </w:pPr>
      <w:r w:rsidRPr="00167CB8">
        <w:rPr>
          <w:rFonts w:eastAsia="Aptos" w:cs="Calibri"/>
        </w:rPr>
        <w:t>There are no major court or tribunal decisions directly considering the operation of the initiating bargaining reforms.</w:t>
      </w:r>
    </w:p>
    <w:p w14:paraId="53CE9100" w14:textId="0BFFD28A" w:rsidR="00173F8E" w:rsidRPr="00167CB8" w:rsidRDefault="00173F8E" w:rsidP="00173F8E">
      <w:pPr>
        <w:rPr>
          <w:rFonts w:cstheme="minorHAnsi"/>
        </w:rPr>
      </w:pPr>
      <w:r w:rsidRPr="00167CB8">
        <w:rPr>
          <w:rFonts w:cstheme="minorHAnsi"/>
        </w:rPr>
        <w:t xml:space="preserve">Media reporting, however, pointed to </w:t>
      </w:r>
      <w:r w:rsidR="00EF3397" w:rsidRPr="00167CB8">
        <w:rPr>
          <w:rFonts w:cstheme="minorHAnsi"/>
        </w:rPr>
        <w:t xml:space="preserve">2 </w:t>
      </w:r>
      <w:r w:rsidRPr="00167CB8">
        <w:rPr>
          <w:rFonts w:cstheme="minorHAnsi"/>
        </w:rPr>
        <w:t xml:space="preserve">significant enterprise agreements which have been negotiated and approved due to initiating bargaining provisions within the </w:t>
      </w:r>
      <w:r w:rsidRPr="00167CB8">
        <w:rPr>
          <w:rFonts w:cs="Calibri"/>
        </w:rPr>
        <w:t xml:space="preserve">Secure Jobs, Better Pay </w:t>
      </w:r>
      <w:r w:rsidRPr="00167CB8">
        <w:rPr>
          <w:rFonts w:cstheme="minorHAnsi"/>
        </w:rPr>
        <w:t xml:space="preserve">Act. On 3 May 2024 the </w:t>
      </w:r>
      <w:r w:rsidR="00EF3397" w:rsidRPr="00167CB8">
        <w:rPr>
          <w:rFonts w:cstheme="minorHAnsi"/>
        </w:rPr>
        <w:t xml:space="preserve">FWC </w:t>
      </w:r>
      <w:r w:rsidRPr="00167CB8">
        <w:rPr>
          <w:rFonts w:cstheme="minorHAnsi"/>
        </w:rPr>
        <w:t xml:space="preserve">approved the </w:t>
      </w:r>
      <w:r w:rsidRPr="00167CB8">
        <w:rPr>
          <w:rFonts w:cstheme="minorHAnsi"/>
          <w:i/>
          <w:iCs/>
        </w:rPr>
        <w:t>Coles Retail Enterprise Agreement 2024</w:t>
      </w:r>
      <w:r w:rsidRPr="00167CB8">
        <w:rPr>
          <w:rFonts w:cstheme="minorHAnsi"/>
        </w:rPr>
        <w:t>, which covers over 92,500 employees.</w:t>
      </w:r>
      <w:r w:rsidRPr="00167CB8">
        <w:rPr>
          <w:rStyle w:val="FootnoteReference"/>
          <w:rFonts w:cstheme="minorHAnsi"/>
        </w:rPr>
        <w:footnoteReference w:id="277"/>
      </w:r>
      <w:r w:rsidRPr="00167CB8">
        <w:rPr>
          <w:rFonts w:cstheme="minorHAnsi"/>
        </w:rPr>
        <w:t xml:space="preserve"> On 19 October 2023 the </w:t>
      </w:r>
      <w:r w:rsidR="00EF3397" w:rsidRPr="00167CB8">
        <w:rPr>
          <w:rFonts w:cstheme="minorHAnsi"/>
        </w:rPr>
        <w:t xml:space="preserve">FWC </w:t>
      </w:r>
      <w:r w:rsidRPr="00167CB8">
        <w:rPr>
          <w:rFonts w:cstheme="minorHAnsi"/>
        </w:rPr>
        <w:t xml:space="preserve">approved the </w:t>
      </w:r>
      <w:r w:rsidRPr="00167CB8">
        <w:rPr>
          <w:rFonts w:cstheme="minorHAnsi"/>
          <w:i/>
          <w:iCs/>
        </w:rPr>
        <w:t>ANZ Enterprise Agreement 2023</w:t>
      </w:r>
      <w:r w:rsidR="00EF3397" w:rsidRPr="00167CB8">
        <w:rPr>
          <w:rFonts w:ascii="Symbol" w:eastAsia="Symbol" w:hAnsi="Symbol" w:cstheme="minorHAnsi"/>
          <w:i/>
        </w:rPr>
        <w:sym w:font="Symbol" w:char="F02D"/>
      </w:r>
      <w:r w:rsidRPr="00167CB8">
        <w:rPr>
          <w:rFonts w:cstheme="minorHAnsi"/>
          <w:i/>
          <w:iCs/>
        </w:rPr>
        <w:t xml:space="preserve">2027, </w:t>
      </w:r>
      <w:r w:rsidRPr="00167CB8">
        <w:rPr>
          <w:rFonts w:cstheme="minorHAnsi"/>
        </w:rPr>
        <w:t>which covers more than 20,000 staff</w:t>
      </w:r>
      <w:r w:rsidRPr="00167CB8">
        <w:rPr>
          <w:rFonts w:cstheme="minorHAnsi"/>
          <w:i/>
          <w:iCs/>
        </w:rPr>
        <w:t>.</w:t>
      </w:r>
      <w:r w:rsidRPr="00167CB8">
        <w:rPr>
          <w:rStyle w:val="FootnoteReference"/>
          <w:rFonts w:cstheme="minorHAnsi"/>
        </w:rPr>
        <w:footnoteReference w:id="278"/>
      </w:r>
      <w:r w:rsidRPr="00167CB8">
        <w:rPr>
          <w:rFonts w:cstheme="minorHAnsi"/>
        </w:rPr>
        <w:t xml:space="preserve"> The passage of both </w:t>
      </w:r>
      <w:r w:rsidRPr="00167CB8">
        <w:rPr>
          <w:rFonts w:cstheme="minorHAnsi"/>
        </w:rPr>
        <w:lastRenderedPageBreak/>
        <w:t xml:space="preserve">agreements </w:t>
      </w:r>
      <w:r w:rsidR="00EF3397" w:rsidRPr="00167CB8">
        <w:rPr>
          <w:rFonts w:cstheme="minorHAnsi"/>
        </w:rPr>
        <w:t xml:space="preserve">has </w:t>
      </w:r>
      <w:r w:rsidRPr="00167CB8">
        <w:rPr>
          <w:rFonts w:cstheme="minorHAnsi"/>
        </w:rPr>
        <w:t>been attributed to employees and bargaining representatives utilising the new initiating bargaining provisions.</w:t>
      </w:r>
      <w:r w:rsidRPr="00167CB8">
        <w:rPr>
          <w:rStyle w:val="FootnoteReference"/>
          <w:rFonts w:cstheme="minorHAnsi"/>
        </w:rPr>
        <w:footnoteReference w:id="279"/>
      </w:r>
    </w:p>
    <w:p w14:paraId="369D91EE" w14:textId="09E6011B" w:rsidR="00173F8E" w:rsidRPr="00167CB8" w:rsidRDefault="000051E6" w:rsidP="00173F8E">
      <w:pPr>
        <w:rPr>
          <w:rFonts w:eastAsia="Aptos" w:cs="Calibri"/>
        </w:rPr>
      </w:pPr>
      <w:r>
        <w:rPr>
          <w:rFonts w:eastAsia="Aptos" w:cs="Calibri"/>
        </w:rPr>
        <w:t>As well, o</w:t>
      </w:r>
      <w:r w:rsidR="00173F8E" w:rsidRPr="00167CB8">
        <w:rPr>
          <w:rFonts w:eastAsia="Aptos" w:cs="Calibri"/>
        </w:rPr>
        <w:t>n 13 May 2024 the FWC issued a decision in relation to bargaining at Sephora Australia Pty Ltd (</w:t>
      </w:r>
      <w:r w:rsidR="00173F8E" w:rsidRPr="00167CB8">
        <w:rPr>
          <w:rFonts w:eastAsia="Aptos" w:cs="Calibri"/>
          <w:i/>
        </w:rPr>
        <w:t>Sephora</w:t>
      </w:r>
      <w:r w:rsidR="00173F8E" w:rsidRPr="00167CB8">
        <w:rPr>
          <w:rFonts w:eastAsia="Aptos" w:cs="Calibri"/>
        </w:rPr>
        <w:t>).</w:t>
      </w:r>
      <w:r w:rsidR="00173F8E" w:rsidRPr="00167CB8">
        <w:rPr>
          <w:rStyle w:val="FootnoteReference"/>
          <w:rFonts w:eastAsia="Aptos" w:cs="Calibri"/>
        </w:rPr>
        <w:footnoteReference w:id="280"/>
      </w:r>
      <w:r w:rsidR="00173F8E" w:rsidRPr="00167CB8">
        <w:rPr>
          <w:rFonts w:eastAsia="Aptos" w:cs="Calibri"/>
        </w:rPr>
        <w:t xml:space="preserve"> While </w:t>
      </w:r>
      <w:r w:rsidR="00173F8E" w:rsidRPr="00167CB8">
        <w:rPr>
          <w:rFonts w:eastAsia="Aptos" w:cs="Calibri"/>
          <w:i/>
        </w:rPr>
        <w:t xml:space="preserve">Sephora </w:t>
      </w:r>
      <w:r w:rsidR="00173F8E" w:rsidRPr="00167CB8">
        <w:rPr>
          <w:rFonts w:eastAsia="Aptos" w:cs="Calibri"/>
        </w:rPr>
        <w:t>is a case about good faith bargaining requirements of the Fair Work Act (and to that extent is not directly relevant here)</w:t>
      </w:r>
      <w:r w:rsidR="00EF3397" w:rsidRPr="00167CB8">
        <w:rPr>
          <w:rFonts w:eastAsia="Aptos" w:cs="Calibri"/>
        </w:rPr>
        <w:t>,</w:t>
      </w:r>
      <w:r w:rsidR="00173F8E" w:rsidRPr="00167CB8">
        <w:rPr>
          <w:rFonts w:eastAsia="Aptos" w:cs="Calibri"/>
        </w:rPr>
        <w:t xml:space="preserve"> it identified a potential operational issue with the initiating bargaining amendments.</w:t>
      </w:r>
    </w:p>
    <w:p w14:paraId="55F424A3" w14:textId="705379FD" w:rsidR="00173F8E" w:rsidRPr="00167CB8" w:rsidRDefault="00173F8E" w:rsidP="00173F8E">
      <w:pPr>
        <w:rPr>
          <w:rFonts w:eastAsia="Aptos" w:cs="Calibri"/>
        </w:rPr>
      </w:pPr>
      <w:r w:rsidRPr="00167CB8">
        <w:rPr>
          <w:rFonts w:eastAsia="Aptos" w:cs="Calibri"/>
        </w:rPr>
        <w:t xml:space="preserve">Briefly, Sephora and its employees were covered by an enterprise agreement that nominally expired in January 2019. The </w:t>
      </w:r>
      <w:r w:rsidR="00177908" w:rsidRPr="00167CB8">
        <w:rPr>
          <w:rFonts w:eastAsia="Aptos" w:cs="Calibri"/>
        </w:rPr>
        <w:t>Shop, Distributive and Allied Employees Association (</w:t>
      </w:r>
      <w:r w:rsidRPr="00167CB8">
        <w:rPr>
          <w:rFonts w:eastAsia="Aptos" w:cs="Calibri"/>
        </w:rPr>
        <w:t>SDA</w:t>
      </w:r>
      <w:r w:rsidR="00177908" w:rsidRPr="00167CB8">
        <w:rPr>
          <w:rFonts w:eastAsia="Aptos" w:cs="Calibri"/>
        </w:rPr>
        <w:t>)</w:t>
      </w:r>
      <w:r w:rsidRPr="00167CB8">
        <w:rPr>
          <w:rFonts w:eastAsia="Aptos" w:cs="Calibri"/>
        </w:rPr>
        <w:t xml:space="preserve"> issued a written request for bargaining to replace this agreement by making a written request </w:t>
      </w:r>
      <w:r w:rsidRPr="00167CB8" w:rsidDel="00114D5A">
        <w:rPr>
          <w:rFonts w:eastAsia="Aptos" w:cs="Calibri"/>
        </w:rPr>
        <w:t xml:space="preserve">in accordance with </w:t>
      </w:r>
      <w:r w:rsidRPr="00167CB8">
        <w:rPr>
          <w:rFonts w:eastAsia="Aptos" w:cs="Calibri"/>
        </w:rPr>
        <w:t>s</w:t>
      </w:r>
      <w:r w:rsidR="00EF3397" w:rsidRPr="00167CB8">
        <w:rPr>
          <w:rFonts w:eastAsia="Aptos" w:cs="Calibri"/>
        </w:rPr>
        <w:t> </w:t>
      </w:r>
      <w:r w:rsidRPr="00167CB8">
        <w:rPr>
          <w:rFonts w:eastAsia="Aptos" w:cs="Calibri"/>
        </w:rPr>
        <w:t>173(2A) of the Fair Work Act.</w:t>
      </w:r>
      <w:r w:rsidRPr="00167CB8">
        <w:rPr>
          <w:rStyle w:val="FootnoteReference"/>
          <w:rFonts w:eastAsia="Aptos" w:cs="Calibri"/>
        </w:rPr>
        <w:footnoteReference w:id="281"/>
      </w:r>
      <w:r w:rsidRPr="00167CB8">
        <w:rPr>
          <w:rFonts w:eastAsia="Aptos" w:cs="Calibri"/>
        </w:rPr>
        <w:t xml:space="preserve"> Sephora was required to, but for presently irrelevant reasons did not, issue a NERR within 14</w:t>
      </w:r>
      <w:r w:rsidR="00EF3397" w:rsidRPr="00167CB8">
        <w:rPr>
          <w:rFonts w:eastAsia="Aptos" w:cs="Calibri"/>
        </w:rPr>
        <w:t> </w:t>
      </w:r>
      <w:r w:rsidRPr="00167CB8">
        <w:rPr>
          <w:rFonts w:eastAsia="Aptos" w:cs="Calibri"/>
        </w:rPr>
        <w:t>days of this request.</w:t>
      </w:r>
      <w:r w:rsidRPr="00167CB8">
        <w:rPr>
          <w:rStyle w:val="FootnoteReference"/>
          <w:rFonts w:eastAsia="Aptos" w:cs="Calibri"/>
        </w:rPr>
        <w:footnoteReference w:id="282"/>
      </w:r>
      <w:r w:rsidRPr="00167CB8">
        <w:rPr>
          <w:rFonts w:eastAsia="Aptos" w:cs="Calibri"/>
        </w:rPr>
        <w:t xml:space="preserve"> Some months later, Sephora purported to commence bargaining with employees but, again for reasons not directly relevant, the SDA did not receive the NERR. The SDA only</w:t>
      </w:r>
      <w:r w:rsidRPr="00167CB8" w:rsidDel="00546B84">
        <w:rPr>
          <w:rFonts w:eastAsia="Aptos" w:cs="Calibri"/>
        </w:rPr>
        <w:t xml:space="preserve"> </w:t>
      </w:r>
      <w:r w:rsidRPr="00167CB8">
        <w:rPr>
          <w:rFonts w:eastAsia="Aptos" w:cs="Calibri"/>
        </w:rPr>
        <w:t>became aware of the renegotiation of the agreement shortly before employees were about to vote to approve the proposed agreement.</w:t>
      </w:r>
      <w:r w:rsidRPr="00167CB8" w:rsidDel="005B3588">
        <w:rPr>
          <w:rFonts w:eastAsia="Aptos" w:cs="Calibri"/>
        </w:rPr>
        <w:t xml:space="preserve"> </w:t>
      </w:r>
      <w:r w:rsidRPr="00167CB8">
        <w:rPr>
          <w:rFonts w:eastAsia="Aptos" w:cs="Calibri"/>
        </w:rPr>
        <w:t xml:space="preserve">That vote was successful and the agreement between Sephora and its employees was approved by the FWC, despite an appeal by the SDA. </w:t>
      </w:r>
    </w:p>
    <w:p w14:paraId="122E5E81" w14:textId="4D7BD6CC" w:rsidR="00173F8E" w:rsidRPr="00167CB8" w:rsidRDefault="00173F8E" w:rsidP="00173F8E">
      <w:pPr>
        <w:rPr>
          <w:rFonts w:eastAsia="Aptos" w:cs="Calibri"/>
        </w:rPr>
      </w:pPr>
      <w:r w:rsidRPr="00167CB8">
        <w:rPr>
          <w:rFonts w:eastAsia="Aptos" w:cs="Calibri"/>
        </w:rPr>
        <w:t xml:space="preserve">The relevance of Sephora for present purposes is that it highlights a potential lack of knowledge about the significance of the written request to bargain. The Review Panel considers that </w:t>
      </w:r>
      <w:r w:rsidRPr="00167CB8">
        <w:rPr>
          <w:rFonts w:eastAsia="Aptos" w:cs="Calibri"/>
          <w:i/>
        </w:rPr>
        <w:t>Sephora</w:t>
      </w:r>
      <w:r w:rsidRPr="00167CB8">
        <w:rPr>
          <w:rFonts w:eastAsia="Aptos" w:cs="Calibri"/>
        </w:rPr>
        <w:t xml:space="preserve"> supports recommendations to improve the operation of the amendments (see below). </w:t>
      </w:r>
    </w:p>
    <w:p w14:paraId="17EC33D0" w14:textId="5F8CB95D" w:rsidR="00173F8E" w:rsidRPr="00167CB8" w:rsidRDefault="00EA1B54" w:rsidP="00173F8E">
      <w:pPr>
        <w:pStyle w:val="Heading5"/>
        <w:rPr>
          <w:rFonts w:asciiTheme="minorHAnsi" w:hAnsiTheme="minorHAnsi"/>
        </w:rPr>
      </w:pPr>
      <w:r w:rsidRPr="00167CB8">
        <w:rPr>
          <w:rFonts w:asciiTheme="minorHAnsi" w:hAnsiTheme="minorHAnsi"/>
        </w:rPr>
        <w:t>9</w:t>
      </w:r>
      <w:r w:rsidR="00173F8E" w:rsidRPr="00167CB8">
        <w:rPr>
          <w:rFonts w:asciiTheme="minorHAnsi" w:hAnsiTheme="minorHAnsi"/>
        </w:rPr>
        <w:t>.2.3 Stakeholder views</w:t>
      </w:r>
    </w:p>
    <w:p w14:paraId="5B8C67D6" w14:textId="77777777" w:rsidR="00173F8E" w:rsidRPr="00167CB8" w:rsidRDefault="00173F8E" w:rsidP="00173F8E">
      <w:pPr>
        <w:rPr>
          <w:rFonts w:eastAsia="Times New Roman" w:cs="Times New Roman"/>
        </w:rPr>
      </w:pPr>
      <w:r w:rsidRPr="00167CB8">
        <w:rPr>
          <w:rFonts w:eastAsia="Times New Roman" w:cs="Times New Roman"/>
        </w:rPr>
        <w:t xml:space="preserve">The views of stakeholders tend to be polarised, dividing between opposition to the amendments among employer representatives and support for them among unions. </w:t>
      </w:r>
    </w:p>
    <w:p w14:paraId="34785C34" w14:textId="72B778A8" w:rsidR="00173F8E" w:rsidRPr="00167CB8" w:rsidRDefault="00173F8E" w:rsidP="00173F8E">
      <w:pPr>
        <w:rPr>
          <w:rFonts w:eastAsia="Times New Roman" w:cs="Times New Roman"/>
        </w:rPr>
      </w:pPr>
      <w:r w:rsidRPr="00167CB8">
        <w:rPr>
          <w:rFonts w:eastAsia="Times New Roman" w:cs="Times New Roman"/>
        </w:rPr>
        <w:t xml:space="preserve">Employers generally called for the repeal of the amendments or, failing that, further reforms. The </w:t>
      </w:r>
      <w:r w:rsidR="00177908" w:rsidRPr="00167CB8">
        <w:rPr>
          <w:rFonts w:eastAsia="Times New Roman" w:cs="Times New Roman"/>
        </w:rPr>
        <w:t>Chamber of Commerce and Industry of Western Australia (</w:t>
      </w:r>
      <w:r w:rsidRPr="00167CB8">
        <w:rPr>
          <w:rFonts w:eastAsia="Times New Roman" w:cs="Times New Roman"/>
        </w:rPr>
        <w:t>CCIWA</w:t>
      </w:r>
      <w:r w:rsidR="00177908" w:rsidRPr="00167CB8">
        <w:rPr>
          <w:rFonts w:eastAsia="Times New Roman" w:cs="Times New Roman"/>
        </w:rPr>
        <w:t>)</w:t>
      </w:r>
      <w:r w:rsidRPr="00167CB8">
        <w:rPr>
          <w:rFonts w:eastAsia="Times New Roman" w:cs="Times New Roman"/>
        </w:rPr>
        <w:t xml:space="preserve">, for example, calls on the Review Panel to </w:t>
      </w:r>
      <w:r w:rsidR="00EF3397" w:rsidRPr="00167CB8">
        <w:rPr>
          <w:rFonts w:eastAsia="Times New Roman" w:cs="Times New Roman"/>
        </w:rPr>
        <w:t>‘</w:t>
      </w:r>
      <w:r w:rsidRPr="00167CB8">
        <w:rPr>
          <w:rFonts w:eastAsia="Times New Roman" w:cs="Times New Roman"/>
        </w:rPr>
        <w:t>recommend the repeal of the provisions that provide employee associations powers to initiate bargaining without majority support determinations</w:t>
      </w:r>
      <w:r w:rsidR="00EF3397"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83"/>
      </w:r>
      <w:r w:rsidRPr="00167CB8">
        <w:rPr>
          <w:rFonts w:eastAsia="Times New Roman" w:cs="Times New Roman"/>
        </w:rPr>
        <w:t xml:space="preserve"> Similar sentiment was expressed by the </w:t>
      </w:r>
      <w:r w:rsidR="00177908" w:rsidRPr="00167CB8">
        <w:rPr>
          <w:rFonts w:eastAsia="Times New Roman" w:cs="Times New Roman"/>
        </w:rPr>
        <w:t>Chamber of Minerals and Energy of Western Australia (</w:t>
      </w:r>
      <w:r w:rsidRPr="00167CB8">
        <w:rPr>
          <w:rFonts w:eastAsia="Times New Roman" w:cs="Times New Roman"/>
        </w:rPr>
        <w:t>CMEWA</w:t>
      </w:r>
      <w:r w:rsidR="00177908"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84"/>
      </w:r>
      <w:r w:rsidRPr="00167CB8">
        <w:rPr>
          <w:rFonts w:eastAsia="Times New Roman" w:cs="Times New Roman"/>
        </w:rPr>
        <w:t xml:space="preserve"> </w:t>
      </w:r>
      <w:r w:rsidR="00EF3397" w:rsidRPr="00167CB8">
        <w:rPr>
          <w:rFonts w:eastAsia="Times New Roman" w:cs="Times New Roman"/>
        </w:rPr>
        <w:t xml:space="preserve">the </w:t>
      </w:r>
      <w:r w:rsidR="00177908" w:rsidRPr="00167CB8">
        <w:rPr>
          <w:rFonts w:eastAsia="Times New Roman" w:cs="Times New Roman"/>
        </w:rPr>
        <w:t>Australian Resources &amp; Energy Employer Association (</w:t>
      </w:r>
      <w:r w:rsidRPr="00167CB8">
        <w:rPr>
          <w:rFonts w:eastAsia="Times New Roman" w:cs="Times New Roman"/>
        </w:rPr>
        <w:t>AREEA</w:t>
      </w:r>
      <w:r w:rsidR="00177908"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85"/>
      </w:r>
      <w:r w:rsidRPr="00167CB8">
        <w:rPr>
          <w:rFonts w:eastAsia="Times New Roman" w:cs="Times New Roman"/>
        </w:rPr>
        <w:t xml:space="preserve"> the </w:t>
      </w:r>
      <w:r w:rsidR="00177908" w:rsidRPr="00167CB8">
        <w:rPr>
          <w:rFonts w:eastAsia="Times New Roman" w:cs="Times New Roman"/>
        </w:rPr>
        <w:t>Minerals Council of Australia (</w:t>
      </w:r>
      <w:r w:rsidRPr="00167CB8">
        <w:rPr>
          <w:rFonts w:eastAsia="Times New Roman" w:cs="Times New Roman"/>
        </w:rPr>
        <w:t>MCA</w:t>
      </w:r>
      <w:r w:rsidR="00177908"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86"/>
      </w:r>
      <w:r w:rsidRPr="00167CB8">
        <w:rPr>
          <w:rFonts w:eastAsia="Times New Roman" w:cs="Times New Roman"/>
        </w:rPr>
        <w:t xml:space="preserve"> the </w:t>
      </w:r>
      <w:r w:rsidR="00177908" w:rsidRPr="00167CB8">
        <w:rPr>
          <w:rFonts w:eastAsia="Times New Roman" w:cs="Times New Roman"/>
        </w:rPr>
        <w:t>Australian Chamber of Commerce and Industry (</w:t>
      </w:r>
      <w:r w:rsidRPr="00167CB8">
        <w:rPr>
          <w:rFonts w:eastAsia="Times New Roman" w:cs="Times New Roman"/>
        </w:rPr>
        <w:t>ACCI</w:t>
      </w:r>
      <w:r w:rsidR="00177908"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87"/>
      </w:r>
      <w:r w:rsidRPr="00167CB8">
        <w:rPr>
          <w:rFonts w:eastAsia="Times New Roman" w:cs="Times New Roman"/>
        </w:rPr>
        <w:t xml:space="preserve"> Clubs Australia,</w:t>
      </w:r>
      <w:r w:rsidRPr="00167CB8">
        <w:rPr>
          <w:rStyle w:val="FootnoteReference"/>
          <w:rFonts w:eastAsia="Times New Roman" w:cs="Times New Roman"/>
        </w:rPr>
        <w:footnoteReference w:id="288"/>
      </w:r>
      <w:r w:rsidRPr="00167CB8">
        <w:rPr>
          <w:rFonts w:eastAsia="Times New Roman" w:cs="Times New Roman"/>
        </w:rPr>
        <w:t xml:space="preserve"> Maritime Industry Australia Ltd</w:t>
      </w:r>
      <w:r w:rsidRPr="00167CB8">
        <w:rPr>
          <w:rStyle w:val="FootnoteReference"/>
          <w:rFonts w:eastAsia="Times New Roman" w:cs="Times New Roman"/>
        </w:rPr>
        <w:footnoteReference w:id="289"/>
      </w:r>
      <w:r w:rsidRPr="00167CB8">
        <w:rPr>
          <w:rFonts w:eastAsia="Times New Roman" w:cs="Times New Roman"/>
        </w:rPr>
        <w:t xml:space="preserve"> and the BCA.</w:t>
      </w:r>
      <w:r w:rsidRPr="00167CB8">
        <w:rPr>
          <w:rFonts w:eastAsia="Times New Roman" w:cs="Times New Roman"/>
          <w:vertAlign w:val="superscript"/>
        </w:rPr>
        <w:footnoteReference w:id="290"/>
      </w:r>
    </w:p>
    <w:p w14:paraId="0875FA1B" w14:textId="039CBE6B" w:rsidR="00173F8E" w:rsidRPr="00167CB8" w:rsidRDefault="00177908" w:rsidP="00173F8E">
      <w:pPr>
        <w:rPr>
          <w:rFonts w:eastAsia="Times New Roman" w:cs="Times New Roman"/>
        </w:rPr>
      </w:pPr>
      <w:r w:rsidRPr="00167CB8">
        <w:rPr>
          <w:rFonts w:eastAsia="Times New Roman" w:cs="Times New Roman"/>
        </w:rPr>
        <w:lastRenderedPageBreak/>
        <w:t>Master Builders Australia (</w:t>
      </w:r>
      <w:r w:rsidR="00173F8E" w:rsidRPr="00167CB8">
        <w:rPr>
          <w:rFonts w:eastAsia="Times New Roman" w:cs="Times New Roman"/>
        </w:rPr>
        <w:t>MBA</w:t>
      </w:r>
      <w:r w:rsidRPr="00167CB8">
        <w:rPr>
          <w:rFonts w:eastAsia="Times New Roman" w:cs="Times New Roman"/>
        </w:rPr>
        <w:t>)</w:t>
      </w:r>
      <w:r w:rsidR="00173F8E" w:rsidRPr="00167CB8">
        <w:rPr>
          <w:rFonts w:eastAsia="Times New Roman" w:cs="Times New Roman"/>
        </w:rPr>
        <w:t xml:space="preserve"> submitted that:</w:t>
      </w:r>
      <w:r w:rsidR="00EF3397" w:rsidRPr="00167CB8">
        <w:rPr>
          <w:vertAlign w:val="superscript"/>
        </w:rPr>
        <w:footnoteReference w:id="291"/>
      </w:r>
    </w:p>
    <w:p w14:paraId="31088EAA" w14:textId="0A4510F0" w:rsidR="00173F8E" w:rsidRPr="00167CB8" w:rsidRDefault="00173F8E" w:rsidP="00C83147">
      <w:pPr>
        <w:pStyle w:val="Quote"/>
      </w:pPr>
      <w:r w:rsidRPr="00167CB8">
        <w:t>the provisions in practice have simply handed unions powers to decide when bargaining commences irrespective of the views of workers. This has only undermined, or detracted from, the rights of employees to make their own decisions as to when, or if, to commence bargaining for a new agreement. The provisions in practice do not actually require involvement of an employee as a precondition for a union to initiate bargaining and in fact limits the rights for workers to initiate bargaining unless agreed by their union.</w:t>
      </w:r>
    </w:p>
    <w:p w14:paraId="3055D3B8" w14:textId="367A4E7C" w:rsidR="00173F8E" w:rsidRPr="00167CB8" w:rsidRDefault="00173F8E" w:rsidP="00173F8E">
      <w:pPr>
        <w:rPr>
          <w:rFonts w:eastAsia="Times New Roman" w:cs="Times New Roman"/>
        </w:rPr>
      </w:pPr>
      <w:r w:rsidRPr="00167CB8">
        <w:rPr>
          <w:rFonts w:eastAsia="Times New Roman" w:cs="Times New Roman"/>
        </w:rPr>
        <w:t>The BCA submitted that:</w:t>
      </w:r>
      <w:r w:rsidR="00EF3397" w:rsidRPr="00167CB8">
        <w:rPr>
          <w:vertAlign w:val="superscript"/>
        </w:rPr>
        <w:footnoteReference w:id="292"/>
      </w:r>
    </w:p>
    <w:p w14:paraId="67A80A04" w14:textId="16A77353" w:rsidR="00173F8E" w:rsidRPr="00167CB8" w:rsidRDefault="00173F8E" w:rsidP="00C83147">
      <w:pPr>
        <w:pStyle w:val="Quote"/>
      </w:pPr>
      <w:r w:rsidRPr="00167CB8">
        <w:t xml:space="preserve">[the amendment] has been used to compel negotiations in highly paid sectors without any evidence of majority support from employees to be covered by a proposed EA, such as in the iron ore mining sector in the Pilbara. </w:t>
      </w:r>
    </w:p>
    <w:p w14:paraId="349522EE" w14:textId="64C4D510" w:rsidR="00173F8E" w:rsidRPr="00167CB8" w:rsidRDefault="00173F8E" w:rsidP="00C83147">
      <w:pPr>
        <w:pStyle w:val="Quote"/>
      </w:pPr>
      <w:r w:rsidRPr="00167CB8">
        <w:t>There are other reasons why the operation of this provision is not appropriate. This includes, that there may be valid reasons why an employer has chosen not to commence bargaining for a replacement agreement at a certain time. This could be that the employer is awaiting the outcome of tenders or contract renewals, broader business reviews and labour requirement projections, economic or profit forecasts or data, or a multitude of other reasons that could impact the terms and conditions it can offer employees or agree to as part of bargaining. Forcing employers to the table at this stage cannot be conducive to the efficient conduct of good-faith bargaining and is a waste of the productive resources of all parties concerned.</w:t>
      </w:r>
    </w:p>
    <w:p w14:paraId="5869D861" w14:textId="6E2EBD0C" w:rsidR="00173F8E" w:rsidRPr="00167CB8" w:rsidRDefault="00177908" w:rsidP="00173F8E">
      <w:pPr>
        <w:rPr>
          <w:rFonts w:eastAsia="Times New Roman" w:cs="Times New Roman"/>
        </w:rPr>
      </w:pPr>
      <w:r w:rsidRPr="00167CB8">
        <w:rPr>
          <w:rFonts w:eastAsia="Times New Roman" w:cs="Times New Roman"/>
        </w:rPr>
        <w:t>The Council of Small Business Organisations Australia (</w:t>
      </w:r>
      <w:r w:rsidR="00173F8E" w:rsidRPr="00167CB8">
        <w:rPr>
          <w:rFonts w:eastAsia="Times New Roman" w:cs="Times New Roman"/>
        </w:rPr>
        <w:t>COSBOA</w:t>
      </w:r>
      <w:r w:rsidRPr="00167CB8">
        <w:rPr>
          <w:rFonts w:eastAsia="Times New Roman" w:cs="Times New Roman"/>
        </w:rPr>
        <w:t>)</w:t>
      </w:r>
      <w:r w:rsidR="00173F8E" w:rsidRPr="00167CB8">
        <w:rPr>
          <w:rFonts w:eastAsia="Times New Roman" w:cs="Times New Roman"/>
        </w:rPr>
        <w:t xml:space="preserve"> asserted that ‘unions now possess authority beyond their representative constituency, with the Act enabling union-initiated bargaining prior to demonstrable majority employee support</w:t>
      </w:r>
      <w:r w:rsidR="00EF3397" w:rsidRPr="00167CB8">
        <w:rPr>
          <w:rFonts w:eastAsia="Times New Roman" w:cs="Times New Roman"/>
        </w:rPr>
        <w:t>’</w:t>
      </w:r>
      <w:r w:rsidR="00173F8E" w:rsidRPr="00167CB8">
        <w:rPr>
          <w:rFonts w:eastAsia="Times New Roman" w:cs="Times New Roman"/>
        </w:rPr>
        <w:t>.</w:t>
      </w:r>
      <w:r w:rsidR="00173F8E" w:rsidRPr="00167CB8">
        <w:rPr>
          <w:rStyle w:val="FootnoteReference"/>
          <w:rFonts w:eastAsia="Times New Roman" w:cs="Times New Roman"/>
        </w:rPr>
        <w:footnoteReference w:id="293"/>
      </w:r>
    </w:p>
    <w:p w14:paraId="6F9EEBDC" w14:textId="26E3BFA2" w:rsidR="00173F8E" w:rsidRPr="00167CB8" w:rsidRDefault="00173F8E" w:rsidP="00173F8E">
      <w:pPr>
        <w:rPr>
          <w:rFonts w:eastAsia="Times New Roman" w:cs="Times New Roman"/>
        </w:rPr>
      </w:pPr>
      <w:r w:rsidRPr="00167CB8">
        <w:rPr>
          <w:rFonts w:eastAsia="Times New Roman" w:cs="Times New Roman"/>
        </w:rPr>
        <w:t>The general employer response is that MSD</w:t>
      </w:r>
      <w:r w:rsidR="00177908" w:rsidRPr="00167CB8">
        <w:rPr>
          <w:rFonts w:eastAsia="Times New Roman" w:cs="Times New Roman"/>
        </w:rPr>
        <w:t>s</w:t>
      </w:r>
      <w:r w:rsidRPr="00167CB8">
        <w:rPr>
          <w:rFonts w:eastAsia="Times New Roman" w:cs="Times New Roman"/>
        </w:rPr>
        <w:t xml:space="preserve"> are a suitable mechanism through which bargaining representatives may seek to initiate bargaining and that the new provisions are not required.  According to the BCA:</w:t>
      </w:r>
      <w:r w:rsidR="00EF3397" w:rsidRPr="00167CB8">
        <w:rPr>
          <w:rFonts w:eastAsia="Times New Roman" w:cs="Times New Roman"/>
          <w:vertAlign w:val="superscript"/>
        </w:rPr>
        <w:footnoteReference w:id="294"/>
      </w:r>
    </w:p>
    <w:p w14:paraId="3ECB42F8" w14:textId="25CDEAC8" w:rsidR="00173F8E" w:rsidRPr="00167CB8" w:rsidRDefault="00173F8E" w:rsidP="00C83147">
      <w:pPr>
        <w:pStyle w:val="Quote"/>
      </w:pPr>
      <w:r w:rsidRPr="00167CB8">
        <w:t>Bargaining representatives could already compel bargaining where they obtained a majority support determination (MSD), a comparatively straightforward process requiring the bargaining representative to show that the majority of the employees who are to be covered by the proposed EA want to bargain.</w:t>
      </w:r>
    </w:p>
    <w:p w14:paraId="16D4FB3D" w14:textId="35CB5F76" w:rsidR="00173F8E" w:rsidRPr="00167CB8" w:rsidRDefault="00173F8E" w:rsidP="00173F8E">
      <w:pPr>
        <w:rPr>
          <w:rFonts w:eastAsia="Times New Roman" w:cs="Times New Roman"/>
        </w:rPr>
      </w:pPr>
      <w:r w:rsidRPr="00167CB8">
        <w:rPr>
          <w:rFonts w:eastAsia="Times New Roman" w:cs="Times New Roman"/>
        </w:rPr>
        <w:lastRenderedPageBreak/>
        <w:t>The Ai Group also recommended repeal of the amendments</w:t>
      </w:r>
      <w:r w:rsidR="00403630" w:rsidRPr="00167CB8">
        <w:rPr>
          <w:rFonts w:eastAsia="Times New Roman" w:cs="Times New Roman"/>
        </w:rPr>
        <w:t xml:space="preserve">. If </w:t>
      </w:r>
      <w:r w:rsidRPr="00167CB8">
        <w:rPr>
          <w:rFonts w:eastAsia="Times New Roman" w:cs="Times New Roman"/>
        </w:rPr>
        <w:t xml:space="preserve">the Review Panel is not agreeable to recommending a repeal of the provisions, </w:t>
      </w:r>
      <w:r w:rsidR="00403630" w:rsidRPr="00167CB8">
        <w:rPr>
          <w:rFonts w:eastAsia="Times New Roman" w:cs="Times New Roman"/>
        </w:rPr>
        <w:t xml:space="preserve">the Ai Group </w:t>
      </w:r>
      <w:r w:rsidRPr="00167CB8">
        <w:rPr>
          <w:rFonts w:eastAsia="Times New Roman" w:cs="Times New Roman"/>
        </w:rPr>
        <w:t xml:space="preserve">proposed that the </w:t>
      </w:r>
      <w:r w:rsidR="00EF3397" w:rsidRPr="00167CB8">
        <w:rPr>
          <w:rFonts w:eastAsia="Times New Roman" w:cs="Times New Roman"/>
        </w:rPr>
        <w:t>5-</w:t>
      </w:r>
      <w:r w:rsidRPr="00167CB8">
        <w:rPr>
          <w:rFonts w:eastAsia="Times New Roman" w:cs="Times New Roman"/>
        </w:rPr>
        <w:t>year period at s</w:t>
      </w:r>
      <w:r w:rsidR="00EF3397" w:rsidRPr="00167CB8">
        <w:rPr>
          <w:rFonts w:eastAsia="Times New Roman" w:cs="Times New Roman"/>
        </w:rPr>
        <w:t> </w:t>
      </w:r>
      <w:r w:rsidRPr="00167CB8">
        <w:rPr>
          <w:rFonts w:eastAsia="Times New Roman" w:cs="Times New Roman"/>
        </w:rPr>
        <w:t xml:space="preserve">173(2A)(c) be reduced to </w:t>
      </w:r>
      <w:r w:rsidR="00EF3397" w:rsidRPr="00167CB8">
        <w:rPr>
          <w:rFonts w:eastAsia="Times New Roman" w:cs="Times New Roman"/>
        </w:rPr>
        <w:t xml:space="preserve">3 </w:t>
      </w:r>
      <w:r w:rsidRPr="00167CB8">
        <w:rPr>
          <w:rFonts w:eastAsia="Times New Roman" w:cs="Times New Roman"/>
        </w:rPr>
        <w:t>years.</w:t>
      </w:r>
      <w:r w:rsidRPr="00167CB8">
        <w:rPr>
          <w:rFonts w:eastAsia="Times New Roman" w:cs="Times New Roman"/>
          <w:vertAlign w:val="superscript"/>
        </w:rPr>
        <w:footnoteReference w:id="295"/>
      </w:r>
    </w:p>
    <w:p w14:paraId="03B71028" w14:textId="77777777" w:rsidR="00173F8E" w:rsidRPr="00167CB8" w:rsidRDefault="00173F8E" w:rsidP="00173F8E">
      <w:pPr>
        <w:rPr>
          <w:rFonts w:eastAsia="Times New Roman" w:cs="Times New Roman"/>
        </w:rPr>
      </w:pPr>
      <w:r w:rsidRPr="00167CB8">
        <w:rPr>
          <w:rFonts w:eastAsia="Times New Roman" w:cs="Times New Roman"/>
        </w:rPr>
        <w:t>Unions submitted that the initiating bargaining amendments</w:t>
      </w:r>
      <w:r w:rsidRPr="00167CB8">
        <w:rPr>
          <w:rFonts w:eastAsia="Times New Roman" w:cs="Calibri"/>
        </w:rPr>
        <w:t xml:space="preserve"> were welcomed and had, as intended,</w:t>
      </w:r>
      <w:r w:rsidRPr="00167CB8">
        <w:rPr>
          <w:rFonts w:eastAsia="Times New Roman" w:cs="Times New Roman"/>
        </w:rPr>
        <w:t xml:space="preserve"> helped streamline the bargaining process and removed a barrier to collective bargaining.  </w:t>
      </w:r>
    </w:p>
    <w:p w14:paraId="20F37C77" w14:textId="5905911D" w:rsidR="00173F8E" w:rsidRPr="00167CB8" w:rsidRDefault="00173F8E" w:rsidP="00173F8E">
      <w:pPr>
        <w:rPr>
          <w:rFonts w:eastAsia="Times New Roman" w:cs="Times New Roman"/>
        </w:rPr>
      </w:pPr>
      <w:r w:rsidRPr="00167CB8">
        <w:rPr>
          <w:rFonts w:eastAsia="Times New Roman" w:cs="Times New Roman"/>
        </w:rPr>
        <w:t xml:space="preserve">The </w:t>
      </w:r>
      <w:r w:rsidR="00177908" w:rsidRPr="00167CB8">
        <w:rPr>
          <w:rFonts w:eastAsia="Times New Roman" w:cs="Times New Roman"/>
        </w:rPr>
        <w:t>United Workers Union (</w:t>
      </w:r>
      <w:r w:rsidRPr="00167CB8">
        <w:rPr>
          <w:rFonts w:eastAsia="Times New Roman" w:cs="Times New Roman"/>
        </w:rPr>
        <w:t>UWU</w:t>
      </w:r>
      <w:r w:rsidR="00177908" w:rsidRPr="00167CB8">
        <w:rPr>
          <w:rFonts w:eastAsia="Times New Roman" w:cs="Times New Roman"/>
        </w:rPr>
        <w:t>)</w:t>
      </w:r>
      <w:r w:rsidRPr="00167CB8">
        <w:rPr>
          <w:rFonts w:eastAsia="Times New Roman" w:cs="Times New Roman"/>
        </w:rPr>
        <w:t xml:space="preserve">, for example, submitted that </w:t>
      </w:r>
      <w:r w:rsidR="00403630" w:rsidRPr="00167CB8">
        <w:rPr>
          <w:rFonts w:eastAsia="Times New Roman" w:cs="Times New Roman"/>
        </w:rPr>
        <w:t>‘</w:t>
      </w:r>
      <w:r w:rsidRPr="00167CB8">
        <w:rPr>
          <w:rFonts w:eastAsia="Times New Roman" w:cs="Times New Roman"/>
        </w:rPr>
        <w:t>Removing MSD requirements has facilitated the spread of collective bargaining and acted to increase wages and improve job security</w:t>
      </w:r>
      <w:r w:rsidR="00403630"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296"/>
      </w:r>
      <w:r w:rsidRPr="00167CB8">
        <w:rPr>
          <w:rFonts w:eastAsia="Times New Roman" w:cs="Times New Roman"/>
        </w:rPr>
        <w:t xml:space="preserve">  </w:t>
      </w:r>
    </w:p>
    <w:p w14:paraId="37FAA1F8" w14:textId="459CE3B8" w:rsidR="00173F8E" w:rsidRPr="00167CB8" w:rsidRDefault="00173F8E" w:rsidP="00173F8E">
      <w:pPr>
        <w:rPr>
          <w:rFonts w:eastAsia="Times New Roman" w:cs="Times New Roman"/>
        </w:rPr>
      </w:pPr>
      <w:r w:rsidRPr="00167CB8">
        <w:rPr>
          <w:rFonts w:eastAsia="Times New Roman" w:cs="Times New Roman"/>
        </w:rPr>
        <w:t xml:space="preserve">The </w:t>
      </w:r>
      <w:r w:rsidR="00177908" w:rsidRPr="00167CB8">
        <w:rPr>
          <w:rFonts w:eastAsia="Times New Roman" w:cs="Times New Roman"/>
        </w:rPr>
        <w:t>Australian Workers’ Union (</w:t>
      </w:r>
      <w:r w:rsidRPr="00167CB8">
        <w:rPr>
          <w:rFonts w:eastAsia="Times New Roman" w:cs="Times New Roman"/>
        </w:rPr>
        <w:t>AWU</w:t>
      </w:r>
      <w:r w:rsidR="00177908" w:rsidRPr="00167CB8">
        <w:rPr>
          <w:rFonts w:eastAsia="Times New Roman" w:cs="Times New Roman"/>
        </w:rPr>
        <w:t>)</w:t>
      </w:r>
      <w:r w:rsidRPr="00167CB8">
        <w:rPr>
          <w:rFonts w:eastAsia="Times New Roman" w:cs="Times New Roman"/>
        </w:rPr>
        <w:t xml:space="preserve"> noted that:</w:t>
      </w:r>
      <w:r w:rsidR="00403630" w:rsidRPr="00167CB8">
        <w:rPr>
          <w:vertAlign w:val="superscript"/>
        </w:rPr>
        <w:footnoteReference w:id="297"/>
      </w:r>
    </w:p>
    <w:p w14:paraId="25247E89" w14:textId="2ED8F00C" w:rsidR="00173F8E" w:rsidRPr="00167CB8" w:rsidRDefault="00403630" w:rsidP="00C83147">
      <w:pPr>
        <w:pStyle w:val="Quote"/>
      </w:pPr>
      <w:r w:rsidRPr="00167CB8">
        <w:t xml:space="preserve">[The] </w:t>
      </w:r>
      <w:r w:rsidR="00173F8E" w:rsidRPr="00167CB8">
        <w:t xml:space="preserve">reform provides a significant avenue in which the AWU can stimulate enterprise and industry-level bargaining, overcoming circumstances where, especially within the mining industry, employers, by refusing to bargain, could ensure that wages and conditions remained static. </w:t>
      </w:r>
    </w:p>
    <w:p w14:paraId="041726A3" w14:textId="61F7CA32" w:rsidR="00173F8E" w:rsidRPr="00167CB8" w:rsidRDefault="00177908" w:rsidP="00173F8E">
      <w:pPr>
        <w:rPr>
          <w:rFonts w:eastAsia="Times New Roman" w:cs="Times New Roman"/>
        </w:rPr>
      </w:pPr>
      <w:r w:rsidRPr="00167CB8">
        <w:rPr>
          <w:rFonts w:eastAsia="Times New Roman" w:cs="Times New Roman"/>
        </w:rPr>
        <w:t>The Mining and Energy Union (</w:t>
      </w:r>
      <w:r w:rsidR="00173F8E" w:rsidRPr="00167CB8">
        <w:rPr>
          <w:rFonts w:eastAsia="Times New Roman" w:cs="Times New Roman"/>
        </w:rPr>
        <w:t>MEU</w:t>
      </w:r>
      <w:r w:rsidRPr="00167CB8">
        <w:rPr>
          <w:rFonts w:eastAsia="Times New Roman" w:cs="Times New Roman"/>
        </w:rPr>
        <w:t>)</w:t>
      </w:r>
      <w:r w:rsidR="00173F8E" w:rsidRPr="00167CB8">
        <w:rPr>
          <w:rFonts w:eastAsia="Times New Roman" w:cs="Times New Roman"/>
        </w:rPr>
        <w:t xml:space="preserve"> </w:t>
      </w:r>
      <w:r w:rsidR="00FB0DAA" w:rsidRPr="00167CB8">
        <w:rPr>
          <w:rFonts w:eastAsia="Times New Roman" w:cs="Times New Roman"/>
        </w:rPr>
        <w:t>similarly supported the amendments submitting they provide a ‘sensible alternate to the lengthy and complex’ MSD process</w:t>
      </w:r>
      <w:r w:rsidR="00403630" w:rsidRPr="00167CB8">
        <w:rPr>
          <w:rFonts w:eastAsia="Times New Roman" w:cs="Times New Roman"/>
        </w:rPr>
        <w:t>,</w:t>
      </w:r>
      <w:r w:rsidR="00173F8E" w:rsidRPr="00167CB8">
        <w:rPr>
          <w:rFonts w:eastAsia="Times New Roman" w:cs="Times New Roman"/>
        </w:rPr>
        <w:t xml:space="preserve"> citing success working with AWU to commence bargaining in the Pilbara.</w:t>
      </w:r>
      <w:r w:rsidR="00173F8E" w:rsidRPr="00167CB8">
        <w:rPr>
          <w:rStyle w:val="FootnoteReference"/>
          <w:rFonts w:eastAsia="Times New Roman" w:cs="Times New Roman"/>
        </w:rPr>
        <w:footnoteReference w:id="298"/>
      </w:r>
      <w:r w:rsidR="00173F8E" w:rsidRPr="00167CB8">
        <w:rPr>
          <w:rFonts w:eastAsia="Times New Roman" w:cs="Times New Roman"/>
        </w:rPr>
        <w:t xml:space="preserve"> </w:t>
      </w:r>
      <w:r w:rsidRPr="00167CB8">
        <w:rPr>
          <w:rFonts w:eastAsia="Times New Roman" w:cs="Times New Roman"/>
        </w:rPr>
        <w:t>The Community and Public Sector Union (</w:t>
      </w:r>
      <w:r w:rsidR="00173F8E" w:rsidRPr="00167CB8">
        <w:rPr>
          <w:rFonts w:eastAsia="Times New Roman" w:cs="Times New Roman"/>
        </w:rPr>
        <w:t>CPSU</w:t>
      </w:r>
      <w:r w:rsidRPr="00167CB8">
        <w:rPr>
          <w:rFonts w:eastAsia="Times New Roman" w:cs="Times New Roman"/>
        </w:rPr>
        <w:t>)</w:t>
      </w:r>
      <w:r w:rsidR="00173F8E" w:rsidRPr="00167CB8">
        <w:rPr>
          <w:rFonts w:eastAsia="Times New Roman" w:cs="Times New Roman"/>
        </w:rPr>
        <w:t xml:space="preserve"> also raised positive sentiments</w:t>
      </w:r>
      <w:r w:rsidR="00403630" w:rsidRPr="00167CB8">
        <w:rPr>
          <w:rFonts w:eastAsia="Times New Roman" w:cs="Times New Roman"/>
        </w:rPr>
        <w:t>,</w:t>
      </w:r>
      <w:r w:rsidR="00173F8E" w:rsidRPr="00167CB8">
        <w:rPr>
          <w:rFonts w:eastAsia="Times New Roman" w:cs="Times New Roman"/>
        </w:rPr>
        <w:t xml:space="preserve"> asserting it led to a ‘prompt commencement of agency level bargaining and service wide bargaining’.</w:t>
      </w:r>
      <w:r w:rsidR="00173F8E" w:rsidRPr="00167CB8">
        <w:rPr>
          <w:rStyle w:val="FootnoteReference"/>
          <w:rFonts w:eastAsia="Times New Roman" w:cs="Times New Roman"/>
        </w:rPr>
        <w:footnoteReference w:id="299"/>
      </w:r>
    </w:p>
    <w:p w14:paraId="0731FF07" w14:textId="3E9A4825" w:rsidR="00173F8E" w:rsidRPr="00167CB8" w:rsidRDefault="00173F8E" w:rsidP="00173F8E">
      <w:pPr>
        <w:rPr>
          <w:rFonts w:eastAsia="Times New Roman" w:cs="Calibri"/>
          <w:lang w:eastAsia="en-AU"/>
        </w:rPr>
      </w:pPr>
      <w:r w:rsidRPr="00167CB8">
        <w:rPr>
          <w:rFonts w:eastAsia="Times New Roman" w:cs="Times New Roman"/>
        </w:rPr>
        <w:t xml:space="preserve">In terms of ‘issues’, </w:t>
      </w:r>
      <w:r w:rsidRPr="00167CB8">
        <w:rPr>
          <w:rFonts w:eastAsia="Times New Roman" w:cs="Calibri"/>
          <w:lang w:eastAsia="en-AU"/>
        </w:rPr>
        <w:t xml:space="preserve">the </w:t>
      </w:r>
      <w:r w:rsidR="00177908" w:rsidRPr="00167CB8">
        <w:rPr>
          <w:rFonts w:eastAsia="Times New Roman" w:cs="Calibri"/>
          <w:lang w:eastAsia="en-AU"/>
        </w:rPr>
        <w:t>Australian Council of Trade Unions (</w:t>
      </w:r>
      <w:r w:rsidRPr="00167CB8">
        <w:rPr>
          <w:rFonts w:eastAsia="Times New Roman" w:cs="Calibri"/>
          <w:lang w:eastAsia="en-AU"/>
        </w:rPr>
        <w:t>ACTU</w:t>
      </w:r>
      <w:r w:rsidR="00177908" w:rsidRPr="00167CB8">
        <w:rPr>
          <w:rFonts w:eastAsia="Times New Roman" w:cs="Calibri"/>
          <w:lang w:eastAsia="en-AU"/>
        </w:rPr>
        <w:t>)</w:t>
      </w:r>
      <w:r w:rsidRPr="00167CB8">
        <w:rPr>
          <w:rFonts w:eastAsia="Times New Roman" w:cs="Calibri"/>
          <w:lang w:eastAsia="en-AU"/>
        </w:rPr>
        <w:t xml:space="preserve"> note</w:t>
      </w:r>
      <w:r w:rsidR="00177908" w:rsidRPr="00167CB8">
        <w:rPr>
          <w:rFonts w:eastAsia="Times New Roman" w:cs="Calibri"/>
          <w:lang w:eastAsia="en-AU"/>
        </w:rPr>
        <w:t>d</w:t>
      </w:r>
      <w:r w:rsidRPr="00167CB8">
        <w:rPr>
          <w:rFonts w:eastAsia="Times New Roman" w:cs="Calibri"/>
          <w:lang w:eastAsia="en-AU"/>
        </w:rPr>
        <w:t xml:space="preserve"> that s</w:t>
      </w:r>
      <w:r w:rsidR="00403630" w:rsidRPr="00167CB8">
        <w:rPr>
          <w:rFonts w:eastAsia="Times New Roman" w:cs="Calibri"/>
          <w:lang w:eastAsia="en-AU"/>
        </w:rPr>
        <w:t> </w:t>
      </w:r>
      <w:r w:rsidRPr="00167CB8">
        <w:rPr>
          <w:rFonts w:eastAsia="Times New Roman" w:cs="Calibri"/>
          <w:lang w:eastAsia="en-AU"/>
        </w:rPr>
        <w:t xml:space="preserve">173(2A)(d) constrains the employee request to bargain to situations where </w:t>
      </w:r>
      <w:r w:rsidR="00403630" w:rsidRPr="00167CB8">
        <w:rPr>
          <w:rFonts w:eastAsia="Times New Roman" w:cs="Calibri"/>
          <w:lang w:eastAsia="en-AU"/>
        </w:rPr>
        <w:t>‘</w:t>
      </w:r>
      <w:r w:rsidRPr="00167CB8">
        <w:rPr>
          <w:rFonts w:eastAsia="Times New Roman" w:cs="Calibri"/>
          <w:lang w:eastAsia="en-AU"/>
        </w:rPr>
        <w:t>the proposed agreement will cover the same, or substantially the same, group of employees as the earlier agreement</w:t>
      </w:r>
      <w:r w:rsidR="00403630" w:rsidRPr="00167CB8">
        <w:rPr>
          <w:rFonts w:eastAsia="Times New Roman" w:cs="Calibri"/>
          <w:lang w:eastAsia="en-AU"/>
        </w:rPr>
        <w:t>’</w:t>
      </w:r>
      <w:r w:rsidRPr="00167CB8">
        <w:rPr>
          <w:rFonts w:eastAsia="Times New Roman" w:cs="Calibri"/>
          <w:lang w:eastAsia="en-AU"/>
        </w:rPr>
        <w:t xml:space="preserve">. Their concern is that this could limit the availability of access to bargaining for a replacement agreement where a different scope is sought (e.g. combining </w:t>
      </w:r>
      <w:r w:rsidR="00403630" w:rsidRPr="00167CB8">
        <w:rPr>
          <w:rFonts w:eastAsia="Times New Roman" w:cs="Calibri"/>
          <w:lang w:eastAsia="en-AU"/>
        </w:rPr>
        <w:t xml:space="preserve">2 </w:t>
      </w:r>
      <w:r w:rsidRPr="00167CB8">
        <w:rPr>
          <w:rFonts w:eastAsia="Times New Roman" w:cs="Calibri"/>
          <w:lang w:eastAsia="en-AU"/>
        </w:rPr>
        <w:t>agreements). The UWU similarly submit</w:t>
      </w:r>
      <w:r w:rsidR="00177908" w:rsidRPr="00167CB8">
        <w:rPr>
          <w:rFonts w:eastAsia="Times New Roman" w:cs="Calibri"/>
          <w:lang w:eastAsia="en-AU"/>
        </w:rPr>
        <w:t>ted</w:t>
      </w:r>
      <w:r w:rsidRPr="00167CB8">
        <w:rPr>
          <w:rFonts w:eastAsia="Times New Roman" w:cs="Calibri"/>
          <w:lang w:eastAsia="en-AU"/>
        </w:rPr>
        <w:t xml:space="preserve"> that s</w:t>
      </w:r>
      <w:r w:rsidR="00403630" w:rsidRPr="00167CB8">
        <w:rPr>
          <w:rFonts w:eastAsia="Times New Roman" w:cs="Calibri"/>
          <w:lang w:eastAsia="en-AU"/>
        </w:rPr>
        <w:t> </w:t>
      </w:r>
      <w:r w:rsidRPr="00167CB8">
        <w:rPr>
          <w:rFonts w:eastAsia="Times New Roman" w:cs="Calibri"/>
          <w:lang w:eastAsia="en-AU"/>
        </w:rPr>
        <w:t>173(2A)(d) could constrain access to bargaining if the replacement agreement was likely to cover additional workers.</w:t>
      </w:r>
      <w:r w:rsidRPr="00167CB8">
        <w:rPr>
          <w:rFonts w:eastAsia="Times New Roman" w:cs="Times New Roman"/>
          <w:vertAlign w:val="superscript"/>
        </w:rPr>
        <w:footnoteReference w:id="300"/>
      </w:r>
      <w:r w:rsidRPr="00167CB8">
        <w:rPr>
          <w:rFonts w:eastAsia="Times New Roman" w:cs="Calibri"/>
          <w:lang w:eastAsia="en-AU"/>
        </w:rPr>
        <w:t xml:space="preserve"> </w:t>
      </w:r>
    </w:p>
    <w:p w14:paraId="241171C8" w14:textId="3FCE7E42" w:rsidR="00173F8E" w:rsidRPr="00167CB8" w:rsidRDefault="00173F8E" w:rsidP="00173F8E">
      <w:pPr>
        <w:spacing w:before="100" w:beforeAutospacing="1" w:after="100" w:afterAutospacing="1"/>
        <w:rPr>
          <w:rFonts w:eastAsia="Times New Roman" w:cs="Calibri"/>
          <w:lang w:eastAsia="en-AU"/>
        </w:rPr>
      </w:pPr>
      <w:r w:rsidRPr="00167CB8">
        <w:rPr>
          <w:rFonts w:eastAsia="Times New Roman" w:cs="Calibri"/>
          <w:lang w:eastAsia="en-AU"/>
        </w:rPr>
        <w:t xml:space="preserve">The ACTU also </w:t>
      </w:r>
      <w:r w:rsidR="00177908" w:rsidRPr="00167CB8">
        <w:rPr>
          <w:rFonts w:eastAsia="Times New Roman" w:cs="Calibri"/>
          <w:lang w:eastAsia="en-AU"/>
        </w:rPr>
        <w:t xml:space="preserve">proposed </w:t>
      </w:r>
      <w:r w:rsidRPr="00167CB8">
        <w:rPr>
          <w:rFonts w:eastAsia="Times New Roman" w:cs="Calibri"/>
          <w:lang w:eastAsia="en-AU"/>
        </w:rPr>
        <w:t>that the new initiating bargaining provisions be extended to multi-employer agreements.</w:t>
      </w:r>
      <w:r w:rsidRPr="00167CB8">
        <w:rPr>
          <w:rFonts w:eastAsia="Times New Roman" w:cs="Calibri"/>
          <w:vertAlign w:val="superscript"/>
          <w:lang w:eastAsia="en-AU"/>
        </w:rPr>
        <w:footnoteReference w:id="301"/>
      </w:r>
      <w:r w:rsidRPr="00167CB8">
        <w:rPr>
          <w:rFonts w:eastAsia="Times New Roman" w:cs="Calibri"/>
          <w:lang w:eastAsia="en-AU"/>
        </w:rPr>
        <w:t xml:space="preserve"> </w:t>
      </w:r>
    </w:p>
    <w:p w14:paraId="4C46CF03" w14:textId="5FE32343" w:rsidR="00173F8E" w:rsidRPr="00167CB8" w:rsidRDefault="00EA1B54" w:rsidP="00173F8E">
      <w:pPr>
        <w:pStyle w:val="Heading4"/>
        <w:rPr>
          <w:rFonts w:asciiTheme="minorHAnsi" w:hAnsiTheme="minorHAnsi"/>
        </w:rPr>
      </w:pPr>
      <w:bookmarkStart w:id="165" w:name="_Toc189260225"/>
      <w:bookmarkStart w:id="166" w:name="_Toc189393541"/>
      <w:r w:rsidRPr="00167CB8">
        <w:rPr>
          <w:rFonts w:asciiTheme="minorHAnsi" w:hAnsiTheme="minorHAnsi"/>
        </w:rPr>
        <w:t>9</w:t>
      </w:r>
      <w:r w:rsidR="00173F8E" w:rsidRPr="00167CB8">
        <w:rPr>
          <w:rFonts w:asciiTheme="minorHAnsi" w:hAnsiTheme="minorHAnsi"/>
        </w:rPr>
        <w:t xml:space="preserve">.3 Findings </w:t>
      </w:r>
      <w:r w:rsidR="00403630" w:rsidRPr="00167CB8">
        <w:rPr>
          <w:rFonts w:asciiTheme="minorHAnsi" w:hAnsiTheme="minorHAnsi"/>
        </w:rPr>
        <w:t>and</w:t>
      </w:r>
      <w:r w:rsidR="00173F8E" w:rsidRPr="00167CB8">
        <w:rPr>
          <w:rFonts w:asciiTheme="minorHAnsi" w:hAnsiTheme="minorHAnsi"/>
        </w:rPr>
        <w:t xml:space="preserve"> </w:t>
      </w:r>
      <w:r w:rsidR="00403630" w:rsidRPr="00167CB8">
        <w:rPr>
          <w:rFonts w:asciiTheme="minorHAnsi" w:hAnsiTheme="minorHAnsi"/>
        </w:rPr>
        <w:t>r</w:t>
      </w:r>
      <w:r w:rsidR="00173F8E" w:rsidRPr="00167CB8">
        <w:rPr>
          <w:rFonts w:asciiTheme="minorHAnsi" w:hAnsiTheme="minorHAnsi"/>
        </w:rPr>
        <w:t>ecommendations</w:t>
      </w:r>
      <w:bookmarkEnd w:id="165"/>
      <w:bookmarkEnd w:id="166"/>
    </w:p>
    <w:p w14:paraId="02B8CAA6" w14:textId="27CCA260" w:rsidR="00173F8E" w:rsidRPr="00167CB8" w:rsidRDefault="00173F8E" w:rsidP="00173F8E">
      <w:pPr>
        <w:rPr>
          <w:rFonts w:eastAsia="Times New Roman" w:cs="Times New Roman"/>
        </w:rPr>
      </w:pPr>
      <w:r w:rsidRPr="00167CB8">
        <w:rPr>
          <w:rFonts w:eastAsia="Times New Roman" w:cs="Times New Roman"/>
        </w:rPr>
        <w:t xml:space="preserve">There is limited data on which the Review Panel may draw to assess the impact of these reforms. However, the Review Panel notes that WAD data collected for agreements with a notification time on or after 7 December 2022 indicates that the initiating bargaining provisions have been used in a small proportion of agreements (3.93% of total agreements approved, or in 187 agreements). Having considered the Australian Government’s legislative intent (to </w:t>
      </w:r>
      <w:r w:rsidRPr="00167CB8">
        <w:rPr>
          <w:rFonts w:eastAsia="Times New Roman" w:cs="Times New Roman"/>
        </w:rPr>
        <w:lastRenderedPageBreak/>
        <w:t xml:space="preserve">streamline bargaining and reduce barriers to collective bargaining) and the early evidence, which shows the provisions are being used, the Review Panel concludes that the amendments have so far been effective. </w:t>
      </w:r>
    </w:p>
    <w:p w14:paraId="0642E47A" w14:textId="0FF2197C" w:rsidR="00173F8E" w:rsidRPr="00167CB8" w:rsidRDefault="00173F8E" w:rsidP="00173F8E">
      <w:pPr>
        <w:rPr>
          <w:rFonts w:eastAsia="Times New Roman" w:cs="Times New Roman"/>
        </w:rPr>
      </w:pPr>
      <w:r w:rsidRPr="00167CB8">
        <w:rPr>
          <w:rFonts w:eastAsia="Times New Roman" w:cs="Times New Roman"/>
        </w:rPr>
        <w:t>While the Review Panel notes the employer requests that an MSD be sought where employers do not agree to bargain, the Review Panel has declined to support this request. An MSD is not always a straightforward exercise and, in some cases, where it is opposed may impose administrative burden on unions and employees.</w:t>
      </w:r>
      <w:r w:rsidRPr="00167CB8">
        <w:rPr>
          <w:rFonts w:eastAsia="Times New Roman" w:cs="Times New Roman"/>
          <w:vertAlign w:val="superscript"/>
        </w:rPr>
        <w:footnoteReference w:id="302"/>
      </w:r>
      <w:r w:rsidRPr="00167CB8">
        <w:rPr>
          <w:rFonts w:eastAsia="Times New Roman" w:cs="Times New Roman"/>
        </w:rPr>
        <w:t xml:space="preserve"> Moreover, it would be unacceptable to return to pre</w:t>
      </w:r>
      <w:r w:rsidR="00403630" w:rsidRPr="00167CB8">
        <w:rPr>
          <w:rFonts w:eastAsia="Times New Roman" w:cs="Times New Roman"/>
        </w:rPr>
        <w:t>-</w:t>
      </w:r>
      <w:r w:rsidRPr="00167CB8">
        <w:rPr>
          <w:rFonts w:eastAsia="Times New Roman" w:cs="Times New Roman"/>
        </w:rPr>
        <w:t xml:space="preserve">existing provisions that gave employers an uneven power to avoid the renewal of agreements. Such a recommendation would go against the intent of the legislation.  </w:t>
      </w:r>
    </w:p>
    <w:p w14:paraId="4F43C934" w14:textId="39E2248C" w:rsidR="00173F8E" w:rsidRPr="00167CB8" w:rsidRDefault="00173F8E" w:rsidP="00173F8E">
      <w:pPr>
        <w:rPr>
          <w:rFonts w:eastAsia="Times New Roman" w:cs="Times New Roman"/>
        </w:rPr>
      </w:pPr>
      <w:r w:rsidRPr="00167CB8">
        <w:rPr>
          <w:rFonts w:eastAsia="Times New Roman" w:cs="Times New Roman"/>
        </w:rPr>
        <w:t xml:space="preserve">The Review Panel has similarly declined to support the Ai Group recommendation that the window for an expired agreement be reduced from </w:t>
      </w:r>
      <w:r w:rsidR="00403630" w:rsidRPr="00167CB8">
        <w:rPr>
          <w:rFonts w:eastAsia="Times New Roman" w:cs="Times New Roman"/>
        </w:rPr>
        <w:t xml:space="preserve">5 </w:t>
      </w:r>
      <w:r w:rsidRPr="00167CB8">
        <w:rPr>
          <w:rFonts w:eastAsia="Times New Roman" w:cs="Times New Roman"/>
        </w:rPr>
        <w:t xml:space="preserve">to </w:t>
      </w:r>
      <w:r w:rsidR="00403630" w:rsidRPr="00167CB8">
        <w:rPr>
          <w:rFonts w:eastAsia="Times New Roman" w:cs="Times New Roman"/>
        </w:rPr>
        <w:t xml:space="preserve">3 </w:t>
      </w:r>
      <w:r w:rsidRPr="00167CB8">
        <w:rPr>
          <w:rFonts w:eastAsia="Times New Roman" w:cs="Times New Roman"/>
        </w:rPr>
        <w:t xml:space="preserve">years from the nominal expiry date. There is no evidence in support of an equally arbitrary </w:t>
      </w:r>
      <w:r w:rsidR="00403630" w:rsidRPr="00167CB8">
        <w:rPr>
          <w:rFonts w:eastAsia="Times New Roman" w:cs="Times New Roman"/>
        </w:rPr>
        <w:t>3</w:t>
      </w:r>
      <w:r w:rsidRPr="00167CB8">
        <w:rPr>
          <w:rFonts w:eastAsia="Times New Roman" w:cs="Times New Roman"/>
        </w:rPr>
        <w:t xml:space="preserve">- rather than </w:t>
      </w:r>
      <w:r w:rsidR="00403630" w:rsidRPr="00167CB8">
        <w:rPr>
          <w:rFonts w:eastAsia="Times New Roman" w:cs="Times New Roman"/>
        </w:rPr>
        <w:t>5</w:t>
      </w:r>
      <w:r w:rsidRPr="00167CB8">
        <w:rPr>
          <w:rFonts w:eastAsia="Times New Roman" w:cs="Times New Roman"/>
        </w:rPr>
        <w:t>-year window.</w:t>
      </w:r>
    </w:p>
    <w:p w14:paraId="768AB927" w14:textId="3EDDEEC5" w:rsidR="00173F8E" w:rsidRPr="00167CB8" w:rsidRDefault="00173F8E" w:rsidP="00173F8E">
      <w:pPr>
        <w:rPr>
          <w:rFonts w:eastAsia="Times New Roman" w:cs="Times New Roman"/>
        </w:rPr>
      </w:pPr>
      <w:r w:rsidRPr="00167CB8">
        <w:rPr>
          <w:rFonts w:eastAsia="Times New Roman" w:cs="Times New Roman"/>
        </w:rPr>
        <w:t xml:space="preserve">The ACTU </w:t>
      </w:r>
      <w:r w:rsidR="00403630" w:rsidRPr="00167CB8">
        <w:rPr>
          <w:rFonts w:eastAsia="Times New Roman" w:cs="Times New Roman"/>
        </w:rPr>
        <w:t xml:space="preserve">has </w:t>
      </w:r>
      <w:r w:rsidRPr="00167CB8">
        <w:rPr>
          <w:rFonts w:eastAsia="Times New Roman" w:cs="Times New Roman"/>
        </w:rPr>
        <w:t>recommended that s</w:t>
      </w:r>
      <w:r w:rsidR="00403630" w:rsidRPr="00167CB8">
        <w:rPr>
          <w:rFonts w:eastAsia="Times New Roman" w:cs="Times New Roman"/>
        </w:rPr>
        <w:t> </w:t>
      </w:r>
      <w:r w:rsidRPr="00167CB8">
        <w:rPr>
          <w:rFonts w:eastAsia="Times New Roman" w:cs="Times New Roman"/>
        </w:rPr>
        <w:t>173(2A)(d) be changed to permit employee representatives to initiate bargaining for a replacement single-enterprise agreement that would cover additional workers. This broadens the scope of the legislation and potentially opens up disputes about whether the agreement was a true replacement agreement or a new agreement. The Review Panel, therefore, has not supported this request.</w:t>
      </w:r>
    </w:p>
    <w:p w14:paraId="42EE05F4" w14:textId="77777777" w:rsidR="00173F8E" w:rsidRPr="00167CB8" w:rsidRDefault="00173F8E" w:rsidP="00173F8E">
      <w:pPr>
        <w:rPr>
          <w:rFonts w:eastAsia="Times New Roman" w:cs="Times New Roman"/>
        </w:rPr>
      </w:pPr>
      <w:r w:rsidRPr="00167CB8">
        <w:rPr>
          <w:rFonts w:eastAsia="Times New Roman" w:cs="Times New Roman"/>
        </w:rPr>
        <w:t>The Review Panel finds that data on who initiates bargaining is weak, with few cases on the issue having been decided to date. This has led to views being substituted by opinions about the future rather than interpreting objective evidence.</w:t>
      </w:r>
    </w:p>
    <w:p w14:paraId="406733FD" w14:textId="4B4F888D" w:rsidR="00173F8E" w:rsidRPr="00167CB8" w:rsidRDefault="00173F8E" w:rsidP="00173F8E">
      <w:pPr>
        <w:rPr>
          <w:rFonts w:eastAsia="Times New Roman" w:cs="Times New Roman"/>
        </w:rPr>
      </w:pPr>
      <w:r w:rsidRPr="00167CB8">
        <w:rPr>
          <w:rFonts w:eastAsia="Times New Roman" w:cs="Times New Roman"/>
        </w:rPr>
        <w:t>The Review Panel acknowledges there is limited data collected and reported on in relation to the mechanism used to commence bargaining, including who initiates bargaining under the provisions in s</w:t>
      </w:r>
      <w:r w:rsidR="00403630" w:rsidRPr="00167CB8">
        <w:rPr>
          <w:rFonts w:eastAsia="Times New Roman" w:cs="Times New Roman"/>
        </w:rPr>
        <w:t> </w:t>
      </w:r>
      <w:r w:rsidRPr="00167CB8">
        <w:rPr>
          <w:rFonts w:eastAsia="Times New Roman" w:cs="Times New Roman"/>
        </w:rPr>
        <w:t>173(2A) of the Fair Work Act.</w:t>
      </w:r>
      <w:r w:rsidR="00CD2077" w:rsidRPr="00167CB8">
        <w:t xml:space="preserve"> </w:t>
      </w:r>
      <w:r w:rsidR="00CD2077" w:rsidRPr="00167CB8">
        <w:rPr>
          <w:rFonts w:eastAsia="Times New Roman" w:cs="Times New Roman"/>
        </w:rPr>
        <w:t>The Review Panel recommends that information on the mechanism to commence bargaining in all matters should be collected in advance of a further review (see Draft Recommendation 1).</w:t>
      </w:r>
    </w:p>
    <w:p w14:paraId="520FB262" w14:textId="08E19BDB" w:rsidR="00173F8E" w:rsidRPr="00167CB8" w:rsidRDefault="00173F8E" w:rsidP="00173F8E">
      <w:pPr>
        <w:spacing w:after="200"/>
        <w:rPr>
          <w:rFonts w:eastAsia="Times New Roman" w:cs="Times New Roman"/>
        </w:rPr>
      </w:pPr>
      <w:r w:rsidRPr="00167CB8">
        <w:rPr>
          <w:rFonts w:eastAsia="Times New Roman" w:cs="Times New Roman"/>
        </w:rPr>
        <w:t xml:space="preserve">The </w:t>
      </w:r>
      <w:r w:rsidRPr="00167CB8">
        <w:rPr>
          <w:rFonts w:eastAsia="Times New Roman" w:cs="Times New Roman"/>
          <w:i/>
        </w:rPr>
        <w:t xml:space="preserve">Sephora </w:t>
      </w:r>
      <w:r w:rsidRPr="00167CB8">
        <w:rPr>
          <w:rFonts w:eastAsia="Times New Roman" w:cs="Times New Roman"/>
        </w:rPr>
        <w:t>case highlights the lack of knowledge about the significance of the written request to bargain under s</w:t>
      </w:r>
      <w:r w:rsidR="00403630" w:rsidRPr="00167CB8">
        <w:rPr>
          <w:rFonts w:eastAsia="Times New Roman" w:cs="Times New Roman"/>
        </w:rPr>
        <w:t> </w:t>
      </w:r>
      <w:r w:rsidRPr="00167CB8">
        <w:rPr>
          <w:rFonts w:eastAsia="Times New Roman" w:cs="Times New Roman"/>
        </w:rPr>
        <w:t xml:space="preserve">173(2A) of the Fair Work Act. To improve the operation of the amendments, the Review Panel considers that further guidance should be published to support employers who receive a written request to bargain to understand their obligations following the request. </w:t>
      </w:r>
    </w:p>
    <w:p w14:paraId="5B963A37" w14:textId="30C49005" w:rsidR="00173F8E" w:rsidRPr="00167CB8" w:rsidRDefault="000E4C13" w:rsidP="00173F8E">
      <w:pPr>
        <w:spacing w:after="160"/>
      </w:pPr>
      <w:r w:rsidRPr="00167CB8">
        <w:rPr>
          <w:b/>
          <w:bCs/>
        </w:rPr>
        <w:t>Draft Recommendation 5: The FWC should publish guidance to assist employers understand their obligations after receiving a written request to bargain under s</w:t>
      </w:r>
      <w:r w:rsidR="00BF6A45" w:rsidRPr="00167CB8">
        <w:rPr>
          <w:b/>
          <w:bCs/>
        </w:rPr>
        <w:t> </w:t>
      </w:r>
      <w:r w:rsidRPr="00167CB8">
        <w:rPr>
          <w:b/>
          <w:bCs/>
        </w:rPr>
        <w:t>173(2A) of the Fair Work Act. This guidance material should include a template written request for bargaining representatives. The template written request should outline, amongst other matters, the requirement for employers to issue a notice of employee representational rights (NERR) within 14 days of receiving the request and details of known bargaining representatives.</w:t>
      </w:r>
      <w:r w:rsidR="00173F8E" w:rsidRPr="00167CB8">
        <w:rPr>
          <w:b/>
          <w:bCs/>
        </w:rPr>
        <w:br w:type="page"/>
      </w:r>
    </w:p>
    <w:p w14:paraId="2D07B7D0" w14:textId="0C98917A" w:rsidR="00173F8E" w:rsidRPr="00167CB8" w:rsidRDefault="00173F8E" w:rsidP="00173F8E">
      <w:pPr>
        <w:pStyle w:val="Heading3"/>
        <w:rPr>
          <w:rFonts w:asciiTheme="minorHAnsi" w:hAnsiTheme="minorHAnsi"/>
        </w:rPr>
      </w:pPr>
      <w:bookmarkStart w:id="167" w:name="_Toc189260226"/>
      <w:bookmarkStart w:id="168" w:name="_Toc189393542"/>
      <w:r w:rsidRPr="00167CB8">
        <w:rPr>
          <w:rFonts w:asciiTheme="minorHAnsi" w:hAnsiTheme="minorHAnsi"/>
        </w:rPr>
        <w:lastRenderedPageBreak/>
        <w:t>Chapter 10. Cooperative workplaces</w:t>
      </w:r>
      <w:bookmarkEnd w:id="167"/>
      <w:bookmarkEnd w:id="168"/>
    </w:p>
    <w:p w14:paraId="1C237730" w14:textId="6A7CA837" w:rsidR="00173F8E" w:rsidRPr="00167CB8" w:rsidRDefault="00173F8E" w:rsidP="00403630">
      <w:pPr>
        <w:spacing w:after="200"/>
        <w:rPr>
          <w:rFonts w:eastAsia="Times New Roman" w:cs="Times New Roman"/>
        </w:rPr>
      </w:pPr>
      <w:r w:rsidRPr="00167CB8">
        <w:rPr>
          <w:rFonts w:eastAsia="Times New Roman" w:cs="Times New Roman"/>
        </w:rPr>
        <w:t>Part 23 of Schedule 1 to the Secure Jobs</w:t>
      </w:r>
      <w:r w:rsidR="00403630" w:rsidRPr="00167CB8">
        <w:rPr>
          <w:rFonts w:eastAsia="Times New Roman" w:cs="Times New Roman"/>
        </w:rPr>
        <w:t>,</w:t>
      </w:r>
      <w:r w:rsidRPr="00167CB8">
        <w:rPr>
          <w:rFonts w:eastAsia="Times New Roman" w:cs="Times New Roman"/>
        </w:rPr>
        <w:t xml:space="preserve"> Better Pay Act concerns cooperative workplace agreements. This is therefore the first of </w:t>
      </w:r>
      <w:r w:rsidR="00403630" w:rsidRPr="00167CB8">
        <w:rPr>
          <w:rFonts w:eastAsia="Times New Roman" w:cs="Times New Roman"/>
        </w:rPr>
        <w:t xml:space="preserve">3 </w:t>
      </w:r>
      <w:r w:rsidRPr="00167CB8">
        <w:rPr>
          <w:rFonts w:eastAsia="Times New Roman" w:cs="Times New Roman"/>
        </w:rPr>
        <w:t>chapters about multi-employer bargaining. Cooperative workplace agreements are a form of voluntary multi-employer agreement.</w:t>
      </w:r>
      <w:r w:rsidRPr="00167CB8">
        <w:rPr>
          <w:rFonts w:eastAsia="Times New Roman" w:cs="Times New Roman"/>
          <w:vertAlign w:val="superscript"/>
        </w:rPr>
        <w:footnoteReference w:id="303"/>
      </w:r>
      <w:r w:rsidRPr="00167CB8">
        <w:rPr>
          <w:rFonts w:eastAsia="Times New Roman" w:cs="Times New Roman"/>
        </w:rPr>
        <w:t xml:space="preserve"> The F</w:t>
      </w:r>
      <w:r w:rsidR="00403630" w:rsidRPr="00167CB8">
        <w:rPr>
          <w:rFonts w:eastAsia="Times New Roman" w:cs="Times New Roman"/>
        </w:rPr>
        <w:t xml:space="preserve">air </w:t>
      </w:r>
      <w:r w:rsidRPr="00167CB8">
        <w:rPr>
          <w:rFonts w:eastAsia="Times New Roman" w:cs="Times New Roman"/>
        </w:rPr>
        <w:t>W</w:t>
      </w:r>
      <w:r w:rsidR="00403630" w:rsidRPr="00167CB8">
        <w:rPr>
          <w:rFonts w:eastAsia="Times New Roman" w:cs="Times New Roman"/>
        </w:rPr>
        <w:t>ork</w:t>
      </w:r>
      <w:r w:rsidRPr="00167CB8">
        <w:rPr>
          <w:rFonts w:eastAsia="Times New Roman" w:cs="Times New Roman"/>
        </w:rPr>
        <w:t xml:space="preserve"> Act has always permitted voluntary multi-employer bargaining, although the amendments have renamed it the ‘cooperative workplace bargaining stream’ and slightly revised the conditions under which they are made. This section considers the changes to the cooperative workplace bargaining stream.</w:t>
      </w:r>
    </w:p>
    <w:p w14:paraId="17A03100" w14:textId="1177B253" w:rsidR="00173F8E" w:rsidRPr="00167CB8" w:rsidRDefault="00EA1B54" w:rsidP="00173F8E">
      <w:pPr>
        <w:pStyle w:val="Heading4"/>
        <w:rPr>
          <w:rFonts w:asciiTheme="minorHAnsi" w:hAnsiTheme="minorHAnsi"/>
        </w:rPr>
      </w:pPr>
      <w:bookmarkStart w:id="169" w:name="_Toc189260227"/>
      <w:bookmarkStart w:id="170" w:name="_Toc189393543"/>
      <w:r w:rsidRPr="00167CB8">
        <w:rPr>
          <w:rFonts w:asciiTheme="minorHAnsi" w:hAnsiTheme="minorHAnsi"/>
        </w:rPr>
        <w:t>10</w:t>
      </w:r>
      <w:r w:rsidR="00173F8E" w:rsidRPr="00167CB8">
        <w:rPr>
          <w:rFonts w:asciiTheme="minorHAnsi" w:hAnsiTheme="minorHAnsi"/>
        </w:rPr>
        <w:t xml:space="preserve">.1 Amendments </w:t>
      </w:r>
      <w:r w:rsidR="00403630" w:rsidRPr="00167CB8">
        <w:rPr>
          <w:rFonts w:asciiTheme="minorHAnsi" w:hAnsiTheme="minorHAnsi"/>
        </w:rPr>
        <w:t>and</w:t>
      </w:r>
      <w:r w:rsidR="00173F8E" w:rsidRPr="00167CB8">
        <w:rPr>
          <w:rFonts w:asciiTheme="minorHAnsi" w:hAnsiTheme="minorHAnsi"/>
        </w:rPr>
        <w:t xml:space="preserve"> </w:t>
      </w:r>
      <w:r w:rsidR="00403630" w:rsidRPr="00167CB8">
        <w:rPr>
          <w:rFonts w:asciiTheme="minorHAnsi" w:hAnsiTheme="minorHAnsi"/>
        </w:rPr>
        <w:t>i</w:t>
      </w:r>
      <w:r w:rsidR="00173F8E" w:rsidRPr="00167CB8">
        <w:rPr>
          <w:rFonts w:asciiTheme="minorHAnsi" w:hAnsiTheme="minorHAnsi"/>
        </w:rPr>
        <w:t>ntent</w:t>
      </w:r>
      <w:bookmarkEnd w:id="169"/>
      <w:bookmarkEnd w:id="170"/>
      <w:r w:rsidR="00173F8E" w:rsidRPr="00167CB8">
        <w:rPr>
          <w:rFonts w:asciiTheme="minorHAnsi" w:hAnsiTheme="minorHAnsi"/>
        </w:rPr>
        <w:t xml:space="preserve"> </w:t>
      </w:r>
    </w:p>
    <w:p w14:paraId="77848831" w14:textId="2A6080D0" w:rsidR="00173F8E" w:rsidRPr="00167CB8" w:rsidRDefault="00173F8E" w:rsidP="00403630">
      <w:pPr>
        <w:spacing w:after="200"/>
        <w:rPr>
          <w:rFonts w:eastAsia="Times New Roman" w:cs="Times New Roman"/>
        </w:rPr>
      </w:pPr>
      <w:r w:rsidRPr="00167CB8">
        <w:rPr>
          <w:rFonts w:eastAsia="Times New Roman" w:cs="Times New Roman"/>
        </w:rPr>
        <w:t xml:space="preserve">Amendments to the cooperative workplace bargaining stream </w:t>
      </w:r>
      <w:r w:rsidR="00573E77">
        <w:rPr>
          <w:rFonts w:eastAsia="Times New Roman" w:cs="Times New Roman"/>
        </w:rPr>
        <w:t xml:space="preserve">and the intent behind them </w:t>
      </w:r>
      <w:r w:rsidRPr="00167CB8">
        <w:rPr>
          <w:rFonts w:eastAsia="Times New Roman" w:cs="Times New Roman"/>
        </w:rPr>
        <w:t xml:space="preserve">are generally uncontroversial. The amendments largely replicate the existing voluntary multi-employer bargaining framework. </w:t>
      </w:r>
    </w:p>
    <w:p w14:paraId="3269ACAC" w14:textId="3800C83C" w:rsidR="00173F8E" w:rsidRPr="00167CB8" w:rsidRDefault="003B14A5" w:rsidP="00173F8E">
      <w:pPr>
        <w:pStyle w:val="Heading5"/>
        <w:rPr>
          <w:rFonts w:asciiTheme="minorHAnsi" w:hAnsiTheme="minorHAnsi" w:cs="Calibri"/>
        </w:rPr>
      </w:pPr>
      <w:r w:rsidRPr="00167CB8">
        <w:rPr>
          <w:rFonts w:asciiTheme="minorHAnsi" w:hAnsiTheme="minorHAnsi" w:cs="Calibri"/>
        </w:rPr>
        <w:t>10</w:t>
      </w:r>
      <w:r w:rsidR="00173F8E" w:rsidRPr="00167CB8">
        <w:rPr>
          <w:rFonts w:asciiTheme="minorHAnsi" w:hAnsiTheme="minorHAnsi" w:cs="Calibri"/>
        </w:rPr>
        <w:t xml:space="preserve">.1.1 </w:t>
      </w:r>
      <w:r w:rsidR="00173F8E" w:rsidRPr="00167CB8">
        <w:rPr>
          <w:rFonts w:asciiTheme="minorHAnsi" w:hAnsiTheme="minorHAnsi"/>
        </w:rPr>
        <w:t xml:space="preserve">Secure Jobs, Better Pay </w:t>
      </w:r>
      <w:r w:rsidR="00403630" w:rsidRPr="00167CB8">
        <w:rPr>
          <w:rFonts w:asciiTheme="minorHAnsi" w:hAnsiTheme="minorHAnsi"/>
        </w:rPr>
        <w:t>a</w:t>
      </w:r>
      <w:r w:rsidR="00173F8E" w:rsidRPr="00167CB8">
        <w:rPr>
          <w:rFonts w:asciiTheme="minorHAnsi" w:hAnsiTheme="minorHAnsi"/>
        </w:rPr>
        <w:t>mendments</w:t>
      </w:r>
    </w:p>
    <w:p w14:paraId="1B12197B" w14:textId="352317D0" w:rsidR="00173F8E" w:rsidRPr="00167CB8" w:rsidRDefault="00173F8E" w:rsidP="00403630">
      <w:pPr>
        <w:spacing w:after="200"/>
        <w:rPr>
          <w:rFonts w:eastAsia="Times New Roman" w:cs="Times New Roman"/>
        </w:rPr>
      </w:pPr>
      <w:r w:rsidRPr="00167CB8">
        <w:rPr>
          <w:rFonts w:eastAsia="Times New Roman" w:cs="Times New Roman"/>
        </w:rPr>
        <w:t>This stream of multi-employer agreements is governed by various provisions of the Fair Work Act. Bargaining in the renamed cooperative workplace bargaining stream, like the previous multi-employer bargaining stream, is voluntary. The ‘compulsory’ aspects of the bargaining framework are generally not available during bargaining in th</w:t>
      </w:r>
      <w:r w:rsidR="00C600DA">
        <w:rPr>
          <w:rFonts w:eastAsia="Times New Roman" w:cs="Times New Roman"/>
        </w:rPr>
        <w:t xml:space="preserve">is </w:t>
      </w:r>
      <w:r w:rsidRPr="00167CB8">
        <w:rPr>
          <w:rFonts w:eastAsia="Times New Roman" w:cs="Times New Roman"/>
        </w:rPr>
        <w:t>stream. Protected industrial action cannot be taken during the bargaining process in relation to a proposed cooperative workplace agreement.</w:t>
      </w:r>
      <w:r w:rsidRPr="00167CB8">
        <w:rPr>
          <w:rFonts w:eastAsia="Times New Roman" w:cs="Times New Roman"/>
          <w:vertAlign w:val="superscript"/>
        </w:rPr>
        <w:footnoteReference w:id="304"/>
      </w:r>
      <w:r w:rsidRPr="00167CB8">
        <w:rPr>
          <w:rFonts w:eastAsia="Times New Roman" w:cs="Times New Roman"/>
        </w:rPr>
        <w:t xml:space="preserve"> The </w:t>
      </w:r>
      <w:r w:rsidR="009B478B" w:rsidRPr="00167CB8">
        <w:rPr>
          <w:rFonts w:eastAsia="Times New Roman" w:cs="Times New Roman"/>
        </w:rPr>
        <w:t>Fair Work Commission (</w:t>
      </w:r>
      <w:r w:rsidRPr="00167CB8">
        <w:rPr>
          <w:rFonts w:eastAsia="Times New Roman" w:cs="Times New Roman"/>
        </w:rPr>
        <w:t>FWC</w:t>
      </w:r>
      <w:r w:rsidR="009B478B" w:rsidRPr="00167CB8">
        <w:rPr>
          <w:rFonts w:eastAsia="Times New Roman" w:cs="Times New Roman"/>
        </w:rPr>
        <w:t>)</w:t>
      </w:r>
      <w:r w:rsidRPr="00167CB8">
        <w:rPr>
          <w:rFonts w:eastAsia="Times New Roman" w:cs="Times New Roman"/>
        </w:rPr>
        <w:t xml:space="preserve"> can assist parties to resolve bargaining disputes by conciliation and arbitration but only with the agreement of all bargaining representatives.</w:t>
      </w:r>
      <w:r w:rsidRPr="00167CB8">
        <w:rPr>
          <w:rFonts w:eastAsia="Times New Roman" w:cs="Times New Roman"/>
          <w:vertAlign w:val="superscript"/>
        </w:rPr>
        <w:footnoteReference w:id="305"/>
      </w:r>
      <w:r w:rsidRPr="00167CB8">
        <w:rPr>
          <w:rFonts w:eastAsia="Times New Roman" w:cs="Times New Roman"/>
        </w:rPr>
        <w:t xml:space="preserve"> Workplace determinations are not available in the cooperative workplace bargaining stream.</w:t>
      </w:r>
    </w:p>
    <w:p w14:paraId="206832BE" w14:textId="358C90DA" w:rsidR="00173F8E" w:rsidRPr="00167CB8" w:rsidRDefault="00173F8E" w:rsidP="00403630">
      <w:pPr>
        <w:spacing w:after="200"/>
        <w:rPr>
          <w:rFonts w:eastAsia="Times New Roman" w:cs="Times New Roman"/>
        </w:rPr>
      </w:pPr>
      <w:r w:rsidRPr="00167CB8">
        <w:rPr>
          <w:rFonts w:eastAsia="Times New Roman" w:cs="Times New Roman"/>
        </w:rPr>
        <w:t>Unlike the previous voluntary multi-employer bargaining stream, the cooperative workplace bargaining stream requires involvement of an employee organisation. In determining whether to approve a cooperative workplace agreement the FWC:</w:t>
      </w:r>
      <w:r w:rsidR="00403630" w:rsidRPr="00167CB8">
        <w:rPr>
          <w:rStyle w:val="FootnoteReference"/>
          <w:rFonts w:cs="Calibri"/>
        </w:rPr>
        <w:footnoteReference w:id="306"/>
      </w:r>
    </w:p>
    <w:p w14:paraId="586F5932" w14:textId="6B1B6392" w:rsidR="00173F8E" w:rsidRPr="00167CB8" w:rsidRDefault="00173F8E" w:rsidP="00C83147">
      <w:pPr>
        <w:pStyle w:val="Quote"/>
      </w:pPr>
      <w:r w:rsidRPr="00167CB8">
        <w:t>(2A) …</w:t>
      </w:r>
      <w:r w:rsidR="00403630" w:rsidRPr="00167CB8">
        <w:t xml:space="preserve"> </w:t>
      </w:r>
      <w:r w:rsidRPr="00167CB8">
        <w:t>must be satisfied that at least some of the employees covered by the agreement were represented by an employee organisation in relation to bargaining for the agreement.</w:t>
      </w:r>
    </w:p>
    <w:p w14:paraId="42BDB984" w14:textId="77777777" w:rsidR="00173F8E" w:rsidRPr="00167CB8" w:rsidRDefault="00173F8E" w:rsidP="00403630">
      <w:pPr>
        <w:spacing w:after="200"/>
        <w:rPr>
          <w:rFonts w:eastAsia="Times New Roman" w:cs="Times New Roman"/>
        </w:rPr>
      </w:pPr>
      <w:r w:rsidRPr="00167CB8">
        <w:rPr>
          <w:rFonts w:eastAsia="Times New Roman" w:cs="Times New Roman"/>
        </w:rPr>
        <w:t>These amendments commenced on 6 June 2023.</w:t>
      </w:r>
    </w:p>
    <w:p w14:paraId="0382DB71" w14:textId="7FD5CAB5" w:rsidR="00173F8E" w:rsidRPr="00167CB8" w:rsidRDefault="00173F8E" w:rsidP="00403630">
      <w:pPr>
        <w:spacing w:after="200"/>
        <w:rPr>
          <w:rFonts w:eastAsia="Times New Roman" w:cs="Times New Roman"/>
        </w:rPr>
      </w:pPr>
      <w:r w:rsidRPr="00167CB8">
        <w:rPr>
          <w:rFonts w:eastAsia="Times New Roman" w:cs="Times New Roman"/>
        </w:rPr>
        <w:t>The Secure Jobs, Better Pay</w:t>
      </w:r>
      <w:r w:rsidRPr="00167CB8" w:rsidDel="00143387">
        <w:rPr>
          <w:rFonts w:eastAsia="Times New Roman" w:cs="Times New Roman"/>
        </w:rPr>
        <w:t xml:space="preserve"> </w:t>
      </w:r>
      <w:r w:rsidRPr="00167CB8">
        <w:rPr>
          <w:rFonts w:eastAsia="Times New Roman" w:cs="Times New Roman"/>
        </w:rPr>
        <w:t>amendments also inserted provisions that require employee organisations to consent to employers requesting employees vote on a proposed multi-employer agreement</w:t>
      </w:r>
      <w:r w:rsidRPr="00167CB8">
        <w:rPr>
          <w:rFonts w:eastAsia="Times New Roman" w:cs="Times New Roman"/>
          <w:vertAlign w:val="superscript"/>
        </w:rPr>
        <w:footnoteReference w:id="307"/>
      </w:r>
      <w:r w:rsidRPr="00167CB8">
        <w:rPr>
          <w:rFonts w:eastAsia="Times New Roman" w:cs="Times New Roman"/>
        </w:rPr>
        <w:t xml:space="preserve"> and provisions to vary an agreement to add or remove an employer and their employees. These amendments are discussed in Chapter</w:t>
      </w:r>
      <w:r w:rsidR="005162D5" w:rsidRPr="00167CB8">
        <w:rPr>
          <w:rFonts w:eastAsia="Times New Roman" w:cs="Times New Roman"/>
        </w:rPr>
        <w:t>s</w:t>
      </w:r>
      <w:r w:rsidRPr="00167CB8">
        <w:rPr>
          <w:rFonts w:eastAsia="Times New Roman" w:cs="Times New Roman"/>
        </w:rPr>
        <w:t xml:space="preserve"> </w:t>
      </w:r>
      <w:r w:rsidR="005162D5" w:rsidRPr="00167CB8">
        <w:rPr>
          <w:rFonts w:eastAsia="Times New Roman" w:cs="Times New Roman"/>
        </w:rPr>
        <w:t xml:space="preserve">10 and 11 </w:t>
      </w:r>
      <w:r w:rsidRPr="00167CB8">
        <w:rPr>
          <w:rFonts w:eastAsia="Times New Roman" w:cs="Times New Roman"/>
        </w:rPr>
        <w:t>on multi-employer bargaining.</w:t>
      </w:r>
    </w:p>
    <w:p w14:paraId="4E293366" w14:textId="14C7BDCB" w:rsidR="00173F8E" w:rsidRPr="00167CB8" w:rsidRDefault="003B14A5" w:rsidP="00173F8E">
      <w:pPr>
        <w:pStyle w:val="Heading5"/>
        <w:rPr>
          <w:rFonts w:asciiTheme="minorHAnsi" w:hAnsiTheme="minorHAnsi"/>
        </w:rPr>
      </w:pPr>
      <w:r w:rsidRPr="00167CB8">
        <w:rPr>
          <w:rFonts w:asciiTheme="minorHAnsi" w:hAnsiTheme="minorHAnsi"/>
        </w:rPr>
        <w:lastRenderedPageBreak/>
        <w:t>10</w:t>
      </w:r>
      <w:r w:rsidR="00173F8E" w:rsidRPr="00167CB8">
        <w:rPr>
          <w:rFonts w:asciiTheme="minorHAnsi" w:hAnsiTheme="minorHAnsi"/>
        </w:rPr>
        <w:t xml:space="preserve">.1.2 Intent of Secure Jobs, Better Pay </w:t>
      </w:r>
      <w:r w:rsidR="00403630" w:rsidRPr="00167CB8">
        <w:rPr>
          <w:rFonts w:asciiTheme="minorHAnsi" w:hAnsiTheme="minorHAnsi"/>
        </w:rPr>
        <w:t>a</w:t>
      </w:r>
      <w:r w:rsidR="00173F8E" w:rsidRPr="00167CB8">
        <w:rPr>
          <w:rFonts w:asciiTheme="minorHAnsi" w:hAnsiTheme="minorHAnsi"/>
        </w:rPr>
        <w:t>mendments</w:t>
      </w:r>
    </w:p>
    <w:p w14:paraId="1DA5B67C" w14:textId="77777777" w:rsidR="00173F8E" w:rsidRPr="00167CB8" w:rsidRDefault="00173F8E" w:rsidP="00403630">
      <w:pPr>
        <w:spacing w:after="200"/>
        <w:rPr>
          <w:rFonts w:eastAsia="Times New Roman" w:cs="Times New Roman"/>
        </w:rPr>
      </w:pPr>
      <w:r w:rsidRPr="00167CB8">
        <w:rPr>
          <w:rFonts w:eastAsia="Times New Roman" w:cs="Times New Roman"/>
        </w:rPr>
        <w:t xml:space="preserve">The intent of these provisions was to enhance access to enterprise bargaining by providing an option for employees and employers to reach agreements and help overcome the difficulty that some smaller businesses can have in bargaining for a new agreement. </w:t>
      </w:r>
    </w:p>
    <w:p w14:paraId="79567222" w14:textId="41F4782B" w:rsidR="00173F8E" w:rsidRPr="00167CB8" w:rsidRDefault="00173F8E" w:rsidP="00403630">
      <w:pPr>
        <w:spacing w:after="200"/>
        <w:rPr>
          <w:rFonts w:eastAsia="Times New Roman" w:cs="Times New Roman"/>
        </w:rPr>
      </w:pPr>
      <w:r w:rsidRPr="00167CB8">
        <w:rPr>
          <w:rFonts w:eastAsia="Times New Roman" w:cs="Times New Roman"/>
        </w:rPr>
        <w:t xml:space="preserve">The then Minister for Employment and Workplace Relations, the Hon Tony Burke MP, stated in the </w:t>
      </w:r>
      <w:r w:rsidR="00403630" w:rsidRPr="00167CB8">
        <w:rPr>
          <w:rFonts w:eastAsia="Times New Roman" w:cs="Times New Roman"/>
        </w:rPr>
        <w:t>s</w:t>
      </w:r>
      <w:r w:rsidRPr="00167CB8">
        <w:rPr>
          <w:rFonts w:eastAsia="Times New Roman" w:cs="Times New Roman"/>
        </w:rPr>
        <w:t xml:space="preserve">econd </w:t>
      </w:r>
      <w:r w:rsidR="00403630" w:rsidRPr="00167CB8">
        <w:rPr>
          <w:rFonts w:eastAsia="Times New Roman" w:cs="Times New Roman"/>
        </w:rPr>
        <w:t>r</w:t>
      </w:r>
      <w:r w:rsidRPr="00167CB8">
        <w:rPr>
          <w:rFonts w:eastAsia="Times New Roman" w:cs="Times New Roman"/>
        </w:rPr>
        <w:t>eading speech for the Secure Jobs</w:t>
      </w:r>
      <w:r w:rsidR="00403630" w:rsidRPr="00167CB8">
        <w:rPr>
          <w:rFonts w:eastAsia="Times New Roman" w:cs="Times New Roman"/>
        </w:rPr>
        <w:t>,</w:t>
      </w:r>
      <w:r w:rsidRPr="00167CB8">
        <w:rPr>
          <w:rFonts w:eastAsia="Times New Roman" w:cs="Times New Roman"/>
        </w:rPr>
        <w:t xml:space="preserve"> Better Pay Bill that</w:t>
      </w:r>
      <w:r w:rsidRPr="00167CB8" w:rsidDel="00936B6D">
        <w:rPr>
          <w:rFonts w:eastAsia="Times New Roman" w:cs="Times New Roman"/>
        </w:rPr>
        <w:t xml:space="preserve"> </w:t>
      </w:r>
      <w:r w:rsidR="00403630" w:rsidRPr="00167CB8">
        <w:rPr>
          <w:rFonts w:eastAsia="Times New Roman" w:cs="Times New Roman"/>
        </w:rPr>
        <w:t>‘</w:t>
      </w:r>
      <w:r w:rsidRPr="00167CB8">
        <w:rPr>
          <w:rFonts w:eastAsia="Times New Roman" w:cs="Times New Roman"/>
        </w:rPr>
        <w:t>the cooperative bargaining stream reframes and retains the existing multi-employer stream in the Fair Work Act; and is open to all businesses</w:t>
      </w:r>
      <w:r w:rsidR="00403630"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308"/>
      </w:r>
      <w:r w:rsidRPr="00167CB8">
        <w:rPr>
          <w:rFonts w:eastAsia="Times New Roman" w:cs="Times New Roman"/>
        </w:rPr>
        <w:t xml:space="preserve"> The stream was expected to be </w:t>
      </w:r>
      <w:r w:rsidR="00403630" w:rsidRPr="00167CB8">
        <w:rPr>
          <w:rFonts w:eastAsia="Times New Roman" w:cs="Times New Roman"/>
        </w:rPr>
        <w:t>‘</w:t>
      </w:r>
      <w:r w:rsidRPr="00167CB8">
        <w:rPr>
          <w:rFonts w:eastAsia="Times New Roman" w:cs="Times New Roman"/>
        </w:rPr>
        <w:t>particularly attractive to small businesses</w:t>
      </w:r>
      <w:r w:rsidR="00403630"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309"/>
      </w:r>
      <w:r w:rsidRPr="00167CB8">
        <w:rPr>
          <w:rFonts w:eastAsia="Times New Roman" w:cs="Times New Roman"/>
        </w:rPr>
        <w:t xml:space="preserve"> The Minister also stated that </w:t>
      </w:r>
      <w:r w:rsidR="00403630" w:rsidRPr="00167CB8">
        <w:rPr>
          <w:rFonts w:eastAsia="Times New Roman" w:cs="Times New Roman"/>
        </w:rPr>
        <w:t>‘</w:t>
      </w:r>
      <w:r w:rsidRPr="00167CB8">
        <w:rPr>
          <w:rFonts w:eastAsia="Times New Roman" w:cs="Times New Roman"/>
        </w:rPr>
        <w:t>[i]t’s entirely voluntary</w:t>
      </w:r>
      <w:r w:rsidR="00403630" w:rsidRPr="00167CB8">
        <w:rPr>
          <w:rFonts w:eastAsia="Times New Roman" w:cs="Times New Roman"/>
        </w:rPr>
        <w:t>’</w:t>
      </w:r>
      <w:r w:rsidRPr="00167CB8">
        <w:rPr>
          <w:rFonts w:eastAsia="Times New Roman" w:cs="Times New Roman"/>
        </w:rPr>
        <w:t xml:space="preserve"> and there is </w:t>
      </w:r>
      <w:r w:rsidR="00403630" w:rsidRPr="00167CB8">
        <w:rPr>
          <w:rFonts w:eastAsia="Times New Roman" w:cs="Times New Roman"/>
        </w:rPr>
        <w:t>‘</w:t>
      </w:r>
      <w:r w:rsidRPr="00167CB8">
        <w:rPr>
          <w:rFonts w:eastAsia="Times New Roman" w:cs="Times New Roman"/>
        </w:rPr>
        <w:t>no industrial arbitration in that stream</w:t>
      </w:r>
      <w:r w:rsidR="00403630" w:rsidRPr="00167CB8">
        <w:rPr>
          <w:rFonts w:eastAsia="Times New Roman" w:cs="Times New Roman"/>
        </w:rPr>
        <w:t>’</w:t>
      </w:r>
      <w:r w:rsidRPr="00167CB8">
        <w:rPr>
          <w:rFonts w:eastAsia="Times New Roman" w:cs="Times New Roman"/>
        </w:rPr>
        <w:t xml:space="preserve"> and that </w:t>
      </w:r>
      <w:r w:rsidR="00403630" w:rsidRPr="00167CB8">
        <w:rPr>
          <w:rFonts w:eastAsia="Times New Roman" w:cs="Times New Roman"/>
        </w:rPr>
        <w:t>‘</w:t>
      </w:r>
      <w:r w:rsidRPr="00167CB8">
        <w:rPr>
          <w:rFonts w:eastAsia="Times New Roman" w:cs="Times New Roman"/>
        </w:rPr>
        <w:t>[c]onciliation and arbitration are by consent</w:t>
      </w:r>
      <w:r w:rsidR="00403630"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310"/>
      </w:r>
      <w:r w:rsidRPr="00167CB8">
        <w:rPr>
          <w:rFonts w:eastAsia="Times New Roman" w:cs="Times New Roman"/>
        </w:rPr>
        <w:t xml:space="preserve"> He also stated that </w:t>
      </w:r>
      <w:r w:rsidR="00403630" w:rsidRPr="00167CB8">
        <w:rPr>
          <w:rFonts w:eastAsia="Times New Roman" w:cs="Times New Roman"/>
        </w:rPr>
        <w:t>‘</w:t>
      </w:r>
      <w:r w:rsidRPr="00167CB8">
        <w:rPr>
          <w:rFonts w:eastAsia="Times New Roman" w:cs="Times New Roman"/>
        </w:rPr>
        <w:t>[b]argaining assistance form the Commission can be accessed on the request of the parties</w:t>
      </w:r>
      <w:r w:rsidR="00403630"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311"/>
      </w:r>
    </w:p>
    <w:p w14:paraId="0465804F" w14:textId="1A57485B" w:rsidR="00173F8E" w:rsidRPr="00167CB8" w:rsidRDefault="003B14A5" w:rsidP="00173F8E">
      <w:pPr>
        <w:pStyle w:val="Heading4"/>
        <w:rPr>
          <w:rFonts w:asciiTheme="minorHAnsi" w:hAnsiTheme="minorHAnsi"/>
        </w:rPr>
      </w:pPr>
      <w:bookmarkStart w:id="171" w:name="_Toc189260228"/>
      <w:bookmarkStart w:id="172" w:name="_Toc189393544"/>
      <w:r w:rsidRPr="00167CB8">
        <w:rPr>
          <w:rFonts w:asciiTheme="minorHAnsi" w:hAnsiTheme="minorHAnsi"/>
        </w:rPr>
        <w:t>10</w:t>
      </w:r>
      <w:r w:rsidR="00173F8E" w:rsidRPr="00167CB8">
        <w:rPr>
          <w:rFonts w:asciiTheme="minorHAnsi" w:hAnsiTheme="minorHAnsi"/>
        </w:rPr>
        <w:t xml:space="preserve">.2 Impact </w:t>
      </w:r>
      <w:r w:rsidR="00403630" w:rsidRPr="00167CB8">
        <w:rPr>
          <w:rFonts w:asciiTheme="minorHAnsi" w:hAnsiTheme="minorHAnsi"/>
        </w:rPr>
        <w:t>and</w:t>
      </w:r>
      <w:r w:rsidR="00173F8E" w:rsidRPr="00167CB8">
        <w:rPr>
          <w:rFonts w:asciiTheme="minorHAnsi" w:hAnsiTheme="minorHAnsi"/>
        </w:rPr>
        <w:t xml:space="preserve"> </w:t>
      </w:r>
      <w:r w:rsidR="00403630" w:rsidRPr="00167CB8">
        <w:rPr>
          <w:rFonts w:asciiTheme="minorHAnsi" w:hAnsiTheme="minorHAnsi"/>
        </w:rPr>
        <w:t>i</w:t>
      </w:r>
      <w:r w:rsidR="00173F8E" w:rsidRPr="00167CB8">
        <w:rPr>
          <w:rFonts w:asciiTheme="minorHAnsi" w:hAnsiTheme="minorHAnsi"/>
        </w:rPr>
        <w:t>ssues</w:t>
      </w:r>
      <w:bookmarkEnd w:id="171"/>
      <w:bookmarkEnd w:id="172"/>
    </w:p>
    <w:p w14:paraId="44F81736" w14:textId="47CE791D" w:rsidR="00173F8E" w:rsidRPr="00167CB8" w:rsidRDefault="00173F8E" w:rsidP="00403630">
      <w:pPr>
        <w:spacing w:after="200"/>
        <w:rPr>
          <w:rFonts w:eastAsia="Times New Roman" w:cs="Times New Roman"/>
        </w:rPr>
      </w:pPr>
      <w:r w:rsidRPr="00167CB8">
        <w:rPr>
          <w:rFonts w:eastAsia="Times New Roman" w:cs="Times New Roman"/>
        </w:rPr>
        <w:t xml:space="preserve">This section will consider the effect of the amendments since commencement. In addition to analysis of bargaining trends and outcomes in Chapter </w:t>
      </w:r>
      <w:r w:rsidR="005162D5" w:rsidRPr="00167CB8">
        <w:rPr>
          <w:rFonts w:eastAsia="Times New Roman" w:cs="Times New Roman"/>
        </w:rPr>
        <w:t xml:space="preserve">8 </w:t>
      </w:r>
      <w:r w:rsidRPr="00167CB8">
        <w:rPr>
          <w:rFonts w:eastAsia="Times New Roman" w:cs="Times New Roman"/>
        </w:rPr>
        <w:t>of this report, the effectiveness or otherwise of these amendments can be assessed through a consideration of the use and coverage of cooperative workplace agreements, decisions of courts and tribunals and the views of stakeholders.</w:t>
      </w:r>
    </w:p>
    <w:p w14:paraId="7C9F5B83" w14:textId="217F7CBD" w:rsidR="00173F8E" w:rsidRPr="00167CB8" w:rsidRDefault="003B14A5" w:rsidP="00173F8E">
      <w:pPr>
        <w:pStyle w:val="Heading5"/>
        <w:rPr>
          <w:rFonts w:asciiTheme="minorHAnsi" w:hAnsiTheme="minorHAnsi"/>
        </w:rPr>
      </w:pPr>
      <w:r w:rsidRPr="00167CB8">
        <w:rPr>
          <w:rFonts w:asciiTheme="minorHAnsi" w:hAnsiTheme="minorHAnsi"/>
        </w:rPr>
        <w:t>10</w:t>
      </w:r>
      <w:r w:rsidR="00173F8E" w:rsidRPr="00167CB8">
        <w:rPr>
          <w:rFonts w:asciiTheme="minorHAnsi" w:hAnsiTheme="minorHAnsi"/>
        </w:rPr>
        <w:t xml:space="preserve">.2.1 Quantitative </w:t>
      </w:r>
      <w:r w:rsidR="00403630" w:rsidRPr="00167CB8">
        <w:rPr>
          <w:rFonts w:asciiTheme="minorHAnsi" w:hAnsiTheme="minorHAnsi"/>
        </w:rPr>
        <w:t>e</w:t>
      </w:r>
      <w:r w:rsidR="00173F8E" w:rsidRPr="00167CB8">
        <w:rPr>
          <w:rFonts w:asciiTheme="minorHAnsi" w:hAnsiTheme="minorHAnsi"/>
        </w:rPr>
        <w:t>vidence</w:t>
      </w:r>
    </w:p>
    <w:p w14:paraId="0886BC2F" w14:textId="32E1228C" w:rsidR="00173F8E" w:rsidRPr="00167CB8" w:rsidRDefault="00173F8E" w:rsidP="00403630">
      <w:pPr>
        <w:spacing w:after="200"/>
        <w:rPr>
          <w:rFonts w:eastAsia="Times New Roman" w:cs="Times New Roman"/>
        </w:rPr>
      </w:pPr>
      <w:r w:rsidRPr="00167CB8">
        <w:rPr>
          <w:rFonts w:eastAsia="Times New Roman" w:cs="Times New Roman"/>
        </w:rPr>
        <w:t xml:space="preserve">Between 6 June 2023 </w:t>
      </w:r>
      <w:r w:rsidR="00403630" w:rsidRPr="00167CB8">
        <w:rPr>
          <w:rFonts w:eastAsia="Times New Roman" w:cs="Times New Roman"/>
        </w:rPr>
        <w:t xml:space="preserve">and </w:t>
      </w:r>
      <w:r w:rsidRPr="00167CB8">
        <w:rPr>
          <w:rFonts w:eastAsia="Times New Roman" w:cs="Times New Roman"/>
        </w:rPr>
        <w:t>30 September 2024, the FWC approved 28 multi-employer agreements.</w:t>
      </w:r>
      <w:r w:rsidRPr="00167CB8">
        <w:rPr>
          <w:rFonts w:eastAsia="Times New Roman" w:cs="Times New Roman"/>
          <w:vertAlign w:val="superscript"/>
        </w:rPr>
        <w:footnoteReference w:id="312"/>
      </w:r>
      <w:r w:rsidRPr="00167CB8">
        <w:rPr>
          <w:rFonts w:eastAsia="Times New Roman" w:cs="Times New Roman"/>
        </w:rPr>
        <w:t xml:space="preserve"> These multi-employer agreements covered approximately 84,771 employees.</w:t>
      </w:r>
      <w:r w:rsidRPr="00167CB8">
        <w:rPr>
          <w:rFonts w:eastAsia="Times New Roman" w:cs="Times New Roman"/>
          <w:vertAlign w:val="superscript"/>
        </w:rPr>
        <w:footnoteReference w:id="313"/>
      </w:r>
      <w:r w:rsidRPr="00167CB8">
        <w:rPr>
          <w:rFonts w:eastAsia="Times New Roman" w:cs="Times New Roman"/>
        </w:rPr>
        <w:t xml:space="preserve"> It was noted, however, that some of these multi-employer agreements would have been made prior to 6 June 2023 and therefore were approved under the previous multi-employer provisions in the Fair Work Act. </w:t>
      </w:r>
    </w:p>
    <w:p w14:paraId="33EE19D6" w14:textId="01F71E12" w:rsidR="00173F8E" w:rsidRPr="00167CB8" w:rsidRDefault="00173F8E" w:rsidP="00403630">
      <w:pPr>
        <w:spacing w:after="200"/>
        <w:rPr>
          <w:rFonts w:eastAsia="Times New Roman" w:cs="Times New Roman"/>
        </w:rPr>
      </w:pPr>
      <w:r w:rsidRPr="00167CB8">
        <w:rPr>
          <w:rFonts w:eastAsia="Times New Roman" w:cs="Times New Roman"/>
        </w:rPr>
        <w:t>The Review Panel notes that there is limited data available in relation to the ‘type’ of multi-employer agreement (i.e. cooperative workplace agreement, supported bargaining agreement and single</w:t>
      </w:r>
      <w:r w:rsidR="00A14864" w:rsidRPr="00167CB8">
        <w:rPr>
          <w:rFonts w:eastAsia="Times New Roman" w:cs="Times New Roman"/>
        </w:rPr>
        <w:t>-</w:t>
      </w:r>
      <w:r w:rsidRPr="00167CB8">
        <w:rPr>
          <w:rFonts w:eastAsia="Times New Roman" w:cs="Times New Roman"/>
        </w:rPr>
        <w:t>interest employer agreement) and makes a recommendation further below that this information is captured and reported on.</w:t>
      </w:r>
    </w:p>
    <w:p w14:paraId="5061FA83" w14:textId="0049376A" w:rsidR="00173F8E" w:rsidRPr="00167CB8" w:rsidRDefault="003B14A5" w:rsidP="00173F8E">
      <w:pPr>
        <w:pStyle w:val="Heading5"/>
        <w:rPr>
          <w:rFonts w:asciiTheme="minorHAnsi" w:hAnsiTheme="minorHAnsi"/>
        </w:rPr>
      </w:pPr>
      <w:r w:rsidRPr="00167CB8">
        <w:rPr>
          <w:rFonts w:asciiTheme="minorHAnsi" w:hAnsiTheme="minorHAnsi"/>
        </w:rPr>
        <w:t>10</w:t>
      </w:r>
      <w:r w:rsidR="00173F8E" w:rsidRPr="00167CB8">
        <w:rPr>
          <w:rFonts w:asciiTheme="minorHAnsi" w:hAnsiTheme="minorHAnsi"/>
        </w:rPr>
        <w:t xml:space="preserve">.2.2 Qualitative </w:t>
      </w:r>
      <w:r w:rsidR="00403630" w:rsidRPr="00167CB8">
        <w:rPr>
          <w:rFonts w:asciiTheme="minorHAnsi" w:hAnsiTheme="minorHAnsi"/>
        </w:rPr>
        <w:t>e</w:t>
      </w:r>
      <w:r w:rsidR="00173F8E" w:rsidRPr="00167CB8">
        <w:rPr>
          <w:rFonts w:asciiTheme="minorHAnsi" w:hAnsiTheme="minorHAnsi"/>
        </w:rPr>
        <w:t>vidence</w:t>
      </w:r>
    </w:p>
    <w:p w14:paraId="59D45046" w14:textId="13DF8AB2" w:rsidR="00173F8E" w:rsidRPr="00167CB8" w:rsidRDefault="00173F8E" w:rsidP="00403630">
      <w:pPr>
        <w:spacing w:after="200"/>
        <w:rPr>
          <w:rFonts w:eastAsia="Times New Roman" w:cs="Times New Roman"/>
        </w:rPr>
      </w:pPr>
      <w:r w:rsidRPr="00167CB8">
        <w:rPr>
          <w:rFonts w:eastAsia="Times New Roman" w:cs="Times New Roman"/>
        </w:rPr>
        <w:t>As at 17 January 2025, the Review Panel is aware of only 3 applications to approve a variation of a cooperative workplace agreement (made under s</w:t>
      </w:r>
      <w:r w:rsidR="00403630" w:rsidRPr="00167CB8">
        <w:rPr>
          <w:rFonts w:eastAsia="Times New Roman" w:cs="Times New Roman"/>
        </w:rPr>
        <w:t> </w:t>
      </w:r>
      <w:r w:rsidRPr="00167CB8">
        <w:rPr>
          <w:rFonts w:eastAsia="Times New Roman" w:cs="Times New Roman"/>
        </w:rPr>
        <w:t>216CA of the Fair Work Act).</w:t>
      </w:r>
      <w:r w:rsidRPr="00167CB8">
        <w:rPr>
          <w:rFonts w:eastAsia="Times New Roman" w:cs="Times New Roman"/>
          <w:vertAlign w:val="superscript"/>
        </w:rPr>
        <w:footnoteReference w:id="314"/>
      </w:r>
      <w:r w:rsidRPr="00167CB8">
        <w:rPr>
          <w:rFonts w:eastAsia="Times New Roman" w:cs="Times New Roman"/>
        </w:rPr>
        <w:t xml:space="preserve"> Each of the variations was approved by the FWC.</w:t>
      </w:r>
    </w:p>
    <w:p w14:paraId="411881B8" w14:textId="50AA0482" w:rsidR="00173F8E" w:rsidRPr="00167CB8" w:rsidRDefault="00173F8E" w:rsidP="00403630">
      <w:pPr>
        <w:spacing w:after="200"/>
        <w:rPr>
          <w:rFonts w:eastAsia="Times New Roman" w:cs="Times New Roman"/>
        </w:rPr>
      </w:pPr>
      <w:r w:rsidRPr="00167CB8">
        <w:rPr>
          <w:rFonts w:eastAsia="Times New Roman" w:cs="Times New Roman"/>
        </w:rPr>
        <w:lastRenderedPageBreak/>
        <w:t xml:space="preserve">The first </w:t>
      </w:r>
      <w:r w:rsidR="00403630" w:rsidRPr="00167CB8">
        <w:rPr>
          <w:rFonts w:eastAsia="Times New Roman" w:cs="Times New Roman"/>
        </w:rPr>
        <w:t xml:space="preserve">2 </w:t>
      </w:r>
      <w:r w:rsidRPr="00167CB8">
        <w:rPr>
          <w:rFonts w:eastAsia="Times New Roman" w:cs="Times New Roman"/>
        </w:rPr>
        <w:t xml:space="preserve">cases are </w:t>
      </w:r>
      <w:r w:rsidR="00823EC8" w:rsidRPr="00167CB8">
        <w:rPr>
          <w:rFonts w:eastAsia="Times New Roman" w:cs="Times New Roman"/>
          <w:i/>
          <w:iCs/>
        </w:rPr>
        <w:t>A</w:t>
      </w:r>
      <w:r w:rsidRPr="00167CB8">
        <w:rPr>
          <w:rFonts w:eastAsia="Times New Roman" w:cs="Times New Roman"/>
          <w:i/>
          <w:iCs/>
        </w:rPr>
        <w:t>pplication by Inner West Community Enterprises Limited T/A Seddon Community Bank (Seddon Community Bank)</w:t>
      </w:r>
      <w:r w:rsidR="009B478B" w:rsidRPr="00167CB8">
        <w:rPr>
          <w:rStyle w:val="FootnoteReference"/>
          <w:rFonts w:eastAsia="Times New Roman" w:cs="Times New Roman"/>
        </w:rPr>
        <w:footnoteReference w:id="315"/>
      </w:r>
      <w:r w:rsidRPr="00167CB8">
        <w:rPr>
          <w:rFonts w:eastAsia="Times New Roman" w:cs="Times New Roman"/>
        </w:rPr>
        <w:t xml:space="preserve"> and </w:t>
      </w:r>
      <w:r w:rsidR="00823EC8" w:rsidRPr="00167CB8">
        <w:rPr>
          <w:rFonts w:eastAsia="Times New Roman" w:cs="Times New Roman"/>
          <w:i/>
          <w:iCs/>
        </w:rPr>
        <w:t>A</w:t>
      </w:r>
      <w:r w:rsidRPr="00167CB8">
        <w:rPr>
          <w:rFonts w:eastAsia="Times New Roman" w:cs="Times New Roman"/>
          <w:i/>
          <w:iCs/>
        </w:rPr>
        <w:t>pplication by Break O'Day Community Financial Services Ltd &amp; Cardwell &amp; District Community Enterprises Limited and Others</w:t>
      </w:r>
      <w:r w:rsidRPr="00167CB8">
        <w:rPr>
          <w:rFonts w:eastAsia="Times New Roman" w:cs="Times New Roman"/>
        </w:rPr>
        <w:fldChar w:fldCharType="begin"/>
      </w:r>
      <w:r w:rsidRPr="00167CB8">
        <w:rPr>
          <w:rFonts w:eastAsia="Times New Roman" w:cs="Times New Roman"/>
        </w:rPr>
        <w:fldChar w:fldCharType="separate"/>
      </w:r>
      <w:r w:rsidRPr="00167CB8">
        <w:rPr>
          <w:rFonts w:eastAsia="Times New Roman" w:cs="Times New Roman"/>
        </w:rPr>
        <w:t>[2024] FWCA 3687</w:t>
      </w:r>
      <w:r w:rsidRPr="00167CB8">
        <w:rPr>
          <w:rFonts w:eastAsia="Times New Roman" w:cs="Times New Roman"/>
        </w:rPr>
        <w:fldChar w:fldCharType="end"/>
      </w:r>
      <w:r w:rsidRPr="00167CB8">
        <w:rPr>
          <w:rFonts w:eastAsia="Times New Roman" w:cs="Times New Roman"/>
        </w:rPr>
        <w:t>.</w:t>
      </w:r>
      <w:r w:rsidR="009B478B" w:rsidRPr="00167CB8">
        <w:rPr>
          <w:rStyle w:val="FootnoteReference"/>
          <w:rFonts w:eastAsia="Times New Roman" w:cs="Times New Roman"/>
        </w:rPr>
        <w:footnoteReference w:id="316"/>
      </w:r>
      <w:r w:rsidRPr="00167CB8">
        <w:rPr>
          <w:rFonts w:eastAsia="Times New Roman" w:cs="Times New Roman"/>
        </w:rPr>
        <w:t xml:space="preserve"> These cases relate to the FWC’s approval of the variation, under ss</w:t>
      </w:r>
      <w:r w:rsidR="00403630" w:rsidRPr="00167CB8">
        <w:rPr>
          <w:rFonts w:eastAsia="Times New Roman" w:cs="Times New Roman"/>
        </w:rPr>
        <w:t> </w:t>
      </w:r>
      <w:r w:rsidRPr="00167CB8">
        <w:rPr>
          <w:rFonts w:eastAsia="Times New Roman" w:cs="Times New Roman"/>
        </w:rPr>
        <w:t>216C and 216CA of the Fair Work Act, of the Bendigo Community Bank Cooperative Workplace Agreement 2023</w:t>
      </w:r>
      <w:r w:rsidR="00403630" w:rsidRPr="00167CB8">
        <w:rPr>
          <w:rFonts w:ascii="Symbol" w:eastAsia="Symbol" w:hAnsi="Symbol" w:cs="Symbol"/>
        </w:rPr>
        <w:sym w:font="Symbol" w:char="F02D"/>
      </w:r>
      <w:r w:rsidRPr="00167CB8">
        <w:rPr>
          <w:rFonts w:eastAsia="Times New Roman" w:cs="Times New Roman"/>
        </w:rPr>
        <w:t>2026 (Bendigo Community Ba</w:t>
      </w:r>
      <w:r w:rsidR="00403630" w:rsidRPr="00167CB8">
        <w:rPr>
          <w:rFonts w:eastAsia="Times New Roman" w:cs="Times New Roman"/>
        </w:rPr>
        <w:t>n</w:t>
      </w:r>
      <w:r w:rsidRPr="00167CB8">
        <w:rPr>
          <w:rFonts w:eastAsia="Times New Roman" w:cs="Times New Roman"/>
        </w:rPr>
        <w:t>k Agreement) to add Inner West Community Enterprises Limited and 16 other employers and their relevant employees to the agreement.</w:t>
      </w:r>
      <w:r w:rsidRPr="00167CB8">
        <w:rPr>
          <w:rFonts w:eastAsia="Times New Roman" w:cs="Times New Roman"/>
          <w:vertAlign w:val="superscript"/>
        </w:rPr>
        <w:footnoteReference w:id="317"/>
      </w:r>
      <w:r w:rsidRPr="00167CB8">
        <w:rPr>
          <w:rFonts w:eastAsia="Times New Roman" w:cs="Times New Roman"/>
        </w:rPr>
        <w:t xml:space="preserve"> The FWC was satisfied that the relevant employers took all reasonable steps to explain the varied terms of the agreement to the affected employees as required under s</w:t>
      </w:r>
      <w:r w:rsidR="00403630" w:rsidRPr="00167CB8">
        <w:rPr>
          <w:rFonts w:eastAsia="Times New Roman" w:cs="Times New Roman"/>
        </w:rPr>
        <w:t> </w:t>
      </w:r>
      <w:r w:rsidRPr="00167CB8">
        <w:rPr>
          <w:rFonts w:eastAsia="Times New Roman" w:cs="Times New Roman"/>
        </w:rPr>
        <w:t xml:space="preserve">216CAA of the Fair Work Act. The FWC found that the matters in </w:t>
      </w:r>
      <w:r w:rsidR="00403630" w:rsidRPr="00167CB8">
        <w:rPr>
          <w:rFonts w:eastAsia="Times New Roman" w:cs="Times New Roman"/>
        </w:rPr>
        <w:t>s </w:t>
      </w:r>
      <w:r w:rsidRPr="00167CB8">
        <w:rPr>
          <w:rFonts w:eastAsia="Times New Roman" w:cs="Times New Roman"/>
        </w:rPr>
        <w:t>216CB of the Fair Work Act were all satisfied</w:t>
      </w:r>
      <w:r w:rsidR="00403630" w:rsidRPr="00167CB8">
        <w:rPr>
          <w:rFonts w:eastAsia="Times New Roman" w:cs="Times New Roman"/>
        </w:rPr>
        <w:t>,</w:t>
      </w:r>
      <w:r w:rsidRPr="00167CB8">
        <w:rPr>
          <w:rFonts w:eastAsia="Times New Roman" w:cs="Times New Roman"/>
        </w:rPr>
        <w:t xml:space="preserve"> as each employer had an opportunity to express their views on the variation,</w:t>
      </w:r>
      <w:r w:rsidRPr="00167CB8">
        <w:rPr>
          <w:rFonts w:eastAsia="Times New Roman" w:cs="Times New Roman"/>
          <w:vertAlign w:val="superscript"/>
        </w:rPr>
        <w:footnoteReference w:id="318"/>
      </w:r>
      <w:r w:rsidRPr="00167CB8">
        <w:rPr>
          <w:rFonts w:eastAsia="Times New Roman" w:cs="Times New Roman"/>
        </w:rPr>
        <w:t xml:space="preserve"> the majority of relevant affected employees voted to vary the Bendigo Community Bank Agreement,</w:t>
      </w:r>
      <w:r w:rsidRPr="00167CB8">
        <w:rPr>
          <w:rFonts w:eastAsia="Times New Roman" w:cs="Times New Roman"/>
          <w:vertAlign w:val="superscript"/>
        </w:rPr>
        <w:footnoteReference w:id="319"/>
      </w:r>
      <w:r w:rsidRPr="00167CB8">
        <w:rPr>
          <w:rFonts w:eastAsia="Times New Roman" w:cs="Times New Roman"/>
        </w:rPr>
        <w:t xml:space="preserve"> </w:t>
      </w:r>
      <w:r w:rsidR="00823EC8" w:rsidRPr="00167CB8">
        <w:rPr>
          <w:rFonts w:eastAsia="Times New Roman" w:cs="Times New Roman"/>
        </w:rPr>
        <w:t xml:space="preserve">and </w:t>
      </w:r>
      <w:r w:rsidRPr="00167CB8">
        <w:rPr>
          <w:rFonts w:eastAsia="Times New Roman" w:cs="Times New Roman"/>
        </w:rPr>
        <w:t>it was a genuine</w:t>
      </w:r>
      <w:r w:rsidR="00C005BC" w:rsidRPr="00167CB8">
        <w:rPr>
          <w:rFonts w:eastAsia="Times New Roman" w:cs="Times New Roman"/>
        </w:rPr>
        <w:t>ly</w:t>
      </w:r>
      <w:r w:rsidRPr="00167CB8">
        <w:rPr>
          <w:rFonts w:eastAsia="Times New Roman" w:cs="Times New Roman"/>
        </w:rPr>
        <w:t xml:space="preserve"> agree</w:t>
      </w:r>
      <w:r w:rsidR="00C005BC" w:rsidRPr="00167CB8">
        <w:rPr>
          <w:rFonts w:eastAsia="Times New Roman" w:cs="Times New Roman"/>
        </w:rPr>
        <w:t>d</w:t>
      </w:r>
      <w:r w:rsidRPr="00167CB8">
        <w:rPr>
          <w:rFonts w:eastAsia="Times New Roman" w:cs="Times New Roman"/>
        </w:rPr>
        <w:t xml:space="preserve"> and in the public interest to approve the variation.</w:t>
      </w:r>
      <w:r w:rsidRPr="00167CB8">
        <w:rPr>
          <w:rFonts w:eastAsia="Times New Roman" w:cs="Times New Roman"/>
          <w:vertAlign w:val="superscript"/>
        </w:rPr>
        <w:footnoteReference w:id="320"/>
      </w:r>
      <w:r w:rsidRPr="00167CB8">
        <w:rPr>
          <w:rFonts w:eastAsia="Times New Roman" w:cs="Times New Roman"/>
        </w:rPr>
        <w:t xml:space="preserve"> </w:t>
      </w:r>
    </w:p>
    <w:p w14:paraId="64354616" w14:textId="360CE1EE" w:rsidR="00173F8E" w:rsidRPr="00167CB8" w:rsidRDefault="00173F8E" w:rsidP="00403630">
      <w:pPr>
        <w:spacing w:after="200"/>
        <w:rPr>
          <w:rFonts w:eastAsia="Times New Roman" w:cs="Times New Roman"/>
        </w:rPr>
      </w:pPr>
      <w:r w:rsidRPr="00167CB8">
        <w:rPr>
          <w:rFonts w:eastAsia="Times New Roman" w:cs="Times New Roman"/>
        </w:rPr>
        <w:t xml:space="preserve">Another case that the FWC approved to vary an enterprise agreement was in </w:t>
      </w:r>
      <w:r w:rsidRPr="00167CB8">
        <w:rPr>
          <w:rFonts w:eastAsia="Times New Roman" w:cs="Times New Roman"/>
          <w:i/>
          <w:iCs/>
        </w:rPr>
        <w:t>Application by Our Lady Of Sion College Ltd T/A Our Lady Of Sion College</w:t>
      </w:r>
      <w:r w:rsidRPr="00167CB8">
        <w:rPr>
          <w:rFonts w:eastAsia="Times New Roman" w:cs="Times New Roman"/>
        </w:rPr>
        <w:t>.</w:t>
      </w:r>
      <w:r w:rsidR="009B478B" w:rsidRPr="00167CB8">
        <w:rPr>
          <w:rStyle w:val="FootnoteReference"/>
          <w:rFonts w:eastAsia="Times New Roman" w:cs="Times New Roman"/>
        </w:rPr>
        <w:footnoteReference w:id="321"/>
      </w:r>
      <w:r w:rsidRPr="00167CB8">
        <w:rPr>
          <w:rFonts w:eastAsia="Times New Roman" w:cs="Times New Roman"/>
        </w:rPr>
        <w:t xml:space="preserve"> On 9 May 2024 the FWC approved the variation of the Catholic Education Multi-Enterprise Agreement</w:t>
      </w:r>
      <w:r w:rsidR="009B478B" w:rsidRPr="00167CB8">
        <w:rPr>
          <w:rFonts w:eastAsia="Times New Roman" w:cs="Times New Roman"/>
        </w:rPr>
        <w:t xml:space="preserve"> </w:t>
      </w:r>
      <w:r w:rsidRPr="00167CB8">
        <w:rPr>
          <w:rFonts w:eastAsia="Times New Roman" w:cs="Times New Roman"/>
        </w:rPr>
        <w:t>2022: Diocese</w:t>
      </w:r>
      <w:r w:rsidR="009B478B" w:rsidRPr="00167CB8">
        <w:rPr>
          <w:rFonts w:eastAsia="Times New Roman" w:cs="Times New Roman"/>
        </w:rPr>
        <w:t xml:space="preserve"> </w:t>
      </w:r>
      <w:r w:rsidRPr="00167CB8">
        <w:rPr>
          <w:rFonts w:eastAsia="Times New Roman" w:cs="Times New Roman"/>
        </w:rPr>
        <w:t>of</w:t>
      </w:r>
      <w:r w:rsidR="009B478B" w:rsidRPr="00167CB8">
        <w:rPr>
          <w:rFonts w:eastAsia="Times New Roman" w:cs="Times New Roman"/>
        </w:rPr>
        <w:t xml:space="preserve"> </w:t>
      </w:r>
      <w:r w:rsidRPr="00167CB8">
        <w:rPr>
          <w:rFonts w:eastAsia="Times New Roman" w:cs="Times New Roman"/>
        </w:rPr>
        <w:t>Ballarat,</w:t>
      </w:r>
      <w:r w:rsidR="009B478B" w:rsidRPr="00167CB8">
        <w:rPr>
          <w:rFonts w:eastAsia="Times New Roman" w:cs="Times New Roman"/>
        </w:rPr>
        <w:t xml:space="preserve"> </w:t>
      </w:r>
      <w:r w:rsidRPr="00167CB8">
        <w:rPr>
          <w:rFonts w:eastAsia="Times New Roman" w:cs="Times New Roman"/>
        </w:rPr>
        <w:t>Diocese</w:t>
      </w:r>
      <w:r w:rsidR="009B478B" w:rsidRPr="00167CB8">
        <w:rPr>
          <w:rFonts w:eastAsia="Times New Roman" w:cs="Times New Roman"/>
        </w:rPr>
        <w:t xml:space="preserve"> </w:t>
      </w:r>
      <w:r w:rsidRPr="00167CB8">
        <w:rPr>
          <w:rFonts w:eastAsia="Times New Roman" w:cs="Times New Roman"/>
        </w:rPr>
        <w:t>of</w:t>
      </w:r>
      <w:r w:rsidR="009B478B" w:rsidRPr="00167CB8">
        <w:rPr>
          <w:rFonts w:eastAsia="Times New Roman" w:cs="Times New Roman"/>
        </w:rPr>
        <w:t xml:space="preserve"> </w:t>
      </w:r>
      <w:r w:rsidRPr="00167CB8">
        <w:rPr>
          <w:rFonts w:eastAsia="Times New Roman" w:cs="Times New Roman"/>
        </w:rPr>
        <w:t>Sandhurst,</w:t>
      </w:r>
      <w:r w:rsidR="009B478B" w:rsidRPr="00167CB8">
        <w:rPr>
          <w:rFonts w:eastAsia="Times New Roman" w:cs="Times New Roman"/>
        </w:rPr>
        <w:t xml:space="preserve"> </w:t>
      </w:r>
      <w:r w:rsidRPr="00167CB8">
        <w:rPr>
          <w:rFonts w:eastAsia="Times New Roman" w:cs="Times New Roman"/>
        </w:rPr>
        <w:t>Archdiocese</w:t>
      </w:r>
      <w:r w:rsidR="009B478B" w:rsidRPr="00167CB8">
        <w:rPr>
          <w:rFonts w:eastAsia="Times New Roman" w:cs="Times New Roman"/>
        </w:rPr>
        <w:t xml:space="preserve"> </w:t>
      </w:r>
      <w:r w:rsidRPr="00167CB8">
        <w:rPr>
          <w:rFonts w:eastAsia="Times New Roman" w:cs="Times New Roman"/>
        </w:rPr>
        <w:t>of Melbourne and Lavalla Catholic College, Traralgon (Catholic Education Multi-Employer Agreement 2022) to add Our Lady of Sion College and its relevant employees to the multi-employer agreement. The FWC found that the requirements under ss</w:t>
      </w:r>
      <w:r w:rsidR="00823EC8" w:rsidRPr="00167CB8">
        <w:rPr>
          <w:rFonts w:eastAsia="Times New Roman" w:cs="Times New Roman"/>
        </w:rPr>
        <w:t> </w:t>
      </w:r>
      <w:r w:rsidRPr="00167CB8">
        <w:rPr>
          <w:rFonts w:eastAsia="Times New Roman" w:cs="Times New Roman"/>
        </w:rPr>
        <w:t>216C, 216CA, 216CAA and 2166AB of the Fair Work Act were met. The relevant parties to this agreement provided the FWC information confirming that there was no supported bargaining authorisation or single</w:t>
      </w:r>
      <w:r w:rsidR="00A14864" w:rsidRPr="00167CB8">
        <w:rPr>
          <w:rFonts w:eastAsia="Times New Roman" w:cs="Times New Roman"/>
        </w:rPr>
        <w:t>-</w:t>
      </w:r>
      <w:r w:rsidRPr="00167CB8">
        <w:rPr>
          <w:rFonts w:eastAsia="Times New Roman" w:cs="Times New Roman"/>
        </w:rPr>
        <w:t>interest employer authorisation in place</w:t>
      </w:r>
      <w:r w:rsidRPr="00167CB8">
        <w:rPr>
          <w:rFonts w:eastAsia="Times New Roman" w:cs="Times New Roman"/>
          <w:vertAlign w:val="superscript"/>
        </w:rPr>
        <w:footnoteReference w:id="322"/>
      </w:r>
      <w:r w:rsidRPr="00167CB8">
        <w:rPr>
          <w:rFonts w:eastAsia="Times New Roman" w:cs="Times New Roman"/>
          <w:vertAlign w:val="superscript"/>
        </w:rPr>
        <w:t> </w:t>
      </w:r>
      <w:r w:rsidRPr="00167CB8">
        <w:rPr>
          <w:rFonts w:eastAsia="Times New Roman" w:cs="Times New Roman"/>
        </w:rPr>
        <w:t xml:space="preserve">and </w:t>
      </w:r>
      <w:r w:rsidR="00823EC8" w:rsidRPr="00167CB8">
        <w:rPr>
          <w:rFonts w:eastAsia="Times New Roman" w:cs="Times New Roman"/>
        </w:rPr>
        <w:t xml:space="preserve">they </w:t>
      </w:r>
      <w:r w:rsidRPr="00167CB8">
        <w:rPr>
          <w:rFonts w:eastAsia="Times New Roman" w:cs="Times New Roman"/>
        </w:rPr>
        <w:t>had the opportunity to express their views.</w:t>
      </w:r>
      <w:r w:rsidRPr="00167CB8">
        <w:rPr>
          <w:rFonts w:eastAsia="Times New Roman" w:cs="Times New Roman"/>
          <w:vertAlign w:val="superscript"/>
        </w:rPr>
        <w:footnoteReference w:id="323"/>
      </w:r>
    </w:p>
    <w:p w14:paraId="6ACE9674" w14:textId="1FD62BA6" w:rsidR="00173F8E" w:rsidRPr="00167CB8" w:rsidRDefault="003B14A5" w:rsidP="00173F8E">
      <w:pPr>
        <w:pStyle w:val="Heading5"/>
        <w:rPr>
          <w:rFonts w:asciiTheme="minorHAnsi" w:hAnsiTheme="minorHAnsi"/>
        </w:rPr>
      </w:pPr>
      <w:r w:rsidRPr="00167CB8">
        <w:rPr>
          <w:rFonts w:asciiTheme="minorHAnsi" w:hAnsiTheme="minorHAnsi"/>
        </w:rPr>
        <w:t>10</w:t>
      </w:r>
      <w:r w:rsidR="00173F8E" w:rsidRPr="00167CB8">
        <w:rPr>
          <w:rFonts w:asciiTheme="minorHAnsi" w:hAnsiTheme="minorHAnsi"/>
        </w:rPr>
        <w:t>.2.3 Stakeholder views</w:t>
      </w:r>
    </w:p>
    <w:p w14:paraId="126EBF87" w14:textId="77777777" w:rsidR="00173F8E" w:rsidRPr="00167CB8" w:rsidRDefault="00173F8E" w:rsidP="00403630">
      <w:pPr>
        <w:spacing w:after="200"/>
        <w:rPr>
          <w:rFonts w:eastAsia="Times New Roman" w:cs="Times New Roman"/>
        </w:rPr>
      </w:pPr>
      <w:r w:rsidRPr="00167CB8">
        <w:rPr>
          <w:rFonts w:eastAsia="Times New Roman" w:cs="Times New Roman"/>
        </w:rPr>
        <w:t>Stakeholders had limited views in relation to cooperative workplace agreements reflecting its less contentious status. To the extent that stakeholders expressed opinions on their operation, as opposed to noting what the amendments did, they are discussed below.</w:t>
      </w:r>
    </w:p>
    <w:p w14:paraId="3DB65A5C" w14:textId="27443C0F" w:rsidR="00173F8E" w:rsidRPr="00167CB8" w:rsidRDefault="00173F8E" w:rsidP="00403630">
      <w:pPr>
        <w:spacing w:after="200"/>
        <w:rPr>
          <w:rFonts w:eastAsia="Times New Roman" w:cs="Times New Roman"/>
        </w:rPr>
      </w:pPr>
      <w:r w:rsidRPr="00167CB8">
        <w:rPr>
          <w:rFonts w:eastAsia="Times New Roman" w:cs="Times New Roman"/>
        </w:rPr>
        <w:lastRenderedPageBreak/>
        <w:t xml:space="preserve">The </w:t>
      </w:r>
      <w:r w:rsidR="009B478B" w:rsidRPr="00167CB8">
        <w:rPr>
          <w:rFonts w:eastAsia="Times New Roman" w:cs="Times New Roman"/>
        </w:rPr>
        <w:t>United Workers Union (</w:t>
      </w:r>
      <w:r w:rsidRPr="00167CB8">
        <w:rPr>
          <w:rFonts w:eastAsia="Times New Roman" w:cs="Times New Roman"/>
        </w:rPr>
        <w:t>UWU</w:t>
      </w:r>
      <w:r w:rsidR="009B478B" w:rsidRPr="00167CB8">
        <w:rPr>
          <w:rFonts w:eastAsia="Times New Roman" w:cs="Times New Roman"/>
        </w:rPr>
        <w:t>)</w:t>
      </w:r>
      <w:r w:rsidRPr="00167CB8">
        <w:rPr>
          <w:rFonts w:eastAsia="Times New Roman" w:cs="Times New Roman"/>
        </w:rPr>
        <w:t xml:space="preserve"> was supportive of the cooperative workplace bargaining stream but proposed </w:t>
      </w:r>
      <w:r w:rsidR="009B478B" w:rsidRPr="00167CB8">
        <w:rPr>
          <w:rFonts w:eastAsia="Times New Roman" w:cs="Times New Roman"/>
        </w:rPr>
        <w:t xml:space="preserve">that </w:t>
      </w:r>
      <w:r w:rsidRPr="00167CB8">
        <w:rPr>
          <w:rFonts w:eastAsia="Times New Roman" w:cs="Times New Roman"/>
        </w:rPr>
        <w:t>amendments should be made to ensure workers are able to take protected industrial action in this stream. They submit that this is consistent with Australia’s international obligations.</w:t>
      </w:r>
      <w:r w:rsidRPr="00167CB8">
        <w:rPr>
          <w:rFonts w:eastAsia="Times New Roman" w:cs="Times New Roman"/>
          <w:vertAlign w:val="superscript"/>
        </w:rPr>
        <w:footnoteReference w:id="324"/>
      </w:r>
      <w:r w:rsidRPr="00167CB8">
        <w:rPr>
          <w:rFonts w:eastAsia="Times New Roman" w:cs="Times New Roman"/>
        </w:rPr>
        <w:t xml:space="preserve"> </w:t>
      </w:r>
    </w:p>
    <w:p w14:paraId="17B55DBB" w14:textId="5B287D93" w:rsidR="00173F8E" w:rsidRPr="00167CB8" w:rsidRDefault="00173F8E" w:rsidP="00403630">
      <w:pPr>
        <w:spacing w:after="200"/>
        <w:rPr>
          <w:rFonts w:eastAsia="Times New Roman" w:cs="Times New Roman"/>
        </w:rPr>
      </w:pPr>
      <w:r w:rsidRPr="00167CB8">
        <w:rPr>
          <w:rFonts w:eastAsia="Times New Roman" w:cs="Times New Roman"/>
        </w:rPr>
        <w:t xml:space="preserve">The </w:t>
      </w:r>
      <w:r w:rsidR="009B478B" w:rsidRPr="00167CB8">
        <w:rPr>
          <w:rFonts w:eastAsia="Times New Roman" w:cs="Times New Roman"/>
        </w:rPr>
        <w:t>Australian Council of Trade Unions (</w:t>
      </w:r>
      <w:r w:rsidRPr="00167CB8">
        <w:rPr>
          <w:rFonts w:eastAsia="Times New Roman" w:cs="Times New Roman"/>
        </w:rPr>
        <w:t>ACTU</w:t>
      </w:r>
      <w:r w:rsidR="009B478B" w:rsidRPr="00167CB8">
        <w:rPr>
          <w:rFonts w:eastAsia="Times New Roman" w:cs="Times New Roman"/>
        </w:rPr>
        <w:t>)</w:t>
      </w:r>
      <w:r w:rsidRPr="00167CB8">
        <w:rPr>
          <w:rFonts w:eastAsia="Times New Roman" w:cs="Times New Roman"/>
        </w:rPr>
        <w:t xml:space="preserve"> and UWU submit</w:t>
      </w:r>
      <w:r w:rsidR="009B478B" w:rsidRPr="00167CB8">
        <w:rPr>
          <w:rFonts w:eastAsia="Times New Roman" w:cs="Times New Roman"/>
        </w:rPr>
        <w:t>ted</w:t>
      </w:r>
      <w:r w:rsidRPr="00167CB8">
        <w:rPr>
          <w:rFonts w:eastAsia="Times New Roman" w:cs="Times New Roman"/>
        </w:rPr>
        <w:t xml:space="preserve"> that consideration should be given to permitting some level of FWC support to continuing cooperative bargaining processes, including through amendments to the Fair Work Act to permit a bargaining representative, without agreement of all bargaining representatives, to refer bargaining disputes to the FWC for assistance and making bargaining orders available.</w:t>
      </w:r>
      <w:r w:rsidRPr="00167CB8">
        <w:rPr>
          <w:rFonts w:eastAsia="Times New Roman" w:cs="Times New Roman"/>
          <w:vertAlign w:val="superscript"/>
        </w:rPr>
        <w:footnoteReference w:id="325"/>
      </w:r>
    </w:p>
    <w:p w14:paraId="23D98E66" w14:textId="7FC0C1B2" w:rsidR="00173F8E" w:rsidRPr="00167CB8" w:rsidRDefault="00173F8E" w:rsidP="00403630">
      <w:pPr>
        <w:spacing w:after="200"/>
        <w:rPr>
          <w:rFonts w:eastAsia="Times New Roman" w:cs="Times New Roman"/>
        </w:rPr>
      </w:pPr>
      <w:r w:rsidRPr="00167CB8">
        <w:rPr>
          <w:rFonts w:eastAsia="Times New Roman" w:cs="Times New Roman"/>
        </w:rPr>
        <w:t>The ACTU also submit</w:t>
      </w:r>
      <w:r w:rsidR="009B478B" w:rsidRPr="00167CB8">
        <w:rPr>
          <w:rFonts w:eastAsia="Times New Roman" w:cs="Times New Roman"/>
        </w:rPr>
        <w:t>ted</w:t>
      </w:r>
      <w:r w:rsidRPr="00167CB8">
        <w:rPr>
          <w:rFonts w:eastAsia="Times New Roman" w:cs="Times New Roman"/>
        </w:rPr>
        <w:t xml:space="preserve"> that the drafting </w:t>
      </w:r>
      <w:r w:rsidR="009B478B" w:rsidRPr="00167CB8">
        <w:rPr>
          <w:rFonts w:eastAsia="Times New Roman" w:cs="Times New Roman"/>
        </w:rPr>
        <w:t xml:space="preserve">of </w:t>
      </w:r>
      <w:r w:rsidRPr="00167CB8">
        <w:rPr>
          <w:rFonts w:eastAsia="Times New Roman" w:cs="Times New Roman"/>
        </w:rPr>
        <w:t>the variation process and requirements for multi-employer agreements is complex and should be rectified. It is proposed that the provisions be redrafted to clearly state the requirements to be met to successfully vary agreements.</w:t>
      </w:r>
      <w:r w:rsidRPr="00167CB8">
        <w:rPr>
          <w:rFonts w:eastAsia="Times New Roman" w:cs="Times New Roman"/>
          <w:vertAlign w:val="superscript"/>
        </w:rPr>
        <w:footnoteReference w:id="326"/>
      </w:r>
    </w:p>
    <w:p w14:paraId="6C38B31F" w14:textId="636DDB50" w:rsidR="00173F8E" w:rsidRPr="00167CB8" w:rsidRDefault="00173F8E" w:rsidP="00403630">
      <w:pPr>
        <w:spacing w:after="200"/>
        <w:rPr>
          <w:rFonts w:eastAsia="Times New Roman" w:cs="Times New Roman"/>
        </w:rPr>
      </w:pPr>
      <w:r w:rsidRPr="00167CB8">
        <w:rPr>
          <w:rFonts w:eastAsia="Times New Roman" w:cs="Times New Roman"/>
        </w:rPr>
        <w:t>Generally, employer groups noted there has been limited uptake of bargaining under the cooperative workplace stream. Ai Group noted</w:t>
      </w:r>
      <w:r w:rsidR="00823EC8" w:rsidRPr="00167CB8">
        <w:rPr>
          <w:rFonts w:eastAsia="Times New Roman" w:cs="Times New Roman"/>
        </w:rPr>
        <w:t>,</w:t>
      </w:r>
      <w:r w:rsidRPr="00167CB8">
        <w:rPr>
          <w:rFonts w:eastAsia="Times New Roman" w:cs="Times New Roman"/>
        </w:rPr>
        <w:t xml:space="preserve"> </w:t>
      </w:r>
      <w:r w:rsidR="00823EC8" w:rsidRPr="00167CB8">
        <w:rPr>
          <w:rFonts w:eastAsia="Times New Roman" w:cs="Times New Roman"/>
        </w:rPr>
        <w:t>‘</w:t>
      </w:r>
      <w:r w:rsidRPr="00167CB8">
        <w:rPr>
          <w:rFonts w:eastAsia="Times New Roman" w:cs="Times New Roman"/>
        </w:rPr>
        <w:t>[t]o date, there appears to have been little interest amongst employers, unions and employees in cooperative workplace agreements, outside of the banking and finance industry</w:t>
      </w:r>
      <w:r w:rsidR="00823EC8"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327"/>
      </w:r>
      <w:r w:rsidRPr="00167CB8">
        <w:rPr>
          <w:rFonts w:eastAsia="Times New Roman" w:cs="Times New Roman"/>
        </w:rPr>
        <w:t xml:space="preserve"> </w:t>
      </w:r>
      <w:r w:rsidR="009B478B" w:rsidRPr="00167CB8">
        <w:rPr>
          <w:rFonts w:eastAsia="Times New Roman" w:cs="Times New Roman"/>
        </w:rPr>
        <w:t>The Australian Retailers Association</w:t>
      </w:r>
      <w:r w:rsidRPr="00167CB8">
        <w:rPr>
          <w:rFonts w:eastAsia="Times New Roman" w:cs="Times New Roman"/>
        </w:rPr>
        <w:t xml:space="preserve"> noted the </w:t>
      </w:r>
      <w:r w:rsidR="00823EC8" w:rsidRPr="00167CB8">
        <w:rPr>
          <w:rFonts w:eastAsia="Times New Roman" w:cs="Times New Roman"/>
        </w:rPr>
        <w:t>‘</w:t>
      </w:r>
      <w:r w:rsidRPr="00167CB8">
        <w:rPr>
          <w:rFonts w:eastAsia="Times New Roman" w:cs="Times New Roman"/>
        </w:rPr>
        <w:t>demand does not exist</w:t>
      </w:r>
      <w:r w:rsidR="00823EC8" w:rsidRPr="00167CB8">
        <w:rPr>
          <w:rFonts w:eastAsia="Times New Roman" w:cs="Times New Roman"/>
        </w:rPr>
        <w:t>’</w:t>
      </w:r>
      <w:r w:rsidRPr="00167CB8">
        <w:rPr>
          <w:rFonts w:eastAsia="Times New Roman" w:cs="Times New Roman"/>
        </w:rPr>
        <w:t xml:space="preserve"> for the cooperative bargaining stream within the retail sector, </w:t>
      </w:r>
      <w:r w:rsidR="00823EC8" w:rsidRPr="00167CB8">
        <w:rPr>
          <w:rFonts w:eastAsia="Times New Roman" w:cs="Times New Roman"/>
        </w:rPr>
        <w:t>‘</w:t>
      </w:r>
      <w:r w:rsidRPr="00167CB8">
        <w:rPr>
          <w:rFonts w:eastAsia="Times New Roman" w:cs="Times New Roman"/>
        </w:rPr>
        <w:t>at least not as of yet</w:t>
      </w:r>
      <w:r w:rsidR="00823EC8" w:rsidRPr="00167CB8">
        <w:rPr>
          <w:rFonts w:eastAsia="Times New Roman" w:cs="Times New Roman"/>
        </w:rPr>
        <w:t>’</w:t>
      </w:r>
      <w:r w:rsidRPr="00167CB8">
        <w:rPr>
          <w:rFonts w:eastAsia="Times New Roman" w:cs="Times New Roman"/>
        </w:rPr>
        <w:t>.</w:t>
      </w:r>
      <w:r w:rsidRPr="00167CB8">
        <w:rPr>
          <w:rFonts w:eastAsia="Times New Roman" w:cs="Times New Roman"/>
          <w:vertAlign w:val="superscript"/>
        </w:rPr>
        <w:footnoteReference w:id="328"/>
      </w:r>
      <w:r w:rsidRPr="00167CB8">
        <w:rPr>
          <w:rFonts w:eastAsia="Times New Roman" w:cs="Times New Roman"/>
        </w:rPr>
        <w:t xml:space="preserve"> </w:t>
      </w:r>
    </w:p>
    <w:p w14:paraId="563CA4D2" w14:textId="77777777" w:rsidR="00173F8E" w:rsidRPr="00167CB8" w:rsidRDefault="00173F8E" w:rsidP="00403630">
      <w:pPr>
        <w:spacing w:after="200"/>
        <w:rPr>
          <w:rFonts w:eastAsia="Times New Roman" w:cs="Times New Roman"/>
        </w:rPr>
      </w:pPr>
      <w:r w:rsidRPr="00167CB8">
        <w:rPr>
          <w:rFonts w:eastAsia="Times New Roman" w:cs="Times New Roman"/>
        </w:rPr>
        <w:t xml:space="preserve">Ai Group noted that the provisions are working as intended. </w:t>
      </w:r>
    </w:p>
    <w:p w14:paraId="6F8BF02A" w14:textId="362806BA" w:rsidR="00173F8E" w:rsidRPr="00167CB8" w:rsidRDefault="003B14A5" w:rsidP="00173F8E">
      <w:pPr>
        <w:pStyle w:val="Heading4"/>
        <w:rPr>
          <w:rFonts w:asciiTheme="minorHAnsi" w:hAnsiTheme="minorHAnsi"/>
        </w:rPr>
      </w:pPr>
      <w:bookmarkStart w:id="173" w:name="_Toc189260229"/>
      <w:bookmarkStart w:id="174" w:name="_Toc189393545"/>
      <w:r w:rsidRPr="00167CB8">
        <w:rPr>
          <w:rFonts w:asciiTheme="minorHAnsi" w:hAnsiTheme="minorHAnsi"/>
        </w:rPr>
        <w:t>10</w:t>
      </w:r>
      <w:r w:rsidR="00173F8E" w:rsidRPr="00167CB8">
        <w:rPr>
          <w:rFonts w:asciiTheme="minorHAnsi" w:hAnsiTheme="minorHAnsi"/>
        </w:rPr>
        <w:t xml:space="preserve">.3 Findings </w:t>
      </w:r>
      <w:r w:rsidR="00823EC8" w:rsidRPr="00167CB8">
        <w:rPr>
          <w:rFonts w:asciiTheme="minorHAnsi" w:hAnsiTheme="minorHAnsi"/>
        </w:rPr>
        <w:t>and</w:t>
      </w:r>
      <w:r w:rsidR="00173F8E" w:rsidRPr="00167CB8">
        <w:rPr>
          <w:rFonts w:asciiTheme="minorHAnsi" w:hAnsiTheme="minorHAnsi"/>
        </w:rPr>
        <w:t xml:space="preserve"> </w:t>
      </w:r>
      <w:r w:rsidR="00823EC8" w:rsidRPr="00167CB8">
        <w:rPr>
          <w:rFonts w:asciiTheme="minorHAnsi" w:hAnsiTheme="minorHAnsi"/>
        </w:rPr>
        <w:t>r</w:t>
      </w:r>
      <w:r w:rsidR="00173F8E" w:rsidRPr="00167CB8">
        <w:rPr>
          <w:rFonts w:asciiTheme="minorHAnsi" w:hAnsiTheme="minorHAnsi"/>
        </w:rPr>
        <w:t>ecommendations</w:t>
      </w:r>
      <w:bookmarkEnd w:id="173"/>
      <w:bookmarkEnd w:id="174"/>
    </w:p>
    <w:p w14:paraId="440D0722" w14:textId="77777777" w:rsidR="00173F8E" w:rsidRPr="00167CB8" w:rsidRDefault="00173F8E" w:rsidP="00403630">
      <w:pPr>
        <w:spacing w:after="200"/>
        <w:rPr>
          <w:rFonts w:eastAsia="Times New Roman" w:cs="Times New Roman"/>
        </w:rPr>
      </w:pPr>
      <w:r w:rsidRPr="00167CB8">
        <w:rPr>
          <w:rFonts w:eastAsia="Times New Roman" w:cs="Times New Roman"/>
        </w:rPr>
        <w:t>The Review finds the amendments relating to cooperative workplace agreements are appropriate and effective and there is no evidence before the Review Panel to suggest there are any unintended consequences.</w:t>
      </w:r>
    </w:p>
    <w:p w14:paraId="42D77D6A" w14:textId="3896D461" w:rsidR="00173F8E" w:rsidRPr="00167CB8" w:rsidRDefault="00173F8E" w:rsidP="00403630">
      <w:pPr>
        <w:spacing w:after="200"/>
        <w:rPr>
          <w:rFonts w:eastAsia="Times New Roman" w:cs="Times New Roman"/>
        </w:rPr>
      </w:pPr>
      <w:r w:rsidRPr="00167CB8">
        <w:rPr>
          <w:rFonts w:eastAsia="Times New Roman" w:cs="Times New Roman"/>
        </w:rPr>
        <w:t>The Review Panel does not recommend further amendments to permit bargaining representatives to refer bargaining disputes to the FWC for assistance without the agreement of other bargaining representatives. It is clear that the intention of the stream is to be voluntary and cooperative. The amendments proposed would not be consistent with that intended purpose.</w:t>
      </w:r>
    </w:p>
    <w:p w14:paraId="5FF33215" w14:textId="77777777" w:rsidR="00173F8E" w:rsidRPr="00167CB8" w:rsidRDefault="00173F8E" w:rsidP="00403630">
      <w:pPr>
        <w:spacing w:after="200"/>
        <w:rPr>
          <w:rFonts w:eastAsia="Times New Roman" w:cs="Times New Roman"/>
        </w:rPr>
      </w:pPr>
      <w:r w:rsidRPr="00167CB8">
        <w:rPr>
          <w:rFonts w:eastAsia="Times New Roman" w:cs="Times New Roman"/>
        </w:rPr>
        <w:t>For the same reason, the Review Panel is not agreeable to recommending that industrial action be permitted in the cooperative workplaces bargaining stream. Where bargaining has broken down, bargaining representatives have options available under the bargaining framework to assist to progress bargaining.</w:t>
      </w:r>
    </w:p>
    <w:p w14:paraId="0FD54306" w14:textId="21BA61BC" w:rsidR="00173F8E" w:rsidRPr="00167CB8" w:rsidRDefault="00173F8E" w:rsidP="00403630">
      <w:pPr>
        <w:spacing w:after="200"/>
        <w:rPr>
          <w:rFonts w:eastAsia="Times New Roman" w:cs="Times New Roman"/>
        </w:rPr>
      </w:pPr>
      <w:r w:rsidRPr="00167CB8">
        <w:rPr>
          <w:rFonts w:eastAsia="Times New Roman" w:cs="Times New Roman"/>
        </w:rPr>
        <w:t>While the Review Panel sympathises with the views of the ACTU about the complexity of drafting of some provisions</w:t>
      </w:r>
      <w:r w:rsidR="00562877">
        <w:rPr>
          <w:rFonts w:eastAsia="Times New Roman" w:cs="Times New Roman"/>
        </w:rPr>
        <w:t xml:space="preserve"> (see comments on the ‘status’ of bargaining in chapter </w:t>
      </w:r>
      <w:r w:rsidR="00027EB3">
        <w:rPr>
          <w:rFonts w:eastAsia="Times New Roman" w:cs="Times New Roman"/>
        </w:rPr>
        <w:t>8)</w:t>
      </w:r>
      <w:r w:rsidRPr="00167CB8">
        <w:rPr>
          <w:rFonts w:eastAsia="Times New Roman" w:cs="Times New Roman"/>
        </w:rPr>
        <w:t>, the Review Panel does not recommend specific drafting changes</w:t>
      </w:r>
      <w:r w:rsidR="000E212A" w:rsidRPr="00167CB8">
        <w:rPr>
          <w:rFonts w:eastAsia="Times New Roman" w:cs="Times New Roman"/>
        </w:rPr>
        <w:t xml:space="preserve"> at this time</w:t>
      </w:r>
      <w:r w:rsidRPr="00167CB8">
        <w:rPr>
          <w:rFonts w:eastAsia="Times New Roman" w:cs="Times New Roman"/>
        </w:rPr>
        <w:t>.</w:t>
      </w:r>
    </w:p>
    <w:p w14:paraId="604BA016" w14:textId="23E2DA1E" w:rsidR="00173F8E" w:rsidRPr="00167CB8" w:rsidRDefault="00173F8E" w:rsidP="00173F8E">
      <w:pPr>
        <w:spacing w:after="160"/>
        <w:rPr>
          <w:rFonts w:eastAsia="Times New Roman" w:cs="Calibri"/>
          <w:sz w:val="24"/>
          <w:szCs w:val="24"/>
          <w:lang w:eastAsia="en-AU"/>
        </w:rPr>
      </w:pPr>
      <w:r w:rsidRPr="00167CB8">
        <w:rPr>
          <w:rFonts w:eastAsia="Times New Roman" w:cs="Times New Roman"/>
        </w:rPr>
        <w:lastRenderedPageBreak/>
        <w:t>The Review Panel notes the limitations in the data available on multi-employer agreements. In particular, there is limited data on the type of multi-employer agreement and the size of the business the agreement applies to. The Review Panel is therefore unable to conclude whether small businesses are using the cooperative workplaces stream.</w:t>
      </w:r>
      <w:r w:rsidR="00372266" w:rsidRPr="00167CB8">
        <w:rPr>
          <w:rFonts w:eastAsia="Times New Roman" w:cs="Times New Roman"/>
        </w:rPr>
        <w:t xml:space="preserve"> </w:t>
      </w:r>
      <w:r w:rsidR="00372266" w:rsidRPr="00167CB8">
        <w:rPr>
          <w:rFonts w:cs="Calibri"/>
        </w:rPr>
        <w:t>The Review Panel recommends that data on the type of multi-employer agreement (i.e. cooperative workplace agreement, supported bargaining agreement and single interest employer agreement) and the size of the employer the agreement relates to should be collected in advance of a further review (see Draft Recommendation 1).</w:t>
      </w:r>
      <w:r w:rsidRPr="00167CB8">
        <w:rPr>
          <w:rFonts w:cs="Calibri"/>
        </w:rPr>
        <w:br w:type="page"/>
      </w:r>
    </w:p>
    <w:p w14:paraId="5049527E" w14:textId="7EDD826C" w:rsidR="00173F8E" w:rsidRPr="00167CB8" w:rsidRDefault="00173F8E" w:rsidP="00173F8E">
      <w:pPr>
        <w:pStyle w:val="Heading3"/>
        <w:rPr>
          <w:rFonts w:asciiTheme="minorHAnsi" w:hAnsiTheme="minorHAnsi"/>
        </w:rPr>
      </w:pPr>
      <w:bookmarkStart w:id="175" w:name="_Toc189260230"/>
      <w:bookmarkStart w:id="176" w:name="_Toc189393546"/>
      <w:r w:rsidRPr="00167CB8">
        <w:rPr>
          <w:rFonts w:asciiTheme="minorHAnsi" w:hAnsiTheme="minorHAnsi"/>
        </w:rPr>
        <w:lastRenderedPageBreak/>
        <w:t>Chapter 11. Supported bargaining</w:t>
      </w:r>
      <w:bookmarkEnd w:id="175"/>
      <w:bookmarkEnd w:id="176"/>
    </w:p>
    <w:p w14:paraId="27EE9832" w14:textId="4056677B" w:rsidR="00173F8E" w:rsidRPr="00167CB8" w:rsidRDefault="00173F8E" w:rsidP="00823EC8">
      <w:r w:rsidRPr="00167CB8">
        <w:t>This is the second of the Review chapters about forms of multi-employer bargaining introduced by Part 20 of Schedule 1 to the Secure Jobs</w:t>
      </w:r>
      <w:r w:rsidR="00823EC8" w:rsidRPr="00167CB8">
        <w:t>,</w:t>
      </w:r>
      <w:r w:rsidRPr="00167CB8">
        <w:t xml:space="preserve"> Better Pay Act. Supported bargaining is a form of multi-employer bargaining directed at </w:t>
      </w:r>
      <w:r w:rsidR="00823EC8" w:rsidRPr="00167CB8">
        <w:t>‘</w:t>
      </w:r>
      <w:r w:rsidRPr="00167CB8">
        <w:t>employees and employers who may have difficulty bargaining at the single-enterprise level</w:t>
      </w:r>
      <w:r w:rsidR="00823EC8" w:rsidRPr="00167CB8">
        <w:t>’.</w:t>
      </w:r>
      <w:r w:rsidRPr="00167CB8">
        <w:rPr>
          <w:vertAlign w:val="superscript"/>
        </w:rPr>
        <w:footnoteReference w:id="329"/>
      </w:r>
      <w:r w:rsidRPr="00167CB8">
        <w:t xml:space="preserve"> The supported bargaining stream is a </w:t>
      </w:r>
      <w:r w:rsidR="00823EC8" w:rsidRPr="00167CB8">
        <w:t>‘</w:t>
      </w:r>
      <w:r w:rsidRPr="00167CB8">
        <w:t>modification</w:t>
      </w:r>
      <w:r w:rsidR="00823EC8" w:rsidRPr="00167CB8">
        <w:t xml:space="preserve"> </w:t>
      </w:r>
      <w:r w:rsidRPr="00167CB8">
        <w:t>…</w:t>
      </w:r>
      <w:r w:rsidR="00823EC8" w:rsidRPr="00167CB8">
        <w:t xml:space="preserve"> </w:t>
      </w:r>
      <w:r w:rsidRPr="00167CB8">
        <w:t>rather than a complete innovation</w:t>
      </w:r>
      <w:r w:rsidR="00823EC8" w:rsidRPr="00167CB8">
        <w:t>’</w:t>
      </w:r>
      <w:r w:rsidRPr="00167CB8">
        <w:rPr>
          <w:vertAlign w:val="superscript"/>
        </w:rPr>
        <w:footnoteReference w:id="330"/>
      </w:r>
      <w:r w:rsidRPr="00167CB8">
        <w:t xml:space="preserve"> of what had been, up to the amendments, the low-paid bargaining stream. </w:t>
      </w:r>
    </w:p>
    <w:p w14:paraId="075189A3" w14:textId="408E932C" w:rsidR="00173F8E" w:rsidRPr="00167CB8" w:rsidRDefault="003B14A5" w:rsidP="00173F8E">
      <w:pPr>
        <w:pStyle w:val="Heading4"/>
      </w:pPr>
      <w:bookmarkStart w:id="177" w:name="_Toc189260231"/>
      <w:bookmarkStart w:id="178" w:name="_Toc189393547"/>
      <w:r w:rsidRPr="00167CB8">
        <w:rPr>
          <w:rFonts w:asciiTheme="minorHAnsi" w:hAnsiTheme="minorHAnsi"/>
        </w:rPr>
        <w:t>11</w:t>
      </w:r>
      <w:r w:rsidR="00173F8E" w:rsidRPr="00167CB8">
        <w:rPr>
          <w:rFonts w:asciiTheme="minorHAnsi" w:hAnsiTheme="minorHAnsi"/>
        </w:rPr>
        <w:t xml:space="preserve">.1 Amendments </w:t>
      </w:r>
      <w:r w:rsidR="00823EC8" w:rsidRPr="00167CB8">
        <w:rPr>
          <w:rFonts w:asciiTheme="minorHAnsi" w:hAnsiTheme="minorHAnsi"/>
        </w:rPr>
        <w:t>and</w:t>
      </w:r>
      <w:r w:rsidR="00173F8E" w:rsidRPr="00167CB8">
        <w:rPr>
          <w:rFonts w:asciiTheme="minorHAnsi" w:hAnsiTheme="minorHAnsi"/>
        </w:rPr>
        <w:t xml:space="preserve"> </w:t>
      </w:r>
      <w:r w:rsidR="00823EC8" w:rsidRPr="00167CB8">
        <w:rPr>
          <w:rFonts w:asciiTheme="minorHAnsi" w:hAnsiTheme="minorHAnsi"/>
        </w:rPr>
        <w:t>i</w:t>
      </w:r>
      <w:r w:rsidR="00173F8E" w:rsidRPr="00167CB8">
        <w:rPr>
          <w:rFonts w:asciiTheme="minorHAnsi" w:hAnsiTheme="minorHAnsi"/>
        </w:rPr>
        <w:t>ntent</w:t>
      </w:r>
      <w:bookmarkEnd w:id="177"/>
      <w:bookmarkEnd w:id="178"/>
      <w:r w:rsidR="00173F8E" w:rsidRPr="00167CB8">
        <w:rPr>
          <w:rFonts w:asciiTheme="minorHAnsi" w:hAnsiTheme="minorHAnsi"/>
        </w:rPr>
        <w:t xml:space="preserve"> </w:t>
      </w:r>
    </w:p>
    <w:p w14:paraId="5813C42A" w14:textId="08CECD6C" w:rsidR="00823EC8" w:rsidRPr="00167CB8" w:rsidRDefault="00173F8E" w:rsidP="003B14A5">
      <w:r w:rsidRPr="00167CB8">
        <w:t xml:space="preserve">This section outlines the amendments that renamed the </w:t>
      </w:r>
      <w:r w:rsidR="00823EC8" w:rsidRPr="00167CB8">
        <w:t>‘</w:t>
      </w:r>
      <w:r w:rsidRPr="00167CB8">
        <w:t>low-paid bargaining stream</w:t>
      </w:r>
      <w:r w:rsidR="00823EC8" w:rsidRPr="00167CB8">
        <w:t>’</w:t>
      </w:r>
      <w:r w:rsidRPr="00167CB8">
        <w:t xml:space="preserve"> the </w:t>
      </w:r>
      <w:r w:rsidR="00823EC8" w:rsidRPr="00167CB8">
        <w:t>‘</w:t>
      </w:r>
      <w:r w:rsidRPr="00167CB8">
        <w:t>supported bargaining stream</w:t>
      </w:r>
      <w:r w:rsidR="00823EC8" w:rsidRPr="00167CB8">
        <w:t>’</w:t>
      </w:r>
      <w:r w:rsidRPr="00167CB8">
        <w:t>. It also discusses the intent behind these changes.</w:t>
      </w:r>
    </w:p>
    <w:p w14:paraId="5E19F307" w14:textId="751AF733" w:rsidR="00173F8E" w:rsidRPr="00167CB8" w:rsidRDefault="009B478B" w:rsidP="009B478B">
      <w:pPr>
        <w:pStyle w:val="Heading5"/>
        <w:rPr>
          <w:rFonts w:asciiTheme="minorHAnsi" w:hAnsiTheme="minorHAnsi" w:cs="Calibri"/>
        </w:rPr>
      </w:pPr>
      <w:r w:rsidRPr="00167CB8">
        <w:rPr>
          <w:rFonts w:asciiTheme="minorHAnsi" w:hAnsiTheme="minorHAnsi" w:cs="Calibri"/>
        </w:rPr>
        <w:t xml:space="preserve">11.1.1 </w:t>
      </w:r>
      <w:r w:rsidR="00173F8E" w:rsidRPr="00167CB8">
        <w:rPr>
          <w:rFonts w:asciiTheme="minorHAnsi" w:hAnsiTheme="minorHAnsi" w:cs="Calibri"/>
        </w:rPr>
        <w:t xml:space="preserve">Secure Jobs, Better Pay </w:t>
      </w:r>
      <w:r w:rsidR="00823EC8" w:rsidRPr="00167CB8">
        <w:rPr>
          <w:rFonts w:asciiTheme="minorHAnsi" w:hAnsiTheme="minorHAnsi" w:cs="Calibri"/>
        </w:rPr>
        <w:t>a</w:t>
      </w:r>
      <w:r w:rsidR="00173F8E" w:rsidRPr="00167CB8">
        <w:rPr>
          <w:rFonts w:asciiTheme="minorHAnsi" w:hAnsiTheme="minorHAnsi" w:cs="Calibri"/>
        </w:rPr>
        <w:t>mendments</w:t>
      </w:r>
    </w:p>
    <w:p w14:paraId="248D31F4" w14:textId="2CBF27B1" w:rsidR="00173F8E" w:rsidRPr="00167CB8" w:rsidRDefault="00173F8E" w:rsidP="00823EC8">
      <w:r w:rsidRPr="00167CB8">
        <w:t xml:space="preserve">Divisions 7 and 9 of Part 2-4 of the Fair Work Act concerns supported bargaining. The Secure Jobs, Better Pay Act renamed the previous </w:t>
      </w:r>
      <w:r w:rsidR="00823EC8" w:rsidRPr="00167CB8">
        <w:t>‘</w:t>
      </w:r>
      <w:r w:rsidRPr="00167CB8">
        <w:t>low-paid bargaining stream</w:t>
      </w:r>
      <w:r w:rsidR="00823EC8" w:rsidRPr="00167CB8">
        <w:t>’</w:t>
      </w:r>
      <w:r w:rsidRPr="00167CB8">
        <w:t xml:space="preserve"> the </w:t>
      </w:r>
      <w:r w:rsidR="00823EC8" w:rsidRPr="00167CB8">
        <w:t>‘</w:t>
      </w:r>
      <w:r w:rsidRPr="00167CB8">
        <w:t>supported bargaining stream</w:t>
      </w:r>
      <w:r w:rsidR="00823EC8" w:rsidRPr="00167CB8">
        <w:t>’</w:t>
      </w:r>
      <w:r w:rsidRPr="00167CB8">
        <w:t>.</w:t>
      </w:r>
      <w:r w:rsidRPr="00167CB8" w:rsidDel="006318DA">
        <w:t xml:space="preserve"> </w:t>
      </w:r>
    </w:p>
    <w:p w14:paraId="57C23262" w14:textId="21A6FD47" w:rsidR="00173F8E" w:rsidRPr="00167CB8" w:rsidRDefault="00173F8E" w:rsidP="00823EC8">
      <w:r w:rsidRPr="00167CB8">
        <w:t>Following the</w:t>
      </w:r>
      <w:r w:rsidRPr="00167CB8" w:rsidDel="00E73ED7">
        <w:t xml:space="preserve"> </w:t>
      </w:r>
      <w:r w:rsidRPr="00167CB8">
        <w:t xml:space="preserve">Secure Jobs, Better Pay amendments, and amongst other things, the </w:t>
      </w:r>
      <w:r w:rsidR="009B478B" w:rsidRPr="00167CB8">
        <w:t>Fair Work Commission (</w:t>
      </w:r>
      <w:r w:rsidRPr="00167CB8">
        <w:t>FWC</w:t>
      </w:r>
      <w:r w:rsidR="009B478B" w:rsidRPr="00167CB8">
        <w:t>)</w:t>
      </w:r>
      <w:r w:rsidRPr="00167CB8">
        <w:t xml:space="preserve"> must make a supported bargaining authorisation (i.e. authorise bargaining in the supported bargaining stream) if it is satisfied that it is </w:t>
      </w:r>
      <w:r w:rsidR="00823EC8" w:rsidRPr="00167CB8">
        <w:t>‘</w:t>
      </w:r>
      <w:r w:rsidRPr="00167CB8">
        <w:t>appropriate for the employers and employees</w:t>
      </w:r>
      <w:r w:rsidR="00823EC8" w:rsidRPr="00167CB8">
        <w:t xml:space="preserve"> </w:t>
      </w:r>
      <w:r w:rsidRPr="00167CB8">
        <w:t>…</w:t>
      </w:r>
      <w:r w:rsidR="00823EC8" w:rsidRPr="00167CB8">
        <w:t xml:space="preserve"> </w:t>
      </w:r>
      <w:r w:rsidRPr="00167CB8">
        <w:t>to bargain together</w:t>
      </w:r>
      <w:r w:rsidR="00823EC8" w:rsidRPr="00167CB8">
        <w:t>’</w:t>
      </w:r>
      <w:r w:rsidRPr="00167CB8">
        <w:t>.</w:t>
      </w:r>
      <w:r w:rsidRPr="00167CB8">
        <w:rPr>
          <w:vertAlign w:val="superscript"/>
        </w:rPr>
        <w:footnoteReference w:id="331"/>
      </w:r>
      <w:r w:rsidRPr="00167CB8">
        <w:t xml:space="preserve"> In determining whether it is satisfied that it is ‘appropriate’, the FWC must have regard to:</w:t>
      </w:r>
      <w:r w:rsidR="00823EC8" w:rsidRPr="00167CB8">
        <w:rPr>
          <w:rStyle w:val="FootnoteReference"/>
          <w:rFonts w:cs="Calibri"/>
        </w:rPr>
        <w:footnoteReference w:id="332"/>
      </w:r>
    </w:p>
    <w:p w14:paraId="5013C426" w14:textId="61502983" w:rsidR="00173F8E" w:rsidRPr="00167CB8" w:rsidRDefault="00173F8E" w:rsidP="00567FCA">
      <w:pPr>
        <w:pStyle w:val="Quote"/>
        <w:numPr>
          <w:ilvl w:val="0"/>
          <w:numId w:val="30"/>
        </w:numPr>
      </w:pPr>
      <w:r w:rsidRPr="00167CB8">
        <w:t>the prevailing pay and conditions within the relevant industry or sector (including whether low rates of pay prevail in the industry or sector); and</w:t>
      </w:r>
    </w:p>
    <w:p w14:paraId="2158CAE3" w14:textId="790483BA" w:rsidR="00173F8E" w:rsidRPr="00167CB8" w:rsidRDefault="00173F8E" w:rsidP="00567FCA">
      <w:pPr>
        <w:pStyle w:val="Quote"/>
        <w:numPr>
          <w:ilvl w:val="0"/>
          <w:numId w:val="30"/>
        </w:numPr>
      </w:pPr>
      <w:r w:rsidRPr="00167CB8">
        <w:t>whether the employers have clearly identifiable common interests; and</w:t>
      </w:r>
    </w:p>
    <w:p w14:paraId="666C1B36" w14:textId="216D8F86" w:rsidR="00173F8E" w:rsidRPr="00167CB8" w:rsidRDefault="00173F8E" w:rsidP="00567FCA">
      <w:pPr>
        <w:pStyle w:val="Quote"/>
        <w:numPr>
          <w:ilvl w:val="0"/>
          <w:numId w:val="30"/>
        </w:numPr>
      </w:pPr>
      <w:r w:rsidRPr="00167CB8">
        <w:t>whether the likely number of bargaining representatives for the agreement would be consistent with a manageable collective bargaining process; and</w:t>
      </w:r>
    </w:p>
    <w:p w14:paraId="5C5CE206" w14:textId="0038553E" w:rsidR="00173F8E" w:rsidRPr="00167CB8" w:rsidRDefault="00173F8E" w:rsidP="00567FCA">
      <w:pPr>
        <w:pStyle w:val="Quote"/>
        <w:numPr>
          <w:ilvl w:val="0"/>
          <w:numId w:val="30"/>
        </w:numPr>
      </w:pPr>
      <w:r w:rsidRPr="00167CB8">
        <w:t>any other matters the FWC considers appropriate.</w:t>
      </w:r>
    </w:p>
    <w:p w14:paraId="7257E03C" w14:textId="77777777" w:rsidR="00173F8E" w:rsidRPr="00167CB8" w:rsidRDefault="00173F8E" w:rsidP="00823EC8">
      <w:r w:rsidRPr="00167CB8">
        <w:t>The FWC must also be satisfied that at least some of the employees are represented by an employee organisation.</w:t>
      </w:r>
      <w:r w:rsidRPr="00167CB8">
        <w:rPr>
          <w:vertAlign w:val="superscript"/>
        </w:rPr>
        <w:footnoteReference w:id="333"/>
      </w:r>
      <w:r w:rsidRPr="00167CB8">
        <w:t xml:space="preserve"> That is, union involvement in supported bargaining is mandatory. </w:t>
      </w:r>
    </w:p>
    <w:p w14:paraId="304258C1" w14:textId="2D641B1C" w:rsidR="00173F8E" w:rsidRPr="00167CB8" w:rsidRDefault="00173F8E" w:rsidP="00823EC8">
      <w:r w:rsidRPr="00167CB8">
        <w:t>The Fair Work Act does not define ‘clearly identifiable common interests’ but provides examples that may be relevant to determining common interest as including:</w:t>
      </w:r>
      <w:r w:rsidR="00823EC8" w:rsidRPr="00167CB8">
        <w:rPr>
          <w:rStyle w:val="FootnoteReference"/>
          <w:rFonts w:cs="Calibri"/>
        </w:rPr>
        <w:footnoteReference w:id="334"/>
      </w:r>
    </w:p>
    <w:p w14:paraId="7C53C0CC" w14:textId="61C2CB4E" w:rsidR="00173F8E" w:rsidRPr="00167CB8" w:rsidRDefault="00173F8E" w:rsidP="00567FCA">
      <w:pPr>
        <w:pStyle w:val="Quote"/>
        <w:numPr>
          <w:ilvl w:val="0"/>
          <w:numId w:val="31"/>
        </w:numPr>
      </w:pPr>
      <w:r w:rsidRPr="00167CB8">
        <w:lastRenderedPageBreak/>
        <w:t>a geographical location;</w:t>
      </w:r>
    </w:p>
    <w:p w14:paraId="34184666" w14:textId="1F384E47" w:rsidR="00173F8E" w:rsidRPr="00167CB8" w:rsidRDefault="00173F8E" w:rsidP="00567FCA">
      <w:pPr>
        <w:pStyle w:val="Quote"/>
        <w:numPr>
          <w:ilvl w:val="0"/>
          <w:numId w:val="31"/>
        </w:numPr>
      </w:pPr>
      <w:r w:rsidRPr="00167CB8">
        <w:t>the nature of the enterprises to which the agreement will relate, and the terms and conditions of employment in those enterprises;</w:t>
      </w:r>
    </w:p>
    <w:p w14:paraId="22518D4D" w14:textId="0F944212" w:rsidR="00173F8E" w:rsidRPr="00167CB8" w:rsidRDefault="00173F8E" w:rsidP="00567FCA">
      <w:pPr>
        <w:pStyle w:val="Quote"/>
        <w:numPr>
          <w:ilvl w:val="0"/>
          <w:numId w:val="31"/>
        </w:numPr>
      </w:pPr>
      <w:r w:rsidRPr="00167CB8">
        <w:t>being substantially funded, directly or indirectly, by the Commonwealth, a State or a Territory.</w:t>
      </w:r>
    </w:p>
    <w:p w14:paraId="2DA67913" w14:textId="77777777" w:rsidR="00173F8E" w:rsidRPr="00167CB8" w:rsidRDefault="00173F8E" w:rsidP="00823EC8">
      <w:r w:rsidRPr="00167CB8">
        <w:t>The FWC must also make a supported bargaining authorisation if the application specifies employees in an industry, occupation or sector declared by the Minister for Employment and Workplace Relations.</w:t>
      </w:r>
      <w:r w:rsidRPr="00167CB8">
        <w:rPr>
          <w:vertAlign w:val="superscript"/>
        </w:rPr>
        <w:footnoteReference w:id="335"/>
      </w:r>
    </w:p>
    <w:p w14:paraId="667F86EC" w14:textId="5C0EC35F" w:rsidR="00173F8E" w:rsidRPr="00167CB8" w:rsidRDefault="00173F8E" w:rsidP="00823EC8">
      <w:r w:rsidRPr="00167CB8">
        <w:t xml:space="preserve">The FWC must not make a supported bargaining authorisation in relation to an employee covered by a </w:t>
      </w:r>
      <w:r w:rsidR="00823EC8" w:rsidRPr="00167CB8">
        <w:t>‘</w:t>
      </w:r>
      <w:r w:rsidRPr="00167CB8">
        <w:t>single-enterprise agreement that has not passed its nominal expiry date</w:t>
      </w:r>
      <w:r w:rsidR="00823EC8" w:rsidRPr="00167CB8">
        <w:t>’</w:t>
      </w:r>
      <w:r w:rsidRPr="00167CB8">
        <w:rPr>
          <w:vertAlign w:val="superscript"/>
        </w:rPr>
        <w:footnoteReference w:id="336"/>
      </w:r>
      <w:r w:rsidRPr="00167CB8">
        <w:t xml:space="preserve"> or that would cover employees in relation to </w:t>
      </w:r>
      <w:r w:rsidR="00823EC8" w:rsidRPr="00167CB8">
        <w:t>‘</w:t>
      </w:r>
      <w:r w:rsidRPr="00167CB8">
        <w:t>general building and construction work</w:t>
      </w:r>
      <w:r w:rsidR="00823EC8" w:rsidRPr="00167CB8">
        <w:t>’.</w:t>
      </w:r>
      <w:r w:rsidRPr="00167CB8">
        <w:rPr>
          <w:vertAlign w:val="superscript"/>
        </w:rPr>
        <w:footnoteReference w:id="337"/>
      </w:r>
    </w:p>
    <w:p w14:paraId="4567EE57" w14:textId="77777777" w:rsidR="00173F8E" w:rsidRPr="00167CB8" w:rsidRDefault="00173F8E" w:rsidP="00823EC8">
      <w:r w:rsidRPr="00167CB8">
        <w:t>These amendments commenced on 6 June 2023.</w:t>
      </w:r>
    </w:p>
    <w:p w14:paraId="3F2F5AF2" w14:textId="27E817A6" w:rsidR="00173F8E" w:rsidRPr="00167CB8" w:rsidRDefault="00173F8E" w:rsidP="00823EC8">
      <w:r w:rsidRPr="00167CB8">
        <w:t xml:space="preserve">While not a part of the Secure Jobs, Better Pay amendments, it is helpful to note that the </w:t>
      </w:r>
      <w:r w:rsidR="00823EC8" w:rsidRPr="00167CB8">
        <w:t>s</w:t>
      </w:r>
      <w:r w:rsidRPr="00167CB8">
        <w:t xml:space="preserve">upported </w:t>
      </w:r>
      <w:r w:rsidR="00823EC8" w:rsidRPr="00167CB8">
        <w:t>b</w:t>
      </w:r>
      <w:r w:rsidRPr="00167CB8">
        <w:t>argaining stream, as did the low-paid bargaining stream before it, provides for special FWC assistance powers.</w:t>
      </w:r>
      <w:r w:rsidRPr="00167CB8">
        <w:rPr>
          <w:vertAlign w:val="superscript"/>
        </w:rPr>
        <w:footnoteReference w:id="338"/>
      </w:r>
      <w:r w:rsidRPr="00167CB8">
        <w:t xml:space="preserve"> These are:</w:t>
      </w:r>
      <w:r w:rsidR="00823EC8" w:rsidRPr="00167CB8">
        <w:rPr>
          <w:rStyle w:val="FootnoteReference"/>
          <w:rFonts w:cs="Calibri"/>
        </w:rPr>
        <w:footnoteReference w:id="339"/>
      </w:r>
      <w:r w:rsidR="00823EC8" w:rsidRPr="00167CB8">
        <w:rPr>
          <w:rFonts w:eastAsia="MS Mincho"/>
        </w:rPr>
        <w:t xml:space="preserve"> </w:t>
      </w:r>
      <w:r w:rsidRPr="00167CB8">
        <w:t xml:space="preserve"> </w:t>
      </w:r>
    </w:p>
    <w:p w14:paraId="16C0B981" w14:textId="77777777" w:rsidR="00173F8E" w:rsidRPr="00167CB8" w:rsidRDefault="00173F8E" w:rsidP="00C83147">
      <w:pPr>
        <w:pStyle w:val="Quote"/>
        <w:rPr>
          <w:lang w:eastAsia="en-AU"/>
        </w:rPr>
      </w:pPr>
      <w:r w:rsidRPr="00167CB8">
        <w:rPr>
          <w:lang w:eastAsia="en-AU"/>
        </w:rPr>
        <w:t>FWC’s assistance</w:t>
      </w:r>
    </w:p>
    <w:p w14:paraId="7A993731" w14:textId="0DDFFC32" w:rsidR="00173F8E" w:rsidRPr="00167CB8" w:rsidRDefault="00173F8E" w:rsidP="00C83147">
      <w:pPr>
        <w:pStyle w:val="Quote"/>
      </w:pPr>
      <w:r w:rsidRPr="00167CB8">
        <w:t>(2)</w:t>
      </w:r>
      <w:r w:rsidRPr="00167CB8">
        <w:tab/>
        <w:t>The FWC may, on its own initiative, provide to the bargaining representatives for the agreement such assistance:</w:t>
      </w:r>
    </w:p>
    <w:p w14:paraId="62E74EE1" w14:textId="64DAC92D" w:rsidR="00173F8E" w:rsidRPr="00167CB8" w:rsidRDefault="00173F8E" w:rsidP="00C83147">
      <w:pPr>
        <w:pStyle w:val="Quote"/>
      </w:pPr>
      <w:r w:rsidRPr="00167CB8">
        <w:t>(a)</w:t>
      </w:r>
      <w:r w:rsidRPr="00167CB8">
        <w:tab/>
        <w:t>that the FWC considers appropriate to facilitate bargaining for the agreement; and</w:t>
      </w:r>
    </w:p>
    <w:p w14:paraId="5ECA0626" w14:textId="3864BA56" w:rsidR="00173F8E" w:rsidRPr="00167CB8" w:rsidRDefault="00173F8E" w:rsidP="00C83147">
      <w:pPr>
        <w:pStyle w:val="Quote"/>
      </w:pPr>
      <w:r w:rsidRPr="00167CB8">
        <w:t>(b)</w:t>
      </w:r>
      <w:r w:rsidRPr="00167CB8">
        <w:tab/>
        <w:t>that the FWC could provide if it were dealing with a dispute.</w:t>
      </w:r>
    </w:p>
    <w:p w14:paraId="075AB5AD" w14:textId="77777777" w:rsidR="00173F8E" w:rsidRPr="00167CB8" w:rsidRDefault="00173F8E" w:rsidP="00C83147">
      <w:pPr>
        <w:pStyle w:val="Quote"/>
      </w:pPr>
      <w:r w:rsidRPr="00167CB8">
        <w:t>Note:</w:t>
      </w:r>
      <w:r w:rsidRPr="00167CB8">
        <w:tab/>
        <w:t>This section does not empower the FWC to arbitrate, because subsection 595(3) provides that the FWC may arbitrate only if expressly authorised to do so.</w:t>
      </w:r>
      <w:r w:rsidRPr="00167CB8">
        <w:rPr>
          <w:rStyle w:val="FootnoteReference"/>
          <w:rFonts w:cs="Calibri"/>
        </w:rPr>
        <w:t xml:space="preserve"> </w:t>
      </w:r>
    </w:p>
    <w:p w14:paraId="3DF86778" w14:textId="77777777" w:rsidR="00173F8E" w:rsidRPr="00167CB8" w:rsidRDefault="00173F8E" w:rsidP="00C83147">
      <w:pPr>
        <w:pStyle w:val="Quote"/>
        <w:rPr>
          <w:lang w:eastAsia="en-AU"/>
        </w:rPr>
      </w:pPr>
      <w:r w:rsidRPr="00167CB8">
        <w:rPr>
          <w:lang w:eastAsia="en-AU"/>
        </w:rPr>
        <w:t>FWC may direct a person to attend a conference</w:t>
      </w:r>
    </w:p>
    <w:p w14:paraId="7DA63437" w14:textId="0B4D39CE" w:rsidR="00173F8E" w:rsidRPr="00167CB8" w:rsidRDefault="00173F8E" w:rsidP="00C83147">
      <w:pPr>
        <w:pStyle w:val="Quote"/>
      </w:pPr>
      <w:r w:rsidRPr="00167CB8">
        <w:t>(3)</w:t>
      </w:r>
      <w:r w:rsidRPr="00167CB8">
        <w:tab/>
        <w:t>Without limiting subsection (2), the FWC may provide assistance by directing a person who is not an employer specified in the authorisation to attend a conference at a specified time and place if the FWC is satisfied that the person exercises such a degree of control over the terms and conditions of the employees who will be covered by the agreement that the participation of the person in bargaining is necessary for the agreement to be made.</w:t>
      </w:r>
    </w:p>
    <w:p w14:paraId="6C2E2913" w14:textId="2CAF4F08" w:rsidR="00173F8E" w:rsidRPr="00167CB8" w:rsidRDefault="00173F8E" w:rsidP="00C83147">
      <w:pPr>
        <w:pStyle w:val="Quote"/>
      </w:pPr>
      <w:r w:rsidRPr="00167CB8">
        <w:lastRenderedPageBreak/>
        <w:t>(4)</w:t>
      </w:r>
      <w:r w:rsidRPr="00167CB8">
        <w:tab/>
        <w:t>Subsection (3) does not limit the FWC’s powers under Subdivision B of Division 3 of Part 5</w:t>
      </w:r>
      <w:r w:rsidRPr="00167CB8">
        <w:noBreakHyphen/>
        <w:t>1.</w:t>
      </w:r>
      <w:r w:rsidRPr="00167CB8">
        <w:rPr>
          <w:rStyle w:val="FootnoteReference"/>
          <w:rFonts w:cs="Calibri"/>
        </w:rPr>
        <w:t xml:space="preserve"> </w:t>
      </w:r>
    </w:p>
    <w:p w14:paraId="41EAAAEC" w14:textId="77777777" w:rsidR="00173F8E" w:rsidRPr="00167CB8" w:rsidRDefault="00173F8E" w:rsidP="00173F8E">
      <w:pPr>
        <w:keepNext/>
        <w:keepLines/>
        <w:spacing w:before="240" w:after="0"/>
        <w:ind w:left="1134"/>
        <w:rPr>
          <w:rFonts w:eastAsia="Times New Roman" w:cs="Calibri"/>
          <w:i/>
          <w:lang w:eastAsia="en-AU"/>
        </w:rPr>
      </w:pPr>
    </w:p>
    <w:p w14:paraId="62AC04A9" w14:textId="5C77AC6A" w:rsidR="00173F8E" w:rsidRPr="00167CB8" w:rsidRDefault="003B14A5" w:rsidP="00173F8E">
      <w:pPr>
        <w:pStyle w:val="Heading5"/>
      </w:pPr>
      <w:r w:rsidRPr="00167CB8">
        <w:t>11</w:t>
      </w:r>
      <w:r w:rsidR="00173F8E" w:rsidRPr="00167CB8">
        <w:t>.1.2 Intent of</w:t>
      </w:r>
      <w:r w:rsidR="00173F8E" w:rsidRPr="00167CB8">
        <w:rPr>
          <w:rFonts w:asciiTheme="minorHAnsi" w:hAnsiTheme="minorHAnsi"/>
        </w:rPr>
        <w:t xml:space="preserve"> Secure Jobs, Better Pay </w:t>
      </w:r>
      <w:r w:rsidR="009B478B" w:rsidRPr="00167CB8">
        <w:rPr>
          <w:rFonts w:asciiTheme="minorHAnsi" w:hAnsiTheme="minorHAnsi"/>
        </w:rPr>
        <w:t>a</w:t>
      </w:r>
      <w:r w:rsidR="00173F8E" w:rsidRPr="00167CB8">
        <w:rPr>
          <w:rFonts w:asciiTheme="minorHAnsi" w:hAnsiTheme="minorHAnsi"/>
        </w:rPr>
        <w:t>mendments</w:t>
      </w:r>
    </w:p>
    <w:p w14:paraId="7C3BBAEE" w14:textId="0C7AEEFA" w:rsidR="00173F8E" w:rsidRPr="00167CB8" w:rsidRDefault="00173F8E" w:rsidP="00823EC8">
      <w:r w:rsidRPr="00167CB8">
        <w:t xml:space="preserve">The intent of amending the low-paid bargaining stream to the supported bargaining stream was to remove </w:t>
      </w:r>
      <w:r w:rsidR="00823EC8" w:rsidRPr="00167CB8">
        <w:t>‘</w:t>
      </w:r>
      <w:r w:rsidRPr="00167CB8">
        <w:t>barriers to access the existing low-paid bargaining stream</w:t>
      </w:r>
      <w:r w:rsidR="00823EC8" w:rsidRPr="00167CB8">
        <w:t>’</w:t>
      </w:r>
      <w:r w:rsidRPr="00167CB8">
        <w:t>.</w:t>
      </w:r>
      <w:r w:rsidRPr="00167CB8">
        <w:rPr>
          <w:vertAlign w:val="superscript"/>
        </w:rPr>
        <w:footnoteReference w:id="340"/>
      </w:r>
      <w:r w:rsidRPr="00167CB8">
        <w:t xml:space="preserve"> In this way, it would contribute to the increased number and especially the coverage of collective bargaining. The amended stream was intended to operate similarly to the low-paid bargaining process while overcoming problems with access to the stream.</w:t>
      </w:r>
      <w:r w:rsidRPr="00167CB8">
        <w:rPr>
          <w:vertAlign w:val="superscript"/>
        </w:rPr>
        <w:footnoteReference w:id="341"/>
      </w:r>
      <w:r w:rsidRPr="00167CB8">
        <w:t xml:space="preserve">  </w:t>
      </w:r>
    </w:p>
    <w:p w14:paraId="1A7F401D" w14:textId="77777777" w:rsidR="00173F8E" w:rsidRPr="00167CB8" w:rsidRDefault="00173F8E" w:rsidP="00823EC8">
      <w:r w:rsidRPr="00167CB8">
        <w:t>The previous low-paid bargaining stream was largely seen as unsuccessful.</w:t>
      </w:r>
      <w:r w:rsidRPr="00167CB8">
        <w:rPr>
          <w:vertAlign w:val="superscript"/>
        </w:rPr>
        <w:footnoteReference w:id="342"/>
      </w:r>
      <w:r w:rsidRPr="00167CB8">
        <w:t xml:space="preserve"> In its more than 10 years of operation, only 5 applications to bargain in the low-paid paid bargaining stream were made. A single application was successful.</w:t>
      </w:r>
      <w:r w:rsidRPr="00167CB8">
        <w:rPr>
          <w:vertAlign w:val="superscript"/>
        </w:rPr>
        <w:footnoteReference w:id="343"/>
      </w:r>
      <w:r w:rsidRPr="00167CB8">
        <w:t xml:space="preserve"> The last application to be determined under this stream was over a decade ago and was unsuccessful.</w:t>
      </w:r>
      <w:r w:rsidRPr="00167CB8">
        <w:rPr>
          <w:vertAlign w:val="superscript"/>
        </w:rPr>
        <w:footnoteReference w:id="344"/>
      </w:r>
      <w:r w:rsidRPr="00167CB8">
        <w:t xml:space="preserve"> </w:t>
      </w:r>
    </w:p>
    <w:p w14:paraId="1ECB518F" w14:textId="77777777" w:rsidR="00173F8E" w:rsidRPr="00167CB8" w:rsidRDefault="00173F8E" w:rsidP="00823EC8">
      <w:r w:rsidRPr="00167CB8">
        <w:t>The early application of the low-paid provisions in Fair Work Australia and then FWC lead to a strong focus on the history of bargaining in the industry and the relative bargaining strength of employers and employees.</w:t>
      </w:r>
      <w:r w:rsidRPr="00167CB8">
        <w:rPr>
          <w:vertAlign w:val="superscript"/>
        </w:rPr>
        <w:footnoteReference w:id="345"/>
      </w:r>
      <w:r w:rsidRPr="00167CB8">
        <w:t xml:space="preserve"> While one authorisation was granted, no multi-employer agreements were made in the stream.</w:t>
      </w:r>
      <w:r w:rsidRPr="00167CB8">
        <w:rPr>
          <w:vertAlign w:val="superscript"/>
        </w:rPr>
        <w:footnoteReference w:id="346"/>
      </w:r>
      <w:r w:rsidRPr="00167CB8">
        <w:t xml:space="preserve"> A significant limitation on the effectiveness of the low-paid stream was onerous criteria to receive authorisation to bargain in the stream.</w:t>
      </w:r>
    </w:p>
    <w:p w14:paraId="79049730" w14:textId="3BC79041" w:rsidR="00173F8E" w:rsidRPr="00167CB8" w:rsidRDefault="00173F8E" w:rsidP="00823EC8">
      <w:r w:rsidRPr="00167CB8">
        <w:t xml:space="preserve">Removing barriers to accessing the stream, with a corresponding increase in access to the stream, was intended to contribute to </w:t>
      </w:r>
      <w:r w:rsidR="00823EC8" w:rsidRPr="00167CB8">
        <w:t>‘</w:t>
      </w:r>
      <w:r w:rsidRPr="00167CB8">
        <w:t>closing the gender pay gap and improving wages and conditions in [low-paid sectors], which have not been able to successfully bargain at the enterprise level</w:t>
      </w:r>
      <w:r w:rsidR="00823EC8" w:rsidRPr="00167CB8">
        <w:t>’</w:t>
      </w:r>
      <w:r w:rsidRPr="00167CB8">
        <w:t>.</w:t>
      </w:r>
      <w:r w:rsidRPr="00167CB8">
        <w:rPr>
          <w:vertAlign w:val="superscript"/>
        </w:rPr>
        <w:footnoteReference w:id="347"/>
      </w:r>
      <w:r w:rsidRPr="00167CB8">
        <w:t xml:space="preserve"> </w:t>
      </w:r>
    </w:p>
    <w:p w14:paraId="40290E24" w14:textId="48A8F106" w:rsidR="00173F8E" w:rsidRPr="00167CB8" w:rsidRDefault="00173F8E" w:rsidP="00823EC8">
      <w:r w:rsidRPr="00167CB8">
        <w:t xml:space="preserve">The intended beneficiaries of the stream were identified as including those employers and employees </w:t>
      </w:r>
      <w:r w:rsidR="00823EC8" w:rsidRPr="00167CB8">
        <w:t>‘</w:t>
      </w:r>
      <w:r w:rsidRPr="00167CB8">
        <w:t>in low paid industries such as aged care, disability care, and early childhood education and care who may lack the necessary skills, resources and power to bargain effectively</w:t>
      </w:r>
      <w:r w:rsidR="00823EC8" w:rsidRPr="00167CB8">
        <w:t>’</w:t>
      </w:r>
      <w:r w:rsidRPr="00167CB8">
        <w:rPr>
          <w:vertAlign w:val="superscript"/>
        </w:rPr>
        <w:footnoteReference w:id="348"/>
      </w:r>
      <w:r w:rsidRPr="00167CB8">
        <w:t xml:space="preserve"> and </w:t>
      </w:r>
      <w:r w:rsidR="00823EC8" w:rsidRPr="00167CB8">
        <w:t>‘</w:t>
      </w:r>
      <w:r w:rsidRPr="00167CB8">
        <w:t>employees and employers who may face barriers to bargaining, such as employees with a disability and First Nations employees</w:t>
      </w:r>
      <w:r w:rsidR="00207645">
        <w:t>.</w:t>
      </w:r>
      <w:r w:rsidR="00823EC8" w:rsidRPr="00167CB8">
        <w:t>’</w:t>
      </w:r>
      <w:r w:rsidRPr="00167CB8">
        <w:rPr>
          <w:vertAlign w:val="superscript"/>
        </w:rPr>
        <w:footnoteReference w:id="349"/>
      </w:r>
    </w:p>
    <w:p w14:paraId="02103EBE" w14:textId="7FF4650B" w:rsidR="00173F8E" w:rsidRPr="00167CB8" w:rsidRDefault="003B14A5" w:rsidP="00173F8E">
      <w:pPr>
        <w:pStyle w:val="Heading4"/>
        <w:rPr>
          <w:rFonts w:asciiTheme="minorHAnsi" w:hAnsiTheme="minorHAnsi"/>
        </w:rPr>
      </w:pPr>
      <w:bookmarkStart w:id="179" w:name="_Toc189260232"/>
      <w:bookmarkStart w:id="180" w:name="_Toc189393548"/>
      <w:r w:rsidRPr="00167CB8">
        <w:rPr>
          <w:rFonts w:asciiTheme="minorHAnsi" w:hAnsiTheme="minorHAnsi"/>
        </w:rPr>
        <w:lastRenderedPageBreak/>
        <w:t>11</w:t>
      </w:r>
      <w:r w:rsidR="00173F8E" w:rsidRPr="00167CB8">
        <w:rPr>
          <w:rFonts w:asciiTheme="minorHAnsi" w:hAnsiTheme="minorHAnsi"/>
        </w:rPr>
        <w:t xml:space="preserve">.2 Impact </w:t>
      </w:r>
      <w:r w:rsidR="00823EC8" w:rsidRPr="00167CB8">
        <w:rPr>
          <w:rFonts w:asciiTheme="minorHAnsi" w:hAnsiTheme="minorHAnsi"/>
        </w:rPr>
        <w:t>and</w:t>
      </w:r>
      <w:r w:rsidR="00173F8E" w:rsidRPr="00167CB8">
        <w:rPr>
          <w:rFonts w:asciiTheme="minorHAnsi" w:hAnsiTheme="minorHAnsi"/>
        </w:rPr>
        <w:t xml:space="preserve"> </w:t>
      </w:r>
      <w:r w:rsidR="00823EC8" w:rsidRPr="00167CB8">
        <w:rPr>
          <w:rFonts w:asciiTheme="minorHAnsi" w:hAnsiTheme="minorHAnsi"/>
        </w:rPr>
        <w:t>i</w:t>
      </w:r>
      <w:r w:rsidR="00173F8E" w:rsidRPr="00167CB8">
        <w:rPr>
          <w:rFonts w:asciiTheme="minorHAnsi" w:hAnsiTheme="minorHAnsi"/>
        </w:rPr>
        <w:t>ssues</w:t>
      </w:r>
      <w:bookmarkEnd w:id="179"/>
      <w:bookmarkEnd w:id="180"/>
    </w:p>
    <w:p w14:paraId="4443B353" w14:textId="29277028" w:rsidR="00173F8E" w:rsidRPr="00167CB8" w:rsidRDefault="00173F8E" w:rsidP="00823EC8">
      <w:r w:rsidRPr="00167CB8">
        <w:t>This section will consider the effect of the supported bargaining amendments since commencement. In addition to analysis of bargaining trends and outcomes in Chapter 19</w:t>
      </w:r>
      <w:r w:rsidR="00823EC8" w:rsidRPr="00167CB8">
        <w:t>,</w:t>
      </w:r>
      <w:r w:rsidRPr="00167CB8">
        <w:t xml:space="preserve"> the effectiveness or otherwise of these amendments can be assessed through a consideration of decisions of courts and tribunals and the views of stakeholders.</w:t>
      </w:r>
    </w:p>
    <w:p w14:paraId="744348C0" w14:textId="5DD55E17" w:rsidR="00173F8E" w:rsidRPr="00167CB8" w:rsidRDefault="003B14A5" w:rsidP="00173F8E">
      <w:pPr>
        <w:pStyle w:val="Heading5"/>
        <w:rPr>
          <w:rFonts w:asciiTheme="minorHAnsi" w:hAnsiTheme="minorHAnsi"/>
        </w:rPr>
      </w:pPr>
      <w:r w:rsidRPr="00167CB8">
        <w:rPr>
          <w:rFonts w:asciiTheme="minorHAnsi" w:hAnsiTheme="minorHAnsi"/>
        </w:rPr>
        <w:t>11</w:t>
      </w:r>
      <w:r w:rsidR="00173F8E" w:rsidRPr="00167CB8">
        <w:rPr>
          <w:rFonts w:asciiTheme="minorHAnsi" w:hAnsiTheme="minorHAnsi"/>
        </w:rPr>
        <w:t xml:space="preserve">.2.1 Quantitative </w:t>
      </w:r>
      <w:r w:rsidR="00823EC8" w:rsidRPr="00167CB8">
        <w:rPr>
          <w:rFonts w:asciiTheme="minorHAnsi" w:hAnsiTheme="minorHAnsi"/>
        </w:rPr>
        <w:t>e</w:t>
      </w:r>
      <w:r w:rsidR="00173F8E" w:rsidRPr="00167CB8">
        <w:rPr>
          <w:rFonts w:asciiTheme="minorHAnsi" w:hAnsiTheme="minorHAnsi"/>
        </w:rPr>
        <w:t>vidence</w:t>
      </w:r>
    </w:p>
    <w:p w14:paraId="544AD72C" w14:textId="38340424" w:rsidR="00173F8E" w:rsidRPr="00167CB8" w:rsidRDefault="00173F8E" w:rsidP="00823EC8">
      <w:r w:rsidRPr="00167CB8">
        <w:t xml:space="preserve">Since commencement, there have been few instances of supported bargaining. The Review Panel is aware of </w:t>
      </w:r>
      <w:r w:rsidR="00823EC8" w:rsidRPr="00167CB8">
        <w:t xml:space="preserve">7 </w:t>
      </w:r>
      <w:r w:rsidRPr="00167CB8">
        <w:t>applications for a supported bargaining authorisation. As at</w:t>
      </w:r>
      <w:r w:rsidRPr="00167CB8" w:rsidDel="007332B6">
        <w:t xml:space="preserve"> </w:t>
      </w:r>
      <w:r w:rsidRPr="00167CB8">
        <w:t xml:space="preserve">17 January 2025, </w:t>
      </w:r>
      <w:r w:rsidR="00823EC8" w:rsidRPr="00167CB8">
        <w:t xml:space="preserve">5 </w:t>
      </w:r>
      <w:r w:rsidRPr="00167CB8">
        <w:t xml:space="preserve">supported bargaining applications had resulted in an authorisation being granted. The remaining applications are ongoing. </w:t>
      </w:r>
    </w:p>
    <w:p w14:paraId="562DA2B4" w14:textId="50D67BAD" w:rsidR="00173F8E" w:rsidRPr="00167CB8" w:rsidRDefault="00173F8E" w:rsidP="00470AB9">
      <w:pPr>
        <w:pStyle w:val="Caption"/>
      </w:pPr>
      <w:r w:rsidRPr="00167CB8">
        <w:t xml:space="preserve">Table </w:t>
      </w:r>
      <w:r w:rsidR="00577D59" w:rsidRPr="00167CB8">
        <w:t>8</w:t>
      </w:r>
      <w:r w:rsidRPr="00167CB8">
        <w:t xml:space="preserve">: Supported bargaining authorisations granted by the Fair Work Commission as of 17 January 2025 </w:t>
      </w:r>
    </w:p>
    <w:tbl>
      <w:tblPr>
        <w:tblStyle w:val="TableGrid"/>
        <w:tblW w:w="0" w:type="auto"/>
        <w:tblLook w:val="04A0" w:firstRow="1" w:lastRow="0" w:firstColumn="1" w:lastColumn="0" w:noHBand="0" w:noVBand="1"/>
      </w:tblPr>
      <w:tblGrid>
        <w:gridCol w:w="3060"/>
        <w:gridCol w:w="1539"/>
        <w:gridCol w:w="2146"/>
        <w:gridCol w:w="2271"/>
      </w:tblGrid>
      <w:tr w:rsidR="00173F8E" w:rsidRPr="00167CB8" w14:paraId="78009906" w14:textId="77777777" w:rsidTr="00DC046E">
        <w:tc>
          <w:tcPr>
            <w:tcW w:w="3256" w:type="dxa"/>
          </w:tcPr>
          <w:p w14:paraId="2FC7A690"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Matter</w:t>
            </w:r>
          </w:p>
        </w:tc>
        <w:tc>
          <w:tcPr>
            <w:tcW w:w="1108" w:type="dxa"/>
          </w:tcPr>
          <w:p w14:paraId="194DAD9E"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Industry/sector</w:t>
            </w:r>
          </w:p>
        </w:tc>
        <w:tc>
          <w:tcPr>
            <w:tcW w:w="2269" w:type="dxa"/>
          </w:tcPr>
          <w:p w14:paraId="540A4EEE"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Decision issued</w:t>
            </w:r>
          </w:p>
        </w:tc>
        <w:tc>
          <w:tcPr>
            <w:tcW w:w="2383" w:type="dxa"/>
          </w:tcPr>
          <w:p w14:paraId="2A82D3B5"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Outcome</w:t>
            </w:r>
          </w:p>
        </w:tc>
      </w:tr>
      <w:tr w:rsidR="00173F8E" w:rsidRPr="00167CB8" w14:paraId="1E242C61" w14:textId="77777777" w:rsidTr="00DC046E">
        <w:tc>
          <w:tcPr>
            <w:tcW w:w="3256" w:type="dxa"/>
          </w:tcPr>
          <w:p w14:paraId="49FB65F4" w14:textId="77777777" w:rsidR="00173F8E" w:rsidRPr="00BC3D97" w:rsidRDefault="00173F8E">
            <w:pPr>
              <w:pStyle w:val="FootnoteText"/>
              <w:spacing w:line="259" w:lineRule="auto"/>
              <w:rPr>
                <w:rFonts w:cs="Calibri"/>
                <w:sz w:val="20"/>
              </w:rPr>
            </w:pPr>
            <w:r w:rsidRPr="00BC3D97">
              <w:rPr>
                <w:rFonts w:cs="Calibri"/>
                <w:i/>
                <w:sz w:val="20"/>
                <w:lang w:val="en-US"/>
              </w:rPr>
              <w:t xml:space="preserve">United Workers’ Union, Australian Education Union and Independent Education Union of Australia </w:t>
            </w:r>
            <w:r w:rsidRPr="00BC3D97">
              <w:rPr>
                <w:rFonts w:cs="Calibri"/>
                <w:sz w:val="20"/>
                <w:lang w:val="en-US"/>
              </w:rPr>
              <w:t>[2023] FWCFB 176</w:t>
            </w:r>
          </w:p>
        </w:tc>
        <w:tc>
          <w:tcPr>
            <w:tcW w:w="1108" w:type="dxa"/>
          </w:tcPr>
          <w:p w14:paraId="4C831556"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Early childhood education and care</w:t>
            </w:r>
          </w:p>
        </w:tc>
        <w:tc>
          <w:tcPr>
            <w:tcW w:w="2269" w:type="dxa"/>
          </w:tcPr>
          <w:p w14:paraId="5BD659F5"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27 September 2023</w:t>
            </w:r>
          </w:p>
        </w:tc>
        <w:tc>
          <w:tcPr>
            <w:tcW w:w="2383" w:type="dxa"/>
          </w:tcPr>
          <w:p w14:paraId="4946046A"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Authorisation granted</w:t>
            </w:r>
          </w:p>
        </w:tc>
      </w:tr>
      <w:tr w:rsidR="00173F8E" w:rsidRPr="00167CB8" w14:paraId="139548D4" w14:textId="77777777" w:rsidTr="00DC046E">
        <w:tc>
          <w:tcPr>
            <w:tcW w:w="3256" w:type="dxa"/>
          </w:tcPr>
          <w:p w14:paraId="6CC73EDB"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eastAsiaTheme="majorEastAsia" w:hAnsiTheme="minorHAnsi" w:cs="Calibri"/>
                <w:i/>
                <w:sz w:val="20"/>
                <w:szCs w:val="20"/>
              </w:rPr>
              <w:t xml:space="preserve">Australian Municipal, Administrative, Clerical and Services Union v Australian Capital Territory Council of Social Services Inc T/A ACTOSS and Others </w:t>
            </w:r>
            <w:r w:rsidRPr="00BC3D97">
              <w:rPr>
                <w:rFonts w:asciiTheme="minorHAnsi" w:eastAsiaTheme="majorEastAsia" w:hAnsiTheme="minorHAnsi" w:cs="Calibri"/>
                <w:sz w:val="20"/>
                <w:szCs w:val="20"/>
              </w:rPr>
              <w:t>[2024] FWC 2306</w:t>
            </w:r>
          </w:p>
        </w:tc>
        <w:tc>
          <w:tcPr>
            <w:tcW w:w="1108" w:type="dxa"/>
          </w:tcPr>
          <w:p w14:paraId="32C34B8C"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Social and community services</w:t>
            </w:r>
          </w:p>
        </w:tc>
        <w:tc>
          <w:tcPr>
            <w:tcW w:w="2269" w:type="dxa"/>
          </w:tcPr>
          <w:p w14:paraId="09361A98"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7 August 2024</w:t>
            </w:r>
          </w:p>
        </w:tc>
        <w:tc>
          <w:tcPr>
            <w:tcW w:w="2383" w:type="dxa"/>
          </w:tcPr>
          <w:p w14:paraId="7BA6FFCC"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Authorisation granted</w:t>
            </w:r>
          </w:p>
          <w:p w14:paraId="50B0395B" w14:textId="77777777" w:rsidR="00173F8E" w:rsidRPr="00BC3D97" w:rsidRDefault="00173F8E">
            <w:pPr>
              <w:pStyle w:val="NormalWeb"/>
              <w:spacing w:line="259" w:lineRule="auto"/>
              <w:rPr>
                <w:rFonts w:asciiTheme="minorHAnsi" w:hAnsiTheme="minorHAnsi" w:cs="Calibri"/>
                <w:sz w:val="20"/>
                <w:szCs w:val="20"/>
              </w:rPr>
            </w:pPr>
          </w:p>
        </w:tc>
      </w:tr>
      <w:tr w:rsidR="00173F8E" w:rsidRPr="00167CB8" w14:paraId="69B0084E" w14:textId="77777777" w:rsidTr="00DC046E">
        <w:tc>
          <w:tcPr>
            <w:tcW w:w="3256" w:type="dxa"/>
          </w:tcPr>
          <w:p w14:paraId="6117AEA7" w14:textId="77777777" w:rsidR="00173F8E" w:rsidRPr="00BC3D97" w:rsidRDefault="00173F8E">
            <w:pPr>
              <w:pStyle w:val="NormalWeb"/>
              <w:spacing w:line="259" w:lineRule="auto"/>
              <w:rPr>
                <w:rFonts w:asciiTheme="minorHAnsi" w:eastAsiaTheme="majorEastAsia" w:hAnsiTheme="minorHAnsi" w:cs="Calibri"/>
                <w:i/>
                <w:sz w:val="20"/>
                <w:szCs w:val="20"/>
              </w:rPr>
            </w:pPr>
            <w:r w:rsidRPr="00BC3D97">
              <w:rPr>
                <w:rFonts w:asciiTheme="minorHAnsi" w:eastAsiaTheme="majorEastAsia" w:hAnsiTheme="minorHAnsi" w:cs="Calibri"/>
                <w:i/>
                <w:sz w:val="20"/>
                <w:szCs w:val="20"/>
              </w:rPr>
              <w:t>Australian Municipal, Administrative, Clerical and Services Union v Inner Melbourne Community Legal Inc T/A Inner Melbourne Community Legal, Young People’s Legal Rights Centre Inc T/A Youthlaw</w:t>
            </w:r>
            <w:r w:rsidRPr="00BC3D97">
              <w:rPr>
                <w:rFonts w:asciiTheme="minorHAnsi" w:eastAsiaTheme="majorEastAsia" w:hAnsiTheme="minorHAnsi" w:cs="Calibri"/>
                <w:sz w:val="20"/>
                <w:szCs w:val="20"/>
              </w:rPr>
              <w:t xml:space="preserve"> [2024] FWC 2491</w:t>
            </w:r>
          </w:p>
        </w:tc>
        <w:tc>
          <w:tcPr>
            <w:tcW w:w="1108" w:type="dxa"/>
          </w:tcPr>
          <w:p w14:paraId="64941B00"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Community legal</w:t>
            </w:r>
          </w:p>
        </w:tc>
        <w:tc>
          <w:tcPr>
            <w:tcW w:w="2269" w:type="dxa"/>
          </w:tcPr>
          <w:p w14:paraId="20DCC324"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16 September 2024</w:t>
            </w:r>
          </w:p>
        </w:tc>
        <w:tc>
          <w:tcPr>
            <w:tcW w:w="2383" w:type="dxa"/>
          </w:tcPr>
          <w:p w14:paraId="50370462"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Authorisation granted</w:t>
            </w:r>
          </w:p>
        </w:tc>
      </w:tr>
      <w:tr w:rsidR="00173F8E" w:rsidRPr="00167CB8" w14:paraId="69228397" w14:textId="77777777" w:rsidTr="00DC046E">
        <w:tc>
          <w:tcPr>
            <w:tcW w:w="3256" w:type="dxa"/>
          </w:tcPr>
          <w:p w14:paraId="213B76F9" w14:textId="3E8FBA7C" w:rsidR="00173F8E" w:rsidRPr="00BC3D97" w:rsidRDefault="00173F8E">
            <w:pPr>
              <w:spacing w:after="160" w:line="259" w:lineRule="auto"/>
              <w:rPr>
                <w:sz w:val="20"/>
                <w:szCs w:val="20"/>
              </w:rPr>
            </w:pPr>
            <w:r w:rsidRPr="00BC3D97">
              <w:rPr>
                <w:i/>
                <w:iCs/>
                <w:sz w:val="20"/>
                <w:szCs w:val="20"/>
              </w:rPr>
              <w:t xml:space="preserve">The Independent Education Union of Australia &amp; </w:t>
            </w:r>
            <w:r w:rsidR="00823EC8" w:rsidRPr="00BC3D97">
              <w:rPr>
                <w:i/>
                <w:iCs/>
                <w:sz w:val="20"/>
                <w:szCs w:val="20"/>
              </w:rPr>
              <w:t>T</w:t>
            </w:r>
            <w:r w:rsidRPr="00BC3D97">
              <w:rPr>
                <w:i/>
                <w:iCs/>
                <w:sz w:val="20"/>
                <w:szCs w:val="20"/>
              </w:rPr>
              <w:t>he United Workers’ Union v Aberdare Pre School Inc and Others</w:t>
            </w:r>
            <w:r w:rsidRPr="00BC3D97">
              <w:rPr>
                <w:sz w:val="20"/>
                <w:szCs w:val="20"/>
              </w:rPr>
              <w:t xml:space="preserve"> [2024] FWC 2583</w:t>
            </w:r>
          </w:p>
        </w:tc>
        <w:tc>
          <w:tcPr>
            <w:tcW w:w="1108" w:type="dxa"/>
          </w:tcPr>
          <w:p w14:paraId="014FF1BF"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Early childhood education and care</w:t>
            </w:r>
          </w:p>
        </w:tc>
        <w:tc>
          <w:tcPr>
            <w:tcW w:w="2269" w:type="dxa"/>
          </w:tcPr>
          <w:p w14:paraId="72F9E435"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23 September 2024</w:t>
            </w:r>
          </w:p>
        </w:tc>
        <w:tc>
          <w:tcPr>
            <w:tcW w:w="2383" w:type="dxa"/>
          </w:tcPr>
          <w:p w14:paraId="77B4AB74"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Authorisation granted</w:t>
            </w:r>
          </w:p>
        </w:tc>
      </w:tr>
      <w:tr w:rsidR="00173F8E" w:rsidRPr="00167CB8" w14:paraId="02FDD88E" w14:textId="77777777" w:rsidTr="00DC046E">
        <w:trPr>
          <w:trHeight w:val="300"/>
        </w:trPr>
        <w:tc>
          <w:tcPr>
            <w:tcW w:w="3256" w:type="dxa"/>
          </w:tcPr>
          <w:p w14:paraId="00555B90" w14:textId="1B8FF6AC" w:rsidR="00173F8E" w:rsidRPr="00BC3D97" w:rsidRDefault="00173F8E" w:rsidP="00823EC8">
            <w:pPr>
              <w:spacing w:line="259" w:lineRule="auto"/>
              <w:rPr>
                <w:i/>
                <w:sz w:val="20"/>
                <w:szCs w:val="20"/>
              </w:rPr>
            </w:pPr>
            <w:r w:rsidRPr="00BC3D97">
              <w:rPr>
                <w:i/>
                <w:iCs/>
                <w:sz w:val="20"/>
                <w:szCs w:val="20"/>
              </w:rPr>
              <w:t xml:space="preserve">The Health Service Union &amp; The Australian Education Union v Alkira Disability Services Ltd T/A Alkira Centre and Others </w:t>
            </w:r>
            <w:r w:rsidRPr="00BC3D97">
              <w:rPr>
                <w:rFonts w:eastAsia="Calibri" w:cs="Calibri"/>
                <w:sz w:val="20"/>
                <w:szCs w:val="20"/>
              </w:rPr>
              <w:t>[2024] FWC 2713</w:t>
            </w:r>
          </w:p>
        </w:tc>
        <w:tc>
          <w:tcPr>
            <w:tcW w:w="1108" w:type="dxa"/>
          </w:tcPr>
          <w:p w14:paraId="65A6524A"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Disability</w:t>
            </w:r>
          </w:p>
        </w:tc>
        <w:tc>
          <w:tcPr>
            <w:tcW w:w="2269" w:type="dxa"/>
          </w:tcPr>
          <w:p w14:paraId="38AFDCD1"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3 October 2024</w:t>
            </w:r>
          </w:p>
        </w:tc>
        <w:tc>
          <w:tcPr>
            <w:tcW w:w="2383" w:type="dxa"/>
          </w:tcPr>
          <w:p w14:paraId="4DB7106C" w14:textId="77777777" w:rsidR="00173F8E" w:rsidRPr="00BC3D97" w:rsidRDefault="00173F8E">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Authorisation granted</w:t>
            </w:r>
          </w:p>
        </w:tc>
      </w:tr>
    </w:tbl>
    <w:p w14:paraId="25040DED" w14:textId="77777777" w:rsidR="00BC3D97" w:rsidRDefault="00BC3D97" w:rsidP="00823EC8"/>
    <w:p w14:paraId="5F69607A" w14:textId="558D33AB" w:rsidR="00173F8E" w:rsidRPr="00167CB8" w:rsidRDefault="00173F8E" w:rsidP="00823EC8">
      <w:r w:rsidRPr="00167CB8">
        <w:lastRenderedPageBreak/>
        <w:t>The Review Panel notes that these applications were not opposed by the employers named in the application.</w:t>
      </w:r>
      <w:r w:rsidRPr="00167CB8">
        <w:rPr>
          <w:vertAlign w:val="superscript"/>
        </w:rPr>
        <w:footnoteReference w:id="350"/>
      </w:r>
    </w:p>
    <w:p w14:paraId="68A71E8F" w14:textId="7CF6E5D2" w:rsidR="00173F8E" w:rsidRPr="00167CB8" w:rsidRDefault="00173F8E" w:rsidP="00823EC8">
      <w:r w:rsidRPr="00167CB8">
        <w:t>As at 17 January 2025 the FWC has approved one supported bargaining agreement (see discussion below).</w:t>
      </w:r>
      <w:r w:rsidRPr="00167CB8">
        <w:rPr>
          <w:vertAlign w:val="superscript"/>
        </w:rPr>
        <w:footnoteReference w:id="351"/>
      </w:r>
    </w:p>
    <w:p w14:paraId="6E4C368D" w14:textId="259DA08A" w:rsidR="00173F8E" w:rsidRPr="00167CB8" w:rsidRDefault="003F5D62" w:rsidP="00823EC8">
      <w:r w:rsidRPr="00167CB8">
        <w:rPr>
          <w:rFonts w:cs="Calibri"/>
        </w:rPr>
        <w:t xml:space="preserve">On 28 January 2025, the FWC approved 33 applications to vary </w:t>
      </w:r>
      <w:r w:rsidR="00231EFE" w:rsidRPr="00167CB8">
        <w:rPr>
          <w:rFonts w:cs="Calibri"/>
        </w:rPr>
        <w:t>a</w:t>
      </w:r>
      <w:r w:rsidRPr="00167CB8">
        <w:rPr>
          <w:rFonts w:cs="Calibri"/>
        </w:rPr>
        <w:t xml:space="preserve"> supported bargaining agreement to add employers and their employees to its coverage.</w:t>
      </w:r>
      <w:r w:rsidRPr="00167CB8">
        <w:rPr>
          <w:rStyle w:val="FootnoteReference"/>
          <w:rFonts w:cs="Calibri"/>
        </w:rPr>
        <w:footnoteReference w:id="352"/>
      </w:r>
      <w:r w:rsidR="00173F8E" w:rsidRPr="00167CB8" w:rsidDel="00437F4F">
        <w:t xml:space="preserve"> </w:t>
      </w:r>
    </w:p>
    <w:p w14:paraId="7CD5C0EC" w14:textId="508140DF" w:rsidR="00173F8E" w:rsidRPr="00167CB8" w:rsidRDefault="003B14A5" w:rsidP="00173F8E">
      <w:pPr>
        <w:pStyle w:val="Heading5"/>
        <w:rPr>
          <w:rFonts w:asciiTheme="minorHAnsi" w:hAnsiTheme="minorHAnsi"/>
        </w:rPr>
      </w:pPr>
      <w:r w:rsidRPr="00167CB8">
        <w:rPr>
          <w:rFonts w:asciiTheme="minorHAnsi" w:hAnsiTheme="minorHAnsi"/>
        </w:rPr>
        <w:t>11</w:t>
      </w:r>
      <w:r w:rsidR="00173F8E" w:rsidRPr="00167CB8">
        <w:rPr>
          <w:rFonts w:asciiTheme="minorHAnsi" w:hAnsiTheme="minorHAnsi"/>
        </w:rPr>
        <w:t xml:space="preserve">.2.2 Qualitative </w:t>
      </w:r>
      <w:r w:rsidR="00823EC8" w:rsidRPr="00167CB8">
        <w:rPr>
          <w:rFonts w:asciiTheme="minorHAnsi" w:hAnsiTheme="minorHAnsi"/>
        </w:rPr>
        <w:t>e</w:t>
      </w:r>
      <w:r w:rsidR="00173F8E" w:rsidRPr="00167CB8">
        <w:rPr>
          <w:rFonts w:asciiTheme="minorHAnsi" w:hAnsiTheme="minorHAnsi"/>
        </w:rPr>
        <w:t>vidence</w:t>
      </w:r>
    </w:p>
    <w:p w14:paraId="2F5707C2" w14:textId="77777777" w:rsidR="00173F8E" w:rsidRPr="00167CB8" w:rsidRDefault="00173F8E" w:rsidP="00823EC8">
      <w:r w:rsidRPr="00167CB8">
        <w:t>Despite the small number of cases brought to FWC so far, the FWC has, through its early decisions, issued guidance on the proper interpretation and application of the amended provisions.</w:t>
      </w:r>
    </w:p>
    <w:p w14:paraId="38D17837" w14:textId="68E135A4" w:rsidR="00173F8E" w:rsidRPr="00167CB8" w:rsidRDefault="00173F8E" w:rsidP="00823EC8">
      <w:r w:rsidRPr="00167CB8">
        <w:t>The first application for a supported authorisation was a joint application of the United Workers’ Union</w:t>
      </w:r>
      <w:r w:rsidR="00A1080C" w:rsidRPr="00167CB8">
        <w:t xml:space="preserve"> (UWU)</w:t>
      </w:r>
      <w:r w:rsidRPr="00167CB8">
        <w:t xml:space="preserve">, the Australian Education Union </w:t>
      </w:r>
      <w:r w:rsidR="00A1080C" w:rsidRPr="00167CB8">
        <w:t xml:space="preserve">(AEU) </w:t>
      </w:r>
      <w:r w:rsidRPr="00167CB8">
        <w:t xml:space="preserve">and the Independent Education Union of Australia. It was not opposed by the employers who would be covered by the proposed agreement. The application concerned a proposed supported bargaining agreement in the early childhood education and care sector. </w:t>
      </w:r>
      <w:r w:rsidR="00A1080C" w:rsidRPr="00167CB8">
        <w:t>The Australian Chamber of Commerce and Industry</w:t>
      </w:r>
      <w:r w:rsidRPr="00167CB8">
        <w:t xml:space="preserve">, Ai Group and the </w:t>
      </w:r>
      <w:r w:rsidR="00A1080C" w:rsidRPr="00167CB8">
        <w:t xml:space="preserve">Australian Council of Trade Unions </w:t>
      </w:r>
      <w:r w:rsidRPr="00167CB8">
        <w:t>were permitted to make submissions by the FWC.</w:t>
      </w:r>
    </w:p>
    <w:p w14:paraId="56FDAE8B" w14:textId="7914C158" w:rsidR="00173F8E" w:rsidRPr="00167CB8" w:rsidRDefault="00173F8E" w:rsidP="00823EC8">
      <w:r w:rsidRPr="00167CB8">
        <w:t>On 27 September 2023</w:t>
      </w:r>
      <w:r w:rsidR="00BB2039">
        <w:t>,</w:t>
      </w:r>
      <w:r w:rsidRPr="00167CB8">
        <w:t xml:space="preserve"> the Full Bench of the FWC granted the authorisation (i.e. permitted multi-employer bargaining between the named employers and their employees).</w:t>
      </w:r>
      <w:r w:rsidRPr="00167CB8">
        <w:rPr>
          <w:vertAlign w:val="superscript"/>
        </w:rPr>
        <w:footnoteReference w:id="353"/>
      </w:r>
      <w:r w:rsidRPr="00167CB8">
        <w:t xml:space="preserve"> A number of matters arising from the decision are worth noting.</w:t>
      </w:r>
    </w:p>
    <w:p w14:paraId="5D1DFF28" w14:textId="12D50607" w:rsidR="00173F8E" w:rsidRPr="00167CB8" w:rsidRDefault="00173F8E" w:rsidP="00823EC8">
      <w:r w:rsidRPr="00167CB8">
        <w:t xml:space="preserve">First, the Full Bench of the FWC noted that the </w:t>
      </w:r>
      <w:r w:rsidR="00823EC8" w:rsidRPr="00167CB8">
        <w:t>‘</w:t>
      </w:r>
      <w:r w:rsidRPr="00167CB8">
        <w:t>principal contextual consideration</w:t>
      </w:r>
      <w:r w:rsidR="00823EC8" w:rsidRPr="00167CB8">
        <w:t>’</w:t>
      </w:r>
      <w:r w:rsidRPr="00167CB8">
        <w:rPr>
          <w:vertAlign w:val="superscript"/>
        </w:rPr>
        <w:footnoteReference w:id="354"/>
      </w:r>
      <w:r w:rsidRPr="00167CB8">
        <w:t xml:space="preserve"> in its construction and application of the amended provisions was the modification of the existing provisions </w:t>
      </w:r>
      <w:r w:rsidR="00823EC8" w:rsidRPr="00167CB8">
        <w:t>‘</w:t>
      </w:r>
      <w:r w:rsidRPr="00167CB8">
        <w:t>with the objective of rendering the scheme more accessible and therefore more widely-used</w:t>
      </w:r>
      <w:r w:rsidR="00823EC8" w:rsidRPr="00167CB8">
        <w:t>’</w:t>
      </w:r>
      <w:r w:rsidRPr="00167CB8">
        <w:t>.</w:t>
      </w:r>
      <w:r w:rsidRPr="00167CB8">
        <w:rPr>
          <w:vertAlign w:val="superscript"/>
        </w:rPr>
        <w:footnoteReference w:id="355"/>
      </w:r>
      <w:r w:rsidRPr="00167CB8">
        <w:t xml:space="preserve"> The FWC dismissed a submission by Ai Group that the FWC should not ‘lightly’ find that it is appropriate to make a supported bargaining authorisation. In FWC’s view, to do so would </w:t>
      </w:r>
      <w:r w:rsidR="00823EC8" w:rsidRPr="00167CB8">
        <w:t>‘</w:t>
      </w:r>
      <w:r w:rsidRPr="00167CB8">
        <w:t>likely</w:t>
      </w:r>
      <w:r w:rsidR="00823EC8" w:rsidRPr="00167CB8">
        <w:t xml:space="preserve"> </w:t>
      </w:r>
      <w:r w:rsidRPr="00167CB8">
        <w:t>…</w:t>
      </w:r>
      <w:r w:rsidR="00823EC8" w:rsidRPr="00167CB8">
        <w:t xml:space="preserve"> </w:t>
      </w:r>
      <w:r w:rsidRPr="00167CB8">
        <w:t>defeat or at least hinder the achievement of the apparent statutory intention</w:t>
      </w:r>
      <w:r w:rsidR="00823EC8" w:rsidRPr="00167CB8">
        <w:t>’</w:t>
      </w:r>
      <w:r w:rsidRPr="00167CB8">
        <w:t>.</w:t>
      </w:r>
      <w:r w:rsidRPr="00167CB8">
        <w:rPr>
          <w:vertAlign w:val="superscript"/>
        </w:rPr>
        <w:footnoteReference w:id="356"/>
      </w:r>
    </w:p>
    <w:p w14:paraId="62D29A9D" w14:textId="1024CCAF" w:rsidR="00173F8E" w:rsidRPr="00167CB8" w:rsidRDefault="00173F8E" w:rsidP="00823EC8">
      <w:r w:rsidRPr="00167CB8">
        <w:t xml:space="preserve">Second, in considering the interpretation of the meaning of </w:t>
      </w:r>
      <w:r w:rsidR="00823EC8" w:rsidRPr="00167CB8">
        <w:t>‘</w:t>
      </w:r>
      <w:r w:rsidRPr="00167CB8">
        <w:t>prevailing rates of pay</w:t>
      </w:r>
      <w:r w:rsidR="00823EC8" w:rsidRPr="00167CB8">
        <w:t>’</w:t>
      </w:r>
      <w:r w:rsidRPr="00167CB8">
        <w:t xml:space="preserve"> and </w:t>
      </w:r>
      <w:r w:rsidR="00823EC8" w:rsidRPr="00167CB8">
        <w:t>‘</w:t>
      </w:r>
      <w:r w:rsidRPr="00167CB8">
        <w:t>low rates of pay</w:t>
      </w:r>
      <w:r w:rsidR="00823EC8" w:rsidRPr="00167CB8">
        <w:t>’</w:t>
      </w:r>
      <w:r w:rsidRPr="00167CB8">
        <w:t xml:space="preserve">, the Full Bench of the FWC held that the term is generally concerned with whether employees in the industry or sector (which necessarily extends beyond the employees covered </w:t>
      </w:r>
      <w:r w:rsidRPr="00167CB8">
        <w:lastRenderedPageBreak/>
        <w:t>by the application) are predominantly paid at or close to the relevant award rates of pay.</w:t>
      </w:r>
      <w:r w:rsidRPr="00167CB8">
        <w:rPr>
          <w:vertAlign w:val="superscript"/>
        </w:rPr>
        <w:footnoteReference w:id="357"/>
      </w:r>
      <w:r w:rsidRPr="00167CB8">
        <w:t xml:space="preserve"> This follows from the fact that these represent the </w:t>
      </w:r>
      <w:r w:rsidR="00823EC8" w:rsidRPr="00167CB8">
        <w:t>‘</w:t>
      </w:r>
      <w:r w:rsidRPr="00167CB8">
        <w:t>lowest rate legally available to pay</w:t>
      </w:r>
      <w:r w:rsidR="00823EC8" w:rsidRPr="00167CB8">
        <w:t>’.</w:t>
      </w:r>
      <w:r w:rsidRPr="00167CB8">
        <w:rPr>
          <w:vertAlign w:val="superscript"/>
        </w:rPr>
        <w:footnoteReference w:id="358"/>
      </w:r>
    </w:p>
    <w:p w14:paraId="44826741" w14:textId="256F8F5B" w:rsidR="00173F8E" w:rsidRPr="00167CB8" w:rsidRDefault="00173F8E" w:rsidP="00823EC8">
      <w:r w:rsidRPr="00167CB8">
        <w:t xml:space="preserve">Third, the Full Bench of the FWC stated that the expression </w:t>
      </w:r>
      <w:r w:rsidR="00823EC8" w:rsidRPr="00167CB8">
        <w:t>‘</w:t>
      </w:r>
      <w:r w:rsidRPr="00167CB8">
        <w:t>common interests</w:t>
      </w:r>
      <w:r w:rsidR="00823EC8" w:rsidRPr="00167CB8">
        <w:t>’</w:t>
      </w:r>
      <w:r w:rsidRPr="00167CB8">
        <w:t xml:space="preserve"> is one of wide import and takes its ordinary meaning, extending to </w:t>
      </w:r>
      <w:r w:rsidR="00823EC8" w:rsidRPr="00167CB8">
        <w:t>‘</w:t>
      </w:r>
      <w:r w:rsidRPr="00167CB8">
        <w:t>any joint, shared, related or like characteristics, qualities, undertakings or concerns as between the relevant employers</w:t>
      </w:r>
      <w:r w:rsidR="00823EC8" w:rsidRPr="00167CB8">
        <w:t>’.</w:t>
      </w:r>
      <w:r w:rsidRPr="00167CB8">
        <w:rPr>
          <w:vertAlign w:val="superscript"/>
        </w:rPr>
        <w:footnoteReference w:id="359"/>
      </w:r>
      <w:r w:rsidRPr="00167CB8">
        <w:t xml:space="preserve"> That the common interest must be clearly identifiable means they must be </w:t>
      </w:r>
      <w:r w:rsidR="00823EC8" w:rsidRPr="00167CB8">
        <w:t>‘</w:t>
      </w:r>
      <w:r w:rsidRPr="00167CB8">
        <w:t>plainly discernible or recognisable, but need not be self-evident</w:t>
      </w:r>
      <w:r w:rsidR="00823EC8" w:rsidRPr="00167CB8">
        <w:t>’.</w:t>
      </w:r>
      <w:r w:rsidRPr="00167CB8">
        <w:rPr>
          <w:vertAlign w:val="superscript"/>
        </w:rPr>
        <w:footnoteReference w:id="360"/>
      </w:r>
    </w:p>
    <w:p w14:paraId="59C009DE" w14:textId="3BC8ECF2" w:rsidR="00173F8E" w:rsidRPr="00167CB8" w:rsidRDefault="00173F8E" w:rsidP="00823EC8">
      <w:r w:rsidRPr="00167CB8">
        <w:t xml:space="preserve">Fourth, the Full Bench of the FWC held that a manageable collective bargaining process is one that is </w:t>
      </w:r>
      <w:r w:rsidR="00823EC8" w:rsidRPr="00167CB8">
        <w:t>‘</w:t>
      </w:r>
      <w:r w:rsidRPr="00167CB8">
        <w:t>workable or tractable</w:t>
      </w:r>
      <w:r w:rsidR="00823EC8" w:rsidRPr="00167CB8">
        <w:t>’</w:t>
      </w:r>
      <w:r w:rsidRPr="00167CB8">
        <w:rPr>
          <w:vertAlign w:val="superscript"/>
        </w:rPr>
        <w:footnoteReference w:id="361"/>
      </w:r>
      <w:r w:rsidRPr="00167CB8">
        <w:t xml:space="preserve"> and only concerned with scenarios that are </w:t>
      </w:r>
      <w:r w:rsidR="00823EC8" w:rsidRPr="00167CB8">
        <w:t>‘</w:t>
      </w:r>
      <w:r w:rsidRPr="00167CB8">
        <w:t>probable to happen – not what may possibly happen</w:t>
      </w:r>
      <w:r w:rsidR="00823EC8" w:rsidRPr="00167CB8">
        <w:t>’.</w:t>
      </w:r>
      <w:r w:rsidRPr="00167CB8">
        <w:rPr>
          <w:vertAlign w:val="superscript"/>
        </w:rPr>
        <w:footnoteReference w:id="362"/>
      </w:r>
      <w:r w:rsidRPr="00167CB8">
        <w:t xml:space="preserve"> The inquiry is directed to a collective bargaining process and not the outcome of bargaining such that the prospect of agreement being reached is irrelevant.</w:t>
      </w:r>
    </w:p>
    <w:p w14:paraId="37478103" w14:textId="4C2812E0" w:rsidR="00173F8E" w:rsidRPr="00167CB8" w:rsidRDefault="00173F8E" w:rsidP="00823EC8">
      <w:r w:rsidRPr="00167CB8">
        <w:t xml:space="preserve">Fifth, the Full Bench of the FWC determined it would not engage with submissions that </w:t>
      </w:r>
      <w:r w:rsidR="00823EC8" w:rsidRPr="00167CB8">
        <w:t>‘</w:t>
      </w:r>
      <w:r w:rsidRPr="00167CB8">
        <w:t>did not relate to the present application and were highly hypothetical in nature</w:t>
      </w:r>
      <w:r w:rsidR="00823EC8" w:rsidRPr="00167CB8">
        <w:t>’</w:t>
      </w:r>
      <w:r w:rsidRPr="00167CB8">
        <w:t xml:space="preserve"> and that these submissions should be considered in future applications if they are of relevance.</w:t>
      </w:r>
      <w:r w:rsidRPr="00167CB8">
        <w:rPr>
          <w:vertAlign w:val="superscript"/>
        </w:rPr>
        <w:footnoteReference w:id="363"/>
      </w:r>
      <w:r w:rsidRPr="00167CB8">
        <w:t xml:space="preserve"> And</w:t>
      </w:r>
      <w:r w:rsidR="00823EC8" w:rsidRPr="00167CB8">
        <w:t>,</w:t>
      </w:r>
      <w:r w:rsidRPr="00167CB8">
        <w:t xml:space="preserve"> finally, the Full Bench of the FWC considered it weighed in favour of granting that the authorisation would be consistent with the object of the F</w:t>
      </w:r>
      <w:r w:rsidR="00823EC8" w:rsidRPr="00167CB8">
        <w:t xml:space="preserve">air </w:t>
      </w:r>
      <w:r w:rsidRPr="00167CB8">
        <w:t>W</w:t>
      </w:r>
      <w:r w:rsidR="00823EC8" w:rsidRPr="00167CB8">
        <w:t>ork</w:t>
      </w:r>
      <w:r w:rsidRPr="00167CB8">
        <w:t xml:space="preserve"> Act concerned with the promotion of gender equality</w:t>
      </w:r>
      <w:r w:rsidRPr="00167CB8">
        <w:rPr>
          <w:vertAlign w:val="superscript"/>
        </w:rPr>
        <w:footnoteReference w:id="364"/>
      </w:r>
      <w:r w:rsidRPr="00167CB8">
        <w:t xml:space="preserve"> and the object of the supported bargaining provisions to support effective bargaining</w:t>
      </w:r>
      <w:r w:rsidR="00823EC8" w:rsidRPr="00167CB8">
        <w:t>.</w:t>
      </w:r>
      <w:r w:rsidRPr="00167CB8">
        <w:rPr>
          <w:vertAlign w:val="superscript"/>
        </w:rPr>
        <w:footnoteReference w:id="365"/>
      </w:r>
    </w:p>
    <w:p w14:paraId="4D2D1121" w14:textId="4FCC62A7" w:rsidR="00173F8E" w:rsidRPr="00167CB8" w:rsidRDefault="00173F8E" w:rsidP="00823EC8">
      <w:r w:rsidRPr="00167CB8">
        <w:t>On 10 December 2024</w:t>
      </w:r>
      <w:r w:rsidR="00B31251">
        <w:t>,</w:t>
      </w:r>
      <w:r w:rsidRPr="00167CB8">
        <w:t xml:space="preserve"> the Full Bench of the FWC approved the first supported bargaining agreement, which now operates in the early childhood education and care sector (the ECEC Agreement).</w:t>
      </w:r>
      <w:r w:rsidRPr="00167CB8">
        <w:rPr>
          <w:vertAlign w:val="superscript"/>
        </w:rPr>
        <w:footnoteReference w:id="366"/>
      </w:r>
      <w:r w:rsidRPr="00167CB8">
        <w:t xml:space="preserve"> The ECEC Agreement commenced on 17 December 2024 and will nominally expire on 30 November 2026. The </w:t>
      </w:r>
      <w:r w:rsidR="00A1080C" w:rsidRPr="00167CB8">
        <w:t>UWU</w:t>
      </w:r>
      <w:r w:rsidRPr="00167CB8">
        <w:t xml:space="preserve">, the </w:t>
      </w:r>
      <w:r w:rsidR="00A1080C" w:rsidRPr="00167CB8">
        <w:t xml:space="preserve">AEU </w:t>
      </w:r>
      <w:r w:rsidRPr="00167CB8">
        <w:t>and the Independent Education Union of Australia participated in bargaining and are covered by the ECEC Agreement.</w:t>
      </w:r>
    </w:p>
    <w:p w14:paraId="54F6EBF0" w14:textId="60B84CAB" w:rsidR="00173F8E" w:rsidRPr="00167CB8" w:rsidRDefault="00173F8E" w:rsidP="00823EC8">
      <w:r w:rsidRPr="00167CB8">
        <w:t>In its reasons for approving the ECEC Agreement, the FWC noted that the agreement, at that time, covered 60 employers and approximately 12,000 employees.</w:t>
      </w:r>
      <w:r w:rsidRPr="00167CB8">
        <w:rPr>
          <w:vertAlign w:val="superscript"/>
        </w:rPr>
        <w:footnoteReference w:id="367"/>
      </w:r>
      <w:r w:rsidRPr="00167CB8">
        <w:t xml:space="preserve"> Bargaining for the agreement was undertaken with significant assistance from the FWC</w:t>
      </w:r>
      <w:r w:rsidR="00EE244C" w:rsidRPr="00167CB8">
        <w:t>,</w:t>
      </w:r>
      <w:r w:rsidRPr="00167CB8">
        <w:t xml:space="preserve"> including approximately </w:t>
      </w:r>
      <w:r w:rsidRPr="00167CB8">
        <w:lastRenderedPageBreak/>
        <w:t>20 conferences</w:t>
      </w:r>
      <w:r w:rsidRPr="00167CB8">
        <w:rPr>
          <w:vertAlign w:val="superscript"/>
        </w:rPr>
        <w:footnoteReference w:id="368"/>
      </w:r>
      <w:r w:rsidRPr="00167CB8">
        <w:t xml:space="preserve"> and, it seems, significant goodwill between all bargaining parties</w:t>
      </w:r>
      <w:r w:rsidR="00EE244C" w:rsidRPr="00167CB8">
        <w:t>.</w:t>
      </w:r>
      <w:r w:rsidRPr="00167CB8">
        <w:rPr>
          <w:vertAlign w:val="superscript"/>
        </w:rPr>
        <w:footnoteReference w:id="369"/>
      </w:r>
      <w:r w:rsidRPr="00167CB8">
        <w:t xml:space="preserve"> Bargaining was significantly assisted by the direct participation of the Australian Government, meaning the process was a </w:t>
      </w:r>
      <w:r w:rsidR="00EE244C" w:rsidRPr="00167CB8">
        <w:t>‘</w:t>
      </w:r>
      <w:r w:rsidRPr="00167CB8">
        <w:t>helpful forum</w:t>
      </w:r>
      <w:r w:rsidR="00EE244C" w:rsidRPr="00167CB8">
        <w:t>’</w:t>
      </w:r>
      <w:r w:rsidRPr="00167CB8">
        <w:rPr>
          <w:vertAlign w:val="superscript"/>
        </w:rPr>
        <w:footnoteReference w:id="370"/>
      </w:r>
      <w:r w:rsidRPr="00167CB8">
        <w:t xml:space="preserve"> for direct liaison between bargaining representatives and the Australian Government allowing the Australian Government an insight into the real-time progress of the process.</w:t>
      </w:r>
    </w:p>
    <w:p w14:paraId="1FC644EF" w14:textId="19621ED7" w:rsidR="00173F8E" w:rsidRPr="00167CB8" w:rsidRDefault="00173F8E" w:rsidP="00823EC8">
      <w:r w:rsidRPr="00167CB8">
        <w:t>The Review Panel notes that the initial authorisation for this bargaining included an additional 4</w:t>
      </w:r>
      <w:r w:rsidR="00EE244C" w:rsidRPr="00167CB8">
        <w:t> </w:t>
      </w:r>
      <w:r w:rsidRPr="00167CB8">
        <w:t>employers and their employees. In its approval decision, the Full Bench of the FWC noted that these employers did not put the agreement to a vote of their employees because of a change in their circumstances since the authorisation was made.</w:t>
      </w:r>
      <w:r w:rsidRPr="00167CB8">
        <w:rPr>
          <w:vertAlign w:val="superscript"/>
        </w:rPr>
        <w:footnoteReference w:id="371"/>
      </w:r>
    </w:p>
    <w:p w14:paraId="144F4A23" w14:textId="55FA0FE5" w:rsidR="00173F8E" w:rsidRPr="00167CB8" w:rsidRDefault="00173F8E" w:rsidP="00823EC8">
      <w:r w:rsidRPr="00167CB8">
        <w:t xml:space="preserve">The ECEC </w:t>
      </w:r>
      <w:r w:rsidR="00EE244C" w:rsidRPr="00167CB8">
        <w:t>A</w:t>
      </w:r>
      <w:r w:rsidRPr="00167CB8">
        <w:t>greement includes substantial pay increases of 10</w:t>
      </w:r>
      <w:r w:rsidR="00EE244C" w:rsidRPr="00167CB8">
        <w:t>%</w:t>
      </w:r>
      <w:r w:rsidRPr="00167CB8">
        <w:t xml:space="preserve"> of the applicable award rate in the first year of operation and an additional 5</w:t>
      </w:r>
      <w:r w:rsidR="00EE244C" w:rsidRPr="00167CB8">
        <w:t>%</w:t>
      </w:r>
      <w:r w:rsidRPr="00167CB8">
        <w:t xml:space="preserve"> in the second year. This increase is supported by a financial commitment by the Commonwealth as the majority funder of the </w:t>
      </w:r>
      <w:r w:rsidR="00A1080C" w:rsidRPr="00167CB8">
        <w:t xml:space="preserve">early childhood education and care </w:t>
      </w:r>
      <w:r w:rsidRPr="00167CB8">
        <w:t>sector. The Early Childhood Education and Care Worker Retention Payment commenced on 2</w:t>
      </w:r>
      <w:r w:rsidR="00EE244C" w:rsidRPr="00167CB8">
        <w:t> </w:t>
      </w:r>
      <w:r w:rsidRPr="00167CB8">
        <w:t>December 2024.</w:t>
      </w:r>
    </w:p>
    <w:p w14:paraId="6E33F69F" w14:textId="77777777" w:rsidR="00A375F4" w:rsidRPr="00167CB8" w:rsidRDefault="00A375F4" w:rsidP="007C3857">
      <w:r w:rsidRPr="00167CB8">
        <w:t>As noted above, on 28 January 2025 the FWC approved 33 variation applications to add employers and their employees to the coverage of the ECEC agreement.</w:t>
      </w:r>
      <w:r w:rsidRPr="00167CB8">
        <w:rPr>
          <w:rStyle w:val="FootnoteReference"/>
          <w:rFonts w:cs="Calibri"/>
        </w:rPr>
        <w:footnoteReference w:id="372"/>
      </w:r>
      <w:r w:rsidRPr="00167CB8">
        <w:t xml:space="preserve"> The applications were made by the 33 employers seeking to be covered by the agreement ‘…on the basis that it has been agreed with their relevant employees that they should be covered by the ECEC agreement.’</w:t>
      </w:r>
      <w:r w:rsidRPr="00167CB8">
        <w:rPr>
          <w:rStyle w:val="FootnoteReference"/>
          <w:rFonts w:cs="Calibri"/>
        </w:rPr>
        <w:footnoteReference w:id="373"/>
      </w:r>
      <w:r w:rsidRPr="00167CB8">
        <w:t xml:space="preserve"> Media reports that the 33 employers added to the coverage of the agreement represent around 20,000 employees.</w:t>
      </w:r>
      <w:r w:rsidRPr="00167CB8">
        <w:rPr>
          <w:rStyle w:val="FootnoteReference"/>
          <w:rFonts w:cs="Calibri"/>
        </w:rPr>
        <w:footnoteReference w:id="374"/>
      </w:r>
    </w:p>
    <w:p w14:paraId="4C820C4F" w14:textId="4E5C4355" w:rsidR="00173F8E" w:rsidRPr="00167CB8" w:rsidRDefault="00173F8E" w:rsidP="00823EC8">
      <w:r w:rsidRPr="00167CB8">
        <w:t xml:space="preserve">On 5 August 2024 the </w:t>
      </w:r>
      <w:r w:rsidR="00A1080C" w:rsidRPr="00167CB8">
        <w:t>Shop, Distributive and Allied Employees Association</w:t>
      </w:r>
      <w:r w:rsidRPr="00167CB8">
        <w:t xml:space="preserve"> applied for a supported bargaining authorisation relating to a proposed agreement to cover 14 McDonald’s franchisees in South Australia.</w:t>
      </w:r>
      <w:r w:rsidRPr="00167CB8">
        <w:rPr>
          <w:vertAlign w:val="superscript"/>
        </w:rPr>
        <w:footnoteReference w:id="375"/>
      </w:r>
      <w:r w:rsidRPr="00167CB8">
        <w:t xml:space="preserve"> The employer</w:t>
      </w:r>
      <w:r w:rsidR="003A5093" w:rsidRPr="00167CB8">
        <w:t>s</w:t>
      </w:r>
      <w:r w:rsidRPr="00167CB8">
        <w:t xml:space="preserve"> who would be covered by the proposed supported bargaining agreement do not consent to the authorisation being made. Among other issues, it appears to be in dispute whether the employers have clearly identifiable common interests because of each other’s material differences such as structures, sizes, operations, geographical location (which impacts labour), </w:t>
      </w:r>
      <w:r w:rsidR="00EE244C" w:rsidRPr="00167CB8">
        <w:t xml:space="preserve">and </w:t>
      </w:r>
      <w:r w:rsidRPr="00167CB8">
        <w:t>type of restaurant (i.e. freestanding, in-store, drive-through).</w:t>
      </w:r>
      <w:r w:rsidRPr="00167CB8">
        <w:rPr>
          <w:vertAlign w:val="superscript"/>
        </w:rPr>
        <w:footnoteReference w:id="376"/>
      </w:r>
      <w:r w:rsidRPr="00167CB8">
        <w:t xml:space="preserve"> The matter is ongoing.</w:t>
      </w:r>
    </w:p>
    <w:p w14:paraId="341F0D5D" w14:textId="448FFC7B" w:rsidR="00173F8E" w:rsidRPr="00167CB8" w:rsidRDefault="00173F8E" w:rsidP="00823EC8">
      <w:r w:rsidRPr="00167CB8">
        <w:t xml:space="preserve">The </w:t>
      </w:r>
      <w:r w:rsidR="00A1080C" w:rsidRPr="00167CB8">
        <w:t xml:space="preserve">Australian Council of Trade Unions (ACTU) </w:t>
      </w:r>
      <w:r w:rsidRPr="00167CB8">
        <w:t xml:space="preserve">has been granted permission to intervene in the proceedings. </w:t>
      </w:r>
    </w:p>
    <w:p w14:paraId="26507A62" w14:textId="62D5C409" w:rsidR="00173F8E" w:rsidRPr="00167CB8" w:rsidRDefault="00173F8E" w:rsidP="00823EC8">
      <w:r w:rsidRPr="00167CB8">
        <w:t>The Review Panel notes that the FWC’s assistance powers provided by s</w:t>
      </w:r>
      <w:r w:rsidR="00EE244C" w:rsidRPr="00167CB8">
        <w:t> </w:t>
      </w:r>
      <w:r w:rsidRPr="00167CB8">
        <w:t xml:space="preserve">246 of the Fair Work Act have not been tested and so conclusions cannot be drawn about their limitations or effectiveness at this time.  </w:t>
      </w:r>
    </w:p>
    <w:p w14:paraId="7873D405" w14:textId="2BE70E27" w:rsidR="00173F8E" w:rsidRPr="00167CB8" w:rsidRDefault="003B14A5" w:rsidP="00173F8E">
      <w:pPr>
        <w:pStyle w:val="Heading5"/>
        <w:rPr>
          <w:rFonts w:asciiTheme="minorHAnsi" w:hAnsiTheme="minorHAnsi"/>
        </w:rPr>
      </w:pPr>
      <w:r w:rsidRPr="00167CB8">
        <w:rPr>
          <w:rFonts w:asciiTheme="minorHAnsi" w:hAnsiTheme="minorHAnsi"/>
        </w:rPr>
        <w:lastRenderedPageBreak/>
        <w:t>11</w:t>
      </w:r>
      <w:r w:rsidR="00173F8E" w:rsidRPr="00167CB8">
        <w:rPr>
          <w:rFonts w:asciiTheme="minorHAnsi" w:hAnsiTheme="minorHAnsi"/>
        </w:rPr>
        <w:t>.2.3 Stakeholder views</w:t>
      </w:r>
    </w:p>
    <w:p w14:paraId="0E99BC87" w14:textId="5F2ED73E" w:rsidR="00173F8E" w:rsidRPr="00167CB8" w:rsidRDefault="00173F8E" w:rsidP="00EE244C">
      <w:r w:rsidRPr="00167CB8">
        <w:t xml:space="preserve">Union views were supportive of the amendments to the previously </w:t>
      </w:r>
      <w:r w:rsidR="00EE244C" w:rsidRPr="00167CB8">
        <w:t>‘</w:t>
      </w:r>
      <w:r w:rsidRPr="00167CB8">
        <w:t>unusable</w:t>
      </w:r>
      <w:r w:rsidR="00EE244C" w:rsidRPr="00167CB8">
        <w:t>’</w:t>
      </w:r>
      <w:r w:rsidRPr="00167CB8">
        <w:t xml:space="preserve"> low</w:t>
      </w:r>
      <w:r w:rsidR="00EE244C" w:rsidRPr="00167CB8">
        <w:t>-</w:t>
      </w:r>
      <w:r w:rsidRPr="00167CB8">
        <w:t>paid bargaining stream. The ACTU submitted that early indications are that the amendments are working as intended and already surpassed the results of the low-paid bargaining stream.</w:t>
      </w:r>
      <w:r w:rsidRPr="00167CB8">
        <w:rPr>
          <w:rStyle w:val="FootnoteReference"/>
          <w:rFonts w:cs="Calibri"/>
        </w:rPr>
        <w:footnoteReference w:id="377"/>
      </w:r>
      <w:r w:rsidRPr="00167CB8">
        <w:t xml:space="preserve"> The UWU, one of the significant forces behind bargaining in the </w:t>
      </w:r>
      <w:r w:rsidR="00A1080C" w:rsidRPr="00167CB8">
        <w:t xml:space="preserve">early childhood education and care </w:t>
      </w:r>
      <w:r w:rsidRPr="00167CB8">
        <w:t xml:space="preserve">sector, submitted that the reforms have been </w:t>
      </w:r>
      <w:r w:rsidR="00EE244C" w:rsidRPr="00167CB8">
        <w:t>‘</w:t>
      </w:r>
      <w:r w:rsidRPr="00167CB8">
        <w:t>highly effective</w:t>
      </w:r>
      <w:r w:rsidR="00EE244C" w:rsidRPr="00167CB8">
        <w:t>’</w:t>
      </w:r>
      <w:r w:rsidRPr="00167CB8">
        <w:t xml:space="preserve"> in increasing wages and addressing gender inequality.</w:t>
      </w:r>
      <w:r w:rsidRPr="00167CB8">
        <w:rPr>
          <w:rStyle w:val="FootnoteReference"/>
          <w:rFonts w:cs="Calibri"/>
        </w:rPr>
        <w:footnoteReference w:id="378"/>
      </w:r>
      <w:r w:rsidRPr="00167CB8">
        <w:t xml:space="preserve"> The IEU also submit</w:t>
      </w:r>
      <w:r w:rsidR="00A1080C" w:rsidRPr="00167CB8">
        <w:t>ted</w:t>
      </w:r>
      <w:r w:rsidRPr="00167CB8">
        <w:t xml:space="preserve"> that the reforms to remove barriers to accessing the stream have been beneficial.</w:t>
      </w:r>
      <w:r w:rsidRPr="00167CB8">
        <w:rPr>
          <w:rStyle w:val="FootnoteReference"/>
          <w:rFonts w:cs="Calibri"/>
        </w:rPr>
        <w:footnoteReference w:id="379"/>
      </w:r>
      <w:r w:rsidRPr="00167CB8">
        <w:t xml:space="preserve"> </w:t>
      </w:r>
    </w:p>
    <w:p w14:paraId="3AE2527F" w14:textId="76CB8FC3" w:rsidR="00173F8E" w:rsidRPr="00167CB8" w:rsidRDefault="00173F8E" w:rsidP="00EE244C">
      <w:r w:rsidRPr="00167CB8">
        <w:t xml:space="preserve">The ACTU, supported by the UWU, proposed that the Review Panel consider </w:t>
      </w:r>
      <w:r w:rsidR="00CA2CFB" w:rsidRPr="00167CB8">
        <w:t xml:space="preserve">3 </w:t>
      </w:r>
      <w:r w:rsidRPr="00167CB8">
        <w:t>recommendations to amend:</w:t>
      </w:r>
    </w:p>
    <w:p w14:paraId="1783A89B" w14:textId="7A572465" w:rsidR="00173F8E" w:rsidRPr="00167CB8" w:rsidRDefault="00173F8E" w:rsidP="00EA3E2F">
      <w:pPr>
        <w:pStyle w:val="ListBullet"/>
      </w:pPr>
      <w:r w:rsidRPr="00167CB8">
        <w:t>the objects of the Fair Work Act to no longer preference single enterprise level bargaining</w:t>
      </w:r>
    </w:p>
    <w:p w14:paraId="30E80D50" w14:textId="62F3EF9B" w:rsidR="00173F8E" w:rsidRPr="00167CB8" w:rsidRDefault="00173F8E" w:rsidP="00EA3E2F">
      <w:pPr>
        <w:pStyle w:val="ListBullet"/>
      </w:pPr>
      <w:r w:rsidRPr="00167CB8">
        <w:t>the variation of authorisation provisions to permit a union to remove an employer from a supported bargaining authorisation by application to the FWC</w:t>
      </w:r>
      <w:r w:rsidRPr="00167CB8">
        <w:rPr>
          <w:rStyle w:val="FootnoteReference"/>
        </w:rPr>
        <w:footnoteReference w:id="380"/>
      </w:r>
    </w:p>
    <w:p w14:paraId="51538915" w14:textId="77777777" w:rsidR="00173F8E" w:rsidRPr="00167CB8" w:rsidRDefault="00173F8E" w:rsidP="00EA3E2F">
      <w:pPr>
        <w:pStyle w:val="ListBullet"/>
      </w:pPr>
      <w:r w:rsidRPr="00167CB8">
        <w:t>the provisions to permit employers covered by an in-term single-enterprise agreement to be added to a supported bargaining authorisation by consent.</w:t>
      </w:r>
    </w:p>
    <w:p w14:paraId="0CBECE5D" w14:textId="433C04F8" w:rsidR="00173F8E" w:rsidRPr="00167CB8" w:rsidRDefault="00173F8E" w:rsidP="00EE244C">
      <w:r w:rsidRPr="00167CB8">
        <w:t>The UWU also propose</w:t>
      </w:r>
      <w:r w:rsidR="00A1080C" w:rsidRPr="00167CB8">
        <w:t>d</w:t>
      </w:r>
      <w:r w:rsidRPr="00167CB8">
        <w:t xml:space="preserve"> that subsequent bargaining in the supported bargaining stream should be simplified by permitting bargaining to be initiated by written notice and/or for FWC to be required to issue subsequent authorisations that have substantially similar coverage.</w:t>
      </w:r>
    </w:p>
    <w:p w14:paraId="0EFF7033" w14:textId="7E56B831" w:rsidR="00173F8E" w:rsidRPr="00167CB8" w:rsidRDefault="00173F8E" w:rsidP="00EE244C">
      <w:r w:rsidRPr="00167CB8">
        <w:t>In relation to the first proposed recommendation, the ACTU raised a concern about the continued preference in the F</w:t>
      </w:r>
      <w:r w:rsidR="00A1080C" w:rsidRPr="00167CB8">
        <w:t xml:space="preserve">air </w:t>
      </w:r>
      <w:r w:rsidRPr="00167CB8">
        <w:t>W</w:t>
      </w:r>
      <w:r w:rsidR="00A1080C" w:rsidRPr="00167CB8">
        <w:t>ork</w:t>
      </w:r>
      <w:r w:rsidRPr="00167CB8">
        <w:t xml:space="preserve"> Act for enterprise-level collective bargaining. While it has so far not been a barrier to the operation of the supported bargaining reforms, the ACTU’s concern is about the potential for this focus to operate as an unintended barrier in future. The UWU submitted that this potential issue could be addressed by permitting unions to request the FWC to require an agreement to be put to vote in certain circumstances.</w:t>
      </w:r>
    </w:p>
    <w:p w14:paraId="788000A8" w14:textId="3F809C3B" w:rsidR="00173F8E" w:rsidRPr="00167CB8" w:rsidRDefault="00173F8E" w:rsidP="00EE244C">
      <w:r w:rsidRPr="00167CB8">
        <w:t xml:space="preserve">The ACTU raised the potential for a procedural or logistical difficulty with putting multi-employer agreements to a vote where one (or more) employers do not agree. The ACTU submitted that this has been demonstrated in one matter already and was </w:t>
      </w:r>
      <w:r w:rsidR="00CA2CFB" w:rsidRPr="00167CB8">
        <w:t>‘</w:t>
      </w:r>
      <w:r w:rsidRPr="00167CB8">
        <w:t>highly disruptive to the efficiency of the bargaining process</w:t>
      </w:r>
      <w:r w:rsidR="00CA2CFB" w:rsidRPr="00167CB8">
        <w:t>’.</w:t>
      </w:r>
      <w:r w:rsidRPr="00167CB8">
        <w:rPr>
          <w:rStyle w:val="FootnoteReference"/>
          <w:rFonts w:cs="Calibri"/>
        </w:rPr>
        <w:footnoteReference w:id="381"/>
      </w:r>
      <w:r w:rsidRPr="00167CB8">
        <w:t xml:space="preserve"> The Review Panel has not been provided the details of this case.</w:t>
      </w:r>
    </w:p>
    <w:p w14:paraId="61A62CB5" w14:textId="39481F02" w:rsidR="00173F8E" w:rsidRPr="00167CB8" w:rsidRDefault="00173F8E" w:rsidP="00EE244C">
      <w:r w:rsidRPr="00167CB8">
        <w:t>In relation to the third proposal, the ACTU submit</w:t>
      </w:r>
      <w:r w:rsidR="00A1080C" w:rsidRPr="00167CB8">
        <w:t>ted</w:t>
      </w:r>
      <w:r w:rsidRPr="00167CB8">
        <w:t xml:space="preserve"> that there is no reason as a matter of principle why this should not be permitted to occur</w:t>
      </w:r>
      <w:r w:rsidR="00CA2CFB" w:rsidRPr="00167CB8">
        <w:t>.</w:t>
      </w:r>
      <w:r w:rsidRPr="00167CB8">
        <w:rPr>
          <w:rStyle w:val="FootnoteReference"/>
          <w:rFonts w:cs="Calibri"/>
        </w:rPr>
        <w:footnoteReference w:id="382"/>
      </w:r>
      <w:r w:rsidRPr="00167CB8">
        <w:t xml:space="preserve"> The UWU provided its experience that it was not able to include </w:t>
      </w:r>
      <w:r w:rsidR="00A1080C" w:rsidRPr="00167CB8">
        <w:t xml:space="preserve">early childhood education and care </w:t>
      </w:r>
      <w:r w:rsidRPr="00167CB8">
        <w:t>employers in the initial ECEC authorisation because they were already covered by in-term single enterprise agreements</w:t>
      </w:r>
      <w:r w:rsidR="00CA2CFB" w:rsidRPr="00167CB8">
        <w:t>.</w:t>
      </w:r>
      <w:r w:rsidRPr="00167CB8">
        <w:rPr>
          <w:rStyle w:val="FootnoteReference"/>
          <w:rFonts w:cs="Calibri"/>
        </w:rPr>
        <w:footnoteReference w:id="383"/>
      </w:r>
    </w:p>
    <w:p w14:paraId="3F0E0960" w14:textId="3BC5F4B6" w:rsidR="00173F8E" w:rsidRPr="00167CB8" w:rsidRDefault="00173F8E" w:rsidP="00EE244C">
      <w:r w:rsidRPr="00167CB8">
        <w:t xml:space="preserve">Some employers have pointed to the limited number of applications </w:t>
      </w:r>
      <w:r w:rsidR="00CA2CFB" w:rsidRPr="00167CB8">
        <w:rPr>
          <w:rFonts w:ascii="Symbol" w:eastAsia="Symbol" w:hAnsi="Symbol" w:cs="Symbol"/>
        </w:rPr>
        <w:sym w:font="Symbol" w:char="F02D"/>
      </w:r>
      <w:r w:rsidR="00CA2CFB" w:rsidRPr="00167CB8">
        <w:t xml:space="preserve"> </w:t>
      </w:r>
      <w:r w:rsidRPr="00167CB8">
        <w:t>and</w:t>
      </w:r>
      <w:r w:rsidR="00CA2CFB" w:rsidRPr="00167CB8">
        <w:t>,</w:t>
      </w:r>
      <w:r w:rsidRPr="00167CB8">
        <w:t xml:space="preserve"> in particular</w:t>
      </w:r>
      <w:r w:rsidR="00CA2CFB" w:rsidRPr="00167CB8">
        <w:t>,</w:t>
      </w:r>
      <w:r w:rsidRPr="00167CB8">
        <w:t xml:space="preserve"> contested applications</w:t>
      </w:r>
      <w:r w:rsidR="00CA2CFB" w:rsidRPr="00167CB8">
        <w:t xml:space="preserve"> </w:t>
      </w:r>
      <w:r w:rsidR="00CA2CFB" w:rsidRPr="00167CB8">
        <w:rPr>
          <w:rFonts w:ascii="Symbol" w:eastAsia="Symbol" w:hAnsi="Symbol" w:cs="Symbol"/>
        </w:rPr>
        <w:sym w:font="Symbol" w:char="F02D"/>
      </w:r>
      <w:r w:rsidR="00CA2CFB" w:rsidRPr="00167CB8">
        <w:t xml:space="preserve"> </w:t>
      </w:r>
      <w:r w:rsidRPr="00167CB8">
        <w:t xml:space="preserve">that have been before the FWC for consideration. Consistent with an overarching theme for multi-employer bargaining, employer views were generally consistent that any multi-employer bargaining should only be possible with employer consent. In addition, </w:t>
      </w:r>
      <w:r w:rsidRPr="00167CB8">
        <w:lastRenderedPageBreak/>
        <w:t>some employer associations proposed further amendments aimed at reinforcing that single-enterprise bargaining is the principal form of bargaining under the F</w:t>
      </w:r>
      <w:r w:rsidR="00CA2CFB" w:rsidRPr="00167CB8">
        <w:t xml:space="preserve">air </w:t>
      </w:r>
      <w:r w:rsidRPr="00167CB8">
        <w:t>W</w:t>
      </w:r>
      <w:r w:rsidR="00CA2CFB" w:rsidRPr="00167CB8">
        <w:t>ork</w:t>
      </w:r>
      <w:r w:rsidRPr="00167CB8">
        <w:t xml:space="preserve"> Act.</w:t>
      </w:r>
    </w:p>
    <w:p w14:paraId="188A77C0" w14:textId="2A57054D" w:rsidR="00173F8E" w:rsidRPr="00167CB8" w:rsidRDefault="00A1080C" w:rsidP="00EE244C">
      <w:r w:rsidRPr="00167CB8">
        <w:t xml:space="preserve">The Business Council of Australia </w:t>
      </w:r>
      <w:r w:rsidR="00173F8E" w:rsidRPr="00167CB8">
        <w:t>submitted that</w:t>
      </w:r>
      <w:r w:rsidR="00CA2CFB" w:rsidRPr="00167CB8">
        <w:t>,</w:t>
      </w:r>
      <w:r w:rsidR="00173F8E" w:rsidRPr="00167CB8">
        <w:t xml:space="preserve"> should supported bargaining remain compellable, the criteria for entry should be tightened to limit the stream to those sectors that are substantially funded by governments.</w:t>
      </w:r>
      <w:r w:rsidR="00173F8E" w:rsidRPr="00167CB8">
        <w:rPr>
          <w:rStyle w:val="FootnoteReference"/>
          <w:rFonts w:cs="Calibri"/>
        </w:rPr>
        <w:footnoteReference w:id="384"/>
      </w:r>
      <w:r w:rsidR="00173F8E" w:rsidRPr="00167CB8">
        <w:t xml:space="preserve"> </w:t>
      </w:r>
      <w:r w:rsidRPr="00167CB8">
        <w:t xml:space="preserve">The Australian Retailers Association </w:t>
      </w:r>
      <w:r w:rsidR="00173F8E" w:rsidRPr="00167CB8">
        <w:t>question</w:t>
      </w:r>
      <w:r w:rsidRPr="00167CB8">
        <w:t>ed</w:t>
      </w:r>
      <w:r w:rsidR="00173F8E" w:rsidRPr="00167CB8">
        <w:t xml:space="preserve"> the lack of consent in the supported bargaining stream which they assert ‘</w:t>
      </w:r>
      <w:r w:rsidR="00173F8E" w:rsidRPr="00167CB8">
        <w:rPr>
          <w:lang w:val="en-US"/>
        </w:rPr>
        <w:t>undermines the rationale of the required changes being to also assist employers who may have difficulty bargaining at the single-enterprise level’.</w:t>
      </w:r>
      <w:r w:rsidR="00173F8E" w:rsidRPr="00167CB8">
        <w:rPr>
          <w:rStyle w:val="FootnoteReference"/>
          <w:rFonts w:cs="Calibri"/>
          <w:lang w:val="en-US"/>
        </w:rPr>
        <w:footnoteReference w:id="385"/>
      </w:r>
      <w:r w:rsidR="00173F8E" w:rsidRPr="00167CB8">
        <w:rPr>
          <w:lang w:val="en-US"/>
        </w:rPr>
        <w:t xml:space="preserve"> </w:t>
      </w:r>
      <w:r w:rsidRPr="00167CB8">
        <w:t>The Minerals Council of Australia</w:t>
      </w:r>
      <w:r w:rsidR="00173F8E" w:rsidRPr="00167CB8">
        <w:t>,</w:t>
      </w:r>
      <w:r w:rsidR="00173F8E" w:rsidRPr="00167CB8">
        <w:rPr>
          <w:rStyle w:val="FootnoteReference"/>
          <w:rFonts w:cs="Calibri"/>
        </w:rPr>
        <w:footnoteReference w:id="386"/>
      </w:r>
      <w:r w:rsidR="00173F8E" w:rsidRPr="00167CB8">
        <w:t xml:space="preserve"> Ai Group and </w:t>
      </w:r>
      <w:r w:rsidRPr="00167CB8">
        <w:t>Australian Chamber of Commerce and Industry</w:t>
      </w:r>
      <w:r w:rsidR="00173F8E" w:rsidRPr="00167CB8">
        <w:rPr>
          <w:rStyle w:val="FootnoteReference"/>
          <w:rFonts w:cs="Calibri"/>
        </w:rPr>
        <w:footnoteReference w:id="387"/>
      </w:r>
      <w:r w:rsidR="00173F8E" w:rsidRPr="00167CB8">
        <w:t xml:space="preserve"> similarly propose</w:t>
      </w:r>
      <w:r w:rsidRPr="00167CB8">
        <w:t>d</w:t>
      </w:r>
      <w:r w:rsidR="00173F8E" w:rsidRPr="00167CB8">
        <w:t xml:space="preserve"> that the stream be further amended to more closely define it as applicable to low paid industries, including appropriate definitions.</w:t>
      </w:r>
    </w:p>
    <w:p w14:paraId="1320CC5B" w14:textId="677329DF" w:rsidR="00173F8E" w:rsidRPr="00167CB8" w:rsidRDefault="00173F8E" w:rsidP="00EE244C">
      <w:r w:rsidRPr="00167CB8">
        <w:t>Professor Rae Cooper submitted that the supported bargaining stream holds the potential to enhance job security, wages, and conditions for low-paid women.</w:t>
      </w:r>
      <w:r w:rsidRPr="00167CB8">
        <w:rPr>
          <w:rStyle w:val="FootnoteReference"/>
          <w:rFonts w:cs="Calibri"/>
        </w:rPr>
        <w:footnoteReference w:id="388"/>
      </w:r>
      <w:r w:rsidRPr="00167CB8">
        <w:t xml:space="preserve"> In Professor’s Rae’s opinion, the ECEC Agreement is a prime example of the stream facilitating an alignment between funding structures and bargaining to improve job quality and equity outcomes.</w:t>
      </w:r>
    </w:p>
    <w:p w14:paraId="6C4C7D19" w14:textId="304E3027" w:rsidR="00173F8E" w:rsidRPr="00167CB8" w:rsidRDefault="003B14A5" w:rsidP="00173F8E">
      <w:pPr>
        <w:pStyle w:val="Heading4"/>
        <w:rPr>
          <w:rFonts w:asciiTheme="minorHAnsi" w:hAnsiTheme="minorHAnsi"/>
        </w:rPr>
      </w:pPr>
      <w:bookmarkStart w:id="181" w:name="_Toc189260233"/>
      <w:bookmarkStart w:id="182" w:name="_Toc189393549"/>
      <w:r w:rsidRPr="00167CB8">
        <w:rPr>
          <w:rFonts w:asciiTheme="minorHAnsi" w:hAnsiTheme="minorHAnsi"/>
        </w:rPr>
        <w:t>11</w:t>
      </w:r>
      <w:r w:rsidR="00173F8E" w:rsidRPr="00167CB8">
        <w:rPr>
          <w:rFonts w:asciiTheme="minorHAnsi" w:hAnsiTheme="minorHAnsi"/>
        </w:rPr>
        <w:t xml:space="preserve">.3 Findings </w:t>
      </w:r>
      <w:r w:rsidR="00CA2CFB" w:rsidRPr="00167CB8">
        <w:rPr>
          <w:rFonts w:asciiTheme="minorHAnsi" w:hAnsiTheme="minorHAnsi"/>
        </w:rPr>
        <w:t>and</w:t>
      </w:r>
      <w:r w:rsidR="00173F8E" w:rsidRPr="00167CB8">
        <w:rPr>
          <w:rFonts w:asciiTheme="minorHAnsi" w:hAnsiTheme="minorHAnsi"/>
        </w:rPr>
        <w:t xml:space="preserve"> </w:t>
      </w:r>
      <w:r w:rsidR="00CA2CFB" w:rsidRPr="00167CB8">
        <w:rPr>
          <w:rFonts w:asciiTheme="minorHAnsi" w:hAnsiTheme="minorHAnsi"/>
        </w:rPr>
        <w:t>r</w:t>
      </w:r>
      <w:r w:rsidR="00173F8E" w:rsidRPr="00167CB8">
        <w:rPr>
          <w:rFonts w:asciiTheme="minorHAnsi" w:hAnsiTheme="minorHAnsi"/>
        </w:rPr>
        <w:t>ecommendations</w:t>
      </w:r>
      <w:bookmarkEnd w:id="181"/>
      <w:bookmarkEnd w:id="182"/>
    </w:p>
    <w:p w14:paraId="4D681135" w14:textId="3A7E1FCE" w:rsidR="00173F8E" w:rsidRPr="00167CB8" w:rsidRDefault="00173F8E" w:rsidP="00EE244C">
      <w:r w:rsidRPr="00167CB8">
        <w:t xml:space="preserve">The progress of this form of multi-employer bargaining has clearly been slow. There have been only a small number of applications for </w:t>
      </w:r>
      <w:r w:rsidR="0028226C" w:rsidRPr="00167CB8">
        <w:t xml:space="preserve">supported </w:t>
      </w:r>
      <w:r w:rsidRPr="00167CB8">
        <w:t xml:space="preserve">bargaining authorisations and only one agreement finalised and approved. It is also questionable whether large numbers of applications and/or approvals will be forthcoming given the significant conditions that must be met if authorisations are to succeed, bargaining </w:t>
      </w:r>
      <w:r w:rsidR="00CA2CFB" w:rsidRPr="00167CB8">
        <w:t xml:space="preserve">is </w:t>
      </w:r>
      <w:r w:rsidRPr="00167CB8">
        <w:t xml:space="preserve">to produce agreements and agreements are to be approved. </w:t>
      </w:r>
    </w:p>
    <w:p w14:paraId="2C68F21A" w14:textId="4C1810C5" w:rsidR="00173F8E" w:rsidRPr="00167CB8" w:rsidRDefault="00173F8E" w:rsidP="00EE244C">
      <w:r w:rsidRPr="00167CB8">
        <w:t xml:space="preserve">These observations, however, need to be tempered by the successes that have occurred in a relatively short period of time. The first major decision by the FWC on authorisations and agreement approval under these reforms, in the </w:t>
      </w:r>
      <w:r w:rsidR="00A1080C" w:rsidRPr="00167CB8">
        <w:t xml:space="preserve">early childhood education and care </w:t>
      </w:r>
      <w:r w:rsidRPr="00167CB8">
        <w:t>sector, has usefully established many of the ground rules that will operate elsewhere and the case will undoubtedly have a significant effect on a highly feminised and low</w:t>
      </w:r>
      <w:r w:rsidR="00CA2CFB" w:rsidRPr="00167CB8">
        <w:t>-</w:t>
      </w:r>
      <w:r w:rsidRPr="00167CB8">
        <w:t xml:space="preserve">paid sector like </w:t>
      </w:r>
      <w:r w:rsidR="00A1080C" w:rsidRPr="00167CB8">
        <w:t>early childhood education and care</w:t>
      </w:r>
      <w:r w:rsidRPr="00167CB8">
        <w:t xml:space="preserve">. The early signs here </w:t>
      </w:r>
      <w:r w:rsidR="00F90F73">
        <w:t>suggest it is achieving is intent</w:t>
      </w:r>
      <w:r w:rsidRPr="00167CB8">
        <w:t>.</w:t>
      </w:r>
    </w:p>
    <w:p w14:paraId="511C8CBC" w14:textId="27CFF423" w:rsidR="00173F8E" w:rsidRPr="00167CB8" w:rsidRDefault="00173F8E" w:rsidP="00EE244C">
      <w:r w:rsidRPr="00167CB8">
        <w:t>In so far as the particular intention of reforms to the supported bargaining stream was to reduce barriers to access a form of low-paid bargaining, the Review Panel find</w:t>
      </w:r>
      <w:r w:rsidR="002E4510" w:rsidRPr="00167CB8">
        <w:t>s</w:t>
      </w:r>
      <w:r w:rsidRPr="00167CB8">
        <w:t xml:space="preserve"> that the signs are, so far, positive. This observation is strengthened by efforts by the FWC, unions and at least some employers to use awards to advance the wages of the low-paid and to narrow the gender wage gap. </w:t>
      </w:r>
    </w:p>
    <w:p w14:paraId="4F4FF877" w14:textId="54B779DD" w:rsidR="00173F8E" w:rsidRPr="00167CB8" w:rsidRDefault="00173F8E" w:rsidP="00EE244C">
      <w:r w:rsidRPr="00167CB8">
        <w:t>At a higher level, the gradual development of this form of bargaining could well reinforce the Review</w:t>
      </w:r>
      <w:r w:rsidR="00A1080C" w:rsidRPr="00167CB8">
        <w:t xml:space="preserve"> Panel</w:t>
      </w:r>
      <w:r w:rsidRPr="00167CB8">
        <w:t xml:space="preserve">’s previous findings about the growth of collective bargaining, especially the coverage of agreements. It is, however, still too early to draw a direct causal link between these reforms and their effect on closing the gender pay gap and improvements to wages and conditions. </w:t>
      </w:r>
    </w:p>
    <w:p w14:paraId="49FBC3D9" w14:textId="77777777" w:rsidR="00173F8E" w:rsidRPr="00167CB8" w:rsidRDefault="00173F8E" w:rsidP="00EE244C">
      <w:r w:rsidRPr="00167CB8">
        <w:lastRenderedPageBreak/>
        <w:t xml:space="preserve">The Review Panel does not share the concern of some stakeholders that further amendments are needed to the scope of the stream. While the Review Panel agrees that there have been limited decisions to date, it appears that the FWC is performing the role in the supported bargaining process that was intended. </w:t>
      </w:r>
    </w:p>
    <w:p w14:paraId="5A9534C5" w14:textId="2235DABB" w:rsidR="00173F8E" w:rsidRPr="00167CB8" w:rsidRDefault="00173F8E" w:rsidP="00EE244C">
      <w:r w:rsidRPr="00167CB8">
        <w:t>The Review Panel acknowledges that the ongoing matter in relation to McDonald</w:t>
      </w:r>
      <w:r w:rsidR="00D727EE" w:rsidRPr="00167CB8">
        <w:t>’</w:t>
      </w:r>
      <w:r w:rsidRPr="00167CB8">
        <w:t>s franchises in South Australia may, in future, require further consideration about the intended scope of the supported bargaining stream. However, until such time as the FWC has considered the evidence in that matter</w:t>
      </w:r>
      <w:r w:rsidR="002E4510" w:rsidRPr="00167CB8">
        <w:t>,</w:t>
      </w:r>
      <w:r w:rsidRPr="00167CB8">
        <w:t xml:space="preserve"> it is premature to consider further changes.</w:t>
      </w:r>
    </w:p>
    <w:p w14:paraId="29165AB6" w14:textId="77777777" w:rsidR="00173F8E" w:rsidRPr="00167CB8" w:rsidRDefault="00173F8E" w:rsidP="00EE244C">
      <w:r w:rsidRPr="00167CB8">
        <w:t xml:space="preserve">The Review Panel does not make any recommendations at this time. </w:t>
      </w:r>
    </w:p>
    <w:p w14:paraId="5235E587" w14:textId="77777777" w:rsidR="00173F8E" w:rsidRPr="00167CB8" w:rsidRDefault="00173F8E" w:rsidP="00173F8E">
      <w:pPr>
        <w:spacing w:after="160"/>
        <w:rPr>
          <w:rFonts w:eastAsia="Times New Roman" w:cs="Calibri"/>
          <w:sz w:val="24"/>
          <w:szCs w:val="24"/>
          <w:lang w:eastAsia="en-AU"/>
        </w:rPr>
      </w:pPr>
      <w:r w:rsidRPr="00167CB8">
        <w:rPr>
          <w:rFonts w:cs="Calibri"/>
        </w:rPr>
        <w:br w:type="page"/>
      </w:r>
    </w:p>
    <w:p w14:paraId="78B33BB0" w14:textId="7D827470" w:rsidR="00173F8E" w:rsidRPr="00167CB8" w:rsidRDefault="00173F8E" w:rsidP="00173F8E">
      <w:pPr>
        <w:pStyle w:val="Heading3"/>
        <w:rPr>
          <w:rFonts w:asciiTheme="minorHAnsi" w:hAnsiTheme="minorHAnsi"/>
        </w:rPr>
      </w:pPr>
      <w:bookmarkStart w:id="183" w:name="_Toc189260234"/>
      <w:bookmarkStart w:id="184" w:name="_Toc189393550"/>
      <w:r w:rsidRPr="00167CB8">
        <w:rPr>
          <w:rFonts w:asciiTheme="minorHAnsi" w:hAnsiTheme="minorHAnsi"/>
        </w:rPr>
        <w:lastRenderedPageBreak/>
        <w:t>Chapter 12. Single</w:t>
      </w:r>
      <w:r w:rsidR="00A1080C" w:rsidRPr="00167CB8">
        <w:rPr>
          <w:rFonts w:asciiTheme="minorHAnsi" w:hAnsiTheme="minorHAnsi"/>
        </w:rPr>
        <w:t>-</w:t>
      </w:r>
      <w:r w:rsidRPr="00167CB8">
        <w:rPr>
          <w:rFonts w:asciiTheme="minorHAnsi" w:hAnsiTheme="minorHAnsi"/>
        </w:rPr>
        <w:t>interest employer authorisations</w:t>
      </w:r>
      <w:bookmarkEnd w:id="183"/>
      <w:bookmarkEnd w:id="184"/>
    </w:p>
    <w:p w14:paraId="0F05D25D" w14:textId="63597097" w:rsidR="00173F8E" w:rsidRPr="00167CB8" w:rsidRDefault="00173F8E" w:rsidP="00173F8E">
      <w:r w:rsidRPr="00167CB8">
        <w:t>This is the third chapter on multi-employer bargaining. In this case, the amendments relevant to single-interest bargaining were introduced through Part 21 of the Secure Jobs, Better Pay Act. The single</w:t>
      </w:r>
      <w:r w:rsidR="00DB10FE" w:rsidRPr="00167CB8">
        <w:t>-</w:t>
      </w:r>
      <w:r w:rsidRPr="00167CB8">
        <w:t xml:space="preserve">interest employer bargaining steam is a form of multi-employer bargaining which seeks to support </w:t>
      </w:r>
      <w:r w:rsidR="00DB10FE" w:rsidRPr="00167CB8">
        <w:t>‘</w:t>
      </w:r>
      <w:r w:rsidRPr="00167CB8">
        <w:t>employers with clearly identifiable common interests to bargain together</w:t>
      </w:r>
      <w:r w:rsidR="00DB10FE" w:rsidRPr="00167CB8">
        <w:t>’</w:t>
      </w:r>
      <w:r w:rsidRPr="00167CB8">
        <w:t xml:space="preserve"> for a single</w:t>
      </w:r>
      <w:r w:rsidR="00DB10FE" w:rsidRPr="00167CB8">
        <w:t>-</w:t>
      </w:r>
      <w:r w:rsidRPr="00167CB8">
        <w:t>interest employer agreement.</w:t>
      </w:r>
      <w:r w:rsidRPr="00167CB8">
        <w:rPr>
          <w:rStyle w:val="FootnoteReference"/>
        </w:rPr>
        <w:footnoteReference w:id="389"/>
      </w:r>
      <w:r w:rsidRPr="00167CB8">
        <w:t xml:space="preserve">  </w:t>
      </w:r>
    </w:p>
    <w:p w14:paraId="6D640456" w14:textId="56CD20C8" w:rsidR="00173F8E" w:rsidRPr="00167CB8" w:rsidRDefault="003B14A5" w:rsidP="00173F8E">
      <w:pPr>
        <w:pStyle w:val="Heading4"/>
        <w:rPr>
          <w:rFonts w:asciiTheme="minorHAnsi" w:hAnsiTheme="minorHAnsi"/>
        </w:rPr>
      </w:pPr>
      <w:bookmarkStart w:id="185" w:name="_Toc189260235"/>
      <w:bookmarkStart w:id="186" w:name="_Toc189393551"/>
      <w:r w:rsidRPr="00167CB8">
        <w:rPr>
          <w:rFonts w:asciiTheme="minorHAnsi" w:hAnsiTheme="minorHAnsi"/>
        </w:rPr>
        <w:t>12</w:t>
      </w:r>
      <w:r w:rsidR="00173F8E" w:rsidRPr="00167CB8">
        <w:rPr>
          <w:rFonts w:asciiTheme="minorHAnsi" w:hAnsiTheme="minorHAnsi"/>
        </w:rPr>
        <w:t xml:space="preserve">.1 Amendments </w:t>
      </w:r>
      <w:r w:rsidR="00D86268" w:rsidRPr="00167CB8">
        <w:rPr>
          <w:rFonts w:asciiTheme="minorHAnsi" w:hAnsiTheme="minorHAnsi"/>
        </w:rPr>
        <w:t>and</w:t>
      </w:r>
      <w:r w:rsidR="00173F8E" w:rsidRPr="00167CB8">
        <w:rPr>
          <w:rFonts w:asciiTheme="minorHAnsi" w:hAnsiTheme="minorHAnsi"/>
        </w:rPr>
        <w:t xml:space="preserve"> </w:t>
      </w:r>
      <w:r w:rsidR="00D86268" w:rsidRPr="00167CB8">
        <w:rPr>
          <w:rFonts w:asciiTheme="minorHAnsi" w:hAnsiTheme="minorHAnsi"/>
        </w:rPr>
        <w:t>i</w:t>
      </w:r>
      <w:r w:rsidR="00173F8E" w:rsidRPr="00167CB8">
        <w:rPr>
          <w:rFonts w:asciiTheme="minorHAnsi" w:hAnsiTheme="minorHAnsi"/>
        </w:rPr>
        <w:t>ntent</w:t>
      </w:r>
      <w:bookmarkEnd w:id="185"/>
      <w:bookmarkEnd w:id="186"/>
    </w:p>
    <w:p w14:paraId="31074D2E" w14:textId="051A0E4F" w:rsidR="00173F8E" w:rsidRPr="00167CB8" w:rsidRDefault="00173F8E" w:rsidP="00173F8E">
      <w:r w:rsidRPr="00167CB8">
        <w:t>The amendments will be briefly summarised and then the intent behind them will be explored.</w:t>
      </w:r>
    </w:p>
    <w:p w14:paraId="0028B3F5" w14:textId="166F6A1B" w:rsidR="00173F8E" w:rsidRPr="00167CB8" w:rsidRDefault="003B14A5" w:rsidP="00173F8E">
      <w:pPr>
        <w:pStyle w:val="Heading5"/>
        <w:rPr>
          <w:rFonts w:asciiTheme="minorHAnsi" w:hAnsiTheme="minorHAnsi"/>
        </w:rPr>
      </w:pPr>
      <w:r w:rsidRPr="00167CB8">
        <w:rPr>
          <w:rFonts w:asciiTheme="minorHAnsi" w:hAnsiTheme="minorHAnsi"/>
        </w:rPr>
        <w:t>12</w:t>
      </w:r>
      <w:r w:rsidR="00173F8E" w:rsidRPr="00167CB8">
        <w:rPr>
          <w:rFonts w:asciiTheme="minorHAnsi" w:hAnsiTheme="minorHAnsi"/>
        </w:rPr>
        <w:t xml:space="preserve">.1.1 Secure Jobs, Better Pay </w:t>
      </w:r>
      <w:r w:rsidR="00DB10FE" w:rsidRPr="00167CB8">
        <w:rPr>
          <w:rFonts w:asciiTheme="minorHAnsi" w:hAnsiTheme="minorHAnsi"/>
        </w:rPr>
        <w:t>a</w:t>
      </w:r>
      <w:r w:rsidR="00173F8E" w:rsidRPr="00167CB8">
        <w:rPr>
          <w:rFonts w:asciiTheme="minorHAnsi" w:hAnsiTheme="minorHAnsi"/>
        </w:rPr>
        <w:t>mendments</w:t>
      </w:r>
      <w:r w:rsidR="00173F8E" w:rsidRPr="00167CB8" w:rsidDel="00E42AC2">
        <w:rPr>
          <w:rFonts w:asciiTheme="minorHAnsi" w:hAnsiTheme="minorHAnsi"/>
        </w:rPr>
        <w:t xml:space="preserve"> </w:t>
      </w:r>
    </w:p>
    <w:p w14:paraId="348C741A" w14:textId="4B46524B" w:rsidR="00173F8E" w:rsidRPr="00167CB8" w:rsidRDefault="00173F8E" w:rsidP="00173F8E">
      <w:r w:rsidRPr="00167CB8">
        <w:t>Prior to the Secure Jobs</w:t>
      </w:r>
      <w:r w:rsidR="00DB10FE" w:rsidRPr="00167CB8">
        <w:t>,</w:t>
      </w:r>
      <w:r w:rsidRPr="00167CB8">
        <w:t xml:space="preserve"> Better Pay amendments, franchisees and employers who met specified criteria regarding their common interests could bargain together under the single</w:t>
      </w:r>
      <w:r w:rsidR="00DB10FE" w:rsidRPr="00167CB8">
        <w:t>-</w:t>
      </w:r>
      <w:r w:rsidRPr="00167CB8">
        <w:t>interest employer stream. Employers who were not franchisees were required to obtain a declaration from the Minister for Employment and Workplace Relations to bargain under this stream.</w:t>
      </w:r>
      <w:r w:rsidRPr="00167CB8">
        <w:rPr>
          <w:rStyle w:val="FootnoteReference"/>
        </w:rPr>
        <w:footnoteReference w:id="390"/>
      </w:r>
      <w:r w:rsidRPr="00167CB8">
        <w:t xml:space="preserve"> </w:t>
      </w:r>
    </w:p>
    <w:p w14:paraId="0B4EE8D6" w14:textId="5F32F30E" w:rsidR="00173F8E" w:rsidRPr="00167CB8" w:rsidRDefault="00173F8E" w:rsidP="00173F8E">
      <w:r w:rsidRPr="00167CB8">
        <w:t>Division 10 of Part 2-4 of the F</w:t>
      </w:r>
      <w:r w:rsidR="00DB10FE" w:rsidRPr="00167CB8">
        <w:t xml:space="preserve">air </w:t>
      </w:r>
      <w:r w:rsidRPr="00167CB8">
        <w:t>W</w:t>
      </w:r>
      <w:r w:rsidR="00DB10FE" w:rsidRPr="00167CB8">
        <w:t>ork</w:t>
      </w:r>
      <w:r w:rsidRPr="00167CB8">
        <w:t xml:space="preserve"> Act concerns the new provisions relating to single</w:t>
      </w:r>
      <w:r w:rsidR="00DB10FE" w:rsidRPr="00167CB8">
        <w:t>-</w:t>
      </w:r>
      <w:r w:rsidRPr="00167CB8">
        <w:t>interest employer authorisations. The</w:t>
      </w:r>
      <w:r w:rsidRPr="00167CB8" w:rsidDel="00BC2425">
        <w:t xml:space="preserve"> </w:t>
      </w:r>
      <w:r w:rsidRPr="00167CB8">
        <w:t>Secure Jobs</w:t>
      </w:r>
      <w:r w:rsidR="00DB10FE" w:rsidRPr="00167CB8">
        <w:t>,</w:t>
      </w:r>
      <w:r w:rsidRPr="00167CB8">
        <w:t xml:space="preserve"> Better Pay amendments intended to </w:t>
      </w:r>
      <w:r w:rsidR="00DB10FE" w:rsidRPr="00167CB8">
        <w:t>‘</w:t>
      </w:r>
      <w:r w:rsidRPr="00167CB8">
        <w:t>[remove] the limits on access to single</w:t>
      </w:r>
      <w:r w:rsidR="00A14864" w:rsidRPr="00167CB8">
        <w:t>-</w:t>
      </w:r>
      <w:r w:rsidRPr="00167CB8">
        <w:t>interest employer authorisations and [simplify] the process for obtaining them, and facilitating bargaining by</w:t>
      </w:r>
      <w:r w:rsidR="00DB10FE" w:rsidRPr="00167CB8">
        <w:t>’</w:t>
      </w:r>
      <w:r w:rsidRPr="00167CB8">
        <w:t>:</w:t>
      </w:r>
    </w:p>
    <w:p w14:paraId="6D46FE01" w14:textId="30102F71" w:rsidR="00173F8E" w:rsidRPr="00167CB8" w:rsidRDefault="00173F8E" w:rsidP="00EA3E2F">
      <w:pPr>
        <w:pStyle w:val="ListBullet"/>
      </w:pPr>
      <w:r w:rsidRPr="00167CB8">
        <w:t xml:space="preserve">removing the requirement for </w:t>
      </w:r>
      <w:r w:rsidR="00DB10FE" w:rsidRPr="00167CB8">
        <w:t xml:space="preserve">2 </w:t>
      </w:r>
      <w:r w:rsidRPr="00167CB8">
        <w:t xml:space="preserve">or more employers with common interests who are not franchisees to obtain a </w:t>
      </w:r>
      <w:r w:rsidR="00DB10FE" w:rsidRPr="00167CB8">
        <w:t>m</w:t>
      </w:r>
      <w:r w:rsidRPr="00167CB8">
        <w:t>inisterial declaration before applying for a single</w:t>
      </w:r>
      <w:r w:rsidR="00DB10FE" w:rsidRPr="00167CB8">
        <w:t>-</w:t>
      </w:r>
      <w:r w:rsidRPr="00167CB8">
        <w:t xml:space="preserve">interest employer authorisation </w:t>
      </w:r>
    </w:p>
    <w:p w14:paraId="578B6945" w14:textId="069FF8ED" w:rsidR="00173F8E" w:rsidRPr="00167CB8" w:rsidRDefault="00173F8E" w:rsidP="00EA3E2F">
      <w:pPr>
        <w:pStyle w:val="ListBullet"/>
      </w:pPr>
      <w:r w:rsidRPr="00167CB8">
        <w:t>providing for employee bargaining representatives to apply for a single</w:t>
      </w:r>
      <w:r w:rsidR="00DB10FE" w:rsidRPr="00167CB8">
        <w:t>-</w:t>
      </w:r>
      <w:r w:rsidRPr="00167CB8">
        <w:t xml:space="preserve">interest employer authorisation to cover </w:t>
      </w:r>
      <w:r w:rsidR="00DB10FE" w:rsidRPr="00167CB8">
        <w:t xml:space="preserve">2 </w:t>
      </w:r>
      <w:r w:rsidRPr="00167CB8">
        <w:t xml:space="preserve">or more employers, subject to majority support of the relevant employees </w:t>
      </w:r>
    </w:p>
    <w:p w14:paraId="1A524E1E" w14:textId="78C7B47A" w:rsidR="00173F8E" w:rsidRPr="00167CB8" w:rsidRDefault="00173F8E" w:rsidP="00EA3E2F">
      <w:pPr>
        <w:pStyle w:val="ListBullet"/>
      </w:pPr>
      <w:r w:rsidRPr="00167CB8">
        <w:t>permitting employers and employee bargaining representatives to apply to vary a single</w:t>
      </w:r>
      <w:r w:rsidR="00A14864" w:rsidRPr="00167CB8">
        <w:t>-</w:t>
      </w:r>
      <w:r w:rsidRPr="00167CB8">
        <w:t xml:space="preserve">interest employer authorisation to add or remove the name of an employer from the authorisation, subject to meeting specified requirements </w:t>
      </w:r>
    </w:p>
    <w:p w14:paraId="628B8467" w14:textId="2063AB67" w:rsidR="00173F8E" w:rsidRPr="00167CB8" w:rsidRDefault="00173F8E" w:rsidP="00EA3E2F">
      <w:pPr>
        <w:pStyle w:val="ListBullet"/>
      </w:pPr>
      <w:r w:rsidRPr="00167CB8">
        <w:t xml:space="preserve">permitting employers and employee organisations to apply to the </w:t>
      </w:r>
      <w:r w:rsidR="00393FDF" w:rsidRPr="00167CB8">
        <w:t>Fair Work Commission (</w:t>
      </w:r>
      <w:r w:rsidRPr="00167CB8">
        <w:t>FWC</w:t>
      </w:r>
      <w:r w:rsidR="00393FDF" w:rsidRPr="00167CB8">
        <w:t>)</w:t>
      </w:r>
      <w:r w:rsidRPr="00167CB8">
        <w:t xml:space="preserve"> for approval of a variation to extend coverage of an existing single</w:t>
      </w:r>
      <w:r w:rsidR="00DB10FE" w:rsidRPr="00167CB8">
        <w:t>-</w:t>
      </w:r>
      <w:r w:rsidRPr="00167CB8">
        <w:t>interest employer agreement to a new employer and its employees, subject to meeting specified requirements.</w:t>
      </w:r>
      <w:r w:rsidRPr="00167CB8">
        <w:rPr>
          <w:vertAlign w:val="superscript"/>
        </w:rPr>
        <w:footnoteReference w:id="391"/>
      </w:r>
    </w:p>
    <w:p w14:paraId="1D634367" w14:textId="3A4FBBBA" w:rsidR="00173F8E" w:rsidRPr="00167CB8" w:rsidRDefault="00173F8E" w:rsidP="00173F8E">
      <w:r w:rsidRPr="00167CB8">
        <w:t xml:space="preserve">Employers that will be covered by a proposed enterprise agreement that will cover </w:t>
      </w:r>
      <w:r w:rsidR="00DB10FE" w:rsidRPr="00167CB8">
        <w:t xml:space="preserve">2 </w:t>
      </w:r>
      <w:r w:rsidRPr="00167CB8">
        <w:t>or more employers, or a bargaining representative of an employee who will be covered by the agreement, can apply for a single</w:t>
      </w:r>
      <w:r w:rsidR="00DB10FE" w:rsidRPr="00167CB8">
        <w:t>-</w:t>
      </w:r>
      <w:r w:rsidRPr="00167CB8">
        <w:t>interest employer authorisation.</w:t>
      </w:r>
      <w:r w:rsidRPr="00167CB8">
        <w:rPr>
          <w:rStyle w:val="FootnoteReference"/>
        </w:rPr>
        <w:footnoteReference w:id="392"/>
      </w:r>
      <w:r w:rsidRPr="00167CB8">
        <w:t xml:space="preserve"> </w:t>
      </w:r>
    </w:p>
    <w:p w14:paraId="041D940C" w14:textId="2C717390" w:rsidR="00173F8E" w:rsidRPr="00167CB8" w:rsidRDefault="00173F8E" w:rsidP="00173F8E">
      <w:r w:rsidRPr="00167CB8">
        <w:t>The FWC must make a single</w:t>
      </w:r>
      <w:r w:rsidR="00DB10FE" w:rsidRPr="00167CB8">
        <w:t>-</w:t>
      </w:r>
      <w:r w:rsidRPr="00167CB8">
        <w:t>interest employer authorisation if an application has been made and it is satisfied that the requirements set out in s</w:t>
      </w:r>
      <w:r w:rsidR="00DB10FE" w:rsidRPr="00167CB8">
        <w:t> </w:t>
      </w:r>
      <w:r w:rsidRPr="00167CB8">
        <w:t xml:space="preserve">249 of the Fair Work Act are met. These requirements include that: </w:t>
      </w:r>
    </w:p>
    <w:p w14:paraId="7DC54ABA" w14:textId="176B2977" w:rsidR="00173F8E" w:rsidRPr="00167CB8" w:rsidRDefault="00173F8E" w:rsidP="00EA3E2F">
      <w:pPr>
        <w:pStyle w:val="ListBullet"/>
      </w:pPr>
      <w:r w:rsidRPr="00167CB8">
        <w:lastRenderedPageBreak/>
        <w:t>at least some of the employees that will be covered are represented by an employee organisation (s</w:t>
      </w:r>
      <w:r w:rsidR="00DB10FE" w:rsidRPr="00167CB8">
        <w:t> </w:t>
      </w:r>
      <w:r w:rsidRPr="00167CB8">
        <w:t>241(1)(b)(i) of the Fair Work Act)</w:t>
      </w:r>
      <w:r w:rsidRPr="00167CB8" w:rsidDel="00DF34C4">
        <w:rPr>
          <w:rStyle w:val="FootnoteReference"/>
        </w:rPr>
        <w:t xml:space="preserve"> </w:t>
      </w:r>
    </w:p>
    <w:p w14:paraId="14D0AE85" w14:textId="05227F05" w:rsidR="00173F8E" w:rsidRPr="00167CB8" w:rsidRDefault="00173F8E" w:rsidP="00EA3E2F">
      <w:pPr>
        <w:pStyle w:val="ListBullet"/>
      </w:pPr>
      <w:r w:rsidRPr="00167CB8">
        <w:t>the employers and the bargaining representatives of their employees have had the opportunity to express to the FWC their views (if any) on the authorisation (s</w:t>
      </w:r>
      <w:r w:rsidR="00DB10FE" w:rsidRPr="00167CB8">
        <w:t> </w:t>
      </w:r>
      <w:r w:rsidRPr="00167CB8">
        <w:t>249(1)(b)(ii) of the Fair Work Act), and</w:t>
      </w:r>
    </w:p>
    <w:p w14:paraId="24C3DBFD" w14:textId="77777777" w:rsidR="00173F8E" w:rsidRPr="00167CB8" w:rsidRDefault="00173F8E" w:rsidP="00EA3E2F">
      <w:pPr>
        <w:pStyle w:val="ListBullet"/>
      </w:pPr>
      <w:r w:rsidRPr="00167CB8">
        <w:t>the employers meet franchisee requirements or have clearly identifiable common interests, as they:</w:t>
      </w:r>
    </w:p>
    <w:p w14:paraId="08DB512E" w14:textId="176F8C8E" w:rsidR="00173F8E" w:rsidRPr="00167CB8" w:rsidRDefault="00173F8E" w:rsidP="00567FCA">
      <w:pPr>
        <w:pStyle w:val="ListBullet3"/>
        <w:numPr>
          <w:ilvl w:val="0"/>
          <w:numId w:val="40"/>
        </w:numPr>
      </w:pPr>
      <w:r w:rsidRPr="00167CB8">
        <w:t>carry on similar business activities under the same franchise and are either franchisees or related bodies corporate of the same franchisor (or a combination of these) (s</w:t>
      </w:r>
      <w:r w:rsidR="00DB10FE" w:rsidRPr="00167CB8">
        <w:t> </w:t>
      </w:r>
      <w:r w:rsidRPr="00167CB8">
        <w:t>249(2) of the Fair Work Act), or</w:t>
      </w:r>
    </w:p>
    <w:p w14:paraId="60C60423" w14:textId="379A26FA" w:rsidR="00173F8E" w:rsidRPr="00167CB8" w:rsidRDefault="00173F8E" w:rsidP="00567FCA">
      <w:pPr>
        <w:pStyle w:val="ListBullet3"/>
        <w:numPr>
          <w:ilvl w:val="0"/>
          <w:numId w:val="40"/>
        </w:numPr>
      </w:pPr>
      <w:r w:rsidRPr="00167CB8">
        <w:t>have clearly identifiable common interests with the other employers, it is not contrary to the public interest to make the authorisation, and the employers’ operations and business activities are reasonably comparable (s</w:t>
      </w:r>
      <w:r w:rsidR="00DB10FE" w:rsidRPr="00167CB8">
        <w:t> </w:t>
      </w:r>
      <w:r w:rsidRPr="00167CB8">
        <w:t xml:space="preserve">249(3), 249(1)(b)(vi) of the </w:t>
      </w:r>
      <w:r w:rsidRPr="00167CB8" w:rsidDel="00E06145">
        <w:t>F</w:t>
      </w:r>
      <w:r w:rsidR="00DB10FE" w:rsidRPr="00167CB8">
        <w:t xml:space="preserve">air </w:t>
      </w:r>
      <w:r w:rsidRPr="00167CB8" w:rsidDel="00E06145">
        <w:t>W</w:t>
      </w:r>
      <w:r w:rsidR="00DB10FE" w:rsidRPr="00167CB8">
        <w:t>ork</w:t>
      </w:r>
      <w:r w:rsidRPr="00167CB8">
        <w:t xml:space="preserve"> Act), and </w:t>
      </w:r>
    </w:p>
    <w:p w14:paraId="279995EC" w14:textId="77777777" w:rsidR="00173F8E" w:rsidRPr="00167CB8" w:rsidRDefault="00173F8E" w:rsidP="00EA3E2F">
      <w:pPr>
        <w:pStyle w:val="ListBullet"/>
      </w:pPr>
      <w:r w:rsidRPr="00167CB8">
        <w:t xml:space="preserve">the additional requirements set out below are met. </w:t>
      </w:r>
    </w:p>
    <w:p w14:paraId="4A194517" w14:textId="2FD608B5" w:rsidR="00173F8E" w:rsidRPr="00167CB8" w:rsidRDefault="00173F8E" w:rsidP="00173F8E">
      <w:r w:rsidRPr="00167CB8">
        <w:t xml:space="preserve">If the application was made by </w:t>
      </w:r>
      <w:r w:rsidR="00DB10FE" w:rsidRPr="00167CB8">
        <w:t xml:space="preserve">2 </w:t>
      </w:r>
      <w:r w:rsidRPr="00167CB8">
        <w:t xml:space="preserve">or more employers, the employers must have agreed to bargain together, and no person coerced, or threatened to coerce, any of the employers to agree to bargain together. </w:t>
      </w:r>
    </w:p>
    <w:p w14:paraId="467C72B3" w14:textId="77777777" w:rsidR="00173F8E" w:rsidRPr="00167CB8" w:rsidRDefault="00173F8E" w:rsidP="00173F8E">
      <w:r w:rsidRPr="00167CB8">
        <w:t>There are specific requirements if the application was made by a bargaining representative. The FWC must be satisfied that each employer either has consented to the application or the following applies:</w:t>
      </w:r>
    </w:p>
    <w:p w14:paraId="2F4913B9" w14:textId="4118D0F6" w:rsidR="00173F8E" w:rsidRPr="00167CB8" w:rsidRDefault="00173F8E" w:rsidP="00EA3E2F">
      <w:pPr>
        <w:pStyle w:val="ListBullet"/>
      </w:pPr>
      <w:r w:rsidRPr="00167CB8">
        <w:t>the employer employed at least 20 employees at the time the application for authorisation was made (s</w:t>
      </w:r>
      <w:r w:rsidR="00DB10FE" w:rsidRPr="00167CB8">
        <w:t> </w:t>
      </w:r>
      <w:r w:rsidRPr="00167CB8">
        <w:t>249(1)(1B)(a) of the Fair Work Act)</w:t>
      </w:r>
    </w:p>
    <w:p w14:paraId="218659C1" w14:textId="7843117D" w:rsidR="00173F8E" w:rsidRPr="00167CB8" w:rsidRDefault="00173F8E" w:rsidP="00EA3E2F">
      <w:pPr>
        <w:pStyle w:val="ListBullet"/>
      </w:pPr>
      <w:r w:rsidRPr="00167CB8">
        <w:t>the employer has not made an application for a single</w:t>
      </w:r>
      <w:r w:rsidR="00DB10FE" w:rsidRPr="00167CB8">
        <w:t>-</w:t>
      </w:r>
      <w:r w:rsidRPr="00167CB8">
        <w:t>interest employer authorisation that has not yet been decided in relation to the employees that will be covered (s</w:t>
      </w:r>
      <w:r w:rsidR="00DB10FE" w:rsidRPr="00167CB8">
        <w:t> </w:t>
      </w:r>
      <w:r w:rsidRPr="00167CB8">
        <w:t>249(1)(1B)(b) of the Fair Work Act)</w:t>
      </w:r>
    </w:p>
    <w:p w14:paraId="3A2E07C5" w14:textId="47F0BFD2" w:rsidR="00173F8E" w:rsidRPr="00167CB8" w:rsidRDefault="00173F8E" w:rsidP="00EA3E2F">
      <w:pPr>
        <w:pStyle w:val="ListBullet"/>
      </w:pPr>
      <w:r w:rsidRPr="00167CB8">
        <w:t>the employer is not named in a single</w:t>
      </w:r>
      <w:r w:rsidR="00DB10FE" w:rsidRPr="00167CB8">
        <w:t>-</w:t>
      </w:r>
      <w:r w:rsidRPr="00167CB8">
        <w:t>interest employer authorisation or supported bargaining authorisation in relation to the employees that will be covered by the agreement (s</w:t>
      </w:r>
      <w:r w:rsidR="00DB10FE" w:rsidRPr="00167CB8">
        <w:t> </w:t>
      </w:r>
      <w:r w:rsidRPr="00167CB8">
        <w:t>249(1)(1B)(c) of the Fair Work Act)</w:t>
      </w:r>
    </w:p>
    <w:p w14:paraId="12ECF56C" w14:textId="79FBB340" w:rsidR="00173F8E" w:rsidRPr="00167CB8" w:rsidRDefault="00173F8E" w:rsidP="00EA3E2F">
      <w:pPr>
        <w:pStyle w:val="ListBullet"/>
      </w:pPr>
      <w:r w:rsidRPr="00167CB8">
        <w:t>a majority of employees who will be covered by the agreement want to bargain for the agreement (s</w:t>
      </w:r>
      <w:r w:rsidR="00DB10FE" w:rsidRPr="00167CB8">
        <w:t> </w:t>
      </w:r>
      <w:r w:rsidRPr="00167CB8">
        <w:t>249(1)(1B)(d) of the Fair Work Act)</w:t>
      </w:r>
    </w:p>
    <w:p w14:paraId="278FF672" w14:textId="615B980B" w:rsidR="00173F8E" w:rsidRPr="00167CB8" w:rsidRDefault="00173F8E" w:rsidP="00EA3E2F">
      <w:pPr>
        <w:pStyle w:val="ListBullet"/>
      </w:pPr>
      <w:r w:rsidRPr="00167CB8">
        <w:t>the employer and employees are not covered by an enterprise agreement that has not passed its nominal expiry date at the time FWC will make the authorisation (ss</w:t>
      </w:r>
      <w:r w:rsidR="00DB10FE" w:rsidRPr="00167CB8">
        <w:t> </w:t>
      </w:r>
      <w:r w:rsidRPr="00167CB8">
        <w:t>249(1)(1B)(e))</w:t>
      </w:r>
      <w:r w:rsidR="00655F80" w:rsidRPr="00167CB8">
        <w:t xml:space="preserve"> and </w:t>
      </w:r>
      <w:r w:rsidRPr="00167CB8">
        <w:t>249(1D) of the Fair Work Act)</w:t>
      </w:r>
    </w:p>
    <w:p w14:paraId="58EE2E75" w14:textId="1324A81A" w:rsidR="00173F8E" w:rsidRPr="00167CB8" w:rsidRDefault="00173F8E" w:rsidP="00EA3E2F">
      <w:pPr>
        <w:pStyle w:val="ListBullet"/>
      </w:pPr>
      <w:r w:rsidRPr="00167CB8">
        <w:t>the employer and an employee organisation that is entitled to represent the industrial interests of employee(s) that will be covered have not already agreed in writing to bargain for a proposed single-enterprise agreement that would cover the same (or substantially the same) employees (s</w:t>
      </w:r>
      <w:r w:rsidR="00655F80" w:rsidRPr="00167CB8">
        <w:t> </w:t>
      </w:r>
      <w:r w:rsidRPr="00167CB8">
        <w:t>249 (1D)(b) of the Fair Work Act).</w:t>
      </w:r>
    </w:p>
    <w:p w14:paraId="44791D70" w14:textId="00519BFB" w:rsidR="00173F8E" w:rsidRPr="00167CB8" w:rsidRDefault="00173F8E" w:rsidP="00173F8E">
      <w:r w:rsidRPr="00167CB8">
        <w:t>Section 251 of the F</w:t>
      </w:r>
      <w:r w:rsidR="00655F80" w:rsidRPr="00167CB8">
        <w:t xml:space="preserve">air </w:t>
      </w:r>
      <w:r w:rsidRPr="00167CB8">
        <w:t>W</w:t>
      </w:r>
      <w:r w:rsidR="00655F80" w:rsidRPr="00167CB8">
        <w:t>ork</w:t>
      </w:r>
      <w:r w:rsidRPr="00167CB8">
        <w:t xml:space="preserve"> Act contains provisions for the variation of a single</w:t>
      </w:r>
      <w:r w:rsidR="00655F80" w:rsidRPr="00167CB8">
        <w:t>-</w:t>
      </w:r>
      <w:r w:rsidRPr="00167CB8">
        <w:t>interest employer authorisation to remove or add employers.</w:t>
      </w:r>
    </w:p>
    <w:p w14:paraId="756B30D8" w14:textId="17A6D564" w:rsidR="00173F8E" w:rsidRPr="00167CB8" w:rsidRDefault="00173F8E" w:rsidP="00173F8E">
      <w:pPr>
        <w:rPr>
          <w:rStyle w:val="Hyperlink"/>
          <w:i/>
          <w:iCs/>
        </w:rPr>
      </w:pPr>
      <w:r w:rsidRPr="00167CB8">
        <w:t xml:space="preserve">Subject to meeting specified requirements, the Secure Jobs, Better Pay Act inserted new Subdivision AD into Division 7 of Part 2-4 of the Fair Work Act to permit employers and employee organisations to apply to the FWC for approval of a variation to extend the coverage </w:t>
      </w:r>
      <w:r w:rsidRPr="00167CB8">
        <w:lastRenderedPageBreak/>
        <w:t>of an existing single</w:t>
      </w:r>
      <w:r w:rsidR="00655F80" w:rsidRPr="00167CB8">
        <w:t>-</w:t>
      </w:r>
      <w:r w:rsidRPr="00167CB8">
        <w:t>interest employer agreement to a new employer and its employees.</w:t>
      </w:r>
      <w:r w:rsidRPr="00167CB8">
        <w:rPr>
          <w:i/>
          <w:iCs/>
        </w:rPr>
        <w:t xml:space="preserve"> </w:t>
      </w:r>
      <w:r w:rsidRPr="00167CB8">
        <w:t>An application may be made either jointly by an employer and their employees or</w:t>
      </w:r>
      <w:r w:rsidRPr="00167CB8">
        <w:rPr>
          <w:i/>
          <w:iCs/>
        </w:rPr>
        <w:t xml:space="preserve"> </w:t>
      </w:r>
      <w:r w:rsidRPr="00167CB8">
        <w:t>by an employee organisation covered by a single</w:t>
      </w:r>
      <w:r w:rsidR="00655F80" w:rsidRPr="00167CB8">
        <w:t>-</w:t>
      </w:r>
      <w:r w:rsidRPr="00167CB8">
        <w:t>interest employer agreement.</w:t>
      </w:r>
      <w:r w:rsidRPr="00167CB8">
        <w:rPr>
          <w:rStyle w:val="FootnoteReference"/>
        </w:rPr>
        <w:footnoteReference w:id="393"/>
      </w:r>
    </w:p>
    <w:p w14:paraId="2C3DC289" w14:textId="77777777" w:rsidR="00173F8E" w:rsidRPr="00167CB8" w:rsidRDefault="00173F8E" w:rsidP="00173F8E">
      <w:r w:rsidRPr="00167CB8">
        <w:t>The FWC must approve a variation if various requirements are met that are similar to those for making an authorisation, including that employers and employee organisations have had the opportunity to express their views and the common interest and franchisee requirements.</w:t>
      </w:r>
      <w:r w:rsidRPr="00167CB8">
        <w:rPr>
          <w:rStyle w:val="FootnoteReference"/>
        </w:rPr>
        <w:footnoteReference w:id="394"/>
      </w:r>
      <w:r w:rsidRPr="00167CB8">
        <w:t xml:space="preserve"> </w:t>
      </w:r>
    </w:p>
    <w:p w14:paraId="585CC32E" w14:textId="77777777" w:rsidR="00173F8E" w:rsidRPr="00167CB8" w:rsidRDefault="00173F8E" w:rsidP="00655F80">
      <w:r w:rsidRPr="00167CB8">
        <w:t>These amendments commenced on 6 June 2023.</w:t>
      </w:r>
    </w:p>
    <w:p w14:paraId="79B8AB80" w14:textId="76552136" w:rsidR="00173F8E" w:rsidRPr="00167CB8" w:rsidRDefault="00173F8E" w:rsidP="00173F8E">
      <w:r w:rsidRPr="00167CB8">
        <w:t xml:space="preserve">The </w:t>
      </w:r>
      <w:r w:rsidR="002A0E63" w:rsidRPr="00167CB8">
        <w:rPr>
          <w:i/>
          <w:iCs/>
        </w:rPr>
        <w:t>Fair Work Legislation (Closing Loopholes No. 2) Act 2023</w:t>
      </w:r>
      <w:r w:rsidR="002A0E63" w:rsidRPr="00167CB8">
        <w:t xml:space="preserve"> (Cth) (</w:t>
      </w:r>
      <w:r w:rsidRPr="00167CB8">
        <w:t>Closing Loopholes No.</w:t>
      </w:r>
      <w:r w:rsidR="002A0E63" w:rsidRPr="00167CB8">
        <w:t xml:space="preserve"> </w:t>
      </w:r>
      <w:r w:rsidRPr="00167CB8">
        <w:t>2 Act</w:t>
      </w:r>
      <w:r w:rsidR="002A0E63" w:rsidRPr="00167CB8">
        <w:t>)</w:t>
      </w:r>
      <w:r w:rsidRPr="00167CB8">
        <w:t xml:space="preserve"> made some further amendments to the provisions relating to the single</w:t>
      </w:r>
      <w:r w:rsidR="00655F80" w:rsidRPr="00167CB8">
        <w:t>-</w:t>
      </w:r>
      <w:r w:rsidRPr="00167CB8">
        <w:t>interest employer bargaining stream. While these amendments are not within the scope of our Review, the amendments are worth noting</w:t>
      </w:r>
      <w:r w:rsidR="00655F80" w:rsidRPr="00167CB8">
        <w:t>,</w:t>
      </w:r>
      <w:r w:rsidRPr="00167CB8">
        <w:t xml:space="preserve"> as they affect the operation of the Secure Jobs</w:t>
      </w:r>
      <w:r w:rsidR="00655F80" w:rsidRPr="00167CB8">
        <w:t>,</w:t>
      </w:r>
      <w:r w:rsidRPr="00167CB8">
        <w:t xml:space="preserve"> Better Pay amendments. The Closing Loopholes No.</w:t>
      </w:r>
      <w:r w:rsidR="00655F80" w:rsidRPr="00167CB8">
        <w:t xml:space="preserve"> </w:t>
      </w:r>
      <w:r w:rsidRPr="00167CB8">
        <w:t xml:space="preserve">2 Act changes will be the subject of the review of that legislation. </w:t>
      </w:r>
    </w:p>
    <w:p w14:paraId="3C984E01" w14:textId="447000B8" w:rsidR="00173F8E" w:rsidRPr="00167CB8" w:rsidRDefault="00173F8E" w:rsidP="00173F8E">
      <w:r w:rsidRPr="00167CB8">
        <w:t>The Closing Loopholes No.</w:t>
      </w:r>
      <w:r w:rsidR="00655F80" w:rsidRPr="00167CB8">
        <w:t xml:space="preserve"> </w:t>
      </w:r>
      <w:r w:rsidRPr="00167CB8">
        <w:t>2 Act amended the Fair Work Act to allow franchisees of a common franchisor to access the single-enterprise agreement stream, without removing their ability to bargain for a multi-employer agreement. Consequently, the amendments provide that multiple franchisees can choose to bargain for either a single-enterprise agreement or a multi-employer agreement.</w:t>
      </w:r>
      <w:r w:rsidRPr="00167CB8">
        <w:rPr>
          <w:rStyle w:val="FootnoteReference"/>
        </w:rPr>
        <w:footnoteReference w:id="395"/>
      </w:r>
      <w:r w:rsidRPr="00167CB8">
        <w:t xml:space="preserve"> </w:t>
      </w:r>
    </w:p>
    <w:p w14:paraId="39F5439F" w14:textId="71F56ABE" w:rsidR="00173F8E" w:rsidRPr="00167CB8" w:rsidRDefault="00173F8E" w:rsidP="00173F8E">
      <w:r w:rsidRPr="00167CB8">
        <w:t>The Closing Loopholes No.</w:t>
      </w:r>
      <w:r w:rsidR="00655F80" w:rsidRPr="00167CB8">
        <w:t xml:space="preserve"> </w:t>
      </w:r>
      <w:r w:rsidRPr="00167CB8">
        <w:t>2 Act also amended the F</w:t>
      </w:r>
      <w:r w:rsidR="00655F80" w:rsidRPr="00167CB8">
        <w:t xml:space="preserve">air </w:t>
      </w:r>
      <w:r w:rsidRPr="00167CB8">
        <w:t>W</w:t>
      </w:r>
      <w:r w:rsidR="00655F80" w:rsidRPr="00167CB8">
        <w:t>ork</w:t>
      </w:r>
      <w:r w:rsidRPr="00167CB8">
        <w:t xml:space="preserve"> Act by introducing ‘special rules’ allowing single-enterprise agreements to replace single</w:t>
      </w:r>
      <w:r w:rsidR="00655F80" w:rsidRPr="00167CB8">
        <w:t>-</w:t>
      </w:r>
      <w:r w:rsidRPr="00167CB8">
        <w:t>interest employer agreements and supported bargaining agreements respectively that have not passed their nominal expiry dates.</w:t>
      </w:r>
      <w:r w:rsidRPr="00167CB8">
        <w:rPr>
          <w:rStyle w:val="FootnoteReference"/>
        </w:rPr>
        <w:footnoteReference w:id="396"/>
      </w:r>
      <w:r w:rsidRPr="00167CB8">
        <w:t xml:space="preserve"> The amendments modified the application of the </w:t>
      </w:r>
      <w:r w:rsidR="002A0E63" w:rsidRPr="00167CB8">
        <w:t>Better Off Overall Test (</w:t>
      </w:r>
      <w:r w:rsidRPr="00167CB8">
        <w:t>BOOT</w:t>
      </w:r>
      <w:r w:rsidR="002A0E63" w:rsidRPr="00167CB8">
        <w:t>)</w:t>
      </w:r>
      <w:r w:rsidRPr="00167CB8">
        <w:t xml:space="preserve"> for single</w:t>
      </w:r>
      <w:r w:rsidR="00655F80" w:rsidRPr="00167CB8">
        <w:t>-</w:t>
      </w:r>
      <w:r w:rsidRPr="00167CB8">
        <w:t>interest employer agreements and supported bargaining agreements, requiring them to be assessed against the multi-employer agreement rather than the relevant modern award.</w:t>
      </w:r>
      <w:r w:rsidRPr="00167CB8">
        <w:rPr>
          <w:rStyle w:val="FootnoteReference"/>
        </w:rPr>
        <w:footnoteReference w:id="397"/>
      </w:r>
    </w:p>
    <w:p w14:paraId="112FFAA3" w14:textId="6F0CFBE6" w:rsidR="00173F8E" w:rsidRPr="00167CB8" w:rsidRDefault="003B14A5" w:rsidP="00173F8E">
      <w:pPr>
        <w:pStyle w:val="Heading5"/>
        <w:rPr>
          <w:rFonts w:asciiTheme="minorHAnsi" w:hAnsiTheme="minorHAnsi"/>
        </w:rPr>
      </w:pPr>
      <w:r w:rsidRPr="00167CB8">
        <w:rPr>
          <w:rFonts w:asciiTheme="minorHAnsi" w:hAnsiTheme="minorHAnsi"/>
        </w:rPr>
        <w:t>12</w:t>
      </w:r>
      <w:r w:rsidR="00173F8E" w:rsidRPr="00167CB8">
        <w:rPr>
          <w:rFonts w:asciiTheme="minorHAnsi" w:hAnsiTheme="minorHAnsi"/>
        </w:rPr>
        <w:t xml:space="preserve">.1.2 Intent of Secure Jobs, Better Pay </w:t>
      </w:r>
      <w:r w:rsidR="00655F80" w:rsidRPr="00167CB8">
        <w:rPr>
          <w:rFonts w:asciiTheme="minorHAnsi" w:hAnsiTheme="minorHAnsi"/>
        </w:rPr>
        <w:t>a</w:t>
      </w:r>
      <w:r w:rsidR="00173F8E" w:rsidRPr="00167CB8">
        <w:rPr>
          <w:rFonts w:asciiTheme="minorHAnsi" w:hAnsiTheme="minorHAnsi"/>
        </w:rPr>
        <w:t>mendments</w:t>
      </w:r>
      <w:r w:rsidR="00173F8E" w:rsidRPr="00167CB8" w:rsidDel="00E42AC2">
        <w:rPr>
          <w:rFonts w:asciiTheme="minorHAnsi" w:hAnsiTheme="minorHAnsi"/>
        </w:rPr>
        <w:t xml:space="preserve"> </w:t>
      </w:r>
    </w:p>
    <w:p w14:paraId="78AF0AD0" w14:textId="7A8E9F45" w:rsidR="00173F8E" w:rsidRPr="00167CB8" w:rsidRDefault="00173F8E" w:rsidP="00173F8E">
      <w:r w:rsidRPr="00167CB8">
        <w:t xml:space="preserve">The intent of the Secure Jobs, Better Pay amendments was to respond to the </w:t>
      </w:r>
      <w:r w:rsidR="00655F80" w:rsidRPr="00167CB8">
        <w:t>‘</w:t>
      </w:r>
      <w:r w:rsidRPr="00167CB8">
        <w:t>unnecessary limits</w:t>
      </w:r>
      <w:r w:rsidR="00655F80" w:rsidRPr="00167CB8">
        <w:t>’</w:t>
      </w:r>
      <w:r w:rsidRPr="00167CB8">
        <w:t xml:space="preserve"> of the single</w:t>
      </w:r>
      <w:r w:rsidR="00655F80" w:rsidRPr="00167CB8">
        <w:t>-</w:t>
      </w:r>
      <w:r w:rsidRPr="00167CB8">
        <w:t>interest bargaining stream prior to the amendments.</w:t>
      </w:r>
      <w:r w:rsidRPr="00167CB8">
        <w:rPr>
          <w:rStyle w:val="FootnoteReference"/>
        </w:rPr>
        <w:footnoteReference w:id="398"/>
      </w:r>
      <w:r w:rsidRPr="00167CB8">
        <w:t xml:space="preserve"> It was further intended that this stream would lead to increases in collective bargaining coverage, if not number of collective agreements, which would in turn assist in increasing wages and narrowing the gender gap.</w:t>
      </w:r>
    </w:p>
    <w:p w14:paraId="6E3ED854" w14:textId="4A7B0661" w:rsidR="00173F8E" w:rsidRPr="00167CB8" w:rsidRDefault="00173F8E" w:rsidP="00173F8E">
      <w:r w:rsidRPr="00167CB8">
        <w:t>Historically, the previous authorisation process for single</w:t>
      </w:r>
      <w:r w:rsidR="00655F80" w:rsidRPr="00167CB8">
        <w:t>-</w:t>
      </w:r>
      <w:r w:rsidRPr="00167CB8">
        <w:t xml:space="preserve">interest bargaining was viewed as difficult to access, containing </w:t>
      </w:r>
      <w:r w:rsidR="00655F80" w:rsidRPr="00167CB8">
        <w:t>‘</w:t>
      </w:r>
      <w:r w:rsidRPr="00167CB8">
        <w:t>unnecessary red tape</w:t>
      </w:r>
      <w:r w:rsidR="00655F80" w:rsidRPr="00167CB8">
        <w:t>’</w:t>
      </w:r>
      <w:r w:rsidRPr="00167CB8">
        <w:t>.</w:t>
      </w:r>
      <w:r w:rsidRPr="00167CB8">
        <w:rPr>
          <w:rStyle w:val="FootnoteReference"/>
        </w:rPr>
        <w:footnoteReference w:id="399"/>
      </w:r>
      <w:r w:rsidRPr="00167CB8">
        <w:t xml:space="preserve"> A significant barrier was the requirement for employers to obtain a </w:t>
      </w:r>
      <w:r w:rsidR="00655F80" w:rsidRPr="00167CB8">
        <w:t>m</w:t>
      </w:r>
      <w:r w:rsidRPr="00167CB8">
        <w:t>inisterial declaration to bargain together if the employer was not a franchisee.</w:t>
      </w:r>
    </w:p>
    <w:p w14:paraId="7BFDF7A3" w14:textId="4C812103" w:rsidR="00173F8E" w:rsidRPr="00167CB8" w:rsidRDefault="00173F8E" w:rsidP="00173F8E">
      <w:r w:rsidRPr="00167CB8">
        <w:lastRenderedPageBreak/>
        <w:t xml:space="preserve">The </w:t>
      </w:r>
      <w:r w:rsidR="00A068E2" w:rsidRPr="00167CB8">
        <w:t xml:space="preserve">Regulation </w:t>
      </w:r>
      <w:r w:rsidRPr="00167CB8">
        <w:t xml:space="preserve">Impact Statement to the Secure Jobs, Better Pay Bill notes the consequent challenges, evidenced by the fact that </w:t>
      </w:r>
      <w:r w:rsidR="00655F80" w:rsidRPr="00167CB8">
        <w:t>‘</w:t>
      </w:r>
      <w:r w:rsidRPr="00167CB8">
        <w:t>only five applications for Ministerial declarations and 10 applications for single</w:t>
      </w:r>
      <w:r w:rsidR="00A14864" w:rsidRPr="00167CB8">
        <w:t>-</w:t>
      </w:r>
      <w:r w:rsidRPr="00167CB8">
        <w:t>interest employer authorisations are made per year on average</w:t>
      </w:r>
      <w:r w:rsidR="00655F80" w:rsidRPr="00167CB8">
        <w:t>’</w:t>
      </w:r>
      <w:r w:rsidRPr="00167CB8">
        <w:t>.</w:t>
      </w:r>
      <w:r w:rsidRPr="00167CB8">
        <w:rPr>
          <w:rStyle w:val="FootnoteReference"/>
        </w:rPr>
        <w:footnoteReference w:id="400"/>
      </w:r>
      <w:r w:rsidRPr="00167CB8">
        <w:t xml:space="preserve"> It also notes that </w:t>
      </w:r>
      <w:r w:rsidR="00655F80" w:rsidRPr="00167CB8">
        <w:t>‘</w:t>
      </w:r>
      <w:r w:rsidRPr="00167CB8">
        <w:t>it is unclear on what basis the single</w:t>
      </w:r>
      <w:r w:rsidR="00A14864" w:rsidRPr="00167CB8">
        <w:t>-</w:t>
      </w:r>
      <w:r w:rsidRPr="00167CB8">
        <w:t>interest stream provides such strict entry rules, particularly given the largely unrestricted provisions under the multi-employer agreement stream</w:t>
      </w:r>
      <w:r w:rsidR="00655F80" w:rsidRPr="00167CB8">
        <w:t>’</w:t>
      </w:r>
      <w:r w:rsidRPr="00167CB8">
        <w:t>.</w:t>
      </w:r>
      <w:r w:rsidRPr="00167CB8">
        <w:rPr>
          <w:rStyle w:val="FootnoteReference"/>
        </w:rPr>
        <w:footnoteReference w:id="401"/>
      </w:r>
    </w:p>
    <w:p w14:paraId="5912226C" w14:textId="64A3D5BA" w:rsidR="00173F8E" w:rsidRPr="00167CB8" w:rsidRDefault="00173F8E" w:rsidP="00173F8E">
      <w:r w:rsidRPr="00167CB8">
        <w:t xml:space="preserve">The then Minister for Employment and Workplace Relations, the Hon Tony Burke MP, noted in the </w:t>
      </w:r>
      <w:r w:rsidR="00655F80" w:rsidRPr="00167CB8">
        <w:t>s</w:t>
      </w:r>
      <w:r w:rsidRPr="00167CB8">
        <w:t xml:space="preserve">econd </w:t>
      </w:r>
      <w:r w:rsidR="00655F80" w:rsidRPr="00167CB8">
        <w:t>r</w:t>
      </w:r>
      <w:r w:rsidRPr="00167CB8">
        <w:t>eading speech for the Secure Jobs, Better Pay Bill the intention of the amendments to the single</w:t>
      </w:r>
      <w:r w:rsidR="00655F80" w:rsidRPr="00167CB8">
        <w:t>-</w:t>
      </w:r>
      <w:r w:rsidRPr="00167CB8">
        <w:t>interest stream, stating:</w:t>
      </w:r>
      <w:r w:rsidR="002A0E63" w:rsidRPr="00167CB8">
        <w:rPr>
          <w:vertAlign w:val="superscript"/>
        </w:rPr>
        <w:footnoteReference w:id="402"/>
      </w:r>
    </w:p>
    <w:p w14:paraId="27BF6CF7" w14:textId="5FEE7E9B" w:rsidR="00173F8E" w:rsidRPr="00167CB8" w:rsidRDefault="00173F8E" w:rsidP="00C83147">
      <w:pPr>
        <w:pStyle w:val="Quote"/>
      </w:pPr>
      <w:r w:rsidRPr="00167CB8">
        <w:t xml:space="preserve">we want to see businesses competing on quality, on innovation, on product and service offerings – not on who can pay the lowest wage. If we are going to get wages moving, we need to stop the race to the bottom.  </w:t>
      </w:r>
    </w:p>
    <w:p w14:paraId="75C41080" w14:textId="3D4F48BB" w:rsidR="00173F8E" w:rsidRPr="00167CB8" w:rsidRDefault="003B14A5" w:rsidP="00173F8E">
      <w:pPr>
        <w:pStyle w:val="Heading4"/>
        <w:rPr>
          <w:rFonts w:asciiTheme="minorHAnsi" w:hAnsiTheme="minorHAnsi"/>
        </w:rPr>
      </w:pPr>
      <w:bookmarkStart w:id="187" w:name="_Toc189260236"/>
      <w:bookmarkStart w:id="188" w:name="_Toc189393552"/>
      <w:r w:rsidRPr="00167CB8">
        <w:rPr>
          <w:rFonts w:asciiTheme="minorHAnsi" w:hAnsiTheme="minorHAnsi"/>
        </w:rPr>
        <w:t>12</w:t>
      </w:r>
      <w:r w:rsidR="00173F8E" w:rsidRPr="00167CB8">
        <w:rPr>
          <w:rFonts w:asciiTheme="minorHAnsi" w:hAnsiTheme="minorHAnsi"/>
        </w:rPr>
        <w:t xml:space="preserve">.2 Impact </w:t>
      </w:r>
      <w:r w:rsidR="00655F80" w:rsidRPr="00167CB8">
        <w:rPr>
          <w:rFonts w:asciiTheme="minorHAnsi" w:hAnsiTheme="minorHAnsi"/>
        </w:rPr>
        <w:t>and</w:t>
      </w:r>
      <w:r w:rsidR="00173F8E" w:rsidRPr="00167CB8">
        <w:rPr>
          <w:rFonts w:asciiTheme="minorHAnsi" w:hAnsiTheme="minorHAnsi"/>
        </w:rPr>
        <w:t xml:space="preserve"> </w:t>
      </w:r>
      <w:r w:rsidR="00655F80" w:rsidRPr="00167CB8">
        <w:rPr>
          <w:rFonts w:asciiTheme="minorHAnsi" w:hAnsiTheme="minorHAnsi"/>
        </w:rPr>
        <w:t>i</w:t>
      </w:r>
      <w:r w:rsidR="00173F8E" w:rsidRPr="00167CB8">
        <w:rPr>
          <w:rFonts w:asciiTheme="minorHAnsi" w:hAnsiTheme="minorHAnsi"/>
        </w:rPr>
        <w:t>ssues</w:t>
      </w:r>
      <w:bookmarkEnd w:id="187"/>
      <w:bookmarkEnd w:id="188"/>
    </w:p>
    <w:p w14:paraId="7DB9F75B" w14:textId="10DC4F2D" w:rsidR="00173F8E" w:rsidRPr="00167CB8" w:rsidRDefault="00173F8E" w:rsidP="00173F8E">
      <w:r w:rsidRPr="00167CB8">
        <w:t xml:space="preserve">This section will consider the effect of the amendments since commencement. In addition to earlier analysis of broader trends in collective bargaining and wage data (see </w:t>
      </w:r>
      <w:r w:rsidR="00655F80" w:rsidRPr="00167CB8">
        <w:t>C</w:t>
      </w:r>
      <w:r w:rsidRPr="00167CB8">
        <w:t xml:space="preserve">hapter </w:t>
      </w:r>
      <w:r w:rsidR="00432D2E" w:rsidRPr="00167CB8">
        <w:t>8</w:t>
      </w:r>
      <w:r w:rsidRPr="00167CB8">
        <w:t>)</w:t>
      </w:r>
      <w:r w:rsidR="00655F80" w:rsidRPr="00167CB8">
        <w:t>,</w:t>
      </w:r>
      <w:r w:rsidRPr="00167CB8" w:rsidDel="004E70B5">
        <w:rPr>
          <w:vertAlign w:val="superscript"/>
        </w:rPr>
        <w:t xml:space="preserve"> </w:t>
      </w:r>
      <w:r w:rsidRPr="00167CB8">
        <w:t>the effectiveness or otherwise of these amendments can be assessed through a quantitative account of the number of single</w:t>
      </w:r>
      <w:r w:rsidR="00655F80" w:rsidRPr="00167CB8">
        <w:t>-</w:t>
      </w:r>
      <w:r w:rsidRPr="00167CB8">
        <w:t>interest bargaining applications and approvals, a qualitative consideration of decisions of courts and tribunals, and the views of stakeholders.</w:t>
      </w:r>
    </w:p>
    <w:p w14:paraId="62535DCF" w14:textId="0259C766" w:rsidR="00173F8E" w:rsidRPr="00167CB8" w:rsidRDefault="003B14A5" w:rsidP="00173F8E">
      <w:pPr>
        <w:pStyle w:val="Heading5"/>
        <w:rPr>
          <w:rFonts w:asciiTheme="minorHAnsi" w:hAnsiTheme="minorHAnsi"/>
        </w:rPr>
      </w:pPr>
      <w:r w:rsidRPr="00167CB8">
        <w:rPr>
          <w:rFonts w:asciiTheme="minorHAnsi" w:hAnsiTheme="minorHAnsi"/>
        </w:rPr>
        <w:t>12</w:t>
      </w:r>
      <w:r w:rsidR="00173F8E" w:rsidRPr="00167CB8">
        <w:rPr>
          <w:rFonts w:asciiTheme="minorHAnsi" w:hAnsiTheme="minorHAnsi"/>
        </w:rPr>
        <w:t xml:space="preserve">.2.1 Quantitative </w:t>
      </w:r>
      <w:r w:rsidR="00655F80" w:rsidRPr="00167CB8">
        <w:rPr>
          <w:rFonts w:asciiTheme="minorHAnsi" w:hAnsiTheme="minorHAnsi"/>
        </w:rPr>
        <w:t>e</w:t>
      </w:r>
      <w:r w:rsidR="00173F8E" w:rsidRPr="00167CB8">
        <w:rPr>
          <w:rFonts w:asciiTheme="minorHAnsi" w:hAnsiTheme="minorHAnsi"/>
        </w:rPr>
        <w:t>vidence</w:t>
      </w:r>
    </w:p>
    <w:p w14:paraId="3342C2DD" w14:textId="33F6CB46" w:rsidR="00173F8E" w:rsidRPr="00167CB8" w:rsidRDefault="00173F8E" w:rsidP="00173F8E">
      <w:r w:rsidRPr="00167CB8">
        <w:t xml:space="preserve">Since commencement, there </w:t>
      </w:r>
      <w:r w:rsidR="00655F80" w:rsidRPr="00167CB8">
        <w:t xml:space="preserve">have </w:t>
      </w:r>
      <w:r w:rsidRPr="00167CB8">
        <w:t>been few instances of bargaining under the single</w:t>
      </w:r>
      <w:r w:rsidR="00655F80" w:rsidRPr="00167CB8">
        <w:t>-</w:t>
      </w:r>
      <w:r w:rsidRPr="00167CB8">
        <w:t xml:space="preserve">interest employer stream and therefore quantitative data is limited. </w:t>
      </w:r>
    </w:p>
    <w:p w14:paraId="233A6B02" w14:textId="5B6293B4" w:rsidR="00173F8E" w:rsidRPr="00167CB8" w:rsidRDefault="00173F8E" w:rsidP="00173F8E">
      <w:r w:rsidRPr="00167CB8">
        <w:t>As of 17 January 2025, the FWC has issued 19 single</w:t>
      </w:r>
      <w:r w:rsidR="00655F80" w:rsidRPr="00167CB8">
        <w:t>-</w:t>
      </w:r>
      <w:r w:rsidRPr="00167CB8">
        <w:t xml:space="preserve">interest employer authorisations. The Review Panel is aware of </w:t>
      </w:r>
      <w:r w:rsidR="00655F80" w:rsidRPr="00167CB8">
        <w:t xml:space="preserve">2 </w:t>
      </w:r>
      <w:r w:rsidRPr="00167CB8">
        <w:t>single</w:t>
      </w:r>
      <w:r w:rsidR="00655F80" w:rsidRPr="00167CB8">
        <w:t>-</w:t>
      </w:r>
      <w:r w:rsidRPr="00167CB8">
        <w:t>interest employer agreements that have been subsequently approved by the FWC.</w:t>
      </w:r>
      <w:r w:rsidRPr="00167CB8">
        <w:rPr>
          <w:rStyle w:val="FootnoteReference"/>
        </w:rPr>
        <w:footnoteReference w:id="403"/>
      </w:r>
      <w:r w:rsidRPr="00167CB8">
        <w:t xml:space="preserve"> </w:t>
      </w:r>
    </w:p>
    <w:p w14:paraId="1327F396" w14:textId="1C7C6753" w:rsidR="00173F8E" w:rsidRPr="00167CB8" w:rsidRDefault="00173F8E" w:rsidP="00173F8E">
      <w:r w:rsidRPr="00167CB8">
        <w:t xml:space="preserve">In terms of variations to agreements already made, </w:t>
      </w:r>
      <w:r w:rsidR="00D87D9E" w:rsidRPr="00167CB8">
        <w:t xml:space="preserve">as at 17 January 2025 </w:t>
      </w:r>
      <w:r w:rsidRPr="00167CB8">
        <w:t xml:space="preserve">the FWC has approved </w:t>
      </w:r>
      <w:r w:rsidR="00655F80" w:rsidRPr="00167CB8">
        <w:t xml:space="preserve">3 </w:t>
      </w:r>
      <w:r w:rsidRPr="00167CB8">
        <w:t>variation applications to add an employer and employees to a single</w:t>
      </w:r>
      <w:r w:rsidR="00655F80" w:rsidRPr="00167CB8">
        <w:t>-</w:t>
      </w:r>
      <w:r w:rsidRPr="00167CB8">
        <w:t>interest employer agreement (3 applications heard together)</w:t>
      </w:r>
      <w:r w:rsidR="00CB113B" w:rsidRPr="00167CB8">
        <w:t>.</w:t>
      </w:r>
      <w:r w:rsidRPr="00167CB8">
        <w:rPr>
          <w:rStyle w:val="FootnoteReference"/>
        </w:rPr>
        <w:footnoteReference w:id="404"/>
      </w:r>
      <w:r w:rsidRPr="00167CB8">
        <w:t xml:space="preserve"> </w:t>
      </w:r>
      <w:r w:rsidR="00596A0B" w:rsidRPr="00167CB8">
        <w:t>The Review Panel is not aware of any approved applications to vary a single interest authorisation.</w:t>
      </w:r>
    </w:p>
    <w:p w14:paraId="65CE7B1B" w14:textId="77777777" w:rsidR="00BC3D97" w:rsidRDefault="00BC3D97">
      <w:pPr>
        <w:spacing w:after="160"/>
        <w:rPr>
          <w:rFonts w:cs="Calibri"/>
          <w:b/>
          <w:bCs/>
          <w:lang w:val="en-US"/>
        </w:rPr>
      </w:pPr>
      <w:r>
        <w:br w:type="page"/>
      </w:r>
    </w:p>
    <w:p w14:paraId="7EB87C62" w14:textId="2796F8AB" w:rsidR="00173F8E" w:rsidRPr="00167CB8" w:rsidRDefault="00655F80" w:rsidP="00470AB9">
      <w:pPr>
        <w:pStyle w:val="Caption"/>
      </w:pPr>
      <w:r w:rsidRPr="00167CB8">
        <w:lastRenderedPageBreak/>
        <w:t xml:space="preserve">Table </w:t>
      </w:r>
      <w:r w:rsidR="00881A7B" w:rsidRPr="00167CB8">
        <w:t>9</w:t>
      </w:r>
      <w:r w:rsidRPr="00167CB8">
        <w:t xml:space="preserve">: </w:t>
      </w:r>
      <w:r w:rsidR="00173F8E" w:rsidRPr="00167CB8">
        <w:t>Single</w:t>
      </w:r>
      <w:r w:rsidR="002A0E63" w:rsidRPr="00167CB8">
        <w:t>-</w:t>
      </w:r>
      <w:r w:rsidR="00173F8E" w:rsidRPr="00167CB8">
        <w:t>interest employer authorisations made (as at 17 January 2025)</w:t>
      </w:r>
    </w:p>
    <w:tbl>
      <w:tblPr>
        <w:tblStyle w:val="TableGrid"/>
        <w:tblW w:w="0" w:type="auto"/>
        <w:tblLook w:val="04A0" w:firstRow="1" w:lastRow="0" w:firstColumn="1" w:lastColumn="0" w:noHBand="0" w:noVBand="1"/>
      </w:tblPr>
      <w:tblGrid>
        <w:gridCol w:w="3431"/>
        <w:gridCol w:w="1835"/>
        <w:gridCol w:w="1542"/>
        <w:gridCol w:w="2208"/>
      </w:tblGrid>
      <w:tr w:rsidR="00173F8E" w:rsidRPr="00167CB8" w14:paraId="1F6E8E8B" w14:textId="77777777">
        <w:tc>
          <w:tcPr>
            <w:tcW w:w="0" w:type="auto"/>
          </w:tcPr>
          <w:p w14:paraId="0688B2F7" w14:textId="77777777" w:rsidR="00173F8E" w:rsidRPr="00BC3D97" w:rsidRDefault="00173F8E">
            <w:pPr>
              <w:spacing w:after="0"/>
              <w:rPr>
                <w:b/>
                <w:sz w:val="20"/>
                <w:szCs w:val="20"/>
              </w:rPr>
            </w:pPr>
            <w:r w:rsidRPr="00BC3D97">
              <w:rPr>
                <w:b/>
                <w:sz w:val="20"/>
                <w:szCs w:val="20"/>
              </w:rPr>
              <w:t>Matter</w:t>
            </w:r>
          </w:p>
        </w:tc>
        <w:tc>
          <w:tcPr>
            <w:tcW w:w="0" w:type="auto"/>
          </w:tcPr>
          <w:p w14:paraId="45466ED8" w14:textId="77777777" w:rsidR="00173F8E" w:rsidRPr="00BC3D97" w:rsidRDefault="00173F8E">
            <w:pPr>
              <w:spacing w:after="0"/>
              <w:rPr>
                <w:b/>
                <w:sz w:val="20"/>
                <w:szCs w:val="20"/>
              </w:rPr>
            </w:pPr>
            <w:r w:rsidRPr="00BC3D97">
              <w:rPr>
                <w:b/>
                <w:sz w:val="20"/>
                <w:szCs w:val="20"/>
              </w:rPr>
              <w:t>Industry/sector</w:t>
            </w:r>
          </w:p>
        </w:tc>
        <w:tc>
          <w:tcPr>
            <w:tcW w:w="0" w:type="auto"/>
          </w:tcPr>
          <w:p w14:paraId="3A172864" w14:textId="77777777" w:rsidR="00173F8E" w:rsidRPr="00BC3D97" w:rsidRDefault="00173F8E">
            <w:pPr>
              <w:spacing w:after="0" w:line="259" w:lineRule="auto"/>
              <w:rPr>
                <w:b/>
                <w:sz w:val="20"/>
                <w:szCs w:val="20"/>
              </w:rPr>
            </w:pPr>
            <w:r w:rsidRPr="00BC3D97">
              <w:rPr>
                <w:b/>
                <w:sz w:val="20"/>
                <w:szCs w:val="20"/>
              </w:rPr>
              <w:t>Date authorisation made</w:t>
            </w:r>
          </w:p>
        </w:tc>
        <w:tc>
          <w:tcPr>
            <w:tcW w:w="0" w:type="auto"/>
          </w:tcPr>
          <w:p w14:paraId="25754897" w14:textId="77777777" w:rsidR="00173F8E" w:rsidRPr="00BC3D97" w:rsidRDefault="00173F8E">
            <w:pPr>
              <w:spacing w:after="0" w:line="259" w:lineRule="auto"/>
              <w:rPr>
                <w:b/>
                <w:sz w:val="20"/>
                <w:szCs w:val="20"/>
              </w:rPr>
            </w:pPr>
            <w:r w:rsidRPr="00BC3D97">
              <w:rPr>
                <w:b/>
                <w:sz w:val="20"/>
                <w:szCs w:val="20"/>
              </w:rPr>
              <w:t>Outcome</w:t>
            </w:r>
          </w:p>
        </w:tc>
      </w:tr>
      <w:tr w:rsidR="00173F8E" w:rsidRPr="00167CB8" w14:paraId="2B7DA215" w14:textId="77777777">
        <w:tc>
          <w:tcPr>
            <w:tcW w:w="0" w:type="auto"/>
          </w:tcPr>
          <w:p w14:paraId="6F5F1B1F" w14:textId="77777777" w:rsidR="00173F8E" w:rsidRPr="00BC3D97" w:rsidRDefault="00173F8E">
            <w:pPr>
              <w:spacing w:after="0" w:line="259" w:lineRule="auto"/>
              <w:rPr>
                <w:sz w:val="20"/>
                <w:szCs w:val="20"/>
              </w:rPr>
            </w:pPr>
            <w:r w:rsidRPr="00BC3D97">
              <w:rPr>
                <w:rFonts w:eastAsia="Calibri" w:cs="Calibri"/>
                <w:i/>
                <w:sz w:val="20"/>
                <w:szCs w:val="20"/>
              </w:rPr>
              <w:t>Association of Professional Engineers, Scientists and Managers, Australia v Great Southern Energy Pty Ltd T/A Delta Coal, Whitehaven Coal Mining Ltd, Peabody Energy Australia Coal Pty Ltd, Ulan Coal Mines Ltd</w:t>
            </w:r>
            <w:r w:rsidRPr="00BC3D97">
              <w:rPr>
                <w:rFonts w:eastAsia="Calibri" w:cs="Calibri"/>
                <w:sz w:val="20"/>
                <w:szCs w:val="20"/>
              </w:rPr>
              <w:t xml:space="preserve"> </w:t>
            </w:r>
            <w:r w:rsidRPr="00BC3D97">
              <w:rPr>
                <w:sz w:val="20"/>
                <w:szCs w:val="20"/>
              </w:rPr>
              <w:t>[2024] FWCFB 253</w:t>
            </w:r>
          </w:p>
        </w:tc>
        <w:tc>
          <w:tcPr>
            <w:tcW w:w="0" w:type="auto"/>
          </w:tcPr>
          <w:p w14:paraId="2EA0700B" w14:textId="77777777" w:rsidR="00173F8E" w:rsidRPr="00BC3D97" w:rsidRDefault="00173F8E">
            <w:pPr>
              <w:spacing w:after="0"/>
              <w:rPr>
                <w:sz w:val="20"/>
                <w:szCs w:val="20"/>
              </w:rPr>
            </w:pPr>
            <w:r w:rsidRPr="00BC3D97">
              <w:rPr>
                <w:sz w:val="20"/>
                <w:szCs w:val="20"/>
              </w:rPr>
              <w:t>Black coal mining</w:t>
            </w:r>
          </w:p>
        </w:tc>
        <w:tc>
          <w:tcPr>
            <w:tcW w:w="0" w:type="auto"/>
          </w:tcPr>
          <w:p w14:paraId="5BF73288" w14:textId="77777777" w:rsidR="00173F8E" w:rsidRPr="00BC3D97" w:rsidRDefault="00173F8E">
            <w:pPr>
              <w:spacing w:after="0" w:line="259" w:lineRule="auto"/>
              <w:rPr>
                <w:sz w:val="20"/>
                <w:szCs w:val="20"/>
              </w:rPr>
            </w:pPr>
            <w:r w:rsidRPr="00BC3D97">
              <w:rPr>
                <w:sz w:val="20"/>
                <w:szCs w:val="20"/>
              </w:rPr>
              <w:t>23 August 2024</w:t>
            </w:r>
          </w:p>
        </w:tc>
        <w:tc>
          <w:tcPr>
            <w:tcW w:w="0" w:type="auto"/>
          </w:tcPr>
          <w:p w14:paraId="355A71C2" w14:textId="77777777" w:rsidR="00173F8E" w:rsidRPr="00BC3D97" w:rsidRDefault="00173F8E">
            <w:pPr>
              <w:spacing w:after="0" w:line="259" w:lineRule="auto"/>
              <w:rPr>
                <w:iCs/>
                <w:sz w:val="20"/>
                <w:szCs w:val="20"/>
              </w:rPr>
            </w:pPr>
            <w:r w:rsidRPr="00BC3D97">
              <w:rPr>
                <w:iCs/>
                <w:sz w:val="20"/>
                <w:szCs w:val="20"/>
              </w:rPr>
              <w:t xml:space="preserve">Authorisation issued. </w:t>
            </w:r>
          </w:p>
          <w:p w14:paraId="69CAFDF5" w14:textId="77777777" w:rsidR="00173F8E" w:rsidRPr="00BC3D97" w:rsidRDefault="00173F8E">
            <w:pPr>
              <w:spacing w:after="0" w:line="259" w:lineRule="auto"/>
              <w:rPr>
                <w:sz w:val="20"/>
                <w:szCs w:val="20"/>
              </w:rPr>
            </w:pPr>
            <w:r w:rsidRPr="00BC3D97">
              <w:rPr>
                <w:sz w:val="20"/>
                <w:szCs w:val="20"/>
              </w:rPr>
              <w:t>The Review Panel notes the decision has been appealed and proceedings are currently before the Federal Court.</w:t>
            </w:r>
          </w:p>
        </w:tc>
      </w:tr>
      <w:tr w:rsidR="00173F8E" w:rsidRPr="00167CB8" w14:paraId="79D2815B" w14:textId="77777777">
        <w:tc>
          <w:tcPr>
            <w:tcW w:w="0" w:type="auto"/>
          </w:tcPr>
          <w:p w14:paraId="0DBFBFB2" w14:textId="2CAEFD43" w:rsidR="00173F8E" w:rsidRPr="00BC3D97" w:rsidRDefault="00655F80">
            <w:pPr>
              <w:spacing w:after="0"/>
              <w:rPr>
                <w:sz w:val="20"/>
                <w:szCs w:val="20"/>
              </w:rPr>
            </w:pPr>
            <w:r w:rsidRPr="00BC3D97">
              <w:rPr>
                <w:rFonts w:eastAsia="Calibri" w:cs="Calibri"/>
                <w:i/>
                <w:sz w:val="20"/>
                <w:szCs w:val="20"/>
              </w:rPr>
              <w:t>‘</w:t>
            </w:r>
            <w:r w:rsidR="00173F8E" w:rsidRPr="00BC3D97">
              <w:rPr>
                <w:rFonts w:eastAsia="Calibri" w:cs="Calibri"/>
                <w:i/>
                <w:sz w:val="20"/>
                <w:szCs w:val="20"/>
              </w:rPr>
              <w:t>Automotive, Food, Metals, Engineering, Printing and Kindred Industries Union</w:t>
            </w:r>
            <w:r w:rsidRPr="00BC3D97">
              <w:rPr>
                <w:rFonts w:eastAsia="Calibri" w:cs="Calibri"/>
                <w:i/>
                <w:sz w:val="20"/>
                <w:szCs w:val="20"/>
              </w:rPr>
              <w:t>’</w:t>
            </w:r>
            <w:r w:rsidR="00173F8E" w:rsidRPr="00BC3D97">
              <w:rPr>
                <w:rFonts w:eastAsia="Calibri" w:cs="Calibri"/>
                <w:i/>
                <w:sz w:val="20"/>
                <w:szCs w:val="20"/>
              </w:rPr>
              <w:t xml:space="preserve"> known as the Australian Manufacturing Workers' Union (AMWU)</w:t>
            </w:r>
            <w:r w:rsidR="00173F8E" w:rsidRPr="00BC3D97">
              <w:rPr>
                <w:rFonts w:eastAsia="Calibri" w:cs="Calibri"/>
                <w:sz w:val="20"/>
                <w:szCs w:val="20"/>
              </w:rPr>
              <w:t xml:space="preserve"> </w:t>
            </w:r>
            <w:r w:rsidR="00173F8E" w:rsidRPr="00BC3D97">
              <w:rPr>
                <w:sz w:val="20"/>
                <w:szCs w:val="20"/>
              </w:rPr>
              <w:t>[2024] FWC 395</w:t>
            </w:r>
          </w:p>
        </w:tc>
        <w:tc>
          <w:tcPr>
            <w:tcW w:w="0" w:type="auto"/>
          </w:tcPr>
          <w:p w14:paraId="1029CEC2" w14:textId="77777777" w:rsidR="00173F8E" w:rsidRPr="00BC3D97" w:rsidRDefault="00173F8E">
            <w:pPr>
              <w:spacing w:after="0"/>
              <w:rPr>
                <w:sz w:val="20"/>
                <w:szCs w:val="20"/>
              </w:rPr>
            </w:pPr>
            <w:r w:rsidRPr="00BC3D97">
              <w:rPr>
                <w:sz w:val="20"/>
                <w:szCs w:val="20"/>
              </w:rPr>
              <w:t>Air conditioning or ventilation</w:t>
            </w:r>
          </w:p>
        </w:tc>
        <w:tc>
          <w:tcPr>
            <w:tcW w:w="0" w:type="auto"/>
          </w:tcPr>
          <w:p w14:paraId="2EED99B5" w14:textId="77777777" w:rsidR="00173F8E" w:rsidRPr="00BC3D97" w:rsidRDefault="00173F8E">
            <w:pPr>
              <w:spacing w:after="0" w:line="259" w:lineRule="auto"/>
              <w:rPr>
                <w:sz w:val="20"/>
                <w:szCs w:val="20"/>
              </w:rPr>
            </w:pPr>
            <w:r w:rsidRPr="00BC3D97">
              <w:rPr>
                <w:sz w:val="20"/>
                <w:szCs w:val="20"/>
              </w:rPr>
              <w:t>13 February 2024</w:t>
            </w:r>
          </w:p>
        </w:tc>
        <w:tc>
          <w:tcPr>
            <w:tcW w:w="0" w:type="auto"/>
          </w:tcPr>
          <w:p w14:paraId="6C2E7531" w14:textId="632FCCE6" w:rsidR="00173F8E" w:rsidRPr="00BC3D97" w:rsidRDefault="00173F8E">
            <w:pPr>
              <w:spacing w:after="0" w:line="259" w:lineRule="auto"/>
              <w:rPr>
                <w:rFonts w:eastAsia="Calibri" w:cs="Calibri"/>
                <w:sz w:val="20"/>
                <w:szCs w:val="20"/>
              </w:rPr>
            </w:pPr>
            <w:r w:rsidRPr="00BC3D97">
              <w:rPr>
                <w:rFonts w:eastAsia="Calibri" w:cs="Calibri"/>
                <w:sz w:val="20"/>
                <w:szCs w:val="20"/>
              </w:rPr>
              <w:t>Authorisation issued</w:t>
            </w:r>
            <w:r w:rsidR="00655F80" w:rsidRPr="00BC3D97">
              <w:rPr>
                <w:rFonts w:eastAsia="Calibri" w:cs="Calibri"/>
                <w:sz w:val="20"/>
                <w:szCs w:val="20"/>
              </w:rPr>
              <w:t>.</w:t>
            </w:r>
          </w:p>
          <w:p w14:paraId="4D52BABB" w14:textId="77777777" w:rsidR="00173F8E" w:rsidRPr="00BC3D97" w:rsidRDefault="00173F8E">
            <w:pPr>
              <w:spacing w:after="0" w:line="259" w:lineRule="auto"/>
              <w:rPr>
                <w:rFonts w:eastAsia="Calibri" w:cs="Calibri"/>
                <w:sz w:val="20"/>
                <w:szCs w:val="20"/>
              </w:rPr>
            </w:pPr>
            <w:r w:rsidRPr="00BC3D97">
              <w:rPr>
                <w:rFonts w:eastAsia="Calibri" w:cs="Calibri"/>
                <w:sz w:val="20"/>
                <w:szCs w:val="20"/>
              </w:rPr>
              <w:t>Agreement approved on 14 June 2024.</w:t>
            </w:r>
          </w:p>
        </w:tc>
      </w:tr>
      <w:tr w:rsidR="00173F8E" w:rsidRPr="00167CB8" w14:paraId="24FFAE42" w14:textId="77777777">
        <w:tc>
          <w:tcPr>
            <w:tcW w:w="0" w:type="auto"/>
          </w:tcPr>
          <w:p w14:paraId="1BB96FB4" w14:textId="77777777" w:rsidR="00173F8E" w:rsidRPr="00BC3D97" w:rsidRDefault="00173F8E">
            <w:pPr>
              <w:spacing w:after="0"/>
              <w:rPr>
                <w:sz w:val="20"/>
                <w:szCs w:val="20"/>
              </w:rPr>
            </w:pPr>
            <w:r w:rsidRPr="00BC3D97">
              <w:rPr>
                <w:rFonts w:eastAsia="Calibri" w:cs="Calibri"/>
                <w:i/>
                <w:sz w:val="20"/>
                <w:szCs w:val="20"/>
              </w:rPr>
              <w:t>Independent Education Union of Australia v Catholic Education Western Australia Limited and Ors</w:t>
            </w:r>
            <w:r w:rsidRPr="00BC3D97">
              <w:rPr>
                <w:rFonts w:eastAsia="Calibri" w:cs="Calibri"/>
                <w:sz w:val="20"/>
                <w:szCs w:val="20"/>
              </w:rPr>
              <w:t xml:space="preserve"> [2023] FWCFB 177</w:t>
            </w:r>
          </w:p>
        </w:tc>
        <w:tc>
          <w:tcPr>
            <w:tcW w:w="0" w:type="auto"/>
          </w:tcPr>
          <w:p w14:paraId="33FF18BE" w14:textId="77777777" w:rsidR="00173F8E" w:rsidRPr="00BC3D97" w:rsidRDefault="00173F8E">
            <w:pPr>
              <w:spacing w:after="0"/>
              <w:rPr>
                <w:sz w:val="20"/>
                <w:szCs w:val="20"/>
              </w:rPr>
            </w:pPr>
            <w:r w:rsidRPr="00BC3D97">
              <w:rPr>
                <w:sz w:val="20"/>
                <w:szCs w:val="20"/>
              </w:rPr>
              <w:t>Education (schools) and related services</w:t>
            </w:r>
          </w:p>
        </w:tc>
        <w:tc>
          <w:tcPr>
            <w:tcW w:w="0" w:type="auto"/>
          </w:tcPr>
          <w:p w14:paraId="5C650E62" w14:textId="77777777" w:rsidR="00173F8E" w:rsidRPr="00BC3D97" w:rsidRDefault="00173F8E">
            <w:pPr>
              <w:spacing w:after="0" w:line="259" w:lineRule="auto"/>
              <w:rPr>
                <w:sz w:val="20"/>
                <w:szCs w:val="20"/>
              </w:rPr>
            </w:pPr>
            <w:r w:rsidRPr="00BC3D97">
              <w:rPr>
                <w:sz w:val="20"/>
                <w:szCs w:val="20"/>
              </w:rPr>
              <w:t>28 September 2024</w:t>
            </w:r>
          </w:p>
        </w:tc>
        <w:tc>
          <w:tcPr>
            <w:tcW w:w="0" w:type="auto"/>
          </w:tcPr>
          <w:p w14:paraId="2BE5ABE1" w14:textId="77777777" w:rsidR="00173F8E" w:rsidRPr="00BC3D97" w:rsidRDefault="00173F8E">
            <w:pPr>
              <w:spacing w:after="0" w:line="259" w:lineRule="auto"/>
              <w:rPr>
                <w:rFonts w:eastAsia="Calibri" w:cs="Calibri"/>
                <w:sz w:val="20"/>
                <w:szCs w:val="20"/>
              </w:rPr>
            </w:pPr>
            <w:r w:rsidRPr="00BC3D97">
              <w:rPr>
                <w:iCs/>
                <w:sz w:val="20"/>
                <w:szCs w:val="20"/>
              </w:rPr>
              <w:t>Authorisation issued.</w:t>
            </w:r>
          </w:p>
        </w:tc>
      </w:tr>
      <w:tr w:rsidR="00173F8E" w:rsidRPr="00167CB8" w14:paraId="1484B793" w14:textId="77777777">
        <w:tc>
          <w:tcPr>
            <w:tcW w:w="0" w:type="auto"/>
          </w:tcPr>
          <w:p w14:paraId="7FCCD371" w14:textId="77777777" w:rsidR="00173F8E" w:rsidRPr="00BC3D97" w:rsidRDefault="00173F8E">
            <w:pPr>
              <w:spacing w:after="0"/>
              <w:rPr>
                <w:sz w:val="20"/>
                <w:szCs w:val="20"/>
              </w:rPr>
            </w:pPr>
            <w:r w:rsidRPr="00BC3D97">
              <w:rPr>
                <w:i/>
                <w:sz w:val="20"/>
                <w:szCs w:val="20"/>
              </w:rPr>
              <w:t>Australian Education Union</w:t>
            </w:r>
            <w:r w:rsidRPr="00BC3D97">
              <w:rPr>
                <w:sz w:val="20"/>
                <w:szCs w:val="20"/>
              </w:rPr>
              <w:t xml:space="preserve"> [2023] FWC 3034</w:t>
            </w:r>
          </w:p>
        </w:tc>
        <w:tc>
          <w:tcPr>
            <w:tcW w:w="0" w:type="auto"/>
          </w:tcPr>
          <w:p w14:paraId="6FD8A277" w14:textId="77777777" w:rsidR="00173F8E" w:rsidRPr="00BC3D97" w:rsidRDefault="00173F8E">
            <w:pPr>
              <w:spacing w:after="0"/>
              <w:rPr>
                <w:sz w:val="20"/>
                <w:szCs w:val="20"/>
              </w:rPr>
            </w:pPr>
            <w:r w:rsidRPr="00BC3D97">
              <w:rPr>
                <w:sz w:val="20"/>
                <w:szCs w:val="20"/>
              </w:rPr>
              <w:t>Education and training (TAFE)</w:t>
            </w:r>
          </w:p>
        </w:tc>
        <w:tc>
          <w:tcPr>
            <w:tcW w:w="0" w:type="auto"/>
          </w:tcPr>
          <w:p w14:paraId="64DD985A" w14:textId="77777777" w:rsidR="00173F8E" w:rsidRPr="00BC3D97" w:rsidRDefault="00173F8E">
            <w:pPr>
              <w:spacing w:after="0" w:line="259" w:lineRule="auto"/>
              <w:rPr>
                <w:sz w:val="20"/>
                <w:szCs w:val="20"/>
              </w:rPr>
            </w:pPr>
            <w:r w:rsidRPr="00BC3D97">
              <w:rPr>
                <w:sz w:val="20"/>
                <w:szCs w:val="20"/>
              </w:rPr>
              <w:t>28 November 2023</w:t>
            </w:r>
          </w:p>
        </w:tc>
        <w:tc>
          <w:tcPr>
            <w:tcW w:w="0" w:type="auto"/>
          </w:tcPr>
          <w:p w14:paraId="242AAEE8" w14:textId="77777777" w:rsidR="00173F8E" w:rsidRPr="00BC3D97" w:rsidRDefault="00173F8E">
            <w:pPr>
              <w:spacing w:after="0" w:line="259" w:lineRule="auto"/>
              <w:rPr>
                <w:rFonts w:eastAsia="Calibri" w:cs="Calibri"/>
                <w:sz w:val="20"/>
                <w:szCs w:val="20"/>
              </w:rPr>
            </w:pPr>
            <w:r w:rsidRPr="00BC3D97">
              <w:rPr>
                <w:iCs/>
                <w:sz w:val="20"/>
                <w:szCs w:val="20"/>
              </w:rPr>
              <w:t>Authorisation issued.</w:t>
            </w:r>
          </w:p>
        </w:tc>
      </w:tr>
      <w:tr w:rsidR="00173F8E" w:rsidRPr="00167CB8" w14:paraId="535DF480" w14:textId="77777777">
        <w:tc>
          <w:tcPr>
            <w:tcW w:w="0" w:type="auto"/>
          </w:tcPr>
          <w:p w14:paraId="42834C35" w14:textId="77777777" w:rsidR="00173F8E" w:rsidRPr="00BC3D97" w:rsidRDefault="00173F8E">
            <w:pPr>
              <w:spacing w:after="0"/>
              <w:rPr>
                <w:sz w:val="20"/>
                <w:szCs w:val="20"/>
              </w:rPr>
            </w:pPr>
            <w:r w:rsidRPr="00BC3D97">
              <w:rPr>
                <w:i/>
                <w:sz w:val="20"/>
                <w:szCs w:val="20"/>
              </w:rPr>
              <w:t>Victorian Hospitals’ Industrial Association v Australian Nursing and Midwifery Federation and Health Services Union</w:t>
            </w:r>
            <w:r w:rsidRPr="00BC3D97">
              <w:rPr>
                <w:sz w:val="20"/>
                <w:szCs w:val="20"/>
              </w:rPr>
              <w:t xml:space="preserve"> [2024] FWC 482</w:t>
            </w:r>
          </w:p>
        </w:tc>
        <w:tc>
          <w:tcPr>
            <w:tcW w:w="0" w:type="auto"/>
          </w:tcPr>
          <w:p w14:paraId="420F63DF" w14:textId="77777777" w:rsidR="00173F8E" w:rsidRPr="00BC3D97" w:rsidRDefault="00173F8E">
            <w:pPr>
              <w:spacing w:after="0"/>
              <w:rPr>
                <w:sz w:val="20"/>
                <w:szCs w:val="20"/>
              </w:rPr>
            </w:pPr>
            <w:r w:rsidRPr="00BC3D97">
              <w:rPr>
                <w:sz w:val="20"/>
                <w:szCs w:val="20"/>
              </w:rPr>
              <w:t>Health and welfare services</w:t>
            </w:r>
          </w:p>
        </w:tc>
        <w:tc>
          <w:tcPr>
            <w:tcW w:w="0" w:type="auto"/>
          </w:tcPr>
          <w:p w14:paraId="63773AF3" w14:textId="77777777" w:rsidR="00173F8E" w:rsidRPr="00BC3D97" w:rsidRDefault="00173F8E">
            <w:pPr>
              <w:spacing w:after="0" w:line="259" w:lineRule="auto"/>
              <w:rPr>
                <w:sz w:val="20"/>
                <w:szCs w:val="20"/>
              </w:rPr>
            </w:pPr>
            <w:r w:rsidRPr="00BC3D97">
              <w:rPr>
                <w:sz w:val="20"/>
                <w:szCs w:val="20"/>
              </w:rPr>
              <w:t>6 March 2024</w:t>
            </w:r>
          </w:p>
        </w:tc>
        <w:tc>
          <w:tcPr>
            <w:tcW w:w="0" w:type="auto"/>
          </w:tcPr>
          <w:p w14:paraId="701D6D6B" w14:textId="77777777" w:rsidR="00173F8E" w:rsidRPr="00BC3D97" w:rsidRDefault="00173F8E">
            <w:pPr>
              <w:spacing w:after="0" w:line="259" w:lineRule="auto"/>
              <w:rPr>
                <w:iCs/>
                <w:sz w:val="20"/>
                <w:szCs w:val="20"/>
              </w:rPr>
            </w:pPr>
            <w:r w:rsidRPr="00BC3D97">
              <w:rPr>
                <w:iCs/>
                <w:sz w:val="20"/>
                <w:szCs w:val="20"/>
              </w:rPr>
              <w:t>Authorisation issued.</w:t>
            </w:r>
          </w:p>
          <w:p w14:paraId="33FB865A" w14:textId="77777777" w:rsidR="00173F8E" w:rsidRPr="00BC3D97" w:rsidRDefault="00173F8E">
            <w:pPr>
              <w:spacing w:after="0" w:line="259" w:lineRule="auto"/>
              <w:rPr>
                <w:sz w:val="20"/>
                <w:szCs w:val="20"/>
              </w:rPr>
            </w:pPr>
            <w:r w:rsidRPr="00BC3D97">
              <w:rPr>
                <w:sz w:val="20"/>
                <w:szCs w:val="20"/>
              </w:rPr>
              <w:t>Agreement approved on 8 November 2024.</w:t>
            </w:r>
          </w:p>
        </w:tc>
      </w:tr>
      <w:tr w:rsidR="00173F8E" w:rsidRPr="00167CB8" w14:paraId="6F5CD5DB" w14:textId="77777777">
        <w:tc>
          <w:tcPr>
            <w:tcW w:w="0" w:type="auto"/>
          </w:tcPr>
          <w:p w14:paraId="5679A91E" w14:textId="77777777" w:rsidR="00173F8E" w:rsidRPr="00BC3D97" w:rsidRDefault="00173F8E">
            <w:pPr>
              <w:spacing w:after="0"/>
              <w:rPr>
                <w:sz w:val="20"/>
                <w:szCs w:val="20"/>
              </w:rPr>
            </w:pPr>
            <w:r w:rsidRPr="00BC3D97">
              <w:rPr>
                <w:i/>
                <w:iCs/>
                <w:sz w:val="20"/>
                <w:szCs w:val="20"/>
              </w:rPr>
              <w:t xml:space="preserve">Victorian Hospitals’ Industrial Association v Association of Professional Engineers, Scientists and Managers, Australia </w:t>
            </w:r>
            <w:r w:rsidRPr="00BC3D97">
              <w:rPr>
                <w:sz w:val="20"/>
                <w:szCs w:val="20"/>
              </w:rPr>
              <w:t>[2024] FWC 776</w:t>
            </w:r>
          </w:p>
        </w:tc>
        <w:tc>
          <w:tcPr>
            <w:tcW w:w="0" w:type="auto"/>
          </w:tcPr>
          <w:p w14:paraId="1459BCD7" w14:textId="77777777" w:rsidR="00173F8E" w:rsidRPr="00BC3D97" w:rsidRDefault="00173F8E">
            <w:pPr>
              <w:spacing w:after="0"/>
              <w:rPr>
                <w:sz w:val="20"/>
                <w:szCs w:val="20"/>
              </w:rPr>
            </w:pPr>
            <w:r w:rsidRPr="00BC3D97">
              <w:rPr>
                <w:sz w:val="20"/>
                <w:szCs w:val="20"/>
              </w:rPr>
              <w:t>Health care</w:t>
            </w:r>
          </w:p>
        </w:tc>
        <w:tc>
          <w:tcPr>
            <w:tcW w:w="0" w:type="auto"/>
          </w:tcPr>
          <w:p w14:paraId="51AE4EE2" w14:textId="77777777" w:rsidR="00173F8E" w:rsidRPr="00BC3D97" w:rsidRDefault="00173F8E">
            <w:pPr>
              <w:spacing w:after="0" w:line="259" w:lineRule="auto"/>
              <w:rPr>
                <w:sz w:val="20"/>
                <w:szCs w:val="20"/>
              </w:rPr>
            </w:pPr>
            <w:r w:rsidRPr="00BC3D97">
              <w:rPr>
                <w:sz w:val="20"/>
                <w:szCs w:val="20"/>
              </w:rPr>
              <w:t>2 April 2024</w:t>
            </w:r>
          </w:p>
        </w:tc>
        <w:tc>
          <w:tcPr>
            <w:tcW w:w="0" w:type="auto"/>
          </w:tcPr>
          <w:p w14:paraId="27151895" w14:textId="15B4D5F1" w:rsidR="00173F8E" w:rsidRPr="00BC3D97" w:rsidRDefault="00173F8E">
            <w:pPr>
              <w:spacing w:after="0" w:line="259" w:lineRule="auto"/>
              <w:rPr>
                <w:sz w:val="20"/>
                <w:szCs w:val="20"/>
              </w:rPr>
            </w:pPr>
            <w:r w:rsidRPr="00BC3D97">
              <w:rPr>
                <w:sz w:val="20"/>
                <w:szCs w:val="20"/>
              </w:rPr>
              <w:t>Authorisation issued</w:t>
            </w:r>
            <w:r w:rsidR="00655F80" w:rsidRPr="00BC3D97">
              <w:rPr>
                <w:sz w:val="20"/>
                <w:szCs w:val="20"/>
              </w:rPr>
              <w:t>.</w:t>
            </w:r>
          </w:p>
        </w:tc>
      </w:tr>
      <w:tr w:rsidR="00173F8E" w:rsidRPr="00167CB8" w14:paraId="2B391AFE" w14:textId="77777777">
        <w:tc>
          <w:tcPr>
            <w:tcW w:w="0" w:type="auto"/>
          </w:tcPr>
          <w:p w14:paraId="57852892" w14:textId="77777777" w:rsidR="00173F8E" w:rsidRPr="00BC3D97" w:rsidRDefault="00173F8E">
            <w:pPr>
              <w:spacing w:after="0"/>
              <w:rPr>
                <w:sz w:val="20"/>
                <w:szCs w:val="20"/>
              </w:rPr>
            </w:pPr>
            <w:r w:rsidRPr="00BC3D97">
              <w:rPr>
                <w:i/>
                <w:iCs/>
                <w:sz w:val="20"/>
                <w:szCs w:val="20"/>
              </w:rPr>
              <w:t xml:space="preserve">Lutheran Education SA, NT and WA Inc </w:t>
            </w:r>
            <w:r w:rsidRPr="00BC3D97">
              <w:rPr>
                <w:sz w:val="20"/>
                <w:szCs w:val="20"/>
              </w:rPr>
              <w:t>[2024] FWC 1405</w:t>
            </w:r>
          </w:p>
        </w:tc>
        <w:tc>
          <w:tcPr>
            <w:tcW w:w="0" w:type="auto"/>
          </w:tcPr>
          <w:p w14:paraId="2A72462D" w14:textId="77777777" w:rsidR="00173F8E" w:rsidRPr="00BC3D97" w:rsidRDefault="00173F8E">
            <w:pPr>
              <w:spacing w:after="0"/>
              <w:rPr>
                <w:sz w:val="20"/>
                <w:szCs w:val="20"/>
              </w:rPr>
            </w:pPr>
            <w:r w:rsidRPr="00BC3D97">
              <w:rPr>
                <w:sz w:val="20"/>
                <w:szCs w:val="20"/>
              </w:rPr>
              <w:t>Education (schools)</w:t>
            </w:r>
          </w:p>
        </w:tc>
        <w:tc>
          <w:tcPr>
            <w:tcW w:w="0" w:type="auto"/>
          </w:tcPr>
          <w:p w14:paraId="7CFAFDB7" w14:textId="77777777" w:rsidR="00173F8E" w:rsidRPr="00BC3D97" w:rsidRDefault="00173F8E">
            <w:pPr>
              <w:spacing w:after="0" w:line="259" w:lineRule="auto"/>
              <w:rPr>
                <w:sz w:val="20"/>
                <w:szCs w:val="20"/>
              </w:rPr>
            </w:pPr>
            <w:r w:rsidRPr="00BC3D97">
              <w:rPr>
                <w:sz w:val="20"/>
                <w:szCs w:val="20"/>
              </w:rPr>
              <w:t>30 May 2024</w:t>
            </w:r>
          </w:p>
        </w:tc>
        <w:tc>
          <w:tcPr>
            <w:tcW w:w="0" w:type="auto"/>
          </w:tcPr>
          <w:p w14:paraId="43E45FB9" w14:textId="3A474B05" w:rsidR="00173F8E" w:rsidRPr="00BC3D97" w:rsidRDefault="00173F8E">
            <w:pPr>
              <w:spacing w:after="0" w:line="259" w:lineRule="auto"/>
              <w:rPr>
                <w:sz w:val="20"/>
                <w:szCs w:val="20"/>
              </w:rPr>
            </w:pPr>
            <w:r w:rsidRPr="00BC3D97">
              <w:rPr>
                <w:sz w:val="20"/>
                <w:szCs w:val="20"/>
              </w:rPr>
              <w:t>Authorisation issued</w:t>
            </w:r>
            <w:r w:rsidR="00655F80" w:rsidRPr="00BC3D97">
              <w:rPr>
                <w:sz w:val="20"/>
                <w:szCs w:val="20"/>
              </w:rPr>
              <w:t>.</w:t>
            </w:r>
          </w:p>
        </w:tc>
      </w:tr>
      <w:tr w:rsidR="00173F8E" w:rsidRPr="00167CB8" w14:paraId="7FEB6DEF" w14:textId="77777777">
        <w:tc>
          <w:tcPr>
            <w:tcW w:w="0" w:type="auto"/>
          </w:tcPr>
          <w:p w14:paraId="48CD537F" w14:textId="77777777" w:rsidR="00173F8E" w:rsidRPr="00BC3D97" w:rsidRDefault="00173F8E">
            <w:pPr>
              <w:spacing w:after="0"/>
              <w:rPr>
                <w:sz w:val="20"/>
                <w:szCs w:val="20"/>
              </w:rPr>
            </w:pPr>
            <w:r w:rsidRPr="00BC3D97">
              <w:rPr>
                <w:i/>
                <w:iCs/>
                <w:sz w:val="20"/>
                <w:szCs w:val="20"/>
              </w:rPr>
              <w:t xml:space="preserve">CPSU, the Community and Public Sector Union </w:t>
            </w:r>
            <w:r w:rsidRPr="00BC3D97">
              <w:rPr>
                <w:sz w:val="20"/>
                <w:szCs w:val="20"/>
              </w:rPr>
              <w:t>[2024] FWC 1402</w:t>
            </w:r>
          </w:p>
        </w:tc>
        <w:tc>
          <w:tcPr>
            <w:tcW w:w="0" w:type="auto"/>
          </w:tcPr>
          <w:p w14:paraId="08090515" w14:textId="5036C875" w:rsidR="00173F8E" w:rsidRPr="00BC3D97" w:rsidRDefault="00173F8E">
            <w:pPr>
              <w:spacing w:after="0"/>
              <w:rPr>
                <w:sz w:val="20"/>
                <w:szCs w:val="20"/>
              </w:rPr>
            </w:pPr>
            <w:r w:rsidRPr="00BC3D97">
              <w:rPr>
                <w:sz w:val="20"/>
                <w:szCs w:val="20"/>
              </w:rPr>
              <w:t xml:space="preserve">State </w:t>
            </w:r>
            <w:r w:rsidR="00655F80" w:rsidRPr="00BC3D97">
              <w:rPr>
                <w:sz w:val="20"/>
                <w:szCs w:val="20"/>
              </w:rPr>
              <w:t>g</w:t>
            </w:r>
            <w:r w:rsidRPr="00BC3D97">
              <w:rPr>
                <w:sz w:val="20"/>
                <w:szCs w:val="20"/>
              </w:rPr>
              <w:t>overnment (arts sector)</w:t>
            </w:r>
          </w:p>
        </w:tc>
        <w:tc>
          <w:tcPr>
            <w:tcW w:w="0" w:type="auto"/>
          </w:tcPr>
          <w:p w14:paraId="5D14B737" w14:textId="77777777" w:rsidR="00173F8E" w:rsidRPr="00BC3D97" w:rsidRDefault="00173F8E">
            <w:pPr>
              <w:spacing w:after="0" w:line="259" w:lineRule="auto"/>
              <w:rPr>
                <w:sz w:val="20"/>
                <w:szCs w:val="20"/>
              </w:rPr>
            </w:pPr>
            <w:r w:rsidRPr="00BC3D97">
              <w:rPr>
                <w:sz w:val="20"/>
                <w:szCs w:val="20"/>
              </w:rPr>
              <w:t>3 June 2024</w:t>
            </w:r>
          </w:p>
        </w:tc>
        <w:tc>
          <w:tcPr>
            <w:tcW w:w="0" w:type="auto"/>
          </w:tcPr>
          <w:p w14:paraId="7EC5A8D8" w14:textId="00F23B78" w:rsidR="00173F8E" w:rsidRPr="00BC3D97" w:rsidRDefault="00173F8E">
            <w:pPr>
              <w:spacing w:after="0" w:line="259" w:lineRule="auto"/>
              <w:rPr>
                <w:sz w:val="20"/>
                <w:szCs w:val="20"/>
              </w:rPr>
            </w:pPr>
            <w:r w:rsidRPr="00BC3D97">
              <w:rPr>
                <w:sz w:val="20"/>
                <w:szCs w:val="20"/>
              </w:rPr>
              <w:t>Authorisation issued</w:t>
            </w:r>
            <w:r w:rsidR="00655F80" w:rsidRPr="00BC3D97">
              <w:rPr>
                <w:sz w:val="20"/>
                <w:szCs w:val="20"/>
              </w:rPr>
              <w:t>.</w:t>
            </w:r>
          </w:p>
        </w:tc>
      </w:tr>
      <w:tr w:rsidR="00173F8E" w:rsidRPr="00167CB8" w14:paraId="10A3FC5F" w14:textId="77777777">
        <w:tc>
          <w:tcPr>
            <w:tcW w:w="0" w:type="auto"/>
          </w:tcPr>
          <w:p w14:paraId="05E5799E" w14:textId="77777777" w:rsidR="00173F8E" w:rsidRPr="00BC3D97" w:rsidRDefault="00173F8E">
            <w:pPr>
              <w:spacing w:after="0"/>
              <w:rPr>
                <w:sz w:val="20"/>
                <w:szCs w:val="20"/>
              </w:rPr>
            </w:pPr>
            <w:r w:rsidRPr="00BC3D97">
              <w:rPr>
                <w:i/>
                <w:iCs/>
                <w:sz w:val="20"/>
                <w:szCs w:val="20"/>
              </w:rPr>
              <w:t>Acacia Avenue Preschool Association Inc &amp; Ors (As Represented by Early Learning Association Australia Inc/ T/A Early Learning Association Australia) v Australian Education Union (Victorian Branch) and the Union Workers Union</w:t>
            </w:r>
            <w:r w:rsidRPr="00BC3D97">
              <w:rPr>
                <w:sz w:val="20"/>
                <w:szCs w:val="20"/>
              </w:rPr>
              <w:t xml:space="preserve"> [2024] FWC 1447</w:t>
            </w:r>
          </w:p>
        </w:tc>
        <w:tc>
          <w:tcPr>
            <w:tcW w:w="0" w:type="auto"/>
          </w:tcPr>
          <w:p w14:paraId="4F774564" w14:textId="77777777" w:rsidR="00173F8E" w:rsidRPr="00BC3D97" w:rsidRDefault="00173F8E">
            <w:pPr>
              <w:spacing w:after="0"/>
              <w:rPr>
                <w:sz w:val="20"/>
                <w:szCs w:val="20"/>
              </w:rPr>
            </w:pPr>
            <w:r w:rsidRPr="00BC3D97">
              <w:rPr>
                <w:sz w:val="20"/>
                <w:szCs w:val="20"/>
              </w:rPr>
              <w:t>Early childhood education</w:t>
            </w:r>
          </w:p>
        </w:tc>
        <w:tc>
          <w:tcPr>
            <w:tcW w:w="0" w:type="auto"/>
          </w:tcPr>
          <w:p w14:paraId="2DADE080" w14:textId="77777777" w:rsidR="00173F8E" w:rsidRPr="00BC3D97" w:rsidRDefault="00173F8E">
            <w:pPr>
              <w:spacing w:after="0" w:line="259" w:lineRule="auto"/>
              <w:rPr>
                <w:sz w:val="20"/>
                <w:szCs w:val="20"/>
              </w:rPr>
            </w:pPr>
            <w:r w:rsidRPr="00BC3D97">
              <w:rPr>
                <w:sz w:val="20"/>
                <w:szCs w:val="20"/>
              </w:rPr>
              <w:t>3 June 2024</w:t>
            </w:r>
          </w:p>
        </w:tc>
        <w:tc>
          <w:tcPr>
            <w:tcW w:w="0" w:type="auto"/>
          </w:tcPr>
          <w:p w14:paraId="028A59CF"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0661E2EC" w14:textId="77777777">
        <w:tc>
          <w:tcPr>
            <w:tcW w:w="0" w:type="auto"/>
          </w:tcPr>
          <w:p w14:paraId="7E157565" w14:textId="77777777" w:rsidR="00173F8E" w:rsidRPr="00BC3D97" w:rsidRDefault="00173F8E">
            <w:pPr>
              <w:spacing w:after="0"/>
              <w:rPr>
                <w:sz w:val="20"/>
                <w:szCs w:val="20"/>
              </w:rPr>
            </w:pPr>
            <w:r w:rsidRPr="00BC3D97">
              <w:rPr>
                <w:i/>
                <w:iCs/>
                <w:sz w:val="20"/>
                <w:szCs w:val="20"/>
              </w:rPr>
              <w:t>Victorian Hospitals’ Industrial Association</w:t>
            </w:r>
            <w:r w:rsidRPr="00BC3D97">
              <w:rPr>
                <w:sz w:val="20"/>
                <w:szCs w:val="20"/>
              </w:rPr>
              <w:t xml:space="preserve"> [2024] FWC 1563</w:t>
            </w:r>
          </w:p>
        </w:tc>
        <w:tc>
          <w:tcPr>
            <w:tcW w:w="0" w:type="auto"/>
          </w:tcPr>
          <w:p w14:paraId="18458CF8" w14:textId="77777777" w:rsidR="00173F8E" w:rsidRPr="00BC3D97" w:rsidRDefault="00173F8E">
            <w:pPr>
              <w:spacing w:after="0"/>
              <w:rPr>
                <w:sz w:val="20"/>
                <w:szCs w:val="20"/>
              </w:rPr>
            </w:pPr>
            <w:r w:rsidRPr="00BC3D97">
              <w:rPr>
                <w:sz w:val="20"/>
                <w:szCs w:val="20"/>
              </w:rPr>
              <w:t>Health care (dental)</w:t>
            </w:r>
          </w:p>
        </w:tc>
        <w:tc>
          <w:tcPr>
            <w:tcW w:w="0" w:type="auto"/>
          </w:tcPr>
          <w:p w14:paraId="3F3DC183" w14:textId="77777777" w:rsidR="00173F8E" w:rsidRPr="00BC3D97" w:rsidRDefault="00173F8E">
            <w:pPr>
              <w:spacing w:after="0" w:line="259" w:lineRule="auto"/>
              <w:rPr>
                <w:sz w:val="20"/>
                <w:szCs w:val="20"/>
              </w:rPr>
            </w:pPr>
            <w:r w:rsidRPr="00BC3D97">
              <w:rPr>
                <w:sz w:val="20"/>
                <w:szCs w:val="20"/>
              </w:rPr>
              <w:t>19 June 2024</w:t>
            </w:r>
          </w:p>
        </w:tc>
        <w:tc>
          <w:tcPr>
            <w:tcW w:w="0" w:type="auto"/>
          </w:tcPr>
          <w:p w14:paraId="3F359A01"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440883A9" w14:textId="77777777">
        <w:tc>
          <w:tcPr>
            <w:tcW w:w="0" w:type="auto"/>
          </w:tcPr>
          <w:p w14:paraId="744B20F1" w14:textId="77777777" w:rsidR="00173F8E" w:rsidRPr="00BC3D97" w:rsidRDefault="00173F8E">
            <w:pPr>
              <w:spacing w:after="0"/>
              <w:rPr>
                <w:sz w:val="20"/>
                <w:szCs w:val="20"/>
              </w:rPr>
            </w:pPr>
            <w:r w:rsidRPr="00BC3D97">
              <w:rPr>
                <w:i/>
                <w:iCs/>
                <w:sz w:val="20"/>
                <w:szCs w:val="20"/>
              </w:rPr>
              <w:t xml:space="preserve">Roman Catholic Church Trust Corporation of The Archdiocese of Hobart T/A Catholic Education Tasmania and Others </w:t>
            </w:r>
            <w:r w:rsidRPr="00BC3D97">
              <w:rPr>
                <w:sz w:val="20"/>
                <w:szCs w:val="20"/>
              </w:rPr>
              <w:t>[2024] FWC 1746</w:t>
            </w:r>
          </w:p>
        </w:tc>
        <w:tc>
          <w:tcPr>
            <w:tcW w:w="0" w:type="auto"/>
          </w:tcPr>
          <w:p w14:paraId="013BBA03" w14:textId="77777777" w:rsidR="00173F8E" w:rsidRPr="00BC3D97" w:rsidRDefault="00173F8E">
            <w:pPr>
              <w:spacing w:after="0"/>
              <w:rPr>
                <w:sz w:val="20"/>
                <w:szCs w:val="20"/>
              </w:rPr>
            </w:pPr>
            <w:r w:rsidRPr="00BC3D97">
              <w:rPr>
                <w:sz w:val="20"/>
                <w:szCs w:val="20"/>
              </w:rPr>
              <w:t>Education</w:t>
            </w:r>
          </w:p>
        </w:tc>
        <w:tc>
          <w:tcPr>
            <w:tcW w:w="0" w:type="auto"/>
          </w:tcPr>
          <w:p w14:paraId="6B5BAD53" w14:textId="77777777" w:rsidR="00173F8E" w:rsidRPr="00BC3D97" w:rsidRDefault="00173F8E">
            <w:pPr>
              <w:spacing w:after="0" w:line="259" w:lineRule="auto"/>
              <w:rPr>
                <w:sz w:val="20"/>
                <w:szCs w:val="20"/>
              </w:rPr>
            </w:pPr>
            <w:r w:rsidRPr="00BC3D97">
              <w:rPr>
                <w:sz w:val="20"/>
                <w:szCs w:val="20"/>
              </w:rPr>
              <w:t>5 July 2024</w:t>
            </w:r>
          </w:p>
        </w:tc>
        <w:tc>
          <w:tcPr>
            <w:tcW w:w="0" w:type="auto"/>
          </w:tcPr>
          <w:p w14:paraId="371537C0"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0A3FFD81" w14:textId="77777777">
        <w:tc>
          <w:tcPr>
            <w:tcW w:w="0" w:type="auto"/>
          </w:tcPr>
          <w:p w14:paraId="15AFCC1B" w14:textId="77777777" w:rsidR="00173F8E" w:rsidRPr="00BC3D97" w:rsidRDefault="00173F8E">
            <w:pPr>
              <w:spacing w:after="0"/>
              <w:rPr>
                <w:sz w:val="20"/>
                <w:szCs w:val="20"/>
              </w:rPr>
            </w:pPr>
            <w:r w:rsidRPr="00BC3D97">
              <w:rPr>
                <w:i/>
                <w:iCs/>
                <w:sz w:val="20"/>
                <w:szCs w:val="20"/>
              </w:rPr>
              <w:t>Catholic Church Endowment Society Inc T/A Catholic Education (South Australia)</w:t>
            </w:r>
            <w:r w:rsidRPr="00BC3D97">
              <w:rPr>
                <w:sz w:val="20"/>
                <w:szCs w:val="20"/>
              </w:rPr>
              <w:t xml:space="preserve"> [2024] FWC 1993</w:t>
            </w:r>
          </w:p>
        </w:tc>
        <w:tc>
          <w:tcPr>
            <w:tcW w:w="0" w:type="auto"/>
          </w:tcPr>
          <w:p w14:paraId="1435D5E4" w14:textId="77777777" w:rsidR="00173F8E" w:rsidRPr="00BC3D97" w:rsidRDefault="00173F8E">
            <w:pPr>
              <w:spacing w:after="0"/>
              <w:rPr>
                <w:sz w:val="20"/>
                <w:szCs w:val="20"/>
              </w:rPr>
            </w:pPr>
            <w:r w:rsidRPr="00BC3D97">
              <w:rPr>
                <w:sz w:val="20"/>
                <w:szCs w:val="20"/>
              </w:rPr>
              <w:t>Education</w:t>
            </w:r>
          </w:p>
        </w:tc>
        <w:tc>
          <w:tcPr>
            <w:tcW w:w="0" w:type="auto"/>
          </w:tcPr>
          <w:p w14:paraId="705B5A80" w14:textId="77777777" w:rsidR="00173F8E" w:rsidRPr="00BC3D97" w:rsidRDefault="00173F8E">
            <w:pPr>
              <w:spacing w:after="0" w:line="259" w:lineRule="auto"/>
              <w:rPr>
                <w:sz w:val="20"/>
                <w:szCs w:val="20"/>
              </w:rPr>
            </w:pPr>
            <w:r w:rsidRPr="00BC3D97">
              <w:rPr>
                <w:sz w:val="20"/>
                <w:szCs w:val="20"/>
              </w:rPr>
              <w:t>31 July 2024</w:t>
            </w:r>
          </w:p>
        </w:tc>
        <w:tc>
          <w:tcPr>
            <w:tcW w:w="0" w:type="auto"/>
          </w:tcPr>
          <w:p w14:paraId="7BABD60F"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1D36BE2B" w14:textId="77777777">
        <w:tc>
          <w:tcPr>
            <w:tcW w:w="0" w:type="auto"/>
          </w:tcPr>
          <w:p w14:paraId="53ED01AC" w14:textId="77777777" w:rsidR="00173F8E" w:rsidRPr="00BC3D97" w:rsidRDefault="00173F8E">
            <w:pPr>
              <w:spacing w:after="0"/>
              <w:rPr>
                <w:sz w:val="20"/>
                <w:szCs w:val="20"/>
              </w:rPr>
            </w:pPr>
            <w:r w:rsidRPr="00BC3D97">
              <w:rPr>
                <w:i/>
                <w:iCs/>
                <w:sz w:val="20"/>
                <w:szCs w:val="20"/>
              </w:rPr>
              <w:lastRenderedPageBreak/>
              <w:t>Hungry Jack’s Pty Ltd T/A Hungry Jack’s</w:t>
            </w:r>
            <w:r w:rsidRPr="00BC3D97">
              <w:rPr>
                <w:sz w:val="20"/>
                <w:szCs w:val="20"/>
              </w:rPr>
              <w:t xml:space="preserve"> [2024] FWC 2275</w:t>
            </w:r>
          </w:p>
        </w:tc>
        <w:tc>
          <w:tcPr>
            <w:tcW w:w="0" w:type="auto"/>
          </w:tcPr>
          <w:p w14:paraId="46660C16" w14:textId="77777777" w:rsidR="00173F8E" w:rsidRPr="00BC3D97" w:rsidRDefault="00173F8E">
            <w:pPr>
              <w:spacing w:after="0"/>
              <w:rPr>
                <w:sz w:val="20"/>
                <w:szCs w:val="20"/>
              </w:rPr>
            </w:pPr>
            <w:r w:rsidRPr="00BC3D97">
              <w:rPr>
                <w:sz w:val="20"/>
                <w:szCs w:val="20"/>
              </w:rPr>
              <w:t>Fast food</w:t>
            </w:r>
          </w:p>
        </w:tc>
        <w:tc>
          <w:tcPr>
            <w:tcW w:w="0" w:type="auto"/>
          </w:tcPr>
          <w:p w14:paraId="53EA7159" w14:textId="77777777" w:rsidR="00173F8E" w:rsidRPr="00BC3D97" w:rsidRDefault="00173F8E">
            <w:pPr>
              <w:spacing w:after="0" w:line="259" w:lineRule="auto"/>
              <w:rPr>
                <w:sz w:val="20"/>
                <w:szCs w:val="20"/>
              </w:rPr>
            </w:pPr>
            <w:r w:rsidRPr="00BC3D97">
              <w:rPr>
                <w:sz w:val="20"/>
                <w:szCs w:val="20"/>
              </w:rPr>
              <w:t>9 September 2024</w:t>
            </w:r>
          </w:p>
        </w:tc>
        <w:tc>
          <w:tcPr>
            <w:tcW w:w="0" w:type="auto"/>
          </w:tcPr>
          <w:p w14:paraId="640B3680"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2044F3CC" w14:textId="77777777">
        <w:tc>
          <w:tcPr>
            <w:tcW w:w="0" w:type="auto"/>
          </w:tcPr>
          <w:p w14:paraId="582A4027" w14:textId="77777777" w:rsidR="00173F8E" w:rsidRPr="00BC3D97" w:rsidRDefault="00173F8E">
            <w:pPr>
              <w:spacing w:after="0"/>
              <w:rPr>
                <w:sz w:val="20"/>
                <w:szCs w:val="20"/>
              </w:rPr>
            </w:pPr>
            <w:r w:rsidRPr="00BC3D97">
              <w:rPr>
                <w:i/>
                <w:iCs/>
                <w:sz w:val="20"/>
                <w:szCs w:val="20"/>
              </w:rPr>
              <w:t>Australian Municipal, Administrative, Clerical and Services Union v Central Goldfields Shire Council, Ararat Rural City Council</w:t>
            </w:r>
            <w:r w:rsidRPr="00BC3D97">
              <w:rPr>
                <w:sz w:val="20"/>
                <w:szCs w:val="20"/>
              </w:rPr>
              <w:t xml:space="preserve"> [2024] FWCFB 444</w:t>
            </w:r>
          </w:p>
        </w:tc>
        <w:tc>
          <w:tcPr>
            <w:tcW w:w="0" w:type="auto"/>
          </w:tcPr>
          <w:p w14:paraId="67EBEB69" w14:textId="77777777" w:rsidR="00173F8E" w:rsidRPr="00BC3D97" w:rsidRDefault="00173F8E">
            <w:pPr>
              <w:spacing w:after="0"/>
              <w:rPr>
                <w:sz w:val="20"/>
                <w:szCs w:val="20"/>
              </w:rPr>
            </w:pPr>
            <w:r w:rsidRPr="00BC3D97">
              <w:rPr>
                <w:sz w:val="20"/>
                <w:szCs w:val="20"/>
              </w:rPr>
              <w:t>Local government</w:t>
            </w:r>
          </w:p>
        </w:tc>
        <w:tc>
          <w:tcPr>
            <w:tcW w:w="0" w:type="auto"/>
          </w:tcPr>
          <w:p w14:paraId="60B313C7" w14:textId="77777777" w:rsidR="00173F8E" w:rsidRPr="00BC3D97" w:rsidRDefault="00173F8E">
            <w:pPr>
              <w:spacing w:after="0" w:line="259" w:lineRule="auto"/>
              <w:rPr>
                <w:sz w:val="20"/>
                <w:szCs w:val="20"/>
              </w:rPr>
            </w:pPr>
            <w:r w:rsidRPr="00BC3D97">
              <w:rPr>
                <w:sz w:val="20"/>
                <w:szCs w:val="20"/>
              </w:rPr>
              <w:t>27 November 2024</w:t>
            </w:r>
          </w:p>
        </w:tc>
        <w:tc>
          <w:tcPr>
            <w:tcW w:w="0" w:type="auto"/>
          </w:tcPr>
          <w:p w14:paraId="510AA411"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5E658958" w14:textId="77777777">
        <w:tc>
          <w:tcPr>
            <w:tcW w:w="0" w:type="auto"/>
          </w:tcPr>
          <w:p w14:paraId="1049A7DD" w14:textId="77777777" w:rsidR="00173F8E" w:rsidRPr="00BC3D97" w:rsidRDefault="00173F8E">
            <w:pPr>
              <w:spacing w:after="0"/>
              <w:rPr>
                <w:sz w:val="20"/>
                <w:szCs w:val="20"/>
              </w:rPr>
            </w:pPr>
            <w:r w:rsidRPr="00BC3D97">
              <w:rPr>
                <w:i/>
                <w:sz w:val="20"/>
                <w:szCs w:val="20"/>
              </w:rPr>
              <w:t>Application by Tyndale Group Of Christian Schools Limited T/A Tyndale Group Of Christian Schools &amp; Tyndale Christian School – Salisbury East Inc T/A Tyndale Christian School – Salisbury East and Others -</w:t>
            </w:r>
            <w:r w:rsidRPr="00BC3D97">
              <w:rPr>
                <w:sz w:val="20"/>
                <w:szCs w:val="20"/>
              </w:rPr>
              <w:t xml:space="preserve"> [2024] FWC 3199</w:t>
            </w:r>
          </w:p>
        </w:tc>
        <w:tc>
          <w:tcPr>
            <w:tcW w:w="0" w:type="auto"/>
          </w:tcPr>
          <w:p w14:paraId="74B97916" w14:textId="77777777" w:rsidR="00173F8E" w:rsidRPr="00BC3D97" w:rsidRDefault="00173F8E">
            <w:pPr>
              <w:spacing w:after="0"/>
              <w:rPr>
                <w:sz w:val="20"/>
                <w:szCs w:val="20"/>
              </w:rPr>
            </w:pPr>
            <w:r w:rsidRPr="00BC3D97">
              <w:rPr>
                <w:sz w:val="20"/>
                <w:szCs w:val="20"/>
              </w:rPr>
              <w:t>Education (schools)</w:t>
            </w:r>
          </w:p>
        </w:tc>
        <w:tc>
          <w:tcPr>
            <w:tcW w:w="0" w:type="auto"/>
          </w:tcPr>
          <w:p w14:paraId="0A673CDA" w14:textId="77777777" w:rsidR="00173F8E" w:rsidRPr="00BC3D97" w:rsidRDefault="00173F8E">
            <w:pPr>
              <w:spacing w:after="0" w:line="259" w:lineRule="auto"/>
              <w:rPr>
                <w:sz w:val="20"/>
                <w:szCs w:val="20"/>
              </w:rPr>
            </w:pPr>
            <w:r w:rsidRPr="00BC3D97">
              <w:rPr>
                <w:sz w:val="20"/>
                <w:szCs w:val="20"/>
              </w:rPr>
              <w:t>3 December 2024</w:t>
            </w:r>
          </w:p>
        </w:tc>
        <w:tc>
          <w:tcPr>
            <w:tcW w:w="0" w:type="auto"/>
          </w:tcPr>
          <w:p w14:paraId="3596346A" w14:textId="77777777" w:rsidR="00173F8E" w:rsidRPr="00BC3D97" w:rsidRDefault="00173F8E">
            <w:pPr>
              <w:spacing w:after="0" w:line="259" w:lineRule="auto"/>
              <w:rPr>
                <w:i/>
                <w:iCs/>
                <w:sz w:val="20"/>
                <w:szCs w:val="20"/>
              </w:rPr>
            </w:pPr>
            <w:r w:rsidRPr="00BC3D97">
              <w:rPr>
                <w:iCs/>
                <w:sz w:val="20"/>
                <w:szCs w:val="20"/>
              </w:rPr>
              <w:t>Authorisation issued.</w:t>
            </w:r>
          </w:p>
        </w:tc>
      </w:tr>
      <w:tr w:rsidR="00173F8E" w:rsidRPr="00167CB8" w14:paraId="029B5B0F" w14:textId="77777777">
        <w:tc>
          <w:tcPr>
            <w:tcW w:w="0" w:type="auto"/>
          </w:tcPr>
          <w:p w14:paraId="7852CFB4" w14:textId="77777777" w:rsidR="00173F8E" w:rsidRPr="00BC3D97" w:rsidRDefault="00173F8E">
            <w:pPr>
              <w:spacing w:after="0"/>
              <w:rPr>
                <w:sz w:val="20"/>
                <w:szCs w:val="20"/>
              </w:rPr>
            </w:pPr>
            <w:r w:rsidRPr="00BC3D97">
              <w:rPr>
                <w:i/>
                <w:iCs/>
                <w:sz w:val="20"/>
                <w:szCs w:val="20"/>
              </w:rPr>
              <w:t xml:space="preserve">Australian Rail, Tram and Bus Industry Union v Sydney Trains &amp; NSW Trains </w:t>
            </w:r>
            <w:r w:rsidRPr="00BC3D97">
              <w:rPr>
                <w:sz w:val="20"/>
                <w:szCs w:val="20"/>
              </w:rPr>
              <w:t>[2024] FWC 3419</w:t>
            </w:r>
          </w:p>
        </w:tc>
        <w:tc>
          <w:tcPr>
            <w:tcW w:w="0" w:type="auto"/>
          </w:tcPr>
          <w:p w14:paraId="1BF72B52" w14:textId="77777777" w:rsidR="00173F8E" w:rsidRPr="00BC3D97" w:rsidRDefault="00173F8E">
            <w:pPr>
              <w:spacing w:after="0"/>
              <w:rPr>
                <w:sz w:val="20"/>
                <w:szCs w:val="20"/>
              </w:rPr>
            </w:pPr>
            <w:r w:rsidRPr="00BC3D97">
              <w:rPr>
                <w:sz w:val="20"/>
                <w:szCs w:val="20"/>
              </w:rPr>
              <w:t>Public transport</w:t>
            </w:r>
          </w:p>
        </w:tc>
        <w:tc>
          <w:tcPr>
            <w:tcW w:w="0" w:type="auto"/>
          </w:tcPr>
          <w:p w14:paraId="7445B73C" w14:textId="77777777" w:rsidR="00173F8E" w:rsidRPr="00BC3D97" w:rsidRDefault="00173F8E">
            <w:pPr>
              <w:spacing w:after="0" w:line="259" w:lineRule="auto"/>
              <w:rPr>
                <w:sz w:val="20"/>
                <w:szCs w:val="20"/>
              </w:rPr>
            </w:pPr>
            <w:r w:rsidRPr="00BC3D97">
              <w:rPr>
                <w:sz w:val="20"/>
                <w:szCs w:val="20"/>
              </w:rPr>
              <w:t>6 December 2024</w:t>
            </w:r>
          </w:p>
        </w:tc>
        <w:tc>
          <w:tcPr>
            <w:tcW w:w="0" w:type="auto"/>
          </w:tcPr>
          <w:p w14:paraId="31937FD2"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4227A9B3" w14:textId="77777777">
        <w:tc>
          <w:tcPr>
            <w:tcW w:w="0" w:type="auto"/>
          </w:tcPr>
          <w:p w14:paraId="1D00F1AB" w14:textId="77777777" w:rsidR="00173F8E" w:rsidRPr="00BC3D97" w:rsidRDefault="00173F8E">
            <w:pPr>
              <w:spacing w:after="0"/>
              <w:rPr>
                <w:sz w:val="20"/>
                <w:szCs w:val="20"/>
              </w:rPr>
            </w:pPr>
            <w:r w:rsidRPr="00BC3D97">
              <w:rPr>
                <w:i/>
                <w:sz w:val="20"/>
                <w:szCs w:val="20"/>
              </w:rPr>
              <w:t xml:space="preserve">Application by Victorian Hospitals’ Industrial Association T/A Victorian Hospitals’ Industrial Association </w:t>
            </w:r>
            <w:r w:rsidRPr="00BC3D97">
              <w:rPr>
                <w:sz w:val="20"/>
                <w:szCs w:val="20"/>
              </w:rPr>
              <w:t>[2024] FWC 3427</w:t>
            </w:r>
          </w:p>
        </w:tc>
        <w:tc>
          <w:tcPr>
            <w:tcW w:w="0" w:type="auto"/>
          </w:tcPr>
          <w:p w14:paraId="4843EED6" w14:textId="77777777" w:rsidR="00173F8E" w:rsidRPr="00BC3D97" w:rsidRDefault="00173F8E">
            <w:pPr>
              <w:spacing w:after="0"/>
              <w:rPr>
                <w:sz w:val="20"/>
                <w:szCs w:val="20"/>
              </w:rPr>
            </w:pPr>
            <w:r w:rsidRPr="00BC3D97">
              <w:rPr>
                <w:sz w:val="20"/>
                <w:szCs w:val="20"/>
              </w:rPr>
              <w:t>Health care (dental)</w:t>
            </w:r>
          </w:p>
        </w:tc>
        <w:tc>
          <w:tcPr>
            <w:tcW w:w="0" w:type="auto"/>
          </w:tcPr>
          <w:p w14:paraId="712E5DAF" w14:textId="77777777" w:rsidR="00173F8E" w:rsidRPr="00BC3D97" w:rsidRDefault="00173F8E">
            <w:pPr>
              <w:spacing w:after="0" w:line="259" w:lineRule="auto"/>
              <w:rPr>
                <w:sz w:val="20"/>
                <w:szCs w:val="20"/>
              </w:rPr>
            </w:pPr>
            <w:r w:rsidRPr="00BC3D97">
              <w:rPr>
                <w:sz w:val="20"/>
                <w:szCs w:val="20"/>
              </w:rPr>
              <w:t>17 December 2024</w:t>
            </w:r>
          </w:p>
        </w:tc>
        <w:tc>
          <w:tcPr>
            <w:tcW w:w="0" w:type="auto"/>
          </w:tcPr>
          <w:p w14:paraId="1ACCE987" w14:textId="77777777" w:rsidR="00173F8E" w:rsidRPr="00BC3D97" w:rsidRDefault="00173F8E">
            <w:pPr>
              <w:spacing w:after="0" w:line="259" w:lineRule="auto"/>
              <w:rPr>
                <w:i/>
                <w:iCs/>
                <w:sz w:val="20"/>
                <w:szCs w:val="20"/>
              </w:rPr>
            </w:pPr>
            <w:r w:rsidRPr="00BC3D97">
              <w:rPr>
                <w:iCs/>
                <w:sz w:val="20"/>
                <w:szCs w:val="20"/>
              </w:rPr>
              <w:t>Authorisation issued.</w:t>
            </w:r>
          </w:p>
        </w:tc>
      </w:tr>
      <w:tr w:rsidR="00173F8E" w:rsidRPr="00167CB8" w14:paraId="6BF88F70" w14:textId="77777777">
        <w:tc>
          <w:tcPr>
            <w:tcW w:w="0" w:type="auto"/>
          </w:tcPr>
          <w:p w14:paraId="06A600B6" w14:textId="77777777" w:rsidR="00173F8E" w:rsidRPr="00BC3D97" w:rsidRDefault="00173F8E">
            <w:pPr>
              <w:spacing w:after="0"/>
              <w:rPr>
                <w:sz w:val="20"/>
                <w:szCs w:val="20"/>
              </w:rPr>
            </w:pPr>
            <w:r w:rsidRPr="00BC3D97">
              <w:rPr>
                <w:i/>
                <w:iCs/>
                <w:sz w:val="20"/>
                <w:szCs w:val="20"/>
              </w:rPr>
              <w:t>Application by Annie Dennis Children’s Centre Inc. and Others</w:t>
            </w:r>
            <w:r w:rsidRPr="00BC3D97">
              <w:rPr>
                <w:sz w:val="20"/>
                <w:szCs w:val="20"/>
              </w:rPr>
              <w:t xml:space="preserve"> [2025] FWC 143</w:t>
            </w:r>
          </w:p>
        </w:tc>
        <w:tc>
          <w:tcPr>
            <w:tcW w:w="0" w:type="auto"/>
          </w:tcPr>
          <w:p w14:paraId="297600F0" w14:textId="77777777" w:rsidR="00173F8E" w:rsidRPr="00BC3D97" w:rsidRDefault="00173F8E">
            <w:pPr>
              <w:spacing w:after="0"/>
              <w:rPr>
                <w:sz w:val="20"/>
                <w:szCs w:val="20"/>
              </w:rPr>
            </w:pPr>
            <w:r w:rsidRPr="00BC3D97">
              <w:rPr>
                <w:sz w:val="20"/>
                <w:szCs w:val="20"/>
              </w:rPr>
              <w:t>Early childhood education</w:t>
            </w:r>
          </w:p>
        </w:tc>
        <w:tc>
          <w:tcPr>
            <w:tcW w:w="0" w:type="auto"/>
          </w:tcPr>
          <w:p w14:paraId="2F0EC138" w14:textId="77777777" w:rsidR="00173F8E" w:rsidRPr="00BC3D97" w:rsidRDefault="00173F8E">
            <w:pPr>
              <w:spacing w:after="0" w:line="259" w:lineRule="auto"/>
              <w:rPr>
                <w:sz w:val="20"/>
                <w:szCs w:val="20"/>
              </w:rPr>
            </w:pPr>
            <w:r w:rsidRPr="00BC3D97">
              <w:rPr>
                <w:sz w:val="20"/>
                <w:szCs w:val="20"/>
              </w:rPr>
              <w:t>15 January 2025</w:t>
            </w:r>
          </w:p>
        </w:tc>
        <w:tc>
          <w:tcPr>
            <w:tcW w:w="0" w:type="auto"/>
          </w:tcPr>
          <w:p w14:paraId="64174680" w14:textId="77777777" w:rsidR="00173F8E" w:rsidRPr="00BC3D97" w:rsidRDefault="00173F8E">
            <w:pPr>
              <w:spacing w:after="0" w:line="259" w:lineRule="auto"/>
              <w:rPr>
                <w:sz w:val="20"/>
                <w:szCs w:val="20"/>
              </w:rPr>
            </w:pPr>
            <w:r w:rsidRPr="00BC3D97">
              <w:rPr>
                <w:iCs/>
                <w:sz w:val="20"/>
                <w:szCs w:val="20"/>
              </w:rPr>
              <w:t>Authorisation issued.</w:t>
            </w:r>
          </w:p>
        </w:tc>
      </w:tr>
      <w:tr w:rsidR="00173F8E" w:rsidRPr="00167CB8" w14:paraId="1089457C" w14:textId="77777777">
        <w:tc>
          <w:tcPr>
            <w:tcW w:w="0" w:type="auto"/>
          </w:tcPr>
          <w:p w14:paraId="39A3ADF4" w14:textId="60B51787" w:rsidR="00173F8E" w:rsidRPr="00BC3D97" w:rsidRDefault="00173F8E">
            <w:pPr>
              <w:spacing w:after="0"/>
              <w:rPr>
                <w:sz w:val="20"/>
                <w:szCs w:val="20"/>
              </w:rPr>
            </w:pPr>
            <w:r w:rsidRPr="00BC3D97">
              <w:rPr>
                <w:i/>
                <w:iCs/>
                <w:sz w:val="20"/>
                <w:szCs w:val="20"/>
              </w:rPr>
              <w:t>Victorian Hospitals</w:t>
            </w:r>
            <w:r w:rsidR="00655F80" w:rsidRPr="00BC3D97">
              <w:rPr>
                <w:i/>
                <w:iCs/>
                <w:sz w:val="20"/>
                <w:szCs w:val="20"/>
              </w:rPr>
              <w:t>’</w:t>
            </w:r>
            <w:r w:rsidRPr="00BC3D97">
              <w:rPr>
                <w:i/>
                <w:iCs/>
                <w:sz w:val="20"/>
                <w:szCs w:val="20"/>
              </w:rPr>
              <w:t xml:space="preserve"> Industrial Association on behalf of Albury Wodonga Health and Others </w:t>
            </w:r>
            <w:r w:rsidRPr="00BC3D97">
              <w:rPr>
                <w:sz w:val="20"/>
                <w:szCs w:val="20"/>
              </w:rPr>
              <w:t>[2025] FWC 96</w:t>
            </w:r>
          </w:p>
        </w:tc>
        <w:tc>
          <w:tcPr>
            <w:tcW w:w="0" w:type="auto"/>
          </w:tcPr>
          <w:p w14:paraId="575543A1" w14:textId="77777777" w:rsidR="00173F8E" w:rsidRPr="00BC3D97" w:rsidRDefault="00173F8E">
            <w:pPr>
              <w:spacing w:after="0"/>
              <w:rPr>
                <w:sz w:val="20"/>
                <w:szCs w:val="20"/>
              </w:rPr>
            </w:pPr>
            <w:r w:rsidRPr="00BC3D97">
              <w:rPr>
                <w:sz w:val="20"/>
                <w:szCs w:val="20"/>
              </w:rPr>
              <w:t>Health</w:t>
            </w:r>
          </w:p>
        </w:tc>
        <w:tc>
          <w:tcPr>
            <w:tcW w:w="0" w:type="auto"/>
          </w:tcPr>
          <w:p w14:paraId="7D105718" w14:textId="77777777" w:rsidR="00173F8E" w:rsidRPr="00BC3D97" w:rsidRDefault="00173F8E">
            <w:pPr>
              <w:spacing w:after="0" w:line="259" w:lineRule="auto"/>
              <w:rPr>
                <w:sz w:val="20"/>
                <w:szCs w:val="20"/>
              </w:rPr>
            </w:pPr>
            <w:r w:rsidRPr="00BC3D97">
              <w:rPr>
                <w:sz w:val="20"/>
                <w:szCs w:val="20"/>
              </w:rPr>
              <w:t>17 January 2025</w:t>
            </w:r>
          </w:p>
        </w:tc>
        <w:tc>
          <w:tcPr>
            <w:tcW w:w="0" w:type="auto"/>
          </w:tcPr>
          <w:p w14:paraId="76EA2B3A" w14:textId="77777777" w:rsidR="00173F8E" w:rsidRPr="00BC3D97" w:rsidRDefault="00173F8E">
            <w:pPr>
              <w:spacing w:after="0" w:line="259" w:lineRule="auto"/>
              <w:rPr>
                <w:sz w:val="20"/>
                <w:szCs w:val="20"/>
              </w:rPr>
            </w:pPr>
            <w:r w:rsidRPr="00BC3D97">
              <w:rPr>
                <w:iCs/>
                <w:sz w:val="20"/>
                <w:szCs w:val="20"/>
              </w:rPr>
              <w:t>Authorisation issued.</w:t>
            </w:r>
          </w:p>
        </w:tc>
      </w:tr>
    </w:tbl>
    <w:p w14:paraId="7D3B71CC" w14:textId="77777777" w:rsidR="00173F8E" w:rsidRPr="00167CB8" w:rsidRDefault="00173F8E" w:rsidP="00173F8E"/>
    <w:p w14:paraId="6C899173" w14:textId="1E548CE2" w:rsidR="00173F8E" w:rsidRPr="00167CB8" w:rsidRDefault="003B14A5" w:rsidP="00173F8E">
      <w:pPr>
        <w:pStyle w:val="Heading5"/>
        <w:rPr>
          <w:rFonts w:asciiTheme="minorHAnsi" w:hAnsiTheme="minorHAnsi"/>
        </w:rPr>
      </w:pPr>
      <w:r w:rsidRPr="00167CB8">
        <w:rPr>
          <w:rFonts w:asciiTheme="minorHAnsi" w:hAnsiTheme="minorHAnsi"/>
        </w:rPr>
        <w:t>12</w:t>
      </w:r>
      <w:r w:rsidR="00173F8E" w:rsidRPr="00167CB8">
        <w:rPr>
          <w:rFonts w:asciiTheme="minorHAnsi" w:hAnsiTheme="minorHAnsi"/>
        </w:rPr>
        <w:t xml:space="preserve">.2.2 Qualitative </w:t>
      </w:r>
      <w:r w:rsidR="00655F80" w:rsidRPr="00167CB8">
        <w:rPr>
          <w:rFonts w:asciiTheme="minorHAnsi" w:hAnsiTheme="minorHAnsi"/>
        </w:rPr>
        <w:t>e</w:t>
      </w:r>
      <w:r w:rsidR="00173F8E" w:rsidRPr="00167CB8">
        <w:rPr>
          <w:rFonts w:asciiTheme="minorHAnsi" w:hAnsiTheme="minorHAnsi"/>
        </w:rPr>
        <w:t>vidence</w:t>
      </w:r>
    </w:p>
    <w:p w14:paraId="749DC9CE" w14:textId="77777777" w:rsidR="00173F8E" w:rsidRPr="00167CB8" w:rsidRDefault="00173F8E" w:rsidP="00173F8E">
      <w:pPr>
        <w:rPr>
          <w:color w:val="777778" w:themeColor="accent5"/>
        </w:rPr>
      </w:pPr>
      <w:r w:rsidRPr="00167CB8">
        <w:t>Despite the relatively small number of matters dealt with by the FWC so far, the FWC has, through its early decisions, issued guidance on the proper interpretation and application of the amended provisions.</w:t>
      </w:r>
    </w:p>
    <w:p w14:paraId="6453ECBA" w14:textId="30DF397C" w:rsidR="00173F8E" w:rsidRPr="00167CB8" w:rsidRDefault="00173F8E" w:rsidP="00173F8E">
      <w:r w:rsidRPr="00167CB8">
        <w:t>First, on 28 September 2023, the Full Bench of the FWC made a single</w:t>
      </w:r>
      <w:r w:rsidR="00655F80" w:rsidRPr="00167CB8">
        <w:t>-</w:t>
      </w:r>
      <w:r w:rsidRPr="00167CB8">
        <w:t xml:space="preserve">interest employer authorisation for 10 Catholic </w:t>
      </w:r>
      <w:r w:rsidR="00655F80" w:rsidRPr="00167CB8">
        <w:t>e</w:t>
      </w:r>
      <w:r w:rsidRPr="00167CB8">
        <w:t>ducation employers in Western Australia to bargain together.</w:t>
      </w:r>
      <w:r w:rsidRPr="00167CB8">
        <w:rPr>
          <w:rStyle w:val="FootnoteReference"/>
        </w:rPr>
        <w:footnoteReference w:id="405"/>
      </w:r>
      <w:r w:rsidRPr="00167CB8">
        <w:t xml:space="preserve"> This case was the first consideration of amendments made by the Secure Jobs, Better Pay Act in relation to single</w:t>
      </w:r>
      <w:r w:rsidR="00A14864" w:rsidRPr="00167CB8">
        <w:t>-</w:t>
      </w:r>
      <w:r w:rsidRPr="00167CB8">
        <w:t xml:space="preserve">interest bargaining by parties’ agreement. </w:t>
      </w:r>
    </w:p>
    <w:p w14:paraId="02AD9662" w14:textId="01196210" w:rsidR="00173F8E" w:rsidRPr="00167CB8" w:rsidRDefault="00173F8E" w:rsidP="00173F8E">
      <w:pPr>
        <w:tabs>
          <w:tab w:val="left" w:pos="1455"/>
        </w:tabs>
      </w:pPr>
      <w:r w:rsidRPr="00167CB8">
        <w:t xml:space="preserve">The class of employees to be covered included all support/operations/general staff working in schools registered under the </w:t>
      </w:r>
      <w:r w:rsidRPr="00167CB8">
        <w:rPr>
          <w:i/>
        </w:rPr>
        <w:t>School Education Act 1999</w:t>
      </w:r>
      <w:r w:rsidRPr="00167CB8">
        <w:t xml:space="preserve"> (WA); and/or long day care, occasional care, childcare centres, day-care facilities, out of school hours care, kindergartens and preschools, and early childhood intervention programs.</w:t>
      </w:r>
    </w:p>
    <w:p w14:paraId="586ED5E9" w14:textId="628F9237" w:rsidR="00173F8E" w:rsidRPr="00167CB8" w:rsidRDefault="00173F8E" w:rsidP="00173F8E">
      <w:pPr>
        <w:tabs>
          <w:tab w:val="left" w:pos="1455"/>
        </w:tabs>
      </w:pPr>
      <w:r w:rsidRPr="00167CB8">
        <w:t xml:space="preserve">The Full Bench of the FWC </w:t>
      </w:r>
      <w:r w:rsidR="00655F80" w:rsidRPr="00167CB8">
        <w:t xml:space="preserve">was </w:t>
      </w:r>
      <w:r w:rsidRPr="00167CB8">
        <w:t>satisfied the requirements under s</w:t>
      </w:r>
      <w:r w:rsidR="00655F80" w:rsidRPr="00167CB8">
        <w:t> </w:t>
      </w:r>
      <w:r w:rsidRPr="00167CB8">
        <w:t>249 of the Fair Work Act were met and discussed the interpretation of ‘common interests’ under the Secure Jobs, Better Pay amendments. Each employer had ‘common interest’</w:t>
      </w:r>
      <w:r w:rsidR="00655F80" w:rsidRPr="00167CB8">
        <w:t>,</w:t>
      </w:r>
      <w:r w:rsidRPr="00167CB8">
        <w:t xml:space="preserve"> as they were principally engaged in the provision of primary and/or secondary education in a school setting, and there was </w:t>
      </w:r>
      <w:r w:rsidRPr="00167CB8">
        <w:lastRenderedPageBreak/>
        <w:t>commonality between parties as to geography,</w:t>
      </w:r>
      <w:r w:rsidRPr="00167CB8">
        <w:rPr>
          <w:rStyle w:val="FootnoteReference"/>
        </w:rPr>
        <w:footnoteReference w:id="406"/>
      </w:r>
      <w:r w:rsidRPr="00167CB8">
        <w:t xml:space="preserve"> coverage under specific legislation</w:t>
      </w:r>
      <w:r w:rsidRPr="00167CB8">
        <w:rPr>
          <w:rStyle w:val="FootnoteReference"/>
        </w:rPr>
        <w:footnoteReference w:id="407"/>
      </w:r>
      <w:r w:rsidRPr="00167CB8">
        <w:t xml:space="preserve"> or industrial instruments,</w:t>
      </w:r>
      <w:r w:rsidRPr="00167CB8">
        <w:rPr>
          <w:rStyle w:val="FootnoteReference"/>
        </w:rPr>
        <w:footnoteReference w:id="408"/>
      </w:r>
      <w:r w:rsidRPr="00167CB8">
        <w:t xml:space="preserve"> and funding processes.</w:t>
      </w:r>
    </w:p>
    <w:p w14:paraId="2F114136" w14:textId="77777777" w:rsidR="00173F8E" w:rsidRPr="00167CB8" w:rsidRDefault="00173F8E" w:rsidP="00173F8E">
      <w:pPr>
        <w:tabs>
          <w:tab w:val="left" w:pos="1455"/>
        </w:tabs>
      </w:pPr>
      <w:r w:rsidRPr="00167CB8">
        <w:t>This authorisation has been extended until 28 March 2025.</w:t>
      </w:r>
      <w:r w:rsidRPr="00167CB8">
        <w:rPr>
          <w:rStyle w:val="FootnoteReference"/>
        </w:rPr>
        <w:footnoteReference w:id="409"/>
      </w:r>
      <w:r w:rsidRPr="00167CB8" w:rsidDel="00E13E04">
        <w:t xml:space="preserve"> </w:t>
      </w:r>
    </w:p>
    <w:p w14:paraId="43FF7EDF" w14:textId="4540467E" w:rsidR="00173F8E" w:rsidRPr="00167CB8" w:rsidRDefault="00173F8E" w:rsidP="00173F8E">
      <w:pPr>
        <w:tabs>
          <w:tab w:val="left" w:pos="1455"/>
        </w:tabs>
      </w:pPr>
      <w:r w:rsidRPr="00167CB8">
        <w:t>Second, on 23 August 2024, the Full Bench of the FWC issued a single</w:t>
      </w:r>
      <w:r w:rsidR="00655F80" w:rsidRPr="00167CB8">
        <w:t>-</w:t>
      </w:r>
      <w:r w:rsidRPr="00167CB8">
        <w:t xml:space="preserve">interest employer authorisation (Authorisation) to </w:t>
      </w:r>
      <w:r w:rsidR="00655F80" w:rsidRPr="00167CB8">
        <w:t xml:space="preserve">3 </w:t>
      </w:r>
      <w:r w:rsidRPr="00167CB8">
        <w:t>employers (Whitehaven Coal Mining, Peabody Energy and Ulan Coal Mines) who engaged employees in the black coal mining industry in New South Wales.</w:t>
      </w:r>
      <w:r w:rsidRPr="00167CB8">
        <w:rPr>
          <w:rStyle w:val="FootnoteReference"/>
        </w:rPr>
        <w:footnoteReference w:id="410"/>
      </w:r>
      <w:r w:rsidRPr="00167CB8">
        <w:t xml:space="preserve"> The Authorisation was refused in respect of Delta Coal</w:t>
      </w:r>
      <w:r w:rsidR="00655F80" w:rsidRPr="00167CB8">
        <w:t>,</w:t>
      </w:r>
      <w:r w:rsidRPr="00167CB8">
        <w:t xml:space="preserve"> as the Full Bench found that they did not have clearly identifiable common interest with the other </w:t>
      </w:r>
      <w:r w:rsidR="00655F80" w:rsidRPr="00167CB8">
        <w:t xml:space="preserve">3 </w:t>
      </w:r>
      <w:r w:rsidRPr="00167CB8">
        <w:t>employers.</w:t>
      </w:r>
      <w:r w:rsidRPr="00167CB8">
        <w:rPr>
          <w:rStyle w:val="FootnoteReference"/>
        </w:rPr>
        <w:footnoteReference w:id="411"/>
      </w:r>
      <w:r w:rsidRPr="00167CB8">
        <w:t xml:space="preserve"> </w:t>
      </w:r>
    </w:p>
    <w:p w14:paraId="3BB30B13" w14:textId="4DDD2C9C" w:rsidR="00173F8E" w:rsidRPr="00167CB8" w:rsidRDefault="00173F8E" w:rsidP="00173F8E">
      <w:r w:rsidRPr="00167CB8">
        <w:t>This case was the first significant contested single</w:t>
      </w:r>
      <w:r w:rsidR="00655F80" w:rsidRPr="00167CB8">
        <w:t>-</w:t>
      </w:r>
      <w:r w:rsidRPr="00167CB8">
        <w:t>interest employer authorisation application.</w:t>
      </w:r>
      <w:r w:rsidRPr="00167CB8">
        <w:rPr>
          <w:rStyle w:val="FootnoteReference"/>
        </w:rPr>
        <w:footnoteReference w:id="412"/>
      </w:r>
      <w:r w:rsidRPr="00167CB8">
        <w:t xml:space="preserve"> </w:t>
      </w:r>
    </w:p>
    <w:p w14:paraId="5EBCBE7A" w14:textId="39053889" w:rsidR="00173F8E" w:rsidRPr="00167CB8" w:rsidRDefault="00173F8E" w:rsidP="00173F8E">
      <w:r w:rsidRPr="00167CB8">
        <w:t>The Full Bench considered the following issues when issuing the Authorisation to Whitehaven Coal Mining, Peabody Energy and Ulan Coal Mines and found that</w:t>
      </w:r>
      <w:r w:rsidR="00655F80" w:rsidRPr="00167CB8">
        <w:t>:</w:t>
      </w:r>
      <w:r w:rsidRPr="00167CB8">
        <w:rPr>
          <w:rStyle w:val="FootnoteReference"/>
        </w:rPr>
        <w:footnoteReference w:id="413"/>
      </w:r>
    </w:p>
    <w:p w14:paraId="09E441B7" w14:textId="1856ADC6" w:rsidR="00173F8E" w:rsidRPr="00167CB8" w:rsidRDefault="00173F8E" w:rsidP="00EA3E2F">
      <w:pPr>
        <w:pStyle w:val="ListBullet"/>
      </w:pPr>
      <w:r w:rsidRPr="00167CB8">
        <w:t>a majority of the affected employees who would be covered by the agreement wanted to bargain for the agreement (Issue 1)</w:t>
      </w:r>
    </w:p>
    <w:p w14:paraId="14B9B278" w14:textId="50553BC7" w:rsidR="00173F8E" w:rsidRPr="00167CB8" w:rsidRDefault="00173F8E" w:rsidP="00EA3E2F">
      <w:pPr>
        <w:pStyle w:val="ListBullet"/>
      </w:pPr>
      <w:r w:rsidRPr="00167CB8">
        <w:t>each of the employers have ‘clearly identifiable common interests’ when considering their terms and conditions of employment and the regulatory environment they operate in (Issue 2)</w:t>
      </w:r>
      <w:r w:rsidRPr="00167CB8">
        <w:rPr>
          <w:rStyle w:val="FootnoteReference"/>
        </w:rPr>
        <w:footnoteReference w:id="414"/>
      </w:r>
      <w:r w:rsidRPr="00167CB8">
        <w:t>  </w:t>
      </w:r>
    </w:p>
    <w:p w14:paraId="330066C8" w14:textId="70E319A1" w:rsidR="00173F8E" w:rsidRPr="00167CB8" w:rsidRDefault="00173F8E" w:rsidP="00EA3E2F">
      <w:pPr>
        <w:pStyle w:val="ListBullet"/>
      </w:pPr>
      <w:r w:rsidRPr="00167CB8">
        <w:t>it was ‘not contrary to the public interest’ to make the authorisation (Issue 3)</w:t>
      </w:r>
    </w:p>
    <w:p w14:paraId="3173E18C" w14:textId="77777777" w:rsidR="00173F8E" w:rsidRPr="00167CB8" w:rsidRDefault="00173F8E" w:rsidP="00EA3E2F">
      <w:pPr>
        <w:pStyle w:val="ListBullet"/>
      </w:pPr>
      <w:r w:rsidRPr="00167CB8">
        <w:t>the operations and business activities of each employer were ‘reasonably comparable’ with the other employers that would be covered by the agreement (Issue 4). </w:t>
      </w:r>
    </w:p>
    <w:p w14:paraId="45A077FF" w14:textId="535B3B9C" w:rsidR="00173F8E" w:rsidRPr="00167CB8" w:rsidRDefault="00173F8E" w:rsidP="00173F8E">
      <w:r w:rsidRPr="00167CB8">
        <w:t>On 20 September 2024 Whitehaven Coal Mining, Peabody Energy and Ulan Coal Mines lodged a Federal Court appeal and the matter is listed for a hearing in March 2025.</w:t>
      </w:r>
      <w:r w:rsidRPr="00167CB8">
        <w:rPr>
          <w:rStyle w:val="FootnoteReference"/>
        </w:rPr>
        <w:footnoteReference w:id="415"/>
      </w:r>
    </w:p>
    <w:p w14:paraId="38285E0F" w14:textId="2AE4CEF4" w:rsidR="00173F8E" w:rsidRPr="00167CB8" w:rsidRDefault="00173F8E" w:rsidP="00173F8E">
      <w:pPr>
        <w:rPr>
          <w:iCs/>
        </w:rPr>
      </w:pPr>
      <w:r w:rsidRPr="00167CB8">
        <w:lastRenderedPageBreak/>
        <w:t>Third, the FWC approved a second application for a single</w:t>
      </w:r>
      <w:r w:rsidR="00655F80" w:rsidRPr="00167CB8">
        <w:t>-</w:t>
      </w:r>
      <w:r w:rsidRPr="00167CB8">
        <w:t>interest employer authorisation, by agreement.</w:t>
      </w:r>
      <w:r w:rsidRPr="00167CB8">
        <w:rPr>
          <w:rStyle w:val="FootnoteReference"/>
        </w:rPr>
        <w:footnoteReference w:id="416"/>
      </w:r>
      <w:r w:rsidRPr="00167CB8">
        <w:t xml:space="preserve"> The application was made by the </w:t>
      </w:r>
      <w:r w:rsidRPr="00167CB8">
        <w:rPr>
          <w:iCs/>
        </w:rPr>
        <w:t>Automotive, Food, Metals, Engineering, Printing and Kindred Industries Union</w:t>
      </w:r>
      <w:r w:rsidR="00655F80" w:rsidRPr="00167CB8">
        <w:rPr>
          <w:iCs/>
        </w:rPr>
        <w:t>,</w:t>
      </w:r>
      <w:r w:rsidRPr="00167CB8">
        <w:rPr>
          <w:iCs/>
        </w:rPr>
        <w:t xml:space="preserve"> known as the Australian Manufacturing Workers’ Union</w:t>
      </w:r>
      <w:r w:rsidR="00655F80" w:rsidRPr="00167CB8">
        <w:rPr>
          <w:iCs/>
        </w:rPr>
        <w:t>,</w:t>
      </w:r>
      <w:r w:rsidRPr="00167CB8">
        <w:rPr>
          <w:iCs/>
        </w:rPr>
        <w:t xml:space="preserve"> and was approved on 13 February 2024.</w:t>
      </w:r>
      <w:r w:rsidRPr="00167CB8">
        <w:rPr>
          <w:rStyle w:val="FootnoteReference"/>
          <w:iCs/>
        </w:rPr>
        <w:footnoteReference w:id="417"/>
      </w:r>
      <w:r w:rsidRPr="00167CB8">
        <w:rPr>
          <w:iCs/>
        </w:rPr>
        <w:t xml:space="preserve"> </w:t>
      </w:r>
    </w:p>
    <w:p w14:paraId="7FAD38EA" w14:textId="19463180" w:rsidR="00173F8E" w:rsidRPr="00167CB8" w:rsidRDefault="00173F8E" w:rsidP="00173F8E">
      <w:r w:rsidRPr="00167CB8">
        <w:t xml:space="preserve">The authorisation was in respect of bargaining for a proposed multi-employer agreement to cover employees </w:t>
      </w:r>
      <w:r w:rsidR="00655F80" w:rsidRPr="00167CB8">
        <w:t xml:space="preserve">(including apprentices and trainees) </w:t>
      </w:r>
      <w:r w:rsidRPr="00167CB8">
        <w:t>who work in connection with the installation, major modernisation, servicing, repair or maintenance of air</w:t>
      </w:r>
      <w:r w:rsidR="002A0E63" w:rsidRPr="00167CB8">
        <w:t xml:space="preserve"> </w:t>
      </w:r>
      <w:r w:rsidRPr="00167CB8">
        <w:t>conditioning or ventilation.</w:t>
      </w:r>
      <w:r w:rsidRPr="00167CB8">
        <w:rPr>
          <w:rStyle w:val="FootnoteReference"/>
        </w:rPr>
        <w:footnoteReference w:id="418"/>
      </w:r>
    </w:p>
    <w:p w14:paraId="336D768C" w14:textId="14D4AA82" w:rsidR="00173F8E" w:rsidRPr="00167CB8" w:rsidRDefault="00173F8E" w:rsidP="00173F8E">
      <w:r w:rsidRPr="00167CB8">
        <w:t xml:space="preserve">The FWC relied and drew upon the principles in </w:t>
      </w:r>
      <w:r w:rsidRPr="00167CB8">
        <w:rPr>
          <w:i/>
          <w:iCs/>
        </w:rPr>
        <w:t>IEU v CEWA</w:t>
      </w:r>
      <w:r w:rsidRPr="00167CB8">
        <w:rPr>
          <w:rStyle w:val="FootnoteReference"/>
        </w:rPr>
        <w:footnoteReference w:id="419"/>
      </w:r>
      <w:r w:rsidRPr="00167CB8">
        <w:t xml:space="preserve"> in its decision, finding the employers had ‘common interests’ and the requirements under the F</w:t>
      </w:r>
      <w:r w:rsidR="00655F80" w:rsidRPr="00167CB8">
        <w:t xml:space="preserve">air </w:t>
      </w:r>
      <w:r w:rsidRPr="00167CB8">
        <w:t>W</w:t>
      </w:r>
      <w:r w:rsidR="00655F80" w:rsidRPr="00167CB8">
        <w:t>ork</w:t>
      </w:r>
      <w:r w:rsidRPr="00167CB8">
        <w:t xml:space="preserve"> Act for a single</w:t>
      </w:r>
      <w:r w:rsidR="00655F80" w:rsidRPr="00167CB8">
        <w:t>-</w:t>
      </w:r>
      <w:r w:rsidRPr="00167CB8">
        <w:t xml:space="preserve">interest employer authorisation were met. When considering </w:t>
      </w:r>
      <w:r w:rsidR="00655F80" w:rsidRPr="00167CB8">
        <w:t>‘</w:t>
      </w:r>
      <w:r w:rsidRPr="00167CB8">
        <w:t>common interests</w:t>
      </w:r>
      <w:r w:rsidR="00655F80" w:rsidRPr="00167CB8">
        <w:t>’</w:t>
      </w:r>
      <w:r w:rsidRPr="00167CB8">
        <w:t>, the FWC looked at the recognisable, related or like characteristics of each employer and the joint or shared concerns in relation to the heating, ventilation and air conditioning industry.</w:t>
      </w:r>
      <w:r w:rsidRPr="00167CB8">
        <w:rPr>
          <w:rStyle w:val="FootnoteReference"/>
        </w:rPr>
        <w:footnoteReference w:id="420"/>
      </w:r>
      <w:r w:rsidRPr="00167CB8">
        <w:t xml:space="preserve"> </w:t>
      </w:r>
    </w:p>
    <w:p w14:paraId="0969B759" w14:textId="0ADAB191" w:rsidR="00173F8E" w:rsidRPr="00167CB8" w:rsidRDefault="003B14A5" w:rsidP="00173F8E">
      <w:pPr>
        <w:pStyle w:val="Heading5"/>
        <w:rPr>
          <w:rFonts w:asciiTheme="minorHAnsi" w:hAnsiTheme="minorHAnsi"/>
        </w:rPr>
      </w:pPr>
      <w:r w:rsidRPr="00167CB8">
        <w:rPr>
          <w:rFonts w:asciiTheme="minorHAnsi" w:hAnsiTheme="minorHAnsi"/>
        </w:rPr>
        <w:t>12</w:t>
      </w:r>
      <w:r w:rsidR="00173F8E" w:rsidRPr="00167CB8">
        <w:rPr>
          <w:rFonts w:asciiTheme="minorHAnsi" w:hAnsiTheme="minorHAnsi"/>
        </w:rPr>
        <w:t>.2.3 Stakeholder views</w:t>
      </w:r>
    </w:p>
    <w:p w14:paraId="37AB86AF" w14:textId="3D9DE96F" w:rsidR="00173F8E" w:rsidRPr="00167CB8" w:rsidRDefault="00173F8E" w:rsidP="00173F8E">
      <w:r w:rsidRPr="00167CB8">
        <w:t>Stakeholders expressed a range of views on the amendments to the single</w:t>
      </w:r>
      <w:r w:rsidR="00655F80" w:rsidRPr="00167CB8">
        <w:t>-</w:t>
      </w:r>
      <w:r w:rsidRPr="00167CB8">
        <w:t xml:space="preserve">interest employer bargaining stream. </w:t>
      </w:r>
    </w:p>
    <w:p w14:paraId="4A5AA7A3" w14:textId="5C1F70B3" w:rsidR="00173F8E" w:rsidRPr="00167CB8" w:rsidRDefault="00173F8E" w:rsidP="00173F8E">
      <w:r w:rsidRPr="00167CB8">
        <w:t xml:space="preserve">Unions broadly submit that the amendments to the stream have been positive but recommend further amendments to improve them. Specifically, the </w:t>
      </w:r>
      <w:r w:rsidR="002A0E63" w:rsidRPr="00167CB8">
        <w:t xml:space="preserve">Australian Council of Trade Unions (ACTU) </w:t>
      </w:r>
      <w:r w:rsidRPr="00167CB8">
        <w:t xml:space="preserve">noted that the reforms did not undermine enterprise bargaining, and that </w:t>
      </w:r>
      <w:r w:rsidR="00655F80" w:rsidRPr="00167CB8">
        <w:t>‘</w:t>
      </w:r>
      <w:r w:rsidRPr="00167CB8">
        <w:t>use of multi-employer bargaining streams has been cautious and targeted</w:t>
      </w:r>
      <w:r w:rsidR="00655F80" w:rsidRPr="00167CB8">
        <w:t>’</w:t>
      </w:r>
      <w:r w:rsidRPr="00167CB8">
        <w:t>.</w:t>
      </w:r>
      <w:r w:rsidRPr="00167CB8">
        <w:rPr>
          <w:rStyle w:val="FootnoteReference"/>
        </w:rPr>
        <w:footnoteReference w:id="421"/>
      </w:r>
      <w:r w:rsidRPr="00167CB8">
        <w:t xml:space="preserve"> However, </w:t>
      </w:r>
      <w:r w:rsidR="002A0E63" w:rsidRPr="00167CB8">
        <w:t xml:space="preserve">it </w:t>
      </w:r>
      <w:r w:rsidRPr="00167CB8">
        <w:t xml:space="preserve">also noted </w:t>
      </w:r>
      <w:r w:rsidR="002A0E63" w:rsidRPr="00167CB8">
        <w:t xml:space="preserve">that it </w:t>
      </w:r>
      <w:r w:rsidRPr="00167CB8">
        <w:t xml:space="preserve">hold concerns the </w:t>
      </w:r>
      <w:r w:rsidR="00E220F8" w:rsidRPr="00167CB8">
        <w:t>‘“</w:t>
      </w:r>
      <w:r w:rsidRPr="00167CB8">
        <w:t>escape ramp” to single enterprise bargaining is too generous to employers who wish to frustrate the collective wishes of a legitimate bargaining cohort</w:t>
      </w:r>
      <w:r w:rsidR="00E220F8" w:rsidRPr="00167CB8">
        <w:t>’</w:t>
      </w:r>
      <w:r w:rsidRPr="00167CB8">
        <w:t>.</w:t>
      </w:r>
      <w:r w:rsidRPr="00167CB8">
        <w:rPr>
          <w:rStyle w:val="FootnoteReference"/>
        </w:rPr>
        <w:footnoteReference w:id="422"/>
      </w:r>
      <w:r w:rsidRPr="00167CB8">
        <w:t xml:space="preserve"> </w:t>
      </w:r>
    </w:p>
    <w:p w14:paraId="12DDFDAC" w14:textId="77777777" w:rsidR="00173F8E" w:rsidRPr="00167CB8" w:rsidRDefault="00173F8E" w:rsidP="00173F8E">
      <w:r w:rsidRPr="00167CB8">
        <w:t>The ACTU argued multi-employer bargaining would be more efficient for workers in small businesses, which have traditionally encountered barriers in engaging in bargaining.</w:t>
      </w:r>
      <w:r w:rsidRPr="00167CB8">
        <w:rPr>
          <w:rStyle w:val="FootnoteReference"/>
        </w:rPr>
        <w:footnoteReference w:id="423"/>
      </w:r>
      <w:r w:rsidRPr="00167CB8">
        <w:t xml:space="preserve">  </w:t>
      </w:r>
    </w:p>
    <w:p w14:paraId="695960B6" w14:textId="51C2EC1C" w:rsidR="00173F8E" w:rsidRPr="00167CB8" w:rsidRDefault="00173F8E" w:rsidP="00173F8E">
      <w:pPr>
        <w:rPr>
          <w:color w:val="777778" w:themeColor="accent5"/>
        </w:rPr>
      </w:pPr>
      <w:r w:rsidRPr="00167CB8">
        <w:t>The ACTU made recommendations relating to considering issues that are preventing the amendments effectiveness, including relating to expanding coverage of single</w:t>
      </w:r>
      <w:r w:rsidR="00E220F8" w:rsidRPr="00167CB8">
        <w:t>-</w:t>
      </w:r>
      <w:r w:rsidRPr="00167CB8">
        <w:t xml:space="preserve">interest employer authorisations in franchise operations </w:t>
      </w:r>
      <w:r w:rsidR="00E220F8" w:rsidRPr="00167CB8">
        <w:t>‘</w:t>
      </w:r>
      <w:r w:rsidRPr="00167CB8">
        <w:t>to cover brand outlets where the operator and employer is the franchisor</w:t>
      </w:r>
      <w:r w:rsidR="00E220F8" w:rsidRPr="00167CB8">
        <w:t>’</w:t>
      </w:r>
      <w:r w:rsidRPr="00167CB8">
        <w:t>, providing a mechanism to resolve deadlocks where an employer covered by an authorisation refuses to submit the agreement to a vote where others do not, and fast</w:t>
      </w:r>
      <w:r w:rsidR="00E220F8" w:rsidRPr="00167CB8">
        <w:t>-</w:t>
      </w:r>
      <w:r w:rsidRPr="00167CB8">
        <w:t>tracking re-initiati</w:t>
      </w:r>
      <w:r w:rsidR="00E220F8" w:rsidRPr="00167CB8">
        <w:t>on of</w:t>
      </w:r>
      <w:r w:rsidRPr="00167CB8">
        <w:t xml:space="preserve"> bargaining after a single</w:t>
      </w:r>
      <w:r w:rsidR="00E220F8" w:rsidRPr="00167CB8">
        <w:t>-</w:t>
      </w:r>
      <w:r w:rsidRPr="00167CB8">
        <w:t>interest employer agreement has passed its nominal expiry date.</w:t>
      </w:r>
      <w:r w:rsidRPr="00167CB8">
        <w:rPr>
          <w:rStyle w:val="FootnoteReference"/>
        </w:rPr>
        <w:footnoteReference w:id="424"/>
      </w:r>
      <w:r w:rsidRPr="00167CB8">
        <w:t xml:space="preserve"> </w:t>
      </w:r>
    </w:p>
    <w:p w14:paraId="24E00CEC" w14:textId="3DE8C012" w:rsidR="00173F8E" w:rsidRPr="00167CB8" w:rsidRDefault="002A0E63" w:rsidP="00173F8E">
      <w:r w:rsidRPr="00167CB8">
        <w:lastRenderedPageBreak/>
        <w:t>The United Workers Union (</w:t>
      </w:r>
      <w:r w:rsidR="00173F8E" w:rsidRPr="00167CB8">
        <w:t>UWU</w:t>
      </w:r>
      <w:r w:rsidRPr="00167CB8">
        <w:t>)</w:t>
      </w:r>
      <w:r w:rsidR="00173F8E" w:rsidRPr="00167CB8">
        <w:t xml:space="preserve"> recommended removing the requirement for unions to demonstrate majority employee support where an employer opposes a single-interest employer authorisation application to encourage utili</w:t>
      </w:r>
      <w:r w:rsidR="00E220F8" w:rsidRPr="00167CB8">
        <w:t>s</w:t>
      </w:r>
      <w:r w:rsidR="00173F8E" w:rsidRPr="00167CB8">
        <w:t>ation of the stream.</w:t>
      </w:r>
      <w:r w:rsidR="00173F8E" w:rsidRPr="00167CB8">
        <w:rPr>
          <w:rStyle w:val="FootnoteReference"/>
        </w:rPr>
        <w:footnoteReference w:id="425"/>
      </w:r>
      <w:r w:rsidR="00173F8E" w:rsidRPr="00167CB8">
        <w:t xml:space="preserve"> The ACTU also recommended consideration of this requirement.</w:t>
      </w:r>
      <w:r w:rsidR="00173F8E" w:rsidRPr="00167CB8">
        <w:rPr>
          <w:rStyle w:val="FootnoteReference"/>
        </w:rPr>
        <w:footnoteReference w:id="426"/>
      </w:r>
    </w:p>
    <w:p w14:paraId="425C754D" w14:textId="5CF48895" w:rsidR="00173F8E" w:rsidRPr="00167CB8" w:rsidRDefault="00173F8E" w:rsidP="00173F8E">
      <w:r w:rsidRPr="00167CB8">
        <w:t xml:space="preserve">UWU recommended allowing employers and employees </w:t>
      </w:r>
      <w:r w:rsidR="00E220F8" w:rsidRPr="00167CB8">
        <w:t>‘</w:t>
      </w:r>
      <w:r w:rsidRPr="00167CB8">
        <w:t>to obtain a single interest employer authorisation irrespective of business size, common interest or similarity in business or operations if they genuinely consent to the authorisation being granted</w:t>
      </w:r>
      <w:r w:rsidR="00E220F8" w:rsidRPr="00167CB8">
        <w:t>’</w:t>
      </w:r>
      <w:r w:rsidRPr="00167CB8">
        <w:t>.</w:t>
      </w:r>
      <w:r w:rsidRPr="00167CB8">
        <w:rPr>
          <w:rStyle w:val="FootnoteReference"/>
        </w:rPr>
        <w:footnoteReference w:id="427"/>
      </w:r>
      <w:r w:rsidRPr="00167CB8">
        <w:t xml:space="preserve"> The IEU also argued for removing the common interest requirement </w:t>
      </w:r>
      <w:r w:rsidR="00E220F8" w:rsidRPr="00167CB8">
        <w:t>‘</w:t>
      </w:r>
      <w:r w:rsidRPr="00167CB8">
        <w:t>where there is a history of multi-enterprise agreements with the same or similar employers</w:t>
      </w:r>
      <w:r w:rsidR="000500C3">
        <w:t>.</w:t>
      </w:r>
      <w:r w:rsidR="00E220F8" w:rsidRPr="00167CB8">
        <w:t>’</w:t>
      </w:r>
      <w:r w:rsidRPr="00167CB8">
        <w:rPr>
          <w:rStyle w:val="FootnoteReference"/>
        </w:rPr>
        <w:footnoteReference w:id="428"/>
      </w:r>
      <w:r w:rsidRPr="00167CB8">
        <w:t xml:space="preserve"> </w:t>
      </w:r>
    </w:p>
    <w:p w14:paraId="700CF452" w14:textId="58C4B865" w:rsidR="00173F8E" w:rsidRPr="00167CB8" w:rsidRDefault="00173F8E" w:rsidP="00173F8E">
      <w:r w:rsidRPr="00167CB8">
        <w:t>The</w:t>
      </w:r>
      <w:r w:rsidR="002A0E63" w:rsidRPr="00167CB8">
        <w:t xml:space="preserve"> Independent Education Union</w:t>
      </w:r>
      <w:r w:rsidRPr="00167CB8">
        <w:t xml:space="preserve"> </w:t>
      </w:r>
      <w:r w:rsidR="002A0E63" w:rsidRPr="00167CB8">
        <w:t>(</w:t>
      </w:r>
      <w:r w:rsidRPr="00167CB8">
        <w:t>IEU</w:t>
      </w:r>
      <w:r w:rsidR="002A0E63" w:rsidRPr="00167CB8">
        <w:t>)</w:t>
      </w:r>
      <w:r w:rsidRPr="00167CB8">
        <w:t xml:space="preserve"> also recommended removing </w:t>
      </w:r>
      <w:r w:rsidR="00E220F8" w:rsidRPr="00167CB8">
        <w:t>‘</w:t>
      </w:r>
      <w:r w:rsidRPr="00167CB8">
        <w:t>restriction</w:t>
      </w:r>
      <w:r w:rsidR="00E220F8" w:rsidRPr="00167CB8">
        <w:t>’</w:t>
      </w:r>
      <w:r w:rsidRPr="00167CB8">
        <w:t xml:space="preserve"> on the stream in s</w:t>
      </w:r>
      <w:r w:rsidR="00E220F8" w:rsidRPr="00167CB8">
        <w:t> </w:t>
      </w:r>
      <w:r w:rsidRPr="00167CB8">
        <w:t>250(3)(c).</w:t>
      </w:r>
      <w:r w:rsidRPr="00167CB8">
        <w:rPr>
          <w:rStyle w:val="FootnoteReference"/>
        </w:rPr>
        <w:footnoteReference w:id="429"/>
      </w:r>
      <w:r w:rsidRPr="00167CB8">
        <w:t xml:space="preserve"> </w:t>
      </w:r>
      <w:r w:rsidR="002A0E63" w:rsidRPr="00167CB8">
        <w:t xml:space="preserve">It </w:t>
      </w:r>
      <w:r w:rsidRPr="00167CB8">
        <w:t xml:space="preserve">stated that </w:t>
      </w:r>
      <w:r w:rsidR="002A0E63" w:rsidRPr="00167CB8">
        <w:t xml:space="preserve">it sees </w:t>
      </w:r>
      <w:r w:rsidR="00E220F8" w:rsidRPr="00167CB8">
        <w:t>‘</w:t>
      </w:r>
      <w:r w:rsidRPr="00167CB8">
        <w:t>no reason</w:t>
      </w:r>
      <w:r w:rsidR="00E220F8" w:rsidRPr="00167CB8">
        <w:t xml:space="preserve"> </w:t>
      </w:r>
      <w:r w:rsidRPr="00167CB8">
        <w:t>… where the industrial parties have a standing agreement to bargain together for a multi-enterprise agreement, why bargaining under the cooperative stream and single enterprise stream should be able to commence well in advance of bargaining in the single interest employer agreement stream due to restrictions in s 250(3)(c)</w:t>
      </w:r>
      <w:r w:rsidR="00E220F8" w:rsidRPr="00167CB8">
        <w:t>’</w:t>
      </w:r>
      <w:r w:rsidRPr="00167CB8">
        <w:t>.</w:t>
      </w:r>
      <w:r w:rsidRPr="00167CB8">
        <w:rPr>
          <w:rStyle w:val="FootnoteReference"/>
        </w:rPr>
        <w:footnoteReference w:id="430"/>
      </w:r>
      <w:r w:rsidRPr="00167CB8">
        <w:t xml:space="preserve"> </w:t>
      </w:r>
    </w:p>
    <w:p w14:paraId="3C05D677" w14:textId="0DE2D86E" w:rsidR="00173F8E" w:rsidRPr="00167CB8" w:rsidRDefault="00173F8E" w:rsidP="00173F8E">
      <w:r w:rsidRPr="00167CB8">
        <w:t>Employer</w:t>
      </w:r>
      <w:r w:rsidRPr="00167CB8" w:rsidDel="005B7B62">
        <w:t xml:space="preserve"> </w:t>
      </w:r>
      <w:r w:rsidRPr="00167CB8">
        <w:t>associations were largely critical of the amendments to the single</w:t>
      </w:r>
      <w:r w:rsidR="00E220F8" w:rsidRPr="00167CB8">
        <w:t>-</w:t>
      </w:r>
      <w:r w:rsidRPr="00167CB8">
        <w:t xml:space="preserve">interest employer bargaining stream. </w:t>
      </w:r>
    </w:p>
    <w:p w14:paraId="470163A1" w14:textId="27B248EB" w:rsidR="00173F8E" w:rsidRPr="00167CB8" w:rsidRDefault="00173F8E" w:rsidP="00173F8E">
      <w:r w:rsidRPr="00167CB8">
        <w:t>Employer groups were critical of the ability for employers to be compelled to bargain in the single</w:t>
      </w:r>
      <w:r w:rsidR="00E220F8" w:rsidRPr="00167CB8">
        <w:t>-</w:t>
      </w:r>
      <w:r w:rsidRPr="00167CB8">
        <w:t>interest employer authorisation stream and for employers and their employees to be added to single</w:t>
      </w:r>
      <w:r w:rsidR="00E220F8" w:rsidRPr="00167CB8">
        <w:t>-</w:t>
      </w:r>
      <w:r w:rsidRPr="00167CB8">
        <w:t>interest employer agreements without the employer</w:t>
      </w:r>
      <w:r w:rsidR="00E220F8" w:rsidRPr="00167CB8">
        <w:t>’</w:t>
      </w:r>
      <w:r w:rsidRPr="00167CB8">
        <w:t>s consent.</w:t>
      </w:r>
      <w:r w:rsidRPr="00167CB8">
        <w:rPr>
          <w:rStyle w:val="FootnoteReference"/>
        </w:rPr>
        <w:footnoteReference w:id="431"/>
      </w:r>
      <w:r w:rsidRPr="00167CB8">
        <w:t xml:space="preserve"> </w:t>
      </w:r>
      <w:r w:rsidRPr="00167CB8">
        <w:rPr>
          <w:rStyle w:val="FootnoteReference"/>
        </w:rPr>
        <w:footnoteReference w:id="432"/>
      </w:r>
      <w:r w:rsidRPr="00167CB8">
        <w:t xml:space="preserve"> </w:t>
      </w:r>
      <w:r w:rsidRPr="00167CB8">
        <w:rPr>
          <w:rStyle w:val="FootnoteReference"/>
        </w:rPr>
        <w:footnoteReference w:id="433"/>
      </w:r>
      <w:r w:rsidRPr="00167CB8">
        <w:t xml:space="preserve"> They recommended this stream be repealed or by employer consent only.</w:t>
      </w:r>
      <w:r w:rsidRPr="00167CB8">
        <w:rPr>
          <w:rStyle w:val="FootnoteReference"/>
        </w:rPr>
        <w:footnoteReference w:id="434"/>
      </w:r>
      <w:r w:rsidRPr="00167CB8">
        <w:t xml:space="preserve"> </w:t>
      </w:r>
      <w:r w:rsidRPr="00167CB8">
        <w:rPr>
          <w:rStyle w:val="FootnoteReference"/>
        </w:rPr>
        <w:footnoteReference w:id="435"/>
      </w:r>
      <w:r w:rsidRPr="00167CB8">
        <w:t xml:space="preserve"> </w:t>
      </w:r>
      <w:r w:rsidRPr="00167CB8">
        <w:rPr>
          <w:rStyle w:val="FootnoteReference"/>
        </w:rPr>
        <w:footnoteReference w:id="436"/>
      </w:r>
      <w:r w:rsidRPr="00167CB8">
        <w:t xml:space="preserve"> </w:t>
      </w:r>
      <w:r w:rsidR="002A0E63" w:rsidRPr="00167CB8">
        <w:t>The Chamber of Commerce and Industry of Western Australia</w:t>
      </w:r>
      <w:r w:rsidRPr="00167CB8">
        <w:t xml:space="preserve"> recommended allowing employers to pull out and negotiate a single-enterprise agreement at any time.</w:t>
      </w:r>
      <w:r w:rsidRPr="00167CB8">
        <w:rPr>
          <w:rStyle w:val="FootnoteReference"/>
        </w:rPr>
        <w:footnoteReference w:id="437"/>
      </w:r>
      <w:r w:rsidRPr="00167CB8">
        <w:t xml:space="preserve"> </w:t>
      </w:r>
    </w:p>
    <w:p w14:paraId="1B57ED82" w14:textId="1E875190" w:rsidR="00173F8E" w:rsidRPr="00167CB8" w:rsidRDefault="00173F8E" w:rsidP="00173F8E">
      <w:r w:rsidRPr="00167CB8">
        <w:t xml:space="preserve">The Pharmacy Guild stated that consent is a fundamental tool in bargaining and </w:t>
      </w:r>
      <w:r w:rsidR="00E220F8" w:rsidRPr="00167CB8">
        <w:t>‘</w:t>
      </w:r>
      <w:r w:rsidRPr="00167CB8">
        <w:t>arbitrary clauses deter employers from engaging in bargaining</w:t>
      </w:r>
      <w:r w:rsidR="00E220F8" w:rsidRPr="00167CB8">
        <w:t>’</w:t>
      </w:r>
      <w:r w:rsidRPr="00167CB8">
        <w:t>.</w:t>
      </w:r>
      <w:r w:rsidRPr="00167CB8">
        <w:rPr>
          <w:rStyle w:val="FootnoteReference"/>
        </w:rPr>
        <w:footnoteReference w:id="438"/>
      </w:r>
      <w:r w:rsidRPr="00167CB8">
        <w:t xml:space="preserve"> They also noted that until the parameters of the stream are defined by ‘test cases’, the impact of the changes will be unclear.</w:t>
      </w:r>
      <w:r w:rsidRPr="00167CB8">
        <w:rPr>
          <w:rStyle w:val="FootnoteReference"/>
        </w:rPr>
        <w:footnoteReference w:id="439"/>
      </w:r>
      <w:r w:rsidRPr="00167CB8">
        <w:t xml:space="preserve"> </w:t>
      </w:r>
    </w:p>
    <w:p w14:paraId="173F5BC9" w14:textId="2AD4CDB2" w:rsidR="00173F8E" w:rsidRPr="00167CB8" w:rsidRDefault="00173F8E" w:rsidP="00173F8E">
      <w:r w:rsidRPr="00167CB8">
        <w:t>Many employer groups also argued that the single</w:t>
      </w:r>
      <w:r w:rsidR="00E220F8" w:rsidRPr="00167CB8">
        <w:t>-</w:t>
      </w:r>
      <w:r w:rsidRPr="00167CB8">
        <w:t xml:space="preserve">interest stream would negatively impact productivity, with </w:t>
      </w:r>
      <w:r w:rsidR="002A0E63" w:rsidRPr="00167CB8">
        <w:t xml:space="preserve">the Business Council of Australia </w:t>
      </w:r>
      <w:r w:rsidRPr="00167CB8">
        <w:t>claiming this would result from removing the ability to negotiate enterprise-appropriate agreements.</w:t>
      </w:r>
      <w:r w:rsidRPr="00167CB8">
        <w:rPr>
          <w:rStyle w:val="FootnoteReference"/>
        </w:rPr>
        <w:footnoteReference w:id="440"/>
      </w:r>
      <w:r w:rsidRPr="00167CB8">
        <w:t xml:space="preserve"> </w:t>
      </w:r>
      <w:r w:rsidR="002A0E63" w:rsidRPr="00167CB8">
        <w:t>The Council of Small Business Organisations Australia (</w:t>
      </w:r>
      <w:r w:rsidRPr="00167CB8">
        <w:t>COSBOA</w:t>
      </w:r>
      <w:r w:rsidR="002A0E63" w:rsidRPr="00167CB8">
        <w:t>)</w:t>
      </w:r>
      <w:r w:rsidRPr="00167CB8">
        <w:t xml:space="preserve"> also added criticism of the impact on small business to the </w:t>
      </w:r>
      <w:r w:rsidRPr="00167CB8">
        <w:lastRenderedPageBreak/>
        <w:t>criticism of the impact of productivity.</w:t>
      </w:r>
      <w:r w:rsidRPr="00167CB8">
        <w:rPr>
          <w:rStyle w:val="FootnoteReference"/>
        </w:rPr>
        <w:footnoteReference w:id="441"/>
      </w:r>
      <w:r w:rsidRPr="00167CB8">
        <w:t xml:space="preserve"> CO</w:t>
      </w:r>
      <w:r w:rsidR="00E220F8" w:rsidRPr="00167CB8">
        <w:t>S</w:t>
      </w:r>
      <w:r w:rsidRPr="00167CB8">
        <w:t>BOA further recommended businesses of up to 50 full-time equivalent employees be excluded from the single-interest stream.</w:t>
      </w:r>
      <w:r w:rsidRPr="00167CB8">
        <w:rPr>
          <w:rStyle w:val="FootnoteReference"/>
        </w:rPr>
        <w:footnoteReference w:id="442"/>
      </w:r>
      <w:r w:rsidRPr="00167CB8">
        <w:t xml:space="preserve">  </w:t>
      </w:r>
    </w:p>
    <w:p w14:paraId="74B0F366" w14:textId="2F572633" w:rsidR="00173F8E" w:rsidRPr="00167CB8" w:rsidRDefault="00173F8E" w:rsidP="00173F8E">
      <w:r w:rsidRPr="00167CB8">
        <w:t>There was significant criticism from employer groups representing mining industry employers, who argued for the single-interest stream to be abolished.</w:t>
      </w:r>
      <w:r w:rsidRPr="00167CB8">
        <w:rPr>
          <w:rStyle w:val="FootnoteReference"/>
        </w:rPr>
        <w:footnoteReference w:id="443"/>
      </w:r>
      <w:r w:rsidRPr="00167CB8">
        <w:t xml:space="preserve"> </w:t>
      </w:r>
      <w:r w:rsidRPr="00167CB8">
        <w:rPr>
          <w:rStyle w:val="FootnoteReference"/>
        </w:rPr>
        <w:footnoteReference w:id="444"/>
      </w:r>
      <w:r w:rsidRPr="00167CB8">
        <w:t xml:space="preserve"> </w:t>
      </w:r>
      <w:r w:rsidRPr="00167CB8">
        <w:rPr>
          <w:rStyle w:val="FootnoteReference"/>
        </w:rPr>
        <w:footnoteReference w:id="445"/>
      </w:r>
      <w:r w:rsidRPr="00167CB8">
        <w:t xml:space="preserve"> </w:t>
      </w:r>
      <w:r w:rsidR="002A0E63" w:rsidRPr="00167CB8">
        <w:t>The Minerals Council of Australia (</w:t>
      </w:r>
      <w:r w:rsidRPr="00167CB8">
        <w:t>MCA</w:t>
      </w:r>
      <w:r w:rsidR="002A0E63" w:rsidRPr="00167CB8">
        <w:t>)</w:t>
      </w:r>
      <w:r w:rsidRPr="00167CB8">
        <w:t xml:space="preserve"> argued </w:t>
      </w:r>
      <w:r w:rsidR="00E220F8" w:rsidRPr="00167CB8">
        <w:t>‘</w:t>
      </w:r>
      <w:r w:rsidRPr="00167CB8">
        <w:t>multi-employer bargaining is inappropriate for the mining industry due to</w:t>
      </w:r>
      <w:r w:rsidR="00E220F8" w:rsidRPr="00167CB8">
        <w:t xml:space="preserve"> </w:t>
      </w:r>
      <w:r w:rsidRPr="00167CB8">
        <w:t>… current successful workplace arrangements</w:t>
      </w:r>
      <w:r w:rsidR="00E220F8" w:rsidRPr="00167CB8">
        <w:t>’</w:t>
      </w:r>
      <w:r w:rsidRPr="00167CB8">
        <w:t xml:space="preserve"> and noted negative consequences for investment from industrial relations uncertainty and industrial action.</w:t>
      </w:r>
      <w:r w:rsidRPr="00167CB8">
        <w:rPr>
          <w:rStyle w:val="FootnoteReference"/>
        </w:rPr>
        <w:footnoteReference w:id="446"/>
      </w:r>
      <w:r w:rsidRPr="00167CB8">
        <w:t xml:space="preserve"> </w:t>
      </w:r>
    </w:p>
    <w:p w14:paraId="437697E6" w14:textId="74C9C417" w:rsidR="00173F8E" w:rsidRPr="00167CB8" w:rsidRDefault="00173F8E" w:rsidP="00173F8E">
      <w:r w:rsidRPr="00167CB8">
        <w:t xml:space="preserve">MCA cited the recent test case covering </w:t>
      </w:r>
      <w:r w:rsidR="00E220F8" w:rsidRPr="00167CB8">
        <w:t xml:space="preserve">New South Wales </w:t>
      </w:r>
      <w:r w:rsidRPr="00167CB8">
        <w:t xml:space="preserve">coal creating a precedent in which the common interest test can be met by employers mining the same commodity in the same state as </w:t>
      </w:r>
      <w:r w:rsidR="00E220F8" w:rsidRPr="00167CB8">
        <w:t>‘</w:t>
      </w:r>
      <w:r w:rsidRPr="00167CB8">
        <w:t xml:space="preserve">opening the door to industry-wide </w:t>
      </w:r>
      <w:r w:rsidR="00E220F8" w:rsidRPr="00167CB8">
        <w:t>“</w:t>
      </w:r>
      <w:r w:rsidRPr="00167CB8">
        <w:t>bargaining</w:t>
      </w:r>
      <w:r w:rsidR="00E220F8" w:rsidRPr="00167CB8">
        <w:t>”</w:t>
      </w:r>
      <w:r w:rsidRPr="00167CB8">
        <w:t xml:space="preserve"> and</w:t>
      </w:r>
      <w:r w:rsidR="00E220F8" w:rsidRPr="00167CB8">
        <w:t xml:space="preserve"> </w:t>
      </w:r>
      <w:r w:rsidRPr="00167CB8">
        <w:t>… strikes – a return to 1970s-style industrial confrontation and disruption</w:t>
      </w:r>
      <w:r w:rsidR="00E220F8" w:rsidRPr="00167CB8">
        <w:t>’</w:t>
      </w:r>
      <w:r w:rsidRPr="00167CB8">
        <w:t>.</w:t>
      </w:r>
      <w:r w:rsidRPr="00167CB8">
        <w:rPr>
          <w:rStyle w:val="FootnoteReference"/>
        </w:rPr>
        <w:footnoteReference w:id="447"/>
      </w:r>
      <w:r w:rsidRPr="00167CB8">
        <w:t xml:space="preserve"> Whitehaven Coal also argued the stream would have a negative impact on productivity and competitiveness and that the reforms are built on a model of workplace conflict and reduce operational flexibility.</w:t>
      </w:r>
      <w:r w:rsidRPr="00167CB8">
        <w:rPr>
          <w:rStyle w:val="FootnoteReference"/>
        </w:rPr>
        <w:footnoteReference w:id="448"/>
      </w:r>
    </w:p>
    <w:p w14:paraId="37AE3888" w14:textId="539EAA13" w:rsidR="00173F8E" w:rsidRPr="00167CB8" w:rsidRDefault="00173F8E" w:rsidP="00173F8E">
      <w:r w:rsidRPr="00167CB8">
        <w:t xml:space="preserve">If the stream is not abolished, Whitehaven Coal argued it should be voluntary with consent between employers, employees and </w:t>
      </w:r>
      <w:r w:rsidR="002A0E63" w:rsidRPr="00167CB8">
        <w:t>r</w:t>
      </w:r>
      <w:r w:rsidRPr="00167CB8">
        <w:t xml:space="preserve">egistered </w:t>
      </w:r>
      <w:r w:rsidR="002A0E63" w:rsidRPr="00167CB8">
        <w:t>o</w:t>
      </w:r>
      <w:r w:rsidRPr="00167CB8">
        <w:t>rganisations</w:t>
      </w:r>
      <w:r w:rsidR="002A0E63" w:rsidRPr="00167CB8">
        <w:t>;</w:t>
      </w:r>
      <w:r w:rsidRPr="00167CB8">
        <w:t xml:space="preserve"> and for strengthening majority support requirements and clarifying tests to avoid unintended consequences</w:t>
      </w:r>
      <w:r w:rsidR="002A0E63" w:rsidRPr="00167CB8">
        <w:t>;</w:t>
      </w:r>
      <w:r w:rsidRPr="00167CB8">
        <w:t xml:space="preserve"> and </w:t>
      </w:r>
      <w:r w:rsidR="00E220F8" w:rsidRPr="00167CB8">
        <w:t>‘</w:t>
      </w:r>
      <w:r w:rsidRPr="00167CB8">
        <w:t>removing the rebuttal presumptions, so that the onus is on the union making the authorisation</w:t>
      </w:r>
      <w:r w:rsidR="00E220F8" w:rsidRPr="00167CB8">
        <w:t>’</w:t>
      </w:r>
      <w:r w:rsidRPr="00167CB8">
        <w:t>.</w:t>
      </w:r>
      <w:r w:rsidRPr="00167CB8">
        <w:rPr>
          <w:rStyle w:val="FootnoteReference"/>
        </w:rPr>
        <w:footnoteReference w:id="449"/>
      </w:r>
      <w:r w:rsidRPr="00167CB8">
        <w:t xml:space="preserve"> The </w:t>
      </w:r>
      <w:r w:rsidR="002A0E63" w:rsidRPr="00167CB8">
        <w:t xml:space="preserve">Chamber of Minerals and Energy of Western Australia </w:t>
      </w:r>
      <w:r w:rsidRPr="00167CB8">
        <w:t xml:space="preserve">proposed the </w:t>
      </w:r>
      <w:r w:rsidR="00E220F8" w:rsidRPr="00167CB8">
        <w:t>‘</w:t>
      </w:r>
      <w:r w:rsidRPr="00167CB8">
        <w:t>repeal of multi-employer bargaining except in low paid industries</w:t>
      </w:r>
      <w:r w:rsidR="00E220F8" w:rsidRPr="00167CB8">
        <w:t>’.</w:t>
      </w:r>
      <w:r w:rsidRPr="00167CB8">
        <w:rPr>
          <w:rStyle w:val="FootnoteReference"/>
        </w:rPr>
        <w:footnoteReference w:id="450"/>
      </w:r>
      <w:r w:rsidRPr="00167CB8">
        <w:t xml:space="preserve"> </w:t>
      </w:r>
    </w:p>
    <w:p w14:paraId="31BB9B6A" w14:textId="38BD813E" w:rsidR="00173F8E" w:rsidRPr="00167CB8" w:rsidRDefault="00173F8E" w:rsidP="00173F8E">
      <w:r w:rsidRPr="00167CB8">
        <w:t>Ai Group submit</w:t>
      </w:r>
      <w:r w:rsidR="002A0E63" w:rsidRPr="00167CB8">
        <w:t>ted that</w:t>
      </w:r>
      <w:r w:rsidRPr="00167CB8">
        <w:t xml:space="preserve"> the amendments increase union bargaining power and lower employer and individual employee rights. </w:t>
      </w:r>
      <w:r w:rsidR="002A0E63" w:rsidRPr="00167CB8">
        <w:t xml:space="preserve">It </w:t>
      </w:r>
      <w:r w:rsidRPr="00167CB8">
        <w:t>also argued for preserving the emphasis on enterprise-level collective bargaining in the object of the Fair Work Act,</w:t>
      </w:r>
      <w:r w:rsidRPr="00167CB8">
        <w:rPr>
          <w:rStyle w:val="FootnoteReference"/>
        </w:rPr>
        <w:footnoteReference w:id="451"/>
      </w:r>
      <w:r w:rsidRPr="00167CB8">
        <w:t xml:space="preserve"> proposed substantial amendments to s</w:t>
      </w:r>
      <w:r w:rsidR="00E220F8" w:rsidRPr="00167CB8">
        <w:t> </w:t>
      </w:r>
      <w:r w:rsidRPr="00167CB8">
        <w:t>249(1) of the Fair Work Act relating to when the FWC must make an authorisation</w:t>
      </w:r>
      <w:r w:rsidR="002A0E63" w:rsidRPr="00167CB8">
        <w:t xml:space="preserve"> and </w:t>
      </w:r>
      <w:r w:rsidRPr="00167CB8">
        <w:t>s</w:t>
      </w:r>
      <w:r w:rsidR="00E220F8" w:rsidRPr="00167CB8">
        <w:t> </w:t>
      </w:r>
      <w:r w:rsidRPr="00167CB8">
        <w:t>249(3A) relating to common interests</w:t>
      </w:r>
      <w:r w:rsidR="002A0E63" w:rsidRPr="00167CB8">
        <w:t>;</w:t>
      </w:r>
      <w:r w:rsidRPr="00167CB8">
        <w:t xml:space="preserve"> and </w:t>
      </w:r>
      <w:r w:rsidR="002A0E63" w:rsidRPr="00167CB8">
        <w:t xml:space="preserve">deletion of </w:t>
      </w:r>
      <w:r w:rsidRPr="00167CB8">
        <w:t>the rebuttable presumption at s</w:t>
      </w:r>
      <w:r w:rsidR="00E220F8" w:rsidRPr="00167CB8">
        <w:t> </w:t>
      </w:r>
      <w:r w:rsidRPr="00167CB8">
        <w:t>249(1AA) and (3AB).</w:t>
      </w:r>
      <w:r w:rsidRPr="00167CB8">
        <w:rPr>
          <w:rStyle w:val="FootnoteReference"/>
        </w:rPr>
        <w:footnoteReference w:id="452"/>
      </w:r>
      <w:r w:rsidRPr="00167CB8">
        <w:t xml:space="preserve"> They also recommended removing what they refer to as the union veto in s</w:t>
      </w:r>
      <w:r w:rsidR="00E220F8" w:rsidRPr="00167CB8">
        <w:t> </w:t>
      </w:r>
      <w:r w:rsidRPr="00167CB8">
        <w:t>216EB(d) of the Fair Work Act and amending when the FWC must approve variation of a multi-</w:t>
      </w:r>
      <w:r w:rsidRPr="00167CB8" w:rsidDel="005C084C">
        <w:t xml:space="preserve">enterprise </w:t>
      </w:r>
      <w:r w:rsidRPr="00167CB8">
        <w:t xml:space="preserve">agreement. </w:t>
      </w:r>
    </w:p>
    <w:p w14:paraId="0545FB77" w14:textId="78C981E5" w:rsidR="00173F8E" w:rsidRPr="00167CB8" w:rsidRDefault="00173F8E" w:rsidP="00173F8E">
      <w:r w:rsidRPr="00167CB8">
        <w:t>MIA Ltd crit</w:t>
      </w:r>
      <w:r w:rsidR="00E220F8" w:rsidRPr="00167CB8">
        <w:t>i</w:t>
      </w:r>
      <w:r w:rsidRPr="00167CB8">
        <w:t xml:space="preserve">cised the complexity of the </w:t>
      </w:r>
      <w:r w:rsidR="00E220F8" w:rsidRPr="00167CB8">
        <w:t>s</w:t>
      </w:r>
      <w:r w:rsidRPr="00167CB8">
        <w:t>ingle</w:t>
      </w:r>
      <w:r w:rsidR="00E220F8" w:rsidRPr="00167CB8">
        <w:t>-i</w:t>
      </w:r>
      <w:r w:rsidRPr="00167CB8">
        <w:t xml:space="preserve">nterest </w:t>
      </w:r>
      <w:r w:rsidR="00E220F8" w:rsidRPr="00167CB8">
        <w:t>e</w:t>
      </w:r>
      <w:r w:rsidRPr="00167CB8">
        <w:t>mployer authorisation requirements.</w:t>
      </w:r>
      <w:r w:rsidRPr="00167CB8">
        <w:rPr>
          <w:rStyle w:val="FootnoteReference"/>
        </w:rPr>
        <w:footnoteReference w:id="453"/>
      </w:r>
      <w:r w:rsidRPr="00167CB8">
        <w:t xml:space="preserve"> </w:t>
      </w:r>
      <w:r w:rsidR="002A0E63" w:rsidRPr="00167CB8">
        <w:t xml:space="preserve">It </w:t>
      </w:r>
      <w:r w:rsidRPr="00167CB8">
        <w:t>also noted issues with competitors bargaining collectively (particularly around creating similar operating costs), that the practicalities of multi-employer bargaining may cause delays, and that this could result in industrial action across large parts of the industry.</w:t>
      </w:r>
      <w:r w:rsidRPr="00167CB8">
        <w:rPr>
          <w:rStyle w:val="FootnoteReference"/>
        </w:rPr>
        <w:footnoteReference w:id="454"/>
      </w:r>
      <w:r w:rsidRPr="00167CB8">
        <w:t xml:space="preserve"> </w:t>
      </w:r>
    </w:p>
    <w:p w14:paraId="68CCC26B" w14:textId="02E049C2" w:rsidR="00173F8E" w:rsidRPr="00167CB8" w:rsidRDefault="00173F8E" w:rsidP="00173F8E">
      <w:r w:rsidRPr="00167CB8">
        <w:lastRenderedPageBreak/>
        <w:t xml:space="preserve">MIA Ltd noted </w:t>
      </w:r>
      <w:r w:rsidR="002A0E63" w:rsidRPr="00167CB8">
        <w:t xml:space="preserve">it has </w:t>
      </w:r>
      <w:r w:rsidRPr="00167CB8">
        <w:t xml:space="preserve">not yet observed significant practical implications of the amendments and pointed to pattern agreements in the construction industry establishing the ‘industry standard’ that multi-employer agreements aim to achieve. </w:t>
      </w:r>
      <w:r w:rsidR="002A0E63" w:rsidRPr="00167CB8">
        <w:t xml:space="preserve">It </w:t>
      </w:r>
      <w:r w:rsidRPr="00167CB8">
        <w:t xml:space="preserve">noted previous concerns about </w:t>
      </w:r>
      <w:r w:rsidR="002A0E63" w:rsidRPr="00167CB8">
        <w:t xml:space="preserve">small and medium enterprises </w:t>
      </w:r>
      <w:r w:rsidRPr="00167CB8">
        <w:t>being drawn into pattern agreements</w:t>
      </w:r>
      <w:r w:rsidR="00E220F8" w:rsidRPr="00167CB8">
        <w:t>;</w:t>
      </w:r>
      <w:r w:rsidRPr="00167CB8">
        <w:t xml:space="preserve"> however</w:t>
      </w:r>
      <w:r w:rsidR="00E220F8" w:rsidRPr="00167CB8">
        <w:t>, they</w:t>
      </w:r>
      <w:r w:rsidRPr="00167CB8">
        <w:t xml:space="preserve"> state this has been prevented by the threshold in the amendments. </w:t>
      </w:r>
    </w:p>
    <w:p w14:paraId="124B79EF" w14:textId="717A5571" w:rsidR="00173F8E" w:rsidRPr="00167CB8" w:rsidRDefault="00173F8E" w:rsidP="00173F8E">
      <w:r w:rsidRPr="00167CB8">
        <w:t xml:space="preserve">On the other hand, </w:t>
      </w:r>
      <w:r w:rsidR="002A0E63" w:rsidRPr="00167CB8">
        <w:t xml:space="preserve">the Australian Retailers Association </w:t>
      </w:r>
      <w:r w:rsidRPr="00167CB8">
        <w:t>was positive about the amendments, noting clarity provided by providing franchisees can bargain as one unit rather than individually and that</w:t>
      </w:r>
      <w:r w:rsidR="00E220F8" w:rsidRPr="00167CB8">
        <w:t>,</w:t>
      </w:r>
      <w:r w:rsidRPr="00167CB8">
        <w:t xml:space="preserve"> while they were enabled previously by legal precedent</w:t>
      </w:r>
      <w:r w:rsidR="00E220F8" w:rsidRPr="00167CB8">
        <w:t>,</w:t>
      </w:r>
      <w:r w:rsidRPr="00167CB8">
        <w:t xml:space="preserve"> the change removes ambiguity.</w:t>
      </w:r>
      <w:r w:rsidRPr="00167CB8">
        <w:rPr>
          <w:rStyle w:val="FootnoteReference"/>
        </w:rPr>
        <w:footnoteReference w:id="455"/>
      </w:r>
    </w:p>
    <w:p w14:paraId="74919159" w14:textId="36BD8A39" w:rsidR="00173F8E" w:rsidRPr="00167CB8" w:rsidRDefault="00173F8E" w:rsidP="00173F8E">
      <w:r w:rsidRPr="00167CB8">
        <w:t xml:space="preserve">Citing the linking of multi-employer and single-employer agreements in Denmark, Professor David Peetz submitted that Australia’s </w:t>
      </w:r>
      <w:r w:rsidR="00E220F8" w:rsidRPr="00167CB8">
        <w:t>‘</w:t>
      </w:r>
      <w:r w:rsidRPr="00167CB8">
        <w:t>new arrangements</w:t>
      </w:r>
      <w:r w:rsidR="00E220F8" w:rsidRPr="00167CB8">
        <w:t>’</w:t>
      </w:r>
      <w:r w:rsidRPr="00167CB8">
        <w:t xml:space="preserve"> remain unusual internationally due to workers not being eligible for a multi-employer agreement if their workplace has or is bargaining for an enterprise agreement.</w:t>
      </w:r>
      <w:r w:rsidRPr="00167CB8">
        <w:rPr>
          <w:rStyle w:val="FootnoteReference"/>
        </w:rPr>
        <w:footnoteReference w:id="456"/>
      </w:r>
      <w:r w:rsidRPr="00167CB8">
        <w:t xml:space="preserve"> Professor Peetz also noted that this means Australian unions aiming for a ‘multi-employer agreement’ are attempting to organise workplaces without an enterprise agreement that are commonly non-unionised.</w:t>
      </w:r>
      <w:r w:rsidRPr="00167CB8">
        <w:rPr>
          <w:rStyle w:val="FootnoteReference"/>
        </w:rPr>
        <w:footnoteReference w:id="457"/>
      </w:r>
      <w:r w:rsidRPr="00167CB8">
        <w:t xml:space="preserve"> </w:t>
      </w:r>
    </w:p>
    <w:p w14:paraId="0F820722" w14:textId="7E83B9C0" w:rsidR="00173F8E" w:rsidRPr="00167CB8" w:rsidRDefault="003B14A5" w:rsidP="00173F8E">
      <w:pPr>
        <w:pStyle w:val="Heading4"/>
        <w:rPr>
          <w:rFonts w:asciiTheme="minorHAnsi" w:hAnsiTheme="minorHAnsi"/>
        </w:rPr>
      </w:pPr>
      <w:bookmarkStart w:id="189" w:name="_Toc189260237"/>
      <w:bookmarkStart w:id="190" w:name="_Toc189393553"/>
      <w:r w:rsidRPr="00167CB8">
        <w:rPr>
          <w:rFonts w:asciiTheme="minorHAnsi" w:hAnsiTheme="minorHAnsi"/>
        </w:rPr>
        <w:t>12</w:t>
      </w:r>
      <w:r w:rsidR="00173F8E" w:rsidRPr="00167CB8">
        <w:rPr>
          <w:rFonts w:asciiTheme="minorHAnsi" w:hAnsiTheme="minorHAnsi"/>
        </w:rPr>
        <w:t xml:space="preserve">.3 Findings </w:t>
      </w:r>
      <w:r w:rsidR="00E220F8" w:rsidRPr="00167CB8">
        <w:rPr>
          <w:rFonts w:asciiTheme="minorHAnsi" w:hAnsiTheme="minorHAnsi"/>
        </w:rPr>
        <w:t>and r</w:t>
      </w:r>
      <w:r w:rsidR="00173F8E" w:rsidRPr="00167CB8">
        <w:rPr>
          <w:rFonts w:asciiTheme="minorHAnsi" w:hAnsiTheme="minorHAnsi"/>
        </w:rPr>
        <w:t>ecommendations</w:t>
      </w:r>
      <w:bookmarkEnd w:id="189"/>
      <w:bookmarkEnd w:id="190"/>
    </w:p>
    <w:p w14:paraId="0A586A50" w14:textId="3C9DEEC2" w:rsidR="00173F8E" w:rsidRPr="00167CB8" w:rsidRDefault="00173F8E" w:rsidP="00173F8E">
      <w:r w:rsidRPr="00167CB8">
        <w:t>There is insufficient data to make a definitive finding on whether the single</w:t>
      </w:r>
      <w:r w:rsidR="00E220F8" w:rsidRPr="00167CB8">
        <w:t>-</w:t>
      </w:r>
      <w:r w:rsidRPr="00167CB8">
        <w:t>interest employer bargaining stream is operating as intended. There have been few instances of bargaining under the single</w:t>
      </w:r>
      <w:r w:rsidR="00E220F8" w:rsidRPr="00167CB8">
        <w:t>-</w:t>
      </w:r>
      <w:r w:rsidRPr="00167CB8">
        <w:t xml:space="preserve">interest employer stream and only </w:t>
      </w:r>
      <w:r w:rsidR="00AF7FE8" w:rsidRPr="00167CB8">
        <w:t xml:space="preserve">two </w:t>
      </w:r>
      <w:r w:rsidRPr="00167CB8">
        <w:t>single</w:t>
      </w:r>
      <w:r w:rsidR="00E220F8" w:rsidRPr="00167CB8">
        <w:t>-</w:t>
      </w:r>
      <w:r w:rsidRPr="00167CB8">
        <w:t xml:space="preserve">interest employer agreements have been approved. </w:t>
      </w:r>
    </w:p>
    <w:p w14:paraId="7CF3330F" w14:textId="7A793CB3" w:rsidR="00173F8E" w:rsidRPr="00167CB8" w:rsidRDefault="00173F8E" w:rsidP="00173F8E">
      <w:r w:rsidRPr="00167CB8">
        <w:t>Consequently, the Review Panel considers it is too early to draw any significant conclusions about the amendments to the single</w:t>
      </w:r>
      <w:r w:rsidR="00E220F8" w:rsidRPr="00167CB8">
        <w:t>-</w:t>
      </w:r>
      <w:r w:rsidRPr="00167CB8">
        <w:t xml:space="preserve">interest employer stream. The stream should be given the opportunity to develop further before any amendments are considered by the Australian Government. </w:t>
      </w:r>
    </w:p>
    <w:p w14:paraId="18FAC8E7" w14:textId="181AAB25" w:rsidR="00173F8E" w:rsidRPr="00167CB8" w:rsidRDefault="00173F8E" w:rsidP="00173F8E">
      <w:r w:rsidRPr="00167CB8">
        <w:t>The Review Panel notes that there remain extensive requirements that need to be met in order to successfully obtain a single</w:t>
      </w:r>
      <w:r w:rsidR="00E220F8" w:rsidRPr="00167CB8">
        <w:t>-</w:t>
      </w:r>
      <w:r w:rsidRPr="00167CB8">
        <w:t>interest employer authorisation or vary a single</w:t>
      </w:r>
      <w:r w:rsidR="00E220F8" w:rsidRPr="00167CB8">
        <w:t>-</w:t>
      </w:r>
      <w:r w:rsidRPr="00167CB8">
        <w:t xml:space="preserve">interest employer agreement to add an employer and employees. The Review Panel </w:t>
      </w:r>
      <w:r w:rsidR="00A33A33">
        <w:t xml:space="preserve">also </w:t>
      </w:r>
      <w:r w:rsidRPr="00167CB8">
        <w:t>notes that</w:t>
      </w:r>
      <w:r w:rsidR="00E220F8" w:rsidRPr="00167CB8">
        <w:t>,</w:t>
      </w:r>
      <w:r w:rsidRPr="00167CB8">
        <w:t xml:space="preserve"> while the broader amendments to the stream are intended to enhance its use, these requirements are intended to ensure that the stream is restricted to appropriate employers. The Review Panel cannot draw conclusions on these requirements at this point due to limited evidence.  </w:t>
      </w:r>
    </w:p>
    <w:p w14:paraId="67FA0288" w14:textId="3D408E74" w:rsidR="00173F8E" w:rsidRPr="00167CB8" w:rsidRDefault="00173F8E" w:rsidP="00173F8E">
      <w:r w:rsidRPr="00167CB8">
        <w:t xml:space="preserve">The Review Panel does not share the concern of some stakeholders that further amendments are needed to </w:t>
      </w:r>
      <w:r w:rsidR="00803556">
        <w:t xml:space="preserve">stem </w:t>
      </w:r>
      <w:r w:rsidRPr="00167CB8">
        <w:t xml:space="preserve">the scope of the stream. The Review Panel acknowledges the limited evidence in relation to these amendments but considers many of the submissions to be ‘highly hypothetical’ in nature. </w:t>
      </w:r>
    </w:p>
    <w:p w14:paraId="7D401995" w14:textId="79112829" w:rsidR="00173F8E" w:rsidRPr="00167CB8" w:rsidRDefault="00173F8E" w:rsidP="00173F8E">
      <w:r w:rsidRPr="00167CB8">
        <w:t>At this time, the Review Panel does not have any evidence before it that indicates the changes to the single</w:t>
      </w:r>
      <w:r w:rsidR="00E220F8" w:rsidRPr="00167CB8">
        <w:t>-</w:t>
      </w:r>
      <w:r w:rsidRPr="00167CB8">
        <w:t xml:space="preserve">interest employer bargaining stream are or will negatively impact productivity, the labour market, or employers. The Review Panel also notes that the international experience points to potential economic benefits.  </w:t>
      </w:r>
    </w:p>
    <w:p w14:paraId="1F2264D6" w14:textId="77777777" w:rsidR="00173F8E" w:rsidRPr="00167CB8" w:rsidRDefault="00173F8E" w:rsidP="00173F8E">
      <w:r w:rsidRPr="00167CB8">
        <w:lastRenderedPageBreak/>
        <w:t xml:space="preserve">The Review Panel does not make any recommendations at this time. </w:t>
      </w:r>
    </w:p>
    <w:p w14:paraId="05833B64" w14:textId="77777777" w:rsidR="00173F8E" w:rsidRPr="00167CB8" w:rsidRDefault="00173F8E" w:rsidP="00173F8E">
      <w:pPr>
        <w:spacing w:after="160"/>
      </w:pPr>
      <w:r w:rsidRPr="00167CB8">
        <w:br w:type="page"/>
      </w:r>
    </w:p>
    <w:p w14:paraId="49964FFC" w14:textId="0D1C8932" w:rsidR="00173F8E" w:rsidRPr="00167CB8" w:rsidRDefault="00173F8E" w:rsidP="00173F8E">
      <w:pPr>
        <w:pStyle w:val="Heading3"/>
        <w:rPr>
          <w:rFonts w:asciiTheme="minorHAnsi" w:hAnsiTheme="minorHAnsi"/>
        </w:rPr>
      </w:pPr>
      <w:bookmarkStart w:id="191" w:name="_Toc189260238"/>
      <w:bookmarkStart w:id="192" w:name="_Toc189393554"/>
      <w:r w:rsidRPr="00167CB8">
        <w:rPr>
          <w:rFonts w:asciiTheme="minorHAnsi" w:hAnsiTheme="minorHAnsi"/>
        </w:rPr>
        <w:lastRenderedPageBreak/>
        <w:t>Chapter 13. Excluded work</w:t>
      </w:r>
      <w:bookmarkEnd w:id="191"/>
      <w:bookmarkEnd w:id="192"/>
    </w:p>
    <w:p w14:paraId="26875628" w14:textId="4C4C84BE" w:rsidR="00173F8E" w:rsidRPr="00167CB8" w:rsidRDefault="00173F8E" w:rsidP="00173F8E">
      <w:r w:rsidRPr="00167CB8">
        <w:t xml:space="preserve">Part 23A of Schedule 1 to the Secure Jobs, Better Pay Act inserted provisions to the multi-employer bargaining framework in the </w:t>
      </w:r>
      <w:r w:rsidRPr="00167CB8">
        <w:rPr>
          <w:rFonts w:cs="Calibri"/>
        </w:rPr>
        <w:t>Fair Work Act to exclude potential coverage of ‘general building and construction work’.</w:t>
      </w:r>
    </w:p>
    <w:p w14:paraId="31010DAE" w14:textId="1EC8DCC5" w:rsidR="00173F8E" w:rsidRPr="00167CB8" w:rsidRDefault="003B14A5" w:rsidP="00173F8E">
      <w:pPr>
        <w:pStyle w:val="Heading4"/>
      </w:pPr>
      <w:bookmarkStart w:id="193" w:name="_Toc189260239"/>
      <w:bookmarkStart w:id="194" w:name="_Toc189393555"/>
      <w:r w:rsidRPr="00167CB8">
        <w:rPr>
          <w:rFonts w:asciiTheme="minorHAnsi" w:hAnsiTheme="minorHAnsi"/>
        </w:rPr>
        <w:t>13</w:t>
      </w:r>
      <w:r w:rsidR="00173F8E" w:rsidRPr="00167CB8">
        <w:rPr>
          <w:rFonts w:asciiTheme="minorHAnsi" w:hAnsiTheme="minorHAnsi"/>
        </w:rPr>
        <w:t xml:space="preserve">.1 Amendments </w:t>
      </w:r>
      <w:r w:rsidR="00E220F8" w:rsidRPr="00167CB8">
        <w:rPr>
          <w:rFonts w:asciiTheme="minorHAnsi" w:hAnsiTheme="minorHAnsi"/>
        </w:rPr>
        <w:t>and i</w:t>
      </w:r>
      <w:r w:rsidR="00173F8E" w:rsidRPr="00167CB8">
        <w:rPr>
          <w:rFonts w:asciiTheme="minorHAnsi" w:hAnsiTheme="minorHAnsi"/>
        </w:rPr>
        <w:t>ntent</w:t>
      </w:r>
      <w:bookmarkEnd w:id="193"/>
      <w:bookmarkEnd w:id="194"/>
    </w:p>
    <w:p w14:paraId="11573E54" w14:textId="77777777" w:rsidR="00E220F8" w:rsidRPr="00167CB8" w:rsidRDefault="00173F8E" w:rsidP="003B14A5">
      <w:pPr>
        <w:rPr>
          <w:rFonts w:cs="Calibri"/>
        </w:rPr>
      </w:pPr>
      <w:r w:rsidRPr="00167CB8">
        <w:rPr>
          <w:rFonts w:cs="Calibri"/>
        </w:rPr>
        <w:t>This section briefly provides an overview of the amendments themselves and then explores the intentions behind them.</w:t>
      </w:r>
    </w:p>
    <w:p w14:paraId="10769B30" w14:textId="5A4C0E07" w:rsidR="00173F8E" w:rsidRPr="00167CB8" w:rsidRDefault="002A0E63" w:rsidP="002A0E63">
      <w:pPr>
        <w:pStyle w:val="Heading5"/>
      </w:pPr>
      <w:r w:rsidRPr="00167CB8">
        <w:t>13</w:t>
      </w:r>
      <w:r w:rsidR="00173F8E" w:rsidRPr="00167CB8">
        <w:t xml:space="preserve">.1.1 Secure Jobs, Better Pay </w:t>
      </w:r>
      <w:r w:rsidRPr="00167CB8">
        <w:t>a</w:t>
      </w:r>
      <w:r w:rsidR="00173F8E" w:rsidRPr="00167CB8">
        <w:t>mendments</w:t>
      </w:r>
      <w:r w:rsidR="00173F8E" w:rsidRPr="00167CB8" w:rsidDel="00E42AC2">
        <w:t xml:space="preserve"> </w:t>
      </w:r>
    </w:p>
    <w:p w14:paraId="312C4526" w14:textId="32574EA8" w:rsidR="00173F8E" w:rsidRPr="00167CB8" w:rsidRDefault="00173F8E" w:rsidP="00173F8E">
      <w:pPr>
        <w:rPr>
          <w:rFonts w:cs="Calibri"/>
        </w:rPr>
      </w:pPr>
      <w:r w:rsidRPr="00167CB8">
        <w:rPr>
          <w:rFonts w:cs="Calibri"/>
        </w:rPr>
        <w:t>The provisions about ‘excluded work’ have been inserted into the F</w:t>
      </w:r>
      <w:r w:rsidR="00E220F8" w:rsidRPr="00167CB8">
        <w:rPr>
          <w:rFonts w:cs="Calibri"/>
        </w:rPr>
        <w:t xml:space="preserve">air </w:t>
      </w:r>
      <w:r w:rsidRPr="00167CB8">
        <w:rPr>
          <w:rFonts w:cs="Calibri"/>
        </w:rPr>
        <w:t>W</w:t>
      </w:r>
      <w:r w:rsidR="00E220F8" w:rsidRPr="00167CB8">
        <w:rPr>
          <w:rFonts w:cs="Calibri"/>
        </w:rPr>
        <w:t>ork</w:t>
      </w:r>
      <w:r w:rsidRPr="00167CB8">
        <w:rPr>
          <w:rFonts w:cs="Calibri"/>
        </w:rPr>
        <w:t xml:space="preserve"> Act in various places. When considering the approval of a multi-employer agreement (other than a greenfields agreement), the </w:t>
      </w:r>
      <w:r w:rsidR="000C0AD5" w:rsidRPr="00167CB8">
        <w:rPr>
          <w:rFonts w:cs="Calibri"/>
        </w:rPr>
        <w:t>Fair Work Commission (</w:t>
      </w:r>
      <w:r w:rsidRPr="00167CB8">
        <w:rPr>
          <w:rFonts w:cs="Calibri"/>
        </w:rPr>
        <w:t>FWC</w:t>
      </w:r>
      <w:r w:rsidR="000C0AD5" w:rsidRPr="00167CB8">
        <w:rPr>
          <w:rFonts w:cs="Calibri"/>
        </w:rPr>
        <w:t>)</w:t>
      </w:r>
      <w:r w:rsidRPr="00167CB8">
        <w:rPr>
          <w:rFonts w:cs="Calibri"/>
        </w:rPr>
        <w:t xml:space="preserve"> must be satisfied that the agreement does not cover employees in relation to general building and construction work.</w:t>
      </w:r>
      <w:r w:rsidRPr="00167CB8">
        <w:rPr>
          <w:rFonts w:cs="Calibri"/>
          <w:vertAlign w:val="superscript"/>
        </w:rPr>
        <w:footnoteReference w:id="458"/>
      </w:r>
      <w:r w:rsidRPr="00167CB8">
        <w:rPr>
          <w:rFonts w:cs="Calibri"/>
        </w:rPr>
        <w:t xml:space="preserve"> Similarly, the FWC cannot vary a multi-employer agreement if the variation would result in the agreement covering such work.</w:t>
      </w:r>
      <w:r w:rsidRPr="00167CB8">
        <w:rPr>
          <w:rStyle w:val="FootnoteReference"/>
          <w:rFonts w:cs="Calibri"/>
        </w:rPr>
        <w:footnoteReference w:id="459"/>
      </w:r>
    </w:p>
    <w:p w14:paraId="0A658BF0" w14:textId="32C2F6FD" w:rsidR="00173F8E" w:rsidRPr="00167CB8" w:rsidRDefault="00173F8E" w:rsidP="00173F8E">
      <w:pPr>
        <w:rPr>
          <w:rFonts w:cs="Calibri"/>
        </w:rPr>
      </w:pPr>
      <w:r w:rsidRPr="00167CB8">
        <w:rPr>
          <w:rFonts w:cs="Calibri"/>
        </w:rPr>
        <w:t>General building and construction work is extensively defined in the Fair Work Act.</w:t>
      </w:r>
      <w:r w:rsidRPr="00167CB8">
        <w:rPr>
          <w:rStyle w:val="FootnoteReference"/>
          <w:rFonts w:cs="Calibri"/>
        </w:rPr>
        <w:footnoteReference w:id="460"/>
      </w:r>
      <w:r w:rsidRPr="00167CB8">
        <w:rPr>
          <w:rFonts w:cs="Calibri"/>
        </w:rPr>
        <w:t xml:space="preserve"> Primarily, building and construction work is work that is done onsite in the ‘general building and construction industry’ and the ‘civil construction industry’ as those industries are defined in the Building and Construction General On-site Award 2020.</w:t>
      </w:r>
      <w:r w:rsidRPr="00167CB8">
        <w:rPr>
          <w:rStyle w:val="FootnoteReference"/>
          <w:rFonts w:cs="Calibri"/>
        </w:rPr>
        <w:footnoteReference w:id="461"/>
      </w:r>
      <w:r w:rsidRPr="00167CB8">
        <w:rPr>
          <w:rFonts w:cs="Calibri"/>
        </w:rPr>
        <w:t xml:space="preserve"> The F</w:t>
      </w:r>
      <w:r w:rsidR="00E220F8" w:rsidRPr="00167CB8">
        <w:rPr>
          <w:rFonts w:cs="Calibri"/>
        </w:rPr>
        <w:t xml:space="preserve">air </w:t>
      </w:r>
      <w:r w:rsidRPr="00167CB8">
        <w:rPr>
          <w:rFonts w:cs="Calibri"/>
        </w:rPr>
        <w:t>W</w:t>
      </w:r>
      <w:r w:rsidR="00E220F8" w:rsidRPr="00167CB8">
        <w:rPr>
          <w:rFonts w:cs="Calibri"/>
        </w:rPr>
        <w:t>ork</w:t>
      </w:r>
      <w:r w:rsidRPr="00167CB8">
        <w:rPr>
          <w:rFonts w:cs="Calibri"/>
        </w:rPr>
        <w:t xml:space="preserve"> Act includes a further definitional list of work that is not building and construction work (e.g. work done in the metal and engineering construction industry as defined in the Building and Construction General On-site Award 2020).</w:t>
      </w:r>
      <w:r w:rsidRPr="00167CB8">
        <w:rPr>
          <w:rStyle w:val="FootnoteReference"/>
          <w:rFonts w:cs="Calibri"/>
        </w:rPr>
        <w:footnoteReference w:id="462"/>
      </w:r>
    </w:p>
    <w:p w14:paraId="74B63473" w14:textId="69F5CF85" w:rsidR="00173F8E" w:rsidRPr="00167CB8" w:rsidRDefault="00173F8E" w:rsidP="00173F8E">
      <w:pPr>
        <w:rPr>
          <w:rFonts w:cs="Calibri"/>
        </w:rPr>
      </w:pPr>
      <w:r w:rsidRPr="00167CB8">
        <w:rPr>
          <w:rFonts w:cs="Calibri"/>
        </w:rPr>
        <w:t>The exclusion is supported by other ancillary restrictions. In a similar fashion, the FWC also cannot make</w:t>
      </w:r>
      <w:r w:rsidRPr="00167CB8">
        <w:rPr>
          <w:rStyle w:val="FootnoteReference"/>
          <w:rFonts w:cs="Calibri"/>
        </w:rPr>
        <w:footnoteReference w:id="463"/>
      </w:r>
      <w:r w:rsidRPr="00167CB8">
        <w:rPr>
          <w:rFonts w:cs="Calibri"/>
        </w:rPr>
        <w:t xml:space="preserve"> or vary</w:t>
      </w:r>
      <w:r w:rsidRPr="00167CB8">
        <w:rPr>
          <w:rStyle w:val="FootnoteReference"/>
          <w:rFonts w:cs="Calibri"/>
        </w:rPr>
        <w:footnoteReference w:id="464"/>
      </w:r>
      <w:r w:rsidRPr="00167CB8">
        <w:rPr>
          <w:rFonts w:cs="Calibri"/>
        </w:rPr>
        <w:t xml:space="preserve"> a supported bargaining authorisation</w:t>
      </w:r>
      <w:r w:rsidR="00E220F8" w:rsidRPr="00167CB8">
        <w:rPr>
          <w:rFonts w:cs="Calibri"/>
        </w:rPr>
        <w:t>;</w:t>
      </w:r>
      <w:r w:rsidRPr="00167CB8">
        <w:rPr>
          <w:rFonts w:cs="Calibri"/>
        </w:rPr>
        <w:t xml:space="preserve"> vary a supported bargaining,</w:t>
      </w:r>
      <w:r w:rsidRPr="00167CB8">
        <w:rPr>
          <w:rStyle w:val="FootnoteReference"/>
          <w:rFonts w:cs="Calibri"/>
        </w:rPr>
        <w:footnoteReference w:id="465"/>
      </w:r>
      <w:r w:rsidRPr="00167CB8">
        <w:rPr>
          <w:rFonts w:cs="Calibri"/>
        </w:rPr>
        <w:t xml:space="preserve"> single</w:t>
      </w:r>
      <w:r w:rsidR="00E220F8" w:rsidRPr="00167CB8">
        <w:rPr>
          <w:rFonts w:cs="Calibri"/>
        </w:rPr>
        <w:t>-</w:t>
      </w:r>
      <w:r w:rsidRPr="00167CB8">
        <w:rPr>
          <w:rFonts w:cs="Calibri"/>
        </w:rPr>
        <w:t>interest employer</w:t>
      </w:r>
      <w:r w:rsidRPr="00167CB8">
        <w:rPr>
          <w:rStyle w:val="FootnoteReference"/>
          <w:rFonts w:cs="Calibri"/>
        </w:rPr>
        <w:footnoteReference w:id="466"/>
      </w:r>
      <w:r w:rsidRPr="00167CB8">
        <w:rPr>
          <w:rFonts w:cs="Calibri"/>
        </w:rPr>
        <w:t xml:space="preserve"> or a cooperative workplace agreement</w:t>
      </w:r>
      <w:r w:rsidR="00E220F8" w:rsidRPr="00167CB8">
        <w:rPr>
          <w:rFonts w:cs="Calibri"/>
        </w:rPr>
        <w:t>;</w:t>
      </w:r>
      <w:r w:rsidRPr="00167CB8">
        <w:rPr>
          <w:rStyle w:val="FootnoteReference"/>
          <w:rFonts w:cs="Calibri"/>
        </w:rPr>
        <w:footnoteReference w:id="467"/>
      </w:r>
      <w:r w:rsidRPr="00167CB8">
        <w:rPr>
          <w:rFonts w:cs="Calibri"/>
        </w:rPr>
        <w:t xml:space="preserve"> or make</w:t>
      </w:r>
      <w:r w:rsidRPr="00167CB8">
        <w:rPr>
          <w:rStyle w:val="FootnoteReference"/>
          <w:rFonts w:cs="Calibri"/>
        </w:rPr>
        <w:footnoteReference w:id="468"/>
      </w:r>
      <w:r w:rsidRPr="00167CB8">
        <w:rPr>
          <w:rFonts w:cs="Calibri"/>
        </w:rPr>
        <w:t xml:space="preserve"> or vary</w:t>
      </w:r>
      <w:r w:rsidRPr="00167CB8">
        <w:rPr>
          <w:rStyle w:val="FootnoteReference"/>
          <w:rFonts w:cs="Calibri"/>
        </w:rPr>
        <w:footnoteReference w:id="469"/>
      </w:r>
      <w:r w:rsidRPr="00167CB8">
        <w:rPr>
          <w:rFonts w:cs="Calibri"/>
        </w:rPr>
        <w:t xml:space="preserve"> a single</w:t>
      </w:r>
      <w:r w:rsidR="00E220F8" w:rsidRPr="00167CB8">
        <w:rPr>
          <w:rFonts w:cs="Calibri"/>
        </w:rPr>
        <w:t>-</w:t>
      </w:r>
      <w:r w:rsidRPr="00167CB8">
        <w:rPr>
          <w:rFonts w:cs="Calibri"/>
        </w:rPr>
        <w:t>interest employer authorisation if it would result in the authorisation or agreement covering employees in relation to general building and construction work. The reason, according to the Revised Explanatory Memorandum, is to remain consistent with the ‘exclusion of general building and construction work from coverage by a multi-enterprise agreement’</w:t>
      </w:r>
      <w:r w:rsidR="00E220F8" w:rsidRPr="00167CB8">
        <w:rPr>
          <w:rFonts w:cs="Calibri"/>
        </w:rPr>
        <w:t>.</w:t>
      </w:r>
      <w:r w:rsidRPr="00167CB8">
        <w:rPr>
          <w:rStyle w:val="FootnoteReference"/>
          <w:rFonts w:cs="Calibri"/>
        </w:rPr>
        <w:footnoteReference w:id="470"/>
      </w:r>
      <w:r w:rsidRPr="00167CB8">
        <w:rPr>
          <w:rFonts w:cs="Calibri"/>
        </w:rPr>
        <w:t xml:space="preserve"> </w:t>
      </w:r>
    </w:p>
    <w:p w14:paraId="0D071DCF" w14:textId="1626FE75" w:rsidR="00173F8E" w:rsidRPr="00167CB8" w:rsidRDefault="003B14A5" w:rsidP="00173F8E">
      <w:pPr>
        <w:pStyle w:val="Heading5"/>
      </w:pPr>
      <w:r w:rsidRPr="00167CB8">
        <w:lastRenderedPageBreak/>
        <w:t>13</w:t>
      </w:r>
      <w:r w:rsidR="00173F8E" w:rsidRPr="00167CB8">
        <w:t>.1.2 Intent of</w:t>
      </w:r>
      <w:r w:rsidR="00173F8E" w:rsidRPr="00167CB8">
        <w:rPr>
          <w:rFonts w:asciiTheme="minorHAnsi" w:hAnsiTheme="minorHAnsi"/>
        </w:rPr>
        <w:t xml:space="preserve"> Secure Jobs, Better Pay </w:t>
      </w:r>
      <w:r w:rsidR="00E220F8" w:rsidRPr="00167CB8">
        <w:rPr>
          <w:rFonts w:asciiTheme="minorHAnsi" w:hAnsiTheme="minorHAnsi"/>
        </w:rPr>
        <w:t>a</w:t>
      </w:r>
      <w:r w:rsidR="00173F8E" w:rsidRPr="00167CB8">
        <w:rPr>
          <w:rFonts w:asciiTheme="minorHAnsi" w:hAnsiTheme="minorHAnsi"/>
        </w:rPr>
        <w:t>mendments</w:t>
      </w:r>
    </w:p>
    <w:p w14:paraId="650F55C1" w14:textId="70FC7983" w:rsidR="00173F8E" w:rsidRPr="00167CB8" w:rsidRDefault="00173F8E" w:rsidP="00173F8E">
      <w:pPr>
        <w:rPr>
          <w:rFonts w:cs="Calibri"/>
        </w:rPr>
      </w:pPr>
      <w:r w:rsidRPr="00167CB8">
        <w:rPr>
          <w:rFonts w:cs="Calibri"/>
        </w:rPr>
        <w:t xml:space="preserve">The intent of </w:t>
      </w:r>
      <w:r w:rsidR="00E220F8" w:rsidRPr="00167CB8">
        <w:rPr>
          <w:rFonts w:cs="Calibri"/>
        </w:rPr>
        <w:t xml:space="preserve">the Secure Jobs, Better Pay amendments </w:t>
      </w:r>
      <w:r w:rsidRPr="00167CB8">
        <w:rPr>
          <w:rFonts w:cs="Calibri"/>
        </w:rPr>
        <w:t xml:space="preserve">was to ensure that the building and construction </w:t>
      </w:r>
      <w:r w:rsidR="00E220F8" w:rsidRPr="00167CB8">
        <w:rPr>
          <w:rFonts w:cs="Calibri"/>
        </w:rPr>
        <w:t xml:space="preserve">industry </w:t>
      </w:r>
      <w:r w:rsidRPr="00167CB8">
        <w:rPr>
          <w:rFonts w:cs="Calibri"/>
        </w:rPr>
        <w:t>would be excluded from multi-employer bargaining.</w:t>
      </w:r>
    </w:p>
    <w:p w14:paraId="1859B8DD" w14:textId="41DC5676" w:rsidR="00173F8E" w:rsidRPr="00167CB8" w:rsidRDefault="00173F8E" w:rsidP="00173F8E">
      <w:pPr>
        <w:rPr>
          <w:rFonts w:cs="Calibri"/>
        </w:rPr>
      </w:pPr>
      <w:r w:rsidRPr="00167CB8">
        <w:rPr>
          <w:rFonts w:cs="Calibri"/>
        </w:rPr>
        <w:t xml:space="preserve">In his second reading speech, the then Minister stated that ongoing consultation with business and unions led the Australian Government to support amendments so that </w:t>
      </w:r>
      <w:r w:rsidR="00E220F8" w:rsidRPr="00167CB8">
        <w:rPr>
          <w:rFonts w:cs="Calibri"/>
        </w:rPr>
        <w:t>‘</w:t>
      </w:r>
      <w:r w:rsidRPr="00167CB8">
        <w:rPr>
          <w:rFonts w:cs="Calibri"/>
        </w:rPr>
        <w:t>multi-employer bargaining is not extended to industries in which it is neither appropriate nor necessary</w:t>
      </w:r>
      <w:r w:rsidR="00E220F8" w:rsidRPr="00167CB8">
        <w:rPr>
          <w:rFonts w:cs="Calibri"/>
        </w:rPr>
        <w:t xml:space="preserve"> </w:t>
      </w:r>
      <w:r w:rsidR="00E220F8" w:rsidRPr="00167CB8">
        <w:rPr>
          <w:rFonts w:ascii="Symbol" w:eastAsia="Symbol" w:hAnsi="Symbol" w:cs="Symbol"/>
        </w:rPr>
        <w:sym w:font="Symbol" w:char="F02D"/>
      </w:r>
      <w:r w:rsidR="00E220F8" w:rsidRPr="00167CB8">
        <w:rPr>
          <w:rFonts w:cs="Calibri"/>
        </w:rPr>
        <w:t xml:space="preserve"> </w:t>
      </w:r>
      <w:r w:rsidRPr="00167CB8">
        <w:rPr>
          <w:rFonts w:cs="Calibri"/>
        </w:rPr>
        <w:t>in particular, commercial construction</w:t>
      </w:r>
      <w:r w:rsidR="00E220F8" w:rsidRPr="00167CB8">
        <w:rPr>
          <w:rFonts w:cs="Calibri"/>
        </w:rPr>
        <w:t>’</w:t>
      </w:r>
      <w:r w:rsidRPr="00167CB8">
        <w:rPr>
          <w:rFonts w:cs="Calibri"/>
        </w:rPr>
        <w:t>.</w:t>
      </w:r>
      <w:r w:rsidRPr="00167CB8">
        <w:rPr>
          <w:rFonts w:cs="Calibri"/>
          <w:vertAlign w:val="superscript"/>
        </w:rPr>
        <w:footnoteReference w:id="471"/>
      </w:r>
    </w:p>
    <w:p w14:paraId="4515B167" w14:textId="5F11A2E1" w:rsidR="00173F8E" w:rsidRPr="00167CB8" w:rsidRDefault="00173F8E" w:rsidP="00173F8E">
      <w:pPr>
        <w:rPr>
          <w:rFonts w:cs="Calibri"/>
        </w:rPr>
      </w:pPr>
      <w:r w:rsidRPr="00167CB8">
        <w:rPr>
          <w:rFonts w:cs="Calibri"/>
        </w:rPr>
        <w:t>The statement of compatibility with human rights in the Revised Explanatory Memorandum notes that:</w:t>
      </w:r>
      <w:r w:rsidR="000C0AD5" w:rsidRPr="00167CB8">
        <w:rPr>
          <w:vertAlign w:val="superscript"/>
        </w:rPr>
        <w:footnoteReference w:id="472"/>
      </w:r>
    </w:p>
    <w:p w14:paraId="6C43A251" w14:textId="32AA3F70" w:rsidR="00173F8E" w:rsidRPr="00167CB8" w:rsidRDefault="00173F8E" w:rsidP="00C83147">
      <w:pPr>
        <w:pStyle w:val="Quote"/>
      </w:pPr>
      <w:r w:rsidRPr="00167CB8">
        <w:t>[</w:t>
      </w:r>
      <w:r w:rsidR="00E220F8" w:rsidRPr="00167CB8">
        <w:t>W</w:t>
      </w:r>
      <w:r w:rsidRPr="00167CB8">
        <w:t>]hile work that is general building and construction work is excluded from coverage by a multi-enterprise agreement (other than a greenfields agreement), this would not in any way limit the ability of employees who perform general building and construction work to choose to join a trade union, nor limit the right of the union to represent the employee in bargaining for a single-enterprise agreement or in dispute resolution processes.</w:t>
      </w:r>
    </w:p>
    <w:p w14:paraId="79B6FED3" w14:textId="52143540" w:rsidR="00173F8E" w:rsidRPr="00167CB8" w:rsidRDefault="003B14A5" w:rsidP="00173F8E">
      <w:pPr>
        <w:pStyle w:val="Heading4"/>
        <w:rPr>
          <w:rFonts w:asciiTheme="minorHAnsi" w:hAnsiTheme="minorHAnsi"/>
        </w:rPr>
      </w:pPr>
      <w:bookmarkStart w:id="195" w:name="_Toc189260240"/>
      <w:bookmarkStart w:id="196" w:name="_Toc189393556"/>
      <w:r w:rsidRPr="00167CB8">
        <w:rPr>
          <w:rFonts w:asciiTheme="minorHAnsi" w:hAnsiTheme="minorHAnsi"/>
        </w:rPr>
        <w:t>13</w:t>
      </w:r>
      <w:r w:rsidR="00173F8E" w:rsidRPr="00167CB8">
        <w:rPr>
          <w:rFonts w:asciiTheme="minorHAnsi" w:hAnsiTheme="minorHAnsi"/>
        </w:rPr>
        <w:t xml:space="preserve">.2 Impact </w:t>
      </w:r>
      <w:r w:rsidR="00E220F8" w:rsidRPr="00167CB8">
        <w:rPr>
          <w:rFonts w:asciiTheme="minorHAnsi" w:hAnsiTheme="minorHAnsi"/>
        </w:rPr>
        <w:t>and i</w:t>
      </w:r>
      <w:r w:rsidR="00173F8E" w:rsidRPr="00167CB8">
        <w:rPr>
          <w:rFonts w:asciiTheme="minorHAnsi" w:hAnsiTheme="minorHAnsi"/>
        </w:rPr>
        <w:t>ssues</w:t>
      </w:r>
      <w:bookmarkEnd w:id="195"/>
      <w:bookmarkEnd w:id="196"/>
    </w:p>
    <w:p w14:paraId="7C5AD92A" w14:textId="77777777" w:rsidR="00173F8E" w:rsidRPr="00167CB8" w:rsidRDefault="00173F8E" w:rsidP="00173F8E">
      <w:pPr>
        <w:rPr>
          <w:rFonts w:cs="Calibri"/>
        </w:rPr>
      </w:pPr>
      <w:r w:rsidRPr="00167CB8">
        <w:rPr>
          <w:rFonts w:cs="Calibri"/>
        </w:rPr>
        <w:t>While there has been significant discussion in recent times about behaviour in the commercial building and construction industry, specific consideration of the provisions to exclude general building and construction work from multi-employer enterprise agreements has been limited.</w:t>
      </w:r>
    </w:p>
    <w:p w14:paraId="444A0B7B" w14:textId="6C4BC6C4" w:rsidR="00173F8E" w:rsidRPr="00167CB8" w:rsidRDefault="003B14A5" w:rsidP="00173F8E">
      <w:pPr>
        <w:pStyle w:val="Heading5"/>
        <w:rPr>
          <w:rFonts w:asciiTheme="minorHAnsi" w:hAnsiTheme="minorHAnsi"/>
        </w:rPr>
      </w:pPr>
      <w:r w:rsidRPr="00167CB8">
        <w:rPr>
          <w:rFonts w:asciiTheme="minorHAnsi" w:hAnsiTheme="minorHAnsi"/>
        </w:rPr>
        <w:t>13</w:t>
      </w:r>
      <w:r w:rsidR="00173F8E" w:rsidRPr="00167CB8">
        <w:rPr>
          <w:rFonts w:asciiTheme="minorHAnsi" w:hAnsiTheme="minorHAnsi"/>
        </w:rPr>
        <w:t xml:space="preserve">.2.1 Quantitative </w:t>
      </w:r>
      <w:r w:rsidR="00E220F8" w:rsidRPr="00167CB8">
        <w:rPr>
          <w:rFonts w:asciiTheme="minorHAnsi" w:hAnsiTheme="minorHAnsi"/>
        </w:rPr>
        <w:t>e</w:t>
      </w:r>
      <w:r w:rsidR="00173F8E" w:rsidRPr="00167CB8">
        <w:rPr>
          <w:rFonts w:asciiTheme="minorHAnsi" w:hAnsiTheme="minorHAnsi"/>
        </w:rPr>
        <w:t>vidence</w:t>
      </w:r>
    </w:p>
    <w:p w14:paraId="67A744D3" w14:textId="3B0FDA0A" w:rsidR="00173F8E" w:rsidRPr="00167CB8" w:rsidRDefault="00173F8E" w:rsidP="00173F8E">
      <w:pPr>
        <w:rPr>
          <w:rFonts w:cs="Calibri"/>
        </w:rPr>
      </w:pPr>
      <w:r w:rsidRPr="00167CB8">
        <w:rPr>
          <w:rFonts w:cs="Calibri"/>
        </w:rPr>
        <w:t xml:space="preserve">The Review Panel is not aware of any </w:t>
      </w:r>
      <w:r w:rsidR="00EF59C2" w:rsidRPr="00167CB8">
        <w:rPr>
          <w:rFonts w:cs="Calibri"/>
        </w:rPr>
        <w:t xml:space="preserve">significant </w:t>
      </w:r>
      <w:r w:rsidRPr="00167CB8">
        <w:rPr>
          <w:rFonts w:cs="Calibri"/>
        </w:rPr>
        <w:t>quantitative data in relation to these amendments.</w:t>
      </w:r>
    </w:p>
    <w:p w14:paraId="17083603" w14:textId="32154A56" w:rsidR="00173F8E" w:rsidRPr="00167CB8" w:rsidRDefault="003B14A5" w:rsidP="00173F8E">
      <w:pPr>
        <w:pStyle w:val="Heading5"/>
        <w:rPr>
          <w:rFonts w:asciiTheme="minorHAnsi" w:hAnsiTheme="minorHAnsi"/>
        </w:rPr>
      </w:pPr>
      <w:r w:rsidRPr="00167CB8">
        <w:rPr>
          <w:rFonts w:asciiTheme="minorHAnsi" w:hAnsiTheme="minorHAnsi"/>
        </w:rPr>
        <w:t>13</w:t>
      </w:r>
      <w:r w:rsidR="00173F8E" w:rsidRPr="00167CB8">
        <w:rPr>
          <w:rFonts w:asciiTheme="minorHAnsi" w:hAnsiTheme="minorHAnsi"/>
        </w:rPr>
        <w:t xml:space="preserve">.2.2 Qualitative </w:t>
      </w:r>
      <w:r w:rsidR="00E220F8" w:rsidRPr="00167CB8">
        <w:rPr>
          <w:rFonts w:asciiTheme="minorHAnsi" w:hAnsiTheme="minorHAnsi"/>
        </w:rPr>
        <w:t>e</w:t>
      </w:r>
      <w:r w:rsidR="00173F8E" w:rsidRPr="00167CB8">
        <w:rPr>
          <w:rFonts w:asciiTheme="minorHAnsi" w:hAnsiTheme="minorHAnsi"/>
        </w:rPr>
        <w:t>vidence</w:t>
      </w:r>
    </w:p>
    <w:p w14:paraId="310CBF06" w14:textId="77777777" w:rsidR="00173F8E" w:rsidRPr="00167CB8" w:rsidRDefault="00173F8E" w:rsidP="00173F8E">
      <w:pPr>
        <w:rPr>
          <w:rFonts w:cs="Calibri"/>
        </w:rPr>
      </w:pPr>
      <w:r w:rsidRPr="00167CB8">
        <w:rPr>
          <w:rFonts w:cs="Calibri"/>
        </w:rPr>
        <w:t xml:space="preserve">The Review Panel is aware of one matter that has considered the scope and application of the excluded work provisions. </w:t>
      </w:r>
    </w:p>
    <w:p w14:paraId="510909EB" w14:textId="020AE5C2" w:rsidR="00173F8E" w:rsidRPr="00167CB8" w:rsidRDefault="00173F8E" w:rsidP="00173F8E">
      <w:pPr>
        <w:rPr>
          <w:rFonts w:cs="Calibri"/>
        </w:rPr>
      </w:pPr>
      <w:r w:rsidRPr="00167CB8">
        <w:rPr>
          <w:rFonts w:cs="Calibri"/>
        </w:rPr>
        <w:t xml:space="preserve">In </w:t>
      </w:r>
      <w:r w:rsidRPr="00167CB8">
        <w:rPr>
          <w:rFonts w:eastAsia="Aptos" w:cs="Calibri"/>
          <w:i/>
        </w:rPr>
        <w:t>Application by CPSU, the Community and Public Sector Union</w:t>
      </w:r>
      <w:r w:rsidRPr="00167CB8">
        <w:rPr>
          <w:rFonts w:eastAsia="Aptos" w:cs="Calibri"/>
        </w:rPr>
        <w:t xml:space="preserve"> (3 June 202</w:t>
      </w:r>
      <w:r w:rsidRPr="0081141A">
        <w:rPr>
          <w:rFonts w:eastAsia="Aptos" w:cs="Calibri"/>
        </w:rPr>
        <w:t>4)</w:t>
      </w:r>
      <w:r w:rsidRPr="0081141A">
        <w:rPr>
          <w:rStyle w:val="FootnoteReference"/>
          <w:rFonts w:eastAsia="Aptos" w:cs="Calibri"/>
        </w:rPr>
        <w:footnoteReference w:id="473"/>
      </w:r>
      <w:r w:rsidRPr="0081141A">
        <w:rPr>
          <w:rFonts w:eastAsia="Aptos" w:cs="Calibri"/>
        </w:rPr>
        <w:t xml:space="preserve"> t</w:t>
      </w:r>
      <w:r w:rsidRPr="0081141A">
        <w:rPr>
          <w:rFonts w:cs="Calibri"/>
        </w:rPr>
        <w:t xml:space="preserve">he </w:t>
      </w:r>
      <w:r w:rsidRPr="00167CB8">
        <w:rPr>
          <w:rFonts w:cs="Calibri"/>
        </w:rPr>
        <w:t>FWC considered whether the employees</w:t>
      </w:r>
      <w:r w:rsidRPr="00167CB8">
        <w:rPr>
          <w:rStyle w:val="FootnoteReference"/>
          <w:rFonts w:cs="Calibri"/>
        </w:rPr>
        <w:footnoteReference w:id="474"/>
      </w:r>
      <w:r w:rsidRPr="00167CB8">
        <w:rPr>
          <w:rFonts w:cs="Calibri"/>
        </w:rPr>
        <w:t xml:space="preserve"> concerned perform work onsite in the general building and construction industry according to clause 4 of the Building and Construction General On-Site Award 2020 (BCG On-Site Award)</w:t>
      </w:r>
      <w:r w:rsidRPr="00167CB8">
        <w:rPr>
          <w:rFonts w:eastAsia="Aptos" w:cs="Calibri"/>
        </w:rPr>
        <w:t>.</w:t>
      </w:r>
      <w:r w:rsidRPr="00167CB8">
        <w:rPr>
          <w:rStyle w:val="FootnoteReference"/>
          <w:rFonts w:eastAsia="Aptos" w:cs="Calibri"/>
        </w:rPr>
        <w:footnoteReference w:id="475"/>
      </w:r>
      <w:r w:rsidRPr="00167CB8">
        <w:rPr>
          <w:rFonts w:cs="Calibri"/>
        </w:rPr>
        <w:t xml:space="preserve"> The FWC found that the employees did not perform work onsite in the general building and construction industry because the employees work in the arts and entertainment industry; the work is not performed on a building and construction site and relates to exhibitions</w:t>
      </w:r>
      <w:r w:rsidR="00E220F8" w:rsidRPr="00167CB8">
        <w:rPr>
          <w:rFonts w:cs="Calibri"/>
        </w:rPr>
        <w:t xml:space="preserve"> and </w:t>
      </w:r>
      <w:r w:rsidRPr="00167CB8">
        <w:rPr>
          <w:rFonts w:cs="Calibri"/>
        </w:rPr>
        <w:t>gallery spaces; and it does not involve construction, alteration, extension, restoration, repair, demolition or dismantling of building and structures, or installation of fittings and services (clause 4.3 BCG On-Site Award)</w:t>
      </w:r>
      <w:r w:rsidR="00E220F8" w:rsidRPr="00167CB8">
        <w:rPr>
          <w:rFonts w:cs="Calibri"/>
        </w:rPr>
        <w:t>.</w:t>
      </w:r>
      <w:r w:rsidRPr="00167CB8">
        <w:rPr>
          <w:rFonts w:cs="Calibri"/>
        </w:rPr>
        <w:t xml:space="preserve"> The FWC was satisfied </w:t>
      </w:r>
      <w:r w:rsidRPr="00167CB8">
        <w:rPr>
          <w:rFonts w:cs="Calibri"/>
        </w:rPr>
        <w:lastRenderedPageBreak/>
        <w:t>that the agreement would not cover employees in relation to general building and construction work.</w:t>
      </w:r>
      <w:r w:rsidRPr="00167CB8">
        <w:rPr>
          <w:rStyle w:val="FootnoteReference"/>
          <w:rFonts w:cs="Calibri"/>
        </w:rPr>
        <w:footnoteReference w:id="476"/>
      </w:r>
      <w:r w:rsidRPr="00167CB8">
        <w:rPr>
          <w:rFonts w:cs="Calibri"/>
        </w:rPr>
        <w:t xml:space="preserve"> </w:t>
      </w:r>
    </w:p>
    <w:p w14:paraId="62CE53D0" w14:textId="0229989C" w:rsidR="00173F8E" w:rsidRPr="00167CB8" w:rsidRDefault="003B14A5" w:rsidP="00173F8E">
      <w:pPr>
        <w:pStyle w:val="Heading5"/>
        <w:rPr>
          <w:rFonts w:asciiTheme="minorHAnsi" w:hAnsiTheme="minorHAnsi"/>
        </w:rPr>
      </w:pPr>
      <w:r w:rsidRPr="00167CB8">
        <w:rPr>
          <w:rFonts w:asciiTheme="minorHAnsi" w:hAnsiTheme="minorHAnsi"/>
        </w:rPr>
        <w:t>13</w:t>
      </w:r>
      <w:r w:rsidR="00173F8E" w:rsidRPr="00167CB8">
        <w:rPr>
          <w:rFonts w:asciiTheme="minorHAnsi" w:hAnsiTheme="minorHAnsi"/>
        </w:rPr>
        <w:t>.2.3 Stakeholder views</w:t>
      </w:r>
    </w:p>
    <w:p w14:paraId="20722B6E" w14:textId="7362A28D" w:rsidR="00173F8E" w:rsidRPr="00167CB8" w:rsidRDefault="00173F8E" w:rsidP="00173F8E">
      <w:pPr>
        <w:rPr>
          <w:rFonts w:cs="Calibri"/>
        </w:rPr>
      </w:pPr>
      <w:r w:rsidRPr="00167CB8">
        <w:rPr>
          <w:rFonts w:cs="Calibri"/>
        </w:rPr>
        <w:t>Apart from broader concerns relating to the building and construction industry, Ai Group submit</w:t>
      </w:r>
      <w:r w:rsidR="000C0AD5" w:rsidRPr="00167CB8">
        <w:rPr>
          <w:rFonts w:cs="Calibri"/>
        </w:rPr>
        <w:t>ted</w:t>
      </w:r>
      <w:r w:rsidRPr="00167CB8">
        <w:rPr>
          <w:rFonts w:cs="Calibri"/>
        </w:rPr>
        <w:t xml:space="preserve"> that the exclusion from multi-employer bargaining is important and should be retained</w:t>
      </w:r>
      <w:r w:rsidR="00E220F8" w:rsidRPr="00167CB8">
        <w:rPr>
          <w:rFonts w:cs="Calibri"/>
        </w:rPr>
        <w:t>,</w:t>
      </w:r>
      <w:r w:rsidRPr="00167CB8">
        <w:rPr>
          <w:rFonts w:cs="Calibri"/>
        </w:rPr>
        <w:t xml:space="preserve"> </w:t>
      </w:r>
      <w:r w:rsidR="00E220F8" w:rsidRPr="00167CB8">
        <w:rPr>
          <w:rFonts w:cs="Calibri"/>
        </w:rPr>
        <w:t>‘</w:t>
      </w:r>
      <w:r w:rsidRPr="00167CB8">
        <w:rPr>
          <w:rFonts w:cs="Calibri"/>
        </w:rPr>
        <w:t>particularly given the unlawful and inappropriate conduct of the Construction, Forestry and Maritime Employees Union (CFMEU) which led to the union being placed into administration</w:t>
      </w:r>
      <w:r w:rsidR="00E220F8" w:rsidRPr="00167CB8">
        <w:rPr>
          <w:rFonts w:cs="Calibri"/>
        </w:rPr>
        <w:t>’</w:t>
      </w:r>
      <w:r w:rsidRPr="00167CB8">
        <w:rPr>
          <w:rFonts w:cs="Calibri"/>
        </w:rPr>
        <w:t>.</w:t>
      </w:r>
      <w:r w:rsidRPr="00167CB8">
        <w:rPr>
          <w:rFonts w:cs="Calibri"/>
          <w:vertAlign w:val="superscript"/>
        </w:rPr>
        <w:footnoteReference w:id="477"/>
      </w:r>
      <w:r w:rsidRPr="00167CB8">
        <w:rPr>
          <w:rFonts w:cs="Calibri"/>
        </w:rPr>
        <w:t xml:space="preserve"> </w:t>
      </w:r>
      <w:r w:rsidR="000C0AD5" w:rsidRPr="00167CB8">
        <w:rPr>
          <w:rFonts w:cs="Calibri"/>
        </w:rPr>
        <w:t xml:space="preserve">Master Builders Australia </w:t>
      </w:r>
      <w:r w:rsidRPr="00167CB8">
        <w:rPr>
          <w:rFonts w:cs="Calibri"/>
        </w:rPr>
        <w:t>state</w:t>
      </w:r>
      <w:r w:rsidR="000C0AD5" w:rsidRPr="00167CB8">
        <w:rPr>
          <w:rFonts w:cs="Calibri"/>
        </w:rPr>
        <w:t>d</w:t>
      </w:r>
      <w:r w:rsidRPr="00167CB8">
        <w:rPr>
          <w:rFonts w:cs="Calibri"/>
        </w:rPr>
        <w:t xml:space="preserve"> that </w:t>
      </w:r>
      <w:r w:rsidR="000C0AD5" w:rsidRPr="00167CB8">
        <w:rPr>
          <w:rFonts w:cs="Calibri"/>
        </w:rPr>
        <w:t xml:space="preserve">it </w:t>
      </w:r>
      <w:r w:rsidR="00E220F8" w:rsidRPr="00167CB8">
        <w:rPr>
          <w:rFonts w:cs="Calibri"/>
        </w:rPr>
        <w:t>‘</w:t>
      </w:r>
      <w:r w:rsidRPr="00167CB8">
        <w:rPr>
          <w:rFonts w:cs="Calibri"/>
        </w:rPr>
        <w:t>welcomed the operation of Part 23A</w:t>
      </w:r>
      <w:r w:rsidR="00E220F8" w:rsidRPr="00167CB8">
        <w:rPr>
          <w:rFonts w:cs="Calibri"/>
        </w:rPr>
        <w:t>’,</w:t>
      </w:r>
      <w:r w:rsidRPr="00167CB8">
        <w:rPr>
          <w:rFonts w:cs="Calibri"/>
        </w:rPr>
        <w:t xml:space="preserve"> but </w:t>
      </w:r>
      <w:r w:rsidR="000C0AD5" w:rsidRPr="00167CB8">
        <w:rPr>
          <w:rFonts w:cs="Calibri"/>
        </w:rPr>
        <w:t xml:space="preserve">it </w:t>
      </w:r>
      <w:r w:rsidRPr="00167CB8">
        <w:rPr>
          <w:rFonts w:cs="Calibri"/>
        </w:rPr>
        <w:t>argue</w:t>
      </w:r>
      <w:r w:rsidR="000C0AD5" w:rsidRPr="00167CB8">
        <w:rPr>
          <w:rFonts w:cs="Calibri"/>
        </w:rPr>
        <w:t>d</w:t>
      </w:r>
      <w:r w:rsidRPr="00167CB8">
        <w:rPr>
          <w:rFonts w:cs="Calibri"/>
        </w:rPr>
        <w:t xml:space="preserve"> it has not prevented </w:t>
      </w:r>
      <w:r w:rsidR="00E220F8" w:rsidRPr="00167CB8">
        <w:rPr>
          <w:rFonts w:cs="Calibri"/>
        </w:rPr>
        <w:t>‘</w:t>
      </w:r>
      <w:r w:rsidRPr="00167CB8">
        <w:rPr>
          <w:rFonts w:cs="Calibri"/>
        </w:rPr>
        <w:t>the use of pattern union agreements with restrictive conditions and clauses that give unions unfettered control of operational matters</w:t>
      </w:r>
      <w:r w:rsidR="00E220F8" w:rsidRPr="00167CB8">
        <w:rPr>
          <w:rFonts w:cs="Calibri"/>
        </w:rPr>
        <w:t>’</w:t>
      </w:r>
      <w:r w:rsidRPr="00167CB8">
        <w:rPr>
          <w:rFonts w:cs="Calibri"/>
        </w:rPr>
        <w:t>.</w:t>
      </w:r>
      <w:r w:rsidRPr="00167CB8">
        <w:rPr>
          <w:rStyle w:val="FootnoteReference"/>
          <w:rFonts w:cs="Calibri"/>
        </w:rPr>
        <w:footnoteReference w:id="478"/>
      </w:r>
    </w:p>
    <w:p w14:paraId="56F8DEC5" w14:textId="2A02FB0D" w:rsidR="00173F8E" w:rsidRPr="00167CB8" w:rsidRDefault="00173F8E" w:rsidP="00173F8E">
      <w:pPr>
        <w:rPr>
          <w:rFonts w:cs="Calibri"/>
        </w:rPr>
      </w:pPr>
      <w:r w:rsidRPr="00167CB8">
        <w:rPr>
          <w:rFonts w:cs="Calibri"/>
        </w:rPr>
        <w:t>No other stakeholders made a submission in relation to these provisions.</w:t>
      </w:r>
    </w:p>
    <w:p w14:paraId="2487142B" w14:textId="15C41CBF" w:rsidR="00173F8E" w:rsidRPr="00167CB8" w:rsidRDefault="003B14A5" w:rsidP="00173F8E">
      <w:pPr>
        <w:pStyle w:val="Heading4"/>
        <w:rPr>
          <w:rFonts w:asciiTheme="minorHAnsi" w:hAnsiTheme="minorHAnsi"/>
        </w:rPr>
      </w:pPr>
      <w:bookmarkStart w:id="197" w:name="_Toc189260241"/>
      <w:bookmarkStart w:id="198" w:name="_Toc189393557"/>
      <w:r w:rsidRPr="00167CB8">
        <w:rPr>
          <w:rFonts w:asciiTheme="minorHAnsi" w:hAnsiTheme="minorHAnsi"/>
        </w:rPr>
        <w:t>13</w:t>
      </w:r>
      <w:r w:rsidR="00173F8E" w:rsidRPr="00167CB8">
        <w:rPr>
          <w:rFonts w:asciiTheme="minorHAnsi" w:hAnsiTheme="minorHAnsi"/>
        </w:rPr>
        <w:t xml:space="preserve">.3 Findings </w:t>
      </w:r>
      <w:r w:rsidR="00E220F8" w:rsidRPr="00167CB8">
        <w:rPr>
          <w:rFonts w:asciiTheme="minorHAnsi" w:hAnsiTheme="minorHAnsi"/>
        </w:rPr>
        <w:t>and r</w:t>
      </w:r>
      <w:r w:rsidR="00173F8E" w:rsidRPr="00167CB8">
        <w:rPr>
          <w:rFonts w:asciiTheme="minorHAnsi" w:hAnsiTheme="minorHAnsi"/>
        </w:rPr>
        <w:t>ecommendations</w:t>
      </w:r>
      <w:bookmarkEnd w:id="197"/>
      <w:bookmarkEnd w:id="198"/>
    </w:p>
    <w:p w14:paraId="6D1D7EF9" w14:textId="6B3877D0" w:rsidR="00173F8E" w:rsidRPr="00167CB8" w:rsidRDefault="00173F8E" w:rsidP="00173F8E">
      <w:pPr>
        <w:rPr>
          <w:rFonts w:cs="Calibri"/>
        </w:rPr>
      </w:pPr>
      <w:r w:rsidRPr="00167CB8">
        <w:rPr>
          <w:rFonts w:cs="Calibri"/>
        </w:rPr>
        <w:t>The Review Panel has made findings (in Chapter</w:t>
      </w:r>
      <w:r w:rsidR="001227D8">
        <w:rPr>
          <w:rFonts w:cs="Calibri"/>
        </w:rPr>
        <w:t>s</w:t>
      </w:r>
      <w:r w:rsidRPr="00167CB8">
        <w:rPr>
          <w:rFonts w:cs="Calibri"/>
        </w:rPr>
        <w:t xml:space="preserve"> </w:t>
      </w:r>
      <w:r w:rsidR="001227D8">
        <w:rPr>
          <w:rFonts w:cs="Calibri"/>
        </w:rPr>
        <w:t xml:space="preserve">4 &amp; </w:t>
      </w:r>
      <w:r w:rsidR="006631DC" w:rsidRPr="00167CB8">
        <w:rPr>
          <w:rFonts w:cs="Calibri"/>
        </w:rPr>
        <w:t>5</w:t>
      </w:r>
      <w:r w:rsidRPr="00167CB8">
        <w:rPr>
          <w:rFonts w:cs="Calibri"/>
        </w:rPr>
        <w:t>) in relation to amendments impacting the regulation of the building and construction industry more broadly.</w:t>
      </w:r>
    </w:p>
    <w:p w14:paraId="1F9D0FFE" w14:textId="77777777" w:rsidR="00173F8E" w:rsidRPr="00167CB8" w:rsidRDefault="00173F8E" w:rsidP="00173F8E">
      <w:pPr>
        <w:rPr>
          <w:rFonts w:cs="Calibri"/>
        </w:rPr>
      </w:pPr>
      <w:r w:rsidRPr="00167CB8">
        <w:rPr>
          <w:rFonts w:cs="Calibri"/>
        </w:rPr>
        <w:t xml:space="preserve">The Review Panel has not identified any unintended consequences of the amendments to date. This finding must be understood in the context of limited data and consideration of the amendments, particularly in the broader discussion about the building and construction industry that has immediately preceded this report. In particular, it is possible in the future a form of multi-employer bargaining may become a realistic, even desirable, part of large-scale construction projects. </w:t>
      </w:r>
    </w:p>
    <w:p w14:paraId="00880C0B" w14:textId="485E3555" w:rsidR="00173F8E" w:rsidRPr="00167CB8" w:rsidRDefault="00EE0AA9" w:rsidP="00173F8E">
      <w:pPr>
        <w:spacing w:after="160"/>
        <w:rPr>
          <w:rFonts w:cs="Calibri"/>
        </w:rPr>
      </w:pPr>
      <w:r w:rsidRPr="00167CB8">
        <w:rPr>
          <w:rFonts w:cs="Calibri"/>
        </w:rPr>
        <w:t xml:space="preserve">The Review Panel does not make any recommendations at this time. </w:t>
      </w:r>
      <w:r w:rsidR="00173F8E" w:rsidRPr="00167CB8">
        <w:rPr>
          <w:rFonts w:cs="Calibri"/>
        </w:rPr>
        <w:br w:type="page"/>
      </w:r>
    </w:p>
    <w:p w14:paraId="7E42A6A2" w14:textId="5DCD5D6F" w:rsidR="00173F8E" w:rsidRPr="00167CB8" w:rsidRDefault="00173F8E" w:rsidP="00173F8E">
      <w:pPr>
        <w:pStyle w:val="Heading3"/>
        <w:rPr>
          <w:rFonts w:asciiTheme="minorHAnsi" w:hAnsiTheme="minorHAnsi"/>
        </w:rPr>
      </w:pPr>
      <w:bookmarkStart w:id="199" w:name="_Toc189260242"/>
      <w:bookmarkStart w:id="200" w:name="_Toc189393558"/>
      <w:r w:rsidRPr="00167CB8">
        <w:rPr>
          <w:rFonts w:asciiTheme="minorHAnsi" w:hAnsiTheme="minorHAnsi"/>
        </w:rPr>
        <w:lastRenderedPageBreak/>
        <w:t xml:space="preserve">Chapter </w:t>
      </w:r>
      <w:r w:rsidR="003A22EE" w:rsidRPr="00167CB8">
        <w:rPr>
          <w:rFonts w:asciiTheme="minorHAnsi" w:hAnsiTheme="minorHAnsi"/>
        </w:rPr>
        <w:t>14</w:t>
      </w:r>
      <w:r w:rsidRPr="00167CB8">
        <w:rPr>
          <w:rFonts w:asciiTheme="minorHAnsi" w:hAnsiTheme="minorHAnsi"/>
        </w:rPr>
        <w:t>. Bargaining disputes</w:t>
      </w:r>
      <w:bookmarkEnd w:id="199"/>
      <w:bookmarkEnd w:id="200"/>
      <w:r w:rsidRPr="00167CB8">
        <w:rPr>
          <w:rFonts w:asciiTheme="minorHAnsi" w:hAnsiTheme="minorHAnsi"/>
        </w:rPr>
        <w:t xml:space="preserve"> </w:t>
      </w:r>
    </w:p>
    <w:p w14:paraId="30008311" w14:textId="1E23CCBD" w:rsidR="00173F8E" w:rsidRPr="00167CB8" w:rsidRDefault="00173F8E" w:rsidP="00173F8E">
      <w:r w:rsidRPr="00167CB8">
        <w:t xml:space="preserve">Part 18 of Schedule 1 to the Secure Jobs, Better Pay Act changed the way the </w:t>
      </w:r>
      <w:r w:rsidR="000C0AD5" w:rsidRPr="00167CB8">
        <w:t>Fair Work Commission (</w:t>
      </w:r>
      <w:r w:rsidRPr="00167CB8">
        <w:t>FWC</w:t>
      </w:r>
      <w:r w:rsidR="000C0AD5" w:rsidRPr="00167CB8">
        <w:t>)</w:t>
      </w:r>
      <w:r w:rsidRPr="00167CB8">
        <w:t xml:space="preserve"> can deal with bargaining disputes by introducing provisions relating to intractable bargaining declarations (IBD) and intractable bargaining workplace determinations (IBWD). </w:t>
      </w:r>
    </w:p>
    <w:p w14:paraId="1EB0F2E7" w14:textId="271B251F" w:rsidR="00173F8E" w:rsidRPr="00167CB8" w:rsidRDefault="003B14A5" w:rsidP="00173F8E">
      <w:pPr>
        <w:pStyle w:val="Heading4"/>
        <w:rPr>
          <w:rFonts w:asciiTheme="minorHAnsi" w:hAnsiTheme="minorHAnsi"/>
        </w:rPr>
      </w:pPr>
      <w:bookmarkStart w:id="201" w:name="_Toc189260243"/>
      <w:bookmarkStart w:id="202" w:name="_Toc189393559"/>
      <w:r w:rsidRPr="00167CB8">
        <w:rPr>
          <w:rFonts w:asciiTheme="minorHAnsi" w:hAnsiTheme="minorHAnsi"/>
        </w:rPr>
        <w:t>14</w:t>
      </w:r>
      <w:r w:rsidR="00173F8E" w:rsidRPr="00167CB8">
        <w:rPr>
          <w:rFonts w:asciiTheme="minorHAnsi" w:hAnsiTheme="minorHAnsi"/>
        </w:rPr>
        <w:t xml:space="preserve">.1 Amendments </w:t>
      </w:r>
      <w:r w:rsidR="000348D3" w:rsidRPr="00167CB8">
        <w:rPr>
          <w:rFonts w:asciiTheme="minorHAnsi" w:hAnsiTheme="minorHAnsi"/>
        </w:rPr>
        <w:t>and i</w:t>
      </w:r>
      <w:r w:rsidR="00173F8E" w:rsidRPr="00167CB8">
        <w:rPr>
          <w:rFonts w:asciiTheme="minorHAnsi" w:hAnsiTheme="minorHAnsi"/>
        </w:rPr>
        <w:t>ntent</w:t>
      </w:r>
      <w:bookmarkEnd w:id="201"/>
      <w:bookmarkEnd w:id="202"/>
    </w:p>
    <w:p w14:paraId="05634596" w14:textId="77F40DA9" w:rsidR="00173F8E" w:rsidRPr="00167CB8" w:rsidRDefault="00173F8E" w:rsidP="00173F8E">
      <w:pPr>
        <w:rPr>
          <w:rFonts w:eastAsia="Aptos" w:cs="Aptos"/>
        </w:rPr>
      </w:pPr>
      <w:r w:rsidRPr="00167CB8">
        <w:t>Prior to the Secure Jobs, Better Pay amendments, the FWC only had limited power to resolve bargaining disputes, ‘if all parties agree[d] to the Fair Work Commission making a decision’.</w:t>
      </w:r>
      <w:r w:rsidRPr="00167CB8">
        <w:rPr>
          <w:vertAlign w:val="superscript"/>
        </w:rPr>
        <w:footnoteReference w:id="479"/>
      </w:r>
      <w:r w:rsidRPr="00167CB8">
        <w:t xml:space="preserve"> The effect of this limitation was said to be that </w:t>
      </w:r>
      <w:r w:rsidR="000348D3" w:rsidRPr="00167CB8">
        <w:t>‘</w:t>
      </w:r>
      <w:r w:rsidRPr="00167CB8">
        <w:t>parties …</w:t>
      </w:r>
      <w:r w:rsidR="000348D3" w:rsidRPr="00167CB8">
        <w:t xml:space="preserve"> </w:t>
      </w:r>
      <w:r w:rsidRPr="00167CB8">
        <w:t>[were] not incentivised to bargain reasonably with one another, which can lead to protracted disputes</w:t>
      </w:r>
      <w:r w:rsidR="0081141A">
        <w:t>.</w:t>
      </w:r>
      <w:r w:rsidR="000348D3" w:rsidRPr="00167CB8">
        <w:t>’</w:t>
      </w:r>
      <w:r w:rsidRPr="00167CB8">
        <w:rPr>
          <w:vertAlign w:val="superscript"/>
        </w:rPr>
        <w:footnoteReference w:id="480"/>
      </w:r>
      <w:r w:rsidRPr="00167CB8">
        <w:t xml:space="preserve"> </w:t>
      </w:r>
    </w:p>
    <w:p w14:paraId="4C7151C6" w14:textId="369C26B6" w:rsidR="00173F8E" w:rsidRPr="00167CB8" w:rsidRDefault="00173F8E" w:rsidP="00173F8E">
      <w:pPr>
        <w:rPr>
          <w:rFonts w:eastAsia="Aptos" w:cs="Aptos"/>
        </w:rPr>
      </w:pPr>
      <w:r w:rsidRPr="00167CB8">
        <w:rPr>
          <w:rFonts w:eastAsia="Aptos" w:cs="Aptos"/>
        </w:rPr>
        <w:t>In addition to this (limited) power to resolve bargaining disputes (mostly by conciliation)</w:t>
      </w:r>
      <w:r w:rsidR="000348D3" w:rsidRPr="00167CB8">
        <w:rPr>
          <w:rFonts w:eastAsia="Aptos" w:cs="Aptos"/>
        </w:rPr>
        <w:t>,</w:t>
      </w:r>
      <w:r w:rsidRPr="00167CB8">
        <w:rPr>
          <w:rStyle w:val="FootnoteReference"/>
          <w:rFonts w:eastAsia="Aptos" w:cs="Aptos"/>
        </w:rPr>
        <w:footnoteReference w:id="481"/>
      </w:r>
      <w:r w:rsidRPr="00167CB8">
        <w:rPr>
          <w:rFonts w:eastAsia="Aptos" w:cs="Aptos"/>
        </w:rPr>
        <w:t xml:space="preserve"> the FWC was limited to resolving bargaining disputes through a process of serious breach declarations and bargaining-related workplace determinations.</w:t>
      </w:r>
      <w:r w:rsidRPr="00167CB8">
        <w:rPr>
          <w:rStyle w:val="FootnoteReference"/>
          <w:rFonts w:eastAsia="Aptos" w:cs="Aptos"/>
        </w:rPr>
        <w:footnoteReference w:id="482"/>
      </w:r>
      <w:r w:rsidRPr="00167CB8">
        <w:rPr>
          <w:rFonts w:eastAsia="Aptos" w:cs="Aptos"/>
        </w:rPr>
        <w:t xml:space="preserve"> In the Revised Explanatory Memorandum, it was stated that </w:t>
      </w:r>
      <w:r w:rsidR="000348D3" w:rsidRPr="00167CB8">
        <w:rPr>
          <w:rFonts w:eastAsia="Aptos" w:cs="Aptos"/>
        </w:rPr>
        <w:t>‘</w:t>
      </w:r>
      <w:r w:rsidRPr="00167CB8">
        <w:rPr>
          <w:rFonts w:eastAsia="Aptos" w:cs="Aptos"/>
        </w:rPr>
        <w:t>these provisions have not been effective in assisting parties to resolve bargaining disputes</w:t>
      </w:r>
      <w:r w:rsidR="0081141A">
        <w:rPr>
          <w:rFonts w:eastAsia="Aptos" w:cs="Aptos"/>
        </w:rPr>
        <w:t>.</w:t>
      </w:r>
      <w:r w:rsidR="000348D3" w:rsidRPr="00167CB8">
        <w:rPr>
          <w:rFonts w:eastAsia="Aptos" w:cs="Aptos"/>
        </w:rPr>
        <w:t>’</w:t>
      </w:r>
      <w:r w:rsidRPr="00167CB8">
        <w:rPr>
          <w:rStyle w:val="FootnoteReference"/>
          <w:rFonts w:eastAsia="Aptos" w:cs="Aptos"/>
        </w:rPr>
        <w:footnoteReference w:id="483"/>
      </w:r>
    </w:p>
    <w:p w14:paraId="325B014E" w14:textId="23F3BD77" w:rsidR="00173F8E" w:rsidRPr="00167CB8" w:rsidRDefault="003B14A5" w:rsidP="00173F8E">
      <w:pPr>
        <w:pStyle w:val="Heading5"/>
        <w:rPr>
          <w:rFonts w:asciiTheme="minorHAnsi" w:hAnsiTheme="minorHAnsi"/>
        </w:rPr>
      </w:pPr>
      <w:r w:rsidRPr="00167CB8">
        <w:rPr>
          <w:rFonts w:asciiTheme="minorHAnsi" w:hAnsiTheme="minorHAnsi"/>
        </w:rPr>
        <w:t>14</w:t>
      </w:r>
      <w:r w:rsidR="00173F8E" w:rsidRPr="00167CB8">
        <w:rPr>
          <w:rFonts w:asciiTheme="minorHAnsi" w:hAnsiTheme="minorHAnsi"/>
        </w:rPr>
        <w:t xml:space="preserve">.1.1 Secure Jobs, Better Pay </w:t>
      </w:r>
      <w:r w:rsidR="000348D3" w:rsidRPr="00167CB8">
        <w:rPr>
          <w:rFonts w:asciiTheme="minorHAnsi" w:hAnsiTheme="minorHAnsi"/>
        </w:rPr>
        <w:t>a</w:t>
      </w:r>
      <w:r w:rsidR="00173F8E" w:rsidRPr="00167CB8">
        <w:rPr>
          <w:rFonts w:asciiTheme="minorHAnsi" w:hAnsiTheme="minorHAnsi"/>
        </w:rPr>
        <w:t>mendments</w:t>
      </w:r>
      <w:r w:rsidR="00173F8E" w:rsidRPr="00167CB8" w:rsidDel="00E42AC2">
        <w:rPr>
          <w:rFonts w:asciiTheme="minorHAnsi" w:hAnsiTheme="minorHAnsi"/>
        </w:rPr>
        <w:t xml:space="preserve"> </w:t>
      </w:r>
    </w:p>
    <w:p w14:paraId="684DE826" w14:textId="2B5E8DD4" w:rsidR="00173F8E" w:rsidRPr="00167CB8" w:rsidRDefault="00173F8E" w:rsidP="00173F8E">
      <w:pPr>
        <w:rPr>
          <w:rFonts w:eastAsia="Aptos" w:cs="Aptos"/>
        </w:rPr>
      </w:pPr>
      <w:r w:rsidRPr="00167CB8">
        <w:rPr>
          <w:rFonts w:eastAsia="Aptos" w:cs="Aptos"/>
        </w:rPr>
        <w:t>The Secure Jobs, Better Pay Act amendments inserted</w:t>
      </w:r>
      <w:r w:rsidR="00AA2F63" w:rsidRPr="00167CB8">
        <w:rPr>
          <w:rFonts w:eastAsia="Aptos" w:cs="Aptos"/>
        </w:rPr>
        <w:t>,</w:t>
      </w:r>
      <w:r w:rsidRPr="00167CB8">
        <w:rPr>
          <w:rFonts w:eastAsia="Aptos" w:cs="Aptos"/>
        </w:rPr>
        <w:t xml:space="preserve"> </w:t>
      </w:r>
      <w:r w:rsidR="00A81DD6" w:rsidRPr="00167CB8">
        <w:rPr>
          <w:rFonts w:eastAsia="Aptos" w:cs="Aptos"/>
        </w:rPr>
        <w:t xml:space="preserve">into Subdivision B of Division 8 of Part 2-4 of the Fair Work Act, </w:t>
      </w:r>
      <w:r w:rsidRPr="00167CB8">
        <w:rPr>
          <w:rFonts w:eastAsia="Aptos" w:cs="Aptos"/>
        </w:rPr>
        <w:t xml:space="preserve">provisions that allow a bargaining representative to apply to the FWC for an IBD for a proposed enterprise agreement (other than a greenfields agreement). An application for an IBD cannot be made in relation to a cooperative workplace agreement, although it can for the other </w:t>
      </w:r>
      <w:r w:rsidR="000348D3" w:rsidRPr="00167CB8">
        <w:rPr>
          <w:rFonts w:eastAsia="Aptos" w:cs="Aptos"/>
        </w:rPr>
        <w:t xml:space="preserve">2 </w:t>
      </w:r>
      <w:r w:rsidRPr="00167CB8">
        <w:rPr>
          <w:rFonts w:eastAsia="Aptos" w:cs="Aptos"/>
        </w:rPr>
        <w:t>forms of multi-employer bargaining (i.e. supported bargaining and single</w:t>
      </w:r>
      <w:r w:rsidR="000348D3" w:rsidRPr="00167CB8">
        <w:rPr>
          <w:rFonts w:eastAsia="Aptos" w:cs="Aptos"/>
        </w:rPr>
        <w:t>-</w:t>
      </w:r>
      <w:r w:rsidRPr="00167CB8">
        <w:rPr>
          <w:rFonts w:eastAsia="Aptos" w:cs="Aptos"/>
        </w:rPr>
        <w:t>interest bargaining).</w:t>
      </w:r>
      <w:r w:rsidRPr="00167CB8">
        <w:rPr>
          <w:rFonts w:eastAsia="Aptos" w:cs="Aptos"/>
          <w:vertAlign w:val="superscript"/>
        </w:rPr>
        <w:footnoteReference w:id="484"/>
      </w:r>
      <w:r w:rsidRPr="00167CB8">
        <w:rPr>
          <w:rFonts w:eastAsia="Aptos" w:cs="Aptos"/>
        </w:rPr>
        <w:t xml:space="preserve"> </w:t>
      </w:r>
    </w:p>
    <w:p w14:paraId="0FCFD957" w14:textId="58150B43" w:rsidR="00173F8E" w:rsidRPr="00167CB8" w:rsidRDefault="005B6DF8" w:rsidP="00173F8E">
      <w:pPr>
        <w:rPr>
          <w:rFonts w:eastAsia="Aptos" w:cs="Aptos"/>
        </w:rPr>
      </w:pPr>
      <w:r w:rsidRPr="00167CB8">
        <w:rPr>
          <w:rFonts w:eastAsia="Aptos" w:cs="Aptos"/>
        </w:rPr>
        <w:t xml:space="preserve">Relevantly, the </w:t>
      </w:r>
      <w:r w:rsidR="00173F8E" w:rsidRPr="00167CB8">
        <w:rPr>
          <w:rFonts w:eastAsia="Aptos" w:cs="Aptos"/>
        </w:rPr>
        <w:t xml:space="preserve">FWC may make an IBD in relation to a proposed enterprise agreement if an application has been made and it is after the </w:t>
      </w:r>
      <w:r w:rsidR="000348D3" w:rsidRPr="00167CB8">
        <w:rPr>
          <w:rFonts w:eastAsia="Aptos" w:cs="Aptos"/>
        </w:rPr>
        <w:t>‘</w:t>
      </w:r>
      <w:r w:rsidR="00173F8E" w:rsidRPr="00167CB8">
        <w:rPr>
          <w:rFonts w:eastAsia="Aptos" w:cs="Aptos"/>
        </w:rPr>
        <w:t>minimum bargaining period</w:t>
      </w:r>
      <w:r w:rsidR="000348D3" w:rsidRPr="00167CB8">
        <w:rPr>
          <w:rFonts w:eastAsia="Aptos" w:cs="Aptos"/>
        </w:rPr>
        <w:t>’</w:t>
      </w:r>
      <w:r w:rsidR="00173F8E" w:rsidRPr="00167CB8">
        <w:rPr>
          <w:rFonts w:eastAsia="Aptos" w:cs="Aptos"/>
        </w:rPr>
        <w:t>.</w:t>
      </w:r>
      <w:r w:rsidR="00173F8E" w:rsidRPr="00167CB8">
        <w:rPr>
          <w:rFonts w:eastAsia="Aptos" w:cs="Aptos"/>
          <w:vertAlign w:val="superscript"/>
        </w:rPr>
        <w:footnoteReference w:id="485"/>
      </w:r>
    </w:p>
    <w:p w14:paraId="33D1A8C9" w14:textId="3A790441" w:rsidR="00173F8E" w:rsidRPr="00167CB8" w:rsidRDefault="00173F8E" w:rsidP="00173F8E">
      <w:pPr>
        <w:rPr>
          <w:rFonts w:eastAsia="Aptos" w:cs="Aptos"/>
        </w:rPr>
      </w:pPr>
      <w:r w:rsidRPr="00167CB8">
        <w:rPr>
          <w:rFonts w:eastAsia="Aptos" w:cs="Aptos"/>
        </w:rPr>
        <w:t>The end of the minimum bargaining period is set out in s</w:t>
      </w:r>
      <w:r w:rsidR="000348D3" w:rsidRPr="00167CB8">
        <w:rPr>
          <w:rFonts w:eastAsia="Aptos" w:cs="Aptos"/>
        </w:rPr>
        <w:t> </w:t>
      </w:r>
      <w:r w:rsidRPr="00167CB8">
        <w:rPr>
          <w:rFonts w:eastAsia="Aptos" w:cs="Aptos"/>
        </w:rPr>
        <w:t>235(5) of the Fair Work Act:</w:t>
      </w:r>
    </w:p>
    <w:p w14:paraId="0D44FA1E" w14:textId="1F85DF7F" w:rsidR="00173F8E" w:rsidRPr="00167CB8" w:rsidRDefault="00173F8E" w:rsidP="00567FCA">
      <w:pPr>
        <w:pStyle w:val="Quote"/>
        <w:numPr>
          <w:ilvl w:val="0"/>
          <w:numId w:val="32"/>
        </w:numPr>
      </w:pPr>
      <w:r w:rsidRPr="00167CB8">
        <w:t>if one or more enterprise agreements (the </w:t>
      </w:r>
      <w:r w:rsidRPr="00167CB8">
        <w:rPr>
          <w:b/>
          <w:i/>
        </w:rPr>
        <w:t>existing agreements</w:t>
      </w:r>
      <w:r w:rsidRPr="00167CB8">
        <w:t>) apply to any of the employees that will be covered by the proposed agreement</w:t>
      </w:r>
      <w:r w:rsidR="000348D3" w:rsidRPr="00167CB8">
        <w:t xml:space="preserve"> </w:t>
      </w:r>
      <w:r w:rsidR="000348D3" w:rsidRPr="00167CB8">
        <w:rPr>
          <w:rFonts w:ascii="Symbol" w:eastAsia="Symbol" w:hAnsi="Symbol" w:cs="Symbol"/>
        </w:rPr>
        <w:sym w:font="Symbol" w:char="F02D"/>
      </w:r>
      <w:r w:rsidR="000348D3" w:rsidRPr="00167CB8">
        <w:t xml:space="preserve"> </w:t>
      </w:r>
      <w:r w:rsidRPr="00167CB8">
        <w:t>the later of the following:</w:t>
      </w:r>
    </w:p>
    <w:p w14:paraId="2A3C153C" w14:textId="6C354F2D" w:rsidR="00173F8E" w:rsidRPr="00167CB8" w:rsidRDefault="00173F8E" w:rsidP="00567FCA">
      <w:pPr>
        <w:pStyle w:val="Quote"/>
        <w:numPr>
          <w:ilvl w:val="0"/>
          <w:numId w:val="33"/>
        </w:numPr>
      </w:pPr>
      <w:r w:rsidRPr="00167CB8">
        <w:lastRenderedPageBreak/>
        <w:t>the day that is 9 months after the nominal expiry date for that existing agreement, or the latest nominal expiry date for those existing agreements;</w:t>
      </w:r>
    </w:p>
    <w:p w14:paraId="5E076B72" w14:textId="6DDBDAA2" w:rsidR="00173F8E" w:rsidRPr="00167CB8" w:rsidRDefault="00173F8E" w:rsidP="00567FCA">
      <w:pPr>
        <w:pStyle w:val="Quote"/>
        <w:numPr>
          <w:ilvl w:val="0"/>
          <w:numId w:val="33"/>
        </w:numPr>
      </w:pPr>
      <w:r w:rsidRPr="00167CB8">
        <w:t>the day that is 9 months after the day bargaining starts, as worked out under subsection (6); or</w:t>
      </w:r>
    </w:p>
    <w:p w14:paraId="5DB1EDA6" w14:textId="265F6E57" w:rsidR="00173F8E" w:rsidRPr="00167CB8" w:rsidRDefault="00173F8E" w:rsidP="00567FCA">
      <w:pPr>
        <w:pStyle w:val="Quote"/>
        <w:numPr>
          <w:ilvl w:val="0"/>
          <w:numId w:val="32"/>
        </w:numPr>
      </w:pPr>
      <w:r w:rsidRPr="00167CB8">
        <w:t>the day that is 9 months after the day bargaining starts, as worked out under subsection (6).”</w:t>
      </w:r>
      <w:r w:rsidRPr="00167CB8">
        <w:rPr>
          <w:rStyle w:val="FootnoteReference"/>
          <w:rFonts w:eastAsia="Aptos" w:cs="Aptos"/>
        </w:rPr>
        <w:footnoteReference w:id="486"/>
      </w:r>
    </w:p>
    <w:p w14:paraId="0DF6CF1A" w14:textId="09F20001" w:rsidR="00173F8E" w:rsidRPr="00167CB8" w:rsidRDefault="00173F8E" w:rsidP="00173F8E">
      <w:pPr>
        <w:rPr>
          <w:rFonts w:eastAsia="Aptos" w:cs="Aptos"/>
        </w:rPr>
      </w:pPr>
      <w:r w:rsidRPr="00167CB8">
        <w:rPr>
          <w:rFonts w:eastAsia="Aptos" w:cs="Aptos"/>
        </w:rPr>
        <w:t>The day bargaining starts for a proposed agreement is set out in s</w:t>
      </w:r>
      <w:r w:rsidR="000348D3" w:rsidRPr="00167CB8">
        <w:rPr>
          <w:rFonts w:eastAsia="Aptos" w:cs="Aptos"/>
        </w:rPr>
        <w:t> </w:t>
      </w:r>
      <w:r w:rsidRPr="00167CB8">
        <w:rPr>
          <w:rFonts w:eastAsia="Aptos" w:cs="Aptos"/>
        </w:rPr>
        <w:t>235(6) of the Fair Work Act:</w:t>
      </w:r>
    </w:p>
    <w:p w14:paraId="5073CB19" w14:textId="6463231F" w:rsidR="00173F8E" w:rsidRPr="00167CB8" w:rsidRDefault="00173F8E" w:rsidP="00567FCA">
      <w:pPr>
        <w:pStyle w:val="Quote"/>
        <w:numPr>
          <w:ilvl w:val="0"/>
          <w:numId w:val="34"/>
        </w:numPr>
      </w:pPr>
      <w:r w:rsidRPr="00167CB8">
        <w:t>if a supported bargaining authorisation or single interest employer authorisation is in operation in relation to the proposed agreement</w:t>
      </w:r>
      <w:r w:rsidR="000348D3" w:rsidRPr="00167CB8">
        <w:t xml:space="preserve"> </w:t>
      </w:r>
      <w:r w:rsidR="000348D3" w:rsidRPr="00167CB8">
        <w:rPr>
          <w:rFonts w:ascii="Symbol" w:eastAsia="Symbol" w:hAnsi="Symbol" w:cs="Symbol"/>
        </w:rPr>
        <w:sym w:font="Symbol" w:char="F02D"/>
      </w:r>
      <w:r w:rsidR="000348D3" w:rsidRPr="00167CB8">
        <w:t xml:space="preserve"> </w:t>
      </w:r>
      <w:r w:rsidRPr="00167CB8">
        <w:t>the day that the authorisation first comes into operation; or</w:t>
      </w:r>
    </w:p>
    <w:p w14:paraId="05434FD5" w14:textId="197D0783" w:rsidR="00173F8E" w:rsidRPr="00167CB8" w:rsidRDefault="00173F8E" w:rsidP="00567FCA">
      <w:pPr>
        <w:pStyle w:val="Quote"/>
        <w:numPr>
          <w:ilvl w:val="0"/>
          <w:numId w:val="34"/>
        </w:numPr>
      </w:pPr>
      <w:r w:rsidRPr="00167CB8">
        <w:t>otherwise</w:t>
      </w:r>
      <w:r w:rsidR="000348D3" w:rsidRPr="00167CB8">
        <w:t xml:space="preserve"> </w:t>
      </w:r>
      <w:r w:rsidR="000348D3" w:rsidRPr="00167CB8">
        <w:rPr>
          <w:rFonts w:ascii="Symbol" w:eastAsia="Symbol" w:hAnsi="Symbol" w:cs="Symbol"/>
        </w:rPr>
        <w:sym w:font="Symbol" w:char="F02D"/>
      </w:r>
      <w:r w:rsidR="000348D3" w:rsidRPr="00167CB8">
        <w:t xml:space="preserve"> </w:t>
      </w:r>
      <w:r w:rsidRPr="00167CB8">
        <w:t>the notification time for the proposed agreement.</w:t>
      </w:r>
      <w:r w:rsidRPr="00167CB8">
        <w:rPr>
          <w:rStyle w:val="FootnoteReference"/>
        </w:rPr>
        <w:footnoteReference w:id="487"/>
      </w:r>
    </w:p>
    <w:p w14:paraId="025A5861" w14:textId="349EC38C" w:rsidR="00173F8E" w:rsidRPr="00167CB8" w:rsidRDefault="00173F8E" w:rsidP="00173F8E">
      <w:pPr>
        <w:rPr>
          <w:rFonts w:eastAsia="Aptos" w:cs="Aptos"/>
        </w:rPr>
      </w:pPr>
      <w:r w:rsidRPr="00167CB8">
        <w:rPr>
          <w:rFonts w:eastAsia="Aptos" w:cs="Aptos"/>
        </w:rPr>
        <w:t>Prior to making an IBD, the FWC must be satisfied that:</w:t>
      </w:r>
      <w:r w:rsidR="000348D3" w:rsidRPr="00167CB8">
        <w:rPr>
          <w:rStyle w:val="FootnoteReference"/>
          <w:rFonts w:eastAsia="Aptos" w:cs="Aptos"/>
        </w:rPr>
        <w:footnoteReference w:id="488"/>
      </w:r>
    </w:p>
    <w:p w14:paraId="5EFD24FA" w14:textId="6A684D59" w:rsidR="00173F8E" w:rsidRPr="00167CB8" w:rsidRDefault="00173F8E" w:rsidP="00567FCA">
      <w:pPr>
        <w:pStyle w:val="Quote"/>
        <w:numPr>
          <w:ilvl w:val="0"/>
          <w:numId w:val="35"/>
        </w:numPr>
      </w:pPr>
      <w:r w:rsidRPr="00167CB8">
        <w:t>the FWC has dealt with the dispute about the agreement under section 240 and the applicant participated in the FWC's processes to deal with the dispute; and</w:t>
      </w:r>
    </w:p>
    <w:p w14:paraId="30807D50" w14:textId="5C596AC2" w:rsidR="00173F8E" w:rsidRPr="00167CB8" w:rsidRDefault="00173F8E" w:rsidP="00567FCA">
      <w:pPr>
        <w:pStyle w:val="Quote"/>
        <w:numPr>
          <w:ilvl w:val="0"/>
          <w:numId w:val="35"/>
        </w:numPr>
      </w:pPr>
      <w:r w:rsidRPr="00167CB8">
        <w:t>there is no reasonable prospect of agreement being reached if the FWC does not make the declaration; and</w:t>
      </w:r>
    </w:p>
    <w:p w14:paraId="4C544585" w14:textId="0E8C4C6C" w:rsidR="00173F8E" w:rsidRPr="00167CB8" w:rsidRDefault="00173F8E" w:rsidP="00567FCA">
      <w:pPr>
        <w:pStyle w:val="Quote"/>
        <w:numPr>
          <w:ilvl w:val="0"/>
          <w:numId w:val="35"/>
        </w:numPr>
      </w:pPr>
      <w:r w:rsidRPr="00167CB8">
        <w:t>it is reasonable in all the circumstances to make the declaration, taking into account the views of all the bargaining representatives for the agreement.</w:t>
      </w:r>
    </w:p>
    <w:p w14:paraId="57FBE8E4" w14:textId="77777777" w:rsidR="00173F8E" w:rsidRPr="00167CB8" w:rsidRDefault="00173F8E" w:rsidP="00173F8E">
      <w:pPr>
        <w:rPr>
          <w:rFonts w:eastAsia="Aptos" w:cs="Aptos"/>
        </w:rPr>
      </w:pPr>
      <w:r w:rsidRPr="00167CB8">
        <w:rPr>
          <w:rFonts w:eastAsia="Aptos" w:cs="Aptos"/>
        </w:rPr>
        <w:t>An IBD may specify a post-declaration negotiating period where the FWC considers it appropriate to do so.</w:t>
      </w:r>
      <w:r w:rsidRPr="00167CB8">
        <w:rPr>
          <w:rStyle w:val="FootnoteReference"/>
          <w:rFonts w:eastAsia="Aptos" w:cs="Aptos"/>
        </w:rPr>
        <w:footnoteReference w:id="489"/>
      </w:r>
      <w:r w:rsidRPr="00167CB8">
        <w:rPr>
          <w:rFonts w:eastAsia="Aptos" w:cs="Aptos"/>
        </w:rPr>
        <w:t xml:space="preserve"> During the post</w:t>
      </w:r>
      <w:r w:rsidRPr="00167CB8">
        <w:rPr>
          <w:rFonts w:eastAsia="Aptos" w:cs="Aptos"/>
        </w:rPr>
        <w:noBreakHyphen/>
        <w:t>declaration negotiating period the FWC cannot make an IBWD but it may provide other assistance to resolve the bargaining dispute, such as conciliation.</w:t>
      </w:r>
      <w:r w:rsidRPr="00167CB8">
        <w:rPr>
          <w:rFonts w:eastAsia="Aptos" w:cs="Aptos"/>
          <w:vertAlign w:val="superscript"/>
        </w:rPr>
        <w:footnoteReference w:id="490"/>
      </w:r>
      <w:r w:rsidRPr="00167CB8">
        <w:rPr>
          <w:rFonts w:eastAsia="Aptos" w:cs="Aptos"/>
        </w:rPr>
        <w:t xml:space="preserve"> If it considers it appropriate to do so and taking in account the views of any bargaining representatives, the FWC may extend the post</w:t>
      </w:r>
      <w:r w:rsidRPr="00167CB8">
        <w:rPr>
          <w:rFonts w:eastAsia="Aptos" w:cs="Aptos"/>
        </w:rPr>
        <w:noBreakHyphen/>
        <w:t>declaration negotiating period</w:t>
      </w:r>
      <w:r w:rsidRPr="00167CB8">
        <w:rPr>
          <w:rFonts w:eastAsia="Aptos" w:cs="Aptos"/>
          <w:i/>
        </w:rPr>
        <w:t>.</w:t>
      </w:r>
      <w:r w:rsidRPr="00167CB8">
        <w:rPr>
          <w:rFonts w:eastAsia="Aptos" w:cs="Aptos"/>
          <w:vertAlign w:val="superscript"/>
        </w:rPr>
        <w:footnoteReference w:id="491"/>
      </w:r>
    </w:p>
    <w:p w14:paraId="76224A0B" w14:textId="71874885" w:rsidR="00173F8E" w:rsidRPr="00167CB8" w:rsidRDefault="00173F8E" w:rsidP="00173F8E">
      <w:pPr>
        <w:rPr>
          <w:rFonts w:eastAsia="Aptos" w:cs="Aptos"/>
        </w:rPr>
      </w:pPr>
      <w:r w:rsidRPr="00167CB8">
        <w:rPr>
          <w:rFonts w:eastAsia="Aptos" w:cs="Aptos"/>
        </w:rPr>
        <w:t xml:space="preserve">If the FWC has made an IBD, the FWC must make an IBWD </w:t>
      </w:r>
      <w:r w:rsidR="000348D3" w:rsidRPr="00167CB8">
        <w:rPr>
          <w:rFonts w:eastAsia="Aptos" w:cs="Aptos"/>
        </w:rPr>
        <w:t>‘</w:t>
      </w:r>
      <w:r w:rsidRPr="00167CB8">
        <w:rPr>
          <w:rFonts w:eastAsia="Aptos" w:cs="Aptos"/>
        </w:rPr>
        <w:t>as quickly as possible</w:t>
      </w:r>
      <w:r w:rsidR="000348D3" w:rsidRPr="00167CB8">
        <w:rPr>
          <w:rFonts w:eastAsia="Aptos" w:cs="Aptos"/>
        </w:rPr>
        <w:t>’</w:t>
      </w:r>
      <w:r w:rsidRPr="00167CB8">
        <w:rPr>
          <w:rFonts w:eastAsia="Aptos" w:cs="Aptos"/>
        </w:rPr>
        <w:t xml:space="preserve"> (subject to any post-declaration negotiating period).</w:t>
      </w:r>
      <w:r w:rsidRPr="00167CB8">
        <w:rPr>
          <w:rFonts w:eastAsia="Aptos" w:cs="Aptos"/>
          <w:vertAlign w:val="superscript"/>
        </w:rPr>
        <w:footnoteReference w:id="492"/>
      </w:r>
      <w:r w:rsidRPr="00167CB8">
        <w:rPr>
          <w:rFonts w:eastAsia="Aptos" w:cs="Aptos"/>
        </w:rPr>
        <w:t xml:space="preserve"> An IBWD can only be made by a Full Bench of the FWC.</w:t>
      </w:r>
      <w:r w:rsidRPr="00167CB8">
        <w:rPr>
          <w:rStyle w:val="FootnoteReference"/>
          <w:rFonts w:eastAsia="Aptos" w:cs="Aptos"/>
        </w:rPr>
        <w:footnoteReference w:id="493"/>
      </w:r>
    </w:p>
    <w:p w14:paraId="1C7F7252" w14:textId="77777777" w:rsidR="00173F8E" w:rsidRPr="00167CB8" w:rsidRDefault="00173F8E" w:rsidP="00173F8E">
      <w:pPr>
        <w:rPr>
          <w:rFonts w:eastAsia="Aptos" w:cs="Aptos"/>
        </w:rPr>
      </w:pPr>
      <w:r w:rsidRPr="00167CB8">
        <w:rPr>
          <w:rFonts w:eastAsia="Aptos" w:cs="Aptos"/>
        </w:rPr>
        <w:t>Once made, an IBWD provides terms and conditions for employees to whom it applies.</w:t>
      </w:r>
    </w:p>
    <w:p w14:paraId="60518409" w14:textId="143DE47A" w:rsidR="00173F8E" w:rsidRPr="00167CB8" w:rsidRDefault="00173F8E" w:rsidP="00173F8E">
      <w:pPr>
        <w:rPr>
          <w:rFonts w:eastAsia="Aptos" w:cs="Aptos"/>
        </w:rPr>
      </w:pPr>
      <w:r w:rsidRPr="00167CB8">
        <w:rPr>
          <w:rFonts w:eastAsia="Aptos" w:cs="Aptos"/>
        </w:rPr>
        <w:lastRenderedPageBreak/>
        <w:t>The Secure Jobs, Better Pay Act introduced provisions which specify the terms that an IBWD must include</w:t>
      </w:r>
      <w:r w:rsidR="000348D3" w:rsidRPr="00167CB8">
        <w:rPr>
          <w:rFonts w:eastAsia="Aptos" w:cs="Aptos"/>
        </w:rPr>
        <w:t xml:space="preserve"> </w:t>
      </w:r>
      <w:r w:rsidR="000348D3" w:rsidRPr="00167CB8">
        <w:rPr>
          <w:rFonts w:ascii="Symbol" w:eastAsia="Symbol" w:hAnsi="Symbol" w:cs="Symbol"/>
        </w:rPr>
        <w:sym w:font="Symbol" w:char="F02D"/>
      </w:r>
      <w:r w:rsidR="000348D3" w:rsidRPr="00167CB8">
        <w:rPr>
          <w:rFonts w:eastAsia="Aptos" w:cs="Aptos"/>
        </w:rPr>
        <w:t xml:space="preserve"> </w:t>
      </w:r>
      <w:r w:rsidRPr="00167CB8">
        <w:rPr>
          <w:rFonts w:eastAsia="Aptos" w:cs="Aptos"/>
        </w:rPr>
        <w:t>namely</w:t>
      </w:r>
      <w:r w:rsidR="000348D3" w:rsidRPr="00167CB8">
        <w:rPr>
          <w:rFonts w:eastAsia="Aptos" w:cs="Aptos"/>
        </w:rPr>
        <w:t>,</w:t>
      </w:r>
      <w:r w:rsidRPr="00167CB8">
        <w:rPr>
          <w:rFonts w:eastAsia="Aptos" w:cs="Aptos"/>
        </w:rPr>
        <w:t xml:space="preserve"> agreed terms and core or mandatory terms.</w:t>
      </w:r>
      <w:r w:rsidRPr="00167CB8">
        <w:rPr>
          <w:rFonts w:eastAsia="Aptos" w:cs="Aptos"/>
          <w:vertAlign w:val="superscript"/>
        </w:rPr>
        <w:footnoteReference w:id="494"/>
      </w:r>
      <w:r w:rsidRPr="00167CB8">
        <w:rPr>
          <w:rFonts w:eastAsia="Aptos" w:cs="Aptos"/>
        </w:rPr>
        <w:t xml:space="preserve"> Importantly, s</w:t>
      </w:r>
      <w:r w:rsidR="000348D3" w:rsidRPr="00167CB8">
        <w:rPr>
          <w:rFonts w:eastAsia="Aptos" w:cs="Aptos"/>
        </w:rPr>
        <w:t> </w:t>
      </w:r>
      <w:r w:rsidRPr="00167CB8">
        <w:rPr>
          <w:rFonts w:eastAsia="Aptos" w:cs="Aptos"/>
        </w:rPr>
        <w:t>270(3) of the Fair Work Act provides:</w:t>
      </w:r>
      <w:r w:rsidR="000348D3" w:rsidRPr="00167CB8">
        <w:rPr>
          <w:rStyle w:val="FootnoteReference"/>
          <w:rFonts w:eastAsia="Aptos" w:cs="Aptos"/>
        </w:rPr>
        <w:footnoteReference w:id="495"/>
      </w:r>
    </w:p>
    <w:p w14:paraId="32433BB7" w14:textId="2B19AAA9" w:rsidR="00173F8E" w:rsidRPr="00167CB8" w:rsidRDefault="00173F8E" w:rsidP="00C83147">
      <w:pPr>
        <w:pStyle w:val="Quote"/>
      </w:pPr>
      <w:r w:rsidRPr="00167CB8">
        <w:t>(3)  The determination must include the terms that the FWC considers deal with the matters that were still at issue:</w:t>
      </w:r>
    </w:p>
    <w:p w14:paraId="5856AB47" w14:textId="4386BBE1" w:rsidR="00173F8E" w:rsidRPr="00167CB8" w:rsidRDefault="00173F8E" w:rsidP="00C83147">
      <w:pPr>
        <w:pStyle w:val="Quote"/>
      </w:pPr>
      <w:r w:rsidRPr="00167CB8">
        <w:t>(a) if there is a post-declaration negotiating period under section </w:t>
      </w:r>
      <w:r w:rsidRPr="0081141A">
        <w:rPr>
          <w:rFonts w:eastAsia="Aptos" w:cs="Aptos"/>
        </w:rPr>
        <w:t>235A</w:t>
      </w:r>
      <w:r w:rsidRPr="00167CB8">
        <w:t> for the declaration concerned</w:t>
      </w:r>
      <w:r w:rsidR="000348D3" w:rsidRPr="00167CB8">
        <w:t xml:space="preserve"> </w:t>
      </w:r>
      <w:r w:rsidR="000348D3" w:rsidRPr="00167CB8">
        <w:rPr>
          <w:rFonts w:ascii="Symbol" w:eastAsia="Symbol" w:hAnsi="Symbol" w:cs="Symbol"/>
        </w:rPr>
        <w:sym w:font="Symbol" w:char="F02D"/>
      </w:r>
      <w:r w:rsidR="000348D3" w:rsidRPr="00167CB8">
        <w:t xml:space="preserve"> </w:t>
      </w:r>
      <w:r w:rsidRPr="00167CB8">
        <w:t>after the end of that period; or</w:t>
      </w:r>
    </w:p>
    <w:p w14:paraId="0FF5ADCB" w14:textId="18A35185" w:rsidR="00173F8E" w:rsidRPr="00167CB8" w:rsidRDefault="00173F8E" w:rsidP="00C83147">
      <w:pPr>
        <w:pStyle w:val="Quote"/>
      </w:pPr>
      <w:r w:rsidRPr="00167CB8">
        <w:t>(b)  otherwise</w:t>
      </w:r>
      <w:r w:rsidR="000348D3" w:rsidRPr="00167CB8">
        <w:t xml:space="preserve"> </w:t>
      </w:r>
      <w:r w:rsidR="000348D3" w:rsidRPr="00167CB8">
        <w:rPr>
          <w:rFonts w:ascii="Symbol" w:eastAsia="Symbol" w:hAnsi="Symbol" w:cs="Symbol"/>
        </w:rPr>
        <w:sym w:font="Symbol" w:char="F02D"/>
      </w:r>
      <w:r w:rsidR="000348D3" w:rsidRPr="00167CB8">
        <w:t xml:space="preserve"> </w:t>
      </w:r>
      <w:r w:rsidRPr="00167CB8">
        <w:t>after making the declaration.</w:t>
      </w:r>
    </w:p>
    <w:p w14:paraId="5F1906E8" w14:textId="3A5DED12" w:rsidR="00173F8E" w:rsidRPr="00167CB8" w:rsidRDefault="00173F8E" w:rsidP="00173F8E">
      <w:pPr>
        <w:rPr>
          <w:rFonts w:eastAsia="Aptos" w:cs="Aptos"/>
        </w:rPr>
      </w:pPr>
      <w:r w:rsidRPr="00167CB8">
        <w:rPr>
          <w:rFonts w:eastAsia="Aptos" w:cs="Aptos"/>
        </w:rPr>
        <w:t xml:space="preserve">In deciding which terms to include in </w:t>
      </w:r>
      <w:r w:rsidR="00BD3308" w:rsidRPr="00167CB8">
        <w:rPr>
          <w:rFonts w:eastAsia="Aptos" w:cs="Aptos"/>
        </w:rPr>
        <w:t>an IBWD</w:t>
      </w:r>
      <w:r w:rsidRPr="00167CB8">
        <w:rPr>
          <w:rFonts w:eastAsia="Aptos" w:cs="Aptos"/>
        </w:rPr>
        <w:t>, s</w:t>
      </w:r>
      <w:r w:rsidR="000348D3" w:rsidRPr="00167CB8">
        <w:rPr>
          <w:rFonts w:eastAsia="Aptos" w:cs="Aptos"/>
        </w:rPr>
        <w:t> </w:t>
      </w:r>
      <w:r w:rsidRPr="00167CB8">
        <w:rPr>
          <w:rFonts w:eastAsia="Aptos" w:cs="Aptos"/>
        </w:rPr>
        <w:t>275 of the Fair Work Act sets out the factors that the FWC must take into account.</w:t>
      </w:r>
    </w:p>
    <w:p w14:paraId="5E2ADB08" w14:textId="5C7BC61E" w:rsidR="00173F8E" w:rsidRPr="00167CB8" w:rsidRDefault="00173F8E" w:rsidP="00173F8E">
      <w:pPr>
        <w:rPr>
          <w:rFonts w:eastAsia="Aptos" w:cs="Aptos"/>
        </w:rPr>
      </w:pPr>
      <w:r w:rsidRPr="00167CB8">
        <w:rPr>
          <w:rFonts w:eastAsia="Aptos" w:cs="Aptos"/>
        </w:rPr>
        <w:t xml:space="preserve">The Secure Jobs, Better Pay amendments commenced </w:t>
      </w:r>
      <w:r w:rsidR="000348D3" w:rsidRPr="00167CB8">
        <w:rPr>
          <w:rFonts w:eastAsia="Aptos" w:cs="Aptos"/>
        </w:rPr>
        <w:t xml:space="preserve">on </w:t>
      </w:r>
      <w:r w:rsidRPr="00167CB8">
        <w:rPr>
          <w:rFonts w:eastAsia="Aptos" w:cs="Aptos"/>
        </w:rPr>
        <w:t xml:space="preserve">6 June 2023. </w:t>
      </w:r>
    </w:p>
    <w:p w14:paraId="2D219933" w14:textId="73BD992E" w:rsidR="00173F8E" w:rsidRPr="00167CB8" w:rsidRDefault="00173F8E" w:rsidP="00173F8E">
      <w:pPr>
        <w:rPr>
          <w:rFonts w:eastAsia="Aptos" w:cs="Aptos"/>
        </w:rPr>
      </w:pPr>
      <w:r w:rsidRPr="00167CB8">
        <w:rPr>
          <w:rFonts w:eastAsia="Aptos" w:cs="Aptos"/>
        </w:rPr>
        <w:t xml:space="preserve">While the amendments made by the </w:t>
      </w:r>
      <w:r w:rsidR="000C0AD5" w:rsidRPr="00167CB8">
        <w:rPr>
          <w:rFonts w:eastAsia="Aptos" w:cs="Aptos"/>
          <w:i/>
          <w:iCs/>
        </w:rPr>
        <w:t>Fair Work Legislation Amendment (Closing Loopholes No. 2) Act 2023</w:t>
      </w:r>
      <w:r w:rsidR="000C0AD5" w:rsidRPr="00167CB8">
        <w:rPr>
          <w:rFonts w:eastAsia="Aptos" w:cs="Aptos"/>
        </w:rPr>
        <w:t xml:space="preserve"> (Cth) (</w:t>
      </w:r>
      <w:r w:rsidRPr="00167CB8">
        <w:rPr>
          <w:rFonts w:eastAsia="Aptos" w:cs="Aptos"/>
        </w:rPr>
        <w:t>Closing Loopholes No.</w:t>
      </w:r>
      <w:r w:rsidR="000348D3" w:rsidRPr="00167CB8">
        <w:rPr>
          <w:rFonts w:eastAsia="Aptos" w:cs="Aptos"/>
        </w:rPr>
        <w:t xml:space="preserve"> </w:t>
      </w:r>
      <w:r w:rsidRPr="00167CB8">
        <w:rPr>
          <w:rFonts w:eastAsia="Aptos" w:cs="Aptos"/>
        </w:rPr>
        <w:t>2 Act</w:t>
      </w:r>
      <w:r w:rsidR="000C0AD5" w:rsidRPr="00167CB8">
        <w:rPr>
          <w:rFonts w:eastAsia="Aptos" w:cs="Aptos"/>
        </w:rPr>
        <w:t>)</w:t>
      </w:r>
      <w:r w:rsidRPr="00167CB8">
        <w:rPr>
          <w:rFonts w:eastAsia="Aptos" w:cs="Aptos"/>
        </w:rPr>
        <w:t xml:space="preserve"> are not strictly within the scope of this Review, it is necessary to consider these subsequent amendments to the intractable bargaining framework when reviewing the operation of the Secure Jobs, Better Pay amendments.</w:t>
      </w:r>
    </w:p>
    <w:p w14:paraId="7CFF0474" w14:textId="26D9A018" w:rsidR="00173F8E" w:rsidRPr="00167CB8" w:rsidRDefault="00173F8E" w:rsidP="00173F8E">
      <w:pPr>
        <w:rPr>
          <w:rFonts w:eastAsia="Aptos" w:cs="Aptos"/>
        </w:rPr>
      </w:pPr>
      <w:r w:rsidRPr="00167CB8">
        <w:rPr>
          <w:rFonts w:eastAsia="Aptos" w:cs="Aptos"/>
        </w:rPr>
        <w:t>The Closing Loopholes No.</w:t>
      </w:r>
      <w:r w:rsidR="000348D3" w:rsidRPr="00167CB8">
        <w:rPr>
          <w:rFonts w:eastAsia="Aptos" w:cs="Aptos"/>
        </w:rPr>
        <w:t xml:space="preserve"> </w:t>
      </w:r>
      <w:r w:rsidRPr="00167CB8">
        <w:rPr>
          <w:rFonts w:eastAsia="Aptos" w:cs="Aptos"/>
        </w:rPr>
        <w:t>2 Act inserted s</w:t>
      </w:r>
      <w:r w:rsidR="000348D3" w:rsidRPr="00167CB8">
        <w:rPr>
          <w:rFonts w:eastAsia="Aptos" w:cs="Aptos"/>
        </w:rPr>
        <w:t> </w:t>
      </w:r>
      <w:r w:rsidRPr="00167CB8">
        <w:rPr>
          <w:rFonts w:eastAsia="Aptos" w:cs="Aptos"/>
        </w:rPr>
        <w:t>270A into the Fair Work Act, which provides a restriction on FWC’s ability to decide terms to deal with matters at issue:</w:t>
      </w:r>
      <w:r w:rsidR="000348D3" w:rsidRPr="00167CB8">
        <w:rPr>
          <w:rStyle w:val="FootnoteReference"/>
          <w:rFonts w:eastAsia="Aptos" w:cs="Aptos"/>
        </w:rPr>
        <w:footnoteReference w:id="496"/>
      </w:r>
    </w:p>
    <w:p w14:paraId="5E5AC88E" w14:textId="6BFA1E1B" w:rsidR="00173F8E" w:rsidRPr="00167CB8" w:rsidRDefault="00173F8E" w:rsidP="00C83147">
      <w:pPr>
        <w:pStyle w:val="Quote"/>
      </w:pPr>
      <w:r w:rsidRPr="00167CB8">
        <w:t>Terms dealing with matters at issue</w:t>
      </w:r>
    </w:p>
    <w:p w14:paraId="5BCCD783" w14:textId="7561DAEE" w:rsidR="00173F8E" w:rsidRPr="00167CB8" w:rsidRDefault="00173F8E" w:rsidP="00567FCA">
      <w:pPr>
        <w:pStyle w:val="Quote"/>
        <w:numPr>
          <w:ilvl w:val="0"/>
          <w:numId w:val="36"/>
        </w:numPr>
      </w:pPr>
      <w:r w:rsidRPr="00167CB8">
        <w:t>This section applies if, immediately before the determination is made, an enterprise agreement applies to one or more employees who will be covered by the determination.</w:t>
      </w:r>
    </w:p>
    <w:p w14:paraId="5C7493F4" w14:textId="41F041DA" w:rsidR="00173F8E" w:rsidRPr="00167CB8" w:rsidRDefault="00173F8E" w:rsidP="00567FCA">
      <w:pPr>
        <w:pStyle w:val="Quote"/>
        <w:numPr>
          <w:ilvl w:val="0"/>
          <w:numId w:val="36"/>
        </w:numPr>
      </w:pPr>
      <w:r w:rsidRPr="00167CB8">
        <w:t>A term that is included in the determination to comply with subsection   270(3), and that deals with a particular matter, must be not less favourable to each of those employees, and any employee organisation that was a bargaining representative of any of those employees, than a term of the enterprise agreement that deals with the matter.</w:t>
      </w:r>
    </w:p>
    <w:p w14:paraId="7F5CEFE6" w14:textId="5F99B497" w:rsidR="00173F8E" w:rsidRPr="00167CB8" w:rsidRDefault="00173F8E" w:rsidP="00567FCA">
      <w:pPr>
        <w:pStyle w:val="Quote"/>
        <w:numPr>
          <w:ilvl w:val="0"/>
          <w:numId w:val="36"/>
        </w:numPr>
      </w:pPr>
      <w:r w:rsidRPr="00167CB8">
        <w:t>If a term to be included in the determination is not less favourable to a class of employees to which a particular employee belongs, the FWC is entitled to assume, in the absence of evidence to the contrary, that the term is not less favourable to the employee.</w:t>
      </w:r>
    </w:p>
    <w:p w14:paraId="2B6C38DA" w14:textId="25C6EB66" w:rsidR="00173F8E" w:rsidRPr="00167CB8" w:rsidRDefault="00173F8E" w:rsidP="00567FCA">
      <w:pPr>
        <w:pStyle w:val="Quote"/>
        <w:numPr>
          <w:ilvl w:val="0"/>
          <w:numId w:val="36"/>
        </w:numPr>
      </w:pPr>
      <w:r w:rsidRPr="00167CB8">
        <w:t>Subsection (2) does not apply to a term that provides for a wage increase.</w:t>
      </w:r>
    </w:p>
    <w:p w14:paraId="71CDC50E" w14:textId="5B4173A8" w:rsidR="00173F8E" w:rsidRPr="00167CB8" w:rsidRDefault="00173F8E" w:rsidP="00173F8E">
      <w:pPr>
        <w:rPr>
          <w:rFonts w:eastAsia="Aptos" w:cs="Aptos"/>
        </w:rPr>
      </w:pPr>
      <w:r w:rsidRPr="00167CB8">
        <w:rPr>
          <w:rFonts w:eastAsia="Aptos" w:cs="Aptos"/>
        </w:rPr>
        <w:lastRenderedPageBreak/>
        <w:t>The amendment relating to s</w:t>
      </w:r>
      <w:r w:rsidR="000348D3" w:rsidRPr="00167CB8">
        <w:rPr>
          <w:rFonts w:eastAsia="Aptos" w:cs="Aptos"/>
        </w:rPr>
        <w:t> </w:t>
      </w:r>
      <w:r w:rsidRPr="00167CB8">
        <w:rPr>
          <w:rFonts w:eastAsia="Aptos" w:cs="Aptos"/>
        </w:rPr>
        <w:t>270A of the Fair Work Act is referred to as the ‘</w:t>
      </w:r>
      <w:r w:rsidRPr="00167CB8">
        <w:rPr>
          <w:rFonts w:eastAsia="Aptos" w:cs="Aptos"/>
          <w:bCs/>
        </w:rPr>
        <w:t>not less favourable amendment’</w:t>
      </w:r>
      <w:r w:rsidRPr="00167CB8">
        <w:rPr>
          <w:rFonts w:eastAsia="Aptos" w:cs="Aptos"/>
        </w:rPr>
        <w:t>.</w:t>
      </w:r>
    </w:p>
    <w:p w14:paraId="7E0D9D52" w14:textId="78FED86F" w:rsidR="00173F8E" w:rsidRPr="00167CB8" w:rsidRDefault="00173F8E" w:rsidP="00173F8E">
      <w:pPr>
        <w:rPr>
          <w:rFonts w:eastAsia="Aptos" w:cs="Aptos"/>
        </w:rPr>
      </w:pPr>
      <w:r w:rsidRPr="00167CB8">
        <w:rPr>
          <w:rFonts w:eastAsia="Aptos" w:cs="Aptos"/>
        </w:rPr>
        <w:t>In addition, the Closing Loopholes No.</w:t>
      </w:r>
      <w:r w:rsidR="000348D3" w:rsidRPr="00167CB8">
        <w:rPr>
          <w:rFonts w:eastAsia="Aptos" w:cs="Aptos"/>
        </w:rPr>
        <w:t xml:space="preserve"> </w:t>
      </w:r>
      <w:r w:rsidRPr="00167CB8">
        <w:rPr>
          <w:rFonts w:eastAsia="Aptos" w:cs="Aptos"/>
        </w:rPr>
        <w:t>2 Act expanded the definition of agreed terms by adding into s</w:t>
      </w:r>
      <w:r w:rsidR="000348D3" w:rsidRPr="00167CB8">
        <w:rPr>
          <w:rFonts w:eastAsia="Aptos" w:cs="Aptos"/>
        </w:rPr>
        <w:t> </w:t>
      </w:r>
      <w:r w:rsidRPr="00167CB8">
        <w:rPr>
          <w:rFonts w:eastAsia="Aptos" w:cs="Aptos"/>
        </w:rPr>
        <w:t>274(3) of the Fair Work Act the following (the ‘</w:t>
      </w:r>
      <w:r w:rsidRPr="00167CB8">
        <w:rPr>
          <w:rFonts w:eastAsia="Aptos" w:cs="Aptos"/>
          <w:bCs/>
        </w:rPr>
        <w:t>agreed terms amendment’</w:t>
      </w:r>
      <w:r w:rsidRPr="00167CB8">
        <w:rPr>
          <w:rFonts w:eastAsia="Aptos" w:cs="Aptos"/>
        </w:rPr>
        <w:t>):</w:t>
      </w:r>
      <w:r w:rsidR="000348D3" w:rsidRPr="00167CB8">
        <w:rPr>
          <w:vertAlign w:val="superscript"/>
        </w:rPr>
        <w:footnoteReference w:id="497"/>
      </w:r>
    </w:p>
    <w:p w14:paraId="6B596113" w14:textId="156C23AE" w:rsidR="00173F8E" w:rsidRPr="00167CB8" w:rsidRDefault="00173F8E" w:rsidP="00C83147">
      <w:pPr>
        <w:pStyle w:val="Quote"/>
      </w:pPr>
      <w:r w:rsidRPr="00167CB8">
        <w:t>Agreed term for an intractable bargaining workplace determination</w:t>
      </w:r>
    </w:p>
    <w:p w14:paraId="5EEE13B5" w14:textId="77777777" w:rsidR="00173F8E" w:rsidRPr="00167CB8" w:rsidRDefault="00173F8E" w:rsidP="00C83147">
      <w:pPr>
        <w:pStyle w:val="Quote"/>
      </w:pPr>
      <w:r w:rsidRPr="00167CB8">
        <w:t>…</w:t>
      </w:r>
    </w:p>
    <w:p w14:paraId="6E76DFB1" w14:textId="70A17A76" w:rsidR="00173F8E" w:rsidRPr="00167CB8" w:rsidRDefault="00173F8E" w:rsidP="00C83147">
      <w:pPr>
        <w:pStyle w:val="Quote"/>
      </w:pPr>
      <w:r w:rsidRPr="00167CB8">
        <w:t>(3)</w:t>
      </w:r>
      <w:r w:rsidR="00F154F4" w:rsidRPr="00167CB8">
        <w:tab/>
      </w:r>
      <w:r w:rsidRPr="00167CB8">
        <w:t>An </w:t>
      </w:r>
      <w:r w:rsidRPr="00167CB8">
        <w:rPr>
          <w:b/>
        </w:rPr>
        <w:t>agreed term</w:t>
      </w:r>
      <w:r w:rsidRPr="00167CB8">
        <w:t> for an intractable bargaining workplace determination is:</w:t>
      </w:r>
    </w:p>
    <w:p w14:paraId="61707A71" w14:textId="7DE4002B" w:rsidR="00173F8E" w:rsidRPr="00167CB8" w:rsidRDefault="00173F8E" w:rsidP="00C83147">
      <w:pPr>
        <w:pStyle w:val="Quote"/>
      </w:pPr>
      <w:r w:rsidRPr="00167CB8">
        <w:t>(a)</w:t>
      </w:r>
      <w:r w:rsidR="00F154F4" w:rsidRPr="00167CB8">
        <w:tab/>
      </w:r>
      <w:r w:rsidRPr="00167CB8">
        <w:t>a term that the bargaining representatives for the proposed enterprise agreement concerned had agreed, at the time the application for the intractable bargaining declaration concerned was made, should be included in the agreement; and</w:t>
      </w:r>
    </w:p>
    <w:p w14:paraId="331625AE" w14:textId="2EE762D7" w:rsidR="00173F8E" w:rsidRPr="00167CB8" w:rsidRDefault="00173F8E" w:rsidP="00C83147">
      <w:pPr>
        <w:pStyle w:val="Quote"/>
      </w:pPr>
      <w:r w:rsidRPr="00167CB8">
        <w:t>(b)</w:t>
      </w:r>
      <w:r w:rsidR="00F154F4" w:rsidRPr="00167CB8">
        <w:tab/>
      </w:r>
      <w:r w:rsidRPr="00167CB8">
        <w:t>any other term, in addition to a term mentioned in paragraph (a), that the bargaining representatives had agreed, at the time the declaration was made, should be included in the agreement; and</w:t>
      </w:r>
    </w:p>
    <w:p w14:paraId="73B05BE0" w14:textId="6D02D847" w:rsidR="00173F8E" w:rsidRPr="00167CB8" w:rsidRDefault="00173F8E" w:rsidP="00C83147">
      <w:pPr>
        <w:pStyle w:val="Quote"/>
      </w:pPr>
      <w:r w:rsidRPr="00167CB8">
        <w:t>(c)</w:t>
      </w:r>
      <w:r w:rsidR="00F154F4" w:rsidRPr="00167CB8">
        <w:tab/>
      </w:r>
      <w:r w:rsidRPr="00167CB8">
        <w:t>if there is a post</w:t>
      </w:r>
      <w:r w:rsidRPr="00167CB8">
        <w:noBreakHyphen/>
        <w:t>declaration negotiating period for the declaration</w:t>
      </w:r>
      <w:r w:rsidR="000348D3" w:rsidRPr="00167CB8">
        <w:t xml:space="preserve"> </w:t>
      </w:r>
      <w:r w:rsidR="000348D3" w:rsidRPr="00167CB8">
        <w:rPr>
          <w:rFonts w:ascii="Symbol" w:eastAsia="Symbol" w:hAnsi="Symbol" w:cs="Symbol"/>
        </w:rPr>
        <w:sym w:font="Symbol" w:char="F02D"/>
      </w:r>
      <w:r w:rsidR="000348D3" w:rsidRPr="00167CB8">
        <w:t xml:space="preserve"> </w:t>
      </w:r>
      <w:r w:rsidRPr="00167CB8">
        <w:t>any other term, in addition to a term mentioned in paragraph (a) or (b), that the bargaining representatives had agreed, at the end of the period, should be included in the agreement.</w:t>
      </w:r>
    </w:p>
    <w:p w14:paraId="4FC18E25" w14:textId="21300E36" w:rsidR="00173F8E" w:rsidRPr="00167CB8" w:rsidRDefault="00173F8E" w:rsidP="00C83147">
      <w:pPr>
        <w:pStyle w:val="Quote"/>
      </w:pPr>
      <w:r w:rsidRPr="00167CB8">
        <w:t>Note: The determination must include an agreed term (see subsection 270(2)).</w:t>
      </w:r>
    </w:p>
    <w:p w14:paraId="4F76FF53" w14:textId="2FBB163C" w:rsidR="00173F8E" w:rsidRPr="00167CB8" w:rsidRDefault="00173F8E" w:rsidP="00173F8E">
      <w:pPr>
        <w:rPr>
          <w:rFonts w:eastAsia="Aptos" w:cs="Aptos"/>
        </w:rPr>
      </w:pPr>
      <w:r w:rsidRPr="00167CB8">
        <w:rPr>
          <w:rFonts w:eastAsia="Aptos" w:cs="Aptos"/>
        </w:rPr>
        <w:t>The Closing Loopholes No.</w:t>
      </w:r>
      <w:r w:rsidR="000348D3" w:rsidRPr="00167CB8">
        <w:rPr>
          <w:rFonts w:eastAsia="Aptos" w:cs="Aptos"/>
        </w:rPr>
        <w:t xml:space="preserve"> </w:t>
      </w:r>
      <w:r w:rsidRPr="00167CB8">
        <w:rPr>
          <w:rFonts w:eastAsia="Aptos" w:cs="Aptos"/>
        </w:rPr>
        <w:t>2 Act changes commenced operation on 27 February 2024.</w:t>
      </w:r>
    </w:p>
    <w:p w14:paraId="232E03D9" w14:textId="4B9DEF2E" w:rsidR="00173F8E" w:rsidRPr="00167CB8" w:rsidRDefault="003B14A5" w:rsidP="00173F8E">
      <w:pPr>
        <w:pStyle w:val="Heading5"/>
        <w:rPr>
          <w:rFonts w:asciiTheme="minorHAnsi" w:hAnsiTheme="minorHAnsi"/>
        </w:rPr>
      </w:pPr>
      <w:r w:rsidRPr="00167CB8">
        <w:rPr>
          <w:rFonts w:asciiTheme="minorHAnsi" w:hAnsiTheme="minorHAnsi"/>
        </w:rPr>
        <w:t>14</w:t>
      </w:r>
      <w:r w:rsidR="00173F8E" w:rsidRPr="00167CB8">
        <w:rPr>
          <w:rFonts w:asciiTheme="minorHAnsi" w:hAnsiTheme="minorHAnsi"/>
        </w:rPr>
        <w:t xml:space="preserve">.1.2 Intent of Secure Jobs, Better Pay </w:t>
      </w:r>
      <w:r w:rsidR="000348D3" w:rsidRPr="00167CB8">
        <w:rPr>
          <w:rFonts w:asciiTheme="minorHAnsi" w:hAnsiTheme="minorHAnsi"/>
        </w:rPr>
        <w:t>a</w:t>
      </w:r>
      <w:r w:rsidR="00173F8E" w:rsidRPr="00167CB8">
        <w:rPr>
          <w:rFonts w:asciiTheme="minorHAnsi" w:hAnsiTheme="minorHAnsi"/>
        </w:rPr>
        <w:t>mendments</w:t>
      </w:r>
    </w:p>
    <w:p w14:paraId="37565680" w14:textId="2896C42A" w:rsidR="00173F8E" w:rsidRPr="00167CB8" w:rsidRDefault="00173F8E" w:rsidP="00173F8E">
      <w:pPr>
        <w:rPr>
          <w:rFonts w:eastAsia="Aptos" w:cs="Aptos"/>
        </w:rPr>
      </w:pPr>
      <w:r w:rsidRPr="00167CB8">
        <w:rPr>
          <w:rFonts w:eastAsia="Aptos" w:cs="Aptos"/>
        </w:rPr>
        <w:t xml:space="preserve">The intent of these provisions was said to </w:t>
      </w:r>
      <w:r w:rsidR="000348D3" w:rsidRPr="00167CB8">
        <w:rPr>
          <w:rFonts w:eastAsia="Aptos" w:cs="Aptos"/>
        </w:rPr>
        <w:t>be to ‘</w:t>
      </w:r>
      <w:r w:rsidRPr="00167CB8">
        <w:rPr>
          <w:rFonts w:eastAsia="Aptos" w:cs="Aptos"/>
        </w:rPr>
        <w:t>support the Jobs and Skills Summit outcome of giving the FWC the capacity to proactively help workers and businesses reach agreements that benefit them</w:t>
      </w:r>
      <w:r w:rsidR="000348D3" w:rsidRPr="00167CB8">
        <w:rPr>
          <w:rFonts w:eastAsia="Aptos" w:cs="Aptos"/>
        </w:rPr>
        <w:t>’</w:t>
      </w:r>
      <w:r w:rsidRPr="00167CB8">
        <w:rPr>
          <w:rFonts w:eastAsia="Aptos" w:cs="Aptos"/>
        </w:rPr>
        <w:t>.</w:t>
      </w:r>
      <w:r w:rsidRPr="00167CB8">
        <w:rPr>
          <w:rFonts w:eastAsia="Aptos" w:cs="Aptos"/>
          <w:vertAlign w:val="superscript"/>
        </w:rPr>
        <w:footnoteReference w:id="498"/>
      </w:r>
      <w:r w:rsidRPr="00167CB8">
        <w:rPr>
          <w:rFonts w:eastAsia="Aptos" w:cs="Aptos"/>
        </w:rPr>
        <w:t xml:space="preserve"> </w:t>
      </w:r>
    </w:p>
    <w:p w14:paraId="06414EF6" w14:textId="49D6A0A1" w:rsidR="00173F8E" w:rsidRPr="00167CB8" w:rsidRDefault="00173F8E" w:rsidP="00173F8E">
      <w:pPr>
        <w:rPr>
          <w:rFonts w:eastAsia="Aptos" w:cs="Aptos"/>
          <w:b/>
        </w:rPr>
      </w:pPr>
      <w:r w:rsidRPr="00167CB8">
        <w:rPr>
          <w:rFonts w:eastAsia="Aptos" w:cs="Aptos"/>
        </w:rPr>
        <w:t xml:space="preserve">The then Minister stated in the </w:t>
      </w:r>
      <w:r w:rsidR="000348D3" w:rsidRPr="00167CB8">
        <w:rPr>
          <w:rFonts w:eastAsia="Aptos" w:cs="Aptos"/>
        </w:rPr>
        <w:t>s</w:t>
      </w:r>
      <w:r w:rsidRPr="00167CB8">
        <w:rPr>
          <w:rFonts w:eastAsia="Aptos" w:cs="Aptos"/>
        </w:rPr>
        <w:t xml:space="preserve">econd </w:t>
      </w:r>
      <w:r w:rsidR="000348D3" w:rsidRPr="00167CB8">
        <w:rPr>
          <w:rFonts w:eastAsia="Aptos" w:cs="Aptos"/>
        </w:rPr>
        <w:t>r</w:t>
      </w:r>
      <w:r w:rsidRPr="00167CB8">
        <w:rPr>
          <w:rFonts w:eastAsia="Aptos" w:cs="Aptos"/>
        </w:rPr>
        <w:t xml:space="preserve">eading speech for the Secure Jobs, Better Pay Bill that the amendments included a stronger role for the </w:t>
      </w:r>
      <w:r w:rsidR="000348D3" w:rsidRPr="00167CB8">
        <w:rPr>
          <w:rFonts w:eastAsia="Aptos" w:cs="Aptos"/>
        </w:rPr>
        <w:t>FWC</w:t>
      </w:r>
      <w:r w:rsidRPr="00167CB8">
        <w:rPr>
          <w:rFonts w:eastAsia="Aptos" w:cs="Aptos"/>
        </w:rPr>
        <w:t xml:space="preserve"> and that:</w:t>
      </w:r>
      <w:r w:rsidR="000348D3" w:rsidRPr="00167CB8">
        <w:rPr>
          <w:vertAlign w:val="superscript"/>
        </w:rPr>
        <w:footnoteReference w:id="499"/>
      </w:r>
    </w:p>
    <w:p w14:paraId="127EDA68" w14:textId="0C565B79" w:rsidR="00173F8E" w:rsidRPr="00167CB8" w:rsidRDefault="00173F8E" w:rsidP="00C83147">
      <w:pPr>
        <w:pStyle w:val="Quote"/>
      </w:pPr>
      <w:r w:rsidRPr="00167CB8">
        <w:t>The bill will allow the Fair Work Commission to resolve intractable disputes through arbitration, where there is no reasonable prospect of agreement being reached.</w:t>
      </w:r>
    </w:p>
    <w:p w14:paraId="278D939C" w14:textId="650CCF37" w:rsidR="00173F8E" w:rsidRPr="00167CB8" w:rsidRDefault="00173F8E" w:rsidP="00173F8E">
      <w:pPr>
        <w:rPr>
          <w:rFonts w:eastAsia="Aptos" w:cs="Aptos"/>
        </w:rPr>
      </w:pPr>
      <w:r w:rsidRPr="00167CB8">
        <w:rPr>
          <w:rFonts w:eastAsia="Aptos" w:cs="Aptos"/>
        </w:rPr>
        <w:t xml:space="preserve">The intent of these amendments was </w:t>
      </w:r>
      <w:r w:rsidR="000348D3" w:rsidRPr="00167CB8">
        <w:rPr>
          <w:rFonts w:eastAsia="Aptos" w:cs="Aptos"/>
        </w:rPr>
        <w:t>‘</w:t>
      </w:r>
      <w:r w:rsidRPr="00167CB8">
        <w:rPr>
          <w:rFonts w:eastAsia="Aptos" w:cs="Aptos"/>
        </w:rPr>
        <w:t xml:space="preserve">to provide a strong incentive for good-faith negotiations, reduce the time for enterprise agreements to be finalised and allow for quicker resolution of </w:t>
      </w:r>
      <w:r w:rsidRPr="00167CB8">
        <w:rPr>
          <w:rFonts w:eastAsia="Aptos" w:cs="Aptos"/>
        </w:rPr>
        <w:lastRenderedPageBreak/>
        <w:t>intractable disputes</w:t>
      </w:r>
      <w:r w:rsidR="0081141A">
        <w:rPr>
          <w:rFonts w:eastAsia="Aptos" w:cs="Aptos"/>
        </w:rPr>
        <w:t>.</w:t>
      </w:r>
      <w:r w:rsidR="000348D3" w:rsidRPr="00167CB8">
        <w:rPr>
          <w:rFonts w:eastAsia="Aptos" w:cs="Aptos"/>
        </w:rPr>
        <w:t>’</w:t>
      </w:r>
      <w:r w:rsidRPr="00167CB8">
        <w:rPr>
          <w:rStyle w:val="FootnoteReference"/>
          <w:rFonts w:eastAsia="Aptos" w:cs="Aptos"/>
        </w:rPr>
        <w:footnoteReference w:id="500"/>
      </w:r>
      <w:r w:rsidRPr="00167CB8">
        <w:rPr>
          <w:rFonts w:eastAsia="Aptos" w:cs="Aptos"/>
        </w:rPr>
        <w:t xml:space="preserve"> Ultimately, the amendments were intended to 'get wages moving</w:t>
      </w:r>
      <w:r w:rsidR="000348D3" w:rsidRPr="00167CB8">
        <w:rPr>
          <w:rFonts w:eastAsia="Aptos" w:cs="Aptos"/>
        </w:rPr>
        <w:t xml:space="preserve"> </w:t>
      </w:r>
      <w:r w:rsidRPr="00167CB8">
        <w:rPr>
          <w:rFonts w:eastAsia="Aptos" w:cs="Aptos"/>
        </w:rPr>
        <w:t>…</w:t>
      </w:r>
      <w:r w:rsidR="000348D3" w:rsidRPr="00167CB8">
        <w:rPr>
          <w:rFonts w:eastAsia="Aptos" w:cs="Aptos"/>
        </w:rPr>
        <w:t xml:space="preserve"> </w:t>
      </w:r>
      <w:r w:rsidRPr="00167CB8">
        <w:rPr>
          <w:rFonts w:eastAsia="Aptos" w:cs="Aptos"/>
        </w:rPr>
        <w:t>not to find an opportunity for certain employers</w:t>
      </w:r>
      <w:r w:rsidR="000348D3" w:rsidRPr="00167CB8">
        <w:rPr>
          <w:rFonts w:eastAsia="Aptos" w:cs="Aptos"/>
        </w:rPr>
        <w:t xml:space="preserve"> </w:t>
      </w:r>
      <w:r w:rsidRPr="00167CB8">
        <w:rPr>
          <w:rFonts w:eastAsia="Aptos" w:cs="Aptos"/>
        </w:rPr>
        <w:t>… to game the system and find ways to get conditions to go backwards</w:t>
      </w:r>
      <w:r w:rsidR="000348D3" w:rsidRPr="00167CB8">
        <w:rPr>
          <w:rFonts w:eastAsia="Aptos" w:cs="Aptos"/>
        </w:rPr>
        <w:t>’</w:t>
      </w:r>
      <w:r w:rsidRPr="00167CB8">
        <w:rPr>
          <w:rFonts w:eastAsia="Aptos" w:cs="Aptos"/>
        </w:rPr>
        <w:t>.</w:t>
      </w:r>
      <w:r w:rsidRPr="00167CB8">
        <w:rPr>
          <w:rStyle w:val="FootnoteReference"/>
          <w:rFonts w:eastAsia="Aptos" w:cs="Aptos"/>
        </w:rPr>
        <w:footnoteReference w:id="501"/>
      </w:r>
    </w:p>
    <w:p w14:paraId="7D649A9D" w14:textId="612C69DB" w:rsidR="00173F8E" w:rsidRPr="00167CB8" w:rsidRDefault="00173F8E" w:rsidP="00173F8E">
      <w:pPr>
        <w:rPr>
          <w:rFonts w:eastAsia="Aptos" w:cs="Aptos"/>
        </w:rPr>
      </w:pPr>
      <w:r w:rsidRPr="00167CB8">
        <w:rPr>
          <w:rFonts w:eastAsia="Aptos" w:cs="Aptos"/>
        </w:rPr>
        <w:t>These amendments included s</w:t>
      </w:r>
      <w:r w:rsidR="000348D3" w:rsidRPr="00167CB8">
        <w:rPr>
          <w:rFonts w:eastAsia="Aptos" w:cs="Aptos"/>
        </w:rPr>
        <w:t> </w:t>
      </w:r>
      <w:r w:rsidRPr="00167CB8">
        <w:rPr>
          <w:rFonts w:eastAsia="Aptos" w:cs="Aptos"/>
        </w:rPr>
        <w:t>274(3) of the Fair Work Act</w:t>
      </w:r>
      <w:r w:rsidR="000348D3" w:rsidRPr="00167CB8">
        <w:rPr>
          <w:rFonts w:eastAsia="Aptos" w:cs="Aptos"/>
        </w:rPr>
        <w:t>,</w:t>
      </w:r>
      <w:r w:rsidRPr="00167CB8">
        <w:rPr>
          <w:rFonts w:eastAsia="Aptos" w:cs="Aptos"/>
        </w:rPr>
        <w:t xml:space="preserve"> which sought to make sure terms that were agreed prior to the application for an IBD could not be ‘unagreed’. </w:t>
      </w:r>
    </w:p>
    <w:p w14:paraId="178C7C2A" w14:textId="1679AA13" w:rsidR="00173F8E" w:rsidRPr="00167CB8" w:rsidRDefault="00173F8E" w:rsidP="00173F8E">
      <w:pPr>
        <w:rPr>
          <w:rFonts w:eastAsia="Aptos" w:cs="Aptos"/>
        </w:rPr>
      </w:pPr>
      <w:r w:rsidRPr="00167CB8">
        <w:rPr>
          <w:rFonts w:eastAsia="Aptos" w:cs="Aptos"/>
        </w:rPr>
        <w:t xml:space="preserve">The ‘not less favourable’ amendment was intended to address an </w:t>
      </w:r>
      <w:r w:rsidR="00F154F4" w:rsidRPr="00167CB8">
        <w:rPr>
          <w:rFonts w:eastAsia="Aptos" w:cs="Aptos"/>
        </w:rPr>
        <w:t>‘</w:t>
      </w:r>
      <w:r w:rsidRPr="00167CB8">
        <w:rPr>
          <w:rFonts w:eastAsia="Aptos" w:cs="Aptos"/>
        </w:rPr>
        <w:t>unforeseen consequence</w:t>
      </w:r>
      <w:r w:rsidR="00F154F4" w:rsidRPr="00167CB8">
        <w:rPr>
          <w:rFonts w:eastAsia="Aptos" w:cs="Aptos"/>
        </w:rPr>
        <w:t>’</w:t>
      </w:r>
      <w:r w:rsidRPr="00167CB8">
        <w:rPr>
          <w:rFonts w:eastAsia="Aptos" w:cs="Aptos"/>
        </w:rPr>
        <w:t xml:space="preserve"> of the Secure Jobs, Better Pay amendments</w:t>
      </w:r>
      <w:r w:rsidRPr="00167CB8">
        <w:rPr>
          <w:rStyle w:val="FootnoteReference"/>
          <w:rFonts w:eastAsia="Aptos" w:cs="Aptos"/>
        </w:rPr>
        <w:footnoteReference w:id="502"/>
      </w:r>
      <w:r w:rsidRPr="00167CB8">
        <w:rPr>
          <w:rFonts w:eastAsia="Aptos" w:cs="Aptos"/>
        </w:rPr>
        <w:t xml:space="preserve"> </w:t>
      </w:r>
      <w:r w:rsidR="000348D3" w:rsidRPr="00167CB8">
        <w:rPr>
          <w:rFonts w:ascii="Symbol" w:eastAsia="Symbol" w:hAnsi="Symbol" w:cs="Symbol"/>
        </w:rPr>
        <w:sym w:font="Symbol" w:char="F02D"/>
      </w:r>
      <w:r w:rsidR="000348D3" w:rsidRPr="00167CB8">
        <w:rPr>
          <w:rFonts w:eastAsia="Aptos" w:cs="Aptos"/>
        </w:rPr>
        <w:t xml:space="preserve"> i</w:t>
      </w:r>
      <w:r w:rsidRPr="00167CB8">
        <w:rPr>
          <w:rFonts w:eastAsia="Aptos" w:cs="Aptos"/>
        </w:rPr>
        <w:t>n particular, that the provision incentivised employers to 'wait out negotiating periods</w:t>
      </w:r>
      <w:r w:rsidR="000348D3" w:rsidRPr="00167CB8">
        <w:rPr>
          <w:rFonts w:eastAsia="Aptos" w:cs="Aptos"/>
        </w:rPr>
        <w:t xml:space="preserve"> </w:t>
      </w:r>
      <w:r w:rsidRPr="00167CB8">
        <w:rPr>
          <w:rFonts w:eastAsia="Aptos" w:cs="Aptos"/>
        </w:rPr>
        <w:t>… to get the claims arbitrated and get the same result via a backdoor way' and by purportedly closing ‘the loophole … that, if you end up in arbitration, you can't go backwards’.</w:t>
      </w:r>
      <w:r w:rsidRPr="00167CB8">
        <w:rPr>
          <w:rStyle w:val="FootnoteReference"/>
          <w:rFonts w:eastAsia="Aptos" w:cs="Aptos"/>
        </w:rPr>
        <w:footnoteReference w:id="503"/>
      </w:r>
      <w:r w:rsidRPr="00167CB8">
        <w:rPr>
          <w:rFonts w:eastAsia="Aptos" w:cs="Aptos"/>
        </w:rPr>
        <w:t xml:space="preserve"> </w:t>
      </w:r>
    </w:p>
    <w:p w14:paraId="038405F1" w14:textId="0E99F981" w:rsidR="00173F8E" w:rsidRPr="00167CB8" w:rsidRDefault="003B14A5" w:rsidP="00173F8E">
      <w:pPr>
        <w:pStyle w:val="Heading4"/>
        <w:rPr>
          <w:rFonts w:asciiTheme="minorHAnsi" w:hAnsiTheme="minorHAnsi"/>
        </w:rPr>
      </w:pPr>
      <w:bookmarkStart w:id="203" w:name="_Toc189260244"/>
      <w:bookmarkStart w:id="204" w:name="_Toc189393560"/>
      <w:r w:rsidRPr="00167CB8">
        <w:rPr>
          <w:rFonts w:asciiTheme="minorHAnsi" w:hAnsiTheme="minorHAnsi"/>
        </w:rPr>
        <w:t>14</w:t>
      </w:r>
      <w:r w:rsidR="00173F8E" w:rsidRPr="00167CB8">
        <w:rPr>
          <w:rFonts w:asciiTheme="minorHAnsi" w:hAnsiTheme="minorHAnsi"/>
        </w:rPr>
        <w:t xml:space="preserve">.2 Impact </w:t>
      </w:r>
      <w:r w:rsidR="000348D3" w:rsidRPr="00167CB8">
        <w:rPr>
          <w:rFonts w:asciiTheme="minorHAnsi" w:hAnsiTheme="minorHAnsi"/>
        </w:rPr>
        <w:t>and i</w:t>
      </w:r>
      <w:r w:rsidR="00173F8E" w:rsidRPr="00167CB8">
        <w:rPr>
          <w:rFonts w:asciiTheme="minorHAnsi" w:hAnsiTheme="minorHAnsi"/>
        </w:rPr>
        <w:t>ssues</w:t>
      </w:r>
      <w:bookmarkEnd w:id="203"/>
      <w:bookmarkEnd w:id="204"/>
    </w:p>
    <w:p w14:paraId="7AE4A83E" w14:textId="5358CFF2" w:rsidR="00173F8E" w:rsidRPr="00167CB8" w:rsidRDefault="00173F8E" w:rsidP="00173F8E">
      <w:r w:rsidRPr="00167CB8">
        <w:t>The IBD provisions and how they operate have been subject to considerable attention since their introduction, including concerns they have been used as a bargaining tactic and that</w:t>
      </w:r>
      <w:r w:rsidR="000348D3" w:rsidRPr="00167CB8">
        <w:t>,</w:t>
      </w:r>
      <w:r w:rsidRPr="00167CB8">
        <w:t xml:space="preserve"> with their use, bargained terms and conditions that had previously been agreed were being ‘unagreed’. </w:t>
      </w:r>
    </w:p>
    <w:p w14:paraId="31174D7B" w14:textId="4405923E" w:rsidR="00173F8E" w:rsidRPr="00167CB8" w:rsidRDefault="003B14A5" w:rsidP="00173F8E">
      <w:pPr>
        <w:pStyle w:val="Heading5"/>
        <w:rPr>
          <w:rFonts w:asciiTheme="minorHAnsi" w:hAnsiTheme="minorHAnsi"/>
        </w:rPr>
      </w:pPr>
      <w:r w:rsidRPr="00167CB8">
        <w:rPr>
          <w:rFonts w:asciiTheme="minorHAnsi" w:hAnsiTheme="minorHAnsi"/>
        </w:rPr>
        <w:t>14</w:t>
      </w:r>
      <w:r w:rsidR="00173F8E" w:rsidRPr="00167CB8">
        <w:rPr>
          <w:rFonts w:asciiTheme="minorHAnsi" w:hAnsiTheme="minorHAnsi"/>
        </w:rPr>
        <w:t xml:space="preserve">.2.1 Quantitative </w:t>
      </w:r>
      <w:r w:rsidR="000348D3" w:rsidRPr="00167CB8">
        <w:rPr>
          <w:rFonts w:asciiTheme="minorHAnsi" w:hAnsiTheme="minorHAnsi"/>
        </w:rPr>
        <w:t>e</w:t>
      </w:r>
      <w:r w:rsidR="00173F8E" w:rsidRPr="00167CB8">
        <w:rPr>
          <w:rFonts w:asciiTheme="minorHAnsi" w:hAnsiTheme="minorHAnsi"/>
        </w:rPr>
        <w:t>vidence</w:t>
      </w:r>
    </w:p>
    <w:p w14:paraId="6604445E" w14:textId="24C84033" w:rsidR="00173F8E" w:rsidRPr="00167CB8" w:rsidRDefault="00173F8E" w:rsidP="00173F8E">
      <w:r w:rsidRPr="00167CB8">
        <w:t xml:space="preserve">The FWC </w:t>
      </w:r>
      <w:r w:rsidRPr="00167CB8">
        <w:rPr>
          <w:i/>
          <w:iCs/>
        </w:rPr>
        <w:t xml:space="preserve">Annual Report </w:t>
      </w:r>
      <w:r w:rsidR="000348D3" w:rsidRPr="00167CB8">
        <w:rPr>
          <w:i/>
          <w:iCs/>
        </w:rPr>
        <w:t>2022</w:t>
      </w:r>
      <w:r w:rsidR="000348D3" w:rsidRPr="00167CB8">
        <w:rPr>
          <w:rFonts w:ascii="Symbol" w:eastAsia="Symbol" w:hAnsi="Symbol" w:cs="Symbol"/>
          <w:i/>
        </w:rPr>
        <w:sym w:font="Symbol" w:char="F02D"/>
      </w:r>
      <w:r w:rsidR="000348D3" w:rsidRPr="00167CB8">
        <w:rPr>
          <w:i/>
          <w:iCs/>
        </w:rPr>
        <w:t>23</w:t>
      </w:r>
      <w:r w:rsidR="000348D3" w:rsidRPr="00167CB8">
        <w:t xml:space="preserve"> </w:t>
      </w:r>
      <w:r w:rsidRPr="00167CB8">
        <w:t>stated that the FWC received one application for an IBD, which was later discontinued.</w:t>
      </w:r>
      <w:r w:rsidRPr="00167CB8">
        <w:rPr>
          <w:rStyle w:val="FootnoteReference"/>
        </w:rPr>
        <w:footnoteReference w:id="504"/>
      </w:r>
    </w:p>
    <w:p w14:paraId="4CBFBE70" w14:textId="315398AE" w:rsidR="00173F8E" w:rsidRPr="00167CB8" w:rsidRDefault="00173F8E" w:rsidP="00173F8E">
      <w:r w:rsidRPr="00167CB8">
        <w:t xml:space="preserve">In the FWC’s </w:t>
      </w:r>
      <w:r w:rsidRPr="00167CB8">
        <w:rPr>
          <w:i/>
          <w:iCs/>
        </w:rPr>
        <w:t>Annual Report</w:t>
      </w:r>
      <w:r w:rsidR="000348D3" w:rsidRPr="00167CB8">
        <w:rPr>
          <w:i/>
          <w:iCs/>
        </w:rPr>
        <w:t xml:space="preserve"> 2023</w:t>
      </w:r>
      <w:r w:rsidR="000348D3" w:rsidRPr="00167CB8">
        <w:rPr>
          <w:rFonts w:ascii="Symbol" w:eastAsia="Symbol" w:hAnsi="Symbol" w:cs="Symbol"/>
          <w:i/>
        </w:rPr>
        <w:sym w:font="Symbol" w:char="F02D"/>
      </w:r>
      <w:r w:rsidR="000348D3" w:rsidRPr="00167CB8">
        <w:rPr>
          <w:i/>
          <w:iCs/>
        </w:rPr>
        <w:t>24</w:t>
      </w:r>
      <w:r w:rsidRPr="00167CB8">
        <w:t>, it noted that it had received 11 applications for an IBD.</w:t>
      </w:r>
      <w:r w:rsidRPr="00167CB8">
        <w:rPr>
          <w:rStyle w:val="FootnoteReference"/>
        </w:rPr>
        <w:footnoteReference w:id="505"/>
      </w:r>
    </w:p>
    <w:p w14:paraId="72F9A4ED" w14:textId="405C9C50" w:rsidR="00173F8E" w:rsidRPr="00167CB8" w:rsidRDefault="00173F8E" w:rsidP="00173F8E">
      <w:r w:rsidRPr="00167CB8">
        <w:t xml:space="preserve">As at </w:t>
      </w:r>
      <w:r w:rsidR="00466CAE" w:rsidRPr="00167CB8">
        <w:t xml:space="preserve">17 </w:t>
      </w:r>
      <w:r w:rsidRPr="00167CB8">
        <w:t xml:space="preserve">January 2025, the FWC had issued 9 </w:t>
      </w:r>
      <w:r w:rsidR="000348D3" w:rsidRPr="00167CB8">
        <w:t xml:space="preserve">IBDs </w:t>
      </w:r>
      <w:r w:rsidRPr="00167CB8">
        <w:t xml:space="preserve">and 2 </w:t>
      </w:r>
      <w:r w:rsidR="000348D3" w:rsidRPr="00167CB8">
        <w:t xml:space="preserve">IBWDs </w:t>
      </w:r>
      <w:r w:rsidRPr="00167CB8">
        <w:t xml:space="preserve">since the </w:t>
      </w:r>
      <w:r w:rsidR="007C6D23" w:rsidRPr="00167CB8">
        <w:t>amendments commenced on 6 June 2023</w:t>
      </w:r>
      <w:r w:rsidRPr="00167CB8">
        <w:t xml:space="preserve">. </w:t>
      </w:r>
    </w:p>
    <w:p w14:paraId="6E391AEC" w14:textId="451155F6" w:rsidR="00173F8E" w:rsidRPr="00167CB8" w:rsidRDefault="00F154F4" w:rsidP="00173F8E">
      <w:r w:rsidRPr="00167CB8">
        <w:t xml:space="preserve">Table </w:t>
      </w:r>
      <w:r w:rsidR="000F30AF" w:rsidRPr="00167CB8">
        <w:t>10</w:t>
      </w:r>
      <w:r w:rsidR="00173F8E" w:rsidRPr="00167CB8">
        <w:t xml:space="preserve"> contains a list of all </w:t>
      </w:r>
      <w:r w:rsidR="00173F8E" w:rsidRPr="00167CB8" w:rsidDel="006A33A9">
        <w:t xml:space="preserve">intractable bargaining </w:t>
      </w:r>
      <w:r w:rsidR="00173F8E" w:rsidRPr="00167CB8">
        <w:t xml:space="preserve">declarations (made </w:t>
      </w:r>
      <w:r w:rsidR="00ED3355" w:rsidRPr="00167CB8">
        <w:t xml:space="preserve">by the FWC </w:t>
      </w:r>
      <w:r w:rsidR="00173F8E" w:rsidRPr="00167CB8">
        <w:t>under s</w:t>
      </w:r>
      <w:r w:rsidRPr="00167CB8">
        <w:t> </w:t>
      </w:r>
      <w:r w:rsidR="00173F8E" w:rsidRPr="00167CB8">
        <w:t xml:space="preserve">234 of the Fair Work Act) </w:t>
      </w:r>
      <w:r w:rsidR="00401B91" w:rsidRPr="00167CB8">
        <w:t xml:space="preserve">between the commencement of the amendments on 6 June 2023 and </w:t>
      </w:r>
      <w:r w:rsidR="00065E8C" w:rsidRPr="00167CB8">
        <w:t xml:space="preserve">17 </w:t>
      </w:r>
      <w:r w:rsidR="00401B91" w:rsidRPr="00167CB8">
        <w:t>January 2025</w:t>
      </w:r>
      <w:r w:rsidR="00173F8E" w:rsidRPr="00167CB8">
        <w:t>.</w:t>
      </w:r>
    </w:p>
    <w:p w14:paraId="4F53C621" w14:textId="77777777" w:rsidR="00BC3D97" w:rsidRDefault="00BC3D97">
      <w:pPr>
        <w:spacing w:after="160"/>
        <w:rPr>
          <w:rFonts w:cs="Calibri"/>
          <w:b/>
          <w:bCs/>
          <w:lang w:val="en-US"/>
        </w:rPr>
      </w:pPr>
      <w:r>
        <w:br w:type="page"/>
      </w:r>
    </w:p>
    <w:p w14:paraId="1FCAAF45" w14:textId="5BE7311B" w:rsidR="00173F8E" w:rsidRPr="00167CB8" w:rsidRDefault="000348D3" w:rsidP="00470AB9">
      <w:pPr>
        <w:pStyle w:val="Caption"/>
      </w:pPr>
      <w:r w:rsidRPr="00167CB8">
        <w:lastRenderedPageBreak/>
        <w:t xml:space="preserve">Table </w:t>
      </w:r>
      <w:r w:rsidR="000F30AF" w:rsidRPr="00167CB8">
        <w:t>10</w:t>
      </w:r>
      <w:r w:rsidRPr="00167CB8">
        <w:t xml:space="preserve">: </w:t>
      </w:r>
      <w:r w:rsidR="00173F8E" w:rsidRPr="00167CB8">
        <w:t xml:space="preserve">Intractable </w:t>
      </w:r>
      <w:r w:rsidRPr="00167CB8">
        <w:t>b</w:t>
      </w:r>
      <w:r w:rsidR="00173F8E" w:rsidRPr="00167CB8">
        <w:t xml:space="preserve">argaining </w:t>
      </w:r>
      <w:r w:rsidRPr="00167CB8">
        <w:t>d</w:t>
      </w:r>
      <w:r w:rsidR="00173F8E" w:rsidRPr="00167CB8">
        <w:t xml:space="preserve">eclarations made as of </w:t>
      </w:r>
      <w:r w:rsidR="00065E8C" w:rsidRPr="00167CB8">
        <w:t xml:space="preserve">17 </w:t>
      </w:r>
      <w:r w:rsidR="00173F8E" w:rsidRPr="00167CB8">
        <w:t>January 2025</w:t>
      </w:r>
    </w:p>
    <w:tbl>
      <w:tblPr>
        <w:tblW w:w="9066" w:type="dxa"/>
        <w:tblCellMar>
          <w:left w:w="0" w:type="dxa"/>
          <w:right w:w="0" w:type="dxa"/>
        </w:tblCellMar>
        <w:tblLook w:val="04A0" w:firstRow="1" w:lastRow="0" w:firstColumn="1" w:lastColumn="0" w:noHBand="0" w:noVBand="1"/>
      </w:tblPr>
      <w:tblGrid>
        <w:gridCol w:w="1550"/>
        <w:gridCol w:w="2957"/>
        <w:gridCol w:w="1282"/>
        <w:gridCol w:w="3277"/>
      </w:tblGrid>
      <w:tr w:rsidR="00173F8E" w:rsidRPr="00167CB8" w14:paraId="3A699A5B" w14:textId="77777777" w:rsidTr="00BC3D97">
        <w:trPr>
          <w:trHeight w:val="744"/>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B2B452" w14:textId="0C02B78A" w:rsidR="00173F8E" w:rsidRPr="00167CB8" w:rsidRDefault="00173F8E">
            <w:r w:rsidRPr="00167CB8">
              <w:rPr>
                <w:b/>
                <w:bCs/>
              </w:rPr>
              <w:t xml:space="preserve">Date of </w:t>
            </w:r>
            <w:r w:rsidR="000348D3" w:rsidRPr="00167CB8">
              <w:rPr>
                <w:b/>
                <w:bCs/>
              </w:rPr>
              <w:t>d</w:t>
            </w:r>
            <w:r w:rsidRPr="00167CB8">
              <w:rPr>
                <w:b/>
                <w:bCs/>
              </w:rPr>
              <w:t>ecision</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BBC87DB" w14:textId="77777777" w:rsidR="00173F8E" w:rsidRPr="00167CB8" w:rsidRDefault="00173F8E">
            <w:r w:rsidRPr="00167CB8">
              <w:rPr>
                <w:b/>
                <w:bCs/>
              </w:rPr>
              <w:t>Decision</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5AB49CC5" w14:textId="77777777" w:rsidR="00173F8E" w:rsidRPr="00167CB8" w:rsidRDefault="00173F8E">
            <w:r w:rsidRPr="00167CB8">
              <w:rPr>
                <w:b/>
                <w:bCs/>
              </w:rPr>
              <w:t>Outcome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5DEF24F4" w14:textId="5F47CF0C" w:rsidR="00173F8E" w:rsidRPr="00167CB8" w:rsidRDefault="00173F8E">
            <w:r w:rsidRPr="00167CB8">
              <w:rPr>
                <w:b/>
                <w:bCs/>
              </w:rPr>
              <w:t xml:space="preserve">Subject </w:t>
            </w:r>
            <w:r w:rsidR="000348D3" w:rsidRPr="00167CB8">
              <w:rPr>
                <w:b/>
                <w:bCs/>
              </w:rPr>
              <w:t>c</w:t>
            </w:r>
            <w:r w:rsidRPr="00167CB8">
              <w:rPr>
                <w:b/>
                <w:bCs/>
              </w:rPr>
              <w:t>ompanies</w:t>
            </w:r>
          </w:p>
        </w:tc>
      </w:tr>
      <w:tr w:rsidR="00173F8E" w:rsidRPr="00167CB8" w14:paraId="52DBEF1A" w14:textId="77777777" w:rsidTr="00BC3D97">
        <w:trPr>
          <w:trHeight w:val="1082"/>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E4571E" w14:textId="77777777" w:rsidR="00173F8E" w:rsidRPr="00BC3D97" w:rsidRDefault="00173F8E">
            <w:pPr>
              <w:rPr>
                <w:sz w:val="20"/>
                <w:szCs w:val="20"/>
              </w:rPr>
            </w:pPr>
            <w:r w:rsidRPr="00BC3D97">
              <w:rPr>
                <w:sz w:val="20"/>
                <w:szCs w:val="20"/>
              </w:rPr>
              <w:t>24 December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37EED385" w14:textId="77777777" w:rsidR="00173F8E" w:rsidRPr="00BC3D97" w:rsidRDefault="00173F8E">
            <w:pPr>
              <w:rPr>
                <w:sz w:val="20"/>
                <w:szCs w:val="20"/>
              </w:rPr>
            </w:pPr>
            <w:r w:rsidRPr="00BC3D97">
              <w:rPr>
                <w:i/>
                <w:iCs/>
                <w:sz w:val="20"/>
                <w:szCs w:val="20"/>
              </w:rPr>
              <w:t>Transdev Sydney Pty Ltd &amp; Great River City Light Rail Pty Ltd v Australian Rail, Tram and Bus Industry Union</w:t>
            </w:r>
            <w:r w:rsidRPr="00BC3D97">
              <w:rPr>
                <w:sz w:val="20"/>
                <w:szCs w:val="20"/>
              </w:rPr>
              <w:t xml:space="preserve"> [2024] FWC 3594</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603562F1"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7B219848" w14:textId="77777777" w:rsidR="00173F8E" w:rsidRPr="00BC3D97" w:rsidRDefault="00173F8E">
            <w:pPr>
              <w:rPr>
                <w:sz w:val="20"/>
                <w:szCs w:val="20"/>
              </w:rPr>
            </w:pPr>
            <w:r w:rsidRPr="00BC3D97">
              <w:rPr>
                <w:sz w:val="20"/>
                <w:szCs w:val="20"/>
              </w:rPr>
              <w:t>Australian Rail, Tram and Bus Industry Union</w:t>
            </w:r>
          </w:p>
        </w:tc>
      </w:tr>
      <w:tr w:rsidR="00173F8E" w:rsidRPr="00167CB8" w14:paraId="79E637F5" w14:textId="77777777" w:rsidTr="00BC3D97">
        <w:trPr>
          <w:trHeight w:val="1229"/>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70967B" w14:textId="77777777" w:rsidR="00173F8E" w:rsidRPr="00BC3D97" w:rsidRDefault="00173F8E">
            <w:pPr>
              <w:rPr>
                <w:sz w:val="20"/>
                <w:szCs w:val="20"/>
              </w:rPr>
            </w:pPr>
            <w:r w:rsidRPr="00BC3D97">
              <w:rPr>
                <w:sz w:val="20"/>
                <w:szCs w:val="20"/>
              </w:rPr>
              <w:t xml:space="preserve">12 November 2024 </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2C49C4F3" w14:textId="77777777" w:rsidR="00173F8E" w:rsidRPr="00BC3D97" w:rsidRDefault="00173F8E">
            <w:pPr>
              <w:rPr>
                <w:sz w:val="20"/>
                <w:szCs w:val="20"/>
              </w:rPr>
            </w:pPr>
            <w:r w:rsidRPr="00BC3D97">
              <w:rPr>
                <w:i/>
                <w:iCs/>
                <w:sz w:val="20"/>
                <w:szCs w:val="20"/>
              </w:rPr>
              <w:t>Australian Salaried Medical Officers Federation v Australian Capital Territory as represented by Canberra Health Services</w:t>
            </w:r>
            <w:r w:rsidRPr="00BC3D97">
              <w:rPr>
                <w:sz w:val="20"/>
                <w:szCs w:val="20"/>
              </w:rPr>
              <w:t xml:space="preserve"> [2024] FWC 3117</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25157712"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4385AA62" w14:textId="77777777" w:rsidR="00173F8E" w:rsidRPr="00BC3D97" w:rsidRDefault="00173F8E">
            <w:pPr>
              <w:rPr>
                <w:sz w:val="20"/>
                <w:szCs w:val="20"/>
              </w:rPr>
            </w:pPr>
            <w:r w:rsidRPr="00BC3D97">
              <w:rPr>
                <w:sz w:val="20"/>
                <w:szCs w:val="20"/>
              </w:rPr>
              <w:t xml:space="preserve">ACT Government </w:t>
            </w:r>
          </w:p>
        </w:tc>
      </w:tr>
      <w:tr w:rsidR="00173F8E" w:rsidRPr="00167CB8" w14:paraId="4D817559"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FDA15A" w14:textId="77777777" w:rsidR="00173F8E" w:rsidRPr="00BC3D97" w:rsidRDefault="00173F8E">
            <w:pPr>
              <w:rPr>
                <w:sz w:val="20"/>
                <w:szCs w:val="20"/>
              </w:rPr>
            </w:pPr>
            <w:r w:rsidRPr="00BC3D97">
              <w:rPr>
                <w:sz w:val="20"/>
                <w:szCs w:val="20"/>
              </w:rPr>
              <w:t>6 November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1023AA2D" w14:textId="77777777" w:rsidR="00173F8E" w:rsidRPr="00BC3D97" w:rsidRDefault="00173F8E">
            <w:pPr>
              <w:rPr>
                <w:sz w:val="20"/>
                <w:szCs w:val="20"/>
              </w:rPr>
            </w:pPr>
            <w:r w:rsidRPr="00BC3D97">
              <w:rPr>
                <w:i/>
                <w:iCs/>
                <w:sz w:val="20"/>
                <w:szCs w:val="20"/>
              </w:rPr>
              <w:t>CEPU and Others</w:t>
            </w:r>
            <w:r w:rsidRPr="00BC3D97">
              <w:rPr>
                <w:sz w:val="20"/>
                <w:szCs w:val="20"/>
              </w:rPr>
              <w:t xml:space="preserve"> [2024] FWC 3063</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434447D4"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2D8474CC" w14:textId="77777777" w:rsidR="00173F8E" w:rsidRPr="00BC3D97" w:rsidRDefault="00173F8E">
            <w:pPr>
              <w:rPr>
                <w:sz w:val="20"/>
                <w:szCs w:val="20"/>
              </w:rPr>
            </w:pPr>
            <w:r w:rsidRPr="00BC3D97">
              <w:rPr>
                <w:sz w:val="20"/>
                <w:szCs w:val="20"/>
              </w:rPr>
              <w:t xml:space="preserve">Endeavour Energy Network Management Pty Ltd </w:t>
            </w:r>
          </w:p>
        </w:tc>
      </w:tr>
      <w:tr w:rsidR="00173F8E" w:rsidRPr="00167CB8" w14:paraId="44ECB8F7"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7FBCDB" w14:textId="77777777" w:rsidR="00173F8E" w:rsidRPr="00BC3D97" w:rsidRDefault="00173F8E">
            <w:pPr>
              <w:rPr>
                <w:sz w:val="20"/>
                <w:szCs w:val="20"/>
              </w:rPr>
            </w:pPr>
            <w:r w:rsidRPr="00BC3D97">
              <w:rPr>
                <w:sz w:val="20"/>
                <w:szCs w:val="20"/>
              </w:rPr>
              <w:t>14 October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117D227C" w14:textId="77777777" w:rsidR="00173F8E" w:rsidRPr="00BC3D97" w:rsidRDefault="00173F8E">
            <w:pPr>
              <w:rPr>
                <w:sz w:val="20"/>
                <w:szCs w:val="20"/>
              </w:rPr>
            </w:pPr>
            <w:r w:rsidRPr="00BC3D97">
              <w:rPr>
                <w:i/>
                <w:iCs/>
                <w:sz w:val="20"/>
                <w:szCs w:val="20"/>
              </w:rPr>
              <w:t>NSW Electricity Networks Operations Pty Limited as Trustee for NSW Electricity Networks Operations Trust T/A Transgrid v CEPU, MEU, ASU, CPSU, and Professionals Australia</w:t>
            </w:r>
            <w:r w:rsidRPr="00BC3D97">
              <w:rPr>
                <w:sz w:val="20"/>
                <w:szCs w:val="20"/>
              </w:rPr>
              <w:t xml:space="preserve"> [2024] FWC 2841</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8A0AB85"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16E0B0D6" w14:textId="77777777" w:rsidR="00173F8E" w:rsidRPr="00BC3D97" w:rsidRDefault="00173F8E">
            <w:pPr>
              <w:rPr>
                <w:sz w:val="20"/>
                <w:szCs w:val="20"/>
              </w:rPr>
            </w:pPr>
            <w:r w:rsidRPr="00BC3D97">
              <w:rPr>
                <w:sz w:val="20"/>
                <w:szCs w:val="20"/>
              </w:rPr>
              <w:t>Communications, Electrical, Electronic, Energy, Information, Postal, Plumbing and Allied Services Union of Australia (CEPU), Mining and Energy Union (MEU), Australian Municipal, Administrative, Clerical and Services Union (ASU), Community and Public Sector Union (CPSU), and Professionals Australia</w:t>
            </w:r>
          </w:p>
        </w:tc>
      </w:tr>
      <w:tr w:rsidR="00173F8E" w:rsidRPr="00167CB8" w14:paraId="099DEB2D"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80B08D" w14:textId="77777777" w:rsidR="00173F8E" w:rsidRPr="00BC3D97" w:rsidRDefault="00173F8E">
            <w:pPr>
              <w:rPr>
                <w:sz w:val="20"/>
                <w:szCs w:val="20"/>
              </w:rPr>
            </w:pPr>
            <w:r w:rsidRPr="00BC3D97">
              <w:rPr>
                <w:sz w:val="20"/>
                <w:szCs w:val="20"/>
              </w:rPr>
              <w:t>27 September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C01DC61" w14:textId="2589E845" w:rsidR="00173F8E" w:rsidRPr="00BC3D97" w:rsidRDefault="00173F8E">
            <w:pPr>
              <w:rPr>
                <w:sz w:val="20"/>
                <w:szCs w:val="20"/>
              </w:rPr>
            </w:pPr>
            <w:r w:rsidRPr="00BC3D97">
              <w:rPr>
                <w:i/>
                <w:iCs/>
                <w:sz w:val="20"/>
                <w:szCs w:val="20"/>
              </w:rPr>
              <w:t>Terminals Pty Ltd T/A Quantem Bulk Liquid Storage &amp; Handling v United Workers</w:t>
            </w:r>
            <w:r w:rsidR="00F671A0" w:rsidRPr="00BC3D97">
              <w:rPr>
                <w:i/>
                <w:iCs/>
                <w:sz w:val="20"/>
                <w:szCs w:val="20"/>
              </w:rPr>
              <w:t>’</w:t>
            </w:r>
            <w:r w:rsidRPr="00BC3D97">
              <w:rPr>
                <w:i/>
                <w:iCs/>
                <w:sz w:val="20"/>
                <w:szCs w:val="20"/>
              </w:rPr>
              <w:t xml:space="preserve"> Union</w:t>
            </w:r>
            <w:r w:rsidRPr="00BC3D97">
              <w:rPr>
                <w:sz w:val="20"/>
                <w:szCs w:val="20"/>
              </w:rPr>
              <w:t xml:space="preserve"> [2024] FWC 2707</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3E702FD5" w14:textId="77777777" w:rsidR="00173F8E" w:rsidRPr="00BC3D97" w:rsidRDefault="00173F8E">
            <w:pPr>
              <w:rPr>
                <w:sz w:val="20"/>
                <w:szCs w:val="20"/>
              </w:rPr>
            </w:pPr>
            <w:r w:rsidRPr="00BC3D97">
              <w:rPr>
                <w:sz w:val="20"/>
                <w:szCs w:val="20"/>
              </w:rPr>
              <w:t xml:space="preserve">Declaration made </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70E7D9DD" w14:textId="36A0735D" w:rsidR="00173F8E" w:rsidRPr="00BC3D97" w:rsidRDefault="00173F8E">
            <w:pPr>
              <w:rPr>
                <w:sz w:val="20"/>
                <w:szCs w:val="20"/>
              </w:rPr>
            </w:pPr>
            <w:r w:rsidRPr="00BC3D97">
              <w:rPr>
                <w:sz w:val="20"/>
                <w:szCs w:val="20"/>
              </w:rPr>
              <w:t>United Workers</w:t>
            </w:r>
            <w:r w:rsidR="00F671A0" w:rsidRPr="00BC3D97">
              <w:rPr>
                <w:sz w:val="20"/>
                <w:szCs w:val="20"/>
              </w:rPr>
              <w:t>’</w:t>
            </w:r>
            <w:r w:rsidRPr="00BC3D97">
              <w:rPr>
                <w:sz w:val="20"/>
                <w:szCs w:val="20"/>
              </w:rPr>
              <w:t xml:space="preserve"> Union</w:t>
            </w:r>
          </w:p>
        </w:tc>
      </w:tr>
      <w:tr w:rsidR="00173F8E" w:rsidRPr="00167CB8" w14:paraId="1B05291D"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53C271" w14:textId="77777777" w:rsidR="00173F8E" w:rsidRPr="00BC3D97" w:rsidRDefault="00173F8E">
            <w:pPr>
              <w:rPr>
                <w:sz w:val="20"/>
                <w:szCs w:val="20"/>
              </w:rPr>
            </w:pPr>
            <w:r w:rsidRPr="00BC3D97">
              <w:rPr>
                <w:sz w:val="20"/>
                <w:szCs w:val="20"/>
              </w:rPr>
              <w:t>15 March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4A571928" w14:textId="44767786" w:rsidR="00173F8E" w:rsidRPr="00BC3D97" w:rsidRDefault="00173F8E">
            <w:pPr>
              <w:rPr>
                <w:sz w:val="20"/>
                <w:szCs w:val="20"/>
              </w:rPr>
            </w:pPr>
            <w:r w:rsidRPr="00BC3D97">
              <w:rPr>
                <w:i/>
                <w:iCs/>
                <w:sz w:val="20"/>
                <w:szCs w:val="20"/>
              </w:rPr>
              <w:t>Network Aviation Pty Ltd as Trustee for The Network Trust T/A Network Aviation Australia v Australian Federation of Air Pilots, Australian and International Pilots Association &amp; Transport Workers</w:t>
            </w:r>
            <w:r w:rsidR="00F671A0" w:rsidRPr="00BC3D97">
              <w:rPr>
                <w:i/>
                <w:iCs/>
                <w:sz w:val="20"/>
                <w:szCs w:val="20"/>
              </w:rPr>
              <w:t>’</w:t>
            </w:r>
            <w:r w:rsidRPr="00BC3D97">
              <w:rPr>
                <w:i/>
                <w:iCs/>
                <w:sz w:val="20"/>
                <w:szCs w:val="20"/>
              </w:rPr>
              <w:t xml:space="preserve"> Union of Australia</w:t>
            </w:r>
            <w:r w:rsidRPr="00BC3D97">
              <w:rPr>
                <w:sz w:val="20"/>
                <w:szCs w:val="20"/>
              </w:rPr>
              <w:t xml:space="preserve"> [2024] FWC 685</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A6CDE8A"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DA200CB" w14:textId="0FD42720" w:rsidR="00173F8E" w:rsidRPr="00BC3D97" w:rsidRDefault="00173F8E">
            <w:pPr>
              <w:rPr>
                <w:sz w:val="20"/>
                <w:szCs w:val="20"/>
              </w:rPr>
            </w:pPr>
            <w:r w:rsidRPr="00BC3D97">
              <w:rPr>
                <w:sz w:val="20"/>
                <w:szCs w:val="20"/>
              </w:rPr>
              <w:t>Australian Federation of Air Pilots, Australian and International Pilots Association, and Transport Workers</w:t>
            </w:r>
            <w:r w:rsidR="00F671A0" w:rsidRPr="00BC3D97">
              <w:rPr>
                <w:sz w:val="20"/>
                <w:szCs w:val="20"/>
              </w:rPr>
              <w:t>’</w:t>
            </w:r>
            <w:r w:rsidRPr="00BC3D97">
              <w:rPr>
                <w:sz w:val="20"/>
                <w:szCs w:val="20"/>
              </w:rPr>
              <w:t xml:space="preserve"> Union of Australia</w:t>
            </w:r>
          </w:p>
        </w:tc>
      </w:tr>
      <w:tr w:rsidR="00173F8E" w:rsidRPr="00167CB8" w14:paraId="2A803880"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070E4F" w14:textId="77777777" w:rsidR="00173F8E" w:rsidRPr="00BC3D97" w:rsidRDefault="00173F8E">
            <w:pPr>
              <w:rPr>
                <w:sz w:val="20"/>
                <w:szCs w:val="20"/>
              </w:rPr>
            </w:pPr>
            <w:r w:rsidRPr="00BC3D97">
              <w:rPr>
                <w:sz w:val="20"/>
                <w:szCs w:val="20"/>
              </w:rPr>
              <w:t>7 March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19BCBF33" w14:textId="58EDA920" w:rsidR="00173F8E" w:rsidRPr="00BC3D97" w:rsidRDefault="00173F8E">
            <w:pPr>
              <w:rPr>
                <w:sz w:val="20"/>
                <w:szCs w:val="20"/>
              </w:rPr>
            </w:pPr>
            <w:r w:rsidRPr="00BC3D97">
              <w:rPr>
                <w:i/>
                <w:iCs/>
                <w:sz w:val="20"/>
                <w:szCs w:val="20"/>
              </w:rPr>
              <w:t>Transport Workers</w:t>
            </w:r>
            <w:r w:rsidR="00F671A0" w:rsidRPr="00BC3D97">
              <w:rPr>
                <w:i/>
                <w:iCs/>
                <w:sz w:val="20"/>
                <w:szCs w:val="20"/>
              </w:rPr>
              <w:t>’</w:t>
            </w:r>
            <w:r w:rsidRPr="00BC3D97">
              <w:rPr>
                <w:i/>
                <w:iCs/>
                <w:sz w:val="20"/>
                <w:szCs w:val="20"/>
              </w:rPr>
              <w:t xml:space="preserve"> Union of Australia v Cleanaway Operations Pty Ltd T/A Cleanaway Operations Pty Ltd</w:t>
            </w:r>
            <w:r w:rsidRPr="00BC3D97">
              <w:rPr>
                <w:sz w:val="20"/>
                <w:szCs w:val="20"/>
              </w:rPr>
              <w:t xml:space="preserve"> (Unanderra) [2024] FWCFB 127</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78FFBA7A"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5A1C7F2" w14:textId="77777777" w:rsidR="00173F8E" w:rsidRPr="00BC3D97" w:rsidRDefault="00173F8E">
            <w:pPr>
              <w:rPr>
                <w:sz w:val="20"/>
                <w:szCs w:val="20"/>
              </w:rPr>
            </w:pPr>
            <w:r w:rsidRPr="00BC3D97">
              <w:rPr>
                <w:sz w:val="20"/>
                <w:szCs w:val="20"/>
              </w:rPr>
              <w:t>Cleanaway Operations Pty Ltd (Unanderra)</w:t>
            </w:r>
          </w:p>
        </w:tc>
      </w:tr>
      <w:tr w:rsidR="00173F8E" w:rsidRPr="00167CB8" w14:paraId="16185BEF"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045913" w14:textId="77777777" w:rsidR="00173F8E" w:rsidRPr="00BC3D97" w:rsidRDefault="00173F8E">
            <w:pPr>
              <w:rPr>
                <w:sz w:val="20"/>
                <w:szCs w:val="20"/>
              </w:rPr>
            </w:pPr>
            <w:r w:rsidRPr="00BC3D97">
              <w:rPr>
                <w:sz w:val="20"/>
                <w:szCs w:val="20"/>
              </w:rPr>
              <w:lastRenderedPageBreak/>
              <w:t>12 January 2024</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5D9E7D3" w14:textId="307E1ACD" w:rsidR="00173F8E" w:rsidRPr="00BC3D97" w:rsidRDefault="00173F8E">
            <w:pPr>
              <w:rPr>
                <w:sz w:val="20"/>
                <w:szCs w:val="20"/>
              </w:rPr>
            </w:pPr>
            <w:r w:rsidRPr="00BC3D97">
              <w:rPr>
                <w:i/>
                <w:iCs/>
                <w:sz w:val="20"/>
                <w:szCs w:val="20"/>
              </w:rPr>
              <w:t>Transport Workers</w:t>
            </w:r>
            <w:r w:rsidR="00F671A0" w:rsidRPr="00BC3D97">
              <w:rPr>
                <w:i/>
                <w:iCs/>
                <w:sz w:val="20"/>
                <w:szCs w:val="20"/>
              </w:rPr>
              <w:t>’</w:t>
            </w:r>
            <w:r w:rsidRPr="00BC3D97">
              <w:rPr>
                <w:i/>
                <w:iCs/>
                <w:sz w:val="20"/>
                <w:szCs w:val="20"/>
              </w:rPr>
              <w:t xml:space="preserve"> Union of Australia v Cleanaway Operations Pty Ltd</w:t>
            </w:r>
            <w:r w:rsidRPr="00BC3D97">
              <w:rPr>
                <w:sz w:val="20"/>
                <w:szCs w:val="20"/>
              </w:rPr>
              <w:t xml:space="preserve"> [2024] FWC 91</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139F4CCB" w14:textId="70D6ECB5" w:rsidR="00173F8E" w:rsidRPr="00BC3D97" w:rsidRDefault="00173F8E">
            <w:pPr>
              <w:rPr>
                <w:sz w:val="20"/>
                <w:szCs w:val="20"/>
              </w:rPr>
            </w:pPr>
            <w:r w:rsidRPr="00BC3D97">
              <w:rPr>
                <w:sz w:val="20"/>
                <w:szCs w:val="20"/>
              </w:rPr>
              <w:t xml:space="preserve">Declaration </w:t>
            </w:r>
            <w:r w:rsidR="00F671A0" w:rsidRPr="00BC3D97">
              <w:rPr>
                <w:sz w:val="20"/>
                <w:szCs w:val="20"/>
              </w:rPr>
              <w:t>m</w:t>
            </w:r>
            <w:r w:rsidRPr="00BC3D97">
              <w:rPr>
                <w:sz w:val="20"/>
                <w:szCs w:val="20"/>
              </w:rPr>
              <w:t>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6151B1A1" w14:textId="77777777" w:rsidR="00173F8E" w:rsidRPr="00BC3D97" w:rsidRDefault="00173F8E">
            <w:pPr>
              <w:rPr>
                <w:sz w:val="20"/>
                <w:szCs w:val="20"/>
              </w:rPr>
            </w:pPr>
            <w:r w:rsidRPr="00BC3D97">
              <w:rPr>
                <w:sz w:val="20"/>
                <w:szCs w:val="20"/>
              </w:rPr>
              <w:t>Cleanaway Operations Pty Ltd (Erskine Park)</w:t>
            </w:r>
          </w:p>
        </w:tc>
      </w:tr>
      <w:tr w:rsidR="00173F8E" w:rsidRPr="00167CB8" w14:paraId="3BFDC220" w14:textId="77777777" w:rsidTr="00BC3D97">
        <w:trPr>
          <w:trHeight w:val="55"/>
        </w:trPr>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5B1F51" w14:textId="77777777" w:rsidR="00173F8E" w:rsidRPr="00BC3D97" w:rsidRDefault="00173F8E">
            <w:pPr>
              <w:rPr>
                <w:sz w:val="20"/>
                <w:szCs w:val="20"/>
              </w:rPr>
            </w:pPr>
            <w:r w:rsidRPr="00BC3D97">
              <w:rPr>
                <w:sz w:val="20"/>
                <w:szCs w:val="20"/>
              </w:rPr>
              <w:t>4 October 2023</w:t>
            </w:r>
          </w:p>
        </w:tc>
        <w:tc>
          <w:tcPr>
            <w:tcW w:w="295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6CCD2A88" w14:textId="44CB012A" w:rsidR="00173F8E" w:rsidRPr="00BC3D97" w:rsidRDefault="00173F8E">
            <w:pPr>
              <w:rPr>
                <w:sz w:val="20"/>
                <w:szCs w:val="20"/>
              </w:rPr>
            </w:pPr>
            <w:r w:rsidRPr="00BC3D97">
              <w:rPr>
                <w:i/>
                <w:iCs/>
                <w:sz w:val="20"/>
                <w:szCs w:val="20"/>
              </w:rPr>
              <w:t>United Firefighters</w:t>
            </w:r>
            <w:r w:rsidR="00F671A0" w:rsidRPr="00BC3D97">
              <w:rPr>
                <w:i/>
                <w:iCs/>
                <w:sz w:val="20"/>
                <w:szCs w:val="20"/>
              </w:rPr>
              <w:t>’</w:t>
            </w:r>
            <w:r w:rsidRPr="00BC3D97">
              <w:rPr>
                <w:i/>
                <w:iCs/>
                <w:sz w:val="20"/>
                <w:szCs w:val="20"/>
              </w:rPr>
              <w:t xml:space="preserve"> Union of Australia v Fire Rescue Victoria</w:t>
            </w:r>
            <w:r w:rsidRPr="00BC3D97">
              <w:rPr>
                <w:sz w:val="20"/>
                <w:szCs w:val="20"/>
              </w:rPr>
              <w:t xml:space="preserve"> [2023] FWCFB 180</w:t>
            </w:r>
          </w:p>
        </w:tc>
        <w:tc>
          <w:tcPr>
            <w:tcW w:w="128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15E5A7E2" w14:textId="77777777" w:rsidR="00173F8E" w:rsidRPr="00BC3D97" w:rsidRDefault="00173F8E">
            <w:pPr>
              <w:rPr>
                <w:sz w:val="20"/>
                <w:szCs w:val="20"/>
              </w:rPr>
            </w:pPr>
            <w:r w:rsidRPr="00BC3D97">
              <w:rPr>
                <w:sz w:val="20"/>
                <w:szCs w:val="20"/>
              </w:rPr>
              <w:t>Declaration made</w:t>
            </w:r>
          </w:p>
        </w:tc>
        <w:tc>
          <w:tcPr>
            <w:tcW w:w="3277"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266641F9" w14:textId="77777777" w:rsidR="00173F8E" w:rsidRPr="00BC3D97" w:rsidRDefault="00173F8E">
            <w:pPr>
              <w:rPr>
                <w:sz w:val="20"/>
                <w:szCs w:val="20"/>
              </w:rPr>
            </w:pPr>
            <w:r w:rsidRPr="00BC3D97">
              <w:rPr>
                <w:sz w:val="20"/>
                <w:szCs w:val="20"/>
              </w:rPr>
              <w:t>Fire Rescue Victoria</w:t>
            </w:r>
          </w:p>
        </w:tc>
      </w:tr>
    </w:tbl>
    <w:p w14:paraId="110D2935" w14:textId="77777777" w:rsidR="00173F8E" w:rsidRPr="00167CB8" w:rsidRDefault="00173F8E" w:rsidP="00173F8E"/>
    <w:p w14:paraId="40F29917" w14:textId="63F3B590" w:rsidR="00173F8E" w:rsidRPr="00167CB8" w:rsidRDefault="00F671A0" w:rsidP="00173F8E">
      <w:r w:rsidRPr="00167CB8">
        <w:t>T</w:t>
      </w:r>
      <w:r w:rsidR="00173F8E" w:rsidRPr="00167CB8">
        <w:t xml:space="preserve">able </w:t>
      </w:r>
      <w:r w:rsidR="001D063C" w:rsidRPr="00167CB8">
        <w:t>11</w:t>
      </w:r>
      <w:r w:rsidRPr="00167CB8">
        <w:t xml:space="preserve"> </w:t>
      </w:r>
      <w:r w:rsidR="00173F8E" w:rsidRPr="00167CB8">
        <w:t xml:space="preserve">contains a list of all IBWDs (made </w:t>
      </w:r>
      <w:r w:rsidR="004142AE" w:rsidRPr="00167CB8">
        <w:t xml:space="preserve">by the FWC </w:t>
      </w:r>
      <w:r w:rsidR="00173F8E" w:rsidRPr="00167CB8">
        <w:t>under s</w:t>
      </w:r>
      <w:r w:rsidR="00F154F4" w:rsidRPr="00167CB8">
        <w:t> </w:t>
      </w:r>
      <w:r w:rsidR="00173F8E" w:rsidRPr="00167CB8">
        <w:t>269 of the Fair Work Act) since the provisions commenced.</w:t>
      </w:r>
    </w:p>
    <w:p w14:paraId="35E7E218" w14:textId="06022FE9" w:rsidR="00173F8E" w:rsidRPr="00167CB8" w:rsidRDefault="00F671A0" w:rsidP="00470AB9">
      <w:pPr>
        <w:pStyle w:val="Caption"/>
      </w:pPr>
      <w:r w:rsidRPr="00167CB8">
        <w:t xml:space="preserve">Table </w:t>
      </w:r>
      <w:r w:rsidR="003C56E0" w:rsidRPr="00167CB8">
        <w:t>11</w:t>
      </w:r>
      <w:r w:rsidRPr="00167CB8">
        <w:t xml:space="preserve">: </w:t>
      </w:r>
      <w:r w:rsidR="00173F8E" w:rsidRPr="00167CB8">
        <w:t xml:space="preserve">Intractable </w:t>
      </w:r>
      <w:r w:rsidRPr="00167CB8">
        <w:t>b</w:t>
      </w:r>
      <w:r w:rsidR="00173F8E" w:rsidRPr="00167CB8">
        <w:t xml:space="preserve">argaining </w:t>
      </w:r>
      <w:r w:rsidRPr="00167CB8">
        <w:t>w</w:t>
      </w:r>
      <w:r w:rsidR="00173F8E" w:rsidRPr="00167CB8">
        <w:t xml:space="preserve">orkplace </w:t>
      </w:r>
      <w:r w:rsidRPr="00167CB8">
        <w:t>d</w:t>
      </w:r>
      <w:r w:rsidR="00173F8E" w:rsidRPr="00167CB8">
        <w:t xml:space="preserve">eterminations made as of </w:t>
      </w:r>
      <w:r w:rsidR="002D229B" w:rsidRPr="00167CB8">
        <w:t xml:space="preserve">17 </w:t>
      </w:r>
      <w:r w:rsidR="00173F8E" w:rsidRPr="00167CB8">
        <w:t xml:space="preserve">January 2025 </w:t>
      </w:r>
    </w:p>
    <w:tbl>
      <w:tblPr>
        <w:tblW w:w="0" w:type="auto"/>
        <w:tblCellMar>
          <w:left w:w="0" w:type="dxa"/>
          <w:right w:w="0" w:type="dxa"/>
        </w:tblCellMar>
        <w:tblLook w:val="04A0" w:firstRow="1" w:lastRow="0" w:firstColumn="1" w:lastColumn="0" w:noHBand="0" w:noVBand="1"/>
        <w:tblCaption w:val=""/>
        <w:tblDescription w:val=""/>
      </w:tblPr>
      <w:tblGrid>
        <w:gridCol w:w="1536"/>
        <w:gridCol w:w="2919"/>
        <w:gridCol w:w="1408"/>
        <w:gridCol w:w="3143"/>
      </w:tblGrid>
      <w:tr w:rsidR="00173F8E" w:rsidRPr="00167CB8" w14:paraId="352F4B2C" w14:textId="77777777" w:rsidTr="00792D6E">
        <w:tc>
          <w:tcPr>
            <w:tcW w:w="15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D98B49" w14:textId="77777777" w:rsidR="00173F8E" w:rsidRPr="00167CB8" w:rsidRDefault="00173F8E">
            <w:r w:rsidRPr="00167CB8">
              <w:rPr>
                <w:b/>
                <w:bCs/>
              </w:rPr>
              <w:t>Date of decision</w:t>
            </w:r>
          </w:p>
        </w:tc>
        <w:tc>
          <w:tcPr>
            <w:tcW w:w="2976"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03C13DD3" w14:textId="77777777" w:rsidR="00173F8E" w:rsidRPr="00167CB8" w:rsidRDefault="00173F8E">
            <w:r w:rsidRPr="00167CB8">
              <w:rPr>
                <w:b/>
                <w:bCs/>
              </w:rPr>
              <w:t>Decision</w:t>
            </w:r>
          </w:p>
        </w:tc>
        <w:tc>
          <w:tcPr>
            <w:tcW w:w="1276"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276D7403" w14:textId="77777777" w:rsidR="00173F8E" w:rsidRPr="00167CB8" w:rsidRDefault="00173F8E">
            <w:r w:rsidRPr="00167CB8">
              <w:rPr>
                <w:b/>
                <w:bCs/>
              </w:rPr>
              <w:t>Outcome</w:t>
            </w:r>
          </w:p>
        </w:tc>
        <w:tc>
          <w:tcPr>
            <w:tcW w:w="3204"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14:paraId="2D085EF3" w14:textId="77777777" w:rsidR="00173F8E" w:rsidRPr="00167CB8" w:rsidRDefault="00173F8E">
            <w:r w:rsidRPr="00167CB8">
              <w:rPr>
                <w:b/>
                <w:bCs/>
              </w:rPr>
              <w:t xml:space="preserve">Subject companies </w:t>
            </w:r>
          </w:p>
        </w:tc>
      </w:tr>
      <w:tr w:rsidR="00A27275" w:rsidRPr="00167CB8" w14:paraId="5D9C2A5D" w14:textId="77777777" w:rsidTr="00792D6E">
        <w:tc>
          <w:tcPr>
            <w:tcW w:w="155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263A7FB" w14:textId="1CF4BA90" w:rsidR="00A27275" w:rsidRPr="00792D6E" w:rsidRDefault="00A27275" w:rsidP="00A27275">
            <w:pPr>
              <w:rPr>
                <w:sz w:val="20"/>
                <w:szCs w:val="20"/>
              </w:rPr>
            </w:pPr>
            <w:r w:rsidRPr="00792D6E">
              <w:rPr>
                <w:sz w:val="20"/>
                <w:szCs w:val="20"/>
              </w:rPr>
              <w:t>4 September 2024</w:t>
            </w:r>
          </w:p>
        </w:tc>
        <w:tc>
          <w:tcPr>
            <w:tcW w:w="2976" w:type="dxa"/>
            <w:tcBorders>
              <w:top w:val="nil"/>
              <w:left w:val="nil"/>
              <w:bottom w:val="single" w:sz="8" w:space="0" w:color="A3A3A3"/>
              <w:right w:val="single" w:sz="8" w:space="0" w:color="A3A3A3"/>
            </w:tcBorders>
            <w:tcMar>
              <w:top w:w="80" w:type="dxa"/>
              <w:left w:w="80" w:type="dxa"/>
              <w:bottom w:w="80" w:type="dxa"/>
              <w:right w:w="80" w:type="dxa"/>
            </w:tcMar>
            <w:hideMark/>
          </w:tcPr>
          <w:p w14:paraId="74302F95" w14:textId="5E3711AF" w:rsidR="00A27275" w:rsidRPr="00792D6E" w:rsidRDefault="00A27275" w:rsidP="00A27275">
            <w:pPr>
              <w:rPr>
                <w:sz w:val="20"/>
                <w:szCs w:val="20"/>
              </w:rPr>
            </w:pPr>
            <w:r w:rsidRPr="00792D6E">
              <w:rPr>
                <w:i/>
                <w:iCs/>
                <w:sz w:val="20"/>
                <w:szCs w:val="20"/>
              </w:rPr>
              <w:t>Transport Workers’ Union of Australia v Cleanaway Operations Pty Ltd T/A Cleanaway Operations Pty Ltd (Unanderra)</w:t>
            </w:r>
            <w:r w:rsidRPr="00792D6E">
              <w:rPr>
                <w:sz w:val="20"/>
                <w:szCs w:val="20"/>
              </w:rPr>
              <w:t xml:space="preserve"> [2024] FWCFB 305</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779E5A71" w14:textId="77777777" w:rsidR="00A27275" w:rsidRPr="00792D6E" w:rsidRDefault="00A27275" w:rsidP="00A27275">
            <w:pPr>
              <w:rPr>
                <w:sz w:val="20"/>
                <w:szCs w:val="20"/>
              </w:rPr>
            </w:pPr>
            <w:r w:rsidRPr="00792D6E">
              <w:rPr>
                <w:sz w:val="20"/>
                <w:szCs w:val="20"/>
              </w:rPr>
              <w:t xml:space="preserve">Determination made </w:t>
            </w:r>
          </w:p>
        </w:tc>
        <w:tc>
          <w:tcPr>
            <w:tcW w:w="3204" w:type="dxa"/>
            <w:tcBorders>
              <w:top w:val="nil"/>
              <w:left w:val="nil"/>
              <w:bottom w:val="single" w:sz="8" w:space="0" w:color="A3A3A3"/>
              <w:right w:val="single" w:sz="8" w:space="0" w:color="A3A3A3"/>
            </w:tcBorders>
            <w:tcMar>
              <w:top w:w="80" w:type="dxa"/>
              <w:left w:w="80" w:type="dxa"/>
              <w:bottom w:w="80" w:type="dxa"/>
              <w:right w:w="80" w:type="dxa"/>
            </w:tcMar>
            <w:hideMark/>
          </w:tcPr>
          <w:p w14:paraId="11008FDF" w14:textId="77777777" w:rsidR="00A27275" w:rsidRPr="00792D6E" w:rsidRDefault="00A27275" w:rsidP="00A27275">
            <w:pPr>
              <w:rPr>
                <w:sz w:val="20"/>
                <w:szCs w:val="20"/>
              </w:rPr>
            </w:pPr>
            <w:r w:rsidRPr="00792D6E">
              <w:rPr>
                <w:sz w:val="20"/>
                <w:szCs w:val="20"/>
              </w:rPr>
              <w:t>Cleanaway Operations Pty Ltd (Unanderra)</w:t>
            </w:r>
          </w:p>
        </w:tc>
      </w:tr>
      <w:tr w:rsidR="00A27275" w:rsidRPr="00167CB8" w14:paraId="2844B6AB" w14:textId="77777777" w:rsidTr="00792D6E">
        <w:tc>
          <w:tcPr>
            <w:tcW w:w="155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4B120F25" w14:textId="73A5F3A3" w:rsidR="00A27275" w:rsidRPr="00792D6E" w:rsidRDefault="00A27275" w:rsidP="00A27275">
            <w:pPr>
              <w:rPr>
                <w:sz w:val="20"/>
                <w:szCs w:val="20"/>
              </w:rPr>
            </w:pPr>
            <w:r w:rsidRPr="00792D6E">
              <w:rPr>
                <w:sz w:val="20"/>
                <w:szCs w:val="20"/>
              </w:rPr>
              <w:t>26 June 2024</w:t>
            </w:r>
          </w:p>
        </w:tc>
        <w:tc>
          <w:tcPr>
            <w:tcW w:w="2976" w:type="dxa"/>
            <w:tcBorders>
              <w:top w:val="nil"/>
              <w:left w:val="nil"/>
              <w:bottom w:val="single" w:sz="8" w:space="0" w:color="A3A3A3"/>
              <w:right w:val="single" w:sz="8" w:space="0" w:color="A3A3A3"/>
            </w:tcBorders>
            <w:tcMar>
              <w:top w:w="80" w:type="dxa"/>
              <w:left w:w="80" w:type="dxa"/>
              <w:bottom w:w="80" w:type="dxa"/>
              <w:right w:w="80" w:type="dxa"/>
            </w:tcMar>
            <w:hideMark/>
          </w:tcPr>
          <w:p w14:paraId="0EDBE4B9" w14:textId="01AE4D28" w:rsidR="00A27275" w:rsidRPr="00792D6E" w:rsidRDefault="00A27275" w:rsidP="00A27275">
            <w:pPr>
              <w:rPr>
                <w:sz w:val="20"/>
                <w:szCs w:val="20"/>
              </w:rPr>
            </w:pPr>
            <w:r w:rsidRPr="00792D6E">
              <w:rPr>
                <w:i/>
                <w:iCs/>
                <w:sz w:val="20"/>
                <w:szCs w:val="20"/>
              </w:rPr>
              <w:t>Transport Workers’ Union of Australia v Cleanaway Operations Pty Ltd T/A Cleanaway Operations Pty Ltd (Erskine Park)</w:t>
            </w:r>
            <w:r w:rsidRPr="00792D6E">
              <w:rPr>
                <w:sz w:val="20"/>
                <w:szCs w:val="20"/>
              </w:rPr>
              <w:t xml:space="preserve"> [2024] FWCFB 287</w:t>
            </w:r>
          </w:p>
        </w:tc>
        <w:tc>
          <w:tcPr>
            <w:tcW w:w="1276" w:type="dxa"/>
            <w:tcBorders>
              <w:top w:val="nil"/>
              <w:left w:val="nil"/>
              <w:bottom w:val="single" w:sz="8" w:space="0" w:color="A3A3A3"/>
              <w:right w:val="single" w:sz="8" w:space="0" w:color="A3A3A3"/>
            </w:tcBorders>
            <w:tcMar>
              <w:top w:w="80" w:type="dxa"/>
              <w:left w:w="80" w:type="dxa"/>
              <w:bottom w:w="80" w:type="dxa"/>
              <w:right w:w="80" w:type="dxa"/>
            </w:tcMar>
            <w:hideMark/>
          </w:tcPr>
          <w:p w14:paraId="24E23E5D" w14:textId="77777777" w:rsidR="00A27275" w:rsidRPr="00792D6E" w:rsidRDefault="00A27275" w:rsidP="00A27275">
            <w:pPr>
              <w:rPr>
                <w:sz w:val="20"/>
                <w:szCs w:val="20"/>
              </w:rPr>
            </w:pPr>
            <w:r w:rsidRPr="00792D6E">
              <w:rPr>
                <w:sz w:val="20"/>
                <w:szCs w:val="20"/>
              </w:rPr>
              <w:t>Determination made</w:t>
            </w:r>
          </w:p>
        </w:tc>
        <w:tc>
          <w:tcPr>
            <w:tcW w:w="3204" w:type="dxa"/>
            <w:tcBorders>
              <w:top w:val="nil"/>
              <w:left w:val="nil"/>
              <w:bottom w:val="single" w:sz="8" w:space="0" w:color="A3A3A3"/>
              <w:right w:val="single" w:sz="8" w:space="0" w:color="A3A3A3"/>
            </w:tcBorders>
            <w:tcMar>
              <w:top w:w="80" w:type="dxa"/>
              <w:left w:w="80" w:type="dxa"/>
              <w:bottom w:w="80" w:type="dxa"/>
              <w:right w:w="80" w:type="dxa"/>
            </w:tcMar>
            <w:hideMark/>
          </w:tcPr>
          <w:p w14:paraId="167F2F42" w14:textId="77777777" w:rsidR="00A27275" w:rsidRPr="00792D6E" w:rsidRDefault="00A27275" w:rsidP="00A27275">
            <w:pPr>
              <w:rPr>
                <w:sz w:val="20"/>
                <w:szCs w:val="20"/>
              </w:rPr>
            </w:pPr>
            <w:r w:rsidRPr="00792D6E">
              <w:rPr>
                <w:sz w:val="20"/>
                <w:szCs w:val="20"/>
              </w:rPr>
              <w:t>Cleanaway Operations Pty Ltd (Erskine Park)</w:t>
            </w:r>
          </w:p>
        </w:tc>
      </w:tr>
    </w:tbl>
    <w:p w14:paraId="6F2080BB" w14:textId="77777777" w:rsidR="00173F8E" w:rsidRPr="00167CB8" w:rsidRDefault="00173F8E" w:rsidP="00173F8E"/>
    <w:p w14:paraId="4CF77221" w14:textId="16D29E32" w:rsidR="00173F8E" w:rsidRPr="00167CB8" w:rsidRDefault="003B14A5" w:rsidP="00173F8E">
      <w:pPr>
        <w:pStyle w:val="Heading5"/>
        <w:rPr>
          <w:rFonts w:asciiTheme="minorHAnsi" w:hAnsiTheme="minorHAnsi"/>
        </w:rPr>
      </w:pPr>
      <w:r w:rsidRPr="00167CB8">
        <w:rPr>
          <w:rFonts w:asciiTheme="minorHAnsi" w:hAnsiTheme="minorHAnsi"/>
        </w:rPr>
        <w:t>14</w:t>
      </w:r>
      <w:r w:rsidR="00173F8E" w:rsidRPr="00167CB8">
        <w:rPr>
          <w:rFonts w:asciiTheme="minorHAnsi" w:hAnsiTheme="minorHAnsi"/>
        </w:rPr>
        <w:t xml:space="preserve">.2.2 Qualitative </w:t>
      </w:r>
      <w:r w:rsidR="00F671A0" w:rsidRPr="00167CB8">
        <w:rPr>
          <w:rFonts w:asciiTheme="minorHAnsi" w:hAnsiTheme="minorHAnsi"/>
        </w:rPr>
        <w:t>e</w:t>
      </w:r>
      <w:r w:rsidR="00173F8E" w:rsidRPr="00167CB8">
        <w:rPr>
          <w:rFonts w:asciiTheme="minorHAnsi" w:hAnsiTheme="minorHAnsi"/>
        </w:rPr>
        <w:t>vidence</w:t>
      </w:r>
    </w:p>
    <w:p w14:paraId="4BE240EB" w14:textId="7D84AB3E" w:rsidR="00173F8E" w:rsidRPr="00167CB8" w:rsidRDefault="00173F8E" w:rsidP="00173F8E">
      <w:pPr>
        <w:rPr>
          <w:bCs/>
          <w:iCs/>
        </w:rPr>
      </w:pPr>
      <w:r w:rsidRPr="00167CB8">
        <w:rPr>
          <w:bCs/>
          <w:iCs/>
        </w:rPr>
        <w:t xml:space="preserve">The FWC has considered the intractable bargaining provisions introduced by the Secure Jobs, Better Pay Act in a number of decisions, including what constitutes an ‘agreed term’, where there is </w:t>
      </w:r>
      <w:r w:rsidR="00FF620A">
        <w:rPr>
          <w:bCs/>
          <w:iCs/>
        </w:rPr>
        <w:t>‘</w:t>
      </w:r>
      <w:r w:rsidRPr="00167CB8">
        <w:rPr>
          <w:bCs/>
          <w:iCs/>
        </w:rPr>
        <w:t>no reasonable prospect of agreement</w:t>
      </w:r>
      <w:r w:rsidR="00FF620A">
        <w:rPr>
          <w:bCs/>
          <w:iCs/>
        </w:rPr>
        <w:t>’</w:t>
      </w:r>
      <w:r w:rsidRPr="00167CB8">
        <w:rPr>
          <w:bCs/>
          <w:iCs/>
        </w:rPr>
        <w:t xml:space="preserve"> and the </w:t>
      </w:r>
      <w:r w:rsidR="00FF620A">
        <w:rPr>
          <w:bCs/>
          <w:iCs/>
        </w:rPr>
        <w:t>‘</w:t>
      </w:r>
      <w:r w:rsidRPr="00167CB8">
        <w:rPr>
          <w:bCs/>
          <w:iCs/>
        </w:rPr>
        <w:t>not less favourable</w:t>
      </w:r>
      <w:r w:rsidR="00FF620A">
        <w:rPr>
          <w:bCs/>
          <w:iCs/>
        </w:rPr>
        <w:t>’</w:t>
      </w:r>
      <w:r w:rsidRPr="00167CB8">
        <w:rPr>
          <w:bCs/>
          <w:iCs/>
        </w:rPr>
        <w:t xml:space="preserve"> provisions</w:t>
      </w:r>
      <w:r w:rsidRPr="00167CB8" w:rsidDel="001B02BD">
        <w:rPr>
          <w:bCs/>
          <w:iCs/>
        </w:rPr>
        <w:t>.</w:t>
      </w:r>
      <w:r w:rsidR="00796DFB" w:rsidRPr="00167CB8">
        <w:rPr>
          <w:bCs/>
          <w:iCs/>
        </w:rPr>
        <w:t xml:space="preserve"> The following section discusses </w:t>
      </w:r>
      <w:r w:rsidR="00D74844">
        <w:rPr>
          <w:bCs/>
          <w:iCs/>
        </w:rPr>
        <w:t>four</w:t>
      </w:r>
      <w:r w:rsidR="00F671A0" w:rsidRPr="00167CB8">
        <w:rPr>
          <w:bCs/>
          <w:iCs/>
        </w:rPr>
        <w:t xml:space="preserve"> </w:t>
      </w:r>
      <w:r w:rsidR="00F227FB" w:rsidRPr="00167CB8">
        <w:rPr>
          <w:bCs/>
          <w:iCs/>
        </w:rPr>
        <w:t>FWC decisions.</w:t>
      </w:r>
    </w:p>
    <w:p w14:paraId="7A0F8C24" w14:textId="1EA1FABC" w:rsidR="00173F8E" w:rsidRPr="00167CB8" w:rsidRDefault="00BB1A74" w:rsidP="00173F8E">
      <w:r>
        <w:t>First, t</w:t>
      </w:r>
      <w:r w:rsidR="00173F8E" w:rsidRPr="00167CB8">
        <w:t xml:space="preserve">he applicant (UFU) and the respondent (FRV) are currently covered by the </w:t>
      </w:r>
      <w:r w:rsidR="00173F8E" w:rsidRPr="00167CB8">
        <w:rPr>
          <w:i/>
        </w:rPr>
        <w:t xml:space="preserve">Fire Rescue Victoria Operational </w:t>
      </w:r>
      <w:r w:rsidR="00173F8E" w:rsidRPr="00167CB8">
        <w:rPr>
          <w:i/>
          <w:iCs/>
        </w:rPr>
        <w:t>E</w:t>
      </w:r>
      <w:r w:rsidR="00173F8E" w:rsidRPr="00167CB8">
        <w:rPr>
          <w:i/>
        </w:rPr>
        <w:t>mployees Interim Enterprise Agreement 2020</w:t>
      </w:r>
      <w:r w:rsidR="00173F8E" w:rsidRPr="00167CB8">
        <w:t>. On 4 October 2023, a Full Bench of the FWC made an IBD, with the post-negotiating period ending on 18 October 2023. The Full Bench was required to make an IBWD ‘as quickly as possible’ under s</w:t>
      </w:r>
      <w:r w:rsidR="00F671A0" w:rsidRPr="00167CB8">
        <w:t> </w:t>
      </w:r>
      <w:r w:rsidR="00173F8E" w:rsidRPr="00167CB8">
        <w:t>269 of the Fair Work Act.</w:t>
      </w:r>
      <w:r w:rsidR="00173F8E" w:rsidRPr="00167CB8">
        <w:rPr>
          <w:rStyle w:val="FootnoteReference"/>
        </w:rPr>
        <w:footnoteReference w:id="506"/>
      </w:r>
    </w:p>
    <w:p w14:paraId="418046C0" w14:textId="3248F025" w:rsidR="00173F8E" w:rsidRPr="00167CB8" w:rsidRDefault="00173F8E" w:rsidP="00173F8E">
      <w:r w:rsidRPr="00167CB8">
        <w:lastRenderedPageBreak/>
        <w:t>One of the prerequisites in making an IBWD was any ‘agreed terms’ under s</w:t>
      </w:r>
      <w:r w:rsidR="00F671A0" w:rsidRPr="00167CB8">
        <w:t> </w:t>
      </w:r>
      <w:r w:rsidRPr="00167CB8">
        <w:t>274 of the Fair Work Act.</w:t>
      </w:r>
      <w:r w:rsidRPr="00167CB8">
        <w:rPr>
          <w:rStyle w:val="FootnoteReference"/>
        </w:rPr>
        <w:footnoteReference w:id="507"/>
      </w:r>
      <w:r w:rsidRPr="00167CB8">
        <w:t xml:space="preserve"> On 5 February 2024</w:t>
      </w:r>
      <w:r w:rsidR="0023451A">
        <w:t>,</w:t>
      </w:r>
      <w:r w:rsidRPr="00167CB8">
        <w:t xml:space="preserve"> the Full Bench determined that there were no </w:t>
      </w:r>
      <w:r w:rsidR="00F671A0" w:rsidRPr="00167CB8">
        <w:t>‘</w:t>
      </w:r>
      <w:r w:rsidRPr="00167CB8">
        <w:t>agreed terms</w:t>
      </w:r>
      <w:r w:rsidR="00F671A0" w:rsidRPr="00167CB8">
        <w:t>’</w:t>
      </w:r>
      <w:r w:rsidRPr="00167CB8">
        <w:t xml:space="preserve"> within the meaning of this section.</w:t>
      </w:r>
    </w:p>
    <w:p w14:paraId="71270F62" w14:textId="3E278CFF" w:rsidR="00173F8E" w:rsidRPr="00167CB8" w:rsidRDefault="00173F8E" w:rsidP="00173F8E">
      <w:r w:rsidRPr="00167CB8">
        <w:t>In interpreting s</w:t>
      </w:r>
      <w:r w:rsidR="00F671A0" w:rsidRPr="00167CB8">
        <w:t> </w:t>
      </w:r>
      <w:r w:rsidRPr="00167CB8">
        <w:t>274(3), the Full Bench drew the following conclusions:</w:t>
      </w:r>
    </w:p>
    <w:p w14:paraId="0286286D" w14:textId="0515CEC1" w:rsidR="00173F8E" w:rsidRPr="00167CB8" w:rsidRDefault="00F671A0" w:rsidP="00EA3E2F">
      <w:pPr>
        <w:pStyle w:val="ListBullet"/>
      </w:pPr>
      <w:r w:rsidRPr="00167CB8">
        <w:t>T</w:t>
      </w:r>
      <w:r w:rsidR="00173F8E" w:rsidRPr="00167CB8">
        <w:t>he meaning of ‘agreed’ is not defined under the Fair Work Act and should take its ordinary meaning. This ordinary meaning ‘requires there to be a consensus or meeting of the minds between the parties about the subject matter of the said agreement</w:t>
      </w:r>
      <w:r w:rsidRPr="00167CB8">
        <w:t>’</w:t>
      </w:r>
      <w:r w:rsidR="00173F8E" w:rsidRPr="00167CB8">
        <w:t>.</w:t>
      </w:r>
      <w:r w:rsidR="00173F8E" w:rsidRPr="00167CB8">
        <w:rPr>
          <w:rStyle w:val="FootnoteReference"/>
        </w:rPr>
        <w:footnoteReference w:id="508"/>
      </w:r>
    </w:p>
    <w:p w14:paraId="6FC9A0F5" w14:textId="30A9748B" w:rsidR="00173F8E" w:rsidRPr="00167CB8" w:rsidRDefault="00173F8E" w:rsidP="00EA3E2F">
      <w:pPr>
        <w:pStyle w:val="ListBullet"/>
      </w:pPr>
      <w:r w:rsidRPr="00167CB8">
        <w:t xml:space="preserve">Despite the changes made by the Secure Jobs, Better Pay amendments, the meaning of ‘agreed’ has not changed throughout the Fair Work Act or </w:t>
      </w:r>
      <w:r w:rsidR="00F154F4" w:rsidRPr="00167CB8">
        <w:t xml:space="preserve">in </w:t>
      </w:r>
      <w:r w:rsidRPr="00167CB8">
        <w:t xml:space="preserve">related legislation such as the </w:t>
      </w:r>
      <w:r w:rsidRPr="00167CB8">
        <w:rPr>
          <w:i/>
        </w:rPr>
        <w:t>Competition and Consumer Act 2010</w:t>
      </w:r>
      <w:r w:rsidRPr="00167CB8">
        <w:t xml:space="preserve"> (Cth)</w:t>
      </w:r>
      <w:r w:rsidR="00F671A0" w:rsidRPr="00167CB8">
        <w:t>.</w:t>
      </w:r>
      <w:r w:rsidRPr="00167CB8">
        <w:rPr>
          <w:rStyle w:val="FootnoteReference"/>
        </w:rPr>
        <w:footnoteReference w:id="509"/>
      </w:r>
    </w:p>
    <w:p w14:paraId="2530BC29" w14:textId="529428AE" w:rsidR="00173F8E" w:rsidRPr="00167CB8" w:rsidRDefault="00173F8E" w:rsidP="00EA3E2F">
      <w:pPr>
        <w:pStyle w:val="ListBullet"/>
      </w:pPr>
      <w:r w:rsidRPr="00167CB8">
        <w:t xml:space="preserve">Any matters ‘agreed’ to ‘in principle’ or ‘subject to’ certain terms or limitations </w:t>
      </w:r>
      <w:r w:rsidR="00F671A0" w:rsidRPr="00167CB8">
        <w:t xml:space="preserve">are </w:t>
      </w:r>
      <w:r w:rsidRPr="00167CB8">
        <w:t xml:space="preserve">‘strongly indicative that those matters would not be </w:t>
      </w:r>
      <w:r w:rsidR="00F671A0" w:rsidRPr="00167CB8">
        <w:t>“</w:t>
      </w:r>
      <w:r w:rsidRPr="00167CB8">
        <w:t>agreed</w:t>
      </w:r>
      <w:r w:rsidR="00F671A0" w:rsidRPr="00167CB8">
        <w:t>”</w:t>
      </w:r>
      <w:r w:rsidRPr="00167CB8">
        <w:t xml:space="preserve"> for the purpose of </w:t>
      </w:r>
      <w:r w:rsidR="00F671A0" w:rsidRPr="00167CB8">
        <w:t>s </w:t>
      </w:r>
      <w:r w:rsidRPr="00167CB8">
        <w:t>247(3)’.</w:t>
      </w:r>
      <w:r w:rsidRPr="00167CB8">
        <w:rPr>
          <w:rStyle w:val="FootnoteReference"/>
        </w:rPr>
        <w:footnoteReference w:id="510"/>
      </w:r>
    </w:p>
    <w:p w14:paraId="59AF43B0" w14:textId="4F8CC1C6" w:rsidR="00173F8E" w:rsidRPr="00167CB8" w:rsidRDefault="00173F8E" w:rsidP="00173F8E">
      <w:r w:rsidRPr="00167CB8">
        <w:t>The Full Bench held that any terms that FRV ‘agreed’ to at the relevant time, that being the end of the post-declaration negotiating period, were in-principle and not agreed terms for the purpose of s</w:t>
      </w:r>
      <w:r w:rsidR="00F671A0" w:rsidRPr="00167CB8">
        <w:t> </w:t>
      </w:r>
      <w:r w:rsidRPr="00167CB8">
        <w:t>247(3). As such, the ‘bargaining parties did not make any “agreed terms” for the proposed enterprise agreement</w:t>
      </w:r>
      <w:r w:rsidR="00F671A0" w:rsidRPr="00167CB8">
        <w:t>’</w:t>
      </w:r>
      <w:r w:rsidRPr="00167CB8">
        <w:t>.</w:t>
      </w:r>
      <w:r w:rsidRPr="00167CB8">
        <w:rPr>
          <w:rStyle w:val="FootnoteReference"/>
        </w:rPr>
        <w:footnoteReference w:id="511"/>
      </w:r>
    </w:p>
    <w:p w14:paraId="33C4AC20" w14:textId="269147EC" w:rsidR="00173F8E" w:rsidRPr="00167CB8" w:rsidRDefault="0023451A" w:rsidP="00173F8E">
      <w:r>
        <w:t>Se</w:t>
      </w:r>
      <w:r w:rsidR="00F53038">
        <w:t>cond, t</w:t>
      </w:r>
      <w:r w:rsidR="00173F8E" w:rsidRPr="00167CB8">
        <w:t xml:space="preserve">he decision in </w:t>
      </w:r>
      <w:r w:rsidR="00173F8E" w:rsidRPr="00167CB8">
        <w:rPr>
          <w:i/>
          <w:iCs/>
        </w:rPr>
        <w:t xml:space="preserve">Chief Commissioner of Victoria Police </w:t>
      </w:r>
      <w:r w:rsidR="00F154F4" w:rsidRPr="00167CB8">
        <w:rPr>
          <w:i/>
          <w:iCs/>
        </w:rPr>
        <w:t>t/as</w:t>
      </w:r>
      <w:r w:rsidR="00173F8E" w:rsidRPr="00167CB8">
        <w:rPr>
          <w:i/>
          <w:iCs/>
        </w:rPr>
        <w:t xml:space="preserve"> Victoria Police v Police Federation of Australia &amp; Ors</w:t>
      </w:r>
      <w:r w:rsidR="00173F8E" w:rsidRPr="00167CB8">
        <w:rPr>
          <w:i/>
        </w:rPr>
        <w:t xml:space="preserve"> </w:t>
      </w:r>
      <w:r w:rsidR="00173F8E" w:rsidRPr="00167CB8">
        <w:t>(3 January 2025)</w:t>
      </w:r>
      <w:r w:rsidR="00173F8E" w:rsidRPr="00167CB8">
        <w:rPr>
          <w:rStyle w:val="FootnoteReference"/>
        </w:rPr>
        <w:footnoteReference w:id="512"/>
      </w:r>
      <w:r w:rsidR="00173F8E" w:rsidRPr="00167CB8">
        <w:t xml:space="preserve"> demonstrates the circumstances in which the FWC will consider there is no reasonable prospect of agreement.</w:t>
      </w:r>
      <w:r w:rsidR="00173F8E" w:rsidRPr="00167CB8">
        <w:rPr>
          <w:rStyle w:val="FootnoteReference"/>
        </w:rPr>
        <w:footnoteReference w:id="513"/>
      </w:r>
      <w:r w:rsidR="00173F8E" w:rsidRPr="00167CB8">
        <w:t xml:space="preserve"> The FWC rejected an IBD where bargaining was over a ‘long and difficult’ period. However, the employer had taken a contentious proposal off the table and continued to make various concessions, leading the FWC to determine that there was room for further bargaining. </w:t>
      </w:r>
    </w:p>
    <w:p w14:paraId="3BEB1E36" w14:textId="06A49740" w:rsidR="00173F8E" w:rsidRPr="00167CB8" w:rsidRDefault="00173F8E" w:rsidP="00173F8E">
      <w:r w:rsidRPr="00167CB8">
        <w:t>Th</w:t>
      </w:r>
      <w:r w:rsidR="00ED2F47">
        <w:t>ird, t</w:t>
      </w:r>
      <w:r w:rsidR="001809D5">
        <w:t>h</w:t>
      </w:r>
      <w:r w:rsidRPr="00167CB8">
        <w:t xml:space="preserve">e </w:t>
      </w:r>
      <w:r w:rsidR="001809D5">
        <w:t>relates to</w:t>
      </w:r>
      <w:r w:rsidRPr="00167CB8">
        <w:t xml:space="preserve"> </w:t>
      </w:r>
      <w:r w:rsidRPr="00167CB8">
        <w:rPr>
          <w:i/>
          <w:iCs/>
        </w:rPr>
        <w:t xml:space="preserve">Transport Workers’ Union of Australia v Cleanaway Operations Pty Ltd </w:t>
      </w:r>
      <w:r w:rsidR="00F154F4" w:rsidRPr="00167CB8">
        <w:rPr>
          <w:i/>
          <w:iCs/>
        </w:rPr>
        <w:t>t/as</w:t>
      </w:r>
      <w:r w:rsidRPr="00167CB8">
        <w:rPr>
          <w:i/>
          <w:iCs/>
        </w:rPr>
        <w:t xml:space="preserve"> Cleanaway Operations Pty Ltd (Erskine Park)</w:t>
      </w:r>
      <w:r w:rsidR="00F154F4" w:rsidRPr="00167CB8">
        <w:rPr>
          <w:rStyle w:val="FootnoteReference"/>
          <w:i/>
          <w:iCs/>
        </w:rPr>
        <w:footnoteReference w:id="514"/>
      </w:r>
      <w:r w:rsidRPr="00167CB8">
        <w:t xml:space="preserve">. </w:t>
      </w:r>
      <w:r w:rsidR="00D755E8">
        <w:t xml:space="preserve"> </w:t>
      </w:r>
      <w:r w:rsidRPr="00167CB8">
        <w:t>The Erskine Park matter was the first IBWD made by the FWC under s</w:t>
      </w:r>
      <w:r w:rsidR="00F671A0" w:rsidRPr="00167CB8">
        <w:t> </w:t>
      </w:r>
      <w:r w:rsidRPr="00167CB8">
        <w:t>269 of the Fair Work Act.</w:t>
      </w:r>
    </w:p>
    <w:p w14:paraId="45F2E17F" w14:textId="34EA9E42" w:rsidR="00173F8E" w:rsidRPr="00167CB8" w:rsidRDefault="00173F8E" w:rsidP="00173F8E">
      <w:r w:rsidRPr="00167CB8">
        <w:t>On 12 January 2024</w:t>
      </w:r>
      <w:r w:rsidR="00D755E8">
        <w:t>,</w:t>
      </w:r>
      <w:r w:rsidRPr="00167CB8">
        <w:t xml:space="preserve"> the Full Bench of the FWC issued an IBD in relation to the </w:t>
      </w:r>
      <w:r w:rsidRPr="00167CB8">
        <w:rPr>
          <w:i/>
          <w:iCs/>
        </w:rPr>
        <w:t>Cleanaway Erskine Park Drivers Enterprise Agreement 2022</w:t>
      </w:r>
      <w:r w:rsidRPr="00167CB8">
        <w:t>.</w:t>
      </w:r>
      <w:r w:rsidRPr="00167CB8">
        <w:rPr>
          <w:rStyle w:val="FootnoteReference"/>
        </w:rPr>
        <w:footnoteReference w:id="515"/>
      </w:r>
      <w:r w:rsidRPr="00167CB8">
        <w:t xml:space="preserve"> As required by s</w:t>
      </w:r>
      <w:r w:rsidR="00F671A0" w:rsidRPr="00167CB8">
        <w:t> </w:t>
      </w:r>
      <w:r w:rsidRPr="00167CB8">
        <w:t xml:space="preserve">269 of the Fair Work Act, the Full Bench of the FWC had to make an IBWD dealing with unresolved matters during bargaining. The </w:t>
      </w:r>
      <w:r w:rsidR="00F671A0" w:rsidRPr="00167CB8">
        <w:t xml:space="preserve">2 </w:t>
      </w:r>
      <w:r w:rsidRPr="00167CB8">
        <w:t>major issues in question were the quantum of pay increases and arrangement</w:t>
      </w:r>
      <w:r w:rsidR="00AF0CB9">
        <w:t>s</w:t>
      </w:r>
      <w:r w:rsidRPr="00167CB8">
        <w:t xml:space="preserve"> regarding ordinary hours</w:t>
      </w:r>
      <w:r w:rsidR="00F671A0" w:rsidRPr="00167CB8">
        <w:t>.</w:t>
      </w:r>
      <w:r w:rsidRPr="00167CB8">
        <w:rPr>
          <w:rStyle w:val="FootnoteReference"/>
        </w:rPr>
        <w:footnoteReference w:id="516"/>
      </w:r>
    </w:p>
    <w:p w14:paraId="11C1A3D9" w14:textId="20F97055" w:rsidR="00173F8E" w:rsidRPr="00167CB8" w:rsidRDefault="00173F8E" w:rsidP="00173F8E">
      <w:r w:rsidRPr="00167CB8">
        <w:t>On 12 June 2024</w:t>
      </w:r>
      <w:r w:rsidR="00AF0CB9">
        <w:t>,</w:t>
      </w:r>
      <w:r w:rsidRPr="00167CB8">
        <w:t xml:space="preserve"> the Full Bench granted an IBWD and considered the framework of s</w:t>
      </w:r>
      <w:r w:rsidR="00F671A0" w:rsidRPr="00167CB8">
        <w:t> </w:t>
      </w:r>
      <w:r w:rsidRPr="00167CB8">
        <w:t>275 in granting the IBWD, with particular focus on s</w:t>
      </w:r>
      <w:r w:rsidR="00F671A0" w:rsidRPr="00167CB8">
        <w:t> </w:t>
      </w:r>
      <w:r w:rsidRPr="00167CB8">
        <w:t>275(ca)</w:t>
      </w:r>
      <w:r w:rsidR="00F671A0" w:rsidRPr="00167CB8">
        <w:t>,</w:t>
      </w:r>
      <w:r w:rsidRPr="00167CB8">
        <w:t xml:space="preserve"> which was a provision introduced by the </w:t>
      </w:r>
      <w:r w:rsidRPr="00167CB8">
        <w:lastRenderedPageBreak/>
        <w:t>Secure Jobs, Better Pay Act. The Full Bench additionally noted, however, that they were not limited in only assessing the requirements under s</w:t>
      </w:r>
      <w:r w:rsidR="00F671A0" w:rsidRPr="00167CB8">
        <w:t> </w:t>
      </w:r>
      <w:r w:rsidRPr="00167CB8">
        <w:t xml:space="preserve">275 but </w:t>
      </w:r>
      <w:r w:rsidR="00F671A0" w:rsidRPr="00167CB8">
        <w:t xml:space="preserve">could assess </w:t>
      </w:r>
      <w:r w:rsidRPr="00167CB8">
        <w:t>‘any other relevant considerations in the circumstances of the particular case’.</w:t>
      </w:r>
      <w:r w:rsidRPr="00167CB8">
        <w:rPr>
          <w:rStyle w:val="FootnoteReference"/>
        </w:rPr>
        <w:footnoteReference w:id="517"/>
      </w:r>
    </w:p>
    <w:p w14:paraId="4CB78616" w14:textId="3DB7233D" w:rsidR="00173F8E" w:rsidRPr="00167CB8" w:rsidRDefault="00173F8E" w:rsidP="00173F8E">
      <w:r w:rsidRPr="00167CB8">
        <w:t>In terms of the hours of work issue, the Full Bench determined that Cleanaway could roster ordinary hours of work on the weekend, with the ability of employees to opt out of weekend work.</w:t>
      </w:r>
      <w:r w:rsidRPr="00167CB8">
        <w:rPr>
          <w:rStyle w:val="FootnoteReference"/>
        </w:rPr>
        <w:footnoteReference w:id="518"/>
      </w:r>
      <w:r w:rsidRPr="00167CB8">
        <w:t xml:space="preserve"> With regard to pay increases, the Full Bench awarded staged pay increases from 1</w:t>
      </w:r>
      <w:r w:rsidR="00F154F4" w:rsidRPr="00167CB8">
        <w:t> </w:t>
      </w:r>
      <w:r w:rsidRPr="00167CB8">
        <w:t>July</w:t>
      </w:r>
      <w:r w:rsidR="00F671A0" w:rsidRPr="00167CB8">
        <w:t> </w:t>
      </w:r>
      <w:r w:rsidRPr="00167CB8">
        <w:t>2023 until 1 September 2026.</w:t>
      </w:r>
      <w:r w:rsidRPr="00167CB8">
        <w:rPr>
          <w:rStyle w:val="FootnoteReference"/>
        </w:rPr>
        <w:footnoteReference w:id="519"/>
      </w:r>
    </w:p>
    <w:p w14:paraId="379FD40F" w14:textId="67D113C3" w:rsidR="00173F8E" w:rsidRPr="00167CB8" w:rsidRDefault="00173F8E" w:rsidP="00173F8E">
      <w:r w:rsidRPr="00167CB8">
        <w:t>The Full Bench also discussed the requirement of terms being ‘not less favourable’ under s</w:t>
      </w:r>
      <w:r w:rsidR="00F671A0" w:rsidRPr="00167CB8">
        <w:t> </w:t>
      </w:r>
      <w:r w:rsidRPr="00167CB8">
        <w:t>270(3), introduced by the Secure Jobs, Better Pay Act. They considered various terms by reference to the ‘2020 Erskine Park EA’, such as the ordinary hours provisions and weekend penalty rates. They found such terms ‘not less favourable to each of the employees covered by the determination’.</w:t>
      </w:r>
      <w:r w:rsidRPr="00167CB8">
        <w:rPr>
          <w:rStyle w:val="FootnoteReference"/>
        </w:rPr>
        <w:footnoteReference w:id="520"/>
      </w:r>
      <w:r w:rsidRPr="00167CB8">
        <w:t xml:space="preserve">  </w:t>
      </w:r>
    </w:p>
    <w:p w14:paraId="099703AB" w14:textId="77777777" w:rsidR="00173F8E" w:rsidRPr="00167CB8" w:rsidRDefault="00173F8E" w:rsidP="00173F8E">
      <w:r w:rsidRPr="00167CB8">
        <w:t>The IBWD was made on 26 June 2024.</w:t>
      </w:r>
    </w:p>
    <w:p w14:paraId="683EB75E" w14:textId="316A43DB" w:rsidR="00173F8E" w:rsidRPr="00167CB8" w:rsidRDefault="00B310C5" w:rsidP="00173F8E">
      <w:pPr>
        <w:rPr>
          <w:rFonts w:cs="Calibri"/>
        </w:rPr>
      </w:pPr>
      <w:r>
        <w:t xml:space="preserve">Fourth, </w:t>
      </w:r>
      <w:r w:rsidR="00873ECD">
        <w:t xml:space="preserve">there is </w:t>
      </w:r>
      <w:r w:rsidR="00173F8E" w:rsidRPr="00167CB8">
        <w:rPr>
          <w:i/>
        </w:rPr>
        <w:t>Transport Workers</w:t>
      </w:r>
      <w:r w:rsidR="00F671A0" w:rsidRPr="00167CB8">
        <w:rPr>
          <w:i/>
        </w:rPr>
        <w:t>’</w:t>
      </w:r>
      <w:r w:rsidR="00173F8E" w:rsidRPr="00167CB8">
        <w:rPr>
          <w:i/>
        </w:rPr>
        <w:t xml:space="preserve"> Union of Australia v Cleanaway Operations Pty Ltd T/A Cleanaway Operations Pty Ltd </w:t>
      </w:r>
      <w:r w:rsidR="00173F8E" w:rsidRPr="00167CB8">
        <w:t>(Unanderra</w:t>
      </w:r>
      <w:r w:rsidR="00873ECD">
        <w:t>).</w:t>
      </w:r>
      <w:r w:rsidR="00F154F4" w:rsidRPr="00167CB8">
        <w:rPr>
          <w:rStyle w:val="FootnoteReference"/>
        </w:rPr>
        <w:footnoteReference w:id="521"/>
      </w:r>
      <w:r w:rsidR="00173F8E" w:rsidRPr="00167CB8">
        <w:t xml:space="preserve">  </w:t>
      </w:r>
      <w:r w:rsidR="00173F8E" w:rsidRPr="00167CB8">
        <w:rPr>
          <w:rFonts w:cs="Calibri"/>
        </w:rPr>
        <w:t>On 10 July 2024</w:t>
      </w:r>
      <w:r w:rsidR="005937D4">
        <w:rPr>
          <w:rFonts w:cs="Calibri"/>
        </w:rPr>
        <w:t>,</w:t>
      </w:r>
      <w:r w:rsidR="00173F8E" w:rsidRPr="00167CB8">
        <w:rPr>
          <w:rFonts w:cs="Calibri"/>
        </w:rPr>
        <w:t xml:space="preserve"> a</w:t>
      </w:r>
      <w:r w:rsidR="00173F8E" w:rsidRPr="00167CB8">
        <w:rPr>
          <w:rFonts w:ascii="Arial" w:hAnsi="Arial" w:cs="Arial"/>
        </w:rPr>
        <w:t> </w:t>
      </w:r>
      <w:r w:rsidR="00173F8E" w:rsidRPr="00167CB8">
        <w:rPr>
          <w:rFonts w:cs="Calibri"/>
        </w:rPr>
        <w:t xml:space="preserve">Full Bench of the FWC handed down its second </w:t>
      </w:r>
      <w:r w:rsidR="00173F8E" w:rsidRPr="00167CB8">
        <w:t>IBWD</w:t>
      </w:r>
      <w:r w:rsidR="00173F8E" w:rsidRPr="00167CB8" w:rsidDel="00E718DE">
        <w:rPr>
          <w:rFonts w:cs="Calibri"/>
        </w:rPr>
        <w:t xml:space="preserve"> </w:t>
      </w:r>
      <w:r w:rsidR="00173F8E" w:rsidRPr="00167CB8">
        <w:rPr>
          <w:rFonts w:cs="Calibri"/>
        </w:rPr>
        <w:t xml:space="preserve">decision in relation to the </w:t>
      </w:r>
      <w:r w:rsidR="00173F8E" w:rsidRPr="00167CB8">
        <w:rPr>
          <w:rFonts w:cs="Calibri"/>
          <w:i/>
        </w:rPr>
        <w:t xml:space="preserve">Cleanaway Solid Waste Services (C&amp;I) Wollongong Enterprise Agreement 2020 </w:t>
      </w:r>
      <w:r w:rsidR="00173F8E" w:rsidRPr="00167CB8">
        <w:rPr>
          <w:rFonts w:cs="Calibri"/>
          <w:iCs/>
        </w:rPr>
        <w:t>(Unanderra Agreement)</w:t>
      </w:r>
      <w:r w:rsidR="00173F8E" w:rsidRPr="00167CB8">
        <w:rPr>
          <w:rFonts w:cs="Calibri"/>
          <w:i/>
        </w:rPr>
        <w:t xml:space="preserve">. </w:t>
      </w:r>
      <w:r w:rsidR="00173F8E" w:rsidRPr="00167CB8">
        <w:rPr>
          <w:rFonts w:cs="Calibri"/>
        </w:rPr>
        <w:t>This decision relates to the IBD issued by the FWC on 7 March 2024.</w:t>
      </w:r>
    </w:p>
    <w:p w14:paraId="490D78B3" w14:textId="298B8B82" w:rsidR="00173F8E" w:rsidRPr="00167CB8" w:rsidRDefault="00173F8E" w:rsidP="00173F8E">
      <w:pPr>
        <w:rPr>
          <w:rFonts w:cs="Calibri"/>
        </w:rPr>
      </w:pPr>
      <w:r w:rsidRPr="00167CB8">
        <w:rPr>
          <w:rFonts w:cs="Calibri"/>
        </w:rPr>
        <w:t xml:space="preserve">This decision was important for </w:t>
      </w:r>
      <w:r w:rsidR="00F671A0" w:rsidRPr="00167CB8">
        <w:rPr>
          <w:rFonts w:cs="Calibri"/>
        </w:rPr>
        <w:t xml:space="preserve">2 </w:t>
      </w:r>
      <w:r w:rsidRPr="00167CB8">
        <w:rPr>
          <w:rFonts w:cs="Calibri"/>
        </w:rPr>
        <w:t xml:space="preserve">primary reasons. </w:t>
      </w:r>
      <w:r w:rsidR="005937D4">
        <w:rPr>
          <w:rFonts w:cs="Calibri"/>
        </w:rPr>
        <w:t>On the one hand</w:t>
      </w:r>
      <w:r w:rsidR="00F671A0" w:rsidRPr="00167CB8">
        <w:rPr>
          <w:rFonts w:cs="Calibri"/>
        </w:rPr>
        <w:t>, t</w:t>
      </w:r>
      <w:r w:rsidRPr="00167CB8">
        <w:rPr>
          <w:rFonts w:cs="Calibri"/>
        </w:rPr>
        <w:t xml:space="preserve">his was the first occasion where the FWC confirmed </w:t>
      </w:r>
      <w:r w:rsidRPr="00167CB8">
        <w:rPr>
          <w:rFonts w:cs="Calibri"/>
          <w:i/>
          <w:iCs/>
        </w:rPr>
        <w:t>all</w:t>
      </w:r>
      <w:r w:rsidRPr="00167CB8">
        <w:rPr>
          <w:rFonts w:cs="Calibri"/>
        </w:rPr>
        <w:t xml:space="preserve"> bargaining representatives (including non-actively participating individual bargaining representatives) must agree to terms for them to be </w:t>
      </w:r>
      <w:r w:rsidR="00F671A0" w:rsidRPr="00167CB8">
        <w:rPr>
          <w:rFonts w:cs="Calibri"/>
        </w:rPr>
        <w:t>‘</w:t>
      </w:r>
      <w:r w:rsidRPr="00167CB8">
        <w:rPr>
          <w:rFonts w:cs="Calibri"/>
        </w:rPr>
        <w:t>agreed terms</w:t>
      </w:r>
      <w:r w:rsidR="00F671A0" w:rsidRPr="00167CB8">
        <w:rPr>
          <w:rFonts w:cs="Calibri"/>
        </w:rPr>
        <w:t>’</w:t>
      </w:r>
      <w:r w:rsidRPr="00167CB8">
        <w:rPr>
          <w:rFonts w:cs="Calibri"/>
        </w:rPr>
        <w:t>.</w:t>
      </w:r>
      <w:r w:rsidRPr="00167CB8">
        <w:rPr>
          <w:rStyle w:val="FootnoteReference"/>
          <w:rFonts w:cs="Calibri"/>
        </w:rPr>
        <w:footnoteReference w:id="522"/>
      </w:r>
    </w:p>
    <w:p w14:paraId="24DC5162" w14:textId="6973C84D" w:rsidR="00173F8E" w:rsidRPr="00167CB8" w:rsidRDefault="005937D4" w:rsidP="00173F8E">
      <w:pPr>
        <w:rPr>
          <w:rFonts w:cs="Calibri"/>
        </w:rPr>
      </w:pPr>
      <w:r>
        <w:rPr>
          <w:rFonts w:cs="Calibri"/>
        </w:rPr>
        <w:t>On the other hand</w:t>
      </w:r>
      <w:r w:rsidR="00173F8E" w:rsidRPr="00167CB8">
        <w:rPr>
          <w:rFonts w:cs="Calibri"/>
        </w:rPr>
        <w:t>, the Full Bench considered s</w:t>
      </w:r>
      <w:r w:rsidR="00F671A0" w:rsidRPr="00167CB8">
        <w:rPr>
          <w:rFonts w:cs="Calibri"/>
        </w:rPr>
        <w:t> </w:t>
      </w:r>
      <w:r w:rsidR="00173F8E" w:rsidRPr="00167CB8">
        <w:rPr>
          <w:rFonts w:cs="Calibri"/>
        </w:rPr>
        <w:t>270A, and in particular the meaning of the phrase ‘not less favourable’ under s</w:t>
      </w:r>
      <w:r w:rsidR="00F671A0" w:rsidRPr="00167CB8">
        <w:rPr>
          <w:rFonts w:cs="Calibri"/>
        </w:rPr>
        <w:t> </w:t>
      </w:r>
      <w:r w:rsidR="00173F8E" w:rsidRPr="00167CB8">
        <w:rPr>
          <w:rFonts w:cs="Calibri"/>
        </w:rPr>
        <w:t xml:space="preserve">270A(2). The Full Bench interpreted the provision to mean </w:t>
      </w:r>
      <w:r w:rsidR="00F671A0" w:rsidRPr="00167CB8">
        <w:rPr>
          <w:rFonts w:cs="Calibri"/>
        </w:rPr>
        <w:t>‘</w:t>
      </w:r>
      <w:r w:rsidR="00173F8E" w:rsidRPr="00167CB8">
        <w:rPr>
          <w:rFonts w:cs="Calibri"/>
        </w:rPr>
        <w:t>less advantageous</w:t>
      </w:r>
      <w:r w:rsidR="00F671A0" w:rsidRPr="00167CB8">
        <w:rPr>
          <w:rFonts w:cs="Calibri"/>
        </w:rPr>
        <w:t>’</w:t>
      </w:r>
      <w:r w:rsidR="00173F8E" w:rsidRPr="00167CB8">
        <w:rPr>
          <w:rFonts w:cs="Calibri"/>
        </w:rPr>
        <w:t xml:space="preserve"> or </w:t>
      </w:r>
      <w:r w:rsidR="00F671A0" w:rsidRPr="00167CB8">
        <w:rPr>
          <w:rFonts w:cs="Calibri"/>
        </w:rPr>
        <w:t>‘</w:t>
      </w:r>
      <w:r w:rsidR="00173F8E" w:rsidRPr="00167CB8">
        <w:rPr>
          <w:rFonts w:cs="Calibri"/>
        </w:rPr>
        <w:t>less beneficial</w:t>
      </w:r>
      <w:r w:rsidR="00F671A0" w:rsidRPr="00167CB8">
        <w:rPr>
          <w:rFonts w:cs="Calibri"/>
        </w:rPr>
        <w:t>’,</w:t>
      </w:r>
      <w:r w:rsidR="00173F8E" w:rsidRPr="00167CB8">
        <w:rPr>
          <w:rStyle w:val="FootnoteReference"/>
          <w:rFonts w:cs="Calibri"/>
        </w:rPr>
        <w:footnoteReference w:id="523"/>
      </w:r>
      <w:r w:rsidR="00173F8E" w:rsidRPr="00167CB8">
        <w:rPr>
          <w:rFonts w:cs="Calibri"/>
        </w:rPr>
        <w:t xml:space="preserve"> but </w:t>
      </w:r>
      <w:r w:rsidR="00644C65" w:rsidRPr="00167CB8">
        <w:rPr>
          <w:rFonts w:cs="Calibri"/>
        </w:rPr>
        <w:t xml:space="preserve">it </w:t>
      </w:r>
      <w:r w:rsidR="00173F8E" w:rsidRPr="00167CB8">
        <w:rPr>
          <w:rFonts w:cs="Calibri"/>
        </w:rPr>
        <w:t>does not apply to a term of the workplace determination that provides for a wage increase.</w:t>
      </w:r>
      <w:r w:rsidR="00173F8E" w:rsidRPr="00167CB8">
        <w:rPr>
          <w:rStyle w:val="FootnoteReference"/>
          <w:rFonts w:cs="Calibri"/>
        </w:rPr>
        <w:footnoteReference w:id="524"/>
      </w:r>
    </w:p>
    <w:p w14:paraId="332AD4B9" w14:textId="54E56A10" w:rsidR="00173F8E" w:rsidRPr="00167CB8" w:rsidRDefault="00173F8E" w:rsidP="00173F8E">
      <w:pPr>
        <w:rPr>
          <w:rFonts w:cs="Calibri"/>
        </w:rPr>
      </w:pPr>
      <w:r w:rsidRPr="00167CB8">
        <w:rPr>
          <w:rFonts w:cs="Calibri"/>
        </w:rPr>
        <w:t>In terms of the proposed agreement, the Full Bench held that the ordinary hours terms were ‘less favourable’ to the relevant employees compared to the Unanderra Agreement</w:t>
      </w:r>
      <w:r w:rsidR="00F671A0" w:rsidRPr="00167CB8">
        <w:rPr>
          <w:rFonts w:cs="Calibri"/>
        </w:rPr>
        <w:t>,</w:t>
      </w:r>
      <w:r w:rsidRPr="00167CB8">
        <w:rPr>
          <w:rFonts w:cs="Calibri"/>
        </w:rPr>
        <w:t xml:space="preserve"> as the latter entitled employees to overtime pay. Conversely, the Full Bench held the </w:t>
      </w:r>
      <w:r w:rsidR="00F671A0" w:rsidRPr="00167CB8">
        <w:rPr>
          <w:rFonts w:cs="Calibri"/>
        </w:rPr>
        <w:t>‘</w:t>
      </w:r>
      <w:r w:rsidRPr="00167CB8">
        <w:rPr>
          <w:rFonts w:cs="Calibri"/>
        </w:rPr>
        <w:t>not less favourable</w:t>
      </w:r>
      <w:r w:rsidR="00F671A0" w:rsidRPr="00167CB8">
        <w:rPr>
          <w:rFonts w:cs="Calibri"/>
        </w:rPr>
        <w:t>’</w:t>
      </w:r>
      <w:r w:rsidRPr="00167CB8">
        <w:rPr>
          <w:rFonts w:cs="Calibri"/>
        </w:rPr>
        <w:t xml:space="preserve"> provisions could not empower the FWC to impose a compulsory arbitration clause on a non-consenting party.</w:t>
      </w:r>
      <w:r w:rsidRPr="00167CB8">
        <w:rPr>
          <w:rStyle w:val="FootnoteReference"/>
          <w:rFonts w:cs="Calibri"/>
        </w:rPr>
        <w:footnoteReference w:id="525"/>
      </w:r>
      <w:r w:rsidRPr="00167CB8">
        <w:rPr>
          <w:rFonts w:cs="Calibri"/>
        </w:rPr>
        <w:t xml:space="preserve"> </w:t>
      </w:r>
    </w:p>
    <w:p w14:paraId="0D2F98EC" w14:textId="4CE39442" w:rsidR="00173F8E" w:rsidRPr="00167CB8" w:rsidRDefault="0046798E" w:rsidP="00173F8E">
      <w:r>
        <w:lastRenderedPageBreak/>
        <w:t>In addition to the</w:t>
      </w:r>
      <w:r w:rsidR="00BF560F">
        <w:t>se four cases, t</w:t>
      </w:r>
      <w:r w:rsidR="00173F8E" w:rsidRPr="00167CB8">
        <w:t>he following matter provides an example where an employer made an application for an intractable bargaining declaration, but the application did not proceed</w:t>
      </w:r>
      <w:r w:rsidR="00F671A0" w:rsidRPr="00167CB8">
        <w:t>,</w:t>
      </w:r>
      <w:r w:rsidR="00173F8E" w:rsidRPr="00167CB8">
        <w:t xml:space="preserve"> as the parties continued negotiations and were able to reach an agreement. Virgin Australia Regional Airlines Pty Ltd </w:t>
      </w:r>
      <w:r w:rsidR="00644C65" w:rsidRPr="00167CB8">
        <w:t>t/as</w:t>
      </w:r>
      <w:r w:rsidR="00173F8E" w:rsidRPr="00167CB8">
        <w:t xml:space="preserve"> Virgin Australia Regional Airlines (VARA) applied for an </w:t>
      </w:r>
      <w:r w:rsidR="00F671A0" w:rsidRPr="00167CB8">
        <w:t xml:space="preserve">IBD </w:t>
      </w:r>
      <w:r w:rsidR="00173F8E" w:rsidRPr="00167CB8">
        <w:t xml:space="preserve">in relation to a proposed enterprise agreement, which would replace the </w:t>
      </w:r>
      <w:r w:rsidR="00173F8E" w:rsidRPr="00167CB8">
        <w:rPr>
          <w:i/>
        </w:rPr>
        <w:t>Virgin Australia Regional Airlines Aircraft Engineers (Western Australia) Enterprise Agreement 2017</w:t>
      </w:r>
      <w:r w:rsidR="00173F8E" w:rsidRPr="00167CB8">
        <w:rPr>
          <w:i/>
          <w:iCs/>
        </w:rPr>
        <w:t>.</w:t>
      </w:r>
    </w:p>
    <w:p w14:paraId="760A55CC" w14:textId="09A20B1E" w:rsidR="00173F8E" w:rsidRPr="00167CB8" w:rsidRDefault="00173F8E" w:rsidP="00173F8E">
      <w:pPr>
        <w:rPr>
          <w:rFonts w:cs="Calibri"/>
        </w:rPr>
      </w:pPr>
      <w:r w:rsidRPr="00167CB8">
        <w:t xml:space="preserve">A significant issue between VARA and the Australian Licensed Aircraft Engineers Association (ALAEA) (with </w:t>
      </w:r>
      <w:r w:rsidR="00644C65" w:rsidRPr="00167CB8">
        <w:t>the Australian Chamber of Commerce and Industry (</w:t>
      </w:r>
      <w:r w:rsidRPr="00167CB8">
        <w:t>ACCI</w:t>
      </w:r>
      <w:r w:rsidR="00644C65" w:rsidRPr="00167CB8">
        <w:t>)</w:t>
      </w:r>
      <w:r w:rsidRPr="00167CB8">
        <w:t xml:space="preserve"> and </w:t>
      </w:r>
      <w:r w:rsidR="00644C65" w:rsidRPr="00167CB8">
        <w:t>the Australian Council of Trade Unions (</w:t>
      </w:r>
      <w:r w:rsidRPr="00167CB8">
        <w:t>ACTU</w:t>
      </w:r>
      <w:r w:rsidR="00644C65" w:rsidRPr="00167CB8">
        <w:t>)</w:t>
      </w:r>
      <w:r w:rsidRPr="00167CB8">
        <w:t xml:space="preserve"> intervening) was the requirement under s</w:t>
      </w:r>
      <w:r w:rsidR="00F671A0" w:rsidRPr="00167CB8">
        <w:t> </w:t>
      </w:r>
      <w:r w:rsidRPr="00167CB8">
        <w:t>235(2)(b) of the Fair Work Act that there be ‘no reasonable prospect of agreement being reached’ between the parties before granting the intractable bargaining declaration</w:t>
      </w:r>
      <w:r w:rsidR="00F671A0" w:rsidRPr="00167CB8">
        <w:t>,</w:t>
      </w:r>
      <w:r w:rsidRPr="00167CB8">
        <w:t xml:space="preserve"> with both sides disagreeing on this point. VARA pointed to the bargaining history of both sides since its commencement in about August 2020,</w:t>
      </w:r>
      <w:r w:rsidRPr="00167CB8">
        <w:rPr>
          <w:rStyle w:val="FootnoteReference"/>
        </w:rPr>
        <w:footnoteReference w:id="526"/>
      </w:r>
      <w:r w:rsidR="00DA62A9" w:rsidRPr="00167CB8">
        <w:t xml:space="preserve"> </w:t>
      </w:r>
      <w:r w:rsidRPr="00167CB8">
        <w:t>whereas ALAEA pointed to continued negotiation between parties to show an agreement could be reached.</w:t>
      </w:r>
      <w:r w:rsidRPr="00167CB8">
        <w:rPr>
          <w:rStyle w:val="FootnoteReference"/>
        </w:rPr>
        <w:footnoteReference w:id="527"/>
      </w:r>
    </w:p>
    <w:p w14:paraId="058A5891" w14:textId="6BA7C32A" w:rsidR="00173F8E" w:rsidRPr="00167CB8" w:rsidRDefault="00173F8E" w:rsidP="00173F8E">
      <w:r w:rsidRPr="00167CB8">
        <w:t>On 20 July 2023</w:t>
      </w:r>
      <w:r w:rsidR="0046798E">
        <w:t>,</w:t>
      </w:r>
      <w:r w:rsidRPr="00167CB8">
        <w:t xml:space="preserve"> VARA’s legal representatives informed the FWC that VARA wished to discontinue the application because, relevantly, it was ‘prepared to put a revised agreement to a vote of employees</w:t>
      </w:r>
      <w:r w:rsidR="00CE1EAA">
        <w:t>.</w:t>
      </w:r>
      <w:r w:rsidRPr="00167CB8">
        <w:t>’</w:t>
      </w:r>
      <w:r w:rsidRPr="00167CB8">
        <w:rPr>
          <w:rStyle w:val="FootnoteReference"/>
        </w:rPr>
        <w:footnoteReference w:id="528"/>
      </w:r>
      <w:r w:rsidRPr="00167CB8">
        <w:t xml:space="preserve"> ALEA did not oppose</w:t>
      </w:r>
      <w:r w:rsidR="00F671A0" w:rsidRPr="00167CB8">
        <w:t>.</w:t>
      </w:r>
      <w:r w:rsidRPr="00167CB8">
        <w:t xml:space="preserve"> As a result, the matter was discontinued.</w:t>
      </w:r>
      <w:r w:rsidRPr="00167CB8">
        <w:rPr>
          <w:rStyle w:val="FootnoteReference"/>
        </w:rPr>
        <w:footnoteReference w:id="529"/>
      </w:r>
    </w:p>
    <w:p w14:paraId="2774640E" w14:textId="233CABC2" w:rsidR="00173F8E" w:rsidRPr="00167CB8" w:rsidRDefault="00173F8E" w:rsidP="00173F8E">
      <w:pPr>
        <w:rPr>
          <w:rFonts w:cs="Calibri"/>
        </w:rPr>
      </w:pPr>
      <w:r w:rsidRPr="00167CB8">
        <w:t>On 13 September 2023</w:t>
      </w:r>
      <w:r w:rsidR="0046798E">
        <w:t>,</w:t>
      </w:r>
      <w:r w:rsidRPr="00167CB8">
        <w:t xml:space="preserve"> the FWC approved the </w:t>
      </w:r>
      <w:r w:rsidRPr="00167CB8">
        <w:rPr>
          <w:i/>
        </w:rPr>
        <w:t>Virgin Australia Regional Airlines Aircraft Engineers (Western Australia) Enterprise Agreement 2023</w:t>
      </w:r>
      <w:r w:rsidRPr="00167CB8">
        <w:t>.</w:t>
      </w:r>
      <w:r w:rsidRPr="00167CB8">
        <w:rPr>
          <w:rStyle w:val="FootnoteReference"/>
        </w:rPr>
        <w:footnoteReference w:id="530"/>
      </w:r>
      <w:r w:rsidR="00644C65" w:rsidRPr="00167CB8">
        <w:t xml:space="preserve"> </w:t>
      </w:r>
      <w:r w:rsidRPr="00167CB8">
        <w:t xml:space="preserve">ALAEA is noted in the FWC decision as a bargaining representative covered by the agreement. The </w:t>
      </w:r>
      <w:r w:rsidR="00293C6C" w:rsidRPr="00167CB8">
        <w:t>a</w:t>
      </w:r>
      <w:r w:rsidRPr="00167CB8">
        <w:t>greement operated from 20 September 2023, with a nominal expiry date of 30 June 2025.</w:t>
      </w:r>
    </w:p>
    <w:p w14:paraId="372F3B76" w14:textId="35AF012F" w:rsidR="00173F8E" w:rsidRPr="00167CB8" w:rsidRDefault="003B14A5" w:rsidP="00173F8E">
      <w:pPr>
        <w:pStyle w:val="Heading5"/>
        <w:rPr>
          <w:rFonts w:asciiTheme="minorHAnsi" w:hAnsiTheme="minorHAnsi"/>
        </w:rPr>
      </w:pPr>
      <w:r w:rsidRPr="00167CB8">
        <w:rPr>
          <w:rFonts w:asciiTheme="minorHAnsi" w:hAnsiTheme="minorHAnsi"/>
        </w:rPr>
        <w:t>14</w:t>
      </w:r>
      <w:r w:rsidR="00173F8E" w:rsidRPr="00167CB8">
        <w:rPr>
          <w:rFonts w:asciiTheme="minorHAnsi" w:hAnsiTheme="minorHAnsi"/>
        </w:rPr>
        <w:t>.2.3 Stakeholder views</w:t>
      </w:r>
    </w:p>
    <w:p w14:paraId="2A08F78F" w14:textId="663D22F0" w:rsidR="00173F8E" w:rsidRPr="00167CB8" w:rsidRDefault="00173F8E" w:rsidP="00173F8E">
      <w:pPr>
        <w:rPr>
          <w:rFonts w:eastAsiaTheme="majorEastAsia"/>
        </w:rPr>
      </w:pPr>
      <w:r w:rsidRPr="00167CB8">
        <w:rPr>
          <w:rFonts w:eastAsiaTheme="majorEastAsia"/>
        </w:rPr>
        <w:t xml:space="preserve">The amendments relating to bargaining disputes received considerable attention and were divergent. Views expressed by the stakeholders ranged from support for the amendments </w:t>
      </w:r>
      <w:r w:rsidR="00644C65" w:rsidRPr="00167CB8">
        <w:rPr>
          <w:rFonts w:eastAsiaTheme="majorEastAsia"/>
        </w:rPr>
        <w:t xml:space="preserve">to calls </w:t>
      </w:r>
      <w:r w:rsidRPr="00167CB8">
        <w:rPr>
          <w:rFonts w:eastAsiaTheme="majorEastAsia"/>
        </w:rPr>
        <w:t xml:space="preserve">for the repeal of the bargaining disputes framework amendments in full and others accepted the Secure Jobs, Better Pay amendments but sought the repeal of the Closing Loopholes No. 2 amendments. </w:t>
      </w:r>
    </w:p>
    <w:p w14:paraId="350DECAF" w14:textId="52723C56" w:rsidR="00173F8E" w:rsidRPr="00167CB8" w:rsidRDefault="00173F8E" w:rsidP="00173F8E">
      <w:pPr>
        <w:rPr>
          <w:rFonts w:eastAsiaTheme="majorEastAsia"/>
        </w:rPr>
      </w:pPr>
      <w:r w:rsidRPr="00167CB8">
        <w:rPr>
          <w:rFonts w:eastAsiaTheme="majorEastAsia"/>
        </w:rPr>
        <w:t xml:space="preserve">Union stakeholders were almost uniformly supportive of amendments to deal with bargaining disputes. They largely expressed the view that amendments to </w:t>
      </w:r>
      <w:r w:rsidR="00293C6C" w:rsidRPr="00167CB8">
        <w:rPr>
          <w:rFonts w:eastAsiaTheme="majorEastAsia"/>
        </w:rPr>
        <w:t xml:space="preserve">IBDs </w:t>
      </w:r>
      <w:r w:rsidRPr="00167CB8">
        <w:rPr>
          <w:rFonts w:eastAsiaTheme="majorEastAsia"/>
        </w:rPr>
        <w:t>motivated parties to reach a resolution quicker.</w:t>
      </w:r>
    </w:p>
    <w:p w14:paraId="723DD734" w14:textId="68A6E993" w:rsidR="00173F8E" w:rsidRPr="00167CB8" w:rsidRDefault="00173F8E" w:rsidP="00173F8E">
      <w:pPr>
        <w:rPr>
          <w:rFonts w:eastAsiaTheme="majorEastAsia"/>
        </w:rPr>
      </w:pPr>
      <w:r w:rsidRPr="00167CB8">
        <w:rPr>
          <w:rFonts w:eastAsiaTheme="majorEastAsia"/>
        </w:rPr>
        <w:t>The ACTU assert</w:t>
      </w:r>
      <w:r w:rsidR="00293C6C" w:rsidRPr="00167CB8">
        <w:rPr>
          <w:rFonts w:eastAsiaTheme="majorEastAsia"/>
        </w:rPr>
        <w:t>ed that</w:t>
      </w:r>
      <w:r w:rsidRPr="00167CB8">
        <w:rPr>
          <w:rFonts w:eastAsiaTheme="majorEastAsia"/>
        </w:rPr>
        <w:t xml:space="preserve"> this view is shared among unions and that </w:t>
      </w:r>
      <w:r w:rsidR="00293C6C" w:rsidRPr="00167CB8">
        <w:rPr>
          <w:rFonts w:eastAsiaTheme="majorEastAsia"/>
        </w:rPr>
        <w:t>‘</w:t>
      </w:r>
      <w:r w:rsidRPr="00167CB8">
        <w:rPr>
          <w:rFonts w:eastAsiaTheme="majorEastAsia"/>
        </w:rPr>
        <w:t xml:space="preserve">even where a declaration has not been sought, the intractable bargaining laws have, more often than not, encouraged </w:t>
      </w:r>
      <w:r w:rsidRPr="00167CB8">
        <w:rPr>
          <w:rFonts w:eastAsiaTheme="majorEastAsia"/>
        </w:rPr>
        <w:lastRenderedPageBreak/>
        <w:t>parties to try to reach terms upon which all parties can agree</w:t>
      </w:r>
      <w:r w:rsidR="00293C6C" w:rsidRPr="00167CB8">
        <w:rPr>
          <w:rFonts w:eastAsiaTheme="majorEastAsia"/>
        </w:rPr>
        <w:t>’</w:t>
      </w:r>
      <w:r w:rsidRPr="00167CB8">
        <w:rPr>
          <w:rFonts w:eastAsiaTheme="majorEastAsia"/>
        </w:rPr>
        <w:t>.</w:t>
      </w:r>
      <w:r w:rsidRPr="00167CB8">
        <w:rPr>
          <w:rFonts w:eastAsiaTheme="majorEastAsia"/>
          <w:vertAlign w:val="superscript"/>
        </w:rPr>
        <w:footnoteReference w:id="531"/>
      </w:r>
      <w:r w:rsidRPr="00167CB8">
        <w:rPr>
          <w:rFonts w:eastAsiaTheme="majorEastAsia"/>
        </w:rPr>
        <w:t xml:space="preserve"> Further, the ACTU submit</w:t>
      </w:r>
      <w:r w:rsidR="00293C6C" w:rsidRPr="00167CB8">
        <w:rPr>
          <w:rFonts w:eastAsiaTheme="majorEastAsia"/>
        </w:rPr>
        <w:t>ted</w:t>
      </w:r>
      <w:r w:rsidRPr="00167CB8">
        <w:rPr>
          <w:rFonts w:eastAsiaTheme="majorEastAsia"/>
        </w:rPr>
        <w:t>:</w:t>
      </w:r>
      <w:r w:rsidR="00293C6C" w:rsidRPr="00167CB8">
        <w:rPr>
          <w:vertAlign w:val="superscript"/>
        </w:rPr>
        <w:footnoteReference w:id="532"/>
      </w:r>
    </w:p>
    <w:p w14:paraId="4975D9BB" w14:textId="66681733" w:rsidR="00173F8E" w:rsidRPr="00167CB8" w:rsidRDefault="00293C6C" w:rsidP="00C83147">
      <w:pPr>
        <w:pStyle w:val="Quote"/>
      </w:pPr>
      <w:r w:rsidRPr="00167CB8">
        <w:t xml:space="preserve">[The] </w:t>
      </w:r>
      <w:r w:rsidR="00173F8E" w:rsidRPr="00167CB8">
        <w:t>amendments</w:t>
      </w:r>
      <w:r w:rsidRPr="00167CB8">
        <w:t xml:space="preserve"> </w:t>
      </w:r>
      <w:r w:rsidR="00173F8E" w:rsidRPr="00167CB8">
        <w:t>…</w:t>
      </w:r>
      <w:r w:rsidRPr="00167CB8">
        <w:t xml:space="preserve"> </w:t>
      </w:r>
      <w:r w:rsidR="00173F8E" w:rsidRPr="00167CB8">
        <w:t>made by the Closing Loopholes No. 2 Act to preserve existing conditions are viewed as being critically important by affiliates. The effect of these amendments has been not only to protect employees’ terms and conditions (save for the issues identified in relation to the consultation and disputes terms) but to ensure that for most parties, the new intractable bargaining mechanism remains – appropriately - a mechanism of last resort.</w:t>
      </w:r>
    </w:p>
    <w:p w14:paraId="492EADE1" w14:textId="02778A5A" w:rsidR="00173F8E" w:rsidRPr="00167CB8" w:rsidRDefault="00173F8E" w:rsidP="00173F8E">
      <w:pPr>
        <w:rPr>
          <w:rFonts w:eastAsiaTheme="majorEastAsia"/>
        </w:rPr>
      </w:pPr>
      <w:r w:rsidRPr="00167CB8">
        <w:rPr>
          <w:rFonts w:eastAsiaTheme="majorEastAsia"/>
        </w:rPr>
        <w:t xml:space="preserve">The </w:t>
      </w:r>
      <w:r w:rsidR="00644C65" w:rsidRPr="00167CB8">
        <w:rPr>
          <w:rFonts w:eastAsiaTheme="majorEastAsia"/>
        </w:rPr>
        <w:t>Independent Education Union of Australia (</w:t>
      </w:r>
      <w:r w:rsidRPr="00167CB8">
        <w:rPr>
          <w:rFonts w:eastAsiaTheme="majorEastAsia"/>
        </w:rPr>
        <w:t>IEU</w:t>
      </w:r>
      <w:r w:rsidR="00644C65" w:rsidRPr="00167CB8">
        <w:rPr>
          <w:rFonts w:eastAsiaTheme="majorEastAsia"/>
        </w:rPr>
        <w:t>)</w:t>
      </w:r>
      <w:r w:rsidRPr="00167CB8">
        <w:rPr>
          <w:rFonts w:eastAsiaTheme="majorEastAsia"/>
        </w:rPr>
        <w:t xml:space="preserve"> submit</w:t>
      </w:r>
      <w:r w:rsidR="00293C6C" w:rsidRPr="00167CB8">
        <w:rPr>
          <w:rFonts w:eastAsiaTheme="majorEastAsia"/>
        </w:rPr>
        <w:t>ted</w:t>
      </w:r>
      <w:r w:rsidRPr="00167CB8">
        <w:rPr>
          <w:rFonts w:eastAsiaTheme="majorEastAsia"/>
        </w:rPr>
        <w:t xml:space="preserve"> that</w:t>
      </w:r>
      <w:r w:rsidR="00293C6C" w:rsidRPr="00167CB8">
        <w:rPr>
          <w:rFonts w:eastAsiaTheme="majorEastAsia"/>
        </w:rPr>
        <w:t>,</w:t>
      </w:r>
      <w:r w:rsidRPr="00167CB8">
        <w:rPr>
          <w:rFonts w:eastAsiaTheme="majorEastAsia"/>
        </w:rPr>
        <w:t xml:space="preserve"> before the Secure Jobs, Better Pay Act, </w:t>
      </w:r>
      <w:r w:rsidR="00293C6C" w:rsidRPr="00167CB8">
        <w:rPr>
          <w:rFonts w:eastAsiaTheme="majorEastAsia"/>
        </w:rPr>
        <w:t>‘</w:t>
      </w:r>
      <w:r w:rsidRPr="00167CB8">
        <w:rPr>
          <w:rFonts w:eastAsiaTheme="majorEastAsia"/>
        </w:rPr>
        <w:t>[t]he lack of access to arbitration of intractable disputes arising from bargaining meant that employers were advantaged by being able to indefinitely prolong negotiations</w:t>
      </w:r>
      <w:r w:rsidR="00293C6C" w:rsidRPr="00167CB8">
        <w:rPr>
          <w:rFonts w:eastAsiaTheme="majorEastAsia"/>
        </w:rPr>
        <w:t>’</w:t>
      </w:r>
      <w:r w:rsidRPr="00167CB8">
        <w:rPr>
          <w:rFonts w:eastAsiaTheme="majorEastAsia"/>
        </w:rPr>
        <w:t>.</w:t>
      </w:r>
      <w:r w:rsidRPr="00167CB8">
        <w:rPr>
          <w:rFonts w:eastAsiaTheme="majorEastAsia"/>
          <w:vertAlign w:val="superscript"/>
        </w:rPr>
        <w:footnoteReference w:id="533"/>
      </w:r>
      <w:r w:rsidRPr="00167CB8">
        <w:rPr>
          <w:rFonts w:eastAsiaTheme="majorEastAsia"/>
        </w:rPr>
        <w:t xml:space="preserve"> The </w:t>
      </w:r>
      <w:r w:rsidR="00644C65" w:rsidRPr="00167CB8">
        <w:rPr>
          <w:rFonts w:eastAsiaTheme="majorEastAsia"/>
        </w:rPr>
        <w:t>Community and Public Sector Union (</w:t>
      </w:r>
      <w:r w:rsidRPr="00167CB8">
        <w:rPr>
          <w:rFonts w:eastAsiaTheme="majorEastAsia"/>
        </w:rPr>
        <w:t>CPSU</w:t>
      </w:r>
      <w:r w:rsidR="00644C65" w:rsidRPr="00167CB8">
        <w:rPr>
          <w:rFonts w:eastAsiaTheme="majorEastAsia"/>
        </w:rPr>
        <w:t>)</w:t>
      </w:r>
      <w:r w:rsidRPr="00167CB8">
        <w:rPr>
          <w:rFonts w:eastAsiaTheme="majorEastAsia"/>
        </w:rPr>
        <w:t xml:space="preserve"> expressed a similar sentiment</w:t>
      </w:r>
      <w:r w:rsidR="00293C6C" w:rsidRPr="00167CB8">
        <w:rPr>
          <w:rFonts w:eastAsiaTheme="majorEastAsia"/>
        </w:rPr>
        <w:t>,</w:t>
      </w:r>
      <w:r w:rsidRPr="00167CB8">
        <w:rPr>
          <w:rFonts w:eastAsiaTheme="majorEastAsia"/>
        </w:rPr>
        <w:t xml:space="preserve"> asserting that </w:t>
      </w:r>
      <w:r w:rsidR="00293C6C" w:rsidRPr="00167CB8">
        <w:rPr>
          <w:rFonts w:eastAsiaTheme="majorEastAsia"/>
        </w:rPr>
        <w:t>‘</w:t>
      </w:r>
      <w:r w:rsidRPr="00167CB8">
        <w:rPr>
          <w:rFonts w:eastAsiaTheme="majorEastAsia"/>
        </w:rPr>
        <w:t>the introduction of intractable bargaining provisions</w:t>
      </w:r>
      <w:r w:rsidR="00293C6C" w:rsidRPr="00167CB8">
        <w:rPr>
          <w:rFonts w:eastAsiaTheme="majorEastAsia"/>
        </w:rPr>
        <w:t xml:space="preserve"> </w:t>
      </w:r>
      <w:r w:rsidRPr="00167CB8">
        <w:rPr>
          <w:rFonts w:eastAsiaTheme="majorEastAsia"/>
        </w:rPr>
        <w:t>… has the potential to create discipline in the bargaining process and drive resolution</w:t>
      </w:r>
      <w:r w:rsidR="00293C6C" w:rsidRPr="00167CB8">
        <w:rPr>
          <w:rFonts w:eastAsiaTheme="majorEastAsia"/>
        </w:rPr>
        <w:t>’</w:t>
      </w:r>
      <w:r w:rsidRPr="00167CB8">
        <w:rPr>
          <w:rFonts w:eastAsiaTheme="majorEastAsia"/>
        </w:rPr>
        <w:t>.</w:t>
      </w:r>
      <w:r w:rsidRPr="00167CB8">
        <w:rPr>
          <w:rFonts w:eastAsiaTheme="majorEastAsia"/>
          <w:vertAlign w:val="superscript"/>
        </w:rPr>
        <w:footnoteReference w:id="534"/>
      </w:r>
      <w:r w:rsidRPr="00167CB8">
        <w:rPr>
          <w:rFonts w:eastAsiaTheme="majorEastAsia"/>
        </w:rPr>
        <w:t xml:space="preserve"> The </w:t>
      </w:r>
      <w:r w:rsidR="00644C65" w:rsidRPr="00167CB8">
        <w:rPr>
          <w:rFonts w:eastAsiaTheme="majorEastAsia"/>
        </w:rPr>
        <w:t xml:space="preserve">Australian Nursing and Midwifery Federation </w:t>
      </w:r>
      <w:r w:rsidRPr="00167CB8">
        <w:rPr>
          <w:rFonts w:eastAsiaTheme="majorEastAsia"/>
        </w:rPr>
        <w:t>ha</w:t>
      </w:r>
      <w:r w:rsidR="00293C6C" w:rsidRPr="00167CB8">
        <w:rPr>
          <w:rFonts w:eastAsiaTheme="majorEastAsia"/>
        </w:rPr>
        <w:t>s</w:t>
      </w:r>
      <w:r w:rsidRPr="00167CB8">
        <w:rPr>
          <w:rFonts w:eastAsiaTheme="majorEastAsia"/>
        </w:rPr>
        <w:t xml:space="preserve"> observed a </w:t>
      </w:r>
      <w:r w:rsidR="00293C6C" w:rsidRPr="00167CB8">
        <w:rPr>
          <w:rFonts w:eastAsiaTheme="majorEastAsia"/>
        </w:rPr>
        <w:t>‘</w:t>
      </w:r>
      <w:r w:rsidRPr="00167CB8">
        <w:rPr>
          <w:rFonts w:eastAsiaTheme="majorEastAsia"/>
        </w:rPr>
        <w:t>shift in bargaining behaviour [to] the threat of an intractable bargaining declaration (IBD) being made</w:t>
      </w:r>
      <w:r w:rsidR="00293C6C" w:rsidRPr="00167CB8">
        <w:rPr>
          <w:rFonts w:eastAsiaTheme="majorEastAsia"/>
        </w:rPr>
        <w:t xml:space="preserve"> </w:t>
      </w:r>
      <w:r w:rsidRPr="00167CB8">
        <w:rPr>
          <w:rFonts w:eastAsiaTheme="majorEastAsia"/>
        </w:rPr>
        <w:t>... both employers and unions are more motivated to come to an agreement and engage more efficiently on contested points due to the inherent risk and uncertainty involved in an IBD</w:t>
      </w:r>
      <w:r w:rsidR="00293C6C" w:rsidRPr="00167CB8">
        <w:rPr>
          <w:rFonts w:eastAsiaTheme="majorEastAsia"/>
        </w:rPr>
        <w:t>’</w:t>
      </w:r>
      <w:r w:rsidRPr="00167CB8">
        <w:rPr>
          <w:rFonts w:eastAsiaTheme="majorEastAsia"/>
        </w:rPr>
        <w:t>.</w:t>
      </w:r>
      <w:r w:rsidRPr="00167CB8">
        <w:rPr>
          <w:rFonts w:eastAsiaTheme="majorEastAsia"/>
          <w:vertAlign w:val="superscript"/>
        </w:rPr>
        <w:footnoteReference w:id="535"/>
      </w:r>
      <w:r w:rsidRPr="00167CB8">
        <w:rPr>
          <w:rFonts w:eastAsiaTheme="majorEastAsia"/>
        </w:rPr>
        <w:t xml:space="preserve"> The </w:t>
      </w:r>
      <w:r w:rsidR="00644C65" w:rsidRPr="00167CB8">
        <w:rPr>
          <w:rFonts w:eastAsiaTheme="majorEastAsia"/>
        </w:rPr>
        <w:t>United Workers Union (</w:t>
      </w:r>
      <w:r w:rsidRPr="00167CB8">
        <w:rPr>
          <w:rFonts w:eastAsiaTheme="majorEastAsia"/>
        </w:rPr>
        <w:t>UWU</w:t>
      </w:r>
      <w:r w:rsidR="00644C65" w:rsidRPr="00167CB8">
        <w:rPr>
          <w:rFonts w:eastAsiaTheme="majorEastAsia"/>
        </w:rPr>
        <w:t>)</w:t>
      </w:r>
      <w:r w:rsidRPr="00167CB8">
        <w:rPr>
          <w:rFonts w:eastAsiaTheme="majorEastAsia"/>
        </w:rPr>
        <w:t xml:space="preserve"> provided similar sentiments</w:t>
      </w:r>
      <w:r w:rsidR="00293C6C" w:rsidRPr="00167CB8">
        <w:rPr>
          <w:rFonts w:eastAsiaTheme="majorEastAsia"/>
        </w:rPr>
        <w:t>,</w:t>
      </w:r>
      <w:r w:rsidRPr="00167CB8">
        <w:rPr>
          <w:rFonts w:eastAsiaTheme="majorEastAsia"/>
        </w:rPr>
        <w:t xml:space="preserve"> arguing that </w:t>
      </w:r>
      <w:r w:rsidR="00293C6C" w:rsidRPr="00167CB8">
        <w:rPr>
          <w:rFonts w:eastAsiaTheme="majorEastAsia"/>
        </w:rPr>
        <w:t>‘</w:t>
      </w:r>
      <w:r w:rsidRPr="00167CB8">
        <w:rPr>
          <w:rFonts w:eastAsiaTheme="majorEastAsia"/>
        </w:rPr>
        <w:t>intractable bargaining is a course of action that remains, in UWU’s view, an option of last resort</w:t>
      </w:r>
      <w:r w:rsidR="00293C6C" w:rsidRPr="00167CB8">
        <w:rPr>
          <w:rFonts w:eastAsiaTheme="majorEastAsia"/>
        </w:rPr>
        <w:t>’</w:t>
      </w:r>
      <w:r w:rsidRPr="00167CB8">
        <w:rPr>
          <w:rFonts w:eastAsiaTheme="majorEastAsia"/>
        </w:rPr>
        <w:t xml:space="preserve"> and that the not less favourable amendment </w:t>
      </w:r>
      <w:r w:rsidR="00293C6C" w:rsidRPr="00167CB8">
        <w:rPr>
          <w:rFonts w:eastAsiaTheme="majorEastAsia"/>
        </w:rPr>
        <w:t>‘</w:t>
      </w:r>
      <w:r w:rsidRPr="00167CB8">
        <w:rPr>
          <w:rFonts w:eastAsiaTheme="majorEastAsia"/>
        </w:rPr>
        <w:t>has been a positive amendment which provides some level of safeguard to employees</w:t>
      </w:r>
      <w:r w:rsidR="00293C6C" w:rsidRPr="00167CB8">
        <w:rPr>
          <w:rFonts w:eastAsiaTheme="majorEastAsia"/>
        </w:rPr>
        <w:t>’</w:t>
      </w:r>
      <w:r w:rsidRPr="00167CB8">
        <w:rPr>
          <w:rFonts w:eastAsiaTheme="majorEastAsia"/>
        </w:rPr>
        <w:t>.</w:t>
      </w:r>
      <w:r w:rsidRPr="00167CB8">
        <w:rPr>
          <w:rFonts w:eastAsiaTheme="majorEastAsia"/>
          <w:vertAlign w:val="superscript"/>
        </w:rPr>
        <w:footnoteReference w:id="536"/>
      </w:r>
    </w:p>
    <w:p w14:paraId="1ED16D80" w14:textId="28688EDD" w:rsidR="00173F8E" w:rsidRPr="00167CB8" w:rsidRDefault="00173F8E" w:rsidP="00173F8E">
      <w:pPr>
        <w:rPr>
          <w:rFonts w:eastAsiaTheme="majorEastAsia"/>
        </w:rPr>
      </w:pPr>
      <w:r w:rsidRPr="00167CB8">
        <w:rPr>
          <w:rFonts w:eastAsiaTheme="majorEastAsia"/>
        </w:rPr>
        <w:t xml:space="preserve">The </w:t>
      </w:r>
      <w:r w:rsidR="00644C65" w:rsidRPr="00167CB8">
        <w:rPr>
          <w:rFonts w:eastAsiaTheme="majorEastAsia"/>
        </w:rPr>
        <w:t xml:space="preserve">Electrical Trades Union </w:t>
      </w:r>
      <w:r w:rsidRPr="00167CB8">
        <w:rPr>
          <w:rFonts w:eastAsiaTheme="majorEastAsia"/>
        </w:rPr>
        <w:t>expressed concerns about good faith bargaining</w:t>
      </w:r>
      <w:r w:rsidR="00293C6C" w:rsidRPr="00167CB8">
        <w:rPr>
          <w:rFonts w:eastAsiaTheme="majorEastAsia"/>
        </w:rPr>
        <w:t>,</w:t>
      </w:r>
      <w:r w:rsidRPr="00167CB8">
        <w:rPr>
          <w:rFonts w:eastAsiaTheme="majorEastAsia"/>
        </w:rPr>
        <w:t xml:space="preserve"> noting that the 9-month minimum bargaining period </w:t>
      </w:r>
      <w:r w:rsidR="00644C65" w:rsidRPr="00167CB8">
        <w:rPr>
          <w:rFonts w:eastAsiaTheme="majorEastAsia"/>
        </w:rPr>
        <w:t>‘</w:t>
      </w:r>
      <w:r w:rsidRPr="00167CB8">
        <w:rPr>
          <w:rFonts w:eastAsiaTheme="majorEastAsia"/>
        </w:rPr>
        <w:t>allow[s] employers to treat</w:t>
      </w:r>
      <w:r w:rsidR="00293C6C" w:rsidRPr="00167CB8">
        <w:rPr>
          <w:rFonts w:eastAsiaTheme="majorEastAsia"/>
        </w:rPr>
        <w:t xml:space="preserve"> </w:t>
      </w:r>
      <w:r w:rsidRPr="00167CB8">
        <w:rPr>
          <w:rFonts w:eastAsiaTheme="majorEastAsia"/>
        </w:rPr>
        <w:t>… [the minimum bargaining period] as a mere formality, rather than requiring genuine and meaningful negotiations</w:t>
      </w:r>
      <w:r w:rsidR="00CE1EAA">
        <w:rPr>
          <w:rFonts w:eastAsiaTheme="majorEastAsia"/>
        </w:rPr>
        <w:t>.</w:t>
      </w:r>
      <w:r w:rsidR="00293C6C" w:rsidRPr="00167CB8">
        <w:rPr>
          <w:rFonts w:eastAsiaTheme="majorEastAsia"/>
        </w:rPr>
        <w:t>’</w:t>
      </w:r>
      <w:r w:rsidRPr="00167CB8">
        <w:rPr>
          <w:rFonts w:eastAsiaTheme="majorEastAsia"/>
          <w:vertAlign w:val="superscript"/>
        </w:rPr>
        <w:footnoteReference w:id="537"/>
      </w:r>
      <w:r w:rsidRPr="00167CB8">
        <w:rPr>
          <w:rFonts w:eastAsiaTheme="majorEastAsia"/>
        </w:rPr>
        <w:t xml:space="preserve"> The </w:t>
      </w:r>
      <w:r w:rsidR="00644C65" w:rsidRPr="00167CB8">
        <w:rPr>
          <w:rFonts w:eastAsiaTheme="majorEastAsia"/>
        </w:rPr>
        <w:t xml:space="preserve">Australian Retailers Association </w:t>
      </w:r>
      <w:r w:rsidRPr="00167CB8">
        <w:rPr>
          <w:rFonts w:eastAsiaTheme="majorEastAsia"/>
        </w:rPr>
        <w:t xml:space="preserve">expressed that the 9-month period was too short and should be extended to 12 months. </w:t>
      </w:r>
    </w:p>
    <w:p w14:paraId="63629C64" w14:textId="77777777" w:rsidR="00173F8E" w:rsidRPr="00167CB8" w:rsidRDefault="00173F8E" w:rsidP="00173F8E">
      <w:pPr>
        <w:rPr>
          <w:rFonts w:eastAsiaTheme="majorEastAsia"/>
        </w:rPr>
      </w:pPr>
      <w:r w:rsidRPr="00167CB8">
        <w:rPr>
          <w:rFonts w:eastAsiaTheme="majorEastAsia"/>
        </w:rPr>
        <w:t>Employer groups were divided about the impact of the Secure Jobs, Better Pay amendments but were largely unified in their opposition on the not less favourable amendment. The prevailing view was that the system (as further amended) discourages good faith bargaining.</w:t>
      </w:r>
    </w:p>
    <w:p w14:paraId="5916A0D0" w14:textId="77617F15" w:rsidR="00173F8E" w:rsidRPr="00167CB8" w:rsidRDefault="00293C6C" w:rsidP="00173F8E">
      <w:r w:rsidRPr="00167CB8">
        <w:t xml:space="preserve">The </w:t>
      </w:r>
      <w:r w:rsidR="00173F8E" w:rsidRPr="00167CB8">
        <w:t xml:space="preserve">Chamber of Minerals &amp; Energy of Western Australia, Master Builders Australia and Whitehaven Coal called for the repeal of the intractable bargaining amendments in the Secure Jobs, Better Pay Act and </w:t>
      </w:r>
      <w:r w:rsidR="00173F8E" w:rsidRPr="00167CB8">
        <w:rPr>
          <w:rFonts w:eastAsiaTheme="majorEastAsia"/>
        </w:rPr>
        <w:t>Closing Loopholes No.</w:t>
      </w:r>
      <w:r w:rsidRPr="00167CB8">
        <w:rPr>
          <w:rFonts w:eastAsiaTheme="majorEastAsia"/>
        </w:rPr>
        <w:t xml:space="preserve"> </w:t>
      </w:r>
      <w:r w:rsidR="00173F8E" w:rsidRPr="00167CB8">
        <w:rPr>
          <w:rFonts w:eastAsiaTheme="majorEastAsia"/>
        </w:rPr>
        <w:t>2 Act</w:t>
      </w:r>
      <w:r w:rsidR="00173F8E" w:rsidRPr="00167CB8">
        <w:t>.</w:t>
      </w:r>
      <w:r w:rsidR="00173F8E" w:rsidRPr="00167CB8">
        <w:rPr>
          <w:rStyle w:val="FootnoteReference"/>
        </w:rPr>
        <w:footnoteReference w:id="538"/>
      </w:r>
      <w:r w:rsidR="00173F8E" w:rsidRPr="00167CB8">
        <w:t xml:space="preserve"> </w:t>
      </w:r>
    </w:p>
    <w:p w14:paraId="54242866" w14:textId="725546F5" w:rsidR="00173F8E" w:rsidRPr="00167CB8" w:rsidRDefault="00173F8E" w:rsidP="00173F8E">
      <w:r w:rsidRPr="00167CB8">
        <w:t>Other employer associations</w:t>
      </w:r>
      <w:r w:rsidR="00293C6C" w:rsidRPr="00167CB8">
        <w:t>,</w:t>
      </w:r>
      <w:r w:rsidRPr="00167CB8">
        <w:t xml:space="preserve"> such as ACCI,</w:t>
      </w:r>
      <w:r w:rsidRPr="00167CB8">
        <w:rPr>
          <w:rStyle w:val="FootnoteReference"/>
        </w:rPr>
        <w:footnoteReference w:id="539"/>
      </w:r>
      <w:r w:rsidRPr="00167CB8">
        <w:t xml:space="preserve"> Ai Group,</w:t>
      </w:r>
      <w:r w:rsidRPr="00167CB8">
        <w:rPr>
          <w:rStyle w:val="FootnoteReference"/>
        </w:rPr>
        <w:footnoteReference w:id="540"/>
      </w:r>
      <w:r w:rsidRPr="00167CB8">
        <w:t xml:space="preserve"> </w:t>
      </w:r>
      <w:r w:rsidR="00644C65" w:rsidRPr="00167CB8">
        <w:t>Australian Resources &amp; Energy Employer Association (</w:t>
      </w:r>
      <w:r w:rsidRPr="00167CB8">
        <w:t>AREEA</w:t>
      </w:r>
      <w:r w:rsidR="00644C65" w:rsidRPr="00167CB8">
        <w:t>)</w:t>
      </w:r>
      <w:r w:rsidRPr="00167CB8">
        <w:t xml:space="preserve">, </w:t>
      </w:r>
      <w:r w:rsidR="00644C65" w:rsidRPr="00167CB8">
        <w:t>Business Council of Australia (</w:t>
      </w:r>
      <w:r w:rsidRPr="00167CB8">
        <w:t>BCA</w:t>
      </w:r>
      <w:r w:rsidR="00644C65" w:rsidRPr="00167CB8">
        <w:t>)</w:t>
      </w:r>
      <w:r w:rsidRPr="00167CB8">
        <w:t xml:space="preserve"> and</w:t>
      </w:r>
      <w:r w:rsidR="00644C65" w:rsidRPr="00167CB8">
        <w:t xml:space="preserve"> Chamber of </w:t>
      </w:r>
      <w:r w:rsidR="00644C65" w:rsidRPr="00167CB8">
        <w:lastRenderedPageBreak/>
        <w:t>Commerce and Industry of Western Australia</w:t>
      </w:r>
      <w:r w:rsidR="00293C6C" w:rsidRPr="00167CB8">
        <w:t>,</w:t>
      </w:r>
      <w:r w:rsidRPr="00167CB8">
        <w:t xml:space="preserve"> submit they are generally less concerned about the Secure Jobs, Better Pay Act amendments but sought repeal of the </w:t>
      </w:r>
      <w:r w:rsidRPr="00167CB8">
        <w:rPr>
          <w:rFonts w:eastAsiaTheme="majorEastAsia"/>
        </w:rPr>
        <w:t>Closing Loopholes No.</w:t>
      </w:r>
      <w:r w:rsidR="00293C6C" w:rsidRPr="00167CB8">
        <w:rPr>
          <w:rFonts w:eastAsiaTheme="majorEastAsia"/>
        </w:rPr>
        <w:t xml:space="preserve"> </w:t>
      </w:r>
      <w:r w:rsidRPr="00167CB8">
        <w:rPr>
          <w:rFonts w:eastAsiaTheme="majorEastAsia"/>
        </w:rPr>
        <w:t>2 Act amendments</w:t>
      </w:r>
      <w:r w:rsidRPr="00167CB8">
        <w:t xml:space="preserve">.  </w:t>
      </w:r>
    </w:p>
    <w:p w14:paraId="0A2EACEC" w14:textId="6C244479" w:rsidR="00173F8E" w:rsidRPr="00167CB8" w:rsidRDefault="00173F8E" w:rsidP="00173F8E">
      <w:r w:rsidRPr="00167CB8">
        <w:t xml:space="preserve">BCA argued that to </w:t>
      </w:r>
      <w:r w:rsidR="00293C6C" w:rsidRPr="00167CB8">
        <w:t>‘</w:t>
      </w:r>
      <w:r w:rsidRPr="00167CB8">
        <w:t>ensure that the IBD framework is operating effectively and appropriately having regard to its stated objectives, and to mitigate unintended consequences, [the not less favourable amendment] should be repealed</w:t>
      </w:r>
      <w:r w:rsidR="00293C6C" w:rsidRPr="00167CB8">
        <w:t>’</w:t>
      </w:r>
      <w:r w:rsidRPr="00167CB8">
        <w:t>.</w:t>
      </w:r>
      <w:r w:rsidRPr="00167CB8">
        <w:rPr>
          <w:rStyle w:val="FootnoteReference"/>
        </w:rPr>
        <w:footnoteReference w:id="541"/>
      </w:r>
      <w:r w:rsidRPr="00167CB8">
        <w:t xml:space="preserve"> </w:t>
      </w:r>
      <w:r w:rsidR="00644C65" w:rsidRPr="00167CB8">
        <w:t xml:space="preserve">The </w:t>
      </w:r>
      <w:r w:rsidRPr="00167CB8">
        <w:t>supported this recommendation</w:t>
      </w:r>
      <w:r w:rsidR="00293C6C" w:rsidRPr="00167CB8">
        <w:t>,</w:t>
      </w:r>
      <w:r w:rsidRPr="00167CB8">
        <w:t xml:space="preserve"> asserting the further amendment </w:t>
      </w:r>
      <w:r w:rsidR="00293C6C" w:rsidRPr="00167CB8">
        <w:t>‘</w:t>
      </w:r>
      <w:r w:rsidRPr="00167CB8">
        <w:t>creates a substantial incentive for arbitrated outcomes</w:t>
      </w:r>
      <w:r w:rsidR="00293C6C" w:rsidRPr="00167CB8">
        <w:t>’</w:t>
      </w:r>
      <w:r w:rsidRPr="00167CB8">
        <w:t>.</w:t>
      </w:r>
      <w:r w:rsidRPr="00167CB8">
        <w:rPr>
          <w:rStyle w:val="FootnoteReference"/>
        </w:rPr>
        <w:footnoteReference w:id="542"/>
      </w:r>
      <w:r w:rsidRPr="00167CB8">
        <w:t xml:space="preserve"> </w:t>
      </w:r>
    </w:p>
    <w:p w14:paraId="3BAC815F" w14:textId="2806EFE1" w:rsidR="00173F8E" w:rsidRPr="00167CB8" w:rsidRDefault="00173F8E" w:rsidP="00173F8E">
      <w:r w:rsidRPr="00167CB8">
        <w:t>AREEA also supported repealing the not less favourable amendment</w:t>
      </w:r>
      <w:r w:rsidR="00293C6C" w:rsidRPr="00167CB8">
        <w:t>,</w:t>
      </w:r>
      <w:r w:rsidRPr="00167CB8">
        <w:t xml:space="preserve"> being concerned that the further amendment </w:t>
      </w:r>
      <w:r w:rsidR="00293C6C" w:rsidRPr="00167CB8">
        <w:t>‘</w:t>
      </w:r>
      <w:r w:rsidRPr="00167CB8">
        <w:t>mean[s] unions/employees have “nothing to lose” … [the potential] benefits and risk burden from intractable bargaining provisions must be apportioned equally between employers and employees/unions</w:t>
      </w:r>
      <w:r w:rsidR="00CE1EAA">
        <w:t>.</w:t>
      </w:r>
      <w:r w:rsidR="00293C6C" w:rsidRPr="00167CB8">
        <w:t>’</w:t>
      </w:r>
      <w:r w:rsidRPr="00167CB8">
        <w:rPr>
          <w:rStyle w:val="FootnoteReference"/>
        </w:rPr>
        <w:footnoteReference w:id="543"/>
      </w:r>
      <w:r w:rsidRPr="00167CB8">
        <w:t xml:space="preserve"> </w:t>
      </w:r>
    </w:p>
    <w:p w14:paraId="63EBF6B8" w14:textId="4B8FD1D7" w:rsidR="00173F8E" w:rsidRPr="00167CB8" w:rsidRDefault="00644C65" w:rsidP="00173F8E">
      <w:r w:rsidRPr="00167CB8">
        <w:t xml:space="preserve">The Australian Higher Education Industrial Association </w:t>
      </w:r>
      <w:r w:rsidR="00173F8E" w:rsidRPr="00167CB8">
        <w:t>recommend</w:t>
      </w:r>
      <w:r w:rsidR="00293C6C" w:rsidRPr="00167CB8">
        <w:t>ed</w:t>
      </w:r>
      <w:r w:rsidR="00173F8E" w:rsidRPr="00167CB8">
        <w:t xml:space="preserve"> adjusting the not less favourable test </w:t>
      </w:r>
      <w:r w:rsidR="00293C6C" w:rsidRPr="00167CB8">
        <w:t>‘</w:t>
      </w:r>
      <w:r w:rsidR="00173F8E" w:rsidRPr="00167CB8">
        <w:t>such that employees and employee organisations are not worse off, but that the test of whether they would be worse off be directed to the agreement as a whole, rather than being focused on a single term</w:t>
      </w:r>
      <w:r w:rsidR="00293C6C" w:rsidRPr="00167CB8">
        <w:t>’</w:t>
      </w:r>
      <w:r w:rsidR="00173F8E" w:rsidRPr="00167CB8">
        <w:t>.</w:t>
      </w:r>
      <w:r w:rsidR="00173F8E" w:rsidRPr="00167CB8">
        <w:rPr>
          <w:rStyle w:val="FootnoteReference"/>
        </w:rPr>
        <w:footnoteReference w:id="544"/>
      </w:r>
    </w:p>
    <w:p w14:paraId="6E64EF8C" w14:textId="6772157F" w:rsidR="00173F8E" w:rsidRPr="00167CB8" w:rsidRDefault="00644C65" w:rsidP="00173F8E">
      <w:r w:rsidRPr="00167CB8">
        <w:t xml:space="preserve">The </w:t>
      </w:r>
      <w:r w:rsidR="00173F8E" w:rsidRPr="00167CB8">
        <w:t xml:space="preserve">Australian Retailers Association took a slightly different approach and recommended the test allow terms of the agreement to be no worse off than either ‘a term of the enterprise agreement that deals with the matter </w:t>
      </w:r>
      <w:r w:rsidR="00173F8E" w:rsidRPr="00167CB8">
        <w:rPr>
          <w:i/>
          <w:iCs/>
        </w:rPr>
        <w:t>or a term within a comparable modern award</w:t>
      </w:r>
      <w:r w:rsidR="00293C6C" w:rsidRPr="00167CB8">
        <w:t>’</w:t>
      </w:r>
      <w:r w:rsidR="00173F8E" w:rsidRPr="00167CB8">
        <w:t>.</w:t>
      </w:r>
      <w:r w:rsidR="00173F8E" w:rsidRPr="00167CB8">
        <w:rPr>
          <w:rStyle w:val="FootnoteReference"/>
        </w:rPr>
        <w:footnoteReference w:id="545"/>
      </w:r>
    </w:p>
    <w:p w14:paraId="3146AD9E" w14:textId="3FE8C56A" w:rsidR="00173F8E" w:rsidRPr="00167CB8" w:rsidRDefault="00173F8E" w:rsidP="00173F8E">
      <w:r w:rsidRPr="00167CB8">
        <w:t>Clubs Australia ‘recommends an amendment to the Act to ensure that agreements can incorporate flexibility and above-award trade-offs that support productivity improvements</w:t>
      </w:r>
      <w:r w:rsidR="00CE1EAA">
        <w:t>.</w:t>
      </w:r>
      <w:r w:rsidRPr="00167CB8">
        <w:t>’</w:t>
      </w:r>
      <w:r w:rsidRPr="00167CB8">
        <w:rPr>
          <w:rStyle w:val="FootnoteReference"/>
        </w:rPr>
        <w:footnoteReference w:id="546"/>
      </w:r>
    </w:p>
    <w:p w14:paraId="7F7F65A1" w14:textId="50E6E3F8" w:rsidR="00173F8E" w:rsidRPr="00167CB8" w:rsidRDefault="003B14A5" w:rsidP="00173F8E">
      <w:pPr>
        <w:pStyle w:val="Heading4"/>
        <w:rPr>
          <w:rFonts w:asciiTheme="minorHAnsi" w:hAnsiTheme="minorHAnsi"/>
        </w:rPr>
      </w:pPr>
      <w:bookmarkStart w:id="205" w:name="_Toc189260245"/>
      <w:bookmarkStart w:id="206" w:name="_Toc189393561"/>
      <w:r w:rsidRPr="00167CB8">
        <w:rPr>
          <w:rFonts w:asciiTheme="minorHAnsi" w:hAnsiTheme="minorHAnsi"/>
        </w:rPr>
        <w:t>14</w:t>
      </w:r>
      <w:r w:rsidR="00173F8E" w:rsidRPr="00167CB8">
        <w:rPr>
          <w:rFonts w:asciiTheme="minorHAnsi" w:hAnsiTheme="minorHAnsi"/>
        </w:rPr>
        <w:t xml:space="preserve">.3 Findings </w:t>
      </w:r>
      <w:r w:rsidR="00293C6C" w:rsidRPr="00167CB8">
        <w:rPr>
          <w:rFonts w:asciiTheme="minorHAnsi" w:hAnsiTheme="minorHAnsi"/>
        </w:rPr>
        <w:t>and r</w:t>
      </w:r>
      <w:r w:rsidR="00173F8E" w:rsidRPr="00167CB8">
        <w:rPr>
          <w:rFonts w:asciiTheme="minorHAnsi" w:hAnsiTheme="minorHAnsi"/>
        </w:rPr>
        <w:t>ecommendations</w:t>
      </w:r>
      <w:bookmarkEnd w:id="205"/>
      <w:bookmarkEnd w:id="206"/>
    </w:p>
    <w:p w14:paraId="7C41841F" w14:textId="6B296A6B" w:rsidR="00751BD5" w:rsidRPr="00167CB8" w:rsidRDefault="00751BD5" w:rsidP="00751BD5">
      <w:r w:rsidRPr="00167CB8">
        <w:t xml:space="preserve">The Review Panel finds that the development of practice in this area is in its early stages. Not only </w:t>
      </w:r>
      <w:r w:rsidR="00293C6C" w:rsidRPr="00167CB8">
        <w:t xml:space="preserve">have </w:t>
      </w:r>
      <w:r w:rsidRPr="00167CB8">
        <w:t>there been relatively few instances where applications have been made</w:t>
      </w:r>
      <w:r w:rsidR="000349D0">
        <w:t>,</w:t>
      </w:r>
      <w:r w:rsidR="00293C6C" w:rsidRPr="00167CB8">
        <w:t xml:space="preserve"> but also </w:t>
      </w:r>
      <w:r w:rsidRPr="00167CB8">
        <w:t xml:space="preserve">there have been relatively few decisions made by the FWC so far in interpreting the amendments. There remain many elements of the process leading up to intractable bargaining applications and the finalising of </w:t>
      </w:r>
      <w:r w:rsidR="00293C6C" w:rsidRPr="00167CB8">
        <w:t>IB</w:t>
      </w:r>
      <w:r w:rsidR="00722851" w:rsidRPr="00167CB8">
        <w:t>W</w:t>
      </w:r>
      <w:r w:rsidR="00293C6C" w:rsidRPr="00167CB8">
        <w:t xml:space="preserve">Ds </w:t>
      </w:r>
      <w:r w:rsidRPr="00167CB8">
        <w:t xml:space="preserve">to be resolved. </w:t>
      </w:r>
    </w:p>
    <w:p w14:paraId="78768A66" w14:textId="70772326" w:rsidR="00751BD5" w:rsidRPr="00167CB8" w:rsidRDefault="00751BD5" w:rsidP="00751BD5">
      <w:r w:rsidRPr="00167CB8">
        <w:t>To the extent that stakeholders view the use of intractable bargaining as a bargaining tactic, the Review Panel does not accept this premise. The reality is that both sides use bargaining tactics and there is nothing inherently wrong in doing so. The purpose of the intractable bargaining framework is to introduce a level of risk (through the uncertainty of the FWC’s decisions) to continuing disagreement and to balance the positions and power of the bargaining participants. It is only in these circumstances that bargaining will efficiently and effectively produce agreements</w:t>
      </w:r>
      <w:r w:rsidR="00806F7F">
        <w:t>, which is part of the intent of the amendments</w:t>
      </w:r>
      <w:r w:rsidRPr="00167CB8">
        <w:t xml:space="preserve">.  </w:t>
      </w:r>
    </w:p>
    <w:p w14:paraId="76A8760B" w14:textId="7130E501" w:rsidR="00751BD5" w:rsidRPr="00167CB8" w:rsidRDefault="00751BD5" w:rsidP="00751BD5">
      <w:pPr>
        <w:rPr>
          <w:rFonts w:eastAsia="Aptos" w:cs="Aptos"/>
        </w:rPr>
      </w:pPr>
      <w:r w:rsidRPr="00167CB8">
        <w:t xml:space="preserve">The </w:t>
      </w:r>
      <w:r w:rsidR="00D85692" w:rsidRPr="00167CB8">
        <w:t xml:space="preserve">Review </w:t>
      </w:r>
      <w:r w:rsidRPr="00167CB8">
        <w:t>Panel remains unconvinced about whether the ‘</w:t>
      </w:r>
      <w:r w:rsidRPr="00167CB8">
        <w:rPr>
          <w:rFonts w:eastAsia="Aptos" w:cs="Aptos"/>
        </w:rPr>
        <w:t xml:space="preserve">not less favourable’ amendments </w:t>
      </w:r>
      <w:r w:rsidR="003560F1" w:rsidRPr="00167CB8">
        <w:rPr>
          <w:rFonts w:eastAsia="Aptos" w:cs="Aptos"/>
        </w:rPr>
        <w:t>have</w:t>
      </w:r>
      <w:r w:rsidRPr="00167CB8">
        <w:rPr>
          <w:rFonts w:eastAsia="Aptos" w:cs="Aptos"/>
        </w:rPr>
        <w:t xml:space="preserve"> the </w:t>
      </w:r>
      <w:r w:rsidR="003560F1" w:rsidRPr="00167CB8">
        <w:rPr>
          <w:rFonts w:eastAsia="Aptos" w:cs="Aptos"/>
        </w:rPr>
        <w:t>intended effect of focusing the mind</w:t>
      </w:r>
      <w:r w:rsidR="00293C6C" w:rsidRPr="00167CB8">
        <w:rPr>
          <w:rFonts w:eastAsia="Aptos" w:cs="Aptos"/>
        </w:rPr>
        <w:t>s</w:t>
      </w:r>
      <w:r w:rsidR="003560F1" w:rsidRPr="00167CB8">
        <w:rPr>
          <w:rFonts w:eastAsia="Aptos" w:cs="Aptos"/>
        </w:rPr>
        <w:t xml:space="preserve"> of parties on reaching a mutually acceptable compromise.</w:t>
      </w:r>
      <w:r w:rsidRPr="00167CB8">
        <w:rPr>
          <w:rFonts w:eastAsia="Aptos" w:cs="Aptos"/>
        </w:rPr>
        <w:t xml:space="preserve"> </w:t>
      </w:r>
      <w:r w:rsidR="00554C7A">
        <w:rPr>
          <w:rFonts w:eastAsia="Aptos" w:cs="Aptos"/>
        </w:rPr>
        <w:t>However</w:t>
      </w:r>
      <w:r w:rsidRPr="00167CB8">
        <w:rPr>
          <w:rFonts w:eastAsia="Aptos" w:cs="Aptos"/>
        </w:rPr>
        <w:t xml:space="preserve">, these amendments only came into operation on 27 February 2024. </w:t>
      </w:r>
      <w:r w:rsidR="002361E1" w:rsidRPr="00167CB8">
        <w:rPr>
          <w:rFonts w:eastAsia="Aptos" w:cs="Aptos"/>
        </w:rPr>
        <w:t xml:space="preserve">The </w:t>
      </w:r>
      <w:r w:rsidR="002361E1" w:rsidRPr="00167CB8">
        <w:rPr>
          <w:rFonts w:eastAsia="Aptos" w:cs="Aptos"/>
        </w:rPr>
        <w:lastRenderedPageBreak/>
        <w:t>amendments require further consideration in tribunal decisions and application in practice before the law will be fully tested. The Panel considers that close attention to forthcoming events will be required to be able to reach a conclusion on whether further amendments are required.</w:t>
      </w:r>
    </w:p>
    <w:p w14:paraId="37C5821A" w14:textId="0B788CD8" w:rsidR="00751BD5" w:rsidRPr="00167CB8" w:rsidRDefault="00751BD5" w:rsidP="00751BD5">
      <w:pPr>
        <w:rPr>
          <w:rFonts w:eastAsia="Aptos" w:cs="Aptos"/>
        </w:rPr>
      </w:pPr>
      <w:r w:rsidRPr="00167CB8">
        <w:rPr>
          <w:rFonts w:eastAsia="Aptos" w:cs="Aptos"/>
        </w:rPr>
        <w:t xml:space="preserve">As a result, the </w:t>
      </w:r>
      <w:r w:rsidR="00C7733B" w:rsidRPr="00167CB8">
        <w:rPr>
          <w:rFonts w:eastAsia="Aptos" w:cs="Aptos"/>
        </w:rPr>
        <w:t xml:space="preserve">Review </w:t>
      </w:r>
      <w:r w:rsidRPr="00167CB8">
        <w:rPr>
          <w:rFonts w:eastAsia="Aptos" w:cs="Aptos"/>
        </w:rPr>
        <w:t>Panel will not make specific recommendations</w:t>
      </w:r>
      <w:r w:rsidR="00C7733B" w:rsidRPr="00167CB8">
        <w:rPr>
          <w:rFonts w:eastAsia="Aptos" w:cs="Aptos"/>
        </w:rPr>
        <w:t xml:space="preserve"> at this time</w:t>
      </w:r>
      <w:r w:rsidRPr="00167CB8">
        <w:rPr>
          <w:rFonts w:eastAsia="Aptos" w:cs="Aptos"/>
        </w:rPr>
        <w:t>.</w:t>
      </w:r>
    </w:p>
    <w:p w14:paraId="4F66E37B" w14:textId="77777777" w:rsidR="00173F8E" w:rsidRPr="00167CB8" w:rsidRDefault="00173F8E" w:rsidP="00173F8E">
      <w:pPr>
        <w:spacing w:after="160"/>
        <w:rPr>
          <w:b/>
          <w:bCs/>
        </w:rPr>
      </w:pPr>
      <w:r w:rsidRPr="00167CB8">
        <w:rPr>
          <w:b/>
          <w:bCs/>
        </w:rPr>
        <w:br w:type="page"/>
      </w:r>
    </w:p>
    <w:p w14:paraId="3931C3B8" w14:textId="157CEBF1" w:rsidR="00173F8E" w:rsidRPr="00167CB8" w:rsidRDefault="00173F8E" w:rsidP="00173F8E">
      <w:pPr>
        <w:pStyle w:val="Heading3"/>
        <w:rPr>
          <w:rFonts w:asciiTheme="minorHAnsi" w:hAnsiTheme="minorHAnsi"/>
        </w:rPr>
      </w:pPr>
      <w:bookmarkStart w:id="207" w:name="_Toc189260246"/>
      <w:bookmarkStart w:id="208" w:name="_Toc189393562"/>
      <w:r w:rsidRPr="00167CB8">
        <w:rPr>
          <w:rFonts w:asciiTheme="minorHAnsi" w:hAnsiTheme="minorHAnsi"/>
        </w:rPr>
        <w:lastRenderedPageBreak/>
        <w:t xml:space="preserve">Chapter </w:t>
      </w:r>
      <w:r w:rsidR="00783F86" w:rsidRPr="00167CB8">
        <w:rPr>
          <w:rFonts w:asciiTheme="minorHAnsi" w:hAnsiTheme="minorHAnsi"/>
        </w:rPr>
        <w:t>15</w:t>
      </w:r>
      <w:r w:rsidRPr="00167CB8">
        <w:rPr>
          <w:rFonts w:asciiTheme="minorHAnsi" w:hAnsiTheme="minorHAnsi"/>
        </w:rPr>
        <w:t>. Industrial action</w:t>
      </w:r>
      <w:bookmarkEnd w:id="207"/>
      <w:bookmarkEnd w:id="208"/>
    </w:p>
    <w:p w14:paraId="452E421C" w14:textId="74744754" w:rsidR="00173F8E" w:rsidRPr="00167CB8" w:rsidRDefault="00173F8E" w:rsidP="00173F8E">
      <w:r w:rsidRPr="00167CB8">
        <w:t xml:space="preserve">Part 19 of the Secure Jobs, Better Pay Act amended some of the provisions of the Fair Work Act relevant to industrial </w:t>
      </w:r>
      <w:r w:rsidR="008A58E5" w:rsidRPr="00167CB8">
        <w:t>action</w:t>
      </w:r>
      <w:r w:rsidRPr="00167CB8">
        <w:t xml:space="preserve">. In particular, the main topic of attention in this chapter is the new requirements for bargaining representatives to attend mandatory conciliation during the protected action ballot (PAB) period (i.e. before protected industrial action can be taken). </w:t>
      </w:r>
    </w:p>
    <w:p w14:paraId="1AAB04F7" w14:textId="7C471170" w:rsidR="00173F8E" w:rsidRPr="00167CB8" w:rsidRDefault="003B14A5" w:rsidP="00173F8E">
      <w:pPr>
        <w:pStyle w:val="Heading4"/>
        <w:rPr>
          <w:rFonts w:asciiTheme="minorHAnsi" w:hAnsiTheme="minorHAnsi"/>
        </w:rPr>
      </w:pPr>
      <w:bookmarkStart w:id="209" w:name="_Toc189260247"/>
      <w:bookmarkStart w:id="210" w:name="_Toc189393563"/>
      <w:r w:rsidRPr="00167CB8">
        <w:rPr>
          <w:rFonts w:asciiTheme="minorHAnsi" w:hAnsiTheme="minorHAnsi"/>
        </w:rPr>
        <w:t>15</w:t>
      </w:r>
      <w:r w:rsidR="00173F8E" w:rsidRPr="00167CB8">
        <w:rPr>
          <w:rFonts w:asciiTheme="minorHAnsi" w:hAnsiTheme="minorHAnsi"/>
        </w:rPr>
        <w:t xml:space="preserve">.1 Amendments </w:t>
      </w:r>
      <w:r w:rsidR="00293C6C" w:rsidRPr="00167CB8">
        <w:rPr>
          <w:rFonts w:asciiTheme="minorHAnsi" w:hAnsiTheme="minorHAnsi"/>
        </w:rPr>
        <w:t>and i</w:t>
      </w:r>
      <w:r w:rsidR="00173F8E" w:rsidRPr="00167CB8">
        <w:rPr>
          <w:rFonts w:asciiTheme="minorHAnsi" w:hAnsiTheme="minorHAnsi"/>
        </w:rPr>
        <w:t>ntent</w:t>
      </w:r>
      <w:bookmarkEnd w:id="209"/>
      <w:bookmarkEnd w:id="210"/>
    </w:p>
    <w:p w14:paraId="7E96D846" w14:textId="58A566DB" w:rsidR="003655D7" w:rsidRPr="00167CB8" w:rsidRDefault="00173F8E" w:rsidP="00173F8E">
      <w:r w:rsidRPr="00167CB8">
        <w:t>The amendments themselves will first be introduced, followed by a brief exploration of the intentions behind them.</w:t>
      </w:r>
      <w:r w:rsidR="00A51AFD" w:rsidRPr="00167CB8">
        <w:t xml:space="preserve"> </w:t>
      </w:r>
    </w:p>
    <w:p w14:paraId="2DEA3493" w14:textId="083AE2AC" w:rsidR="00173F8E" w:rsidRPr="00167CB8" w:rsidRDefault="003655D7" w:rsidP="003655D7">
      <w:pPr>
        <w:pStyle w:val="Heading5"/>
      </w:pPr>
      <w:r w:rsidRPr="00167CB8">
        <w:t>15</w:t>
      </w:r>
      <w:r w:rsidR="00644C65" w:rsidRPr="00167CB8">
        <w:t>.1.1</w:t>
      </w:r>
      <w:r w:rsidR="00293C6C" w:rsidRPr="00167CB8">
        <w:t xml:space="preserve"> </w:t>
      </w:r>
      <w:r w:rsidR="00644C65" w:rsidRPr="00167CB8">
        <w:t>Secure Jobs, Better Pay amendments</w:t>
      </w:r>
    </w:p>
    <w:p w14:paraId="0CEFB1C3" w14:textId="779C778E" w:rsidR="00173F8E" w:rsidRPr="00167CB8" w:rsidRDefault="00173F8E" w:rsidP="00173F8E">
      <w:r w:rsidRPr="00167CB8">
        <w:t>The new</w:t>
      </w:r>
      <w:r w:rsidR="0036578E" w:rsidRPr="00167CB8">
        <w:t>ly</w:t>
      </w:r>
      <w:r w:rsidRPr="00167CB8">
        <w:t xml:space="preserve"> amended Part 3-3 of the Fair Work Act includes </w:t>
      </w:r>
      <w:r w:rsidR="00293C6C" w:rsidRPr="00167CB8">
        <w:t xml:space="preserve">2 </w:t>
      </w:r>
      <w:r w:rsidRPr="00167CB8">
        <w:t xml:space="preserve">substantial changes: the Protected Action Ballot Agent Scheme and the introduction of a new mandatory step before protected industrial action may be taken. A third amendment to </w:t>
      </w:r>
      <w:r w:rsidR="001D09D2">
        <w:t xml:space="preserve">change </w:t>
      </w:r>
      <w:r w:rsidRPr="00167CB8">
        <w:t>notice periods before industrial action can be taken was also made, but this was largely technical.</w:t>
      </w:r>
    </w:p>
    <w:p w14:paraId="62834ED1" w14:textId="5D3B9CF8" w:rsidR="00173F8E" w:rsidRPr="00167CB8" w:rsidRDefault="00173F8E" w:rsidP="00173F8E">
      <w:r w:rsidRPr="00167CB8">
        <w:t>First, the amendments provide for a process whereby</w:t>
      </w:r>
      <w:r w:rsidRPr="00167CB8">
        <w:rPr>
          <w:rFonts w:cs="Calibri"/>
        </w:rPr>
        <w:t xml:space="preserve"> the </w:t>
      </w:r>
      <w:r w:rsidR="00293C6C" w:rsidRPr="00167CB8">
        <w:rPr>
          <w:rFonts w:cs="Calibri"/>
        </w:rPr>
        <w:t>Fair Work Commission (</w:t>
      </w:r>
      <w:r w:rsidRPr="00167CB8">
        <w:rPr>
          <w:rFonts w:cs="Calibri"/>
        </w:rPr>
        <w:t>FWC</w:t>
      </w:r>
      <w:r w:rsidR="00293C6C" w:rsidRPr="00167CB8">
        <w:rPr>
          <w:rFonts w:cs="Calibri"/>
        </w:rPr>
        <w:t>)</w:t>
      </w:r>
      <w:r w:rsidRPr="00167CB8">
        <w:rPr>
          <w:rFonts w:cs="Calibri"/>
        </w:rPr>
        <w:t xml:space="preserve"> may approve a person as an eligible </w:t>
      </w:r>
      <w:r w:rsidR="00293C6C" w:rsidRPr="00167CB8">
        <w:rPr>
          <w:rFonts w:cs="Calibri"/>
        </w:rPr>
        <w:t xml:space="preserve">PAB </w:t>
      </w:r>
      <w:r w:rsidRPr="00167CB8">
        <w:rPr>
          <w:rFonts w:cs="Calibri"/>
        </w:rPr>
        <w:t xml:space="preserve">agent, authorised to conduct </w:t>
      </w:r>
      <w:r w:rsidR="00293C6C" w:rsidRPr="00167CB8">
        <w:rPr>
          <w:rFonts w:cs="Calibri"/>
        </w:rPr>
        <w:t>PABs</w:t>
      </w:r>
      <w:r w:rsidRPr="00167CB8">
        <w:rPr>
          <w:rFonts w:cs="Calibri"/>
        </w:rPr>
        <w:t>.</w:t>
      </w:r>
      <w:r w:rsidRPr="00167CB8">
        <w:rPr>
          <w:rStyle w:val="FootnoteReference"/>
          <w:rFonts w:cs="Calibri"/>
        </w:rPr>
        <w:footnoteReference w:id="547"/>
      </w:r>
      <w:r w:rsidRPr="00167CB8">
        <w:rPr>
          <w:rFonts w:cs="Calibri"/>
        </w:rPr>
        <w:t xml:space="preserve"> The FWC may approve a person as a PAB agent if they are satisfied the person is a fit and proper person and meets any other prescribed requirements under regulations.</w:t>
      </w:r>
      <w:r w:rsidRPr="00167CB8">
        <w:rPr>
          <w:rStyle w:val="FootnoteReference"/>
          <w:rFonts w:cs="Calibri"/>
        </w:rPr>
        <w:footnoteReference w:id="548"/>
      </w:r>
    </w:p>
    <w:p w14:paraId="6273A4FB" w14:textId="54BB2F82" w:rsidR="00173F8E" w:rsidRPr="00167CB8" w:rsidRDefault="00173F8E" w:rsidP="00173F8E">
      <w:r w:rsidRPr="00167CB8">
        <w:rPr>
          <w:rFonts w:cs="Calibri"/>
        </w:rPr>
        <w:t>Second, a new mandatory step requires that</w:t>
      </w:r>
      <w:r w:rsidR="00293C6C" w:rsidRPr="00167CB8">
        <w:rPr>
          <w:rFonts w:cs="Calibri"/>
        </w:rPr>
        <w:t>,</w:t>
      </w:r>
      <w:r w:rsidRPr="00167CB8">
        <w:rPr>
          <w:rFonts w:cs="Calibri"/>
        </w:rPr>
        <w:t xml:space="preserve"> where the FWC orders a </w:t>
      </w:r>
      <w:r w:rsidR="00293C6C" w:rsidRPr="00167CB8">
        <w:rPr>
          <w:rFonts w:cs="Calibri"/>
        </w:rPr>
        <w:t xml:space="preserve">PAB </w:t>
      </w:r>
      <w:r w:rsidRPr="00167CB8">
        <w:rPr>
          <w:rFonts w:cs="Calibri"/>
        </w:rPr>
        <w:t>in relation to a proposed enterprise agreement, the FWC must also make an order directing the bargaining representatives for the agreement to attend a conference for the purpose of mediation or conciliation in relation to the agreement.</w:t>
      </w:r>
      <w:r w:rsidRPr="00167CB8">
        <w:rPr>
          <w:rStyle w:val="FootnoteReference"/>
          <w:rFonts w:cs="Calibri"/>
        </w:rPr>
        <w:footnoteReference w:id="549"/>
      </w:r>
      <w:r w:rsidRPr="00167CB8">
        <w:rPr>
          <w:rFonts w:cs="Calibri"/>
        </w:rPr>
        <w:t xml:space="preserve"> This conference must occur before the close of the PAB.</w:t>
      </w:r>
      <w:r w:rsidRPr="00167CB8">
        <w:rPr>
          <w:rStyle w:val="FootnoteReference"/>
          <w:rFonts w:cs="Calibri"/>
        </w:rPr>
        <w:footnoteReference w:id="550"/>
      </w:r>
    </w:p>
    <w:p w14:paraId="098D1118" w14:textId="77777777" w:rsidR="00173F8E" w:rsidRPr="00167CB8" w:rsidRDefault="00173F8E" w:rsidP="00173F8E">
      <w:r w:rsidRPr="00167CB8">
        <w:rPr>
          <w:rFonts w:cs="Calibri"/>
        </w:rPr>
        <w:t>If a bargaining representative (employee or employer) fails to participate the mandatory conference, they will be in breach of an order of the FWC. Consequently, they will not be able to satisfy the common requirements that apply for industrial action to be protected.</w:t>
      </w:r>
      <w:r w:rsidRPr="00167CB8">
        <w:rPr>
          <w:rStyle w:val="FootnoteReference"/>
          <w:rFonts w:cs="Calibri"/>
        </w:rPr>
        <w:footnoteReference w:id="551"/>
      </w:r>
      <w:r w:rsidRPr="00167CB8">
        <w:rPr>
          <w:rFonts w:cs="Calibri"/>
        </w:rPr>
        <w:t xml:space="preserve"> </w:t>
      </w:r>
    </w:p>
    <w:p w14:paraId="03D58C61" w14:textId="2C1A6C90" w:rsidR="00173F8E" w:rsidRPr="00167CB8" w:rsidRDefault="00173F8E" w:rsidP="00173F8E">
      <w:pPr>
        <w:rPr>
          <w:rFonts w:cs="Calibri"/>
        </w:rPr>
      </w:pPr>
      <w:r w:rsidRPr="00167CB8">
        <w:t>Further amendments to the mandatory conference process were made by</w:t>
      </w:r>
      <w:r w:rsidR="00293C6C" w:rsidRPr="00167CB8">
        <w:t xml:space="preserve"> the</w:t>
      </w:r>
      <w:r w:rsidRPr="00167CB8">
        <w:t xml:space="preserve"> </w:t>
      </w:r>
      <w:r w:rsidR="00644C65" w:rsidRPr="00167CB8">
        <w:rPr>
          <w:i/>
          <w:iCs/>
        </w:rPr>
        <w:t>Fair Work Legislation Amendment (Closing Loopholes) Act 2023</w:t>
      </w:r>
      <w:r w:rsidR="00644C65" w:rsidRPr="00167CB8">
        <w:t xml:space="preserve"> (Cth) (</w:t>
      </w:r>
      <w:r w:rsidRPr="00167CB8">
        <w:t>Closing Loopholes Act</w:t>
      </w:r>
      <w:r w:rsidR="00644C65" w:rsidRPr="00167CB8">
        <w:t>)</w:t>
      </w:r>
      <w:r w:rsidRPr="00167CB8">
        <w:t xml:space="preserve">, providing non-attendance at a compulsory conference by a bargaining representative who </w:t>
      </w:r>
      <w:r w:rsidRPr="00167CB8">
        <w:rPr>
          <w:i/>
          <w:iCs/>
        </w:rPr>
        <w:t>did not</w:t>
      </w:r>
      <w:r w:rsidRPr="00167CB8">
        <w:t xml:space="preserve"> apply for the PAB</w:t>
      </w:r>
      <w:r w:rsidR="00293C6C" w:rsidRPr="00167CB8">
        <w:t xml:space="preserve"> order</w:t>
      </w:r>
      <w:r w:rsidRPr="00167CB8">
        <w:t xml:space="preserve"> would no longer result in any subsequent industrial action being unprotected.</w:t>
      </w:r>
      <w:r w:rsidRPr="00167CB8">
        <w:rPr>
          <w:rStyle w:val="FootnoteReference"/>
        </w:rPr>
        <w:footnoteReference w:id="552"/>
      </w:r>
      <w:r w:rsidRPr="00167CB8">
        <w:t xml:space="preserve">  </w:t>
      </w:r>
    </w:p>
    <w:p w14:paraId="327723BB" w14:textId="77777777" w:rsidR="00173F8E" w:rsidRPr="00167CB8" w:rsidRDefault="00173F8E" w:rsidP="00173F8E">
      <w:r w:rsidRPr="00167CB8">
        <w:rPr>
          <w:rFonts w:cs="Calibri"/>
        </w:rPr>
        <w:t>Third, the notice requirements for protected industrial action for multi-employer agreements was amended to require at least 120 hours’ notice before commencing the industrial action.</w:t>
      </w:r>
      <w:r w:rsidRPr="00167CB8">
        <w:rPr>
          <w:rStyle w:val="FootnoteReference"/>
          <w:rFonts w:cs="Calibri"/>
        </w:rPr>
        <w:footnoteReference w:id="553"/>
      </w:r>
    </w:p>
    <w:p w14:paraId="1FA28325" w14:textId="0CC39E17" w:rsidR="00173F8E" w:rsidRPr="00167CB8" w:rsidRDefault="00442B00" w:rsidP="00173F8E">
      <w:pPr>
        <w:pStyle w:val="Heading5"/>
        <w:rPr>
          <w:rFonts w:asciiTheme="minorHAnsi" w:hAnsiTheme="minorHAnsi"/>
        </w:rPr>
      </w:pPr>
      <w:r w:rsidRPr="00167CB8">
        <w:rPr>
          <w:rFonts w:asciiTheme="minorHAnsi" w:hAnsiTheme="minorHAnsi"/>
        </w:rPr>
        <w:lastRenderedPageBreak/>
        <w:t>15</w:t>
      </w:r>
      <w:r w:rsidR="00173F8E" w:rsidRPr="00167CB8">
        <w:rPr>
          <w:rFonts w:asciiTheme="minorHAnsi" w:hAnsiTheme="minorHAnsi"/>
        </w:rPr>
        <w:t xml:space="preserve">.1.2 Intent of Secure Jobs, Better Pay </w:t>
      </w:r>
      <w:r w:rsidR="00293C6C" w:rsidRPr="00167CB8">
        <w:rPr>
          <w:rFonts w:asciiTheme="minorHAnsi" w:hAnsiTheme="minorHAnsi"/>
        </w:rPr>
        <w:t>a</w:t>
      </w:r>
      <w:r w:rsidR="00173F8E" w:rsidRPr="00167CB8">
        <w:rPr>
          <w:rFonts w:asciiTheme="minorHAnsi" w:hAnsiTheme="minorHAnsi"/>
        </w:rPr>
        <w:t>mendments</w:t>
      </w:r>
      <w:r w:rsidR="00173F8E" w:rsidRPr="00167CB8" w:rsidDel="00E42AC2">
        <w:rPr>
          <w:rFonts w:asciiTheme="minorHAnsi" w:hAnsiTheme="minorHAnsi"/>
        </w:rPr>
        <w:t xml:space="preserve"> </w:t>
      </w:r>
    </w:p>
    <w:p w14:paraId="388DDD7C" w14:textId="721495B7" w:rsidR="00173F8E" w:rsidRPr="00167CB8" w:rsidRDefault="00173F8E" w:rsidP="00173F8E">
      <w:r w:rsidRPr="00167CB8">
        <w:t xml:space="preserve">The intent of the amendments to the industrial relations framework was to promote efficiency in dealing with applications for PAB orders and </w:t>
      </w:r>
      <w:r w:rsidR="00293C6C" w:rsidRPr="00167CB8">
        <w:t>‘</w:t>
      </w:r>
      <w:r w:rsidRPr="00167CB8">
        <w:t>de-escalate</w:t>
      </w:r>
      <w:r w:rsidR="00293C6C" w:rsidRPr="00167CB8">
        <w:t>’</w:t>
      </w:r>
      <w:r w:rsidRPr="00167CB8">
        <w:t xml:space="preserve"> disputes prior to industrial action being taken.</w:t>
      </w:r>
      <w:r w:rsidRPr="00167CB8">
        <w:rPr>
          <w:rStyle w:val="FootnoteReference"/>
        </w:rPr>
        <w:footnoteReference w:id="554"/>
      </w:r>
      <w:r w:rsidRPr="00167CB8">
        <w:t xml:space="preserve"> The result, in a broader context, would lead to an increase in collective bargaining and wages.</w:t>
      </w:r>
    </w:p>
    <w:p w14:paraId="3576BCFB" w14:textId="64A70B52" w:rsidR="00173F8E" w:rsidRPr="00167CB8" w:rsidRDefault="00442B00" w:rsidP="00173F8E">
      <w:pPr>
        <w:pStyle w:val="Heading4"/>
        <w:rPr>
          <w:rFonts w:asciiTheme="minorHAnsi" w:hAnsiTheme="minorHAnsi"/>
        </w:rPr>
      </w:pPr>
      <w:bookmarkStart w:id="211" w:name="_Toc189260248"/>
      <w:bookmarkStart w:id="212" w:name="_Toc189393564"/>
      <w:r w:rsidRPr="00167CB8">
        <w:rPr>
          <w:rFonts w:asciiTheme="minorHAnsi" w:hAnsiTheme="minorHAnsi"/>
        </w:rPr>
        <w:t>15</w:t>
      </w:r>
      <w:r w:rsidR="00173F8E" w:rsidRPr="00167CB8">
        <w:rPr>
          <w:rFonts w:asciiTheme="minorHAnsi" w:hAnsiTheme="minorHAnsi"/>
        </w:rPr>
        <w:t xml:space="preserve">.2 Impact </w:t>
      </w:r>
      <w:r w:rsidR="00293C6C" w:rsidRPr="00167CB8">
        <w:rPr>
          <w:rFonts w:asciiTheme="minorHAnsi" w:hAnsiTheme="minorHAnsi"/>
        </w:rPr>
        <w:t>and i</w:t>
      </w:r>
      <w:r w:rsidR="00173F8E" w:rsidRPr="00167CB8">
        <w:rPr>
          <w:rFonts w:asciiTheme="minorHAnsi" w:hAnsiTheme="minorHAnsi"/>
        </w:rPr>
        <w:t>ssues</w:t>
      </w:r>
      <w:bookmarkEnd w:id="211"/>
      <w:bookmarkEnd w:id="212"/>
    </w:p>
    <w:p w14:paraId="273CC858" w14:textId="7BCE3B50" w:rsidR="00173F8E" w:rsidRPr="00167CB8" w:rsidRDefault="00173F8E" w:rsidP="00173F8E">
      <w:r w:rsidRPr="00167CB8">
        <w:t xml:space="preserve">The impact of the amendments in the Secure Jobs, Better Pay Act and Closing Loopholes Act are yet to play out, with data suggesting the levels of industrial action have remained </w:t>
      </w:r>
      <w:r w:rsidR="00A72A4D">
        <w:t>largely unchanged</w:t>
      </w:r>
      <w:r w:rsidRPr="00167CB8">
        <w:t xml:space="preserve">. While the introduction of the mandatory conference has caused some unease, the other changes have been largely uncontroversial.  </w:t>
      </w:r>
    </w:p>
    <w:p w14:paraId="61DEA5AB" w14:textId="776A3CED" w:rsidR="00173F8E" w:rsidRPr="00167CB8" w:rsidRDefault="00442B00" w:rsidP="00173F8E">
      <w:pPr>
        <w:pStyle w:val="Heading5"/>
        <w:rPr>
          <w:rFonts w:asciiTheme="minorHAnsi" w:hAnsiTheme="minorHAnsi"/>
        </w:rPr>
      </w:pPr>
      <w:r w:rsidRPr="00167CB8">
        <w:rPr>
          <w:rFonts w:asciiTheme="minorHAnsi" w:hAnsiTheme="minorHAnsi"/>
        </w:rPr>
        <w:t>15</w:t>
      </w:r>
      <w:r w:rsidR="00173F8E" w:rsidRPr="00167CB8">
        <w:rPr>
          <w:rFonts w:asciiTheme="minorHAnsi" w:hAnsiTheme="minorHAnsi"/>
        </w:rPr>
        <w:t xml:space="preserve">.2.1 Quantitative </w:t>
      </w:r>
      <w:r w:rsidR="00293C6C" w:rsidRPr="00167CB8">
        <w:rPr>
          <w:rFonts w:asciiTheme="minorHAnsi" w:hAnsiTheme="minorHAnsi"/>
        </w:rPr>
        <w:t>e</w:t>
      </w:r>
      <w:r w:rsidR="00173F8E" w:rsidRPr="00167CB8">
        <w:rPr>
          <w:rFonts w:asciiTheme="minorHAnsi" w:hAnsiTheme="minorHAnsi"/>
        </w:rPr>
        <w:t>vidence</w:t>
      </w:r>
    </w:p>
    <w:p w14:paraId="358678D3" w14:textId="2A18EE65" w:rsidR="00173F8E" w:rsidRPr="00167CB8" w:rsidRDefault="00173F8E" w:rsidP="00173F8E">
      <w:r w:rsidRPr="00167CB8">
        <w:t xml:space="preserve">The main sources of quantitative data concerning industrial disputes are </w:t>
      </w:r>
      <w:r w:rsidR="00293C6C" w:rsidRPr="00167CB8">
        <w:t>the Australian Bureau of Statistics (</w:t>
      </w:r>
      <w:r w:rsidRPr="00167CB8">
        <w:t>ABS</w:t>
      </w:r>
      <w:r w:rsidR="00293C6C" w:rsidRPr="00167CB8">
        <w:t>)</w:t>
      </w:r>
      <w:r w:rsidRPr="00167CB8">
        <w:t xml:space="preserve"> Industrial Disputes data and Fair Work Commission </w:t>
      </w:r>
      <w:r w:rsidR="00293C6C" w:rsidRPr="00167CB8">
        <w:t>r</w:t>
      </w:r>
      <w:r w:rsidRPr="00167CB8">
        <w:t xml:space="preserve">eports. </w:t>
      </w:r>
    </w:p>
    <w:p w14:paraId="02D5F91E" w14:textId="2164C9FC" w:rsidR="00173F8E" w:rsidRPr="00167CB8" w:rsidRDefault="00173F8E" w:rsidP="00173F8E">
      <w:r w:rsidRPr="00167CB8">
        <w:t xml:space="preserve">The statistical data reveals </w:t>
      </w:r>
      <w:r w:rsidR="00293C6C" w:rsidRPr="00167CB8">
        <w:t xml:space="preserve">2 </w:t>
      </w:r>
      <w:r w:rsidRPr="00167CB8">
        <w:t>matters. First, there are differences in the number of disputes each year. This may relate to the cycle of enterprise bargaining across the economy, although other factors are potential influences. Second, these differences are within a very narrow and very low band. The evidence does not establish that there has been any increase or difference in the level and variance of industrial disputation since the commencement of the amendments overall.</w:t>
      </w:r>
    </w:p>
    <w:p w14:paraId="65C2ABCB" w14:textId="32A587CA" w:rsidR="00173F8E" w:rsidRPr="00167CB8" w:rsidRDefault="00442B00" w:rsidP="00173F8E">
      <w:pPr>
        <w:pStyle w:val="Heading5"/>
        <w:rPr>
          <w:rFonts w:asciiTheme="minorHAnsi" w:hAnsiTheme="minorHAnsi"/>
        </w:rPr>
      </w:pPr>
      <w:r w:rsidRPr="00167CB8">
        <w:rPr>
          <w:rFonts w:asciiTheme="minorHAnsi" w:hAnsiTheme="minorHAnsi"/>
        </w:rPr>
        <w:t>15</w:t>
      </w:r>
      <w:r w:rsidR="00173F8E" w:rsidRPr="00167CB8">
        <w:rPr>
          <w:rFonts w:asciiTheme="minorHAnsi" w:hAnsiTheme="minorHAnsi"/>
        </w:rPr>
        <w:t xml:space="preserve">.2.2 Qualitative </w:t>
      </w:r>
      <w:r w:rsidR="00293C6C" w:rsidRPr="00167CB8">
        <w:rPr>
          <w:rFonts w:asciiTheme="minorHAnsi" w:hAnsiTheme="minorHAnsi"/>
        </w:rPr>
        <w:t>e</w:t>
      </w:r>
      <w:r w:rsidR="00173F8E" w:rsidRPr="00167CB8">
        <w:rPr>
          <w:rFonts w:asciiTheme="minorHAnsi" w:hAnsiTheme="minorHAnsi"/>
        </w:rPr>
        <w:t>vidence</w:t>
      </w:r>
    </w:p>
    <w:p w14:paraId="784577EA" w14:textId="77777777" w:rsidR="00173F8E" w:rsidRPr="00167CB8" w:rsidRDefault="00173F8E" w:rsidP="00173F8E">
      <w:r w:rsidRPr="00167CB8">
        <w:t xml:space="preserve">Early in the operation of these amendments, an unintended consequence arose. </w:t>
      </w:r>
    </w:p>
    <w:p w14:paraId="1C1655CE" w14:textId="006F36E0" w:rsidR="00173F8E" w:rsidRPr="00167CB8" w:rsidRDefault="00173F8E" w:rsidP="00173F8E">
      <w:r w:rsidRPr="00167CB8">
        <w:t>In a decision of 4 August 2024, the FWC considered the new mandatory conference provisions.</w:t>
      </w:r>
      <w:r w:rsidRPr="00167CB8">
        <w:rPr>
          <w:rStyle w:val="FootnoteReference"/>
        </w:rPr>
        <w:footnoteReference w:id="555"/>
      </w:r>
      <w:r w:rsidRPr="00167CB8">
        <w:t xml:space="preserve"> In reaching its decision, the Full Bench of the FWC noted that industrial action </w:t>
      </w:r>
      <w:r w:rsidR="00293C6C" w:rsidRPr="00167CB8">
        <w:t>‘</w:t>
      </w:r>
      <w:r w:rsidRPr="00167CB8">
        <w:t xml:space="preserve">will only be protected industrial action if </w:t>
      </w:r>
      <w:r w:rsidRPr="00167CB8">
        <w:rPr>
          <w:i/>
          <w:iCs/>
        </w:rPr>
        <w:t>each</w:t>
      </w:r>
      <w:r w:rsidRPr="00167CB8">
        <w:t xml:space="preserve"> bargaining representative of an employee who will be covered by the agreement</w:t>
      </w:r>
      <w:r w:rsidR="00293C6C" w:rsidRPr="00167CB8">
        <w:t>’</w:t>
      </w:r>
      <w:r w:rsidRPr="00167CB8">
        <w:t xml:space="preserve"> had not contravened a mandatory conference order issued by the FWC.</w:t>
      </w:r>
      <w:r w:rsidRPr="00167CB8">
        <w:rPr>
          <w:rStyle w:val="FootnoteReference"/>
        </w:rPr>
        <w:footnoteReference w:id="556"/>
      </w:r>
      <w:r w:rsidRPr="00167CB8">
        <w:t xml:space="preserve"> The Full Bench pointed out </w:t>
      </w:r>
      <w:r w:rsidR="00293C6C" w:rsidRPr="00167CB8">
        <w:t xml:space="preserve">that </w:t>
      </w:r>
      <w:r w:rsidRPr="00167CB8">
        <w:t xml:space="preserve">noncompliance, even by a bargaining representative </w:t>
      </w:r>
      <w:r w:rsidR="00293C6C" w:rsidRPr="00167CB8">
        <w:t>‘</w:t>
      </w:r>
      <w:r w:rsidRPr="00167CB8">
        <w:t>who may not have been the applicant for the PABO, could result in any subsequent employee claim action being unprotected</w:t>
      </w:r>
      <w:r w:rsidR="00293C6C" w:rsidRPr="00167CB8">
        <w:t>’</w:t>
      </w:r>
      <w:r w:rsidRPr="00167CB8">
        <w:t xml:space="preserve"> for all parties.</w:t>
      </w:r>
    </w:p>
    <w:p w14:paraId="1FE674D0" w14:textId="77777777" w:rsidR="00173F8E" w:rsidRPr="00167CB8" w:rsidRDefault="00173F8E" w:rsidP="00173F8E">
      <w:r w:rsidRPr="00167CB8">
        <w:t>The Closing Loopholes Act made further amendments to these provisions to rectify the practical implications highlighted by the Full Bench (as noted above).</w:t>
      </w:r>
      <w:r w:rsidRPr="00167CB8">
        <w:rPr>
          <w:rStyle w:val="FootnoteReference"/>
        </w:rPr>
        <w:footnoteReference w:id="557"/>
      </w:r>
    </w:p>
    <w:p w14:paraId="671C1325" w14:textId="2CBFD356" w:rsidR="00173F8E" w:rsidRPr="00167CB8" w:rsidRDefault="00442B00" w:rsidP="00173F8E">
      <w:pPr>
        <w:pStyle w:val="Heading5"/>
        <w:rPr>
          <w:rFonts w:asciiTheme="minorHAnsi" w:hAnsiTheme="minorHAnsi"/>
        </w:rPr>
      </w:pPr>
      <w:r w:rsidRPr="00167CB8">
        <w:rPr>
          <w:rFonts w:asciiTheme="minorHAnsi" w:hAnsiTheme="minorHAnsi"/>
        </w:rPr>
        <w:t>15</w:t>
      </w:r>
      <w:r w:rsidR="00173F8E" w:rsidRPr="00167CB8">
        <w:rPr>
          <w:rFonts w:asciiTheme="minorHAnsi" w:hAnsiTheme="minorHAnsi"/>
        </w:rPr>
        <w:t>.2.3 Stakeholder views</w:t>
      </w:r>
    </w:p>
    <w:p w14:paraId="3B176C80" w14:textId="4598DD15" w:rsidR="00173F8E" w:rsidRPr="00167CB8" w:rsidRDefault="00173F8E" w:rsidP="00173F8E">
      <w:r w:rsidRPr="00167CB8">
        <w:t>Stakeholder views on the amendments were mixed, but they largely focused on the new mandatory conference requirement.</w:t>
      </w:r>
    </w:p>
    <w:p w14:paraId="0CAA4039" w14:textId="45E308E5" w:rsidR="00173F8E" w:rsidRPr="00167CB8" w:rsidRDefault="00173F8E" w:rsidP="00173F8E">
      <w:r w:rsidRPr="00167CB8">
        <w:t>Ai Group support</w:t>
      </w:r>
      <w:r w:rsidR="00293C6C" w:rsidRPr="00167CB8">
        <w:t>ed</w:t>
      </w:r>
      <w:r w:rsidRPr="00167CB8">
        <w:t xml:space="preserve"> amendments to require mandatory conferences as </w:t>
      </w:r>
      <w:r w:rsidR="00293C6C" w:rsidRPr="00167CB8">
        <w:t>‘</w:t>
      </w:r>
      <w:r w:rsidRPr="00167CB8">
        <w:t>worthwhile</w:t>
      </w:r>
      <w:r w:rsidR="00293C6C" w:rsidRPr="00167CB8">
        <w:t>’</w:t>
      </w:r>
      <w:r w:rsidRPr="00167CB8">
        <w:rPr>
          <w:rStyle w:val="FootnoteReference"/>
        </w:rPr>
        <w:footnoteReference w:id="558"/>
      </w:r>
      <w:r w:rsidRPr="00167CB8">
        <w:t xml:space="preserve"> and note</w:t>
      </w:r>
      <w:r w:rsidR="00293C6C" w:rsidRPr="00167CB8">
        <w:t>d</w:t>
      </w:r>
      <w:r w:rsidRPr="00167CB8">
        <w:t xml:space="preserve"> that in some cases they have led to agreement being reached, resulting in less industrial </w:t>
      </w:r>
      <w:r w:rsidRPr="00167CB8">
        <w:lastRenderedPageBreak/>
        <w:t>action.</w:t>
      </w:r>
      <w:r w:rsidRPr="00167CB8">
        <w:rPr>
          <w:rStyle w:val="FootnoteReference"/>
        </w:rPr>
        <w:footnoteReference w:id="559"/>
      </w:r>
      <w:r w:rsidRPr="00167CB8">
        <w:t xml:space="preserve"> </w:t>
      </w:r>
      <w:r w:rsidR="00644C65" w:rsidRPr="00167CB8">
        <w:t>The Australian Chamber of Commerce and Industry (</w:t>
      </w:r>
      <w:r w:rsidRPr="00167CB8">
        <w:t>ACCI</w:t>
      </w:r>
      <w:r w:rsidR="00644C65" w:rsidRPr="00167CB8">
        <w:t>)</w:t>
      </w:r>
      <w:r w:rsidRPr="00167CB8">
        <w:t xml:space="preserve"> shared similar views that mandatory conferences are a </w:t>
      </w:r>
      <w:r w:rsidR="00293C6C" w:rsidRPr="00167CB8">
        <w:t>‘</w:t>
      </w:r>
      <w:r w:rsidRPr="00167CB8">
        <w:t>further opportunity for parties to participate in a process that may bring it closer to a resolution, and may in fact avoid [protected industrial action] altogether</w:t>
      </w:r>
      <w:r w:rsidR="00293C6C" w:rsidRPr="00167CB8">
        <w:t>’</w:t>
      </w:r>
      <w:r w:rsidRPr="00167CB8">
        <w:t>.</w:t>
      </w:r>
      <w:r w:rsidRPr="00167CB8">
        <w:rPr>
          <w:rStyle w:val="FootnoteReference"/>
        </w:rPr>
        <w:footnoteReference w:id="560"/>
      </w:r>
      <w:r w:rsidRPr="00167CB8">
        <w:t xml:space="preserve"> However, both Ai Group and ACCI reported issues with the process, citing frustration over the obligation when consent not to participate was reached between parties; and calling for the FWC to have further discretion to convene conferences in a way that minimises any administrative burden.</w:t>
      </w:r>
      <w:r w:rsidRPr="00167CB8">
        <w:rPr>
          <w:rStyle w:val="FootnoteReference"/>
        </w:rPr>
        <w:footnoteReference w:id="561"/>
      </w:r>
    </w:p>
    <w:p w14:paraId="7A6E7663" w14:textId="515EBA31" w:rsidR="00173F8E" w:rsidRPr="00167CB8" w:rsidRDefault="00644C65" w:rsidP="00173F8E">
      <w:r w:rsidRPr="00167CB8">
        <w:t xml:space="preserve">The Australian Resources &amp; Energy Employer Association </w:t>
      </w:r>
      <w:r w:rsidR="00173F8E" w:rsidRPr="00167CB8">
        <w:t>wholly criticised these changes on behalf of their members, stating the conferences were a ‘waste of time for all parties’</w:t>
      </w:r>
      <w:r w:rsidR="00293C6C" w:rsidRPr="00167CB8">
        <w:t>,</w:t>
      </w:r>
      <w:r w:rsidR="00173F8E" w:rsidRPr="00167CB8">
        <w:rPr>
          <w:rStyle w:val="FootnoteReference"/>
        </w:rPr>
        <w:footnoteReference w:id="562"/>
      </w:r>
      <w:r w:rsidR="00173F8E" w:rsidRPr="00167CB8">
        <w:t xml:space="preserve"> and the FWC </w:t>
      </w:r>
      <w:r w:rsidR="00293C6C" w:rsidRPr="00167CB8">
        <w:t xml:space="preserve">was </w:t>
      </w:r>
      <w:r w:rsidR="00173F8E" w:rsidRPr="00167CB8">
        <w:t xml:space="preserve">not making any </w:t>
      </w:r>
      <w:r w:rsidR="00293C6C" w:rsidRPr="00167CB8">
        <w:t>‘</w:t>
      </w:r>
      <w:r w:rsidR="00173F8E" w:rsidRPr="00167CB8">
        <w:t>real efforts to avert industrial action or help parties resolve the dispute</w:t>
      </w:r>
      <w:r w:rsidR="00293C6C" w:rsidRPr="00167CB8">
        <w:t>’</w:t>
      </w:r>
      <w:r w:rsidR="00173F8E" w:rsidRPr="00167CB8">
        <w:t>.</w:t>
      </w:r>
      <w:r w:rsidR="00173F8E" w:rsidRPr="00167CB8">
        <w:rPr>
          <w:rStyle w:val="FootnoteReference"/>
        </w:rPr>
        <w:footnoteReference w:id="563"/>
      </w:r>
    </w:p>
    <w:p w14:paraId="7AC0B031" w14:textId="78672094" w:rsidR="00173F8E" w:rsidRPr="00167CB8" w:rsidRDefault="00173F8E" w:rsidP="00173F8E">
      <w:r w:rsidRPr="00167CB8">
        <w:t>Union stakeholders share</w:t>
      </w:r>
      <w:r w:rsidR="00293C6C" w:rsidRPr="00167CB8">
        <w:t>d</w:t>
      </w:r>
      <w:r w:rsidRPr="00167CB8">
        <w:t xml:space="preserve"> a similar view. The </w:t>
      </w:r>
      <w:r w:rsidR="00644C65" w:rsidRPr="00167CB8">
        <w:t>Australian Nursing and Midwifery Federation (</w:t>
      </w:r>
      <w:r w:rsidRPr="00167CB8">
        <w:t>ANMF</w:t>
      </w:r>
      <w:r w:rsidR="00644C65" w:rsidRPr="00167CB8">
        <w:t>)</w:t>
      </w:r>
      <w:r w:rsidRPr="00167CB8">
        <w:t xml:space="preserve"> and </w:t>
      </w:r>
      <w:r w:rsidR="00644C65" w:rsidRPr="00167CB8">
        <w:t>United Workers Union (</w:t>
      </w:r>
      <w:r w:rsidRPr="00167CB8">
        <w:t>UWU</w:t>
      </w:r>
      <w:r w:rsidR="00644C65" w:rsidRPr="00167CB8">
        <w:t>)</w:t>
      </w:r>
      <w:r w:rsidRPr="00167CB8">
        <w:t xml:space="preserve"> both report</w:t>
      </w:r>
      <w:r w:rsidR="00293C6C" w:rsidRPr="00167CB8">
        <w:t>ed</w:t>
      </w:r>
      <w:r w:rsidRPr="00167CB8">
        <w:t xml:space="preserve"> negative experiences of mandatory conferences and </w:t>
      </w:r>
      <w:r w:rsidR="00293C6C" w:rsidRPr="00167CB8">
        <w:t xml:space="preserve">that </w:t>
      </w:r>
      <w:r w:rsidRPr="00167CB8">
        <w:t xml:space="preserve">conferences </w:t>
      </w:r>
      <w:r w:rsidR="00293C6C" w:rsidRPr="00167CB8">
        <w:t xml:space="preserve">had </w:t>
      </w:r>
      <w:r w:rsidRPr="00167CB8">
        <w:t>not achieve</w:t>
      </w:r>
      <w:r w:rsidR="00293C6C" w:rsidRPr="00167CB8">
        <w:t>d</w:t>
      </w:r>
      <w:r w:rsidRPr="00167CB8">
        <w:t xml:space="preserve"> their intended aim.</w:t>
      </w:r>
      <w:r w:rsidRPr="00167CB8">
        <w:rPr>
          <w:rStyle w:val="FootnoteReference"/>
        </w:rPr>
        <w:footnoteReference w:id="564"/>
      </w:r>
      <w:r w:rsidRPr="00167CB8">
        <w:t xml:space="preserve"> The ANMF argue</w:t>
      </w:r>
      <w:r w:rsidR="00293C6C" w:rsidRPr="00167CB8">
        <w:t>d</w:t>
      </w:r>
      <w:r w:rsidRPr="00167CB8">
        <w:t xml:space="preserve"> </w:t>
      </w:r>
      <w:r w:rsidR="00293C6C" w:rsidRPr="00167CB8">
        <w:t xml:space="preserve">that </w:t>
      </w:r>
      <w:r w:rsidRPr="00167CB8">
        <w:t xml:space="preserve">the mandatory conferences </w:t>
      </w:r>
      <w:r w:rsidR="00293C6C" w:rsidRPr="00167CB8">
        <w:t>‘</w:t>
      </w:r>
      <w:r w:rsidRPr="00167CB8">
        <w:t>undermine the significant bargaining tool of protected action</w:t>
      </w:r>
      <w:r w:rsidR="00293C6C" w:rsidRPr="00167CB8">
        <w:t>’</w:t>
      </w:r>
      <w:r w:rsidRPr="00167CB8">
        <w:t>,</w:t>
      </w:r>
      <w:r w:rsidRPr="00167CB8">
        <w:rPr>
          <w:rStyle w:val="FootnoteReference"/>
        </w:rPr>
        <w:footnoteReference w:id="565"/>
      </w:r>
      <w:r w:rsidRPr="00167CB8">
        <w:t xml:space="preserve"> while the UWU similarly state</w:t>
      </w:r>
      <w:r w:rsidR="00293C6C" w:rsidRPr="00167CB8">
        <w:t>d</w:t>
      </w:r>
      <w:r w:rsidRPr="00167CB8">
        <w:t xml:space="preserve"> </w:t>
      </w:r>
      <w:r w:rsidR="00293C6C" w:rsidRPr="00167CB8">
        <w:t xml:space="preserve">that </w:t>
      </w:r>
      <w:r w:rsidRPr="00167CB8">
        <w:t xml:space="preserve">any </w:t>
      </w:r>
      <w:r w:rsidR="00293C6C" w:rsidRPr="00167CB8">
        <w:t>‘</w:t>
      </w:r>
      <w:r w:rsidRPr="00167CB8">
        <w:t>movement</w:t>
      </w:r>
      <w:r w:rsidR="00293C6C" w:rsidRPr="00167CB8">
        <w:t>’</w:t>
      </w:r>
      <w:r w:rsidRPr="00167CB8">
        <w:t xml:space="preserve"> between parties </w:t>
      </w:r>
      <w:r w:rsidR="00293C6C" w:rsidRPr="00167CB8">
        <w:t xml:space="preserve">is </w:t>
      </w:r>
      <w:r w:rsidRPr="00167CB8">
        <w:t>due to threat of industrial action rather than the conference itself.</w:t>
      </w:r>
      <w:r w:rsidRPr="00167CB8">
        <w:rPr>
          <w:rStyle w:val="FootnoteReference"/>
        </w:rPr>
        <w:footnoteReference w:id="566"/>
      </w:r>
      <w:r w:rsidRPr="00167CB8">
        <w:t xml:space="preserve"> The UWU call</w:t>
      </w:r>
      <w:r w:rsidR="00293C6C" w:rsidRPr="00167CB8">
        <w:t>ed</w:t>
      </w:r>
      <w:r w:rsidRPr="00167CB8">
        <w:t xml:space="preserve"> for the removal of this provision.</w:t>
      </w:r>
      <w:r w:rsidRPr="00167CB8">
        <w:rPr>
          <w:rStyle w:val="FootnoteReference"/>
        </w:rPr>
        <w:footnoteReference w:id="567"/>
      </w:r>
      <w:r w:rsidRPr="00167CB8">
        <w:t xml:space="preserve"> AWU stated </w:t>
      </w:r>
      <w:r w:rsidR="00644C65" w:rsidRPr="00167CB8">
        <w:t xml:space="preserve">it is </w:t>
      </w:r>
      <w:r w:rsidRPr="00167CB8">
        <w:t xml:space="preserve">not supportive of any additional requirements </w:t>
      </w:r>
      <w:r w:rsidR="00293C6C" w:rsidRPr="00167CB8">
        <w:t>‘</w:t>
      </w:r>
      <w:r w:rsidRPr="00167CB8">
        <w:t>to withdraw</w:t>
      </w:r>
      <w:r w:rsidR="00293C6C" w:rsidRPr="00167CB8">
        <w:t xml:space="preserve"> </w:t>
      </w:r>
      <w:r w:rsidRPr="00167CB8">
        <w:t>…</w:t>
      </w:r>
      <w:r w:rsidR="00293C6C" w:rsidRPr="00167CB8">
        <w:t xml:space="preserve"> </w:t>
      </w:r>
      <w:r w:rsidRPr="00167CB8">
        <w:t>labour in pursuit of better employment outcomes</w:t>
      </w:r>
      <w:r w:rsidR="00293C6C" w:rsidRPr="00167CB8">
        <w:t>’</w:t>
      </w:r>
      <w:r w:rsidRPr="00167CB8">
        <w:t xml:space="preserve"> and noted mixed feelings about mandatory conferences and inconsistency of approach between members.</w:t>
      </w:r>
      <w:r w:rsidRPr="00167CB8">
        <w:rPr>
          <w:rStyle w:val="FootnoteReference"/>
        </w:rPr>
        <w:footnoteReference w:id="568"/>
      </w:r>
      <w:r w:rsidR="00293C6C" w:rsidRPr="00167CB8">
        <w:t xml:space="preserve"> </w:t>
      </w:r>
      <w:r w:rsidRPr="00167CB8">
        <w:t xml:space="preserve">Forsyth and McCrystal </w:t>
      </w:r>
      <w:r w:rsidR="008B2556" w:rsidRPr="00167CB8">
        <w:t>expressed</w:t>
      </w:r>
      <w:r w:rsidRPr="00167CB8">
        <w:t xml:space="preserve"> a similar sentiment about the compulsory conciliation conference, stating this amendment imposed </w:t>
      </w:r>
      <w:r w:rsidR="00293C6C" w:rsidRPr="00167CB8">
        <w:t>‘</w:t>
      </w:r>
      <w:r w:rsidRPr="00167CB8">
        <w:t>another hurdle on bargaining representatives seeking to take protected industrial action during bargaining for a new agreement</w:t>
      </w:r>
      <w:r w:rsidR="00293C6C" w:rsidRPr="00167CB8">
        <w:t>’</w:t>
      </w:r>
      <w:r w:rsidRPr="00167CB8">
        <w:t>.</w:t>
      </w:r>
      <w:r w:rsidRPr="00167CB8">
        <w:rPr>
          <w:rStyle w:val="FootnoteReference"/>
        </w:rPr>
        <w:footnoteReference w:id="569"/>
      </w:r>
    </w:p>
    <w:p w14:paraId="4D344E4C" w14:textId="39008EB5" w:rsidR="00173F8E" w:rsidRPr="00167CB8" w:rsidRDefault="00173F8E" w:rsidP="00173F8E">
      <w:r w:rsidRPr="00167CB8">
        <w:t>Of</w:t>
      </w:r>
      <w:r w:rsidRPr="00167CB8" w:rsidDel="00454620">
        <w:t xml:space="preserve"> </w:t>
      </w:r>
      <w:r w:rsidRPr="00167CB8">
        <w:t xml:space="preserve">the few stakeholders that did comment on the PAB agent process, such as the </w:t>
      </w:r>
      <w:r w:rsidR="00060EFE" w:rsidRPr="00167CB8">
        <w:t>Community and Public Sector Union (</w:t>
      </w:r>
      <w:r w:rsidRPr="00167CB8">
        <w:t>CPSU</w:t>
      </w:r>
      <w:r w:rsidR="00060EFE" w:rsidRPr="00167CB8">
        <w:t>)</w:t>
      </w:r>
      <w:r w:rsidRPr="00167CB8">
        <w:t xml:space="preserve"> (PSU Group), UWU, </w:t>
      </w:r>
      <w:r w:rsidR="00060EFE" w:rsidRPr="00167CB8">
        <w:t xml:space="preserve">Australian Chamber of Commerce and Industry </w:t>
      </w:r>
      <w:r w:rsidRPr="00167CB8">
        <w:t>and Ai Group, there was substantial agreement that the amendments are beneficial. Some stakeholders, while generally supportive of the efficiency reform, have suggested that close monitoring of performance of protected action ballot agents should continue to ensure the robustness and transparency of the ballot process.</w:t>
      </w:r>
      <w:r w:rsidRPr="00167CB8">
        <w:rPr>
          <w:rStyle w:val="FootnoteReference"/>
        </w:rPr>
        <w:footnoteReference w:id="570"/>
      </w:r>
    </w:p>
    <w:p w14:paraId="6AAC953F" w14:textId="3CF9E07C" w:rsidR="00173F8E" w:rsidRPr="00167CB8" w:rsidRDefault="00173F8E" w:rsidP="00173F8E">
      <w:r w:rsidRPr="00167CB8">
        <w:t>From a more general perspective, Forsyth and McCrystal critique</w:t>
      </w:r>
      <w:r w:rsidR="00060EFE" w:rsidRPr="00167CB8">
        <w:t>d</w:t>
      </w:r>
      <w:r w:rsidRPr="00167CB8">
        <w:t xml:space="preserve"> the entire approach to industrial action under the Fair Work Act, saying </w:t>
      </w:r>
      <w:r w:rsidR="00293C6C" w:rsidRPr="00167CB8">
        <w:t>‘</w:t>
      </w:r>
      <w:r w:rsidRPr="00167CB8">
        <w:t xml:space="preserve">the legislative regime is highly complex and </w:t>
      </w:r>
      <w:r w:rsidRPr="00167CB8">
        <w:lastRenderedPageBreak/>
        <w:t>challenging to navigate</w:t>
      </w:r>
      <w:r w:rsidR="00293C6C" w:rsidRPr="00167CB8">
        <w:t>’</w:t>
      </w:r>
      <w:r w:rsidRPr="00167CB8">
        <w:t>.</w:t>
      </w:r>
      <w:r w:rsidRPr="00167CB8">
        <w:rPr>
          <w:rStyle w:val="FootnoteReference"/>
        </w:rPr>
        <w:footnoteReference w:id="571"/>
      </w:r>
      <w:r w:rsidRPr="00167CB8">
        <w:t xml:space="preserve"> They dr</w:t>
      </w:r>
      <w:r w:rsidR="00293C6C" w:rsidRPr="00167CB8">
        <w:t>aw</w:t>
      </w:r>
      <w:r w:rsidRPr="00167CB8">
        <w:t xml:space="preserve"> on a previous article by Professor McCrystal which outline</w:t>
      </w:r>
      <w:r w:rsidR="00293C6C" w:rsidRPr="00167CB8">
        <w:t>s</w:t>
      </w:r>
      <w:r w:rsidRPr="00167CB8">
        <w:t>:</w:t>
      </w:r>
      <w:r w:rsidR="00293C6C" w:rsidRPr="00167CB8">
        <w:rPr>
          <w:rStyle w:val="FootnoteReference"/>
        </w:rPr>
        <w:footnoteReference w:id="572"/>
      </w:r>
    </w:p>
    <w:p w14:paraId="79E67158" w14:textId="300B8E07" w:rsidR="00173F8E" w:rsidRPr="00167CB8" w:rsidRDefault="00173F8E" w:rsidP="00C83147">
      <w:pPr>
        <w:pStyle w:val="Quote"/>
      </w:pPr>
      <w:r w:rsidRPr="00167CB8">
        <w:t>the range of circumstances under which they [employees] can take lawful strike action are very narrow: when those circumstances arise it is technically difficult to engage in lawful strike action and easy to get it wrong, and when lawful strike action does occur the action may be stopped.</w:t>
      </w:r>
    </w:p>
    <w:p w14:paraId="1897268C" w14:textId="04F525FA" w:rsidR="00173F8E" w:rsidRPr="00167CB8" w:rsidRDefault="00173F8E" w:rsidP="00173F8E">
      <w:r w:rsidRPr="00167CB8">
        <w:t>Forsyth and McCrystal also criticise</w:t>
      </w:r>
      <w:r w:rsidR="00060EFE" w:rsidRPr="00167CB8">
        <w:t>d</w:t>
      </w:r>
      <w:r w:rsidRPr="00167CB8">
        <w:t xml:space="preserve"> Secure Jobs, Better Pay amendments to industrial action as continuing the </w:t>
      </w:r>
      <w:r w:rsidR="00293C6C" w:rsidRPr="00167CB8">
        <w:t>‘</w:t>
      </w:r>
      <w:r w:rsidRPr="00167CB8">
        <w:t>trend of legal change effectively weakening worker access to the right to strike</w:t>
      </w:r>
      <w:r w:rsidR="00293C6C" w:rsidRPr="00167CB8">
        <w:t>’</w:t>
      </w:r>
      <w:r w:rsidRPr="00167CB8">
        <w:t>.</w:t>
      </w:r>
      <w:r w:rsidRPr="00167CB8">
        <w:rPr>
          <w:rStyle w:val="FootnoteReference"/>
        </w:rPr>
        <w:footnoteReference w:id="573"/>
      </w:r>
      <w:r w:rsidRPr="00167CB8">
        <w:t xml:space="preserve"> However, the authors support</w:t>
      </w:r>
      <w:r w:rsidR="00060EFE" w:rsidRPr="00167CB8">
        <w:t>ed</w:t>
      </w:r>
      <w:r w:rsidRPr="00167CB8">
        <w:t xml:space="preserve"> the availability of protected industrial action for certain multi-employer agreements</w:t>
      </w:r>
      <w:r w:rsidRPr="00167CB8">
        <w:rPr>
          <w:rStyle w:val="FootnoteReference"/>
        </w:rPr>
        <w:footnoteReference w:id="574"/>
      </w:r>
      <w:r w:rsidRPr="00167CB8">
        <w:t xml:space="preserve"> </w:t>
      </w:r>
      <w:r w:rsidR="00293C6C" w:rsidRPr="00167CB8">
        <w:rPr>
          <w:rFonts w:ascii="Symbol" w:eastAsia="Symbol" w:hAnsi="Symbol" w:cs="Symbol"/>
        </w:rPr>
        <w:sym w:font="Symbol" w:char="F02D"/>
      </w:r>
      <w:r w:rsidR="00293C6C" w:rsidRPr="00167CB8">
        <w:t xml:space="preserve"> </w:t>
      </w:r>
      <w:r w:rsidRPr="00167CB8">
        <w:t>in particular</w:t>
      </w:r>
      <w:r w:rsidR="00293C6C" w:rsidRPr="00167CB8">
        <w:t>,</w:t>
      </w:r>
      <w:r w:rsidRPr="00167CB8">
        <w:t xml:space="preserve"> single</w:t>
      </w:r>
      <w:r w:rsidR="00293C6C" w:rsidRPr="00167CB8">
        <w:t>-</w:t>
      </w:r>
      <w:r w:rsidRPr="00167CB8">
        <w:t xml:space="preserve">interest employer agreements and supported bargaining agreements. </w:t>
      </w:r>
    </w:p>
    <w:p w14:paraId="79AE79C9" w14:textId="6CF36646" w:rsidR="00173F8E" w:rsidRPr="00167CB8" w:rsidRDefault="00173F8E" w:rsidP="00173F8E">
      <w:r w:rsidRPr="00167CB8">
        <w:t xml:space="preserve">Ai Group called for the ability to take protected industrial action at the multi-employer level to be taken away, calling this </w:t>
      </w:r>
      <w:r w:rsidR="00293C6C" w:rsidRPr="00167CB8">
        <w:t>‘</w:t>
      </w:r>
      <w:r w:rsidRPr="00167CB8">
        <w:t>not appropriate</w:t>
      </w:r>
      <w:r w:rsidR="00293C6C" w:rsidRPr="00167CB8">
        <w:t>’</w:t>
      </w:r>
      <w:r w:rsidRPr="00167CB8">
        <w:t>.</w:t>
      </w:r>
      <w:r w:rsidRPr="00167CB8">
        <w:rPr>
          <w:rStyle w:val="FootnoteReference"/>
        </w:rPr>
        <w:footnoteReference w:id="575"/>
      </w:r>
      <w:r w:rsidRPr="00167CB8">
        <w:t xml:space="preserve"> Instead, protected industrial action should only be permitted in bargaining for a single-enterprise agreement.</w:t>
      </w:r>
      <w:r w:rsidRPr="00167CB8">
        <w:rPr>
          <w:rStyle w:val="FootnoteReference"/>
        </w:rPr>
        <w:footnoteReference w:id="576"/>
      </w:r>
      <w:r w:rsidRPr="00167CB8">
        <w:t xml:space="preserve"> </w:t>
      </w:r>
    </w:p>
    <w:p w14:paraId="35830550" w14:textId="3C3466B4" w:rsidR="00173F8E" w:rsidRPr="00167CB8" w:rsidRDefault="00173F8E" w:rsidP="00173F8E">
      <w:r w:rsidRPr="00167CB8">
        <w:t xml:space="preserve">The </w:t>
      </w:r>
      <w:r w:rsidR="00060EFE" w:rsidRPr="00167CB8">
        <w:t>Australian Council of Trade Unions (</w:t>
      </w:r>
      <w:r w:rsidRPr="00167CB8">
        <w:t>ACTU</w:t>
      </w:r>
      <w:r w:rsidR="00060EFE" w:rsidRPr="00167CB8">
        <w:t>)</w:t>
      </w:r>
      <w:r w:rsidRPr="00167CB8">
        <w:t xml:space="preserve"> recommend</w:t>
      </w:r>
      <w:r w:rsidR="00293C6C" w:rsidRPr="00167CB8">
        <w:t>ed</w:t>
      </w:r>
      <w:r w:rsidRPr="00167CB8">
        <w:t xml:space="preserve"> that </w:t>
      </w:r>
      <w:r w:rsidR="00293C6C" w:rsidRPr="00167CB8">
        <w:t>s </w:t>
      </w:r>
      <w:r w:rsidRPr="00167CB8">
        <w:t xml:space="preserve">413(5) of the Fair Work Act, </w:t>
      </w:r>
      <w:r w:rsidR="00293C6C" w:rsidRPr="00167CB8">
        <w:t xml:space="preserve">which </w:t>
      </w:r>
      <w:r w:rsidRPr="00167CB8">
        <w:t>takes away the protected nature of industrial action if the party fails to comply with an order, should be repealed (with UWU and Construction and General Division of the CFMEU agreeing).</w:t>
      </w:r>
      <w:r w:rsidRPr="00167CB8">
        <w:rPr>
          <w:rStyle w:val="FootnoteReference"/>
        </w:rPr>
        <w:footnoteReference w:id="577"/>
      </w:r>
      <w:r w:rsidRPr="00167CB8">
        <w:t xml:space="preserve"> ACTU argue</w:t>
      </w:r>
      <w:r w:rsidR="00293C6C" w:rsidRPr="00167CB8">
        <w:t>d</w:t>
      </w:r>
      <w:r w:rsidRPr="00167CB8">
        <w:t xml:space="preserve"> this provision ‘adds nothing legitimate’ to the merit requirement under </w:t>
      </w:r>
      <w:r w:rsidR="00293C6C" w:rsidRPr="00167CB8">
        <w:t>s </w:t>
      </w:r>
      <w:r w:rsidRPr="00167CB8">
        <w:t>413(5) and instead can result in unintended consequences.</w:t>
      </w:r>
      <w:r w:rsidRPr="00167CB8">
        <w:rPr>
          <w:rStyle w:val="FootnoteReference"/>
        </w:rPr>
        <w:footnoteReference w:id="578"/>
      </w:r>
    </w:p>
    <w:p w14:paraId="7E6F9A1C" w14:textId="71F51339" w:rsidR="00173F8E" w:rsidRPr="00167CB8" w:rsidRDefault="00442B00" w:rsidP="00173F8E">
      <w:pPr>
        <w:pStyle w:val="Heading4"/>
        <w:rPr>
          <w:rFonts w:asciiTheme="minorHAnsi" w:hAnsiTheme="minorHAnsi"/>
        </w:rPr>
      </w:pPr>
      <w:bookmarkStart w:id="213" w:name="_Toc189260249"/>
      <w:bookmarkStart w:id="214" w:name="_Toc189393565"/>
      <w:r w:rsidRPr="00167CB8">
        <w:rPr>
          <w:rFonts w:asciiTheme="minorHAnsi" w:hAnsiTheme="minorHAnsi"/>
        </w:rPr>
        <w:t>15</w:t>
      </w:r>
      <w:r w:rsidR="00173F8E" w:rsidRPr="00167CB8">
        <w:rPr>
          <w:rFonts w:asciiTheme="minorHAnsi" w:hAnsiTheme="minorHAnsi"/>
        </w:rPr>
        <w:t xml:space="preserve">.3 Findings </w:t>
      </w:r>
      <w:r w:rsidR="00293C6C" w:rsidRPr="00167CB8">
        <w:rPr>
          <w:rFonts w:asciiTheme="minorHAnsi" w:hAnsiTheme="minorHAnsi"/>
        </w:rPr>
        <w:t>and r</w:t>
      </w:r>
      <w:r w:rsidR="00173F8E" w:rsidRPr="00167CB8">
        <w:rPr>
          <w:rFonts w:asciiTheme="minorHAnsi" w:hAnsiTheme="minorHAnsi"/>
        </w:rPr>
        <w:t>ecommendations</w:t>
      </w:r>
      <w:bookmarkEnd w:id="213"/>
      <w:bookmarkEnd w:id="214"/>
    </w:p>
    <w:p w14:paraId="1A783263" w14:textId="61EF573C" w:rsidR="00173F8E" w:rsidRPr="00167CB8" w:rsidRDefault="00173F8E" w:rsidP="00173F8E">
      <w:r w:rsidRPr="00167CB8">
        <w:t xml:space="preserve">The Review Panel finds that the provisions relating to the mandatory conference requirements have been somewhat effective. The Review Panel notes some stakeholder views suggest in practice these amendments have led to inefficiency and frustration with the process and that there has been no difference in the level of disputation. </w:t>
      </w:r>
    </w:p>
    <w:p w14:paraId="1031D084" w14:textId="35F2776F" w:rsidR="00173F8E" w:rsidRPr="00167CB8" w:rsidRDefault="00173F8E" w:rsidP="00173F8E">
      <w:r w:rsidRPr="00167CB8">
        <w:t>However, the Review Panel notes that there is merit in the mandatory conciliation conferences during the PAB period. Stakeholder feedback indicates that</w:t>
      </w:r>
      <w:r w:rsidRPr="00167CB8" w:rsidDel="000E0DC7">
        <w:t xml:space="preserve"> </w:t>
      </w:r>
      <w:r w:rsidRPr="00167CB8">
        <w:t>the conferences can lead to either the narrowing of issues or agreement being reached between the parties</w:t>
      </w:r>
      <w:r w:rsidR="00293C6C" w:rsidRPr="00167CB8">
        <w:t>,</w:t>
      </w:r>
      <w:r w:rsidRPr="00167CB8">
        <w:t xml:space="preserve"> therefore avoiding industrial action. The Review Panel also notes stakeholder feedback that consideration should be given in relation to the conduct of the mandatory conferences where there is agreement between the parties that there is little to no utility in </w:t>
      </w:r>
      <w:r w:rsidR="00803555" w:rsidRPr="00167CB8">
        <w:t xml:space="preserve">the </w:t>
      </w:r>
      <w:r w:rsidRPr="00167CB8">
        <w:t xml:space="preserve">FWC convening a conference. The </w:t>
      </w:r>
      <w:r w:rsidRPr="00167CB8">
        <w:lastRenderedPageBreak/>
        <w:t xml:space="preserve">Review Panel makes a recommendation in relation to providing </w:t>
      </w:r>
      <w:r w:rsidR="00803555" w:rsidRPr="00167CB8">
        <w:t xml:space="preserve">the </w:t>
      </w:r>
      <w:r w:rsidRPr="00167CB8">
        <w:t xml:space="preserve">FWC with discretion not to conduct a conference in these circumstances. </w:t>
      </w:r>
    </w:p>
    <w:p w14:paraId="6219158B" w14:textId="6ADDD93F" w:rsidR="00173F8E" w:rsidRPr="00167CB8" w:rsidRDefault="009B3CCC" w:rsidP="009B3CCC">
      <w:pPr>
        <w:rPr>
          <w:b/>
          <w:bCs/>
        </w:rPr>
      </w:pPr>
      <w:r w:rsidRPr="00167CB8">
        <w:rPr>
          <w:b/>
          <w:bCs/>
        </w:rPr>
        <w:t>Draft Recommendation 6: The mandatory conciliation conference in s 448A of the Fair Work Act should be amended to provide the FWC with the discretion not to conduct a conference if there is agreement of relevant bargaining representatives.</w:t>
      </w:r>
      <w:r w:rsidR="00173F8E" w:rsidRPr="00167CB8">
        <w:rPr>
          <w:b/>
          <w:bCs/>
        </w:rPr>
        <w:br w:type="page"/>
      </w:r>
    </w:p>
    <w:p w14:paraId="775C5B2C" w14:textId="6FBF3AA2" w:rsidR="00173F8E" w:rsidRPr="00167CB8" w:rsidRDefault="00173F8E" w:rsidP="00173F8E">
      <w:pPr>
        <w:pStyle w:val="Heading3"/>
        <w:rPr>
          <w:rFonts w:asciiTheme="minorHAnsi" w:hAnsiTheme="minorHAnsi"/>
        </w:rPr>
      </w:pPr>
      <w:bookmarkStart w:id="215" w:name="_Toc189260250"/>
      <w:bookmarkStart w:id="216" w:name="_Toc189393566"/>
      <w:r w:rsidRPr="00167CB8">
        <w:rPr>
          <w:rFonts w:asciiTheme="minorHAnsi" w:hAnsiTheme="minorHAnsi"/>
        </w:rPr>
        <w:lastRenderedPageBreak/>
        <w:t xml:space="preserve">Chapter </w:t>
      </w:r>
      <w:r w:rsidR="003A22EE" w:rsidRPr="00167CB8">
        <w:rPr>
          <w:rFonts w:asciiTheme="minorHAnsi" w:hAnsiTheme="minorHAnsi"/>
        </w:rPr>
        <w:t>16</w:t>
      </w:r>
      <w:r w:rsidRPr="00167CB8">
        <w:rPr>
          <w:rFonts w:asciiTheme="minorHAnsi" w:hAnsiTheme="minorHAnsi"/>
        </w:rPr>
        <w:t>. Enterprise agreement approval</w:t>
      </w:r>
      <w:bookmarkEnd w:id="215"/>
      <w:bookmarkEnd w:id="216"/>
    </w:p>
    <w:p w14:paraId="2D22937B" w14:textId="6A0B0F54" w:rsidR="00173F8E" w:rsidRPr="00167CB8" w:rsidRDefault="00173F8E" w:rsidP="00173F8E">
      <w:r w:rsidRPr="00167CB8">
        <w:rPr>
          <w:rFonts w:cs="Calibri"/>
        </w:rPr>
        <w:t xml:space="preserve">Various legislative amendments in Part 14 of the Secure Jobs, Better Pay Act were designed to facilitate the creation of enterprise agreements and ensure that </w:t>
      </w:r>
      <w:r w:rsidR="001F7A21" w:rsidRPr="00167CB8">
        <w:rPr>
          <w:rFonts w:cs="Calibri"/>
        </w:rPr>
        <w:t>enterprise agreements are genuinely agreed to by employees.</w:t>
      </w:r>
    </w:p>
    <w:p w14:paraId="2280B020" w14:textId="4D795263" w:rsidR="00173F8E" w:rsidRPr="00167CB8" w:rsidRDefault="003655D7" w:rsidP="00173F8E">
      <w:pPr>
        <w:pStyle w:val="Heading4"/>
        <w:rPr>
          <w:rFonts w:asciiTheme="minorHAnsi" w:hAnsiTheme="minorHAnsi"/>
        </w:rPr>
      </w:pPr>
      <w:bookmarkStart w:id="217" w:name="_Toc189260251"/>
      <w:bookmarkStart w:id="218" w:name="_Toc189393567"/>
      <w:r w:rsidRPr="00167CB8">
        <w:rPr>
          <w:rFonts w:asciiTheme="minorHAnsi" w:hAnsiTheme="minorHAnsi"/>
        </w:rPr>
        <w:t>16</w:t>
      </w:r>
      <w:r w:rsidR="00173F8E" w:rsidRPr="00167CB8">
        <w:rPr>
          <w:rFonts w:asciiTheme="minorHAnsi" w:hAnsiTheme="minorHAnsi"/>
        </w:rPr>
        <w:t xml:space="preserve">.1 Amendments </w:t>
      </w:r>
      <w:r w:rsidR="00803555" w:rsidRPr="00167CB8">
        <w:rPr>
          <w:rFonts w:asciiTheme="minorHAnsi" w:hAnsiTheme="minorHAnsi"/>
        </w:rPr>
        <w:t>and i</w:t>
      </w:r>
      <w:r w:rsidR="00173F8E" w:rsidRPr="00167CB8">
        <w:rPr>
          <w:rFonts w:asciiTheme="minorHAnsi" w:hAnsiTheme="minorHAnsi"/>
        </w:rPr>
        <w:t>ntent</w:t>
      </w:r>
      <w:bookmarkEnd w:id="217"/>
      <w:bookmarkEnd w:id="218"/>
      <w:r w:rsidR="00173F8E" w:rsidRPr="00167CB8">
        <w:rPr>
          <w:rFonts w:asciiTheme="minorHAnsi" w:hAnsiTheme="minorHAnsi"/>
        </w:rPr>
        <w:t xml:space="preserve"> </w:t>
      </w:r>
    </w:p>
    <w:p w14:paraId="3DF17851" w14:textId="77777777" w:rsidR="00173F8E" w:rsidRPr="00167CB8" w:rsidRDefault="00173F8E" w:rsidP="00173F8E">
      <w:r w:rsidRPr="00167CB8">
        <w:t xml:space="preserve">The </w:t>
      </w:r>
      <w:r w:rsidRPr="00167CB8">
        <w:rPr>
          <w:rFonts w:cs="Calibri"/>
        </w:rPr>
        <w:t>Secure Jobs, Better Pay</w:t>
      </w:r>
      <w:r w:rsidRPr="00167CB8">
        <w:t xml:space="preserve"> Act amended the genuine agreement requirements to remove or alter some of the more prescriptive pre-approval requirements for agreements. These amendments relate to enterprise agreements with a notification time on or after 6 June 2023. </w:t>
      </w:r>
    </w:p>
    <w:p w14:paraId="73A19A35" w14:textId="425A83EB" w:rsidR="00173F8E" w:rsidRPr="00167CB8" w:rsidRDefault="003655D7" w:rsidP="00173F8E">
      <w:pPr>
        <w:pStyle w:val="Heading5"/>
        <w:rPr>
          <w:rFonts w:asciiTheme="minorHAnsi" w:hAnsiTheme="minorHAnsi"/>
        </w:rPr>
      </w:pPr>
      <w:r w:rsidRPr="00167CB8">
        <w:rPr>
          <w:rFonts w:asciiTheme="minorHAnsi" w:hAnsiTheme="minorHAnsi"/>
        </w:rPr>
        <w:t>16</w:t>
      </w:r>
      <w:r w:rsidR="00173F8E" w:rsidRPr="00167CB8">
        <w:rPr>
          <w:rFonts w:asciiTheme="minorHAnsi" w:hAnsiTheme="minorHAnsi"/>
        </w:rPr>
        <w:t xml:space="preserve">.1.1 Secure Jobs, Better Pay </w:t>
      </w:r>
      <w:r w:rsidR="00803555" w:rsidRPr="00167CB8">
        <w:rPr>
          <w:rFonts w:asciiTheme="minorHAnsi" w:hAnsiTheme="minorHAnsi"/>
        </w:rPr>
        <w:t>a</w:t>
      </w:r>
      <w:r w:rsidR="00173F8E" w:rsidRPr="00167CB8">
        <w:rPr>
          <w:rFonts w:asciiTheme="minorHAnsi" w:hAnsiTheme="minorHAnsi"/>
        </w:rPr>
        <w:t>mendments</w:t>
      </w:r>
    </w:p>
    <w:p w14:paraId="19A5DAD8" w14:textId="66587723" w:rsidR="00173F8E" w:rsidRPr="00167CB8" w:rsidRDefault="00AF0661" w:rsidP="00173F8E">
      <w:r w:rsidRPr="00167CB8">
        <w:rPr>
          <w:rFonts w:cs="Calibri"/>
        </w:rPr>
        <w:t xml:space="preserve">Part 2-4 of the Fair Work Act deals with enterprise agreements and includes rules for making and approving agreements. </w:t>
      </w:r>
      <w:r w:rsidR="00173F8E" w:rsidRPr="00167CB8">
        <w:t xml:space="preserve">Section 188(1) of the Fair Work Act was amended to require the </w:t>
      </w:r>
      <w:r w:rsidR="00803555" w:rsidRPr="00167CB8">
        <w:t>Fair Work Commission (</w:t>
      </w:r>
      <w:r w:rsidR="00173F8E" w:rsidRPr="00167CB8">
        <w:t>FWC</w:t>
      </w:r>
      <w:r w:rsidR="00803555" w:rsidRPr="00167CB8">
        <w:t>)</w:t>
      </w:r>
      <w:r w:rsidR="00173F8E" w:rsidRPr="00167CB8">
        <w:t xml:space="preserve"> to take into account the </w:t>
      </w:r>
      <w:r w:rsidR="001C0C48" w:rsidRPr="00167CB8">
        <w:t>‘</w:t>
      </w:r>
      <w:r w:rsidR="00173F8E" w:rsidRPr="00167CB8">
        <w:t>statement of principles</w:t>
      </w:r>
      <w:r w:rsidR="001C0C48" w:rsidRPr="00167CB8">
        <w:t>’</w:t>
      </w:r>
      <w:r w:rsidR="00173F8E" w:rsidRPr="00167CB8">
        <w:t xml:space="preserve"> made under </w:t>
      </w:r>
      <w:r w:rsidR="00803555" w:rsidRPr="00167CB8">
        <w:t>s </w:t>
      </w:r>
      <w:r w:rsidR="00173F8E" w:rsidRPr="00167CB8">
        <w:t xml:space="preserve">188B in determining whether it is satisfied that an agreement has been genuinely agreed to by the employees covered by the agreement. </w:t>
      </w:r>
    </w:p>
    <w:p w14:paraId="0AC9400D" w14:textId="3FABE2E5" w:rsidR="00173F8E" w:rsidRPr="00167CB8" w:rsidRDefault="00173F8E" w:rsidP="00173F8E">
      <w:r w:rsidRPr="00167CB8">
        <w:t xml:space="preserve">The Secure Jobs, Better Pay Act </w:t>
      </w:r>
      <w:r w:rsidR="004A007C" w:rsidRPr="00167CB8">
        <w:t xml:space="preserve">also </w:t>
      </w:r>
      <w:r w:rsidRPr="00167CB8">
        <w:t>amended s</w:t>
      </w:r>
      <w:r w:rsidR="00803555" w:rsidRPr="00167CB8">
        <w:t> </w:t>
      </w:r>
      <w:r w:rsidRPr="00167CB8">
        <w:t>188 of the Fair Work Act to require the FWC to create the statement of principles and publish the statement on the FWC’s website and by any other means that the FWC considered appropriate.</w:t>
      </w:r>
      <w:r w:rsidRPr="00167CB8">
        <w:rPr>
          <w:rStyle w:val="FootnoteReference"/>
        </w:rPr>
        <w:footnoteReference w:id="579"/>
      </w:r>
    </w:p>
    <w:p w14:paraId="65AAF34F" w14:textId="77777777" w:rsidR="00173F8E" w:rsidRPr="00167CB8" w:rsidRDefault="00173F8E" w:rsidP="00173F8E">
      <w:r w:rsidRPr="00167CB8">
        <w:t>Section 188B(3) sets out the matters that the statement of principles must deal with:</w:t>
      </w:r>
    </w:p>
    <w:p w14:paraId="6A450D91" w14:textId="77777777" w:rsidR="00173F8E" w:rsidRPr="00167CB8" w:rsidRDefault="00173F8E" w:rsidP="00C83147">
      <w:pPr>
        <w:pStyle w:val="Quote"/>
      </w:pPr>
      <w:r w:rsidRPr="00167CB8">
        <w:t xml:space="preserve">(a) </w:t>
      </w:r>
      <w:r w:rsidRPr="00167CB8">
        <w:tab/>
        <w:t>informing employees of bargaining for a proposed enterprise agreement;</w:t>
      </w:r>
    </w:p>
    <w:p w14:paraId="762654C8" w14:textId="1B22D800" w:rsidR="00173F8E" w:rsidRPr="00167CB8" w:rsidRDefault="00173F8E" w:rsidP="00C83147">
      <w:pPr>
        <w:pStyle w:val="Quote"/>
      </w:pPr>
      <w:r w:rsidRPr="00167CB8">
        <w:t xml:space="preserve">(b) </w:t>
      </w:r>
      <w:r w:rsidRPr="00167CB8">
        <w:tab/>
        <w:t>informing employees of their right to be represented by a bargaining representative;</w:t>
      </w:r>
    </w:p>
    <w:p w14:paraId="378F6615" w14:textId="22C534B2" w:rsidR="00173F8E" w:rsidRPr="00167CB8" w:rsidRDefault="00173F8E" w:rsidP="00C83147">
      <w:pPr>
        <w:pStyle w:val="Quote"/>
      </w:pPr>
      <w:r w:rsidRPr="00167CB8">
        <w:t xml:space="preserve">(c) </w:t>
      </w:r>
      <w:r w:rsidRPr="00167CB8">
        <w:tab/>
        <w:t>providing employees with a reasonable opportunity to consider a proposed enterprise agreement;</w:t>
      </w:r>
    </w:p>
    <w:p w14:paraId="134BFCFD" w14:textId="77777777" w:rsidR="00173F8E" w:rsidRPr="00167CB8" w:rsidRDefault="00173F8E" w:rsidP="00C83147">
      <w:pPr>
        <w:pStyle w:val="Quote"/>
      </w:pPr>
      <w:r w:rsidRPr="00167CB8">
        <w:t xml:space="preserve">(d) </w:t>
      </w:r>
      <w:r w:rsidRPr="00167CB8">
        <w:tab/>
        <w:t>explaining to employees the terms of a proposed enterprise agreement and their effect;</w:t>
      </w:r>
    </w:p>
    <w:p w14:paraId="653522B7" w14:textId="77777777" w:rsidR="00173F8E" w:rsidRPr="00167CB8" w:rsidRDefault="00173F8E" w:rsidP="00C83147">
      <w:pPr>
        <w:pStyle w:val="Quote"/>
      </w:pPr>
      <w:r w:rsidRPr="00167CB8">
        <w:t xml:space="preserve">(e) </w:t>
      </w:r>
      <w:r w:rsidRPr="00167CB8">
        <w:tab/>
        <w:t>providing employees with a reasonable opportunity to vote on a proposed agreement in a free and informed manner, including by informing employees of the time, place and method for the vote;</w:t>
      </w:r>
    </w:p>
    <w:p w14:paraId="4281B826" w14:textId="02834917" w:rsidR="00173F8E" w:rsidRPr="00167CB8" w:rsidRDefault="00173F8E" w:rsidP="00C83147">
      <w:pPr>
        <w:pStyle w:val="Quote"/>
      </w:pPr>
      <w:r w:rsidRPr="00167CB8">
        <w:t xml:space="preserve">(f) </w:t>
      </w:r>
      <w:r w:rsidRPr="00167CB8">
        <w:tab/>
        <w:t>any matter prescribed by the regulations for the purposes of this paragraph;</w:t>
      </w:r>
    </w:p>
    <w:p w14:paraId="05825257" w14:textId="0197A238" w:rsidR="00173F8E" w:rsidRPr="00167CB8" w:rsidRDefault="00173F8E" w:rsidP="00C83147">
      <w:pPr>
        <w:pStyle w:val="Quote"/>
      </w:pPr>
      <w:r w:rsidRPr="00167CB8">
        <w:t xml:space="preserve">(g) </w:t>
      </w:r>
      <w:r w:rsidRPr="00167CB8">
        <w:tab/>
        <w:t>any other matters the FWC considers relevant.</w:t>
      </w:r>
    </w:p>
    <w:p w14:paraId="739D807C" w14:textId="08156BB0" w:rsidR="00173F8E" w:rsidRPr="00167CB8" w:rsidRDefault="00173F8E" w:rsidP="00173F8E">
      <w:pPr>
        <w:rPr>
          <w:rFonts w:cs="Calibri"/>
        </w:rPr>
      </w:pPr>
      <w:r w:rsidRPr="00167CB8">
        <w:t xml:space="preserve">In determining whether </w:t>
      </w:r>
      <w:r w:rsidRPr="00167CB8" w:rsidDel="00090582">
        <w:t xml:space="preserve">the FWC is satisfied an </w:t>
      </w:r>
      <w:r w:rsidRPr="00167CB8">
        <w:t>agreement has been genuinely agreed, the Secure Jobs, Better Pay Act also introduced provisions under s</w:t>
      </w:r>
      <w:r w:rsidR="00803555" w:rsidRPr="00167CB8">
        <w:t> </w:t>
      </w:r>
      <w:r w:rsidRPr="00167CB8">
        <w:t>188(2)</w:t>
      </w:r>
      <w:r w:rsidR="00721000" w:rsidRPr="00167CB8">
        <w:t>,</w:t>
      </w:r>
      <w:r w:rsidRPr="00167CB8">
        <w:t xml:space="preserve"> which require the FWC to be satisfied that </w:t>
      </w:r>
      <w:r w:rsidRPr="00167CB8">
        <w:rPr>
          <w:rFonts w:cs="Calibri"/>
        </w:rPr>
        <w:t>employees requested to approve the agreement by voting for it:</w:t>
      </w:r>
      <w:r w:rsidR="00060EFE" w:rsidRPr="00167CB8">
        <w:rPr>
          <w:rStyle w:val="FootnoteReference"/>
          <w:rFonts w:cs="Calibri"/>
          <w:sz w:val="24"/>
          <w:szCs w:val="24"/>
        </w:rPr>
        <w:footnoteReference w:id="580"/>
      </w:r>
    </w:p>
    <w:p w14:paraId="7C570DAE" w14:textId="77777777" w:rsidR="00173F8E" w:rsidRPr="00167CB8" w:rsidRDefault="00173F8E" w:rsidP="00C83147">
      <w:pPr>
        <w:pStyle w:val="Quote"/>
        <w:rPr>
          <w:sz w:val="24"/>
        </w:rPr>
      </w:pPr>
      <w:r w:rsidRPr="00167CB8">
        <w:lastRenderedPageBreak/>
        <w:t xml:space="preserve">(a) </w:t>
      </w:r>
      <w:r w:rsidRPr="00167CB8">
        <w:tab/>
        <w:t>have a sufficient interest in the terms of the agreement, and</w:t>
      </w:r>
    </w:p>
    <w:p w14:paraId="32B4B722" w14:textId="6B9489D9" w:rsidR="00173F8E" w:rsidRPr="00167CB8" w:rsidRDefault="00173F8E" w:rsidP="00C83147">
      <w:pPr>
        <w:pStyle w:val="Quote"/>
        <w:rPr>
          <w:sz w:val="24"/>
        </w:rPr>
      </w:pPr>
      <w:r w:rsidRPr="00167CB8">
        <w:t xml:space="preserve">(b) </w:t>
      </w:r>
      <w:r w:rsidRPr="00167CB8">
        <w:tab/>
        <w:t>are sufficiently representative, having regard to the employees the agreement is expressed to cover.</w:t>
      </w:r>
    </w:p>
    <w:p w14:paraId="59E274FB" w14:textId="105E480F" w:rsidR="00173F8E" w:rsidRPr="00167CB8" w:rsidRDefault="00173F8E" w:rsidP="00173F8E">
      <w:r w:rsidRPr="00167CB8">
        <w:t>Part 14 of the Secure Jobs, Better Pay Act made a number of consequential amendments to the pre-approval requirements, as those matters were required to be dealt with in the statement of principles, including the</w:t>
      </w:r>
      <w:r w:rsidR="00803555" w:rsidRPr="00167CB8">
        <w:t xml:space="preserve"> removal of</w:t>
      </w:r>
      <w:r w:rsidRPr="00167CB8">
        <w:t>:</w:t>
      </w:r>
    </w:p>
    <w:p w14:paraId="5FAEB505" w14:textId="0BFF1A1B" w:rsidR="00173F8E" w:rsidRPr="00167CB8" w:rsidRDefault="00173F8E" w:rsidP="00EA3E2F">
      <w:pPr>
        <w:pStyle w:val="ListBullet"/>
      </w:pPr>
      <w:r w:rsidRPr="00167CB8">
        <w:t>the requirement to provide a notice of employee representational rights (NERR) for multi-employer agreements</w:t>
      </w:r>
    </w:p>
    <w:p w14:paraId="4C6379FA" w14:textId="54992931" w:rsidR="00173F8E" w:rsidRPr="00167CB8" w:rsidRDefault="00173F8E" w:rsidP="00EA3E2F">
      <w:pPr>
        <w:pStyle w:val="ListBullet"/>
      </w:pPr>
      <w:r w:rsidRPr="00167CB8">
        <w:t xml:space="preserve">the definition of </w:t>
      </w:r>
      <w:r w:rsidR="00803555" w:rsidRPr="00167CB8">
        <w:t>‘</w:t>
      </w:r>
      <w:r w:rsidRPr="00167CB8">
        <w:t>access period</w:t>
      </w:r>
      <w:r w:rsidR="00803555" w:rsidRPr="00167CB8">
        <w:t>’</w:t>
      </w:r>
    </w:p>
    <w:p w14:paraId="1F4B3AA6" w14:textId="08417801" w:rsidR="00173F8E" w:rsidRPr="00167CB8" w:rsidRDefault="00173F8E" w:rsidP="00EA3E2F">
      <w:pPr>
        <w:pStyle w:val="ListBullet"/>
      </w:pPr>
      <w:r w:rsidRPr="00167CB8">
        <w:t>the requirement that the employer take all reasonable steps to give employees a copy of the agreement and any incorporated materials during the access period</w:t>
      </w:r>
    </w:p>
    <w:p w14:paraId="2415A914" w14:textId="52A56420" w:rsidR="00173F8E" w:rsidRPr="00167CB8" w:rsidRDefault="00173F8E" w:rsidP="00EA3E2F">
      <w:pPr>
        <w:pStyle w:val="ListBullet"/>
      </w:pPr>
      <w:r w:rsidRPr="00167CB8">
        <w:t>the requirement that the employer take all reasonable steps to notify employees of the time, place and method of voting by the start of the access period.</w:t>
      </w:r>
    </w:p>
    <w:p w14:paraId="01DC5A53" w14:textId="6355F7F2" w:rsidR="009B4514" w:rsidRPr="00167CB8" w:rsidRDefault="009B4514" w:rsidP="009B4514">
      <w:r w:rsidRPr="00167CB8">
        <w:t>A requirement that employers must take all reasonable steps to ensure that the terms of a proposed enterprise agreement, and their effect, are explained to employees in an appropriate manner</w:t>
      </w:r>
      <w:r w:rsidR="00B13452" w:rsidRPr="00167CB8">
        <w:t>,</w:t>
      </w:r>
      <w:r w:rsidRPr="00167CB8">
        <w:t xml:space="preserve"> was retained in the Fair Work Act, rather than dealt with in the statement of principles.</w:t>
      </w:r>
      <w:r w:rsidRPr="00167CB8">
        <w:rPr>
          <w:rStyle w:val="FootnoteReference"/>
        </w:rPr>
        <w:footnoteReference w:id="581"/>
      </w:r>
      <w:r w:rsidRPr="00167CB8">
        <w:t xml:space="preserve"> The FWC cannot be satisfied that an enterprise agreement has been genuinely agreed unless it is satisfied that this requirement has been complied with.</w:t>
      </w:r>
      <w:r w:rsidRPr="00167CB8">
        <w:rPr>
          <w:rStyle w:val="FootnoteReference"/>
        </w:rPr>
        <w:footnoteReference w:id="582"/>
      </w:r>
    </w:p>
    <w:p w14:paraId="6E0435A3" w14:textId="3D9ADB7D" w:rsidR="00173F8E" w:rsidRPr="00167CB8" w:rsidRDefault="00173F8E" w:rsidP="00173F8E">
      <w:r w:rsidRPr="00167CB8">
        <w:t xml:space="preserve">The Secure Jobs, Better Pay Act retained the FWC’s ability to disregard minor procedural or technical errors </w:t>
      </w:r>
      <w:r w:rsidRPr="00167CB8">
        <w:rPr>
          <w:rFonts w:cs="Calibri"/>
        </w:rPr>
        <w:t>made in relation to certain requirements if it is satisfied that the employees were not likely to have been disadvantaged by the errors</w:t>
      </w:r>
      <w:r w:rsidRPr="00167CB8">
        <w:t>.</w:t>
      </w:r>
      <w:r w:rsidRPr="00167CB8">
        <w:rPr>
          <w:rStyle w:val="FootnoteReference"/>
        </w:rPr>
        <w:footnoteReference w:id="583"/>
      </w:r>
    </w:p>
    <w:p w14:paraId="328A9218" w14:textId="2DFF0E72" w:rsidR="00173F8E" w:rsidRPr="00167CB8" w:rsidRDefault="003655D7" w:rsidP="00173F8E">
      <w:pPr>
        <w:pStyle w:val="Heading5"/>
        <w:rPr>
          <w:rFonts w:asciiTheme="minorHAnsi" w:hAnsiTheme="minorHAnsi"/>
        </w:rPr>
      </w:pPr>
      <w:r w:rsidRPr="00167CB8">
        <w:rPr>
          <w:rFonts w:asciiTheme="minorHAnsi" w:hAnsiTheme="minorHAnsi"/>
        </w:rPr>
        <w:t>16</w:t>
      </w:r>
      <w:r w:rsidR="00173F8E" w:rsidRPr="00167CB8">
        <w:rPr>
          <w:rFonts w:asciiTheme="minorHAnsi" w:hAnsiTheme="minorHAnsi"/>
        </w:rPr>
        <w:t xml:space="preserve">.1.2 Intent of Secure Jobs, Better Pay </w:t>
      </w:r>
      <w:r w:rsidR="00803555" w:rsidRPr="00167CB8">
        <w:rPr>
          <w:rFonts w:asciiTheme="minorHAnsi" w:hAnsiTheme="minorHAnsi"/>
        </w:rPr>
        <w:t>a</w:t>
      </w:r>
      <w:r w:rsidR="00173F8E" w:rsidRPr="00167CB8">
        <w:rPr>
          <w:rFonts w:asciiTheme="minorHAnsi" w:hAnsiTheme="minorHAnsi"/>
        </w:rPr>
        <w:t>mendments</w:t>
      </w:r>
    </w:p>
    <w:p w14:paraId="09138182" w14:textId="27190C0F" w:rsidR="00173F8E" w:rsidRPr="00167CB8" w:rsidRDefault="00173F8E" w:rsidP="00173F8E">
      <w:pPr>
        <w:rPr>
          <w:rFonts w:cs="Calibri"/>
        </w:rPr>
      </w:pPr>
      <w:r w:rsidRPr="00167CB8">
        <w:rPr>
          <w:rFonts w:cs="Calibri"/>
        </w:rPr>
        <w:t xml:space="preserve">The </w:t>
      </w:r>
      <w:r w:rsidRPr="00167CB8">
        <w:t xml:space="preserve">intent of </w:t>
      </w:r>
      <w:r w:rsidR="00803555" w:rsidRPr="00167CB8">
        <w:t xml:space="preserve">the Secure Jobs, Better Pay amendments </w:t>
      </w:r>
      <w:r w:rsidRPr="00167CB8">
        <w:t>was</w:t>
      </w:r>
      <w:r w:rsidRPr="00167CB8" w:rsidDel="004F07C2">
        <w:rPr>
          <w:rFonts w:cs="Calibri"/>
        </w:rPr>
        <w:t xml:space="preserve"> </w:t>
      </w:r>
      <w:r w:rsidRPr="00167CB8">
        <w:rPr>
          <w:rFonts w:cs="Calibri"/>
        </w:rPr>
        <w:t>to simplify the bargaining process and make the enterprise agreement approval requirements easier to comply with</w:t>
      </w:r>
      <w:r w:rsidR="00E800A1" w:rsidRPr="00167CB8">
        <w:rPr>
          <w:rFonts w:cs="Calibri"/>
        </w:rPr>
        <w:t>, with the expectation that collective bargaining would increase</w:t>
      </w:r>
      <w:r w:rsidRPr="00167CB8">
        <w:rPr>
          <w:rFonts w:cs="Calibri"/>
        </w:rPr>
        <w:t xml:space="preserve">. The problem that these amendments were designed to address was summarised by </w:t>
      </w:r>
      <w:r w:rsidR="00060EFE" w:rsidRPr="00167CB8">
        <w:rPr>
          <w:rFonts w:cs="Calibri"/>
        </w:rPr>
        <w:t>the Department of Employment and Workplace Relations (</w:t>
      </w:r>
      <w:r w:rsidRPr="00167CB8">
        <w:rPr>
          <w:rFonts w:cs="Calibri"/>
        </w:rPr>
        <w:t>DEWR</w:t>
      </w:r>
      <w:r w:rsidR="00060EFE" w:rsidRPr="00167CB8">
        <w:rPr>
          <w:rFonts w:cs="Calibri"/>
        </w:rPr>
        <w:t>)</w:t>
      </w:r>
      <w:r w:rsidRPr="00167CB8">
        <w:rPr>
          <w:rFonts w:cs="Calibri"/>
        </w:rPr>
        <w:t xml:space="preserve"> in its submission to the </w:t>
      </w:r>
      <w:r w:rsidR="00803555" w:rsidRPr="00167CB8">
        <w:rPr>
          <w:rFonts w:cs="Calibri"/>
        </w:rPr>
        <w:t>Senate Education and Employment Legislation Committee Inquiry into the Fair Work Legislation Amendment (Secure Jobs, Better Pay) Bill 2022</w:t>
      </w:r>
      <w:r w:rsidRPr="00167CB8">
        <w:rPr>
          <w:rFonts w:cs="Calibri"/>
        </w:rPr>
        <w:t>:</w:t>
      </w:r>
      <w:r w:rsidR="00803555" w:rsidRPr="00167CB8">
        <w:rPr>
          <w:rStyle w:val="FootnoteReference"/>
        </w:rPr>
        <w:footnoteReference w:id="584"/>
      </w:r>
    </w:p>
    <w:p w14:paraId="4C5C0316" w14:textId="74E347AB" w:rsidR="00173F8E" w:rsidRPr="00167CB8" w:rsidRDefault="00173F8E" w:rsidP="00C83147">
      <w:pPr>
        <w:pStyle w:val="Quote"/>
      </w:pPr>
      <w:r w:rsidRPr="00167CB8">
        <w:t xml:space="preserve">There is consensus amongst workplace relations stakeholders that the pre-approval processes and approval requirements for enterprise agreements are onerous, complex, and easy to misinterpret. This means that there are circumstances where bargaining parties reach an agreement, but the agreement cannot be approved by the Fair Work Commission because of procedural error. Complexity in the bargaining framework discourages parties from bargaining. The Bill makes </w:t>
      </w:r>
      <w:r w:rsidRPr="00167CB8">
        <w:lastRenderedPageBreak/>
        <w:t>changes to reduce the complexity associated with bargaining and make approval requirements easier to comply with.</w:t>
      </w:r>
    </w:p>
    <w:p w14:paraId="00EF38F0" w14:textId="767A09AD" w:rsidR="00173F8E" w:rsidRPr="00167CB8" w:rsidRDefault="00173F8E" w:rsidP="00173F8E">
      <w:pPr>
        <w:rPr>
          <w:rFonts w:eastAsia="Aptos" w:cs="Calibri"/>
        </w:rPr>
      </w:pPr>
      <w:r w:rsidRPr="00167CB8">
        <w:rPr>
          <w:rFonts w:eastAsia="Aptos" w:cs="Calibri"/>
        </w:rPr>
        <w:t xml:space="preserve">Additionally, DEWR submitted that procedural complexity, the multiple steps </w:t>
      </w:r>
      <w:r w:rsidR="00723E66" w:rsidRPr="00167CB8">
        <w:rPr>
          <w:rFonts w:eastAsia="Aptos" w:cs="Calibri"/>
        </w:rPr>
        <w:t xml:space="preserve">for approval </w:t>
      </w:r>
      <w:r w:rsidRPr="00167CB8">
        <w:rPr>
          <w:rFonts w:eastAsia="Aptos" w:cs="Calibri"/>
        </w:rPr>
        <w:t>and the strict timeframes was also deterring bargaining:</w:t>
      </w:r>
      <w:r w:rsidR="00803555" w:rsidRPr="00167CB8">
        <w:rPr>
          <w:rStyle w:val="FootnoteReference"/>
          <w:rFonts w:eastAsia="Aptos" w:cs="Calibri"/>
        </w:rPr>
        <w:footnoteReference w:id="585"/>
      </w:r>
    </w:p>
    <w:p w14:paraId="74680FC6" w14:textId="4D6A78C7" w:rsidR="00173F8E" w:rsidRPr="00167CB8" w:rsidRDefault="00173F8E" w:rsidP="00C83147">
      <w:pPr>
        <w:pStyle w:val="Quote"/>
      </w:pPr>
      <w:r w:rsidRPr="00167CB8">
        <w:t>Employers must currently take multiple steps within strict timeframes in order for an agreement to be approved under the Fair Work Act bargaining framework. These processes are difficult to follow and can discourage employers from engaging with the bargaining system. For example, an employer must take all reasonable steps to provide employees with access to the prospective agreement during a seven-day period immediately before the employer conducts a vote on the agreement.</w:t>
      </w:r>
    </w:p>
    <w:p w14:paraId="57320ECC" w14:textId="77777777" w:rsidR="00173F8E" w:rsidRPr="00167CB8" w:rsidRDefault="00173F8E" w:rsidP="00173F8E">
      <w:pPr>
        <w:rPr>
          <w:rFonts w:cs="Calibri"/>
        </w:rPr>
      </w:pPr>
      <w:r w:rsidRPr="00167CB8">
        <w:rPr>
          <w:rFonts w:cs="Calibri"/>
        </w:rPr>
        <w:t>The requirement that the FWC be satisfied that the agreement has been ‘genuinely agreed to’ is also intended to ‘safeguard against agreements which are not the result of good faith bargaining but, instead, are agreements made with ‘unrepresentative’ and ‘low voter’ (small) cohorts.</w:t>
      </w:r>
      <w:r w:rsidRPr="00167CB8">
        <w:rPr>
          <w:rStyle w:val="FootnoteReference"/>
          <w:rFonts w:cs="Calibri"/>
        </w:rPr>
        <w:footnoteReference w:id="586"/>
      </w:r>
      <w:r w:rsidRPr="00167CB8">
        <w:rPr>
          <w:rFonts w:cs="Calibri"/>
        </w:rPr>
        <w:t xml:space="preserve"> </w:t>
      </w:r>
    </w:p>
    <w:p w14:paraId="366E94D5" w14:textId="08A854EB" w:rsidR="00173F8E" w:rsidRPr="00167CB8" w:rsidRDefault="006D0C76" w:rsidP="00173F8E">
      <w:pPr>
        <w:pStyle w:val="Heading4"/>
        <w:rPr>
          <w:rFonts w:asciiTheme="minorHAnsi" w:hAnsiTheme="minorHAnsi"/>
        </w:rPr>
      </w:pPr>
      <w:bookmarkStart w:id="219" w:name="_Toc189260252"/>
      <w:bookmarkStart w:id="220" w:name="_Toc189393568"/>
      <w:r w:rsidRPr="00167CB8">
        <w:rPr>
          <w:rFonts w:asciiTheme="minorHAnsi" w:hAnsiTheme="minorHAnsi"/>
        </w:rPr>
        <w:t>16</w:t>
      </w:r>
      <w:r w:rsidR="00173F8E" w:rsidRPr="00167CB8">
        <w:rPr>
          <w:rFonts w:asciiTheme="minorHAnsi" w:hAnsiTheme="minorHAnsi"/>
        </w:rPr>
        <w:t xml:space="preserve">.2 Impact and </w:t>
      </w:r>
      <w:r w:rsidR="00803555" w:rsidRPr="00167CB8">
        <w:rPr>
          <w:rFonts w:asciiTheme="minorHAnsi" w:hAnsiTheme="minorHAnsi"/>
        </w:rPr>
        <w:t>i</w:t>
      </w:r>
      <w:r w:rsidR="00173F8E" w:rsidRPr="00167CB8">
        <w:rPr>
          <w:rFonts w:asciiTheme="minorHAnsi" w:hAnsiTheme="minorHAnsi"/>
        </w:rPr>
        <w:t>ssues</w:t>
      </w:r>
      <w:bookmarkEnd w:id="219"/>
      <w:bookmarkEnd w:id="220"/>
    </w:p>
    <w:p w14:paraId="0D4903B6" w14:textId="2FF6A847" w:rsidR="007F0C16" w:rsidRPr="00167CB8" w:rsidRDefault="007F0C16" w:rsidP="007F0C16">
      <w:r w:rsidRPr="00167CB8">
        <w:t>Consistent with its obligations under the new s.188B of the Fair Work Act, and after extensive consultation, FWC published the ‘Fair Work (Statement of Principles on Genuine Agreement) Instrument 2023’ on 12 May 2023. This 13-page document came into operation on 6 June 2023.  The impact of the amendments and the issues they raise can be assessed through: firstly, quantitative data from both the FWC and the DEWR; secondly, qualitative data, mostly from decisions of the FWC; and thirdly, the views of the stakeholders.</w:t>
      </w:r>
    </w:p>
    <w:p w14:paraId="4B50785C" w14:textId="3CCE810E" w:rsidR="00173F8E" w:rsidRPr="00167CB8" w:rsidRDefault="006D0C76" w:rsidP="00173F8E">
      <w:pPr>
        <w:pStyle w:val="Heading5"/>
        <w:rPr>
          <w:rFonts w:asciiTheme="minorHAnsi" w:hAnsiTheme="minorHAnsi"/>
        </w:rPr>
      </w:pPr>
      <w:r w:rsidRPr="00167CB8">
        <w:rPr>
          <w:rFonts w:asciiTheme="minorHAnsi" w:hAnsiTheme="minorHAnsi"/>
        </w:rPr>
        <w:t>16</w:t>
      </w:r>
      <w:r w:rsidR="00173F8E" w:rsidRPr="00167CB8">
        <w:rPr>
          <w:rFonts w:asciiTheme="minorHAnsi" w:hAnsiTheme="minorHAnsi"/>
        </w:rPr>
        <w:t xml:space="preserve">.2.1 Quantitative </w:t>
      </w:r>
      <w:r w:rsidR="00803555" w:rsidRPr="00167CB8">
        <w:rPr>
          <w:rFonts w:asciiTheme="minorHAnsi" w:hAnsiTheme="minorHAnsi"/>
        </w:rPr>
        <w:t>e</w:t>
      </w:r>
      <w:r w:rsidR="00173F8E" w:rsidRPr="00167CB8">
        <w:rPr>
          <w:rFonts w:asciiTheme="minorHAnsi" w:hAnsiTheme="minorHAnsi"/>
        </w:rPr>
        <w:t>vidence</w:t>
      </w:r>
    </w:p>
    <w:p w14:paraId="6926381D" w14:textId="031FA4FF" w:rsidR="00173F8E" w:rsidRPr="00167CB8" w:rsidRDefault="00173F8E" w:rsidP="00173F8E">
      <w:pPr>
        <w:spacing w:after="240"/>
        <w:rPr>
          <w:rFonts w:cs="Calibri"/>
        </w:rPr>
      </w:pPr>
      <w:r w:rsidRPr="00167CB8">
        <w:rPr>
          <w:rFonts w:cs="Calibri"/>
        </w:rPr>
        <w:t xml:space="preserve">As noted, a key start date for changes to enterprise agreement approvals was 6 June 2023. The window for assessing the impact of the amendments and issues is, therefore, relatively short. As the intent of the amendments is to facilitate </w:t>
      </w:r>
      <w:r w:rsidR="00E9760E" w:rsidRPr="00167CB8">
        <w:rPr>
          <w:rFonts w:cs="Calibri"/>
        </w:rPr>
        <w:t xml:space="preserve">more collective </w:t>
      </w:r>
      <w:r w:rsidRPr="00167CB8">
        <w:rPr>
          <w:rFonts w:cs="Calibri"/>
        </w:rPr>
        <w:t xml:space="preserve">bargaining, </w:t>
      </w:r>
      <w:r w:rsidR="001D39F6" w:rsidRPr="00167CB8">
        <w:rPr>
          <w:rFonts w:cs="Calibri"/>
        </w:rPr>
        <w:t xml:space="preserve">one set of </w:t>
      </w:r>
      <w:r w:rsidRPr="00167CB8">
        <w:rPr>
          <w:rFonts w:cs="Calibri"/>
        </w:rPr>
        <w:t xml:space="preserve">appropriate indicators with which to assess the amendments </w:t>
      </w:r>
      <w:r w:rsidR="007F3DC5" w:rsidRPr="00167CB8">
        <w:rPr>
          <w:rFonts w:cs="Calibri"/>
        </w:rPr>
        <w:t xml:space="preserve">is </w:t>
      </w:r>
      <w:r w:rsidRPr="00167CB8">
        <w:rPr>
          <w:rFonts w:cs="Calibri"/>
        </w:rPr>
        <w:t xml:space="preserve">the number of new </w:t>
      </w:r>
      <w:r w:rsidR="007F3DC5" w:rsidRPr="00167CB8">
        <w:rPr>
          <w:rFonts w:cs="Calibri"/>
        </w:rPr>
        <w:t xml:space="preserve">collective </w:t>
      </w:r>
      <w:r w:rsidRPr="00167CB8">
        <w:rPr>
          <w:rFonts w:cs="Calibri"/>
        </w:rPr>
        <w:t>agreements made and the number of employees covered</w:t>
      </w:r>
      <w:r w:rsidR="0063470A" w:rsidRPr="00167CB8">
        <w:rPr>
          <w:rFonts w:cs="Calibri"/>
        </w:rPr>
        <w:t xml:space="preserve"> by those agreements</w:t>
      </w:r>
      <w:r w:rsidRPr="00167CB8">
        <w:rPr>
          <w:rFonts w:cs="Calibri"/>
        </w:rPr>
        <w:t>. The latter is particularly important</w:t>
      </w:r>
      <w:r w:rsidR="00803555" w:rsidRPr="00167CB8">
        <w:rPr>
          <w:rFonts w:cs="Calibri"/>
        </w:rPr>
        <w:t>,</w:t>
      </w:r>
      <w:r w:rsidRPr="00167CB8">
        <w:rPr>
          <w:rFonts w:cs="Calibri"/>
        </w:rPr>
        <w:t xml:space="preserve"> as it may be that an increase in multi-employer agreements reduces the number of enterprise agreements in operation but increases the number of employees who are covered by an enterprise agreement.</w:t>
      </w:r>
    </w:p>
    <w:p w14:paraId="4DD99CB7" w14:textId="27986542" w:rsidR="00D06DD8" w:rsidRPr="00167CB8" w:rsidRDefault="00D06DD8" w:rsidP="00D06DD8">
      <w:pPr>
        <w:spacing w:after="240"/>
        <w:rPr>
          <w:rFonts w:cs="Calibri"/>
        </w:rPr>
      </w:pPr>
      <w:r w:rsidRPr="00167CB8">
        <w:rPr>
          <w:rFonts w:cs="Calibri"/>
        </w:rPr>
        <w:t xml:space="preserve">Long-term trends in the incidence and coverage of collective agreements – based on data from DEWR – were reviewed in Chapter </w:t>
      </w:r>
      <w:r w:rsidR="002576B7" w:rsidRPr="00167CB8">
        <w:rPr>
          <w:rFonts w:cs="Calibri"/>
        </w:rPr>
        <w:t>8</w:t>
      </w:r>
      <w:r w:rsidRPr="00167CB8">
        <w:rPr>
          <w:rFonts w:cs="Calibri"/>
        </w:rPr>
        <w:t xml:space="preserve">. Specifically, Figure </w:t>
      </w:r>
      <w:r w:rsidR="008D4B63">
        <w:rPr>
          <w:rFonts w:cs="Calibri"/>
        </w:rPr>
        <w:t>3</w:t>
      </w:r>
      <w:r w:rsidRPr="00167CB8">
        <w:rPr>
          <w:rFonts w:cs="Calibri"/>
        </w:rPr>
        <w:t xml:space="preserve"> shows trends on new approved agreements. The analysis there shows that the number of agreements has increased only moderately, if at all, but the coverage of those agreements has expended considerably in recent quarters. </w:t>
      </w:r>
    </w:p>
    <w:p w14:paraId="105EEB4E" w14:textId="04AAE990" w:rsidR="00173F8E" w:rsidRPr="00167CB8" w:rsidRDefault="00D06DD8" w:rsidP="003E2C7E">
      <w:r w:rsidRPr="00167CB8">
        <w:rPr>
          <w:rFonts w:cs="Calibri"/>
        </w:rPr>
        <w:lastRenderedPageBreak/>
        <w:t xml:space="preserve">Also important are data from the FWC, which traces the time taken to approve agreements as well as the number of undertakings being required by the FWC when approving agreements. These data are examined in detail in Chapter </w:t>
      </w:r>
      <w:r w:rsidR="003E2791" w:rsidRPr="00167CB8">
        <w:rPr>
          <w:rFonts w:cs="Calibri"/>
        </w:rPr>
        <w:t>17</w:t>
      </w:r>
      <w:r w:rsidRPr="00167CB8">
        <w:rPr>
          <w:rFonts w:cs="Calibri"/>
        </w:rPr>
        <w:t>. Suffice it to say here that the speed with which the FWC approved collective agreements was not greatly improved by the publication of the statement of principles</w:t>
      </w:r>
      <w:r w:rsidR="0083767E">
        <w:rPr>
          <w:rFonts w:cs="Calibri"/>
        </w:rPr>
        <w:t>. A</w:t>
      </w:r>
      <w:r w:rsidRPr="00167CB8">
        <w:rPr>
          <w:rFonts w:cs="Calibri"/>
        </w:rPr>
        <w:t>t the same time</w:t>
      </w:r>
      <w:r w:rsidR="0083767E">
        <w:rPr>
          <w:rFonts w:cs="Calibri"/>
        </w:rPr>
        <w:t>,</w:t>
      </w:r>
      <w:r w:rsidRPr="00167CB8">
        <w:rPr>
          <w:rFonts w:cs="Calibri"/>
        </w:rPr>
        <w:t xml:space="preserve"> the performance of the FWC on this measure was already strong.</w:t>
      </w:r>
      <w:r w:rsidR="00173F8E" w:rsidRPr="00167CB8">
        <w:t xml:space="preserve"> </w:t>
      </w:r>
    </w:p>
    <w:p w14:paraId="2475CC1B" w14:textId="11FA1EB1" w:rsidR="00173F8E" w:rsidRPr="00167CB8" w:rsidRDefault="006D0C76" w:rsidP="00173F8E">
      <w:pPr>
        <w:pStyle w:val="Heading5"/>
        <w:rPr>
          <w:rFonts w:asciiTheme="minorHAnsi" w:hAnsiTheme="minorHAnsi"/>
        </w:rPr>
      </w:pPr>
      <w:r w:rsidRPr="00167CB8">
        <w:rPr>
          <w:rFonts w:asciiTheme="minorHAnsi" w:hAnsiTheme="minorHAnsi"/>
        </w:rPr>
        <w:t>16</w:t>
      </w:r>
      <w:r w:rsidR="00173F8E" w:rsidRPr="00167CB8">
        <w:rPr>
          <w:rFonts w:asciiTheme="minorHAnsi" w:hAnsiTheme="minorHAnsi"/>
        </w:rPr>
        <w:t xml:space="preserve">.2.2 Qualitative </w:t>
      </w:r>
      <w:r w:rsidR="00803555" w:rsidRPr="00167CB8">
        <w:rPr>
          <w:rFonts w:asciiTheme="minorHAnsi" w:hAnsiTheme="minorHAnsi"/>
        </w:rPr>
        <w:t>e</w:t>
      </w:r>
      <w:r w:rsidR="00173F8E" w:rsidRPr="00167CB8">
        <w:rPr>
          <w:rFonts w:asciiTheme="minorHAnsi" w:hAnsiTheme="minorHAnsi"/>
        </w:rPr>
        <w:t>vidence</w:t>
      </w:r>
    </w:p>
    <w:p w14:paraId="5623E732" w14:textId="2BCEF0D6" w:rsidR="00173F8E" w:rsidRPr="00167CB8" w:rsidRDefault="004D2193" w:rsidP="00173F8E">
      <w:pPr>
        <w:rPr>
          <w:rFonts w:cs="Calibri"/>
        </w:rPr>
      </w:pPr>
      <w:r>
        <w:rPr>
          <w:rFonts w:cs="Calibri"/>
        </w:rPr>
        <w:t>T</w:t>
      </w:r>
      <w:r w:rsidR="00173F8E" w:rsidRPr="00167CB8">
        <w:rPr>
          <w:rFonts w:cs="Calibri"/>
        </w:rPr>
        <w:t xml:space="preserve">he Secure Jobs, Better Pay amendments are designed to ensure that, amongst other things, the FWC is satisfied that the agreement has been ‘genuinely agreed to’. </w:t>
      </w:r>
      <w:r w:rsidR="004F24C1" w:rsidRPr="00167CB8">
        <w:rPr>
          <w:rFonts w:cs="Calibri"/>
        </w:rPr>
        <w:t xml:space="preserve">In particular, the </w:t>
      </w:r>
      <w:r w:rsidR="00173F8E" w:rsidRPr="00167CB8">
        <w:rPr>
          <w:rFonts w:cs="Calibri"/>
        </w:rPr>
        <w:t xml:space="preserve">amendments are intended to ‘safeguard against agreements which are not the result of collective bargaining in good faith, including </w:t>
      </w:r>
      <w:r w:rsidR="00803555" w:rsidRPr="00167CB8">
        <w:rPr>
          <w:rFonts w:cs="Calibri"/>
        </w:rPr>
        <w:t>“</w:t>
      </w:r>
      <w:r w:rsidR="00173F8E" w:rsidRPr="00167CB8">
        <w:rPr>
          <w:rFonts w:cs="Calibri"/>
        </w:rPr>
        <w:t>unrepresentative</w:t>
      </w:r>
      <w:r w:rsidR="00803555" w:rsidRPr="00167CB8">
        <w:rPr>
          <w:rFonts w:cs="Calibri"/>
        </w:rPr>
        <w:t>”</w:t>
      </w:r>
      <w:r w:rsidR="00173F8E" w:rsidRPr="00167CB8">
        <w:rPr>
          <w:rFonts w:cs="Calibri"/>
        </w:rPr>
        <w:t xml:space="preserve"> and </w:t>
      </w:r>
      <w:r w:rsidR="00803555" w:rsidRPr="00167CB8">
        <w:rPr>
          <w:rFonts w:cs="Calibri"/>
        </w:rPr>
        <w:t>“</w:t>
      </w:r>
      <w:r w:rsidR="00173F8E" w:rsidRPr="00167CB8">
        <w:rPr>
          <w:rFonts w:cs="Calibri"/>
        </w:rPr>
        <w:t>low voter cohort</w:t>
      </w:r>
      <w:r w:rsidR="00803555" w:rsidRPr="00167CB8">
        <w:rPr>
          <w:rFonts w:cs="Calibri"/>
        </w:rPr>
        <w:t>”</w:t>
      </w:r>
      <w:r w:rsidR="00173F8E" w:rsidRPr="00167CB8">
        <w:rPr>
          <w:rFonts w:cs="Calibri"/>
        </w:rPr>
        <w:t xml:space="preserve"> agreements</w:t>
      </w:r>
      <w:r w:rsidR="00803555" w:rsidRPr="00167CB8">
        <w:rPr>
          <w:rFonts w:cs="Calibri"/>
        </w:rPr>
        <w:t>’</w:t>
      </w:r>
      <w:r w:rsidR="00173F8E" w:rsidRPr="00167CB8">
        <w:rPr>
          <w:rFonts w:cs="Calibri"/>
        </w:rPr>
        <w:t>.</w:t>
      </w:r>
      <w:r w:rsidR="00173F8E" w:rsidRPr="00167CB8">
        <w:rPr>
          <w:rStyle w:val="FootnoteReference"/>
          <w:rFonts w:cs="Calibri"/>
        </w:rPr>
        <w:footnoteReference w:id="587"/>
      </w:r>
      <w:r w:rsidR="00173F8E" w:rsidRPr="00167CB8">
        <w:rPr>
          <w:rFonts w:cs="Calibri"/>
        </w:rPr>
        <w:t xml:space="preserve"> </w:t>
      </w:r>
    </w:p>
    <w:p w14:paraId="785700C1" w14:textId="77777777" w:rsidR="006E7F8C" w:rsidRDefault="005D6553" w:rsidP="00173F8E">
      <w:pPr>
        <w:rPr>
          <w:rFonts w:cs="Calibri"/>
        </w:rPr>
      </w:pPr>
      <w:r w:rsidRPr="00167CB8">
        <w:rPr>
          <w:rFonts w:cs="Calibri"/>
        </w:rPr>
        <w:t xml:space="preserve">At least four decisions by the FWC help to assess the effectiveness of the Secure Jobs, Better Pay amendments. </w:t>
      </w:r>
    </w:p>
    <w:p w14:paraId="3A695CA1" w14:textId="71D44B3B" w:rsidR="00173F8E" w:rsidRPr="00167CB8" w:rsidRDefault="005D6553" w:rsidP="00173F8E">
      <w:pPr>
        <w:rPr>
          <w:rFonts w:cs="Calibri"/>
        </w:rPr>
      </w:pPr>
      <w:r w:rsidRPr="00167CB8">
        <w:rPr>
          <w:rFonts w:cs="Calibri"/>
        </w:rPr>
        <w:t>First, the</w:t>
      </w:r>
      <w:r w:rsidRPr="00167CB8" w:rsidDel="00A25803">
        <w:rPr>
          <w:rFonts w:cs="Calibri"/>
        </w:rPr>
        <w:t xml:space="preserve"> </w:t>
      </w:r>
      <w:r w:rsidR="00173F8E" w:rsidRPr="00167CB8">
        <w:rPr>
          <w:rFonts w:cs="Calibri"/>
        </w:rPr>
        <w:t xml:space="preserve">Full Bench of the FWC </w:t>
      </w:r>
      <w:r w:rsidR="00451B1A" w:rsidRPr="00167CB8">
        <w:rPr>
          <w:rFonts w:cs="Calibri"/>
        </w:rPr>
        <w:t>on 6 September 2023 concluded</w:t>
      </w:r>
      <w:r w:rsidR="00451B1A" w:rsidRPr="00167CB8" w:rsidDel="00451B1A">
        <w:rPr>
          <w:rFonts w:cs="Calibri"/>
        </w:rPr>
        <w:t xml:space="preserve"> </w:t>
      </w:r>
      <w:r w:rsidR="00173F8E" w:rsidRPr="00167CB8">
        <w:rPr>
          <w:rFonts w:cs="Calibri"/>
        </w:rPr>
        <w:t xml:space="preserve">in </w:t>
      </w:r>
      <w:r w:rsidR="00173F8E" w:rsidRPr="00167CB8">
        <w:rPr>
          <w:i/>
          <w:iCs/>
        </w:rPr>
        <w:t>The</w:t>
      </w:r>
      <w:r w:rsidR="00173F8E" w:rsidRPr="00167CB8">
        <w:rPr>
          <w:i/>
        </w:rPr>
        <w:t xml:space="preserve"> </w:t>
      </w:r>
      <w:r w:rsidR="00173F8E" w:rsidRPr="00167CB8">
        <w:rPr>
          <w:i/>
          <w:iCs/>
        </w:rPr>
        <w:t xml:space="preserve">Australian Workers’ Union v Altrad APTS Pty </w:t>
      </w:r>
      <w:r w:rsidR="00173F8E" w:rsidRPr="00167CB8">
        <w:rPr>
          <w:i/>
        </w:rPr>
        <w:t xml:space="preserve">Ltd </w:t>
      </w:r>
      <w:r w:rsidR="00060EFE" w:rsidRPr="00167CB8">
        <w:rPr>
          <w:i/>
          <w:iCs/>
        </w:rPr>
        <w:t>t/as</w:t>
      </w:r>
      <w:r w:rsidR="00173F8E" w:rsidRPr="00167CB8">
        <w:rPr>
          <w:i/>
          <w:iCs/>
        </w:rPr>
        <w:t xml:space="preserve"> Altrad</w:t>
      </w:r>
      <w:r w:rsidR="00060EFE" w:rsidRPr="00167CB8">
        <w:rPr>
          <w:rStyle w:val="FootnoteReference"/>
        </w:rPr>
        <w:footnoteReference w:id="588"/>
      </w:r>
      <w:r w:rsidR="00173F8E" w:rsidRPr="00167CB8">
        <w:rPr>
          <w:rFonts w:cs="Calibri"/>
        </w:rPr>
        <w:t xml:space="preserve"> that the provisions are operating as intended</w:t>
      </w:r>
      <w:r w:rsidR="00BD0B1C" w:rsidRPr="00167CB8">
        <w:rPr>
          <w:rFonts w:cs="Calibri"/>
        </w:rPr>
        <w:t>,</w:t>
      </w:r>
      <w:r w:rsidR="00173F8E" w:rsidRPr="00167CB8">
        <w:rPr>
          <w:rFonts w:cs="Calibri"/>
        </w:rPr>
        <w:t xml:space="preserve"> as the Full Bench noted that ‘in some circumstances a small voter cohort should trigger greater scrutiny’.</w:t>
      </w:r>
      <w:r w:rsidR="00173F8E" w:rsidRPr="00167CB8">
        <w:rPr>
          <w:rStyle w:val="FootnoteReference"/>
          <w:rFonts w:cs="Calibri"/>
        </w:rPr>
        <w:footnoteReference w:id="589"/>
      </w:r>
      <w:r w:rsidR="00173F8E" w:rsidRPr="00167CB8">
        <w:rPr>
          <w:rFonts w:cs="Calibri"/>
        </w:rPr>
        <w:t xml:space="preserve"> </w:t>
      </w:r>
    </w:p>
    <w:p w14:paraId="3DC25C44" w14:textId="7D80E008" w:rsidR="00173F8E" w:rsidRPr="00167CB8" w:rsidRDefault="00990F81" w:rsidP="00173F8E">
      <w:pPr>
        <w:rPr>
          <w:rFonts w:cs="Calibri"/>
        </w:rPr>
      </w:pPr>
      <w:r w:rsidRPr="00167CB8">
        <w:rPr>
          <w:rFonts w:cs="Calibri"/>
        </w:rPr>
        <w:t>Second, t</w:t>
      </w:r>
      <w:r w:rsidR="00173F8E" w:rsidRPr="00167CB8">
        <w:rPr>
          <w:rFonts w:cs="Calibri"/>
        </w:rPr>
        <w:t xml:space="preserve">he Full Bench had reason to consider how to apply the principles in </w:t>
      </w:r>
      <w:r w:rsidR="00173F8E" w:rsidRPr="00167CB8">
        <w:rPr>
          <w:rFonts w:cs="Calibri"/>
          <w:i/>
        </w:rPr>
        <w:t>Shop, Distributive and Allied Employees Association v Allen Family Pty Ltd</w:t>
      </w:r>
      <w:r w:rsidR="00173F8E" w:rsidRPr="00167CB8">
        <w:rPr>
          <w:rFonts w:cs="Calibri"/>
        </w:rPr>
        <w:t xml:space="preserve"> (</w:t>
      </w:r>
      <w:r w:rsidR="00173F8E" w:rsidRPr="00167CB8">
        <w:rPr>
          <w:rFonts w:cs="Calibri"/>
          <w:i/>
        </w:rPr>
        <w:t>Allen)</w:t>
      </w:r>
      <w:r w:rsidR="00173F8E" w:rsidRPr="00167CB8" w:rsidDel="00060EFE">
        <w:rPr>
          <w:rFonts w:cs="Calibri"/>
        </w:rPr>
        <w:t xml:space="preserve"> (6 February 2024)</w:t>
      </w:r>
      <w:r w:rsidR="00173F8E" w:rsidRPr="00167CB8">
        <w:rPr>
          <w:rFonts w:cs="Calibri"/>
          <w:i/>
        </w:rPr>
        <w:t>.</w:t>
      </w:r>
      <w:r w:rsidR="00060EFE" w:rsidRPr="00167CB8">
        <w:rPr>
          <w:rStyle w:val="FootnoteReference"/>
          <w:rFonts w:cs="Calibri"/>
          <w:iCs/>
        </w:rPr>
        <w:footnoteReference w:id="590"/>
      </w:r>
      <w:r w:rsidR="00173F8E" w:rsidRPr="00167CB8">
        <w:rPr>
          <w:rFonts w:cs="Calibri"/>
        </w:rPr>
        <w:t xml:space="preserve"> The Full Bench held:</w:t>
      </w:r>
      <w:r w:rsidR="00BD0B1C" w:rsidRPr="00167CB8">
        <w:rPr>
          <w:rStyle w:val="FootnoteReference"/>
          <w:rFonts w:cs="Calibri"/>
        </w:rPr>
        <w:footnoteReference w:id="591"/>
      </w:r>
    </w:p>
    <w:p w14:paraId="645A780A" w14:textId="7FA9102F" w:rsidR="00173F8E" w:rsidRPr="00167CB8" w:rsidRDefault="00173F8E" w:rsidP="00C83147">
      <w:pPr>
        <w:pStyle w:val="Quote"/>
      </w:pPr>
      <w:r w:rsidRPr="00167CB8">
        <w:t>The important point to be made is that while the Commission is required to take into account the Statement of Principles in determining whether an agreement has been genuinely agreed, it does not operate as a set of mandatory rules that must be complied with by an employer absent which the Commission cannot be satisfied that an agreement has been genuinely agreed. Where an employer follows pre-approval steps that are consistent with the Statement of Principles, that would weigh more favourably towards a conclusion that an agreement has been genuinely agreed. The converse is equally true of course. The requirement to take into account the Statement of Principles does not displace the requirement to consider each of the other matters set out in s 188 in determining whether an agreement has been genuinely agreed</w:t>
      </w:r>
      <w:r w:rsidR="00BD0B1C" w:rsidRPr="00167CB8">
        <w:t xml:space="preserve"> </w:t>
      </w:r>
      <w:r w:rsidRPr="00167CB8">
        <w:t>…</w:t>
      </w:r>
    </w:p>
    <w:p w14:paraId="7DBC0194" w14:textId="541F8505" w:rsidR="00173F8E" w:rsidRPr="00167CB8" w:rsidRDefault="000F1A02" w:rsidP="00173F8E">
      <w:pPr>
        <w:rPr>
          <w:rFonts w:eastAsia="Aptos" w:cs="Aptos"/>
        </w:rPr>
      </w:pPr>
      <w:r w:rsidRPr="00167CB8">
        <w:t xml:space="preserve">Third, in </w:t>
      </w:r>
      <w:r w:rsidR="00173F8E" w:rsidRPr="00167CB8">
        <w:rPr>
          <w:i/>
          <w:iCs/>
        </w:rPr>
        <w:t>Application by Geocon Constructors (ACT) Pty Ltd T/A Geocon</w:t>
      </w:r>
      <w:r w:rsidR="00173F8E" w:rsidRPr="00167CB8">
        <w:t xml:space="preserve"> (13 October 2023)</w:t>
      </w:r>
      <w:r w:rsidR="00173F8E" w:rsidRPr="00167CB8">
        <w:rPr>
          <w:rStyle w:val="FootnoteReference"/>
          <w:rFonts w:eastAsia="Aptos" w:cs="Aptos"/>
        </w:rPr>
        <w:footnoteReference w:id="592"/>
      </w:r>
      <w:r w:rsidR="00173F8E" w:rsidRPr="00167CB8">
        <w:rPr>
          <w:rFonts w:eastAsia="Aptos" w:cs="Aptos"/>
        </w:rPr>
        <w:t xml:space="preserve"> the FWC found that a single enterprise agreement proposed to cover Geocon and its employees had not been genuinely agreed to because Geocon did not provide a full copy of the final </w:t>
      </w:r>
      <w:r w:rsidR="00173F8E" w:rsidRPr="00167CB8">
        <w:rPr>
          <w:rFonts w:eastAsia="Aptos" w:cs="Aptos"/>
        </w:rPr>
        <w:lastRenderedPageBreak/>
        <w:t>agreement after changes had been made following negotiations and did not take reasonable steps to explain it to the employees before the voting date.</w:t>
      </w:r>
      <w:r w:rsidR="00173F8E" w:rsidRPr="00167CB8">
        <w:rPr>
          <w:rStyle w:val="FootnoteReference"/>
          <w:rFonts w:eastAsia="Aptos" w:cs="Aptos"/>
        </w:rPr>
        <w:footnoteReference w:id="593"/>
      </w:r>
      <w:r w:rsidR="00173F8E" w:rsidRPr="00167CB8">
        <w:rPr>
          <w:rFonts w:eastAsia="Aptos" w:cs="Aptos"/>
        </w:rPr>
        <w:t xml:space="preserve"> </w:t>
      </w:r>
    </w:p>
    <w:p w14:paraId="73156871" w14:textId="2D244BDA" w:rsidR="00173F8E" w:rsidRPr="00167CB8" w:rsidRDefault="00444EAB" w:rsidP="00173F8E">
      <w:pPr>
        <w:rPr>
          <w:rFonts w:eastAsia="Aptos" w:cs="Aptos"/>
        </w:rPr>
      </w:pPr>
      <w:r w:rsidRPr="00167CB8">
        <w:t xml:space="preserve">Fourth, in </w:t>
      </w:r>
      <w:r w:rsidR="00173F8E" w:rsidRPr="00167CB8">
        <w:rPr>
          <w:rFonts w:eastAsia="Aptos" w:cs="Aptos"/>
          <w:i/>
        </w:rPr>
        <w:t>AMWU v Sublime Infrastructure Pty Ltd and CEPU</w:t>
      </w:r>
      <w:r w:rsidR="00173F8E" w:rsidRPr="00167CB8" w:rsidDel="00060EFE">
        <w:rPr>
          <w:rFonts w:eastAsia="Aptos" w:cs="Aptos"/>
        </w:rPr>
        <w:t xml:space="preserve"> (14 November 2024)</w:t>
      </w:r>
      <w:r w:rsidR="00173F8E" w:rsidRPr="00167CB8">
        <w:rPr>
          <w:rStyle w:val="FootnoteReference"/>
          <w:rFonts w:eastAsia="Aptos" w:cs="Aptos"/>
        </w:rPr>
        <w:footnoteReference w:id="594"/>
      </w:r>
      <w:r w:rsidR="00173F8E" w:rsidRPr="00167CB8">
        <w:rPr>
          <w:rFonts w:eastAsia="Aptos" w:cs="Aptos"/>
          <w:i/>
        </w:rPr>
        <w:t xml:space="preserve"> </w:t>
      </w:r>
      <w:r w:rsidR="00173F8E" w:rsidRPr="00167CB8">
        <w:rPr>
          <w:rFonts w:eastAsia="Aptos" w:cs="Aptos"/>
        </w:rPr>
        <w:t>a Full Bench of the FWC issued a decision allowing AMWU’s appeal against an FWC single</w:t>
      </w:r>
      <w:r w:rsidR="00BD0B1C" w:rsidRPr="00167CB8">
        <w:rPr>
          <w:rFonts w:eastAsia="Aptos" w:cs="Aptos"/>
        </w:rPr>
        <w:t>-</w:t>
      </w:r>
      <w:r w:rsidR="00173F8E" w:rsidRPr="00167CB8">
        <w:rPr>
          <w:rFonts w:eastAsia="Aptos" w:cs="Aptos"/>
        </w:rPr>
        <w:t>member decision made on 18 June 2024 to approve an enterprise agreement covering a single employer, Sublime Infrastructure.</w:t>
      </w:r>
      <w:r w:rsidR="00ED4436" w:rsidRPr="00167CB8">
        <w:rPr>
          <w:rFonts w:eastAsia="Aptos" w:cs="Aptos"/>
        </w:rPr>
        <w:t xml:space="preserve"> In that decision, t</w:t>
      </w:r>
      <w:r w:rsidR="00173F8E" w:rsidRPr="00167CB8">
        <w:rPr>
          <w:rFonts w:eastAsia="Aptos" w:cs="Aptos"/>
        </w:rPr>
        <w:t xml:space="preserve">he Full Bench found that the agreement was not genuinely agreed to because bargaining was conducted so that voting was deliberately confined to </w:t>
      </w:r>
      <w:r w:rsidR="00BD0B1C" w:rsidRPr="00167CB8">
        <w:rPr>
          <w:rFonts w:eastAsia="Aptos" w:cs="Aptos"/>
        </w:rPr>
        <w:t xml:space="preserve">2 </w:t>
      </w:r>
      <w:r w:rsidR="00173F8E" w:rsidRPr="00167CB8">
        <w:rPr>
          <w:rFonts w:eastAsia="Aptos" w:cs="Aptos"/>
        </w:rPr>
        <w:t>employees despite the agreement applying to a wider group of employees.</w:t>
      </w:r>
      <w:r w:rsidR="00173F8E" w:rsidRPr="00167CB8">
        <w:rPr>
          <w:rStyle w:val="FootnoteReference"/>
          <w:rFonts w:eastAsia="Aptos" w:cs="Aptos"/>
        </w:rPr>
        <w:footnoteReference w:id="595"/>
      </w:r>
      <w:r w:rsidR="00173F8E" w:rsidRPr="00167CB8">
        <w:rPr>
          <w:rFonts w:eastAsia="Aptos" w:cs="Aptos"/>
        </w:rPr>
        <w:t xml:space="preserve"> The </w:t>
      </w:r>
      <w:r w:rsidR="00BD0B1C" w:rsidRPr="00167CB8">
        <w:rPr>
          <w:rFonts w:eastAsia="Aptos" w:cs="Aptos"/>
        </w:rPr>
        <w:t xml:space="preserve">2 </w:t>
      </w:r>
      <w:r w:rsidR="00173F8E" w:rsidRPr="00167CB8">
        <w:rPr>
          <w:rFonts w:eastAsia="Aptos" w:cs="Aptos"/>
        </w:rPr>
        <w:t>employees did not have sufficient interest in the terms of the proposed agreement</w:t>
      </w:r>
      <w:r w:rsidR="00173F8E" w:rsidRPr="00167CB8">
        <w:rPr>
          <w:rStyle w:val="FootnoteReference"/>
          <w:rFonts w:eastAsia="Aptos" w:cs="Aptos"/>
        </w:rPr>
        <w:footnoteReference w:id="596"/>
      </w:r>
      <w:r w:rsidR="00173F8E" w:rsidRPr="00167CB8">
        <w:rPr>
          <w:rFonts w:eastAsia="Aptos" w:cs="Aptos"/>
        </w:rPr>
        <w:t xml:space="preserve"> and were not ‘sufficiently representative of the employees to be covered by the [a]greement’.</w:t>
      </w:r>
      <w:r w:rsidR="00173F8E" w:rsidRPr="00167CB8">
        <w:rPr>
          <w:rStyle w:val="FootnoteReference"/>
          <w:rFonts w:eastAsia="Aptos" w:cs="Aptos"/>
        </w:rPr>
        <w:footnoteReference w:id="597"/>
      </w:r>
      <w:r w:rsidR="00173F8E" w:rsidRPr="00167CB8">
        <w:rPr>
          <w:rFonts w:eastAsia="Aptos" w:cs="Aptos"/>
        </w:rPr>
        <w:t xml:space="preserve"> Further, the Full Bench was not satisfied Sublime Infrastructure had taken all reasonable steps to explain the agreement to the </w:t>
      </w:r>
      <w:r w:rsidR="00BD0B1C" w:rsidRPr="00167CB8">
        <w:rPr>
          <w:rFonts w:eastAsia="Aptos" w:cs="Aptos"/>
        </w:rPr>
        <w:t xml:space="preserve">2 </w:t>
      </w:r>
      <w:r w:rsidR="00173F8E" w:rsidRPr="00167CB8">
        <w:rPr>
          <w:rFonts w:eastAsia="Aptos" w:cs="Aptos"/>
        </w:rPr>
        <w:t>employees.</w:t>
      </w:r>
      <w:r w:rsidR="00173F8E" w:rsidRPr="00167CB8">
        <w:rPr>
          <w:rStyle w:val="FootnoteReference"/>
          <w:rFonts w:eastAsia="Aptos" w:cs="Aptos"/>
        </w:rPr>
        <w:footnoteReference w:id="598"/>
      </w:r>
    </w:p>
    <w:p w14:paraId="1754B66F" w14:textId="69E2704B" w:rsidR="00173F8E" w:rsidRPr="00167CB8" w:rsidRDefault="006D0C76" w:rsidP="00173F8E">
      <w:pPr>
        <w:pStyle w:val="Heading5"/>
        <w:rPr>
          <w:rFonts w:asciiTheme="minorHAnsi" w:hAnsiTheme="minorHAnsi"/>
        </w:rPr>
      </w:pPr>
      <w:r w:rsidRPr="00167CB8">
        <w:rPr>
          <w:rFonts w:asciiTheme="minorHAnsi" w:hAnsiTheme="minorHAnsi"/>
        </w:rPr>
        <w:t>16</w:t>
      </w:r>
      <w:r w:rsidR="00173F8E" w:rsidRPr="00167CB8">
        <w:rPr>
          <w:rFonts w:asciiTheme="minorHAnsi" w:hAnsiTheme="minorHAnsi"/>
        </w:rPr>
        <w:t>.2.3 Stakeholder views</w:t>
      </w:r>
    </w:p>
    <w:p w14:paraId="27E76BB6" w14:textId="6998D3F6" w:rsidR="00173F8E" w:rsidRPr="00167CB8" w:rsidRDefault="00173F8E" w:rsidP="00173F8E">
      <w:pPr>
        <w:rPr>
          <w:rFonts w:cs="Calibri"/>
        </w:rPr>
      </w:pPr>
      <w:r w:rsidRPr="00167CB8">
        <w:rPr>
          <w:rFonts w:cs="Calibri"/>
        </w:rPr>
        <w:t>A range of views were raised in submissions and during roundtables concerning the impact of the amendments. The majority of submissions centred on ‘small cohort’ enterprise agreements. Whether the impacts on these agreements were perceived as positive depended on whether the stakeholder was a union or an employer group. Stakeholders also note</w:t>
      </w:r>
      <w:r w:rsidR="00BD0B1C" w:rsidRPr="00167CB8">
        <w:rPr>
          <w:rFonts w:cs="Calibri"/>
        </w:rPr>
        <w:t>d</w:t>
      </w:r>
      <w:r w:rsidRPr="00167CB8">
        <w:rPr>
          <w:rFonts w:cs="Calibri"/>
        </w:rPr>
        <w:t xml:space="preserve"> concerns about the Statement of Principles and the removal of the access period.</w:t>
      </w:r>
    </w:p>
    <w:p w14:paraId="741BDF1C" w14:textId="072F5F1F" w:rsidR="00173F8E" w:rsidRPr="00167CB8" w:rsidRDefault="00060EFE" w:rsidP="00173F8E">
      <w:pPr>
        <w:rPr>
          <w:rFonts w:cs="Calibri"/>
        </w:rPr>
      </w:pPr>
      <w:r w:rsidRPr="00167CB8">
        <w:rPr>
          <w:rFonts w:cs="Calibri"/>
        </w:rPr>
        <w:t>The Australian Resources &amp; Energy Employer Association (</w:t>
      </w:r>
      <w:r w:rsidR="00173F8E" w:rsidRPr="00167CB8">
        <w:rPr>
          <w:rFonts w:cs="Calibri"/>
        </w:rPr>
        <w:t>AREEA</w:t>
      </w:r>
      <w:r w:rsidRPr="00167CB8">
        <w:rPr>
          <w:rFonts w:cs="Calibri"/>
        </w:rPr>
        <w:t>)</w:t>
      </w:r>
      <w:r w:rsidR="00173F8E" w:rsidRPr="00167CB8">
        <w:rPr>
          <w:rFonts w:cs="Calibri"/>
        </w:rPr>
        <w:t xml:space="preserve"> raised concerns about how the FWC must consider whether the employees who voted on the agreement have a sufficient interest and are sufficiently representative of who the agreement intends to cover.</w:t>
      </w:r>
      <w:r w:rsidR="00173F8E" w:rsidRPr="00167CB8">
        <w:rPr>
          <w:rStyle w:val="FootnoteReference"/>
          <w:rFonts w:cs="Calibri"/>
        </w:rPr>
        <w:footnoteReference w:id="599"/>
      </w:r>
      <w:r w:rsidR="00173F8E" w:rsidRPr="00167CB8">
        <w:rPr>
          <w:rFonts w:cs="Calibri"/>
        </w:rPr>
        <w:t xml:space="preserve"> They note</w:t>
      </w:r>
      <w:r w:rsidR="00BD0B1C" w:rsidRPr="00167CB8">
        <w:rPr>
          <w:rFonts w:cs="Calibri"/>
        </w:rPr>
        <w:t>d</w:t>
      </w:r>
      <w:r w:rsidR="00173F8E" w:rsidRPr="00167CB8">
        <w:rPr>
          <w:rFonts w:cs="Calibri"/>
        </w:rPr>
        <w:t xml:space="preserve"> that</w:t>
      </w:r>
      <w:r w:rsidR="00BD0B1C" w:rsidRPr="00167CB8">
        <w:rPr>
          <w:rFonts w:cs="Calibri"/>
        </w:rPr>
        <w:t>,</w:t>
      </w:r>
      <w:r w:rsidR="00173F8E" w:rsidRPr="00167CB8">
        <w:rPr>
          <w:rFonts w:cs="Calibri"/>
        </w:rPr>
        <w:t xml:space="preserve"> while an enterprise agreement may only cover a small cohort</w:t>
      </w:r>
      <w:r w:rsidR="00BD0B1C" w:rsidRPr="00167CB8">
        <w:rPr>
          <w:rFonts w:cs="Calibri"/>
        </w:rPr>
        <w:t>,</w:t>
      </w:r>
      <w:r w:rsidR="00173F8E" w:rsidRPr="00167CB8">
        <w:rPr>
          <w:rFonts w:cs="Calibri"/>
        </w:rPr>
        <w:t xml:space="preserve"> this may be because ‘businesses are growing and need in-term EAs voted up in order to tender for future work’</w:t>
      </w:r>
      <w:r w:rsidR="00BD0B1C" w:rsidRPr="00167CB8">
        <w:rPr>
          <w:rFonts w:cs="Calibri"/>
        </w:rPr>
        <w:t>.</w:t>
      </w:r>
      <w:r w:rsidR="00173F8E" w:rsidRPr="00167CB8">
        <w:rPr>
          <w:rStyle w:val="FootnoteReference"/>
          <w:rFonts w:cs="Calibri"/>
        </w:rPr>
        <w:footnoteReference w:id="600"/>
      </w:r>
      <w:r w:rsidR="00173F8E" w:rsidRPr="00167CB8">
        <w:rPr>
          <w:rFonts w:cs="Calibri"/>
        </w:rPr>
        <w:t xml:space="preserve"> Ai Group raised similar concerns, stating that these kinds of agreements ‘are common in the construction industry because work on a project typically ramps-up over time. Also, the employees who are employed at the early stages of a construction project (e.g. employees engaged in earthworks) are not representative of all the types of employees who would be employed at later stages (e.g. employees involved in the fit-out)</w:t>
      </w:r>
      <w:r w:rsidR="00BD0B1C" w:rsidRPr="00167CB8">
        <w:rPr>
          <w:rFonts w:cs="Calibri"/>
        </w:rPr>
        <w:t>’</w:t>
      </w:r>
      <w:r w:rsidR="00173F8E" w:rsidRPr="00167CB8">
        <w:rPr>
          <w:rFonts w:cs="Calibri"/>
        </w:rPr>
        <w:t>.</w:t>
      </w:r>
      <w:r w:rsidR="00173F8E" w:rsidRPr="00167CB8">
        <w:rPr>
          <w:rStyle w:val="FootnoteReference"/>
          <w:rFonts w:cs="Calibri"/>
        </w:rPr>
        <w:footnoteReference w:id="601"/>
      </w:r>
    </w:p>
    <w:p w14:paraId="6C4B25A3" w14:textId="05432FEC" w:rsidR="00173F8E" w:rsidRPr="00167CB8" w:rsidRDefault="00173F8E" w:rsidP="00173F8E">
      <w:pPr>
        <w:rPr>
          <w:rFonts w:cs="Calibri"/>
        </w:rPr>
      </w:pPr>
      <w:r w:rsidRPr="00167CB8">
        <w:rPr>
          <w:rFonts w:cs="Calibri"/>
        </w:rPr>
        <w:t>However, AREEA acknowledge</w:t>
      </w:r>
      <w:r w:rsidR="00BD0B1C" w:rsidRPr="00167CB8">
        <w:rPr>
          <w:rFonts w:cs="Calibri"/>
        </w:rPr>
        <w:t>d</w:t>
      </w:r>
      <w:r w:rsidRPr="00167CB8">
        <w:rPr>
          <w:rFonts w:cs="Calibri"/>
        </w:rPr>
        <w:t xml:space="preserve"> that some sectors may have taken advantage of small cohort agreements</w:t>
      </w:r>
      <w:r w:rsidRPr="00167CB8">
        <w:rPr>
          <w:rStyle w:val="FootnoteReference"/>
          <w:rFonts w:cs="Calibri"/>
        </w:rPr>
        <w:footnoteReference w:id="602"/>
      </w:r>
      <w:r w:rsidRPr="00167CB8">
        <w:rPr>
          <w:rFonts w:cs="Calibri"/>
        </w:rPr>
        <w:t xml:space="preserve"> and that they ha</w:t>
      </w:r>
      <w:r w:rsidR="00BD0B1C" w:rsidRPr="00167CB8">
        <w:rPr>
          <w:rFonts w:cs="Calibri"/>
        </w:rPr>
        <w:t>d</w:t>
      </w:r>
      <w:r w:rsidRPr="00167CB8">
        <w:rPr>
          <w:rFonts w:cs="Calibri"/>
        </w:rPr>
        <w:t xml:space="preserve"> not noticed any of these matters ‘surface before the FWC in any substantial way’</w:t>
      </w:r>
      <w:r w:rsidR="00BD0B1C" w:rsidRPr="00167CB8">
        <w:rPr>
          <w:rFonts w:cs="Calibri"/>
        </w:rPr>
        <w:t>.</w:t>
      </w:r>
      <w:r w:rsidRPr="00167CB8">
        <w:rPr>
          <w:rStyle w:val="FootnoteReference"/>
          <w:rFonts w:cs="Calibri"/>
        </w:rPr>
        <w:footnoteReference w:id="603"/>
      </w:r>
    </w:p>
    <w:p w14:paraId="19EFD0C8" w14:textId="3ADC894E" w:rsidR="00173F8E" w:rsidRPr="00167CB8" w:rsidRDefault="00173F8E" w:rsidP="00173F8E">
      <w:pPr>
        <w:rPr>
          <w:rFonts w:cs="Calibri"/>
        </w:rPr>
      </w:pPr>
      <w:r w:rsidRPr="00167CB8">
        <w:rPr>
          <w:rFonts w:cs="Calibri"/>
        </w:rPr>
        <w:t xml:space="preserve">The </w:t>
      </w:r>
      <w:r w:rsidR="00060EFE" w:rsidRPr="00167CB8">
        <w:rPr>
          <w:rFonts w:cs="Calibri"/>
        </w:rPr>
        <w:t>Mining and Energy Union (</w:t>
      </w:r>
      <w:r w:rsidRPr="00167CB8">
        <w:rPr>
          <w:rFonts w:cs="Calibri"/>
        </w:rPr>
        <w:t>MEU</w:t>
      </w:r>
      <w:r w:rsidR="00060EFE" w:rsidRPr="00167CB8">
        <w:rPr>
          <w:rFonts w:cs="Calibri"/>
        </w:rPr>
        <w:t>)</w:t>
      </w:r>
      <w:r w:rsidRPr="00167CB8">
        <w:rPr>
          <w:rFonts w:cs="Calibri"/>
        </w:rPr>
        <w:t xml:space="preserve"> submit</w:t>
      </w:r>
      <w:r w:rsidR="00BD0B1C" w:rsidRPr="00167CB8">
        <w:rPr>
          <w:rFonts w:cs="Calibri"/>
        </w:rPr>
        <w:t>ted</w:t>
      </w:r>
      <w:r w:rsidRPr="00167CB8">
        <w:rPr>
          <w:rFonts w:cs="Calibri"/>
        </w:rPr>
        <w:t xml:space="preserve"> that</w:t>
      </w:r>
      <w:r w:rsidR="00BD0B1C" w:rsidRPr="00167CB8">
        <w:rPr>
          <w:rFonts w:cs="Calibri"/>
        </w:rPr>
        <w:t>,</w:t>
      </w:r>
      <w:r w:rsidRPr="00167CB8">
        <w:rPr>
          <w:rFonts w:cs="Calibri"/>
        </w:rPr>
        <w:t xml:space="preserve"> prior to the</w:t>
      </w:r>
      <w:r w:rsidRPr="00167CB8" w:rsidDel="00843210">
        <w:rPr>
          <w:rFonts w:cs="Calibri"/>
        </w:rPr>
        <w:t xml:space="preserve"> </w:t>
      </w:r>
      <w:r w:rsidRPr="00167CB8">
        <w:rPr>
          <w:rFonts w:cs="Calibri"/>
        </w:rPr>
        <w:t>Secure Jobs, Better Pay Act, common practice of ‘employers in the coal mining industry was to seek approval of an enterprise agreement made with a small number of carefully selected employees without any real bargaining</w:t>
      </w:r>
      <w:r w:rsidR="00BD0B1C" w:rsidRPr="00167CB8">
        <w:rPr>
          <w:rFonts w:cs="Calibri"/>
        </w:rPr>
        <w:t xml:space="preserve"> </w:t>
      </w:r>
      <w:r w:rsidRPr="00167CB8">
        <w:rPr>
          <w:rFonts w:cs="Calibri"/>
        </w:rPr>
        <w:t xml:space="preserve">… [who] typically had </w:t>
      </w:r>
      <w:r w:rsidR="00BD0B1C" w:rsidRPr="00167CB8">
        <w:rPr>
          <w:rFonts w:cs="Calibri"/>
        </w:rPr>
        <w:t>“</w:t>
      </w:r>
      <w:r w:rsidRPr="00167CB8">
        <w:rPr>
          <w:rFonts w:cs="Calibri"/>
        </w:rPr>
        <w:t>no stake</w:t>
      </w:r>
      <w:r w:rsidR="00BD0B1C" w:rsidRPr="00167CB8">
        <w:rPr>
          <w:rFonts w:cs="Calibri"/>
        </w:rPr>
        <w:t>”</w:t>
      </w:r>
      <w:r w:rsidRPr="00167CB8">
        <w:rPr>
          <w:rFonts w:cs="Calibri"/>
        </w:rPr>
        <w:t xml:space="preserve"> in the enterprise agreement </w:t>
      </w:r>
      <w:r w:rsidR="00BD0B1C" w:rsidRPr="00167CB8">
        <w:rPr>
          <w:rFonts w:ascii="Symbol" w:eastAsia="Symbol" w:hAnsi="Symbol" w:cs="Symbol"/>
        </w:rPr>
        <w:sym w:font="Symbol" w:char="F02D"/>
      </w:r>
      <w:r w:rsidRPr="00167CB8">
        <w:rPr>
          <w:rFonts w:cs="Calibri"/>
        </w:rPr>
        <w:t xml:space="preserve"> they were </w:t>
      </w:r>
      <w:r w:rsidRPr="00167CB8">
        <w:rPr>
          <w:rFonts w:cs="Calibri"/>
        </w:rPr>
        <w:lastRenderedPageBreak/>
        <w:t>provided with guaranteed wages and conditions in excess of the wages and conditions in the enterprise agreement that they had purportedly bargained</w:t>
      </w:r>
      <w:r w:rsidR="00BD0B1C" w:rsidRPr="00167CB8">
        <w:rPr>
          <w:rFonts w:cs="Calibri"/>
        </w:rPr>
        <w:t>’</w:t>
      </w:r>
      <w:r w:rsidRPr="00167CB8">
        <w:rPr>
          <w:rFonts w:cs="Calibri"/>
        </w:rPr>
        <w:t>.</w:t>
      </w:r>
      <w:r w:rsidRPr="00167CB8">
        <w:rPr>
          <w:rStyle w:val="FootnoteReference"/>
          <w:rFonts w:cs="Calibri"/>
        </w:rPr>
        <w:footnoteReference w:id="604"/>
      </w:r>
      <w:r w:rsidRPr="00167CB8">
        <w:rPr>
          <w:rFonts w:cs="Calibri"/>
        </w:rPr>
        <w:t xml:space="preserve"> The MEU state</w:t>
      </w:r>
      <w:r w:rsidR="00BD0B1C" w:rsidRPr="00167CB8">
        <w:rPr>
          <w:rFonts w:cs="Calibri"/>
        </w:rPr>
        <w:t>d</w:t>
      </w:r>
      <w:r w:rsidRPr="00167CB8">
        <w:rPr>
          <w:rFonts w:cs="Calibri"/>
        </w:rPr>
        <w:t xml:space="preserve"> that</w:t>
      </w:r>
      <w:r w:rsidR="00BD0B1C" w:rsidRPr="00167CB8">
        <w:rPr>
          <w:rFonts w:cs="Calibri"/>
        </w:rPr>
        <w:t>,</w:t>
      </w:r>
      <w:r w:rsidRPr="00167CB8">
        <w:rPr>
          <w:rFonts w:cs="Calibri"/>
        </w:rPr>
        <w:t xml:space="preserve"> following the Secure Jobs, Better Pay amendments that require the employees voting on an agreement to be sufficiently representative, ‘there has been very few, if any, inauthentic small cohort agreements made</w:t>
      </w:r>
      <w:r w:rsidR="00BD0B1C" w:rsidRPr="00167CB8">
        <w:rPr>
          <w:rFonts w:cs="Calibri"/>
        </w:rPr>
        <w:t>’</w:t>
      </w:r>
      <w:r w:rsidRPr="00167CB8">
        <w:rPr>
          <w:rFonts w:cs="Calibri"/>
        </w:rPr>
        <w:t>.</w:t>
      </w:r>
      <w:r w:rsidRPr="00167CB8">
        <w:rPr>
          <w:rStyle w:val="FootnoteReference"/>
          <w:rFonts w:cs="Calibri"/>
        </w:rPr>
        <w:footnoteReference w:id="605"/>
      </w:r>
    </w:p>
    <w:p w14:paraId="20295828" w14:textId="35AF801C" w:rsidR="00173F8E" w:rsidRPr="00167CB8" w:rsidRDefault="00173F8E" w:rsidP="00173F8E">
      <w:pPr>
        <w:rPr>
          <w:rFonts w:cs="Calibri"/>
        </w:rPr>
      </w:pPr>
      <w:r w:rsidRPr="00167CB8">
        <w:rPr>
          <w:rFonts w:cs="Calibri"/>
        </w:rPr>
        <w:t xml:space="preserve">Similarly, the </w:t>
      </w:r>
      <w:r w:rsidR="00060EFE" w:rsidRPr="00167CB8">
        <w:rPr>
          <w:rFonts w:cs="Calibri"/>
        </w:rPr>
        <w:t>Australian Workers’ Union (</w:t>
      </w:r>
      <w:r w:rsidRPr="00167CB8">
        <w:rPr>
          <w:rFonts w:cs="Calibri"/>
        </w:rPr>
        <w:t>AWU</w:t>
      </w:r>
      <w:r w:rsidR="00060EFE" w:rsidRPr="00167CB8">
        <w:rPr>
          <w:rFonts w:cs="Calibri"/>
        </w:rPr>
        <w:t>)</w:t>
      </w:r>
      <w:r w:rsidRPr="00167CB8">
        <w:rPr>
          <w:rFonts w:cs="Calibri"/>
        </w:rPr>
        <w:t xml:space="preserve"> note</w:t>
      </w:r>
      <w:r w:rsidR="00BD0B1C" w:rsidRPr="00167CB8">
        <w:rPr>
          <w:rFonts w:cs="Calibri"/>
        </w:rPr>
        <w:t>d</w:t>
      </w:r>
      <w:r w:rsidRPr="00167CB8">
        <w:rPr>
          <w:rFonts w:cs="Calibri"/>
        </w:rPr>
        <w:t xml:space="preserve"> that</w:t>
      </w:r>
      <w:r w:rsidR="00BD0B1C" w:rsidRPr="00167CB8">
        <w:rPr>
          <w:rFonts w:cs="Calibri"/>
        </w:rPr>
        <w:t>,</w:t>
      </w:r>
      <w:r w:rsidRPr="00167CB8">
        <w:rPr>
          <w:rFonts w:cs="Calibri"/>
        </w:rPr>
        <w:t xml:space="preserve"> in the past, they have had to challenge small cohort agreements based on pre-approval steps not being met but now they are hopeful that ‘the Statement of Principles can prevent what was possible under the previous scheme’.</w:t>
      </w:r>
      <w:r w:rsidRPr="00167CB8">
        <w:rPr>
          <w:rStyle w:val="FootnoteReference"/>
          <w:rFonts w:cs="Calibri"/>
        </w:rPr>
        <w:footnoteReference w:id="606"/>
      </w:r>
    </w:p>
    <w:p w14:paraId="6D27C5A7" w14:textId="3A6BD3F1" w:rsidR="00173F8E" w:rsidRPr="00167CB8" w:rsidRDefault="00173F8E" w:rsidP="00173F8E">
      <w:pPr>
        <w:rPr>
          <w:rFonts w:cs="Calibri"/>
        </w:rPr>
      </w:pPr>
      <w:r w:rsidRPr="00167CB8">
        <w:rPr>
          <w:rFonts w:cs="Calibri"/>
        </w:rPr>
        <w:t xml:space="preserve">Several stakeholders (e.g. </w:t>
      </w:r>
      <w:r w:rsidR="00060EFE" w:rsidRPr="00167CB8">
        <w:rPr>
          <w:rFonts w:cs="Calibri"/>
        </w:rPr>
        <w:t>Australian Retailers Association</w:t>
      </w:r>
      <w:r w:rsidRPr="00167CB8">
        <w:rPr>
          <w:rFonts w:cs="Calibri"/>
        </w:rPr>
        <w:t xml:space="preserve">, </w:t>
      </w:r>
      <w:r w:rsidR="00060EFE" w:rsidRPr="00167CB8">
        <w:rPr>
          <w:rFonts w:cs="Calibri"/>
        </w:rPr>
        <w:t xml:space="preserve">the Community and Public Sector Union </w:t>
      </w:r>
      <w:r w:rsidRPr="00167CB8">
        <w:rPr>
          <w:rFonts w:cs="Calibri"/>
        </w:rPr>
        <w:t xml:space="preserve">and the </w:t>
      </w:r>
      <w:r w:rsidR="00060EFE" w:rsidRPr="00167CB8">
        <w:rPr>
          <w:rFonts w:cs="Calibri"/>
        </w:rPr>
        <w:t>United Workers Union (</w:t>
      </w:r>
      <w:r w:rsidRPr="00167CB8">
        <w:rPr>
          <w:rFonts w:cs="Calibri"/>
        </w:rPr>
        <w:t>UWU</w:t>
      </w:r>
      <w:r w:rsidR="00060EFE" w:rsidRPr="00167CB8">
        <w:rPr>
          <w:rFonts w:cs="Calibri"/>
        </w:rPr>
        <w:t>)</w:t>
      </w:r>
      <w:r w:rsidRPr="00167CB8">
        <w:rPr>
          <w:rFonts w:cs="Calibri"/>
        </w:rPr>
        <w:t>) submit</w:t>
      </w:r>
      <w:r w:rsidR="00BD0B1C" w:rsidRPr="00167CB8">
        <w:rPr>
          <w:rFonts w:cs="Calibri"/>
        </w:rPr>
        <w:t>ted</w:t>
      </w:r>
      <w:r w:rsidRPr="00167CB8">
        <w:rPr>
          <w:rFonts w:cs="Calibri"/>
        </w:rPr>
        <w:t xml:space="preserve"> that the Statement of Principles has led to ‘a more positive experience’</w:t>
      </w:r>
      <w:r w:rsidRPr="00167CB8">
        <w:rPr>
          <w:rStyle w:val="FootnoteReference"/>
          <w:rFonts w:cs="Calibri"/>
        </w:rPr>
        <w:footnoteReference w:id="607"/>
      </w:r>
      <w:r w:rsidRPr="00167CB8">
        <w:rPr>
          <w:rFonts w:cs="Calibri"/>
        </w:rPr>
        <w:t xml:space="preserve"> and success in ‘streamlining of approval processes’.</w:t>
      </w:r>
      <w:r w:rsidRPr="00167CB8">
        <w:rPr>
          <w:rStyle w:val="FootnoteReference"/>
          <w:rFonts w:cs="Calibri"/>
        </w:rPr>
        <w:footnoteReference w:id="608"/>
      </w:r>
      <w:r w:rsidRPr="00167CB8">
        <w:rPr>
          <w:rFonts w:cs="Calibri"/>
        </w:rPr>
        <w:t xml:space="preserve"> The UWU submit</w:t>
      </w:r>
      <w:r w:rsidR="00BD0B1C" w:rsidRPr="00167CB8">
        <w:rPr>
          <w:rFonts w:cs="Calibri"/>
        </w:rPr>
        <w:t>ted</w:t>
      </w:r>
      <w:r w:rsidRPr="00167CB8">
        <w:rPr>
          <w:rFonts w:cs="Calibri"/>
        </w:rPr>
        <w:t xml:space="preserve"> there has been ‘a significant fall in work and hearings on technical non-compliance of pre-approval steps and [it] is a change that UWU believes has been favourable</w:t>
      </w:r>
      <w:r w:rsidR="00BD0B1C" w:rsidRPr="00167CB8">
        <w:rPr>
          <w:rFonts w:cs="Calibri"/>
        </w:rPr>
        <w:t>’</w:t>
      </w:r>
      <w:r w:rsidRPr="00167CB8">
        <w:rPr>
          <w:rFonts w:cs="Calibri"/>
        </w:rPr>
        <w:t>.</w:t>
      </w:r>
      <w:r w:rsidRPr="00167CB8">
        <w:rPr>
          <w:rStyle w:val="FootnoteReference"/>
          <w:rFonts w:cs="Calibri"/>
        </w:rPr>
        <w:footnoteReference w:id="609"/>
      </w:r>
    </w:p>
    <w:p w14:paraId="29D690AE" w14:textId="6C0448E8" w:rsidR="00173F8E" w:rsidRPr="00167CB8" w:rsidRDefault="00060EFE" w:rsidP="00173F8E">
      <w:pPr>
        <w:rPr>
          <w:rFonts w:cs="Calibri"/>
        </w:rPr>
      </w:pPr>
      <w:r w:rsidRPr="00167CB8">
        <w:rPr>
          <w:rFonts w:cs="Calibri"/>
        </w:rPr>
        <w:t xml:space="preserve">The Australian Chamber of Commerce and Industry </w:t>
      </w:r>
      <w:r w:rsidR="00173F8E" w:rsidRPr="00167CB8">
        <w:rPr>
          <w:rFonts w:cs="Calibri"/>
        </w:rPr>
        <w:t>submit</w:t>
      </w:r>
      <w:r w:rsidR="00BD0B1C" w:rsidRPr="00167CB8">
        <w:rPr>
          <w:rFonts w:cs="Calibri"/>
        </w:rPr>
        <w:t>ted</w:t>
      </w:r>
      <w:r w:rsidR="00173F8E" w:rsidRPr="00167CB8">
        <w:rPr>
          <w:rFonts w:cs="Calibri"/>
        </w:rPr>
        <w:t xml:space="preserve"> </w:t>
      </w:r>
      <w:r w:rsidR="00BD0B1C" w:rsidRPr="00167CB8">
        <w:rPr>
          <w:rFonts w:cs="Calibri"/>
        </w:rPr>
        <w:t xml:space="preserve">that </w:t>
      </w:r>
      <w:r w:rsidR="00173F8E" w:rsidRPr="00167CB8">
        <w:rPr>
          <w:rFonts w:cs="Calibri"/>
        </w:rPr>
        <w:t>‘in addition to having to understand the complexities of the entire bargaining process, employers must now familiarise themselves and comply with this document’ and ‘this has resulted in additional effort and complexity for employers, without actual simplification of the process</w:t>
      </w:r>
      <w:r w:rsidR="00BD0B1C" w:rsidRPr="00167CB8">
        <w:rPr>
          <w:rFonts w:cs="Calibri"/>
        </w:rPr>
        <w:t>’</w:t>
      </w:r>
      <w:r w:rsidR="00173F8E" w:rsidRPr="00167CB8">
        <w:rPr>
          <w:rFonts w:cs="Calibri"/>
        </w:rPr>
        <w:t>.</w:t>
      </w:r>
      <w:r w:rsidR="00173F8E" w:rsidRPr="00167CB8">
        <w:rPr>
          <w:rStyle w:val="FootnoteReference"/>
          <w:rFonts w:cs="Calibri"/>
        </w:rPr>
        <w:footnoteReference w:id="610"/>
      </w:r>
      <w:r w:rsidR="00173F8E" w:rsidRPr="00167CB8">
        <w:rPr>
          <w:rFonts w:cs="Calibri"/>
        </w:rPr>
        <w:t xml:space="preserve"> A similar view </w:t>
      </w:r>
      <w:r w:rsidR="00BD0B1C" w:rsidRPr="00167CB8">
        <w:rPr>
          <w:rFonts w:cs="Calibri"/>
        </w:rPr>
        <w:t xml:space="preserve">was </w:t>
      </w:r>
      <w:r w:rsidR="00173F8E" w:rsidRPr="00167CB8">
        <w:rPr>
          <w:rFonts w:cs="Calibri"/>
        </w:rPr>
        <w:t>expressed by Master Electricians Australia</w:t>
      </w:r>
      <w:r w:rsidR="00BD0B1C" w:rsidRPr="00167CB8">
        <w:rPr>
          <w:rFonts w:cs="Calibri"/>
        </w:rPr>
        <w:t>,</w:t>
      </w:r>
      <w:r w:rsidR="00173F8E" w:rsidRPr="00167CB8">
        <w:rPr>
          <w:rFonts w:cs="Calibri"/>
        </w:rPr>
        <w:t xml:space="preserve"> </w:t>
      </w:r>
      <w:r w:rsidR="00BD0B1C" w:rsidRPr="00167CB8">
        <w:rPr>
          <w:rFonts w:cs="Calibri"/>
        </w:rPr>
        <w:t xml:space="preserve">which </w:t>
      </w:r>
      <w:r w:rsidR="00173F8E" w:rsidRPr="00167CB8">
        <w:rPr>
          <w:rFonts w:cs="Calibri"/>
        </w:rPr>
        <w:t>submit</w:t>
      </w:r>
      <w:r w:rsidR="00BD0B1C" w:rsidRPr="00167CB8">
        <w:rPr>
          <w:rFonts w:cs="Calibri"/>
        </w:rPr>
        <w:t>ted</w:t>
      </w:r>
      <w:r w:rsidR="00173F8E" w:rsidRPr="00167CB8">
        <w:rPr>
          <w:rFonts w:cs="Calibri"/>
        </w:rPr>
        <w:t xml:space="preserve"> that ‘[b]argaining under single interest has become more administrative and less streamlined since the enactment of the Statements of Principle (SOPs) when determining </w:t>
      </w:r>
      <w:r w:rsidR="00BD0B1C" w:rsidRPr="00167CB8">
        <w:rPr>
          <w:rFonts w:cs="Calibri"/>
        </w:rPr>
        <w:t>“</w:t>
      </w:r>
      <w:r w:rsidR="00173F8E" w:rsidRPr="00167CB8">
        <w:rPr>
          <w:rFonts w:cs="Calibri"/>
        </w:rPr>
        <w:t>genuine agreement</w:t>
      </w:r>
      <w:r w:rsidR="00BD0B1C" w:rsidRPr="00167CB8">
        <w:rPr>
          <w:rFonts w:cs="Calibri"/>
        </w:rPr>
        <w:t>”’</w:t>
      </w:r>
      <w:r w:rsidR="00173F8E" w:rsidRPr="00167CB8">
        <w:rPr>
          <w:rFonts w:cs="Calibri"/>
        </w:rPr>
        <w:t>.</w:t>
      </w:r>
      <w:r w:rsidR="00173F8E" w:rsidRPr="00167CB8">
        <w:rPr>
          <w:rStyle w:val="FootnoteReference"/>
          <w:rFonts w:cs="Calibri"/>
        </w:rPr>
        <w:footnoteReference w:id="611"/>
      </w:r>
    </w:p>
    <w:p w14:paraId="2779242D" w14:textId="41FF4F6A" w:rsidR="00173F8E" w:rsidRPr="00167CB8" w:rsidRDefault="00060EFE" w:rsidP="00173F8E">
      <w:pPr>
        <w:rPr>
          <w:rFonts w:cs="Calibri"/>
        </w:rPr>
      </w:pPr>
      <w:r w:rsidRPr="00167CB8">
        <w:t xml:space="preserve">Master Builders Australia </w:t>
      </w:r>
      <w:r w:rsidR="00173F8E" w:rsidRPr="00167CB8">
        <w:rPr>
          <w:rFonts w:cs="Calibri"/>
        </w:rPr>
        <w:t>assert</w:t>
      </w:r>
      <w:r w:rsidR="00BD0B1C" w:rsidRPr="00167CB8">
        <w:rPr>
          <w:rFonts w:cs="Calibri"/>
        </w:rPr>
        <w:t>ed</w:t>
      </w:r>
      <w:r w:rsidR="00173F8E" w:rsidRPr="00167CB8">
        <w:rPr>
          <w:rFonts w:cs="Calibri"/>
        </w:rPr>
        <w:t xml:space="preserve"> that the Statement of Principles has resulted in ‘non-union agreements [being] automatically scrutinised far more stringently when compared to agreements to which unions are a party</w:t>
      </w:r>
      <w:r w:rsidR="00BD0B1C" w:rsidRPr="00167CB8">
        <w:rPr>
          <w:rFonts w:cs="Calibri"/>
        </w:rPr>
        <w:t>’</w:t>
      </w:r>
      <w:r w:rsidR="00173F8E" w:rsidRPr="00167CB8">
        <w:rPr>
          <w:rFonts w:cs="Calibri"/>
        </w:rPr>
        <w:t>.</w:t>
      </w:r>
      <w:r w:rsidR="00173F8E" w:rsidRPr="00167CB8">
        <w:rPr>
          <w:rStyle w:val="FootnoteReference"/>
          <w:rFonts w:cs="Calibri"/>
        </w:rPr>
        <w:footnoteReference w:id="612"/>
      </w:r>
    </w:p>
    <w:p w14:paraId="6D6D9854" w14:textId="07402249" w:rsidR="00173F8E" w:rsidRPr="00167CB8" w:rsidRDefault="00173F8E" w:rsidP="00173F8E">
      <w:pPr>
        <w:rPr>
          <w:rFonts w:cs="Calibri"/>
        </w:rPr>
      </w:pPr>
      <w:r w:rsidRPr="00167CB8">
        <w:rPr>
          <w:rFonts w:cs="Calibri"/>
        </w:rPr>
        <w:t xml:space="preserve">The </w:t>
      </w:r>
      <w:r w:rsidR="00060EFE" w:rsidRPr="00167CB8">
        <w:rPr>
          <w:rFonts w:cs="Calibri"/>
        </w:rPr>
        <w:t>Australian Council of Trade Unions (</w:t>
      </w:r>
      <w:r w:rsidRPr="00167CB8">
        <w:rPr>
          <w:rFonts w:cs="Calibri"/>
        </w:rPr>
        <w:t>ACTU</w:t>
      </w:r>
      <w:r w:rsidR="00060EFE" w:rsidRPr="00167CB8">
        <w:rPr>
          <w:rFonts w:cs="Calibri"/>
        </w:rPr>
        <w:t>)</w:t>
      </w:r>
      <w:r w:rsidRPr="00167CB8">
        <w:rPr>
          <w:rFonts w:cs="Calibri"/>
        </w:rPr>
        <w:t xml:space="preserve"> expressed concern that at paragraph 6 in the FWC ‘Statement of Principles on Genuine Agreement’ Instrument, the ‘reasonable time period’ (i.e. the access period) is set at ‘at least 7 full calendar days’</w:t>
      </w:r>
      <w:r w:rsidR="00BD0B1C" w:rsidRPr="00167CB8">
        <w:rPr>
          <w:rFonts w:cs="Calibri"/>
        </w:rPr>
        <w:t>,</w:t>
      </w:r>
      <w:r w:rsidRPr="00167CB8">
        <w:rPr>
          <w:rFonts w:cs="Calibri"/>
        </w:rPr>
        <w:t xml:space="preserve"> and </w:t>
      </w:r>
      <w:r w:rsidR="00BD0B1C" w:rsidRPr="00167CB8">
        <w:rPr>
          <w:rFonts w:cs="Calibri"/>
        </w:rPr>
        <w:t xml:space="preserve">it has </w:t>
      </w:r>
      <w:r w:rsidRPr="00167CB8">
        <w:rPr>
          <w:rFonts w:cs="Calibri"/>
        </w:rPr>
        <w:t xml:space="preserve">requested that this be increased to at least 14 full calendar days. </w:t>
      </w:r>
      <w:r w:rsidR="00BD0B1C" w:rsidRPr="00167CB8">
        <w:rPr>
          <w:rFonts w:cs="Calibri"/>
        </w:rPr>
        <w:t xml:space="preserve">It </w:t>
      </w:r>
      <w:r w:rsidRPr="00167CB8">
        <w:rPr>
          <w:rFonts w:cs="Calibri"/>
        </w:rPr>
        <w:t>argue</w:t>
      </w:r>
      <w:r w:rsidR="00BD0B1C" w:rsidRPr="00167CB8">
        <w:rPr>
          <w:rFonts w:cs="Calibri"/>
        </w:rPr>
        <w:t>d</w:t>
      </w:r>
      <w:r w:rsidRPr="00167CB8">
        <w:rPr>
          <w:rFonts w:cs="Calibri"/>
        </w:rPr>
        <w:t xml:space="preserve"> that the 7 full calendar day access period </w:t>
      </w:r>
      <w:r w:rsidR="00BD0B1C" w:rsidRPr="00167CB8">
        <w:rPr>
          <w:rFonts w:cs="Calibri"/>
        </w:rPr>
        <w:t>‘</w:t>
      </w:r>
      <w:r w:rsidRPr="00167CB8">
        <w:rPr>
          <w:rFonts w:cs="Calibri"/>
        </w:rPr>
        <w:t>may not be long enough, especially in workplaces with multiple shift patterns or workers from culturally and linguistically diverse backgrounds where more steps may be required to speak to their union and consider a proposed agreement</w:t>
      </w:r>
      <w:r w:rsidR="00BD0B1C" w:rsidRPr="00167CB8">
        <w:rPr>
          <w:rFonts w:cs="Calibri"/>
        </w:rPr>
        <w:t>’</w:t>
      </w:r>
      <w:r w:rsidRPr="00167CB8">
        <w:rPr>
          <w:rFonts w:cs="Calibri"/>
        </w:rPr>
        <w:t>.</w:t>
      </w:r>
      <w:r w:rsidRPr="00167CB8">
        <w:rPr>
          <w:rStyle w:val="FootnoteReference"/>
          <w:rFonts w:cs="Calibri"/>
        </w:rPr>
        <w:footnoteReference w:id="613"/>
      </w:r>
    </w:p>
    <w:p w14:paraId="2079C162" w14:textId="5AB38075" w:rsidR="00173F8E" w:rsidRPr="00167CB8" w:rsidRDefault="006D0C76" w:rsidP="00173F8E">
      <w:pPr>
        <w:pStyle w:val="Heading4"/>
        <w:rPr>
          <w:rFonts w:asciiTheme="minorHAnsi" w:hAnsiTheme="minorHAnsi"/>
        </w:rPr>
      </w:pPr>
      <w:bookmarkStart w:id="221" w:name="_Toc189260253"/>
      <w:bookmarkStart w:id="222" w:name="_Toc189393569"/>
      <w:r w:rsidRPr="00167CB8">
        <w:rPr>
          <w:rFonts w:asciiTheme="minorHAnsi" w:hAnsiTheme="minorHAnsi"/>
        </w:rPr>
        <w:t>16</w:t>
      </w:r>
      <w:r w:rsidR="00173F8E" w:rsidRPr="00167CB8">
        <w:rPr>
          <w:rFonts w:asciiTheme="minorHAnsi" w:hAnsiTheme="minorHAnsi"/>
        </w:rPr>
        <w:t xml:space="preserve">.3 Findings and </w:t>
      </w:r>
      <w:r w:rsidR="00BD0B1C" w:rsidRPr="00167CB8">
        <w:rPr>
          <w:rFonts w:asciiTheme="minorHAnsi" w:hAnsiTheme="minorHAnsi"/>
        </w:rPr>
        <w:t>r</w:t>
      </w:r>
      <w:r w:rsidR="00173F8E" w:rsidRPr="00167CB8">
        <w:rPr>
          <w:rFonts w:asciiTheme="minorHAnsi" w:hAnsiTheme="minorHAnsi"/>
        </w:rPr>
        <w:t>ecommendations</w:t>
      </w:r>
      <w:bookmarkEnd w:id="221"/>
      <w:bookmarkEnd w:id="222"/>
    </w:p>
    <w:p w14:paraId="79FC919B" w14:textId="6CB90BC1" w:rsidR="00173F8E" w:rsidRPr="00167CB8" w:rsidRDefault="00173F8E" w:rsidP="00173F8E">
      <w:pPr>
        <w:rPr>
          <w:rFonts w:cs="Calibri"/>
        </w:rPr>
      </w:pPr>
      <w:r w:rsidRPr="00167CB8">
        <w:rPr>
          <w:rFonts w:cs="Calibri"/>
        </w:rPr>
        <w:t xml:space="preserve">The prime intent of the ‘enterprise agreement approval’ reforms is to simplify the process for agreement making and ensure that there is genuine agreement. The Review Panel is satisfied </w:t>
      </w:r>
      <w:r w:rsidRPr="00167CB8">
        <w:rPr>
          <w:rFonts w:cs="Calibri"/>
        </w:rPr>
        <w:lastRenderedPageBreak/>
        <w:t xml:space="preserve">that the reforms are having their intended effect. Although evidence would appear to suggest </w:t>
      </w:r>
      <w:r w:rsidR="00542EF8" w:rsidRPr="00167CB8">
        <w:rPr>
          <w:rFonts w:cs="Calibri"/>
        </w:rPr>
        <w:t xml:space="preserve">little </w:t>
      </w:r>
      <w:r w:rsidRPr="00167CB8">
        <w:rPr>
          <w:rFonts w:cs="Calibri"/>
        </w:rPr>
        <w:t>growth in the number of agreements approved since June 2023, data does show that there has been a significant growth in the number of employees covered.</w:t>
      </w:r>
    </w:p>
    <w:p w14:paraId="52416A3E" w14:textId="07F1E62E" w:rsidR="003F1493" w:rsidRPr="00167CB8" w:rsidRDefault="00173F8E" w:rsidP="00173F8E">
      <w:pPr>
        <w:rPr>
          <w:rFonts w:cs="Calibri"/>
        </w:rPr>
      </w:pPr>
      <w:r w:rsidRPr="00167CB8">
        <w:rPr>
          <w:rFonts w:cs="Calibri"/>
        </w:rPr>
        <w:t xml:space="preserve">Some stakeholders did submit that the Statement of Principles </w:t>
      </w:r>
      <w:r w:rsidR="001C1013">
        <w:rPr>
          <w:rFonts w:cs="Calibri"/>
        </w:rPr>
        <w:t>is</w:t>
      </w:r>
      <w:r w:rsidR="001C1013" w:rsidRPr="00167CB8">
        <w:rPr>
          <w:rFonts w:cs="Calibri"/>
        </w:rPr>
        <w:t xml:space="preserve"> </w:t>
      </w:r>
      <w:r w:rsidRPr="00167CB8">
        <w:rPr>
          <w:rFonts w:cs="Calibri"/>
        </w:rPr>
        <w:t>a source of some confusion, ha</w:t>
      </w:r>
      <w:r w:rsidR="00FC5B75">
        <w:rPr>
          <w:rFonts w:cs="Calibri"/>
        </w:rPr>
        <w:t>s</w:t>
      </w:r>
      <w:r w:rsidRPr="00167CB8">
        <w:rPr>
          <w:rFonts w:cs="Calibri"/>
        </w:rPr>
        <w:t xml:space="preserve"> not simplified the process and in some cases </w:t>
      </w:r>
      <w:r w:rsidR="00BD0B1C" w:rsidRPr="00167CB8">
        <w:rPr>
          <w:rFonts w:cs="Calibri"/>
        </w:rPr>
        <w:t>ha</w:t>
      </w:r>
      <w:r w:rsidR="00FC5B75">
        <w:rPr>
          <w:rFonts w:cs="Calibri"/>
        </w:rPr>
        <w:t>s</w:t>
      </w:r>
      <w:r w:rsidR="00BD0B1C" w:rsidRPr="00167CB8">
        <w:rPr>
          <w:rFonts w:cs="Calibri"/>
        </w:rPr>
        <w:t xml:space="preserve"> </w:t>
      </w:r>
      <w:r w:rsidRPr="00167CB8">
        <w:rPr>
          <w:rFonts w:cs="Calibri"/>
        </w:rPr>
        <w:t>increased scrutiny. The Review Panel notes that other stakeholders have welcomed the Statement of Principles. The Review Panel understands that the FWC has established an ‘Enterprise Agreements and Bargaining Advisory Group’</w:t>
      </w:r>
      <w:r w:rsidR="009D0FDF" w:rsidRPr="00167CB8">
        <w:rPr>
          <w:rFonts w:cs="Calibri"/>
        </w:rPr>
        <w:t>,</w:t>
      </w:r>
      <w:r w:rsidRPr="00167CB8">
        <w:rPr>
          <w:rFonts w:cs="Calibri"/>
        </w:rPr>
        <w:t xml:space="preserve"> whose purpose is to provide ongoing feedback to the FWC about the operation of the amendments. The Review Panel recommends the FWC engage </w:t>
      </w:r>
      <w:r w:rsidR="009130D1" w:rsidRPr="00167CB8">
        <w:rPr>
          <w:rFonts w:cs="Calibri"/>
        </w:rPr>
        <w:t xml:space="preserve">further </w:t>
      </w:r>
      <w:r w:rsidRPr="00167CB8">
        <w:rPr>
          <w:rFonts w:cs="Calibri"/>
        </w:rPr>
        <w:t xml:space="preserve">with this group to investigate and advise on the issues (e.g. confusion) associated with the Statement of Principles. </w:t>
      </w:r>
    </w:p>
    <w:p w14:paraId="696AF2AC" w14:textId="73D06B41" w:rsidR="00173F8E" w:rsidRPr="00167CB8" w:rsidRDefault="00173F8E" w:rsidP="00173F8E">
      <w:pPr>
        <w:rPr>
          <w:rFonts w:cs="Calibri"/>
        </w:rPr>
      </w:pPr>
      <w:r w:rsidRPr="00167CB8">
        <w:rPr>
          <w:rFonts w:cs="Calibri"/>
        </w:rPr>
        <w:t>The Review Panel acknowledges the</w:t>
      </w:r>
      <w:r w:rsidR="003D6E75" w:rsidRPr="00167CB8">
        <w:rPr>
          <w:rFonts w:cs="Calibri"/>
        </w:rPr>
        <w:t>re remains some</w:t>
      </w:r>
      <w:r w:rsidRPr="00167CB8">
        <w:rPr>
          <w:rFonts w:cs="Calibri"/>
        </w:rPr>
        <w:t xml:space="preserve"> complexity with the interaction between the genuine agreement provisions in the Fair Work Act and the application of the Statement of Principles and consider that this complexity should be addressed.</w:t>
      </w:r>
      <w:r w:rsidR="00CF3981" w:rsidRPr="00167CB8">
        <w:rPr>
          <w:rFonts w:cs="Calibri"/>
        </w:rPr>
        <w:t xml:space="preserve"> A contributor to the difficulties in this interaction is the retention in the Fair Work Act of the requirements to take all reasonable steps to explain agreement terms and effects rather than deal with this matter in the statement of principles along with other genuine agreement matters. The Panel makes a recommendation in relation to this.</w:t>
      </w:r>
    </w:p>
    <w:p w14:paraId="71A3E5BF" w14:textId="77777777" w:rsidR="000E3D09" w:rsidRPr="00167CB8" w:rsidRDefault="000E3D09" w:rsidP="000E3D09">
      <w:pPr>
        <w:rPr>
          <w:b/>
          <w:bCs/>
        </w:rPr>
      </w:pPr>
      <w:r w:rsidRPr="00167CB8">
        <w:rPr>
          <w:b/>
          <w:bCs/>
        </w:rPr>
        <w:t>Draft Recommendation 7: The Australian Government amend the Fair Work Act to ensure the statement of principles on genuine agreement is a complete statement of the matters FWC must consider in relation to whether a proposed enterprise agreement has been genuinely agreed. This should include, at least, removing duplication of requirements in s 180(5) and s 188(4A) of the Fair Work Act and the Statement of Principles on Genuine Agreement.</w:t>
      </w:r>
    </w:p>
    <w:p w14:paraId="0068AB71" w14:textId="3E8EECEB" w:rsidR="00173F8E" w:rsidRPr="00167CB8" w:rsidRDefault="000E3D09" w:rsidP="00173F8E">
      <w:pPr>
        <w:spacing w:after="160"/>
        <w:rPr>
          <w:b/>
          <w:bCs/>
        </w:rPr>
      </w:pPr>
      <w:r w:rsidRPr="00167CB8">
        <w:rPr>
          <w:b/>
          <w:bCs/>
        </w:rPr>
        <w:t>Draft Recommendation 8: The FWC regularly engage with its Enterprise Agreements and Bargaining Advisory Group to review and advise on the operation of the Statement of Principles of Genuine Agreement to ensure it is operating appropriately and effectively.</w:t>
      </w:r>
      <w:r w:rsidR="00173F8E" w:rsidRPr="00167CB8">
        <w:rPr>
          <w:b/>
          <w:bCs/>
        </w:rPr>
        <w:br w:type="page"/>
      </w:r>
    </w:p>
    <w:p w14:paraId="4A85C75F" w14:textId="7724CF17" w:rsidR="00173F8E" w:rsidRPr="00167CB8" w:rsidRDefault="00173F8E" w:rsidP="00173F8E">
      <w:pPr>
        <w:pStyle w:val="Heading3"/>
        <w:rPr>
          <w:rFonts w:asciiTheme="minorHAnsi" w:hAnsiTheme="minorHAnsi"/>
        </w:rPr>
      </w:pPr>
      <w:bookmarkStart w:id="223" w:name="_Toc189260254"/>
      <w:bookmarkStart w:id="224" w:name="_Toc189393570"/>
      <w:r w:rsidRPr="00167CB8">
        <w:rPr>
          <w:rFonts w:asciiTheme="minorHAnsi" w:hAnsiTheme="minorHAnsi"/>
        </w:rPr>
        <w:lastRenderedPageBreak/>
        <w:t xml:space="preserve">Chapter </w:t>
      </w:r>
      <w:r w:rsidR="003A22EE" w:rsidRPr="00167CB8">
        <w:rPr>
          <w:rFonts w:asciiTheme="minorHAnsi" w:hAnsiTheme="minorHAnsi"/>
        </w:rPr>
        <w:t>17</w:t>
      </w:r>
      <w:r w:rsidRPr="00167CB8">
        <w:rPr>
          <w:rFonts w:asciiTheme="minorHAnsi" w:hAnsiTheme="minorHAnsi"/>
        </w:rPr>
        <w:t xml:space="preserve">. Better </w:t>
      </w:r>
      <w:r w:rsidR="00060EFE" w:rsidRPr="00167CB8">
        <w:rPr>
          <w:rFonts w:asciiTheme="minorHAnsi" w:hAnsiTheme="minorHAnsi"/>
        </w:rPr>
        <w:t>O</w:t>
      </w:r>
      <w:r w:rsidRPr="00167CB8">
        <w:rPr>
          <w:rFonts w:asciiTheme="minorHAnsi" w:hAnsiTheme="minorHAnsi"/>
        </w:rPr>
        <w:t xml:space="preserve">ff </w:t>
      </w:r>
      <w:r w:rsidR="00060EFE" w:rsidRPr="00167CB8">
        <w:rPr>
          <w:rFonts w:asciiTheme="minorHAnsi" w:hAnsiTheme="minorHAnsi"/>
        </w:rPr>
        <w:t>O</w:t>
      </w:r>
      <w:r w:rsidRPr="00167CB8">
        <w:rPr>
          <w:rFonts w:asciiTheme="minorHAnsi" w:hAnsiTheme="minorHAnsi"/>
        </w:rPr>
        <w:t xml:space="preserve">verall </w:t>
      </w:r>
      <w:r w:rsidR="00060EFE" w:rsidRPr="00167CB8">
        <w:rPr>
          <w:rFonts w:asciiTheme="minorHAnsi" w:hAnsiTheme="minorHAnsi"/>
        </w:rPr>
        <w:t>T</w:t>
      </w:r>
      <w:r w:rsidRPr="00167CB8">
        <w:rPr>
          <w:rFonts w:asciiTheme="minorHAnsi" w:hAnsiTheme="minorHAnsi"/>
        </w:rPr>
        <w:t>est</w:t>
      </w:r>
      <w:bookmarkEnd w:id="223"/>
      <w:bookmarkEnd w:id="224"/>
    </w:p>
    <w:p w14:paraId="093E5FA2" w14:textId="0C23DAB3" w:rsidR="00173F8E" w:rsidRPr="00167CB8" w:rsidRDefault="00173F8E" w:rsidP="00173F8E">
      <w:r w:rsidRPr="00167CB8">
        <w:t>As part of the outcomes from the Jobs and Skills Summit, the Australian Government committed to removing ‘unnecessary complexity for workers and employers, including making the Better Off Overall Test (BOOT) simple, flexible and fair’.</w:t>
      </w:r>
      <w:r w:rsidRPr="00167CB8">
        <w:rPr>
          <w:rStyle w:val="FootnoteReference"/>
        </w:rPr>
        <w:footnoteReference w:id="614"/>
      </w:r>
      <w:r w:rsidRPr="00167CB8">
        <w:t xml:space="preserve"> This chapter </w:t>
      </w:r>
      <w:r w:rsidR="00831D48" w:rsidRPr="00167CB8">
        <w:t>therefore focusses</w:t>
      </w:r>
      <w:r w:rsidRPr="00167CB8">
        <w:t xml:space="preserve"> on </w:t>
      </w:r>
      <w:r w:rsidR="00060EFE" w:rsidRPr="00167CB8">
        <w:t>e</w:t>
      </w:r>
      <w:r w:rsidRPr="00167CB8">
        <w:t xml:space="preserve">nterprise </w:t>
      </w:r>
      <w:r w:rsidR="00060EFE" w:rsidRPr="00167CB8">
        <w:t>a</w:t>
      </w:r>
      <w:r w:rsidRPr="00167CB8">
        <w:t xml:space="preserve">greement </w:t>
      </w:r>
      <w:r w:rsidR="00060EFE" w:rsidRPr="00167CB8">
        <w:t>a</w:t>
      </w:r>
      <w:r w:rsidRPr="00167CB8">
        <w:t>pproval and considers the changes as a result of the commitment to simplify the BOOT.</w:t>
      </w:r>
    </w:p>
    <w:p w14:paraId="38E77CBB" w14:textId="032CC613" w:rsidR="00173F8E" w:rsidRPr="00167CB8" w:rsidRDefault="006D0C76" w:rsidP="00173F8E">
      <w:pPr>
        <w:pStyle w:val="Heading4"/>
        <w:rPr>
          <w:rFonts w:asciiTheme="minorHAnsi" w:hAnsiTheme="minorHAnsi"/>
        </w:rPr>
      </w:pPr>
      <w:bookmarkStart w:id="225" w:name="_Toc189260255"/>
      <w:bookmarkStart w:id="226" w:name="_Toc189393571"/>
      <w:r w:rsidRPr="00167CB8">
        <w:rPr>
          <w:rFonts w:asciiTheme="minorHAnsi" w:hAnsiTheme="minorHAnsi"/>
        </w:rPr>
        <w:t>17</w:t>
      </w:r>
      <w:r w:rsidR="00173F8E" w:rsidRPr="00167CB8">
        <w:rPr>
          <w:rFonts w:asciiTheme="minorHAnsi" w:hAnsiTheme="minorHAnsi"/>
        </w:rPr>
        <w:t xml:space="preserve">.1 Amendments </w:t>
      </w:r>
      <w:r w:rsidR="00BD0B1C" w:rsidRPr="00167CB8">
        <w:rPr>
          <w:rFonts w:asciiTheme="minorHAnsi" w:hAnsiTheme="minorHAnsi"/>
        </w:rPr>
        <w:t>and i</w:t>
      </w:r>
      <w:r w:rsidR="00173F8E" w:rsidRPr="00167CB8">
        <w:rPr>
          <w:rFonts w:asciiTheme="minorHAnsi" w:hAnsiTheme="minorHAnsi"/>
        </w:rPr>
        <w:t>ntent</w:t>
      </w:r>
      <w:bookmarkEnd w:id="225"/>
      <w:bookmarkEnd w:id="226"/>
      <w:r w:rsidR="00173F8E" w:rsidRPr="00167CB8">
        <w:rPr>
          <w:rFonts w:asciiTheme="minorHAnsi" w:hAnsiTheme="minorHAnsi"/>
        </w:rPr>
        <w:t xml:space="preserve"> </w:t>
      </w:r>
    </w:p>
    <w:p w14:paraId="23A8D239" w14:textId="6E9805D8" w:rsidR="00173F8E" w:rsidRPr="00167CB8" w:rsidRDefault="00173F8E" w:rsidP="00173F8E">
      <w:r w:rsidRPr="00167CB8">
        <w:t xml:space="preserve">This section </w:t>
      </w:r>
      <w:r w:rsidR="005C33C0" w:rsidRPr="00167CB8">
        <w:t xml:space="preserve">first </w:t>
      </w:r>
      <w:r w:rsidRPr="00167CB8">
        <w:t xml:space="preserve">provides an overview of the amendments made to the application of the BOOT and </w:t>
      </w:r>
      <w:r w:rsidR="005C33C0" w:rsidRPr="00167CB8">
        <w:t xml:space="preserve">then </w:t>
      </w:r>
      <w:r w:rsidRPr="00167CB8">
        <w:t xml:space="preserve">the intention of the amendments. </w:t>
      </w:r>
    </w:p>
    <w:p w14:paraId="1E95A8B4" w14:textId="67B779A0" w:rsidR="00173F8E" w:rsidRPr="00167CB8" w:rsidRDefault="006D0C76" w:rsidP="00173F8E">
      <w:pPr>
        <w:pStyle w:val="Heading5"/>
      </w:pPr>
      <w:r w:rsidRPr="00167CB8">
        <w:t>17</w:t>
      </w:r>
      <w:r w:rsidR="00173F8E" w:rsidRPr="00167CB8">
        <w:t xml:space="preserve">.1.1 </w:t>
      </w:r>
      <w:r w:rsidR="00173F8E" w:rsidRPr="00167CB8">
        <w:rPr>
          <w:rFonts w:asciiTheme="minorHAnsi" w:hAnsiTheme="minorHAnsi"/>
        </w:rPr>
        <w:t xml:space="preserve">Secure Jobs, Better Pay </w:t>
      </w:r>
      <w:r w:rsidR="00EE28D9" w:rsidRPr="00167CB8">
        <w:rPr>
          <w:rFonts w:asciiTheme="minorHAnsi" w:hAnsiTheme="minorHAnsi"/>
        </w:rPr>
        <w:t>a</w:t>
      </w:r>
      <w:r w:rsidR="00173F8E" w:rsidRPr="00167CB8">
        <w:rPr>
          <w:rFonts w:asciiTheme="minorHAnsi" w:hAnsiTheme="minorHAnsi"/>
        </w:rPr>
        <w:t>mendments</w:t>
      </w:r>
      <w:r w:rsidR="00173F8E" w:rsidRPr="00167CB8" w:rsidDel="00E42AC2">
        <w:t xml:space="preserve"> </w:t>
      </w:r>
    </w:p>
    <w:p w14:paraId="6E75CC9E" w14:textId="04C1EE36" w:rsidR="00173F8E" w:rsidRPr="00167CB8" w:rsidRDefault="00173F8E" w:rsidP="00173F8E">
      <w:r w:rsidRPr="00167CB8">
        <w:t xml:space="preserve">Part 16 of Schedule 1 of the Secure Jobs, Better Pay Act made </w:t>
      </w:r>
      <w:r w:rsidR="002120CF" w:rsidRPr="00167CB8">
        <w:t xml:space="preserve">5 </w:t>
      </w:r>
      <w:r w:rsidRPr="00167CB8">
        <w:t xml:space="preserve">substantive changes to the BOOT. </w:t>
      </w:r>
    </w:p>
    <w:p w14:paraId="3837B153" w14:textId="1EDC3422" w:rsidR="00173F8E" w:rsidRPr="00167CB8" w:rsidRDefault="00173F8E" w:rsidP="00173F8E">
      <w:r w:rsidRPr="00167CB8">
        <w:t>First, the changes to s</w:t>
      </w:r>
      <w:r w:rsidR="002120CF" w:rsidRPr="00167CB8">
        <w:t> </w:t>
      </w:r>
      <w:r w:rsidRPr="00167CB8">
        <w:t>193A of the Fair Work Act confirm that the BOOT is a global assessment. Prior to the Secure Jobs, Better Pay amendments, the BOOT was prescribed in the Fair Work Act as:</w:t>
      </w:r>
      <w:r w:rsidR="002120CF" w:rsidRPr="00167CB8">
        <w:rPr>
          <w:rStyle w:val="FootnoteReference"/>
        </w:rPr>
        <w:footnoteReference w:id="615"/>
      </w:r>
    </w:p>
    <w:p w14:paraId="4B9A9498" w14:textId="19FFDD8F" w:rsidR="00173F8E" w:rsidRPr="00167CB8" w:rsidRDefault="00173F8E" w:rsidP="00C83147">
      <w:pPr>
        <w:pStyle w:val="Quote"/>
      </w:pPr>
      <w:r w:rsidRPr="00167CB8">
        <w:t>each award covered employee, and each prospective award covered employee, for the agreement would be better off overall if the agreement applied to the employee than if the relevant modern award applied to the employee</w:t>
      </w:r>
      <w:r w:rsidR="002120CF" w:rsidRPr="00167CB8">
        <w:t xml:space="preserve"> …</w:t>
      </w:r>
    </w:p>
    <w:p w14:paraId="04436416" w14:textId="108BCC6F" w:rsidR="00173F8E" w:rsidRPr="00167CB8" w:rsidRDefault="00173F8E" w:rsidP="00173F8E">
      <w:r w:rsidRPr="00167CB8">
        <w:t>Early on, then Fair Work Australia described the application of the BOOT as follows:</w:t>
      </w:r>
      <w:r w:rsidR="002120CF" w:rsidRPr="00167CB8">
        <w:rPr>
          <w:rStyle w:val="FootnoteReference"/>
        </w:rPr>
        <w:footnoteReference w:id="616"/>
      </w:r>
    </w:p>
    <w:p w14:paraId="286363CE" w14:textId="37924316" w:rsidR="00173F8E" w:rsidRPr="00167CB8" w:rsidRDefault="00173F8E" w:rsidP="00C83147">
      <w:pPr>
        <w:pStyle w:val="Quote"/>
      </w:pPr>
      <w:r w:rsidRPr="00167CB8">
        <w:t>The BOOT, as the name implies, requires an overall assessment to be made. This requires the identification of terms which are more beneficial for an employee, terms which are less beneficial and an overall assessment of whether an employee would be better off under the agreement.</w:t>
      </w:r>
    </w:p>
    <w:p w14:paraId="07F89814" w14:textId="2F649436" w:rsidR="00173F8E" w:rsidRPr="00167CB8" w:rsidRDefault="00173F8E" w:rsidP="00173F8E">
      <w:r w:rsidRPr="00167CB8">
        <w:t>The new s</w:t>
      </w:r>
      <w:r w:rsidR="002120CF" w:rsidRPr="00167CB8">
        <w:t> </w:t>
      </w:r>
      <w:r w:rsidRPr="00167CB8">
        <w:t xml:space="preserve">193A applies to </w:t>
      </w:r>
      <w:r w:rsidR="002120CF" w:rsidRPr="00167CB8">
        <w:t>‘</w:t>
      </w:r>
      <w:r w:rsidRPr="00167CB8">
        <w:t>avoid doubt</w:t>
      </w:r>
      <w:r w:rsidR="002120CF" w:rsidRPr="00167CB8">
        <w:t>’</w:t>
      </w:r>
      <w:r w:rsidRPr="00167CB8">
        <w:t xml:space="preserve"> that in applying the BOOT </w:t>
      </w:r>
      <w:r w:rsidR="002120CF" w:rsidRPr="00167CB8">
        <w:t>‘</w:t>
      </w:r>
      <w:r w:rsidRPr="00167CB8">
        <w:t xml:space="preserve">the FWC must undertake </w:t>
      </w:r>
      <w:r w:rsidRPr="00167CB8">
        <w:rPr>
          <w:i/>
          <w:iCs/>
        </w:rPr>
        <w:t>a global assessment</w:t>
      </w:r>
      <w:r w:rsidRPr="00167CB8">
        <w:t xml:space="preserve"> of whether each employee concerned would be better off</w:t>
      </w:r>
      <w:r w:rsidR="002120CF" w:rsidRPr="00167CB8">
        <w:t>’</w:t>
      </w:r>
      <w:r w:rsidRPr="00167CB8">
        <w:t>.</w:t>
      </w:r>
      <w:r w:rsidRPr="00167CB8">
        <w:rPr>
          <w:vertAlign w:val="superscript"/>
        </w:rPr>
        <w:footnoteReference w:id="617"/>
      </w:r>
      <w:r w:rsidRPr="00167CB8">
        <w:t xml:space="preserve"> In doing so, the FWC must have regard to the terms that are more and less beneficial to employees than the relevant modern award.</w:t>
      </w:r>
      <w:r w:rsidRPr="00167CB8">
        <w:rPr>
          <w:rStyle w:val="FootnoteReference"/>
        </w:rPr>
        <w:footnoteReference w:id="618"/>
      </w:r>
    </w:p>
    <w:p w14:paraId="66EEDA41" w14:textId="0751338D" w:rsidR="00173F8E" w:rsidRPr="00167CB8" w:rsidRDefault="00173F8E" w:rsidP="00173F8E">
      <w:r w:rsidRPr="00167CB8">
        <w:t xml:space="preserve">Second, in undertaking the BOOT, the Secure Jobs, Better Pay amendments require that the </w:t>
      </w:r>
      <w:r w:rsidR="002120CF" w:rsidRPr="00167CB8">
        <w:t>Fair Work Commission (</w:t>
      </w:r>
      <w:r w:rsidRPr="00167CB8">
        <w:t>FWC</w:t>
      </w:r>
      <w:r w:rsidR="002120CF" w:rsidRPr="00167CB8">
        <w:t>)</w:t>
      </w:r>
      <w:r w:rsidRPr="00167CB8">
        <w:t xml:space="preserve"> must give consideration to any views expressed by the employer, employees and bargaining representatives for the agreement about whether the agreement passes the BOOT.</w:t>
      </w:r>
      <w:r w:rsidRPr="00167CB8">
        <w:rPr>
          <w:vertAlign w:val="superscript"/>
        </w:rPr>
        <w:footnoteReference w:id="619"/>
      </w:r>
      <w:r w:rsidRPr="00167CB8">
        <w:t xml:space="preserve"> The amendments provide that the FWC must </w:t>
      </w:r>
      <w:r w:rsidR="002120CF" w:rsidRPr="00167CB8">
        <w:t>‘</w:t>
      </w:r>
      <w:r w:rsidRPr="00167CB8">
        <w:t xml:space="preserve">give primary consideration to </w:t>
      </w:r>
      <w:r w:rsidRPr="00167CB8">
        <w:lastRenderedPageBreak/>
        <w:t>a common view (if any)</w:t>
      </w:r>
      <w:r w:rsidR="002120CF" w:rsidRPr="00167CB8">
        <w:t>’</w:t>
      </w:r>
      <w:r w:rsidRPr="00167CB8">
        <w:t xml:space="preserve"> of the employer, employer bargaining representatives, or union bargaining representatives of employees about whether the agreement </w:t>
      </w:r>
      <w:r w:rsidR="002120CF" w:rsidRPr="00167CB8">
        <w:t>p</w:t>
      </w:r>
      <w:r w:rsidRPr="00167CB8">
        <w:t>asses the BOOT.</w:t>
      </w:r>
      <w:r w:rsidRPr="00167CB8">
        <w:rPr>
          <w:vertAlign w:val="superscript"/>
        </w:rPr>
        <w:footnoteReference w:id="620"/>
      </w:r>
      <w:r w:rsidRPr="00167CB8">
        <w:t xml:space="preserve"> </w:t>
      </w:r>
    </w:p>
    <w:p w14:paraId="7437E925" w14:textId="3BDE61DA" w:rsidR="00173F8E" w:rsidRPr="00167CB8" w:rsidRDefault="00173F8E" w:rsidP="00173F8E">
      <w:r w:rsidRPr="00167CB8">
        <w:t xml:space="preserve">Third, prior to the Secure Jobs, Better Pay amendments, the BOOT required that FWC be satisfied that </w:t>
      </w:r>
      <w:r w:rsidR="002120CF" w:rsidRPr="00167CB8">
        <w:t>‘</w:t>
      </w:r>
      <w:r w:rsidRPr="00167CB8">
        <w:rPr>
          <w:i/>
          <w:iCs/>
        </w:rPr>
        <w:t>each</w:t>
      </w:r>
      <w:r w:rsidRPr="00167CB8">
        <w:t xml:space="preserve"> prospective award covered</w:t>
      </w:r>
      <w:r w:rsidR="002120CF" w:rsidRPr="00167CB8">
        <w:t>’</w:t>
      </w:r>
      <w:r w:rsidRPr="00167CB8">
        <w:t xml:space="preserve"> employee is better off overall. As the application of the test developed by the FWC and its predecessor, views emerged that the test was being applied strictly and inflexibly.</w:t>
      </w:r>
      <w:r w:rsidRPr="00167CB8">
        <w:rPr>
          <w:rStyle w:val="FootnoteReference"/>
        </w:rPr>
        <w:footnoteReference w:id="621"/>
      </w:r>
    </w:p>
    <w:p w14:paraId="1FF8221C" w14:textId="4B7E1A14" w:rsidR="00173F8E" w:rsidRPr="00167CB8" w:rsidRDefault="00173F8E" w:rsidP="00173F8E">
      <w:r w:rsidRPr="00167CB8">
        <w:t>The FWC must now be satisfied that each award covered employee, and each ‘reasonably foreseeable employee’, are better off overall under the proposed agreement rather than the award.</w:t>
      </w:r>
      <w:r w:rsidRPr="00167CB8">
        <w:rPr>
          <w:rStyle w:val="FootnoteReference"/>
        </w:rPr>
        <w:footnoteReference w:id="622"/>
      </w:r>
      <w:r w:rsidRPr="00167CB8">
        <w:t xml:space="preserve"> In undertaking this assessment, the FWC may only have regard to </w:t>
      </w:r>
      <w:r w:rsidR="002120CF" w:rsidRPr="00167CB8">
        <w:t>‘</w:t>
      </w:r>
      <w:r w:rsidRPr="00167CB8">
        <w:t>patterns or kinds of work, or types of employment, if they are reasonably foreseeable</w:t>
      </w:r>
      <w:r w:rsidR="002120CF" w:rsidRPr="00167CB8">
        <w:t>’</w:t>
      </w:r>
      <w:r w:rsidRPr="00167CB8">
        <w:t xml:space="preserve"> at the test time.</w:t>
      </w:r>
      <w:r w:rsidRPr="00167CB8">
        <w:rPr>
          <w:vertAlign w:val="superscript"/>
        </w:rPr>
        <w:footnoteReference w:id="623"/>
      </w:r>
      <w:r w:rsidRPr="00167CB8">
        <w:t xml:space="preserve"> </w:t>
      </w:r>
    </w:p>
    <w:p w14:paraId="0D4154C8" w14:textId="0F095ED0" w:rsidR="00173F8E" w:rsidRPr="00167CB8" w:rsidRDefault="00173F8E" w:rsidP="00173F8E">
      <w:r w:rsidRPr="00167CB8">
        <w:t>Fourth, the Secure Jobs, Better Pay Act also inserted a new provision (s</w:t>
      </w:r>
      <w:r w:rsidR="002120CF" w:rsidRPr="00167CB8">
        <w:t> </w:t>
      </w:r>
      <w:r w:rsidRPr="00167CB8">
        <w:t>191A of the Fair Work Act) which enables the FWC to address concerns that the agreement does not pass the BOOT by amending the agreement. If the FWC seeks to amend an agreement, it ‘must seek the views of the</w:t>
      </w:r>
      <w:r w:rsidR="002120CF" w:rsidRPr="00167CB8">
        <w:t xml:space="preserve"> </w:t>
      </w:r>
      <w:r w:rsidRPr="00167CB8">
        <w:t>… employer or employers that are covered by the agreement;</w:t>
      </w:r>
      <w:r w:rsidRPr="00167CB8" w:rsidDel="00205C0D">
        <w:t xml:space="preserve"> </w:t>
      </w:r>
      <w:r w:rsidRPr="00167CB8">
        <w:t>award covered employees covered by the agreement; [as well as] a bargaining representative for the agreement</w:t>
      </w:r>
      <w:r w:rsidR="002120CF" w:rsidRPr="00167CB8">
        <w:t>’</w:t>
      </w:r>
      <w:r w:rsidRPr="00167CB8">
        <w:t>.</w:t>
      </w:r>
      <w:r w:rsidRPr="00167CB8">
        <w:rPr>
          <w:vertAlign w:val="superscript"/>
        </w:rPr>
        <w:footnoteReference w:id="624"/>
      </w:r>
    </w:p>
    <w:p w14:paraId="1E5E3082" w14:textId="564464E6" w:rsidR="00173F8E" w:rsidRPr="00167CB8" w:rsidRDefault="00173F8E" w:rsidP="00173F8E">
      <w:r w:rsidRPr="00167CB8">
        <w:t>These provisions therefore allow the FWC to amend an agreement to address BOOT concerns as opposed to seeking undertakings. The Explanatory Memorandum explains these provisions:</w:t>
      </w:r>
      <w:r w:rsidR="002120CF" w:rsidRPr="00167CB8">
        <w:rPr>
          <w:vertAlign w:val="superscript"/>
        </w:rPr>
        <w:footnoteReference w:id="625"/>
      </w:r>
    </w:p>
    <w:p w14:paraId="1E77B961" w14:textId="50419EE2" w:rsidR="00173F8E" w:rsidRPr="00167CB8" w:rsidRDefault="00173F8E" w:rsidP="00C83147">
      <w:pPr>
        <w:pStyle w:val="Quote"/>
      </w:pPr>
      <w:r w:rsidRPr="00167CB8">
        <w:t>The FWC would have discretion to work with the parties during the approval process in a constructive manner, to consider specific objections and to amend or excise terms that do not otherwise meet the BOOT. This would limit the use of undertakings which can make it harder for workers and managers to interpret an agreement, lead to future legal disputes if poorly drafted, and cause delays in agreements commencing.</w:t>
      </w:r>
    </w:p>
    <w:p w14:paraId="720F8305" w14:textId="42504EC8" w:rsidR="00173F8E" w:rsidRPr="00167CB8" w:rsidRDefault="00173F8E" w:rsidP="00173F8E">
      <w:r w:rsidRPr="00167CB8">
        <w:t xml:space="preserve">Fifth, in order to ensure the changes to the BOOT do not leave workers worse off, the Secure Jobs, Better Pay Act also introduced provisions to enable an employee, employer or union covered by an agreement to </w:t>
      </w:r>
      <w:r w:rsidR="002120CF" w:rsidRPr="00167CB8">
        <w:t>‘</w:t>
      </w:r>
      <w:r w:rsidRPr="00167CB8">
        <w:t>apply to the FWC for a reconsideration of whether an enterprise agreement passes the [BOOT]</w:t>
      </w:r>
      <w:r w:rsidR="002120CF" w:rsidRPr="00167CB8">
        <w:t>’</w:t>
      </w:r>
      <w:r w:rsidRPr="00167CB8">
        <w:t>.</w:t>
      </w:r>
      <w:r w:rsidRPr="00167CB8">
        <w:rPr>
          <w:vertAlign w:val="superscript"/>
        </w:rPr>
        <w:footnoteReference w:id="626"/>
      </w:r>
      <w:r w:rsidRPr="00167CB8">
        <w:t xml:space="preserve"> </w:t>
      </w:r>
    </w:p>
    <w:p w14:paraId="58224D47" w14:textId="1DEB2E1E" w:rsidR="00173F8E" w:rsidRPr="00167CB8" w:rsidRDefault="00173F8E" w:rsidP="00173F8E">
      <w:r w:rsidRPr="00167CB8">
        <w:t>To apply for a reconsideration, certain preconditions must be met (s</w:t>
      </w:r>
      <w:r w:rsidR="002120CF" w:rsidRPr="00167CB8">
        <w:t> </w:t>
      </w:r>
      <w:r w:rsidRPr="00167CB8">
        <w:t>227A(2)):</w:t>
      </w:r>
      <w:r w:rsidR="002120CF" w:rsidRPr="00167CB8">
        <w:rPr>
          <w:rStyle w:val="FootnoteReference"/>
        </w:rPr>
        <w:footnoteReference w:id="627"/>
      </w:r>
    </w:p>
    <w:p w14:paraId="36FB7D60" w14:textId="4BB67F14" w:rsidR="00173F8E" w:rsidRPr="00167CB8" w:rsidRDefault="00173F8E" w:rsidP="00C83147">
      <w:pPr>
        <w:pStyle w:val="Quote"/>
      </w:pPr>
      <w:r w:rsidRPr="00167CB8">
        <w:t>(a) </w:t>
      </w:r>
      <w:r w:rsidRPr="00167CB8">
        <w:tab/>
        <w:t>before approving the agreement the FWC had regard, under subsection 193A(6), to patterns or kinds of work, or types of employment engaged in, or to be engaged in, by:</w:t>
      </w:r>
    </w:p>
    <w:p w14:paraId="6905AAE2" w14:textId="33360805" w:rsidR="00173F8E" w:rsidRPr="00167CB8" w:rsidRDefault="00173F8E" w:rsidP="00887905">
      <w:pPr>
        <w:pStyle w:val="Quote"/>
        <w:ind w:firstLine="720"/>
      </w:pPr>
      <w:r w:rsidRPr="00167CB8">
        <w:t>(i) </w:t>
      </w:r>
      <w:r w:rsidRPr="00167CB8">
        <w:tab/>
        <w:t>the award covered employees for the agreement; and</w:t>
      </w:r>
    </w:p>
    <w:p w14:paraId="1979863B" w14:textId="033831B1" w:rsidR="00173F8E" w:rsidRPr="00167CB8" w:rsidRDefault="00173F8E" w:rsidP="00887905">
      <w:pPr>
        <w:pStyle w:val="Quote"/>
        <w:ind w:left="2160"/>
      </w:pPr>
      <w:r w:rsidRPr="00167CB8">
        <w:lastRenderedPageBreak/>
        <w:t>(ii) </w:t>
      </w:r>
      <w:r w:rsidRPr="00167CB8">
        <w:tab/>
        <w:t>if the agreement is a single</w:t>
      </w:r>
      <w:r w:rsidRPr="00167CB8">
        <w:noBreakHyphen/>
        <w:t>enterprise agreement that covers one or more employees to whom a supported bargaining agreement or a single interest employer agreement applies</w:t>
      </w:r>
      <w:r w:rsidR="002120CF" w:rsidRPr="00167CB8">
        <w:rPr>
          <w:b/>
        </w:rPr>
        <w:t xml:space="preserve"> </w:t>
      </w:r>
      <w:r w:rsidR="002120CF" w:rsidRPr="00167CB8">
        <w:rPr>
          <w:rFonts w:ascii="Symbol" w:eastAsia="Symbol" w:hAnsi="Symbol" w:cs="Symbol"/>
          <w:b/>
        </w:rPr>
        <w:sym w:font="Symbol" w:char="F02D"/>
      </w:r>
      <w:r w:rsidR="002120CF" w:rsidRPr="00167CB8">
        <w:rPr>
          <w:b/>
        </w:rPr>
        <w:t xml:space="preserve"> </w:t>
      </w:r>
      <w:r w:rsidRPr="00167CB8">
        <w:t>those employees; and</w:t>
      </w:r>
    </w:p>
    <w:p w14:paraId="661F4F03" w14:textId="1DD7105F" w:rsidR="00173F8E" w:rsidRPr="00167CB8" w:rsidRDefault="00173F8E" w:rsidP="00C83147">
      <w:pPr>
        <w:pStyle w:val="Quote"/>
      </w:pPr>
      <w:r w:rsidRPr="00167CB8">
        <w:t>(b) </w:t>
      </w:r>
      <w:r w:rsidRPr="00167CB8">
        <w:tab/>
        <w:t>at the test time or a later time, one or more employees covered by subsection (4) or (5) engaged in other patterns or kinds of work, or other types of employment, to which the FWC did not have regard under subsection 193A(6).</w:t>
      </w:r>
    </w:p>
    <w:p w14:paraId="5A270E2A" w14:textId="77777777" w:rsidR="00173F8E" w:rsidRPr="00167CB8" w:rsidRDefault="00173F8E" w:rsidP="00173F8E">
      <w:r w:rsidRPr="00167CB8">
        <w:t>If, after having reconsidered the BOOT, the FWC has a concern that the agreement does not pass the BOOT, the FWC may either accept an undertaking or amend the agreement to address its concerns.</w:t>
      </w:r>
      <w:r w:rsidRPr="00167CB8">
        <w:rPr>
          <w:rStyle w:val="FootnoteReference"/>
        </w:rPr>
        <w:footnoteReference w:id="628"/>
      </w:r>
    </w:p>
    <w:p w14:paraId="27574690" w14:textId="77777777" w:rsidR="00173F8E" w:rsidRPr="00167CB8" w:rsidRDefault="00173F8E" w:rsidP="00173F8E">
      <w:r w:rsidRPr="00167CB8">
        <w:t>These amendments came into effect on 6 June 2023 and apply to agreements made on or after this date.</w:t>
      </w:r>
      <w:r w:rsidRPr="00167CB8" w:rsidDel="00B63DCD">
        <w:rPr>
          <w:rFonts w:eastAsiaTheme="majorEastAsia" w:cstheme="majorBidi"/>
          <w:color w:val="491044" w:themeColor="accent1" w:themeShade="BF"/>
        </w:rPr>
        <w:t xml:space="preserve"> </w:t>
      </w:r>
    </w:p>
    <w:p w14:paraId="5A3ACBF7" w14:textId="5E9BC169" w:rsidR="00173F8E" w:rsidRPr="00167CB8" w:rsidRDefault="006D0C76" w:rsidP="00173F8E">
      <w:pPr>
        <w:pStyle w:val="Heading5"/>
        <w:rPr>
          <w:rFonts w:asciiTheme="minorHAnsi" w:hAnsiTheme="minorHAnsi"/>
        </w:rPr>
      </w:pPr>
      <w:r w:rsidRPr="00167CB8">
        <w:rPr>
          <w:rFonts w:asciiTheme="minorHAnsi" w:hAnsiTheme="minorHAnsi"/>
        </w:rPr>
        <w:t>17</w:t>
      </w:r>
      <w:r w:rsidR="00173F8E" w:rsidRPr="00167CB8">
        <w:rPr>
          <w:rFonts w:asciiTheme="minorHAnsi" w:hAnsiTheme="minorHAnsi"/>
        </w:rPr>
        <w:t xml:space="preserve">.1.2 Intent of </w:t>
      </w:r>
      <w:r w:rsidR="00173F8E" w:rsidRPr="00167CB8" w:rsidDel="00A00071">
        <w:rPr>
          <w:rFonts w:asciiTheme="minorHAnsi" w:hAnsiTheme="minorHAnsi"/>
        </w:rPr>
        <w:t>Secure Jobs, Better Pay</w:t>
      </w:r>
      <w:r w:rsidR="00173F8E" w:rsidRPr="00167CB8">
        <w:rPr>
          <w:rFonts w:asciiTheme="minorHAnsi" w:hAnsiTheme="minorHAnsi"/>
        </w:rPr>
        <w:t xml:space="preserve"> </w:t>
      </w:r>
      <w:r w:rsidR="002120CF" w:rsidRPr="00167CB8">
        <w:rPr>
          <w:rFonts w:asciiTheme="minorHAnsi" w:hAnsiTheme="minorHAnsi"/>
        </w:rPr>
        <w:t>a</w:t>
      </w:r>
      <w:r w:rsidR="00173F8E" w:rsidRPr="00167CB8">
        <w:rPr>
          <w:rFonts w:asciiTheme="minorHAnsi" w:hAnsiTheme="minorHAnsi"/>
        </w:rPr>
        <w:t>mendments</w:t>
      </w:r>
      <w:r w:rsidR="00173F8E" w:rsidRPr="00167CB8" w:rsidDel="00E42AC2">
        <w:rPr>
          <w:rFonts w:asciiTheme="minorHAnsi" w:hAnsiTheme="minorHAnsi"/>
        </w:rPr>
        <w:t xml:space="preserve"> </w:t>
      </w:r>
    </w:p>
    <w:p w14:paraId="1B43DA1D" w14:textId="661815C6" w:rsidR="00173F8E" w:rsidRPr="00167CB8" w:rsidRDefault="00173F8E" w:rsidP="002120CF">
      <w:r w:rsidRPr="00167CB8">
        <w:t>The Secure Jobs, Better Pay Act changes to the BOOT have arisen out of</w:t>
      </w:r>
      <w:r w:rsidRPr="00167CB8">
        <w:rPr>
          <w:rFonts w:eastAsia="Aptos" w:cs="Aptos"/>
        </w:rPr>
        <w:t xml:space="preserve"> </w:t>
      </w:r>
      <w:r w:rsidRPr="00167CB8">
        <w:t>‘concerns about the complexity of the current process for approving enterprise agreements’</w:t>
      </w:r>
      <w:r w:rsidR="002120CF" w:rsidRPr="00167CB8">
        <w:t>.</w:t>
      </w:r>
      <w:r w:rsidRPr="00167CB8">
        <w:rPr>
          <w:rStyle w:val="FootnoteReference"/>
        </w:rPr>
        <w:footnoteReference w:id="629"/>
      </w:r>
      <w:r w:rsidRPr="00167CB8">
        <w:t xml:space="preserve"> The Australian Government intended to respond to issues with ‘the workability of the current framework, and include appropriate safeguards to protect employees’</w:t>
      </w:r>
      <w:r w:rsidR="002120CF" w:rsidRPr="00167CB8">
        <w:t>.</w:t>
      </w:r>
      <w:r w:rsidRPr="00167CB8">
        <w:rPr>
          <w:rStyle w:val="FootnoteReference"/>
        </w:rPr>
        <w:footnoteReference w:id="630"/>
      </w:r>
      <w:r w:rsidRPr="00167CB8">
        <w:t xml:space="preserve"> The Australian Government intended for these amendments to</w:t>
      </w:r>
      <w:r w:rsidR="002120CF" w:rsidRPr="00167CB8">
        <w:t xml:space="preserve"> </w:t>
      </w:r>
      <w:r w:rsidRPr="00167CB8">
        <w:t>‘limit the use of undertakings which can make it harder for workers and managers to interpret an agreement, lead to future legal disputes if poorly drafted, and cause delays in agreements commencing</w:t>
      </w:r>
      <w:r w:rsidR="002120CF" w:rsidRPr="00167CB8">
        <w:t>’</w:t>
      </w:r>
      <w:r w:rsidRPr="00167CB8">
        <w:t>.</w:t>
      </w:r>
      <w:r w:rsidRPr="00167CB8">
        <w:rPr>
          <w:rStyle w:val="FootnoteReference"/>
        </w:rPr>
        <w:footnoteReference w:id="631"/>
      </w:r>
    </w:p>
    <w:p w14:paraId="15135491" w14:textId="64ED695B" w:rsidR="00173F8E" w:rsidRPr="00167CB8" w:rsidRDefault="006D0C76" w:rsidP="00173F8E">
      <w:pPr>
        <w:pStyle w:val="Heading4"/>
        <w:rPr>
          <w:rFonts w:asciiTheme="minorHAnsi" w:hAnsiTheme="minorHAnsi"/>
        </w:rPr>
      </w:pPr>
      <w:bookmarkStart w:id="227" w:name="_Toc189260256"/>
      <w:bookmarkStart w:id="228" w:name="_Toc189393572"/>
      <w:r w:rsidRPr="00167CB8">
        <w:rPr>
          <w:rFonts w:asciiTheme="minorHAnsi" w:hAnsiTheme="minorHAnsi"/>
        </w:rPr>
        <w:t>17</w:t>
      </w:r>
      <w:r w:rsidR="00173F8E" w:rsidRPr="00167CB8">
        <w:rPr>
          <w:rFonts w:asciiTheme="minorHAnsi" w:hAnsiTheme="minorHAnsi"/>
        </w:rPr>
        <w:t xml:space="preserve">.2 Impact and </w:t>
      </w:r>
      <w:r w:rsidR="002120CF" w:rsidRPr="00167CB8">
        <w:rPr>
          <w:rFonts w:asciiTheme="minorHAnsi" w:hAnsiTheme="minorHAnsi"/>
        </w:rPr>
        <w:t>i</w:t>
      </w:r>
      <w:r w:rsidR="00173F8E" w:rsidRPr="00167CB8">
        <w:rPr>
          <w:rFonts w:asciiTheme="minorHAnsi" w:hAnsiTheme="minorHAnsi"/>
        </w:rPr>
        <w:t>ssues</w:t>
      </w:r>
      <w:bookmarkEnd w:id="227"/>
      <w:bookmarkEnd w:id="228"/>
    </w:p>
    <w:p w14:paraId="12BFF552" w14:textId="7DCFA327" w:rsidR="00173F8E" w:rsidRPr="00167CB8" w:rsidRDefault="009173E1" w:rsidP="00173F8E">
      <w:r w:rsidRPr="00167CB8">
        <w:t>The data used below to assess the effectiveness of the amendments relating to the BOOT fall into three categories: quantitative evidence, mostly provided by the FWC; qualitative evidence based on decisions by the FWC; and stakeholder feedback.</w:t>
      </w:r>
    </w:p>
    <w:p w14:paraId="693316B0" w14:textId="018EA368" w:rsidR="00173F8E" w:rsidRPr="00167CB8" w:rsidRDefault="006D0C76" w:rsidP="00173F8E">
      <w:pPr>
        <w:pStyle w:val="Heading5"/>
        <w:rPr>
          <w:rFonts w:asciiTheme="minorHAnsi" w:hAnsiTheme="minorHAnsi"/>
        </w:rPr>
      </w:pPr>
      <w:r w:rsidRPr="00167CB8">
        <w:rPr>
          <w:rFonts w:asciiTheme="minorHAnsi" w:hAnsiTheme="minorHAnsi"/>
        </w:rPr>
        <w:t>17</w:t>
      </w:r>
      <w:r w:rsidR="00173F8E" w:rsidRPr="00167CB8">
        <w:rPr>
          <w:rFonts w:asciiTheme="minorHAnsi" w:hAnsiTheme="minorHAnsi"/>
        </w:rPr>
        <w:t xml:space="preserve">.2.1 Quantitative </w:t>
      </w:r>
      <w:r w:rsidR="002120CF" w:rsidRPr="00167CB8">
        <w:rPr>
          <w:rFonts w:asciiTheme="minorHAnsi" w:hAnsiTheme="minorHAnsi"/>
        </w:rPr>
        <w:t>e</w:t>
      </w:r>
      <w:r w:rsidR="00173F8E" w:rsidRPr="00167CB8">
        <w:rPr>
          <w:rFonts w:asciiTheme="minorHAnsi" w:hAnsiTheme="minorHAnsi"/>
        </w:rPr>
        <w:t>vidence</w:t>
      </w:r>
    </w:p>
    <w:p w14:paraId="67FA5E36" w14:textId="21B30E79" w:rsidR="00173F8E" w:rsidRPr="00167CB8" w:rsidRDefault="00173F8E" w:rsidP="00173F8E">
      <w:r w:rsidRPr="00167CB8">
        <w:t>The BOOT amendments have been in effect for approximately 18 months and therefore there is limited available data.</w:t>
      </w:r>
      <w:r w:rsidR="00460649" w:rsidRPr="00167CB8">
        <w:t xml:space="preserve"> The quantitative data from the FWC below relates to three aspects of its application of the BOOT: the timeliness of FWC approvals; the number of approval decisions requiring undertakings; and the number of applications requesting that the FWC reconsider the application of the BOOT.</w:t>
      </w:r>
    </w:p>
    <w:p w14:paraId="0AFD3CA0" w14:textId="6D3F02CF" w:rsidR="00173F8E" w:rsidRPr="00167CB8" w:rsidRDefault="00F9596D" w:rsidP="00173F8E">
      <w:r w:rsidRPr="00167CB8">
        <w:t>First</w:t>
      </w:r>
      <w:r w:rsidR="00173F8E" w:rsidRPr="00167CB8">
        <w:t>, the FWC timeliness data shows that the median time to approve enterprise agreements has remained stable since the commencement of the amended BOOT provisions and has remained consistent since 2021</w:t>
      </w:r>
      <w:r w:rsidR="002120CF" w:rsidRPr="00167CB8">
        <w:rPr>
          <w:rFonts w:ascii="Symbol" w:eastAsia="Symbol" w:hAnsi="Symbol" w:cs="Symbol"/>
        </w:rPr>
        <w:sym w:font="Symbol" w:char="F02D"/>
      </w:r>
      <w:r w:rsidR="00173F8E" w:rsidRPr="00167CB8">
        <w:t xml:space="preserve">22.  </w:t>
      </w:r>
    </w:p>
    <w:p w14:paraId="300B7508" w14:textId="4AB65F17" w:rsidR="00173F8E" w:rsidRPr="00167CB8" w:rsidRDefault="00173F8E" w:rsidP="00173F8E">
      <w:r w:rsidRPr="00167CB8">
        <w:lastRenderedPageBreak/>
        <w:t>In 2023</w:t>
      </w:r>
      <w:r w:rsidR="002120CF" w:rsidRPr="00167CB8">
        <w:rPr>
          <w:rFonts w:ascii="Symbol" w:eastAsia="Symbol" w:hAnsi="Symbol" w:cs="Symbol"/>
        </w:rPr>
        <w:sym w:font="Symbol" w:char="F02D"/>
      </w:r>
      <w:r w:rsidRPr="00167CB8">
        <w:t>24 the FWC continued to approve agreements more efficiently compared to previous years, despites an overall increase in workload to the FWC which is evident from the increase in all application types.</w:t>
      </w:r>
      <w:r w:rsidRPr="00167CB8">
        <w:rPr>
          <w:rStyle w:val="FootnoteReference"/>
        </w:rPr>
        <w:footnoteReference w:id="632"/>
      </w:r>
      <w:r w:rsidRPr="00167CB8">
        <w:t xml:space="preserve"> </w:t>
      </w:r>
    </w:p>
    <w:p w14:paraId="42958282" w14:textId="45084D6F" w:rsidR="00173F8E" w:rsidRPr="00167CB8" w:rsidRDefault="00173F8E" w:rsidP="00173F8E">
      <w:r w:rsidRPr="00167CB8">
        <w:t xml:space="preserve">Additionally, applications to the FWC are at a 7-year high and agreement approval applications appear to be returning to close to </w:t>
      </w:r>
      <w:r w:rsidR="00325DAF">
        <w:t>almost</w:t>
      </w:r>
      <w:r w:rsidR="00325DAF" w:rsidRPr="00167CB8">
        <w:t xml:space="preserve"> </w:t>
      </w:r>
      <w:r w:rsidRPr="00167CB8">
        <w:t xml:space="preserve">5,000 a year. This suggests that amendments to the assessment of the BOOT may have had a positive impact on ensuring the FWC maintain low approval timeframes. However, this may be attributed to other factors </w:t>
      </w:r>
      <w:r w:rsidR="002120CF" w:rsidRPr="00167CB8">
        <w:rPr>
          <w:rFonts w:ascii="Symbol" w:eastAsia="Symbol" w:hAnsi="Symbol" w:cs="Symbol"/>
        </w:rPr>
        <w:sym w:font="Symbol" w:char="F02D"/>
      </w:r>
      <w:r w:rsidR="002120CF" w:rsidRPr="00167CB8">
        <w:t xml:space="preserve"> for example,</w:t>
      </w:r>
      <w:r w:rsidRPr="00167CB8">
        <w:t xml:space="preserve"> the action</w:t>
      </w:r>
      <w:r w:rsidR="002120CF" w:rsidRPr="00167CB8">
        <w:t>s</w:t>
      </w:r>
      <w:r w:rsidRPr="00167CB8">
        <w:t xml:space="preserve"> taken by FWC in 2018</w:t>
      </w:r>
      <w:r w:rsidR="002120CF" w:rsidRPr="00167CB8">
        <w:rPr>
          <w:rFonts w:ascii="Symbol" w:eastAsia="Symbol" w:hAnsi="Symbol" w:cs="Symbol"/>
        </w:rPr>
        <w:sym w:font="Symbol" w:char="F02D"/>
      </w:r>
      <w:r w:rsidRPr="00167CB8">
        <w:t>19 to improve timeliness</w:t>
      </w:r>
      <w:r w:rsidR="002120CF" w:rsidRPr="00167CB8">
        <w:t>,</w:t>
      </w:r>
      <w:r w:rsidRPr="00167CB8">
        <w:t xml:space="preserve"> such as:</w:t>
      </w:r>
    </w:p>
    <w:p w14:paraId="7CBC7D74" w14:textId="77777777" w:rsidR="00173F8E" w:rsidRPr="00167CB8" w:rsidRDefault="00173F8E" w:rsidP="00EA3E2F">
      <w:pPr>
        <w:pStyle w:val="ListBullet"/>
      </w:pPr>
      <w:r w:rsidRPr="00167CB8">
        <w:t>publishing a guide to assist parties to make compliant agreement applications</w:t>
      </w:r>
    </w:p>
    <w:p w14:paraId="6625CF3D" w14:textId="1C1E71EB" w:rsidR="00173F8E" w:rsidRPr="00167CB8" w:rsidRDefault="00173F8E" w:rsidP="00EA3E2F">
      <w:pPr>
        <w:pStyle w:val="ListBullet"/>
      </w:pPr>
      <w:r w:rsidRPr="00167CB8">
        <w:t xml:space="preserve">increasing resources allocated to assessing agreement applications </w:t>
      </w:r>
    </w:p>
    <w:p w14:paraId="538C39FD" w14:textId="77777777" w:rsidR="00173F8E" w:rsidRPr="00167CB8" w:rsidRDefault="00173F8E" w:rsidP="00EA3E2F">
      <w:pPr>
        <w:pStyle w:val="ListBullet"/>
      </w:pPr>
      <w:r w:rsidRPr="00167CB8">
        <w:t>establishing a user group comprising of the employers and organisations that lodged, or were associated with lodging, a substantial number of agreement applications in 2018.</w:t>
      </w:r>
      <w:r w:rsidRPr="00167CB8">
        <w:rPr>
          <w:rStyle w:val="FootnoteReference"/>
        </w:rPr>
        <w:footnoteReference w:id="633"/>
      </w:r>
      <w:r w:rsidRPr="00167CB8">
        <w:t xml:space="preserve"> </w:t>
      </w:r>
    </w:p>
    <w:p w14:paraId="45998F27" w14:textId="769C1ADE" w:rsidR="00173F8E" w:rsidRPr="00167CB8" w:rsidRDefault="00173F8E" w:rsidP="00173F8E">
      <w:r w:rsidRPr="00167CB8">
        <w:t xml:space="preserve">Another factor to consider is that the data provided by FWC to </w:t>
      </w:r>
      <w:r w:rsidRPr="00167CB8">
        <w:rPr>
          <w:bCs/>
        </w:rPr>
        <w:t>the Review</w:t>
      </w:r>
      <w:r w:rsidRPr="00167CB8">
        <w:t xml:space="preserve"> Panel (28 November 2024) and data from FWC </w:t>
      </w:r>
      <w:r w:rsidR="002120CF" w:rsidRPr="00167CB8">
        <w:t>a</w:t>
      </w:r>
      <w:r w:rsidRPr="00167CB8">
        <w:t>nnual reports does not separate ‘Agreements approved with undertakings’ by the content of the undertakings. Therefore, the Review Panel is unable to differentiate between agreements where undertakings are provided in response to BOOT concerns and those provided to address another concern (</w:t>
      </w:r>
      <w:r w:rsidR="002120CF" w:rsidRPr="00167CB8">
        <w:t xml:space="preserve">e.g. </w:t>
      </w:r>
      <w:r w:rsidRPr="00167CB8">
        <w:t xml:space="preserve">inconsistency with the </w:t>
      </w:r>
      <w:r w:rsidR="00060EFE" w:rsidRPr="00167CB8">
        <w:t>National Employment Standards (</w:t>
      </w:r>
      <w:r w:rsidRPr="00167CB8">
        <w:t>NES</w:t>
      </w:r>
      <w:r w:rsidR="00060EFE" w:rsidRPr="00167CB8">
        <w:t>)</w:t>
      </w:r>
      <w:r w:rsidRPr="00167CB8">
        <w:t>).</w:t>
      </w:r>
    </w:p>
    <w:p w14:paraId="2F15A8C1" w14:textId="1F70BB66" w:rsidR="00173F8E" w:rsidRPr="00167CB8" w:rsidRDefault="00173F8E" w:rsidP="00173F8E">
      <w:pPr>
        <w:rPr>
          <w:b/>
        </w:rPr>
      </w:pPr>
      <w:r w:rsidRPr="00167CB8">
        <w:t>However, the Review Panel has been provided data by the FWC which identifies its use of s</w:t>
      </w:r>
      <w:r w:rsidR="002120CF" w:rsidRPr="00167CB8">
        <w:t> </w:t>
      </w:r>
      <w:r w:rsidRPr="00167CB8">
        <w:t>191A to make amendments to an agreement where it holds concerns that the agreement does not pass the BOOT.</w:t>
      </w:r>
      <w:r w:rsidR="00EC0E14">
        <w:t xml:space="preserve"> Table 12</w:t>
      </w:r>
      <w:r w:rsidR="00831959">
        <w:t xml:space="preserve"> </w:t>
      </w:r>
      <w:r w:rsidRPr="00167CB8">
        <w:t>shows that agreements requiring undertakings for any reason or s</w:t>
      </w:r>
      <w:r w:rsidR="002120CF" w:rsidRPr="00167CB8">
        <w:t> </w:t>
      </w:r>
      <w:r w:rsidRPr="00167CB8">
        <w:t xml:space="preserve">191A amendments to address BOOT concerns tend to take longer to be approved. </w:t>
      </w:r>
      <w:r w:rsidR="00536260" w:rsidRPr="00167CB8">
        <w:t xml:space="preserve">The Panel acknowledges that the additional time to approve agreements with undertakings and/or amendments </w:t>
      </w:r>
      <w:r w:rsidRPr="00167CB8">
        <w:t>likely reflects the time taken by the FWC to consider views of</w:t>
      </w:r>
      <w:r w:rsidR="006C50BC" w:rsidRPr="00167CB8">
        <w:t xml:space="preserve"> the</w:t>
      </w:r>
      <w:r w:rsidRPr="00167CB8">
        <w:t xml:space="preserve"> parties before accepting undertakings and using its power under s</w:t>
      </w:r>
      <w:r w:rsidR="002120CF" w:rsidRPr="00167CB8">
        <w:t> </w:t>
      </w:r>
      <w:r w:rsidRPr="00167CB8">
        <w:t>191A to make amendments.</w:t>
      </w:r>
    </w:p>
    <w:p w14:paraId="6CF7C8EE" w14:textId="45280455" w:rsidR="00173F8E" w:rsidRPr="00167CB8" w:rsidRDefault="00173F8E" w:rsidP="00470AB9">
      <w:pPr>
        <w:pStyle w:val="Caption"/>
      </w:pPr>
      <w:r w:rsidRPr="00167CB8">
        <w:lastRenderedPageBreak/>
        <w:t xml:space="preserve">Table </w:t>
      </w:r>
      <w:r w:rsidR="00E15B28" w:rsidRPr="00167CB8">
        <w:t>12</w:t>
      </w:r>
      <w:r w:rsidRPr="00167CB8">
        <w:t>: Agreement approval applications and approval timeliness</w:t>
      </w:r>
    </w:p>
    <w:tbl>
      <w:tblPr>
        <w:tblStyle w:val="TableGrid"/>
        <w:tblW w:w="5000" w:type="pct"/>
        <w:tblLayout w:type="fixed"/>
        <w:tblLook w:val="04A0" w:firstRow="1" w:lastRow="0" w:firstColumn="1" w:lastColumn="0" w:noHBand="0" w:noVBand="1"/>
      </w:tblPr>
      <w:tblGrid>
        <w:gridCol w:w="486"/>
        <w:gridCol w:w="2537"/>
        <w:gridCol w:w="855"/>
        <w:gridCol w:w="857"/>
        <w:gridCol w:w="855"/>
        <w:gridCol w:w="857"/>
        <w:gridCol w:w="855"/>
        <w:gridCol w:w="857"/>
        <w:gridCol w:w="857"/>
      </w:tblGrid>
      <w:tr w:rsidR="00173F8E" w:rsidRPr="00167CB8" w14:paraId="0D80AE32" w14:textId="77777777">
        <w:tc>
          <w:tcPr>
            <w:tcW w:w="1677" w:type="pct"/>
            <w:gridSpan w:val="2"/>
          </w:tcPr>
          <w:p w14:paraId="78E443F9" w14:textId="77777777" w:rsidR="00173F8E" w:rsidRPr="005B299F" w:rsidRDefault="00173F8E">
            <w:pPr>
              <w:keepNext/>
              <w:keepLines/>
              <w:spacing w:after="0"/>
              <w:rPr>
                <w:b/>
                <w:bCs/>
              </w:rPr>
            </w:pPr>
          </w:p>
        </w:tc>
        <w:tc>
          <w:tcPr>
            <w:tcW w:w="474" w:type="pct"/>
          </w:tcPr>
          <w:p w14:paraId="6810AEDA" w14:textId="079BE78C" w:rsidR="00173F8E" w:rsidRPr="005B299F" w:rsidRDefault="00173F8E">
            <w:pPr>
              <w:keepNext/>
              <w:keepLines/>
              <w:spacing w:after="0"/>
              <w:rPr>
                <w:b/>
                <w:bCs/>
              </w:rPr>
            </w:pPr>
            <w:r w:rsidRPr="005B299F">
              <w:rPr>
                <w:b/>
                <w:bCs/>
              </w:rPr>
              <w:t>2017</w:t>
            </w:r>
            <w:r w:rsidR="002120CF" w:rsidRPr="005B299F">
              <w:rPr>
                <w:rFonts w:ascii="Symbol" w:eastAsia="Symbol" w:hAnsi="Symbol" w:cs="Symbol"/>
                <w:b/>
                <w:bCs/>
              </w:rPr>
              <w:sym w:font="Symbol" w:char="F02D"/>
            </w:r>
            <w:r w:rsidRPr="005B299F">
              <w:rPr>
                <w:b/>
                <w:bCs/>
              </w:rPr>
              <w:t>18</w:t>
            </w:r>
            <w:r w:rsidRPr="005B299F">
              <w:rPr>
                <w:rStyle w:val="FootnoteReference"/>
              </w:rPr>
              <w:footnoteReference w:id="634"/>
            </w:r>
          </w:p>
        </w:tc>
        <w:tc>
          <w:tcPr>
            <w:tcW w:w="475" w:type="pct"/>
          </w:tcPr>
          <w:p w14:paraId="6310C3B9" w14:textId="030E8EA0" w:rsidR="00173F8E" w:rsidRPr="005B299F" w:rsidRDefault="00173F8E">
            <w:pPr>
              <w:keepNext/>
              <w:keepLines/>
              <w:spacing w:after="0"/>
              <w:rPr>
                <w:b/>
                <w:bCs/>
              </w:rPr>
            </w:pPr>
            <w:r w:rsidRPr="005B299F">
              <w:rPr>
                <w:b/>
                <w:bCs/>
              </w:rPr>
              <w:t>2018</w:t>
            </w:r>
            <w:r w:rsidR="002120CF" w:rsidRPr="005B299F">
              <w:rPr>
                <w:rFonts w:ascii="Symbol" w:eastAsia="Symbol" w:hAnsi="Symbol" w:cs="Symbol"/>
                <w:b/>
                <w:bCs/>
              </w:rPr>
              <w:sym w:font="Symbol" w:char="F02D"/>
            </w:r>
            <w:r w:rsidRPr="005B299F">
              <w:rPr>
                <w:b/>
                <w:bCs/>
              </w:rPr>
              <w:t>19</w:t>
            </w:r>
            <w:r w:rsidRPr="005B299F">
              <w:rPr>
                <w:rStyle w:val="FootnoteReference"/>
              </w:rPr>
              <w:footnoteReference w:id="635"/>
            </w:r>
          </w:p>
        </w:tc>
        <w:tc>
          <w:tcPr>
            <w:tcW w:w="474" w:type="pct"/>
          </w:tcPr>
          <w:p w14:paraId="15318AF1" w14:textId="60823C68" w:rsidR="00173F8E" w:rsidRPr="005B299F" w:rsidRDefault="00173F8E">
            <w:pPr>
              <w:keepNext/>
              <w:keepLines/>
              <w:spacing w:after="0"/>
              <w:rPr>
                <w:b/>
                <w:bCs/>
              </w:rPr>
            </w:pPr>
            <w:r w:rsidRPr="005B299F">
              <w:rPr>
                <w:b/>
                <w:bCs/>
              </w:rPr>
              <w:t>2019</w:t>
            </w:r>
            <w:r w:rsidR="002120CF" w:rsidRPr="005B299F">
              <w:rPr>
                <w:rFonts w:ascii="Symbol" w:eastAsia="Symbol" w:hAnsi="Symbol" w:cs="Symbol"/>
                <w:b/>
                <w:bCs/>
              </w:rPr>
              <w:sym w:font="Symbol" w:char="F02D"/>
            </w:r>
            <w:r w:rsidRPr="005B299F">
              <w:rPr>
                <w:b/>
                <w:bCs/>
              </w:rPr>
              <w:t>20</w:t>
            </w:r>
            <w:r w:rsidRPr="005B299F">
              <w:rPr>
                <w:rStyle w:val="FootnoteReference"/>
              </w:rPr>
              <w:footnoteReference w:id="636"/>
            </w:r>
          </w:p>
        </w:tc>
        <w:tc>
          <w:tcPr>
            <w:tcW w:w="475" w:type="pct"/>
          </w:tcPr>
          <w:p w14:paraId="28AC0742" w14:textId="7F544908" w:rsidR="00173F8E" w:rsidRPr="005B299F" w:rsidRDefault="00173F8E">
            <w:pPr>
              <w:keepNext/>
              <w:keepLines/>
              <w:spacing w:after="0"/>
              <w:rPr>
                <w:b/>
                <w:bCs/>
              </w:rPr>
            </w:pPr>
            <w:r w:rsidRPr="005B299F">
              <w:rPr>
                <w:b/>
                <w:bCs/>
              </w:rPr>
              <w:t>2020</w:t>
            </w:r>
            <w:r w:rsidR="002120CF" w:rsidRPr="005B299F">
              <w:rPr>
                <w:rFonts w:ascii="Symbol" w:eastAsia="Symbol" w:hAnsi="Symbol" w:cs="Symbol"/>
                <w:b/>
                <w:bCs/>
              </w:rPr>
              <w:sym w:font="Symbol" w:char="F02D"/>
            </w:r>
            <w:r w:rsidRPr="005B299F">
              <w:rPr>
                <w:b/>
                <w:bCs/>
              </w:rPr>
              <w:t>21</w:t>
            </w:r>
            <w:r w:rsidRPr="005B299F">
              <w:rPr>
                <w:rStyle w:val="FootnoteReference"/>
              </w:rPr>
              <w:footnoteReference w:id="637"/>
            </w:r>
          </w:p>
        </w:tc>
        <w:tc>
          <w:tcPr>
            <w:tcW w:w="474" w:type="pct"/>
          </w:tcPr>
          <w:p w14:paraId="6A9F424B" w14:textId="5F82B449" w:rsidR="00173F8E" w:rsidRPr="005B299F" w:rsidRDefault="00173F8E">
            <w:pPr>
              <w:keepNext/>
              <w:keepLines/>
              <w:spacing w:after="0"/>
              <w:rPr>
                <w:b/>
                <w:bCs/>
              </w:rPr>
            </w:pPr>
            <w:r w:rsidRPr="005B299F">
              <w:rPr>
                <w:b/>
                <w:bCs/>
              </w:rPr>
              <w:t>2021</w:t>
            </w:r>
            <w:r w:rsidR="002120CF" w:rsidRPr="005B299F">
              <w:rPr>
                <w:rFonts w:ascii="Symbol" w:eastAsia="Symbol" w:hAnsi="Symbol" w:cs="Symbol"/>
                <w:b/>
                <w:bCs/>
              </w:rPr>
              <w:sym w:font="Symbol" w:char="F02D"/>
            </w:r>
            <w:r w:rsidRPr="005B299F">
              <w:rPr>
                <w:b/>
                <w:bCs/>
              </w:rPr>
              <w:t>22</w:t>
            </w:r>
            <w:r w:rsidRPr="005B299F">
              <w:rPr>
                <w:rStyle w:val="FootnoteReference"/>
              </w:rPr>
              <w:footnoteReference w:id="638"/>
            </w:r>
          </w:p>
        </w:tc>
        <w:tc>
          <w:tcPr>
            <w:tcW w:w="475" w:type="pct"/>
          </w:tcPr>
          <w:p w14:paraId="7ABF36D9" w14:textId="344B4271" w:rsidR="00173F8E" w:rsidRPr="005B299F" w:rsidRDefault="00173F8E">
            <w:pPr>
              <w:keepNext/>
              <w:keepLines/>
              <w:spacing w:after="0"/>
              <w:rPr>
                <w:b/>
                <w:bCs/>
              </w:rPr>
            </w:pPr>
            <w:r w:rsidRPr="005B299F">
              <w:rPr>
                <w:b/>
                <w:bCs/>
              </w:rPr>
              <w:t>2022</w:t>
            </w:r>
            <w:r w:rsidR="002120CF" w:rsidRPr="005B299F">
              <w:rPr>
                <w:rFonts w:ascii="Symbol" w:eastAsia="Symbol" w:hAnsi="Symbol" w:cs="Symbol"/>
                <w:b/>
                <w:bCs/>
              </w:rPr>
              <w:sym w:font="Symbol" w:char="F02D"/>
            </w:r>
            <w:r w:rsidRPr="005B299F">
              <w:rPr>
                <w:b/>
                <w:bCs/>
              </w:rPr>
              <w:t>23</w:t>
            </w:r>
            <w:r w:rsidRPr="005B299F">
              <w:rPr>
                <w:rStyle w:val="FootnoteReference"/>
              </w:rPr>
              <w:footnoteReference w:id="639"/>
            </w:r>
          </w:p>
        </w:tc>
        <w:tc>
          <w:tcPr>
            <w:tcW w:w="475" w:type="pct"/>
          </w:tcPr>
          <w:p w14:paraId="14A8097D" w14:textId="4640AE6F" w:rsidR="00173F8E" w:rsidRPr="005B299F" w:rsidRDefault="00173F8E">
            <w:pPr>
              <w:keepNext/>
              <w:keepLines/>
              <w:spacing w:after="0"/>
              <w:rPr>
                <w:b/>
                <w:bCs/>
              </w:rPr>
            </w:pPr>
            <w:r w:rsidRPr="005B299F">
              <w:rPr>
                <w:b/>
                <w:bCs/>
              </w:rPr>
              <w:t>2023</w:t>
            </w:r>
            <w:r w:rsidR="002120CF" w:rsidRPr="005B299F">
              <w:rPr>
                <w:rFonts w:ascii="Symbol" w:eastAsia="Symbol" w:hAnsi="Symbol" w:cs="Symbol"/>
                <w:b/>
                <w:bCs/>
              </w:rPr>
              <w:sym w:font="Symbol" w:char="F02D"/>
            </w:r>
            <w:r w:rsidRPr="005B299F">
              <w:rPr>
                <w:b/>
                <w:bCs/>
              </w:rPr>
              <w:t>24</w:t>
            </w:r>
            <w:r w:rsidRPr="005B299F">
              <w:rPr>
                <w:rStyle w:val="FootnoteReference"/>
              </w:rPr>
              <w:footnoteReference w:id="640"/>
            </w:r>
          </w:p>
        </w:tc>
      </w:tr>
      <w:tr w:rsidR="00173F8E" w:rsidRPr="00167CB8" w14:paraId="3B853E63" w14:textId="77777777">
        <w:tc>
          <w:tcPr>
            <w:tcW w:w="1677" w:type="pct"/>
            <w:gridSpan w:val="2"/>
          </w:tcPr>
          <w:p w14:paraId="1CA766F8" w14:textId="77777777" w:rsidR="00173F8E" w:rsidRPr="00167CB8" w:rsidRDefault="00173F8E">
            <w:pPr>
              <w:keepNext/>
              <w:keepLines/>
              <w:spacing w:after="0"/>
            </w:pPr>
            <w:r w:rsidRPr="00167CB8">
              <w:t>Agreement approval applications lodged</w:t>
            </w:r>
          </w:p>
        </w:tc>
        <w:tc>
          <w:tcPr>
            <w:tcW w:w="474" w:type="pct"/>
          </w:tcPr>
          <w:p w14:paraId="5D25F16A" w14:textId="77777777" w:rsidR="00173F8E" w:rsidRPr="00167CB8" w:rsidRDefault="00173F8E">
            <w:pPr>
              <w:keepNext/>
              <w:keepLines/>
              <w:spacing w:after="0"/>
            </w:pPr>
            <w:r w:rsidRPr="00167CB8">
              <w:t>5,287</w:t>
            </w:r>
          </w:p>
        </w:tc>
        <w:tc>
          <w:tcPr>
            <w:tcW w:w="475" w:type="pct"/>
          </w:tcPr>
          <w:p w14:paraId="13AB47A0" w14:textId="77777777" w:rsidR="00173F8E" w:rsidRPr="00167CB8" w:rsidRDefault="00173F8E">
            <w:pPr>
              <w:keepNext/>
              <w:keepLines/>
              <w:spacing w:after="0"/>
            </w:pPr>
            <w:r w:rsidRPr="00167CB8">
              <w:t>4,932</w:t>
            </w:r>
          </w:p>
        </w:tc>
        <w:tc>
          <w:tcPr>
            <w:tcW w:w="474" w:type="pct"/>
          </w:tcPr>
          <w:p w14:paraId="2CE78FFB" w14:textId="77777777" w:rsidR="00173F8E" w:rsidRPr="00167CB8" w:rsidRDefault="00173F8E">
            <w:pPr>
              <w:keepNext/>
              <w:keepLines/>
              <w:spacing w:after="0"/>
            </w:pPr>
            <w:r w:rsidRPr="00167CB8">
              <w:t>3,795</w:t>
            </w:r>
          </w:p>
        </w:tc>
        <w:tc>
          <w:tcPr>
            <w:tcW w:w="475" w:type="pct"/>
          </w:tcPr>
          <w:p w14:paraId="4A8B5544" w14:textId="77777777" w:rsidR="00173F8E" w:rsidRPr="00167CB8" w:rsidRDefault="00173F8E">
            <w:pPr>
              <w:keepNext/>
              <w:keepLines/>
              <w:spacing w:after="0"/>
            </w:pPr>
            <w:r w:rsidRPr="00167CB8">
              <w:t>3,753</w:t>
            </w:r>
          </w:p>
        </w:tc>
        <w:tc>
          <w:tcPr>
            <w:tcW w:w="474" w:type="pct"/>
          </w:tcPr>
          <w:p w14:paraId="5E52FDAC" w14:textId="77777777" w:rsidR="00173F8E" w:rsidRPr="00167CB8" w:rsidRDefault="00173F8E">
            <w:pPr>
              <w:keepNext/>
              <w:keepLines/>
              <w:spacing w:after="0"/>
            </w:pPr>
            <w:r w:rsidRPr="00167CB8">
              <w:t>4,516</w:t>
            </w:r>
          </w:p>
        </w:tc>
        <w:tc>
          <w:tcPr>
            <w:tcW w:w="475" w:type="pct"/>
          </w:tcPr>
          <w:p w14:paraId="30DAA5DF" w14:textId="77777777" w:rsidR="00173F8E" w:rsidRPr="00167CB8" w:rsidRDefault="00173F8E">
            <w:pPr>
              <w:keepNext/>
              <w:keepLines/>
              <w:spacing w:after="0"/>
            </w:pPr>
            <w:r w:rsidRPr="00167CB8">
              <w:t>4,173</w:t>
            </w:r>
          </w:p>
        </w:tc>
        <w:tc>
          <w:tcPr>
            <w:tcW w:w="475" w:type="pct"/>
          </w:tcPr>
          <w:p w14:paraId="4F1A358D" w14:textId="77777777" w:rsidR="00173F8E" w:rsidRPr="00167CB8" w:rsidRDefault="00173F8E">
            <w:pPr>
              <w:keepNext/>
              <w:keepLines/>
              <w:spacing w:after="0"/>
            </w:pPr>
            <w:r w:rsidRPr="00167CB8">
              <w:t>4,790</w:t>
            </w:r>
          </w:p>
        </w:tc>
      </w:tr>
      <w:tr w:rsidR="00173F8E" w:rsidRPr="00167CB8" w14:paraId="34386407" w14:textId="77777777">
        <w:tc>
          <w:tcPr>
            <w:tcW w:w="270" w:type="pct"/>
            <w:vMerge w:val="restart"/>
            <w:textDirection w:val="btLr"/>
          </w:tcPr>
          <w:p w14:paraId="01B71F7B" w14:textId="77777777" w:rsidR="00173F8E" w:rsidRPr="00167CB8" w:rsidRDefault="00173F8E">
            <w:pPr>
              <w:keepNext/>
              <w:keepLines/>
              <w:spacing w:after="0"/>
            </w:pPr>
            <w:r w:rsidRPr="00167CB8">
              <w:t>Median days to approval decision</w:t>
            </w:r>
          </w:p>
        </w:tc>
        <w:tc>
          <w:tcPr>
            <w:tcW w:w="1407" w:type="pct"/>
          </w:tcPr>
          <w:p w14:paraId="693F580B" w14:textId="77777777" w:rsidR="00173F8E" w:rsidRPr="00167CB8" w:rsidRDefault="00173F8E">
            <w:pPr>
              <w:keepNext/>
              <w:keepLines/>
              <w:spacing w:after="0"/>
            </w:pPr>
            <w:r w:rsidRPr="00167CB8">
              <w:t xml:space="preserve">Agreements approved without undertakings </w:t>
            </w:r>
          </w:p>
        </w:tc>
        <w:tc>
          <w:tcPr>
            <w:tcW w:w="474" w:type="pct"/>
          </w:tcPr>
          <w:p w14:paraId="3E219E34" w14:textId="77777777" w:rsidR="00173F8E" w:rsidRPr="00167CB8" w:rsidRDefault="00173F8E">
            <w:pPr>
              <w:keepNext/>
              <w:keepLines/>
              <w:spacing w:after="0"/>
            </w:pPr>
            <w:r w:rsidRPr="00167CB8">
              <w:t>32</w:t>
            </w:r>
          </w:p>
        </w:tc>
        <w:tc>
          <w:tcPr>
            <w:tcW w:w="475" w:type="pct"/>
          </w:tcPr>
          <w:p w14:paraId="2ABEF334" w14:textId="77777777" w:rsidR="00173F8E" w:rsidRPr="00167CB8" w:rsidRDefault="00173F8E">
            <w:pPr>
              <w:keepNext/>
              <w:keepLines/>
              <w:spacing w:after="0"/>
            </w:pPr>
            <w:r w:rsidRPr="00167CB8">
              <w:t>30</w:t>
            </w:r>
          </w:p>
        </w:tc>
        <w:tc>
          <w:tcPr>
            <w:tcW w:w="474" w:type="pct"/>
          </w:tcPr>
          <w:p w14:paraId="7A84E236" w14:textId="77777777" w:rsidR="00173F8E" w:rsidRPr="00167CB8" w:rsidRDefault="00173F8E">
            <w:pPr>
              <w:keepNext/>
              <w:keepLines/>
              <w:spacing w:after="0"/>
            </w:pPr>
            <w:r w:rsidRPr="00167CB8">
              <w:t>17</w:t>
            </w:r>
          </w:p>
        </w:tc>
        <w:tc>
          <w:tcPr>
            <w:tcW w:w="475" w:type="pct"/>
          </w:tcPr>
          <w:p w14:paraId="56E72707" w14:textId="77777777" w:rsidR="00173F8E" w:rsidRPr="00167CB8" w:rsidRDefault="00173F8E">
            <w:pPr>
              <w:keepNext/>
              <w:keepLines/>
              <w:spacing w:after="0"/>
            </w:pPr>
            <w:r w:rsidRPr="00167CB8">
              <w:t>14</w:t>
            </w:r>
          </w:p>
        </w:tc>
        <w:tc>
          <w:tcPr>
            <w:tcW w:w="474" w:type="pct"/>
          </w:tcPr>
          <w:p w14:paraId="7CD129A8" w14:textId="77777777" w:rsidR="00173F8E" w:rsidRPr="00167CB8" w:rsidRDefault="00173F8E">
            <w:pPr>
              <w:keepNext/>
              <w:keepLines/>
              <w:spacing w:after="0"/>
            </w:pPr>
            <w:r w:rsidRPr="00167CB8">
              <w:t>12</w:t>
            </w:r>
          </w:p>
        </w:tc>
        <w:tc>
          <w:tcPr>
            <w:tcW w:w="475" w:type="pct"/>
          </w:tcPr>
          <w:p w14:paraId="7F38045E" w14:textId="77777777" w:rsidR="00173F8E" w:rsidRPr="00167CB8" w:rsidRDefault="00173F8E">
            <w:pPr>
              <w:keepNext/>
              <w:keepLines/>
              <w:spacing w:after="0"/>
            </w:pPr>
            <w:r w:rsidRPr="00167CB8">
              <w:t xml:space="preserve">12 </w:t>
            </w:r>
          </w:p>
        </w:tc>
        <w:tc>
          <w:tcPr>
            <w:tcW w:w="475" w:type="pct"/>
          </w:tcPr>
          <w:p w14:paraId="230C918C" w14:textId="77777777" w:rsidR="00173F8E" w:rsidRPr="00167CB8" w:rsidRDefault="00173F8E">
            <w:pPr>
              <w:keepNext/>
              <w:keepLines/>
              <w:spacing w:after="0"/>
            </w:pPr>
            <w:r w:rsidRPr="00167CB8">
              <w:t xml:space="preserve">12 </w:t>
            </w:r>
          </w:p>
        </w:tc>
      </w:tr>
      <w:tr w:rsidR="00173F8E" w:rsidRPr="00167CB8" w14:paraId="09D77037" w14:textId="77777777">
        <w:tc>
          <w:tcPr>
            <w:tcW w:w="270" w:type="pct"/>
            <w:vMerge/>
          </w:tcPr>
          <w:p w14:paraId="726234E9" w14:textId="77777777" w:rsidR="00173F8E" w:rsidRPr="00167CB8" w:rsidRDefault="00173F8E">
            <w:pPr>
              <w:keepNext/>
              <w:keepLines/>
              <w:spacing w:after="0"/>
            </w:pPr>
          </w:p>
        </w:tc>
        <w:tc>
          <w:tcPr>
            <w:tcW w:w="1407" w:type="pct"/>
          </w:tcPr>
          <w:p w14:paraId="3C94BCB7" w14:textId="77777777" w:rsidR="00173F8E" w:rsidRPr="00167CB8" w:rsidRDefault="00173F8E">
            <w:pPr>
              <w:keepNext/>
              <w:keepLines/>
              <w:spacing w:after="0"/>
            </w:pPr>
            <w:r w:rsidRPr="00167CB8">
              <w:t xml:space="preserve">Agreements approved with undertakings </w:t>
            </w:r>
          </w:p>
        </w:tc>
        <w:tc>
          <w:tcPr>
            <w:tcW w:w="474" w:type="pct"/>
          </w:tcPr>
          <w:p w14:paraId="31188BE0" w14:textId="2B3B0E77" w:rsidR="00173F8E" w:rsidRPr="00167CB8" w:rsidRDefault="00F3466C">
            <w:pPr>
              <w:keepNext/>
              <w:keepLines/>
              <w:spacing w:after="0"/>
            </w:pPr>
            <w:r w:rsidRPr="00167CB8">
              <w:t>^</w:t>
            </w:r>
          </w:p>
        </w:tc>
        <w:tc>
          <w:tcPr>
            <w:tcW w:w="475" w:type="pct"/>
          </w:tcPr>
          <w:p w14:paraId="15BAF096" w14:textId="13A6C00D" w:rsidR="00173F8E" w:rsidRPr="00167CB8" w:rsidRDefault="00F3466C">
            <w:pPr>
              <w:keepNext/>
              <w:keepLines/>
              <w:spacing w:after="0"/>
            </w:pPr>
            <w:r w:rsidRPr="00167CB8">
              <w:t>^</w:t>
            </w:r>
          </w:p>
        </w:tc>
        <w:tc>
          <w:tcPr>
            <w:tcW w:w="474" w:type="pct"/>
          </w:tcPr>
          <w:p w14:paraId="3FAC66A9" w14:textId="7F227DDF" w:rsidR="00173F8E" w:rsidRPr="00167CB8" w:rsidRDefault="00F3466C">
            <w:pPr>
              <w:keepNext/>
              <w:keepLines/>
              <w:spacing w:after="0"/>
            </w:pPr>
            <w:r w:rsidRPr="00167CB8">
              <w:t>^</w:t>
            </w:r>
          </w:p>
        </w:tc>
        <w:tc>
          <w:tcPr>
            <w:tcW w:w="475" w:type="pct"/>
          </w:tcPr>
          <w:p w14:paraId="53EB35C3" w14:textId="6943DB54" w:rsidR="00173F8E" w:rsidRPr="00167CB8" w:rsidRDefault="00F3466C">
            <w:pPr>
              <w:keepNext/>
              <w:keepLines/>
              <w:spacing w:after="0"/>
            </w:pPr>
            <w:r w:rsidRPr="00167CB8">
              <w:t>^</w:t>
            </w:r>
          </w:p>
        </w:tc>
        <w:tc>
          <w:tcPr>
            <w:tcW w:w="474" w:type="pct"/>
          </w:tcPr>
          <w:p w14:paraId="017A67EA" w14:textId="77777777" w:rsidR="00173F8E" w:rsidRPr="00167CB8" w:rsidRDefault="00173F8E">
            <w:pPr>
              <w:keepNext/>
              <w:keepLines/>
              <w:spacing w:after="0"/>
            </w:pPr>
            <w:r w:rsidRPr="00167CB8">
              <w:t>22*</w:t>
            </w:r>
          </w:p>
        </w:tc>
        <w:tc>
          <w:tcPr>
            <w:tcW w:w="475" w:type="pct"/>
          </w:tcPr>
          <w:p w14:paraId="4FF128F7" w14:textId="77777777" w:rsidR="00173F8E" w:rsidRPr="00167CB8" w:rsidRDefault="00173F8E">
            <w:pPr>
              <w:keepNext/>
              <w:keepLines/>
              <w:spacing w:after="0"/>
            </w:pPr>
            <w:r w:rsidRPr="00167CB8">
              <w:t>22*</w:t>
            </w:r>
          </w:p>
        </w:tc>
        <w:tc>
          <w:tcPr>
            <w:tcW w:w="475" w:type="pct"/>
          </w:tcPr>
          <w:p w14:paraId="71BD64F8" w14:textId="77777777" w:rsidR="00173F8E" w:rsidRPr="00167CB8" w:rsidRDefault="00173F8E">
            <w:pPr>
              <w:keepNext/>
              <w:keepLines/>
              <w:spacing w:after="0"/>
            </w:pPr>
            <w:r w:rsidRPr="00167CB8">
              <w:t>23*</w:t>
            </w:r>
          </w:p>
        </w:tc>
      </w:tr>
      <w:tr w:rsidR="00173F8E" w:rsidRPr="00167CB8" w14:paraId="1E2EAB68" w14:textId="77777777">
        <w:tc>
          <w:tcPr>
            <w:tcW w:w="270" w:type="pct"/>
            <w:vMerge/>
          </w:tcPr>
          <w:p w14:paraId="28F893AC" w14:textId="77777777" w:rsidR="00173F8E" w:rsidRPr="00167CB8" w:rsidRDefault="00173F8E">
            <w:pPr>
              <w:keepNext/>
              <w:keepLines/>
              <w:spacing w:after="0"/>
            </w:pPr>
          </w:p>
        </w:tc>
        <w:tc>
          <w:tcPr>
            <w:tcW w:w="1407" w:type="pct"/>
          </w:tcPr>
          <w:p w14:paraId="6345EEF8" w14:textId="3A70B9CE" w:rsidR="00173F8E" w:rsidRPr="00167CB8" w:rsidRDefault="00173F8E">
            <w:pPr>
              <w:keepNext/>
              <w:keepLines/>
              <w:spacing w:after="0"/>
            </w:pPr>
            <w:r w:rsidRPr="00167CB8">
              <w:t>Agreements approved with s</w:t>
            </w:r>
            <w:r w:rsidR="002120CF" w:rsidRPr="00167CB8">
              <w:t> </w:t>
            </w:r>
            <w:r w:rsidRPr="00167CB8">
              <w:t xml:space="preserve">191A amendments </w:t>
            </w:r>
          </w:p>
        </w:tc>
        <w:tc>
          <w:tcPr>
            <w:tcW w:w="474" w:type="pct"/>
          </w:tcPr>
          <w:p w14:paraId="0CED96DC" w14:textId="77777777" w:rsidR="00173F8E" w:rsidRPr="00167CB8" w:rsidRDefault="00173F8E">
            <w:pPr>
              <w:keepNext/>
              <w:keepLines/>
              <w:spacing w:after="0"/>
            </w:pPr>
            <w:r w:rsidRPr="00167CB8">
              <w:t>N/A</w:t>
            </w:r>
          </w:p>
        </w:tc>
        <w:tc>
          <w:tcPr>
            <w:tcW w:w="475" w:type="pct"/>
          </w:tcPr>
          <w:p w14:paraId="11C12594" w14:textId="77777777" w:rsidR="00173F8E" w:rsidRPr="00167CB8" w:rsidRDefault="00173F8E">
            <w:pPr>
              <w:keepNext/>
              <w:keepLines/>
              <w:spacing w:after="0"/>
            </w:pPr>
            <w:r w:rsidRPr="00167CB8">
              <w:t>N/A</w:t>
            </w:r>
          </w:p>
        </w:tc>
        <w:tc>
          <w:tcPr>
            <w:tcW w:w="474" w:type="pct"/>
          </w:tcPr>
          <w:p w14:paraId="39CB6653" w14:textId="77777777" w:rsidR="00173F8E" w:rsidRPr="00167CB8" w:rsidRDefault="00173F8E">
            <w:pPr>
              <w:keepNext/>
              <w:keepLines/>
              <w:spacing w:after="0"/>
            </w:pPr>
            <w:r w:rsidRPr="00167CB8">
              <w:t>N/A</w:t>
            </w:r>
          </w:p>
        </w:tc>
        <w:tc>
          <w:tcPr>
            <w:tcW w:w="475" w:type="pct"/>
          </w:tcPr>
          <w:p w14:paraId="4B214389" w14:textId="77777777" w:rsidR="00173F8E" w:rsidRPr="00167CB8" w:rsidRDefault="00173F8E">
            <w:pPr>
              <w:keepNext/>
              <w:keepLines/>
              <w:spacing w:after="0"/>
            </w:pPr>
            <w:r w:rsidRPr="00167CB8">
              <w:t>N/A</w:t>
            </w:r>
          </w:p>
        </w:tc>
        <w:tc>
          <w:tcPr>
            <w:tcW w:w="474" w:type="pct"/>
          </w:tcPr>
          <w:p w14:paraId="5628C040" w14:textId="77777777" w:rsidR="00173F8E" w:rsidRPr="00167CB8" w:rsidRDefault="00173F8E">
            <w:pPr>
              <w:keepNext/>
              <w:keepLines/>
              <w:spacing w:after="0"/>
            </w:pPr>
            <w:r w:rsidRPr="00167CB8">
              <w:t>N/A</w:t>
            </w:r>
          </w:p>
        </w:tc>
        <w:tc>
          <w:tcPr>
            <w:tcW w:w="475" w:type="pct"/>
          </w:tcPr>
          <w:p w14:paraId="74643D26" w14:textId="77777777" w:rsidR="00173F8E" w:rsidRPr="00167CB8" w:rsidRDefault="00173F8E">
            <w:pPr>
              <w:keepNext/>
              <w:keepLines/>
              <w:spacing w:after="0"/>
            </w:pPr>
            <w:r w:rsidRPr="00167CB8">
              <w:t>N/A</w:t>
            </w:r>
          </w:p>
        </w:tc>
        <w:tc>
          <w:tcPr>
            <w:tcW w:w="475" w:type="pct"/>
          </w:tcPr>
          <w:p w14:paraId="448ADC35" w14:textId="77777777" w:rsidR="00173F8E" w:rsidRPr="00167CB8" w:rsidRDefault="00173F8E">
            <w:pPr>
              <w:keepNext/>
              <w:keepLines/>
              <w:spacing w:after="0"/>
            </w:pPr>
            <w:r w:rsidRPr="00167CB8">
              <w:t>32*</w:t>
            </w:r>
          </w:p>
        </w:tc>
      </w:tr>
      <w:tr w:rsidR="00173F8E" w:rsidRPr="00167CB8" w14:paraId="623BFBCA" w14:textId="77777777">
        <w:tc>
          <w:tcPr>
            <w:tcW w:w="270" w:type="pct"/>
            <w:vMerge/>
          </w:tcPr>
          <w:p w14:paraId="7F727990" w14:textId="77777777" w:rsidR="00173F8E" w:rsidRPr="00167CB8" w:rsidRDefault="00173F8E">
            <w:pPr>
              <w:keepNext/>
              <w:keepLines/>
              <w:spacing w:after="0"/>
            </w:pPr>
          </w:p>
        </w:tc>
        <w:tc>
          <w:tcPr>
            <w:tcW w:w="1407" w:type="pct"/>
          </w:tcPr>
          <w:p w14:paraId="65AE7FC6" w14:textId="1194F9BE" w:rsidR="00173F8E" w:rsidRPr="00167CB8" w:rsidRDefault="00173F8E">
            <w:pPr>
              <w:keepNext/>
              <w:keepLines/>
              <w:spacing w:after="0"/>
            </w:pPr>
            <w:r w:rsidRPr="00167CB8">
              <w:t>Agreements approved with s</w:t>
            </w:r>
            <w:r w:rsidR="002120CF" w:rsidRPr="00167CB8">
              <w:t> </w:t>
            </w:r>
            <w:r w:rsidRPr="00167CB8">
              <w:t xml:space="preserve">191A amendments and undertakings </w:t>
            </w:r>
          </w:p>
        </w:tc>
        <w:tc>
          <w:tcPr>
            <w:tcW w:w="474" w:type="pct"/>
          </w:tcPr>
          <w:p w14:paraId="7268AF82" w14:textId="77777777" w:rsidR="00173F8E" w:rsidRPr="00167CB8" w:rsidRDefault="00173F8E">
            <w:pPr>
              <w:keepNext/>
              <w:keepLines/>
              <w:spacing w:after="0"/>
            </w:pPr>
            <w:r w:rsidRPr="00167CB8">
              <w:t>N/A</w:t>
            </w:r>
          </w:p>
        </w:tc>
        <w:tc>
          <w:tcPr>
            <w:tcW w:w="475" w:type="pct"/>
          </w:tcPr>
          <w:p w14:paraId="3522139A" w14:textId="77777777" w:rsidR="00173F8E" w:rsidRPr="00167CB8" w:rsidRDefault="00173F8E">
            <w:pPr>
              <w:keepNext/>
              <w:keepLines/>
              <w:spacing w:after="0"/>
            </w:pPr>
            <w:r w:rsidRPr="00167CB8">
              <w:t>N/A</w:t>
            </w:r>
          </w:p>
        </w:tc>
        <w:tc>
          <w:tcPr>
            <w:tcW w:w="474" w:type="pct"/>
          </w:tcPr>
          <w:p w14:paraId="7756BAB5" w14:textId="77777777" w:rsidR="00173F8E" w:rsidRPr="00167CB8" w:rsidRDefault="00173F8E">
            <w:pPr>
              <w:keepNext/>
              <w:keepLines/>
              <w:spacing w:after="0"/>
            </w:pPr>
            <w:r w:rsidRPr="00167CB8">
              <w:t>N/A</w:t>
            </w:r>
          </w:p>
        </w:tc>
        <w:tc>
          <w:tcPr>
            <w:tcW w:w="475" w:type="pct"/>
          </w:tcPr>
          <w:p w14:paraId="5545A1B2" w14:textId="77777777" w:rsidR="00173F8E" w:rsidRPr="00167CB8" w:rsidRDefault="00173F8E">
            <w:pPr>
              <w:keepNext/>
              <w:keepLines/>
              <w:spacing w:after="0"/>
            </w:pPr>
            <w:r w:rsidRPr="00167CB8">
              <w:t>N/A</w:t>
            </w:r>
          </w:p>
        </w:tc>
        <w:tc>
          <w:tcPr>
            <w:tcW w:w="474" w:type="pct"/>
          </w:tcPr>
          <w:p w14:paraId="6B5911E3" w14:textId="77777777" w:rsidR="00173F8E" w:rsidRPr="00167CB8" w:rsidRDefault="00173F8E">
            <w:pPr>
              <w:keepNext/>
              <w:keepLines/>
              <w:spacing w:after="0"/>
            </w:pPr>
            <w:r w:rsidRPr="00167CB8">
              <w:t>N/A</w:t>
            </w:r>
          </w:p>
        </w:tc>
        <w:tc>
          <w:tcPr>
            <w:tcW w:w="475" w:type="pct"/>
          </w:tcPr>
          <w:p w14:paraId="531024B4" w14:textId="77777777" w:rsidR="00173F8E" w:rsidRPr="00167CB8" w:rsidRDefault="00173F8E">
            <w:pPr>
              <w:keepNext/>
              <w:keepLines/>
              <w:spacing w:after="0"/>
            </w:pPr>
            <w:r w:rsidRPr="00167CB8">
              <w:t>31*</w:t>
            </w:r>
          </w:p>
        </w:tc>
        <w:tc>
          <w:tcPr>
            <w:tcW w:w="475" w:type="pct"/>
          </w:tcPr>
          <w:p w14:paraId="2D5CF551" w14:textId="77777777" w:rsidR="00173F8E" w:rsidRPr="00167CB8" w:rsidRDefault="00173F8E">
            <w:pPr>
              <w:keepNext/>
              <w:keepLines/>
              <w:spacing w:after="0"/>
            </w:pPr>
            <w:r w:rsidRPr="00167CB8">
              <w:t>20*</w:t>
            </w:r>
          </w:p>
        </w:tc>
      </w:tr>
      <w:tr w:rsidR="00173F8E" w:rsidRPr="00167CB8" w14:paraId="1F6D973B" w14:textId="77777777">
        <w:tc>
          <w:tcPr>
            <w:tcW w:w="270" w:type="pct"/>
            <w:vMerge/>
          </w:tcPr>
          <w:p w14:paraId="32376CA5" w14:textId="77777777" w:rsidR="00173F8E" w:rsidRPr="00167CB8" w:rsidRDefault="00173F8E">
            <w:pPr>
              <w:keepNext/>
              <w:keepLines/>
              <w:spacing w:after="0"/>
            </w:pPr>
          </w:p>
        </w:tc>
        <w:tc>
          <w:tcPr>
            <w:tcW w:w="1407" w:type="pct"/>
          </w:tcPr>
          <w:p w14:paraId="134FBDE0" w14:textId="77777777" w:rsidR="00173F8E" w:rsidRPr="00167CB8" w:rsidRDefault="00173F8E">
            <w:pPr>
              <w:keepNext/>
              <w:keepLines/>
              <w:spacing w:after="0"/>
            </w:pPr>
            <w:r w:rsidRPr="00167CB8">
              <w:t xml:space="preserve">All agreements approved </w:t>
            </w:r>
          </w:p>
        </w:tc>
        <w:tc>
          <w:tcPr>
            <w:tcW w:w="474" w:type="pct"/>
          </w:tcPr>
          <w:p w14:paraId="7533FC3C" w14:textId="77777777" w:rsidR="00173F8E" w:rsidRPr="00167CB8" w:rsidRDefault="00173F8E">
            <w:pPr>
              <w:keepNext/>
              <w:keepLines/>
              <w:spacing w:after="0"/>
            </w:pPr>
            <w:r w:rsidRPr="00167CB8">
              <w:t>76</w:t>
            </w:r>
          </w:p>
        </w:tc>
        <w:tc>
          <w:tcPr>
            <w:tcW w:w="475" w:type="pct"/>
          </w:tcPr>
          <w:p w14:paraId="66607D09" w14:textId="77777777" w:rsidR="00173F8E" w:rsidRPr="00167CB8" w:rsidRDefault="00173F8E">
            <w:pPr>
              <w:keepNext/>
              <w:keepLines/>
              <w:spacing w:after="0"/>
            </w:pPr>
            <w:r w:rsidRPr="00167CB8">
              <w:t>79</w:t>
            </w:r>
          </w:p>
        </w:tc>
        <w:tc>
          <w:tcPr>
            <w:tcW w:w="474" w:type="pct"/>
          </w:tcPr>
          <w:p w14:paraId="1EA9AA33" w14:textId="77777777" w:rsidR="00173F8E" w:rsidRPr="00167CB8" w:rsidRDefault="00173F8E">
            <w:pPr>
              <w:keepNext/>
              <w:keepLines/>
              <w:spacing w:after="0"/>
            </w:pPr>
            <w:r w:rsidRPr="00167CB8">
              <w:t>33</w:t>
            </w:r>
          </w:p>
        </w:tc>
        <w:tc>
          <w:tcPr>
            <w:tcW w:w="475" w:type="pct"/>
          </w:tcPr>
          <w:p w14:paraId="6DF31787" w14:textId="77777777" w:rsidR="00173F8E" w:rsidRPr="00167CB8" w:rsidRDefault="00173F8E">
            <w:pPr>
              <w:keepNext/>
              <w:keepLines/>
              <w:spacing w:after="0"/>
            </w:pPr>
            <w:r w:rsidRPr="00167CB8">
              <w:t>20</w:t>
            </w:r>
          </w:p>
        </w:tc>
        <w:tc>
          <w:tcPr>
            <w:tcW w:w="474" w:type="pct"/>
          </w:tcPr>
          <w:p w14:paraId="21DA8E4E" w14:textId="77777777" w:rsidR="00173F8E" w:rsidRPr="00167CB8" w:rsidRDefault="00173F8E">
            <w:pPr>
              <w:keepNext/>
              <w:keepLines/>
              <w:spacing w:after="0"/>
            </w:pPr>
            <w:r w:rsidRPr="00167CB8">
              <w:t>15</w:t>
            </w:r>
          </w:p>
        </w:tc>
        <w:tc>
          <w:tcPr>
            <w:tcW w:w="475" w:type="pct"/>
          </w:tcPr>
          <w:p w14:paraId="58920E57" w14:textId="77777777" w:rsidR="00173F8E" w:rsidRPr="00167CB8" w:rsidRDefault="00173F8E">
            <w:pPr>
              <w:keepNext/>
              <w:keepLines/>
              <w:spacing w:after="0"/>
            </w:pPr>
            <w:r w:rsidRPr="00167CB8">
              <w:t>17*</w:t>
            </w:r>
          </w:p>
        </w:tc>
        <w:tc>
          <w:tcPr>
            <w:tcW w:w="475" w:type="pct"/>
          </w:tcPr>
          <w:p w14:paraId="763D0ECC" w14:textId="77777777" w:rsidR="00173F8E" w:rsidRPr="00167CB8" w:rsidRDefault="00173F8E">
            <w:pPr>
              <w:keepNext/>
              <w:keepLines/>
              <w:spacing w:after="0"/>
            </w:pPr>
            <w:r w:rsidRPr="00167CB8">
              <w:t>16*</w:t>
            </w:r>
          </w:p>
        </w:tc>
      </w:tr>
    </w:tbl>
    <w:p w14:paraId="7B5EBDA8" w14:textId="37281A9A" w:rsidR="00F3466C" w:rsidRPr="00167CB8" w:rsidRDefault="00173F8E" w:rsidP="002120CF">
      <w:pPr>
        <w:pStyle w:val="Source"/>
      </w:pPr>
      <w:r w:rsidRPr="00167CB8">
        <w:t>*</w:t>
      </w:r>
      <w:r w:rsidR="00060EFE" w:rsidRPr="00167CB8">
        <w:t xml:space="preserve"> </w:t>
      </w:r>
      <w:r w:rsidRPr="00167CB8">
        <w:t>Calculated from data provided by FWC</w:t>
      </w:r>
      <w:r w:rsidR="00F3466C" w:rsidRPr="00167CB8">
        <w:br/>
        <w:t>^ Data not available at the time of publication of the report.</w:t>
      </w:r>
    </w:p>
    <w:p w14:paraId="10ADF2B2" w14:textId="1D43BDC8" w:rsidR="00D35AAB" w:rsidRPr="00167CB8" w:rsidRDefault="00D35AAB" w:rsidP="00D35AAB">
      <w:pPr>
        <w:pStyle w:val="Source"/>
      </w:pPr>
      <w:r w:rsidRPr="00167CB8">
        <w:rPr>
          <w:b/>
          <w:bCs/>
        </w:rPr>
        <w:t>Source:</w:t>
      </w:r>
      <w:r w:rsidRPr="00167CB8">
        <w:t xml:space="preserve"> Data provided to the Review by the FWC.</w:t>
      </w:r>
    </w:p>
    <w:p w14:paraId="652D547C" w14:textId="743C1D23" w:rsidR="00173F8E" w:rsidRPr="00167CB8" w:rsidRDefault="00543D93" w:rsidP="00173F8E">
      <w:r w:rsidRPr="00167CB8">
        <w:t xml:space="preserve">Second, in </w:t>
      </w:r>
      <w:r w:rsidR="00173F8E" w:rsidRPr="00167CB8">
        <w:t xml:space="preserve">relation to agreements approved with undertaking and/or amendments, the available data does not show any significant trends. Table </w:t>
      </w:r>
      <w:r w:rsidR="001E39BD" w:rsidRPr="00167CB8">
        <w:t>13</w:t>
      </w:r>
      <w:r w:rsidRPr="00167CB8">
        <w:t xml:space="preserve"> </w:t>
      </w:r>
      <w:r w:rsidR="00173F8E" w:rsidRPr="00167CB8">
        <w:t>shows that the proportion of agreements approved with undertakings has remained stable and there has been limited use of the new provisions under s</w:t>
      </w:r>
      <w:r w:rsidR="002120CF" w:rsidRPr="00167CB8">
        <w:t> </w:t>
      </w:r>
      <w:r w:rsidR="00173F8E" w:rsidRPr="00167CB8">
        <w:t>191A of the Fair Work Act.</w:t>
      </w:r>
    </w:p>
    <w:p w14:paraId="71786FB8" w14:textId="77777777" w:rsidR="005B299F" w:rsidRDefault="005B299F">
      <w:pPr>
        <w:spacing w:after="160"/>
        <w:rPr>
          <w:rFonts w:cs="Calibri"/>
          <w:b/>
          <w:bCs/>
          <w:lang w:val="en-US"/>
        </w:rPr>
      </w:pPr>
      <w:r>
        <w:br w:type="page"/>
      </w:r>
    </w:p>
    <w:p w14:paraId="170F00D3" w14:textId="69C97AC9" w:rsidR="00173F8E" w:rsidRPr="00167CB8" w:rsidRDefault="00173F8E" w:rsidP="00470AB9">
      <w:pPr>
        <w:pStyle w:val="Caption"/>
      </w:pPr>
      <w:r w:rsidRPr="00167CB8">
        <w:lastRenderedPageBreak/>
        <w:t xml:space="preserve">Table </w:t>
      </w:r>
      <w:r w:rsidR="00E11C54" w:rsidRPr="00167CB8">
        <w:t>13</w:t>
      </w:r>
      <w:r w:rsidRPr="00167CB8">
        <w:t>: Outcomes of enterprise agreement applications, by financial year</w:t>
      </w:r>
    </w:p>
    <w:tbl>
      <w:tblPr>
        <w:tblStyle w:val="TableGrid1"/>
        <w:tblW w:w="0" w:type="auto"/>
        <w:tblLook w:val="04A0" w:firstRow="1" w:lastRow="0" w:firstColumn="1" w:lastColumn="0" w:noHBand="0" w:noVBand="1"/>
      </w:tblPr>
      <w:tblGrid>
        <w:gridCol w:w="1927"/>
        <w:gridCol w:w="1176"/>
        <w:gridCol w:w="1187"/>
        <w:gridCol w:w="1176"/>
        <w:gridCol w:w="1187"/>
        <w:gridCol w:w="1176"/>
        <w:gridCol w:w="1187"/>
      </w:tblGrid>
      <w:tr w:rsidR="00173F8E" w:rsidRPr="00167CB8" w14:paraId="042821C2" w14:textId="77777777">
        <w:trPr>
          <w:cnfStyle w:val="100000000000" w:firstRow="1" w:lastRow="0" w:firstColumn="0" w:lastColumn="0" w:oddVBand="0" w:evenVBand="0" w:oddHBand="0" w:evenHBand="0" w:firstRowFirstColumn="0" w:firstRowLastColumn="0" w:lastRowFirstColumn="0" w:lastRowLastColumn="0"/>
        </w:trPr>
        <w:tc>
          <w:tcPr>
            <w:tcW w:w="1980" w:type="dxa"/>
            <w:vMerge w:val="restart"/>
          </w:tcPr>
          <w:p w14:paraId="359F6815" w14:textId="77777777" w:rsidR="00173F8E" w:rsidRPr="005B299F" w:rsidRDefault="00173F8E">
            <w:pPr>
              <w:spacing w:after="0"/>
              <w:rPr>
                <w:b/>
                <w:bCs/>
              </w:rPr>
            </w:pPr>
            <w:r w:rsidRPr="005B299F">
              <w:rPr>
                <w:b/>
                <w:bCs/>
              </w:rPr>
              <w:t>Result</w:t>
            </w:r>
          </w:p>
        </w:tc>
        <w:tc>
          <w:tcPr>
            <w:tcW w:w="2436" w:type="dxa"/>
            <w:gridSpan w:val="2"/>
          </w:tcPr>
          <w:p w14:paraId="3F68C7C5" w14:textId="26977B1B" w:rsidR="00173F8E" w:rsidRPr="005B299F" w:rsidRDefault="00173F8E">
            <w:pPr>
              <w:spacing w:after="0"/>
              <w:jc w:val="center"/>
              <w:rPr>
                <w:b/>
                <w:bCs/>
              </w:rPr>
            </w:pPr>
            <w:r w:rsidRPr="005B299F">
              <w:rPr>
                <w:b/>
                <w:bCs/>
              </w:rPr>
              <w:t>2021</w:t>
            </w:r>
            <w:r w:rsidR="002120CF" w:rsidRPr="005B299F">
              <w:rPr>
                <w:rFonts w:ascii="Symbol" w:eastAsia="Symbol" w:hAnsi="Symbol" w:cs="Symbol"/>
                <w:b/>
                <w:bCs/>
              </w:rPr>
              <w:sym w:font="Symbol" w:char="F02D"/>
            </w:r>
            <w:r w:rsidRPr="005B299F">
              <w:rPr>
                <w:b/>
                <w:bCs/>
              </w:rPr>
              <w:t>22</w:t>
            </w:r>
          </w:p>
        </w:tc>
        <w:tc>
          <w:tcPr>
            <w:tcW w:w="2436" w:type="dxa"/>
            <w:gridSpan w:val="2"/>
          </w:tcPr>
          <w:p w14:paraId="31C497C0" w14:textId="1C5A78A0" w:rsidR="00173F8E" w:rsidRPr="005B299F" w:rsidRDefault="00173F8E">
            <w:pPr>
              <w:spacing w:after="0"/>
              <w:jc w:val="center"/>
              <w:rPr>
                <w:b/>
                <w:bCs/>
              </w:rPr>
            </w:pPr>
            <w:r w:rsidRPr="005B299F">
              <w:rPr>
                <w:b/>
                <w:bCs/>
              </w:rPr>
              <w:t>2022</w:t>
            </w:r>
            <w:r w:rsidR="002120CF" w:rsidRPr="005B299F">
              <w:rPr>
                <w:rFonts w:ascii="Symbol" w:eastAsia="Symbol" w:hAnsi="Symbol" w:cs="Symbol"/>
                <w:b/>
                <w:bCs/>
              </w:rPr>
              <w:sym w:font="Symbol" w:char="F02D"/>
            </w:r>
            <w:r w:rsidRPr="005B299F">
              <w:rPr>
                <w:b/>
                <w:bCs/>
              </w:rPr>
              <w:t>23</w:t>
            </w:r>
          </w:p>
        </w:tc>
        <w:tc>
          <w:tcPr>
            <w:tcW w:w="2436" w:type="dxa"/>
            <w:gridSpan w:val="2"/>
          </w:tcPr>
          <w:p w14:paraId="5DFE69A7" w14:textId="55D26658" w:rsidR="00173F8E" w:rsidRPr="005B299F" w:rsidRDefault="00173F8E">
            <w:pPr>
              <w:spacing w:after="0"/>
              <w:jc w:val="center"/>
              <w:rPr>
                <w:b/>
                <w:bCs/>
              </w:rPr>
            </w:pPr>
            <w:r w:rsidRPr="005B299F">
              <w:rPr>
                <w:b/>
                <w:bCs/>
              </w:rPr>
              <w:t>2023</w:t>
            </w:r>
            <w:r w:rsidR="002120CF" w:rsidRPr="005B299F">
              <w:rPr>
                <w:rFonts w:ascii="Symbol" w:eastAsia="Symbol" w:hAnsi="Symbol" w:cs="Symbol"/>
                <w:b/>
                <w:bCs/>
              </w:rPr>
              <w:sym w:font="Symbol" w:char="F02D"/>
            </w:r>
            <w:r w:rsidRPr="005B299F">
              <w:rPr>
                <w:b/>
                <w:bCs/>
              </w:rPr>
              <w:t>24</w:t>
            </w:r>
          </w:p>
        </w:tc>
      </w:tr>
      <w:tr w:rsidR="00173F8E" w:rsidRPr="00167CB8" w14:paraId="5C51AD21" w14:textId="77777777">
        <w:tc>
          <w:tcPr>
            <w:tcW w:w="1980" w:type="dxa"/>
            <w:vMerge/>
          </w:tcPr>
          <w:p w14:paraId="12A3CD25" w14:textId="77777777" w:rsidR="00173F8E" w:rsidRPr="005B299F" w:rsidRDefault="00173F8E">
            <w:pPr>
              <w:spacing w:after="0"/>
              <w:rPr>
                <w:b/>
                <w:bCs/>
              </w:rPr>
            </w:pPr>
          </w:p>
        </w:tc>
        <w:tc>
          <w:tcPr>
            <w:tcW w:w="1218" w:type="dxa"/>
          </w:tcPr>
          <w:p w14:paraId="3101CABA" w14:textId="77777777" w:rsidR="00173F8E" w:rsidRPr="005B299F" w:rsidRDefault="00173F8E">
            <w:pPr>
              <w:spacing w:after="0"/>
              <w:jc w:val="center"/>
              <w:rPr>
                <w:b/>
                <w:bCs/>
              </w:rPr>
            </w:pPr>
            <w:r w:rsidRPr="005B299F">
              <w:rPr>
                <w:b/>
                <w:bCs/>
              </w:rPr>
              <w:t>Count</w:t>
            </w:r>
          </w:p>
        </w:tc>
        <w:tc>
          <w:tcPr>
            <w:tcW w:w="1218" w:type="dxa"/>
          </w:tcPr>
          <w:p w14:paraId="2CCB0395" w14:textId="77777777" w:rsidR="00173F8E" w:rsidRPr="005B299F" w:rsidRDefault="00173F8E">
            <w:pPr>
              <w:spacing w:after="0"/>
              <w:jc w:val="center"/>
              <w:rPr>
                <w:b/>
                <w:bCs/>
              </w:rPr>
            </w:pPr>
            <w:r w:rsidRPr="005B299F">
              <w:rPr>
                <w:b/>
                <w:bCs/>
              </w:rPr>
              <w:t>%</w:t>
            </w:r>
          </w:p>
        </w:tc>
        <w:tc>
          <w:tcPr>
            <w:tcW w:w="1218" w:type="dxa"/>
          </w:tcPr>
          <w:p w14:paraId="035545F2" w14:textId="77777777" w:rsidR="00173F8E" w:rsidRPr="005B299F" w:rsidRDefault="00173F8E">
            <w:pPr>
              <w:spacing w:after="0"/>
              <w:jc w:val="center"/>
              <w:rPr>
                <w:b/>
                <w:bCs/>
              </w:rPr>
            </w:pPr>
            <w:r w:rsidRPr="005B299F">
              <w:rPr>
                <w:b/>
                <w:bCs/>
              </w:rPr>
              <w:t>Count</w:t>
            </w:r>
          </w:p>
        </w:tc>
        <w:tc>
          <w:tcPr>
            <w:tcW w:w="1218" w:type="dxa"/>
          </w:tcPr>
          <w:p w14:paraId="79690E15" w14:textId="77777777" w:rsidR="00173F8E" w:rsidRPr="005B299F" w:rsidRDefault="00173F8E">
            <w:pPr>
              <w:spacing w:after="0"/>
              <w:jc w:val="center"/>
              <w:rPr>
                <w:b/>
                <w:bCs/>
              </w:rPr>
            </w:pPr>
            <w:r w:rsidRPr="005B299F">
              <w:rPr>
                <w:b/>
                <w:bCs/>
              </w:rPr>
              <w:t>%</w:t>
            </w:r>
          </w:p>
        </w:tc>
        <w:tc>
          <w:tcPr>
            <w:tcW w:w="1218" w:type="dxa"/>
          </w:tcPr>
          <w:p w14:paraId="4E4E2C2C" w14:textId="77777777" w:rsidR="00173F8E" w:rsidRPr="005B299F" w:rsidRDefault="00173F8E">
            <w:pPr>
              <w:spacing w:after="0"/>
              <w:jc w:val="center"/>
              <w:rPr>
                <w:b/>
                <w:bCs/>
              </w:rPr>
            </w:pPr>
            <w:r w:rsidRPr="005B299F">
              <w:rPr>
                <w:b/>
                <w:bCs/>
              </w:rPr>
              <w:t>Count</w:t>
            </w:r>
          </w:p>
        </w:tc>
        <w:tc>
          <w:tcPr>
            <w:tcW w:w="1218" w:type="dxa"/>
          </w:tcPr>
          <w:p w14:paraId="28017E29" w14:textId="77777777" w:rsidR="00173F8E" w:rsidRPr="005B299F" w:rsidRDefault="00173F8E">
            <w:pPr>
              <w:spacing w:after="0"/>
              <w:jc w:val="center"/>
              <w:rPr>
                <w:b/>
                <w:bCs/>
              </w:rPr>
            </w:pPr>
            <w:r w:rsidRPr="005B299F">
              <w:rPr>
                <w:b/>
                <w:bCs/>
              </w:rPr>
              <w:t>%</w:t>
            </w:r>
          </w:p>
        </w:tc>
      </w:tr>
      <w:tr w:rsidR="00173F8E" w:rsidRPr="00167CB8" w14:paraId="347083EA" w14:textId="77777777" w:rsidTr="00B508C9">
        <w:tc>
          <w:tcPr>
            <w:tcW w:w="1980" w:type="dxa"/>
          </w:tcPr>
          <w:p w14:paraId="446BBAB5" w14:textId="77777777" w:rsidR="00173F8E" w:rsidRPr="00167CB8" w:rsidRDefault="00173F8E">
            <w:pPr>
              <w:spacing w:after="0"/>
            </w:pPr>
            <w:r w:rsidRPr="00167CB8">
              <w:t>Approved without undertakings or amendments</w:t>
            </w:r>
          </w:p>
        </w:tc>
        <w:tc>
          <w:tcPr>
            <w:tcW w:w="1218" w:type="dxa"/>
            <w:vAlign w:val="center"/>
          </w:tcPr>
          <w:p w14:paraId="73E684EC" w14:textId="16A73F7A" w:rsidR="00173F8E" w:rsidRPr="00167CB8" w:rsidRDefault="00173F8E" w:rsidP="00B508C9">
            <w:pPr>
              <w:spacing w:after="0"/>
              <w:jc w:val="right"/>
            </w:pPr>
            <w:r w:rsidRPr="00167CB8">
              <w:t>2</w:t>
            </w:r>
            <w:r w:rsidR="002120CF" w:rsidRPr="00167CB8">
              <w:t>,</w:t>
            </w:r>
            <w:r w:rsidRPr="00167CB8">
              <w:t>253</w:t>
            </w:r>
          </w:p>
        </w:tc>
        <w:tc>
          <w:tcPr>
            <w:tcW w:w="1218" w:type="dxa"/>
            <w:vAlign w:val="center"/>
          </w:tcPr>
          <w:p w14:paraId="6D864366" w14:textId="77777777" w:rsidR="00173F8E" w:rsidRPr="00167CB8" w:rsidRDefault="00173F8E" w:rsidP="00B508C9">
            <w:pPr>
              <w:spacing w:after="0"/>
              <w:jc w:val="right"/>
            </w:pPr>
            <w:r w:rsidRPr="00167CB8">
              <w:rPr>
                <w:rFonts w:ascii="Aptos" w:hAnsi="Aptos" w:cs="Calibri"/>
                <w:color w:val="000000"/>
              </w:rPr>
              <w:t>49.9%</w:t>
            </w:r>
          </w:p>
        </w:tc>
        <w:tc>
          <w:tcPr>
            <w:tcW w:w="1218" w:type="dxa"/>
            <w:vAlign w:val="center"/>
          </w:tcPr>
          <w:p w14:paraId="52D48F06" w14:textId="44DF2EEE" w:rsidR="00173F8E" w:rsidRPr="00167CB8" w:rsidRDefault="00173F8E" w:rsidP="00B508C9">
            <w:pPr>
              <w:spacing w:after="0"/>
              <w:jc w:val="right"/>
            </w:pPr>
            <w:r w:rsidRPr="00167CB8">
              <w:t>1</w:t>
            </w:r>
            <w:r w:rsidR="002120CF" w:rsidRPr="00167CB8">
              <w:t>,</w:t>
            </w:r>
            <w:r w:rsidRPr="00167CB8">
              <w:t>885</w:t>
            </w:r>
          </w:p>
        </w:tc>
        <w:tc>
          <w:tcPr>
            <w:tcW w:w="1218" w:type="dxa"/>
            <w:vAlign w:val="center"/>
          </w:tcPr>
          <w:p w14:paraId="3F7FB378" w14:textId="77777777" w:rsidR="00173F8E" w:rsidRPr="00167CB8" w:rsidRDefault="00173F8E" w:rsidP="00B508C9">
            <w:pPr>
              <w:spacing w:after="0"/>
              <w:jc w:val="right"/>
            </w:pPr>
            <w:r w:rsidRPr="00167CB8">
              <w:rPr>
                <w:rFonts w:ascii="Aptos" w:hAnsi="Aptos" w:cs="Calibri"/>
                <w:color w:val="000000"/>
              </w:rPr>
              <w:t>45.2%</w:t>
            </w:r>
          </w:p>
        </w:tc>
        <w:tc>
          <w:tcPr>
            <w:tcW w:w="1218" w:type="dxa"/>
            <w:vAlign w:val="center"/>
          </w:tcPr>
          <w:p w14:paraId="2114D7B7" w14:textId="085AAF29" w:rsidR="00173F8E" w:rsidRPr="00167CB8" w:rsidRDefault="00173F8E" w:rsidP="00B508C9">
            <w:pPr>
              <w:spacing w:after="0"/>
              <w:jc w:val="right"/>
            </w:pPr>
            <w:r w:rsidRPr="00167CB8">
              <w:t>2</w:t>
            </w:r>
            <w:r w:rsidR="002120CF" w:rsidRPr="00167CB8">
              <w:t>,</w:t>
            </w:r>
            <w:r w:rsidRPr="00167CB8">
              <w:t>503</w:t>
            </w:r>
          </w:p>
        </w:tc>
        <w:tc>
          <w:tcPr>
            <w:tcW w:w="1218" w:type="dxa"/>
            <w:vAlign w:val="center"/>
          </w:tcPr>
          <w:p w14:paraId="37A44825" w14:textId="77777777" w:rsidR="00173F8E" w:rsidRPr="00167CB8" w:rsidRDefault="00173F8E" w:rsidP="00B508C9">
            <w:pPr>
              <w:spacing w:after="0"/>
              <w:jc w:val="right"/>
            </w:pPr>
            <w:r w:rsidRPr="00167CB8">
              <w:rPr>
                <w:rFonts w:ascii="Aptos" w:hAnsi="Aptos" w:cs="Calibri"/>
                <w:color w:val="000000"/>
              </w:rPr>
              <w:t>52.3%</w:t>
            </w:r>
          </w:p>
        </w:tc>
      </w:tr>
      <w:tr w:rsidR="00173F8E" w:rsidRPr="00167CB8" w14:paraId="6FECA84E" w14:textId="77777777" w:rsidTr="00B508C9">
        <w:tc>
          <w:tcPr>
            <w:tcW w:w="1980" w:type="dxa"/>
          </w:tcPr>
          <w:p w14:paraId="5B8184FE" w14:textId="77777777" w:rsidR="00173F8E" w:rsidRPr="00167CB8" w:rsidRDefault="00173F8E">
            <w:pPr>
              <w:spacing w:after="0"/>
            </w:pPr>
            <w:r w:rsidRPr="00167CB8">
              <w:t>Approved with amendments</w:t>
            </w:r>
          </w:p>
        </w:tc>
        <w:tc>
          <w:tcPr>
            <w:tcW w:w="1218" w:type="dxa"/>
            <w:vAlign w:val="center"/>
          </w:tcPr>
          <w:p w14:paraId="12D7EE13" w14:textId="77777777" w:rsidR="00173F8E" w:rsidRPr="00167CB8" w:rsidRDefault="00173F8E" w:rsidP="00B508C9">
            <w:pPr>
              <w:spacing w:after="0"/>
              <w:jc w:val="right"/>
            </w:pPr>
            <w:r w:rsidRPr="00167CB8">
              <w:t>0</w:t>
            </w:r>
          </w:p>
        </w:tc>
        <w:tc>
          <w:tcPr>
            <w:tcW w:w="1218" w:type="dxa"/>
            <w:vAlign w:val="center"/>
          </w:tcPr>
          <w:p w14:paraId="00D514AA" w14:textId="77777777" w:rsidR="00173F8E" w:rsidRPr="00167CB8" w:rsidRDefault="00173F8E" w:rsidP="00B508C9">
            <w:pPr>
              <w:spacing w:after="0"/>
              <w:jc w:val="right"/>
            </w:pPr>
            <w:r w:rsidRPr="00167CB8">
              <w:rPr>
                <w:rFonts w:ascii="Aptos" w:hAnsi="Aptos" w:cs="Calibri"/>
                <w:color w:val="000000"/>
              </w:rPr>
              <w:t>0.0%</w:t>
            </w:r>
          </w:p>
        </w:tc>
        <w:tc>
          <w:tcPr>
            <w:tcW w:w="1218" w:type="dxa"/>
            <w:vAlign w:val="center"/>
          </w:tcPr>
          <w:p w14:paraId="0986755C" w14:textId="77777777" w:rsidR="00173F8E" w:rsidRPr="00167CB8" w:rsidRDefault="00173F8E" w:rsidP="00B508C9">
            <w:pPr>
              <w:spacing w:after="0"/>
              <w:jc w:val="right"/>
            </w:pPr>
            <w:r w:rsidRPr="00167CB8">
              <w:t>0</w:t>
            </w:r>
          </w:p>
        </w:tc>
        <w:tc>
          <w:tcPr>
            <w:tcW w:w="1218" w:type="dxa"/>
            <w:vAlign w:val="center"/>
          </w:tcPr>
          <w:p w14:paraId="0650F55C" w14:textId="77777777" w:rsidR="00173F8E" w:rsidRPr="00167CB8" w:rsidRDefault="00173F8E" w:rsidP="00B508C9">
            <w:pPr>
              <w:spacing w:after="0"/>
              <w:jc w:val="right"/>
            </w:pPr>
            <w:r w:rsidRPr="00167CB8">
              <w:rPr>
                <w:rFonts w:ascii="Aptos" w:hAnsi="Aptos" w:cs="Calibri"/>
                <w:color w:val="000000"/>
              </w:rPr>
              <w:t>0.0%</w:t>
            </w:r>
          </w:p>
        </w:tc>
        <w:tc>
          <w:tcPr>
            <w:tcW w:w="1218" w:type="dxa"/>
            <w:vAlign w:val="center"/>
          </w:tcPr>
          <w:p w14:paraId="6AE18C78" w14:textId="77777777" w:rsidR="00173F8E" w:rsidRPr="00167CB8" w:rsidRDefault="00173F8E" w:rsidP="00B508C9">
            <w:pPr>
              <w:spacing w:after="0"/>
              <w:jc w:val="right"/>
            </w:pPr>
            <w:r w:rsidRPr="00167CB8">
              <w:t>20</w:t>
            </w:r>
          </w:p>
        </w:tc>
        <w:tc>
          <w:tcPr>
            <w:tcW w:w="1218" w:type="dxa"/>
            <w:vAlign w:val="center"/>
          </w:tcPr>
          <w:p w14:paraId="69D6C912" w14:textId="77777777" w:rsidR="00173F8E" w:rsidRPr="00167CB8" w:rsidRDefault="00173F8E" w:rsidP="00B508C9">
            <w:pPr>
              <w:spacing w:after="0"/>
              <w:jc w:val="right"/>
            </w:pPr>
            <w:r w:rsidRPr="00167CB8">
              <w:rPr>
                <w:rFonts w:ascii="Aptos" w:hAnsi="Aptos" w:cs="Calibri"/>
                <w:color w:val="000000"/>
              </w:rPr>
              <w:t>0.4%</w:t>
            </w:r>
          </w:p>
        </w:tc>
      </w:tr>
      <w:tr w:rsidR="00173F8E" w:rsidRPr="00167CB8" w14:paraId="553FB890" w14:textId="77777777" w:rsidTr="00B508C9">
        <w:tc>
          <w:tcPr>
            <w:tcW w:w="1980" w:type="dxa"/>
          </w:tcPr>
          <w:p w14:paraId="6501A056" w14:textId="77777777" w:rsidR="00173F8E" w:rsidRPr="00167CB8" w:rsidRDefault="00173F8E">
            <w:pPr>
              <w:spacing w:after="0"/>
            </w:pPr>
            <w:r w:rsidRPr="00167CB8">
              <w:t>Approved with undertakings</w:t>
            </w:r>
          </w:p>
        </w:tc>
        <w:tc>
          <w:tcPr>
            <w:tcW w:w="1218" w:type="dxa"/>
            <w:vAlign w:val="center"/>
          </w:tcPr>
          <w:p w14:paraId="0A70E195" w14:textId="45DD5176" w:rsidR="00173F8E" w:rsidRPr="00167CB8" w:rsidRDefault="00173F8E" w:rsidP="00B508C9">
            <w:pPr>
              <w:spacing w:after="0"/>
              <w:jc w:val="right"/>
            </w:pPr>
            <w:r w:rsidRPr="00167CB8">
              <w:t>2</w:t>
            </w:r>
            <w:r w:rsidR="002120CF" w:rsidRPr="00167CB8">
              <w:t>,</w:t>
            </w:r>
            <w:r w:rsidRPr="00167CB8">
              <w:t>108</w:t>
            </w:r>
          </w:p>
        </w:tc>
        <w:tc>
          <w:tcPr>
            <w:tcW w:w="1218" w:type="dxa"/>
            <w:vAlign w:val="center"/>
          </w:tcPr>
          <w:p w14:paraId="278AB88B" w14:textId="77777777" w:rsidR="00173F8E" w:rsidRPr="00167CB8" w:rsidRDefault="00173F8E" w:rsidP="00B508C9">
            <w:pPr>
              <w:spacing w:after="0"/>
              <w:jc w:val="right"/>
            </w:pPr>
            <w:r w:rsidRPr="00167CB8">
              <w:rPr>
                <w:rFonts w:ascii="Aptos" w:hAnsi="Aptos" w:cs="Calibri"/>
                <w:color w:val="000000"/>
              </w:rPr>
              <w:t>46.7%</w:t>
            </w:r>
          </w:p>
        </w:tc>
        <w:tc>
          <w:tcPr>
            <w:tcW w:w="1218" w:type="dxa"/>
            <w:vAlign w:val="center"/>
          </w:tcPr>
          <w:p w14:paraId="0FD674CE" w14:textId="46BC4E97" w:rsidR="00173F8E" w:rsidRPr="00167CB8" w:rsidRDefault="00173F8E" w:rsidP="00B508C9">
            <w:pPr>
              <w:spacing w:after="0"/>
              <w:jc w:val="right"/>
            </w:pPr>
            <w:r w:rsidRPr="00167CB8">
              <w:t>2</w:t>
            </w:r>
            <w:r w:rsidR="002120CF" w:rsidRPr="00167CB8">
              <w:t>,</w:t>
            </w:r>
            <w:r w:rsidRPr="00167CB8">
              <w:t>133</w:t>
            </w:r>
          </w:p>
        </w:tc>
        <w:tc>
          <w:tcPr>
            <w:tcW w:w="1218" w:type="dxa"/>
            <w:vAlign w:val="center"/>
          </w:tcPr>
          <w:p w14:paraId="314BC12D" w14:textId="77777777" w:rsidR="00173F8E" w:rsidRPr="00167CB8" w:rsidRDefault="00173F8E" w:rsidP="00B508C9">
            <w:pPr>
              <w:spacing w:after="0"/>
              <w:jc w:val="right"/>
            </w:pPr>
            <w:r w:rsidRPr="00167CB8">
              <w:rPr>
                <w:rFonts w:ascii="Aptos" w:hAnsi="Aptos" w:cs="Calibri"/>
                <w:color w:val="000000"/>
              </w:rPr>
              <w:t>51.1%</w:t>
            </w:r>
          </w:p>
        </w:tc>
        <w:tc>
          <w:tcPr>
            <w:tcW w:w="1218" w:type="dxa"/>
            <w:vAlign w:val="center"/>
          </w:tcPr>
          <w:p w14:paraId="423EB9FB" w14:textId="3C9FCD2B" w:rsidR="00173F8E" w:rsidRPr="00167CB8" w:rsidRDefault="00173F8E" w:rsidP="00B508C9">
            <w:pPr>
              <w:spacing w:after="0"/>
              <w:jc w:val="right"/>
            </w:pPr>
            <w:r w:rsidRPr="00167CB8">
              <w:t>2</w:t>
            </w:r>
            <w:r w:rsidR="002120CF" w:rsidRPr="00167CB8">
              <w:t>,</w:t>
            </w:r>
            <w:r w:rsidRPr="00167CB8">
              <w:t>038</w:t>
            </w:r>
          </w:p>
        </w:tc>
        <w:tc>
          <w:tcPr>
            <w:tcW w:w="1218" w:type="dxa"/>
            <w:vAlign w:val="center"/>
          </w:tcPr>
          <w:p w14:paraId="7B71BBD4" w14:textId="77777777" w:rsidR="00173F8E" w:rsidRPr="00167CB8" w:rsidRDefault="00173F8E" w:rsidP="00B508C9">
            <w:pPr>
              <w:spacing w:after="0"/>
              <w:jc w:val="right"/>
            </w:pPr>
            <w:r w:rsidRPr="00167CB8">
              <w:rPr>
                <w:rFonts w:ascii="Aptos" w:hAnsi="Aptos" w:cs="Calibri"/>
                <w:color w:val="000000"/>
              </w:rPr>
              <w:t>42.5%</w:t>
            </w:r>
          </w:p>
        </w:tc>
      </w:tr>
      <w:tr w:rsidR="00173F8E" w:rsidRPr="00167CB8" w14:paraId="0ABE18D8" w14:textId="77777777" w:rsidTr="00B508C9">
        <w:tc>
          <w:tcPr>
            <w:tcW w:w="1980" w:type="dxa"/>
          </w:tcPr>
          <w:p w14:paraId="08985298" w14:textId="77777777" w:rsidR="00173F8E" w:rsidRPr="00167CB8" w:rsidRDefault="00173F8E">
            <w:pPr>
              <w:spacing w:after="0"/>
            </w:pPr>
            <w:r w:rsidRPr="00167CB8">
              <w:t>Approved with undertakings and amendments</w:t>
            </w:r>
          </w:p>
        </w:tc>
        <w:tc>
          <w:tcPr>
            <w:tcW w:w="1218" w:type="dxa"/>
            <w:vAlign w:val="center"/>
          </w:tcPr>
          <w:p w14:paraId="56A5425F" w14:textId="77777777" w:rsidR="00173F8E" w:rsidRPr="00167CB8" w:rsidRDefault="00173F8E" w:rsidP="00B508C9">
            <w:pPr>
              <w:spacing w:after="0"/>
              <w:jc w:val="right"/>
            </w:pPr>
            <w:r w:rsidRPr="00167CB8">
              <w:t>0</w:t>
            </w:r>
          </w:p>
        </w:tc>
        <w:tc>
          <w:tcPr>
            <w:tcW w:w="1218" w:type="dxa"/>
            <w:vAlign w:val="center"/>
          </w:tcPr>
          <w:p w14:paraId="1CF01659" w14:textId="77777777" w:rsidR="00173F8E" w:rsidRPr="00167CB8" w:rsidRDefault="00173F8E" w:rsidP="00B508C9">
            <w:pPr>
              <w:spacing w:after="0"/>
              <w:jc w:val="right"/>
            </w:pPr>
            <w:r w:rsidRPr="00167CB8">
              <w:rPr>
                <w:rFonts w:ascii="Aptos" w:hAnsi="Aptos" w:cs="Calibri"/>
                <w:color w:val="000000"/>
              </w:rPr>
              <w:t>0.0%</w:t>
            </w:r>
          </w:p>
        </w:tc>
        <w:tc>
          <w:tcPr>
            <w:tcW w:w="1218" w:type="dxa"/>
            <w:vAlign w:val="center"/>
          </w:tcPr>
          <w:p w14:paraId="41961405" w14:textId="77777777" w:rsidR="00173F8E" w:rsidRPr="00167CB8" w:rsidRDefault="00173F8E" w:rsidP="00B508C9">
            <w:pPr>
              <w:spacing w:after="0"/>
              <w:jc w:val="right"/>
            </w:pPr>
            <w:r w:rsidRPr="00167CB8">
              <w:t>1</w:t>
            </w:r>
          </w:p>
        </w:tc>
        <w:tc>
          <w:tcPr>
            <w:tcW w:w="1218" w:type="dxa"/>
            <w:vAlign w:val="center"/>
          </w:tcPr>
          <w:p w14:paraId="358AECCB" w14:textId="77777777" w:rsidR="00173F8E" w:rsidRPr="00167CB8" w:rsidRDefault="00173F8E" w:rsidP="00B508C9">
            <w:pPr>
              <w:spacing w:after="0"/>
              <w:jc w:val="right"/>
            </w:pPr>
            <w:r w:rsidRPr="00167CB8">
              <w:rPr>
                <w:rFonts w:ascii="Aptos" w:hAnsi="Aptos" w:cs="Calibri"/>
                <w:color w:val="000000"/>
              </w:rPr>
              <w:t>0.0%</w:t>
            </w:r>
          </w:p>
        </w:tc>
        <w:tc>
          <w:tcPr>
            <w:tcW w:w="1218" w:type="dxa"/>
            <w:vAlign w:val="center"/>
          </w:tcPr>
          <w:p w14:paraId="2DAAED95" w14:textId="77777777" w:rsidR="00173F8E" w:rsidRPr="00167CB8" w:rsidRDefault="00173F8E" w:rsidP="00B508C9">
            <w:pPr>
              <w:spacing w:after="0"/>
              <w:jc w:val="right"/>
            </w:pPr>
            <w:r w:rsidRPr="00167CB8">
              <w:t>18</w:t>
            </w:r>
          </w:p>
        </w:tc>
        <w:tc>
          <w:tcPr>
            <w:tcW w:w="1218" w:type="dxa"/>
            <w:vAlign w:val="center"/>
          </w:tcPr>
          <w:p w14:paraId="11692BB2" w14:textId="77777777" w:rsidR="00173F8E" w:rsidRPr="00167CB8" w:rsidRDefault="00173F8E" w:rsidP="00B508C9">
            <w:pPr>
              <w:spacing w:after="0"/>
              <w:jc w:val="right"/>
            </w:pPr>
            <w:r w:rsidRPr="00167CB8">
              <w:rPr>
                <w:rFonts w:ascii="Aptos" w:hAnsi="Aptos" w:cs="Calibri"/>
                <w:color w:val="000000"/>
              </w:rPr>
              <w:t>0.4%</w:t>
            </w:r>
          </w:p>
        </w:tc>
      </w:tr>
      <w:tr w:rsidR="00173F8E" w:rsidRPr="00167CB8" w14:paraId="32CA7EB9" w14:textId="77777777" w:rsidTr="00B508C9">
        <w:tc>
          <w:tcPr>
            <w:tcW w:w="1980" w:type="dxa"/>
          </w:tcPr>
          <w:p w14:paraId="39CBCD64" w14:textId="77777777" w:rsidR="00173F8E" w:rsidRPr="00167CB8" w:rsidRDefault="00173F8E">
            <w:pPr>
              <w:spacing w:after="0"/>
            </w:pPr>
            <w:r w:rsidRPr="00167CB8">
              <w:t>Not approved</w:t>
            </w:r>
          </w:p>
        </w:tc>
        <w:tc>
          <w:tcPr>
            <w:tcW w:w="1218" w:type="dxa"/>
            <w:vAlign w:val="center"/>
          </w:tcPr>
          <w:p w14:paraId="5A9354A3" w14:textId="77777777" w:rsidR="00173F8E" w:rsidRPr="00167CB8" w:rsidRDefault="00173F8E" w:rsidP="00B508C9">
            <w:pPr>
              <w:spacing w:after="0"/>
              <w:jc w:val="right"/>
            </w:pPr>
            <w:r w:rsidRPr="00167CB8">
              <w:t>24</w:t>
            </w:r>
          </w:p>
        </w:tc>
        <w:tc>
          <w:tcPr>
            <w:tcW w:w="1218" w:type="dxa"/>
            <w:vAlign w:val="center"/>
          </w:tcPr>
          <w:p w14:paraId="6122CCDA" w14:textId="77777777" w:rsidR="00173F8E" w:rsidRPr="00167CB8" w:rsidRDefault="00173F8E" w:rsidP="00B508C9">
            <w:pPr>
              <w:spacing w:after="0"/>
              <w:jc w:val="right"/>
            </w:pPr>
            <w:r w:rsidRPr="00167CB8">
              <w:rPr>
                <w:rFonts w:ascii="Aptos" w:hAnsi="Aptos" w:cs="Calibri"/>
                <w:color w:val="000000"/>
              </w:rPr>
              <w:t>0.5%</w:t>
            </w:r>
          </w:p>
        </w:tc>
        <w:tc>
          <w:tcPr>
            <w:tcW w:w="1218" w:type="dxa"/>
            <w:vAlign w:val="center"/>
          </w:tcPr>
          <w:p w14:paraId="0F19A6A8" w14:textId="77777777" w:rsidR="00173F8E" w:rsidRPr="00167CB8" w:rsidRDefault="00173F8E" w:rsidP="00B508C9">
            <w:pPr>
              <w:spacing w:after="0"/>
              <w:jc w:val="right"/>
            </w:pPr>
            <w:r w:rsidRPr="00167CB8">
              <w:t>13</w:t>
            </w:r>
          </w:p>
        </w:tc>
        <w:tc>
          <w:tcPr>
            <w:tcW w:w="1218" w:type="dxa"/>
            <w:vAlign w:val="center"/>
          </w:tcPr>
          <w:p w14:paraId="661B3E3D" w14:textId="77777777" w:rsidR="00173F8E" w:rsidRPr="00167CB8" w:rsidRDefault="00173F8E" w:rsidP="00B508C9">
            <w:pPr>
              <w:spacing w:after="0"/>
              <w:jc w:val="right"/>
            </w:pPr>
            <w:r w:rsidRPr="00167CB8">
              <w:rPr>
                <w:rFonts w:ascii="Aptos" w:hAnsi="Aptos" w:cs="Calibri"/>
                <w:color w:val="000000"/>
              </w:rPr>
              <w:t>0.3%</w:t>
            </w:r>
          </w:p>
        </w:tc>
        <w:tc>
          <w:tcPr>
            <w:tcW w:w="1218" w:type="dxa"/>
            <w:vAlign w:val="center"/>
          </w:tcPr>
          <w:p w14:paraId="3E2FA7BE" w14:textId="77777777" w:rsidR="00173F8E" w:rsidRPr="00167CB8" w:rsidRDefault="00173F8E" w:rsidP="00B508C9">
            <w:pPr>
              <w:spacing w:after="0"/>
              <w:jc w:val="right"/>
            </w:pPr>
            <w:r w:rsidRPr="00167CB8">
              <w:t>34</w:t>
            </w:r>
          </w:p>
        </w:tc>
        <w:tc>
          <w:tcPr>
            <w:tcW w:w="1218" w:type="dxa"/>
            <w:vAlign w:val="center"/>
          </w:tcPr>
          <w:p w14:paraId="4542E7FC" w14:textId="77777777" w:rsidR="00173F8E" w:rsidRPr="00167CB8" w:rsidRDefault="00173F8E" w:rsidP="00B508C9">
            <w:pPr>
              <w:spacing w:after="0"/>
              <w:jc w:val="right"/>
            </w:pPr>
            <w:r w:rsidRPr="00167CB8">
              <w:rPr>
                <w:rFonts w:ascii="Aptos" w:hAnsi="Aptos" w:cs="Calibri"/>
                <w:color w:val="000000"/>
              </w:rPr>
              <w:t>0.7%</w:t>
            </w:r>
          </w:p>
        </w:tc>
      </w:tr>
      <w:tr w:rsidR="00173F8E" w:rsidRPr="00167CB8" w14:paraId="69B7A6E9" w14:textId="77777777" w:rsidTr="00B508C9">
        <w:tc>
          <w:tcPr>
            <w:tcW w:w="1980" w:type="dxa"/>
          </w:tcPr>
          <w:p w14:paraId="1D6C4052" w14:textId="77777777" w:rsidR="00173F8E" w:rsidRPr="00167CB8" w:rsidRDefault="00173F8E">
            <w:pPr>
              <w:spacing w:after="0"/>
            </w:pPr>
            <w:r w:rsidRPr="00167CB8">
              <w:t>Other (includes dismissed and withdrawn)</w:t>
            </w:r>
          </w:p>
        </w:tc>
        <w:tc>
          <w:tcPr>
            <w:tcW w:w="1218" w:type="dxa"/>
            <w:vAlign w:val="center"/>
          </w:tcPr>
          <w:p w14:paraId="5CEC5DB5" w14:textId="77777777" w:rsidR="00173F8E" w:rsidRPr="00167CB8" w:rsidRDefault="00173F8E" w:rsidP="00B508C9">
            <w:pPr>
              <w:spacing w:after="0"/>
              <w:jc w:val="right"/>
            </w:pPr>
            <w:r w:rsidRPr="00167CB8">
              <w:t>131</w:t>
            </w:r>
          </w:p>
        </w:tc>
        <w:tc>
          <w:tcPr>
            <w:tcW w:w="1218" w:type="dxa"/>
            <w:vAlign w:val="center"/>
          </w:tcPr>
          <w:p w14:paraId="72D3D360" w14:textId="77777777" w:rsidR="00173F8E" w:rsidRPr="00167CB8" w:rsidRDefault="00173F8E" w:rsidP="00B508C9">
            <w:pPr>
              <w:spacing w:after="0"/>
              <w:jc w:val="right"/>
            </w:pPr>
            <w:r w:rsidRPr="00167CB8">
              <w:rPr>
                <w:rFonts w:ascii="Aptos" w:hAnsi="Aptos" w:cs="Calibri"/>
                <w:color w:val="000000"/>
              </w:rPr>
              <w:t>2.9%</w:t>
            </w:r>
          </w:p>
        </w:tc>
        <w:tc>
          <w:tcPr>
            <w:tcW w:w="1218" w:type="dxa"/>
            <w:vAlign w:val="center"/>
          </w:tcPr>
          <w:p w14:paraId="4360F5EC" w14:textId="77777777" w:rsidR="00173F8E" w:rsidRPr="00167CB8" w:rsidRDefault="00173F8E" w:rsidP="00B508C9">
            <w:pPr>
              <w:spacing w:after="0"/>
              <w:jc w:val="right"/>
            </w:pPr>
            <w:r w:rsidRPr="00167CB8">
              <w:t>140</w:t>
            </w:r>
          </w:p>
        </w:tc>
        <w:tc>
          <w:tcPr>
            <w:tcW w:w="1218" w:type="dxa"/>
            <w:vAlign w:val="center"/>
          </w:tcPr>
          <w:p w14:paraId="79C735DF" w14:textId="77777777" w:rsidR="00173F8E" w:rsidRPr="00167CB8" w:rsidRDefault="00173F8E" w:rsidP="00B508C9">
            <w:pPr>
              <w:spacing w:after="0"/>
              <w:jc w:val="right"/>
            </w:pPr>
            <w:r w:rsidRPr="00167CB8">
              <w:rPr>
                <w:rFonts w:ascii="Aptos" w:hAnsi="Aptos" w:cs="Calibri"/>
                <w:color w:val="000000"/>
              </w:rPr>
              <w:t>3.4%</w:t>
            </w:r>
          </w:p>
        </w:tc>
        <w:tc>
          <w:tcPr>
            <w:tcW w:w="1218" w:type="dxa"/>
            <w:vAlign w:val="center"/>
          </w:tcPr>
          <w:p w14:paraId="6A6AB5BA" w14:textId="77777777" w:rsidR="00173F8E" w:rsidRPr="00167CB8" w:rsidRDefault="00173F8E" w:rsidP="00B508C9">
            <w:pPr>
              <w:spacing w:after="0"/>
              <w:jc w:val="right"/>
            </w:pPr>
            <w:r w:rsidRPr="00167CB8">
              <w:t>177</w:t>
            </w:r>
          </w:p>
        </w:tc>
        <w:tc>
          <w:tcPr>
            <w:tcW w:w="1218" w:type="dxa"/>
            <w:vAlign w:val="center"/>
          </w:tcPr>
          <w:p w14:paraId="1ACA9B61" w14:textId="77777777" w:rsidR="00173F8E" w:rsidRPr="00167CB8" w:rsidRDefault="00173F8E" w:rsidP="00B508C9">
            <w:pPr>
              <w:spacing w:after="0"/>
              <w:jc w:val="right"/>
            </w:pPr>
            <w:r w:rsidRPr="00167CB8">
              <w:rPr>
                <w:rFonts w:ascii="Aptos" w:hAnsi="Aptos" w:cs="Calibri"/>
                <w:color w:val="000000"/>
              </w:rPr>
              <w:t>3.7%</w:t>
            </w:r>
          </w:p>
        </w:tc>
      </w:tr>
      <w:tr w:rsidR="00173F8E" w:rsidRPr="00167CB8" w14:paraId="0FB4E321" w14:textId="77777777" w:rsidTr="00B508C9">
        <w:tc>
          <w:tcPr>
            <w:tcW w:w="1980" w:type="dxa"/>
          </w:tcPr>
          <w:p w14:paraId="458B2E35" w14:textId="77777777" w:rsidR="00173F8E" w:rsidRPr="00167CB8" w:rsidRDefault="00173F8E">
            <w:pPr>
              <w:spacing w:after="0"/>
            </w:pPr>
            <w:r w:rsidRPr="00167CB8">
              <w:t>Total</w:t>
            </w:r>
          </w:p>
        </w:tc>
        <w:tc>
          <w:tcPr>
            <w:tcW w:w="1218" w:type="dxa"/>
            <w:vAlign w:val="center"/>
          </w:tcPr>
          <w:p w14:paraId="077880DF" w14:textId="5B0DE8D0" w:rsidR="00173F8E" w:rsidRPr="00167CB8" w:rsidRDefault="00173F8E" w:rsidP="00B508C9">
            <w:pPr>
              <w:spacing w:after="0"/>
              <w:jc w:val="right"/>
            </w:pPr>
            <w:r w:rsidRPr="00167CB8">
              <w:t>4</w:t>
            </w:r>
            <w:r w:rsidR="002120CF" w:rsidRPr="00167CB8">
              <w:t>,</w:t>
            </w:r>
            <w:r w:rsidRPr="00167CB8">
              <w:t>516</w:t>
            </w:r>
          </w:p>
        </w:tc>
        <w:tc>
          <w:tcPr>
            <w:tcW w:w="1218" w:type="dxa"/>
            <w:vAlign w:val="center"/>
          </w:tcPr>
          <w:p w14:paraId="34F4A7C8" w14:textId="77777777" w:rsidR="00173F8E" w:rsidRPr="00167CB8" w:rsidRDefault="00173F8E" w:rsidP="00B508C9">
            <w:pPr>
              <w:spacing w:after="0"/>
              <w:jc w:val="right"/>
            </w:pPr>
            <w:r w:rsidRPr="00167CB8">
              <w:rPr>
                <w:rFonts w:ascii="Aptos" w:hAnsi="Aptos" w:cs="Calibri"/>
                <w:color w:val="000000"/>
              </w:rPr>
              <w:t>100.0%</w:t>
            </w:r>
          </w:p>
        </w:tc>
        <w:tc>
          <w:tcPr>
            <w:tcW w:w="1218" w:type="dxa"/>
            <w:vAlign w:val="center"/>
          </w:tcPr>
          <w:p w14:paraId="28D5630C" w14:textId="600D266C" w:rsidR="00173F8E" w:rsidRPr="00167CB8" w:rsidRDefault="00173F8E" w:rsidP="00B508C9">
            <w:pPr>
              <w:spacing w:after="0"/>
              <w:jc w:val="right"/>
            </w:pPr>
            <w:r w:rsidRPr="00167CB8">
              <w:t>4</w:t>
            </w:r>
            <w:r w:rsidR="002120CF" w:rsidRPr="00167CB8">
              <w:t>,</w:t>
            </w:r>
            <w:r w:rsidRPr="00167CB8">
              <w:t>172</w:t>
            </w:r>
          </w:p>
        </w:tc>
        <w:tc>
          <w:tcPr>
            <w:tcW w:w="1218" w:type="dxa"/>
            <w:vAlign w:val="center"/>
          </w:tcPr>
          <w:p w14:paraId="1D459077" w14:textId="77777777" w:rsidR="00173F8E" w:rsidRPr="00167CB8" w:rsidRDefault="00173F8E" w:rsidP="00B508C9">
            <w:pPr>
              <w:spacing w:after="0"/>
              <w:jc w:val="right"/>
            </w:pPr>
            <w:r w:rsidRPr="00167CB8">
              <w:rPr>
                <w:rFonts w:ascii="Aptos" w:hAnsi="Aptos" w:cs="Calibri"/>
                <w:color w:val="000000"/>
              </w:rPr>
              <w:t>100.0%</w:t>
            </w:r>
          </w:p>
        </w:tc>
        <w:tc>
          <w:tcPr>
            <w:tcW w:w="1218" w:type="dxa"/>
            <w:vAlign w:val="center"/>
          </w:tcPr>
          <w:p w14:paraId="10C3D530" w14:textId="7C00CEB7" w:rsidR="00173F8E" w:rsidRPr="00167CB8" w:rsidRDefault="00173F8E" w:rsidP="00B508C9">
            <w:pPr>
              <w:spacing w:after="0"/>
              <w:jc w:val="right"/>
            </w:pPr>
            <w:r w:rsidRPr="00167CB8">
              <w:t>4</w:t>
            </w:r>
            <w:r w:rsidR="002120CF" w:rsidRPr="00167CB8">
              <w:t>,</w:t>
            </w:r>
            <w:r w:rsidRPr="00167CB8">
              <w:t>790</w:t>
            </w:r>
          </w:p>
        </w:tc>
        <w:tc>
          <w:tcPr>
            <w:tcW w:w="1218" w:type="dxa"/>
            <w:vAlign w:val="center"/>
          </w:tcPr>
          <w:p w14:paraId="43D64F81" w14:textId="45A8D59E" w:rsidR="00173F8E" w:rsidRPr="00167CB8" w:rsidRDefault="00173F8E" w:rsidP="00B508C9">
            <w:pPr>
              <w:spacing w:after="0"/>
              <w:jc w:val="right"/>
            </w:pPr>
            <w:r w:rsidRPr="00167CB8">
              <w:rPr>
                <w:rFonts w:ascii="Aptos" w:hAnsi="Aptos" w:cs="Calibri"/>
                <w:color w:val="000000"/>
              </w:rPr>
              <w:t>100.0%</w:t>
            </w:r>
          </w:p>
        </w:tc>
      </w:tr>
    </w:tbl>
    <w:p w14:paraId="1178215F" w14:textId="77777777" w:rsidR="00D35AAB" w:rsidRPr="00167CB8" w:rsidRDefault="00D35AAB" w:rsidP="00D35AAB">
      <w:pPr>
        <w:pStyle w:val="Source"/>
      </w:pPr>
      <w:r w:rsidRPr="00167CB8">
        <w:rPr>
          <w:b/>
          <w:bCs/>
        </w:rPr>
        <w:t>Source:</w:t>
      </w:r>
      <w:r w:rsidRPr="00167CB8">
        <w:t xml:space="preserve"> Data provided to the Review by the FWC.</w:t>
      </w:r>
    </w:p>
    <w:p w14:paraId="4E018320" w14:textId="1D2326B5" w:rsidR="00173F8E" w:rsidRPr="00167CB8" w:rsidRDefault="00D70A9B" w:rsidP="00173F8E">
      <w:r w:rsidRPr="00167CB8">
        <w:t xml:space="preserve">Third, in </w:t>
      </w:r>
      <w:r w:rsidR="00173F8E" w:rsidRPr="00167CB8">
        <w:t>relation to reconsideration applications, in 2022</w:t>
      </w:r>
      <w:r w:rsidR="002120CF" w:rsidRPr="00167CB8">
        <w:rPr>
          <w:rFonts w:ascii="Symbol" w:eastAsia="Symbol" w:hAnsi="Symbol" w:cs="Symbol"/>
        </w:rPr>
        <w:sym w:font="Symbol" w:char="F02D"/>
      </w:r>
      <w:r w:rsidR="00173F8E" w:rsidRPr="00167CB8">
        <w:t>23</w:t>
      </w:r>
      <w:r w:rsidR="00173F8E" w:rsidRPr="00167CB8">
        <w:rPr>
          <w:rStyle w:val="FootnoteReference"/>
        </w:rPr>
        <w:footnoteReference w:id="641"/>
      </w:r>
      <w:r w:rsidR="00173F8E" w:rsidRPr="00167CB8">
        <w:t xml:space="preserve"> and 2023</w:t>
      </w:r>
      <w:r w:rsidR="002120CF" w:rsidRPr="00167CB8">
        <w:rPr>
          <w:rFonts w:ascii="Symbol" w:eastAsia="Symbol" w:hAnsi="Symbol" w:cs="Symbol"/>
        </w:rPr>
        <w:sym w:font="Symbol" w:char="F02D"/>
      </w:r>
      <w:r w:rsidR="00173F8E" w:rsidRPr="00167CB8">
        <w:t>24</w:t>
      </w:r>
      <w:r w:rsidR="00173F8E" w:rsidRPr="00167CB8">
        <w:rPr>
          <w:rStyle w:val="FootnoteReference"/>
        </w:rPr>
        <w:footnoteReference w:id="642"/>
      </w:r>
      <w:r w:rsidR="00173F8E" w:rsidRPr="00167CB8">
        <w:t xml:space="preserve"> the FWC received </w:t>
      </w:r>
      <w:r w:rsidR="002120CF" w:rsidRPr="00167CB8">
        <w:t xml:space="preserve">3 </w:t>
      </w:r>
      <w:r w:rsidR="00173F8E" w:rsidRPr="00167CB8">
        <w:t>applications under s</w:t>
      </w:r>
      <w:r w:rsidR="002120CF" w:rsidRPr="00167CB8">
        <w:t> </w:t>
      </w:r>
      <w:r w:rsidR="00173F8E" w:rsidRPr="00167CB8">
        <w:t xml:space="preserve">227A of the Fair Work Act. </w:t>
      </w:r>
    </w:p>
    <w:p w14:paraId="2B1037F8" w14:textId="3B5FB2B1" w:rsidR="00173F8E" w:rsidRPr="00167CB8" w:rsidRDefault="00173F8E" w:rsidP="00173F8E">
      <w:r w:rsidRPr="00167CB8">
        <w:t>Two of the applications were in relation to the same agreement and were dismissed as not meeting the conditions necessary for reconsideration.</w:t>
      </w:r>
      <w:r w:rsidRPr="00167CB8">
        <w:rPr>
          <w:vertAlign w:val="superscript"/>
        </w:rPr>
        <w:footnoteReference w:id="643"/>
      </w:r>
      <w:r w:rsidRPr="00167CB8">
        <w:t xml:space="preserve"> The other application for reconsideration of the BOOT was withdrawn. The limited use of the reconsideration applications may indicate that the Secure Jobs, Better Pay Act BOOT amendments have not led to any significant reduction in entitlements for workers.</w:t>
      </w:r>
    </w:p>
    <w:p w14:paraId="283FFAAA" w14:textId="61570348" w:rsidR="00173F8E" w:rsidRPr="00167CB8" w:rsidRDefault="006D0C76" w:rsidP="00173F8E">
      <w:pPr>
        <w:pStyle w:val="Heading5"/>
        <w:rPr>
          <w:rFonts w:asciiTheme="minorHAnsi" w:hAnsiTheme="minorHAnsi"/>
        </w:rPr>
      </w:pPr>
      <w:r w:rsidRPr="00167CB8">
        <w:rPr>
          <w:rFonts w:asciiTheme="minorHAnsi" w:hAnsiTheme="minorHAnsi"/>
        </w:rPr>
        <w:t>17</w:t>
      </w:r>
      <w:r w:rsidR="00173F8E" w:rsidRPr="00167CB8">
        <w:rPr>
          <w:rFonts w:asciiTheme="minorHAnsi" w:hAnsiTheme="minorHAnsi"/>
        </w:rPr>
        <w:t xml:space="preserve">.2.2 Qualitative </w:t>
      </w:r>
      <w:r w:rsidR="002120CF" w:rsidRPr="00167CB8">
        <w:rPr>
          <w:rFonts w:asciiTheme="minorHAnsi" w:hAnsiTheme="minorHAnsi"/>
        </w:rPr>
        <w:t>e</w:t>
      </w:r>
      <w:r w:rsidR="00173F8E" w:rsidRPr="00167CB8">
        <w:rPr>
          <w:rFonts w:asciiTheme="minorHAnsi" w:hAnsiTheme="minorHAnsi"/>
        </w:rPr>
        <w:t>vidence</w:t>
      </w:r>
    </w:p>
    <w:p w14:paraId="39800FDE" w14:textId="77777777" w:rsidR="00173F8E" w:rsidRPr="00167CB8" w:rsidRDefault="00173F8E" w:rsidP="00173F8E">
      <w:pPr>
        <w:spacing w:after="0"/>
      </w:pPr>
      <w:r w:rsidRPr="00167CB8">
        <w:t>The following decisions outline some examples where the FWC has considered the amended BOOT provisions.</w:t>
      </w:r>
    </w:p>
    <w:p w14:paraId="00ED95C3" w14:textId="77777777" w:rsidR="00173F8E" w:rsidRPr="00167CB8" w:rsidRDefault="00173F8E" w:rsidP="00173F8E">
      <w:pPr>
        <w:spacing w:after="0"/>
      </w:pPr>
    </w:p>
    <w:p w14:paraId="359712B6" w14:textId="6057CE35" w:rsidR="00173F8E" w:rsidRPr="00167CB8" w:rsidRDefault="00173F8E" w:rsidP="002120CF">
      <w:pPr>
        <w:pStyle w:val="ListNumber"/>
      </w:pPr>
      <w:r w:rsidRPr="00167CB8">
        <w:t xml:space="preserve">On 26 November 2024, in </w:t>
      </w:r>
      <w:r w:rsidRPr="00167CB8">
        <w:rPr>
          <w:i/>
        </w:rPr>
        <w:t>Qantas Airways Limited T/A Qantas Airways Ltd</w:t>
      </w:r>
      <w:r w:rsidR="002120CF" w:rsidRPr="00167CB8">
        <w:t>,</w:t>
      </w:r>
      <w:r w:rsidR="00060EFE" w:rsidRPr="00167CB8">
        <w:rPr>
          <w:rStyle w:val="FootnoteReference"/>
        </w:rPr>
        <w:footnoteReference w:id="644"/>
      </w:r>
      <w:r w:rsidR="002120CF" w:rsidRPr="00167CB8">
        <w:t xml:space="preserve"> the FWC</w:t>
      </w:r>
      <w:r w:rsidRPr="00167CB8">
        <w:t xml:space="preserve"> dealt with the issue of the BOOT in an enterprise agreement variation matter. Deputy President Saunders interpreted the BOOT in the following way:</w:t>
      </w:r>
    </w:p>
    <w:p w14:paraId="7FB5A4C9" w14:textId="33D4EFBA" w:rsidR="00173F8E" w:rsidRPr="00167CB8" w:rsidRDefault="00173F8E" w:rsidP="002120CF">
      <w:pPr>
        <w:pStyle w:val="List2"/>
      </w:pPr>
      <w:r w:rsidRPr="00167CB8">
        <w:rPr>
          <w:lang w:val="en-US"/>
        </w:rPr>
        <w:t>‘the BOOT is not applied as a line-by-line analysis. It is a global test requiring consideration of advantages and disadvantages to relevant employees. An enterprise agreement may pass the test even if some award benefits have been reduced, as long as overall, those reductions are more than offset by the benefits of the enterprise agreement</w:t>
      </w:r>
      <w:r w:rsidR="002120CF" w:rsidRPr="00167CB8">
        <w:rPr>
          <w:lang w:val="en-US"/>
        </w:rPr>
        <w:t>’</w:t>
      </w:r>
      <w:r w:rsidRPr="00167CB8">
        <w:rPr>
          <w:rStyle w:val="FootnoteReference"/>
          <w:lang w:val="en-US"/>
        </w:rPr>
        <w:footnoteReference w:id="645"/>
      </w:r>
    </w:p>
    <w:p w14:paraId="767FA20F" w14:textId="36906FD2" w:rsidR="00173F8E" w:rsidRPr="00167CB8" w:rsidDel="00477EEE" w:rsidRDefault="00173F8E" w:rsidP="002120CF">
      <w:pPr>
        <w:pStyle w:val="List2"/>
      </w:pPr>
      <w:r w:rsidRPr="00167CB8">
        <w:t>‘</w:t>
      </w:r>
      <w:r w:rsidRPr="00167CB8">
        <w:rPr>
          <w:lang w:val="en-US"/>
        </w:rPr>
        <w:t xml:space="preserve">It is clear from the references to </w:t>
      </w:r>
      <w:r w:rsidR="00A355E4" w:rsidRPr="00167CB8">
        <w:rPr>
          <w:lang w:val="en-US"/>
        </w:rPr>
        <w:t>‘</w:t>
      </w:r>
      <w:r w:rsidRPr="00167CB8">
        <w:rPr>
          <w:lang w:val="en-US"/>
        </w:rPr>
        <w:t>each ... employee</w:t>
      </w:r>
      <w:r w:rsidR="00A355E4" w:rsidRPr="00167CB8">
        <w:rPr>
          <w:lang w:val="en-US"/>
        </w:rPr>
        <w:t>’</w:t>
      </w:r>
      <w:r w:rsidRPr="00167CB8">
        <w:rPr>
          <w:lang w:val="en-US"/>
        </w:rPr>
        <w:t xml:space="preserve"> in section 193(1) of the Act that </w:t>
      </w:r>
      <w:r w:rsidRPr="00167CB8">
        <w:rPr>
          <w:i/>
          <w:lang w:val="en-US"/>
        </w:rPr>
        <w:t>every employee</w:t>
      </w:r>
      <w:r w:rsidRPr="00167CB8">
        <w:rPr>
          <w:lang w:val="en-US"/>
        </w:rPr>
        <w:t xml:space="preserve"> to whom the enterprise agreement will apply, if approved, must be </w:t>
      </w:r>
      <w:r w:rsidRPr="00167CB8">
        <w:rPr>
          <w:lang w:val="en-US"/>
        </w:rPr>
        <w:lastRenderedPageBreak/>
        <w:t>better off overall than if the relevant modern award applied to the employee. It is not enough that a majority or most of the employees to whom the enterprise agreement will apply, if approved, will be better off overall than if the relevant modern award applied’</w:t>
      </w:r>
      <w:r w:rsidRPr="00167CB8">
        <w:rPr>
          <w:rStyle w:val="FootnoteReference"/>
          <w:lang w:val="en-US"/>
        </w:rPr>
        <w:footnoteReference w:id="646"/>
      </w:r>
    </w:p>
    <w:p w14:paraId="19792126" w14:textId="6D9140E7" w:rsidR="00173F8E" w:rsidRPr="00167CB8" w:rsidRDefault="00173F8E" w:rsidP="00A355E4">
      <w:pPr>
        <w:pStyle w:val="ListNumber"/>
        <w:numPr>
          <w:ilvl w:val="0"/>
          <w:numId w:val="0"/>
        </w:numPr>
        <w:ind w:left="397"/>
      </w:pPr>
      <w:r w:rsidRPr="00167CB8">
        <w:t>The FWC was satisfied at the ‘test time’, having regard to ‘all the benefits and detriments in the Agreement compared to the relevant awards</w:t>
      </w:r>
      <w:r w:rsidR="00A355E4" w:rsidRPr="00167CB8">
        <w:t>’</w:t>
      </w:r>
      <w:r w:rsidRPr="00167CB8">
        <w:t>, that each award covered employee and ‘reasonably foreseeable employee’ would be better off overall if the varied agreement applied.</w:t>
      </w:r>
      <w:r w:rsidRPr="00167CB8">
        <w:rPr>
          <w:rStyle w:val="FootnoteReference"/>
        </w:rPr>
        <w:footnoteReference w:id="647"/>
      </w:r>
      <w:r w:rsidRPr="00167CB8">
        <w:t xml:space="preserve"> </w:t>
      </w:r>
    </w:p>
    <w:p w14:paraId="56F9607B" w14:textId="548E694D" w:rsidR="00173F8E" w:rsidRPr="00167CB8" w:rsidRDefault="00173F8E" w:rsidP="00A355E4">
      <w:pPr>
        <w:pStyle w:val="ListNumber"/>
      </w:pPr>
      <w:r w:rsidRPr="00167CB8">
        <w:t xml:space="preserve">Examples of what the FWC considers in the BOOT was outlined on 15 March 2024, in </w:t>
      </w:r>
      <w:r w:rsidRPr="00167CB8">
        <w:rPr>
          <w:i/>
        </w:rPr>
        <w:t>McMahon Services Australia Pty Ltd</w:t>
      </w:r>
      <w:r w:rsidRPr="00167CB8">
        <w:t>,</w:t>
      </w:r>
      <w:r w:rsidR="00060EFE" w:rsidRPr="00167CB8">
        <w:rPr>
          <w:rStyle w:val="FootnoteReference"/>
        </w:rPr>
        <w:footnoteReference w:id="648"/>
      </w:r>
      <w:r w:rsidRPr="00167CB8">
        <w:t xml:space="preserve"> including ‘higher wage rates, the increased daily fares, the more generous disability allowance, the redundancy scheme payments, and the provision of some maintenance insurance</w:t>
      </w:r>
      <w:r w:rsidR="00A355E4" w:rsidRPr="00167CB8">
        <w:t>’</w:t>
      </w:r>
      <w:r w:rsidRPr="00167CB8">
        <w:t>.</w:t>
      </w:r>
      <w:r w:rsidRPr="00167CB8">
        <w:rPr>
          <w:rStyle w:val="FootnoteReference"/>
        </w:rPr>
        <w:footnoteReference w:id="649"/>
      </w:r>
    </w:p>
    <w:p w14:paraId="37F738EF" w14:textId="766A9985" w:rsidR="00173F8E" w:rsidRPr="00167CB8" w:rsidRDefault="00173F8E" w:rsidP="00A355E4">
      <w:pPr>
        <w:pStyle w:val="ListNumber"/>
      </w:pPr>
      <w:r w:rsidRPr="00167CB8">
        <w:t xml:space="preserve">An instance of where the FWC found the BOOT was not met was in </w:t>
      </w:r>
      <w:r w:rsidRPr="00167CB8">
        <w:rPr>
          <w:i/>
        </w:rPr>
        <w:t>Skilled Workforce Solutions (NSW) Pty Ltd</w:t>
      </w:r>
      <w:r w:rsidRPr="00167CB8">
        <w:t>.</w:t>
      </w:r>
      <w:r w:rsidR="00060EFE" w:rsidRPr="00167CB8">
        <w:rPr>
          <w:rStyle w:val="FootnoteReference"/>
        </w:rPr>
        <w:footnoteReference w:id="650"/>
      </w:r>
      <w:r w:rsidRPr="00167CB8">
        <w:t xml:space="preserve"> The employee’s bargaining representative, the Mining and Energy Union (MEU), submitted that the application for approval of a single-enterprise agreement should not be approved because casual employees are not better off overall under the proposed agreement compared against the casual provisions of the Black Coal Mining Industry Award (BCMIA).</w:t>
      </w:r>
      <w:r w:rsidRPr="00167CB8">
        <w:rPr>
          <w:rStyle w:val="FootnoteReference"/>
        </w:rPr>
        <w:footnoteReference w:id="651"/>
      </w:r>
    </w:p>
    <w:p w14:paraId="224FF208" w14:textId="2901C5E2" w:rsidR="00173F8E" w:rsidRPr="00167CB8" w:rsidRDefault="00173F8E" w:rsidP="00A355E4">
      <w:pPr>
        <w:pStyle w:val="ListNumber"/>
        <w:numPr>
          <w:ilvl w:val="0"/>
          <w:numId w:val="0"/>
        </w:numPr>
        <w:ind w:left="397"/>
      </w:pPr>
      <w:r w:rsidRPr="00167CB8">
        <w:t xml:space="preserve">The FWC agreed with the MEU, holding the casual employees would be better off under the BCMIA than the proposed agreement when a 25% causal loading was applied to casual production and engineering employees. </w:t>
      </w:r>
      <w:r w:rsidR="00060EFE" w:rsidRPr="00167CB8">
        <w:t xml:space="preserve">Deputy President </w:t>
      </w:r>
      <w:r w:rsidRPr="00167CB8">
        <w:t>Slevin held ‘an assessment of the benefits that a 25% loading on ordinary rates of pay are inadequate to compensate’ the employees in question.</w:t>
      </w:r>
      <w:r w:rsidRPr="00167CB8">
        <w:rPr>
          <w:rStyle w:val="FootnoteReference"/>
        </w:rPr>
        <w:footnoteReference w:id="652"/>
      </w:r>
      <w:r w:rsidRPr="00167CB8">
        <w:t xml:space="preserve"> As a result, the BOOT was not met and the application was dismissed. </w:t>
      </w:r>
    </w:p>
    <w:p w14:paraId="7004E223" w14:textId="77777777" w:rsidR="00173F8E" w:rsidRPr="00167CB8" w:rsidRDefault="00173F8E" w:rsidP="00173F8E">
      <w:r w:rsidRPr="00167CB8">
        <w:t>No FWC decisions have considered or applied the substantive BOOT reconsideration provisions.</w:t>
      </w:r>
      <w:r w:rsidRPr="00167CB8" w:rsidDel="00AD152B">
        <w:t xml:space="preserve"> </w:t>
      </w:r>
    </w:p>
    <w:p w14:paraId="066452A1" w14:textId="39965B4C" w:rsidR="00173F8E" w:rsidRPr="00167CB8" w:rsidRDefault="006D0C76" w:rsidP="00173F8E">
      <w:pPr>
        <w:pStyle w:val="Heading5"/>
        <w:rPr>
          <w:rFonts w:asciiTheme="minorHAnsi" w:hAnsiTheme="minorHAnsi"/>
        </w:rPr>
      </w:pPr>
      <w:r w:rsidRPr="00167CB8">
        <w:rPr>
          <w:rFonts w:asciiTheme="minorHAnsi" w:hAnsiTheme="minorHAnsi"/>
        </w:rPr>
        <w:t>17</w:t>
      </w:r>
      <w:r w:rsidR="00173F8E" w:rsidRPr="00167CB8">
        <w:rPr>
          <w:rFonts w:asciiTheme="minorHAnsi" w:hAnsiTheme="minorHAnsi"/>
        </w:rPr>
        <w:t>.2.3 Stakeholder views</w:t>
      </w:r>
    </w:p>
    <w:p w14:paraId="51C28BFB" w14:textId="2573520E" w:rsidR="00173F8E" w:rsidRPr="00167CB8" w:rsidRDefault="00173F8E" w:rsidP="00173F8E">
      <w:r w:rsidRPr="00167CB8">
        <w:t>Overall, employers expressed a range of views in relation to the impact of the BOOT amendments. A few</w:t>
      </w:r>
      <w:r w:rsidRPr="00167CB8" w:rsidDel="00CE07BB">
        <w:t xml:space="preserve"> </w:t>
      </w:r>
      <w:r w:rsidRPr="00167CB8">
        <w:t>employer</w:t>
      </w:r>
      <w:r w:rsidRPr="00167CB8" w:rsidDel="002F7A6C">
        <w:t xml:space="preserve"> </w:t>
      </w:r>
      <w:r w:rsidRPr="00167CB8">
        <w:t>associations agree</w:t>
      </w:r>
      <w:r w:rsidR="00E031C2" w:rsidRPr="00167CB8">
        <w:t>d</w:t>
      </w:r>
      <w:r w:rsidRPr="00167CB8">
        <w:t xml:space="preserve"> that </w:t>
      </w:r>
      <w:r w:rsidRPr="00167CB8" w:rsidDel="00CE07BB">
        <w:t xml:space="preserve">some </w:t>
      </w:r>
      <w:r w:rsidRPr="00167CB8">
        <w:t>amendments have addressed existing issues with the operation of the BOOT, whereas other attempts to address issues have not resulted in a noticeable change.</w:t>
      </w:r>
    </w:p>
    <w:p w14:paraId="2F80FD71" w14:textId="6890A63F" w:rsidR="00173F8E" w:rsidRPr="00167CB8" w:rsidRDefault="00173F8E" w:rsidP="00173F8E">
      <w:r w:rsidRPr="00167CB8">
        <w:t xml:space="preserve">Some employer groups, such as </w:t>
      </w:r>
      <w:r w:rsidR="00060EFE" w:rsidRPr="00167CB8">
        <w:t xml:space="preserve">Australian Retailers Association (ARA) </w:t>
      </w:r>
      <w:r w:rsidRPr="00167CB8">
        <w:t xml:space="preserve">and </w:t>
      </w:r>
      <w:r w:rsidR="00060EFE" w:rsidRPr="00167CB8">
        <w:t>the Australian Chamber of Commerce and Industry (</w:t>
      </w:r>
      <w:r w:rsidRPr="00167CB8">
        <w:t>ACCI</w:t>
      </w:r>
      <w:r w:rsidR="00060EFE" w:rsidRPr="00167CB8">
        <w:t>)</w:t>
      </w:r>
      <w:r w:rsidR="00A355E4" w:rsidRPr="00167CB8">
        <w:t>,</w:t>
      </w:r>
      <w:r w:rsidRPr="00167CB8">
        <w:t xml:space="preserve"> provided positive feedback about some of the BOOT amendments.</w:t>
      </w:r>
    </w:p>
    <w:p w14:paraId="0287A90D" w14:textId="0A7C5FCD" w:rsidR="00173F8E" w:rsidRPr="00167CB8" w:rsidRDefault="00173F8E" w:rsidP="00173F8E">
      <w:r w:rsidRPr="00167CB8">
        <w:t xml:space="preserve">ARA submitted that </w:t>
      </w:r>
      <w:r w:rsidR="00A355E4" w:rsidRPr="00167CB8">
        <w:t>‘</w:t>
      </w:r>
      <w:r w:rsidRPr="00167CB8">
        <w:t>early feedback from retailers suggests that the changes are beneficial and take into consideration the value of the proposed workplace terms and conditions holistically</w:t>
      </w:r>
      <w:r w:rsidR="00A355E4" w:rsidRPr="00167CB8">
        <w:t>’</w:t>
      </w:r>
      <w:r w:rsidRPr="00167CB8">
        <w:t>.</w:t>
      </w:r>
      <w:r w:rsidRPr="00167CB8">
        <w:rPr>
          <w:vertAlign w:val="superscript"/>
        </w:rPr>
        <w:footnoteReference w:id="653"/>
      </w:r>
    </w:p>
    <w:p w14:paraId="296D18C3" w14:textId="4D637F5D" w:rsidR="00173F8E" w:rsidRPr="00167CB8" w:rsidRDefault="00173F8E" w:rsidP="00173F8E">
      <w:r w:rsidRPr="00167CB8">
        <w:lastRenderedPageBreak/>
        <w:t>ACCI submitted that the change in focus to reasonably foreseeable patterns of work or types of employment</w:t>
      </w:r>
      <w:r w:rsidRPr="00167CB8" w:rsidDel="00922191">
        <w:t xml:space="preserve"> </w:t>
      </w:r>
      <w:r w:rsidRPr="00167CB8">
        <w:t xml:space="preserve">had </w:t>
      </w:r>
      <w:r w:rsidR="00A355E4" w:rsidRPr="00167CB8">
        <w:t>‘</w:t>
      </w:r>
      <w:r w:rsidRPr="00167CB8">
        <w:t>been immensely helpful in progressing the approval of enterprise agreements</w:t>
      </w:r>
      <w:r w:rsidR="00887905">
        <w:t>.</w:t>
      </w:r>
      <w:r w:rsidR="00A355E4" w:rsidRPr="00167CB8">
        <w:t>’</w:t>
      </w:r>
      <w:r w:rsidRPr="00167CB8">
        <w:rPr>
          <w:rStyle w:val="FootnoteReference"/>
        </w:rPr>
        <w:footnoteReference w:id="654"/>
      </w:r>
      <w:r w:rsidRPr="00167CB8">
        <w:t xml:space="preserve"> </w:t>
      </w:r>
    </w:p>
    <w:p w14:paraId="595BBDCB" w14:textId="31AA67F0" w:rsidR="00173F8E" w:rsidRPr="00167CB8" w:rsidRDefault="00173F8E" w:rsidP="00173F8E">
      <w:r w:rsidRPr="00167CB8">
        <w:t>In contrast, the predominant employer view</w:t>
      </w:r>
      <w:r w:rsidR="009301DE" w:rsidRPr="00167CB8">
        <w:t xml:space="preserve"> (</w:t>
      </w:r>
      <w:r w:rsidRPr="00167CB8">
        <w:t>including from ACCI, Ai Group</w:t>
      </w:r>
      <w:r w:rsidR="00A355E4" w:rsidRPr="00167CB8">
        <w:t>,</w:t>
      </w:r>
      <w:r w:rsidRPr="00167CB8">
        <w:rPr>
          <w:rStyle w:val="FootnoteReference"/>
        </w:rPr>
        <w:footnoteReference w:id="655"/>
      </w:r>
      <w:r w:rsidRPr="00167CB8">
        <w:t xml:space="preserve"> </w:t>
      </w:r>
      <w:r w:rsidR="00060EFE" w:rsidRPr="00167CB8">
        <w:t>the Council of Small Business Organisations Australia (</w:t>
      </w:r>
      <w:r w:rsidRPr="00167CB8">
        <w:t>COSBOA</w:t>
      </w:r>
      <w:r w:rsidR="00060EFE" w:rsidRPr="00167CB8">
        <w:t>)</w:t>
      </w:r>
      <w:r w:rsidR="00A355E4" w:rsidRPr="00167CB8">
        <w:t>,</w:t>
      </w:r>
      <w:r w:rsidRPr="00167CB8">
        <w:rPr>
          <w:rStyle w:val="FootnoteReference"/>
        </w:rPr>
        <w:footnoteReference w:id="656"/>
      </w:r>
      <w:r w:rsidRPr="00167CB8">
        <w:t xml:space="preserve"> Clubs Australia</w:t>
      </w:r>
      <w:r w:rsidRPr="00167CB8">
        <w:rPr>
          <w:rStyle w:val="FootnoteReference"/>
        </w:rPr>
        <w:footnoteReference w:id="657"/>
      </w:r>
      <w:r w:rsidRPr="00167CB8">
        <w:t xml:space="preserve"> and </w:t>
      </w:r>
      <w:r w:rsidR="00060EFE" w:rsidRPr="00167CB8">
        <w:t>the Chamber of Commerce and Industry of Western Australia (</w:t>
      </w:r>
      <w:r w:rsidRPr="00167CB8">
        <w:t>CCIWA</w:t>
      </w:r>
      <w:r w:rsidR="00060EFE" w:rsidRPr="00167CB8">
        <w:t>)</w:t>
      </w:r>
      <w:r w:rsidRPr="00167CB8">
        <w:rPr>
          <w:rStyle w:val="FootnoteReference"/>
        </w:rPr>
        <w:footnoteReference w:id="658"/>
      </w:r>
      <w:r w:rsidR="00BA2125" w:rsidRPr="00167CB8">
        <w:t>)</w:t>
      </w:r>
      <w:r w:rsidRPr="00167CB8">
        <w:t xml:space="preserve"> was that the BOOT is not being assessed globally and instead continues to be assessed line by line. </w:t>
      </w:r>
    </w:p>
    <w:p w14:paraId="2F8CF422" w14:textId="375A9A7E" w:rsidR="00173F8E" w:rsidRPr="00167CB8" w:rsidRDefault="00173F8E" w:rsidP="00173F8E">
      <w:r w:rsidRPr="00167CB8">
        <w:t>Ai Group</w:t>
      </w:r>
      <w:r w:rsidR="00FD6C3E" w:rsidRPr="00167CB8">
        <w:t>, for example,</w:t>
      </w:r>
      <w:r w:rsidRPr="00167CB8">
        <w:t xml:space="preserve"> submit</w:t>
      </w:r>
      <w:r w:rsidR="00A355E4" w:rsidRPr="00167CB8">
        <w:t>ted</w:t>
      </w:r>
      <w:r w:rsidRPr="00167CB8">
        <w:t xml:space="preserve"> that the:</w:t>
      </w:r>
      <w:r w:rsidR="00A355E4" w:rsidRPr="00167CB8">
        <w:rPr>
          <w:rStyle w:val="FootnoteReference"/>
        </w:rPr>
        <w:footnoteReference w:id="659"/>
      </w:r>
    </w:p>
    <w:p w14:paraId="4D7E7898" w14:textId="2BB7B16D" w:rsidR="00173F8E" w:rsidRPr="00167CB8" w:rsidRDefault="00173F8E" w:rsidP="00C83147">
      <w:pPr>
        <w:pStyle w:val="Quote"/>
      </w:pPr>
      <w:r w:rsidRPr="00167CB8">
        <w:t>BOOT is still too often being applied by the FWC in a largely mathematical or with far too narrow a focus on a particular clause, rather than the relevant FWC Member reaching a more practical view on whether or not the proposed enterprise agreement results in the employees being better off overall in a genuinely holistic sense.</w:t>
      </w:r>
    </w:p>
    <w:p w14:paraId="07E53A8F" w14:textId="434B811F" w:rsidR="00173F8E" w:rsidRPr="00167CB8" w:rsidRDefault="00173F8E" w:rsidP="00173F8E">
      <w:r w:rsidRPr="00167CB8">
        <w:t xml:space="preserve">The CCIWA raised a concern about consistency in the approach taken by different </w:t>
      </w:r>
      <w:r w:rsidR="008C33F5" w:rsidRPr="00167CB8">
        <w:t>m</w:t>
      </w:r>
      <w:r w:rsidRPr="00167CB8">
        <w:t xml:space="preserve">embers of the FWC, arguing the approach varies </w:t>
      </w:r>
      <w:r w:rsidR="00A355E4" w:rsidRPr="00167CB8">
        <w:t>‘</w:t>
      </w:r>
      <w:r w:rsidRPr="00167CB8">
        <w:t>even when the agreements may be similar</w:t>
      </w:r>
      <w:r w:rsidR="00A355E4" w:rsidRPr="00167CB8">
        <w:t>’</w:t>
      </w:r>
      <w:r w:rsidRPr="00167CB8">
        <w:t>.</w:t>
      </w:r>
      <w:r w:rsidRPr="00167CB8">
        <w:rPr>
          <w:rStyle w:val="FootnoteReference"/>
        </w:rPr>
        <w:footnoteReference w:id="660"/>
      </w:r>
      <w:r w:rsidRPr="00167CB8">
        <w:t xml:space="preserve"> </w:t>
      </w:r>
    </w:p>
    <w:p w14:paraId="0004438A" w14:textId="42A55A61" w:rsidR="00173F8E" w:rsidRPr="00167CB8" w:rsidRDefault="00173F8E" w:rsidP="00173F8E">
      <w:r w:rsidRPr="00167CB8">
        <w:t>While the ARA and ACCI have expressed positive sentiments for some of the BOOT changes, they are cautious, with ARA noting ‘it is unknown as of yet, whether there are any further praises or concerns relative to this particular legislative amendment</w:t>
      </w:r>
      <w:r w:rsidR="00A355E4" w:rsidRPr="00167CB8">
        <w:t>’</w:t>
      </w:r>
      <w:r w:rsidRPr="00167CB8">
        <w:t>.</w:t>
      </w:r>
      <w:r w:rsidRPr="00167CB8">
        <w:rPr>
          <w:rStyle w:val="FootnoteReference"/>
        </w:rPr>
        <w:footnoteReference w:id="661"/>
      </w:r>
    </w:p>
    <w:p w14:paraId="3E9FB277" w14:textId="77777777" w:rsidR="00173F8E" w:rsidRPr="00167CB8" w:rsidRDefault="00173F8E" w:rsidP="00173F8E">
      <w:r w:rsidRPr="00167CB8">
        <w:t xml:space="preserve">Employer groups also submitted that there appeared to be no change to how often employers were requested to provide undertakings. </w:t>
      </w:r>
    </w:p>
    <w:p w14:paraId="0F8E54F4" w14:textId="0CB2F06C" w:rsidR="00173F8E" w:rsidRPr="00167CB8" w:rsidRDefault="00173F8E" w:rsidP="00173F8E">
      <w:r w:rsidRPr="00167CB8">
        <w:t>Ai Group</w:t>
      </w:r>
      <w:r w:rsidR="00400339" w:rsidRPr="00167CB8">
        <w:t>, for example,</w:t>
      </w:r>
      <w:r w:rsidRPr="00167CB8">
        <w:t xml:space="preserve"> submit</w:t>
      </w:r>
      <w:r w:rsidR="00A355E4" w:rsidRPr="00167CB8">
        <w:t>ted</w:t>
      </w:r>
      <w:r w:rsidRPr="00167CB8">
        <w:t xml:space="preserve"> that employers often have to provide undertakings related to BOOT issues even in relation to agreements that are very similar to previous agreements for the same group of employees.</w:t>
      </w:r>
      <w:r w:rsidRPr="00167CB8">
        <w:rPr>
          <w:rStyle w:val="FootnoteReference"/>
        </w:rPr>
        <w:footnoteReference w:id="662"/>
      </w:r>
      <w:r w:rsidRPr="00167CB8">
        <w:t xml:space="preserve"> </w:t>
      </w:r>
      <w:r w:rsidR="00060EFE" w:rsidRPr="00167CB8">
        <w:t>The Australian Resources &amp; Energy Employer Association (</w:t>
      </w:r>
      <w:r w:rsidRPr="00167CB8">
        <w:t>AREEA</w:t>
      </w:r>
      <w:r w:rsidR="00060EFE" w:rsidRPr="00167CB8">
        <w:t>)</w:t>
      </w:r>
      <w:r w:rsidRPr="00167CB8">
        <w:t xml:space="preserve"> expressed similar views and</w:t>
      </w:r>
      <w:r w:rsidR="00A355E4" w:rsidRPr="00167CB8">
        <w:t>,</w:t>
      </w:r>
      <w:r w:rsidRPr="00167CB8">
        <w:t xml:space="preserve"> while they hoped for ‘agreements approved without undertakings and faster approvals overall’, their ‘members are reporting little practical change as a result of these amendments</w:t>
      </w:r>
      <w:r w:rsidR="00A355E4" w:rsidRPr="00167CB8">
        <w:t>’</w:t>
      </w:r>
      <w:r w:rsidRPr="00167CB8">
        <w:t>.</w:t>
      </w:r>
      <w:r w:rsidRPr="00167CB8">
        <w:rPr>
          <w:rStyle w:val="FootnoteReference"/>
        </w:rPr>
        <w:footnoteReference w:id="663"/>
      </w:r>
      <w:r w:rsidRPr="00167CB8">
        <w:t xml:space="preserve"> Clubs Australia expressed similar views.</w:t>
      </w:r>
      <w:r w:rsidRPr="00167CB8">
        <w:rPr>
          <w:rStyle w:val="FootnoteReference"/>
        </w:rPr>
        <w:footnoteReference w:id="664"/>
      </w:r>
    </w:p>
    <w:p w14:paraId="625DCE2F" w14:textId="67440009" w:rsidR="00173F8E" w:rsidRPr="00167CB8" w:rsidRDefault="00173F8E" w:rsidP="00173F8E">
      <w:r w:rsidRPr="00167CB8">
        <w:t>Similarly, ACCI expected ‘that the FWC would require fewer undertakings from employers, however, feedback from members indicates that undertakings are still being sought by the FWC as frequently as they were being sought prior to the amendments</w:t>
      </w:r>
      <w:r w:rsidR="00887905">
        <w:t>.</w:t>
      </w:r>
      <w:r w:rsidR="00A355E4" w:rsidRPr="00167CB8">
        <w:t>’</w:t>
      </w:r>
      <w:r w:rsidRPr="00167CB8">
        <w:rPr>
          <w:rStyle w:val="FootnoteReference"/>
        </w:rPr>
        <w:footnoteReference w:id="665"/>
      </w:r>
    </w:p>
    <w:p w14:paraId="43BBCE18" w14:textId="792F9C6F" w:rsidR="00173F8E" w:rsidRPr="00167CB8" w:rsidRDefault="00173F8E" w:rsidP="00173F8E">
      <w:pPr>
        <w:rPr>
          <w:rFonts w:cs="Calibri"/>
        </w:rPr>
      </w:pPr>
      <w:r w:rsidRPr="00167CB8">
        <w:rPr>
          <w:rFonts w:cs="Calibri"/>
        </w:rPr>
        <w:t xml:space="preserve">The Pharmacy Guild’s submission expressed concerns about the power for the FWC to amend the agreement to allow it to pass the BOOT. They stated that </w:t>
      </w:r>
      <w:r w:rsidR="00A355E4" w:rsidRPr="00167CB8">
        <w:rPr>
          <w:rFonts w:cs="Calibri"/>
        </w:rPr>
        <w:t>‘</w:t>
      </w:r>
      <w:r w:rsidRPr="00167CB8">
        <w:rPr>
          <w:rFonts w:cs="Calibri"/>
        </w:rPr>
        <w:t xml:space="preserve">any alteration power beyond [the </w:t>
      </w:r>
      <w:r w:rsidRPr="00167CB8">
        <w:rPr>
          <w:rFonts w:cs="Calibri"/>
        </w:rPr>
        <w:lastRenderedPageBreak/>
        <w:t>power to correct errors] is of serious concern. The open nature of this portion of the Act affords the Commission unnecessary power to rewrite sections of an agreement</w:t>
      </w:r>
      <w:r w:rsidR="00A355E4" w:rsidRPr="00167CB8">
        <w:rPr>
          <w:rFonts w:cs="Calibri"/>
        </w:rPr>
        <w:t>’</w:t>
      </w:r>
      <w:r w:rsidRPr="00167CB8">
        <w:rPr>
          <w:rFonts w:cs="Calibri"/>
        </w:rPr>
        <w:t>.</w:t>
      </w:r>
      <w:r w:rsidRPr="00167CB8">
        <w:rPr>
          <w:rStyle w:val="FootnoteReference"/>
          <w:rFonts w:cs="Calibri"/>
        </w:rPr>
        <w:footnoteReference w:id="666"/>
      </w:r>
    </w:p>
    <w:p w14:paraId="16DE5393" w14:textId="32914E3A" w:rsidR="00173F8E" w:rsidRPr="00167CB8" w:rsidRDefault="00173F8E" w:rsidP="00173F8E">
      <w:r w:rsidRPr="00167CB8">
        <w:t>Employer groups also expressed negative views around the amendments that provide for reconsideration of the BOOT. Ai Group</w:t>
      </w:r>
      <w:r w:rsidR="00A355E4" w:rsidRPr="00167CB8">
        <w:t>,</w:t>
      </w:r>
      <w:r w:rsidRPr="00167CB8">
        <w:rPr>
          <w:rStyle w:val="FootnoteReference"/>
        </w:rPr>
        <w:footnoteReference w:id="667"/>
      </w:r>
      <w:r w:rsidRPr="00167CB8">
        <w:t xml:space="preserve"> CCIWA</w:t>
      </w:r>
      <w:r w:rsidRPr="00167CB8">
        <w:rPr>
          <w:rStyle w:val="FootnoteReference"/>
        </w:rPr>
        <w:footnoteReference w:id="668"/>
      </w:r>
      <w:r w:rsidRPr="00167CB8">
        <w:t xml:space="preserve"> and COSBOA</w:t>
      </w:r>
      <w:r w:rsidRPr="00167CB8">
        <w:rPr>
          <w:rStyle w:val="FootnoteReference"/>
        </w:rPr>
        <w:footnoteReference w:id="669"/>
      </w:r>
      <w:r w:rsidRPr="00167CB8">
        <w:t xml:space="preserve"> all expressed that this amendment creates uncertainty for businesses.</w:t>
      </w:r>
    </w:p>
    <w:p w14:paraId="6A38F49C" w14:textId="77777777" w:rsidR="00173F8E" w:rsidRPr="00167CB8" w:rsidRDefault="00173F8E" w:rsidP="00173F8E">
      <w:r w:rsidRPr="00167CB8">
        <w:t xml:space="preserve">While expressing overall positive views about the BOOT changes, the submissions from unions focused mostly on the reconsideration provisions. </w:t>
      </w:r>
    </w:p>
    <w:p w14:paraId="260CE615" w14:textId="3A885753" w:rsidR="00173F8E" w:rsidRPr="00167CB8" w:rsidRDefault="00060EFE" w:rsidP="00173F8E">
      <w:r w:rsidRPr="00167CB8">
        <w:t>The United Workers Union (</w:t>
      </w:r>
      <w:r w:rsidR="00173F8E" w:rsidRPr="00167CB8">
        <w:t>UWU</w:t>
      </w:r>
      <w:r w:rsidRPr="00167CB8">
        <w:t>)</w:t>
      </w:r>
      <w:r w:rsidR="00173F8E" w:rsidRPr="00167CB8">
        <w:t xml:space="preserve"> and </w:t>
      </w:r>
      <w:r w:rsidRPr="00167CB8">
        <w:t>the Australian Council of Trade Unions (</w:t>
      </w:r>
      <w:r w:rsidR="00173F8E" w:rsidRPr="00167CB8">
        <w:t>ACTU</w:t>
      </w:r>
      <w:r w:rsidRPr="00167CB8">
        <w:t>)</w:t>
      </w:r>
      <w:r w:rsidR="00173F8E" w:rsidRPr="00167CB8">
        <w:t xml:space="preserve"> both expressed that the inclusion of the ability to reconsider agreements was positive. However, both organisations called for further amendments. </w:t>
      </w:r>
    </w:p>
    <w:p w14:paraId="57E36C33" w14:textId="1C86D14B" w:rsidR="00173F8E" w:rsidRPr="00167CB8" w:rsidRDefault="00173F8E" w:rsidP="00173F8E">
      <w:r w:rsidRPr="00167CB8">
        <w:t>UWU noted that the reconsideration power had not yet been used and submit</w:t>
      </w:r>
      <w:r w:rsidR="00A355E4" w:rsidRPr="00167CB8">
        <w:t>ted</w:t>
      </w:r>
      <w:r w:rsidRPr="00167CB8">
        <w:t xml:space="preserve"> that the power ‘should be broadened to allow for an agreement to be reassessed where a variation to the award (whether to wages or to other provisions) has resulted in employees now likely being worse off overall when compared to the award’.</w:t>
      </w:r>
      <w:r w:rsidRPr="00167CB8">
        <w:rPr>
          <w:rStyle w:val="FootnoteReference"/>
        </w:rPr>
        <w:footnoteReference w:id="670"/>
      </w:r>
      <w:r w:rsidRPr="00167CB8">
        <w:t xml:space="preserve">  </w:t>
      </w:r>
    </w:p>
    <w:p w14:paraId="4ABABFB0" w14:textId="0B72E350" w:rsidR="00173F8E" w:rsidRPr="00167CB8" w:rsidRDefault="00173F8E" w:rsidP="00173F8E">
      <w:r w:rsidRPr="00167CB8">
        <w:t>ACTU submit</w:t>
      </w:r>
      <w:r w:rsidR="00A355E4" w:rsidRPr="00167CB8">
        <w:t>ted</w:t>
      </w:r>
      <w:r w:rsidRPr="00167CB8">
        <w:t xml:space="preserve"> that the reconsideration amendments are constructed in a way that creates a ‘limitation in who may apply for reconsideration of whether an agreement continues to pass the BOOT brought about by use of the phrase “an employee organisation covered by the agreement”</w:t>
      </w:r>
      <w:r w:rsidR="00A355E4" w:rsidRPr="00167CB8">
        <w:t>’</w:t>
      </w:r>
      <w:r w:rsidRPr="00167CB8">
        <w:t>.</w:t>
      </w:r>
      <w:r w:rsidRPr="00167CB8">
        <w:rPr>
          <w:rStyle w:val="FootnoteReference"/>
        </w:rPr>
        <w:footnoteReference w:id="671"/>
      </w:r>
      <w:r w:rsidRPr="00167CB8">
        <w:t xml:space="preserve"> ACTU seek to have this amended so that it is clear that</w:t>
      </w:r>
      <w:r w:rsidR="00A355E4" w:rsidRPr="00167CB8">
        <w:t>,</w:t>
      </w:r>
      <w:r w:rsidRPr="00167CB8">
        <w:t xml:space="preserve"> where an employee is covered by an agreement, their union can make a reconsideration application regardless of whether the agreement explicitly covers them.</w:t>
      </w:r>
    </w:p>
    <w:p w14:paraId="795890A3" w14:textId="46B76551" w:rsidR="00173F8E" w:rsidRPr="00167CB8" w:rsidRDefault="006D0C76" w:rsidP="00173F8E">
      <w:pPr>
        <w:pStyle w:val="Heading4"/>
        <w:rPr>
          <w:rFonts w:asciiTheme="minorHAnsi" w:hAnsiTheme="minorHAnsi"/>
        </w:rPr>
      </w:pPr>
      <w:bookmarkStart w:id="229" w:name="_Toc189260257"/>
      <w:bookmarkStart w:id="230" w:name="_Toc189393573"/>
      <w:r w:rsidRPr="00167CB8">
        <w:rPr>
          <w:rFonts w:asciiTheme="minorHAnsi" w:hAnsiTheme="minorHAnsi"/>
        </w:rPr>
        <w:t>17</w:t>
      </w:r>
      <w:r w:rsidR="00173F8E" w:rsidRPr="00167CB8">
        <w:rPr>
          <w:rFonts w:asciiTheme="minorHAnsi" w:hAnsiTheme="minorHAnsi"/>
        </w:rPr>
        <w:t xml:space="preserve">.3 Findings </w:t>
      </w:r>
      <w:r w:rsidR="00A355E4" w:rsidRPr="00167CB8">
        <w:rPr>
          <w:rFonts w:asciiTheme="minorHAnsi" w:hAnsiTheme="minorHAnsi"/>
        </w:rPr>
        <w:t>and r</w:t>
      </w:r>
      <w:r w:rsidR="00173F8E" w:rsidRPr="00167CB8">
        <w:rPr>
          <w:rFonts w:asciiTheme="minorHAnsi" w:hAnsiTheme="minorHAnsi"/>
        </w:rPr>
        <w:t>ecommendations</w:t>
      </w:r>
      <w:bookmarkEnd w:id="229"/>
      <w:bookmarkEnd w:id="230"/>
    </w:p>
    <w:p w14:paraId="55B1A4EA" w14:textId="3B90C845" w:rsidR="00173F8E" w:rsidRPr="00167CB8" w:rsidRDefault="00173F8E" w:rsidP="00173F8E">
      <w:r w:rsidRPr="00167CB8">
        <w:t xml:space="preserve">There is little evidence before the Review Panel to indicate that the amendments in relation to the BOOT have </w:t>
      </w:r>
      <w:r w:rsidR="004B4167">
        <w:t xml:space="preserve">significantly </w:t>
      </w:r>
      <w:r w:rsidRPr="00167CB8">
        <w:t xml:space="preserve">reduced complexity or </w:t>
      </w:r>
      <w:r w:rsidR="000F012A" w:rsidRPr="00167CB8">
        <w:t xml:space="preserve">substantially </w:t>
      </w:r>
      <w:r w:rsidRPr="00167CB8">
        <w:t>changed the way the FWC assesses the BOOT. However, it is clear that the FWC has significantly improved agreement approval timeliness since 2017</w:t>
      </w:r>
      <w:r w:rsidR="00A355E4" w:rsidRPr="00167CB8">
        <w:rPr>
          <w:rFonts w:ascii="Symbol" w:eastAsia="Symbol" w:hAnsi="Symbol" w:cs="Symbol"/>
        </w:rPr>
        <w:sym w:font="Symbol" w:char="F02D"/>
      </w:r>
      <w:r w:rsidRPr="00167CB8">
        <w:t>18 and have maintained consistent timeliness performance since 2021</w:t>
      </w:r>
      <w:r w:rsidR="00A355E4" w:rsidRPr="00167CB8">
        <w:rPr>
          <w:rFonts w:ascii="Symbol" w:eastAsia="Symbol" w:hAnsi="Symbol" w:cs="Symbol"/>
        </w:rPr>
        <w:sym w:font="Symbol" w:char="F02D"/>
      </w:r>
      <w:r w:rsidRPr="00167CB8">
        <w:t>22. The delays in approving agreements seem to have been somewhat overstated.</w:t>
      </w:r>
    </w:p>
    <w:p w14:paraId="1B108DD6" w14:textId="3B9AE231" w:rsidR="00173F8E" w:rsidRPr="00167CB8" w:rsidRDefault="00173F8E" w:rsidP="00173F8E">
      <w:r w:rsidRPr="00167CB8">
        <w:t>There do not appear to have been any negative impacts as a result of the BOOT amendments</w:t>
      </w:r>
      <w:r w:rsidR="00A355E4" w:rsidRPr="00167CB8">
        <w:t>,</w:t>
      </w:r>
      <w:r w:rsidRPr="00167CB8">
        <w:t xml:space="preserve"> as enterprise agreements approval timeliness has remained consistent over the 3 years</w:t>
      </w:r>
      <w:r w:rsidR="00D729B2">
        <w:t>,</w:t>
      </w:r>
      <w:r w:rsidRPr="00167CB8">
        <w:t xml:space="preserve"> despite an overall increase in the FWC’s workload in 2023</w:t>
      </w:r>
      <w:r w:rsidR="00A355E4" w:rsidRPr="00167CB8">
        <w:rPr>
          <w:rFonts w:ascii="Symbol" w:eastAsia="Symbol" w:hAnsi="Symbol" w:cs="Symbol"/>
        </w:rPr>
        <w:sym w:font="Symbol" w:char="F02D"/>
      </w:r>
      <w:r w:rsidRPr="00167CB8">
        <w:t xml:space="preserve">24. </w:t>
      </w:r>
    </w:p>
    <w:p w14:paraId="651E02A3" w14:textId="773478F9" w:rsidR="00173F8E" w:rsidRPr="00167CB8" w:rsidRDefault="00173F8E" w:rsidP="00173F8E">
      <w:r w:rsidRPr="00167CB8">
        <w:t>Additionally, there was a notable decrease in the use of undertakings between the 2022</w:t>
      </w:r>
      <w:r w:rsidR="00A355E4" w:rsidRPr="00167CB8">
        <w:rPr>
          <w:rFonts w:ascii="Symbol" w:eastAsia="Symbol" w:hAnsi="Symbol" w:cs="Symbol"/>
        </w:rPr>
        <w:sym w:font="Symbol" w:char="F02D"/>
      </w:r>
      <w:r w:rsidRPr="00167CB8">
        <w:t>23 financial year and the 2023</w:t>
      </w:r>
      <w:r w:rsidR="00A355E4" w:rsidRPr="00167CB8">
        <w:rPr>
          <w:rFonts w:ascii="Symbol" w:eastAsia="Symbol" w:hAnsi="Symbol" w:cs="Symbol"/>
        </w:rPr>
        <w:sym w:font="Symbol" w:char="F02D"/>
      </w:r>
      <w:r w:rsidRPr="00167CB8">
        <w:t>24 financial year. However, as Ai Group note</w:t>
      </w:r>
      <w:r w:rsidR="00A355E4" w:rsidRPr="00167CB8">
        <w:t>d</w:t>
      </w:r>
      <w:r w:rsidRPr="00167CB8">
        <w:t xml:space="preserve"> in their submission, many agreements require undertakings for reasons other than not passing the BOOT (such as inconsistencies with the </w:t>
      </w:r>
      <w:r w:rsidR="00060EFE" w:rsidRPr="00167CB8">
        <w:t>NES</w:t>
      </w:r>
      <w:r w:rsidRPr="00167CB8">
        <w:t>).</w:t>
      </w:r>
      <w:r w:rsidRPr="00167CB8">
        <w:rPr>
          <w:rStyle w:val="FootnoteReference"/>
        </w:rPr>
        <w:footnoteReference w:id="672"/>
      </w:r>
      <w:r w:rsidRPr="00167CB8">
        <w:t xml:space="preserve"> It is difficult, therefore, to draw a causal link between the BOOT amendments and the reduction in the use of undertakings. However, it is reasonable to conclude that at least some of the reduction is a result of the amendments.</w:t>
      </w:r>
    </w:p>
    <w:p w14:paraId="4B581463" w14:textId="6438BFFD" w:rsidR="00173F8E" w:rsidRPr="00167CB8" w:rsidRDefault="00173F8E" w:rsidP="00173F8E">
      <w:r w:rsidRPr="00167CB8">
        <w:lastRenderedPageBreak/>
        <w:t>The data further shows limited use by the FWC of its power to amend an agreement to address BOOT concerns under s</w:t>
      </w:r>
      <w:r w:rsidR="00A355E4" w:rsidRPr="00167CB8">
        <w:t> </w:t>
      </w:r>
      <w:r w:rsidRPr="00167CB8">
        <w:t>191A of the Fair Work Act, representing just 0.8% of agreement approval applications in the 2023</w:t>
      </w:r>
      <w:r w:rsidR="00A355E4" w:rsidRPr="00167CB8">
        <w:rPr>
          <w:rFonts w:ascii="Symbol" w:eastAsia="Symbol" w:hAnsi="Symbol" w:cs="Symbol"/>
        </w:rPr>
        <w:sym w:font="Symbol" w:char="F02D"/>
      </w:r>
      <w:r w:rsidRPr="00167CB8">
        <w:t xml:space="preserve">24 financial year. </w:t>
      </w:r>
    </w:p>
    <w:p w14:paraId="0D12E665" w14:textId="217B679B" w:rsidR="00173F8E" w:rsidRPr="00167CB8" w:rsidRDefault="00173F8E" w:rsidP="00173F8E">
      <w:r w:rsidRPr="00167CB8">
        <w:t xml:space="preserve">The Review Panel acknowledges that employers are likely to continue to see variation in the approaches taken by FWC </w:t>
      </w:r>
      <w:r w:rsidR="00060EFE" w:rsidRPr="00167CB8">
        <w:t>m</w:t>
      </w:r>
      <w:r w:rsidRPr="00167CB8">
        <w:t>embers in assessing the BOOT and requesting undertakings. While sympathetic to the need to adjust to different approaches, the Review Panel</w:t>
      </w:r>
      <w:r w:rsidRPr="00167CB8" w:rsidDel="0076628D">
        <w:t xml:space="preserve"> </w:t>
      </w:r>
      <w:r w:rsidRPr="00167CB8">
        <w:t xml:space="preserve">acknowledges that FWC </w:t>
      </w:r>
      <w:r w:rsidR="00060EFE" w:rsidRPr="00167CB8">
        <w:t>m</w:t>
      </w:r>
      <w:r w:rsidRPr="00167CB8">
        <w:t>embers are independent statutory office holders and make decisions and exercise discretion within the parameters of the Fair Work Act. Based on the examples available, FWC decision-making appears to align with the Australian Government’s broader intent, noting that employer representatives have expressed concerns that agreements are not being ‘globally assessed’.</w:t>
      </w:r>
    </w:p>
    <w:p w14:paraId="291D6EA9" w14:textId="383F0A97" w:rsidR="00173F8E" w:rsidRPr="00167CB8" w:rsidRDefault="00173F8E" w:rsidP="00173F8E">
      <w:r w:rsidRPr="00167CB8">
        <w:t xml:space="preserve">In relation to the reconsideration of the BOOT provisions, </w:t>
      </w:r>
      <w:r w:rsidR="00EF0881" w:rsidRPr="00167CB8">
        <w:t xml:space="preserve">early </w:t>
      </w:r>
      <w:r w:rsidRPr="00167CB8">
        <w:t>signs indicate that these provisions are difficult to use</w:t>
      </w:r>
      <w:r w:rsidR="00A355E4" w:rsidRPr="00167CB8">
        <w:t>,</w:t>
      </w:r>
      <w:r w:rsidRPr="00167CB8">
        <w:t xml:space="preserve"> as the lack of success in making these applications may suggest there may be a lack of understanding about their application. However, the Review Panel acknowledges that the FWC has not considered these provisions in detail and therefore it is too early to conclude whether these amendments are operating appropriately and effectively. A similar conclusion can be made about the Pharmacy Guild’s concerns about amending agreements, as so far only a small </w:t>
      </w:r>
      <w:r w:rsidR="004C5FB5" w:rsidRPr="00167CB8">
        <w:t xml:space="preserve">number </w:t>
      </w:r>
      <w:r w:rsidRPr="00167CB8">
        <w:t>of agreements have been approved with amendments.</w:t>
      </w:r>
    </w:p>
    <w:p w14:paraId="692B052F" w14:textId="6AD3FC77" w:rsidR="00173F8E" w:rsidRPr="00167CB8" w:rsidRDefault="00173F8E" w:rsidP="00173F8E">
      <w:r w:rsidRPr="00167CB8">
        <w:t xml:space="preserve">The Review Panel finds that based on the evidence available, the amendments relating to the BOOT have been neither effective </w:t>
      </w:r>
      <w:r w:rsidR="00A355E4" w:rsidRPr="00167CB8">
        <w:t>n</w:t>
      </w:r>
      <w:r w:rsidRPr="00167CB8">
        <w:t xml:space="preserve">or ineffective at improving simplicity of the BOOT assessment. </w:t>
      </w:r>
    </w:p>
    <w:p w14:paraId="3272DA54" w14:textId="77777777" w:rsidR="00173F8E" w:rsidRPr="00167CB8" w:rsidRDefault="00173F8E" w:rsidP="00173F8E">
      <w:r w:rsidRPr="00167CB8">
        <w:t xml:space="preserve">The Review Panel finds that the BOOT amendments have not led to any unintended consequences. There is no evidence before the Review Panel of any delays in the approval of agreements and the data shows the FWC remained consistent in its timeliness performance. </w:t>
      </w:r>
    </w:p>
    <w:p w14:paraId="7B2EA4D3" w14:textId="77777777" w:rsidR="00173F8E" w:rsidRPr="00167CB8" w:rsidRDefault="00173F8E" w:rsidP="00173F8E">
      <w:r w:rsidRPr="00167CB8">
        <w:t>The Review Panel makes no recommendations at this time.</w:t>
      </w:r>
    </w:p>
    <w:p w14:paraId="47762A76" w14:textId="77777777" w:rsidR="00173F8E" w:rsidRPr="00167CB8" w:rsidRDefault="00173F8E" w:rsidP="00173F8E">
      <w:pPr>
        <w:spacing w:after="160"/>
      </w:pPr>
      <w:r w:rsidRPr="00167CB8">
        <w:br w:type="page"/>
      </w:r>
    </w:p>
    <w:p w14:paraId="1B47DBCB" w14:textId="1642715D" w:rsidR="00173F8E" w:rsidRPr="00167CB8" w:rsidRDefault="00173F8E" w:rsidP="00173F8E">
      <w:pPr>
        <w:pStyle w:val="Heading3"/>
        <w:rPr>
          <w:rFonts w:asciiTheme="minorHAnsi" w:hAnsiTheme="minorHAnsi"/>
        </w:rPr>
      </w:pPr>
      <w:bookmarkStart w:id="231" w:name="_Toc189260258"/>
      <w:bookmarkStart w:id="232" w:name="_Toc189393574"/>
      <w:r w:rsidRPr="00167CB8">
        <w:rPr>
          <w:rFonts w:asciiTheme="minorHAnsi" w:hAnsiTheme="minorHAnsi"/>
        </w:rPr>
        <w:lastRenderedPageBreak/>
        <w:t xml:space="preserve">Chapter </w:t>
      </w:r>
      <w:r w:rsidR="003A22EE" w:rsidRPr="00167CB8">
        <w:rPr>
          <w:rFonts w:asciiTheme="minorHAnsi" w:hAnsiTheme="minorHAnsi"/>
        </w:rPr>
        <w:t>18</w:t>
      </w:r>
      <w:r w:rsidRPr="00167CB8">
        <w:rPr>
          <w:rFonts w:asciiTheme="minorHAnsi" w:hAnsiTheme="minorHAnsi"/>
        </w:rPr>
        <w:t>. Dealing with errors in enterprise agreements</w:t>
      </w:r>
      <w:bookmarkEnd w:id="231"/>
      <w:bookmarkEnd w:id="232"/>
    </w:p>
    <w:p w14:paraId="2EC7B5F1" w14:textId="74DA4E86" w:rsidR="00173F8E" w:rsidRPr="00167CB8" w:rsidRDefault="00173F8E" w:rsidP="00173F8E">
      <w:pPr>
        <w:rPr>
          <w:rFonts w:cs="Calibri"/>
        </w:rPr>
      </w:pPr>
      <w:r w:rsidRPr="00167CB8">
        <w:rPr>
          <w:rFonts w:cs="Calibri"/>
        </w:rPr>
        <w:t xml:space="preserve">Part 17 of Schedule 1 of the </w:t>
      </w:r>
      <w:r w:rsidRPr="00167CB8">
        <w:t xml:space="preserve">Secure Jobs, Better Pay </w:t>
      </w:r>
      <w:r w:rsidRPr="00167CB8">
        <w:rPr>
          <w:rFonts w:cs="Calibri"/>
        </w:rPr>
        <w:t xml:space="preserve">Act established a new power for the </w:t>
      </w:r>
      <w:r w:rsidR="00A355E4" w:rsidRPr="00167CB8">
        <w:rPr>
          <w:rFonts w:cs="Calibri"/>
        </w:rPr>
        <w:t>Fair Work Commission (</w:t>
      </w:r>
      <w:r w:rsidRPr="00167CB8">
        <w:rPr>
          <w:rFonts w:cs="Calibri"/>
        </w:rPr>
        <w:t>FWC</w:t>
      </w:r>
      <w:r w:rsidR="00A355E4" w:rsidRPr="00167CB8">
        <w:rPr>
          <w:rFonts w:cs="Calibri"/>
        </w:rPr>
        <w:t>)</w:t>
      </w:r>
      <w:r w:rsidRPr="00167CB8">
        <w:rPr>
          <w:rFonts w:cs="Calibri"/>
        </w:rPr>
        <w:t xml:space="preserve"> to vary enterprise agreement to correct or amend errors, defects or irregularities and other administrative errors with draft agreements during the approval process. These expanded powers address a regulatory gap arising from the FWC’s previously limited ability to correct errors and mistakes in enterprise agreements. These new powers have been received positively by stakeholders and do not appear to have created any issues.</w:t>
      </w:r>
    </w:p>
    <w:p w14:paraId="3E9BA50F" w14:textId="40A753D4" w:rsidR="00173F8E" w:rsidRPr="00167CB8" w:rsidRDefault="006D0C76" w:rsidP="00173F8E">
      <w:pPr>
        <w:pStyle w:val="Heading4"/>
        <w:rPr>
          <w:rFonts w:asciiTheme="minorHAnsi" w:hAnsiTheme="minorHAnsi"/>
        </w:rPr>
      </w:pPr>
      <w:bookmarkStart w:id="233" w:name="_Toc189260259"/>
      <w:bookmarkStart w:id="234" w:name="_Toc189393575"/>
      <w:r w:rsidRPr="00167CB8">
        <w:rPr>
          <w:rFonts w:asciiTheme="minorHAnsi" w:hAnsiTheme="minorHAnsi"/>
        </w:rPr>
        <w:t>18</w:t>
      </w:r>
      <w:r w:rsidR="00173F8E" w:rsidRPr="00167CB8">
        <w:rPr>
          <w:rFonts w:asciiTheme="minorHAnsi" w:hAnsiTheme="minorHAnsi"/>
        </w:rPr>
        <w:t xml:space="preserve">.1 </w:t>
      </w:r>
      <w:r w:rsidR="00173F8E" w:rsidRPr="00167CB8">
        <w:t xml:space="preserve">Amendments </w:t>
      </w:r>
      <w:r w:rsidR="00A355E4" w:rsidRPr="00167CB8">
        <w:t>and i</w:t>
      </w:r>
      <w:r w:rsidR="00173F8E" w:rsidRPr="00167CB8">
        <w:t>ntent</w:t>
      </w:r>
      <w:bookmarkEnd w:id="233"/>
      <w:bookmarkEnd w:id="234"/>
      <w:r w:rsidR="00173F8E" w:rsidRPr="00167CB8" w:rsidDel="00EF522A">
        <w:rPr>
          <w:rFonts w:asciiTheme="minorHAnsi" w:hAnsiTheme="minorHAnsi"/>
        </w:rPr>
        <w:t xml:space="preserve"> </w:t>
      </w:r>
    </w:p>
    <w:p w14:paraId="7418075D" w14:textId="77777777" w:rsidR="00173F8E" w:rsidRPr="00167CB8" w:rsidRDefault="00173F8E" w:rsidP="00173F8E">
      <w:r w:rsidRPr="00167CB8">
        <w:rPr>
          <w:rFonts w:cs="Calibri"/>
        </w:rPr>
        <w:t>These amendments were intended to simplify the process for correcting errors in enterprise agreements. Prior to the commencement of the Secure Jobs, Better Pay Act there was a regulatory gap to address obvious errors, defects and irregularities in enterprise agreements and to efficiently deal with the situation where the incorrect version of an agreement or variation was submitted and subsequently approved by the FWC.</w:t>
      </w:r>
      <w:r w:rsidRPr="00167CB8">
        <w:rPr>
          <w:rStyle w:val="FootnoteReference"/>
          <w:rFonts w:cs="Calibri"/>
        </w:rPr>
        <w:footnoteReference w:id="673"/>
      </w:r>
    </w:p>
    <w:p w14:paraId="58DF6F99" w14:textId="6E47C208" w:rsidR="00173F8E" w:rsidRPr="00167CB8" w:rsidRDefault="006D0C76" w:rsidP="00173F8E">
      <w:pPr>
        <w:pStyle w:val="Heading5"/>
        <w:rPr>
          <w:rFonts w:asciiTheme="minorHAnsi" w:hAnsiTheme="minorHAnsi"/>
        </w:rPr>
      </w:pPr>
      <w:r w:rsidRPr="00167CB8">
        <w:rPr>
          <w:rFonts w:asciiTheme="minorHAnsi" w:hAnsiTheme="minorHAnsi"/>
        </w:rPr>
        <w:t>18</w:t>
      </w:r>
      <w:r w:rsidR="00173F8E" w:rsidRPr="00167CB8">
        <w:rPr>
          <w:rFonts w:asciiTheme="minorHAnsi" w:hAnsiTheme="minorHAnsi"/>
        </w:rPr>
        <w:t xml:space="preserve">.1.1 </w:t>
      </w:r>
      <w:r w:rsidR="00173F8E" w:rsidRPr="00167CB8">
        <w:t xml:space="preserve">Secure Jobs, Better Pay </w:t>
      </w:r>
      <w:r w:rsidR="00A355E4" w:rsidRPr="00167CB8">
        <w:rPr>
          <w:rFonts w:asciiTheme="minorHAnsi" w:hAnsiTheme="minorHAnsi"/>
        </w:rPr>
        <w:t>a</w:t>
      </w:r>
      <w:r w:rsidR="00173F8E" w:rsidRPr="00167CB8">
        <w:rPr>
          <w:rFonts w:asciiTheme="minorHAnsi" w:hAnsiTheme="minorHAnsi"/>
        </w:rPr>
        <w:t>mendments</w:t>
      </w:r>
    </w:p>
    <w:p w14:paraId="0EC92151" w14:textId="51EB9AD3" w:rsidR="00173F8E" w:rsidRPr="00167CB8" w:rsidRDefault="00173F8E" w:rsidP="00173F8E">
      <w:pPr>
        <w:rPr>
          <w:rFonts w:cs="Calibri"/>
        </w:rPr>
      </w:pPr>
      <w:r w:rsidRPr="00167CB8">
        <w:rPr>
          <w:rFonts w:cs="Calibri"/>
        </w:rPr>
        <w:t xml:space="preserve">Prior to the </w:t>
      </w:r>
      <w:r w:rsidRPr="00167CB8">
        <w:t xml:space="preserve">Secure Jobs, Better Pay </w:t>
      </w:r>
      <w:r w:rsidRPr="00167CB8">
        <w:rPr>
          <w:rFonts w:cs="Calibri"/>
        </w:rPr>
        <w:t>Act, a practical issue had arisen in circumstances where proposed enterprise agreements, voted on and approved by employees, contained typographical or other errors (like missing paragraph numbers) or where incorrect versions of proposed enterprise agreements were submitted, and subsequently approved by, the FWC. Following a number of decisions by the FWC,</w:t>
      </w:r>
      <w:r w:rsidRPr="00167CB8">
        <w:rPr>
          <w:rStyle w:val="FootnoteReference"/>
          <w:rFonts w:cs="Calibri"/>
        </w:rPr>
        <w:footnoteReference w:id="674"/>
      </w:r>
      <w:r w:rsidRPr="00167CB8">
        <w:rPr>
          <w:rFonts w:cs="Calibri"/>
        </w:rPr>
        <w:t xml:space="preserve"> a gap in the FWC’s powers to assist in either of these scenarios emerged. While there were solutions available, they were limited and often onerous on participants (and the FWC).</w:t>
      </w:r>
    </w:p>
    <w:p w14:paraId="550FE702" w14:textId="11DCDA21" w:rsidR="00173F8E" w:rsidRPr="00167CB8" w:rsidRDefault="00173F8E" w:rsidP="00173F8E">
      <w:pPr>
        <w:rPr>
          <w:rFonts w:cs="Calibri"/>
        </w:rPr>
      </w:pPr>
      <w:r w:rsidRPr="00167CB8">
        <w:rPr>
          <w:rFonts w:cs="Calibri"/>
        </w:rPr>
        <w:t>The amendments introduced s</w:t>
      </w:r>
      <w:r w:rsidR="00A355E4" w:rsidRPr="00167CB8">
        <w:rPr>
          <w:rFonts w:cs="Calibri"/>
        </w:rPr>
        <w:t> </w:t>
      </w:r>
      <w:r w:rsidRPr="00167CB8">
        <w:rPr>
          <w:rFonts w:cs="Calibri"/>
        </w:rPr>
        <w:t xml:space="preserve">218A of the Fair Work Act, which empowers the FWC to </w:t>
      </w:r>
      <w:r w:rsidR="00A355E4" w:rsidRPr="00167CB8">
        <w:rPr>
          <w:rFonts w:cs="Calibri"/>
        </w:rPr>
        <w:t>‘</w:t>
      </w:r>
      <w:r w:rsidRPr="00167CB8">
        <w:rPr>
          <w:rFonts w:cs="Calibri"/>
        </w:rPr>
        <w:t>vary an enterprise agreement to correct or amend an obvious error, defect or irregularity (whether in substance or form)</w:t>
      </w:r>
      <w:r w:rsidR="00A355E4" w:rsidRPr="00167CB8">
        <w:rPr>
          <w:rFonts w:cs="Calibri"/>
        </w:rPr>
        <w:t>’</w:t>
      </w:r>
      <w:r w:rsidRPr="00167CB8">
        <w:rPr>
          <w:rFonts w:cs="Calibri"/>
        </w:rPr>
        <w:t>.</w:t>
      </w:r>
      <w:r w:rsidRPr="00167CB8">
        <w:rPr>
          <w:rStyle w:val="FootnoteReference"/>
          <w:rFonts w:cs="Calibri"/>
        </w:rPr>
        <w:footnoteReference w:id="675"/>
      </w:r>
      <w:r w:rsidRPr="00167CB8">
        <w:rPr>
          <w:rFonts w:cs="Calibri"/>
        </w:rPr>
        <w:t xml:space="preserve"> Under s</w:t>
      </w:r>
      <w:r w:rsidR="00A355E4" w:rsidRPr="00167CB8">
        <w:rPr>
          <w:rFonts w:cs="Calibri"/>
        </w:rPr>
        <w:t> </w:t>
      </w:r>
      <w:r w:rsidRPr="00167CB8">
        <w:rPr>
          <w:rFonts w:cs="Calibri"/>
        </w:rPr>
        <w:t>218A(2), the FWC can use this power on its own initiative or on application by a party covered by the agreement.</w:t>
      </w:r>
      <w:r w:rsidRPr="00167CB8">
        <w:rPr>
          <w:rStyle w:val="FootnoteReference"/>
          <w:rFonts w:cs="Calibri"/>
        </w:rPr>
        <w:footnoteReference w:id="676"/>
      </w:r>
    </w:p>
    <w:p w14:paraId="5E1E159C" w14:textId="60A8CD32" w:rsidR="00173F8E" w:rsidRPr="00167CB8" w:rsidRDefault="00173F8E" w:rsidP="00173F8E">
      <w:r w:rsidRPr="00167CB8">
        <w:rPr>
          <w:rFonts w:cs="Calibri"/>
        </w:rPr>
        <w:t>In addition, where an incorrect draft agreement or draft variation was provided to the FWC, and subsequently approved, under ss</w:t>
      </w:r>
      <w:r w:rsidR="00A355E4" w:rsidRPr="00167CB8">
        <w:rPr>
          <w:rFonts w:cs="Calibri"/>
        </w:rPr>
        <w:t> </w:t>
      </w:r>
      <w:r w:rsidRPr="00167CB8">
        <w:rPr>
          <w:rFonts w:cs="Calibri"/>
        </w:rPr>
        <w:t>602A and 602B, the FWC now has the power to validate the approval or variation and publish the correct version of the agreement, as if the error had not occurred</w:t>
      </w:r>
      <w:r w:rsidRPr="00167CB8">
        <w:t>.</w:t>
      </w:r>
      <w:r w:rsidRPr="00167CB8">
        <w:rPr>
          <w:rStyle w:val="FootnoteReference"/>
        </w:rPr>
        <w:footnoteReference w:id="677"/>
      </w:r>
      <w:r w:rsidRPr="00167CB8">
        <w:t xml:space="preserve"> </w:t>
      </w:r>
    </w:p>
    <w:p w14:paraId="432FF25D" w14:textId="77777777" w:rsidR="00173F8E" w:rsidRPr="00167CB8" w:rsidRDefault="00173F8E" w:rsidP="00173F8E">
      <w:pPr>
        <w:rPr>
          <w:rFonts w:cs="Calibri"/>
        </w:rPr>
      </w:pPr>
      <w:r w:rsidRPr="00167CB8">
        <w:rPr>
          <w:rFonts w:cs="Calibri"/>
        </w:rPr>
        <w:t>These amendments came into effect on 7 December 2022.</w:t>
      </w:r>
      <w:r w:rsidRPr="00167CB8">
        <w:rPr>
          <w:rStyle w:val="FootnoteReference"/>
          <w:rFonts w:cs="Calibri"/>
        </w:rPr>
        <w:footnoteReference w:id="678"/>
      </w:r>
    </w:p>
    <w:p w14:paraId="2171BAD2" w14:textId="46D4F39F" w:rsidR="00173F8E" w:rsidRPr="00167CB8" w:rsidRDefault="006D0C76" w:rsidP="00173F8E">
      <w:pPr>
        <w:pStyle w:val="Heading5"/>
        <w:rPr>
          <w:rFonts w:asciiTheme="minorHAnsi" w:hAnsiTheme="minorHAnsi"/>
        </w:rPr>
      </w:pPr>
      <w:r w:rsidRPr="00167CB8">
        <w:rPr>
          <w:rFonts w:asciiTheme="minorHAnsi" w:hAnsiTheme="minorHAnsi"/>
        </w:rPr>
        <w:t>18</w:t>
      </w:r>
      <w:r w:rsidR="00173F8E" w:rsidRPr="00167CB8">
        <w:rPr>
          <w:rFonts w:asciiTheme="minorHAnsi" w:hAnsiTheme="minorHAnsi"/>
        </w:rPr>
        <w:t xml:space="preserve">.1.2 Intent of </w:t>
      </w:r>
      <w:r w:rsidR="00173F8E" w:rsidRPr="00167CB8">
        <w:t xml:space="preserve">Secure Jobs, Better Pay </w:t>
      </w:r>
      <w:r w:rsidR="00A355E4" w:rsidRPr="00167CB8">
        <w:rPr>
          <w:rFonts w:asciiTheme="minorHAnsi" w:hAnsiTheme="minorHAnsi"/>
        </w:rPr>
        <w:t>a</w:t>
      </w:r>
      <w:r w:rsidR="00173F8E" w:rsidRPr="00167CB8">
        <w:rPr>
          <w:rFonts w:asciiTheme="minorHAnsi" w:hAnsiTheme="minorHAnsi"/>
        </w:rPr>
        <w:t>mendments</w:t>
      </w:r>
    </w:p>
    <w:p w14:paraId="2318C662" w14:textId="4311E3DC" w:rsidR="00173F8E" w:rsidRPr="00167CB8" w:rsidRDefault="00173F8E" w:rsidP="00173F8E">
      <w:pPr>
        <w:rPr>
          <w:rFonts w:cs="Calibri"/>
          <w:i/>
          <w:vertAlign w:val="superscript"/>
        </w:rPr>
      </w:pPr>
      <w:r w:rsidRPr="00167CB8">
        <w:rPr>
          <w:rFonts w:cs="Calibri"/>
        </w:rPr>
        <w:t xml:space="preserve">The Australian Government’s intention was to address a regulatory gap and provide a practical and efficient process for remedying obvious errors in </w:t>
      </w:r>
      <w:r w:rsidRPr="00167CB8" w:rsidDel="00955159">
        <w:rPr>
          <w:rFonts w:cs="Calibri"/>
        </w:rPr>
        <w:t>agreements</w:t>
      </w:r>
      <w:r w:rsidRPr="00167CB8">
        <w:rPr>
          <w:rFonts w:cs="Calibri"/>
        </w:rPr>
        <w:t xml:space="preserve">. In the </w:t>
      </w:r>
      <w:r w:rsidR="00060EFE" w:rsidRPr="00167CB8">
        <w:rPr>
          <w:rFonts w:cs="Calibri"/>
        </w:rPr>
        <w:t>E</w:t>
      </w:r>
      <w:r w:rsidRPr="00167CB8">
        <w:rPr>
          <w:rFonts w:cs="Calibri"/>
        </w:rPr>
        <w:t xml:space="preserve">xplanatory </w:t>
      </w:r>
      <w:r w:rsidR="00060EFE" w:rsidRPr="00167CB8">
        <w:rPr>
          <w:rFonts w:cs="Calibri"/>
        </w:rPr>
        <w:t>M</w:t>
      </w:r>
      <w:r w:rsidRPr="00167CB8">
        <w:rPr>
          <w:rFonts w:cs="Calibri"/>
        </w:rPr>
        <w:t xml:space="preserve">emorandum to the </w:t>
      </w:r>
      <w:r w:rsidRPr="00167CB8">
        <w:t xml:space="preserve">Secure Jobs, Better Pay </w:t>
      </w:r>
      <w:r w:rsidRPr="00167CB8">
        <w:rPr>
          <w:rFonts w:cs="Calibri"/>
        </w:rPr>
        <w:t xml:space="preserve">Bill, the Australian Government asserted that this amendment ‘implements one of the outcomes of the Jobs and Skills Summit in relation to </w:t>
      </w:r>
      <w:r w:rsidRPr="00167CB8">
        <w:rPr>
          <w:rFonts w:cs="Calibri"/>
        </w:rPr>
        <w:lastRenderedPageBreak/>
        <w:t>boosting job security and wages, and creating safe, fair and productive workplaces (i.e. removing unnecessary complexity for workers and employers)</w:t>
      </w:r>
      <w:r w:rsidR="00A355E4" w:rsidRPr="00167CB8">
        <w:rPr>
          <w:rFonts w:cs="Calibri"/>
        </w:rPr>
        <w:t>’</w:t>
      </w:r>
      <w:r w:rsidRPr="00167CB8">
        <w:rPr>
          <w:rFonts w:cs="Calibri"/>
        </w:rPr>
        <w:t>.</w:t>
      </w:r>
      <w:r w:rsidRPr="00167CB8">
        <w:rPr>
          <w:rStyle w:val="FootnoteReference"/>
          <w:rFonts w:cs="Calibri"/>
        </w:rPr>
        <w:footnoteReference w:id="679"/>
      </w:r>
    </w:p>
    <w:p w14:paraId="087F6B02" w14:textId="205F5799" w:rsidR="00173F8E" w:rsidRPr="00167CB8" w:rsidRDefault="006D0C76" w:rsidP="00173F8E">
      <w:pPr>
        <w:pStyle w:val="Heading4"/>
        <w:rPr>
          <w:rFonts w:asciiTheme="minorHAnsi" w:hAnsiTheme="minorHAnsi"/>
        </w:rPr>
      </w:pPr>
      <w:bookmarkStart w:id="235" w:name="_Toc189260260"/>
      <w:bookmarkStart w:id="236" w:name="_Toc189393576"/>
      <w:r w:rsidRPr="00167CB8">
        <w:rPr>
          <w:rFonts w:asciiTheme="minorHAnsi" w:hAnsiTheme="minorHAnsi"/>
        </w:rPr>
        <w:t>18</w:t>
      </w:r>
      <w:r w:rsidR="00173F8E" w:rsidRPr="00167CB8">
        <w:rPr>
          <w:rFonts w:asciiTheme="minorHAnsi" w:hAnsiTheme="minorHAnsi"/>
        </w:rPr>
        <w:t xml:space="preserve">.2 Impact and </w:t>
      </w:r>
      <w:r w:rsidR="00A355E4" w:rsidRPr="00167CB8">
        <w:rPr>
          <w:rFonts w:asciiTheme="minorHAnsi" w:hAnsiTheme="minorHAnsi"/>
        </w:rPr>
        <w:t>i</w:t>
      </w:r>
      <w:r w:rsidR="00173F8E" w:rsidRPr="00167CB8">
        <w:rPr>
          <w:rFonts w:asciiTheme="minorHAnsi" w:hAnsiTheme="minorHAnsi"/>
        </w:rPr>
        <w:t>ssues</w:t>
      </w:r>
      <w:bookmarkEnd w:id="235"/>
      <w:bookmarkEnd w:id="236"/>
    </w:p>
    <w:p w14:paraId="1B38D131" w14:textId="65860F5B" w:rsidR="00173F8E" w:rsidRPr="00167CB8" w:rsidRDefault="00173F8E" w:rsidP="00173F8E">
      <w:pPr>
        <w:rPr>
          <w:rFonts w:cs="Calibri"/>
        </w:rPr>
      </w:pPr>
      <w:r w:rsidRPr="00167CB8">
        <w:rPr>
          <w:rFonts w:cs="Calibri"/>
        </w:rPr>
        <w:t xml:space="preserve">The data </w:t>
      </w:r>
      <w:r w:rsidR="003D52E2" w:rsidRPr="00167CB8">
        <w:rPr>
          <w:rFonts w:cs="Calibri"/>
        </w:rPr>
        <w:t xml:space="preserve">on the impact of the amendments comes in three forms: numbers from the FWC of applications for varied agreements; qualitative data from decisions of the FWC; and stakeholder feedback. All suggest </w:t>
      </w:r>
      <w:r w:rsidRPr="00167CB8">
        <w:rPr>
          <w:rFonts w:cs="Calibri"/>
        </w:rPr>
        <w:t xml:space="preserve">that since the commencement of the reforms there have been less applications to vary enterprise agreements. </w:t>
      </w:r>
    </w:p>
    <w:p w14:paraId="6DBE17BE" w14:textId="04B058E9" w:rsidR="00173F8E" w:rsidRPr="00167CB8" w:rsidRDefault="006D0C76" w:rsidP="00173F8E">
      <w:pPr>
        <w:pStyle w:val="Heading5"/>
        <w:rPr>
          <w:rFonts w:asciiTheme="minorHAnsi" w:hAnsiTheme="minorHAnsi"/>
        </w:rPr>
      </w:pPr>
      <w:r w:rsidRPr="00167CB8">
        <w:rPr>
          <w:rFonts w:asciiTheme="minorHAnsi" w:hAnsiTheme="minorHAnsi"/>
        </w:rPr>
        <w:t>18</w:t>
      </w:r>
      <w:r w:rsidR="00173F8E" w:rsidRPr="00167CB8">
        <w:rPr>
          <w:rFonts w:asciiTheme="minorHAnsi" w:hAnsiTheme="minorHAnsi"/>
        </w:rPr>
        <w:t xml:space="preserve">.2.1 Quantitative </w:t>
      </w:r>
      <w:r w:rsidR="00A355E4" w:rsidRPr="00167CB8">
        <w:rPr>
          <w:rFonts w:asciiTheme="minorHAnsi" w:hAnsiTheme="minorHAnsi"/>
        </w:rPr>
        <w:t>e</w:t>
      </w:r>
      <w:r w:rsidR="00173F8E" w:rsidRPr="00167CB8">
        <w:rPr>
          <w:rFonts w:asciiTheme="minorHAnsi" w:hAnsiTheme="minorHAnsi"/>
        </w:rPr>
        <w:t>vidence</w:t>
      </w:r>
    </w:p>
    <w:p w14:paraId="30A1D726" w14:textId="6308015B" w:rsidR="00173F8E" w:rsidRPr="00167CB8" w:rsidRDefault="00173F8E" w:rsidP="00173F8E">
      <w:pPr>
        <w:rPr>
          <w:rFonts w:cs="Calibri"/>
        </w:rPr>
      </w:pPr>
      <w:r w:rsidRPr="00167CB8">
        <w:rPr>
          <w:rFonts w:cs="Calibri"/>
        </w:rPr>
        <w:t xml:space="preserve">Data from the FWC (presented in Table </w:t>
      </w:r>
      <w:r w:rsidR="007D2626" w:rsidRPr="00167CB8">
        <w:rPr>
          <w:rFonts w:cs="Calibri"/>
        </w:rPr>
        <w:t>14</w:t>
      </w:r>
      <w:r w:rsidRPr="00167CB8">
        <w:rPr>
          <w:rFonts w:cs="Calibri"/>
        </w:rPr>
        <w:t>) shows that there has been a decline in agreement variation applications under ss</w:t>
      </w:r>
      <w:r w:rsidR="00A355E4" w:rsidRPr="00167CB8">
        <w:rPr>
          <w:rFonts w:cs="Calibri"/>
        </w:rPr>
        <w:t> </w:t>
      </w:r>
      <w:r w:rsidRPr="00167CB8">
        <w:rPr>
          <w:rFonts w:cs="Calibri"/>
        </w:rPr>
        <w:t xml:space="preserve">210 and 217 of the Fair Work Act for the past </w:t>
      </w:r>
      <w:r w:rsidR="00A355E4" w:rsidRPr="00167CB8">
        <w:rPr>
          <w:rFonts w:cs="Calibri"/>
        </w:rPr>
        <w:t xml:space="preserve">2 </w:t>
      </w:r>
      <w:r w:rsidRPr="00167CB8">
        <w:rPr>
          <w:rFonts w:cs="Calibri"/>
        </w:rPr>
        <w:t xml:space="preserve">years, being the years since commencement of the reforms. At the same time, the data demonstrates that since the </w:t>
      </w:r>
      <w:r w:rsidRPr="00167CB8">
        <w:t xml:space="preserve">Secure Jobs, Better Pay </w:t>
      </w:r>
      <w:r w:rsidRPr="00167CB8">
        <w:rPr>
          <w:rFonts w:cs="Calibri"/>
        </w:rPr>
        <w:t>Act provisions commenced there has been a large number of applications made under s</w:t>
      </w:r>
      <w:r w:rsidR="00AC3FD8" w:rsidRPr="00167CB8">
        <w:rPr>
          <w:rFonts w:cs="Calibri"/>
        </w:rPr>
        <w:t> </w:t>
      </w:r>
      <w:r w:rsidRPr="00167CB8">
        <w:rPr>
          <w:rFonts w:cs="Calibri"/>
        </w:rPr>
        <w:t xml:space="preserve">218A to correct or amend obvious errors, defects or irregularities. </w:t>
      </w:r>
    </w:p>
    <w:p w14:paraId="4BC7A1D9" w14:textId="4528DE18" w:rsidR="00173F8E" w:rsidRPr="00167CB8" w:rsidRDefault="00173F8E" w:rsidP="00173F8E">
      <w:pPr>
        <w:rPr>
          <w:rFonts w:cs="Calibri"/>
        </w:rPr>
      </w:pPr>
      <w:r w:rsidRPr="00167CB8">
        <w:rPr>
          <w:rFonts w:cs="Calibri"/>
        </w:rPr>
        <w:t xml:space="preserve">While it is likely that there are </w:t>
      </w:r>
      <w:r w:rsidR="00EC2BAE" w:rsidRPr="00167CB8">
        <w:rPr>
          <w:rFonts w:cs="Calibri"/>
        </w:rPr>
        <w:t>numerous</w:t>
      </w:r>
      <w:r w:rsidRPr="00167CB8">
        <w:rPr>
          <w:rFonts w:cs="Calibri"/>
        </w:rPr>
        <w:t xml:space="preserve"> factors impacting on the use of applications to vary agreements under s</w:t>
      </w:r>
      <w:r w:rsidR="00AC3FD8" w:rsidRPr="00167CB8">
        <w:rPr>
          <w:rFonts w:cs="Calibri"/>
        </w:rPr>
        <w:t> </w:t>
      </w:r>
      <w:r w:rsidRPr="00167CB8">
        <w:rPr>
          <w:rFonts w:cs="Calibri"/>
        </w:rPr>
        <w:t xml:space="preserve">210 or </w:t>
      </w:r>
      <w:r w:rsidR="00AC3FD8" w:rsidRPr="00167CB8">
        <w:rPr>
          <w:rFonts w:cs="Calibri"/>
        </w:rPr>
        <w:t>s </w:t>
      </w:r>
      <w:r w:rsidRPr="00167CB8">
        <w:rPr>
          <w:rFonts w:cs="Calibri"/>
        </w:rPr>
        <w:t>217 of the Fair Work Act, the decline may be attributed to the FWC’s ability to now correct errors on its own initiative (under new s</w:t>
      </w:r>
      <w:r w:rsidR="00AC3FD8" w:rsidRPr="00167CB8">
        <w:rPr>
          <w:rFonts w:cs="Calibri"/>
        </w:rPr>
        <w:t> </w:t>
      </w:r>
      <w:r w:rsidRPr="00167CB8">
        <w:rPr>
          <w:rFonts w:cs="Calibri"/>
        </w:rPr>
        <w:t>218A) without parties needing to apply to the FWC.</w:t>
      </w:r>
    </w:p>
    <w:p w14:paraId="4498E1E4" w14:textId="4BDD16FC" w:rsidR="00173F8E" w:rsidRPr="00167CB8" w:rsidRDefault="00173F8E" w:rsidP="00470AB9">
      <w:pPr>
        <w:pStyle w:val="Caption"/>
      </w:pPr>
      <w:r w:rsidRPr="00167CB8">
        <w:t xml:space="preserve">Table </w:t>
      </w:r>
      <w:r w:rsidR="00E838A9" w:rsidRPr="00167CB8">
        <w:t>14</w:t>
      </w:r>
      <w:r w:rsidRPr="00167CB8">
        <w:t>: Agreement variation applications 2019</w:t>
      </w:r>
      <w:r w:rsidR="00AC3FD8" w:rsidRPr="00167CB8">
        <w:rPr>
          <w:rFonts w:ascii="Symbol" w:eastAsia="Symbol" w:hAnsi="Symbol" w:cs="Symbol"/>
        </w:rPr>
        <w:t>-</w:t>
      </w:r>
      <w:r w:rsidRPr="00167CB8">
        <w:t>20 to 2023</w:t>
      </w:r>
      <w:r w:rsidR="00AC3FD8" w:rsidRPr="00167CB8">
        <w:rPr>
          <w:rFonts w:ascii="Symbol" w:eastAsia="Symbol" w:hAnsi="Symbol" w:cs="Symbol"/>
        </w:rPr>
        <w:t>-</w:t>
      </w:r>
      <w:r w:rsidRPr="00167CB8">
        <w:t>24</w:t>
      </w:r>
    </w:p>
    <w:tbl>
      <w:tblPr>
        <w:tblStyle w:val="TableGrid"/>
        <w:tblW w:w="0" w:type="auto"/>
        <w:tblLayout w:type="fixed"/>
        <w:tblLook w:val="04A0" w:firstRow="1" w:lastRow="0" w:firstColumn="1" w:lastColumn="0" w:noHBand="0" w:noVBand="1"/>
      </w:tblPr>
      <w:tblGrid>
        <w:gridCol w:w="2689"/>
        <w:gridCol w:w="1054"/>
        <w:gridCol w:w="1055"/>
        <w:gridCol w:w="1054"/>
        <w:gridCol w:w="1055"/>
        <w:gridCol w:w="1054"/>
        <w:gridCol w:w="1055"/>
      </w:tblGrid>
      <w:tr w:rsidR="00C262DB" w:rsidRPr="00167CB8" w14:paraId="24708CD1" w14:textId="77777777" w:rsidTr="00C262DB">
        <w:tc>
          <w:tcPr>
            <w:tcW w:w="2689" w:type="dxa"/>
          </w:tcPr>
          <w:p w14:paraId="381EBC6C" w14:textId="176FC7A6" w:rsidR="00173F8E" w:rsidRPr="005B299F" w:rsidRDefault="00173F8E">
            <w:pPr>
              <w:spacing w:line="259" w:lineRule="auto"/>
              <w:rPr>
                <w:rFonts w:cs="Calibri"/>
                <w:b/>
                <w:bCs/>
              </w:rPr>
            </w:pPr>
            <w:r w:rsidRPr="005B299F">
              <w:rPr>
                <w:rFonts w:cs="Calibri"/>
                <w:b/>
                <w:bCs/>
              </w:rPr>
              <w:t xml:space="preserve">Type of </w:t>
            </w:r>
            <w:r w:rsidR="00AC3FD8" w:rsidRPr="005B299F">
              <w:rPr>
                <w:rFonts w:cs="Calibri"/>
                <w:b/>
                <w:bCs/>
              </w:rPr>
              <w:t>a</w:t>
            </w:r>
            <w:r w:rsidRPr="005B299F">
              <w:rPr>
                <w:rFonts w:cs="Calibri"/>
                <w:b/>
                <w:bCs/>
              </w:rPr>
              <w:t>pplication</w:t>
            </w:r>
          </w:p>
        </w:tc>
        <w:tc>
          <w:tcPr>
            <w:tcW w:w="1054" w:type="dxa"/>
          </w:tcPr>
          <w:p w14:paraId="0E2F57D9" w14:textId="364AFC74" w:rsidR="00173F8E" w:rsidRPr="00167CB8" w:rsidRDefault="00173F8E">
            <w:pPr>
              <w:spacing w:line="259" w:lineRule="auto"/>
              <w:rPr>
                <w:rFonts w:cs="Calibri"/>
              </w:rPr>
            </w:pPr>
            <w:r w:rsidRPr="005B299F">
              <w:rPr>
                <w:rFonts w:cs="Calibri"/>
                <w:b/>
                <w:bCs/>
              </w:rPr>
              <w:t>2019</w:t>
            </w:r>
            <w:r w:rsidR="00AC3FD8" w:rsidRPr="005B299F">
              <w:rPr>
                <w:rFonts w:ascii="Symbol" w:eastAsia="Symbol" w:hAnsi="Symbol" w:cs="Symbol"/>
                <w:b/>
                <w:bCs/>
              </w:rPr>
              <w:sym w:font="Symbol" w:char="F02D"/>
            </w:r>
            <w:r w:rsidRPr="005B299F">
              <w:rPr>
                <w:rFonts w:cs="Calibri"/>
                <w:b/>
                <w:bCs/>
              </w:rPr>
              <w:t>20</w:t>
            </w:r>
            <w:r w:rsidRPr="00167CB8">
              <w:rPr>
                <w:rStyle w:val="FootnoteReference"/>
                <w:rFonts w:cs="Calibri"/>
              </w:rPr>
              <w:footnoteReference w:id="680"/>
            </w:r>
          </w:p>
        </w:tc>
        <w:tc>
          <w:tcPr>
            <w:tcW w:w="1055" w:type="dxa"/>
          </w:tcPr>
          <w:p w14:paraId="4949E6CA" w14:textId="75C3BD1D" w:rsidR="00173F8E" w:rsidRPr="00167CB8" w:rsidRDefault="00173F8E">
            <w:pPr>
              <w:spacing w:line="259" w:lineRule="auto"/>
              <w:rPr>
                <w:rFonts w:cs="Calibri"/>
              </w:rPr>
            </w:pPr>
            <w:r w:rsidRPr="005B299F">
              <w:rPr>
                <w:rFonts w:cs="Calibri"/>
                <w:b/>
                <w:bCs/>
              </w:rPr>
              <w:t>2020</w:t>
            </w:r>
            <w:r w:rsidR="00AC3FD8" w:rsidRPr="005B299F">
              <w:rPr>
                <w:rFonts w:ascii="Symbol" w:eastAsia="Symbol" w:hAnsi="Symbol" w:cs="Symbol"/>
                <w:b/>
                <w:bCs/>
              </w:rPr>
              <w:sym w:font="Symbol" w:char="F02D"/>
            </w:r>
            <w:r w:rsidRPr="005B299F">
              <w:rPr>
                <w:rFonts w:cs="Calibri"/>
                <w:b/>
                <w:bCs/>
              </w:rPr>
              <w:t>21</w:t>
            </w:r>
            <w:r w:rsidRPr="00167CB8">
              <w:rPr>
                <w:rStyle w:val="FootnoteReference"/>
                <w:rFonts w:cs="Calibri"/>
              </w:rPr>
              <w:footnoteReference w:id="681"/>
            </w:r>
          </w:p>
        </w:tc>
        <w:tc>
          <w:tcPr>
            <w:tcW w:w="1054" w:type="dxa"/>
          </w:tcPr>
          <w:p w14:paraId="3327ADBF" w14:textId="713AEC9B" w:rsidR="00173F8E" w:rsidRPr="00167CB8" w:rsidRDefault="00173F8E">
            <w:pPr>
              <w:spacing w:line="259" w:lineRule="auto"/>
              <w:rPr>
                <w:rFonts w:cs="Calibri"/>
              </w:rPr>
            </w:pPr>
            <w:r w:rsidRPr="005B299F">
              <w:rPr>
                <w:rFonts w:cs="Calibri"/>
                <w:b/>
                <w:bCs/>
              </w:rPr>
              <w:t>2021</w:t>
            </w:r>
            <w:r w:rsidR="00AC3FD8" w:rsidRPr="005B299F">
              <w:rPr>
                <w:rFonts w:ascii="Symbol" w:eastAsia="Symbol" w:hAnsi="Symbol" w:cs="Symbol"/>
                <w:b/>
                <w:bCs/>
              </w:rPr>
              <w:sym w:font="Symbol" w:char="F02D"/>
            </w:r>
            <w:r w:rsidRPr="005B299F">
              <w:rPr>
                <w:rFonts w:cs="Calibri"/>
                <w:b/>
                <w:bCs/>
              </w:rPr>
              <w:t>22</w:t>
            </w:r>
            <w:r w:rsidRPr="00167CB8">
              <w:rPr>
                <w:rStyle w:val="FootnoteReference"/>
                <w:rFonts w:cs="Calibri"/>
              </w:rPr>
              <w:footnoteReference w:id="682"/>
            </w:r>
          </w:p>
        </w:tc>
        <w:tc>
          <w:tcPr>
            <w:tcW w:w="1055" w:type="dxa"/>
          </w:tcPr>
          <w:p w14:paraId="1441547A" w14:textId="7C93E5E0" w:rsidR="00173F8E" w:rsidRPr="00167CB8" w:rsidRDefault="00173F8E">
            <w:pPr>
              <w:spacing w:line="259" w:lineRule="auto"/>
              <w:rPr>
                <w:rFonts w:cs="Calibri"/>
              </w:rPr>
            </w:pPr>
            <w:r w:rsidRPr="005B299F">
              <w:rPr>
                <w:rFonts w:cs="Calibri"/>
                <w:b/>
                <w:bCs/>
              </w:rPr>
              <w:t>2022</w:t>
            </w:r>
            <w:r w:rsidR="00AC3FD8" w:rsidRPr="005B299F">
              <w:rPr>
                <w:rFonts w:ascii="Symbol" w:eastAsia="Symbol" w:hAnsi="Symbol" w:cs="Symbol"/>
                <w:b/>
                <w:bCs/>
              </w:rPr>
              <w:sym w:font="Symbol" w:char="F02D"/>
            </w:r>
            <w:r w:rsidRPr="005B299F">
              <w:rPr>
                <w:rFonts w:cs="Calibri"/>
                <w:b/>
                <w:bCs/>
              </w:rPr>
              <w:t>23</w:t>
            </w:r>
            <w:r w:rsidRPr="00167CB8">
              <w:rPr>
                <w:rStyle w:val="FootnoteReference"/>
                <w:rFonts w:cs="Calibri"/>
              </w:rPr>
              <w:footnoteReference w:id="683"/>
            </w:r>
          </w:p>
        </w:tc>
        <w:tc>
          <w:tcPr>
            <w:tcW w:w="1054" w:type="dxa"/>
          </w:tcPr>
          <w:p w14:paraId="295288DD" w14:textId="50E6AE0C" w:rsidR="00173F8E" w:rsidRPr="00167CB8" w:rsidRDefault="00173F8E">
            <w:pPr>
              <w:spacing w:line="259" w:lineRule="auto"/>
              <w:rPr>
                <w:rFonts w:cs="Calibri"/>
              </w:rPr>
            </w:pPr>
            <w:r w:rsidRPr="005B299F">
              <w:rPr>
                <w:rFonts w:cs="Calibri"/>
                <w:b/>
                <w:bCs/>
              </w:rPr>
              <w:t>2023</w:t>
            </w:r>
            <w:r w:rsidR="00AC3FD8" w:rsidRPr="005B299F">
              <w:rPr>
                <w:rFonts w:ascii="Symbol" w:eastAsia="Symbol" w:hAnsi="Symbol" w:cs="Symbol"/>
                <w:b/>
                <w:bCs/>
              </w:rPr>
              <w:sym w:font="Symbol" w:char="F02D"/>
            </w:r>
            <w:r w:rsidRPr="005B299F">
              <w:rPr>
                <w:rFonts w:cs="Calibri"/>
                <w:b/>
                <w:bCs/>
              </w:rPr>
              <w:t>24</w:t>
            </w:r>
            <w:r w:rsidRPr="00167CB8">
              <w:rPr>
                <w:rStyle w:val="FootnoteReference"/>
                <w:rFonts w:cs="Calibri"/>
              </w:rPr>
              <w:footnoteReference w:id="684"/>
            </w:r>
          </w:p>
        </w:tc>
        <w:tc>
          <w:tcPr>
            <w:tcW w:w="1055" w:type="dxa"/>
          </w:tcPr>
          <w:p w14:paraId="5E595722" w14:textId="3CAFDCF3" w:rsidR="00173F8E" w:rsidRPr="005B299F" w:rsidRDefault="00173F8E">
            <w:pPr>
              <w:spacing w:line="259" w:lineRule="auto"/>
              <w:rPr>
                <w:rFonts w:cs="Calibri"/>
                <w:b/>
                <w:bCs/>
              </w:rPr>
            </w:pPr>
            <w:r w:rsidRPr="005B299F">
              <w:rPr>
                <w:rFonts w:cs="Calibri"/>
                <w:b/>
                <w:bCs/>
              </w:rPr>
              <w:t>5</w:t>
            </w:r>
            <w:r w:rsidR="00AC3FD8" w:rsidRPr="005B299F">
              <w:rPr>
                <w:rFonts w:cs="Calibri"/>
                <w:b/>
                <w:bCs/>
              </w:rPr>
              <w:t>-</w:t>
            </w:r>
            <w:r w:rsidRPr="005B299F">
              <w:rPr>
                <w:rFonts w:cs="Calibri"/>
                <w:b/>
                <w:bCs/>
              </w:rPr>
              <w:t>year average</w:t>
            </w:r>
          </w:p>
        </w:tc>
      </w:tr>
      <w:tr w:rsidR="00C262DB" w:rsidRPr="00167CB8" w14:paraId="5B2D6B40" w14:textId="77777777" w:rsidTr="00C262DB">
        <w:tc>
          <w:tcPr>
            <w:tcW w:w="2689" w:type="dxa"/>
          </w:tcPr>
          <w:p w14:paraId="0CD7031F" w14:textId="2579848F" w:rsidR="00173F8E" w:rsidRPr="005B299F" w:rsidRDefault="00173F8E">
            <w:pPr>
              <w:spacing w:line="259" w:lineRule="auto"/>
              <w:rPr>
                <w:rFonts w:cs="Calibri"/>
                <w:sz w:val="20"/>
                <w:szCs w:val="20"/>
              </w:rPr>
            </w:pPr>
            <w:r w:rsidRPr="005B299F">
              <w:rPr>
                <w:rFonts w:cs="Calibri"/>
                <w:sz w:val="20"/>
                <w:szCs w:val="20"/>
              </w:rPr>
              <w:t>s</w:t>
            </w:r>
            <w:r w:rsidR="00AC3FD8" w:rsidRPr="005B299F">
              <w:rPr>
                <w:rFonts w:cs="Calibri"/>
                <w:sz w:val="20"/>
                <w:szCs w:val="20"/>
              </w:rPr>
              <w:t> </w:t>
            </w:r>
            <w:r w:rsidRPr="005B299F">
              <w:rPr>
                <w:rFonts w:cs="Calibri"/>
                <w:sz w:val="20"/>
                <w:szCs w:val="20"/>
              </w:rPr>
              <w:t>210 – Application for approval of a variation of an</w:t>
            </w:r>
            <w:r w:rsidR="00C262DB">
              <w:rPr>
                <w:rFonts w:cs="Calibri"/>
                <w:sz w:val="20"/>
                <w:szCs w:val="20"/>
              </w:rPr>
              <w:t xml:space="preserve"> e</w:t>
            </w:r>
            <w:r w:rsidRPr="005B299F">
              <w:rPr>
                <w:rFonts w:cs="Calibri"/>
                <w:sz w:val="20"/>
                <w:szCs w:val="20"/>
              </w:rPr>
              <w:t>nterprise agreement</w:t>
            </w:r>
          </w:p>
        </w:tc>
        <w:tc>
          <w:tcPr>
            <w:tcW w:w="1054" w:type="dxa"/>
          </w:tcPr>
          <w:p w14:paraId="2F9F83E5" w14:textId="77777777" w:rsidR="00173F8E" w:rsidRPr="005B299F" w:rsidRDefault="00173F8E">
            <w:pPr>
              <w:spacing w:line="259" w:lineRule="auto"/>
              <w:rPr>
                <w:rFonts w:cs="Calibri"/>
                <w:sz w:val="20"/>
                <w:szCs w:val="20"/>
              </w:rPr>
            </w:pPr>
            <w:r w:rsidRPr="005B299F">
              <w:rPr>
                <w:rFonts w:cs="Calibri"/>
                <w:sz w:val="20"/>
                <w:szCs w:val="20"/>
              </w:rPr>
              <w:t>201</w:t>
            </w:r>
          </w:p>
        </w:tc>
        <w:tc>
          <w:tcPr>
            <w:tcW w:w="1055" w:type="dxa"/>
          </w:tcPr>
          <w:p w14:paraId="1593B48C" w14:textId="77777777" w:rsidR="00173F8E" w:rsidRPr="005B299F" w:rsidRDefault="00173F8E">
            <w:pPr>
              <w:spacing w:line="259" w:lineRule="auto"/>
              <w:rPr>
                <w:rFonts w:cs="Calibri"/>
                <w:sz w:val="20"/>
                <w:szCs w:val="20"/>
              </w:rPr>
            </w:pPr>
            <w:r w:rsidRPr="005B299F">
              <w:rPr>
                <w:rFonts w:cs="Calibri"/>
                <w:sz w:val="20"/>
                <w:szCs w:val="20"/>
              </w:rPr>
              <w:t>364</w:t>
            </w:r>
          </w:p>
        </w:tc>
        <w:tc>
          <w:tcPr>
            <w:tcW w:w="1054" w:type="dxa"/>
          </w:tcPr>
          <w:p w14:paraId="5E8215DB" w14:textId="77777777" w:rsidR="00173F8E" w:rsidRPr="005B299F" w:rsidRDefault="00173F8E">
            <w:pPr>
              <w:spacing w:line="259" w:lineRule="auto"/>
              <w:rPr>
                <w:rFonts w:cs="Calibri"/>
                <w:sz w:val="20"/>
                <w:szCs w:val="20"/>
              </w:rPr>
            </w:pPr>
            <w:r w:rsidRPr="005B299F">
              <w:rPr>
                <w:rFonts w:cs="Calibri"/>
                <w:sz w:val="20"/>
                <w:szCs w:val="20"/>
              </w:rPr>
              <w:t>149</w:t>
            </w:r>
          </w:p>
        </w:tc>
        <w:tc>
          <w:tcPr>
            <w:tcW w:w="1055" w:type="dxa"/>
          </w:tcPr>
          <w:p w14:paraId="3F8D58D6" w14:textId="77777777" w:rsidR="00173F8E" w:rsidRPr="005B299F" w:rsidRDefault="00173F8E">
            <w:pPr>
              <w:spacing w:line="259" w:lineRule="auto"/>
              <w:rPr>
                <w:rFonts w:cs="Calibri"/>
                <w:sz w:val="20"/>
                <w:szCs w:val="20"/>
              </w:rPr>
            </w:pPr>
            <w:r w:rsidRPr="005B299F">
              <w:rPr>
                <w:rFonts w:cs="Calibri"/>
                <w:sz w:val="20"/>
                <w:szCs w:val="20"/>
              </w:rPr>
              <w:t>81</w:t>
            </w:r>
          </w:p>
        </w:tc>
        <w:tc>
          <w:tcPr>
            <w:tcW w:w="1054" w:type="dxa"/>
          </w:tcPr>
          <w:p w14:paraId="2C95E143" w14:textId="77777777" w:rsidR="00173F8E" w:rsidRPr="005B299F" w:rsidRDefault="00173F8E">
            <w:pPr>
              <w:spacing w:line="259" w:lineRule="auto"/>
              <w:rPr>
                <w:rFonts w:cs="Calibri"/>
                <w:sz w:val="20"/>
                <w:szCs w:val="20"/>
              </w:rPr>
            </w:pPr>
            <w:r w:rsidRPr="005B299F">
              <w:rPr>
                <w:rFonts w:cs="Calibri"/>
                <w:sz w:val="20"/>
                <w:szCs w:val="20"/>
              </w:rPr>
              <w:t>61</w:t>
            </w:r>
          </w:p>
        </w:tc>
        <w:tc>
          <w:tcPr>
            <w:tcW w:w="1055" w:type="dxa"/>
          </w:tcPr>
          <w:p w14:paraId="0CEF80D0" w14:textId="77777777" w:rsidR="00173F8E" w:rsidRPr="005B299F" w:rsidRDefault="00173F8E">
            <w:pPr>
              <w:spacing w:line="259" w:lineRule="auto"/>
              <w:rPr>
                <w:rFonts w:cs="Calibri"/>
                <w:sz w:val="20"/>
                <w:szCs w:val="20"/>
              </w:rPr>
            </w:pPr>
            <w:r w:rsidRPr="005B299F">
              <w:rPr>
                <w:rFonts w:cs="Calibri"/>
                <w:sz w:val="20"/>
                <w:szCs w:val="20"/>
              </w:rPr>
              <w:t>171.2</w:t>
            </w:r>
          </w:p>
        </w:tc>
      </w:tr>
      <w:tr w:rsidR="00C262DB" w:rsidRPr="00167CB8" w14:paraId="57FCEB2A" w14:textId="77777777" w:rsidTr="00C262DB">
        <w:tc>
          <w:tcPr>
            <w:tcW w:w="2689" w:type="dxa"/>
          </w:tcPr>
          <w:p w14:paraId="78785F39" w14:textId="69473AD2" w:rsidR="00173F8E" w:rsidRPr="005B299F" w:rsidRDefault="00173F8E">
            <w:pPr>
              <w:spacing w:line="259" w:lineRule="auto"/>
              <w:rPr>
                <w:rFonts w:cs="Calibri"/>
                <w:sz w:val="20"/>
                <w:szCs w:val="20"/>
              </w:rPr>
            </w:pPr>
            <w:r w:rsidRPr="005B299F">
              <w:rPr>
                <w:rFonts w:cs="Calibri"/>
                <w:sz w:val="20"/>
                <w:szCs w:val="20"/>
              </w:rPr>
              <w:t>s</w:t>
            </w:r>
            <w:r w:rsidR="00AC3FD8" w:rsidRPr="005B299F">
              <w:rPr>
                <w:rFonts w:cs="Calibri"/>
                <w:sz w:val="20"/>
                <w:szCs w:val="20"/>
              </w:rPr>
              <w:t> </w:t>
            </w:r>
            <w:r w:rsidRPr="005B299F">
              <w:rPr>
                <w:rFonts w:cs="Calibri"/>
                <w:sz w:val="20"/>
                <w:szCs w:val="20"/>
              </w:rPr>
              <w:t>217 – Application to vary an agreement to remove an ambiguity or uncertainty</w:t>
            </w:r>
          </w:p>
        </w:tc>
        <w:tc>
          <w:tcPr>
            <w:tcW w:w="1054" w:type="dxa"/>
          </w:tcPr>
          <w:p w14:paraId="3CE9F9E7" w14:textId="77777777" w:rsidR="00173F8E" w:rsidRPr="005B299F" w:rsidRDefault="00173F8E">
            <w:pPr>
              <w:spacing w:line="259" w:lineRule="auto"/>
              <w:rPr>
                <w:rFonts w:cs="Calibri"/>
                <w:sz w:val="20"/>
                <w:szCs w:val="20"/>
              </w:rPr>
            </w:pPr>
            <w:r w:rsidRPr="005B299F">
              <w:rPr>
                <w:rFonts w:cs="Calibri"/>
                <w:sz w:val="20"/>
                <w:szCs w:val="20"/>
              </w:rPr>
              <w:t>24</w:t>
            </w:r>
          </w:p>
        </w:tc>
        <w:tc>
          <w:tcPr>
            <w:tcW w:w="1055" w:type="dxa"/>
          </w:tcPr>
          <w:p w14:paraId="7724F7D8" w14:textId="77777777" w:rsidR="00173F8E" w:rsidRPr="005B299F" w:rsidRDefault="00173F8E">
            <w:pPr>
              <w:spacing w:line="259" w:lineRule="auto"/>
              <w:rPr>
                <w:rFonts w:cs="Calibri"/>
                <w:sz w:val="20"/>
                <w:szCs w:val="20"/>
              </w:rPr>
            </w:pPr>
            <w:r w:rsidRPr="005B299F">
              <w:rPr>
                <w:rFonts w:cs="Calibri"/>
                <w:sz w:val="20"/>
                <w:szCs w:val="20"/>
              </w:rPr>
              <w:t>32</w:t>
            </w:r>
          </w:p>
        </w:tc>
        <w:tc>
          <w:tcPr>
            <w:tcW w:w="1054" w:type="dxa"/>
          </w:tcPr>
          <w:p w14:paraId="60450D02" w14:textId="77777777" w:rsidR="00173F8E" w:rsidRPr="005B299F" w:rsidRDefault="00173F8E">
            <w:pPr>
              <w:spacing w:line="259" w:lineRule="auto"/>
              <w:rPr>
                <w:rFonts w:cs="Calibri"/>
                <w:sz w:val="20"/>
                <w:szCs w:val="20"/>
              </w:rPr>
            </w:pPr>
            <w:r w:rsidRPr="005B299F">
              <w:rPr>
                <w:rFonts w:cs="Calibri"/>
                <w:sz w:val="20"/>
                <w:szCs w:val="20"/>
              </w:rPr>
              <w:t>33</w:t>
            </w:r>
          </w:p>
        </w:tc>
        <w:tc>
          <w:tcPr>
            <w:tcW w:w="1055" w:type="dxa"/>
          </w:tcPr>
          <w:p w14:paraId="5410E329" w14:textId="77777777" w:rsidR="00173F8E" w:rsidRPr="005B299F" w:rsidRDefault="00173F8E">
            <w:pPr>
              <w:spacing w:line="259" w:lineRule="auto"/>
              <w:rPr>
                <w:rFonts w:cs="Calibri"/>
                <w:sz w:val="20"/>
                <w:szCs w:val="20"/>
              </w:rPr>
            </w:pPr>
            <w:r w:rsidRPr="005B299F">
              <w:rPr>
                <w:rFonts w:cs="Calibri"/>
                <w:sz w:val="20"/>
                <w:szCs w:val="20"/>
              </w:rPr>
              <w:t>22</w:t>
            </w:r>
          </w:p>
        </w:tc>
        <w:tc>
          <w:tcPr>
            <w:tcW w:w="1054" w:type="dxa"/>
          </w:tcPr>
          <w:p w14:paraId="26E78924" w14:textId="77777777" w:rsidR="00173F8E" w:rsidRPr="005B299F" w:rsidRDefault="00173F8E">
            <w:pPr>
              <w:spacing w:line="259" w:lineRule="auto"/>
              <w:rPr>
                <w:rFonts w:cs="Calibri"/>
                <w:sz w:val="20"/>
                <w:szCs w:val="20"/>
              </w:rPr>
            </w:pPr>
            <w:r w:rsidRPr="005B299F">
              <w:rPr>
                <w:rFonts w:cs="Calibri"/>
                <w:sz w:val="20"/>
                <w:szCs w:val="20"/>
              </w:rPr>
              <w:t>18</w:t>
            </w:r>
          </w:p>
        </w:tc>
        <w:tc>
          <w:tcPr>
            <w:tcW w:w="1055" w:type="dxa"/>
          </w:tcPr>
          <w:p w14:paraId="1B84FD7A" w14:textId="77777777" w:rsidR="00173F8E" w:rsidRPr="005B299F" w:rsidRDefault="00173F8E">
            <w:pPr>
              <w:spacing w:line="259" w:lineRule="auto"/>
              <w:rPr>
                <w:rFonts w:cs="Calibri"/>
                <w:sz w:val="20"/>
                <w:szCs w:val="20"/>
              </w:rPr>
            </w:pPr>
            <w:r w:rsidRPr="005B299F">
              <w:rPr>
                <w:rFonts w:cs="Calibri"/>
                <w:sz w:val="20"/>
                <w:szCs w:val="20"/>
              </w:rPr>
              <w:t>25.8</w:t>
            </w:r>
          </w:p>
        </w:tc>
      </w:tr>
      <w:tr w:rsidR="00C262DB" w:rsidRPr="00167CB8" w14:paraId="0187ED0F" w14:textId="77777777" w:rsidTr="00C262DB">
        <w:tc>
          <w:tcPr>
            <w:tcW w:w="2689" w:type="dxa"/>
          </w:tcPr>
          <w:p w14:paraId="1CD68CCA" w14:textId="6CA8829F" w:rsidR="00173F8E" w:rsidRPr="005B299F" w:rsidRDefault="00173F8E">
            <w:pPr>
              <w:spacing w:line="259" w:lineRule="auto"/>
              <w:rPr>
                <w:rFonts w:cs="Calibri"/>
                <w:sz w:val="20"/>
                <w:szCs w:val="20"/>
              </w:rPr>
            </w:pPr>
            <w:r w:rsidRPr="005B299F">
              <w:rPr>
                <w:rFonts w:cs="Calibri"/>
                <w:sz w:val="20"/>
                <w:szCs w:val="20"/>
              </w:rPr>
              <w:t>s</w:t>
            </w:r>
            <w:r w:rsidR="00AC3FD8" w:rsidRPr="005B299F">
              <w:rPr>
                <w:rFonts w:cs="Calibri"/>
                <w:sz w:val="20"/>
                <w:szCs w:val="20"/>
              </w:rPr>
              <w:t> </w:t>
            </w:r>
            <w:r w:rsidRPr="005B299F">
              <w:rPr>
                <w:rFonts w:cs="Calibri"/>
                <w:sz w:val="20"/>
                <w:szCs w:val="20"/>
              </w:rPr>
              <w:t>218A – Application to vary an agreement to correct or amend errors, defects or irregularities</w:t>
            </w:r>
          </w:p>
        </w:tc>
        <w:tc>
          <w:tcPr>
            <w:tcW w:w="1054" w:type="dxa"/>
          </w:tcPr>
          <w:p w14:paraId="6DE3F5C0" w14:textId="77777777" w:rsidR="00173F8E" w:rsidRPr="005B299F" w:rsidRDefault="00173F8E">
            <w:pPr>
              <w:spacing w:line="259" w:lineRule="auto"/>
              <w:rPr>
                <w:rFonts w:cs="Calibri"/>
                <w:sz w:val="20"/>
                <w:szCs w:val="20"/>
              </w:rPr>
            </w:pPr>
            <w:r w:rsidRPr="005B299F">
              <w:rPr>
                <w:rFonts w:cs="Calibri"/>
                <w:sz w:val="20"/>
                <w:szCs w:val="20"/>
              </w:rPr>
              <w:t>N/A</w:t>
            </w:r>
          </w:p>
        </w:tc>
        <w:tc>
          <w:tcPr>
            <w:tcW w:w="1055" w:type="dxa"/>
          </w:tcPr>
          <w:p w14:paraId="5D57B4D1" w14:textId="77777777" w:rsidR="00173F8E" w:rsidRPr="005B299F" w:rsidRDefault="00173F8E">
            <w:pPr>
              <w:spacing w:line="259" w:lineRule="auto"/>
              <w:rPr>
                <w:rFonts w:cs="Calibri"/>
                <w:sz w:val="20"/>
                <w:szCs w:val="20"/>
              </w:rPr>
            </w:pPr>
            <w:r w:rsidRPr="005B299F">
              <w:rPr>
                <w:rFonts w:cs="Calibri"/>
                <w:sz w:val="20"/>
                <w:szCs w:val="20"/>
              </w:rPr>
              <w:t>N/A</w:t>
            </w:r>
          </w:p>
        </w:tc>
        <w:tc>
          <w:tcPr>
            <w:tcW w:w="1054" w:type="dxa"/>
          </w:tcPr>
          <w:p w14:paraId="08C0AFB0" w14:textId="77777777" w:rsidR="00173F8E" w:rsidRPr="005B299F" w:rsidRDefault="00173F8E">
            <w:pPr>
              <w:spacing w:line="259" w:lineRule="auto"/>
              <w:rPr>
                <w:rFonts w:cs="Calibri"/>
                <w:sz w:val="20"/>
                <w:szCs w:val="20"/>
              </w:rPr>
            </w:pPr>
            <w:r w:rsidRPr="005B299F">
              <w:rPr>
                <w:rFonts w:cs="Calibri"/>
                <w:sz w:val="20"/>
                <w:szCs w:val="20"/>
              </w:rPr>
              <w:t>N/A</w:t>
            </w:r>
          </w:p>
        </w:tc>
        <w:tc>
          <w:tcPr>
            <w:tcW w:w="1055" w:type="dxa"/>
          </w:tcPr>
          <w:p w14:paraId="6320ACC8" w14:textId="77777777" w:rsidR="00173F8E" w:rsidRPr="005B299F" w:rsidRDefault="00173F8E">
            <w:pPr>
              <w:spacing w:line="259" w:lineRule="auto"/>
              <w:rPr>
                <w:rFonts w:cs="Calibri"/>
                <w:sz w:val="20"/>
                <w:szCs w:val="20"/>
              </w:rPr>
            </w:pPr>
            <w:r w:rsidRPr="005B299F">
              <w:rPr>
                <w:rFonts w:cs="Calibri"/>
                <w:sz w:val="20"/>
                <w:szCs w:val="20"/>
              </w:rPr>
              <w:t>29</w:t>
            </w:r>
          </w:p>
        </w:tc>
        <w:tc>
          <w:tcPr>
            <w:tcW w:w="1054" w:type="dxa"/>
          </w:tcPr>
          <w:p w14:paraId="7791572F" w14:textId="77777777" w:rsidR="00173F8E" w:rsidRPr="005B299F" w:rsidRDefault="00173F8E">
            <w:pPr>
              <w:spacing w:line="259" w:lineRule="auto"/>
              <w:rPr>
                <w:rFonts w:cs="Calibri"/>
                <w:sz w:val="20"/>
                <w:szCs w:val="20"/>
              </w:rPr>
            </w:pPr>
            <w:r w:rsidRPr="005B299F">
              <w:rPr>
                <w:rFonts w:cs="Calibri"/>
                <w:sz w:val="20"/>
                <w:szCs w:val="20"/>
              </w:rPr>
              <w:t>83</w:t>
            </w:r>
          </w:p>
        </w:tc>
        <w:tc>
          <w:tcPr>
            <w:tcW w:w="1055" w:type="dxa"/>
          </w:tcPr>
          <w:p w14:paraId="1DCAA0CF" w14:textId="77777777" w:rsidR="00173F8E" w:rsidRPr="005B299F" w:rsidRDefault="00173F8E">
            <w:pPr>
              <w:spacing w:line="259" w:lineRule="auto"/>
              <w:rPr>
                <w:rFonts w:cs="Calibri"/>
                <w:sz w:val="20"/>
                <w:szCs w:val="20"/>
              </w:rPr>
            </w:pPr>
            <w:r w:rsidRPr="005B299F">
              <w:rPr>
                <w:rFonts w:cs="Calibri"/>
                <w:sz w:val="20"/>
                <w:szCs w:val="20"/>
              </w:rPr>
              <w:t>N/A</w:t>
            </w:r>
          </w:p>
        </w:tc>
      </w:tr>
      <w:tr w:rsidR="00C262DB" w:rsidRPr="00167CB8" w14:paraId="724326EB" w14:textId="77777777" w:rsidTr="00C262DB">
        <w:tc>
          <w:tcPr>
            <w:tcW w:w="2689" w:type="dxa"/>
          </w:tcPr>
          <w:p w14:paraId="569E1358" w14:textId="77777777" w:rsidR="00173F8E" w:rsidRPr="005B299F" w:rsidRDefault="00173F8E">
            <w:pPr>
              <w:spacing w:line="259" w:lineRule="auto"/>
              <w:rPr>
                <w:rFonts w:cs="Calibri"/>
                <w:sz w:val="20"/>
                <w:szCs w:val="20"/>
              </w:rPr>
            </w:pPr>
            <w:r w:rsidRPr="005B299F">
              <w:rPr>
                <w:rFonts w:cs="Calibri"/>
                <w:sz w:val="20"/>
                <w:szCs w:val="20"/>
              </w:rPr>
              <w:t>Total variation applications</w:t>
            </w:r>
          </w:p>
        </w:tc>
        <w:tc>
          <w:tcPr>
            <w:tcW w:w="1054" w:type="dxa"/>
          </w:tcPr>
          <w:p w14:paraId="0958E7F9" w14:textId="77777777" w:rsidR="00173F8E" w:rsidRPr="005B299F" w:rsidRDefault="00173F8E">
            <w:pPr>
              <w:spacing w:line="259" w:lineRule="auto"/>
              <w:rPr>
                <w:rFonts w:cs="Calibri"/>
                <w:sz w:val="20"/>
                <w:szCs w:val="20"/>
              </w:rPr>
            </w:pPr>
            <w:r w:rsidRPr="005B299F">
              <w:rPr>
                <w:rFonts w:cs="Calibri"/>
                <w:sz w:val="20"/>
                <w:szCs w:val="20"/>
              </w:rPr>
              <w:t>225</w:t>
            </w:r>
          </w:p>
        </w:tc>
        <w:tc>
          <w:tcPr>
            <w:tcW w:w="1055" w:type="dxa"/>
          </w:tcPr>
          <w:p w14:paraId="32C7E199" w14:textId="77777777" w:rsidR="00173F8E" w:rsidRPr="005B299F" w:rsidRDefault="00173F8E">
            <w:pPr>
              <w:spacing w:line="259" w:lineRule="auto"/>
              <w:rPr>
                <w:rFonts w:cs="Calibri"/>
                <w:sz w:val="20"/>
                <w:szCs w:val="20"/>
              </w:rPr>
            </w:pPr>
            <w:r w:rsidRPr="005B299F">
              <w:rPr>
                <w:rFonts w:cs="Calibri"/>
                <w:sz w:val="20"/>
                <w:szCs w:val="20"/>
              </w:rPr>
              <w:t>396</w:t>
            </w:r>
          </w:p>
        </w:tc>
        <w:tc>
          <w:tcPr>
            <w:tcW w:w="1054" w:type="dxa"/>
          </w:tcPr>
          <w:p w14:paraId="39266F84" w14:textId="77777777" w:rsidR="00173F8E" w:rsidRPr="005B299F" w:rsidRDefault="00173F8E">
            <w:pPr>
              <w:spacing w:line="259" w:lineRule="auto"/>
              <w:rPr>
                <w:rFonts w:cs="Calibri"/>
                <w:sz w:val="20"/>
                <w:szCs w:val="20"/>
              </w:rPr>
            </w:pPr>
            <w:r w:rsidRPr="005B299F">
              <w:rPr>
                <w:rFonts w:cs="Calibri"/>
                <w:sz w:val="20"/>
                <w:szCs w:val="20"/>
              </w:rPr>
              <w:t>182</w:t>
            </w:r>
          </w:p>
        </w:tc>
        <w:tc>
          <w:tcPr>
            <w:tcW w:w="1055" w:type="dxa"/>
          </w:tcPr>
          <w:p w14:paraId="1290F8FE" w14:textId="77777777" w:rsidR="00173F8E" w:rsidRPr="005B299F" w:rsidRDefault="00173F8E">
            <w:pPr>
              <w:spacing w:line="259" w:lineRule="auto"/>
              <w:rPr>
                <w:rFonts w:cs="Calibri"/>
                <w:sz w:val="20"/>
                <w:szCs w:val="20"/>
              </w:rPr>
            </w:pPr>
            <w:r w:rsidRPr="005B299F">
              <w:rPr>
                <w:rFonts w:cs="Calibri"/>
                <w:sz w:val="20"/>
                <w:szCs w:val="20"/>
              </w:rPr>
              <w:t>132</w:t>
            </w:r>
          </w:p>
        </w:tc>
        <w:tc>
          <w:tcPr>
            <w:tcW w:w="1054" w:type="dxa"/>
          </w:tcPr>
          <w:p w14:paraId="5EACDA2D" w14:textId="77777777" w:rsidR="00173F8E" w:rsidRPr="005B299F" w:rsidRDefault="00173F8E">
            <w:pPr>
              <w:spacing w:line="259" w:lineRule="auto"/>
              <w:rPr>
                <w:rFonts w:cs="Calibri"/>
                <w:sz w:val="20"/>
                <w:szCs w:val="20"/>
              </w:rPr>
            </w:pPr>
            <w:r w:rsidRPr="005B299F">
              <w:rPr>
                <w:rFonts w:cs="Calibri"/>
                <w:sz w:val="20"/>
                <w:szCs w:val="20"/>
              </w:rPr>
              <w:t>162</w:t>
            </w:r>
          </w:p>
        </w:tc>
        <w:tc>
          <w:tcPr>
            <w:tcW w:w="1055" w:type="dxa"/>
          </w:tcPr>
          <w:p w14:paraId="283AC924" w14:textId="77777777" w:rsidR="00173F8E" w:rsidRPr="005B299F" w:rsidRDefault="00173F8E">
            <w:pPr>
              <w:spacing w:line="259" w:lineRule="auto"/>
              <w:rPr>
                <w:rFonts w:cs="Calibri"/>
                <w:sz w:val="20"/>
                <w:szCs w:val="20"/>
              </w:rPr>
            </w:pPr>
            <w:r w:rsidRPr="005B299F">
              <w:rPr>
                <w:rFonts w:cs="Calibri"/>
                <w:sz w:val="20"/>
                <w:szCs w:val="20"/>
              </w:rPr>
              <w:t>219.4</w:t>
            </w:r>
          </w:p>
        </w:tc>
      </w:tr>
    </w:tbl>
    <w:p w14:paraId="2A90B8A2" w14:textId="7BC79A55" w:rsidR="00060EFE" w:rsidRPr="00167CB8" w:rsidRDefault="00060EFE" w:rsidP="00060EFE">
      <w:pPr>
        <w:pStyle w:val="Source"/>
      </w:pPr>
      <w:r w:rsidRPr="00167CB8">
        <w:rPr>
          <w:b/>
          <w:bCs/>
        </w:rPr>
        <w:t>Note:</w:t>
      </w:r>
      <w:r w:rsidRPr="00167CB8">
        <w:t xml:space="preserve"> The data in Table </w:t>
      </w:r>
      <w:r w:rsidR="00EE7C8D" w:rsidRPr="00167CB8">
        <w:t>14</w:t>
      </w:r>
      <w:r w:rsidRPr="00167CB8">
        <w:t xml:space="preserve"> does not capture all instances of FWC’s use of s 218A, as some applications arise in the course of agreement approval applications. </w:t>
      </w:r>
    </w:p>
    <w:p w14:paraId="1538F218" w14:textId="2388E15C" w:rsidR="00173F8E" w:rsidRPr="00167CB8" w:rsidRDefault="00173F8E" w:rsidP="00AC3FD8">
      <w:pPr>
        <w:pStyle w:val="Source"/>
      </w:pPr>
      <w:r w:rsidRPr="00167CB8">
        <w:rPr>
          <w:b/>
          <w:bCs/>
        </w:rPr>
        <w:t>Source:</w:t>
      </w:r>
      <w:r w:rsidRPr="00167CB8">
        <w:t xml:space="preserve"> FWC </w:t>
      </w:r>
      <w:r w:rsidR="00060EFE" w:rsidRPr="00167CB8">
        <w:t>a</w:t>
      </w:r>
      <w:r w:rsidRPr="00167CB8">
        <w:t xml:space="preserve">nnual </w:t>
      </w:r>
      <w:r w:rsidR="00060EFE" w:rsidRPr="00167CB8">
        <w:t>r</w:t>
      </w:r>
      <w:r w:rsidRPr="00167CB8">
        <w:t>eports, various.</w:t>
      </w:r>
    </w:p>
    <w:p w14:paraId="20E3C898" w14:textId="6BB7F33D" w:rsidR="00173F8E" w:rsidRPr="00167CB8" w:rsidRDefault="00173F8E" w:rsidP="00173F8E">
      <w:pPr>
        <w:rPr>
          <w:rFonts w:cs="Calibri"/>
        </w:rPr>
      </w:pPr>
      <w:r w:rsidRPr="00167CB8">
        <w:rPr>
          <w:rFonts w:cs="Calibri"/>
        </w:rPr>
        <w:lastRenderedPageBreak/>
        <w:t>In the 2022</w:t>
      </w:r>
      <w:r w:rsidR="00AC3FD8" w:rsidRPr="00167CB8">
        <w:rPr>
          <w:rFonts w:ascii="Symbol" w:eastAsia="Symbol" w:hAnsi="Symbol" w:cs="Symbol"/>
        </w:rPr>
        <w:sym w:font="Symbol" w:char="F02D"/>
      </w:r>
      <w:r w:rsidRPr="00167CB8">
        <w:rPr>
          <w:rFonts w:cs="Calibri"/>
        </w:rPr>
        <w:t>23 financial year, the FWC recorded no applications to validate an agreement approval or agreement variation.</w:t>
      </w:r>
      <w:r w:rsidRPr="00167CB8">
        <w:rPr>
          <w:rStyle w:val="FootnoteReference"/>
          <w:rFonts w:cs="Calibri"/>
        </w:rPr>
        <w:footnoteReference w:id="685"/>
      </w:r>
      <w:r w:rsidRPr="00167CB8">
        <w:rPr>
          <w:rFonts w:cs="Calibri"/>
        </w:rPr>
        <w:t xml:space="preserve"> In the following 2023</w:t>
      </w:r>
      <w:r w:rsidR="00AC3FD8" w:rsidRPr="00167CB8">
        <w:rPr>
          <w:rFonts w:ascii="Symbol" w:eastAsia="Symbol" w:hAnsi="Symbol" w:cs="Symbol"/>
        </w:rPr>
        <w:sym w:font="Symbol" w:char="F02D"/>
      </w:r>
      <w:r w:rsidRPr="00167CB8">
        <w:rPr>
          <w:rFonts w:cs="Calibri"/>
        </w:rPr>
        <w:t>24 financial year, the FWC reported only 4 applications to validate the approval of an enterprise agreement,</w:t>
      </w:r>
      <w:r w:rsidRPr="00167CB8">
        <w:rPr>
          <w:rStyle w:val="FootnoteReference"/>
          <w:rFonts w:cs="Calibri"/>
        </w:rPr>
        <w:footnoteReference w:id="686"/>
      </w:r>
      <w:r w:rsidRPr="00167CB8">
        <w:rPr>
          <w:rFonts w:cs="Calibri"/>
        </w:rPr>
        <w:t xml:space="preserve"> while no applications to validate the variation of an agreement have been made. </w:t>
      </w:r>
    </w:p>
    <w:p w14:paraId="5D9324A4" w14:textId="0AFB4D78" w:rsidR="00173F8E" w:rsidRPr="00167CB8" w:rsidRDefault="006D0C76" w:rsidP="00173F8E">
      <w:pPr>
        <w:pStyle w:val="Heading5"/>
        <w:rPr>
          <w:rFonts w:asciiTheme="minorHAnsi" w:hAnsiTheme="minorHAnsi"/>
        </w:rPr>
      </w:pPr>
      <w:r w:rsidRPr="00167CB8">
        <w:rPr>
          <w:rFonts w:asciiTheme="minorHAnsi" w:hAnsiTheme="minorHAnsi"/>
        </w:rPr>
        <w:t>18</w:t>
      </w:r>
      <w:r w:rsidR="00173F8E" w:rsidRPr="00167CB8">
        <w:rPr>
          <w:rFonts w:asciiTheme="minorHAnsi" w:hAnsiTheme="minorHAnsi"/>
        </w:rPr>
        <w:t xml:space="preserve">.2.2 Qualitative </w:t>
      </w:r>
      <w:r w:rsidR="00AC3FD8" w:rsidRPr="00167CB8">
        <w:rPr>
          <w:rFonts w:asciiTheme="minorHAnsi" w:hAnsiTheme="minorHAnsi"/>
        </w:rPr>
        <w:t>e</w:t>
      </w:r>
      <w:r w:rsidR="00173F8E" w:rsidRPr="00167CB8">
        <w:rPr>
          <w:rFonts w:asciiTheme="minorHAnsi" w:hAnsiTheme="minorHAnsi"/>
        </w:rPr>
        <w:t>vidence</w:t>
      </w:r>
    </w:p>
    <w:p w14:paraId="70F194F9" w14:textId="65D7B40E" w:rsidR="00173F8E" w:rsidRPr="00167CB8" w:rsidRDefault="00173F8E" w:rsidP="00173F8E">
      <w:pPr>
        <w:rPr>
          <w:rFonts w:cs="Calibri"/>
        </w:rPr>
      </w:pPr>
      <w:r w:rsidRPr="00167CB8">
        <w:rPr>
          <w:rFonts w:cs="Calibri"/>
        </w:rPr>
        <w:t>FWC decisions following the commencement of s</w:t>
      </w:r>
      <w:r w:rsidR="00AC3FD8" w:rsidRPr="00167CB8">
        <w:rPr>
          <w:rFonts w:cs="Calibri"/>
        </w:rPr>
        <w:t> </w:t>
      </w:r>
      <w:r w:rsidRPr="00167CB8">
        <w:rPr>
          <w:rFonts w:cs="Calibri"/>
        </w:rPr>
        <w:t>218A of the Fair Work Act demonstrate that this power has been used to address a range of errors. The following decisions, which are examples only, demonstrate that the power to correct obvious errors appears to be making it simpler to fix minor errors in agreements.</w:t>
      </w:r>
    </w:p>
    <w:p w14:paraId="7EECF5C9" w14:textId="2EACFB84" w:rsidR="00173F8E" w:rsidRPr="00167CB8" w:rsidRDefault="00173F8E" w:rsidP="00173F8E">
      <w:pPr>
        <w:rPr>
          <w:rFonts w:cs="Calibri"/>
        </w:rPr>
      </w:pPr>
      <w:r w:rsidRPr="00167CB8">
        <w:rPr>
          <w:rFonts w:cs="Calibri"/>
          <w:i/>
        </w:rPr>
        <w:t>Doctors in Training (Victorian Public Health Sector) (AMA Victoria/ASMOF (Single Interest Employers) Enterprise Agreement 2022</w:t>
      </w:r>
      <w:r w:rsidR="00AC3FD8" w:rsidRPr="00167CB8">
        <w:rPr>
          <w:rFonts w:ascii="Symbol" w:eastAsia="Symbol" w:hAnsi="Symbol" w:cs="Symbol"/>
          <w:i/>
        </w:rPr>
        <w:sym w:font="Symbol" w:char="F02D"/>
      </w:r>
      <w:r w:rsidRPr="00167CB8">
        <w:rPr>
          <w:rFonts w:cs="Calibri"/>
          <w:i/>
        </w:rPr>
        <w:t xml:space="preserve">2026 </w:t>
      </w:r>
      <w:r w:rsidRPr="00167CB8">
        <w:t>(13 December 2022</w:t>
      </w:r>
      <w:r w:rsidR="00060EFE" w:rsidRPr="00167CB8">
        <w:t>)</w:t>
      </w:r>
    </w:p>
    <w:p w14:paraId="639E1E6C" w14:textId="69CA5E6E" w:rsidR="00173F8E" w:rsidRPr="00167CB8" w:rsidRDefault="00173F8E" w:rsidP="00AC3FD8">
      <w:r w:rsidRPr="00167CB8">
        <w:t>The Victorian Hospitals’ Industrial Association applied to correct an error where a clause setting out how annual leave entitlements are to be calculated was inadvertently left out.</w:t>
      </w:r>
      <w:r w:rsidRPr="00167CB8">
        <w:rPr>
          <w:rStyle w:val="FootnoteReference"/>
          <w:rFonts w:cs="Calibri"/>
        </w:rPr>
        <w:footnoteReference w:id="687"/>
      </w:r>
      <w:r w:rsidRPr="00167CB8">
        <w:t xml:space="preserve"> The FWC was satisfied that this was an error of substance and varied the agreement.</w:t>
      </w:r>
      <w:r w:rsidRPr="00167CB8">
        <w:rPr>
          <w:rStyle w:val="FootnoteReference"/>
          <w:rFonts w:cs="Calibri"/>
        </w:rPr>
        <w:footnoteReference w:id="688"/>
      </w:r>
      <w:r w:rsidRPr="00167CB8">
        <w:t xml:space="preserve"> Whilst not a prerequisite for the FWC to exercise its discretion, the FWC noted that the error significantly disadvantaged employees.</w:t>
      </w:r>
      <w:r w:rsidRPr="00167CB8">
        <w:rPr>
          <w:rStyle w:val="FootnoteReference"/>
          <w:rFonts w:cs="Calibri"/>
        </w:rPr>
        <w:footnoteReference w:id="689"/>
      </w:r>
      <w:r w:rsidRPr="00167CB8">
        <w:t xml:space="preserve"> </w:t>
      </w:r>
    </w:p>
    <w:p w14:paraId="4401FF8F" w14:textId="139596B4" w:rsidR="00173F8E" w:rsidRPr="00167CB8" w:rsidRDefault="00173F8E" w:rsidP="00173F8E">
      <w:pPr>
        <w:rPr>
          <w:rFonts w:cs="Calibri"/>
        </w:rPr>
      </w:pPr>
      <w:r w:rsidRPr="00167CB8">
        <w:rPr>
          <w:rFonts w:cs="Calibri"/>
          <w:i/>
        </w:rPr>
        <w:t xml:space="preserve">Queensland Police-Citizens Youth Welfare Association T/A PCYC Queensland </w:t>
      </w:r>
      <w:r w:rsidR="00AC3FD8" w:rsidRPr="00167CB8">
        <w:rPr>
          <w:rFonts w:ascii="Symbol" w:eastAsia="Symbol" w:hAnsi="Symbol" w:cs="Symbol"/>
          <w:i/>
        </w:rPr>
        <w:sym w:font="Symbol" w:char="F02D"/>
      </w:r>
      <w:r w:rsidRPr="00167CB8">
        <w:rPr>
          <w:rFonts w:cs="Calibri"/>
          <w:i/>
        </w:rPr>
        <w:t xml:space="preserve"> Re QPCYWA Enterprise Agreement 2024</w:t>
      </w:r>
      <w:r w:rsidRPr="00167CB8">
        <w:rPr>
          <w:rFonts w:cs="Calibri"/>
        </w:rPr>
        <w:t xml:space="preserve"> (2 September 2024)</w:t>
      </w:r>
    </w:p>
    <w:p w14:paraId="1BB5E120" w14:textId="46CC4766" w:rsidR="00173F8E" w:rsidRPr="00167CB8" w:rsidRDefault="00173F8E" w:rsidP="00AC3FD8">
      <w:r w:rsidRPr="00167CB8">
        <w:t xml:space="preserve">The </w:t>
      </w:r>
      <w:r w:rsidR="00AC3FD8" w:rsidRPr="00167CB8">
        <w:t>e</w:t>
      </w:r>
      <w:r w:rsidRPr="00167CB8">
        <w:t xml:space="preserve">mployer applied to vary the agreement to correct an error relating to the number of hours for minimum engagement of part-time employees specified in the undertaking. The agreement accidentally referred to </w:t>
      </w:r>
      <w:r w:rsidR="00AC3FD8" w:rsidRPr="00167CB8">
        <w:t xml:space="preserve">3 </w:t>
      </w:r>
      <w:r w:rsidRPr="00167CB8">
        <w:t xml:space="preserve">hours instead of </w:t>
      </w:r>
      <w:r w:rsidR="00AC3FD8" w:rsidRPr="00167CB8">
        <w:t xml:space="preserve">2 </w:t>
      </w:r>
      <w:r w:rsidRPr="00167CB8">
        <w:t>hours.</w:t>
      </w:r>
      <w:r w:rsidRPr="00167CB8">
        <w:rPr>
          <w:rStyle w:val="FootnoteReference"/>
          <w:rFonts w:cs="Calibri"/>
        </w:rPr>
        <w:footnoteReference w:id="690"/>
      </w:r>
      <w:r w:rsidRPr="00167CB8">
        <w:t xml:space="preserve"> The FWC corrected the error.</w:t>
      </w:r>
      <w:r w:rsidRPr="00167CB8">
        <w:rPr>
          <w:rStyle w:val="FootnoteReference"/>
          <w:rFonts w:cs="Calibri"/>
        </w:rPr>
        <w:footnoteReference w:id="691"/>
      </w:r>
    </w:p>
    <w:p w14:paraId="2B8A49BD" w14:textId="7F67F133" w:rsidR="00173F8E" w:rsidRPr="00167CB8" w:rsidRDefault="00173F8E" w:rsidP="00173F8E">
      <w:pPr>
        <w:rPr>
          <w:rFonts w:cs="Calibri"/>
        </w:rPr>
      </w:pPr>
      <w:r w:rsidRPr="00167CB8">
        <w:rPr>
          <w:rFonts w:cs="Calibri"/>
          <w:i/>
        </w:rPr>
        <w:t xml:space="preserve">Olex Australia Pty Ltd T/A Nexans Australia </w:t>
      </w:r>
      <w:r w:rsidR="00AC3FD8" w:rsidRPr="00167CB8">
        <w:rPr>
          <w:rFonts w:ascii="Symbol" w:eastAsia="Symbol" w:hAnsi="Symbol" w:cs="Symbol"/>
          <w:i/>
        </w:rPr>
        <w:sym w:font="Symbol" w:char="F02D"/>
      </w:r>
      <w:r w:rsidRPr="00167CB8">
        <w:rPr>
          <w:rFonts w:cs="Calibri"/>
          <w:i/>
        </w:rPr>
        <w:t xml:space="preserve"> Re Nexans Australia </w:t>
      </w:r>
      <w:r w:rsidR="00AC3FD8" w:rsidRPr="00167CB8">
        <w:rPr>
          <w:rFonts w:ascii="Symbol" w:eastAsia="Symbol" w:hAnsi="Symbol" w:cs="Symbol"/>
          <w:i/>
        </w:rPr>
        <w:sym w:font="Symbol" w:char="F02D"/>
      </w:r>
      <w:r w:rsidRPr="00167CB8">
        <w:rPr>
          <w:rFonts w:cs="Calibri"/>
          <w:i/>
        </w:rPr>
        <w:t xml:space="preserve"> Geebung Warehouse Employees Enterprise Agreement 2024 </w:t>
      </w:r>
      <w:r w:rsidRPr="00167CB8">
        <w:rPr>
          <w:rFonts w:cs="Calibri"/>
        </w:rPr>
        <w:t xml:space="preserve">(22 August 2024) </w:t>
      </w:r>
    </w:p>
    <w:p w14:paraId="733BAB94" w14:textId="519D26B7" w:rsidR="00173F8E" w:rsidRPr="00167CB8" w:rsidRDefault="00173F8E" w:rsidP="00AC3FD8">
      <w:r w:rsidRPr="00167CB8">
        <w:t xml:space="preserve">The FWC initiated a matter to vary the </w:t>
      </w:r>
      <w:r w:rsidR="00AC3FD8" w:rsidRPr="00167CB8">
        <w:t>a</w:t>
      </w:r>
      <w:r w:rsidRPr="00167CB8">
        <w:t>greement and correct an error relating to the identification of the wage schedule which erroneously failed to indicate pay frequency.</w:t>
      </w:r>
      <w:r w:rsidRPr="00167CB8">
        <w:rPr>
          <w:rStyle w:val="FootnoteReference"/>
          <w:rFonts w:cs="Calibri"/>
        </w:rPr>
        <w:footnoteReference w:id="692"/>
      </w:r>
      <w:r w:rsidRPr="00167CB8">
        <w:t xml:space="preserve"> </w:t>
      </w:r>
    </w:p>
    <w:p w14:paraId="53323763" w14:textId="14E3179F" w:rsidR="00173F8E" w:rsidRPr="00167CB8" w:rsidRDefault="00173F8E" w:rsidP="00173F8E">
      <w:pPr>
        <w:rPr>
          <w:rFonts w:cs="Calibri"/>
        </w:rPr>
      </w:pPr>
      <w:r w:rsidRPr="00167CB8">
        <w:rPr>
          <w:rFonts w:cs="Calibri"/>
          <w:i/>
        </w:rPr>
        <w:t xml:space="preserve">Commonwealth of Australia as represented by the Department of Parliamentary Services </w:t>
      </w:r>
      <w:r w:rsidRPr="00167CB8">
        <w:rPr>
          <w:rFonts w:cs="Calibri"/>
        </w:rPr>
        <w:t>(6</w:t>
      </w:r>
      <w:r w:rsidR="00A22014" w:rsidRPr="00167CB8">
        <w:rPr>
          <w:rFonts w:cs="Calibri"/>
        </w:rPr>
        <w:t> </w:t>
      </w:r>
      <w:r w:rsidRPr="00167CB8">
        <w:rPr>
          <w:rFonts w:cs="Calibri"/>
        </w:rPr>
        <w:t>May 2024)</w:t>
      </w:r>
      <w:r w:rsidRPr="00167CB8">
        <w:rPr>
          <w:rFonts w:cs="Calibri"/>
          <w:i/>
        </w:rPr>
        <w:t xml:space="preserve"> </w:t>
      </w:r>
    </w:p>
    <w:p w14:paraId="4883BD16" w14:textId="670DD9C5" w:rsidR="00173F8E" w:rsidRPr="00167CB8" w:rsidRDefault="00173F8E" w:rsidP="00AC3FD8">
      <w:r w:rsidRPr="00167CB8">
        <w:t xml:space="preserve">The employer initiated an application to rectify an administrative error on the part of the employer. When filing the application for approval of the agreement, the employer lodged a draft agreement instead of the final version that the employees voted on. The FWC corrected this error by approving the final version of the agreement, taken to be ‘valid and effective’ as if it </w:t>
      </w:r>
      <w:r w:rsidRPr="00167CB8">
        <w:lastRenderedPageBreak/>
        <w:t>had been lodged at first instance.</w:t>
      </w:r>
      <w:r w:rsidRPr="00167CB8">
        <w:rPr>
          <w:rStyle w:val="FootnoteReference"/>
          <w:rFonts w:cs="Calibri"/>
        </w:rPr>
        <w:footnoteReference w:id="693"/>
      </w:r>
      <w:r w:rsidRPr="00167CB8">
        <w:t xml:space="preserve"> The operation of s</w:t>
      </w:r>
      <w:r w:rsidR="00AC3FD8" w:rsidRPr="00167CB8">
        <w:t> </w:t>
      </w:r>
      <w:r w:rsidRPr="00167CB8">
        <w:t>602A meant that the employer was not required to file another application for the approval of the correct agreement.</w:t>
      </w:r>
      <w:r w:rsidRPr="00167CB8">
        <w:rPr>
          <w:rStyle w:val="FootnoteReference"/>
          <w:rFonts w:cs="Calibri"/>
        </w:rPr>
        <w:footnoteReference w:id="694"/>
      </w:r>
      <w:r w:rsidRPr="00167CB8">
        <w:t xml:space="preserve"> </w:t>
      </w:r>
    </w:p>
    <w:p w14:paraId="00F9D2F5" w14:textId="2C566DB0" w:rsidR="00173F8E" w:rsidRPr="00167CB8" w:rsidRDefault="005863BA" w:rsidP="00173F8E">
      <w:pPr>
        <w:pStyle w:val="Heading5"/>
        <w:rPr>
          <w:rFonts w:asciiTheme="minorHAnsi" w:hAnsiTheme="minorHAnsi"/>
        </w:rPr>
      </w:pPr>
      <w:r w:rsidRPr="00167CB8">
        <w:rPr>
          <w:rFonts w:asciiTheme="minorHAnsi" w:hAnsiTheme="minorHAnsi"/>
        </w:rPr>
        <w:t>18</w:t>
      </w:r>
      <w:r w:rsidR="00173F8E" w:rsidRPr="00167CB8">
        <w:rPr>
          <w:rFonts w:asciiTheme="minorHAnsi" w:hAnsiTheme="minorHAnsi"/>
        </w:rPr>
        <w:t>.2.3 Stakeholder views</w:t>
      </w:r>
    </w:p>
    <w:p w14:paraId="0B1EABF1" w14:textId="49327DDF" w:rsidR="00173F8E" w:rsidRPr="00167CB8" w:rsidRDefault="00173F8E" w:rsidP="00173F8E">
      <w:pPr>
        <w:rPr>
          <w:rFonts w:cs="Calibri"/>
        </w:rPr>
      </w:pPr>
      <w:r w:rsidRPr="00167CB8">
        <w:rPr>
          <w:rFonts w:cs="Calibri"/>
        </w:rPr>
        <w:t>Submissions from stakeholders were broadly very positive about these amendments</w:t>
      </w:r>
      <w:r w:rsidR="00AC3FD8" w:rsidRPr="00167CB8">
        <w:rPr>
          <w:rFonts w:cs="Calibri"/>
        </w:rPr>
        <w:t>,</w:t>
      </w:r>
      <w:r w:rsidRPr="00167CB8">
        <w:rPr>
          <w:rFonts w:cs="Calibri"/>
        </w:rPr>
        <w:t xml:space="preserve"> with almost all comments, from both unions and employer groups, welcoming the changes.</w:t>
      </w:r>
    </w:p>
    <w:p w14:paraId="2F98F46A" w14:textId="5587DEBF" w:rsidR="00173F8E" w:rsidRPr="00167CB8" w:rsidRDefault="00173F8E" w:rsidP="00AC3FD8">
      <w:pPr>
        <w:rPr>
          <w:rFonts w:cs="Calibri"/>
        </w:rPr>
      </w:pPr>
      <w:r w:rsidRPr="00167CB8">
        <w:rPr>
          <w:rFonts w:cs="Calibri"/>
        </w:rPr>
        <w:t xml:space="preserve">The </w:t>
      </w:r>
      <w:r w:rsidR="00A22014" w:rsidRPr="00167CB8">
        <w:rPr>
          <w:rFonts w:cs="Calibri"/>
        </w:rPr>
        <w:t xml:space="preserve">Australian Council of Trade Unions </w:t>
      </w:r>
      <w:r w:rsidRPr="00167CB8">
        <w:rPr>
          <w:rFonts w:cs="Calibri"/>
        </w:rPr>
        <w:t>submitted that the previous gap in FWC’s powers has been</w:t>
      </w:r>
      <w:r w:rsidR="00AC3FD8" w:rsidRPr="00167CB8">
        <w:rPr>
          <w:rFonts w:cs="Calibri"/>
        </w:rPr>
        <w:t xml:space="preserve"> </w:t>
      </w:r>
      <w:r w:rsidRPr="00167CB8">
        <w:rPr>
          <w:rFonts w:cs="Calibri"/>
        </w:rPr>
        <w:t>‘remedied, via the insertion of the clear power for the FWC to correct mistakes in an enterprise agreement after it has been approved, or to substitute the correct version of an agreement where application to approve an agreement (or variation) is made using an incorrect draft of the agreement</w:t>
      </w:r>
      <w:r w:rsidR="00AC3FD8" w:rsidRPr="00167CB8">
        <w:rPr>
          <w:rFonts w:cs="Calibri"/>
        </w:rPr>
        <w:t>’</w:t>
      </w:r>
      <w:r w:rsidRPr="00167CB8">
        <w:rPr>
          <w:rFonts w:cs="Calibri"/>
        </w:rPr>
        <w:t>.</w:t>
      </w:r>
      <w:r w:rsidRPr="00167CB8">
        <w:rPr>
          <w:rStyle w:val="FootnoteReference"/>
          <w:rFonts w:cs="Calibri"/>
        </w:rPr>
        <w:footnoteReference w:id="695"/>
      </w:r>
      <w:r w:rsidRPr="00167CB8">
        <w:rPr>
          <w:rFonts w:cs="Calibri"/>
        </w:rPr>
        <w:t xml:space="preserve"> </w:t>
      </w:r>
    </w:p>
    <w:p w14:paraId="19E55F0A" w14:textId="58793B19" w:rsidR="00173F8E" w:rsidRPr="00167CB8" w:rsidRDefault="00173F8E" w:rsidP="00173F8E">
      <w:pPr>
        <w:rPr>
          <w:rFonts w:cs="Calibri"/>
        </w:rPr>
      </w:pPr>
      <w:r w:rsidRPr="00167CB8">
        <w:rPr>
          <w:rFonts w:cs="Calibri"/>
        </w:rPr>
        <w:t xml:space="preserve">Similarly, the </w:t>
      </w:r>
      <w:r w:rsidR="00A22014" w:rsidRPr="00167CB8">
        <w:rPr>
          <w:rFonts w:cs="Calibri"/>
        </w:rPr>
        <w:t>Community and Public Sector Union (</w:t>
      </w:r>
      <w:r w:rsidRPr="00167CB8">
        <w:rPr>
          <w:rFonts w:cs="Calibri"/>
        </w:rPr>
        <w:t xml:space="preserve">noted that the provisions were relied on by a number of </w:t>
      </w:r>
      <w:r w:rsidR="00A22014" w:rsidRPr="00167CB8">
        <w:rPr>
          <w:rFonts w:cs="Calibri"/>
        </w:rPr>
        <w:t>Australian Public Service (</w:t>
      </w:r>
      <w:r w:rsidRPr="00167CB8">
        <w:rPr>
          <w:rFonts w:cs="Calibri"/>
        </w:rPr>
        <w:t>APS</w:t>
      </w:r>
      <w:r w:rsidR="00A22014" w:rsidRPr="00167CB8">
        <w:rPr>
          <w:rFonts w:cs="Calibri"/>
        </w:rPr>
        <w:t>)</w:t>
      </w:r>
      <w:r w:rsidRPr="00167CB8">
        <w:rPr>
          <w:rFonts w:cs="Calibri"/>
        </w:rPr>
        <w:t xml:space="preserve"> agencies</w:t>
      </w:r>
      <w:r w:rsidR="00AC3FD8" w:rsidRPr="00167CB8">
        <w:rPr>
          <w:rFonts w:cs="Calibri"/>
        </w:rPr>
        <w:t>,</w:t>
      </w:r>
      <w:r w:rsidRPr="00167CB8">
        <w:rPr>
          <w:rFonts w:cs="Calibri"/>
        </w:rPr>
        <w:t xml:space="preserve"> resulting in the correction of significant typographical errors in the recent APS bargaining round.</w:t>
      </w:r>
      <w:r w:rsidRPr="00167CB8">
        <w:rPr>
          <w:rStyle w:val="FootnoteReference"/>
          <w:rFonts w:cs="Calibri"/>
        </w:rPr>
        <w:footnoteReference w:id="696"/>
      </w:r>
    </w:p>
    <w:p w14:paraId="0F7BBA45" w14:textId="3DDD15A2" w:rsidR="00173F8E" w:rsidRPr="00167CB8" w:rsidRDefault="00A22014" w:rsidP="00173F8E">
      <w:pPr>
        <w:rPr>
          <w:rFonts w:cs="Calibri"/>
        </w:rPr>
      </w:pPr>
      <w:r w:rsidRPr="00167CB8">
        <w:rPr>
          <w:rFonts w:cs="Calibri"/>
        </w:rPr>
        <w:t xml:space="preserve">The Australian Resources &amp; Energy Employer Association </w:t>
      </w:r>
      <w:r w:rsidR="00173F8E" w:rsidRPr="00167CB8">
        <w:rPr>
          <w:rFonts w:cs="Calibri"/>
        </w:rPr>
        <w:t>welcomed the continuation of providing greater discretion to the FWC to correct procedural errors in agreement making where the errors are deemed to have no material impact on the bargained outcomes.</w:t>
      </w:r>
      <w:r w:rsidR="00173F8E" w:rsidRPr="00167CB8">
        <w:rPr>
          <w:rStyle w:val="FootnoteReference"/>
          <w:rFonts w:cs="Calibri"/>
        </w:rPr>
        <w:footnoteReference w:id="697"/>
      </w:r>
    </w:p>
    <w:p w14:paraId="18A5AAAB" w14:textId="6071AEF8" w:rsidR="00173F8E" w:rsidRPr="00167CB8" w:rsidRDefault="00A22014" w:rsidP="00173F8E">
      <w:pPr>
        <w:rPr>
          <w:rFonts w:cs="Calibri"/>
        </w:rPr>
      </w:pPr>
      <w:r w:rsidRPr="00167CB8">
        <w:rPr>
          <w:rFonts w:cs="Calibri"/>
        </w:rPr>
        <w:t xml:space="preserve">The Australian Chamber of Commerce and Industry </w:t>
      </w:r>
      <w:r w:rsidR="00173F8E" w:rsidRPr="00167CB8">
        <w:rPr>
          <w:rFonts w:cs="Calibri"/>
        </w:rPr>
        <w:t>submitted that the amendments have been effective in ‘enhancing the flexibility and simplicity of the framework around enterprise agreements, while still balancing fairness by giving effect to the intent of the negotiating parties’.</w:t>
      </w:r>
      <w:r w:rsidR="00173F8E" w:rsidRPr="00167CB8">
        <w:rPr>
          <w:rStyle w:val="FootnoteReference"/>
          <w:rFonts w:cs="Calibri"/>
        </w:rPr>
        <w:footnoteReference w:id="698"/>
      </w:r>
      <w:r w:rsidR="00173F8E" w:rsidRPr="00167CB8">
        <w:rPr>
          <w:rFonts w:cs="Calibri"/>
        </w:rPr>
        <w:t xml:space="preserve"> </w:t>
      </w:r>
      <w:r w:rsidRPr="00167CB8">
        <w:rPr>
          <w:rFonts w:cs="Calibri"/>
        </w:rPr>
        <w:t xml:space="preserve">It </w:t>
      </w:r>
      <w:r w:rsidR="00173F8E" w:rsidRPr="00167CB8">
        <w:rPr>
          <w:rFonts w:cs="Calibri"/>
        </w:rPr>
        <w:t xml:space="preserve">also </w:t>
      </w:r>
      <w:r w:rsidRPr="00167CB8">
        <w:rPr>
          <w:rFonts w:cs="Calibri"/>
        </w:rPr>
        <w:t xml:space="preserve">made </w:t>
      </w:r>
      <w:r w:rsidR="00173F8E" w:rsidRPr="00167CB8">
        <w:rPr>
          <w:rFonts w:cs="Calibri"/>
        </w:rPr>
        <w:t>a recommendation that the FWC ‘seek to monitor the use of these provisions and provide educational materials on common errors that may reduce the frequency these provisions are utilised</w:t>
      </w:r>
      <w:r w:rsidR="00AC3FD8" w:rsidRPr="00167CB8">
        <w:rPr>
          <w:rFonts w:cs="Calibri"/>
        </w:rPr>
        <w:t>’</w:t>
      </w:r>
      <w:r w:rsidR="00173F8E" w:rsidRPr="00167CB8">
        <w:rPr>
          <w:rFonts w:cs="Calibri"/>
        </w:rPr>
        <w:t>.</w:t>
      </w:r>
      <w:r w:rsidR="00173F8E" w:rsidRPr="00167CB8">
        <w:rPr>
          <w:rStyle w:val="FootnoteReference"/>
          <w:rFonts w:cs="Calibri"/>
        </w:rPr>
        <w:footnoteReference w:id="699"/>
      </w:r>
    </w:p>
    <w:p w14:paraId="269129CB" w14:textId="04524E3E" w:rsidR="00173F8E" w:rsidRPr="00167CB8" w:rsidRDefault="00173F8E" w:rsidP="00173F8E">
      <w:pPr>
        <w:rPr>
          <w:rFonts w:cs="Calibri"/>
        </w:rPr>
      </w:pPr>
      <w:r w:rsidRPr="00167CB8">
        <w:rPr>
          <w:rFonts w:cs="Calibri"/>
        </w:rPr>
        <w:t>Ai Group submitted that s</w:t>
      </w:r>
      <w:r w:rsidR="00AC3FD8" w:rsidRPr="00167CB8">
        <w:rPr>
          <w:rFonts w:cs="Calibri"/>
        </w:rPr>
        <w:t> </w:t>
      </w:r>
      <w:r w:rsidRPr="00167CB8">
        <w:rPr>
          <w:rFonts w:cs="Calibri"/>
        </w:rPr>
        <w:t>218A is operating effectively and no amendments are required.</w:t>
      </w:r>
      <w:r w:rsidRPr="00167CB8">
        <w:rPr>
          <w:rStyle w:val="FootnoteReference"/>
          <w:rFonts w:cs="Calibri"/>
        </w:rPr>
        <w:footnoteReference w:id="700"/>
      </w:r>
    </w:p>
    <w:p w14:paraId="29FD0D67" w14:textId="100494E6" w:rsidR="00173F8E" w:rsidRPr="00167CB8" w:rsidRDefault="005863BA" w:rsidP="00173F8E">
      <w:pPr>
        <w:pStyle w:val="Heading4"/>
        <w:rPr>
          <w:rFonts w:asciiTheme="minorHAnsi" w:hAnsiTheme="minorHAnsi"/>
        </w:rPr>
      </w:pPr>
      <w:bookmarkStart w:id="237" w:name="_Toc189260261"/>
      <w:bookmarkStart w:id="238" w:name="_Toc189393577"/>
      <w:r w:rsidRPr="00167CB8">
        <w:rPr>
          <w:rFonts w:asciiTheme="minorHAnsi" w:hAnsiTheme="minorHAnsi"/>
        </w:rPr>
        <w:t>18</w:t>
      </w:r>
      <w:r w:rsidR="00173F8E" w:rsidRPr="00167CB8">
        <w:rPr>
          <w:rFonts w:asciiTheme="minorHAnsi" w:hAnsiTheme="minorHAnsi"/>
        </w:rPr>
        <w:t xml:space="preserve">.3 Findings </w:t>
      </w:r>
      <w:r w:rsidR="00AC3FD8" w:rsidRPr="00167CB8">
        <w:rPr>
          <w:rFonts w:asciiTheme="minorHAnsi" w:hAnsiTheme="minorHAnsi"/>
        </w:rPr>
        <w:t>and r</w:t>
      </w:r>
      <w:r w:rsidR="00173F8E" w:rsidRPr="00167CB8">
        <w:rPr>
          <w:rFonts w:asciiTheme="minorHAnsi" w:hAnsiTheme="minorHAnsi"/>
        </w:rPr>
        <w:t>ecommendations</w:t>
      </w:r>
      <w:bookmarkEnd w:id="237"/>
      <w:bookmarkEnd w:id="238"/>
    </w:p>
    <w:p w14:paraId="6BF7F089" w14:textId="77777777" w:rsidR="00173F8E" w:rsidRPr="00167CB8" w:rsidRDefault="00173F8E" w:rsidP="00173F8E">
      <w:pPr>
        <w:rPr>
          <w:rFonts w:cs="Calibri"/>
        </w:rPr>
      </w:pPr>
      <w:r w:rsidRPr="00167CB8">
        <w:rPr>
          <w:rFonts w:cs="Calibri"/>
        </w:rPr>
        <w:t>Based on the evidence and stakeholder feedback, the Review Panel is satisfied the amendments relating to dealing with errors in enterprise agreements have provided a simple way for the FWC to correct obvious errors in enterprise agreements. The Review Panel finds that the amendments are operating appropriately and effectively.</w:t>
      </w:r>
    </w:p>
    <w:p w14:paraId="21D39E3C" w14:textId="77777777" w:rsidR="00173F8E" w:rsidRPr="00167CB8" w:rsidRDefault="00173F8E" w:rsidP="00173F8E">
      <w:pPr>
        <w:rPr>
          <w:rFonts w:cs="Calibri"/>
        </w:rPr>
      </w:pPr>
      <w:r w:rsidRPr="00167CB8">
        <w:rPr>
          <w:rFonts w:cs="Calibri"/>
        </w:rPr>
        <w:t>While there is limited data available to assess their impacts, there is no evidence before the Review Panel which suggests there are any unintended consequences so far.</w:t>
      </w:r>
    </w:p>
    <w:p w14:paraId="4E6A3997" w14:textId="543DEFB9" w:rsidR="00173F8E" w:rsidRPr="00167CB8" w:rsidRDefault="00173F8E" w:rsidP="00173F8E">
      <w:pPr>
        <w:rPr>
          <w:rFonts w:cs="Calibri"/>
        </w:rPr>
      </w:pPr>
      <w:r w:rsidRPr="00167CB8">
        <w:rPr>
          <w:rFonts w:cs="Calibri"/>
        </w:rPr>
        <w:t>The Review Panel considers that no further amendments are required to these provisions</w:t>
      </w:r>
      <w:r w:rsidR="00C97B32" w:rsidRPr="00167CB8">
        <w:rPr>
          <w:rFonts w:cs="Calibri"/>
        </w:rPr>
        <w:t xml:space="preserve"> and makes no recommendations at this time</w:t>
      </w:r>
      <w:r w:rsidRPr="00167CB8">
        <w:rPr>
          <w:rFonts w:cs="Calibri"/>
        </w:rPr>
        <w:t>.</w:t>
      </w:r>
    </w:p>
    <w:p w14:paraId="5C302EDE" w14:textId="77777777" w:rsidR="00173F8E" w:rsidRPr="00167CB8" w:rsidRDefault="00173F8E" w:rsidP="00173F8E">
      <w:pPr>
        <w:spacing w:after="160"/>
        <w:rPr>
          <w:rFonts w:cs="Calibri"/>
        </w:rPr>
      </w:pPr>
      <w:r w:rsidRPr="00167CB8">
        <w:rPr>
          <w:rFonts w:cs="Calibri"/>
        </w:rPr>
        <w:br w:type="page"/>
      </w:r>
    </w:p>
    <w:p w14:paraId="3F82F2C2" w14:textId="3C268E9D" w:rsidR="00173F8E" w:rsidRPr="00167CB8" w:rsidRDefault="00173F8E" w:rsidP="00173F8E">
      <w:pPr>
        <w:pStyle w:val="Heading3"/>
        <w:rPr>
          <w:rFonts w:asciiTheme="minorHAnsi" w:hAnsiTheme="minorHAnsi"/>
        </w:rPr>
      </w:pPr>
      <w:bookmarkStart w:id="239" w:name="_Toc189260262"/>
      <w:bookmarkStart w:id="240" w:name="_Toc189393578"/>
      <w:r w:rsidRPr="00167CB8">
        <w:rPr>
          <w:rFonts w:asciiTheme="minorHAnsi" w:hAnsiTheme="minorHAnsi"/>
        </w:rPr>
        <w:lastRenderedPageBreak/>
        <w:t xml:space="preserve">Chapter </w:t>
      </w:r>
      <w:r w:rsidR="003A22EE" w:rsidRPr="00167CB8">
        <w:rPr>
          <w:rFonts w:asciiTheme="minorHAnsi" w:hAnsiTheme="minorHAnsi"/>
        </w:rPr>
        <w:t>19</w:t>
      </w:r>
      <w:r w:rsidRPr="00167CB8">
        <w:rPr>
          <w:rFonts w:asciiTheme="minorHAnsi" w:hAnsiTheme="minorHAnsi"/>
        </w:rPr>
        <w:t>. Varying enterprise agreements to remove employers and their employees</w:t>
      </w:r>
      <w:bookmarkEnd w:id="239"/>
      <w:bookmarkEnd w:id="240"/>
    </w:p>
    <w:p w14:paraId="1DA7DCD6" w14:textId="77777777" w:rsidR="00173F8E" w:rsidRPr="00167CB8" w:rsidRDefault="00173F8E" w:rsidP="00173F8E">
      <w:pPr>
        <w:rPr>
          <w:rFonts w:cs="Calibri"/>
        </w:rPr>
      </w:pPr>
      <w:r w:rsidRPr="00167CB8">
        <w:rPr>
          <w:rFonts w:cs="Calibri"/>
        </w:rPr>
        <w:t xml:space="preserve">Part 22 of Schedule 1 to the </w:t>
      </w:r>
      <w:r w:rsidRPr="00167CB8">
        <w:t xml:space="preserve">Secure Jobs, Better Pay </w:t>
      </w:r>
      <w:r w:rsidRPr="00167CB8">
        <w:rPr>
          <w:rFonts w:cs="Calibri"/>
        </w:rPr>
        <w:t>Act enables the FWC vary multi-employer agreements to remove employers and their employees with effect from 6 June 2023.</w:t>
      </w:r>
      <w:r w:rsidRPr="00167CB8">
        <w:rPr>
          <w:rFonts w:cs="Calibri"/>
          <w:vertAlign w:val="superscript"/>
        </w:rPr>
        <w:footnoteReference w:id="701"/>
      </w:r>
      <w:r w:rsidRPr="00167CB8">
        <w:rPr>
          <w:rFonts w:cs="Calibri"/>
        </w:rPr>
        <w:t xml:space="preserve"> These provisions received little attention from stakeholders during consultations, with little evidence available as to their current operation.</w:t>
      </w:r>
    </w:p>
    <w:p w14:paraId="4BCFC7D9" w14:textId="73B9EEE9" w:rsidR="00173F8E" w:rsidRPr="00167CB8" w:rsidRDefault="005863BA" w:rsidP="00173F8E">
      <w:pPr>
        <w:pStyle w:val="Heading4"/>
        <w:rPr>
          <w:rFonts w:asciiTheme="minorHAnsi" w:hAnsiTheme="minorHAnsi"/>
        </w:rPr>
      </w:pPr>
      <w:bookmarkStart w:id="241" w:name="_Toc189260263"/>
      <w:bookmarkStart w:id="242" w:name="_Toc189393579"/>
      <w:r w:rsidRPr="00167CB8">
        <w:rPr>
          <w:rFonts w:asciiTheme="minorHAnsi" w:hAnsiTheme="minorHAnsi"/>
        </w:rPr>
        <w:t>19</w:t>
      </w:r>
      <w:r w:rsidR="00173F8E" w:rsidRPr="00167CB8">
        <w:rPr>
          <w:rFonts w:asciiTheme="minorHAnsi" w:hAnsiTheme="minorHAnsi"/>
        </w:rPr>
        <w:t xml:space="preserve">.1 Amendments </w:t>
      </w:r>
      <w:r w:rsidR="00AC3FD8" w:rsidRPr="00167CB8">
        <w:rPr>
          <w:rFonts w:asciiTheme="minorHAnsi" w:hAnsiTheme="minorHAnsi"/>
        </w:rPr>
        <w:t>and i</w:t>
      </w:r>
      <w:r w:rsidR="00173F8E" w:rsidRPr="00167CB8">
        <w:rPr>
          <w:rFonts w:asciiTheme="minorHAnsi" w:hAnsiTheme="minorHAnsi"/>
        </w:rPr>
        <w:t>ntent</w:t>
      </w:r>
      <w:bookmarkEnd w:id="241"/>
      <w:bookmarkEnd w:id="242"/>
      <w:r w:rsidR="00173F8E" w:rsidRPr="00167CB8">
        <w:rPr>
          <w:rFonts w:asciiTheme="minorHAnsi" w:hAnsiTheme="minorHAnsi"/>
        </w:rPr>
        <w:t xml:space="preserve"> </w:t>
      </w:r>
    </w:p>
    <w:p w14:paraId="7D329BF5" w14:textId="3F0F4A72" w:rsidR="00173F8E" w:rsidRPr="00167CB8" w:rsidRDefault="00173F8E" w:rsidP="00173F8E">
      <w:pPr>
        <w:rPr>
          <w:rFonts w:cs="Calibri"/>
        </w:rPr>
      </w:pPr>
      <w:r w:rsidRPr="00167CB8">
        <w:rPr>
          <w:rFonts w:cs="Calibri"/>
        </w:rPr>
        <w:t>These amendments were intended to assist in the functioning of the new multi-employer bargaining streams by providing a process for some parties to leave agreements established under these streams.</w:t>
      </w:r>
    </w:p>
    <w:p w14:paraId="1995F4D3" w14:textId="77777777" w:rsidR="00173F8E" w:rsidRPr="00167CB8" w:rsidRDefault="00173F8E" w:rsidP="00173F8E">
      <w:r w:rsidRPr="00167CB8">
        <w:t>Before the Secure Jobs, Better Pay Act came into operation, there were limited pathways for an employer and a group of employees to vary a multi-employer agreement so it no longer covered them. Generally, these processes required the approval of all employers and a majority of employees covered by the multi-employer agreement, not just those that are seeking to no longer be covered by it.</w:t>
      </w:r>
      <w:r w:rsidRPr="00167CB8">
        <w:rPr>
          <w:rStyle w:val="FootnoteReference"/>
        </w:rPr>
        <w:footnoteReference w:id="702"/>
      </w:r>
    </w:p>
    <w:p w14:paraId="28DE0F02" w14:textId="48A7BD2C" w:rsidR="00173F8E" w:rsidRPr="00167CB8" w:rsidRDefault="005863BA" w:rsidP="00173F8E">
      <w:pPr>
        <w:pStyle w:val="Heading5"/>
        <w:rPr>
          <w:rFonts w:asciiTheme="minorHAnsi" w:hAnsiTheme="minorHAnsi"/>
        </w:rPr>
      </w:pPr>
      <w:r w:rsidRPr="00167CB8">
        <w:rPr>
          <w:rFonts w:asciiTheme="minorHAnsi" w:hAnsiTheme="minorHAnsi"/>
        </w:rPr>
        <w:t>19</w:t>
      </w:r>
      <w:r w:rsidR="00173F8E" w:rsidRPr="00167CB8">
        <w:rPr>
          <w:rFonts w:asciiTheme="minorHAnsi" w:hAnsiTheme="minorHAnsi"/>
        </w:rPr>
        <w:t xml:space="preserve">.1.1 </w:t>
      </w:r>
      <w:r w:rsidR="00173F8E" w:rsidRPr="00167CB8">
        <w:t xml:space="preserve">Secure Jobs, Better Pay </w:t>
      </w:r>
      <w:r w:rsidR="00AC3FD8" w:rsidRPr="00167CB8">
        <w:rPr>
          <w:rFonts w:asciiTheme="minorHAnsi" w:hAnsiTheme="minorHAnsi"/>
        </w:rPr>
        <w:t>a</w:t>
      </w:r>
      <w:r w:rsidR="00173F8E" w:rsidRPr="00167CB8">
        <w:rPr>
          <w:rFonts w:asciiTheme="minorHAnsi" w:hAnsiTheme="minorHAnsi"/>
        </w:rPr>
        <w:t>mendments</w:t>
      </w:r>
    </w:p>
    <w:p w14:paraId="69F276B9" w14:textId="66111EF1" w:rsidR="00173F8E" w:rsidRPr="00167CB8" w:rsidRDefault="00173F8E" w:rsidP="00173F8E">
      <w:r w:rsidRPr="00167CB8">
        <w:t>These amendments only apply to multi-employer agreements made after commencement of the provisions (i.e. after 6 June 2023).</w:t>
      </w:r>
    </w:p>
    <w:p w14:paraId="15C17D7D" w14:textId="39DCFB36" w:rsidR="00173F8E" w:rsidRPr="00167CB8" w:rsidRDefault="00173F8E" w:rsidP="00173F8E">
      <w:r w:rsidRPr="00167CB8">
        <w:t>Employers may request employees approve a proposed variation by vote.</w:t>
      </w:r>
      <w:r w:rsidRPr="00167CB8">
        <w:rPr>
          <w:rStyle w:val="FootnoteReference"/>
        </w:rPr>
        <w:footnoteReference w:id="703"/>
      </w:r>
      <w:r w:rsidRPr="00167CB8">
        <w:t xml:space="preserve"> A variation to an enterprise agreement ‘is made when a majority of the affected employees who cast a valid vote approve the variation</w:t>
      </w:r>
      <w:r w:rsidR="00AC3FD8" w:rsidRPr="00167CB8">
        <w:t>’</w:t>
      </w:r>
      <w:r w:rsidRPr="00167CB8">
        <w:t>.</w:t>
      </w:r>
      <w:r w:rsidRPr="00167CB8">
        <w:rPr>
          <w:rStyle w:val="FootnoteReference"/>
        </w:rPr>
        <w:footnoteReference w:id="704"/>
      </w:r>
      <w:r w:rsidRPr="00167CB8">
        <w:t xml:space="preserve"> </w:t>
      </w:r>
    </w:p>
    <w:p w14:paraId="3AF7D590" w14:textId="4E845F54" w:rsidR="00173F8E" w:rsidRPr="00167CB8" w:rsidRDefault="00173F8E" w:rsidP="00173F8E">
      <w:pPr>
        <w:rPr>
          <w:color w:val="000000"/>
        </w:rPr>
      </w:pPr>
      <w:r w:rsidRPr="00167CB8">
        <w:t xml:space="preserve">Employers and employees may </w:t>
      </w:r>
      <w:r w:rsidR="00AC3FD8" w:rsidRPr="00167CB8">
        <w:t>‘</w:t>
      </w:r>
      <w:r w:rsidRPr="00167CB8">
        <w:t>jointly make [an application for] variation of a multi</w:t>
      </w:r>
      <w:r w:rsidRPr="00167CB8">
        <w:noBreakHyphen/>
        <w:t>enterprise agreement</w:t>
      </w:r>
      <w:r w:rsidR="00AC3FD8" w:rsidRPr="00167CB8">
        <w:t>’</w:t>
      </w:r>
      <w:r w:rsidRPr="00167CB8">
        <w:t xml:space="preserve"> to remove them from the agreement’s coverage.</w:t>
      </w:r>
      <w:r w:rsidRPr="00167CB8">
        <w:rPr>
          <w:rStyle w:val="FootnoteReference"/>
        </w:rPr>
        <w:footnoteReference w:id="705"/>
      </w:r>
      <w:r w:rsidRPr="00167CB8">
        <w:t xml:space="preserve"> The FWC must approve the variation if it is satisfied that</w:t>
      </w:r>
      <w:r w:rsidRPr="00167CB8">
        <w:rPr>
          <w:color w:val="000000"/>
        </w:rPr>
        <w:t xml:space="preserve"> the employer took ‘all reasonable steps to notify the employees of</w:t>
      </w:r>
      <w:r w:rsidR="00AC3FD8" w:rsidRPr="00167CB8">
        <w:rPr>
          <w:color w:val="000000"/>
        </w:rPr>
        <w:t xml:space="preserve"> </w:t>
      </w:r>
      <w:r w:rsidRPr="00167CB8">
        <w:rPr>
          <w:color w:val="000000"/>
        </w:rPr>
        <w:t>… the time and place at which the vote will occur; the voting method that will be used; and [gave] the employees a reasonable opportunity to decide whether they want to approve the proposed variation</w:t>
      </w:r>
      <w:r w:rsidR="00AC3FD8" w:rsidRPr="00167CB8">
        <w:rPr>
          <w:color w:val="000000"/>
        </w:rPr>
        <w:t>’</w:t>
      </w:r>
      <w:r w:rsidRPr="00167CB8">
        <w:rPr>
          <w:color w:val="000000"/>
        </w:rPr>
        <w:t>.</w:t>
      </w:r>
      <w:r w:rsidRPr="00167CB8">
        <w:rPr>
          <w:rStyle w:val="FootnoteReference"/>
          <w:color w:val="000000"/>
        </w:rPr>
        <w:footnoteReference w:id="706"/>
      </w:r>
      <w:r w:rsidRPr="00167CB8">
        <w:rPr>
          <w:color w:val="000000"/>
        </w:rPr>
        <w:t xml:space="preserve"> </w:t>
      </w:r>
    </w:p>
    <w:p w14:paraId="50C8D525" w14:textId="5450CA67" w:rsidR="00173F8E" w:rsidRPr="00167CB8" w:rsidRDefault="00173F8E" w:rsidP="00173F8E">
      <w:pPr>
        <w:rPr>
          <w:color w:val="000000"/>
        </w:rPr>
      </w:pPr>
      <w:r w:rsidRPr="00167CB8">
        <w:rPr>
          <w:color w:val="000000"/>
        </w:rPr>
        <w:t>When approving a variation to remove an employer and employees, the FWC must also be satisfied that</w:t>
      </w:r>
      <w:r w:rsidRPr="00167CB8">
        <w:t>:</w:t>
      </w:r>
      <w:r w:rsidR="00AC3FD8" w:rsidRPr="00167CB8">
        <w:rPr>
          <w:rStyle w:val="FootnoteReference"/>
        </w:rPr>
        <w:footnoteReference w:id="707"/>
      </w:r>
    </w:p>
    <w:p w14:paraId="43A5D27E" w14:textId="305FE160" w:rsidR="00173F8E" w:rsidRPr="00167CB8" w:rsidRDefault="00173F8E" w:rsidP="00374BCD">
      <w:pPr>
        <w:pStyle w:val="Quote"/>
        <w:ind w:left="2160" w:hanging="720"/>
      </w:pPr>
      <w:r w:rsidRPr="00167CB8">
        <w:t>(a)  </w:t>
      </w:r>
      <w:r w:rsidRPr="00167CB8">
        <w:tab/>
        <w:t>the </w:t>
      </w:r>
      <w:hyperlink r:id="rId28" w:anchor="employer" w:history="1">
        <w:r w:rsidRPr="00167CB8">
          <w:t>employer</w:t>
        </w:r>
      </w:hyperlink>
      <w:r w:rsidRPr="00167CB8">
        <w:t> mentioned in </w:t>
      </w:r>
      <w:hyperlink r:id="rId29" w:anchor="paragraph" w:history="1">
        <w:r w:rsidRPr="00167CB8">
          <w:t>paragraph</w:t>
        </w:r>
      </w:hyperlink>
      <w:r w:rsidRPr="00167CB8">
        <w:t xml:space="preserve"> 216E(1)(a) complied with </w:t>
      </w:r>
      <w:hyperlink r:id="rId30" w:anchor="subsection" w:history="1">
        <w:r w:rsidRPr="00167CB8">
          <w:t>subsection</w:t>
        </w:r>
      </w:hyperlink>
      <w:r w:rsidRPr="00167CB8">
        <w:t xml:space="preserve"> 216E(5) (which deals with giving </w:t>
      </w:r>
      <w:hyperlink r:id="rId31" w:anchor="employee" w:history="1">
        <w:r w:rsidRPr="00167CB8">
          <w:t>employees</w:t>
        </w:r>
      </w:hyperlink>
      <w:r w:rsidRPr="00167CB8">
        <w:t> a reasonable opportunity to decide etc.) in relation to the variation; and</w:t>
      </w:r>
    </w:p>
    <w:p w14:paraId="4B8914BF" w14:textId="77777777" w:rsidR="00173F8E" w:rsidRPr="00167CB8" w:rsidRDefault="00173F8E" w:rsidP="00374BCD">
      <w:pPr>
        <w:pStyle w:val="Quote"/>
        <w:ind w:left="2160" w:hanging="720"/>
      </w:pPr>
      <w:r w:rsidRPr="00167CB8">
        <w:lastRenderedPageBreak/>
        <w:t>(b) </w:t>
      </w:r>
      <w:r w:rsidRPr="00167CB8">
        <w:tab/>
        <w:t>the affected employees have voted, by ballot or by an electronic method, on whether to approve the variation and, of those who cast a valid vote, a majority approved the variation; and</w:t>
      </w:r>
    </w:p>
    <w:p w14:paraId="64EDCF95" w14:textId="6955E6C1" w:rsidR="00173F8E" w:rsidRPr="00167CB8" w:rsidRDefault="00173F8E" w:rsidP="00374BCD">
      <w:pPr>
        <w:pStyle w:val="Quote"/>
        <w:ind w:left="2160" w:hanging="720"/>
      </w:pPr>
      <w:r w:rsidRPr="00167CB8">
        <w:t>(c) </w:t>
      </w:r>
      <w:r w:rsidRPr="00167CB8">
        <w:tab/>
        <w:t>there are no other reasonable grounds for believing that a majority of the affected employees who cast a valid vote did not approve the variation; and</w:t>
      </w:r>
    </w:p>
    <w:p w14:paraId="12416C0F" w14:textId="6AA41238" w:rsidR="00173F8E" w:rsidRPr="00167CB8" w:rsidRDefault="00173F8E" w:rsidP="00374BCD">
      <w:pPr>
        <w:pStyle w:val="Quote"/>
        <w:ind w:left="2160" w:hanging="720"/>
      </w:pPr>
      <w:r w:rsidRPr="00167CB8">
        <w:t>(d) </w:t>
      </w:r>
      <w:r w:rsidRPr="00167CB8">
        <w:tab/>
        <w:t>each employee organisation covered by the agreement, that is entitled to represent the industrial interests of one or more affected employees, agrees to the variation.</w:t>
      </w:r>
    </w:p>
    <w:p w14:paraId="72DB489F" w14:textId="335BD0E0" w:rsidR="00173F8E" w:rsidRPr="00167CB8" w:rsidRDefault="005863BA" w:rsidP="00173F8E">
      <w:pPr>
        <w:pStyle w:val="Heading5"/>
        <w:rPr>
          <w:rFonts w:asciiTheme="minorHAnsi" w:hAnsiTheme="minorHAnsi"/>
        </w:rPr>
      </w:pPr>
      <w:r w:rsidRPr="00167CB8">
        <w:rPr>
          <w:rFonts w:asciiTheme="minorHAnsi" w:hAnsiTheme="minorHAnsi"/>
        </w:rPr>
        <w:t>19</w:t>
      </w:r>
      <w:r w:rsidR="00173F8E" w:rsidRPr="00167CB8">
        <w:rPr>
          <w:rFonts w:asciiTheme="minorHAnsi" w:hAnsiTheme="minorHAnsi"/>
        </w:rPr>
        <w:t xml:space="preserve">.1.2 Intent of Secure Jobs, Better Pay </w:t>
      </w:r>
      <w:r w:rsidR="00AC3FD8" w:rsidRPr="00167CB8">
        <w:rPr>
          <w:rFonts w:asciiTheme="minorHAnsi" w:hAnsiTheme="minorHAnsi"/>
        </w:rPr>
        <w:t>a</w:t>
      </w:r>
      <w:r w:rsidR="00173F8E" w:rsidRPr="00167CB8">
        <w:rPr>
          <w:rFonts w:asciiTheme="minorHAnsi" w:hAnsiTheme="minorHAnsi"/>
        </w:rPr>
        <w:t>mendments</w:t>
      </w:r>
    </w:p>
    <w:p w14:paraId="617DFF69" w14:textId="020F3CE0" w:rsidR="00173F8E" w:rsidRPr="00167CB8" w:rsidRDefault="00173F8E" w:rsidP="00173F8E">
      <w:r w:rsidRPr="00167CB8">
        <w:t xml:space="preserve">The Australian Government states that it intends for these amendments to empower the FWC </w:t>
      </w:r>
      <w:r w:rsidR="00AC3FD8" w:rsidRPr="00167CB8">
        <w:t>‘</w:t>
      </w:r>
      <w:r w:rsidRPr="00167CB8">
        <w:t>to vary multi-enterprise agreements to remove an employer and affected employees from coverage</w:t>
      </w:r>
      <w:r w:rsidR="00AC3FD8" w:rsidRPr="00167CB8">
        <w:t>’</w:t>
      </w:r>
      <w:r w:rsidRPr="00167CB8">
        <w:rPr>
          <w:rStyle w:val="FootnoteReference"/>
        </w:rPr>
        <w:footnoteReference w:id="708"/>
      </w:r>
      <w:r w:rsidRPr="00167CB8">
        <w:t xml:space="preserve"> with voting requirement and employee organisation agreement requirements to act as safeguards </w:t>
      </w:r>
      <w:r w:rsidR="00AC3FD8" w:rsidRPr="00167CB8">
        <w:t>‘</w:t>
      </w:r>
      <w:r w:rsidRPr="00167CB8">
        <w:t>to ensure affected employees are sufficiently protected</w:t>
      </w:r>
      <w:r w:rsidR="00AC3FD8" w:rsidRPr="00167CB8">
        <w:t>’</w:t>
      </w:r>
      <w:r w:rsidRPr="00167CB8">
        <w:t>.</w:t>
      </w:r>
      <w:r w:rsidRPr="00167CB8">
        <w:rPr>
          <w:rStyle w:val="FootnoteReference"/>
        </w:rPr>
        <w:footnoteReference w:id="709"/>
      </w:r>
    </w:p>
    <w:p w14:paraId="39BC3E87" w14:textId="1D9F1DAA" w:rsidR="00173F8E" w:rsidRPr="00167CB8" w:rsidRDefault="005863BA" w:rsidP="00173F8E">
      <w:pPr>
        <w:pStyle w:val="Heading4"/>
        <w:rPr>
          <w:rFonts w:asciiTheme="minorHAnsi" w:hAnsiTheme="minorHAnsi"/>
        </w:rPr>
      </w:pPr>
      <w:bookmarkStart w:id="243" w:name="_Toc189260264"/>
      <w:bookmarkStart w:id="244" w:name="_Toc189393580"/>
      <w:r w:rsidRPr="00167CB8">
        <w:rPr>
          <w:rFonts w:asciiTheme="minorHAnsi" w:hAnsiTheme="minorHAnsi"/>
        </w:rPr>
        <w:t>19</w:t>
      </w:r>
      <w:r w:rsidR="00173F8E" w:rsidRPr="00167CB8">
        <w:rPr>
          <w:rFonts w:asciiTheme="minorHAnsi" w:hAnsiTheme="minorHAnsi"/>
        </w:rPr>
        <w:t xml:space="preserve">.2 Impact and </w:t>
      </w:r>
      <w:r w:rsidR="00AC3FD8" w:rsidRPr="00167CB8">
        <w:rPr>
          <w:rFonts w:asciiTheme="minorHAnsi" w:hAnsiTheme="minorHAnsi"/>
        </w:rPr>
        <w:t>i</w:t>
      </w:r>
      <w:r w:rsidR="00173F8E" w:rsidRPr="00167CB8">
        <w:rPr>
          <w:rFonts w:asciiTheme="minorHAnsi" w:hAnsiTheme="minorHAnsi"/>
        </w:rPr>
        <w:t>ssues</w:t>
      </w:r>
      <w:bookmarkEnd w:id="243"/>
      <w:bookmarkEnd w:id="244"/>
    </w:p>
    <w:p w14:paraId="05B7A3A7" w14:textId="3378B873" w:rsidR="00173F8E" w:rsidRPr="00167CB8" w:rsidRDefault="00173F8E" w:rsidP="00173F8E">
      <w:r w:rsidRPr="00167CB8">
        <w:t>The FWC is yet to deal with any applications to remove employer</w:t>
      </w:r>
      <w:r w:rsidR="004A6928" w:rsidRPr="00167CB8">
        <w:t>s</w:t>
      </w:r>
      <w:r w:rsidRPr="00167CB8">
        <w:t xml:space="preserve"> and </w:t>
      </w:r>
      <w:r w:rsidR="004A6928" w:rsidRPr="00167CB8">
        <w:t xml:space="preserve">their </w:t>
      </w:r>
      <w:r w:rsidRPr="00167CB8">
        <w:t>employees from a multi-employer agreement. Therefore, it is too early to assess the operation of the amendments.</w:t>
      </w:r>
    </w:p>
    <w:p w14:paraId="710DF2A4" w14:textId="028CEAE8" w:rsidR="00173F8E" w:rsidRPr="00167CB8" w:rsidRDefault="005863BA" w:rsidP="00173F8E">
      <w:pPr>
        <w:pStyle w:val="Heading5"/>
        <w:rPr>
          <w:rFonts w:asciiTheme="minorHAnsi" w:hAnsiTheme="minorHAnsi"/>
        </w:rPr>
      </w:pPr>
      <w:r w:rsidRPr="00167CB8">
        <w:rPr>
          <w:rFonts w:asciiTheme="minorHAnsi" w:hAnsiTheme="minorHAnsi"/>
        </w:rPr>
        <w:t>19</w:t>
      </w:r>
      <w:r w:rsidR="00173F8E" w:rsidRPr="00167CB8">
        <w:rPr>
          <w:rFonts w:asciiTheme="minorHAnsi" w:hAnsiTheme="minorHAnsi"/>
        </w:rPr>
        <w:t xml:space="preserve">.2.1 Quantitative </w:t>
      </w:r>
      <w:r w:rsidR="00AC3FD8" w:rsidRPr="00167CB8">
        <w:rPr>
          <w:rFonts w:asciiTheme="minorHAnsi" w:hAnsiTheme="minorHAnsi"/>
        </w:rPr>
        <w:t>e</w:t>
      </w:r>
      <w:r w:rsidR="00173F8E" w:rsidRPr="00167CB8">
        <w:rPr>
          <w:rFonts w:asciiTheme="minorHAnsi" w:hAnsiTheme="minorHAnsi"/>
        </w:rPr>
        <w:t>vidence</w:t>
      </w:r>
    </w:p>
    <w:p w14:paraId="3F226787" w14:textId="4495B719" w:rsidR="00173F8E" w:rsidRPr="00167CB8" w:rsidRDefault="00173F8E" w:rsidP="00173F8E">
      <w:r w:rsidRPr="00167CB8">
        <w:t xml:space="preserve">The Review Panel is not aware of any </w:t>
      </w:r>
      <w:r w:rsidR="004A6928" w:rsidRPr="00167CB8">
        <w:t xml:space="preserve">significant </w:t>
      </w:r>
      <w:r w:rsidRPr="00167CB8">
        <w:t>quantitative evidence in relation to these amendments.</w:t>
      </w:r>
    </w:p>
    <w:p w14:paraId="25EA79E4" w14:textId="731C7F13" w:rsidR="00173F8E" w:rsidRPr="00167CB8" w:rsidRDefault="005863BA" w:rsidP="00173F8E">
      <w:pPr>
        <w:pStyle w:val="Heading5"/>
        <w:rPr>
          <w:rFonts w:asciiTheme="minorHAnsi" w:hAnsiTheme="minorHAnsi"/>
        </w:rPr>
      </w:pPr>
      <w:r w:rsidRPr="00167CB8">
        <w:rPr>
          <w:rFonts w:asciiTheme="minorHAnsi" w:hAnsiTheme="minorHAnsi"/>
        </w:rPr>
        <w:t>19</w:t>
      </w:r>
      <w:r w:rsidR="00173F8E" w:rsidRPr="00167CB8">
        <w:rPr>
          <w:rFonts w:asciiTheme="minorHAnsi" w:hAnsiTheme="minorHAnsi"/>
        </w:rPr>
        <w:t xml:space="preserve">.2.2 Qualitative </w:t>
      </w:r>
      <w:r w:rsidR="00AC3FD8" w:rsidRPr="00167CB8">
        <w:rPr>
          <w:rFonts w:asciiTheme="minorHAnsi" w:hAnsiTheme="minorHAnsi"/>
        </w:rPr>
        <w:t>e</w:t>
      </w:r>
      <w:r w:rsidR="00173F8E" w:rsidRPr="00167CB8">
        <w:rPr>
          <w:rFonts w:asciiTheme="minorHAnsi" w:hAnsiTheme="minorHAnsi"/>
        </w:rPr>
        <w:t>vidence</w:t>
      </w:r>
    </w:p>
    <w:p w14:paraId="2F52DD1F" w14:textId="0B83B3BA" w:rsidR="00173F8E" w:rsidRPr="00167CB8" w:rsidRDefault="00173F8E" w:rsidP="00173F8E">
      <w:r w:rsidRPr="00167CB8">
        <w:t xml:space="preserve">The Review Panel is not aware of any </w:t>
      </w:r>
      <w:r w:rsidR="004A6928" w:rsidRPr="00167CB8">
        <w:t xml:space="preserve">significant </w:t>
      </w:r>
      <w:r w:rsidRPr="00167CB8">
        <w:t>qualitative evidence in relation to these amendments.</w:t>
      </w:r>
    </w:p>
    <w:p w14:paraId="18F9B812" w14:textId="3C585EFE" w:rsidR="00173F8E" w:rsidRPr="00167CB8" w:rsidRDefault="005863BA" w:rsidP="00173F8E">
      <w:pPr>
        <w:pStyle w:val="Heading5"/>
        <w:rPr>
          <w:rFonts w:asciiTheme="minorHAnsi" w:hAnsiTheme="minorHAnsi"/>
        </w:rPr>
      </w:pPr>
      <w:r w:rsidRPr="00167CB8">
        <w:rPr>
          <w:rFonts w:asciiTheme="minorHAnsi" w:hAnsiTheme="minorHAnsi"/>
        </w:rPr>
        <w:t>19</w:t>
      </w:r>
      <w:r w:rsidR="00173F8E" w:rsidRPr="00167CB8">
        <w:rPr>
          <w:rFonts w:asciiTheme="minorHAnsi" w:hAnsiTheme="minorHAnsi"/>
        </w:rPr>
        <w:t>.2.3 Stakeholder views</w:t>
      </w:r>
    </w:p>
    <w:p w14:paraId="3F173ACB" w14:textId="5882F15E" w:rsidR="00173F8E" w:rsidRPr="00167CB8" w:rsidRDefault="00173F8E" w:rsidP="00173F8E">
      <w:r w:rsidRPr="00167CB8">
        <w:t xml:space="preserve">Ai Group submitted that the requirement that any union covered by the agreement to approve the variation is </w:t>
      </w:r>
      <w:r w:rsidR="00AC3FD8" w:rsidRPr="00167CB8">
        <w:t>‘</w:t>
      </w:r>
      <w:r w:rsidRPr="00167CB8">
        <w:t>highly inappropriate and should be removed</w:t>
      </w:r>
      <w:r w:rsidR="00AC3FD8" w:rsidRPr="00167CB8">
        <w:t>’</w:t>
      </w:r>
      <w:r w:rsidRPr="00167CB8">
        <w:t>.</w:t>
      </w:r>
      <w:r w:rsidRPr="00167CB8">
        <w:rPr>
          <w:rStyle w:val="FootnoteReference"/>
        </w:rPr>
        <w:footnoteReference w:id="710"/>
      </w:r>
      <w:r w:rsidRPr="00167CB8">
        <w:t xml:space="preserve"> Ai Group propose</w:t>
      </w:r>
      <w:r w:rsidR="00AC3FD8" w:rsidRPr="00167CB8">
        <w:t>d</w:t>
      </w:r>
      <w:r w:rsidRPr="00167CB8">
        <w:t xml:space="preserve"> that this requirement be replaced with an alternat</w:t>
      </w:r>
      <w:r w:rsidR="00AC3FD8" w:rsidRPr="00167CB8">
        <w:t>ive</w:t>
      </w:r>
      <w:r w:rsidRPr="00167CB8">
        <w:t xml:space="preserve"> safeguard that would require the FWC to consider whether there are </w:t>
      </w:r>
      <w:r w:rsidR="00AC3FD8" w:rsidRPr="00167CB8">
        <w:t>‘</w:t>
      </w:r>
      <w:r w:rsidRPr="00167CB8">
        <w:t>serious public interest grounds for not approving the variation</w:t>
      </w:r>
      <w:r w:rsidR="00AC3FD8" w:rsidRPr="00167CB8">
        <w:t>’</w:t>
      </w:r>
      <w:r w:rsidRPr="00167CB8">
        <w:t>.</w:t>
      </w:r>
      <w:r w:rsidRPr="00167CB8">
        <w:rPr>
          <w:rStyle w:val="FootnoteReference"/>
        </w:rPr>
        <w:footnoteReference w:id="711"/>
      </w:r>
    </w:p>
    <w:p w14:paraId="793756AF" w14:textId="6A49A7A5" w:rsidR="00173F8E" w:rsidRPr="00167CB8" w:rsidRDefault="00173F8E" w:rsidP="00173F8E">
      <w:pPr>
        <w:rPr>
          <w:rFonts w:cs="Calibri"/>
        </w:rPr>
      </w:pPr>
      <w:r w:rsidRPr="00167CB8">
        <w:rPr>
          <w:rFonts w:cs="Calibri"/>
        </w:rPr>
        <w:t xml:space="preserve">In contrast, the </w:t>
      </w:r>
      <w:r w:rsidR="00A52AD9" w:rsidRPr="00167CB8">
        <w:rPr>
          <w:rFonts w:cs="Calibri"/>
        </w:rPr>
        <w:t xml:space="preserve">Australian Council of Trade Unions (ACTU) </w:t>
      </w:r>
      <w:r w:rsidRPr="00167CB8">
        <w:rPr>
          <w:rFonts w:cs="Calibri"/>
        </w:rPr>
        <w:t>state</w:t>
      </w:r>
      <w:r w:rsidR="00AC3FD8" w:rsidRPr="00167CB8">
        <w:rPr>
          <w:rFonts w:cs="Calibri"/>
        </w:rPr>
        <w:t>d</w:t>
      </w:r>
      <w:r w:rsidRPr="00167CB8">
        <w:rPr>
          <w:rFonts w:cs="Calibri"/>
        </w:rPr>
        <w:t xml:space="preserve"> that the </w:t>
      </w:r>
      <w:r w:rsidR="00AC3FD8" w:rsidRPr="00167CB8">
        <w:rPr>
          <w:rFonts w:cs="Calibri"/>
        </w:rPr>
        <w:t>‘</w:t>
      </w:r>
      <w:r w:rsidRPr="00167CB8">
        <w:rPr>
          <w:rFonts w:cs="Calibri"/>
        </w:rPr>
        <w:t>provisions provide for a consensual and democratic pathway for an employer (and its employees who are covered by a multi enterprise agreement) to exit a multi-employer agreement</w:t>
      </w:r>
      <w:r w:rsidR="00AC3FD8" w:rsidRPr="00167CB8">
        <w:rPr>
          <w:rFonts w:cs="Calibri"/>
        </w:rPr>
        <w:t>’</w:t>
      </w:r>
      <w:r w:rsidRPr="00167CB8">
        <w:rPr>
          <w:rFonts w:cs="Calibri"/>
        </w:rPr>
        <w:t>.</w:t>
      </w:r>
      <w:r w:rsidRPr="00167CB8">
        <w:rPr>
          <w:rStyle w:val="FootnoteReference"/>
          <w:rFonts w:cs="Calibri"/>
        </w:rPr>
        <w:footnoteReference w:id="712"/>
      </w:r>
      <w:r w:rsidRPr="00167CB8">
        <w:rPr>
          <w:rFonts w:cs="Calibri"/>
        </w:rPr>
        <w:t xml:space="preserve"> </w:t>
      </w:r>
      <w:r w:rsidR="00A52AD9" w:rsidRPr="00167CB8">
        <w:rPr>
          <w:rFonts w:cs="Calibri"/>
        </w:rPr>
        <w:t xml:space="preserve">It </w:t>
      </w:r>
      <w:r w:rsidRPr="00167CB8">
        <w:rPr>
          <w:rFonts w:cs="Calibri"/>
        </w:rPr>
        <w:t>argue</w:t>
      </w:r>
      <w:r w:rsidR="00AC3FD8" w:rsidRPr="00167CB8">
        <w:rPr>
          <w:rFonts w:cs="Calibri"/>
        </w:rPr>
        <w:t>d</w:t>
      </w:r>
      <w:r w:rsidRPr="00167CB8">
        <w:rPr>
          <w:rFonts w:cs="Calibri"/>
        </w:rPr>
        <w:t xml:space="preserve"> that union approval ensures that employers properly inform employees and that </w:t>
      </w:r>
      <w:r w:rsidR="00AC3FD8" w:rsidRPr="00167CB8">
        <w:rPr>
          <w:rFonts w:cs="Calibri"/>
        </w:rPr>
        <w:t>‘</w:t>
      </w:r>
      <w:r w:rsidRPr="00167CB8">
        <w:rPr>
          <w:rFonts w:cs="Calibri"/>
        </w:rPr>
        <w:t xml:space="preserve">the unions that are </w:t>
      </w:r>
      <w:r w:rsidRPr="00167CB8">
        <w:rPr>
          <w:rFonts w:cs="Calibri"/>
        </w:rPr>
        <w:lastRenderedPageBreak/>
        <w:t>covered by the agreement would not provide the necessary consent if the employees were misled in this regard</w:t>
      </w:r>
      <w:r w:rsidR="00AC3FD8" w:rsidRPr="00167CB8">
        <w:rPr>
          <w:rFonts w:cs="Calibri"/>
        </w:rPr>
        <w:t>’</w:t>
      </w:r>
      <w:r w:rsidRPr="00167CB8">
        <w:rPr>
          <w:rFonts w:cs="Calibri"/>
        </w:rPr>
        <w:t>.</w:t>
      </w:r>
      <w:r w:rsidRPr="00167CB8">
        <w:rPr>
          <w:rStyle w:val="FootnoteReference"/>
          <w:rFonts w:cs="Calibri"/>
        </w:rPr>
        <w:footnoteReference w:id="713"/>
      </w:r>
    </w:p>
    <w:p w14:paraId="5B0568B7" w14:textId="0E58D27E" w:rsidR="00173F8E" w:rsidRPr="00167CB8" w:rsidRDefault="00A52AD9" w:rsidP="00173F8E">
      <w:pPr>
        <w:rPr>
          <w:rFonts w:cs="Calibri"/>
        </w:rPr>
      </w:pPr>
      <w:r w:rsidRPr="00167CB8">
        <w:rPr>
          <w:rFonts w:cs="Calibri"/>
        </w:rPr>
        <w:t>Master Builders Australia</w:t>
      </w:r>
      <w:r w:rsidR="00173F8E" w:rsidRPr="00167CB8">
        <w:rPr>
          <w:rFonts w:cs="Calibri"/>
        </w:rPr>
        <w:t xml:space="preserve"> </w:t>
      </w:r>
      <w:r w:rsidR="00AC3FD8" w:rsidRPr="00167CB8">
        <w:rPr>
          <w:rFonts w:cs="Calibri"/>
        </w:rPr>
        <w:t xml:space="preserve">did </w:t>
      </w:r>
      <w:r w:rsidR="00173F8E" w:rsidRPr="00167CB8">
        <w:rPr>
          <w:rFonts w:cs="Calibri"/>
        </w:rPr>
        <w:t>not provide any commentary on Part 22 of Schedule 1 to the Secure Jobs, Better Pay Act but, as noted in previous chapters, recommend</w:t>
      </w:r>
      <w:r w:rsidR="00AC3FD8" w:rsidRPr="00167CB8">
        <w:rPr>
          <w:rFonts w:cs="Calibri"/>
        </w:rPr>
        <w:t>ed</w:t>
      </w:r>
      <w:r w:rsidR="00173F8E" w:rsidRPr="00167CB8">
        <w:rPr>
          <w:rFonts w:cs="Calibri"/>
        </w:rPr>
        <w:t xml:space="preserve"> ‘that the amendments at Parts 12-23A [of the Secure Jobs, Better Pay Act]</w:t>
      </w:r>
      <w:r w:rsidR="00AC3FD8" w:rsidRPr="00167CB8">
        <w:rPr>
          <w:rFonts w:cs="Calibri"/>
        </w:rPr>
        <w:t xml:space="preserve"> </w:t>
      </w:r>
      <w:r w:rsidR="00173F8E" w:rsidRPr="00167CB8">
        <w:rPr>
          <w:rFonts w:cs="Calibri"/>
        </w:rPr>
        <w:t>…</w:t>
      </w:r>
      <w:r w:rsidR="00AC3FD8" w:rsidRPr="00167CB8">
        <w:rPr>
          <w:rFonts w:cs="Calibri"/>
        </w:rPr>
        <w:t xml:space="preserve"> </w:t>
      </w:r>
      <w:r w:rsidR="00173F8E" w:rsidRPr="00167CB8">
        <w:rPr>
          <w:rFonts w:cs="Calibri"/>
        </w:rPr>
        <w:t>[s]hould be repealed in their entirety</w:t>
      </w:r>
      <w:r w:rsidR="00AC3FD8" w:rsidRPr="00167CB8">
        <w:rPr>
          <w:rFonts w:cs="Calibri"/>
        </w:rPr>
        <w:t>’</w:t>
      </w:r>
      <w:r w:rsidR="00173F8E" w:rsidRPr="00167CB8">
        <w:rPr>
          <w:rFonts w:cs="Calibri"/>
        </w:rPr>
        <w:t>.</w:t>
      </w:r>
      <w:r w:rsidR="00173F8E" w:rsidRPr="00167CB8">
        <w:rPr>
          <w:rStyle w:val="FootnoteReference"/>
          <w:rFonts w:cs="Calibri"/>
        </w:rPr>
        <w:footnoteReference w:id="714"/>
      </w:r>
    </w:p>
    <w:p w14:paraId="798F191B" w14:textId="2AE766C0" w:rsidR="00173F8E" w:rsidRPr="00167CB8" w:rsidRDefault="005863BA" w:rsidP="00173F8E">
      <w:pPr>
        <w:pStyle w:val="Heading4"/>
        <w:rPr>
          <w:rFonts w:asciiTheme="minorHAnsi" w:hAnsiTheme="minorHAnsi"/>
        </w:rPr>
      </w:pPr>
      <w:bookmarkStart w:id="245" w:name="_Toc189260265"/>
      <w:bookmarkStart w:id="246" w:name="_Toc189393581"/>
      <w:r w:rsidRPr="00167CB8">
        <w:rPr>
          <w:rFonts w:asciiTheme="minorHAnsi" w:hAnsiTheme="minorHAnsi"/>
        </w:rPr>
        <w:t>19</w:t>
      </w:r>
      <w:r w:rsidR="00173F8E" w:rsidRPr="00167CB8">
        <w:rPr>
          <w:rFonts w:asciiTheme="minorHAnsi" w:hAnsiTheme="minorHAnsi"/>
        </w:rPr>
        <w:t xml:space="preserve">.3 Findings </w:t>
      </w:r>
      <w:r w:rsidR="00AC3FD8" w:rsidRPr="00167CB8">
        <w:rPr>
          <w:rFonts w:asciiTheme="minorHAnsi" w:hAnsiTheme="minorHAnsi"/>
        </w:rPr>
        <w:t>and r</w:t>
      </w:r>
      <w:r w:rsidR="00173F8E" w:rsidRPr="00167CB8">
        <w:rPr>
          <w:rFonts w:asciiTheme="minorHAnsi" w:hAnsiTheme="minorHAnsi"/>
        </w:rPr>
        <w:t>ecommendations</w:t>
      </w:r>
      <w:bookmarkEnd w:id="245"/>
      <w:bookmarkEnd w:id="246"/>
    </w:p>
    <w:p w14:paraId="01C31ED8" w14:textId="0A5DA1C1" w:rsidR="00173F8E" w:rsidRPr="00167CB8" w:rsidRDefault="00173F8E" w:rsidP="00173F8E">
      <w:pPr>
        <w:rPr>
          <w:rFonts w:cs="Calibri"/>
        </w:rPr>
      </w:pPr>
      <w:r w:rsidRPr="00167CB8">
        <w:rPr>
          <w:rFonts w:cs="Calibri"/>
        </w:rPr>
        <w:t xml:space="preserve">As these provisions </w:t>
      </w:r>
      <w:r w:rsidR="00AC3FD8" w:rsidRPr="00167CB8">
        <w:rPr>
          <w:rFonts w:cs="Calibri"/>
        </w:rPr>
        <w:t xml:space="preserve">are </w:t>
      </w:r>
      <w:r w:rsidRPr="00167CB8">
        <w:rPr>
          <w:rFonts w:cs="Calibri"/>
        </w:rPr>
        <w:t>yet to be used</w:t>
      </w:r>
      <w:r w:rsidR="00AC3FD8" w:rsidRPr="00167CB8">
        <w:rPr>
          <w:rFonts w:cs="Calibri"/>
        </w:rPr>
        <w:t>,</w:t>
      </w:r>
      <w:r w:rsidRPr="00167CB8">
        <w:rPr>
          <w:rFonts w:cs="Calibri"/>
        </w:rPr>
        <w:t xml:space="preserve"> the Review Panel cannot make any conclusions as to the use or effectiveness of these amendments.</w:t>
      </w:r>
    </w:p>
    <w:p w14:paraId="3582E5AA" w14:textId="3948DA23" w:rsidR="00173F8E" w:rsidRPr="00167CB8" w:rsidRDefault="00173F8E" w:rsidP="00173F8E">
      <w:pPr>
        <w:rPr>
          <w:rFonts w:cs="Calibri"/>
        </w:rPr>
      </w:pPr>
      <w:r w:rsidRPr="00167CB8">
        <w:rPr>
          <w:rFonts w:cs="Calibri"/>
        </w:rPr>
        <w:t>The Review Panel acknowledge</w:t>
      </w:r>
      <w:r w:rsidR="00AC3FD8" w:rsidRPr="00167CB8">
        <w:rPr>
          <w:rFonts w:cs="Calibri"/>
        </w:rPr>
        <w:t>s</w:t>
      </w:r>
      <w:r w:rsidRPr="00167CB8">
        <w:rPr>
          <w:rFonts w:cs="Calibri"/>
        </w:rPr>
        <w:t xml:space="preserve"> the concern about the requirement for unions covered by an agreement to support the variation and note</w:t>
      </w:r>
      <w:r w:rsidR="00AC3FD8" w:rsidRPr="00167CB8">
        <w:rPr>
          <w:rFonts w:cs="Calibri"/>
        </w:rPr>
        <w:t>s</w:t>
      </w:r>
      <w:r w:rsidRPr="00167CB8">
        <w:rPr>
          <w:rFonts w:cs="Calibri"/>
        </w:rPr>
        <w:t xml:space="preserve"> the ACTU’s view that this provides a safeguard against employees being misled. However, there is no evidence to indicate whether the concern has impacted on the ability to vary coverage of a multi-employer agreement under these provisions</w:t>
      </w:r>
      <w:r w:rsidR="00AC3FD8" w:rsidRPr="00167CB8">
        <w:rPr>
          <w:rFonts w:cs="Calibri"/>
        </w:rPr>
        <w:t>,</w:t>
      </w:r>
      <w:r w:rsidRPr="00167CB8">
        <w:rPr>
          <w:rFonts w:cs="Calibri"/>
        </w:rPr>
        <w:t xml:space="preserve"> as they have not yet been tested.</w:t>
      </w:r>
    </w:p>
    <w:p w14:paraId="7762C743" w14:textId="3EC1F054" w:rsidR="00C50DAC" w:rsidRPr="00167CB8" w:rsidRDefault="00C50DAC" w:rsidP="00173F8E">
      <w:pPr>
        <w:rPr>
          <w:rFonts w:cs="Calibri"/>
        </w:rPr>
      </w:pPr>
      <w:r w:rsidRPr="00167CB8">
        <w:rPr>
          <w:rFonts w:cs="Calibri"/>
        </w:rPr>
        <w:t>The Review Panel makes no recommendations at this time.</w:t>
      </w:r>
    </w:p>
    <w:p w14:paraId="79B17024" w14:textId="77777777" w:rsidR="00173F8E" w:rsidRPr="00167CB8" w:rsidRDefault="00173F8E" w:rsidP="00173F8E">
      <w:pPr>
        <w:spacing w:after="160"/>
        <w:rPr>
          <w:rFonts w:cs="Calibri"/>
        </w:rPr>
      </w:pPr>
      <w:r w:rsidRPr="00167CB8">
        <w:rPr>
          <w:rFonts w:cs="Calibri"/>
        </w:rPr>
        <w:br w:type="page"/>
      </w:r>
    </w:p>
    <w:p w14:paraId="27280D91" w14:textId="4D4A6C3D" w:rsidR="00173F8E" w:rsidRPr="00167CB8" w:rsidRDefault="00173F8E" w:rsidP="00173F8E">
      <w:pPr>
        <w:pStyle w:val="Heading3"/>
        <w:rPr>
          <w:rFonts w:asciiTheme="minorHAnsi" w:hAnsiTheme="minorHAnsi"/>
        </w:rPr>
      </w:pPr>
      <w:bookmarkStart w:id="247" w:name="_Toc189260266"/>
      <w:bookmarkStart w:id="248" w:name="_Toc189393582"/>
      <w:r w:rsidRPr="00167CB8">
        <w:rPr>
          <w:rFonts w:asciiTheme="minorHAnsi" w:hAnsiTheme="minorHAnsi"/>
        </w:rPr>
        <w:lastRenderedPageBreak/>
        <w:t xml:space="preserve">Chapter </w:t>
      </w:r>
      <w:r w:rsidR="003A22EE" w:rsidRPr="00167CB8">
        <w:rPr>
          <w:rFonts w:asciiTheme="minorHAnsi" w:hAnsiTheme="minorHAnsi"/>
        </w:rPr>
        <w:t>20</w:t>
      </w:r>
      <w:r w:rsidRPr="00167CB8">
        <w:rPr>
          <w:rFonts w:asciiTheme="minorHAnsi" w:hAnsiTheme="minorHAnsi"/>
        </w:rPr>
        <w:t>. Termination of agreements</w:t>
      </w:r>
      <w:bookmarkEnd w:id="247"/>
      <w:bookmarkEnd w:id="248"/>
    </w:p>
    <w:p w14:paraId="469D2A26" w14:textId="3AE539B2" w:rsidR="00173F8E" w:rsidRPr="00167CB8" w:rsidRDefault="00173F8E" w:rsidP="00173F8E">
      <w:r w:rsidRPr="00167CB8">
        <w:rPr>
          <w:rFonts w:cs="Calibri"/>
        </w:rPr>
        <w:t xml:space="preserve">Part 12 of Schedule 1 to the Secure Jobs, Better Pay Act amended the Fair Work Act to alter the circumstances </w:t>
      </w:r>
      <w:r w:rsidR="00AC3FD8" w:rsidRPr="00167CB8">
        <w:rPr>
          <w:rFonts w:cs="Calibri"/>
        </w:rPr>
        <w:t xml:space="preserve">in which </w:t>
      </w:r>
      <w:r w:rsidRPr="00167CB8">
        <w:rPr>
          <w:rFonts w:cs="Calibri"/>
        </w:rPr>
        <w:t xml:space="preserve">an enterprise agreement may be terminated. </w:t>
      </w:r>
      <w:r w:rsidRPr="00167CB8">
        <w:t>In the past, during the bargaining process, employers have sometimes threatened to unilaterally apply to terminate existing enterprise agreements. This tactic would return wages and conditions to those contained in awards</w:t>
      </w:r>
      <w:r w:rsidR="00C03D06" w:rsidRPr="00167CB8">
        <w:t>. It therefore threatened to</w:t>
      </w:r>
      <w:r w:rsidRPr="00167CB8">
        <w:t xml:space="preserve"> force workers to accept less favourable conditions in a new agreement rather than risk having no enterprise agreement in place.</w:t>
      </w:r>
    </w:p>
    <w:p w14:paraId="1666CFAB" w14:textId="77777777" w:rsidR="00173F8E" w:rsidRPr="00167CB8" w:rsidRDefault="00173F8E" w:rsidP="00173F8E">
      <w:r w:rsidRPr="00167CB8">
        <w:t xml:space="preserve">To address this, the </w:t>
      </w:r>
      <w:r w:rsidRPr="00167CB8">
        <w:rPr>
          <w:rFonts w:cs="Calibri"/>
        </w:rPr>
        <w:t xml:space="preserve">Secure Jobs, Better Pay </w:t>
      </w:r>
      <w:r w:rsidRPr="00167CB8">
        <w:t>Act amended the process for terminating an enterprise agreement after its nominal expiry date.</w:t>
      </w:r>
    </w:p>
    <w:p w14:paraId="0139A120" w14:textId="110562BD" w:rsidR="00173F8E" w:rsidRPr="00167CB8" w:rsidRDefault="005863BA" w:rsidP="00173F8E">
      <w:pPr>
        <w:pStyle w:val="Heading4"/>
        <w:rPr>
          <w:rFonts w:asciiTheme="minorHAnsi" w:hAnsiTheme="minorHAnsi"/>
        </w:rPr>
      </w:pPr>
      <w:bookmarkStart w:id="249" w:name="_Toc189260267"/>
      <w:bookmarkStart w:id="250" w:name="_Toc189393583"/>
      <w:r w:rsidRPr="00167CB8">
        <w:rPr>
          <w:rFonts w:asciiTheme="minorHAnsi" w:hAnsiTheme="minorHAnsi"/>
        </w:rPr>
        <w:t>20</w:t>
      </w:r>
      <w:r w:rsidR="00173F8E" w:rsidRPr="00167CB8">
        <w:rPr>
          <w:rFonts w:asciiTheme="minorHAnsi" w:hAnsiTheme="minorHAnsi"/>
        </w:rPr>
        <w:t xml:space="preserve">.1 Amendments </w:t>
      </w:r>
      <w:r w:rsidR="001E1A62" w:rsidRPr="00167CB8">
        <w:rPr>
          <w:rFonts w:asciiTheme="minorHAnsi" w:hAnsiTheme="minorHAnsi"/>
        </w:rPr>
        <w:t>and i</w:t>
      </w:r>
      <w:r w:rsidR="00173F8E" w:rsidRPr="00167CB8">
        <w:rPr>
          <w:rFonts w:asciiTheme="minorHAnsi" w:hAnsiTheme="minorHAnsi"/>
        </w:rPr>
        <w:t>ntent</w:t>
      </w:r>
      <w:bookmarkEnd w:id="249"/>
      <w:bookmarkEnd w:id="250"/>
      <w:r w:rsidR="00173F8E" w:rsidRPr="00167CB8">
        <w:rPr>
          <w:rFonts w:asciiTheme="minorHAnsi" w:hAnsiTheme="minorHAnsi"/>
        </w:rPr>
        <w:t xml:space="preserve"> </w:t>
      </w:r>
    </w:p>
    <w:p w14:paraId="1AE6FF7A" w14:textId="16A99ABE" w:rsidR="00173F8E" w:rsidRPr="00167CB8" w:rsidRDefault="00173F8E" w:rsidP="00173F8E">
      <w:pPr>
        <w:rPr>
          <w:rFonts w:eastAsia="Aptos" w:cs="Aptos"/>
        </w:rPr>
      </w:pPr>
      <w:r w:rsidRPr="00167CB8">
        <w:rPr>
          <w:rFonts w:eastAsia="Aptos" w:cs="Aptos"/>
        </w:rPr>
        <w:t xml:space="preserve">Prior to the </w:t>
      </w:r>
      <w:r w:rsidRPr="00167CB8">
        <w:rPr>
          <w:rFonts w:cs="Calibri"/>
        </w:rPr>
        <w:t>Secure Jobs, Better Pay</w:t>
      </w:r>
      <w:r w:rsidRPr="00167CB8">
        <w:rPr>
          <w:rFonts w:eastAsia="Aptos" w:cs="Aptos"/>
        </w:rPr>
        <w:t xml:space="preserve"> Act, if an enterprise agreement had passed its nominal expiry date</w:t>
      </w:r>
      <w:r w:rsidR="001E1A62" w:rsidRPr="00167CB8">
        <w:rPr>
          <w:rFonts w:eastAsia="Aptos" w:cs="Aptos"/>
        </w:rPr>
        <w:t>,</w:t>
      </w:r>
      <w:r w:rsidRPr="00167CB8">
        <w:rPr>
          <w:rFonts w:eastAsia="Aptos" w:cs="Aptos"/>
        </w:rPr>
        <w:t xml:space="preserve"> any party to an enterprise agreement could apply to the </w:t>
      </w:r>
      <w:r w:rsidR="001E1A62" w:rsidRPr="00167CB8">
        <w:rPr>
          <w:rFonts w:eastAsia="Aptos" w:cs="Aptos"/>
        </w:rPr>
        <w:t>Fair Work Commission (</w:t>
      </w:r>
      <w:r w:rsidRPr="00167CB8">
        <w:rPr>
          <w:rFonts w:eastAsia="Aptos" w:cs="Aptos"/>
        </w:rPr>
        <w:t>FWC</w:t>
      </w:r>
      <w:r w:rsidR="001E1A62" w:rsidRPr="00167CB8">
        <w:rPr>
          <w:rFonts w:eastAsia="Aptos" w:cs="Aptos"/>
        </w:rPr>
        <w:t>)</w:t>
      </w:r>
      <w:r w:rsidRPr="00167CB8">
        <w:rPr>
          <w:rFonts w:eastAsia="Aptos" w:cs="Aptos"/>
        </w:rPr>
        <w:t xml:space="preserve"> to have it terminated.</w:t>
      </w:r>
      <w:r w:rsidRPr="00167CB8">
        <w:rPr>
          <w:rStyle w:val="FootnoteReference"/>
          <w:rFonts w:eastAsia="Aptos" w:cs="Aptos"/>
        </w:rPr>
        <w:footnoteReference w:id="715"/>
      </w:r>
      <w:r w:rsidRPr="00167CB8">
        <w:rPr>
          <w:rFonts w:eastAsia="Aptos" w:cs="Aptos"/>
        </w:rPr>
        <w:t xml:space="preserve"> Under the former s</w:t>
      </w:r>
      <w:r w:rsidR="001E1A62" w:rsidRPr="00167CB8">
        <w:rPr>
          <w:rFonts w:eastAsia="Aptos" w:cs="Aptos"/>
        </w:rPr>
        <w:t> </w:t>
      </w:r>
      <w:r w:rsidRPr="00167CB8">
        <w:rPr>
          <w:rFonts w:eastAsia="Aptos" w:cs="Aptos"/>
        </w:rPr>
        <w:t>226 of the Fair Work Act, the FWC was required to consider:</w:t>
      </w:r>
    </w:p>
    <w:p w14:paraId="2AE39D4D" w14:textId="77777777" w:rsidR="00173F8E" w:rsidRPr="00167CB8" w:rsidRDefault="00173F8E" w:rsidP="00EA3E2F">
      <w:pPr>
        <w:pStyle w:val="ListBullet"/>
      </w:pPr>
      <w:r w:rsidRPr="00167CB8">
        <w:t>whether terminating the agreement would be ‘contrary to the public interest’</w:t>
      </w:r>
      <w:r w:rsidRPr="00167CB8">
        <w:rPr>
          <w:rStyle w:val="FootnoteReference"/>
          <w:rFonts w:eastAsia="Aptos" w:cs="Aptos"/>
        </w:rPr>
        <w:footnoteReference w:id="716"/>
      </w:r>
    </w:p>
    <w:p w14:paraId="791657DE" w14:textId="03A239B4" w:rsidR="00173F8E" w:rsidRPr="00167CB8" w:rsidRDefault="00173F8E" w:rsidP="00EA3E2F">
      <w:pPr>
        <w:pStyle w:val="ListBullet"/>
      </w:pPr>
      <w:r w:rsidRPr="00167CB8">
        <w:t>‘the views of the employees, each employer, and each employee organisation (if any) covered by the agreement’</w:t>
      </w:r>
    </w:p>
    <w:p w14:paraId="6935CD61" w14:textId="77777777" w:rsidR="00173F8E" w:rsidRPr="00167CB8" w:rsidRDefault="00173F8E" w:rsidP="00EA3E2F">
      <w:pPr>
        <w:pStyle w:val="ListBullet"/>
      </w:pPr>
      <w:r w:rsidRPr="00167CB8">
        <w:rPr>
          <w:lang w:val="en-US"/>
        </w:rPr>
        <w:t>‘the circumstances of those employees, employers and organisations including the likely effect that the termination will have on each of them’</w:t>
      </w:r>
      <w:r w:rsidRPr="00167CB8">
        <w:t>.</w:t>
      </w:r>
      <w:r w:rsidRPr="00167CB8">
        <w:rPr>
          <w:rStyle w:val="FootnoteReference"/>
          <w:rFonts w:eastAsia="Aptos" w:cs="Aptos"/>
        </w:rPr>
        <w:footnoteReference w:id="717"/>
      </w:r>
    </w:p>
    <w:p w14:paraId="5014EFDC" w14:textId="77777777" w:rsidR="00173F8E" w:rsidRPr="00167CB8" w:rsidRDefault="00173F8E" w:rsidP="00173F8E">
      <w:pPr>
        <w:rPr>
          <w:rFonts w:eastAsia="Aptos" w:cs="Aptos"/>
        </w:rPr>
      </w:pPr>
      <w:r w:rsidRPr="00167CB8">
        <w:rPr>
          <w:rFonts w:eastAsia="Aptos" w:cs="Aptos"/>
        </w:rPr>
        <w:t>Upon these conditions being met, the FWC was required to terminate the agreement.</w:t>
      </w:r>
    </w:p>
    <w:p w14:paraId="4E429ACB" w14:textId="54903680" w:rsidR="00173F8E" w:rsidRPr="00167CB8" w:rsidRDefault="00173F8E" w:rsidP="00173F8E">
      <w:pPr>
        <w:rPr>
          <w:rFonts w:eastAsia="Aptos" w:cs="Aptos"/>
        </w:rPr>
      </w:pPr>
      <w:r w:rsidRPr="00167CB8">
        <w:rPr>
          <w:rFonts w:eastAsia="Aptos" w:cs="Aptos"/>
        </w:rPr>
        <w:t>The Full Bench of the FWC in</w:t>
      </w:r>
      <w:r w:rsidRPr="00167CB8">
        <w:rPr>
          <w:rFonts w:eastAsia="Aptos" w:cs="Aptos"/>
          <w:i/>
        </w:rPr>
        <w:t xml:space="preserve"> Construction, Forestry, Mining and Energy Union v AGL Loy Yang Pty Ltd t/a AGL Loy Yang</w:t>
      </w:r>
      <w:r w:rsidRPr="00167CB8" w:rsidDel="00A52AD9">
        <w:rPr>
          <w:rFonts w:eastAsia="Aptos" w:cs="Aptos"/>
          <w:i/>
        </w:rPr>
        <w:t xml:space="preserve"> </w:t>
      </w:r>
      <w:r w:rsidRPr="00167CB8" w:rsidDel="00A52AD9">
        <w:rPr>
          <w:rFonts w:eastAsia="Aptos" w:cs="Aptos"/>
        </w:rPr>
        <w:t>(2 March 2017)</w:t>
      </w:r>
      <w:r w:rsidRPr="00167CB8">
        <w:rPr>
          <w:rStyle w:val="FootnoteReference"/>
          <w:rFonts w:eastAsia="Aptos" w:cs="Aptos"/>
        </w:rPr>
        <w:footnoteReference w:id="718"/>
      </w:r>
      <w:r w:rsidRPr="00167CB8">
        <w:rPr>
          <w:rFonts w:eastAsia="Aptos" w:cs="Aptos"/>
        </w:rPr>
        <w:t xml:space="preserve"> (Appeal Decision) considered an appeal against an earlier decision of the FWC in </w:t>
      </w:r>
      <w:r w:rsidRPr="00167CB8">
        <w:rPr>
          <w:rFonts w:eastAsia="Aptos" w:cs="Aptos"/>
          <w:i/>
        </w:rPr>
        <w:t>AGL Loy Yang Pty Ltd T/A AGL Loy Yang</w:t>
      </w:r>
      <w:r w:rsidRPr="00167CB8" w:rsidDel="00A52AD9">
        <w:rPr>
          <w:rFonts w:eastAsia="Aptos" w:cs="Aptos"/>
          <w:i/>
        </w:rPr>
        <w:t xml:space="preserve"> </w:t>
      </w:r>
      <w:r w:rsidRPr="00167CB8" w:rsidDel="00A52AD9">
        <w:rPr>
          <w:rFonts w:eastAsia="Aptos" w:cs="Aptos"/>
        </w:rPr>
        <w:t>(12 January 2017)</w:t>
      </w:r>
      <w:r w:rsidRPr="00167CB8">
        <w:rPr>
          <w:rStyle w:val="FootnoteReference"/>
          <w:rFonts w:eastAsia="Aptos" w:cs="Aptos"/>
        </w:rPr>
        <w:footnoteReference w:id="719"/>
      </w:r>
      <w:r w:rsidRPr="00167CB8">
        <w:rPr>
          <w:rFonts w:eastAsia="Aptos" w:cs="Aptos"/>
        </w:rPr>
        <w:t xml:space="preserve"> (Originating Decision) to terminate the relevant enterprise agreement.</w:t>
      </w:r>
    </w:p>
    <w:p w14:paraId="6C394FB6" w14:textId="018C573B" w:rsidR="00173F8E" w:rsidRPr="00167CB8" w:rsidRDefault="00173F8E" w:rsidP="00173F8E">
      <w:pPr>
        <w:rPr>
          <w:rFonts w:eastAsia="Aptos" w:cs="Aptos"/>
        </w:rPr>
      </w:pPr>
      <w:r w:rsidRPr="00167CB8">
        <w:rPr>
          <w:rFonts w:eastAsia="Aptos" w:cs="Aptos"/>
        </w:rPr>
        <w:t>Deputy President Clancy</w:t>
      </w:r>
      <w:r w:rsidR="001E1A62" w:rsidRPr="00167CB8">
        <w:rPr>
          <w:rFonts w:eastAsia="Aptos" w:cs="Aptos"/>
        </w:rPr>
        <w:t>,</w:t>
      </w:r>
      <w:r w:rsidRPr="00167CB8">
        <w:rPr>
          <w:rFonts w:eastAsia="Aptos" w:cs="Aptos"/>
        </w:rPr>
        <w:t xml:space="preserve"> in the Originating Decision</w:t>
      </w:r>
      <w:r w:rsidR="001E1A62" w:rsidRPr="00167CB8">
        <w:rPr>
          <w:rFonts w:eastAsia="Aptos" w:cs="Aptos"/>
        </w:rPr>
        <w:t>,</w:t>
      </w:r>
      <w:r w:rsidRPr="00167CB8">
        <w:rPr>
          <w:rFonts w:eastAsia="Aptos" w:cs="Aptos"/>
        </w:rPr>
        <w:t xml:space="preserve"> interpreted the requirements under the previous iteration of s</w:t>
      </w:r>
      <w:r w:rsidR="001E1A62" w:rsidRPr="00167CB8">
        <w:rPr>
          <w:rFonts w:eastAsia="Aptos" w:cs="Aptos"/>
        </w:rPr>
        <w:t> </w:t>
      </w:r>
      <w:r w:rsidRPr="00167CB8">
        <w:rPr>
          <w:rFonts w:eastAsia="Aptos" w:cs="Aptos"/>
        </w:rPr>
        <w:t>226 of the Fair Work Act in the following way:</w:t>
      </w:r>
      <w:r w:rsidR="001E1A62" w:rsidRPr="00167CB8">
        <w:rPr>
          <w:rStyle w:val="FootnoteReference"/>
        </w:rPr>
        <w:footnoteReference w:id="720"/>
      </w:r>
    </w:p>
    <w:p w14:paraId="6DB3DD85" w14:textId="62FE97DD" w:rsidR="00173F8E" w:rsidRPr="00167CB8" w:rsidRDefault="00173F8E" w:rsidP="00C83147">
      <w:pPr>
        <w:pStyle w:val="Quote"/>
      </w:pPr>
      <w:r w:rsidRPr="00167CB8">
        <w:t>the Act does not contemplate agreements operating in perpetuity</w:t>
      </w:r>
      <w:r w:rsidR="001E1A62" w:rsidRPr="00167CB8">
        <w:t xml:space="preserve"> </w:t>
      </w:r>
      <w:r w:rsidRPr="00167CB8">
        <w:t>…</w:t>
      </w:r>
      <w:r w:rsidR="001E1A62" w:rsidRPr="00167CB8">
        <w:t xml:space="preserve"> </w:t>
      </w:r>
      <w:r w:rsidRPr="00167CB8">
        <w:t>having regard to s.226 of the Act, I must terminate the Agreement if I am satisfied that it is not contrary to the public interest to do so and consider it appropriate to do taking into account all the circumstances, including the views of the employees, AGL Loy Yang, the CFMEU and the other Unions and their circumstances, including the likely effect the termination will have on each of them.</w:t>
      </w:r>
    </w:p>
    <w:p w14:paraId="28462071" w14:textId="5C14F06B" w:rsidR="00173F8E" w:rsidRPr="00167CB8" w:rsidRDefault="00173F8E" w:rsidP="00173F8E">
      <w:pPr>
        <w:rPr>
          <w:rFonts w:eastAsia="Aptos" w:cs="Aptos"/>
        </w:rPr>
      </w:pPr>
      <w:r w:rsidRPr="00167CB8">
        <w:rPr>
          <w:rFonts w:eastAsia="Aptos" w:cs="Aptos"/>
        </w:rPr>
        <w:lastRenderedPageBreak/>
        <w:t>The FWC</w:t>
      </w:r>
      <w:r w:rsidR="001E1A62" w:rsidRPr="00167CB8">
        <w:rPr>
          <w:rFonts w:eastAsia="Aptos" w:cs="Aptos"/>
        </w:rPr>
        <w:t>,</w:t>
      </w:r>
      <w:r w:rsidRPr="00167CB8">
        <w:rPr>
          <w:rFonts w:eastAsia="Aptos" w:cs="Aptos"/>
        </w:rPr>
        <w:t xml:space="preserve"> in the Originating Decision</w:t>
      </w:r>
      <w:r w:rsidR="001E1A62" w:rsidRPr="00167CB8">
        <w:rPr>
          <w:rFonts w:eastAsia="Aptos" w:cs="Aptos"/>
        </w:rPr>
        <w:t>,</w:t>
      </w:r>
      <w:r w:rsidRPr="00167CB8">
        <w:rPr>
          <w:rFonts w:eastAsia="Aptos" w:cs="Aptos"/>
        </w:rPr>
        <w:t xml:space="preserve"> found it was not against the public interest to terminate the enterprise agreement </w:t>
      </w:r>
      <w:r w:rsidR="001E1A62" w:rsidRPr="00167CB8">
        <w:rPr>
          <w:rFonts w:eastAsia="Aptos" w:cs="Aptos"/>
        </w:rPr>
        <w:t xml:space="preserve">for </w:t>
      </w:r>
      <w:r w:rsidRPr="00167CB8">
        <w:rPr>
          <w:rFonts w:eastAsia="Aptos" w:cs="Aptos"/>
        </w:rPr>
        <w:t>the following reasons:</w:t>
      </w:r>
      <w:r w:rsidRPr="00167CB8">
        <w:rPr>
          <w:rStyle w:val="FootnoteReference"/>
          <w:rFonts w:eastAsia="Aptos" w:cs="Aptos"/>
        </w:rPr>
        <w:footnoteReference w:id="721"/>
      </w:r>
    </w:p>
    <w:p w14:paraId="255762E6" w14:textId="1478AC40" w:rsidR="00173F8E" w:rsidRPr="00167CB8" w:rsidRDefault="001E1A62" w:rsidP="00567FCA">
      <w:pPr>
        <w:pStyle w:val="ListNumber"/>
        <w:numPr>
          <w:ilvl w:val="0"/>
          <w:numId w:val="25"/>
        </w:numPr>
      </w:pPr>
      <w:r w:rsidRPr="00167CB8">
        <w:t>W</w:t>
      </w:r>
      <w:r w:rsidR="00173F8E" w:rsidRPr="00167CB8">
        <w:t>hile acknowledging that bargaining positions would be altered by the termination of the agreement, bargaining would still be available to the parties and the ability to take protected industrial action</w:t>
      </w:r>
      <w:r w:rsidRPr="00167CB8">
        <w:t>.</w:t>
      </w:r>
    </w:p>
    <w:p w14:paraId="2479CED9" w14:textId="1B9F1A33" w:rsidR="00173F8E" w:rsidRPr="00167CB8" w:rsidRDefault="001E1A62" w:rsidP="001E1A62">
      <w:pPr>
        <w:pStyle w:val="ListNumber"/>
      </w:pPr>
      <w:r w:rsidRPr="00167CB8">
        <w:t>T</w:t>
      </w:r>
      <w:r w:rsidR="00173F8E" w:rsidRPr="00167CB8">
        <w:t xml:space="preserve">he termination would not negatively </w:t>
      </w:r>
      <w:r w:rsidRPr="00167CB8">
        <w:t>a</w:t>
      </w:r>
      <w:r w:rsidR="00173F8E" w:rsidRPr="00167CB8">
        <w:t>ffect the location</w:t>
      </w:r>
      <w:r w:rsidRPr="00167CB8">
        <w:t>.</w:t>
      </w:r>
    </w:p>
    <w:p w14:paraId="700124A2" w14:textId="064A4FC0" w:rsidR="00173F8E" w:rsidRPr="00167CB8" w:rsidRDefault="001E1A62" w:rsidP="001E1A62">
      <w:pPr>
        <w:pStyle w:val="ListNumber"/>
      </w:pPr>
      <w:r w:rsidRPr="00167CB8">
        <w:t>T</w:t>
      </w:r>
      <w:r w:rsidR="00173F8E" w:rsidRPr="00167CB8">
        <w:t>he loss of various industrial standards in the location did not ‘make termination contrary to the public interest’</w:t>
      </w:r>
      <w:r w:rsidRPr="00167CB8">
        <w:t>.</w:t>
      </w:r>
    </w:p>
    <w:p w14:paraId="76E757D4" w14:textId="6BE226E7" w:rsidR="00173F8E" w:rsidRPr="00167CB8" w:rsidRDefault="001E1A62" w:rsidP="001E1A62">
      <w:pPr>
        <w:pStyle w:val="ListNumber"/>
      </w:pPr>
      <w:r w:rsidRPr="00167CB8">
        <w:t>T</w:t>
      </w:r>
      <w:r w:rsidR="00173F8E" w:rsidRPr="00167CB8">
        <w:t xml:space="preserve">here was not enough evidence that safety standards would be reduced by the termination. </w:t>
      </w:r>
    </w:p>
    <w:p w14:paraId="24215F52" w14:textId="0075E3F4" w:rsidR="00173F8E" w:rsidRPr="00167CB8" w:rsidRDefault="00173F8E" w:rsidP="00173F8E">
      <w:pPr>
        <w:rPr>
          <w:rFonts w:eastAsia="Aptos" w:cs="Aptos"/>
        </w:rPr>
      </w:pPr>
      <w:r w:rsidRPr="00167CB8">
        <w:rPr>
          <w:rFonts w:eastAsia="Aptos" w:cs="Aptos"/>
        </w:rPr>
        <w:t>The Full Bench of the FWC</w:t>
      </w:r>
      <w:r w:rsidR="001E1A62" w:rsidRPr="00167CB8">
        <w:rPr>
          <w:rFonts w:eastAsia="Aptos" w:cs="Aptos"/>
        </w:rPr>
        <w:t>,</w:t>
      </w:r>
      <w:r w:rsidRPr="00167CB8">
        <w:rPr>
          <w:rFonts w:eastAsia="Aptos" w:cs="Aptos"/>
        </w:rPr>
        <w:t xml:space="preserve"> in the Appeal Decision</w:t>
      </w:r>
      <w:r w:rsidR="001E1A62" w:rsidRPr="00167CB8">
        <w:rPr>
          <w:rFonts w:eastAsia="Aptos" w:cs="Aptos"/>
        </w:rPr>
        <w:t>,</w:t>
      </w:r>
      <w:r w:rsidRPr="00167CB8">
        <w:rPr>
          <w:rFonts w:eastAsia="Aptos" w:cs="Aptos"/>
        </w:rPr>
        <w:t xml:space="preserve"> rejected 7 of the 9 grounds of appeal by the CFMEU, ultimately holding that</w:t>
      </w:r>
      <w:r w:rsidR="001E1A62" w:rsidRPr="00167CB8">
        <w:rPr>
          <w:rFonts w:eastAsia="Aptos" w:cs="Aptos"/>
        </w:rPr>
        <w:t>,</w:t>
      </w:r>
      <w:r w:rsidRPr="00167CB8">
        <w:rPr>
          <w:rFonts w:eastAsia="Aptos" w:cs="Aptos"/>
        </w:rPr>
        <w:t xml:space="preserve"> while the appeal was upheld on 2 grounds, the termination of the agreement by AGL Loy Yang was valid.</w:t>
      </w:r>
      <w:r w:rsidRPr="00167CB8">
        <w:rPr>
          <w:rStyle w:val="FootnoteReference"/>
          <w:rFonts w:eastAsia="Aptos" w:cs="Aptos"/>
        </w:rPr>
        <w:footnoteReference w:id="722"/>
      </w:r>
      <w:r w:rsidRPr="00167CB8">
        <w:rPr>
          <w:rFonts w:eastAsia="Aptos" w:cs="Aptos"/>
        </w:rPr>
        <w:t xml:space="preserve">   </w:t>
      </w:r>
    </w:p>
    <w:p w14:paraId="2F5297A5" w14:textId="5DFB67EC" w:rsidR="00173F8E" w:rsidRPr="00167CB8" w:rsidRDefault="005863BA" w:rsidP="00173F8E">
      <w:pPr>
        <w:pStyle w:val="Heading5"/>
        <w:rPr>
          <w:rFonts w:asciiTheme="minorHAnsi" w:hAnsiTheme="minorHAnsi"/>
        </w:rPr>
      </w:pPr>
      <w:r w:rsidRPr="00167CB8">
        <w:rPr>
          <w:rFonts w:asciiTheme="minorHAnsi" w:hAnsiTheme="minorHAnsi"/>
        </w:rPr>
        <w:t>20</w:t>
      </w:r>
      <w:r w:rsidR="00173F8E" w:rsidRPr="00167CB8">
        <w:rPr>
          <w:rFonts w:asciiTheme="minorHAnsi" w:hAnsiTheme="minorHAnsi"/>
        </w:rPr>
        <w:t xml:space="preserve">.1.1 </w:t>
      </w:r>
      <w:r w:rsidR="00173F8E" w:rsidRPr="00167CB8">
        <w:t xml:space="preserve">Secure Jobs, Better Pay </w:t>
      </w:r>
      <w:r w:rsidR="001E1A62" w:rsidRPr="00167CB8">
        <w:rPr>
          <w:rFonts w:asciiTheme="minorHAnsi" w:hAnsiTheme="minorHAnsi"/>
        </w:rPr>
        <w:t>a</w:t>
      </w:r>
      <w:r w:rsidR="00173F8E" w:rsidRPr="00167CB8">
        <w:rPr>
          <w:rFonts w:asciiTheme="minorHAnsi" w:hAnsiTheme="minorHAnsi"/>
        </w:rPr>
        <w:t>mendments</w:t>
      </w:r>
    </w:p>
    <w:p w14:paraId="0E905A07" w14:textId="10CEBA41" w:rsidR="00173F8E" w:rsidRPr="00167CB8" w:rsidRDefault="00173F8E" w:rsidP="00173F8E">
      <w:r w:rsidRPr="00167CB8">
        <w:t>The Secure Jobs, Better Pay Act amended s</w:t>
      </w:r>
      <w:r w:rsidR="001E1A62" w:rsidRPr="00167CB8">
        <w:t> </w:t>
      </w:r>
      <w:r w:rsidRPr="00167CB8">
        <w:t xml:space="preserve">226 of the Fair Work Act to change the circumstances in which a single party could seek to terminate an agreement after it has passed its nominal expiry date and provided safeguards to preserve employee conditions. </w:t>
      </w:r>
    </w:p>
    <w:p w14:paraId="52DA8427" w14:textId="46ABFA92" w:rsidR="00173F8E" w:rsidRPr="00167CB8" w:rsidRDefault="00173F8E" w:rsidP="00173F8E">
      <w:r w:rsidRPr="00167CB8">
        <w:t xml:space="preserve">The amendments changed the test from a focus on consideration of the </w:t>
      </w:r>
      <w:r w:rsidR="002B3AC9" w:rsidRPr="00167CB8">
        <w:t>‘</w:t>
      </w:r>
      <w:r w:rsidRPr="00167CB8">
        <w:t>public interest</w:t>
      </w:r>
      <w:r w:rsidR="002B3AC9" w:rsidRPr="00167CB8">
        <w:t>’</w:t>
      </w:r>
      <w:r w:rsidRPr="00167CB8">
        <w:t xml:space="preserve"> to consideration of </w:t>
      </w:r>
      <w:r w:rsidR="00862C86" w:rsidRPr="00167CB8">
        <w:t>‘</w:t>
      </w:r>
      <w:r w:rsidRPr="00167CB8">
        <w:t>fairness</w:t>
      </w:r>
      <w:r w:rsidR="00862C86" w:rsidRPr="00167CB8">
        <w:t>’</w:t>
      </w:r>
      <w:r w:rsidRPr="00167CB8">
        <w:t xml:space="preserve"> towards the employees covered by the agreement. </w:t>
      </w:r>
      <w:r w:rsidR="00A52AD9" w:rsidRPr="00167CB8">
        <w:t>Section </w:t>
      </w:r>
      <w:r w:rsidRPr="00167CB8">
        <w:t>226(1)</w:t>
      </w:r>
      <w:r w:rsidR="001E1A62" w:rsidRPr="00167CB8">
        <w:rPr>
          <w:rFonts w:ascii="Symbol" w:eastAsia="Symbol" w:hAnsi="Symbol" w:cs="Symbol"/>
        </w:rPr>
        <w:sym w:font="Symbol" w:char="F02D"/>
      </w:r>
      <w:r w:rsidR="001E1A62" w:rsidRPr="00167CB8">
        <w:t>(</w:t>
      </w:r>
      <w:r w:rsidRPr="00167CB8">
        <w:t>1A) of the Fair Work Act provides:</w:t>
      </w:r>
    </w:p>
    <w:p w14:paraId="240C9C32" w14:textId="77777777" w:rsidR="00173F8E" w:rsidRPr="00167CB8" w:rsidRDefault="00173F8E" w:rsidP="00C83147">
      <w:pPr>
        <w:pStyle w:val="Quote"/>
      </w:pPr>
      <w:r w:rsidRPr="00167CB8">
        <w:t>(1) </w:t>
      </w:r>
      <w:r w:rsidRPr="00167CB8">
        <w:tab/>
        <w:t>If an application for the termination of an enterprise agreement is made under section 225, the FWC must terminate the agreement if:</w:t>
      </w:r>
    </w:p>
    <w:p w14:paraId="12D0DD58" w14:textId="77777777" w:rsidR="00173F8E" w:rsidRPr="00167CB8" w:rsidRDefault="00173F8E" w:rsidP="00374BCD">
      <w:pPr>
        <w:pStyle w:val="Quote"/>
        <w:ind w:left="2880" w:hanging="720"/>
      </w:pPr>
      <w:r w:rsidRPr="00167CB8">
        <w:t>(a) </w:t>
      </w:r>
      <w:r w:rsidRPr="00167CB8">
        <w:tab/>
        <w:t>the FWC is satisfied that the continued operation of the agreement would be unfair for the employees covered by the agreement; or</w:t>
      </w:r>
    </w:p>
    <w:p w14:paraId="71C82EC4" w14:textId="77777777" w:rsidR="00173F8E" w:rsidRPr="00167CB8" w:rsidRDefault="00173F8E" w:rsidP="00374BCD">
      <w:pPr>
        <w:pStyle w:val="Quote"/>
        <w:ind w:left="2880" w:hanging="720"/>
      </w:pPr>
      <w:r w:rsidRPr="00167CB8">
        <w:t>(b) </w:t>
      </w:r>
      <w:r w:rsidRPr="00167CB8">
        <w:tab/>
        <w:t>the FWC is satisfied that the agreement does not, and is not likely to, cover any employees; or</w:t>
      </w:r>
    </w:p>
    <w:p w14:paraId="27B6FF14" w14:textId="6760DD55" w:rsidR="00173F8E" w:rsidRPr="00167CB8" w:rsidRDefault="00173F8E" w:rsidP="00374BCD">
      <w:pPr>
        <w:pStyle w:val="Quote"/>
        <w:ind w:firstLine="720"/>
      </w:pPr>
      <w:r w:rsidRPr="00167CB8">
        <w:t> (c) </w:t>
      </w:r>
      <w:r w:rsidRPr="00167CB8">
        <w:tab/>
        <w:t>all of the following apply:</w:t>
      </w:r>
    </w:p>
    <w:p w14:paraId="32646F11" w14:textId="77777777" w:rsidR="00173F8E" w:rsidRPr="00167CB8" w:rsidRDefault="00173F8E" w:rsidP="00374BCD">
      <w:pPr>
        <w:pStyle w:val="Quote"/>
        <w:ind w:left="3600" w:hanging="720"/>
      </w:pPr>
      <w:r w:rsidRPr="00167CB8">
        <w:t>(i) </w:t>
      </w:r>
      <w:r w:rsidRPr="00167CB8">
        <w:tab/>
        <w:t>the FWC is satisfied that the continued operation of the enterprise agreement would pose a significant threat to the viability of a business carried on by the employer, or employers, covered by the agreement;</w:t>
      </w:r>
    </w:p>
    <w:p w14:paraId="5205BFFB" w14:textId="77777777" w:rsidR="00173F8E" w:rsidRPr="00167CB8" w:rsidRDefault="00173F8E" w:rsidP="00374BCD">
      <w:pPr>
        <w:pStyle w:val="Quote"/>
        <w:ind w:left="3600" w:hanging="720"/>
      </w:pPr>
      <w:r w:rsidRPr="00167CB8">
        <w:t>(ii) </w:t>
      </w:r>
      <w:r w:rsidRPr="00167CB8">
        <w:tab/>
        <w:t>the FWC is satisfied that the termination of the enterprise agreement would be likely to reduce the potential of terminations of employment covered by subsection (2) for the employees covered by the agreement;</w:t>
      </w:r>
    </w:p>
    <w:p w14:paraId="41A2F419" w14:textId="77777777" w:rsidR="00173F8E" w:rsidRPr="00167CB8" w:rsidRDefault="00173F8E" w:rsidP="00374BCD">
      <w:pPr>
        <w:pStyle w:val="Quote"/>
        <w:ind w:left="3600" w:hanging="720"/>
      </w:pPr>
      <w:r w:rsidRPr="00167CB8">
        <w:lastRenderedPageBreak/>
        <w:t>(iii) </w:t>
      </w:r>
      <w:r w:rsidRPr="00167CB8">
        <w:tab/>
        <w:t>if the agreement contains terms providing entitlements relating to the termination of employees’ employment—each employer covered by the agreement has given the FWC a guarantee of termination entitlements in relation to the termination of the agreement.</w:t>
      </w:r>
    </w:p>
    <w:p w14:paraId="237B3CD9" w14:textId="77777777" w:rsidR="00173F8E" w:rsidRPr="00167CB8" w:rsidRDefault="00173F8E" w:rsidP="00C83147">
      <w:pPr>
        <w:pStyle w:val="Quote"/>
      </w:pPr>
      <w:r w:rsidRPr="00167CB8">
        <w:t>(1A) </w:t>
      </w:r>
      <w:r w:rsidRPr="00167CB8">
        <w:tab/>
        <w:t>However, the FWC must terminate the enterprise agreement under subsection (1) only if the FWC is satisfied that it is appropriate in all the circumstances to do so.</w:t>
      </w:r>
    </w:p>
    <w:p w14:paraId="49DA1B89" w14:textId="0E95408C" w:rsidR="00173F8E" w:rsidRPr="00167CB8" w:rsidRDefault="00173F8E" w:rsidP="00173F8E">
      <w:r w:rsidRPr="00167CB8">
        <w:t>Section 226 of the Fair Work Act retains the requirement for FWC to consider the views of all parties to the agreement.</w:t>
      </w:r>
      <w:r w:rsidRPr="00167CB8">
        <w:rPr>
          <w:rStyle w:val="FootnoteReference"/>
        </w:rPr>
        <w:footnoteReference w:id="723"/>
      </w:r>
      <w:r w:rsidRPr="00167CB8">
        <w:t xml:space="preserve"> However, the Secure Jobs, Better Pay Act added a requirement in s</w:t>
      </w:r>
      <w:r w:rsidR="001E1A62" w:rsidRPr="00167CB8">
        <w:t> </w:t>
      </w:r>
      <w:r w:rsidRPr="00167CB8">
        <w:t>226(4) of the Fair Work Act for the FWC to consider the impact that terminating an agreement would have on bargaining as follows:</w:t>
      </w:r>
      <w:r w:rsidR="001E1A62" w:rsidRPr="00167CB8">
        <w:rPr>
          <w:rStyle w:val="FootnoteReference"/>
        </w:rPr>
        <w:footnoteReference w:id="724"/>
      </w:r>
    </w:p>
    <w:p w14:paraId="4F5F3448" w14:textId="77777777" w:rsidR="00173F8E" w:rsidRPr="00167CB8" w:rsidRDefault="00173F8E" w:rsidP="00374BCD">
      <w:pPr>
        <w:pStyle w:val="Quote"/>
        <w:ind w:left="2160" w:hanging="720"/>
      </w:pPr>
      <w:r w:rsidRPr="00167CB8">
        <w:t>(4) </w:t>
      </w:r>
      <w:r w:rsidRPr="00167CB8">
        <w:tab/>
        <w:t>In deciding whether to terminate the agreement (the existing agreement), the FWC must have regard to:</w:t>
      </w:r>
    </w:p>
    <w:p w14:paraId="12657C03" w14:textId="77777777" w:rsidR="00173F8E" w:rsidRPr="00167CB8" w:rsidRDefault="00173F8E" w:rsidP="00374BCD">
      <w:pPr>
        <w:pStyle w:val="Quote"/>
        <w:ind w:left="2880" w:hanging="720"/>
      </w:pPr>
      <w:r w:rsidRPr="00167CB8">
        <w:t>(a) </w:t>
      </w:r>
      <w:r w:rsidRPr="00167CB8">
        <w:tab/>
        <w:t>whether the application was made at or after the notification time for a proposed enterprise agreement that will cover the same, or substantially the same, group of employees as the existing agreement; and</w:t>
      </w:r>
    </w:p>
    <w:p w14:paraId="5A532800" w14:textId="7E9A7F08" w:rsidR="00173F8E" w:rsidRPr="00167CB8" w:rsidRDefault="00173F8E" w:rsidP="00374BCD">
      <w:pPr>
        <w:pStyle w:val="Quote"/>
        <w:ind w:left="2880" w:hanging="720"/>
      </w:pPr>
      <w:r w:rsidRPr="00167CB8">
        <w:t>(b) </w:t>
      </w:r>
      <w:r w:rsidRPr="00167CB8">
        <w:tab/>
        <w:t>whether bargaining for the proposed enterprise agreement is occurring; and</w:t>
      </w:r>
    </w:p>
    <w:p w14:paraId="43326895" w14:textId="3C148969" w:rsidR="00173F8E" w:rsidRPr="00167CB8" w:rsidRDefault="00173F8E" w:rsidP="00374BCD">
      <w:pPr>
        <w:pStyle w:val="Quote"/>
        <w:ind w:left="2880" w:hanging="720"/>
      </w:pPr>
      <w:r w:rsidRPr="00167CB8">
        <w:t>(c) </w:t>
      </w:r>
      <w:r w:rsidRPr="00167CB8">
        <w:tab/>
        <w:t>whether the termination of the existing agreement would adversely affect the bargaining position of the employees that will be covered by the proposed enterprise agreement.</w:t>
      </w:r>
    </w:p>
    <w:p w14:paraId="7FE2FB22" w14:textId="541A5A39" w:rsidR="00173F8E" w:rsidRPr="00167CB8" w:rsidRDefault="00173F8E" w:rsidP="00173F8E">
      <w:r w:rsidRPr="00167CB8">
        <w:t>Additionally, the Secure Jobs, Better Pay Act inserted provisions that provide that</w:t>
      </w:r>
      <w:r w:rsidR="001E1A62" w:rsidRPr="00167CB8">
        <w:t>,</w:t>
      </w:r>
      <w:r w:rsidRPr="00167CB8">
        <w:t xml:space="preserve"> where one party opposes the application, the decision must be allocated to the Full Bench of the FWC to determine whether to terminate the agreement.</w:t>
      </w:r>
      <w:r w:rsidRPr="00167CB8">
        <w:rPr>
          <w:rStyle w:val="FootnoteReference"/>
        </w:rPr>
        <w:footnoteReference w:id="725"/>
      </w:r>
    </w:p>
    <w:p w14:paraId="41C953D8" w14:textId="77777777" w:rsidR="00173F8E" w:rsidRPr="00167CB8" w:rsidRDefault="00173F8E" w:rsidP="00173F8E">
      <w:r w:rsidRPr="00167CB8">
        <w:t>These amendments came into effect on 7 December 2022.</w:t>
      </w:r>
    </w:p>
    <w:p w14:paraId="63A24F1F" w14:textId="7AE85429" w:rsidR="00173F8E" w:rsidRPr="00167CB8" w:rsidRDefault="005863BA" w:rsidP="00173F8E">
      <w:pPr>
        <w:pStyle w:val="Heading5"/>
        <w:rPr>
          <w:rFonts w:asciiTheme="minorHAnsi" w:hAnsiTheme="minorHAnsi"/>
        </w:rPr>
      </w:pPr>
      <w:r w:rsidRPr="00167CB8">
        <w:rPr>
          <w:rFonts w:asciiTheme="minorHAnsi" w:hAnsiTheme="minorHAnsi"/>
        </w:rPr>
        <w:t>20</w:t>
      </w:r>
      <w:r w:rsidR="00173F8E" w:rsidRPr="00167CB8">
        <w:rPr>
          <w:rFonts w:asciiTheme="minorHAnsi" w:hAnsiTheme="minorHAnsi"/>
        </w:rPr>
        <w:t xml:space="preserve">.1.2 Intent of </w:t>
      </w:r>
      <w:r w:rsidR="00173F8E" w:rsidRPr="00167CB8">
        <w:t xml:space="preserve">Secure Jobs, Better Pay </w:t>
      </w:r>
      <w:r w:rsidR="001E1A62" w:rsidRPr="00167CB8">
        <w:rPr>
          <w:rFonts w:asciiTheme="minorHAnsi" w:hAnsiTheme="minorHAnsi"/>
        </w:rPr>
        <w:t>a</w:t>
      </w:r>
      <w:r w:rsidR="00173F8E" w:rsidRPr="00167CB8">
        <w:rPr>
          <w:rFonts w:asciiTheme="minorHAnsi" w:hAnsiTheme="minorHAnsi"/>
        </w:rPr>
        <w:t>mendments</w:t>
      </w:r>
    </w:p>
    <w:p w14:paraId="64C2474E" w14:textId="65623FF0" w:rsidR="00173F8E" w:rsidRPr="00167CB8" w:rsidRDefault="00173F8E" w:rsidP="00173F8E">
      <w:r w:rsidRPr="00167CB8">
        <w:t xml:space="preserve">In the </w:t>
      </w:r>
      <w:r w:rsidR="001E1A62" w:rsidRPr="00167CB8">
        <w:t>E</w:t>
      </w:r>
      <w:r w:rsidRPr="00167CB8">
        <w:t xml:space="preserve">xplanatory </w:t>
      </w:r>
      <w:r w:rsidR="001E1A62" w:rsidRPr="00167CB8">
        <w:t>M</w:t>
      </w:r>
      <w:r w:rsidRPr="00167CB8">
        <w:t>emorandum to the Secure Jobs, Better Pay Bill, the Australian Government asserted that amendments to the process to terminate enterprise agreements were intended to ‘stop the practice of employers applying unilaterally to the FWC for termination of a nominally expired enterprise agreement, where termination would result in reducing employees’ entitlements other than in prescribed circumstances. That includes situations where the threat of termination may disrupt bargaining for a new enterprise agreement</w:t>
      </w:r>
      <w:r w:rsidR="001E1A62" w:rsidRPr="00167CB8">
        <w:t>’</w:t>
      </w:r>
      <w:r w:rsidRPr="00167CB8">
        <w:t>.</w:t>
      </w:r>
      <w:r w:rsidRPr="00167CB8">
        <w:rPr>
          <w:rStyle w:val="FootnoteReference"/>
        </w:rPr>
        <w:footnoteReference w:id="726"/>
      </w:r>
      <w:r w:rsidRPr="00167CB8">
        <w:t xml:space="preserve"> </w:t>
      </w:r>
    </w:p>
    <w:p w14:paraId="0C365C85" w14:textId="638987C2" w:rsidR="00173F8E" w:rsidRPr="00167CB8" w:rsidRDefault="005863BA" w:rsidP="00173F8E">
      <w:pPr>
        <w:pStyle w:val="Heading4"/>
        <w:rPr>
          <w:rFonts w:asciiTheme="minorHAnsi" w:hAnsiTheme="minorHAnsi"/>
        </w:rPr>
      </w:pPr>
      <w:bookmarkStart w:id="251" w:name="_Toc189260268"/>
      <w:bookmarkStart w:id="252" w:name="_Toc189393584"/>
      <w:r w:rsidRPr="00167CB8">
        <w:rPr>
          <w:rFonts w:asciiTheme="minorHAnsi" w:hAnsiTheme="minorHAnsi"/>
        </w:rPr>
        <w:lastRenderedPageBreak/>
        <w:t>20</w:t>
      </w:r>
      <w:r w:rsidR="00173F8E" w:rsidRPr="00167CB8">
        <w:rPr>
          <w:rFonts w:asciiTheme="minorHAnsi" w:hAnsiTheme="minorHAnsi"/>
        </w:rPr>
        <w:t xml:space="preserve">.2 Impact </w:t>
      </w:r>
      <w:r w:rsidR="001E1A62" w:rsidRPr="00167CB8">
        <w:rPr>
          <w:rFonts w:asciiTheme="minorHAnsi" w:hAnsiTheme="minorHAnsi"/>
        </w:rPr>
        <w:t>and i</w:t>
      </w:r>
      <w:r w:rsidR="00173F8E" w:rsidRPr="00167CB8">
        <w:rPr>
          <w:rFonts w:asciiTheme="minorHAnsi" w:hAnsiTheme="minorHAnsi"/>
        </w:rPr>
        <w:t>ssues</w:t>
      </w:r>
      <w:bookmarkEnd w:id="251"/>
      <w:bookmarkEnd w:id="252"/>
    </w:p>
    <w:p w14:paraId="2DE72F7E" w14:textId="3311E8A9" w:rsidR="00173F8E" w:rsidRPr="00167CB8" w:rsidRDefault="00173F8E" w:rsidP="0097355C">
      <w:pPr>
        <w:rPr>
          <w:color w:val="777778" w:themeColor="accent5"/>
        </w:rPr>
      </w:pPr>
      <w:r w:rsidRPr="00167CB8">
        <w:t xml:space="preserve">The </w:t>
      </w:r>
      <w:r w:rsidR="0097355C" w:rsidRPr="00167CB8">
        <w:t>data relevant to the impact of the amendments comes in three forms: quantitative data from the FWC, qualitative evidence based on decisions by the FWC; and stakeholder feedback</w:t>
      </w:r>
      <w:r w:rsidRPr="00167CB8">
        <w:t>.</w:t>
      </w:r>
    </w:p>
    <w:p w14:paraId="1915C15A" w14:textId="4BDD5C33" w:rsidR="00173F8E" w:rsidRPr="00167CB8" w:rsidRDefault="005863BA" w:rsidP="00173F8E">
      <w:pPr>
        <w:pStyle w:val="Heading5"/>
        <w:rPr>
          <w:rFonts w:asciiTheme="minorHAnsi" w:hAnsiTheme="minorHAnsi"/>
        </w:rPr>
      </w:pPr>
      <w:r w:rsidRPr="00167CB8">
        <w:rPr>
          <w:rFonts w:asciiTheme="minorHAnsi" w:hAnsiTheme="minorHAnsi"/>
        </w:rPr>
        <w:t>20</w:t>
      </w:r>
      <w:r w:rsidR="00173F8E" w:rsidRPr="00167CB8">
        <w:rPr>
          <w:rFonts w:asciiTheme="minorHAnsi" w:hAnsiTheme="minorHAnsi"/>
        </w:rPr>
        <w:t xml:space="preserve">.2.1 Quantitative </w:t>
      </w:r>
      <w:r w:rsidR="001E1A62" w:rsidRPr="00167CB8">
        <w:rPr>
          <w:rFonts w:asciiTheme="minorHAnsi" w:hAnsiTheme="minorHAnsi"/>
        </w:rPr>
        <w:t>e</w:t>
      </w:r>
      <w:r w:rsidR="00173F8E" w:rsidRPr="00167CB8">
        <w:rPr>
          <w:rFonts w:asciiTheme="minorHAnsi" w:hAnsiTheme="minorHAnsi"/>
        </w:rPr>
        <w:t>vidence</w:t>
      </w:r>
    </w:p>
    <w:p w14:paraId="7B2910D9" w14:textId="77777777" w:rsidR="007054D6" w:rsidRPr="00167CB8" w:rsidRDefault="007054D6" w:rsidP="007054D6">
      <w:pPr>
        <w:spacing w:before="240"/>
      </w:pPr>
      <w:r w:rsidRPr="00167CB8">
        <w:t>Two types of quantitative data were provided by the FWC to the Review (28 November 2024).</w:t>
      </w:r>
    </w:p>
    <w:p w14:paraId="31B84F8E" w14:textId="38F3DD92" w:rsidR="007054D6" w:rsidRPr="00167CB8" w:rsidRDefault="007054D6" w:rsidP="007054D6">
      <w:pPr>
        <w:spacing w:before="240"/>
      </w:pPr>
      <w:r w:rsidRPr="00167CB8">
        <w:t xml:space="preserve">The first (summarised in Table </w:t>
      </w:r>
      <w:r w:rsidR="00505595" w:rsidRPr="00167CB8">
        <w:t>15</w:t>
      </w:r>
      <w:r w:rsidRPr="00167CB8">
        <w:t>) indicates that there has been a decline in applications to terminate agreements after their nominal expiry dates. However, this appears to be part of a consistent decline in these applications over the past 5 years.</w:t>
      </w:r>
    </w:p>
    <w:p w14:paraId="1AF17880" w14:textId="1D3392BF" w:rsidR="00173F8E" w:rsidRPr="00167CB8" w:rsidRDefault="00173F8E" w:rsidP="00173F8E">
      <w:pPr>
        <w:spacing w:before="240"/>
      </w:pPr>
      <w:r w:rsidRPr="00167CB8">
        <w:t>The data does not differentiate between applications to terminate that relate to bargaining and those that are more straightforward (</w:t>
      </w:r>
      <w:r w:rsidR="001E1A62" w:rsidRPr="00167CB8">
        <w:t xml:space="preserve">e.g. </w:t>
      </w:r>
      <w:r w:rsidRPr="00167CB8">
        <w:t xml:space="preserve">to terminate an agreement that no longer covers any employees). </w:t>
      </w:r>
    </w:p>
    <w:p w14:paraId="3CA878C7" w14:textId="77777777" w:rsidR="00173F8E" w:rsidRPr="00167CB8" w:rsidRDefault="00173F8E" w:rsidP="00173F8E">
      <w:pPr>
        <w:spacing w:before="240"/>
      </w:pPr>
      <w:r w:rsidRPr="00167CB8">
        <w:t xml:space="preserve">Therefore, it is not clear that the decline in the number of termination applications can be attributed to the Secure Jobs, Better Pay amendments. </w:t>
      </w:r>
    </w:p>
    <w:p w14:paraId="262E3F90" w14:textId="7E87EA53" w:rsidR="00173F8E" w:rsidRPr="00167CB8" w:rsidRDefault="00173F8E" w:rsidP="00470AB9">
      <w:pPr>
        <w:pStyle w:val="Caption"/>
      </w:pPr>
      <w:r w:rsidRPr="00167CB8">
        <w:t xml:space="preserve">Table </w:t>
      </w:r>
      <w:r w:rsidR="00505595" w:rsidRPr="00167CB8">
        <w:t>15</w:t>
      </w:r>
      <w:r w:rsidRPr="00167CB8">
        <w:t>: Number of applications to terminate an agreement after nominal expiry date</w:t>
      </w:r>
    </w:p>
    <w:tbl>
      <w:tblPr>
        <w:tblStyle w:val="TableGrid"/>
        <w:tblW w:w="0" w:type="auto"/>
        <w:tblLook w:val="04A0" w:firstRow="1" w:lastRow="0" w:firstColumn="1" w:lastColumn="0" w:noHBand="0" w:noVBand="1"/>
      </w:tblPr>
      <w:tblGrid>
        <w:gridCol w:w="2234"/>
        <w:gridCol w:w="1357"/>
        <w:gridCol w:w="1356"/>
        <w:gridCol w:w="1357"/>
        <w:gridCol w:w="1356"/>
        <w:gridCol w:w="1356"/>
      </w:tblGrid>
      <w:tr w:rsidR="00173F8E" w:rsidRPr="00167CB8" w14:paraId="63060DE2" w14:textId="77777777">
        <w:tc>
          <w:tcPr>
            <w:tcW w:w="2443" w:type="dxa"/>
          </w:tcPr>
          <w:p w14:paraId="574945E9" w14:textId="5E916C39" w:rsidR="00173F8E" w:rsidRPr="00C262DB" w:rsidRDefault="00173F8E">
            <w:pPr>
              <w:spacing w:line="259" w:lineRule="auto"/>
              <w:rPr>
                <w:b/>
                <w:bCs/>
              </w:rPr>
            </w:pPr>
            <w:r w:rsidRPr="00C262DB">
              <w:rPr>
                <w:b/>
                <w:bCs/>
              </w:rPr>
              <w:t xml:space="preserve">Type of </w:t>
            </w:r>
            <w:r w:rsidR="001E1A62" w:rsidRPr="00C262DB">
              <w:rPr>
                <w:b/>
                <w:bCs/>
              </w:rPr>
              <w:t>a</w:t>
            </w:r>
            <w:r w:rsidRPr="00C262DB">
              <w:rPr>
                <w:b/>
                <w:bCs/>
              </w:rPr>
              <w:t>pplication</w:t>
            </w:r>
          </w:p>
        </w:tc>
        <w:tc>
          <w:tcPr>
            <w:tcW w:w="1382" w:type="dxa"/>
          </w:tcPr>
          <w:p w14:paraId="310BEA3D" w14:textId="0BF1A173" w:rsidR="00173F8E" w:rsidRPr="00167CB8" w:rsidRDefault="00173F8E">
            <w:pPr>
              <w:spacing w:line="259" w:lineRule="auto"/>
            </w:pPr>
            <w:r w:rsidRPr="00C262DB">
              <w:rPr>
                <w:b/>
                <w:bCs/>
              </w:rPr>
              <w:t>2019</w:t>
            </w:r>
            <w:r w:rsidR="001E1A62" w:rsidRPr="00C262DB">
              <w:rPr>
                <w:rFonts w:ascii="Symbol" w:eastAsia="Symbol" w:hAnsi="Symbol" w:cs="Symbol"/>
                <w:b/>
                <w:bCs/>
              </w:rPr>
              <w:sym w:font="Symbol" w:char="F02D"/>
            </w:r>
            <w:r w:rsidRPr="00C262DB">
              <w:rPr>
                <w:b/>
                <w:bCs/>
              </w:rPr>
              <w:t>20</w:t>
            </w:r>
            <w:r w:rsidRPr="00167CB8">
              <w:rPr>
                <w:rStyle w:val="FootnoteReference"/>
              </w:rPr>
              <w:footnoteReference w:id="727"/>
            </w:r>
          </w:p>
        </w:tc>
        <w:tc>
          <w:tcPr>
            <w:tcW w:w="1381" w:type="dxa"/>
          </w:tcPr>
          <w:p w14:paraId="312603E6" w14:textId="4FCB6AFB" w:rsidR="00173F8E" w:rsidRPr="00167CB8" w:rsidRDefault="00173F8E">
            <w:pPr>
              <w:spacing w:line="259" w:lineRule="auto"/>
            </w:pPr>
            <w:r w:rsidRPr="00C262DB">
              <w:rPr>
                <w:b/>
                <w:bCs/>
              </w:rPr>
              <w:t>2020</w:t>
            </w:r>
            <w:r w:rsidR="001E1A62" w:rsidRPr="00C262DB">
              <w:rPr>
                <w:rFonts w:ascii="Symbol" w:eastAsia="Symbol" w:hAnsi="Symbol" w:cs="Symbol"/>
                <w:b/>
                <w:bCs/>
              </w:rPr>
              <w:sym w:font="Symbol" w:char="F02D"/>
            </w:r>
            <w:r w:rsidRPr="00C262DB">
              <w:rPr>
                <w:b/>
                <w:bCs/>
              </w:rPr>
              <w:t>21</w:t>
            </w:r>
            <w:r w:rsidRPr="00167CB8">
              <w:rPr>
                <w:rStyle w:val="FootnoteReference"/>
              </w:rPr>
              <w:footnoteReference w:id="728"/>
            </w:r>
          </w:p>
        </w:tc>
        <w:tc>
          <w:tcPr>
            <w:tcW w:w="1382" w:type="dxa"/>
          </w:tcPr>
          <w:p w14:paraId="1A704AF3" w14:textId="49D3ED7C" w:rsidR="00173F8E" w:rsidRPr="00167CB8" w:rsidRDefault="00173F8E">
            <w:pPr>
              <w:spacing w:line="259" w:lineRule="auto"/>
            </w:pPr>
            <w:r w:rsidRPr="00C262DB">
              <w:rPr>
                <w:b/>
                <w:bCs/>
              </w:rPr>
              <w:t>2021</w:t>
            </w:r>
            <w:r w:rsidR="001E1A62" w:rsidRPr="00C262DB">
              <w:rPr>
                <w:rFonts w:ascii="Symbol" w:eastAsia="Symbol" w:hAnsi="Symbol" w:cs="Symbol"/>
                <w:b/>
                <w:bCs/>
              </w:rPr>
              <w:sym w:font="Symbol" w:char="F02D"/>
            </w:r>
            <w:r w:rsidRPr="00C262DB">
              <w:rPr>
                <w:b/>
                <w:bCs/>
              </w:rPr>
              <w:t>22</w:t>
            </w:r>
            <w:r w:rsidRPr="00167CB8">
              <w:rPr>
                <w:rStyle w:val="FootnoteReference"/>
              </w:rPr>
              <w:footnoteReference w:id="729"/>
            </w:r>
          </w:p>
        </w:tc>
        <w:tc>
          <w:tcPr>
            <w:tcW w:w="1381" w:type="dxa"/>
          </w:tcPr>
          <w:p w14:paraId="60F80F30" w14:textId="624A80C4" w:rsidR="00173F8E" w:rsidRPr="00167CB8" w:rsidRDefault="00173F8E">
            <w:pPr>
              <w:spacing w:line="259" w:lineRule="auto"/>
            </w:pPr>
            <w:r w:rsidRPr="00C262DB">
              <w:rPr>
                <w:b/>
                <w:bCs/>
              </w:rPr>
              <w:t>2022</w:t>
            </w:r>
            <w:r w:rsidR="001E1A62" w:rsidRPr="00C262DB">
              <w:rPr>
                <w:rFonts w:ascii="Symbol" w:eastAsia="Symbol" w:hAnsi="Symbol" w:cs="Symbol"/>
                <w:b/>
                <w:bCs/>
              </w:rPr>
              <w:sym w:font="Symbol" w:char="F02D"/>
            </w:r>
            <w:r w:rsidRPr="00C262DB">
              <w:rPr>
                <w:b/>
                <w:bCs/>
              </w:rPr>
              <w:t>23</w:t>
            </w:r>
            <w:r w:rsidRPr="00167CB8">
              <w:rPr>
                <w:rStyle w:val="FootnoteReference"/>
              </w:rPr>
              <w:footnoteReference w:id="730"/>
            </w:r>
          </w:p>
        </w:tc>
        <w:tc>
          <w:tcPr>
            <w:tcW w:w="1381" w:type="dxa"/>
          </w:tcPr>
          <w:p w14:paraId="276B8625" w14:textId="5F3ACD6C" w:rsidR="00173F8E" w:rsidRPr="00167CB8" w:rsidRDefault="00173F8E">
            <w:pPr>
              <w:spacing w:line="259" w:lineRule="auto"/>
            </w:pPr>
            <w:r w:rsidRPr="00C262DB">
              <w:rPr>
                <w:b/>
                <w:bCs/>
              </w:rPr>
              <w:t>2023</w:t>
            </w:r>
            <w:r w:rsidR="001E1A62" w:rsidRPr="00C262DB">
              <w:rPr>
                <w:rFonts w:ascii="Symbol" w:eastAsia="Symbol" w:hAnsi="Symbol" w:cs="Symbol"/>
                <w:b/>
                <w:bCs/>
              </w:rPr>
              <w:sym w:font="Symbol" w:char="F02D"/>
            </w:r>
            <w:r w:rsidRPr="00C262DB">
              <w:rPr>
                <w:b/>
                <w:bCs/>
              </w:rPr>
              <w:t>24</w:t>
            </w:r>
            <w:r w:rsidRPr="00167CB8">
              <w:rPr>
                <w:rStyle w:val="FootnoteReference"/>
              </w:rPr>
              <w:footnoteReference w:id="731"/>
            </w:r>
          </w:p>
        </w:tc>
      </w:tr>
      <w:tr w:rsidR="00173F8E" w:rsidRPr="00167CB8" w14:paraId="6F9B2F5D" w14:textId="77777777" w:rsidTr="005569DC">
        <w:tc>
          <w:tcPr>
            <w:tcW w:w="2443" w:type="dxa"/>
          </w:tcPr>
          <w:p w14:paraId="7A4F8C23" w14:textId="6DE7897D" w:rsidR="00173F8E" w:rsidRPr="00C262DB" w:rsidRDefault="00173F8E">
            <w:pPr>
              <w:spacing w:line="259" w:lineRule="auto"/>
              <w:rPr>
                <w:sz w:val="20"/>
                <w:szCs w:val="20"/>
              </w:rPr>
            </w:pPr>
            <w:r w:rsidRPr="00C262DB">
              <w:rPr>
                <w:sz w:val="20"/>
                <w:szCs w:val="20"/>
              </w:rPr>
              <w:t>s</w:t>
            </w:r>
            <w:r w:rsidR="001E1A62" w:rsidRPr="00C262DB">
              <w:rPr>
                <w:sz w:val="20"/>
                <w:szCs w:val="20"/>
              </w:rPr>
              <w:t> </w:t>
            </w:r>
            <w:r w:rsidRPr="00C262DB">
              <w:rPr>
                <w:sz w:val="20"/>
                <w:szCs w:val="20"/>
              </w:rPr>
              <w:t>225 – Application for termination of an enterprise agreement after its nominal expiry date</w:t>
            </w:r>
          </w:p>
        </w:tc>
        <w:tc>
          <w:tcPr>
            <w:tcW w:w="1382" w:type="dxa"/>
            <w:vAlign w:val="center"/>
          </w:tcPr>
          <w:p w14:paraId="58C01047" w14:textId="77777777" w:rsidR="00173F8E" w:rsidRPr="00C262DB" w:rsidRDefault="00173F8E" w:rsidP="005569DC">
            <w:pPr>
              <w:spacing w:line="259" w:lineRule="auto"/>
              <w:jc w:val="center"/>
              <w:rPr>
                <w:sz w:val="20"/>
                <w:szCs w:val="20"/>
              </w:rPr>
            </w:pPr>
            <w:r w:rsidRPr="00C262DB">
              <w:rPr>
                <w:sz w:val="20"/>
                <w:szCs w:val="20"/>
              </w:rPr>
              <w:t>323</w:t>
            </w:r>
          </w:p>
        </w:tc>
        <w:tc>
          <w:tcPr>
            <w:tcW w:w="1381" w:type="dxa"/>
            <w:vAlign w:val="center"/>
          </w:tcPr>
          <w:p w14:paraId="5B3D4D7B" w14:textId="77777777" w:rsidR="00173F8E" w:rsidRPr="00C262DB" w:rsidRDefault="00173F8E" w:rsidP="005569DC">
            <w:pPr>
              <w:spacing w:line="259" w:lineRule="auto"/>
              <w:jc w:val="center"/>
              <w:rPr>
                <w:sz w:val="20"/>
                <w:szCs w:val="20"/>
              </w:rPr>
            </w:pPr>
            <w:r w:rsidRPr="00C262DB">
              <w:rPr>
                <w:sz w:val="20"/>
                <w:szCs w:val="20"/>
              </w:rPr>
              <w:t>270</w:t>
            </w:r>
          </w:p>
        </w:tc>
        <w:tc>
          <w:tcPr>
            <w:tcW w:w="1382" w:type="dxa"/>
            <w:vAlign w:val="center"/>
          </w:tcPr>
          <w:p w14:paraId="59D251C8" w14:textId="77777777" w:rsidR="00173F8E" w:rsidRPr="00C262DB" w:rsidRDefault="00173F8E" w:rsidP="005569DC">
            <w:pPr>
              <w:spacing w:line="259" w:lineRule="auto"/>
              <w:jc w:val="center"/>
              <w:rPr>
                <w:sz w:val="20"/>
                <w:szCs w:val="20"/>
              </w:rPr>
            </w:pPr>
            <w:r w:rsidRPr="00C262DB">
              <w:rPr>
                <w:sz w:val="20"/>
                <w:szCs w:val="20"/>
              </w:rPr>
              <w:t>236</w:t>
            </w:r>
          </w:p>
        </w:tc>
        <w:tc>
          <w:tcPr>
            <w:tcW w:w="1381" w:type="dxa"/>
            <w:vAlign w:val="center"/>
          </w:tcPr>
          <w:p w14:paraId="74984749" w14:textId="77777777" w:rsidR="00173F8E" w:rsidRPr="00C262DB" w:rsidRDefault="00173F8E" w:rsidP="005569DC">
            <w:pPr>
              <w:spacing w:line="259" w:lineRule="auto"/>
              <w:jc w:val="center"/>
              <w:rPr>
                <w:sz w:val="20"/>
                <w:szCs w:val="20"/>
              </w:rPr>
            </w:pPr>
            <w:r w:rsidRPr="00C262DB">
              <w:rPr>
                <w:sz w:val="20"/>
                <w:szCs w:val="20"/>
              </w:rPr>
              <w:t>195</w:t>
            </w:r>
          </w:p>
        </w:tc>
        <w:tc>
          <w:tcPr>
            <w:tcW w:w="1381" w:type="dxa"/>
            <w:vAlign w:val="center"/>
          </w:tcPr>
          <w:p w14:paraId="10F3AF5D" w14:textId="12D39E6B" w:rsidR="00173F8E" w:rsidRPr="00C262DB" w:rsidRDefault="00173F8E" w:rsidP="005569DC">
            <w:pPr>
              <w:spacing w:line="259" w:lineRule="auto"/>
              <w:jc w:val="center"/>
              <w:rPr>
                <w:sz w:val="20"/>
                <w:szCs w:val="20"/>
              </w:rPr>
            </w:pPr>
            <w:r w:rsidRPr="00C262DB">
              <w:rPr>
                <w:sz w:val="20"/>
                <w:szCs w:val="20"/>
              </w:rPr>
              <w:t>136</w:t>
            </w:r>
          </w:p>
        </w:tc>
      </w:tr>
    </w:tbl>
    <w:p w14:paraId="486FE043" w14:textId="77777777" w:rsidR="00932A2F" w:rsidRPr="00167CB8" w:rsidRDefault="00932A2F" w:rsidP="00932A2F">
      <w:pPr>
        <w:pStyle w:val="Source"/>
      </w:pPr>
      <w:r w:rsidRPr="00167CB8">
        <w:rPr>
          <w:b/>
          <w:bCs/>
        </w:rPr>
        <w:t>Source:</w:t>
      </w:r>
      <w:r w:rsidRPr="00167CB8">
        <w:t xml:space="preserve"> Data provided to the Review by the FWC.</w:t>
      </w:r>
    </w:p>
    <w:p w14:paraId="377090B0" w14:textId="3F356C83" w:rsidR="00173F8E" w:rsidRPr="00167CB8" w:rsidRDefault="000622FA" w:rsidP="00173F8E">
      <w:r w:rsidRPr="00167CB8">
        <w:t>Second, t</w:t>
      </w:r>
      <w:r w:rsidR="00173F8E" w:rsidRPr="00167CB8">
        <w:t xml:space="preserve">he FWC has considered a number of applications to terminate an enterprise agreement after their nominal expiry date under the new provisions. </w:t>
      </w:r>
    </w:p>
    <w:p w14:paraId="746B8FFE" w14:textId="669277C5" w:rsidR="00173F8E" w:rsidRPr="00167CB8" w:rsidRDefault="00173F8E" w:rsidP="00173F8E">
      <w:r w:rsidRPr="00167CB8">
        <w:t xml:space="preserve">Since 7 December 2022, the FWC has issued 7 Full Bench decisions relating to contested applications to terminate an enterprise agreement after its nominal expiry date (as at 17 January 2025). Of these 7 decisions, </w:t>
      </w:r>
      <w:r w:rsidR="001E1A62" w:rsidRPr="00167CB8">
        <w:t xml:space="preserve">2 </w:t>
      </w:r>
      <w:r w:rsidRPr="00167CB8">
        <w:t xml:space="preserve">related to applications made by an employer. </w:t>
      </w:r>
    </w:p>
    <w:p w14:paraId="32E13EFA" w14:textId="77777777" w:rsidR="00C262DB" w:rsidRDefault="00C262DB">
      <w:pPr>
        <w:spacing w:after="160"/>
        <w:rPr>
          <w:rFonts w:cs="Calibri"/>
          <w:b/>
          <w:bCs/>
          <w:lang w:val="en-US"/>
        </w:rPr>
      </w:pPr>
      <w:r>
        <w:br w:type="page"/>
      </w:r>
    </w:p>
    <w:p w14:paraId="5D7FFE3B" w14:textId="7FA688F6" w:rsidR="00173F8E" w:rsidRPr="00167CB8" w:rsidRDefault="00173F8E" w:rsidP="00470AB9">
      <w:pPr>
        <w:pStyle w:val="Caption"/>
      </w:pPr>
      <w:r w:rsidRPr="00167CB8">
        <w:lastRenderedPageBreak/>
        <w:t xml:space="preserve">Table </w:t>
      </w:r>
      <w:r w:rsidR="00664C50" w:rsidRPr="00167CB8">
        <w:t>16</w:t>
      </w:r>
      <w:r w:rsidRPr="00167CB8">
        <w:t>: Contested applications to terminate an enterprise agreement after its nominal expiry date (from commencement of Secure Jobs, Better Pay Act changes on 7 December 2022)</w:t>
      </w:r>
    </w:p>
    <w:tbl>
      <w:tblPr>
        <w:tblStyle w:val="TableGrid"/>
        <w:tblW w:w="0" w:type="auto"/>
        <w:tblLook w:val="04A0" w:firstRow="1" w:lastRow="0" w:firstColumn="1" w:lastColumn="0" w:noHBand="0" w:noVBand="1"/>
      </w:tblPr>
      <w:tblGrid>
        <w:gridCol w:w="4106"/>
        <w:gridCol w:w="2396"/>
        <w:gridCol w:w="2514"/>
      </w:tblGrid>
      <w:tr w:rsidR="00173F8E" w:rsidRPr="00167CB8" w14:paraId="46CEA7AC" w14:textId="77777777">
        <w:tc>
          <w:tcPr>
            <w:tcW w:w="4106" w:type="dxa"/>
          </w:tcPr>
          <w:p w14:paraId="1248FA1F" w14:textId="77777777" w:rsidR="00173F8E" w:rsidRPr="00C262DB" w:rsidRDefault="00173F8E">
            <w:pPr>
              <w:spacing w:line="259" w:lineRule="auto"/>
              <w:rPr>
                <w:b/>
                <w:bCs/>
              </w:rPr>
            </w:pPr>
            <w:r w:rsidRPr="00C262DB">
              <w:rPr>
                <w:b/>
                <w:bCs/>
              </w:rPr>
              <w:t>Matter title</w:t>
            </w:r>
          </w:p>
        </w:tc>
        <w:tc>
          <w:tcPr>
            <w:tcW w:w="2396" w:type="dxa"/>
          </w:tcPr>
          <w:p w14:paraId="14B04531" w14:textId="77777777" w:rsidR="00173F8E" w:rsidRPr="00C262DB" w:rsidRDefault="00173F8E">
            <w:pPr>
              <w:spacing w:line="259" w:lineRule="auto"/>
              <w:rPr>
                <w:b/>
                <w:bCs/>
              </w:rPr>
            </w:pPr>
            <w:r w:rsidRPr="00C262DB">
              <w:rPr>
                <w:b/>
                <w:bCs/>
              </w:rPr>
              <w:t>Decision issued</w:t>
            </w:r>
          </w:p>
        </w:tc>
        <w:tc>
          <w:tcPr>
            <w:tcW w:w="0" w:type="auto"/>
          </w:tcPr>
          <w:p w14:paraId="495B18AE" w14:textId="77777777" w:rsidR="00173F8E" w:rsidRPr="00C262DB" w:rsidRDefault="00173F8E">
            <w:pPr>
              <w:spacing w:line="259" w:lineRule="auto"/>
              <w:rPr>
                <w:b/>
                <w:bCs/>
              </w:rPr>
            </w:pPr>
            <w:r w:rsidRPr="00C262DB">
              <w:rPr>
                <w:b/>
                <w:bCs/>
              </w:rPr>
              <w:t>Outcome</w:t>
            </w:r>
          </w:p>
        </w:tc>
      </w:tr>
      <w:tr w:rsidR="00173F8E" w:rsidRPr="00167CB8" w14:paraId="5B8EC6D7" w14:textId="77777777">
        <w:tc>
          <w:tcPr>
            <w:tcW w:w="4106" w:type="dxa"/>
          </w:tcPr>
          <w:p w14:paraId="010350DF" w14:textId="1C09A80B" w:rsidR="00173F8E" w:rsidRPr="00C262DB" w:rsidRDefault="00173F8E">
            <w:pPr>
              <w:spacing w:line="259" w:lineRule="auto"/>
              <w:rPr>
                <w:sz w:val="20"/>
                <w:szCs w:val="20"/>
              </w:rPr>
            </w:pPr>
            <w:r w:rsidRPr="00C262DB">
              <w:rPr>
                <w:i/>
                <w:iCs/>
                <w:sz w:val="20"/>
                <w:szCs w:val="20"/>
              </w:rPr>
              <w:t>Application by Employee X</w:t>
            </w:r>
            <w:r w:rsidRPr="00C262DB">
              <w:rPr>
                <w:sz w:val="20"/>
                <w:szCs w:val="20"/>
              </w:rPr>
              <w:t xml:space="preserve"> [2023] FWCFB 155</w:t>
            </w:r>
          </w:p>
        </w:tc>
        <w:tc>
          <w:tcPr>
            <w:tcW w:w="2396" w:type="dxa"/>
          </w:tcPr>
          <w:p w14:paraId="77423740" w14:textId="77777777" w:rsidR="00173F8E" w:rsidRPr="00C262DB" w:rsidRDefault="00173F8E">
            <w:pPr>
              <w:spacing w:line="259" w:lineRule="auto"/>
              <w:rPr>
                <w:sz w:val="20"/>
                <w:szCs w:val="20"/>
              </w:rPr>
            </w:pPr>
            <w:r w:rsidRPr="00C262DB">
              <w:rPr>
                <w:sz w:val="20"/>
                <w:szCs w:val="20"/>
              </w:rPr>
              <w:t>6 September 2023</w:t>
            </w:r>
          </w:p>
        </w:tc>
        <w:tc>
          <w:tcPr>
            <w:tcW w:w="0" w:type="auto"/>
          </w:tcPr>
          <w:p w14:paraId="424E93F4" w14:textId="77777777" w:rsidR="00173F8E" w:rsidRPr="00C262DB" w:rsidRDefault="00173F8E">
            <w:pPr>
              <w:spacing w:line="259" w:lineRule="auto"/>
              <w:rPr>
                <w:sz w:val="20"/>
                <w:szCs w:val="20"/>
              </w:rPr>
            </w:pPr>
            <w:r w:rsidRPr="00C262DB">
              <w:rPr>
                <w:sz w:val="20"/>
                <w:szCs w:val="20"/>
              </w:rPr>
              <w:t>Agreement terminated</w:t>
            </w:r>
          </w:p>
        </w:tc>
      </w:tr>
      <w:tr w:rsidR="00173F8E" w:rsidRPr="00167CB8" w14:paraId="1DDE5AB9" w14:textId="77777777">
        <w:tc>
          <w:tcPr>
            <w:tcW w:w="4106" w:type="dxa"/>
          </w:tcPr>
          <w:p w14:paraId="0F6EFFB9" w14:textId="398081EB" w:rsidR="00173F8E" w:rsidRPr="00C262DB" w:rsidRDefault="00173F8E">
            <w:pPr>
              <w:spacing w:line="259" w:lineRule="auto"/>
              <w:rPr>
                <w:sz w:val="20"/>
                <w:szCs w:val="20"/>
              </w:rPr>
            </w:pPr>
            <w:r w:rsidRPr="00C262DB">
              <w:rPr>
                <w:i/>
                <w:iCs/>
                <w:sz w:val="20"/>
                <w:szCs w:val="20"/>
              </w:rPr>
              <w:t>Application by Patrick Flynn</w:t>
            </w:r>
            <w:r w:rsidRPr="00C262DB">
              <w:rPr>
                <w:sz w:val="20"/>
                <w:szCs w:val="20"/>
              </w:rPr>
              <w:t xml:space="preserve"> [2023] FWCFB 178</w:t>
            </w:r>
          </w:p>
        </w:tc>
        <w:tc>
          <w:tcPr>
            <w:tcW w:w="2396" w:type="dxa"/>
          </w:tcPr>
          <w:p w14:paraId="305518FA" w14:textId="77777777" w:rsidR="00173F8E" w:rsidRPr="00C262DB" w:rsidRDefault="00173F8E">
            <w:pPr>
              <w:spacing w:line="259" w:lineRule="auto"/>
              <w:rPr>
                <w:sz w:val="20"/>
                <w:szCs w:val="20"/>
              </w:rPr>
            </w:pPr>
            <w:r w:rsidRPr="00C262DB">
              <w:rPr>
                <w:sz w:val="20"/>
                <w:szCs w:val="20"/>
              </w:rPr>
              <w:t>11 October 2023</w:t>
            </w:r>
          </w:p>
        </w:tc>
        <w:tc>
          <w:tcPr>
            <w:tcW w:w="0" w:type="auto"/>
          </w:tcPr>
          <w:p w14:paraId="4BABEE36" w14:textId="77777777" w:rsidR="00173F8E" w:rsidRPr="00C262DB" w:rsidRDefault="00173F8E">
            <w:pPr>
              <w:spacing w:line="259" w:lineRule="auto"/>
              <w:rPr>
                <w:sz w:val="20"/>
                <w:szCs w:val="20"/>
              </w:rPr>
            </w:pPr>
            <w:r w:rsidRPr="00C262DB">
              <w:rPr>
                <w:sz w:val="20"/>
                <w:szCs w:val="20"/>
              </w:rPr>
              <w:t>Agreement terminated</w:t>
            </w:r>
          </w:p>
        </w:tc>
      </w:tr>
      <w:tr w:rsidR="00173F8E" w:rsidRPr="00167CB8" w14:paraId="38DAB35C" w14:textId="77777777">
        <w:tc>
          <w:tcPr>
            <w:tcW w:w="4106" w:type="dxa"/>
          </w:tcPr>
          <w:p w14:paraId="764B1B28" w14:textId="1204D8A2" w:rsidR="00173F8E" w:rsidRPr="00C262DB" w:rsidRDefault="00173F8E">
            <w:pPr>
              <w:spacing w:line="259" w:lineRule="auto"/>
              <w:rPr>
                <w:sz w:val="20"/>
                <w:szCs w:val="20"/>
              </w:rPr>
            </w:pPr>
            <w:r w:rsidRPr="00C262DB">
              <w:rPr>
                <w:i/>
                <w:iCs/>
                <w:sz w:val="20"/>
                <w:szCs w:val="20"/>
              </w:rPr>
              <w:t>Application by Milla Olivia Banks</w:t>
            </w:r>
            <w:r w:rsidRPr="00C262DB">
              <w:rPr>
                <w:sz w:val="20"/>
                <w:szCs w:val="20"/>
              </w:rPr>
              <w:t xml:space="preserve"> [2023] FWCA 4141</w:t>
            </w:r>
          </w:p>
        </w:tc>
        <w:tc>
          <w:tcPr>
            <w:tcW w:w="2396" w:type="dxa"/>
          </w:tcPr>
          <w:p w14:paraId="3A5DD753" w14:textId="77777777" w:rsidR="00173F8E" w:rsidRPr="00C262DB" w:rsidRDefault="00173F8E">
            <w:pPr>
              <w:spacing w:line="259" w:lineRule="auto"/>
              <w:rPr>
                <w:sz w:val="20"/>
                <w:szCs w:val="20"/>
              </w:rPr>
            </w:pPr>
            <w:r w:rsidRPr="00C262DB">
              <w:rPr>
                <w:sz w:val="20"/>
                <w:szCs w:val="20"/>
              </w:rPr>
              <w:t>7 December 2023</w:t>
            </w:r>
          </w:p>
        </w:tc>
        <w:tc>
          <w:tcPr>
            <w:tcW w:w="0" w:type="auto"/>
          </w:tcPr>
          <w:p w14:paraId="3D1A667E" w14:textId="77777777" w:rsidR="00173F8E" w:rsidRPr="00C262DB" w:rsidRDefault="00173F8E">
            <w:pPr>
              <w:spacing w:line="259" w:lineRule="auto"/>
              <w:rPr>
                <w:sz w:val="20"/>
                <w:szCs w:val="20"/>
              </w:rPr>
            </w:pPr>
            <w:r w:rsidRPr="00C262DB">
              <w:rPr>
                <w:sz w:val="20"/>
                <w:szCs w:val="20"/>
              </w:rPr>
              <w:t>Agreement terminated</w:t>
            </w:r>
          </w:p>
        </w:tc>
      </w:tr>
      <w:tr w:rsidR="00173F8E" w:rsidRPr="00167CB8" w14:paraId="1B973649" w14:textId="77777777">
        <w:tc>
          <w:tcPr>
            <w:tcW w:w="4106" w:type="dxa"/>
          </w:tcPr>
          <w:p w14:paraId="391FA41E" w14:textId="5EF78489" w:rsidR="00173F8E" w:rsidRPr="00C262DB" w:rsidRDefault="00173F8E">
            <w:pPr>
              <w:spacing w:line="259" w:lineRule="auto"/>
              <w:rPr>
                <w:sz w:val="20"/>
                <w:szCs w:val="20"/>
              </w:rPr>
            </w:pPr>
            <w:r w:rsidRPr="00C262DB">
              <w:rPr>
                <w:i/>
                <w:iCs/>
                <w:sz w:val="20"/>
                <w:szCs w:val="20"/>
              </w:rPr>
              <w:t>Application by Forest Coach Lines Pty Ltd</w:t>
            </w:r>
            <w:r w:rsidRPr="00C262DB">
              <w:rPr>
                <w:sz w:val="20"/>
                <w:szCs w:val="20"/>
              </w:rPr>
              <w:t xml:space="preserve"> [2023] FWCA 4472</w:t>
            </w:r>
          </w:p>
        </w:tc>
        <w:tc>
          <w:tcPr>
            <w:tcW w:w="2396" w:type="dxa"/>
          </w:tcPr>
          <w:p w14:paraId="0DE7E89F" w14:textId="77777777" w:rsidR="00173F8E" w:rsidRPr="00C262DB" w:rsidRDefault="00173F8E">
            <w:pPr>
              <w:spacing w:line="259" w:lineRule="auto"/>
              <w:rPr>
                <w:sz w:val="20"/>
                <w:szCs w:val="20"/>
              </w:rPr>
            </w:pPr>
            <w:r w:rsidRPr="00C262DB">
              <w:rPr>
                <w:sz w:val="20"/>
                <w:szCs w:val="20"/>
              </w:rPr>
              <w:t>22 December 2023</w:t>
            </w:r>
          </w:p>
        </w:tc>
        <w:tc>
          <w:tcPr>
            <w:tcW w:w="0" w:type="auto"/>
          </w:tcPr>
          <w:p w14:paraId="14D3C773" w14:textId="77777777" w:rsidR="00173F8E" w:rsidRPr="00C262DB" w:rsidRDefault="00173F8E">
            <w:pPr>
              <w:spacing w:line="259" w:lineRule="auto"/>
              <w:rPr>
                <w:sz w:val="20"/>
                <w:szCs w:val="20"/>
              </w:rPr>
            </w:pPr>
            <w:r w:rsidRPr="00C262DB">
              <w:rPr>
                <w:sz w:val="20"/>
                <w:szCs w:val="20"/>
              </w:rPr>
              <w:t>Agreement terminated</w:t>
            </w:r>
          </w:p>
        </w:tc>
      </w:tr>
      <w:tr w:rsidR="00173F8E" w:rsidRPr="00167CB8" w14:paraId="208E6E36" w14:textId="77777777">
        <w:tc>
          <w:tcPr>
            <w:tcW w:w="4106" w:type="dxa"/>
          </w:tcPr>
          <w:p w14:paraId="130A4824" w14:textId="58A452C3" w:rsidR="00173F8E" w:rsidRPr="00C262DB" w:rsidRDefault="00173F8E">
            <w:pPr>
              <w:spacing w:line="259" w:lineRule="auto"/>
              <w:rPr>
                <w:sz w:val="20"/>
                <w:szCs w:val="20"/>
              </w:rPr>
            </w:pPr>
            <w:r w:rsidRPr="00C262DB">
              <w:rPr>
                <w:i/>
                <w:iCs/>
                <w:sz w:val="20"/>
                <w:szCs w:val="20"/>
              </w:rPr>
              <w:t>Application by Mr Paul Hensman</w:t>
            </w:r>
            <w:r w:rsidRPr="00C262DB">
              <w:rPr>
                <w:sz w:val="20"/>
                <w:szCs w:val="20"/>
              </w:rPr>
              <w:t xml:space="preserve"> [2024] FWCFB 32</w:t>
            </w:r>
          </w:p>
        </w:tc>
        <w:tc>
          <w:tcPr>
            <w:tcW w:w="2396" w:type="dxa"/>
          </w:tcPr>
          <w:p w14:paraId="0C7E5AB5" w14:textId="77777777" w:rsidR="00173F8E" w:rsidRPr="00C262DB" w:rsidRDefault="00173F8E">
            <w:pPr>
              <w:spacing w:line="259" w:lineRule="auto"/>
              <w:rPr>
                <w:sz w:val="20"/>
                <w:szCs w:val="20"/>
              </w:rPr>
            </w:pPr>
            <w:r w:rsidRPr="00C262DB">
              <w:rPr>
                <w:sz w:val="20"/>
                <w:szCs w:val="20"/>
              </w:rPr>
              <w:t>1 February 2024</w:t>
            </w:r>
          </w:p>
        </w:tc>
        <w:tc>
          <w:tcPr>
            <w:tcW w:w="0" w:type="auto"/>
          </w:tcPr>
          <w:p w14:paraId="666A8C1F" w14:textId="77777777" w:rsidR="00173F8E" w:rsidRPr="00C262DB" w:rsidRDefault="00173F8E">
            <w:pPr>
              <w:spacing w:line="259" w:lineRule="auto"/>
              <w:rPr>
                <w:sz w:val="20"/>
                <w:szCs w:val="20"/>
              </w:rPr>
            </w:pPr>
            <w:r w:rsidRPr="00C262DB">
              <w:rPr>
                <w:sz w:val="20"/>
                <w:szCs w:val="20"/>
              </w:rPr>
              <w:t>Agreement terminated</w:t>
            </w:r>
          </w:p>
        </w:tc>
      </w:tr>
      <w:tr w:rsidR="00173F8E" w:rsidRPr="00167CB8" w14:paraId="75AAAC04" w14:textId="77777777">
        <w:tc>
          <w:tcPr>
            <w:tcW w:w="4106" w:type="dxa"/>
          </w:tcPr>
          <w:p w14:paraId="1326C524" w14:textId="3307D842" w:rsidR="00173F8E" w:rsidRPr="00C262DB" w:rsidRDefault="00173F8E">
            <w:pPr>
              <w:spacing w:line="259" w:lineRule="auto"/>
              <w:rPr>
                <w:sz w:val="20"/>
                <w:szCs w:val="20"/>
              </w:rPr>
            </w:pPr>
            <w:r w:rsidRPr="00C262DB">
              <w:rPr>
                <w:i/>
                <w:iCs/>
                <w:sz w:val="20"/>
                <w:szCs w:val="20"/>
              </w:rPr>
              <w:t>Application by Laria Barnett</w:t>
            </w:r>
            <w:r w:rsidRPr="00C262DB">
              <w:rPr>
                <w:sz w:val="20"/>
                <w:szCs w:val="20"/>
              </w:rPr>
              <w:t xml:space="preserve"> [2024] FWCFB 132</w:t>
            </w:r>
          </w:p>
        </w:tc>
        <w:tc>
          <w:tcPr>
            <w:tcW w:w="2396" w:type="dxa"/>
          </w:tcPr>
          <w:p w14:paraId="5165C068" w14:textId="77777777" w:rsidR="00173F8E" w:rsidRPr="00C262DB" w:rsidRDefault="00173F8E">
            <w:pPr>
              <w:spacing w:line="259" w:lineRule="auto"/>
              <w:rPr>
                <w:sz w:val="20"/>
                <w:szCs w:val="20"/>
              </w:rPr>
            </w:pPr>
            <w:r w:rsidRPr="00C262DB">
              <w:rPr>
                <w:sz w:val="20"/>
                <w:szCs w:val="20"/>
              </w:rPr>
              <w:t>13 March 2024</w:t>
            </w:r>
          </w:p>
        </w:tc>
        <w:tc>
          <w:tcPr>
            <w:tcW w:w="0" w:type="auto"/>
          </w:tcPr>
          <w:p w14:paraId="479336D0" w14:textId="77777777" w:rsidR="00173F8E" w:rsidRPr="00C262DB" w:rsidRDefault="00173F8E">
            <w:pPr>
              <w:spacing w:line="259" w:lineRule="auto"/>
              <w:rPr>
                <w:sz w:val="20"/>
                <w:szCs w:val="20"/>
              </w:rPr>
            </w:pPr>
            <w:r w:rsidRPr="00C262DB">
              <w:rPr>
                <w:sz w:val="20"/>
                <w:szCs w:val="20"/>
              </w:rPr>
              <w:t>Agreement terminated</w:t>
            </w:r>
          </w:p>
        </w:tc>
      </w:tr>
      <w:tr w:rsidR="00173F8E" w:rsidRPr="00167CB8" w14:paraId="0949501E" w14:textId="77777777">
        <w:trPr>
          <w:trHeight w:val="70"/>
        </w:trPr>
        <w:tc>
          <w:tcPr>
            <w:tcW w:w="4106" w:type="dxa"/>
          </w:tcPr>
          <w:p w14:paraId="2F960938" w14:textId="5684DFF1" w:rsidR="00173F8E" w:rsidRPr="00C262DB" w:rsidRDefault="00173F8E">
            <w:pPr>
              <w:spacing w:line="259" w:lineRule="auto"/>
              <w:rPr>
                <w:sz w:val="20"/>
                <w:szCs w:val="20"/>
              </w:rPr>
            </w:pPr>
            <w:r w:rsidRPr="00C262DB">
              <w:rPr>
                <w:i/>
                <w:iCs/>
                <w:sz w:val="20"/>
                <w:szCs w:val="20"/>
              </w:rPr>
              <w:t xml:space="preserve">Application by BDS Support Services </w:t>
            </w:r>
            <w:r w:rsidR="00A52AD9" w:rsidRPr="00C262DB">
              <w:rPr>
                <w:i/>
                <w:iCs/>
                <w:sz w:val="20"/>
                <w:szCs w:val="20"/>
              </w:rPr>
              <w:t>t/as</w:t>
            </w:r>
            <w:r w:rsidRPr="00C262DB">
              <w:rPr>
                <w:i/>
                <w:iCs/>
                <w:sz w:val="20"/>
                <w:szCs w:val="20"/>
              </w:rPr>
              <w:t xml:space="preserve"> Broadmeadows Disability Services</w:t>
            </w:r>
            <w:r w:rsidRPr="00C262DB">
              <w:rPr>
                <w:sz w:val="20"/>
                <w:szCs w:val="20"/>
              </w:rPr>
              <w:t xml:space="preserve"> [2024] FWCFB 404</w:t>
            </w:r>
          </w:p>
        </w:tc>
        <w:tc>
          <w:tcPr>
            <w:tcW w:w="2396" w:type="dxa"/>
          </w:tcPr>
          <w:p w14:paraId="29EC753F" w14:textId="77777777" w:rsidR="00173F8E" w:rsidRPr="00C262DB" w:rsidRDefault="00173F8E">
            <w:pPr>
              <w:spacing w:line="259" w:lineRule="auto"/>
              <w:rPr>
                <w:sz w:val="20"/>
                <w:szCs w:val="20"/>
              </w:rPr>
            </w:pPr>
            <w:r w:rsidRPr="00C262DB">
              <w:rPr>
                <w:sz w:val="20"/>
                <w:szCs w:val="20"/>
              </w:rPr>
              <w:t>22 October 2024</w:t>
            </w:r>
          </w:p>
        </w:tc>
        <w:tc>
          <w:tcPr>
            <w:tcW w:w="0" w:type="auto"/>
          </w:tcPr>
          <w:p w14:paraId="6F5ACBCC" w14:textId="5B712A5D" w:rsidR="00173F8E" w:rsidRPr="00C262DB" w:rsidRDefault="00173F8E">
            <w:pPr>
              <w:spacing w:line="259" w:lineRule="auto"/>
              <w:rPr>
                <w:sz w:val="20"/>
                <w:szCs w:val="20"/>
              </w:rPr>
            </w:pPr>
            <w:r w:rsidRPr="00C262DB">
              <w:rPr>
                <w:sz w:val="20"/>
                <w:szCs w:val="20"/>
              </w:rPr>
              <w:t>Agreement not terminated, application dismissed</w:t>
            </w:r>
          </w:p>
        </w:tc>
      </w:tr>
    </w:tbl>
    <w:p w14:paraId="77BE4B4B" w14:textId="5990D3C1" w:rsidR="00A27647" w:rsidRPr="00167CB8" w:rsidRDefault="00A27647" w:rsidP="00A27647">
      <w:pPr>
        <w:pStyle w:val="Source"/>
      </w:pPr>
      <w:r w:rsidRPr="00167CB8">
        <w:rPr>
          <w:b/>
          <w:bCs/>
        </w:rPr>
        <w:t>Source:</w:t>
      </w:r>
      <w:r w:rsidRPr="00167CB8">
        <w:t xml:space="preserve"> </w:t>
      </w:r>
      <w:r w:rsidR="00EF08BF" w:rsidRPr="00167CB8">
        <w:t>Table prepared using data from FWC website.</w:t>
      </w:r>
    </w:p>
    <w:p w14:paraId="17B9B64F" w14:textId="428FFF09" w:rsidR="00173F8E" w:rsidRPr="00167CB8" w:rsidRDefault="005863BA" w:rsidP="00173F8E">
      <w:pPr>
        <w:pStyle w:val="Heading5"/>
        <w:rPr>
          <w:rFonts w:asciiTheme="minorHAnsi" w:hAnsiTheme="minorHAnsi"/>
        </w:rPr>
      </w:pPr>
      <w:r w:rsidRPr="00167CB8">
        <w:rPr>
          <w:rFonts w:asciiTheme="minorHAnsi" w:hAnsiTheme="minorHAnsi"/>
        </w:rPr>
        <w:t>20</w:t>
      </w:r>
      <w:r w:rsidR="00173F8E" w:rsidRPr="00167CB8">
        <w:rPr>
          <w:rFonts w:asciiTheme="minorHAnsi" w:hAnsiTheme="minorHAnsi"/>
        </w:rPr>
        <w:t xml:space="preserve">.2.2 Qualitative </w:t>
      </w:r>
      <w:r w:rsidR="001E1A62" w:rsidRPr="00167CB8">
        <w:rPr>
          <w:rFonts w:asciiTheme="minorHAnsi" w:hAnsiTheme="minorHAnsi"/>
        </w:rPr>
        <w:t>e</w:t>
      </w:r>
      <w:r w:rsidR="00173F8E" w:rsidRPr="00167CB8">
        <w:rPr>
          <w:rFonts w:asciiTheme="minorHAnsi" w:hAnsiTheme="minorHAnsi"/>
        </w:rPr>
        <w:t>vidence</w:t>
      </w:r>
    </w:p>
    <w:p w14:paraId="4841FD78" w14:textId="77777777" w:rsidR="004B62BF" w:rsidRPr="00167CB8" w:rsidRDefault="004B62BF" w:rsidP="004B62BF">
      <w:r w:rsidRPr="00167CB8">
        <w:t xml:space="preserve">As indicated above, there have been two contested applications to terminate an agreement after its nominal expiry date made by an employer since the commencement of the Secure Jobs, Better Pay Act changes on 7 December 2022.  The FWC’s decisions in these decisions provide useful data. </w:t>
      </w:r>
    </w:p>
    <w:p w14:paraId="2025BB50" w14:textId="67B7044C" w:rsidR="00173F8E" w:rsidRPr="00167CB8" w:rsidRDefault="004B62BF" w:rsidP="00173F8E">
      <w:r w:rsidRPr="00167CB8">
        <w:t>First, i</w:t>
      </w:r>
      <w:r w:rsidR="00173F8E" w:rsidRPr="00167CB8">
        <w:t xml:space="preserve">n </w:t>
      </w:r>
      <w:r w:rsidR="00173F8E" w:rsidRPr="00167CB8">
        <w:rPr>
          <w:i/>
        </w:rPr>
        <w:t>Forest Coach Lines Pty Ltd</w:t>
      </w:r>
      <w:r w:rsidR="00173F8E" w:rsidRPr="00167CB8">
        <w:rPr>
          <w:rStyle w:val="FootnoteReference"/>
        </w:rPr>
        <w:footnoteReference w:id="732"/>
      </w:r>
      <w:r w:rsidR="00173F8E" w:rsidRPr="00167CB8">
        <w:t xml:space="preserve"> </w:t>
      </w:r>
      <w:r w:rsidR="00173F8E" w:rsidRPr="00167CB8">
        <w:rPr>
          <w:iCs/>
        </w:rPr>
        <w:t xml:space="preserve">(22 December </w:t>
      </w:r>
      <w:r w:rsidR="00173F8E" w:rsidRPr="00167CB8">
        <w:t>2023</w:t>
      </w:r>
      <w:r w:rsidR="00173F8E" w:rsidRPr="00167CB8">
        <w:rPr>
          <w:iCs/>
        </w:rPr>
        <w:t>)</w:t>
      </w:r>
      <w:r w:rsidR="00173F8E" w:rsidRPr="00167CB8">
        <w:t>, the employer sought to terminate the agreement on grounds that it does not cover any employees.</w:t>
      </w:r>
      <w:r w:rsidR="00173F8E" w:rsidRPr="00167CB8">
        <w:rPr>
          <w:rStyle w:val="FootnoteReference"/>
        </w:rPr>
        <w:footnoteReference w:id="733"/>
      </w:r>
      <w:r w:rsidR="00173F8E" w:rsidRPr="00167CB8">
        <w:t xml:space="preserve"> The Transport Workers’ Union (TWU) initially opposed the termination of the agreement</w:t>
      </w:r>
      <w:r w:rsidR="001E1A62" w:rsidRPr="00167CB8">
        <w:t>.</w:t>
      </w:r>
      <w:r w:rsidR="00173F8E" w:rsidRPr="00167CB8">
        <w:t xml:space="preserve"> </w:t>
      </w:r>
      <w:r w:rsidR="001E1A62" w:rsidRPr="00167CB8">
        <w:t>H</w:t>
      </w:r>
      <w:r w:rsidR="00173F8E" w:rsidRPr="00167CB8">
        <w:t>owever</w:t>
      </w:r>
      <w:r w:rsidR="001E1A62" w:rsidRPr="00167CB8">
        <w:t>,</w:t>
      </w:r>
      <w:r w:rsidR="00173F8E" w:rsidRPr="00167CB8">
        <w:t xml:space="preserve"> on further consideration, </w:t>
      </w:r>
      <w:r w:rsidR="001E1A62" w:rsidRPr="00167CB8">
        <w:t xml:space="preserve">it </w:t>
      </w:r>
      <w:r w:rsidR="00173F8E" w:rsidRPr="00167CB8">
        <w:t xml:space="preserve">‘formed the view that the Agreement does not cover any employees’ and withdrew </w:t>
      </w:r>
      <w:r w:rsidR="001E1A62" w:rsidRPr="00167CB8">
        <w:t xml:space="preserve">its </w:t>
      </w:r>
      <w:r w:rsidR="00173F8E" w:rsidRPr="00167CB8">
        <w:t>opposition.</w:t>
      </w:r>
      <w:r w:rsidR="00173F8E" w:rsidRPr="00167CB8">
        <w:rPr>
          <w:rStyle w:val="FootnoteReference"/>
        </w:rPr>
        <w:footnoteReference w:id="734"/>
      </w:r>
      <w:r w:rsidR="00173F8E" w:rsidRPr="00167CB8">
        <w:t xml:space="preserve"> </w:t>
      </w:r>
    </w:p>
    <w:p w14:paraId="628FA4EE" w14:textId="732CD796" w:rsidR="00173F8E" w:rsidRPr="00167CB8" w:rsidRDefault="004B62BF" w:rsidP="00173F8E">
      <w:r w:rsidRPr="00167CB8">
        <w:t xml:space="preserve">Second, in </w:t>
      </w:r>
      <w:r w:rsidR="00173F8E" w:rsidRPr="00167CB8">
        <w:rPr>
          <w:i/>
          <w:iCs/>
        </w:rPr>
        <w:t>BDS Support Services T/A Broadmeadows Disability</w:t>
      </w:r>
      <w:r w:rsidR="00173F8E" w:rsidRPr="00167CB8">
        <w:t xml:space="preserve"> Services</w:t>
      </w:r>
      <w:r w:rsidR="00173F8E" w:rsidRPr="00167CB8">
        <w:rPr>
          <w:rStyle w:val="FootnoteReference"/>
        </w:rPr>
        <w:footnoteReference w:id="735"/>
      </w:r>
      <w:r w:rsidR="00173F8E" w:rsidRPr="00167CB8">
        <w:t xml:space="preserve"> (22 October 2024), the employer sought to terminate the enterprise agreement on the basis that its continued operation posed a significant threat to the viability of their business.</w:t>
      </w:r>
      <w:r w:rsidR="00173F8E" w:rsidRPr="00167CB8">
        <w:rPr>
          <w:rStyle w:val="FootnoteReference"/>
        </w:rPr>
        <w:footnoteReference w:id="736"/>
      </w:r>
      <w:r w:rsidR="00173F8E" w:rsidRPr="00167CB8">
        <w:t xml:space="preserve"> The Full Bench of the FWC examined the evidence adduced in support of the application and considered that the Australian Government’s intention to prevent agreements being terminated as a </w:t>
      </w:r>
      <w:r w:rsidR="001E1A62" w:rsidRPr="00167CB8">
        <w:t>‘</w:t>
      </w:r>
      <w:r w:rsidR="00173F8E" w:rsidRPr="00167CB8">
        <w:t>bargaining tactic</w:t>
      </w:r>
      <w:r w:rsidR="001E1A62" w:rsidRPr="00167CB8">
        <w:t>’</w:t>
      </w:r>
      <w:r w:rsidR="00173F8E" w:rsidRPr="00167CB8">
        <w:t xml:space="preserve"> as relevant in the matter. Ultimately, the Full Bench was not satisfied the agreement </w:t>
      </w:r>
      <w:r w:rsidR="00173F8E" w:rsidRPr="00167CB8">
        <w:lastRenderedPageBreak/>
        <w:t>posed a threat to the viability of the business and that termination would be likely to reduce the potential of terminations of employment and dismissed the application to terminate.</w:t>
      </w:r>
      <w:r w:rsidR="00173F8E" w:rsidRPr="00167CB8">
        <w:rPr>
          <w:rStyle w:val="FootnoteReference"/>
        </w:rPr>
        <w:footnoteReference w:id="737"/>
      </w:r>
    </w:p>
    <w:p w14:paraId="3BB7397E" w14:textId="732E2F8F" w:rsidR="00173F8E" w:rsidRPr="00167CB8" w:rsidRDefault="00173F8E" w:rsidP="00173F8E">
      <w:r w:rsidRPr="00167CB8">
        <w:t>The above decisions demonstrate that</w:t>
      </w:r>
      <w:r w:rsidR="001E1A62" w:rsidRPr="00167CB8">
        <w:t>,</w:t>
      </w:r>
      <w:r w:rsidRPr="00167CB8">
        <w:t xml:space="preserve"> under the new termination provisions, employers have not successfully utilised the provisions to negatively impact employees’ rates of pay and terms and conditions of employment. </w:t>
      </w:r>
    </w:p>
    <w:p w14:paraId="7F257A59" w14:textId="292660C6" w:rsidR="00173F8E" w:rsidRPr="00167CB8" w:rsidRDefault="005863BA" w:rsidP="00173F8E">
      <w:pPr>
        <w:pStyle w:val="Heading5"/>
        <w:rPr>
          <w:rFonts w:asciiTheme="minorHAnsi" w:hAnsiTheme="minorHAnsi"/>
        </w:rPr>
      </w:pPr>
      <w:r w:rsidRPr="00167CB8">
        <w:rPr>
          <w:rFonts w:asciiTheme="minorHAnsi" w:hAnsiTheme="minorHAnsi"/>
        </w:rPr>
        <w:t>20</w:t>
      </w:r>
      <w:r w:rsidR="00173F8E" w:rsidRPr="00167CB8">
        <w:rPr>
          <w:rFonts w:asciiTheme="minorHAnsi" w:hAnsiTheme="minorHAnsi"/>
        </w:rPr>
        <w:t>.2.3 Stakeholder views</w:t>
      </w:r>
    </w:p>
    <w:p w14:paraId="5BD3B7E5" w14:textId="77777777" w:rsidR="00173F8E" w:rsidRPr="00167CB8" w:rsidRDefault="00173F8E" w:rsidP="00173F8E">
      <w:r w:rsidRPr="00167CB8">
        <w:t>Stakeholder views were largely split between unions and employer groups. Employers expressed a desire to make it easier to terminate agreements and raised concerns about the impact the Secure Jobs, Better Pay Act provisions have on their bargaining position. In contrast, unions were supportive of the amendments.</w:t>
      </w:r>
    </w:p>
    <w:p w14:paraId="6442A6ED" w14:textId="373BD63A" w:rsidR="00173F8E" w:rsidRPr="00167CB8" w:rsidRDefault="00173F8E" w:rsidP="00173F8E">
      <w:r w:rsidRPr="00167CB8">
        <w:t xml:space="preserve">Ai Group and </w:t>
      </w:r>
      <w:r w:rsidR="00A52AD9" w:rsidRPr="00167CB8">
        <w:t>the Business Council of Australia</w:t>
      </w:r>
      <w:r w:rsidRPr="00167CB8">
        <w:rPr>
          <w:rStyle w:val="FootnoteReference"/>
        </w:rPr>
        <w:footnoteReference w:id="738"/>
      </w:r>
      <w:r w:rsidRPr="00167CB8">
        <w:t xml:space="preserve"> both raised concerns that</w:t>
      </w:r>
      <w:r w:rsidR="001E1A62" w:rsidRPr="00167CB8">
        <w:t>,</w:t>
      </w:r>
      <w:r w:rsidRPr="00167CB8">
        <w:t xml:space="preserve"> combined with the </w:t>
      </w:r>
      <w:r w:rsidRPr="00167CB8" w:rsidDel="005E67E4">
        <w:t>intractable bargaining declarations</w:t>
      </w:r>
      <w:r w:rsidRPr="00167CB8">
        <w:t>, employers would be unable to remove ‘the generosity and restrictions of any existing enterprise agreement term</w:t>
      </w:r>
      <w:r w:rsidR="001E1A62" w:rsidRPr="00167CB8">
        <w:t>’</w:t>
      </w:r>
      <w:r w:rsidRPr="00167CB8">
        <w:t>.</w:t>
      </w:r>
      <w:r w:rsidRPr="00167CB8">
        <w:rPr>
          <w:rStyle w:val="FootnoteReference"/>
        </w:rPr>
        <w:footnoteReference w:id="739"/>
      </w:r>
      <w:r w:rsidRPr="00167CB8">
        <w:t xml:space="preserve"> </w:t>
      </w:r>
      <w:r w:rsidR="00A52AD9" w:rsidRPr="00167CB8">
        <w:t xml:space="preserve">The Australian Retailers Association </w:t>
      </w:r>
      <w:r w:rsidRPr="00167CB8">
        <w:t xml:space="preserve">also raised similar concerns about the interaction with </w:t>
      </w:r>
      <w:r w:rsidRPr="00167CB8" w:rsidDel="00E718DE">
        <w:t>intractable bargaining determinations</w:t>
      </w:r>
      <w:r w:rsidRPr="00167CB8">
        <w:t>.</w:t>
      </w:r>
      <w:r w:rsidRPr="00167CB8">
        <w:rPr>
          <w:rStyle w:val="FootnoteReference"/>
        </w:rPr>
        <w:footnoteReference w:id="740"/>
      </w:r>
      <w:r w:rsidRPr="00167CB8">
        <w:t xml:space="preserve"> A similar sentiment was shared by Maritime Industry Australia and </w:t>
      </w:r>
      <w:r w:rsidR="00A52AD9" w:rsidRPr="00167CB8">
        <w:t>Master Builders Australia</w:t>
      </w:r>
      <w:r w:rsidR="001E1A62" w:rsidRPr="00167CB8">
        <w:t>,</w:t>
      </w:r>
      <w:r w:rsidRPr="00167CB8">
        <w:rPr>
          <w:rStyle w:val="FootnoteReference"/>
        </w:rPr>
        <w:footnoteReference w:id="741"/>
      </w:r>
      <w:r w:rsidRPr="00167CB8">
        <w:t xml:space="preserve"> </w:t>
      </w:r>
      <w:r w:rsidR="001E1A62" w:rsidRPr="00167CB8">
        <w:t xml:space="preserve">which </w:t>
      </w:r>
      <w:r w:rsidRPr="00167CB8">
        <w:t>both raised concerns about exercising caution in what they agree to in an enterprise agreement. Maritime Industry Australia submit</w:t>
      </w:r>
      <w:r w:rsidR="001E1A62" w:rsidRPr="00167CB8">
        <w:t>ted that</w:t>
      </w:r>
      <w:r w:rsidRPr="00167CB8">
        <w:t xml:space="preserve"> employers will need </w:t>
      </w:r>
      <w:r w:rsidR="001E1A62" w:rsidRPr="00167CB8">
        <w:t>‘</w:t>
      </w:r>
      <w:r w:rsidRPr="00167CB8">
        <w:t>to consider the likely operating environment over the course of multiple EA terms, as historically once a condition is agreed in any future negotiations are based on a position that a term must be “bought” out, regardless of the operating environment</w:t>
      </w:r>
      <w:r w:rsidR="001E1A62" w:rsidRPr="00167CB8">
        <w:t>’</w:t>
      </w:r>
      <w:r w:rsidRPr="00167CB8">
        <w:t>.</w:t>
      </w:r>
      <w:r w:rsidRPr="00167CB8">
        <w:rPr>
          <w:rStyle w:val="FootnoteReference"/>
        </w:rPr>
        <w:footnoteReference w:id="742"/>
      </w:r>
      <w:r w:rsidRPr="00167CB8">
        <w:t xml:space="preserve"> Clubs Australia argue</w:t>
      </w:r>
      <w:r w:rsidR="001E1A62" w:rsidRPr="00167CB8">
        <w:t>d</w:t>
      </w:r>
      <w:r w:rsidRPr="00167CB8">
        <w:t xml:space="preserve"> that these amendments are making </w:t>
      </w:r>
      <w:r w:rsidR="001E1A62" w:rsidRPr="00167CB8">
        <w:t xml:space="preserve">it </w:t>
      </w:r>
      <w:r w:rsidRPr="00167CB8">
        <w:t>‘more challenging to negotiate new agreements</w:t>
      </w:r>
      <w:r w:rsidR="001E1A62" w:rsidRPr="00167CB8">
        <w:t xml:space="preserve"> </w:t>
      </w:r>
      <w:r w:rsidRPr="00167CB8">
        <w:t>… resulting in less flexible outcomes for clubs and employees</w:t>
      </w:r>
      <w:r w:rsidR="001E1A62" w:rsidRPr="00167CB8">
        <w:t>’</w:t>
      </w:r>
      <w:r w:rsidRPr="00167CB8">
        <w:t>.</w:t>
      </w:r>
      <w:r w:rsidRPr="00167CB8">
        <w:rPr>
          <w:rStyle w:val="FootnoteReference"/>
        </w:rPr>
        <w:footnoteReference w:id="743"/>
      </w:r>
      <w:r w:rsidRPr="00167CB8">
        <w:t xml:space="preserve"> </w:t>
      </w:r>
      <w:r w:rsidR="00A52AD9" w:rsidRPr="00167CB8">
        <w:t xml:space="preserve">The Australian Resources &amp; Energy Employer Association </w:t>
      </w:r>
      <w:r w:rsidRPr="00167CB8">
        <w:t>expressed similar sentiments.</w:t>
      </w:r>
      <w:r w:rsidRPr="00167CB8">
        <w:rPr>
          <w:rStyle w:val="FootnoteReference"/>
        </w:rPr>
        <w:footnoteReference w:id="744"/>
      </w:r>
    </w:p>
    <w:p w14:paraId="6C0AD106" w14:textId="57B786E0" w:rsidR="00173F8E" w:rsidRPr="00167CB8" w:rsidRDefault="00A52AD9" w:rsidP="00173F8E">
      <w:r w:rsidRPr="00167CB8">
        <w:t xml:space="preserve">The Australian Chamber of Commerce and Industry </w:t>
      </w:r>
      <w:r w:rsidR="00173F8E" w:rsidRPr="00167CB8">
        <w:t>recommended balancing the current amendment by taking into consideration the bargaining position of employers when considering termination of the agreement.</w:t>
      </w:r>
      <w:r w:rsidR="00173F8E" w:rsidRPr="00167CB8">
        <w:rPr>
          <w:rStyle w:val="FootnoteReference"/>
        </w:rPr>
        <w:footnoteReference w:id="745"/>
      </w:r>
      <w:r w:rsidR="00173F8E" w:rsidRPr="00167CB8">
        <w:t xml:space="preserve"> Ai Group made a similar recommendation and submit</w:t>
      </w:r>
      <w:r w:rsidR="001E1A62" w:rsidRPr="00167CB8">
        <w:t>ted</w:t>
      </w:r>
      <w:r w:rsidR="00173F8E" w:rsidRPr="00167CB8">
        <w:t xml:space="preserve"> that the consideration about unfairness to employees should also be extended to employers.</w:t>
      </w:r>
      <w:r w:rsidR="00173F8E" w:rsidRPr="00167CB8">
        <w:rPr>
          <w:rStyle w:val="FootnoteReference"/>
        </w:rPr>
        <w:footnoteReference w:id="746"/>
      </w:r>
    </w:p>
    <w:p w14:paraId="7601C7D7" w14:textId="73D78CF0" w:rsidR="00173F8E" w:rsidRPr="00167CB8" w:rsidRDefault="00173F8E" w:rsidP="00173F8E">
      <w:r w:rsidRPr="00167CB8">
        <w:t xml:space="preserve">Unions expressed broadly positive views on the amendments. The </w:t>
      </w:r>
      <w:r w:rsidR="00A52AD9" w:rsidRPr="00167CB8">
        <w:t>Australian Workers’ Union</w:t>
      </w:r>
      <w:r w:rsidRPr="00167CB8">
        <w:t xml:space="preserve">, </w:t>
      </w:r>
      <w:r w:rsidR="00A52AD9" w:rsidRPr="00167CB8">
        <w:t>Mining and Energy Union</w:t>
      </w:r>
      <w:r w:rsidRPr="00167CB8">
        <w:t xml:space="preserve">, </w:t>
      </w:r>
      <w:r w:rsidR="00A52AD9" w:rsidRPr="00167CB8">
        <w:t>United Workers Union</w:t>
      </w:r>
      <w:r w:rsidRPr="00167CB8">
        <w:t xml:space="preserve">, </w:t>
      </w:r>
      <w:r w:rsidR="00A52AD9" w:rsidRPr="00167CB8">
        <w:t>Community and Public Sector Union</w:t>
      </w:r>
      <w:r w:rsidRPr="00167CB8">
        <w:t xml:space="preserve"> and </w:t>
      </w:r>
      <w:r w:rsidR="00A52AD9" w:rsidRPr="00167CB8">
        <w:t>Australian Council of Trade Unions (</w:t>
      </w:r>
      <w:r w:rsidRPr="00167CB8">
        <w:t>ACTU</w:t>
      </w:r>
      <w:r w:rsidR="00A52AD9" w:rsidRPr="00167CB8">
        <w:t>)</w:t>
      </w:r>
      <w:r w:rsidRPr="00167CB8">
        <w:t xml:space="preserve"> all noted that the amendments effectively remove opportunities for employers to use termination of an agreement or the threat thereof during bargaining. The ACTU argued the ‘amendments were necessary in order to remove incentives and opportunities for employers to walk away from the deals they had made with their workforce and unions</w:t>
      </w:r>
      <w:r w:rsidR="001E1A62" w:rsidRPr="00167CB8">
        <w:t>’</w:t>
      </w:r>
      <w:r w:rsidRPr="00167CB8">
        <w:t>.</w:t>
      </w:r>
      <w:r w:rsidRPr="00167CB8">
        <w:rPr>
          <w:rStyle w:val="FootnoteReference"/>
        </w:rPr>
        <w:footnoteReference w:id="747"/>
      </w:r>
      <w:r w:rsidRPr="00167CB8">
        <w:t xml:space="preserve"> </w:t>
      </w:r>
    </w:p>
    <w:p w14:paraId="3D5C7C44" w14:textId="2F46CD2C" w:rsidR="00173F8E" w:rsidRPr="00167CB8" w:rsidRDefault="00874933" w:rsidP="00173F8E">
      <w:pPr>
        <w:pStyle w:val="Heading4"/>
        <w:rPr>
          <w:rFonts w:asciiTheme="minorHAnsi" w:hAnsiTheme="minorHAnsi"/>
        </w:rPr>
      </w:pPr>
      <w:bookmarkStart w:id="253" w:name="_Toc189260269"/>
      <w:bookmarkStart w:id="254" w:name="_Toc189393585"/>
      <w:r w:rsidRPr="00167CB8">
        <w:rPr>
          <w:rFonts w:asciiTheme="minorHAnsi" w:hAnsiTheme="minorHAnsi"/>
        </w:rPr>
        <w:lastRenderedPageBreak/>
        <w:t>20</w:t>
      </w:r>
      <w:r w:rsidR="00173F8E" w:rsidRPr="00167CB8">
        <w:rPr>
          <w:rFonts w:asciiTheme="minorHAnsi" w:hAnsiTheme="minorHAnsi"/>
        </w:rPr>
        <w:t xml:space="preserve">.3 Findings and </w:t>
      </w:r>
      <w:r w:rsidR="001E1A62" w:rsidRPr="00167CB8">
        <w:rPr>
          <w:rFonts w:asciiTheme="minorHAnsi" w:hAnsiTheme="minorHAnsi"/>
        </w:rPr>
        <w:t>r</w:t>
      </w:r>
      <w:r w:rsidR="00173F8E" w:rsidRPr="00167CB8">
        <w:rPr>
          <w:rFonts w:asciiTheme="minorHAnsi" w:hAnsiTheme="minorHAnsi"/>
        </w:rPr>
        <w:t>ecommendations</w:t>
      </w:r>
      <w:bookmarkEnd w:id="253"/>
      <w:bookmarkEnd w:id="254"/>
    </w:p>
    <w:p w14:paraId="20180B9B" w14:textId="77777777" w:rsidR="00173F8E" w:rsidRPr="00167CB8" w:rsidRDefault="00173F8E" w:rsidP="00173F8E">
      <w:r w:rsidRPr="00167CB8">
        <w:t>The Review Panel does not agree that</w:t>
      </w:r>
      <w:r w:rsidRPr="00167CB8" w:rsidDel="00175FA5">
        <w:t xml:space="preserve"> </w:t>
      </w:r>
      <w:r w:rsidRPr="00167CB8">
        <w:t xml:space="preserve">the threat of termination of enterprise agreements is a legitimate bargaining tactic. </w:t>
      </w:r>
    </w:p>
    <w:p w14:paraId="5581F70C" w14:textId="1A5778A0" w:rsidR="00173F8E" w:rsidRPr="00167CB8" w:rsidRDefault="004877BA" w:rsidP="00173F8E">
      <w:r w:rsidRPr="00167CB8">
        <w:t>The</w:t>
      </w:r>
      <w:r w:rsidR="00173F8E" w:rsidRPr="00167CB8">
        <w:t xml:space="preserve"> Review Panel finds that early evidence shows that these amendments have effectively discouraged the bargaining tactic of terminating agreements or threatening to do so</w:t>
      </w:r>
      <w:r w:rsidR="00D813D9" w:rsidRPr="00167CB8">
        <w:t>, as intended by the Australian Government</w:t>
      </w:r>
      <w:r w:rsidR="00173F8E" w:rsidRPr="00167CB8">
        <w:t xml:space="preserve">. </w:t>
      </w:r>
    </w:p>
    <w:p w14:paraId="75EF7AF9" w14:textId="27608CF0" w:rsidR="00173F8E" w:rsidRPr="00167CB8" w:rsidRDefault="00D813D9" w:rsidP="00173F8E">
      <w:r w:rsidRPr="00167CB8">
        <w:t>Consequently</w:t>
      </w:r>
      <w:r w:rsidR="00173F8E" w:rsidRPr="00167CB8">
        <w:t xml:space="preserve">, the Review Panel </w:t>
      </w:r>
      <w:r w:rsidRPr="00167CB8">
        <w:t xml:space="preserve">therefore </w:t>
      </w:r>
      <w:r w:rsidR="00173F8E" w:rsidRPr="00167CB8">
        <w:t>finds that the provisions relating to the termination of enterprise agreements after their nominal expiry date are operating appropriately and effectively.</w:t>
      </w:r>
    </w:p>
    <w:p w14:paraId="7F4D86B5" w14:textId="22BE3805" w:rsidR="00173F8E" w:rsidRPr="00167CB8" w:rsidRDefault="00173F8E" w:rsidP="00173F8E">
      <w:r w:rsidRPr="00167CB8">
        <w:t xml:space="preserve">While employer groups have expressed concerns about the impact the Secure Jobs, Better Pay amendments have had on their bargaining position, this bargaining tactic is not the appropriate solution. The Review Panel is of the view </w:t>
      </w:r>
      <w:r w:rsidR="001E1A62" w:rsidRPr="00167CB8">
        <w:t xml:space="preserve">that </w:t>
      </w:r>
      <w:r w:rsidRPr="00167CB8">
        <w:t>the Fair Work Act continues to allow employers to terminate agreements for genuine reasons.</w:t>
      </w:r>
    </w:p>
    <w:p w14:paraId="5C35CF74" w14:textId="040797C3" w:rsidR="00173F8E" w:rsidRPr="00167CB8" w:rsidRDefault="005638E9" w:rsidP="00173F8E">
      <w:pPr>
        <w:spacing w:after="160"/>
      </w:pPr>
      <w:r w:rsidRPr="00167CB8">
        <w:t>The Review Panel makes no recommendations at this time.</w:t>
      </w:r>
      <w:r w:rsidR="00173F8E" w:rsidRPr="00167CB8">
        <w:br w:type="page"/>
      </w:r>
    </w:p>
    <w:p w14:paraId="17647F2B" w14:textId="108E4BB7" w:rsidR="00173F8E" w:rsidRPr="00167CB8" w:rsidRDefault="00173F8E" w:rsidP="00173F8E">
      <w:pPr>
        <w:pStyle w:val="Heading3"/>
        <w:rPr>
          <w:rFonts w:asciiTheme="minorHAnsi" w:hAnsiTheme="minorHAnsi"/>
        </w:rPr>
      </w:pPr>
      <w:bookmarkStart w:id="255" w:name="_Toc189260270"/>
      <w:bookmarkStart w:id="256" w:name="_Toc189393586"/>
      <w:r w:rsidRPr="00167CB8">
        <w:rPr>
          <w:rFonts w:asciiTheme="minorHAnsi" w:hAnsiTheme="minorHAnsi"/>
        </w:rPr>
        <w:lastRenderedPageBreak/>
        <w:t xml:space="preserve">Chapter </w:t>
      </w:r>
      <w:r w:rsidR="003A22EE" w:rsidRPr="00167CB8">
        <w:rPr>
          <w:rFonts w:asciiTheme="minorHAnsi" w:hAnsiTheme="minorHAnsi"/>
        </w:rPr>
        <w:t>21</w:t>
      </w:r>
      <w:r w:rsidRPr="00167CB8">
        <w:rPr>
          <w:rFonts w:asciiTheme="minorHAnsi" w:hAnsiTheme="minorHAnsi"/>
        </w:rPr>
        <w:t xml:space="preserve">. Sunsetting of </w:t>
      </w:r>
      <w:r w:rsidR="001E1A62" w:rsidRPr="00167CB8">
        <w:rPr>
          <w:rFonts w:asciiTheme="minorHAnsi" w:hAnsiTheme="minorHAnsi"/>
        </w:rPr>
        <w:t>‘</w:t>
      </w:r>
      <w:r w:rsidRPr="00167CB8">
        <w:rPr>
          <w:rFonts w:asciiTheme="minorHAnsi" w:hAnsiTheme="minorHAnsi"/>
        </w:rPr>
        <w:t>zombie</w:t>
      </w:r>
      <w:r w:rsidR="001E1A62" w:rsidRPr="00167CB8">
        <w:rPr>
          <w:rFonts w:asciiTheme="minorHAnsi" w:hAnsiTheme="minorHAnsi"/>
        </w:rPr>
        <w:t>’</w:t>
      </w:r>
      <w:r w:rsidRPr="00167CB8">
        <w:rPr>
          <w:rFonts w:asciiTheme="minorHAnsi" w:hAnsiTheme="minorHAnsi"/>
        </w:rPr>
        <w:t xml:space="preserve"> agreements</w:t>
      </w:r>
      <w:bookmarkEnd w:id="255"/>
      <w:bookmarkEnd w:id="256"/>
    </w:p>
    <w:p w14:paraId="056F48ED" w14:textId="3DFB6759" w:rsidR="00173F8E" w:rsidRPr="00167CB8" w:rsidRDefault="00173F8E" w:rsidP="00173F8E">
      <w:r w:rsidRPr="00167CB8">
        <w:rPr>
          <w:rFonts w:cs="Calibri"/>
        </w:rPr>
        <w:t xml:space="preserve">Part 13 of Schedule 1 to the </w:t>
      </w:r>
      <w:r w:rsidRPr="00167CB8">
        <w:t xml:space="preserve">Secure Jobs, Better Pay </w:t>
      </w:r>
      <w:r w:rsidRPr="00167CB8">
        <w:rPr>
          <w:rFonts w:cs="Calibri"/>
        </w:rPr>
        <w:t xml:space="preserve">Act amended the </w:t>
      </w:r>
      <w:r w:rsidRPr="00167CB8">
        <w:rPr>
          <w:rFonts w:cs="Calibri"/>
          <w:i/>
          <w:iCs/>
        </w:rPr>
        <w:t xml:space="preserve">Fair Work (Transitional Provisions and Consequential Amendments) Act 2009 </w:t>
      </w:r>
      <w:r w:rsidR="001E1A62" w:rsidRPr="00167CB8">
        <w:rPr>
          <w:rFonts w:cs="Calibri"/>
        </w:rPr>
        <w:t xml:space="preserve">(Cth) </w:t>
      </w:r>
      <w:r w:rsidRPr="00167CB8">
        <w:rPr>
          <w:rFonts w:cs="Calibri"/>
        </w:rPr>
        <w:t>(</w:t>
      </w:r>
      <w:r w:rsidRPr="00167CB8">
        <w:t xml:space="preserve">Fair Work </w:t>
      </w:r>
      <w:r w:rsidRPr="00167CB8">
        <w:rPr>
          <w:rFonts w:cs="Calibri"/>
        </w:rPr>
        <w:t xml:space="preserve">Transitional Act) to sunset (terminate) all remaining transitional instruments preserved by that Act. </w:t>
      </w:r>
      <w:r w:rsidRPr="00167CB8">
        <w:t>These instruments were commonly referred to as ‘zombie</w:t>
      </w:r>
      <w:r w:rsidR="001E1A62" w:rsidRPr="00167CB8">
        <w:t>’</w:t>
      </w:r>
      <w:r w:rsidRPr="00167CB8">
        <w:t xml:space="preserve"> agreements. </w:t>
      </w:r>
    </w:p>
    <w:p w14:paraId="194D5755" w14:textId="1F97952C" w:rsidR="00173F8E" w:rsidRPr="00167CB8" w:rsidRDefault="00874933" w:rsidP="00173F8E">
      <w:pPr>
        <w:pStyle w:val="Heading4"/>
        <w:rPr>
          <w:rFonts w:asciiTheme="minorHAnsi" w:hAnsiTheme="minorHAnsi"/>
        </w:rPr>
      </w:pPr>
      <w:bookmarkStart w:id="257" w:name="_Toc189260271"/>
      <w:bookmarkStart w:id="258" w:name="_Toc189393587"/>
      <w:r w:rsidRPr="00167CB8">
        <w:rPr>
          <w:rFonts w:asciiTheme="minorHAnsi" w:hAnsiTheme="minorHAnsi"/>
        </w:rPr>
        <w:t>21</w:t>
      </w:r>
      <w:r w:rsidR="00173F8E" w:rsidRPr="00167CB8">
        <w:rPr>
          <w:rFonts w:asciiTheme="minorHAnsi" w:hAnsiTheme="minorHAnsi"/>
        </w:rPr>
        <w:t xml:space="preserve">.1 </w:t>
      </w:r>
      <w:r w:rsidR="00173F8E" w:rsidRPr="00167CB8">
        <w:t>Amendments</w:t>
      </w:r>
      <w:r w:rsidR="00173F8E" w:rsidRPr="00167CB8">
        <w:rPr>
          <w:rFonts w:asciiTheme="minorHAnsi" w:hAnsiTheme="minorHAnsi"/>
        </w:rPr>
        <w:t xml:space="preserve"> </w:t>
      </w:r>
      <w:r w:rsidR="001E1A62" w:rsidRPr="00167CB8">
        <w:rPr>
          <w:rFonts w:asciiTheme="minorHAnsi" w:hAnsiTheme="minorHAnsi"/>
        </w:rPr>
        <w:t>and i</w:t>
      </w:r>
      <w:r w:rsidR="00173F8E" w:rsidRPr="00167CB8">
        <w:rPr>
          <w:rFonts w:asciiTheme="minorHAnsi" w:hAnsiTheme="minorHAnsi"/>
        </w:rPr>
        <w:t>ntent</w:t>
      </w:r>
      <w:bookmarkEnd w:id="257"/>
      <w:bookmarkEnd w:id="258"/>
      <w:r w:rsidR="00173F8E" w:rsidRPr="00167CB8" w:rsidDel="00F64E15">
        <w:rPr>
          <w:rFonts w:asciiTheme="minorHAnsi" w:hAnsiTheme="minorHAnsi"/>
        </w:rPr>
        <w:t xml:space="preserve"> </w:t>
      </w:r>
    </w:p>
    <w:p w14:paraId="471C2A4D" w14:textId="2BDE527E" w:rsidR="00173F8E" w:rsidRPr="00167CB8" w:rsidRDefault="00173F8E" w:rsidP="00173F8E">
      <w:r w:rsidRPr="00167CB8">
        <w:t xml:space="preserve">The Secure Jobs, Better Pay Act amended the Fair Work Transitional Act to automatically sunset zombie agreements at the end of 6 December 2023 following a default period of 12 months, unless the </w:t>
      </w:r>
      <w:r w:rsidR="001E1A62" w:rsidRPr="00167CB8">
        <w:t>Fair Work Commission (</w:t>
      </w:r>
      <w:r w:rsidRPr="00167CB8">
        <w:t>FWC</w:t>
      </w:r>
      <w:r w:rsidR="001E1A62" w:rsidRPr="00167CB8">
        <w:t>)</w:t>
      </w:r>
      <w:r w:rsidRPr="00167CB8">
        <w:t xml:space="preserve"> extended the default period for an agreement.</w:t>
      </w:r>
    </w:p>
    <w:p w14:paraId="1E8F9E52" w14:textId="154280FE" w:rsidR="00173F8E" w:rsidRPr="00167CB8" w:rsidRDefault="00874933" w:rsidP="00173F8E">
      <w:pPr>
        <w:pStyle w:val="Heading5"/>
        <w:rPr>
          <w:rFonts w:asciiTheme="minorHAnsi" w:hAnsiTheme="minorHAnsi"/>
        </w:rPr>
      </w:pPr>
      <w:r w:rsidRPr="00167CB8">
        <w:rPr>
          <w:rFonts w:asciiTheme="minorHAnsi" w:hAnsiTheme="minorHAnsi"/>
        </w:rPr>
        <w:t>21</w:t>
      </w:r>
      <w:r w:rsidR="00173F8E" w:rsidRPr="00167CB8">
        <w:rPr>
          <w:rFonts w:asciiTheme="minorHAnsi" w:hAnsiTheme="minorHAnsi"/>
        </w:rPr>
        <w:t xml:space="preserve">.1.1 </w:t>
      </w:r>
      <w:r w:rsidR="00173F8E" w:rsidRPr="00167CB8">
        <w:t xml:space="preserve">Secure Jobs, Better Pay </w:t>
      </w:r>
      <w:r w:rsidR="001E1A62" w:rsidRPr="00167CB8">
        <w:rPr>
          <w:rFonts w:asciiTheme="minorHAnsi" w:hAnsiTheme="minorHAnsi"/>
        </w:rPr>
        <w:t>a</w:t>
      </w:r>
      <w:r w:rsidR="00173F8E" w:rsidRPr="00167CB8">
        <w:rPr>
          <w:rFonts w:asciiTheme="minorHAnsi" w:hAnsiTheme="minorHAnsi"/>
        </w:rPr>
        <w:t>mendments</w:t>
      </w:r>
    </w:p>
    <w:p w14:paraId="06B97B2C" w14:textId="77777777" w:rsidR="00173F8E" w:rsidRPr="00167CB8" w:rsidRDefault="00173F8E" w:rsidP="00173F8E">
      <w:r w:rsidRPr="00167CB8">
        <w:t>Part 13 of Schedule 1 of the Secure Jobs, Better Pay Act amended the Fair Work Transitional Act to automatically sunset all remaining transitional instruments preserved by that Act:</w:t>
      </w:r>
    </w:p>
    <w:p w14:paraId="14B6F01F" w14:textId="335B591B" w:rsidR="00173F8E" w:rsidRPr="00167CB8" w:rsidRDefault="00173F8E" w:rsidP="00EA3E2F">
      <w:pPr>
        <w:pStyle w:val="ListBullet"/>
      </w:pPr>
      <w:r w:rsidRPr="00167CB8">
        <w:t>agreement-based transitional instruments under Schedule 3</w:t>
      </w:r>
    </w:p>
    <w:p w14:paraId="4926A463" w14:textId="2718D824" w:rsidR="00173F8E" w:rsidRPr="00167CB8" w:rsidRDefault="001E1A62" w:rsidP="00EA3E2F">
      <w:pPr>
        <w:pStyle w:val="ListBullet"/>
      </w:pPr>
      <w:r w:rsidRPr="00167CB8">
        <w:t>D</w:t>
      </w:r>
      <w:r w:rsidR="00173F8E" w:rsidRPr="00167CB8">
        <w:t xml:space="preserve">ivision 2B </w:t>
      </w:r>
      <w:r w:rsidR="00A52AD9" w:rsidRPr="00167CB8">
        <w:t>s</w:t>
      </w:r>
      <w:r w:rsidR="00173F8E" w:rsidRPr="00167CB8">
        <w:t>tate employment agreements under Schedule 3A</w:t>
      </w:r>
    </w:p>
    <w:p w14:paraId="6A7D3C9C" w14:textId="7F28A29C" w:rsidR="00173F8E" w:rsidRPr="00167CB8" w:rsidRDefault="00173F8E" w:rsidP="00EA3E2F">
      <w:pPr>
        <w:pStyle w:val="ListBullet"/>
      </w:pPr>
      <w:r w:rsidRPr="00167CB8">
        <w:t>enterprise agreements made during the bridging period (from 1 July 2009 to 31</w:t>
      </w:r>
      <w:r w:rsidR="001E1A62" w:rsidRPr="00167CB8">
        <w:t> </w:t>
      </w:r>
      <w:r w:rsidRPr="00167CB8">
        <w:t>December 2009) under Schedule 7 to the Fair Work Transitional Act.</w:t>
      </w:r>
    </w:p>
    <w:p w14:paraId="2F882A1D" w14:textId="304FBFC0" w:rsidR="00173F8E" w:rsidRPr="00167CB8" w:rsidRDefault="00173F8E" w:rsidP="00173F8E">
      <w:r w:rsidRPr="00167CB8">
        <w:t>The Secure Jobs, Better Pay Act amended Schedules 3, 3A and 7 to the Fair Work Transitional Act to:</w:t>
      </w:r>
    </w:p>
    <w:p w14:paraId="15C46B29" w14:textId="77777777" w:rsidR="00173F8E" w:rsidRPr="00167CB8" w:rsidRDefault="00173F8E" w:rsidP="00EA3E2F">
      <w:pPr>
        <w:pStyle w:val="ListBullet"/>
      </w:pPr>
      <w:r w:rsidRPr="00167CB8">
        <w:t xml:space="preserve">automatically sunset the relevant class of zombie agreement at the end of the grace period for the agreement if it has not already ceased to operate before that time (i.e. a default period of 12 months, which may be extended by the FWC with the period of extension becoming the new grace period) </w:t>
      </w:r>
    </w:p>
    <w:p w14:paraId="2B4FC875" w14:textId="54F32A17" w:rsidR="00173F8E" w:rsidRPr="00167CB8" w:rsidRDefault="00173F8E" w:rsidP="00EA3E2F">
      <w:pPr>
        <w:pStyle w:val="ListBullet"/>
      </w:pPr>
      <w:r w:rsidRPr="00167CB8">
        <w:t xml:space="preserve">require employers to give affected employees notice of automatic sunsetting within </w:t>
      </w:r>
      <w:r w:rsidR="001E1A62" w:rsidRPr="00167CB8">
        <w:t xml:space="preserve">6 </w:t>
      </w:r>
      <w:r w:rsidRPr="00167CB8">
        <w:t xml:space="preserve">months of commencement, including information about the automatic sunsetting, its timing, and the FWC’s role in extending the default period </w:t>
      </w:r>
    </w:p>
    <w:p w14:paraId="2EC9EBB3" w14:textId="77777777" w:rsidR="00173F8E" w:rsidRPr="00167CB8" w:rsidRDefault="00173F8E" w:rsidP="00EA3E2F">
      <w:pPr>
        <w:pStyle w:val="ListBullet"/>
      </w:pPr>
      <w:r w:rsidRPr="00167CB8">
        <w:t>set out the process for making an application to the FWC to extend the default period, including who may apply and how an application is made</w:t>
      </w:r>
    </w:p>
    <w:p w14:paraId="1363F88A" w14:textId="77777777" w:rsidR="00173F8E" w:rsidRPr="00167CB8" w:rsidRDefault="00173F8E" w:rsidP="00EA3E2F">
      <w:pPr>
        <w:pStyle w:val="ListBullet"/>
      </w:pPr>
      <w:r w:rsidRPr="00167CB8">
        <w:t>empower the FWC to extend the default period for a period of no more than 4 years at a time if the FWC is satisfied the applicable criteria have been met</w:t>
      </w:r>
    </w:p>
    <w:p w14:paraId="7D4276AF" w14:textId="0FA29218" w:rsidR="00173F8E" w:rsidRPr="00167CB8" w:rsidRDefault="00173F8E" w:rsidP="00EA3E2F">
      <w:pPr>
        <w:pStyle w:val="ListBullet"/>
      </w:pPr>
      <w:r w:rsidRPr="00167CB8">
        <w:t>set out rules for pending applications</w:t>
      </w:r>
    </w:p>
    <w:p w14:paraId="79D00C62" w14:textId="6ACB5F1C" w:rsidR="00173F8E" w:rsidRPr="00167CB8" w:rsidRDefault="00173F8E" w:rsidP="00EA3E2F">
      <w:pPr>
        <w:pStyle w:val="ListBullet"/>
      </w:pPr>
      <w:r w:rsidRPr="00167CB8">
        <w:t>for enterprise agreements made during the bridging period</w:t>
      </w:r>
      <w:r w:rsidR="001E1A62" w:rsidRPr="00167CB8">
        <w:rPr>
          <w:rFonts w:ascii="Symbol" w:eastAsia="Symbol" w:hAnsi="Symbol" w:cs="Symbol"/>
        </w:rPr>
        <w:sym w:font="Symbol" w:char="F02D"/>
      </w:r>
      <w:r w:rsidR="001E1A62" w:rsidRPr="00167CB8">
        <w:t xml:space="preserve"> </w:t>
      </w:r>
      <w:r w:rsidRPr="00167CB8">
        <w:t>provide for the effect of sunsetting.</w:t>
      </w:r>
      <w:r w:rsidRPr="00167CB8">
        <w:rPr>
          <w:rStyle w:val="FootnoteReference"/>
        </w:rPr>
        <w:footnoteReference w:id="748"/>
      </w:r>
    </w:p>
    <w:p w14:paraId="3D7812B3" w14:textId="170C9E73" w:rsidR="00173F8E" w:rsidRPr="00167CB8" w:rsidRDefault="00874933" w:rsidP="00173F8E">
      <w:pPr>
        <w:pStyle w:val="Heading5"/>
        <w:rPr>
          <w:rFonts w:asciiTheme="minorHAnsi" w:hAnsiTheme="minorHAnsi"/>
        </w:rPr>
      </w:pPr>
      <w:r w:rsidRPr="00167CB8">
        <w:rPr>
          <w:rFonts w:asciiTheme="minorHAnsi" w:hAnsiTheme="minorHAnsi"/>
        </w:rPr>
        <w:t>21</w:t>
      </w:r>
      <w:r w:rsidR="00173F8E" w:rsidRPr="00167CB8">
        <w:rPr>
          <w:rFonts w:asciiTheme="minorHAnsi" w:hAnsiTheme="minorHAnsi"/>
        </w:rPr>
        <w:t xml:space="preserve">.1.2 Intent of </w:t>
      </w:r>
      <w:r w:rsidR="00173F8E" w:rsidRPr="00167CB8">
        <w:t xml:space="preserve">Secure Jobs, Better Pay </w:t>
      </w:r>
      <w:r w:rsidR="001E1A62" w:rsidRPr="00167CB8">
        <w:rPr>
          <w:rFonts w:asciiTheme="minorHAnsi" w:hAnsiTheme="minorHAnsi"/>
        </w:rPr>
        <w:t>a</w:t>
      </w:r>
      <w:r w:rsidR="00173F8E" w:rsidRPr="00167CB8">
        <w:rPr>
          <w:rFonts w:asciiTheme="minorHAnsi" w:hAnsiTheme="minorHAnsi"/>
        </w:rPr>
        <w:t>mendments</w:t>
      </w:r>
    </w:p>
    <w:p w14:paraId="427223AF" w14:textId="5A275D32" w:rsidR="00173F8E" w:rsidRPr="00167CB8" w:rsidRDefault="00173F8E" w:rsidP="00173F8E">
      <w:r w:rsidRPr="00167CB8">
        <w:t xml:space="preserve">Prior to the Secure Jobs, Better Pay Act, zombie agreements continued to operate unless terminated or replaced. </w:t>
      </w:r>
      <w:r w:rsidRPr="00167CB8">
        <w:rPr>
          <w:rFonts w:eastAsia="Aptos" w:cs="Aptos"/>
        </w:rPr>
        <w:t xml:space="preserve">Zombie agreements often contained conditions that were inferior to those provided for by the relevant modern award that would otherwise apply. </w:t>
      </w:r>
      <w:r w:rsidRPr="00167CB8">
        <w:t xml:space="preserve">As the FWC has no discretion to terminate agreements on its own motion, this resulted in employees having to </w:t>
      </w:r>
      <w:r w:rsidRPr="00167CB8">
        <w:lastRenderedPageBreak/>
        <w:t>proactively make applications to terminate agreements to remove any inferior conditions</w:t>
      </w:r>
      <w:r w:rsidR="001E1A62" w:rsidRPr="00167CB8">
        <w:t xml:space="preserve"> </w:t>
      </w:r>
      <w:r w:rsidR="001E1A62" w:rsidRPr="00167CB8">
        <w:rPr>
          <w:rFonts w:ascii="Symbol" w:eastAsia="Symbol" w:hAnsi="Symbol" w:cs="Symbol"/>
        </w:rPr>
        <w:sym w:font="Symbol" w:char="F02D"/>
      </w:r>
      <w:r w:rsidR="001E1A62" w:rsidRPr="00167CB8">
        <w:t xml:space="preserve"> </w:t>
      </w:r>
      <w:r w:rsidRPr="00167CB8">
        <w:t>a process many employees were not familiar with.</w:t>
      </w:r>
      <w:r w:rsidRPr="00167CB8">
        <w:rPr>
          <w:rStyle w:val="FootnoteReference"/>
        </w:rPr>
        <w:footnoteReference w:id="749"/>
      </w:r>
      <w:r w:rsidRPr="00167CB8">
        <w:t xml:space="preserve"> </w:t>
      </w:r>
    </w:p>
    <w:p w14:paraId="2FCFD56E" w14:textId="3E0BA5FC" w:rsidR="00173F8E" w:rsidRPr="00167CB8" w:rsidRDefault="00E44D15" w:rsidP="00173F8E">
      <w:pPr>
        <w:rPr>
          <w:rFonts w:eastAsia="Aptos" w:cs="Aptos"/>
        </w:rPr>
      </w:pPr>
      <w:r w:rsidRPr="00167CB8">
        <w:rPr>
          <w:rFonts w:eastAsia="Aptos" w:cs="Aptos"/>
        </w:rPr>
        <w:t xml:space="preserve">The nature of the problem was demonstrated in </w:t>
      </w:r>
      <w:r w:rsidR="00173F8E" w:rsidRPr="00167CB8">
        <w:rPr>
          <w:rFonts w:eastAsia="Aptos" w:cs="Aptos"/>
          <w:i/>
        </w:rPr>
        <w:t>Empire Holdings (QLD) Pty Ltd T/A Empire Hotel and Cloudland</w:t>
      </w:r>
      <w:r w:rsidR="00173F8E" w:rsidRPr="00167CB8" w:rsidDel="00A52AD9">
        <w:rPr>
          <w:rFonts w:eastAsia="Aptos" w:cs="Aptos"/>
          <w:i/>
        </w:rPr>
        <w:t xml:space="preserve"> </w:t>
      </w:r>
      <w:r w:rsidR="00173F8E" w:rsidRPr="00167CB8" w:rsidDel="00A52AD9">
        <w:rPr>
          <w:rFonts w:eastAsia="Aptos" w:cs="Aptos"/>
        </w:rPr>
        <w:t>(11 January 2022)</w:t>
      </w:r>
      <w:r w:rsidR="001E1A62" w:rsidRPr="00167CB8">
        <w:rPr>
          <w:rFonts w:eastAsia="Aptos" w:cs="Aptos"/>
        </w:rPr>
        <w:t>,</w:t>
      </w:r>
      <w:r w:rsidR="00173F8E" w:rsidRPr="00167CB8">
        <w:rPr>
          <w:rStyle w:val="FootnoteReference"/>
          <w:rFonts w:eastAsia="Aptos" w:cs="Aptos"/>
        </w:rPr>
        <w:footnoteReference w:id="750"/>
      </w:r>
      <w:r w:rsidR="00173F8E" w:rsidRPr="00167CB8">
        <w:rPr>
          <w:rFonts w:eastAsia="Aptos" w:cs="Aptos"/>
        </w:rPr>
        <w:t xml:space="preserve"> </w:t>
      </w:r>
      <w:r w:rsidR="00D16C77" w:rsidRPr="00167CB8">
        <w:rPr>
          <w:rFonts w:eastAsia="Aptos" w:cs="Aptos"/>
        </w:rPr>
        <w:t xml:space="preserve">where </w:t>
      </w:r>
      <w:r w:rsidR="00173F8E" w:rsidRPr="00167CB8">
        <w:rPr>
          <w:rFonts w:eastAsia="Aptos" w:cs="Aptos"/>
        </w:rPr>
        <w:t>the FWC noted the deficiencies of zombie agreements</w:t>
      </w:r>
      <w:r w:rsidR="00855F33" w:rsidRPr="00167CB8">
        <w:rPr>
          <w:rFonts w:eastAsia="Aptos" w:cs="Aptos"/>
        </w:rPr>
        <w:t>,</w:t>
      </w:r>
      <w:r w:rsidR="00173F8E" w:rsidRPr="00167CB8">
        <w:rPr>
          <w:rFonts w:eastAsia="Aptos" w:cs="Aptos"/>
        </w:rPr>
        <w:t xml:space="preserve"> stating that these agreements often deny employees some benefits within modern awards</w:t>
      </w:r>
      <w:r w:rsidR="00855F33" w:rsidRPr="00167CB8">
        <w:rPr>
          <w:rFonts w:eastAsia="Aptos" w:cs="Aptos"/>
        </w:rPr>
        <w:t>,</w:t>
      </w:r>
      <w:r w:rsidR="00173F8E" w:rsidRPr="00167CB8">
        <w:rPr>
          <w:rFonts w:eastAsia="Aptos" w:cs="Aptos"/>
        </w:rPr>
        <w:t xml:space="preserve"> including penalty rates.</w:t>
      </w:r>
      <w:r w:rsidR="00173F8E" w:rsidRPr="00167CB8">
        <w:rPr>
          <w:rStyle w:val="FootnoteReference"/>
          <w:rFonts w:eastAsia="Aptos" w:cs="Aptos"/>
        </w:rPr>
        <w:footnoteReference w:id="751"/>
      </w:r>
      <w:r w:rsidR="00173F8E" w:rsidRPr="00167CB8">
        <w:rPr>
          <w:rFonts w:eastAsia="Aptos" w:cs="Aptos"/>
        </w:rPr>
        <w:t xml:space="preserve">  </w:t>
      </w:r>
    </w:p>
    <w:p w14:paraId="533BA32B" w14:textId="5FEB835F" w:rsidR="00173F8E" w:rsidRPr="00167CB8" w:rsidRDefault="00173F8E" w:rsidP="00173F8E">
      <w:r w:rsidRPr="00167CB8">
        <w:rPr>
          <w:rFonts w:eastAsia="Aptos" w:cs="Aptos"/>
        </w:rPr>
        <w:t xml:space="preserve">The sunsetting of zombie agreement provisions introduced by the </w:t>
      </w:r>
      <w:r w:rsidRPr="00167CB8">
        <w:t xml:space="preserve">Secure Jobs, Better Pay </w:t>
      </w:r>
      <w:r w:rsidRPr="00167CB8">
        <w:rPr>
          <w:rFonts w:eastAsia="Aptos" w:cs="Aptos"/>
        </w:rPr>
        <w:t>Act intend to address the</w:t>
      </w:r>
      <w:r w:rsidR="000F0A86" w:rsidRPr="00167CB8">
        <w:rPr>
          <w:rFonts w:eastAsia="Aptos" w:cs="Aptos"/>
        </w:rPr>
        <w:t>se</w:t>
      </w:r>
      <w:r w:rsidRPr="00167CB8">
        <w:rPr>
          <w:rFonts w:eastAsia="Aptos" w:cs="Aptos"/>
        </w:rPr>
        <w:t xml:space="preserve"> deficiencies. </w:t>
      </w:r>
      <w:r w:rsidRPr="00167CB8">
        <w:t>In the Explanatory Memorandum the Australian Government stated:</w:t>
      </w:r>
      <w:r w:rsidR="00855F33" w:rsidRPr="00167CB8">
        <w:rPr>
          <w:rStyle w:val="FootnoteReference"/>
        </w:rPr>
        <w:footnoteReference w:id="752"/>
      </w:r>
    </w:p>
    <w:p w14:paraId="31EF8A07" w14:textId="7C4BD2F7" w:rsidR="00173F8E" w:rsidRPr="00167CB8" w:rsidRDefault="00173F8E" w:rsidP="00C83147">
      <w:pPr>
        <w:pStyle w:val="Quote"/>
      </w:pPr>
      <w:r w:rsidRPr="00167CB8">
        <w:t xml:space="preserve">87. </w:t>
      </w:r>
      <w:r w:rsidRPr="00167CB8">
        <w:tab/>
        <w:t xml:space="preserve">These remaining transitional instruments set pay and conditions for covered employees, and many provide take-home pay and conditions inferior to those provided by the relevant modern award that would otherwise apply. Sunsetting these transitional instruments (following an extended transitional period provided upon commencement of the Fair Work Act more than a decade ago) is expected to uplift terms and conditions of employment for many employees as they would become covered by the relevant modern award or (if made) enterprise agreement. </w:t>
      </w:r>
    </w:p>
    <w:p w14:paraId="59DC2B84" w14:textId="59A308CA" w:rsidR="00855F33" w:rsidRPr="00167CB8" w:rsidRDefault="00173F8E" w:rsidP="00173F8E">
      <w:r w:rsidRPr="00167CB8">
        <w:t xml:space="preserve">In removing inferior conditions, the Australian Government </w:t>
      </w:r>
      <w:r w:rsidR="00D24170" w:rsidRPr="00167CB8">
        <w:t xml:space="preserve">also </w:t>
      </w:r>
      <w:r w:rsidRPr="00167CB8">
        <w:t>stated</w:t>
      </w:r>
      <w:r w:rsidR="00855F33" w:rsidRPr="00167CB8">
        <w:t>:</w:t>
      </w:r>
      <w:r w:rsidR="00855F33" w:rsidRPr="00167CB8">
        <w:rPr>
          <w:rStyle w:val="FootnoteReference"/>
        </w:rPr>
        <w:footnoteReference w:id="753"/>
      </w:r>
    </w:p>
    <w:p w14:paraId="4D8F0D7A" w14:textId="7408A0EE" w:rsidR="00173F8E" w:rsidRPr="00167CB8" w:rsidRDefault="00173F8E" w:rsidP="00C83147">
      <w:pPr>
        <w:pStyle w:val="Quote"/>
      </w:pPr>
      <w:r w:rsidRPr="00167CB8">
        <w:t>employers will no longer have to compete with businesses operating under terms and conditions of employment that were assessed under an inferior test</w:t>
      </w:r>
      <w:r w:rsidR="00855F33" w:rsidRPr="00167CB8">
        <w:t xml:space="preserve"> </w:t>
      </w:r>
      <w:r w:rsidRPr="00167CB8">
        <w:t>… [and] [b]usinesses would be bound by the relevant modern award which sets employees’ pay and conditions (alone or in combination with contracts of employment), or may opt to bargain for a new agreement better suited to their circumstances. This will level the playing field, reduce complexity and encourage agreement making.</w:t>
      </w:r>
    </w:p>
    <w:p w14:paraId="0404E07C" w14:textId="0A12ADD2" w:rsidR="00173F8E" w:rsidRPr="00167CB8" w:rsidRDefault="00874933" w:rsidP="00173F8E">
      <w:pPr>
        <w:pStyle w:val="Heading4"/>
        <w:rPr>
          <w:rFonts w:asciiTheme="minorHAnsi" w:hAnsiTheme="minorHAnsi"/>
        </w:rPr>
      </w:pPr>
      <w:bookmarkStart w:id="259" w:name="_Toc189260272"/>
      <w:bookmarkStart w:id="260" w:name="_Toc189393588"/>
      <w:r w:rsidRPr="00167CB8">
        <w:rPr>
          <w:rFonts w:asciiTheme="minorHAnsi" w:hAnsiTheme="minorHAnsi"/>
        </w:rPr>
        <w:t>21</w:t>
      </w:r>
      <w:r w:rsidR="00173F8E" w:rsidRPr="00167CB8">
        <w:rPr>
          <w:rFonts w:asciiTheme="minorHAnsi" w:hAnsiTheme="minorHAnsi"/>
        </w:rPr>
        <w:t xml:space="preserve">.2 Impact and </w:t>
      </w:r>
      <w:r w:rsidR="00855F33" w:rsidRPr="00167CB8">
        <w:rPr>
          <w:rFonts w:asciiTheme="minorHAnsi" w:hAnsiTheme="minorHAnsi"/>
        </w:rPr>
        <w:t>i</w:t>
      </w:r>
      <w:r w:rsidR="00173F8E" w:rsidRPr="00167CB8">
        <w:rPr>
          <w:rFonts w:asciiTheme="minorHAnsi" w:hAnsiTheme="minorHAnsi"/>
        </w:rPr>
        <w:t>ssues</w:t>
      </w:r>
      <w:bookmarkEnd w:id="259"/>
      <w:bookmarkEnd w:id="260"/>
    </w:p>
    <w:p w14:paraId="4A249C62" w14:textId="09A2FF60" w:rsidR="00173F8E" w:rsidRPr="00167CB8" w:rsidRDefault="00173F8E" w:rsidP="00173F8E">
      <w:r w:rsidRPr="00167CB8">
        <w:t>The Secure Jobs, Better Pay Act introduced provisions which required employers to give affected employees notice by 6 June 2023 that their agreement would automatically terminate at the end of 6 December 2023. The notice was required to include information about the automatic sunsetting, its timing and the FWC’s role in extending the default period.</w:t>
      </w:r>
    </w:p>
    <w:p w14:paraId="7990434D" w14:textId="77777777" w:rsidR="00173F8E" w:rsidRPr="00167CB8" w:rsidRDefault="00173F8E" w:rsidP="00173F8E">
      <w:r w:rsidRPr="00167CB8">
        <w:t>The FWC published extensive material to support employers with the provisions, including:</w:t>
      </w:r>
    </w:p>
    <w:p w14:paraId="2E72C9CC" w14:textId="4D2BAE30" w:rsidR="00173F8E" w:rsidRPr="00167CB8" w:rsidRDefault="00855F33" w:rsidP="00EA3E2F">
      <w:pPr>
        <w:pStyle w:val="ListBullet"/>
      </w:pPr>
      <w:r w:rsidRPr="00167CB8">
        <w:t>a</w:t>
      </w:r>
      <w:r w:rsidR="00173F8E" w:rsidRPr="00167CB8">
        <w:t xml:space="preserve"> guide for employers around providing the written notice to employees</w:t>
      </w:r>
      <w:r w:rsidR="00173F8E" w:rsidRPr="00167CB8">
        <w:rPr>
          <w:rStyle w:val="FootnoteReference"/>
        </w:rPr>
        <w:footnoteReference w:id="754"/>
      </w:r>
    </w:p>
    <w:p w14:paraId="04B47573" w14:textId="1FC636A4" w:rsidR="00173F8E" w:rsidRPr="00167CB8" w:rsidRDefault="00855F33" w:rsidP="00EA3E2F">
      <w:pPr>
        <w:pStyle w:val="ListBullet"/>
      </w:pPr>
      <w:r w:rsidRPr="00167CB8">
        <w:lastRenderedPageBreak/>
        <w:t>a</w:t>
      </w:r>
      <w:r w:rsidR="00173F8E" w:rsidRPr="00167CB8">
        <w:t xml:space="preserve"> template written notice</w:t>
      </w:r>
      <w:r w:rsidR="00173F8E" w:rsidRPr="00167CB8">
        <w:rPr>
          <w:rStyle w:val="FootnoteReference"/>
        </w:rPr>
        <w:footnoteReference w:id="755"/>
      </w:r>
    </w:p>
    <w:p w14:paraId="1A0A6431" w14:textId="122AE4D5" w:rsidR="00173F8E" w:rsidRPr="00167CB8" w:rsidRDefault="00855F33" w:rsidP="00EA3E2F">
      <w:pPr>
        <w:pStyle w:val="ListBullet"/>
      </w:pPr>
      <w:r w:rsidRPr="00167CB8">
        <w:t>a</w:t>
      </w:r>
      <w:r w:rsidR="00173F8E" w:rsidRPr="00167CB8">
        <w:t xml:space="preserve"> dedicated form for extension applications (Form F81)</w:t>
      </w:r>
      <w:r w:rsidR="00173F8E" w:rsidRPr="00167CB8">
        <w:rPr>
          <w:rStyle w:val="FootnoteReference"/>
        </w:rPr>
        <w:footnoteReference w:id="756"/>
      </w:r>
    </w:p>
    <w:p w14:paraId="1BB2741C" w14:textId="12997C26" w:rsidR="00173F8E" w:rsidRPr="00167CB8" w:rsidRDefault="00855F33" w:rsidP="00EA3E2F">
      <w:pPr>
        <w:pStyle w:val="ListBullet"/>
      </w:pPr>
      <w:r w:rsidRPr="00167CB8">
        <w:t>i</w:t>
      </w:r>
      <w:r w:rsidR="00173F8E" w:rsidRPr="00167CB8">
        <w:t>nformation about how to make an application for an extension of the zombie agreement using the approved Form F81</w:t>
      </w:r>
      <w:r w:rsidR="00173F8E" w:rsidRPr="00167CB8">
        <w:rPr>
          <w:rStyle w:val="FootnoteReference"/>
        </w:rPr>
        <w:footnoteReference w:id="757"/>
      </w:r>
    </w:p>
    <w:p w14:paraId="281D1484" w14:textId="253C7D32" w:rsidR="00173F8E" w:rsidRPr="00167CB8" w:rsidRDefault="00855F33" w:rsidP="00EA3E2F">
      <w:pPr>
        <w:pStyle w:val="ListBullet"/>
      </w:pPr>
      <w:r w:rsidRPr="00167CB8">
        <w:t>a</w:t>
      </w:r>
      <w:r w:rsidR="00173F8E" w:rsidRPr="00167CB8">
        <w:t>n interactive checklist and fact sheet to help employees and employers determine if they were affected</w:t>
      </w:r>
      <w:r w:rsidRPr="00167CB8">
        <w:t>.</w:t>
      </w:r>
      <w:r w:rsidR="00173F8E" w:rsidRPr="00167CB8">
        <w:rPr>
          <w:rStyle w:val="FootnoteReference"/>
        </w:rPr>
        <w:footnoteReference w:id="758"/>
      </w:r>
    </w:p>
    <w:p w14:paraId="5E987206" w14:textId="2FD459C7" w:rsidR="00B80EB4" w:rsidRPr="00167CB8" w:rsidRDefault="00B54239" w:rsidP="00B80EB4">
      <w:r w:rsidRPr="00167CB8">
        <w:t>The data relevant to assessing the effectiveness of these amendments comes in three forms: quantitative, qualitative and stakeholder views.</w:t>
      </w:r>
    </w:p>
    <w:p w14:paraId="7EA8C439" w14:textId="1C9BB445" w:rsidR="00173F8E" w:rsidRPr="00167CB8" w:rsidRDefault="00874933" w:rsidP="00173F8E">
      <w:pPr>
        <w:pStyle w:val="Heading5"/>
        <w:rPr>
          <w:rFonts w:asciiTheme="minorHAnsi" w:hAnsiTheme="minorHAnsi"/>
        </w:rPr>
      </w:pPr>
      <w:r w:rsidRPr="00167CB8">
        <w:rPr>
          <w:rFonts w:asciiTheme="minorHAnsi" w:hAnsiTheme="minorHAnsi"/>
        </w:rPr>
        <w:t>21</w:t>
      </w:r>
      <w:r w:rsidR="00173F8E" w:rsidRPr="00167CB8">
        <w:rPr>
          <w:rFonts w:asciiTheme="minorHAnsi" w:hAnsiTheme="minorHAnsi"/>
        </w:rPr>
        <w:t xml:space="preserve">.2.1 Quantitative </w:t>
      </w:r>
      <w:r w:rsidR="00855F33" w:rsidRPr="00167CB8">
        <w:rPr>
          <w:rFonts w:asciiTheme="minorHAnsi" w:hAnsiTheme="minorHAnsi"/>
        </w:rPr>
        <w:t>e</w:t>
      </w:r>
      <w:r w:rsidR="00173F8E" w:rsidRPr="00167CB8">
        <w:rPr>
          <w:rFonts w:asciiTheme="minorHAnsi" w:hAnsiTheme="minorHAnsi"/>
        </w:rPr>
        <w:t>vidence</w:t>
      </w:r>
    </w:p>
    <w:p w14:paraId="2B7CA85C" w14:textId="691BB0A5" w:rsidR="00173F8E" w:rsidRPr="00167CB8" w:rsidRDefault="00F65320" w:rsidP="00173F8E">
      <w:r w:rsidRPr="00167CB8">
        <w:t xml:space="preserve">The quantitative data comes in three ways. First, at </w:t>
      </w:r>
      <w:r w:rsidR="00173F8E" w:rsidRPr="00167CB8">
        <w:t>the end of 6 December 2023, all zombie agreements that were still in operation terminated unless an application to the FWC to extend their operation was successful or pending at that date.</w:t>
      </w:r>
      <w:r w:rsidR="00173F8E" w:rsidRPr="00167CB8">
        <w:rPr>
          <w:rStyle w:val="FootnoteReference"/>
        </w:rPr>
        <w:footnoteReference w:id="759"/>
      </w:r>
      <w:r w:rsidR="00173F8E" w:rsidRPr="00167CB8">
        <w:t xml:space="preserve"> </w:t>
      </w:r>
    </w:p>
    <w:p w14:paraId="68538964" w14:textId="13998240" w:rsidR="00173F8E" w:rsidRPr="00167CB8" w:rsidRDefault="00173F8E" w:rsidP="00173F8E">
      <w:r w:rsidRPr="00167CB8">
        <w:t>It is unclear how many zombie agreements terminated on this date. This is in large part because the records for the various instruments are not available from one particular agency. For example, in July 2023 the President of the FWC noted that the FWC does ‘not have any records of AWAs [Australian Workplace Agreements], since the Commission was not the approving authority for this type of agreement, and for the same reason our records of collective agreements made in the 2006 to 2009 WorkChoices period are incomplete</w:t>
      </w:r>
      <w:r w:rsidR="00855F33" w:rsidRPr="00167CB8">
        <w:t>’</w:t>
      </w:r>
      <w:r w:rsidRPr="00167CB8">
        <w:t>.</w:t>
      </w:r>
      <w:r w:rsidRPr="00167CB8">
        <w:rPr>
          <w:rStyle w:val="FootnoteReference"/>
        </w:rPr>
        <w:footnoteReference w:id="760"/>
      </w:r>
      <w:r w:rsidRPr="00167CB8">
        <w:t xml:space="preserve"> </w:t>
      </w:r>
    </w:p>
    <w:p w14:paraId="67CAB577" w14:textId="03268627" w:rsidR="00173F8E" w:rsidRPr="00167CB8" w:rsidRDefault="00173F8E" w:rsidP="00173F8E">
      <w:r w:rsidRPr="00167CB8">
        <w:t xml:space="preserve">In the Secure Jobs, Better Pay Bill Regulation Impact Statement, </w:t>
      </w:r>
      <w:r w:rsidR="00A52AD9" w:rsidRPr="00167CB8">
        <w:t xml:space="preserve">the Department of Employment and Workplace Relations </w:t>
      </w:r>
      <w:r w:rsidRPr="00167CB8">
        <w:t>estimated that</w:t>
      </w:r>
      <w:r w:rsidR="00855F33" w:rsidRPr="00167CB8">
        <w:t>,</w:t>
      </w:r>
      <w:r w:rsidRPr="00167CB8">
        <w:t xml:space="preserve"> in September 2019, 300,000 to 450,000 employees were covered by zombie agreements at that time.</w:t>
      </w:r>
      <w:r w:rsidRPr="00167CB8">
        <w:rPr>
          <w:rStyle w:val="FootnoteReference"/>
        </w:rPr>
        <w:footnoteReference w:id="761"/>
      </w:r>
      <w:r w:rsidRPr="00167CB8">
        <w:t xml:space="preserve"> However,  as it is difficult to quantify how many zombie agreements were in operation and therefore the exact number of employees covered by zombie agreements, it is impossible to measure the number of zombie agreements that terminated and resulted in new enterprise agreements or employees reverting back to the relevant modern award.</w:t>
      </w:r>
    </w:p>
    <w:p w14:paraId="66A084E6" w14:textId="2D71B748" w:rsidR="00173F8E" w:rsidRPr="00167CB8" w:rsidRDefault="0076297D" w:rsidP="00173F8E">
      <w:r w:rsidRPr="00167CB8">
        <w:lastRenderedPageBreak/>
        <w:t xml:space="preserve">Second, in </w:t>
      </w:r>
      <w:r w:rsidR="00173F8E" w:rsidRPr="00167CB8">
        <w:t>2023</w:t>
      </w:r>
      <w:r w:rsidR="00855F33" w:rsidRPr="00167CB8">
        <w:rPr>
          <w:rFonts w:ascii="Symbol" w:eastAsia="Symbol" w:hAnsi="Symbol" w:cs="Symbol"/>
        </w:rPr>
        <w:t>-</w:t>
      </w:r>
      <w:r w:rsidR="00173F8E" w:rsidRPr="00167CB8">
        <w:t xml:space="preserve">24 the FWC received 475 applications to extend the default period for zombie agreements. Table </w:t>
      </w:r>
      <w:r w:rsidR="00893428" w:rsidRPr="00167CB8">
        <w:t>17</w:t>
      </w:r>
      <w:r w:rsidR="00173F8E" w:rsidRPr="00167CB8">
        <w:t xml:space="preserve"> show</w:t>
      </w:r>
      <w:r w:rsidR="00027824" w:rsidRPr="00167CB8">
        <w:t>s</w:t>
      </w:r>
      <w:r w:rsidR="00173F8E" w:rsidRPr="00167CB8">
        <w:t xml:space="preserve"> that</w:t>
      </w:r>
      <w:r w:rsidR="00855F33" w:rsidRPr="00167CB8">
        <w:t>,</w:t>
      </w:r>
      <w:r w:rsidR="00173F8E" w:rsidRPr="00167CB8">
        <w:t xml:space="preserve"> of those applications, the FWC granted 223 extensions.</w:t>
      </w:r>
      <w:r w:rsidR="00173F8E" w:rsidRPr="00167CB8">
        <w:rPr>
          <w:rStyle w:val="FootnoteReference"/>
        </w:rPr>
        <w:footnoteReference w:id="762"/>
      </w:r>
      <w:r w:rsidR="00173F8E" w:rsidRPr="00167CB8">
        <w:t xml:space="preserve"> </w:t>
      </w:r>
    </w:p>
    <w:p w14:paraId="37175042" w14:textId="7E910F68" w:rsidR="00173F8E" w:rsidRPr="00167CB8" w:rsidRDefault="00173F8E" w:rsidP="00470AB9">
      <w:pPr>
        <w:pStyle w:val="Caption"/>
      </w:pPr>
      <w:r w:rsidRPr="00167CB8">
        <w:t xml:space="preserve">Table </w:t>
      </w:r>
      <w:r w:rsidR="00027824" w:rsidRPr="00167CB8">
        <w:t>17</w:t>
      </w:r>
      <w:r w:rsidRPr="00167CB8">
        <w:t>: Applications to extend the default period for a zombie agreement (agreement-based transitional instrument, Division 2B State employment agreements and enterprise agreements made during the bridging period) (</w:t>
      </w:r>
      <w:r w:rsidR="00855F33" w:rsidRPr="00167CB8">
        <w:t>6 </w:t>
      </w:r>
      <w:r w:rsidRPr="00167CB8">
        <w:t xml:space="preserve">December 2022 </w:t>
      </w:r>
      <w:r w:rsidR="00855F33" w:rsidRPr="00167CB8">
        <w:rPr>
          <w:rFonts w:ascii="Symbol" w:eastAsia="Symbol" w:hAnsi="Symbol" w:cs="Symbol"/>
        </w:rPr>
        <w:t>-</w:t>
      </w:r>
      <w:r w:rsidRPr="00167CB8">
        <w:t xml:space="preserve"> 30 June 2024)</w:t>
      </w:r>
    </w:p>
    <w:tbl>
      <w:tblPr>
        <w:tblStyle w:val="TableGrid"/>
        <w:tblW w:w="8820" w:type="dxa"/>
        <w:tblLook w:val="04A0" w:firstRow="1" w:lastRow="0" w:firstColumn="1" w:lastColumn="0" w:noHBand="0" w:noVBand="1"/>
      </w:tblPr>
      <w:tblGrid>
        <w:gridCol w:w="4005"/>
        <w:gridCol w:w="4815"/>
      </w:tblGrid>
      <w:tr w:rsidR="00173F8E" w:rsidRPr="00167CB8" w14:paraId="6450EBF9" w14:textId="77777777" w:rsidTr="00F46CCC">
        <w:trPr>
          <w:trHeight w:val="462"/>
        </w:trPr>
        <w:tc>
          <w:tcPr>
            <w:tcW w:w="4005" w:type="dxa"/>
          </w:tcPr>
          <w:p w14:paraId="146ED29D" w14:textId="77777777" w:rsidR="00173F8E" w:rsidRPr="00167CB8" w:rsidRDefault="00173F8E">
            <w:pPr>
              <w:spacing w:line="259" w:lineRule="auto"/>
              <w:rPr>
                <w:b/>
                <w:bCs/>
              </w:rPr>
            </w:pPr>
            <w:r w:rsidRPr="00167CB8">
              <w:rPr>
                <w:b/>
                <w:bCs/>
              </w:rPr>
              <w:t>Outcome</w:t>
            </w:r>
          </w:p>
        </w:tc>
        <w:tc>
          <w:tcPr>
            <w:tcW w:w="4815" w:type="dxa"/>
          </w:tcPr>
          <w:p w14:paraId="7A929451" w14:textId="77777777" w:rsidR="00173F8E" w:rsidRPr="00167CB8" w:rsidRDefault="00173F8E" w:rsidP="001364C5">
            <w:pPr>
              <w:spacing w:line="259" w:lineRule="auto"/>
              <w:jc w:val="center"/>
              <w:rPr>
                <w:b/>
                <w:bCs/>
              </w:rPr>
            </w:pPr>
            <w:r w:rsidRPr="00167CB8">
              <w:rPr>
                <w:b/>
                <w:bCs/>
              </w:rPr>
              <w:t>Number of applications</w:t>
            </w:r>
          </w:p>
        </w:tc>
      </w:tr>
      <w:tr w:rsidR="00173F8E" w:rsidRPr="00167CB8" w14:paraId="23FB1F66" w14:textId="77777777" w:rsidTr="00F46CCC">
        <w:trPr>
          <w:trHeight w:val="475"/>
        </w:trPr>
        <w:tc>
          <w:tcPr>
            <w:tcW w:w="4005" w:type="dxa"/>
          </w:tcPr>
          <w:p w14:paraId="0F7995BD" w14:textId="77777777" w:rsidR="00173F8E" w:rsidRPr="00167CB8" w:rsidRDefault="00173F8E">
            <w:pPr>
              <w:spacing w:line="259" w:lineRule="auto"/>
            </w:pPr>
            <w:r w:rsidRPr="00167CB8">
              <w:t>Extension granted</w:t>
            </w:r>
          </w:p>
        </w:tc>
        <w:tc>
          <w:tcPr>
            <w:tcW w:w="4815" w:type="dxa"/>
          </w:tcPr>
          <w:p w14:paraId="467224D0" w14:textId="77777777" w:rsidR="00173F8E" w:rsidRPr="00167CB8" w:rsidRDefault="00173F8E" w:rsidP="001364C5">
            <w:pPr>
              <w:spacing w:line="259" w:lineRule="auto"/>
              <w:jc w:val="center"/>
              <w:rPr>
                <w:rFonts w:eastAsia="Times New Roman" w:cs="Calibri"/>
                <w:lang w:eastAsia="en-AU"/>
              </w:rPr>
            </w:pPr>
            <w:r w:rsidRPr="00167CB8">
              <w:rPr>
                <w:rFonts w:eastAsia="Times New Roman" w:cs="Calibri"/>
                <w:lang w:eastAsia="en-AU"/>
              </w:rPr>
              <w:t>223</w:t>
            </w:r>
          </w:p>
        </w:tc>
      </w:tr>
      <w:tr w:rsidR="00173F8E" w:rsidRPr="00167CB8" w14:paraId="01AB42EA" w14:textId="77777777" w:rsidTr="00F46CCC">
        <w:trPr>
          <w:trHeight w:val="462"/>
        </w:trPr>
        <w:tc>
          <w:tcPr>
            <w:tcW w:w="4005" w:type="dxa"/>
          </w:tcPr>
          <w:p w14:paraId="73F04BBE" w14:textId="77777777" w:rsidR="00173F8E" w:rsidRPr="00167CB8" w:rsidRDefault="00173F8E">
            <w:pPr>
              <w:spacing w:line="259" w:lineRule="auto"/>
              <w:rPr>
                <w:rFonts w:eastAsia="Times New Roman" w:cs="Calibri"/>
                <w:lang w:eastAsia="en-AU"/>
              </w:rPr>
            </w:pPr>
            <w:r w:rsidRPr="00167CB8">
              <w:rPr>
                <w:rFonts w:eastAsia="Times New Roman" w:cs="Calibri"/>
                <w:lang w:eastAsia="en-AU"/>
              </w:rPr>
              <w:t>Extension not granted</w:t>
            </w:r>
          </w:p>
        </w:tc>
        <w:tc>
          <w:tcPr>
            <w:tcW w:w="4815" w:type="dxa"/>
          </w:tcPr>
          <w:p w14:paraId="6496A0FF" w14:textId="77777777" w:rsidR="00173F8E" w:rsidRPr="00167CB8" w:rsidRDefault="00173F8E" w:rsidP="001364C5">
            <w:pPr>
              <w:spacing w:line="259" w:lineRule="auto"/>
              <w:jc w:val="center"/>
              <w:rPr>
                <w:rFonts w:eastAsia="Times New Roman" w:cs="Calibri"/>
                <w:lang w:eastAsia="en-AU"/>
              </w:rPr>
            </w:pPr>
            <w:r w:rsidRPr="00167CB8">
              <w:rPr>
                <w:rFonts w:eastAsia="Times New Roman" w:cs="Calibri"/>
                <w:lang w:eastAsia="en-AU"/>
              </w:rPr>
              <w:t>119</w:t>
            </w:r>
          </w:p>
        </w:tc>
      </w:tr>
      <w:tr w:rsidR="00173F8E" w:rsidRPr="00167CB8" w14:paraId="7447A6DD" w14:textId="77777777" w:rsidTr="00F46CCC">
        <w:trPr>
          <w:trHeight w:val="462"/>
        </w:trPr>
        <w:tc>
          <w:tcPr>
            <w:tcW w:w="4005" w:type="dxa"/>
          </w:tcPr>
          <w:p w14:paraId="2232AA2E" w14:textId="77777777" w:rsidR="00173F8E" w:rsidRPr="00167CB8" w:rsidRDefault="00173F8E">
            <w:pPr>
              <w:spacing w:line="259" w:lineRule="auto"/>
            </w:pPr>
            <w:r w:rsidRPr="00167CB8">
              <w:rPr>
                <w:rFonts w:eastAsia="Times New Roman" w:cs="Calibri"/>
                <w:lang w:eastAsia="en-AU"/>
              </w:rPr>
              <w:t>Application dismissed</w:t>
            </w:r>
          </w:p>
        </w:tc>
        <w:tc>
          <w:tcPr>
            <w:tcW w:w="4815" w:type="dxa"/>
          </w:tcPr>
          <w:p w14:paraId="0CB76FC6" w14:textId="77777777" w:rsidR="00173F8E" w:rsidRPr="00167CB8" w:rsidRDefault="00173F8E" w:rsidP="001364C5">
            <w:pPr>
              <w:spacing w:line="259" w:lineRule="auto"/>
              <w:jc w:val="center"/>
            </w:pPr>
            <w:r w:rsidRPr="00167CB8">
              <w:t>4</w:t>
            </w:r>
          </w:p>
        </w:tc>
      </w:tr>
      <w:tr w:rsidR="00173F8E" w:rsidRPr="00167CB8" w14:paraId="0EC4B87C" w14:textId="77777777" w:rsidTr="00F46CCC">
        <w:trPr>
          <w:trHeight w:val="475"/>
        </w:trPr>
        <w:tc>
          <w:tcPr>
            <w:tcW w:w="4005" w:type="dxa"/>
          </w:tcPr>
          <w:p w14:paraId="7BD9655E" w14:textId="77777777" w:rsidR="00173F8E" w:rsidRPr="00167CB8" w:rsidRDefault="00173F8E">
            <w:pPr>
              <w:spacing w:line="259" w:lineRule="auto"/>
              <w:rPr>
                <w:rFonts w:eastAsia="Times New Roman" w:cs="Calibri"/>
                <w:lang w:eastAsia="en-AU"/>
              </w:rPr>
            </w:pPr>
            <w:r w:rsidRPr="00167CB8">
              <w:rPr>
                <w:rFonts w:eastAsia="Times New Roman" w:cs="Calibri"/>
                <w:lang w:eastAsia="en-AU"/>
              </w:rPr>
              <w:t>Application withdrawn</w:t>
            </w:r>
          </w:p>
        </w:tc>
        <w:tc>
          <w:tcPr>
            <w:tcW w:w="4815" w:type="dxa"/>
          </w:tcPr>
          <w:p w14:paraId="5E12B55E" w14:textId="77777777" w:rsidR="00173F8E" w:rsidRPr="00167CB8" w:rsidRDefault="00173F8E" w:rsidP="001364C5">
            <w:pPr>
              <w:spacing w:line="259" w:lineRule="auto"/>
              <w:jc w:val="center"/>
              <w:rPr>
                <w:rFonts w:eastAsia="Times New Roman" w:cs="Calibri"/>
                <w:lang w:eastAsia="en-AU"/>
              </w:rPr>
            </w:pPr>
            <w:r w:rsidRPr="00167CB8">
              <w:rPr>
                <w:rFonts w:eastAsia="Times New Roman" w:cs="Calibri"/>
                <w:lang w:eastAsia="en-AU"/>
              </w:rPr>
              <w:t>125</w:t>
            </w:r>
          </w:p>
        </w:tc>
      </w:tr>
      <w:tr w:rsidR="00173F8E" w:rsidRPr="00167CB8" w14:paraId="50A0ACD1" w14:textId="77777777" w:rsidTr="00F46CCC">
        <w:trPr>
          <w:trHeight w:val="462"/>
        </w:trPr>
        <w:tc>
          <w:tcPr>
            <w:tcW w:w="4005" w:type="dxa"/>
          </w:tcPr>
          <w:p w14:paraId="2BE61EA7" w14:textId="77777777" w:rsidR="00173F8E" w:rsidRPr="00167CB8" w:rsidRDefault="00173F8E">
            <w:pPr>
              <w:spacing w:line="259" w:lineRule="auto"/>
              <w:rPr>
                <w:rFonts w:eastAsia="Times New Roman" w:cs="Calibri"/>
                <w:lang w:eastAsia="en-AU"/>
              </w:rPr>
            </w:pPr>
            <w:r w:rsidRPr="00167CB8">
              <w:rPr>
                <w:rFonts w:eastAsia="Times New Roman" w:cs="Calibri"/>
                <w:lang w:eastAsia="en-AU"/>
              </w:rPr>
              <w:t>Awaiting outcome</w:t>
            </w:r>
          </w:p>
        </w:tc>
        <w:tc>
          <w:tcPr>
            <w:tcW w:w="4815" w:type="dxa"/>
          </w:tcPr>
          <w:p w14:paraId="3632A996" w14:textId="77777777" w:rsidR="00173F8E" w:rsidRPr="00167CB8" w:rsidRDefault="00173F8E" w:rsidP="001364C5">
            <w:pPr>
              <w:spacing w:line="259" w:lineRule="auto"/>
              <w:jc w:val="center"/>
              <w:rPr>
                <w:rFonts w:eastAsia="Times New Roman" w:cs="Calibri"/>
                <w:lang w:eastAsia="en-AU"/>
              </w:rPr>
            </w:pPr>
            <w:r w:rsidRPr="00167CB8">
              <w:rPr>
                <w:rFonts w:eastAsia="Times New Roman" w:cs="Calibri"/>
                <w:lang w:eastAsia="en-AU"/>
              </w:rPr>
              <w:t>4</w:t>
            </w:r>
          </w:p>
        </w:tc>
      </w:tr>
      <w:tr w:rsidR="00173F8E" w:rsidRPr="00167CB8" w14:paraId="1061F067" w14:textId="77777777" w:rsidTr="00F46CCC">
        <w:trPr>
          <w:trHeight w:val="462"/>
        </w:trPr>
        <w:tc>
          <w:tcPr>
            <w:tcW w:w="4005" w:type="dxa"/>
          </w:tcPr>
          <w:p w14:paraId="3F12B926" w14:textId="77777777" w:rsidR="00173F8E" w:rsidRPr="00167CB8" w:rsidRDefault="00173F8E">
            <w:pPr>
              <w:spacing w:line="259" w:lineRule="auto"/>
              <w:rPr>
                <w:rFonts w:eastAsia="Times New Roman" w:cs="Calibri"/>
                <w:lang w:eastAsia="en-AU"/>
              </w:rPr>
            </w:pPr>
            <w:r w:rsidRPr="00167CB8">
              <w:rPr>
                <w:rFonts w:eastAsia="Times New Roman" w:cs="Calibri"/>
                <w:lang w:eastAsia="en-AU"/>
              </w:rPr>
              <w:t>Total applications</w:t>
            </w:r>
          </w:p>
        </w:tc>
        <w:tc>
          <w:tcPr>
            <w:tcW w:w="4815" w:type="dxa"/>
          </w:tcPr>
          <w:p w14:paraId="4C55BDDF" w14:textId="1F73142B" w:rsidR="00173F8E" w:rsidRPr="00167CB8" w:rsidRDefault="00173F8E" w:rsidP="001364C5">
            <w:pPr>
              <w:spacing w:line="259" w:lineRule="auto"/>
              <w:jc w:val="center"/>
              <w:rPr>
                <w:rFonts w:eastAsia="Times New Roman" w:cs="Calibri"/>
                <w:lang w:eastAsia="en-AU"/>
              </w:rPr>
            </w:pPr>
            <w:r w:rsidRPr="00167CB8">
              <w:rPr>
                <w:rFonts w:eastAsia="Times New Roman" w:cs="Calibri"/>
                <w:lang w:eastAsia="en-AU"/>
              </w:rPr>
              <w:t>475</w:t>
            </w:r>
          </w:p>
        </w:tc>
      </w:tr>
    </w:tbl>
    <w:p w14:paraId="0914661C" w14:textId="77777777" w:rsidR="00B30E5A" w:rsidRPr="00167CB8" w:rsidRDefault="00B30E5A" w:rsidP="00B30E5A">
      <w:pPr>
        <w:pStyle w:val="Source"/>
      </w:pPr>
      <w:r w:rsidRPr="00167CB8">
        <w:rPr>
          <w:b/>
          <w:bCs/>
        </w:rPr>
        <w:t>Source:</w:t>
      </w:r>
      <w:r w:rsidRPr="00167CB8">
        <w:t xml:space="preserve"> Data provided to the Review by the FWC.</w:t>
      </w:r>
    </w:p>
    <w:p w14:paraId="5C524F52" w14:textId="19850CEA" w:rsidR="00173F8E" w:rsidRPr="00167CB8" w:rsidRDefault="00707F4A" w:rsidP="00173F8E">
      <w:pPr>
        <w:spacing w:before="240"/>
      </w:pPr>
      <w:r w:rsidRPr="00167CB8">
        <w:t xml:space="preserve">Third, as </w:t>
      </w:r>
      <w:r w:rsidR="00173F8E" w:rsidRPr="00167CB8">
        <w:t xml:space="preserve">noted in Table </w:t>
      </w:r>
      <w:r w:rsidR="005E5833" w:rsidRPr="00167CB8">
        <w:t>12</w:t>
      </w:r>
      <w:r w:rsidR="00173F8E" w:rsidRPr="00167CB8">
        <w:t xml:space="preserve"> in Chapter 1</w:t>
      </w:r>
      <w:r w:rsidR="005E5833" w:rsidRPr="00167CB8">
        <w:t>7</w:t>
      </w:r>
      <w:r w:rsidR="00173F8E" w:rsidRPr="00167CB8">
        <w:t>, agreement approval applications in 2023</w:t>
      </w:r>
      <w:r w:rsidR="00855F33" w:rsidRPr="00167CB8">
        <w:rPr>
          <w:rFonts w:ascii="Symbol" w:eastAsia="Symbol" w:hAnsi="Symbol" w:cs="Symbol"/>
        </w:rPr>
        <w:t>-</w:t>
      </w:r>
      <w:r w:rsidR="00173F8E" w:rsidRPr="00167CB8">
        <w:t>24 are at a 5-year high</w:t>
      </w:r>
      <w:r w:rsidR="00855F33" w:rsidRPr="00167CB8">
        <w:t>,</w:t>
      </w:r>
      <w:r w:rsidR="00173F8E" w:rsidRPr="00167CB8">
        <w:t xml:space="preserve"> with almost 1</w:t>
      </w:r>
      <w:r w:rsidR="00855F33" w:rsidRPr="00167CB8">
        <w:t>,</w:t>
      </w:r>
      <w:r w:rsidR="00173F8E" w:rsidRPr="00167CB8">
        <w:t>000 more applications in 2023</w:t>
      </w:r>
      <w:r w:rsidR="00855F33" w:rsidRPr="00167CB8">
        <w:rPr>
          <w:rFonts w:ascii="Symbol" w:eastAsia="Symbol" w:hAnsi="Symbol" w:cs="Symbol"/>
        </w:rPr>
        <w:t>-</w:t>
      </w:r>
      <w:r w:rsidR="00173F8E" w:rsidRPr="00167CB8">
        <w:t>24 (4,790)</w:t>
      </w:r>
      <w:r w:rsidR="00173F8E" w:rsidRPr="00167CB8">
        <w:rPr>
          <w:rStyle w:val="FootnoteReference"/>
        </w:rPr>
        <w:footnoteReference w:id="763"/>
      </w:r>
      <w:r w:rsidR="00173F8E" w:rsidRPr="00167CB8">
        <w:t xml:space="preserve"> compared to 2019</w:t>
      </w:r>
      <w:r w:rsidR="00855F33" w:rsidRPr="00167CB8">
        <w:rPr>
          <w:rFonts w:ascii="Symbol" w:eastAsia="Symbol" w:hAnsi="Symbol" w:cs="Symbol"/>
        </w:rPr>
        <w:t>-</w:t>
      </w:r>
      <w:r w:rsidR="00173F8E" w:rsidRPr="00167CB8">
        <w:t>20 (3,795).</w:t>
      </w:r>
      <w:r w:rsidR="00173F8E" w:rsidRPr="00167CB8">
        <w:rPr>
          <w:rStyle w:val="FootnoteReference"/>
        </w:rPr>
        <w:footnoteReference w:id="764"/>
      </w:r>
    </w:p>
    <w:p w14:paraId="5CB9D7C0" w14:textId="7DD8BABD" w:rsidR="00173F8E" w:rsidRPr="00167CB8" w:rsidRDefault="00874933" w:rsidP="00173F8E">
      <w:pPr>
        <w:pStyle w:val="Heading5"/>
        <w:rPr>
          <w:rFonts w:asciiTheme="minorHAnsi" w:hAnsiTheme="minorHAnsi"/>
        </w:rPr>
      </w:pPr>
      <w:r w:rsidRPr="00167CB8">
        <w:rPr>
          <w:rFonts w:asciiTheme="minorHAnsi" w:hAnsiTheme="minorHAnsi"/>
        </w:rPr>
        <w:t>21</w:t>
      </w:r>
      <w:r w:rsidR="00173F8E" w:rsidRPr="00167CB8">
        <w:rPr>
          <w:rFonts w:asciiTheme="minorHAnsi" w:hAnsiTheme="minorHAnsi"/>
        </w:rPr>
        <w:t xml:space="preserve">.2.2 Qualitative </w:t>
      </w:r>
      <w:r w:rsidR="00855F33" w:rsidRPr="00167CB8">
        <w:rPr>
          <w:rFonts w:asciiTheme="minorHAnsi" w:hAnsiTheme="minorHAnsi"/>
        </w:rPr>
        <w:t>e</w:t>
      </w:r>
      <w:r w:rsidR="00173F8E" w:rsidRPr="00167CB8">
        <w:rPr>
          <w:rFonts w:asciiTheme="minorHAnsi" w:hAnsiTheme="minorHAnsi"/>
        </w:rPr>
        <w:t>vidence</w:t>
      </w:r>
    </w:p>
    <w:p w14:paraId="6096CE38" w14:textId="02656C8C" w:rsidR="00173F8E" w:rsidRPr="00167CB8" w:rsidRDefault="00173F8E" w:rsidP="00173F8E">
      <w:r w:rsidRPr="00167CB8">
        <w:t xml:space="preserve">In a statement issued on 2 August 2023, the President of the FWC noted that the FWC had begun receiving applications to extend the default period for zombie agreements. The President referred to the Full Bench decision </w:t>
      </w:r>
      <w:r w:rsidRPr="00167CB8">
        <w:rPr>
          <w:i/>
          <w:iCs/>
        </w:rPr>
        <w:t>Suncoast Scaffold Pty Ltd</w:t>
      </w:r>
      <w:r w:rsidRPr="00167CB8">
        <w:rPr>
          <w:i/>
        </w:rPr>
        <w:t xml:space="preserve"> As Trustee For The Warren Family Trust T/A Suncoast Scaffold Pty Ltd</w:t>
      </w:r>
      <w:r w:rsidRPr="00167CB8">
        <w:rPr>
          <w:rStyle w:val="FootnoteReference"/>
        </w:rPr>
        <w:footnoteReference w:id="765"/>
      </w:r>
      <w:r w:rsidRPr="00167CB8">
        <w:t xml:space="preserve"> (</w:t>
      </w:r>
      <w:r w:rsidRPr="00167CB8">
        <w:rPr>
          <w:i/>
        </w:rPr>
        <w:t>Suncoast Scaffold</w:t>
      </w:r>
      <w:r w:rsidRPr="00167CB8">
        <w:t>)</w:t>
      </w:r>
      <w:r w:rsidR="00855F33" w:rsidRPr="00167CB8">
        <w:t>,</w:t>
      </w:r>
      <w:r w:rsidRPr="00167CB8">
        <w:t xml:space="preserve"> which identified general principles applicable to applications to extend the default period for a zombie agreement.  </w:t>
      </w:r>
    </w:p>
    <w:p w14:paraId="147222A6" w14:textId="5CA5A417" w:rsidR="00173F8E" w:rsidRPr="00167CB8" w:rsidRDefault="00173F8E" w:rsidP="00173F8E">
      <w:r w:rsidRPr="00167CB8">
        <w:t xml:space="preserve">On 16 June 2023 the Full Bench of FWC in </w:t>
      </w:r>
      <w:r w:rsidRPr="00167CB8">
        <w:rPr>
          <w:i/>
        </w:rPr>
        <w:t>Suncoast Scaffold</w:t>
      </w:r>
      <w:r w:rsidRPr="00167CB8">
        <w:t xml:space="preserve"> dismissed an application to extend the default period for a transitional agreement, holding that the relevant employees under the </w:t>
      </w:r>
      <w:r w:rsidRPr="00167CB8">
        <w:rPr>
          <w:i/>
        </w:rPr>
        <w:t xml:space="preserve">Trustee </w:t>
      </w:r>
      <w:r w:rsidRPr="00167CB8">
        <w:rPr>
          <w:i/>
          <w:iCs/>
        </w:rPr>
        <w:t>F</w:t>
      </w:r>
      <w:r w:rsidRPr="00167CB8">
        <w:rPr>
          <w:i/>
        </w:rPr>
        <w:t xml:space="preserve">or </w:t>
      </w:r>
      <w:r w:rsidRPr="00167CB8">
        <w:rPr>
          <w:i/>
          <w:iCs/>
        </w:rPr>
        <w:t>T</w:t>
      </w:r>
      <w:r w:rsidRPr="00167CB8">
        <w:rPr>
          <w:i/>
        </w:rPr>
        <w:t>he</w:t>
      </w:r>
      <w:r w:rsidRPr="00167CB8">
        <w:t xml:space="preserve"> </w:t>
      </w:r>
      <w:r w:rsidRPr="00167CB8">
        <w:rPr>
          <w:i/>
        </w:rPr>
        <w:t xml:space="preserve">Warren Family Trust t/a Suncoast Scaffold Pty Ltd </w:t>
      </w:r>
      <w:r w:rsidRPr="00167CB8">
        <w:rPr>
          <w:i/>
          <w:iCs/>
        </w:rPr>
        <w:t xml:space="preserve">Employee Collective Agreement 2009 </w:t>
      </w:r>
      <w:r w:rsidRPr="00167CB8">
        <w:t>would not be ‘better off overall’ when compared against the relevant modern award/s as required by Part 13 of Schedule 1, subitem 20A(9)</w:t>
      </w:r>
      <w:r w:rsidR="00855F33" w:rsidRPr="00167CB8">
        <w:t>,</w:t>
      </w:r>
      <w:r w:rsidRPr="00167CB8">
        <w:t xml:space="preserve"> of the Secure Jobs, Better Pay Act.</w:t>
      </w:r>
      <w:r w:rsidRPr="00167CB8">
        <w:rPr>
          <w:rStyle w:val="FootnoteReference"/>
        </w:rPr>
        <w:footnoteReference w:id="766"/>
      </w:r>
    </w:p>
    <w:p w14:paraId="79A7E7C8" w14:textId="43D0889B" w:rsidR="00173F8E" w:rsidRPr="00167CB8" w:rsidRDefault="00173F8E" w:rsidP="00173F8E">
      <w:r w:rsidRPr="00167CB8">
        <w:t>The Full Bench was not satisfied the award</w:t>
      </w:r>
      <w:r w:rsidR="00855F33" w:rsidRPr="00167CB8">
        <w:t>-</w:t>
      </w:r>
      <w:r w:rsidRPr="00167CB8">
        <w:t xml:space="preserve">covered employees would be better off if this agreement continued to apply compared to if the awards applied due to the employees’ lack of </w:t>
      </w:r>
      <w:r w:rsidRPr="00167CB8">
        <w:lastRenderedPageBreak/>
        <w:t>access to award entitlements and being disadvantaged financially.</w:t>
      </w:r>
      <w:r w:rsidRPr="00167CB8">
        <w:rPr>
          <w:rStyle w:val="FootnoteReference"/>
        </w:rPr>
        <w:footnoteReference w:id="767"/>
      </w:r>
      <w:r w:rsidRPr="00167CB8">
        <w:t xml:space="preserve"> The Full Bench concluded that it was not reasonable to extend the ‘default period</w:t>
      </w:r>
      <w:r w:rsidR="00855F33" w:rsidRPr="00167CB8">
        <w:t>’</w:t>
      </w:r>
      <w:r w:rsidRPr="00167CB8">
        <w:t>.</w:t>
      </w:r>
      <w:r w:rsidRPr="00167CB8">
        <w:rPr>
          <w:rStyle w:val="FootnoteReference"/>
        </w:rPr>
        <w:footnoteReference w:id="768"/>
      </w:r>
    </w:p>
    <w:p w14:paraId="3973EDAD" w14:textId="07876614" w:rsidR="00173F8E" w:rsidRPr="00167CB8" w:rsidRDefault="00173F8E" w:rsidP="00173F8E">
      <w:r w:rsidRPr="00167CB8">
        <w:t xml:space="preserve">The main principle outlined was the interpretation of ‘better off overall’ in subitem 20A(9) in the larger context of deciding whether or not to extend the default period for a zombie agreement. The Full Bench provided </w:t>
      </w:r>
      <w:r w:rsidR="00A14864" w:rsidRPr="00167CB8">
        <w:t xml:space="preserve">2 </w:t>
      </w:r>
      <w:r w:rsidRPr="00167CB8">
        <w:t xml:space="preserve">main reasons for why this test was different to the </w:t>
      </w:r>
      <w:r w:rsidR="00855F33" w:rsidRPr="00167CB8">
        <w:t>Better Off Overall Test (</w:t>
      </w:r>
      <w:r w:rsidRPr="00167CB8">
        <w:t>BOOT</w:t>
      </w:r>
      <w:r w:rsidR="00855F33" w:rsidRPr="00167CB8">
        <w:t>):</w:t>
      </w:r>
    </w:p>
    <w:p w14:paraId="2F71CFCE" w14:textId="3EBDA0FF" w:rsidR="00173F8E" w:rsidRPr="00167CB8" w:rsidRDefault="00173F8E" w:rsidP="00EA3E2F">
      <w:pPr>
        <w:pStyle w:val="ListBullet"/>
      </w:pPr>
      <w:r w:rsidRPr="00167CB8">
        <w:t>The test under subitem 20A(9) ‘does not require an individualised assessment’ but that the award employees be ‘viewed as a group’ in the comparison between the transitional instrument and relevant award</w:t>
      </w:r>
      <w:r w:rsidR="00855F33" w:rsidRPr="00167CB8">
        <w:t>.</w:t>
      </w:r>
      <w:r w:rsidRPr="00167CB8">
        <w:rPr>
          <w:rStyle w:val="FootnoteReference"/>
        </w:rPr>
        <w:footnoteReference w:id="769"/>
      </w:r>
    </w:p>
    <w:p w14:paraId="3C3DD007" w14:textId="77777777" w:rsidR="00173F8E" w:rsidRPr="00167CB8" w:rsidRDefault="00173F8E" w:rsidP="00EA3E2F">
      <w:pPr>
        <w:pStyle w:val="ListBullet"/>
      </w:pPr>
      <w:r w:rsidRPr="00167CB8">
        <w:t>The ‘better off overall’ requirement under subitem 20A(9) only has to meet the threshold of ‘likelihood’ of the employee being better off overall, compared to the FWC being satisfied the enterprise agreement passes the BOOT.</w:t>
      </w:r>
      <w:r w:rsidRPr="00167CB8">
        <w:rPr>
          <w:rStyle w:val="FootnoteReference"/>
        </w:rPr>
        <w:footnoteReference w:id="770"/>
      </w:r>
    </w:p>
    <w:p w14:paraId="2A626D3E" w14:textId="77777777" w:rsidR="00173F8E" w:rsidRPr="00167CB8" w:rsidRDefault="00173F8E" w:rsidP="00173F8E">
      <w:bookmarkStart w:id="261" w:name="_Toc188277922"/>
      <w:r w:rsidRPr="00167CB8">
        <w:t>The Full Bench mentioned that the ‘better off overall criterion is less stringent’ than the BOOT that applies to enterprise agreement approval applications.</w:t>
      </w:r>
      <w:r w:rsidRPr="00167CB8">
        <w:rPr>
          <w:rStyle w:val="FootnoteReference"/>
        </w:rPr>
        <w:footnoteReference w:id="771"/>
      </w:r>
      <w:r w:rsidRPr="00167CB8">
        <w:t xml:space="preserve"> </w:t>
      </w:r>
    </w:p>
    <w:p w14:paraId="1D05AF0E" w14:textId="78F04B14" w:rsidR="00173F8E" w:rsidRPr="00167CB8" w:rsidRDefault="00874933" w:rsidP="00173F8E">
      <w:pPr>
        <w:pStyle w:val="Heading5"/>
        <w:rPr>
          <w:rFonts w:asciiTheme="minorHAnsi" w:hAnsiTheme="minorHAnsi"/>
        </w:rPr>
      </w:pPr>
      <w:r w:rsidRPr="00167CB8">
        <w:rPr>
          <w:rFonts w:asciiTheme="minorHAnsi" w:hAnsiTheme="minorHAnsi"/>
        </w:rPr>
        <w:t>21</w:t>
      </w:r>
      <w:r w:rsidR="00173F8E" w:rsidRPr="00167CB8">
        <w:rPr>
          <w:rFonts w:asciiTheme="minorHAnsi" w:hAnsiTheme="minorHAnsi"/>
        </w:rPr>
        <w:t>.2.3 Stakeholder views</w:t>
      </w:r>
    </w:p>
    <w:p w14:paraId="7E196328" w14:textId="77777777" w:rsidR="00173F8E" w:rsidRPr="00167CB8" w:rsidRDefault="00173F8E" w:rsidP="00173F8E">
      <w:r w:rsidRPr="00167CB8">
        <w:t xml:space="preserve">Stakeholders largely expressed that the provisions relating to the sunsetting of zombie agreements were positive and the amendments have operated as intended. </w:t>
      </w:r>
    </w:p>
    <w:p w14:paraId="2EFDE2C7" w14:textId="204D2EF3" w:rsidR="00173F8E" w:rsidRPr="00167CB8" w:rsidRDefault="00173F8E" w:rsidP="00173F8E">
      <w:r w:rsidRPr="00167CB8">
        <w:t>Ai Group</w:t>
      </w:r>
      <w:r w:rsidR="00A50CBA" w:rsidRPr="00167CB8">
        <w:t>, for example,</w:t>
      </w:r>
      <w:r w:rsidRPr="00167CB8">
        <w:t xml:space="preserve"> stated that</w:t>
      </w:r>
      <w:r w:rsidR="00855F33" w:rsidRPr="00167CB8">
        <w:t>,</w:t>
      </w:r>
      <w:r w:rsidRPr="00167CB8">
        <w:t xml:space="preserve"> </w:t>
      </w:r>
      <w:r w:rsidR="00507110" w:rsidRPr="00167CB8">
        <w:t>‘</w:t>
      </w:r>
      <w:r w:rsidRPr="00167CB8">
        <w:t>while termination of zombie agreements has created difficulty for some employers</w:t>
      </w:r>
      <w:r w:rsidR="00855F33" w:rsidRPr="00167CB8">
        <w:t>,</w:t>
      </w:r>
      <w:r w:rsidRPr="00167CB8">
        <w:t xml:space="preserve"> Ai Group nonetheless acknowledge that the Secure Jobs, Better Pay amendments relating to the sunsetting of ‘zombie’ agreements are operating as envisaged and no further amendments to the relevant legislative provisions are proposed</w:t>
      </w:r>
      <w:r w:rsidR="00855F33" w:rsidRPr="00167CB8">
        <w:t>’</w:t>
      </w:r>
      <w:r w:rsidRPr="00167CB8">
        <w:t>.</w:t>
      </w:r>
      <w:r w:rsidRPr="00167CB8">
        <w:rPr>
          <w:rStyle w:val="FootnoteReference"/>
        </w:rPr>
        <w:footnoteReference w:id="772"/>
      </w:r>
      <w:r w:rsidRPr="00167CB8">
        <w:t xml:space="preserve"> </w:t>
      </w:r>
    </w:p>
    <w:p w14:paraId="5CF1BFD6" w14:textId="6D978B21" w:rsidR="00173F8E" w:rsidRPr="00167CB8" w:rsidRDefault="00A52AD9" w:rsidP="00173F8E">
      <w:r w:rsidRPr="00167CB8">
        <w:t>The Shop, Distributive and Allied Employees Association (</w:t>
      </w:r>
      <w:r w:rsidR="00173F8E" w:rsidRPr="00167CB8">
        <w:t>SDA</w:t>
      </w:r>
      <w:r w:rsidRPr="00167CB8">
        <w:t>)</w:t>
      </w:r>
      <w:r w:rsidR="00173F8E" w:rsidRPr="00167CB8">
        <w:t xml:space="preserve"> strongly support</w:t>
      </w:r>
      <w:r w:rsidR="00855F33" w:rsidRPr="00167CB8">
        <w:t>ed</w:t>
      </w:r>
      <w:r w:rsidR="00173F8E" w:rsidRPr="00167CB8">
        <w:t xml:space="preserve"> the measures and stated that they were ‘a necessary measure to eradicate outdated agreements that undermine fair work conditions’.</w:t>
      </w:r>
      <w:r w:rsidR="00173F8E" w:rsidRPr="00167CB8">
        <w:rPr>
          <w:rStyle w:val="FootnoteReference"/>
        </w:rPr>
        <w:footnoteReference w:id="773"/>
      </w:r>
      <w:r w:rsidR="00173F8E" w:rsidRPr="00167CB8">
        <w:t xml:space="preserve"> </w:t>
      </w:r>
      <w:r w:rsidRPr="00167CB8">
        <w:t>The Australian Nursing and Midwifery Federation</w:t>
      </w:r>
      <w:r w:rsidR="00173F8E" w:rsidRPr="00167CB8">
        <w:t xml:space="preserve"> stated that the expiration of zombie agreements assisted several branches to renegotiate new agreements with employers seeking to maintain certain conditions.</w:t>
      </w:r>
      <w:r w:rsidR="00173F8E" w:rsidRPr="00167CB8">
        <w:rPr>
          <w:rStyle w:val="FootnoteReference"/>
        </w:rPr>
        <w:footnoteReference w:id="774"/>
      </w:r>
      <w:r w:rsidR="00173F8E" w:rsidRPr="00167CB8">
        <w:t xml:space="preserve"> Similarly, </w:t>
      </w:r>
      <w:r w:rsidRPr="00167CB8">
        <w:t xml:space="preserve">the Australian Council of Trade Unions </w:t>
      </w:r>
      <w:r w:rsidR="00173F8E" w:rsidRPr="00167CB8">
        <w:t>submit</w:t>
      </w:r>
      <w:r w:rsidR="00855F33" w:rsidRPr="00167CB8">
        <w:t>ted</w:t>
      </w:r>
      <w:r w:rsidR="00173F8E" w:rsidRPr="00167CB8">
        <w:t xml:space="preserve"> that ‘in many circumstances the sunsetting of a Zombie Agreement has been responsible for restarting long stalled negotiations for a new agreement’.</w:t>
      </w:r>
      <w:r w:rsidR="00173F8E" w:rsidRPr="00167CB8">
        <w:rPr>
          <w:rStyle w:val="FootnoteReference"/>
        </w:rPr>
        <w:footnoteReference w:id="775"/>
      </w:r>
      <w:r w:rsidR="00173F8E" w:rsidRPr="00167CB8">
        <w:t xml:space="preserve"> </w:t>
      </w:r>
    </w:p>
    <w:p w14:paraId="415962E3" w14:textId="4949CE1E" w:rsidR="00173F8E" w:rsidRPr="00167CB8" w:rsidRDefault="00173F8E" w:rsidP="00173F8E">
      <w:r w:rsidRPr="00167CB8">
        <w:t>Master Grocers Australia</w:t>
      </w:r>
      <w:r w:rsidR="00855F33" w:rsidRPr="00167CB8">
        <w:t>,</w:t>
      </w:r>
      <w:r w:rsidRPr="00167CB8">
        <w:t xml:space="preserve"> however, submit</w:t>
      </w:r>
      <w:r w:rsidR="00855F33" w:rsidRPr="00167CB8">
        <w:t>ted</w:t>
      </w:r>
      <w:r w:rsidRPr="00167CB8">
        <w:t xml:space="preserve"> that the process happened too quickly</w:t>
      </w:r>
      <w:r w:rsidR="00855F33" w:rsidRPr="00167CB8">
        <w:t>,</w:t>
      </w:r>
      <w:r w:rsidRPr="00167CB8">
        <w:t xml:space="preserve"> stating that ‘in the future, employers [should] be provided with at least 36 months to prepare and </w:t>
      </w:r>
      <w:r w:rsidRPr="00167CB8">
        <w:lastRenderedPageBreak/>
        <w:t>implement major operational changes’</w:t>
      </w:r>
      <w:r w:rsidRPr="00167CB8">
        <w:rPr>
          <w:rStyle w:val="FootnoteReference"/>
        </w:rPr>
        <w:footnoteReference w:id="776"/>
      </w:r>
      <w:r w:rsidRPr="00167CB8">
        <w:t xml:space="preserve"> and ‘where an employer is forced to make major operational changes to its business at the initiative of government policy, that funding and resources are made available and offered to all employer associations registered with the FWC to support impacted member businesses’.</w:t>
      </w:r>
      <w:r w:rsidRPr="00167CB8">
        <w:rPr>
          <w:rStyle w:val="FootnoteReference"/>
        </w:rPr>
        <w:footnoteReference w:id="777"/>
      </w:r>
    </w:p>
    <w:p w14:paraId="1D3378C2" w14:textId="546B78F2" w:rsidR="00173F8E" w:rsidRPr="00167CB8" w:rsidRDefault="00A52AD9" w:rsidP="00173F8E">
      <w:r w:rsidRPr="00167CB8">
        <w:t>The United Workers Union (</w:t>
      </w:r>
      <w:r w:rsidR="00173F8E" w:rsidRPr="00167CB8">
        <w:t>UWU</w:t>
      </w:r>
      <w:r w:rsidRPr="00167CB8">
        <w:t>)</w:t>
      </w:r>
      <w:r w:rsidR="00173F8E" w:rsidRPr="00167CB8">
        <w:t xml:space="preserve"> and SDA noted that there are a number of agreements made after 2010 that may provide pay and conditions below the award. UWU submit</w:t>
      </w:r>
      <w:r w:rsidRPr="00167CB8">
        <w:t>ted</w:t>
      </w:r>
      <w:r w:rsidR="00173F8E" w:rsidRPr="00167CB8">
        <w:t xml:space="preserve"> that ‘there remains a further gap in respect to the continued operation of old enterprise agreements’</w:t>
      </w:r>
      <w:r w:rsidR="00855F33" w:rsidRPr="00167CB8">
        <w:t>,</w:t>
      </w:r>
      <w:r w:rsidR="00173F8E" w:rsidRPr="00167CB8">
        <w:t xml:space="preserve"> including those that were subject to the ‘no disadvantage test’, a less rigorous BOOT, agreements that have been replaced but have not been terminated and those agreements that may have passed the BOOT at test time but now contain rates of pay and terms and conditions below the award.</w:t>
      </w:r>
      <w:r w:rsidR="00173F8E" w:rsidRPr="00167CB8">
        <w:rPr>
          <w:rStyle w:val="FootnoteReference"/>
        </w:rPr>
        <w:footnoteReference w:id="778"/>
      </w:r>
      <w:r w:rsidR="00173F8E" w:rsidRPr="00167CB8">
        <w:t xml:space="preserve"> The SDA submit</w:t>
      </w:r>
      <w:r w:rsidR="00855F33" w:rsidRPr="00167CB8">
        <w:t>ted</w:t>
      </w:r>
      <w:r w:rsidR="00173F8E" w:rsidRPr="00167CB8">
        <w:t xml:space="preserve"> that there remains a cohort of zombie agreements made between 2010 </w:t>
      </w:r>
      <w:r w:rsidR="00855F33" w:rsidRPr="00167CB8">
        <w:t xml:space="preserve">and </w:t>
      </w:r>
      <w:r w:rsidR="00173F8E" w:rsidRPr="00167CB8">
        <w:t>2016 that continue to operate and ‘may still contain terms less favourable than the relevant modern awards’.</w:t>
      </w:r>
      <w:r w:rsidR="00173F8E" w:rsidRPr="00167CB8">
        <w:rPr>
          <w:rStyle w:val="FootnoteReference"/>
        </w:rPr>
        <w:footnoteReference w:id="779"/>
      </w:r>
      <w:r w:rsidR="00173F8E" w:rsidRPr="00167CB8">
        <w:t xml:space="preserve"> The SDA note</w:t>
      </w:r>
      <w:r w:rsidR="00855F33" w:rsidRPr="00167CB8">
        <w:t>d</w:t>
      </w:r>
      <w:r w:rsidR="00173F8E" w:rsidRPr="00167CB8">
        <w:t xml:space="preserve"> they have been actively lodging termination applications for these agreements and propose</w:t>
      </w:r>
      <w:r w:rsidR="00855F33" w:rsidRPr="00167CB8">
        <w:t>d</w:t>
      </w:r>
      <w:r w:rsidR="00173F8E" w:rsidRPr="00167CB8">
        <w:t xml:space="preserve"> allowing ‘[a] union who has interest in an industry [to] be able to make an application to terminate an agreement where there is no union party to an agreement</w:t>
      </w:r>
      <w:r w:rsidR="00855F33" w:rsidRPr="00167CB8">
        <w:t>’</w:t>
      </w:r>
      <w:r w:rsidR="00173F8E" w:rsidRPr="00167CB8">
        <w:t>.</w:t>
      </w:r>
      <w:r w:rsidR="00173F8E" w:rsidRPr="00167CB8">
        <w:rPr>
          <w:rStyle w:val="FootnoteReference"/>
        </w:rPr>
        <w:footnoteReference w:id="780"/>
      </w:r>
    </w:p>
    <w:p w14:paraId="5AAC593B" w14:textId="3A0BAD70" w:rsidR="00173F8E" w:rsidRPr="00167CB8" w:rsidRDefault="00874933" w:rsidP="00173F8E">
      <w:pPr>
        <w:pStyle w:val="Heading4"/>
        <w:rPr>
          <w:rFonts w:asciiTheme="minorHAnsi" w:hAnsiTheme="minorHAnsi"/>
        </w:rPr>
      </w:pPr>
      <w:bookmarkStart w:id="262" w:name="_Toc189260273"/>
      <w:bookmarkStart w:id="263" w:name="_Toc189393589"/>
      <w:r w:rsidRPr="00167CB8">
        <w:rPr>
          <w:rFonts w:asciiTheme="minorHAnsi" w:hAnsiTheme="minorHAnsi"/>
        </w:rPr>
        <w:t>21</w:t>
      </w:r>
      <w:r w:rsidR="00173F8E" w:rsidRPr="00167CB8">
        <w:rPr>
          <w:rFonts w:asciiTheme="minorHAnsi" w:hAnsiTheme="minorHAnsi"/>
        </w:rPr>
        <w:t xml:space="preserve">.3 Findings and </w:t>
      </w:r>
      <w:r w:rsidR="00855F33" w:rsidRPr="00167CB8">
        <w:rPr>
          <w:rFonts w:asciiTheme="minorHAnsi" w:hAnsiTheme="minorHAnsi"/>
        </w:rPr>
        <w:t>r</w:t>
      </w:r>
      <w:r w:rsidR="00173F8E" w:rsidRPr="00167CB8">
        <w:rPr>
          <w:rFonts w:asciiTheme="minorHAnsi" w:hAnsiTheme="minorHAnsi"/>
        </w:rPr>
        <w:t>ecommendations</w:t>
      </w:r>
      <w:bookmarkEnd w:id="262"/>
      <w:bookmarkEnd w:id="263"/>
    </w:p>
    <w:p w14:paraId="023F6658" w14:textId="505236C1" w:rsidR="00173F8E" w:rsidRPr="00167CB8" w:rsidRDefault="00173F8E" w:rsidP="00173F8E">
      <w:r w:rsidRPr="00167CB8">
        <w:t>At the end of 6 December 2023, all zombie agreements that were still in operation automatically terminated unless their operation was extended by the FWC or an application for an extension was pending at that time. There are a small number of zombie agreements that are still in operation</w:t>
      </w:r>
      <w:r w:rsidR="00855F33" w:rsidRPr="00167CB8">
        <w:t>,</w:t>
      </w:r>
      <w:r w:rsidRPr="00167CB8">
        <w:t xml:space="preserve"> </w:t>
      </w:r>
      <w:r w:rsidR="00543D58" w:rsidRPr="00167CB8">
        <w:t xml:space="preserve">because </w:t>
      </w:r>
      <w:r w:rsidRPr="00167CB8">
        <w:t xml:space="preserve">the FWC has granted extensions to their default periods. </w:t>
      </w:r>
    </w:p>
    <w:p w14:paraId="5545F497" w14:textId="77777777" w:rsidR="00173F8E" w:rsidRPr="00167CB8" w:rsidRDefault="00173F8E" w:rsidP="00173F8E">
      <w:r w:rsidRPr="00167CB8">
        <w:t>The data demonstrates that enterprise bargaining has increased and coverage of enterprise agreements is at the highest level since March quarter 2020.</w:t>
      </w:r>
      <w:r w:rsidRPr="00167CB8">
        <w:rPr>
          <w:rStyle w:val="FootnoteReference"/>
        </w:rPr>
        <w:footnoteReference w:id="781"/>
      </w:r>
      <w:r w:rsidRPr="00167CB8">
        <w:t xml:space="preserve"> This may also suggest that the Secure Jobs, Better Pay amendments (including the sunsetting of zombie agreements) has had a positive effect on enterprise bargaining. However, it is too early to say whether the Secure Jobs, Better Pay amendments more generally will result in a long-term increase in enterprise bargaining.</w:t>
      </w:r>
    </w:p>
    <w:p w14:paraId="77C52EA7" w14:textId="7D0B7BDA" w:rsidR="00173F8E" w:rsidRPr="00167CB8" w:rsidRDefault="00173F8E" w:rsidP="00173F8E">
      <w:r w:rsidRPr="00167CB8">
        <w:t xml:space="preserve">The evidence before </w:t>
      </w:r>
      <w:r w:rsidR="00FD7CA8" w:rsidRPr="00167CB8">
        <w:t xml:space="preserve">the Review Panel </w:t>
      </w:r>
      <w:r w:rsidRPr="00167CB8">
        <w:t>suggests that the provisions relating to the sunsetting of zombie agreements are operating appropriately and as intended.</w:t>
      </w:r>
    </w:p>
    <w:p w14:paraId="6BC02FA4" w14:textId="51359A8A" w:rsidR="00173F8E" w:rsidRPr="00167CB8" w:rsidRDefault="00173F8E" w:rsidP="00173F8E">
      <w:pPr>
        <w:spacing w:after="160"/>
        <w:rPr>
          <w:rFonts w:eastAsiaTheme="majorEastAsia" w:cstheme="majorBidi"/>
          <w:b/>
          <w:color w:val="009B9F" w:themeColor="background2"/>
          <w:sz w:val="44"/>
          <w:szCs w:val="26"/>
        </w:rPr>
      </w:pPr>
      <w:r w:rsidRPr="00167CB8">
        <w:t xml:space="preserve">While agreements made before the Fair Work Act commenced (or fully commenced) have terminated (unless extended on application to the FWC or an application for extension is pending), there remains a number of agreements made after 2010 that have long since passed their nominal expiry date and continue to operate. </w:t>
      </w:r>
      <w:r w:rsidR="007B5D7E" w:rsidRPr="00167CB8">
        <w:t xml:space="preserve">Some of these agreements were potentially approved at a time when pay and conditions were in a period of transition between pre-Modern Awards and Modern Awards meaning they may not have been assessed against current pay and conditions. </w:t>
      </w:r>
      <w:r w:rsidRPr="00167CB8">
        <w:t>UWU and SDA submit</w:t>
      </w:r>
      <w:r w:rsidR="002C6415" w:rsidRPr="00167CB8">
        <w:t>ted</w:t>
      </w:r>
      <w:r w:rsidRPr="00167CB8">
        <w:t xml:space="preserve"> that these agreements may contain rates of pay, terms and conditions that are below the relevant awards. The Review Panel acknowledges this may be </w:t>
      </w:r>
      <w:r w:rsidRPr="00167CB8">
        <w:lastRenderedPageBreak/>
        <w:t xml:space="preserve">the case and </w:t>
      </w:r>
      <w:r w:rsidR="004E5F7E" w:rsidRPr="00167CB8">
        <w:t xml:space="preserve">therefore </w:t>
      </w:r>
      <w:r w:rsidRPr="00167CB8">
        <w:t xml:space="preserve">considers that further data is required to identify the incidence of agreements that meet this </w:t>
      </w:r>
      <w:r w:rsidR="0080090C" w:rsidRPr="00167CB8">
        <w:t>criterion</w:t>
      </w:r>
      <w:r w:rsidRPr="00167CB8">
        <w:t xml:space="preserve">. </w:t>
      </w:r>
      <w:r w:rsidR="0015079E" w:rsidRPr="00167CB8">
        <w:t>The Review Panel recommends that further research to quantify the incidence and coverage of enterprise agreements that have nominally expired more than five years ago and identify the wages and conditions under these instruments as compared to the applicable modern awards should be undertaken.</w:t>
      </w:r>
      <w:r w:rsidRPr="00167CB8">
        <w:br w:type="page"/>
      </w:r>
    </w:p>
    <w:p w14:paraId="5B400C1B" w14:textId="20CC939A" w:rsidR="001625B2" w:rsidRPr="00167CB8" w:rsidRDefault="00AE24D6" w:rsidP="001625B2">
      <w:pPr>
        <w:pStyle w:val="Heading2"/>
        <w:rPr>
          <w:rFonts w:asciiTheme="minorHAnsi" w:hAnsiTheme="minorHAnsi"/>
        </w:rPr>
      </w:pPr>
      <w:bookmarkStart w:id="264" w:name="_Toc189260180"/>
      <w:bookmarkStart w:id="265" w:name="_Toc189260274"/>
      <w:bookmarkStart w:id="266" w:name="_Toc189393590"/>
      <w:r w:rsidRPr="00167CB8">
        <w:rPr>
          <w:rFonts w:asciiTheme="minorHAnsi" w:hAnsiTheme="minorHAnsi"/>
        </w:rPr>
        <w:lastRenderedPageBreak/>
        <w:t xml:space="preserve">Part </w:t>
      </w:r>
      <w:r w:rsidR="00173F8E" w:rsidRPr="00167CB8">
        <w:rPr>
          <w:rFonts w:asciiTheme="minorHAnsi" w:hAnsiTheme="minorHAnsi"/>
        </w:rPr>
        <w:t>3</w:t>
      </w:r>
      <w:r w:rsidR="001625B2" w:rsidRPr="00167CB8">
        <w:rPr>
          <w:rFonts w:asciiTheme="minorHAnsi" w:hAnsiTheme="minorHAnsi"/>
        </w:rPr>
        <w:t>.</w:t>
      </w:r>
      <w:r w:rsidR="00AC5C81" w:rsidRPr="00167CB8">
        <w:rPr>
          <w:rFonts w:asciiTheme="minorHAnsi" w:hAnsiTheme="minorHAnsi"/>
        </w:rPr>
        <w:t xml:space="preserve"> Job security and gender equality</w:t>
      </w:r>
      <w:bookmarkEnd w:id="261"/>
      <w:bookmarkEnd w:id="264"/>
      <w:bookmarkEnd w:id="265"/>
      <w:bookmarkEnd w:id="266"/>
    </w:p>
    <w:p w14:paraId="6CA6F4B3" w14:textId="0B7E9424" w:rsidR="00236A83" w:rsidRPr="00167CB8" w:rsidRDefault="00236A83" w:rsidP="00236A83">
      <w:r w:rsidRPr="00167CB8">
        <w:t xml:space="preserve">In </w:t>
      </w:r>
      <w:r w:rsidR="00030C83" w:rsidRPr="00167CB8">
        <w:t>the following chapters the Review Panel</w:t>
      </w:r>
      <w:r w:rsidRPr="00167CB8">
        <w:t xml:space="preserve"> focus</w:t>
      </w:r>
      <w:r w:rsidR="002C6415" w:rsidRPr="00167CB8">
        <w:t>es</w:t>
      </w:r>
      <w:r w:rsidRPr="00167CB8">
        <w:t xml:space="preserve"> on legislative changes broadly classified as ‘job security and gender equality’. It is important to note that changes concerning collective bargaining and agreement</w:t>
      </w:r>
      <w:r w:rsidR="002C6415" w:rsidRPr="00167CB8">
        <w:t xml:space="preserve"> </w:t>
      </w:r>
      <w:r w:rsidRPr="00167CB8">
        <w:t xml:space="preserve">making, discussed in Part </w:t>
      </w:r>
      <w:r w:rsidR="009F034D" w:rsidRPr="00167CB8">
        <w:t xml:space="preserve">2 </w:t>
      </w:r>
      <w:r w:rsidRPr="00167CB8">
        <w:t xml:space="preserve">of </w:t>
      </w:r>
      <w:r w:rsidR="00592129" w:rsidRPr="00167CB8">
        <w:t xml:space="preserve">this </w:t>
      </w:r>
      <w:r w:rsidR="002C6415" w:rsidRPr="00167CB8">
        <w:t>r</w:t>
      </w:r>
      <w:r w:rsidR="00592129" w:rsidRPr="00167CB8">
        <w:t>eport</w:t>
      </w:r>
      <w:r w:rsidRPr="00167CB8">
        <w:t xml:space="preserve">, will also have a bearing on job security and gender equality. The </w:t>
      </w:r>
      <w:r w:rsidR="00E076A3">
        <w:t xml:space="preserve">specific </w:t>
      </w:r>
      <w:r w:rsidR="00A415B8" w:rsidRPr="00167CB8">
        <w:t>Secure Jobs, Better Pay</w:t>
      </w:r>
      <w:r w:rsidRPr="00167CB8">
        <w:t xml:space="preserve"> amendments </w:t>
      </w:r>
      <w:r w:rsidR="00E076A3">
        <w:t>considered in this part relate to</w:t>
      </w:r>
      <w:r w:rsidRPr="00167CB8">
        <w:t xml:space="preserve">: </w:t>
      </w:r>
    </w:p>
    <w:p w14:paraId="5C0670B6" w14:textId="39738C85" w:rsidR="00236A83" w:rsidRPr="00167CB8" w:rsidRDefault="002C6415" w:rsidP="00EA3E2F">
      <w:pPr>
        <w:pStyle w:val="ListBullet"/>
      </w:pPr>
      <w:r w:rsidRPr="00167CB8">
        <w:t>P</w:t>
      </w:r>
      <w:r w:rsidR="00236A83" w:rsidRPr="00167CB8">
        <w:t>aid family and domestic violence leave</w:t>
      </w:r>
    </w:p>
    <w:p w14:paraId="7E1ECF5A" w14:textId="77777777" w:rsidR="00236A83" w:rsidRPr="00167CB8" w:rsidRDefault="00236A83" w:rsidP="00EA3E2F">
      <w:pPr>
        <w:pStyle w:val="ListBullet"/>
      </w:pPr>
      <w:r w:rsidRPr="00167CB8">
        <w:t>The Objects of the Fair Work Act</w:t>
      </w:r>
    </w:p>
    <w:p w14:paraId="7F05BCB5" w14:textId="77777777" w:rsidR="00236A83" w:rsidRPr="00167CB8" w:rsidRDefault="00236A83" w:rsidP="00EA3E2F">
      <w:pPr>
        <w:pStyle w:val="ListBullet"/>
      </w:pPr>
      <w:r w:rsidRPr="00167CB8">
        <w:t>Equal remuneration and work value</w:t>
      </w:r>
    </w:p>
    <w:p w14:paraId="1A256644" w14:textId="77777777" w:rsidR="00236A83" w:rsidRPr="00167CB8" w:rsidRDefault="00236A83" w:rsidP="00EA3E2F">
      <w:pPr>
        <w:pStyle w:val="ListBullet"/>
      </w:pPr>
      <w:r w:rsidRPr="00167CB8">
        <w:t>Pay secrecy</w:t>
      </w:r>
    </w:p>
    <w:p w14:paraId="27D0F195" w14:textId="77777777" w:rsidR="00236A83" w:rsidRPr="00167CB8" w:rsidRDefault="00236A83" w:rsidP="00EA3E2F">
      <w:pPr>
        <w:pStyle w:val="ListBullet"/>
      </w:pPr>
      <w:r w:rsidRPr="00167CB8">
        <w:t>Sexual harassment in connection with work</w:t>
      </w:r>
    </w:p>
    <w:p w14:paraId="15D0A16C" w14:textId="77777777" w:rsidR="00236A83" w:rsidRPr="00167CB8" w:rsidRDefault="00236A83" w:rsidP="00EA3E2F">
      <w:pPr>
        <w:pStyle w:val="ListBullet"/>
      </w:pPr>
      <w:r w:rsidRPr="00167CB8">
        <w:t>Anti-discrimination</w:t>
      </w:r>
    </w:p>
    <w:p w14:paraId="7FCD59DD" w14:textId="20E2A19D" w:rsidR="00236A83" w:rsidRPr="00167CB8" w:rsidRDefault="00236A83" w:rsidP="00EA3E2F">
      <w:pPr>
        <w:pStyle w:val="ListBullet"/>
      </w:pPr>
      <w:r w:rsidRPr="00167CB8">
        <w:t>Fixed</w:t>
      </w:r>
      <w:r w:rsidR="006B272C" w:rsidRPr="00167CB8">
        <w:t>-</w:t>
      </w:r>
      <w:r w:rsidRPr="00167CB8">
        <w:t>term contracts</w:t>
      </w:r>
    </w:p>
    <w:p w14:paraId="03FD64E1" w14:textId="77777777" w:rsidR="00236A83" w:rsidRPr="00167CB8" w:rsidRDefault="00236A83" w:rsidP="00EA3E2F">
      <w:pPr>
        <w:pStyle w:val="ListBullet"/>
      </w:pPr>
      <w:r w:rsidRPr="00167CB8">
        <w:t>Flexible work</w:t>
      </w:r>
    </w:p>
    <w:p w14:paraId="2B13CD4D" w14:textId="503EE7CD" w:rsidR="00236A83" w:rsidRPr="00167CB8" w:rsidRDefault="00236A83" w:rsidP="00EA3E2F">
      <w:pPr>
        <w:pStyle w:val="ListBullet"/>
      </w:pPr>
      <w:r w:rsidRPr="00167CB8">
        <w:t>Unpaid parental leave</w:t>
      </w:r>
      <w:r w:rsidR="002C6415" w:rsidRPr="00167CB8">
        <w:t>.</w:t>
      </w:r>
    </w:p>
    <w:p w14:paraId="44438404" w14:textId="77777777" w:rsidR="00027D8B" w:rsidRDefault="00027D8B">
      <w:pPr>
        <w:spacing w:after="160"/>
        <w:rPr>
          <w:rFonts w:eastAsiaTheme="majorEastAsia" w:cstheme="majorBidi"/>
          <w:b/>
          <w:color w:val="0D2C6C" w:themeColor="text1"/>
          <w:sz w:val="32"/>
          <w:szCs w:val="24"/>
        </w:rPr>
      </w:pPr>
      <w:bookmarkStart w:id="267" w:name="_Toc188003337"/>
      <w:bookmarkStart w:id="268" w:name="_Toc188277923"/>
      <w:bookmarkStart w:id="269" w:name="_Toc189260275"/>
      <w:r>
        <w:br w:type="page"/>
      </w:r>
    </w:p>
    <w:p w14:paraId="1140F7D0" w14:textId="235D1035" w:rsidR="009A1D5D" w:rsidRPr="00167CB8" w:rsidRDefault="00AE24D6" w:rsidP="009A1D5D">
      <w:pPr>
        <w:pStyle w:val="Heading3"/>
        <w:rPr>
          <w:rFonts w:asciiTheme="minorHAnsi" w:hAnsiTheme="minorHAnsi"/>
        </w:rPr>
      </w:pPr>
      <w:bookmarkStart w:id="270" w:name="_Toc189393591"/>
      <w:r w:rsidRPr="00167CB8">
        <w:rPr>
          <w:rFonts w:asciiTheme="minorHAnsi" w:hAnsiTheme="minorHAnsi"/>
        </w:rPr>
        <w:lastRenderedPageBreak/>
        <w:t xml:space="preserve">Chapter </w:t>
      </w:r>
      <w:r w:rsidR="00783F86" w:rsidRPr="00167CB8">
        <w:rPr>
          <w:rFonts w:asciiTheme="minorHAnsi" w:hAnsiTheme="minorHAnsi"/>
        </w:rPr>
        <w:t>22</w:t>
      </w:r>
      <w:r w:rsidRPr="00167CB8">
        <w:rPr>
          <w:rFonts w:asciiTheme="minorHAnsi" w:hAnsiTheme="minorHAnsi"/>
        </w:rPr>
        <w:t>.</w:t>
      </w:r>
      <w:r w:rsidR="009A1D5D" w:rsidRPr="00167CB8">
        <w:rPr>
          <w:rFonts w:asciiTheme="minorHAnsi" w:hAnsiTheme="minorHAnsi"/>
        </w:rPr>
        <w:t xml:space="preserve"> </w:t>
      </w:r>
      <w:r w:rsidR="00186B45" w:rsidRPr="00167CB8">
        <w:rPr>
          <w:rFonts w:asciiTheme="minorHAnsi" w:hAnsiTheme="minorHAnsi"/>
        </w:rPr>
        <w:t xml:space="preserve">Context for the </w:t>
      </w:r>
      <w:r w:rsidR="002C6415" w:rsidRPr="00167CB8">
        <w:rPr>
          <w:rFonts w:asciiTheme="minorHAnsi" w:hAnsiTheme="minorHAnsi"/>
        </w:rPr>
        <w:t>j</w:t>
      </w:r>
      <w:r w:rsidR="009A1D5D" w:rsidRPr="00167CB8">
        <w:rPr>
          <w:rFonts w:asciiTheme="minorHAnsi" w:hAnsiTheme="minorHAnsi"/>
        </w:rPr>
        <w:t xml:space="preserve">ob </w:t>
      </w:r>
      <w:r w:rsidR="002C6415" w:rsidRPr="00167CB8">
        <w:rPr>
          <w:rFonts w:asciiTheme="minorHAnsi" w:hAnsiTheme="minorHAnsi"/>
        </w:rPr>
        <w:t>s</w:t>
      </w:r>
      <w:r w:rsidR="009A1D5D" w:rsidRPr="00167CB8">
        <w:rPr>
          <w:rFonts w:asciiTheme="minorHAnsi" w:hAnsiTheme="minorHAnsi"/>
        </w:rPr>
        <w:t xml:space="preserve">ecurity </w:t>
      </w:r>
      <w:r w:rsidR="002C6415" w:rsidRPr="00167CB8">
        <w:rPr>
          <w:rFonts w:asciiTheme="minorHAnsi" w:hAnsiTheme="minorHAnsi"/>
        </w:rPr>
        <w:t>and g</w:t>
      </w:r>
      <w:r w:rsidR="009A1D5D" w:rsidRPr="00167CB8">
        <w:rPr>
          <w:rFonts w:asciiTheme="minorHAnsi" w:hAnsiTheme="minorHAnsi"/>
        </w:rPr>
        <w:t xml:space="preserve">ender </w:t>
      </w:r>
      <w:r w:rsidR="002C6415" w:rsidRPr="00167CB8">
        <w:rPr>
          <w:rFonts w:asciiTheme="minorHAnsi" w:hAnsiTheme="minorHAnsi"/>
        </w:rPr>
        <w:t>e</w:t>
      </w:r>
      <w:r w:rsidR="009A1D5D" w:rsidRPr="00167CB8">
        <w:rPr>
          <w:rFonts w:asciiTheme="minorHAnsi" w:hAnsiTheme="minorHAnsi"/>
        </w:rPr>
        <w:t xml:space="preserve">quality </w:t>
      </w:r>
      <w:bookmarkEnd w:id="267"/>
      <w:bookmarkEnd w:id="268"/>
      <w:r w:rsidR="00186B45" w:rsidRPr="00167CB8">
        <w:rPr>
          <w:rFonts w:asciiTheme="minorHAnsi" w:hAnsiTheme="minorHAnsi"/>
        </w:rPr>
        <w:t>amendments</w:t>
      </w:r>
      <w:bookmarkEnd w:id="269"/>
      <w:bookmarkEnd w:id="270"/>
    </w:p>
    <w:p w14:paraId="6A8FD73B" w14:textId="4E2DDE10" w:rsidR="006E2AE8" w:rsidRDefault="006E2AE8" w:rsidP="006E2AE8">
      <w:bookmarkStart w:id="271" w:name="_Toc189260276"/>
      <w:r>
        <w:t xml:space="preserve">This introductory chapter aims to provide some context to the amendments considered in this Part 3 of the report. The chapter has </w:t>
      </w:r>
      <w:r w:rsidR="00027D8B">
        <w:t>2</w:t>
      </w:r>
      <w:r>
        <w:t xml:space="preserve"> main objectives. First, it </w:t>
      </w:r>
      <w:r w:rsidRPr="00B65EB9">
        <w:t>examines the evolving nature of the labo</w:t>
      </w:r>
      <w:r>
        <w:t>u</w:t>
      </w:r>
      <w:r w:rsidRPr="00B65EB9">
        <w:t xml:space="preserve">r market </w:t>
      </w:r>
      <w:r>
        <w:t>over</w:t>
      </w:r>
      <w:r w:rsidRPr="00B65EB9">
        <w:t xml:space="preserve"> recent decades, with a particular focus on gender. While it does not attempt to empirically link the aforementioned amendments, its primary goal is to highlight </w:t>
      </w:r>
      <w:r>
        <w:t>particular</w:t>
      </w:r>
      <w:r w:rsidRPr="00B65EB9">
        <w:t xml:space="preserve"> trends. These include the increasing workforce participation of women</w:t>
      </w:r>
      <w:r w:rsidR="001E17A6">
        <w:t xml:space="preserve"> (e</w:t>
      </w:r>
      <w:r w:rsidRPr="00B65EB9">
        <w:t>specially those in their 30s and older</w:t>
      </w:r>
      <w:r w:rsidR="001E17A6">
        <w:t xml:space="preserve">), </w:t>
      </w:r>
      <w:r w:rsidRPr="00B65EB9">
        <w:t xml:space="preserve">the rise of non-standard employment (such as part-time and casual jobs), and significant shifts in the industrial structure, notably toward service industries like healthcare and education. The analysis underscores the growing </w:t>
      </w:r>
      <w:r w:rsidR="00F016C0">
        <w:t>presence and importance</w:t>
      </w:r>
      <w:r w:rsidRPr="00B65EB9">
        <w:t xml:space="preserve"> of women in the labo</w:t>
      </w:r>
      <w:r>
        <w:t>u</w:t>
      </w:r>
      <w:r w:rsidRPr="00B65EB9">
        <w:t>r market and the necessity for industrial relations policies</w:t>
      </w:r>
      <w:r w:rsidR="00F016C0">
        <w:t xml:space="preserve"> and laws</w:t>
      </w:r>
      <w:r w:rsidRPr="00B65EB9">
        <w:t xml:space="preserve"> that accommodate their needs. These needs include</w:t>
      </w:r>
      <w:r w:rsidR="000964EB">
        <w:t xml:space="preserve"> equal pay,</w:t>
      </w:r>
      <w:r w:rsidRPr="00B65EB9">
        <w:t xml:space="preserve"> flexible work arrangements, predictable schedules and pay, support for work-life balance, protection from sexual harassment, and provisions for domestic violence leave—elements that collectively define ‘decent work’ standards.</w:t>
      </w:r>
    </w:p>
    <w:p w14:paraId="2B40DF9B" w14:textId="588CFBCA" w:rsidR="006E2AE8" w:rsidRDefault="006E2AE8" w:rsidP="006E2AE8">
      <w:r w:rsidRPr="00315E26">
        <w:t xml:space="preserve">The second objective is to provide an overview of recent work value cases and </w:t>
      </w:r>
      <w:r w:rsidR="00C07110">
        <w:t>related</w:t>
      </w:r>
      <w:r w:rsidRPr="00315E26">
        <w:t xml:space="preserve"> rulings by the Fair Work Commission</w:t>
      </w:r>
      <w:r>
        <w:t xml:space="preserve"> (FWC)</w:t>
      </w:r>
      <w:r w:rsidR="00B23A5F">
        <w:rPr>
          <w:rStyle w:val="FootnoteReference"/>
        </w:rPr>
        <w:footnoteReference w:id="782"/>
      </w:r>
      <w:r w:rsidRPr="00315E26">
        <w:t>. This discussion is complemented by a descriptive analysis of the gender wage gap (GWG), a key indicator of women’s status and progress in the labo</w:t>
      </w:r>
      <w:r>
        <w:t>u</w:t>
      </w:r>
      <w:r w:rsidRPr="00315E26">
        <w:t>r market.</w:t>
      </w:r>
    </w:p>
    <w:p w14:paraId="72CF09BC" w14:textId="61292018" w:rsidR="006E2AE8" w:rsidRPr="00167CB8" w:rsidRDefault="006E2AE8" w:rsidP="006E2AE8">
      <w:r>
        <w:t xml:space="preserve">The chapter is organised as follows. It begins in section 22.1 </w:t>
      </w:r>
      <w:r w:rsidRPr="00167CB8">
        <w:t xml:space="preserve">with a historical overview of wage setting in Australia, emphasising the gendered nature of the </w:t>
      </w:r>
      <w:r>
        <w:t xml:space="preserve">industrial relations </w:t>
      </w:r>
      <w:r w:rsidRPr="00167CB8">
        <w:t>system and its role in perpetuating gender inequalities. Section 22.2 describes</w:t>
      </w:r>
      <w:r>
        <w:t xml:space="preserve"> </w:t>
      </w:r>
      <w:r w:rsidRPr="00167CB8">
        <w:t>trends in employment</w:t>
      </w:r>
      <w:r>
        <w:t xml:space="preserve">, hours worked and labour force status </w:t>
      </w:r>
      <w:r w:rsidRPr="00167CB8">
        <w:t xml:space="preserve">by gender. Section 22.3 focuses on the GWG. Section 22.4 concludes the chapter. </w:t>
      </w:r>
    </w:p>
    <w:p w14:paraId="4B6C212A" w14:textId="35584933" w:rsidR="009A1D5D" w:rsidRPr="00167CB8" w:rsidRDefault="00AE658F" w:rsidP="009A1D5D">
      <w:pPr>
        <w:pStyle w:val="Heading4"/>
        <w:rPr>
          <w:rFonts w:asciiTheme="minorHAnsi" w:hAnsiTheme="minorHAnsi"/>
        </w:rPr>
      </w:pPr>
      <w:bookmarkStart w:id="272" w:name="_Toc189393592"/>
      <w:r w:rsidRPr="00167CB8">
        <w:rPr>
          <w:rFonts w:asciiTheme="minorHAnsi" w:hAnsiTheme="minorHAnsi"/>
        </w:rPr>
        <w:t>22</w:t>
      </w:r>
      <w:r w:rsidR="00D15082" w:rsidRPr="00167CB8" w:rsidDel="00203F96">
        <w:rPr>
          <w:rFonts w:asciiTheme="minorHAnsi" w:hAnsiTheme="minorHAnsi"/>
        </w:rPr>
        <w:t>.1</w:t>
      </w:r>
      <w:r w:rsidR="00D15082" w:rsidRPr="00167CB8">
        <w:rPr>
          <w:rFonts w:asciiTheme="minorHAnsi" w:hAnsiTheme="minorHAnsi"/>
        </w:rPr>
        <w:t xml:space="preserve"> </w:t>
      </w:r>
      <w:r w:rsidR="002D73FA" w:rsidRPr="00167CB8">
        <w:rPr>
          <w:rFonts w:asciiTheme="minorHAnsi" w:hAnsiTheme="minorHAnsi"/>
        </w:rPr>
        <w:t>Historical context</w:t>
      </w:r>
      <w:bookmarkEnd w:id="271"/>
      <w:bookmarkEnd w:id="272"/>
    </w:p>
    <w:p w14:paraId="1E4CF025" w14:textId="10244C1E" w:rsidR="00FA3284" w:rsidRPr="00167CB8" w:rsidRDefault="00FA3284" w:rsidP="00FA3284">
      <w:r w:rsidRPr="00167CB8">
        <w:t>Historically, the Australian industrial relations system has not been conducive to gender equality.</w:t>
      </w:r>
      <w:r w:rsidRPr="00167CB8">
        <w:rPr>
          <w:rStyle w:val="FootnoteReference"/>
          <w:rFonts w:ascii="Calibri" w:hAnsi="Calibri" w:cs="Calibri"/>
          <w:sz w:val="24"/>
          <w:szCs w:val="24"/>
        </w:rPr>
        <w:footnoteReference w:id="783"/>
      </w:r>
      <w:r w:rsidRPr="00167CB8">
        <w:t xml:space="preserve"> It was built around a male ‘breadwinner’ model, where the male basic wage was determined based on family needs</w:t>
      </w:r>
      <w:r w:rsidR="00CC11E9" w:rsidRPr="00167CB8">
        <w:t xml:space="preserve"> </w:t>
      </w:r>
      <w:r w:rsidR="00CC11E9" w:rsidRPr="00167CB8">
        <w:rPr>
          <w:rFonts w:ascii="Symbol" w:eastAsia="Symbol" w:hAnsi="Symbol" w:cs="Symbol"/>
        </w:rPr>
        <w:sym w:font="Symbol" w:char="F02D"/>
      </w:r>
      <w:r w:rsidR="00CC11E9" w:rsidRPr="00167CB8">
        <w:t xml:space="preserve"> </w:t>
      </w:r>
      <w:r w:rsidRPr="00167CB8">
        <w:t xml:space="preserve">being a wage that was sufficient for a husband to support his wife and </w:t>
      </w:r>
      <w:r w:rsidR="00CC11E9" w:rsidRPr="00167CB8">
        <w:t xml:space="preserve">3 </w:t>
      </w:r>
      <w:r w:rsidRPr="00167CB8">
        <w:t>children. In contrast, a decade after the male basic wage was established, the female basic wage was calculated based on individual needs, at 54% of the male basic wage.</w:t>
      </w:r>
      <w:r w:rsidR="00EA70E7" w:rsidRPr="00167CB8">
        <w:rPr>
          <w:rStyle w:val="FootnoteReference"/>
          <w:rFonts w:ascii="Calibri" w:hAnsi="Calibri" w:cs="Calibri"/>
          <w:sz w:val="24"/>
          <w:szCs w:val="24"/>
        </w:rPr>
        <w:footnoteReference w:id="784"/>
      </w:r>
      <w:r w:rsidRPr="00167CB8">
        <w:t xml:space="preserve"> Gender wage discrimination was embedded in the industrial relations system from the outset.</w:t>
      </w:r>
      <w:r w:rsidR="00EA70E7" w:rsidRPr="00511323">
        <w:rPr>
          <w:rStyle w:val="FootnoteReference"/>
          <w:rFonts w:ascii="Calibri" w:hAnsi="Calibri" w:cs="Calibri"/>
          <w:sz w:val="24"/>
          <w:szCs w:val="24"/>
        </w:rPr>
        <w:footnoteReference w:id="785"/>
      </w:r>
    </w:p>
    <w:p w14:paraId="08A5833A" w14:textId="70530145" w:rsidR="00FA3284" w:rsidRPr="00167CB8" w:rsidRDefault="00FA3284" w:rsidP="00FA3284">
      <w:r w:rsidRPr="00167CB8">
        <w:t xml:space="preserve">By prioritising the needs of men, the system inherently advantaged full-time workers in traditional, standard employment. The manufacturing sector, in particular, was afforded a </w:t>
      </w:r>
      <w:r w:rsidRPr="00167CB8">
        <w:lastRenderedPageBreak/>
        <w:t xml:space="preserve">privileged position within this framework, not only due to its economic significance at the time but also because of its strong union representation. </w:t>
      </w:r>
    </w:p>
    <w:p w14:paraId="50A7FBFF" w14:textId="77777777" w:rsidR="00FA3284" w:rsidRPr="00167CB8" w:rsidRDefault="00FA3284" w:rsidP="00FA3284">
      <w:r w:rsidRPr="00167CB8">
        <w:t>This historical framework has also played a significant role in entrenching the high levels of occupational and industry segregation that continue to define Australia’s labour market today. These persistent patterns reinforce traditional gender roles and limit opportunities for women, perpetuating systemic barriers to achieving gender equality in the workplace.</w:t>
      </w:r>
      <w:r w:rsidRPr="00167CB8">
        <w:rPr>
          <w:rStyle w:val="FootnoteReference"/>
          <w:rFonts w:ascii="Calibri" w:hAnsi="Calibri" w:cs="Calibri"/>
          <w:sz w:val="24"/>
          <w:szCs w:val="24"/>
        </w:rPr>
        <w:footnoteReference w:id="786"/>
      </w:r>
      <w:r w:rsidRPr="00167CB8">
        <w:t xml:space="preserve"> </w:t>
      </w:r>
    </w:p>
    <w:p w14:paraId="7F84AD7F" w14:textId="3514BD2C" w:rsidR="00236A83" w:rsidRPr="00167CB8" w:rsidRDefault="00FA3284" w:rsidP="00236A83">
      <w:r w:rsidRPr="00167CB8">
        <w:t xml:space="preserve">Although the industrial relations system has undergone gradual reforms over time, the </w:t>
      </w:r>
      <w:r w:rsidR="008F1F1A" w:rsidRPr="00167CB8">
        <w:t xml:space="preserve">Secure </w:t>
      </w:r>
      <w:r w:rsidR="003231B0" w:rsidRPr="00167CB8">
        <w:t>J</w:t>
      </w:r>
      <w:r w:rsidR="008F1F1A" w:rsidRPr="00167CB8">
        <w:t>obs, Better Pay</w:t>
      </w:r>
      <w:r w:rsidRPr="00167CB8">
        <w:t xml:space="preserve"> amendments are intended to take further steps in tackling systemic barriers to gender equality in the workplace. Key measures to implement this intent include, and are not limited to, eliminating gender-based undervaluation of work, prohibiting pay secrecy, promoting flexible work arrangements, and strengthening protections against sexual harassment.</w:t>
      </w:r>
    </w:p>
    <w:p w14:paraId="42A2DE27" w14:textId="04209732" w:rsidR="006747E0" w:rsidRPr="00167CB8" w:rsidRDefault="00AE658F" w:rsidP="006747E0">
      <w:pPr>
        <w:pStyle w:val="Heading4"/>
        <w:rPr>
          <w:rFonts w:asciiTheme="minorHAnsi" w:hAnsiTheme="minorHAnsi"/>
        </w:rPr>
      </w:pPr>
      <w:bookmarkStart w:id="273" w:name="_Toc189260277"/>
      <w:bookmarkStart w:id="274" w:name="_Toc189393593"/>
      <w:r w:rsidRPr="00167CB8">
        <w:rPr>
          <w:rFonts w:asciiTheme="minorHAnsi" w:hAnsiTheme="minorHAnsi"/>
        </w:rPr>
        <w:t>22</w:t>
      </w:r>
      <w:r w:rsidR="006747E0" w:rsidRPr="00167CB8" w:rsidDel="00203F96">
        <w:rPr>
          <w:rFonts w:asciiTheme="minorHAnsi" w:hAnsiTheme="minorHAnsi"/>
        </w:rPr>
        <w:t>.</w:t>
      </w:r>
      <w:r w:rsidR="00B8779B" w:rsidRPr="00167CB8">
        <w:rPr>
          <w:rFonts w:asciiTheme="minorHAnsi" w:hAnsiTheme="minorHAnsi"/>
        </w:rPr>
        <w:t>2</w:t>
      </w:r>
      <w:r w:rsidR="006747E0" w:rsidRPr="00167CB8">
        <w:rPr>
          <w:rFonts w:asciiTheme="minorHAnsi" w:hAnsiTheme="minorHAnsi"/>
        </w:rPr>
        <w:t xml:space="preserve"> </w:t>
      </w:r>
      <w:r w:rsidR="00AC61A3" w:rsidRPr="00167CB8">
        <w:rPr>
          <w:rFonts w:asciiTheme="minorHAnsi" w:hAnsiTheme="minorHAnsi"/>
        </w:rPr>
        <w:t>Gender and employment</w:t>
      </w:r>
      <w:bookmarkEnd w:id="273"/>
      <w:bookmarkEnd w:id="274"/>
    </w:p>
    <w:p w14:paraId="41C1B6B1" w14:textId="56B651DC" w:rsidR="00AC61A3" w:rsidRPr="00167CB8" w:rsidRDefault="00CC11E9" w:rsidP="00AC61A3">
      <w:r w:rsidRPr="00167CB8">
        <w:t>As noted, historically t</w:t>
      </w:r>
      <w:r w:rsidR="0071036C" w:rsidRPr="00167CB8">
        <w:t xml:space="preserve">he Australian labour market and industrial relation system </w:t>
      </w:r>
      <w:r w:rsidRPr="00167CB8">
        <w:t xml:space="preserve">have been </w:t>
      </w:r>
      <w:r w:rsidR="0071036C" w:rsidRPr="00167CB8">
        <w:t xml:space="preserve">centred </w:t>
      </w:r>
      <w:r w:rsidRPr="00167CB8">
        <w:t xml:space="preserve">on </w:t>
      </w:r>
      <w:r w:rsidR="0071036C" w:rsidRPr="00167CB8">
        <w:t>a male full-time workforce. In recent decades, however, the character of the labour market has changed markedly. Aside from a doubling in the size of the labour force</w:t>
      </w:r>
      <w:r w:rsidRPr="00167CB8">
        <w:t>,</w:t>
      </w:r>
      <w:r w:rsidR="0071036C" w:rsidRPr="00167CB8">
        <w:t xml:space="preserve"> there has been a notable growth in female participation and part-time and casual work.</w:t>
      </w:r>
      <w:r w:rsidR="006B1DA8">
        <w:t xml:space="preserve">  </w:t>
      </w:r>
      <w:r w:rsidR="0071036C" w:rsidRPr="00167CB8">
        <w:t xml:space="preserve">In this section ABS data </w:t>
      </w:r>
      <w:r w:rsidR="006B1DA8">
        <w:t>are</w:t>
      </w:r>
      <w:r w:rsidR="005330C0" w:rsidRPr="00167CB8">
        <w:t xml:space="preserve"> </w:t>
      </w:r>
      <w:r w:rsidR="0071036C" w:rsidRPr="00167CB8">
        <w:t xml:space="preserve">used to profile these developments. </w:t>
      </w:r>
    </w:p>
    <w:p w14:paraId="71A3C353" w14:textId="4944CBBA" w:rsidR="009A1D5D" w:rsidRPr="00167CB8" w:rsidRDefault="00AE658F" w:rsidP="009A1D5D">
      <w:pPr>
        <w:pStyle w:val="Heading5"/>
        <w:rPr>
          <w:rFonts w:asciiTheme="minorHAnsi" w:hAnsiTheme="minorHAnsi"/>
        </w:rPr>
      </w:pPr>
      <w:bookmarkStart w:id="275" w:name="_Toc188003339"/>
      <w:r w:rsidRPr="00167CB8">
        <w:rPr>
          <w:rFonts w:asciiTheme="minorHAnsi" w:hAnsiTheme="minorHAnsi"/>
        </w:rPr>
        <w:t>22</w:t>
      </w:r>
      <w:r w:rsidR="00FE49C9" w:rsidRPr="00167CB8">
        <w:rPr>
          <w:rFonts w:asciiTheme="minorHAnsi" w:hAnsiTheme="minorHAnsi"/>
        </w:rPr>
        <w:t>.</w:t>
      </w:r>
      <w:r w:rsidR="00B8779B" w:rsidRPr="00167CB8">
        <w:rPr>
          <w:rFonts w:asciiTheme="minorHAnsi" w:hAnsiTheme="minorHAnsi"/>
        </w:rPr>
        <w:t>2</w:t>
      </w:r>
      <w:r w:rsidR="00FE49C9" w:rsidRPr="00167CB8">
        <w:rPr>
          <w:rFonts w:asciiTheme="minorHAnsi" w:hAnsiTheme="minorHAnsi"/>
        </w:rPr>
        <w:t>.1</w:t>
      </w:r>
      <w:r w:rsidR="009A1D5D" w:rsidRPr="00167CB8">
        <w:rPr>
          <w:rFonts w:asciiTheme="minorHAnsi" w:hAnsiTheme="minorHAnsi"/>
        </w:rPr>
        <w:t xml:space="preserve"> </w:t>
      </w:r>
      <w:r w:rsidR="00184186" w:rsidRPr="00167CB8">
        <w:rPr>
          <w:rFonts w:asciiTheme="minorHAnsi" w:hAnsiTheme="minorHAnsi"/>
        </w:rPr>
        <w:t>Trends in employment and labour force participation</w:t>
      </w:r>
      <w:r w:rsidR="00184186" w:rsidRPr="00167CB8" w:rsidDel="00184186">
        <w:rPr>
          <w:rFonts w:asciiTheme="minorHAnsi" w:hAnsiTheme="minorHAnsi"/>
        </w:rPr>
        <w:t xml:space="preserve"> </w:t>
      </w:r>
      <w:bookmarkEnd w:id="275"/>
    </w:p>
    <w:p w14:paraId="0266FAE3" w14:textId="156E2950" w:rsidR="008A2388" w:rsidRPr="00167CB8" w:rsidRDefault="008A2388" w:rsidP="00C367AA">
      <w:r w:rsidRPr="00167CB8">
        <w:t>Figure 1</w:t>
      </w:r>
      <w:r w:rsidR="00870928" w:rsidRPr="00167CB8">
        <w:t>1</w:t>
      </w:r>
      <w:r w:rsidRPr="00167CB8">
        <w:t xml:space="preserve"> plots the employment of men and women by year and employment status. The period covered is from February 1978 (the start of the ABS data series) to December 2024 (the most recent available data at the time of writing). In 1978 there were nearly 6 million people in employment. By 2024 there were 14.6 million employed persons in the labour market, meaning it had more than doubled in size since 1978. Growth has been particularly strong in recent years. For example, between December 2012 and December 2024 total employment increased by 28%. </w:t>
      </w:r>
    </w:p>
    <w:p w14:paraId="43B37F4D" w14:textId="30A16DF2" w:rsidR="008A2388" w:rsidRPr="00167CB8" w:rsidRDefault="008A2388" w:rsidP="00C367AA">
      <w:pPr>
        <w:rPr>
          <w:i/>
          <w:iCs/>
        </w:rPr>
      </w:pPr>
      <w:r w:rsidRPr="00167CB8">
        <w:t xml:space="preserve">In 1978 men accounted for 65% of the workforce, with 85% working full-time (defined as working 35 or more hours per week in all jobs). By December 2009 the proportion of jobs held by men had declined to 55% and the share of full-time employment had dropped to 70%. As of December 2024 men accounted for 52% of total employment and 69% of those working full-time. These trends highlight a notable rise in female workforce participation and employment and an increase in part-time employment. Women are particularly prevalent in part-time employment, currently accounting for 66% of all part-time </w:t>
      </w:r>
      <w:r w:rsidR="008E2147">
        <w:t>work</w:t>
      </w:r>
      <w:r w:rsidRPr="00167CB8">
        <w:t>.</w:t>
      </w:r>
    </w:p>
    <w:p w14:paraId="193430D0" w14:textId="0C1B51EE" w:rsidR="008A2388" w:rsidRPr="00167CB8" w:rsidRDefault="008A2388" w:rsidP="00C7470B">
      <w:pPr>
        <w:pStyle w:val="Caption"/>
      </w:pPr>
      <w:bookmarkStart w:id="276" w:name="_Toc188470104"/>
      <w:r w:rsidRPr="00167CB8">
        <w:lastRenderedPageBreak/>
        <w:t xml:space="preserve">Figure </w:t>
      </w:r>
      <w:r w:rsidR="00345183" w:rsidRPr="00167CB8">
        <w:t>11</w:t>
      </w:r>
      <w:r w:rsidRPr="00167CB8">
        <w:t>: Number employed (‘000) by gender and employment status, February 1978 to December 2024</w:t>
      </w:r>
      <w:bookmarkEnd w:id="276"/>
      <w:r w:rsidRPr="00167CB8">
        <w:t xml:space="preserve"> </w:t>
      </w:r>
    </w:p>
    <w:p w14:paraId="02416991" w14:textId="77777777" w:rsidR="008A2388" w:rsidRPr="00167CB8" w:rsidRDefault="008A2388" w:rsidP="008A2388">
      <w:pPr>
        <w:spacing w:after="0" w:line="240" w:lineRule="auto"/>
        <w:rPr>
          <w:rFonts w:ascii="Calibri" w:hAnsi="Calibri" w:cs="Calibri"/>
          <w:sz w:val="24"/>
          <w:szCs w:val="24"/>
        </w:rPr>
      </w:pPr>
      <w:r w:rsidRPr="00167CB8">
        <w:rPr>
          <w:noProof/>
        </w:rPr>
        <w:drawing>
          <wp:inline distT="0" distB="0" distL="0" distR="0" wp14:anchorId="45119289" wp14:editId="4E2F61F1">
            <wp:extent cx="5731510" cy="3748405"/>
            <wp:effectExtent l="0" t="0" r="2540" b="4445"/>
            <wp:docPr id="718871637"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71637" name="Picture 1" descr="A graph of a number of people&#10;&#10;AI-generated content may be incorrect."/>
                    <pic:cNvPicPr/>
                  </pic:nvPicPr>
                  <pic:blipFill>
                    <a:blip r:embed="rId32"/>
                    <a:stretch>
                      <a:fillRect/>
                    </a:stretch>
                  </pic:blipFill>
                  <pic:spPr>
                    <a:xfrm>
                      <a:off x="0" y="0"/>
                      <a:ext cx="5731510" cy="3748405"/>
                    </a:xfrm>
                    <a:prstGeom prst="rect">
                      <a:avLst/>
                    </a:prstGeom>
                  </pic:spPr>
                </pic:pic>
              </a:graphicData>
            </a:graphic>
          </wp:inline>
        </w:drawing>
      </w:r>
    </w:p>
    <w:p w14:paraId="227B9687" w14:textId="77777777" w:rsidR="008A2388" w:rsidRPr="00167CB8" w:rsidRDefault="008A2388" w:rsidP="00CC11E9">
      <w:pPr>
        <w:pStyle w:val="Source"/>
      </w:pPr>
      <w:r w:rsidRPr="00167CB8">
        <w:rPr>
          <w:b/>
          <w:bCs/>
        </w:rPr>
        <w:t>Source:</w:t>
      </w:r>
      <w:r w:rsidRPr="00167CB8">
        <w:t xml:space="preserve"> ABS 6202.0 Labour Force, Australia, Table 1. Seasonally adjusted.</w:t>
      </w:r>
    </w:p>
    <w:p w14:paraId="428F24DC" w14:textId="22EB41C8" w:rsidR="008A2388" w:rsidRPr="00167CB8" w:rsidRDefault="008A2388" w:rsidP="008A2388">
      <w:r w:rsidRPr="00167CB8">
        <w:t xml:space="preserve">Figures </w:t>
      </w:r>
      <w:r w:rsidR="00C419C4" w:rsidRPr="00167CB8">
        <w:t>1</w:t>
      </w:r>
      <w:r w:rsidRPr="00167CB8">
        <w:t xml:space="preserve">2 and </w:t>
      </w:r>
      <w:r w:rsidR="00C419C4" w:rsidRPr="00167CB8">
        <w:t>1</w:t>
      </w:r>
      <w:r w:rsidRPr="00167CB8">
        <w:t xml:space="preserve">3 illustrate, respectively, the </w:t>
      </w:r>
      <w:r w:rsidRPr="00167CB8" w:rsidDel="00222E55">
        <w:t>labour force participation (</w:t>
      </w:r>
      <w:r w:rsidRPr="00167CB8">
        <w:t>LFP</w:t>
      </w:r>
      <w:r w:rsidRPr="00167CB8" w:rsidDel="00222E55">
        <w:t>)</w:t>
      </w:r>
      <w:r w:rsidRPr="00167CB8">
        <w:rPr>
          <w:rStyle w:val="FootnoteReference"/>
          <w:rFonts w:ascii="Calibri" w:hAnsi="Calibri" w:cs="Calibri"/>
          <w:sz w:val="24"/>
          <w:szCs w:val="24"/>
        </w:rPr>
        <w:footnoteReference w:id="787"/>
      </w:r>
      <w:r w:rsidRPr="00167CB8">
        <w:t xml:space="preserve"> rates for men and women across </w:t>
      </w:r>
      <w:r w:rsidR="00CC11E9" w:rsidRPr="00167CB8">
        <w:t xml:space="preserve">3 </w:t>
      </w:r>
      <w:r w:rsidRPr="00167CB8">
        <w:t>time periods: 1979, 2009 and 2024.</w:t>
      </w:r>
      <w:r w:rsidRPr="00167CB8">
        <w:rPr>
          <w:rStyle w:val="FootnoteReference"/>
          <w:rFonts w:ascii="Calibri" w:hAnsi="Calibri" w:cs="Calibri"/>
          <w:sz w:val="24"/>
          <w:szCs w:val="24"/>
        </w:rPr>
        <w:footnoteReference w:id="788"/>
      </w:r>
      <w:r w:rsidRPr="00167CB8">
        <w:t xml:space="preserve"> Figure </w:t>
      </w:r>
      <w:r w:rsidR="004A3B17" w:rsidRPr="00167CB8">
        <w:t>1</w:t>
      </w:r>
      <w:r w:rsidRPr="00167CB8">
        <w:t>2 indicates that</w:t>
      </w:r>
      <w:r w:rsidR="00CC11E9" w:rsidRPr="00167CB8">
        <w:t>,</w:t>
      </w:r>
      <w:r w:rsidRPr="00167CB8">
        <w:t xml:space="preserve"> in 1979, 90% of men aged 20</w:t>
      </w:r>
      <w:r w:rsidR="00CC11E9" w:rsidRPr="00167CB8">
        <w:rPr>
          <w:rFonts w:ascii="Symbol" w:eastAsia="Symbol" w:hAnsi="Symbol" w:cs="Symbol"/>
        </w:rPr>
        <w:sym w:font="Symbol" w:char="F02D"/>
      </w:r>
      <w:r w:rsidRPr="00167CB8">
        <w:t>24 were part of the labour force, while the participation rates for men aged 30</w:t>
      </w:r>
      <w:r w:rsidR="00CC11E9" w:rsidRPr="00167CB8">
        <w:rPr>
          <w:rFonts w:ascii="Symbol" w:eastAsia="Symbol" w:hAnsi="Symbol" w:cs="Symbol"/>
        </w:rPr>
        <w:sym w:font="Symbol" w:char="F02D"/>
      </w:r>
      <w:r w:rsidRPr="00167CB8">
        <w:t>34 and 60</w:t>
      </w:r>
      <w:r w:rsidR="00CC11E9" w:rsidRPr="00167CB8">
        <w:rPr>
          <w:rFonts w:ascii="Symbol" w:eastAsia="Symbol" w:hAnsi="Symbol" w:cs="Symbol"/>
        </w:rPr>
        <w:sym w:font="Symbol" w:char="F02D"/>
      </w:r>
      <w:r w:rsidRPr="00167CB8">
        <w:t>64 were 96% and 53%, respectively. By 2024 these rates had shifted to 82% for men aged 20</w:t>
      </w:r>
      <w:r w:rsidR="00CC11E9" w:rsidRPr="00167CB8">
        <w:rPr>
          <w:rFonts w:ascii="Symbol" w:eastAsia="Symbol" w:hAnsi="Symbol" w:cs="Symbol"/>
        </w:rPr>
        <w:sym w:font="Symbol" w:char="F02D"/>
      </w:r>
      <w:r w:rsidRPr="00167CB8">
        <w:t>24, 92% for those aged 30</w:t>
      </w:r>
      <w:r w:rsidR="00CC11E9" w:rsidRPr="00167CB8">
        <w:rPr>
          <w:rFonts w:ascii="Symbol" w:eastAsia="Symbol" w:hAnsi="Symbol" w:cs="Symbol"/>
        </w:rPr>
        <w:sym w:font="Symbol" w:char="F02D"/>
      </w:r>
      <w:r w:rsidRPr="00167CB8">
        <w:t>34, and 68% for the 60</w:t>
      </w:r>
      <w:r w:rsidR="00CC11E9" w:rsidRPr="00167CB8">
        <w:rPr>
          <w:rFonts w:ascii="Symbol" w:eastAsia="Symbol" w:hAnsi="Symbol" w:cs="Symbol"/>
        </w:rPr>
        <w:sym w:font="Symbol" w:char="F02D"/>
      </w:r>
      <w:r w:rsidRPr="00167CB8">
        <w:t xml:space="preserve">64 age group. These trends reflect a significant decline in </w:t>
      </w:r>
      <w:r w:rsidR="00222E55" w:rsidRPr="00167CB8">
        <w:t xml:space="preserve">LFP </w:t>
      </w:r>
      <w:r w:rsidRPr="00167CB8">
        <w:t>among younger men (aged 20</w:t>
      </w:r>
      <w:r w:rsidR="00CC11E9" w:rsidRPr="00167CB8">
        <w:rPr>
          <w:rFonts w:ascii="Symbol" w:eastAsia="Symbol" w:hAnsi="Symbol" w:cs="Symbol"/>
        </w:rPr>
        <w:sym w:font="Symbol" w:char="F02D"/>
      </w:r>
      <w:r w:rsidRPr="00167CB8">
        <w:t>24) and a notable increase among older men (aged 60</w:t>
      </w:r>
      <w:r w:rsidR="00CC11E9" w:rsidRPr="00167CB8">
        <w:rPr>
          <w:rFonts w:ascii="Symbol" w:eastAsia="Symbol" w:hAnsi="Symbol" w:cs="Symbol"/>
        </w:rPr>
        <w:sym w:font="Symbol" w:char="F02D"/>
      </w:r>
      <w:r w:rsidRPr="00167CB8">
        <w:t>64).</w:t>
      </w:r>
    </w:p>
    <w:p w14:paraId="0885DA73" w14:textId="500F5F2B" w:rsidR="008A2388" w:rsidRPr="00167CB8" w:rsidRDefault="008A2388" w:rsidP="008A2388">
      <w:r w:rsidRPr="00167CB8">
        <w:t xml:space="preserve">Figure </w:t>
      </w:r>
      <w:r w:rsidR="00C05506" w:rsidRPr="00167CB8">
        <w:t>1</w:t>
      </w:r>
      <w:r w:rsidRPr="00167CB8">
        <w:t xml:space="preserve">3 presents LFP rates for women across the same </w:t>
      </w:r>
      <w:r w:rsidR="00CC11E9" w:rsidRPr="00167CB8">
        <w:t xml:space="preserve">3 </w:t>
      </w:r>
      <w:r w:rsidRPr="00167CB8">
        <w:t>age groups</w:t>
      </w:r>
      <w:r w:rsidR="00CC11E9" w:rsidRPr="00167CB8">
        <w:t xml:space="preserve"> </w:t>
      </w:r>
      <w:r w:rsidR="00CC11E9" w:rsidRPr="00167CB8">
        <w:rPr>
          <w:rFonts w:ascii="Symbol" w:eastAsia="Symbol" w:hAnsi="Symbol" w:cs="Symbol"/>
        </w:rPr>
        <w:sym w:font="Symbol" w:char="F02D"/>
      </w:r>
      <w:r w:rsidR="00CC11E9" w:rsidRPr="00167CB8">
        <w:t xml:space="preserve"> </w:t>
      </w:r>
      <w:r w:rsidRPr="00167CB8">
        <w:t>20</w:t>
      </w:r>
      <w:r w:rsidR="00CC11E9" w:rsidRPr="00167CB8">
        <w:rPr>
          <w:rFonts w:ascii="Symbol" w:eastAsia="Symbol" w:hAnsi="Symbol" w:cs="Symbol"/>
        </w:rPr>
        <w:sym w:font="Symbol" w:char="F02D"/>
      </w:r>
      <w:r w:rsidRPr="00167CB8">
        <w:t>24, 30</w:t>
      </w:r>
      <w:r w:rsidR="00CC11E9" w:rsidRPr="00167CB8">
        <w:rPr>
          <w:rFonts w:ascii="Symbol" w:eastAsia="Symbol" w:hAnsi="Symbol" w:cs="Symbol"/>
        </w:rPr>
        <w:sym w:font="Symbol" w:char="F02D"/>
      </w:r>
      <w:r w:rsidRPr="00167CB8">
        <w:t>34 and 60</w:t>
      </w:r>
      <w:r w:rsidR="00CC11E9" w:rsidRPr="00167CB8">
        <w:rPr>
          <w:rFonts w:ascii="Symbol" w:eastAsia="Symbol" w:hAnsi="Symbol" w:cs="Symbol"/>
        </w:rPr>
        <w:sym w:font="Symbol" w:char="F02D"/>
      </w:r>
      <w:r w:rsidRPr="00167CB8">
        <w:t>64</w:t>
      </w:r>
      <w:r w:rsidR="00CC11E9" w:rsidRPr="00167CB8">
        <w:t xml:space="preserve"> </w:t>
      </w:r>
      <w:r w:rsidR="00CC11E9" w:rsidRPr="00167CB8">
        <w:rPr>
          <w:rFonts w:ascii="Symbol" w:eastAsia="Symbol" w:hAnsi="Symbol" w:cs="Symbol"/>
        </w:rPr>
        <w:sym w:font="Symbol" w:char="F02D"/>
      </w:r>
      <w:r w:rsidR="00CC11E9" w:rsidRPr="00167CB8">
        <w:t xml:space="preserve"> </w:t>
      </w:r>
      <w:r w:rsidRPr="00167CB8">
        <w:t>over time. In 1979 women's participation rates in these age groups were 69%, 52% and 12%, respectively. By 2024 these figures had risen to 81% for both the 20</w:t>
      </w:r>
      <w:r w:rsidR="00CC11E9" w:rsidRPr="00167CB8">
        <w:rPr>
          <w:rFonts w:ascii="Symbol" w:eastAsia="Symbol" w:hAnsi="Symbol" w:cs="Symbol"/>
        </w:rPr>
        <w:sym w:font="Symbol" w:char="F02D"/>
      </w:r>
      <w:r w:rsidRPr="00167CB8">
        <w:t xml:space="preserve">24 and </w:t>
      </w:r>
      <w:r w:rsidR="00CC11E9" w:rsidRPr="00167CB8">
        <w:t xml:space="preserve">the </w:t>
      </w:r>
      <w:r w:rsidRPr="00167CB8">
        <w:t>30</w:t>
      </w:r>
      <w:r w:rsidR="00CC11E9" w:rsidRPr="00167CB8">
        <w:rPr>
          <w:rFonts w:ascii="Symbol" w:eastAsia="Symbol" w:hAnsi="Symbol" w:cs="Symbol"/>
        </w:rPr>
        <w:sym w:font="Symbol" w:char="F02D"/>
      </w:r>
      <w:r w:rsidRPr="00167CB8">
        <w:t>34 age groups and 56% for those aged 60</w:t>
      </w:r>
      <w:r w:rsidR="00CC11E9" w:rsidRPr="00167CB8">
        <w:rPr>
          <w:rFonts w:ascii="Symbol" w:eastAsia="Symbol" w:hAnsi="Symbol" w:cs="Symbol"/>
        </w:rPr>
        <w:sym w:font="Symbol" w:char="F02D"/>
      </w:r>
      <w:r w:rsidRPr="00167CB8">
        <w:t xml:space="preserve">64. This data highlights a substantial increase in female </w:t>
      </w:r>
      <w:r w:rsidR="00222E55" w:rsidRPr="00167CB8">
        <w:t xml:space="preserve">LFP </w:t>
      </w:r>
      <w:r w:rsidRPr="00167CB8">
        <w:t>across all stages of life.</w:t>
      </w:r>
    </w:p>
    <w:p w14:paraId="121A2F0B" w14:textId="4589FFC6" w:rsidR="008A2388" w:rsidRPr="00167CB8" w:rsidRDefault="008A2388" w:rsidP="008A2388">
      <w:r w:rsidRPr="00167CB8">
        <w:t xml:space="preserve">However, </w:t>
      </w:r>
      <w:r w:rsidR="00671C88" w:rsidRPr="00167CB8">
        <w:t xml:space="preserve">2 </w:t>
      </w:r>
      <w:r w:rsidRPr="00167CB8">
        <w:t>notable trends stand out in the female labour force participation chart</w:t>
      </w:r>
      <w:r w:rsidR="00671C88" w:rsidRPr="00167CB8">
        <w:t>. F</w:t>
      </w:r>
      <w:r w:rsidRPr="00167CB8">
        <w:t>irst, the</w:t>
      </w:r>
      <w:r w:rsidR="00671C88" w:rsidRPr="00167CB8">
        <w:t>re is a</w:t>
      </w:r>
      <w:r w:rsidRPr="00167CB8">
        <w:t xml:space="preserve"> gradual flattening of the characteristic </w:t>
      </w:r>
      <w:r w:rsidR="00671C88" w:rsidRPr="00167CB8">
        <w:t>‘</w:t>
      </w:r>
      <w:r w:rsidRPr="00167CB8">
        <w:t>M</w:t>
      </w:r>
      <w:r w:rsidR="00671C88" w:rsidRPr="00167CB8">
        <w:t>’</w:t>
      </w:r>
      <w:r w:rsidRPr="00167CB8">
        <w:t xml:space="preserve"> curve for women in their 20s and early 30s over time. This trend suggests that more women are either choosing not to have children or are returning to work after childbirth rather than leaving the labour force entirely. Second, there has </w:t>
      </w:r>
      <w:r w:rsidRPr="00167CB8">
        <w:lastRenderedPageBreak/>
        <w:t xml:space="preserve">been a significant rise in participation among older women, indicating that more women are remaining in the workforce later in life. This increase is partly driven by financial necessity and the gradual rise in the qualifying age for the </w:t>
      </w:r>
      <w:r w:rsidR="00671C88" w:rsidRPr="00167CB8">
        <w:t>a</w:t>
      </w:r>
      <w:r w:rsidRPr="00167CB8">
        <w:t xml:space="preserve">ge </w:t>
      </w:r>
      <w:r w:rsidR="00671C88" w:rsidRPr="00167CB8">
        <w:t>p</w:t>
      </w:r>
      <w:r w:rsidRPr="00167CB8">
        <w:t>ension, which is now set at 67 for both men and women.</w:t>
      </w:r>
    </w:p>
    <w:p w14:paraId="118B747E" w14:textId="0426DEFE" w:rsidR="008A2388" w:rsidRPr="00167CB8" w:rsidRDefault="008A2388" w:rsidP="008A2388">
      <w:r w:rsidRPr="00167CB8">
        <w:t xml:space="preserve">Figure </w:t>
      </w:r>
      <w:r w:rsidR="00865A6A" w:rsidRPr="00167CB8">
        <w:t>1</w:t>
      </w:r>
      <w:r w:rsidRPr="00167CB8">
        <w:t>4 shows trends in the share of women employed full-time (with the balance employed part-time). Although there has been a significant increase in the L</w:t>
      </w:r>
      <w:r w:rsidR="00222E55" w:rsidRPr="00167CB8">
        <w:t>F</w:t>
      </w:r>
      <w:r w:rsidRPr="00167CB8">
        <w:t xml:space="preserve">P rates over the decades, the data in Figure </w:t>
      </w:r>
      <w:r w:rsidR="00801610" w:rsidRPr="00167CB8">
        <w:t>1</w:t>
      </w:r>
      <w:r w:rsidRPr="00167CB8">
        <w:t xml:space="preserve">4 shows that there has been little change in </w:t>
      </w:r>
      <w:r w:rsidRPr="00167CB8">
        <w:rPr>
          <w:i/>
          <w:iCs/>
        </w:rPr>
        <w:t xml:space="preserve">the way </w:t>
      </w:r>
      <w:r w:rsidRPr="00167CB8">
        <w:t>women participate in employment, in terms of full-time and part-time status. For example, at age 35</w:t>
      </w:r>
      <w:r w:rsidR="00671C88" w:rsidRPr="00167CB8">
        <w:rPr>
          <w:rFonts w:ascii="Symbol" w:eastAsia="Symbol" w:hAnsi="Symbol" w:cs="Symbol"/>
        </w:rPr>
        <w:sym w:font="Symbol" w:char="F02D"/>
      </w:r>
      <w:r w:rsidRPr="00167CB8">
        <w:t>39, 52% of employed women worked full-time in 1979; by 2024 this share was equal to 60%. The exception to this pattern is among females aged 15</w:t>
      </w:r>
      <w:r w:rsidR="00671C88" w:rsidRPr="00167CB8">
        <w:rPr>
          <w:rFonts w:ascii="Symbol" w:eastAsia="Symbol" w:hAnsi="Symbol" w:cs="Symbol"/>
        </w:rPr>
        <w:sym w:font="Symbol" w:char="F02D"/>
      </w:r>
      <w:r w:rsidRPr="00167CB8">
        <w:t xml:space="preserve">24. Here the data show that proportionately fewer are working full-time today than in the past. This likely reflects an increased share of women studying full-time and working part-time. Most older women (60+) are employed part-time. </w:t>
      </w:r>
    </w:p>
    <w:p w14:paraId="351713E3" w14:textId="54EEA994" w:rsidR="008A2388" w:rsidRPr="00167CB8" w:rsidRDefault="008A2388" w:rsidP="00470AB9">
      <w:pPr>
        <w:pStyle w:val="Caption"/>
      </w:pPr>
      <w:bookmarkStart w:id="277" w:name="_Toc188470105"/>
      <w:r w:rsidRPr="00167CB8">
        <w:t xml:space="preserve">Figure </w:t>
      </w:r>
      <w:r w:rsidR="005C1563" w:rsidRPr="00167CB8">
        <w:t>12:</w:t>
      </w:r>
      <w:r w:rsidR="007C5E94">
        <w:t xml:space="preserve"> </w:t>
      </w:r>
      <w:r w:rsidR="007C5E94" w:rsidRPr="00167CB8">
        <w:t xml:space="preserve"> </w:t>
      </w:r>
      <w:r w:rsidRPr="00167CB8">
        <w:t>Male labour force participation, by age, 1979-2024</w:t>
      </w:r>
      <w:bookmarkEnd w:id="277"/>
    </w:p>
    <w:p w14:paraId="5162AAA1" w14:textId="77777777" w:rsidR="008A2388" w:rsidRPr="00167CB8" w:rsidRDefault="008A2388" w:rsidP="008A2388">
      <w:pPr>
        <w:spacing w:after="0" w:line="240" w:lineRule="auto"/>
        <w:rPr>
          <w:rFonts w:ascii="Calibri" w:hAnsi="Calibri" w:cs="Calibri"/>
          <w:sz w:val="24"/>
          <w:szCs w:val="24"/>
        </w:rPr>
      </w:pPr>
      <w:r w:rsidRPr="00167CB8">
        <w:rPr>
          <w:rFonts w:ascii="Calibri" w:hAnsi="Calibri" w:cs="Calibri"/>
          <w:noProof/>
          <w:sz w:val="24"/>
          <w:szCs w:val="24"/>
        </w:rPr>
        <w:drawing>
          <wp:inline distT="0" distB="0" distL="0" distR="0" wp14:anchorId="0ACD4208" wp14:editId="5AAB8896">
            <wp:extent cx="5613991" cy="3671547"/>
            <wp:effectExtent l="0" t="0" r="6350" b="5715"/>
            <wp:docPr id="856041188"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41188" name="Picture 1" descr="A graph with lines and numbers&#10;&#10;Description automatically generated"/>
                    <pic:cNvPicPr/>
                  </pic:nvPicPr>
                  <pic:blipFill>
                    <a:blip r:embed="rId33"/>
                    <a:stretch>
                      <a:fillRect/>
                    </a:stretch>
                  </pic:blipFill>
                  <pic:spPr>
                    <a:xfrm>
                      <a:off x="0" y="0"/>
                      <a:ext cx="5622656" cy="3677214"/>
                    </a:xfrm>
                    <a:prstGeom prst="rect">
                      <a:avLst/>
                    </a:prstGeom>
                  </pic:spPr>
                </pic:pic>
              </a:graphicData>
            </a:graphic>
          </wp:inline>
        </w:drawing>
      </w:r>
    </w:p>
    <w:p w14:paraId="0C3C32EC" w14:textId="77777777" w:rsidR="005F29CD" w:rsidRPr="00167CB8" w:rsidRDefault="008A2388" w:rsidP="00671C88">
      <w:pPr>
        <w:pStyle w:val="Source"/>
      </w:pPr>
      <w:r w:rsidRPr="00167CB8">
        <w:rPr>
          <w:b/>
          <w:bCs/>
        </w:rPr>
        <w:t>Notes:</w:t>
      </w:r>
      <w:r w:rsidRPr="00167CB8">
        <w:t xml:space="preserve"> Data points are for November 1979, November 2009 and November 2024. </w:t>
      </w:r>
    </w:p>
    <w:p w14:paraId="0952CC0B" w14:textId="1F6646FF" w:rsidR="008A2388" w:rsidRPr="00167CB8" w:rsidRDefault="008A2388" w:rsidP="00671C88">
      <w:pPr>
        <w:pStyle w:val="Source"/>
      </w:pPr>
      <w:r w:rsidRPr="00167CB8">
        <w:rPr>
          <w:b/>
          <w:bCs/>
        </w:rPr>
        <w:t>Source:</w:t>
      </w:r>
      <w:r w:rsidRPr="00167CB8">
        <w:t xml:space="preserve"> ABS 6291.0.55.001 Labour Force, Australia, Detailed.</w:t>
      </w:r>
    </w:p>
    <w:p w14:paraId="486A7DF0" w14:textId="62EC7751" w:rsidR="008A2388" w:rsidRPr="00167CB8" w:rsidRDefault="008A2388" w:rsidP="00470AB9">
      <w:pPr>
        <w:pStyle w:val="Caption"/>
      </w:pPr>
      <w:bookmarkStart w:id="278" w:name="_Toc188470106"/>
      <w:r w:rsidRPr="00167CB8">
        <w:lastRenderedPageBreak/>
        <w:t xml:space="preserve">Figure </w:t>
      </w:r>
      <w:r w:rsidR="00C60ED9" w:rsidRPr="00167CB8">
        <w:t>13</w:t>
      </w:r>
      <w:r w:rsidRPr="00167CB8">
        <w:t>: Female labour force participation, by age, 1979</w:t>
      </w:r>
      <w:r w:rsidR="00671C88" w:rsidRPr="00C7470B">
        <w:sym w:font="Symbol" w:char="F02D"/>
      </w:r>
      <w:r w:rsidRPr="00167CB8">
        <w:t>2024</w:t>
      </w:r>
      <w:bookmarkEnd w:id="278"/>
    </w:p>
    <w:p w14:paraId="386E4604" w14:textId="77777777" w:rsidR="008A2388" w:rsidRPr="00167CB8" w:rsidRDefault="008A2388" w:rsidP="008A2388">
      <w:pPr>
        <w:spacing w:after="0" w:line="240" w:lineRule="auto"/>
        <w:rPr>
          <w:rFonts w:ascii="Calibri" w:hAnsi="Calibri" w:cs="Calibri"/>
          <w:sz w:val="24"/>
          <w:szCs w:val="24"/>
        </w:rPr>
      </w:pPr>
      <w:r w:rsidRPr="00167CB8">
        <w:rPr>
          <w:rFonts w:ascii="Calibri" w:hAnsi="Calibri" w:cs="Calibri"/>
          <w:noProof/>
          <w:sz w:val="24"/>
          <w:szCs w:val="24"/>
        </w:rPr>
        <w:drawing>
          <wp:inline distT="0" distB="0" distL="0" distR="0" wp14:anchorId="414BCB7E" wp14:editId="13CA6689">
            <wp:extent cx="5731510" cy="3748405"/>
            <wp:effectExtent l="0" t="0" r="2540" b="4445"/>
            <wp:docPr id="1398700378"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00378" name="Picture 1" descr="A graph of a number of people&#10;&#10;Description automatically generated with medium confidence"/>
                    <pic:cNvPicPr/>
                  </pic:nvPicPr>
                  <pic:blipFill>
                    <a:blip r:embed="rId34"/>
                    <a:stretch>
                      <a:fillRect/>
                    </a:stretch>
                  </pic:blipFill>
                  <pic:spPr>
                    <a:xfrm>
                      <a:off x="0" y="0"/>
                      <a:ext cx="5731510" cy="3748405"/>
                    </a:xfrm>
                    <a:prstGeom prst="rect">
                      <a:avLst/>
                    </a:prstGeom>
                  </pic:spPr>
                </pic:pic>
              </a:graphicData>
            </a:graphic>
          </wp:inline>
        </w:drawing>
      </w:r>
    </w:p>
    <w:p w14:paraId="7980DB85" w14:textId="127396C6" w:rsidR="008A2388" w:rsidRPr="00167CB8" w:rsidRDefault="008A2388" w:rsidP="00671C88">
      <w:pPr>
        <w:pStyle w:val="Source"/>
      </w:pPr>
      <w:r w:rsidRPr="00167CB8">
        <w:rPr>
          <w:b/>
          <w:bCs/>
        </w:rPr>
        <w:t>Notes:</w:t>
      </w:r>
      <w:r w:rsidRPr="00167CB8">
        <w:t xml:space="preserve"> see notes to Figure </w:t>
      </w:r>
      <w:r w:rsidR="006851BA" w:rsidRPr="00167CB8">
        <w:t>1</w:t>
      </w:r>
      <w:r w:rsidRPr="00167CB8">
        <w:t>2.</w:t>
      </w:r>
    </w:p>
    <w:p w14:paraId="1A241291" w14:textId="77777777" w:rsidR="00162E9E" w:rsidRPr="00167CB8" w:rsidRDefault="00162E9E" w:rsidP="00671C88">
      <w:pPr>
        <w:pStyle w:val="Source"/>
      </w:pPr>
      <w:r w:rsidRPr="00167CB8">
        <w:rPr>
          <w:b/>
          <w:bCs/>
        </w:rPr>
        <w:t>Source:</w:t>
      </w:r>
      <w:r w:rsidRPr="00167CB8">
        <w:t xml:space="preserve"> ABS 6291.0.55.001 Labour Force, Australia, Detailed.</w:t>
      </w:r>
    </w:p>
    <w:p w14:paraId="4520F641" w14:textId="24AA557D" w:rsidR="008A2388" w:rsidRPr="00167CB8" w:rsidRDefault="008A2388" w:rsidP="00470AB9">
      <w:pPr>
        <w:pStyle w:val="Caption"/>
      </w:pPr>
      <w:bookmarkStart w:id="279" w:name="_Toc188470107"/>
      <w:r w:rsidRPr="00167CB8">
        <w:t xml:space="preserve">Figure </w:t>
      </w:r>
      <w:r w:rsidR="000B1814" w:rsidRPr="00167CB8">
        <w:t>14</w:t>
      </w:r>
      <w:r w:rsidRPr="00167CB8">
        <w:t>: Female full-time employment as a share of total employment, by age, 1979</w:t>
      </w:r>
      <w:r w:rsidR="00671C88" w:rsidRPr="00C7470B">
        <w:t>-</w:t>
      </w:r>
      <w:r w:rsidRPr="00167CB8">
        <w:t>2024</w:t>
      </w:r>
      <w:bookmarkEnd w:id="279"/>
    </w:p>
    <w:p w14:paraId="1C93FA53" w14:textId="77777777" w:rsidR="008A2388" w:rsidRPr="00167CB8" w:rsidRDefault="008A2388" w:rsidP="008A2388">
      <w:pPr>
        <w:spacing w:after="0" w:line="240" w:lineRule="auto"/>
        <w:rPr>
          <w:sz w:val="24"/>
          <w:szCs w:val="24"/>
        </w:rPr>
      </w:pPr>
      <w:r w:rsidRPr="00167CB8">
        <w:rPr>
          <w:noProof/>
          <w:sz w:val="24"/>
          <w:szCs w:val="24"/>
        </w:rPr>
        <w:drawing>
          <wp:inline distT="0" distB="0" distL="0" distR="0" wp14:anchorId="56CC4D5E" wp14:editId="76C0E071">
            <wp:extent cx="5731510" cy="3748405"/>
            <wp:effectExtent l="0" t="0" r="2540" b="4445"/>
            <wp:docPr id="1109861876"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61876" name="Picture 1" descr="A graph of a number of people&#10;&#10;Description automatically generated with medium confidence"/>
                    <pic:cNvPicPr/>
                  </pic:nvPicPr>
                  <pic:blipFill>
                    <a:blip r:embed="rId35"/>
                    <a:stretch>
                      <a:fillRect/>
                    </a:stretch>
                  </pic:blipFill>
                  <pic:spPr>
                    <a:xfrm>
                      <a:off x="0" y="0"/>
                      <a:ext cx="5731510" cy="3748405"/>
                    </a:xfrm>
                    <a:prstGeom prst="rect">
                      <a:avLst/>
                    </a:prstGeom>
                  </pic:spPr>
                </pic:pic>
              </a:graphicData>
            </a:graphic>
          </wp:inline>
        </w:drawing>
      </w:r>
    </w:p>
    <w:p w14:paraId="73F70C67" w14:textId="0CD00611" w:rsidR="008A2388" w:rsidRPr="00167CB8" w:rsidRDefault="008A2388" w:rsidP="00671C88">
      <w:pPr>
        <w:pStyle w:val="Source"/>
      </w:pPr>
      <w:r w:rsidRPr="00167CB8">
        <w:rPr>
          <w:b/>
          <w:bCs/>
        </w:rPr>
        <w:lastRenderedPageBreak/>
        <w:t>Notes:</w:t>
      </w:r>
      <w:r w:rsidRPr="00167CB8">
        <w:t xml:space="preserve"> </w:t>
      </w:r>
      <w:r w:rsidR="00671C88" w:rsidRPr="00167CB8">
        <w:t>S</w:t>
      </w:r>
      <w:r w:rsidRPr="00167CB8">
        <w:t xml:space="preserve">ee notes to Figure </w:t>
      </w:r>
      <w:r w:rsidR="001E1FA4" w:rsidRPr="00167CB8">
        <w:t>1</w:t>
      </w:r>
      <w:r w:rsidRPr="00167CB8">
        <w:t>2.</w:t>
      </w:r>
    </w:p>
    <w:p w14:paraId="783F5C4B" w14:textId="02CB5672" w:rsidR="005F29CD" w:rsidRPr="00167CB8" w:rsidRDefault="00162E9E" w:rsidP="00671C88">
      <w:pPr>
        <w:pStyle w:val="Source"/>
      </w:pPr>
      <w:r w:rsidRPr="00167CB8">
        <w:rPr>
          <w:b/>
          <w:bCs/>
        </w:rPr>
        <w:t>Source:</w:t>
      </w:r>
      <w:r w:rsidRPr="00167CB8">
        <w:t xml:space="preserve"> ABS 6291.0.55.001 Labour Force, Australia, Detailed.</w:t>
      </w:r>
    </w:p>
    <w:p w14:paraId="743DCD20" w14:textId="7B66F9E2" w:rsidR="008A2388" w:rsidRPr="00167CB8" w:rsidRDefault="008A2388" w:rsidP="008A2388">
      <w:r w:rsidRPr="00167CB8">
        <w:t>In summary, the Australian labour market has undergone a significant transformation over the past few decades, driven by a substantial increase in female workforce participation. In 1978, 65% of all employed persons were men</w:t>
      </w:r>
      <w:r w:rsidR="00671C88" w:rsidRPr="00167CB8">
        <w:t>;</w:t>
      </w:r>
      <w:r w:rsidRPr="00167CB8">
        <w:t xml:space="preserve"> by 2024, their share had declined to 52%.</w:t>
      </w:r>
    </w:p>
    <w:p w14:paraId="01F33219" w14:textId="35E6C623" w:rsidR="008A2388" w:rsidRPr="00167CB8" w:rsidRDefault="008A2388" w:rsidP="008A2388">
      <w:r w:rsidRPr="00167CB8">
        <w:t>A particularly notable trend is the increasing participation of women in their 30s</w:t>
      </w:r>
      <w:r w:rsidR="00671C88" w:rsidRPr="00167CB8">
        <w:t xml:space="preserve"> </w:t>
      </w:r>
      <w:r w:rsidR="00671C88" w:rsidRPr="00167CB8">
        <w:rPr>
          <w:rFonts w:ascii="Symbol" w:eastAsia="Symbol" w:hAnsi="Symbol" w:cs="Symbol"/>
        </w:rPr>
        <w:sym w:font="Symbol" w:char="F02D"/>
      </w:r>
      <w:r w:rsidR="00671C88" w:rsidRPr="00167CB8">
        <w:t xml:space="preserve"> </w:t>
      </w:r>
      <w:r w:rsidRPr="00167CB8">
        <w:t>typically considered prime child-rearing years</w:t>
      </w:r>
      <w:r w:rsidR="00671C88" w:rsidRPr="00167CB8">
        <w:t xml:space="preserve"> </w:t>
      </w:r>
      <w:r w:rsidR="00671C88" w:rsidRPr="00167CB8">
        <w:rPr>
          <w:rFonts w:ascii="Symbol" w:eastAsia="Symbol" w:hAnsi="Symbol" w:cs="Symbol"/>
        </w:rPr>
        <w:sym w:font="Symbol" w:char="F02D"/>
      </w:r>
      <w:r w:rsidR="00671C88" w:rsidRPr="00167CB8">
        <w:t xml:space="preserve"> </w:t>
      </w:r>
      <w:r w:rsidRPr="00167CB8">
        <w:t xml:space="preserve">and the incidence of full-time work among this group. Presently women account for 48% of total employment. Of those </w:t>
      </w:r>
      <w:r w:rsidR="00A069F5">
        <w:t>women in paid employment</w:t>
      </w:r>
      <w:r w:rsidRPr="00167CB8">
        <w:t xml:space="preserve">, 56% work full-time (35 or more hours per week across all jobs), while 44% are part-time (fewer than 35 hours per week). Among men, 80% work full-time and 20% part-time. </w:t>
      </w:r>
    </w:p>
    <w:p w14:paraId="19D4DA48" w14:textId="68C12599" w:rsidR="00AC61A3" w:rsidRPr="00167CB8" w:rsidRDefault="008A2388" w:rsidP="00AC61A3">
      <w:r w:rsidRPr="00167CB8">
        <w:t>Overall, part-time employment now accounts for 31% of total employment, indicating a broader shift toward more flexible, non-standard working arrangements across the labour market.</w:t>
      </w:r>
    </w:p>
    <w:p w14:paraId="76A99A9C" w14:textId="1A3B0A6F" w:rsidR="006747E0" w:rsidRPr="00167CB8" w:rsidRDefault="00AE658F" w:rsidP="0027764C">
      <w:pPr>
        <w:pStyle w:val="Heading5"/>
        <w:rPr>
          <w:rFonts w:asciiTheme="minorHAnsi" w:hAnsiTheme="minorHAnsi"/>
        </w:rPr>
      </w:pPr>
      <w:r w:rsidRPr="00167CB8">
        <w:rPr>
          <w:rFonts w:asciiTheme="minorHAnsi" w:hAnsiTheme="minorHAnsi"/>
        </w:rPr>
        <w:t>22</w:t>
      </w:r>
      <w:r w:rsidR="00FE49C9" w:rsidRPr="00167CB8">
        <w:rPr>
          <w:rFonts w:asciiTheme="minorHAnsi" w:hAnsiTheme="minorHAnsi"/>
        </w:rPr>
        <w:t>.</w:t>
      </w:r>
      <w:r w:rsidR="00B8779B" w:rsidRPr="00167CB8">
        <w:rPr>
          <w:rFonts w:asciiTheme="minorHAnsi" w:hAnsiTheme="minorHAnsi"/>
        </w:rPr>
        <w:t>2</w:t>
      </w:r>
      <w:r w:rsidR="00FE49C9" w:rsidRPr="00167CB8">
        <w:rPr>
          <w:rFonts w:asciiTheme="minorHAnsi" w:hAnsiTheme="minorHAnsi"/>
        </w:rPr>
        <w:t>.2</w:t>
      </w:r>
      <w:r w:rsidR="009A1D5D" w:rsidRPr="00167CB8">
        <w:rPr>
          <w:rFonts w:asciiTheme="minorHAnsi" w:hAnsiTheme="minorHAnsi"/>
        </w:rPr>
        <w:t xml:space="preserve"> </w:t>
      </w:r>
      <w:r w:rsidR="006747E0" w:rsidRPr="00167CB8">
        <w:rPr>
          <w:rFonts w:asciiTheme="minorHAnsi" w:hAnsiTheme="minorHAnsi"/>
        </w:rPr>
        <w:t>Gender differences in employment by industry</w:t>
      </w:r>
    </w:p>
    <w:p w14:paraId="650561F9" w14:textId="473EF041" w:rsidR="00DD49BD" w:rsidRPr="00167CB8" w:rsidRDefault="00DD49BD" w:rsidP="00DD49BD">
      <w:r w:rsidRPr="00167CB8">
        <w:t xml:space="preserve">Figure </w:t>
      </w:r>
      <w:r w:rsidR="005C7463" w:rsidRPr="00167CB8">
        <w:t>1</w:t>
      </w:r>
      <w:r w:rsidRPr="00167CB8">
        <w:t xml:space="preserve">5 shows the distribution of employment by industry in 2024. The bars show the industry distribution by gender. The line shows the industry distribution for all persons in percentage terms. </w:t>
      </w:r>
      <w:r w:rsidR="00671C88" w:rsidRPr="00167CB8">
        <w:t>The h</w:t>
      </w:r>
      <w:r w:rsidRPr="00167CB8">
        <w:t>ealth care and social assistance sector is by far the largest sector in terms of total employment, accounting for 2.2 million workers</w:t>
      </w:r>
      <w:r w:rsidR="00671C88" w:rsidRPr="00167CB8">
        <w:t>,</w:t>
      </w:r>
      <w:r w:rsidRPr="00167CB8">
        <w:t xml:space="preserve"> or 16% of total employment. </w:t>
      </w:r>
    </w:p>
    <w:p w14:paraId="1A8C7982" w14:textId="5D9CC20C" w:rsidR="00DD49BD" w:rsidRPr="00167CB8" w:rsidRDefault="00DD49BD" w:rsidP="00DD49BD">
      <w:r w:rsidRPr="00167CB8">
        <w:t xml:space="preserve">Among other things, Figure </w:t>
      </w:r>
      <w:r w:rsidR="007D6CB4" w:rsidRPr="00167CB8">
        <w:t>1</w:t>
      </w:r>
      <w:r w:rsidRPr="00167CB8">
        <w:t xml:space="preserve">5 shows that the </w:t>
      </w:r>
      <w:r w:rsidR="002C3BF2" w:rsidRPr="00167CB8">
        <w:t>h</w:t>
      </w:r>
      <w:r w:rsidRPr="00167CB8">
        <w:t>ealth care and social assistance sector is a female</w:t>
      </w:r>
      <w:r w:rsidR="00671C88" w:rsidRPr="00167CB8">
        <w:t>-</w:t>
      </w:r>
      <w:r w:rsidRPr="00167CB8">
        <w:t>dominated sector</w:t>
      </w:r>
      <w:r w:rsidR="00671C88" w:rsidRPr="00167CB8">
        <w:t>,</w:t>
      </w:r>
      <w:r w:rsidRPr="00167CB8">
        <w:t xml:space="preserve"> with women accounting for 76% of workers in this sector. The second largest sector, in terms of employment size, is </w:t>
      </w:r>
      <w:r w:rsidR="00671C88" w:rsidRPr="00167CB8">
        <w:t>r</w:t>
      </w:r>
      <w:r w:rsidRPr="00167CB8">
        <w:t>etail trade, with approximately 1.34</w:t>
      </w:r>
      <w:r w:rsidR="00671C88" w:rsidRPr="00167CB8">
        <w:t> </w:t>
      </w:r>
      <w:r w:rsidRPr="00167CB8">
        <w:t>million workers (9% of all employed). This sector also employs a disproportionate share of women (54% of all workers in this sector are women). Construction is third largest at slightly less than the 1.3</w:t>
      </w:r>
      <w:r w:rsidR="00C66F0D" w:rsidRPr="00167CB8">
        <w:t>4</w:t>
      </w:r>
      <w:r w:rsidRPr="00167CB8">
        <w:t xml:space="preserve"> million workers in the </w:t>
      </w:r>
      <w:r w:rsidR="00671C88" w:rsidRPr="00167CB8">
        <w:t>r</w:t>
      </w:r>
      <w:r w:rsidRPr="00167CB8">
        <w:t>etail trade sector. It employs a disproportion</w:t>
      </w:r>
      <w:r w:rsidR="00671C88" w:rsidRPr="00167CB8">
        <w:t>ate</w:t>
      </w:r>
      <w:r w:rsidRPr="00167CB8">
        <w:t xml:space="preserve"> share of men – only 14% of workers in this sector are women. The fourth largest sector</w:t>
      </w:r>
      <w:r w:rsidR="00671C88" w:rsidRPr="00167CB8">
        <w:t>,</w:t>
      </w:r>
      <w:r w:rsidRPr="00167CB8">
        <w:t xml:space="preserve"> at 1.27 million workers</w:t>
      </w:r>
      <w:r w:rsidR="00671C88" w:rsidRPr="00167CB8">
        <w:t>,</w:t>
      </w:r>
      <w:r w:rsidRPr="00167CB8">
        <w:t xml:space="preserve"> is </w:t>
      </w:r>
      <w:r w:rsidR="00671C88" w:rsidRPr="00167CB8">
        <w:t>the e</w:t>
      </w:r>
      <w:r w:rsidRPr="00167CB8">
        <w:t>ducation and training</w:t>
      </w:r>
      <w:r w:rsidR="00671C88" w:rsidRPr="00167CB8">
        <w:t xml:space="preserve"> sector</w:t>
      </w:r>
      <w:r w:rsidRPr="00167CB8">
        <w:t>. This is another highly feminised sector, with women constituting 71% of its workforce. Mining, in comparison, employs 293,000 workers, or 2% of total employed. It is a male</w:t>
      </w:r>
      <w:r w:rsidR="00671C88" w:rsidRPr="00167CB8">
        <w:t>-</w:t>
      </w:r>
      <w:r w:rsidRPr="00167CB8">
        <w:t>dominated sector, with women making up only 21% of its workforce.</w:t>
      </w:r>
    </w:p>
    <w:p w14:paraId="1A1E20DC" w14:textId="5B434F12" w:rsidR="00DD49BD" w:rsidRPr="00167CB8" w:rsidRDefault="00DD49BD" w:rsidP="00470AB9">
      <w:pPr>
        <w:pStyle w:val="Caption"/>
      </w:pPr>
      <w:r w:rsidRPr="00167CB8">
        <w:lastRenderedPageBreak/>
        <w:t xml:space="preserve">Figure </w:t>
      </w:r>
      <w:r w:rsidR="00814B3B" w:rsidRPr="00167CB8">
        <w:t>1</w:t>
      </w:r>
      <w:r w:rsidRPr="00167CB8">
        <w:t>5: Gender differences in employment by industry, 2024</w:t>
      </w:r>
    </w:p>
    <w:p w14:paraId="10DF46FB" w14:textId="77777777" w:rsidR="00DD49BD" w:rsidRPr="00167CB8" w:rsidRDefault="00DD49BD" w:rsidP="00DD49BD">
      <w:pPr>
        <w:spacing w:after="0" w:line="240" w:lineRule="auto"/>
        <w:rPr>
          <w:rFonts w:ascii="Calibri" w:hAnsi="Calibri" w:cs="Calibri"/>
          <w:sz w:val="24"/>
          <w:szCs w:val="24"/>
        </w:rPr>
      </w:pPr>
      <w:r w:rsidRPr="00167CB8">
        <w:rPr>
          <w:noProof/>
        </w:rPr>
        <w:drawing>
          <wp:inline distT="0" distB="0" distL="0" distR="0" wp14:anchorId="691E26B7" wp14:editId="44C01C1D">
            <wp:extent cx="5731510" cy="3748405"/>
            <wp:effectExtent l="0" t="0" r="2540" b="4445"/>
            <wp:docPr id="1694187326" name="Picture 1" descr="A graph of blue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87326" name="Picture 1" descr="A graph of blue and black lines&#10;&#10;AI-generated content may be incorrect."/>
                    <pic:cNvPicPr/>
                  </pic:nvPicPr>
                  <pic:blipFill>
                    <a:blip r:embed="rId36"/>
                    <a:stretch>
                      <a:fillRect/>
                    </a:stretch>
                  </pic:blipFill>
                  <pic:spPr>
                    <a:xfrm>
                      <a:off x="0" y="0"/>
                      <a:ext cx="5731510" cy="3748405"/>
                    </a:xfrm>
                    <a:prstGeom prst="rect">
                      <a:avLst/>
                    </a:prstGeom>
                  </pic:spPr>
                </pic:pic>
              </a:graphicData>
            </a:graphic>
          </wp:inline>
        </w:drawing>
      </w:r>
    </w:p>
    <w:p w14:paraId="60B2C15B" w14:textId="416B56C5" w:rsidR="00DD49BD" w:rsidRPr="00167CB8" w:rsidRDefault="00DD49BD" w:rsidP="00671C88">
      <w:pPr>
        <w:pStyle w:val="Source"/>
      </w:pPr>
      <w:r w:rsidRPr="00167CB8">
        <w:rPr>
          <w:b/>
          <w:bCs/>
        </w:rPr>
        <w:t>Source:</w:t>
      </w:r>
      <w:r w:rsidRPr="00167CB8">
        <w:t xml:space="preserve"> ABS Labour Force, Australia, Detailed. Cat No 6291.0.55.001. Table 4, August 2024, Seasonally adjusted data.</w:t>
      </w:r>
    </w:p>
    <w:p w14:paraId="66A54433" w14:textId="543B3564" w:rsidR="00DD49BD" w:rsidRPr="00167CB8" w:rsidRDefault="00DD49BD" w:rsidP="00DD49BD">
      <w:r w:rsidRPr="00167CB8">
        <w:t xml:space="preserve">The pattern of employment shown in Figure </w:t>
      </w:r>
      <w:r w:rsidR="0059001D" w:rsidRPr="00167CB8">
        <w:t>1</w:t>
      </w:r>
      <w:r w:rsidRPr="00167CB8">
        <w:t xml:space="preserve">5 is significantly different from that of even 10 to 15 years ago. Figure </w:t>
      </w:r>
      <w:r w:rsidR="0059001D" w:rsidRPr="00167CB8">
        <w:t>1</w:t>
      </w:r>
      <w:r w:rsidRPr="00167CB8">
        <w:t xml:space="preserve">6 offers a comparison using data from 2009 and 2024. In 2009, </w:t>
      </w:r>
      <w:r w:rsidR="00671C88" w:rsidRPr="00167CB8">
        <w:t>r</w:t>
      </w:r>
      <w:r w:rsidRPr="00167CB8">
        <w:t xml:space="preserve">etail </w:t>
      </w:r>
      <w:r w:rsidR="00671C88" w:rsidRPr="00167CB8">
        <w:t>t</w:t>
      </w:r>
      <w:r w:rsidRPr="00167CB8">
        <w:t xml:space="preserve">rade was the largest sector in terms of employment, with 1.19 million workers, closely followed by the </w:t>
      </w:r>
      <w:r w:rsidR="00671C88" w:rsidRPr="00167CB8">
        <w:t>h</w:t>
      </w:r>
      <w:r w:rsidRPr="00167CB8">
        <w:t xml:space="preserve">ealth </w:t>
      </w:r>
      <w:r w:rsidR="00671C88" w:rsidRPr="00167CB8">
        <w:t>c</w:t>
      </w:r>
      <w:r w:rsidRPr="00167CB8">
        <w:t xml:space="preserve">are and </w:t>
      </w:r>
      <w:r w:rsidR="00671C88" w:rsidRPr="00167CB8">
        <w:t>s</w:t>
      </w:r>
      <w:r w:rsidRPr="00167CB8">
        <w:t xml:space="preserve">ocial </w:t>
      </w:r>
      <w:r w:rsidR="00671C88" w:rsidRPr="00167CB8">
        <w:t>a</w:t>
      </w:r>
      <w:r w:rsidRPr="00167CB8">
        <w:t xml:space="preserve">ssistance sector, which employed 1.18 million workers. </w:t>
      </w:r>
    </w:p>
    <w:p w14:paraId="6D363EF4" w14:textId="4A2A11FB" w:rsidR="00DD49BD" w:rsidRPr="00167CB8" w:rsidRDefault="00DD49BD" w:rsidP="00DD49BD">
      <w:r w:rsidRPr="00167CB8">
        <w:t>Although total employment grew by 35% between 2009 and 2024, certain sectors experienced disproportionately higher growth</w:t>
      </w:r>
      <w:r w:rsidR="00671C88" w:rsidRPr="00167CB8">
        <w:t xml:space="preserve"> </w:t>
      </w:r>
      <w:r w:rsidR="00671C88" w:rsidRPr="00167CB8">
        <w:rPr>
          <w:rFonts w:ascii="Symbol" w:eastAsia="Symbol" w:hAnsi="Symbol" w:cs="Symbol"/>
        </w:rPr>
        <w:sym w:font="Symbol" w:char="F02D"/>
      </w:r>
      <w:r w:rsidR="00671C88" w:rsidRPr="00167CB8">
        <w:t xml:space="preserve"> h</w:t>
      </w:r>
      <w:r w:rsidRPr="00167CB8">
        <w:t xml:space="preserve">ealth </w:t>
      </w:r>
      <w:r w:rsidR="00671C88" w:rsidRPr="00167CB8">
        <w:t>c</w:t>
      </w:r>
      <w:r w:rsidRPr="00167CB8">
        <w:t xml:space="preserve">are and </w:t>
      </w:r>
      <w:r w:rsidR="00671C88" w:rsidRPr="00167CB8">
        <w:t>s</w:t>
      </w:r>
      <w:r w:rsidRPr="00167CB8">
        <w:t xml:space="preserve">ocial </w:t>
      </w:r>
      <w:r w:rsidR="00671C88" w:rsidRPr="00167CB8">
        <w:t>a</w:t>
      </w:r>
      <w:r w:rsidRPr="00167CB8">
        <w:t xml:space="preserve">ssistance increased by 92%, </w:t>
      </w:r>
      <w:r w:rsidR="00671C88" w:rsidRPr="00167CB8">
        <w:t>p</w:t>
      </w:r>
      <w:r w:rsidRPr="00167CB8">
        <w:t xml:space="preserve">rofessional, </w:t>
      </w:r>
      <w:r w:rsidR="00671C88" w:rsidRPr="00167CB8">
        <w:t>s</w:t>
      </w:r>
      <w:r w:rsidRPr="00167CB8">
        <w:t xml:space="preserve">cientific and </w:t>
      </w:r>
      <w:r w:rsidR="00671C88" w:rsidRPr="00167CB8">
        <w:t>t</w:t>
      </w:r>
      <w:r w:rsidRPr="00167CB8">
        <w:t xml:space="preserve">echnical </w:t>
      </w:r>
      <w:r w:rsidR="00671C88" w:rsidRPr="00167CB8">
        <w:t>s</w:t>
      </w:r>
      <w:r w:rsidRPr="00167CB8">
        <w:t xml:space="preserve">ervices by 58%, </w:t>
      </w:r>
      <w:r w:rsidR="00671C88" w:rsidRPr="00167CB8">
        <w:t>e</w:t>
      </w:r>
      <w:r w:rsidRPr="00167CB8">
        <w:t xml:space="preserve">ducation and </w:t>
      </w:r>
      <w:r w:rsidR="00671C88" w:rsidRPr="00167CB8">
        <w:t>t</w:t>
      </w:r>
      <w:r w:rsidRPr="00167CB8">
        <w:t xml:space="preserve">raining by 56%, and </w:t>
      </w:r>
      <w:r w:rsidR="00671C88" w:rsidRPr="00167CB8">
        <w:t>c</w:t>
      </w:r>
      <w:r w:rsidRPr="00167CB8">
        <w:t xml:space="preserve">onstruction by 40%. These trends underscore a profound shift in the composition of the labour market, in terms of </w:t>
      </w:r>
      <w:r w:rsidR="00671C88" w:rsidRPr="00167CB8">
        <w:t xml:space="preserve">both </w:t>
      </w:r>
      <w:r w:rsidRPr="00167CB8">
        <w:t>industry structure and the nature of employment. It is important that the industrial relations system evolves in step with these changes if it is to remain relevant and responsive to the needs of a transforming workforce.</w:t>
      </w:r>
    </w:p>
    <w:p w14:paraId="60E8FC75" w14:textId="00B6F2AB" w:rsidR="00DD49BD" w:rsidRPr="00167CB8" w:rsidRDefault="00DD49BD" w:rsidP="00470AB9">
      <w:pPr>
        <w:pStyle w:val="Caption"/>
      </w:pPr>
      <w:r w:rsidRPr="00167CB8">
        <w:lastRenderedPageBreak/>
        <w:t xml:space="preserve">Figure </w:t>
      </w:r>
      <w:r w:rsidR="00540FA9" w:rsidRPr="00167CB8">
        <w:t>1</w:t>
      </w:r>
      <w:r w:rsidRPr="00167CB8">
        <w:t>6: Number employed (‘000) by industry, 2009 and 2024</w:t>
      </w:r>
    </w:p>
    <w:p w14:paraId="652A093E" w14:textId="77777777" w:rsidR="00DD49BD" w:rsidRPr="00167CB8" w:rsidRDefault="00DD49BD" w:rsidP="00DD49BD">
      <w:pPr>
        <w:spacing w:after="0" w:line="240" w:lineRule="auto"/>
        <w:rPr>
          <w:rFonts w:ascii="Calibri" w:hAnsi="Calibri" w:cs="Calibri"/>
          <w:sz w:val="24"/>
          <w:szCs w:val="24"/>
        </w:rPr>
      </w:pPr>
      <w:r w:rsidRPr="00167CB8">
        <w:rPr>
          <w:noProof/>
        </w:rPr>
        <w:drawing>
          <wp:inline distT="0" distB="0" distL="0" distR="0" wp14:anchorId="19035204" wp14:editId="4AB05E12">
            <wp:extent cx="5731510" cy="3748405"/>
            <wp:effectExtent l="0" t="0" r="2540" b="4445"/>
            <wp:docPr id="740496946" name="Picture 1"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96946" name="Picture 1" descr="A graph of blue and white bars&#10;&#10;Description automatically generated"/>
                    <pic:cNvPicPr/>
                  </pic:nvPicPr>
                  <pic:blipFill>
                    <a:blip r:embed="rId37"/>
                    <a:stretch>
                      <a:fillRect/>
                    </a:stretch>
                  </pic:blipFill>
                  <pic:spPr>
                    <a:xfrm>
                      <a:off x="0" y="0"/>
                      <a:ext cx="5731510" cy="3748405"/>
                    </a:xfrm>
                    <a:prstGeom prst="rect">
                      <a:avLst/>
                    </a:prstGeom>
                  </pic:spPr>
                </pic:pic>
              </a:graphicData>
            </a:graphic>
          </wp:inline>
        </w:drawing>
      </w:r>
    </w:p>
    <w:p w14:paraId="2AAB43BB" w14:textId="3C622F42" w:rsidR="00DD49BD" w:rsidRPr="00167CB8" w:rsidRDefault="00DD49BD" w:rsidP="00671C88">
      <w:pPr>
        <w:pStyle w:val="Source"/>
        <w:rPr>
          <w:rFonts w:ascii="Calibri" w:hAnsi="Calibri" w:cs="Calibri"/>
          <w:sz w:val="20"/>
          <w:szCs w:val="20"/>
        </w:rPr>
      </w:pPr>
      <w:r w:rsidRPr="00167CB8">
        <w:rPr>
          <w:b/>
          <w:bCs/>
        </w:rPr>
        <w:t>Source:</w:t>
      </w:r>
      <w:r w:rsidRPr="00167CB8">
        <w:t xml:space="preserve"> ABS 6291.0.55.001 (EQ11), Original series. </w:t>
      </w:r>
    </w:p>
    <w:p w14:paraId="6C084941" w14:textId="6DCA0834" w:rsidR="009A1D5D" w:rsidRPr="00167CB8" w:rsidRDefault="00AE658F" w:rsidP="0027764C">
      <w:pPr>
        <w:pStyle w:val="Heading5"/>
        <w:rPr>
          <w:rFonts w:asciiTheme="minorHAnsi" w:hAnsiTheme="minorHAnsi"/>
        </w:rPr>
      </w:pPr>
      <w:r w:rsidRPr="00167CB8">
        <w:rPr>
          <w:rFonts w:asciiTheme="minorHAnsi" w:hAnsiTheme="minorHAnsi"/>
        </w:rPr>
        <w:t>22</w:t>
      </w:r>
      <w:r w:rsidR="00FE49C9" w:rsidRPr="00167CB8">
        <w:rPr>
          <w:rFonts w:asciiTheme="minorHAnsi" w:hAnsiTheme="minorHAnsi"/>
        </w:rPr>
        <w:t>.</w:t>
      </w:r>
      <w:r w:rsidR="00B8779B" w:rsidRPr="00167CB8">
        <w:rPr>
          <w:rFonts w:asciiTheme="minorHAnsi" w:hAnsiTheme="minorHAnsi"/>
        </w:rPr>
        <w:t>2</w:t>
      </w:r>
      <w:r w:rsidR="009A1D5D" w:rsidRPr="00167CB8">
        <w:rPr>
          <w:rFonts w:asciiTheme="minorHAnsi" w:hAnsiTheme="minorHAnsi"/>
        </w:rPr>
        <w:t xml:space="preserve">.3 </w:t>
      </w:r>
      <w:r w:rsidR="00911C2B">
        <w:rPr>
          <w:rFonts w:asciiTheme="minorHAnsi" w:hAnsiTheme="minorHAnsi"/>
        </w:rPr>
        <w:t>N</w:t>
      </w:r>
      <w:r w:rsidR="001E027D" w:rsidRPr="00167CB8">
        <w:rPr>
          <w:rFonts w:asciiTheme="minorHAnsi" w:hAnsiTheme="minorHAnsi"/>
        </w:rPr>
        <w:t>on-standard employment and job security</w:t>
      </w:r>
      <w:r w:rsidR="001E027D" w:rsidRPr="00167CB8" w:rsidDel="001E027D">
        <w:rPr>
          <w:rFonts w:asciiTheme="minorHAnsi" w:hAnsiTheme="minorHAnsi"/>
        </w:rPr>
        <w:t xml:space="preserve"> </w:t>
      </w:r>
    </w:p>
    <w:p w14:paraId="65ADA6C9" w14:textId="46BC6BC7" w:rsidR="00C4277B" w:rsidRPr="00167CB8" w:rsidRDefault="00C4277B" w:rsidP="00C4277B">
      <w:r w:rsidRPr="00167CB8">
        <w:t xml:space="preserve">The growth in female employment overall and in different sectors has been accompanied by a notable rise in non-standard forms of employment in the form of part-time and casual work. This is illustrated in Figure </w:t>
      </w:r>
      <w:r w:rsidR="000416DA" w:rsidRPr="00167CB8">
        <w:t>1</w:t>
      </w:r>
      <w:r w:rsidR="00D056B4">
        <w:t>7</w:t>
      </w:r>
      <w:r w:rsidR="00671C88" w:rsidRPr="00167CB8">
        <w:t>,</w:t>
      </w:r>
      <w:r w:rsidRPr="00167CB8">
        <w:t xml:space="preserve"> which shows employment growth over the decade leading to 2024, categorised by employment status in the main job (i.e. casual or not).</w:t>
      </w:r>
      <w:r w:rsidRPr="00167CB8">
        <w:rPr>
          <w:rStyle w:val="FootnoteReference"/>
          <w:rFonts w:ascii="Calibri" w:hAnsi="Calibri" w:cs="Calibri"/>
          <w:sz w:val="24"/>
          <w:szCs w:val="24"/>
        </w:rPr>
        <w:footnoteReference w:id="789"/>
      </w:r>
    </w:p>
    <w:p w14:paraId="51E45E3C" w14:textId="22616BFA" w:rsidR="00C4277B" w:rsidRPr="00167CB8" w:rsidRDefault="00C4277B" w:rsidP="00C4277B">
      <w:r w:rsidRPr="00167CB8">
        <w:t xml:space="preserve">Over this period, the number of people employed on a casual basis grew by 368,000, reaching a total of 2.5 million by August 2024. Notably, one-third of casual workers are engaged in full-time employment. While the proportion of the workforce within each employment category has remained relatively stable over the past decade, the key takeaway is the large growth in absolute terms in the number of individuals who are now engaged in non-standard working arrangement. For convenience the employment numbers in Figure </w:t>
      </w:r>
      <w:r w:rsidR="00BA7BFA" w:rsidRPr="00167CB8">
        <w:t>17</w:t>
      </w:r>
      <w:r w:rsidRPr="00167CB8">
        <w:t xml:space="preserve"> for 2014 and 2024 are presented in Table 1</w:t>
      </w:r>
      <w:r w:rsidR="00BA7BFA" w:rsidRPr="00167CB8">
        <w:t>8</w:t>
      </w:r>
      <w:r w:rsidRPr="00167CB8">
        <w:t>.</w:t>
      </w:r>
    </w:p>
    <w:p w14:paraId="41000F3F" w14:textId="1DA77833" w:rsidR="00C4277B" w:rsidRPr="00167CB8" w:rsidRDefault="00C4277B" w:rsidP="00470AB9">
      <w:pPr>
        <w:pStyle w:val="Caption"/>
      </w:pPr>
      <w:bookmarkStart w:id="280" w:name="_Toc188470108"/>
      <w:r w:rsidRPr="00167CB8">
        <w:lastRenderedPageBreak/>
        <w:t xml:space="preserve">Figure </w:t>
      </w:r>
      <w:r w:rsidR="00243161" w:rsidRPr="00167CB8">
        <w:t>17</w:t>
      </w:r>
      <w:r w:rsidRPr="00167CB8">
        <w:t>: Trends in employment, by status of employment in main job, 2014 to 2024</w:t>
      </w:r>
      <w:bookmarkEnd w:id="280"/>
    </w:p>
    <w:p w14:paraId="3A55A97F" w14:textId="77777777" w:rsidR="00C4277B" w:rsidRPr="00167CB8" w:rsidRDefault="00C4277B" w:rsidP="00C4277B">
      <w:pPr>
        <w:spacing w:after="0" w:line="240" w:lineRule="auto"/>
        <w:rPr>
          <w:rFonts w:ascii="Calibri" w:hAnsi="Calibri" w:cs="Calibri"/>
          <w:sz w:val="24"/>
          <w:szCs w:val="24"/>
        </w:rPr>
      </w:pPr>
      <w:r w:rsidRPr="00167CB8">
        <w:rPr>
          <w:noProof/>
        </w:rPr>
        <w:drawing>
          <wp:inline distT="0" distB="0" distL="0" distR="0" wp14:anchorId="3CD4CE7F" wp14:editId="7F2255B2">
            <wp:extent cx="5731510" cy="3748405"/>
            <wp:effectExtent l="0" t="0" r="2540" b="4445"/>
            <wp:docPr id="76503838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38386" name="Picture 1" descr="A graph of different colored lines&#10;&#10;Description automatically generated"/>
                    <pic:cNvPicPr/>
                  </pic:nvPicPr>
                  <pic:blipFill>
                    <a:blip r:embed="rId38"/>
                    <a:stretch>
                      <a:fillRect/>
                    </a:stretch>
                  </pic:blipFill>
                  <pic:spPr>
                    <a:xfrm>
                      <a:off x="0" y="0"/>
                      <a:ext cx="5731510" cy="3748405"/>
                    </a:xfrm>
                    <a:prstGeom prst="rect">
                      <a:avLst/>
                    </a:prstGeom>
                  </pic:spPr>
                </pic:pic>
              </a:graphicData>
            </a:graphic>
          </wp:inline>
        </w:drawing>
      </w:r>
    </w:p>
    <w:p w14:paraId="51BB276F" w14:textId="4DE268CF" w:rsidR="00C4277B" w:rsidRPr="00167CB8" w:rsidRDefault="00C4277B" w:rsidP="00671C88">
      <w:pPr>
        <w:pStyle w:val="Source"/>
        <w:rPr>
          <w:rFonts w:ascii="Calibri" w:hAnsi="Calibri" w:cs="Calibri"/>
          <w:sz w:val="20"/>
          <w:szCs w:val="20"/>
        </w:rPr>
      </w:pPr>
      <w:r w:rsidRPr="00167CB8">
        <w:rPr>
          <w:b/>
          <w:bCs/>
        </w:rPr>
        <w:t>Source:</w:t>
      </w:r>
      <w:r w:rsidRPr="00167CB8">
        <w:t xml:space="preserve"> 6291.0.55.001 </w:t>
      </w:r>
      <w:r w:rsidR="00671C88" w:rsidRPr="00167CB8">
        <w:rPr>
          <w:rFonts w:ascii="Symbol" w:eastAsia="Symbol" w:hAnsi="Symbol" w:cs="Symbol"/>
        </w:rPr>
        <w:sym w:font="Symbol" w:char="F02D"/>
      </w:r>
      <w:r w:rsidRPr="00167CB8">
        <w:t xml:space="preserve"> EQ04 </w:t>
      </w:r>
      <w:r w:rsidR="00671C88" w:rsidRPr="00167CB8">
        <w:rPr>
          <w:rFonts w:ascii="Symbol" w:eastAsia="Symbol" w:hAnsi="Symbol" w:cs="Symbol"/>
        </w:rPr>
        <w:sym w:font="Symbol" w:char="F02D"/>
      </w:r>
      <w:r w:rsidRPr="00167CB8">
        <w:t xml:space="preserve"> Employed persons by Hours actually worked in all jobs, Sex and Status in employment of main job.</w:t>
      </w:r>
    </w:p>
    <w:p w14:paraId="13E4A97E" w14:textId="202461A5" w:rsidR="00C4277B" w:rsidRPr="00167CB8" w:rsidRDefault="00C4277B" w:rsidP="00470AB9">
      <w:pPr>
        <w:pStyle w:val="Caption"/>
      </w:pPr>
      <w:bookmarkStart w:id="281" w:name="_Toc189310850"/>
      <w:r w:rsidRPr="00167CB8">
        <w:t xml:space="preserve">Table </w:t>
      </w:r>
      <w:r w:rsidRPr="00167CB8">
        <w:fldChar w:fldCharType="begin"/>
      </w:r>
      <w:r w:rsidRPr="00167CB8">
        <w:instrText xml:space="preserve"> SEQ Table \* ARABIC </w:instrText>
      </w:r>
      <w:r w:rsidRPr="00167CB8">
        <w:fldChar w:fldCharType="separate"/>
      </w:r>
      <w:r w:rsidR="003F0101">
        <w:rPr>
          <w:noProof/>
        </w:rPr>
        <w:t>1</w:t>
      </w:r>
      <w:r w:rsidRPr="00167CB8">
        <w:fldChar w:fldCharType="end"/>
      </w:r>
      <w:r w:rsidR="00635122" w:rsidRPr="00167CB8">
        <w:t>8</w:t>
      </w:r>
      <w:r w:rsidRPr="00167CB8">
        <w:t>: Employment, by status of employment in main job, 2014 and 2024</w:t>
      </w:r>
      <w:bookmarkEnd w:id="281"/>
    </w:p>
    <w:tbl>
      <w:tblPr>
        <w:tblW w:w="889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79"/>
        <w:gridCol w:w="59"/>
        <w:gridCol w:w="1701"/>
        <w:gridCol w:w="19"/>
        <w:gridCol w:w="1682"/>
        <w:gridCol w:w="97"/>
        <w:gridCol w:w="1746"/>
        <w:gridCol w:w="33"/>
        <w:gridCol w:w="1779"/>
      </w:tblGrid>
      <w:tr w:rsidR="00C4277B" w:rsidRPr="00167CB8" w14:paraId="329DEF45" w14:textId="77777777">
        <w:trPr>
          <w:trHeight w:val="284"/>
        </w:trPr>
        <w:tc>
          <w:tcPr>
            <w:tcW w:w="1838" w:type="dxa"/>
            <w:gridSpan w:val="2"/>
            <w:tcBorders>
              <w:top w:val="single" w:sz="4" w:space="0" w:color="auto"/>
              <w:bottom w:val="nil"/>
            </w:tcBorders>
            <w:shd w:val="clear" w:color="auto" w:fill="auto"/>
            <w:noWrap/>
            <w:vAlign w:val="center"/>
            <w:hideMark/>
          </w:tcPr>
          <w:p w14:paraId="4646FAEC" w14:textId="77777777" w:rsidR="00C4277B" w:rsidRPr="00C262DB" w:rsidRDefault="00C4277B">
            <w:pPr>
              <w:spacing w:after="0" w:line="240" w:lineRule="auto"/>
              <w:jc w:val="center"/>
              <w:rPr>
                <w:rFonts w:ascii="Times New Roman" w:eastAsia="Times New Roman" w:hAnsi="Times New Roman" w:cs="Times New Roman"/>
                <w:b/>
                <w:bCs/>
                <w:sz w:val="20"/>
                <w:szCs w:val="20"/>
                <w:lang w:eastAsia="en-AU"/>
              </w:rPr>
            </w:pPr>
          </w:p>
        </w:tc>
        <w:tc>
          <w:tcPr>
            <w:tcW w:w="1701" w:type="dxa"/>
            <w:vMerge w:val="restart"/>
            <w:tcBorders>
              <w:top w:val="single" w:sz="4" w:space="0" w:color="auto"/>
              <w:bottom w:val="nil"/>
            </w:tcBorders>
            <w:shd w:val="clear" w:color="auto" w:fill="auto"/>
            <w:noWrap/>
            <w:vAlign w:val="center"/>
            <w:hideMark/>
          </w:tcPr>
          <w:p w14:paraId="2C1519C2" w14:textId="01DBA76B"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Aug</w:t>
            </w:r>
            <w:r w:rsidR="00671C88" w:rsidRPr="00C262DB">
              <w:rPr>
                <w:rFonts w:ascii="Aptos Narrow" w:eastAsia="Times New Roman" w:hAnsi="Aptos Narrow" w:cs="Times New Roman"/>
                <w:b/>
                <w:bCs/>
                <w:color w:val="000000"/>
                <w:sz w:val="20"/>
                <w:szCs w:val="20"/>
                <w:lang w:eastAsia="en-AU"/>
              </w:rPr>
              <w:t xml:space="preserve">ust </w:t>
            </w:r>
            <w:r w:rsidRPr="00C262DB">
              <w:rPr>
                <w:rFonts w:ascii="Aptos Narrow" w:eastAsia="Times New Roman" w:hAnsi="Aptos Narrow" w:cs="Times New Roman"/>
                <w:b/>
                <w:bCs/>
                <w:color w:val="000000"/>
                <w:sz w:val="20"/>
                <w:szCs w:val="20"/>
                <w:lang w:eastAsia="en-AU"/>
              </w:rPr>
              <w:t>2014</w:t>
            </w:r>
          </w:p>
        </w:tc>
        <w:tc>
          <w:tcPr>
            <w:tcW w:w="1701" w:type="dxa"/>
            <w:gridSpan w:val="2"/>
            <w:vMerge w:val="restart"/>
            <w:tcBorders>
              <w:top w:val="single" w:sz="4" w:space="0" w:color="auto"/>
              <w:bottom w:val="nil"/>
            </w:tcBorders>
            <w:shd w:val="clear" w:color="auto" w:fill="auto"/>
            <w:noWrap/>
            <w:vAlign w:val="center"/>
            <w:hideMark/>
          </w:tcPr>
          <w:p w14:paraId="408A0224" w14:textId="62B25BA8"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Aug</w:t>
            </w:r>
            <w:r w:rsidR="00671C88" w:rsidRPr="00C262DB">
              <w:rPr>
                <w:rFonts w:ascii="Aptos Narrow" w:eastAsia="Times New Roman" w:hAnsi="Aptos Narrow" w:cs="Times New Roman"/>
                <w:b/>
                <w:bCs/>
                <w:color w:val="000000"/>
                <w:sz w:val="20"/>
                <w:szCs w:val="20"/>
                <w:lang w:eastAsia="en-AU"/>
              </w:rPr>
              <w:t xml:space="preserve">ust </w:t>
            </w:r>
            <w:r w:rsidRPr="00C262DB">
              <w:rPr>
                <w:rFonts w:ascii="Aptos Narrow" w:eastAsia="Times New Roman" w:hAnsi="Aptos Narrow" w:cs="Times New Roman"/>
                <w:b/>
                <w:bCs/>
                <w:color w:val="000000"/>
                <w:sz w:val="20"/>
                <w:szCs w:val="20"/>
                <w:lang w:eastAsia="en-AU"/>
              </w:rPr>
              <w:t>2024</w:t>
            </w:r>
          </w:p>
        </w:tc>
        <w:tc>
          <w:tcPr>
            <w:tcW w:w="3655" w:type="dxa"/>
            <w:gridSpan w:val="4"/>
            <w:tcBorders>
              <w:top w:val="single" w:sz="4" w:space="0" w:color="auto"/>
              <w:bottom w:val="nil"/>
            </w:tcBorders>
            <w:shd w:val="clear" w:color="auto" w:fill="auto"/>
            <w:noWrap/>
            <w:vAlign w:val="center"/>
            <w:hideMark/>
          </w:tcPr>
          <w:p w14:paraId="0980F0AE" w14:textId="2FB2F6D0"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Change 2014</w:t>
            </w:r>
            <w:r w:rsidR="00671C88" w:rsidRPr="00C262DB">
              <w:rPr>
                <w:rFonts w:ascii="Symbol" w:eastAsia="Symbol" w:hAnsi="Symbol" w:cs="Symbol"/>
                <w:b/>
                <w:bCs/>
                <w:color w:val="000000"/>
                <w:sz w:val="20"/>
                <w:szCs w:val="20"/>
                <w:lang w:eastAsia="en-AU"/>
              </w:rPr>
              <w:sym w:font="Symbol" w:char="F02D"/>
            </w:r>
            <w:r w:rsidR="00671C88" w:rsidRPr="00C262DB">
              <w:rPr>
                <w:rFonts w:ascii="Aptos Narrow" w:eastAsia="Times New Roman" w:hAnsi="Aptos Narrow" w:cs="Times New Roman"/>
                <w:b/>
                <w:bCs/>
                <w:color w:val="000000"/>
                <w:sz w:val="20"/>
                <w:szCs w:val="20"/>
                <w:lang w:eastAsia="en-AU"/>
              </w:rPr>
              <w:t>20</w:t>
            </w:r>
            <w:r w:rsidRPr="00C262DB">
              <w:rPr>
                <w:rFonts w:ascii="Aptos Narrow" w:eastAsia="Times New Roman" w:hAnsi="Aptos Narrow" w:cs="Times New Roman"/>
                <w:b/>
                <w:bCs/>
                <w:color w:val="000000"/>
                <w:sz w:val="20"/>
                <w:szCs w:val="20"/>
                <w:lang w:eastAsia="en-AU"/>
              </w:rPr>
              <w:t>24</w:t>
            </w:r>
          </w:p>
        </w:tc>
      </w:tr>
      <w:tr w:rsidR="00C4277B" w:rsidRPr="00167CB8" w14:paraId="4CB1708C" w14:textId="77777777">
        <w:trPr>
          <w:trHeight w:val="284"/>
        </w:trPr>
        <w:tc>
          <w:tcPr>
            <w:tcW w:w="1838" w:type="dxa"/>
            <w:gridSpan w:val="2"/>
            <w:tcBorders>
              <w:top w:val="nil"/>
              <w:bottom w:val="single" w:sz="4" w:space="0" w:color="auto"/>
            </w:tcBorders>
            <w:shd w:val="clear" w:color="auto" w:fill="auto"/>
            <w:noWrap/>
            <w:vAlign w:val="center"/>
          </w:tcPr>
          <w:p w14:paraId="6FF0FC69" w14:textId="77777777"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p>
        </w:tc>
        <w:tc>
          <w:tcPr>
            <w:tcW w:w="1701" w:type="dxa"/>
            <w:vMerge/>
            <w:tcBorders>
              <w:top w:val="nil"/>
              <w:bottom w:val="single" w:sz="4" w:space="0" w:color="auto"/>
            </w:tcBorders>
            <w:shd w:val="clear" w:color="auto" w:fill="auto"/>
            <w:noWrap/>
            <w:vAlign w:val="center"/>
          </w:tcPr>
          <w:p w14:paraId="0B1039E4" w14:textId="77777777"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p>
        </w:tc>
        <w:tc>
          <w:tcPr>
            <w:tcW w:w="1701" w:type="dxa"/>
            <w:gridSpan w:val="2"/>
            <w:vMerge/>
            <w:tcBorders>
              <w:top w:val="nil"/>
              <w:bottom w:val="single" w:sz="4" w:space="0" w:color="auto"/>
            </w:tcBorders>
            <w:shd w:val="clear" w:color="auto" w:fill="auto"/>
            <w:noWrap/>
            <w:vAlign w:val="center"/>
          </w:tcPr>
          <w:p w14:paraId="0889891E" w14:textId="77777777"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p>
        </w:tc>
        <w:tc>
          <w:tcPr>
            <w:tcW w:w="1843" w:type="dxa"/>
            <w:gridSpan w:val="2"/>
            <w:tcBorders>
              <w:top w:val="nil"/>
              <w:bottom w:val="single" w:sz="4" w:space="0" w:color="auto"/>
            </w:tcBorders>
            <w:shd w:val="clear" w:color="auto" w:fill="auto"/>
            <w:noWrap/>
            <w:vAlign w:val="center"/>
          </w:tcPr>
          <w:p w14:paraId="1F5DFA99" w14:textId="7FB36100" w:rsidR="00C4277B" w:rsidRPr="00C262DB" w:rsidRDefault="00671C88">
            <w:pPr>
              <w:spacing w:after="0" w:line="240" w:lineRule="auto"/>
              <w:jc w:val="center"/>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 xml:space="preserve">Number </w:t>
            </w:r>
            <w:r w:rsidR="00C4277B" w:rsidRPr="00C262DB">
              <w:rPr>
                <w:rFonts w:ascii="Aptos Narrow" w:eastAsia="Times New Roman" w:hAnsi="Aptos Narrow" w:cs="Times New Roman"/>
                <w:b/>
                <w:bCs/>
                <w:color w:val="000000"/>
                <w:sz w:val="20"/>
                <w:szCs w:val="20"/>
                <w:lang w:eastAsia="en-AU"/>
              </w:rPr>
              <w:t>employed</w:t>
            </w:r>
          </w:p>
        </w:tc>
        <w:tc>
          <w:tcPr>
            <w:tcW w:w="1812" w:type="dxa"/>
            <w:gridSpan w:val="2"/>
            <w:tcBorders>
              <w:top w:val="nil"/>
              <w:bottom w:val="single" w:sz="4" w:space="0" w:color="auto"/>
            </w:tcBorders>
            <w:shd w:val="clear" w:color="auto" w:fill="auto"/>
            <w:noWrap/>
            <w:vAlign w:val="center"/>
          </w:tcPr>
          <w:p w14:paraId="736389FC" w14:textId="77777777" w:rsidR="00C4277B" w:rsidRPr="00C262DB" w:rsidRDefault="00C4277B">
            <w:pPr>
              <w:spacing w:after="0" w:line="240" w:lineRule="auto"/>
              <w:jc w:val="center"/>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 change</w:t>
            </w:r>
          </w:p>
        </w:tc>
      </w:tr>
      <w:tr w:rsidR="00C4277B" w:rsidRPr="00167CB8" w14:paraId="28D6F11C" w14:textId="77777777">
        <w:trPr>
          <w:trHeight w:val="284"/>
        </w:trPr>
        <w:tc>
          <w:tcPr>
            <w:tcW w:w="1779" w:type="dxa"/>
            <w:tcBorders>
              <w:top w:val="single" w:sz="4" w:space="0" w:color="auto"/>
            </w:tcBorders>
            <w:shd w:val="clear" w:color="auto" w:fill="auto"/>
            <w:noWrap/>
            <w:vAlign w:val="center"/>
            <w:hideMark/>
          </w:tcPr>
          <w:p w14:paraId="4E378932" w14:textId="77777777" w:rsidR="00C4277B" w:rsidRPr="00167CB8" w:rsidRDefault="00C4277B">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Full-time</w:t>
            </w:r>
          </w:p>
        </w:tc>
        <w:tc>
          <w:tcPr>
            <w:tcW w:w="1779" w:type="dxa"/>
            <w:gridSpan w:val="3"/>
            <w:tcBorders>
              <w:top w:val="single" w:sz="4" w:space="0" w:color="auto"/>
            </w:tcBorders>
            <w:shd w:val="clear" w:color="auto" w:fill="auto"/>
            <w:noWrap/>
            <w:vAlign w:val="center"/>
            <w:hideMark/>
          </w:tcPr>
          <w:p w14:paraId="439710F1"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5,520</w:t>
            </w:r>
          </w:p>
        </w:tc>
        <w:tc>
          <w:tcPr>
            <w:tcW w:w="1779" w:type="dxa"/>
            <w:gridSpan w:val="2"/>
            <w:tcBorders>
              <w:top w:val="single" w:sz="4" w:space="0" w:color="auto"/>
            </w:tcBorders>
            <w:shd w:val="clear" w:color="auto" w:fill="auto"/>
            <w:noWrap/>
            <w:vAlign w:val="center"/>
            <w:hideMark/>
          </w:tcPr>
          <w:p w14:paraId="1571B5DC"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7,142</w:t>
            </w:r>
          </w:p>
        </w:tc>
        <w:tc>
          <w:tcPr>
            <w:tcW w:w="1779" w:type="dxa"/>
            <w:gridSpan w:val="2"/>
            <w:tcBorders>
              <w:top w:val="single" w:sz="4" w:space="0" w:color="auto"/>
            </w:tcBorders>
            <w:shd w:val="clear" w:color="auto" w:fill="auto"/>
            <w:noWrap/>
            <w:vAlign w:val="center"/>
            <w:hideMark/>
          </w:tcPr>
          <w:p w14:paraId="465A7743"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1,622</w:t>
            </w:r>
          </w:p>
        </w:tc>
        <w:tc>
          <w:tcPr>
            <w:tcW w:w="1779" w:type="dxa"/>
            <w:tcBorders>
              <w:top w:val="single" w:sz="4" w:space="0" w:color="auto"/>
            </w:tcBorders>
            <w:shd w:val="clear" w:color="auto" w:fill="auto"/>
            <w:noWrap/>
            <w:vAlign w:val="center"/>
            <w:hideMark/>
          </w:tcPr>
          <w:p w14:paraId="179E23FA"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29%</w:t>
            </w:r>
          </w:p>
        </w:tc>
      </w:tr>
      <w:tr w:rsidR="00C4277B" w:rsidRPr="00167CB8" w14:paraId="51E8816D" w14:textId="77777777">
        <w:trPr>
          <w:trHeight w:val="284"/>
        </w:trPr>
        <w:tc>
          <w:tcPr>
            <w:tcW w:w="1779" w:type="dxa"/>
            <w:shd w:val="clear" w:color="auto" w:fill="auto"/>
            <w:noWrap/>
            <w:vAlign w:val="center"/>
            <w:hideMark/>
          </w:tcPr>
          <w:p w14:paraId="58EC76FE" w14:textId="77777777" w:rsidR="00C4277B" w:rsidRPr="00167CB8" w:rsidRDefault="00C4277B">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Part-time</w:t>
            </w:r>
          </w:p>
        </w:tc>
        <w:tc>
          <w:tcPr>
            <w:tcW w:w="1779" w:type="dxa"/>
            <w:gridSpan w:val="3"/>
            <w:shd w:val="clear" w:color="auto" w:fill="auto"/>
            <w:noWrap/>
            <w:vAlign w:val="center"/>
            <w:hideMark/>
          </w:tcPr>
          <w:p w14:paraId="029DD47B"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1,289</w:t>
            </w:r>
          </w:p>
        </w:tc>
        <w:tc>
          <w:tcPr>
            <w:tcW w:w="1779" w:type="dxa"/>
            <w:gridSpan w:val="2"/>
            <w:shd w:val="clear" w:color="auto" w:fill="auto"/>
            <w:noWrap/>
            <w:vAlign w:val="center"/>
            <w:hideMark/>
          </w:tcPr>
          <w:p w14:paraId="7BED1CDD"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1,718</w:t>
            </w:r>
          </w:p>
        </w:tc>
        <w:tc>
          <w:tcPr>
            <w:tcW w:w="1779" w:type="dxa"/>
            <w:gridSpan w:val="2"/>
            <w:shd w:val="clear" w:color="auto" w:fill="auto"/>
            <w:noWrap/>
            <w:vAlign w:val="center"/>
            <w:hideMark/>
          </w:tcPr>
          <w:p w14:paraId="5279549B"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430</w:t>
            </w:r>
          </w:p>
        </w:tc>
        <w:tc>
          <w:tcPr>
            <w:tcW w:w="1779" w:type="dxa"/>
            <w:shd w:val="clear" w:color="auto" w:fill="auto"/>
            <w:noWrap/>
            <w:vAlign w:val="center"/>
            <w:hideMark/>
          </w:tcPr>
          <w:p w14:paraId="13AF94B4"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33%</w:t>
            </w:r>
          </w:p>
        </w:tc>
      </w:tr>
      <w:tr w:rsidR="00C4277B" w:rsidRPr="00167CB8" w14:paraId="41C0B9F3" w14:textId="77777777">
        <w:trPr>
          <w:trHeight w:val="284"/>
        </w:trPr>
        <w:tc>
          <w:tcPr>
            <w:tcW w:w="1779" w:type="dxa"/>
            <w:shd w:val="clear" w:color="auto" w:fill="auto"/>
            <w:noWrap/>
            <w:vAlign w:val="center"/>
            <w:hideMark/>
          </w:tcPr>
          <w:p w14:paraId="5FBA09BD" w14:textId="1F9D3C3B" w:rsidR="00C4277B" w:rsidRPr="00167CB8" w:rsidRDefault="00C4277B">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 xml:space="preserve">Full-time </w:t>
            </w:r>
            <w:r w:rsidR="00671C88" w:rsidRPr="00167CB8">
              <w:rPr>
                <w:rFonts w:ascii="Aptos Narrow" w:eastAsia="Times New Roman" w:hAnsi="Aptos Narrow" w:cs="Times New Roman"/>
                <w:color w:val="000000"/>
                <w:sz w:val="20"/>
                <w:szCs w:val="20"/>
                <w:lang w:eastAsia="en-AU"/>
              </w:rPr>
              <w:t>c</w:t>
            </w:r>
            <w:r w:rsidRPr="00167CB8">
              <w:rPr>
                <w:rFonts w:ascii="Aptos Narrow" w:eastAsia="Times New Roman" w:hAnsi="Aptos Narrow" w:cs="Times New Roman"/>
                <w:color w:val="000000"/>
                <w:sz w:val="20"/>
                <w:szCs w:val="20"/>
                <w:lang w:eastAsia="en-AU"/>
              </w:rPr>
              <w:t>asual</w:t>
            </w:r>
          </w:p>
        </w:tc>
        <w:tc>
          <w:tcPr>
            <w:tcW w:w="1779" w:type="dxa"/>
            <w:gridSpan w:val="3"/>
            <w:shd w:val="clear" w:color="auto" w:fill="auto"/>
            <w:noWrap/>
            <w:vAlign w:val="center"/>
            <w:hideMark/>
          </w:tcPr>
          <w:p w14:paraId="7F147B03"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709</w:t>
            </w:r>
          </w:p>
        </w:tc>
        <w:tc>
          <w:tcPr>
            <w:tcW w:w="1779" w:type="dxa"/>
            <w:gridSpan w:val="2"/>
            <w:shd w:val="clear" w:color="auto" w:fill="auto"/>
            <w:noWrap/>
            <w:vAlign w:val="center"/>
            <w:hideMark/>
          </w:tcPr>
          <w:p w14:paraId="4FC01CBF"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814</w:t>
            </w:r>
          </w:p>
        </w:tc>
        <w:tc>
          <w:tcPr>
            <w:tcW w:w="1779" w:type="dxa"/>
            <w:gridSpan w:val="2"/>
            <w:shd w:val="clear" w:color="auto" w:fill="auto"/>
            <w:noWrap/>
            <w:vAlign w:val="center"/>
            <w:hideMark/>
          </w:tcPr>
          <w:p w14:paraId="181BB291"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105</w:t>
            </w:r>
          </w:p>
        </w:tc>
        <w:tc>
          <w:tcPr>
            <w:tcW w:w="1779" w:type="dxa"/>
            <w:shd w:val="clear" w:color="auto" w:fill="auto"/>
            <w:noWrap/>
            <w:vAlign w:val="center"/>
            <w:hideMark/>
          </w:tcPr>
          <w:p w14:paraId="799E1CB8"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15%</w:t>
            </w:r>
          </w:p>
        </w:tc>
      </w:tr>
      <w:tr w:rsidR="00C4277B" w:rsidRPr="00167CB8" w14:paraId="1AFEA8D3" w14:textId="77777777">
        <w:trPr>
          <w:trHeight w:val="284"/>
        </w:trPr>
        <w:tc>
          <w:tcPr>
            <w:tcW w:w="1779" w:type="dxa"/>
            <w:shd w:val="clear" w:color="auto" w:fill="auto"/>
            <w:noWrap/>
            <w:vAlign w:val="center"/>
            <w:hideMark/>
          </w:tcPr>
          <w:p w14:paraId="19AA89E7" w14:textId="6E1C6764" w:rsidR="00C4277B" w:rsidRPr="00167CB8" w:rsidRDefault="00C4277B">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 xml:space="preserve">Part-Time </w:t>
            </w:r>
            <w:r w:rsidR="00671C88" w:rsidRPr="00167CB8">
              <w:rPr>
                <w:rFonts w:ascii="Aptos Narrow" w:eastAsia="Times New Roman" w:hAnsi="Aptos Narrow" w:cs="Times New Roman"/>
                <w:color w:val="000000"/>
                <w:sz w:val="20"/>
                <w:szCs w:val="20"/>
                <w:lang w:eastAsia="en-AU"/>
              </w:rPr>
              <w:t>c</w:t>
            </w:r>
            <w:r w:rsidRPr="00167CB8">
              <w:rPr>
                <w:rFonts w:ascii="Aptos Narrow" w:eastAsia="Times New Roman" w:hAnsi="Aptos Narrow" w:cs="Times New Roman"/>
                <w:color w:val="000000"/>
                <w:sz w:val="20"/>
                <w:szCs w:val="20"/>
                <w:lang w:eastAsia="en-AU"/>
              </w:rPr>
              <w:t>asual</w:t>
            </w:r>
          </w:p>
        </w:tc>
        <w:tc>
          <w:tcPr>
            <w:tcW w:w="1779" w:type="dxa"/>
            <w:gridSpan w:val="3"/>
            <w:shd w:val="clear" w:color="auto" w:fill="auto"/>
            <w:noWrap/>
            <w:vAlign w:val="center"/>
            <w:hideMark/>
          </w:tcPr>
          <w:p w14:paraId="3E79289A"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1,444</w:t>
            </w:r>
          </w:p>
        </w:tc>
        <w:tc>
          <w:tcPr>
            <w:tcW w:w="1779" w:type="dxa"/>
            <w:gridSpan w:val="2"/>
            <w:shd w:val="clear" w:color="auto" w:fill="auto"/>
            <w:noWrap/>
            <w:vAlign w:val="center"/>
            <w:hideMark/>
          </w:tcPr>
          <w:p w14:paraId="491772F0"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1,707</w:t>
            </w:r>
          </w:p>
        </w:tc>
        <w:tc>
          <w:tcPr>
            <w:tcW w:w="1779" w:type="dxa"/>
            <w:gridSpan w:val="2"/>
            <w:shd w:val="clear" w:color="auto" w:fill="auto"/>
            <w:noWrap/>
            <w:vAlign w:val="center"/>
            <w:hideMark/>
          </w:tcPr>
          <w:p w14:paraId="23A1369C"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263</w:t>
            </w:r>
          </w:p>
        </w:tc>
        <w:tc>
          <w:tcPr>
            <w:tcW w:w="1779" w:type="dxa"/>
            <w:shd w:val="clear" w:color="auto" w:fill="auto"/>
            <w:noWrap/>
            <w:vAlign w:val="center"/>
            <w:hideMark/>
          </w:tcPr>
          <w:p w14:paraId="7AB8B4D7"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18%</w:t>
            </w:r>
          </w:p>
        </w:tc>
      </w:tr>
      <w:tr w:rsidR="00C4277B" w:rsidRPr="00167CB8" w14:paraId="32115B92" w14:textId="77777777">
        <w:trPr>
          <w:trHeight w:val="284"/>
        </w:trPr>
        <w:tc>
          <w:tcPr>
            <w:tcW w:w="1779" w:type="dxa"/>
            <w:shd w:val="clear" w:color="auto" w:fill="auto"/>
            <w:noWrap/>
            <w:vAlign w:val="center"/>
            <w:hideMark/>
          </w:tcPr>
          <w:p w14:paraId="369F5EED" w14:textId="52B75DDD" w:rsidR="00C4277B" w:rsidRPr="00167CB8" w:rsidRDefault="00C4277B">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T</w:t>
            </w:r>
            <w:r w:rsidR="00671C88" w:rsidRPr="00167CB8">
              <w:rPr>
                <w:rFonts w:ascii="Aptos Narrow" w:eastAsia="Times New Roman" w:hAnsi="Aptos Narrow" w:cs="Times New Roman"/>
                <w:color w:val="000000"/>
                <w:sz w:val="20"/>
                <w:szCs w:val="20"/>
                <w:lang w:eastAsia="en-AU"/>
              </w:rPr>
              <w:t>otal</w:t>
            </w:r>
          </w:p>
        </w:tc>
        <w:tc>
          <w:tcPr>
            <w:tcW w:w="1779" w:type="dxa"/>
            <w:gridSpan w:val="3"/>
            <w:shd w:val="clear" w:color="auto" w:fill="auto"/>
            <w:noWrap/>
            <w:vAlign w:val="center"/>
            <w:hideMark/>
          </w:tcPr>
          <w:p w14:paraId="1B096D63"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8,962</w:t>
            </w:r>
          </w:p>
        </w:tc>
        <w:tc>
          <w:tcPr>
            <w:tcW w:w="1779" w:type="dxa"/>
            <w:gridSpan w:val="2"/>
            <w:shd w:val="clear" w:color="auto" w:fill="auto"/>
            <w:noWrap/>
            <w:vAlign w:val="center"/>
            <w:hideMark/>
          </w:tcPr>
          <w:p w14:paraId="53B626C9"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11,382</w:t>
            </w:r>
          </w:p>
        </w:tc>
        <w:tc>
          <w:tcPr>
            <w:tcW w:w="1779" w:type="dxa"/>
            <w:gridSpan w:val="2"/>
            <w:shd w:val="clear" w:color="auto" w:fill="auto"/>
            <w:noWrap/>
            <w:vAlign w:val="center"/>
            <w:hideMark/>
          </w:tcPr>
          <w:p w14:paraId="0DFAD33A"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2,419</w:t>
            </w:r>
          </w:p>
        </w:tc>
        <w:tc>
          <w:tcPr>
            <w:tcW w:w="1779" w:type="dxa"/>
            <w:shd w:val="clear" w:color="auto" w:fill="auto"/>
            <w:noWrap/>
            <w:vAlign w:val="center"/>
            <w:hideMark/>
          </w:tcPr>
          <w:p w14:paraId="6A860241" w14:textId="77777777" w:rsidR="00C4277B" w:rsidRPr="00167CB8" w:rsidRDefault="00C4277B">
            <w:pPr>
              <w:spacing w:after="0" w:line="240" w:lineRule="auto"/>
              <w:jc w:val="center"/>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27%</w:t>
            </w:r>
          </w:p>
        </w:tc>
      </w:tr>
    </w:tbl>
    <w:p w14:paraId="5EF2AF5A" w14:textId="0446A281" w:rsidR="00C4277B" w:rsidRPr="00167CB8" w:rsidRDefault="00C4277B" w:rsidP="00671C88">
      <w:pPr>
        <w:pStyle w:val="Source"/>
      </w:pPr>
      <w:r w:rsidRPr="00167CB8">
        <w:rPr>
          <w:b/>
          <w:bCs/>
        </w:rPr>
        <w:t>Source:</w:t>
      </w:r>
      <w:r w:rsidRPr="00167CB8">
        <w:t xml:space="preserve"> 6291.0.55.001 </w:t>
      </w:r>
      <w:r w:rsidR="00671C88" w:rsidRPr="00167CB8">
        <w:rPr>
          <w:rFonts w:ascii="Symbol" w:eastAsia="Symbol" w:hAnsi="Symbol" w:cs="Symbol"/>
        </w:rPr>
        <w:sym w:font="Symbol" w:char="F02D"/>
      </w:r>
      <w:r w:rsidRPr="00167CB8">
        <w:t xml:space="preserve"> EQ04</w:t>
      </w:r>
      <w:r w:rsidR="00671C88" w:rsidRPr="00167CB8">
        <w:t>.</w:t>
      </w:r>
    </w:p>
    <w:p w14:paraId="2800BE3E" w14:textId="77777777" w:rsidR="00C4277B" w:rsidRPr="00167CB8" w:rsidRDefault="00C4277B" w:rsidP="00C4277B">
      <w:r w:rsidRPr="00167CB8">
        <w:t xml:space="preserve">Non-standard employment encompasses several forms of insecure work. Casual workers, for example, may not have ‘regular and predictable’ access to employment. </w:t>
      </w:r>
    </w:p>
    <w:p w14:paraId="3F8F0D37" w14:textId="78552EF4" w:rsidR="00C4277B" w:rsidRPr="00167CB8" w:rsidRDefault="00C4277B" w:rsidP="00C4277B">
      <w:r w:rsidRPr="00167CB8">
        <w:t xml:space="preserve">In the estimates reported here it is not possible to further disaggregate the employment forms by other categories of employment – </w:t>
      </w:r>
      <w:r w:rsidR="00671C88" w:rsidRPr="00167CB8">
        <w:t xml:space="preserve">for example, </w:t>
      </w:r>
      <w:r w:rsidRPr="00167CB8">
        <w:t>fixed term. A person working part-time but on a fixed</w:t>
      </w:r>
      <w:r w:rsidR="00671C88" w:rsidRPr="00167CB8">
        <w:t>-</w:t>
      </w:r>
      <w:r w:rsidRPr="00167CB8">
        <w:t>term contract and in receipt of paid leave entitlements will be classified here as ‘part-time’ (because they are not part-time, casual). The same applies to persons who may be working full-time on a fixed</w:t>
      </w:r>
      <w:r w:rsidR="00671C88" w:rsidRPr="00167CB8">
        <w:t>-</w:t>
      </w:r>
      <w:r w:rsidRPr="00167CB8">
        <w:t xml:space="preserve">term contract. </w:t>
      </w:r>
    </w:p>
    <w:p w14:paraId="6DFAD5C3" w14:textId="2698D603" w:rsidR="00C4277B" w:rsidRPr="00167CB8" w:rsidRDefault="007143B6" w:rsidP="00C4277B">
      <w:r>
        <w:t>It is important to</w:t>
      </w:r>
      <w:r w:rsidR="00E9688F">
        <w:t xml:space="preserve"> recognise that part-time (or even full-time) employment, even if not casual, is not necessarily </w:t>
      </w:r>
      <w:r w:rsidR="00C4277B" w:rsidRPr="00167CB8">
        <w:t xml:space="preserve">‘secure’. </w:t>
      </w:r>
      <w:r w:rsidR="009C225A">
        <w:t>The</w:t>
      </w:r>
      <w:r w:rsidR="00C4277B" w:rsidRPr="00167CB8">
        <w:t xml:space="preserve"> </w:t>
      </w:r>
      <w:r w:rsidR="00CF7756" w:rsidRPr="00167CB8">
        <w:t>Australian</w:t>
      </w:r>
      <w:r w:rsidR="00C4277B" w:rsidRPr="00167CB8">
        <w:t xml:space="preserve"> Government, in the </w:t>
      </w:r>
      <w:r w:rsidR="00553EE6" w:rsidRPr="00167CB8">
        <w:t xml:space="preserve">Secure </w:t>
      </w:r>
      <w:r w:rsidR="00671C88" w:rsidRPr="00167CB8">
        <w:t>J</w:t>
      </w:r>
      <w:r w:rsidR="00553EE6" w:rsidRPr="00167CB8">
        <w:t>obs, Better Pay</w:t>
      </w:r>
      <w:r w:rsidR="00C4277B" w:rsidRPr="00167CB8">
        <w:t xml:space="preserve"> </w:t>
      </w:r>
      <w:r w:rsidR="00222E55" w:rsidRPr="00167CB8">
        <w:t xml:space="preserve">Act </w:t>
      </w:r>
      <w:r w:rsidR="00C4277B" w:rsidRPr="00167CB8">
        <w:t xml:space="preserve">Revised Explanatory Memorandum, defines job security as ‘ongoing, stable, and secure employment that provides regular and predictable access to beneficial wages and conditions of </w:t>
      </w:r>
      <w:r w:rsidR="00C4277B" w:rsidRPr="00167CB8">
        <w:lastRenderedPageBreak/>
        <w:t>employment</w:t>
      </w:r>
      <w:r w:rsidR="00671C88" w:rsidRPr="00167CB8">
        <w:t>’</w:t>
      </w:r>
      <w:r w:rsidR="00C4277B" w:rsidRPr="00167CB8">
        <w:t>.</w:t>
      </w:r>
      <w:r w:rsidR="00C4277B" w:rsidRPr="00167CB8">
        <w:rPr>
          <w:rStyle w:val="FootnoteReference"/>
          <w:rFonts w:ascii="Calibri" w:hAnsi="Calibri" w:cs="Calibri"/>
          <w:sz w:val="24"/>
          <w:szCs w:val="24"/>
        </w:rPr>
        <w:footnoteReference w:id="790"/>
      </w:r>
      <w:r w:rsidR="00C4277B" w:rsidRPr="00167CB8">
        <w:t xml:space="preserve"> Part-time work (casual or ongoing) may not necessarily provide access to predictable wages, particularly where rosters are concerned. This was highlighted in the recent Senate Select Committee on Work and Care. It was also considered by the FWC in the ‘Job Security Stream’ of the Modern Awards Review</w:t>
      </w:r>
      <w:r w:rsidR="00222E55" w:rsidRPr="00167CB8">
        <w:t xml:space="preserve"> 2023</w:t>
      </w:r>
      <w:r w:rsidR="00222E55" w:rsidRPr="00167CB8">
        <w:rPr>
          <w:rFonts w:ascii="Symbol" w:eastAsia="Symbol" w:hAnsi="Symbol" w:cs="Symbol"/>
        </w:rPr>
        <w:sym w:font="Symbol" w:char="F02D"/>
      </w:r>
      <w:r w:rsidR="00222E55" w:rsidRPr="00167CB8">
        <w:t>24</w:t>
      </w:r>
      <w:r w:rsidR="00C4277B" w:rsidRPr="00167CB8">
        <w:t>.</w:t>
      </w:r>
      <w:r w:rsidR="00C4277B" w:rsidRPr="00167CB8">
        <w:rPr>
          <w:vertAlign w:val="superscript"/>
        </w:rPr>
        <w:footnoteReference w:id="791"/>
      </w:r>
      <w:r w:rsidR="00C4277B" w:rsidRPr="00167CB8">
        <w:t xml:space="preserve"> In their final report the FWC noted that the parties raised issues about matters such as part-time employment:</w:t>
      </w:r>
      <w:r w:rsidR="00671C88" w:rsidRPr="00167CB8">
        <w:rPr>
          <w:vertAlign w:val="superscript"/>
        </w:rPr>
        <w:footnoteReference w:id="792"/>
      </w:r>
      <w:r w:rsidR="00C4277B" w:rsidRPr="00167CB8">
        <w:t xml:space="preserve"> </w:t>
      </w:r>
    </w:p>
    <w:p w14:paraId="4AE7916D" w14:textId="0B860195" w:rsidR="00C4277B" w:rsidRPr="00167CB8" w:rsidRDefault="00C4277B" w:rsidP="00C83147">
      <w:pPr>
        <w:pStyle w:val="Quote"/>
      </w:pPr>
      <w:r w:rsidRPr="00167CB8">
        <w:t>Several parties made extensive submissions concerning part-time employment, focused on the extent of flexibility provided by the part-time provisions in modern awards and the influence such provisions have on job security and access to secure work, both in theory and in practice. Submissions included proposals to change rostering restrictions, notice periods regarding rostering, changes to how regular patterns of hours and guaranteed hours can be established, arranged and varied, as well as proposals for both lesser and greater minimum engagement periods.</w:t>
      </w:r>
    </w:p>
    <w:p w14:paraId="30C2D88B" w14:textId="65D9F28C" w:rsidR="00C4277B" w:rsidRPr="00167CB8" w:rsidRDefault="00C4277B" w:rsidP="00C4277B">
      <w:r w:rsidRPr="00167CB8">
        <w:t>In August 2024, following the conclusion of the Modern Awards Review</w:t>
      </w:r>
      <w:r w:rsidR="00222E55" w:rsidRPr="00167CB8">
        <w:t xml:space="preserve"> 2023</w:t>
      </w:r>
      <w:r w:rsidR="00222E55" w:rsidRPr="00167CB8">
        <w:rPr>
          <w:rFonts w:ascii="Symbol" w:eastAsia="Symbol" w:hAnsi="Symbol" w:cs="Symbol"/>
        </w:rPr>
        <w:sym w:font="Symbol" w:char="F02D"/>
      </w:r>
      <w:r w:rsidR="00222E55" w:rsidRPr="00167CB8">
        <w:t>24</w:t>
      </w:r>
      <w:r w:rsidRPr="00167CB8">
        <w:t>, the FWC announced a review of award provisions regulating part-time employment. This review will commence in 2025 and will give further opportunity to examine issues related to part-time employment that ‘provides regular and predictable access to beneficial wages and conditions of employment’.</w:t>
      </w:r>
    </w:p>
    <w:p w14:paraId="5D45348A" w14:textId="753ACDE8" w:rsidR="00AC61A3" w:rsidRPr="00167CB8" w:rsidRDefault="00C4277B" w:rsidP="00671C88">
      <w:r w:rsidRPr="00167CB8">
        <w:t>In its recent publication on working arrangements in Australia (for August 2024)</w:t>
      </w:r>
      <w:r w:rsidR="00671C88" w:rsidRPr="00167CB8">
        <w:t>,</w:t>
      </w:r>
      <w:r w:rsidRPr="00167CB8">
        <w:t xml:space="preserve"> the ABS reports several other characteristics associated with job insecurity. For example, 2.8</w:t>
      </w:r>
      <w:r w:rsidR="00671C88" w:rsidRPr="00167CB8">
        <w:t> </w:t>
      </w:r>
      <w:r w:rsidRPr="00167CB8">
        <w:t>million employees (23% of all employees) have earnings that vary from one period to the next (excluding overtime payments), and 2.2 million workers (18% of employees) do not have a guaranteed minimum number of hours each week, while 1.2 million workers (10% of employees) do not expect to be working for their current employer in 12 months.</w:t>
      </w:r>
      <w:r w:rsidRPr="00167CB8">
        <w:rPr>
          <w:rStyle w:val="FootnoteReference"/>
          <w:rFonts w:ascii="Calibri" w:hAnsi="Calibri" w:cs="Calibri"/>
          <w:sz w:val="24"/>
          <w:szCs w:val="24"/>
        </w:rPr>
        <w:footnoteReference w:id="793"/>
      </w:r>
    </w:p>
    <w:p w14:paraId="547C03F4" w14:textId="503DFA28" w:rsidR="00337507" w:rsidRPr="00167CB8" w:rsidRDefault="00AE658F" w:rsidP="007C29C6">
      <w:pPr>
        <w:pStyle w:val="Heading5"/>
      </w:pPr>
      <w:r w:rsidRPr="00167CB8">
        <w:t>22</w:t>
      </w:r>
      <w:r w:rsidR="00337507" w:rsidRPr="00167CB8">
        <w:t>.</w:t>
      </w:r>
      <w:r w:rsidR="00B8779B" w:rsidRPr="00167CB8">
        <w:t>2</w:t>
      </w:r>
      <w:r w:rsidR="00337507" w:rsidRPr="00167CB8">
        <w:t xml:space="preserve">.4 </w:t>
      </w:r>
      <w:r w:rsidR="007C29C6" w:rsidRPr="00167CB8">
        <w:t>Job security and wage growth</w:t>
      </w:r>
    </w:p>
    <w:p w14:paraId="0DFBB0AD" w14:textId="27F9D993" w:rsidR="00B148F4" w:rsidRPr="00167CB8" w:rsidRDefault="00B148F4" w:rsidP="00B148F4">
      <w:r w:rsidRPr="00167CB8">
        <w:t xml:space="preserve">In the Chair’s </w:t>
      </w:r>
      <w:r w:rsidR="00392CF2" w:rsidRPr="00167CB8">
        <w:t>foreword</w:t>
      </w:r>
      <w:r w:rsidRPr="00167CB8">
        <w:t xml:space="preserve"> to the fourth </w:t>
      </w:r>
      <w:r w:rsidR="00392CF2" w:rsidRPr="00167CB8">
        <w:t>interim</w:t>
      </w:r>
      <w:r w:rsidRPr="00167CB8">
        <w:t xml:space="preserve"> report of the Senate Select Committee on Job Security</w:t>
      </w:r>
      <w:r w:rsidR="00222E55" w:rsidRPr="00167CB8">
        <w:t>,</w:t>
      </w:r>
      <w:r w:rsidRPr="00167CB8">
        <w:t xml:space="preserve"> they note that job insecurity is a workplace issue, a public health issue and an economic issue.</w:t>
      </w:r>
      <w:r w:rsidR="00392CF2" w:rsidRPr="00167CB8">
        <w:rPr>
          <w:rStyle w:val="FootnoteReference"/>
        </w:rPr>
        <w:footnoteReference w:id="794"/>
      </w:r>
      <w:r w:rsidRPr="00167CB8">
        <w:t xml:space="preserve"> They also note the effect of insecure work on bargaining power and wages: </w:t>
      </w:r>
    </w:p>
    <w:p w14:paraId="0BB589CF" w14:textId="6BFA3072" w:rsidR="00B148F4" w:rsidRPr="00167CB8" w:rsidRDefault="00B148F4" w:rsidP="00C83147">
      <w:pPr>
        <w:pStyle w:val="Quote"/>
      </w:pPr>
      <w:r w:rsidRPr="00167CB8">
        <w:t xml:space="preserve">The committee does not believe it is a coincidence that the steep rise in job insecurity has occurred alongside eight years of record low wage growth. </w:t>
      </w:r>
    </w:p>
    <w:p w14:paraId="4E747D13" w14:textId="7821664B" w:rsidR="00B148F4" w:rsidRPr="00167CB8" w:rsidRDefault="00B148F4" w:rsidP="00C83147">
      <w:pPr>
        <w:pStyle w:val="Quote"/>
      </w:pPr>
      <w:r w:rsidRPr="00167CB8">
        <w:t xml:space="preserve">Australians in insecure work often do not have the bargaining power to obtain wage increases. Through the use of labour hire intermediaries, </w:t>
      </w:r>
      <w:r w:rsidRPr="00167CB8">
        <w:lastRenderedPageBreak/>
        <w:t>gig platforms and dependent contracting, many insecure workers do not even have access to bargaining with their true employer.</w:t>
      </w:r>
    </w:p>
    <w:p w14:paraId="65EF288D" w14:textId="77777777" w:rsidR="00B148F4" w:rsidRPr="00167CB8" w:rsidRDefault="00B148F4" w:rsidP="00B148F4">
      <w:r w:rsidRPr="00167CB8">
        <w:t>The connection between job insecurity and sluggish wage growth has also been highlighted by a former Governor of the Reserve Bank of Australia (RBA). In a 2019 speech, he emphasised the need for a ‘pick-up in wage growth’ to support broader economic growth.</w:t>
      </w:r>
      <w:r w:rsidRPr="00167CB8">
        <w:rPr>
          <w:vertAlign w:val="superscript"/>
        </w:rPr>
        <w:footnoteReference w:id="795"/>
      </w:r>
      <w:r w:rsidRPr="00167CB8">
        <w:rPr>
          <w:vertAlign w:val="superscript"/>
        </w:rPr>
        <w:t xml:space="preserve"> </w:t>
      </w:r>
      <w:r w:rsidRPr="00167CB8">
        <w:t xml:space="preserve"> In an earlier address, he attributed stagnant wage growth to workers’ diminished bargaining power and their concerns over job security, which discouraged them from seeking higher wages or better conditions.</w:t>
      </w:r>
      <w:r w:rsidRPr="00167CB8">
        <w:rPr>
          <w:vertAlign w:val="superscript"/>
        </w:rPr>
        <w:footnoteReference w:id="796"/>
      </w:r>
      <w:r w:rsidRPr="00167CB8">
        <w:t xml:space="preserve"> </w:t>
      </w:r>
    </w:p>
    <w:p w14:paraId="4C4DDC47" w14:textId="3D762252" w:rsidR="00E73F5F" w:rsidRPr="00167CB8" w:rsidRDefault="00B148F4" w:rsidP="00E73F5F">
      <w:r w:rsidRPr="00167CB8">
        <w:t xml:space="preserve">The broader discussion on sluggish wage growth and the declining labour share of </w:t>
      </w:r>
      <w:r w:rsidR="00671C88" w:rsidRPr="00167CB8">
        <w:t>gross domestic product (</w:t>
      </w:r>
      <w:r w:rsidRPr="00167CB8">
        <w:t>GDP</w:t>
      </w:r>
      <w:r w:rsidR="00671C88" w:rsidRPr="00167CB8">
        <w:t>)</w:t>
      </w:r>
      <w:r w:rsidRPr="00167CB8">
        <w:t xml:space="preserve"> is covered in Appendix </w:t>
      </w:r>
      <w:r w:rsidR="008672CD" w:rsidRPr="00167CB8">
        <w:t>4</w:t>
      </w:r>
      <w:r w:rsidRPr="00167CB8">
        <w:t xml:space="preserve"> (Productivity) and will not be revisited here.</w:t>
      </w:r>
    </w:p>
    <w:p w14:paraId="0AF327D1" w14:textId="6129F498" w:rsidR="00B8779B" w:rsidRPr="00167CB8" w:rsidRDefault="00AE658F" w:rsidP="00B8779B">
      <w:pPr>
        <w:pStyle w:val="Heading4"/>
        <w:rPr>
          <w:rFonts w:asciiTheme="minorHAnsi" w:hAnsiTheme="minorHAnsi"/>
        </w:rPr>
      </w:pPr>
      <w:bookmarkStart w:id="282" w:name="_Toc189260278"/>
      <w:bookmarkStart w:id="283" w:name="_Toc189393594"/>
      <w:r w:rsidRPr="00167CB8">
        <w:rPr>
          <w:rFonts w:asciiTheme="minorHAnsi" w:hAnsiTheme="minorHAnsi"/>
        </w:rPr>
        <w:t>22</w:t>
      </w:r>
      <w:r w:rsidR="00B8779B" w:rsidRPr="00167CB8" w:rsidDel="00203F96">
        <w:rPr>
          <w:rFonts w:asciiTheme="minorHAnsi" w:hAnsiTheme="minorHAnsi"/>
        </w:rPr>
        <w:t>.</w:t>
      </w:r>
      <w:r w:rsidR="00B8779B" w:rsidRPr="00167CB8">
        <w:rPr>
          <w:rFonts w:asciiTheme="minorHAnsi" w:hAnsiTheme="minorHAnsi"/>
        </w:rPr>
        <w:t>3 The gender wage gap</w:t>
      </w:r>
      <w:bookmarkEnd w:id="282"/>
      <w:bookmarkEnd w:id="283"/>
    </w:p>
    <w:p w14:paraId="56FD8E11" w14:textId="1BCB9828" w:rsidR="000D43CB" w:rsidRPr="00167CB8" w:rsidRDefault="000D43CB" w:rsidP="00C27621">
      <w:r w:rsidRPr="00167CB8">
        <w:t>The previous section highlighted significant shifts in the Australian labour market, including the growing representation of women, older workers, part-time employees and casuals. It also noted that the fastest</w:t>
      </w:r>
      <w:r w:rsidR="00671C88" w:rsidRPr="00167CB8">
        <w:t xml:space="preserve"> </w:t>
      </w:r>
      <w:r w:rsidRPr="00167CB8">
        <w:t>growing sectors</w:t>
      </w:r>
      <w:r w:rsidR="00671C88" w:rsidRPr="00167CB8">
        <w:t xml:space="preserve"> </w:t>
      </w:r>
      <w:r w:rsidR="00671C88" w:rsidRPr="00167CB8">
        <w:rPr>
          <w:rFonts w:ascii="Symbol" w:eastAsia="Symbol" w:hAnsi="Symbol" w:cs="Symbol"/>
        </w:rPr>
        <w:sym w:font="Symbol" w:char="F02D"/>
      </w:r>
      <w:r w:rsidR="00671C88" w:rsidRPr="00167CB8">
        <w:t xml:space="preserve"> h</w:t>
      </w:r>
      <w:r w:rsidRPr="00167CB8">
        <w:t xml:space="preserve">ealth </w:t>
      </w:r>
      <w:r w:rsidR="00671C88" w:rsidRPr="00167CB8">
        <w:t>c</w:t>
      </w:r>
      <w:r w:rsidRPr="00167CB8">
        <w:t xml:space="preserve">are and </w:t>
      </w:r>
      <w:r w:rsidR="00671C88" w:rsidRPr="00167CB8">
        <w:t>s</w:t>
      </w:r>
      <w:r w:rsidRPr="00167CB8">
        <w:t xml:space="preserve">ocial </w:t>
      </w:r>
      <w:r w:rsidR="00671C88" w:rsidRPr="00167CB8">
        <w:t>a</w:t>
      </w:r>
      <w:r w:rsidRPr="00167CB8">
        <w:t>ssistance</w:t>
      </w:r>
      <w:r w:rsidR="00671C88" w:rsidRPr="00167CB8">
        <w:t>;</w:t>
      </w:r>
      <w:r w:rsidRPr="00167CB8">
        <w:t xml:space="preserve"> and </w:t>
      </w:r>
      <w:r w:rsidR="00671C88" w:rsidRPr="00167CB8">
        <w:t>e</w:t>
      </w:r>
      <w:r w:rsidRPr="00167CB8">
        <w:t xml:space="preserve">ducation and </w:t>
      </w:r>
      <w:r w:rsidR="00671C88" w:rsidRPr="00167CB8">
        <w:t>t</w:t>
      </w:r>
      <w:r w:rsidRPr="00167CB8">
        <w:t>raining</w:t>
      </w:r>
      <w:r w:rsidR="00671C88" w:rsidRPr="00167CB8">
        <w:t xml:space="preserve"> </w:t>
      </w:r>
      <w:r w:rsidR="00671C88" w:rsidRPr="00167CB8">
        <w:rPr>
          <w:rFonts w:ascii="Symbol" w:eastAsia="Symbol" w:hAnsi="Symbol" w:cs="Symbol"/>
        </w:rPr>
        <w:sym w:font="Symbol" w:char="F02D"/>
      </w:r>
      <w:r w:rsidR="00671C88" w:rsidRPr="00167CB8">
        <w:t xml:space="preserve"> </w:t>
      </w:r>
      <w:r w:rsidRPr="00167CB8">
        <w:t>are highly feminised industries. Understanding these trends is essential to contextualising the GWG</w:t>
      </w:r>
      <w:r w:rsidR="00671C88" w:rsidRPr="00167CB8">
        <w:t xml:space="preserve"> </w:t>
      </w:r>
      <w:r w:rsidR="00671C88" w:rsidRPr="00167CB8">
        <w:rPr>
          <w:rFonts w:ascii="Symbol" w:eastAsia="Symbol" w:hAnsi="Symbol" w:cs="Symbol"/>
        </w:rPr>
        <w:sym w:font="Symbol" w:char="F02D"/>
      </w:r>
      <w:r w:rsidR="00671C88" w:rsidRPr="00167CB8">
        <w:t xml:space="preserve"> </w:t>
      </w:r>
      <w:r w:rsidRPr="00167CB8">
        <w:t xml:space="preserve"> the focus of this section. The </w:t>
      </w:r>
      <w:r w:rsidR="00671C88" w:rsidRPr="00167CB8">
        <w:t xml:space="preserve">GWG </w:t>
      </w:r>
      <w:r w:rsidRPr="00167CB8">
        <w:t xml:space="preserve">remains a persistent challenge despite legislative and policy efforts to promote equality. </w:t>
      </w:r>
    </w:p>
    <w:p w14:paraId="58400A1A" w14:textId="0E4D0F3B" w:rsidR="000D43CB" w:rsidRPr="00167CB8" w:rsidRDefault="000D43CB" w:rsidP="00C27621">
      <w:r w:rsidRPr="00167CB8">
        <w:t xml:space="preserve">Examining the GWG is an important part of understanding the intent of the recent </w:t>
      </w:r>
      <w:r w:rsidR="00260A6C" w:rsidRPr="00167CB8">
        <w:t xml:space="preserve">Secure </w:t>
      </w:r>
      <w:r w:rsidR="00277D31" w:rsidRPr="00167CB8">
        <w:t>J</w:t>
      </w:r>
      <w:r w:rsidR="00260A6C" w:rsidRPr="00167CB8">
        <w:t>obs, Better Pay</w:t>
      </w:r>
      <w:r w:rsidRPr="00167CB8">
        <w:t xml:space="preserve"> amendments aimed at enhancing job security and advancing gender equality. While the gap has its limitations as an indicator, it remains a commonly reported high</w:t>
      </w:r>
      <w:r w:rsidR="00671C88" w:rsidRPr="00167CB8">
        <w:t>-</w:t>
      </w:r>
      <w:r w:rsidRPr="00167CB8">
        <w:t>level indicator of women’s progress in the labour market.</w:t>
      </w:r>
      <w:r w:rsidRPr="00167CB8">
        <w:rPr>
          <w:rStyle w:val="FootnoteReference"/>
          <w:rFonts w:ascii="Calibri" w:hAnsi="Calibri" w:cs="Calibri"/>
          <w:sz w:val="24"/>
          <w:szCs w:val="24"/>
        </w:rPr>
        <w:footnoteReference w:id="797"/>
      </w:r>
      <w:r w:rsidRPr="00167CB8">
        <w:t xml:space="preserve"> For example, in August 2024, when the ABS published its bi-annual </w:t>
      </w:r>
      <w:r w:rsidRPr="00167CB8">
        <w:rPr>
          <w:i/>
          <w:iCs/>
        </w:rPr>
        <w:t>Survey of Average Weekly Earnings</w:t>
      </w:r>
      <w:r w:rsidRPr="00167CB8">
        <w:t>, the Australian Government was quick to distribute its media release heralding the news on the GWG:</w:t>
      </w:r>
      <w:r w:rsidR="00671C88" w:rsidRPr="00167CB8">
        <w:rPr>
          <w:rStyle w:val="FootnoteReference"/>
        </w:rPr>
        <w:footnoteReference w:id="798"/>
      </w:r>
    </w:p>
    <w:p w14:paraId="2BD05ED0" w14:textId="1FBC9292" w:rsidR="000D43CB" w:rsidRPr="00167CB8" w:rsidRDefault="000D43CB" w:rsidP="00C83147">
      <w:pPr>
        <w:pStyle w:val="Quote"/>
      </w:pPr>
      <w:r w:rsidRPr="00167CB8">
        <w:t xml:space="preserve">New data released by the [ABS] shows the national gender pay gap is the lowest on record – today falling to 11.5 per cent …We came to Government with a commitment to help close the gender pay gap and that’s exactly what we’re seeing. That’s not a coincidence, it’s because the Government has taken action like banning pay secrecy clauses, modernising the bargaining system, enforcing transparent gender pay gap reporting and delivering pay rises for aged care and child-care workers. </w:t>
      </w:r>
    </w:p>
    <w:p w14:paraId="5B39E88C" w14:textId="3D8137C0" w:rsidR="00B8779B" w:rsidRPr="00167CB8" w:rsidRDefault="000D43CB" w:rsidP="00B8779B">
      <w:r w:rsidRPr="00167CB8">
        <w:rPr>
          <w:sz w:val="24"/>
          <w:szCs w:val="24"/>
        </w:rPr>
        <w:t>In the remainder of this section</w:t>
      </w:r>
      <w:r w:rsidR="00671C88" w:rsidRPr="00167CB8">
        <w:rPr>
          <w:sz w:val="24"/>
          <w:szCs w:val="24"/>
        </w:rPr>
        <w:t>,</w:t>
      </w:r>
      <w:r w:rsidRPr="00167CB8">
        <w:rPr>
          <w:sz w:val="24"/>
          <w:szCs w:val="24"/>
        </w:rPr>
        <w:t xml:space="preserve"> the discussion first centres on the measurement of the GWG and a discussion of its limitations as a high level indicator. Thereafter</w:t>
      </w:r>
      <w:r w:rsidR="00671C88" w:rsidRPr="00167CB8">
        <w:rPr>
          <w:sz w:val="24"/>
          <w:szCs w:val="24"/>
        </w:rPr>
        <w:t>,</w:t>
      </w:r>
      <w:r w:rsidRPr="00167CB8">
        <w:rPr>
          <w:sz w:val="24"/>
          <w:szCs w:val="24"/>
        </w:rPr>
        <w:t xml:space="preserve"> trends in the gap before 2022 and after 2022 are discussed.</w:t>
      </w:r>
    </w:p>
    <w:p w14:paraId="7AA28608" w14:textId="11F6BF33" w:rsidR="002012D2" w:rsidRPr="00167CB8" w:rsidRDefault="00AE658F" w:rsidP="002012D2">
      <w:pPr>
        <w:pStyle w:val="Heading5"/>
        <w:rPr>
          <w:rFonts w:asciiTheme="minorHAnsi" w:hAnsiTheme="minorHAnsi"/>
        </w:rPr>
      </w:pPr>
      <w:r w:rsidRPr="00167CB8">
        <w:rPr>
          <w:rFonts w:asciiTheme="minorHAnsi" w:hAnsiTheme="minorHAnsi"/>
        </w:rPr>
        <w:lastRenderedPageBreak/>
        <w:t>22</w:t>
      </w:r>
      <w:r w:rsidR="002012D2" w:rsidRPr="00167CB8">
        <w:rPr>
          <w:rFonts w:asciiTheme="minorHAnsi" w:hAnsiTheme="minorHAnsi"/>
        </w:rPr>
        <w:t>.3.1 The measurement of the gender wage gap</w:t>
      </w:r>
    </w:p>
    <w:p w14:paraId="5020ACBF" w14:textId="5E4D7726" w:rsidR="003F3FA8" w:rsidRPr="00167CB8" w:rsidRDefault="003F3FA8" w:rsidP="003F3FA8">
      <w:bookmarkStart w:id="284" w:name="_Toc188003343"/>
      <w:r w:rsidRPr="00167CB8">
        <w:t xml:space="preserve">There are several ways of measuring the </w:t>
      </w:r>
      <w:r w:rsidR="00671C88" w:rsidRPr="00167CB8">
        <w:t>GWG</w:t>
      </w:r>
      <w:r w:rsidRPr="00167CB8">
        <w:t>. Economists typically distinguish between a ‘raw’ gap and an ‘adjusted’ gap. The raw gap is a measure that simply estimates the GWG using mean or median data. The adjusted gap is a measure that is generally derived from a regression analysis and is thus able to control for gender differences in characteristics that may relate to wage differentials</w:t>
      </w:r>
      <w:r w:rsidR="00671C88" w:rsidRPr="00167CB8">
        <w:t xml:space="preserve"> </w:t>
      </w:r>
      <w:r w:rsidR="00671C88" w:rsidRPr="00167CB8">
        <w:rPr>
          <w:rFonts w:ascii="Symbol" w:eastAsia="Symbol" w:hAnsi="Symbol" w:cs="Symbol"/>
        </w:rPr>
        <w:sym w:font="Symbol" w:char="F02D"/>
      </w:r>
      <w:r w:rsidR="00671C88" w:rsidRPr="00167CB8">
        <w:t xml:space="preserve"> for example, </w:t>
      </w:r>
      <w:r w:rsidRPr="00167CB8">
        <w:t xml:space="preserve">gender differences in experience. </w:t>
      </w:r>
    </w:p>
    <w:p w14:paraId="1090081C" w14:textId="2D4E5167" w:rsidR="003F3FA8" w:rsidRPr="00167CB8" w:rsidRDefault="003F3FA8" w:rsidP="003F3FA8">
      <w:r w:rsidRPr="00167CB8">
        <w:t xml:space="preserve">Institutions such as </w:t>
      </w:r>
      <w:r w:rsidR="000D7CC0" w:rsidRPr="00167CB8">
        <w:t>Workplace Gender Equality Agency (</w:t>
      </w:r>
      <w:r w:rsidRPr="00167CB8">
        <w:t>WGEA</w:t>
      </w:r>
      <w:r w:rsidR="000D7CC0" w:rsidRPr="00167CB8">
        <w:t>)</w:t>
      </w:r>
      <w:r w:rsidRPr="00167CB8">
        <w:t xml:space="preserve"> typically report the raw GWG.</w:t>
      </w:r>
      <w:r w:rsidRPr="00167CB8">
        <w:rPr>
          <w:rStyle w:val="FootnoteReference"/>
          <w:rFonts w:ascii="Calibri" w:hAnsi="Calibri" w:cs="Calibri"/>
          <w:sz w:val="24"/>
          <w:szCs w:val="24"/>
        </w:rPr>
        <w:footnoteReference w:id="799"/>
      </w:r>
      <w:r w:rsidRPr="00167CB8">
        <w:t xml:space="preserve"> At a national level this gap is usually measured using the ABS </w:t>
      </w:r>
      <w:r w:rsidRPr="00167CB8">
        <w:rPr>
          <w:i/>
          <w:iCs/>
        </w:rPr>
        <w:t>Survey of Average Weekly Earnings</w:t>
      </w:r>
      <w:r w:rsidRPr="00167CB8">
        <w:t xml:space="preserve">. These ABS data are reported biannually in February and August of each year and provide estimates of the average weekly ordinary time earnings (AWOTE) of men and women </w:t>
      </w:r>
      <w:r w:rsidRPr="00167CB8">
        <w:rPr>
          <w:i/>
          <w:iCs/>
        </w:rPr>
        <w:t>employed full-time</w:t>
      </w:r>
      <w:r w:rsidRPr="00167CB8">
        <w:t>. The gap is typically expressed as a share (</w:t>
      </w:r>
      <w:r w:rsidR="00671C88" w:rsidRPr="00167CB8">
        <w:t>%</w:t>
      </w:r>
      <w:r w:rsidRPr="00167CB8">
        <w:t>) of male earnings (showing how much lower male earnings need to be to equal those of females).</w:t>
      </w:r>
      <w:r w:rsidRPr="00167CB8">
        <w:rPr>
          <w:rStyle w:val="FootnoteReference"/>
          <w:rFonts w:ascii="Calibri" w:hAnsi="Calibri" w:cs="Calibri"/>
          <w:sz w:val="24"/>
          <w:szCs w:val="24"/>
        </w:rPr>
        <w:footnoteReference w:id="800"/>
      </w:r>
      <w:r w:rsidRPr="00167CB8">
        <w:t xml:space="preserve"> While it would be more appropriate to include part-timers in the calculation, given that 31% of employees work part-time, such an approach is not possible with the ABS data given the absence of data on hourly wages.</w:t>
      </w:r>
      <w:r w:rsidRPr="00167CB8">
        <w:rPr>
          <w:rStyle w:val="FootnoteReference"/>
          <w:rFonts w:ascii="Calibri" w:hAnsi="Calibri" w:cs="Calibri"/>
          <w:sz w:val="24"/>
          <w:szCs w:val="24"/>
        </w:rPr>
        <w:footnoteReference w:id="801"/>
      </w:r>
    </w:p>
    <w:p w14:paraId="0093E328" w14:textId="2A65FA40" w:rsidR="003F3FA8" w:rsidRPr="00167CB8" w:rsidRDefault="003F3FA8" w:rsidP="003F3FA8">
      <w:r w:rsidRPr="00167CB8">
        <w:t>It is noted that some may hold concerns about a single aggregate indicator being used to capture progress across a range of labour market and industrial relations interventions. However, as noted earlier, it is not an uncommon approach. Assuming there are no stark changes in the composition of the workforce from period to period</w:t>
      </w:r>
      <w:r w:rsidR="00671C88" w:rsidRPr="00167CB8">
        <w:t>,</w:t>
      </w:r>
      <w:r w:rsidRPr="00167CB8">
        <w:t xml:space="preserve"> it serves as a useful metric simply because it is consistently and reliably measured and reported, publicly accessible and easily understood.</w:t>
      </w:r>
    </w:p>
    <w:p w14:paraId="59E21AA8" w14:textId="77777777" w:rsidR="00AB2CC6" w:rsidRDefault="003F3FA8" w:rsidP="00E73F5F">
      <w:r w:rsidRPr="00167CB8">
        <w:t>The alternative to reporting a raw GWG is to report an adjusted GWG. The latter is generally derived using regression analysis and a common approach is to employ the ‘dummy variable approach’. This involves including a binary variable in a pooled (male + female) wage regression, with the binary variable equal to 1 if the respondent is female and 0 otherwise. The coefficient on this variable shows the extent of the wage gap between men and women</w:t>
      </w:r>
      <w:r w:rsidR="00671C88" w:rsidRPr="00167CB8">
        <w:t>,</w:t>
      </w:r>
      <w:r w:rsidRPr="00167CB8">
        <w:t xml:space="preserve"> holding all other characteristics </w:t>
      </w:r>
      <w:r w:rsidRPr="00C262DB">
        <w:t>constant.</w:t>
      </w:r>
      <w:r w:rsidR="00A41317" w:rsidRPr="00C262DB">
        <w:t xml:space="preserve"> </w:t>
      </w:r>
    </w:p>
    <w:p w14:paraId="42447F41" w14:textId="54FA5D84" w:rsidR="00E73F5F" w:rsidRPr="00167CB8" w:rsidRDefault="00AB2CC6" w:rsidP="00E73F5F">
      <w:r>
        <w:t xml:space="preserve">Estimates of the adjusted GWG are presented in </w:t>
      </w:r>
      <w:r w:rsidR="003F3FA8" w:rsidRPr="00167CB8">
        <w:t>Appendix 1</w:t>
      </w:r>
      <w:r>
        <w:t xml:space="preserve"> (based on </w:t>
      </w:r>
      <w:r w:rsidR="00BB07F0">
        <w:t>HILDA</w:t>
      </w:r>
      <w:r w:rsidR="003F3FA8" w:rsidRPr="00167CB8">
        <w:t xml:space="preserve"> data </w:t>
      </w:r>
      <w:r w:rsidR="00BB07F0">
        <w:t xml:space="preserve">and regression </w:t>
      </w:r>
      <w:r>
        <w:t>analysis)</w:t>
      </w:r>
      <w:r w:rsidR="007E6478">
        <w:t xml:space="preserve"> and reported below</w:t>
      </w:r>
      <w:r w:rsidR="007A0A64">
        <w:t xml:space="preserve"> at section 22.3.3</w:t>
      </w:r>
      <w:r>
        <w:t xml:space="preserve">. </w:t>
      </w:r>
      <w:r w:rsidR="003F3FA8" w:rsidRPr="00167CB8">
        <w:t xml:space="preserve">The characteristics controlled for </w:t>
      </w:r>
      <w:r>
        <w:t xml:space="preserve">in the regression </w:t>
      </w:r>
      <w:r w:rsidR="003F3FA8" w:rsidRPr="00167CB8">
        <w:t>include education, experience, marital status, family status, migrant status, sector of employment, part-time status, casual status, fixed-term contract status, union membership status and whether award reliant or paid according to a collective agreement</w:t>
      </w:r>
      <w:r w:rsidR="00671C88" w:rsidRPr="00167CB8">
        <w:t xml:space="preserve"> </w:t>
      </w:r>
      <w:r w:rsidR="00671C88" w:rsidRPr="00167CB8">
        <w:rPr>
          <w:rFonts w:ascii="Symbol" w:eastAsia="Symbol" w:hAnsi="Symbol" w:cs="Symbol"/>
        </w:rPr>
        <w:t>-</w:t>
      </w:r>
      <w:r w:rsidR="00671C88" w:rsidRPr="00167CB8">
        <w:t xml:space="preserve"> i</w:t>
      </w:r>
      <w:r w:rsidR="003F3FA8" w:rsidRPr="00167CB8">
        <w:t>n other words</w:t>
      </w:r>
      <w:r w:rsidR="00671C88" w:rsidRPr="00167CB8">
        <w:t>,</w:t>
      </w:r>
      <w:r w:rsidR="003F3FA8" w:rsidRPr="00167CB8">
        <w:t xml:space="preserve"> a range of factors that correlate with wages and which could account for gender differences in pay. The regression approach effectively nets out any gender differences in wages that derive from these characteristics (e.g. gender differences in coverage of collective agreements).</w:t>
      </w:r>
    </w:p>
    <w:p w14:paraId="126B8CED" w14:textId="4211D29B" w:rsidR="009A1D5D" w:rsidRPr="00167CB8" w:rsidRDefault="00AE658F" w:rsidP="000676DE">
      <w:pPr>
        <w:pStyle w:val="Heading5"/>
        <w:rPr>
          <w:rFonts w:asciiTheme="minorHAnsi" w:hAnsiTheme="minorHAnsi"/>
        </w:rPr>
      </w:pPr>
      <w:r w:rsidRPr="00167CB8">
        <w:rPr>
          <w:rFonts w:asciiTheme="minorHAnsi" w:hAnsiTheme="minorHAnsi"/>
        </w:rPr>
        <w:lastRenderedPageBreak/>
        <w:t>22</w:t>
      </w:r>
      <w:r w:rsidR="00FE49C9" w:rsidRPr="00167CB8">
        <w:rPr>
          <w:rFonts w:asciiTheme="minorHAnsi" w:hAnsiTheme="minorHAnsi"/>
        </w:rPr>
        <w:t>.</w:t>
      </w:r>
      <w:r w:rsidR="002012D2" w:rsidRPr="00167CB8">
        <w:rPr>
          <w:rFonts w:asciiTheme="minorHAnsi" w:hAnsiTheme="minorHAnsi"/>
        </w:rPr>
        <w:t>3</w:t>
      </w:r>
      <w:r w:rsidR="00FE49C9" w:rsidRPr="00167CB8">
        <w:rPr>
          <w:rFonts w:asciiTheme="minorHAnsi" w:hAnsiTheme="minorHAnsi"/>
        </w:rPr>
        <w:t>.</w:t>
      </w:r>
      <w:r w:rsidR="002012D2" w:rsidRPr="00167CB8">
        <w:rPr>
          <w:rFonts w:asciiTheme="minorHAnsi" w:hAnsiTheme="minorHAnsi"/>
        </w:rPr>
        <w:t xml:space="preserve">2 </w:t>
      </w:r>
      <w:r w:rsidR="005E55D8" w:rsidRPr="00167CB8">
        <w:rPr>
          <w:rFonts w:asciiTheme="minorHAnsi" w:hAnsiTheme="minorHAnsi"/>
        </w:rPr>
        <w:t xml:space="preserve">The gender wage gap before </w:t>
      </w:r>
      <w:bookmarkEnd w:id="284"/>
      <w:r w:rsidR="005E55D8" w:rsidRPr="00167CB8">
        <w:rPr>
          <w:rFonts w:asciiTheme="minorHAnsi" w:hAnsiTheme="minorHAnsi"/>
        </w:rPr>
        <w:t>2022</w:t>
      </w:r>
    </w:p>
    <w:p w14:paraId="5F537B67" w14:textId="7678C1F2" w:rsidR="009A6C84" w:rsidRPr="00167CB8" w:rsidRDefault="009A6C84" w:rsidP="009A6C84">
      <w:r w:rsidRPr="00167CB8">
        <w:t xml:space="preserve">Figure </w:t>
      </w:r>
      <w:r w:rsidR="00584039" w:rsidRPr="00167CB8">
        <w:t>18</w:t>
      </w:r>
      <w:r w:rsidRPr="00167CB8">
        <w:t xml:space="preserve"> shows trends in the GWG between 1984 and 2024 based on the ABS AWOTE data. While progress has been made in reducing the gap, it is clear that progress is not linear and that there have been ‘advances’ and ‘retreats</w:t>
      </w:r>
      <w:r w:rsidR="00F06B78">
        <w:t>.</w:t>
      </w:r>
      <w:r w:rsidRPr="00167CB8">
        <w:t>’</w:t>
      </w:r>
      <w:r w:rsidRPr="00167CB8">
        <w:rPr>
          <w:rStyle w:val="FootnoteReference"/>
          <w:rFonts w:ascii="Calibri" w:hAnsi="Calibri" w:cs="Calibri"/>
          <w:sz w:val="20"/>
          <w:szCs w:val="20"/>
        </w:rPr>
        <w:footnoteReference w:id="802"/>
      </w:r>
      <w:r w:rsidRPr="00167CB8">
        <w:t xml:space="preserve"> </w:t>
      </w:r>
    </w:p>
    <w:p w14:paraId="20B211A9" w14:textId="22A6A40C" w:rsidR="009A6C84" w:rsidRPr="00167CB8" w:rsidRDefault="009A6C84" w:rsidP="009A6C84">
      <w:r w:rsidRPr="00167CB8">
        <w:t>In February 1984, at the start of the series, it was equal to 19%. It dropped to 15% in 1991, during the ‘recession we had to have’, with the result likely reflecting a greater incidence of job loss among lower paid women vis-à-vis higher paid women. It increased to 18% in 1995, dropping to 15% again 2024. In the period post the 2007</w:t>
      </w:r>
      <w:r w:rsidR="00671C88" w:rsidRPr="00167CB8">
        <w:rPr>
          <w:rFonts w:ascii="Symbol" w:eastAsia="Symbol" w:hAnsi="Symbol" w:cs="Symbol"/>
        </w:rPr>
        <w:sym w:font="Symbol" w:char="F02D"/>
      </w:r>
      <w:r w:rsidR="00671C88" w:rsidRPr="00167CB8">
        <w:t>0</w:t>
      </w:r>
      <w:r w:rsidRPr="00167CB8">
        <w:t xml:space="preserve">8 </w:t>
      </w:r>
      <w:r w:rsidR="00671C88" w:rsidRPr="00167CB8">
        <w:t xml:space="preserve">Global Financial Crisis, </w:t>
      </w:r>
      <w:r w:rsidRPr="00167CB8">
        <w:t xml:space="preserve">the gap widened, returning to 19% at May 2014. The growth during this period was likely driven by compositional changes in the labour market, such as the growth in lower paid jobs in retail and in the </w:t>
      </w:r>
      <w:r w:rsidR="00671C88" w:rsidRPr="00167CB8">
        <w:t>h</w:t>
      </w:r>
      <w:r w:rsidRPr="00167CB8">
        <w:t xml:space="preserve">ealth care and social assistance sector (see </w:t>
      </w:r>
      <w:r w:rsidR="00671C88" w:rsidRPr="00167CB8">
        <w:t xml:space="preserve">the </w:t>
      </w:r>
      <w:r w:rsidRPr="00167CB8">
        <w:t xml:space="preserve">earlier section on employment growth by industry). </w:t>
      </w:r>
    </w:p>
    <w:p w14:paraId="6A5C41CE" w14:textId="2EA89250" w:rsidR="009A6C84" w:rsidRPr="00167CB8" w:rsidRDefault="009A6C84" w:rsidP="009A6C84">
      <w:r w:rsidRPr="00167CB8">
        <w:t>The subsequent narrowing of the GWG between 2012 and 2022 could reflect several factors, including the 2012 ‘Social and Community Services’ (SACS) test case where the FWC concluded that the work performed by women in this case had been systematically undervalued due to historical gender-based bias. The FWC ordered a significant pay increase, ranging from 19% to 41% to minimum award rates.</w:t>
      </w:r>
      <w:r w:rsidRPr="00167CB8">
        <w:rPr>
          <w:rStyle w:val="FootnoteReference"/>
          <w:rFonts w:ascii="Calibri" w:hAnsi="Calibri" w:cs="Calibri"/>
          <w:sz w:val="20"/>
          <w:szCs w:val="20"/>
        </w:rPr>
        <w:footnoteReference w:id="803"/>
      </w:r>
      <w:r w:rsidRPr="00167CB8">
        <w:t xml:space="preserve"> The </w:t>
      </w:r>
      <w:r w:rsidR="00CF7756" w:rsidRPr="00167CB8">
        <w:t>Australian Government</w:t>
      </w:r>
      <w:r w:rsidRPr="00167CB8">
        <w:t xml:space="preserve"> of the day committed $3</w:t>
      </w:r>
      <w:r w:rsidR="00671C88" w:rsidRPr="00167CB8">
        <w:t> </w:t>
      </w:r>
      <w:r w:rsidRPr="00167CB8">
        <w:t>b</w:t>
      </w:r>
      <w:r w:rsidR="00671C88" w:rsidRPr="00167CB8">
        <w:t>illion</w:t>
      </w:r>
      <w:r w:rsidRPr="00167CB8">
        <w:t xml:space="preserve"> to pay for the increases. The wage adjustments were phased in over a period of time and continued until the full increase was realised in </w:t>
      </w:r>
      <w:r w:rsidR="00880B57" w:rsidRPr="00167CB8">
        <w:t>December 2020</w:t>
      </w:r>
      <w:r w:rsidRPr="00167CB8">
        <w:t>.</w:t>
      </w:r>
    </w:p>
    <w:p w14:paraId="70556BA0" w14:textId="2336BA6A" w:rsidR="009A6C84" w:rsidRPr="00167CB8" w:rsidRDefault="009A6C84" w:rsidP="009A6C84">
      <w:r w:rsidRPr="00167CB8">
        <w:t xml:space="preserve">Other potential factors include compositional effects such as increased employment by more educated women (noting that the average </w:t>
      </w:r>
      <w:r w:rsidR="003B0E10" w:rsidRPr="00167CB8">
        <w:t xml:space="preserve">woman </w:t>
      </w:r>
      <w:r w:rsidRPr="00167CB8">
        <w:t>is now more qualified than the average man), the effects of policies such as parental leave reforms, the work of WGEA, public sector pay policies, changing social norms and slowing remuneration in high</w:t>
      </w:r>
      <w:r w:rsidR="00671C88" w:rsidRPr="00167CB8">
        <w:t>-</w:t>
      </w:r>
      <w:r w:rsidRPr="00167CB8">
        <w:t>paying male sectors such as mining and manufacturing. It is beyond the scope of this chapter to engage in a detailed analysis of the factors contributing to the reductions observed here.</w:t>
      </w:r>
    </w:p>
    <w:p w14:paraId="0CBFBCC0" w14:textId="1D01467A" w:rsidR="009A6C84" w:rsidRPr="00167CB8" w:rsidRDefault="009A6C84" w:rsidP="00470AB9">
      <w:pPr>
        <w:pStyle w:val="Caption"/>
      </w:pPr>
      <w:bookmarkStart w:id="285" w:name="_Toc188470109"/>
      <w:bookmarkStart w:id="286" w:name="_Toc189310808"/>
      <w:r w:rsidRPr="00167CB8">
        <w:lastRenderedPageBreak/>
        <w:t xml:space="preserve">Figure </w:t>
      </w:r>
      <w:r w:rsidR="00C54C3C" w:rsidRPr="00167CB8">
        <w:t>18</w:t>
      </w:r>
      <w:r w:rsidRPr="00167CB8">
        <w:t>: Trends in the gender wage gap (GWG), 2012 to 2024</w:t>
      </w:r>
      <w:bookmarkEnd w:id="285"/>
      <w:bookmarkEnd w:id="286"/>
    </w:p>
    <w:p w14:paraId="32B8BB43" w14:textId="77777777" w:rsidR="009A6C84" w:rsidRPr="00167CB8" w:rsidRDefault="009A6C84" w:rsidP="00671C88">
      <w:pPr>
        <w:pStyle w:val="Source"/>
        <w:rPr>
          <w:b/>
          <w:bCs/>
        </w:rPr>
      </w:pPr>
      <w:r w:rsidRPr="00167CB8">
        <w:rPr>
          <w:noProof/>
        </w:rPr>
        <w:drawing>
          <wp:inline distT="0" distB="0" distL="0" distR="0" wp14:anchorId="2D8C6125" wp14:editId="7D77965D">
            <wp:extent cx="5731510" cy="3748405"/>
            <wp:effectExtent l="0" t="0" r="2540" b="4445"/>
            <wp:docPr id="1401766458" name="Picture 1" descr="A graph with blue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66458" name="Picture 1" descr="A graph with blue lines and white text&#10;&#10;AI-generated content may be incorrect."/>
                    <pic:cNvPicPr/>
                  </pic:nvPicPr>
                  <pic:blipFill>
                    <a:blip r:embed="rId39"/>
                    <a:stretch>
                      <a:fillRect/>
                    </a:stretch>
                  </pic:blipFill>
                  <pic:spPr>
                    <a:xfrm>
                      <a:off x="0" y="0"/>
                      <a:ext cx="5731510" cy="3748405"/>
                    </a:xfrm>
                    <a:prstGeom prst="rect">
                      <a:avLst/>
                    </a:prstGeom>
                  </pic:spPr>
                </pic:pic>
              </a:graphicData>
            </a:graphic>
          </wp:inline>
        </w:drawing>
      </w:r>
      <w:r w:rsidRPr="00167CB8">
        <w:rPr>
          <w:b/>
          <w:bCs/>
        </w:rPr>
        <w:t xml:space="preserve">Notes: </w:t>
      </w:r>
    </w:p>
    <w:p w14:paraId="73F4C4F1" w14:textId="55DA10BF" w:rsidR="009A6C84" w:rsidRPr="00167CB8" w:rsidRDefault="00671C88" w:rsidP="00671C88">
      <w:pPr>
        <w:pStyle w:val="Source"/>
      </w:pPr>
      <w:r w:rsidRPr="00167CB8">
        <w:t xml:space="preserve">1. </w:t>
      </w:r>
      <w:r w:rsidR="009A6C84" w:rsidRPr="00167CB8">
        <w:t>ABS data source: ABS 6302.0 Average Weekly Earnings, Australia, Table 2 (seasonally adjusted). Since May 2012 estimates are reported bi-annually. Prior to this they were reported on a quarterly basis.</w:t>
      </w:r>
    </w:p>
    <w:p w14:paraId="103435F5" w14:textId="797D3D51" w:rsidR="009A6C84" w:rsidRPr="00167CB8" w:rsidRDefault="00671C88" w:rsidP="00671C88">
      <w:pPr>
        <w:pStyle w:val="Source"/>
      </w:pPr>
      <w:r w:rsidRPr="00167CB8">
        <w:t xml:space="preserve">2. </w:t>
      </w:r>
      <w:r w:rsidR="009A6C84" w:rsidRPr="00167CB8">
        <w:t>The solid red</w:t>
      </w:r>
      <w:r w:rsidRPr="00167CB8">
        <w:t xml:space="preserve"> </w:t>
      </w:r>
      <w:r w:rsidR="009A6C84" w:rsidRPr="00167CB8">
        <w:t xml:space="preserve">line shows outcomes post passage of the </w:t>
      </w:r>
      <w:r w:rsidR="00260A6C" w:rsidRPr="00167CB8">
        <w:t>Secure jobs, Better Pay</w:t>
      </w:r>
      <w:r w:rsidR="009A6C84" w:rsidRPr="00167CB8">
        <w:t xml:space="preserve"> Act. The others show select important legislative principles and decisions in relation to equal pay. For further details see </w:t>
      </w:r>
      <w:r w:rsidR="00C83147" w:rsidRPr="00167CB8">
        <w:t xml:space="preserve">M </w:t>
      </w:r>
      <w:r w:rsidR="009A6C84" w:rsidRPr="00167CB8">
        <w:t xml:space="preserve">Smith and </w:t>
      </w:r>
      <w:r w:rsidR="00C83147" w:rsidRPr="00167CB8">
        <w:t xml:space="preserve">G </w:t>
      </w:r>
      <w:r w:rsidR="009A6C84" w:rsidRPr="00167CB8">
        <w:t>Whitehouse.</w:t>
      </w:r>
      <w:r w:rsidR="009A6C84" w:rsidRPr="00167CB8">
        <w:rPr>
          <w:rStyle w:val="FootnoteReference"/>
          <w:rFonts w:ascii="Calibri" w:hAnsi="Calibri" w:cs="Calibri"/>
          <w:sz w:val="20"/>
          <w:szCs w:val="20"/>
        </w:rPr>
        <w:footnoteReference w:id="804"/>
      </w:r>
    </w:p>
    <w:p w14:paraId="003A8388" w14:textId="46B57C02" w:rsidR="00E73F5F" w:rsidRPr="00167CB8" w:rsidRDefault="009A6C84" w:rsidP="00E73F5F">
      <w:r w:rsidRPr="00167CB8">
        <w:t xml:space="preserve">The vertical lines in Figure </w:t>
      </w:r>
      <w:r w:rsidR="00694935" w:rsidRPr="00167CB8">
        <w:t>18</w:t>
      </w:r>
      <w:r w:rsidRPr="00167CB8">
        <w:t xml:space="preserve"> show where significant decisions or legislative changes occurred that might be expected to impact on the gender pay gap. The evidence generally suggests a weak relationship between the amendments and the GWG. This is not surprising given that wage adjustments in major decisions are generally phased in, so a sharp break in the series would be unusual. It is also not surprising </w:t>
      </w:r>
      <w:r w:rsidR="00671C88" w:rsidRPr="00167CB8">
        <w:t xml:space="preserve">given that </w:t>
      </w:r>
      <w:r w:rsidRPr="00167CB8">
        <w:t xml:space="preserve">some amendments or decisions are more impactful than others. For example, between the SACS case in 2012 and the </w:t>
      </w:r>
      <w:r w:rsidR="00C83147" w:rsidRPr="00167CB8">
        <w:t>‘</w:t>
      </w:r>
      <w:r w:rsidRPr="00167CB8">
        <w:t>Early Childhood Education and Care</w:t>
      </w:r>
      <w:r w:rsidR="00C83147" w:rsidRPr="00167CB8">
        <w:t>’</w:t>
      </w:r>
      <w:r w:rsidRPr="00167CB8">
        <w:t xml:space="preserve"> (ECEC) case in 2015, the FWC shifted its reasoning on the basis upon which equal remuneration could be claimed and ruled that a male comparator was required. The effect was to again limit advances in pay equity in highly feminised sectors remained.</w:t>
      </w:r>
      <w:r w:rsidRPr="00167CB8">
        <w:rPr>
          <w:rStyle w:val="FootnoteReference"/>
          <w:rFonts w:ascii="Calibri" w:hAnsi="Calibri" w:cs="Calibri"/>
          <w:sz w:val="24"/>
          <w:szCs w:val="24"/>
        </w:rPr>
        <w:footnoteReference w:id="805"/>
      </w:r>
    </w:p>
    <w:p w14:paraId="480BB2AB" w14:textId="5B362E6B" w:rsidR="009A1D5D" w:rsidRPr="00167CB8" w:rsidRDefault="00AE658F" w:rsidP="000676DE">
      <w:pPr>
        <w:pStyle w:val="Heading5"/>
        <w:rPr>
          <w:rFonts w:asciiTheme="minorHAnsi" w:hAnsiTheme="minorHAnsi"/>
        </w:rPr>
      </w:pPr>
      <w:bookmarkStart w:id="287" w:name="_Toc188003344"/>
      <w:r w:rsidRPr="00167CB8">
        <w:rPr>
          <w:rFonts w:asciiTheme="minorHAnsi" w:hAnsiTheme="minorHAnsi"/>
        </w:rPr>
        <w:t>22</w:t>
      </w:r>
      <w:r w:rsidR="00FE49C9" w:rsidRPr="00167CB8">
        <w:rPr>
          <w:rFonts w:asciiTheme="minorHAnsi" w:hAnsiTheme="minorHAnsi"/>
        </w:rPr>
        <w:t>.</w:t>
      </w:r>
      <w:r w:rsidR="002012D2" w:rsidRPr="00167CB8">
        <w:rPr>
          <w:rFonts w:asciiTheme="minorHAnsi" w:hAnsiTheme="minorHAnsi"/>
        </w:rPr>
        <w:t>3</w:t>
      </w:r>
      <w:r w:rsidR="009A1D5D" w:rsidRPr="00167CB8">
        <w:rPr>
          <w:rFonts w:asciiTheme="minorHAnsi" w:hAnsiTheme="minorHAnsi"/>
        </w:rPr>
        <w:t>.</w:t>
      </w:r>
      <w:r w:rsidR="002012D2" w:rsidRPr="00167CB8">
        <w:rPr>
          <w:rFonts w:asciiTheme="minorHAnsi" w:hAnsiTheme="minorHAnsi"/>
        </w:rPr>
        <w:t>3</w:t>
      </w:r>
      <w:r w:rsidR="009A1D5D" w:rsidRPr="00167CB8">
        <w:rPr>
          <w:rFonts w:asciiTheme="minorHAnsi" w:hAnsiTheme="minorHAnsi"/>
        </w:rPr>
        <w:t xml:space="preserve"> </w:t>
      </w:r>
      <w:r w:rsidR="008D6F82" w:rsidRPr="00167CB8">
        <w:rPr>
          <w:rFonts w:asciiTheme="minorHAnsi" w:hAnsiTheme="minorHAnsi"/>
        </w:rPr>
        <w:t xml:space="preserve">The gender wage gap since </w:t>
      </w:r>
      <w:bookmarkEnd w:id="287"/>
      <w:r w:rsidR="008D6F82" w:rsidRPr="00167CB8">
        <w:rPr>
          <w:rFonts w:asciiTheme="minorHAnsi" w:hAnsiTheme="minorHAnsi"/>
        </w:rPr>
        <w:t>2022</w:t>
      </w:r>
    </w:p>
    <w:p w14:paraId="45D63058" w14:textId="5327B2E2" w:rsidR="009C69A3" w:rsidRPr="00167CB8" w:rsidRDefault="009C69A3" w:rsidP="009C69A3">
      <w:r w:rsidRPr="00167CB8">
        <w:t xml:space="preserve">Many of the </w:t>
      </w:r>
      <w:r w:rsidR="00260A6C" w:rsidRPr="00167CB8">
        <w:t xml:space="preserve">Secure </w:t>
      </w:r>
      <w:r w:rsidR="005D7BC8" w:rsidRPr="00167CB8">
        <w:t>J</w:t>
      </w:r>
      <w:r w:rsidR="00260A6C" w:rsidRPr="00167CB8">
        <w:t>obs, Better Pay</w:t>
      </w:r>
      <w:r w:rsidRPr="00167CB8">
        <w:t xml:space="preserve"> amendments that could be expected to affect the GWG came into effect on 7 December 2022.</w:t>
      </w:r>
    </w:p>
    <w:p w14:paraId="450982F3" w14:textId="0BC76D74" w:rsidR="009C69A3" w:rsidRPr="00167CB8" w:rsidRDefault="009C69A3" w:rsidP="009C69A3">
      <w:r w:rsidRPr="00167CB8">
        <w:lastRenderedPageBreak/>
        <w:t xml:space="preserve">A noteworthy change is the amendment at Part 5 of the </w:t>
      </w:r>
      <w:r w:rsidR="00260A6C" w:rsidRPr="00167CB8">
        <w:t xml:space="preserve">Secure </w:t>
      </w:r>
      <w:r w:rsidR="005D7BC8" w:rsidRPr="00167CB8">
        <w:t>J</w:t>
      </w:r>
      <w:r w:rsidR="00260A6C" w:rsidRPr="00167CB8">
        <w:t>obs, Better Pay</w:t>
      </w:r>
      <w:r w:rsidRPr="00167CB8">
        <w:t xml:space="preserve"> Act in relation to equal remuneration. Subsequent to the FWC’s position in the 2015 ECEC case and the requirement for a male comparator, the </w:t>
      </w:r>
      <w:r w:rsidR="00260A6C" w:rsidRPr="00167CB8">
        <w:t xml:space="preserve">Secure </w:t>
      </w:r>
      <w:r w:rsidR="005D7BC8" w:rsidRPr="00167CB8">
        <w:t>J</w:t>
      </w:r>
      <w:r w:rsidR="00260A6C" w:rsidRPr="00167CB8">
        <w:t>obs, Better Pay</w:t>
      </w:r>
      <w:r w:rsidR="00260A6C" w:rsidRPr="00167CB8" w:rsidDel="00260A6C">
        <w:t xml:space="preserve"> </w:t>
      </w:r>
      <w:r w:rsidR="00671C88" w:rsidRPr="00167CB8">
        <w:t xml:space="preserve">Act </w:t>
      </w:r>
      <w:r w:rsidRPr="00167CB8">
        <w:t xml:space="preserve">changed the </w:t>
      </w:r>
      <w:r w:rsidR="00886395" w:rsidRPr="00167CB8">
        <w:t>Fair Work Act</w:t>
      </w:r>
      <w:r w:rsidRPr="00167CB8">
        <w:t xml:space="preserve"> to require that, when deciding whether there is equal remuneration for work of equal or comparable value</w:t>
      </w:r>
      <w:r w:rsidR="00671C88" w:rsidRPr="00167CB8">
        <w:t>,</w:t>
      </w:r>
      <w:r w:rsidRPr="00167CB8">
        <w:t xml:space="preserve"> the FWC need not limit the comparison to similar work or require that a comparison be made with an historically male-dominated occupation or industry (s</w:t>
      </w:r>
      <w:r w:rsidR="00671C88" w:rsidRPr="00167CB8">
        <w:t> </w:t>
      </w:r>
      <w:r w:rsidRPr="00167CB8">
        <w:t>157(3B)).</w:t>
      </w:r>
    </w:p>
    <w:p w14:paraId="18F17C19" w14:textId="3B632707" w:rsidR="009C69A3" w:rsidRPr="00167CB8" w:rsidRDefault="009C69A3" w:rsidP="009C69A3">
      <w:r w:rsidRPr="00167CB8">
        <w:t xml:space="preserve">The </w:t>
      </w:r>
      <w:r w:rsidR="00260A6C" w:rsidRPr="00167CB8">
        <w:t xml:space="preserve">Secure </w:t>
      </w:r>
      <w:r w:rsidR="005D7BC8" w:rsidRPr="00167CB8">
        <w:t>J</w:t>
      </w:r>
      <w:r w:rsidR="00260A6C" w:rsidRPr="00167CB8">
        <w:t>obs, Better Pay</w:t>
      </w:r>
      <w:r w:rsidRPr="00167CB8">
        <w:t xml:space="preserve"> Act also made important changes to the Objects of the Act. These and other amendments are discussed in detail in subsequent chapters in this part</w:t>
      </w:r>
      <w:r w:rsidR="00671C88" w:rsidRPr="00167CB8">
        <w:t>,</w:t>
      </w:r>
      <w:r w:rsidRPr="00167CB8">
        <w:t xml:space="preserve"> so </w:t>
      </w:r>
      <w:r w:rsidR="00671C88" w:rsidRPr="00167CB8">
        <w:t xml:space="preserve">they </w:t>
      </w:r>
      <w:r w:rsidRPr="00167CB8">
        <w:t xml:space="preserve">are not detailed here other than to note that the changes concerning the Objects of the Act and the equal remuneration (work value) amendments have, on the balance of probabilities, significantly improved the wages for many award reliant workers. At an aggregate level this would appear to be showing up in the data reported in Figure </w:t>
      </w:r>
      <w:r w:rsidR="009B3307" w:rsidRPr="00167CB8">
        <w:t>18</w:t>
      </w:r>
      <w:r w:rsidRPr="00167CB8">
        <w:t>.</w:t>
      </w:r>
    </w:p>
    <w:p w14:paraId="03327A11" w14:textId="3AEB7A4D" w:rsidR="009C69A3" w:rsidRPr="00167CB8" w:rsidRDefault="009C69A3" w:rsidP="009C69A3">
      <w:r w:rsidRPr="00167CB8">
        <w:t xml:space="preserve">The notable reduction in the </w:t>
      </w:r>
      <w:r w:rsidR="00671C88" w:rsidRPr="00167CB8">
        <w:t xml:space="preserve">GWG </w:t>
      </w:r>
      <w:r w:rsidRPr="00167CB8">
        <w:t>since 2022 is also observed when an adjusted measure of the GWG is used. The regression results are presented in Appendix 1. The sample consists of employees aged 21</w:t>
      </w:r>
      <w:r w:rsidR="00671C88" w:rsidRPr="00167CB8">
        <w:rPr>
          <w:rFonts w:ascii="Symbol" w:eastAsia="Symbol" w:hAnsi="Symbol" w:cs="Symbol"/>
        </w:rPr>
        <w:t>-</w:t>
      </w:r>
      <w:r w:rsidRPr="00167CB8">
        <w:t>64, with the data covering the period 2008 to 2023. Estimates based on Ordinary Least Squares (OLS) show that the mean ‘adjusted’ GWG over the period 2008 to 2022 is equal to 10.8%. In 2023 it falls to 6.5%, with the change statistically significant at the 1% level.</w:t>
      </w:r>
      <w:r w:rsidRPr="00167CB8">
        <w:rPr>
          <w:rStyle w:val="FootnoteReference"/>
          <w:rFonts w:ascii="Calibri" w:hAnsi="Calibri" w:cs="Calibri"/>
          <w:sz w:val="24"/>
          <w:szCs w:val="24"/>
        </w:rPr>
        <w:footnoteReference w:id="806"/>
      </w:r>
    </w:p>
    <w:p w14:paraId="46159B93" w14:textId="7C394134" w:rsidR="00E73F5F" w:rsidRPr="00167CB8" w:rsidRDefault="009C69A3" w:rsidP="00E73F5F">
      <w:r w:rsidRPr="00167CB8">
        <w:t xml:space="preserve">There have been several major FWC determinations which have delivered significant wages increases to some award-reliant workers since 2022 – decisions which were underpinned by the </w:t>
      </w:r>
      <w:r w:rsidR="00671C88" w:rsidRPr="00167CB8">
        <w:t xml:space="preserve">Secure Jobs, Better Pay </w:t>
      </w:r>
      <w:r w:rsidRPr="00167CB8">
        <w:t xml:space="preserve">amendments. These wage increases have been in sectors with significant greater female representation. This includes decisions arising from the </w:t>
      </w:r>
      <w:r w:rsidR="00C83147" w:rsidRPr="00167CB8">
        <w:t>‘</w:t>
      </w:r>
      <w:r w:rsidRPr="00167CB8">
        <w:t>Aged Care Work Value</w:t>
      </w:r>
      <w:r w:rsidR="00C83147" w:rsidRPr="00167CB8">
        <w:t>’</w:t>
      </w:r>
      <w:r w:rsidRPr="00167CB8">
        <w:t xml:space="preserve"> </w:t>
      </w:r>
      <w:r w:rsidR="00C83147" w:rsidRPr="00167CB8">
        <w:t>c</w:t>
      </w:r>
      <w:r w:rsidRPr="00167CB8">
        <w:t>ase as well as wage increases arising from the 2022</w:t>
      </w:r>
      <w:r w:rsidR="00671C88" w:rsidRPr="00167CB8">
        <w:rPr>
          <w:rFonts w:ascii="Symbol" w:eastAsia="Symbol" w:hAnsi="Symbol" w:cs="Symbol"/>
        </w:rPr>
        <w:t>-</w:t>
      </w:r>
      <w:r w:rsidRPr="00167CB8">
        <w:t>23 and 2023</w:t>
      </w:r>
      <w:r w:rsidR="00671C88" w:rsidRPr="00167CB8">
        <w:rPr>
          <w:rFonts w:ascii="Symbol" w:eastAsia="Symbol" w:hAnsi="Symbol" w:cs="Symbol"/>
        </w:rPr>
        <w:t>-</w:t>
      </w:r>
      <w:r w:rsidRPr="00167CB8">
        <w:t xml:space="preserve">24 Annual Wage Reviews (AWRs). For further details see Appendix </w:t>
      </w:r>
      <w:r w:rsidR="007C250A" w:rsidRPr="00167CB8">
        <w:t>9</w:t>
      </w:r>
      <w:r w:rsidRPr="00167CB8">
        <w:t xml:space="preserve"> (FWC </w:t>
      </w:r>
      <w:r w:rsidR="002C618A" w:rsidRPr="00167CB8">
        <w:t>and pay equity</w:t>
      </w:r>
      <w:r w:rsidRPr="00167CB8">
        <w:t xml:space="preserve">).  </w:t>
      </w:r>
    </w:p>
    <w:p w14:paraId="04717C3F" w14:textId="76DC0354" w:rsidR="009A1D5D" w:rsidRPr="00167CB8" w:rsidRDefault="00AE658F" w:rsidP="000676DE">
      <w:pPr>
        <w:pStyle w:val="Heading4"/>
        <w:rPr>
          <w:rFonts w:asciiTheme="minorHAnsi" w:hAnsiTheme="minorHAnsi"/>
        </w:rPr>
      </w:pPr>
      <w:bookmarkStart w:id="288" w:name="_Toc189260279"/>
      <w:bookmarkStart w:id="289" w:name="_Toc189393595"/>
      <w:r w:rsidRPr="00167CB8">
        <w:rPr>
          <w:rFonts w:asciiTheme="minorHAnsi" w:hAnsiTheme="minorHAnsi"/>
        </w:rPr>
        <w:t>22</w:t>
      </w:r>
      <w:r w:rsidR="00F25CDA" w:rsidRPr="00167CB8">
        <w:rPr>
          <w:rFonts w:asciiTheme="minorHAnsi" w:hAnsiTheme="minorHAnsi"/>
        </w:rPr>
        <w:t>.</w:t>
      </w:r>
      <w:r w:rsidR="00E73F5F" w:rsidRPr="00167CB8">
        <w:rPr>
          <w:rFonts w:asciiTheme="minorHAnsi" w:hAnsiTheme="minorHAnsi"/>
        </w:rPr>
        <w:t>4</w:t>
      </w:r>
      <w:r w:rsidR="009A1D5D" w:rsidRPr="00167CB8">
        <w:rPr>
          <w:rFonts w:asciiTheme="minorHAnsi" w:hAnsiTheme="minorHAnsi"/>
        </w:rPr>
        <w:t xml:space="preserve"> Summary</w:t>
      </w:r>
      <w:r w:rsidR="00E73F5F" w:rsidRPr="00167CB8">
        <w:rPr>
          <w:rFonts w:asciiTheme="minorHAnsi" w:hAnsiTheme="minorHAnsi"/>
        </w:rPr>
        <w:t xml:space="preserve"> and conclusion</w:t>
      </w:r>
      <w:bookmarkEnd w:id="288"/>
      <w:bookmarkEnd w:id="289"/>
    </w:p>
    <w:p w14:paraId="33AF4225" w14:textId="4B106449" w:rsidR="00F53194" w:rsidRPr="00167CB8" w:rsidRDefault="00F53194" w:rsidP="00F53194">
      <w:r w:rsidRPr="00167CB8">
        <w:t>This introductory chapter provides context for recent amendments to the Fair Work Act by examining key developments in the labour market. The analysis highlights significant changes in the composition of the labour market, with female labour force participation rising from 43.4% in 1979 to 63.1% in 2024, while male participation has declined. This shift reflects broader societal trends, with more women engaged in the workforce across all life stages, particularly during their 30s (prime child-rearing years) and later in life. Despite these advances, the labour market remains highly gender-segregated, with women predominantly employed in sectors such as health</w:t>
      </w:r>
      <w:r w:rsidR="00671C88" w:rsidRPr="00167CB8">
        <w:t xml:space="preserve"> </w:t>
      </w:r>
      <w:r w:rsidRPr="00167CB8">
        <w:t>care and education, often in part-time and casual roles. The gendered nature of employment, coupled with the persistent undervaluation of women’s work, remains a key factor contributing to the gender pay gap.</w:t>
      </w:r>
    </w:p>
    <w:p w14:paraId="6589426E" w14:textId="370AA092" w:rsidR="00F53194" w:rsidRPr="00167CB8" w:rsidRDefault="00F53194" w:rsidP="00F53194">
      <w:r w:rsidRPr="00167CB8">
        <w:t xml:space="preserve">The </w:t>
      </w:r>
      <w:r w:rsidR="008F6A5E" w:rsidRPr="00167CB8">
        <w:t xml:space="preserve">Secure </w:t>
      </w:r>
      <w:r w:rsidR="00B40AC8" w:rsidRPr="00167CB8">
        <w:t>J</w:t>
      </w:r>
      <w:r w:rsidR="008F6A5E" w:rsidRPr="00167CB8">
        <w:t>obs, Better Pay</w:t>
      </w:r>
      <w:r w:rsidRPr="00167CB8">
        <w:t xml:space="preserve"> Act represents a significant legislative development aimed at improving women’s position in the labour market. Early trends in the gender pay gap suggest </w:t>
      </w:r>
      <w:r w:rsidRPr="00167CB8">
        <w:lastRenderedPageBreak/>
        <w:t xml:space="preserve">positive outcomes, </w:t>
      </w:r>
      <w:r w:rsidR="00671C88" w:rsidRPr="00167CB8">
        <w:t>al</w:t>
      </w:r>
      <w:r w:rsidRPr="00167CB8">
        <w:t>though it is recognised that the gap is just one measure of progress, and improvements will result from a combination of factors.</w:t>
      </w:r>
    </w:p>
    <w:p w14:paraId="25ACBD71" w14:textId="07903DDF" w:rsidR="00DA561E" w:rsidRPr="00167CB8" w:rsidRDefault="00F53194" w:rsidP="00DA561E">
      <w:pPr>
        <w:spacing w:after="160"/>
      </w:pPr>
      <w:r w:rsidRPr="00167CB8">
        <w:t xml:space="preserve">The following chapters analyse the specific </w:t>
      </w:r>
      <w:r w:rsidR="00584A46" w:rsidRPr="00167CB8">
        <w:t xml:space="preserve">Secure Jobs, Better Pay </w:t>
      </w:r>
      <w:r w:rsidRPr="00167CB8">
        <w:t xml:space="preserve">amendments which are broadly categorised as those relating to ‘job security and gender equality’. Each chapter outlines the amendment, explains the </w:t>
      </w:r>
      <w:r w:rsidR="00CF7756" w:rsidRPr="00167CB8">
        <w:t>Australian Government</w:t>
      </w:r>
      <w:r w:rsidRPr="00167CB8">
        <w:t xml:space="preserve">’s intent and evaluates its impact using available quantitative and qualitative evidence, as well as stakeholder feedback. The </w:t>
      </w:r>
      <w:r w:rsidR="00A750EE" w:rsidRPr="00167CB8">
        <w:t>R</w:t>
      </w:r>
      <w:r w:rsidRPr="00167CB8">
        <w:t xml:space="preserve">eview </w:t>
      </w:r>
      <w:r w:rsidR="00A750EE" w:rsidRPr="00167CB8">
        <w:t>Panel</w:t>
      </w:r>
      <w:r w:rsidRPr="00167CB8">
        <w:t xml:space="preserve"> concludes that most amendments in this </w:t>
      </w:r>
      <w:r w:rsidR="00671C88" w:rsidRPr="00167CB8">
        <w:t>p</w:t>
      </w:r>
      <w:r w:rsidRPr="00167CB8">
        <w:t>art are achieving their intended objectives. Several recommendations are proposed.</w:t>
      </w:r>
    </w:p>
    <w:p w14:paraId="32C4A5C3" w14:textId="77777777" w:rsidR="005F4BF8" w:rsidRPr="00167CB8" w:rsidRDefault="005F4BF8">
      <w:pPr>
        <w:spacing w:after="160"/>
      </w:pPr>
      <w:r w:rsidRPr="00167CB8">
        <w:br w:type="page"/>
      </w:r>
    </w:p>
    <w:p w14:paraId="630DBFB7" w14:textId="40FF6D71" w:rsidR="009A1D5D" w:rsidRPr="00167CB8" w:rsidRDefault="005641B6" w:rsidP="009A1D5D">
      <w:pPr>
        <w:pStyle w:val="Heading3"/>
        <w:rPr>
          <w:rFonts w:asciiTheme="minorHAnsi" w:hAnsiTheme="minorHAnsi"/>
        </w:rPr>
      </w:pPr>
      <w:bookmarkStart w:id="290" w:name="_Toc188003352"/>
      <w:bookmarkStart w:id="291" w:name="_Toc188277928"/>
      <w:bookmarkStart w:id="292" w:name="_Toc189260280"/>
      <w:bookmarkStart w:id="293" w:name="_Toc189393596"/>
      <w:r w:rsidRPr="00167CB8">
        <w:rPr>
          <w:rFonts w:asciiTheme="minorHAnsi" w:hAnsiTheme="minorHAnsi"/>
        </w:rPr>
        <w:lastRenderedPageBreak/>
        <w:t xml:space="preserve">Chapter </w:t>
      </w:r>
      <w:r w:rsidR="002B256D" w:rsidRPr="00167CB8">
        <w:rPr>
          <w:rFonts w:asciiTheme="minorHAnsi" w:hAnsiTheme="minorHAnsi"/>
        </w:rPr>
        <w:t>23</w:t>
      </w:r>
      <w:r w:rsidRPr="00167CB8">
        <w:rPr>
          <w:rFonts w:asciiTheme="minorHAnsi" w:hAnsiTheme="minorHAnsi"/>
        </w:rPr>
        <w:t>.</w:t>
      </w:r>
      <w:r w:rsidR="009A1D5D" w:rsidRPr="00167CB8">
        <w:rPr>
          <w:rFonts w:asciiTheme="minorHAnsi" w:hAnsiTheme="minorHAnsi"/>
        </w:rPr>
        <w:t xml:space="preserve"> Paid family and domestic violence leave</w:t>
      </w:r>
      <w:bookmarkEnd w:id="290"/>
      <w:bookmarkEnd w:id="291"/>
      <w:bookmarkEnd w:id="292"/>
      <w:bookmarkEnd w:id="293"/>
    </w:p>
    <w:p w14:paraId="2180C0B3" w14:textId="43A23701" w:rsidR="009A1D5D" w:rsidRPr="00167CB8" w:rsidRDefault="009A1D5D" w:rsidP="006000ED">
      <w:pPr>
        <w:rPr>
          <w:rFonts w:cstheme="minorHAnsi"/>
        </w:rPr>
      </w:pPr>
      <w:r w:rsidRPr="00167CB8">
        <w:rPr>
          <w:rFonts w:cstheme="minorHAnsi"/>
        </w:rPr>
        <w:t xml:space="preserve">In this chapter the focus is on Part 28 (Paid family and domestic violence leave) amendments in the </w:t>
      </w:r>
      <w:r w:rsidR="00604927" w:rsidRPr="00167CB8">
        <w:rPr>
          <w:rFonts w:cstheme="minorHAnsi"/>
        </w:rPr>
        <w:t>Secure Jobs, Better Pay</w:t>
      </w:r>
      <w:r w:rsidRPr="00167CB8">
        <w:rPr>
          <w:rFonts w:cstheme="minorHAnsi"/>
        </w:rPr>
        <w:t xml:space="preserve"> Act.</w:t>
      </w:r>
    </w:p>
    <w:p w14:paraId="3285F5F0" w14:textId="432C704F" w:rsidR="0043667F" w:rsidRPr="00167CB8" w:rsidRDefault="009A1D5D" w:rsidP="006000ED">
      <w:r w:rsidRPr="00167CB8">
        <w:t xml:space="preserve">By way of background information, </w:t>
      </w:r>
      <w:r w:rsidR="00C83147" w:rsidRPr="00167CB8">
        <w:t>f</w:t>
      </w:r>
      <w:r w:rsidRPr="00167CB8">
        <w:t xml:space="preserve">amily and </w:t>
      </w:r>
      <w:r w:rsidR="00C83147" w:rsidRPr="00167CB8">
        <w:t>d</w:t>
      </w:r>
      <w:r w:rsidRPr="00167CB8">
        <w:t xml:space="preserve">omestic </w:t>
      </w:r>
      <w:r w:rsidR="00C83147" w:rsidRPr="00167CB8">
        <w:t>v</w:t>
      </w:r>
      <w:r w:rsidRPr="00167CB8">
        <w:t xml:space="preserve">iolence </w:t>
      </w:r>
      <w:r w:rsidR="00C83147" w:rsidRPr="00167CB8">
        <w:t>l</w:t>
      </w:r>
      <w:r w:rsidRPr="00167CB8">
        <w:t>eave (FDV leave) entitlements first became part of the National Employment Standards (NES) on 31 August 2018.</w:t>
      </w:r>
      <w:r w:rsidRPr="00167CB8">
        <w:rPr>
          <w:rStyle w:val="FootnoteReference"/>
        </w:rPr>
        <w:footnoteReference w:id="807"/>
      </w:r>
      <w:r w:rsidRPr="00167CB8">
        <w:t xml:space="preserve"> Under this </w:t>
      </w:r>
      <w:r w:rsidR="00E905AB" w:rsidRPr="00167CB8">
        <w:t xml:space="preserve">new </w:t>
      </w:r>
      <w:r w:rsidRPr="00167CB8">
        <w:t xml:space="preserve">entitlement all employees (full-time, part-time and casual) were eligible for </w:t>
      </w:r>
      <w:r w:rsidR="00C83147" w:rsidRPr="00167CB8">
        <w:t xml:space="preserve">5 </w:t>
      </w:r>
      <w:r w:rsidRPr="00167CB8">
        <w:t xml:space="preserve">days of unpaid FDV leave in a 12-month period. </w:t>
      </w:r>
    </w:p>
    <w:p w14:paraId="00AD0ACE" w14:textId="70743994" w:rsidR="00FD3097" w:rsidRPr="00167CB8" w:rsidRDefault="009A1D5D" w:rsidP="006000ED">
      <w:r w:rsidRPr="00167CB8">
        <w:t xml:space="preserve">Following the passage of </w:t>
      </w:r>
      <w:r w:rsidRPr="00167CB8">
        <w:rPr>
          <w:i/>
          <w:iCs/>
        </w:rPr>
        <w:t>the Fair Work Amendment (Paid Family and Domestic Violence Leave) Act 2022</w:t>
      </w:r>
      <w:r w:rsidR="00C83147" w:rsidRPr="00167CB8">
        <w:t xml:space="preserve"> (Cth) (Paid Family and Domestic Violence Leave Act), </w:t>
      </w:r>
      <w:r w:rsidRPr="00167CB8">
        <w:t xml:space="preserve">the NES entitlement of </w:t>
      </w:r>
      <w:r w:rsidR="00C83147" w:rsidRPr="00167CB8">
        <w:t xml:space="preserve">5 </w:t>
      </w:r>
      <w:r w:rsidRPr="00167CB8">
        <w:t xml:space="preserve">days of unpaid FDV leave was replaced with a new NES entitlement of </w:t>
      </w:r>
      <w:r w:rsidR="00C83147" w:rsidRPr="00167CB8">
        <w:t xml:space="preserve">10 </w:t>
      </w:r>
      <w:r w:rsidRPr="00167CB8">
        <w:t>days of paid FDV leave per year for all employees. The Paid Family and Domestic Violence Leave Act also extended the entitlement to non-national system employees</w:t>
      </w:r>
      <w:r w:rsidR="00240335" w:rsidRPr="00167CB8">
        <w:rPr>
          <w:rStyle w:val="FootnoteReference"/>
        </w:rPr>
        <w:footnoteReference w:id="808"/>
      </w:r>
      <w:r w:rsidRPr="00167CB8">
        <w:t xml:space="preserve"> and amended the </w:t>
      </w:r>
      <w:r w:rsidR="00E60C76" w:rsidRPr="00167CB8">
        <w:t>Fair Work Act</w:t>
      </w:r>
      <w:r w:rsidRPr="00167CB8">
        <w:t xml:space="preserve"> at </w:t>
      </w:r>
      <w:r w:rsidR="00B21574" w:rsidRPr="00167CB8">
        <w:t>s</w:t>
      </w:r>
      <w:r w:rsidR="00C83147" w:rsidRPr="00167CB8">
        <w:t> </w:t>
      </w:r>
      <w:r w:rsidRPr="00167CB8">
        <w:t>536(2</w:t>
      </w:r>
      <w:r w:rsidRPr="00167CB8" w:rsidDel="00D84E73">
        <w:t>)</w:t>
      </w:r>
      <w:r w:rsidRPr="00167CB8">
        <w:t xml:space="preserve"> to require that a pay slip must </w:t>
      </w:r>
      <w:r w:rsidR="00C83147" w:rsidRPr="00167CB8">
        <w:t>‘</w:t>
      </w:r>
      <w:r w:rsidRPr="00167CB8">
        <w:t>(c) not include any information prescribed by the regulations in relation to paid family and domestic violence leave</w:t>
      </w:r>
      <w:r w:rsidR="00C83147" w:rsidRPr="00167CB8">
        <w:t>’</w:t>
      </w:r>
      <w:r w:rsidRPr="00167CB8">
        <w:t>.</w:t>
      </w:r>
      <w:r w:rsidRPr="00167CB8">
        <w:rPr>
          <w:rStyle w:val="FootnoteReference"/>
        </w:rPr>
        <w:footnoteReference w:id="809"/>
      </w:r>
      <w:r w:rsidRPr="00167CB8">
        <w:t xml:space="preserve">  </w:t>
      </w:r>
    </w:p>
    <w:p w14:paraId="636D581C" w14:textId="0D80F54A" w:rsidR="009A1D5D" w:rsidRPr="00167CB8" w:rsidRDefault="009A1D5D" w:rsidP="006000ED">
      <w:pPr>
        <w:rPr>
          <w:rFonts w:cstheme="minorHAnsi"/>
        </w:rPr>
      </w:pPr>
      <w:r w:rsidRPr="00167CB8">
        <w:t xml:space="preserve">Further amendments (outlined below) were made to </w:t>
      </w:r>
      <w:r w:rsidR="0033273D" w:rsidRPr="00167CB8">
        <w:t>s</w:t>
      </w:r>
      <w:r w:rsidR="00C83147" w:rsidRPr="00167CB8">
        <w:t> </w:t>
      </w:r>
      <w:r w:rsidRPr="00167CB8">
        <w:t xml:space="preserve">536 (Employer obligations in relation to pay slips) via the </w:t>
      </w:r>
      <w:r w:rsidR="00604927" w:rsidRPr="00167CB8">
        <w:rPr>
          <w:rFonts w:cstheme="minorHAnsi"/>
        </w:rPr>
        <w:t>Secure Jobs, Better Pay</w:t>
      </w:r>
      <w:r w:rsidRPr="00167CB8">
        <w:t xml:space="preserve"> Act.</w:t>
      </w:r>
    </w:p>
    <w:p w14:paraId="74DA1624" w14:textId="1471FEE2" w:rsidR="009A1D5D" w:rsidRPr="00167CB8" w:rsidRDefault="00500E83" w:rsidP="009A1D5D">
      <w:pPr>
        <w:pStyle w:val="Heading4"/>
        <w:rPr>
          <w:rFonts w:asciiTheme="minorHAnsi" w:hAnsiTheme="minorHAnsi"/>
        </w:rPr>
      </w:pPr>
      <w:bookmarkStart w:id="294" w:name="_Toc188003353"/>
      <w:bookmarkStart w:id="295" w:name="_Toc188277929"/>
      <w:bookmarkStart w:id="296" w:name="_Toc189260281"/>
      <w:bookmarkStart w:id="297" w:name="_Toc189393597"/>
      <w:r w:rsidRPr="00167CB8">
        <w:rPr>
          <w:rFonts w:asciiTheme="minorHAnsi" w:hAnsiTheme="minorHAnsi"/>
        </w:rPr>
        <w:t>23</w:t>
      </w:r>
      <w:r w:rsidR="00F25CDA" w:rsidRPr="00167CB8">
        <w:rPr>
          <w:rFonts w:asciiTheme="minorHAnsi" w:hAnsiTheme="minorHAnsi"/>
        </w:rPr>
        <w:t>.1</w:t>
      </w:r>
      <w:r w:rsidR="009A1D5D" w:rsidRPr="00167CB8">
        <w:rPr>
          <w:rFonts w:asciiTheme="minorHAnsi" w:hAnsiTheme="minorHAnsi"/>
        </w:rPr>
        <w:t xml:space="preserve"> Amendments </w:t>
      </w:r>
      <w:r w:rsidR="00C83147" w:rsidRPr="00167CB8">
        <w:rPr>
          <w:rFonts w:asciiTheme="minorHAnsi" w:hAnsiTheme="minorHAnsi"/>
        </w:rPr>
        <w:t>and i</w:t>
      </w:r>
      <w:r w:rsidR="009A1D5D" w:rsidRPr="00167CB8">
        <w:rPr>
          <w:rFonts w:asciiTheme="minorHAnsi" w:hAnsiTheme="minorHAnsi"/>
        </w:rPr>
        <w:t>ntent</w:t>
      </w:r>
      <w:bookmarkEnd w:id="294"/>
      <w:bookmarkEnd w:id="295"/>
      <w:bookmarkEnd w:id="296"/>
      <w:bookmarkEnd w:id="297"/>
    </w:p>
    <w:p w14:paraId="6D905976" w14:textId="0845305E" w:rsidR="009A1D5D" w:rsidRPr="00167CB8" w:rsidRDefault="009A1D5D" w:rsidP="006000ED">
      <w:pPr>
        <w:rPr>
          <w:rFonts w:cstheme="minorHAnsi"/>
        </w:rPr>
      </w:pPr>
      <w:r w:rsidRPr="00167CB8">
        <w:rPr>
          <w:rFonts w:cstheme="minorHAnsi"/>
        </w:rPr>
        <w:t xml:space="preserve">This section first outlines the main amendments </w:t>
      </w:r>
      <w:r w:rsidR="003756C5" w:rsidRPr="00167CB8">
        <w:rPr>
          <w:rFonts w:cstheme="minorHAnsi"/>
        </w:rPr>
        <w:t xml:space="preserve">at Part 28 of the </w:t>
      </w:r>
      <w:r w:rsidR="00604927" w:rsidRPr="00167CB8">
        <w:rPr>
          <w:rFonts w:cstheme="minorHAnsi"/>
        </w:rPr>
        <w:t>Secure Jobs, Better Pay</w:t>
      </w:r>
      <w:r w:rsidR="003756C5" w:rsidRPr="00167CB8">
        <w:rPr>
          <w:rFonts w:cstheme="minorHAnsi"/>
        </w:rPr>
        <w:t xml:space="preserve"> Act </w:t>
      </w:r>
      <w:r w:rsidRPr="00167CB8">
        <w:rPr>
          <w:rFonts w:cstheme="minorHAnsi"/>
        </w:rPr>
        <w:t xml:space="preserve">followed by a discussion of their intent. </w:t>
      </w:r>
    </w:p>
    <w:p w14:paraId="55C503C5" w14:textId="70BA6FC9" w:rsidR="009A1D5D" w:rsidRPr="00167CB8" w:rsidRDefault="00AE658F" w:rsidP="009A1D5D">
      <w:pPr>
        <w:pStyle w:val="Heading5"/>
        <w:rPr>
          <w:rFonts w:asciiTheme="minorHAnsi" w:hAnsiTheme="minorHAnsi"/>
        </w:rPr>
      </w:pPr>
      <w:bookmarkStart w:id="298" w:name="_Toc188003354"/>
      <w:r w:rsidRPr="00167CB8">
        <w:rPr>
          <w:rFonts w:asciiTheme="minorHAnsi" w:hAnsiTheme="minorHAnsi"/>
        </w:rPr>
        <w:t>2</w:t>
      </w:r>
      <w:r w:rsidR="00500E83" w:rsidRPr="00167CB8">
        <w:rPr>
          <w:rFonts w:asciiTheme="minorHAnsi" w:hAnsiTheme="minorHAnsi"/>
        </w:rPr>
        <w:t>3</w:t>
      </w:r>
      <w:r w:rsidR="00F25CDA" w:rsidRPr="00167CB8">
        <w:rPr>
          <w:rFonts w:asciiTheme="minorHAnsi" w:hAnsiTheme="minorHAnsi"/>
        </w:rPr>
        <w:t>.1.1.1</w:t>
      </w:r>
      <w:r w:rsidR="009A1D5D" w:rsidRPr="00167CB8">
        <w:rPr>
          <w:rFonts w:asciiTheme="minorHAnsi" w:hAnsiTheme="minorHAnsi"/>
        </w:rPr>
        <w:t xml:space="preserve"> </w:t>
      </w:r>
      <w:r w:rsidR="00604927" w:rsidRPr="00167CB8" w:rsidDel="00452D85">
        <w:rPr>
          <w:rFonts w:asciiTheme="minorHAnsi" w:hAnsiTheme="minorHAnsi"/>
        </w:rPr>
        <w:t xml:space="preserve">Secure Jobs, Better </w:t>
      </w:r>
      <w:r w:rsidR="00E42AC2" w:rsidRPr="00167CB8">
        <w:rPr>
          <w:rFonts w:asciiTheme="minorHAnsi" w:hAnsiTheme="minorHAnsi"/>
        </w:rPr>
        <w:t xml:space="preserve">Pay </w:t>
      </w:r>
      <w:r w:rsidR="00C83147" w:rsidRPr="00167CB8">
        <w:rPr>
          <w:rFonts w:asciiTheme="minorHAnsi" w:hAnsiTheme="minorHAnsi"/>
        </w:rPr>
        <w:t>a</w:t>
      </w:r>
      <w:r w:rsidR="00E42AC2" w:rsidRPr="00167CB8">
        <w:rPr>
          <w:rFonts w:asciiTheme="minorHAnsi" w:hAnsiTheme="minorHAnsi"/>
        </w:rPr>
        <w:t>mendments</w:t>
      </w:r>
      <w:r w:rsidR="00E42AC2" w:rsidRPr="00167CB8" w:rsidDel="00E42AC2">
        <w:rPr>
          <w:rFonts w:cstheme="minorHAnsi"/>
        </w:rPr>
        <w:t xml:space="preserve"> </w:t>
      </w:r>
      <w:bookmarkEnd w:id="298"/>
    </w:p>
    <w:p w14:paraId="4BDD4150" w14:textId="3501E446" w:rsidR="009A1D5D" w:rsidRPr="00167CB8" w:rsidRDefault="009A1D5D" w:rsidP="00C83147">
      <w:pPr>
        <w:rPr>
          <w:rFonts w:cstheme="minorHAnsi"/>
          <w:lang w:val="en-US"/>
        </w:rPr>
      </w:pPr>
      <w:r w:rsidRPr="00167CB8">
        <w:rPr>
          <w:rFonts w:cstheme="minorHAnsi"/>
        </w:rPr>
        <w:t xml:space="preserve">The amendment to the </w:t>
      </w:r>
      <w:r w:rsidR="00E60C76" w:rsidRPr="00167CB8">
        <w:rPr>
          <w:rFonts w:cstheme="minorHAnsi"/>
        </w:rPr>
        <w:t>Fair Work Act</w:t>
      </w:r>
      <w:r w:rsidRPr="00167CB8">
        <w:rPr>
          <w:rFonts w:cstheme="minorHAnsi"/>
        </w:rPr>
        <w:t xml:space="preserve"> arising from </w:t>
      </w:r>
      <w:r w:rsidR="00F21A03" w:rsidRPr="00167CB8">
        <w:rPr>
          <w:rFonts w:cstheme="minorHAnsi"/>
        </w:rPr>
        <w:t xml:space="preserve">Division 1 of </w:t>
      </w:r>
      <w:r w:rsidR="00374892" w:rsidRPr="00167CB8">
        <w:rPr>
          <w:rFonts w:cstheme="minorHAnsi"/>
        </w:rPr>
        <w:t xml:space="preserve">Part 28 of Schedule 1 </w:t>
      </w:r>
      <w:r w:rsidR="00537A5F" w:rsidRPr="00167CB8">
        <w:rPr>
          <w:rFonts w:cstheme="minorHAnsi"/>
        </w:rPr>
        <w:t>to</w:t>
      </w:r>
      <w:r w:rsidRPr="00167CB8" w:rsidDel="00374892">
        <w:rPr>
          <w:rFonts w:cstheme="minorHAnsi"/>
        </w:rPr>
        <w:t xml:space="preserve"> the </w:t>
      </w:r>
      <w:r w:rsidR="00604927" w:rsidRPr="00167CB8">
        <w:rPr>
          <w:rFonts w:cstheme="minorHAnsi"/>
        </w:rPr>
        <w:t>Secure Jobs, Better Pay</w:t>
      </w:r>
      <w:r w:rsidRPr="00167CB8">
        <w:rPr>
          <w:rFonts w:cstheme="minorHAnsi"/>
        </w:rPr>
        <w:t xml:space="preserve"> Act </w:t>
      </w:r>
      <w:r w:rsidR="00374892" w:rsidRPr="00167CB8">
        <w:rPr>
          <w:rFonts w:cstheme="minorHAnsi"/>
        </w:rPr>
        <w:t xml:space="preserve">primarily </w:t>
      </w:r>
      <w:r w:rsidRPr="00167CB8">
        <w:rPr>
          <w:rFonts w:cstheme="minorHAnsi"/>
        </w:rPr>
        <w:t xml:space="preserve">concern </w:t>
      </w:r>
      <w:r w:rsidR="00F21A03" w:rsidRPr="00167CB8">
        <w:rPr>
          <w:rFonts w:cstheme="minorHAnsi"/>
        </w:rPr>
        <w:t xml:space="preserve">Division 3 of </w:t>
      </w:r>
      <w:r w:rsidR="00EF42E0" w:rsidRPr="00167CB8">
        <w:rPr>
          <w:rFonts w:cstheme="minorHAnsi"/>
        </w:rPr>
        <w:t>Part 3-6</w:t>
      </w:r>
      <w:r w:rsidRPr="00167CB8">
        <w:rPr>
          <w:rFonts w:cstheme="minorHAnsi"/>
        </w:rPr>
        <w:t xml:space="preserve"> (Employer obligations in relation to employee records and pay slips)</w:t>
      </w:r>
      <w:r w:rsidR="00EF42E0" w:rsidRPr="00167CB8">
        <w:rPr>
          <w:rFonts w:cstheme="minorHAnsi"/>
        </w:rPr>
        <w:t xml:space="preserve"> of the </w:t>
      </w:r>
      <w:r w:rsidR="00E60C76" w:rsidRPr="00167CB8">
        <w:rPr>
          <w:rFonts w:cstheme="minorHAnsi"/>
        </w:rPr>
        <w:t>Fair Work Act</w:t>
      </w:r>
      <w:r w:rsidRPr="00167CB8" w:rsidDel="00EF42E0">
        <w:rPr>
          <w:rFonts w:cstheme="minorHAnsi"/>
        </w:rPr>
        <w:t>.</w:t>
      </w:r>
      <w:r w:rsidRPr="00167CB8">
        <w:rPr>
          <w:rFonts w:cstheme="minorHAnsi"/>
        </w:rPr>
        <w:t xml:space="preserve"> At </w:t>
      </w:r>
      <w:r w:rsidR="0033273D" w:rsidRPr="00167CB8">
        <w:rPr>
          <w:rFonts w:cstheme="minorHAnsi"/>
        </w:rPr>
        <w:t>s</w:t>
      </w:r>
      <w:r w:rsidR="00C83147" w:rsidRPr="00167CB8">
        <w:rPr>
          <w:rFonts w:cstheme="minorHAnsi"/>
        </w:rPr>
        <w:t> </w:t>
      </w:r>
      <w:r w:rsidRPr="00167CB8">
        <w:rPr>
          <w:rFonts w:cstheme="minorHAnsi"/>
        </w:rPr>
        <w:t xml:space="preserve">536(2) </w:t>
      </w:r>
      <w:r w:rsidR="00DC6DAA" w:rsidRPr="00167CB8">
        <w:rPr>
          <w:rFonts w:cstheme="minorHAnsi"/>
        </w:rPr>
        <w:t xml:space="preserve">of the </w:t>
      </w:r>
      <w:r w:rsidR="00E60C76" w:rsidRPr="00167CB8">
        <w:rPr>
          <w:rFonts w:cstheme="minorHAnsi"/>
        </w:rPr>
        <w:t>Fair Work Act</w:t>
      </w:r>
      <w:r w:rsidR="00DC6DAA" w:rsidRPr="00167CB8">
        <w:rPr>
          <w:rFonts w:cstheme="minorHAnsi"/>
        </w:rPr>
        <w:t>,</w:t>
      </w:r>
      <w:r w:rsidRPr="00167CB8">
        <w:rPr>
          <w:rFonts w:cstheme="minorHAnsi"/>
        </w:rPr>
        <w:t xml:space="preserve"> a new subsection </w:t>
      </w:r>
      <w:r w:rsidR="00C83147" w:rsidRPr="00167CB8">
        <w:rPr>
          <w:rFonts w:cstheme="minorHAnsi"/>
        </w:rPr>
        <w:t>(</w:t>
      </w:r>
      <w:r w:rsidRPr="00167CB8">
        <w:rPr>
          <w:rFonts w:cstheme="minorHAnsi"/>
        </w:rPr>
        <w:t>d</w:t>
      </w:r>
      <w:r w:rsidR="00C83147" w:rsidRPr="00167CB8">
        <w:rPr>
          <w:rFonts w:cstheme="minorHAnsi"/>
        </w:rPr>
        <w:t>)</w:t>
      </w:r>
      <w:r w:rsidRPr="00167CB8">
        <w:rPr>
          <w:rFonts w:cstheme="minorHAnsi"/>
        </w:rPr>
        <w:t xml:space="preserve"> has been </w:t>
      </w:r>
      <w:r w:rsidR="00103668" w:rsidRPr="00167CB8">
        <w:rPr>
          <w:rFonts w:cstheme="minorHAnsi"/>
        </w:rPr>
        <w:t xml:space="preserve">inserted </w:t>
      </w:r>
      <w:r w:rsidR="00DE2DD3" w:rsidRPr="00167CB8">
        <w:rPr>
          <w:rFonts w:cstheme="minorHAnsi"/>
        </w:rPr>
        <w:t>requiring that payslips</w:t>
      </w:r>
      <w:r w:rsidRPr="00167CB8">
        <w:rPr>
          <w:rFonts w:cstheme="minorHAnsi"/>
        </w:rPr>
        <w:t xml:space="preserve"> must</w:t>
      </w:r>
      <w:r w:rsidR="00C83147" w:rsidRPr="00167CB8">
        <w:rPr>
          <w:lang w:val="en-US"/>
        </w:rPr>
        <w:t xml:space="preserve"> ‘</w:t>
      </w:r>
      <w:r w:rsidR="00D356C4" w:rsidRPr="00167CB8">
        <w:rPr>
          <w:rFonts w:cstheme="minorHAnsi"/>
          <w:lang w:val="en-US"/>
        </w:rPr>
        <w:t>c</w:t>
      </w:r>
      <w:r w:rsidRPr="00167CB8">
        <w:rPr>
          <w:rFonts w:cstheme="minorHAnsi"/>
          <w:lang w:val="en-US"/>
        </w:rPr>
        <w:t>omply with any requirements prescribed by the regulations in relation to the reporting of paid family and domestic violence leave</w:t>
      </w:r>
      <w:r w:rsidR="00C83147" w:rsidRPr="00167CB8">
        <w:rPr>
          <w:rFonts w:cstheme="minorHAnsi"/>
          <w:lang w:val="en-US"/>
        </w:rPr>
        <w:t>’</w:t>
      </w:r>
      <w:r w:rsidRPr="00167CB8">
        <w:rPr>
          <w:lang w:val="en-US"/>
        </w:rPr>
        <w:t xml:space="preserve"> (s</w:t>
      </w:r>
      <w:r w:rsidR="00C83147" w:rsidRPr="00167CB8">
        <w:rPr>
          <w:lang w:val="en-US"/>
        </w:rPr>
        <w:t> </w:t>
      </w:r>
      <w:r w:rsidRPr="00167CB8">
        <w:rPr>
          <w:lang w:val="en-US"/>
        </w:rPr>
        <w:t>536(2)(d))</w:t>
      </w:r>
      <w:r w:rsidR="00C83147" w:rsidRPr="00167CB8">
        <w:rPr>
          <w:lang w:val="en-US"/>
        </w:rPr>
        <w:t>.</w:t>
      </w:r>
    </w:p>
    <w:p w14:paraId="021F890A" w14:textId="61258499" w:rsidR="009A1D5D" w:rsidRPr="00167CB8" w:rsidRDefault="009A1D5D" w:rsidP="006000ED">
      <w:pPr>
        <w:rPr>
          <w:rFonts w:cstheme="minorHAnsi"/>
        </w:rPr>
      </w:pPr>
      <w:r w:rsidRPr="00167CB8">
        <w:rPr>
          <w:rFonts w:cstheme="minorHAnsi"/>
        </w:rPr>
        <w:t xml:space="preserve">At </w:t>
      </w:r>
      <w:r w:rsidR="0033273D" w:rsidRPr="00167CB8">
        <w:rPr>
          <w:rFonts w:cstheme="minorHAnsi"/>
        </w:rPr>
        <w:t>s</w:t>
      </w:r>
      <w:r w:rsidR="00C83147" w:rsidRPr="00167CB8">
        <w:rPr>
          <w:rFonts w:cstheme="minorHAnsi"/>
        </w:rPr>
        <w:t> </w:t>
      </w:r>
      <w:r w:rsidRPr="00167CB8">
        <w:rPr>
          <w:rFonts w:cstheme="minorHAnsi"/>
        </w:rPr>
        <w:t xml:space="preserve">536(3) </w:t>
      </w:r>
      <w:r w:rsidR="00DC6DAA" w:rsidRPr="00167CB8">
        <w:rPr>
          <w:rFonts w:cstheme="minorHAnsi"/>
        </w:rPr>
        <w:t xml:space="preserve">of the </w:t>
      </w:r>
      <w:r w:rsidR="00E60C76" w:rsidRPr="00167CB8">
        <w:rPr>
          <w:rFonts w:cstheme="minorHAnsi"/>
        </w:rPr>
        <w:t>Fair Work Act</w:t>
      </w:r>
      <w:r w:rsidR="00DC6DAA" w:rsidRPr="00167CB8">
        <w:rPr>
          <w:rFonts w:cstheme="minorHAnsi"/>
        </w:rPr>
        <w:t xml:space="preserve"> </w:t>
      </w:r>
      <w:r w:rsidRPr="00167CB8">
        <w:rPr>
          <w:rFonts w:cstheme="minorHAnsi"/>
        </w:rPr>
        <w:t xml:space="preserve">(False or misleading pay slips) a new </w:t>
      </w:r>
      <w:r w:rsidR="00A723D3" w:rsidRPr="00167CB8">
        <w:rPr>
          <w:rFonts w:cstheme="minorHAnsi"/>
        </w:rPr>
        <w:t>subsection “3A”</w:t>
      </w:r>
      <w:r w:rsidR="00411E71" w:rsidRPr="00167CB8">
        <w:rPr>
          <w:rFonts w:cstheme="minorHAnsi"/>
        </w:rPr>
        <w:t xml:space="preserve"> </w:t>
      </w:r>
      <w:r w:rsidRPr="00167CB8">
        <w:rPr>
          <w:rFonts w:cstheme="minorHAnsi"/>
        </w:rPr>
        <w:t>(</w:t>
      </w:r>
      <w:r w:rsidR="00C83147" w:rsidRPr="00167CB8">
        <w:rPr>
          <w:rFonts w:cstheme="minorHAnsi"/>
        </w:rPr>
        <w:t>E</w:t>
      </w:r>
      <w:r w:rsidRPr="00167CB8">
        <w:rPr>
          <w:rFonts w:cstheme="minorHAnsi"/>
        </w:rPr>
        <w:t xml:space="preserve">xception: paid family and domestic violence leave) has also been </w:t>
      </w:r>
      <w:r w:rsidR="00DC6DAA" w:rsidRPr="00167CB8">
        <w:rPr>
          <w:rFonts w:cstheme="minorHAnsi"/>
        </w:rPr>
        <w:t>inserted</w:t>
      </w:r>
      <w:r w:rsidR="00C83147" w:rsidRPr="00167CB8">
        <w:rPr>
          <w:rFonts w:cstheme="minorHAnsi"/>
        </w:rPr>
        <w:t xml:space="preserve"> </w:t>
      </w:r>
      <w:r w:rsidR="00C83147" w:rsidRPr="00167CB8">
        <w:rPr>
          <w:rFonts w:cstheme="minorHAnsi"/>
          <w:lang w:val="en-US"/>
        </w:rPr>
        <w:t>(s 536(3A))</w:t>
      </w:r>
      <w:r w:rsidRPr="00167CB8">
        <w:rPr>
          <w:rFonts w:cstheme="minorHAnsi"/>
        </w:rPr>
        <w:t xml:space="preserve">: </w:t>
      </w:r>
    </w:p>
    <w:p w14:paraId="0ED8E920" w14:textId="2915B148" w:rsidR="009A1D5D" w:rsidRPr="00167CB8" w:rsidRDefault="009A1D5D" w:rsidP="00C83147">
      <w:pPr>
        <w:pStyle w:val="Quote"/>
      </w:pPr>
      <w:r w:rsidRPr="00167CB8">
        <w:t>A pay slip is not false or misleading merely because it complies with regulations made for the purposes of paragraph 2(d).</w:t>
      </w:r>
    </w:p>
    <w:p w14:paraId="6177441B" w14:textId="4DC57BE8" w:rsidR="00F82CC5" w:rsidRPr="00167CB8" w:rsidRDefault="00F82CC5" w:rsidP="006000ED">
      <w:pPr>
        <w:rPr>
          <w:rFonts w:cstheme="minorHAnsi"/>
        </w:rPr>
      </w:pPr>
      <w:r w:rsidRPr="00167CB8">
        <w:t xml:space="preserve">In brief, the </w:t>
      </w:r>
      <w:r w:rsidR="00411E71" w:rsidRPr="00167CB8">
        <w:t xml:space="preserve">above </w:t>
      </w:r>
      <w:r w:rsidRPr="00167CB8">
        <w:t xml:space="preserve">amendments to the </w:t>
      </w:r>
      <w:r w:rsidR="00E60C76" w:rsidRPr="00167CB8">
        <w:t>Fair Work Act</w:t>
      </w:r>
      <w:r w:rsidRPr="00167CB8">
        <w:t xml:space="preserve"> concern the displaying of FDV leave entitlements on pay slips. Any paid FDV leave should be recorded on the pay slip as ordinary </w:t>
      </w:r>
      <w:r w:rsidRPr="00167CB8">
        <w:lastRenderedPageBreak/>
        <w:t>hours of work or another kind of payment for performing work such as an allowance, bonus or overtime payment or another form of leave (e.g. annual leave) if an employee requests it.</w:t>
      </w:r>
      <w:r w:rsidRPr="00167CB8">
        <w:rPr>
          <w:rStyle w:val="FootnoteReference"/>
        </w:rPr>
        <w:footnoteReference w:id="810"/>
      </w:r>
      <w:r w:rsidRPr="00167CB8">
        <w:t xml:space="preserve">  </w:t>
      </w:r>
    </w:p>
    <w:p w14:paraId="7E1646F1" w14:textId="78B823EE" w:rsidR="00150495" w:rsidRPr="00167CB8" w:rsidRDefault="00150495" w:rsidP="00150495">
      <w:pPr>
        <w:rPr>
          <w:rFonts w:cstheme="minorHAnsi"/>
        </w:rPr>
      </w:pPr>
      <w:r w:rsidRPr="00167CB8">
        <w:rPr>
          <w:rFonts w:cstheme="minorHAnsi"/>
        </w:rPr>
        <w:t xml:space="preserve">These Secure Jobs, Better Pay amendments </w:t>
      </w:r>
      <w:r w:rsidRPr="00167CB8">
        <w:t>came into effect on 1 February 2023 and 9 June 2024, immediately after the commencement of associated schedules in the Paid Family and Domestic Violence Leave Act.</w:t>
      </w:r>
      <w:r w:rsidRPr="00167CB8">
        <w:rPr>
          <w:rStyle w:val="FootnoteReference"/>
        </w:rPr>
        <w:footnoteReference w:id="811"/>
      </w:r>
      <w:r w:rsidRPr="00167CB8">
        <w:t xml:space="preserve"> </w:t>
      </w:r>
    </w:p>
    <w:p w14:paraId="2F3D63BB" w14:textId="46DBD8E6" w:rsidR="009A1D5D" w:rsidRPr="00167CB8" w:rsidRDefault="00AE658F" w:rsidP="009A1D5D">
      <w:pPr>
        <w:pStyle w:val="Heading5"/>
        <w:rPr>
          <w:rFonts w:asciiTheme="minorHAnsi" w:hAnsiTheme="minorHAnsi"/>
        </w:rPr>
      </w:pPr>
      <w:bookmarkStart w:id="299" w:name="_Toc188003355"/>
      <w:r w:rsidRPr="00167CB8">
        <w:rPr>
          <w:rFonts w:asciiTheme="minorHAnsi" w:hAnsiTheme="minorHAnsi"/>
        </w:rPr>
        <w:t>2</w:t>
      </w:r>
      <w:r w:rsidR="00500E83" w:rsidRPr="00167CB8">
        <w:rPr>
          <w:rFonts w:asciiTheme="minorHAnsi" w:hAnsiTheme="minorHAnsi"/>
        </w:rPr>
        <w:t>3</w:t>
      </w:r>
      <w:r w:rsidR="0019344C" w:rsidRPr="00167CB8">
        <w:rPr>
          <w:rFonts w:asciiTheme="minorHAnsi" w:hAnsiTheme="minorHAnsi"/>
        </w:rPr>
        <w:t>.1.1.2</w:t>
      </w:r>
      <w:r w:rsidR="009A1D5D" w:rsidRPr="00167CB8">
        <w:rPr>
          <w:rFonts w:asciiTheme="minorHAnsi" w:hAnsiTheme="minorHAnsi"/>
        </w:rPr>
        <w:t xml:space="preserve"> Intent of </w:t>
      </w:r>
      <w:r w:rsidR="007D2235" w:rsidRPr="00167CB8" w:rsidDel="00452D85">
        <w:rPr>
          <w:rFonts w:asciiTheme="minorHAnsi" w:hAnsiTheme="minorHAnsi"/>
        </w:rPr>
        <w:t xml:space="preserve">Secure Jobs, Better </w:t>
      </w:r>
      <w:bookmarkEnd w:id="299"/>
      <w:r w:rsidR="00E42AC2" w:rsidRPr="00167CB8">
        <w:rPr>
          <w:rFonts w:asciiTheme="minorHAnsi" w:hAnsiTheme="minorHAnsi"/>
        </w:rPr>
        <w:t xml:space="preserve">Pay </w:t>
      </w:r>
      <w:r w:rsidR="00C83147" w:rsidRPr="00167CB8">
        <w:rPr>
          <w:rFonts w:asciiTheme="minorHAnsi" w:hAnsiTheme="minorHAnsi"/>
        </w:rPr>
        <w:t>a</w:t>
      </w:r>
      <w:r w:rsidR="00E42AC2" w:rsidRPr="00167CB8">
        <w:rPr>
          <w:rFonts w:asciiTheme="minorHAnsi" w:hAnsiTheme="minorHAnsi"/>
        </w:rPr>
        <w:t>mendments</w:t>
      </w:r>
      <w:r w:rsidR="00E42AC2" w:rsidRPr="00167CB8" w:rsidDel="00E42AC2">
        <w:rPr>
          <w:rFonts w:cstheme="minorHAnsi"/>
        </w:rPr>
        <w:t xml:space="preserve"> </w:t>
      </w:r>
    </w:p>
    <w:p w14:paraId="4D92DC31" w14:textId="1F2C47BF" w:rsidR="009A1D5D" w:rsidRPr="00167CB8" w:rsidRDefault="00F82CC5" w:rsidP="006000ED">
      <w:pPr>
        <w:rPr>
          <w:rFonts w:cstheme="minorHAnsi"/>
        </w:rPr>
      </w:pPr>
      <w:r w:rsidRPr="00167CB8">
        <w:t>The intent of these provisions was to</w:t>
      </w:r>
      <w:r w:rsidR="00EE40B4" w:rsidRPr="00167CB8">
        <w:t xml:space="preserve"> address minor, technical issues </w:t>
      </w:r>
      <w:r w:rsidR="00DE042E" w:rsidRPr="00167CB8">
        <w:t>related to the Paid Family and Domestic Violence Leave Act.</w:t>
      </w:r>
      <w:r w:rsidR="006B272C" w:rsidRPr="00167CB8">
        <w:t xml:space="preserve"> </w:t>
      </w:r>
      <w:r w:rsidR="009A1D5D" w:rsidRPr="00167CB8">
        <w:t xml:space="preserve">The </w:t>
      </w:r>
      <w:r w:rsidR="007D2235" w:rsidRPr="00167CB8">
        <w:rPr>
          <w:rFonts w:cstheme="minorHAnsi"/>
        </w:rPr>
        <w:t>Secure Jobs, Better Pay</w:t>
      </w:r>
      <w:r w:rsidR="009A1D5D" w:rsidRPr="00167CB8">
        <w:t xml:space="preserve"> amendment arose from stakeholder feedback concerning the </w:t>
      </w:r>
      <w:r w:rsidR="00CE0D42" w:rsidRPr="00167CB8">
        <w:t>operation of</w:t>
      </w:r>
      <w:r w:rsidR="009A1D5D" w:rsidRPr="00167CB8">
        <w:t xml:space="preserve"> th</w:t>
      </w:r>
      <w:r w:rsidR="00DE042E" w:rsidRPr="00167CB8">
        <w:t>is</w:t>
      </w:r>
      <w:r w:rsidR="009A1D5D" w:rsidRPr="00167CB8">
        <w:t xml:space="preserve"> </w:t>
      </w:r>
      <w:r w:rsidR="00CE0D42" w:rsidRPr="00167CB8">
        <w:t xml:space="preserve">new </w:t>
      </w:r>
      <w:r w:rsidR="009A1D5D" w:rsidRPr="00167CB8">
        <w:t xml:space="preserve">NES entitlement </w:t>
      </w:r>
      <w:r w:rsidR="00DE042E" w:rsidRPr="00167CB8">
        <w:t xml:space="preserve">to </w:t>
      </w:r>
      <w:r w:rsidR="00C83147" w:rsidRPr="00167CB8">
        <w:t xml:space="preserve">10 </w:t>
      </w:r>
      <w:r w:rsidR="009A1D5D" w:rsidRPr="00167CB8">
        <w:t xml:space="preserve">days of paid FDV leave. </w:t>
      </w:r>
      <w:r w:rsidR="00247CBE" w:rsidRPr="00167CB8">
        <w:t>A</w:t>
      </w:r>
      <w:r w:rsidR="0044695B" w:rsidRPr="00167CB8">
        <w:t>n August 2024</w:t>
      </w:r>
      <w:r w:rsidR="00247CBE" w:rsidRPr="00167CB8">
        <w:t xml:space="preserve"> </w:t>
      </w:r>
      <w:r w:rsidR="009A1D5D" w:rsidRPr="00167CB8">
        <w:t xml:space="preserve">report reviewing the </w:t>
      </w:r>
      <w:r w:rsidR="00247CBE" w:rsidRPr="00167CB8">
        <w:t>operation of this new entitlement</w:t>
      </w:r>
      <w:r w:rsidR="009A1D5D" w:rsidRPr="00167CB8">
        <w:t xml:space="preserve"> noted that stakeholders were concerned that </w:t>
      </w:r>
      <w:r w:rsidR="00C83147" w:rsidRPr="00167CB8">
        <w:t>‘</w:t>
      </w:r>
      <w:r w:rsidR="009A1D5D" w:rsidRPr="00167CB8">
        <w:t>recording the leave as miscellaneous/other leave might make it identifiable to perpetrators as paid FDV leave</w:t>
      </w:r>
      <w:r w:rsidR="00C83147" w:rsidRPr="00167CB8">
        <w:t>’.</w:t>
      </w:r>
      <w:r w:rsidR="009A1D5D" w:rsidRPr="00167CB8">
        <w:rPr>
          <w:rStyle w:val="FootnoteReference"/>
        </w:rPr>
        <w:footnoteReference w:id="812"/>
      </w:r>
    </w:p>
    <w:p w14:paraId="16161FE4" w14:textId="00C92177" w:rsidR="009A1D5D" w:rsidRPr="00167CB8" w:rsidRDefault="009A1D5D" w:rsidP="006000ED">
      <w:pPr>
        <w:rPr>
          <w:rFonts w:cstheme="minorHAnsi"/>
        </w:rPr>
      </w:pPr>
      <w:r w:rsidRPr="00167CB8">
        <w:rPr>
          <w:rFonts w:cstheme="minorHAnsi"/>
        </w:rPr>
        <w:t>The second amendment (concerning s</w:t>
      </w:r>
      <w:r w:rsidR="00C83147" w:rsidRPr="00167CB8">
        <w:rPr>
          <w:rFonts w:cstheme="minorHAnsi"/>
        </w:rPr>
        <w:t> </w:t>
      </w:r>
      <w:r w:rsidRPr="00167CB8">
        <w:rPr>
          <w:rFonts w:cstheme="minorHAnsi"/>
        </w:rPr>
        <w:t xml:space="preserve">536(3A)) is designed to protect employers from penalties that may arise from issuing what would otherwise be false or misleading pay slips. </w:t>
      </w:r>
    </w:p>
    <w:p w14:paraId="69D22A5E" w14:textId="449C2AD2" w:rsidR="009A1D5D" w:rsidRPr="00167CB8" w:rsidRDefault="009A1D5D" w:rsidP="006000ED">
      <w:pPr>
        <w:rPr>
          <w:rFonts w:cstheme="minorHAnsi"/>
        </w:rPr>
      </w:pPr>
      <w:r w:rsidRPr="00167CB8">
        <w:rPr>
          <w:rFonts w:cstheme="minorHAnsi"/>
        </w:rPr>
        <w:t>The civil remedy provisions were also updated to permit an affected person to apply for a court order for any breach of the additional provision concerning pay slips.</w:t>
      </w:r>
    </w:p>
    <w:p w14:paraId="3EB04F5C" w14:textId="34E00326" w:rsidR="009A1D5D" w:rsidRPr="00167CB8" w:rsidRDefault="00AE658F" w:rsidP="009A1D5D">
      <w:pPr>
        <w:pStyle w:val="Heading4"/>
        <w:rPr>
          <w:rFonts w:asciiTheme="minorHAnsi" w:hAnsiTheme="minorHAnsi"/>
        </w:rPr>
      </w:pPr>
      <w:bookmarkStart w:id="300" w:name="_Toc188003356"/>
      <w:bookmarkStart w:id="301" w:name="_Toc188277930"/>
      <w:bookmarkStart w:id="302" w:name="_Toc189260282"/>
      <w:bookmarkStart w:id="303" w:name="_Toc189393598"/>
      <w:r w:rsidRPr="00167CB8">
        <w:rPr>
          <w:rFonts w:asciiTheme="minorHAnsi" w:hAnsiTheme="minorHAnsi"/>
        </w:rPr>
        <w:t>2</w:t>
      </w:r>
      <w:r w:rsidR="00500E83" w:rsidRPr="00167CB8">
        <w:rPr>
          <w:rFonts w:asciiTheme="minorHAnsi" w:hAnsiTheme="minorHAnsi"/>
        </w:rPr>
        <w:t>3</w:t>
      </w:r>
      <w:r w:rsidR="000845BE" w:rsidRPr="00167CB8">
        <w:rPr>
          <w:rFonts w:asciiTheme="minorHAnsi" w:hAnsiTheme="minorHAnsi"/>
        </w:rPr>
        <w:t>.2</w:t>
      </w:r>
      <w:r w:rsidR="009A1D5D" w:rsidRPr="00167CB8">
        <w:rPr>
          <w:rFonts w:asciiTheme="minorHAnsi" w:hAnsiTheme="minorHAnsi"/>
        </w:rPr>
        <w:t xml:space="preserve"> Impact </w:t>
      </w:r>
      <w:r w:rsidR="00C83147" w:rsidRPr="00167CB8">
        <w:rPr>
          <w:rFonts w:asciiTheme="minorHAnsi" w:hAnsiTheme="minorHAnsi"/>
        </w:rPr>
        <w:t>and i</w:t>
      </w:r>
      <w:r w:rsidR="009A1D5D" w:rsidRPr="00167CB8">
        <w:rPr>
          <w:rFonts w:asciiTheme="minorHAnsi" w:hAnsiTheme="minorHAnsi"/>
        </w:rPr>
        <w:t>ssues</w:t>
      </w:r>
      <w:bookmarkEnd w:id="300"/>
      <w:bookmarkEnd w:id="301"/>
      <w:bookmarkEnd w:id="302"/>
      <w:bookmarkEnd w:id="303"/>
    </w:p>
    <w:p w14:paraId="0CE155E4" w14:textId="1A980B06" w:rsidR="009A1D5D" w:rsidRPr="00167CB8" w:rsidRDefault="009A1D5D" w:rsidP="006000ED">
      <w:pPr>
        <w:rPr>
          <w:rFonts w:cstheme="minorHAnsi"/>
        </w:rPr>
      </w:pPr>
      <w:r w:rsidRPr="00167CB8">
        <w:rPr>
          <w:rFonts w:cstheme="minorHAnsi"/>
        </w:rPr>
        <w:t>This section summarises the key data and information considered by the Review Panel in evaluating the amendments discussed above</w:t>
      </w:r>
      <w:r w:rsidR="00A70DD9" w:rsidRPr="00167CB8">
        <w:rPr>
          <w:rFonts w:cstheme="minorHAnsi"/>
        </w:rPr>
        <w:t>.</w:t>
      </w:r>
    </w:p>
    <w:p w14:paraId="3BA8BAA9" w14:textId="7CB55305" w:rsidR="009A1D5D" w:rsidRPr="00167CB8" w:rsidRDefault="00AE658F" w:rsidP="009A1D5D">
      <w:pPr>
        <w:pStyle w:val="Heading5"/>
        <w:rPr>
          <w:rFonts w:asciiTheme="minorHAnsi" w:hAnsiTheme="minorHAnsi"/>
        </w:rPr>
      </w:pPr>
      <w:bookmarkStart w:id="304" w:name="_Toc188003357"/>
      <w:r w:rsidRPr="00167CB8">
        <w:rPr>
          <w:rFonts w:asciiTheme="minorHAnsi" w:hAnsiTheme="minorHAnsi"/>
        </w:rPr>
        <w:t>2</w:t>
      </w:r>
      <w:r w:rsidR="00500E83" w:rsidRPr="00167CB8">
        <w:rPr>
          <w:rFonts w:asciiTheme="minorHAnsi" w:hAnsiTheme="minorHAnsi"/>
        </w:rPr>
        <w:t>3</w:t>
      </w:r>
      <w:r w:rsidR="000845BE" w:rsidRPr="00167CB8">
        <w:rPr>
          <w:rFonts w:asciiTheme="minorHAnsi" w:hAnsiTheme="minorHAnsi"/>
        </w:rPr>
        <w:t>.2.1</w:t>
      </w:r>
      <w:r w:rsidR="009A1D5D" w:rsidRPr="00167CB8">
        <w:rPr>
          <w:rFonts w:asciiTheme="minorHAnsi" w:hAnsiTheme="minorHAnsi"/>
        </w:rPr>
        <w:t xml:space="preserve"> Quantitative </w:t>
      </w:r>
      <w:r w:rsidR="00C83147" w:rsidRPr="00167CB8">
        <w:rPr>
          <w:rFonts w:asciiTheme="minorHAnsi" w:hAnsiTheme="minorHAnsi"/>
        </w:rPr>
        <w:t>e</w:t>
      </w:r>
      <w:r w:rsidR="009A1D5D" w:rsidRPr="00167CB8">
        <w:rPr>
          <w:rFonts w:asciiTheme="minorHAnsi" w:hAnsiTheme="minorHAnsi"/>
        </w:rPr>
        <w:t>vidence</w:t>
      </w:r>
      <w:bookmarkEnd w:id="304"/>
    </w:p>
    <w:p w14:paraId="530DAD06" w14:textId="60892543" w:rsidR="009A1D5D" w:rsidRPr="00167CB8" w:rsidRDefault="009A1D5D" w:rsidP="006000ED">
      <w:r w:rsidRPr="00167CB8">
        <w:t xml:space="preserve">In the </w:t>
      </w:r>
      <w:r w:rsidRPr="00167CB8">
        <w:rPr>
          <w:rFonts w:cstheme="minorHAnsi"/>
        </w:rPr>
        <w:t>report</w:t>
      </w:r>
      <w:r w:rsidRPr="00167CB8">
        <w:t xml:space="preserve"> of the </w:t>
      </w:r>
      <w:r w:rsidR="00C83147" w:rsidRPr="00167CB8">
        <w:t>I</w:t>
      </w:r>
      <w:r w:rsidRPr="00167CB8">
        <w:t xml:space="preserve">ndependent </w:t>
      </w:r>
      <w:r w:rsidR="00C83147" w:rsidRPr="00167CB8">
        <w:t>R</w:t>
      </w:r>
      <w:r w:rsidRPr="00167CB8">
        <w:t xml:space="preserve">eview of the </w:t>
      </w:r>
      <w:r w:rsidRPr="00167CB8">
        <w:rPr>
          <w:i/>
          <w:iCs/>
        </w:rPr>
        <w:t>Fair Work Amendment (Paid Family and Domestic Violence Leave) Act 2022</w:t>
      </w:r>
      <w:r w:rsidRPr="00167CB8">
        <w:t xml:space="preserve"> the review team notes that there are </w:t>
      </w:r>
      <w:r w:rsidR="00C83147" w:rsidRPr="00167CB8">
        <w:t>‘</w:t>
      </w:r>
      <w:r w:rsidRPr="00167CB8">
        <w:t>limitations on obtaining accurate data on paid FDV leave</w:t>
      </w:r>
      <w:r w:rsidR="00C83147" w:rsidRPr="00167CB8">
        <w:t>’</w:t>
      </w:r>
      <w:r w:rsidRPr="00167CB8">
        <w:t xml:space="preserve"> and that</w:t>
      </w:r>
      <w:r w:rsidR="00C83147" w:rsidRPr="00167CB8">
        <w:t>,</w:t>
      </w:r>
      <w:r w:rsidRPr="00167CB8">
        <w:t xml:space="preserve"> because paid FDV leave could not be recorded on pay slips</w:t>
      </w:r>
      <w:r w:rsidR="00C83147" w:rsidRPr="00167CB8">
        <w:t>,</w:t>
      </w:r>
      <w:r w:rsidRPr="00167CB8">
        <w:t xml:space="preserve"> there was no administrative data to review.</w:t>
      </w:r>
      <w:r w:rsidRPr="00167CB8">
        <w:rPr>
          <w:rStyle w:val="FootnoteReference"/>
        </w:rPr>
        <w:footnoteReference w:id="813"/>
      </w:r>
      <w:r w:rsidRPr="00167CB8">
        <w:t xml:space="preserve"> The same data limitations face the Review Panel. </w:t>
      </w:r>
    </w:p>
    <w:p w14:paraId="4EB3B1E5" w14:textId="08677540" w:rsidR="009A1D5D" w:rsidRPr="00167CB8" w:rsidRDefault="00AE658F" w:rsidP="009A1D5D">
      <w:pPr>
        <w:pStyle w:val="Heading5"/>
        <w:rPr>
          <w:rFonts w:asciiTheme="minorHAnsi" w:hAnsiTheme="minorHAnsi"/>
        </w:rPr>
      </w:pPr>
      <w:bookmarkStart w:id="305" w:name="_Toc188003358"/>
      <w:r w:rsidRPr="00167CB8">
        <w:rPr>
          <w:rFonts w:asciiTheme="minorHAnsi" w:hAnsiTheme="minorHAnsi"/>
        </w:rPr>
        <w:t>2</w:t>
      </w:r>
      <w:r w:rsidR="00500E83" w:rsidRPr="00167CB8">
        <w:rPr>
          <w:rFonts w:asciiTheme="minorHAnsi" w:hAnsiTheme="minorHAnsi"/>
        </w:rPr>
        <w:t>3</w:t>
      </w:r>
      <w:r w:rsidR="000845BE" w:rsidRPr="00167CB8">
        <w:rPr>
          <w:rFonts w:asciiTheme="minorHAnsi" w:hAnsiTheme="minorHAnsi"/>
        </w:rPr>
        <w:t>.2.2</w:t>
      </w:r>
      <w:r w:rsidR="009A1D5D" w:rsidRPr="00167CB8">
        <w:rPr>
          <w:rFonts w:asciiTheme="minorHAnsi" w:hAnsiTheme="minorHAnsi"/>
        </w:rPr>
        <w:t xml:space="preserve"> Qualitative </w:t>
      </w:r>
      <w:r w:rsidR="00C83147" w:rsidRPr="00167CB8">
        <w:rPr>
          <w:rFonts w:asciiTheme="minorHAnsi" w:hAnsiTheme="minorHAnsi"/>
        </w:rPr>
        <w:t>e</w:t>
      </w:r>
      <w:r w:rsidR="009A1D5D" w:rsidRPr="00167CB8">
        <w:rPr>
          <w:rFonts w:asciiTheme="minorHAnsi" w:hAnsiTheme="minorHAnsi"/>
        </w:rPr>
        <w:t>vidence</w:t>
      </w:r>
      <w:bookmarkEnd w:id="305"/>
    </w:p>
    <w:p w14:paraId="5EBC7B8D" w14:textId="4FC94824" w:rsidR="009A1D5D" w:rsidRPr="00167CB8" w:rsidRDefault="00A537C8" w:rsidP="006000ED">
      <w:pPr>
        <w:rPr>
          <w:rFonts w:cstheme="minorHAnsi"/>
        </w:rPr>
      </w:pPr>
      <w:r w:rsidRPr="00167CB8">
        <w:rPr>
          <w:rFonts w:cstheme="minorHAnsi"/>
        </w:rPr>
        <w:t xml:space="preserve">The Review Panel is not aware of any </w:t>
      </w:r>
      <w:r w:rsidR="009B68FE" w:rsidRPr="00167CB8">
        <w:rPr>
          <w:rFonts w:cstheme="minorHAnsi"/>
        </w:rPr>
        <w:t xml:space="preserve">significant </w:t>
      </w:r>
      <w:r w:rsidRPr="00167CB8">
        <w:rPr>
          <w:rFonts w:cstheme="minorHAnsi"/>
        </w:rPr>
        <w:t>qualitative evidence in relation to these amendments.</w:t>
      </w:r>
    </w:p>
    <w:p w14:paraId="7FDCB67F" w14:textId="53CB439E" w:rsidR="009A1D5D" w:rsidRPr="00167CB8" w:rsidRDefault="00AE658F" w:rsidP="009A1D5D">
      <w:pPr>
        <w:pStyle w:val="Heading5"/>
        <w:rPr>
          <w:rFonts w:asciiTheme="minorHAnsi" w:hAnsiTheme="minorHAnsi"/>
        </w:rPr>
      </w:pPr>
      <w:bookmarkStart w:id="306" w:name="_Toc188003359"/>
      <w:r w:rsidRPr="00167CB8">
        <w:rPr>
          <w:rFonts w:asciiTheme="minorHAnsi" w:hAnsiTheme="minorHAnsi"/>
        </w:rPr>
        <w:t>2</w:t>
      </w:r>
      <w:r w:rsidR="00500E83" w:rsidRPr="00167CB8">
        <w:rPr>
          <w:rFonts w:asciiTheme="minorHAnsi" w:hAnsiTheme="minorHAnsi"/>
        </w:rPr>
        <w:t>3</w:t>
      </w:r>
      <w:r w:rsidR="000845BE" w:rsidRPr="00167CB8">
        <w:rPr>
          <w:rFonts w:asciiTheme="minorHAnsi" w:hAnsiTheme="minorHAnsi"/>
        </w:rPr>
        <w:t>.2.3</w:t>
      </w:r>
      <w:r w:rsidR="009A1D5D" w:rsidRPr="00167CB8">
        <w:rPr>
          <w:rFonts w:asciiTheme="minorHAnsi" w:hAnsiTheme="minorHAnsi"/>
        </w:rPr>
        <w:t xml:space="preserve"> Stakeholder views</w:t>
      </w:r>
      <w:bookmarkEnd w:id="306"/>
    </w:p>
    <w:p w14:paraId="51522404" w14:textId="7701ACC1" w:rsidR="009A1D5D" w:rsidRPr="00167CB8" w:rsidRDefault="009A1D5D" w:rsidP="006000ED">
      <w:pPr>
        <w:rPr>
          <w:rFonts w:cstheme="minorHAnsi"/>
        </w:rPr>
      </w:pPr>
      <w:r w:rsidRPr="00167CB8">
        <w:rPr>
          <w:rFonts w:cstheme="minorHAnsi"/>
        </w:rPr>
        <w:t xml:space="preserve">The dominant view in consultations and submissions </w:t>
      </w:r>
      <w:r w:rsidR="00C83147" w:rsidRPr="00167CB8">
        <w:rPr>
          <w:rFonts w:cstheme="minorHAnsi"/>
        </w:rPr>
        <w:t xml:space="preserve">to </w:t>
      </w:r>
      <w:r w:rsidRPr="00167CB8">
        <w:rPr>
          <w:rFonts w:cstheme="minorHAnsi"/>
        </w:rPr>
        <w:t xml:space="preserve">the Review was that this pay slip amendment is important and welcomed. </w:t>
      </w:r>
    </w:p>
    <w:p w14:paraId="573C8D49" w14:textId="164D70A3" w:rsidR="009A1D5D" w:rsidRPr="00167CB8" w:rsidRDefault="009A1D5D" w:rsidP="006000ED">
      <w:pPr>
        <w:rPr>
          <w:rFonts w:cstheme="minorHAnsi"/>
        </w:rPr>
      </w:pPr>
      <w:r w:rsidRPr="00167CB8">
        <w:rPr>
          <w:rFonts w:cstheme="minorHAnsi"/>
        </w:rPr>
        <w:lastRenderedPageBreak/>
        <w:t xml:space="preserve">The Review Panel heard that employers play a critical role in creating a safe and supportive environment for employees and that it is important that they understand their legal obligations and that noncompliance could lead to legal repercussions. </w:t>
      </w:r>
    </w:p>
    <w:p w14:paraId="49050F92" w14:textId="759A45D8" w:rsidR="009A1D5D" w:rsidRPr="00167CB8" w:rsidRDefault="009A1D5D" w:rsidP="006000ED">
      <w:pPr>
        <w:rPr>
          <w:rFonts w:cstheme="minorHAnsi"/>
        </w:rPr>
      </w:pPr>
      <w:r w:rsidRPr="00167CB8">
        <w:t xml:space="preserve">The </w:t>
      </w:r>
      <w:r w:rsidRPr="00167CB8">
        <w:rPr>
          <w:rFonts w:cstheme="minorHAnsi"/>
        </w:rPr>
        <w:t>Review</w:t>
      </w:r>
      <w:r w:rsidRPr="00167CB8">
        <w:t xml:space="preserve"> Panel also notes that the FWO provides clear guidelines on employers’ legal obligations concerning paid FDV leave. This includes information and recommendations concerning the treatment of pay slips.</w:t>
      </w:r>
      <w:r w:rsidRPr="00167CB8">
        <w:rPr>
          <w:rStyle w:val="FootnoteReference"/>
        </w:rPr>
        <w:footnoteReference w:id="814"/>
      </w:r>
      <w:r w:rsidRPr="00167CB8">
        <w:t xml:space="preserve">  </w:t>
      </w:r>
    </w:p>
    <w:p w14:paraId="62333D03" w14:textId="389BEB14" w:rsidR="009A1D5D" w:rsidRPr="00167CB8" w:rsidRDefault="00AE658F" w:rsidP="009A1D5D">
      <w:pPr>
        <w:pStyle w:val="Heading4"/>
        <w:rPr>
          <w:rFonts w:asciiTheme="minorHAnsi" w:hAnsiTheme="minorHAnsi"/>
        </w:rPr>
      </w:pPr>
      <w:bookmarkStart w:id="307" w:name="_Toc188003360"/>
      <w:bookmarkStart w:id="308" w:name="_Toc188277931"/>
      <w:bookmarkStart w:id="309" w:name="_Toc189260283"/>
      <w:bookmarkStart w:id="310" w:name="_Toc189393599"/>
      <w:r w:rsidRPr="00167CB8">
        <w:rPr>
          <w:rFonts w:asciiTheme="minorHAnsi" w:hAnsiTheme="minorHAnsi"/>
        </w:rPr>
        <w:t>2</w:t>
      </w:r>
      <w:r w:rsidR="00500E83" w:rsidRPr="00167CB8">
        <w:rPr>
          <w:rFonts w:asciiTheme="minorHAnsi" w:hAnsiTheme="minorHAnsi"/>
        </w:rPr>
        <w:t>3</w:t>
      </w:r>
      <w:r w:rsidR="000845BE" w:rsidRPr="00167CB8">
        <w:rPr>
          <w:rFonts w:asciiTheme="minorHAnsi" w:hAnsiTheme="minorHAnsi"/>
        </w:rPr>
        <w:t>.3</w:t>
      </w:r>
      <w:r w:rsidR="009A1D5D" w:rsidRPr="00167CB8">
        <w:rPr>
          <w:rFonts w:asciiTheme="minorHAnsi" w:hAnsiTheme="minorHAnsi"/>
        </w:rPr>
        <w:t xml:space="preserve"> Findings </w:t>
      </w:r>
      <w:r w:rsidR="00C83147" w:rsidRPr="00167CB8">
        <w:rPr>
          <w:rFonts w:asciiTheme="minorHAnsi" w:hAnsiTheme="minorHAnsi"/>
        </w:rPr>
        <w:t>and r</w:t>
      </w:r>
      <w:r w:rsidR="009A1D5D" w:rsidRPr="00167CB8">
        <w:rPr>
          <w:rFonts w:asciiTheme="minorHAnsi" w:hAnsiTheme="minorHAnsi"/>
        </w:rPr>
        <w:t>ecommendations</w:t>
      </w:r>
      <w:bookmarkEnd w:id="307"/>
      <w:bookmarkEnd w:id="308"/>
      <w:bookmarkEnd w:id="309"/>
      <w:bookmarkEnd w:id="310"/>
    </w:p>
    <w:p w14:paraId="621538B9" w14:textId="77777777" w:rsidR="00C75022" w:rsidRPr="00167CB8" w:rsidRDefault="009A1D5D" w:rsidP="006000ED">
      <w:pPr>
        <w:rPr>
          <w:rFonts w:cstheme="minorHAnsi"/>
        </w:rPr>
      </w:pPr>
      <w:r w:rsidRPr="00167CB8">
        <w:rPr>
          <w:rFonts w:cstheme="minorHAnsi"/>
        </w:rPr>
        <w:t xml:space="preserve">Based on stakeholder views, the Review Panel is satisfied that the </w:t>
      </w:r>
      <w:r w:rsidR="007D2235" w:rsidRPr="00167CB8">
        <w:rPr>
          <w:rFonts w:cstheme="minorHAnsi"/>
        </w:rPr>
        <w:t>Secure Jobs, Better Pay</w:t>
      </w:r>
      <w:r w:rsidRPr="00167CB8">
        <w:rPr>
          <w:rFonts w:cstheme="minorHAnsi"/>
        </w:rPr>
        <w:t xml:space="preserve"> amendments concerning pay slips are having their intended effect and there are no unintended effects. </w:t>
      </w:r>
    </w:p>
    <w:p w14:paraId="62B88849" w14:textId="75F8BA6F" w:rsidR="009A1D5D" w:rsidRPr="00167CB8" w:rsidRDefault="009A1D5D" w:rsidP="006000ED">
      <w:pPr>
        <w:rPr>
          <w:rFonts w:cstheme="minorHAnsi"/>
        </w:rPr>
      </w:pPr>
      <w:r w:rsidRPr="00167CB8">
        <w:rPr>
          <w:rFonts w:cstheme="minorHAnsi"/>
        </w:rPr>
        <w:t xml:space="preserve">Accordingly, </w:t>
      </w:r>
      <w:r w:rsidR="00E31033" w:rsidRPr="00167CB8">
        <w:rPr>
          <w:rFonts w:cstheme="minorHAnsi"/>
        </w:rPr>
        <w:t>the Panel</w:t>
      </w:r>
      <w:r w:rsidRPr="00167CB8">
        <w:rPr>
          <w:rFonts w:cstheme="minorHAnsi"/>
        </w:rPr>
        <w:t xml:space="preserve"> makes no recommendations in relation to the</w:t>
      </w:r>
      <w:r w:rsidR="00E31033" w:rsidRPr="00167CB8">
        <w:rPr>
          <w:rFonts w:cstheme="minorHAnsi"/>
        </w:rPr>
        <w:t>se amendments.</w:t>
      </w:r>
      <w:r w:rsidRPr="00167CB8">
        <w:rPr>
          <w:rFonts w:cstheme="minorHAnsi"/>
        </w:rPr>
        <w:t xml:space="preserve"> </w:t>
      </w:r>
    </w:p>
    <w:p w14:paraId="350EC2A0" w14:textId="78AD5717" w:rsidR="009A1D5D" w:rsidRPr="00167CB8" w:rsidRDefault="00DA561E" w:rsidP="00DA561E">
      <w:pPr>
        <w:spacing w:after="160"/>
        <w:rPr>
          <w:rFonts w:cstheme="minorHAnsi"/>
        </w:rPr>
      </w:pPr>
      <w:r w:rsidRPr="00167CB8">
        <w:rPr>
          <w:rFonts w:cstheme="minorHAnsi"/>
        </w:rPr>
        <w:br w:type="page"/>
      </w:r>
    </w:p>
    <w:p w14:paraId="5C513D72" w14:textId="581C0832" w:rsidR="009A1D5D" w:rsidRPr="00167CB8" w:rsidRDefault="000845BE" w:rsidP="009A1D5D">
      <w:pPr>
        <w:pStyle w:val="Heading3"/>
        <w:rPr>
          <w:rFonts w:asciiTheme="minorHAnsi" w:hAnsiTheme="minorHAnsi"/>
        </w:rPr>
      </w:pPr>
      <w:bookmarkStart w:id="311" w:name="_Toc188003361"/>
      <w:bookmarkStart w:id="312" w:name="_Toc188277932"/>
      <w:bookmarkStart w:id="313" w:name="_Toc189260284"/>
      <w:bookmarkStart w:id="314" w:name="_Toc189393600"/>
      <w:r w:rsidRPr="00167CB8">
        <w:rPr>
          <w:rFonts w:asciiTheme="minorHAnsi" w:hAnsiTheme="minorHAnsi"/>
        </w:rPr>
        <w:lastRenderedPageBreak/>
        <w:t xml:space="preserve">Chapter </w:t>
      </w:r>
      <w:r w:rsidR="00FF5446" w:rsidRPr="00167CB8">
        <w:rPr>
          <w:rFonts w:asciiTheme="minorHAnsi" w:hAnsiTheme="minorHAnsi"/>
        </w:rPr>
        <w:t>24</w:t>
      </w:r>
      <w:r w:rsidRPr="00167CB8">
        <w:rPr>
          <w:rFonts w:asciiTheme="minorHAnsi" w:hAnsiTheme="minorHAnsi"/>
        </w:rPr>
        <w:t>.</w:t>
      </w:r>
      <w:r w:rsidR="009A1D5D" w:rsidRPr="00167CB8">
        <w:rPr>
          <w:rFonts w:asciiTheme="minorHAnsi" w:hAnsiTheme="minorHAnsi"/>
        </w:rPr>
        <w:t xml:space="preserve"> Objects of the Fair Work Act</w:t>
      </w:r>
      <w:bookmarkEnd w:id="311"/>
      <w:bookmarkEnd w:id="312"/>
      <w:bookmarkEnd w:id="313"/>
      <w:bookmarkEnd w:id="314"/>
    </w:p>
    <w:p w14:paraId="33AF31F4" w14:textId="49A8CCED" w:rsidR="009A1D5D" w:rsidRPr="00167CB8" w:rsidRDefault="009A1D5D" w:rsidP="006000ED">
      <w:pPr>
        <w:rPr>
          <w:rFonts w:cstheme="minorHAnsi"/>
        </w:rPr>
      </w:pPr>
      <w:r w:rsidRPr="00167CB8">
        <w:rPr>
          <w:rFonts w:cstheme="minorHAnsi"/>
        </w:rPr>
        <w:t xml:space="preserve">In this chapter the focus is on Part 4 (Objects of the Fair Work Act) amendments in the </w:t>
      </w:r>
      <w:r w:rsidR="000D7321" w:rsidRPr="00167CB8">
        <w:rPr>
          <w:rFonts w:cstheme="minorHAnsi"/>
        </w:rPr>
        <w:t>Secure Jobs, Better Pay</w:t>
      </w:r>
      <w:r w:rsidRPr="00167CB8">
        <w:rPr>
          <w:rFonts w:cstheme="minorHAnsi"/>
        </w:rPr>
        <w:t xml:space="preserve"> Act.  </w:t>
      </w:r>
    </w:p>
    <w:p w14:paraId="631C3AED" w14:textId="455ACD00" w:rsidR="009A1D5D" w:rsidRPr="00167CB8" w:rsidRDefault="00500E83" w:rsidP="009A1D5D">
      <w:pPr>
        <w:pStyle w:val="Heading4"/>
        <w:rPr>
          <w:rFonts w:asciiTheme="minorHAnsi" w:hAnsiTheme="minorHAnsi"/>
        </w:rPr>
      </w:pPr>
      <w:bookmarkStart w:id="315" w:name="_Toc188003362"/>
      <w:bookmarkStart w:id="316" w:name="_Toc188277933"/>
      <w:bookmarkStart w:id="317" w:name="_Toc189260285"/>
      <w:bookmarkStart w:id="318" w:name="_Toc189393601"/>
      <w:r w:rsidRPr="00167CB8">
        <w:rPr>
          <w:rFonts w:asciiTheme="minorHAnsi" w:hAnsiTheme="minorHAnsi"/>
        </w:rPr>
        <w:t>24</w:t>
      </w:r>
      <w:r w:rsidR="00EE2CFB" w:rsidRPr="00167CB8">
        <w:rPr>
          <w:rFonts w:asciiTheme="minorHAnsi" w:hAnsiTheme="minorHAnsi"/>
        </w:rPr>
        <w:t>.1</w:t>
      </w:r>
      <w:r w:rsidR="009A1D5D" w:rsidRPr="00167CB8">
        <w:rPr>
          <w:rFonts w:asciiTheme="minorHAnsi" w:hAnsiTheme="minorHAnsi"/>
        </w:rPr>
        <w:t xml:space="preserve"> Amendments </w:t>
      </w:r>
      <w:r w:rsidR="00C83147" w:rsidRPr="00167CB8">
        <w:rPr>
          <w:rFonts w:asciiTheme="minorHAnsi" w:hAnsiTheme="minorHAnsi"/>
        </w:rPr>
        <w:t>and i</w:t>
      </w:r>
      <w:r w:rsidR="009A1D5D" w:rsidRPr="00167CB8">
        <w:rPr>
          <w:rFonts w:asciiTheme="minorHAnsi" w:hAnsiTheme="minorHAnsi"/>
        </w:rPr>
        <w:t>ntent</w:t>
      </w:r>
      <w:bookmarkEnd w:id="315"/>
      <w:bookmarkEnd w:id="316"/>
      <w:bookmarkEnd w:id="317"/>
      <w:bookmarkEnd w:id="318"/>
    </w:p>
    <w:p w14:paraId="4D0D7568" w14:textId="4AA4B86E" w:rsidR="009A1D5D" w:rsidRPr="00167CB8" w:rsidRDefault="009A1D5D" w:rsidP="006000ED">
      <w:pPr>
        <w:rPr>
          <w:rFonts w:cstheme="minorHAnsi"/>
        </w:rPr>
      </w:pPr>
      <w:r w:rsidRPr="00167CB8">
        <w:rPr>
          <w:rFonts w:cstheme="minorHAnsi"/>
        </w:rPr>
        <w:t xml:space="preserve">An overarching goal of the </w:t>
      </w:r>
      <w:r w:rsidR="000D7321" w:rsidRPr="00167CB8">
        <w:rPr>
          <w:rFonts w:cstheme="minorHAnsi"/>
        </w:rPr>
        <w:t>Secure Jobs, Better Pay</w:t>
      </w:r>
      <w:r w:rsidRPr="00167CB8">
        <w:rPr>
          <w:rFonts w:cstheme="minorHAnsi"/>
        </w:rPr>
        <w:t xml:space="preserve"> Act is to enhance productivity and real wage growth by fostering job security and advancing gender equality. The objects of the </w:t>
      </w:r>
      <w:r w:rsidR="00E60C76" w:rsidRPr="00167CB8">
        <w:rPr>
          <w:rFonts w:cstheme="minorHAnsi"/>
        </w:rPr>
        <w:t>Fair Work Act</w:t>
      </w:r>
      <w:r w:rsidRPr="00167CB8">
        <w:rPr>
          <w:rFonts w:cstheme="minorHAnsi"/>
        </w:rPr>
        <w:t xml:space="preserve"> have, therefore, been amended to ensure that </w:t>
      </w:r>
      <w:r w:rsidR="00464DC4" w:rsidRPr="00167CB8">
        <w:rPr>
          <w:rFonts w:cstheme="minorHAnsi"/>
        </w:rPr>
        <w:t xml:space="preserve">the </w:t>
      </w:r>
      <w:r w:rsidR="00886395" w:rsidRPr="00167CB8">
        <w:rPr>
          <w:rFonts w:cstheme="minorHAnsi"/>
        </w:rPr>
        <w:t>Fair Work Act</w:t>
      </w:r>
      <w:r w:rsidR="00464DC4" w:rsidRPr="00167CB8">
        <w:rPr>
          <w:rFonts w:cstheme="minorHAnsi"/>
        </w:rPr>
        <w:t xml:space="preserve"> </w:t>
      </w:r>
      <w:r w:rsidRPr="00167CB8">
        <w:rPr>
          <w:rFonts w:cstheme="minorHAnsi"/>
        </w:rPr>
        <w:t xml:space="preserve">promotes job security and gender equality and that the </w:t>
      </w:r>
      <w:r w:rsidR="00C83147" w:rsidRPr="00167CB8">
        <w:rPr>
          <w:rFonts w:cstheme="minorHAnsi"/>
        </w:rPr>
        <w:t>Fair Work Commission (</w:t>
      </w:r>
      <w:r w:rsidRPr="00167CB8">
        <w:rPr>
          <w:rFonts w:cstheme="minorHAnsi"/>
        </w:rPr>
        <w:t>FWC</w:t>
      </w:r>
      <w:r w:rsidR="00C83147" w:rsidRPr="00167CB8">
        <w:rPr>
          <w:rFonts w:cstheme="minorHAnsi"/>
        </w:rPr>
        <w:t>)</w:t>
      </w:r>
      <w:r w:rsidRPr="00167CB8">
        <w:rPr>
          <w:rFonts w:cstheme="minorHAnsi"/>
        </w:rPr>
        <w:t xml:space="preserve"> takes account of job security and gender equality in its modern awards and minimum wage determinations. </w:t>
      </w:r>
    </w:p>
    <w:p w14:paraId="185DF26C" w14:textId="2C444388" w:rsidR="009A1D5D" w:rsidRPr="00167CB8" w:rsidRDefault="00500E83" w:rsidP="00E42AC2">
      <w:pPr>
        <w:pStyle w:val="Heading5"/>
        <w:tabs>
          <w:tab w:val="left" w:pos="709"/>
        </w:tabs>
        <w:rPr>
          <w:rFonts w:asciiTheme="minorHAnsi" w:hAnsiTheme="minorHAnsi"/>
        </w:rPr>
      </w:pPr>
      <w:bookmarkStart w:id="319" w:name="_Toc188003363"/>
      <w:r w:rsidRPr="00167CB8">
        <w:rPr>
          <w:rFonts w:asciiTheme="minorHAnsi" w:hAnsiTheme="minorHAnsi"/>
        </w:rPr>
        <w:t>24</w:t>
      </w:r>
      <w:r w:rsidR="00EE2CFB" w:rsidRPr="00167CB8">
        <w:rPr>
          <w:rFonts w:asciiTheme="minorHAnsi" w:hAnsiTheme="minorHAnsi"/>
        </w:rPr>
        <w:t>.1.1</w:t>
      </w:r>
      <w:r w:rsidR="009A1D5D" w:rsidRPr="00167CB8">
        <w:rPr>
          <w:rFonts w:asciiTheme="minorHAnsi" w:hAnsiTheme="minorHAnsi"/>
        </w:rPr>
        <w:t xml:space="preserve"> </w:t>
      </w:r>
      <w:bookmarkEnd w:id="319"/>
      <w:r w:rsidR="00E42AC2" w:rsidRPr="00167CB8">
        <w:rPr>
          <w:rFonts w:asciiTheme="minorHAnsi" w:hAnsiTheme="minorHAnsi"/>
        </w:rPr>
        <w:t xml:space="preserve">Secure Jobs, Better Pay </w:t>
      </w:r>
      <w:r w:rsidR="00C83147" w:rsidRPr="00167CB8">
        <w:rPr>
          <w:rFonts w:asciiTheme="minorHAnsi" w:hAnsiTheme="minorHAnsi"/>
        </w:rPr>
        <w:t>a</w:t>
      </w:r>
      <w:r w:rsidR="00E42AC2" w:rsidRPr="00167CB8">
        <w:rPr>
          <w:rFonts w:asciiTheme="minorHAnsi" w:hAnsiTheme="minorHAnsi"/>
        </w:rPr>
        <w:t>mendments</w:t>
      </w:r>
    </w:p>
    <w:p w14:paraId="6729D254" w14:textId="3772C004" w:rsidR="009A1D5D" w:rsidRPr="00167CB8" w:rsidRDefault="00DA4646" w:rsidP="006000ED">
      <w:pPr>
        <w:rPr>
          <w:rFonts w:cstheme="minorHAnsi"/>
        </w:rPr>
      </w:pPr>
      <w:r w:rsidRPr="00167CB8">
        <w:rPr>
          <w:rFonts w:cstheme="minorHAnsi"/>
        </w:rPr>
        <w:t xml:space="preserve">Division 2 of </w:t>
      </w:r>
      <w:r w:rsidR="00D74989" w:rsidRPr="00167CB8">
        <w:rPr>
          <w:rFonts w:cstheme="minorHAnsi"/>
        </w:rPr>
        <w:t>Part 1-</w:t>
      </w:r>
      <w:r w:rsidR="006847A0" w:rsidRPr="00167CB8">
        <w:rPr>
          <w:rFonts w:cstheme="minorHAnsi"/>
        </w:rPr>
        <w:t>1</w:t>
      </w:r>
      <w:r w:rsidR="009A1D5D" w:rsidRPr="00167CB8">
        <w:rPr>
          <w:rFonts w:cstheme="minorHAnsi"/>
        </w:rPr>
        <w:t xml:space="preserve">, </w:t>
      </w:r>
      <w:r w:rsidR="00610C58" w:rsidRPr="00167CB8">
        <w:rPr>
          <w:rFonts w:cstheme="minorHAnsi"/>
        </w:rPr>
        <w:t>s</w:t>
      </w:r>
      <w:r w:rsidR="00C83147" w:rsidRPr="00167CB8">
        <w:rPr>
          <w:rFonts w:cstheme="minorHAnsi"/>
        </w:rPr>
        <w:t> </w:t>
      </w:r>
      <w:r w:rsidR="009A1D5D" w:rsidRPr="00167CB8">
        <w:rPr>
          <w:rFonts w:cstheme="minorHAnsi"/>
        </w:rPr>
        <w:t xml:space="preserve">3, of the </w:t>
      </w:r>
      <w:r w:rsidR="00E60C76" w:rsidRPr="00167CB8">
        <w:rPr>
          <w:rFonts w:cstheme="minorHAnsi"/>
        </w:rPr>
        <w:t>Fair Work Act</w:t>
      </w:r>
      <w:r w:rsidR="009A1D5D" w:rsidRPr="00167CB8">
        <w:rPr>
          <w:rFonts w:cstheme="minorHAnsi"/>
        </w:rPr>
        <w:t xml:space="preserve"> concerns the Objects of the Act. </w:t>
      </w:r>
    </w:p>
    <w:p w14:paraId="4A76CA17" w14:textId="0FB42369" w:rsidR="009A1D5D" w:rsidRPr="00167CB8" w:rsidRDefault="004018DF" w:rsidP="006000ED">
      <w:pPr>
        <w:rPr>
          <w:rFonts w:cstheme="minorHAnsi"/>
        </w:rPr>
      </w:pPr>
      <w:r w:rsidRPr="00167CB8">
        <w:rPr>
          <w:rFonts w:cstheme="minorHAnsi"/>
        </w:rPr>
        <w:t>T</w:t>
      </w:r>
      <w:r w:rsidR="009A1D5D" w:rsidRPr="00167CB8">
        <w:rPr>
          <w:rFonts w:cstheme="minorHAnsi"/>
        </w:rPr>
        <w:t xml:space="preserve">he </w:t>
      </w:r>
      <w:r w:rsidRPr="00167CB8">
        <w:rPr>
          <w:rFonts w:cstheme="minorHAnsi"/>
        </w:rPr>
        <w:t>Fair Work Act</w:t>
      </w:r>
      <w:r w:rsidR="009A1D5D" w:rsidRPr="00167CB8">
        <w:rPr>
          <w:rFonts w:cstheme="minorHAnsi"/>
        </w:rPr>
        <w:t xml:space="preserve"> </w:t>
      </w:r>
      <w:r w:rsidR="00C83147" w:rsidRPr="00167CB8">
        <w:rPr>
          <w:rFonts w:cstheme="minorHAnsi"/>
        </w:rPr>
        <w:t>O</w:t>
      </w:r>
      <w:r w:rsidR="009A1D5D" w:rsidRPr="00167CB8">
        <w:rPr>
          <w:rFonts w:cstheme="minorHAnsi"/>
        </w:rPr>
        <w:t>bject was amended to include the object of promoting job security and gender equality.</w:t>
      </w:r>
      <w:r w:rsidRPr="00167CB8">
        <w:rPr>
          <w:rStyle w:val="FootnoteReference"/>
          <w:rFonts w:cstheme="minorHAnsi"/>
        </w:rPr>
        <w:footnoteReference w:id="815"/>
      </w:r>
      <w:r w:rsidR="009A1D5D" w:rsidRPr="00167CB8">
        <w:rPr>
          <w:rFonts w:cstheme="minorHAnsi"/>
        </w:rPr>
        <w:t xml:space="preserve"> Section 3 now reads as follows:</w:t>
      </w:r>
    </w:p>
    <w:p w14:paraId="4A33AB92" w14:textId="0CBF2713" w:rsidR="009A1D5D" w:rsidRPr="00167CB8" w:rsidRDefault="009A1D5D" w:rsidP="00C83147">
      <w:pPr>
        <w:pStyle w:val="Quote"/>
      </w:pPr>
      <w:r w:rsidRPr="00167CB8">
        <w:t xml:space="preserve">3 </w:t>
      </w:r>
      <w:r w:rsidRPr="00167CB8">
        <w:tab/>
        <w:t>Object of this Act</w:t>
      </w:r>
    </w:p>
    <w:p w14:paraId="3B49EA5D" w14:textId="77777777" w:rsidR="009A1D5D" w:rsidRPr="00167CB8" w:rsidRDefault="009A1D5D" w:rsidP="00C83147">
      <w:pPr>
        <w:pStyle w:val="Quote"/>
      </w:pPr>
      <w:r w:rsidRPr="00167CB8">
        <w:t xml:space="preserve">The object of this Act is to provide a balanced framework for cooperative and productive workplace relations that promotes national economic prosperity and social inclusion for all Australians by: </w:t>
      </w:r>
    </w:p>
    <w:p w14:paraId="1DB0C1F6" w14:textId="7030270B" w:rsidR="009A1D5D" w:rsidRPr="00167CB8" w:rsidRDefault="009A1D5D" w:rsidP="00C83147">
      <w:pPr>
        <w:pStyle w:val="Quote"/>
        <w:ind w:left="2160" w:hanging="720"/>
      </w:pPr>
      <w:r w:rsidRPr="00167CB8">
        <w:t>(a)</w:t>
      </w:r>
      <w:r w:rsidRPr="00167CB8">
        <w:tab/>
      </w:r>
      <w:r w:rsidR="009226E9" w:rsidRPr="00167CB8">
        <w:t>providing</w:t>
      </w:r>
      <w:r w:rsidRPr="00167CB8">
        <w:t xml:space="preserve"> workplace relations laws that are fair to working Australians, promote job security and gender equality, are flexible for businesses, promote productivity and economic growth for Australia’s future economic prosperity and take into account Australia’s international labour obligations</w:t>
      </w:r>
      <w:r w:rsidR="00C83147" w:rsidRPr="00167CB8">
        <w:t xml:space="preserve"> …</w:t>
      </w:r>
    </w:p>
    <w:p w14:paraId="2597601A" w14:textId="48EC15EC" w:rsidR="00177AF8" w:rsidRPr="00167CB8" w:rsidRDefault="009A1D5D" w:rsidP="006000ED">
      <w:pPr>
        <w:spacing w:before="240"/>
        <w:rPr>
          <w:rFonts w:cstheme="minorHAnsi"/>
        </w:rPr>
      </w:pPr>
      <w:r w:rsidRPr="00167CB8">
        <w:rPr>
          <w:rFonts w:cstheme="minorHAnsi"/>
        </w:rPr>
        <w:t xml:space="preserve">The modern awards objective was also amended to include </w:t>
      </w:r>
      <w:r w:rsidR="00C83147" w:rsidRPr="00167CB8">
        <w:rPr>
          <w:rFonts w:cstheme="minorHAnsi"/>
        </w:rPr>
        <w:t xml:space="preserve">2 </w:t>
      </w:r>
      <w:r w:rsidRPr="00167CB8">
        <w:rPr>
          <w:rFonts w:cstheme="minorHAnsi"/>
        </w:rPr>
        <w:t>new objectives</w:t>
      </w:r>
      <w:r w:rsidRPr="00167CB8" w:rsidDel="00177AF8">
        <w:rPr>
          <w:rFonts w:cstheme="minorHAnsi"/>
        </w:rPr>
        <w:t xml:space="preserve"> </w:t>
      </w:r>
      <w:r w:rsidR="00177AF8" w:rsidRPr="00167CB8">
        <w:rPr>
          <w:rFonts w:cstheme="minorHAnsi"/>
        </w:rPr>
        <w:t xml:space="preserve">at </w:t>
      </w:r>
      <w:r w:rsidR="00C83147" w:rsidRPr="00167CB8">
        <w:rPr>
          <w:rFonts w:cstheme="minorHAnsi"/>
        </w:rPr>
        <w:t>s </w:t>
      </w:r>
      <w:r w:rsidRPr="00167CB8">
        <w:rPr>
          <w:rFonts w:cstheme="minorHAnsi"/>
        </w:rPr>
        <w:t>134(1)(aa)</w:t>
      </w:r>
      <w:r w:rsidR="005D7478" w:rsidRPr="00167CB8">
        <w:rPr>
          <w:rFonts w:cstheme="minorHAnsi"/>
        </w:rPr>
        <w:t xml:space="preserve"> and</w:t>
      </w:r>
      <w:r w:rsidRPr="00167CB8">
        <w:rPr>
          <w:rFonts w:cstheme="minorHAnsi"/>
        </w:rPr>
        <w:t>(ab)</w:t>
      </w:r>
      <w:r w:rsidR="00B661E9" w:rsidRPr="00167CB8">
        <w:rPr>
          <w:rFonts w:cstheme="minorHAnsi"/>
        </w:rPr>
        <w:t>)</w:t>
      </w:r>
      <w:r w:rsidRPr="00167CB8">
        <w:rPr>
          <w:rFonts w:cstheme="minorHAnsi"/>
        </w:rPr>
        <w:t>:</w:t>
      </w:r>
      <w:r w:rsidR="00B661E9" w:rsidRPr="00167CB8">
        <w:rPr>
          <w:rStyle w:val="FootnoteReference"/>
          <w:rFonts w:cstheme="minorHAnsi"/>
        </w:rPr>
        <w:t xml:space="preserve"> </w:t>
      </w:r>
    </w:p>
    <w:p w14:paraId="64009CE0" w14:textId="2411DBDF" w:rsidR="009A1D5D" w:rsidRPr="00167CB8" w:rsidRDefault="009A1D5D" w:rsidP="00C83147">
      <w:pPr>
        <w:pStyle w:val="Quote"/>
        <w:ind w:left="2160" w:hanging="720"/>
      </w:pPr>
      <w:r w:rsidRPr="00167CB8">
        <w:t xml:space="preserve">(aa) </w:t>
      </w:r>
      <w:r w:rsidRPr="00167CB8">
        <w:tab/>
        <w:t>the need to improve acces</w:t>
      </w:r>
      <w:r w:rsidR="00523CA2" w:rsidRPr="00167CB8">
        <w:t>s</w:t>
      </w:r>
      <w:r w:rsidRPr="00167CB8">
        <w:t xml:space="preserve"> to secure work across the economy; and </w:t>
      </w:r>
    </w:p>
    <w:p w14:paraId="3521CB92" w14:textId="5C2CCB62" w:rsidR="009A1D5D" w:rsidRPr="00167CB8" w:rsidRDefault="009A1D5D" w:rsidP="00C83147">
      <w:pPr>
        <w:pStyle w:val="Quote"/>
        <w:ind w:left="2160" w:hanging="720"/>
        <w:rPr>
          <w:szCs w:val="22"/>
        </w:rPr>
      </w:pPr>
      <w:r w:rsidRPr="00167CB8">
        <w:rPr>
          <w:szCs w:val="22"/>
        </w:rPr>
        <w:t xml:space="preserve">(ab) </w:t>
      </w:r>
      <w:r w:rsidRPr="00167CB8">
        <w:rPr>
          <w:szCs w:val="22"/>
        </w:rPr>
        <w:tab/>
        <w:t>the need to achieve gender equality in the workplace by ensuring equal remuneration for work of equal or comparable value, eliminating gender-based undervaluation of work and providing workplace conditions that facilitate women’s full economic participation; …</w:t>
      </w:r>
    </w:p>
    <w:p w14:paraId="6C8B65B8" w14:textId="3D83527B" w:rsidR="009A1D5D" w:rsidRPr="00167CB8" w:rsidRDefault="009A1D5D" w:rsidP="006000ED">
      <w:pPr>
        <w:rPr>
          <w:rFonts w:cstheme="minorHAnsi"/>
        </w:rPr>
      </w:pPr>
      <w:r w:rsidRPr="00167CB8">
        <w:rPr>
          <w:rFonts w:cstheme="minorHAnsi"/>
        </w:rPr>
        <w:t xml:space="preserve">The minimum wages objective </w:t>
      </w:r>
      <w:r w:rsidR="00523CA2" w:rsidRPr="00167CB8">
        <w:rPr>
          <w:rFonts w:cstheme="minorHAnsi"/>
        </w:rPr>
        <w:t>at s</w:t>
      </w:r>
      <w:r w:rsidR="00C83147" w:rsidRPr="00167CB8">
        <w:rPr>
          <w:rFonts w:cstheme="minorHAnsi"/>
        </w:rPr>
        <w:t> </w:t>
      </w:r>
      <w:r w:rsidR="00523CA2" w:rsidRPr="00167CB8">
        <w:rPr>
          <w:rFonts w:cstheme="minorHAnsi"/>
        </w:rPr>
        <w:t xml:space="preserve">284(1) </w:t>
      </w:r>
      <w:r w:rsidRPr="00167CB8">
        <w:rPr>
          <w:rFonts w:cstheme="minorHAnsi"/>
        </w:rPr>
        <w:t>was amended to include an additional new objective</w:t>
      </w:r>
      <w:r w:rsidR="00523CA2" w:rsidRPr="00167CB8">
        <w:rPr>
          <w:rFonts w:cstheme="minorHAnsi"/>
        </w:rPr>
        <w:t>:</w:t>
      </w:r>
    </w:p>
    <w:p w14:paraId="3ACA4133" w14:textId="459F6465" w:rsidR="009A1D5D" w:rsidRPr="00167CB8" w:rsidRDefault="009A1D5D" w:rsidP="00C83147">
      <w:pPr>
        <w:pStyle w:val="Quote"/>
        <w:ind w:left="2160" w:hanging="720"/>
      </w:pPr>
      <w:r w:rsidRPr="00167CB8">
        <w:t xml:space="preserve">(aa) </w:t>
      </w:r>
      <w:r w:rsidRPr="00167CB8">
        <w:tab/>
        <w:t xml:space="preserve">the need to achieve gender equality in the workplace by ensuring equal remuneration for work of equal or comparable </w:t>
      </w:r>
      <w:r w:rsidRPr="00167CB8">
        <w:lastRenderedPageBreak/>
        <w:t>value, eliminating gender-based undervaluation of work and addressing gender pay gaps.</w:t>
      </w:r>
    </w:p>
    <w:p w14:paraId="7C341704" w14:textId="72001764" w:rsidR="009A1D5D" w:rsidRPr="00167CB8" w:rsidRDefault="009A1D5D" w:rsidP="006000ED">
      <w:pPr>
        <w:rPr>
          <w:rFonts w:cstheme="minorHAnsi"/>
        </w:rPr>
      </w:pPr>
      <w:r w:rsidRPr="00167CB8">
        <w:rPr>
          <w:rFonts w:cstheme="minorHAnsi"/>
        </w:rPr>
        <w:t xml:space="preserve">Amendments to these </w:t>
      </w:r>
      <w:r w:rsidR="00C83147" w:rsidRPr="00167CB8">
        <w:rPr>
          <w:rFonts w:cstheme="minorHAnsi"/>
        </w:rPr>
        <w:t xml:space="preserve">3 </w:t>
      </w:r>
      <w:r w:rsidRPr="00167CB8">
        <w:rPr>
          <w:rFonts w:cstheme="minorHAnsi"/>
        </w:rPr>
        <w:t xml:space="preserve">parts of the </w:t>
      </w:r>
      <w:r w:rsidR="00E60C76" w:rsidRPr="00167CB8">
        <w:rPr>
          <w:rFonts w:cstheme="minorHAnsi"/>
        </w:rPr>
        <w:t>Fair Work Act</w:t>
      </w:r>
      <w:r w:rsidRPr="00167CB8">
        <w:rPr>
          <w:rFonts w:cstheme="minorHAnsi"/>
        </w:rPr>
        <w:t xml:space="preserve"> took effect from 7 December 2022.</w:t>
      </w:r>
    </w:p>
    <w:p w14:paraId="7563FE51" w14:textId="088E47F3" w:rsidR="009A1D5D" w:rsidRPr="00167CB8" w:rsidRDefault="00500E83" w:rsidP="009A1D5D">
      <w:pPr>
        <w:pStyle w:val="Heading5"/>
        <w:rPr>
          <w:rFonts w:asciiTheme="minorHAnsi" w:hAnsiTheme="minorHAnsi"/>
        </w:rPr>
      </w:pPr>
      <w:bookmarkStart w:id="320" w:name="_Toc188003364"/>
      <w:r w:rsidRPr="00167CB8">
        <w:rPr>
          <w:rFonts w:asciiTheme="minorHAnsi" w:hAnsiTheme="minorHAnsi"/>
        </w:rPr>
        <w:t>24</w:t>
      </w:r>
      <w:r w:rsidR="00EE2CFB" w:rsidRPr="00167CB8">
        <w:rPr>
          <w:rFonts w:asciiTheme="minorHAnsi" w:hAnsiTheme="minorHAnsi"/>
        </w:rPr>
        <w:t>.1.2</w:t>
      </w:r>
      <w:r w:rsidR="009A1D5D" w:rsidRPr="00167CB8">
        <w:rPr>
          <w:rFonts w:asciiTheme="minorHAnsi" w:hAnsiTheme="minorHAnsi"/>
        </w:rPr>
        <w:t xml:space="preserve"> Intent of </w:t>
      </w:r>
      <w:r w:rsidR="000D7321" w:rsidRPr="00167CB8" w:rsidDel="00452D85">
        <w:rPr>
          <w:rFonts w:asciiTheme="minorHAnsi" w:hAnsiTheme="minorHAnsi"/>
        </w:rPr>
        <w:t xml:space="preserve">Secure Jobs, Better </w:t>
      </w:r>
      <w:r w:rsidR="00E42AC2" w:rsidRPr="00167CB8">
        <w:rPr>
          <w:rFonts w:asciiTheme="minorHAnsi" w:hAnsiTheme="minorHAnsi"/>
        </w:rPr>
        <w:t xml:space="preserve">Pay </w:t>
      </w:r>
      <w:r w:rsidR="00C83147" w:rsidRPr="00167CB8">
        <w:rPr>
          <w:rFonts w:asciiTheme="minorHAnsi" w:hAnsiTheme="minorHAnsi"/>
        </w:rPr>
        <w:t>a</w:t>
      </w:r>
      <w:r w:rsidR="00E42AC2" w:rsidRPr="00167CB8">
        <w:rPr>
          <w:rFonts w:asciiTheme="minorHAnsi" w:hAnsiTheme="minorHAnsi"/>
        </w:rPr>
        <w:t>mendments</w:t>
      </w:r>
      <w:r w:rsidR="00452D85" w:rsidRPr="00167CB8">
        <w:rPr>
          <w:rFonts w:cstheme="minorHAnsi"/>
        </w:rPr>
        <w:t xml:space="preserve"> </w:t>
      </w:r>
      <w:bookmarkEnd w:id="320"/>
    </w:p>
    <w:p w14:paraId="18207206" w14:textId="5D83FD62" w:rsidR="009A1D5D" w:rsidRPr="00167CB8" w:rsidRDefault="00526F0B" w:rsidP="006000ED">
      <w:r w:rsidRPr="00167CB8">
        <w:t>The</w:t>
      </w:r>
      <w:r w:rsidR="009A1D5D" w:rsidRPr="00167CB8">
        <w:t xml:space="preserve"> intent of these</w:t>
      </w:r>
      <w:r w:rsidR="009A1D5D" w:rsidRPr="00167CB8" w:rsidDel="00526F0B">
        <w:t xml:space="preserve"> </w:t>
      </w:r>
      <w:r w:rsidR="009A1D5D" w:rsidRPr="00167CB8">
        <w:t xml:space="preserve">amendments was to place job security and gender equality at the </w:t>
      </w:r>
      <w:r w:rsidR="00C83147" w:rsidRPr="00167CB8">
        <w:t>‘</w:t>
      </w:r>
      <w:r w:rsidR="009A1D5D" w:rsidRPr="00167CB8">
        <w:t>heart of the FWC’s decision-making, and support the Government’s priorities of delivering secure, well-paid jobs and ensuring women have equal opportunities and equal pay</w:t>
      </w:r>
      <w:r w:rsidR="00C83147" w:rsidRPr="00167CB8">
        <w:t>’</w:t>
      </w:r>
      <w:r w:rsidR="0075691A" w:rsidRPr="00167CB8">
        <w:t>.</w:t>
      </w:r>
      <w:r w:rsidR="009A1D5D" w:rsidRPr="00167CB8">
        <w:rPr>
          <w:rStyle w:val="FootnoteReference"/>
        </w:rPr>
        <w:footnoteReference w:id="816"/>
      </w:r>
      <w:r w:rsidR="009A1D5D" w:rsidRPr="00167CB8">
        <w:rPr>
          <w:rStyle w:val="FootnoteReference"/>
        </w:rPr>
        <w:t xml:space="preserve">  </w:t>
      </w:r>
    </w:p>
    <w:p w14:paraId="2FC308C0" w14:textId="558ADB62" w:rsidR="009A1D5D" w:rsidRPr="00167CB8" w:rsidRDefault="009A1D5D" w:rsidP="006000ED">
      <w:r w:rsidRPr="00167CB8">
        <w:rPr>
          <w:rFonts w:cstheme="minorHAnsi"/>
        </w:rPr>
        <w:t xml:space="preserve">Despite various legislative amendments </w:t>
      </w:r>
      <w:r w:rsidR="00055D6F" w:rsidRPr="00167CB8">
        <w:rPr>
          <w:rFonts w:cstheme="minorHAnsi"/>
        </w:rPr>
        <w:t xml:space="preserve">over time </w:t>
      </w:r>
      <w:r w:rsidRPr="00167CB8">
        <w:rPr>
          <w:rFonts w:cstheme="minorHAnsi"/>
        </w:rPr>
        <w:t xml:space="preserve">(see Chapter </w:t>
      </w:r>
      <w:r w:rsidR="009F034D" w:rsidRPr="00167CB8">
        <w:rPr>
          <w:rFonts w:cstheme="minorHAnsi"/>
        </w:rPr>
        <w:t>22</w:t>
      </w:r>
      <w:r w:rsidR="00265D7B" w:rsidRPr="00167CB8">
        <w:rPr>
          <w:rFonts w:cstheme="minorHAnsi"/>
        </w:rPr>
        <w:t xml:space="preserve"> </w:t>
      </w:r>
      <w:r w:rsidRPr="00167CB8">
        <w:rPr>
          <w:rFonts w:cstheme="minorHAnsi"/>
        </w:rPr>
        <w:t>for an overview)</w:t>
      </w:r>
      <w:r w:rsidR="00055D6F" w:rsidRPr="00167CB8">
        <w:rPr>
          <w:rFonts w:cstheme="minorHAnsi"/>
        </w:rPr>
        <w:t>,</w:t>
      </w:r>
      <w:r w:rsidRPr="00167CB8">
        <w:rPr>
          <w:rFonts w:cstheme="minorHAnsi"/>
        </w:rPr>
        <w:t xml:space="preserve"> the gender wage gap (GWG) remains significant in Australia. </w:t>
      </w:r>
      <w:r w:rsidRPr="00167CB8">
        <w:t>Much of the GWG is attributed to the historical undervaluation of work traditionally performed by women, particularly in sectors like health</w:t>
      </w:r>
      <w:r w:rsidR="00C83147" w:rsidRPr="00167CB8">
        <w:t xml:space="preserve"> </w:t>
      </w:r>
      <w:r w:rsidRPr="00167CB8">
        <w:t xml:space="preserve">care, education and social services. </w:t>
      </w:r>
      <w:r w:rsidR="005A63DF" w:rsidRPr="00167CB8">
        <w:rPr>
          <w:rFonts w:cstheme="minorHAnsi"/>
        </w:rPr>
        <w:t>The intent</w:t>
      </w:r>
      <w:r w:rsidRPr="00167CB8">
        <w:rPr>
          <w:rFonts w:cstheme="minorHAnsi"/>
        </w:rPr>
        <w:t xml:space="preserve"> of the</w:t>
      </w:r>
      <w:r w:rsidR="005A63DF" w:rsidRPr="00167CB8">
        <w:rPr>
          <w:rFonts w:cstheme="minorHAnsi"/>
        </w:rPr>
        <w:t>se</w:t>
      </w:r>
      <w:r w:rsidRPr="00167CB8">
        <w:rPr>
          <w:rFonts w:cstheme="minorHAnsi"/>
        </w:rPr>
        <w:t xml:space="preserve"> amendment</w:t>
      </w:r>
      <w:r w:rsidR="00C83147" w:rsidRPr="00167CB8">
        <w:rPr>
          <w:rFonts w:cstheme="minorHAnsi"/>
        </w:rPr>
        <w:t>s</w:t>
      </w:r>
      <w:r w:rsidRPr="00167CB8">
        <w:rPr>
          <w:rFonts w:cstheme="minorHAnsi"/>
        </w:rPr>
        <w:t xml:space="preserve"> was to engender pay equity by </w:t>
      </w:r>
      <w:r w:rsidRPr="00167CB8">
        <w:t>strengthen</w:t>
      </w:r>
      <w:r w:rsidR="005A63DF" w:rsidRPr="00167CB8">
        <w:t>ing</w:t>
      </w:r>
      <w:r w:rsidRPr="00167CB8">
        <w:t xml:space="preserve"> the FWC’s capacity to </w:t>
      </w:r>
      <w:r w:rsidR="005A63DF" w:rsidRPr="00167CB8">
        <w:t xml:space="preserve">address </w:t>
      </w:r>
      <w:r w:rsidRPr="00167CB8">
        <w:t>pay equity.</w:t>
      </w:r>
    </w:p>
    <w:p w14:paraId="1CB19459" w14:textId="10F4F305" w:rsidR="009A1D5D" w:rsidRPr="00167CB8" w:rsidRDefault="009A1D5D" w:rsidP="00C83147">
      <w:pPr>
        <w:rPr>
          <w:rFonts w:cstheme="minorHAnsi"/>
        </w:rPr>
      </w:pPr>
      <w:r w:rsidRPr="00167CB8">
        <w:rPr>
          <w:rFonts w:cstheme="minorHAnsi"/>
        </w:rPr>
        <w:t xml:space="preserve">In terms of job security, the FWC </w:t>
      </w:r>
      <w:r w:rsidR="00246817" w:rsidRPr="00167CB8">
        <w:rPr>
          <w:rFonts w:cstheme="minorHAnsi"/>
        </w:rPr>
        <w:t>has noted that the</w:t>
      </w:r>
      <w:r w:rsidRPr="00167CB8">
        <w:rPr>
          <w:rFonts w:cstheme="minorHAnsi"/>
        </w:rPr>
        <w:t xml:space="preserve"> intent </w:t>
      </w:r>
      <w:r w:rsidR="00246817" w:rsidRPr="00167CB8">
        <w:rPr>
          <w:rFonts w:cstheme="minorHAnsi"/>
        </w:rPr>
        <w:t>of these amendments</w:t>
      </w:r>
      <w:r w:rsidR="00C83147" w:rsidRPr="00167CB8">
        <w:t xml:space="preserve"> ‘</w:t>
      </w:r>
      <w:r w:rsidRPr="00167CB8">
        <w:t xml:space="preserve">recognises the importance of employees and jobseekers </w:t>
      </w:r>
      <w:r w:rsidR="00C83147" w:rsidRPr="00167CB8">
        <w:t>“</w:t>
      </w:r>
      <w:r w:rsidRPr="00167CB8">
        <w:t>having the choice</w:t>
      </w:r>
      <w:r w:rsidR="00C83147" w:rsidRPr="00167CB8">
        <w:t>”</w:t>
      </w:r>
      <w:r w:rsidRPr="00167CB8">
        <w:t xml:space="preserve"> to be able to enjoy as much as possible </w:t>
      </w:r>
      <w:r w:rsidR="00C83147" w:rsidRPr="00167CB8">
        <w:t>“</w:t>
      </w:r>
      <w:r w:rsidRPr="00167CB8">
        <w:t>ongoing, stable and secure employment that provides regular and predictable access to beneficial wages and conditions of employment</w:t>
      </w:r>
      <w:r w:rsidR="00C83147" w:rsidRPr="00167CB8">
        <w:t>”’</w:t>
      </w:r>
      <w:r w:rsidRPr="00167CB8">
        <w:t>.</w:t>
      </w:r>
      <w:r w:rsidRPr="00167CB8">
        <w:rPr>
          <w:rStyle w:val="FootnoteReference"/>
        </w:rPr>
        <w:footnoteReference w:id="817"/>
      </w:r>
    </w:p>
    <w:p w14:paraId="6394DBAB" w14:textId="664A5870" w:rsidR="009A1D5D" w:rsidRPr="00167CB8" w:rsidRDefault="00500E83" w:rsidP="009A1D5D">
      <w:pPr>
        <w:pStyle w:val="Heading4"/>
        <w:rPr>
          <w:rFonts w:asciiTheme="minorHAnsi" w:hAnsiTheme="minorHAnsi"/>
        </w:rPr>
      </w:pPr>
      <w:bookmarkStart w:id="321" w:name="_Toc188003365"/>
      <w:bookmarkStart w:id="322" w:name="_Toc188277934"/>
      <w:bookmarkStart w:id="323" w:name="_Toc189260286"/>
      <w:bookmarkStart w:id="324" w:name="_Toc189393602"/>
      <w:r w:rsidRPr="00167CB8">
        <w:rPr>
          <w:rFonts w:asciiTheme="minorHAnsi" w:hAnsiTheme="minorHAnsi"/>
        </w:rPr>
        <w:t>24</w:t>
      </w:r>
      <w:r w:rsidR="00EE2CFB" w:rsidRPr="00167CB8">
        <w:rPr>
          <w:rFonts w:asciiTheme="minorHAnsi" w:hAnsiTheme="minorHAnsi"/>
        </w:rPr>
        <w:t>.2</w:t>
      </w:r>
      <w:r w:rsidR="009A1D5D" w:rsidRPr="00167CB8">
        <w:rPr>
          <w:rFonts w:asciiTheme="minorHAnsi" w:hAnsiTheme="minorHAnsi"/>
        </w:rPr>
        <w:t xml:space="preserve"> Impact </w:t>
      </w:r>
      <w:r w:rsidR="00C83147" w:rsidRPr="00167CB8">
        <w:rPr>
          <w:rFonts w:asciiTheme="minorHAnsi" w:hAnsiTheme="minorHAnsi"/>
        </w:rPr>
        <w:t>and i</w:t>
      </w:r>
      <w:r w:rsidR="009A1D5D" w:rsidRPr="00167CB8">
        <w:rPr>
          <w:rFonts w:asciiTheme="minorHAnsi" w:hAnsiTheme="minorHAnsi"/>
        </w:rPr>
        <w:t>ssues</w:t>
      </w:r>
      <w:bookmarkEnd w:id="321"/>
      <w:bookmarkEnd w:id="322"/>
      <w:bookmarkEnd w:id="323"/>
      <w:bookmarkEnd w:id="324"/>
    </w:p>
    <w:p w14:paraId="60BC17F2" w14:textId="77777777" w:rsidR="009A1D5D" w:rsidRPr="00167CB8" w:rsidRDefault="009A1D5D" w:rsidP="006000ED">
      <w:pPr>
        <w:rPr>
          <w:rFonts w:cstheme="minorHAnsi"/>
        </w:rPr>
      </w:pPr>
      <w:r w:rsidRPr="00167CB8">
        <w:rPr>
          <w:rFonts w:cstheme="minorHAnsi"/>
        </w:rPr>
        <w:t xml:space="preserve">This section describes relevant quantitative and qualitative data as well as information from roundtables and submissions relied upon to evaluate the amendments described above. </w:t>
      </w:r>
    </w:p>
    <w:p w14:paraId="2AEF7D2D" w14:textId="57113C1C" w:rsidR="009A1D5D" w:rsidRPr="00167CB8" w:rsidRDefault="00500E83" w:rsidP="009A1D5D">
      <w:pPr>
        <w:pStyle w:val="Heading5"/>
        <w:rPr>
          <w:rFonts w:asciiTheme="minorHAnsi" w:hAnsiTheme="minorHAnsi"/>
        </w:rPr>
      </w:pPr>
      <w:bookmarkStart w:id="325" w:name="_Toc188003366"/>
      <w:r w:rsidRPr="00167CB8">
        <w:rPr>
          <w:rFonts w:asciiTheme="minorHAnsi" w:hAnsiTheme="minorHAnsi"/>
        </w:rPr>
        <w:t>24</w:t>
      </w:r>
      <w:r w:rsidR="00EE2CFB" w:rsidRPr="00167CB8">
        <w:rPr>
          <w:rFonts w:asciiTheme="minorHAnsi" w:hAnsiTheme="minorHAnsi"/>
        </w:rPr>
        <w:t xml:space="preserve">.2.1 </w:t>
      </w:r>
      <w:r w:rsidR="009A1D5D" w:rsidRPr="00167CB8">
        <w:rPr>
          <w:rFonts w:asciiTheme="minorHAnsi" w:hAnsiTheme="minorHAnsi"/>
        </w:rPr>
        <w:t xml:space="preserve">Quantitative </w:t>
      </w:r>
      <w:r w:rsidR="00C83147" w:rsidRPr="00167CB8">
        <w:rPr>
          <w:rFonts w:asciiTheme="minorHAnsi" w:hAnsiTheme="minorHAnsi"/>
        </w:rPr>
        <w:t>e</w:t>
      </w:r>
      <w:r w:rsidR="009A1D5D" w:rsidRPr="00167CB8">
        <w:rPr>
          <w:rFonts w:asciiTheme="minorHAnsi" w:hAnsiTheme="minorHAnsi"/>
        </w:rPr>
        <w:t>vidence</w:t>
      </w:r>
      <w:bookmarkEnd w:id="325"/>
    </w:p>
    <w:p w14:paraId="40A1EE28" w14:textId="1799007F" w:rsidR="009A1D5D" w:rsidRPr="00167CB8" w:rsidRDefault="009A1D5D" w:rsidP="006000ED">
      <w:pPr>
        <w:rPr>
          <w:rFonts w:cstheme="minorHAnsi"/>
        </w:rPr>
      </w:pPr>
      <w:r w:rsidRPr="00167CB8">
        <w:rPr>
          <w:rFonts w:cstheme="minorHAnsi"/>
        </w:rPr>
        <w:t xml:space="preserve">In terms of job security (a new object in the </w:t>
      </w:r>
      <w:r w:rsidR="00E60C76" w:rsidRPr="00167CB8">
        <w:rPr>
          <w:rFonts w:cstheme="minorHAnsi"/>
        </w:rPr>
        <w:t>Fair Work Act</w:t>
      </w:r>
      <w:r w:rsidRPr="00167CB8">
        <w:rPr>
          <w:rFonts w:cstheme="minorHAnsi"/>
        </w:rPr>
        <w:t xml:space="preserve">), the </w:t>
      </w:r>
      <w:r w:rsidR="0046104D" w:rsidRPr="00167CB8">
        <w:rPr>
          <w:rFonts w:cstheme="minorHAnsi"/>
        </w:rPr>
        <w:t>Review Panel</w:t>
      </w:r>
      <w:r w:rsidR="009331ED" w:rsidRPr="00167CB8">
        <w:rPr>
          <w:rFonts w:cstheme="minorHAnsi"/>
        </w:rPr>
        <w:t xml:space="preserve"> </w:t>
      </w:r>
      <w:r w:rsidRPr="00167CB8">
        <w:rPr>
          <w:rFonts w:cstheme="minorHAnsi"/>
        </w:rPr>
        <w:t>notes that the share of employed persons holding a full-time permanent position was equal to 48.3% in 2023</w:t>
      </w:r>
      <w:r w:rsidR="00C83147" w:rsidRPr="00167CB8">
        <w:rPr>
          <w:rFonts w:cstheme="minorHAnsi"/>
        </w:rPr>
        <w:t xml:space="preserve"> </w:t>
      </w:r>
      <w:r w:rsidR="00C83147" w:rsidRPr="00167CB8">
        <w:rPr>
          <w:rFonts w:ascii="Symbol" w:eastAsia="Symbol" w:hAnsi="Symbol" w:cstheme="minorHAnsi"/>
        </w:rPr>
        <w:sym w:font="Symbol" w:char="F02D"/>
      </w:r>
      <w:r w:rsidR="00C83147" w:rsidRPr="00167CB8">
        <w:rPr>
          <w:rFonts w:cstheme="minorHAnsi"/>
        </w:rPr>
        <w:t xml:space="preserve"> </w:t>
      </w:r>
      <w:r w:rsidRPr="00167CB8">
        <w:rPr>
          <w:rFonts w:cstheme="minorHAnsi"/>
        </w:rPr>
        <w:t>the highest recorded level in the last decade. It is, however, only marginally higher than the share recorded in 2022 (48.1%).</w:t>
      </w:r>
      <w:r w:rsidRPr="00167CB8">
        <w:rPr>
          <w:rStyle w:val="FootnoteReference"/>
          <w:rFonts w:cstheme="minorHAnsi"/>
        </w:rPr>
        <w:footnoteReference w:id="818"/>
      </w:r>
      <w:r w:rsidRPr="00167CB8">
        <w:rPr>
          <w:rFonts w:cstheme="minorHAnsi"/>
        </w:rPr>
        <w:t xml:space="preserve"> It is too early to statistically quantify the impact of changes to the Objects on job security. That said, there is no statistical evidence of any unintended effects. </w:t>
      </w:r>
    </w:p>
    <w:p w14:paraId="1F3A40F6" w14:textId="4B0F1B5D" w:rsidR="009A1D5D" w:rsidRPr="00167CB8" w:rsidRDefault="009A1D5D" w:rsidP="006000ED">
      <w:pPr>
        <w:rPr>
          <w:rFonts w:cstheme="minorHAnsi"/>
        </w:rPr>
      </w:pPr>
      <w:r w:rsidRPr="00167CB8">
        <w:rPr>
          <w:rFonts w:cstheme="minorHAnsi"/>
        </w:rPr>
        <w:t xml:space="preserve">Data measuring trends in the GWG shows that, since the passage of the </w:t>
      </w:r>
      <w:r w:rsidR="000D7321" w:rsidRPr="00167CB8">
        <w:rPr>
          <w:rFonts w:cstheme="minorHAnsi"/>
        </w:rPr>
        <w:t>Secure Jobs, Better Pay</w:t>
      </w:r>
      <w:r w:rsidRPr="00167CB8">
        <w:rPr>
          <w:rFonts w:cstheme="minorHAnsi"/>
        </w:rPr>
        <w:t xml:space="preserve"> Act and changes to the Objects coming into effect, there has been a convergence in the gap. This is also confirmed by regression analysis. Estimates generated using the HILDA data show that, for a sample of employees aged 21</w:t>
      </w:r>
      <w:r w:rsidR="00C83147" w:rsidRPr="00167CB8">
        <w:rPr>
          <w:rFonts w:ascii="Symbol" w:eastAsia="Symbol" w:hAnsi="Symbol" w:cstheme="minorHAnsi"/>
        </w:rPr>
        <w:sym w:font="Symbol" w:char="F02D"/>
      </w:r>
      <w:r w:rsidRPr="00167CB8">
        <w:rPr>
          <w:rFonts w:cstheme="minorHAnsi"/>
        </w:rPr>
        <w:t xml:space="preserve">64, the GWG was, on average, 10.8% over the period 2008 to 2022. In 2023 it was equal to 6.5% (see Chapter </w:t>
      </w:r>
      <w:r w:rsidR="009F034D" w:rsidRPr="00167CB8">
        <w:rPr>
          <w:rFonts w:cstheme="minorHAnsi"/>
        </w:rPr>
        <w:t>22</w:t>
      </w:r>
      <w:r w:rsidR="00265D7B" w:rsidRPr="00167CB8">
        <w:rPr>
          <w:rFonts w:cstheme="minorHAnsi"/>
        </w:rPr>
        <w:t xml:space="preserve"> </w:t>
      </w:r>
      <w:r w:rsidRPr="00167CB8">
        <w:rPr>
          <w:rFonts w:cstheme="minorHAnsi"/>
        </w:rPr>
        <w:t xml:space="preserve">for further discussion).  </w:t>
      </w:r>
    </w:p>
    <w:p w14:paraId="18DADB56" w14:textId="6D928401" w:rsidR="009A1D5D" w:rsidRPr="00167CB8" w:rsidRDefault="00500E83" w:rsidP="009A1D5D">
      <w:pPr>
        <w:pStyle w:val="Heading5"/>
        <w:rPr>
          <w:rFonts w:asciiTheme="minorHAnsi" w:hAnsiTheme="minorHAnsi"/>
        </w:rPr>
      </w:pPr>
      <w:bookmarkStart w:id="326" w:name="_Toc188003367"/>
      <w:r w:rsidRPr="00167CB8">
        <w:rPr>
          <w:rFonts w:asciiTheme="minorHAnsi" w:hAnsiTheme="minorHAnsi"/>
        </w:rPr>
        <w:t>24</w:t>
      </w:r>
      <w:r w:rsidR="00EE2CFB" w:rsidRPr="00167CB8">
        <w:rPr>
          <w:rFonts w:asciiTheme="minorHAnsi" w:hAnsiTheme="minorHAnsi"/>
        </w:rPr>
        <w:t>.2.2</w:t>
      </w:r>
      <w:r w:rsidR="009A1D5D" w:rsidRPr="00167CB8">
        <w:rPr>
          <w:rFonts w:asciiTheme="minorHAnsi" w:hAnsiTheme="minorHAnsi"/>
        </w:rPr>
        <w:t xml:space="preserve"> Qualitative </w:t>
      </w:r>
      <w:r w:rsidR="00C83147" w:rsidRPr="00167CB8">
        <w:rPr>
          <w:rFonts w:asciiTheme="minorHAnsi" w:hAnsiTheme="minorHAnsi"/>
        </w:rPr>
        <w:t>e</w:t>
      </w:r>
      <w:r w:rsidR="009A1D5D" w:rsidRPr="00167CB8">
        <w:rPr>
          <w:rFonts w:asciiTheme="minorHAnsi" w:hAnsiTheme="minorHAnsi"/>
        </w:rPr>
        <w:t>vidence</w:t>
      </w:r>
      <w:bookmarkEnd w:id="326"/>
    </w:p>
    <w:p w14:paraId="1F1D2E0A" w14:textId="1D99AAAF" w:rsidR="009A1D5D" w:rsidRPr="00167CB8" w:rsidRDefault="009A1D5D" w:rsidP="006000ED">
      <w:r w:rsidRPr="00167CB8">
        <w:t xml:space="preserve">On the matter of job security, the construction of s 3(a) and </w:t>
      </w:r>
      <w:r w:rsidR="007F3024" w:rsidRPr="00167CB8">
        <w:t>s </w:t>
      </w:r>
      <w:r w:rsidRPr="00167CB8">
        <w:t xml:space="preserve">134(1)(aa) of the </w:t>
      </w:r>
      <w:r w:rsidR="00E60C76" w:rsidRPr="00167CB8">
        <w:t>Fair Work Act</w:t>
      </w:r>
      <w:r w:rsidRPr="00167CB8">
        <w:t xml:space="preserve"> has been the focus of some deliberations by the FWC </w:t>
      </w:r>
      <w:r w:rsidR="00A605E4" w:rsidRPr="00167CB8">
        <w:t>in</w:t>
      </w:r>
      <w:r w:rsidRPr="00167CB8">
        <w:t xml:space="preserve"> the </w:t>
      </w:r>
      <w:r w:rsidR="00A605E4" w:rsidRPr="00167CB8">
        <w:t xml:space="preserve">context of the </w:t>
      </w:r>
      <w:r w:rsidRPr="00167CB8">
        <w:t>2022</w:t>
      </w:r>
      <w:r w:rsidR="00C83147" w:rsidRPr="00167CB8">
        <w:rPr>
          <w:rFonts w:ascii="Symbol" w:eastAsia="Symbol" w:hAnsi="Symbol" w:cs="Symbol"/>
        </w:rPr>
        <w:sym w:font="Symbol" w:char="F02D"/>
      </w:r>
      <w:r w:rsidRPr="00167CB8">
        <w:t>23 and 2023</w:t>
      </w:r>
      <w:r w:rsidR="00C83147" w:rsidRPr="00167CB8">
        <w:rPr>
          <w:rFonts w:ascii="Symbol" w:eastAsia="Symbol" w:hAnsi="Symbol" w:cs="Symbol"/>
        </w:rPr>
        <w:sym w:font="Symbol" w:char="F02D"/>
      </w:r>
      <w:r w:rsidR="00EF0CA5" w:rsidRPr="00167CB8">
        <w:t>2</w:t>
      </w:r>
      <w:r w:rsidRPr="00167CB8">
        <w:t>4 AWRs and in the Modern Awards Review</w:t>
      </w:r>
      <w:r w:rsidR="00C83147" w:rsidRPr="00167CB8">
        <w:t xml:space="preserve"> 2023</w:t>
      </w:r>
      <w:r w:rsidR="00C83147" w:rsidRPr="00167CB8">
        <w:rPr>
          <w:rFonts w:ascii="Symbol" w:eastAsia="Symbol" w:hAnsi="Symbol" w:cs="Symbol"/>
        </w:rPr>
        <w:sym w:font="Symbol" w:char="F02D"/>
      </w:r>
      <w:r w:rsidR="00C83147" w:rsidRPr="00167CB8">
        <w:t>24</w:t>
      </w:r>
      <w:r w:rsidRPr="00167CB8">
        <w:t xml:space="preserve">.  </w:t>
      </w:r>
    </w:p>
    <w:p w14:paraId="3D7BE729" w14:textId="2F5455FF" w:rsidR="009A1D5D" w:rsidRPr="00167CB8" w:rsidRDefault="009A1D5D" w:rsidP="006000ED">
      <w:r w:rsidRPr="00167CB8">
        <w:lastRenderedPageBreak/>
        <w:t>In the 2022</w:t>
      </w:r>
      <w:r w:rsidR="00C83147" w:rsidRPr="00167CB8">
        <w:rPr>
          <w:rFonts w:ascii="Symbol" w:eastAsia="Symbol" w:hAnsi="Symbol" w:cs="Symbol"/>
        </w:rPr>
        <w:sym w:font="Symbol" w:char="F02D"/>
      </w:r>
      <w:r w:rsidRPr="00167CB8">
        <w:t xml:space="preserve">23 AWR, for example, the Expert Panel </w:t>
      </w:r>
      <w:r w:rsidR="00A605E4" w:rsidRPr="00167CB8">
        <w:t>considered</w:t>
      </w:r>
      <w:r w:rsidRPr="00167CB8">
        <w:t xml:space="preserve"> what ‘having regard to job security’ meant, in terms of its function in determining the </w:t>
      </w:r>
      <w:r w:rsidR="008169EA" w:rsidRPr="00167CB8">
        <w:t xml:space="preserve">national minimum wage </w:t>
      </w:r>
      <w:r w:rsidRPr="00167CB8">
        <w:t xml:space="preserve">and the minimum rates in modern awards. </w:t>
      </w:r>
      <w:r w:rsidR="008169EA" w:rsidRPr="00167CB8">
        <w:t xml:space="preserve">The Expert Panel </w:t>
      </w:r>
      <w:r w:rsidRPr="00167CB8">
        <w:t>noted that</w:t>
      </w:r>
      <w:r w:rsidR="00C83147" w:rsidRPr="00167CB8">
        <w:t>,</w:t>
      </w:r>
      <w:r w:rsidRPr="00167CB8">
        <w:t xml:space="preserve"> in the </w:t>
      </w:r>
      <w:r w:rsidR="000D7321" w:rsidRPr="00167CB8">
        <w:rPr>
          <w:rFonts w:cstheme="minorHAnsi"/>
        </w:rPr>
        <w:t>Secure Jobs, Better Pay</w:t>
      </w:r>
      <w:r w:rsidRPr="00167CB8">
        <w:t xml:space="preserve"> Act</w:t>
      </w:r>
      <w:r w:rsidR="008169EA" w:rsidRPr="00167CB8">
        <w:t>,</w:t>
      </w:r>
      <w:r w:rsidRPr="00167CB8">
        <w:t xml:space="preserve"> Revised Explanatory Memorandum (REM):</w:t>
      </w:r>
      <w:r w:rsidR="00C83147" w:rsidRPr="00167CB8">
        <w:rPr>
          <w:rStyle w:val="FootnoteReference"/>
        </w:rPr>
        <w:footnoteReference w:id="819"/>
      </w:r>
    </w:p>
    <w:p w14:paraId="555FEC35" w14:textId="0A3E0633" w:rsidR="009A1D5D" w:rsidRPr="00167CB8" w:rsidRDefault="009A1D5D" w:rsidP="00C83147">
      <w:pPr>
        <w:pStyle w:val="Quote"/>
      </w:pPr>
      <w:r w:rsidRPr="00167CB8">
        <w:t xml:space="preserve">the reference to promoting job security </w:t>
      </w:r>
      <w:r w:rsidR="00E03772" w:rsidRPr="00167CB8">
        <w:t>[</w:t>
      </w:r>
      <w:r w:rsidRPr="00167CB8">
        <w:t>in s 3(a)</w:t>
      </w:r>
      <w:r w:rsidR="00E03772" w:rsidRPr="00167CB8">
        <w:t>]</w:t>
      </w:r>
      <w:r w:rsidRPr="00167CB8">
        <w:t xml:space="preserve"> recognises the importance of employees and job seekers ‘having the choice’ to be able to enjoy as much as possible ‘ongoing, stable and secure employment that provides regular and predictable access to beneficial wages and conditions of employment</w:t>
      </w:r>
      <w:r w:rsidR="00155E1D" w:rsidRPr="00167CB8">
        <w:t>.</w:t>
      </w:r>
      <w:r w:rsidRPr="00167CB8">
        <w:t xml:space="preserve"> </w:t>
      </w:r>
    </w:p>
    <w:p w14:paraId="5BF57EB3" w14:textId="4E218F15" w:rsidR="009A1D5D" w:rsidRPr="00167CB8" w:rsidRDefault="009A1D5D" w:rsidP="006000ED">
      <w:r w:rsidRPr="00167CB8">
        <w:t>The 2022</w:t>
      </w:r>
      <w:r w:rsidR="00C83147" w:rsidRPr="00167CB8">
        <w:rPr>
          <w:rFonts w:ascii="Symbol" w:eastAsia="Symbol" w:hAnsi="Symbol" w:cs="Symbol"/>
        </w:rPr>
        <w:sym w:font="Symbol" w:char="F02D"/>
      </w:r>
      <w:r w:rsidRPr="00167CB8">
        <w:t>23 AWR Expert Panel goes on to note:</w:t>
      </w:r>
      <w:r w:rsidR="00C83147" w:rsidRPr="00167CB8">
        <w:rPr>
          <w:rStyle w:val="FootnoteReference"/>
        </w:rPr>
        <w:footnoteReference w:id="820"/>
      </w:r>
    </w:p>
    <w:p w14:paraId="740A83DF" w14:textId="33DCCF58" w:rsidR="009A1D5D" w:rsidRPr="00167CB8" w:rsidRDefault="009A1D5D" w:rsidP="00C83147">
      <w:pPr>
        <w:pStyle w:val="Quote"/>
      </w:pPr>
      <w:r w:rsidRPr="00167CB8">
        <w:t>We see no reason to consider that the expression ‘secure work’ in s</w:t>
      </w:r>
      <w:r w:rsidR="00C83147" w:rsidRPr="00167CB8">
        <w:t> </w:t>
      </w:r>
      <w:r w:rsidRPr="00167CB8">
        <w:t>134(1)(aa) bears any substantially different connotation to ‘job security’ in s 3(a). However, we consider that it is significant that s 134(1)(aa) refers to ‘the need to improve access’ to secure work rather than the general promotion of job security. The language of s 134(1)(aa) suggests that it is more tightly focused on the capacity of employees to enter into work which may be characterised as secure. This appears to reflect the [</w:t>
      </w:r>
      <w:r w:rsidR="00C83147" w:rsidRPr="00167CB8">
        <w:t>REM</w:t>
      </w:r>
      <w:r w:rsidRPr="00167CB8">
        <w:t>’s] reference to the importance of employees being able to have a ‘choice’ to enter into secure employment. As such, the consideration in s 134(1)(aa) would appear to direct attention primarily to those award terms which affect the capacity of employees to make that choice …</w:t>
      </w:r>
    </w:p>
    <w:p w14:paraId="527202F6" w14:textId="1CA3744C" w:rsidR="009A1D5D" w:rsidRPr="00167CB8" w:rsidRDefault="00AB7BFC" w:rsidP="006000ED">
      <w:r w:rsidRPr="00167CB8">
        <w:t>The 2023</w:t>
      </w:r>
      <w:r w:rsidR="00C83147" w:rsidRPr="00167CB8">
        <w:rPr>
          <w:rFonts w:ascii="Symbol" w:eastAsia="Symbol" w:hAnsi="Symbol" w:cs="Symbol"/>
        </w:rPr>
        <w:sym w:font="Symbol" w:char="F02D"/>
      </w:r>
      <w:r w:rsidRPr="00167CB8">
        <w:t>24 AWR Expert Panel</w:t>
      </w:r>
      <w:r w:rsidR="00B2005A" w:rsidRPr="00167CB8">
        <w:t xml:space="preserve"> </w:t>
      </w:r>
      <w:r w:rsidR="009A1D5D" w:rsidRPr="00167CB8">
        <w:t>note</w:t>
      </w:r>
      <w:r w:rsidR="00B2005A" w:rsidRPr="00167CB8">
        <w:t>d</w:t>
      </w:r>
      <w:r w:rsidR="009A1D5D" w:rsidRPr="00167CB8">
        <w:t>:</w:t>
      </w:r>
      <w:r w:rsidR="00C83147" w:rsidRPr="00167CB8">
        <w:rPr>
          <w:rStyle w:val="FootnoteReference"/>
        </w:rPr>
        <w:footnoteReference w:id="821"/>
      </w:r>
    </w:p>
    <w:p w14:paraId="7AE8886E" w14:textId="3D3435A5" w:rsidR="009A1D5D" w:rsidRPr="00167CB8" w:rsidRDefault="004E13D5" w:rsidP="00C83147">
      <w:pPr>
        <w:pStyle w:val="Quote"/>
      </w:pPr>
      <w:r w:rsidRPr="00167CB8">
        <w:t>I</w:t>
      </w:r>
      <w:r w:rsidR="009A1D5D" w:rsidRPr="00167CB8">
        <w:t>n the context of this Review, the relevance of this consideration concerning the need to improve access to secure work across the economy (s 134(1)(aa)) is primarily whether the review outcome might affect the capacity of employers in the future to continue to offer, or maintain permanent employment.</w:t>
      </w:r>
    </w:p>
    <w:p w14:paraId="79C4CEC4" w14:textId="55FD9060" w:rsidR="00CA4033" w:rsidRPr="00167CB8" w:rsidRDefault="00CA4033" w:rsidP="00CA4033">
      <w:r w:rsidRPr="00167CB8">
        <w:t>The Full Bench conducting the Modern Awards Review 2023</w:t>
      </w:r>
      <w:r w:rsidR="00C83147" w:rsidRPr="00167CB8">
        <w:rPr>
          <w:rFonts w:ascii="Symbol" w:eastAsia="Symbol" w:hAnsi="Symbol" w:cs="Symbol"/>
        </w:rPr>
        <w:sym w:font="Symbol" w:char="F02D"/>
      </w:r>
      <w:r w:rsidRPr="00167CB8">
        <w:t>24 referred to the commentary of the 2023</w:t>
      </w:r>
      <w:r w:rsidR="00C83147" w:rsidRPr="00167CB8">
        <w:rPr>
          <w:rFonts w:ascii="Symbol" w:eastAsia="Symbol" w:hAnsi="Symbol" w:cs="Symbol"/>
        </w:rPr>
        <w:sym w:font="Symbol" w:char="F02D"/>
      </w:r>
      <w:r w:rsidRPr="00167CB8">
        <w:t xml:space="preserve">24 AWR Expert Panel and saw </w:t>
      </w:r>
      <w:r w:rsidR="00C83147" w:rsidRPr="00167CB8">
        <w:t>‘</w:t>
      </w:r>
      <w:r w:rsidRPr="00167CB8">
        <w:t xml:space="preserve">no reason to deviate from these views about the meaning of job security and the need to improve access to secure work in the object of the </w:t>
      </w:r>
      <w:r w:rsidR="00E60C76" w:rsidRPr="00167CB8">
        <w:t>Fair Work Act</w:t>
      </w:r>
      <w:r w:rsidRPr="00167CB8">
        <w:t xml:space="preserve"> in s 3 and in the modern awards objective in s.134(1)(aa) respectively</w:t>
      </w:r>
      <w:r w:rsidR="00C83147" w:rsidRPr="00167CB8">
        <w:t>’</w:t>
      </w:r>
      <w:r w:rsidRPr="00167CB8">
        <w:t>.</w:t>
      </w:r>
      <w:r w:rsidRPr="00167CB8">
        <w:rPr>
          <w:rStyle w:val="FootnoteReference"/>
        </w:rPr>
        <w:footnoteReference w:id="822"/>
      </w:r>
    </w:p>
    <w:p w14:paraId="45C6E7D6" w14:textId="70BC353D" w:rsidR="009A1D5D" w:rsidRPr="00167CB8" w:rsidRDefault="009A1D5D" w:rsidP="006000ED">
      <w:r w:rsidRPr="00167CB8">
        <w:t xml:space="preserve">It is clear from these </w:t>
      </w:r>
      <w:r w:rsidR="007F4101" w:rsidRPr="00167CB8">
        <w:t>statements by the FWC</w:t>
      </w:r>
      <w:r w:rsidRPr="00167CB8">
        <w:t xml:space="preserve"> that the terms ‘job security’ and ‘access to secure work’ are open to interpretation. The FWC has set out its interpretation (as noted). It is also clear that the FWC has, and is, taking the revised objects into account in their deliberations.</w:t>
      </w:r>
    </w:p>
    <w:p w14:paraId="7AB8CA97" w14:textId="2B35C4A2" w:rsidR="009A1D5D" w:rsidRPr="00167CB8" w:rsidRDefault="009A1D5D" w:rsidP="006000ED">
      <w:r w:rsidRPr="00167CB8">
        <w:t xml:space="preserve">In considering the effect of amendments to the objects of the </w:t>
      </w:r>
      <w:r w:rsidR="00E60C76" w:rsidRPr="00167CB8">
        <w:t>Fair Work Act</w:t>
      </w:r>
      <w:r w:rsidRPr="00167CB8">
        <w:t xml:space="preserve"> on decisions of the FWC, the </w:t>
      </w:r>
      <w:r w:rsidR="0046104D" w:rsidRPr="00167CB8">
        <w:t xml:space="preserve">Expert </w:t>
      </w:r>
      <w:r w:rsidRPr="00167CB8">
        <w:t>Panel began examining decisions in the 2022</w:t>
      </w:r>
      <w:r w:rsidR="00C83147" w:rsidRPr="00167CB8">
        <w:rPr>
          <w:rFonts w:ascii="Symbol" w:eastAsia="Symbol" w:hAnsi="Symbol" w:cs="Symbol"/>
        </w:rPr>
        <w:t>-</w:t>
      </w:r>
      <w:r w:rsidRPr="00167CB8">
        <w:t>23 AWR and 2023</w:t>
      </w:r>
      <w:r w:rsidR="00C83147" w:rsidRPr="00167CB8">
        <w:rPr>
          <w:rFonts w:ascii="Symbol" w:eastAsia="Symbol" w:hAnsi="Symbol" w:cs="Symbol"/>
        </w:rPr>
        <w:t>-</w:t>
      </w:r>
      <w:r w:rsidRPr="00167CB8">
        <w:t xml:space="preserve">24 AWR, the </w:t>
      </w:r>
      <w:r w:rsidR="00C83147" w:rsidRPr="00167CB8">
        <w:lastRenderedPageBreak/>
        <w:t>‘</w:t>
      </w:r>
      <w:r w:rsidRPr="00167CB8">
        <w:t>Aged Care Work Value</w:t>
      </w:r>
      <w:r w:rsidR="00C83147" w:rsidRPr="00167CB8">
        <w:t>’</w:t>
      </w:r>
      <w:r w:rsidRPr="00167CB8">
        <w:t xml:space="preserve"> </w:t>
      </w:r>
      <w:r w:rsidR="00C83147" w:rsidRPr="00167CB8">
        <w:t>c</w:t>
      </w:r>
      <w:r w:rsidRPr="00167CB8">
        <w:t>ase and the Modern Awards Review 2023</w:t>
      </w:r>
      <w:r w:rsidR="00C83147" w:rsidRPr="00167CB8">
        <w:rPr>
          <w:rFonts w:ascii="Symbol" w:eastAsia="Symbol" w:hAnsi="Symbol" w:cs="Symbol"/>
        </w:rPr>
        <w:t>-</w:t>
      </w:r>
      <w:r w:rsidRPr="00167CB8">
        <w:t xml:space="preserve">24. </w:t>
      </w:r>
      <w:r w:rsidR="00BC6EE2" w:rsidRPr="00167CB8">
        <w:t>The Review Panel considers these decisions below</w:t>
      </w:r>
      <w:r w:rsidR="007D5590" w:rsidRPr="00167CB8">
        <w:t xml:space="preserve"> (see also Appendix </w:t>
      </w:r>
      <w:r w:rsidR="0034488F" w:rsidRPr="00167CB8">
        <w:t>9</w:t>
      </w:r>
      <w:r w:rsidR="007D5590" w:rsidRPr="00167CB8">
        <w:t xml:space="preserve"> FWC &amp; Pay equity)</w:t>
      </w:r>
      <w:r w:rsidR="00BC6EE2" w:rsidRPr="00167CB8">
        <w:t>.</w:t>
      </w:r>
    </w:p>
    <w:p w14:paraId="1E40F87F" w14:textId="181F9C6A" w:rsidR="009A1D5D" w:rsidRPr="00167CB8" w:rsidRDefault="0014431C" w:rsidP="009A1D5D">
      <w:pPr>
        <w:pStyle w:val="Heading6"/>
        <w:rPr>
          <w:rFonts w:asciiTheme="minorHAnsi" w:hAnsiTheme="minorHAnsi"/>
        </w:rPr>
      </w:pPr>
      <w:r w:rsidRPr="00167CB8">
        <w:rPr>
          <w:rFonts w:asciiTheme="minorHAnsi" w:hAnsiTheme="minorHAnsi"/>
        </w:rPr>
        <w:t>24</w:t>
      </w:r>
      <w:r w:rsidR="00EE2CFB" w:rsidRPr="00167CB8">
        <w:rPr>
          <w:rFonts w:asciiTheme="minorHAnsi" w:hAnsiTheme="minorHAnsi"/>
        </w:rPr>
        <w:t>.2.2.1</w:t>
      </w:r>
      <w:r w:rsidR="009A1D5D" w:rsidRPr="00167CB8">
        <w:rPr>
          <w:rFonts w:asciiTheme="minorHAnsi" w:hAnsiTheme="minorHAnsi"/>
        </w:rPr>
        <w:t xml:space="preserve"> The 2022</w:t>
      </w:r>
      <w:r w:rsidR="00C83147" w:rsidRPr="00167CB8">
        <w:rPr>
          <w:rFonts w:asciiTheme="minorHAnsi" w:hAnsiTheme="minorHAnsi"/>
        </w:rPr>
        <w:sym w:font="Symbol" w:char="F02D"/>
      </w:r>
      <w:r w:rsidR="009A1D5D" w:rsidRPr="00167CB8">
        <w:rPr>
          <w:rFonts w:asciiTheme="minorHAnsi" w:hAnsiTheme="minorHAnsi"/>
        </w:rPr>
        <w:t xml:space="preserve">23 Annual Wage Review </w:t>
      </w:r>
    </w:p>
    <w:p w14:paraId="3D89DA82" w14:textId="5D401743" w:rsidR="009A1D5D" w:rsidRPr="00167CB8" w:rsidRDefault="0009400F" w:rsidP="006000ED">
      <w:pPr>
        <w:rPr>
          <w:rFonts w:cstheme="minorHAnsi"/>
        </w:rPr>
      </w:pPr>
      <w:r w:rsidRPr="00167CB8">
        <w:t>T</w:t>
      </w:r>
      <w:r w:rsidR="009A1D5D" w:rsidRPr="00167CB8">
        <w:t>he FWC</w:t>
      </w:r>
      <w:r w:rsidR="00D64951" w:rsidRPr="00167CB8">
        <w:t>, constituted by an Expert Panel,</w:t>
      </w:r>
      <w:r w:rsidR="009A1D5D" w:rsidRPr="00167CB8">
        <w:t xml:space="preserve"> is required to review and make an order concerning the </w:t>
      </w:r>
      <w:r w:rsidRPr="00167CB8">
        <w:t xml:space="preserve">national minimum wage </w:t>
      </w:r>
      <w:r w:rsidR="009A1D5D" w:rsidRPr="00167CB8">
        <w:t>and modern award minimum wages</w:t>
      </w:r>
      <w:r w:rsidRPr="00167CB8">
        <w:t xml:space="preserve"> each year (called the Annual Wage Review</w:t>
      </w:r>
      <w:r w:rsidR="00887BED" w:rsidRPr="00167CB8">
        <w:t xml:space="preserve"> </w:t>
      </w:r>
      <w:r w:rsidR="00C83147" w:rsidRPr="00167CB8">
        <w:t>(</w:t>
      </w:r>
      <w:r w:rsidR="00887BED" w:rsidRPr="00167CB8">
        <w:t>AWR</w:t>
      </w:r>
      <w:r w:rsidR="00C83147" w:rsidRPr="00167CB8">
        <w:t>)</w:t>
      </w:r>
      <w:r w:rsidRPr="00167CB8">
        <w:t>)</w:t>
      </w:r>
      <w:r w:rsidR="009A1D5D" w:rsidRPr="00167CB8">
        <w:t>. In the 2022</w:t>
      </w:r>
      <w:r w:rsidR="00C83147" w:rsidRPr="00167CB8">
        <w:rPr>
          <w:rFonts w:ascii="Symbol" w:eastAsia="Symbol" w:hAnsi="Symbol" w:cs="Symbol"/>
        </w:rPr>
        <w:sym w:font="Symbol" w:char="F02D"/>
      </w:r>
      <w:r w:rsidR="009A1D5D" w:rsidRPr="00167CB8">
        <w:t xml:space="preserve">23 AWR the </w:t>
      </w:r>
      <w:r w:rsidR="00D64951" w:rsidRPr="00167CB8">
        <w:t xml:space="preserve">Expert Panel </w:t>
      </w:r>
      <w:r w:rsidR="009A1D5D" w:rsidRPr="00167CB8">
        <w:t xml:space="preserve">noted the </w:t>
      </w:r>
      <w:r w:rsidR="000D7321" w:rsidRPr="00167CB8">
        <w:rPr>
          <w:rFonts w:cstheme="minorHAnsi"/>
        </w:rPr>
        <w:t>Secure Jobs, Better Pay</w:t>
      </w:r>
      <w:r w:rsidR="009A1D5D" w:rsidRPr="00167CB8">
        <w:t xml:space="preserve"> amendments </w:t>
      </w:r>
      <w:r w:rsidR="00887BED" w:rsidRPr="00167CB8">
        <w:t xml:space="preserve">have the effect of </w:t>
      </w:r>
      <w:r w:rsidR="009A1D5D" w:rsidRPr="00167CB8">
        <w:t>giv</w:t>
      </w:r>
      <w:r w:rsidR="00887BED" w:rsidRPr="00167CB8">
        <w:t>ing</w:t>
      </w:r>
      <w:r w:rsidR="009A1D5D" w:rsidRPr="00167CB8">
        <w:t xml:space="preserve"> greater emphasis to the issues of gender equality and job security. They discuss how the amendments were considered at section 2.2 of their decision.</w:t>
      </w:r>
      <w:r w:rsidR="009A1D5D" w:rsidRPr="00167CB8">
        <w:rPr>
          <w:rStyle w:val="FootnoteReference"/>
        </w:rPr>
        <w:footnoteReference w:id="823"/>
      </w:r>
    </w:p>
    <w:p w14:paraId="6C9073CE" w14:textId="71585798" w:rsidR="009A1D5D" w:rsidRPr="00167CB8" w:rsidRDefault="00D64951" w:rsidP="006000ED">
      <w:pPr>
        <w:rPr>
          <w:rFonts w:cstheme="minorHAnsi"/>
        </w:rPr>
      </w:pPr>
      <w:r w:rsidRPr="00167CB8">
        <w:rPr>
          <w:rFonts w:cstheme="minorHAnsi"/>
        </w:rPr>
        <w:t xml:space="preserve">In its decision, the Expert Panel </w:t>
      </w:r>
      <w:r w:rsidR="009A1D5D" w:rsidRPr="00167CB8">
        <w:rPr>
          <w:rFonts w:cstheme="minorHAnsi"/>
        </w:rPr>
        <w:t>refer</w:t>
      </w:r>
      <w:r w:rsidRPr="00167CB8">
        <w:rPr>
          <w:rFonts w:cstheme="minorHAnsi"/>
        </w:rPr>
        <w:t>s</w:t>
      </w:r>
      <w:r w:rsidR="009A1D5D" w:rsidRPr="00167CB8">
        <w:rPr>
          <w:rFonts w:cstheme="minorHAnsi"/>
        </w:rPr>
        <w:t xml:space="preserve"> to the new requirement in the minimum wage objective to ‘achieve gender equality’ and ‘eliminate gender-based undervaluation of work’.</w:t>
      </w:r>
      <w:r w:rsidR="00F62D6F" w:rsidRPr="00167CB8">
        <w:rPr>
          <w:rStyle w:val="FootnoteReference"/>
          <w:rFonts w:cstheme="minorHAnsi"/>
        </w:rPr>
        <w:footnoteReference w:id="824"/>
      </w:r>
      <w:r w:rsidR="009A1D5D" w:rsidRPr="00167CB8">
        <w:rPr>
          <w:rFonts w:cstheme="minorHAnsi"/>
        </w:rPr>
        <w:t xml:space="preserve"> The amendments, they note, mean that AWR decisions must now consider the ‘elimination of gender-based undervaluation’ and gender wage gaps when determining the annual adjustment to minimum wages – a departure from previous principles guiding AWR decisions.</w:t>
      </w:r>
    </w:p>
    <w:p w14:paraId="7CB7AA15" w14:textId="0C78B34F" w:rsidR="009A1D5D" w:rsidRPr="00167CB8" w:rsidRDefault="009A1D5D" w:rsidP="006000ED">
      <w:pPr>
        <w:rPr>
          <w:rFonts w:cstheme="minorHAnsi"/>
        </w:rPr>
      </w:pPr>
      <w:r w:rsidRPr="00167CB8">
        <w:rPr>
          <w:rFonts w:cstheme="minorHAnsi"/>
        </w:rPr>
        <w:t xml:space="preserve">Following consideration of these new objects, the </w:t>
      </w:r>
      <w:r w:rsidR="00E37981" w:rsidRPr="00167CB8">
        <w:rPr>
          <w:rFonts w:cstheme="minorHAnsi"/>
        </w:rPr>
        <w:t xml:space="preserve">Expert Panel </w:t>
      </w:r>
      <w:r w:rsidRPr="00167CB8">
        <w:rPr>
          <w:rFonts w:cstheme="minorHAnsi"/>
        </w:rPr>
        <w:t xml:space="preserve">determined that the historic alignment of the </w:t>
      </w:r>
      <w:r w:rsidR="007D5590" w:rsidRPr="00167CB8">
        <w:rPr>
          <w:rFonts w:cstheme="minorHAnsi"/>
        </w:rPr>
        <w:t xml:space="preserve">National Minimum Wage </w:t>
      </w:r>
      <w:r w:rsidRPr="00167CB8">
        <w:rPr>
          <w:rFonts w:cstheme="minorHAnsi"/>
        </w:rPr>
        <w:t xml:space="preserve">with the C14 wage rate in modern awards (the lowest modern award minimum wage) rate </w:t>
      </w:r>
      <w:r w:rsidR="00E37981" w:rsidRPr="00167CB8">
        <w:rPr>
          <w:rFonts w:cstheme="minorHAnsi"/>
        </w:rPr>
        <w:t xml:space="preserve">should </w:t>
      </w:r>
      <w:r w:rsidRPr="00167CB8">
        <w:rPr>
          <w:rFonts w:cstheme="minorHAnsi"/>
        </w:rPr>
        <w:t>be ended and that there should be a wider review</w:t>
      </w:r>
      <w:r w:rsidR="000B0E1C" w:rsidRPr="00167CB8">
        <w:rPr>
          <w:rFonts w:cstheme="minorHAnsi"/>
        </w:rPr>
        <w:t>,</w:t>
      </w:r>
      <w:r w:rsidRPr="00167CB8">
        <w:rPr>
          <w:rFonts w:cstheme="minorHAnsi"/>
        </w:rPr>
        <w:t xml:space="preserve"> with supporting research</w:t>
      </w:r>
      <w:r w:rsidR="000B0E1C" w:rsidRPr="00167CB8">
        <w:rPr>
          <w:rFonts w:cstheme="minorHAnsi"/>
        </w:rPr>
        <w:t>,</w:t>
      </w:r>
      <w:r w:rsidRPr="00167CB8">
        <w:rPr>
          <w:rFonts w:cstheme="minorHAnsi"/>
        </w:rPr>
        <w:t xml:space="preserve"> as to the appropriate level </w:t>
      </w:r>
      <w:r w:rsidR="000B0E1C" w:rsidRPr="00167CB8">
        <w:rPr>
          <w:rFonts w:cstheme="minorHAnsi"/>
        </w:rPr>
        <w:t xml:space="preserve">of alignment </w:t>
      </w:r>
      <w:r w:rsidRPr="00167CB8">
        <w:rPr>
          <w:rFonts w:cstheme="minorHAnsi"/>
        </w:rPr>
        <w:t xml:space="preserve">for the </w:t>
      </w:r>
      <w:r w:rsidR="007D5590" w:rsidRPr="00167CB8">
        <w:rPr>
          <w:rFonts w:cstheme="minorHAnsi"/>
        </w:rPr>
        <w:t>National Minimum Wage</w:t>
      </w:r>
      <w:r w:rsidRPr="00167CB8">
        <w:rPr>
          <w:rFonts w:cstheme="minorHAnsi"/>
        </w:rPr>
        <w:t>.</w:t>
      </w:r>
    </w:p>
    <w:p w14:paraId="2D04D866" w14:textId="0D8387AA" w:rsidR="009A1D5D" w:rsidRPr="00167CB8" w:rsidRDefault="009A1D5D" w:rsidP="006000ED">
      <w:pPr>
        <w:rPr>
          <w:rFonts w:cstheme="minorHAnsi"/>
        </w:rPr>
      </w:pPr>
      <w:r w:rsidRPr="00167CB8">
        <w:rPr>
          <w:rFonts w:cstheme="minorHAnsi"/>
        </w:rPr>
        <w:t>The</w:t>
      </w:r>
      <w:r w:rsidRPr="00167CB8" w:rsidDel="000B0E1C">
        <w:rPr>
          <w:rFonts w:cstheme="minorHAnsi"/>
        </w:rPr>
        <w:t xml:space="preserve"> </w:t>
      </w:r>
      <w:r w:rsidR="000B0E1C" w:rsidRPr="00167CB8">
        <w:rPr>
          <w:rFonts w:cstheme="minorHAnsi"/>
        </w:rPr>
        <w:t xml:space="preserve">Expert Panel </w:t>
      </w:r>
      <w:r w:rsidRPr="00167CB8">
        <w:rPr>
          <w:rFonts w:cstheme="minorHAnsi"/>
        </w:rPr>
        <w:t xml:space="preserve">also determined that the </w:t>
      </w:r>
      <w:r w:rsidR="007D5590" w:rsidRPr="00167CB8">
        <w:rPr>
          <w:rFonts w:cstheme="minorHAnsi"/>
        </w:rPr>
        <w:t>National Minimum Wage</w:t>
      </w:r>
      <w:r w:rsidRPr="00167CB8">
        <w:rPr>
          <w:rFonts w:cstheme="minorHAnsi"/>
        </w:rPr>
        <w:t xml:space="preserve"> and the minimum rates in modern awards be increased by 5.75%. This was significantly higher than the general rate of wage growth for the workforce at that time. A stated factor weighing in their decision to award this increase was evidence showing that women are disproportionately award-reliant and that the new minimum wage objective requires that the </w:t>
      </w:r>
      <w:r w:rsidR="00790D84" w:rsidRPr="00167CB8">
        <w:rPr>
          <w:rFonts w:cstheme="minorHAnsi"/>
        </w:rPr>
        <w:t xml:space="preserve">Expert Panel </w:t>
      </w:r>
      <w:r w:rsidRPr="00167CB8">
        <w:rPr>
          <w:rFonts w:cstheme="minorHAnsi"/>
        </w:rPr>
        <w:t>take the gender pay gap into account</w:t>
      </w:r>
      <w:r w:rsidR="00790D84" w:rsidRPr="00167CB8">
        <w:rPr>
          <w:rFonts w:cstheme="minorHAnsi"/>
        </w:rPr>
        <w:t xml:space="preserve"> in determining the minimum rates in modern awards</w:t>
      </w:r>
      <w:r w:rsidRPr="00167CB8">
        <w:rPr>
          <w:rFonts w:cstheme="minorHAnsi"/>
        </w:rPr>
        <w:t>.</w:t>
      </w:r>
      <w:r w:rsidR="004F3355" w:rsidRPr="00167CB8">
        <w:rPr>
          <w:rStyle w:val="FootnoteReference"/>
          <w:rFonts w:cstheme="minorHAnsi"/>
        </w:rPr>
        <w:footnoteReference w:id="825"/>
      </w:r>
      <w:r w:rsidRPr="00167CB8">
        <w:rPr>
          <w:rFonts w:cstheme="minorHAnsi"/>
        </w:rPr>
        <w:t xml:space="preserve"> </w:t>
      </w:r>
    </w:p>
    <w:p w14:paraId="2DEE82C5" w14:textId="7EC945FE" w:rsidR="009A1D5D" w:rsidRPr="00167CB8" w:rsidRDefault="0014431C" w:rsidP="009A1D5D">
      <w:pPr>
        <w:pStyle w:val="Heading6"/>
        <w:rPr>
          <w:rFonts w:asciiTheme="minorHAnsi" w:hAnsiTheme="minorHAnsi"/>
        </w:rPr>
      </w:pPr>
      <w:r w:rsidRPr="00167CB8">
        <w:rPr>
          <w:rFonts w:asciiTheme="minorHAnsi" w:hAnsiTheme="minorHAnsi"/>
        </w:rPr>
        <w:t>24</w:t>
      </w:r>
      <w:r w:rsidR="00B26085" w:rsidRPr="00167CB8">
        <w:rPr>
          <w:rFonts w:asciiTheme="minorHAnsi" w:hAnsiTheme="minorHAnsi"/>
        </w:rPr>
        <w:t>.2.2.2</w:t>
      </w:r>
      <w:r w:rsidR="009A1D5D" w:rsidRPr="00167CB8">
        <w:rPr>
          <w:rFonts w:asciiTheme="minorHAnsi" w:hAnsiTheme="minorHAnsi"/>
        </w:rPr>
        <w:t xml:space="preserve"> The 2023</w:t>
      </w:r>
      <w:r w:rsidR="00C83147" w:rsidRPr="00167CB8">
        <w:rPr>
          <w:rFonts w:asciiTheme="minorHAnsi" w:hAnsiTheme="minorHAnsi"/>
        </w:rPr>
        <w:sym w:font="Symbol" w:char="F02D"/>
      </w:r>
      <w:r w:rsidR="009A1D5D" w:rsidRPr="00167CB8">
        <w:rPr>
          <w:rFonts w:asciiTheme="minorHAnsi" w:hAnsiTheme="minorHAnsi"/>
        </w:rPr>
        <w:t xml:space="preserve">24 Annual Wage Review </w:t>
      </w:r>
    </w:p>
    <w:p w14:paraId="321B7E82" w14:textId="31D5C21E" w:rsidR="009A1D5D" w:rsidRPr="00167CB8" w:rsidRDefault="009A1D5D" w:rsidP="006000ED">
      <w:r w:rsidRPr="00167CB8">
        <w:t>In the 2023</w:t>
      </w:r>
      <w:r w:rsidR="00C83147" w:rsidRPr="00167CB8">
        <w:rPr>
          <w:rFonts w:ascii="Symbol" w:eastAsia="Symbol" w:hAnsi="Symbol" w:cs="Symbol"/>
        </w:rPr>
        <w:sym w:font="Symbol" w:char="F02D"/>
      </w:r>
      <w:r w:rsidRPr="00167CB8">
        <w:t xml:space="preserve">24 AWR decision the </w:t>
      </w:r>
      <w:r w:rsidR="000A0EAA" w:rsidRPr="00167CB8">
        <w:t xml:space="preserve">Expert Panel </w:t>
      </w:r>
      <w:r w:rsidRPr="00167CB8">
        <w:t>expressly considered the modern award objective of needing to improve access to secure work across the economy</w:t>
      </w:r>
      <w:r w:rsidRPr="00167CB8">
        <w:rPr>
          <w:rStyle w:val="FootnoteReference"/>
        </w:rPr>
        <w:footnoteReference w:id="826"/>
      </w:r>
      <w:r w:rsidRPr="00167CB8">
        <w:t xml:space="preserve"> and the potential impacts of their decision on casual employees.</w:t>
      </w:r>
      <w:r w:rsidRPr="00167CB8">
        <w:rPr>
          <w:vertAlign w:val="superscript"/>
        </w:rPr>
        <w:footnoteReference w:id="827"/>
      </w:r>
      <w:r w:rsidRPr="00167CB8">
        <w:t xml:space="preserve">  </w:t>
      </w:r>
    </w:p>
    <w:p w14:paraId="58503308" w14:textId="52B99908" w:rsidR="00312EA1" w:rsidRPr="00167CB8" w:rsidRDefault="00312EA1" w:rsidP="00312EA1">
      <w:r w:rsidRPr="00167CB8">
        <w:t xml:space="preserve">The Expert Panel also </w:t>
      </w:r>
      <w:r w:rsidR="00C83147" w:rsidRPr="00167CB8">
        <w:t>‘</w:t>
      </w:r>
      <w:r w:rsidRPr="00167CB8">
        <w:t>decided to increase the National Minimum Wage and all modern award minimum wage rates by 3.75 per cent, effective from 1 July 2024</w:t>
      </w:r>
      <w:r w:rsidR="00C83147" w:rsidRPr="00167CB8">
        <w:t>’,</w:t>
      </w:r>
      <w:r w:rsidRPr="00167CB8">
        <w:rPr>
          <w:rStyle w:val="FootnoteReference"/>
        </w:rPr>
        <w:footnoteReference w:id="828"/>
      </w:r>
      <w:r w:rsidRPr="00167CB8">
        <w:t xml:space="preserve"> noting that it had considered a number of </w:t>
      </w:r>
      <w:r w:rsidR="00E60C76" w:rsidRPr="00167CB8">
        <w:t>Fair Work Act</w:t>
      </w:r>
      <w:r w:rsidRPr="00167CB8">
        <w:t xml:space="preserve"> requirements</w:t>
      </w:r>
      <w:r w:rsidR="00C83147" w:rsidRPr="00167CB8">
        <w:t>,</w:t>
      </w:r>
      <w:r w:rsidRPr="00167CB8">
        <w:t xml:space="preserve"> including the need to achieve gender equality,</w:t>
      </w:r>
      <w:r w:rsidRPr="00167CB8">
        <w:rPr>
          <w:rStyle w:val="FootnoteReference"/>
        </w:rPr>
        <w:footnoteReference w:id="829"/>
      </w:r>
      <w:r w:rsidRPr="00167CB8">
        <w:t xml:space="preserve"> and set out its program for </w:t>
      </w:r>
      <w:r w:rsidR="00C83147" w:rsidRPr="00167CB8">
        <w:t>‘</w:t>
      </w:r>
      <w:r w:rsidRPr="00167CB8">
        <w:t>the timely resolution of gender undervaluation issues arising in respect of certain modern awards</w:t>
      </w:r>
      <w:r w:rsidR="00C83147" w:rsidRPr="00167CB8">
        <w:t>’</w:t>
      </w:r>
      <w:r w:rsidR="000C61D4" w:rsidRPr="00167CB8">
        <w:t>.</w:t>
      </w:r>
      <w:r w:rsidRPr="00167CB8">
        <w:rPr>
          <w:rStyle w:val="FootnoteReference"/>
        </w:rPr>
        <w:footnoteReference w:id="830"/>
      </w:r>
    </w:p>
    <w:p w14:paraId="63D10AE1" w14:textId="3530B2FB" w:rsidR="009A1D5D" w:rsidRPr="00167CB8" w:rsidRDefault="0014431C" w:rsidP="00EE13E0">
      <w:pPr>
        <w:pStyle w:val="Heading6"/>
      </w:pPr>
      <w:r w:rsidRPr="00167CB8">
        <w:rPr>
          <w:rFonts w:cstheme="minorHAnsi"/>
        </w:rPr>
        <w:t>24</w:t>
      </w:r>
      <w:r w:rsidR="00B26085" w:rsidRPr="00167CB8">
        <w:rPr>
          <w:rFonts w:cstheme="minorHAnsi"/>
        </w:rPr>
        <w:t>.2.2.3</w:t>
      </w:r>
      <w:r w:rsidR="009A1D5D" w:rsidRPr="00167CB8">
        <w:t xml:space="preserve"> Aged Care Work Value </w:t>
      </w:r>
      <w:r w:rsidR="00C83147" w:rsidRPr="00167CB8">
        <w:t>c</w:t>
      </w:r>
      <w:r w:rsidR="009A1D5D" w:rsidRPr="00167CB8">
        <w:t xml:space="preserve">ase </w:t>
      </w:r>
    </w:p>
    <w:p w14:paraId="659B48C8" w14:textId="4CE1D30D" w:rsidR="009A1D5D" w:rsidRPr="00167CB8" w:rsidRDefault="00245AA5" w:rsidP="006000ED">
      <w:r w:rsidRPr="00167CB8">
        <w:t xml:space="preserve">In the Aged Care Work Value </w:t>
      </w:r>
      <w:r w:rsidR="00C83147" w:rsidRPr="00167CB8">
        <w:t>c</w:t>
      </w:r>
      <w:r w:rsidRPr="00167CB8">
        <w:t>ase, t</w:t>
      </w:r>
      <w:r w:rsidR="009A1D5D" w:rsidRPr="00167CB8">
        <w:t xml:space="preserve">he </w:t>
      </w:r>
      <w:r w:rsidR="000C1737" w:rsidRPr="00167CB8">
        <w:t>Full Bench of the</w:t>
      </w:r>
      <w:r w:rsidR="009A1D5D" w:rsidRPr="00167CB8">
        <w:t xml:space="preserve"> FWC also took into consideration the revised Objects in its Stage 2 (February 2023) and Stage 3 (March 2024) decisions. For example, </w:t>
      </w:r>
      <w:r w:rsidR="009A1D5D" w:rsidRPr="00167CB8">
        <w:lastRenderedPageBreak/>
        <w:t>the FWC</w:t>
      </w:r>
      <w:r w:rsidR="009A1D5D" w:rsidRPr="00167CB8" w:rsidDel="002D7319">
        <w:t xml:space="preserve"> </w:t>
      </w:r>
      <w:r w:rsidR="002D7319" w:rsidRPr="00167CB8">
        <w:t xml:space="preserve">considered </w:t>
      </w:r>
      <w:r w:rsidR="009A1D5D" w:rsidRPr="00167CB8">
        <w:t xml:space="preserve">the impacts of pay rises on staff recruitment and retention (in its consideration of the need to improve access to secure work across the economy) and noted that the rate changes do not </w:t>
      </w:r>
      <w:r w:rsidR="00C83147" w:rsidRPr="00167CB8">
        <w:t>‘</w:t>
      </w:r>
      <w:r w:rsidR="009A1D5D" w:rsidRPr="00167CB8">
        <w:t>provide either lower or higher levels of secure work or job security from an employee perspective</w:t>
      </w:r>
      <w:r w:rsidR="00C83147" w:rsidRPr="00167CB8">
        <w:t>’</w:t>
      </w:r>
      <w:r w:rsidR="009A1D5D" w:rsidRPr="00167CB8">
        <w:t>.</w:t>
      </w:r>
      <w:r w:rsidR="009A1D5D" w:rsidRPr="00167CB8">
        <w:rPr>
          <w:rStyle w:val="FootnoteReference"/>
        </w:rPr>
        <w:footnoteReference w:id="831"/>
      </w:r>
    </w:p>
    <w:p w14:paraId="114401D7" w14:textId="0E6A7B35" w:rsidR="009A1D5D" w:rsidRPr="00167CB8" w:rsidRDefault="0014431C" w:rsidP="009A1D5D">
      <w:pPr>
        <w:pStyle w:val="Heading6"/>
        <w:rPr>
          <w:rFonts w:asciiTheme="minorHAnsi" w:hAnsiTheme="minorHAnsi"/>
        </w:rPr>
      </w:pPr>
      <w:r w:rsidRPr="00167CB8">
        <w:rPr>
          <w:rFonts w:asciiTheme="minorHAnsi" w:hAnsiTheme="minorHAnsi"/>
        </w:rPr>
        <w:t>24</w:t>
      </w:r>
      <w:r w:rsidR="00B26085" w:rsidRPr="00167CB8">
        <w:rPr>
          <w:rFonts w:asciiTheme="minorHAnsi" w:hAnsiTheme="minorHAnsi"/>
        </w:rPr>
        <w:t>.2.2.4</w:t>
      </w:r>
      <w:r w:rsidR="009A1D5D" w:rsidRPr="00167CB8">
        <w:rPr>
          <w:rFonts w:asciiTheme="minorHAnsi" w:hAnsiTheme="minorHAnsi"/>
        </w:rPr>
        <w:t xml:space="preserve"> Modern Awards Review 2023</w:t>
      </w:r>
      <w:r w:rsidR="00C83147" w:rsidRPr="00167CB8">
        <w:rPr>
          <w:rFonts w:asciiTheme="minorHAnsi" w:hAnsiTheme="minorHAnsi"/>
        </w:rPr>
        <w:sym w:font="Symbol" w:char="F02D"/>
      </w:r>
      <w:r w:rsidR="009A1D5D" w:rsidRPr="00167CB8">
        <w:rPr>
          <w:rFonts w:asciiTheme="minorHAnsi" w:hAnsiTheme="minorHAnsi"/>
        </w:rPr>
        <w:t>24</w:t>
      </w:r>
    </w:p>
    <w:p w14:paraId="376A3AD3" w14:textId="2DC889D1" w:rsidR="000B6B5C" w:rsidRPr="00167CB8" w:rsidRDefault="009A1D5D" w:rsidP="006000ED">
      <w:r w:rsidRPr="00167CB8">
        <w:t xml:space="preserve">The FWC </w:t>
      </w:r>
      <w:r w:rsidRPr="00167CB8" w:rsidDel="00EC468A">
        <w:t xml:space="preserve">is </w:t>
      </w:r>
      <w:r w:rsidR="00EC468A" w:rsidRPr="00167CB8">
        <w:t xml:space="preserve">the body responsible for the safety net of </w:t>
      </w:r>
      <w:r w:rsidRPr="00167CB8">
        <w:t>modern awards</w:t>
      </w:r>
      <w:r w:rsidR="00FE1A9A" w:rsidRPr="00167CB8">
        <w:t>.</w:t>
      </w:r>
      <w:r w:rsidRPr="00167CB8">
        <w:t xml:space="preserve"> </w:t>
      </w:r>
      <w:r w:rsidR="00FE1A9A" w:rsidRPr="00167CB8">
        <w:t xml:space="preserve">The FWC </w:t>
      </w:r>
      <w:r w:rsidR="00EC468A" w:rsidRPr="00167CB8">
        <w:t xml:space="preserve">must </w:t>
      </w:r>
      <w:r w:rsidRPr="00167CB8">
        <w:t>ensure that the</w:t>
      </w:r>
      <w:r w:rsidR="00EC468A" w:rsidRPr="00167CB8">
        <w:t xml:space="preserve"> safety net</w:t>
      </w:r>
      <w:r w:rsidRPr="00167CB8">
        <w:t xml:space="preserve"> remain</w:t>
      </w:r>
      <w:r w:rsidR="00FE1A9A" w:rsidRPr="00167CB8">
        <w:t xml:space="preserve">s a fair and relevant minimum safety net taking into account </w:t>
      </w:r>
      <w:r w:rsidR="00B957C6" w:rsidRPr="00167CB8">
        <w:t>certain social and economic factors</w:t>
      </w:r>
      <w:r w:rsidRPr="00167CB8">
        <w:t xml:space="preserve">.  </w:t>
      </w:r>
    </w:p>
    <w:p w14:paraId="79075F22" w14:textId="18A1F219" w:rsidR="009A1D5D" w:rsidRPr="00167CB8" w:rsidRDefault="009A1D5D" w:rsidP="006000ED">
      <w:r w:rsidRPr="00167CB8">
        <w:t xml:space="preserve">The FWC announced the commencement of </w:t>
      </w:r>
      <w:r w:rsidR="00E3361F" w:rsidRPr="00167CB8">
        <w:t xml:space="preserve">a </w:t>
      </w:r>
      <w:r w:rsidRPr="00167CB8">
        <w:t>review of modern awards on 15 September 2023 (the Modern Awards Review 2023</w:t>
      </w:r>
      <w:r w:rsidR="00C83147" w:rsidRPr="00167CB8">
        <w:rPr>
          <w:rFonts w:ascii="Symbol" w:eastAsia="Symbol" w:hAnsi="Symbol" w:cs="Symbol"/>
        </w:rPr>
        <w:sym w:font="Symbol" w:char="F02D"/>
      </w:r>
      <w:r w:rsidRPr="00167CB8">
        <w:t>24).</w:t>
      </w:r>
      <w:r w:rsidRPr="00167CB8">
        <w:rPr>
          <w:rStyle w:val="FootnoteReference"/>
        </w:rPr>
        <w:footnoteReference w:id="832"/>
      </w:r>
      <w:r w:rsidRPr="00167CB8">
        <w:t xml:space="preserve"> </w:t>
      </w:r>
      <w:r w:rsidR="000B6B5C" w:rsidRPr="00167CB8">
        <w:t>Consistent</w:t>
      </w:r>
      <w:r w:rsidRPr="00167CB8">
        <w:t xml:space="preserve"> with the revised Objects in the </w:t>
      </w:r>
      <w:r w:rsidR="00E60C76" w:rsidRPr="00167CB8">
        <w:t>Fair Work Act</w:t>
      </w:r>
      <w:r w:rsidRPr="00167CB8">
        <w:t xml:space="preserve">, job security was identified as a priority topic for </w:t>
      </w:r>
      <w:r w:rsidR="00E3361F" w:rsidRPr="00167CB8">
        <w:t>this review</w:t>
      </w:r>
      <w:r w:rsidRPr="00167CB8">
        <w:t>, with emphasis given to reviewing fixed</w:t>
      </w:r>
      <w:r w:rsidR="00C83147" w:rsidRPr="00167CB8">
        <w:t>-</w:t>
      </w:r>
      <w:r w:rsidRPr="00167CB8">
        <w:t>term contract provisions in higher education awards (this is currently underway)</w:t>
      </w:r>
      <w:r w:rsidRPr="00167CB8">
        <w:rPr>
          <w:rStyle w:val="FootnoteReference"/>
        </w:rPr>
        <w:footnoteReference w:id="833"/>
      </w:r>
      <w:r w:rsidRPr="00167CB8">
        <w:t xml:space="preserve"> and part-time provisions in awards (this will commence in 2025).</w:t>
      </w:r>
    </w:p>
    <w:p w14:paraId="2AD986E0" w14:textId="427C1793" w:rsidR="009A1D5D" w:rsidRPr="00167CB8" w:rsidRDefault="0014431C" w:rsidP="009A1D5D">
      <w:pPr>
        <w:pStyle w:val="Heading5"/>
        <w:rPr>
          <w:rFonts w:asciiTheme="minorHAnsi" w:hAnsiTheme="minorHAnsi"/>
        </w:rPr>
      </w:pPr>
      <w:bookmarkStart w:id="327" w:name="_Toc188003368"/>
      <w:r w:rsidRPr="00167CB8">
        <w:rPr>
          <w:rFonts w:asciiTheme="minorHAnsi" w:hAnsiTheme="minorHAnsi"/>
        </w:rPr>
        <w:t>24</w:t>
      </w:r>
      <w:r w:rsidR="00EE13E0" w:rsidRPr="00167CB8">
        <w:rPr>
          <w:rFonts w:asciiTheme="minorHAnsi" w:hAnsiTheme="minorHAnsi"/>
        </w:rPr>
        <w:t>.</w:t>
      </w:r>
      <w:r w:rsidR="00B94DF4" w:rsidRPr="00167CB8">
        <w:rPr>
          <w:rFonts w:asciiTheme="minorHAnsi" w:hAnsiTheme="minorHAnsi"/>
        </w:rPr>
        <w:t>2.3</w:t>
      </w:r>
      <w:r w:rsidR="009A1D5D" w:rsidRPr="00167CB8">
        <w:rPr>
          <w:rFonts w:asciiTheme="minorHAnsi" w:hAnsiTheme="minorHAnsi"/>
        </w:rPr>
        <w:t xml:space="preserve"> Stakeholder views</w:t>
      </w:r>
      <w:bookmarkEnd w:id="327"/>
    </w:p>
    <w:p w14:paraId="76180C06" w14:textId="551A5BA5" w:rsidR="009A1D5D" w:rsidRPr="00167CB8" w:rsidRDefault="009A1D5D" w:rsidP="006000ED">
      <w:r w:rsidRPr="00167CB8">
        <w:t xml:space="preserve">Union parties welcomed the amended </w:t>
      </w:r>
      <w:r w:rsidR="00186C42" w:rsidRPr="00167CB8">
        <w:t xml:space="preserve">Objects </w:t>
      </w:r>
      <w:r w:rsidRPr="00167CB8">
        <w:t>and noted that</w:t>
      </w:r>
      <w:r w:rsidR="00C83147" w:rsidRPr="00167CB8">
        <w:t>,</w:t>
      </w:r>
      <w:r w:rsidRPr="00167CB8">
        <w:t xml:space="preserve"> since coming into effect</w:t>
      </w:r>
      <w:r w:rsidR="00C83147" w:rsidRPr="00167CB8">
        <w:t>,</w:t>
      </w:r>
      <w:r w:rsidRPr="00167CB8">
        <w:t xml:space="preserve"> the FWC has changed its approach to Modern Awards Reviews. As evidence</w:t>
      </w:r>
      <w:r w:rsidR="000C1737" w:rsidRPr="00167CB8">
        <w:t>,</w:t>
      </w:r>
      <w:r w:rsidRPr="00167CB8">
        <w:t xml:space="preserve"> they note that issues such as part-time work and quality jobs are now on the agenda. They also welcomed FWC</w:t>
      </w:r>
      <w:r w:rsidR="003E781A" w:rsidRPr="00167CB8">
        <w:t>’s</w:t>
      </w:r>
      <w:r w:rsidRPr="00167CB8">
        <w:t xml:space="preserve"> research, noting the value of the FWC’s ‘Gender Prism’ analysis used to identify key differences in award entitlements in male and female awards.</w:t>
      </w:r>
    </w:p>
    <w:p w14:paraId="13923B6B" w14:textId="17D166E7" w:rsidR="009A1D5D" w:rsidRPr="00167CB8" w:rsidRDefault="009A1D5D" w:rsidP="006000ED">
      <w:r w:rsidRPr="00167CB8">
        <w:t>Employer</w:t>
      </w:r>
      <w:r w:rsidRPr="00167CB8" w:rsidDel="00142D64">
        <w:t xml:space="preserve"> </w:t>
      </w:r>
      <w:r w:rsidR="00142D64" w:rsidRPr="00167CB8">
        <w:t>associations</w:t>
      </w:r>
      <w:r w:rsidRPr="00167CB8">
        <w:t xml:space="preserve"> raised concerns about the affordability of higher wages and increased entitlements arising from the FWC application of the new </w:t>
      </w:r>
      <w:r w:rsidR="003E781A" w:rsidRPr="00167CB8">
        <w:t>Objects</w:t>
      </w:r>
      <w:r w:rsidRPr="00167CB8">
        <w:t>.</w:t>
      </w:r>
      <w:r w:rsidRPr="00167CB8">
        <w:rPr>
          <w:rStyle w:val="FootnoteReference"/>
        </w:rPr>
        <w:footnoteReference w:id="834"/>
      </w:r>
      <w:r w:rsidRPr="00167CB8">
        <w:t xml:space="preserve"> </w:t>
      </w:r>
      <w:r w:rsidR="00C83147" w:rsidRPr="00167CB8">
        <w:t xml:space="preserve">The Australian Chamber of Commerce and Industry </w:t>
      </w:r>
      <w:r w:rsidRPr="00167CB8">
        <w:t>submitted that ongoing business viability and productivity growth should be considered as part of job security (as businesses which cannot absorb the cost increases will collapse or layoff staff, contrary to the goals of secure work).</w:t>
      </w:r>
      <w:r w:rsidRPr="00167CB8">
        <w:rPr>
          <w:rStyle w:val="FootnoteReference"/>
        </w:rPr>
        <w:footnoteReference w:id="835"/>
      </w:r>
    </w:p>
    <w:p w14:paraId="6BFE2773" w14:textId="12B35DB4" w:rsidR="009A1D5D" w:rsidRPr="00167CB8" w:rsidRDefault="009A1D5D" w:rsidP="006000ED">
      <w:r w:rsidRPr="00167CB8">
        <w:t xml:space="preserve">Some stakeholders suggested further amendments to the </w:t>
      </w:r>
      <w:r w:rsidR="00990504" w:rsidRPr="00167CB8">
        <w:t>Objects</w:t>
      </w:r>
      <w:r w:rsidRPr="00167CB8">
        <w:t>, such as a need to consider any government funding commitments (or a lack thereof), an approach to First Nations wage redress, and business viability.</w:t>
      </w:r>
      <w:r w:rsidRPr="00167CB8">
        <w:rPr>
          <w:rStyle w:val="FootnoteReference"/>
        </w:rPr>
        <w:footnoteReference w:id="836"/>
      </w:r>
    </w:p>
    <w:p w14:paraId="103C4DBB" w14:textId="6631E110" w:rsidR="009A1D5D" w:rsidRPr="00167CB8" w:rsidRDefault="0014431C" w:rsidP="009A1D5D">
      <w:pPr>
        <w:pStyle w:val="Heading4"/>
        <w:rPr>
          <w:rFonts w:asciiTheme="minorHAnsi" w:hAnsiTheme="minorHAnsi"/>
        </w:rPr>
      </w:pPr>
      <w:bookmarkStart w:id="328" w:name="_Toc188003369"/>
      <w:bookmarkStart w:id="329" w:name="_Toc188277935"/>
      <w:bookmarkStart w:id="330" w:name="_Toc189260287"/>
      <w:bookmarkStart w:id="331" w:name="_Toc189393603"/>
      <w:r w:rsidRPr="00167CB8">
        <w:rPr>
          <w:rFonts w:asciiTheme="minorHAnsi" w:hAnsiTheme="minorHAnsi"/>
        </w:rPr>
        <w:lastRenderedPageBreak/>
        <w:t>24</w:t>
      </w:r>
      <w:r w:rsidR="00B94DF4" w:rsidRPr="00167CB8">
        <w:rPr>
          <w:rFonts w:asciiTheme="minorHAnsi" w:hAnsiTheme="minorHAnsi"/>
        </w:rPr>
        <w:t>.3</w:t>
      </w:r>
      <w:r w:rsidR="009A1D5D" w:rsidRPr="00167CB8">
        <w:rPr>
          <w:rFonts w:asciiTheme="minorHAnsi" w:hAnsiTheme="minorHAnsi"/>
        </w:rPr>
        <w:t xml:space="preserve"> Findings </w:t>
      </w:r>
      <w:r w:rsidR="00C83147" w:rsidRPr="00167CB8">
        <w:rPr>
          <w:rFonts w:asciiTheme="minorHAnsi" w:hAnsiTheme="minorHAnsi"/>
        </w:rPr>
        <w:t>and r</w:t>
      </w:r>
      <w:r w:rsidR="009A1D5D" w:rsidRPr="00167CB8">
        <w:rPr>
          <w:rFonts w:asciiTheme="minorHAnsi" w:hAnsiTheme="minorHAnsi"/>
        </w:rPr>
        <w:t>ecommendations</w:t>
      </w:r>
      <w:bookmarkEnd w:id="328"/>
      <w:bookmarkEnd w:id="329"/>
      <w:bookmarkEnd w:id="330"/>
      <w:bookmarkEnd w:id="331"/>
    </w:p>
    <w:p w14:paraId="747EC896" w14:textId="5F186BD0" w:rsidR="009A1D5D" w:rsidRPr="00167CB8" w:rsidRDefault="009A1D5D" w:rsidP="006000ED">
      <w:r w:rsidRPr="00167CB8">
        <w:t xml:space="preserve">The Review Panel is satisfied that the amendments to the Objects of the </w:t>
      </w:r>
      <w:r w:rsidR="00E60C76" w:rsidRPr="00167CB8">
        <w:t>Fair Work Act</w:t>
      </w:r>
      <w:r w:rsidRPr="00167CB8">
        <w:t xml:space="preserve"> are having their intended effect; there is demonstrated evidence that the amended Objects are central to considerations by the FWC in its AWR</w:t>
      </w:r>
      <w:r w:rsidR="00C83147" w:rsidRPr="00167CB8">
        <w:t>s</w:t>
      </w:r>
      <w:r w:rsidRPr="00167CB8">
        <w:t xml:space="preserve"> and other reviews. </w:t>
      </w:r>
    </w:p>
    <w:p w14:paraId="3EE21189" w14:textId="5021B797" w:rsidR="009A1D5D" w:rsidRPr="00167CB8" w:rsidRDefault="009A1D5D" w:rsidP="006000ED">
      <w:r w:rsidRPr="00167CB8">
        <w:t xml:space="preserve">While the terms ‘job security’ and ‘access to secure work’ are open to interpretation, the Review Panel is also satisfied with the </w:t>
      </w:r>
      <w:r w:rsidR="00977EB8" w:rsidRPr="00167CB8">
        <w:t xml:space="preserve">FWC’s </w:t>
      </w:r>
      <w:r w:rsidRPr="00167CB8">
        <w:t xml:space="preserve">careful consideration </w:t>
      </w:r>
      <w:r w:rsidR="00F66D9A" w:rsidRPr="00167CB8">
        <w:t xml:space="preserve">of </w:t>
      </w:r>
      <w:r w:rsidRPr="00167CB8">
        <w:t>these Objects and business viability in its decision making</w:t>
      </w:r>
      <w:r w:rsidR="00F66D9A" w:rsidRPr="00167CB8">
        <w:t>. Therefore, the Panel</w:t>
      </w:r>
      <w:r w:rsidRPr="00167CB8">
        <w:t xml:space="preserve"> is of the view that no further legislative amendments are required to define or give clarity to the terms.</w:t>
      </w:r>
    </w:p>
    <w:p w14:paraId="01C7961B" w14:textId="3D7D6D3B" w:rsidR="009A1D5D" w:rsidRPr="00167CB8" w:rsidRDefault="009A1D5D" w:rsidP="006000ED">
      <w:r w:rsidRPr="00167CB8">
        <w:t xml:space="preserve">The Review Panel similarly sees no value in amending the Objects to include reference to government funding and procurement activities. While acknowledging that express funding commitments have bolstered equal remuneration decisions of the FWC (discussed further in </w:t>
      </w:r>
      <w:r w:rsidR="00034853" w:rsidRPr="00167CB8">
        <w:t>C</w:t>
      </w:r>
      <w:r w:rsidRPr="00167CB8">
        <w:t xml:space="preserve">hapter </w:t>
      </w:r>
      <w:r w:rsidR="009F034D" w:rsidRPr="00167CB8">
        <w:t>25</w:t>
      </w:r>
      <w:r w:rsidRPr="00167CB8">
        <w:t xml:space="preserve"> (</w:t>
      </w:r>
      <w:r w:rsidR="00034853" w:rsidRPr="00167CB8">
        <w:t xml:space="preserve">Equal </w:t>
      </w:r>
      <w:r w:rsidR="00C83147" w:rsidRPr="00167CB8">
        <w:t>r</w:t>
      </w:r>
      <w:r w:rsidR="00034853" w:rsidRPr="00167CB8">
        <w:t>emuneration</w:t>
      </w:r>
      <w:r w:rsidRPr="00167CB8">
        <w:t>))</w:t>
      </w:r>
      <w:r w:rsidR="00C83147" w:rsidRPr="00167CB8">
        <w:t>,</w:t>
      </w:r>
      <w:r w:rsidRPr="00167CB8">
        <w:t xml:space="preserve"> the Review Panel’s view is that funding commitments and procurement activities may be dealt with elsewhere and not through additional amendments to the Objects of the </w:t>
      </w:r>
      <w:r w:rsidR="00E60C76" w:rsidRPr="00167CB8">
        <w:t>Fair Work Act</w:t>
      </w:r>
      <w:r w:rsidRPr="00167CB8">
        <w:t>.</w:t>
      </w:r>
    </w:p>
    <w:p w14:paraId="69E4FC0B" w14:textId="0C85874B" w:rsidR="00011B80" w:rsidRPr="00167CB8" w:rsidRDefault="00011B80" w:rsidP="006000ED">
      <w:r w:rsidRPr="00167CB8">
        <w:t>The Review Panel makes no recommendations in relation to these amendments.</w:t>
      </w:r>
    </w:p>
    <w:p w14:paraId="6B8A41EC" w14:textId="042D8F9B" w:rsidR="009A1D5D" w:rsidRPr="00167CB8" w:rsidRDefault="00DA561E" w:rsidP="00DA561E">
      <w:pPr>
        <w:spacing w:after="160"/>
      </w:pPr>
      <w:r w:rsidRPr="00167CB8">
        <w:br w:type="page"/>
      </w:r>
    </w:p>
    <w:p w14:paraId="60D63B69" w14:textId="0FD4549E" w:rsidR="009A1D5D" w:rsidRPr="00167CB8" w:rsidRDefault="00B94DF4" w:rsidP="009A1D5D">
      <w:pPr>
        <w:pStyle w:val="Heading3"/>
        <w:rPr>
          <w:rFonts w:asciiTheme="minorHAnsi" w:hAnsiTheme="minorHAnsi"/>
        </w:rPr>
      </w:pPr>
      <w:bookmarkStart w:id="332" w:name="_Toc188003370"/>
      <w:bookmarkStart w:id="333" w:name="_Toc188277936"/>
      <w:bookmarkStart w:id="334" w:name="_Toc189260288"/>
      <w:bookmarkStart w:id="335" w:name="_Toc189393604"/>
      <w:r w:rsidRPr="00167CB8">
        <w:rPr>
          <w:rFonts w:asciiTheme="minorHAnsi" w:hAnsiTheme="minorHAnsi"/>
        </w:rPr>
        <w:lastRenderedPageBreak/>
        <w:t xml:space="preserve">Chapter </w:t>
      </w:r>
      <w:r w:rsidR="00FF5446" w:rsidRPr="00167CB8">
        <w:rPr>
          <w:rFonts w:asciiTheme="minorHAnsi" w:hAnsiTheme="minorHAnsi"/>
        </w:rPr>
        <w:t>25</w:t>
      </w:r>
      <w:r w:rsidRPr="00167CB8">
        <w:rPr>
          <w:rFonts w:asciiTheme="minorHAnsi" w:hAnsiTheme="minorHAnsi"/>
        </w:rPr>
        <w:t>.</w:t>
      </w:r>
      <w:r w:rsidR="009A1D5D" w:rsidRPr="00167CB8">
        <w:rPr>
          <w:rFonts w:asciiTheme="minorHAnsi" w:hAnsiTheme="minorHAnsi"/>
        </w:rPr>
        <w:t xml:space="preserve"> Equal </w:t>
      </w:r>
      <w:r w:rsidR="00C83147" w:rsidRPr="00167CB8">
        <w:rPr>
          <w:rFonts w:asciiTheme="minorHAnsi" w:hAnsiTheme="minorHAnsi"/>
        </w:rPr>
        <w:t>r</w:t>
      </w:r>
      <w:r w:rsidR="009A1D5D" w:rsidRPr="00167CB8">
        <w:rPr>
          <w:rFonts w:asciiTheme="minorHAnsi" w:hAnsiTheme="minorHAnsi"/>
        </w:rPr>
        <w:t>emuneration</w:t>
      </w:r>
      <w:bookmarkEnd w:id="332"/>
      <w:bookmarkEnd w:id="333"/>
      <w:bookmarkEnd w:id="334"/>
      <w:bookmarkEnd w:id="335"/>
    </w:p>
    <w:p w14:paraId="15B20E6E" w14:textId="08F2C033" w:rsidR="009A1D5D" w:rsidRPr="00167CB8" w:rsidRDefault="009A1D5D" w:rsidP="006000ED">
      <w:pPr>
        <w:rPr>
          <w:rFonts w:cstheme="minorHAnsi"/>
        </w:rPr>
      </w:pPr>
      <w:r w:rsidRPr="00167CB8">
        <w:rPr>
          <w:rFonts w:cstheme="minorHAnsi"/>
        </w:rPr>
        <w:t xml:space="preserve">In this chapter the focus is on Part 5 (Equal remuneration) amendments in the </w:t>
      </w:r>
      <w:r w:rsidR="000D7321" w:rsidRPr="00167CB8">
        <w:rPr>
          <w:rFonts w:cstheme="minorHAnsi"/>
        </w:rPr>
        <w:t>Secure Jobs, Better Pay</w:t>
      </w:r>
      <w:r w:rsidRPr="00167CB8">
        <w:rPr>
          <w:rFonts w:cstheme="minorHAnsi"/>
        </w:rPr>
        <w:t xml:space="preserve"> Act.  </w:t>
      </w:r>
    </w:p>
    <w:p w14:paraId="6AE04FED" w14:textId="36D671E1" w:rsidR="009A1D5D" w:rsidRPr="00167CB8" w:rsidRDefault="0014431C" w:rsidP="009A1D5D">
      <w:pPr>
        <w:pStyle w:val="Heading4"/>
        <w:rPr>
          <w:rFonts w:asciiTheme="minorHAnsi" w:hAnsiTheme="minorHAnsi"/>
        </w:rPr>
      </w:pPr>
      <w:bookmarkStart w:id="336" w:name="_Toc188003371"/>
      <w:bookmarkStart w:id="337" w:name="_Toc188277937"/>
      <w:bookmarkStart w:id="338" w:name="_Toc189260289"/>
      <w:bookmarkStart w:id="339" w:name="_Toc189393605"/>
      <w:r w:rsidRPr="00167CB8">
        <w:rPr>
          <w:rFonts w:asciiTheme="minorHAnsi" w:hAnsiTheme="minorHAnsi"/>
        </w:rPr>
        <w:t>25</w:t>
      </w:r>
      <w:r w:rsidR="00FC04B0" w:rsidRPr="00167CB8">
        <w:rPr>
          <w:rFonts w:asciiTheme="minorHAnsi" w:hAnsiTheme="minorHAnsi"/>
        </w:rPr>
        <w:t>.1</w:t>
      </w:r>
      <w:r w:rsidR="009A1D5D" w:rsidRPr="00167CB8">
        <w:rPr>
          <w:rFonts w:asciiTheme="minorHAnsi" w:hAnsiTheme="minorHAnsi"/>
        </w:rPr>
        <w:t xml:space="preserve"> Amendments </w:t>
      </w:r>
      <w:r w:rsidR="00C83147" w:rsidRPr="00167CB8">
        <w:rPr>
          <w:rFonts w:asciiTheme="minorHAnsi" w:hAnsiTheme="minorHAnsi"/>
        </w:rPr>
        <w:t>and i</w:t>
      </w:r>
      <w:r w:rsidR="009A1D5D" w:rsidRPr="00167CB8">
        <w:rPr>
          <w:rFonts w:asciiTheme="minorHAnsi" w:hAnsiTheme="minorHAnsi"/>
        </w:rPr>
        <w:t>ntent</w:t>
      </w:r>
      <w:bookmarkEnd w:id="336"/>
      <w:bookmarkEnd w:id="337"/>
      <w:bookmarkEnd w:id="338"/>
      <w:bookmarkEnd w:id="339"/>
    </w:p>
    <w:p w14:paraId="4EC4F42F" w14:textId="388D0940" w:rsidR="00467752" w:rsidRPr="00167CB8" w:rsidRDefault="009A1D5D" w:rsidP="00D00ABC">
      <w:r w:rsidRPr="00167CB8">
        <w:t xml:space="preserve">As noted in Chapter </w:t>
      </w:r>
      <w:r w:rsidR="009F034D" w:rsidRPr="00167CB8">
        <w:t>22</w:t>
      </w:r>
      <w:r w:rsidRPr="00167CB8">
        <w:t>,</w:t>
      </w:r>
      <w:r w:rsidRPr="00167CB8" w:rsidDel="009C3992">
        <w:t xml:space="preserve"> </w:t>
      </w:r>
      <w:r w:rsidRPr="00167CB8">
        <w:t>pay equity in Australia has been (and continues to be) fraught with challenges. Moreover, there is, as scholars note, ‘no guarantee of a progressive trajectory’.</w:t>
      </w:r>
      <w:r w:rsidRPr="00167CB8">
        <w:rPr>
          <w:rStyle w:val="FootnoteReference"/>
        </w:rPr>
        <w:footnoteReference w:id="837"/>
      </w:r>
      <w:r w:rsidRPr="00167CB8">
        <w:t xml:space="preserve"> At times a particular constraint has been the requirement that </w:t>
      </w:r>
      <w:r w:rsidR="009C3992" w:rsidRPr="00167CB8">
        <w:t xml:space="preserve">remedying </w:t>
      </w:r>
      <w:r w:rsidRPr="00167CB8">
        <w:t xml:space="preserve">gender-based undervaluations </w:t>
      </w:r>
      <w:r w:rsidR="009C3992" w:rsidRPr="00167CB8">
        <w:t xml:space="preserve">through the workplace relations framework </w:t>
      </w:r>
      <w:r w:rsidRPr="00167CB8">
        <w:t xml:space="preserve">be based on a male comparator. </w:t>
      </w:r>
    </w:p>
    <w:p w14:paraId="3A671941" w14:textId="6FAA4490" w:rsidR="009A1D5D" w:rsidRPr="00167CB8" w:rsidRDefault="009A1D5D" w:rsidP="006000ED">
      <w:r w:rsidRPr="00167CB8">
        <w:t xml:space="preserve">The </w:t>
      </w:r>
      <w:r w:rsidR="000D7321" w:rsidRPr="00167CB8">
        <w:rPr>
          <w:rFonts w:cstheme="minorHAnsi"/>
        </w:rPr>
        <w:t>Secure Jobs, Better Pay</w:t>
      </w:r>
      <w:r w:rsidRPr="00167CB8">
        <w:t xml:space="preserve"> amendments in relation to equal remuneration now make it very clear that the </w:t>
      </w:r>
      <w:r w:rsidR="00D642FA" w:rsidRPr="00167CB8">
        <w:t>Fair Work Commission (</w:t>
      </w:r>
      <w:r w:rsidRPr="00167CB8">
        <w:t>FWC</w:t>
      </w:r>
      <w:r w:rsidR="00D642FA" w:rsidRPr="00167CB8">
        <w:t>)</w:t>
      </w:r>
      <w:r w:rsidRPr="00167CB8">
        <w:t xml:space="preserve"> consideration of work value must be free of assumptions based on gender, must include considerations of historical gender-based undervaluation and need no longer rely on a male comparator.</w:t>
      </w:r>
      <w:r w:rsidRPr="00167CB8">
        <w:rPr>
          <w:vertAlign w:val="superscript"/>
        </w:rPr>
        <w:footnoteReference w:id="838"/>
      </w:r>
      <w:r w:rsidRPr="00167CB8">
        <w:rPr>
          <w:vertAlign w:val="superscript"/>
        </w:rPr>
        <w:t xml:space="preserve"> </w:t>
      </w:r>
      <w:r w:rsidRPr="00167CB8">
        <w:t xml:space="preserve"> </w:t>
      </w:r>
    </w:p>
    <w:p w14:paraId="2040AAA8" w14:textId="5DCF2E32" w:rsidR="009A1D5D" w:rsidRPr="00167CB8" w:rsidRDefault="0014431C" w:rsidP="009A1D5D">
      <w:pPr>
        <w:pStyle w:val="Heading5"/>
        <w:rPr>
          <w:rFonts w:asciiTheme="minorHAnsi" w:hAnsiTheme="minorHAnsi"/>
        </w:rPr>
      </w:pPr>
      <w:bookmarkStart w:id="340" w:name="_Toc188003372"/>
      <w:r w:rsidRPr="00167CB8">
        <w:rPr>
          <w:rFonts w:asciiTheme="minorHAnsi" w:hAnsiTheme="minorHAnsi"/>
        </w:rPr>
        <w:t>25</w:t>
      </w:r>
      <w:r w:rsidR="00FC04B0" w:rsidRPr="00167CB8">
        <w:rPr>
          <w:rFonts w:asciiTheme="minorHAnsi" w:hAnsiTheme="minorHAnsi"/>
        </w:rPr>
        <w:t>.1.1</w:t>
      </w:r>
      <w:r w:rsidR="009A1D5D" w:rsidRPr="00167CB8">
        <w:rPr>
          <w:rFonts w:asciiTheme="minorHAnsi" w:hAnsiTheme="minorHAnsi"/>
        </w:rPr>
        <w:t xml:space="preserve"> </w:t>
      </w:r>
      <w:r w:rsidR="000D7321"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C83147" w:rsidRPr="00167CB8">
        <w:rPr>
          <w:rFonts w:asciiTheme="minorHAnsi" w:hAnsiTheme="minorHAnsi"/>
        </w:rPr>
        <w:t>a</w:t>
      </w:r>
      <w:r w:rsidR="009A1D5D" w:rsidRPr="00167CB8">
        <w:rPr>
          <w:rFonts w:asciiTheme="minorHAnsi" w:hAnsiTheme="minorHAnsi"/>
        </w:rPr>
        <w:t>mendments</w:t>
      </w:r>
      <w:bookmarkEnd w:id="340"/>
    </w:p>
    <w:p w14:paraId="6BDFB2EA" w14:textId="3D885960" w:rsidR="009A1D5D" w:rsidRPr="00167CB8" w:rsidRDefault="009A1D5D" w:rsidP="006000ED">
      <w:pPr>
        <w:rPr>
          <w:rFonts w:cstheme="minorHAnsi"/>
        </w:rPr>
      </w:pPr>
      <w:r w:rsidRPr="00167CB8">
        <w:rPr>
          <w:rFonts w:cstheme="minorHAnsi"/>
        </w:rPr>
        <w:t xml:space="preserve">The main </w:t>
      </w:r>
      <w:r w:rsidR="00E611A0" w:rsidRPr="00167CB8">
        <w:rPr>
          <w:rFonts w:cstheme="minorHAnsi"/>
        </w:rPr>
        <w:t xml:space="preserve">amendments in </w:t>
      </w:r>
      <w:r w:rsidRPr="00167CB8">
        <w:rPr>
          <w:rFonts w:cstheme="minorHAnsi"/>
        </w:rPr>
        <w:t>Part 5</w:t>
      </w:r>
      <w:r w:rsidR="00E611A0" w:rsidRPr="00167CB8">
        <w:rPr>
          <w:rFonts w:cstheme="minorHAnsi"/>
        </w:rPr>
        <w:t xml:space="preserve"> of the </w:t>
      </w:r>
      <w:r w:rsidR="000D7321" w:rsidRPr="00167CB8">
        <w:rPr>
          <w:rFonts w:cstheme="minorHAnsi"/>
        </w:rPr>
        <w:t>Secure Jobs, Better Pay</w:t>
      </w:r>
      <w:r w:rsidRPr="00167CB8">
        <w:rPr>
          <w:rFonts w:cstheme="minorHAnsi"/>
        </w:rPr>
        <w:t xml:space="preserve"> </w:t>
      </w:r>
      <w:r w:rsidR="00E611A0" w:rsidRPr="00167CB8">
        <w:rPr>
          <w:rFonts w:cstheme="minorHAnsi"/>
        </w:rPr>
        <w:t xml:space="preserve">Act, </w:t>
      </w:r>
      <w:r w:rsidRPr="00167CB8">
        <w:rPr>
          <w:rFonts w:cstheme="minorHAnsi"/>
        </w:rPr>
        <w:t>in relation to equal remuneration – specifically work value</w:t>
      </w:r>
      <w:r w:rsidR="00E611A0" w:rsidRPr="00167CB8">
        <w:rPr>
          <w:rFonts w:cstheme="minorHAnsi"/>
        </w:rPr>
        <w:t xml:space="preserve">, </w:t>
      </w:r>
      <w:r w:rsidRPr="00167CB8">
        <w:rPr>
          <w:rFonts w:cstheme="minorHAnsi"/>
        </w:rPr>
        <w:t xml:space="preserve">are as follows. </w:t>
      </w:r>
    </w:p>
    <w:p w14:paraId="7FDFAA93" w14:textId="748DA2AE" w:rsidR="009A1D5D" w:rsidRPr="00167CB8" w:rsidRDefault="00E6072D" w:rsidP="006000ED">
      <w:pPr>
        <w:rPr>
          <w:rFonts w:cstheme="minorHAnsi"/>
        </w:rPr>
      </w:pPr>
      <w:r w:rsidRPr="00167CB8">
        <w:rPr>
          <w:rFonts w:cstheme="minorHAnsi"/>
        </w:rPr>
        <w:t>In</w:t>
      </w:r>
      <w:r w:rsidR="009A1D5D" w:rsidRPr="00167CB8">
        <w:rPr>
          <w:rFonts w:cstheme="minorHAnsi"/>
        </w:rPr>
        <w:t xml:space="preserve"> s</w:t>
      </w:r>
      <w:r w:rsidR="00C83147" w:rsidRPr="00167CB8">
        <w:rPr>
          <w:rFonts w:cstheme="minorHAnsi"/>
        </w:rPr>
        <w:t> </w:t>
      </w:r>
      <w:r w:rsidR="009A1D5D" w:rsidRPr="00167CB8">
        <w:rPr>
          <w:rFonts w:cstheme="minorHAnsi"/>
        </w:rPr>
        <w:t>157</w:t>
      </w:r>
      <w:r w:rsidR="009A1D5D" w:rsidRPr="00167CB8" w:rsidDel="00AE03EE">
        <w:rPr>
          <w:rFonts w:cstheme="minorHAnsi"/>
        </w:rPr>
        <w:t>(2</w:t>
      </w:r>
      <w:r w:rsidR="009A1D5D" w:rsidRPr="00167CB8">
        <w:rPr>
          <w:rFonts w:cstheme="minorHAnsi"/>
        </w:rPr>
        <w:t xml:space="preserve">) </w:t>
      </w:r>
      <w:r w:rsidR="00F23CDA" w:rsidRPr="00167CB8">
        <w:rPr>
          <w:rFonts w:cstheme="minorHAnsi"/>
        </w:rPr>
        <w:t xml:space="preserve">of the </w:t>
      </w:r>
      <w:r w:rsidR="00E60C76" w:rsidRPr="00167CB8">
        <w:rPr>
          <w:rFonts w:cstheme="minorHAnsi"/>
        </w:rPr>
        <w:t>Fair Work Act</w:t>
      </w:r>
      <w:r w:rsidR="00E077C6" w:rsidRPr="00167CB8">
        <w:rPr>
          <w:rFonts w:cstheme="minorHAnsi"/>
        </w:rPr>
        <w:t>,</w:t>
      </w:r>
      <w:r w:rsidR="00F23CDA" w:rsidRPr="00167CB8">
        <w:rPr>
          <w:rFonts w:cstheme="minorHAnsi"/>
        </w:rPr>
        <w:t xml:space="preserve"> </w:t>
      </w:r>
      <w:r w:rsidR="00AE03EE" w:rsidRPr="00167CB8">
        <w:rPr>
          <w:rFonts w:cstheme="minorHAnsi"/>
        </w:rPr>
        <w:t>which provides that the</w:t>
      </w:r>
      <w:r w:rsidR="00F23CDA" w:rsidRPr="00167CB8">
        <w:rPr>
          <w:rFonts w:cstheme="minorHAnsi"/>
        </w:rPr>
        <w:t xml:space="preserve"> </w:t>
      </w:r>
      <w:r w:rsidR="009A1D5D" w:rsidRPr="00167CB8">
        <w:rPr>
          <w:rFonts w:cstheme="minorHAnsi"/>
        </w:rPr>
        <w:t>FWC may vary modern award</w:t>
      </w:r>
      <w:r w:rsidR="00AE03EE" w:rsidRPr="00167CB8">
        <w:rPr>
          <w:rFonts w:cstheme="minorHAnsi"/>
        </w:rPr>
        <w:t>s</w:t>
      </w:r>
      <w:r w:rsidR="009A1D5D" w:rsidRPr="00167CB8">
        <w:rPr>
          <w:rFonts w:cstheme="minorHAnsi"/>
        </w:rPr>
        <w:t xml:space="preserve"> minimum wages if justified and necessary</w:t>
      </w:r>
      <w:r w:rsidR="00DE2641" w:rsidRPr="00167CB8">
        <w:rPr>
          <w:rFonts w:cstheme="minorHAnsi"/>
        </w:rPr>
        <w:t>, n</w:t>
      </w:r>
      <w:r w:rsidR="009A1D5D" w:rsidRPr="00167CB8">
        <w:rPr>
          <w:rFonts w:cstheme="minorHAnsi"/>
        </w:rPr>
        <w:t>ew</w:t>
      </w:r>
      <w:r w:rsidR="00F95C57" w:rsidRPr="00167CB8">
        <w:rPr>
          <w:rFonts w:cstheme="minorHAnsi"/>
        </w:rPr>
        <w:t xml:space="preserve"> </w:t>
      </w:r>
      <w:r w:rsidR="007E6917" w:rsidRPr="00167CB8">
        <w:rPr>
          <w:rFonts w:cstheme="minorHAnsi"/>
        </w:rPr>
        <w:t>s</w:t>
      </w:r>
      <w:r w:rsidR="00C83147" w:rsidRPr="00167CB8">
        <w:rPr>
          <w:rFonts w:cstheme="minorHAnsi"/>
        </w:rPr>
        <w:t> </w:t>
      </w:r>
      <w:r w:rsidR="00F95C57" w:rsidRPr="00167CB8">
        <w:rPr>
          <w:rFonts w:cstheme="minorHAnsi"/>
        </w:rPr>
        <w:t>157(</w:t>
      </w:r>
      <w:r w:rsidR="009A1D5D" w:rsidRPr="00167CB8">
        <w:rPr>
          <w:rFonts w:cstheme="minorHAnsi"/>
        </w:rPr>
        <w:t xml:space="preserve">2B) </w:t>
      </w:r>
      <w:r w:rsidR="00DE2641" w:rsidRPr="00167CB8">
        <w:rPr>
          <w:rFonts w:cstheme="minorHAnsi"/>
        </w:rPr>
        <w:t>was inserted which</w:t>
      </w:r>
      <w:r w:rsidR="009A1D5D" w:rsidRPr="00167CB8">
        <w:rPr>
          <w:rFonts w:cstheme="minorHAnsi"/>
        </w:rPr>
        <w:t xml:space="preserve"> </w:t>
      </w:r>
      <w:r w:rsidR="00E57DE1" w:rsidRPr="00167CB8">
        <w:rPr>
          <w:rFonts w:cstheme="minorHAnsi"/>
        </w:rPr>
        <w:t>provides</w:t>
      </w:r>
      <w:r w:rsidR="009A1D5D" w:rsidRPr="00167CB8">
        <w:rPr>
          <w:rFonts w:cstheme="minorHAnsi"/>
        </w:rPr>
        <w:t>:</w:t>
      </w:r>
    </w:p>
    <w:p w14:paraId="653ED2CB" w14:textId="330C3A01" w:rsidR="00E57DE1" w:rsidRPr="00167CB8" w:rsidRDefault="009A1D5D" w:rsidP="00C83147">
      <w:pPr>
        <w:pStyle w:val="Quote"/>
      </w:pPr>
      <w:r w:rsidRPr="00167CB8">
        <w:t>(2B)</w:t>
      </w:r>
      <w:r w:rsidR="00C83147" w:rsidRPr="00167CB8">
        <w:tab/>
      </w:r>
      <w:r w:rsidRPr="00167CB8">
        <w:t xml:space="preserve">The FWC’s consideration of work value reasons must: </w:t>
      </w:r>
    </w:p>
    <w:p w14:paraId="562DEA94" w14:textId="7719F8E0" w:rsidR="00E57DE1" w:rsidRPr="00167CB8" w:rsidRDefault="009A1D5D" w:rsidP="00C83147">
      <w:pPr>
        <w:pStyle w:val="Quote"/>
        <w:ind w:firstLine="720"/>
      </w:pPr>
      <w:r w:rsidRPr="00167CB8">
        <w:t>(a)</w:t>
      </w:r>
      <w:r w:rsidR="00C83147" w:rsidRPr="00167CB8">
        <w:tab/>
      </w:r>
      <w:r w:rsidRPr="00167CB8">
        <w:t xml:space="preserve">be free of assumptions based on gender; and </w:t>
      </w:r>
    </w:p>
    <w:p w14:paraId="429FB513" w14:textId="18916CA9" w:rsidR="009A1D5D" w:rsidRPr="00167CB8" w:rsidRDefault="009A1D5D" w:rsidP="00C83147">
      <w:pPr>
        <w:pStyle w:val="Quote"/>
        <w:ind w:left="2880" w:hanging="720"/>
      </w:pPr>
      <w:r w:rsidRPr="00167CB8">
        <w:t>(b)</w:t>
      </w:r>
      <w:r w:rsidR="00C83147" w:rsidRPr="00167CB8">
        <w:tab/>
      </w:r>
      <w:r w:rsidRPr="00167CB8">
        <w:t>include consideration of whether historically the work has been undervalued because of assumptions based on gender</w:t>
      </w:r>
      <w:r w:rsidR="00E57DE1" w:rsidRPr="00167CB8">
        <w:t>.</w:t>
      </w:r>
    </w:p>
    <w:p w14:paraId="03F2747F" w14:textId="3D97C29A" w:rsidR="009A1D5D" w:rsidRPr="00167CB8" w:rsidRDefault="005E2693" w:rsidP="006000ED">
      <w:pPr>
        <w:rPr>
          <w:rFonts w:cstheme="minorHAnsi"/>
        </w:rPr>
      </w:pPr>
      <w:r w:rsidRPr="00167CB8">
        <w:rPr>
          <w:rFonts w:cstheme="minorHAnsi"/>
        </w:rPr>
        <w:t xml:space="preserve">Division 2 of </w:t>
      </w:r>
      <w:r w:rsidR="00ED4CE1" w:rsidRPr="00167CB8">
        <w:rPr>
          <w:rFonts w:cstheme="minorHAnsi"/>
        </w:rPr>
        <w:t>Part 2-7</w:t>
      </w:r>
      <w:r w:rsidRPr="00167CB8">
        <w:rPr>
          <w:rFonts w:cstheme="minorHAnsi"/>
        </w:rPr>
        <w:t xml:space="preserve"> </w:t>
      </w:r>
      <w:r w:rsidR="009A1D5D" w:rsidRPr="00167CB8">
        <w:rPr>
          <w:rFonts w:cstheme="minorHAnsi"/>
        </w:rPr>
        <w:t xml:space="preserve">of the </w:t>
      </w:r>
      <w:r w:rsidR="00DD16B2" w:rsidRPr="00167CB8">
        <w:rPr>
          <w:rFonts w:cstheme="minorHAnsi"/>
        </w:rPr>
        <w:t xml:space="preserve">Fair Work Act </w:t>
      </w:r>
      <w:r w:rsidR="009A1D5D" w:rsidRPr="00167CB8">
        <w:rPr>
          <w:rFonts w:cstheme="minorHAnsi"/>
        </w:rPr>
        <w:t xml:space="preserve">concerns Equal Remuneration Orders (EROs). Via the </w:t>
      </w:r>
      <w:r w:rsidR="000D7321" w:rsidRPr="00167CB8">
        <w:rPr>
          <w:rFonts w:cstheme="minorHAnsi"/>
        </w:rPr>
        <w:t>Secure Jobs, Better Pay</w:t>
      </w:r>
      <w:r w:rsidR="009A1D5D" w:rsidRPr="00167CB8">
        <w:rPr>
          <w:rFonts w:cstheme="minorHAnsi"/>
        </w:rPr>
        <w:t xml:space="preserve"> amendments, new </w:t>
      </w:r>
      <w:r w:rsidR="00261CFF" w:rsidRPr="00167CB8">
        <w:rPr>
          <w:rFonts w:cstheme="minorHAnsi"/>
        </w:rPr>
        <w:t>sub</w:t>
      </w:r>
      <w:r w:rsidR="009A1D5D" w:rsidRPr="00167CB8">
        <w:rPr>
          <w:rFonts w:cstheme="minorHAnsi"/>
        </w:rPr>
        <w:t>sections (</w:t>
      </w:r>
      <w:r w:rsidR="00261CFF" w:rsidRPr="00167CB8">
        <w:rPr>
          <w:rFonts w:cstheme="minorHAnsi"/>
        </w:rPr>
        <w:t>(</w:t>
      </w:r>
      <w:r w:rsidR="009A1D5D" w:rsidRPr="00167CB8">
        <w:rPr>
          <w:rFonts w:cstheme="minorHAnsi"/>
        </w:rPr>
        <w:t xml:space="preserve">3A), </w:t>
      </w:r>
      <w:r w:rsidR="00261CFF" w:rsidRPr="00167CB8">
        <w:rPr>
          <w:rFonts w:cstheme="minorHAnsi"/>
        </w:rPr>
        <w:t>(</w:t>
      </w:r>
      <w:r w:rsidR="009A1D5D" w:rsidRPr="00167CB8">
        <w:rPr>
          <w:rFonts w:cstheme="minorHAnsi"/>
        </w:rPr>
        <w:t>3B)</w:t>
      </w:r>
      <w:r w:rsidR="00034853" w:rsidRPr="00167CB8">
        <w:rPr>
          <w:rFonts w:cstheme="minorHAnsi"/>
        </w:rPr>
        <w:t>,</w:t>
      </w:r>
      <w:r w:rsidR="00CB0A34" w:rsidRPr="00167CB8">
        <w:rPr>
          <w:rFonts w:cstheme="minorHAnsi"/>
        </w:rPr>
        <w:t xml:space="preserve"> </w:t>
      </w:r>
      <w:r w:rsidR="00261CFF" w:rsidRPr="00167CB8">
        <w:rPr>
          <w:rFonts w:cstheme="minorHAnsi"/>
        </w:rPr>
        <w:t>(</w:t>
      </w:r>
      <w:r w:rsidR="009A1D5D" w:rsidRPr="00167CB8">
        <w:rPr>
          <w:rFonts w:cstheme="minorHAnsi"/>
        </w:rPr>
        <w:t>3C)</w:t>
      </w:r>
      <w:r w:rsidR="00CB0A34" w:rsidRPr="00167CB8">
        <w:rPr>
          <w:rFonts w:cstheme="minorHAnsi"/>
        </w:rPr>
        <w:t xml:space="preserve"> and (4A</w:t>
      </w:r>
      <w:r w:rsidR="009A1D5D" w:rsidRPr="00167CB8">
        <w:rPr>
          <w:rFonts w:cstheme="minorHAnsi"/>
        </w:rPr>
        <w:t xml:space="preserve">)) have been added to </w:t>
      </w:r>
      <w:r w:rsidR="007E6917" w:rsidRPr="00167CB8">
        <w:rPr>
          <w:rFonts w:cstheme="minorHAnsi"/>
        </w:rPr>
        <w:t>s</w:t>
      </w:r>
      <w:r w:rsidR="00C83147" w:rsidRPr="00167CB8">
        <w:rPr>
          <w:rFonts w:cstheme="minorHAnsi"/>
        </w:rPr>
        <w:t> </w:t>
      </w:r>
      <w:r w:rsidR="009A1D5D" w:rsidRPr="00167CB8">
        <w:rPr>
          <w:rFonts w:cstheme="minorHAnsi"/>
        </w:rPr>
        <w:t xml:space="preserve">302 </w:t>
      </w:r>
      <w:r w:rsidR="00ED4CE1" w:rsidRPr="00167CB8">
        <w:rPr>
          <w:rFonts w:cstheme="minorHAnsi"/>
        </w:rPr>
        <w:t xml:space="preserve">of the </w:t>
      </w:r>
      <w:r w:rsidR="00E60C76" w:rsidRPr="00167CB8">
        <w:rPr>
          <w:rFonts w:cstheme="minorHAnsi"/>
        </w:rPr>
        <w:t>Fair Work Act</w:t>
      </w:r>
      <w:r w:rsidR="009A1D5D" w:rsidRPr="00167CB8">
        <w:rPr>
          <w:rFonts w:cstheme="minorHAnsi"/>
        </w:rPr>
        <w:t xml:space="preserve"> (FWC may make an order requiring equal remuneration)</w:t>
      </w:r>
      <w:r w:rsidR="000A330E" w:rsidRPr="00167CB8">
        <w:rPr>
          <w:rFonts w:cstheme="minorHAnsi"/>
        </w:rPr>
        <w:t xml:space="preserve">. </w:t>
      </w:r>
      <w:r w:rsidR="00C83147" w:rsidRPr="00167CB8">
        <w:rPr>
          <w:rFonts w:cstheme="minorHAnsi"/>
        </w:rPr>
        <w:t>S</w:t>
      </w:r>
      <w:r w:rsidR="004B1CCE" w:rsidRPr="00167CB8">
        <w:rPr>
          <w:rFonts w:cstheme="minorHAnsi"/>
        </w:rPr>
        <w:t>ections</w:t>
      </w:r>
      <w:r w:rsidR="00644CAE" w:rsidRPr="00167CB8">
        <w:rPr>
          <w:rFonts w:cstheme="minorHAnsi"/>
        </w:rPr>
        <w:t> 302(3</w:t>
      </w:r>
      <w:r w:rsidR="00574132" w:rsidRPr="00167CB8">
        <w:rPr>
          <w:rFonts w:cstheme="minorHAnsi"/>
        </w:rPr>
        <w:t>A</w:t>
      </w:r>
      <w:r w:rsidR="00644CAE" w:rsidRPr="00167CB8">
        <w:rPr>
          <w:rFonts w:cstheme="minorHAnsi"/>
        </w:rPr>
        <w:t>) to 302(5) now read</w:t>
      </w:r>
      <w:r w:rsidR="009A1D5D" w:rsidRPr="00167CB8" w:rsidDel="00644CAE">
        <w:rPr>
          <w:rFonts w:cstheme="minorHAnsi"/>
        </w:rPr>
        <w:t>:</w:t>
      </w:r>
    </w:p>
    <w:p w14:paraId="282DE101" w14:textId="70E13669" w:rsidR="005B2ABF" w:rsidRPr="00167CB8" w:rsidRDefault="005B2ABF" w:rsidP="00C83147">
      <w:pPr>
        <w:pStyle w:val="Quote"/>
      </w:pPr>
      <w:r w:rsidRPr="00167CB8">
        <w:t>Gender equity considerations</w:t>
      </w:r>
    </w:p>
    <w:p w14:paraId="076BD068" w14:textId="1FCA1FAD" w:rsidR="009A1D5D" w:rsidRPr="00167CB8" w:rsidRDefault="009A1D5D" w:rsidP="00C83147">
      <w:pPr>
        <w:pStyle w:val="Quote"/>
        <w:ind w:left="2160" w:hanging="720"/>
      </w:pPr>
      <w:r w:rsidRPr="00167CB8">
        <w:t xml:space="preserve">(3A) </w:t>
      </w:r>
      <w:r w:rsidRPr="00167CB8">
        <w:tab/>
        <w:t>For the purposes of this Act, in deciding whether there is equal remuneration for work of equal or comparable value, the FWC may take into account:</w:t>
      </w:r>
    </w:p>
    <w:p w14:paraId="4E26D5F6" w14:textId="6A978BDC" w:rsidR="009A1D5D" w:rsidRPr="00167CB8" w:rsidRDefault="009A1D5D" w:rsidP="00C83147">
      <w:pPr>
        <w:pStyle w:val="Quote"/>
        <w:numPr>
          <w:ilvl w:val="4"/>
          <w:numId w:val="2"/>
        </w:numPr>
      </w:pPr>
      <w:r w:rsidRPr="00167CB8">
        <w:t>comparisons within and between occupations or industries to establish whether the work has been undervalued on the basis of gender; or</w:t>
      </w:r>
    </w:p>
    <w:p w14:paraId="42EB1057" w14:textId="48B8525E" w:rsidR="009A1D5D" w:rsidRPr="00167CB8" w:rsidRDefault="009A1D5D" w:rsidP="00C83147">
      <w:pPr>
        <w:pStyle w:val="Quote"/>
        <w:numPr>
          <w:ilvl w:val="4"/>
          <w:numId w:val="2"/>
        </w:numPr>
      </w:pPr>
      <w:r w:rsidRPr="00167CB8">
        <w:lastRenderedPageBreak/>
        <w:t>whether historically the work has been undervalued on the basis of gender; or</w:t>
      </w:r>
    </w:p>
    <w:p w14:paraId="4EDEA881" w14:textId="43A949E8" w:rsidR="009A1D5D" w:rsidRPr="00167CB8" w:rsidRDefault="009A1D5D" w:rsidP="00C83147">
      <w:pPr>
        <w:pStyle w:val="Quote"/>
        <w:numPr>
          <w:ilvl w:val="4"/>
          <w:numId w:val="2"/>
        </w:numPr>
      </w:pPr>
      <w:r w:rsidRPr="00167CB8">
        <w:t>any fair work instrument or State industrial instrument.</w:t>
      </w:r>
    </w:p>
    <w:p w14:paraId="4EF340F8" w14:textId="77777777" w:rsidR="009A1D5D" w:rsidRPr="00167CB8" w:rsidRDefault="009A1D5D" w:rsidP="00C83147">
      <w:pPr>
        <w:pStyle w:val="Quote"/>
      </w:pPr>
      <w:r w:rsidRPr="00167CB8">
        <w:t xml:space="preserve">(3B) [Comparisons within and between occupations and industries] </w:t>
      </w:r>
    </w:p>
    <w:p w14:paraId="65103758" w14:textId="77777777" w:rsidR="009A1D5D" w:rsidRPr="00167CB8" w:rsidRDefault="009A1D5D" w:rsidP="00C83147">
      <w:pPr>
        <w:pStyle w:val="Quote"/>
      </w:pPr>
      <w:r w:rsidRPr="00167CB8">
        <w:t xml:space="preserve">If the FWC takes into account a comparison for the purposes of paragraph (3A)(a), the comparison: </w:t>
      </w:r>
    </w:p>
    <w:p w14:paraId="3A280F39" w14:textId="5A76DE03" w:rsidR="009A1D5D" w:rsidRPr="00167CB8" w:rsidRDefault="009A1D5D" w:rsidP="00567FCA">
      <w:pPr>
        <w:pStyle w:val="Quote"/>
        <w:numPr>
          <w:ilvl w:val="4"/>
          <w:numId w:val="4"/>
        </w:numPr>
      </w:pPr>
      <w:r w:rsidRPr="00167CB8">
        <w:t>is not limited to similar work; and</w:t>
      </w:r>
    </w:p>
    <w:p w14:paraId="2DDCD8E5" w14:textId="5C624402" w:rsidR="009A1D5D" w:rsidRPr="00167CB8" w:rsidRDefault="009A1D5D" w:rsidP="00567FCA">
      <w:pPr>
        <w:pStyle w:val="Quote"/>
        <w:numPr>
          <w:ilvl w:val="4"/>
          <w:numId w:val="4"/>
        </w:numPr>
      </w:pPr>
      <w:r w:rsidRPr="00167CB8">
        <w:t>does not need to be a comparison with an historically male-dominated occupation or industry.</w:t>
      </w:r>
    </w:p>
    <w:p w14:paraId="0C79A535" w14:textId="77777777" w:rsidR="009A1D5D" w:rsidRPr="00167CB8" w:rsidRDefault="009A1D5D" w:rsidP="00C83147">
      <w:pPr>
        <w:pStyle w:val="Quote"/>
        <w:rPr>
          <w:rFonts w:cstheme="minorHAnsi"/>
        </w:rPr>
      </w:pPr>
      <w:r w:rsidRPr="00167CB8">
        <w:rPr>
          <w:rFonts w:cstheme="minorHAnsi"/>
        </w:rPr>
        <w:t>(</w:t>
      </w:r>
      <w:r w:rsidRPr="00167CB8">
        <w:t>3C) [Findings of discrimination not required]</w:t>
      </w:r>
    </w:p>
    <w:p w14:paraId="31C397D4" w14:textId="77777777" w:rsidR="009A1D5D" w:rsidRPr="00167CB8" w:rsidRDefault="009A1D5D" w:rsidP="00C83147">
      <w:pPr>
        <w:pStyle w:val="Quote"/>
      </w:pPr>
      <w:r w:rsidRPr="00167CB8">
        <w:t>If the FWC takes into account a matter referred to in paragraph (3A)(a) or (b), the FWC is not required to find discrimination on the basis of gender to establish the work has been undervalued as referred to in that paragraph. …</w:t>
      </w:r>
    </w:p>
    <w:p w14:paraId="37A474FC" w14:textId="77777777" w:rsidR="009A1D5D" w:rsidRPr="00167CB8" w:rsidRDefault="009A1D5D" w:rsidP="00C83147">
      <w:pPr>
        <w:pStyle w:val="Quote"/>
        <w:rPr>
          <w:i/>
        </w:rPr>
      </w:pPr>
      <w:r w:rsidRPr="00167CB8">
        <w:rPr>
          <w:i/>
        </w:rPr>
        <w:t>FWC must take into account orders and determinations made in annual wage reviews</w:t>
      </w:r>
    </w:p>
    <w:p w14:paraId="3B28C0A3" w14:textId="5FC75B1E" w:rsidR="009A1D5D" w:rsidRPr="00167CB8" w:rsidRDefault="009A1D5D" w:rsidP="00C83147">
      <w:pPr>
        <w:pStyle w:val="Quote"/>
        <w:ind w:left="2160" w:hanging="720"/>
      </w:pPr>
      <w:r w:rsidRPr="00167CB8">
        <w:t>(4)</w:t>
      </w:r>
      <w:r w:rsidR="00C83147" w:rsidRPr="00167CB8">
        <w:tab/>
      </w:r>
      <w:r w:rsidRPr="00167CB8">
        <w:t xml:space="preserve">For the purposes of this Act, in deciding whether there is equal remuneration for work of equal or comparable value, the FWC must take into account: </w:t>
      </w:r>
    </w:p>
    <w:p w14:paraId="257305EF" w14:textId="7DFF67A9" w:rsidR="009A1D5D" w:rsidRPr="00167CB8" w:rsidRDefault="009A1D5D" w:rsidP="00C83147">
      <w:pPr>
        <w:pStyle w:val="Quote"/>
        <w:ind w:left="2160"/>
      </w:pPr>
      <w:r w:rsidRPr="00167CB8">
        <w:t>(a)</w:t>
      </w:r>
      <w:r w:rsidR="00C83147" w:rsidRPr="00167CB8">
        <w:tab/>
      </w:r>
      <w:r w:rsidRPr="00167CB8">
        <w:t>orders and determinations made by the FWC in annual wage reviews; and</w:t>
      </w:r>
    </w:p>
    <w:p w14:paraId="48B757B3" w14:textId="4A38AF76" w:rsidR="009A1D5D" w:rsidRPr="00167CB8" w:rsidRDefault="009A1D5D" w:rsidP="00C83147">
      <w:pPr>
        <w:pStyle w:val="Quote"/>
        <w:ind w:firstLine="720"/>
      </w:pPr>
      <w:r w:rsidRPr="00167CB8">
        <w:t>(b)</w:t>
      </w:r>
      <w:r w:rsidR="00C83147" w:rsidRPr="00167CB8">
        <w:tab/>
      </w:r>
      <w:r w:rsidRPr="00167CB8">
        <w:t>the reasons for those orders and determinations …</w:t>
      </w:r>
    </w:p>
    <w:p w14:paraId="7886C734" w14:textId="46D160E5" w:rsidR="00CB0A34" w:rsidRPr="00167CB8" w:rsidRDefault="00CB0A34" w:rsidP="00C83147">
      <w:pPr>
        <w:pStyle w:val="Quote"/>
      </w:pPr>
      <w:r w:rsidRPr="00167CB8">
        <w:t>Note: The FWC must be constituted by an Expert Panel in annual wage reviews (see section 617).</w:t>
      </w:r>
    </w:p>
    <w:p w14:paraId="6594FE44" w14:textId="2BDE692A" w:rsidR="00CB0A34" w:rsidRPr="00167CB8" w:rsidRDefault="00CB0A34" w:rsidP="00C83147">
      <w:pPr>
        <w:pStyle w:val="Quote"/>
      </w:pPr>
      <w:r w:rsidRPr="00167CB8">
        <w:t>(4A) Nothing in this section limits the considerations the FWC may take into account in deciding whether there is equal remuneration for work of equal or comparable value.</w:t>
      </w:r>
    </w:p>
    <w:p w14:paraId="3CAC3882" w14:textId="77777777" w:rsidR="009A1D5D" w:rsidRPr="00167CB8" w:rsidRDefault="009A1D5D" w:rsidP="00C83147">
      <w:pPr>
        <w:pStyle w:val="Quote"/>
        <w:rPr>
          <w:i/>
        </w:rPr>
      </w:pPr>
      <w:r w:rsidRPr="00167CB8">
        <w:rPr>
          <w:i/>
        </w:rPr>
        <w:t>Requirement to make an equal remuneration order</w:t>
      </w:r>
    </w:p>
    <w:p w14:paraId="36009BD5" w14:textId="7BB01F73" w:rsidR="009A1D5D" w:rsidRPr="00167CB8" w:rsidRDefault="009A1D5D" w:rsidP="00C83147">
      <w:pPr>
        <w:pStyle w:val="Quote"/>
      </w:pPr>
      <w:r w:rsidRPr="00167CB8">
        <w:t>(5) … the FWC must make the equal remuneration order if it is satisfied that, for the employees to whom the order will apply, there is not equal remuneration for work of equal or comparable value.</w:t>
      </w:r>
    </w:p>
    <w:p w14:paraId="50671498" w14:textId="77777777" w:rsidR="009A1D5D" w:rsidRPr="00167CB8" w:rsidRDefault="009A1D5D" w:rsidP="006000ED">
      <w:pPr>
        <w:rPr>
          <w:rFonts w:cstheme="minorHAnsi"/>
        </w:rPr>
      </w:pPr>
      <w:r w:rsidRPr="00167CB8">
        <w:rPr>
          <w:rFonts w:cstheme="minorHAnsi"/>
        </w:rPr>
        <w:t>These various amendments came into effect on 7 December 2022.</w:t>
      </w:r>
    </w:p>
    <w:p w14:paraId="1D8DD95F" w14:textId="2EB379F6" w:rsidR="009A1D5D" w:rsidRPr="00167CB8" w:rsidRDefault="0014431C" w:rsidP="009A1D5D">
      <w:pPr>
        <w:pStyle w:val="Heading5"/>
        <w:rPr>
          <w:rFonts w:asciiTheme="minorHAnsi" w:hAnsiTheme="minorHAnsi"/>
        </w:rPr>
      </w:pPr>
      <w:bookmarkStart w:id="341" w:name="_Toc188003373"/>
      <w:r w:rsidRPr="00167CB8">
        <w:rPr>
          <w:rFonts w:asciiTheme="minorHAnsi" w:hAnsiTheme="minorHAnsi"/>
        </w:rPr>
        <w:lastRenderedPageBreak/>
        <w:t>25</w:t>
      </w:r>
      <w:r w:rsidR="00FC04B0" w:rsidRPr="00167CB8">
        <w:rPr>
          <w:rFonts w:asciiTheme="minorHAnsi" w:hAnsiTheme="minorHAnsi"/>
        </w:rPr>
        <w:t>.1.2</w:t>
      </w:r>
      <w:r w:rsidR="009A1D5D" w:rsidRPr="00167CB8">
        <w:rPr>
          <w:rFonts w:asciiTheme="minorHAnsi" w:hAnsiTheme="minorHAnsi"/>
        </w:rPr>
        <w:t xml:space="preserve"> </w:t>
      </w:r>
      <w:r w:rsidR="00E42AC2" w:rsidRPr="00167CB8">
        <w:rPr>
          <w:rFonts w:asciiTheme="minorHAnsi" w:hAnsiTheme="minorHAnsi"/>
        </w:rPr>
        <w:t xml:space="preserve">Intent </w:t>
      </w:r>
      <w:r w:rsidR="009A1D5D" w:rsidRPr="00167CB8">
        <w:rPr>
          <w:rFonts w:asciiTheme="minorHAnsi" w:hAnsiTheme="minorHAnsi"/>
        </w:rPr>
        <w:t xml:space="preserve">of </w:t>
      </w:r>
      <w:r w:rsidR="000D7321"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C83147" w:rsidRPr="00167CB8">
        <w:rPr>
          <w:rFonts w:asciiTheme="minorHAnsi" w:hAnsiTheme="minorHAnsi"/>
        </w:rPr>
        <w:t>a</w:t>
      </w:r>
      <w:r w:rsidR="009A1D5D" w:rsidRPr="00167CB8">
        <w:rPr>
          <w:rFonts w:asciiTheme="minorHAnsi" w:hAnsiTheme="minorHAnsi"/>
        </w:rPr>
        <w:t>mendments</w:t>
      </w:r>
      <w:bookmarkEnd w:id="341"/>
    </w:p>
    <w:p w14:paraId="2B3B2FF7" w14:textId="021174AD" w:rsidR="008F2BD0" w:rsidRPr="00167CB8" w:rsidRDefault="00DF52B1" w:rsidP="00817A9E">
      <w:r w:rsidRPr="00167CB8">
        <w:t xml:space="preserve">The intent of these amendments </w:t>
      </w:r>
      <w:r w:rsidR="00817A9E" w:rsidRPr="00167CB8">
        <w:t xml:space="preserve">was to </w:t>
      </w:r>
      <w:r w:rsidR="008F2BD0" w:rsidRPr="00167CB8">
        <w:t>make it more likely that the FWC would order pay rises for low-paid female workers.</w:t>
      </w:r>
      <w:r w:rsidR="008F2BD0" w:rsidRPr="00167CB8">
        <w:rPr>
          <w:rStyle w:val="FootnoteReference"/>
        </w:rPr>
        <w:footnoteReference w:id="839"/>
      </w:r>
    </w:p>
    <w:p w14:paraId="24CD2625" w14:textId="5F5AB8E3" w:rsidR="0023304B" w:rsidRPr="00167CB8" w:rsidRDefault="009B4FF4" w:rsidP="00D00ABC">
      <w:r w:rsidRPr="00167CB8">
        <w:t>For example, p</w:t>
      </w:r>
      <w:r w:rsidR="009A1D5D" w:rsidRPr="00167CB8">
        <w:t xml:space="preserve">rior to the commencement of the </w:t>
      </w:r>
      <w:r w:rsidR="000D7321" w:rsidRPr="00167CB8">
        <w:rPr>
          <w:rFonts w:cstheme="minorHAnsi"/>
        </w:rPr>
        <w:t>Secure Jobs, Better Pay</w:t>
      </w:r>
      <w:r w:rsidR="009A1D5D" w:rsidRPr="00167CB8">
        <w:t xml:space="preserve"> amendments, the </w:t>
      </w:r>
      <w:r w:rsidR="00E60C76" w:rsidRPr="00167CB8">
        <w:t>Fair Work Act</w:t>
      </w:r>
      <w:r w:rsidR="009A1D5D" w:rsidRPr="00167CB8">
        <w:t xml:space="preserve"> equal remuneration provisions set out that </w:t>
      </w:r>
      <w:r w:rsidR="00C83147" w:rsidRPr="00167CB8">
        <w:t>‘</w:t>
      </w:r>
      <w:r w:rsidR="009A1D5D" w:rsidRPr="00167CB8">
        <w:t>Equal remuneration for work of equal or comparable value means equal remuneration for men and women workers for work of equal or comparable value</w:t>
      </w:r>
      <w:r w:rsidR="00C83147" w:rsidRPr="00167CB8">
        <w:t>’</w:t>
      </w:r>
      <w:r w:rsidR="000E454E" w:rsidRPr="00167CB8">
        <w:t>.</w:t>
      </w:r>
      <w:r w:rsidR="009A1D5D" w:rsidRPr="00167CB8">
        <w:rPr>
          <w:rStyle w:val="FootnoteReference"/>
        </w:rPr>
        <w:footnoteReference w:id="840"/>
      </w:r>
      <w:r w:rsidR="009A1D5D" w:rsidRPr="00167CB8">
        <w:t xml:space="preserve"> The FWC had interpreted these provisions to mean that it had to be satisfied that a group of employees covered by an equal remuneration application (usually women) do not receive equal remuneration for work of equal or comparable value compared to another group of employees of the opposite gender (usually men). A male (or female) comparator was required to make orders requiring equal remuneration.</w:t>
      </w:r>
      <w:r w:rsidR="009A1D5D" w:rsidRPr="00167CB8">
        <w:rPr>
          <w:rStyle w:val="FootnoteReference"/>
        </w:rPr>
        <w:footnoteReference w:id="841"/>
      </w:r>
      <w:r w:rsidR="0023304B" w:rsidRPr="00167CB8">
        <w:t xml:space="preserve"> </w:t>
      </w:r>
    </w:p>
    <w:p w14:paraId="4AA1F1B5" w14:textId="3673C451" w:rsidR="009A1D5D" w:rsidRPr="00167CB8" w:rsidRDefault="0023304B" w:rsidP="006000ED">
      <w:pPr>
        <w:rPr>
          <w:rStyle w:val="FootnoteReference"/>
        </w:rPr>
      </w:pPr>
      <w:r w:rsidRPr="00167CB8">
        <w:t xml:space="preserve">During the 2022 election campaign, as part of their broader strategy to address gender inequality in the workplace, the </w:t>
      </w:r>
      <w:r w:rsidR="00A03259" w:rsidRPr="00167CB8">
        <w:t>Labor</w:t>
      </w:r>
      <w:r w:rsidR="00B04693" w:rsidRPr="00167CB8">
        <w:t xml:space="preserve"> </w:t>
      </w:r>
      <w:r w:rsidR="00C83147" w:rsidRPr="00167CB8">
        <w:t>g</w:t>
      </w:r>
      <w:r w:rsidR="00B04693" w:rsidRPr="00167CB8">
        <w:t>overnment</w:t>
      </w:r>
      <w:r w:rsidR="00BC377E" w:rsidRPr="00167CB8">
        <w:t xml:space="preserve"> </w:t>
      </w:r>
      <w:r w:rsidR="007D3670" w:rsidRPr="00167CB8">
        <w:t xml:space="preserve">(then opposition) </w:t>
      </w:r>
      <w:r w:rsidRPr="00167CB8">
        <w:t>committed to introducing measures aimed at promoting gender pay equity.</w:t>
      </w:r>
    </w:p>
    <w:p w14:paraId="41C28D43" w14:textId="1BE79FAC" w:rsidR="009A1D5D" w:rsidRPr="00167CB8" w:rsidRDefault="0014431C" w:rsidP="009A1D5D">
      <w:pPr>
        <w:pStyle w:val="Heading4"/>
        <w:rPr>
          <w:rFonts w:asciiTheme="minorHAnsi" w:hAnsiTheme="minorHAnsi"/>
        </w:rPr>
      </w:pPr>
      <w:bookmarkStart w:id="342" w:name="_Toc188003374"/>
      <w:bookmarkStart w:id="343" w:name="_Toc188277938"/>
      <w:bookmarkStart w:id="344" w:name="_Toc189260290"/>
      <w:bookmarkStart w:id="345" w:name="_Toc189393606"/>
      <w:r w:rsidRPr="00167CB8">
        <w:rPr>
          <w:rFonts w:asciiTheme="minorHAnsi" w:hAnsiTheme="minorHAnsi"/>
        </w:rPr>
        <w:t>25</w:t>
      </w:r>
      <w:r w:rsidR="00FC04B0" w:rsidRPr="00167CB8">
        <w:rPr>
          <w:rFonts w:asciiTheme="minorHAnsi" w:hAnsiTheme="minorHAnsi"/>
        </w:rPr>
        <w:t>.2</w:t>
      </w:r>
      <w:r w:rsidR="009A1D5D" w:rsidRPr="00167CB8">
        <w:rPr>
          <w:rFonts w:asciiTheme="minorHAnsi" w:hAnsiTheme="minorHAnsi"/>
        </w:rPr>
        <w:t xml:space="preserve"> Impact </w:t>
      </w:r>
      <w:r w:rsidR="00C83147" w:rsidRPr="00167CB8">
        <w:rPr>
          <w:rFonts w:asciiTheme="minorHAnsi" w:hAnsiTheme="minorHAnsi"/>
        </w:rPr>
        <w:t>and i</w:t>
      </w:r>
      <w:r w:rsidR="009A1D5D" w:rsidRPr="00167CB8">
        <w:rPr>
          <w:rFonts w:asciiTheme="minorHAnsi" w:hAnsiTheme="minorHAnsi"/>
        </w:rPr>
        <w:t>ssues</w:t>
      </w:r>
      <w:bookmarkEnd w:id="342"/>
      <w:bookmarkEnd w:id="343"/>
      <w:bookmarkEnd w:id="344"/>
      <w:bookmarkEnd w:id="345"/>
    </w:p>
    <w:p w14:paraId="5FB21B61" w14:textId="77777777" w:rsidR="009A1D5D" w:rsidRPr="00167CB8" w:rsidRDefault="009A1D5D" w:rsidP="006000ED">
      <w:r w:rsidRPr="00167CB8">
        <w:t>The following describes the data and information considered by the Review Panel when evaluating the amendments discussed above.</w:t>
      </w:r>
    </w:p>
    <w:p w14:paraId="4ED1427C" w14:textId="48623465" w:rsidR="009A1D5D" w:rsidRPr="00167CB8" w:rsidRDefault="0014431C" w:rsidP="009A1D5D">
      <w:pPr>
        <w:pStyle w:val="Heading5"/>
        <w:rPr>
          <w:rFonts w:asciiTheme="minorHAnsi" w:hAnsiTheme="minorHAnsi"/>
        </w:rPr>
      </w:pPr>
      <w:bookmarkStart w:id="346" w:name="_Toc188003375"/>
      <w:r w:rsidRPr="00167CB8">
        <w:rPr>
          <w:rFonts w:asciiTheme="minorHAnsi" w:hAnsiTheme="minorHAnsi"/>
        </w:rPr>
        <w:t>25</w:t>
      </w:r>
      <w:r w:rsidR="00FC04B0" w:rsidRPr="00167CB8">
        <w:rPr>
          <w:rFonts w:asciiTheme="minorHAnsi" w:hAnsiTheme="minorHAnsi"/>
        </w:rPr>
        <w:t>.2.1</w:t>
      </w:r>
      <w:r w:rsidR="009A1D5D" w:rsidRPr="00167CB8">
        <w:rPr>
          <w:rFonts w:asciiTheme="minorHAnsi" w:hAnsiTheme="minorHAnsi"/>
        </w:rPr>
        <w:t xml:space="preserve"> Quantitative </w:t>
      </w:r>
      <w:r w:rsidR="00C83147" w:rsidRPr="00167CB8">
        <w:rPr>
          <w:rFonts w:asciiTheme="minorHAnsi" w:hAnsiTheme="minorHAnsi"/>
        </w:rPr>
        <w:t>e</w:t>
      </w:r>
      <w:r w:rsidR="009A1D5D" w:rsidRPr="00167CB8">
        <w:rPr>
          <w:rFonts w:asciiTheme="minorHAnsi" w:hAnsiTheme="minorHAnsi"/>
        </w:rPr>
        <w:t>vidence</w:t>
      </w:r>
      <w:bookmarkEnd w:id="346"/>
    </w:p>
    <w:p w14:paraId="413638A2" w14:textId="322AC3B0" w:rsidR="009A1D5D" w:rsidRPr="00167CB8" w:rsidRDefault="00EE02D3" w:rsidP="006000ED">
      <w:pPr>
        <w:rPr>
          <w:rFonts w:cstheme="minorHAnsi"/>
        </w:rPr>
      </w:pPr>
      <w:r w:rsidRPr="00167CB8">
        <w:t xml:space="preserve">The Review Panel expects increased wages for women (especially in highly feminised and historically undervalued industries) </w:t>
      </w:r>
      <w:r w:rsidR="00B87847" w:rsidRPr="00167CB8">
        <w:t xml:space="preserve">to contribute to a significant convergence in the gender wage gap (GWG). </w:t>
      </w:r>
      <w:r w:rsidR="009A1D5D" w:rsidRPr="00167CB8">
        <w:rPr>
          <w:rFonts w:cstheme="minorHAnsi"/>
        </w:rPr>
        <w:t>The GWG in the full-time labour market is now at 11.5</w:t>
      </w:r>
      <w:r w:rsidR="00C83147" w:rsidRPr="00167CB8">
        <w:rPr>
          <w:rFonts w:cstheme="minorHAnsi"/>
        </w:rPr>
        <w:t xml:space="preserve">% </w:t>
      </w:r>
      <w:r w:rsidR="00C83147" w:rsidRPr="00167CB8">
        <w:rPr>
          <w:rFonts w:ascii="Symbol" w:eastAsia="Symbol" w:hAnsi="Symbol" w:cstheme="minorHAnsi"/>
        </w:rPr>
        <w:t>-</w:t>
      </w:r>
      <w:r w:rsidR="00C83147" w:rsidRPr="00167CB8">
        <w:rPr>
          <w:rFonts w:cstheme="minorHAnsi"/>
        </w:rPr>
        <w:t xml:space="preserve"> </w:t>
      </w:r>
      <w:r w:rsidR="009A1D5D" w:rsidRPr="00167CB8">
        <w:rPr>
          <w:rFonts w:cstheme="minorHAnsi"/>
        </w:rPr>
        <w:t xml:space="preserve">a new low (see Chapter </w:t>
      </w:r>
      <w:r w:rsidR="009F034D" w:rsidRPr="00167CB8">
        <w:rPr>
          <w:rFonts w:cstheme="minorHAnsi"/>
        </w:rPr>
        <w:t>22</w:t>
      </w:r>
      <w:r w:rsidR="009A1D5D" w:rsidRPr="00167CB8">
        <w:rPr>
          <w:rFonts w:cstheme="minorHAnsi"/>
        </w:rPr>
        <w:t xml:space="preserve">).  Regression analysis also reported in Chapter </w:t>
      </w:r>
      <w:r w:rsidR="009F034D" w:rsidRPr="00167CB8">
        <w:rPr>
          <w:rFonts w:cstheme="minorHAnsi"/>
        </w:rPr>
        <w:t>22</w:t>
      </w:r>
      <w:r w:rsidR="000D47CB" w:rsidRPr="00167CB8">
        <w:rPr>
          <w:rFonts w:cstheme="minorHAnsi"/>
        </w:rPr>
        <w:t xml:space="preserve"> </w:t>
      </w:r>
      <w:r w:rsidR="009A1D5D" w:rsidRPr="00167CB8">
        <w:rPr>
          <w:rFonts w:cstheme="minorHAnsi"/>
        </w:rPr>
        <w:t>shows that, since 2022</w:t>
      </w:r>
      <w:r w:rsidR="00C83147" w:rsidRPr="00167CB8">
        <w:rPr>
          <w:rFonts w:cstheme="minorHAnsi"/>
        </w:rPr>
        <w:t>,</w:t>
      </w:r>
      <w:r w:rsidR="009A1D5D" w:rsidRPr="00167CB8">
        <w:rPr>
          <w:rFonts w:cstheme="minorHAnsi"/>
        </w:rPr>
        <w:t xml:space="preserve"> when the </w:t>
      </w:r>
      <w:r w:rsidR="00D86F0F" w:rsidRPr="00167CB8">
        <w:rPr>
          <w:rFonts w:cstheme="minorHAnsi"/>
        </w:rPr>
        <w:t>Secure Jobs, Better Pay</w:t>
      </w:r>
      <w:r w:rsidR="009A1D5D" w:rsidRPr="00167CB8">
        <w:rPr>
          <w:rFonts w:cstheme="minorHAnsi"/>
        </w:rPr>
        <w:t xml:space="preserve"> amendments </w:t>
      </w:r>
      <w:r w:rsidR="00E04C05" w:rsidRPr="00167CB8">
        <w:rPr>
          <w:rFonts w:cstheme="minorHAnsi"/>
        </w:rPr>
        <w:t>commenced</w:t>
      </w:r>
      <w:r w:rsidR="009A1D5D" w:rsidRPr="00167CB8">
        <w:rPr>
          <w:rFonts w:cstheme="minorHAnsi"/>
        </w:rPr>
        <w:t>, there has been a significant convergence in the GWG net of compositional effects. This suggests that the work value reforms are impacting as intended.</w:t>
      </w:r>
    </w:p>
    <w:p w14:paraId="58277265" w14:textId="1729CD6F" w:rsidR="009A1D5D" w:rsidRPr="00167CB8" w:rsidRDefault="0014431C" w:rsidP="009A1D5D">
      <w:pPr>
        <w:pStyle w:val="Heading5"/>
        <w:rPr>
          <w:rFonts w:asciiTheme="minorHAnsi" w:hAnsiTheme="minorHAnsi"/>
        </w:rPr>
      </w:pPr>
      <w:bookmarkStart w:id="347" w:name="_Toc188003376"/>
      <w:r w:rsidRPr="00167CB8">
        <w:rPr>
          <w:rFonts w:asciiTheme="minorHAnsi" w:hAnsiTheme="minorHAnsi"/>
        </w:rPr>
        <w:t>25</w:t>
      </w:r>
      <w:r w:rsidR="00FC04B0" w:rsidRPr="00167CB8">
        <w:rPr>
          <w:rFonts w:asciiTheme="minorHAnsi" w:hAnsiTheme="minorHAnsi"/>
        </w:rPr>
        <w:t>.2.2</w:t>
      </w:r>
      <w:r w:rsidR="009A1D5D" w:rsidRPr="00167CB8">
        <w:rPr>
          <w:rFonts w:asciiTheme="minorHAnsi" w:hAnsiTheme="minorHAnsi"/>
        </w:rPr>
        <w:t xml:space="preserve"> Qualitative </w:t>
      </w:r>
      <w:r w:rsidR="00C83147" w:rsidRPr="00167CB8">
        <w:rPr>
          <w:rFonts w:asciiTheme="minorHAnsi" w:hAnsiTheme="minorHAnsi"/>
        </w:rPr>
        <w:t>e</w:t>
      </w:r>
      <w:r w:rsidR="009A1D5D" w:rsidRPr="00167CB8">
        <w:rPr>
          <w:rFonts w:asciiTheme="minorHAnsi" w:hAnsiTheme="minorHAnsi"/>
        </w:rPr>
        <w:t>vidence</w:t>
      </w:r>
      <w:bookmarkEnd w:id="347"/>
    </w:p>
    <w:p w14:paraId="7C5C7AD5" w14:textId="7E6F148E" w:rsidR="009A1D5D" w:rsidRPr="00167CB8" w:rsidRDefault="00C83147" w:rsidP="006000ED">
      <w:r w:rsidRPr="00167CB8">
        <w:t>T</w:t>
      </w:r>
      <w:r w:rsidR="009A1D5D" w:rsidRPr="00167CB8">
        <w:t xml:space="preserve">he FWC has </w:t>
      </w:r>
      <w:r w:rsidR="00AA7AA5" w:rsidRPr="00167CB8">
        <w:t>varied</w:t>
      </w:r>
      <w:r w:rsidR="009A1D5D" w:rsidRPr="00167CB8">
        <w:t xml:space="preserve"> modern award minimum wages for work value reasons</w:t>
      </w:r>
      <w:r w:rsidRPr="00167CB8">
        <w:t xml:space="preserve"> since they came into effect</w:t>
      </w:r>
      <w:r w:rsidR="009A1D5D" w:rsidRPr="00167CB8">
        <w:t xml:space="preserve">. Notable cases include the Aged Care Work Value </w:t>
      </w:r>
      <w:r w:rsidRPr="00167CB8">
        <w:t>c</w:t>
      </w:r>
      <w:r w:rsidR="009A1D5D" w:rsidRPr="00167CB8">
        <w:t>ase</w:t>
      </w:r>
      <w:r w:rsidR="00572127" w:rsidRPr="00167CB8">
        <w:t xml:space="preserve"> (which was underway when the Secure Jobs, Better Pay amendments commenced)</w:t>
      </w:r>
      <w:r w:rsidR="009A1D5D" w:rsidRPr="00167CB8">
        <w:t>. In this case the FWC accepted evidence that the workers in this sector suffered ‘historic gender-based undervaluation’.</w:t>
      </w:r>
      <w:r w:rsidR="009A1D5D" w:rsidRPr="00167CB8">
        <w:rPr>
          <w:rStyle w:val="FootnoteReference"/>
        </w:rPr>
        <w:footnoteReference w:id="842"/>
      </w:r>
      <w:r w:rsidR="009A1D5D" w:rsidRPr="00167CB8">
        <w:t xml:space="preserve"> As noted in Chapter</w:t>
      </w:r>
      <w:r w:rsidR="00B71D8D" w:rsidRPr="00167CB8">
        <w:t> </w:t>
      </w:r>
      <w:r w:rsidR="009F034D" w:rsidRPr="00167CB8">
        <w:t>22</w:t>
      </w:r>
      <w:r w:rsidR="009A1D5D" w:rsidRPr="00167CB8">
        <w:t xml:space="preserve">, in February 2023 the </w:t>
      </w:r>
      <w:r w:rsidR="009E52D8" w:rsidRPr="00167CB8">
        <w:t xml:space="preserve">Full Bench of </w:t>
      </w:r>
      <w:r w:rsidR="00622F11" w:rsidRPr="00167CB8">
        <w:t xml:space="preserve">the </w:t>
      </w:r>
      <w:r w:rsidR="009E52D8" w:rsidRPr="00167CB8">
        <w:t xml:space="preserve">FWC </w:t>
      </w:r>
      <w:r w:rsidR="009A1D5D" w:rsidRPr="00167CB8">
        <w:t xml:space="preserve">granted an interim pay increase of 15% for direct care workers </w:t>
      </w:r>
      <w:r w:rsidR="00EC58A1" w:rsidRPr="00167CB8">
        <w:t>and in</w:t>
      </w:r>
      <w:r w:rsidR="009A1D5D" w:rsidRPr="00167CB8">
        <w:t xml:space="preserve"> March 2024 an additional final increase of up to 28.5% depending on job and level.</w:t>
      </w:r>
      <w:r w:rsidR="009A1D5D" w:rsidRPr="00167CB8">
        <w:rPr>
          <w:rStyle w:val="FootnoteReference"/>
        </w:rPr>
        <w:footnoteReference w:id="843"/>
      </w:r>
      <w:r w:rsidR="009A1D5D" w:rsidRPr="00167CB8">
        <w:t xml:space="preserve">  </w:t>
      </w:r>
    </w:p>
    <w:p w14:paraId="02E13E09" w14:textId="0B2FBD6D" w:rsidR="009A1D5D" w:rsidRPr="00167CB8" w:rsidRDefault="009A1D5D" w:rsidP="006000ED">
      <w:r w:rsidRPr="00167CB8">
        <w:lastRenderedPageBreak/>
        <w:t>Building on its gender pay equity research, in the Annual Wage Review 2023–24 the FWC set out its program to remedy gender undervaluation, beginning with the Gender Undervaluation Priority Awards Review</w:t>
      </w:r>
      <w:r w:rsidR="00C83147" w:rsidRPr="00167CB8">
        <w:t>,</w:t>
      </w:r>
      <w:r w:rsidRPr="00167CB8">
        <w:t xml:space="preserve"> which is currently underway.</w:t>
      </w:r>
      <w:r w:rsidRPr="00167CB8">
        <w:rPr>
          <w:rStyle w:val="FootnoteReference"/>
        </w:rPr>
        <w:footnoteReference w:id="844"/>
      </w:r>
    </w:p>
    <w:p w14:paraId="16158E1A" w14:textId="4182B632" w:rsidR="009A1D5D" w:rsidRPr="00167CB8" w:rsidRDefault="009A1D5D" w:rsidP="006000ED">
      <w:pPr>
        <w:rPr>
          <w:rFonts w:cstheme="minorHAnsi"/>
        </w:rPr>
      </w:pPr>
      <w:r w:rsidRPr="00167CB8">
        <w:t xml:space="preserve">The FWC is now also reviewing gender undervaluation in </w:t>
      </w:r>
      <w:r w:rsidR="00C83147" w:rsidRPr="00167CB8">
        <w:t xml:space="preserve">5 </w:t>
      </w:r>
      <w:r w:rsidRPr="00167CB8">
        <w:t>modern awards</w:t>
      </w:r>
      <w:r w:rsidR="00EC3C10" w:rsidRPr="00167CB8">
        <w:t>:</w:t>
      </w:r>
      <w:r w:rsidRPr="00167CB8">
        <w:rPr>
          <w:rStyle w:val="FootnoteReference"/>
        </w:rPr>
        <w:footnoteReference w:id="845"/>
      </w:r>
      <w:r w:rsidRPr="00167CB8">
        <w:t xml:space="preserve"> </w:t>
      </w:r>
    </w:p>
    <w:p w14:paraId="53F94314" w14:textId="77777777" w:rsidR="009A1D5D" w:rsidRPr="00167CB8" w:rsidRDefault="009A1D5D" w:rsidP="00567FCA">
      <w:pPr>
        <w:numPr>
          <w:ilvl w:val="0"/>
          <w:numId w:val="11"/>
        </w:numPr>
        <w:shd w:val="clear" w:color="auto" w:fill="FFFFFF"/>
        <w:spacing w:before="100" w:beforeAutospacing="1" w:after="100" w:afterAutospacing="1"/>
        <w:ind w:left="714" w:hanging="357"/>
      </w:pPr>
      <w:r w:rsidRPr="00167CB8">
        <w:t xml:space="preserve">Aboriginal and Torres Strait Islander Health Workers and Practitioners and Aboriginal Community Controlled Health Services Award 2020 </w:t>
      </w:r>
    </w:p>
    <w:p w14:paraId="1C8F399F" w14:textId="77777777" w:rsidR="009A1D5D" w:rsidRPr="00167CB8" w:rsidRDefault="009A1D5D" w:rsidP="00567FCA">
      <w:pPr>
        <w:numPr>
          <w:ilvl w:val="0"/>
          <w:numId w:val="11"/>
        </w:numPr>
        <w:shd w:val="clear" w:color="auto" w:fill="FFFFFF"/>
        <w:spacing w:before="100" w:beforeAutospacing="1" w:after="100" w:afterAutospacing="1"/>
        <w:ind w:left="714" w:hanging="357"/>
      </w:pPr>
      <w:r w:rsidRPr="00167CB8">
        <w:t>Children’s Services Award 2010</w:t>
      </w:r>
    </w:p>
    <w:p w14:paraId="3DA25D0E" w14:textId="77777777" w:rsidR="009A1D5D" w:rsidRPr="00167CB8" w:rsidRDefault="009A1D5D" w:rsidP="00567FCA">
      <w:pPr>
        <w:numPr>
          <w:ilvl w:val="0"/>
          <w:numId w:val="11"/>
        </w:numPr>
        <w:shd w:val="clear" w:color="auto" w:fill="FFFFFF"/>
        <w:spacing w:before="100" w:beforeAutospacing="1" w:after="100" w:afterAutospacing="1"/>
        <w:ind w:left="714" w:hanging="357"/>
      </w:pPr>
      <w:r w:rsidRPr="00167CB8">
        <w:t>Health Professionals and Support Services Award 2020</w:t>
      </w:r>
    </w:p>
    <w:p w14:paraId="18D8C931" w14:textId="77777777" w:rsidR="009A1D5D" w:rsidRPr="00167CB8" w:rsidRDefault="009A1D5D" w:rsidP="00567FCA">
      <w:pPr>
        <w:numPr>
          <w:ilvl w:val="0"/>
          <w:numId w:val="11"/>
        </w:numPr>
        <w:shd w:val="clear" w:color="auto" w:fill="FFFFFF"/>
        <w:spacing w:before="100" w:beforeAutospacing="1" w:after="100" w:afterAutospacing="1"/>
        <w:ind w:left="714" w:hanging="357"/>
      </w:pPr>
      <w:r w:rsidRPr="00167CB8">
        <w:t>Pharmacy Industry Award 2020</w:t>
      </w:r>
    </w:p>
    <w:p w14:paraId="4FAB0DE1" w14:textId="74E3DA4F" w:rsidR="009A1D5D" w:rsidRPr="00167CB8" w:rsidRDefault="009A1D5D" w:rsidP="00567FCA">
      <w:pPr>
        <w:numPr>
          <w:ilvl w:val="0"/>
          <w:numId w:val="11"/>
        </w:numPr>
        <w:shd w:val="clear" w:color="auto" w:fill="FFFFFF"/>
        <w:spacing w:before="100" w:beforeAutospacing="1" w:after="100" w:afterAutospacing="1"/>
        <w:ind w:left="714" w:hanging="357"/>
      </w:pPr>
      <w:r w:rsidRPr="00167CB8">
        <w:t>Social, Community, Home Care and Disability Services Industry Award 2010</w:t>
      </w:r>
      <w:r w:rsidR="00C83147" w:rsidRPr="00167CB8">
        <w:t>.</w:t>
      </w:r>
      <w:r w:rsidRPr="00167CB8">
        <w:t> </w:t>
      </w:r>
    </w:p>
    <w:p w14:paraId="5E36FE92" w14:textId="2F3824C8" w:rsidR="009A1D5D" w:rsidRPr="00167CB8" w:rsidRDefault="009A1D5D" w:rsidP="006000ED">
      <w:pPr>
        <w:shd w:val="clear" w:color="auto" w:fill="FFFFFF"/>
        <w:spacing w:before="100" w:beforeAutospacing="1" w:after="100" w:afterAutospacing="1"/>
      </w:pPr>
      <w:r w:rsidRPr="00167CB8">
        <w:t xml:space="preserve">The FWC’s intent is to </w:t>
      </w:r>
      <w:r w:rsidR="000F706C" w:rsidRPr="00167CB8">
        <w:t xml:space="preserve">complete </w:t>
      </w:r>
      <w:r w:rsidRPr="00167CB8">
        <w:t>the gender undervaluation review prior to the 2024</w:t>
      </w:r>
      <w:r w:rsidR="00C83147" w:rsidRPr="00167CB8">
        <w:rPr>
          <w:rFonts w:ascii="Symbol" w:eastAsia="Symbol" w:hAnsi="Symbol" w:cs="Symbol"/>
        </w:rPr>
        <w:sym w:font="Symbol" w:char="F02D"/>
      </w:r>
      <w:r w:rsidRPr="00167CB8">
        <w:t xml:space="preserve">25 AWR and likely then progress to consider gender undervaluation issues in other awards.  </w:t>
      </w:r>
    </w:p>
    <w:p w14:paraId="2F29D486" w14:textId="321B9A81" w:rsidR="00615138" w:rsidRPr="00167CB8" w:rsidRDefault="00615138" w:rsidP="006000ED">
      <w:r w:rsidRPr="00167CB8">
        <w:t>During work value cases and other matters, the FWC has undertaken research and prepared materials</w:t>
      </w:r>
      <w:r w:rsidR="002F2B0E" w:rsidRPr="00167CB8">
        <w:t xml:space="preserve"> to facilitate proceedings</w:t>
      </w:r>
      <w:r w:rsidRPr="00167CB8">
        <w:t xml:space="preserve">. For example, in the Aged Care Work Value </w:t>
      </w:r>
      <w:r w:rsidR="00C83147" w:rsidRPr="00167CB8">
        <w:t>c</w:t>
      </w:r>
      <w:r w:rsidRPr="00167CB8">
        <w:t>ase, the FWC prepared documents including a background of award histories and a summary of lay witnesses’ evidence.</w:t>
      </w:r>
      <w:r w:rsidRPr="00167CB8">
        <w:rPr>
          <w:rStyle w:val="FootnoteReference"/>
        </w:rPr>
        <w:footnoteReference w:id="846"/>
      </w:r>
      <w:r w:rsidRPr="00167CB8">
        <w:t xml:space="preserve"> Similarly, to support the ongoing Gender Undervaluation Priority Awards Review, the FWC has published a data profile to provide information on pharmacists and employees whose pay is set by the Pharmacy Award and engaged Jumbunna Institute for Indigenous Education and Research to undertake a literature review about the intersection of cultural and gender-based skills.</w:t>
      </w:r>
      <w:r w:rsidRPr="00167CB8">
        <w:rPr>
          <w:rStyle w:val="FootnoteReference"/>
        </w:rPr>
        <w:footnoteReference w:id="847"/>
      </w:r>
      <w:r w:rsidRPr="00167CB8">
        <w:t xml:space="preserve"> These sorts of activities facilitate the proceedings and alleviate some of the evidentiary burden on the particular parties involved. Noting the broader public importance of work value proceedings, this is an appropriate and important function of the FWC.</w:t>
      </w:r>
    </w:p>
    <w:p w14:paraId="7ED11DCC" w14:textId="68393001" w:rsidR="009A1D5D" w:rsidRPr="00167CB8" w:rsidRDefault="0014431C" w:rsidP="009A1D5D">
      <w:pPr>
        <w:pStyle w:val="Heading5"/>
        <w:rPr>
          <w:rFonts w:asciiTheme="minorHAnsi" w:hAnsiTheme="minorHAnsi"/>
        </w:rPr>
      </w:pPr>
      <w:bookmarkStart w:id="348" w:name="_Toc188003377"/>
      <w:r w:rsidRPr="00167CB8">
        <w:rPr>
          <w:rFonts w:asciiTheme="minorHAnsi" w:hAnsiTheme="minorHAnsi"/>
        </w:rPr>
        <w:t>25</w:t>
      </w:r>
      <w:r w:rsidR="00FC04B0" w:rsidRPr="00167CB8">
        <w:rPr>
          <w:rFonts w:asciiTheme="minorHAnsi" w:hAnsiTheme="minorHAnsi"/>
        </w:rPr>
        <w:t>.2.3</w:t>
      </w:r>
      <w:r w:rsidR="009A1D5D" w:rsidRPr="00167CB8">
        <w:rPr>
          <w:rFonts w:asciiTheme="minorHAnsi" w:hAnsiTheme="minorHAnsi"/>
        </w:rPr>
        <w:t xml:space="preserve"> Stakeholder views</w:t>
      </w:r>
      <w:bookmarkEnd w:id="348"/>
    </w:p>
    <w:p w14:paraId="3771177E" w14:textId="2E96CA70" w:rsidR="009A1D5D" w:rsidRPr="00167CB8" w:rsidRDefault="009A1D5D" w:rsidP="006000ED">
      <w:pPr>
        <w:rPr>
          <w:rFonts w:cstheme="minorHAnsi"/>
        </w:rPr>
      </w:pPr>
      <w:r w:rsidRPr="00167CB8">
        <w:rPr>
          <w:rFonts w:cstheme="minorHAnsi"/>
        </w:rPr>
        <w:t xml:space="preserve">In terms of amendments concerning </w:t>
      </w:r>
      <w:r w:rsidR="00A67ED4" w:rsidRPr="00167CB8">
        <w:rPr>
          <w:rFonts w:cstheme="minorHAnsi"/>
        </w:rPr>
        <w:t>Equal Remuneration Orders (</w:t>
      </w:r>
      <w:r w:rsidRPr="00167CB8">
        <w:rPr>
          <w:rFonts w:cstheme="minorHAnsi"/>
        </w:rPr>
        <w:t>EROs</w:t>
      </w:r>
      <w:r w:rsidR="00A67ED4" w:rsidRPr="00167CB8">
        <w:rPr>
          <w:rFonts w:cstheme="minorHAnsi"/>
        </w:rPr>
        <w:t>)</w:t>
      </w:r>
      <w:r w:rsidRPr="00167CB8">
        <w:rPr>
          <w:rFonts w:cstheme="minorHAnsi"/>
        </w:rPr>
        <w:t>, unions welcomed the provisions requiring that the FWC must make an ERO if it is satisfied that the employees to be covered by the ERO do not have equal remuneration for work of equal or comparable value. Unions also welcomed the change that allows the FWC to make its own ERO without having to wait for an equal remuneration application.</w:t>
      </w:r>
    </w:p>
    <w:p w14:paraId="089F0455" w14:textId="5B9A2498" w:rsidR="009A1D5D" w:rsidRPr="00167CB8" w:rsidRDefault="009A1D5D" w:rsidP="006000ED">
      <w:r w:rsidRPr="00167CB8">
        <w:t>The unions</w:t>
      </w:r>
      <w:r w:rsidRPr="00167CB8" w:rsidDel="009D22CE">
        <w:t xml:space="preserve"> </w:t>
      </w:r>
      <w:r w:rsidRPr="00167CB8">
        <w:t>also note that the new equal remuneration provisions provide individual remedies as well as collective ones.</w:t>
      </w:r>
      <w:r w:rsidRPr="00167CB8">
        <w:rPr>
          <w:rStyle w:val="FootnoteReference"/>
        </w:rPr>
        <w:footnoteReference w:id="848"/>
      </w:r>
      <w:r w:rsidRPr="00167CB8">
        <w:t xml:space="preserve"> In other words, individuals may apply to the FWC for an ERO. At the time of writing there has been only one such application </w:t>
      </w:r>
      <w:r w:rsidR="00A67ED4" w:rsidRPr="00167CB8">
        <w:rPr>
          <w:rFonts w:ascii="Symbol" w:eastAsia="Symbol" w:hAnsi="Symbol" w:cs="Symbol"/>
        </w:rPr>
        <w:sym w:font="Symbol" w:char="F02D"/>
      </w:r>
      <w:r w:rsidRPr="00167CB8">
        <w:t xml:space="preserve"> </w:t>
      </w:r>
      <w:r w:rsidRPr="00167CB8">
        <w:rPr>
          <w:rStyle w:val="Emphasis"/>
        </w:rPr>
        <w:t xml:space="preserve">Sabbatini v Peter Rowland Group </w:t>
      </w:r>
      <w:r w:rsidRPr="00167CB8">
        <w:rPr>
          <w:rStyle w:val="Emphasis"/>
        </w:rPr>
        <w:lastRenderedPageBreak/>
        <w:t>Pty Ltd.</w:t>
      </w:r>
      <w:r w:rsidRPr="00167CB8">
        <w:rPr>
          <w:rStyle w:val="FootnoteReference"/>
        </w:rPr>
        <w:footnoteReference w:id="849"/>
      </w:r>
      <w:r w:rsidRPr="00167CB8">
        <w:t xml:space="preserve"> In this case, Sabbatini applied for an ERO on the grounds that she was paid less than her male counterparts for performing equally valuable work. The FWC acknowledged the pay disparity but could not issue an ERO because she had subsequently resigned and was no longer employed by the company by the time the FWC heard the case.</w:t>
      </w:r>
      <w:r w:rsidR="00103062" w:rsidRPr="00167CB8">
        <w:rPr>
          <w:rStyle w:val="FootnoteReference"/>
        </w:rPr>
        <w:footnoteReference w:id="850"/>
      </w:r>
      <w:r w:rsidRPr="00167CB8">
        <w:t xml:space="preserve">  </w:t>
      </w:r>
    </w:p>
    <w:p w14:paraId="5775F643" w14:textId="437ACCBC" w:rsidR="009A1D5D" w:rsidRPr="00167CB8" w:rsidRDefault="009A1D5D" w:rsidP="006000ED">
      <w:r w:rsidRPr="00167CB8">
        <w:t>Several issues concerning the work value amendments were, however, raised during the roundtable consultations and via submissions. These are summarised as follows</w:t>
      </w:r>
      <w:r w:rsidR="00A67ED4" w:rsidRPr="00167CB8">
        <w:t>.</w:t>
      </w:r>
    </w:p>
    <w:p w14:paraId="3FC759ED" w14:textId="590D2941" w:rsidR="00A67ED4" w:rsidRPr="00167CB8" w:rsidRDefault="009A1D5D" w:rsidP="00A67ED4">
      <w:pPr>
        <w:pStyle w:val="Heading6"/>
      </w:pPr>
      <w:r w:rsidRPr="00167CB8">
        <w:t>Process and efficiency concerns</w:t>
      </w:r>
    </w:p>
    <w:p w14:paraId="489B234D" w14:textId="68F47E19" w:rsidR="0039754D" w:rsidRPr="00167CB8" w:rsidRDefault="00A67ED4" w:rsidP="006000ED">
      <w:r w:rsidRPr="00167CB8">
        <w:t>S</w:t>
      </w:r>
      <w:r w:rsidR="009A1D5D" w:rsidRPr="00167CB8">
        <w:t xml:space="preserve">takeholders in roundtables submitted that the rapid pace of priority award review proceedings was placing significant pressure on parties, making it challenging for them to meaningfully contribute. The </w:t>
      </w:r>
      <w:r w:rsidR="00986C58" w:rsidRPr="00167CB8">
        <w:t>Review</w:t>
      </w:r>
      <w:r w:rsidR="009A1D5D" w:rsidRPr="00167CB8">
        <w:t xml:space="preserve"> Panel also heard that the time required to gather evidence and conduct reviews was taxing and with the numerous reviews underway the process was generating participant fatigue.</w:t>
      </w:r>
      <w:r w:rsidR="009A1D5D" w:rsidRPr="00167CB8">
        <w:rPr>
          <w:vertAlign w:val="superscript"/>
        </w:rPr>
        <w:footnoteReference w:id="851"/>
      </w:r>
      <w:r w:rsidR="009A1D5D" w:rsidRPr="00167CB8">
        <w:t xml:space="preserve"> </w:t>
      </w:r>
    </w:p>
    <w:p w14:paraId="07985406" w14:textId="39E25EF7" w:rsidR="00A67ED4" w:rsidRPr="00167CB8" w:rsidRDefault="009A1D5D" w:rsidP="006000ED">
      <w:r w:rsidRPr="00167CB8">
        <w:t>The Centre for Future Work (CFW) submitted that</w:t>
      </w:r>
      <w:r w:rsidR="00A67ED4" w:rsidRPr="00167CB8">
        <w:t>:</w:t>
      </w:r>
      <w:r w:rsidR="00A67ED4" w:rsidRPr="00167CB8">
        <w:rPr>
          <w:vertAlign w:val="superscript"/>
        </w:rPr>
        <w:footnoteReference w:id="852"/>
      </w:r>
    </w:p>
    <w:p w14:paraId="637549D2" w14:textId="24C9C9F6" w:rsidR="009A1D5D" w:rsidRPr="00167CB8" w:rsidRDefault="004701EB" w:rsidP="00A67ED4">
      <w:pPr>
        <w:pStyle w:val="Quote"/>
      </w:pPr>
      <w:r w:rsidRPr="00167CB8">
        <w:t>[g]</w:t>
      </w:r>
      <w:r w:rsidR="009A1D5D" w:rsidRPr="00167CB8">
        <w:t>ender inequality and gender-based undervaluation will not be eradicated by small incremental adjustments. Further amendments to the FWA could include a requirement that the FWC adopt a standard methodology and principles for classifying work and ascribing work value that breaks with the historic reliance on standards in male-dominated industries.</w:t>
      </w:r>
    </w:p>
    <w:p w14:paraId="1B5C9B37" w14:textId="2EA38917" w:rsidR="00A67ED4" w:rsidRPr="00167CB8" w:rsidRDefault="009A1D5D" w:rsidP="00A67ED4">
      <w:pPr>
        <w:pStyle w:val="Heading6"/>
      </w:pPr>
      <w:r w:rsidRPr="00167CB8">
        <w:t>Substantive issues</w:t>
      </w:r>
    </w:p>
    <w:p w14:paraId="0ECFF37E" w14:textId="3C4DE0C5" w:rsidR="00E33F68" w:rsidRPr="00167CB8" w:rsidRDefault="00A67ED4" w:rsidP="006000ED">
      <w:r w:rsidRPr="00167CB8">
        <w:t>C</w:t>
      </w:r>
      <w:r w:rsidR="009A1D5D" w:rsidRPr="00167CB8">
        <w:t xml:space="preserve">oncerns were expressed that the FWC may be conflating front-line care work with gender-based undervaluation, potentially overlooking how </w:t>
      </w:r>
      <w:r w:rsidRPr="00167CB8">
        <w:t>‘</w:t>
      </w:r>
      <w:r w:rsidR="009A1D5D" w:rsidRPr="00167CB8">
        <w:t>gender impacts on all those involved in highly female-dominated occupations and industries</w:t>
      </w:r>
      <w:r w:rsidR="001675FE">
        <w:t>.</w:t>
      </w:r>
      <w:r w:rsidRPr="00167CB8">
        <w:t>’</w:t>
      </w:r>
      <w:r w:rsidR="009A1D5D" w:rsidRPr="00167CB8">
        <w:t xml:space="preserve"> The CFW highlighted that, in cases such as the Federal SACs Case and the Aged Care Case non-frontline workers received less attention and smaller wage increases. The CFW urge the FWC to take a broader approach to </w:t>
      </w:r>
      <w:r w:rsidR="00EA7FCA" w:rsidRPr="00167CB8">
        <w:t>‘</w:t>
      </w:r>
      <w:r w:rsidR="009A1D5D" w:rsidRPr="00167CB8">
        <w:t>gender-based undervaluation’.</w:t>
      </w:r>
      <w:r w:rsidR="009A1D5D" w:rsidRPr="00167CB8">
        <w:rPr>
          <w:rStyle w:val="FootnoteReference"/>
        </w:rPr>
        <w:footnoteReference w:id="853"/>
      </w:r>
      <w:r w:rsidR="009A1D5D" w:rsidRPr="00167CB8">
        <w:t xml:space="preserve">   </w:t>
      </w:r>
    </w:p>
    <w:p w14:paraId="3521A9D7" w14:textId="73C27FAC" w:rsidR="009A1D5D" w:rsidRPr="00167CB8" w:rsidRDefault="009A1D5D" w:rsidP="009A1D5D">
      <w:pPr>
        <w:rPr>
          <w:b/>
          <w:bCs/>
          <w:i/>
          <w:iCs/>
        </w:rPr>
      </w:pPr>
      <w:r w:rsidRPr="00167CB8">
        <w:t xml:space="preserve">Some stakeholders also noted that a focus solely on gender undervaluation could overlook other contributing factors to gender wage inequality, such as gender differences in working time arrangements and access to overtime payments. (The </w:t>
      </w:r>
      <w:r w:rsidR="003E023E" w:rsidRPr="00167CB8">
        <w:t>Review</w:t>
      </w:r>
      <w:r w:rsidRPr="00167CB8">
        <w:t xml:space="preserve"> Panel notes that the FWC has committed to reviewing </w:t>
      </w:r>
      <w:r w:rsidR="004918F2" w:rsidRPr="00167CB8">
        <w:t xml:space="preserve">part-time </w:t>
      </w:r>
      <w:r w:rsidRPr="00167CB8">
        <w:t>working arrangements in 2025).</w:t>
      </w:r>
      <w:r w:rsidR="00E329B2" w:rsidRPr="00167CB8">
        <w:rPr>
          <w:rStyle w:val="FootnoteReference"/>
        </w:rPr>
        <w:footnoteReference w:id="854"/>
      </w:r>
      <w:r w:rsidRPr="00167CB8" w:rsidDel="00E329B2">
        <w:t xml:space="preserve"> </w:t>
      </w:r>
      <w:r w:rsidRPr="00167CB8">
        <w:t xml:space="preserve">Concerns were also raised that wage increases achieved may </w:t>
      </w:r>
      <w:r w:rsidR="0097323C" w:rsidRPr="00167CB8">
        <w:t xml:space="preserve">result in </w:t>
      </w:r>
      <w:r w:rsidR="004D2DC8" w:rsidRPr="00167CB8">
        <w:t>unintended consequences in</w:t>
      </w:r>
      <w:r w:rsidRPr="00167CB8">
        <w:t xml:space="preserve"> </w:t>
      </w:r>
      <w:r w:rsidR="008A1DFA" w:rsidRPr="00167CB8">
        <w:t xml:space="preserve">enterprise </w:t>
      </w:r>
      <w:r w:rsidRPr="00167CB8">
        <w:t>agreements</w:t>
      </w:r>
      <w:r w:rsidR="00771B46" w:rsidRPr="00167CB8">
        <w:t>.</w:t>
      </w:r>
    </w:p>
    <w:p w14:paraId="6661301A" w14:textId="07A8CCEB" w:rsidR="00A67ED4" w:rsidRPr="00167CB8" w:rsidRDefault="009A1D5D" w:rsidP="00A67ED4">
      <w:pPr>
        <w:pStyle w:val="Heading6"/>
      </w:pPr>
      <w:r w:rsidRPr="00167CB8">
        <w:lastRenderedPageBreak/>
        <w:t>Financial and funding concerns</w:t>
      </w:r>
    </w:p>
    <w:p w14:paraId="677D6B2E" w14:textId="71CA0858" w:rsidR="009A1D5D" w:rsidRPr="00167CB8" w:rsidRDefault="00A67ED4" w:rsidP="006000ED">
      <w:r w:rsidRPr="00167CB8">
        <w:t>S</w:t>
      </w:r>
      <w:r w:rsidR="009A1D5D" w:rsidRPr="00167CB8">
        <w:t>ome stakeholders raised concerns about the significant cost to run a work value case, noting that these reviews have significant public value and are effectively being funded by union members, many of whom are low paid.</w:t>
      </w:r>
      <w:r w:rsidR="009A1D5D" w:rsidRPr="00167CB8">
        <w:rPr>
          <w:vertAlign w:val="superscript"/>
        </w:rPr>
        <w:footnoteReference w:id="855"/>
      </w:r>
      <w:r w:rsidR="009A1D5D" w:rsidRPr="00167CB8">
        <w:rPr>
          <w:vertAlign w:val="superscript"/>
        </w:rPr>
        <w:t xml:space="preserve"> </w:t>
      </w:r>
      <w:r w:rsidR="009A1D5D" w:rsidRPr="00167CB8">
        <w:t>Employers also expressed anxiety about costs, notably their ability to absorb wage increases, particularly in situations where there is no corresponding increase in government funding to offset the costs. Several stakeholders</w:t>
      </w:r>
      <w:r w:rsidR="009A1D5D" w:rsidRPr="00167CB8" w:rsidDel="00C179E1">
        <w:t xml:space="preserve"> </w:t>
      </w:r>
      <w:r w:rsidR="009A1D5D" w:rsidRPr="00167CB8">
        <w:t xml:space="preserve">urged the </w:t>
      </w:r>
      <w:r w:rsidR="00806E39" w:rsidRPr="00167CB8">
        <w:t>Australian G</w:t>
      </w:r>
      <w:r w:rsidR="009A1D5D" w:rsidRPr="00167CB8">
        <w:t>overnment to review its procurement processes and seek to build greater funding certainty into contracts to ensure that wage increases are sustainable and will not place an undue financial burden on employers.</w:t>
      </w:r>
    </w:p>
    <w:p w14:paraId="03CA867E" w14:textId="4FC5BBE4" w:rsidR="007F1338" w:rsidRPr="00167CB8" w:rsidRDefault="007F1338" w:rsidP="007F1338">
      <w:r w:rsidRPr="00167CB8">
        <w:t xml:space="preserve">Relevant to this, the Review Panel notes that the </w:t>
      </w:r>
      <w:r w:rsidR="00B04693" w:rsidRPr="00167CB8">
        <w:t>Australian</w:t>
      </w:r>
      <w:r w:rsidRPr="00167CB8">
        <w:t xml:space="preserve"> Government made an initial submission to the FWC Gender </w:t>
      </w:r>
      <w:r w:rsidR="00A67ED4" w:rsidRPr="00167CB8">
        <w:t>U</w:t>
      </w:r>
      <w:r w:rsidRPr="00167CB8">
        <w:t xml:space="preserve">ndervaluation – </w:t>
      </w:r>
      <w:r w:rsidR="00A67ED4" w:rsidRPr="00167CB8">
        <w:t>P</w:t>
      </w:r>
      <w:r w:rsidRPr="00167CB8">
        <w:t xml:space="preserve">riority </w:t>
      </w:r>
      <w:r w:rsidR="00A67ED4" w:rsidRPr="00167CB8">
        <w:t>A</w:t>
      </w:r>
      <w:r w:rsidRPr="00167CB8">
        <w:t xml:space="preserve">wards </w:t>
      </w:r>
      <w:r w:rsidR="00A67ED4" w:rsidRPr="00167CB8">
        <w:t>R</w:t>
      </w:r>
      <w:r w:rsidRPr="00167CB8">
        <w:t>eview on 27 September 2024.</w:t>
      </w:r>
      <w:r w:rsidRPr="00167CB8">
        <w:rPr>
          <w:rStyle w:val="FootnoteReference"/>
        </w:rPr>
        <w:footnoteReference w:id="856"/>
      </w:r>
      <w:r w:rsidRPr="00167CB8">
        <w:t xml:space="preserve"> The submission supported the process and the broader task of identifying and addressing gender undervaluation in the modern awards system, recognising that the FWC’s work was informed by the </w:t>
      </w:r>
      <w:r w:rsidR="00D86F0F" w:rsidRPr="00167CB8">
        <w:rPr>
          <w:rFonts w:cstheme="minorHAnsi"/>
        </w:rPr>
        <w:t>Secure Jobs, Better Pay</w:t>
      </w:r>
      <w:r w:rsidRPr="00167CB8">
        <w:t xml:space="preserve"> reforms.</w:t>
      </w:r>
      <w:r w:rsidRPr="00167CB8">
        <w:rPr>
          <w:rStyle w:val="FootnoteReference"/>
        </w:rPr>
        <w:footnoteReference w:id="857"/>
      </w:r>
      <w:r w:rsidRPr="00167CB8">
        <w:t xml:space="preserve"> It also considered Commonwealth funding (including budget processes and timeframes), affected programs and policies, and the timing of wage increases,</w:t>
      </w:r>
      <w:r w:rsidRPr="00167CB8">
        <w:rPr>
          <w:rStyle w:val="FootnoteReference"/>
        </w:rPr>
        <w:footnoteReference w:id="858"/>
      </w:r>
      <w:r w:rsidRPr="00167CB8">
        <w:t xml:space="preserve"> submitting that:</w:t>
      </w:r>
      <w:r w:rsidR="00A67ED4" w:rsidRPr="00167CB8">
        <w:rPr>
          <w:rStyle w:val="FootnoteReference"/>
        </w:rPr>
        <w:footnoteReference w:id="859"/>
      </w:r>
    </w:p>
    <w:p w14:paraId="0B9642CE" w14:textId="39161AA9" w:rsidR="007F1338" w:rsidRPr="00167CB8" w:rsidRDefault="007F1338" w:rsidP="00A67ED4">
      <w:pPr>
        <w:pStyle w:val="Quote"/>
      </w:pPr>
      <w:r w:rsidRPr="00167CB8">
        <w:t>the Commission’s decision in the Priority Review should be made on the basis that the Commonwealth is yet to decide whether it will fund (including at all, and if so, to what extent) any wage increases in areas where the Commonwealth has a funding role.</w:t>
      </w:r>
    </w:p>
    <w:p w14:paraId="5185A7E4" w14:textId="433CF0BF" w:rsidR="009A1D5D" w:rsidRPr="00167CB8" w:rsidRDefault="0014431C" w:rsidP="009A1D5D">
      <w:pPr>
        <w:pStyle w:val="Heading4"/>
        <w:rPr>
          <w:rFonts w:asciiTheme="minorHAnsi" w:hAnsiTheme="minorHAnsi"/>
        </w:rPr>
      </w:pPr>
      <w:bookmarkStart w:id="349" w:name="_Toc188003378"/>
      <w:bookmarkStart w:id="350" w:name="_Toc188277939"/>
      <w:bookmarkStart w:id="351" w:name="_Toc189260291"/>
      <w:bookmarkStart w:id="352" w:name="_Toc189393607"/>
      <w:r w:rsidRPr="00167CB8">
        <w:rPr>
          <w:rFonts w:asciiTheme="minorHAnsi" w:hAnsiTheme="minorHAnsi"/>
        </w:rPr>
        <w:t>25</w:t>
      </w:r>
      <w:r w:rsidR="00FC04B0" w:rsidRPr="00167CB8">
        <w:rPr>
          <w:rFonts w:asciiTheme="minorHAnsi" w:hAnsiTheme="minorHAnsi"/>
        </w:rPr>
        <w:t>.3</w:t>
      </w:r>
      <w:r w:rsidR="009A1D5D" w:rsidRPr="00167CB8">
        <w:rPr>
          <w:rFonts w:asciiTheme="minorHAnsi" w:hAnsiTheme="minorHAnsi"/>
        </w:rPr>
        <w:t xml:space="preserve"> Findings </w:t>
      </w:r>
      <w:r w:rsidR="00A67ED4" w:rsidRPr="00167CB8">
        <w:rPr>
          <w:rFonts w:asciiTheme="minorHAnsi" w:hAnsiTheme="minorHAnsi"/>
        </w:rPr>
        <w:t>and r</w:t>
      </w:r>
      <w:r w:rsidR="009A1D5D" w:rsidRPr="00167CB8">
        <w:rPr>
          <w:rFonts w:asciiTheme="minorHAnsi" w:hAnsiTheme="minorHAnsi"/>
        </w:rPr>
        <w:t>ecommendations</w:t>
      </w:r>
      <w:bookmarkEnd w:id="349"/>
      <w:bookmarkEnd w:id="350"/>
      <w:bookmarkEnd w:id="351"/>
      <w:bookmarkEnd w:id="352"/>
    </w:p>
    <w:p w14:paraId="6FA19EC0" w14:textId="45463D4D" w:rsidR="00D256C3" w:rsidRPr="00167CB8" w:rsidRDefault="009A1D5D" w:rsidP="00D256C3">
      <w:r w:rsidRPr="00167CB8">
        <w:t xml:space="preserve">Overall, the </w:t>
      </w:r>
      <w:r w:rsidR="007036A7" w:rsidRPr="00167CB8">
        <w:t xml:space="preserve">Review </w:t>
      </w:r>
      <w:r w:rsidRPr="00167CB8">
        <w:t xml:space="preserve">Panel finds that the </w:t>
      </w:r>
      <w:r w:rsidR="00D86F0F" w:rsidRPr="00167CB8">
        <w:rPr>
          <w:rFonts w:cstheme="minorHAnsi"/>
        </w:rPr>
        <w:t>Secure Jobs, Better Pay</w:t>
      </w:r>
      <w:r w:rsidRPr="00167CB8">
        <w:t xml:space="preserve"> work value amendments are having their intended effect. They have enabled the FWC to make important work value determinations and quantitative evidence shows that, since 2022, there has been a significant convergence in the GWG.</w:t>
      </w:r>
      <w:r w:rsidR="0078086D" w:rsidRPr="00167CB8">
        <w:t xml:space="preserve"> This</w:t>
      </w:r>
      <w:r w:rsidR="00D256C3" w:rsidRPr="00167CB8">
        <w:t xml:space="preserve"> captures structural inequalities in pay (e.g. issues such as occupational and industry segregation) and, accordingly, is a high</w:t>
      </w:r>
      <w:r w:rsidR="00A67ED4" w:rsidRPr="00167CB8">
        <w:t>-</w:t>
      </w:r>
      <w:r w:rsidR="00D256C3" w:rsidRPr="00167CB8">
        <w:t xml:space="preserve">level indicator of women’s progress and status in the labour market.  </w:t>
      </w:r>
    </w:p>
    <w:p w14:paraId="3C366E7E" w14:textId="2275750B" w:rsidR="009A1D5D" w:rsidRPr="00167CB8" w:rsidRDefault="009A1D5D" w:rsidP="009A1D5D">
      <w:r w:rsidRPr="00167CB8">
        <w:t>The FWC</w:t>
      </w:r>
      <w:r w:rsidR="007864AC" w:rsidRPr="00167CB8">
        <w:t>’</w:t>
      </w:r>
      <w:r w:rsidRPr="00167CB8">
        <w:t>s ability to make ERO</w:t>
      </w:r>
      <w:r w:rsidR="00613B96" w:rsidRPr="00167CB8">
        <w:t>s</w:t>
      </w:r>
      <w:r w:rsidRPr="00167CB8">
        <w:t xml:space="preserve"> on application has yet to be substantively tested. </w:t>
      </w:r>
      <w:r w:rsidR="007F1338" w:rsidRPr="00167CB8">
        <w:t xml:space="preserve">The Review Panel is only aware of the </w:t>
      </w:r>
      <w:r w:rsidRPr="00167CB8">
        <w:t>one case heard under s</w:t>
      </w:r>
      <w:r w:rsidR="00A67ED4" w:rsidRPr="00167CB8">
        <w:t> </w:t>
      </w:r>
      <w:r w:rsidRPr="00167CB8">
        <w:t>302</w:t>
      </w:r>
      <w:r w:rsidR="007F1338" w:rsidRPr="00167CB8">
        <w:t xml:space="preserve"> </w:t>
      </w:r>
      <w:r w:rsidR="000A1422" w:rsidRPr="00167CB8">
        <w:t>of the Fair Work Act</w:t>
      </w:r>
      <w:r w:rsidR="007F1338" w:rsidRPr="00167CB8">
        <w:t xml:space="preserve"> to date</w:t>
      </w:r>
      <w:r w:rsidRPr="00167CB8">
        <w:t xml:space="preserve">. </w:t>
      </w:r>
      <w:r w:rsidR="007F1338" w:rsidRPr="00167CB8">
        <w:t>Given this, i</w:t>
      </w:r>
      <w:r w:rsidRPr="00167CB8">
        <w:t>t is perhaps too early to tell whether this amendment will have its intended effect or not.</w:t>
      </w:r>
    </w:p>
    <w:p w14:paraId="0F39B357" w14:textId="455F3525" w:rsidR="009A1D5D" w:rsidRPr="00167CB8" w:rsidRDefault="008554FB" w:rsidP="009A1D5D">
      <w:r w:rsidRPr="00167CB8">
        <w:t xml:space="preserve">The Review Panel also notes </w:t>
      </w:r>
      <w:r w:rsidR="009A1D5D" w:rsidRPr="00167CB8">
        <w:t>Professor Andrew Stewart</w:t>
      </w:r>
      <w:r w:rsidRPr="00167CB8">
        <w:t xml:space="preserve">’s submission to the </w:t>
      </w:r>
      <w:r w:rsidR="00D86F0F" w:rsidRPr="00167CB8">
        <w:rPr>
          <w:rFonts w:cstheme="minorHAnsi"/>
        </w:rPr>
        <w:t>Secure Jobs, Better Pay</w:t>
      </w:r>
      <w:r w:rsidRPr="00167CB8">
        <w:t xml:space="preserve"> Bill inquiry, </w:t>
      </w:r>
      <w:r w:rsidR="000A1422" w:rsidRPr="00167CB8">
        <w:t xml:space="preserve">recommending </w:t>
      </w:r>
      <w:r w:rsidR="009A1D5D" w:rsidRPr="00167CB8">
        <w:t xml:space="preserve">that the Expert Panel for pay equity </w:t>
      </w:r>
      <w:r w:rsidR="00A67ED4" w:rsidRPr="00167CB8">
        <w:t>‘</w:t>
      </w:r>
      <w:r w:rsidR="009A1D5D" w:rsidRPr="00167CB8">
        <w:t xml:space="preserve">should be expressly permitted to make a “statement of policy” about the exercise of its power to issue </w:t>
      </w:r>
      <w:r w:rsidR="00C04720" w:rsidRPr="00167CB8">
        <w:t>ERO</w:t>
      </w:r>
      <w:r w:rsidR="009A1D5D" w:rsidRPr="00167CB8">
        <w:t>s</w:t>
      </w:r>
      <w:r w:rsidR="00A67ED4" w:rsidRPr="00167CB8">
        <w:t>’</w:t>
      </w:r>
      <w:r w:rsidR="009A1D5D" w:rsidRPr="00167CB8">
        <w:t>.</w:t>
      </w:r>
      <w:r w:rsidR="009A1D5D" w:rsidRPr="00167CB8">
        <w:rPr>
          <w:rStyle w:val="FootnoteReference"/>
        </w:rPr>
        <w:footnoteReference w:id="860"/>
      </w:r>
      <w:r w:rsidR="009A1D5D" w:rsidRPr="00167CB8">
        <w:t xml:space="preserve">  </w:t>
      </w:r>
      <w:r w:rsidR="009A1D5D" w:rsidRPr="00167CB8">
        <w:rPr>
          <w:rFonts w:cstheme="minorHAnsi"/>
        </w:rPr>
        <w:lastRenderedPageBreak/>
        <w:t xml:space="preserve">The </w:t>
      </w:r>
      <w:r w:rsidR="008837C7" w:rsidRPr="00167CB8">
        <w:rPr>
          <w:rFonts w:cstheme="minorHAnsi"/>
        </w:rPr>
        <w:t>Review</w:t>
      </w:r>
      <w:r w:rsidR="009A1D5D" w:rsidRPr="00167CB8">
        <w:rPr>
          <w:rFonts w:cstheme="minorHAnsi"/>
        </w:rPr>
        <w:t xml:space="preserve"> Panel does not recommend further amendments at this stage, given the limited cases to date and noting that the FWC considers individual cases on their merits.</w:t>
      </w:r>
    </w:p>
    <w:p w14:paraId="33A1C2BC" w14:textId="7086A1A2" w:rsidR="009A1D5D" w:rsidRPr="00167CB8" w:rsidRDefault="009A1D5D" w:rsidP="009A1D5D">
      <w:r w:rsidRPr="00167CB8">
        <w:rPr>
          <w:rFonts w:cstheme="minorHAnsi"/>
        </w:rPr>
        <w:t>The</w:t>
      </w:r>
      <w:r w:rsidRPr="00167CB8" w:rsidDel="0046104D">
        <w:rPr>
          <w:rFonts w:cstheme="minorHAnsi"/>
        </w:rPr>
        <w:t xml:space="preserve"> </w:t>
      </w:r>
      <w:r w:rsidR="0046104D" w:rsidRPr="00167CB8">
        <w:rPr>
          <w:rFonts w:cstheme="minorHAnsi"/>
        </w:rPr>
        <w:t>Review</w:t>
      </w:r>
      <w:r w:rsidRPr="00167CB8">
        <w:rPr>
          <w:rFonts w:cstheme="minorHAnsi"/>
        </w:rPr>
        <w:t xml:space="preserve"> Panel also acknowledges the </w:t>
      </w:r>
      <w:r w:rsidR="00A67ED4" w:rsidRPr="00167CB8">
        <w:rPr>
          <w:rFonts w:cstheme="minorHAnsi"/>
        </w:rPr>
        <w:t xml:space="preserve">Australian Council of Trade Unions </w:t>
      </w:r>
      <w:r w:rsidRPr="00167CB8">
        <w:rPr>
          <w:rFonts w:cstheme="minorHAnsi"/>
        </w:rPr>
        <w:t xml:space="preserve">suggestion that there should be a statutory requirement for the FWC to consider reports of Expert Panels when making </w:t>
      </w:r>
      <w:r w:rsidR="00C04720" w:rsidRPr="00167CB8">
        <w:rPr>
          <w:rFonts w:cstheme="minorHAnsi"/>
        </w:rPr>
        <w:t>ERO</w:t>
      </w:r>
      <w:r w:rsidRPr="00167CB8">
        <w:rPr>
          <w:rFonts w:cstheme="minorHAnsi"/>
        </w:rPr>
        <w:t xml:space="preserve">s. However, the </w:t>
      </w:r>
      <w:r w:rsidR="0046104D" w:rsidRPr="00167CB8">
        <w:rPr>
          <w:rFonts w:cstheme="minorHAnsi"/>
        </w:rPr>
        <w:t xml:space="preserve">Review Panel </w:t>
      </w:r>
      <w:r w:rsidRPr="00167CB8">
        <w:rPr>
          <w:rFonts w:cstheme="minorHAnsi"/>
        </w:rPr>
        <w:t>is cautious about adopting this suggestion at this stage, noting that the provisions are still in their early stages, with no reports yet published. There is also no indication that the FWC would not consider any such reports if relevant.</w:t>
      </w:r>
    </w:p>
    <w:p w14:paraId="5FB86DA1" w14:textId="39473992" w:rsidR="009A1D5D" w:rsidRPr="00167CB8" w:rsidRDefault="009A1D5D" w:rsidP="009A1D5D">
      <w:r w:rsidRPr="00167CB8">
        <w:t xml:space="preserve">Relevant to a number of </w:t>
      </w:r>
      <w:r w:rsidR="00D86F0F" w:rsidRPr="00167CB8">
        <w:rPr>
          <w:rFonts w:cstheme="minorHAnsi"/>
        </w:rPr>
        <w:t>Secure Jobs, Better Pay</w:t>
      </w:r>
      <w:r w:rsidRPr="00167CB8">
        <w:t xml:space="preserve"> amendments, the Review Panel makes several recommendations about the ongoing work to address gender undervaluation.</w:t>
      </w:r>
    </w:p>
    <w:p w14:paraId="41529055" w14:textId="5B934E82" w:rsidR="009A1D5D" w:rsidRPr="00167CB8" w:rsidRDefault="009A1D5D" w:rsidP="009A1D5D">
      <w:r w:rsidRPr="00167CB8">
        <w:t xml:space="preserve">Through its commentary in </w:t>
      </w:r>
      <w:r w:rsidR="00A67ED4" w:rsidRPr="00167CB8">
        <w:t>A</w:t>
      </w:r>
      <w:r w:rsidRPr="00167CB8">
        <w:t xml:space="preserve">nnual </w:t>
      </w:r>
      <w:r w:rsidR="00A67ED4" w:rsidRPr="00167CB8">
        <w:t>W</w:t>
      </w:r>
      <w:r w:rsidRPr="00167CB8">
        <w:t xml:space="preserve">age </w:t>
      </w:r>
      <w:r w:rsidR="00A67ED4" w:rsidRPr="00167CB8">
        <w:t>R</w:t>
      </w:r>
      <w:r w:rsidRPr="00167CB8">
        <w:t>eviews, the FWC appears to have set out an initial roadmap to identify and address gender undervaluation across all modern awards. While the current priority awards review focuses on the care sector, the FWC’s gender pay equity research appears to indicate that its next tranches of work will go beyond care work. It also appears that the outcomes of the priority awards review currently underway will set out principles for future consideration.</w:t>
      </w:r>
    </w:p>
    <w:p w14:paraId="2DCB6B9B" w14:textId="77777777" w:rsidR="001F219B" w:rsidRPr="00167CB8" w:rsidRDefault="001F219B" w:rsidP="007B7769">
      <w:pPr>
        <w:rPr>
          <w:rStyle w:val="Emphasis"/>
          <w:b/>
          <w:bCs/>
          <w:i w:val="0"/>
          <w:iCs w:val="0"/>
        </w:rPr>
      </w:pPr>
      <w:bookmarkStart w:id="353" w:name="_Toc186644568"/>
      <w:r w:rsidRPr="00167CB8">
        <w:rPr>
          <w:rStyle w:val="Emphasis"/>
          <w:b/>
          <w:bCs/>
          <w:i w:val="0"/>
          <w:iCs w:val="0"/>
        </w:rPr>
        <w:t>Draft Recommendation 9: The Review Panel encourages the FWC to continue its program of work to advance gender equality, particularly by addressing the low pay in other female dominated sectors (beyond care work), and to set out broader principles for identifying and addressing work value and gender undervaluation.</w:t>
      </w:r>
    </w:p>
    <w:bookmarkEnd w:id="353"/>
    <w:p w14:paraId="6B1AB233" w14:textId="7F1C0830" w:rsidR="009A1D5D" w:rsidRPr="00167CB8" w:rsidRDefault="009A1D5D" w:rsidP="009A1D5D">
      <w:r w:rsidRPr="00167CB8">
        <w:t>The Review Panel notes that the nature of FWC processes (in which initial cases identify evidence gaps, collect and interrogate relevant information, and set out principles to guide future proceedings) mean that a significant ‘burden’ falls on the parties which participate in these initial cases. In the context of valuing work appropriately and addressing historical gender undervaluation, these initial cases have important public value which warrants broader support.</w:t>
      </w:r>
      <w:r w:rsidR="00284E7E" w:rsidRPr="00167CB8">
        <w:t xml:space="preserve"> </w:t>
      </w:r>
      <w:r w:rsidR="00D03A3B" w:rsidRPr="00167CB8">
        <w:t>As noted above, t</w:t>
      </w:r>
      <w:r w:rsidR="00284E7E" w:rsidRPr="00167CB8">
        <w:t xml:space="preserve">he FWC should continue to undertake </w:t>
      </w:r>
      <w:r w:rsidR="00D45F46" w:rsidRPr="00167CB8">
        <w:t xml:space="preserve">the significant volume of research and evidence collection that </w:t>
      </w:r>
      <w:r w:rsidR="009051EE" w:rsidRPr="00167CB8">
        <w:t>reduces</w:t>
      </w:r>
      <w:r w:rsidR="00D45F46" w:rsidRPr="00167CB8">
        <w:t xml:space="preserve"> the burden on parties</w:t>
      </w:r>
      <w:r w:rsidR="009051EE" w:rsidRPr="00167CB8">
        <w:t>.</w:t>
      </w:r>
    </w:p>
    <w:p w14:paraId="3A15AA6A" w14:textId="77777777" w:rsidR="007B7769" w:rsidRPr="00167CB8" w:rsidRDefault="007B7769" w:rsidP="007B7769">
      <w:pPr>
        <w:rPr>
          <w:rStyle w:val="Emphasis"/>
          <w:b/>
          <w:bCs/>
          <w:i w:val="0"/>
          <w:iCs w:val="0"/>
        </w:rPr>
      </w:pPr>
      <w:bookmarkStart w:id="354" w:name="_Toc186644569"/>
      <w:r w:rsidRPr="00167CB8">
        <w:rPr>
          <w:rStyle w:val="Emphasis"/>
          <w:b/>
          <w:bCs/>
          <w:i w:val="0"/>
          <w:iCs w:val="0"/>
        </w:rPr>
        <w:t>Draft Recommendation 10: The FWC continue to support parties and facilitate proceedings to address gender undervaluation, including through its gender pay equity unit undertaking research and gathering evidence to support future work value proceedings.</w:t>
      </w:r>
    </w:p>
    <w:p w14:paraId="5657C26F" w14:textId="2B069C20" w:rsidR="00D375C7" w:rsidRPr="00167CB8" w:rsidRDefault="004419DD" w:rsidP="009A1D5D">
      <w:r w:rsidRPr="00167CB8">
        <w:t xml:space="preserve">The </w:t>
      </w:r>
      <w:r w:rsidR="00D15821" w:rsidRPr="00167CB8">
        <w:t xml:space="preserve">Australian </w:t>
      </w:r>
      <w:r w:rsidRPr="00167CB8">
        <w:t xml:space="preserve">Government’s position on funding wage increases is likely to play a part in FWC’s consideration of when and how to address gender undervaluation, where found. </w:t>
      </w:r>
      <w:r w:rsidR="00445E50" w:rsidRPr="00167CB8">
        <w:t xml:space="preserve">The </w:t>
      </w:r>
      <w:r w:rsidR="006C6932" w:rsidRPr="00167CB8">
        <w:t xml:space="preserve">Review </w:t>
      </w:r>
      <w:r w:rsidR="00445E50" w:rsidRPr="00167CB8">
        <w:t xml:space="preserve">Panel notes that the early </w:t>
      </w:r>
      <w:r w:rsidR="00B04693" w:rsidRPr="00167CB8">
        <w:t>g</w:t>
      </w:r>
      <w:r w:rsidR="00445E50" w:rsidRPr="00167CB8">
        <w:t>overnment funding commitments for aged care work supported the FWC decisions to award significant pay increases</w:t>
      </w:r>
      <w:r w:rsidR="00F06B39" w:rsidRPr="00167CB8">
        <w:t xml:space="preserve"> but that budget </w:t>
      </w:r>
      <w:r w:rsidR="004D0A56" w:rsidRPr="00167CB8">
        <w:t xml:space="preserve">processes and </w:t>
      </w:r>
      <w:r w:rsidR="00812F74" w:rsidRPr="00167CB8">
        <w:t xml:space="preserve">uncertainty about potential costs have limited the </w:t>
      </w:r>
      <w:r w:rsidR="00B04693" w:rsidRPr="00167CB8">
        <w:t xml:space="preserve">Australian Government </w:t>
      </w:r>
      <w:r w:rsidR="00812F74" w:rsidRPr="00167CB8">
        <w:t xml:space="preserve">from making </w:t>
      </w:r>
      <w:r w:rsidR="00445E50" w:rsidRPr="00167CB8">
        <w:t>such commitments in the priority awards review currently underway.</w:t>
      </w:r>
    </w:p>
    <w:p w14:paraId="673CE047" w14:textId="1B6DC05C" w:rsidR="008A01CE" w:rsidRPr="00167CB8" w:rsidRDefault="008A01CE" w:rsidP="008A01CE">
      <w:r w:rsidRPr="00167CB8">
        <w:t>The Australian Government intended the Secure Jobs, Better Pay amendments to deliver pay rises for low-paid female workers. To support this, and given the broader importance and socioeconomic value of addressing gender undervaluation (see Chapter</w:t>
      </w:r>
      <w:r w:rsidR="00B71D8D" w:rsidRPr="00167CB8">
        <w:t> </w:t>
      </w:r>
      <w:r w:rsidR="009F034D" w:rsidRPr="00167CB8">
        <w:t>22</w:t>
      </w:r>
      <w:r w:rsidRPr="00167CB8">
        <w:t xml:space="preserve">), the Australian Government should also look to prioritise funding commitments now and as the FWC continues its program of work to advance gender equality. Where there are not direct funding impacts, the </w:t>
      </w:r>
      <w:r w:rsidR="00B04693" w:rsidRPr="00167CB8">
        <w:t xml:space="preserve">Australian Government </w:t>
      </w:r>
      <w:r w:rsidRPr="00167CB8">
        <w:t>may also consider ways to support employers to understand and implement any increases.</w:t>
      </w:r>
    </w:p>
    <w:p w14:paraId="438C58DE" w14:textId="5C7947E9" w:rsidR="00970286" w:rsidRPr="00167CB8" w:rsidRDefault="00970286" w:rsidP="00970286">
      <w:r w:rsidRPr="00167CB8">
        <w:lastRenderedPageBreak/>
        <w:t xml:space="preserve">While the specific outcomes of FWC proceedings cannot be predicted, it is clear that there will very likely be further minimum wage increases to address gender undervaluation. While the FWC will likely consider the timing and phasing in of any such increases, employers need to adapt their business plans and processes to account for these. </w:t>
      </w:r>
    </w:p>
    <w:p w14:paraId="5E83F45E" w14:textId="77777777" w:rsidR="002A4455" w:rsidRPr="00167CB8" w:rsidRDefault="002A4455" w:rsidP="002A4455">
      <w:pPr>
        <w:rPr>
          <w:rStyle w:val="Emphasis"/>
          <w:b/>
          <w:bCs/>
          <w:i w:val="0"/>
          <w:iCs w:val="0"/>
        </w:rPr>
      </w:pPr>
      <w:bookmarkStart w:id="355" w:name="_Toc186644570"/>
      <w:bookmarkEnd w:id="354"/>
      <w:r w:rsidRPr="00167CB8">
        <w:rPr>
          <w:rStyle w:val="Emphasis"/>
          <w:b/>
          <w:bCs/>
          <w:i w:val="0"/>
          <w:iCs w:val="0"/>
        </w:rPr>
        <w:t>Draft Recommendation 11: The Australian Government take steps to advise the FWC and stakeholders of its position on funding for the outcomes of FWC reviews to address gender undervaluation at the earliest opportunities.</w:t>
      </w:r>
    </w:p>
    <w:bookmarkEnd w:id="355"/>
    <w:p w14:paraId="052A9176" w14:textId="0171980E" w:rsidR="006A1DA4" w:rsidRPr="00167CB8" w:rsidRDefault="006A1DA4" w:rsidP="006A1DA4">
      <w:r w:rsidRPr="00167CB8">
        <w:t>Noting that initial FWC outcomes appear to indicate a shift towards benchmarking higher pay classifications against training qualifications, the Australian Government should also monitor these outcomes and ensure appropriate support and pathways for people to obtain these higher qualifications.</w:t>
      </w:r>
    </w:p>
    <w:p w14:paraId="379AE5F4" w14:textId="29898B41" w:rsidR="009A1D5D" w:rsidRPr="00167CB8" w:rsidRDefault="00526400" w:rsidP="009A1D5D">
      <w:r w:rsidRPr="00167CB8">
        <w:t xml:space="preserve">The Review Panel also notes that </w:t>
      </w:r>
      <w:r w:rsidR="009A1D5D" w:rsidRPr="00167CB8">
        <w:t xml:space="preserve">the work to address gender undervaluation in modern awards </w:t>
      </w:r>
      <w:r w:rsidR="00E847B6" w:rsidRPr="00167CB8">
        <w:t xml:space="preserve">is anticipated to </w:t>
      </w:r>
      <w:r w:rsidR="009A1D5D" w:rsidRPr="00167CB8">
        <w:t>flow through to future rounds of enterprise bargaining. The base rate of pay for an employee under an enterprise agreement must not be less than the base rate of pay under the relevant modern award (</w:t>
      </w:r>
      <w:r w:rsidR="00E7159E" w:rsidRPr="00167CB8">
        <w:t>s</w:t>
      </w:r>
      <w:r w:rsidR="001158AC" w:rsidRPr="00167CB8">
        <w:t> </w:t>
      </w:r>
      <w:r w:rsidR="009A1D5D" w:rsidRPr="00167CB8">
        <w:t>206(1)). If it is, then the agreement rate, in effect, becomes the same as the modern award rate (</w:t>
      </w:r>
      <w:r w:rsidR="00E7159E" w:rsidRPr="00167CB8">
        <w:t>s</w:t>
      </w:r>
      <w:r w:rsidR="001158AC" w:rsidRPr="00167CB8">
        <w:t> </w:t>
      </w:r>
      <w:r w:rsidR="009A1D5D" w:rsidRPr="00167CB8">
        <w:t xml:space="preserve">206(2)). The effect of these provisions is that enterprise agreements in sectors that receive the benefit of significant </w:t>
      </w:r>
      <w:r w:rsidR="008B2C37" w:rsidRPr="00167CB8">
        <w:t>award</w:t>
      </w:r>
      <w:r w:rsidR="009A1D5D" w:rsidRPr="00167CB8">
        <w:t xml:space="preserve"> increases </w:t>
      </w:r>
      <w:r w:rsidR="00355BBA" w:rsidRPr="00167CB8">
        <w:t>(</w:t>
      </w:r>
      <w:r w:rsidR="009A1D5D" w:rsidRPr="00167CB8">
        <w:t>to rectify gender undervaluation</w:t>
      </w:r>
      <w:r w:rsidR="00355BBA" w:rsidRPr="00167CB8">
        <w:t>)</w:t>
      </w:r>
      <w:r w:rsidR="009A1D5D" w:rsidRPr="00167CB8">
        <w:t xml:space="preserve"> may have </w:t>
      </w:r>
      <w:r w:rsidR="00AE10A1" w:rsidRPr="00167CB8">
        <w:t xml:space="preserve">previously </w:t>
      </w:r>
      <w:r w:rsidR="009A1D5D" w:rsidRPr="00167CB8">
        <w:t xml:space="preserve">bargained </w:t>
      </w:r>
      <w:r w:rsidR="00DE781C" w:rsidRPr="00167CB8">
        <w:t xml:space="preserve">above-award </w:t>
      </w:r>
      <w:r w:rsidR="009A1D5D" w:rsidRPr="00167CB8">
        <w:t xml:space="preserve">rates </w:t>
      </w:r>
      <w:r w:rsidR="009A00EC" w:rsidRPr="00167CB8">
        <w:t xml:space="preserve">which </w:t>
      </w:r>
      <w:r w:rsidR="00DE781C" w:rsidRPr="00167CB8">
        <w:t xml:space="preserve">become the same as </w:t>
      </w:r>
      <w:r w:rsidR="009A1D5D" w:rsidRPr="00167CB8">
        <w:t>minimum pay</w:t>
      </w:r>
      <w:r w:rsidR="00AE10A1" w:rsidRPr="00167CB8">
        <w:t xml:space="preserve"> </w:t>
      </w:r>
      <w:r w:rsidR="009A1D5D" w:rsidRPr="00167CB8">
        <w:t>rates. All parties should recognise that these were one-off increases to address historical wrongs. It would be unfortunate if these corrections were to lead to poorer bargaining outcomes in these historically low</w:t>
      </w:r>
      <w:r w:rsidR="001158AC" w:rsidRPr="00167CB8">
        <w:t>-</w:t>
      </w:r>
      <w:r w:rsidR="009A1D5D" w:rsidRPr="00167CB8">
        <w:t>paid sectors (compared to other sectors).</w:t>
      </w:r>
    </w:p>
    <w:p w14:paraId="4DEB9497" w14:textId="3AE8D536" w:rsidR="007E3266" w:rsidRPr="00167CB8" w:rsidRDefault="004106C9" w:rsidP="004106C9">
      <w:pPr>
        <w:rPr>
          <w:b/>
        </w:rPr>
      </w:pPr>
      <w:r w:rsidRPr="00167CB8">
        <w:rPr>
          <w:b/>
          <w:iCs/>
        </w:rPr>
        <w:t>Draft Recommendation 12: The Australian Government should actively monitor bargaining outcomes in sectors that receive significant increases to modern award rates of pay due to gender undervaluation. This monitoring is essential to ensure that these increases lead to sustained improvements in pay equity and do not result in unintended changes in wage-setting practices within enterprise agreements.</w:t>
      </w:r>
      <w:r w:rsidR="00DA561E" w:rsidRPr="00167CB8">
        <w:rPr>
          <w:b/>
          <w:iCs/>
        </w:rPr>
        <w:br w:type="page"/>
      </w:r>
    </w:p>
    <w:p w14:paraId="30E7EA92" w14:textId="35BF5694" w:rsidR="009A1D5D" w:rsidRPr="00167CB8" w:rsidRDefault="00FC04B0" w:rsidP="009A1D5D">
      <w:pPr>
        <w:pStyle w:val="Heading3"/>
        <w:rPr>
          <w:rFonts w:asciiTheme="minorHAnsi" w:hAnsiTheme="minorHAnsi"/>
        </w:rPr>
      </w:pPr>
      <w:bookmarkStart w:id="356" w:name="_Toc188003379"/>
      <w:bookmarkStart w:id="357" w:name="_Toc188277940"/>
      <w:bookmarkStart w:id="358" w:name="_Toc189260292"/>
      <w:bookmarkStart w:id="359" w:name="_Toc189393608"/>
      <w:r w:rsidRPr="00167CB8">
        <w:rPr>
          <w:rFonts w:asciiTheme="minorHAnsi" w:hAnsiTheme="minorHAnsi"/>
        </w:rPr>
        <w:lastRenderedPageBreak/>
        <w:t xml:space="preserve">Chapter </w:t>
      </w:r>
      <w:r w:rsidR="00FF5446" w:rsidRPr="00167CB8">
        <w:rPr>
          <w:rFonts w:asciiTheme="minorHAnsi" w:hAnsiTheme="minorHAnsi"/>
        </w:rPr>
        <w:t>26</w:t>
      </w:r>
      <w:r w:rsidRPr="00167CB8">
        <w:rPr>
          <w:rFonts w:asciiTheme="minorHAnsi" w:hAnsiTheme="minorHAnsi"/>
        </w:rPr>
        <w:t>.</w:t>
      </w:r>
      <w:r w:rsidR="009A1D5D" w:rsidRPr="00167CB8">
        <w:rPr>
          <w:rFonts w:asciiTheme="minorHAnsi" w:hAnsiTheme="minorHAnsi"/>
        </w:rPr>
        <w:t xml:space="preserve"> Expert panels</w:t>
      </w:r>
      <w:bookmarkEnd w:id="356"/>
      <w:bookmarkEnd w:id="357"/>
      <w:bookmarkEnd w:id="358"/>
      <w:bookmarkEnd w:id="359"/>
    </w:p>
    <w:p w14:paraId="4C1EBD67" w14:textId="4304504A" w:rsidR="009A1D5D" w:rsidRPr="00167CB8" w:rsidRDefault="009A1D5D" w:rsidP="006000ED">
      <w:pPr>
        <w:rPr>
          <w:rFonts w:cstheme="minorHAnsi"/>
        </w:rPr>
      </w:pPr>
      <w:r w:rsidRPr="00167CB8">
        <w:rPr>
          <w:rFonts w:cstheme="minorHAnsi"/>
        </w:rPr>
        <w:t xml:space="preserve">In this chapter the focus is on Part 6 (Expert panels) amendments in the </w:t>
      </w:r>
      <w:r w:rsidR="00D86F0F" w:rsidRPr="00167CB8">
        <w:rPr>
          <w:rFonts w:cstheme="minorHAnsi"/>
        </w:rPr>
        <w:t>Secure Jobs, Better Pay</w:t>
      </w:r>
      <w:r w:rsidRPr="00167CB8">
        <w:rPr>
          <w:rFonts w:cstheme="minorHAnsi"/>
        </w:rPr>
        <w:t xml:space="preserve"> Act.  </w:t>
      </w:r>
    </w:p>
    <w:p w14:paraId="5254F481" w14:textId="2854C918" w:rsidR="009A1D5D" w:rsidRPr="00167CB8" w:rsidRDefault="0014431C" w:rsidP="009A1D5D">
      <w:pPr>
        <w:pStyle w:val="Heading4"/>
        <w:rPr>
          <w:rFonts w:asciiTheme="minorHAnsi" w:hAnsiTheme="minorHAnsi"/>
        </w:rPr>
      </w:pPr>
      <w:bookmarkStart w:id="360" w:name="_Toc188003380"/>
      <w:bookmarkStart w:id="361" w:name="_Toc188277941"/>
      <w:bookmarkStart w:id="362" w:name="_Toc189260293"/>
      <w:bookmarkStart w:id="363" w:name="_Toc189393609"/>
      <w:r w:rsidRPr="00167CB8">
        <w:rPr>
          <w:rFonts w:asciiTheme="minorHAnsi" w:hAnsiTheme="minorHAnsi"/>
        </w:rPr>
        <w:t>26</w:t>
      </w:r>
      <w:r w:rsidR="00FC04B0" w:rsidRPr="00167CB8">
        <w:rPr>
          <w:rFonts w:asciiTheme="minorHAnsi" w:hAnsiTheme="minorHAnsi"/>
        </w:rPr>
        <w:t>.1</w:t>
      </w:r>
      <w:r w:rsidR="009A1D5D" w:rsidRPr="00167CB8">
        <w:rPr>
          <w:rFonts w:asciiTheme="minorHAnsi" w:hAnsiTheme="minorHAnsi"/>
        </w:rPr>
        <w:t xml:space="preserve"> Amendments </w:t>
      </w:r>
      <w:r w:rsidR="001158AC" w:rsidRPr="00167CB8">
        <w:rPr>
          <w:rFonts w:asciiTheme="minorHAnsi" w:hAnsiTheme="minorHAnsi"/>
        </w:rPr>
        <w:t>and i</w:t>
      </w:r>
      <w:r w:rsidR="009A1D5D" w:rsidRPr="00167CB8">
        <w:rPr>
          <w:rFonts w:asciiTheme="minorHAnsi" w:hAnsiTheme="minorHAnsi"/>
        </w:rPr>
        <w:t>ntent</w:t>
      </w:r>
      <w:bookmarkEnd w:id="360"/>
      <w:bookmarkEnd w:id="361"/>
      <w:bookmarkEnd w:id="362"/>
      <w:bookmarkEnd w:id="363"/>
    </w:p>
    <w:p w14:paraId="2034DBC5" w14:textId="51500711" w:rsidR="009A1D5D" w:rsidRPr="00167CB8" w:rsidRDefault="009A1D5D" w:rsidP="006000ED">
      <w:pPr>
        <w:rPr>
          <w:rFonts w:cstheme="minorHAnsi"/>
        </w:rPr>
      </w:pPr>
      <w:r w:rsidRPr="00167CB8">
        <w:rPr>
          <w:rFonts w:cstheme="minorHAnsi"/>
        </w:rPr>
        <w:t xml:space="preserve">The </w:t>
      </w:r>
      <w:r w:rsidR="00D86F0F" w:rsidRPr="00167CB8">
        <w:rPr>
          <w:rFonts w:cstheme="minorHAnsi"/>
        </w:rPr>
        <w:t>Secure Jobs, Better Pay</w:t>
      </w:r>
      <w:r w:rsidRPr="00167CB8">
        <w:rPr>
          <w:rFonts w:cstheme="minorHAnsi"/>
        </w:rPr>
        <w:t xml:space="preserve"> amendments to the </w:t>
      </w:r>
      <w:r w:rsidR="00E60C76" w:rsidRPr="00167CB8">
        <w:rPr>
          <w:rFonts w:cstheme="minorHAnsi"/>
        </w:rPr>
        <w:t>Fair Work Act</w:t>
      </w:r>
      <w:r w:rsidRPr="00167CB8">
        <w:rPr>
          <w:rFonts w:cstheme="minorHAnsi"/>
        </w:rPr>
        <w:t xml:space="preserve"> introduced </w:t>
      </w:r>
      <w:r w:rsidR="001158AC" w:rsidRPr="00167CB8">
        <w:rPr>
          <w:rFonts w:cstheme="minorHAnsi"/>
        </w:rPr>
        <w:t xml:space="preserve">3 </w:t>
      </w:r>
      <w:r w:rsidRPr="00167CB8">
        <w:rPr>
          <w:rFonts w:cstheme="minorHAnsi"/>
        </w:rPr>
        <w:t xml:space="preserve">new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anels to address specific and pressing issues concerning pay equity and the care and community sector.</w:t>
      </w:r>
    </w:p>
    <w:p w14:paraId="26DFE56A" w14:textId="5060961D" w:rsidR="009A1D5D" w:rsidRPr="00167CB8" w:rsidRDefault="009A1D5D" w:rsidP="006000ED">
      <w:pPr>
        <w:rPr>
          <w:rFonts w:cstheme="minorHAnsi"/>
        </w:rPr>
      </w:pPr>
      <w:r w:rsidRPr="00167CB8">
        <w:rPr>
          <w:rFonts w:cstheme="minorHAnsi"/>
        </w:rPr>
        <w:t xml:space="preserve">Alongside these changes the </w:t>
      </w:r>
      <w:r w:rsidR="00D86F0F" w:rsidRPr="00167CB8">
        <w:rPr>
          <w:rFonts w:cstheme="minorHAnsi"/>
        </w:rPr>
        <w:t>Secure Jobs, Better Pay</w:t>
      </w:r>
      <w:r w:rsidRPr="00167CB8">
        <w:rPr>
          <w:rFonts w:cstheme="minorHAnsi"/>
        </w:rPr>
        <w:t xml:space="preserve"> amendment</w:t>
      </w:r>
      <w:r w:rsidR="001158AC" w:rsidRPr="00167CB8">
        <w:rPr>
          <w:rFonts w:cstheme="minorHAnsi"/>
        </w:rPr>
        <w:t>s</w:t>
      </w:r>
      <w:r w:rsidRPr="00167CB8">
        <w:rPr>
          <w:rFonts w:cstheme="minorHAnsi"/>
        </w:rPr>
        <w:t xml:space="preserve"> also extended the knowledge and experience requirements for the appointment of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 xml:space="preserve">anel </w:t>
      </w:r>
      <w:r w:rsidR="001158AC" w:rsidRPr="00167CB8">
        <w:rPr>
          <w:rFonts w:cstheme="minorHAnsi"/>
        </w:rPr>
        <w:t>m</w:t>
      </w:r>
      <w:r w:rsidRPr="00167CB8">
        <w:rPr>
          <w:rFonts w:cstheme="minorHAnsi"/>
        </w:rPr>
        <w:t>embers (EPMs) to the FWC. EPMs are persons who are appointed by the Governor</w:t>
      </w:r>
      <w:r w:rsidR="001158AC" w:rsidRPr="00167CB8">
        <w:rPr>
          <w:rFonts w:cstheme="minorHAnsi"/>
        </w:rPr>
        <w:t>-</w:t>
      </w:r>
      <w:r w:rsidRPr="00167CB8">
        <w:rPr>
          <w:rFonts w:cstheme="minorHAnsi"/>
        </w:rPr>
        <w:t xml:space="preserve">General on a part-time basis for a maximum period of </w:t>
      </w:r>
      <w:r w:rsidR="001158AC" w:rsidRPr="00167CB8">
        <w:rPr>
          <w:rFonts w:cstheme="minorHAnsi"/>
        </w:rPr>
        <w:t xml:space="preserve">5 </w:t>
      </w:r>
      <w:r w:rsidRPr="00167CB8">
        <w:rPr>
          <w:rFonts w:cstheme="minorHAnsi"/>
        </w:rPr>
        <w:t>years for their specialised knowledge and expertise in a particular area.</w:t>
      </w:r>
    </w:p>
    <w:p w14:paraId="7670ECF8" w14:textId="2C8F0825" w:rsidR="009A1D5D" w:rsidRPr="00167CB8" w:rsidRDefault="009A1D5D" w:rsidP="006000ED">
      <w:r w:rsidRPr="00167CB8">
        <w:rPr>
          <w:rFonts w:cstheme="minorHAnsi"/>
        </w:rPr>
        <w:t xml:space="preserve">It is important not to confuse EPMs with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 xml:space="preserve">anels. Expert </w:t>
      </w:r>
      <w:r w:rsidR="001158AC" w:rsidRPr="00167CB8">
        <w:rPr>
          <w:rFonts w:cstheme="minorHAnsi"/>
        </w:rPr>
        <w:t>p</w:t>
      </w:r>
      <w:r w:rsidRPr="00167CB8">
        <w:rPr>
          <w:rFonts w:cstheme="minorHAnsi"/>
        </w:rPr>
        <w:t>anels are required for certain functions of the FWC. For example, an</w:t>
      </w:r>
      <w:r w:rsidR="001158AC" w:rsidRPr="00167CB8">
        <w:rPr>
          <w:rFonts w:cstheme="minorHAnsi"/>
        </w:rPr>
        <w:t xml:space="preserve"> e</w:t>
      </w:r>
      <w:r w:rsidRPr="00167CB8">
        <w:rPr>
          <w:rFonts w:cstheme="minorHAnsi"/>
        </w:rPr>
        <w:t xml:space="preserve">xpert </w:t>
      </w:r>
      <w:r w:rsidR="001158AC" w:rsidRPr="00167CB8">
        <w:rPr>
          <w:rFonts w:cstheme="minorHAnsi"/>
        </w:rPr>
        <w:t>p</w:t>
      </w:r>
      <w:r w:rsidRPr="00167CB8">
        <w:rPr>
          <w:rFonts w:cstheme="minorHAnsi"/>
        </w:rPr>
        <w:t xml:space="preserve">anel is required for </w:t>
      </w:r>
      <w:r w:rsidR="00666277" w:rsidRPr="00167CB8">
        <w:rPr>
          <w:rFonts w:cstheme="minorHAnsi"/>
        </w:rPr>
        <w:t>A</w:t>
      </w:r>
      <w:r w:rsidRPr="00167CB8">
        <w:rPr>
          <w:rFonts w:cstheme="minorHAnsi"/>
        </w:rPr>
        <w:t xml:space="preserve">nnual </w:t>
      </w:r>
      <w:r w:rsidR="00666277" w:rsidRPr="00167CB8">
        <w:rPr>
          <w:rFonts w:cstheme="minorHAnsi"/>
        </w:rPr>
        <w:t>W</w:t>
      </w:r>
      <w:r w:rsidRPr="00167CB8">
        <w:rPr>
          <w:rFonts w:cstheme="minorHAnsi"/>
        </w:rPr>
        <w:t xml:space="preserve">age </w:t>
      </w:r>
      <w:r w:rsidR="00666277" w:rsidRPr="00167CB8">
        <w:rPr>
          <w:rFonts w:cstheme="minorHAnsi"/>
        </w:rPr>
        <w:t>R</w:t>
      </w:r>
      <w:r w:rsidRPr="00167CB8">
        <w:rPr>
          <w:rFonts w:cstheme="minorHAnsi"/>
        </w:rPr>
        <w:t xml:space="preserve">eviews (AWRs). An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 xml:space="preserve">anel need not always include </w:t>
      </w:r>
      <w:r w:rsidR="001158AC" w:rsidRPr="00167CB8">
        <w:rPr>
          <w:rFonts w:cstheme="minorHAnsi"/>
        </w:rPr>
        <w:t>EPMs</w:t>
      </w:r>
      <w:r w:rsidRPr="00167CB8">
        <w:rPr>
          <w:rFonts w:cstheme="minorHAnsi"/>
        </w:rPr>
        <w:t xml:space="preserve">. The composition of particular panels is defined in the </w:t>
      </w:r>
      <w:r w:rsidR="00E60C76" w:rsidRPr="00167CB8">
        <w:rPr>
          <w:rFonts w:cstheme="minorHAnsi"/>
        </w:rPr>
        <w:t>Fair Work Act</w:t>
      </w:r>
      <w:r w:rsidRPr="00167CB8">
        <w:rPr>
          <w:rFonts w:cstheme="minorHAnsi"/>
        </w:rPr>
        <w:t xml:space="preserve"> (as will be described below). The key amendments concerning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anels and EPMs are outlined in the following section.</w:t>
      </w:r>
    </w:p>
    <w:p w14:paraId="653FE1A6" w14:textId="06384C29" w:rsidR="009A1D5D" w:rsidRPr="00167CB8" w:rsidRDefault="0024484D" w:rsidP="009A1D5D">
      <w:pPr>
        <w:pStyle w:val="Heading5"/>
        <w:rPr>
          <w:rFonts w:asciiTheme="minorHAnsi" w:hAnsiTheme="minorHAnsi"/>
        </w:rPr>
      </w:pPr>
      <w:bookmarkStart w:id="364" w:name="_Toc188003381"/>
      <w:r w:rsidRPr="00167CB8">
        <w:rPr>
          <w:rFonts w:asciiTheme="minorHAnsi" w:hAnsiTheme="minorHAnsi"/>
        </w:rPr>
        <w:t>26</w:t>
      </w:r>
      <w:r w:rsidR="00FC04B0" w:rsidRPr="00167CB8">
        <w:rPr>
          <w:rFonts w:asciiTheme="minorHAnsi" w:hAnsiTheme="minorHAnsi"/>
        </w:rPr>
        <w:t>.1.1</w:t>
      </w:r>
      <w:r w:rsidR="009A1D5D" w:rsidRPr="00167CB8">
        <w:rPr>
          <w:rFonts w:asciiTheme="minorHAnsi" w:hAnsiTheme="minorHAnsi"/>
        </w:rPr>
        <w:t xml:space="preserve"> </w:t>
      </w:r>
      <w:r w:rsidR="00D86F0F"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1158AC" w:rsidRPr="00167CB8">
        <w:rPr>
          <w:rFonts w:asciiTheme="minorHAnsi" w:hAnsiTheme="minorHAnsi"/>
        </w:rPr>
        <w:t>a</w:t>
      </w:r>
      <w:r w:rsidR="009A1D5D" w:rsidRPr="00167CB8">
        <w:rPr>
          <w:rFonts w:asciiTheme="minorHAnsi" w:hAnsiTheme="minorHAnsi"/>
        </w:rPr>
        <w:t>mendments</w:t>
      </w:r>
      <w:bookmarkEnd w:id="364"/>
    </w:p>
    <w:p w14:paraId="5EC08B5F" w14:textId="44114D33" w:rsidR="009A1D5D" w:rsidRPr="00167CB8" w:rsidRDefault="009A1D5D" w:rsidP="006000ED">
      <w:pPr>
        <w:rPr>
          <w:rFonts w:cstheme="minorHAnsi"/>
        </w:rPr>
      </w:pPr>
      <w:r w:rsidRPr="00167CB8">
        <w:rPr>
          <w:rFonts w:cstheme="minorHAnsi"/>
        </w:rPr>
        <w:t xml:space="preserve">Part 6 </w:t>
      </w:r>
      <w:r w:rsidR="00C555D1" w:rsidRPr="00167CB8">
        <w:rPr>
          <w:rFonts w:cstheme="minorHAnsi"/>
        </w:rPr>
        <w:t>of Schedule 1</w:t>
      </w:r>
      <w:r w:rsidRPr="00167CB8">
        <w:rPr>
          <w:rFonts w:cstheme="minorHAnsi"/>
        </w:rPr>
        <w:t xml:space="preserve"> (Expert panels) </w:t>
      </w:r>
      <w:r w:rsidR="009C7094" w:rsidRPr="00167CB8">
        <w:rPr>
          <w:rFonts w:cstheme="minorHAnsi"/>
        </w:rPr>
        <w:t xml:space="preserve">to </w:t>
      </w:r>
      <w:r w:rsidRPr="00167CB8">
        <w:rPr>
          <w:rFonts w:cstheme="minorHAnsi"/>
        </w:rPr>
        <w:t xml:space="preserve">the </w:t>
      </w:r>
      <w:r w:rsidR="00D86F0F" w:rsidRPr="00167CB8">
        <w:rPr>
          <w:rFonts w:cstheme="minorHAnsi"/>
        </w:rPr>
        <w:t>Secure Jobs, Better Pay</w:t>
      </w:r>
      <w:r w:rsidRPr="00167CB8">
        <w:rPr>
          <w:rFonts w:cstheme="minorHAnsi"/>
        </w:rPr>
        <w:t xml:space="preserve"> Act makes several amendments to the </w:t>
      </w:r>
      <w:r w:rsidR="00E60C76" w:rsidRPr="00167CB8">
        <w:rPr>
          <w:rFonts w:cstheme="minorHAnsi"/>
        </w:rPr>
        <w:t>Fair Work Act</w:t>
      </w:r>
      <w:r w:rsidRPr="00167CB8">
        <w:rPr>
          <w:rFonts w:cstheme="minorHAnsi"/>
        </w:rPr>
        <w:t>. The following sets out the main amendments.</w:t>
      </w:r>
    </w:p>
    <w:p w14:paraId="1BAFB533" w14:textId="0DF34A85" w:rsidR="009A1D5D" w:rsidRPr="00167CB8" w:rsidRDefault="00294964" w:rsidP="006000ED">
      <w:pPr>
        <w:rPr>
          <w:rFonts w:cstheme="minorHAnsi"/>
        </w:rPr>
      </w:pPr>
      <w:r w:rsidRPr="00167CB8">
        <w:rPr>
          <w:rFonts w:cstheme="minorHAnsi"/>
        </w:rPr>
        <w:t>S</w:t>
      </w:r>
      <w:r w:rsidR="009A1D5D" w:rsidRPr="00167CB8">
        <w:rPr>
          <w:rFonts w:cstheme="minorHAnsi"/>
        </w:rPr>
        <w:t xml:space="preserve">ection 627(4) </w:t>
      </w:r>
      <w:r w:rsidR="00F2599B" w:rsidRPr="00167CB8">
        <w:rPr>
          <w:rFonts w:cstheme="minorHAnsi"/>
        </w:rPr>
        <w:t>of the Fair Work Act</w:t>
      </w:r>
      <w:r w:rsidR="009A1D5D" w:rsidRPr="00167CB8" w:rsidDel="00F2599B">
        <w:rPr>
          <w:rFonts w:cstheme="minorHAnsi"/>
        </w:rPr>
        <w:t xml:space="preserve"> </w:t>
      </w:r>
      <w:r w:rsidR="009A1D5D" w:rsidRPr="00167CB8">
        <w:rPr>
          <w:rFonts w:cstheme="minorHAnsi"/>
        </w:rPr>
        <w:t xml:space="preserve">specifies the qualifications for the appointment of EPMs (the part-time members of the FWC). </w:t>
      </w:r>
      <w:r w:rsidR="0083089E" w:rsidRPr="00167CB8">
        <w:rPr>
          <w:rFonts w:cstheme="minorHAnsi"/>
        </w:rPr>
        <w:t xml:space="preserve">Prior to the </w:t>
      </w:r>
      <w:r w:rsidR="00D86F0F" w:rsidRPr="00167CB8">
        <w:rPr>
          <w:rFonts w:cstheme="minorHAnsi"/>
        </w:rPr>
        <w:t>Secure Jobs, Better Pay</w:t>
      </w:r>
      <w:r w:rsidR="0083089E" w:rsidRPr="00167CB8">
        <w:rPr>
          <w:rFonts w:cstheme="minorHAnsi"/>
        </w:rPr>
        <w:t xml:space="preserve"> amendments, </w:t>
      </w:r>
      <w:r w:rsidR="009A1D5D" w:rsidRPr="00167CB8">
        <w:rPr>
          <w:rFonts w:cstheme="minorHAnsi"/>
        </w:rPr>
        <w:t xml:space="preserve">EPMs must have knowledge or experience in one or more of the following fields: workplace relations; economics; social policy; business, industry or commerce; finance; investment management; superannuation. </w:t>
      </w:r>
      <w:r w:rsidR="0083089E" w:rsidRPr="00167CB8">
        <w:rPr>
          <w:rFonts w:cstheme="minorHAnsi"/>
        </w:rPr>
        <w:t>T</w:t>
      </w:r>
      <w:r w:rsidR="009A1D5D" w:rsidRPr="00167CB8">
        <w:rPr>
          <w:rFonts w:cstheme="minorHAnsi"/>
        </w:rPr>
        <w:t xml:space="preserve">he </w:t>
      </w:r>
      <w:r w:rsidR="00D86F0F" w:rsidRPr="00167CB8">
        <w:rPr>
          <w:rFonts w:cstheme="minorHAnsi"/>
        </w:rPr>
        <w:t>Secure Jobs, Better Pay</w:t>
      </w:r>
      <w:r w:rsidR="009A1D5D" w:rsidRPr="00167CB8">
        <w:rPr>
          <w:rFonts w:cstheme="minorHAnsi"/>
        </w:rPr>
        <w:t xml:space="preserve"> amendments extended </w:t>
      </w:r>
      <w:r w:rsidR="006B465E" w:rsidRPr="00167CB8">
        <w:rPr>
          <w:rFonts w:cstheme="minorHAnsi"/>
        </w:rPr>
        <w:t xml:space="preserve">this list </w:t>
      </w:r>
      <w:r w:rsidR="009A1D5D" w:rsidRPr="00167CB8">
        <w:rPr>
          <w:rFonts w:cstheme="minorHAnsi"/>
        </w:rPr>
        <w:t xml:space="preserve">to include gender pay equity; anti-discrimination; and the </w:t>
      </w:r>
      <w:r w:rsidR="001158AC" w:rsidRPr="00167CB8">
        <w:rPr>
          <w:rFonts w:cstheme="minorHAnsi"/>
        </w:rPr>
        <w:t>c</w:t>
      </w:r>
      <w:r w:rsidR="009A1D5D" w:rsidRPr="00167CB8">
        <w:rPr>
          <w:rFonts w:cstheme="minorHAnsi"/>
        </w:rPr>
        <w:t xml:space="preserve">are and </w:t>
      </w:r>
      <w:r w:rsidR="001158AC" w:rsidRPr="00167CB8">
        <w:rPr>
          <w:rFonts w:cstheme="minorHAnsi"/>
        </w:rPr>
        <w:t>c</w:t>
      </w:r>
      <w:r w:rsidR="009A1D5D" w:rsidRPr="00167CB8">
        <w:rPr>
          <w:rFonts w:cstheme="minorHAnsi"/>
        </w:rPr>
        <w:t xml:space="preserve">ommunity </w:t>
      </w:r>
      <w:r w:rsidR="001158AC" w:rsidRPr="00167CB8">
        <w:rPr>
          <w:rFonts w:cstheme="minorHAnsi"/>
        </w:rPr>
        <w:t>s</w:t>
      </w:r>
      <w:r w:rsidR="009A1D5D" w:rsidRPr="00167CB8">
        <w:rPr>
          <w:rFonts w:cstheme="minorHAnsi"/>
        </w:rPr>
        <w:t>ector (s</w:t>
      </w:r>
      <w:r w:rsidR="001158AC" w:rsidRPr="00167CB8">
        <w:rPr>
          <w:rFonts w:cstheme="minorHAnsi"/>
        </w:rPr>
        <w:t> </w:t>
      </w:r>
      <w:r w:rsidR="00734B00" w:rsidRPr="00167CB8">
        <w:rPr>
          <w:rFonts w:cstheme="minorHAnsi"/>
        </w:rPr>
        <w:t>6</w:t>
      </w:r>
      <w:r w:rsidR="009A1D5D" w:rsidRPr="00167CB8">
        <w:rPr>
          <w:rFonts w:cstheme="minorHAnsi"/>
        </w:rPr>
        <w:t>27(4)(h)</w:t>
      </w:r>
      <w:r w:rsidR="00FE54A2" w:rsidRPr="00167CB8">
        <w:rPr>
          <w:rFonts w:cstheme="minorHAnsi"/>
        </w:rPr>
        <w:t xml:space="preserve">, </w:t>
      </w:r>
      <w:r w:rsidR="009A1D5D" w:rsidRPr="00167CB8">
        <w:rPr>
          <w:rFonts w:cstheme="minorHAnsi"/>
        </w:rPr>
        <w:t>(i)</w:t>
      </w:r>
      <w:r w:rsidR="00FE54A2" w:rsidRPr="00167CB8">
        <w:rPr>
          <w:rFonts w:cstheme="minorHAnsi"/>
        </w:rPr>
        <w:t xml:space="preserve"> and </w:t>
      </w:r>
      <w:r w:rsidR="009A1D5D" w:rsidRPr="00167CB8">
        <w:rPr>
          <w:rFonts w:cstheme="minorHAnsi"/>
        </w:rPr>
        <w:t xml:space="preserve">(j)).  </w:t>
      </w:r>
    </w:p>
    <w:p w14:paraId="6D01082C" w14:textId="17F802B4" w:rsidR="006B465E" w:rsidRPr="00167CB8" w:rsidRDefault="009A1D5D" w:rsidP="006000ED">
      <w:pPr>
        <w:rPr>
          <w:rFonts w:cstheme="minorHAnsi"/>
        </w:rPr>
      </w:pPr>
      <w:r w:rsidRPr="00167CB8">
        <w:rPr>
          <w:rFonts w:cstheme="minorHAnsi"/>
        </w:rPr>
        <w:t xml:space="preserve">Section 620 of the </w:t>
      </w:r>
      <w:r w:rsidR="00E60C76" w:rsidRPr="00167CB8">
        <w:rPr>
          <w:rFonts w:cstheme="minorHAnsi"/>
        </w:rPr>
        <w:t>Fair Work Act</w:t>
      </w:r>
      <w:r w:rsidRPr="00167CB8">
        <w:rPr>
          <w:rFonts w:cstheme="minorHAnsi"/>
        </w:rPr>
        <w:t xml:space="preserve"> </w:t>
      </w:r>
      <w:r w:rsidR="00756EDA" w:rsidRPr="00167CB8">
        <w:rPr>
          <w:rFonts w:cstheme="minorHAnsi"/>
        </w:rPr>
        <w:t>broadly provides for</w:t>
      </w:r>
      <w:r w:rsidRPr="00167CB8">
        <w:rPr>
          <w:rFonts w:cstheme="minorHAnsi"/>
        </w:rPr>
        <w:t xml:space="preserve"> the ‘Constitution and decision-making of an Expert Panel’. Expert </w:t>
      </w:r>
      <w:r w:rsidR="001158AC" w:rsidRPr="00167CB8">
        <w:rPr>
          <w:rFonts w:cstheme="minorHAnsi"/>
        </w:rPr>
        <w:t>p</w:t>
      </w:r>
      <w:r w:rsidRPr="00167CB8">
        <w:rPr>
          <w:rFonts w:cstheme="minorHAnsi"/>
        </w:rPr>
        <w:t xml:space="preserve">anels are required for certain functions of the FWC. </w:t>
      </w:r>
    </w:p>
    <w:p w14:paraId="0D52D660" w14:textId="02831118" w:rsidR="006E5C28" w:rsidRPr="00167CB8" w:rsidRDefault="006E5C28" w:rsidP="006000ED">
      <w:pPr>
        <w:rPr>
          <w:rFonts w:cstheme="minorHAnsi"/>
        </w:rPr>
      </w:pPr>
      <w:r w:rsidRPr="00167CB8">
        <w:rPr>
          <w:rFonts w:cstheme="minorHAnsi"/>
        </w:rPr>
        <w:t xml:space="preserve">Section 617 of the </w:t>
      </w:r>
      <w:r w:rsidR="00E60C76" w:rsidRPr="00167CB8">
        <w:rPr>
          <w:rFonts w:cstheme="minorHAnsi"/>
        </w:rPr>
        <w:t>Fair Work Act</w:t>
      </w:r>
      <w:r w:rsidRPr="00167CB8">
        <w:rPr>
          <w:rFonts w:cstheme="minorHAnsi"/>
        </w:rPr>
        <w:t xml:space="preserve"> sets out the functions that must be performed by an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anel. These include s</w:t>
      </w:r>
      <w:r w:rsidR="001158AC" w:rsidRPr="00167CB8">
        <w:rPr>
          <w:rFonts w:cstheme="minorHAnsi"/>
        </w:rPr>
        <w:t> </w:t>
      </w:r>
      <w:r w:rsidRPr="00167CB8">
        <w:rPr>
          <w:rFonts w:cstheme="minorHAnsi"/>
        </w:rPr>
        <w:t>617(1)</w:t>
      </w:r>
      <w:r w:rsidR="00243CBC" w:rsidRPr="00167CB8">
        <w:rPr>
          <w:rFonts w:cstheme="minorHAnsi"/>
        </w:rPr>
        <w:t xml:space="preserve">, (2) and (3) </w:t>
      </w:r>
      <w:r w:rsidRPr="00167CB8">
        <w:rPr>
          <w:rFonts w:cstheme="minorHAnsi"/>
        </w:rPr>
        <w:t xml:space="preserve">– </w:t>
      </w:r>
      <w:r w:rsidR="00A041FB" w:rsidRPr="00167CB8">
        <w:rPr>
          <w:rFonts w:cstheme="minorHAnsi"/>
        </w:rPr>
        <w:t>AWRs</w:t>
      </w:r>
      <w:r w:rsidR="00243CBC" w:rsidRPr="00167CB8">
        <w:rPr>
          <w:rFonts w:cstheme="minorHAnsi"/>
        </w:rPr>
        <w:t xml:space="preserve"> and the making and varying of</w:t>
      </w:r>
      <w:r w:rsidRPr="00167CB8">
        <w:rPr>
          <w:rFonts w:cstheme="minorHAnsi"/>
        </w:rPr>
        <w:t xml:space="preserve"> national minimum wage order</w:t>
      </w:r>
      <w:r w:rsidR="00243CBC" w:rsidRPr="00167CB8">
        <w:rPr>
          <w:rFonts w:cstheme="minorHAnsi"/>
        </w:rPr>
        <w:t>s</w:t>
      </w:r>
      <w:r w:rsidRPr="00167CB8">
        <w:rPr>
          <w:rFonts w:cstheme="minorHAnsi"/>
        </w:rPr>
        <w:t xml:space="preserve"> or a determination; s</w:t>
      </w:r>
      <w:r w:rsidR="001158AC" w:rsidRPr="00167CB8">
        <w:rPr>
          <w:rFonts w:cstheme="minorHAnsi"/>
        </w:rPr>
        <w:t> </w:t>
      </w:r>
      <w:r w:rsidRPr="00167CB8">
        <w:rPr>
          <w:rFonts w:cstheme="minorHAnsi"/>
        </w:rPr>
        <w:t xml:space="preserve">617(4) </w:t>
      </w:r>
      <w:r w:rsidR="002F7997" w:rsidRPr="00167CB8">
        <w:rPr>
          <w:rFonts w:cstheme="minorHAnsi"/>
        </w:rPr>
        <w:t xml:space="preserve">and </w:t>
      </w:r>
      <w:r w:rsidR="001158AC" w:rsidRPr="00167CB8">
        <w:rPr>
          <w:rFonts w:cstheme="minorHAnsi"/>
        </w:rPr>
        <w:t>(</w:t>
      </w:r>
      <w:r w:rsidR="002F7997" w:rsidRPr="00167CB8">
        <w:rPr>
          <w:rFonts w:cstheme="minorHAnsi"/>
        </w:rPr>
        <w:t>5)</w:t>
      </w:r>
      <w:r w:rsidRPr="00167CB8">
        <w:rPr>
          <w:rFonts w:cstheme="minorHAnsi"/>
        </w:rPr>
        <w:t xml:space="preserve"> </w:t>
      </w:r>
      <w:r w:rsidR="001158AC" w:rsidRPr="00167CB8">
        <w:rPr>
          <w:rFonts w:cstheme="minorHAnsi"/>
        </w:rPr>
        <w:t>4-</w:t>
      </w:r>
      <w:r w:rsidRPr="00167CB8">
        <w:rPr>
          <w:rFonts w:cstheme="minorHAnsi"/>
        </w:rPr>
        <w:t xml:space="preserve">yearly reviews of default </w:t>
      </w:r>
      <w:r w:rsidR="002F7997" w:rsidRPr="00167CB8">
        <w:rPr>
          <w:rFonts w:cstheme="minorHAnsi"/>
        </w:rPr>
        <w:t xml:space="preserve">superannuation </w:t>
      </w:r>
      <w:r w:rsidRPr="00167CB8">
        <w:rPr>
          <w:rFonts w:cstheme="minorHAnsi"/>
        </w:rPr>
        <w:t>fund terms of modern awards</w:t>
      </w:r>
      <w:r w:rsidR="002F7997" w:rsidRPr="00167CB8">
        <w:rPr>
          <w:rFonts w:cstheme="minorHAnsi"/>
        </w:rPr>
        <w:t xml:space="preserve"> and</w:t>
      </w:r>
      <w:r w:rsidRPr="00167CB8">
        <w:rPr>
          <w:rFonts w:cstheme="minorHAnsi"/>
        </w:rPr>
        <w:t xml:space="preserve"> for amending </w:t>
      </w:r>
      <w:r w:rsidR="00AA06A1" w:rsidRPr="00167CB8">
        <w:rPr>
          <w:rFonts w:cstheme="minorHAnsi"/>
        </w:rPr>
        <w:t xml:space="preserve">the </w:t>
      </w:r>
      <w:r w:rsidR="00652DE3" w:rsidRPr="00167CB8">
        <w:rPr>
          <w:rFonts w:cstheme="minorHAnsi"/>
        </w:rPr>
        <w:t>Schedule of Approved Employer</w:t>
      </w:r>
      <w:r w:rsidRPr="00167CB8">
        <w:rPr>
          <w:rFonts w:cstheme="minorHAnsi"/>
        </w:rPr>
        <w:t xml:space="preserve"> MySuper Products. The </w:t>
      </w:r>
      <w:r w:rsidR="00D86F0F" w:rsidRPr="00167CB8">
        <w:rPr>
          <w:rFonts w:cstheme="minorHAnsi"/>
        </w:rPr>
        <w:t>Secure Jobs, Better Pay</w:t>
      </w:r>
      <w:r w:rsidRPr="00167CB8">
        <w:rPr>
          <w:rFonts w:cstheme="minorHAnsi"/>
        </w:rPr>
        <w:t xml:space="preserve"> amendments to the </w:t>
      </w:r>
      <w:r w:rsidR="00E60C76" w:rsidRPr="00167CB8">
        <w:rPr>
          <w:rFonts w:cstheme="minorHAnsi"/>
        </w:rPr>
        <w:t>Fair Work Act</w:t>
      </w:r>
      <w:r w:rsidRPr="00167CB8">
        <w:rPr>
          <w:rFonts w:cstheme="minorHAnsi"/>
        </w:rPr>
        <w:t xml:space="preserve"> added </w:t>
      </w:r>
      <w:r w:rsidR="001158AC" w:rsidRPr="00167CB8">
        <w:rPr>
          <w:rFonts w:cstheme="minorHAnsi"/>
        </w:rPr>
        <w:t xml:space="preserve">3 </w:t>
      </w:r>
      <w:r w:rsidRPr="00167CB8">
        <w:rPr>
          <w:rFonts w:cstheme="minorHAnsi"/>
        </w:rPr>
        <w:t xml:space="preserve">new </w:t>
      </w:r>
      <w:r w:rsidR="001158AC" w:rsidRPr="00167CB8">
        <w:rPr>
          <w:rFonts w:cstheme="minorHAnsi"/>
        </w:rPr>
        <w:t>e</w:t>
      </w:r>
      <w:r w:rsidRPr="00167CB8">
        <w:rPr>
          <w:rFonts w:cstheme="minorHAnsi"/>
        </w:rPr>
        <w:t xml:space="preserve">xpert </w:t>
      </w:r>
      <w:r w:rsidR="001158AC" w:rsidRPr="00167CB8">
        <w:rPr>
          <w:rFonts w:cstheme="minorHAnsi"/>
        </w:rPr>
        <w:t>p</w:t>
      </w:r>
      <w:r w:rsidRPr="00167CB8">
        <w:rPr>
          <w:rFonts w:cstheme="minorHAnsi"/>
        </w:rPr>
        <w:t>anels to this list</w:t>
      </w:r>
      <w:r w:rsidR="00D11FB8" w:rsidRPr="00167CB8">
        <w:rPr>
          <w:rFonts w:cstheme="minorHAnsi"/>
        </w:rPr>
        <w:t>:</w:t>
      </w:r>
      <w:r w:rsidRPr="00167CB8">
        <w:rPr>
          <w:rFonts w:cstheme="minorHAnsi"/>
        </w:rPr>
        <w:t xml:space="preserve"> </w:t>
      </w:r>
    </w:p>
    <w:p w14:paraId="3DF6D21A" w14:textId="6128A73C" w:rsidR="006E5C28" w:rsidRPr="00167CB8" w:rsidRDefault="006E5C28" w:rsidP="00EA3E2F">
      <w:pPr>
        <w:pStyle w:val="ListBullet"/>
      </w:pPr>
      <w:r w:rsidRPr="00167CB8">
        <w:rPr>
          <w:i/>
          <w:iCs/>
        </w:rPr>
        <w:t xml:space="preserve">Expert Panel for </w:t>
      </w:r>
      <w:r w:rsidR="001158AC" w:rsidRPr="00167CB8">
        <w:rPr>
          <w:i/>
          <w:iCs/>
        </w:rPr>
        <w:t>P</w:t>
      </w:r>
      <w:r w:rsidRPr="00167CB8">
        <w:rPr>
          <w:i/>
          <w:iCs/>
        </w:rPr>
        <w:t xml:space="preserve">ay </w:t>
      </w:r>
      <w:r w:rsidR="001158AC" w:rsidRPr="00167CB8">
        <w:rPr>
          <w:i/>
          <w:iCs/>
        </w:rPr>
        <w:t>E</w:t>
      </w:r>
      <w:r w:rsidRPr="00167CB8">
        <w:rPr>
          <w:i/>
          <w:iCs/>
        </w:rPr>
        <w:t>quity</w:t>
      </w:r>
      <w:r w:rsidRPr="00167CB8">
        <w:t xml:space="preserve"> (</w:t>
      </w:r>
      <w:r w:rsidR="00E92EE0" w:rsidRPr="00167CB8">
        <w:t>s</w:t>
      </w:r>
      <w:r w:rsidR="001158AC" w:rsidRPr="00167CB8">
        <w:t> </w:t>
      </w:r>
      <w:r w:rsidRPr="00167CB8">
        <w:t xml:space="preserve">617(6): </w:t>
      </w:r>
      <w:r w:rsidR="001158AC" w:rsidRPr="00167CB8">
        <w:t>‘</w:t>
      </w:r>
      <w:r w:rsidRPr="00167CB8">
        <w:t>If the President considers that substantive gender pay equity matters might require the making of a determination under s</w:t>
      </w:r>
      <w:r w:rsidR="00E92EE0" w:rsidRPr="00167CB8">
        <w:t>.</w:t>
      </w:r>
      <w:r w:rsidRPr="00167CB8">
        <w:t>157(2) … the determination must be made by an Expert Panel constituted for the purpose of deciding whether to make the determination.</w:t>
      </w:r>
      <w:r w:rsidR="001158AC" w:rsidRPr="00167CB8">
        <w:t>’</w:t>
      </w:r>
    </w:p>
    <w:p w14:paraId="40E7163F" w14:textId="33CE0BEE" w:rsidR="006E5C28" w:rsidRPr="00167CB8" w:rsidRDefault="006E5C28" w:rsidP="00EA3E2F">
      <w:pPr>
        <w:pStyle w:val="ListBullet"/>
      </w:pPr>
      <w:r w:rsidRPr="00167CB8">
        <w:rPr>
          <w:i/>
          <w:iCs/>
        </w:rPr>
        <w:t>Expert Panel for the Care and Community Sector</w:t>
      </w:r>
      <w:r w:rsidRPr="00167CB8">
        <w:t xml:space="preserve"> (s</w:t>
      </w:r>
      <w:r w:rsidR="001158AC" w:rsidRPr="00167CB8">
        <w:t> </w:t>
      </w:r>
      <w:r w:rsidRPr="00167CB8">
        <w:t xml:space="preserve">617(8)): </w:t>
      </w:r>
      <w:r w:rsidR="001158AC" w:rsidRPr="00167CB8">
        <w:t>‘</w:t>
      </w:r>
      <w:r w:rsidRPr="00167CB8">
        <w:t xml:space="preserve">A determination or modern award made under </w:t>
      </w:r>
      <w:r w:rsidR="00EC7DBC" w:rsidRPr="00167CB8">
        <w:t>s.</w:t>
      </w:r>
      <w:r w:rsidRPr="00167CB8">
        <w:t xml:space="preserve">157(1) that the President considers might relate to the Care and </w:t>
      </w:r>
      <w:r w:rsidRPr="00167CB8">
        <w:lastRenderedPageBreak/>
        <w:t>Community Sector must be made by an Expert Panel constituted for the purpose of deciding whether to make the determination or modern award.</w:t>
      </w:r>
      <w:r w:rsidR="001158AC" w:rsidRPr="00167CB8">
        <w:t>’</w:t>
      </w:r>
    </w:p>
    <w:p w14:paraId="7C4D50D1" w14:textId="36F97639" w:rsidR="006E5C28" w:rsidRPr="00167CB8" w:rsidRDefault="006E5C28" w:rsidP="00EA3E2F">
      <w:pPr>
        <w:pStyle w:val="ListBullet"/>
      </w:pPr>
      <w:r w:rsidRPr="00167CB8">
        <w:rPr>
          <w:i/>
          <w:iCs/>
        </w:rPr>
        <w:t xml:space="preserve">Expert Panel for </w:t>
      </w:r>
      <w:r w:rsidR="001158AC" w:rsidRPr="00167CB8">
        <w:rPr>
          <w:i/>
          <w:iCs/>
        </w:rPr>
        <w:t>P</w:t>
      </w:r>
      <w:r w:rsidRPr="00167CB8">
        <w:rPr>
          <w:i/>
          <w:iCs/>
        </w:rPr>
        <w:t xml:space="preserve">ay </w:t>
      </w:r>
      <w:r w:rsidR="001158AC" w:rsidRPr="00167CB8">
        <w:rPr>
          <w:i/>
          <w:iCs/>
        </w:rPr>
        <w:t>E</w:t>
      </w:r>
      <w:r w:rsidRPr="00167CB8">
        <w:rPr>
          <w:i/>
          <w:iCs/>
        </w:rPr>
        <w:t xml:space="preserve">quity in the Care and Community Sector </w:t>
      </w:r>
      <w:r w:rsidRPr="00167CB8">
        <w:t>(</w:t>
      </w:r>
      <w:r w:rsidR="00EC7DBC" w:rsidRPr="00167CB8">
        <w:t>s</w:t>
      </w:r>
      <w:r w:rsidR="001158AC" w:rsidRPr="00167CB8">
        <w:t> </w:t>
      </w:r>
      <w:r w:rsidRPr="00167CB8">
        <w:t xml:space="preserve">617(9)): </w:t>
      </w:r>
      <w:r w:rsidR="001158AC" w:rsidRPr="00167CB8">
        <w:t>‘</w:t>
      </w:r>
      <w:r w:rsidRPr="00167CB8">
        <w:t>A determination made under s</w:t>
      </w:r>
      <w:r w:rsidR="00EC7DBC" w:rsidRPr="00167CB8">
        <w:t>.</w:t>
      </w:r>
      <w:r w:rsidRPr="00167CB8">
        <w:t>57(2) that the President considers might relate to the Care and Community Sector must be made by an Expert Panel constituted for the purpose of deciding whether to make the determination.</w:t>
      </w:r>
      <w:r w:rsidR="001158AC" w:rsidRPr="00167CB8">
        <w:t>’</w:t>
      </w:r>
    </w:p>
    <w:p w14:paraId="3EC71867" w14:textId="29406B5A" w:rsidR="009A1D5D" w:rsidRPr="00167CB8" w:rsidRDefault="00D11FB8" w:rsidP="006000ED">
      <w:pPr>
        <w:rPr>
          <w:rFonts w:cstheme="minorHAnsi"/>
        </w:rPr>
      </w:pPr>
      <w:r w:rsidRPr="00167CB8">
        <w:rPr>
          <w:rFonts w:cstheme="minorHAnsi"/>
        </w:rPr>
        <w:t xml:space="preserve">In relation to </w:t>
      </w:r>
      <w:r w:rsidR="004C4B4A" w:rsidRPr="00167CB8">
        <w:rPr>
          <w:rFonts w:cstheme="minorHAnsi"/>
        </w:rPr>
        <w:t>requirements</w:t>
      </w:r>
      <w:r w:rsidR="00A56393" w:rsidRPr="00167CB8">
        <w:rPr>
          <w:rFonts w:cstheme="minorHAnsi"/>
        </w:rPr>
        <w:t xml:space="preserve"> for</w:t>
      </w:r>
      <w:r w:rsidR="004C4B4A" w:rsidRPr="00167CB8">
        <w:rPr>
          <w:rFonts w:cstheme="minorHAnsi"/>
        </w:rPr>
        <w:t xml:space="preserve"> the </w:t>
      </w:r>
      <w:r w:rsidR="009A1D5D" w:rsidRPr="00167CB8">
        <w:rPr>
          <w:rFonts w:cstheme="minorHAnsi"/>
        </w:rPr>
        <w:t xml:space="preserve">composition </w:t>
      </w:r>
      <w:r w:rsidR="004C4B4A" w:rsidRPr="00167CB8">
        <w:rPr>
          <w:rFonts w:cstheme="minorHAnsi"/>
        </w:rPr>
        <w:t xml:space="preserve">of an </w:t>
      </w:r>
      <w:r w:rsidR="001158AC" w:rsidRPr="00167CB8">
        <w:rPr>
          <w:rFonts w:cstheme="minorHAnsi"/>
        </w:rPr>
        <w:t>e</w:t>
      </w:r>
      <w:r w:rsidR="004C4B4A" w:rsidRPr="00167CB8">
        <w:rPr>
          <w:rFonts w:cstheme="minorHAnsi"/>
        </w:rPr>
        <w:t xml:space="preserve">xpert </w:t>
      </w:r>
      <w:r w:rsidR="001158AC" w:rsidRPr="00167CB8">
        <w:rPr>
          <w:rFonts w:cstheme="minorHAnsi"/>
        </w:rPr>
        <w:t>p</w:t>
      </w:r>
      <w:r w:rsidR="004C4B4A" w:rsidRPr="00167CB8">
        <w:rPr>
          <w:rFonts w:cstheme="minorHAnsi"/>
        </w:rPr>
        <w:t>anel for the AWR</w:t>
      </w:r>
      <w:r w:rsidR="004D725B" w:rsidRPr="00167CB8">
        <w:rPr>
          <w:rFonts w:cstheme="minorHAnsi"/>
        </w:rPr>
        <w:t>, the requirements for appointment are</w:t>
      </w:r>
      <w:r w:rsidR="009A1D5D" w:rsidRPr="00167CB8">
        <w:rPr>
          <w:rFonts w:cstheme="minorHAnsi"/>
        </w:rPr>
        <w:t xml:space="preserve"> set out in the </w:t>
      </w:r>
      <w:r w:rsidR="00E60C76" w:rsidRPr="00167CB8">
        <w:rPr>
          <w:rFonts w:cstheme="minorHAnsi"/>
        </w:rPr>
        <w:t>Fair Work Act</w:t>
      </w:r>
      <w:r w:rsidR="009A1D5D" w:rsidRPr="00167CB8">
        <w:rPr>
          <w:rFonts w:cstheme="minorHAnsi"/>
        </w:rPr>
        <w:t xml:space="preserve"> at </w:t>
      </w:r>
      <w:r w:rsidR="00EC7DBC" w:rsidRPr="00167CB8">
        <w:rPr>
          <w:rFonts w:cstheme="minorHAnsi"/>
        </w:rPr>
        <w:t>s</w:t>
      </w:r>
      <w:r w:rsidR="001158AC" w:rsidRPr="00167CB8">
        <w:rPr>
          <w:rFonts w:cstheme="minorHAnsi"/>
        </w:rPr>
        <w:t> </w:t>
      </w:r>
      <w:r w:rsidR="009A1D5D" w:rsidRPr="00167CB8">
        <w:rPr>
          <w:rFonts w:cstheme="minorHAnsi"/>
        </w:rPr>
        <w:t xml:space="preserve">620(1) and requires the inclusion of </w:t>
      </w:r>
      <w:r w:rsidR="001158AC" w:rsidRPr="00167CB8">
        <w:rPr>
          <w:rFonts w:cstheme="minorHAnsi"/>
        </w:rPr>
        <w:t xml:space="preserve">3 </w:t>
      </w:r>
      <w:r w:rsidR="009A1D5D" w:rsidRPr="00167CB8">
        <w:rPr>
          <w:rFonts w:cstheme="minorHAnsi"/>
        </w:rPr>
        <w:t>EPMs</w:t>
      </w:r>
      <w:r w:rsidR="001158AC" w:rsidRPr="00167CB8">
        <w:rPr>
          <w:rFonts w:cstheme="minorHAnsi"/>
        </w:rPr>
        <w:t>:</w:t>
      </w:r>
      <w:r w:rsidR="009A1D5D" w:rsidRPr="00167CB8">
        <w:rPr>
          <w:rFonts w:cstheme="minorHAnsi"/>
        </w:rPr>
        <w:t xml:space="preserve"> </w:t>
      </w:r>
    </w:p>
    <w:p w14:paraId="7939E258" w14:textId="3E982955" w:rsidR="004C4B4A" w:rsidRPr="00167CB8" w:rsidRDefault="009A1D5D" w:rsidP="00A61A48">
      <w:pPr>
        <w:pStyle w:val="Quote"/>
      </w:pPr>
      <w:r w:rsidRPr="00167CB8">
        <w:t xml:space="preserve">An Expert Panel constituted under this subsection for the purpose of an annual wage review … consists of 7 FWC Members … and must include: </w:t>
      </w:r>
    </w:p>
    <w:p w14:paraId="7A3A96DE" w14:textId="6E768861" w:rsidR="004C4B4A" w:rsidRPr="00167CB8" w:rsidRDefault="009A1D5D" w:rsidP="00A61A48">
      <w:pPr>
        <w:pStyle w:val="Quote"/>
      </w:pPr>
      <w:r w:rsidRPr="00167CB8">
        <w:t>(a)</w:t>
      </w:r>
      <w:r w:rsidR="00A61A48" w:rsidRPr="00167CB8">
        <w:tab/>
      </w:r>
      <w:r w:rsidRPr="00167CB8">
        <w:t xml:space="preserve">the President; and </w:t>
      </w:r>
    </w:p>
    <w:p w14:paraId="35B6790C" w14:textId="545ADDA9" w:rsidR="004C4B4A" w:rsidRPr="00167CB8" w:rsidRDefault="009A1D5D" w:rsidP="00A61A48">
      <w:pPr>
        <w:pStyle w:val="Quote"/>
        <w:ind w:left="2160" w:hanging="720"/>
      </w:pPr>
      <w:r w:rsidRPr="00167CB8">
        <w:t>(b)</w:t>
      </w:r>
      <w:r w:rsidR="00A61A48" w:rsidRPr="00167CB8">
        <w:tab/>
      </w:r>
      <w:r w:rsidRPr="00167CB8">
        <w:t xml:space="preserve">3 Expert Panel Members who have knowledge of, or experience in, one or more of the following fields: </w:t>
      </w:r>
    </w:p>
    <w:p w14:paraId="12E84051" w14:textId="3CF66FF1" w:rsidR="004C4B4A" w:rsidRPr="00167CB8" w:rsidRDefault="009A1D5D" w:rsidP="00A61A48">
      <w:pPr>
        <w:pStyle w:val="Quote"/>
        <w:ind w:firstLine="720"/>
      </w:pPr>
      <w:r w:rsidRPr="00167CB8">
        <w:t>(i)</w:t>
      </w:r>
      <w:r w:rsidR="00A61A48" w:rsidRPr="00167CB8">
        <w:tab/>
      </w:r>
      <w:r w:rsidRPr="00167CB8">
        <w:t xml:space="preserve">workplace relations; </w:t>
      </w:r>
    </w:p>
    <w:p w14:paraId="3715E664" w14:textId="55313855" w:rsidR="004C4B4A" w:rsidRPr="00167CB8" w:rsidRDefault="009A1D5D" w:rsidP="00A61A48">
      <w:pPr>
        <w:pStyle w:val="Quote"/>
        <w:ind w:firstLine="720"/>
      </w:pPr>
      <w:r w:rsidRPr="00167CB8">
        <w:t>(ii)</w:t>
      </w:r>
      <w:r w:rsidR="00A61A48" w:rsidRPr="00167CB8">
        <w:tab/>
      </w:r>
      <w:r w:rsidRPr="00167CB8">
        <w:t xml:space="preserve">economics; </w:t>
      </w:r>
    </w:p>
    <w:p w14:paraId="35E67053" w14:textId="67D64EAF" w:rsidR="004C4B4A" w:rsidRPr="00167CB8" w:rsidRDefault="009A1D5D" w:rsidP="00567FCA">
      <w:pPr>
        <w:pStyle w:val="Quote"/>
        <w:numPr>
          <w:ilvl w:val="0"/>
          <w:numId w:val="33"/>
        </w:numPr>
      </w:pPr>
      <w:r w:rsidRPr="00167CB8">
        <w:t>social policy;</w:t>
      </w:r>
    </w:p>
    <w:p w14:paraId="77000E11" w14:textId="3A524722" w:rsidR="009A1D5D" w:rsidRPr="00167CB8" w:rsidRDefault="009A1D5D" w:rsidP="00567FCA">
      <w:pPr>
        <w:pStyle w:val="Quote"/>
        <w:numPr>
          <w:ilvl w:val="0"/>
          <w:numId w:val="33"/>
        </w:numPr>
      </w:pPr>
      <w:r w:rsidRPr="00167CB8">
        <w:t>business, industry or commerce.</w:t>
      </w:r>
    </w:p>
    <w:p w14:paraId="58289C88" w14:textId="3BCBA3C5" w:rsidR="009A1D5D" w:rsidRPr="00167CB8" w:rsidRDefault="009A1D5D" w:rsidP="006000ED">
      <w:pPr>
        <w:rPr>
          <w:rFonts w:cstheme="minorHAnsi"/>
        </w:rPr>
      </w:pPr>
      <w:r w:rsidRPr="00167CB8">
        <w:rPr>
          <w:rFonts w:cstheme="minorHAnsi"/>
        </w:rPr>
        <w:t xml:space="preserve">While the AWR Expert Panel must include </w:t>
      </w:r>
      <w:r w:rsidR="00A61A48" w:rsidRPr="00167CB8">
        <w:rPr>
          <w:rFonts w:cstheme="minorHAnsi"/>
        </w:rPr>
        <w:t xml:space="preserve">3 </w:t>
      </w:r>
      <w:r w:rsidRPr="00167CB8">
        <w:rPr>
          <w:rFonts w:cstheme="minorHAnsi"/>
        </w:rPr>
        <w:t xml:space="preserve">EPMs, EPMs, as noted, need not necessarily be included as members of particular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 xml:space="preserve">anels. For example, where an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 xml:space="preserve">anel is required for substantive gender pay equity matters (other than those that relate to the </w:t>
      </w:r>
      <w:r w:rsidR="00A61A48" w:rsidRPr="00167CB8">
        <w:rPr>
          <w:rFonts w:cstheme="minorHAnsi"/>
        </w:rPr>
        <w:t>c</w:t>
      </w:r>
      <w:r w:rsidRPr="00167CB8">
        <w:rPr>
          <w:rFonts w:cstheme="minorHAnsi"/>
        </w:rPr>
        <w:t xml:space="preserve">are and </w:t>
      </w:r>
      <w:r w:rsidR="00A61A48" w:rsidRPr="00167CB8">
        <w:rPr>
          <w:rFonts w:cstheme="minorHAnsi"/>
        </w:rPr>
        <w:t>c</w:t>
      </w:r>
      <w:r w:rsidRPr="00167CB8">
        <w:rPr>
          <w:rFonts w:cstheme="minorHAnsi"/>
        </w:rPr>
        <w:t xml:space="preserve">ommunity </w:t>
      </w:r>
      <w:r w:rsidR="00A61A48" w:rsidRPr="00167CB8">
        <w:rPr>
          <w:rFonts w:cstheme="minorHAnsi"/>
        </w:rPr>
        <w:t>s</w:t>
      </w:r>
      <w:r w:rsidRPr="00167CB8">
        <w:rPr>
          <w:rFonts w:cstheme="minorHAnsi"/>
        </w:rPr>
        <w:t>ector) (</w:t>
      </w:r>
      <w:r w:rsidR="006A4178" w:rsidRPr="00167CB8">
        <w:rPr>
          <w:rFonts w:cstheme="minorHAnsi"/>
        </w:rPr>
        <w:t>s</w:t>
      </w:r>
      <w:r w:rsidR="00A61A48" w:rsidRPr="00167CB8">
        <w:rPr>
          <w:rFonts w:cstheme="minorHAnsi"/>
        </w:rPr>
        <w:t> </w:t>
      </w:r>
      <w:r w:rsidR="006A4178" w:rsidRPr="00167CB8">
        <w:rPr>
          <w:rFonts w:cstheme="minorHAnsi"/>
        </w:rPr>
        <w:t xml:space="preserve">617 (6), </w:t>
      </w:r>
      <w:r w:rsidR="00682DE0" w:rsidRPr="00167CB8">
        <w:rPr>
          <w:rFonts w:cstheme="minorHAnsi"/>
        </w:rPr>
        <w:t>(7) or (11</w:t>
      </w:r>
      <w:r w:rsidRPr="00167CB8">
        <w:rPr>
          <w:rFonts w:cstheme="minorHAnsi"/>
        </w:rPr>
        <w:t xml:space="preserve">)) the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anel must include:</w:t>
      </w:r>
    </w:p>
    <w:p w14:paraId="51833165" w14:textId="5337C15C" w:rsidR="00575B86" w:rsidRPr="00167CB8" w:rsidRDefault="009A1D5D" w:rsidP="00A61A48">
      <w:pPr>
        <w:pStyle w:val="Quote"/>
      </w:pPr>
      <w:r w:rsidRPr="00167CB8">
        <w:t>(a)</w:t>
      </w:r>
      <w:r w:rsidR="00A61A48" w:rsidRPr="00167CB8">
        <w:tab/>
      </w:r>
      <w:r w:rsidRPr="00167CB8">
        <w:t xml:space="preserve">the President, or a Vice President or Deputy President appointed by the President to be the Chair of the Panel; and </w:t>
      </w:r>
    </w:p>
    <w:p w14:paraId="191762F9" w14:textId="1D01C97B" w:rsidR="00575B86" w:rsidRPr="00167CB8" w:rsidRDefault="009A1D5D" w:rsidP="00A61A48">
      <w:pPr>
        <w:pStyle w:val="Quote"/>
      </w:pPr>
      <w:r w:rsidRPr="00167CB8">
        <w:t>(b)</w:t>
      </w:r>
      <w:r w:rsidR="00A61A48" w:rsidRPr="00167CB8">
        <w:tab/>
      </w:r>
      <w:r w:rsidRPr="00167CB8">
        <w:t xml:space="preserve">at least 2 Expert Panel Members </w:t>
      </w:r>
      <w:r w:rsidRPr="00167CB8">
        <w:rPr>
          <w:i/>
          <w:iCs w:val="0"/>
        </w:rPr>
        <w:t xml:space="preserve">or </w:t>
      </w:r>
      <w:r w:rsidRPr="00167CB8">
        <w:t xml:space="preserve">other FWC Members who have knowledge of, or experience in, one or both of the following fields: </w:t>
      </w:r>
    </w:p>
    <w:p w14:paraId="0DF95FB2" w14:textId="689B2C1A" w:rsidR="00575B86" w:rsidRPr="00167CB8" w:rsidRDefault="009A1D5D" w:rsidP="00A61A48">
      <w:pPr>
        <w:pStyle w:val="Quote"/>
        <w:ind w:firstLine="720"/>
      </w:pPr>
      <w:r w:rsidRPr="00167CB8">
        <w:t>(i)</w:t>
      </w:r>
      <w:r w:rsidR="00A61A48" w:rsidRPr="00167CB8">
        <w:tab/>
      </w:r>
      <w:r w:rsidRPr="00167CB8">
        <w:t xml:space="preserve">gender pay equity; and </w:t>
      </w:r>
    </w:p>
    <w:p w14:paraId="2909FF13" w14:textId="7AD84CAC" w:rsidR="009A1D5D" w:rsidRPr="00167CB8" w:rsidRDefault="009A1D5D" w:rsidP="00A61A48">
      <w:pPr>
        <w:pStyle w:val="Quote"/>
        <w:ind w:firstLine="720"/>
      </w:pPr>
      <w:r w:rsidRPr="00167CB8">
        <w:t>(ii)</w:t>
      </w:r>
      <w:r w:rsidR="00A61A48" w:rsidRPr="00167CB8">
        <w:tab/>
      </w:r>
      <w:r w:rsidRPr="00167CB8">
        <w:t>anti-discrimination …</w:t>
      </w:r>
      <w:r w:rsidR="00A61A48" w:rsidRPr="00167CB8">
        <w:t xml:space="preserve"> [</w:t>
      </w:r>
      <w:r w:rsidRPr="00167CB8">
        <w:t>emphasis added</w:t>
      </w:r>
      <w:r w:rsidR="00A61A48" w:rsidRPr="00167CB8">
        <w:t>]</w:t>
      </w:r>
    </w:p>
    <w:p w14:paraId="1CCD2992" w14:textId="17EA4DE1" w:rsidR="009A1D5D" w:rsidRPr="00167CB8" w:rsidRDefault="009A1D5D" w:rsidP="006000ED">
      <w:pPr>
        <w:rPr>
          <w:rFonts w:cstheme="minorHAnsi"/>
        </w:rPr>
      </w:pPr>
      <w:r w:rsidRPr="00167CB8">
        <w:rPr>
          <w:rFonts w:cstheme="minorHAnsi"/>
        </w:rPr>
        <w:t xml:space="preserve">If the matter relates to the </w:t>
      </w:r>
      <w:r w:rsidR="00A61A48" w:rsidRPr="00167CB8">
        <w:rPr>
          <w:rFonts w:cstheme="minorHAnsi"/>
        </w:rPr>
        <w:t>c</w:t>
      </w:r>
      <w:r w:rsidRPr="00167CB8">
        <w:rPr>
          <w:rFonts w:cstheme="minorHAnsi"/>
        </w:rPr>
        <w:t xml:space="preserve">are and </w:t>
      </w:r>
      <w:r w:rsidR="00A61A48" w:rsidRPr="00167CB8">
        <w:rPr>
          <w:rFonts w:cstheme="minorHAnsi"/>
        </w:rPr>
        <w:t>c</w:t>
      </w:r>
      <w:r w:rsidRPr="00167CB8">
        <w:rPr>
          <w:rFonts w:cstheme="minorHAnsi"/>
        </w:rPr>
        <w:t xml:space="preserve">ommunity </w:t>
      </w:r>
      <w:r w:rsidR="00A61A48" w:rsidRPr="00167CB8">
        <w:rPr>
          <w:rFonts w:cstheme="minorHAnsi"/>
        </w:rPr>
        <w:t>s</w:t>
      </w:r>
      <w:r w:rsidRPr="00167CB8">
        <w:rPr>
          <w:rFonts w:cstheme="minorHAnsi"/>
        </w:rPr>
        <w:t xml:space="preserve">ector and requires an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anel (</w:t>
      </w:r>
      <w:r w:rsidR="006D338D" w:rsidRPr="00167CB8">
        <w:rPr>
          <w:rFonts w:cstheme="minorHAnsi"/>
        </w:rPr>
        <w:t>s</w:t>
      </w:r>
      <w:r w:rsidR="00A61A48" w:rsidRPr="00167CB8">
        <w:rPr>
          <w:rFonts w:cstheme="minorHAnsi"/>
        </w:rPr>
        <w:t> </w:t>
      </w:r>
      <w:r w:rsidR="006D338D" w:rsidRPr="00167CB8">
        <w:rPr>
          <w:rFonts w:cstheme="minorHAnsi"/>
        </w:rPr>
        <w:t>617</w:t>
      </w:r>
      <w:r w:rsidRPr="00167CB8">
        <w:rPr>
          <w:rFonts w:cstheme="minorHAnsi"/>
        </w:rPr>
        <w:t>(8) or s</w:t>
      </w:r>
      <w:r w:rsidR="00A61A48" w:rsidRPr="00167CB8">
        <w:rPr>
          <w:rFonts w:cstheme="minorHAnsi"/>
        </w:rPr>
        <w:t> </w:t>
      </w:r>
      <w:r w:rsidR="006D338D" w:rsidRPr="00167CB8">
        <w:rPr>
          <w:rFonts w:cstheme="minorHAnsi"/>
        </w:rPr>
        <w:t>617</w:t>
      </w:r>
      <w:r w:rsidRPr="00167CB8">
        <w:rPr>
          <w:rFonts w:cstheme="minorHAnsi"/>
        </w:rPr>
        <w:t xml:space="preserve">(11)) the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anel constituted for this purpose must consist of (s</w:t>
      </w:r>
      <w:r w:rsidR="00A61A48" w:rsidRPr="00167CB8">
        <w:rPr>
          <w:rFonts w:cstheme="minorHAnsi"/>
        </w:rPr>
        <w:t> </w:t>
      </w:r>
      <w:r w:rsidRPr="00167CB8">
        <w:rPr>
          <w:rFonts w:cstheme="minorHAnsi"/>
        </w:rPr>
        <w:t xml:space="preserve">620(1C)): </w:t>
      </w:r>
    </w:p>
    <w:p w14:paraId="419D35DA" w14:textId="14051F42" w:rsidR="00575B86" w:rsidRPr="00167CB8" w:rsidRDefault="009A1D5D" w:rsidP="00A61A48">
      <w:pPr>
        <w:pStyle w:val="Quote"/>
        <w:ind w:left="2160" w:hanging="720"/>
      </w:pPr>
      <w:r w:rsidRPr="00167CB8">
        <w:t>(a)</w:t>
      </w:r>
      <w:r w:rsidR="00A61A48" w:rsidRPr="00167CB8">
        <w:tab/>
      </w:r>
      <w:r w:rsidRPr="00167CB8">
        <w:t xml:space="preserve">the President, or a Vice President or Deputy President appointed by the President to be the Chair of the Panel; and </w:t>
      </w:r>
    </w:p>
    <w:p w14:paraId="48A2D958" w14:textId="477A02D1" w:rsidR="009A1D5D" w:rsidRPr="00167CB8" w:rsidRDefault="009A1D5D" w:rsidP="00A61A48">
      <w:pPr>
        <w:pStyle w:val="Quote"/>
        <w:ind w:left="2160" w:hanging="720"/>
      </w:pPr>
      <w:r w:rsidRPr="00167CB8">
        <w:t>(b)</w:t>
      </w:r>
      <w:r w:rsidR="00A61A48" w:rsidRPr="00167CB8">
        <w:tab/>
      </w:r>
      <w:r w:rsidRPr="00167CB8">
        <w:t xml:space="preserve">at least 2 Expert Panel Members </w:t>
      </w:r>
      <w:r w:rsidRPr="00167CB8">
        <w:rPr>
          <w:bCs w:val="0"/>
          <w:i/>
          <w:iCs w:val="0"/>
        </w:rPr>
        <w:t xml:space="preserve">or </w:t>
      </w:r>
      <w:r w:rsidRPr="00167CB8">
        <w:t xml:space="preserve">other FWC Members who have knowledge of, or experience in, the Care and Community Sector … </w:t>
      </w:r>
      <w:r w:rsidR="00A61A48" w:rsidRPr="00167CB8">
        <w:t>[</w:t>
      </w:r>
      <w:r w:rsidRPr="00167CB8">
        <w:t>emphasis added</w:t>
      </w:r>
      <w:r w:rsidR="00A61A48" w:rsidRPr="00167CB8">
        <w:t>]</w:t>
      </w:r>
    </w:p>
    <w:p w14:paraId="2A78D478" w14:textId="7F10EB10" w:rsidR="009A1D5D" w:rsidRPr="00167CB8" w:rsidRDefault="009A1D5D" w:rsidP="006000ED">
      <w:pPr>
        <w:rPr>
          <w:rFonts w:cstheme="minorHAnsi"/>
        </w:rPr>
      </w:pPr>
      <w:r w:rsidRPr="00167CB8">
        <w:lastRenderedPageBreak/>
        <w:t xml:space="preserve">An Expert Panel for pay equity in the Care and Community Sector must include at least one EPM or FWC </w:t>
      </w:r>
      <w:r w:rsidR="00A61A48" w:rsidRPr="00167CB8">
        <w:t>m</w:t>
      </w:r>
      <w:r w:rsidRPr="00167CB8">
        <w:t xml:space="preserve">ember with relevant knowledge or experience </w:t>
      </w:r>
      <w:r w:rsidR="00CE7513" w:rsidRPr="00167CB8">
        <w:t>in gender pay equity or anti-discrimination</w:t>
      </w:r>
      <w:r w:rsidR="000A20B6" w:rsidRPr="00167CB8">
        <w:t xml:space="preserve">, and one with knowledge or experience in the </w:t>
      </w:r>
      <w:r w:rsidR="00A61A48" w:rsidRPr="00167CB8">
        <w:t>c</w:t>
      </w:r>
      <w:r w:rsidR="000A20B6" w:rsidRPr="00167CB8">
        <w:t xml:space="preserve">are and </w:t>
      </w:r>
      <w:r w:rsidR="00A61A48" w:rsidRPr="00167CB8">
        <w:t>c</w:t>
      </w:r>
      <w:r w:rsidR="000A20B6" w:rsidRPr="00167CB8">
        <w:t xml:space="preserve">ommunity </w:t>
      </w:r>
      <w:r w:rsidR="00A61A48" w:rsidRPr="00167CB8">
        <w:t>s</w:t>
      </w:r>
      <w:r w:rsidR="000A20B6" w:rsidRPr="00167CB8">
        <w:t>ector</w:t>
      </w:r>
      <w:r w:rsidRPr="00167CB8">
        <w:t>.</w:t>
      </w:r>
      <w:r w:rsidRPr="00167CB8">
        <w:rPr>
          <w:rStyle w:val="FootnoteReference"/>
        </w:rPr>
        <w:footnoteReference w:id="861"/>
      </w:r>
    </w:p>
    <w:p w14:paraId="59BA9771" w14:textId="4716AF83" w:rsidR="009A1D5D" w:rsidRPr="00167CB8" w:rsidRDefault="009A1D5D" w:rsidP="006000ED">
      <w:pPr>
        <w:rPr>
          <w:rFonts w:cstheme="minorHAnsi"/>
        </w:rPr>
      </w:pPr>
      <w:r w:rsidRPr="00167CB8">
        <w:rPr>
          <w:rFonts w:cstheme="minorHAnsi"/>
        </w:rPr>
        <w:t xml:space="preserve">In addition to the above, under a new </w:t>
      </w:r>
      <w:r w:rsidR="00EC7DBC" w:rsidRPr="00167CB8">
        <w:rPr>
          <w:rFonts w:cstheme="minorHAnsi"/>
        </w:rPr>
        <w:t>s</w:t>
      </w:r>
      <w:r w:rsidR="00A61A48" w:rsidRPr="00167CB8">
        <w:rPr>
          <w:rFonts w:cstheme="minorHAnsi"/>
        </w:rPr>
        <w:t> </w:t>
      </w:r>
      <w:r w:rsidRPr="00167CB8">
        <w:rPr>
          <w:rFonts w:cstheme="minorHAnsi"/>
        </w:rPr>
        <w:t>617A(1):</w:t>
      </w:r>
    </w:p>
    <w:p w14:paraId="628316FA" w14:textId="63484A7C" w:rsidR="00A470D0" w:rsidRPr="00167CB8" w:rsidRDefault="009A1D5D" w:rsidP="00A61A48">
      <w:pPr>
        <w:pStyle w:val="Quote"/>
      </w:pPr>
      <w:r w:rsidRPr="00167CB8">
        <w:t>The president may give a direction under section 582 requiring that a matter that is relevant to the function of an Expert Panel … be investigated and that a report about the matter be prepared.</w:t>
      </w:r>
    </w:p>
    <w:p w14:paraId="53D7047D" w14:textId="28324790" w:rsidR="00843FDF" w:rsidRPr="00167CB8" w:rsidRDefault="00C773A0" w:rsidP="006000ED">
      <w:pPr>
        <w:rPr>
          <w:rFonts w:cstheme="minorHAnsi"/>
        </w:rPr>
      </w:pPr>
      <w:r w:rsidRPr="00167CB8">
        <w:rPr>
          <w:rFonts w:cstheme="minorHAnsi"/>
        </w:rPr>
        <w:t xml:space="preserve">The </w:t>
      </w:r>
      <w:r w:rsidR="009A1D5D" w:rsidRPr="00167CB8">
        <w:rPr>
          <w:rFonts w:cstheme="minorHAnsi"/>
        </w:rPr>
        <w:t>Note</w:t>
      </w:r>
      <w:r w:rsidRPr="00167CB8">
        <w:rPr>
          <w:rFonts w:cstheme="minorHAnsi"/>
        </w:rPr>
        <w:t xml:space="preserve"> </w:t>
      </w:r>
      <w:r w:rsidR="00A470D0" w:rsidRPr="00167CB8">
        <w:rPr>
          <w:rFonts w:cstheme="minorHAnsi"/>
        </w:rPr>
        <w:t xml:space="preserve">in </w:t>
      </w:r>
      <w:r w:rsidR="00EC7DBC" w:rsidRPr="00167CB8">
        <w:rPr>
          <w:rFonts w:cstheme="minorHAnsi"/>
        </w:rPr>
        <w:t>s</w:t>
      </w:r>
      <w:r w:rsidR="00A61A48" w:rsidRPr="00167CB8">
        <w:rPr>
          <w:rFonts w:cstheme="minorHAnsi"/>
        </w:rPr>
        <w:t> </w:t>
      </w:r>
      <w:r w:rsidR="00A470D0" w:rsidRPr="00167CB8">
        <w:rPr>
          <w:rFonts w:cstheme="minorHAnsi"/>
        </w:rPr>
        <w:t xml:space="preserve">617A(1) </w:t>
      </w:r>
      <w:r w:rsidRPr="00167CB8">
        <w:rPr>
          <w:rFonts w:cstheme="minorHAnsi"/>
        </w:rPr>
        <w:t>states that</w:t>
      </w:r>
      <w:r w:rsidR="009A1D5D" w:rsidRPr="00167CB8">
        <w:rPr>
          <w:rFonts w:cstheme="minorHAnsi"/>
        </w:rPr>
        <w:t xml:space="preserve"> </w:t>
      </w:r>
      <w:r w:rsidR="00A61A48" w:rsidRPr="00167CB8">
        <w:rPr>
          <w:rFonts w:cstheme="minorHAnsi"/>
        </w:rPr>
        <w:t>‘</w:t>
      </w:r>
      <w:r w:rsidR="00314F69" w:rsidRPr="00167CB8">
        <w:rPr>
          <w:rFonts w:cstheme="minorHAnsi"/>
        </w:rPr>
        <w:t>[m]</w:t>
      </w:r>
      <w:r w:rsidR="009A1D5D" w:rsidRPr="00167CB8">
        <w:rPr>
          <w:rFonts w:cstheme="minorHAnsi"/>
        </w:rPr>
        <w:t>atters that may be relevant include gender pay equity, equal remuneration, and the Care and Community Sector, in Australia</w:t>
      </w:r>
      <w:r w:rsidR="00A61A48" w:rsidRPr="00167CB8">
        <w:rPr>
          <w:rFonts w:cstheme="minorHAnsi"/>
        </w:rPr>
        <w:t>’</w:t>
      </w:r>
      <w:r w:rsidR="009A1D5D" w:rsidRPr="00167CB8">
        <w:rPr>
          <w:rFonts w:cstheme="minorHAnsi"/>
        </w:rPr>
        <w:t xml:space="preserve">. </w:t>
      </w:r>
    </w:p>
    <w:p w14:paraId="2C2F8E4B" w14:textId="2BF0194F" w:rsidR="00843FDF" w:rsidRPr="00167CB8" w:rsidRDefault="00843FDF" w:rsidP="006000ED">
      <w:pPr>
        <w:rPr>
          <w:rFonts w:cstheme="minorHAnsi"/>
        </w:rPr>
      </w:pPr>
      <w:r w:rsidRPr="00167CB8">
        <w:rPr>
          <w:rFonts w:cstheme="minorHAnsi"/>
        </w:rPr>
        <w:t xml:space="preserve">Under a new </w:t>
      </w:r>
      <w:r w:rsidR="00EC7DBC" w:rsidRPr="00167CB8">
        <w:rPr>
          <w:rFonts w:cstheme="minorHAnsi"/>
        </w:rPr>
        <w:t>s</w:t>
      </w:r>
      <w:r w:rsidR="00A61A48" w:rsidRPr="00167CB8">
        <w:rPr>
          <w:rFonts w:cstheme="minorHAnsi"/>
        </w:rPr>
        <w:t> </w:t>
      </w:r>
      <w:r w:rsidRPr="00167CB8">
        <w:rPr>
          <w:rFonts w:cstheme="minorHAnsi"/>
        </w:rPr>
        <w:t>617</w:t>
      </w:r>
      <w:r w:rsidR="00A75648" w:rsidRPr="00167CB8">
        <w:rPr>
          <w:rFonts w:cstheme="minorHAnsi"/>
        </w:rPr>
        <w:t>A</w:t>
      </w:r>
      <w:r w:rsidR="009A1D5D" w:rsidRPr="00167CB8">
        <w:rPr>
          <w:rFonts w:cstheme="minorHAnsi"/>
        </w:rPr>
        <w:t>(2)</w:t>
      </w:r>
      <w:r w:rsidRPr="00167CB8">
        <w:rPr>
          <w:rFonts w:cstheme="minorHAnsi"/>
        </w:rPr>
        <w:t>:</w:t>
      </w:r>
    </w:p>
    <w:p w14:paraId="6650B559" w14:textId="03D66BF8" w:rsidR="009A1D5D" w:rsidRPr="00167CB8" w:rsidRDefault="009A1D5D" w:rsidP="00A61A48">
      <w:pPr>
        <w:pStyle w:val="Quote"/>
      </w:pPr>
      <w:r w:rsidRPr="00167CB8">
        <w:t>The direction may be given to: (a) an Expert Panel; or (b) an Expert Panel Member; or (c) a Commissioners; or (d) a Full Bench that includes one or more Expert Panel Members.</w:t>
      </w:r>
    </w:p>
    <w:p w14:paraId="4149F55E" w14:textId="14884B6A" w:rsidR="009A1D5D" w:rsidRPr="00167CB8" w:rsidRDefault="009A1D5D" w:rsidP="006000ED">
      <w:pPr>
        <w:rPr>
          <w:rFonts w:cstheme="minorHAnsi"/>
        </w:rPr>
      </w:pPr>
      <w:r w:rsidRPr="00167CB8">
        <w:rPr>
          <w:rFonts w:cstheme="minorHAnsi"/>
        </w:rPr>
        <w:t>Section 617B(1)</w:t>
      </w:r>
      <w:r w:rsidR="006B2BC8" w:rsidRPr="00167CB8">
        <w:rPr>
          <w:rFonts w:cstheme="minorHAnsi"/>
        </w:rPr>
        <w:t xml:space="preserve"> of the </w:t>
      </w:r>
      <w:r w:rsidR="00E60C76" w:rsidRPr="00167CB8">
        <w:rPr>
          <w:rFonts w:cstheme="minorHAnsi"/>
        </w:rPr>
        <w:t>Fair Work Act</w:t>
      </w:r>
      <w:r w:rsidRPr="00167CB8">
        <w:rPr>
          <w:rFonts w:cstheme="minorHAnsi"/>
        </w:rPr>
        <w:t xml:space="preserve"> requires that any reports prepared following a </w:t>
      </w:r>
      <w:r w:rsidR="00A61A48" w:rsidRPr="00167CB8">
        <w:rPr>
          <w:rFonts w:cstheme="minorHAnsi"/>
        </w:rPr>
        <w:t>p</w:t>
      </w:r>
      <w:r w:rsidRPr="00167CB8">
        <w:rPr>
          <w:rFonts w:cstheme="minorHAnsi"/>
        </w:rPr>
        <w:t xml:space="preserve">residential direction at </w:t>
      </w:r>
      <w:r w:rsidR="00EC7DBC" w:rsidRPr="00167CB8">
        <w:rPr>
          <w:rFonts w:cstheme="minorHAnsi"/>
        </w:rPr>
        <w:t>s</w:t>
      </w:r>
      <w:r w:rsidR="00A61A48" w:rsidRPr="00167CB8">
        <w:rPr>
          <w:rFonts w:cstheme="minorHAnsi"/>
        </w:rPr>
        <w:t> </w:t>
      </w:r>
      <w:r w:rsidRPr="00167CB8">
        <w:rPr>
          <w:rFonts w:cstheme="minorHAnsi"/>
        </w:rPr>
        <w:t xml:space="preserve">617A </w:t>
      </w:r>
      <w:r w:rsidR="00EB7E90" w:rsidRPr="00167CB8">
        <w:rPr>
          <w:rFonts w:cstheme="minorHAnsi"/>
        </w:rPr>
        <w:t xml:space="preserve">of the Fair Work Act </w:t>
      </w:r>
      <w:r w:rsidRPr="00167CB8">
        <w:rPr>
          <w:rFonts w:cstheme="minorHAnsi"/>
        </w:rPr>
        <w:t>must be published by the FWC</w:t>
      </w:r>
      <w:r w:rsidR="00A61A48" w:rsidRPr="00167CB8">
        <w:rPr>
          <w:rFonts w:cstheme="minorHAnsi"/>
        </w:rPr>
        <w:t>:</w:t>
      </w:r>
      <w:r w:rsidRPr="00167CB8">
        <w:rPr>
          <w:rFonts w:cstheme="minorHAnsi"/>
        </w:rPr>
        <w:t xml:space="preserve"> </w:t>
      </w:r>
      <w:r w:rsidR="00A61A48" w:rsidRPr="00167CB8">
        <w:rPr>
          <w:rFonts w:cstheme="minorHAnsi"/>
        </w:rPr>
        <w:t>‘</w:t>
      </w:r>
      <w:r w:rsidRPr="00167CB8">
        <w:rPr>
          <w:rFonts w:cstheme="minorHAnsi"/>
        </w:rPr>
        <w:t>the FWC must publish the report so that submissions can be made addressing issues covered by the report</w:t>
      </w:r>
      <w:r w:rsidR="00A61A48" w:rsidRPr="00167CB8">
        <w:rPr>
          <w:rFonts w:cstheme="minorHAnsi"/>
        </w:rPr>
        <w:t>’</w:t>
      </w:r>
      <w:r w:rsidRPr="00167CB8">
        <w:rPr>
          <w:rFonts w:cstheme="minorHAnsi"/>
        </w:rPr>
        <w:t xml:space="preserve">. </w:t>
      </w:r>
    </w:p>
    <w:p w14:paraId="4D56EF6A" w14:textId="65AD34E0" w:rsidR="009A1D5D" w:rsidRPr="00167CB8" w:rsidRDefault="009A1D5D" w:rsidP="009A1D5D">
      <w:pPr>
        <w:rPr>
          <w:rFonts w:cstheme="minorHAnsi"/>
        </w:rPr>
      </w:pPr>
      <w:r w:rsidRPr="00167CB8">
        <w:rPr>
          <w:rFonts w:cstheme="minorHAnsi"/>
        </w:rPr>
        <w:t xml:space="preserve">The main amendments concerning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anels came into effect on 6 March 2023.</w:t>
      </w:r>
    </w:p>
    <w:p w14:paraId="1B2B8E4D" w14:textId="39C552CB" w:rsidR="009A1D5D" w:rsidRPr="00167CB8" w:rsidRDefault="0024484D" w:rsidP="009A1D5D">
      <w:pPr>
        <w:pStyle w:val="Heading5"/>
        <w:rPr>
          <w:rFonts w:asciiTheme="minorHAnsi" w:hAnsiTheme="minorHAnsi"/>
        </w:rPr>
      </w:pPr>
      <w:bookmarkStart w:id="365" w:name="_Toc188003382"/>
      <w:r w:rsidRPr="00167CB8">
        <w:rPr>
          <w:rFonts w:asciiTheme="minorHAnsi" w:hAnsiTheme="minorHAnsi"/>
        </w:rPr>
        <w:t>26</w:t>
      </w:r>
      <w:r w:rsidR="00FC04B0" w:rsidRPr="00167CB8">
        <w:rPr>
          <w:rFonts w:asciiTheme="minorHAnsi" w:hAnsiTheme="minorHAnsi"/>
        </w:rPr>
        <w:t>.1.2</w:t>
      </w:r>
      <w:r w:rsidR="009A1D5D" w:rsidRPr="00167CB8">
        <w:rPr>
          <w:rFonts w:asciiTheme="minorHAnsi" w:hAnsiTheme="minorHAnsi"/>
        </w:rPr>
        <w:t xml:space="preserve"> Intent of </w:t>
      </w:r>
      <w:r w:rsidR="00D86F0F"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Amendments</w:t>
      </w:r>
      <w:bookmarkEnd w:id="365"/>
      <w:r w:rsidR="00E42AC2" w:rsidRPr="00167CB8" w:rsidDel="003072B8">
        <w:rPr>
          <w:rFonts w:cstheme="minorHAnsi"/>
        </w:rPr>
        <w:t xml:space="preserve"> </w:t>
      </w:r>
    </w:p>
    <w:p w14:paraId="70FEDCD0" w14:textId="7A132E67" w:rsidR="009A1D5D" w:rsidRPr="00167CB8" w:rsidRDefault="009A1D5D" w:rsidP="006000ED">
      <w:pPr>
        <w:rPr>
          <w:rFonts w:cstheme="minorHAnsi"/>
        </w:rPr>
      </w:pPr>
      <w:r w:rsidRPr="00167CB8">
        <w:t xml:space="preserve">The </w:t>
      </w:r>
      <w:r w:rsidR="00A75648" w:rsidRPr="00167CB8">
        <w:t>intent</w:t>
      </w:r>
      <w:r w:rsidRPr="00167CB8">
        <w:t xml:space="preserve"> of </w:t>
      </w:r>
      <w:r w:rsidR="00135AAA" w:rsidRPr="00167CB8">
        <w:t>these amendments</w:t>
      </w:r>
      <w:r w:rsidR="009F79FB" w:rsidRPr="00167CB8">
        <w:t xml:space="preserve"> </w:t>
      </w:r>
      <w:r w:rsidR="009A610F" w:rsidRPr="00167CB8">
        <w:t xml:space="preserve">was to </w:t>
      </w:r>
      <w:r w:rsidRPr="00167CB8">
        <w:t>ensure that FWC decisions about pay equity and the care and community sector are guided by specialised knowledge and expertise.</w:t>
      </w:r>
      <w:r w:rsidRPr="00167CB8">
        <w:rPr>
          <w:rStyle w:val="FootnoteReference"/>
        </w:rPr>
        <w:footnoteReference w:id="862"/>
      </w:r>
    </w:p>
    <w:p w14:paraId="7C6A0448" w14:textId="39AA7966" w:rsidR="009A1D5D" w:rsidRPr="00167CB8" w:rsidRDefault="009A1D5D" w:rsidP="006000ED">
      <w:pPr>
        <w:rPr>
          <w:rFonts w:cstheme="minorHAnsi"/>
        </w:rPr>
      </w:pPr>
      <w:r w:rsidRPr="00167CB8">
        <w:t xml:space="preserve">The establishment of these </w:t>
      </w:r>
      <w:r w:rsidR="00A61A48" w:rsidRPr="00167CB8">
        <w:t>e</w:t>
      </w:r>
      <w:r w:rsidRPr="00167CB8">
        <w:t xml:space="preserve">xpert </w:t>
      </w:r>
      <w:r w:rsidR="00A61A48" w:rsidRPr="00167CB8">
        <w:t>p</w:t>
      </w:r>
      <w:r w:rsidRPr="00167CB8">
        <w:t>anels was a 2022 election commitment</w:t>
      </w:r>
      <w:r w:rsidR="009A610F" w:rsidRPr="00167CB8">
        <w:t xml:space="preserve"> of the </w:t>
      </w:r>
      <w:r w:rsidR="00A61A48" w:rsidRPr="00167CB8">
        <w:t xml:space="preserve">current </w:t>
      </w:r>
      <w:r w:rsidR="009A610F" w:rsidRPr="00167CB8">
        <w:t>government</w:t>
      </w:r>
      <w:r w:rsidRPr="00167CB8">
        <w:t>, included in its Fair Pay and Conditions for Working Women policy, which referred to aged care, early childhood education and care, and disability care when describing the care sector.</w:t>
      </w:r>
      <w:r w:rsidRPr="00167CB8">
        <w:rPr>
          <w:rStyle w:val="FootnoteReference"/>
        </w:rPr>
        <w:footnoteReference w:id="863"/>
      </w:r>
      <w:r w:rsidRPr="00167CB8">
        <w:t xml:space="preserve"> </w:t>
      </w:r>
    </w:p>
    <w:p w14:paraId="5C46A381" w14:textId="0970CB93" w:rsidR="009A1D5D" w:rsidRPr="00167CB8" w:rsidRDefault="0024484D" w:rsidP="009A1D5D">
      <w:pPr>
        <w:pStyle w:val="Heading4"/>
        <w:rPr>
          <w:rFonts w:asciiTheme="minorHAnsi" w:hAnsiTheme="minorHAnsi"/>
        </w:rPr>
      </w:pPr>
      <w:bookmarkStart w:id="366" w:name="_Toc188003383"/>
      <w:bookmarkStart w:id="367" w:name="_Toc188277942"/>
      <w:bookmarkStart w:id="368" w:name="_Toc189260294"/>
      <w:bookmarkStart w:id="369" w:name="_Toc189393610"/>
      <w:r w:rsidRPr="00167CB8">
        <w:rPr>
          <w:rFonts w:asciiTheme="minorHAnsi" w:hAnsiTheme="minorHAnsi"/>
        </w:rPr>
        <w:t>26</w:t>
      </w:r>
      <w:r w:rsidR="00FC04B0" w:rsidRPr="00167CB8">
        <w:rPr>
          <w:rFonts w:asciiTheme="minorHAnsi" w:hAnsiTheme="minorHAnsi"/>
        </w:rPr>
        <w:t xml:space="preserve">.2 </w:t>
      </w:r>
      <w:r w:rsidR="009A1D5D" w:rsidRPr="00167CB8">
        <w:rPr>
          <w:rFonts w:asciiTheme="minorHAnsi" w:hAnsiTheme="minorHAnsi"/>
        </w:rPr>
        <w:t xml:space="preserve">Impact </w:t>
      </w:r>
      <w:r w:rsidR="00A61A48" w:rsidRPr="00167CB8">
        <w:rPr>
          <w:rFonts w:asciiTheme="minorHAnsi" w:hAnsiTheme="minorHAnsi"/>
        </w:rPr>
        <w:t>and i</w:t>
      </w:r>
      <w:r w:rsidR="009A1D5D" w:rsidRPr="00167CB8">
        <w:rPr>
          <w:rFonts w:asciiTheme="minorHAnsi" w:hAnsiTheme="minorHAnsi"/>
        </w:rPr>
        <w:t>ssues</w:t>
      </w:r>
      <w:bookmarkEnd w:id="366"/>
      <w:bookmarkEnd w:id="367"/>
      <w:bookmarkEnd w:id="368"/>
      <w:bookmarkEnd w:id="369"/>
    </w:p>
    <w:p w14:paraId="1CFB77D6" w14:textId="03BFF004" w:rsidR="009A1D5D" w:rsidRPr="00167CB8" w:rsidRDefault="009A1D5D" w:rsidP="006000ED">
      <w:pPr>
        <w:rPr>
          <w:rFonts w:cstheme="minorHAnsi"/>
        </w:rPr>
      </w:pPr>
      <w:r w:rsidRPr="00167CB8">
        <w:t xml:space="preserve">Part 6 </w:t>
      </w:r>
      <w:r w:rsidR="001653EA" w:rsidRPr="00167CB8">
        <w:t xml:space="preserve">of Schedule 1 </w:t>
      </w:r>
      <w:r w:rsidR="009C7094" w:rsidRPr="00167CB8">
        <w:t>to</w:t>
      </w:r>
      <w:r w:rsidR="001653EA" w:rsidRPr="00167CB8">
        <w:t xml:space="preserve"> the </w:t>
      </w:r>
      <w:r w:rsidR="00D86F0F" w:rsidRPr="00167CB8">
        <w:rPr>
          <w:rFonts w:cstheme="minorHAnsi"/>
        </w:rPr>
        <w:t>Secure Jobs, Better Pay</w:t>
      </w:r>
      <w:r w:rsidR="001653EA" w:rsidRPr="00167CB8">
        <w:t xml:space="preserve"> Act</w:t>
      </w:r>
      <w:r w:rsidRPr="00167CB8">
        <w:t xml:space="preserve"> </w:t>
      </w:r>
      <w:r w:rsidR="001653EA" w:rsidRPr="00167CB8">
        <w:t xml:space="preserve">is </w:t>
      </w:r>
      <w:r w:rsidRPr="00167CB8">
        <w:t xml:space="preserve">designed to ensure that, where relevant, </w:t>
      </w:r>
      <w:r w:rsidR="00A61A48" w:rsidRPr="00167CB8">
        <w:t>e</w:t>
      </w:r>
      <w:r w:rsidRPr="00167CB8">
        <w:t xml:space="preserve">xpert </w:t>
      </w:r>
      <w:r w:rsidR="00A61A48" w:rsidRPr="00167CB8">
        <w:t>p</w:t>
      </w:r>
      <w:r w:rsidRPr="00167CB8">
        <w:t xml:space="preserve">anels have knowledge or experience of a variety of fields, including </w:t>
      </w:r>
      <w:r w:rsidRPr="00167CB8">
        <w:rPr>
          <w:rFonts w:cstheme="minorHAnsi"/>
        </w:rPr>
        <w:t xml:space="preserve">pay equity, anti-discrimination and/or the </w:t>
      </w:r>
      <w:r w:rsidR="00A61A48" w:rsidRPr="00167CB8">
        <w:rPr>
          <w:rFonts w:cstheme="minorHAnsi"/>
        </w:rPr>
        <w:t>c</w:t>
      </w:r>
      <w:r w:rsidRPr="00167CB8">
        <w:rPr>
          <w:rFonts w:cstheme="minorHAnsi"/>
        </w:rPr>
        <w:t xml:space="preserve">are and </w:t>
      </w:r>
      <w:r w:rsidR="00A61A48" w:rsidRPr="00167CB8">
        <w:rPr>
          <w:rFonts w:cstheme="minorHAnsi"/>
        </w:rPr>
        <w:t>c</w:t>
      </w:r>
      <w:r w:rsidRPr="00167CB8">
        <w:rPr>
          <w:rFonts w:cstheme="minorHAnsi"/>
        </w:rPr>
        <w:t xml:space="preserve">ommunity </w:t>
      </w:r>
      <w:r w:rsidR="00A61A48" w:rsidRPr="00167CB8">
        <w:rPr>
          <w:rFonts w:cstheme="minorHAnsi"/>
        </w:rPr>
        <w:t>s</w:t>
      </w:r>
      <w:r w:rsidRPr="00167CB8">
        <w:rPr>
          <w:rFonts w:cstheme="minorHAnsi"/>
        </w:rPr>
        <w:t>ector.</w:t>
      </w:r>
    </w:p>
    <w:p w14:paraId="76311CC3" w14:textId="77777777" w:rsidR="009A1D5D" w:rsidRPr="00167CB8" w:rsidRDefault="009A1D5D" w:rsidP="006000ED">
      <w:r w:rsidRPr="00167CB8">
        <w:t>The following describes the data and information considered by the Review Panel when evaluating the amendments.</w:t>
      </w:r>
    </w:p>
    <w:p w14:paraId="552964BE" w14:textId="756782B2" w:rsidR="009A1D5D" w:rsidRPr="00167CB8" w:rsidRDefault="0024484D" w:rsidP="009A1D5D">
      <w:pPr>
        <w:pStyle w:val="Heading5"/>
        <w:rPr>
          <w:rFonts w:asciiTheme="minorHAnsi" w:hAnsiTheme="minorHAnsi"/>
        </w:rPr>
      </w:pPr>
      <w:bookmarkStart w:id="370" w:name="_Toc188003384"/>
      <w:r w:rsidRPr="00167CB8">
        <w:rPr>
          <w:rFonts w:asciiTheme="minorHAnsi" w:hAnsiTheme="minorHAnsi"/>
        </w:rPr>
        <w:t>26</w:t>
      </w:r>
      <w:r w:rsidR="00FC04B0" w:rsidRPr="00167CB8">
        <w:rPr>
          <w:rFonts w:asciiTheme="minorHAnsi" w:hAnsiTheme="minorHAnsi"/>
        </w:rPr>
        <w:t>.2.1</w:t>
      </w:r>
      <w:r w:rsidR="009A1D5D" w:rsidRPr="00167CB8">
        <w:rPr>
          <w:rFonts w:asciiTheme="minorHAnsi" w:hAnsiTheme="minorHAnsi"/>
        </w:rPr>
        <w:t xml:space="preserve"> Quantitative </w:t>
      </w:r>
      <w:r w:rsidR="00A61A48" w:rsidRPr="00167CB8">
        <w:rPr>
          <w:rFonts w:asciiTheme="minorHAnsi" w:hAnsiTheme="minorHAnsi"/>
        </w:rPr>
        <w:t>e</w:t>
      </w:r>
      <w:r w:rsidR="009A1D5D" w:rsidRPr="00167CB8">
        <w:rPr>
          <w:rFonts w:asciiTheme="minorHAnsi" w:hAnsiTheme="minorHAnsi"/>
        </w:rPr>
        <w:t>vidence</w:t>
      </w:r>
      <w:bookmarkEnd w:id="370"/>
    </w:p>
    <w:p w14:paraId="0148018E" w14:textId="32A58CBA" w:rsidR="005B2F68" w:rsidRPr="00167CB8" w:rsidRDefault="00A61A48" w:rsidP="006000ED">
      <w:pPr>
        <w:rPr>
          <w:rFonts w:cstheme="minorHAnsi"/>
        </w:rPr>
      </w:pPr>
      <w:r w:rsidRPr="00167CB8">
        <w:rPr>
          <w:rFonts w:cstheme="minorHAnsi"/>
        </w:rPr>
        <w:t xml:space="preserve">EPMs </w:t>
      </w:r>
      <w:r w:rsidR="005B2F68" w:rsidRPr="00167CB8">
        <w:rPr>
          <w:rFonts w:cstheme="minorHAnsi"/>
        </w:rPr>
        <w:t xml:space="preserve">are appointed for a period of up to </w:t>
      </w:r>
      <w:r w:rsidRPr="00167CB8">
        <w:rPr>
          <w:rFonts w:cstheme="minorHAnsi"/>
        </w:rPr>
        <w:t xml:space="preserve">5 </w:t>
      </w:r>
      <w:r w:rsidR="005B2F68" w:rsidRPr="00167CB8">
        <w:rPr>
          <w:rFonts w:cstheme="minorHAnsi"/>
        </w:rPr>
        <w:t xml:space="preserve">years. There are </w:t>
      </w:r>
      <w:r w:rsidRPr="00167CB8">
        <w:rPr>
          <w:rFonts w:cstheme="minorHAnsi"/>
        </w:rPr>
        <w:t xml:space="preserve">6 </w:t>
      </w:r>
      <w:r w:rsidR="005B2F68" w:rsidRPr="00167CB8">
        <w:rPr>
          <w:rFonts w:cstheme="minorHAnsi"/>
        </w:rPr>
        <w:t xml:space="preserve">EPMs, </w:t>
      </w:r>
      <w:r w:rsidRPr="00167CB8">
        <w:rPr>
          <w:rFonts w:cstheme="minorHAnsi"/>
        </w:rPr>
        <w:t xml:space="preserve">3 </w:t>
      </w:r>
      <w:r w:rsidR="005B2F68" w:rsidRPr="00167CB8">
        <w:rPr>
          <w:rFonts w:cstheme="minorHAnsi"/>
        </w:rPr>
        <w:t xml:space="preserve">of whom were appointed following the passage of the </w:t>
      </w:r>
      <w:r w:rsidR="00D86F0F" w:rsidRPr="00167CB8">
        <w:rPr>
          <w:rFonts w:cstheme="minorHAnsi"/>
        </w:rPr>
        <w:t>Secure Jobs, Better Pay</w:t>
      </w:r>
      <w:r w:rsidR="005B2F68" w:rsidRPr="00167CB8">
        <w:rPr>
          <w:rFonts w:cstheme="minorHAnsi"/>
        </w:rPr>
        <w:t xml:space="preserve"> Act. The </w:t>
      </w:r>
      <w:r w:rsidRPr="00167CB8">
        <w:rPr>
          <w:rFonts w:cstheme="minorHAnsi"/>
        </w:rPr>
        <w:t xml:space="preserve">3 </w:t>
      </w:r>
      <w:r w:rsidR="005B2F68" w:rsidRPr="00167CB8">
        <w:rPr>
          <w:rFonts w:cstheme="minorHAnsi"/>
        </w:rPr>
        <w:t>new members are:</w:t>
      </w:r>
    </w:p>
    <w:p w14:paraId="4270457B" w14:textId="77777777" w:rsidR="005B2F68" w:rsidRPr="00167CB8" w:rsidRDefault="005B2F68" w:rsidP="00EA3E2F">
      <w:pPr>
        <w:pStyle w:val="ListBullet"/>
      </w:pPr>
      <w:r w:rsidRPr="00167CB8">
        <w:t>Professor Marian Baird</w:t>
      </w:r>
    </w:p>
    <w:p w14:paraId="68264F8E" w14:textId="77777777" w:rsidR="005B2F68" w:rsidRPr="00167CB8" w:rsidRDefault="005B2F68" w:rsidP="00EA3E2F">
      <w:pPr>
        <w:pStyle w:val="ListBullet"/>
      </w:pPr>
      <w:r w:rsidRPr="00167CB8">
        <w:lastRenderedPageBreak/>
        <w:t>Mr Mark Cully</w:t>
      </w:r>
    </w:p>
    <w:p w14:paraId="20C6F805" w14:textId="591549A6" w:rsidR="005B2F68" w:rsidRPr="00167CB8" w:rsidRDefault="005B2F68" w:rsidP="00EA3E2F">
      <w:pPr>
        <w:pStyle w:val="ListBullet"/>
      </w:pPr>
      <w:r w:rsidRPr="00167CB8">
        <w:t>Dr Leonora Risse</w:t>
      </w:r>
      <w:r w:rsidR="00A61A48" w:rsidRPr="00167CB8">
        <w:t>.</w:t>
      </w:r>
    </w:p>
    <w:p w14:paraId="0C258DD8" w14:textId="107FDAB6" w:rsidR="005B2F68" w:rsidRPr="00167CB8" w:rsidRDefault="005B2F68" w:rsidP="006000ED">
      <w:pPr>
        <w:rPr>
          <w:rFonts w:cstheme="minorHAnsi"/>
        </w:rPr>
      </w:pPr>
      <w:r w:rsidRPr="00167CB8">
        <w:rPr>
          <w:rFonts w:cstheme="minorHAnsi"/>
        </w:rPr>
        <w:t xml:space="preserve">Professor Baird and Dr Risse </w:t>
      </w:r>
      <w:r w:rsidR="00A61A48" w:rsidRPr="00167CB8">
        <w:rPr>
          <w:rFonts w:cstheme="minorHAnsi"/>
        </w:rPr>
        <w:t>‘</w:t>
      </w:r>
      <w:r w:rsidRPr="00167CB8">
        <w:rPr>
          <w:rFonts w:cstheme="minorHAnsi"/>
        </w:rPr>
        <w:t>bring extensive experience in pay equity and will bolster the Commission’s capacity to properly consider the gender pay gap when making decisions</w:t>
      </w:r>
      <w:r w:rsidR="00171EAE">
        <w:rPr>
          <w:rFonts w:cstheme="minorHAnsi"/>
        </w:rPr>
        <w:t>.</w:t>
      </w:r>
      <w:r w:rsidR="00A61A48" w:rsidRPr="00167CB8">
        <w:rPr>
          <w:rFonts w:cstheme="minorHAnsi"/>
        </w:rPr>
        <w:t>’</w:t>
      </w:r>
      <w:r w:rsidR="00171EAE">
        <w:rPr>
          <w:rFonts w:cstheme="minorHAnsi"/>
        </w:rPr>
        <w:t xml:space="preserve"> </w:t>
      </w:r>
      <w:r w:rsidRPr="00167CB8">
        <w:rPr>
          <w:rFonts w:cstheme="minorHAnsi"/>
        </w:rPr>
        <w:t xml:space="preserve">Mr Cully brings </w:t>
      </w:r>
      <w:r w:rsidR="00A61A48" w:rsidRPr="00167CB8">
        <w:rPr>
          <w:rFonts w:cstheme="minorHAnsi"/>
        </w:rPr>
        <w:t>‘</w:t>
      </w:r>
      <w:r w:rsidRPr="00167CB8">
        <w:rPr>
          <w:rFonts w:cstheme="minorHAnsi"/>
        </w:rPr>
        <w:t>a wealth of experience in economics and workplace relations</w:t>
      </w:r>
      <w:r w:rsidR="00171EAE">
        <w:rPr>
          <w:rFonts w:cstheme="minorHAnsi"/>
        </w:rPr>
        <w:t>.</w:t>
      </w:r>
      <w:r w:rsidR="00A61A48" w:rsidRPr="00167CB8">
        <w:rPr>
          <w:rFonts w:cstheme="minorHAnsi"/>
        </w:rPr>
        <w:t>’</w:t>
      </w:r>
      <w:r w:rsidRPr="00167CB8">
        <w:rPr>
          <w:rFonts w:cstheme="minorHAnsi"/>
          <w:vertAlign w:val="superscript"/>
        </w:rPr>
        <w:footnoteReference w:id="864"/>
      </w:r>
      <w:r w:rsidRPr="00167CB8">
        <w:rPr>
          <w:rFonts w:cstheme="minorHAnsi"/>
        </w:rPr>
        <w:t xml:space="preserve"> </w:t>
      </w:r>
    </w:p>
    <w:p w14:paraId="300AA943" w14:textId="2036B12B" w:rsidR="009A1D5D" w:rsidRPr="00167CB8" w:rsidRDefault="009A1D5D" w:rsidP="006000ED">
      <w:pPr>
        <w:rPr>
          <w:rFonts w:cstheme="minorHAnsi"/>
        </w:rPr>
      </w:pPr>
      <w:r w:rsidRPr="00167CB8">
        <w:rPr>
          <w:rFonts w:cstheme="minorHAnsi"/>
        </w:rPr>
        <w:t xml:space="preserve">Given that the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 xml:space="preserve">anel amendments were intended to ensure FWC decisions on pay equity in the care and community sector are informed by specialised knowledge and expertise, it may be inferred that a reduction in the gender wage gap </w:t>
      </w:r>
      <w:r w:rsidR="00A61A48" w:rsidRPr="00167CB8">
        <w:rPr>
          <w:rFonts w:cstheme="minorHAnsi"/>
        </w:rPr>
        <w:t xml:space="preserve">(GWG) </w:t>
      </w:r>
      <w:r w:rsidRPr="00167CB8">
        <w:rPr>
          <w:rFonts w:cstheme="minorHAnsi"/>
        </w:rPr>
        <w:t>serves as a key indicator of the measure</w:t>
      </w:r>
      <w:r w:rsidR="00A61A48" w:rsidRPr="00167CB8">
        <w:rPr>
          <w:rFonts w:cstheme="minorHAnsi"/>
        </w:rPr>
        <w:t>’</w:t>
      </w:r>
      <w:r w:rsidRPr="00167CB8">
        <w:rPr>
          <w:rFonts w:cstheme="minorHAnsi"/>
        </w:rPr>
        <w:t xml:space="preserve">s success. To this end, the </w:t>
      </w:r>
      <w:r w:rsidR="00087839" w:rsidRPr="00167CB8">
        <w:rPr>
          <w:rFonts w:cstheme="minorHAnsi"/>
        </w:rPr>
        <w:t>Review</w:t>
      </w:r>
      <w:r w:rsidRPr="00167CB8">
        <w:rPr>
          <w:rFonts w:cstheme="minorHAnsi"/>
        </w:rPr>
        <w:t xml:space="preserve"> Panel notes the significant wage increases awarded since the </w:t>
      </w:r>
      <w:r w:rsidR="00D86F0F" w:rsidRPr="00167CB8">
        <w:rPr>
          <w:rFonts w:cstheme="minorHAnsi"/>
        </w:rPr>
        <w:t>Secure Jobs, Better Pay</w:t>
      </w:r>
      <w:r w:rsidRPr="00167CB8">
        <w:rPr>
          <w:rFonts w:cstheme="minorHAnsi"/>
        </w:rPr>
        <w:t xml:space="preserve"> amendments concerning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anels and the associated convergence in the GWG (see Chapter</w:t>
      </w:r>
      <w:r w:rsidR="00B71D8D" w:rsidRPr="00167CB8">
        <w:t> </w:t>
      </w:r>
      <w:r w:rsidR="009F034D" w:rsidRPr="00167CB8">
        <w:t>22</w:t>
      </w:r>
      <w:r w:rsidRPr="00167CB8">
        <w:rPr>
          <w:rFonts w:cstheme="minorHAnsi"/>
        </w:rPr>
        <w:t>) intended effect.</w:t>
      </w:r>
    </w:p>
    <w:p w14:paraId="240C39D2" w14:textId="6E403981" w:rsidR="009A1D5D" w:rsidRPr="00167CB8" w:rsidRDefault="0024484D" w:rsidP="009A1D5D">
      <w:pPr>
        <w:pStyle w:val="Heading5"/>
        <w:rPr>
          <w:rFonts w:asciiTheme="minorHAnsi" w:hAnsiTheme="minorHAnsi"/>
        </w:rPr>
      </w:pPr>
      <w:bookmarkStart w:id="371" w:name="_Toc188003385"/>
      <w:r w:rsidRPr="00167CB8">
        <w:rPr>
          <w:rFonts w:asciiTheme="minorHAnsi" w:hAnsiTheme="minorHAnsi"/>
        </w:rPr>
        <w:t>26</w:t>
      </w:r>
      <w:r w:rsidR="00FC04B0" w:rsidRPr="00167CB8">
        <w:rPr>
          <w:rFonts w:asciiTheme="minorHAnsi" w:hAnsiTheme="minorHAnsi"/>
        </w:rPr>
        <w:t>.2.2</w:t>
      </w:r>
      <w:r w:rsidR="009A1D5D" w:rsidRPr="00167CB8">
        <w:rPr>
          <w:rFonts w:asciiTheme="minorHAnsi" w:hAnsiTheme="minorHAnsi"/>
        </w:rPr>
        <w:t xml:space="preserve"> Qualitative </w:t>
      </w:r>
      <w:r w:rsidR="00A61A48" w:rsidRPr="00167CB8">
        <w:rPr>
          <w:rFonts w:asciiTheme="minorHAnsi" w:hAnsiTheme="minorHAnsi"/>
        </w:rPr>
        <w:t>e</w:t>
      </w:r>
      <w:r w:rsidR="009A1D5D" w:rsidRPr="00167CB8">
        <w:rPr>
          <w:rFonts w:asciiTheme="minorHAnsi" w:hAnsiTheme="minorHAnsi"/>
        </w:rPr>
        <w:t>vidence</w:t>
      </w:r>
      <w:bookmarkEnd w:id="371"/>
    </w:p>
    <w:p w14:paraId="0412F5E6" w14:textId="3CDBC0C2" w:rsidR="009A1D5D" w:rsidRPr="00167CB8" w:rsidRDefault="009A1D5D" w:rsidP="009A1D5D">
      <w:r w:rsidRPr="00167CB8">
        <w:t xml:space="preserve">In response to the </w:t>
      </w:r>
      <w:r w:rsidR="00D86F0F" w:rsidRPr="00167CB8">
        <w:rPr>
          <w:rFonts w:cstheme="minorHAnsi"/>
        </w:rPr>
        <w:t>Secure Jobs, Better Pay</w:t>
      </w:r>
      <w:r w:rsidRPr="00167CB8">
        <w:t xml:space="preserve"> amendments, the FWC issued statements about how the FWC would implement the </w:t>
      </w:r>
      <w:r w:rsidR="00A61A48" w:rsidRPr="00167CB8">
        <w:t>e</w:t>
      </w:r>
      <w:r w:rsidRPr="00167CB8">
        <w:t xml:space="preserve">xpert </w:t>
      </w:r>
      <w:r w:rsidR="00A61A48" w:rsidRPr="00167CB8">
        <w:t>p</w:t>
      </w:r>
      <w:r w:rsidRPr="00167CB8">
        <w:t xml:space="preserve">anel provisions, and the impact and relevance of </w:t>
      </w:r>
      <w:r w:rsidR="00A61A48" w:rsidRPr="00167CB8">
        <w:t>e</w:t>
      </w:r>
      <w:r w:rsidRPr="00167CB8">
        <w:t xml:space="preserve">xpert </w:t>
      </w:r>
      <w:r w:rsidR="00A61A48" w:rsidRPr="00167CB8">
        <w:t>p</w:t>
      </w:r>
      <w:r w:rsidRPr="00167CB8">
        <w:t xml:space="preserve">anels to matters before the </w:t>
      </w:r>
      <w:r w:rsidR="00A61A48" w:rsidRPr="00167CB8">
        <w:t>FWC</w:t>
      </w:r>
      <w:r w:rsidRPr="00167CB8">
        <w:t>.</w:t>
      </w:r>
      <w:r w:rsidRPr="00167CB8">
        <w:rPr>
          <w:rStyle w:val="FootnoteReference"/>
        </w:rPr>
        <w:footnoteReference w:id="865"/>
      </w:r>
      <w:r w:rsidRPr="00167CB8">
        <w:t xml:space="preserve">  </w:t>
      </w:r>
    </w:p>
    <w:p w14:paraId="66702C67" w14:textId="1B41D920" w:rsidR="009A1D5D" w:rsidRPr="00167CB8" w:rsidRDefault="009A1D5D" w:rsidP="009A1D5D">
      <w:r w:rsidRPr="00167CB8">
        <w:t xml:space="preserve">Alongside describing the </w:t>
      </w:r>
      <w:r w:rsidR="00D86F0F" w:rsidRPr="00167CB8">
        <w:rPr>
          <w:rFonts w:cstheme="minorHAnsi"/>
        </w:rPr>
        <w:t>Secure Jobs, Better Pay</w:t>
      </w:r>
      <w:r w:rsidRPr="00167CB8">
        <w:t xml:space="preserve"> amendments and the roles of the new </w:t>
      </w:r>
      <w:r w:rsidR="00A61A48" w:rsidRPr="00167CB8">
        <w:t>e</w:t>
      </w:r>
      <w:r w:rsidRPr="00167CB8">
        <w:t xml:space="preserve">xpert </w:t>
      </w:r>
      <w:r w:rsidR="00A61A48" w:rsidRPr="00167CB8">
        <w:t>p</w:t>
      </w:r>
      <w:r w:rsidRPr="00167CB8">
        <w:t xml:space="preserve">anels, the FWC noted that the Revised Explanatory Memorandum included a non-exhaustive list defining the </w:t>
      </w:r>
      <w:r w:rsidR="00A61A48" w:rsidRPr="00167CB8">
        <w:t>c</w:t>
      </w:r>
      <w:r w:rsidRPr="00167CB8">
        <w:t xml:space="preserve">are and </w:t>
      </w:r>
      <w:r w:rsidR="00A61A48" w:rsidRPr="00167CB8">
        <w:t>c</w:t>
      </w:r>
      <w:r w:rsidRPr="00167CB8">
        <w:t xml:space="preserve">ommunity </w:t>
      </w:r>
      <w:r w:rsidR="00A61A48" w:rsidRPr="00167CB8">
        <w:t>s</w:t>
      </w:r>
      <w:r w:rsidRPr="00167CB8">
        <w:t>ec</w:t>
      </w:r>
      <w:r w:rsidR="006B272C" w:rsidRPr="00167CB8">
        <w:t>t</w:t>
      </w:r>
      <w:r w:rsidRPr="00167CB8">
        <w:t>or to include aged care, early childhood education and care and disability care sectors.</w:t>
      </w:r>
      <w:r w:rsidR="00E364BD" w:rsidRPr="00167CB8">
        <w:rPr>
          <w:rStyle w:val="FootnoteReference"/>
        </w:rPr>
        <w:footnoteReference w:id="866"/>
      </w:r>
    </w:p>
    <w:p w14:paraId="78645FEE" w14:textId="7D99EA4E" w:rsidR="009A1D5D" w:rsidRPr="00167CB8" w:rsidRDefault="009A1D5D" w:rsidP="009A1D5D">
      <w:r w:rsidRPr="00167CB8">
        <w:t xml:space="preserve">At the time of commencement, the FWC identified </w:t>
      </w:r>
      <w:r w:rsidR="00A61A48" w:rsidRPr="00167CB8">
        <w:t xml:space="preserve">3 </w:t>
      </w:r>
      <w:r w:rsidRPr="00167CB8">
        <w:t xml:space="preserve">ongoing matters to be dealt with by an </w:t>
      </w:r>
      <w:r w:rsidR="00A61A48" w:rsidRPr="00167CB8">
        <w:t>e</w:t>
      </w:r>
      <w:r w:rsidRPr="00167CB8">
        <w:t xml:space="preserve">xpert </w:t>
      </w:r>
      <w:r w:rsidR="00A61A48" w:rsidRPr="00167CB8">
        <w:t>p</w:t>
      </w:r>
      <w:r w:rsidRPr="00167CB8">
        <w:t xml:space="preserve">anel for the </w:t>
      </w:r>
      <w:r w:rsidR="00A61A48" w:rsidRPr="00167CB8">
        <w:t>c</w:t>
      </w:r>
      <w:r w:rsidRPr="00167CB8">
        <w:t xml:space="preserve">are and </w:t>
      </w:r>
      <w:r w:rsidR="00A61A48" w:rsidRPr="00167CB8">
        <w:t>c</w:t>
      </w:r>
      <w:r w:rsidRPr="00167CB8">
        <w:t xml:space="preserve">ommunity </w:t>
      </w:r>
      <w:r w:rsidR="00A61A48" w:rsidRPr="00167CB8">
        <w:t>s</w:t>
      </w:r>
      <w:r w:rsidRPr="00167CB8">
        <w:t xml:space="preserve">ector as well as the need for an </w:t>
      </w:r>
      <w:r w:rsidR="00A61A48" w:rsidRPr="00167CB8">
        <w:t>e</w:t>
      </w:r>
      <w:r w:rsidRPr="00167CB8">
        <w:t xml:space="preserve">xpert </w:t>
      </w:r>
      <w:r w:rsidR="00A61A48" w:rsidRPr="00167CB8">
        <w:t>p</w:t>
      </w:r>
      <w:r w:rsidRPr="00167CB8">
        <w:t xml:space="preserve">anel for pay equity in the </w:t>
      </w:r>
      <w:r w:rsidR="00A61A48" w:rsidRPr="00167CB8">
        <w:t>c</w:t>
      </w:r>
      <w:r w:rsidRPr="00167CB8">
        <w:t xml:space="preserve">are and </w:t>
      </w:r>
      <w:r w:rsidR="00A61A48" w:rsidRPr="00167CB8">
        <w:t>c</w:t>
      </w:r>
      <w:r w:rsidRPr="00167CB8">
        <w:t xml:space="preserve">ommunity </w:t>
      </w:r>
      <w:r w:rsidR="00A61A48" w:rsidRPr="00167CB8">
        <w:t>s</w:t>
      </w:r>
      <w:r w:rsidRPr="00167CB8">
        <w:t xml:space="preserve">ector to deal with the Aged Care Work Value </w:t>
      </w:r>
      <w:r w:rsidR="00A61A48" w:rsidRPr="00167CB8">
        <w:t>c</w:t>
      </w:r>
      <w:r w:rsidRPr="00167CB8">
        <w:t>ase.</w:t>
      </w:r>
      <w:r w:rsidRPr="00167CB8">
        <w:rPr>
          <w:rStyle w:val="FootnoteReference"/>
        </w:rPr>
        <w:footnoteReference w:id="867"/>
      </w:r>
      <w:r w:rsidRPr="00167CB8">
        <w:t xml:space="preserve"> The FWC also noted that an ongoing matter to review superannuation clauses in all modern awards did not need to be made by an </w:t>
      </w:r>
      <w:r w:rsidR="00A61A48" w:rsidRPr="00167CB8">
        <w:t>e</w:t>
      </w:r>
      <w:r w:rsidRPr="00167CB8">
        <w:t xml:space="preserve">xpert </w:t>
      </w:r>
      <w:r w:rsidR="00A61A48" w:rsidRPr="00167CB8">
        <w:t>p</w:t>
      </w:r>
      <w:r w:rsidRPr="00167CB8">
        <w:t xml:space="preserve">anel for the </w:t>
      </w:r>
      <w:r w:rsidR="00A61A48" w:rsidRPr="00167CB8">
        <w:t>c</w:t>
      </w:r>
      <w:r w:rsidRPr="00167CB8">
        <w:t xml:space="preserve">are and </w:t>
      </w:r>
      <w:r w:rsidR="00A61A48" w:rsidRPr="00167CB8">
        <w:t>c</w:t>
      </w:r>
      <w:r w:rsidRPr="00167CB8">
        <w:t xml:space="preserve">ommunity </w:t>
      </w:r>
      <w:r w:rsidR="00A61A48" w:rsidRPr="00167CB8">
        <w:t>s</w:t>
      </w:r>
      <w:r w:rsidRPr="00167CB8">
        <w:t>ector</w:t>
      </w:r>
      <w:r w:rsidR="00A61A48" w:rsidRPr="00167CB8">
        <w:t>,</w:t>
      </w:r>
      <w:r w:rsidRPr="00167CB8">
        <w:t xml:space="preserve"> as the determinations were more likely to be made under s 160 </w:t>
      </w:r>
      <w:r w:rsidR="00933E51" w:rsidRPr="00167CB8">
        <w:t xml:space="preserve">of the </w:t>
      </w:r>
      <w:r w:rsidR="00E60C76" w:rsidRPr="00167CB8">
        <w:t>Fair Work Act</w:t>
      </w:r>
      <w:r w:rsidR="00933E51" w:rsidRPr="00167CB8">
        <w:t xml:space="preserve"> </w:t>
      </w:r>
      <w:r w:rsidRPr="00167CB8">
        <w:t>rather than s 157(1)</w:t>
      </w:r>
      <w:r w:rsidR="00933E51" w:rsidRPr="00167CB8">
        <w:t xml:space="preserve"> of </w:t>
      </w:r>
      <w:r w:rsidR="00946B4D" w:rsidRPr="00167CB8">
        <w:t xml:space="preserve">the </w:t>
      </w:r>
      <w:r w:rsidR="00E60C76" w:rsidRPr="00167CB8">
        <w:t>Fair Work Act</w:t>
      </w:r>
      <w:r w:rsidRPr="00167CB8">
        <w:t>.</w:t>
      </w:r>
      <w:r w:rsidRPr="00167CB8">
        <w:rPr>
          <w:rStyle w:val="FootnoteReference"/>
        </w:rPr>
        <w:footnoteReference w:id="868"/>
      </w:r>
    </w:p>
    <w:p w14:paraId="3DC1189C" w14:textId="58DC89C7" w:rsidR="009A1D5D" w:rsidRPr="00167CB8" w:rsidRDefault="0024484D" w:rsidP="009A1D5D">
      <w:pPr>
        <w:pStyle w:val="Heading5"/>
        <w:rPr>
          <w:rFonts w:asciiTheme="minorHAnsi" w:hAnsiTheme="minorHAnsi"/>
        </w:rPr>
      </w:pPr>
      <w:bookmarkStart w:id="372" w:name="_Toc188003386"/>
      <w:r w:rsidRPr="00167CB8">
        <w:rPr>
          <w:rFonts w:asciiTheme="minorHAnsi" w:hAnsiTheme="minorHAnsi"/>
        </w:rPr>
        <w:lastRenderedPageBreak/>
        <w:t>26</w:t>
      </w:r>
      <w:r w:rsidR="00FC04B0" w:rsidRPr="00167CB8">
        <w:rPr>
          <w:rFonts w:asciiTheme="minorHAnsi" w:hAnsiTheme="minorHAnsi"/>
        </w:rPr>
        <w:t>.2.3</w:t>
      </w:r>
      <w:r w:rsidR="009A1D5D" w:rsidRPr="00167CB8">
        <w:rPr>
          <w:rFonts w:asciiTheme="minorHAnsi" w:hAnsiTheme="minorHAnsi"/>
        </w:rPr>
        <w:t xml:space="preserve"> Stakeholder views</w:t>
      </w:r>
      <w:bookmarkEnd w:id="372"/>
    </w:p>
    <w:p w14:paraId="33D9E8EC" w14:textId="1CFDFF7D" w:rsidR="009A1D5D" w:rsidRPr="00167CB8" w:rsidRDefault="009A1D5D" w:rsidP="006000ED">
      <w:pPr>
        <w:rPr>
          <w:rFonts w:cstheme="minorHAnsi"/>
        </w:rPr>
      </w:pPr>
      <w:r w:rsidRPr="00167CB8">
        <w:t xml:space="preserve">The </w:t>
      </w:r>
      <w:r w:rsidR="00D86F0F" w:rsidRPr="00167CB8">
        <w:rPr>
          <w:rFonts w:cstheme="minorHAnsi"/>
        </w:rPr>
        <w:t>Secure Jobs, Better Pay</w:t>
      </w:r>
      <w:r w:rsidRPr="00167CB8">
        <w:t xml:space="preserve"> amendments regarding </w:t>
      </w:r>
      <w:r w:rsidR="00A61A48" w:rsidRPr="00167CB8">
        <w:t>e</w:t>
      </w:r>
      <w:r w:rsidRPr="00167CB8">
        <w:t xml:space="preserve">xpert </w:t>
      </w:r>
      <w:r w:rsidR="00A61A48" w:rsidRPr="00167CB8">
        <w:t>p</w:t>
      </w:r>
      <w:r w:rsidRPr="00167CB8">
        <w:t xml:space="preserve">anels and EPMs have largely been welcomed by stakeholders. One submission also suggested that </w:t>
      </w:r>
      <w:r w:rsidR="00A61A48" w:rsidRPr="00167CB8">
        <w:t>e</w:t>
      </w:r>
      <w:r w:rsidRPr="00167CB8">
        <w:t xml:space="preserve">xpert </w:t>
      </w:r>
      <w:r w:rsidR="00A61A48" w:rsidRPr="00167CB8">
        <w:t>p</w:t>
      </w:r>
      <w:r w:rsidRPr="00167CB8">
        <w:t xml:space="preserve">anels be established to address matters related to First Nations </w:t>
      </w:r>
      <w:r w:rsidR="00A61A48" w:rsidRPr="00167CB8">
        <w:t>p</w:t>
      </w:r>
      <w:r w:rsidRPr="00167CB8">
        <w:t>eoples and other equity issues such as race.</w:t>
      </w:r>
      <w:r w:rsidRPr="00167CB8">
        <w:rPr>
          <w:rStyle w:val="FootnoteReference"/>
        </w:rPr>
        <w:footnoteReference w:id="869"/>
      </w:r>
      <w:r w:rsidRPr="00167CB8">
        <w:t xml:space="preserve"> In roundtable discussions it was also suggested that additional EPMs be appointed to assist with the work of the FWC, noting that only </w:t>
      </w:r>
      <w:r w:rsidR="00A61A48" w:rsidRPr="00167CB8">
        <w:t xml:space="preserve">3 </w:t>
      </w:r>
      <w:r w:rsidRPr="00167CB8">
        <w:t xml:space="preserve">appointments have been made since the </w:t>
      </w:r>
      <w:r w:rsidR="00D86F0F" w:rsidRPr="00167CB8">
        <w:rPr>
          <w:rFonts w:cstheme="minorHAnsi"/>
        </w:rPr>
        <w:t>Secure Jobs, Better Pay</w:t>
      </w:r>
      <w:r w:rsidRPr="00167CB8">
        <w:t xml:space="preserve"> Act came into effect. </w:t>
      </w:r>
    </w:p>
    <w:p w14:paraId="49C96DD1" w14:textId="23C68461" w:rsidR="009A1D5D" w:rsidRPr="00167CB8" w:rsidRDefault="009A1D5D" w:rsidP="006000ED">
      <w:r w:rsidRPr="00167CB8">
        <w:t xml:space="preserve">Unions have recommended that gender pay equity be added as a specified area of knowledge and experience for </w:t>
      </w:r>
      <w:r w:rsidR="00A61A48" w:rsidRPr="00167CB8">
        <w:t>e</w:t>
      </w:r>
      <w:r w:rsidRPr="00167CB8">
        <w:t xml:space="preserve">xpert </w:t>
      </w:r>
      <w:r w:rsidR="00A61A48" w:rsidRPr="00167CB8">
        <w:t>p</w:t>
      </w:r>
      <w:r w:rsidRPr="00167CB8">
        <w:t xml:space="preserve">anels constituted to hear and determine the AWR. While the </w:t>
      </w:r>
      <w:r w:rsidR="00E60C76" w:rsidRPr="00167CB8">
        <w:t>Fair Work</w:t>
      </w:r>
      <w:r w:rsidRPr="00167CB8">
        <w:t xml:space="preserve"> Act does not explicitly require expertise in gender pay equity, unions note that, in recent years, the </w:t>
      </w:r>
      <w:r w:rsidR="00A61A48" w:rsidRPr="00167CB8">
        <w:t>expert p</w:t>
      </w:r>
      <w:r w:rsidRPr="00167CB8">
        <w:t>anel</w:t>
      </w:r>
      <w:r w:rsidR="00A61A48" w:rsidRPr="00167CB8">
        <w:t>’</w:t>
      </w:r>
      <w:r w:rsidRPr="00167CB8">
        <w:t>s membership has included such expertise and this has been instrumental in shaping its decisions.</w:t>
      </w:r>
      <w:r w:rsidRPr="00167CB8">
        <w:rPr>
          <w:rStyle w:val="FootnoteReference"/>
        </w:rPr>
        <w:footnoteReference w:id="870"/>
      </w:r>
    </w:p>
    <w:p w14:paraId="4F86BAB9" w14:textId="636EC339" w:rsidR="009A1D5D" w:rsidRPr="00167CB8" w:rsidRDefault="009A1D5D" w:rsidP="006000ED">
      <w:pPr>
        <w:rPr>
          <w:rFonts w:cstheme="minorHAnsi"/>
        </w:rPr>
      </w:pPr>
      <w:r w:rsidRPr="00167CB8">
        <w:rPr>
          <w:rFonts w:cstheme="minorHAnsi"/>
        </w:rPr>
        <w:t xml:space="preserve">The Review Panel was informed that an unintended consequence of the </w:t>
      </w:r>
      <w:r w:rsidR="00D86F0F" w:rsidRPr="00167CB8">
        <w:rPr>
          <w:rFonts w:cstheme="minorHAnsi"/>
        </w:rPr>
        <w:t>Secure Jobs, Better Pay</w:t>
      </w:r>
      <w:r w:rsidRPr="00167CB8">
        <w:rPr>
          <w:rFonts w:cstheme="minorHAnsi"/>
        </w:rPr>
        <w:t xml:space="preserve"> amendments is the requirement for the President to convene an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 xml:space="preserve">anel for any (major or minor) determination or modern award decision involving the </w:t>
      </w:r>
      <w:r w:rsidR="00A61A48" w:rsidRPr="00167CB8">
        <w:rPr>
          <w:rFonts w:cstheme="minorHAnsi"/>
        </w:rPr>
        <w:t>c</w:t>
      </w:r>
      <w:r w:rsidRPr="00167CB8">
        <w:rPr>
          <w:rFonts w:cstheme="minorHAnsi"/>
        </w:rPr>
        <w:t xml:space="preserve">are and </w:t>
      </w:r>
      <w:r w:rsidR="00A61A48" w:rsidRPr="00167CB8">
        <w:rPr>
          <w:rFonts w:cstheme="minorHAnsi"/>
        </w:rPr>
        <w:t>c</w:t>
      </w:r>
      <w:r w:rsidRPr="00167CB8">
        <w:rPr>
          <w:rFonts w:cstheme="minorHAnsi"/>
        </w:rPr>
        <w:t xml:space="preserve">ommunity </w:t>
      </w:r>
      <w:r w:rsidR="00A61A48" w:rsidRPr="00167CB8">
        <w:rPr>
          <w:rFonts w:cstheme="minorHAnsi"/>
        </w:rPr>
        <w:t>s</w:t>
      </w:r>
      <w:r w:rsidRPr="00167CB8">
        <w:rPr>
          <w:rFonts w:cstheme="minorHAnsi"/>
        </w:rPr>
        <w:t>ector (</w:t>
      </w:r>
      <w:r w:rsidR="00443EF8" w:rsidRPr="00167CB8">
        <w:rPr>
          <w:rFonts w:cstheme="minorHAnsi"/>
        </w:rPr>
        <w:t>s</w:t>
      </w:r>
      <w:r w:rsidR="00A61A48" w:rsidRPr="00167CB8">
        <w:rPr>
          <w:rFonts w:cstheme="minorHAnsi"/>
        </w:rPr>
        <w:t> </w:t>
      </w:r>
      <w:r w:rsidRPr="00167CB8">
        <w:rPr>
          <w:rFonts w:cstheme="minorHAnsi"/>
        </w:rPr>
        <w:t>617(8)</w:t>
      </w:r>
      <w:r w:rsidR="00443EF8" w:rsidRPr="00167CB8">
        <w:rPr>
          <w:rFonts w:cstheme="minorHAnsi"/>
        </w:rPr>
        <w:t xml:space="preserve"> and </w:t>
      </w:r>
      <w:r w:rsidRPr="00167CB8">
        <w:rPr>
          <w:rFonts w:cstheme="minorHAnsi"/>
        </w:rPr>
        <w:t xml:space="preserve">(9)). </w:t>
      </w:r>
    </w:p>
    <w:p w14:paraId="7EB63633" w14:textId="4768A6B3" w:rsidR="009A1D5D" w:rsidRPr="00167CB8" w:rsidRDefault="009A1D5D" w:rsidP="006000ED">
      <w:pPr>
        <w:rPr>
          <w:rFonts w:cstheme="minorHAnsi"/>
        </w:rPr>
      </w:pPr>
      <w:r w:rsidRPr="00167CB8">
        <w:rPr>
          <w:rFonts w:cstheme="minorHAnsi"/>
        </w:rPr>
        <w:t xml:space="preserve">There are 121 modern awards and, periodically, the FWC makes minor variations across all the awards. Under the </w:t>
      </w:r>
      <w:r w:rsidR="00D86F0F" w:rsidRPr="00167CB8">
        <w:rPr>
          <w:rFonts w:cstheme="minorHAnsi"/>
        </w:rPr>
        <w:t>Secure Jobs, Better Pay</w:t>
      </w:r>
      <w:r w:rsidRPr="00167CB8">
        <w:rPr>
          <w:rFonts w:cstheme="minorHAnsi"/>
        </w:rPr>
        <w:t xml:space="preserve"> amendments, however, a Care and Community Expert Panel must be constituted for any matter concerning this sector. The Review Panel heard that this requirement could limit the </w:t>
      </w:r>
      <w:r w:rsidR="00A61A48" w:rsidRPr="00167CB8">
        <w:rPr>
          <w:rFonts w:cstheme="minorHAnsi"/>
        </w:rPr>
        <w:t>p</w:t>
      </w:r>
      <w:r w:rsidRPr="00167CB8">
        <w:rPr>
          <w:rFonts w:cstheme="minorHAnsi"/>
        </w:rPr>
        <w:t>anel</w:t>
      </w:r>
      <w:r w:rsidR="00A61A48" w:rsidRPr="00167CB8">
        <w:rPr>
          <w:rFonts w:cstheme="minorHAnsi"/>
        </w:rPr>
        <w:t>’</w:t>
      </w:r>
      <w:r w:rsidRPr="00167CB8">
        <w:rPr>
          <w:rFonts w:cstheme="minorHAnsi"/>
        </w:rPr>
        <w:t>s capacity to focus on more substantive issues. It was therefore</w:t>
      </w:r>
      <w:r w:rsidRPr="00167CB8" w:rsidDel="009F3363">
        <w:rPr>
          <w:rFonts w:cstheme="minorHAnsi"/>
        </w:rPr>
        <w:t xml:space="preserve"> </w:t>
      </w:r>
      <w:r w:rsidR="009F3363" w:rsidRPr="00167CB8">
        <w:rPr>
          <w:rFonts w:cstheme="minorHAnsi"/>
        </w:rPr>
        <w:t>proposed</w:t>
      </w:r>
      <w:r w:rsidRPr="00167CB8">
        <w:rPr>
          <w:rFonts w:cstheme="minorHAnsi"/>
        </w:rPr>
        <w:t xml:space="preserve"> that the involvement of the Care and Community Expert Panel be reserved for cases where its input is essential and that the FWC President be granted greater discretion as to when this particular </w:t>
      </w:r>
      <w:r w:rsidR="00A61A48" w:rsidRPr="00167CB8">
        <w:rPr>
          <w:rFonts w:cstheme="minorHAnsi"/>
        </w:rPr>
        <w:t>e</w:t>
      </w:r>
      <w:r w:rsidRPr="00167CB8">
        <w:rPr>
          <w:rFonts w:cstheme="minorHAnsi"/>
        </w:rPr>
        <w:t xml:space="preserve">xpert </w:t>
      </w:r>
      <w:r w:rsidR="00A61A48" w:rsidRPr="00167CB8">
        <w:rPr>
          <w:rFonts w:cstheme="minorHAnsi"/>
        </w:rPr>
        <w:t>p</w:t>
      </w:r>
      <w:r w:rsidRPr="00167CB8">
        <w:rPr>
          <w:rFonts w:cstheme="minorHAnsi"/>
        </w:rPr>
        <w:t xml:space="preserve">anel </w:t>
      </w:r>
      <w:r w:rsidR="00A61A48" w:rsidRPr="00167CB8">
        <w:rPr>
          <w:rFonts w:cstheme="minorHAnsi"/>
        </w:rPr>
        <w:t xml:space="preserve">would </w:t>
      </w:r>
      <w:r w:rsidRPr="00167CB8">
        <w:rPr>
          <w:rFonts w:cstheme="minorHAnsi"/>
        </w:rPr>
        <w:t>be required.</w:t>
      </w:r>
    </w:p>
    <w:p w14:paraId="2F4A516B" w14:textId="0B507762" w:rsidR="009A1D5D" w:rsidRPr="00167CB8" w:rsidRDefault="0024484D" w:rsidP="009A1D5D">
      <w:pPr>
        <w:pStyle w:val="Heading4"/>
        <w:rPr>
          <w:rFonts w:asciiTheme="minorHAnsi" w:hAnsiTheme="minorHAnsi"/>
        </w:rPr>
      </w:pPr>
      <w:bookmarkStart w:id="373" w:name="_Toc188003387"/>
      <w:bookmarkStart w:id="374" w:name="_Toc188277943"/>
      <w:bookmarkStart w:id="375" w:name="_Toc189260295"/>
      <w:bookmarkStart w:id="376" w:name="_Toc189393611"/>
      <w:r w:rsidRPr="00167CB8">
        <w:rPr>
          <w:rFonts w:asciiTheme="minorHAnsi" w:hAnsiTheme="minorHAnsi"/>
        </w:rPr>
        <w:t>26</w:t>
      </w:r>
      <w:r w:rsidR="00FC04B0" w:rsidRPr="00167CB8">
        <w:rPr>
          <w:rFonts w:asciiTheme="minorHAnsi" w:hAnsiTheme="minorHAnsi"/>
        </w:rPr>
        <w:t>.3</w:t>
      </w:r>
      <w:r w:rsidR="009A1D5D" w:rsidRPr="00167CB8">
        <w:rPr>
          <w:rFonts w:asciiTheme="minorHAnsi" w:hAnsiTheme="minorHAnsi"/>
        </w:rPr>
        <w:t xml:space="preserve"> Findings </w:t>
      </w:r>
      <w:r w:rsidR="00A61A48" w:rsidRPr="00167CB8">
        <w:rPr>
          <w:rFonts w:asciiTheme="minorHAnsi" w:hAnsiTheme="minorHAnsi"/>
        </w:rPr>
        <w:t>and r</w:t>
      </w:r>
      <w:r w:rsidR="009A1D5D" w:rsidRPr="00167CB8">
        <w:rPr>
          <w:rFonts w:asciiTheme="minorHAnsi" w:hAnsiTheme="minorHAnsi"/>
        </w:rPr>
        <w:t>ecommendations</w:t>
      </w:r>
      <w:bookmarkEnd w:id="373"/>
      <w:bookmarkEnd w:id="374"/>
      <w:bookmarkEnd w:id="375"/>
      <w:bookmarkEnd w:id="376"/>
    </w:p>
    <w:p w14:paraId="51223855" w14:textId="2B514308" w:rsidR="009A1D5D" w:rsidRPr="00167CB8" w:rsidRDefault="009A1D5D" w:rsidP="006000ED">
      <w:pPr>
        <w:rPr>
          <w:rFonts w:cs="Calibri"/>
        </w:rPr>
      </w:pPr>
      <w:r w:rsidRPr="00167CB8">
        <w:rPr>
          <w:rFonts w:cs="Calibri"/>
        </w:rPr>
        <w:t xml:space="preserve">Overall, the Review Panel finds that the </w:t>
      </w:r>
      <w:r w:rsidR="00D86F0F" w:rsidRPr="00167CB8">
        <w:rPr>
          <w:rFonts w:cstheme="minorHAnsi"/>
        </w:rPr>
        <w:t>Secure Jobs, Better Pay</w:t>
      </w:r>
      <w:r w:rsidRPr="00167CB8">
        <w:rPr>
          <w:rFonts w:cs="Calibri"/>
        </w:rPr>
        <w:t xml:space="preserve"> ‘</w:t>
      </w:r>
      <w:r w:rsidR="00A61A48" w:rsidRPr="00167CB8">
        <w:rPr>
          <w:rFonts w:cs="Calibri"/>
        </w:rPr>
        <w:t>e</w:t>
      </w:r>
      <w:r w:rsidRPr="00167CB8">
        <w:rPr>
          <w:rFonts w:cs="Calibri"/>
        </w:rPr>
        <w:t xml:space="preserve">xpert </w:t>
      </w:r>
      <w:r w:rsidR="00A61A48" w:rsidRPr="00167CB8">
        <w:rPr>
          <w:rFonts w:cs="Calibri"/>
        </w:rPr>
        <w:t>p</w:t>
      </w:r>
      <w:r w:rsidRPr="00167CB8">
        <w:rPr>
          <w:rFonts w:cs="Calibri"/>
        </w:rPr>
        <w:t xml:space="preserve">anel’ amendments are generally working as intended. </w:t>
      </w:r>
    </w:p>
    <w:p w14:paraId="28D7F324" w14:textId="67856026" w:rsidR="009A1D5D" w:rsidRPr="00167CB8" w:rsidRDefault="009A1D5D" w:rsidP="006000ED">
      <w:pPr>
        <w:rPr>
          <w:rFonts w:cs="Calibri"/>
        </w:rPr>
      </w:pPr>
      <w:r w:rsidRPr="00167CB8">
        <w:rPr>
          <w:rFonts w:cs="Calibri"/>
        </w:rPr>
        <w:t xml:space="preserve">In terms of recommendations, the </w:t>
      </w:r>
      <w:r w:rsidR="0046104D" w:rsidRPr="00167CB8">
        <w:rPr>
          <w:rFonts w:cs="Calibri"/>
        </w:rPr>
        <w:t>Review</w:t>
      </w:r>
      <w:r w:rsidRPr="00167CB8">
        <w:rPr>
          <w:rFonts w:cs="Calibri"/>
        </w:rPr>
        <w:t xml:space="preserve"> Panel notes the significant value brought by having gender pay equity experts involved in </w:t>
      </w:r>
      <w:r w:rsidR="00A041FB" w:rsidRPr="00167CB8">
        <w:rPr>
          <w:rFonts w:cstheme="minorHAnsi"/>
        </w:rPr>
        <w:t xml:space="preserve">AWR </w:t>
      </w:r>
      <w:r w:rsidRPr="00167CB8">
        <w:rPr>
          <w:rFonts w:cs="Calibri"/>
        </w:rPr>
        <w:t xml:space="preserve">decisions. As above, the </w:t>
      </w:r>
      <w:r w:rsidR="00E60C76" w:rsidRPr="00167CB8">
        <w:rPr>
          <w:rFonts w:cs="Calibri"/>
        </w:rPr>
        <w:t>Fair Work Act</w:t>
      </w:r>
      <w:r w:rsidRPr="00167CB8">
        <w:rPr>
          <w:rFonts w:cs="Calibri"/>
        </w:rPr>
        <w:t xml:space="preserve"> currently requires the 3 EPMs on the </w:t>
      </w:r>
      <w:r w:rsidR="00A041FB" w:rsidRPr="00167CB8">
        <w:rPr>
          <w:rFonts w:cs="Calibri"/>
        </w:rPr>
        <w:t>AWR</w:t>
      </w:r>
      <w:r w:rsidRPr="00167CB8">
        <w:rPr>
          <w:rFonts w:cs="Calibri"/>
        </w:rPr>
        <w:t xml:space="preserve"> panel to have knowledge or experience about workplace relations, economics, social policy and/or business, industry or commerce. Including gender pay equity to this list would be an appropriate step to ensure the reforms continue to advance gender equality and send a strong signal about its ongoing importance.</w:t>
      </w:r>
    </w:p>
    <w:p w14:paraId="4B9F46CC" w14:textId="77777777" w:rsidR="00470AB9" w:rsidRPr="00167CB8" w:rsidRDefault="00470AB9" w:rsidP="005A59C8">
      <w:pPr>
        <w:rPr>
          <w:rStyle w:val="Emphasis"/>
          <w:b/>
          <w:bCs/>
          <w:i w:val="0"/>
          <w:iCs w:val="0"/>
          <w:strike/>
        </w:rPr>
      </w:pPr>
      <w:bookmarkStart w:id="377" w:name="_Toc186644577"/>
      <w:r w:rsidRPr="00167CB8">
        <w:rPr>
          <w:rStyle w:val="Emphasis"/>
          <w:b/>
          <w:bCs/>
          <w:i w:val="0"/>
          <w:iCs w:val="0"/>
        </w:rPr>
        <w:t xml:space="preserve">Draft Recommendation 13: The Australian Government amend the Fair Work Act at s 620(1)(b) to include gender pay equity as an additional area of expertise when appointing Expert Panel Members to the Annual Wage Review Expert Panel. </w:t>
      </w:r>
    </w:p>
    <w:bookmarkEnd w:id="377"/>
    <w:p w14:paraId="701F3AE4" w14:textId="295CD715" w:rsidR="009A1D5D" w:rsidRPr="00167CB8" w:rsidRDefault="009A1D5D" w:rsidP="009A1D5D">
      <w:r w:rsidRPr="00167CB8">
        <w:lastRenderedPageBreak/>
        <w:t>The</w:t>
      </w:r>
      <w:r w:rsidRPr="00167CB8" w:rsidDel="0046104D">
        <w:t xml:space="preserve"> </w:t>
      </w:r>
      <w:r w:rsidR="0046104D" w:rsidRPr="00167CB8">
        <w:t>Review</w:t>
      </w:r>
      <w:r w:rsidRPr="00167CB8">
        <w:t xml:space="preserve"> Panel also heard that the administrative burden on the FWC of needing to form a Care and Community Sector Expert Panel for all matters including care sector awards has been an unintended consequence of the </w:t>
      </w:r>
      <w:r w:rsidR="00D86F0F" w:rsidRPr="00167CB8">
        <w:rPr>
          <w:rFonts w:cstheme="minorHAnsi"/>
        </w:rPr>
        <w:t>Secure Jobs, Better Pay</w:t>
      </w:r>
      <w:r w:rsidRPr="00167CB8">
        <w:t xml:space="preserve"> amendments. The new s</w:t>
      </w:r>
      <w:r w:rsidR="00A61A48" w:rsidRPr="00167CB8">
        <w:t> </w:t>
      </w:r>
      <w:r w:rsidRPr="00167CB8">
        <w:t xml:space="preserve">617(10A) </w:t>
      </w:r>
      <w:r w:rsidR="001770A6" w:rsidRPr="00167CB8">
        <w:t xml:space="preserve">of the </w:t>
      </w:r>
      <w:r w:rsidR="00E60C76" w:rsidRPr="00167CB8">
        <w:t>Fair Work Act</w:t>
      </w:r>
      <w:r w:rsidRPr="00167CB8">
        <w:t xml:space="preserve"> makes clear that it does not matter if the </w:t>
      </w:r>
      <w:r w:rsidR="0041105C" w:rsidRPr="00167CB8">
        <w:t>matter</w:t>
      </w:r>
      <w:r w:rsidR="000726ED" w:rsidRPr="00167CB8">
        <w:t xml:space="preserve"> </w:t>
      </w:r>
      <w:r w:rsidRPr="00167CB8">
        <w:t>relate</w:t>
      </w:r>
      <w:r w:rsidR="0041105C" w:rsidRPr="00167CB8">
        <w:t>s</w:t>
      </w:r>
      <w:r w:rsidRPr="00167CB8">
        <w:t xml:space="preserve"> to another sector as well. In other words, the FWC President must form a Care and Community Sector Expert Panel for matters that might relate to the care and community sector. While this indicates that this was the intent of the </w:t>
      </w:r>
      <w:r w:rsidR="00D86F0F" w:rsidRPr="00167CB8">
        <w:rPr>
          <w:rFonts w:cstheme="minorHAnsi"/>
        </w:rPr>
        <w:t>Secure Jobs, Better Pay</w:t>
      </w:r>
      <w:r w:rsidRPr="00167CB8">
        <w:t xml:space="preserve"> amendments, the</w:t>
      </w:r>
      <w:r w:rsidRPr="00167CB8" w:rsidDel="0046104D">
        <w:t xml:space="preserve"> </w:t>
      </w:r>
      <w:r w:rsidR="0046104D" w:rsidRPr="00167CB8">
        <w:t>Review</w:t>
      </w:r>
      <w:r w:rsidRPr="00167CB8">
        <w:t xml:space="preserve"> Panel agrees that it is unnecessarily burdensome to require an </w:t>
      </w:r>
      <w:r w:rsidR="00A61A48" w:rsidRPr="00167CB8">
        <w:t>e</w:t>
      </w:r>
      <w:r w:rsidRPr="00167CB8">
        <w:t xml:space="preserve">xpert </w:t>
      </w:r>
      <w:r w:rsidR="00A61A48" w:rsidRPr="00167CB8">
        <w:t>p</w:t>
      </w:r>
      <w:r w:rsidRPr="00167CB8">
        <w:t>anel for all matters just because they involve a care and community sector award (</w:t>
      </w:r>
      <w:r w:rsidR="00A61A48" w:rsidRPr="00167CB8">
        <w:t xml:space="preserve">e.g. </w:t>
      </w:r>
      <w:r w:rsidRPr="00167CB8">
        <w:t>minor processes to update all awards to reflect legislative amendments).</w:t>
      </w:r>
    </w:p>
    <w:p w14:paraId="6D3813E3" w14:textId="1E663361" w:rsidR="009A1D5D" w:rsidRPr="00167CB8" w:rsidRDefault="00F92F9E" w:rsidP="00F92F9E">
      <w:pPr>
        <w:rPr>
          <w:rStyle w:val="Emphasis"/>
          <w:b/>
          <w:i w:val="0"/>
          <w:iCs w:val="0"/>
          <w:lang w:val="en-US"/>
        </w:rPr>
      </w:pPr>
      <w:bookmarkStart w:id="378" w:name="_Toc186644578"/>
      <w:r w:rsidRPr="00167CB8">
        <w:rPr>
          <w:rStyle w:val="Emphasis"/>
          <w:b/>
          <w:i w:val="0"/>
          <w:iCs w:val="0"/>
          <w:lang w:val="en-US"/>
        </w:rPr>
        <w:t>Draft Recommendation 14: The Fair Work Act should be amended to provide the FWC President with greater discretion in determining when a Care and Community Sector Expert Panel is required.</w:t>
      </w:r>
      <w:bookmarkEnd w:id="378"/>
      <w:r w:rsidR="00DA561E" w:rsidRPr="00167CB8">
        <w:rPr>
          <w:rStyle w:val="Emphasis"/>
          <w:b/>
          <w:i w:val="0"/>
          <w:iCs w:val="0"/>
          <w:sz w:val="24"/>
          <w:szCs w:val="24"/>
          <w:lang w:val="en-US"/>
        </w:rPr>
        <w:br w:type="page"/>
      </w:r>
    </w:p>
    <w:p w14:paraId="693760C6" w14:textId="3240A780" w:rsidR="009A1D5D" w:rsidRPr="00167CB8" w:rsidRDefault="001B77E5" w:rsidP="009A1D5D">
      <w:pPr>
        <w:pStyle w:val="Heading3"/>
        <w:rPr>
          <w:rFonts w:asciiTheme="minorHAnsi" w:hAnsiTheme="minorHAnsi"/>
        </w:rPr>
      </w:pPr>
      <w:bookmarkStart w:id="379" w:name="_Toc188003388"/>
      <w:bookmarkStart w:id="380" w:name="_Toc188277944"/>
      <w:bookmarkStart w:id="381" w:name="_Toc189260296"/>
      <w:bookmarkStart w:id="382" w:name="_Toc189393612"/>
      <w:r w:rsidRPr="00167CB8">
        <w:rPr>
          <w:rFonts w:asciiTheme="minorHAnsi" w:hAnsiTheme="minorHAnsi"/>
        </w:rPr>
        <w:lastRenderedPageBreak/>
        <w:t xml:space="preserve">Chapter </w:t>
      </w:r>
      <w:r w:rsidR="00FF5446" w:rsidRPr="00167CB8">
        <w:rPr>
          <w:rFonts w:asciiTheme="minorHAnsi" w:hAnsiTheme="minorHAnsi"/>
        </w:rPr>
        <w:t>27</w:t>
      </w:r>
      <w:r w:rsidRPr="00167CB8">
        <w:rPr>
          <w:rFonts w:asciiTheme="minorHAnsi" w:hAnsiTheme="minorHAnsi"/>
        </w:rPr>
        <w:t>.</w:t>
      </w:r>
      <w:r w:rsidR="009A1D5D" w:rsidRPr="00167CB8">
        <w:rPr>
          <w:rFonts w:asciiTheme="minorHAnsi" w:hAnsiTheme="minorHAnsi"/>
        </w:rPr>
        <w:t xml:space="preserve"> Prohibiting pay secrecy</w:t>
      </w:r>
      <w:bookmarkEnd w:id="379"/>
      <w:bookmarkEnd w:id="380"/>
      <w:bookmarkEnd w:id="381"/>
      <w:bookmarkEnd w:id="382"/>
    </w:p>
    <w:p w14:paraId="0C886B18" w14:textId="7B6996B4" w:rsidR="009A1D5D" w:rsidRPr="00167CB8" w:rsidRDefault="009A1D5D" w:rsidP="006000ED">
      <w:pPr>
        <w:rPr>
          <w:rFonts w:cstheme="minorHAnsi"/>
        </w:rPr>
      </w:pPr>
      <w:r w:rsidRPr="00167CB8">
        <w:rPr>
          <w:rFonts w:cstheme="minorHAnsi"/>
        </w:rPr>
        <w:t xml:space="preserve">In this chapter the focus is on Part 7 (Prohibiting pay secrecy) </w:t>
      </w:r>
      <w:r w:rsidR="007339D4" w:rsidRPr="00167CB8">
        <w:rPr>
          <w:rFonts w:cstheme="minorHAnsi"/>
        </w:rPr>
        <w:t xml:space="preserve">of </w:t>
      </w:r>
      <w:r w:rsidR="007A75E5" w:rsidRPr="00167CB8">
        <w:rPr>
          <w:rFonts w:cstheme="minorHAnsi"/>
        </w:rPr>
        <w:t xml:space="preserve">Schedule 1 </w:t>
      </w:r>
      <w:r w:rsidR="009C7094" w:rsidRPr="00167CB8">
        <w:rPr>
          <w:rFonts w:cstheme="minorHAnsi"/>
        </w:rPr>
        <w:t xml:space="preserve">to </w:t>
      </w:r>
      <w:r w:rsidRPr="00167CB8">
        <w:rPr>
          <w:rFonts w:cstheme="minorHAnsi"/>
        </w:rPr>
        <w:t xml:space="preserve">the </w:t>
      </w:r>
      <w:r w:rsidR="00D86F0F" w:rsidRPr="00167CB8">
        <w:rPr>
          <w:rFonts w:cstheme="minorHAnsi"/>
        </w:rPr>
        <w:t>Secure Jobs, Better Pay</w:t>
      </w:r>
      <w:r w:rsidRPr="00167CB8">
        <w:rPr>
          <w:rFonts w:cstheme="minorHAnsi"/>
        </w:rPr>
        <w:t xml:space="preserve"> Act.  </w:t>
      </w:r>
    </w:p>
    <w:p w14:paraId="68811F0E" w14:textId="69B3FB38" w:rsidR="009A1D5D" w:rsidRPr="00167CB8" w:rsidRDefault="0024484D" w:rsidP="009A1D5D">
      <w:pPr>
        <w:pStyle w:val="Heading4"/>
        <w:rPr>
          <w:rFonts w:asciiTheme="minorHAnsi" w:hAnsiTheme="minorHAnsi"/>
        </w:rPr>
      </w:pPr>
      <w:bookmarkStart w:id="383" w:name="_Toc188003389"/>
      <w:bookmarkStart w:id="384" w:name="_Toc188277945"/>
      <w:bookmarkStart w:id="385" w:name="_Toc189260297"/>
      <w:bookmarkStart w:id="386" w:name="_Toc189393613"/>
      <w:r w:rsidRPr="00167CB8">
        <w:rPr>
          <w:rFonts w:asciiTheme="minorHAnsi" w:hAnsiTheme="minorHAnsi"/>
        </w:rPr>
        <w:t>27</w:t>
      </w:r>
      <w:r w:rsidR="001B77E5" w:rsidRPr="00167CB8">
        <w:rPr>
          <w:rFonts w:asciiTheme="minorHAnsi" w:hAnsiTheme="minorHAnsi"/>
        </w:rPr>
        <w:t>.1</w:t>
      </w:r>
      <w:r w:rsidR="009A1D5D" w:rsidRPr="00167CB8">
        <w:rPr>
          <w:rFonts w:asciiTheme="minorHAnsi" w:hAnsiTheme="minorHAnsi"/>
        </w:rPr>
        <w:t xml:space="preserve"> Amendments </w:t>
      </w:r>
      <w:r w:rsidR="00477C8A" w:rsidRPr="00167CB8">
        <w:rPr>
          <w:rFonts w:asciiTheme="minorHAnsi" w:hAnsiTheme="minorHAnsi"/>
        </w:rPr>
        <w:t>and</w:t>
      </w:r>
      <w:r w:rsidR="009A1D5D" w:rsidRPr="00167CB8">
        <w:rPr>
          <w:rFonts w:asciiTheme="minorHAnsi" w:hAnsiTheme="minorHAnsi"/>
        </w:rPr>
        <w:t xml:space="preserve"> </w:t>
      </w:r>
      <w:r w:rsidR="00E117A0" w:rsidRPr="00167CB8">
        <w:rPr>
          <w:rFonts w:asciiTheme="minorHAnsi" w:hAnsiTheme="minorHAnsi"/>
        </w:rPr>
        <w:t>i</w:t>
      </w:r>
      <w:r w:rsidR="009A1D5D" w:rsidRPr="00167CB8">
        <w:rPr>
          <w:rFonts w:asciiTheme="minorHAnsi" w:hAnsiTheme="minorHAnsi"/>
        </w:rPr>
        <w:t>ntent</w:t>
      </w:r>
      <w:bookmarkEnd w:id="383"/>
      <w:bookmarkEnd w:id="384"/>
      <w:bookmarkEnd w:id="385"/>
      <w:bookmarkEnd w:id="386"/>
    </w:p>
    <w:p w14:paraId="3C9143CA" w14:textId="72184660" w:rsidR="009A1D5D" w:rsidRPr="00167CB8" w:rsidRDefault="009A1D5D" w:rsidP="006000ED">
      <w:r w:rsidRPr="00167CB8">
        <w:t>The following section describes the main provisions within this new division.</w:t>
      </w:r>
    </w:p>
    <w:p w14:paraId="2BE25ED9" w14:textId="2850C5D7" w:rsidR="009A1D5D" w:rsidRPr="00167CB8" w:rsidRDefault="0024484D" w:rsidP="009A1D5D">
      <w:pPr>
        <w:pStyle w:val="Heading5"/>
        <w:rPr>
          <w:rFonts w:asciiTheme="minorHAnsi" w:hAnsiTheme="minorHAnsi"/>
        </w:rPr>
      </w:pPr>
      <w:bookmarkStart w:id="387" w:name="_Toc188003390"/>
      <w:r w:rsidRPr="00167CB8">
        <w:rPr>
          <w:rFonts w:asciiTheme="minorHAnsi" w:hAnsiTheme="minorHAnsi"/>
        </w:rPr>
        <w:t>27</w:t>
      </w:r>
      <w:r w:rsidR="001B77E5" w:rsidRPr="00167CB8">
        <w:rPr>
          <w:rFonts w:asciiTheme="minorHAnsi" w:hAnsiTheme="minorHAnsi"/>
        </w:rPr>
        <w:t>.1.1</w:t>
      </w:r>
      <w:r w:rsidR="009A1D5D" w:rsidRPr="00167CB8">
        <w:rPr>
          <w:rFonts w:asciiTheme="minorHAnsi" w:hAnsiTheme="minorHAnsi"/>
        </w:rPr>
        <w:t xml:space="preserve"> </w:t>
      </w:r>
      <w:r w:rsidR="00D86F0F" w:rsidRPr="00167CB8">
        <w:rPr>
          <w:rFonts w:cstheme="minorHAnsi"/>
        </w:rPr>
        <w:t xml:space="preserve">Secure Jobs, Better </w:t>
      </w:r>
      <w:r w:rsidR="00D86F0F" w:rsidRPr="00167CB8" w:rsidDel="003072B8">
        <w:rPr>
          <w:rFonts w:cstheme="minorHAnsi"/>
        </w:rPr>
        <w:t>Pay</w:t>
      </w:r>
      <w:r w:rsidR="009A1D5D" w:rsidRPr="00167CB8">
        <w:rPr>
          <w:rFonts w:asciiTheme="minorHAnsi" w:hAnsiTheme="minorHAnsi"/>
        </w:rPr>
        <w:t xml:space="preserve"> </w:t>
      </w:r>
      <w:r w:rsidR="00E117A0" w:rsidRPr="00167CB8">
        <w:rPr>
          <w:rFonts w:asciiTheme="minorHAnsi" w:hAnsiTheme="minorHAnsi"/>
        </w:rPr>
        <w:t>a</w:t>
      </w:r>
      <w:r w:rsidR="009A1D5D" w:rsidRPr="00167CB8">
        <w:rPr>
          <w:rFonts w:asciiTheme="minorHAnsi" w:hAnsiTheme="minorHAnsi"/>
        </w:rPr>
        <w:t>mendments</w:t>
      </w:r>
      <w:bookmarkEnd w:id="387"/>
    </w:p>
    <w:p w14:paraId="265D62BB" w14:textId="72B7E26B" w:rsidR="009A1D5D" w:rsidRPr="00167CB8" w:rsidRDefault="009A1D5D" w:rsidP="006000ED">
      <w:pPr>
        <w:rPr>
          <w:rFonts w:cstheme="minorHAnsi"/>
        </w:rPr>
      </w:pPr>
      <w:r w:rsidRPr="00167CB8">
        <w:rPr>
          <w:rFonts w:cstheme="minorHAnsi"/>
        </w:rPr>
        <w:t xml:space="preserve">The new Division 4 (Prohibiting </w:t>
      </w:r>
      <w:r w:rsidR="00E117A0" w:rsidRPr="00167CB8">
        <w:rPr>
          <w:rFonts w:cstheme="minorHAnsi"/>
        </w:rPr>
        <w:t>p</w:t>
      </w:r>
      <w:r w:rsidRPr="00167CB8">
        <w:rPr>
          <w:rFonts w:cstheme="minorHAnsi"/>
        </w:rPr>
        <w:t xml:space="preserve">ay </w:t>
      </w:r>
      <w:r w:rsidR="00E117A0" w:rsidRPr="00167CB8">
        <w:rPr>
          <w:rFonts w:cstheme="minorHAnsi"/>
        </w:rPr>
        <w:t>s</w:t>
      </w:r>
      <w:r w:rsidRPr="00167CB8">
        <w:rPr>
          <w:rFonts w:cstheme="minorHAnsi"/>
        </w:rPr>
        <w:t>ecrecy)</w:t>
      </w:r>
      <w:r w:rsidR="00631F5A" w:rsidRPr="00167CB8">
        <w:rPr>
          <w:rFonts w:cstheme="minorHAnsi"/>
        </w:rPr>
        <w:t xml:space="preserve"> of Pa</w:t>
      </w:r>
      <w:r w:rsidR="004C73AD" w:rsidRPr="00167CB8">
        <w:rPr>
          <w:rFonts w:cstheme="minorHAnsi"/>
        </w:rPr>
        <w:t>r</w:t>
      </w:r>
      <w:r w:rsidR="00631F5A" w:rsidRPr="00167CB8">
        <w:rPr>
          <w:rFonts w:cstheme="minorHAnsi"/>
        </w:rPr>
        <w:t>t 2-</w:t>
      </w:r>
      <w:r w:rsidR="00E57874" w:rsidRPr="00167CB8">
        <w:rPr>
          <w:rFonts w:cstheme="minorHAnsi"/>
        </w:rPr>
        <w:t xml:space="preserve">9 </w:t>
      </w:r>
      <w:r w:rsidR="00631F5A" w:rsidRPr="00167CB8">
        <w:rPr>
          <w:rFonts w:cstheme="minorHAnsi"/>
        </w:rPr>
        <w:t xml:space="preserve">of the </w:t>
      </w:r>
      <w:r w:rsidR="00E60C76" w:rsidRPr="00167CB8">
        <w:rPr>
          <w:rFonts w:cstheme="minorHAnsi"/>
        </w:rPr>
        <w:t>Fair Work Act</w:t>
      </w:r>
      <w:r w:rsidR="00631F5A" w:rsidRPr="00167CB8">
        <w:rPr>
          <w:rFonts w:cstheme="minorHAnsi"/>
        </w:rPr>
        <w:t xml:space="preserve"> </w:t>
      </w:r>
      <w:r w:rsidRPr="00167CB8">
        <w:rPr>
          <w:rFonts w:cstheme="minorHAnsi"/>
        </w:rPr>
        <w:t xml:space="preserve">consists of </w:t>
      </w:r>
      <w:r w:rsidR="00E117A0" w:rsidRPr="00167CB8">
        <w:rPr>
          <w:rFonts w:cstheme="minorHAnsi"/>
        </w:rPr>
        <w:t xml:space="preserve">3 </w:t>
      </w:r>
      <w:r w:rsidRPr="00167CB8">
        <w:rPr>
          <w:rFonts w:cstheme="minorHAnsi"/>
        </w:rPr>
        <w:t xml:space="preserve">sections: </w:t>
      </w:r>
      <w:r w:rsidR="00EB7E90" w:rsidRPr="00167CB8">
        <w:rPr>
          <w:rFonts w:cstheme="minorHAnsi"/>
        </w:rPr>
        <w:t>s</w:t>
      </w:r>
      <w:r w:rsidR="00E117A0" w:rsidRPr="00167CB8">
        <w:rPr>
          <w:rFonts w:cstheme="minorHAnsi"/>
        </w:rPr>
        <w:t> </w:t>
      </w:r>
      <w:r w:rsidRPr="00167CB8">
        <w:rPr>
          <w:rFonts w:cstheme="minorHAnsi"/>
        </w:rPr>
        <w:t xml:space="preserve">333B (Employees not subject to pay secrecy), </w:t>
      </w:r>
      <w:r w:rsidR="00E57874" w:rsidRPr="00167CB8">
        <w:rPr>
          <w:rFonts w:cstheme="minorHAnsi"/>
        </w:rPr>
        <w:t>s </w:t>
      </w:r>
      <w:r w:rsidRPr="00167CB8">
        <w:rPr>
          <w:rFonts w:cstheme="minorHAnsi"/>
        </w:rPr>
        <w:t xml:space="preserve">333C (Pay secrecy terms to have no effect) and </w:t>
      </w:r>
      <w:r w:rsidR="00E57874" w:rsidRPr="00167CB8">
        <w:rPr>
          <w:rFonts w:cstheme="minorHAnsi"/>
        </w:rPr>
        <w:t>s </w:t>
      </w:r>
      <w:r w:rsidRPr="00167CB8">
        <w:rPr>
          <w:rFonts w:cstheme="minorHAnsi"/>
        </w:rPr>
        <w:t>333D (Prohibition on pay secrecy terms). The main amendments within each of these sections include:</w:t>
      </w:r>
    </w:p>
    <w:p w14:paraId="67A166BD" w14:textId="57BD02D3" w:rsidR="009A1D5D" w:rsidRPr="00167CB8" w:rsidRDefault="009A1D5D" w:rsidP="00EA3E2F">
      <w:pPr>
        <w:pStyle w:val="ListBullet"/>
        <w:rPr>
          <w:lang w:val="en-US"/>
        </w:rPr>
      </w:pPr>
      <w:r w:rsidRPr="00167CB8">
        <w:rPr>
          <w:lang w:val="en-US"/>
        </w:rPr>
        <w:t xml:space="preserve">Section 333B(1): </w:t>
      </w:r>
      <w:r w:rsidR="00A44658" w:rsidRPr="00167CB8">
        <w:rPr>
          <w:lang w:val="en-US"/>
        </w:rPr>
        <w:t>‘</w:t>
      </w:r>
      <w:r w:rsidRPr="00167CB8">
        <w:rPr>
          <w:lang w:val="en-US"/>
        </w:rPr>
        <w:t>An employee may disclose, or not disclose, any of the following information to any other person: (a) The employee’s remuneration; (b) any terms and conditions of the employee’s employment that are reasonably necessary to determine remuneration outcomes</w:t>
      </w:r>
      <w:r w:rsidR="00A44658" w:rsidRPr="00167CB8">
        <w:rPr>
          <w:lang w:val="en-US"/>
        </w:rPr>
        <w:t>’.</w:t>
      </w:r>
    </w:p>
    <w:p w14:paraId="3961471B" w14:textId="4846B0C7" w:rsidR="009A1D5D" w:rsidRPr="00167CB8" w:rsidRDefault="009A1D5D" w:rsidP="00EA3E2F">
      <w:pPr>
        <w:pStyle w:val="ListBullet"/>
        <w:rPr>
          <w:lang w:val="en-US"/>
        </w:rPr>
      </w:pPr>
      <w:r w:rsidRPr="00167CB8">
        <w:rPr>
          <w:lang w:val="en-US"/>
        </w:rPr>
        <w:t xml:space="preserve">Section 333B(2): </w:t>
      </w:r>
      <w:r w:rsidR="00A44658" w:rsidRPr="00167CB8">
        <w:rPr>
          <w:lang w:val="en-US"/>
        </w:rPr>
        <w:t>‘</w:t>
      </w:r>
      <w:r w:rsidRPr="00167CB8">
        <w:rPr>
          <w:lang w:val="en-US"/>
        </w:rPr>
        <w:t>An employee may ask any other employee (whether employed by the same employer or a different employer) about any of the following information: (a) the other employee’s remuneration; (b) any terms and conditions of the other employee’s employment that are reasonably necessary to determine remuneration outcomes</w:t>
      </w:r>
      <w:r w:rsidR="00A44658" w:rsidRPr="00167CB8">
        <w:rPr>
          <w:lang w:val="en-US"/>
        </w:rPr>
        <w:t>’</w:t>
      </w:r>
      <w:r w:rsidRPr="00167CB8">
        <w:rPr>
          <w:lang w:val="en-US"/>
        </w:rPr>
        <w:t xml:space="preserve"> (e.g. hours of work arrangements, incentives and bonus schemes)</w:t>
      </w:r>
      <w:r w:rsidR="00A44658" w:rsidRPr="00167CB8">
        <w:rPr>
          <w:lang w:val="en-US"/>
        </w:rPr>
        <w:t>.</w:t>
      </w:r>
    </w:p>
    <w:p w14:paraId="4B51B39F" w14:textId="5DB2CC1E" w:rsidR="009A1D5D" w:rsidRPr="00167CB8" w:rsidRDefault="009A1D5D" w:rsidP="00EA3E2F">
      <w:pPr>
        <w:pStyle w:val="ListBullet"/>
        <w:rPr>
          <w:lang w:val="en-US"/>
        </w:rPr>
      </w:pPr>
      <w:r w:rsidRPr="00167CB8">
        <w:rPr>
          <w:lang w:val="en-US"/>
        </w:rPr>
        <w:t xml:space="preserve">Section 333C: </w:t>
      </w:r>
      <w:r w:rsidR="00A44658" w:rsidRPr="00167CB8">
        <w:rPr>
          <w:lang w:val="en-US"/>
        </w:rPr>
        <w:t>‘</w:t>
      </w:r>
      <w:r w:rsidRPr="00167CB8">
        <w:rPr>
          <w:lang w:val="en-US"/>
        </w:rPr>
        <w:t xml:space="preserve">A term of a fair work instrument or a contract of employment has no effect to the extent that the term would be inconsistent with </w:t>
      </w:r>
      <w:r w:rsidR="00EC7DBC" w:rsidRPr="00167CB8">
        <w:rPr>
          <w:lang w:val="en-US"/>
        </w:rPr>
        <w:t>s.</w:t>
      </w:r>
      <w:r w:rsidRPr="00167CB8">
        <w:rPr>
          <w:lang w:val="en-US"/>
        </w:rPr>
        <w:t>333B(1) or (2) (about employee rights relating to pay secrecy).</w:t>
      </w:r>
      <w:r w:rsidR="00A44658" w:rsidRPr="00167CB8">
        <w:rPr>
          <w:lang w:val="en-US"/>
        </w:rPr>
        <w:t>’</w:t>
      </w:r>
    </w:p>
    <w:p w14:paraId="6AD02559" w14:textId="1DAD4FBC" w:rsidR="009A1D5D" w:rsidRPr="00167CB8" w:rsidRDefault="009A1D5D" w:rsidP="00EA3E2F">
      <w:pPr>
        <w:pStyle w:val="ListBullet"/>
        <w:rPr>
          <w:lang w:val="en-US"/>
        </w:rPr>
      </w:pPr>
      <w:r w:rsidRPr="00167CB8">
        <w:rPr>
          <w:lang w:val="en-US"/>
        </w:rPr>
        <w:t xml:space="preserve">Section 333D: </w:t>
      </w:r>
      <w:r w:rsidR="00A44658" w:rsidRPr="00167CB8">
        <w:rPr>
          <w:lang w:val="en-US"/>
        </w:rPr>
        <w:t>‘</w:t>
      </w:r>
      <w:r w:rsidRPr="00167CB8">
        <w:rPr>
          <w:lang w:val="en-US"/>
        </w:rPr>
        <w:t xml:space="preserve">An employer contravenes this section if: (a) the employer enters into a contract of employment or other written agreement with an employee; and (b) the contract or agreement includes a term that is inconsistent with </w:t>
      </w:r>
      <w:r w:rsidR="00EC7DBC" w:rsidRPr="00167CB8">
        <w:rPr>
          <w:lang w:val="en-US"/>
        </w:rPr>
        <w:t>s.</w:t>
      </w:r>
      <w:r w:rsidRPr="00167CB8">
        <w:rPr>
          <w:lang w:val="en-US"/>
        </w:rPr>
        <w:t>333B(1) or (2)</w:t>
      </w:r>
      <w:r w:rsidR="00A44658" w:rsidRPr="00167CB8">
        <w:rPr>
          <w:lang w:val="en-US"/>
        </w:rPr>
        <w:t>’.</w:t>
      </w:r>
    </w:p>
    <w:p w14:paraId="4E35B22E" w14:textId="77777777" w:rsidR="009A1D5D" w:rsidRPr="00167CB8" w:rsidRDefault="009A1D5D" w:rsidP="006000ED">
      <w:pPr>
        <w:rPr>
          <w:rFonts w:cstheme="minorHAnsi"/>
        </w:rPr>
      </w:pPr>
      <w:r w:rsidRPr="00167CB8">
        <w:rPr>
          <w:rFonts w:cstheme="minorHAnsi"/>
        </w:rPr>
        <w:t>While employers cannot limit employees from sharing information about their pay, and other employees can ask, employees are allowed to choose not to share information about their pay.</w:t>
      </w:r>
    </w:p>
    <w:p w14:paraId="7D016972" w14:textId="5B250208" w:rsidR="009A1D5D" w:rsidRPr="00167CB8" w:rsidRDefault="009A1D5D" w:rsidP="006000ED">
      <w:pPr>
        <w:rPr>
          <w:rFonts w:cstheme="minorHAnsi"/>
        </w:rPr>
      </w:pPr>
      <w:r w:rsidRPr="00167CB8">
        <w:rPr>
          <w:rFonts w:cstheme="minorHAnsi"/>
        </w:rPr>
        <w:t>If an employer includes a pay secrecy clause in a contract of employment they could be liable for a maximum penalty of $990,000 (if it is a serious contravention).</w:t>
      </w:r>
      <w:r w:rsidR="00013E9B" w:rsidRPr="00167CB8">
        <w:rPr>
          <w:rStyle w:val="FootnoteReference"/>
          <w:rFonts w:cstheme="minorHAnsi"/>
        </w:rPr>
        <w:t xml:space="preserve"> </w:t>
      </w:r>
      <w:r w:rsidR="00013E9B" w:rsidRPr="00167CB8">
        <w:rPr>
          <w:rStyle w:val="FootnoteReference"/>
          <w:rFonts w:cstheme="minorHAnsi"/>
        </w:rPr>
        <w:footnoteReference w:id="871"/>
      </w:r>
      <w:r w:rsidRPr="00167CB8">
        <w:rPr>
          <w:rFonts w:cstheme="minorHAnsi"/>
        </w:rPr>
        <w:t xml:space="preserve"> Additionally, </w:t>
      </w:r>
      <w:r w:rsidR="00D72345" w:rsidRPr="00167CB8">
        <w:rPr>
          <w:rFonts w:cstheme="minorHAnsi"/>
        </w:rPr>
        <w:t>the</w:t>
      </w:r>
      <w:r w:rsidR="00E919D7" w:rsidRPr="00167CB8">
        <w:rPr>
          <w:rFonts w:cstheme="minorHAnsi"/>
        </w:rPr>
        <w:t xml:space="preserve"> clause </w:t>
      </w:r>
      <w:r w:rsidR="00D72345" w:rsidRPr="00167CB8">
        <w:rPr>
          <w:rFonts w:cstheme="minorHAnsi"/>
        </w:rPr>
        <w:t>will be void</w:t>
      </w:r>
      <w:r w:rsidRPr="00167CB8">
        <w:rPr>
          <w:rFonts w:cstheme="minorHAnsi"/>
        </w:rPr>
        <w:t>.</w:t>
      </w:r>
      <w:r w:rsidR="00D45DAC" w:rsidRPr="00167CB8">
        <w:rPr>
          <w:rStyle w:val="FootnoteReference"/>
          <w:rFonts w:cstheme="minorHAnsi"/>
        </w:rPr>
        <w:footnoteReference w:id="872"/>
      </w:r>
    </w:p>
    <w:p w14:paraId="739FB36A" w14:textId="407CEE4F" w:rsidR="009A1D5D" w:rsidRPr="00167CB8" w:rsidRDefault="00940134" w:rsidP="006000ED">
      <w:pPr>
        <w:rPr>
          <w:rFonts w:cstheme="minorHAnsi"/>
        </w:rPr>
      </w:pPr>
      <w:r w:rsidRPr="00167CB8">
        <w:rPr>
          <w:rFonts w:cstheme="minorHAnsi"/>
        </w:rPr>
        <w:t xml:space="preserve">Amendments made by this part of the </w:t>
      </w:r>
      <w:r w:rsidR="00D86F0F" w:rsidRPr="00167CB8">
        <w:rPr>
          <w:rFonts w:cstheme="minorHAnsi"/>
        </w:rPr>
        <w:t>Secure Jobs, Better Pay</w:t>
      </w:r>
      <w:r w:rsidRPr="00167CB8">
        <w:rPr>
          <w:rFonts w:cstheme="minorHAnsi"/>
        </w:rPr>
        <w:t xml:space="preserve"> Act took</w:t>
      </w:r>
      <w:r w:rsidR="009A1D5D" w:rsidRPr="00167CB8">
        <w:rPr>
          <w:rFonts w:cstheme="minorHAnsi"/>
        </w:rPr>
        <w:t xml:space="preserve"> effect from 7 December 2022. </w:t>
      </w:r>
      <w:r w:rsidR="007F4B5A" w:rsidRPr="00167CB8">
        <w:rPr>
          <w:rFonts w:cstheme="minorHAnsi"/>
        </w:rPr>
        <w:t>Generally, t</w:t>
      </w:r>
      <w:r w:rsidR="009A1D5D" w:rsidRPr="00167CB8">
        <w:rPr>
          <w:rFonts w:cstheme="minorHAnsi"/>
        </w:rPr>
        <w:t xml:space="preserve">he </w:t>
      </w:r>
      <w:r w:rsidR="00C77CDD" w:rsidRPr="00167CB8">
        <w:rPr>
          <w:rFonts w:cstheme="minorHAnsi"/>
        </w:rPr>
        <w:t xml:space="preserve">new </w:t>
      </w:r>
      <w:r w:rsidR="009A1D5D" w:rsidRPr="00167CB8">
        <w:rPr>
          <w:rFonts w:cstheme="minorHAnsi"/>
        </w:rPr>
        <w:t xml:space="preserve">workplace rights at </w:t>
      </w:r>
      <w:r w:rsidR="00EC7DBC" w:rsidRPr="00167CB8">
        <w:rPr>
          <w:rFonts w:cstheme="minorHAnsi"/>
        </w:rPr>
        <w:t>s</w:t>
      </w:r>
      <w:r w:rsidR="00A44658" w:rsidRPr="00167CB8">
        <w:rPr>
          <w:rFonts w:cstheme="minorHAnsi"/>
        </w:rPr>
        <w:t> </w:t>
      </w:r>
      <w:r w:rsidR="009A1D5D" w:rsidRPr="00167CB8">
        <w:rPr>
          <w:rFonts w:cstheme="minorHAnsi"/>
        </w:rPr>
        <w:t xml:space="preserve">333B </w:t>
      </w:r>
      <w:r w:rsidR="00BE27A0" w:rsidRPr="00167CB8">
        <w:rPr>
          <w:rFonts w:cstheme="minorHAnsi"/>
        </w:rPr>
        <w:t xml:space="preserve">of the Fair Work Act </w:t>
      </w:r>
      <w:r w:rsidR="009A1D5D" w:rsidRPr="00167CB8">
        <w:rPr>
          <w:rFonts w:cstheme="minorHAnsi"/>
        </w:rPr>
        <w:t>do not apply to employment contracts entered into before 7 December 2022 and employees will not have this right until those contracts are varied.</w:t>
      </w:r>
    </w:p>
    <w:p w14:paraId="50B2F087" w14:textId="13CF35E7" w:rsidR="009A1D5D" w:rsidRPr="00167CB8" w:rsidRDefault="0024484D" w:rsidP="009A1D5D">
      <w:pPr>
        <w:pStyle w:val="Heading5"/>
        <w:rPr>
          <w:rFonts w:asciiTheme="minorHAnsi" w:hAnsiTheme="minorHAnsi"/>
        </w:rPr>
      </w:pPr>
      <w:bookmarkStart w:id="388" w:name="_Toc188003391"/>
      <w:r w:rsidRPr="00167CB8">
        <w:rPr>
          <w:rFonts w:asciiTheme="minorHAnsi" w:hAnsiTheme="minorHAnsi"/>
        </w:rPr>
        <w:t>27</w:t>
      </w:r>
      <w:r w:rsidR="001B77E5" w:rsidRPr="00167CB8">
        <w:rPr>
          <w:rFonts w:asciiTheme="minorHAnsi" w:hAnsiTheme="minorHAnsi"/>
        </w:rPr>
        <w:t>.1.2</w:t>
      </w:r>
      <w:r w:rsidR="009A1D5D" w:rsidRPr="00167CB8">
        <w:rPr>
          <w:rFonts w:asciiTheme="minorHAnsi" w:hAnsiTheme="minorHAnsi"/>
        </w:rPr>
        <w:t xml:space="preserve"> Intent of </w:t>
      </w:r>
      <w:r w:rsidR="00D86F0F" w:rsidRPr="00167CB8">
        <w:rPr>
          <w:rFonts w:cstheme="minorHAnsi"/>
        </w:rPr>
        <w:t xml:space="preserve">Secure Jobs, Better </w:t>
      </w:r>
      <w:r w:rsidR="00A44658" w:rsidRPr="00167CB8">
        <w:rPr>
          <w:rFonts w:asciiTheme="minorHAnsi" w:hAnsiTheme="minorHAnsi"/>
        </w:rPr>
        <w:t>a</w:t>
      </w:r>
      <w:r w:rsidR="009A1D5D" w:rsidRPr="00167CB8">
        <w:rPr>
          <w:rFonts w:asciiTheme="minorHAnsi" w:hAnsiTheme="minorHAnsi"/>
        </w:rPr>
        <w:t>mendments</w:t>
      </w:r>
      <w:bookmarkEnd w:id="388"/>
    </w:p>
    <w:p w14:paraId="3D700D17" w14:textId="79C831B7" w:rsidR="00B813E6" w:rsidRPr="00167CB8" w:rsidRDefault="00B813E6" w:rsidP="006000ED">
      <w:pPr>
        <w:rPr>
          <w:rFonts w:cstheme="minorHAnsi"/>
        </w:rPr>
      </w:pPr>
      <w:r w:rsidRPr="00167CB8">
        <w:rPr>
          <w:rFonts w:cstheme="minorHAnsi"/>
        </w:rPr>
        <w:t xml:space="preserve">These </w:t>
      </w:r>
      <w:r w:rsidR="00D86F0F" w:rsidRPr="00167CB8">
        <w:rPr>
          <w:rFonts w:cstheme="minorHAnsi"/>
        </w:rPr>
        <w:t>Secure Jobs, Better Pay</w:t>
      </w:r>
      <w:r w:rsidRPr="00167CB8">
        <w:rPr>
          <w:rFonts w:cstheme="minorHAnsi"/>
        </w:rPr>
        <w:t xml:space="preserve"> amendments intend to enhance pay transparency in the labour market by empowering individuals and representative organisations (e.g. unions) with better </w:t>
      </w:r>
      <w:r w:rsidRPr="00167CB8">
        <w:rPr>
          <w:rFonts w:cstheme="minorHAnsi"/>
        </w:rPr>
        <w:lastRenderedPageBreak/>
        <w:t>information for pay negotiations.</w:t>
      </w:r>
      <w:r w:rsidRPr="00167CB8">
        <w:rPr>
          <w:rFonts w:cstheme="minorHAnsi"/>
          <w:vertAlign w:val="superscript"/>
        </w:rPr>
        <w:footnoteReference w:id="873"/>
      </w:r>
      <w:r w:rsidRPr="00167CB8">
        <w:rPr>
          <w:rFonts w:cstheme="minorHAnsi"/>
        </w:rPr>
        <w:t xml:space="preserve"> Prior to these amendments employers could enforce pay secrecy clauses in employment contracts, preventing employees from comparing their pay and conditions with others and giving employers an upper hand in negotiations.</w:t>
      </w:r>
    </w:p>
    <w:p w14:paraId="7BC2512B" w14:textId="10283C4F" w:rsidR="009A1D5D" w:rsidRPr="00167CB8" w:rsidRDefault="009A1D5D" w:rsidP="006000ED">
      <w:pPr>
        <w:rPr>
          <w:rFonts w:cstheme="minorHAnsi"/>
        </w:rPr>
      </w:pPr>
      <w:r w:rsidRPr="00167CB8">
        <w:rPr>
          <w:rFonts w:cstheme="minorHAnsi"/>
        </w:rPr>
        <w:t>Any orthodox introductory economics text will explain that, for markets to work effectively</w:t>
      </w:r>
      <w:r w:rsidR="00A44658" w:rsidRPr="00167CB8">
        <w:rPr>
          <w:rFonts w:cstheme="minorHAnsi"/>
        </w:rPr>
        <w:t>,</w:t>
      </w:r>
      <w:r w:rsidRPr="00167CB8">
        <w:rPr>
          <w:rFonts w:cstheme="minorHAnsi"/>
        </w:rPr>
        <w:t xml:space="preserve"> it is important that its participants are well informed. There are many sources of market failure, including market power, information asymmetry, factor immobility and inequity. Each source of market failure disrupts market efficiency and may warrant government interventions to improve outcomes.</w:t>
      </w:r>
    </w:p>
    <w:p w14:paraId="68B0CE90" w14:textId="5D84DA71" w:rsidR="009A1D5D" w:rsidRPr="00167CB8" w:rsidRDefault="009A1D5D" w:rsidP="006000ED">
      <w:pPr>
        <w:rPr>
          <w:rFonts w:cstheme="minorHAnsi"/>
        </w:rPr>
      </w:pPr>
      <w:r w:rsidRPr="00167CB8">
        <w:rPr>
          <w:rFonts w:cstheme="minorHAnsi"/>
        </w:rPr>
        <w:t xml:space="preserve">Key sources of market failure in labour markets include imbalances in bargaining power between employers and employees, which can suppress wages and working conditions. Pay secrecy policies further exacerbate this by limiting transparency and preventing workers from identifying wage disparities. A lack of information on prevailing wage rates can hinder workers’ ability to negotiate fair pay. Additionally, cultural norms and historical undervaluation of wages in certain sectors, particularly those dominated by women or minorities, perpetuate inequities and inefficiencies in labour market outcomes. These factors distort the allocation of labour and contribute to persistent disparities in earnings and opportunities (see also </w:t>
      </w:r>
      <w:r w:rsidRPr="00167CB8">
        <w:t>Chapter</w:t>
      </w:r>
      <w:r w:rsidR="00505445" w:rsidRPr="00167CB8">
        <w:t> </w:t>
      </w:r>
      <w:r w:rsidR="009F034D" w:rsidRPr="00167CB8">
        <w:t>22</w:t>
      </w:r>
      <w:r w:rsidRPr="00167CB8">
        <w:rPr>
          <w:rFonts w:cstheme="minorHAnsi"/>
        </w:rPr>
        <w:t>, for a discussion of gender-based undervaluation of work).</w:t>
      </w:r>
    </w:p>
    <w:p w14:paraId="61F15289" w14:textId="0AB7FA12" w:rsidR="009A1D5D" w:rsidRPr="00167CB8" w:rsidRDefault="009A1D5D" w:rsidP="006000ED">
      <w:pPr>
        <w:rPr>
          <w:rFonts w:cstheme="minorHAnsi"/>
        </w:rPr>
      </w:pPr>
      <w:r w:rsidRPr="00167CB8">
        <w:t>In a recent report on pay transparency</w:t>
      </w:r>
      <w:r w:rsidR="00EA1AB0" w:rsidRPr="00167CB8">
        <w:t>,</w:t>
      </w:r>
      <w:r w:rsidRPr="00167CB8">
        <w:t xml:space="preserve"> the OECD notes that </w:t>
      </w:r>
      <w:r w:rsidR="00A44658" w:rsidRPr="00167CB8">
        <w:t>‘</w:t>
      </w:r>
      <w:r w:rsidRPr="00167CB8">
        <w:t xml:space="preserve">80% of the gender wage gap … is attributable to pay inequity </w:t>
      </w:r>
      <w:r w:rsidRPr="00167CB8">
        <w:rPr>
          <w:i/>
          <w:iCs/>
        </w:rPr>
        <w:t xml:space="preserve">within </w:t>
      </w:r>
      <w:r w:rsidRPr="00167CB8">
        <w:t>firms</w:t>
      </w:r>
      <w:r w:rsidR="0097731E">
        <w:t>.</w:t>
      </w:r>
      <w:r w:rsidR="00A44658" w:rsidRPr="00167CB8">
        <w:t>’</w:t>
      </w:r>
      <w:r w:rsidRPr="00167CB8">
        <w:t xml:space="preserve"> </w:t>
      </w:r>
      <w:r w:rsidR="00A44658" w:rsidRPr="00167CB8">
        <w:t xml:space="preserve">It goes </w:t>
      </w:r>
      <w:r w:rsidRPr="00167CB8">
        <w:t>on to say</w:t>
      </w:r>
      <w:r w:rsidR="00A44658" w:rsidRPr="00167CB8">
        <w:t>,</w:t>
      </w:r>
      <w:r w:rsidRPr="00167CB8">
        <w:t xml:space="preserve"> </w:t>
      </w:r>
      <w:r w:rsidR="00A44658" w:rsidRPr="00167CB8">
        <w:t>‘</w:t>
      </w:r>
      <w:r w:rsidRPr="00167CB8">
        <w:t xml:space="preserve">It is, however, very difficult </w:t>
      </w:r>
      <w:r w:rsidR="00A44658" w:rsidRPr="00167CB8">
        <w:t>.</w:t>
      </w:r>
      <w:r w:rsidRPr="00167CB8">
        <w:t xml:space="preserve">.. for an </w:t>
      </w:r>
      <w:r w:rsidRPr="00167CB8">
        <w:rPr>
          <w:i/>
          <w:iCs/>
        </w:rPr>
        <w:t xml:space="preserve">individual </w:t>
      </w:r>
      <w:r w:rsidRPr="00167CB8">
        <w:t>worker to know whether she or he is being underpaid – and with whom their salary should be compared</w:t>
      </w:r>
      <w:r w:rsidR="00A44658" w:rsidRPr="00167CB8">
        <w:t>’</w:t>
      </w:r>
      <w:r w:rsidRPr="00167CB8">
        <w:t>.</w:t>
      </w:r>
      <w:r w:rsidRPr="00167CB8">
        <w:rPr>
          <w:rStyle w:val="FootnoteReference"/>
        </w:rPr>
        <w:footnoteReference w:id="874"/>
      </w:r>
      <w:r w:rsidRPr="00167CB8">
        <w:t xml:space="preserve"> </w:t>
      </w:r>
    </w:p>
    <w:p w14:paraId="2C7C4581" w14:textId="3EA82EA0" w:rsidR="009A1D5D" w:rsidRPr="00167CB8" w:rsidRDefault="009A1D5D" w:rsidP="006000ED">
      <w:pPr>
        <w:rPr>
          <w:rFonts w:cstheme="minorHAnsi"/>
        </w:rPr>
      </w:pPr>
      <w:r w:rsidRPr="00167CB8">
        <w:t>Globally</w:t>
      </w:r>
      <w:r w:rsidR="00401737" w:rsidRPr="00167CB8">
        <w:t>,</w:t>
      </w:r>
      <w:r w:rsidRPr="00167CB8">
        <w:t xml:space="preserve"> pay transparency laws are increasingly being adopted as a way of reducing the gender wage gap.</w:t>
      </w:r>
      <w:r w:rsidRPr="00167CB8">
        <w:rPr>
          <w:rStyle w:val="FootnoteReference"/>
        </w:rPr>
        <w:footnoteReference w:id="875"/>
      </w:r>
      <w:r w:rsidRPr="00167CB8">
        <w:t xml:space="preserve"> In the UK</w:t>
      </w:r>
      <w:r w:rsidR="00A44658" w:rsidRPr="00167CB8">
        <w:t>,</w:t>
      </w:r>
      <w:r w:rsidRPr="00167CB8">
        <w:t xml:space="preserve"> employers with 250 or more employees have been required to publicly report their gender pay gaps since 2017.</w:t>
      </w:r>
      <w:r w:rsidRPr="00167CB8">
        <w:rPr>
          <w:rStyle w:val="FootnoteReference"/>
        </w:rPr>
        <w:footnoteReference w:id="876"/>
      </w:r>
      <w:r w:rsidRPr="00167CB8">
        <w:t xml:space="preserve"> In Australia, following changes to the </w:t>
      </w:r>
      <w:r w:rsidRPr="00167CB8">
        <w:rPr>
          <w:i/>
          <w:iCs/>
        </w:rPr>
        <w:t>Workplace Gender Equality Act 2012</w:t>
      </w:r>
      <w:r w:rsidRPr="00167CB8">
        <w:t xml:space="preserve"> </w:t>
      </w:r>
      <w:r w:rsidR="00A44658" w:rsidRPr="00167CB8">
        <w:t xml:space="preserve">(Cth) </w:t>
      </w:r>
      <w:r w:rsidRPr="00167CB8">
        <w:t>in March 2023, from February 2024 the Workplace Gender Equality Agency (WGEA) began publishing, on an annual basis, the gender pay gaps for private sector employers and Commonwealth public sector organisations with 100 or more employees.</w:t>
      </w:r>
      <w:r w:rsidRPr="00167CB8">
        <w:rPr>
          <w:rStyle w:val="FootnoteReference"/>
        </w:rPr>
        <w:footnoteReference w:id="877"/>
      </w:r>
      <w:r w:rsidRPr="00167CB8">
        <w:t xml:space="preserve"> </w:t>
      </w:r>
    </w:p>
    <w:p w14:paraId="36832F4C" w14:textId="62AFDB48" w:rsidR="009A1D5D" w:rsidRPr="00167CB8" w:rsidRDefault="009A1D5D" w:rsidP="009A1D5D">
      <w:pPr>
        <w:rPr>
          <w:color w:val="777778" w:themeColor="accent5"/>
        </w:rPr>
      </w:pPr>
      <w:r w:rsidRPr="00167CB8">
        <w:t>The European Union (EU) also has a new ‘Pay Transparency Directive’</w:t>
      </w:r>
      <w:r w:rsidR="00A44658" w:rsidRPr="00167CB8">
        <w:t>,</w:t>
      </w:r>
      <w:r w:rsidRPr="00167CB8">
        <w:t xml:space="preserve"> with member states expected to translate this into national law by 2026. It includes a new right for employees (irrespective of the size of the company) to request information from their employer on average pay, by sex, for categories of workers doing the same work or work of equal value.</w:t>
      </w:r>
      <w:r w:rsidRPr="00167CB8">
        <w:rPr>
          <w:rStyle w:val="FootnoteReference"/>
        </w:rPr>
        <w:footnoteReference w:id="878"/>
      </w:r>
    </w:p>
    <w:p w14:paraId="61BA4163" w14:textId="1E288BEC" w:rsidR="009A1D5D" w:rsidRPr="00167CB8" w:rsidRDefault="0024484D" w:rsidP="009A1D5D">
      <w:pPr>
        <w:pStyle w:val="Heading4"/>
        <w:rPr>
          <w:rFonts w:asciiTheme="minorHAnsi" w:hAnsiTheme="minorHAnsi"/>
        </w:rPr>
      </w:pPr>
      <w:bookmarkStart w:id="389" w:name="_Toc188003392"/>
      <w:bookmarkStart w:id="390" w:name="_Toc188277946"/>
      <w:bookmarkStart w:id="391" w:name="_Toc189260298"/>
      <w:bookmarkStart w:id="392" w:name="_Toc189393614"/>
      <w:r w:rsidRPr="00167CB8">
        <w:rPr>
          <w:rFonts w:asciiTheme="minorHAnsi" w:hAnsiTheme="minorHAnsi"/>
        </w:rPr>
        <w:lastRenderedPageBreak/>
        <w:t>27</w:t>
      </w:r>
      <w:r w:rsidR="001B77E5" w:rsidRPr="00167CB8">
        <w:rPr>
          <w:rFonts w:asciiTheme="minorHAnsi" w:hAnsiTheme="minorHAnsi"/>
        </w:rPr>
        <w:t>.2</w:t>
      </w:r>
      <w:r w:rsidR="009A1D5D" w:rsidRPr="00167CB8">
        <w:rPr>
          <w:rFonts w:asciiTheme="minorHAnsi" w:hAnsiTheme="minorHAnsi"/>
        </w:rPr>
        <w:t xml:space="preserve"> Impact </w:t>
      </w:r>
      <w:r w:rsidR="00A44658" w:rsidRPr="00167CB8">
        <w:rPr>
          <w:rFonts w:asciiTheme="minorHAnsi" w:hAnsiTheme="minorHAnsi"/>
        </w:rPr>
        <w:t>and i</w:t>
      </w:r>
      <w:r w:rsidR="009A1D5D" w:rsidRPr="00167CB8">
        <w:rPr>
          <w:rFonts w:asciiTheme="minorHAnsi" w:hAnsiTheme="minorHAnsi"/>
        </w:rPr>
        <w:t>ssues</w:t>
      </w:r>
      <w:bookmarkEnd w:id="389"/>
      <w:bookmarkEnd w:id="390"/>
      <w:bookmarkEnd w:id="391"/>
      <w:bookmarkEnd w:id="392"/>
    </w:p>
    <w:p w14:paraId="416B5772" w14:textId="77777777" w:rsidR="009A1D5D" w:rsidRPr="00167CB8" w:rsidRDefault="009A1D5D" w:rsidP="006000ED">
      <w:r w:rsidRPr="00167CB8">
        <w:t>The following describes the data and information considered by the Review Panel when evaluating the amendments discussed above.</w:t>
      </w:r>
    </w:p>
    <w:p w14:paraId="4E067A25" w14:textId="5D2F905B" w:rsidR="009A1D5D" w:rsidRPr="00167CB8" w:rsidRDefault="0024484D" w:rsidP="009A1D5D">
      <w:pPr>
        <w:pStyle w:val="Heading5"/>
        <w:rPr>
          <w:rFonts w:asciiTheme="minorHAnsi" w:hAnsiTheme="minorHAnsi"/>
        </w:rPr>
      </w:pPr>
      <w:bookmarkStart w:id="393" w:name="_Toc188003393"/>
      <w:r w:rsidRPr="00167CB8">
        <w:rPr>
          <w:rFonts w:asciiTheme="minorHAnsi" w:hAnsiTheme="minorHAnsi"/>
        </w:rPr>
        <w:t>27</w:t>
      </w:r>
      <w:r w:rsidR="001B77E5" w:rsidRPr="00167CB8">
        <w:rPr>
          <w:rFonts w:asciiTheme="minorHAnsi" w:hAnsiTheme="minorHAnsi"/>
        </w:rPr>
        <w:t>.2.1</w:t>
      </w:r>
      <w:r w:rsidR="009A1D5D" w:rsidRPr="00167CB8">
        <w:rPr>
          <w:rFonts w:asciiTheme="minorHAnsi" w:hAnsiTheme="minorHAnsi"/>
        </w:rPr>
        <w:t xml:space="preserve"> Quantitative </w:t>
      </w:r>
      <w:r w:rsidR="00A44658" w:rsidRPr="00167CB8">
        <w:rPr>
          <w:rFonts w:asciiTheme="minorHAnsi" w:hAnsiTheme="minorHAnsi"/>
        </w:rPr>
        <w:t>e</w:t>
      </w:r>
      <w:r w:rsidR="009A1D5D" w:rsidRPr="00167CB8">
        <w:rPr>
          <w:rFonts w:asciiTheme="minorHAnsi" w:hAnsiTheme="minorHAnsi"/>
        </w:rPr>
        <w:t>vidence</w:t>
      </w:r>
      <w:bookmarkEnd w:id="393"/>
    </w:p>
    <w:p w14:paraId="6988AD17" w14:textId="74962BE0" w:rsidR="009A1D5D" w:rsidRPr="00167CB8" w:rsidRDefault="009A1D5D" w:rsidP="006000ED">
      <w:r w:rsidRPr="00167CB8">
        <w:t>At the outset it is important to note that there is a dearth of information on the effects of these new pay secrecy laws on wage relativities in Australia. To the extent that there is relevant data</w:t>
      </w:r>
      <w:r w:rsidR="00A46F98" w:rsidRPr="00167CB8">
        <w:t>,</w:t>
      </w:r>
      <w:r w:rsidRPr="00167CB8">
        <w:t xml:space="preserve"> the Review Panel notes data from the FWO showing that in 2022</w:t>
      </w:r>
      <w:r w:rsidR="00A44658" w:rsidRPr="00167CB8">
        <w:rPr>
          <w:rFonts w:ascii="Symbol" w:eastAsia="Symbol" w:hAnsi="Symbol" w:cs="Symbol"/>
        </w:rPr>
        <w:sym w:font="Symbol" w:char="F02D"/>
      </w:r>
      <w:r w:rsidRPr="00167CB8">
        <w:t>23 and 2023</w:t>
      </w:r>
      <w:r w:rsidR="00A44658" w:rsidRPr="00167CB8">
        <w:rPr>
          <w:rFonts w:ascii="Symbol" w:eastAsia="Symbol" w:hAnsi="Symbol" w:cs="Symbol"/>
        </w:rPr>
        <w:sym w:font="Symbol" w:char="F02D"/>
      </w:r>
      <w:r w:rsidRPr="00167CB8">
        <w:t xml:space="preserve">24 their online resources for pay secrecy, job ads and flexible work on the FWO’s website had almost 140,000 page views or downloads. This suggests </w:t>
      </w:r>
      <w:r w:rsidR="00A44658" w:rsidRPr="00167CB8">
        <w:t xml:space="preserve">there is a </w:t>
      </w:r>
      <w:r w:rsidRPr="00167CB8">
        <w:t xml:space="preserve">growing awareness </w:t>
      </w:r>
      <w:r w:rsidR="00A44658" w:rsidRPr="00167CB8">
        <w:t xml:space="preserve">on the part of </w:t>
      </w:r>
      <w:r w:rsidRPr="00167CB8">
        <w:t>employee</w:t>
      </w:r>
      <w:r w:rsidR="004F0E8D" w:rsidRPr="00167CB8">
        <w:t xml:space="preserve">s </w:t>
      </w:r>
      <w:r w:rsidR="00A44658" w:rsidRPr="00167CB8">
        <w:t xml:space="preserve">of </w:t>
      </w:r>
      <w:r w:rsidRPr="00167CB8">
        <w:t xml:space="preserve">new rights concerning pay secrecy. In the same period, the FWO received </w:t>
      </w:r>
      <w:r w:rsidR="00F51E14" w:rsidRPr="00167CB8">
        <w:t>7</w:t>
      </w:r>
      <w:r w:rsidRPr="00167CB8">
        <w:t xml:space="preserve"> requests for assistance and commenced </w:t>
      </w:r>
      <w:r w:rsidR="00404AA0" w:rsidRPr="00167CB8">
        <w:t>1</w:t>
      </w:r>
      <w:r w:rsidRPr="00167CB8">
        <w:t xml:space="preserve"> investigation</w:t>
      </w:r>
      <w:r w:rsidR="004F0E8D" w:rsidRPr="00167CB8">
        <w:t xml:space="preserve"> in relation to pay secrecy</w:t>
      </w:r>
      <w:r w:rsidRPr="00167CB8">
        <w:t xml:space="preserve">. As </w:t>
      </w:r>
      <w:r w:rsidR="00946164" w:rsidRPr="00167CB8">
        <w:t>of 31 October 2024</w:t>
      </w:r>
      <w:r w:rsidRPr="00167CB8">
        <w:t xml:space="preserve">, the FWO has not issued any infringement notices, compliance notices or enforceable undertakings or commenced litigation </w:t>
      </w:r>
      <w:r w:rsidR="007E0FDB" w:rsidRPr="00167CB8">
        <w:t xml:space="preserve">in relation to </w:t>
      </w:r>
      <w:r w:rsidRPr="00167CB8">
        <w:t>the</w:t>
      </w:r>
      <w:r w:rsidR="007E0FDB" w:rsidRPr="00167CB8">
        <w:t>se</w:t>
      </w:r>
      <w:r w:rsidRPr="00167CB8">
        <w:t xml:space="preserve"> </w:t>
      </w:r>
      <w:r w:rsidR="007E0FDB" w:rsidRPr="00167CB8">
        <w:t>p</w:t>
      </w:r>
      <w:r w:rsidRPr="00167CB8">
        <w:t>rovisions.</w:t>
      </w:r>
    </w:p>
    <w:p w14:paraId="3B65286B" w14:textId="4F13017F" w:rsidR="009A1D5D" w:rsidRPr="00167CB8" w:rsidRDefault="009A1D5D" w:rsidP="009A1D5D">
      <w:r w:rsidRPr="00167CB8">
        <w:t xml:space="preserve">The Review Panel also notes that the </w:t>
      </w:r>
      <w:r w:rsidR="00A44658" w:rsidRPr="00167CB8">
        <w:t xml:space="preserve">WGEA’s </w:t>
      </w:r>
      <w:r w:rsidRPr="00167CB8">
        <w:t>latest round of reporting shows more employers are conducting gender pay gap analysis and are reporting the gaps to their employees.</w:t>
      </w:r>
      <w:r w:rsidRPr="00167CB8">
        <w:rPr>
          <w:rStyle w:val="FootnoteReference"/>
        </w:rPr>
        <w:footnoteReference w:id="879"/>
      </w:r>
      <w:r w:rsidRPr="00167CB8">
        <w:t xml:space="preserve"> For example, in 2023</w:t>
      </w:r>
      <w:r w:rsidR="00A44658" w:rsidRPr="00167CB8">
        <w:rPr>
          <w:rFonts w:ascii="Symbol" w:eastAsia="Symbol" w:hAnsi="Symbol" w:cs="Symbol"/>
        </w:rPr>
        <w:sym w:font="Symbol" w:char="F02D"/>
      </w:r>
      <w:r w:rsidRPr="00167CB8">
        <w:t>24, 62% of employers reported pay equity metrics (including gender pay gaps) to the executive, while 31% reported these metrics to all employees.</w:t>
      </w:r>
      <w:r w:rsidRPr="00167CB8">
        <w:rPr>
          <w:rStyle w:val="FootnoteReference"/>
        </w:rPr>
        <w:footnoteReference w:id="880"/>
      </w:r>
      <w:r w:rsidRPr="00167CB8">
        <w:t xml:space="preserve"> The</w:t>
      </w:r>
      <w:r w:rsidR="00DD29F2" w:rsidRPr="00167CB8">
        <w:t>se</w:t>
      </w:r>
      <w:r w:rsidRPr="00167CB8">
        <w:t xml:space="preserve"> legislative amendments may engender a cultural change and see these reporting shares increase over time.</w:t>
      </w:r>
    </w:p>
    <w:p w14:paraId="32CC5B47" w14:textId="272D35C3" w:rsidR="009A1D5D" w:rsidRPr="00167CB8" w:rsidRDefault="009A1D5D" w:rsidP="009A1D5D">
      <w:pPr>
        <w:rPr>
          <w:rFonts w:cstheme="minorHAnsi"/>
        </w:rPr>
      </w:pPr>
      <w:r w:rsidRPr="00167CB8">
        <w:t xml:space="preserve">In terms of findings from the academic literature on the effects of pay transparency laws, the </w:t>
      </w:r>
      <w:r w:rsidR="0046104D" w:rsidRPr="00167CB8">
        <w:t xml:space="preserve">Review Panel </w:t>
      </w:r>
      <w:r w:rsidRPr="00167CB8">
        <w:t>notes that available quantitative evidence points to mixed effects. Several studies point to a positive effect of pay transparency laws on the gender pay gap, although others note that change largely came about through a fall in men’s wages rather than an increase in women’s wages.</w:t>
      </w:r>
      <w:r w:rsidRPr="00167CB8">
        <w:rPr>
          <w:rStyle w:val="FootnoteReference"/>
        </w:rPr>
        <w:footnoteReference w:id="881"/>
      </w:r>
      <w:r w:rsidRPr="00167CB8">
        <w:t xml:space="preserve"> </w:t>
      </w:r>
    </w:p>
    <w:p w14:paraId="64D6746E" w14:textId="26E098F0" w:rsidR="009A1D5D" w:rsidRPr="00167CB8" w:rsidRDefault="009A1D5D" w:rsidP="006000ED">
      <w:r w:rsidRPr="00167CB8">
        <w:rPr>
          <w:rFonts w:cs="Calibri"/>
        </w:rPr>
        <w:t xml:space="preserve">Other scholars find no evidence of an effect of pay transparency provisions on the gender pay gap. The latter could reflect the perceived </w:t>
      </w:r>
      <w:r w:rsidR="00A44658" w:rsidRPr="00167CB8">
        <w:rPr>
          <w:rFonts w:cs="Calibri"/>
        </w:rPr>
        <w:t>‘</w:t>
      </w:r>
      <w:r w:rsidRPr="00167CB8">
        <w:rPr>
          <w:rFonts w:cs="Calibri"/>
        </w:rPr>
        <w:t>cost</w:t>
      </w:r>
      <w:r w:rsidR="00A44658" w:rsidRPr="00167CB8">
        <w:rPr>
          <w:rFonts w:cs="Calibri"/>
        </w:rPr>
        <w:t>’</w:t>
      </w:r>
      <w:r w:rsidRPr="00167CB8">
        <w:rPr>
          <w:rFonts w:cs="Calibri"/>
        </w:rPr>
        <w:t xml:space="preserve"> of requesting wage information, such as potential negative career implications.</w:t>
      </w:r>
      <w:r w:rsidRPr="00167CB8">
        <w:rPr>
          <w:rStyle w:val="FootnoteReference"/>
        </w:rPr>
        <w:footnoteReference w:id="882"/>
      </w:r>
      <w:r w:rsidRPr="00167CB8">
        <w:t xml:space="preserve"> </w:t>
      </w:r>
      <w:r w:rsidRPr="00167CB8">
        <w:rPr>
          <w:rFonts w:cs="Calibri"/>
        </w:rPr>
        <w:t>In Germany, for example, a year after pay transparency legislation was implemented, fewer than 5% of employees had requested wage comparison data.</w:t>
      </w:r>
      <w:r w:rsidRPr="00167CB8">
        <w:rPr>
          <w:rStyle w:val="FootnoteReference"/>
        </w:rPr>
        <w:footnoteReference w:id="883"/>
      </w:r>
      <w:r w:rsidRPr="00167CB8">
        <w:t xml:space="preserve"> As the OECD notes</w:t>
      </w:r>
      <w:r w:rsidR="00A44658" w:rsidRPr="00167CB8">
        <w:t>,</w:t>
      </w:r>
      <w:r w:rsidRPr="00167CB8">
        <w:t xml:space="preserve"> </w:t>
      </w:r>
      <w:r w:rsidR="00A44658" w:rsidRPr="00167CB8">
        <w:t>‘</w:t>
      </w:r>
      <w:r w:rsidRPr="00167CB8">
        <w:t xml:space="preserve">While pay transparency laws may give workers more information, their effectiveness largely relies upon workers having bargaining power to negotiate collectively or individually – and to negotiate without backlash, which is less likely the </w:t>
      </w:r>
      <w:r w:rsidRPr="00167CB8">
        <w:lastRenderedPageBreak/>
        <w:t>case for female workers</w:t>
      </w:r>
      <w:r w:rsidR="00A44658" w:rsidRPr="00167CB8">
        <w:t>’</w:t>
      </w:r>
      <w:r w:rsidRPr="00167CB8">
        <w:t>.</w:t>
      </w:r>
      <w:r w:rsidRPr="00167CB8">
        <w:rPr>
          <w:rStyle w:val="FootnoteReference"/>
        </w:rPr>
        <w:footnoteReference w:id="884"/>
      </w:r>
      <w:r w:rsidRPr="00167CB8">
        <w:t xml:space="preserve"> </w:t>
      </w:r>
      <w:r w:rsidRPr="00167CB8">
        <w:rPr>
          <w:rFonts w:cs="Calibri"/>
        </w:rPr>
        <w:t>The absence of an effect might also stem from employees</w:t>
      </w:r>
      <w:r w:rsidR="00A44658" w:rsidRPr="00167CB8">
        <w:rPr>
          <w:rFonts w:cs="Calibri"/>
        </w:rPr>
        <w:t>’</w:t>
      </w:r>
      <w:r w:rsidRPr="00167CB8">
        <w:rPr>
          <w:rFonts w:cs="Calibri"/>
        </w:rPr>
        <w:t xml:space="preserve"> limited understanding of what pay transparency entails and its implications.</w:t>
      </w:r>
      <w:r w:rsidRPr="00167CB8">
        <w:rPr>
          <w:rStyle w:val="FootnoteReference"/>
        </w:rPr>
        <w:footnoteReference w:id="885"/>
      </w:r>
      <w:r w:rsidRPr="00167CB8">
        <w:t xml:space="preserve">  </w:t>
      </w:r>
      <w:r w:rsidRPr="00167CB8">
        <w:rPr>
          <w:rFonts w:cs="Calibri"/>
        </w:rPr>
        <w:t xml:space="preserve"> </w:t>
      </w:r>
    </w:p>
    <w:p w14:paraId="123D7E4C" w14:textId="115803B6" w:rsidR="009A1D5D" w:rsidRPr="00167CB8" w:rsidRDefault="0024484D" w:rsidP="009A1D5D">
      <w:pPr>
        <w:pStyle w:val="Heading5"/>
        <w:rPr>
          <w:rFonts w:asciiTheme="minorHAnsi" w:hAnsiTheme="minorHAnsi"/>
        </w:rPr>
      </w:pPr>
      <w:bookmarkStart w:id="394" w:name="_Toc188003394"/>
      <w:r w:rsidRPr="00167CB8">
        <w:rPr>
          <w:rFonts w:asciiTheme="minorHAnsi" w:hAnsiTheme="minorHAnsi"/>
        </w:rPr>
        <w:t>27</w:t>
      </w:r>
      <w:r w:rsidR="001B77E5" w:rsidRPr="00167CB8">
        <w:rPr>
          <w:rFonts w:asciiTheme="minorHAnsi" w:hAnsiTheme="minorHAnsi"/>
        </w:rPr>
        <w:t>.2.2</w:t>
      </w:r>
      <w:r w:rsidR="009A1D5D" w:rsidRPr="00167CB8">
        <w:rPr>
          <w:rFonts w:asciiTheme="minorHAnsi" w:hAnsiTheme="minorHAnsi"/>
        </w:rPr>
        <w:t xml:space="preserve"> Qualitative </w:t>
      </w:r>
      <w:r w:rsidR="00A44658" w:rsidRPr="00167CB8">
        <w:rPr>
          <w:rFonts w:asciiTheme="minorHAnsi" w:hAnsiTheme="minorHAnsi"/>
        </w:rPr>
        <w:t>e</w:t>
      </w:r>
      <w:r w:rsidR="009A1D5D" w:rsidRPr="00167CB8">
        <w:rPr>
          <w:rFonts w:asciiTheme="minorHAnsi" w:hAnsiTheme="minorHAnsi"/>
        </w:rPr>
        <w:t>vidence</w:t>
      </w:r>
      <w:bookmarkEnd w:id="394"/>
    </w:p>
    <w:p w14:paraId="160D746B" w14:textId="4C402DD3" w:rsidR="00A05615" w:rsidRPr="00167CB8" w:rsidRDefault="002A6D85" w:rsidP="006000ED">
      <w:r w:rsidRPr="00167CB8">
        <w:t xml:space="preserve">The Review Panel is not aware of any </w:t>
      </w:r>
      <w:r w:rsidR="00BC2E5F" w:rsidRPr="00167CB8">
        <w:t xml:space="preserve">significant </w:t>
      </w:r>
      <w:r w:rsidRPr="00167CB8">
        <w:t xml:space="preserve">qualitative evidence in relation to these amendments. </w:t>
      </w:r>
      <w:bookmarkStart w:id="395" w:name="_Toc188003395"/>
    </w:p>
    <w:p w14:paraId="632B6667" w14:textId="10877E2E" w:rsidR="009A1D5D" w:rsidRPr="00167CB8" w:rsidRDefault="0024484D" w:rsidP="009A1D5D">
      <w:pPr>
        <w:pStyle w:val="Heading5"/>
        <w:rPr>
          <w:rFonts w:asciiTheme="minorHAnsi" w:hAnsiTheme="minorHAnsi"/>
        </w:rPr>
      </w:pPr>
      <w:r w:rsidRPr="00167CB8">
        <w:rPr>
          <w:rFonts w:asciiTheme="minorHAnsi" w:hAnsiTheme="minorHAnsi"/>
        </w:rPr>
        <w:t>27</w:t>
      </w:r>
      <w:r w:rsidR="001B77E5" w:rsidRPr="00167CB8">
        <w:rPr>
          <w:rFonts w:asciiTheme="minorHAnsi" w:hAnsiTheme="minorHAnsi"/>
        </w:rPr>
        <w:t>.2.3</w:t>
      </w:r>
      <w:r w:rsidR="009A1D5D" w:rsidRPr="00167CB8">
        <w:rPr>
          <w:rFonts w:asciiTheme="minorHAnsi" w:hAnsiTheme="minorHAnsi"/>
        </w:rPr>
        <w:t xml:space="preserve"> Stakeholder views</w:t>
      </w:r>
      <w:bookmarkEnd w:id="395"/>
    </w:p>
    <w:p w14:paraId="13045F81" w14:textId="3532D6C7" w:rsidR="009A1D5D" w:rsidRPr="00167CB8" w:rsidRDefault="009A1D5D" w:rsidP="006000ED">
      <w:r w:rsidRPr="00167CB8">
        <w:t xml:space="preserve">Unions and academic submissions gave broad support for the pay secrecy reforms. The </w:t>
      </w:r>
      <w:r w:rsidR="00A44658" w:rsidRPr="00167CB8">
        <w:t xml:space="preserve">Australian Council of Trade Unions (ACTU) </w:t>
      </w:r>
      <w:r w:rsidRPr="00167CB8">
        <w:t>note</w:t>
      </w:r>
      <w:r w:rsidR="00A44658" w:rsidRPr="00167CB8">
        <w:t>d</w:t>
      </w:r>
      <w:r w:rsidRPr="00167CB8">
        <w:t xml:space="preserve"> that </w:t>
      </w:r>
      <w:r w:rsidR="00520AA7" w:rsidRPr="00167CB8">
        <w:t>the</w:t>
      </w:r>
      <w:r w:rsidRPr="00167CB8">
        <w:t xml:space="preserve"> prohibition on pay secrecy clauses is crucial for addressing gender pay inequality, as it allows employees to share pay details without fear of retaliation. However, the ACTU highlight</w:t>
      </w:r>
      <w:r w:rsidR="00A44658" w:rsidRPr="00167CB8">
        <w:t>ed</w:t>
      </w:r>
      <w:r w:rsidRPr="00167CB8">
        <w:t xml:space="preserve"> concerns that these provisions only apply to contracts made or varied after December 2022, leaving older contracts unaffected. They suggest</w:t>
      </w:r>
      <w:r w:rsidR="00A44658" w:rsidRPr="00167CB8">
        <w:t>ed</w:t>
      </w:r>
      <w:r w:rsidRPr="00167CB8">
        <w:t xml:space="preserve"> extending these provisions to cover all workers, including independent contractors, to close potential gaps. They also recommend</w:t>
      </w:r>
      <w:r w:rsidR="00A44658" w:rsidRPr="00167CB8">
        <w:t>ed</w:t>
      </w:r>
      <w:r w:rsidRPr="00167CB8">
        <w:t xml:space="preserve"> that research be conducted to assess if these laws have fostered a workplace culture of pay transparency</w:t>
      </w:r>
      <w:r w:rsidR="00A44658" w:rsidRPr="00167CB8">
        <w:rPr>
          <w:rFonts w:ascii="Arial" w:hAnsi="Arial" w:cs="Arial"/>
        </w:rPr>
        <w:t>.</w:t>
      </w:r>
    </w:p>
    <w:p w14:paraId="29D0826D" w14:textId="595C2012" w:rsidR="009A1D5D" w:rsidRPr="00167CB8" w:rsidRDefault="009A1D5D" w:rsidP="006000ED">
      <w:r w:rsidRPr="00167CB8">
        <w:t>The Finance Sector Union (FSU) welcome</w:t>
      </w:r>
      <w:r w:rsidR="00A44658" w:rsidRPr="00167CB8">
        <w:t>d</w:t>
      </w:r>
      <w:r w:rsidRPr="00167CB8">
        <w:t xml:space="preserve"> the abolition of pay secrecy clauses, particularly given the significant gender pay gap in the finance sector (22%). However, they argue</w:t>
      </w:r>
      <w:r w:rsidR="00A44658" w:rsidRPr="00167CB8">
        <w:t>d</w:t>
      </w:r>
      <w:r w:rsidRPr="00167CB8">
        <w:t xml:space="preserve"> that the laws </w:t>
      </w:r>
      <w:r w:rsidR="00A44658" w:rsidRPr="00167CB8">
        <w:t xml:space="preserve">do not </w:t>
      </w:r>
      <w:r w:rsidRPr="00167CB8">
        <w:t xml:space="preserve">go far enough in ensuring transparency in job advertisements and wage negotiations. </w:t>
      </w:r>
      <w:r w:rsidR="00523862" w:rsidRPr="00167CB8">
        <w:t xml:space="preserve">Amongst other things, </w:t>
      </w:r>
      <w:r w:rsidR="00A44658" w:rsidRPr="00167CB8">
        <w:t xml:space="preserve">the FSU </w:t>
      </w:r>
      <w:r w:rsidR="00523862" w:rsidRPr="00167CB8">
        <w:t>propose</w:t>
      </w:r>
      <w:r w:rsidR="00A44658" w:rsidRPr="00167CB8">
        <w:t>d</w:t>
      </w:r>
      <w:r w:rsidR="00523862" w:rsidRPr="00167CB8">
        <w:t xml:space="preserve"> </w:t>
      </w:r>
      <w:r w:rsidRPr="00167CB8">
        <w:t>further legislative amendments to require salary ranges in job ads to enhance transparency</w:t>
      </w:r>
      <w:r w:rsidR="00A44658" w:rsidRPr="00167CB8">
        <w:t>.</w:t>
      </w:r>
    </w:p>
    <w:p w14:paraId="3F2849AB" w14:textId="67EA93B4" w:rsidR="009A1D5D" w:rsidRPr="00167CB8" w:rsidRDefault="009A1D5D" w:rsidP="006000ED">
      <w:r w:rsidRPr="00167CB8">
        <w:t>The Centre for Future Work highlight</w:t>
      </w:r>
      <w:r w:rsidR="00A44658" w:rsidRPr="00167CB8">
        <w:t>ed</w:t>
      </w:r>
      <w:r w:rsidRPr="00167CB8">
        <w:t xml:space="preserve"> that pay secrecy clauses have historically contributed to wage inequity, particularly for women and marginalised workers. The prohibition of these clauses is welcomed as a positive step toward reducing the gender pay gap. </w:t>
      </w:r>
      <w:r w:rsidR="00A44658" w:rsidRPr="00167CB8">
        <w:t xml:space="preserve">It </w:t>
      </w:r>
      <w:r w:rsidRPr="00167CB8">
        <w:t>also stress</w:t>
      </w:r>
      <w:r w:rsidR="00A44658" w:rsidRPr="00167CB8">
        <w:t>ed</w:t>
      </w:r>
      <w:r w:rsidRPr="00167CB8">
        <w:t xml:space="preserve"> that transparency in remuneration is essential for identifying and addressing pay disparities. However, </w:t>
      </w:r>
      <w:r w:rsidR="00A44658" w:rsidRPr="00167CB8">
        <w:t xml:space="preserve">it </w:t>
      </w:r>
      <w:r w:rsidRPr="00167CB8">
        <w:t>argue</w:t>
      </w:r>
      <w:r w:rsidR="00A44658" w:rsidRPr="00167CB8">
        <w:t>d</w:t>
      </w:r>
      <w:r w:rsidRPr="00167CB8">
        <w:t xml:space="preserve"> that the effectiveness of these provisions will require ongoing assessment and may need further strengthening.</w:t>
      </w:r>
    </w:p>
    <w:p w14:paraId="079EF633" w14:textId="05D1178D" w:rsidR="009A1D5D" w:rsidRPr="00167CB8" w:rsidRDefault="00EC72F6" w:rsidP="006000ED">
      <w:r w:rsidRPr="00167CB8">
        <w:t>T</w:t>
      </w:r>
      <w:r w:rsidR="009A1D5D" w:rsidRPr="00167CB8">
        <w:t xml:space="preserve">he </w:t>
      </w:r>
      <w:r w:rsidR="0046104D" w:rsidRPr="00167CB8">
        <w:t xml:space="preserve">Review Panel </w:t>
      </w:r>
      <w:r w:rsidR="009A1D5D" w:rsidRPr="00167CB8">
        <w:t xml:space="preserve">heard mixed views </w:t>
      </w:r>
      <w:r w:rsidRPr="00167CB8">
        <w:t xml:space="preserve">from employer associations </w:t>
      </w:r>
      <w:r w:rsidR="009A1D5D" w:rsidRPr="00167CB8">
        <w:t xml:space="preserve">about the pay secrecy reforms. </w:t>
      </w:r>
      <w:r w:rsidR="009C0C22" w:rsidRPr="00167CB8">
        <w:t>Several</w:t>
      </w:r>
      <w:r w:rsidR="009A1D5D" w:rsidRPr="00167CB8">
        <w:t xml:space="preserve"> employers raised concerns about the potential adverse effects the laws may have on organisational culture and workplace harmony, particularly where some employees misunderstand their rights and pressure their colleagues to share information.  </w:t>
      </w:r>
    </w:p>
    <w:p w14:paraId="7857A42B" w14:textId="5A4B7B2D" w:rsidR="009A1D5D" w:rsidRPr="00167CB8" w:rsidRDefault="00A44658" w:rsidP="006000ED">
      <w:r w:rsidRPr="00167CB8">
        <w:t xml:space="preserve">The Australian Chamber of Commerce and Industry (ACCI) </w:t>
      </w:r>
      <w:r w:rsidR="009A1D5D" w:rsidRPr="00167CB8">
        <w:t xml:space="preserve">written submission to the </w:t>
      </w:r>
      <w:r w:rsidRPr="00167CB8">
        <w:t>R</w:t>
      </w:r>
      <w:r w:rsidR="009A1D5D" w:rsidRPr="00167CB8">
        <w:t>eview report</w:t>
      </w:r>
      <w:r w:rsidRPr="00167CB8">
        <w:t>ed</w:t>
      </w:r>
      <w:r w:rsidR="009A1D5D" w:rsidRPr="00167CB8">
        <w:t xml:space="preserve"> on the experience of its members in relation to the new pay secrecy provisions. Some members note that the laws have brought bonuses and incentives into question and that a likely outcome will be that payments (particularly to high performers) will suppressed because of the provisions. ACCI also note</w:t>
      </w:r>
      <w:r w:rsidRPr="00167CB8">
        <w:t>d</w:t>
      </w:r>
      <w:r w:rsidR="009A1D5D" w:rsidRPr="00167CB8">
        <w:t xml:space="preserve"> a generational divide, with younger employees more likely to discuss remuneration than older counterparts</w:t>
      </w:r>
      <w:r w:rsidRPr="00167CB8">
        <w:t>,</w:t>
      </w:r>
      <w:r w:rsidR="009A1D5D" w:rsidRPr="00167CB8">
        <w:t xml:space="preserve"> and that this was a source of workplace tension (e.g. older workers not willing to discuss or share remuneration details). </w:t>
      </w:r>
    </w:p>
    <w:p w14:paraId="5541F4D0" w14:textId="5D9343E3" w:rsidR="009A1D5D" w:rsidRPr="00167CB8" w:rsidRDefault="009A1D5D" w:rsidP="006000ED">
      <w:pPr>
        <w:rPr>
          <w:rFonts w:cstheme="minorHAnsi"/>
        </w:rPr>
      </w:pPr>
      <w:r w:rsidRPr="00167CB8">
        <w:t>Finally, ACCI note</w:t>
      </w:r>
      <w:r w:rsidR="00A44658" w:rsidRPr="00167CB8">
        <w:t>d</w:t>
      </w:r>
      <w:r w:rsidRPr="00167CB8">
        <w:t xml:space="preserve"> that ‘remuneration’ is not defined by the </w:t>
      </w:r>
      <w:r w:rsidR="00E60C76" w:rsidRPr="00167CB8">
        <w:t>Fair Work Act</w:t>
      </w:r>
      <w:r w:rsidRPr="00167CB8">
        <w:t xml:space="preserve"> and questions whether any payment in a deed of settlement is included or excluded by the new provisions at </w:t>
      </w:r>
      <w:r w:rsidR="00EC7DBC" w:rsidRPr="00167CB8">
        <w:lastRenderedPageBreak/>
        <w:t>s</w:t>
      </w:r>
      <w:r w:rsidR="00A44658" w:rsidRPr="00167CB8">
        <w:t> </w:t>
      </w:r>
      <w:r w:rsidRPr="00167CB8">
        <w:t xml:space="preserve">333D of the </w:t>
      </w:r>
      <w:r w:rsidR="00E60C76" w:rsidRPr="00167CB8">
        <w:t>Fair Work Act</w:t>
      </w:r>
      <w:r w:rsidRPr="00167CB8">
        <w:t>.</w:t>
      </w:r>
      <w:r w:rsidRPr="00167CB8">
        <w:rPr>
          <w:rStyle w:val="FootnoteReference"/>
        </w:rPr>
        <w:footnoteReference w:id="886"/>
      </w:r>
      <w:r w:rsidRPr="00167CB8">
        <w:t xml:space="preserve"> </w:t>
      </w:r>
      <w:r w:rsidR="006B57F3" w:rsidRPr="00167CB8">
        <w:t>In the Review Panel’s opinion, r</w:t>
      </w:r>
      <w:r w:rsidRPr="00167CB8">
        <w:t xml:space="preserve">emuneration would likely be defined by its ordinary meaning (as pay or recompense for work) so would be unlikely to include amounts paid as part of separate dispute settlements. While </w:t>
      </w:r>
      <w:r w:rsidR="004E165D" w:rsidRPr="00167CB8">
        <w:t xml:space="preserve">this is </w:t>
      </w:r>
      <w:r w:rsidRPr="00167CB8">
        <w:t xml:space="preserve">different </w:t>
      </w:r>
      <w:r w:rsidR="004E165D" w:rsidRPr="00167CB8">
        <w:t xml:space="preserve">to remuneration in the context of </w:t>
      </w:r>
      <w:r w:rsidRPr="00167CB8">
        <w:t xml:space="preserve">pay secrecy, the </w:t>
      </w:r>
      <w:r w:rsidR="0046104D" w:rsidRPr="00167CB8">
        <w:t xml:space="preserve">Review Panel </w:t>
      </w:r>
      <w:r w:rsidRPr="00167CB8">
        <w:t xml:space="preserve">also notes the importance of transparency </w:t>
      </w:r>
      <w:r w:rsidR="00D12C0B" w:rsidRPr="00167CB8">
        <w:t xml:space="preserve">in </w:t>
      </w:r>
      <w:r w:rsidR="000D6167" w:rsidRPr="00167CB8">
        <w:t xml:space="preserve">all </w:t>
      </w:r>
      <w:r w:rsidRPr="00167CB8">
        <w:t>contexts.</w:t>
      </w:r>
    </w:p>
    <w:p w14:paraId="5E59BEAE" w14:textId="79FDF0C9" w:rsidR="009A1D5D" w:rsidRPr="00167CB8" w:rsidRDefault="009A1D5D" w:rsidP="006000ED">
      <w:r w:rsidRPr="00167CB8">
        <w:t>The Ai Group’s view is that the pay secrecy clauses are not likely narrow the gender pay gap and that they are a blunt instrument for this purpose. They submitted that they are more likely to give rise to privacy concerns and generate conflict in the workplace. They also submit</w:t>
      </w:r>
      <w:r w:rsidR="00A44658" w:rsidRPr="00167CB8">
        <w:t>ted</w:t>
      </w:r>
      <w:r w:rsidRPr="00167CB8">
        <w:t xml:space="preserve"> that the new laws may result in ‘unintended privacy concerns’ (e.g. an employee’s revelation about their pay on social media may not be supported by other co-workers with </w:t>
      </w:r>
      <w:r w:rsidR="00F957EB" w:rsidRPr="00167CB8">
        <w:t xml:space="preserve">the </w:t>
      </w:r>
      <w:r w:rsidRPr="00167CB8">
        <w:t xml:space="preserve">same title and who may be paid the same). </w:t>
      </w:r>
    </w:p>
    <w:p w14:paraId="33F5015D" w14:textId="740558DC" w:rsidR="009A1D5D" w:rsidRPr="00167CB8" w:rsidRDefault="009A1D5D" w:rsidP="006000ED">
      <w:r w:rsidRPr="00167CB8">
        <w:t>Ai Group also raised concerns about the transitional provisions. They suggested the need to further clarify whether all changes to contracts count as variations (such as wage increases) such that pay secrecy clauses no longer have any effect. They also noted that employees need to consent for employers to remove contractual provisions. The</w:t>
      </w:r>
      <w:r w:rsidRPr="00167CB8" w:rsidDel="0046104D">
        <w:t xml:space="preserve"> </w:t>
      </w:r>
      <w:r w:rsidR="0046104D" w:rsidRPr="00167CB8">
        <w:t>Review</w:t>
      </w:r>
      <w:r w:rsidRPr="00167CB8">
        <w:t xml:space="preserve"> Panel notes that any clauses remaining would have no effect (even if there had not been consent to remove them).</w:t>
      </w:r>
    </w:p>
    <w:p w14:paraId="594212B1" w14:textId="30308ECE" w:rsidR="009A1D5D" w:rsidRPr="00167CB8" w:rsidRDefault="0024484D" w:rsidP="009A1D5D">
      <w:pPr>
        <w:pStyle w:val="Heading4"/>
        <w:rPr>
          <w:rFonts w:asciiTheme="minorHAnsi" w:hAnsiTheme="minorHAnsi"/>
        </w:rPr>
      </w:pPr>
      <w:bookmarkStart w:id="396" w:name="_Toc188003396"/>
      <w:bookmarkStart w:id="397" w:name="_Toc188277947"/>
      <w:bookmarkStart w:id="398" w:name="_Toc189260299"/>
      <w:bookmarkStart w:id="399" w:name="_Toc189393615"/>
      <w:r w:rsidRPr="00167CB8">
        <w:rPr>
          <w:rFonts w:asciiTheme="minorHAnsi" w:hAnsiTheme="minorHAnsi"/>
        </w:rPr>
        <w:t>27</w:t>
      </w:r>
      <w:r w:rsidR="001B77E5" w:rsidRPr="00167CB8">
        <w:rPr>
          <w:rFonts w:asciiTheme="minorHAnsi" w:hAnsiTheme="minorHAnsi"/>
        </w:rPr>
        <w:t>.3</w:t>
      </w:r>
      <w:r w:rsidR="009A1D5D" w:rsidRPr="00167CB8">
        <w:rPr>
          <w:rFonts w:asciiTheme="minorHAnsi" w:hAnsiTheme="minorHAnsi"/>
        </w:rPr>
        <w:t xml:space="preserve"> Findings </w:t>
      </w:r>
      <w:r w:rsidR="00A44658" w:rsidRPr="00167CB8">
        <w:rPr>
          <w:rFonts w:asciiTheme="minorHAnsi" w:hAnsiTheme="minorHAnsi"/>
        </w:rPr>
        <w:t>and r</w:t>
      </w:r>
      <w:r w:rsidR="009A1D5D" w:rsidRPr="00167CB8">
        <w:rPr>
          <w:rFonts w:asciiTheme="minorHAnsi" w:hAnsiTheme="minorHAnsi"/>
        </w:rPr>
        <w:t>ecommendations</w:t>
      </w:r>
      <w:bookmarkEnd w:id="396"/>
      <w:bookmarkEnd w:id="397"/>
      <w:bookmarkEnd w:id="398"/>
      <w:bookmarkEnd w:id="399"/>
    </w:p>
    <w:p w14:paraId="56D3FC32" w14:textId="2AB2EF48" w:rsidR="009A1D5D" w:rsidRPr="00167CB8" w:rsidRDefault="009A1D5D" w:rsidP="002D715C">
      <w:pPr>
        <w:rPr>
          <w:lang w:eastAsia="en-AU"/>
        </w:rPr>
      </w:pPr>
      <w:r w:rsidRPr="00167CB8">
        <w:rPr>
          <w:lang w:eastAsia="en-AU"/>
        </w:rPr>
        <w:t xml:space="preserve">The new pay transparency provisions in the </w:t>
      </w:r>
      <w:r w:rsidR="00E60C76" w:rsidRPr="00167CB8">
        <w:rPr>
          <w:lang w:eastAsia="en-AU"/>
        </w:rPr>
        <w:t>Fair Work Act</w:t>
      </w:r>
      <w:r w:rsidRPr="00167CB8">
        <w:rPr>
          <w:lang w:eastAsia="en-AU"/>
        </w:rPr>
        <w:t xml:space="preserve"> took effect on 7 December 2022. To date there is limited evidence regarding the impacts of this legislation</w:t>
      </w:r>
      <w:r w:rsidR="00A44658" w:rsidRPr="00167CB8">
        <w:rPr>
          <w:lang w:eastAsia="en-AU"/>
        </w:rPr>
        <w:t xml:space="preserve"> </w:t>
      </w:r>
      <w:r w:rsidR="00A44658" w:rsidRPr="00167CB8">
        <w:rPr>
          <w:rFonts w:ascii="Symbol" w:eastAsia="Symbol" w:hAnsi="Symbol" w:cs="Symbol"/>
          <w:lang w:eastAsia="en-AU"/>
        </w:rPr>
        <w:sym w:font="Symbol" w:char="F02D"/>
      </w:r>
      <w:r w:rsidR="00A44658" w:rsidRPr="00167CB8">
        <w:rPr>
          <w:lang w:eastAsia="en-AU"/>
        </w:rPr>
        <w:t xml:space="preserve"> f</w:t>
      </w:r>
      <w:r w:rsidRPr="00167CB8">
        <w:rPr>
          <w:lang w:eastAsia="en-AU"/>
        </w:rPr>
        <w:t>or example, about whether better</w:t>
      </w:r>
      <w:r w:rsidR="00A44658" w:rsidRPr="00167CB8">
        <w:rPr>
          <w:lang w:eastAsia="en-AU"/>
        </w:rPr>
        <w:t xml:space="preserve"> </w:t>
      </w:r>
      <w:r w:rsidRPr="00167CB8">
        <w:rPr>
          <w:lang w:eastAsia="en-AU"/>
        </w:rPr>
        <w:t>informed employees are achieving better pay or conditions or about the impacts of transparency on workplace harmony.</w:t>
      </w:r>
    </w:p>
    <w:p w14:paraId="1D7EF996" w14:textId="5AEA9D4D" w:rsidR="009A1D5D" w:rsidRPr="00167CB8" w:rsidRDefault="009A1D5D" w:rsidP="006000ED">
      <w:pPr>
        <w:spacing w:before="100" w:beforeAutospacing="1" w:after="100" w:afterAutospacing="1"/>
        <w:rPr>
          <w:rFonts w:eastAsia="Times New Roman" w:cs="Calibri"/>
          <w:lang w:eastAsia="en-AU"/>
        </w:rPr>
      </w:pPr>
      <w:r w:rsidRPr="00167CB8">
        <w:rPr>
          <w:rFonts w:eastAsia="Times New Roman" w:cs="Calibri"/>
          <w:lang w:eastAsia="en-AU"/>
        </w:rPr>
        <w:t>To address this gap, the Review Panel recommends that the Australian Government support comprehensive research to examine how the new laws are affecting employers and employees</w:t>
      </w:r>
      <w:r w:rsidR="00E67078" w:rsidRPr="00167CB8">
        <w:rPr>
          <w:rFonts w:eastAsia="Times New Roman" w:cs="Calibri"/>
          <w:lang w:eastAsia="en-AU"/>
        </w:rPr>
        <w:t xml:space="preserve"> in advance of a further review (see Draft Recommendation 1)</w:t>
      </w:r>
      <w:r w:rsidRPr="00167CB8">
        <w:rPr>
          <w:rFonts w:eastAsia="Times New Roman" w:cs="Calibri"/>
          <w:lang w:eastAsia="en-AU"/>
        </w:rPr>
        <w:t>. Key areas of investigation could include:</w:t>
      </w:r>
    </w:p>
    <w:p w14:paraId="2B39A6CA" w14:textId="757FE488" w:rsidR="009A1D5D" w:rsidRPr="00167CB8" w:rsidRDefault="00A44658" w:rsidP="00EA3E2F">
      <w:pPr>
        <w:pStyle w:val="ListBullet"/>
      </w:pPr>
      <w:r w:rsidRPr="00167CB8">
        <w:t>e</w:t>
      </w:r>
      <w:r w:rsidR="009A1D5D" w:rsidRPr="00167CB8">
        <w:t>mployees</w:t>
      </w:r>
      <w:r w:rsidRPr="00167CB8">
        <w:t>’</w:t>
      </w:r>
      <w:r w:rsidR="009A1D5D" w:rsidRPr="00167CB8">
        <w:t xml:space="preserve"> and employers</w:t>
      </w:r>
      <w:r w:rsidRPr="00167CB8">
        <w:t>’</w:t>
      </w:r>
      <w:r w:rsidR="009A1D5D" w:rsidRPr="00167CB8">
        <w:t xml:space="preserve"> understanding of pay transparency</w:t>
      </w:r>
    </w:p>
    <w:p w14:paraId="5DC06F2B" w14:textId="466F30AA" w:rsidR="009A1D5D" w:rsidRPr="00167CB8" w:rsidRDefault="00A44658" w:rsidP="00EA3E2F">
      <w:pPr>
        <w:pStyle w:val="ListBullet"/>
      </w:pPr>
      <w:r w:rsidRPr="00167CB8">
        <w:t>s</w:t>
      </w:r>
      <w:r w:rsidR="009A1D5D" w:rsidRPr="00167CB8">
        <w:t>ources of information on pay transparency for employees and employers</w:t>
      </w:r>
    </w:p>
    <w:p w14:paraId="3A75B204" w14:textId="5AF96372" w:rsidR="009A1D5D" w:rsidRPr="00167CB8" w:rsidRDefault="00A44658" w:rsidP="00EA3E2F">
      <w:pPr>
        <w:pStyle w:val="ListBullet"/>
      </w:pPr>
      <w:r w:rsidRPr="00167CB8">
        <w:t>t</w:t>
      </w:r>
      <w:r w:rsidR="009A1D5D" w:rsidRPr="00167CB8">
        <w:t>he frequency and characteristics (e.g. occupations, industries, workplace size) of employees requesting wage information</w:t>
      </w:r>
    </w:p>
    <w:p w14:paraId="503B24C9" w14:textId="4F05A0E8" w:rsidR="009A1D5D" w:rsidRPr="00167CB8" w:rsidRDefault="00A44658" w:rsidP="00EA3E2F">
      <w:pPr>
        <w:pStyle w:val="ListBullet"/>
      </w:pPr>
      <w:r w:rsidRPr="00167CB8">
        <w:t>e</w:t>
      </w:r>
      <w:r w:rsidR="009A1D5D" w:rsidRPr="00167CB8">
        <w:t>mployers</w:t>
      </w:r>
      <w:r w:rsidRPr="00167CB8">
        <w:t>’</w:t>
      </w:r>
      <w:r w:rsidR="009A1D5D" w:rsidRPr="00167CB8">
        <w:t xml:space="preserve"> responses to the legislation</w:t>
      </w:r>
    </w:p>
    <w:p w14:paraId="07FF0AFD" w14:textId="1F56BD32" w:rsidR="009A1D5D" w:rsidRPr="00167CB8" w:rsidRDefault="00A44658" w:rsidP="00EA3E2F">
      <w:pPr>
        <w:pStyle w:val="ListBullet"/>
      </w:pPr>
      <w:r w:rsidRPr="00167CB8">
        <w:t>w</w:t>
      </w:r>
      <w:r w:rsidR="009A1D5D" w:rsidRPr="00167CB8">
        <w:t>hether the legislation is achieving its intended goals and producing additional benefits (e.g. improved employee attraction, trust, workplace harmony, productivity)</w:t>
      </w:r>
    </w:p>
    <w:p w14:paraId="5E5548D3" w14:textId="32A65045" w:rsidR="009A1D5D" w:rsidRPr="00167CB8" w:rsidRDefault="00A44658" w:rsidP="00EA3E2F">
      <w:pPr>
        <w:pStyle w:val="ListBullet"/>
      </w:pPr>
      <w:r w:rsidRPr="00167CB8">
        <w:t>t</w:t>
      </w:r>
      <w:r w:rsidR="009A1D5D" w:rsidRPr="00167CB8">
        <w:t>he effect of the legislation on the culture of pay transparency in workplaces</w:t>
      </w:r>
      <w:r w:rsidRPr="00167CB8">
        <w:t xml:space="preserve"> </w:t>
      </w:r>
      <w:r w:rsidRPr="00167CB8">
        <w:rPr>
          <w:rFonts w:ascii="Symbol" w:eastAsia="Symbol" w:hAnsi="Symbol" w:cs="Symbol"/>
        </w:rPr>
        <w:sym w:font="Symbol" w:char="F02D"/>
      </w:r>
      <w:r w:rsidRPr="00167CB8">
        <w:t xml:space="preserve"> whether </w:t>
      </w:r>
      <w:r w:rsidR="009A1D5D" w:rsidRPr="00167CB8">
        <w:t>a culture of pay secrecy still remain</w:t>
      </w:r>
      <w:r w:rsidRPr="00167CB8">
        <w:t>s</w:t>
      </w:r>
      <w:r w:rsidR="009A1D5D" w:rsidRPr="00167CB8">
        <w:t>, notwithstanding the legislative reforms</w:t>
      </w:r>
    </w:p>
    <w:p w14:paraId="08D7BA58" w14:textId="316235E4" w:rsidR="009A1D5D" w:rsidRPr="00167CB8" w:rsidRDefault="00A44658" w:rsidP="00EA3E2F">
      <w:pPr>
        <w:pStyle w:val="ListBullet"/>
      </w:pPr>
      <w:r w:rsidRPr="00167CB8">
        <w:t>t</w:t>
      </w:r>
      <w:r w:rsidR="009A1D5D" w:rsidRPr="00167CB8">
        <w:t>he identification of any unintended consequences</w:t>
      </w:r>
      <w:r w:rsidRPr="00167CB8">
        <w:t>.</w:t>
      </w:r>
    </w:p>
    <w:p w14:paraId="6A418C4C" w14:textId="4E741A7C" w:rsidR="009A1D5D" w:rsidRPr="00167CB8" w:rsidRDefault="008753A5" w:rsidP="00DA561E">
      <w:pPr>
        <w:spacing w:after="160"/>
        <w:rPr>
          <w:rStyle w:val="Emphasis"/>
          <w:b/>
          <w:bCs/>
          <w:i w:val="0"/>
          <w:iCs w:val="0"/>
        </w:rPr>
      </w:pPr>
      <w:r w:rsidRPr="00167CB8">
        <w:rPr>
          <w:rFonts w:eastAsia="Times New Roman" w:cs="Calibri"/>
          <w:lang w:eastAsia="en-AU"/>
        </w:rPr>
        <w:t xml:space="preserve">As well as supporting a further review of the Secure Jobs, Better Pay amendments, this </w:t>
      </w:r>
      <w:r w:rsidR="009A1D5D" w:rsidRPr="00167CB8">
        <w:rPr>
          <w:rFonts w:eastAsia="Times New Roman" w:cs="Calibri"/>
          <w:lang w:eastAsia="en-AU"/>
        </w:rPr>
        <w:t>research should also inform future policy decisions, including whether the laws should be extended beyond employees to other groups of workers such as contractors.</w:t>
      </w:r>
      <w:r w:rsidR="00DA561E" w:rsidRPr="00167CB8">
        <w:rPr>
          <w:rStyle w:val="Emphasis"/>
          <w:b/>
          <w:bCs/>
          <w:i w:val="0"/>
          <w:iCs w:val="0"/>
        </w:rPr>
        <w:br w:type="page"/>
      </w:r>
    </w:p>
    <w:p w14:paraId="1977E405" w14:textId="0B2A84DF" w:rsidR="009A1D5D" w:rsidRPr="00167CB8" w:rsidRDefault="001B77E5" w:rsidP="009A1D5D">
      <w:pPr>
        <w:pStyle w:val="Heading3"/>
        <w:rPr>
          <w:rFonts w:asciiTheme="minorHAnsi" w:hAnsiTheme="minorHAnsi"/>
        </w:rPr>
      </w:pPr>
      <w:bookmarkStart w:id="400" w:name="_Toc188003397"/>
      <w:bookmarkStart w:id="401" w:name="_Toc188277948"/>
      <w:bookmarkStart w:id="402" w:name="_Toc189260300"/>
      <w:bookmarkStart w:id="403" w:name="_Toc189393616"/>
      <w:r w:rsidRPr="00167CB8">
        <w:rPr>
          <w:rFonts w:asciiTheme="minorHAnsi" w:hAnsiTheme="minorHAnsi"/>
        </w:rPr>
        <w:lastRenderedPageBreak/>
        <w:t xml:space="preserve">Chapter </w:t>
      </w:r>
      <w:r w:rsidR="00FF5446" w:rsidRPr="00167CB8">
        <w:rPr>
          <w:rFonts w:asciiTheme="minorHAnsi" w:hAnsiTheme="minorHAnsi"/>
        </w:rPr>
        <w:t>28</w:t>
      </w:r>
      <w:r w:rsidRPr="00167CB8">
        <w:rPr>
          <w:rFonts w:asciiTheme="minorHAnsi" w:hAnsiTheme="minorHAnsi"/>
        </w:rPr>
        <w:t>.</w:t>
      </w:r>
      <w:r w:rsidR="009A1D5D" w:rsidRPr="00167CB8">
        <w:rPr>
          <w:rFonts w:asciiTheme="minorHAnsi" w:hAnsiTheme="minorHAnsi"/>
        </w:rPr>
        <w:t xml:space="preserve"> Prohibiting sexual harassment in connection with work</w:t>
      </w:r>
      <w:bookmarkEnd w:id="400"/>
      <w:bookmarkEnd w:id="401"/>
      <w:bookmarkEnd w:id="402"/>
      <w:bookmarkEnd w:id="403"/>
    </w:p>
    <w:p w14:paraId="277345DF" w14:textId="40799EE1" w:rsidR="009A1D5D" w:rsidRPr="00167CB8" w:rsidRDefault="009A1D5D" w:rsidP="006000ED">
      <w:pPr>
        <w:rPr>
          <w:rFonts w:cstheme="minorHAnsi"/>
        </w:rPr>
      </w:pPr>
      <w:r w:rsidRPr="00167CB8">
        <w:rPr>
          <w:rFonts w:cstheme="minorHAnsi"/>
        </w:rPr>
        <w:t xml:space="preserve">In this chapter the focus is on Part 8 (Prohibiting sexual harassment in connection with work) </w:t>
      </w:r>
      <w:r w:rsidR="00A52F77" w:rsidRPr="00167CB8">
        <w:rPr>
          <w:rFonts w:cstheme="minorHAnsi"/>
        </w:rPr>
        <w:t xml:space="preserve">of Schedule 1 </w:t>
      </w:r>
      <w:r w:rsidR="009C7094" w:rsidRPr="00167CB8">
        <w:rPr>
          <w:rFonts w:cstheme="minorHAnsi"/>
        </w:rPr>
        <w:t>to</w:t>
      </w:r>
      <w:r w:rsidR="00754160" w:rsidRPr="00167CB8">
        <w:rPr>
          <w:rFonts w:cstheme="minorHAnsi"/>
        </w:rPr>
        <w:t xml:space="preserve"> the </w:t>
      </w:r>
      <w:r w:rsidR="00D86F0F" w:rsidRPr="00167CB8">
        <w:rPr>
          <w:rFonts w:cstheme="minorHAnsi"/>
        </w:rPr>
        <w:t>Secure Jobs, Better Pay</w:t>
      </w:r>
      <w:r w:rsidRPr="00167CB8">
        <w:rPr>
          <w:rFonts w:cstheme="minorHAnsi"/>
        </w:rPr>
        <w:t xml:space="preserve"> Act.  </w:t>
      </w:r>
    </w:p>
    <w:p w14:paraId="0C4C3C61" w14:textId="488DFD1A" w:rsidR="009A1D5D" w:rsidRPr="00167CB8" w:rsidRDefault="0024484D" w:rsidP="009A1D5D">
      <w:pPr>
        <w:pStyle w:val="Heading4"/>
        <w:rPr>
          <w:rFonts w:asciiTheme="minorHAnsi" w:hAnsiTheme="minorHAnsi"/>
        </w:rPr>
      </w:pPr>
      <w:bookmarkStart w:id="404" w:name="_Toc188003398"/>
      <w:bookmarkStart w:id="405" w:name="_Toc188277949"/>
      <w:bookmarkStart w:id="406" w:name="_Toc189260301"/>
      <w:bookmarkStart w:id="407" w:name="_Toc189393617"/>
      <w:r w:rsidRPr="00167CB8">
        <w:rPr>
          <w:rFonts w:asciiTheme="minorHAnsi" w:hAnsiTheme="minorHAnsi"/>
        </w:rPr>
        <w:t>28</w:t>
      </w:r>
      <w:r w:rsidR="001B77E5" w:rsidRPr="00167CB8">
        <w:rPr>
          <w:rFonts w:asciiTheme="minorHAnsi" w:hAnsiTheme="minorHAnsi"/>
        </w:rPr>
        <w:t>.1</w:t>
      </w:r>
      <w:r w:rsidR="009A1D5D" w:rsidRPr="00167CB8">
        <w:rPr>
          <w:rFonts w:asciiTheme="minorHAnsi" w:hAnsiTheme="minorHAnsi"/>
        </w:rPr>
        <w:t xml:space="preserve"> Amendments </w:t>
      </w:r>
      <w:r w:rsidR="00A44658" w:rsidRPr="00167CB8">
        <w:rPr>
          <w:rFonts w:asciiTheme="minorHAnsi" w:hAnsiTheme="minorHAnsi"/>
        </w:rPr>
        <w:t>and i</w:t>
      </w:r>
      <w:r w:rsidR="009A1D5D" w:rsidRPr="00167CB8">
        <w:rPr>
          <w:rFonts w:asciiTheme="minorHAnsi" w:hAnsiTheme="minorHAnsi"/>
        </w:rPr>
        <w:t>ntent</w:t>
      </w:r>
      <w:bookmarkEnd w:id="404"/>
      <w:bookmarkEnd w:id="405"/>
      <w:bookmarkEnd w:id="406"/>
      <w:bookmarkEnd w:id="407"/>
    </w:p>
    <w:p w14:paraId="63B509D6" w14:textId="6034DA5D" w:rsidR="009A1D5D" w:rsidRPr="00167CB8" w:rsidRDefault="009A1D5D" w:rsidP="006000ED">
      <w:pPr>
        <w:rPr>
          <w:rFonts w:cstheme="minorHAnsi"/>
        </w:rPr>
      </w:pPr>
      <w:r w:rsidRPr="00167CB8">
        <w:t xml:space="preserve">Part 8 </w:t>
      </w:r>
      <w:r w:rsidR="00754160" w:rsidRPr="00167CB8">
        <w:t xml:space="preserve">of Schedule 1 </w:t>
      </w:r>
      <w:r w:rsidR="009C7094" w:rsidRPr="00167CB8">
        <w:t>to</w:t>
      </w:r>
      <w:r w:rsidR="00754160" w:rsidRPr="00167CB8">
        <w:t xml:space="preserve"> the </w:t>
      </w:r>
      <w:r w:rsidR="00D86F0F" w:rsidRPr="00167CB8">
        <w:rPr>
          <w:rFonts w:cstheme="minorHAnsi"/>
        </w:rPr>
        <w:t>Secure Jobs, Better Pay</w:t>
      </w:r>
      <w:r w:rsidR="00754160" w:rsidRPr="00167CB8">
        <w:t xml:space="preserve"> Act</w:t>
      </w:r>
      <w:r w:rsidRPr="00167CB8">
        <w:t xml:space="preserve"> made several changes to the </w:t>
      </w:r>
      <w:r w:rsidR="00E60C76" w:rsidRPr="00167CB8">
        <w:t>Fair Work Act</w:t>
      </w:r>
      <w:r w:rsidRPr="00167CB8">
        <w:t>. The following section provides a summary of the main changes.</w:t>
      </w:r>
    </w:p>
    <w:p w14:paraId="33474437" w14:textId="507C193E" w:rsidR="009A1D5D" w:rsidRPr="00167CB8" w:rsidRDefault="0024484D" w:rsidP="009A1D5D">
      <w:pPr>
        <w:pStyle w:val="Heading5"/>
        <w:rPr>
          <w:rFonts w:asciiTheme="minorHAnsi" w:hAnsiTheme="minorHAnsi"/>
        </w:rPr>
      </w:pPr>
      <w:bookmarkStart w:id="408" w:name="_Toc188003399"/>
      <w:r w:rsidRPr="00167CB8">
        <w:rPr>
          <w:rFonts w:asciiTheme="minorHAnsi" w:hAnsiTheme="minorHAnsi"/>
        </w:rPr>
        <w:t>28</w:t>
      </w:r>
      <w:r w:rsidR="001B77E5" w:rsidRPr="00167CB8">
        <w:rPr>
          <w:rFonts w:asciiTheme="minorHAnsi" w:hAnsiTheme="minorHAnsi"/>
        </w:rPr>
        <w:t>.1.1</w:t>
      </w:r>
      <w:r w:rsidR="009A1D5D" w:rsidRPr="00167CB8">
        <w:rPr>
          <w:rFonts w:asciiTheme="minorHAnsi" w:hAnsiTheme="minorHAnsi"/>
        </w:rPr>
        <w:t xml:space="preserve"> </w:t>
      </w:r>
      <w:r w:rsidR="00D86F0F"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A44658" w:rsidRPr="00167CB8">
        <w:rPr>
          <w:rFonts w:asciiTheme="minorHAnsi" w:hAnsiTheme="minorHAnsi"/>
        </w:rPr>
        <w:t>a</w:t>
      </w:r>
      <w:r w:rsidR="009A1D5D" w:rsidRPr="00167CB8">
        <w:rPr>
          <w:rFonts w:asciiTheme="minorHAnsi" w:hAnsiTheme="minorHAnsi"/>
        </w:rPr>
        <w:t>mendments</w:t>
      </w:r>
      <w:bookmarkEnd w:id="408"/>
    </w:p>
    <w:p w14:paraId="5010B3EB" w14:textId="560BD8DA" w:rsidR="009A1D5D" w:rsidRPr="00167CB8" w:rsidRDefault="009A1D5D" w:rsidP="006000ED">
      <w:pPr>
        <w:spacing w:before="100" w:beforeAutospacing="1" w:after="100" w:afterAutospacing="1"/>
        <w:rPr>
          <w:rFonts w:eastAsia="Times New Roman" w:cs="Calibri"/>
          <w:lang w:eastAsia="en-AU"/>
        </w:rPr>
      </w:pPr>
      <w:r w:rsidRPr="00167CB8">
        <w:rPr>
          <w:rFonts w:eastAsia="Times New Roman" w:cs="Calibri"/>
          <w:lang w:eastAsia="en-AU"/>
        </w:rPr>
        <w:t xml:space="preserve">The main change to the </w:t>
      </w:r>
      <w:r w:rsidR="00E60C76" w:rsidRPr="00167CB8">
        <w:rPr>
          <w:rFonts w:eastAsia="Times New Roman" w:cs="Calibri"/>
          <w:lang w:eastAsia="en-AU"/>
        </w:rPr>
        <w:t>Fair Work</w:t>
      </w:r>
      <w:r w:rsidRPr="00167CB8">
        <w:rPr>
          <w:rFonts w:eastAsia="Times New Roman" w:cs="Calibri"/>
          <w:lang w:eastAsia="en-AU"/>
        </w:rPr>
        <w:t xml:space="preserve"> Act concerns the insertion of a new Part 3-5A</w:t>
      </w:r>
      <w:r w:rsidR="00A44658" w:rsidRPr="00167CB8">
        <w:rPr>
          <w:rFonts w:eastAsia="Times New Roman" w:cs="Calibri"/>
          <w:lang w:eastAsia="en-AU"/>
        </w:rPr>
        <w:t xml:space="preserve"> (</w:t>
      </w:r>
      <w:r w:rsidRPr="00167CB8">
        <w:rPr>
          <w:rFonts w:eastAsia="Times New Roman" w:cs="Calibri"/>
          <w:lang w:eastAsia="en-AU"/>
        </w:rPr>
        <w:t>Prohibiting sexual harassment in connection with work</w:t>
      </w:r>
      <w:r w:rsidR="00A44658" w:rsidRPr="00167CB8">
        <w:rPr>
          <w:rFonts w:eastAsia="Times New Roman" w:cs="Calibri"/>
          <w:lang w:eastAsia="en-AU"/>
        </w:rPr>
        <w:t>)</w:t>
      </w:r>
      <w:r w:rsidRPr="00167CB8">
        <w:rPr>
          <w:rFonts w:eastAsia="Times New Roman" w:cs="Calibri"/>
          <w:lang w:eastAsia="en-AU"/>
        </w:rPr>
        <w:t xml:space="preserve">. Division 1 </w:t>
      </w:r>
      <w:r w:rsidR="00BC605E" w:rsidRPr="00167CB8">
        <w:rPr>
          <w:rFonts w:eastAsia="Times New Roman" w:cs="Calibri"/>
          <w:lang w:eastAsia="en-AU"/>
        </w:rPr>
        <w:t xml:space="preserve">of the new Part 3-5A </w:t>
      </w:r>
      <w:r w:rsidRPr="00167CB8">
        <w:rPr>
          <w:rFonts w:eastAsia="Times New Roman" w:cs="Calibri"/>
          <w:lang w:eastAsia="en-AU"/>
        </w:rPr>
        <w:t xml:space="preserve">provides an </w:t>
      </w:r>
      <w:r w:rsidR="0045398D" w:rsidRPr="00167CB8">
        <w:rPr>
          <w:rFonts w:eastAsia="Times New Roman" w:cs="Calibri"/>
          <w:lang w:eastAsia="en-AU"/>
        </w:rPr>
        <w:t xml:space="preserve">introductory </w:t>
      </w:r>
      <w:r w:rsidR="00BC605E" w:rsidRPr="00167CB8">
        <w:rPr>
          <w:rFonts w:eastAsia="Times New Roman" w:cs="Calibri"/>
          <w:lang w:eastAsia="en-AU"/>
        </w:rPr>
        <w:t xml:space="preserve">guide and other </w:t>
      </w:r>
      <w:r w:rsidR="004574C3" w:rsidRPr="00167CB8">
        <w:rPr>
          <w:rFonts w:eastAsia="Times New Roman" w:cs="Calibri"/>
          <w:lang w:eastAsia="en-AU"/>
        </w:rPr>
        <w:t>technical matters for Part</w:t>
      </w:r>
      <w:r w:rsidR="005D1DC6" w:rsidRPr="00167CB8">
        <w:rPr>
          <w:rFonts w:eastAsia="Times New Roman" w:cs="Calibri"/>
          <w:lang w:eastAsia="en-AU"/>
        </w:rPr>
        <w:t> 3-5A</w:t>
      </w:r>
      <w:r w:rsidRPr="00167CB8">
        <w:rPr>
          <w:rFonts w:eastAsia="Times New Roman" w:cs="Calibri"/>
          <w:lang w:eastAsia="en-AU"/>
        </w:rPr>
        <w:t>. Division 2 prohibits sexual harassment in connection with work</w:t>
      </w:r>
      <w:r w:rsidR="00947759" w:rsidRPr="00167CB8">
        <w:rPr>
          <w:rFonts w:eastAsia="Times New Roman" w:cs="Calibri"/>
          <w:lang w:eastAsia="en-AU"/>
        </w:rPr>
        <w:t xml:space="preserve"> and </w:t>
      </w:r>
      <w:r w:rsidR="00324B09" w:rsidRPr="00167CB8">
        <w:rPr>
          <w:rFonts w:eastAsia="Times New Roman" w:cs="Calibri"/>
          <w:lang w:eastAsia="en-AU"/>
        </w:rPr>
        <w:t xml:space="preserve">provides matters on </w:t>
      </w:r>
      <w:r w:rsidR="00947759" w:rsidRPr="00167CB8">
        <w:rPr>
          <w:rFonts w:eastAsia="Times New Roman" w:cs="Calibri"/>
          <w:lang w:eastAsia="en-AU"/>
        </w:rPr>
        <w:t>vicarious liability</w:t>
      </w:r>
      <w:r w:rsidR="00A44658" w:rsidRPr="00167CB8">
        <w:rPr>
          <w:rFonts w:eastAsia="Times New Roman" w:cs="Calibri"/>
          <w:lang w:eastAsia="en-AU"/>
        </w:rPr>
        <w:t>.</w:t>
      </w:r>
      <w:r w:rsidRPr="00167CB8">
        <w:rPr>
          <w:rFonts w:eastAsia="Times New Roman" w:cs="Calibri"/>
          <w:lang w:eastAsia="en-AU"/>
        </w:rPr>
        <w:t xml:space="preserve"> Division 3 </w:t>
      </w:r>
      <w:r w:rsidR="00324B09" w:rsidRPr="00167CB8">
        <w:rPr>
          <w:rFonts w:eastAsia="Times New Roman" w:cs="Calibri"/>
          <w:lang w:eastAsia="en-AU"/>
        </w:rPr>
        <w:t xml:space="preserve">broadly </w:t>
      </w:r>
      <w:r w:rsidRPr="00167CB8">
        <w:rPr>
          <w:rFonts w:eastAsia="Times New Roman" w:cs="Calibri"/>
          <w:lang w:eastAsia="en-AU"/>
        </w:rPr>
        <w:t>deals with sexual harassment disputes.</w:t>
      </w:r>
    </w:p>
    <w:p w14:paraId="2BD31238" w14:textId="064C53FA" w:rsidR="009A1D5D" w:rsidRPr="00167CB8" w:rsidRDefault="009A1D5D" w:rsidP="006000ED">
      <w:pPr>
        <w:spacing w:before="100" w:beforeAutospacing="1" w:after="100" w:afterAutospacing="1"/>
        <w:rPr>
          <w:rFonts w:eastAsia="Times New Roman" w:cs="Calibri"/>
          <w:lang w:eastAsia="en-AU"/>
        </w:rPr>
      </w:pPr>
      <w:r w:rsidRPr="00167CB8">
        <w:rPr>
          <w:rFonts w:eastAsia="Times New Roman" w:cs="Calibri"/>
          <w:lang w:eastAsia="en-AU"/>
        </w:rPr>
        <w:t>Focusing on Division 2 (</w:t>
      </w:r>
      <w:r w:rsidR="00455A87" w:rsidRPr="00167CB8">
        <w:rPr>
          <w:rFonts w:eastAsia="Times New Roman" w:cs="Calibri"/>
          <w:lang w:eastAsia="en-AU"/>
        </w:rPr>
        <w:t>P</w:t>
      </w:r>
      <w:r w:rsidRPr="00167CB8">
        <w:rPr>
          <w:rFonts w:eastAsia="Times New Roman" w:cs="Calibri"/>
          <w:lang w:eastAsia="en-AU"/>
        </w:rPr>
        <w:t>rohibiting sexual harassment in connection with work), the key amendments are:</w:t>
      </w:r>
    </w:p>
    <w:p w14:paraId="5B6EABA2" w14:textId="559E83AA" w:rsidR="009A1D5D" w:rsidRPr="00167CB8" w:rsidRDefault="009A1D5D" w:rsidP="00EA3E2F">
      <w:pPr>
        <w:pStyle w:val="ListBullet"/>
      </w:pPr>
      <w:r w:rsidRPr="00167CB8">
        <w:t xml:space="preserve">Section 527D(1): </w:t>
      </w:r>
      <w:r w:rsidR="00A44658" w:rsidRPr="00167CB8">
        <w:t>‘</w:t>
      </w:r>
      <w:r w:rsidRPr="00167CB8">
        <w:t>A person (the first person) must not sexually harass another person (the second person) who is: (a) a worker in a business or undertaking; or (b) seeking to become a worker in a particular business or undertaking; or (c) a person conducting a business or undertaking</w:t>
      </w:r>
      <w:r w:rsidR="00A44658" w:rsidRPr="00167CB8">
        <w:t>’.</w:t>
      </w:r>
    </w:p>
    <w:p w14:paraId="3FBB5605" w14:textId="5833EE81" w:rsidR="009A1D5D" w:rsidRPr="00167CB8" w:rsidRDefault="009A1D5D" w:rsidP="00EA3E2F">
      <w:pPr>
        <w:pStyle w:val="ListBullet"/>
      </w:pPr>
      <w:r w:rsidRPr="00167CB8">
        <w:t xml:space="preserve">Section 527D(2): </w:t>
      </w:r>
      <w:r w:rsidR="00A44658" w:rsidRPr="00167CB8">
        <w:t>‘</w:t>
      </w:r>
      <w:r w:rsidRPr="00167CB8">
        <w:t xml:space="preserve">For the purpose of this Part, worker has the same meaning as in the </w:t>
      </w:r>
      <w:r w:rsidRPr="00167CB8">
        <w:rPr>
          <w:i/>
          <w:iCs/>
        </w:rPr>
        <w:t>Work Health and Safety Act 2011</w:t>
      </w:r>
      <w:r w:rsidR="00A44658" w:rsidRPr="00167CB8">
        <w:t xml:space="preserve">’ </w:t>
      </w:r>
      <w:r w:rsidR="00A44658" w:rsidRPr="00167CB8">
        <w:rPr>
          <w:rFonts w:ascii="Symbol" w:eastAsia="Symbol" w:hAnsi="Symbol" w:cs="Symbol"/>
        </w:rPr>
        <w:sym w:font="Symbol" w:char="F02D"/>
      </w:r>
      <w:r w:rsidR="00A44658" w:rsidRPr="00167CB8">
        <w:t xml:space="preserve"> in </w:t>
      </w:r>
      <w:r w:rsidRPr="00167CB8">
        <w:t>this regard</w:t>
      </w:r>
      <w:r w:rsidR="00A44658" w:rsidRPr="00167CB8">
        <w:t>,</w:t>
      </w:r>
      <w:r w:rsidRPr="00167CB8">
        <w:t xml:space="preserve"> </w:t>
      </w:r>
      <w:r w:rsidR="00A44658" w:rsidRPr="00167CB8">
        <w:t>‘</w:t>
      </w:r>
      <w:r w:rsidRPr="00167CB8">
        <w:t>a worker is an individual who performs work in any capacity, including as an employee, a contractor, a subcontractor, an outworker, an apprentice, a trainee, a student gaining work experience or a volunteer</w:t>
      </w:r>
      <w:r w:rsidR="00A44658" w:rsidRPr="00167CB8">
        <w:t>’</w:t>
      </w:r>
      <w:r w:rsidRPr="00167CB8">
        <w:t>.</w:t>
      </w:r>
    </w:p>
    <w:p w14:paraId="10DFD470" w14:textId="5B51B69C" w:rsidR="009A1D5D" w:rsidRPr="00167CB8" w:rsidRDefault="009A1D5D" w:rsidP="00EA3E2F">
      <w:pPr>
        <w:pStyle w:val="ListBullet"/>
      </w:pPr>
      <w:r w:rsidRPr="00167CB8">
        <w:t xml:space="preserve">Section 527E: This is a new section that establishes vicarious liability for employers regarding acts of sexual harassment committed by their employees or agents in connection with work. However, the employer may, potentially, not be found liable if they can show that they took all reasonable steps to prevent sexual harassment from occurring. </w:t>
      </w:r>
    </w:p>
    <w:p w14:paraId="75E57F43" w14:textId="206417D6" w:rsidR="009A1D5D" w:rsidRPr="00167CB8" w:rsidRDefault="009A1D5D" w:rsidP="006000ED">
      <w:pPr>
        <w:spacing w:before="100" w:beforeAutospacing="1" w:after="100" w:afterAutospacing="1"/>
        <w:rPr>
          <w:rFonts w:eastAsia="Times New Roman" w:cs="Calibri"/>
          <w:lang w:eastAsia="en-AU"/>
        </w:rPr>
      </w:pPr>
      <w:r w:rsidRPr="00167CB8">
        <w:rPr>
          <w:rFonts w:eastAsia="Times New Roman" w:cs="Calibri"/>
          <w:lang w:eastAsia="en-AU"/>
        </w:rPr>
        <w:t xml:space="preserve">Division 3 (dealing with sexual harassment disputes) may be </w:t>
      </w:r>
      <w:r w:rsidR="00A25F62" w:rsidRPr="00167CB8">
        <w:rPr>
          <w:rFonts w:eastAsia="Times New Roman" w:cs="Calibri"/>
          <w:lang w:eastAsia="en-AU"/>
        </w:rPr>
        <w:t xml:space="preserve">broadly </w:t>
      </w:r>
      <w:r w:rsidRPr="00167CB8">
        <w:rPr>
          <w:rFonts w:eastAsia="Times New Roman" w:cs="Calibri"/>
          <w:lang w:eastAsia="en-AU"/>
        </w:rPr>
        <w:t>summarised as follows:</w:t>
      </w:r>
    </w:p>
    <w:p w14:paraId="00501E7C" w14:textId="29909E12" w:rsidR="009A1D5D" w:rsidRPr="00167CB8" w:rsidRDefault="009A1D5D" w:rsidP="00EA3E2F">
      <w:pPr>
        <w:pStyle w:val="ListBullet"/>
      </w:pPr>
      <w:r w:rsidRPr="00167CB8">
        <w:t xml:space="preserve">Section 527F: This section sets out what an ‘aggrieved person’ or their representative may ask the </w:t>
      </w:r>
      <w:r w:rsidR="00817E65" w:rsidRPr="00167CB8">
        <w:t>Fair Work Commission (</w:t>
      </w:r>
      <w:r w:rsidRPr="00167CB8">
        <w:t>FWC</w:t>
      </w:r>
      <w:r w:rsidR="00817E65" w:rsidRPr="00167CB8">
        <w:t>)</w:t>
      </w:r>
      <w:r w:rsidRPr="00167CB8">
        <w:t xml:space="preserve"> to do when dealing with the dispute. The FWC may make a stop order or they may try to resolve the dispute (e.g. through conciliation, mediation, making a recommendation or arbitration by consent). </w:t>
      </w:r>
    </w:p>
    <w:p w14:paraId="1CAE3951" w14:textId="07E942D8" w:rsidR="009A1D5D" w:rsidRPr="00167CB8" w:rsidRDefault="009A1D5D" w:rsidP="00EA3E2F">
      <w:pPr>
        <w:pStyle w:val="ListBullet"/>
      </w:pPr>
      <w:r w:rsidRPr="00167CB8">
        <w:t>Section 527G: This section concerns the time for application</w:t>
      </w:r>
      <w:r w:rsidR="00817E65" w:rsidRPr="00167CB8">
        <w:t>:</w:t>
      </w:r>
      <w:r w:rsidRPr="00167CB8">
        <w:t xml:space="preserve"> </w:t>
      </w:r>
      <w:r w:rsidR="00817E65" w:rsidRPr="00167CB8">
        <w:t>‘</w:t>
      </w:r>
      <w:r w:rsidR="00C07807" w:rsidRPr="00167CB8">
        <w:t>[t]</w:t>
      </w:r>
      <w:r w:rsidRPr="00167CB8">
        <w:t xml:space="preserve">he FWC may dismiss an application that is made under </w:t>
      </w:r>
      <w:r w:rsidR="00EC7DBC" w:rsidRPr="00167CB8">
        <w:t>s.</w:t>
      </w:r>
      <w:r w:rsidRPr="00167CB8">
        <w:t>527F more than 24 months after the contravention, or the last of the contraventions, of Division 2 is alleged to have occurred.</w:t>
      </w:r>
      <w:r w:rsidR="00817E65" w:rsidRPr="00167CB8">
        <w:t>’</w:t>
      </w:r>
    </w:p>
    <w:p w14:paraId="62D989BA" w14:textId="5681C2BD" w:rsidR="009A1D5D" w:rsidRPr="00167CB8" w:rsidRDefault="009A1D5D" w:rsidP="00EA3E2F">
      <w:pPr>
        <w:pStyle w:val="ListBullet"/>
      </w:pPr>
      <w:r w:rsidRPr="00167CB8">
        <w:t xml:space="preserve">Section 527H: This section states that an application to the FWC to deal with a sexual harassment dispute must be accompanied by a fee. It also states that regulations may </w:t>
      </w:r>
      <w:r w:rsidRPr="00167CB8">
        <w:lastRenderedPageBreak/>
        <w:t>prescribe</w:t>
      </w:r>
      <w:r w:rsidR="006769FF" w:rsidRPr="00167CB8">
        <w:t>, relevantly,</w:t>
      </w:r>
      <w:r w:rsidRPr="00167CB8">
        <w:t xml:space="preserve"> </w:t>
      </w:r>
      <w:r w:rsidR="00817E65" w:rsidRPr="00167CB8">
        <w:t>‘</w:t>
      </w:r>
      <w:r w:rsidRPr="00167CB8">
        <w:t xml:space="preserve">(c) the circumstances in which all or part of the fee may be </w:t>
      </w:r>
      <w:r w:rsidR="00C07807" w:rsidRPr="00167CB8">
        <w:t>waived</w:t>
      </w:r>
      <w:r w:rsidRPr="00167CB8">
        <w:t xml:space="preserve"> or refunded</w:t>
      </w:r>
      <w:r w:rsidR="00817E65" w:rsidRPr="00167CB8">
        <w:t>’</w:t>
      </w:r>
      <w:r w:rsidRPr="00167CB8">
        <w:t xml:space="preserve">. </w:t>
      </w:r>
    </w:p>
    <w:p w14:paraId="4E85A0BA" w14:textId="3BF999D4" w:rsidR="009A1D5D" w:rsidRPr="00167CB8" w:rsidRDefault="009A1D5D" w:rsidP="00EA3E2F">
      <w:pPr>
        <w:pStyle w:val="ListBullet"/>
      </w:pPr>
      <w:r w:rsidRPr="00167CB8">
        <w:t>Section 527J: This section sets out the matters related to ‘stop sexual harassment orders’</w:t>
      </w:r>
      <w:r w:rsidR="00D911E2" w:rsidRPr="00167CB8">
        <w:t xml:space="preserve"> including that t</w:t>
      </w:r>
      <w:r w:rsidRPr="00167CB8">
        <w:t>he FWC may dismiss an application if the application relates to Australia’s defence or national security</w:t>
      </w:r>
      <w:r w:rsidR="00D911E2" w:rsidRPr="00167CB8">
        <w:t>, amongst other matters</w:t>
      </w:r>
      <w:r w:rsidRPr="00167CB8">
        <w:t>.</w:t>
      </w:r>
    </w:p>
    <w:p w14:paraId="0CAE1568" w14:textId="1F8B0667" w:rsidR="006B7B79" w:rsidRPr="00167CB8" w:rsidRDefault="006B7B79" w:rsidP="009A1D5D">
      <w:pPr>
        <w:rPr>
          <w:color w:val="777778" w:themeColor="accent5"/>
        </w:rPr>
      </w:pPr>
      <w:r w:rsidRPr="00167CB8">
        <w:rPr>
          <w:rFonts w:eastAsia="Times New Roman" w:cs="Calibri"/>
          <w:lang w:eastAsia="en-AU"/>
        </w:rPr>
        <w:t>These amendments commenced in two stages, on 6 March 2023 and 9 June 2024.</w:t>
      </w:r>
    </w:p>
    <w:p w14:paraId="3248C43D" w14:textId="4B18ACCB" w:rsidR="009A1D5D" w:rsidRPr="00167CB8" w:rsidRDefault="0024484D" w:rsidP="009A1D5D">
      <w:pPr>
        <w:pStyle w:val="Heading5"/>
        <w:rPr>
          <w:rFonts w:asciiTheme="minorHAnsi" w:hAnsiTheme="minorHAnsi"/>
        </w:rPr>
      </w:pPr>
      <w:bookmarkStart w:id="409" w:name="_Toc188003400"/>
      <w:r w:rsidRPr="00167CB8">
        <w:rPr>
          <w:rFonts w:asciiTheme="minorHAnsi" w:hAnsiTheme="minorHAnsi"/>
        </w:rPr>
        <w:t>28</w:t>
      </w:r>
      <w:r w:rsidR="001B77E5" w:rsidRPr="00167CB8">
        <w:rPr>
          <w:rFonts w:asciiTheme="minorHAnsi" w:hAnsiTheme="minorHAnsi"/>
        </w:rPr>
        <w:t>.1.2</w:t>
      </w:r>
      <w:r w:rsidR="009A1D5D" w:rsidRPr="00167CB8">
        <w:rPr>
          <w:rFonts w:asciiTheme="minorHAnsi" w:hAnsiTheme="minorHAnsi"/>
        </w:rPr>
        <w:t xml:space="preserve"> Intent of </w:t>
      </w:r>
      <w:r w:rsidR="00D86F0F" w:rsidRPr="00167CB8">
        <w:rPr>
          <w:rFonts w:cstheme="minorHAnsi"/>
        </w:rPr>
        <w:t xml:space="preserve">Secure Jobs, Better </w:t>
      </w:r>
      <w:r w:rsidR="00E42AC2" w:rsidRPr="00167CB8">
        <w:rPr>
          <w:rFonts w:cstheme="minorHAnsi"/>
        </w:rPr>
        <w:t>Pay</w:t>
      </w:r>
      <w:r w:rsidR="009A1D5D" w:rsidRPr="00167CB8">
        <w:rPr>
          <w:rFonts w:cstheme="minorHAnsi"/>
        </w:rPr>
        <w:t xml:space="preserve"> </w:t>
      </w:r>
      <w:r w:rsidR="00817E65" w:rsidRPr="00167CB8">
        <w:rPr>
          <w:rFonts w:asciiTheme="minorHAnsi" w:hAnsiTheme="minorHAnsi"/>
        </w:rPr>
        <w:t>a</w:t>
      </w:r>
      <w:r w:rsidR="009A1D5D" w:rsidRPr="00167CB8">
        <w:rPr>
          <w:rFonts w:asciiTheme="minorHAnsi" w:hAnsiTheme="minorHAnsi"/>
        </w:rPr>
        <w:t>mendments</w:t>
      </w:r>
      <w:bookmarkEnd w:id="409"/>
      <w:r w:rsidR="009A1D5D" w:rsidRPr="00167CB8" w:rsidDel="003072B8">
        <w:rPr>
          <w:rFonts w:asciiTheme="minorHAnsi" w:hAnsiTheme="minorHAnsi"/>
        </w:rPr>
        <w:t xml:space="preserve"> </w:t>
      </w:r>
    </w:p>
    <w:p w14:paraId="2C9D3898" w14:textId="5FF700F5" w:rsidR="009A1D5D" w:rsidRPr="00167CB8" w:rsidRDefault="009A1D5D" w:rsidP="006000ED">
      <w:r w:rsidRPr="00167CB8">
        <w:t>The</w:t>
      </w:r>
      <w:r w:rsidR="00CB54F8" w:rsidRPr="00167CB8">
        <w:t>se</w:t>
      </w:r>
      <w:r w:rsidRPr="00167CB8">
        <w:t xml:space="preserve"> reforms are </w:t>
      </w:r>
      <w:r w:rsidR="00CB54F8" w:rsidRPr="00167CB8">
        <w:t xml:space="preserve">intended </w:t>
      </w:r>
      <w:r w:rsidRPr="00167CB8">
        <w:t xml:space="preserve">to improve gender equality by </w:t>
      </w:r>
      <w:r w:rsidR="00817E65" w:rsidRPr="00167CB8">
        <w:t>‘</w:t>
      </w:r>
      <w:r w:rsidRPr="00167CB8">
        <w:t>achieving safe, productive and gender equitable workplaces</w:t>
      </w:r>
      <w:r w:rsidR="00817E65" w:rsidRPr="00167CB8">
        <w:t>’</w:t>
      </w:r>
      <w:r w:rsidRPr="00167CB8">
        <w:t>.</w:t>
      </w:r>
      <w:r w:rsidRPr="00167CB8">
        <w:rPr>
          <w:rStyle w:val="FootnoteReference"/>
        </w:rPr>
        <w:footnoteReference w:id="887"/>
      </w:r>
      <w:r w:rsidRPr="00167CB8">
        <w:t xml:space="preserve"> </w:t>
      </w:r>
    </w:p>
    <w:p w14:paraId="1542AD53" w14:textId="42B41CA7" w:rsidR="00FA6E89" w:rsidRPr="00167CB8" w:rsidRDefault="00FA6E89" w:rsidP="006000ED">
      <w:r w:rsidRPr="00167CB8">
        <w:t xml:space="preserve">Prior to the </w:t>
      </w:r>
      <w:r w:rsidR="00D86F0F" w:rsidRPr="00167CB8">
        <w:rPr>
          <w:rFonts w:cstheme="minorHAnsi"/>
        </w:rPr>
        <w:t>Secure Jobs, Better Pay</w:t>
      </w:r>
      <w:r w:rsidRPr="00167CB8">
        <w:t xml:space="preserve"> amendments:</w:t>
      </w:r>
      <w:r w:rsidR="00817E65" w:rsidRPr="00167CB8">
        <w:rPr>
          <w:vertAlign w:val="superscript"/>
        </w:rPr>
        <w:footnoteReference w:id="888"/>
      </w:r>
    </w:p>
    <w:p w14:paraId="39FFFDC1" w14:textId="79DC47BF" w:rsidR="00FA6E89" w:rsidRPr="00167CB8" w:rsidRDefault="00817E65" w:rsidP="00817E65">
      <w:pPr>
        <w:pStyle w:val="Quote"/>
      </w:pPr>
      <w:r w:rsidRPr="00167CB8">
        <w:t xml:space="preserve">[The Fair Work Act did] </w:t>
      </w:r>
      <w:r w:rsidR="00FA6E89" w:rsidRPr="00167CB8">
        <w:t>not expressly prohibit sexual harassment. However, it [could] be raised indirectly in matters brought to the Fair Work Commission through a number of provisions: general protections against ‘adverse action’ on the basis of a workplace right; general protections against ‘adverse action’ on the basis of sex’; the anti-bullying jurisdiction; unfair dismissal; unlawful termination on the grounds of sex</w:t>
      </w:r>
      <w:r w:rsidR="000C5A97" w:rsidRPr="00167CB8">
        <w:t>.</w:t>
      </w:r>
      <w:r w:rsidR="00FA6E89" w:rsidRPr="00167CB8">
        <w:t xml:space="preserve"> </w:t>
      </w:r>
    </w:p>
    <w:p w14:paraId="2690F04B" w14:textId="4656D152" w:rsidR="009A1D5D" w:rsidRPr="00167CB8" w:rsidRDefault="009A1D5D" w:rsidP="006000ED">
      <w:r w:rsidRPr="00167CB8">
        <w:t>The</w:t>
      </w:r>
      <w:r w:rsidR="00FA6E89" w:rsidRPr="00167CB8">
        <w:t>se reforms</w:t>
      </w:r>
      <w:r w:rsidRPr="00167CB8">
        <w:t xml:space="preserve"> </w:t>
      </w:r>
      <w:r w:rsidR="00332987" w:rsidRPr="00167CB8">
        <w:t xml:space="preserve">intend </w:t>
      </w:r>
      <w:r w:rsidRPr="00167CB8">
        <w:t xml:space="preserve">to offer workers a simple, efficient, and affordable process for lodging complaints. The changes broaden the range of jurisdictions that can address sexual harassment complaints, with the FWC pathway designed to facilitate prompt resolution and support victim-survivors in maintaining their workplace connections. </w:t>
      </w:r>
    </w:p>
    <w:p w14:paraId="4075A507" w14:textId="5C906DD2" w:rsidR="00FA6E89" w:rsidRPr="00167CB8" w:rsidRDefault="00FA6E89" w:rsidP="006000ED">
      <w:r w:rsidRPr="00167CB8">
        <w:t xml:space="preserve">The changes were made in response to the Australian Human Rights Commission’s (AHRC) </w:t>
      </w:r>
      <w:r w:rsidRPr="00167CB8">
        <w:rPr>
          <w:i/>
          <w:iCs/>
        </w:rPr>
        <w:t>Respect@Work: Sexual Harassment National Inquiry Report 2020</w:t>
      </w:r>
      <w:r w:rsidRPr="00167CB8">
        <w:rPr>
          <w:rStyle w:val="FootnoteReference"/>
        </w:rPr>
        <w:footnoteReference w:id="889"/>
      </w:r>
      <w:r w:rsidRPr="00167CB8">
        <w:t xml:space="preserve"> </w:t>
      </w:r>
      <w:r w:rsidR="00817E65" w:rsidRPr="00167CB8">
        <w:t xml:space="preserve">(Respect@Work Report). </w:t>
      </w:r>
      <w:r w:rsidRPr="00167CB8">
        <w:t>This inquiry was established in response to evidence that sexual harassment in Australian workplaces was ‘widespread and pervasive’ and the approach to addressing it was complex, making it hard for aggrieved persons to make a complaint. A key recommendation (recommendation 28) of the Respect@Work</w:t>
      </w:r>
      <w:r w:rsidRPr="00167CB8">
        <w:rPr>
          <w:i/>
          <w:iCs/>
        </w:rPr>
        <w:t xml:space="preserve"> </w:t>
      </w:r>
      <w:r w:rsidR="00817E65" w:rsidRPr="00167CB8">
        <w:t>R</w:t>
      </w:r>
      <w:r w:rsidRPr="00167CB8">
        <w:t xml:space="preserve">eport was that </w:t>
      </w:r>
      <w:r w:rsidR="00817E65" w:rsidRPr="00167CB8">
        <w:t>‘</w:t>
      </w:r>
      <w:r w:rsidR="005044BE" w:rsidRPr="00167CB8">
        <w:t>[t]</w:t>
      </w:r>
      <w:r w:rsidRPr="00167CB8">
        <w:t>he Fair Work system be reviewed to ensure and clarify that sexual harassment, using the definition in the Sex Discrimination Act, is expressly prohibited</w:t>
      </w:r>
      <w:r w:rsidR="00817E65" w:rsidRPr="00167CB8">
        <w:t>’</w:t>
      </w:r>
      <w:r w:rsidRPr="00167CB8">
        <w:t xml:space="preserve">.  </w:t>
      </w:r>
    </w:p>
    <w:p w14:paraId="5C8AC771" w14:textId="2BD20AF9" w:rsidR="009A1D5D" w:rsidRPr="00167CB8" w:rsidRDefault="009A1D5D" w:rsidP="006000ED">
      <w:r w:rsidRPr="00167CB8">
        <w:t xml:space="preserve">In the federal jurisdiction there are </w:t>
      </w:r>
      <w:r w:rsidR="00817E65" w:rsidRPr="00167CB8">
        <w:t xml:space="preserve">3 </w:t>
      </w:r>
      <w:r w:rsidRPr="00167CB8">
        <w:t>key pieces of legislation concerning sexual harassment:</w:t>
      </w:r>
    </w:p>
    <w:p w14:paraId="5312292B" w14:textId="1D8C262F" w:rsidR="009A1D5D" w:rsidRPr="00167CB8" w:rsidRDefault="009A1D5D" w:rsidP="00EA3E2F">
      <w:pPr>
        <w:pStyle w:val="ListBullet"/>
      </w:pPr>
      <w:r w:rsidRPr="00167CB8">
        <w:t>Sex Discrimination Act 1984 (Cth)</w:t>
      </w:r>
    </w:p>
    <w:p w14:paraId="7AC23EC5" w14:textId="77777777" w:rsidR="009A1D5D" w:rsidRPr="00167CB8" w:rsidRDefault="009A1D5D" w:rsidP="00EA3E2F">
      <w:pPr>
        <w:pStyle w:val="ListBullet"/>
      </w:pPr>
      <w:r w:rsidRPr="00167CB8">
        <w:t>Australian Human Rights Commission Act 1986 (Cth)</w:t>
      </w:r>
    </w:p>
    <w:p w14:paraId="08EEF7D7" w14:textId="24A19A7D" w:rsidR="009A1D5D" w:rsidRPr="00167CB8" w:rsidRDefault="009A1D5D" w:rsidP="00EA3E2F">
      <w:pPr>
        <w:pStyle w:val="ListBullet"/>
      </w:pPr>
      <w:r w:rsidRPr="00167CB8">
        <w:t>Fair Work Act 2009 (Cth)</w:t>
      </w:r>
    </w:p>
    <w:p w14:paraId="52A6B8B7" w14:textId="77777777" w:rsidR="009A1D5D" w:rsidRPr="00167CB8" w:rsidRDefault="009A1D5D" w:rsidP="006000ED">
      <w:r w:rsidRPr="00167CB8">
        <w:lastRenderedPageBreak/>
        <w:t>In addition to the above there are also state anti-discrimination laws and state workplace relation laws and work health and safety laws.</w:t>
      </w:r>
      <w:r w:rsidRPr="00167CB8">
        <w:rPr>
          <w:rStyle w:val="FootnoteReference"/>
        </w:rPr>
        <w:footnoteReference w:id="890"/>
      </w:r>
      <w:r w:rsidRPr="00167CB8">
        <w:t xml:space="preserve"> </w:t>
      </w:r>
    </w:p>
    <w:p w14:paraId="33FE99CA" w14:textId="77777777" w:rsidR="00CD3473" w:rsidRPr="00167CB8" w:rsidRDefault="00CD3473" w:rsidP="00CD3473">
      <w:pPr>
        <w:rPr>
          <w:rFonts w:cstheme="minorHAnsi"/>
        </w:rPr>
      </w:pPr>
      <w:r w:rsidRPr="00167CB8">
        <w:rPr>
          <w:rFonts w:cstheme="minorHAnsi"/>
        </w:rPr>
        <w:t>Employees may lodge complaints via multiple avenues, including:</w:t>
      </w:r>
    </w:p>
    <w:p w14:paraId="495EB8DE" w14:textId="33FBCBB3" w:rsidR="00CD3473" w:rsidRPr="00167CB8" w:rsidRDefault="00817E65" w:rsidP="00EA3E2F">
      <w:pPr>
        <w:pStyle w:val="ListBullet"/>
      </w:pPr>
      <w:r w:rsidRPr="00167CB8">
        <w:t xml:space="preserve">the </w:t>
      </w:r>
      <w:r w:rsidR="00EB01E8" w:rsidRPr="00167CB8">
        <w:t>FWC</w:t>
      </w:r>
      <w:r w:rsidR="00CD3473" w:rsidRPr="00167CB8">
        <w:t xml:space="preserve"> – for stop sexual harassment orders or applications to deal with the dispute </w:t>
      </w:r>
    </w:p>
    <w:p w14:paraId="51E6F85C" w14:textId="5DC25250" w:rsidR="00CD3473" w:rsidRPr="00167CB8" w:rsidRDefault="00817E65" w:rsidP="00EA3E2F">
      <w:pPr>
        <w:pStyle w:val="ListBullet"/>
      </w:pPr>
      <w:r w:rsidRPr="00167CB8">
        <w:t>the Australian Human Rights Commission (</w:t>
      </w:r>
      <w:r w:rsidR="00CD3473" w:rsidRPr="00167CB8">
        <w:t>AHRC</w:t>
      </w:r>
      <w:r w:rsidRPr="00167CB8">
        <w:t>)</w:t>
      </w:r>
      <w:r w:rsidR="00CD3473" w:rsidRPr="00167CB8">
        <w:t xml:space="preserve"> – </w:t>
      </w:r>
      <w:r w:rsidRPr="00167CB8">
        <w:t xml:space="preserve">which </w:t>
      </w:r>
      <w:r w:rsidR="00CD3473" w:rsidRPr="00167CB8">
        <w:t>deal</w:t>
      </w:r>
      <w:r w:rsidRPr="00167CB8">
        <w:t>s</w:t>
      </w:r>
      <w:r w:rsidR="00CD3473" w:rsidRPr="00167CB8">
        <w:t xml:space="preserve"> with complaints under the </w:t>
      </w:r>
      <w:r w:rsidR="00CD3473" w:rsidRPr="00167CB8">
        <w:rPr>
          <w:i/>
          <w:iCs/>
        </w:rPr>
        <w:t>Sex Discrimination Act 1984</w:t>
      </w:r>
    </w:p>
    <w:p w14:paraId="24D2C7DA" w14:textId="69F51776" w:rsidR="00CD3473" w:rsidRPr="00167CB8" w:rsidRDefault="00817E65" w:rsidP="00EA3E2F">
      <w:pPr>
        <w:pStyle w:val="ListBullet"/>
      </w:pPr>
      <w:r w:rsidRPr="00167CB8">
        <w:t>w</w:t>
      </w:r>
      <w:r w:rsidR="00CD3473" w:rsidRPr="00167CB8">
        <w:t xml:space="preserve">ork </w:t>
      </w:r>
      <w:r w:rsidR="00CA2017" w:rsidRPr="00167CB8">
        <w:t>h</w:t>
      </w:r>
      <w:r w:rsidR="00CD3473" w:rsidRPr="00167CB8">
        <w:t xml:space="preserve">ealth and </w:t>
      </w:r>
      <w:r w:rsidR="00CA2017" w:rsidRPr="00167CB8">
        <w:t>s</w:t>
      </w:r>
      <w:r w:rsidR="00CD3473" w:rsidRPr="00167CB8">
        <w:t xml:space="preserve">afety regulators – </w:t>
      </w:r>
      <w:r w:rsidRPr="00167CB8">
        <w:t xml:space="preserve">which </w:t>
      </w:r>
      <w:r w:rsidR="00CD3473" w:rsidRPr="00167CB8">
        <w:t>deal with complaints as a workplace safety issue.</w:t>
      </w:r>
    </w:p>
    <w:p w14:paraId="0093D8A5" w14:textId="00FB4B90" w:rsidR="009A1D5D" w:rsidRPr="00167CB8" w:rsidRDefault="009A1D5D" w:rsidP="006000ED">
      <w:r w:rsidRPr="00167CB8">
        <w:t xml:space="preserve">At the same time a new ‘positive duty’ on employers, businesses and organisations was also included in the </w:t>
      </w:r>
      <w:r w:rsidRPr="00167CB8">
        <w:rPr>
          <w:i/>
          <w:iCs/>
        </w:rPr>
        <w:t>Sex Discrimination Act 1984</w:t>
      </w:r>
      <w:r w:rsidRPr="00167CB8">
        <w:t>.</w:t>
      </w:r>
      <w:r w:rsidRPr="00167CB8">
        <w:rPr>
          <w:rStyle w:val="FootnoteReference"/>
        </w:rPr>
        <w:footnoteReference w:id="891"/>
      </w:r>
      <w:r w:rsidRPr="00167CB8">
        <w:t xml:space="preserve"> </w:t>
      </w:r>
      <w:r w:rsidR="00CE4DE7" w:rsidRPr="00167CB8">
        <w:t xml:space="preserve">   </w:t>
      </w:r>
    </w:p>
    <w:p w14:paraId="4679022D" w14:textId="7A91F1CB" w:rsidR="009A1D5D" w:rsidRPr="00167CB8" w:rsidRDefault="009A1D5D" w:rsidP="006000ED">
      <w:r w:rsidRPr="00167CB8">
        <w:t xml:space="preserve">The Respect@Work Council’s 2022 </w:t>
      </w:r>
      <w:r w:rsidR="00817E65" w:rsidRPr="00167CB8">
        <w:t>g</w:t>
      </w:r>
      <w:r w:rsidRPr="00167CB8">
        <w:t>uide to external pathways in Australia to address sexual harassment sets out the eligibility requirements and appropriateness of different pathways, including anti-discrimination and human rights bodies, workplace relations bodies, workers’ compensation bodies and work health and safety regulators.</w:t>
      </w:r>
      <w:r w:rsidRPr="00167CB8">
        <w:rPr>
          <w:rStyle w:val="FootnoteReference"/>
        </w:rPr>
        <w:footnoteReference w:id="892"/>
      </w:r>
      <w:r w:rsidRPr="00167CB8">
        <w:t xml:space="preserve"> </w:t>
      </w:r>
      <w:r w:rsidR="00CA2017" w:rsidRPr="00167CB8">
        <w:t>The below table provides a high-level overview of the key differences between the FWC</w:t>
      </w:r>
      <w:r w:rsidR="00E23C70" w:rsidRPr="00167CB8">
        <w:t>’s jurisdiction to issue stop sexual harassment orders</w:t>
      </w:r>
      <w:r w:rsidR="00CA2017" w:rsidRPr="00167CB8">
        <w:t>, AHRC, and work health and safety regulators</w:t>
      </w:r>
      <w:r w:rsidR="009B73F1" w:rsidRPr="00167CB8">
        <w:t xml:space="preserve"> and is not intended to be a comprehensive comparison of avenues.</w:t>
      </w:r>
      <w:r w:rsidR="00AA3DD2" w:rsidRPr="00167CB8" w:rsidDel="00AA3DD2">
        <w:t xml:space="preserve"> </w:t>
      </w:r>
    </w:p>
    <w:p w14:paraId="4FEE3B54" w14:textId="77777777" w:rsidR="00C262DB" w:rsidRDefault="00C262DB">
      <w:pPr>
        <w:spacing w:after="160"/>
        <w:rPr>
          <w:rFonts w:cs="Calibri"/>
          <w:b/>
          <w:bCs/>
          <w:lang w:val="en-US"/>
        </w:rPr>
      </w:pPr>
      <w:r>
        <w:br w:type="page"/>
      </w:r>
    </w:p>
    <w:p w14:paraId="1C28ABC4" w14:textId="66E08F81" w:rsidR="00817E65" w:rsidRPr="00167CB8" w:rsidRDefault="00817E65" w:rsidP="00470AB9">
      <w:pPr>
        <w:pStyle w:val="Caption"/>
      </w:pPr>
      <w:r w:rsidRPr="00167CB8">
        <w:lastRenderedPageBreak/>
        <w:t xml:space="preserve">Table </w:t>
      </w:r>
      <w:r w:rsidR="00B43074" w:rsidRPr="00167CB8">
        <w:t>19</w:t>
      </w:r>
      <w:r w:rsidRPr="00167CB8">
        <w:t xml:space="preserve">: </w:t>
      </w:r>
      <w:r w:rsidR="00182F25" w:rsidRPr="00167CB8">
        <w:t>High-level overview of the key differences between</w:t>
      </w:r>
      <w:r w:rsidR="00734ADE" w:rsidRPr="00167CB8">
        <w:t xml:space="preserve"> pathways</w:t>
      </w:r>
      <w:r w:rsidR="00182F25" w:rsidRPr="00167CB8">
        <w:t xml:space="preserve"> </w:t>
      </w:r>
    </w:p>
    <w:tbl>
      <w:tblPr>
        <w:tblStyle w:val="TableGrid"/>
        <w:tblW w:w="0" w:type="auto"/>
        <w:tblLook w:val="04A0" w:firstRow="1" w:lastRow="0" w:firstColumn="1" w:lastColumn="0" w:noHBand="0" w:noVBand="1"/>
      </w:tblPr>
      <w:tblGrid>
        <w:gridCol w:w="1555"/>
        <w:gridCol w:w="2268"/>
        <w:gridCol w:w="2551"/>
        <w:gridCol w:w="2642"/>
      </w:tblGrid>
      <w:tr w:rsidR="009529ED" w:rsidRPr="00167CB8" w14:paraId="715E45B7" w14:textId="77777777" w:rsidTr="00C262DB">
        <w:trPr>
          <w:trHeight w:val="624"/>
        </w:trPr>
        <w:tc>
          <w:tcPr>
            <w:tcW w:w="1555" w:type="dxa"/>
          </w:tcPr>
          <w:p w14:paraId="1C9C5159" w14:textId="77777777" w:rsidR="009529ED" w:rsidRPr="00167CB8" w:rsidRDefault="009529ED" w:rsidP="006000ED"/>
        </w:tc>
        <w:tc>
          <w:tcPr>
            <w:tcW w:w="2268" w:type="dxa"/>
          </w:tcPr>
          <w:p w14:paraId="33E98E7C" w14:textId="4BF5E71D" w:rsidR="009529ED" w:rsidRPr="00167CB8" w:rsidRDefault="00817E65" w:rsidP="006000ED">
            <w:pPr>
              <w:rPr>
                <w:b/>
              </w:rPr>
            </w:pPr>
            <w:r w:rsidRPr="00167CB8">
              <w:rPr>
                <w:b/>
              </w:rPr>
              <w:t>Australian Human Rights Commission</w:t>
            </w:r>
            <w:r w:rsidR="00C47269" w:rsidRPr="00167CB8">
              <w:rPr>
                <w:rStyle w:val="FootnoteReference"/>
                <w:b/>
              </w:rPr>
              <w:footnoteReference w:id="893"/>
            </w:r>
          </w:p>
        </w:tc>
        <w:tc>
          <w:tcPr>
            <w:tcW w:w="2551" w:type="dxa"/>
          </w:tcPr>
          <w:p w14:paraId="220C0C02" w14:textId="33B032CE" w:rsidR="009529ED" w:rsidRPr="00167CB8" w:rsidRDefault="00817E65" w:rsidP="006000ED">
            <w:pPr>
              <w:rPr>
                <w:b/>
              </w:rPr>
            </w:pPr>
            <w:r w:rsidRPr="00167CB8">
              <w:rPr>
                <w:b/>
              </w:rPr>
              <w:t>Fair Work Commission</w:t>
            </w:r>
            <w:r w:rsidR="007642D4" w:rsidRPr="00167CB8">
              <w:rPr>
                <w:rStyle w:val="FootnoteReference"/>
                <w:b/>
              </w:rPr>
              <w:footnoteReference w:id="894"/>
            </w:r>
          </w:p>
        </w:tc>
        <w:tc>
          <w:tcPr>
            <w:tcW w:w="2642" w:type="dxa"/>
          </w:tcPr>
          <w:p w14:paraId="43355DDA" w14:textId="2CFFF83C" w:rsidR="009529ED" w:rsidRPr="00167CB8" w:rsidRDefault="009529ED" w:rsidP="006000ED">
            <w:pPr>
              <w:rPr>
                <w:b/>
              </w:rPr>
            </w:pPr>
            <w:r w:rsidRPr="00167CB8">
              <w:rPr>
                <w:b/>
              </w:rPr>
              <w:t>Work health and safety regulators</w:t>
            </w:r>
            <w:r w:rsidR="00A82E23" w:rsidRPr="00167CB8">
              <w:rPr>
                <w:rStyle w:val="FootnoteReference"/>
                <w:b/>
              </w:rPr>
              <w:footnoteReference w:id="895"/>
            </w:r>
          </w:p>
        </w:tc>
      </w:tr>
      <w:tr w:rsidR="003F5765" w:rsidRPr="00C262DB" w14:paraId="2BDAD9C4" w14:textId="77777777" w:rsidTr="00C262DB">
        <w:trPr>
          <w:trHeight w:val="624"/>
        </w:trPr>
        <w:tc>
          <w:tcPr>
            <w:tcW w:w="1555" w:type="dxa"/>
          </w:tcPr>
          <w:p w14:paraId="36E1C38C" w14:textId="0135A27A" w:rsidR="003F5765" w:rsidRPr="00C262DB" w:rsidRDefault="00125DC9" w:rsidP="006000ED">
            <w:pPr>
              <w:rPr>
                <w:b/>
                <w:sz w:val="20"/>
                <w:szCs w:val="20"/>
              </w:rPr>
            </w:pPr>
            <w:r w:rsidRPr="00C262DB">
              <w:rPr>
                <w:b/>
                <w:sz w:val="20"/>
                <w:szCs w:val="20"/>
              </w:rPr>
              <w:t>Role</w:t>
            </w:r>
          </w:p>
        </w:tc>
        <w:tc>
          <w:tcPr>
            <w:tcW w:w="2268" w:type="dxa"/>
          </w:tcPr>
          <w:p w14:paraId="0E179273" w14:textId="2E78D98E" w:rsidR="003F5765" w:rsidRPr="00C262DB" w:rsidRDefault="003F5765" w:rsidP="006000ED">
            <w:pPr>
              <w:rPr>
                <w:sz w:val="20"/>
                <w:szCs w:val="20"/>
              </w:rPr>
            </w:pPr>
            <w:r w:rsidRPr="00C262DB">
              <w:rPr>
                <w:sz w:val="20"/>
                <w:szCs w:val="20"/>
              </w:rPr>
              <w:t>Resolves complain</w:t>
            </w:r>
            <w:r w:rsidR="00125DC9" w:rsidRPr="00C262DB">
              <w:rPr>
                <w:sz w:val="20"/>
                <w:szCs w:val="20"/>
              </w:rPr>
              <w:t>t</w:t>
            </w:r>
            <w:r w:rsidRPr="00C262DB">
              <w:rPr>
                <w:sz w:val="20"/>
                <w:szCs w:val="20"/>
              </w:rPr>
              <w:t>s of discrimination, including complaints about workplace sexual harassment</w:t>
            </w:r>
          </w:p>
        </w:tc>
        <w:tc>
          <w:tcPr>
            <w:tcW w:w="2551" w:type="dxa"/>
          </w:tcPr>
          <w:p w14:paraId="395A0F48" w14:textId="33819B99" w:rsidR="00BF3163" w:rsidRPr="00C262DB" w:rsidRDefault="00BF3163" w:rsidP="00E23C70">
            <w:pPr>
              <w:rPr>
                <w:sz w:val="20"/>
                <w:szCs w:val="20"/>
              </w:rPr>
            </w:pPr>
            <w:r w:rsidRPr="00C262DB">
              <w:rPr>
                <w:sz w:val="20"/>
                <w:szCs w:val="20"/>
              </w:rPr>
              <w:t>Hears applications relating to</w:t>
            </w:r>
            <w:r w:rsidR="00E23C70" w:rsidRPr="00C262DB">
              <w:rPr>
                <w:sz w:val="20"/>
                <w:szCs w:val="20"/>
              </w:rPr>
              <w:t xml:space="preserve"> an o</w:t>
            </w:r>
            <w:r w:rsidRPr="00C262DB">
              <w:rPr>
                <w:sz w:val="20"/>
                <w:szCs w:val="20"/>
              </w:rPr>
              <w:t>rder to stop sexual harassment or an order to stop bullying and sexual harassment</w:t>
            </w:r>
          </w:p>
        </w:tc>
        <w:tc>
          <w:tcPr>
            <w:tcW w:w="2642" w:type="dxa"/>
          </w:tcPr>
          <w:p w14:paraId="4F091E43" w14:textId="7FAF1EA8" w:rsidR="003F5765" w:rsidRPr="00C262DB" w:rsidRDefault="00D73E53" w:rsidP="006000ED">
            <w:pPr>
              <w:rPr>
                <w:sz w:val="20"/>
                <w:szCs w:val="20"/>
              </w:rPr>
            </w:pPr>
            <w:r w:rsidRPr="00C262DB">
              <w:rPr>
                <w:sz w:val="20"/>
                <w:szCs w:val="20"/>
              </w:rPr>
              <w:t xml:space="preserve">Promote safe and healthy workplaces and reduce risks of </w:t>
            </w:r>
            <w:r w:rsidR="00A82E23" w:rsidRPr="00C262DB">
              <w:rPr>
                <w:sz w:val="20"/>
                <w:szCs w:val="20"/>
              </w:rPr>
              <w:t>health or safety incidents</w:t>
            </w:r>
            <w:r w:rsidR="00427938" w:rsidRPr="00C262DB">
              <w:rPr>
                <w:sz w:val="20"/>
                <w:szCs w:val="20"/>
              </w:rPr>
              <w:t>, including by investigating work health and safety issues</w:t>
            </w:r>
          </w:p>
        </w:tc>
      </w:tr>
      <w:tr w:rsidR="009529ED" w:rsidRPr="00C262DB" w14:paraId="050C1CEE" w14:textId="77777777" w:rsidTr="00C262DB">
        <w:trPr>
          <w:trHeight w:val="624"/>
        </w:trPr>
        <w:tc>
          <w:tcPr>
            <w:tcW w:w="1555" w:type="dxa"/>
          </w:tcPr>
          <w:p w14:paraId="48A56F4C" w14:textId="7E206ADC" w:rsidR="009529ED" w:rsidRPr="00C262DB" w:rsidRDefault="00125DC9" w:rsidP="006000ED">
            <w:pPr>
              <w:rPr>
                <w:b/>
                <w:sz w:val="20"/>
                <w:szCs w:val="20"/>
              </w:rPr>
            </w:pPr>
            <w:r w:rsidRPr="00C262DB">
              <w:rPr>
                <w:b/>
                <w:sz w:val="20"/>
                <w:szCs w:val="20"/>
              </w:rPr>
              <w:t>Dispute resolution process</w:t>
            </w:r>
          </w:p>
        </w:tc>
        <w:tc>
          <w:tcPr>
            <w:tcW w:w="2268" w:type="dxa"/>
          </w:tcPr>
          <w:p w14:paraId="0DAB8D28" w14:textId="4BB16F82" w:rsidR="009529ED" w:rsidRPr="00C262DB" w:rsidRDefault="00A9217F" w:rsidP="006000ED">
            <w:pPr>
              <w:rPr>
                <w:sz w:val="20"/>
                <w:szCs w:val="20"/>
              </w:rPr>
            </w:pPr>
            <w:r w:rsidRPr="00C262DB">
              <w:rPr>
                <w:sz w:val="20"/>
                <w:szCs w:val="20"/>
              </w:rPr>
              <w:t>Conciliation</w:t>
            </w:r>
          </w:p>
        </w:tc>
        <w:tc>
          <w:tcPr>
            <w:tcW w:w="2551" w:type="dxa"/>
          </w:tcPr>
          <w:p w14:paraId="775B21CC" w14:textId="77777777" w:rsidR="007642D4" w:rsidRPr="00C262DB" w:rsidRDefault="007642D4" w:rsidP="006000ED">
            <w:pPr>
              <w:rPr>
                <w:sz w:val="20"/>
                <w:szCs w:val="20"/>
              </w:rPr>
            </w:pPr>
            <w:r w:rsidRPr="00C262DB">
              <w:rPr>
                <w:sz w:val="20"/>
                <w:szCs w:val="20"/>
              </w:rPr>
              <w:t xml:space="preserve">Conciliation or mediation </w:t>
            </w:r>
          </w:p>
          <w:p w14:paraId="4397D74F" w14:textId="332093D0" w:rsidR="007642D4" w:rsidRPr="00C262DB" w:rsidRDefault="007642D4" w:rsidP="006000ED">
            <w:pPr>
              <w:rPr>
                <w:sz w:val="20"/>
                <w:szCs w:val="20"/>
              </w:rPr>
            </w:pPr>
            <w:r w:rsidRPr="00C262DB">
              <w:rPr>
                <w:sz w:val="20"/>
                <w:szCs w:val="20"/>
              </w:rPr>
              <w:t>Conference</w:t>
            </w:r>
          </w:p>
          <w:p w14:paraId="0952E325" w14:textId="7DBEBDD8" w:rsidR="007642D4" w:rsidRPr="00C262DB" w:rsidRDefault="007642D4" w:rsidP="006000ED">
            <w:pPr>
              <w:rPr>
                <w:sz w:val="20"/>
                <w:szCs w:val="20"/>
              </w:rPr>
            </w:pPr>
            <w:r w:rsidRPr="00C262DB">
              <w:rPr>
                <w:sz w:val="20"/>
                <w:szCs w:val="20"/>
              </w:rPr>
              <w:t>Formal hearing</w:t>
            </w:r>
          </w:p>
        </w:tc>
        <w:tc>
          <w:tcPr>
            <w:tcW w:w="2642" w:type="dxa"/>
          </w:tcPr>
          <w:p w14:paraId="4BE0AAFA" w14:textId="7FD38D7A" w:rsidR="009529ED" w:rsidRPr="00C262DB" w:rsidRDefault="00427938" w:rsidP="006000ED">
            <w:pPr>
              <w:rPr>
                <w:sz w:val="20"/>
                <w:szCs w:val="20"/>
              </w:rPr>
            </w:pPr>
            <w:r w:rsidRPr="00C262DB">
              <w:rPr>
                <w:sz w:val="20"/>
                <w:szCs w:val="20"/>
              </w:rPr>
              <w:t>Generally</w:t>
            </w:r>
            <w:r w:rsidR="000B7AA0" w:rsidRPr="00C262DB">
              <w:rPr>
                <w:sz w:val="20"/>
                <w:szCs w:val="20"/>
              </w:rPr>
              <w:t>,</w:t>
            </w:r>
            <w:r w:rsidRPr="00C262DB">
              <w:rPr>
                <w:sz w:val="20"/>
                <w:szCs w:val="20"/>
              </w:rPr>
              <w:t xml:space="preserve"> parties should resolve the dispute at the workplace level</w:t>
            </w:r>
            <w:r w:rsidR="00970844" w:rsidRPr="00C262DB">
              <w:rPr>
                <w:sz w:val="20"/>
                <w:szCs w:val="20"/>
              </w:rPr>
              <w:t xml:space="preserve"> before escalating to a regulator who may conduct an investigation of the workplace</w:t>
            </w:r>
          </w:p>
        </w:tc>
      </w:tr>
      <w:tr w:rsidR="00A9217F" w:rsidRPr="00C262DB" w14:paraId="537C0D83" w14:textId="77777777" w:rsidTr="00C262DB">
        <w:trPr>
          <w:trHeight w:val="624"/>
        </w:trPr>
        <w:tc>
          <w:tcPr>
            <w:tcW w:w="1555" w:type="dxa"/>
          </w:tcPr>
          <w:p w14:paraId="026168EF" w14:textId="29079B4D" w:rsidR="00A9217F" w:rsidRPr="00C262DB" w:rsidRDefault="00A9217F" w:rsidP="006000ED">
            <w:pPr>
              <w:rPr>
                <w:b/>
                <w:sz w:val="20"/>
                <w:szCs w:val="20"/>
              </w:rPr>
            </w:pPr>
            <w:r w:rsidRPr="00C262DB">
              <w:rPr>
                <w:b/>
                <w:sz w:val="20"/>
                <w:szCs w:val="20"/>
              </w:rPr>
              <w:t>Remedies</w:t>
            </w:r>
          </w:p>
        </w:tc>
        <w:tc>
          <w:tcPr>
            <w:tcW w:w="2268" w:type="dxa"/>
          </w:tcPr>
          <w:p w14:paraId="25769DBB" w14:textId="77777777" w:rsidR="00A9217F" w:rsidRPr="00C262DB" w:rsidRDefault="00A9217F" w:rsidP="006000ED">
            <w:pPr>
              <w:rPr>
                <w:sz w:val="20"/>
                <w:szCs w:val="20"/>
              </w:rPr>
            </w:pPr>
            <w:r w:rsidRPr="00C262DB">
              <w:rPr>
                <w:sz w:val="20"/>
                <w:szCs w:val="20"/>
              </w:rPr>
              <w:t>Compensation</w:t>
            </w:r>
          </w:p>
          <w:p w14:paraId="121DB49C" w14:textId="0C48464C" w:rsidR="00C47269" w:rsidRPr="00C262DB" w:rsidRDefault="00C47269" w:rsidP="006000ED">
            <w:pPr>
              <w:rPr>
                <w:sz w:val="20"/>
                <w:szCs w:val="20"/>
              </w:rPr>
            </w:pPr>
            <w:r w:rsidRPr="00C262DB">
              <w:rPr>
                <w:sz w:val="20"/>
                <w:szCs w:val="20"/>
              </w:rPr>
              <w:t xml:space="preserve">Apology </w:t>
            </w:r>
          </w:p>
          <w:p w14:paraId="1F92F651" w14:textId="77777777" w:rsidR="00A9217F" w:rsidRPr="00C262DB" w:rsidRDefault="00A9217F" w:rsidP="006000ED">
            <w:pPr>
              <w:rPr>
                <w:sz w:val="20"/>
                <w:szCs w:val="20"/>
              </w:rPr>
            </w:pPr>
            <w:r w:rsidRPr="00C262DB">
              <w:rPr>
                <w:sz w:val="20"/>
                <w:szCs w:val="20"/>
              </w:rPr>
              <w:t>Job reinstatement</w:t>
            </w:r>
          </w:p>
          <w:p w14:paraId="6E0347F4" w14:textId="340E9360" w:rsidR="009B73F1" w:rsidRPr="00C262DB" w:rsidRDefault="009B73F1" w:rsidP="006000ED">
            <w:pPr>
              <w:rPr>
                <w:sz w:val="20"/>
                <w:szCs w:val="20"/>
              </w:rPr>
            </w:pPr>
            <w:r w:rsidRPr="00C262DB">
              <w:rPr>
                <w:sz w:val="20"/>
                <w:szCs w:val="20"/>
              </w:rPr>
              <w:t>Changes to workplace practices</w:t>
            </w:r>
          </w:p>
        </w:tc>
        <w:tc>
          <w:tcPr>
            <w:tcW w:w="2551" w:type="dxa"/>
          </w:tcPr>
          <w:p w14:paraId="0833A95B" w14:textId="4CBEDCA7" w:rsidR="004D0BE8" w:rsidRPr="00C262DB" w:rsidRDefault="004D0BE8" w:rsidP="006000ED">
            <w:pPr>
              <w:rPr>
                <w:sz w:val="20"/>
                <w:szCs w:val="20"/>
              </w:rPr>
            </w:pPr>
            <w:r w:rsidRPr="00C262DB">
              <w:rPr>
                <w:sz w:val="20"/>
                <w:szCs w:val="20"/>
              </w:rPr>
              <w:t>Conciliation may result in changes in work arrangements, or conducting a safety risk assessment of the workplace</w:t>
            </w:r>
          </w:p>
          <w:p w14:paraId="0EEC3F27" w14:textId="5FAD2157" w:rsidR="00A9217F" w:rsidRPr="00C262DB" w:rsidRDefault="004D0BE8" w:rsidP="006000ED">
            <w:pPr>
              <w:rPr>
                <w:sz w:val="20"/>
                <w:szCs w:val="20"/>
              </w:rPr>
            </w:pPr>
            <w:r w:rsidRPr="00C262DB">
              <w:rPr>
                <w:sz w:val="20"/>
                <w:szCs w:val="20"/>
              </w:rPr>
              <w:t>If conciliation or mediation is unsuccessful, a s</w:t>
            </w:r>
            <w:r w:rsidR="003F5765" w:rsidRPr="00C262DB">
              <w:rPr>
                <w:sz w:val="20"/>
                <w:szCs w:val="20"/>
              </w:rPr>
              <w:t>top sexual harassment order</w:t>
            </w:r>
          </w:p>
        </w:tc>
        <w:tc>
          <w:tcPr>
            <w:tcW w:w="2642" w:type="dxa"/>
          </w:tcPr>
          <w:p w14:paraId="1817AA6F" w14:textId="0999D890" w:rsidR="00A56279" w:rsidRPr="00C262DB" w:rsidRDefault="00A56279" w:rsidP="006000ED">
            <w:pPr>
              <w:rPr>
                <w:sz w:val="20"/>
                <w:szCs w:val="20"/>
              </w:rPr>
            </w:pPr>
            <w:r w:rsidRPr="00C262DB">
              <w:rPr>
                <w:sz w:val="20"/>
                <w:szCs w:val="20"/>
              </w:rPr>
              <w:t>Less focused on individual remedies</w:t>
            </w:r>
          </w:p>
          <w:p w14:paraId="183F67C1" w14:textId="6D9E116F" w:rsidR="00235D27" w:rsidRPr="00C262DB" w:rsidRDefault="00F46B3A" w:rsidP="00F46B3A">
            <w:pPr>
              <w:rPr>
                <w:sz w:val="20"/>
                <w:szCs w:val="20"/>
              </w:rPr>
            </w:pPr>
            <w:r w:rsidRPr="00C262DB">
              <w:rPr>
                <w:sz w:val="20"/>
                <w:szCs w:val="20"/>
              </w:rPr>
              <w:t>Investigations can result in things such as i</w:t>
            </w:r>
            <w:r w:rsidR="00235D27" w:rsidRPr="00C262DB">
              <w:rPr>
                <w:sz w:val="20"/>
                <w:szCs w:val="20"/>
              </w:rPr>
              <w:t>mprovement notices</w:t>
            </w:r>
            <w:r w:rsidRPr="00C262DB">
              <w:rPr>
                <w:sz w:val="20"/>
                <w:szCs w:val="20"/>
              </w:rPr>
              <w:t xml:space="preserve"> or p</w:t>
            </w:r>
            <w:r w:rsidR="00235D27" w:rsidRPr="00C262DB">
              <w:rPr>
                <w:sz w:val="20"/>
                <w:szCs w:val="20"/>
              </w:rPr>
              <w:t>rosecution (</w:t>
            </w:r>
            <w:r w:rsidR="00125DC9" w:rsidRPr="00C262DB">
              <w:rPr>
                <w:sz w:val="20"/>
                <w:szCs w:val="20"/>
              </w:rPr>
              <w:t>less common)</w:t>
            </w:r>
          </w:p>
        </w:tc>
      </w:tr>
      <w:tr w:rsidR="009529ED" w:rsidRPr="00C262DB" w14:paraId="3DD80597" w14:textId="77777777" w:rsidTr="00C262DB">
        <w:trPr>
          <w:trHeight w:val="624"/>
        </w:trPr>
        <w:tc>
          <w:tcPr>
            <w:tcW w:w="1555" w:type="dxa"/>
          </w:tcPr>
          <w:p w14:paraId="3CBE7D59" w14:textId="4955E87F" w:rsidR="009529ED" w:rsidRPr="00C262DB" w:rsidRDefault="00A9217F" w:rsidP="006000ED">
            <w:pPr>
              <w:rPr>
                <w:b/>
                <w:sz w:val="20"/>
                <w:szCs w:val="20"/>
              </w:rPr>
            </w:pPr>
            <w:r w:rsidRPr="00C262DB">
              <w:rPr>
                <w:b/>
                <w:sz w:val="20"/>
                <w:szCs w:val="20"/>
              </w:rPr>
              <w:t>Time</w:t>
            </w:r>
            <w:r w:rsidR="00A64E37" w:rsidRPr="00C262DB">
              <w:rPr>
                <w:b/>
                <w:sz w:val="20"/>
                <w:szCs w:val="20"/>
              </w:rPr>
              <w:t xml:space="preserve"> to resolve complaint</w:t>
            </w:r>
          </w:p>
        </w:tc>
        <w:tc>
          <w:tcPr>
            <w:tcW w:w="2268" w:type="dxa"/>
          </w:tcPr>
          <w:p w14:paraId="72DBA395" w14:textId="73F04622" w:rsidR="009529ED" w:rsidRPr="00C262DB" w:rsidRDefault="00A64E37" w:rsidP="006000ED">
            <w:pPr>
              <w:rPr>
                <w:sz w:val="20"/>
                <w:szCs w:val="20"/>
              </w:rPr>
            </w:pPr>
            <w:r w:rsidRPr="00C262DB">
              <w:rPr>
                <w:sz w:val="20"/>
                <w:szCs w:val="20"/>
              </w:rPr>
              <w:t>At least 5 months</w:t>
            </w:r>
          </w:p>
        </w:tc>
        <w:tc>
          <w:tcPr>
            <w:tcW w:w="2551" w:type="dxa"/>
          </w:tcPr>
          <w:p w14:paraId="6F1F8CAD" w14:textId="78C2A8AE" w:rsidR="009529ED" w:rsidRPr="00C262DB" w:rsidRDefault="00A64E37" w:rsidP="006000ED">
            <w:pPr>
              <w:rPr>
                <w:sz w:val="20"/>
                <w:szCs w:val="20"/>
              </w:rPr>
            </w:pPr>
            <w:r w:rsidRPr="00C262DB">
              <w:rPr>
                <w:sz w:val="20"/>
                <w:szCs w:val="20"/>
              </w:rPr>
              <w:t xml:space="preserve">14 days </w:t>
            </w:r>
          </w:p>
        </w:tc>
        <w:tc>
          <w:tcPr>
            <w:tcW w:w="2642" w:type="dxa"/>
          </w:tcPr>
          <w:p w14:paraId="2864CB4D" w14:textId="649A656B" w:rsidR="009529ED" w:rsidRPr="00C262DB" w:rsidRDefault="00CF1D7D" w:rsidP="006000ED">
            <w:pPr>
              <w:rPr>
                <w:sz w:val="20"/>
                <w:szCs w:val="20"/>
              </w:rPr>
            </w:pPr>
            <w:r w:rsidRPr="00C262DB">
              <w:rPr>
                <w:sz w:val="20"/>
                <w:szCs w:val="20"/>
              </w:rPr>
              <w:t>Variable</w:t>
            </w:r>
          </w:p>
        </w:tc>
      </w:tr>
      <w:tr w:rsidR="00A9217F" w:rsidRPr="00C262DB" w14:paraId="036EE327" w14:textId="77777777" w:rsidTr="00C262DB">
        <w:trPr>
          <w:trHeight w:val="624"/>
        </w:trPr>
        <w:tc>
          <w:tcPr>
            <w:tcW w:w="1555" w:type="dxa"/>
          </w:tcPr>
          <w:p w14:paraId="4A968938" w14:textId="762B5B72" w:rsidR="00A9217F" w:rsidRPr="00C262DB" w:rsidRDefault="00A9217F" w:rsidP="006000ED">
            <w:pPr>
              <w:rPr>
                <w:b/>
                <w:sz w:val="20"/>
                <w:szCs w:val="20"/>
              </w:rPr>
            </w:pPr>
            <w:r w:rsidRPr="00C262DB">
              <w:rPr>
                <w:b/>
                <w:sz w:val="20"/>
                <w:szCs w:val="20"/>
              </w:rPr>
              <w:t>Cost</w:t>
            </w:r>
            <w:r w:rsidR="00125DC9" w:rsidRPr="00C262DB">
              <w:rPr>
                <w:b/>
                <w:sz w:val="20"/>
                <w:szCs w:val="20"/>
              </w:rPr>
              <w:t xml:space="preserve"> to lodge </w:t>
            </w:r>
          </w:p>
        </w:tc>
        <w:tc>
          <w:tcPr>
            <w:tcW w:w="2268" w:type="dxa"/>
          </w:tcPr>
          <w:p w14:paraId="0DA9C0C6" w14:textId="77777777" w:rsidR="00A64E37" w:rsidRPr="00C262DB" w:rsidRDefault="00A64E37" w:rsidP="006000ED">
            <w:pPr>
              <w:rPr>
                <w:sz w:val="20"/>
                <w:szCs w:val="20"/>
              </w:rPr>
            </w:pPr>
            <w:r w:rsidRPr="00C262DB">
              <w:rPr>
                <w:sz w:val="20"/>
                <w:szCs w:val="20"/>
              </w:rPr>
              <w:t>Free</w:t>
            </w:r>
          </w:p>
          <w:p w14:paraId="0C1B0EE0" w14:textId="26C5CF2D" w:rsidR="00A9217F" w:rsidRPr="00C262DB" w:rsidRDefault="009B73F1" w:rsidP="006000ED">
            <w:pPr>
              <w:rPr>
                <w:sz w:val="20"/>
                <w:szCs w:val="20"/>
              </w:rPr>
            </w:pPr>
            <w:r w:rsidRPr="00C262DB">
              <w:rPr>
                <w:i/>
                <w:iCs/>
                <w:sz w:val="20"/>
                <w:szCs w:val="20"/>
              </w:rPr>
              <w:t>If complaint remains unresolved and the matter proceeds to court or tribunal</w:t>
            </w:r>
            <w:r w:rsidR="00D06B41" w:rsidRPr="00C262DB">
              <w:rPr>
                <w:i/>
                <w:iCs/>
                <w:sz w:val="20"/>
                <w:szCs w:val="20"/>
              </w:rPr>
              <w:t xml:space="preserve"> proces</w:t>
            </w:r>
            <w:r w:rsidR="00A64E37" w:rsidRPr="00C262DB">
              <w:rPr>
                <w:i/>
                <w:iCs/>
                <w:sz w:val="20"/>
                <w:szCs w:val="20"/>
              </w:rPr>
              <w:t xml:space="preserve">ses, parties are responsible for their own legal costs </w:t>
            </w:r>
          </w:p>
        </w:tc>
        <w:tc>
          <w:tcPr>
            <w:tcW w:w="2551" w:type="dxa"/>
          </w:tcPr>
          <w:p w14:paraId="05165F93" w14:textId="54F26877" w:rsidR="00A9217F" w:rsidRPr="00C262DB" w:rsidRDefault="00514B00" w:rsidP="006000ED">
            <w:pPr>
              <w:rPr>
                <w:sz w:val="20"/>
                <w:szCs w:val="20"/>
              </w:rPr>
            </w:pPr>
            <w:r w:rsidRPr="00C262DB">
              <w:rPr>
                <w:sz w:val="20"/>
                <w:szCs w:val="20"/>
              </w:rPr>
              <w:t>$87.20</w:t>
            </w:r>
            <w:r w:rsidR="00E20BA8" w:rsidRPr="00C262DB">
              <w:rPr>
                <w:sz w:val="20"/>
                <w:szCs w:val="20"/>
              </w:rPr>
              <w:t xml:space="preserve"> (FY 2024</w:t>
            </w:r>
            <w:r w:rsidR="00817E65" w:rsidRPr="00C262DB">
              <w:rPr>
                <w:rFonts w:ascii="Symbol" w:eastAsia="Symbol" w:hAnsi="Symbol" w:cs="Symbol"/>
                <w:sz w:val="20"/>
                <w:szCs w:val="20"/>
              </w:rPr>
              <w:sym w:font="Symbol" w:char="F02D"/>
            </w:r>
            <w:r w:rsidR="00E20BA8" w:rsidRPr="00C262DB">
              <w:rPr>
                <w:sz w:val="20"/>
                <w:szCs w:val="20"/>
              </w:rPr>
              <w:t>25)</w:t>
            </w:r>
            <w:r w:rsidRPr="00C262DB">
              <w:rPr>
                <w:sz w:val="20"/>
                <w:szCs w:val="20"/>
              </w:rPr>
              <w:t xml:space="preserve"> for orders to stop sexual harassment that started before 6 March 2023</w:t>
            </w:r>
            <w:r w:rsidR="00817E65" w:rsidRPr="00C262DB">
              <w:rPr>
                <w:sz w:val="20"/>
                <w:szCs w:val="20"/>
              </w:rPr>
              <w:t>;</w:t>
            </w:r>
            <w:r w:rsidRPr="00C262DB">
              <w:rPr>
                <w:sz w:val="20"/>
                <w:szCs w:val="20"/>
              </w:rPr>
              <w:t xml:space="preserve"> otherwise free</w:t>
            </w:r>
          </w:p>
        </w:tc>
        <w:tc>
          <w:tcPr>
            <w:tcW w:w="2642" w:type="dxa"/>
          </w:tcPr>
          <w:p w14:paraId="465D46B8" w14:textId="72A6BA2A" w:rsidR="00A9217F" w:rsidRPr="00C262DB" w:rsidRDefault="00CF1D7D" w:rsidP="006000ED">
            <w:pPr>
              <w:rPr>
                <w:sz w:val="20"/>
                <w:szCs w:val="20"/>
              </w:rPr>
            </w:pPr>
            <w:r w:rsidRPr="00C262DB">
              <w:rPr>
                <w:sz w:val="20"/>
                <w:szCs w:val="20"/>
              </w:rPr>
              <w:t>N/A</w:t>
            </w:r>
          </w:p>
        </w:tc>
      </w:tr>
    </w:tbl>
    <w:p w14:paraId="79588C08" w14:textId="77777777" w:rsidR="009529ED" w:rsidRPr="00C262DB" w:rsidRDefault="009529ED" w:rsidP="006000ED">
      <w:pPr>
        <w:rPr>
          <w:sz w:val="20"/>
          <w:szCs w:val="20"/>
        </w:rPr>
      </w:pPr>
    </w:p>
    <w:p w14:paraId="2B55557C" w14:textId="467E25DD" w:rsidR="009A1D5D" w:rsidRPr="00167CB8" w:rsidRDefault="0024484D" w:rsidP="009A1D5D">
      <w:pPr>
        <w:pStyle w:val="Heading4"/>
        <w:rPr>
          <w:rFonts w:asciiTheme="minorHAnsi" w:hAnsiTheme="minorHAnsi"/>
        </w:rPr>
      </w:pPr>
      <w:bookmarkStart w:id="410" w:name="_Toc188003401"/>
      <w:bookmarkStart w:id="411" w:name="_Toc188277950"/>
      <w:bookmarkStart w:id="412" w:name="_Toc189260302"/>
      <w:bookmarkStart w:id="413" w:name="_Toc189393618"/>
      <w:r w:rsidRPr="00167CB8">
        <w:rPr>
          <w:rFonts w:asciiTheme="minorHAnsi" w:hAnsiTheme="minorHAnsi"/>
        </w:rPr>
        <w:lastRenderedPageBreak/>
        <w:t>28</w:t>
      </w:r>
      <w:r w:rsidR="001B77E5" w:rsidRPr="00167CB8">
        <w:rPr>
          <w:rFonts w:asciiTheme="minorHAnsi" w:hAnsiTheme="minorHAnsi"/>
        </w:rPr>
        <w:t>.2</w:t>
      </w:r>
      <w:r w:rsidR="009A1D5D" w:rsidRPr="00167CB8">
        <w:rPr>
          <w:rFonts w:asciiTheme="minorHAnsi" w:hAnsiTheme="minorHAnsi"/>
        </w:rPr>
        <w:t xml:space="preserve"> Impact </w:t>
      </w:r>
      <w:r w:rsidR="00817E65" w:rsidRPr="00167CB8">
        <w:rPr>
          <w:rFonts w:asciiTheme="minorHAnsi" w:hAnsiTheme="minorHAnsi"/>
        </w:rPr>
        <w:t>and i</w:t>
      </w:r>
      <w:r w:rsidR="009A1D5D" w:rsidRPr="00167CB8">
        <w:rPr>
          <w:rFonts w:asciiTheme="minorHAnsi" w:hAnsiTheme="minorHAnsi"/>
        </w:rPr>
        <w:t>ssues</w:t>
      </w:r>
      <w:bookmarkEnd w:id="410"/>
      <w:bookmarkEnd w:id="411"/>
      <w:bookmarkEnd w:id="412"/>
      <w:bookmarkEnd w:id="413"/>
    </w:p>
    <w:p w14:paraId="03BD476C" w14:textId="77777777" w:rsidR="009A1D5D" w:rsidRPr="00167CB8" w:rsidRDefault="009A1D5D" w:rsidP="006000ED">
      <w:r w:rsidRPr="00167CB8">
        <w:t>The following describes the data and information considered by the Review Panel when evaluating the amendments discussed above.</w:t>
      </w:r>
    </w:p>
    <w:p w14:paraId="0F69B7C1" w14:textId="67A064D3" w:rsidR="009A1D5D" w:rsidRPr="00167CB8" w:rsidRDefault="0024484D" w:rsidP="009A1D5D">
      <w:pPr>
        <w:pStyle w:val="Heading5"/>
        <w:rPr>
          <w:rFonts w:asciiTheme="minorHAnsi" w:hAnsiTheme="minorHAnsi"/>
        </w:rPr>
      </w:pPr>
      <w:bookmarkStart w:id="414" w:name="_Toc188003402"/>
      <w:r w:rsidRPr="00167CB8">
        <w:rPr>
          <w:rFonts w:asciiTheme="minorHAnsi" w:hAnsiTheme="minorHAnsi"/>
        </w:rPr>
        <w:t>28</w:t>
      </w:r>
      <w:r w:rsidR="001B77E5" w:rsidRPr="00167CB8">
        <w:rPr>
          <w:rFonts w:asciiTheme="minorHAnsi" w:hAnsiTheme="minorHAnsi"/>
        </w:rPr>
        <w:t>.2.1</w:t>
      </w:r>
      <w:r w:rsidR="009A1D5D" w:rsidRPr="00167CB8">
        <w:rPr>
          <w:rFonts w:asciiTheme="minorHAnsi" w:hAnsiTheme="minorHAnsi"/>
        </w:rPr>
        <w:t xml:space="preserve"> Quantitative </w:t>
      </w:r>
      <w:r w:rsidR="00817E65" w:rsidRPr="00167CB8">
        <w:rPr>
          <w:rFonts w:asciiTheme="minorHAnsi" w:hAnsiTheme="minorHAnsi"/>
        </w:rPr>
        <w:t>e</w:t>
      </w:r>
      <w:r w:rsidR="009A1D5D" w:rsidRPr="00167CB8">
        <w:rPr>
          <w:rFonts w:asciiTheme="minorHAnsi" w:hAnsiTheme="minorHAnsi"/>
        </w:rPr>
        <w:t>vidence</w:t>
      </w:r>
      <w:bookmarkEnd w:id="414"/>
    </w:p>
    <w:p w14:paraId="65BB1F75" w14:textId="0C68C182" w:rsidR="009A1D5D" w:rsidRPr="00167CB8" w:rsidRDefault="009A1D5D" w:rsidP="009A1D5D">
      <w:r w:rsidRPr="00167CB8">
        <w:t>There is limited quantitative data that the Review Panel may draw on to assess the impact and effects of the amendments. In particular, the Review Panel notes that the legislative changes may be having a ‘shadow effect’</w:t>
      </w:r>
      <w:r w:rsidR="00817E65" w:rsidRPr="00167CB8">
        <w:t xml:space="preserve"> </w:t>
      </w:r>
      <w:r w:rsidR="00817E65" w:rsidRPr="00167CB8">
        <w:rPr>
          <w:rFonts w:ascii="Symbol" w:eastAsia="Symbol" w:hAnsi="Symbol" w:cs="Symbol"/>
        </w:rPr>
        <w:sym w:font="Symbol" w:char="F02D"/>
      </w:r>
      <w:r w:rsidR="00817E65" w:rsidRPr="00167CB8">
        <w:t xml:space="preserve"> that is, </w:t>
      </w:r>
      <w:r w:rsidRPr="00167CB8">
        <w:t xml:space="preserve">a change in workplace behaviour that is not captured in any formal statistical data. The Review Panel nevertheless reports available and relevant data from the FWC, </w:t>
      </w:r>
      <w:r w:rsidR="00817E65" w:rsidRPr="00167CB8">
        <w:t>Fair Work Ombudsman (</w:t>
      </w:r>
      <w:r w:rsidRPr="00167CB8">
        <w:t>FWO</w:t>
      </w:r>
      <w:r w:rsidR="00817E65" w:rsidRPr="00167CB8">
        <w:t>)</w:t>
      </w:r>
      <w:r w:rsidRPr="00167CB8">
        <w:t xml:space="preserve"> and </w:t>
      </w:r>
      <w:r w:rsidR="00817E65" w:rsidRPr="00167CB8">
        <w:t>Workplace Gender Equality Agency (</w:t>
      </w:r>
      <w:r w:rsidRPr="00167CB8">
        <w:t>WGEA</w:t>
      </w:r>
      <w:r w:rsidR="00817E65" w:rsidRPr="00167CB8">
        <w:t>)</w:t>
      </w:r>
      <w:r w:rsidRPr="00167CB8">
        <w:t>.</w:t>
      </w:r>
    </w:p>
    <w:p w14:paraId="56B2BC1F" w14:textId="06C4AB2C" w:rsidR="009A1D5D" w:rsidRPr="00167CB8" w:rsidRDefault="009A1D5D" w:rsidP="009A1D5D">
      <w:r w:rsidRPr="00167CB8">
        <w:t xml:space="preserve">Table </w:t>
      </w:r>
      <w:r w:rsidR="006D60B1" w:rsidRPr="00167CB8">
        <w:t>20</w:t>
      </w:r>
      <w:r w:rsidRPr="00167CB8">
        <w:t xml:space="preserve"> shows that</w:t>
      </w:r>
      <w:r w:rsidR="00817E65" w:rsidRPr="00167CB8">
        <w:t>,</w:t>
      </w:r>
      <w:r w:rsidRPr="00167CB8">
        <w:t xml:space="preserve"> between 6 March 2023 and 30 June 2023</w:t>
      </w:r>
      <w:r w:rsidR="00817E65" w:rsidRPr="00167CB8">
        <w:t>,</w:t>
      </w:r>
      <w:r w:rsidRPr="00167CB8" w:rsidDel="009338BF">
        <w:t xml:space="preserve"> </w:t>
      </w:r>
      <w:r w:rsidRPr="00167CB8">
        <w:t xml:space="preserve">11 applications to deal with sexual harassment disputes </w:t>
      </w:r>
      <w:r w:rsidR="00817E65" w:rsidRPr="00167CB8">
        <w:t xml:space="preserve">were </w:t>
      </w:r>
      <w:r w:rsidRPr="00167CB8">
        <w:t>lodged</w:t>
      </w:r>
      <w:r w:rsidR="00F84CFB" w:rsidRPr="00167CB8">
        <w:t xml:space="preserve"> u</w:t>
      </w:r>
      <w:r w:rsidR="00093371" w:rsidRPr="00167CB8">
        <w:t>nder s</w:t>
      </w:r>
      <w:r w:rsidR="00817E65" w:rsidRPr="00167CB8">
        <w:t> </w:t>
      </w:r>
      <w:r w:rsidR="00093371" w:rsidRPr="00167CB8">
        <w:t>527F</w:t>
      </w:r>
      <w:r w:rsidRPr="00167CB8">
        <w:t>.</w:t>
      </w:r>
      <w:r w:rsidRPr="00167CB8">
        <w:rPr>
          <w:rStyle w:val="FootnoteReference"/>
        </w:rPr>
        <w:footnoteReference w:id="896"/>
      </w:r>
      <w:r w:rsidRPr="00167CB8">
        <w:t xml:space="preserve"> In 2023</w:t>
      </w:r>
      <w:r w:rsidR="00817E65" w:rsidRPr="00167CB8">
        <w:rPr>
          <w:rFonts w:ascii="Symbol" w:eastAsia="Symbol" w:hAnsi="Symbol" w:cs="Symbol"/>
        </w:rPr>
        <w:t>-</w:t>
      </w:r>
      <w:r w:rsidRPr="00167CB8">
        <w:t xml:space="preserve">24, the FWC reported 95 applications </w:t>
      </w:r>
      <w:r w:rsidR="001F463C" w:rsidRPr="00167CB8">
        <w:t>under s</w:t>
      </w:r>
      <w:r w:rsidR="00817E65" w:rsidRPr="00167CB8">
        <w:t> </w:t>
      </w:r>
      <w:r w:rsidR="00010F8E" w:rsidRPr="00167CB8">
        <w:t>527F</w:t>
      </w:r>
      <w:r w:rsidRPr="00167CB8">
        <w:t>.</w:t>
      </w:r>
      <w:r w:rsidRPr="00167CB8">
        <w:rPr>
          <w:rStyle w:val="FootnoteReference"/>
        </w:rPr>
        <w:footnoteReference w:id="897"/>
      </w:r>
      <w:r w:rsidRPr="00167CB8">
        <w:t xml:space="preserve"> </w:t>
      </w:r>
      <w:r w:rsidR="007F104D" w:rsidRPr="00167CB8">
        <w:t>For context</w:t>
      </w:r>
      <w:r w:rsidR="00817E65" w:rsidRPr="00167CB8">
        <w:t>,</w:t>
      </w:r>
      <w:r w:rsidR="007F104D" w:rsidRPr="00167CB8">
        <w:t xml:space="preserve"> prior to the Secure Jobs, Better Pay amendments, </w:t>
      </w:r>
      <w:r w:rsidR="00CA613D" w:rsidRPr="00167CB8">
        <w:t>Table </w:t>
      </w:r>
      <w:r w:rsidR="008E7285" w:rsidRPr="00167CB8">
        <w:t>20</w:t>
      </w:r>
      <w:r w:rsidR="00CA613D" w:rsidRPr="00167CB8">
        <w:t xml:space="preserve"> also notes applications under s</w:t>
      </w:r>
      <w:r w:rsidR="00817E65" w:rsidRPr="00167CB8">
        <w:t> </w:t>
      </w:r>
      <w:r w:rsidR="00CA613D" w:rsidRPr="00167CB8">
        <w:t>789FC</w:t>
      </w:r>
      <w:r w:rsidR="00B21822" w:rsidRPr="00167CB8">
        <w:t xml:space="preserve"> of the Fair Work Act</w:t>
      </w:r>
      <w:r w:rsidR="007F104D" w:rsidRPr="00167CB8">
        <w:t>.</w:t>
      </w:r>
    </w:p>
    <w:p w14:paraId="21E7CB54" w14:textId="79ADA95C" w:rsidR="009A1D5D" w:rsidRPr="00167CB8" w:rsidRDefault="009A1D5D" w:rsidP="00470AB9">
      <w:pPr>
        <w:pStyle w:val="Caption"/>
      </w:pPr>
      <w:bookmarkStart w:id="415" w:name="_Toc189310851"/>
      <w:r w:rsidRPr="00167CB8">
        <w:t>Table</w:t>
      </w:r>
      <w:r w:rsidR="00E9649B" w:rsidRPr="00167CB8">
        <w:t xml:space="preserve"> </w:t>
      </w:r>
      <w:r w:rsidR="006D60B1" w:rsidRPr="00167CB8">
        <w:t>20</w:t>
      </w:r>
      <w:r w:rsidRPr="00167CB8">
        <w:t>: Applications to the FWC to deal with sexual harassment</w:t>
      </w:r>
      <w:bookmarkEnd w:id="415"/>
    </w:p>
    <w:tbl>
      <w:tblPr>
        <w:tblStyle w:val="TableGrid"/>
        <w:tblW w:w="0" w:type="auto"/>
        <w:tblLayout w:type="fixed"/>
        <w:tblLook w:val="04A0" w:firstRow="1" w:lastRow="0" w:firstColumn="1" w:lastColumn="0" w:noHBand="0" w:noVBand="1"/>
      </w:tblPr>
      <w:tblGrid>
        <w:gridCol w:w="1271"/>
        <w:gridCol w:w="1445"/>
        <w:gridCol w:w="1446"/>
        <w:gridCol w:w="1362"/>
        <w:gridCol w:w="1488"/>
        <w:gridCol w:w="1488"/>
        <w:gridCol w:w="850"/>
      </w:tblGrid>
      <w:tr w:rsidR="009A1D5D" w:rsidRPr="00167CB8" w14:paraId="78FBBCA9" w14:textId="77777777" w:rsidTr="00036836">
        <w:trPr>
          <w:trHeight w:val="290"/>
        </w:trPr>
        <w:tc>
          <w:tcPr>
            <w:tcW w:w="1271" w:type="dxa"/>
            <w:vMerge w:val="restart"/>
            <w:noWrap/>
          </w:tcPr>
          <w:p w14:paraId="547015BA" w14:textId="77777777" w:rsidR="009A1D5D" w:rsidRPr="00C262DB" w:rsidRDefault="009A1D5D" w:rsidP="006000ED">
            <w:pPr>
              <w:spacing w:line="259" w:lineRule="auto"/>
              <w:rPr>
                <w:b/>
                <w:bCs/>
              </w:rPr>
            </w:pPr>
          </w:p>
        </w:tc>
        <w:tc>
          <w:tcPr>
            <w:tcW w:w="4253" w:type="dxa"/>
            <w:gridSpan w:val="3"/>
            <w:noWrap/>
            <w:vAlign w:val="bottom"/>
          </w:tcPr>
          <w:p w14:paraId="6AFE73F5" w14:textId="146591BA" w:rsidR="009A1D5D" w:rsidRPr="00C262DB" w:rsidRDefault="009A1D5D" w:rsidP="006000ED">
            <w:pPr>
              <w:spacing w:line="259" w:lineRule="auto"/>
              <w:rPr>
                <w:rFonts w:eastAsia="Times New Roman" w:cs="Calibri"/>
                <w:b/>
                <w:bCs/>
                <w:color w:val="000000"/>
                <w:sz w:val="20"/>
                <w:szCs w:val="20"/>
                <w:lang w:eastAsia="en-AU"/>
              </w:rPr>
            </w:pPr>
            <w:r w:rsidRPr="00C262DB">
              <w:rPr>
                <w:rFonts w:eastAsia="Times New Roman" w:cs="Calibri"/>
                <w:b/>
                <w:bCs/>
                <w:color w:val="000000"/>
                <w:sz w:val="20"/>
                <w:szCs w:val="20"/>
                <w:lang w:eastAsia="en-AU"/>
              </w:rPr>
              <w:t>Applications under s</w:t>
            </w:r>
            <w:r w:rsidR="00817E65" w:rsidRPr="00C262DB">
              <w:rPr>
                <w:rFonts w:eastAsia="Times New Roman" w:cs="Calibri"/>
                <w:b/>
                <w:bCs/>
                <w:color w:val="000000"/>
                <w:sz w:val="20"/>
                <w:szCs w:val="20"/>
                <w:lang w:eastAsia="en-AU"/>
              </w:rPr>
              <w:t> </w:t>
            </w:r>
            <w:r w:rsidRPr="00C262DB">
              <w:rPr>
                <w:rFonts w:eastAsia="Times New Roman" w:cs="Calibri"/>
                <w:b/>
                <w:bCs/>
                <w:color w:val="000000"/>
                <w:sz w:val="20"/>
                <w:szCs w:val="20"/>
                <w:lang w:eastAsia="en-AU"/>
              </w:rPr>
              <w:t>527F</w:t>
            </w:r>
          </w:p>
        </w:tc>
        <w:tc>
          <w:tcPr>
            <w:tcW w:w="2976" w:type="dxa"/>
            <w:gridSpan w:val="2"/>
            <w:noWrap/>
            <w:vAlign w:val="bottom"/>
          </w:tcPr>
          <w:p w14:paraId="3EB373B7" w14:textId="17943842" w:rsidR="009A1D5D" w:rsidRPr="00C262DB" w:rsidRDefault="009A1D5D" w:rsidP="006000ED">
            <w:pPr>
              <w:spacing w:line="259" w:lineRule="auto"/>
              <w:rPr>
                <w:rFonts w:eastAsia="Times New Roman" w:cs="Calibri"/>
                <w:b/>
                <w:bCs/>
                <w:color w:val="000000"/>
                <w:sz w:val="20"/>
                <w:szCs w:val="20"/>
                <w:lang w:eastAsia="en-AU"/>
              </w:rPr>
            </w:pPr>
            <w:r w:rsidRPr="00C262DB">
              <w:rPr>
                <w:rFonts w:eastAsia="Times New Roman" w:cs="Calibri"/>
                <w:b/>
                <w:bCs/>
                <w:color w:val="000000"/>
                <w:sz w:val="20"/>
                <w:szCs w:val="20"/>
                <w:lang w:eastAsia="en-AU"/>
              </w:rPr>
              <w:t>Applications under s</w:t>
            </w:r>
            <w:r w:rsidR="00817E65" w:rsidRPr="00C262DB">
              <w:rPr>
                <w:rFonts w:eastAsia="Times New Roman" w:cs="Calibri"/>
                <w:b/>
                <w:bCs/>
                <w:color w:val="000000"/>
                <w:sz w:val="20"/>
                <w:szCs w:val="20"/>
                <w:lang w:eastAsia="en-AU"/>
              </w:rPr>
              <w:t> </w:t>
            </w:r>
            <w:r w:rsidRPr="00C262DB">
              <w:rPr>
                <w:rFonts w:eastAsia="Times New Roman" w:cs="Calibri"/>
                <w:b/>
                <w:bCs/>
                <w:color w:val="000000"/>
                <w:sz w:val="20"/>
                <w:szCs w:val="20"/>
                <w:lang w:eastAsia="en-AU"/>
              </w:rPr>
              <w:t>789FC</w:t>
            </w:r>
          </w:p>
        </w:tc>
        <w:tc>
          <w:tcPr>
            <w:tcW w:w="850" w:type="dxa"/>
            <w:vMerge w:val="restart"/>
            <w:vAlign w:val="bottom"/>
          </w:tcPr>
          <w:p w14:paraId="056B1B1C" w14:textId="77777777" w:rsidR="009A1D5D" w:rsidRPr="00C262DB" w:rsidRDefault="009A1D5D" w:rsidP="006000ED">
            <w:pPr>
              <w:spacing w:line="259" w:lineRule="auto"/>
              <w:rPr>
                <w:rFonts w:eastAsia="Times New Roman" w:cs="Calibri"/>
                <w:b/>
                <w:bCs/>
                <w:color w:val="000000"/>
                <w:sz w:val="20"/>
                <w:szCs w:val="20"/>
                <w:lang w:eastAsia="en-AU"/>
              </w:rPr>
            </w:pPr>
            <w:r w:rsidRPr="00C262DB">
              <w:rPr>
                <w:rFonts w:eastAsia="Times New Roman" w:cs="Calibri"/>
                <w:b/>
                <w:bCs/>
                <w:color w:val="000000"/>
                <w:sz w:val="20"/>
                <w:szCs w:val="20"/>
                <w:lang w:eastAsia="en-AU"/>
              </w:rPr>
              <w:t>Total</w:t>
            </w:r>
          </w:p>
        </w:tc>
      </w:tr>
      <w:tr w:rsidR="009A1D5D" w:rsidRPr="00167CB8" w14:paraId="3EC88040" w14:textId="77777777" w:rsidTr="00036836">
        <w:trPr>
          <w:trHeight w:val="290"/>
        </w:trPr>
        <w:tc>
          <w:tcPr>
            <w:tcW w:w="1271" w:type="dxa"/>
            <w:vMerge/>
            <w:noWrap/>
          </w:tcPr>
          <w:p w14:paraId="6C81A823" w14:textId="77777777" w:rsidR="009A1D5D" w:rsidRPr="00167CB8" w:rsidRDefault="009A1D5D" w:rsidP="006000ED">
            <w:pPr>
              <w:spacing w:line="259" w:lineRule="auto"/>
              <w:rPr>
                <w:b/>
                <w:bCs/>
              </w:rPr>
            </w:pPr>
          </w:p>
        </w:tc>
        <w:tc>
          <w:tcPr>
            <w:tcW w:w="1445" w:type="dxa"/>
            <w:noWrap/>
            <w:vAlign w:val="bottom"/>
          </w:tcPr>
          <w:p w14:paraId="451C3396" w14:textId="77777777" w:rsidR="009A1D5D" w:rsidRPr="00C262DB" w:rsidRDefault="009A1D5D" w:rsidP="006000ED">
            <w:pPr>
              <w:spacing w:line="259" w:lineRule="auto"/>
              <w:rPr>
                <w:b/>
                <w:bCs/>
                <w:sz w:val="20"/>
                <w:szCs w:val="20"/>
              </w:rPr>
            </w:pPr>
            <w:r w:rsidRPr="00C262DB">
              <w:rPr>
                <w:rFonts w:eastAsia="Times New Roman" w:cs="Calibri"/>
                <w:b/>
                <w:bCs/>
                <w:color w:val="000000"/>
                <w:sz w:val="20"/>
                <w:szCs w:val="20"/>
                <w:lang w:eastAsia="en-AU"/>
              </w:rPr>
              <w:t>Order to stop and deal with a sexual harassment dispute</w:t>
            </w:r>
          </w:p>
        </w:tc>
        <w:tc>
          <w:tcPr>
            <w:tcW w:w="1446" w:type="dxa"/>
            <w:noWrap/>
            <w:vAlign w:val="bottom"/>
          </w:tcPr>
          <w:p w14:paraId="65F3D87B" w14:textId="77777777" w:rsidR="009A1D5D" w:rsidRPr="00C262DB" w:rsidRDefault="009A1D5D" w:rsidP="006000ED">
            <w:pPr>
              <w:spacing w:line="259" w:lineRule="auto"/>
              <w:rPr>
                <w:b/>
                <w:bCs/>
                <w:sz w:val="20"/>
                <w:szCs w:val="20"/>
              </w:rPr>
            </w:pPr>
            <w:r w:rsidRPr="00C262DB">
              <w:rPr>
                <w:rFonts w:eastAsia="Times New Roman" w:cs="Calibri"/>
                <w:b/>
                <w:bCs/>
                <w:color w:val="000000"/>
                <w:sz w:val="20"/>
                <w:szCs w:val="20"/>
                <w:lang w:eastAsia="en-AU"/>
              </w:rPr>
              <w:t>Order to stop sexual harassment</w:t>
            </w:r>
          </w:p>
        </w:tc>
        <w:tc>
          <w:tcPr>
            <w:tcW w:w="1362" w:type="dxa"/>
            <w:noWrap/>
            <w:vAlign w:val="bottom"/>
          </w:tcPr>
          <w:p w14:paraId="56C4E277" w14:textId="77777777" w:rsidR="009A1D5D" w:rsidRPr="00C262DB" w:rsidRDefault="009A1D5D" w:rsidP="006000ED">
            <w:pPr>
              <w:spacing w:line="259" w:lineRule="auto"/>
              <w:rPr>
                <w:b/>
                <w:bCs/>
                <w:sz w:val="20"/>
                <w:szCs w:val="20"/>
              </w:rPr>
            </w:pPr>
            <w:r w:rsidRPr="00C262DB">
              <w:rPr>
                <w:rFonts w:eastAsia="Times New Roman" w:cs="Calibri"/>
                <w:b/>
                <w:bCs/>
                <w:color w:val="000000"/>
                <w:sz w:val="20"/>
                <w:szCs w:val="20"/>
                <w:lang w:eastAsia="en-AU"/>
              </w:rPr>
              <w:t>Deal with a sexual harassment dispute</w:t>
            </w:r>
          </w:p>
        </w:tc>
        <w:tc>
          <w:tcPr>
            <w:tcW w:w="1488" w:type="dxa"/>
            <w:noWrap/>
            <w:vAlign w:val="bottom"/>
          </w:tcPr>
          <w:p w14:paraId="5A30CBC4" w14:textId="77777777" w:rsidR="009A1D5D" w:rsidRPr="00C262DB" w:rsidRDefault="009A1D5D" w:rsidP="006000ED">
            <w:pPr>
              <w:spacing w:line="259" w:lineRule="auto"/>
              <w:rPr>
                <w:b/>
                <w:bCs/>
                <w:sz w:val="20"/>
                <w:szCs w:val="20"/>
              </w:rPr>
            </w:pPr>
            <w:r w:rsidRPr="00C262DB">
              <w:rPr>
                <w:rFonts w:eastAsia="Times New Roman" w:cs="Calibri"/>
                <w:b/>
                <w:bCs/>
                <w:color w:val="000000"/>
                <w:sz w:val="20"/>
                <w:szCs w:val="20"/>
                <w:lang w:eastAsia="en-AU"/>
              </w:rPr>
              <w:t>Order to stop bullying and sexual harassment</w:t>
            </w:r>
          </w:p>
        </w:tc>
        <w:tc>
          <w:tcPr>
            <w:tcW w:w="1488" w:type="dxa"/>
            <w:noWrap/>
            <w:vAlign w:val="bottom"/>
          </w:tcPr>
          <w:p w14:paraId="1D06048F" w14:textId="77777777" w:rsidR="009A1D5D" w:rsidRPr="00C262DB" w:rsidRDefault="009A1D5D" w:rsidP="006000ED">
            <w:pPr>
              <w:spacing w:line="259" w:lineRule="auto"/>
              <w:rPr>
                <w:b/>
                <w:bCs/>
                <w:sz w:val="20"/>
                <w:szCs w:val="20"/>
              </w:rPr>
            </w:pPr>
            <w:r w:rsidRPr="00C262DB">
              <w:rPr>
                <w:rFonts w:eastAsia="Times New Roman" w:cs="Calibri"/>
                <w:b/>
                <w:bCs/>
                <w:color w:val="000000"/>
                <w:sz w:val="20"/>
                <w:szCs w:val="20"/>
                <w:lang w:eastAsia="en-AU"/>
              </w:rPr>
              <w:t>Order to stop sexual harassment</w:t>
            </w:r>
          </w:p>
        </w:tc>
        <w:tc>
          <w:tcPr>
            <w:tcW w:w="850" w:type="dxa"/>
            <w:vMerge/>
          </w:tcPr>
          <w:p w14:paraId="0AE99A13" w14:textId="77777777" w:rsidR="009A1D5D" w:rsidRPr="00167CB8" w:rsidRDefault="009A1D5D" w:rsidP="006000ED">
            <w:pPr>
              <w:spacing w:line="259" w:lineRule="auto"/>
              <w:rPr>
                <w:rFonts w:eastAsia="Times New Roman" w:cs="Calibri"/>
                <w:color w:val="000000"/>
                <w:lang w:eastAsia="en-AU"/>
              </w:rPr>
            </w:pPr>
          </w:p>
        </w:tc>
      </w:tr>
      <w:tr w:rsidR="009A1D5D" w:rsidRPr="00167CB8" w14:paraId="248F8860" w14:textId="77777777" w:rsidTr="00C262DB">
        <w:trPr>
          <w:trHeight w:val="113"/>
        </w:trPr>
        <w:tc>
          <w:tcPr>
            <w:tcW w:w="1271" w:type="dxa"/>
            <w:noWrap/>
            <w:hideMark/>
          </w:tcPr>
          <w:p w14:paraId="2CECFDAE" w14:textId="77777777" w:rsidR="009A1D5D" w:rsidRPr="00C262DB" w:rsidRDefault="009A1D5D" w:rsidP="006000ED">
            <w:pPr>
              <w:spacing w:line="259" w:lineRule="auto"/>
              <w:rPr>
                <w:sz w:val="20"/>
                <w:szCs w:val="20"/>
              </w:rPr>
            </w:pPr>
            <w:r w:rsidRPr="00C262DB">
              <w:rPr>
                <w:sz w:val="20"/>
                <w:szCs w:val="20"/>
              </w:rPr>
              <w:t>Sep-21</w:t>
            </w:r>
          </w:p>
        </w:tc>
        <w:tc>
          <w:tcPr>
            <w:tcW w:w="1445" w:type="dxa"/>
            <w:noWrap/>
            <w:vAlign w:val="center"/>
            <w:hideMark/>
          </w:tcPr>
          <w:p w14:paraId="1ACCBB4E" w14:textId="586AB384" w:rsidR="009A1D5D" w:rsidRPr="00C262DB" w:rsidRDefault="002C0AF2" w:rsidP="006000ED">
            <w:pPr>
              <w:spacing w:line="259" w:lineRule="auto"/>
              <w:jc w:val="right"/>
              <w:rPr>
                <w:sz w:val="20"/>
                <w:szCs w:val="20"/>
              </w:rPr>
            </w:pPr>
            <w:r w:rsidRPr="00C262DB">
              <w:rPr>
                <w:sz w:val="20"/>
                <w:szCs w:val="20"/>
              </w:rPr>
              <w:t>0</w:t>
            </w:r>
          </w:p>
        </w:tc>
        <w:tc>
          <w:tcPr>
            <w:tcW w:w="1446" w:type="dxa"/>
            <w:noWrap/>
            <w:vAlign w:val="center"/>
            <w:hideMark/>
          </w:tcPr>
          <w:p w14:paraId="3B3A5090" w14:textId="1075C5CB"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47318B1D" w14:textId="1131B35F"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52B2B977" w14:textId="3ABB06F3"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2D81F395" w14:textId="34065E09" w:rsidR="009A1D5D" w:rsidRPr="00C262DB" w:rsidRDefault="002C0AF2" w:rsidP="006000ED">
            <w:pPr>
              <w:spacing w:line="259" w:lineRule="auto"/>
              <w:jc w:val="right"/>
              <w:rPr>
                <w:sz w:val="20"/>
                <w:szCs w:val="20"/>
              </w:rPr>
            </w:pPr>
            <w:r w:rsidRPr="00C262DB">
              <w:rPr>
                <w:sz w:val="20"/>
                <w:szCs w:val="20"/>
              </w:rPr>
              <w:t>0</w:t>
            </w:r>
          </w:p>
        </w:tc>
        <w:tc>
          <w:tcPr>
            <w:tcW w:w="850" w:type="dxa"/>
            <w:vAlign w:val="center"/>
          </w:tcPr>
          <w:p w14:paraId="6D6A5D70" w14:textId="73525D3A" w:rsidR="009A1D5D" w:rsidRPr="00C262DB" w:rsidRDefault="002C0AF2" w:rsidP="006000ED">
            <w:pPr>
              <w:spacing w:line="259" w:lineRule="auto"/>
              <w:jc w:val="right"/>
              <w:rPr>
                <w:sz w:val="20"/>
                <w:szCs w:val="20"/>
              </w:rPr>
            </w:pPr>
            <w:r w:rsidRPr="00C262DB">
              <w:rPr>
                <w:sz w:val="20"/>
                <w:szCs w:val="20"/>
              </w:rPr>
              <w:t>0</w:t>
            </w:r>
          </w:p>
        </w:tc>
      </w:tr>
      <w:tr w:rsidR="009A1D5D" w:rsidRPr="00167CB8" w14:paraId="0527F056" w14:textId="77777777" w:rsidTr="00C262DB">
        <w:trPr>
          <w:trHeight w:val="113"/>
        </w:trPr>
        <w:tc>
          <w:tcPr>
            <w:tcW w:w="1271" w:type="dxa"/>
            <w:noWrap/>
            <w:hideMark/>
          </w:tcPr>
          <w:p w14:paraId="316F99ED" w14:textId="77777777" w:rsidR="009A1D5D" w:rsidRPr="00C262DB" w:rsidRDefault="009A1D5D" w:rsidP="006000ED">
            <w:pPr>
              <w:spacing w:line="259" w:lineRule="auto"/>
              <w:rPr>
                <w:sz w:val="20"/>
                <w:szCs w:val="20"/>
              </w:rPr>
            </w:pPr>
            <w:r w:rsidRPr="00C262DB">
              <w:rPr>
                <w:sz w:val="20"/>
                <w:szCs w:val="20"/>
              </w:rPr>
              <w:t>Dec-21</w:t>
            </w:r>
          </w:p>
        </w:tc>
        <w:tc>
          <w:tcPr>
            <w:tcW w:w="1445" w:type="dxa"/>
            <w:noWrap/>
            <w:vAlign w:val="center"/>
            <w:hideMark/>
          </w:tcPr>
          <w:p w14:paraId="2170E4C7" w14:textId="39CF71BB" w:rsidR="009A1D5D" w:rsidRPr="00C262DB" w:rsidRDefault="002C0AF2" w:rsidP="006000ED">
            <w:pPr>
              <w:spacing w:line="259" w:lineRule="auto"/>
              <w:jc w:val="right"/>
              <w:rPr>
                <w:sz w:val="20"/>
                <w:szCs w:val="20"/>
              </w:rPr>
            </w:pPr>
            <w:r w:rsidRPr="00C262DB">
              <w:rPr>
                <w:sz w:val="20"/>
                <w:szCs w:val="20"/>
              </w:rPr>
              <w:t>0</w:t>
            </w:r>
          </w:p>
        </w:tc>
        <w:tc>
          <w:tcPr>
            <w:tcW w:w="1446" w:type="dxa"/>
            <w:noWrap/>
            <w:vAlign w:val="center"/>
            <w:hideMark/>
          </w:tcPr>
          <w:p w14:paraId="03056B4E" w14:textId="664AEFEB"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01F24DFB" w14:textId="63E2F42B"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47A643F8" w14:textId="77777777" w:rsidR="009A1D5D" w:rsidRPr="00C262DB" w:rsidRDefault="009A1D5D" w:rsidP="006000ED">
            <w:pPr>
              <w:spacing w:line="259" w:lineRule="auto"/>
              <w:jc w:val="right"/>
              <w:rPr>
                <w:sz w:val="20"/>
                <w:szCs w:val="20"/>
              </w:rPr>
            </w:pPr>
            <w:r w:rsidRPr="00C262DB">
              <w:rPr>
                <w:sz w:val="20"/>
                <w:szCs w:val="20"/>
              </w:rPr>
              <w:t>9</w:t>
            </w:r>
          </w:p>
        </w:tc>
        <w:tc>
          <w:tcPr>
            <w:tcW w:w="1488" w:type="dxa"/>
            <w:noWrap/>
            <w:vAlign w:val="center"/>
            <w:hideMark/>
          </w:tcPr>
          <w:p w14:paraId="508A4AE5" w14:textId="77777777" w:rsidR="009A1D5D" w:rsidRPr="00C262DB" w:rsidRDefault="009A1D5D" w:rsidP="006000ED">
            <w:pPr>
              <w:spacing w:line="259" w:lineRule="auto"/>
              <w:jc w:val="right"/>
              <w:rPr>
                <w:sz w:val="20"/>
                <w:szCs w:val="20"/>
              </w:rPr>
            </w:pPr>
            <w:r w:rsidRPr="00C262DB">
              <w:rPr>
                <w:sz w:val="20"/>
                <w:szCs w:val="20"/>
              </w:rPr>
              <w:t>1</w:t>
            </w:r>
          </w:p>
        </w:tc>
        <w:tc>
          <w:tcPr>
            <w:tcW w:w="850" w:type="dxa"/>
            <w:vAlign w:val="center"/>
          </w:tcPr>
          <w:p w14:paraId="6468022A" w14:textId="77777777" w:rsidR="009A1D5D" w:rsidRPr="00C262DB" w:rsidRDefault="009A1D5D" w:rsidP="006000ED">
            <w:pPr>
              <w:spacing w:line="259" w:lineRule="auto"/>
              <w:jc w:val="right"/>
              <w:rPr>
                <w:sz w:val="20"/>
                <w:szCs w:val="20"/>
              </w:rPr>
            </w:pPr>
            <w:r w:rsidRPr="00C262DB">
              <w:rPr>
                <w:sz w:val="20"/>
                <w:szCs w:val="20"/>
              </w:rPr>
              <w:t>10</w:t>
            </w:r>
          </w:p>
        </w:tc>
      </w:tr>
      <w:tr w:rsidR="009A1D5D" w:rsidRPr="00167CB8" w14:paraId="4A858098" w14:textId="77777777" w:rsidTr="00C262DB">
        <w:trPr>
          <w:trHeight w:val="113"/>
        </w:trPr>
        <w:tc>
          <w:tcPr>
            <w:tcW w:w="1271" w:type="dxa"/>
            <w:noWrap/>
            <w:hideMark/>
          </w:tcPr>
          <w:p w14:paraId="683BB602" w14:textId="77777777" w:rsidR="009A1D5D" w:rsidRPr="00C262DB" w:rsidRDefault="009A1D5D" w:rsidP="006000ED">
            <w:pPr>
              <w:spacing w:line="259" w:lineRule="auto"/>
              <w:rPr>
                <w:sz w:val="20"/>
                <w:szCs w:val="20"/>
              </w:rPr>
            </w:pPr>
            <w:r w:rsidRPr="00C262DB">
              <w:rPr>
                <w:sz w:val="20"/>
                <w:szCs w:val="20"/>
              </w:rPr>
              <w:t>Mar-22</w:t>
            </w:r>
          </w:p>
        </w:tc>
        <w:tc>
          <w:tcPr>
            <w:tcW w:w="1445" w:type="dxa"/>
            <w:noWrap/>
            <w:vAlign w:val="center"/>
            <w:hideMark/>
          </w:tcPr>
          <w:p w14:paraId="55C24F5B" w14:textId="14BE01BF" w:rsidR="009A1D5D" w:rsidRPr="00C262DB" w:rsidRDefault="002C0AF2" w:rsidP="006000ED">
            <w:pPr>
              <w:spacing w:line="259" w:lineRule="auto"/>
              <w:jc w:val="right"/>
              <w:rPr>
                <w:sz w:val="20"/>
                <w:szCs w:val="20"/>
              </w:rPr>
            </w:pPr>
            <w:r w:rsidRPr="00C262DB">
              <w:rPr>
                <w:sz w:val="20"/>
                <w:szCs w:val="20"/>
              </w:rPr>
              <w:t>0</w:t>
            </w:r>
          </w:p>
        </w:tc>
        <w:tc>
          <w:tcPr>
            <w:tcW w:w="1446" w:type="dxa"/>
            <w:noWrap/>
            <w:vAlign w:val="center"/>
            <w:hideMark/>
          </w:tcPr>
          <w:p w14:paraId="1A6B2DBA" w14:textId="5855B3FB"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1CC5FFFB" w14:textId="6AE69BD7"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72F9F7A1" w14:textId="77777777" w:rsidR="009A1D5D" w:rsidRPr="00C262DB" w:rsidRDefault="009A1D5D" w:rsidP="006000ED">
            <w:pPr>
              <w:spacing w:line="259" w:lineRule="auto"/>
              <w:jc w:val="right"/>
              <w:rPr>
                <w:sz w:val="20"/>
                <w:szCs w:val="20"/>
              </w:rPr>
            </w:pPr>
            <w:r w:rsidRPr="00C262DB">
              <w:rPr>
                <w:sz w:val="20"/>
                <w:szCs w:val="20"/>
              </w:rPr>
              <w:t>10</w:t>
            </w:r>
          </w:p>
        </w:tc>
        <w:tc>
          <w:tcPr>
            <w:tcW w:w="1488" w:type="dxa"/>
            <w:noWrap/>
            <w:vAlign w:val="center"/>
            <w:hideMark/>
          </w:tcPr>
          <w:p w14:paraId="7A9DC535" w14:textId="77777777" w:rsidR="009A1D5D" w:rsidRPr="00C262DB" w:rsidRDefault="009A1D5D" w:rsidP="006000ED">
            <w:pPr>
              <w:spacing w:line="259" w:lineRule="auto"/>
              <w:jc w:val="right"/>
              <w:rPr>
                <w:sz w:val="20"/>
                <w:szCs w:val="20"/>
              </w:rPr>
            </w:pPr>
            <w:r w:rsidRPr="00C262DB">
              <w:rPr>
                <w:sz w:val="20"/>
                <w:szCs w:val="20"/>
              </w:rPr>
              <w:t>2</w:t>
            </w:r>
          </w:p>
        </w:tc>
        <w:tc>
          <w:tcPr>
            <w:tcW w:w="850" w:type="dxa"/>
            <w:vAlign w:val="center"/>
          </w:tcPr>
          <w:p w14:paraId="11A38DD9" w14:textId="77777777" w:rsidR="009A1D5D" w:rsidRPr="00C262DB" w:rsidRDefault="009A1D5D" w:rsidP="006000ED">
            <w:pPr>
              <w:spacing w:line="259" w:lineRule="auto"/>
              <w:jc w:val="right"/>
              <w:rPr>
                <w:sz w:val="20"/>
                <w:szCs w:val="20"/>
              </w:rPr>
            </w:pPr>
            <w:r w:rsidRPr="00C262DB">
              <w:rPr>
                <w:sz w:val="20"/>
                <w:szCs w:val="20"/>
              </w:rPr>
              <w:t>12</w:t>
            </w:r>
          </w:p>
        </w:tc>
      </w:tr>
      <w:tr w:rsidR="009A1D5D" w:rsidRPr="00167CB8" w14:paraId="0B7610C6" w14:textId="77777777" w:rsidTr="00C262DB">
        <w:trPr>
          <w:trHeight w:val="113"/>
        </w:trPr>
        <w:tc>
          <w:tcPr>
            <w:tcW w:w="1271" w:type="dxa"/>
            <w:noWrap/>
            <w:hideMark/>
          </w:tcPr>
          <w:p w14:paraId="7EA31AFC" w14:textId="77777777" w:rsidR="009A1D5D" w:rsidRPr="00C262DB" w:rsidRDefault="009A1D5D" w:rsidP="006000ED">
            <w:pPr>
              <w:spacing w:line="259" w:lineRule="auto"/>
              <w:rPr>
                <w:sz w:val="20"/>
                <w:szCs w:val="20"/>
              </w:rPr>
            </w:pPr>
            <w:r w:rsidRPr="00C262DB">
              <w:rPr>
                <w:sz w:val="20"/>
                <w:szCs w:val="20"/>
              </w:rPr>
              <w:t>Jun-22</w:t>
            </w:r>
          </w:p>
        </w:tc>
        <w:tc>
          <w:tcPr>
            <w:tcW w:w="1445" w:type="dxa"/>
            <w:noWrap/>
            <w:vAlign w:val="center"/>
            <w:hideMark/>
          </w:tcPr>
          <w:p w14:paraId="524F3898" w14:textId="2BF58A62" w:rsidR="009A1D5D" w:rsidRPr="00C262DB" w:rsidRDefault="002C0AF2" w:rsidP="006000ED">
            <w:pPr>
              <w:spacing w:line="259" w:lineRule="auto"/>
              <w:jc w:val="right"/>
              <w:rPr>
                <w:sz w:val="20"/>
                <w:szCs w:val="20"/>
              </w:rPr>
            </w:pPr>
            <w:r w:rsidRPr="00C262DB">
              <w:rPr>
                <w:sz w:val="20"/>
                <w:szCs w:val="20"/>
              </w:rPr>
              <w:t>0</w:t>
            </w:r>
          </w:p>
        </w:tc>
        <w:tc>
          <w:tcPr>
            <w:tcW w:w="1446" w:type="dxa"/>
            <w:noWrap/>
            <w:vAlign w:val="center"/>
            <w:hideMark/>
          </w:tcPr>
          <w:p w14:paraId="443B1395" w14:textId="05CA8E13"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296B1857" w14:textId="46B9126B"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0C9199F3" w14:textId="77777777" w:rsidR="009A1D5D" w:rsidRPr="00C262DB" w:rsidRDefault="009A1D5D" w:rsidP="006000ED">
            <w:pPr>
              <w:spacing w:line="259" w:lineRule="auto"/>
              <w:jc w:val="right"/>
              <w:rPr>
                <w:sz w:val="20"/>
                <w:szCs w:val="20"/>
              </w:rPr>
            </w:pPr>
            <w:r w:rsidRPr="00C262DB">
              <w:rPr>
                <w:sz w:val="20"/>
                <w:szCs w:val="20"/>
              </w:rPr>
              <w:t>4</w:t>
            </w:r>
          </w:p>
        </w:tc>
        <w:tc>
          <w:tcPr>
            <w:tcW w:w="1488" w:type="dxa"/>
            <w:noWrap/>
            <w:vAlign w:val="center"/>
            <w:hideMark/>
          </w:tcPr>
          <w:p w14:paraId="48CBB8AC" w14:textId="77777777" w:rsidR="009A1D5D" w:rsidRPr="00C262DB" w:rsidRDefault="009A1D5D" w:rsidP="006000ED">
            <w:pPr>
              <w:spacing w:line="259" w:lineRule="auto"/>
              <w:jc w:val="right"/>
              <w:rPr>
                <w:sz w:val="20"/>
                <w:szCs w:val="20"/>
              </w:rPr>
            </w:pPr>
            <w:r w:rsidRPr="00C262DB">
              <w:rPr>
                <w:sz w:val="20"/>
                <w:szCs w:val="20"/>
              </w:rPr>
              <w:t>2</w:t>
            </w:r>
          </w:p>
        </w:tc>
        <w:tc>
          <w:tcPr>
            <w:tcW w:w="850" w:type="dxa"/>
            <w:vAlign w:val="center"/>
          </w:tcPr>
          <w:p w14:paraId="4A787D91" w14:textId="77777777" w:rsidR="009A1D5D" w:rsidRPr="00C262DB" w:rsidRDefault="009A1D5D" w:rsidP="006000ED">
            <w:pPr>
              <w:spacing w:line="259" w:lineRule="auto"/>
              <w:jc w:val="right"/>
              <w:rPr>
                <w:sz w:val="20"/>
                <w:szCs w:val="20"/>
              </w:rPr>
            </w:pPr>
            <w:r w:rsidRPr="00C262DB">
              <w:rPr>
                <w:sz w:val="20"/>
                <w:szCs w:val="20"/>
              </w:rPr>
              <w:t>6</w:t>
            </w:r>
          </w:p>
        </w:tc>
      </w:tr>
      <w:tr w:rsidR="009A1D5D" w:rsidRPr="00167CB8" w14:paraId="3393B060" w14:textId="77777777" w:rsidTr="00C262DB">
        <w:trPr>
          <w:trHeight w:val="113"/>
        </w:trPr>
        <w:tc>
          <w:tcPr>
            <w:tcW w:w="1271" w:type="dxa"/>
            <w:noWrap/>
            <w:hideMark/>
          </w:tcPr>
          <w:p w14:paraId="4B6E4163" w14:textId="77777777" w:rsidR="009A1D5D" w:rsidRPr="00C262DB" w:rsidRDefault="009A1D5D" w:rsidP="006000ED">
            <w:pPr>
              <w:spacing w:line="259" w:lineRule="auto"/>
              <w:rPr>
                <w:sz w:val="20"/>
                <w:szCs w:val="20"/>
              </w:rPr>
            </w:pPr>
            <w:r w:rsidRPr="00C262DB">
              <w:rPr>
                <w:sz w:val="20"/>
                <w:szCs w:val="20"/>
              </w:rPr>
              <w:t>Sep-22</w:t>
            </w:r>
          </w:p>
        </w:tc>
        <w:tc>
          <w:tcPr>
            <w:tcW w:w="1445" w:type="dxa"/>
            <w:noWrap/>
            <w:vAlign w:val="center"/>
            <w:hideMark/>
          </w:tcPr>
          <w:p w14:paraId="5FCF5B6A" w14:textId="45047075" w:rsidR="009A1D5D" w:rsidRPr="00C262DB" w:rsidRDefault="002C0AF2" w:rsidP="006000ED">
            <w:pPr>
              <w:spacing w:line="259" w:lineRule="auto"/>
              <w:jc w:val="right"/>
              <w:rPr>
                <w:sz w:val="20"/>
                <w:szCs w:val="20"/>
              </w:rPr>
            </w:pPr>
            <w:r w:rsidRPr="00C262DB">
              <w:rPr>
                <w:sz w:val="20"/>
                <w:szCs w:val="20"/>
              </w:rPr>
              <w:t>0</w:t>
            </w:r>
          </w:p>
        </w:tc>
        <w:tc>
          <w:tcPr>
            <w:tcW w:w="1446" w:type="dxa"/>
            <w:noWrap/>
            <w:vAlign w:val="center"/>
            <w:hideMark/>
          </w:tcPr>
          <w:p w14:paraId="30F2D34A" w14:textId="565B0D52"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6EA0994B" w14:textId="7E1AF44D"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2225C32A" w14:textId="77777777" w:rsidR="009A1D5D" w:rsidRPr="00C262DB" w:rsidRDefault="009A1D5D" w:rsidP="006000ED">
            <w:pPr>
              <w:spacing w:line="259" w:lineRule="auto"/>
              <w:jc w:val="right"/>
              <w:rPr>
                <w:sz w:val="20"/>
                <w:szCs w:val="20"/>
              </w:rPr>
            </w:pPr>
            <w:r w:rsidRPr="00C262DB">
              <w:rPr>
                <w:sz w:val="20"/>
                <w:szCs w:val="20"/>
              </w:rPr>
              <w:t>13</w:t>
            </w:r>
          </w:p>
        </w:tc>
        <w:tc>
          <w:tcPr>
            <w:tcW w:w="1488" w:type="dxa"/>
            <w:noWrap/>
            <w:vAlign w:val="center"/>
            <w:hideMark/>
          </w:tcPr>
          <w:p w14:paraId="1DBCF1E9" w14:textId="77777777" w:rsidR="009A1D5D" w:rsidRPr="00C262DB" w:rsidRDefault="009A1D5D" w:rsidP="006000ED">
            <w:pPr>
              <w:spacing w:line="259" w:lineRule="auto"/>
              <w:jc w:val="right"/>
              <w:rPr>
                <w:sz w:val="20"/>
                <w:szCs w:val="20"/>
              </w:rPr>
            </w:pPr>
            <w:r w:rsidRPr="00C262DB">
              <w:rPr>
                <w:sz w:val="20"/>
                <w:szCs w:val="20"/>
              </w:rPr>
              <w:t>1</w:t>
            </w:r>
          </w:p>
        </w:tc>
        <w:tc>
          <w:tcPr>
            <w:tcW w:w="850" w:type="dxa"/>
            <w:vAlign w:val="center"/>
          </w:tcPr>
          <w:p w14:paraId="74992E57" w14:textId="77777777" w:rsidR="009A1D5D" w:rsidRPr="00C262DB" w:rsidRDefault="009A1D5D" w:rsidP="006000ED">
            <w:pPr>
              <w:spacing w:line="259" w:lineRule="auto"/>
              <w:jc w:val="right"/>
              <w:rPr>
                <w:sz w:val="20"/>
                <w:szCs w:val="20"/>
              </w:rPr>
            </w:pPr>
            <w:r w:rsidRPr="00C262DB">
              <w:rPr>
                <w:sz w:val="20"/>
                <w:szCs w:val="20"/>
              </w:rPr>
              <w:t>14</w:t>
            </w:r>
          </w:p>
        </w:tc>
      </w:tr>
      <w:tr w:rsidR="009A1D5D" w:rsidRPr="00167CB8" w14:paraId="7812D02D" w14:textId="77777777" w:rsidTr="00C262DB">
        <w:trPr>
          <w:trHeight w:val="113"/>
        </w:trPr>
        <w:tc>
          <w:tcPr>
            <w:tcW w:w="1271" w:type="dxa"/>
            <w:noWrap/>
            <w:hideMark/>
          </w:tcPr>
          <w:p w14:paraId="43E21496" w14:textId="77777777" w:rsidR="009A1D5D" w:rsidRPr="00C262DB" w:rsidRDefault="009A1D5D" w:rsidP="006000ED">
            <w:pPr>
              <w:spacing w:line="259" w:lineRule="auto"/>
              <w:rPr>
                <w:sz w:val="20"/>
                <w:szCs w:val="20"/>
              </w:rPr>
            </w:pPr>
            <w:r w:rsidRPr="00C262DB">
              <w:rPr>
                <w:sz w:val="20"/>
                <w:szCs w:val="20"/>
              </w:rPr>
              <w:t>Dec-22</w:t>
            </w:r>
          </w:p>
        </w:tc>
        <w:tc>
          <w:tcPr>
            <w:tcW w:w="1445" w:type="dxa"/>
            <w:noWrap/>
            <w:vAlign w:val="center"/>
            <w:hideMark/>
          </w:tcPr>
          <w:p w14:paraId="533CA3CB" w14:textId="6B1B354A" w:rsidR="009A1D5D" w:rsidRPr="00C262DB" w:rsidRDefault="002C0AF2" w:rsidP="006000ED">
            <w:pPr>
              <w:spacing w:line="259" w:lineRule="auto"/>
              <w:jc w:val="right"/>
              <w:rPr>
                <w:sz w:val="20"/>
                <w:szCs w:val="20"/>
              </w:rPr>
            </w:pPr>
            <w:r w:rsidRPr="00C262DB">
              <w:rPr>
                <w:sz w:val="20"/>
                <w:szCs w:val="20"/>
              </w:rPr>
              <w:t>0</w:t>
            </w:r>
          </w:p>
        </w:tc>
        <w:tc>
          <w:tcPr>
            <w:tcW w:w="1446" w:type="dxa"/>
            <w:noWrap/>
            <w:vAlign w:val="center"/>
            <w:hideMark/>
          </w:tcPr>
          <w:p w14:paraId="586492C3" w14:textId="0DD859E3"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255F31E3" w14:textId="3FFD12A3"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50098C48" w14:textId="77777777" w:rsidR="009A1D5D" w:rsidRPr="00C262DB" w:rsidRDefault="009A1D5D" w:rsidP="006000ED">
            <w:pPr>
              <w:spacing w:line="259" w:lineRule="auto"/>
              <w:jc w:val="right"/>
              <w:rPr>
                <w:sz w:val="20"/>
                <w:szCs w:val="20"/>
              </w:rPr>
            </w:pPr>
            <w:r w:rsidRPr="00C262DB">
              <w:rPr>
                <w:sz w:val="20"/>
                <w:szCs w:val="20"/>
              </w:rPr>
              <w:t>6</w:t>
            </w:r>
          </w:p>
        </w:tc>
        <w:tc>
          <w:tcPr>
            <w:tcW w:w="1488" w:type="dxa"/>
            <w:noWrap/>
            <w:vAlign w:val="center"/>
            <w:hideMark/>
          </w:tcPr>
          <w:p w14:paraId="1957968D" w14:textId="77777777" w:rsidR="009A1D5D" w:rsidRPr="00C262DB" w:rsidRDefault="009A1D5D" w:rsidP="006000ED">
            <w:pPr>
              <w:spacing w:line="259" w:lineRule="auto"/>
              <w:jc w:val="right"/>
              <w:rPr>
                <w:sz w:val="20"/>
                <w:szCs w:val="20"/>
              </w:rPr>
            </w:pPr>
            <w:r w:rsidRPr="00C262DB">
              <w:rPr>
                <w:sz w:val="20"/>
                <w:szCs w:val="20"/>
              </w:rPr>
              <w:t>2</w:t>
            </w:r>
          </w:p>
        </w:tc>
        <w:tc>
          <w:tcPr>
            <w:tcW w:w="850" w:type="dxa"/>
            <w:vAlign w:val="center"/>
          </w:tcPr>
          <w:p w14:paraId="50376461" w14:textId="77777777" w:rsidR="009A1D5D" w:rsidRPr="00C262DB" w:rsidRDefault="009A1D5D" w:rsidP="006000ED">
            <w:pPr>
              <w:spacing w:line="259" w:lineRule="auto"/>
              <w:jc w:val="right"/>
              <w:rPr>
                <w:sz w:val="20"/>
                <w:szCs w:val="20"/>
              </w:rPr>
            </w:pPr>
            <w:r w:rsidRPr="00C262DB">
              <w:rPr>
                <w:sz w:val="20"/>
                <w:szCs w:val="20"/>
              </w:rPr>
              <w:t>8</w:t>
            </w:r>
          </w:p>
        </w:tc>
      </w:tr>
      <w:tr w:rsidR="009A1D5D" w:rsidRPr="00167CB8" w14:paraId="2E2E8EA2" w14:textId="77777777" w:rsidTr="00C262DB">
        <w:trPr>
          <w:trHeight w:val="113"/>
        </w:trPr>
        <w:tc>
          <w:tcPr>
            <w:tcW w:w="1271" w:type="dxa"/>
            <w:noWrap/>
            <w:hideMark/>
          </w:tcPr>
          <w:p w14:paraId="04C9409E" w14:textId="77777777" w:rsidR="009A1D5D" w:rsidRPr="00C262DB" w:rsidRDefault="009A1D5D" w:rsidP="006000ED">
            <w:pPr>
              <w:spacing w:line="259" w:lineRule="auto"/>
              <w:rPr>
                <w:sz w:val="20"/>
                <w:szCs w:val="20"/>
              </w:rPr>
            </w:pPr>
            <w:r w:rsidRPr="00C262DB">
              <w:rPr>
                <w:sz w:val="20"/>
                <w:szCs w:val="20"/>
              </w:rPr>
              <w:t>Mar-23</w:t>
            </w:r>
          </w:p>
        </w:tc>
        <w:tc>
          <w:tcPr>
            <w:tcW w:w="1445" w:type="dxa"/>
            <w:noWrap/>
            <w:vAlign w:val="center"/>
            <w:hideMark/>
          </w:tcPr>
          <w:p w14:paraId="37C0A106" w14:textId="77777777" w:rsidR="009A1D5D" w:rsidRPr="00C262DB" w:rsidRDefault="009A1D5D" w:rsidP="006000ED">
            <w:pPr>
              <w:spacing w:line="259" w:lineRule="auto"/>
              <w:jc w:val="right"/>
              <w:rPr>
                <w:sz w:val="20"/>
                <w:szCs w:val="20"/>
              </w:rPr>
            </w:pPr>
            <w:r w:rsidRPr="00C262DB">
              <w:rPr>
                <w:sz w:val="20"/>
                <w:szCs w:val="20"/>
              </w:rPr>
              <w:t>1</w:t>
            </w:r>
          </w:p>
        </w:tc>
        <w:tc>
          <w:tcPr>
            <w:tcW w:w="1446" w:type="dxa"/>
            <w:noWrap/>
            <w:vAlign w:val="center"/>
            <w:hideMark/>
          </w:tcPr>
          <w:p w14:paraId="73EE42C9" w14:textId="6AC0C164"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16851088" w14:textId="7FC812C9"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09D80076" w14:textId="77777777" w:rsidR="009A1D5D" w:rsidRPr="00C262DB" w:rsidRDefault="009A1D5D" w:rsidP="006000ED">
            <w:pPr>
              <w:spacing w:line="259" w:lineRule="auto"/>
              <w:jc w:val="right"/>
              <w:rPr>
                <w:sz w:val="20"/>
                <w:szCs w:val="20"/>
              </w:rPr>
            </w:pPr>
            <w:r w:rsidRPr="00C262DB">
              <w:rPr>
                <w:sz w:val="20"/>
                <w:szCs w:val="20"/>
              </w:rPr>
              <w:t>8</w:t>
            </w:r>
          </w:p>
        </w:tc>
        <w:tc>
          <w:tcPr>
            <w:tcW w:w="1488" w:type="dxa"/>
            <w:noWrap/>
            <w:vAlign w:val="center"/>
            <w:hideMark/>
          </w:tcPr>
          <w:p w14:paraId="3E96542F" w14:textId="77777777" w:rsidR="009A1D5D" w:rsidRPr="00C262DB" w:rsidRDefault="009A1D5D" w:rsidP="006000ED">
            <w:pPr>
              <w:spacing w:line="259" w:lineRule="auto"/>
              <w:jc w:val="right"/>
              <w:rPr>
                <w:sz w:val="20"/>
                <w:szCs w:val="20"/>
              </w:rPr>
            </w:pPr>
            <w:r w:rsidRPr="00C262DB">
              <w:rPr>
                <w:sz w:val="20"/>
                <w:szCs w:val="20"/>
              </w:rPr>
              <w:t>5</w:t>
            </w:r>
          </w:p>
        </w:tc>
        <w:tc>
          <w:tcPr>
            <w:tcW w:w="850" w:type="dxa"/>
            <w:vAlign w:val="center"/>
          </w:tcPr>
          <w:p w14:paraId="28285416" w14:textId="77777777" w:rsidR="009A1D5D" w:rsidRPr="00C262DB" w:rsidRDefault="009A1D5D" w:rsidP="006000ED">
            <w:pPr>
              <w:spacing w:line="259" w:lineRule="auto"/>
              <w:jc w:val="right"/>
              <w:rPr>
                <w:sz w:val="20"/>
                <w:szCs w:val="20"/>
              </w:rPr>
            </w:pPr>
            <w:r w:rsidRPr="00C262DB">
              <w:rPr>
                <w:sz w:val="20"/>
                <w:szCs w:val="20"/>
              </w:rPr>
              <w:t>14</w:t>
            </w:r>
          </w:p>
        </w:tc>
      </w:tr>
      <w:tr w:rsidR="009A1D5D" w:rsidRPr="00167CB8" w14:paraId="230272C6" w14:textId="77777777" w:rsidTr="00C262DB">
        <w:trPr>
          <w:trHeight w:val="113"/>
        </w:trPr>
        <w:tc>
          <w:tcPr>
            <w:tcW w:w="1271" w:type="dxa"/>
            <w:noWrap/>
            <w:hideMark/>
          </w:tcPr>
          <w:p w14:paraId="4B22B0FF" w14:textId="77777777" w:rsidR="009A1D5D" w:rsidRPr="00C262DB" w:rsidRDefault="009A1D5D" w:rsidP="006000ED">
            <w:pPr>
              <w:spacing w:line="259" w:lineRule="auto"/>
              <w:rPr>
                <w:sz w:val="20"/>
                <w:szCs w:val="20"/>
              </w:rPr>
            </w:pPr>
            <w:r w:rsidRPr="00C262DB">
              <w:rPr>
                <w:sz w:val="20"/>
                <w:szCs w:val="20"/>
              </w:rPr>
              <w:t>Jun-23</w:t>
            </w:r>
          </w:p>
        </w:tc>
        <w:tc>
          <w:tcPr>
            <w:tcW w:w="1445" w:type="dxa"/>
            <w:noWrap/>
            <w:vAlign w:val="center"/>
            <w:hideMark/>
          </w:tcPr>
          <w:p w14:paraId="0CECFFCE" w14:textId="77777777" w:rsidR="009A1D5D" w:rsidRPr="00C262DB" w:rsidRDefault="009A1D5D" w:rsidP="006000ED">
            <w:pPr>
              <w:spacing w:line="259" w:lineRule="auto"/>
              <w:jc w:val="right"/>
              <w:rPr>
                <w:sz w:val="20"/>
                <w:szCs w:val="20"/>
              </w:rPr>
            </w:pPr>
            <w:r w:rsidRPr="00C262DB">
              <w:rPr>
                <w:sz w:val="20"/>
                <w:szCs w:val="20"/>
              </w:rPr>
              <w:t>4</w:t>
            </w:r>
          </w:p>
        </w:tc>
        <w:tc>
          <w:tcPr>
            <w:tcW w:w="1446" w:type="dxa"/>
            <w:noWrap/>
            <w:vAlign w:val="center"/>
            <w:hideMark/>
          </w:tcPr>
          <w:p w14:paraId="7B1E3B27" w14:textId="398593B8"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51D045A5" w14:textId="77777777" w:rsidR="009A1D5D" w:rsidRPr="00C262DB" w:rsidRDefault="009A1D5D" w:rsidP="006000ED">
            <w:pPr>
              <w:spacing w:line="259" w:lineRule="auto"/>
              <w:jc w:val="right"/>
              <w:rPr>
                <w:sz w:val="20"/>
                <w:szCs w:val="20"/>
              </w:rPr>
            </w:pPr>
            <w:r w:rsidRPr="00C262DB">
              <w:rPr>
                <w:sz w:val="20"/>
                <w:szCs w:val="20"/>
              </w:rPr>
              <w:t>6</w:t>
            </w:r>
          </w:p>
        </w:tc>
        <w:tc>
          <w:tcPr>
            <w:tcW w:w="1488" w:type="dxa"/>
            <w:noWrap/>
            <w:vAlign w:val="center"/>
            <w:hideMark/>
          </w:tcPr>
          <w:p w14:paraId="3E0CBC29" w14:textId="5480C67F"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099B35FB" w14:textId="77777777" w:rsidR="009A1D5D" w:rsidRPr="00C262DB" w:rsidRDefault="009A1D5D" w:rsidP="006000ED">
            <w:pPr>
              <w:spacing w:line="259" w:lineRule="auto"/>
              <w:jc w:val="right"/>
              <w:rPr>
                <w:sz w:val="20"/>
                <w:szCs w:val="20"/>
              </w:rPr>
            </w:pPr>
            <w:r w:rsidRPr="00C262DB">
              <w:rPr>
                <w:sz w:val="20"/>
                <w:szCs w:val="20"/>
              </w:rPr>
              <w:t>3</w:t>
            </w:r>
          </w:p>
        </w:tc>
        <w:tc>
          <w:tcPr>
            <w:tcW w:w="850" w:type="dxa"/>
            <w:vAlign w:val="center"/>
          </w:tcPr>
          <w:p w14:paraId="2272A3CB" w14:textId="77777777" w:rsidR="009A1D5D" w:rsidRPr="00C262DB" w:rsidRDefault="009A1D5D" w:rsidP="006000ED">
            <w:pPr>
              <w:spacing w:line="259" w:lineRule="auto"/>
              <w:jc w:val="right"/>
              <w:rPr>
                <w:sz w:val="20"/>
                <w:szCs w:val="20"/>
              </w:rPr>
            </w:pPr>
            <w:r w:rsidRPr="00C262DB">
              <w:rPr>
                <w:sz w:val="20"/>
                <w:szCs w:val="20"/>
              </w:rPr>
              <w:t>13</w:t>
            </w:r>
          </w:p>
        </w:tc>
      </w:tr>
      <w:tr w:rsidR="009A1D5D" w:rsidRPr="00167CB8" w14:paraId="0E56173F" w14:textId="77777777" w:rsidTr="00C262DB">
        <w:trPr>
          <w:trHeight w:val="113"/>
        </w:trPr>
        <w:tc>
          <w:tcPr>
            <w:tcW w:w="1271" w:type="dxa"/>
            <w:noWrap/>
            <w:hideMark/>
          </w:tcPr>
          <w:p w14:paraId="2FF9C91B" w14:textId="77777777" w:rsidR="009A1D5D" w:rsidRPr="00C262DB" w:rsidRDefault="009A1D5D" w:rsidP="006000ED">
            <w:pPr>
              <w:spacing w:line="259" w:lineRule="auto"/>
              <w:rPr>
                <w:sz w:val="20"/>
                <w:szCs w:val="20"/>
              </w:rPr>
            </w:pPr>
            <w:r w:rsidRPr="00C262DB">
              <w:rPr>
                <w:sz w:val="20"/>
                <w:szCs w:val="20"/>
              </w:rPr>
              <w:t>Sep-23</w:t>
            </w:r>
          </w:p>
        </w:tc>
        <w:tc>
          <w:tcPr>
            <w:tcW w:w="1445" w:type="dxa"/>
            <w:noWrap/>
            <w:vAlign w:val="center"/>
            <w:hideMark/>
          </w:tcPr>
          <w:p w14:paraId="1CA4ECF9" w14:textId="77777777" w:rsidR="009A1D5D" w:rsidRPr="00C262DB" w:rsidRDefault="009A1D5D" w:rsidP="006000ED">
            <w:pPr>
              <w:spacing w:line="259" w:lineRule="auto"/>
              <w:jc w:val="right"/>
              <w:rPr>
                <w:sz w:val="20"/>
                <w:szCs w:val="20"/>
              </w:rPr>
            </w:pPr>
            <w:r w:rsidRPr="00C262DB">
              <w:rPr>
                <w:sz w:val="20"/>
                <w:szCs w:val="20"/>
              </w:rPr>
              <w:t>6</w:t>
            </w:r>
          </w:p>
        </w:tc>
        <w:tc>
          <w:tcPr>
            <w:tcW w:w="1446" w:type="dxa"/>
            <w:noWrap/>
            <w:vAlign w:val="center"/>
            <w:hideMark/>
          </w:tcPr>
          <w:p w14:paraId="7E23CFF7" w14:textId="6B4BC901"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3EEE29D2" w14:textId="77777777" w:rsidR="009A1D5D" w:rsidRPr="00C262DB" w:rsidRDefault="009A1D5D" w:rsidP="006000ED">
            <w:pPr>
              <w:spacing w:line="259" w:lineRule="auto"/>
              <w:jc w:val="right"/>
              <w:rPr>
                <w:sz w:val="20"/>
                <w:szCs w:val="20"/>
              </w:rPr>
            </w:pPr>
            <w:r w:rsidRPr="00C262DB">
              <w:rPr>
                <w:sz w:val="20"/>
                <w:szCs w:val="20"/>
              </w:rPr>
              <w:t>10</w:t>
            </w:r>
          </w:p>
        </w:tc>
        <w:tc>
          <w:tcPr>
            <w:tcW w:w="1488" w:type="dxa"/>
            <w:noWrap/>
            <w:vAlign w:val="center"/>
            <w:hideMark/>
          </w:tcPr>
          <w:p w14:paraId="51C73721" w14:textId="556B2785"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629ABEA9" w14:textId="77777777" w:rsidR="009A1D5D" w:rsidRPr="00C262DB" w:rsidRDefault="009A1D5D" w:rsidP="006000ED">
            <w:pPr>
              <w:spacing w:line="259" w:lineRule="auto"/>
              <w:jc w:val="right"/>
              <w:rPr>
                <w:sz w:val="20"/>
                <w:szCs w:val="20"/>
              </w:rPr>
            </w:pPr>
            <w:r w:rsidRPr="00C262DB">
              <w:rPr>
                <w:sz w:val="20"/>
                <w:szCs w:val="20"/>
              </w:rPr>
              <w:t>3</w:t>
            </w:r>
          </w:p>
        </w:tc>
        <w:tc>
          <w:tcPr>
            <w:tcW w:w="850" w:type="dxa"/>
            <w:vAlign w:val="center"/>
          </w:tcPr>
          <w:p w14:paraId="659132C8" w14:textId="77777777" w:rsidR="009A1D5D" w:rsidRPr="00C262DB" w:rsidRDefault="009A1D5D" w:rsidP="006000ED">
            <w:pPr>
              <w:spacing w:line="259" w:lineRule="auto"/>
              <w:jc w:val="right"/>
              <w:rPr>
                <w:sz w:val="20"/>
                <w:szCs w:val="20"/>
              </w:rPr>
            </w:pPr>
            <w:r w:rsidRPr="00C262DB">
              <w:rPr>
                <w:sz w:val="20"/>
                <w:szCs w:val="20"/>
              </w:rPr>
              <w:t>19</w:t>
            </w:r>
          </w:p>
        </w:tc>
      </w:tr>
      <w:tr w:rsidR="009A1D5D" w:rsidRPr="00167CB8" w14:paraId="21DD2E33" w14:textId="77777777" w:rsidTr="00C262DB">
        <w:trPr>
          <w:trHeight w:val="113"/>
        </w:trPr>
        <w:tc>
          <w:tcPr>
            <w:tcW w:w="1271" w:type="dxa"/>
            <w:noWrap/>
            <w:hideMark/>
          </w:tcPr>
          <w:p w14:paraId="17C697A4" w14:textId="77777777" w:rsidR="009A1D5D" w:rsidRPr="00C262DB" w:rsidRDefault="009A1D5D" w:rsidP="006000ED">
            <w:pPr>
              <w:spacing w:line="259" w:lineRule="auto"/>
              <w:rPr>
                <w:sz w:val="20"/>
                <w:szCs w:val="20"/>
              </w:rPr>
            </w:pPr>
            <w:r w:rsidRPr="00C262DB">
              <w:rPr>
                <w:sz w:val="20"/>
                <w:szCs w:val="20"/>
              </w:rPr>
              <w:t>Dec-23</w:t>
            </w:r>
          </w:p>
        </w:tc>
        <w:tc>
          <w:tcPr>
            <w:tcW w:w="1445" w:type="dxa"/>
            <w:noWrap/>
            <w:vAlign w:val="center"/>
            <w:hideMark/>
          </w:tcPr>
          <w:p w14:paraId="38B43A8E" w14:textId="77777777" w:rsidR="009A1D5D" w:rsidRPr="00C262DB" w:rsidRDefault="009A1D5D" w:rsidP="006000ED">
            <w:pPr>
              <w:spacing w:line="259" w:lineRule="auto"/>
              <w:jc w:val="right"/>
              <w:rPr>
                <w:sz w:val="20"/>
                <w:szCs w:val="20"/>
              </w:rPr>
            </w:pPr>
            <w:r w:rsidRPr="00C262DB">
              <w:rPr>
                <w:sz w:val="20"/>
                <w:szCs w:val="20"/>
              </w:rPr>
              <w:t>8</w:t>
            </w:r>
          </w:p>
        </w:tc>
        <w:tc>
          <w:tcPr>
            <w:tcW w:w="1446" w:type="dxa"/>
            <w:noWrap/>
            <w:vAlign w:val="center"/>
            <w:hideMark/>
          </w:tcPr>
          <w:p w14:paraId="75373A77" w14:textId="77777777" w:rsidR="009A1D5D" w:rsidRPr="00C262DB" w:rsidRDefault="009A1D5D" w:rsidP="006000ED">
            <w:pPr>
              <w:spacing w:line="259" w:lineRule="auto"/>
              <w:jc w:val="right"/>
              <w:rPr>
                <w:sz w:val="20"/>
                <w:szCs w:val="20"/>
              </w:rPr>
            </w:pPr>
            <w:r w:rsidRPr="00C262DB">
              <w:rPr>
                <w:sz w:val="20"/>
                <w:szCs w:val="20"/>
              </w:rPr>
              <w:t>4</w:t>
            </w:r>
          </w:p>
        </w:tc>
        <w:tc>
          <w:tcPr>
            <w:tcW w:w="1362" w:type="dxa"/>
            <w:noWrap/>
            <w:vAlign w:val="center"/>
            <w:hideMark/>
          </w:tcPr>
          <w:p w14:paraId="62CAE21C" w14:textId="77777777" w:rsidR="009A1D5D" w:rsidRPr="00C262DB" w:rsidRDefault="009A1D5D" w:rsidP="006000ED">
            <w:pPr>
              <w:spacing w:line="259" w:lineRule="auto"/>
              <w:jc w:val="right"/>
              <w:rPr>
                <w:sz w:val="20"/>
                <w:szCs w:val="20"/>
              </w:rPr>
            </w:pPr>
            <w:r w:rsidRPr="00C262DB">
              <w:rPr>
                <w:sz w:val="20"/>
                <w:szCs w:val="20"/>
              </w:rPr>
              <w:t>15</w:t>
            </w:r>
          </w:p>
        </w:tc>
        <w:tc>
          <w:tcPr>
            <w:tcW w:w="1488" w:type="dxa"/>
            <w:noWrap/>
            <w:vAlign w:val="center"/>
            <w:hideMark/>
          </w:tcPr>
          <w:p w14:paraId="1C51482E" w14:textId="0AD7F269"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754AD7C9" w14:textId="77777777" w:rsidR="009A1D5D" w:rsidRPr="00C262DB" w:rsidRDefault="009A1D5D" w:rsidP="006000ED">
            <w:pPr>
              <w:spacing w:line="259" w:lineRule="auto"/>
              <w:jc w:val="right"/>
              <w:rPr>
                <w:sz w:val="20"/>
                <w:szCs w:val="20"/>
              </w:rPr>
            </w:pPr>
            <w:r w:rsidRPr="00C262DB">
              <w:rPr>
                <w:sz w:val="20"/>
                <w:szCs w:val="20"/>
              </w:rPr>
              <w:t>4</w:t>
            </w:r>
          </w:p>
        </w:tc>
        <w:tc>
          <w:tcPr>
            <w:tcW w:w="850" w:type="dxa"/>
            <w:vAlign w:val="center"/>
          </w:tcPr>
          <w:p w14:paraId="53453A5F" w14:textId="77777777" w:rsidR="009A1D5D" w:rsidRPr="00C262DB" w:rsidRDefault="009A1D5D" w:rsidP="006000ED">
            <w:pPr>
              <w:spacing w:line="259" w:lineRule="auto"/>
              <w:jc w:val="right"/>
              <w:rPr>
                <w:sz w:val="20"/>
                <w:szCs w:val="20"/>
              </w:rPr>
            </w:pPr>
            <w:r w:rsidRPr="00C262DB">
              <w:rPr>
                <w:sz w:val="20"/>
                <w:szCs w:val="20"/>
              </w:rPr>
              <w:t>31</w:t>
            </w:r>
          </w:p>
        </w:tc>
      </w:tr>
      <w:tr w:rsidR="009A1D5D" w:rsidRPr="00167CB8" w14:paraId="2DC7F921" w14:textId="77777777" w:rsidTr="00C262DB">
        <w:trPr>
          <w:trHeight w:val="113"/>
        </w:trPr>
        <w:tc>
          <w:tcPr>
            <w:tcW w:w="1271" w:type="dxa"/>
            <w:noWrap/>
            <w:hideMark/>
          </w:tcPr>
          <w:p w14:paraId="3D420C48" w14:textId="77777777" w:rsidR="009A1D5D" w:rsidRPr="00C262DB" w:rsidRDefault="009A1D5D" w:rsidP="006000ED">
            <w:pPr>
              <w:spacing w:line="259" w:lineRule="auto"/>
              <w:rPr>
                <w:sz w:val="20"/>
                <w:szCs w:val="20"/>
              </w:rPr>
            </w:pPr>
            <w:r w:rsidRPr="00C262DB">
              <w:rPr>
                <w:sz w:val="20"/>
                <w:szCs w:val="20"/>
              </w:rPr>
              <w:t>Mar-24</w:t>
            </w:r>
          </w:p>
        </w:tc>
        <w:tc>
          <w:tcPr>
            <w:tcW w:w="1445" w:type="dxa"/>
            <w:noWrap/>
            <w:vAlign w:val="center"/>
            <w:hideMark/>
          </w:tcPr>
          <w:p w14:paraId="29DDF103" w14:textId="77777777" w:rsidR="009A1D5D" w:rsidRPr="00C262DB" w:rsidRDefault="009A1D5D" w:rsidP="006000ED">
            <w:pPr>
              <w:spacing w:line="259" w:lineRule="auto"/>
              <w:jc w:val="right"/>
              <w:rPr>
                <w:sz w:val="20"/>
                <w:szCs w:val="20"/>
              </w:rPr>
            </w:pPr>
            <w:r w:rsidRPr="00C262DB">
              <w:rPr>
                <w:sz w:val="20"/>
                <w:szCs w:val="20"/>
              </w:rPr>
              <w:t>4</w:t>
            </w:r>
          </w:p>
        </w:tc>
        <w:tc>
          <w:tcPr>
            <w:tcW w:w="1446" w:type="dxa"/>
            <w:noWrap/>
            <w:vAlign w:val="center"/>
            <w:hideMark/>
          </w:tcPr>
          <w:p w14:paraId="4273C52D" w14:textId="77777777" w:rsidR="009A1D5D" w:rsidRPr="00C262DB" w:rsidRDefault="009A1D5D" w:rsidP="006000ED">
            <w:pPr>
              <w:spacing w:line="259" w:lineRule="auto"/>
              <w:jc w:val="right"/>
              <w:rPr>
                <w:sz w:val="20"/>
                <w:szCs w:val="20"/>
              </w:rPr>
            </w:pPr>
            <w:r w:rsidRPr="00C262DB">
              <w:rPr>
                <w:sz w:val="20"/>
                <w:szCs w:val="20"/>
              </w:rPr>
              <w:t>4</w:t>
            </w:r>
          </w:p>
        </w:tc>
        <w:tc>
          <w:tcPr>
            <w:tcW w:w="1362" w:type="dxa"/>
            <w:noWrap/>
            <w:vAlign w:val="center"/>
            <w:hideMark/>
          </w:tcPr>
          <w:p w14:paraId="6E6014F4" w14:textId="77777777" w:rsidR="009A1D5D" w:rsidRPr="00C262DB" w:rsidRDefault="009A1D5D" w:rsidP="006000ED">
            <w:pPr>
              <w:spacing w:line="259" w:lineRule="auto"/>
              <w:jc w:val="right"/>
              <w:rPr>
                <w:sz w:val="20"/>
                <w:szCs w:val="20"/>
              </w:rPr>
            </w:pPr>
            <w:r w:rsidRPr="00C262DB">
              <w:rPr>
                <w:sz w:val="20"/>
                <w:szCs w:val="20"/>
              </w:rPr>
              <w:t>12</w:t>
            </w:r>
          </w:p>
        </w:tc>
        <w:tc>
          <w:tcPr>
            <w:tcW w:w="1488" w:type="dxa"/>
            <w:noWrap/>
            <w:vAlign w:val="center"/>
            <w:hideMark/>
          </w:tcPr>
          <w:p w14:paraId="7710CB06" w14:textId="197B5880"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5A49A515" w14:textId="77777777" w:rsidR="009A1D5D" w:rsidRPr="00C262DB" w:rsidRDefault="009A1D5D" w:rsidP="006000ED">
            <w:pPr>
              <w:spacing w:line="259" w:lineRule="auto"/>
              <w:jc w:val="right"/>
              <w:rPr>
                <w:sz w:val="20"/>
                <w:szCs w:val="20"/>
              </w:rPr>
            </w:pPr>
            <w:r w:rsidRPr="00C262DB">
              <w:rPr>
                <w:sz w:val="20"/>
                <w:szCs w:val="20"/>
              </w:rPr>
              <w:t>1</w:t>
            </w:r>
          </w:p>
        </w:tc>
        <w:tc>
          <w:tcPr>
            <w:tcW w:w="850" w:type="dxa"/>
            <w:vAlign w:val="center"/>
          </w:tcPr>
          <w:p w14:paraId="564EF2DD" w14:textId="77777777" w:rsidR="009A1D5D" w:rsidRPr="00C262DB" w:rsidRDefault="009A1D5D" w:rsidP="006000ED">
            <w:pPr>
              <w:spacing w:line="259" w:lineRule="auto"/>
              <w:jc w:val="right"/>
              <w:rPr>
                <w:sz w:val="20"/>
                <w:szCs w:val="20"/>
              </w:rPr>
            </w:pPr>
            <w:r w:rsidRPr="00C262DB">
              <w:rPr>
                <w:sz w:val="20"/>
                <w:szCs w:val="20"/>
              </w:rPr>
              <w:t>21</w:t>
            </w:r>
          </w:p>
        </w:tc>
      </w:tr>
      <w:tr w:rsidR="009A1D5D" w:rsidRPr="00167CB8" w14:paraId="1AB365DB" w14:textId="77777777" w:rsidTr="00C262DB">
        <w:trPr>
          <w:trHeight w:val="113"/>
        </w:trPr>
        <w:tc>
          <w:tcPr>
            <w:tcW w:w="1271" w:type="dxa"/>
            <w:noWrap/>
            <w:hideMark/>
          </w:tcPr>
          <w:p w14:paraId="6BAD2F97" w14:textId="77777777" w:rsidR="009A1D5D" w:rsidRPr="00C262DB" w:rsidRDefault="009A1D5D" w:rsidP="006000ED">
            <w:pPr>
              <w:spacing w:line="259" w:lineRule="auto"/>
              <w:rPr>
                <w:sz w:val="20"/>
                <w:szCs w:val="20"/>
              </w:rPr>
            </w:pPr>
            <w:r w:rsidRPr="00C262DB">
              <w:rPr>
                <w:sz w:val="20"/>
                <w:szCs w:val="20"/>
              </w:rPr>
              <w:t>Jun-24</w:t>
            </w:r>
          </w:p>
        </w:tc>
        <w:tc>
          <w:tcPr>
            <w:tcW w:w="1445" w:type="dxa"/>
            <w:noWrap/>
            <w:vAlign w:val="center"/>
            <w:hideMark/>
          </w:tcPr>
          <w:p w14:paraId="6E07B46E" w14:textId="77777777" w:rsidR="009A1D5D" w:rsidRPr="00C262DB" w:rsidRDefault="009A1D5D" w:rsidP="006000ED">
            <w:pPr>
              <w:spacing w:line="259" w:lineRule="auto"/>
              <w:jc w:val="right"/>
              <w:rPr>
                <w:sz w:val="20"/>
                <w:szCs w:val="20"/>
              </w:rPr>
            </w:pPr>
            <w:r w:rsidRPr="00C262DB">
              <w:rPr>
                <w:sz w:val="20"/>
                <w:szCs w:val="20"/>
              </w:rPr>
              <w:t>11</w:t>
            </w:r>
          </w:p>
        </w:tc>
        <w:tc>
          <w:tcPr>
            <w:tcW w:w="1446" w:type="dxa"/>
            <w:noWrap/>
            <w:vAlign w:val="center"/>
            <w:hideMark/>
          </w:tcPr>
          <w:p w14:paraId="38A1D47A" w14:textId="2BFEDC60" w:rsidR="009A1D5D" w:rsidRPr="00C262DB" w:rsidRDefault="002C0AF2" w:rsidP="006000ED">
            <w:pPr>
              <w:spacing w:line="259" w:lineRule="auto"/>
              <w:jc w:val="right"/>
              <w:rPr>
                <w:sz w:val="20"/>
                <w:szCs w:val="20"/>
              </w:rPr>
            </w:pPr>
            <w:r w:rsidRPr="00C262DB">
              <w:rPr>
                <w:sz w:val="20"/>
                <w:szCs w:val="20"/>
              </w:rPr>
              <w:t>0</w:t>
            </w:r>
          </w:p>
        </w:tc>
        <w:tc>
          <w:tcPr>
            <w:tcW w:w="1362" w:type="dxa"/>
            <w:noWrap/>
            <w:vAlign w:val="center"/>
            <w:hideMark/>
          </w:tcPr>
          <w:p w14:paraId="3361112E" w14:textId="77777777" w:rsidR="009A1D5D" w:rsidRPr="00C262DB" w:rsidRDefault="009A1D5D" w:rsidP="006000ED">
            <w:pPr>
              <w:spacing w:line="259" w:lineRule="auto"/>
              <w:jc w:val="right"/>
              <w:rPr>
                <w:sz w:val="20"/>
                <w:szCs w:val="20"/>
              </w:rPr>
            </w:pPr>
            <w:r w:rsidRPr="00C262DB">
              <w:rPr>
                <w:sz w:val="20"/>
                <w:szCs w:val="20"/>
              </w:rPr>
              <w:t>21</w:t>
            </w:r>
          </w:p>
        </w:tc>
        <w:tc>
          <w:tcPr>
            <w:tcW w:w="1488" w:type="dxa"/>
            <w:noWrap/>
            <w:vAlign w:val="center"/>
            <w:hideMark/>
          </w:tcPr>
          <w:p w14:paraId="2DDCE8C7" w14:textId="6B59195A" w:rsidR="009A1D5D" w:rsidRPr="00C262DB" w:rsidRDefault="002C0AF2" w:rsidP="006000ED">
            <w:pPr>
              <w:spacing w:line="259" w:lineRule="auto"/>
              <w:jc w:val="right"/>
              <w:rPr>
                <w:sz w:val="20"/>
                <w:szCs w:val="20"/>
              </w:rPr>
            </w:pPr>
            <w:r w:rsidRPr="00C262DB">
              <w:rPr>
                <w:sz w:val="20"/>
                <w:szCs w:val="20"/>
              </w:rPr>
              <w:t>0</w:t>
            </w:r>
          </w:p>
        </w:tc>
        <w:tc>
          <w:tcPr>
            <w:tcW w:w="1488" w:type="dxa"/>
            <w:noWrap/>
            <w:vAlign w:val="center"/>
            <w:hideMark/>
          </w:tcPr>
          <w:p w14:paraId="0EDAF6AF" w14:textId="77777777" w:rsidR="009A1D5D" w:rsidRPr="00C262DB" w:rsidRDefault="009A1D5D" w:rsidP="006000ED">
            <w:pPr>
              <w:spacing w:line="259" w:lineRule="auto"/>
              <w:jc w:val="right"/>
              <w:rPr>
                <w:sz w:val="20"/>
                <w:szCs w:val="20"/>
              </w:rPr>
            </w:pPr>
            <w:r w:rsidRPr="00C262DB">
              <w:rPr>
                <w:sz w:val="20"/>
                <w:szCs w:val="20"/>
              </w:rPr>
              <w:t>1</w:t>
            </w:r>
          </w:p>
        </w:tc>
        <w:tc>
          <w:tcPr>
            <w:tcW w:w="850" w:type="dxa"/>
            <w:vAlign w:val="center"/>
          </w:tcPr>
          <w:p w14:paraId="013649A1" w14:textId="2F326477" w:rsidR="009A1D5D" w:rsidRPr="00C262DB" w:rsidRDefault="009A1D5D" w:rsidP="006000ED">
            <w:pPr>
              <w:spacing w:line="259" w:lineRule="auto"/>
              <w:jc w:val="right"/>
              <w:rPr>
                <w:sz w:val="20"/>
                <w:szCs w:val="20"/>
              </w:rPr>
            </w:pPr>
            <w:r w:rsidRPr="00C262DB">
              <w:rPr>
                <w:sz w:val="20"/>
                <w:szCs w:val="20"/>
              </w:rPr>
              <w:t>33</w:t>
            </w:r>
          </w:p>
        </w:tc>
      </w:tr>
    </w:tbl>
    <w:p w14:paraId="393FBBB2" w14:textId="661A0094" w:rsidR="00076AB7" w:rsidRPr="00167CB8" w:rsidRDefault="00076AB7" w:rsidP="009A1D5D">
      <w:r w:rsidRPr="00167CB8">
        <w:rPr>
          <w:b/>
          <w:bCs/>
          <w:sz w:val="18"/>
        </w:rPr>
        <w:t xml:space="preserve">Source: </w:t>
      </w:r>
      <w:r w:rsidRPr="00167CB8">
        <w:rPr>
          <w:sz w:val="18"/>
        </w:rPr>
        <w:t>Data provided to the Review by the FWC.</w:t>
      </w:r>
    </w:p>
    <w:p w14:paraId="7FEBF280" w14:textId="77777777" w:rsidR="009A1D5D" w:rsidRPr="00167CB8" w:rsidRDefault="009A1D5D" w:rsidP="009A1D5D">
      <w:r w:rsidRPr="00167CB8">
        <w:lastRenderedPageBreak/>
        <w:t>Since the prohibition commenced on 6 March 2023, the FWO reported receiving 7 requests for assistance and commencing 4 formal investigations regarding workplace sexual harassment (one finalised).</w:t>
      </w:r>
      <w:r w:rsidRPr="00167CB8">
        <w:rPr>
          <w:rStyle w:val="FootnoteReference"/>
        </w:rPr>
        <w:footnoteReference w:id="898"/>
      </w:r>
      <w:r w:rsidRPr="00167CB8">
        <w:t xml:space="preserve"> The FWO also noted that it has received steady traffic through its Infoline and Anonymous Reporting Tool and that it has taken an educative approach to assist workers and businesses to understand their rights and obligations.</w:t>
      </w:r>
      <w:r w:rsidRPr="00167CB8">
        <w:rPr>
          <w:rStyle w:val="FootnoteReference"/>
        </w:rPr>
        <w:footnoteReference w:id="899"/>
      </w:r>
    </w:p>
    <w:p w14:paraId="19C30F90" w14:textId="20FF46C0" w:rsidR="009A1D5D" w:rsidRPr="00167CB8" w:rsidRDefault="009A1D5D" w:rsidP="009A1D5D">
      <w:r w:rsidRPr="00167CB8">
        <w:t xml:space="preserve">The </w:t>
      </w:r>
      <w:r w:rsidR="00817E65" w:rsidRPr="00167CB8">
        <w:t xml:space="preserve">WGEA’s </w:t>
      </w:r>
      <w:r w:rsidRPr="00167CB8">
        <w:t>latest round of reporting also revealed a steady increase in the proportion of employers with a policy or strategy in relation to sexual harassment, from 98.2% in 2020</w:t>
      </w:r>
      <w:r w:rsidR="00817E65" w:rsidRPr="00167CB8">
        <w:rPr>
          <w:rFonts w:ascii="Symbol" w:eastAsia="Symbol" w:hAnsi="Symbol" w:cs="Symbol"/>
        </w:rPr>
        <w:sym w:font="Symbol" w:char="F02D"/>
      </w:r>
      <w:r w:rsidRPr="00167CB8">
        <w:t>21 to 98.9% in 2023</w:t>
      </w:r>
      <w:r w:rsidR="00817E65" w:rsidRPr="00167CB8">
        <w:rPr>
          <w:rFonts w:ascii="Symbol" w:eastAsia="Symbol" w:hAnsi="Symbol" w:cs="Symbol"/>
        </w:rPr>
        <w:sym w:font="Symbol" w:char="F02D"/>
      </w:r>
      <w:r w:rsidRPr="00167CB8">
        <w:t>24.</w:t>
      </w:r>
      <w:r w:rsidRPr="00167CB8">
        <w:rPr>
          <w:rStyle w:val="FootnoteReference"/>
        </w:rPr>
        <w:footnoteReference w:id="900"/>
      </w:r>
    </w:p>
    <w:p w14:paraId="6B38D2EA" w14:textId="7C49EE1E" w:rsidR="009A1D5D" w:rsidRPr="00167CB8" w:rsidRDefault="0024484D" w:rsidP="009A1D5D">
      <w:pPr>
        <w:pStyle w:val="Heading5"/>
        <w:rPr>
          <w:rFonts w:asciiTheme="minorHAnsi" w:hAnsiTheme="minorHAnsi"/>
        </w:rPr>
      </w:pPr>
      <w:bookmarkStart w:id="416" w:name="_Toc188003403"/>
      <w:r w:rsidRPr="00167CB8">
        <w:rPr>
          <w:rFonts w:asciiTheme="minorHAnsi" w:hAnsiTheme="minorHAnsi"/>
        </w:rPr>
        <w:t>28</w:t>
      </w:r>
      <w:r w:rsidR="001B77E5" w:rsidRPr="00167CB8">
        <w:rPr>
          <w:rFonts w:asciiTheme="minorHAnsi" w:hAnsiTheme="minorHAnsi"/>
        </w:rPr>
        <w:t>.2.2</w:t>
      </w:r>
      <w:r w:rsidR="009A1D5D" w:rsidRPr="00167CB8">
        <w:rPr>
          <w:rFonts w:asciiTheme="minorHAnsi" w:hAnsiTheme="minorHAnsi"/>
        </w:rPr>
        <w:t xml:space="preserve"> Qualitative </w:t>
      </w:r>
      <w:r w:rsidR="00817E65" w:rsidRPr="00167CB8">
        <w:rPr>
          <w:rFonts w:asciiTheme="minorHAnsi" w:hAnsiTheme="minorHAnsi"/>
        </w:rPr>
        <w:t>e</w:t>
      </w:r>
      <w:r w:rsidR="009A1D5D" w:rsidRPr="00167CB8">
        <w:rPr>
          <w:rFonts w:asciiTheme="minorHAnsi" w:hAnsiTheme="minorHAnsi"/>
        </w:rPr>
        <w:t>vidence</w:t>
      </w:r>
      <w:bookmarkEnd w:id="416"/>
    </w:p>
    <w:p w14:paraId="7E003F69" w14:textId="13EE0864" w:rsidR="009A1D5D" w:rsidRPr="00167CB8" w:rsidRDefault="009A1D5D" w:rsidP="009A1D5D">
      <w:r w:rsidRPr="00167CB8">
        <w:t>The FWC and FWO report that they have collaborated with each other, the AHRC</w:t>
      </w:r>
      <w:r w:rsidR="007F1D48" w:rsidRPr="00167CB8">
        <w:t>,</w:t>
      </w:r>
      <w:r w:rsidRPr="00167CB8">
        <w:t xml:space="preserve"> and other regulators to implement these changes.</w:t>
      </w:r>
    </w:p>
    <w:p w14:paraId="6A8D8844" w14:textId="571B35BF" w:rsidR="009A1D5D" w:rsidRPr="00167CB8" w:rsidRDefault="009A1D5D" w:rsidP="009A1D5D">
      <w:r w:rsidRPr="00167CB8">
        <w:t xml:space="preserve">In its </w:t>
      </w:r>
      <w:r w:rsidRPr="00167CB8">
        <w:rPr>
          <w:i/>
          <w:iCs/>
        </w:rPr>
        <w:t>Annual Report</w:t>
      </w:r>
      <w:r w:rsidR="00817E65" w:rsidRPr="00167CB8">
        <w:rPr>
          <w:i/>
          <w:iCs/>
        </w:rPr>
        <w:t xml:space="preserve"> 2022</w:t>
      </w:r>
      <w:r w:rsidR="00817E65" w:rsidRPr="00167CB8">
        <w:rPr>
          <w:rFonts w:ascii="Symbol" w:eastAsia="Symbol" w:hAnsi="Symbol" w:cs="Symbol"/>
          <w:i/>
        </w:rPr>
        <w:sym w:font="Symbol" w:char="F02D"/>
      </w:r>
      <w:r w:rsidR="00817E65" w:rsidRPr="00167CB8">
        <w:rPr>
          <w:i/>
          <w:iCs/>
        </w:rPr>
        <w:t>23</w:t>
      </w:r>
      <w:r w:rsidRPr="00167CB8">
        <w:t>, the FWC noted that to implement the changes to its sexual harassment jurisdiction it had set up a working group of industry and employee representatives and that National Practice Lead</w:t>
      </w:r>
      <w:r w:rsidR="00817E65" w:rsidRPr="00167CB8">
        <w:t>,</w:t>
      </w:r>
      <w:r w:rsidRPr="00167CB8">
        <w:t xml:space="preserve"> Commissioner McKinnon</w:t>
      </w:r>
      <w:r w:rsidR="00817E65" w:rsidRPr="00167CB8">
        <w:t>,</w:t>
      </w:r>
      <w:r w:rsidRPr="00167CB8">
        <w:t xml:space="preserve"> and specialist staff were taking a trauma</w:t>
      </w:r>
      <w:r w:rsidR="00817E65" w:rsidRPr="00167CB8">
        <w:t>-</w:t>
      </w:r>
      <w:r w:rsidRPr="00167CB8">
        <w:t>informed approach to the case management process.</w:t>
      </w:r>
      <w:r w:rsidRPr="00167CB8">
        <w:rPr>
          <w:rStyle w:val="FootnoteReference"/>
        </w:rPr>
        <w:footnoteReference w:id="901"/>
      </w:r>
      <w:r w:rsidRPr="00167CB8">
        <w:t xml:space="preserve"> </w:t>
      </w:r>
    </w:p>
    <w:p w14:paraId="52B192E9" w14:textId="49E9C2B1" w:rsidR="009A1D5D" w:rsidRPr="00167CB8" w:rsidRDefault="009A1D5D" w:rsidP="009A1D5D">
      <w:r w:rsidRPr="00167CB8">
        <w:t>In response to these amendments and other changes from the Respect@Work Report, the FWO published a new ‘</w:t>
      </w:r>
      <w:r w:rsidR="009901BB" w:rsidRPr="00167CB8">
        <w:t>[</w:t>
      </w:r>
      <w:r w:rsidRPr="00167CB8">
        <w:t>M</w:t>
      </w:r>
      <w:r w:rsidR="009901BB" w:rsidRPr="00167CB8">
        <w:t>]</w:t>
      </w:r>
      <w:r w:rsidRPr="00167CB8">
        <w:t>aking a complaint about workplace sexual harassment’ guide and updated education tools and resources on its website, including the Fair Work Information Statement.</w:t>
      </w:r>
      <w:r w:rsidRPr="00167CB8">
        <w:rPr>
          <w:rStyle w:val="FootnoteReference"/>
        </w:rPr>
        <w:footnoteReference w:id="902"/>
      </w:r>
      <w:r w:rsidRPr="00167CB8">
        <w:t xml:space="preserve"> FWO staff also completed additional training and established a specialist team to handle complex and sensitive cases.</w:t>
      </w:r>
      <w:r w:rsidRPr="00167CB8">
        <w:rPr>
          <w:rStyle w:val="FootnoteReference"/>
        </w:rPr>
        <w:footnoteReference w:id="903"/>
      </w:r>
    </w:p>
    <w:p w14:paraId="083FCBC8" w14:textId="77DCCD09" w:rsidR="009A1D5D" w:rsidRPr="00167CB8" w:rsidRDefault="009A1D5D" w:rsidP="009A1D5D">
      <w:pPr>
        <w:rPr>
          <w:rFonts w:cstheme="minorHAnsi"/>
        </w:rPr>
      </w:pPr>
      <w:r w:rsidRPr="00167CB8">
        <w:t>Recent media reports also highlight the potential negative impacts of non-disclosure agreements</w:t>
      </w:r>
      <w:r w:rsidR="00817E65" w:rsidRPr="00167CB8">
        <w:t>,</w:t>
      </w:r>
      <w:r w:rsidRPr="00167CB8">
        <w:t xml:space="preserve"> as they mean employers tend to treat incidents as one-offs rather than addressing issues with their workplace culture.</w:t>
      </w:r>
      <w:r w:rsidRPr="00167CB8">
        <w:rPr>
          <w:rStyle w:val="FootnoteReference"/>
          <w:rFonts w:cstheme="minorHAnsi"/>
        </w:rPr>
        <w:footnoteReference w:id="904"/>
      </w:r>
      <w:r w:rsidRPr="00167CB8">
        <w:t xml:space="preserve"> While submissions raised this issue in relation to pay transparency, the </w:t>
      </w:r>
      <w:r w:rsidR="0046104D" w:rsidRPr="00167CB8">
        <w:t xml:space="preserve">Review Panel </w:t>
      </w:r>
      <w:r w:rsidRPr="00167CB8">
        <w:t>notes that it is particularly important in the context of effectively preventing workplace sexual harassment.</w:t>
      </w:r>
    </w:p>
    <w:p w14:paraId="127967EA" w14:textId="1BE4F872" w:rsidR="009A1D5D" w:rsidRPr="00167CB8" w:rsidRDefault="0024484D" w:rsidP="009A1D5D">
      <w:pPr>
        <w:pStyle w:val="Heading5"/>
        <w:rPr>
          <w:rFonts w:asciiTheme="minorHAnsi" w:hAnsiTheme="minorHAnsi"/>
        </w:rPr>
      </w:pPr>
      <w:bookmarkStart w:id="417" w:name="_Toc188003404"/>
      <w:r w:rsidRPr="00167CB8">
        <w:rPr>
          <w:rFonts w:asciiTheme="minorHAnsi" w:hAnsiTheme="minorHAnsi"/>
        </w:rPr>
        <w:t>28</w:t>
      </w:r>
      <w:r w:rsidR="001B77E5" w:rsidRPr="00167CB8">
        <w:rPr>
          <w:rFonts w:asciiTheme="minorHAnsi" w:hAnsiTheme="minorHAnsi"/>
        </w:rPr>
        <w:t>.2.3</w:t>
      </w:r>
      <w:r w:rsidR="009A1D5D" w:rsidRPr="00167CB8">
        <w:rPr>
          <w:rFonts w:asciiTheme="minorHAnsi" w:hAnsiTheme="minorHAnsi"/>
        </w:rPr>
        <w:t xml:space="preserve"> Stakeholder views</w:t>
      </w:r>
      <w:bookmarkEnd w:id="417"/>
    </w:p>
    <w:p w14:paraId="56943A16" w14:textId="74C7831C" w:rsidR="009A1D5D" w:rsidRPr="00167CB8" w:rsidRDefault="009A1D5D" w:rsidP="006000ED">
      <w:pPr>
        <w:rPr>
          <w:rFonts w:cstheme="minorHAnsi"/>
        </w:rPr>
      </w:pPr>
      <w:r w:rsidRPr="00167CB8">
        <w:rPr>
          <w:rFonts w:cstheme="minorHAnsi"/>
        </w:rPr>
        <w:t xml:space="preserve">While the </w:t>
      </w:r>
      <w:r w:rsidR="00D86F0F" w:rsidRPr="00167CB8">
        <w:rPr>
          <w:rFonts w:cstheme="minorHAnsi"/>
        </w:rPr>
        <w:t>Secure Jobs, Better Pay</w:t>
      </w:r>
      <w:r w:rsidRPr="00167CB8">
        <w:rPr>
          <w:rFonts w:cstheme="minorHAnsi"/>
        </w:rPr>
        <w:t xml:space="preserve"> amendments prohibiting sexual harassment in connection with work have been favourably received by stakeholders, several noted the ongoing confusion when it came to navigating various laws and bodies. </w:t>
      </w:r>
    </w:p>
    <w:p w14:paraId="06F43588" w14:textId="33C5BED2" w:rsidR="009A1D5D" w:rsidRPr="00167CB8" w:rsidRDefault="009A1D5D" w:rsidP="006000ED">
      <w:pPr>
        <w:rPr>
          <w:rFonts w:cstheme="minorHAnsi"/>
        </w:rPr>
      </w:pPr>
      <w:r w:rsidRPr="00167CB8">
        <w:lastRenderedPageBreak/>
        <w:t>The Review Panel heard that, from an employee perspective, it is not always clear where to take a complaint.</w:t>
      </w:r>
      <w:r w:rsidR="00801778" w:rsidRPr="00167CB8">
        <w:rPr>
          <w:rStyle w:val="FootnoteReference"/>
        </w:rPr>
        <w:footnoteReference w:id="905"/>
      </w:r>
      <w:r w:rsidRPr="00167CB8">
        <w:t xml:space="preserve"> Employers, on the other hand, are not clear how to align their policies with all the laws. They also fear that improper action on their part could expose them to legal action.</w:t>
      </w:r>
      <w:r w:rsidRPr="00167CB8">
        <w:rPr>
          <w:rStyle w:val="FootnoteReference"/>
        </w:rPr>
        <w:footnoteReference w:id="906"/>
      </w:r>
      <w:r w:rsidRPr="00167CB8">
        <w:t xml:space="preserve"> </w:t>
      </w:r>
    </w:p>
    <w:p w14:paraId="61B649BE" w14:textId="44365A87" w:rsidR="009A1D5D" w:rsidRPr="00167CB8" w:rsidRDefault="009A1D5D" w:rsidP="006000ED">
      <w:pPr>
        <w:rPr>
          <w:rFonts w:cstheme="minorHAnsi"/>
        </w:rPr>
      </w:pPr>
      <w:r w:rsidRPr="00167CB8">
        <w:t>The</w:t>
      </w:r>
      <w:r w:rsidRPr="00167CB8" w:rsidDel="0046104D">
        <w:t xml:space="preserve"> </w:t>
      </w:r>
      <w:r w:rsidR="0046104D" w:rsidRPr="00167CB8">
        <w:t>Review</w:t>
      </w:r>
      <w:r w:rsidRPr="00167CB8">
        <w:t xml:space="preserve"> Panel also heard that the quality of materials available to employers and employees on workplace sexual harassment could be further simplified.</w:t>
      </w:r>
      <w:r w:rsidRPr="00167CB8">
        <w:rPr>
          <w:rStyle w:val="FootnoteReference"/>
        </w:rPr>
        <w:footnoteReference w:id="907"/>
      </w:r>
    </w:p>
    <w:p w14:paraId="2937E5BA" w14:textId="2D2F540F" w:rsidR="009A1D5D" w:rsidRPr="00167CB8" w:rsidRDefault="009A1D5D" w:rsidP="006000ED">
      <w:pPr>
        <w:rPr>
          <w:rFonts w:cstheme="minorHAnsi"/>
        </w:rPr>
      </w:pPr>
      <w:r w:rsidRPr="00167CB8">
        <w:rPr>
          <w:rFonts w:cstheme="minorHAnsi"/>
        </w:rPr>
        <w:t xml:space="preserve">The </w:t>
      </w:r>
      <w:r w:rsidR="00817E65" w:rsidRPr="00167CB8">
        <w:rPr>
          <w:rFonts w:cstheme="minorHAnsi"/>
        </w:rPr>
        <w:t xml:space="preserve">Australian Council of Trade Unions (ACTU) </w:t>
      </w:r>
      <w:r w:rsidRPr="00167CB8">
        <w:rPr>
          <w:rFonts w:cstheme="minorHAnsi"/>
        </w:rPr>
        <w:t xml:space="preserve">submission argued that the </w:t>
      </w:r>
      <w:r w:rsidR="00D86F0F" w:rsidRPr="00167CB8">
        <w:rPr>
          <w:rFonts w:cstheme="minorHAnsi"/>
        </w:rPr>
        <w:t>Secure Jobs, Better Pay</w:t>
      </w:r>
      <w:r w:rsidRPr="00167CB8">
        <w:rPr>
          <w:rFonts w:cstheme="minorHAnsi"/>
        </w:rPr>
        <w:t xml:space="preserve"> amendments </w:t>
      </w:r>
      <w:r w:rsidR="00D3301F" w:rsidRPr="00167CB8">
        <w:rPr>
          <w:rFonts w:cstheme="minorHAnsi"/>
        </w:rPr>
        <w:t xml:space="preserve">do not </w:t>
      </w:r>
      <w:r w:rsidRPr="00167CB8">
        <w:rPr>
          <w:rFonts w:cstheme="minorHAnsi"/>
        </w:rPr>
        <w:t xml:space="preserve">go far enough and that further reforms could enable the FWC to consider general risks. </w:t>
      </w:r>
      <w:r w:rsidR="00817E65" w:rsidRPr="00167CB8">
        <w:rPr>
          <w:rFonts w:cstheme="minorHAnsi"/>
        </w:rPr>
        <w:t xml:space="preserve">It </w:t>
      </w:r>
      <w:r w:rsidRPr="00167CB8">
        <w:rPr>
          <w:rFonts w:cstheme="minorHAnsi"/>
        </w:rPr>
        <w:t>point</w:t>
      </w:r>
      <w:r w:rsidR="00817E65" w:rsidRPr="00167CB8">
        <w:rPr>
          <w:rFonts w:cstheme="minorHAnsi"/>
        </w:rPr>
        <w:t>ed</w:t>
      </w:r>
      <w:r w:rsidRPr="00167CB8">
        <w:rPr>
          <w:rFonts w:cstheme="minorHAnsi"/>
        </w:rPr>
        <w:t xml:space="preserve"> out that the FWC may only make a stop order if they perceive that the second person may continue to be harassed by the first person (or persons) in the complaint. The FWC may not consider a general risk or make broad orders that might require the employer to change how the work is performed.</w:t>
      </w:r>
    </w:p>
    <w:p w14:paraId="6074D308" w14:textId="2EE55452" w:rsidR="009A1D5D" w:rsidRPr="00167CB8" w:rsidRDefault="009A1D5D" w:rsidP="006000ED">
      <w:pPr>
        <w:rPr>
          <w:rFonts w:cstheme="minorHAnsi"/>
        </w:rPr>
      </w:pPr>
      <w:r w:rsidRPr="00167CB8">
        <w:rPr>
          <w:rFonts w:cstheme="minorHAnsi"/>
        </w:rPr>
        <w:t xml:space="preserve">Section 527J of the </w:t>
      </w:r>
      <w:r w:rsidR="00E60C76" w:rsidRPr="00167CB8">
        <w:rPr>
          <w:rFonts w:cstheme="minorHAnsi"/>
        </w:rPr>
        <w:t>Fair Work Act</w:t>
      </w:r>
      <w:r w:rsidRPr="00167CB8">
        <w:rPr>
          <w:rFonts w:cstheme="minorHAnsi"/>
        </w:rPr>
        <w:t xml:space="preserve"> concerns stop sexual harassment orders. Section 527J(1) sets out when the FWC may make an order. </w:t>
      </w:r>
      <w:r w:rsidR="00152317" w:rsidRPr="00167CB8">
        <w:rPr>
          <w:rFonts w:cstheme="minorHAnsi"/>
        </w:rPr>
        <w:t>The FWC</w:t>
      </w:r>
      <w:r w:rsidRPr="00167CB8">
        <w:rPr>
          <w:rFonts w:cstheme="minorHAnsi"/>
        </w:rPr>
        <w:t xml:space="preserve"> may do so if:</w:t>
      </w:r>
    </w:p>
    <w:p w14:paraId="7CD0B82A" w14:textId="0BB895A6" w:rsidR="009A1D5D" w:rsidRPr="00167CB8" w:rsidRDefault="009A1D5D" w:rsidP="00567FCA">
      <w:pPr>
        <w:pStyle w:val="Quote"/>
        <w:numPr>
          <w:ilvl w:val="1"/>
          <w:numId w:val="11"/>
        </w:numPr>
      </w:pPr>
      <w:r w:rsidRPr="00167CB8">
        <w:t xml:space="preserve">An application made under section 527F includes an application for a stop sexual harassment order; and </w:t>
      </w:r>
    </w:p>
    <w:p w14:paraId="6E36106D" w14:textId="38433980" w:rsidR="009A1D5D" w:rsidRPr="00167CB8" w:rsidRDefault="009A1D5D" w:rsidP="00567FCA">
      <w:pPr>
        <w:pStyle w:val="Quote"/>
        <w:numPr>
          <w:ilvl w:val="1"/>
          <w:numId w:val="11"/>
        </w:numPr>
      </w:pPr>
      <w:r w:rsidRPr="00167CB8">
        <w:t>The FWC is satisfied that:</w:t>
      </w:r>
    </w:p>
    <w:p w14:paraId="2B211877" w14:textId="79D96823" w:rsidR="009A1D5D" w:rsidRPr="00167CB8" w:rsidRDefault="009A1D5D" w:rsidP="00567FCA">
      <w:pPr>
        <w:pStyle w:val="Quote"/>
        <w:numPr>
          <w:ilvl w:val="5"/>
          <w:numId w:val="4"/>
        </w:numPr>
      </w:pPr>
      <w:r w:rsidRPr="00167CB8">
        <w:t>The aggrieved person has been sexually harassed in contravention of Division 2 by one or more persons; and</w:t>
      </w:r>
    </w:p>
    <w:p w14:paraId="2FB4523E" w14:textId="4351BEBF" w:rsidR="009A1D5D" w:rsidRPr="00167CB8" w:rsidRDefault="009A1D5D" w:rsidP="00567FCA">
      <w:pPr>
        <w:pStyle w:val="Quote"/>
        <w:numPr>
          <w:ilvl w:val="5"/>
          <w:numId w:val="4"/>
        </w:numPr>
      </w:pPr>
      <w:r w:rsidRPr="00167CB8">
        <w:t>There is a risk that the aggrieved person will continue to be sexually harassed in contravention of Division 2 by the person or persons;</w:t>
      </w:r>
      <w:r w:rsidR="00817E65" w:rsidRPr="00167CB8">
        <w:t xml:space="preserve"> …</w:t>
      </w:r>
    </w:p>
    <w:p w14:paraId="33C3D32A" w14:textId="137FAE7A" w:rsidR="009A1D5D" w:rsidRPr="00167CB8" w:rsidRDefault="009A1D5D" w:rsidP="006000ED">
      <w:r w:rsidRPr="00167CB8">
        <w:rPr>
          <w:rFonts w:cstheme="minorHAnsi"/>
        </w:rPr>
        <w:t>The ACTU proposes that s</w:t>
      </w:r>
      <w:r w:rsidR="00817E65" w:rsidRPr="00167CB8">
        <w:rPr>
          <w:rFonts w:cstheme="minorHAnsi"/>
        </w:rPr>
        <w:t> </w:t>
      </w:r>
      <w:r w:rsidRPr="00167CB8">
        <w:rPr>
          <w:rFonts w:cstheme="minorHAnsi"/>
        </w:rPr>
        <w:t xml:space="preserve">527J(1)(b)(ii) be changed to refer to </w:t>
      </w:r>
      <w:r w:rsidR="00817E65" w:rsidRPr="00167CB8">
        <w:rPr>
          <w:rFonts w:cstheme="minorHAnsi"/>
        </w:rPr>
        <w:t>‘</w:t>
      </w:r>
      <w:r w:rsidRPr="00167CB8">
        <w:rPr>
          <w:rFonts w:cstheme="minorHAnsi"/>
        </w:rPr>
        <w:t>any person</w:t>
      </w:r>
      <w:r w:rsidR="00817E65" w:rsidRPr="00167CB8">
        <w:rPr>
          <w:rFonts w:cstheme="minorHAnsi"/>
        </w:rPr>
        <w:t>’</w:t>
      </w:r>
      <w:r w:rsidRPr="00167CB8">
        <w:rPr>
          <w:rFonts w:cstheme="minorHAnsi"/>
        </w:rPr>
        <w:t xml:space="preserve"> rather than ‘the person or persons’. The intent of this change would be to reduce the risk of future harassment.</w:t>
      </w:r>
      <w:r w:rsidRPr="00167CB8">
        <w:t xml:space="preserve"> The ACTU also suggests that </w:t>
      </w:r>
      <w:r w:rsidR="00736785" w:rsidRPr="00167CB8">
        <w:t xml:space="preserve">additional factors that the FWC can take into account when considering the terms of a stop sexual harassment order could be added to </w:t>
      </w:r>
      <w:r w:rsidRPr="00167CB8">
        <w:t>s</w:t>
      </w:r>
      <w:r w:rsidR="00817E65" w:rsidRPr="00167CB8">
        <w:t> </w:t>
      </w:r>
      <w:r w:rsidRPr="00167CB8">
        <w:t>527J(3) include matters such as workplace culture, workplace profile, work design and systems of work.</w:t>
      </w:r>
      <w:r w:rsidRPr="00167CB8">
        <w:rPr>
          <w:rStyle w:val="FootnoteReference"/>
        </w:rPr>
        <w:footnoteReference w:id="908"/>
      </w:r>
    </w:p>
    <w:p w14:paraId="7A88C666" w14:textId="75D3F4B7" w:rsidR="009A1D5D" w:rsidRPr="00167CB8" w:rsidRDefault="0024484D" w:rsidP="009A1D5D">
      <w:pPr>
        <w:pStyle w:val="Heading4"/>
        <w:rPr>
          <w:rFonts w:asciiTheme="minorHAnsi" w:hAnsiTheme="minorHAnsi"/>
        </w:rPr>
      </w:pPr>
      <w:bookmarkStart w:id="418" w:name="_Toc188003405"/>
      <w:bookmarkStart w:id="419" w:name="_Toc188277951"/>
      <w:bookmarkStart w:id="420" w:name="_Toc189260303"/>
      <w:bookmarkStart w:id="421" w:name="_Toc189393619"/>
      <w:r w:rsidRPr="00167CB8">
        <w:rPr>
          <w:rFonts w:asciiTheme="minorHAnsi" w:hAnsiTheme="minorHAnsi"/>
        </w:rPr>
        <w:t>28.</w:t>
      </w:r>
      <w:r w:rsidR="001B77E5" w:rsidRPr="00167CB8">
        <w:rPr>
          <w:rFonts w:asciiTheme="minorHAnsi" w:hAnsiTheme="minorHAnsi"/>
        </w:rPr>
        <w:t>4.3</w:t>
      </w:r>
      <w:r w:rsidR="009A1D5D" w:rsidRPr="00167CB8">
        <w:rPr>
          <w:rFonts w:asciiTheme="minorHAnsi" w:hAnsiTheme="minorHAnsi"/>
        </w:rPr>
        <w:t xml:space="preserve"> Findings </w:t>
      </w:r>
      <w:r w:rsidR="00817E65" w:rsidRPr="00167CB8">
        <w:rPr>
          <w:rFonts w:asciiTheme="minorHAnsi" w:hAnsiTheme="minorHAnsi"/>
        </w:rPr>
        <w:t>and r</w:t>
      </w:r>
      <w:r w:rsidR="009A1D5D" w:rsidRPr="00167CB8">
        <w:rPr>
          <w:rFonts w:asciiTheme="minorHAnsi" w:hAnsiTheme="minorHAnsi"/>
        </w:rPr>
        <w:t>ecommendations</w:t>
      </w:r>
      <w:bookmarkEnd w:id="418"/>
      <w:bookmarkEnd w:id="419"/>
      <w:bookmarkEnd w:id="420"/>
      <w:bookmarkEnd w:id="421"/>
    </w:p>
    <w:p w14:paraId="6C303695" w14:textId="7A2E3591" w:rsidR="009A1D5D" w:rsidRPr="00167CB8" w:rsidRDefault="009A1D5D" w:rsidP="006000ED">
      <w:pPr>
        <w:spacing w:before="100" w:beforeAutospacing="1" w:after="100" w:afterAutospacing="1"/>
      </w:pPr>
      <w:r w:rsidRPr="00167CB8">
        <w:t>The Respect@Work</w:t>
      </w:r>
      <w:r w:rsidR="00817E65" w:rsidRPr="00167CB8">
        <w:t xml:space="preserve"> Report</w:t>
      </w:r>
      <w:r w:rsidRPr="00167CB8">
        <w:rPr>
          <w:rStyle w:val="FootnoteReference"/>
        </w:rPr>
        <w:footnoteReference w:id="909"/>
      </w:r>
      <w:r w:rsidRPr="00167CB8">
        <w:t xml:space="preserve"> identified a clear need for a new division in the </w:t>
      </w:r>
      <w:r w:rsidR="00E60C76" w:rsidRPr="00167CB8">
        <w:t>Fair Work Act</w:t>
      </w:r>
      <w:r w:rsidRPr="00167CB8">
        <w:t xml:space="preserve"> to expressly prohibit sexual harassment in connection with work. The </w:t>
      </w:r>
      <w:r w:rsidR="00D86F0F" w:rsidRPr="00167CB8">
        <w:rPr>
          <w:rFonts w:cstheme="minorHAnsi"/>
        </w:rPr>
        <w:t>Secure Jobs, Better Pay</w:t>
      </w:r>
      <w:r w:rsidRPr="00167CB8">
        <w:t xml:space="preserve"> amendments are in response to this need. In this regard</w:t>
      </w:r>
      <w:r w:rsidR="00817E65" w:rsidRPr="00167CB8">
        <w:t>,</w:t>
      </w:r>
      <w:r w:rsidRPr="00167CB8">
        <w:t xml:space="preserve"> the </w:t>
      </w:r>
      <w:r w:rsidR="00D86F0F" w:rsidRPr="00167CB8">
        <w:rPr>
          <w:rFonts w:cstheme="minorHAnsi"/>
        </w:rPr>
        <w:t>Secure Jobs, Better Pay</w:t>
      </w:r>
      <w:r w:rsidRPr="00167CB8">
        <w:t xml:space="preserve"> amendments are having their ‘intended effect’. The legislative gap in the </w:t>
      </w:r>
      <w:r w:rsidR="00E60C76" w:rsidRPr="00167CB8">
        <w:t>Fair Work Act</w:t>
      </w:r>
      <w:r w:rsidRPr="00167CB8">
        <w:t xml:space="preserve"> has now been addressed. </w:t>
      </w:r>
    </w:p>
    <w:p w14:paraId="46226BDB" w14:textId="77777777" w:rsidR="009A1D5D" w:rsidRPr="00167CB8" w:rsidRDefault="009A1D5D" w:rsidP="006000ED">
      <w:pPr>
        <w:spacing w:before="100" w:beforeAutospacing="1" w:after="100" w:afterAutospacing="1"/>
      </w:pPr>
      <w:r w:rsidRPr="00167CB8">
        <w:lastRenderedPageBreak/>
        <w:t xml:space="preserve">Consistent with the Respect@Work recommendations, the </w:t>
      </w:r>
      <w:r w:rsidR="00D86F0F" w:rsidRPr="00167CB8">
        <w:rPr>
          <w:rFonts w:cstheme="minorHAnsi"/>
        </w:rPr>
        <w:t>Secure Jobs, Better Pay</w:t>
      </w:r>
      <w:r w:rsidRPr="00167CB8">
        <w:t xml:space="preserve"> amendments have created more pathways to address workplace sexual harassment. The</w:t>
      </w:r>
      <w:r w:rsidRPr="00167CB8" w:rsidDel="0046104D">
        <w:t xml:space="preserve"> </w:t>
      </w:r>
      <w:r w:rsidR="0046104D" w:rsidRPr="00167CB8">
        <w:t>Review</w:t>
      </w:r>
      <w:r w:rsidRPr="00167CB8">
        <w:t xml:space="preserve"> Panel notes that ensuring the ongoing effectiveness of these reforms will require continuing support for people to identify and access the most appropriate pathways. In the context of evolving technology, this may require steps to increase public awareness about roles of different bodies and where to go to lodge complaints through various forms of media (including social media). To aid this, aspects of the different pathways (like the costs to access them) should be streamlined and aligned wherever possible.</w:t>
      </w:r>
    </w:p>
    <w:p w14:paraId="0445B080" w14:textId="714F3D7A" w:rsidR="00817E65" w:rsidRPr="00167CB8" w:rsidRDefault="009A1D5D" w:rsidP="006000ED">
      <w:pPr>
        <w:spacing w:before="100" w:beforeAutospacing="1" w:after="100" w:afterAutospacing="1"/>
      </w:pPr>
      <w:r w:rsidRPr="00167CB8">
        <w:t>The</w:t>
      </w:r>
      <w:r w:rsidRPr="00167CB8" w:rsidDel="0046104D">
        <w:t xml:space="preserve"> </w:t>
      </w:r>
      <w:r w:rsidR="0046104D" w:rsidRPr="00167CB8">
        <w:t>Review</w:t>
      </w:r>
      <w:r w:rsidRPr="00167CB8">
        <w:t xml:space="preserve"> Panel also notes the ACTU’s recommendations about expanding the powers of the FWC to make more general orders about workplaces, arbitrate and issue more remedies (like reinstatement), and to extend vicarious liability for employers. The</w:t>
      </w:r>
      <w:r w:rsidRPr="00167CB8" w:rsidDel="0046104D">
        <w:t xml:space="preserve"> </w:t>
      </w:r>
      <w:r w:rsidR="0046104D" w:rsidRPr="00167CB8">
        <w:t>Review</w:t>
      </w:r>
      <w:r w:rsidRPr="00167CB8">
        <w:t xml:space="preserve"> Panel notes that the pathways through the FWC are only part of the broader framework of protections, including workplace health and safety laws which require safe and healthy workplaces. As more evidence becomes available about how the different pathways are being used in practice, any changes to the role and powers of the FWC should be considered in the context of this broader framework (and with consideration to the appropriate role of the FWC).</w:t>
      </w:r>
    </w:p>
    <w:p w14:paraId="32DE861C" w14:textId="2A9B934F" w:rsidR="0065563C" w:rsidRPr="00167CB8" w:rsidRDefault="00DE4140" w:rsidP="006000ED">
      <w:pPr>
        <w:spacing w:before="100" w:beforeAutospacing="1" w:after="100" w:afterAutospacing="1"/>
      </w:pPr>
      <w:r w:rsidRPr="00167CB8">
        <w:t>The Review Panel makes no specific recommendations in relation to these amendments.</w:t>
      </w:r>
    </w:p>
    <w:p w14:paraId="07F6726D" w14:textId="77777777" w:rsidR="00817E65" w:rsidRPr="00167CB8" w:rsidRDefault="00817E65">
      <w:pPr>
        <w:spacing w:after="160"/>
      </w:pPr>
      <w:r w:rsidRPr="00167CB8">
        <w:br w:type="page"/>
      </w:r>
    </w:p>
    <w:p w14:paraId="4C64718E" w14:textId="7F4938BF" w:rsidR="009A1D5D" w:rsidRPr="00167CB8" w:rsidRDefault="001B77E5" w:rsidP="009A1D5D">
      <w:pPr>
        <w:pStyle w:val="Heading3"/>
        <w:rPr>
          <w:rFonts w:asciiTheme="minorHAnsi" w:hAnsiTheme="minorHAnsi"/>
        </w:rPr>
      </w:pPr>
      <w:bookmarkStart w:id="422" w:name="_Toc188003406"/>
      <w:bookmarkStart w:id="423" w:name="_Toc188277952"/>
      <w:bookmarkStart w:id="424" w:name="_Toc189260304"/>
      <w:bookmarkStart w:id="425" w:name="_Toc189393620"/>
      <w:r w:rsidRPr="00167CB8">
        <w:rPr>
          <w:rFonts w:asciiTheme="minorHAnsi" w:hAnsiTheme="minorHAnsi"/>
        </w:rPr>
        <w:lastRenderedPageBreak/>
        <w:t xml:space="preserve">Chapter </w:t>
      </w:r>
      <w:r w:rsidR="00FF5446" w:rsidRPr="00167CB8">
        <w:rPr>
          <w:rFonts w:asciiTheme="minorHAnsi" w:hAnsiTheme="minorHAnsi"/>
        </w:rPr>
        <w:t>29.</w:t>
      </w:r>
      <w:r w:rsidR="009A1D5D" w:rsidRPr="00167CB8">
        <w:rPr>
          <w:rFonts w:asciiTheme="minorHAnsi" w:hAnsiTheme="minorHAnsi"/>
        </w:rPr>
        <w:t xml:space="preserve"> Anti-discrimination and special measures</w:t>
      </w:r>
      <w:bookmarkEnd w:id="422"/>
      <w:bookmarkEnd w:id="423"/>
      <w:bookmarkEnd w:id="424"/>
      <w:bookmarkEnd w:id="425"/>
      <w:r w:rsidR="009A1D5D" w:rsidRPr="00167CB8">
        <w:rPr>
          <w:rFonts w:asciiTheme="minorHAnsi" w:hAnsiTheme="minorHAnsi"/>
        </w:rPr>
        <w:t xml:space="preserve"> </w:t>
      </w:r>
    </w:p>
    <w:p w14:paraId="446539E4" w14:textId="51CED330" w:rsidR="009A1D5D" w:rsidRPr="00167CB8" w:rsidRDefault="009A1D5D" w:rsidP="006000ED">
      <w:pPr>
        <w:rPr>
          <w:rFonts w:cstheme="minorHAnsi"/>
        </w:rPr>
      </w:pPr>
      <w:r w:rsidRPr="00167CB8">
        <w:rPr>
          <w:rFonts w:cstheme="minorHAnsi"/>
        </w:rPr>
        <w:t xml:space="preserve">In this chapter the focus is on Part 9 (Anti-discrimination and special measures) amendments in the </w:t>
      </w:r>
      <w:r w:rsidR="00D86F0F" w:rsidRPr="00167CB8">
        <w:rPr>
          <w:rFonts w:cstheme="minorHAnsi"/>
        </w:rPr>
        <w:t>Secure Jobs, Better Pay</w:t>
      </w:r>
      <w:r w:rsidRPr="00167CB8">
        <w:rPr>
          <w:rFonts w:cstheme="minorHAnsi"/>
        </w:rPr>
        <w:t xml:space="preserve"> Act.  </w:t>
      </w:r>
    </w:p>
    <w:p w14:paraId="7A6AB4F2" w14:textId="6FB3E691" w:rsidR="009A1D5D" w:rsidRPr="00167CB8" w:rsidRDefault="0024484D" w:rsidP="009A1D5D">
      <w:pPr>
        <w:pStyle w:val="Heading4"/>
        <w:rPr>
          <w:rFonts w:asciiTheme="minorHAnsi" w:hAnsiTheme="minorHAnsi"/>
        </w:rPr>
      </w:pPr>
      <w:bookmarkStart w:id="426" w:name="_Toc188003407"/>
      <w:bookmarkStart w:id="427" w:name="_Toc188277953"/>
      <w:bookmarkStart w:id="428" w:name="_Toc189260305"/>
      <w:bookmarkStart w:id="429" w:name="_Toc189393621"/>
      <w:r w:rsidRPr="00167CB8">
        <w:rPr>
          <w:rFonts w:asciiTheme="minorHAnsi" w:hAnsiTheme="minorHAnsi"/>
        </w:rPr>
        <w:t>29</w:t>
      </w:r>
      <w:r w:rsidR="001B77E5" w:rsidRPr="00167CB8">
        <w:rPr>
          <w:rFonts w:asciiTheme="minorHAnsi" w:hAnsiTheme="minorHAnsi"/>
        </w:rPr>
        <w:t>.1</w:t>
      </w:r>
      <w:r w:rsidR="009A1D5D" w:rsidRPr="00167CB8">
        <w:rPr>
          <w:rFonts w:asciiTheme="minorHAnsi" w:hAnsiTheme="minorHAnsi"/>
        </w:rPr>
        <w:t xml:space="preserve"> Amendments </w:t>
      </w:r>
      <w:r w:rsidR="00817E65" w:rsidRPr="00167CB8">
        <w:rPr>
          <w:rFonts w:asciiTheme="minorHAnsi" w:hAnsiTheme="minorHAnsi"/>
        </w:rPr>
        <w:t>and i</w:t>
      </w:r>
      <w:r w:rsidR="009A1D5D" w:rsidRPr="00167CB8">
        <w:rPr>
          <w:rFonts w:asciiTheme="minorHAnsi" w:hAnsiTheme="minorHAnsi"/>
        </w:rPr>
        <w:t>ntent</w:t>
      </w:r>
      <w:bookmarkEnd w:id="426"/>
      <w:bookmarkEnd w:id="427"/>
      <w:bookmarkEnd w:id="428"/>
      <w:bookmarkEnd w:id="429"/>
    </w:p>
    <w:p w14:paraId="6AAC8EF0" w14:textId="1834E583" w:rsidR="009A1D5D" w:rsidRPr="00167CB8" w:rsidRDefault="009A1D5D" w:rsidP="006000ED">
      <w:r w:rsidRPr="00167CB8">
        <w:t xml:space="preserve">The </w:t>
      </w:r>
      <w:r w:rsidR="00E60C76" w:rsidRPr="00167CB8">
        <w:t xml:space="preserve">Fair Work </w:t>
      </w:r>
      <w:r w:rsidRPr="00167CB8">
        <w:t xml:space="preserve">Act protects employees and prospective employees from </w:t>
      </w:r>
      <w:r w:rsidR="00BA4792" w:rsidRPr="00167CB8">
        <w:t xml:space="preserve">discriminatory </w:t>
      </w:r>
      <w:r w:rsidRPr="00167CB8">
        <w:t>adverse action</w:t>
      </w:r>
      <w:r w:rsidR="003F047D" w:rsidRPr="00167CB8">
        <w:t>, where that action was taken</w:t>
      </w:r>
      <w:r w:rsidRPr="00167CB8">
        <w:t xml:space="preserve"> because </w:t>
      </w:r>
      <w:r w:rsidR="00BA4792" w:rsidRPr="00167CB8">
        <w:t>the</w:t>
      </w:r>
      <w:r w:rsidR="00AA740A" w:rsidRPr="00167CB8">
        <w:t xml:space="preserve"> employee</w:t>
      </w:r>
      <w:r w:rsidR="00BA4792" w:rsidRPr="00167CB8">
        <w:t xml:space="preserve"> has a</w:t>
      </w:r>
      <w:r w:rsidRPr="00167CB8">
        <w:t xml:space="preserve"> protected attribute.</w:t>
      </w:r>
      <w:r w:rsidRPr="00167CB8">
        <w:rPr>
          <w:rStyle w:val="FootnoteReference"/>
        </w:rPr>
        <w:footnoteReference w:id="910"/>
      </w:r>
      <w:r w:rsidRPr="00167CB8">
        <w:t xml:space="preserve"> Before the </w:t>
      </w:r>
      <w:r w:rsidR="00D86F0F" w:rsidRPr="00167CB8">
        <w:rPr>
          <w:rFonts w:cstheme="minorHAnsi"/>
        </w:rPr>
        <w:t>Secure Jobs, Better Pay</w:t>
      </w:r>
      <w:r w:rsidRPr="00167CB8">
        <w:t xml:space="preserve"> amendments, </w:t>
      </w:r>
      <w:r w:rsidR="0086761F" w:rsidRPr="00167CB8">
        <w:t xml:space="preserve">these </w:t>
      </w:r>
      <w:r w:rsidRPr="00167CB8">
        <w:t>attributes includ</w:t>
      </w:r>
      <w:r w:rsidR="0086761F" w:rsidRPr="00167CB8">
        <w:t>ed</w:t>
      </w:r>
      <w:r w:rsidRPr="00167CB8">
        <w:t xml:space="preserve"> race, colour, sex, sexual orientation, age, physical or mental disability, marital status, family or carer responsibilities, subjection to family and domestic violence, pregnancy, religion, political opinion, national extraction, and social origin. However, these provisions did not cover discrimination on the grounds of breastfeeding, gender identity or intersex status. </w:t>
      </w:r>
      <w:r w:rsidR="00092794" w:rsidRPr="00167CB8">
        <w:t>To this extent</w:t>
      </w:r>
      <w:r w:rsidRPr="00167CB8">
        <w:t xml:space="preserve">, the </w:t>
      </w:r>
      <w:r w:rsidR="00E60C76" w:rsidRPr="00167CB8">
        <w:t>Fair Work</w:t>
      </w:r>
      <w:r w:rsidRPr="00167CB8">
        <w:t xml:space="preserve"> Act was </w:t>
      </w:r>
      <w:r w:rsidR="00092794" w:rsidRPr="00167CB8">
        <w:t xml:space="preserve">not aligned </w:t>
      </w:r>
      <w:r w:rsidRPr="00167CB8">
        <w:t xml:space="preserve">with </w:t>
      </w:r>
      <w:r w:rsidR="00092794" w:rsidRPr="00167CB8">
        <w:t xml:space="preserve">protections extended by </w:t>
      </w:r>
      <w:r w:rsidRPr="00167CB8">
        <w:t xml:space="preserve">the </w:t>
      </w:r>
      <w:r w:rsidRPr="00167CB8">
        <w:rPr>
          <w:i/>
        </w:rPr>
        <w:t>Sex Discrimination Act 1984</w:t>
      </w:r>
      <w:r w:rsidRPr="00167CB8">
        <w:t xml:space="preserve"> (Cth).</w:t>
      </w:r>
      <w:r w:rsidRPr="00167CB8">
        <w:rPr>
          <w:rStyle w:val="FootnoteReference"/>
        </w:rPr>
        <w:footnoteReference w:id="911"/>
      </w:r>
    </w:p>
    <w:p w14:paraId="78F48418" w14:textId="40558B63" w:rsidR="009A1D5D" w:rsidRPr="00167CB8" w:rsidRDefault="0024484D" w:rsidP="009A1D5D">
      <w:pPr>
        <w:pStyle w:val="Heading5"/>
        <w:rPr>
          <w:rFonts w:asciiTheme="minorHAnsi" w:hAnsiTheme="minorHAnsi"/>
        </w:rPr>
      </w:pPr>
      <w:bookmarkStart w:id="430" w:name="_Toc188003408"/>
      <w:r w:rsidRPr="00167CB8">
        <w:rPr>
          <w:rFonts w:asciiTheme="minorHAnsi" w:hAnsiTheme="minorHAnsi"/>
        </w:rPr>
        <w:t>29</w:t>
      </w:r>
      <w:r w:rsidR="001B77E5" w:rsidRPr="00167CB8">
        <w:rPr>
          <w:rFonts w:asciiTheme="minorHAnsi" w:hAnsiTheme="minorHAnsi"/>
        </w:rPr>
        <w:t xml:space="preserve">.1.1 </w:t>
      </w:r>
      <w:r w:rsidR="00E42AC2" w:rsidRPr="00167CB8">
        <w:rPr>
          <w:rFonts w:asciiTheme="minorHAnsi" w:hAnsiTheme="minorHAnsi"/>
        </w:rPr>
        <w:t xml:space="preserve">Secure Jobs, Better Pay </w:t>
      </w:r>
      <w:r w:rsidR="00817E65" w:rsidRPr="00167CB8">
        <w:rPr>
          <w:rFonts w:asciiTheme="minorHAnsi" w:hAnsiTheme="minorHAnsi"/>
        </w:rPr>
        <w:t>a</w:t>
      </w:r>
      <w:r w:rsidR="00E42AC2" w:rsidRPr="00167CB8">
        <w:rPr>
          <w:rFonts w:asciiTheme="minorHAnsi" w:hAnsiTheme="minorHAnsi"/>
        </w:rPr>
        <w:t>mendments</w:t>
      </w:r>
      <w:bookmarkEnd w:id="430"/>
    </w:p>
    <w:p w14:paraId="577C9709" w14:textId="4E7798F9" w:rsidR="009A1D5D" w:rsidRPr="00167CB8" w:rsidRDefault="009A1D5D" w:rsidP="006000ED">
      <w:pPr>
        <w:spacing w:before="100" w:beforeAutospacing="1" w:after="100" w:afterAutospacing="1"/>
        <w:rPr>
          <w:rFonts w:eastAsia="Times New Roman" w:cs="Calibri"/>
          <w:lang w:eastAsia="en-AU"/>
        </w:rPr>
      </w:pPr>
      <w:r w:rsidRPr="00167CB8">
        <w:rPr>
          <w:rFonts w:eastAsia="Times New Roman" w:cs="Calibri"/>
          <w:lang w:eastAsia="en-AU"/>
        </w:rPr>
        <w:t xml:space="preserve">The key amendments delivered through the </w:t>
      </w:r>
      <w:r w:rsidR="00D86F0F" w:rsidRPr="00167CB8">
        <w:rPr>
          <w:rFonts w:cstheme="minorHAnsi"/>
        </w:rPr>
        <w:t>Secure Jobs, Better Pay</w:t>
      </w:r>
      <w:r w:rsidRPr="00167CB8">
        <w:rPr>
          <w:rFonts w:eastAsia="Times New Roman" w:cs="Calibri"/>
          <w:lang w:eastAsia="en-AU"/>
        </w:rPr>
        <w:t xml:space="preserve"> Act include</w:t>
      </w:r>
      <w:r w:rsidR="00817E65" w:rsidRPr="00167CB8">
        <w:rPr>
          <w:rFonts w:eastAsia="Times New Roman" w:cs="Calibri"/>
          <w:lang w:eastAsia="en-AU"/>
        </w:rPr>
        <w:t xml:space="preserve"> the following</w:t>
      </w:r>
      <w:r w:rsidRPr="00167CB8">
        <w:rPr>
          <w:rFonts w:eastAsia="Times New Roman" w:cs="Calibri"/>
          <w:lang w:eastAsia="en-AU"/>
        </w:rPr>
        <w:t>:</w:t>
      </w:r>
    </w:p>
    <w:p w14:paraId="61BB1A18" w14:textId="3B21423B" w:rsidR="009A1D5D" w:rsidRPr="00167CB8" w:rsidRDefault="009A1D5D" w:rsidP="00EA3E2F">
      <w:pPr>
        <w:pStyle w:val="ListBullet"/>
        <w:rPr>
          <w:rFonts w:eastAsia="Times New Roman" w:cs="Calibri"/>
        </w:rPr>
      </w:pPr>
      <w:r w:rsidRPr="00167CB8">
        <w:rPr>
          <w:rFonts w:eastAsia="Times New Roman" w:cs="Calibri"/>
        </w:rPr>
        <w:t>Section 195(1)</w:t>
      </w:r>
      <w:r w:rsidR="00866C12" w:rsidRPr="00167CB8">
        <w:rPr>
          <w:rFonts w:eastAsia="Times New Roman" w:cs="Calibri"/>
        </w:rPr>
        <w:t xml:space="preserve"> of the </w:t>
      </w:r>
      <w:r w:rsidR="00E60C76" w:rsidRPr="00167CB8">
        <w:rPr>
          <w:rFonts w:eastAsia="Times New Roman" w:cs="Calibri"/>
        </w:rPr>
        <w:t>Fair Work Act</w:t>
      </w:r>
      <w:r w:rsidRPr="00167CB8">
        <w:rPr>
          <w:rFonts w:eastAsia="Times New Roman" w:cs="Calibri"/>
        </w:rPr>
        <w:t xml:space="preserve">: </w:t>
      </w:r>
      <w:r w:rsidR="00817E65" w:rsidRPr="00167CB8">
        <w:t>B</w:t>
      </w:r>
      <w:r w:rsidRPr="00167CB8">
        <w:t>reastfeeding, gender identity, or intersex status have been added as a protected attribute. Section 195(1) now reads:</w:t>
      </w:r>
    </w:p>
    <w:p w14:paraId="61E50526" w14:textId="64E9F905" w:rsidR="009A1D5D" w:rsidRPr="00167CB8" w:rsidRDefault="009A1D5D" w:rsidP="00817E65">
      <w:pPr>
        <w:pStyle w:val="Quote"/>
        <w:rPr>
          <w:lang w:eastAsia="en-AU"/>
        </w:rPr>
      </w:pPr>
      <w:r w:rsidRPr="00167CB8">
        <w:rPr>
          <w:lang w:eastAsia="en-AU"/>
        </w:rPr>
        <w:t xml:space="preserve">A term of an enterprise agreement is a </w:t>
      </w:r>
      <w:r w:rsidRPr="00167CB8">
        <w:rPr>
          <w:b/>
          <w:i/>
          <w:lang w:eastAsia="en-AU"/>
        </w:rPr>
        <w:t>discriminatory term</w:t>
      </w:r>
      <w:r w:rsidRPr="00167CB8">
        <w:rPr>
          <w:b/>
          <w:lang w:eastAsia="en-AU"/>
        </w:rPr>
        <w:t xml:space="preserve"> </w:t>
      </w:r>
      <w:r w:rsidRPr="00167CB8">
        <w:rPr>
          <w:lang w:eastAsia="en-AU"/>
        </w:rPr>
        <w:t>to the extent that it discriminates against an employee covered by the agreement because of, or for reasons including, the employee’s race, colour sex, sexual orientation, breastfeeding, gender identity, intersex status, age, physical or mental disability, marital status, family or carer’s responsibilities, subjection to family and domestic violence, pregnancy, religion, political opinion, national extraction or social origin.</w:t>
      </w:r>
    </w:p>
    <w:p w14:paraId="2A037B5E" w14:textId="11C86E12" w:rsidR="009A1D5D" w:rsidRPr="00167CB8" w:rsidRDefault="009A1D5D" w:rsidP="00EA3E2F">
      <w:pPr>
        <w:pStyle w:val="ListBullet"/>
      </w:pPr>
      <w:r w:rsidRPr="00167CB8">
        <w:t>Section 195</w:t>
      </w:r>
      <w:r w:rsidR="00817E65" w:rsidRPr="00167CB8">
        <w:t>,</w:t>
      </w:r>
      <w:r w:rsidRPr="00167CB8">
        <w:t xml:space="preserve"> </w:t>
      </w:r>
      <w:r w:rsidR="006352F8" w:rsidRPr="00167CB8">
        <w:t>about the m</w:t>
      </w:r>
      <w:r w:rsidRPr="00167CB8">
        <w:t>eaning of discriminatory term</w:t>
      </w:r>
      <w:r w:rsidR="006352F8" w:rsidRPr="00167CB8">
        <w:t>s</w:t>
      </w:r>
      <w:r w:rsidR="00817E65" w:rsidRPr="00167CB8">
        <w:t>,</w:t>
      </w:r>
      <w:r w:rsidRPr="00167CB8">
        <w:t xml:space="preserve"> now also includes </w:t>
      </w:r>
      <w:r w:rsidR="00817E65" w:rsidRPr="00167CB8">
        <w:t xml:space="preserve">3 </w:t>
      </w:r>
      <w:r w:rsidRPr="00167CB8">
        <w:t>new subsections: s 195(4), 195(5) and 195(6). All are concerned with ‘special measures’ to achieve equality</w:t>
      </w:r>
      <w:r w:rsidR="00817E65" w:rsidRPr="00167CB8">
        <w:t xml:space="preserve"> </w:t>
      </w:r>
      <w:r w:rsidR="00817E65" w:rsidRPr="00167CB8">
        <w:rPr>
          <w:rFonts w:ascii="Symbol" w:eastAsia="Symbol" w:hAnsi="Symbol" w:cs="Symbol"/>
        </w:rPr>
        <w:sym w:font="Symbol" w:char="F02D"/>
      </w:r>
      <w:r w:rsidR="00817E65" w:rsidRPr="00167CB8">
        <w:t xml:space="preserve"> that is, </w:t>
      </w:r>
      <w:r w:rsidRPr="00167CB8">
        <w:t>they are ‘not discriminatory terms and therefore not unlawful terms in enterprise agreements’.</w:t>
      </w:r>
      <w:r w:rsidRPr="00167CB8">
        <w:rPr>
          <w:rStyle w:val="FootnoteReference"/>
          <w:rFonts w:eastAsia="Times New Roman" w:cs="Calibri"/>
        </w:rPr>
        <w:footnoteReference w:id="912"/>
      </w:r>
    </w:p>
    <w:p w14:paraId="62A08296" w14:textId="5133666E" w:rsidR="009A1D5D" w:rsidRPr="00167CB8" w:rsidRDefault="009A1D5D" w:rsidP="00EA3E2F">
      <w:pPr>
        <w:pStyle w:val="ListBullet"/>
      </w:pPr>
      <w:r w:rsidRPr="00167CB8">
        <w:t>Section 351 (1)</w:t>
      </w:r>
      <w:r w:rsidR="00E24204" w:rsidRPr="00167CB8">
        <w:t>,</w:t>
      </w:r>
      <w:r w:rsidRPr="00167CB8">
        <w:t xml:space="preserve"> </w:t>
      </w:r>
      <w:r w:rsidR="00E24204" w:rsidRPr="00167CB8">
        <w:t>that e</w:t>
      </w:r>
      <w:r w:rsidRPr="00167CB8">
        <w:t>mployer</w:t>
      </w:r>
      <w:r w:rsidR="00E24204" w:rsidRPr="00167CB8">
        <w:t>s</w:t>
      </w:r>
      <w:r w:rsidRPr="00167CB8">
        <w:t xml:space="preserve"> must not discriminate</w:t>
      </w:r>
      <w:r w:rsidR="00E24204" w:rsidRPr="00167CB8">
        <w:t>,</w:t>
      </w:r>
      <w:r w:rsidRPr="00167CB8">
        <w:t xml:space="preserve"> has been amended to include </w:t>
      </w:r>
      <w:r w:rsidRPr="00167CB8">
        <w:rPr>
          <w:rFonts w:cstheme="minorHAnsi"/>
        </w:rPr>
        <w:t>breastfeeding, gender identity or intersex status</w:t>
      </w:r>
      <w:r w:rsidR="00E0523F" w:rsidRPr="00167CB8">
        <w:rPr>
          <w:rFonts w:cstheme="minorHAnsi"/>
        </w:rPr>
        <w:t xml:space="preserve"> as protected attributes</w:t>
      </w:r>
      <w:r w:rsidRPr="00167CB8">
        <w:rPr>
          <w:rFonts w:cstheme="minorHAnsi"/>
        </w:rPr>
        <w:t>.</w:t>
      </w:r>
    </w:p>
    <w:p w14:paraId="42BEB299" w14:textId="77777777" w:rsidR="009A1D5D" w:rsidRPr="00167CB8" w:rsidRDefault="009A1D5D" w:rsidP="006000ED">
      <w:pPr>
        <w:spacing w:before="100" w:beforeAutospacing="1" w:after="100" w:afterAutospacing="1"/>
        <w:rPr>
          <w:rFonts w:eastAsia="Times New Roman" w:cs="Calibri"/>
          <w:lang w:eastAsia="en-AU"/>
        </w:rPr>
      </w:pPr>
      <w:r w:rsidRPr="00167CB8">
        <w:rPr>
          <w:rFonts w:cstheme="minorHAnsi"/>
        </w:rPr>
        <w:t>The amendments came into effect from 7 December 2022.</w:t>
      </w:r>
    </w:p>
    <w:p w14:paraId="4BE699B7" w14:textId="1D4E3ED2" w:rsidR="00CE1449" w:rsidRPr="00167CB8" w:rsidRDefault="00CE1449" w:rsidP="00CE1449">
      <w:r w:rsidRPr="00167CB8">
        <w:t xml:space="preserve">The Review Panel notes that the </w:t>
      </w:r>
      <w:r w:rsidRPr="00167CB8">
        <w:rPr>
          <w:i/>
          <w:iCs/>
        </w:rPr>
        <w:t xml:space="preserve">Fair Work Amendment (Closing Loopholes) Act 2023 </w:t>
      </w:r>
      <w:r w:rsidRPr="00167CB8">
        <w:t xml:space="preserve">also added </w:t>
      </w:r>
      <w:r w:rsidR="00817E65" w:rsidRPr="00167CB8">
        <w:t>‘</w:t>
      </w:r>
      <w:r w:rsidRPr="00167CB8">
        <w:t>subjection to family and domestic violence</w:t>
      </w:r>
      <w:r w:rsidR="00817E65" w:rsidRPr="00167CB8">
        <w:t>’</w:t>
      </w:r>
      <w:r w:rsidRPr="00167CB8">
        <w:t xml:space="preserve"> to the Fair Work Act as a new protected attribute.</w:t>
      </w:r>
      <w:r w:rsidRPr="00167CB8">
        <w:rPr>
          <w:rStyle w:val="FootnoteReference"/>
        </w:rPr>
        <w:footnoteReference w:id="913"/>
      </w:r>
    </w:p>
    <w:p w14:paraId="28D665F5" w14:textId="5DCCB3DC" w:rsidR="009A1D5D" w:rsidRPr="00167CB8" w:rsidRDefault="0024484D" w:rsidP="009A1D5D">
      <w:pPr>
        <w:pStyle w:val="Heading5"/>
        <w:rPr>
          <w:rFonts w:asciiTheme="minorHAnsi" w:hAnsiTheme="minorHAnsi"/>
        </w:rPr>
      </w:pPr>
      <w:bookmarkStart w:id="431" w:name="_Toc188003409"/>
      <w:r w:rsidRPr="00167CB8">
        <w:rPr>
          <w:rFonts w:asciiTheme="minorHAnsi" w:hAnsiTheme="minorHAnsi"/>
        </w:rPr>
        <w:lastRenderedPageBreak/>
        <w:t>29</w:t>
      </w:r>
      <w:r w:rsidR="001B77E5" w:rsidRPr="00167CB8">
        <w:rPr>
          <w:rFonts w:asciiTheme="minorHAnsi" w:hAnsiTheme="minorHAnsi"/>
        </w:rPr>
        <w:t>.1.2</w:t>
      </w:r>
      <w:r w:rsidR="009A1D5D" w:rsidRPr="00167CB8">
        <w:rPr>
          <w:rFonts w:asciiTheme="minorHAnsi" w:hAnsiTheme="minorHAnsi"/>
        </w:rPr>
        <w:t xml:space="preserve"> Intent of </w:t>
      </w:r>
      <w:r w:rsidR="00E42AC2" w:rsidRPr="00167CB8">
        <w:rPr>
          <w:rFonts w:asciiTheme="minorHAnsi" w:hAnsiTheme="minorHAnsi"/>
        </w:rPr>
        <w:t xml:space="preserve">Secure Jobs, Better Pay </w:t>
      </w:r>
      <w:r w:rsidR="00817E65" w:rsidRPr="00167CB8">
        <w:rPr>
          <w:rFonts w:asciiTheme="minorHAnsi" w:hAnsiTheme="minorHAnsi"/>
        </w:rPr>
        <w:t>a</w:t>
      </w:r>
      <w:r w:rsidR="009A1D5D" w:rsidRPr="00167CB8" w:rsidDel="00E42AC2">
        <w:rPr>
          <w:rFonts w:asciiTheme="minorHAnsi" w:hAnsiTheme="minorHAnsi"/>
        </w:rPr>
        <w:t>mendments</w:t>
      </w:r>
      <w:bookmarkEnd w:id="431"/>
    </w:p>
    <w:p w14:paraId="441241B1" w14:textId="172007BC" w:rsidR="009A1D5D" w:rsidRPr="00167CB8" w:rsidRDefault="009A1D5D" w:rsidP="006000ED">
      <w:pPr>
        <w:rPr>
          <w:rFonts w:cstheme="minorHAnsi"/>
        </w:rPr>
      </w:pPr>
      <w:r w:rsidRPr="00167CB8">
        <w:t xml:space="preserve">The changes </w:t>
      </w:r>
      <w:r w:rsidR="00817E65" w:rsidRPr="00167CB8">
        <w:t xml:space="preserve">are </w:t>
      </w:r>
      <w:r w:rsidR="00E0523F" w:rsidRPr="00167CB8">
        <w:t>intended</w:t>
      </w:r>
      <w:r w:rsidRPr="00167CB8">
        <w:t xml:space="preserve"> to align the protected attributes in the </w:t>
      </w:r>
      <w:r w:rsidR="00E60C76" w:rsidRPr="00167CB8">
        <w:t>Fair Work Act</w:t>
      </w:r>
      <w:r w:rsidRPr="00167CB8">
        <w:t xml:space="preserve"> with those in other Commonwealth anti-discrimination legislation. The amendments regarding </w:t>
      </w:r>
      <w:r w:rsidR="00817E65" w:rsidRPr="00167CB8">
        <w:t>‘</w:t>
      </w:r>
      <w:r w:rsidRPr="00167CB8">
        <w:t>special measures to achieve equality</w:t>
      </w:r>
      <w:r w:rsidR="00817E65" w:rsidRPr="00167CB8">
        <w:t>’</w:t>
      </w:r>
      <w:r w:rsidRPr="00167CB8">
        <w:t xml:space="preserve"> further harmonised the </w:t>
      </w:r>
      <w:r w:rsidR="00E60C76" w:rsidRPr="00167CB8">
        <w:t>Fair Work Act</w:t>
      </w:r>
      <w:r w:rsidRPr="00167CB8">
        <w:t xml:space="preserve"> with other anti-discrimination laws, clarifying that measures such as gender quotas, designed to promote equality, are not considered unlawful discrimination.</w:t>
      </w:r>
      <w:r w:rsidRPr="00167CB8">
        <w:rPr>
          <w:rStyle w:val="FootnoteReference"/>
        </w:rPr>
        <w:footnoteReference w:id="914"/>
      </w:r>
      <w:r w:rsidRPr="00167CB8">
        <w:t xml:space="preserve"> Beyond ensuring legislative consistency, these reforms also enable employees and employers to agree on terms that may expedite the achievement of equality. </w:t>
      </w:r>
    </w:p>
    <w:p w14:paraId="0B6F0D67" w14:textId="42D58154" w:rsidR="009A1D5D" w:rsidRPr="00167CB8" w:rsidRDefault="009A1D5D" w:rsidP="006000ED">
      <w:pPr>
        <w:rPr>
          <w:rFonts w:cstheme="minorHAnsi"/>
        </w:rPr>
      </w:pPr>
      <w:r w:rsidRPr="00167CB8">
        <w:t xml:space="preserve">The </w:t>
      </w:r>
      <w:r w:rsidR="00D86F0F" w:rsidRPr="00167CB8">
        <w:rPr>
          <w:rFonts w:cstheme="minorHAnsi"/>
        </w:rPr>
        <w:t>Secure Jobs, Better Pay</w:t>
      </w:r>
      <w:r w:rsidRPr="00167CB8">
        <w:t xml:space="preserve"> amendments at Part 9 of the </w:t>
      </w:r>
      <w:r w:rsidR="00D86F0F" w:rsidRPr="00167CB8">
        <w:rPr>
          <w:rFonts w:cstheme="minorHAnsi"/>
        </w:rPr>
        <w:t>Secure Jobs, Better Pay</w:t>
      </w:r>
      <w:r w:rsidRPr="00167CB8">
        <w:t xml:space="preserve"> Act have the potential to significantly improve job security and address gender disparities (e.g. pay gaps) in the workplace.</w:t>
      </w:r>
    </w:p>
    <w:p w14:paraId="3E61E3B0" w14:textId="13CF38AD" w:rsidR="009A1D5D" w:rsidRPr="00167CB8" w:rsidRDefault="0024484D" w:rsidP="009A1D5D">
      <w:pPr>
        <w:pStyle w:val="Heading4"/>
        <w:rPr>
          <w:rFonts w:asciiTheme="minorHAnsi" w:hAnsiTheme="minorHAnsi"/>
        </w:rPr>
      </w:pPr>
      <w:bookmarkStart w:id="432" w:name="_Toc188003410"/>
      <w:bookmarkStart w:id="433" w:name="_Toc188277954"/>
      <w:bookmarkStart w:id="434" w:name="_Toc189260306"/>
      <w:bookmarkStart w:id="435" w:name="_Toc189393622"/>
      <w:r w:rsidRPr="00167CB8">
        <w:rPr>
          <w:rFonts w:asciiTheme="minorHAnsi" w:hAnsiTheme="minorHAnsi"/>
        </w:rPr>
        <w:t>29</w:t>
      </w:r>
      <w:r w:rsidR="001B77E5" w:rsidRPr="00167CB8">
        <w:rPr>
          <w:rFonts w:asciiTheme="minorHAnsi" w:hAnsiTheme="minorHAnsi"/>
        </w:rPr>
        <w:t>.2</w:t>
      </w:r>
      <w:r w:rsidR="009A1D5D" w:rsidRPr="00167CB8">
        <w:rPr>
          <w:rFonts w:asciiTheme="minorHAnsi" w:hAnsiTheme="minorHAnsi"/>
        </w:rPr>
        <w:t xml:space="preserve"> Impact </w:t>
      </w:r>
      <w:r w:rsidR="00477C8A" w:rsidRPr="00167CB8">
        <w:rPr>
          <w:rFonts w:asciiTheme="minorHAnsi" w:hAnsiTheme="minorHAnsi"/>
        </w:rPr>
        <w:t>and</w:t>
      </w:r>
      <w:r w:rsidR="009A1D5D" w:rsidRPr="00167CB8">
        <w:rPr>
          <w:rFonts w:asciiTheme="minorHAnsi" w:hAnsiTheme="minorHAnsi"/>
        </w:rPr>
        <w:t xml:space="preserve"> </w:t>
      </w:r>
      <w:r w:rsidR="00817E65" w:rsidRPr="00167CB8">
        <w:rPr>
          <w:rFonts w:asciiTheme="minorHAnsi" w:hAnsiTheme="minorHAnsi"/>
        </w:rPr>
        <w:t>i</w:t>
      </w:r>
      <w:r w:rsidR="009A1D5D" w:rsidRPr="00167CB8">
        <w:rPr>
          <w:rFonts w:asciiTheme="minorHAnsi" w:hAnsiTheme="minorHAnsi"/>
        </w:rPr>
        <w:t>ssues</w:t>
      </w:r>
      <w:bookmarkEnd w:id="432"/>
      <w:bookmarkEnd w:id="433"/>
      <w:bookmarkEnd w:id="434"/>
      <w:bookmarkEnd w:id="435"/>
    </w:p>
    <w:p w14:paraId="4C68A46A" w14:textId="77777777" w:rsidR="009A1D5D" w:rsidRPr="00167CB8" w:rsidRDefault="009A1D5D" w:rsidP="006000ED">
      <w:r w:rsidRPr="00167CB8">
        <w:t>The following describes the data and information considered by the Review Panel when evaluating the amendments discussed above.</w:t>
      </w:r>
    </w:p>
    <w:p w14:paraId="6578494D" w14:textId="3D4F1955" w:rsidR="009A1D5D" w:rsidRPr="00167CB8" w:rsidRDefault="0024484D" w:rsidP="009A1D5D">
      <w:pPr>
        <w:pStyle w:val="Heading5"/>
        <w:rPr>
          <w:rFonts w:asciiTheme="minorHAnsi" w:hAnsiTheme="minorHAnsi"/>
        </w:rPr>
      </w:pPr>
      <w:bookmarkStart w:id="436" w:name="_Toc188003411"/>
      <w:r w:rsidRPr="00167CB8">
        <w:rPr>
          <w:rFonts w:asciiTheme="minorHAnsi" w:hAnsiTheme="minorHAnsi"/>
        </w:rPr>
        <w:t>29</w:t>
      </w:r>
      <w:r w:rsidR="001B77E5" w:rsidRPr="00167CB8">
        <w:rPr>
          <w:rFonts w:asciiTheme="minorHAnsi" w:hAnsiTheme="minorHAnsi"/>
        </w:rPr>
        <w:t>.2.1</w:t>
      </w:r>
      <w:r w:rsidR="009A1D5D" w:rsidRPr="00167CB8">
        <w:rPr>
          <w:rFonts w:asciiTheme="minorHAnsi" w:hAnsiTheme="minorHAnsi"/>
        </w:rPr>
        <w:t xml:space="preserve"> Quantitative </w:t>
      </w:r>
      <w:r w:rsidR="00817E65" w:rsidRPr="00167CB8">
        <w:rPr>
          <w:rFonts w:asciiTheme="minorHAnsi" w:hAnsiTheme="minorHAnsi"/>
        </w:rPr>
        <w:t>e</w:t>
      </w:r>
      <w:r w:rsidR="009A1D5D" w:rsidRPr="00167CB8">
        <w:rPr>
          <w:rFonts w:asciiTheme="minorHAnsi" w:hAnsiTheme="minorHAnsi"/>
        </w:rPr>
        <w:t>vidence</w:t>
      </w:r>
      <w:bookmarkEnd w:id="436"/>
    </w:p>
    <w:p w14:paraId="52A10429" w14:textId="66260777" w:rsidR="009A1D5D" w:rsidRPr="00167CB8" w:rsidRDefault="009A1D5D" w:rsidP="009A1D5D">
      <w:r w:rsidRPr="00167CB8">
        <w:t xml:space="preserve">The </w:t>
      </w:r>
      <w:r w:rsidR="00817E65" w:rsidRPr="00167CB8">
        <w:t xml:space="preserve">Fair Work Ombudsman </w:t>
      </w:r>
      <w:r w:rsidRPr="00167CB8">
        <w:t>informed the review that it not yet received any requests for assistance regarding the new protected attributes</w:t>
      </w:r>
      <w:r w:rsidR="00817E65" w:rsidRPr="00167CB8">
        <w:t xml:space="preserve"> and had not </w:t>
      </w:r>
      <w:r w:rsidRPr="00167CB8">
        <w:t>commenced any investigations or litigation.</w:t>
      </w:r>
      <w:r w:rsidR="00B5009F" w:rsidRPr="00167CB8">
        <w:t xml:space="preserve"> </w:t>
      </w:r>
      <w:r w:rsidR="009D1DA2" w:rsidRPr="00167CB8">
        <w:t>The Review Panel is therefore not aware of any</w:t>
      </w:r>
      <w:r w:rsidR="00085D9C" w:rsidRPr="00167CB8">
        <w:t xml:space="preserve"> significant</w:t>
      </w:r>
      <w:r w:rsidR="009D1DA2" w:rsidRPr="00167CB8">
        <w:t xml:space="preserve"> quantitative evidence in relation to these amendments.</w:t>
      </w:r>
    </w:p>
    <w:p w14:paraId="06297609" w14:textId="7A9C9591" w:rsidR="009A1D5D" w:rsidRPr="00167CB8" w:rsidRDefault="0024484D" w:rsidP="009A1D5D">
      <w:pPr>
        <w:pStyle w:val="Heading5"/>
        <w:rPr>
          <w:rFonts w:asciiTheme="minorHAnsi" w:hAnsiTheme="minorHAnsi"/>
        </w:rPr>
      </w:pPr>
      <w:bookmarkStart w:id="437" w:name="_Toc188003412"/>
      <w:r w:rsidRPr="00167CB8">
        <w:rPr>
          <w:rFonts w:asciiTheme="minorHAnsi" w:hAnsiTheme="minorHAnsi"/>
        </w:rPr>
        <w:t>29</w:t>
      </w:r>
      <w:r w:rsidR="001B77E5" w:rsidRPr="00167CB8">
        <w:rPr>
          <w:rFonts w:asciiTheme="minorHAnsi" w:hAnsiTheme="minorHAnsi"/>
        </w:rPr>
        <w:t>.2.2</w:t>
      </w:r>
      <w:r w:rsidR="009A1D5D" w:rsidRPr="00167CB8">
        <w:rPr>
          <w:rFonts w:asciiTheme="minorHAnsi" w:hAnsiTheme="minorHAnsi"/>
        </w:rPr>
        <w:t xml:space="preserve"> Qualitative </w:t>
      </w:r>
      <w:r w:rsidR="00817E65" w:rsidRPr="00167CB8">
        <w:rPr>
          <w:rFonts w:asciiTheme="minorHAnsi" w:hAnsiTheme="minorHAnsi"/>
        </w:rPr>
        <w:t>e</w:t>
      </w:r>
      <w:r w:rsidR="009A1D5D" w:rsidRPr="00167CB8">
        <w:rPr>
          <w:rFonts w:asciiTheme="minorHAnsi" w:hAnsiTheme="minorHAnsi"/>
        </w:rPr>
        <w:t>vidence</w:t>
      </w:r>
      <w:bookmarkEnd w:id="437"/>
    </w:p>
    <w:p w14:paraId="7FA1E246" w14:textId="180CCA65" w:rsidR="009A1D5D" w:rsidRPr="00167CB8" w:rsidRDefault="009A1D5D" w:rsidP="009A1D5D">
      <w:r w:rsidRPr="00167CB8">
        <w:t xml:space="preserve">The Review is not aware of any cases </w:t>
      </w:r>
      <w:r w:rsidR="00743C92" w:rsidRPr="00167CB8">
        <w:t>considering the new</w:t>
      </w:r>
      <w:r w:rsidRPr="00167CB8">
        <w:t xml:space="preserve"> protected </w:t>
      </w:r>
      <w:r w:rsidR="002B54CB" w:rsidRPr="00167CB8">
        <w:t>attributes under s</w:t>
      </w:r>
      <w:r w:rsidR="00817E65" w:rsidRPr="00167CB8">
        <w:t> </w:t>
      </w:r>
      <w:r w:rsidR="002B54CB" w:rsidRPr="00167CB8">
        <w:t xml:space="preserve">351 of the </w:t>
      </w:r>
      <w:r w:rsidR="00E60C76" w:rsidRPr="00167CB8">
        <w:t xml:space="preserve">Fair Work </w:t>
      </w:r>
      <w:r w:rsidR="002B54CB" w:rsidRPr="00167CB8">
        <w:t>Act</w:t>
      </w:r>
      <w:r w:rsidRPr="00167CB8">
        <w:t>.</w:t>
      </w:r>
    </w:p>
    <w:p w14:paraId="0072A1AD" w14:textId="3DBD4D5F" w:rsidR="009A1D5D" w:rsidRPr="00167CB8" w:rsidRDefault="009A1D5D" w:rsidP="009A1D5D">
      <w:r w:rsidRPr="00167CB8">
        <w:t xml:space="preserve">The </w:t>
      </w:r>
      <w:r w:rsidR="00817E65" w:rsidRPr="00167CB8">
        <w:t>Fair Work Commission (</w:t>
      </w:r>
      <w:r w:rsidRPr="00167CB8">
        <w:t>FWC</w:t>
      </w:r>
      <w:r w:rsidR="00817E65" w:rsidRPr="00167CB8">
        <w:t>)</w:t>
      </w:r>
      <w:r w:rsidRPr="00167CB8">
        <w:t xml:space="preserve"> has applied the principles under s</w:t>
      </w:r>
      <w:r w:rsidR="00817E65" w:rsidRPr="00167CB8">
        <w:t> </w:t>
      </w:r>
      <w:r w:rsidRPr="00167CB8">
        <w:t xml:space="preserve">195 of the </w:t>
      </w:r>
      <w:r w:rsidR="00E60C76" w:rsidRPr="00167CB8">
        <w:t>Fair Work Act</w:t>
      </w:r>
      <w:r w:rsidRPr="00167CB8">
        <w:t xml:space="preserve"> as part of an enterprise agreement approval, where an employee to be covered by a proposed </w:t>
      </w:r>
      <w:r w:rsidR="00817E65" w:rsidRPr="00167CB8">
        <w:t>a</w:t>
      </w:r>
      <w:r w:rsidRPr="00167CB8">
        <w:t>greement objected to its approval.</w:t>
      </w:r>
      <w:r w:rsidRPr="00167CB8">
        <w:rPr>
          <w:rStyle w:val="FootnoteReference"/>
        </w:rPr>
        <w:footnoteReference w:id="915"/>
      </w:r>
      <w:r w:rsidRPr="00167CB8">
        <w:t xml:space="preserve"> The objection was made on the basis that the provision of gender affirmation leave and support is an ‘unlawful term’</w:t>
      </w:r>
      <w:r w:rsidR="00817E65" w:rsidRPr="00167CB8">
        <w:t>,</w:t>
      </w:r>
      <w:r w:rsidRPr="00167CB8">
        <w:t xml:space="preserve"> as it is </w:t>
      </w:r>
      <w:r w:rsidR="00817E65" w:rsidRPr="00167CB8">
        <w:t xml:space="preserve">a </w:t>
      </w:r>
      <w:r w:rsidRPr="00167CB8">
        <w:t>discriminatory term under s</w:t>
      </w:r>
      <w:r w:rsidR="00817E65" w:rsidRPr="00167CB8">
        <w:t> </w:t>
      </w:r>
      <w:r w:rsidRPr="00167CB8">
        <w:t>195.</w:t>
      </w:r>
    </w:p>
    <w:p w14:paraId="48B12245" w14:textId="7337E027" w:rsidR="009A1D5D" w:rsidRPr="00167CB8" w:rsidRDefault="009A1D5D" w:rsidP="009A1D5D">
      <w:r w:rsidRPr="00167CB8">
        <w:t>As part of the FWC’s dismissal of the objection, the FWC found that the provisions are not discriminatory under s</w:t>
      </w:r>
      <w:r w:rsidR="00817E65" w:rsidRPr="00167CB8">
        <w:t> </w:t>
      </w:r>
      <w:r w:rsidRPr="00167CB8">
        <w:t xml:space="preserve">195(2)(c), with the provision acting to achieve substantive equality </w:t>
      </w:r>
      <w:r w:rsidR="00817E65" w:rsidRPr="00167CB8">
        <w:t xml:space="preserve">under s 195(4)(a) and 195(5) of the Fair Work Act </w:t>
      </w:r>
      <w:r w:rsidRPr="00167CB8">
        <w:t>for employees or prospective employees who are transgender or transitioning.</w:t>
      </w:r>
      <w:r w:rsidRPr="00167CB8">
        <w:rPr>
          <w:rStyle w:val="FootnoteReference"/>
        </w:rPr>
        <w:footnoteReference w:id="916"/>
      </w:r>
    </w:p>
    <w:p w14:paraId="4E7C824A" w14:textId="47B7DAF1" w:rsidR="009A1D5D" w:rsidRPr="00167CB8" w:rsidRDefault="0024484D" w:rsidP="009A1D5D">
      <w:pPr>
        <w:pStyle w:val="Heading5"/>
        <w:rPr>
          <w:rFonts w:asciiTheme="minorHAnsi" w:hAnsiTheme="minorHAnsi"/>
        </w:rPr>
      </w:pPr>
      <w:bookmarkStart w:id="438" w:name="_Toc188003413"/>
      <w:r w:rsidRPr="00167CB8">
        <w:rPr>
          <w:rFonts w:asciiTheme="minorHAnsi" w:hAnsiTheme="minorHAnsi"/>
        </w:rPr>
        <w:t>29</w:t>
      </w:r>
      <w:r w:rsidR="001B77E5" w:rsidRPr="00167CB8">
        <w:rPr>
          <w:rFonts w:asciiTheme="minorHAnsi" w:hAnsiTheme="minorHAnsi"/>
        </w:rPr>
        <w:t>.2.3</w:t>
      </w:r>
      <w:r w:rsidR="009A1D5D" w:rsidRPr="00167CB8">
        <w:rPr>
          <w:rFonts w:asciiTheme="minorHAnsi" w:hAnsiTheme="minorHAnsi"/>
        </w:rPr>
        <w:t xml:space="preserve"> Stakeholder views</w:t>
      </w:r>
      <w:bookmarkEnd w:id="438"/>
    </w:p>
    <w:p w14:paraId="625E229B" w14:textId="77777777" w:rsidR="00E8459B" w:rsidRPr="00167CB8" w:rsidRDefault="009A1D5D" w:rsidP="00817E65">
      <w:r w:rsidRPr="00167CB8">
        <w:t xml:space="preserve">Stakeholders provided generally positive feedback on the appropriateness and effectiveness of these amendments, while noting that their impact remains to be seen in cases before the FWC. </w:t>
      </w:r>
    </w:p>
    <w:p w14:paraId="604A8DEE" w14:textId="6DF33415" w:rsidR="00E8459B" w:rsidRPr="00167CB8" w:rsidRDefault="00E8459B" w:rsidP="00817E65">
      <w:r w:rsidRPr="00167CB8">
        <w:lastRenderedPageBreak/>
        <w:t>While welcoming the amendments, unions argued that the reforms do not go far enough and should also include reproductive health (e.g. menstruation, perimenopause, menopause and IVF) as a protected attribute.</w:t>
      </w:r>
      <w:r w:rsidRPr="00167CB8">
        <w:rPr>
          <w:vertAlign w:val="superscript"/>
        </w:rPr>
        <w:footnoteReference w:id="917"/>
      </w:r>
      <w:r w:rsidRPr="00167CB8">
        <w:t xml:space="preserve"> (Reproductive health is further discussed below</w:t>
      </w:r>
      <w:r w:rsidR="00817E65" w:rsidRPr="00167CB8">
        <w:t>.</w:t>
      </w:r>
      <w:r w:rsidRPr="00167CB8">
        <w:t>)</w:t>
      </w:r>
    </w:p>
    <w:p w14:paraId="199F324B" w14:textId="2621F41B" w:rsidR="009A1D5D" w:rsidRPr="00167CB8" w:rsidRDefault="009A1D5D" w:rsidP="006000ED">
      <w:pPr>
        <w:rPr>
          <w:rFonts w:cstheme="minorHAnsi"/>
        </w:rPr>
      </w:pPr>
      <w:r w:rsidRPr="00167CB8">
        <w:t xml:space="preserve">The </w:t>
      </w:r>
      <w:r w:rsidR="00817E65" w:rsidRPr="00167CB8">
        <w:t xml:space="preserve">Australian Council of Trade Unions </w:t>
      </w:r>
      <w:r w:rsidRPr="00167CB8">
        <w:t>emphasised that the inclusion of the additional protected attributes means that employees facing discrimination now have a more affordable, faster, and accessible pathway in the form of the FWC compared to pursuing remedies under the Sex Discrimination Act.</w:t>
      </w:r>
      <w:r w:rsidRPr="00167CB8">
        <w:rPr>
          <w:rStyle w:val="FootnoteReference"/>
        </w:rPr>
        <w:footnoteReference w:id="918"/>
      </w:r>
      <w:r w:rsidRPr="00167CB8">
        <w:t xml:space="preserve"> </w:t>
      </w:r>
    </w:p>
    <w:p w14:paraId="0B591FD2" w14:textId="7AFA71B0" w:rsidR="009A1D5D" w:rsidRPr="00167CB8" w:rsidRDefault="009A1D5D" w:rsidP="006000ED">
      <w:r w:rsidRPr="00167CB8">
        <w:t xml:space="preserve">The </w:t>
      </w:r>
      <w:r w:rsidR="00817E65" w:rsidRPr="00167CB8">
        <w:t xml:space="preserve">Community and Public Sector Union </w:t>
      </w:r>
      <w:r w:rsidRPr="00167CB8">
        <w:t>highlighted that the clarity around special measures had facilitated improvements to support First Nations employees in Australian Public Service (APS) bargaining. Using the new special measures provisions, they were able to negotiate dedicated conditions, including NAIDOC leave, ceremonial leave and the requirement for the employer to consider connection to country when considering requests for flexible work that includes working in a different location.</w:t>
      </w:r>
      <w:r w:rsidRPr="00167CB8">
        <w:rPr>
          <w:rStyle w:val="FootnoteReference"/>
        </w:rPr>
        <w:footnoteReference w:id="919"/>
      </w:r>
    </w:p>
    <w:p w14:paraId="75267415" w14:textId="2DF9EDEC" w:rsidR="009A1D5D" w:rsidRPr="00167CB8" w:rsidRDefault="00817E65" w:rsidP="006000ED">
      <w:pPr>
        <w:rPr>
          <w:rFonts w:cstheme="minorHAnsi"/>
        </w:rPr>
      </w:pPr>
      <w:r w:rsidRPr="00167CB8">
        <w:t>The Australian Chamber of Commerce and Industry (</w:t>
      </w:r>
      <w:r w:rsidR="009A1D5D" w:rsidRPr="00167CB8">
        <w:t>ACCI</w:t>
      </w:r>
      <w:r w:rsidRPr="00167CB8">
        <w:t>)</w:t>
      </w:r>
      <w:r w:rsidR="009A1D5D" w:rsidRPr="00167CB8">
        <w:t xml:space="preserve"> note</w:t>
      </w:r>
      <w:r w:rsidRPr="00167CB8">
        <w:t>d</w:t>
      </w:r>
      <w:r w:rsidR="009A1D5D" w:rsidRPr="00167CB8">
        <w:t xml:space="preserve"> that the special measures to achieve equality in an enterprise agreements has not been used </w:t>
      </w:r>
      <w:r w:rsidR="0046396A" w:rsidRPr="00167CB8">
        <w:t>and referred the Review Panel to the case considered above.</w:t>
      </w:r>
      <w:r w:rsidR="009A1D5D" w:rsidRPr="00167CB8">
        <w:rPr>
          <w:rStyle w:val="FootnoteReference"/>
        </w:rPr>
        <w:footnoteReference w:id="920"/>
      </w:r>
      <w:r w:rsidR="009A1D5D" w:rsidRPr="00167CB8">
        <w:t xml:space="preserve"> ACCI point</w:t>
      </w:r>
      <w:r w:rsidRPr="00167CB8">
        <w:t>ed</w:t>
      </w:r>
      <w:r w:rsidR="009A1D5D" w:rsidRPr="00167CB8">
        <w:t xml:space="preserve"> to the FWC ruling that its inclusion is not a </w:t>
      </w:r>
      <w:r w:rsidRPr="00167CB8">
        <w:t>‘</w:t>
      </w:r>
      <w:r w:rsidR="009A1D5D" w:rsidRPr="00167CB8">
        <w:t>discriminatory term</w:t>
      </w:r>
      <w:r w:rsidRPr="00167CB8">
        <w:t>’</w:t>
      </w:r>
      <w:r w:rsidR="009A1D5D" w:rsidRPr="00167CB8">
        <w:t xml:space="preserve"> as indicating that the FWC may need to provide educational material on the nature of, and how to make, special measures operational. </w:t>
      </w:r>
    </w:p>
    <w:p w14:paraId="5F403DB1" w14:textId="1391EE40" w:rsidR="009A1D5D" w:rsidRPr="00167CB8" w:rsidRDefault="009A1D5D" w:rsidP="006000ED">
      <w:pPr>
        <w:rPr>
          <w:rFonts w:cstheme="minorHAnsi"/>
          <w:sz w:val="28"/>
          <w:szCs w:val="28"/>
        </w:rPr>
      </w:pPr>
      <w:r w:rsidRPr="00167CB8">
        <w:t>Alysia Blackham</w:t>
      </w:r>
      <w:r w:rsidR="00817E65" w:rsidRPr="00167CB8">
        <w:t>,</w:t>
      </w:r>
      <w:r w:rsidRPr="00167CB8">
        <w:t xml:space="preserve"> from the University of Melbourne</w:t>
      </w:r>
      <w:r w:rsidR="00817E65" w:rsidRPr="00167CB8">
        <w:t>,</w:t>
      </w:r>
      <w:r w:rsidRPr="00167CB8">
        <w:t xml:space="preserve"> highlights the </w:t>
      </w:r>
      <w:r w:rsidR="00817E65" w:rsidRPr="00167CB8">
        <w:t>‘</w:t>
      </w:r>
      <w:r w:rsidRPr="00167CB8">
        <w:t>significant limits of individualised enforcement mechanisms for advancing equality</w:t>
      </w:r>
      <w:r w:rsidR="00817E65" w:rsidRPr="00167CB8">
        <w:t>’</w:t>
      </w:r>
      <w:r w:rsidRPr="00167CB8">
        <w:t xml:space="preserve"> and emphasises the potential of the </w:t>
      </w:r>
      <w:r w:rsidR="00D86F0F" w:rsidRPr="00167CB8">
        <w:rPr>
          <w:rFonts w:cstheme="minorHAnsi"/>
        </w:rPr>
        <w:t>Secure Jobs, Better Pay</w:t>
      </w:r>
      <w:r w:rsidRPr="00167CB8">
        <w:t xml:space="preserve"> reforms to promote gender equality by expanding opportunities for equality bargaining within collective agreements.</w:t>
      </w:r>
      <w:r w:rsidRPr="00167CB8">
        <w:rPr>
          <w:rStyle w:val="FootnoteReference"/>
        </w:rPr>
        <w:footnoteReference w:id="921"/>
      </w:r>
    </w:p>
    <w:p w14:paraId="0C2FA3B3" w14:textId="606DCBAA" w:rsidR="009A1D5D" w:rsidRPr="00167CB8" w:rsidRDefault="00787849" w:rsidP="009A1D5D">
      <w:r w:rsidRPr="00167CB8">
        <w:t xml:space="preserve">The </w:t>
      </w:r>
      <w:r w:rsidR="009A1D5D" w:rsidRPr="00167CB8">
        <w:t xml:space="preserve">Employment Rights Legal Service </w:t>
      </w:r>
      <w:r w:rsidR="00FC6C40" w:rsidRPr="00167CB8">
        <w:t>submits that</w:t>
      </w:r>
      <w:r w:rsidR="009A1D5D" w:rsidRPr="00167CB8">
        <w:t xml:space="preserve"> the scope of anti-discrimination coverage under the </w:t>
      </w:r>
      <w:r w:rsidR="00E60C76" w:rsidRPr="00167CB8">
        <w:t>Fair Work Act</w:t>
      </w:r>
      <w:r w:rsidR="009A1D5D" w:rsidRPr="00167CB8">
        <w:t xml:space="preserve"> is </w:t>
      </w:r>
      <w:r w:rsidRPr="00167CB8">
        <w:t xml:space="preserve">limited </w:t>
      </w:r>
      <w:r w:rsidR="009A1D5D" w:rsidRPr="00167CB8">
        <w:t xml:space="preserve">by </w:t>
      </w:r>
      <w:r w:rsidR="00FC6C40" w:rsidRPr="00167CB8">
        <w:t>the exclusion in</w:t>
      </w:r>
      <w:r w:rsidR="009A1D5D" w:rsidRPr="00167CB8">
        <w:t xml:space="preserve"> s</w:t>
      </w:r>
      <w:r w:rsidR="00817E65" w:rsidRPr="00167CB8">
        <w:t> </w:t>
      </w:r>
      <w:r w:rsidR="009A1D5D" w:rsidRPr="00167CB8">
        <w:t>351(2)(a</w:t>
      </w:r>
      <w:r w:rsidR="00FC6C40" w:rsidRPr="00167CB8">
        <w:t xml:space="preserve">) that provides action in not unlawful under that provision, where the action is not unlawful on </w:t>
      </w:r>
      <w:r w:rsidR="008C39EE" w:rsidRPr="00167CB8">
        <w:t xml:space="preserve">other federal or state and territory </w:t>
      </w:r>
      <w:r w:rsidR="00FC6C40" w:rsidRPr="00167CB8">
        <w:t>anti-discriminati</w:t>
      </w:r>
      <w:r w:rsidR="008C39EE" w:rsidRPr="00167CB8">
        <w:t>on laws</w:t>
      </w:r>
      <w:r w:rsidR="009A1D5D" w:rsidRPr="00167CB8">
        <w:t>. The submission notes that</w:t>
      </w:r>
      <w:r w:rsidR="00817E65" w:rsidRPr="00167CB8">
        <w:t>,</w:t>
      </w:r>
      <w:r w:rsidR="009A1D5D" w:rsidRPr="00167CB8">
        <w:t xml:space="preserve"> while gender identity and intersex status is protected under the </w:t>
      </w:r>
      <w:r w:rsidR="00E60C76" w:rsidRPr="00167CB8">
        <w:t>Fair Work Act</w:t>
      </w:r>
      <w:r w:rsidR="009A1D5D" w:rsidRPr="00167CB8">
        <w:t xml:space="preserve">, the </w:t>
      </w:r>
      <w:r w:rsidR="009A1D5D" w:rsidRPr="00167CB8">
        <w:rPr>
          <w:i/>
        </w:rPr>
        <w:t xml:space="preserve">Anti-Discrimination Act 1977 </w:t>
      </w:r>
      <w:r w:rsidR="009A1D5D" w:rsidRPr="00167CB8">
        <w:t xml:space="preserve">(NSW) provides expanded coverage for expanded gender identity if they are non-binary or gender diverse, which is not applicable under the </w:t>
      </w:r>
      <w:r w:rsidR="00E60C76" w:rsidRPr="00167CB8">
        <w:t>Fair Work Act</w:t>
      </w:r>
      <w:r w:rsidR="009A1D5D" w:rsidRPr="00167CB8">
        <w:t>.</w:t>
      </w:r>
      <w:r w:rsidR="009A1D5D" w:rsidRPr="00167CB8">
        <w:rPr>
          <w:rStyle w:val="FootnoteReference"/>
        </w:rPr>
        <w:footnoteReference w:id="922"/>
      </w:r>
    </w:p>
    <w:p w14:paraId="1AA7BDCE" w14:textId="643894F3" w:rsidR="009A1D5D" w:rsidRPr="00167CB8" w:rsidRDefault="00FE3951" w:rsidP="009A1D5D">
      <w:pPr>
        <w:rPr>
          <w:rFonts w:eastAsia="Times New Roman"/>
        </w:rPr>
      </w:pPr>
      <w:r w:rsidRPr="00167CB8">
        <w:t>T</w:t>
      </w:r>
      <w:r w:rsidR="009A1D5D" w:rsidRPr="00167CB8">
        <w:t xml:space="preserve">he Review Panel is aware </w:t>
      </w:r>
      <w:r w:rsidR="008F6628" w:rsidRPr="00167CB8">
        <w:t xml:space="preserve">that this exception </w:t>
      </w:r>
      <w:r w:rsidR="00817E65" w:rsidRPr="00167CB8">
        <w:t xml:space="preserve">was </w:t>
      </w:r>
      <w:r w:rsidR="008F6628" w:rsidRPr="00167CB8">
        <w:t xml:space="preserve">considered in </w:t>
      </w:r>
      <w:r w:rsidR="009A1D5D" w:rsidRPr="00167CB8">
        <w:t>a 2023 Federal Court</w:t>
      </w:r>
      <w:r w:rsidR="00563EC1" w:rsidRPr="00167CB8">
        <w:t xml:space="preserve"> of Australia (FCA) appeal</w:t>
      </w:r>
      <w:r w:rsidR="009A1D5D" w:rsidRPr="00167CB8">
        <w:t xml:space="preserve"> decision (</w:t>
      </w:r>
      <w:r w:rsidR="009A1D5D" w:rsidRPr="00167CB8">
        <w:rPr>
          <w:i/>
          <w:iCs/>
        </w:rPr>
        <w:t>CFMMEU v Quirk</w:t>
      </w:r>
      <w:r w:rsidR="009A1D5D" w:rsidRPr="00167CB8">
        <w:t>)</w:t>
      </w:r>
      <w:r w:rsidR="00817E65" w:rsidRPr="00167CB8">
        <w:t>,</w:t>
      </w:r>
      <w:r w:rsidR="009A1D5D" w:rsidRPr="00167CB8" w:rsidDel="00563EC1">
        <w:t xml:space="preserve"> </w:t>
      </w:r>
      <w:r w:rsidR="00563EC1" w:rsidRPr="00167CB8">
        <w:t>where the Full Court of the FCA</w:t>
      </w:r>
      <w:r w:rsidR="009A1D5D" w:rsidRPr="00167CB8">
        <w:t xml:space="preserve"> held that the protection against adverse action does not operate in states or territories that do not prohibit discrimination on the same grounds.</w:t>
      </w:r>
      <w:r w:rsidR="009A1D5D" w:rsidRPr="00167CB8">
        <w:rPr>
          <w:rStyle w:val="FootnoteReference"/>
        </w:rPr>
        <w:footnoteReference w:id="923"/>
      </w:r>
      <w:r w:rsidR="009A1D5D" w:rsidRPr="00167CB8">
        <w:t xml:space="preserve"> The </w:t>
      </w:r>
      <w:r w:rsidR="009A1D5D" w:rsidRPr="00167CB8">
        <w:rPr>
          <w:rFonts w:eastAsia="Times New Roman"/>
        </w:rPr>
        <w:t xml:space="preserve">Australian Law Reform Commission has recommended that </w:t>
      </w:r>
      <w:r w:rsidR="00B04693" w:rsidRPr="00167CB8">
        <w:rPr>
          <w:rFonts w:eastAsia="Times New Roman"/>
        </w:rPr>
        <w:t xml:space="preserve">the Australian Government </w:t>
      </w:r>
      <w:r w:rsidR="009A1D5D" w:rsidRPr="00167CB8">
        <w:rPr>
          <w:rFonts w:eastAsia="Times New Roman"/>
        </w:rPr>
        <w:t>review the operation and impact of the ‘not unlawful’ exemption following this decision.</w:t>
      </w:r>
      <w:r w:rsidR="009A1D5D" w:rsidRPr="00167CB8">
        <w:rPr>
          <w:rStyle w:val="FootnoteReference"/>
          <w:rFonts w:eastAsia="Times New Roman"/>
        </w:rPr>
        <w:footnoteReference w:id="924"/>
      </w:r>
    </w:p>
    <w:p w14:paraId="30294F05" w14:textId="69B70CE9" w:rsidR="009A1D5D" w:rsidRPr="00167CB8" w:rsidRDefault="0024484D" w:rsidP="009A1D5D">
      <w:pPr>
        <w:pStyle w:val="Heading4"/>
        <w:rPr>
          <w:rFonts w:asciiTheme="minorHAnsi" w:hAnsiTheme="minorHAnsi"/>
        </w:rPr>
      </w:pPr>
      <w:bookmarkStart w:id="439" w:name="_Toc188003414"/>
      <w:bookmarkStart w:id="440" w:name="_Toc188277955"/>
      <w:bookmarkStart w:id="441" w:name="_Toc189260307"/>
      <w:bookmarkStart w:id="442" w:name="_Toc189393623"/>
      <w:r w:rsidRPr="00167CB8">
        <w:rPr>
          <w:rFonts w:asciiTheme="minorHAnsi" w:hAnsiTheme="minorHAnsi"/>
        </w:rPr>
        <w:lastRenderedPageBreak/>
        <w:t>29</w:t>
      </w:r>
      <w:r w:rsidR="001B77E5" w:rsidRPr="00167CB8">
        <w:rPr>
          <w:rFonts w:asciiTheme="minorHAnsi" w:hAnsiTheme="minorHAnsi"/>
        </w:rPr>
        <w:t>.3</w:t>
      </w:r>
      <w:r w:rsidR="009A1D5D" w:rsidRPr="00167CB8">
        <w:rPr>
          <w:rFonts w:asciiTheme="minorHAnsi" w:hAnsiTheme="minorHAnsi"/>
        </w:rPr>
        <w:t xml:space="preserve"> Findings </w:t>
      </w:r>
      <w:r w:rsidR="00477C8A" w:rsidRPr="00167CB8">
        <w:rPr>
          <w:rFonts w:asciiTheme="minorHAnsi" w:hAnsiTheme="minorHAnsi"/>
        </w:rPr>
        <w:t>and</w:t>
      </w:r>
      <w:r w:rsidR="009A1D5D" w:rsidRPr="00167CB8">
        <w:rPr>
          <w:rFonts w:asciiTheme="minorHAnsi" w:hAnsiTheme="minorHAnsi"/>
        </w:rPr>
        <w:t xml:space="preserve"> </w:t>
      </w:r>
      <w:r w:rsidR="00817E65" w:rsidRPr="00167CB8">
        <w:rPr>
          <w:rFonts w:asciiTheme="minorHAnsi" w:hAnsiTheme="minorHAnsi"/>
        </w:rPr>
        <w:t>r</w:t>
      </w:r>
      <w:r w:rsidR="009A1D5D" w:rsidRPr="00167CB8">
        <w:rPr>
          <w:rFonts w:asciiTheme="minorHAnsi" w:hAnsiTheme="minorHAnsi"/>
        </w:rPr>
        <w:t>ecommendations</w:t>
      </w:r>
      <w:bookmarkEnd w:id="439"/>
      <w:bookmarkEnd w:id="440"/>
      <w:bookmarkEnd w:id="441"/>
      <w:bookmarkEnd w:id="442"/>
    </w:p>
    <w:p w14:paraId="3BC93BB9" w14:textId="449F4924" w:rsidR="009A1D5D" w:rsidRPr="00167CB8" w:rsidRDefault="009A1D5D" w:rsidP="006000ED">
      <w:pPr>
        <w:rPr>
          <w:rFonts w:cstheme="minorHAnsi"/>
        </w:rPr>
      </w:pPr>
      <w:r w:rsidRPr="00167CB8">
        <w:rPr>
          <w:rFonts w:cstheme="minorHAnsi"/>
        </w:rPr>
        <w:t xml:space="preserve">The anti-discrimination and special measure amendments are directed at ensuring legislative consistency and supporting gender equality. There is no evidence to suggest that they are not operating as intended. </w:t>
      </w:r>
    </w:p>
    <w:p w14:paraId="3204F7EF" w14:textId="2DC5C9EA" w:rsidR="009A1D5D" w:rsidRPr="00167CB8" w:rsidRDefault="009A1D5D" w:rsidP="009A1D5D">
      <w:r w:rsidRPr="00167CB8">
        <w:rPr>
          <w:rFonts w:eastAsia="Times New Roman"/>
        </w:rPr>
        <w:t xml:space="preserve">Noting the interactions between Commonwealth, state and territory anti-discrimination laws, all governments should work together to ensure </w:t>
      </w:r>
      <w:r w:rsidR="0021528C" w:rsidRPr="00167CB8">
        <w:rPr>
          <w:rFonts w:eastAsia="Times New Roman"/>
        </w:rPr>
        <w:t xml:space="preserve">there is </w:t>
      </w:r>
      <w:r w:rsidRPr="00167CB8">
        <w:rPr>
          <w:rFonts w:eastAsia="Times New Roman"/>
        </w:rPr>
        <w:t xml:space="preserve">alignment and </w:t>
      </w:r>
      <w:r w:rsidR="0021528C" w:rsidRPr="00167CB8">
        <w:rPr>
          <w:rFonts w:eastAsia="Times New Roman"/>
        </w:rPr>
        <w:t xml:space="preserve">maximum </w:t>
      </w:r>
      <w:r w:rsidRPr="00167CB8">
        <w:rPr>
          <w:rFonts w:eastAsia="Times New Roman"/>
        </w:rPr>
        <w:t>effectiveness</w:t>
      </w:r>
      <w:r w:rsidR="0021528C" w:rsidRPr="00167CB8">
        <w:rPr>
          <w:rFonts w:eastAsia="Times New Roman"/>
        </w:rPr>
        <w:t xml:space="preserve"> of anti-discrimination protections</w:t>
      </w:r>
      <w:r w:rsidRPr="00167CB8">
        <w:rPr>
          <w:rFonts w:eastAsia="Times New Roman"/>
        </w:rPr>
        <w:t>, particularly when considering adding any new protected attributes.</w:t>
      </w:r>
    </w:p>
    <w:p w14:paraId="6E236493" w14:textId="1DC01C14" w:rsidR="00DB7AA6" w:rsidRPr="00167CB8" w:rsidRDefault="00DB7AA6" w:rsidP="009B58C1">
      <w:pPr>
        <w:pBdr>
          <w:top w:val="single" w:sz="4" w:space="1" w:color="auto"/>
          <w:left w:val="single" w:sz="4" w:space="4" w:color="auto"/>
          <w:bottom w:val="single" w:sz="4" w:space="1" w:color="auto"/>
          <w:right w:val="single" w:sz="4" w:space="4" w:color="auto"/>
        </w:pBdr>
        <w:shd w:val="clear" w:color="auto" w:fill="ECEDED" w:themeFill="accent6" w:themeFillTint="33"/>
      </w:pPr>
      <w:r w:rsidRPr="00167CB8">
        <w:t>Menopause, Perimenopause and Reproductive Health</w:t>
      </w:r>
    </w:p>
    <w:p w14:paraId="3F6DE0CF" w14:textId="114D95DF" w:rsidR="007321D0" w:rsidRPr="00167CB8" w:rsidRDefault="00EC7D93" w:rsidP="006000ED">
      <w:pPr>
        <w:pBdr>
          <w:top w:val="single" w:sz="4" w:space="1" w:color="auto"/>
          <w:left w:val="single" w:sz="4" w:space="4" w:color="auto"/>
          <w:bottom w:val="single" w:sz="4" w:space="1" w:color="auto"/>
          <w:right w:val="single" w:sz="4" w:space="4" w:color="auto"/>
        </w:pBdr>
        <w:shd w:val="clear" w:color="auto" w:fill="ECEDED" w:themeFill="accent6" w:themeFillTint="33"/>
      </w:pPr>
      <w:r w:rsidRPr="00167CB8">
        <w:t>Noting the broader goals of promoting job security and advancing gender equality, there is a growing body of evidence about women’s negative workplace experiences during perimenopause and menopause</w:t>
      </w:r>
      <w:r w:rsidR="00817E65" w:rsidRPr="00167CB8">
        <w:t>,</w:t>
      </w:r>
      <w:r w:rsidRPr="00167CB8">
        <w:t xml:space="preserve"> </w:t>
      </w:r>
      <w:r w:rsidR="00970870" w:rsidRPr="00167CB8">
        <w:t>and</w:t>
      </w:r>
      <w:r w:rsidRPr="00167CB8">
        <w:t xml:space="preserve"> </w:t>
      </w:r>
      <w:r w:rsidR="00817E65" w:rsidRPr="00167CB8">
        <w:t xml:space="preserve">this </w:t>
      </w:r>
      <w:r w:rsidRPr="00167CB8">
        <w:t>should be considered in the context of F</w:t>
      </w:r>
      <w:r w:rsidR="007321D0" w:rsidRPr="00167CB8">
        <w:t xml:space="preserve">air </w:t>
      </w:r>
      <w:r w:rsidRPr="00167CB8">
        <w:t>W</w:t>
      </w:r>
      <w:r w:rsidR="007321D0" w:rsidRPr="00167CB8">
        <w:t>ork</w:t>
      </w:r>
      <w:r w:rsidRPr="00167CB8">
        <w:t xml:space="preserve"> Act protections and entitlements. </w:t>
      </w:r>
      <w:r w:rsidR="007321D0" w:rsidRPr="00167CB8">
        <w:t xml:space="preserve">This is part of </w:t>
      </w:r>
      <w:r w:rsidR="00970870" w:rsidRPr="00167CB8">
        <w:t>a</w:t>
      </w:r>
      <w:r w:rsidR="007321D0" w:rsidRPr="00167CB8">
        <w:t xml:space="preserve"> broader </w:t>
      </w:r>
      <w:r w:rsidR="00970870" w:rsidRPr="00167CB8">
        <w:t xml:space="preserve">discussion </w:t>
      </w:r>
      <w:r w:rsidR="007321D0" w:rsidRPr="00167CB8">
        <w:t xml:space="preserve">about reproductive health impacts on workforce participation. </w:t>
      </w:r>
    </w:p>
    <w:p w14:paraId="6A165763" w14:textId="4129332B" w:rsidR="00EC7D93" w:rsidRPr="00167CB8" w:rsidRDefault="00EC7D93" w:rsidP="006000ED">
      <w:pPr>
        <w:pBdr>
          <w:top w:val="single" w:sz="4" w:space="1" w:color="auto"/>
          <w:left w:val="single" w:sz="4" w:space="4" w:color="auto"/>
          <w:bottom w:val="single" w:sz="4" w:space="1" w:color="auto"/>
          <w:right w:val="single" w:sz="4" w:space="4" w:color="auto"/>
        </w:pBdr>
        <w:shd w:val="clear" w:color="auto" w:fill="ECEDED" w:themeFill="accent6" w:themeFillTint="33"/>
      </w:pPr>
      <w:r w:rsidRPr="00167CB8">
        <w:t>Two recent parliamentary inquiries have considered the interactions between reproductive health and workplace relations and made recommendations for further consideration and research.</w:t>
      </w:r>
      <w:r w:rsidRPr="00167CB8">
        <w:rPr>
          <w:rStyle w:val="FootnoteReference"/>
        </w:rPr>
        <w:footnoteReference w:id="925"/>
      </w:r>
      <w:r w:rsidR="007321D0" w:rsidRPr="00167CB8">
        <w:t xml:space="preserve"> </w:t>
      </w:r>
      <w:r w:rsidR="00001B05" w:rsidRPr="00167CB8">
        <w:t xml:space="preserve">There is also a variety of domestic and international examples </w:t>
      </w:r>
      <w:r w:rsidR="00EA06D5" w:rsidRPr="00167CB8">
        <w:t xml:space="preserve">of additional </w:t>
      </w:r>
      <w:r w:rsidR="007D1DE7" w:rsidRPr="00167CB8">
        <w:t xml:space="preserve">leave </w:t>
      </w:r>
      <w:r w:rsidR="00EA06D5" w:rsidRPr="00167CB8">
        <w:t>entitlements</w:t>
      </w:r>
      <w:r w:rsidR="00EA06D5" w:rsidRPr="00167CB8">
        <w:rPr>
          <w:rFonts w:cstheme="minorHAnsi"/>
        </w:rPr>
        <w:t>.</w:t>
      </w:r>
      <w:r w:rsidR="00EA06D5" w:rsidRPr="00167CB8">
        <w:rPr>
          <w:rStyle w:val="FootnoteReference"/>
          <w:rFonts w:cstheme="minorHAnsi"/>
        </w:rPr>
        <w:footnoteReference w:id="926"/>
      </w:r>
    </w:p>
    <w:p w14:paraId="3EF02BB8" w14:textId="319EF11B" w:rsidR="007D1DE7" w:rsidRPr="00167CB8" w:rsidRDefault="00764217" w:rsidP="006000ED">
      <w:pPr>
        <w:pBdr>
          <w:top w:val="single" w:sz="4" w:space="1" w:color="auto"/>
          <w:left w:val="single" w:sz="4" w:space="4" w:color="auto"/>
          <w:bottom w:val="single" w:sz="4" w:space="1" w:color="auto"/>
          <w:right w:val="single" w:sz="4" w:space="4" w:color="auto"/>
        </w:pBdr>
        <w:shd w:val="clear" w:color="auto" w:fill="ECEDED" w:themeFill="accent6" w:themeFillTint="33"/>
      </w:pPr>
      <w:r w:rsidRPr="00167CB8">
        <w:t>T</w:t>
      </w:r>
      <w:r w:rsidR="007D1DE7" w:rsidRPr="00167CB8">
        <w:t>he key suggestions raised by stakeholders through consultations and in the media more broadly focus on including perimenopause and menopause (or reproductive health more broadly) as a protected attribute, to enliven the right to request flexible working arrangements, or as an additional leave entitlement.</w:t>
      </w:r>
      <w:r w:rsidR="002D63B1" w:rsidRPr="00167CB8">
        <w:t xml:space="preserve"> </w:t>
      </w:r>
      <w:r w:rsidR="007D1DE7" w:rsidRPr="00167CB8">
        <w:t>At this stage, further research and consideration is required before recommending legislative amendments.</w:t>
      </w:r>
    </w:p>
    <w:p w14:paraId="1EC9FEF3" w14:textId="6BA7D511" w:rsidR="007D1DE7" w:rsidRPr="00167CB8" w:rsidRDefault="007D1DE7" w:rsidP="006000ED">
      <w:pPr>
        <w:pBdr>
          <w:top w:val="single" w:sz="4" w:space="1" w:color="auto"/>
          <w:left w:val="single" w:sz="4" w:space="4" w:color="auto"/>
          <w:bottom w:val="single" w:sz="4" w:space="1" w:color="auto"/>
          <w:right w:val="single" w:sz="4" w:space="4" w:color="auto"/>
        </w:pBdr>
        <w:shd w:val="clear" w:color="auto" w:fill="ECEDED" w:themeFill="accent6" w:themeFillTint="33"/>
      </w:pPr>
      <w:r w:rsidRPr="00167CB8">
        <w:t xml:space="preserve">Based on the current evidence, the Review Panel sees merit in further </w:t>
      </w:r>
      <w:r w:rsidR="00B27577" w:rsidRPr="00167CB8">
        <w:t xml:space="preserve">exploring </w:t>
      </w:r>
      <w:r w:rsidRPr="00167CB8">
        <w:t xml:space="preserve">whether adverse action because of perimenopause and menopause would already be protected against (e.g. through the protected attributes for sex or gender identity). If not already </w:t>
      </w:r>
      <w:r w:rsidR="000B0342" w:rsidRPr="00167CB8">
        <w:t>captured by existing provisions</w:t>
      </w:r>
      <w:r w:rsidRPr="00167CB8">
        <w:t>,</w:t>
      </w:r>
      <w:r w:rsidR="004E69DC" w:rsidRPr="00167CB8">
        <w:t xml:space="preserve"> the Australian Government should undertake further research to consider</w:t>
      </w:r>
      <w:r w:rsidRPr="00167CB8">
        <w:t xml:space="preserve"> </w:t>
      </w:r>
      <w:r w:rsidR="00620EB7" w:rsidRPr="00167CB8">
        <w:t xml:space="preserve">whether </w:t>
      </w:r>
      <w:r w:rsidR="003A5CC3" w:rsidRPr="00167CB8">
        <w:t xml:space="preserve">such </w:t>
      </w:r>
      <w:r w:rsidR="00620EB7" w:rsidRPr="00167CB8">
        <w:t xml:space="preserve">amendments are </w:t>
      </w:r>
      <w:r w:rsidR="003A5CC3" w:rsidRPr="00167CB8">
        <w:t>appropriate</w:t>
      </w:r>
      <w:r w:rsidR="00620EB7" w:rsidRPr="00167CB8">
        <w:t xml:space="preserve">, noting the </w:t>
      </w:r>
      <w:r w:rsidR="00D15821" w:rsidRPr="00167CB8">
        <w:t xml:space="preserve">Australian </w:t>
      </w:r>
      <w:r w:rsidR="00620EB7" w:rsidRPr="00167CB8">
        <w:t>Government’s</w:t>
      </w:r>
      <w:r w:rsidR="004E69DC" w:rsidRPr="00167CB8">
        <w:t xml:space="preserve"> </w:t>
      </w:r>
      <w:r w:rsidRPr="00167CB8">
        <w:t xml:space="preserve">aims of promoting job security and gender equality. </w:t>
      </w:r>
    </w:p>
    <w:p w14:paraId="03B1C82D" w14:textId="68CBE16E" w:rsidR="002D63B1" w:rsidRPr="00167CB8" w:rsidRDefault="00B42FF8" w:rsidP="006000ED">
      <w:pPr>
        <w:pBdr>
          <w:top w:val="single" w:sz="4" w:space="1" w:color="auto"/>
          <w:left w:val="single" w:sz="4" w:space="4" w:color="auto"/>
          <w:bottom w:val="single" w:sz="4" w:space="1" w:color="auto"/>
          <w:right w:val="single" w:sz="4" w:space="4" w:color="auto"/>
        </w:pBdr>
        <w:shd w:val="clear" w:color="auto" w:fill="ECEDED" w:themeFill="accent6" w:themeFillTint="33"/>
        <w:rPr>
          <w:b/>
        </w:rPr>
      </w:pPr>
      <w:r w:rsidRPr="00167CB8">
        <w:rPr>
          <w:b/>
          <w:bCs/>
        </w:rPr>
        <w:t>Draft Recommendation 15:  The Australian Government should undertake further research and consider whether it is appropriate to extend the protected attributes in the Fair Work Act to cover perimenopause and menopause, as well as other reproductive health issues.</w:t>
      </w:r>
    </w:p>
    <w:p w14:paraId="2E32C754" w14:textId="6875E484" w:rsidR="009A1D5D" w:rsidRPr="00167CB8" w:rsidRDefault="00F63EE9" w:rsidP="009A1D5D">
      <w:pPr>
        <w:pStyle w:val="Heading3"/>
        <w:rPr>
          <w:rFonts w:asciiTheme="minorHAnsi" w:hAnsiTheme="minorHAnsi"/>
        </w:rPr>
      </w:pPr>
      <w:r w:rsidRPr="00167CB8">
        <w:rPr>
          <w:b w:val="0"/>
        </w:rPr>
        <w:br w:type="page"/>
      </w:r>
      <w:bookmarkStart w:id="443" w:name="_Toc188003416"/>
      <w:bookmarkStart w:id="444" w:name="_Toc188277957"/>
      <w:bookmarkStart w:id="445" w:name="_Toc189260308"/>
      <w:bookmarkStart w:id="446" w:name="_Toc189393624"/>
      <w:r w:rsidR="009B58C1" w:rsidRPr="00167CB8">
        <w:rPr>
          <w:rFonts w:asciiTheme="minorHAnsi" w:hAnsiTheme="minorHAnsi"/>
        </w:rPr>
        <w:lastRenderedPageBreak/>
        <w:t xml:space="preserve">Chapter </w:t>
      </w:r>
      <w:r w:rsidR="004B3BE8" w:rsidRPr="00167CB8">
        <w:rPr>
          <w:rFonts w:asciiTheme="minorHAnsi" w:hAnsiTheme="minorHAnsi"/>
        </w:rPr>
        <w:t>30</w:t>
      </w:r>
      <w:r w:rsidR="009B58C1" w:rsidRPr="00167CB8">
        <w:rPr>
          <w:rFonts w:asciiTheme="minorHAnsi" w:hAnsiTheme="minorHAnsi"/>
        </w:rPr>
        <w:t>.</w:t>
      </w:r>
      <w:r w:rsidR="009A1D5D" w:rsidRPr="00167CB8">
        <w:rPr>
          <w:rFonts w:asciiTheme="minorHAnsi" w:hAnsiTheme="minorHAnsi"/>
        </w:rPr>
        <w:t xml:space="preserve"> Fixed</w:t>
      </w:r>
      <w:r w:rsidR="00817E65" w:rsidRPr="00167CB8">
        <w:rPr>
          <w:rFonts w:asciiTheme="minorHAnsi" w:hAnsiTheme="minorHAnsi"/>
        </w:rPr>
        <w:t>-</w:t>
      </w:r>
      <w:r w:rsidR="009A1D5D" w:rsidRPr="00167CB8">
        <w:rPr>
          <w:rFonts w:asciiTheme="minorHAnsi" w:hAnsiTheme="minorHAnsi"/>
        </w:rPr>
        <w:t>term contracts</w:t>
      </w:r>
      <w:bookmarkEnd w:id="443"/>
      <w:bookmarkEnd w:id="444"/>
      <w:bookmarkEnd w:id="445"/>
      <w:bookmarkEnd w:id="446"/>
    </w:p>
    <w:p w14:paraId="6D15A181" w14:textId="76CA1694" w:rsidR="009A1D5D" w:rsidRPr="00167CB8" w:rsidRDefault="009A1D5D" w:rsidP="006000ED">
      <w:pPr>
        <w:rPr>
          <w:rFonts w:cstheme="minorHAnsi"/>
        </w:rPr>
      </w:pPr>
      <w:r w:rsidRPr="00167CB8">
        <w:rPr>
          <w:rFonts w:cstheme="minorHAnsi"/>
        </w:rPr>
        <w:t>In this chapter the focus is on Part 10 (Fixed</w:t>
      </w:r>
      <w:r w:rsidR="00817E65" w:rsidRPr="00167CB8">
        <w:rPr>
          <w:rFonts w:cstheme="minorHAnsi"/>
        </w:rPr>
        <w:t>-</w:t>
      </w:r>
      <w:r w:rsidRPr="00167CB8">
        <w:rPr>
          <w:rFonts w:cstheme="minorHAnsi"/>
        </w:rPr>
        <w:t xml:space="preserve">term contracts) </w:t>
      </w:r>
      <w:r w:rsidR="001A0FBC" w:rsidRPr="00167CB8">
        <w:rPr>
          <w:rFonts w:cstheme="minorHAnsi"/>
        </w:rPr>
        <w:t xml:space="preserve">of Schedule 1 of </w:t>
      </w:r>
      <w:r w:rsidRPr="00167CB8">
        <w:rPr>
          <w:rFonts w:cstheme="minorHAnsi"/>
        </w:rPr>
        <w:t xml:space="preserve">amendments in the </w:t>
      </w:r>
      <w:r w:rsidR="00D86F0F" w:rsidRPr="00167CB8">
        <w:rPr>
          <w:rFonts w:cstheme="minorHAnsi"/>
        </w:rPr>
        <w:t>Secure Jobs, Better Pay</w:t>
      </w:r>
      <w:r w:rsidRPr="00167CB8">
        <w:rPr>
          <w:rFonts w:cstheme="minorHAnsi"/>
        </w:rPr>
        <w:t xml:space="preserve"> Act.  </w:t>
      </w:r>
    </w:p>
    <w:p w14:paraId="71E1B058" w14:textId="11233453" w:rsidR="009A1D5D" w:rsidRPr="00167CB8" w:rsidRDefault="0024484D" w:rsidP="009A1D5D">
      <w:pPr>
        <w:pStyle w:val="Heading4"/>
        <w:rPr>
          <w:rFonts w:asciiTheme="minorHAnsi" w:hAnsiTheme="minorHAnsi"/>
        </w:rPr>
      </w:pPr>
      <w:bookmarkStart w:id="447" w:name="_Toc188003417"/>
      <w:bookmarkStart w:id="448" w:name="_Toc188277958"/>
      <w:bookmarkStart w:id="449" w:name="_Toc189260309"/>
      <w:bookmarkStart w:id="450" w:name="_Toc189393625"/>
      <w:r w:rsidRPr="00167CB8">
        <w:rPr>
          <w:rFonts w:asciiTheme="minorHAnsi" w:hAnsiTheme="minorHAnsi"/>
        </w:rPr>
        <w:t>30</w:t>
      </w:r>
      <w:r w:rsidR="009B58C1" w:rsidRPr="00167CB8">
        <w:rPr>
          <w:rFonts w:asciiTheme="minorHAnsi" w:hAnsiTheme="minorHAnsi"/>
        </w:rPr>
        <w:t>.1</w:t>
      </w:r>
      <w:r w:rsidR="009A1D5D" w:rsidRPr="00167CB8">
        <w:rPr>
          <w:rFonts w:asciiTheme="minorHAnsi" w:hAnsiTheme="minorHAnsi"/>
        </w:rPr>
        <w:t xml:space="preserve"> Amendments </w:t>
      </w:r>
      <w:r w:rsidR="00817E65" w:rsidRPr="00167CB8">
        <w:rPr>
          <w:rFonts w:asciiTheme="minorHAnsi" w:hAnsiTheme="minorHAnsi"/>
        </w:rPr>
        <w:t>and i</w:t>
      </w:r>
      <w:r w:rsidR="009A1D5D" w:rsidRPr="00167CB8">
        <w:rPr>
          <w:rFonts w:asciiTheme="minorHAnsi" w:hAnsiTheme="minorHAnsi"/>
        </w:rPr>
        <w:t>ntent</w:t>
      </w:r>
      <w:bookmarkEnd w:id="447"/>
      <w:bookmarkEnd w:id="448"/>
      <w:bookmarkEnd w:id="449"/>
      <w:bookmarkEnd w:id="450"/>
    </w:p>
    <w:p w14:paraId="7A37221E" w14:textId="7C40BEC6" w:rsidR="009A1D5D" w:rsidRPr="00167CB8" w:rsidRDefault="009A1D5D" w:rsidP="006000ED">
      <w:r w:rsidRPr="00167CB8">
        <w:t>The</w:t>
      </w:r>
      <w:r w:rsidR="00DD6F1C" w:rsidRPr="00167CB8">
        <w:t>se</w:t>
      </w:r>
      <w:r w:rsidRPr="00167CB8">
        <w:t xml:space="preserve"> </w:t>
      </w:r>
      <w:r w:rsidR="00D86F0F" w:rsidRPr="00167CB8">
        <w:rPr>
          <w:rFonts w:cstheme="minorHAnsi"/>
        </w:rPr>
        <w:t>Secure Jobs, Better Pay</w:t>
      </w:r>
      <w:r w:rsidRPr="00167CB8">
        <w:t xml:space="preserve"> amendments </w:t>
      </w:r>
      <w:r w:rsidR="00DD6F1C" w:rsidRPr="00167CB8">
        <w:t>inserted</w:t>
      </w:r>
      <w:r w:rsidRPr="00167CB8">
        <w:t xml:space="preserve"> new Division 5</w:t>
      </w:r>
      <w:r w:rsidR="00F6185C" w:rsidRPr="00167CB8">
        <w:t>,</w:t>
      </w:r>
      <w:r w:rsidRPr="00167CB8">
        <w:t xml:space="preserve"> </w:t>
      </w:r>
      <w:r w:rsidR="0043110B" w:rsidRPr="00167CB8">
        <w:t xml:space="preserve">relating to </w:t>
      </w:r>
      <w:r w:rsidRPr="00167CB8">
        <w:t>fixed</w:t>
      </w:r>
      <w:r w:rsidR="00817E65" w:rsidRPr="00167CB8">
        <w:t>-</w:t>
      </w:r>
      <w:r w:rsidRPr="00167CB8">
        <w:t>term contracts</w:t>
      </w:r>
      <w:r w:rsidR="00F6185C" w:rsidRPr="00167CB8">
        <w:t>,</w:t>
      </w:r>
      <w:r w:rsidRPr="00167CB8">
        <w:t xml:space="preserve"> into Part 2-9 (Other terms and conditions of employment)</w:t>
      </w:r>
      <w:r w:rsidR="00F6185C" w:rsidRPr="00167CB8">
        <w:t xml:space="preserve"> of the </w:t>
      </w:r>
      <w:r w:rsidR="00E60C76" w:rsidRPr="00167CB8">
        <w:t>Fair Work Act</w:t>
      </w:r>
      <w:r w:rsidRPr="00167CB8">
        <w:t>. The following section summarises the main provisions within this new division.</w:t>
      </w:r>
    </w:p>
    <w:p w14:paraId="3024C65F" w14:textId="5AE3A984" w:rsidR="009A1D5D" w:rsidRPr="00167CB8" w:rsidRDefault="0024484D" w:rsidP="009A1D5D">
      <w:pPr>
        <w:pStyle w:val="Heading5"/>
        <w:rPr>
          <w:rFonts w:asciiTheme="minorHAnsi" w:hAnsiTheme="minorHAnsi"/>
        </w:rPr>
      </w:pPr>
      <w:bookmarkStart w:id="451" w:name="_Toc188003418"/>
      <w:r w:rsidRPr="00167CB8">
        <w:rPr>
          <w:rFonts w:asciiTheme="minorHAnsi" w:hAnsiTheme="minorHAnsi"/>
        </w:rPr>
        <w:t>30</w:t>
      </w:r>
      <w:r w:rsidR="009B58C1" w:rsidRPr="00167CB8">
        <w:rPr>
          <w:rFonts w:asciiTheme="minorHAnsi" w:hAnsiTheme="minorHAnsi"/>
        </w:rPr>
        <w:t>.1.1</w:t>
      </w:r>
      <w:r w:rsidR="009A1D5D" w:rsidRPr="00167CB8">
        <w:rPr>
          <w:rFonts w:asciiTheme="minorHAnsi" w:hAnsiTheme="minorHAnsi"/>
        </w:rPr>
        <w:t xml:space="preserve"> </w:t>
      </w:r>
      <w:r w:rsidR="00E42AC2" w:rsidRPr="00167CB8">
        <w:rPr>
          <w:rFonts w:asciiTheme="minorHAnsi" w:hAnsiTheme="minorHAnsi"/>
        </w:rPr>
        <w:t xml:space="preserve">Secure Jobs, Better Pay </w:t>
      </w:r>
      <w:r w:rsidR="00817E65" w:rsidRPr="00167CB8">
        <w:rPr>
          <w:rFonts w:asciiTheme="minorHAnsi" w:hAnsiTheme="minorHAnsi"/>
        </w:rPr>
        <w:t>a</w:t>
      </w:r>
      <w:r w:rsidR="00E42AC2" w:rsidRPr="00167CB8">
        <w:rPr>
          <w:rFonts w:asciiTheme="minorHAnsi" w:hAnsiTheme="minorHAnsi"/>
        </w:rPr>
        <w:t>mendments</w:t>
      </w:r>
      <w:bookmarkEnd w:id="451"/>
    </w:p>
    <w:p w14:paraId="0DDAEC87" w14:textId="6AE4EA1F" w:rsidR="009A1D5D" w:rsidRPr="00167CB8" w:rsidRDefault="009A1D5D" w:rsidP="00817E65">
      <w:pPr>
        <w:rPr>
          <w:lang w:eastAsia="en-AU"/>
        </w:rPr>
      </w:pPr>
      <w:r w:rsidRPr="00167CB8">
        <w:rPr>
          <w:lang w:eastAsia="en-AU"/>
        </w:rPr>
        <w:t xml:space="preserve">The key provisions in </w:t>
      </w:r>
      <w:r w:rsidR="00F31C1D" w:rsidRPr="00167CB8">
        <w:rPr>
          <w:lang w:eastAsia="en-AU"/>
        </w:rPr>
        <w:t>relation to fixed</w:t>
      </w:r>
      <w:r w:rsidR="006B272C" w:rsidRPr="00167CB8">
        <w:rPr>
          <w:lang w:eastAsia="en-AU"/>
        </w:rPr>
        <w:t>-</w:t>
      </w:r>
      <w:r w:rsidR="00F31C1D" w:rsidRPr="00167CB8">
        <w:rPr>
          <w:lang w:eastAsia="en-AU"/>
        </w:rPr>
        <w:t xml:space="preserve">term contracts </w:t>
      </w:r>
      <w:r w:rsidRPr="00167CB8">
        <w:rPr>
          <w:lang w:eastAsia="en-AU"/>
        </w:rPr>
        <w:t>include:</w:t>
      </w:r>
    </w:p>
    <w:p w14:paraId="2DDCDCCD" w14:textId="55087E8E" w:rsidR="00CC3A79" w:rsidRDefault="009A1D5D" w:rsidP="00EA3E2F">
      <w:pPr>
        <w:pStyle w:val="ListBullet"/>
      </w:pPr>
      <w:r w:rsidRPr="00167CB8">
        <w:t xml:space="preserve">Section 333E </w:t>
      </w:r>
      <w:r w:rsidR="00817E65" w:rsidRPr="00167CB8">
        <w:rPr>
          <w:rFonts w:ascii="Symbol" w:eastAsia="Symbol" w:hAnsi="Symbol" w:cs="Symbol"/>
        </w:rPr>
        <w:sym w:font="Symbol" w:char="F02D"/>
      </w:r>
      <w:r w:rsidRPr="00167CB8">
        <w:t xml:space="preserve"> </w:t>
      </w:r>
      <w:r w:rsidR="00735945" w:rsidRPr="00167CB8">
        <w:t xml:space="preserve">establishing </w:t>
      </w:r>
      <w:r w:rsidR="0058264C" w:rsidRPr="00167CB8">
        <w:t>a limitation on the use of</w:t>
      </w:r>
      <w:r w:rsidRPr="00167CB8">
        <w:t xml:space="preserve"> fixed-term contracts </w:t>
      </w:r>
      <w:r w:rsidR="00172B30" w:rsidRPr="00167CB8">
        <w:t xml:space="preserve">that </w:t>
      </w:r>
      <w:r w:rsidR="003C6261" w:rsidRPr="00167CB8">
        <w:t>are for</w:t>
      </w:r>
      <w:r w:rsidRPr="00167CB8">
        <w:t xml:space="preserve"> </w:t>
      </w:r>
      <w:r w:rsidR="008229DA" w:rsidRPr="00167CB8">
        <w:t>greater than 2 years</w:t>
      </w:r>
      <w:r w:rsidR="00B81F25" w:rsidRPr="00167CB8">
        <w:t xml:space="preserve"> (including renewals</w:t>
      </w:r>
      <w:r w:rsidR="00B8477D" w:rsidRPr="00167CB8">
        <w:t xml:space="preserve"> or extensions</w:t>
      </w:r>
      <w:r w:rsidR="00B81F25" w:rsidRPr="00167CB8">
        <w:t>)</w:t>
      </w:r>
      <w:r w:rsidR="005667B2" w:rsidRPr="00167CB8">
        <w:t xml:space="preserve"> </w:t>
      </w:r>
      <w:r w:rsidR="003C6261" w:rsidRPr="00167CB8">
        <w:t>or beyond</w:t>
      </w:r>
      <w:r w:rsidR="00CC3A79" w:rsidRPr="00167CB8">
        <w:t xml:space="preserve"> </w:t>
      </w:r>
      <w:r w:rsidR="00817E65" w:rsidRPr="00167CB8">
        <w:t xml:space="preserve">2 </w:t>
      </w:r>
      <w:r w:rsidR="00CC3A79" w:rsidRPr="00167CB8">
        <w:t>consecutive contracts</w:t>
      </w:r>
      <w:r w:rsidR="00B81F25" w:rsidRPr="00167CB8">
        <w:t xml:space="preserve"> relating to the same work</w:t>
      </w:r>
      <w:r w:rsidR="00CC3A79" w:rsidRPr="00167CB8">
        <w:t>.</w:t>
      </w:r>
    </w:p>
    <w:p w14:paraId="1F7C29F8" w14:textId="77777777" w:rsidR="005C409B" w:rsidRPr="00167CB8" w:rsidRDefault="005C409B" w:rsidP="005C409B">
      <w:pPr>
        <w:pStyle w:val="ListBullet"/>
        <w:numPr>
          <w:ilvl w:val="0"/>
          <w:numId w:val="0"/>
        </w:numPr>
        <w:ind w:left="644"/>
      </w:pPr>
    </w:p>
    <w:p w14:paraId="6EAFE04E" w14:textId="0E31E3C2" w:rsidR="009A1D5D" w:rsidRPr="00167CB8" w:rsidRDefault="009A1D5D" w:rsidP="00EA3E2F">
      <w:pPr>
        <w:pStyle w:val="ListBullet"/>
      </w:pPr>
      <w:r w:rsidRPr="00167CB8">
        <w:t xml:space="preserve">Section 333F </w:t>
      </w:r>
      <w:r w:rsidR="00721A76" w:rsidRPr="00167CB8">
        <w:t>–</w:t>
      </w:r>
      <w:r w:rsidRPr="00167CB8">
        <w:t xml:space="preserve"> </w:t>
      </w:r>
      <w:r w:rsidR="00721A76" w:rsidRPr="00167CB8">
        <w:t>th</w:t>
      </w:r>
      <w:r w:rsidR="00834BE6" w:rsidRPr="00167CB8">
        <w:t>e</w:t>
      </w:r>
      <w:r w:rsidR="00721A76" w:rsidRPr="00167CB8">
        <w:t xml:space="preserve"> limitation does not apply </w:t>
      </w:r>
      <w:r w:rsidR="00D065AB" w:rsidRPr="00167CB8">
        <w:t>where the employee is engaged</w:t>
      </w:r>
      <w:r w:rsidRPr="00167CB8">
        <w:t>:</w:t>
      </w:r>
    </w:p>
    <w:p w14:paraId="430A6C77" w14:textId="41EBF61C" w:rsidR="00C83347" w:rsidRPr="00167CB8" w:rsidRDefault="002679BC" w:rsidP="00567FCA">
      <w:pPr>
        <w:pStyle w:val="ListBullet"/>
        <w:numPr>
          <w:ilvl w:val="0"/>
          <w:numId w:val="41"/>
        </w:numPr>
      </w:pPr>
      <w:r w:rsidRPr="00167CB8">
        <w:t xml:space="preserve">to </w:t>
      </w:r>
      <w:r w:rsidR="00C83347" w:rsidRPr="00167CB8">
        <w:t>perform only a distinct and identifiable task involving specialised skills</w:t>
      </w:r>
    </w:p>
    <w:p w14:paraId="2030923E" w14:textId="144D78ED" w:rsidR="00C83347" w:rsidRPr="00167CB8" w:rsidRDefault="002679BC" w:rsidP="00567FCA">
      <w:pPr>
        <w:pStyle w:val="ListBullet"/>
        <w:numPr>
          <w:ilvl w:val="0"/>
          <w:numId w:val="41"/>
        </w:numPr>
      </w:pPr>
      <w:r w:rsidRPr="00167CB8">
        <w:t xml:space="preserve">under a </w:t>
      </w:r>
      <w:r w:rsidR="006A03FB" w:rsidRPr="00167CB8">
        <w:t>training arrangement</w:t>
      </w:r>
    </w:p>
    <w:p w14:paraId="26F742FB" w14:textId="7B24CD06" w:rsidR="006A03FB" w:rsidRPr="00167CB8" w:rsidRDefault="006A03FB" w:rsidP="00567FCA">
      <w:pPr>
        <w:pStyle w:val="ListBullet"/>
        <w:numPr>
          <w:ilvl w:val="0"/>
          <w:numId w:val="41"/>
        </w:numPr>
      </w:pPr>
      <w:r w:rsidRPr="00167CB8">
        <w:t>to undertake essential work during a peak demand period</w:t>
      </w:r>
    </w:p>
    <w:p w14:paraId="5C937867" w14:textId="0C6BC29C" w:rsidR="00C21403" w:rsidRDefault="00C21403" w:rsidP="00567FCA">
      <w:pPr>
        <w:pStyle w:val="ListBullet"/>
        <w:numPr>
          <w:ilvl w:val="0"/>
          <w:numId w:val="41"/>
        </w:numPr>
      </w:pPr>
      <w:r w:rsidRPr="00167CB8">
        <w:t>during emergency circumstances or during a temporary absence of another employee</w:t>
      </w:r>
      <w:r w:rsidR="00C326B2" w:rsidRPr="00167CB8">
        <w:t>.</w:t>
      </w:r>
    </w:p>
    <w:p w14:paraId="03267D6A" w14:textId="77777777" w:rsidR="000565E7" w:rsidRPr="00167CB8" w:rsidRDefault="000565E7" w:rsidP="000565E7">
      <w:pPr>
        <w:pStyle w:val="ListBullet"/>
        <w:numPr>
          <w:ilvl w:val="0"/>
          <w:numId w:val="0"/>
        </w:numPr>
        <w:ind w:left="1004"/>
      </w:pPr>
    </w:p>
    <w:p w14:paraId="06551F20" w14:textId="4DDA5079" w:rsidR="00C326B2" w:rsidRPr="00167CB8" w:rsidRDefault="00C326B2" w:rsidP="00EA3E2F">
      <w:pPr>
        <w:pStyle w:val="ListBullet"/>
      </w:pPr>
      <w:r w:rsidRPr="00167CB8">
        <w:t xml:space="preserve">Section 333F – the limitation also </w:t>
      </w:r>
      <w:r w:rsidR="00817E65" w:rsidRPr="00167CB8">
        <w:t xml:space="preserve">does not </w:t>
      </w:r>
      <w:r w:rsidRPr="00167CB8">
        <w:t>apply where</w:t>
      </w:r>
      <w:r w:rsidR="006075AD" w:rsidRPr="00167CB8">
        <w:t>:</w:t>
      </w:r>
    </w:p>
    <w:p w14:paraId="7B578AFB" w14:textId="4B4DFE02" w:rsidR="009A1D5D" w:rsidRPr="00167CB8" w:rsidRDefault="009A1D5D" w:rsidP="00567FCA">
      <w:pPr>
        <w:pStyle w:val="ListBullet"/>
        <w:numPr>
          <w:ilvl w:val="0"/>
          <w:numId w:val="41"/>
        </w:numPr>
      </w:pPr>
      <w:r w:rsidRPr="00167CB8">
        <w:t>the employee’s earnings under the contract are above the high income threshold (the threshold changes each year and from 1 July 2024 is equal to $175,000 for a full-time employee in a given year)</w:t>
      </w:r>
      <w:r w:rsidRPr="00167CB8">
        <w:rPr>
          <w:rStyle w:val="FootnoteReference"/>
          <w:rFonts w:eastAsia="Times New Roman" w:cs="Calibri"/>
        </w:rPr>
        <w:footnoteReference w:id="927"/>
      </w:r>
    </w:p>
    <w:p w14:paraId="687BB7E4" w14:textId="1B69502B" w:rsidR="009A1D5D" w:rsidRPr="00167CB8" w:rsidRDefault="00BC6349" w:rsidP="00567FCA">
      <w:pPr>
        <w:pStyle w:val="ListBullet"/>
        <w:numPr>
          <w:ilvl w:val="0"/>
          <w:numId w:val="41"/>
        </w:numPr>
      </w:pPr>
      <w:r w:rsidRPr="00167CB8">
        <w:t>t</w:t>
      </w:r>
      <w:r w:rsidR="009A1D5D" w:rsidRPr="00167CB8">
        <w:t>he contract relates to work that has contingent funding (e.g. wholly or funded in part by government) that is payable for a period of more than 2 years and there is no reasonable prospect that the funding will be renewed</w:t>
      </w:r>
    </w:p>
    <w:p w14:paraId="6D4A97A4" w14:textId="32353147" w:rsidR="009A1D5D" w:rsidRPr="00167CB8" w:rsidRDefault="00786920" w:rsidP="00567FCA">
      <w:pPr>
        <w:pStyle w:val="ListBullet"/>
        <w:numPr>
          <w:ilvl w:val="0"/>
          <w:numId w:val="41"/>
        </w:numPr>
      </w:pPr>
      <w:r w:rsidRPr="00167CB8">
        <w:t>t</w:t>
      </w:r>
      <w:r w:rsidR="009A1D5D" w:rsidRPr="00167CB8">
        <w:t xml:space="preserve">he contract relates to a </w:t>
      </w:r>
      <w:r w:rsidRPr="00167CB8">
        <w:t xml:space="preserve">governance </w:t>
      </w:r>
      <w:r w:rsidR="009A1D5D" w:rsidRPr="00167CB8">
        <w:t xml:space="preserve">position that </w:t>
      </w:r>
      <w:r w:rsidRPr="00167CB8">
        <w:t>is time limited under the governing rules of a corporation or association</w:t>
      </w:r>
    </w:p>
    <w:p w14:paraId="0396A66A" w14:textId="3DB0385A" w:rsidR="000A5F95" w:rsidRPr="00167CB8" w:rsidRDefault="000A5F95" w:rsidP="00567FCA">
      <w:pPr>
        <w:pStyle w:val="ListBullet"/>
        <w:numPr>
          <w:ilvl w:val="0"/>
          <w:numId w:val="41"/>
        </w:numPr>
      </w:pPr>
      <w:r w:rsidRPr="00167CB8">
        <w:t>a modern award includes a term permitting the use of fixed</w:t>
      </w:r>
      <w:r w:rsidR="00817E65" w:rsidRPr="00167CB8">
        <w:t>-</w:t>
      </w:r>
      <w:r w:rsidRPr="00167CB8">
        <w:t xml:space="preserve">term contracts in the circumstances limited by the </w:t>
      </w:r>
      <w:r w:rsidR="00886395" w:rsidRPr="00167CB8">
        <w:t>Fair Work Act</w:t>
      </w:r>
      <w:r w:rsidRPr="00167CB8">
        <w:t>, or</w:t>
      </w:r>
    </w:p>
    <w:p w14:paraId="087A8217" w14:textId="245E2E05" w:rsidR="002213EB" w:rsidRPr="00167CB8" w:rsidRDefault="000A5F95" w:rsidP="00567FCA">
      <w:pPr>
        <w:pStyle w:val="ListBullet"/>
        <w:numPr>
          <w:ilvl w:val="0"/>
          <w:numId w:val="41"/>
        </w:numPr>
      </w:pPr>
      <w:r w:rsidRPr="00167CB8">
        <w:t>t</w:t>
      </w:r>
      <w:r w:rsidR="002213EB" w:rsidRPr="00167CB8">
        <w:t>he Fair Work Regulations provide an exception.</w:t>
      </w:r>
    </w:p>
    <w:p w14:paraId="598CF736" w14:textId="77777777" w:rsidR="000565E7" w:rsidRDefault="000565E7" w:rsidP="000565E7">
      <w:pPr>
        <w:pStyle w:val="ListBullet"/>
        <w:numPr>
          <w:ilvl w:val="0"/>
          <w:numId w:val="0"/>
        </w:numPr>
        <w:ind w:left="644"/>
      </w:pPr>
    </w:p>
    <w:p w14:paraId="2EF60D56" w14:textId="76A6014E" w:rsidR="00170B51" w:rsidRPr="00167CB8" w:rsidRDefault="009A1D5D" w:rsidP="00EA3E2F">
      <w:pPr>
        <w:pStyle w:val="ListBullet"/>
      </w:pPr>
      <w:r w:rsidRPr="00167CB8">
        <w:t xml:space="preserve">Section 333H – </w:t>
      </w:r>
      <w:r w:rsidR="00927A33" w:rsidRPr="00167CB8">
        <w:t>prohibits</w:t>
      </w:r>
      <w:r w:rsidRPr="00167CB8">
        <w:t xml:space="preserve"> </w:t>
      </w:r>
      <w:r w:rsidR="004032E6" w:rsidRPr="00167CB8">
        <w:t xml:space="preserve">behaviour in order to avoid the </w:t>
      </w:r>
      <w:r w:rsidR="00051EBC" w:rsidRPr="00167CB8">
        <w:t>limitation</w:t>
      </w:r>
      <w:r w:rsidRPr="00167CB8">
        <w:t xml:space="preserve"> </w:t>
      </w:r>
      <w:r w:rsidR="00170B51" w:rsidRPr="00167CB8">
        <w:t>like:</w:t>
      </w:r>
    </w:p>
    <w:p w14:paraId="6523747A" w14:textId="2C6E9A15" w:rsidR="00170B51" w:rsidRPr="00167CB8" w:rsidRDefault="009A1D5D" w:rsidP="00567FCA">
      <w:pPr>
        <w:pStyle w:val="ListBullet"/>
        <w:numPr>
          <w:ilvl w:val="0"/>
          <w:numId w:val="41"/>
        </w:numPr>
      </w:pPr>
      <w:r w:rsidRPr="00167CB8">
        <w:t>terminating an employee’s employment for a period</w:t>
      </w:r>
    </w:p>
    <w:p w14:paraId="77AF7FA0" w14:textId="2A19D2C0" w:rsidR="00170B51" w:rsidRPr="00167CB8" w:rsidRDefault="009A1D5D" w:rsidP="00567FCA">
      <w:pPr>
        <w:pStyle w:val="ListBullet"/>
        <w:numPr>
          <w:ilvl w:val="0"/>
          <w:numId w:val="41"/>
        </w:numPr>
      </w:pPr>
      <w:r w:rsidRPr="00167CB8">
        <w:t>delaying re-engaging an employee for a period</w:t>
      </w:r>
    </w:p>
    <w:p w14:paraId="07A4F61D" w14:textId="3BB6CF4A" w:rsidR="00170B51" w:rsidRPr="00167CB8" w:rsidRDefault="009A1D5D" w:rsidP="00567FCA">
      <w:pPr>
        <w:pStyle w:val="ListBullet"/>
        <w:numPr>
          <w:ilvl w:val="0"/>
          <w:numId w:val="41"/>
        </w:numPr>
      </w:pPr>
      <w:r w:rsidRPr="00167CB8">
        <w:t>engaging another person to perform the same or substantially similar work</w:t>
      </w:r>
    </w:p>
    <w:p w14:paraId="61A86B68" w14:textId="2725709F" w:rsidR="009A1D5D" w:rsidRPr="00167CB8" w:rsidRDefault="009A1D5D" w:rsidP="00567FCA">
      <w:pPr>
        <w:pStyle w:val="ListBullet"/>
        <w:numPr>
          <w:ilvl w:val="0"/>
          <w:numId w:val="41"/>
        </w:numPr>
      </w:pPr>
      <w:r w:rsidRPr="00167CB8">
        <w:t>changing the nature of work or tasks the employee is required to perform</w:t>
      </w:r>
      <w:r w:rsidR="00CF0F7A" w:rsidRPr="00167CB8">
        <w:t>,</w:t>
      </w:r>
      <w:r w:rsidR="000A5CB3" w:rsidRPr="00167CB8">
        <w:t xml:space="preserve"> or </w:t>
      </w:r>
    </w:p>
    <w:p w14:paraId="0E95C179" w14:textId="3A6878F9" w:rsidR="000A5CB3" w:rsidRPr="00167CB8" w:rsidRDefault="009063E5" w:rsidP="00567FCA">
      <w:pPr>
        <w:pStyle w:val="ListBullet"/>
        <w:numPr>
          <w:ilvl w:val="0"/>
          <w:numId w:val="41"/>
        </w:numPr>
      </w:pPr>
      <w:r w:rsidRPr="00167CB8">
        <w:t>o</w:t>
      </w:r>
      <w:r w:rsidR="000A5CB3" w:rsidRPr="00167CB8">
        <w:t>therwise altering an employment relations</w:t>
      </w:r>
      <w:r w:rsidR="00BE6AA2" w:rsidRPr="00167CB8">
        <w:t>.</w:t>
      </w:r>
    </w:p>
    <w:p w14:paraId="2F5C268F" w14:textId="4AED1718" w:rsidR="00DF624A" w:rsidRDefault="009A1D5D" w:rsidP="00EA3E2F">
      <w:pPr>
        <w:pStyle w:val="ListBullet"/>
      </w:pPr>
      <w:r w:rsidRPr="00167CB8">
        <w:lastRenderedPageBreak/>
        <w:t>Section 333J</w:t>
      </w:r>
      <w:r w:rsidR="00BE6AA2" w:rsidRPr="00167CB8">
        <w:t xml:space="preserve"> </w:t>
      </w:r>
      <w:r w:rsidR="000655F0" w:rsidRPr="00167CB8">
        <w:t>– requiring t</w:t>
      </w:r>
      <w:r w:rsidRPr="00167CB8">
        <w:t xml:space="preserve">he </w:t>
      </w:r>
      <w:r w:rsidR="00BE6AA2" w:rsidRPr="00167CB8">
        <w:t>Fair Work Ombudsman (</w:t>
      </w:r>
      <w:r w:rsidRPr="00167CB8">
        <w:t>FWO</w:t>
      </w:r>
      <w:r w:rsidR="00BE6AA2" w:rsidRPr="00167CB8">
        <w:t>)</w:t>
      </w:r>
      <w:r w:rsidRPr="00167CB8">
        <w:t xml:space="preserve"> </w:t>
      </w:r>
      <w:r w:rsidR="000655F0" w:rsidRPr="00167CB8">
        <w:t>to</w:t>
      </w:r>
      <w:r w:rsidRPr="00167CB8">
        <w:t xml:space="preserve"> prepare and publish a Fixed Term Contract Information Statement </w:t>
      </w:r>
      <w:r w:rsidR="00DF624A" w:rsidRPr="00167CB8">
        <w:t>that</w:t>
      </w:r>
      <w:r w:rsidRPr="00167CB8">
        <w:t xml:space="preserve"> include</w:t>
      </w:r>
      <w:r w:rsidR="00DF624A" w:rsidRPr="00167CB8">
        <w:t>s</w:t>
      </w:r>
      <w:r w:rsidRPr="00167CB8">
        <w:t xml:space="preserve"> information about the limitations on fixed term contracts and the process to resolve disputes. </w:t>
      </w:r>
    </w:p>
    <w:p w14:paraId="5A0928B5" w14:textId="77777777" w:rsidR="00735D98" w:rsidRPr="00167CB8" w:rsidRDefault="00735D98" w:rsidP="00735D98">
      <w:pPr>
        <w:pStyle w:val="ListBullet"/>
        <w:numPr>
          <w:ilvl w:val="0"/>
          <w:numId w:val="0"/>
        </w:numPr>
        <w:ind w:left="644"/>
      </w:pPr>
    </w:p>
    <w:p w14:paraId="152D664D" w14:textId="3171D2C5" w:rsidR="009A1D5D" w:rsidRDefault="00DF624A" w:rsidP="00EA3E2F">
      <w:pPr>
        <w:pStyle w:val="ListBullet"/>
      </w:pPr>
      <w:r w:rsidRPr="00167CB8">
        <w:t>Section 333K – requiring e</w:t>
      </w:r>
      <w:r w:rsidR="009A1D5D" w:rsidRPr="00167CB8">
        <w:t xml:space="preserve">mployees </w:t>
      </w:r>
      <w:r w:rsidRPr="00167CB8">
        <w:t xml:space="preserve">to </w:t>
      </w:r>
      <w:r w:rsidR="009A1D5D" w:rsidRPr="00167CB8">
        <w:t xml:space="preserve">be given </w:t>
      </w:r>
      <w:r w:rsidRPr="00167CB8">
        <w:t>the</w:t>
      </w:r>
      <w:r w:rsidR="009A1D5D" w:rsidRPr="00167CB8">
        <w:t xml:space="preserve"> Fixed Term Contract Information Statement as soon as practicable after the contract is entered into. </w:t>
      </w:r>
    </w:p>
    <w:p w14:paraId="325D6125" w14:textId="77777777" w:rsidR="00735D98" w:rsidRPr="00167CB8" w:rsidRDefault="00735D98" w:rsidP="00735D98">
      <w:pPr>
        <w:pStyle w:val="ListBullet"/>
        <w:numPr>
          <w:ilvl w:val="0"/>
          <w:numId w:val="0"/>
        </w:numPr>
      </w:pPr>
    </w:p>
    <w:p w14:paraId="09BA5292" w14:textId="65474600" w:rsidR="009A1D5D" w:rsidRPr="00167CB8" w:rsidRDefault="00CD0631" w:rsidP="00EA3E2F">
      <w:pPr>
        <w:pStyle w:val="ListBullet"/>
      </w:pPr>
      <w:r w:rsidRPr="00167CB8">
        <w:t xml:space="preserve">Section 333L – establishing a dispute resolution process allowing the </w:t>
      </w:r>
      <w:r w:rsidR="00BE6AA2" w:rsidRPr="00167CB8">
        <w:t>Fair Work Commission (</w:t>
      </w:r>
      <w:r w:rsidRPr="00167CB8">
        <w:t>FWC</w:t>
      </w:r>
      <w:r w:rsidR="00BE6AA2" w:rsidRPr="00167CB8">
        <w:t>)</w:t>
      </w:r>
      <w:r w:rsidRPr="00167CB8">
        <w:t xml:space="preserve"> to deal with disputes after </w:t>
      </w:r>
      <w:r w:rsidR="00C65BE3" w:rsidRPr="00167CB8">
        <w:t>attempts have been made to resolve disputes at the workplace level. Where there is agreement, the FWC may arbitrate the dispute.</w:t>
      </w:r>
    </w:p>
    <w:p w14:paraId="37D05E07" w14:textId="6F3B24EB" w:rsidR="00E73A40" w:rsidRPr="00167CB8" w:rsidRDefault="00E73A40" w:rsidP="006000ED">
      <w:pPr>
        <w:spacing w:before="100" w:beforeAutospacing="1" w:after="240"/>
        <w:rPr>
          <w:rFonts w:eastAsia="Times New Roman" w:cs="Calibri"/>
          <w:lang w:eastAsia="en-AU"/>
        </w:rPr>
      </w:pPr>
      <w:r w:rsidRPr="00167CB8">
        <w:rPr>
          <w:rFonts w:eastAsia="Times New Roman" w:cs="Calibri"/>
          <w:lang w:eastAsia="en-AU"/>
        </w:rPr>
        <w:t>If a fixed</w:t>
      </w:r>
      <w:r w:rsidR="00BE6AA2" w:rsidRPr="00167CB8">
        <w:rPr>
          <w:rFonts w:eastAsia="Times New Roman" w:cs="Calibri"/>
          <w:lang w:eastAsia="en-AU"/>
        </w:rPr>
        <w:t>-</w:t>
      </w:r>
      <w:r w:rsidRPr="00167CB8">
        <w:rPr>
          <w:rFonts w:eastAsia="Times New Roman" w:cs="Calibri"/>
          <w:lang w:eastAsia="en-AU"/>
        </w:rPr>
        <w:t xml:space="preserve">term contract </w:t>
      </w:r>
      <w:r w:rsidR="00007044" w:rsidRPr="00167CB8">
        <w:rPr>
          <w:rFonts w:eastAsia="Times New Roman" w:cs="Calibri"/>
          <w:lang w:eastAsia="en-AU"/>
        </w:rPr>
        <w:t>includes a term that is covered by</w:t>
      </w:r>
      <w:r w:rsidRPr="00167CB8">
        <w:rPr>
          <w:rFonts w:eastAsia="Times New Roman" w:cs="Calibri"/>
          <w:lang w:eastAsia="en-AU"/>
        </w:rPr>
        <w:t xml:space="preserve"> the limitation</w:t>
      </w:r>
      <w:r w:rsidR="00007044" w:rsidRPr="00167CB8">
        <w:rPr>
          <w:rFonts w:eastAsia="Times New Roman" w:cs="Calibri"/>
          <w:lang w:eastAsia="en-AU"/>
        </w:rPr>
        <w:t xml:space="preserve"> (and no ex</w:t>
      </w:r>
      <w:r w:rsidR="00782B11" w:rsidRPr="00167CB8">
        <w:rPr>
          <w:rFonts w:eastAsia="Times New Roman" w:cs="Calibri"/>
          <w:lang w:eastAsia="en-AU"/>
        </w:rPr>
        <w:t>c</w:t>
      </w:r>
      <w:r w:rsidR="000C1538" w:rsidRPr="00167CB8">
        <w:rPr>
          <w:rFonts w:eastAsia="Times New Roman" w:cs="Calibri"/>
          <w:lang w:eastAsia="en-AU"/>
        </w:rPr>
        <w:t>e</w:t>
      </w:r>
      <w:r w:rsidR="00007044" w:rsidRPr="00167CB8">
        <w:rPr>
          <w:rFonts w:eastAsia="Times New Roman" w:cs="Calibri"/>
          <w:lang w:eastAsia="en-AU"/>
        </w:rPr>
        <w:t>ption applies)</w:t>
      </w:r>
      <w:r w:rsidRPr="00167CB8">
        <w:rPr>
          <w:rFonts w:eastAsia="Times New Roman" w:cs="Calibri"/>
          <w:lang w:eastAsia="en-AU"/>
        </w:rPr>
        <w:t xml:space="preserve">, the </w:t>
      </w:r>
      <w:r w:rsidR="00007044" w:rsidRPr="00167CB8">
        <w:rPr>
          <w:rFonts w:eastAsia="Times New Roman" w:cs="Calibri"/>
          <w:lang w:eastAsia="en-AU"/>
        </w:rPr>
        <w:t>term</w:t>
      </w:r>
      <w:r w:rsidRPr="00167CB8">
        <w:rPr>
          <w:rFonts w:eastAsia="Times New Roman" w:cs="Calibri"/>
          <w:lang w:eastAsia="en-AU"/>
        </w:rPr>
        <w:t xml:space="preserve"> will be of no effect </w:t>
      </w:r>
      <w:r w:rsidR="00E745EC" w:rsidRPr="00167CB8">
        <w:rPr>
          <w:rFonts w:eastAsia="Times New Roman" w:cs="Calibri"/>
          <w:lang w:eastAsia="en-AU"/>
        </w:rPr>
        <w:t>but otherwise does not affect the validity of any other term of the contract.</w:t>
      </w:r>
      <w:r w:rsidR="00E745EC" w:rsidRPr="00167CB8">
        <w:rPr>
          <w:rStyle w:val="FootnoteReference"/>
          <w:rFonts w:eastAsia="Times New Roman" w:cs="Calibri"/>
          <w:lang w:eastAsia="en-AU"/>
        </w:rPr>
        <w:footnoteReference w:id="928"/>
      </w:r>
      <w:r w:rsidR="00E745EC" w:rsidRPr="00167CB8">
        <w:rPr>
          <w:rFonts w:eastAsia="Times New Roman" w:cs="Calibri"/>
          <w:lang w:eastAsia="en-AU"/>
        </w:rPr>
        <w:t xml:space="preserve"> </w:t>
      </w:r>
      <w:r w:rsidR="00B73094" w:rsidRPr="00167CB8">
        <w:rPr>
          <w:rFonts w:eastAsia="Times New Roman" w:cs="Calibri"/>
          <w:lang w:eastAsia="en-AU"/>
        </w:rPr>
        <w:t xml:space="preserve">The effect of this will be </w:t>
      </w:r>
      <w:r w:rsidR="00496BBC" w:rsidRPr="00167CB8">
        <w:rPr>
          <w:rFonts w:eastAsia="Times New Roman" w:cs="Calibri"/>
          <w:lang w:eastAsia="en-AU"/>
        </w:rPr>
        <w:t>t</w:t>
      </w:r>
      <w:r w:rsidRPr="00167CB8">
        <w:rPr>
          <w:rFonts w:eastAsia="Times New Roman" w:cs="Calibri"/>
          <w:lang w:eastAsia="en-AU"/>
        </w:rPr>
        <w:t>he employee will be considered a permanent employee.</w:t>
      </w:r>
      <w:r w:rsidR="00380C21" w:rsidRPr="00167CB8">
        <w:rPr>
          <w:rStyle w:val="FootnoteReference"/>
          <w:rFonts w:eastAsia="Times New Roman" w:cs="Calibri"/>
          <w:lang w:eastAsia="en-AU"/>
        </w:rPr>
        <w:footnoteReference w:id="929"/>
      </w:r>
      <w:r w:rsidRPr="00167CB8">
        <w:rPr>
          <w:rFonts w:eastAsia="Times New Roman" w:cs="Calibri"/>
          <w:lang w:eastAsia="en-AU"/>
        </w:rPr>
        <w:t xml:space="preserve"> </w:t>
      </w:r>
    </w:p>
    <w:p w14:paraId="4BFE602A" w14:textId="2755EDEE" w:rsidR="009A1D5D" w:rsidRPr="00167CB8" w:rsidRDefault="009A1D5D" w:rsidP="006000ED">
      <w:r w:rsidRPr="00167CB8">
        <w:t>The</w:t>
      </w:r>
      <w:r w:rsidR="00395DF6" w:rsidRPr="00167CB8">
        <w:t>se</w:t>
      </w:r>
      <w:r w:rsidRPr="00167CB8">
        <w:t xml:space="preserve"> amendments came into effect from 6 December 2023.</w:t>
      </w:r>
    </w:p>
    <w:p w14:paraId="21422F8F" w14:textId="2BD75A4E" w:rsidR="00A7778F" w:rsidRPr="00167CB8" w:rsidRDefault="009A1D5D" w:rsidP="005D079F">
      <w:r w:rsidRPr="00167CB8">
        <w:t>Subsequent to these amendments</w:t>
      </w:r>
      <w:r w:rsidR="00BE6AA2" w:rsidRPr="00167CB8">
        <w:t>,</w:t>
      </w:r>
      <w:r w:rsidRPr="00167CB8">
        <w:t xml:space="preserve"> additional exceptions </w:t>
      </w:r>
      <w:r w:rsidR="00C65BE3" w:rsidRPr="00167CB8">
        <w:t>to the limitation have been added</w:t>
      </w:r>
      <w:r w:rsidRPr="00167CB8">
        <w:t xml:space="preserve"> the F</w:t>
      </w:r>
      <w:r w:rsidR="00106C12" w:rsidRPr="00167CB8">
        <w:t xml:space="preserve">air </w:t>
      </w:r>
      <w:r w:rsidRPr="00167CB8">
        <w:t>W</w:t>
      </w:r>
      <w:r w:rsidR="00106C12" w:rsidRPr="00167CB8">
        <w:t>ork</w:t>
      </w:r>
      <w:r w:rsidRPr="00167CB8">
        <w:t xml:space="preserve"> Regulations </w:t>
      </w:r>
      <w:r w:rsidR="00C65BE3" w:rsidRPr="00167CB8">
        <w:t>relating to</w:t>
      </w:r>
      <w:r w:rsidRPr="00167CB8">
        <w:t xml:space="preserve"> organised sport</w:t>
      </w:r>
      <w:r w:rsidR="00BE6AA2" w:rsidRPr="00167CB8">
        <w:t>;</w:t>
      </w:r>
      <w:r w:rsidRPr="00167CB8">
        <w:t xml:space="preserve"> high</w:t>
      </w:r>
      <w:r w:rsidR="00BE6AA2" w:rsidRPr="00167CB8">
        <w:t>-</w:t>
      </w:r>
      <w:r w:rsidRPr="00167CB8">
        <w:t>performance sport</w:t>
      </w:r>
      <w:r w:rsidR="00BE6AA2" w:rsidRPr="00167CB8">
        <w:t>;</w:t>
      </w:r>
      <w:r w:rsidRPr="00167CB8">
        <w:t xml:space="preserve"> higher education employees</w:t>
      </w:r>
      <w:r w:rsidR="00BE6AA2" w:rsidRPr="00167CB8">
        <w:t>;</w:t>
      </w:r>
      <w:r w:rsidRPr="00167CB8">
        <w:t xml:space="preserve"> charities and not-for-profit</w:t>
      </w:r>
      <w:r w:rsidR="00BE6AA2" w:rsidRPr="00167CB8">
        <w:t>,</w:t>
      </w:r>
      <w:r w:rsidRPr="00167CB8">
        <w:t xml:space="preserve"> medical or health research</w:t>
      </w:r>
      <w:r w:rsidR="00BE6AA2" w:rsidRPr="00167CB8">
        <w:t>;</w:t>
      </w:r>
      <w:r w:rsidRPr="00167CB8">
        <w:t xml:space="preserve"> and public hospitals. </w:t>
      </w:r>
    </w:p>
    <w:p w14:paraId="4F058004" w14:textId="0490455A" w:rsidR="00062999" w:rsidRPr="00167CB8" w:rsidRDefault="00260F29" w:rsidP="006000ED">
      <w:r w:rsidRPr="00167CB8">
        <w:t>The exceptions for organised sport, high</w:t>
      </w:r>
      <w:r w:rsidR="00BE6AA2" w:rsidRPr="00167CB8">
        <w:t>-</w:t>
      </w:r>
      <w:r w:rsidRPr="00167CB8">
        <w:t xml:space="preserve">performance sport and higher education </w:t>
      </w:r>
      <w:r w:rsidR="009B7D5B" w:rsidRPr="00167CB8">
        <w:t>apply to contracts entered into on or after 6 December 2023 and before 1 November 2025. The exceptions for charities and not-for-profit, medical or health research, and public hospitals</w:t>
      </w:r>
      <w:r w:rsidR="00BE6AA2" w:rsidRPr="00167CB8">
        <w:t>,</w:t>
      </w:r>
      <w:r w:rsidR="009B7D5B" w:rsidRPr="00167CB8">
        <w:t xml:space="preserve"> apply to contracts entered into on or after 1 November 2024 and before 1 November </w:t>
      </w:r>
      <w:r w:rsidR="009A1D5D" w:rsidRPr="00167CB8">
        <w:t>2025.</w:t>
      </w:r>
      <w:r w:rsidR="009A1D5D" w:rsidRPr="00167CB8">
        <w:rPr>
          <w:rStyle w:val="FootnoteReference"/>
        </w:rPr>
        <w:footnoteReference w:id="930"/>
      </w:r>
      <w:r w:rsidR="009A1D5D" w:rsidRPr="00167CB8">
        <w:t xml:space="preserve"> In other words, certain contracts entered into on or after 6 December 2023 and before 1 November 2025 are exempt from the provisions outlined above. </w:t>
      </w:r>
    </w:p>
    <w:p w14:paraId="5EDD501C" w14:textId="6B0A99DA" w:rsidR="009A1D5D" w:rsidRPr="00167CB8" w:rsidRDefault="009A1D5D" w:rsidP="006000ED">
      <w:r w:rsidRPr="00167CB8">
        <w:t>The live performance industry previously had an exception through the regulations</w:t>
      </w:r>
      <w:r w:rsidR="00BE6AA2" w:rsidRPr="00167CB8">
        <w:t>;</w:t>
      </w:r>
      <w:r w:rsidRPr="00167CB8">
        <w:t xml:space="preserve"> however</w:t>
      </w:r>
      <w:r w:rsidR="00BE6AA2" w:rsidRPr="00167CB8">
        <w:t>,</w:t>
      </w:r>
      <w:r w:rsidRPr="00167CB8">
        <w:t xml:space="preserve"> this expired on 1 November 2024 and the rules for fixed</w:t>
      </w:r>
      <w:r w:rsidR="00BE6AA2" w:rsidRPr="00167CB8">
        <w:t>-</w:t>
      </w:r>
      <w:r w:rsidRPr="00167CB8">
        <w:t>term contracts in the industry are now set out in the Live Performance Award.</w:t>
      </w:r>
      <w:r w:rsidRPr="00167CB8">
        <w:rPr>
          <w:vertAlign w:val="superscript"/>
        </w:rPr>
        <w:footnoteReference w:id="931"/>
      </w:r>
    </w:p>
    <w:p w14:paraId="6B5718B6" w14:textId="70942588" w:rsidR="009A1D5D" w:rsidRPr="00167CB8" w:rsidRDefault="009A1D5D" w:rsidP="00470AB9">
      <w:pPr>
        <w:pStyle w:val="Caption"/>
      </w:pPr>
      <w:r w:rsidRPr="00167CB8">
        <w:lastRenderedPageBreak/>
        <w:t xml:space="preserve">Figure </w:t>
      </w:r>
      <w:r w:rsidR="00467CEC" w:rsidRPr="00167CB8">
        <w:t>19</w:t>
      </w:r>
      <w:r w:rsidRPr="00167CB8">
        <w:t xml:space="preserve">: How the current </w:t>
      </w:r>
      <w:r w:rsidR="00A36A25" w:rsidRPr="00167CB8">
        <w:t xml:space="preserve">limitation </w:t>
      </w:r>
      <w:r w:rsidRPr="00167CB8">
        <w:t>on fixed</w:t>
      </w:r>
      <w:r w:rsidR="00BE6AA2" w:rsidRPr="00167CB8">
        <w:t>-</w:t>
      </w:r>
      <w:r w:rsidRPr="00167CB8">
        <w:t>term contracts works</w:t>
      </w:r>
    </w:p>
    <w:p w14:paraId="075BF675" w14:textId="77777777" w:rsidR="009A1D5D" w:rsidRPr="00167CB8" w:rsidRDefault="009A1D5D" w:rsidP="006000ED">
      <w:r w:rsidRPr="00167CB8">
        <w:rPr>
          <w:noProof/>
        </w:rPr>
        <w:drawing>
          <wp:inline distT="0" distB="0" distL="0" distR="0" wp14:anchorId="4966AE6E" wp14:editId="30E31FD0">
            <wp:extent cx="5496008" cy="4958467"/>
            <wp:effectExtent l="38100" t="19050" r="9525" b="33020"/>
            <wp:docPr id="626396862" name="Diagram 1">
              <a:extLst xmlns:a="http://schemas.openxmlformats.org/drawingml/2006/main">
                <a:ext uri="{FF2B5EF4-FFF2-40B4-BE49-F238E27FC236}">
                  <a16:creationId xmlns:a16="http://schemas.microsoft.com/office/drawing/2014/main" id="{9D1FBAB1-1EE8-1D81-D0E8-A5461CE8830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1CFE4FA" w14:textId="43A4E589" w:rsidR="00C10C0E" w:rsidRPr="00167CB8" w:rsidRDefault="00A10F3F" w:rsidP="00671D9D">
      <w:bookmarkStart w:id="452" w:name="_Toc188003419"/>
      <w:r w:rsidRPr="00167CB8">
        <w:t xml:space="preserve">The Review Panel notes that </w:t>
      </w:r>
      <w:r w:rsidRPr="00167CB8">
        <w:rPr>
          <w:i/>
          <w:iCs/>
        </w:rPr>
        <w:t xml:space="preserve">Fair Work Amendment (Closing Loopholes No. 2) Act 2024 </w:t>
      </w:r>
      <w:r w:rsidR="00BE6AA2" w:rsidRPr="00167CB8">
        <w:t xml:space="preserve">(Cth) </w:t>
      </w:r>
      <w:r w:rsidRPr="00167CB8">
        <w:t>also made amendments to the Fair Work Act provisions regarding the limitation on fixed</w:t>
      </w:r>
      <w:r w:rsidR="006B272C" w:rsidRPr="00167CB8">
        <w:t>-</w:t>
      </w:r>
      <w:r w:rsidRPr="00167CB8">
        <w:t>term contracts.</w:t>
      </w:r>
      <w:r w:rsidRPr="00167CB8">
        <w:rPr>
          <w:rStyle w:val="FootnoteReference"/>
        </w:rPr>
        <w:footnoteReference w:id="932"/>
      </w:r>
    </w:p>
    <w:p w14:paraId="6E0A8F30" w14:textId="28068127" w:rsidR="009A1D5D" w:rsidRPr="00167CB8" w:rsidRDefault="0024484D" w:rsidP="009A1D5D">
      <w:pPr>
        <w:pStyle w:val="Heading5"/>
        <w:rPr>
          <w:rFonts w:asciiTheme="minorHAnsi" w:hAnsiTheme="minorHAnsi"/>
        </w:rPr>
      </w:pPr>
      <w:r w:rsidRPr="00167CB8">
        <w:rPr>
          <w:rFonts w:asciiTheme="minorHAnsi" w:hAnsiTheme="minorHAnsi"/>
        </w:rPr>
        <w:t>30</w:t>
      </w:r>
      <w:r w:rsidR="009B58C1" w:rsidRPr="00167CB8">
        <w:rPr>
          <w:rFonts w:asciiTheme="minorHAnsi" w:hAnsiTheme="minorHAnsi"/>
        </w:rPr>
        <w:t>.1.2</w:t>
      </w:r>
      <w:r w:rsidR="009A1D5D" w:rsidRPr="00167CB8">
        <w:rPr>
          <w:rFonts w:asciiTheme="minorHAnsi" w:hAnsiTheme="minorHAnsi"/>
        </w:rPr>
        <w:t xml:space="preserve"> Intent of </w:t>
      </w:r>
      <w:r w:rsidR="00D86F0F"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BE6AA2" w:rsidRPr="00167CB8">
        <w:rPr>
          <w:rFonts w:asciiTheme="minorHAnsi" w:hAnsiTheme="minorHAnsi"/>
        </w:rPr>
        <w:t>a</w:t>
      </w:r>
      <w:r w:rsidR="009A1D5D" w:rsidRPr="00167CB8">
        <w:rPr>
          <w:rFonts w:asciiTheme="minorHAnsi" w:hAnsiTheme="minorHAnsi"/>
        </w:rPr>
        <w:t>mendments</w:t>
      </w:r>
      <w:bookmarkEnd w:id="452"/>
      <w:r w:rsidR="00E42AC2" w:rsidRPr="00167CB8" w:rsidDel="00E42AC2">
        <w:rPr>
          <w:rFonts w:asciiTheme="minorHAnsi" w:hAnsiTheme="minorHAnsi"/>
        </w:rPr>
        <w:t xml:space="preserve"> </w:t>
      </w:r>
    </w:p>
    <w:p w14:paraId="2624167B" w14:textId="2B7B1DD1" w:rsidR="009A1D5D" w:rsidRPr="00167CB8" w:rsidRDefault="009A1D5D" w:rsidP="006000ED">
      <w:pPr>
        <w:spacing w:before="100" w:beforeAutospacing="1" w:after="240"/>
        <w:rPr>
          <w:rFonts w:eastAsia="Times New Roman" w:cs="Calibri"/>
          <w:lang w:eastAsia="en-AU"/>
        </w:rPr>
      </w:pPr>
      <w:r w:rsidRPr="00167CB8">
        <w:rPr>
          <w:rFonts w:eastAsia="Times New Roman" w:cs="Calibri"/>
          <w:lang w:eastAsia="en-AU"/>
        </w:rPr>
        <w:t>The fixed</w:t>
      </w:r>
      <w:r w:rsidR="00BE6AA2" w:rsidRPr="00167CB8">
        <w:rPr>
          <w:rFonts w:eastAsia="Times New Roman" w:cs="Calibri"/>
          <w:lang w:eastAsia="en-AU"/>
        </w:rPr>
        <w:t>-</w:t>
      </w:r>
      <w:r w:rsidRPr="00167CB8">
        <w:rPr>
          <w:rFonts w:eastAsia="Times New Roman" w:cs="Calibri"/>
          <w:lang w:eastAsia="en-AU"/>
        </w:rPr>
        <w:t xml:space="preserve">term contract provisions are </w:t>
      </w:r>
      <w:r w:rsidR="00E85202" w:rsidRPr="00167CB8">
        <w:rPr>
          <w:rFonts w:eastAsia="Times New Roman" w:cs="Calibri"/>
          <w:lang w:eastAsia="en-AU"/>
        </w:rPr>
        <w:t xml:space="preserve">intended </w:t>
      </w:r>
      <w:r w:rsidRPr="00167CB8">
        <w:rPr>
          <w:rFonts w:eastAsia="Times New Roman" w:cs="Calibri"/>
          <w:lang w:eastAsia="en-AU"/>
        </w:rPr>
        <w:t xml:space="preserve">to limit the misuse of fixed-term contacts and, in so doing, enhance job security, reduce precarious employment and support fair working conditions. The amendments </w:t>
      </w:r>
      <w:r w:rsidR="00E85202" w:rsidRPr="00167CB8">
        <w:rPr>
          <w:rFonts w:eastAsia="Times New Roman" w:cs="Calibri"/>
          <w:lang w:eastAsia="en-AU"/>
        </w:rPr>
        <w:t>also</w:t>
      </w:r>
      <w:r w:rsidRPr="00167CB8">
        <w:rPr>
          <w:rFonts w:eastAsia="Times New Roman" w:cs="Calibri"/>
          <w:lang w:eastAsia="en-AU"/>
        </w:rPr>
        <w:t xml:space="preserve"> give effect to Australia’s obligations under Article 6 of the UN International Covenant on Economics, Social and Cultural Rights (ICESCR)</w:t>
      </w:r>
      <w:r w:rsidR="00FC0630" w:rsidRPr="00167CB8">
        <w:rPr>
          <w:rFonts w:eastAsia="Times New Roman" w:cs="Calibri"/>
          <w:lang w:eastAsia="en-AU"/>
        </w:rPr>
        <w:t xml:space="preserve"> to promote the right to work</w:t>
      </w:r>
      <w:r w:rsidR="00126DB5" w:rsidRPr="00167CB8">
        <w:rPr>
          <w:rFonts w:eastAsia="Times New Roman" w:cs="Calibri"/>
          <w:lang w:eastAsia="en-AU"/>
        </w:rPr>
        <w:t xml:space="preserve"> by ensuring workers have access to secure and stable employment</w:t>
      </w:r>
      <w:r w:rsidRPr="00167CB8">
        <w:rPr>
          <w:rFonts w:eastAsia="Times New Roman" w:cs="Calibri"/>
          <w:lang w:eastAsia="en-AU"/>
        </w:rPr>
        <w:t>.</w:t>
      </w:r>
      <w:r w:rsidRPr="00167CB8">
        <w:rPr>
          <w:rStyle w:val="FootnoteReference"/>
          <w:rFonts w:eastAsia="Times New Roman" w:cs="Calibri"/>
          <w:lang w:eastAsia="en-AU"/>
        </w:rPr>
        <w:footnoteReference w:id="933"/>
      </w:r>
      <w:r w:rsidRPr="00167CB8">
        <w:rPr>
          <w:rFonts w:eastAsia="Times New Roman" w:cs="Calibri"/>
          <w:lang w:eastAsia="en-AU"/>
        </w:rPr>
        <w:t xml:space="preserve"> </w:t>
      </w:r>
    </w:p>
    <w:p w14:paraId="517F31D7" w14:textId="69BA8FC1" w:rsidR="009A1D5D" w:rsidRPr="00167CB8" w:rsidRDefault="009A1D5D" w:rsidP="006000ED">
      <w:pPr>
        <w:spacing w:before="100" w:beforeAutospacing="1" w:after="240"/>
        <w:rPr>
          <w:rFonts w:eastAsia="Times New Roman" w:cs="Calibri"/>
          <w:lang w:eastAsia="en-AU"/>
        </w:rPr>
      </w:pPr>
      <w:r w:rsidRPr="00167CB8">
        <w:rPr>
          <w:rFonts w:eastAsia="Times New Roman" w:cs="Calibri"/>
          <w:lang w:eastAsia="en-AU"/>
        </w:rPr>
        <w:t xml:space="preserve">The then Minister for Employment and Workplace Relations, the Hon Tony Burke MP, noted in the </w:t>
      </w:r>
      <w:r w:rsidR="00BE6AA2" w:rsidRPr="00167CB8">
        <w:rPr>
          <w:rFonts w:eastAsia="Times New Roman" w:cs="Calibri"/>
          <w:lang w:eastAsia="en-AU"/>
        </w:rPr>
        <w:t>s</w:t>
      </w:r>
      <w:r w:rsidRPr="00167CB8">
        <w:rPr>
          <w:rFonts w:eastAsia="Times New Roman" w:cs="Calibri"/>
          <w:lang w:eastAsia="en-AU"/>
        </w:rPr>
        <w:t xml:space="preserve">econd </w:t>
      </w:r>
      <w:r w:rsidR="00BE6AA2" w:rsidRPr="00167CB8">
        <w:rPr>
          <w:rFonts w:eastAsia="Times New Roman" w:cs="Calibri"/>
          <w:lang w:eastAsia="en-AU"/>
        </w:rPr>
        <w:t>r</w:t>
      </w:r>
      <w:r w:rsidRPr="00167CB8">
        <w:rPr>
          <w:rFonts w:eastAsia="Times New Roman" w:cs="Calibri"/>
          <w:lang w:eastAsia="en-AU"/>
        </w:rPr>
        <w:t xml:space="preserve">eading speech for the </w:t>
      </w:r>
      <w:r w:rsidR="00A55F8E" w:rsidRPr="00167CB8">
        <w:rPr>
          <w:rFonts w:cstheme="minorHAnsi"/>
        </w:rPr>
        <w:t>Secure Jobs, Better Pay</w:t>
      </w:r>
      <w:r w:rsidRPr="00167CB8">
        <w:rPr>
          <w:rFonts w:eastAsia="Times New Roman" w:cs="Calibri"/>
          <w:lang w:eastAsia="en-AU"/>
        </w:rPr>
        <w:t xml:space="preserve"> Bill that </w:t>
      </w:r>
      <w:r w:rsidR="00BE6AA2" w:rsidRPr="00167CB8">
        <w:rPr>
          <w:rFonts w:eastAsia="Times New Roman" w:cs="Calibri"/>
          <w:lang w:eastAsia="en-AU"/>
        </w:rPr>
        <w:t>‘</w:t>
      </w:r>
      <w:r w:rsidRPr="00167CB8">
        <w:rPr>
          <w:rFonts w:eastAsia="Times New Roman" w:cs="Calibri"/>
          <w:lang w:eastAsia="en-AU"/>
        </w:rPr>
        <w:t>the number of workers on fixed</w:t>
      </w:r>
      <w:r w:rsidR="006B272C" w:rsidRPr="00167CB8">
        <w:rPr>
          <w:rFonts w:eastAsia="Times New Roman" w:cs="Calibri"/>
          <w:lang w:eastAsia="en-AU"/>
        </w:rPr>
        <w:t>-</w:t>
      </w:r>
      <w:r w:rsidRPr="00167CB8">
        <w:rPr>
          <w:rFonts w:eastAsia="Times New Roman" w:cs="Calibri"/>
          <w:lang w:eastAsia="en-AU"/>
        </w:rPr>
        <w:t>term contracts ha</w:t>
      </w:r>
      <w:r w:rsidR="00817AF6" w:rsidRPr="00167CB8">
        <w:rPr>
          <w:rFonts w:eastAsia="Times New Roman" w:cs="Calibri"/>
          <w:lang w:eastAsia="en-AU"/>
        </w:rPr>
        <w:t>s</w:t>
      </w:r>
      <w:r w:rsidRPr="00167CB8">
        <w:rPr>
          <w:rFonts w:eastAsia="Times New Roman" w:cs="Calibri"/>
          <w:lang w:eastAsia="en-AU"/>
        </w:rPr>
        <w:t xml:space="preserve"> increased by over 50 per cent since 1998</w:t>
      </w:r>
      <w:r w:rsidR="00BE6AA2" w:rsidRPr="00167CB8">
        <w:rPr>
          <w:rFonts w:eastAsia="Times New Roman" w:cs="Calibri"/>
          <w:lang w:eastAsia="en-AU"/>
        </w:rPr>
        <w:t>’</w:t>
      </w:r>
      <w:r w:rsidRPr="00167CB8">
        <w:rPr>
          <w:rFonts w:eastAsia="Times New Roman" w:cs="Calibri"/>
          <w:lang w:eastAsia="en-AU"/>
        </w:rPr>
        <w:t>.</w:t>
      </w:r>
      <w:r w:rsidR="00543A6C" w:rsidRPr="00167CB8">
        <w:rPr>
          <w:rStyle w:val="FootnoteReference"/>
          <w:rFonts w:eastAsia="Times New Roman" w:cs="Calibri"/>
          <w:lang w:eastAsia="en-AU"/>
        </w:rPr>
        <w:footnoteReference w:id="934"/>
      </w:r>
      <w:r w:rsidRPr="00167CB8">
        <w:rPr>
          <w:rFonts w:eastAsia="Times New Roman" w:cs="Calibri"/>
          <w:lang w:eastAsia="en-AU"/>
        </w:rPr>
        <w:t xml:space="preserve"> The Minister also noted </w:t>
      </w:r>
      <w:r w:rsidR="00817AF6" w:rsidRPr="00167CB8">
        <w:rPr>
          <w:rFonts w:eastAsia="Times New Roman" w:cs="Calibri"/>
          <w:lang w:eastAsia="en-AU"/>
        </w:rPr>
        <w:lastRenderedPageBreak/>
        <w:t>that</w:t>
      </w:r>
      <w:r w:rsidRPr="00167CB8">
        <w:rPr>
          <w:rFonts w:eastAsia="Times New Roman" w:cs="Calibri"/>
          <w:lang w:eastAsia="en-AU"/>
        </w:rPr>
        <w:t xml:space="preserve"> workers on fixed</w:t>
      </w:r>
      <w:r w:rsidR="00BE6AA2" w:rsidRPr="00167CB8">
        <w:rPr>
          <w:rFonts w:eastAsia="Times New Roman" w:cs="Calibri"/>
          <w:lang w:eastAsia="en-AU"/>
        </w:rPr>
        <w:t>-</w:t>
      </w:r>
      <w:r w:rsidRPr="00167CB8">
        <w:rPr>
          <w:rFonts w:eastAsia="Times New Roman" w:cs="Calibri"/>
          <w:lang w:eastAsia="en-AU"/>
        </w:rPr>
        <w:t xml:space="preserve">term contracts </w:t>
      </w:r>
      <w:r w:rsidR="00817AF6" w:rsidRPr="00167CB8">
        <w:rPr>
          <w:rFonts w:eastAsia="Times New Roman" w:cs="Calibri"/>
          <w:lang w:eastAsia="en-AU"/>
        </w:rPr>
        <w:t>are</w:t>
      </w:r>
      <w:r w:rsidRPr="00167CB8">
        <w:rPr>
          <w:rFonts w:eastAsia="Times New Roman" w:cs="Calibri"/>
          <w:lang w:eastAsia="en-AU"/>
        </w:rPr>
        <w:t xml:space="preserve"> more likely to be women</w:t>
      </w:r>
      <w:r w:rsidR="00BE176D" w:rsidRPr="00167CB8">
        <w:rPr>
          <w:rFonts w:eastAsia="Times New Roman" w:cs="Calibri"/>
          <w:lang w:eastAsia="en-AU"/>
        </w:rPr>
        <w:t>,</w:t>
      </w:r>
      <w:r w:rsidRPr="00167CB8">
        <w:rPr>
          <w:rFonts w:eastAsia="Times New Roman" w:cs="Calibri"/>
          <w:lang w:eastAsia="en-AU"/>
        </w:rPr>
        <w:t xml:space="preserve"> and 40</w:t>
      </w:r>
      <w:r w:rsidR="00BE6AA2" w:rsidRPr="00167CB8">
        <w:rPr>
          <w:rFonts w:eastAsia="Times New Roman" w:cs="Calibri"/>
          <w:lang w:eastAsia="en-AU"/>
        </w:rPr>
        <w:t>%</w:t>
      </w:r>
      <w:r w:rsidRPr="00167CB8">
        <w:rPr>
          <w:rFonts w:eastAsia="Times New Roman" w:cs="Calibri"/>
          <w:lang w:eastAsia="en-AU"/>
        </w:rPr>
        <w:t xml:space="preserve"> </w:t>
      </w:r>
      <w:r w:rsidR="00BE176D" w:rsidRPr="00167CB8">
        <w:rPr>
          <w:rFonts w:eastAsia="Times New Roman" w:cs="Calibri"/>
          <w:lang w:eastAsia="en-AU"/>
        </w:rPr>
        <w:t>of workers on fixed</w:t>
      </w:r>
      <w:r w:rsidR="00BE6AA2" w:rsidRPr="00167CB8">
        <w:rPr>
          <w:rFonts w:eastAsia="Times New Roman" w:cs="Calibri"/>
          <w:lang w:eastAsia="en-AU"/>
        </w:rPr>
        <w:t>-</w:t>
      </w:r>
      <w:r w:rsidR="00BE176D" w:rsidRPr="00167CB8">
        <w:rPr>
          <w:rFonts w:eastAsia="Times New Roman" w:cs="Calibri"/>
          <w:lang w:eastAsia="en-AU"/>
        </w:rPr>
        <w:t xml:space="preserve">term contracts have been </w:t>
      </w:r>
      <w:r w:rsidRPr="00167CB8">
        <w:rPr>
          <w:rFonts w:eastAsia="Times New Roman" w:cs="Calibri"/>
          <w:lang w:eastAsia="en-AU"/>
        </w:rPr>
        <w:t xml:space="preserve">with their employers for more than </w:t>
      </w:r>
      <w:r w:rsidR="00BE6AA2" w:rsidRPr="00167CB8">
        <w:rPr>
          <w:rFonts w:eastAsia="Times New Roman" w:cs="Calibri"/>
          <w:lang w:eastAsia="en-AU"/>
        </w:rPr>
        <w:t xml:space="preserve">2 </w:t>
      </w:r>
      <w:r w:rsidRPr="00167CB8">
        <w:rPr>
          <w:rFonts w:eastAsia="Times New Roman" w:cs="Calibri"/>
          <w:lang w:eastAsia="en-AU"/>
        </w:rPr>
        <w:t>years.</w:t>
      </w:r>
      <w:r w:rsidR="00CC717B" w:rsidRPr="00167CB8">
        <w:rPr>
          <w:rStyle w:val="FootnoteReference"/>
          <w:rFonts w:eastAsia="Times New Roman" w:cs="Calibri"/>
          <w:lang w:eastAsia="en-AU"/>
        </w:rPr>
        <w:footnoteReference w:id="935"/>
      </w:r>
    </w:p>
    <w:p w14:paraId="17A7F80C" w14:textId="221D0FAA" w:rsidR="009A1D5D" w:rsidRPr="00167CB8" w:rsidRDefault="009A1D5D" w:rsidP="006000ED">
      <w:pPr>
        <w:rPr>
          <w:rFonts w:eastAsia="Times New Roman" w:cs="Calibri"/>
          <w:lang w:eastAsia="en-AU"/>
        </w:rPr>
      </w:pPr>
      <w:r w:rsidRPr="00167CB8">
        <w:rPr>
          <w:rFonts w:eastAsia="Times New Roman" w:cs="Calibri"/>
          <w:lang w:eastAsia="en-AU"/>
        </w:rPr>
        <w:t xml:space="preserve">The Explanatory Memorandum </w:t>
      </w:r>
      <w:r w:rsidR="007B3BB9" w:rsidRPr="00167CB8">
        <w:rPr>
          <w:rFonts w:eastAsia="Times New Roman" w:cs="Calibri"/>
          <w:lang w:eastAsia="en-AU"/>
        </w:rPr>
        <w:t>acknowledged</w:t>
      </w:r>
      <w:r w:rsidRPr="00167CB8">
        <w:rPr>
          <w:rFonts w:eastAsia="Times New Roman" w:cs="Calibri"/>
          <w:lang w:eastAsia="en-AU"/>
        </w:rPr>
        <w:t xml:space="preserve"> that fixed</w:t>
      </w:r>
      <w:r w:rsidR="00BE6AA2" w:rsidRPr="00167CB8">
        <w:rPr>
          <w:rFonts w:eastAsia="Times New Roman" w:cs="Calibri"/>
          <w:lang w:eastAsia="en-AU"/>
        </w:rPr>
        <w:t>-</w:t>
      </w:r>
      <w:r w:rsidRPr="00167CB8">
        <w:rPr>
          <w:rFonts w:eastAsia="Times New Roman" w:cs="Calibri"/>
          <w:lang w:eastAsia="en-AU"/>
        </w:rPr>
        <w:t xml:space="preserve">term contracts do have a legitimate purpose to </w:t>
      </w:r>
      <w:r w:rsidR="00BE6AA2" w:rsidRPr="00167CB8">
        <w:rPr>
          <w:rFonts w:eastAsia="Times New Roman" w:cs="Calibri"/>
          <w:lang w:eastAsia="en-AU"/>
        </w:rPr>
        <w:t>‘</w:t>
      </w:r>
      <w:r w:rsidRPr="00167CB8">
        <w:rPr>
          <w:rFonts w:eastAsia="Times New Roman" w:cs="Calibri"/>
          <w:lang w:eastAsia="en-AU"/>
        </w:rPr>
        <w:t>help businesses to source workers to perform discrete tasks for a fixed period</w:t>
      </w:r>
      <w:r w:rsidR="00BE6AA2" w:rsidRPr="00167CB8">
        <w:rPr>
          <w:rFonts w:eastAsia="Times New Roman" w:cs="Calibri"/>
          <w:lang w:eastAsia="en-AU"/>
        </w:rPr>
        <w:t>’</w:t>
      </w:r>
      <w:r w:rsidRPr="00167CB8">
        <w:rPr>
          <w:rFonts w:eastAsia="Times New Roman" w:cs="Calibri"/>
          <w:lang w:eastAsia="en-AU"/>
        </w:rPr>
        <w:t>.</w:t>
      </w:r>
      <w:r w:rsidRPr="00167CB8">
        <w:rPr>
          <w:rFonts w:eastAsia="Times New Roman" w:cs="Calibri"/>
          <w:vertAlign w:val="superscript"/>
          <w:lang w:eastAsia="en-AU"/>
        </w:rPr>
        <w:footnoteReference w:id="936"/>
      </w:r>
      <w:r w:rsidRPr="00167CB8">
        <w:rPr>
          <w:rFonts w:eastAsia="Times New Roman" w:cs="Calibri"/>
          <w:lang w:eastAsia="en-AU"/>
        </w:rPr>
        <w:t xml:space="preserve"> However, when used for an extended period for the same role, or as rolling contracts, fixed</w:t>
      </w:r>
      <w:r w:rsidR="00BE6AA2" w:rsidRPr="00167CB8">
        <w:rPr>
          <w:rFonts w:eastAsia="Times New Roman" w:cs="Calibri"/>
          <w:lang w:eastAsia="en-AU"/>
        </w:rPr>
        <w:t>-</w:t>
      </w:r>
      <w:r w:rsidRPr="00167CB8">
        <w:rPr>
          <w:rFonts w:eastAsia="Times New Roman" w:cs="Calibri"/>
          <w:lang w:eastAsia="en-AU"/>
        </w:rPr>
        <w:t xml:space="preserve">term contracts can </w:t>
      </w:r>
      <w:r w:rsidR="00BE6AA2" w:rsidRPr="00167CB8">
        <w:rPr>
          <w:rFonts w:eastAsia="Times New Roman" w:cs="Calibri"/>
          <w:lang w:eastAsia="en-AU"/>
        </w:rPr>
        <w:t>‘</w:t>
      </w:r>
      <w:r w:rsidRPr="00167CB8">
        <w:rPr>
          <w:rFonts w:eastAsia="Times New Roman" w:cs="Calibri"/>
          <w:lang w:eastAsia="en-AU"/>
        </w:rPr>
        <w:t>exacerbate job insecurity</w:t>
      </w:r>
      <w:r w:rsidR="00BE6AA2" w:rsidRPr="00167CB8">
        <w:rPr>
          <w:rFonts w:eastAsia="Times New Roman" w:cs="Calibri"/>
          <w:lang w:eastAsia="en-AU"/>
        </w:rPr>
        <w:t>’</w:t>
      </w:r>
      <w:r w:rsidRPr="00167CB8">
        <w:rPr>
          <w:rFonts w:eastAsia="Times New Roman" w:cs="Calibri"/>
          <w:lang w:eastAsia="en-AU"/>
        </w:rPr>
        <w:t>.</w:t>
      </w:r>
      <w:r w:rsidRPr="00167CB8">
        <w:rPr>
          <w:rFonts w:eastAsia="Times New Roman" w:cs="Calibri"/>
          <w:vertAlign w:val="superscript"/>
          <w:lang w:eastAsia="en-AU"/>
        </w:rPr>
        <w:footnoteReference w:id="937"/>
      </w:r>
    </w:p>
    <w:p w14:paraId="21E3B044" w14:textId="4FEEC027" w:rsidR="009A1D5D" w:rsidRPr="00167CB8" w:rsidRDefault="0024484D" w:rsidP="009A1D5D">
      <w:pPr>
        <w:pStyle w:val="Heading4"/>
        <w:rPr>
          <w:rFonts w:asciiTheme="minorHAnsi" w:hAnsiTheme="minorHAnsi"/>
        </w:rPr>
      </w:pPr>
      <w:bookmarkStart w:id="453" w:name="_Toc188003420"/>
      <w:bookmarkStart w:id="454" w:name="_Toc188277959"/>
      <w:bookmarkStart w:id="455" w:name="_Toc189260310"/>
      <w:bookmarkStart w:id="456" w:name="_Toc189393626"/>
      <w:r w:rsidRPr="00167CB8">
        <w:rPr>
          <w:rFonts w:asciiTheme="minorHAnsi" w:hAnsiTheme="minorHAnsi"/>
        </w:rPr>
        <w:t>30</w:t>
      </w:r>
      <w:r w:rsidR="009B58C1" w:rsidRPr="00167CB8">
        <w:rPr>
          <w:rFonts w:asciiTheme="minorHAnsi" w:hAnsiTheme="minorHAnsi"/>
        </w:rPr>
        <w:t>.2</w:t>
      </w:r>
      <w:r w:rsidR="009A1D5D" w:rsidRPr="00167CB8">
        <w:rPr>
          <w:rFonts w:asciiTheme="minorHAnsi" w:hAnsiTheme="minorHAnsi"/>
        </w:rPr>
        <w:t xml:space="preserve"> Impact </w:t>
      </w:r>
      <w:r w:rsidR="00477C8A" w:rsidRPr="00167CB8">
        <w:rPr>
          <w:rFonts w:asciiTheme="minorHAnsi" w:hAnsiTheme="minorHAnsi"/>
        </w:rPr>
        <w:t>and</w:t>
      </w:r>
      <w:r w:rsidR="009A1D5D" w:rsidRPr="00167CB8">
        <w:rPr>
          <w:rFonts w:asciiTheme="minorHAnsi" w:hAnsiTheme="minorHAnsi"/>
        </w:rPr>
        <w:t xml:space="preserve"> </w:t>
      </w:r>
      <w:r w:rsidR="00BE6AA2" w:rsidRPr="00167CB8">
        <w:rPr>
          <w:rFonts w:asciiTheme="minorHAnsi" w:hAnsiTheme="minorHAnsi"/>
        </w:rPr>
        <w:t>i</w:t>
      </w:r>
      <w:r w:rsidR="009A1D5D" w:rsidRPr="00167CB8">
        <w:rPr>
          <w:rFonts w:asciiTheme="minorHAnsi" w:hAnsiTheme="minorHAnsi"/>
        </w:rPr>
        <w:t>ssues</w:t>
      </w:r>
      <w:bookmarkEnd w:id="453"/>
      <w:bookmarkEnd w:id="454"/>
      <w:bookmarkEnd w:id="455"/>
      <w:bookmarkEnd w:id="456"/>
    </w:p>
    <w:p w14:paraId="36EDD441" w14:textId="77777777" w:rsidR="009A1D5D" w:rsidRPr="00167CB8" w:rsidRDefault="009A1D5D" w:rsidP="006000ED">
      <w:r w:rsidRPr="00167CB8">
        <w:t>The following describes the data and information considered by the Review Panel when evaluating the amendments discussed above.</w:t>
      </w:r>
    </w:p>
    <w:p w14:paraId="5CF49A41" w14:textId="69764256" w:rsidR="009A1D5D" w:rsidRPr="00167CB8" w:rsidRDefault="0024484D" w:rsidP="009A1D5D">
      <w:pPr>
        <w:pStyle w:val="Heading5"/>
        <w:rPr>
          <w:rFonts w:asciiTheme="minorHAnsi" w:hAnsiTheme="minorHAnsi"/>
        </w:rPr>
      </w:pPr>
      <w:bookmarkStart w:id="457" w:name="_Toc188003421"/>
      <w:r w:rsidRPr="00167CB8">
        <w:rPr>
          <w:rFonts w:asciiTheme="minorHAnsi" w:hAnsiTheme="minorHAnsi"/>
        </w:rPr>
        <w:t>30</w:t>
      </w:r>
      <w:r w:rsidR="009B58C1" w:rsidRPr="00167CB8">
        <w:rPr>
          <w:rFonts w:asciiTheme="minorHAnsi" w:hAnsiTheme="minorHAnsi"/>
        </w:rPr>
        <w:t>.2.1</w:t>
      </w:r>
      <w:r w:rsidR="009A1D5D" w:rsidRPr="00167CB8">
        <w:rPr>
          <w:rFonts w:asciiTheme="minorHAnsi" w:hAnsiTheme="minorHAnsi"/>
        </w:rPr>
        <w:t xml:space="preserve"> Quantitative </w:t>
      </w:r>
      <w:r w:rsidR="00BE6AA2" w:rsidRPr="00167CB8">
        <w:rPr>
          <w:rFonts w:asciiTheme="minorHAnsi" w:hAnsiTheme="minorHAnsi"/>
        </w:rPr>
        <w:t>e</w:t>
      </w:r>
      <w:r w:rsidR="009A1D5D" w:rsidRPr="00167CB8">
        <w:rPr>
          <w:rFonts w:asciiTheme="minorHAnsi" w:hAnsiTheme="minorHAnsi"/>
        </w:rPr>
        <w:t>vidence</w:t>
      </w:r>
      <w:bookmarkEnd w:id="457"/>
    </w:p>
    <w:p w14:paraId="665D9A91" w14:textId="4DF3C93F" w:rsidR="00070BC0" w:rsidRPr="00167CB8" w:rsidRDefault="00146A8C" w:rsidP="006000ED">
      <w:r w:rsidRPr="00167CB8">
        <w:t>FWC d</w:t>
      </w:r>
      <w:r w:rsidR="00E55825" w:rsidRPr="00167CB8">
        <w:t xml:space="preserve">ata provided </w:t>
      </w:r>
      <w:r w:rsidRPr="00167CB8">
        <w:t xml:space="preserve">to the Review indicates that </w:t>
      </w:r>
      <w:r w:rsidR="00915980" w:rsidRPr="00167CB8">
        <w:t>10 applications were received to deal with a dispute about a fixed</w:t>
      </w:r>
      <w:r w:rsidR="00BE6AA2" w:rsidRPr="00167CB8">
        <w:t>-</w:t>
      </w:r>
      <w:r w:rsidR="00915980" w:rsidRPr="00167CB8">
        <w:t>term contract in the 2023</w:t>
      </w:r>
      <w:r w:rsidR="00BE6AA2" w:rsidRPr="00167CB8">
        <w:rPr>
          <w:rFonts w:ascii="Symbol" w:eastAsia="Symbol" w:hAnsi="Symbol" w:cs="Symbol"/>
        </w:rPr>
        <w:sym w:font="Symbol" w:char="F02D"/>
      </w:r>
      <w:r w:rsidR="00915980" w:rsidRPr="00167CB8">
        <w:t xml:space="preserve">24 financial year. Of those applications, </w:t>
      </w:r>
      <w:r w:rsidR="00BE6AA2" w:rsidRPr="00167CB8">
        <w:t xml:space="preserve">4 </w:t>
      </w:r>
      <w:r w:rsidR="00915980" w:rsidRPr="00167CB8">
        <w:t xml:space="preserve">were withdrawn, </w:t>
      </w:r>
      <w:r w:rsidR="00BE6AA2" w:rsidRPr="00167CB8">
        <w:t xml:space="preserve">4 </w:t>
      </w:r>
      <w:r w:rsidR="00915980" w:rsidRPr="00167CB8">
        <w:t xml:space="preserve">were not resolved and </w:t>
      </w:r>
      <w:r w:rsidR="00BE6AA2" w:rsidRPr="00167CB8">
        <w:t xml:space="preserve">2 </w:t>
      </w:r>
      <w:r w:rsidR="00915980" w:rsidRPr="00167CB8">
        <w:t>were resolved.</w:t>
      </w:r>
    </w:p>
    <w:p w14:paraId="2ECE84E2" w14:textId="1E7734BA" w:rsidR="009A1D5D" w:rsidRPr="00167CB8" w:rsidRDefault="009A1D5D" w:rsidP="006000ED">
      <w:r w:rsidRPr="00167CB8">
        <w:t xml:space="preserve">Estimates from the </w:t>
      </w:r>
      <w:r w:rsidR="00BE6AA2" w:rsidRPr="00167CB8">
        <w:t xml:space="preserve">Australian Bureau of Statistics (ABS) </w:t>
      </w:r>
      <w:r w:rsidRPr="00167CB8">
        <w:t xml:space="preserve">indicate that </w:t>
      </w:r>
      <w:r w:rsidR="00A64B5D" w:rsidRPr="00167CB8">
        <w:t>as</w:t>
      </w:r>
      <w:r w:rsidRPr="00167CB8">
        <w:t xml:space="preserve"> at August 2024 there were 12.1 million employees in the Australian labour market, with 512,300 (4.2%) employed on a fixed</w:t>
      </w:r>
      <w:r w:rsidR="00BE6AA2" w:rsidRPr="00167CB8">
        <w:t>-</w:t>
      </w:r>
      <w:r w:rsidRPr="00167CB8">
        <w:t xml:space="preserve">term contract. Many (40.8%) have been in their current job for less than one year. Although tenure is short, there is a high expectation of ongoing employment </w:t>
      </w:r>
      <w:r w:rsidR="006D5910" w:rsidRPr="00167CB8">
        <w:t>(</w:t>
      </w:r>
      <w:r w:rsidRPr="00167CB8">
        <w:t>74.8% expect to remain in their job for the next 12 months</w:t>
      </w:r>
      <w:r w:rsidR="006D5910" w:rsidRPr="00167CB8">
        <w:t>)</w:t>
      </w:r>
      <w:r w:rsidRPr="00167CB8">
        <w:t>.</w:t>
      </w:r>
      <w:r w:rsidRPr="00167CB8">
        <w:rPr>
          <w:rStyle w:val="FootnoteReference"/>
        </w:rPr>
        <w:footnoteReference w:id="938"/>
      </w:r>
      <w:r w:rsidRPr="00167CB8">
        <w:t xml:space="preserve"> Across industries</w:t>
      </w:r>
      <w:r w:rsidR="006D5910" w:rsidRPr="00167CB8">
        <w:t>,</w:t>
      </w:r>
      <w:r w:rsidRPr="00167CB8">
        <w:t xml:space="preserve"> the </w:t>
      </w:r>
      <w:r w:rsidR="00BE6AA2" w:rsidRPr="00167CB8">
        <w:t>e</w:t>
      </w:r>
      <w:r w:rsidRPr="00167CB8">
        <w:t>ducation and training sector stands out as the sector most likely to engage employees on fixed</w:t>
      </w:r>
      <w:r w:rsidR="00BE6AA2" w:rsidRPr="00167CB8">
        <w:t>-</w:t>
      </w:r>
      <w:r w:rsidRPr="00167CB8">
        <w:t>term contracts. In 2024</w:t>
      </w:r>
      <w:r w:rsidR="00BE6AA2" w:rsidRPr="00167CB8">
        <w:t>,</w:t>
      </w:r>
      <w:r w:rsidRPr="00167CB8">
        <w:t xml:space="preserve"> 11.7% of all employees in this industry were on a fixed</w:t>
      </w:r>
      <w:r w:rsidR="00BE6AA2" w:rsidRPr="00167CB8">
        <w:t>-</w:t>
      </w:r>
      <w:r w:rsidRPr="00167CB8">
        <w:t>term contract. Between 2002 and 2024 the main growth in fixed</w:t>
      </w:r>
      <w:r w:rsidR="00BE6AA2" w:rsidRPr="00167CB8">
        <w:t>-</w:t>
      </w:r>
      <w:r w:rsidRPr="00167CB8">
        <w:t xml:space="preserve">term employment came from the </w:t>
      </w:r>
      <w:r w:rsidR="00BE6AA2" w:rsidRPr="00167CB8">
        <w:t>h</w:t>
      </w:r>
      <w:r w:rsidRPr="00167CB8">
        <w:t>ealth care and social assistance sector.</w:t>
      </w:r>
      <w:r w:rsidRPr="00167CB8">
        <w:rPr>
          <w:rStyle w:val="FootnoteReference"/>
        </w:rPr>
        <w:footnoteReference w:id="939"/>
      </w:r>
      <w:r w:rsidRPr="00167CB8">
        <w:t xml:space="preserve"> </w:t>
      </w:r>
    </w:p>
    <w:p w14:paraId="43CCA0B4" w14:textId="0B3F1460" w:rsidR="009A1D5D" w:rsidRPr="00167CB8" w:rsidRDefault="009A1D5D" w:rsidP="006000ED">
      <w:r w:rsidRPr="00167CB8">
        <w:t>In 2023 there was a marked decline in the use of fixed-term employment contracts, particularly among women employed full-time and men employed part-time. In 2024 this rebounded, such that the number of people on fixed</w:t>
      </w:r>
      <w:r w:rsidR="00BE6AA2" w:rsidRPr="00167CB8">
        <w:t>-</w:t>
      </w:r>
      <w:r w:rsidRPr="00167CB8">
        <w:t xml:space="preserve">term contracts is now at </w:t>
      </w:r>
      <w:r w:rsidR="0066662A" w:rsidRPr="00167CB8">
        <w:t>its</w:t>
      </w:r>
      <w:r w:rsidRPr="00167CB8">
        <w:t xml:space="preserve"> highest when viewed over the last decade (see Figure </w:t>
      </w:r>
      <w:r w:rsidR="002B66DB" w:rsidRPr="00167CB8">
        <w:t>20</w:t>
      </w:r>
      <w:r w:rsidRPr="00167CB8">
        <w:t xml:space="preserve"> below).</w:t>
      </w:r>
    </w:p>
    <w:p w14:paraId="1C3DE1A0" w14:textId="0DFD552F" w:rsidR="009A1D5D" w:rsidRPr="00167CB8" w:rsidRDefault="009A1D5D" w:rsidP="00470AB9">
      <w:pPr>
        <w:pStyle w:val="Caption"/>
      </w:pPr>
      <w:bookmarkStart w:id="458" w:name="_Toc186991780"/>
      <w:r w:rsidRPr="00167CB8">
        <w:lastRenderedPageBreak/>
        <w:t xml:space="preserve">Figure </w:t>
      </w:r>
      <w:r w:rsidR="000B3985" w:rsidRPr="00167CB8">
        <w:t>20</w:t>
      </w:r>
      <w:r w:rsidRPr="00167CB8">
        <w:t>: Trends in fixed-term employment, 2014 to 2024</w:t>
      </w:r>
      <w:bookmarkEnd w:id="458"/>
    </w:p>
    <w:p w14:paraId="0D056E80" w14:textId="77777777" w:rsidR="009A1D5D" w:rsidRPr="00167CB8" w:rsidRDefault="009A1D5D" w:rsidP="00470AB9">
      <w:pPr>
        <w:pStyle w:val="Caption"/>
      </w:pPr>
      <w:r w:rsidRPr="00167CB8">
        <w:rPr>
          <w:noProof/>
        </w:rPr>
        <w:drawing>
          <wp:inline distT="0" distB="0" distL="0" distR="0" wp14:anchorId="1146CBFE" wp14:editId="640C903D">
            <wp:extent cx="5731510" cy="3746500"/>
            <wp:effectExtent l="0" t="0" r="2540" b="6350"/>
            <wp:docPr id="740514662"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14662" name="Picture 1" descr="A graph of different colored lines&#10;&#10;Description automatically generated"/>
                    <pic:cNvPicPr/>
                  </pic:nvPicPr>
                  <pic:blipFill>
                    <a:blip r:embed="rId45"/>
                    <a:stretch>
                      <a:fillRect/>
                    </a:stretch>
                  </pic:blipFill>
                  <pic:spPr>
                    <a:xfrm>
                      <a:off x="0" y="0"/>
                      <a:ext cx="5731510" cy="3746500"/>
                    </a:xfrm>
                    <a:prstGeom prst="rect">
                      <a:avLst/>
                    </a:prstGeom>
                  </pic:spPr>
                </pic:pic>
              </a:graphicData>
            </a:graphic>
          </wp:inline>
        </w:drawing>
      </w:r>
    </w:p>
    <w:p w14:paraId="246CE0E5" w14:textId="3C6E5EBA" w:rsidR="009A1D5D" w:rsidRPr="00167CB8" w:rsidRDefault="009A1D5D" w:rsidP="00BE6AA2">
      <w:pPr>
        <w:pStyle w:val="Source"/>
        <w:rPr>
          <w:i/>
        </w:rPr>
      </w:pPr>
      <w:r w:rsidRPr="00167CB8">
        <w:rPr>
          <w:b/>
          <w:bCs/>
        </w:rPr>
        <w:t>Source:</w:t>
      </w:r>
      <w:r w:rsidRPr="00167CB8">
        <w:t xml:space="preserve"> ABS Working Arrangements, August 2024 (Cat No 6336.0, Table 6). </w:t>
      </w:r>
    </w:p>
    <w:p w14:paraId="7FFC7419" w14:textId="33DB6F77" w:rsidR="009A1D5D" w:rsidRPr="00167CB8" w:rsidRDefault="009A1D5D" w:rsidP="006000ED">
      <w:pPr>
        <w:spacing w:before="120" w:after="120"/>
        <w:rPr>
          <w:rFonts w:cs="Calibri"/>
          <w:sz w:val="20"/>
          <w:szCs w:val="20"/>
        </w:rPr>
      </w:pPr>
      <w:r w:rsidRPr="00167CB8">
        <w:rPr>
          <w:rFonts w:cs="Calibri"/>
          <w:b/>
          <w:sz w:val="20"/>
          <w:szCs w:val="20"/>
        </w:rPr>
        <w:t>Alt-text:</w:t>
      </w:r>
      <w:r w:rsidRPr="00167CB8">
        <w:rPr>
          <w:rFonts w:cs="Calibri"/>
          <w:sz w:val="20"/>
          <w:szCs w:val="20"/>
        </w:rPr>
        <w:t xml:space="preserve"> A line chart showing trends in the growth in fixed</w:t>
      </w:r>
      <w:r w:rsidR="006B272C" w:rsidRPr="00167CB8">
        <w:rPr>
          <w:rFonts w:cs="Calibri"/>
          <w:sz w:val="20"/>
          <w:szCs w:val="20"/>
        </w:rPr>
        <w:t>-</w:t>
      </w:r>
      <w:r w:rsidRPr="00167CB8">
        <w:rPr>
          <w:rFonts w:cs="Calibri"/>
          <w:sz w:val="20"/>
          <w:szCs w:val="20"/>
        </w:rPr>
        <w:t>term employment between 2014 and 2024 (indexed to 2014). Fixed</w:t>
      </w:r>
      <w:r w:rsidR="00BE6AA2" w:rsidRPr="00167CB8">
        <w:rPr>
          <w:rFonts w:cs="Calibri"/>
          <w:sz w:val="20"/>
          <w:szCs w:val="20"/>
        </w:rPr>
        <w:t>-</w:t>
      </w:r>
      <w:r w:rsidRPr="00167CB8">
        <w:rPr>
          <w:rFonts w:cs="Calibri"/>
          <w:sz w:val="20"/>
          <w:szCs w:val="20"/>
        </w:rPr>
        <w:t>term employment grew by nearly 20% by 2020 among men and women employed full-time. There was a marked decline between 2022 and 2023 in the numbers of male part-time employees and female full-time employees engaged on fixed</w:t>
      </w:r>
      <w:r w:rsidR="00BE6AA2" w:rsidRPr="00167CB8">
        <w:rPr>
          <w:rFonts w:cs="Calibri"/>
          <w:sz w:val="20"/>
          <w:szCs w:val="20"/>
        </w:rPr>
        <w:t>-</w:t>
      </w:r>
      <w:r w:rsidRPr="00167CB8">
        <w:rPr>
          <w:rFonts w:cs="Calibri"/>
          <w:sz w:val="20"/>
          <w:szCs w:val="20"/>
        </w:rPr>
        <w:t>term contracts. The use of fixed</w:t>
      </w:r>
      <w:r w:rsidR="00BE6AA2" w:rsidRPr="00167CB8">
        <w:rPr>
          <w:rFonts w:cs="Calibri"/>
          <w:sz w:val="20"/>
          <w:szCs w:val="20"/>
        </w:rPr>
        <w:t>-</w:t>
      </w:r>
      <w:r w:rsidRPr="00167CB8">
        <w:rPr>
          <w:rFonts w:cs="Calibri"/>
          <w:sz w:val="20"/>
          <w:szCs w:val="20"/>
        </w:rPr>
        <w:t>term employment contracts resumed in 2024. By August 2024 the number of full-timers engaged on a fixed</w:t>
      </w:r>
      <w:r w:rsidR="00BE6AA2" w:rsidRPr="00167CB8">
        <w:rPr>
          <w:rFonts w:cs="Calibri"/>
          <w:sz w:val="20"/>
          <w:szCs w:val="20"/>
        </w:rPr>
        <w:t>-</w:t>
      </w:r>
      <w:r w:rsidRPr="00167CB8">
        <w:rPr>
          <w:rFonts w:cs="Calibri"/>
          <w:sz w:val="20"/>
          <w:szCs w:val="20"/>
        </w:rPr>
        <w:t>term contract was nearly 50% higher than levels recorded in 2014.</w:t>
      </w:r>
    </w:p>
    <w:p w14:paraId="58900B9C" w14:textId="0D6652F7" w:rsidR="009A1D5D" w:rsidRPr="00167CB8" w:rsidRDefault="009A1D5D" w:rsidP="006000ED">
      <w:r w:rsidRPr="00167CB8">
        <w:t xml:space="preserve">Analysis of </w:t>
      </w:r>
      <w:r w:rsidR="00BE6AA2" w:rsidRPr="00167CB8">
        <w:t>Household, Income and Labour Dynamics in Australia (</w:t>
      </w:r>
      <w:r w:rsidRPr="00167CB8">
        <w:t>HILDA</w:t>
      </w:r>
      <w:r w:rsidR="00BE6AA2" w:rsidRPr="00167CB8">
        <w:t>)</w:t>
      </w:r>
      <w:r w:rsidRPr="00167CB8">
        <w:t xml:space="preserve"> data (with the latest release being for 2023) shows some slightly different trends. Part of the explanation may be that the HILDA analysis is based on outcomes in a person’s main job. Estimates based on HILDA suggest that among those aged 21</w:t>
      </w:r>
      <w:r w:rsidR="00BE6AA2" w:rsidRPr="00167CB8">
        <w:rPr>
          <w:rFonts w:ascii="Symbol" w:eastAsia="Symbol" w:hAnsi="Symbol" w:cs="Symbol"/>
        </w:rPr>
        <w:sym w:font="Symbol" w:char="F02D"/>
      </w:r>
      <w:r w:rsidRPr="00167CB8">
        <w:t>64 around 10% of employees are engaged on a fixed</w:t>
      </w:r>
      <w:r w:rsidR="00BE6AA2" w:rsidRPr="00167CB8">
        <w:t>-</w:t>
      </w:r>
      <w:r w:rsidRPr="00167CB8">
        <w:t xml:space="preserve">term contract. </w:t>
      </w:r>
    </w:p>
    <w:p w14:paraId="291A54B6" w14:textId="12646E80" w:rsidR="009A1D5D" w:rsidRPr="00167CB8" w:rsidRDefault="009A1D5D" w:rsidP="006000ED">
      <w:r w:rsidRPr="00167CB8">
        <w:t>Fixed</w:t>
      </w:r>
      <w:r w:rsidR="00BE6AA2" w:rsidRPr="00167CB8">
        <w:t>-</w:t>
      </w:r>
      <w:r w:rsidRPr="00167CB8">
        <w:t xml:space="preserve">term contracts are more common among </w:t>
      </w:r>
      <w:r w:rsidR="00BE6AA2" w:rsidRPr="00167CB8">
        <w:t>p</w:t>
      </w:r>
      <w:r w:rsidRPr="00167CB8">
        <w:t>rofessionals than other occupation groups and consistent with this a relatively high share (around 7.5% according to HILDA) are employees whose annual earnings exceed the high</w:t>
      </w:r>
      <w:r w:rsidR="00BE6AA2" w:rsidRPr="00167CB8">
        <w:t xml:space="preserve"> </w:t>
      </w:r>
      <w:r w:rsidR="007D1359" w:rsidRPr="00167CB8">
        <w:t>income</w:t>
      </w:r>
      <w:r w:rsidRPr="00167CB8">
        <w:t xml:space="preserve"> threshold (meaning they are not covered by the </w:t>
      </w:r>
      <w:r w:rsidR="00E60C76" w:rsidRPr="00167CB8">
        <w:t>Fair Work Act</w:t>
      </w:r>
      <w:r w:rsidRPr="00167CB8">
        <w:t xml:space="preserve"> </w:t>
      </w:r>
      <w:r w:rsidR="007D1359" w:rsidRPr="00167CB8">
        <w:t>limitation</w:t>
      </w:r>
      <w:r w:rsidRPr="00167CB8">
        <w:t>).</w:t>
      </w:r>
    </w:p>
    <w:p w14:paraId="72309950" w14:textId="206284D4" w:rsidR="009A1D5D" w:rsidRPr="00167CB8" w:rsidRDefault="009A1D5D" w:rsidP="006000ED">
      <w:r w:rsidRPr="00167CB8">
        <w:t xml:space="preserve">Analysis of transition outcomes using HILDA data, done by comparing employment status over </w:t>
      </w:r>
      <w:r w:rsidR="00BE6AA2" w:rsidRPr="00167CB8">
        <w:t xml:space="preserve">2 </w:t>
      </w:r>
      <w:r w:rsidRPr="00167CB8">
        <w:t>consecutive years, shows that around 44% of employees are on fixed</w:t>
      </w:r>
      <w:r w:rsidR="00BE6AA2" w:rsidRPr="00167CB8">
        <w:t>-</w:t>
      </w:r>
      <w:r w:rsidRPr="00167CB8">
        <w:t xml:space="preserve">term contracts over </w:t>
      </w:r>
      <w:r w:rsidR="00BE6AA2" w:rsidRPr="00167CB8">
        <w:t xml:space="preserve">2 </w:t>
      </w:r>
      <w:r w:rsidRPr="00167CB8">
        <w:t>consecutive years, around 49% transition from being on a fixed</w:t>
      </w:r>
      <w:r w:rsidR="00BE6AA2" w:rsidRPr="00167CB8">
        <w:t>-</w:t>
      </w:r>
      <w:r w:rsidRPr="00167CB8">
        <w:t>term contract to being on a permanent contract and the balance (around 7%) transition from being on a fixed</w:t>
      </w:r>
      <w:r w:rsidR="00BE6AA2" w:rsidRPr="00167CB8">
        <w:t>-</w:t>
      </w:r>
      <w:r w:rsidRPr="00167CB8">
        <w:t>term contract to being on a casual contract.</w:t>
      </w:r>
    </w:p>
    <w:p w14:paraId="4D76920A" w14:textId="2F581DD3" w:rsidR="009A1D5D" w:rsidRPr="00167CB8" w:rsidRDefault="009A1D5D" w:rsidP="006000ED">
      <w:r w:rsidRPr="00167CB8">
        <w:t>HILDA data also shows that in 2023 there was a small decline in the share who were on fixed</w:t>
      </w:r>
      <w:r w:rsidR="006B272C" w:rsidRPr="00167CB8">
        <w:t>-</w:t>
      </w:r>
      <w:r w:rsidRPr="00167CB8">
        <w:t xml:space="preserve">term contract over </w:t>
      </w:r>
      <w:r w:rsidR="00BE6AA2" w:rsidRPr="00167CB8">
        <w:t xml:space="preserve">2 </w:t>
      </w:r>
      <w:r w:rsidRPr="00167CB8">
        <w:t xml:space="preserve">consecutive years and a marginal increase in the shares moving from a </w:t>
      </w:r>
      <w:r w:rsidRPr="00167CB8">
        <w:lastRenderedPageBreak/>
        <w:t>fixed</w:t>
      </w:r>
      <w:r w:rsidR="00BE6AA2" w:rsidRPr="00167CB8">
        <w:t>-</w:t>
      </w:r>
      <w:r w:rsidRPr="00167CB8">
        <w:t xml:space="preserve">term contract to a permanent contract. These trends are consistent with the intent of the </w:t>
      </w:r>
      <w:r w:rsidR="00A55F8E" w:rsidRPr="00167CB8">
        <w:rPr>
          <w:rFonts w:cstheme="minorHAnsi"/>
        </w:rPr>
        <w:t>Secure Jobs, Better Pay</w:t>
      </w:r>
      <w:r w:rsidR="00BE6AA2" w:rsidRPr="00167CB8">
        <w:rPr>
          <w:rFonts w:cstheme="minorHAnsi"/>
        </w:rPr>
        <w:t xml:space="preserve"> amendments</w:t>
      </w:r>
      <w:r w:rsidRPr="00167CB8">
        <w:t xml:space="preserve">, although the changes are not statistically significant. </w:t>
      </w:r>
    </w:p>
    <w:p w14:paraId="58CD6CC3" w14:textId="12502744" w:rsidR="009A1D5D" w:rsidRPr="00167CB8" w:rsidRDefault="009A1D5D" w:rsidP="006000ED">
      <w:r w:rsidRPr="00167CB8">
        <w:t>Regression analysis examining the characteristics of those who transition from being on a fixed</w:t>
      </w:r>
      <w:r w:rsidR="00BE6AA2" w:rsidRPr="00167CB8">
        <w:t>-</w:t>
      </w:r>
      <w:r w:rsidRPr="00167CB8">
        <w:t>term contract to a permanent contract shows that individuals are less likely to transition if they earn above the high</w:t>
      </w:r>
      <w:r w:rsidR="00BE6AA2" w:rsidRPr="00167CB8">
        <w:t xml:space="preserve"> </w:t>
      </w:r>
      <w:r w:rsidRPr="00167CB8">
        <w:t>income threshold, are more likely to transition if young</w:t>
      </w:r>
      <w:r w:rsidR="001170CD" w:rsidRPr="00167CB8">
        <w:t>,</w:t>
      </w:r>
      <w:r w:rsidRPr="00167CB8">
        <w:t xml:space="preserve"> and </w:t>
      </w:r>
      <w:r w:rsidR="00BE6AA2" w:rsidRPr="00167CB8">
        <w:t xml:space="preserve">are </w:t>
      </w:r>
      <w:r w:rsidRPr="00167CB8">
        <w:t xml:space="preserve">less likely to transition if older. Occupation analysis shows that the groups having the highest probability of transitioning from fixed to permanent are managers and professionals. Industry analysis shows that, relative to the </w:t>
      </w:r>
      <w:r w:rsidR="00BE6AA2" w:rsidRPr="00167CB8">
        <w:t>e</w:t>
      </w:r>
      <w:r w:rsidRPr="00167CB8">
        <w:t xml:space="preserve">ducation and training sector, employees in the </w:t>
      </w:r>
      <w:r w:rsidR="00BE6AA2" w:rsidRPr="00167CB8">
        <w:t>m</w:t>
      </w:r>
      <w:r w:rsidRPr="00167CB8">
        <w:t xml:space="preserve">ining sector have a greater likelihood of transitioning onto a permanent contract. In most other industries the probability of transitioning from a fixed to a permanent contract is lower. The exception is the </w:t>
      </w:r>
      <w:r w:rsidR="00BE6AA2" w:rsidRPr="00167CB8">
        <w:t>h</w:t>
      </w:r>
      <w:r w:rsidRPr="00167CB8">
        <w:t>ealth and community sector</w:t>
      </w:r>
      <w:r w:rsidR="00BE6AA2" w:rsidRPr="00167CB8">
        <w:t>,</w:t>
      </w:r>
      <w:r w:rsidRPr="00167CB8">
        <w:t xml:space="preserve"> where the transition probability is the same as that of the </w:t>
      </w:r>
      <w:r w:rsidR="00BE6AA2" w:rsidRPr="00167CB8">
        <w:t>e</w:t>
      </w:r>
      <w:r w:rsidRPr="00167CB8">
        <w:t>ducation and training sector.</w:t>
      </w:r>
      <w:r w:rsidRPr="00167CB8">
        <w:rPr>
          <w:rStyle w:val="FootnoteReference"/>
        </w:rPr>
        <w:footnoteReference w:id="940"/>
      </w:r>
    </w:p>
    <w:p w14:paraId="5BD25A97" w14:textId="27FF11A7" w:rsidR="009A1D5D" w:rsidRPr="00167CB8" w:rsidRDefault="009A1D5D" w:rsidP="006000ED">
      <w:r w:rsidRPr="00167CB8">
        <w:t>An examination of the determinants of wages shows that the hourly wages of employees on fixed</w:t>
      </w:r>
      <w:r w:rsidR="00BE6AA2" w:rsidRPr="00167CB8">
        <w:t>-</w:t>
      </w:r>
      <w:r w:rsidRPr="00167CB8">
        <w:t>term contracts and those on permanent contracts are statistically the same.</w:t>
      </w:r>
      <w:r w:rsidRPr="00167CB8">
        <w:rPr>
          <w:rStyle w:val="FootnoteReference"/>
        </w:rPr>
        <w:footnoteReference w:id="941"/>
      </w:r>
    </w:p>
    <w:p w14:paraId="2FEA4652" w14:textId="79C4CE56" w:rsidR="009A1D5D" w:rsidRPr="00167CB8" w:rsidRDefault="009A1D5D" w:rsidP="006000ED">
      <w:r w:rsidRPr="00167CB8">
        <w:t>To summarise, available quantitative data shows that the proportion of employees on fixed</w:t>
      </w:r>
      <w:r w:rsidR="00BE6AA2" w:rsidRPr="00167CB8">
        <w:t>-</w:t>
      </w:r>
      <w:r w:rsidRPr="00167CB8">
        <w:t xml:space="preserve">term contracts declined in 2023 following the passage of the </w:t>
      </w:r>
      <w:r w:rsidR="00A55F8E" w:rsidRPr="00167CB8">
        <w:rPr>
          <w:rFonts w:cstheme="minorHAnsi"/>
        </w:rPr>
        <w:t>Secure Jobs, Better Pay</w:t>
      </w:r>
      <w:r w:rsidRPr="00167CB8">
        <w:t xml:space="preserve"> Act and significantly increased in 2024</w:t>
      </w:r>
      <w:r w:rsidR="00A65E87" w:rsidRPr="00167CB8">
        <w:t>. There may be many explanations for this increase</w:t>
      </w:r>
      <w:r w:rsidR="00BE6AA2" w:rsidRPr="00167CB8">
        <w:t>,</w:t>
      </w:r>
      <w:r w:rsidR="00A65E87" w:rsidRPr="00167CB8">
        <w:t xml:space="preserve"> including the</w:t>
      </w:r>
      <w:r w:rsidRPr="00167CB8">
        <w:t xml:space="preserve"> anticipation of the limited additional ex</w:t>
      </w:r>
      <w:r w:rsidR="000C1538" w:rsidRPr="00167CB8">
        <w:t>c</w:t>
      </w:r>
      <w:r w:rsidRPr="00167CB8">
        <w:t xml:space="preserve">eptions (e.g. higher education, charities, public hospitals) coming to an end. </w:t>
      </w:r>
    </w:p>
    <w:p w14:paraId="49988E1B" w14:textId="2C3204D1" w:rsidR="009A1D5D" w:rsidRPr="00167CB8" w:rsidRDefault="009A1D5D" w:rsidP="006000ED">
      <w:r w:rsidRPr="00167CB8">
        <w:t>HILDA analysis shows no difference in transition outcomes from fixed</w:t>
      </w:r>
      <w:r w:rsidR="00BE6AA2" w:rsidRPr="00167CB8">
        <w:t>-</w:t>
      </w:r>
      <w:r w:rsidRPr="00167CB8">
        <w:t xml:space="preserve">term contracts </w:t>
      </w:r>
      <w:r w:rsidR="00BE6AA2" w:rsidRPr="00167CB8">
        <w:t xml:space="preserve">after the </w:t>
      </w:r>
      <w:r w:rsidRPr="00167CB8">
        <w:t xml:space="preserve">passage of the </w:t>
      </w:r>
      <w:r w:rsidR="00A55F8E" w:rsidRPr="00167CB8">
        <w:rPr>
          <w:rFonts w:cstheme="minorHAnsi"/>
        </w:rPr>
        <w:t>Secure Jobs, Better Pay</w:t>
      </w:r>
      <w:r w:rsidRPr="00167CB8">
        <w:t xml:space="preserve"> Act. It also shows no difference in the earnings of employees on fixed</w:t>
      </w:r>
      <w:r w:rsidR="00BE6AA2" w:rsidRPr="00167CB8">
        <w:t>-</w:t>
      </w:r>
      <w:r w:rsidRPr="00167CB8">
        <w:t xml:space="preserve">term contracts vis-à-vis permanent contracts. However, this analysis </w:t>
      </w:r>
      <w:r w:rsidRPr="00167CB8">
        <w:rPr>
          <w:i/>
          <w:iCs/>
        </w:rPr>
        <w:t>does not</w:t>
      </w:r>
      <w:r w:rsidRPr="00167CB8">
        <w:t xml:space="preserve"> explore the job insecurity effects that come with being on a fixed</w:t>
      </w:r>
      <w:r w:rsidR="00BE6AA2" w:rsidRPr="00167CB8">
        <w:t>-</w:t>
      </w:r>
      <w:r w:rsidRPr="00167CB8">
        <w:t>term contract and not knowing whether contracts will actually be renewed or not. It similarly does not examine the effect of fixed-term employment on other matters</w:t>
      </w:r>
      <w:r w:rsidR="00BE6AA2" w:rsidRPr="00167CB8">
        <w:t>,</w:t>
      </w:r>
      <w:r w:rsidRPr="00167CB8">
        <w:t xml:space="preserve"> such as securing a mortgage</w:t>
      </w:r>
      <w:r w:rsidR="00BE6AA2" w:rsidRPr="00167CB8">
        <w:t xml:space="preserve"> and </w:t>
      </w:r>
      <w:r w:rsidRPr="00167CB8">
        <w:t>individual and household planning (e.g. around finances, children etc.).</w:t>
      </w:r>
    </w:p>
    <w:p w14:paraId="7C90853C" w14:textId="15EF8325" w:rsidR="009A1D5D" w:rsidRPr="00167CB8" w:rsidRDefault="0024484D" w:rsidP="009A1D5D">
      <w:pPr>
        <w:pStyle w:val="Heading5"/>
        <w:rPr>
          <w:rFonts w:asciiTheme="minorHAnsi" w:hAnsiTheme="minorHAnsi"/>
        </w:rPr>
      </w:pPr>
      <w:bookmarkStart w:id="459" w:name="_Toc188003422"/>
      <w:r w:rsidRPr="00167CB8">
        <w:rPr>
          <w:rFonts w:asciiTheme="minorHAnsi" w:hAnsiTheme="minorHAnsi"/>
        </w:rPr>
        <w:t>30</w:t>
      </w:r>
      <w:r w:rsidR="006370D8" w:rsidRPr="00167CB8">
        <w:rPr>
          <w:rFonts w:asciiTheme="minorHAnsi" w:hAnsiTheme="minorHAnsi"/>
        </w:rPr>
        <w:t>.2.2</w:t>
      </w:r>
      <w:r w:rsidR="009A1D5D" w:rsidRPr="00167CB8">
        <w:rPr>
          <w:rFonts w:asciiTheme="minorHAnsi" w:hAnsiTheme="minorHAnsi"/>
        </w:rPr>
        <w:t xml:space="preserve"> Qualitative </w:t>
      </w:r>
      <w:r w:rsidR="00BE6AA2" w:rsidRPr="00167CB8">
        <w:rPr>
          <w:rFonts w:asciiTheme="minorHAnsi" w:hAnsiTheme="minorHAnsi"/>
        </w:rPr>
        <w:t>e</w:t>
      </w:r>
      <w:r w:rsidR="009A1D5D" w:rsidRPr="00167CB8">
        <w:rPr>
          <w:rFonts w:asciiTheme="minorHAnsi" w:hAnsiTheme="minorHAnsi"/>
        </w:rPr>
        <w:t>vidence</w:t>
      </w:r>
      <w:bookmarkEnd w:id="459"/>
    </w:p>
    <w:p w14:paraId="4D92FE08" w14:textId="32FC83B0" w:rsidR="00535F9A" w:rsidRPr="00167CB8" w:rsidRDefault="009A1D5D" w:rsidP="006000ED">
      <w:pPr>
        <w:rPr>
          <w:rFonts w:eastAsia="Aptos" w:cs="Aptos"/>
        </w:rPr>
      </w:pPr>
      <w:r w:rsidRPr="00167CB8">
        <w:rPr>
          <w:rFonts w:eastAsia="Aptos" w:cs="Aptos"/>
        </w:rPr>
        <w:t>There is limited information available regarding qualitative evidence on the operation of fix</w:t>
      </w:r>
      <w:r w:rsidR="00C842C6" w:rsidRPr="00167CB8">
        <w:rPr>
          <w:rFonts w:eastAsia="Aptos" w:cs="Aptos"/>
        </w:rPr>
        <w:t>ed</w:t>
      </w:r>
      <w:r w:rsidR="00BE6AA2" w:rsidRPr="00167CB8">
        <w:rPr>
          <w:rFonts w:eastAsia="Aptos" w:cs="Aptos"/>
        </w:rPr>
        <w:t>-</w:t>
      </w:r>
      <w:r w:rsidRPr="00167CB8">
        <w:rPr>
          <w:rFonts w:eastAsia="Aptos" w:cs="Aptos"/>
        </w:rPr>
        <w:t>term contracts directly between employers and employees.</w:t>
      </w:r>
    </w:p>
    <w:p w14:paraId="6328B58F" w14:textId="2D31E0B1" w:rsidR="00E31117" w:rsidRPr="00167CB8" w:rsidRDefault="003F066A" w:rsidP="00E31117">
      <w:r w:rsidRPr="00167CB8">
        <w:t>The rules for fixed</w:t>
      </w:r>
      <w:r w:rsidR="00BE6AA2" w:rsidRPr="00167CB8">
        <w:t>-</w:t>
      </w:r>
      <w:r w:rsidRPr="00167CB8">
        <w:t xml:space="preserve">term contracts in the live performance industry are </w:t>
      </w:r>
      <w:r w:rsidR="00E31117" w:rsidRPr="00167CB8">
        <w:t>now set out in the Live Performance Award.</w:t>
      </w:r>
      <w:r w:rsidR="00E31117" w:rsidRPr="00167CB8">
        <w:rPr>
          <w:rStyle w:val="FootnoteReference"/>
        </w:rPr>
        <w:footnoteReference w:id="942"/>
      </w:r>
      <w:r w:rsidR="00E31117" w:rsidRPr="00167CB8">
        <w:t xml:space="preserve"> The Review Panel notes that, consistent with the intended design of the </w:t>
      </w:r>
      <w:r w:rsidR="003C0348" w:rsidRPr="00167CB8">
        <w:t>S</w:t>
      </w:r>
      <w:r w:rsidR="00B8043A" w:rsidRPr="00167CB8">
        <w:t xml:space="preserve">ecure </w:t>
      </w:r>
      <w:r w:rsidR="003C0348" w:rsidRPr="00167CB8">
        <w:t>J</w:t>
      </w:r>
      <w:r w:rsidR="00B8043A" w:rsidRPr="00167CB8">
        <w:t>obs, Better Pay</w:t>
      </w:r>
      <w:r w:rsidR="003C0348" w:rsidRPr="00167CB8">
        <w:t xml:space="preserve"> amendments</w:t>
      </w:r>
      <w:r w:rsidR="00E31117" w:rsidRPr="00167CB8">
        <w:t xml:space="preserve">, the live performance industry </w:t>
      </w:r>
      <w:r w:rsidR="003C0348" w:rsidRPr="00167CB8">
        <w:t xml:space="preserve">had a time-limited exception in the </w:t>
      </w:r>
      <w:r w:rsidR="00E31117" w:rsidRPr="00167CB8">
        <w:t xml:space="preserve">Fair Work </w:t>
      </w:r>
      <w:r w:rsidR="00A14864" w:rsidRPr="00167CB8">
        <w:t>R</w:t>
      </w:r>
      <w:r w:rsidR="00E31117" w:rsidRPr="00167CB8">
        <w:t>egulations</w:t>
      </w:r>
      <w:r w:rsidR="003C0348" w:rsidRPr="00167CB8">
        <w:t xml:space="preserve"> (which expired on 1 November 2024) while they made updates to the award.</w:t>
      </w:r>
      <w:r w:rsidR="003C0348" w:rsidRPr="00167CB8">
        <w:rPr>
          <w:rStyle w:val="FootnoteReference"/>
        </w:rPr>
        <w:footnoteReference w:id="943"/>
      </w:r>
    </w:p>
    <w:p w14:paraId="709E225D" w14:textId="170C164C" w:rsidR="009A1D5D" w:rsidRPr="00167CB8" w:rsidRDefault="00027B7E" w:rsidP="006000ED">
      <w:pPr>
        <w:rPr>
          <w:rFonts w:eastAsia="Aptos" w:cs="Aptos"/>
        </w:rPr>
      </w:pPr>
      <w:r w:rsidRPr="00167CB8">
        <w:rPr>
          <w:rFonts w:eastAsia="Aptos" w:cs="Aptos"/>
        </w:rPr>
        <w:t>The Higher Education Industry – Academic Staff – Award 2020 and the Higher Education Industry – General Staff – Award 2020 (the HE Awards) permit fixed</w:t>
      </w:r>
      <w:r w:rsidR="00BE6AA2" w:rsidRPr="00167CB8">
        <w:rPr>
          <w:rFonts w:eastAsia="Aptos" w:cs="Aptos"/>
        </w:rPr>
        <w:t>-</w:t>
      </w:r>
      <w:r w:rsidRPr="00167CB8">
        <w:rPr>
          <w:rFonts w:eastAsia="Aptos" w:cs="Aptos"/>
        </w:rPr>
        <w:t>term employment in specific circumstances</w:t>
      </w:r>
      <w:r w:rsidR="002C41E0" w:rsidRPr="00167CB8">
        <w:rPr>
          <w:rFonts w:eastAsia="Aptos" w:cs="Aptos"/>
        </w:rPr>
        <w:t xml:space="preserve">. </w:t>
      </w:r>
      <w:r w:rsidR="00A5690B" w:rsidRPr="00167CB8">
        <w:rPr>
          <w:rFonts w:eastAsia="Aptos" w:cs="Aptos"/>
        </w:rPr>
        <w:t>As an outcome of the Modern Awards Review, o</w:t>
      </w:r>
      <w:r w:rsidR="009A1D5D" w:rsidRPr="00167CB8">
        <w:rPr>
          <w:rFonts w:eastAsia="Aptos" w:cs="Aptos"/>
        </w:rPr>
        <w:t>n 30 September 2024, the FWC began proceedings to review the fixed</w:t>
      </w:r>
      <w:r w:rsidR="00BE6AA2" w:rsidRPr="00167CB8">
        <w:rPr>
          <w:rFonts w:eastAsia="Aptos" w:cs="Aptos"/>
        </w:rPr>
        <w:t>-</w:t>
      </w:r>
      <w:r w:rsidR="009A1D5D" w:rsidRPr="00167CB8">
        <w:rPr>
          <w:rFonts w:eastAsia="Aptos" w:cs="Aptos"/>
        </w:rPr>
        <w:t xml:space="preserve">term contract provisions as contained within </w:t>
      </w:r>
      <w:r w:rsidR="009A1D5D" w:rsidRPr="00167CB8">
        <w:rPr>
          <w:rFonts w:eastAsia="Aptos" w:cs="Aptos"/>
        </w:rPr>
        <w:lastRenderedPageBreak/>
        <w:t xml:space="preserve">the </w:t>
      </w:r>
      <w:r w:rsidR="001109AE" w:rsidRPr="00167CB8">
        <w:rPr>
          <w:rFonts w:eastAsia="Aptos" w:cs="Aptos"/>
        </w:rPr>
        <w:t>HE Awards</w:t>
      </w:r>
      <w:r w:rsidR="009A1D5D" w:rsidRPr="00167CB8" w:rsidDel="00A5690B">
        <w:rPr>
          <w:rFonts w:eastAsia="Aptos" w:cs="Aptos"/>
        </w:rPr>
        <w:t>.</w:t>
      </w:r>
      <w:r w:rsidR="004E30C9" w:rsidRPr="00167CB8">
        <w:rPr>
          <w:rStyle w:val="FootnoteReference"/>
          <w:rFonts w:eastAsia="Aptos" w:cs="Aptos"/>
        </w:rPr>
        <w:footnoteReference w:id="944"/>
      </w:r>
      <w:r w:rsidR="00D00DFE" w:rsidRPr="00167CB8">
        <w:rPr>
          <w:rFonts w:eastAsia="Aptos" w:cs="Aptos"/>
        </w:rPr>
        <w:t xml:space="preserve"> </w:t>
      </w:r>
      <w:r w:rsidR="00D448D9" w:rsidRPr="00167CB8">
        <w:rPr>
          <w:rFonts w:eastAsia="Aptos" w:cs="Aptos"/>
        </w:rPr>
        <w:t>In doing so, the FWC</w:t>
      </w:r>
      <w:r w:rsidR="00D00DFE" w:rsidRPr="00167CB8">
        <w:rPr>
          <w:rFonts w:eastAsia="Aptos" w:cs="Aptos"/>
        </w:rPr>
        <w:t xml:space="preserve"> not</w:t>
      </w:r>
      <w:r w:rsidR="00D448D9" w:rsidRPr="00167CB8">
        <w:rPr>
          <w:rFonts w:eastAsia="Aptos" w:cs="Aptos"/>
        </w:rPr>
        <w:t>ed</w:t>
      </w:r>
      <w:r w:rsidR="00D00DFE" w:rsidRPr="00167CB8">
        <w:rPr>
          <w:rFonts w:eastAsia="Aptos" w:cs="Aptos"/>
        </w:rPr>
        <w:t xml:space="preserve"> that the provisions </w:t>
      </w:r>
      <w:r w:rsidR="00BE6AA2" w:rsidRPr="00167CB8">
        <w:rPr>
          <w:rFonts w:eastAsia="Aptos" w:cs="Aptos"/>
        </w:rPr>
        <w:t>‘</w:t>
      </w:r>
      <w:r w:rsidR="00D00DFE" w:rsidRPr="00167CB8">
        <w:rPr>
          <w:rFonts w:eastAsia="Aptos" w:cs="Aptos"/>
        </w:rPr>
        <w:t>were developed against the backdrop of a different legislative scheme – one that did not regulate the use, extension and renewal of fixed term contracts</w:t>
      </w:r>
      <w:r w:rsidR="00BE6AA2" w:rsidRPr="00167CB8">
        <w:rPr>
          <w:rFonts w:eastAsia="Aptos" w:cs="Aptos"/>
        </w:rPr>
        <w:t>’</w:t>
      </w:r>
      <w:r w:rsidR="00D00DFE" w:rsidRPr="00167CB8">
        <w:rPr>
          <w:rFonts w:eastAsia="Aptos" w:cs="Aptos"/>
        </w:rPr>
        <w:t>.</w:t>
      </w:r>
      <w:r w:rsidR="00D00DFE" w:rsidRPr="00167CB8">
        <w:rPr>
          <w:rStyle w:val="FootnoteReference"/>
          <w:rFonts w:eastAsia="Aptos" w:cs="Aptos"/>
        </w:rPr>
        <w:footnoteReference w:id="945"/>
      </w:r>
      <w:r w:rsidR="00D00DFE" w:rsidRPr="00167CB8">
        <w:rPr>
          <w:rFonts w:eastAsia="Aptos" w:cs="Aptos"/>
        </w:rPr>
        <w:t xml:space="preserve"> </w:t>
      </w:r>
      <w:r w:rsidR="00BC0920" w:rsidRPr="00167CB8">
        <w:rPr>
          <w:rFonts w:eastAsia="Aptos" w:cs="Aptos"/>
        </w:rPr>
        <w:t>The FWC has also noted</w:t>
      </w:r>
      <w:r w:rsidR="00D448D9" w:rsidRPr="00167CB8">
        <w:rPr>
          <w:rFonts w:eastAsia="Aptos" w:cs="Aptos"/>
        </w:rPr>
        <w:t xml:space="preserve"> </w:t>
      </w:r>
      <w:r w:rsidR="00BC0920" w:rsidRPr="00167CB8">
        <w:rPr>
          <w:rFonts w:eastAsia="Aptos" w:cs="Aptos"/>
        </w:rPr>
        <w:t xml:space="preserve">some </w:t>
      </w:r>
      <w:r w:rsidR="00D448D9" w:rsidRPr="00167CB8">
        <w:rPr>
          <w:rFonts w:eastAsia="Aptos" w:cs="Aptos"/>
        </w:rPr>
        <w:t>stakeholder</w:t>
      </w:r>
      <w:r w:rsidR="00BC0920" w:rsidRPr="00167CB8">
        <w:rPr>
          <w:rFonts w:eastAsia="Aptos" w:cs="Aptos"/>
        </w:rPr>
        <w:t xml:space="preserve"> views</w:t>
      </w:r>
      <w:r w:rsidR="00D448D9" w:rsidRPr="00167CB8">
        <w:rPr>
          <w:rFonts w:eastAsia="Aptos" w:cs="Aptos"/>
        </w:rPr>
        <w:t xml:space="preserve"> about the suitability of these provisions in light of the </w:t>
      </w:r>
      <w:r w:rsidR="00A55F8E" w:rsidRPr="00167CB8">
        <w:rPr>
          <w:rFonts w:cstheme="minorHAnsi"/>
        </w:rPr>
        <w:t>Secure Jobs, Better Pay</w:t>
      </w:r>
      <w:r w:rsidR="00D448D9" w:rsidRPr="00167CB8">
        <w:rPr>
          <w:rFonts w:eastAsia="Aptos" w:cs="Aptos"/>
        </w:rPr>
        <w:t xml:space="preserve"> amendments.</w:t>
      </w:r>
      <w:r w:rsidR="00D448D9" w:rsidRPr="00167CB8">
        <w:rPr>
          <w:rStyle w:val="FootnoteReference"/>
          <w:rFonts w:eastAsia="Aptos" w:cs="Aptos"/>
        </w:rPr>
        <w:footnoteReference w:id="946"/>
      </w:r>
    </w:p>
    <w:p w14:paraId="63E7819F" w14:textId="4B7D166C" w:rsidR="005B1090" w:rsidRPr="00167CB8" w:rsidRDefault="00D00DFE" w:rsidP="006000ED">
      <w:pPr>
        <w:spacing w:after="0"/>
        <w:rPr>
          <w:rFonts w:eastAsia="Aptos" w:cs="Aptos"/>
        </w:rPr>
      </w:pPr>
      <w:r w:rsidRPr="00167CB8">
        <w:rPr>
          <w:rFonts w:eastAsia="Aptos" w:cs="Aptos"/>
        </w:rPr>
        <w:t>Th</w:t>
      </w:r>
      <w:r w:rsidR="00BC0920" w:rsidRPr="00167CB8">
        <w:rPr>
          <w:rFonts w:eastAsia="Aptos" w:cs="Aptos"/>
        </w:rPr>
        <w:t>e FWC’s review</w:t>
      </w:r>
      <w:r w:rsidRPr="00167CB8">
        <w:rPr>
          <w:rFonts w:eastAsia="Aptos" w:cs="Aptos"/>
        </w:rPr>
        <w:t xml:space="preserve"> will consider whether any changes are necess</w:t>
      </w:r>
      <w:r w:rsidR="00ED0A18" w:rsidRPr="00167CB8">
        <w:rPr>
          <w:rFonts w:eastAsia="Aptos" w:cs="Aptos"/>
        </w:rPr>
        <w:t>ary to ensure the HE Awards meet the modern awards objective to improve access to secure work across the economy</w:t>
      </w:r>
      <w:r w:rsidR="0082141D" w:rsidRPr="00167CB8">
        <w:rPr>
          <w:rFonts w:eastAsia="Aptos" w:cs="Aptos"/>
        </w:rPr>
        <w:t>.</w:t>
      </w:r>
      <w:r w:rsidR="0082141D" w:rsidRPr="00167CB8">
        <w:rPr>
          <w:rStyle w:val="FootnoteReference"/>
          <w:rFonts w:eastAsia="Aptos" w:cs="Aptos"/>
        </w:rPr>
        <w:footnoteReference w:id="947"/>
      </w:r>
    </w:p>
    <w:p w14:paraId="32D0CF69" w14:textId="38CCE180" w:rsidR="009A1D5D" w:rsidRPr="00167CB8" w:rsidRDefault="0024484D" w:rsidP="009A1D5D">
      <w:pPr>
        <w:pStyle w:val="Heading5"/>
        <w:rPr>
          <w:rFonts w:asciiTheme="minorHAnsi" w:hAnsiTheme="minorHAnsi"/>
        </w:rPr>
      </w:pPr>
      <w:bookmarkStart w:id="460" w:name="_Toc188003423"/>
      <w:r w:rsidRPr="00167CB8">
        <w:rPr>
          <w:rFonts w:asciiTheme="minorHAnsi" w:hAnsiTheme="minorHAnsi"/>
        </w:rPr>
        <w:t>30</w:t>
      </w:r>
      <w:r w:rsidR="006370D8" w:rsidRPr="00167CB8">
        <w:rPr>
          <w:rFonts w:asciiTheme="minorHAnsi" w:hAnsiTheme="minorHAnsi"/>
        </w:rPr>
        <w:t>.2.3</w:t>
      </w:r>
      <w:r w:rsidR="009A1D5D" w:rsidRPr="00167CB8">
        <w:rPr>
          <w:rFonts w:asciiTheme="minorHAnsi" w:hAnsiTheme="minorHAnsi"/>
        </w:rPr>
        <w:t xml:space="preserve"> Stakeholder views</w:t>
      </w:r>
      <w:bookmarkEnd w:id="460"/>
    </w:p>
    <w:p w14:paraId="708BDC02" w14:textId="45C01516" w:rsidR="00FE4D93" w:rsidRPr="00167CB8" w:rsidRDefault="00FE4D93" w:rsidP="00FE4D93">
      <w:r w:rsidRPr="00167CB8">
        <w:t xml:space="preserve">The general view among employer </w:t>
      </w:r>
      <w:r w:rsidR="00142D64" w:rsidRPr="00167CB8">
        <w:t>associations</w:t>
      </w:r>
      <w:r w:rsidRPr="00167CB8">
        <w:t xml:space="preserve"> was that the fixed</w:t>
      </w:r>
      <w:r w:rsidR="00BE6AA2" w:rsidRPr="00167CB8">
        <w:t>-</w:t>
      </w:r>
      <w:r w:rsidRPr="00167CB8">
        <w:t xml:space="preserve">term contract amendments were an overly complex solution to the perceived problem. </w:t>
      </w:r>
    </w:p>
    <w:p w14:paraId="0FB1C3E4" w14:textId="12A05926" w:rsidR="009A1D5D" w:rsidRPr="00167CB8" w:rsidRDefault="00FE4D93" w:rsidP="006000ED">
      <w:r w:rsidRPr="00167CB8">
        <w:t>E</w:t>
      </w:r>
      <w:r w:rsidR="009A1D5D" w:rsidRPr="00167CB8">
        <w:t xml:space="preserve">mployer </w:t>
      </w:r>
      <w:r w:rsidR="00142D64" w:rsidRPr="00167CB8">
        <w:t xml:space="preserve">associations </w:t>
      </w:r>
      <w:r w:rsidRPr="00167CB8">
        <w:t>have submitted</w:t>
      </w:r>
      <w:r w:rsidR="009A1D5D" w:rsidRPr="00167CB8">
        <w:t xml:space="preserve"> that the amendments concerning fixed</w:t>
      </w:r>
      <w:r w:rsidR="00BE6AA2" w:rsidRPr="00167CB8">
        <w:t>-</w:t>
      </w:r>
      <w:r w:rsidR="009A1D5D" w:rsidRPr="00167CB8">
        <w:t xml:space="preserve">term contracts have created confusion and anxiety among employers. Employer </w:t>
      </w:r>
      <w:r w:rsidR="00142D64" w:rsidRPr="00167CB8">
        <w:t>associations</w:t>
      </w:r>
      <w:r w:rsidR="009A1D5D" w:rsidRPr="00167CB8">
        <w:t xml:space="preserve"> almost unanimously described the processes for determining and applying </w:t>
      </w:r>
      <w:r w:rsidR="00A07821" w:rsidRPr="00167CB8">
        <w:t xml:space="preserve">exceptions </w:t>
      </w:r>
      <w:r w:rsidR="009A1D5D" w:rsidRPr="00167CB8">
        <w:t xml:space="preserve">as complex and challenging. The Review Panel heard that these amendments represent the most pressing issue </w:t>
      </w:r>
      <w:r w:rsidR="00BE6AA2" w:rsidRPr="00167CB8">
        <w:t xml:space="preserve">on </w:t>
      </w:r>
      <w:r w:rsidR="009A1D5D" w:rsidRPr="00167CB8">
        <w:t xml:space="preserve">which members are seeking advice from employer </w:t>
      </w:r>
      <w:r w:rsidR="00142D64" w:rsidRPr="00167CB8">
        <w:t>associations</w:t>
      </w:r>
      <w:r w:rsidR="009A1D5D" w:rsidRPr="00167CB8">
        <w:t>.</w:t>
      </w:r>
    </w:p>
    <w:p w14:paraId="31B4C604" w14:textId="18643F88" w:rsidR="009A1D5D" w:rsidRPr="00167CB8" w:rsidRDefault="002C4C37" w:rsidP="006000ED">
      <w:r w:rsidRPr="00167CB8">
        <w:t xml:space="preserve">For these stakeholders, </w:t>
      </w:r>
      <w:r w:rsidR="009A1D5D" w:rsidRPr="00167CB8">
        <w:t xml:space="preserve">this complexity </w:t>
      </w:r>
      <w:r w:rsidRPr="00167CB8">
        <w:t>is compounded by</w:t>
      </w:r>
      <w:r w:rsidR="009A1D5D" w:rsidRPr="00167CB8">
        <w:t xml:space="preserve"> the introduction of the </w:t>
      </w:r>
      <w:r w:rsidR="009A1D5D" w:rsidRPr="00167CB8">
        <w:rPr>
          <w:i/>
        </w:rPr>
        <w:t>Fair Work Legislation Amendment (Closing Loopholes No. 2) Act 2024</w:t>
      </w:r>
      <w:r w:rsidR="009A1D5D" w:rsidRPr="00167CB8">
        <w:t xml:space="preserve">, which establishes a new pathway for casual employees to seek permanent employment after meeting qualifying criteria. </w:t>
      </w:r>
      <w:r w:rsidR="003928E7" w:rsidRPr="00167CB8">
        <w:t>The perception of some stakeholders is that these subsequent amendments ha</w:t>
      </w:r>
      <w:r w:rsidR="00BE6AA2" w:rsidRPr="00167CB8">
        <w:t>ve</w:t>
      </w:r>
      <w:r w:rsidR="003928E7" w:rsidRPr="00167CB8">
        <w:t xml:space="preserve"> meant</w:t>
      </w:r>
      <w:r w:rsidR="009A1D5D" w:rsidRPr="00167CB8">
        <w:t xml:space="preserve"> that moving fixed-term employees onto casual contracts is a limited option given the new casual permanency pathway.</w:t>
      </w:r>
    </w:p>
    <w:p w14:paraId="2119BABC" w14:textId="70D48994" w:rsidR="009A1D5D" w:rsidRPr="00167CB8" w:rsidRDefault="009A1D5D" w:rsidP="006000ED">
      <w:r w:rsidRPr="00167CB8">
        <w:t xml:space="preserve">In summary, many employers remain uncertain about their obligations and the applicability of </w:t>
      </w:r>
      <w:r w:rsidR="004C11DF" w:rsidRPr="00167CB8">
        <w:t>exceptions</w:t>
      </w:r>
      <w:r w:rsidRPr="00167CB8">
        <w:t xml:space="preserve">. For instance, while employees engaged in training arrangements (e.g. apprenticeships) are exempt, there is </w:t>
      </w:r>
      <w:r w:rsidR="001931F3" w:rsidRPr="00167CB8">
        <w:t xml:space="preserve">a perceived </w:t>
      </w:r>
      <w:r w:rsidRPr="00167CB8">
        <w:t xml:space="preserve">ambiguity </w:t>
      </w:r>
      <w:r w:rsidR="00B92A0E" w:rsidRPr="00167CB8">
        <w:t>or gap</w:t>
      </w:r>
      <w:r w:rsidRPr="00167CB8">
        <w:t xml:space="preserve"> about whether this ex</w:t>
      </w:r>
      <w:r w:rsidR="000C1538" w:rsidRPr="00167CB8">
        <w:t>c</w:t>
      </w:r>
      <w:r w:rsidRPr="00167CB8">
        <w:t>eption extends to employees in graduate programs or students on internships.</w:t>
      </w:r>
      <w:r w:rsidR="002E258B" w:rsidRPr="00167CB8">
        <w:t xml:space="preserve"> </w:t>
      </w:r>
      <w:r w:rsidRPr="00167CB8">
        <w:t>Some industries are struggling to adapt their operations and budgeting practices to accommodate a shift towards employing more staff in ongoing roles. Employers have also reported that, in response to the changes, some employers are employing fewer workers or factoring potential redundancy costs into their financial planning</w:t>
      </w:r>
      <w:r w:rsidR="00BE6AA2" w:rsidRPr="00167CB8">
        <w:t xml:space="preserve"> </w:t>
      </w:r>
      <w:r w:rsidR="00BE6AA2" w:rsidRPr="00167CB8">
        <w:rPr>
          <w:rFonts w:ascii="Symbol" w:eastAsia="Symbol" w:hAnsi="Symbol" w:cs="Symbol"/>
        </w:rPr>
        <w:sym w:font="Symbol" w:char="F02D"/>
      </w:r>
      <w:r w:rsidR="00BE6AA2" w:rsidRPr="00167CB8">
        <w:t xml:space="preserve"> </w:t>
      </w:r>
      <w:r w:rsidRPr="00167CB8">
        <w:t>particularly when applying for government funding.</w:t>
      </w:r>
    </w:p>
    <w:p w14:paraId="52C32EB1" w14:textId="568F7FC8" w:rsidR="00206104" w:rsidRPr="00167CB8" w:rsidRDefault="00206104" w:rsidP="0058687C">
      <w:r w:rsidRPr="00167CB8">
        <w:t xml:space="preserve">The Review Panel notes that the Fair Work Act </w:t>
      </w:r>
      <w:r w:rsidR="00435F5A" w:rsidRPr="00167CB8">
        <w:t>has included indirect limitations on fixed</w:t>
      </w:r>
      <w:r w:rsidR="00BE6AA2" w:rsidRPr="00167CB8">
        <w:t>-</w:t>
      </w:r>
      <w:r w:rsidR="00435F5A" w:rsidRPr="00167CB8">
        <w:t xml:space="preserve">term contacts since its commencement, and </w:t>
      </w:r>
      <w:r w:rsidR="003F5549" w:rsidRPr="00167CB8">
        <w:t>conditions in the</w:t>
      </w:r>
      <w:r w:rsidR="00435F5A" w:rsidRPr="00167CB8">
        <w:t xml:space="preserve"> </w:t>
      </w:r>
      <w:r w:rsidR="00BE6AA2" w:rsidRPr="00167CB8">
        <w:t xml:space="preserve">National Employment Standards </w:t>
      </w:r>
      <w:r w:rsidR="003F5549" w:rsidRPr="00167CB8">
        <w:t>made clear that</w:t>
      </w:r>
      <w:r w:rsidR="00435F5A" w:rsidRPr="00167CB8">
        <w:t xml:space="preserve"> fixed</w:t>
      </w:r>
      <w:r w:rsidR="00BE6AA2" w:rsidRPr="00167CB8">
        <w:t>-</w:t>
      </w:r>
      <w:r w:rsidR="00435F5A" w:rsidRPr="00167CB8">
        <w:t xml:space="preserve">term contracts </w:t>
      </w:r>
      <w:r w:rsidR="003F5549" w:rsidRPr="00167CB8">
        <w:t>could not</w:t>
      </w:r>
      <w:r w:rsidR="00435F5A" w:rsidRPr="00167CB8">
        <w:t xml:space="preserve"> be used to avoid redundancy payments</w:t>
      </w:r>
      <w:r w:rsidR="003F5549" w:rsidRPr="00167CB8">
        <w:t xml:space="preserve"> well before the Secure Jobs, Better Pay amendments (whether or not this was well understood by employers)</w:t>
      </w:r>
      <w:r w:rsidR="00435F5A" w:rsidRPr="00167CB8">
        <w:t>.</w:t>
      </w:r>
      <w:r w:rsidR="00435F5A" w:rsidRPr="00167CB8">
        <w:rPr>
          <w:rStyle w:val="FootnoteReference"/>
        </w:rPr>
        <w:footnoteReference w:id="948"/>
      </w:r>
    </w:p>
    <w:p w14:paraId="50AA50AA" w14:textId="4E188291" w:rsidR="009A1D5D" w:rsidRPr="00167CB8" w:rsidRDefault="009A1D5D" w:rsidP="006000ED">
      <w:r w:rsidRPr="00167CB8">
        <w:t>Unions</w:t>
      </w:r>
      <w:r w:rsidR="00BE6AA2" w:rsidRPr="00167CB8">
        <w:t>,</w:t>
      </w:r>
      <w:r w:rsidR="00B54541" w:rsidRPr="00167CB8">
        <w:t xml:space="preserve"> </w:t>
      </w:r>
      <w:r w:rsidRPr="00167CB8">
        <w:t>on the other hand</w:t>
      </w:r>
      <w:r w:rsidR="00BE6AA2" w:rsidRPr="00167CB8">
        <w:t>,</w:t>
      </w:r>
      <w:r w:rsidR="00B54541" w:rsidRPr="00167CB8">
        <w:t xml:space="preserve"> report a mixed experience. Overall, unions have</w:t>
      </w:r>
      <w:r w:rsidRPr="00167CB8">
        <w:t xml:space="preserve"> noted a growing use of fixed</w:t>
      </w:r>
      <w:r w:rsidR="00BE6AA2" w:rsidRPr="00167CB8">
        <w:t>-</w:t>
      </w:r>
      <w:r w:rsidRPr="00167CB8">
        <w:t xml:space="preserve">term contracts in several industries, most notably the higher education sector. They </w:t>
      </w:r>
      <w:r w:rsidRPr="00167CB8">
        <w:lastRenderedPageBreak/>
        <w:t>voiced concerns that some employers are using fixed</w:t>
      </w:r>
      <w:r w:rsidR="00BE6AA2" w:rsidRPr="00167CB8">
        <w:t>-</w:t>
      </w:r>
      <w:r w:rsidRPr="00167CB8">
        <w:t>term contracts as an alternative to engaging in long</w:t>
      </w:r>
      <w:r w:rsidR="00437273" w:rsidRPr="00167CB8">
        <w:t>-</w:t>
      </w:r>
      <w:r w:rsidRPr="00167CB8">
        <w:t xml:space="preserve">term workforce planning. </w:t>
      </w:r>
    </w:p>
    <w:p w14:paraId="76007684" w14:textId="1D55CF6B" w:rsidR="009A226A" w:rsidRPr="00167CB8" w:rsidRDefault="00B54541" w:rsidP="009A226A">
      <w:r w:rsidRPr="00167CB8">
        <w:t>However</w:t>
      </w:r>
      <w:r w:rsidR="009A226A" w:rsidRPr="00167CB8">
        <w:t xml:space="preserve">, the Independent Education Union </w:t>
      </w:r>
      <w:r w:rsidRPr="00167CB8">
        <w:t>has</w:t>
      </w:r>
      <w:r w:rsidR="009A226A" w:rsidRPr="00167CB8">
        <w:t xml:space="preserve"> indicated that the </w:t>
      </w:r>
      <w:r w:rsidR="00A55F8E" w:rsidRPr="00167CB8">
        <w:rPr>
          <w:rFonts w:cstheme="minorHAnsi"/>
        </w:rPr>
        <w:t>Secure Jobs, Better Pay</w:t>
      </w:r>
      <w:r w:rsidR="009A226A" w:rsidRPr="00167CB8">
        <w:t xml:space="preserve"> amendments were </w:t>
      </w:r>
      <w:r w:rsidR="00094C6F" w:rsidRPr="00167CB8">
        <w:t xml:space="preserve">having an effect and </w:t>
      </w:r>
      <w:r w:rsidR="009A226A" w:rsidRPr="00167CB8">
        <w:t>limiting the use of fixed</w:t>
      </w:r>
      <w:r w:rsidR="00BE6AA2" w:rsidRPr="00167CB8">
        <w:t>-</w:t>
      </w:r>
      <w:r w:rsidR="009A226A" w:rsidRPr="00167CB8">
        <w:t>term contracts:</w:t>
      </w:r>
      <w:r w:rsidR="00BE6AA2" w:rsidRPr="00167CB8">
        <w:rPr>
          <w:rStyle w:val="FootnoteReference"/>
        </w:rPr>
        <w:footnoteReference w:id="949"/>
      </w:r>
    </w:p>
    <w:p w14:paraId="0ACFA795" w14:textId="520AEC35" w:rsidR="009A226A" w:rsidRPr="00167CB8" w:rsidRDefault="009A226A" w:rsidP="00BE6AA2">
      <w:pPr>
        <w:pStyle w:val="Quote"/>
      </w:pPr>
      <w:r w:rsidRPr="00167CB8">
        <w:t>Branches report that a significant number of employees have [have] had their contracts of employment varied from temporary to on-going. We estimate this number to be not less than 5000 nationally. There has been a similarly sharp reduction in the number of new employees commencing on fixed term contracts.</w:t>
      </w:r>
    </w:p>
    <w:p w14:paraId="30E55E81" w14:textId="482C968B" w:rsidR="009A1D5D" w:rsidRPr="00167CB8" w:rsidRDefault="009A1D5D" w:rsidP="006000ED">
      <w:r w:rsidRPr="00167CB8">
        <w:t xml:space="preserve">The </w:t>
      </w:r>
      <w:r w:rsidR="00BE6AA2" w:rsidRPr="00167CB8">
        <w:t xml:space="preserve">Australian Services Union </w:t>
      </w:r>
      <w:r w:rsidR="00094C6F" w:rsidRPr="00167CB8">
        <w:t>has submitted</w:t>
      </w:r>
      <w:r w:rsidRPr="00167CB8">
        <w:t xml:space="preserve"> that the ex</w:t>
      </w:r>
      <w:r w:rsidR="000C1538" w:rsidRPr="00167CB8">
        <w:t>c</w:t>
      </w:r>
      <w:r w:rsidRPr="00167CB8">
        <w:t xml:space="preserve">eptions granted to </w:t>
      </w:r>
      <w:r w:rsidR="00BE6AA2" w:rsidRPr="00167CB8">
        <w:t>c</w:t>
      </w:r>
      <w:r w:rsidRPr="00167CB8">
        <w:t xml:space="preserve">harities and government meant that many of their members were excluded. </w:t>
      </w:r>
      <w:r w:rsidR="00BE6AA2" w:rsidRPr="00167CB8">
        <w:t xml:space="preserve">The ASU </w:t>
      </w:r>
      <w:r w:rsidRPr="00167CB8">
        <w:t xml:space="preserve">regarded this as unnecessary. It was suggested that the root problem lay in the procurement processes of government and associated funding cycles. </w:t>
      </w:r>
      <w:r w:rsidR="00094C6F" w:rsidRPr="00167CB8">
        <w:t>Concerns were also raised with other exceptions.</w:t>
      </w:r>
    </w:p>
    <w:p w14:paraId="15EA9471" w14:textId="76204E74" w:rsidR="009A1D5D" w:rsidRPr="00167CB8" w:rsidRDefault="009A1D5D" w:rsidP="006000ED">
      <w:r w:rsidRPr="00167CB8">
        <w:t>The higher education sector, as noted, has the largest share of fixed</w:t>
      </w:r>
      <w:r w:rsidR="00EA3E2F" w:rsidRPr="00167CB8">
        <w:t>-</w:t>
      </w:r>
      <w:r w:rsidRPr="00167CB8">
        <w:t>term contracts</w:t>
      </w:r>
      <w:r w:rsidR="00EA3E2F" w:rsidRPr="00167CB8">
        <w:t>,</w:t>
      </w:r>
      <w:r w:rsidRPr="00167CB8">
        <w:t xml:space="preserve"> and debate has ensued </w:t>
      </w:r>
      <w:r w:rsidR="00872962" w:rsidRPr="00167CB8">
        <w:t xml:space="preserve">in the sector </w:t>
      </w:r>
      <w:r w:rsidRPr="00167CB8">
        <w:t xml:space="preserve">about the proper construction of </w:t>
      </w:r>
      <w:r w:rsidR="00EA3E2F" w:rsidRPr="00167CB8">
        <w:t>ss </w:t>
      </w:r>
      <w:r w:rsidRPr="00167CB8">
        <w:t xml:space="preserve">333E and 333F in the Act. </w:t>
      </w:r>
    </w:p>
    <w:p w14:paraId="2B93F885" w14:textId="496060AE" w:rsidR="009A1D5D" w:rsidRPr="00167CB8" w:rsidRDefault="009A1D5D" w:rsidP="006000ED">
      <w:r w:rsidRPr="00167CB8">
        <w:t>As part of the job security stream of the Modern Awards Review 2023</w:t>
      </w:r>
      <w:r w:rsidR="00EA3E2F" w:rsidRPr="00167CB8">
        <w:rPr>
          <w:rFonts w:ascii="Symbol" w:eastAsia="Symbol" w:hAnsi="Symbol" w:cs="Symbol"/>
        </w:rPr>
        <w:sym w:font="Symbol" w:char="F02D"/>
      </w:r>
      <w:r w:rsidRPr="00167CB8">
        <w:t xml:space="preserve">24, the National Tertiary Education Union </w:t>
      </w:r>
      <w:r w:rsidR="00872962" w:rsidRPr="00167CB8">
        <w:t xml:space="preserve">has </w:t>
      </w:r>
      <w:r w:rsidRPr="00167CB8">
        <w:t xml:space="preserve">submitted that the </w:t>
      </w:r>
      <w:r w:rsidR="008920D4" w:rsidRPr="00167CB8">
        <w:t>general</w:t>
      </w:r>
      <w:r w:rsidRPr="00167CB8">
        <w:t xml:space="preserve"> limitation on fixed</w:t>
      </w:r>
      <w:r w:rsidR="00EA3E2F" w:rsidRPr="00167CB8">
        <w:t>-</w:t>
      </w:r>
      <w:r w:rsidRPr="00167CB8">
        <w:t xml:space="preserve">term contracts does not apply to employees working under the </w:t>
      </w:r>
      <w:r w:rsidR="00B87447" w:rsidRPr="00167CB8">
        <w:t>HE</w:t>
      </w:r>
      <w:r w:rsidRPr="00167CB8">
        <w:t xml:space="preserve"> Awards because of the exception where a modern award applies to an employee and the modern award permits a fixed</w:t>
      </w:r>
      <w:r w:rsidR="00EA3E2F" w:rsidRPr="00167CB8">
        <w:t>-</w:t>
      </w:r>
      <w:r w:rsidRPr="00167CB8">
        <w:t>term contract greater than 2 years.</w:t>
      </w:r>
      <w:r w:rsidR="00E05F96" w:rsidRPr="00167CB8">
        <w:t xml:space="preserve"> The Review Panel understands this interpretation of the relevant provisions is in dispute and is yet to be determined by the FWC.</w:t>
      </w:r>
    </w:p>
    <w:p w14:paraId="66B1C002" w14:textId="2A6D47BB" w:rsidR="009A1D5D" w:rsidRPr="00167CB8" w:rsidRDefault="009A1D5D" w:rsidP="006000ED">
      <w:r w:rsidRPr="00167CB8">
        <w:t xml:space="preserve">The National Tertiary Education Union </w:t>
      </w:r>
      <w:r w:rsidR="001560A6" w:rsidRPr="00167CB8">
        <w:t xml:space="preserve">has submitted to FWC </w:t>
      </w:r>
      <w:r w:rsidRPr="00167CB8">
        <w:t xml:space="preserve">that </w:t>
      </w:r>
      <w:r w:rsidR="00EA3E2F" w:rsidRPr="00167CB8">
        <w:t>‘</w:t>
      </w:r>
      <w:r w:rsidRPr="00167CB8">
        <w:t>the higher education sector has moved from having the greatest level of restriction on the use of fixed-term employment to being far more permissive than the rest of the economy which is subject to the restrictions contained in s 333E</w:t>
      </w:r>
      <w:r w:rsidR="00EA3E2F" w:rsidRPr="00167CB8">
        <w:t>’</w:t>
      </w:r>
      <w:r w:rsidRPr="00167CB8">
        <w:t>.</w:t>
      </w:r>
      <w:r w:rsidRPr="00167CB8">
        <w:rPr>
          <w:rStyle w:val="FootnoteReference"/>
        </w:rPr>
        <w:footnoteReference w:id="950"/>
      </w:r>
      <w:r w:rsidRPr="00167CB8">
        <w:rPr>
          <w:rStyle w:val="FootnoteReference"/>
          <w:vertAlign w:val="baseline"/>
        </w:rPr>
        <w:t xml:space="preserve"> </w:t>
      </w:r>
      <w:r w:rsidR="00EA3E2F" w:rsidRPr="00167CB8">
        <w:t xml:space="preserve">It </w:t>
      </w:r>
      <w:r w:rsidRPr="00167CB8">
        <w:t xml:space="preserve">submitted that the </w:t>
      </w:r>
      <w:r w:rsidR="003A00B0" w:rsidRPr="00167CB8">
        <w:t>HE</w:t>
      </w:r>
      <w:r w:rsidRPr="00167CB8">
        <w:t xml:space="preserve"> Awards do not meet the modern awards objective to improve access to secure work across the economy.</w:t>
      </w:r>
      <w:r w:rsidRPr="00167CB8">
        <w:rPr>
          <w:rStyle w:val="FootnoteReference"/>
        </w:rPr>
        <w:footnoteReference w:id="951"/>
      </w:r>
      <w:r w:rsidRPr="00167CB8">
        <w:t xml:space="preserve"> </w:t>
      </w:r>
    </w:p>
    <w:p w14:paraId="4C2007AF" w14:textId="6B74B914" w:rsidR="009A1D5D" w:rsidRPr="00167CB8" w:rsidRDefault="009A1D5D" w:rsidP="006000ED">
      <w:r w:rsidRPr="00167CB8">
        <w:t xml:space="preserve">The Australian Higher Education Industrial Association, however, </w:t>
      </w:r>
      <w:r w:rsidR="00347BA0" w:rsidRPr="00167CB8">
        <w:t xml:space="preserve">has submitted to FWC </w:t>
      </w:r>
      <w:r w:rsidRPr="00167CB8">
        <w:t>that employees on fixed</w:t>
      </w:r>
      <w:r w:rsidR="00EA3E2F" w:rsidRPr="00167CB8">
        <w:t>-</w:t>
      </w:r>
      <w:r w:rsidRPr="00167CB8">
        <w:t>term contracts have the same pay and entitlements as permanent employees in the higher education sector.</w:t>
      </w:r>
      <w:r w:rsidRPr="00167CB8">
        <w:rPr>
          <w:rStyle w:val="FootnoteReference"/>
        </w:rPr>
        <w:footnoteReference w:id="952"/>
      </w:r>
      <w:r w:rsidRPr="00167CB8">
        <w:t xml:space="preserve"> They also submitted that the </w:t>
      </w:r>
      <w:r w:rsidR="00A55F8E" w:rsidRPr="00167CB8">
        <w:rPr>
          <w:rFonts w:cstheme="minorHAnsi"/>
        </w:rPr>
        <w:t>Secure Jobs, Better Pay</w:t>
      </w:r>
      <w:r w:rsidRPr="00167CB8">
        <w:t xml:space="preserve"> amendments warranted a review of the arrangements in the </w:t>
      </w:r>
      <w:r w:rsidR="00EA3E2F" w:rsidRPr="00167CB8">
        <w:t xml:space="preserve">HE </w:t>
      </w:r>
      <w:r w:rsidRPr="00167CB8">
        <w:t>Awards.</w:t>
      </w:r>
      <w:r w:rsidRPr="00167CB8">
        <w:rPr>
          <w:rStyle w:val="FootnoteReference"/>
        </w:rPr>
        <w:footnoteReference w:id="953"/>
      </w:r>
      <w:r w:rsidR="006C69DA" w:rsidRPr="00167CB8">
        <w:t xml:space="preserve"> Again, the Review Panel understands these matters are in dispute before the FWC and are yet to be determined.</w:t>
      </w:r>
    </w:p>
    <w:p w14:paraId="3E91A7B4" w14:textId="60D82503" w:rsidR="00B86659" w:rsidRPr="00167CB8" w:rsidRDefault="00B86659" w:rsidP="006000ED">
      <w:r w:rsidRPr="00167CB8">
        <w:t xml:space="preserve">As outlined above, the FWC </w:t>
      </w:r>
      <w:r w:rsidR="00A945E2" w:rsidRPr="00167CB8">
        <w:t>review is ongoing</w:t>
      </w:r>
      <w:r w:rsidRPr="00167CB8">
        <w:t xml:space="preserve">. </w:t>
      </w:r>
    </w:p>
    <w:p w14:paraId="0B456651" w14:textId="6189F6C5" w:rsidR="009A1D5D" w:rsidRPr="00167CB8" w:rsidRDefault="0024484D" w:rsidP="009A1D5D">
      <w:pPr>
        <w:pStyle w:val="Heading4"/>
        <w:rPr>
          <w:rFonts w:asciiTheme="minorHAnsi" w:hAnsiTheme="minorHAnsi"/>
        </w:rPr>
      </w:pPr>
      <w:bookmarkStart w:id="461" w:name="_Toc188003424"/>
      <w:bookmarkStart w:id="462" w:name="_Toc188277960"/>
      <w:bookmarkStart w:id="463" w:name="_Toc189260311"/>
      <w:bookmarkStart w:id="464" w:name="_Toc189393627"/>
      <w:r w:rsidRPr="00167CB8">
        <w:rPr>
          <w:rFonts w:asciiTheme="minorHAnsi" w:hAnsiTheme="minorHAnsi"/>
        </w:rPr>
        <w:lastRenderedPageBreak/>
        <w:t>30</w:t>
      </w:r>
      <w:r w:rsidR="006370D8" w:rsidRPr="00167CB8">
        <w:rPr>
          <w:rFonts w:asciiTheme="minorHAnsi" w:hAnsiTheme="minorHAnsi"/>
        </w:rPr>
        <w:t>.3</w:t>
      </w:r>
      <w:r w:rsidR="009A1D5D" w:rsidRPr="00167CB8">
        <w:rPr>
          <w:rFonts w:asciiTheme="minorHAnsi" w:hAnsiTheme="minorHAnsi"/>
        </w:rPr>
        <w:t xml:space="preserve"> Findings </w:t>
      </w:r>
      <w:r w:rsidR="00EA3E2F" w:rsidRPr="00167CB8">
        <w:rPr>
          <w:rFonts w:asciiTheme="minorHAnsi" w:hAnsiTheme="minorHAnsi"/>
        </w:rPr>
        <w:t>and r</w:t>
      </w:r>
      <w:r w:rsidR="009A1D5D" w:rsidRPr="00167CB8">
        <w:rPr>
          <w:rFonts w:asciiTheme="minorHAnsi" w:hAnsiTheme="minorHAnsi"/>
        </w:rPr>
        <w:t>ecommendations</w:t>
      </w:r>
      <w:bookmarkEnd w:id="461"/>
      <w:bookmarkEnd w:id="462"/>
      <w:bookmarkEnd w:id="463"/>
      <w:bookmarkEnd w:id="464"/>
    </w:p>
    <w:p w14:paraId="52120B9B" w14:textId="50DF9179" w:rsidR="009A1D5D" w:rsidRPr="00167CB8" w:rsidRDefault="009A1D5D" w:rsidP="006000ED">
      <w:r w:rsidRPr="00167CB8">
        <w:t xml:space="preserve">Section 333F of the </w:t>
      </w:r>
      <w:r w:rsidR="001C7DC0" w:rsidRPr="00167CB8">
        <w:t xml:space="preserve">Fair Work </w:t>
      </w:r>
      <w:r w:rsidRPr="00167CB8">
        <w:t>Act outlines numerous ex</w:t>
      </w:r>
      <w:r w:rsidR="000C1538" w:rsidRPr="00167CB8">
        <w:t>c</w:t>
      </w:r>
      <w:r w:rsidRPr="00167CB8">
        <w:t xml:space="preserve">eptions </w:t>
      </w:r>
      <w:r w:rsidR="00244BD3" w:rsidRPr="00167CB8">
        <w:t xml:space="preserve">to the fixed term contract limitations which sit </w:t>
      </w:r>
      <w:r w:rsidRPr="00167CB8">
        <w:t>alongside ex</w:t>
      </w:r>
      <w:r w:rsidR="000C1538" w:rsidRPr="00167CB8">
        <w:t>c</w:t>
      </w:r>
      <w:r w:rsidRPr="00167CB8">
        <w:t xml:space="preserve">eptions in the </w:t>
      </w:r>
      <w:r w:rsidR="00EA3E2F" w:rsidRPr="00167CB8">
        <w:t xml:space="preserve">Fair Work </w:t>
      </w:r>
      <w:r w:rsidRPr="00167CB8">
        <w:t xml:space="preserve">Regulations and modern awards. </w:t>
      </w:r>
      <w:r w:rsidR="00491BE1" w:rsidRPr="00167CB8">
        <w:t xml:space="preserve">Noting </w:t>
      </w:r>
      <w:r w:rsidR="00EA3E2F" w:rsidRPr="00167CB8">
        <w:t xml:space="preserve">it </w:t>
      </w:r>
      <w:r w:rsidR="00491BE1" w:rsidRPr="00167CB8">
        <w:t>has been a little over 12 months since the commencement of the provisions and the current multiple sector specific temporary exceptions, there is limited evidence to assess the impacts of the framework</w:t>
      </w:r>
      <w:r w:rsidRPr="00167CB8">
        <w:t>.</w:t>
      </w:r>
    </w:p>
    <w:p w14:paraId="19542C07" w14:textId="7E8A8431" w:rsidR="009A1D5D" w:rsidRPr="00167CB8" w:rsidRDefault="009A1D5D" w:rsidP="006000ED">
      <w:r w:rsidRPr="00167CB8">
        <w:t xml:space="preserve">The FWC, on its own initiative, has </w:t>
      </w:r>
      <w:r w:rsidR="00604057" w:rsidRPr="00167CB8">
        <w:t>commenced a matter</w:t>
      </w:r>
      <w:r w:rsidRPr="00167CB8">
        <w:t xml:space="preserve"> to assess the suitability of the fixed</w:t>
      </w:r>
      <w:r w:rsidR="00EA3E2F" w:rsidRPr="00167CB8">
        <w:t>-</w:t>
      </w:r>
      <w:r w:rsidRPr="00167CB8">
        <w:t>term contract provisions in higher education awards. Outcomes from these proceedings are pending.</w:t>
      </w:r>
      <w:r w:rsidRPr="00167CB8">
        <w:rPr>
          <w:rStyle w:val="FootnoteReference"/>
        </w:rPr>
        <w:footnoteReference w:id="954"/>
      </w:r>
    </w:p>
    <w:p w14:paraId="4D29CB01" w14:textId="64BB1F5D" w:rsidR="009A1D5D" w:rsidRPr="00167CB8" w:rsidRDefault="009A1D5D" w:rsidP="006000ED">
      <w:r w:rsidRPr="00167CB8">
        <w:t xml:space="preserve">ABS data indicates that, contrary to the intentions of the </w:t>
      </w:r>
      <w:r w:rsidR="00A55F8E" w:rsidRPr="00167CB8">
        <w:rPr>
          <w:rFonts w:cstheme="minorHAnsi"/>
        </w:rPr>
        <w:t>Secure Jobs, Better Pay</w:t>
      </w:r>
      <w:r w:rsidRPr="00167CB8">
        <w:t xml:space="preserve"> Act, the number of employees on fixed</w:t>
      </w:r>
      <w:r w:rsidR="00EA3E2F" w:rsidRPr="00167CB8">
        <w:t>-</w:t>
      </w:r>
      <w:r w:rsidRPr="00167CB8">
        <w:t xml:space="preserve">term contracts has reached its highest level in a decade. Growth has been particularly strong in the </w:t>
      </w:r>
      <w:r w:rsidR="00EA3E2F" w:rsidRPr="00167CB8">
        <w:t>e</w:t>
      </w:r>
      <w:r w:rsidRPr="00167CB8">
        <w:t xml:space="preserve">ducation and training sector and the </w:t>
      </w:r>
      <w:r w:rsidR="00EA3E2F" w:rsidRPr="00167CB8">
        <w:t>h</w:t>
      </w:r>
      <w:r w:rsidRPr="00167CB8">
        <w:t>ealth care and social assistance sector. These trends may be an unintended consequence, potentially reflecting efforts by employers in exempted sectors to engage employees on fixed-term contracts before the ex</w:t>
      </w:r>
      <w:r w:rsidR="000C1538" w:rsidRPr="00167CB8">
        <w:t>c</w:t>
      </w:r>
      <w:r w:rsidRPr="00167CB8">
        <w:t xml:space="preserve">eption period ends. </w:t>
      </w:r>
      <w:r w:rsidR="00662632" w:rsidRPr="00167CB8">
        <w:t>There may be other contributing factors.</w:t>
      </w:r>
    </w:p>
    <w:p w14:paraId="575DC39F" w14:textId="4E8C44E1" w:rsidR="009A1D5D" w:rsidRPr="00167CB8" w:rsidRDefault="009A1D5D" w:rsidP="006000ED">
      <w:r w:rsidRPr="00167CB8">
        <w:t>Analysis of HILDA data shows that approximately 50% of employees on fixed-term contracts transition to permanent employment, with only a small proportion moving into casual roles. This transition rate to permanent contracts has remained stable over the past 15 years.</w:t>
      </w:r>
    </w:p>
    <w:p w14:paraId="432697EF" w14:textId="6CAFAA28" w:rsidR="009A1D5D" w:rsidRPr="00167CB8" w:rsidRDefault="009A1D5D" w:rsidP="006000ED">
      <w:r w:rsidRPr="00167CB8">
        <w:t xml:space="preserve">Employer </w:t>
      </w:r>
      <w:r w:rsidR="00142D64" w:rsidRPr="00167CB8">
        <w:t>associations</w:t>
      </w:r>
      <w:r w:rsidRPr="00167CB8">
        <w:t xml:space="preserve"> have called for the repeal of the </w:t>
      </w:r>
      <w:r w:rsidR="00E60C76" w:rsidRPr="00167CB8">
        <w:t>Fair Work Act</w:t>
      </w:r>
      <w:r w:rsidRPr="00167CB8">
        <w:t xml:space="preserve"> amendments concerning fixed-term contracts. Conversely, unions have raised concerns that the extensive </w:t>
      </w:r>
      <w:r w:rsidR="000C0865" w:rsidRPr="00167CB8">
        <w:t xml:space="preserve">exceptions </w:t>
      </w:r>
      <w:r w:rsidRPr="00167CB8">
        <w:t>prevent many of their members from benefiting from the legislation.</w:t>
      </w:r>
    </w:p>
    <w:p w14:paraId="3A9F7840" w14:textId="433F68D2" w:rsidR="009A1D5D" w:rsidRPr="00167CB8" w:rsidRDefault="009A1D5D" w:rsidP="006000ED">
      <w:r w:rsidRPr="00167CB8">
        <w:t xml:space="preserve">The Review Panel concludes that the </w:t>
      </w:r>
      <w:r w:rsidR="00C931D2" w:rsidRPr="00167CB8">
        <w:t xml:space="preserve">strong </w:t>
      </w:r>
      <w:r w:rsidR="003340F9" w:rsidRPr="00167CB8">
        <w:t xml:space="preserve">stakeholder perceptions about </w:t>
      </w:r>
      <w:r w:rsidRPr="00167CB8">
        <w:t xml:space="preserve">uncertainties and ambiguities created by the </w:t>
      </w:r>
      <w:r w:rsidR="000C0865" w:rsidRPr="00167CB8">
        <w:t xml:space="preserve">exceptions </w:t>
      </w:r>
      <w:r w:rsidRPr="00167CB8">
        <w:t xml:space="preserve">and extensions have </w:t>
      </w:r>
      <w:r w:rsidR="009C4964" w:rsidRPr="00167CB8">
        <w:t xml:space="preserve">potentially </w:t>
      </w:r>
      <w:r w:rsidRPr="00167CB8">
        <w:t>undermined the intended effect of the legislation</w:t>
      </w:r>
      <w:r w:rsidR="009C4964" w:rsidRPr="00167CB8">
        <w:t xml:space="preserve"> in the short te</w:t>
      </w:r>
      <w:r w:rsidR="001614F6" w:rsidRPr="00167CB8">
        <w:t>r</w:t>
      </w:r>
      <w:r w:rsidR="009C4964" w:rsidRPr="00167CB8">
        <w:t>m</w:t>
      </w:r>
      <w:r w:rsidRPr="00167CB8">
        <w:t>.</w:t>
      </w:r>
    </w:p>
    <w:p w14:paraId="135CF6ED" w14:textId="09AA4FE9" w:rsidR="009A1D5D" w:rsidRPr="00167CB8" w:rsidRDefault="009A1D5D" w:rsidP="006000ED">
      <w:r w:rsidRPr="00167CB8">
        <w:t>The limitation on fixed</w:t>
      </w:r>
      <w:r w:rsidR="00EA3E2F" w:rsidRPr="00167CB8">
        <w:t>-</w:t>
      </w:r>
      <w:r w:rsidRPr="00167CB8">
        <w:t xml:space="preserve">term contracts was intended to achieve the overarching goal of the </w:t>
      </w:r>
      <w:r w:rsidR="00A55F8E" w:rsidRPr="00167CB8">
        <w:rPr>
          <w:rFonts w:cstheme="minorHAnsi"/>
        </w:rPr>
        <w:t>Secure Jobs, Better Pay</w:t>
      </w:r>
      <w:r w:rsidRPr="00167CB8">
        <w:t xml:space="preserve"> amendments to improve job security. The</w:t>
      </w:r>
      <w:r w:rsidRPr="00167CB8" w:rsidDel="0046104D">
        <w:t xml:space="preserve"> </w:t>
      </w:r>
      <w:r w:rsidR="0046104D" w:rsidRPr="00167CB8">
        <w:t>Review</w:t>
      </w:r>
      <w:r w:rsidRPr="00167CB8">
        <w:t xml:space="preserve"> Panel agrees that </w:t>
      </w:r>
      <w:r w:rsidR="000A7B42" w:rsidRPr="00167CB8">
        <w:t xml:space="preserve">in many cases it is </w:t>
      </w:r>
      <w:r w:rsidRPr="00167CB8">
        <w:t xml:space="preserve">more appropriate and beneficial to employ workers in secure, ongoing roles rather than on rolling contracts. However, </w:t>
      </w:r>
      <w:r w:rsidR="0033063E" w:rsidRPr="00167CB8">
        <w:t>it is clear that many fixed term contracts last more than two years or two renewals and that they can be an appropriate form of employment (from stakeholder feedback and the number of exceptions).</w:t>
      </w:r>
    </w:p>
    <w:p w14:paraId="7079939F" w14:textId="4A3FA797" w:rsidR="009A1D5D" w:rsidRPr="00167CB8" w:rsidRDefault="009A1D5D" w:rsidP="006000ED">
      <w:r w:rsidRPr="00167CB8">
        <w:t>There is limited evidence available about the use of fixed</w:t>
      </w:r>
      <w:r w:rsidR="00EA3E2F" w:rsidRPr="00167CB8">
        <w:t>-</w:t>
      </w:r>
      <w:r w:rsidRPr="00167CB8">
        <w:t xml:space="preserve">term contracts to assess the extent to which their use is appropriate or contrary to the broader job security goals. General reporting mechanisms (whether through WGEA or others) as well as more detailed reporting of the </w:t>
      </w:r>
      <w:r w:rsidR="00AE50FC" w:rsidRPr="00167CB8">
        <w:t xml:space="preserve">use of </w:t>
      </w:r>
      <w:r w:rsidRPr="00167CB8">
        <w:t>ex</w:t>
      </w:r>
      <w:r w:rsidR="000C1538" w:rsidRPr="00167CB8">
        <w:t>c</w:t>
      </w:r>
      <w:r w:rsidRPr="00167CB8">
        <w:t>eptions would better inform future policy in this area</w:t>
      </w:r>
      <w:r w:rsidR="003903C5" w:rsidRPr="00167CB8">
        <w:t xml:space="preserve"> and </w:t>
      </w:r>
      <w:r w:rsidR="003903C5" w:rsidRPr="00167CB8">
        <w:rPr>
          <w:rFonts w:eastAsia="Times New Roman" w:cs="Calibri"/>
          <w:lang w:eastAsia="en-AU"/>
        </w:rPr>
        <w:t>a further review (see Draft Recommendation 1)</w:t>
      </w:r>
      <w:r w:rsidRPr="00167CB8">
        <w:t>. Such research could also provide more insights into the effects of fixed</w:t>
      </w:r>
      <w:r w:rsidR="00EA3E2F" w:rsidRPr="00167CB8">
        <w:t>-</w:t>
      </w:r>
      <w:r w:rsidRPr="00167CB8">
        <w:t>term contracts on workplaces and employees.</w:t>
      </w:r>
    </w:p>
    <w:p w14:paraId="025CD955" w14:textId="20428DE1" w:rsidR="00782B11" w:rsidRPr="00167CB8" w:rsidRDefault="009A1D5D" w:rsidP="005D079F">
      <w:r w:rsidRPr="00167CB8">
        <w:t xml:space="preserve">Alongside the complexity and confusion employers have experienced in implementing these reforms, the </w:t>
      </w:r>
      <w:r w:rsidR="003F0581" w:rsidRPr="00167CB8">
        <w:t xml:space="preserve">Review Panel notes that </w:t>
      </w:r>
      <w:r w:rsidRPr="00167CB8">
        <w:t xml:space="preserve">detailed evidence </w:t>
      </w:r>
      <w:r w:rsidR="00DD5AE5" w:rsidRPr="00167CB8">
        <w:t xml:space="preserve">is not available </w:t>
      </w:r>
      <w:r w:rsidRPr="00167CB8">
        <w:t>about the use of fixed</w:t>
      </w:r>
      <w:r w:rsidR="00EA3E2F" w:rsidRPr="00167CB8">
        <w:t>-</w:t>
      </w:r>
      <w:r w:rsidRPr="00167CB8">
        <w:t xml:space="preserve">term contracts </w:t>
      </w:r>
      <w:r w:rsidR="00DD5AE5" w:rsidRPr="00167CB8">
        <w:t xml:space="preserve">and the </w:t>
      </w:r>
      <w:r w:rsidR="00770127" w:rsidRPr="00167CB8">
        <w:t xml:space="preserve">choice to limit them to </w:t>
      </w:r>
      <w:r w:rsidR="00EA3E2F" w:rsidRPr="00167CB8">
        <w:t xml:space="preserve">2 </w:t>
      </w:r>
      <w:r w:rsidRPr="00167CB8">
        <w:t xml:space="preserve">years and </w:t>
      </w:r>
      <w:r w:rsidR="00EA3E2F" w:rsidRPr="00167CB8">
        <w:t xml:space="preserve">2 </w:t>
      </w:r>
      <w:r w:rsidRPr="00167CB8">
        <w:t>renewals.</w:t>
      </w:r>
      <w:r w:rsidR="00C04110" w:rsidRPr="00167CB8">
        <w:t xml:space="preserve"> </w:t>
      </w:r>
    </w:p>
    <w:p w14:paraId="02E1CE3C" w14:textId="3B54CCA1" w:rsidR="00F55E58" w:rsidRPr="00167CB8" w:rsidRDefault="00F55E58" w:rsidP="00F55E58">
      <w:r w:rsidRPr="00167CB8">
        <w:lastRenderedPageBreak/>
        <w:t xml:space="preserve">The Review Panel also accepts that the design of the framework created by the </w:t>
      </w:r>
      <w:r w:rsidR="00A55F8E" w:rsidRPr="00167CB8">
        <w:rPr>
          <w:rFonts w:cstheme="minorHAnsi"/>
        </w:rPr>
        <w:t>Secure Jobs, Better Pay</w:t>
      </w:r>
      <w:r w:rsidRPr="00167CB8">
        <w:t xml:space="preserve"> amendments does provide avenues to set out industry-specific conditions in modern awards as well as the option for additional exceptions through the Fair Work Regulations (the challenges have been with understanding and implementing it in practice).</w:t>
      </w:r>
    </w:p>
    <w:p w14:paraId="03CFDABE" w14:textId="08308387" w:rsidR="00782B11" w:rsidRPr="00167CB8" w:rsidRDefault="009A1D5D" w:rsidP="006000ED">
      <w:r w:rsidRPr="00167CB8">
        <w:t xml:space="preserve">The </w:t>
      </w:r>
      <w:r w:rsidR="00C04110" w:rsidRPr="00167CB8">
        <w:t>Review</w:t>
      </w:r>
      <w:r w:rsidRPr="00167CB8">
        <w:t xml:space="preserve"> Panel </w:t>
      </w:r>
      <w:r w:rsidR="005A31AE" w:rsidRPr="00167CB8">
        <w:t>acknowledges the perception of stakeholders about</w:t>
      </w:r>
      <w:r w:rsidRPr="00167CB8">
        <w:t xml:space="preserve"> the current system of exceptions in the F</w:t>
      </w:r>
      <w:r w:rsidR="00770127" w:rsidRPr="00167CB8">
        <w:t xml:space="preserve">air </w:t>
      </w:r>
      <w:r w:rsidRPr="00167CB8">
        <w:t>W</w:t>
      </w:r>
      <w:r w:rsidR="00770127" w:rsidRPr="00167CB8">
        <w:t>ork</w:t>
      </w:r>
      <w:r w:rsidRPr="00167CB8">
        <w:t> Act, F</w:t>
      </w:r>
      <w:r w:rsidR="00770127" w:rsidRPr="00167CB8">
        <w:t xml:space="preserve">air </w:t>
      </w:r>
      <w:r w:rsidRPr="00167CB8">
        <w:t>W</w:t>
      </w:r>
      <w:r w:rsidR="00770127" w:rsidRPr="00167CB8">
        <w:t>ork</w:t>
      </w:r>
      <w:r w:rsidRPr="00167CB8">
        <w:t xml:space="preserve"> Regulations and modern awards. </w:t>
      </w:r>
      <w:r w:rsidR="008B76CD" w:rsidRPr="00167CB8">
        <w:t xml:space="preserve">The Review Panel </w:t>
      </w:r>
      <w:r w:rsidR="00745929" w:rsidRPr="00167CB8">
        <w:t>also</w:t>
      </w:r>
      <w:r w:rsidR="008B76CD" w:rsidRPr="00167CB8">
        <w:t xml:space="preserve"> notes that</w:t>
      </w:r>
      <w:r w:rsidR="00EA3E2F" w:rsidRPr="00167CB8">
        <w:t>,</w:t>
      </w:r>
      <w:r w:rsidR="008B76CD" w:rsidRPr="00167CB8">
        <w:t xml:space="preserve"> </w:t>
      </w:r>
      <w:r w:rsidR="00E8521E" w:rsidRPr="00167CB8">
        <w:t>while</w:t>
      </w:r>
      <w:r w:rsidR="008B76CD" w:rsidRPr="00167CB8">
        <w:t xml:space="preserve"> the Secure Jobs, Better Pay amendments </w:t>
      </w:r>
      <w:r w:rsidR="00E8521E" w:rsidRPr="00167CB8">
        <w:t>introduced a new framework,</w:t>
      </w:r>
      <w:r w:rsidR="008B76CD" w:rsidRPr="00167CB8">
        <w:t xml:space="preserve"> the </w:t>
      </w:r>
      <w:r w:rsidR="00E8521E" w:rsidRPr="00167CB8">
        <w:t xml:space="preserve">Fair Work Act </w:t>
      </w:r>
      <w:r w:rsidR="00A15505" w:rsidRPr="00167CB8">
        <w:t>has included a</w:t>
      </w:r>
      <w:r w:rsidR="00E8521E" w:rsidRPr="00167CB8">
        <w:t xml:space="preserve"> limit </w:t>
      </w:r>
      <w:r w:rsidR="00A15505" w:rsidRPr="00167CB8">
        <w:t>on</w:t>
      </w:r>
      <w:r w:rsidR="00E8521E" w:rsidRPr="00167CB8">
        <w:t xml:space="preserve"> the use of fixed</w:t>
      </w:r>
      <w:r w:rsidR="00EA3E2F" w:rsidRPr="00167CB8">
        <w:t>-</w:t>
      </w:r>
      <w:r w:rsidR="00E8521E" w:rsidRPr="00167CB8">
        <w:t>term contracts</w:t>
      </w:r>
      <w:r w:rsidR="00A15505" w:rsidRPr="00167CB8">
        <w:t xml:space="preserve"> since commencement</w:t>
      </w:r>
      <w:r w:rsidR="00E8521E" w:rsidRPr="00167CB8">
        <w:t>.</w:t>
      </w:r>
      <w:r w:rsidR="00E129B5" w:rsidRPr="00167CB8">
        <w:rPr>
          <w:rStyle w:val="FootnoteReference"/>
        </w:rPr>
        <w:footnoteReference w:id="955"/>
      </w:r>
      <w:r w:rsidR="008B76CD" w:rsidRPr="00167CB8">
        <w:t xml:space="preserve"> </w:t>
      </w:r>
      <w:r w:rsidRPr="00167CB8">
        <w:t xml:space="preserve">While any new rules are challenging to implement with confidence (in the absence of cases and decisions to assure employers that they are interpreting the requirements correctly), the levels of anxiety experienced by </w:t>
      </w:r>
      <w:r w:rsidR="00E9046C" w:rsidRPr="00167CB8">
        <w:t xml:space="preserve">some </w:t>
      </w:r>
      <w:r w:rsidR="00EA3E2F" w:rsidRPr="00167CB8">
        <w:t xml:space="preserve">are </w:t>
      </w:r>
      <w:r w:rsidRPr="00167CB8">
        <w:t>clearly an unintended consequence of these amendments.</w:t>
      </w:r>
      <w:r w:rsidR="00C04110" w:rsidRPr="00167CB8">
        <w:t xml:space="preserve"> </w:t>
      </w:r>
    </w:p>
    <w:p w14:paraId="1B854414" w14:textId="483280F3" w:rsidR="00997288" w:rsidRPr="00167CB8" w:rsidRDefault="000B33F2" w:rsidP="000B33F2">
      <w:r w:rsidRPr="00167CB8">
        <w:t xml:space="preserve">Given the linkages to job security and noting work underway or completed in certain sectors to amend modern awards and implement these amendments in practice, the Review Panel accepts that some form of </w:t>
      </w:r>
      <w:r w:rsidR="001D6A09" w:rsidRPr="00167CB8">
        <w:t>limitation</w:t>
      </w:r>
      <w:r w:rsidRPr="00167CB8">
        <w:t xml:space="preserve"> on or disincentive against the use of fixed</w:t>
      </w:r>
      <w:r w:rsidR="00EA3E2F" w:rsidRPr="00167CB8">
        <w:t>-</w:t>
      </w:r>
      <w:r w:rsidRPr="00167CB8">
        <w:t xml:space="preserve">term contracts is appropriate. </w:t>
      </w:r>
    </w:p>
    <w:p w14:paraId="4981FC49" w14:textId="77777777" w:rsidR="00603C97" w:rsidRPr="00167CB8" w:rsidRDefault="00603C97" w:rsidP="00603C97">
      <w:r w:rsidRPr="00167CB8">
        <w:t>To identify potential Final Report recommendations, the Review Panel proposes alternative approaches to limiting the use of fixed term contracts for discussion. The first option is to make targeted improvements to the existing limitations (for example by making the exceptions clearer or increasing the two years and two renewals threshold). The second option is to replace the current Fair Work Act framework with a principles-based approach that gives the FWC more powers and responsibility (e.g. through modern awards).</w:t>
      </w:r>
    </w:p>
    <w:p w14:paraId="402B3E04" w14:textId="77777777" w:rsidR="006E035E" w:rsidRPr="00167CB8" w:rsidRDefault="006E035E" w:rsidP="006E035E">
      <w:pPr>
        <w:rPr>
          <w:b/>
          <w:bCs/>
        </w:rPr>
      </w:pPr>
      <w:r w:rsidRPr="00167CB8">
        <w:rPr>
          <w:b/>
          <w:bCs/>
        </w:rPr>
        <w:t>Draft Recommendation 16:  The Australian Government should reconsider the approach to limiting the use of fixed term contracts. The Review Panel is seeking stakeholder views on the following options:</w:t>
      </w:r>
    </w:p>
    <w:p w14:paraId="55F6E7E8" w14:textId="77777777" w:rsidR="00D638ED" w:rsidRPr="00167CB8" w:rsidRDefault="006E035E" w:rsidP="00567FCA">
      <w:pPr>
        <w:pStyle w:val="ListParagraph"/>
        <w:numPr>
          <w:ilvl w:val="0"/>
          <w:numId w:val="22"/>
        </w:numPr>
        <w:rPr>
          <w:b/>
          <w:bCs/>
        </w:rPr>
      </w:pPr>
      <w:r w:rsidRPr="00167CB8">
        <w:rPr>
          <w:b/>
          <w:bCs/>
          <w:sz w:val="22"/>
          <w:szCs w:val="22"/>
        </w:rPr>
        <w:t>amending the existing framework to make the limitation and current exceptions more readily applicable in practice (for example, by increasing the years/renewals threshold or clarifying the Australian Government funding exception), or</w:t>
      </w:r>
    </w:p>
    <w:p w14:paraId="0D285C7C" w14:textId="29E6A4E6" w:rsidR="006E035E" w:rsidRPr="00167CB8" w:rsidRDefault="006E035E" w:rsidP="00567FCA">
      <w:pPr>
        <w:pStyle w:val="ListParagraph"/>
        <w:numPr>
          <w:ilvl w:val="0"/>
          <w:numId w:val="22"/>
        </w:numPr>
        <w:rPr>
          <w:b/>
          <w:bCs/>
        </w:rPr>
      </w:pPr>
      <w:r w:rsidRPr="00167CB8">
        <w:rPr>
          <w:b/>
          <w:bCs/>
          <w:sz w:val="22"/>
          <w:szCs w:val="22"/>
        </w:rPr>
        <w:t>introducing a principles-based framework into the Fair Work Act with specific limitations and exemptions primarily determined through the FWC (further consideration would need to be given to technical aspects of implementation including application to award/agreement free employees).</w:t>
      </w:r>
    </w:p>
    <w:p w14:paraId="7D33CF31" w14:textId="0D8498DE" w:rsidR="0040649E" w:rsidRPr="00167CB8" w:rsidRDefault="0060210E" w:rsidP="00D638ED">
      <w:pPr>
        <w:pStyle w:val="ListBullet"/>
        <w:numPr>
          <w:ilvl w:val="0"/>
          <w:numId w:val="0"/>
        </w:numPr>
        <w:ind w:left="644" w:hanging="360"/>
      </w:pPr>
      <w:r w:rsidRPr="00167CB8">
        <w:br w:type="page"/>
      </w:r>
    </w:p>
    <w:p w14:paraId="3CE6328F" w14:textId="41DCC53B" w:rsidR="009A1D5D" w:rsidRPr="00167CB8" w:rsidRDefault="00396349" w:rsidP="009A1D5D">
      <w:pPr>
        <w:pStyle w:val="Heading3"/>
        <w:rPr>
          <w:rFonts w:asciiTheme="minorHAnsi" w:hAnsiTheme="minorHAnsi"/>
        </w:rPr>
      </w:pPr>
      <w:bookmarkStart w:id="465" w:name="_Toc188003425"/>
      <w:bookmarkStart w:id="466" w:name="_Toc188277961"/>
      <w:bookmarkStart w:id="467" w:name="_Toc189260312"/>
      <w:bookmarkStart w:id="468" w:name="_Toc189393628"/>
      <w:r w:rsidRPr="00167CB8">
        <w:rPr>
          <w:rFonts w:asciiTheme="minorHAnsi" w:hAnsiTheme="minorHAnsi"/>
        </w:rPr>
        <w:lastRenderedPageBreak/>
        <w:t>Chapter</w:t>
      </w:r>
      <w:r w:rsidR="006370D8" w:rsidRPr="00167CB8">
        <w:rPr>
          <w:rFonts w:asciiTheme="minorHAnsi" w:hAnsiTheme="minorHAnsi"/>
        </w:rPr>
        <w:t xml:space="preserve"> </w:t>
      </w:r>
      <w:r w:rsidR="004B3BE8" w:rsidRPr="00167CB8">
        <w:rPr>
          <w:rFonts w:asciiTheme="minorHAnsi" w:hAnsiTheme="minorHAnsi"/>
        </w:rPr>
        <w:t>31</w:t>
      </w:r>
      <w:r w:rsidR="006370D8" w:rsidRPr="00167CB8">
        <w:rPr>
          <w:rFonts w:asciiTheme="minorHAnsi" w:hAnsiTheme="minorHAnsi"/>
        </w:rPr>
        <w:t>.</w:t>
      </w:r>
      <w:r w:rsidR="009A1D5D" w:rsidRPr="00167CB8">
        <w:rPr>
          <w:rFonts w:asciiTheme="minorHAnsi" w:hAnsiTheme="minorHAnsi"/>
        </w:rPr>
        <w:t xml:space="preserve"> Flexible work</w:t>
      </w:r>
      <w:bookmarkEnd w:id="465"/>
      <w:bookmarkEnd w:id="466"/>
      <w:bookmarkEnd w:id="467"/>
      <w:bookmarkEnd w:id="468"/>
      <w:r w:rsidR="009A1D5D" w:rsidRPr="00167CB8">
        <w:rPr>
          <w:rFonts w:asciiTheme="minorHAnsi" w:hAnsiTheme="minorHAnsi"/>
          <w:color w:val="777778" w:themeColor="accent5"/>
        </w:rPr>
        <w:t xml:space="preserve"> </w:t>
      </w:r>
    </w:p>
    <w:p w14:paraId="662E7C6D" w14:textId="78E1B971" w:rsidR="009A1D5D" w:rsidRPr="00167CB8" w:rsidRDefault="009A1D5D" w:rsidP="009A1D5D">
      <w:pPr>
        <w:rPr>
          <w:color w:val="777778" w:themeColor="accent5"/>
        </w:rPr>
      </w:pPr>
      <w:r w:rsidRPr="00167CB8">
        <w:rPr>
          <w:rFonts w:cstheme="minorHAnsi"/>
        </w:rPr>
        <w:t xml:space="preserve">In this chapter the focus is on Part 11 (Flexible work) amendments in the </w:t>
      </w:r>
      <w:r w:rsidR="00A55F8E" w:rsidRPr="00167CB8">
        <w:rPr>
          <w:rFonts w:cstheme="minorHAnsi"/>
        </w:rPr>
        <w:t>Secure Jobs, Better Pay</w:t>
      </w:r>
      <w:r w:rsidRPr="00167CB8">
        <w:rPr>
          <w:rFonts w:cstheme="minorHAnsi"/>
        </w:rPr>
        <w:t xml:space="preserve"> Act.</w:t>
      </w:r>
      <w:r w:rsidRPr="00167CB8" w:rsidDel="00F84F80">
        <w:rPr>
          <w:color w:val="777778" w:themeColor="accent5"/>
        </w:rPr>
        <w:t xml:space="preserve"> </w:t>
      </w:r>
    </w:p>
    <w:p w14:paraId="206851B1" w14:textId="3A070E38" w:rsidR="009A1D5D" w:rsidRPr="00167CB8" w:rsidRDefault="0024484D" w:rsidP="009A1D5D">
      <w:pPr>
        <w:pStyle w:val="Heading4"/>
        <w:rPr>
          <w:rFonts w:asciiTheme="minorHAnsi" w:hAnsiTheme="minorHAnsi"/>
        </w:rPr>
      </w:pPr>
      <w:bookmarkStart w:id="469" w:name="_Toc188003426"/>
      <w:bookmarkStart w:id="470" w:name="_Toc188277962"/>
      <w:bookmarkStart w:id="471" w:name="_Toc189260313"/>
      <w:bookmarkStart w:id="472" w:name="_Toc189393629"/>
      <w:r w:rsidRPr="00167CB8">
        <w:rPr>
          <w:rFonts w:asciiTheme="minorHAnsi" w:hAnsiTheme="minorHAnsi"/>
        </w:rPr>
        <w:t>31</w:t>
      </w:r>
      <w:r w:rsidR="006370D8" w:rsidRPr="00167CB8">
        <w:rPr>
          <w:rFonts w:asciiTheme="minorHAnsi" w:hAnsiTheme="minorHAnsi"/>
        </w:rPr>
        <w:t>.1</w:t>
      </w:r>
      <w:r w:rsidR="009A1D5D" w:rsidRPr="00167CB8">
        <w:rPr>
          <w:rFonts w:asciiTheme="minorHAnsi" w:hAnsiTheme="minorHAnsi"/>
        </w:rPr>
        <w:t xml:space="preserve"> Amendments </w:t>
      </w:r>
      <w:r w:rsidR="00EA3E2F" w:rsidRPr="00167CB8">
        <w:rPr>
          <w:rFonts w:asciiTheme="minorHAnsi" w:hAnsiTheme="minorHAnsi"/>
        </w:rPr>
        <w:t>and i</w:t>
      </w:r>
      <w:r w:rsidR="009A1D5D" w:rsidRPr="00167CB8">
        <w:rPr>
          <w:rFonts w:asciiTheme="minorHAnsi" w:hAnsiTheme="minorHAnsi"/>
        </w:rPr>
        <w:t>ntent</w:t>
      </w:r>
      <w:bookmarkEnd w:id="469"/>
      <w:bookmarkEnd w:id="470"/>
      <w:bookmarkEnd w:id="471"/>
      <w:bookmarkEnd w:id="472"/>
    </w:p>
    <w:p w14:paraId="5D12C2F3" w14:textId="46C7E0A4" w:rsidR="009A1D5D" w:rsidRPr="00167CB8" w:rsidRDefault="009A1D5D" w:rsidP="006000ED">
      <w:pPr>
        <w:spacing w:before="100" w:beforeAutospacing="1" w:after="100" w:afterAutospacing="1"/>
        <w:rPr>
          <w:rFonts w:eastAsia="Times New Roman" w:cs="Calibri"/>
          <w:lang w:eastAsia="en-AU"/>
        </w:rPr>
      </w:pPr>
      <w:r w:rsidRPr="00167CB8">
        <w:rPr>
          <w:rFonts w:eastAsia="Times New Roman" w:cs="Calibri"/>
          <w:lang w:eastAsia="en-AU"/>
        </w:rPr>
        <w:t xml:space="preserve">Part 2-2 of the </w:t>
      </w:r>
      <w:r w:rsidR="00E60C76" w:rsidRPr="00167CB8">
        <w:rPr>
          <w:rFonts w:eastAsia="Times New Roman" w:cs="Calibri"/>
          <w:lang w:eastAsia="en-AU"/>
        </w:rPr>
        <w:t>Fair Work Act</w:t>
      </w:r>
      <w:r w:rsidRPr="00167CB8">
        <w:rPr>
          <w:rFonts w:eastAsia="Times New Roman" w:cs="Calibri"/>
          <w:lang w:eastAsia="en-AU"/>
        </w:rPr>
        <w:t xml:space="preserve"> is concerned with the National Employment Standards (NES). There are 12 NES which apply to all national system employees. The NES cannot be excluded by modern awards or enterprise agreements. Within Part 2-2 of the </w:t>
      </w:r>
      <w:r w:rsidR="00E60C76" w:rsidRPr="00167CB8">
        <w:rPr>
          <w:rFonts w:eastAsia="Times New Roman" w:cs="Calibri"/>
          <w:lang w:eastAsia="en-AU"/>
        </w:rPr>
        <w:t>Fair Work Act</w:t>
      </w:r>
      <w:r w:rsidRPr="00167CB8">
        <w:rPr>
          <w:rFonts w:eastAsia="Times New Roman" w:cs="Calibri"/>
          <w:lang w:eastAsia="en-AU"/>
        </w:rPr>
        <w:t xml:space="preserve"> </w:t>
      </w:r>
      <w:r w:rsidR="00EA3E2F" w:rsidRPr="00167CB8">
        <w:rPr>
          <w:rFonts w:eastAsia="Times New Roman" w:cs="Calibri"/>
          <w:lang w:eastAsia="en-AU"/>
        </w:rPr>
        <w:t>D</w:t>
      </w:r>
      <w:r w:rsidRPr="00167CB8">
        <w:rPr>
          <w:rFonts w:eastAsia="Times New Roman" w:cs="Calibri"/>
          <w:lang w:eastAsia="en-AU"/>
        </w:rPr>
        <w:t>ivisions 2</w:t>
      </w:r>
      <w:r w:rsidR="00EA3E2F" w:rsidRPr="00167CB8">
        <w:rPr>
          <w:rFonts w:ascii="Symbol" w:eastAsia="Symbol" w:hAnsi="Symbol" w:cs="Symbol"/>
          <w:lang w:eastAsia="en-AU"/>
        </w:rPr>
        <w:sym w:font="Symbol" w:char="F02D"/>
      </w:r>
      <w:r w:rsidRPr="00167CB8">
        <w:rPr>
          <w:rFonts w:eastAsia="Times New Roman" w:cs="Calibri"/>
          <w:lang w:eastAsia="en-AU"/>
        </w:rPr>
        <w:t>12 describ</w:t>
      </w:r>
      <w:r w:rsidR="00EA3E2F" w:rsidRPr="00167CB8">
        <w:rPr>
          <w:rFonts w:eastAsia="Times New Roman" w:cs="Calibri"/>
          <w:lang w:eastAsia="en-AU"/>
        </w:rPr>
        <w:t>e</w:t>
      </w:r>
      <w:r w:rsidRPr="00167CB8">
        <w:rPr>
          <w:rFonts w:eastAsia="Times New Roman" w:cs="Calibri"/>
          <w:lang w:eastAsia="en-AU"/>
        </w:rPr>
        <w:t xml:space="preserve"> the provisions in each of the 12 minimum standards. Division 4 is concerned with the right to request flexible working arrangements. It was </w:t>
      </w:r>
      <w:r w:rsidR="00626623" w:rsidRPr="00167CB8">
        <w:rPr>
          <w:rFonts w:eastAsia="Times New Roman" w:cs="Calibri"/>
          <w:lang w:eastAsia="en-AU"/>
        </w:rPr>
        <w:t xml:space="preserve">part of the </w:t>
      </w:r>
      <w:r w:rsidRPr="00167CB8">
        <w:rPr>
          <w:rFonts w:eastAsia="Times New Roman" w:cs="Calibri"/>
          <w:lang w:eastAsia="en-AU"/>
        </w:rPr>
        <w:t xml:space="preserve">NES </w:t>
      </w:r>
      <w:r w:rsidR="00626623" w:rsidRPr="00167CB8">
        <w:rPr>
          <w:rFonts w:eastAsia="Times New Roman" w:cs="Calibri"/>
          <w:lang w:eastAsia="en-AU"/>
        </w:rPr>
        <w:t xml:space="preserve">in the original Fair Work Act </w:t>
      </w:r>
      <w:r w:rsidR="00AF4E2F" w:rsidRPr="00167CB8">
        <w:rPr>
          <w:rFonts w:eastAsia="Times New Roman" w:cs="Calibri"/>
          <w:lang w:eastAsia="en-AU"/>
        </w:rPr>
        <w:t>in 2009</w:t>
      </w:r>
      <w:r w:rsidRPr="00167CB8">
        <w:rPr>
          <w:rFonts w:eastAsia="Times New Roman" w:cs="Calibri"/>
          <w:lang w:eastAsia="en-AU"/>
        </w:rPr>
        <w:t>.</w:t>
      </w:r>
    </w:p>
    <w:p w14:paraId="33CDC157" w14:textId="426224BD" w:rsidR="009A1D5D" w:rsidRPr="00167CB8" w:rsidRDefault="009A1D5D" w:rsidP="006000ED">
      <w:pPr>
        <w:pStyle w:val="NormalWeb"/>
        <w:spacing w:after="160" w:afterAutospacing="0" w:line="259" w:lineRule="auto"/>
        <w:rPr>
          <w:rFonts w:asciiTheme="minorHAnsi" w:hAnsiTheme="minorHAnsi" w:cs="Calibri"/>
          <w:sz w:val="22"/>
          <w:szCs w:val="22"/>
        </w:rPr>
      </w:pPr>
      <w:r w:rsidRPr="00167CB8">
        <w:rPr>
          <w:rFonts w:asciiTheme="minorHAnsi" w:hAnsiTheme="minorHAnsi" w:cs="Calibri"/>
          <w:sz w:val="22"/>
          <w:szCs w:val="22"/>
        </w:rPr>
        <w:t xml:space="preserve">Section 65 (Requests for </w:t>
      </w:r>
      <w:r w:rsidR="00EA3E2F" w:rsidRPr="00167CB8">
        <w:rPr>
          <w:rFonts w:asciiTheme="minorHAnsi" w:hAnsiTheme="minorHAnsi" w:cs="Calibri"/>
          <w:sz w:val="22"/>
          <w:szCs w:val="22"/>
        </w:rPr>
        <w:t>f</w:t>
      </w:r>
      <w:r w:rsidRPr="00167CB8">
        <w:rPr>
          <w:rFonts w:asciiTheme="minorHAnsi" w:hAnsiTheme="minorHAnsi" w:cs="Calibri"/>
          <w:sz w:val="22"/>
          <w:szCs w:val="22"/>
        </w:rPr>
        <w:t xml:space="preserve">lexible </w:t>
      </w:r>
      <w:r w:rsidR="00EA3E2F" w:rsidRPr="00167CB8">
        <w:rPr>
          <w:rFonts w:asciiTheme="minorHAnsi" w:hAnsiTheme="minorHAnsi" w:cs="Calibri"/>
          <w:sz w:val="22"/>
          <w:szCs w:val="22"/>
        </w:rPr>
        <w:t>w</w:t>
      </w:r>
      <w:r w:rsidRPr="00167CB8">
        <w:rPr>
          <w:rFonts w:asciiTheme="minorHAnsi" w:hAnsiTheme="minorHAnsi" w:cs="Calibri"/>
          <w:sz w:val="22"/>
          <w:szCs w:val="22"/>
        </w:rPr>
        <w:t xml:space="preserve">orking </w:t>
      </w:r>
      <w:r w:rsidR="00EA3E2F" w:rsidRPr="00167CB8">
        <w:rPr>
          <w:rFonts w:asciiTheme="minorHAnsi" w:hAnsiTheme="minorHAnsi" w:cs="Calibri"/>
          <w:sz w:val="22"/>
          <w:szCs w:val="22"/>
        </w:rPr>
        <w:t>a</w:t>
      </w:r>
      <w:r w:rsidRPr="00167CB8">
        <w:rPr>
          <w:rFonts w:asciiTheme="minorHAnsi" w:hAnsiTheme="minorHAnsi" w:cs="Calibri"/>
          <w:sz w:val="22"/>
          <w:szCs w:val="22"/>
        </w:rPr>
        <w:t>rrangements) of Division 4 outlines the conditions under which an employee may seek changes to their working arrangements (e.g. modifications to working hours, work patterns or work location). Eligible employees must have completed at least 12 months of continuous service with their employer or be long-term casuals (at least 12</w:t>
      </w:r>
      <w:r w:rsidR="0053004A" w:rsidRPr="00167CB8">
        <w:rPr>
          <w:rFonts w:asciiTheme="minorHAnsi" w:hAnsiTheme="minorHAnsi" w:cs="Calibri"/>
          <w:sz w:val="22"/>
          <w:szCs w:val="22"/>
        </w:rPr>
        <w:t> </w:t>
      </w:r>
      <w:r w:rsidRPr="00167CB8">
        <w:rPr>
          <w:rFonts w:asciiTheme="minorHAnsi" w:hAnsiTheme="minorHAnsi" w:cs="Calibri"/>
          <w:sz w:val="22"/>
          <w:szCs w:val="22"/>
        </w:rPr>
        <w:t>months) with a reasonable expectation of ongoing work and have eligible circumstances.</w:t>
      </w:r>
      <w:r w:rsidRPr="00167CB8">
        <w:rPr>
          <w:rStyle w:val="FootnoteReference"/>
          <w:rFonts w:asciiTheme="minorHAnsi" w:eastAsiaTheme="majorEastAsia" w:hAnsiTheme="minorHAnsi"/>
          <w:sz w:val="22"/>
          <w:szCs w:val="22"/>
        </w:rPr>
        <w:footnoteReference w:id="956"/>
      </w:r>
      <w:r w:rsidRPr="00167CB8">
        <w:rPr>
          <w:rFonts w:asciiTheme="minorHAnsi" w:eastAsiaTheme="minorEastAsia" w:hAnsiTheme="minorHAnsi" w:cstheme="minorBidi"/>
          <w:kern w:val="2"/>
          <w:sz w:val="22"/>
          <w:szCs w:val="22"/>
          <w:lang w:val="en-US" w:eastAsia="en-US"/>
          <w14:ligatures w14:val="standardContextual"/>
        </w:rPr>
        <w:t xml:space="preserve"> </w:t>
      </w:r>
      <w:r w:rsidRPr="00167CB8">
        <w:rPr>
          <w:rFonts w:asciiTheme="minorHAnsi" w:hAnsiTheme="minorHAnsi"/>
          <w:sz w:val="22"/>
          <w:szCs w:val="22"/>
          <w:lang w:val="en-US"/>
        </w:rPr>
        <w:t xml:space="preserve"> </w:t>
      </w:r>
    </w:p>
    <w:p w14:paraId="777EF102" w14:textId="25D779BC" w:rsidR="009A1D5D" w:rsidRPr="00167CB8" w:rsidRDefault="009A1D5D" w:rsidP="006000ED">
      <w:pPr>
        <w:rPr>
          <w:rFonts w:eastAsia="Times New Roman" w:cs="Calibri"/>
          <w:lang w:eastAsia="en-AU"/>
        </w:rPr>
      </w:pPr>
      <w:r w:rsidRPr="00167CB8">
        <w:rPr>
          <w:rFonts w:eastAsia="Times New Roman" w:cs="Calibri"/>
          <w:lang w:eastAsia="en-AU"/>
        </w:rPr>
        <w:t xml:space="preserve">The circumstances – outlined at s 65(1A) </w:t>
      </w:r>
      <w:r w:rsidR="00EA3E2F" w:rsidRPr="00167CB8">
        <w:rPr>
          <w:rFonts w:ascii="Symbol" w:eastAsia="Symbol" w:hAnsi="Symbol" w:cs="Symbol"/>
          <w:lang w:eastAsia="en-AU"/>
        </w:rPr>
        <w:sym w:font="Symbol" w:char="F02D"/>
      </w:r>
      <w:r w:rsidR="00EA3E2F" w:rsidRPr="00167CB8">
        <w:rPr>
          <w:rFonts w:eastAsia="Times New Roman" w:cs="Calibri"/>
          <w:lang w:eastAsia="en-AU"/>
        </w:rPr>
        <w:t xml:space="preserve"> </w:t>
      </w:r>
      <w:r w:rsidRPr="00167CB8">
        <w:rPr>
          <w:rFonts w:eastAsia="Times New Roman" w:cs="Calibri"/>
          <w:lang w:eastAsia="en-AU"/>
        </w:rPr>
        <w:t>are as follows:</w:t>
      </w:r>
      <w:r w:rsidR="00EA3E2F" w:rsidRPr="00167CB8">
        <w:rPr>
          <w:rStyle w:val="FootnoteReference"/>
        </w:rPr>
        <w:footnoteReference w:id="957"/>
      </w:r>
    </w:p>
    <w:p w14:paraId="5BF0C1BA" w14:textId="2B853E9D" w:rsidR="009A1D5D" w:rsidRPr="00167CB8" w:rsidRDefault="009A1D5D" w:rsidP="00EA3E2F">
      <w:pPr>
        <w:pStyle w:val="Quote"/>
        <w:ind w:firstLine="360"/>
        <w:rPr>
          <w:lang w:eastAsia="en-AU"/>
        </w:rPr>
      </w:pPr>
      <w:r w:rsidRPr="00167CB8">
        <w:rPr>
          <w:lang w:eastAsia="en-AU"/>
        </w:rPr>
        <w:t>(aa)</w:t>
      </w:r>
      <w:r w:rsidR="00EA3E2F" w:rsidRPr="00167CB8">
        <w:rPr>
          <w:lang w:eastAsia="en-AU"/>
        </w:rPr>
        <w:t xml:space="preserve"> </w:t>
      </w:r>
      <w:r w:rsidRPr="00167CB8">
        <w:rPr>
          <w:lang w:eastAsia="en-AU"/>
        </w:rPr>
        <w:t>the employee is pregnant;</w:t>
      </w:r>
    </w:p>
    <w:p w14:paraId="3E44DAE8" w14:textId="788FECC8" w:rsidR="009A1D5D" w:rsidRPr="00167CB8" w:rsidRDefault="009A1D5D" w:rsidP="00567FCA">
      <w:pPr>
        <w:pStyle w:val="Quote"/>
        <w:numPr>
          <w:ilvl w:val="2"/>
          <w:numId w:val="11"/>
        </w:numPr>
        <w:rPr>
          <w:szCs w:val="22"/>
          <w:lang w:eastAsia="en-AU"/>
        </w:rPr>
      </w:pPr>
      <w:r w:rsidRPr="00167CB8">
        <w:rPr>
          <w:szCs w:val="22"/>
          <w:lang w:eastAsia="en-AU"/>
        </w:rPr>
        <w:t>the employee is the parent, or has responsibility for the care, of a child who is of school age or younger;</w:t>
      </w:r>
    </w:p>
    <w:p w14:paraId="728EC40E" w14:textId="5485B67E" w:rsidR="009A1D5D" w:rsidRPr="00167CB8" w:rsidRDefault="00EA3E2F" w:rsidP="00EA3E2F">
      <w:pPr>
        <w:pStyle w:val="Quote"/>
        <w:ind w:left="2160" w:hanging="360"/>
        <w:rPr>
          <w:szCs w:val="22"/>
          <w:lang w:eastAsia="en-AU"/>
        </w:rPr>
      </w:pPr>
      <w:r w:rsidRPr="00167CB8">
        <w:rPr>
          <w:szCs w:val="22"/>
          <w:lang w:eastAsia="en-AU"/>
        </w:rPr>
        <w:t>(b)</w:t>
      </w:r>
      <w:r w:rsidRPr="00167CB8">
        <w:rPr>
          <w:szCs w:val="22"/>
          <w:lang w:eastAsia="en-AU"/>
        </w:rPr>
        <w:tab/>
      </w:r>
      <w:r w:rsidR="009A1D5D" w:rsidRPr="00167CB8">
        <w:rPr>
          <w:szCs w:val="22"/>
          <w:lang w:eastAsia="en-AU"/>
        </w:rPr>
        <w:t xml:space="preserve">the employee is a carer (within the meaning of the </w:t>
      </w:r>
      <w:r w:rsidR="009A1D5D" w:rsidRPr="00167CB8">
        <w:rPr>
          <w:i/>
          <w:szCs w:val="22"/>
          <w:lang w:eastAsia="en-AU"/>
        </w:rPr>
        <w:t>Carer Recognition Act 2010);</w:t>
      </w:r>
    </w:p>
    <w:p w14:paraId="6A043BC1" w14:textId="2FDCDD1F" w:rsidR="009A1D5D" w:rsidRPr="00167CB8" w:rsidRDefault="00EA3E2F" w:rsidP="00EA3E2F">
      <w:pPr>
        <w:pStyle w:val="Quote"/>
        <w:ind w:firstLine="360"/>
        <w:rPr>
          <w:szCs w:val="22"/>
          <w:lang w:eastAsia="en-AU"/>
        </w:rPr>
      </w:pPr>
      <w:r w:rsidRPr="00167CB8">
        <w:rPr>
          <w:szCs w:val="22"/>
          <w:lang w:eastAsia="en-AU"/>
        </w:rPr>
        <w:t>(c)</w:t>
      </w:r>
      <w:r w:rsidRPr="00167CB8">
        <w:rPr>
          <w:szCs w:val="22"/>
          <w:lang w:eastAsia="en-AU"/>
        </w:rPr>
        <w:tab/>
      </w:r>
      <w:r w:rsidR="009A1D5D" w:rsidRPr="00167CB8">
        <w:rPr>
          <w:szCs w:val="22"/>
          <w:lang w:eastAsia="en-AU"/>
        </w:rPr>
        <w:t>the employee has a disability</w:t>
      </w:r>
    </w:p>
    <w:p w14:paraId="3F753FE4" w14:textId="121EAFF5" w:rsidR="009A1D5D" w:rsidRPr="00167CB8" w:rsidRDefault="00EA3E2F" w:rsidP="00EA3E2F">
      <w:pPr>
        <w:pStyle w:val="Quote"/>
        <w:ind w:firstLine="360"/>
        <w:rPr>
          <w:szCs w:val="22"/>
          <w:lang w:eastAsia="en-AU"/>
        </w:rPr>
      </w:pPr>
      <w:r w:rsidRPr="00167CB8">
        <w:rPr>
          <w:szCs w:val="22"/>
          <w:lang w:eastAsia="en-AU"/>
        </w:rPr>
        <w:t xml:space="preserve">(d) </w:t>
      </w:r>
      <w:r w:rsidRPr="00167CB8">
        <w:rPr>
          <w:szCs w:val="22"/>
          <w:lang w:eastAsia="en-AU"/>
        </w:rPr>
        <w:tab/>
      </w:r>
      <w:r w:rsidR="009A1D5D" w:rsidRPr="00167CB8">
        <w:rPr>
          <w:szCs w:val="22"/>
          <w:lang w:eastAsia="en-AU"/>
        </w:rPr>
        <w:t>the employee is 55 or older;</w:t>
      </w:r>
    </w:p>
    <w:p w14:paraId="1020F36F" w14:textId="1F98ED58" w:rsidR="009A1D5D" w:rsidRPr="00167CB8" w:rsidRDefault="00EA3E2F" w:rsidP="00EA3E2F">
      <w:pPr>
        <w:pStyle w:val="Quote"/>
        <w:ind w:firstLine="360"/>
        <w:rPr>
          <w:szCs w:val="22"/>
          <w:lang w:eastAsia="en-AU"/>
        </w:rPr>
      </w:pPr>
      <w:r w:rsidRPr="00167CB8">
        <w:rPr>
          <w:szCs w:val="22"/>
          <w:lang w:eastAsia="en-AU"/>
        </w:rPr>
        <w:t>(e)</w:t>
      </w:r>
      <w:r w:rsidRPr="00167CB8">
        <w:rPr>
          <w:szCs w:val="22"/>
          <w:lang w:eastAsia="en-AU"/>
        </w:rPr>
        <w:tab/>
      </w:r>
      <w:r w:rsidR="009A1D5D" w:rsidRPr="00167CB8">
        <w:rPr>
          <w:szCs w:val="22"/>
          <w:lang w:eastAsia="en-AU"/>
        </w:rPr>
        <w:t>the employee is experiencing family and domestic violence;</w:t>
      </w:r>
    </w:p>
    <w:p w14:paraId="5B27A87D" w14:textId="25E720A4" w:rsidR="009A1D5D" w:rsidRPr="00167CB8" w:rsidRDefault="00EA3E2F" w:rsidP="00EA3E2F">
      <w:pPr>
        <w:pStyle w:val="Quote"/>
        <w:ind w:left="2160" w:hanging="360"/>
        <w:rPr>
          <w:szCs w:val="22"/>
          <w:lang w:eastAsia="en-AU"/>
        </w:rPr>
      </w:pPr>
      <w:r w:rsidRPr="00167CB8">
        <w:rPr>
          <w:szCs w:val="22"/>
          <w:lang w:eastAsia="en-AU"/>
        </w:rPr>
        <w:t xml:space="preserve">(f) </w:t>
      </w:r>
      <w:r w:rsidRPr="00167CB8">
        <w:rPr>
          <w:szCs w:val="22"/>
          <w:lang w:eastAsia="en-AU"/>
        </w:rPr>
        <w:tab/>
      </w:r>
      <w:r w:rsidR="009A1D5D" w:rsidRPr="00167CB8">
        <w:rPr>
          <w:szCs w:val="22"/>
          <w:lang w:eastAsia="en-AU"/>
        </w:rPr>
        <w:t>the employee provides care or support to a member of the employee’s immediate family, or a member of the employee’s household, who requires care or support because the member is experiencing family and domestic violence.</w:t>
      </w:r>
    </w:p>
    <w:p w14:paraId="578D89C6" w14:textId="4DD61C31" w:rsidR="009A1D5D" w:rsidRPr="00167CB8" w:rsidRDefault="009A1D5D" w:rsidP="006000ED">
      <w:r w:rsidRPr="00167CB8">
        <w:t xml:space="preserve">The </w:t>
      </w:r>
      <w:r w:rsidR="00A55F8E" w:rsidRPr="00167CB8">
        <w:rPr>
          <w:rFonts w:cstheme="minorHAnsi"/>
        </w:rPr>
        <w:t>Secure Jobs, Better Pay</w:t>
      </w:r>
      <w:r w:rsidRPr="00167CB8">
        <w:t xml:space="preserve"> Act expanded the eligibility circumstances to include pregnancy (</w:t>
      </w:r>
      <w:r w:rsidR="00EA3E2F" w:rsidRPr="00167CB8">
        <w:t>s </w:t>
      </w:r>
      <w:r w:rsidRPr="00167CB8">
        <w:t>65(1)(aa)). It also aligned language with the entitlement to family and domestic violence leave (</w:t>
      </w:r>
      <w:r w:rsidR="00EA3E2F" w:rsidRPr="00167CB8">
        <w:t>s </w:t>
      </w:r>
      <w:r w:rsidRPr="00167CB8">
        <w:t>65(1A)(e) and (f) describe circumstances where employees, or their immediate family members, experience family or domestic violence).</w:t>
      </w:r>
      <w:r w:rsidRPr="00167CB8">
        <w:rPr>
          <w:rStyle w:val="FootnoteReference"/>
        </w:rPr>
        <w:footnoteReference w:id="958"/>
      </w:r>
      <w:r w:rsidRPr="00167CB8">
        <w:t xml:space="preserve">  </w:t>
      </w:r>
    </w:p>
    <w:p w14:paraId="6BEB533C" w14:textId="3B55FA6A" w:rsidR="009A1D5D" w:rsidRPr="00167CB8" w:rsidRDefault="009A1D5D" w:rsidP="006000ED">
      <w:r w:rsidRPr="00167CB8">
        <w:t xml:space="preserve">The main </w:t>
      </w:r>
      <w:r w:rsidR="00A55F8E" w:rsidRPr="00167CB8">
        <w:rPr>
          <w:rFonts w:cstheme="minorHAnsi"/>
        </w:rPr>
        <w:t>Secure Jobs, Better Pay</w:t>
      </w:r>
      <w:r w:rsidRPr="00167CB8">
        <w:t xml:space="preserve"> amendments, however, include the insertion of a new </w:t>
      </w:r>
      <w:r w:rsidR="00EC7DBC" w:rsidRPr="00167CB8">
        <w:t>s</w:t>
      </w:r>
      <w:r w:rsidR="00EA3E2F" w:rsidRPr="00167CB8">
        <w:t> </w:t>
      </w:r>
      <w:r w:rsidRPr="00167CB8">
        <w:t xml:space="preserve">65A (concerned with </w:t>
      </w:r>
      <w:r w:rsidR="00423DCF" w:rsidRPr="00167CB8">
        <w:t>employers responding to</w:t>
      </w:r>
      <w:r w:rsidRPr="00167CB8">
        <w:t xml:space="preserve"> requests) and a new </w:t>
      </w:r>
      <w:r w:rsidR="00EC7DBC" w:rsidRPr="00167CB8">
        <w:t>s</w:t>
      </w:r>
      <w:r w:rsidR="00EA3E2F" w:rsidRPr="00167CB8">
        <w:t> </w:t>
      </w:r>
      <w:r w:rsidRPr="00167CB8">
        <w:t xml:space="preserve">65B (concerned with </w:t>
      </w:r>
      <w:r w:rsidR="00423DCF" w:rsidRPr="00167CB8">
        <w:t xml:space="preserve">the </w:t>
      </w:r>
      <w:r w:rsidR="00EA3E2F" w:rsidRPr="00167CB8">
        <w:t xml:space="preserve">Fair </w:t>
      </w:r>
      <w:r w:rsidR="00EA3E2F" w:rsidRPr="00167CB8">
        <w:lastRenderedPageBreak/>
        <w:t>Work Commission (</w:t>
      </w:r>
      <w:r w:rsidR="00423DCF" w:rsidRPr="00167CB8">
        <w:t>FWC</w:t>
      </w:r>
      <w:r w:rsidR="00EA3E2F" w:rsidRPr="00167CB8">
        <w:t>)</w:t>
      </w:r>
      <w:r w:rsidR="00423DCF" w:rsidRPr="00167CB8">
        <w:t xml:space="preserve"> </w:t>
      </w:r>
      <w:r w:rsidRPr="00167CB8">
        <w:t>dealing with disputes). The following sections summarise these main amendments and their intended effect.</w:t>
      </w:r>
    </w:p>
    <w:p w14:paraId="3DE50AA0" w14:textId="70910D14" w:rsidR="009A1D5D" w:rsidRPr="00167CB8" w:rsidRDefault="0024484D" w:rsidP="009A1D5D">
      <w:pPr>
        <w:pStyle w:val="Heading5"/>
        <w:rPr>
          <w:rFonts w:asciiTheme="minorHAnsi" w:hAnsiTheme="minorHAnsi"/>
        </w:rPr>
      </w:pPr>
      <w:bookmarkStart w:id="473" w:name="_Toc188003427"/>
      <w:r w:rsidRPr="00167CB8">
        <w:rPr>
          <w:rFonts w:asciiTheme="minorHAnsi" w:hAnsiTheme="minorHAnsi"/>
        </w:rPr>
        <w:t>31</w:t>
      </w:r>
      <w:r w:rsidR="006370D8" w:rsidRPr="00167CB8">
        <w:rPr>
          <w:rFonts w:asciiTheme="minorHAnsi" w:hAnsiTheme="minorHAnsi"/>
        </w:rPr>
        <w:t>.1.1</w:t>
      </w:r>
      <w:r w:rsidR="009A1D5D" w:rsidRPr="00167CB8">
        <w:rPr>
          <w:rFonts w:asciiTheme="minorHAnsi" w:hAnsiTheme="minorHAnsi"/>
        </w:rPr>
        <w:t xml:space="preserve"> </w:t>
      </w:r>
      <w:r w:rsidR="00E42AC2" w:rsidRPr="00167CB8">
        <w:rPr>
          <w:rFonts w:asciiTheme="minorHAnsi" w:hAnsiTheme="minorHAnsi"/>
        </w:rPr>
        <w:t xml:space="preserve">Secure Jobs, Better Pay </w:t>
      </w:r>
      <w:r w:rsidR="00EA3E2F" w:rsidRPr="00167CB8">
        <w:rPr>
          <w:rFonts w:asciiTheme="minorHAnsi" w:hAnsiTheme="minorHAnsi"/>
        </w:rPr>
        <w:t>a</w:t>
      </w:r>
      <w:r w:rsidR="009A1D5D" w:rsidRPr="00167CB8">
        <w:rPr>
          <w:rFonts w:asciiTheme="minorHAnsi" w:hAnsiTheme="minorHAnsi"/>
        </w:rPr>
        <w:t>mendments</w:t>
      </w:r>
      <w:bookmarkEnd w:id="473"/>
    </w:p>
    <w:p w14:paraId="16D57046" w14:textId="3D6E54BB" w:rsidR="009A1D5D" w:rsidRPr="00167CB8" w:rsidRDefault="009A1D5D" w:rsidP="006000ED">
      <w:pPr>
        <w:spacing w:after="0"/>
        <w:rPr>
          <w:rFonts w:eastAsia="Times New Roman" w:cs="Calibri"/>
          <w:lang w:eastAsia="en-AU"/>
        </w:rPr>
      </w:pPr>
      <w:r w:rsidRPr="00167CB8">
        <w:rPr>
          <w:rFonts w:eastAsia="Times New Roman" w:cs="Calibri"/>
          <w:lang w:eastAsia="en-AU"/>
        </w:rPr>
        <w:t xml:space="preserve">The </w:t>
      </w:r>
      <w:r w:rsidR="00A55F8E" w:rsidRPr="00167CB8">
        <w:rPr>
          <w:rFonts w:cstheme="minorHAnsi"/>
        </w:rPr>
        <w:t>Secure Jobs, Better Pay</w:t>
      </w:r>
      <w:r w:rsidRPr="00167CB8">
        <w:rPr>
          <w:rFonts w:eastAsia="Times New Roman" w:cs="Calibri"/>
          <w:lang w:eastAsia="en-AU"/>
        </w:rPr>
        <w:t xml:space="preserve"> </w:t>
      </w:r>
      <w:r w:rsidR="00EA3E2F" w:rsidRPr="00167CB8">
        <w:rPr>
          <w:rFonts w:eastAsia="Times New Roman" w:cs="Calibri"/>
          <w:lang w:eastAsia="en-AU"/>
        </w:rPr>
        <w:t xml:space="preserve">amendments </w:t>
      </w:r>
      <w:r w:rsidRPr="00167CB8">
        <w:rPr>
          <w:rFonts w:eastAsia="Times New Roman" w:cs="Calibri"/>
          <w:lang w:eastAsia="en-AU"/>
        </w:rPr>
        <w:t xml:space="preserve">made </w:t>
      </w:r>
      <w:r w:rsidR="00EA3E2F" w:rsidRPr="00167CB8">
        <w:rPr>
          <w:rFonts w:eastAsia="Times New Roman" w:cs="Calibri"/>
          <w:lang w:eastAsia="en-AU"/>
        </w:rPr>
        <w:t xml:space="preserve">2 </w:t>
      </w:r>
      <w:r w:rsidRPr="00167CB8">
        <w:rPr>
          <w:rFonts w:eastAsia="Times New Roman" w:cs="Calibri"/>
          <w:lang w:eastAsia="en-AU"/>
        </w:rPr>
        <w:t>main changes to Part 2-2, Division 4, on flexible working arrangements:</w:t>
      </w:r>
    </w:p>
    <w:p w14:paraId="1540E03C" w14:textId="77777777" w:rsidR="009A1D5D" w:rsidRPr="00167CB8" w:rsidRDefault="009A1D5D" w:rsidP="006000ED">
      <w:pPr>
        <w:spacing w:after="0"/>
        <w:rPr>
          <w:rFonts w:eastAsia="Times New Roman" w:cs="Calibri"/>
          <w:lang w:eastAsia="en-AU"/>
        </w:rPr>
      </w:pPr>
    </w:p>
    <w:p w14:paraId="74E7171D" w14:textId="66AD29FF" w:rsidR="009A1D5D" w:rsidRPr="00167CB8" w:rsidRDefault="009A1D5D" w:rsidP="00EA3E2F">
      <w:pPr>
        <w:pStyle w:val="ListBullet"/>
      </w:pPr>
      <w:r w:rsidRPr="00167CB8">
        <w:t xml:space="preserve">It included a new </w:t>
      </w:r>
      <w:r w:rsidR="00EC7DBC" w:rsidRPr="00167CB8">
        <w:t>s</w:t>
      </w:r>
      <w:r w:rsidR="00857894" w:rsidRPr="00167CB8">
        <w:t> </w:t>
      </w:r>
      <w:r w:rsidRPr="00167CB8">
        <w:t>65A aimed at enhanced employer obligations concerning requests. Employers are now required to genuinely try to reach an agreement and there is more detail about the explanation they have to give if refusing a request.</w:t>
      </w:r>
    </w:p>
    <w:p w14:paraId="606EB203" w14:textId="1E4E8F19" w:rsidR="009A1D5D" w:rsidRPr="00167CB8" w:rsidRDefault="009A1D5D" w:rsidP="00372F0A">
      <w:pPr>
        <w:pStyle w:val="ListBullet"/>
        <w:numPr>
          <w:ilvl w:val="0"/>
          <w:numId w:val="43"/>
        </w:numPr>
      </w:pPr>
      <w:r w:rsidRPr="00167CB8">
        <w:t>This did not change the procedural requirements for employees to make requests, for employers to respond within 21</w:t>
      </w:r>
      <w:r w:rsidRPr="00372F0A">
        <w:rPr>
          <w:rFonts w:ascii="Arial" w:hAnsi="Arial" w:cs="Arial"/>
        </w:rPr>
        <w:t> </w:t>
      </w:r>
      <w:r w:rsidRPr="00167CB8">
        <w:t>days, and for refusals to be based on reasonable business grounds (which did not substantively change).</w:t>
      </w:r>
    </w:p>
    <w:p w14:paraId="2A21B1C9" w14:textId="151E3340" w:rsidR="009A1D5D" w:rsidRPr="00167CB8" w:rsidRDefault="009A1D5D" w:rsidP="00857894">
      <w:pPr>
        <w:pStyle w:val="ListBullet"/>
      </w:pPr>
      <w:r w:rsidRPr="00167CB8">
        <w:t xml:space="preserve">It included a new dispute resolution procedure at </w:t>
      </w:r>
      <w:r w:rsidR="00EC7DBC" w:rsidRPr="00167CB8">
        <w:t>s</w:t>
      </w:r>
      <w:r w:rsidR="00857894" w:rsidRPr="00167CB8">
        <w:t> </w:t>
      </w:r>
      <w:r w:rsidRPr="00167CB8">
        <w:t>65B. If the employer refuses the request or does not respond in writing within 21 days, and the parties have attempted to resolve the dispute at the workplace level, the dispute may then be referred to the FWC.</w:t>
      </w:r>
    </w:p>
    <w:p w14:paraId="69AE31A0" w14:textId="10B404BB" w:rsidR="009A1D5D" w:rsidRPr="00167CB8" w:rsidRDefault="009A1D5D" w:rsidP="00A52B77">
      <w:pPr>
        <w:pStyle w:val="ListBullet"/>
        <w:numPr>
          <w:ilvl w:val="0"/>
          <w:numId w:val="43"/>
        </w:numPr>
      </w:pPr>
      <w:r w:rsidRPr="00167CB8">
        <w:t xml:space="preserve">The FWC is empowered to deal with the dispute as it considers appropriate, </w:t>
      </w:r>
      <w:r w:rsidR="000A5E26" w:rsidRPr="00167CB8">
        <w:t>and must first do so by</w:t>
      </w:r>
      <w:r w:rsidRPr="00167CB8">
        <w:t xml:space="preserve"> mediation or conciliation</w:t>
      </w:r>
      <w:r w:rsidR="00857894" w:rsidRPr="00167CB8">
        <w:t>.</w:t>
      </w:r>
    </w:p>
    <w:p w14:paraId="5AB2BD83" w14:textId="42A0DA58" w:rsidR="009A1D5D" w:rsidRPr="00167CB8" w:rsidRDefault="009A1D5D" w:rsidP="00A52B77">
      <w:pPr>
        <w:pStyle w:val="ListBullet"/>
        <w:numPr>
          <w:ilvl w:val="0"/>
          <w:numId w:val="43"/>
        </w:numPr>
      </w:pPr>
      <w:r w:rsidRPr="00167CB8">
        <w:t>In exceptional circumstances the FWC may deal with the dispu</w:t>
      </w:r>
      <w:r w:rsidR="001503ED" w:rsidRPr="00167CB8">
        <w:t>t</w:t>
      </w:r>
      <w:r w:rsidRPr="00167CB8">
        <w:t xml:space="preserve">e via arbitration </w:t>
      </w:r>
      <w:r w:rsidR="000A5E26" w:rsidRPr="00167CB8">
        <w:t>without first conducting mediation or conciliation</w:t>
      </w:r>
      <w:r w:rsidRPr="00167CB8">
        <w:t xml:space="preserve"> (s</w:t>
      </w:r>
      <w:r w:rsidR="00857894" w:rsidRPr="00167CB8">
        <w:t> </w:t>
      </w:r>
      <w:r w:rsidR="000A5E26" w:rsidRPr="00167CB8">
        <w:t>65B(4)</w:t>
      </w:r>
      <w:r w:rsidRPr="00167CB8">
        <w:t xml:space="preserve">). </w:t>
      </w:r>
    </w:p>
    <w:p w14:paraId="76FFE226" w14:textId="123C201D" w:rsidR="009A1D5D" w:rsidRPr="00167CB8" w:rsidRDefault="009A1D5D" w:rsidP="006000ED">
      <w:r w:rsidRPr="00167CB8">
        <w:t xml:space="preserve">The </w:t>
      </w:r>
      <w:r w:rsidR="00E60C76" w:rsidRPr="00167CB8">
        <w:t>Fair Work</w:t>
      </w:r>
      <w:r w:rsidRPr="00167CB8">
        <w:t xml:space="preserve"> Act specifies, at </w:t>
      </w:r>
      <w:r w:rsidR="00EC7DBC" w:rsidRPr="00167CB8">
        <w:t>s</w:t>
      </w:r>
      <w:r w:rsidR="00857894" w:rsidRPr="00167CB8">
        <w:t> </w:t>
      </w:r>
      <w:r w:rsidRPr="00167CB8">
        <w:t>65A(5)</w:t>
      </w:r>
      <w:r w:rsidR="00857894" w:rsidRPr="00167CB8">
        <w:t>,</w:t>
      </w:r>
      <w:r w:rsidRPr="00167CB8">
        <w:t xml:space="preserve"> the business grounds upon which an employer may refuse a request for a flexible working arrangement. These include:</w:t>
      </w:r>
      <w:r w:rsidRPr="00167CB8">
        <w:rPr>
          <w:rStyle w:val="FootnoteReference"/>
        </w:rPr>
        <w:footnoteReference w:id="959"/>
      </w:r>
      <w:r w:rsidR="00857894" w:rsidRPr="00167CB8">
        <w:t xml:space="preserve"> </w:t>
      </w:r>
    </w:p>
    <w:p w14:paraId="5193B5AD" w14:textId="5D65B26B" w:rsidR="009A1D5D" w:rsidRPr="00167CB8" w:rsidRDefault="009A1D5D" w:rsidP="00567FCA">
      <w:pPr>
        <w:pStyle w:val="Quote"/>
        <w:numPr>
          <w:ilvl w:val="0"/>
          <w:numId w:val="37"/>
        </w:numPr>
      </w:pPr>
      <w:r w:rsidRPr="00167CB8">
        <w:t>that the new working arrangements requested would be too costly for the employer;</w:t>
      </w:r>
    </w:p>
    <w:p w14:paraId="2AADA104" w14:textId="217A9A6D" w:rsidR="009A1D5D" w:rsidRPr="00167CB8" w:rsidRDefault="009A1D5D" w:rsidP="00567FCA">
      <w:pPr>
        <w:pStyle w:val="Quote"/>
        <w:numPr>
          <w:ilvl w:val="0"/>
          <w:numId w:val="37"/>
        </w:numPr>
      </w:pPr>
      <w:r w:rsidRPr="00167CB8">
        <w:t>that there is no capacity to change the working arrangements of other employees to accommodate the new working arrangements requested;</w:t>
      </w:r>
    </w:p>
    <w:p w14:paraId="6206D0E5" w14:textId="7782FC1F" w:rsidR="009A1D5D" w:rsidRPr="00167CB8" w:rsidRDefault="009A1D5D" w:rsidP="00567FCA">
      <w:pPr>
        <w:pStyle w:val="Quote"/>
        <w:numPr>
          <w:ilvl w:val="0"/>
          <w:numId w:val="37"/>
        </w:numPr>
      </w:pPr>
      <w:r w:rsidRPr="00167CB8">
        <w:t>that it would be impractical to change the working arrangements of other employees, or recruit new employees, to accommodate the new working arrangements requested;</w:t>
      </w:r>
    </w:p>
    <w:p w14:paraId="3A88D51B" w14:textId="770F17C3" w:rsidR="009A1D5D" w:rsidRPr="00167CB8" w:rsidRDefault="009A1D5D" w:rsidP="00567FCA">
      <w:pPr>
        <w:pStyle w:val="Quote"/>
        <w:numPr>
          <w:ilvl w:val="0"/>
          <w:numId w:val="37"/>
        </w:numPr>
      </w:pPr>
      <w:r w:rsidRPr="00167CB8">
        <w:t>that the new working arrangements requested would be likely to result in a significant loss in efficiency or productivity;</w:t>
      </w:r>
    </w:p>
    <w:p w14:paraId="2E644693" w14:textId="75F6953E" w:rsidR="009A1D5D" w:rsidRPr="00167CB8" w:rsidRDefault="009A1D5D" w:rsidP="00567FCA">
      <w:pPr>
        <w:pStyle w:val="Quote"/>
        <w:numPr>
          <w:ilvl w:val="0"/>
          <w:numId w:val="37"/>
        </w:numPr>
      </w:pPr>
      <w:r w:rsidRPr="00167CB8">
        <w:t>that the new working arrangements requested would be likely to have a significant negative impact on customer service.</w:t>
      </w:r>
    </w:p>
    <w:p w14:paraId="504C2952" w14:textId="2E60B45E" w:rsidR="009A1D5D" w:rsidRPr="00167CB8" w:rsidRDefault="009A1D5D" w:rsidP="006000ED">
      <w:r w:rsidRPr="00167CB8">
        <w:t xml:space="preserve">A note in the </w:t>
      </w:r>
      <w:r w:rsidR="00E60C76" w:rsidRPr="00167CB8">
        <w:t>Fair Work Act</w:t>
      </w:r>
      <w:r w:rsidRPr="00167CB8">
        <w:t xml:space="preserve"> makes clear that the size, nature and specific circumstances of the employer and their business are relevant when considering the reasonable business grounds for refusing requests.</w:t>
      </w:r>
      <w:r w:rsidRPr="00167CB8">
        <w:rPr>
          <w:rStyle w:val="FootnoteReference"/>
          <w:color w:val="515355" w:themeColor="accent6" w:themeShade="80"/>
        </w:rPr>
        <w:footnoteReference w:id="960"/>
      </w:r>
    </w:p>
    <w:p w14:paraId="14D9FCA4" w14:textId="77777777" w:rsidR="009A1D5D" w:rsidRPr="00167CB8" w:rsidRDefault="009A1D5D" w:rsidP="006000ED">
      <w:pPr>
        <w:spacing w:after="0"/>
        <w:rPr>
          <w:rFonts w:eastAsia="Times New Roman" w:cs="Calibri"/>
          <w:lang w:eastAsia="en-AU"/>
        </w:rPr>
      </w:pPr>
      <w:r w:rsidRPr="00167CB8">
        <w:rPr>
          <w:rFonts w:eastAsia="Times New Roman" w:cs="Calibri"/>
          <w:lang w:eastAsia="en-AU"/>
        </w:rPr>
        <w:t>These amendments came into effect from 6 June 2023.</w:t>
      </w:r>
    </w:p>
    <w:p w14:paraId="568101C7" w14:textId="62D86373" w:rsidR="009A1D5D" w:rsidRPr="00167CB8" w:rsidRDefault="0024484D" w:rsidP="009A1D5D">
      <w:pPr>
        <w:pStyle w:val="Heading5"/>
        <w:rPr>
          <w:rFonts w:asciiTheme="minorHAnsi" w:hAnsiTheme="minorHAnsi"/>
        </w:rPr>
      </w:pPr>
      <w:bookmarkStart w:id="474" w:name="_Toc188003428"/>
      <w:r w:rsidRPr="00167CB8">
        <w:rPr>
          <w:rFonts w:asciiTheme="minorHAnsi" w:hAnsiTheme="minorHAnsi"/>
        </w:rPr>
        <w:lastRenderedPageBreak/>
        <w:t>31</w:t>
      </w:r>
      <w:r w:rsidR="006370D8" w:rsidRPr="00167CB8">
        <w:rPr>
          <w:rFonts w:asciiTheme="minorHAnsi" w:hAnsiTheme="minorHAnsi"/>
        </w:rPr>
        <w:t>.1.2</w:t>
      </w:r>
      <w:r w:rsidR="009A1D5D" w:rsidRPr="00167CB8">
        <w:rPr>
          <w:rFonts w:asciiTheme="minorHAnsi" w:hAnsiTheme="minorHAnsi"/>
        </w:rPr>
        <w:t xml:space="preserve"> Intent of </w:t>
      </w:r>
      <w:r w:rsidR="008D41A8"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857894" w:rsidRPr="00167CB8">
        <w:rPr>
          <w:rFonts w:asciiTheme="minorHAnsi" w:hAnsiTheme="minorHAnsi"/>
        </w:rPr>
        <w:t>a</w:t>
      </w:r>
      <w:r w:rsidR="009A1D5D" w:rsidRPr="00167CB8">
        <w:rPr>
          <w:rFonts w:asciiTheme="minorHAnsi" w:hAnsiTheme="minorHAnsi"/>
        </w:rPr>
        <w:t>mendments</w:t>
      </w:r>
      <w:bookmarkEnd w:id="474"/>
      <w:r w:rsidR="00E42AC2" w:rsidRPr="00167CB8" w:rsidDel="003072B8">
        <w:rPr>
          <w:rFonts w:cstheme="minorHAnsi"/>
        </w:rPr>
        <w:t xml:space="preserve"> </w:t>
      </w:r>
    </w:p>
    <w:p w14:paraId="2E2E0E4E" w14:textId="71282F9E" w:rsidR="009A1D5D" w:rsidRPr="00167CB8" w:rsidRDefault="009A1D5D" w:rsidP="00857894">
      <w:r w:rsidRPr="00167CB8">
        <w:t xml:space="preserve">The broad </w:t>
      </w:r>
      <w:r w:rsidR="004E7A22" w:rsidRPr="00167CB8">
        <w:t xml:space="preserve">intentions </w:t>
      </w:r>
      <w:r w:rsidRPr="00167CB8">
        <w:t xml:space="preserve">of the </w:t>
      </w:r>
      <w:r w:rsidR="008D41A8" w:rsidRPr="00167CB8">
        <w:rPr>
          <w:rFonts w:cstheme="minorHAnsi"/>
        </w:rPr>
        <w:t>Secure Jobs, Better Pay</w:t>
      </w:r>
      <w:r w:rsidRPr="00167CB8">
        <w:t xml:space="preserve"> reforms include improving job security and closing the gender pay gap. In the second reading speech accompanying the introduction of the initial </w:t>
      </w:r>
      <w:r w:rsidR="008D41A8" w:rsidRPr="00167CB8">
        <w:rPr>
          <w:rFonts w:cstheme="minorHAnsi"/>
        </w:rPr>
        <w:t>Secure Jobs, Better Pay</w:t>
      </w:r>
      <w:r w:rsidRPr="00167CB8">
        <w:t xml:space="preserve"> Bill, </w:t>
      </w:r>
      <w:r w:rsidR="00BF4A6F" w:rsidRPr="00167CB8">
        <w:t xml:space="preserve">the then </w:t>
      </w:r>
      <w:r w:rsidRPr="00167CB8">
        <w:t xml:space="preserve">Minister </w:t>
      </w:r>
      <w:r w:rsidR="00BF4A6F" w:rsidRPr="00167CB8">
        <w:t xml:space="preserve">for </w:t>
      </w:r>
      <w:r w:rsidR="00251FE2" w:rsidRPr="00167CB8">
        <w:t>Employment and Workplace Relations, the Hon Tony Burke MP</w:t>
      </w:r>
      <w:r w:rsidR="00857894" w:rsidRPr="00167CB8">
        <w:t>,</w:t>
      </w:r>
      <w:r w:rsidRPr="00167CB8">
        <w:t xml:space="preserve"> noted that:</w:t>
      </w:r>
      <w:r w:rsidR="00857894" w:rsidRPr="00167CB8">
        <w:rPr>
          <w:rStyle w:val="FootnoteReference"/>
          <w:rFonts w:eastAsiaTheme="majorEastAsia" w:cs="Calibri"/>
        </w:rPr>
        <w:footnoteReference w:id="961"/>
      </w:r>
    </w:p>
    <w:p w14:paraId="37E7861A" w14:textId="53BFF4C7" w:rsidR="009A1D5D" w:rsidRPr="00167CB8" w:rsidRDefault="009A1D5D" w:rsidP="00857894">
      <w:pPr>
        <w:pStyle w:val="Quote"/>
      </w:pPr>
      <w:r w:rsidRPr="00167CB8">
        <w:t>Too many Australians are struggling to manage their work and care responsibilities. This is damaging families, communities, and our national economy. Women still carry the main responsibility for caring work; and are more likely to request flexible work arrangements. In order to access the flexibility they need to manage work and care, they are often forced to drop out of the workforce, or to take lower-paid or less secure employment. This plays a major role in widening the gender pay gap. We want families to have better access to flexible work, so they can better share and manage their caring responsibilities.  Under our current laws, an employee can ask for flexible work, but if their employer says no, they’ve got nowhere to go.</w:t>
      </w:r>
    </w:p>
    <w:p w14:paraId="48105D06" w14:textId="19769F83" w:rsidR="009A1D5D" w:rsidRPr="00167CB8" w:rsidRDefault="009A1D5D" w:rsidP="009A1D5D">
      <w:r w:rsidRPr="00167CB8">
        <w:rPr>
          <w:rFonts w:cs="Calibri"/>
        </w:rPr>
        <w:t xml:space="preserve">The </w:t>
      </w:r>
      <w:r w:rsidRPr="00167CB8" w:rsidDel="004E7A22">
        <w:rPr>
          <w:rFonts w:cs="Calibri"/>
        </w:rPr>
        <w:t>Minister</w:t>
      </w:r>
      <w:r w:rsidRPr="00167CB8">
        <w:rPr>
          <w:rFonts w:cs="Calibri"/>
        </w:rPr>
        <w:t xml:space="preserve"> </w:t>
      </w:r>
      <w:r w:rsidR="006B2D00" w:rsidRPr="00167CB8">
        <w:rPr>
          <w:rFonts w:cs="Calibri"/>
        </w:rPr>
        <w:t>went</w:t>
      </w:r>
      <w:r w:rsidRPr="00167CB8">
        <w:rPr>
          <w:rFonts w:cs="Calibri"/>
        </w:rPr>
        <w:t xml:space="preserve"> on to refer to research on the lived experiences of balancing work and care in the retail and fast food sectors</w:t>
      </w:r>
      <w:r w:rsidRPr="00167CB8">
        <w:rPr>
          <w:rStyle w:val="FootnoteReference"/>
          <w:rFonts w:cs="Calibri"/>
        </w:rPr>
        <w:footnoteReference w:id="962"/>
      </w:r>
      <w:r w:rsidRPr="00167CB8">
        <w:rPr>
          <w:rFonts w:cs="Calibri"/>
        </w:rPr>
        <w:t xml:space="preserve"> and</w:t>
      </w:r>
      <w:r w:rsidRPr="00167CB8">
        <w:t xml:space="preserve"> </w:t>
      </w:r>
      <w:r w:rsidRPr="00167CB8">
        <w:rPr>
          <w:rFonts w:cs="Calibri"/>
        </w:rPr>
        <w:t>to findings of the Senate Select Committee on Work and Care.</w:t>
      </w:r>
      <w:r w:rsidRPr="00167CB8">
        <w:rPr>
          <w:rStyle w:val="FootnoteReference"/>
          <w:rFonts w:cs="Calibri"/>
        </w:rPr>
        <w:footnoteReference w:id="963"/>
      </w:r>
      <w:r w:rsidRPr="00167CB8">
        <w:rPr>
          <w:rFonts w:cs="Calibri"/>
        </w:rPr>
        <w:t xml:space="preserve"> The </w:t>
      </w:r>
      <w:r w:rsidR="008D41A8" w:rsidRPr="00167CB8">
        <w:rPr>
          <w:rFonts w:cstheme="minorHAnsi"/>
        </w:rPr>
        <w:t>Secure Jobs, Better Pay</w:t>
      </w:r>
      <w:r w:rsidRPr="00167CB8">
        <w:rPr>
          <w:rFonts w:cs="Calibri"/>
        </w:rPr>
        <w:t xml:space="preserve"> amendments </w:t>
      </w:r>
      <w:r w:rsidR="004E7A22" w:rsidRPr="00167CB8">
        <w:rPr>
          <w:rFonts w:cs="Calibri"/>
        </w:rPr>
        <w:t xml:space="preserve">intend to </w:t>
      </w:r>
      <w:r w:rsidRPr="00167CB8">
        <w:rPr>
          <w:rFonts w:cs="Calibri"/>
        </w:rPr>
        <w:t xml:space="preserve">give effect to the interim recommendations of this </w:t>
      </w:r>
      <w:r w:rsidR="00857894" w:rsidRPr="00167CB8">
        <w:rPr>
          <w:rFonts w:cs="Calibri"/>
        </w:rPr>
        <w:t>c</w:t>
      </w:r>
      <w:r w:rsidRPr="00167CB8">
        <w:rPr>
          <w:rFonts w:cs="Calibri"/>
        </w:rPr>
        <w:t>ommittee, including the requirement to consult with workers about flexibility requests and the inclusion of a process of appeal to the FWC where requests are refused.</w:t>
      </w:r>
      <w:r w:rsidRPr="00167CB8">
        <w:rPr>
          <w:rStyle w:val="FootnoteReference"/>
          <w:rFonts w:cs="Calibri"/>
        </w:rPr>
        <w:footnoteReference w:id="964"/>
      </w:r>
      <w:r w:rsidRPr="00167CB8">
        <w:rPr>
          <w:rFonts w:cs="Calibri"/>
        </w:rPr>
        <w:t xml:space="preserve"> Prior to these amendments, the </w:t>
      </w:r>
      <w:r w:rsidR="00E60C76" w:rsidRPr="00167CB8">
        <w:rPr>
          <w:rFonts w:cs="Calibri"/>
        </w:rPr>
        <w:t>Fair Work Act</w:t>
      </w:r>
      <w:r w:rsidRPr="00167CB8">
        <w:rPr>
          <w:rFonts w:cs="Calibri"/>
        </w:rPr>
        <w:t xml:space="preserve"> did not address employer obligations when responding to flexible work requests</w:t>
      </w:r>
      <w:r w:rsidR="00857894" w:rsidRPr="00167CB8">
        <w:rPr>
          <w:rFonts w:cs="Calibri"/>
        </w:rPr>
        <w:t xml:space="preserve"> and did not </w:t>
      </w:r>
      <w:r w:rsidRPr="00167CB8">
        <w:rPr>
          <w:rFonts w:cs="Calibri"/>
        </w:rPr>
        <w:t>provide a mechanism for dispute resolution via the FWC.</w:t>
      </w:r>
      <w:r w:rsidRPr="00167CB8">
        <w:rPr>
          <w:rStyle w:val="FootnoteReference"/>
          <w:rFonts w:cs="Calibri"/>
        </w:rPr>
        <w:footnoteReference w:id="965"/>
      </w:r>
    </w:p>
    <w:p w14:paraId="36CD9742" w14:textId="76D22EEA" w:rsidR="009A1D5D" w:rsidRPr="00167CB8" w:rsidRDefault="0024484D" w:rsidP="009A1D5D">
      <w:pPr>
        <w:pStyle w:val="Heading4"/>
        <w:rPr>
          <w:rFonts w:asciiTheme="minorHAnsi" w:hAnsiTheme="minorHAnsi"/>
        </w:rPr>
      </w:pPr>
      <w:bookmarkStart w:id="475" w:name="_Toc188003429"/>
      <w:bookmarkStart w:id="476" w:name="_Toc188277963"/>
      <w:bookmarkStart w:id="477" w:name="_Toc189260314"/>
      <w:bookmarkStart w:id="478" w:name="_Toc189393630"/>
      <w:r w:rsidRPr="00167CB8">
        <w:rPr>
          <w:rFonts w:asciiTheme="minorHAnsi" w:hAnsiTheme="minorHAnsi"/>
        </w:rPr>
        <w:t>31</w:t>
      </w:r>
      <w:r w:rsidR="006370D8" w:rsidRPr="00167CB8">
        <w:rPr>
          <w:rFonts w:asciiTheme="minorHAnsi" w:hAnsiTheme="minorHAnsi"/>
        </w:rPr>
        <w:t>.2</w:t>
      </w:r>
      <w:r w:rsidR="009A1D5D" w:rsidRPr="00167CB8">
        <w:rPr>
          <w:rFonts w:asciiTheme="minorHAnsi" w:hAnsiTheme="minorHAnsi"/>
        </w:rPr>
        <w:t xml:space="preserve"> Impact </w:t>
      </w:r>
      <w:r w:rsidR="00552506" w:rsidRPr="00167CB8">
        <w:rPr>
          <w:rFonts w:asciiTheme="minorHAnsi" w:hAnsiTheme="minorHAnsi"/>
        </w:rPr>
        <w:t>and</w:t>
      </w:r>
      <w:r w:rsidR="009A1D5D" w:rsidRPr="00167CB8">
        <w:rPr>
          <w:rFonts w:asciiTheme="minorHAnsi" w:hAnsiTheme="minorHAnsi"/>
        </w:rPr>
        <w:t xml:space="preserve"> </w:t>
      </w:r>
      <w:r w:rsidR="00857894" w:rsidRPr="00167CB8">
        <w:rPr>
          <w:rFonts w:asciiTheme="minorHAnsi" w:hAnsiTheme="minorHAnsi"/>
        </w:rPr>
        <w:t>i</w:t>
      </w:r>
      <w:r w:rsidR="009A1D5D" w:rsidRPr="00167CB8">
        <w:rPr>
          <w:rFonts w:asciiTheme="minorHAnsi" w:hAnsiTheme="minorHAnsi"/>
        </w:rPr>
        <w:t>ssues</w:t>
      </w:r>
      <w:bookmarkEnd w:id="475"/>
      <w:bookmarkEnd w:id="476"/>
      <w:bookmarkEnd w:id="477"/>
      <w:bookmarkEnd w:id="478"/>
    </w:p>
    <w:p w14:paraId="08307DEC" w14:textId="77777777" w:rsidR="009A1D5D" w:rsidRPr="00167CB8" w:rsidRDefault="009A1D5D" w:rsidP="009A1D5D">
      <w:pPr>
        <w:rPr>
          <w:color w:val="777778" w:themeColor="accent5"/>
        </w:rPr>
      </w:pPr>
      <w:r w:rsidRPr="00167CB8">
        <w:t>The following describes the data and information considered by the Review Panel when evaluating the amendments discussed above.</w:t>
      </w:r>
    </w:p>
    <w:p w14:paraId="475B6A07" w14:textId="372E35CF" w:rsidR="009A1D5D" w:rsidRPr="00167CB8" w:rsidRDefault="0024484D" w:rsidP="009A1D5D">
      <w:pPr>
        <w:pStyle w:val="Heading5"/>
        <w:rPr>
          <w:rFonts w:asciiTheme="minorHAnsi" w:hAnsiTheme="minorHAnsi"/>
        </w:rPr>
      </w:pPr>
      <w:bookmarkStart w:id="479" w:name="_Toc188003430"/>
      <w:r w:rsidRPr="00167CB8">
        <w:rPr>
          <w:rFonts w:asciiTheme="minorHAnsi" w:hAnsiTheme="minorHAnsi"/>
        </w:rPr>
        <w:t>31</w:t>
      </w:r>
      <w:r w:rsidR="006370D8" w:rsidRPr="00167CB8">
        <w:rPr>
          <w:rFonts w:asciiTheme="minorHAnsi" w:hAnsiTheme="minorHAnsi"/>
        </w:rPr>
        <w:t>.2.1</w:t>
      </w:r>
      <w:r w:rsidR="009A1D5D" w:rsidRPr="00167CB8">
        <w:rPr>
          <w:rFonts w:asciiTheme="minorHAnsi" w:hAnsiTheme="minorHAnsi"/>
        </w:rPr>
        <w:t xml:space="preserve"> Quantitative </w:t>
      </w:r>
      <w:r w:rsidR="00857894" w:rsidRPr="00167CB8">
        <w:rPr>
          <w:rFonts w:asciiTheme="minorHAnsi" w:hAnsiTheme="minorHAnsi"/>
        </w:rPr>
        <w:t>e</w:t>
      </w:r>
      <w:r w:rsidR="009A1D5D" w:rsidRPr="00167CB8">
        <w:rPr>
          <w:rFonts w:asciiTheme="minorHAnsi" w:hAnsiTheme="minorHAnsi"/>
        </w:rPr>
        <w:t>vidence</w:t>
      </w:r>
      <w:bookmarkEnd w:id="479"/>
    </w:p>
    <w:p w14:paraId="18FF573A" w14:textId="07B0A334" w:rsidR="009A1D5D" w:rsidRPr="00167CB8" w:rsidRDefault="009A1D5D" w:rsidP="00857894">
      <w:r w:rsidRPr="00167CB8">
        <w:t>The available quantitative evidence for assessing the reforms is limited. There is no mechanism that monitors the number of new requests under the new pregnancy or new family and domestic violence eligibility circumstances. There is</w:t>
      </w:r>
      <w:r w:rsidR="00857894" w:rsidRPr="00167CB8">
        <w:t>,</w:t>
      </w:r>
      <w:r w:rsidRPr="00167CB8">
        <w:t xml:space="preserve"> similarly, a dearth of data that would enable a quantitative analysis of reforms at </w:t>
      </w:r>
      <w:r w:rsidR="00EC7DBC" w:rsidRPr="00167CB8">
        <w:t>s</w:t>
      </w:r>
      <w:r w:rsidR="00857894" w:rsidRPr="00167CB8">
        <w:t> </w:t>
      </w:r>
      <w:r w:rsidRPr="00167CB8">
        <w:t xml:space="preserve">65(A) </w:t>
      </w:r>
      <w:r w:rsidR="00643159" w:rsidRPr="00167CB8">
        <w:t xml:space="preserve">of the </w:t>
      </w:r>
      <w:r w:rsidR="00E60C76" w:rsidRPr="00167CB8">
        <w:t>Fair Work Act</w:t>
      </w:r>
      <w:r w:rsidRPr="00167CB8">
        <w:t xml:space="preserve"> concerning enhanced </w:t>
      </w:r>
      <w:r w:rsidRPr="00167CB8">
        <w:lastRenderedPageBreak/>
        <w:t>employer obligations around genuinely trying to reach agreement and providing written responses.</w:t>
      </w:r>
    </w:p>
    <w:p w14:paraId="16C206E4" w14:textId="1E71A7CF" w:rsidR="009A1D5D" w:rsidRPr="00167CB8" w:rsidRDefault="009A1D5D" w:rsidP="00857894">
      <w:r w:rsidRPr="00167CB8">
        <w:t>The new dispute arrangements (s</w:t>
      </w:r>
      <w:r w:rsidR="00857894" w:rsidRPr="00167CB8">
        <w:t> </w:t>
      </w:r>
      <w:r w:rsidRPr="00167CB8">
        <w:t xml:space="preserve">65B </w:t>
      </w:r>
      <w:r w:rsidR="00D27BD2" w:rsidRPr="00167CB8">
        <w:t xml:space="preserve">of the </w:t>
      </w:r>
      <w:r w:rsidR="00E60C76" w:rsidRPr="00167CB8">
        <w:t>Fair Work Act</w:t>
      </w:r>
      <w:r w:rsidR="00D27BD2" w:rsidRPr="00167CB8">
        <w:t>)</w:t>
      </w:r>
      <w:r w:rsidRPr="00167CB8">
        <w:t xml:space="preserve"> are, however, quantifiable in the sense that the FWC records the number of applications made under this section. </w:t>
      </w:r>
    </w:p>
    <w:p w14:paraId="2C8F22DC" w14:textId="093F603B" w:rsidR="009A1D5D" w:rsidRPr="00167CB8" w:rsidRDefault="009A1D5D" w:rsidP="00857894">
      <w:r w:rsidRPr="00167CB8">
        <w:t xml:space="preserve">Prior to the amendments the FWC's role in such matters was limited to applications under </w:t>
      </w:r>
      <w:r w:rsidR="00D27BD2" w:rsidRPr="00167CB8">
        <w:t>s</w:t>
      </w:r>
      <w:r w:rsidR="00857894" w:rsidRPr="00167CB8">
        <w:t> </w:t>
      </w:r>
      <w:r w:rsidRPr="00167CB8">
        <w:t>739. Under this provision, the FWC could address disputes only if a modern award or enterprise agreement included a term outlining procedures for resolving disputes on specific issues.</w:t>
      </w:r>
    </w:p>
    <w:p w14:paraId="0A391716" w14:textId="5F5B7B78" w:rsidR="009A1D5D" w:rsidRPr="00167CB8" w:rsidRDefault="009A1D5D" w:rsidP="00857894">
      <w:pPr>
        <w:pStyle w:val="ListBullet"/>
      </w:pPr>
      <w:r w:rsidRPr="00167CB8">
        <w:t>Between 1 July 2022 and 5 June 2023, the FWC received 34 s</w:t>
      </w:r>
      <w:r w:rsidR="00857894" w:rsidRPr="00167CB8">
        <w:t> </w:t>
      </w:r>
      <w:r w:rsidRPr="00167CB8">
        <w:t>739 applications related to refusals of flexible working arrangement requests.</w:t>
      </w:r>
    </w:p>
    <w:p w14:paraId="4B374D35" w14:textId="3629ECA7" w:rsidR="009A1D5D" w:rsidRPr="00167CB8" w:rsidRDefault="009A1D5D" w:rsidP="00857894">
      <w:pPr>
        <w:pStyle w:val="ListBullet"/>
      </w:pPr>
      <w:r w:rsidRPr="00167CB8">
        <w:t xml:space="preserve">Since the implementation of the </w:t>
      </w:r>
      <w:r w:rsidR="008D41A8" w:rsidRPr="00167CB8">
        <w:rPr>
          <w:rFonts w:cstheme="minorHAnsi"/>
        </w:rPr>
        <w:t>Secure Jobs, Better Pay</w:t>
      </w:r>
      <w:r w:rsidRPr="00167CB8">
        <w:t xml:space="preserve"> Act, the volume of applications has significantly increased. Between 6 June 2023 </w:t>
      </w:r>
      <w:r w:rsidR="00857894" w:rsidRPr="00167CB8">
        <w:t xml:space="preserve">and </w:t>
      </w:r>
      <w:r w:rsidRPr="00167CB8">
        <w:t>31 March 2024</w:t>
      </w:r>
      <w:r w:rsidR="00BA4B33" w:rsidRPr="00167CB8">
        <w:t xml:space="preserve"> (a comparable timeframe)</w:t>
      </w:r>
      <w:r w:rsidRPr="00167CB8">
        <w:t xml:space="preserve">, the FWC received 150 </w:t>
      </w:r>
      <w:r w:rsidR="00EC7DBC" w:rsidRPr="00167CB8">
        <w:t>s</w:t>
      </w:r>
      <w:r w:rsidR="00857894" w:rsidRPr="00167CB8">
        <w:t> </w:t>
      </w:r>
      <w:r w:rsidRPr="00167CB8">
        <w:t>65B applications.</w:t>
      </w:r>
      <w:r w:rsidR="00BA4B33" w:rsidRPr="00167CB8">
        <w:t xml:space="preserve"> </w:t>
      </w:r>
      <w:r w:rsidR="008407FF" w:rsidRPr="00167CB8">
        <w:t>The FWC received an additional 63 applications</w:t>
      </w:r>
      <w:r w:rsidR="00BE51C7" w:rsidRPr="00167CB8">
        <w:t xml:space="preserve"> to </w:t>
      </w:r>
      <w:r w:rsidR="009C712F" w:rsidRPr="00167CB8">
        <w:t>30 June 2024.</w:t>
      </w:r>
    </w:p>
    <w:p w14:paraId="2399B629" w14:textId="016896F7" w:rsidR="009A1D5D" w:rsidRPr="00167CB8" w:rsidRDefault="00252A87" w:rsidP="00857894">
      <w:pPr>
        <w:rPr>
          <w:color w:val="777778" w:themeColor="accent5"/>
        </w:rPr>
      </w:pPr>
      <w:r w:rsidRPr="00167CB8">
        <w:t xml:space="preserve">A limited number </w:t>
      </w:r>
      <w:r w:rsidR="009A1D5D" w:rsidRPr="00167CB8">
        <w:t xml:space="preserve">of </w:t>
      </w:r>
      <w:r w:rsidR="00EC7DBC" w:rsidRPr="00167CB8">
        <w:t>s</w:t>
      </w:r>
      <w:r w:rsidR="00857894" w:rsidRPr="00167CB8">
        <w:t> </w:t>
      </w:r>
      <w:r w:rsidR="009A1D5D" w:rsidRPr="00167CB8">
        <w:t xml:space="preserve">65B applications have been resolved through arbitration. </w:t>
      </w:r>
      <w:r w:rsidR="003A5E4C" w:rsidRPr="00167CB8">
        <w:t>Throughout these</w:t>
      </w:r>
      <w:r w:rsidR="009A1D5D" w:rsidRPr="00167CB8">
        <w:t xml:space="preserve"> cases, the FWC found the employers had reasonably accommodated certain circumstances and refused other parts of the requests on reasonable business grounds.</w:t>
      </w:r>
      <w:r w:rsidR="009A1D5D" w:rsidRPr="00167CB8">
        <w:rPr>
          <w:vertAlign w:val="superscript"/>
        </w:rPr>
        <w:footnoteReference w:id="966"/>
      </w:r>
    </w:p>
    <w:p w14:paraId="5AEDF672" w14:textId="24744278" w:rsidR="009A1D5D" w:rsidRPr="00167CB8" w:rsidRDefault="0024484D" w:rsidP="009A1D5D">
      <w:pPr>
        <w:pStyle w:val="Heading5"/>
        <w:rPr>
          <w:rFonts w:asciiTheme="minorHAnsi" w:hAnsiTheme="minorHAnsi"/>
        </w:rPr>
      </w:pPr>
      <w:bookmarkStart w:id="480" w:name="_Toc188003431"/>
      <w:r w:rsidRPr="00167CB8">
        <w:rPr>
          <w:rFonts w:asciiTheme="minorHAnsi" w:hAnsiTheme="minorHAnsi"/>
        </w:rPr>
        <w:t>31</w:t>
      </w:r>
      <w:r w:rsidR="006370D8" w:rsidRPr="00167CB8">
        <w:rPr>
          <w:rFonts w:asciiTheme="minorHAnsi" w:hAnsiTheme="minorHAnsi"/>
        </w:rPr>
        <w:t>.2.2</w:t>
      </w:r>
      <w:r w:rsidR="009A1D5D" w:rsidRPr="00167CB8">
        <w:rPr>
          <w:rFonts w:asciiTheme="minorHAnsi" w:hAnsiTheme="minorHAnsi"/>
        </w:rPr>
        <w:t xml:space="preserve"> Qualitative </w:t>
      </w:r>
      <w:r w:rsidR="00857894" w:rsidRPr="00167CB8">
        <w:rPr>
          <w:rFonts w:asciiTheme="minorHAnsi" w:hAnsiTheme="minorHAnsi"/>
        </w:rPr>
        <w:t>e</w:t>
      </w:r>
      <w:r w:rsidR="009A1D5D" w:rsidRPr="00167CB8">
        <w:rPr>
          <w:rFonts w:asciiTheme="minorHAnsi" w:hAnsiTheme="minorHAnsi"/>
        </w:rPr>
        <w:t>vidence</w:t>
      </w:r>
      <w:bookmarkEnd w:id="480"/>
    </w:p>
    <w:p w14:paraId="76144C0D" w14:textId="6D100F00" w:rsidR="009A1D5D" w:rsidRPr="00167CB8" w:rsidRDefault="009A1D5D" w:rsidP="00857894">
      <w:r w:rsidRPr="00167CB8">
        <w:t xml:space="preserve">In a recent article published in the </w:t>
      </w:r>
      <w:r w:rsidRPr="00167CB8">
        <w:rPr>
          <w:i/>
        </w:rPr>
        <w:t>Australian Journal of Labour Law</w:t>
      </w:r>
      <w:r w:rsidRPr="00167CB8">
        <w:t>, Amanda Selvarajah examines how the FWC is exercising its new powers concerning flexible work disputes.</w:t>
      </w:r>
      <w:r w:rsidRPr="00167CB8">
        <w:rPr>
          <w:rStyle w:val="FootnoteReference"/>
          <w:rFonts w:eastAsiaTheme="majorEastAsia" w:cs="Calibri"/>
        </w:rPr>
        <w:footnoteReference w:id="967"/>
      </w:r>
      <w:r w:rsidRPr="00167CB8">
        <w:t xml:space="preserve"> Her overall conclusion is that, although the FWC has the powers to assess whether employers are reasonably refusing requests on business grounds, they have, instead, become more focused on verifying eligibility. This, Selvarajah argues, stems from the </w:t>
      </w:r>
      <w:r w:rsidR="00563EC1" w:rsidRPr="00167CB8">
        <w:t xml:space="preserve">approach of the </w:t>
      </w:r>
      <w:r w:rsidRPr="00167CB8">
        <w:t xml:space="preserve">Full </w:t>
      </w:r>
      <w:r w:rsidR="00563EC1" w:rsidRPr="00167CB8">
        <w:t xml:space="preserve">Bench of the FWC </w:t>
      </w:r>
      <w:r w:rsidRPr="00167CB8">
        <w:t xml:space="preserve">in </w:t>
      </w:r>
      <w:r w:rsidRPr="00167CB8">
        <w:rPr>
          <w:i/>
        </w:rPr>
        <w:t>Quirke v BSR Australia Ltd.</w:t>
      </w:r>
      <w:r w:rsidRPr="00167CB8">
        <w:t xml:space="preserve"> Quirke had applied to change her roster</w:t>
      </w:r>
      <w:r w:rsidR="00857894" w:rsidRPr="00167CB8">
        <w:t>,</w:t>
      </w:r>
      <w:r w:rsidRPr="00167CB8">
        <w:t xml:space="preserve"> as evening shifts were exacerbating her symptoms of anxiety, depression and sleep disturbances. Selvarajah notes that Quirke had not served 12 months and was not eligible</w:t>
      </w:r>
      <w:r w:rsidR="00857894" w:rsidRPr="00167CB8">
        <w:t>,</w:t>
      </w:r>
      <w:r w:rsidRPr="00167CB8">
        <w:t xml:space="preserve"> but the significance of the case is that the Full Bench </w:t>
      </w:r>
      <w:r w:rsidR="00563EC1" w:rsidRPr="00167CB8">
        <w:t xml:space="preserve">of the FWC </w:t>
      </w:r>
      <w:r w:rsidRPr="00167CB8">
        <w:t xml:space="preserve">found that Quirke had not been able to prove a ‘nexus’ between the criteria and the request. Citing Selvarajah, </w:t>
      </w:r>
      <w:r w:rsidR="00857894" w:rsidRPr="00167CB8">
        <w:t>‘</w:t>
      </w:r>
      <w:r w:rsidRPr="00167CB8">
        <w:t xml:space="preserve">the Full Bench found that Ms Quirke had not explained </w:t>
      </w:r>
      <w:r w:rsidR="00857894" w:rsidRPr="00167CB8">
        <w:t>“</w:t>
      </w:r>
      <w:r w:rsidRPr="00167CB8">
        <w:rPr>
          <w:i/>
        </w:rPr>
        <w:t xml:space="preserve">why </w:t>
      </w:r>
      <w:r w:rsidRPr="00167CB8">
        <w:t>she considers she has a psychosocial disability</w:t>
      </w:r>
      <w:r w:rsidR="00857894" w:rsidRPr="00167CB8">
        <w:t>”’</w:t>
      </w:r>
      <w:r w:rsidRPr="00167CB8">
        <w:t>.</w:t>
      </w:r>
      <w:r w:rsidRPr="00167CB8">
        <w:rPr>
          <w:rStyle w:val="FootnoteReference"/>
          <w:rFonts w:eastAsiaTheme="majorEastAsia" w:cs="Calibri"/>
        </w:rPr>
        <w:footnoteReference w:id="968"/>
      </w:r>
      <w:r w:rsidRPr="00167CB8">
        <w:t xml:space="preserve"> Selvarajah goes on </w:t>
      </w:r>
      <w:r w:rsidR="00563EC1" w:rsidRPr="00167CB8">
        <w:t>to</w:t>
      </w:r>
      <w:r w:rsidRPr="00167CB8">
        <w:t xml:space="preserve"> argue that the ‘stringent scrutiny’ applied by the FWC when considering the </w:t>
      </w:r>
      <w:r w:rsidR="00857894" w:rsidRPr="00167CB8">
        <w:t>‘</w:t>
      </w:r>
      <w:r w:rsidRPr="00167CB8">
        <w:t>nexus between an employee’s relevant circumstance and their flexibility request</w:t>
      </w:r>
      <w:r w:rsidR="00857894" w:rsidRPr="00167CB8">
        <w:t>’</w:t>
      </w:r>
      <w:r w:rsidRPr="00167CB8">
        <w:t xml:space="preserve"> has resulted in them applying a ‘narrow approach’ to establishing eligibility flexible work requests and is, as a result, undermining the intent of the flexible work arrangement provisions. She concludes:</w:t>
      </w:r>
      <w:r w:rsidR="00857894" w:rsidRPr="00167CB8">
        <w:rPr>
          <w:rStyle w:val="FootnoteReference"/>
          <w:rFonts w:eastAsiaTheme="majorEastAsia" w:cs="Calibri"/>
        </w:rPr>
        <w:footnoteReference w:id="969"/>
      </w:r>
    </w:p>
    <w:p w14:paraId="03B68A5C" w14:textId="4EAA597C" w:rsidR="009A1D5D" w:rsidRPr="00167CB8" w:rsidRDefault="009A1D5D" w:rsidP="00857894">
      <w:pPr>
        <w:pStyle w:val="Quote"/>
      </w:pPr>
      <w:r w:rsidRPr="00167CB8">
        <w:t xml:space="preserve">the FWC is allowing for requests to be deemed ineligible due to a lack of evidence, preventing scrutiny of the reasonableness of employer responses. This approach has worrying implications for Australia’s </w:t>
      </w:r>
      <w:r w:rsidRPr="00167CB8">
        <w:lastRenderedPageBreak/>
        <w:t>flexible work rights. Employers could be emboldened to not seriously consider a flexible work request and reject even the negotiation phase required by the amended s 65 where they believe the employee’s eligibility may be easily challenged as such as where the criterion of having a disability or caring for someone with a disability is invoked. It is therefore essential that this approach is revised. The recent amendments have the potential to improve the enforceability of the right to request flexible work by positioning the FWC as a safeguard against the improper handling of requests. This power will remain underutilised, however, if requests are considered ineligible on account of arbitrary evidentiary requirements … Parliament should also consider clarifying and expanding eligibility requirements relating to the right to request flexible work to ensure that its recent amendments serve its intended purpose in strengthening Australia’s flexible work rights.</w:t>
      </w:r>
    </w:p>
    <w:p w14:paraId="0CE693D0" w14:textId="0B45428D" w:rsidR="009A1D5D" w:rsidRPr="00167CB8" w:rsidRDefault="009A1D5D" w:rsidP="00857894">
      <w:r w:rsidRPr="00167CB8">
        <w:t>The Review Panel notes that in several cases, while the FWC has found that the eligibility criteria ha</w:t>
      </w:r>
      <w:r w:rsidR="00857894" w:rsidRPr="00167CB8">
        <w:t>ve</w:t>
      </w:r>
      <w:r w:rsidRPr="00167CB8">
        <w:t xml:space="preserve"> not been met, it has also noted findings and given reasoning about the reasonableness of employers’ grounds for refusal.</w:t>
      </w:r>
    </w:p>
    <w:p w14:paraId="04C1425F" w14:textId="1ACE915F" w:rsidR="009A1D5D" w:rsidRPr="00167CB8" w:rsidRDefault="0024484D" w:rsidP="009A1D5D">
      <w:pPr>
        <w:pStyle w:val="Heading5"/>
        <w:rPr>
          <w:rFonts w:asciiTheme="minorHAnsi" w:hAnsiTheme="minorHAnsi"/>
        </w:rPr>
      </w:pPr>
      <w:bookmarkStart w:id="481" w:name="_Toc188003432"/>
      <w:r w:rsidRPr="00167CB8">
        <w:rPr>
          <w:rFonts w:asciiTheme="minorHAnsi" w:hAnsiTheme="minorHAnsi"/>
        </w:rPr>
        <w:t>31</w:t>
      </w:r>
      <w:r w:rsidR="006370D8" w:rsidRPr="00167CB8">
        <w:rPr>
          <w:rFonts w:asciiTheme="minorHAnsi" w:hAnsiTheme="minorHAnsi"/>
        </w:rPr>
        <w:t>.2.3</w:t>
      </w:r>
      <w:r w:rsidR="009A1D5D" w:rsidRPr="00167CB8">
        <w:rPr>
          <w:rFonts w:asciiTheme="minorHAnsi" w:hAnsiTheme="minorHAnsi"/>
        </w:rPr>
        <w:t xml:space="preserve"> Stakeholder views</w:t>
      </w:r>
      <w:bookmarkEnd w:id="481"/>
    </w:p>
    <w:p w14:paraId="051BE5A5" w14:textId="77777777" w:rsidR="009A1D5D" w:rsidRPr="00167CB8" w:rsidRDefault="009A1D5D" w:rsidP="00857894">
      <w:pPr>
        <w:rPr>
          <w:lang w:eastAsia="en-AU"/>
        </w:rPr>
      </w:pPr>
      <w:r w:rsidRPr="00167CB8">
        <w:rPr>
          <w:lang w:eastAsia="en-AU"/>
        </w:rPr>
        <w:t xml:space="preserve">Stakeholders expressed mixed views about the expanded right to request flexible working arrangements.  </w:t>
      </w:r>
    </w:p>
    <w:p w14:paraId="1A45A816" w14:textId="5685044A" w:rsidR="009A1D5D" w:rsidRPr="00167CB8" w:rsidRDefault="009A1D5D" w:rsidP="00857894">
      <w:pPr>
        <w:rPr>
          <w:lang w:eastAsia="en-AU"/>
        </w:rPr>
      </w:pPr>
      <w:r w:rsidRPr="00167CB8">
        <w:rPr>
          <w:lang w:eastAsia="en-AU"/>
        </w:rPr>
        <w:t>Employer</w:t>
      </w:r>
      <w:r w:rsidR="00142D64" w:rsidRPr="00167CB8">
        <w:rPr>
          <w:lang w:eastAsia="en-AU"/>
        </w:rPr>
        <w:t xml:space="preserve"> </w:t>
      </w:r>
      <w:r w:rsidR="00142D64" w:rsidRPr="00167CB8">
        <w:t>associations</w:t>
      </w:r>
      <w:r w:rsidRPr="00167CB8">
        <w:rPr>
          <w:lang w:eastAsia="en-AU"/>
        </w:rPr>
        <w:t xml:space="preserve"> raised concerns that employees were now of the view that everyone has a right to request flexible work arrangements, irrespective of their role. Concerns were also expressed about the difficulty of managing flexible work in customer-facing roles. Employer</w:t>
      </w:r>
      <w:r w:rsidR="002703FF" w:rsidRPr="00167CB8">
        <w:rPr>
          <w:lang w:eastAsia="en-AU"/>
        </w:rPr>
        <w:t xml:space="preserve"> </w:t>
      </w:r>
      <w:r w:rsidR="002703FF" w:rsidRPr="00167CB8">
        <w:t>associations</w:t>
      </w:r>
      <w:r w:rsidRPr="00167CB8">
        <w:rPr>
          <w:lang w:eastAsia="en-AU"/>
        </w:rPr>
        <w:t xml:space="preserve"> also anticipate an increase in the number of disputes and legal costs due to the rising number of requests, with worries about some paying </w:t>
      </w:r>
      <w:r w:rsidR="00857894" w:rsidRPr="00167CB8">
        <w:rPr>
          <w:lang w:eastAsia="en-AU"/>
        </w:rPr>
        <w:t>‘</w:t>
      </w:r>
      <w:r w:rsidRPr="00167CB8">
        <w:rPr>
          <w:lang w:eastAsia="en-AU"/>
        </w:rPr>
        <w:t>go-away money</w:t>
      </w:r>
      <w:r w:rsidR="00857894" w:rsidRPr="00167CB8">
        <w:rPr>
          <w:lang w:eastAsia="en-AU"/>
        </w:rPr>
        <w:t>’</w:t>
      </w:r>
      <w:r w:rsidRPr="00167CB8">
        <w:rPr>
          <w:lang w:eastAsia="en-AU"/>
        </w:rPr>
        <w:t xml:space="preserve"> to avoid disputes.</w:t>
      </w:r>
    </w:p>
    <w:p w14:paraId="7D4E0FDB" w14:textId="7EED09EF" w:rsidR="009A1D5D" w:rsidRPr="00167CB8" w:rsidRDefault="009A1D5D" w:rsidP="00857894">
      <w:pPr>
        <w:rPr>
          <w:lang w:eastAsia="en-AU"/>
        </w:rPr>
      </w:pPr>
      <w:r w:rsidRPr="00167CB8">
        <w:rPr>
          <w:lang w:eastAsia="en-AU"/>
        </w:rPr>
        <w:t>Other matters raised by employer</w:t>
      </w:r>
      <w:r w:rsidR="002703FF" w:rsidRPr="00167CB8">
        <w:rPr>
          <w:lang w:eastAsia="en-AU"/>
        </w:rPr>
        <w:t xml:space="preserve"> </w:t>
      </w:r>
      <w:r w:rsidR="002703FF" w:rsidRPr="00167CB8">
        <w:t>associations</w:t>
      </w:r>
      <w:r w:rsidRPr="00167CB8">
        <w:rPr>
          <w:lang w:eastAsia="en-AU"/>
        </w:rPr>
        <w:t xml:space="preserve"> included:</w:t>
      </w:r>
    </w:p>
    <w:p w14:paraId="36C349C8" w14:textId="22629667" w:rsidR="009A1D5D" w:rsidRPr="00167CB8" w:rsidRDefault="00857894" w:rsidP="00857894">
      <w:pPr>
        <w:pStyle w:val="ListBullet"/>
      </w:pPr>
      <w:r w:rsidRPr="00167CB8">
        <w:t>c</w:t>
      </w:r>
      <w:r w:rsidR="009A1D5D" w:rsidRPr="00167CB8">
        <w:t>oncerns that there may be exceptional circumstances preventing employers from responding to requests within 21 days (Ai Group)</w:t>
      </w:r>
    </w:p>
    <w:p w14:paraId="7CF255FE" w14:textId="55B2CAAE" w:rsidR="009A1D5D" w:rsidRPr="00167CB8" w:rsidRDefault="00857894" w:rsidP="00857894">
      <w:pPr>
        <w:pStyle w:val="ListBullet"/>
      </w:pPr>
      <w:r w:rsidRPr="00167CB8">
        <w:t>a</w:t>
      </w:r>
      <w:r w:rsidR="009A1D5D" w:rsidRPr="00167CB8">
        <w:t xml:space="preserve"> requirement that flexible work agreements be time limited (</w:t>
      </w:r>
      <w:r w:rsidRPr="00167CB8">
        <w:t>Australian Chamber of Commerce and Industry (</w:t>
      </w:r>
      <w:r w:rsidR="009A1D5D" w:rsidRPr="00167CB8">
        <w:t>ACCI</w:t>
      </w:r>
      <w:r w:rsidRPr="00167CB8">
        <w:t>)</w:t>
      </w:r>
      <w:r w:rsidR="009A1D5D" w:rsidRPr="00167CB8">
        <w:t>)</w:t>
      </w:r>
    </w:p>
    <w:p w14:paraId="77D9F764" w14:textId="47164B3A" w:rsidR="009A1D5D" w:rsidRPr="00167CB8" w:rsidRDefault="00857894" w:rsidP="00857894">
      <w:pPr>
        <w:pStyle w:val="ListBullet"/>
      </w:pPr>
      <w:r w:rsidRPr="00167CB8">
        <w:t>t</w:t>
      </w:r>
      <w:r w:rsidR="009A1D5D" w:rsidRPr="00167CB8">
        <w:t>hat jurisdictional objects be raised earlier in FWC processes (ACCI).</w:t>
      </w:r>
    </w:p>
    <w:p w14:paraId="7FF4BCEC" w14:textId="62611EA8" w:rsidR="009A1D5D" w:rsidRPr="00167CB8" w:rsidRDefault="009A1D5D" w:rsidP="006000ED">
      <w:pPr>
        <w:spacing w:before="100" w:beforeAutospacing="1"/>
        <w:rPr>
          <w:rFonts w:eastAsia="Times New Roman" w:cs="Calibri"/>
          <w:lang w:eastAsia="en-AU"/>
        </w:rPr>
      </w:pPr>
      <w:r w:rsidRPr="00167CB8">
        <w:rPr>
          <w:rFonts w:eastAsia="Times New Roman" w:cs="Calibri"/>
          <w:lang w:eastAsia="en-AU"/>
        </w:rPr>
        <w:t xml:space="preserve">Unions, on the other hand, welcomed the changes and noted a surge in calls to assist with flexible work requests. They submitted that the FWC powers to arbitrate a dispute had led to a reduction in disputes. The </w:t>
      </w:r>
      <w:r w:rsidR="00FF4C91" w:rsidRPr="00167CB8">
        <w:rPr>
          <w:rFonts w:eastAsia="Times New Roman" w:cs="Calibri"/>
          <w:lang w:eastAsia="en-AU"/>
        </w:rPr>
        <w:t xml:space="preserve">Shop, Distributive and Allied Employees Association </w:t>
      </w:r>
      <w:r w:rsidRPr="00167CB8">
        <w:rPr>
          <w:rFonts w:eastAsia="Times New Roman" w:cs="Calibri"/>
          <w:lang w:eastAsia="en-AU"/>
        </w:rPr>
        <w:t>explained that in the retail sector requests to change a roster had always been a problem, with many refused. Subsequent to the amendments – and the threat of arbitration - requests for roster changes are being approved.</w:t>
      </w:r>
    </w:p>
    <w:p w14:paraId="6B00A4D7" w14:textId="77777777" w:rsidR="009A1D5D" w:rsidRPr="00167CB8" w:rsidRDefault="009A1D5D" w:rsidP="006000ED">
      <w:pPr>
        <w:spacing w:before="100" w:beforeAutospacing="1"/>
        <w:rPr>
          <w:color w:val="777778" w:themeColor="accent5"/>
        </w:rPr>
      </w:pPr>
      <w:r w:rsidRPr="00167CB8">
        <w:rPr>
          <w:rFonts w:eastAsia="Times New Roman" w:cs="Calibri"/>
          <w:lang w:eastAsia="en-AU"/>
        </w:rPr>
        <w:t>Unions requested that the right be extend to all workers with caring responsibilities and those requiring flexibility for reproductive health. (Reproductive health is discussed above).</w:t>
      </w:r>
    </w:p>
    <w:p w14:paraId="12C0B6BB" w14:textId="42E1F483" w:rsidR="009A1D5D" w:rsidRPr="00167CB8" w:rsidRDefault="0024484D" w:rsidP="009A1D5D">
      <w:pPr>
        <w:pStyle w:val="Heading4"/>
        <w:rPr>
          <w:rFonts w:asciiTheme="minorHAnsi" w:hAnsiTheme="minorHAnsi"/>
        </w:rPr>
      </w:pPr>
      <w:bookmarkStart w:id="482" w:name="_Toc188003433"/>
      <w:bookmarkStart w:id="483" w:name="_Toc188277964"/>
      <w:bookmarkStart w:id="484" w:name="_Toc189260315"/>
      <w:bookmarkStart w:id="485" w:name="_Toc189393631"/>
      <w:r w:rsidRPr="00167CB8">
        <w:rPr>
          <w:rFonts w:asciiTheme="minorHAnsi" w:hAnsiTheme="minorHAnsi"/>
        </w:rPr>
        <w:lastRenderedPageBreak/>
        <w:t>31</w:t>
      </w:r>
      <w:r w:rsidR="006370D8" w:rsidRPr="00167CB8">
        <w:rPr>
          <w:rFonts w:asciiTheme="minorHAnsi" w:hAnsiTheme="minorHAnsi"/>
        </w:rPr>
        <w:t>.3</w:t>
      </w:r>
      <w:r w:rsidR="009A1D5D" w:rsidRPr="00167CB8">
        <w:rPr>
          <w:rFonts w:asciiTheme="minorHAnsi" w:hAnsiTheme="minorHAnsi"/>
        </w:rPr>
        <w:t xml:space="preserve"> Findings </w:t>
      </w:r>
      <w:r w:rsidR="00552506" w:rsidRPr="00167CB8">
        <w:rPr>
          <w:rFonts w:asciiTheme="minorHAnsi" w:hAnsiTheme="minorHAnsi"/>
        </w:rPr>
        <w:t>and</w:t>
      </w:r>
      <w:r w:rsidR="009A1D5D" w:rsidRPr="00167CB8">
        <w:rPr>
          <w:rFonts w:asciiTheme="minorHAnsi" w:hAnsiTheme="minorHAnsi"/>
        </w:rPr>
        <w:t xml:space="preserve"> </w:t>
      </w:r>
      <w:r w:rsidR="00FF4C91" w:rsidRPr="00167CB8">
        <w:rPr>
          <w:rFonts w:asciiTheme="minorHAnsi" w:hAnsiTheme="minorHAnsi"/>
        </w:rPr>
        <w:t>r</w:t>
      </w:r>
      <w:r w:rsidR="009A1D5D" w:rsidRPr="00167CB8">
        <w:rPr>
          <w:rFonts w:asciiTheme="minorHAnsi" w:hAnsiTheme="minorHAnsi"/>
        </w:rPr>
        <w:t>ecommendations</w:t>
      </w:r>
      <w:bookmarkEnd w:id="482"/>
      <w:bookmarkEnd w:id="483"/>
      <w:bookmarkEnd w:id="484"/>
      <w:bookmarkEnd w:id="485"/>
    </w:p>
    <w:p w14:paraId="062EE9B2" w14:textId="79046021" w:rsidR="009A1D5D" w:rsidRPr="00167CB8" w:rsidRDefault="009A1D5D" w:rsidP="006000ED">
      <w:pPr>
        <w:spacing w:before="100" w:beforeAutospacing="1"/>
        <w:rPr>
          <w:rFonts w:cstheme="minorHAnsi"/>
        </w:rPr>
      </w:pPr>
      <w:r w:rsidRPr="00167CB8">
        <w:rPr>
          <w:rFonts w:eastAsia="Times New Roman" w:cs="Calibri"/>
          <w:lang w:eastAsia="en-AU"/>
        </w:rPr>
        <w:t xml:space="preserve">The </w:t>
      </w:r>
      <w:r w:rsidR="008D41A8" w:rsidRPr="00167CB8">
        <w:rPr>
          <w:rFonts w:cstheme="minorHAnsi"/>
        </w:rPr>
        <w:t>Secure Jobs, Better Pay</w:t>
      </w:r>
      <w:r w:rsidRPr="00167CB8">
        <w:rPr>
          <w:rFonts w:cstheme="minorHAnsi"/>
        </w:rPr>
        <w:t xml:space="preserve"> amendments </w:t>
      </w:r>
      <w:r w:rsidR="00B978AA" w:rsidRPr="00167CB8">
        <w:rPr>
          <w:rFonts w:cstheme="minorHAnsi"/>
        </w:rPr>
        <w:t xml:space="preserve">related to </w:t>
      </w:r>
      <w:r w:rsidRPr="00167CB8">
        <w:rPr>
          <w:rFonts w:cstheme="minorHAnsi"/>
        </w:rPr>
        <w:t xml:space="preserve">the NES right to request flexible work arrangements </w:t>
      </w:r>
      <w:r w:rsidR="00B978AA" w:rsidRPr="00167CB8">
        <w:rPr>
          <w:rFonts w:cstheme="minorHAnsi"/>
        </w:rPr>
        <w:t>included</w:t>
      </w:r>
      <w:r w:rsidRPr="00167CB8">
        <w:rPr>
          <w:rFonts w:cstheme="minorHAnsi"/>
        </w:rPr>
        <w:t xml:space="preserve"> new provisions aimed at enhancing employer obligations concerning the requests (e.g. genuinely trying to reach agreement and providing sufficient detail in written responses) and new dispute resolution provisions. The</w:t>
      </w:r>
      <w:r w:rsidR="008E03B7" w:rsidRPr="00167CB8">
        <w:rPr>
          <w:rFonts w:cstheme="minorHAnsi"/>
        </w:rPr>
        <w:t>se</w:t>
      </w:r>
      <w:r w:rsidRPr="00167CB8">
        <w:rPr>
          <w:rFonts w:cstheme="minorHAnsi"/>
        </w:rPr>
        <w:t xml:space="preserve"> amendments came into effect on 6 June 2023.</w:t>
      </w:r>
    </w:p>
    <w:p w14:paraId="50C80943" w14:textId="7A97EAC0" w:rsidR="009A1D5D" w:rsidRPr="00167CB8" w:rsidRDefault="009A1D5D" w:rsidP="006000ED">
      <w:pPr>
        <w:spacing w:before="100" w:beforeAutospacing="1"/>
        <w:rPr>
          <w:rFonts w:cstheme="minorHAnsi"/>
        </w:rPr>
      </w:pPr>
      <w:r w:rsidRPr="00167CB8">
        <w:rPr>
          <w:rFonts w:cstheme="minorHAnsi"/>
        </w:rPr>
        <w:t>Available evidence suggest</w:t>
      </w:r>
      <w:r w:rsidR="008572EB" w:rsidRPr="00167CB8">
        <w:rPr>
          <w:rFonts w:cstheme="minorHAnsi"/>
        </w:rPr>
        <w:t>s</w:t>
      </w:r>
      <w:r w:rsidRPr="00167CB8">
        <w:rPr>
          <w:rFonts w:cstheme="minorHAnsi"/>
        </w:rPr>
        <w:t xml:space="preserve"> that the amendments are working as intended. Employees have better access to flexible work arrangements (e.g. rosters) and have </w:t>
      </w:r>
      <w:r w:rsidR="008572EB" w:rsidRPr="00167CB8">
        <w:rPr>
          <w:rFonts w:cstheme="minorHAnsi"/>
        </w:rPr>
        <w:t>an avenue for dispute resolution</w:t>
      </w:r>
      <w:r w:rsidRPr="00167CB8">
        <w:rPr>
          <w:rFonts w:cstheme="minorHAnsi"/>
        </w:rPr>
        <w:t xml:space="preserve"> if their requests are </w:t>
      </w:r>
      <w:r w:rsidR="00540BEE" w:rsidRPr="00167CB8">
        <w:rPr>
          <w:rFonts w:cstheme="minorHAnsi"/>
        </w:rPr>
        <w:t xml:space="preserve">unreasonably </w:t>
      </w:r>
      <w:r w:rsidRPr="00167CB8">
        <w:rPr>
          <w:rFonts w:cstheme="minorHAnsi"/>
        </w:rPr>
        <w:t xml:space="preserve">refused. </w:t>
      </w:r>
    </w:p>
    <w:p w14:paraId="251820A4" w14:textId="10E234CE" w:rsidR="009A1D5D" w:rsidRPr="00167CB8" w:rsidRDefault="009A1D5D" w:rsidP="006000ED">
      <w:pPr>
        <w:spacing w:before="100" w:beforeAutospacing="1"/>
        <w:rPr>
          <w:rFonts w:cstheme="minorHAnsi"/>
        </w:rPr>
      </w:pPr>
      <w:r w:rsidRPr="00167CB8">
        <w:rPr>
          <w:rFonts w:cstheme="minorHAnsi"/>
        </w:rPr>
        <w:t>The Review Panel acknowledges Amanda Selvarajah’s concerns that the FWC may be taking a narrow approach to determining eligibility, potentially diverging from the legislation</w:t>
      </w:r>
      <w:r w:rsidR="00FF4C91" w:rsidRPr="00167CB8">
        <w:rPr>
          <w:rFonts w:cstheme="minorHAnsi"/>
        </w:rPr>
        <w:t>’</w:t>
      </w:r>
      <w:r w:rsidRPr="00167CB8">
        <w:rPr>
          <w:rFonts w:cstheme="minorHAnsi"/>
        </w:rPr>
        <w:t>s intent. The</w:t>
      </w:r>
      <w:r w:rsidRPr="00167CB8" w:rsidDel="0046104D">
        <w:rPr>
          <w:rFonts w:cstheme="minorHAnsi"/>
        </w:rPr>
        <w:t xml:space="preserve"> </w:t>
      </w:r>
      <w:r w:rsidR="0046104D" w:rsidRPr="00167CB8">
        <w:rPr>
          <w:rFonts w:cstheme="minorHAnsi"/>
        </w:rPr>
        <w:t>Review</w:t>
      </w:r>
      <w:r w:rsidRPr="00167CB8">
        <w:rPr>
          <w:rFonts w:cstheme="minorHAnsi"/>
        </w:rPr>
        <w:t xml:space="preserve"> Panel also recognises her recommendation for </w:t>
      </w:r>
      <w:r w:rsidR="00FF4C91" w:rsidRPr="00167CB8">
        <w:rPr>
          <w:rFonts w:cstheme="minorHAnsi"/>
        </w:rPr>
        <w:t>p</w:t>
      </w:r>
      <w:r w:rsidRPr="00167CB8">
        <w:rPr>
          <w:rFonts w:cstheme="minorHAnsi"/>
        </w:rPr>
        <w:t>arliament to clarify and expand eligibility criteria. However, the</w:t>
      </w:r>
      <w:r w:rsidRPr="00167CB8" w:rsidDel="0046104D">
        <w:rPr>
          <w:rFonts w:cstheme="minorHAnsi"/>
        </w:rPr>
        <w:t xml:space="preserve"> </w:t>
      </w:r>
      <w:r w:rsidR="0046104D" w:rsidRPr="00167CB8">
        <w:rPr>
          <w:rFonts w:cstheme="minorHAnsi"/>
        </w:rPr>
        <w:t>Review</w:t>
      </w:r>
      <w:r w:rsidRPr="00167CB8">
        <w:rPr>
          <w:rFonts w:cstheme="minorHAnsi"/>
        </w:rPr>
        <w:t xml:space="preserve"> Panel is cautious about adopting this suggestion at this stage, noting that the provisions are still in their early stages, with limited cases to date, and that the FWC, being a tribunal rather than a court, is not strictly bound by precedent.</w:t>
      </w:r>
    </w:p>
    <w:p w14:paraId="29A8EA21" w14:textId="77777777" w:rsidR="009A1D5D" w:rsidRPr="00167CB8" w:rsidRDefault="009A1D5D" w:rsidP="006000ED">
      <w:pPr>
        <w:spacing w:before="100" w:beforeAutospacing="1"/>
        <w:rPr>
          <w:rFonts w:cstheme="minorHAnsi"/>
        </w:rPr>
      </w:pPr>
      <w:r w:rsidRPr="00167CB8">
        <w:rPr>
          <w:rFonts w:cstheme="minorHAnsi"/>
        </w:rPr>
        <w:t>The Review Panel also acknowledges the Ai Group's concern that some requests may take longer than 21 days to address for understandable reasons. However, the Review Panel believes this issue can be effectively managed through clear and timely communication between the parties and does not warrant a legislative amendment.</w:t>
      </w:r>
    </w:p>
    <w:p w14:paraId="2FCA61F0" w14:textId="49CCA291" w:rsidR="00265CBC" w:rsidRPr="00167CB8" w:rsidRDefault="00265CBC" w:rsidP="006000ED">
      <w:pPr>
        <w:spacing w:before="100" w:beforeAutospacing="1"/>
        <w:rPr>
          <w:rFonts w:cstheme="minorHAnsi"/>
        </w:rPr>
      </w:pPr>
      <w:r w:rsidRPr="00167CB8">
        <w:rPr>
          <w:rFonts w:cstheme="minorHAnsi"/>
        </w:rPr>
        <w:t>The Review Panel makes no recommendations in relation to these amendments.</w:t>
      </w:r>
    </w:p>
    <w:p w14:paraId="013EA283" w14:textId="77777777" w:rsidR="0060210E" w:rsidRPr="00167CB8" w:rsidRDefault="0060210E">
      <w:pPr>
        <w:spacing w:after="160"/>
        <w:rPr>
          <w:rFonts w:cstheme="minorHAnsi"/>
        </w:rPr>
      </w:pPr>
      <w:r w:rsidRPr="00167CB8">
        <w:rPr>
          <w:rFonts w:cstheme="minorHAnsi"/>
        </w:rPr>
        <w:br w:type="page"/>
      </w:r>
    </w:p>
    <w:p w14:paraId="502AB074" w14:textId="51106E12" w:rsidR="009A1D5D" w:rsidRPr="00167CB8" w:rsidRDefault="006370D8" w:rsidP="009A1D5D">
      <w:pPr>
        <w:pStyle w:val="Heading3"/>
        <w:rPr>
          <w:rFonts w:asciiTheme="minorHAnsi" w:hAnsiTheme="minorHAnsi"/>
        </w:rPr>
      </w:pPr>
      <w:bookmarkStart w:id="486" w:name="_Toc188003434"/>
      <w:bookmarkStart w:id="487" w:name="_Toc188277965"/>
      <w:bookmarkStart w:id="488" w:name="_Toc189260316"/>
      <w:bookmarkStart w:id="489" w:name="_Toc189393632"/>
      <w:r w:rsidRPr="00167CB8">
        <w:rPr>
          <w:rFonts w:asciiTheme="minorHAnsi" w:hAnsiTheme="minorHAnsi"/>
        </w:rPr>
        <w:lastRenderedPageBreak/>
        <w:t xml:space="preserve">Chapter </w:t>
      </w:r>
      <w:r w:rsidR="004B3BE8" w:rsidRPr="00167CB8">
        <w:rPr>
          <w:rFonts w:asciiTheme="minorHAnsi" w:hAnsiTheme="minorHAnsi"/>
        </w:rPr>
        <w:t>32</w:t>
      </w:r>
      <w:r w:rsidRPr="00167CB8">
        <w:rPr>
          <w:rFonts w:asciiTheme="minorHAnsi" w:hAnsiTheme="minorHAnsi"/>
        </w:rPr>
        <w:t>.</w:t>
      </w:r>
      <w:r w:rsidR="009A1D5D" w:rsidRPr="00167CB8">
        <w:rPr>
          <w:rFonts w:asciiTheme="minorHAnsi" w:hAnsiTheme="minorHAnsi"/>
        </w:rPr>
        <w:t xml:space="preserve"> Unpaid parental leave</w:t>
      </w:r>
      <w:bookmarkEnd w:id="486"/>
      <w:bookmarkEnd w:id="487"/>
      <w:bookmarkEnd w:id="488"/>
      <w:bookmarkEnd w:id="489"/>
    </w:p>
    <w:p w14:paraId="10C04263" w14:textId="1CA78C7C" w:rsidR="009A1D5D" w:rsidRPr="00167CB8" w:rsidRDefault="009A1D5D" w:rsidP="009A1D5D">
      <w:pPr>
        <w:rPr>
          <w:color w:val="777778" w:themeColor="accent5"/>
        </w:rPr>
      </w:pPr>
      <w:r w:rsidRPr="00167CB8">
        <w:t xml:space="preserve">In this chapter the focus is on Part 25B (Unpaid parental leave) amendments in the </w:t>
      </w:r>
      <w:r w:rsidR="008D41A8" w:rsidRPr="00167CB8">
        <w:rPr>
          <w:rFonts w:cstheme="minorHAnsi"/>
        </w:rPr>
        <w:t>Secure Jobs, Better Pay</w:t>
      </w:r>
      <w:r w:rsidRPr="00167CB8">
        <w:t xml:space="preserve"> Act.</w:t>
      </w:r>
    </w:p>
    <w:p w14:paraId="3ABF8730" w14:textId="168901B7" w:rsidR="009A1D5D" w:rsidRPr="00167CB8" w:rsidRDefault="0024484D" w:rsidP="009A1D5D">
      <w:pPr>
        <w:pStyle w:val="Heading4"/>
        <w:rPr>
          <w:rFonts w:asciiTheme="minorHAnsi" w:hAnsiTheme="minorHAnsi"/>
        </w:rPr>
      </w:pPr>
      <w:bookmarkStart w:id="490" w:name="_Toc188003435"/>
      <w:bookmarkStart w:id="491" w:name="_Toc188277966"/>
      <w:bookmarkStart w:id="492" w:name="_Toc189260317"/>
      <w:bookmarkStart w:id="493" w:name="_Toc189393633"/>
      <w:r w:rsidRPr="00167CB8">
        <w:rPr>
          <w:rFonts w:asciiTheme="minorHAnsi" w:hAnsiTheme="minorHAnsi"/>
        </w:rPr>
        <w:t>32</w:t>
      </w:r>
      <w:r w:rsidR="006370D8" w:rsidRPr="00167CB8">
        <w:rPr>
          <w:rFonts w:asciiTheme="minorHAnsi" w:hAnsiTheme="minorHAnsi"/>
        </w:rPr>
        <w:t>.1</w:t>
      </w:r>
      <w:r w:rsidR="009A1D5D" w:rsidRPr="00167CB8">
        <w:rPr>
          <w:rFonts w:asciiTheme="minorHAnsi" w:hAnsiTheme="minorHAnsi"/>
        </w:rPr>
        <w:t xml:space="preserve"> Amendments </w:t>
      </w:r>
      <w:r w:rsidR="009B1519" w:rsidRPr="00167CB8">
        <w:rPr>
          <w:rFonts w:asciiTheme="minorHAnsi" w:hAnsiTheme="minorHAnsi"/>
        </w:rPr>
        <w:t>and</w:t>
      </w:r>
      <w:r w:rsidR="009A1D5D" w:rsidRPr="00167CB8">
        <w:rPr>
          <w:rFonts w:asciiTheme="minorHAnsi" w:hAnsiTheme="minorHAnsi"/>
        </w:rPr>
        <w:t xml:space="preserve"> </w:t>
      </w:r>
      <w:r w:rsidR="009B1519" w:rsidRPr="00167CB8">
        <w:rPr>
          <w:rFonts w:asciiTheme="minorHAnsi" w:hAnsiTheme="minorHAnsi"/>
        </w:rPr>
        <w:t>i</w:t>
      </w:r>
      <w:r w:rsidR="009A1D5D" w:rsidRPr="00167CB8">
        <w:rPr>
          <w:rFonts w:asciiTheme="minorHAnsi" w:hAnsiTheme="minorHAnsi"/>
        </w:rPr>
        <w:t>ntent</w:t>
      </w:r>
      <w:bookmarkEnd w:id="490"/>
      <w:bookmarkEnd w:id="491"/>
      <w:bookmarkEnd w:id="492"/>
      <w:bookmarkEnd w:id="493"/>
    </w:p>
    <w:p w14:paraId="60B21141" w14:textId="3DBB27B2" w:rsidR="009A1D5D" w:rsidRPr="00167CB8" w:rsidRDefault="009A1D5D" w:rsidP="006000ED">
      <w:r w:rsidRPr="00167CB8">
        <w:t xml:space="preserve">The Part 25B amendments result in changes to Division 5 (Parental leave and related entitlements) in Part 2-2 (The National Employment Standards) of the </w:t>
      </w:r>
      <w:r w:rsidR="00E60C76" w:rsidRPr="00167CB8">
        <w:t>Fair Work Act</w:t>
      </w:r>
      <w:r w:rsidR="009B1519" w:rsidRPr="00167CB8">
        <w:t>.</w:t>
      </w:r>
    </w:p>
    <w:p w14:paraId="2A4CDC22" w14:textId="3AF16E6F" w:rsidR="009A1D5D" w:rsidRPr="00167CB8" w:rsidRDefault="009A1D5D" w:rsidP="009A1D5D">
      <w:pPr>
        <w:rPr>
          <w:color w:val="777778" w:themeColor="accent5"/>
        </w:rPr>
      </w:pPr>
      <w:r w:rsidRPr="00167CB8">
        <w:t xml:space="preserve">There are </w:t>
      </w:r>
      <w:r w:rsidR="009B1519" w:rsidRPr="00167CB8">
        <w:t xml:space="preserve">2 </w:t>
      </w:r>
      <w:r w:rsidRPr="00167CB8">
        <w:t xml:space="preserve">main changes. The first (Division 1) is concerned with employer obligations concerning requests for extensions to unpaid parental leave. The second (Division 2) sets out the dispute resolution process if requests are refused. The amendments are similar to those outlined at </w:t>
      </w:r>
      <w:r w:rsidR="0006243E" w:rsidRPr="00167CB8">
        <w:t>Chapter 31</w:t>
      </w:r>
      <w:r w:rsidR="00ED2E73" w:rsidRPr="00167CB8">
        <w:t xml:space="preserve"> (Flexible </w:t>
      </w:r>
      <w:r w:rsidR="009B1519" w:rsidRPr="00167CB8">
        <w:t>w</w:t>
      </w:r>
      <w:r w:rsidR="00ED2E73" w:rsidRPr="00167CB8">
        <w:t>ork)</w:t>
      </w:r>
      <w:r w:rsidRPr="00167CB8">
        <w:t xml:space="preserve"> related to requests to vary working arrangements.</w:t>
      </w:r>
    </w:p>
    <w:p w14:paraId="61A5BEF2" w14:textId="6E77B599" w:rsidR="009A1D5D" w:rsidRPr="00167CB8" w:rsidRDefault="0024484D" w:rsidP="009A1D5D">
      <w:pPr>
        <w:pStyle w:val="Heading5"/>
        <w:rPr>
          <w:rFonts w:asciiTheme="minorHAnsi" w:hAnsiTheme="minorHAnsi"/>
        </w:rPr>
      </w:pPr>
      <w:bookmarkStart w:id="494" w:name="_Toc188003436"/>
      <w:r w:rsidRPr="00167CB8">
        <w:rPr>
          <w:rFonts w:asciiTheme="minorHAnsi" w:hAnsiTheme="minorHAnsi"/>
        </w:rPr>
        <w:t>32</w:t>
      </w:r>
      <w:r w:rsidR="006370D8" w:rsidRPr="00167CB8">
        <w:rPr>
          <w:rFonts w:asciiTheme="minorHAnsi" w:hAnsiTheme="minorHAnsi"/>
        </w:rPr>
        <w:t>.1.1</w:t>
      </w:r>
      <w:r w:rsidR="009A1D5D" w:rsidRPr="00167CB8">
        <w:rPr>
          <w:rFonts w:asciiTheme="minorHAnsi" w:hAnsiTheme="minorHAnsi"/>
        </w:rPr>
        <w:t xml:space="preserve"> </w:t>
      </w:r>
      <w:r w:rsidR="00E42AC2" w:rsidRPr="00167CB8">
        <w:rPr>
          <w:rFonts w:asciiTheme="minorHAnsi" w:hAnsiTheme="minorHAnsi"/>
        </w:rPr>
        <w:t xml:space="preserve">Secure Jobs, Better Pay </w:t>
      </w:r>
      <w:r w:rsidR="009B1519" w:rsidRPr="00167CB8">
        <w:rPr>
          <w:rFonts w:asciiTheme="minorHAnsi" w:hAnsiTheme="minorHAnsi"/>
        </w:rPr>
        <w:t>a</w:t>
      </w:r>
      <w:r w:rsidR="00E42AC2" w:rsidRPr="00167CB8">
        <w:rPr>
          <w:rFonts w:asciiTheme="minorHAnsi" w:hAnsiTheme="minorHAnsi"/>
        </w:rPr>
        <w:t>mendments</w:t>
      </w:r>
      <w:r w:rsidR="00E42AC2" w:rsidRPr="00167CB8" w:rsidDel="00E42AC2">
        <w:rPr>
          <w:rFonts w:cstheme="minorHAnsi"/>
        </w:rPr>
        <w:t xml:space="preserve"> </w:t>
      </w:r>
      <w:bookmarkEnd w:id="494"/>
    </w:p>
    <w:p w14:paraId="2E9B2567" w14:textId="26F5CED4" w:rsidR="009A1D5D" w:rsidRPr="00167CB8" w:rsidRDefault="009A1D5D" w:rsidP="006000ED">
      <w:r w:rsidRPr="00167CB8">
        <w:t xml:space="preserve">Section 70 (Entitlement to unpaid parental leave) of the </w:t>
      </w:r>
      <w:r w:rsidR="00E60C76" w:rsidRPr="00167CB8">
        <w:t>Fair Work Act</w:t>
      </w:r>
      <w:r w:rsidRPr="00167CB8">
        <w:t xml:space="preserve"> specifies that:</w:t>
      </w:r>
    </w:p>
    <w:p w14:paraId="10F6B1F1" w14:textId="6EED590C" w:rsidR="009A1D5D" w:rsidRPr="00167CB8" w:rsidRDefault="009A1D5D" w:rsidP="009B1519">
      <w:pPr>
        <w:pStyle w:val="Quote"/>
      </w:pPr>
      <w:r w:rsidRPr="00167CB8">
        <w:t xml:space="preserve">An employee is entitled to 12 months of unpaid parental leave if: </w:t>
      </w:r>
    </w:p>
    <w:p w14:paraId="63153600" w14:textId="227E13C7" w:rsidR="009A1D5D" w:rsidRPr="00167CB8" w:rsidRDefault="009A1D5D" w:rsidP="009B1519">
      <w:pPr>
        <w:pStyle w:val="Quote"/>
      </w:pPr>
      <w:r w:rsidRPr="00167CB8">
        <w:t>(a)</w:t>
      </w:r>
      <w:r w:rsidR="009B1519" w:rsidRPr="00167CB8">
        <w:tab/>
      </w:r>
      <w:r w:rsidRPr="00167CB8">
        <w:t xml:space="preserve">the leave is associated with: </w:t>
      </w:r>
    </w:p>
    <w:p w14:paraId="3FC59AD5" w14:textId="59C97ADB" w:rsidR="009A1D5D" w:rsidRPr="00167CB8" w:rsidRDefault="009A1D5D" w:rsidP="009B1519">
      <w:pPr>
        <w:pStyle w:val="Quote"/>
        <w:ind w:left="2880" w:hanging="720"/>
      </w:pPr>
      <w:r w:rsidRPr="00167CB8">
        <w:t>(i)</w:t>
      </w:r>
      <w:r w:rsidR="009B1519" w:rsidRPr="00167CB8">
        <w:tab/>
      </w:r>
      <w:r w:rsidRPr="00167CB8">
        <w:t>the birth of a child of the employee or the employee’s spouse or de facto partner; or</w:t>
      </w:r>
    </w:p>
    <w:p w14:paraId="1AD1A862" w14:textId="05F92800" w:rsidR="009A1D5D" w:rsidRPr="00167CB8" w:rsidRDefault="009A1D5D" w:rsidP="009B1519">
      <w:pPr>
        <w:pStyle w:val="Quote"/>
        <w:ind w:left="2160"/>
      </w:pPr>
      <w:r w:rsidRPr="00167CB8">
        <w:t>(ii)</w:t>
      </w:r>
      <w:r w:rsidR="009B1519" w:rsidRPr="00167CB8">
        <w:tab/>
      </w:r>
      <w:r w:rsidRPr="00167CB8">
        <w:t xml:space="preserve">the placement of a child with the employee for </w:t>
      </w:r>
      <w:r w:rsidR="009B1519" w:rsidRPr="00167CB8">
        <w:tab/>
      </w:r>
      <w:r w:rsidRPr="00167CB8">
        <w:t xml:space="preserve">adoption; and </w:t>
      </w:r>
    </w:p>
    <w:p w14:paraId="78358A9E" w14:textId="42802991" w:rsidR="009A1D5D" w:rsidRPr="00167CB8" w:rsidRDefault="009A1D5D" w:rsidP="009B1519">
      <w:pPr>
        <w:pStyle w:val="Quote"/>
      </w:pPr>
      <w:r w:rsidRPr="00167CB8">
        <w:t>(b) the employee has or will have a responsibility for the care of the child.</w:t>
      </w:r>
    </w:p>
    <w:p w14:paraId="498B879F" w14:textId="6F09E21B" w:rsidR="009A1D5D" w:rsidRPr="00167CB8" w:rsidRDefault="009A1D5D" w:rsidP="006000ED">
      <w:r w:rsidRPr="00167CB8">
        <w:t xml:space="preserve">Section 71 specifies the period of leave (e.g. single continuous period, when it must start and end). Section 76 enables an employee who takes unpaid parental leave under s 71 to request an extension for up to 12 months. </w:t>
      </w:r>
    </w:p>
    <w:p w14:paraId="634E5E43" w14:textId="4707FF41" w:rsidR="009A1D5D" w:rsidRPr="00167CB8" w:rsidRDefault="009A1D5D" w:rsidP="006000ED">
      <w:r w:rsidRPr="00167CB8">
        <w:t xml:space="preserve">The </w:t>
      </w:r>
      <w:r w:rsidR="008D41A8" w:rsidRPr="00167CB8">
        <w:rPr>
          <w:rFonts w:cstheme="minorHAnsi"/>
        </w:rPr>
        <w:t>Secure Jobs, Better Pay</w:t>
      </w:r>
      <w:r w:rsidRPr="00167CB8">
        <w:t xml:space="preserve"> amendments insert a new section (</w:t>
      </w:r>
      <w:r w:rsidR="00EC7DBC" w:rsidRPr="00167CB8">
        <w:t>s</w:t>
      </w:r>
      <w:r w:rsidR="009B1519" w:rsidRPr="00167CB8">
        <w:t> </w:t>
      </w:r>
      <w:r w:rsidRPr="00167CB8">
        <w:t xml:space="preserve">76A) concerning employer obligations relating to requests for an extension of unpaid parental leave. Under this section employers are required to: </w:t>
      </w:r>
    </w:p>
    <w:p w14:paraId="50831E55" w14:textId="18D84C96" w:rsidR="009A1D5D" w:rsidRPr="00167CB8" w:rsidRDefault="009B1519" w:rsidP="009B1519">
      <w:pPr>
        <w:pStyle w:val="ListBullet"/>
      </w:pPr>
      <w:r w:rsidRPr="00167CB8">
        <w:t>p</w:t>
      </w:r>
      <w:r w:rsidR="009A1D5D" w:rsidRPr="00167CB8">
        <w:t xml:space="preserve">rovide a written response to the request within 21 days  </w:t>
      </w:r>
    </w:p>
    <w:p w14:paraId="512F9598" w14:textId="3CFEE684" w:rsidR="009A1D5D" w:rsidRPr="00167CB8" w:rsidRDefault="009B1519" w:rsidP="009B1519">
      <w:pPr>
        <w:pStyle w:val="ListBullet"/>
      </w:pPr>
      <w:r w:rsidRPr="00167CB8">
        <w:t>s</w:t>
      </w:r>
      <w:r w:rsidR="009A1D5D" w:rsidRPr="00167CB8">
        <w:t xml:space="preserve">et out the agreed extended period (if </w:t>
      </w:r>
      <w:r w:rsidR="00B6274F" w:rsidRPr="00167CB8">
        <w:t>different to the period sought</w:t>
      </w:r>
      <w:r w:rsidR="009A1D5D" w:rsidRPr="00167CB8">
        <w:t>)</w:t>
      </w:r>
    </w:p>
    <w:p w14:paraId="298AC595" w14:textId="19DE2F7F" w:rsidR="009A1D5D" w:rsidRPr="00167CB8" w:rsidRDefault="009B1519" w:rsidP="009B1519">
      <w:pPr>
        <w:pStyle w:val="ListBullet"/>
      </w:pPr>
      <w:r w:rsidRPr="00167CB8">
        <w:t>e</w:t>
      </w:r>
      <w:r w:rsidR="009A1D5D" w:rsidRPr="00167CB8">
        <w:t>xplain the grounds for refusal (if refused)</w:t>
      </w:r>
      <w:r w:rsidRPr="00167CB8">
        <w:t>.</w:t>
      </w:r>
      <w:r w:rsidR="009A1D5D" w:rsidRPr="00167CB8">
        <w:t xml:space="preserve">  </w:t>
      </w:r>
    </w:p>
    <w:p w14:paraId="382A6E83" w14:textId="47FA81D4" w:rsidR="009A1D5D" w:rsidRPr="00167CB8" w:rsidRDefault="009A1D5D" w:rsidP="006000ED">
      <w:r w:rsidRPr="00167CB8">
        <w:t>Employer</w:t>
      </w:r>
      <w:r w:rsidR="00A82D13" w:rsidRPr="00167CB8">
        <w:t xml:space="preserve"> associations</w:t>
      </w:r>
      <w:r w:rsidRPr="00167CB8">
        <w:t xml:space="preserve"> may refuse on reasonable business grounds.</w:t>
      </w:r>
      <w:r w:rsidR="001F0E45" w:rsidRPr="00167CB8">
        <w:rPr>
          <w:rStyle w:val="FootnoteReference"/>
        </w:rPr>
        <w:footnoteReference w:id="970"/>
      </w:r>
      <w:r w:rsidRPr="00167CB8">
        <w:t xml:space="preserve"> The grounds are similar to those set out in s 65A(</w:t>
      </w:r>
      <w:r w:rsidR="00DB043A" w:rsidRPr="00167CB8">
        <w:t>5</w:t>
      </w:r>
      <w:r w:rsidRPr="00167CB8">
        <w:t xml:space="preserve">) (the business grounds upon which an employer may refuse a request for flexible working arrangements) (see </w:t>
      </w:r>
      <w:r w:rsidR="00EC7DBC" w:rsidRPr="00167CB8">
        <w:t>s</w:t>
      </w:r>
      <w:r w:rsidR="009B1519" w:rsidRPr="00167CB8">
        <w:t xml:space="preserve">ection </w:t>
      </w:r>
      <w:r w:rsidR="0006243E" w:rsidRPr="00167CB8">
        <w:t>31</w:t>
      </w:r>
      <w:r w:rsidRPr="00167CB8">
        <w:t>.1.1 above).</w:t>
      </w:r>
    </w:p>
    <w:p w14:paraId="4EDE776C" w14:textId="2B9441BC" w:rsidR="009A1D5D" w:rsidRPr="00167CB8" w:rsidRDefault="009A1D5D" w:rsidP="009A1D5D">
      <w:pPr>
        <w:rPr>
          <w:rFonts w:eastAsia="Times New Roman" w:cs="Calibri"/>
          <w:lang w:eastAsia="en-AU"/>
        </w:rPr>
      </w:pPr>
      <w:r w:rsidRPr="00167CB8">
        <w:rPr>
          <w:rFonts w:eastAsia="Times New Roman" w:cs="Calibri"/>
          <w:lang w:eastAsia="en-AU"/>
        </w:rPr>
        <w:t>The changes came into effect on 6 June 2023.</w:t>
      </w:r>
    </w:p>
    <w:p w14:paraId="05225FCD" w14:textId="41C3C013" w:rsidR="00284887" w:rsidRPr="00167CB8" w:rsidRDefault="00284887" w:rsidP="00284887">
      <w:r w:rsidRPr="00167CB8">
        <w:lastRenderedPageBreak/>
        <w:t xml:space="preserve">The Review Panel notes that </w:t>
      </w:r>
      <w:r w:rsidRPr="00167CB8">
        <w:rPr>
          <w:i/>
          <w:iCs/>
        </w:rPr>
        <w:t xml:space="preserve">Fair Work Amendment (Protecting Worker Entitlements) Act 2023 </w:t>
      </w:r>
      <w:r w:rsidR="009B1519" w:rsidRPr="00167CB8">
        <w:t xml:space="preserve">(Cth) </w:t>
      </w:r>
      <w:r w:rsidRPr="00167CB8">
        <w:t>also made amendments to the Fair Work Act provisions regarding unpaid parental leave.</w:t>
      </w:r>
      <w:r w:rsidRPr="00167CB8">
        <w:rPr>
          <w:rStyle w:val="FootnoteReference"/>
        </w:rPr>
        <w:footnoteReference w:id="971"/>
      </w:r>
    </w:p>
    <w:p w14:paraId="47985049" w14:textId="705382D2" w:rsidR="009A1D5D" w:rsidRPr="00167CB8" w:rsidRDefault="0024484D" w:rsidP="009A1D5D">
      <w:pPr>
        <w:pStyle w:val="Heading5"/>
        <w:rPr>
          <w:rFonts w:asciiTheme="minorHAnsi" w:hAnsiTheme="minorHAnsi"/>
        </w:rPr>
      </w:pPr>
      <w:bookmarkStart w:id="495" w:name="_Toc188003437"/>
      <w:r w:rsidRPr="00167CB8">
        <w:rPr>
          <w:rFonts w:asciiTheme="minorHAnsi" w:hAnsiTheme="minorHAnsi"/>
        </w:rPr>
        <w:t>32</w:t>
      </w:r>
      <w:r w:rsidR="006370D8" w:rsidRPr="00167CB8">
        <w:rPr>
          <w:rFonts w:asciiTheme="minorHAnsi" w:hAnsiTheme="minorHAnsi"/>
        </w:rPr>
        <w:t>.1.2</w:t>
      </w:r>
      <w:r w:rsidR="009A1D5D" w:rsidRPr="00167CB8">
        <w:rPr>
          <w:rFonts w:asciiTheme="minorHAnsi" w:hAnsiTheme="minorHAnsi"/>
        </w:rPr>
        <w:t xml:space="preserve"> Intent of </w:t>
      </w:r>
      <w:r w:rsidR="008D41A8" w:rsidRPr="00167CB8">
        <w:rPr>
          <w:rFonts w:asciiTheme="minorHAnsi" w:hAnsiTheme="minorHAnsi"/>
        </w:rPr>
        <w:t xml:space="preserve">Secure Jobs, Better </w:t>
      </w:r>
      <w:r w:rsidR="00E42AC2" w:rsidRPr="00167CB8">
        <w:rPr>
          <w:rFonts w:asciiTheme="minorHAnsi" w:hAnsiTheme="minorHAnsi"/>
        </w:rPr>
        <w:t>Pay</w:t>
      </w:r>
      <w:r w:rsidR="009A1D5D" w:rsidRPr="00167CB8">
        <w:rPr>
          <w:rFonts w:asciiTheme="minorHAnsi" w:hAnsiTheme="minorHAnsi"/>
        </w:rPr>
        <w:t xml:space="preserve"> </w:t>
      </w:r>
      <w:r w:rsidR="009B1519" w:rsidRPr="00167CB8">
        <w:rPr>
          <w:rFonts w:asciiTheme="minorHAnsi" w:hAnsiTheme="minorHAnsi"/>
        </w:rPr>
        <w:t>a</w:t>
      </w:r>
      <w:r w:rsidR="009A1D5D" w:rsidRPr="00167CB8">
        <w:rPr>
          <w:rFonts w:asciiTheme="minorHAnsi" w:hAnsiTheme="minorHAnsi"/>
        </w:rPr>
        <w:t>mendments</w:t>
      </w:r>
      <w:bookmarkEnd w:id="495"/>
    </w:p>
    <w:p w14:paraId="394CE97F" w14:textId="1BBA0D1B" w:rsidR="009A1D5D" w:rsidRPr="00167CB8" w:rsidRDefault="009A1D5D" w:rsidP="009A1D5D">
      <w:pPr>
        <w:rPr>
          <w:color w:val="777778" w:themeColor="accent5"/>
        </w:rPr>
      </w:pPr>
      <w:r w:rsidRPr="00167CB8">
        <w:rPr>
          <w:rFonts w:eastAsia="Times New Roman" w:cs="Calibri"/>
          <w:lang w:eastAsia="en-AU"/>
        </w:rPr>
        <w:t xml:space="preserve">The </w:t>
      </w:r>
      <w:r w:rsidR="008D41A8" w:rsidRPr="00167CB8">
        <w:rPr>
          <w:rFonts w:cstheme="minorHAnsi"/>
        </w:rPr>
        <w:t>Secure Jobs, Better Pay</w:t>
      </w:r>
      <w:r w:rsidRPr="00167CB8">
        <w:rPr>
          <w:rFonts w:eastAsia="Times New Roman" w:cs="Calibri"/>
          <w:lang w:eastAsia="en-AU"/>
        </w:rPr>
        <w:t xml:space="preserve"> amendments concerning the extension of unpaid parental leave were included in the </w:t>
      </w:r>
      <w:r w:rsidR="008D41A8" w:rsidRPr="00167CB8">
        <w:rPr>
          <w:rFonts w:cstheme="minorHAnsi"/>
        </w:rPr>
        <w:t>Secure Jobs, Better Pay</w:t>
      </w:r>
      <w:r w:rsidRPr="00167CB8">
        <w:rPr>
          <w:rFonts w:eastAsia="Times New Roman" w:cs="Calibri"/>
          <w:lang w:eastAsia="en-AU"/>
        </w:rPr>
        <w:t xml:space="preserve"> Bill because of parliamentary negotiations with the Australian Greens. The amendments were moved by Senator Barbara Pocock and their intent was to provide parents with greater workplace flexibility when it comes to caring for children.</w:t>
      </w:r>
      <w:r w:rsidRPr="00167CB8">
        <w:rPr>
          <w:rFonts w:eastAsia="Times New Roman" w:cs="Calibri"/>
          <w:vertAlign w:val="superscript"/>
          <w:lang w:eastAsia="en-AU"/>
        </w:rPr>
        <w:footnoteReference w:id="972"/>
      </w:r>
      <w:r w:rsidRPr="00167CB8">
        <w:rPr>
          <w:rFonts w:eastAsia="Times New Roman" w:cs="Calibri"/>
          <w:lang w:eastAsia="en-AU"/>
        </w:rPr>
        <w:t xml:space="preserve"> Senator Barbara Pocock chaired the Senate Select Committee on Work and Care and, in </w:t>
      </w:r>
      <w:r w:rsidR="009B1519" w:rsidRPr="00167CB8">
        <w:rPr>
          <w:rFonts w:eastAsia="Times New Roman" w:cs="Calibri"/>
          <w:lang w:eastAsia="en-AU"/>
        </w:rPr>
        <w:t xml:space="preserve">its </w:t>
      </w:r>
      <w:r w:rsidRPr="00167CB8">
        <w:rPr>
          <w:rFonts w:eastAsia="Times New Roman" w:cs="Calibri"/>
          <w:lang w:eastAsia="en-AU"/>
        </w:rPr>
        <w:t>final report, the</w:t>
      </w:r>
      <w:r w:rsidR="00047344" w:rsidRPr="00167CB8">
        <w:rPr>
          <w:rFonts w:eastAsia="Times New Roman" w:cs="Calibri"/>
          <w:lang w:eastAsia="en-AU"/>
        </w:rPr>
        <w:t xml:space="preserve"> committee</w:t>
      </w:r>
      <w:r w:rsidRPr="00167CB8">
        <w:rPr>
          <w:rFonts w:eastAsia="Times New Roman" w:cs="Calibri"/>
          <w:lang w:eastAsia="en-AU"/>
        </w:rPr>
        <w:t xml:space="preserve"> commended these amendments to the </w:t>
      </w:r>
      <w:r w:rsidR="00E60C76" w:rsidRPr="00167CB8">
        <w:rPr>
          <w:rFonts w:eastAsia="Times New Roman" w:cs="Calibri"/>
          <w:lang w:eastAsia="en-AU"/>
        </w:rPr>
        <w:t>Fair Work Act</w:t>
      </w:r>
      <w:r w:rsidRPr="00167CB8">
        <w:rPr>
          <w:rFonts w:eastAsia="Times New Roman" w:cs="Calibri"/>
          <w:lang w:eastAsia="en-AU"/>
        </w:rPr>
        <w:t>.</w:t>
      </w:r>
      <w:r w:rsidRPr="00167CB8">
        <w:rPr>
          <w:rStyle w:val="FootnoteReference"/>
          <w:rFonts w:eastAsia="Times New Roman" w:cs="Calibri"/>
          <w:lang w:eastAsia="en-AU"/>
        </w:rPr>
        <w:footnoteReference w:id="973"/>
      </w:r>
    </w:p>
    <w:p w14:paraId="56A672F8" w14:textId="4B959090" w:rsidR="009A1D5D" w:rsidRPr="00167CB8" w:rsidRDefault="0024484D" w:rsidP="009A1D5D">
      <w:pPr>
        <w:pStyle w:val="Heading4"/>
        <w:rPr>
          <w:rFonts w:asciiTheme="minorHAnsi" w:hAnsiTheme="minorHAnsi"/>
        </w:rPr>
      </w:pPr>
      <w:bookmarkStart w:id="496" w:name="_Toc188003438"/>
      <w:bookmarkStart w:id="497" w:name="_Toc188277967"/>
      <w:bookmarkStart w:id="498" w:name="_Toc189260318"/>
      <w:bookmarkStart w:id="499" w:name="_Toc189393634"/>
      <w:r w:rsidRPr="00167CB8">
        <w:rPr>
          <w:rFonts w:asciiTheme="minorHAnsi" w:hAnsiTheme="minorHAnsi"/>
        </w:rPr>
        <w:t>32</w:t>
      </w:r>
      <w:r w:rsidR="006370D8" w:rsidRPr="00167CB8">
        <w:rPr>
          <w:rFonts w:asciiTheme="minorHAnsi" w:hAnsiTheme="minorHAnsi"/>
        </w:rPr>
        <w:t>.2</w:t>
      </w:r>
      <w:r w:rsidR="009A1D5D" w:rsidRPr="00167CB8">
        <w:rPr>
          <w:rFonts w:asciiTheme="minorHAnsi" w:hAnsiTheme="minorHAnsi"/>
        </w:rPr>
        <w:t xml:space="preserve"> Impact </w:t>
      </w:r>
      <w:r w:rsidR="00552506" w:rsidRPr="00167CB8">
        <w:rPr>
          <w:rFonts w:asciiTheme="minorHAnsi" w:hAnsiTheme="minorHAnsi"/>
        </w:rPr>
        <w:t>and</w:t>
      </w:r>
      <w:r w:rsidR="009A1D5D" w:rsidRPr="00167CB8">
        <w:rPr>
          <w:rFonts w:asciiTheme="minorHAnsi" w:hAnsiTheme="minorHAnsi"/>
        </w:rPr>
        <w:t xml:space="preserve"> </w:t>
      </w:r>
      <w:r w:rsidR="009B1519" w:rsidRPr="00167CB8">
        <w:rPr>
          <w:rFonts w:asciiTheme="minorHAnsi" w:hAnsiTheme="minorHAnsi"/>
        </w:rPr>
        <w:t>i</w:t>
      </w:r>
      <w:r w:rsidR="009A1D5D" w:rsidRPr="00167CB8">
        <w:rPr>
          <w:rFonts w:asciiTheme="minorHAnsi" w:hAnsiTheme="minorHAnsi"/>
        </w:rPr>
        <w:t>ssues</w:t>
      </w:r>
      <w:bookmarkEnd w:id="496"/>
      <w:bookmarkEnd w:id="497"/>
      <w:bookmarkEnd w:id="498"/>
      <w:bookmarkEnd w:id="499"/>
    </w:p>
    <w:p w14:paraId="4A957906" w14:textId="77777777" w:rsidR="009A1D5D" w:rsidRPr="00167CB8" w:rsidRDefault="009A1D5D" w:rsidP="009A1D5D">
      <w:pPr>
        <w:rPr>
          <w:color w:val="777778" w:themeColor="accent5"/>
        </w:rPr>
      </w:pPr>
      <w:r w:rsidRPr="00167CB8">
        <w:t>The following describes the data and information considered by the Review Panel when evaluating the amendments to request an extension of unpaid parental leave.</w:t>
      </w:r>
    </w:p>
    <w:p w14:paraId="6350A85B" w14:textId="4F3E1F04" w:rsidR="009A1D5D" w:rsidRPr="00167CB8" w:rsidRDefault="0024484D" w:rsidP="009A1D5D">
      <w:pPr>
        <w:pStyle w:val="Heading5"/>
        <w:rPr>
          <w:rFonts w:asciiTheme="minorHAnsi" w:hAnsiTheme="minorHAnsi"/>
        </w:rPr>
      </w:pPr>
      <w:bookmarkStart w:id="500" w:name="_Toc188003439"/>
      <w:r w:rsidRPr="00167CB8">
        <w:rPr>
          <w:rFonts w:asciiTheme="minorHAnsi" w:hAnsiTheme="minorHAnsi"/>
        </w:rPr>
        <w:t>32</w:t>
      </w:r>
      <w:r w:rsidR="006370D8" w:rsidRPr="00167CB8">
        <w:rPr>
          <w:rFonts w:asciiTheme="minorHAnsi" w:hAnsiTheme="minorHAnsi"/>
        </w:rPr>
        <w:t>.2.1</w:t>
      </w:r>
      <w:r w:rsidR="009A1D5D" w:rsidRPr="00167CB8">
        <w:rPr>
          <w:rFonts w:asciiTheme="minorHAnsi" w:hAnsiTheme="minorHAnsi"/>
        </w:rPr>
        <w:t xml:space="preserve"> Quantitative </w:t>
      </w:r>
      <w:r w:rsidR="009B1519" w:rsidRPr="00167CB8">
        <w:rPr>
          <w:rFonts w:asciiTheme="minorHAnsi" w:hAnsiTheme="minorHAnsi"/>
        </w:rPr>
        <w:t>e</w:t>
      </w:r>
      <w:r w:rsidR="009A1D5D" w:rsidRPr="00167CB8">
        <w:rPr>
          <w:rFonts w:asciiTheme="minorHAnsi" w:hAnsiTheme="minorHAnsi"/>
        </w:rPr>
        <w:t>vidence</w:t>
      </w:r>
      <w:bookmarkEnd w:id="500"/>
    </w:p>
    <w:p w14:paraId="28578859" w14:textId="2CCC9AE4" w:rsidR="009A1D5D" w:rsidRPr="00167CB8" w:rsidRDefault="009A1D5D" w:rsidP="009A1D5D">
      <w:r w:rsidRPr="00167CB8">
        <w:t xml:space="preserve">In its </w:t>
      </w:r>
      <w:r w:rsidRPr="00167CB8">
        <w:rPr>
          <w:i/>
          <w:iCs/>
        </w:rPr>
        <w:t>Annual Report 2022</w:t>
      </w:r>
      <w:r w:rsidR="009B1519" w:rsidRPr="00167CB8">
        <w:rPr>
          <w:rFonts w:ascii="Symbol" w:eastAsia="Symbol" w:hAnsi="Symbol" w:cs="Symbol"/>
          <w:i/>
        </w:rPr>
        <w:sym w:font="Symbol" w:char="F02D"/>
      </w:r>
      <w:r w:rsidRPr="00167CB8">
        <w:rPr>
          <w:i/>
          <w:iCs/>
        </w:rPr>
        <w:t>23</w:t>
      </w:r>
      <w:r w:rsidRPr="00167CB8">
        <w:t>, the FWC reported that:</w:t>
      </w:r>
      <w:r w:rsidR="009B1519" w:rsidRPr="00167CB8">
        <w:rPr>
          <w:rStyle w:val="FootnoteReference"/>
        </w:rPr>
        <w:footnoteReference w:id="974"/>
      </w:r>
    </w:p>
    <w:p w14:paraId="41167747" w14:textId="77446A3F" w:rsidR="009A1D5D" w:rsidRPr="00167CB8" w:rsidRDefault="009A1D5D" w:rsidP="009B1519">
      <w:pPr>
        <w:pStyle w:val="Quote"/>
      </w:pPr>
      <w:r w:rsidRPr="00167CB8">
        <w:t>Between 6 June 2023 when these changes commenced and the end of the reporting period, the Commission received one application for a dispute about extension of unpaid parental leave and 6 applications to deal with a dispute in relation to flexible working arrangements. No decisions were made.</w:t>
      </w:r>
    </w:p>
    <w:p w14:paraId="15EABA6F" w14:textId="3849ADAF" w:rsidR="009A1D5D" w:rsidRPr="00167CB8" w:rsidRDefault="009A1D5D" w:rsidP="009B1519">
      <w:r w:rsidRPr="00167CB8">
        <w:t xml:space="preserve">The FWO advised the </w:t>
      </w:r>
      <w:r w:rsidR="009B1519" w:rsidRPr="00167CB8">
        <w:t>R</w:t>
      </w:r>
      <w:r w:rsidRPr="00167CB8">
        <w:t>eview that there have been no requests for assistance or investigations in relation to the unpaid parental leave amendments. However, the FWO noted that there was a sizable increase in web</w:t>
      </w:r>
      <w:r w:rsidR="009B1519" w:rsidRPr="00167CB8">
        <w:t xml:space="preserve"> </w:t>
      </w:r>
      <w:r w:rsidRPr="00167CB8">
        <w:t xml:space="preserve">page views on ‘unpaid parental leave and other entitlements’ </w:t>
      </w:r>
      <w:r w:rsidR="009B1519" w:rsidRPr="00167CB8">
        <w:rPr>
          <w:rFonts w:ascii="Symbol" w:eastAsia="Symbol" w:hAnsi="Symbol" w:cs="Symbol"/>
        </w:rPr>
        <w:sym w:font="Symbol" w:char="F02D"/>
      </w:r>
      <w:r w:rsidR="009B1519" w:rsidRPr="00167CB8">
        <w:t xml:space="preserve"> </w:t>
      </w:r>
      <w:r w:rsidRPr="00167CB8">
        <w:t>from 151,579 in 2022</w:t>
      </w:r>
      <w:r w:rsidR="009B1519" w:rsidRPr="00167CB8">
        <w:rPr>
          <w:rFonts w:ascii="Symbol" w:eastAsia="Symbol" w:hAnsi="Symbol" w:cs="Symbol"/>
        </w:rPr>
        <w:sym w:font="Symbol" w:char="F02D"/>
      </w:r>
      <w:r w:rsidRPr="00167CB8">
        <w:t>23 to 219,619 in 2023</w:t>
      </w:r>
      <w:r w:rsidR="009B1519" w:rsidRPr="00167CB8">
        <w:rPr>
          <w:rFonts w:ascii="Symbol" w:eastAsia="Symbol" w:hAnsi="Symbol" w:cs="Symbol"/>
        </w:rPr>
        <w:sym w:font="Symbol" w:char="F02D"/>
      </w:r>
      <w:r w:rsidRPr="00167CB8">
        <w:t>24.</w:t>
      </w:r>
    </w:p>
    <w:p w14:paraId="68FEED6B" w14:textId="6B3A3824" w:rsidR="009A1D5D" w:rsidRPr="00167CB8" w:rsidRDefault="009A1D5D" w:rsidP="009B1519">
      <w:r w:rsidRPr="00167CB8">
        <w:t>According to 2023</w:t>
      </w:r>
      <w:r w:rsidR="009B1519" w:rsidRPr="00167CB8">
        <w:rPr>
          <w:rFonts w:ascii="Symbol" w:eastAsia="Symbol" w:hAnsi="Symbol" w:cs="Symbol"/>
        </w:rPr>
        <w:sym w:font="Symbol" w:char="F02D"/>
      </w:r>
      <w:r w:rsidRPr="00167CB8">
        <w:t xml:space="preserve">24 </w:t>
      </w:r>
      <w:r w:rsidR="009B1519" w:rsidRPr="00167CB8">
        <w:t>Workplace Gender Equality Agency (</w:t>
      </w:r>
      <w:r w:rsidRPr="00167CB8">
        <w:t>WGEA</w:t>
      </w:r>
      <w:r w:rsidR="009B1519" w:rsidRPr="00167CB8">
        <w:t>)</w:t>
      </w:r>
      <w:r w:rsidRPr="00167CB8">
        <w:t xml:space="preserve"> data, 68% of employers offer access to paid parental leave in addition to the </w:t>
      </w:r>
      <w:r w:rsidR="00D63CA5" w:rsidRPr="00167CB8">
        <w:t xml:space="preserve">Australian </w:t>
      </w:r>
      <w:r w:rsidR="00393ACA" w:rsidRPr="00167CB8">
        <w:t>G</w:t>
      </w:r>
      <w:r w:rsidRPr="00167CB8">
        <w:t>overnment scheme, 87% of employers offering parental leave pay superannuation for parents while on paid leave, and 17% of primary carer’s leave is taken by men.</w:t>
      </w:r>
      <w:r w:rsidRPr="00167CB8">
        <w:rPr>
          <w:rStyle w:val="FootnoteReference"/>
          <w:rFonts w:cs="Calibri"/>
        </w:rPr>
        <w:footnoteReference w:id="975"/>
      </w:r>
    </w:p>
    <w:p w14:paraId="16E70B73" w14:textId="33889DF6" w:rsidR="009A1D5D" w:rsidRPr="00167CB8" w:rsidRDefault="0024484D" w:rsidP="009A1D5D">
      <w:pPr>
        <w:pStyle w:val="Heading5"/>
        <w:rPr>
          <w:rFonts w:asciiTheme="minorHAnsi" w:hAnsiTheme="minorHAnsi"/>
        </w:rPr>
      </w:pPr>
      <w:bookmarkStart w:id="501" w:name="_Toc188003440"/>
      <w:r w:rsidRPr="00167CB8">
        <w:rPr>
          <w:rFonts w:asciiTheme="minorHAnsi" w:hAnsiTheme="minorHAnsi"/>
        </w:rPr>
        <w:t>32</w:t>
      </w:r>
      <w:r w:rsidR="006370D8" w:rsidRPr="00167CB8">
        <w:rPr>
          <w:rFonts w:asciiTheme="minorHAnsi" w:hAnsiTheme="minorHAnsi"/>
        </w:rPr>
        <w:t>.2.2</w:t>
      </w:r>
      <w:r w:rsidR="009A1D5D" w:rsidRPr="00167CB8">
        <w:rPr>
          <w:rFonts w:asciiTheme="minorHAnsi" w:hAnsiTheme="minorHAnsi"/>
        </w:rPr>
        <w:t xml:space="preserve"> Qualitative </w:t>
      </w:r>
      <w:r w:rsidR="009B1519" w:rsidRPr="00167CB8">
        <w:rPr>
          <w:rFonts w:asciiTheme="minorHAnsi" w:hAnsiTheme="minorHAnsi"/>
        </w:rPr>
        <w:t>e</w:t>
      </w:r>
      <w:r w:rsidR="009A1D5D" w:rsidRPr="00167CB8">
        <w:rPr>
          <w:rFonts w:asciiTheme="minorHAnsi" w:hAnsiTheme="minorHAnsi"/>
        </w:rPr>
        <w:t>vidence</w:t>
      </w:r>
      <w:bookmarkEnd w:id="501"/>
    </w:p>
    <w:p w14:paraId="1EBC6FFA" w14:textId="57A75D6C" w:rsidR="00E946B2" w:rsidRPr="00167CB8" w:rsidRDefault="00E946B2" w:rsidP="00E946B2">
      <w:r w:rsidRPr="00167CB8">
        <w:t>The Review Panel is not aware of any</w:t>
      </w:r>
      <w:r w:rsidR="008C3C70" w:rsidRPr="00167CB8">
        <w:t xml:space="preserve"> significant</w:t>
      </w:r>
      <w:r w:rsidRPr="00167CB8">
        <w:t xml:space="preserve"> qualitative evidence in relation to these amendments. </w:t>
      </w:r>
    </w:p>
    <w:p w14:paraId="299269D0" w14:textId="33B52F37" w:rsidR="009A1D5D" w:rsidRPr="00167CB8" w:rsidRDefault="0024484D" w:rsidP="009A1D5D">
      <w:pPr>
        <w:pStyle w:val="Heading5"/>
        <w:rPr>
          <w:rFonts w:asciiTheme="minorHAnsi" w:hAnsiTheme="minorHAnsi"/>
        </w:rPr>
      </w:pPr>
      <w:bookmarkStart w:id="502" w:name="_Toc188003441"/>
      <w:r w:rsidRPr="00167CB8">
        <w:rPr>
          <w:rFonts w:asciiTheme="minorHAnsi" w:hAnsiTheme="minorHAnsi"/>
        </w:rPr>
        <w:lastRenderedPageBreak/>
        <w:t>32</w:t>
      </w:r>
      <w:r w:rsidR="006370D8" w:rsidRPr="00167CB8">
        <w:rPr>
          <w:rFonts w:asciiTheme="minorHAnsi" w:hAnsiTheme="minorHAnsi"/>
        </w:rPr>
        <w:t>.2.3</w:t>
      </w:r>
      <w:r w:rsidR="009A1D5D" w:rsidRPr="00167CB8">
        <w:rPr>
          <w:rFonts w:asciiTheme="minorHAnsi" w:hAnsiTheme="minorHAnsi"/>
        </w:rPr>
        <w:t xml:space="preserve"> Stakeholder views</w:t>
      </w:r>
      <w:bookmarkEnd w:id="502"/>
    </w:p>
    <w:p w14:paraId="70F220BC" w14:textId="6D3435AE" w:rsidR="009A1D5D" w:rsidRPr="00167CB8" w:rsidRDefault="009A1D5D" w:rsidP="006000ED">
      <w:r w:rsidRPr="00167CB8">
        <w:t xml:space="preserve">Stakeholders were generally supportive of the amendments. There were no objections to the reforms in the roundtable meetings with employer </w:t>
      </w:r>
      <w:r w:rsidR="00A82D13" w:rsidRPr="00167CB8">
        <w:t xml:space="preserve">associations </w:t>
      </w:r>
      <w:r w:rsidRPr="00167CB8">
        <w:t xml:space="preserve">and unions. </w:t>
      </w:r>
    </w:p>
    <w:p w14:paraId="13DEB3C7" w14:textId="06FC4ECC" w:rsidR="009A1D5D" w:rsidRPr="00167CB8" w:rsidRDefault="009A1D5D" w:rsidP="009A1D5D">
      <w:r w:rsidRPr="00167CB8">
        <w:t xml:space="preserve">While supporting this amendment, Professor Andrew Stewart’s submission on the </w:t>
      </w:r>
      <w:r w:rsidR="008D41A8" w:rsidRPr="00167CB8">
        <w:rPr>
          <w:rFonts w:cstheme="minorHAnsi"/>
        </w:rPr>
        <w:t>Secure Jobs, Better Pay</w:t>
      </w:r>
      <w:r w:rsidRPr="00167CB8">
        <w:t xml:space="preserve"> Bill had proposed a similar alignment of the right to request flexible working arrangement provisions and the right to request an extension on unpaid parental leave.</w:t>
      </w:r>
      <w:r w:rsidRPr="00167CB8">
        <w:rPr>
          <w:rStyle w:val="FootnoteReference"/>
        </w:rPr>
        <w:footnoteReference w:id="976"/>
      </w:r>
    </w:p>
    <w:p w14:paraId="61A386EC" w14:textId="1FE0E09D" w:rsidR="009A1D5D" w:rsidRPr="00167CB8" w:rsidRDefault="009A1D5D" w:rsidP="009A1D5D">
      <w:pPr>
        <w:rPr>
          <w:color w:val="777778" w:themeColor="accent5"/>
        </w:rPr>
      </w:pPr>
      <w:r w:rsidRPr="00167CB8">
        <w:t xml:space="preserve">The Employment Rights Legal Service </w:t>
      </w:r>
      <w:r w:rsidR="004A1B45" w:rsidRPr="00167CB8">
        <w:t xml:space="preserve">also </w:t>
      </w:r>
      <w:r w:rsidRPr="00167CB8">
        <w:t>recommended removing the 12</w:t>
      </w:r>
      <w:r w:rsidR="009B1519" w:rsidRPr="00167CB8">
        <w:t>-</w:t>
      </w:r>
      <w:r w:rsidRPr="00167CB8">
        <w:t xml:space="preserve">month qualifying period before workers become eligible for the </w:t>
      </w:r>
      <w:r w:rsidR="00E60C76" w:rsidRPr="00167CB8">
        <w:t>Fair Work Act</w:t>
      </w:r>
      <w:r w:rsidRPr="00167CB8">
        <w:t xml:space="preserve"> entitlements.</w:t>
      </w:r>
      <w:r w:rsidRPr="00167CB8">
        <w:rPr>
          <w:rStyle w:val="FootnoteReference"/>
        </w:rPr>
        <w:footnoteReference w:id="977"/>
      </w:r>
    </w:p>
    <w:p w14:paraId="597BFD53" w14:textId="111597BE" w:rsidR="009A1D5D" w:rsidRPr="00167CB8" w:rsidRDefault="0024484D" w:rsidP="009A1D5D">
      <w:pPr>
        <w:pStyle w:val="Heading4"/>
        <w:rPr>
          <w:rFonts w:asciiTheme="minorHAnsi" w:hAnsiTheme="minorHAnsi"/>
        </w:rPr>
      </w:pPr>
      <w:bookmarkStart w:id="503" w:name="_Toc188003442"/>
      <w:bookmarkStart w:id="504" w:name="_Toc188277968"/>
      <w:bookmarkStart w:id="505" w:name="_Toc189260319"/>
      <w:bookmarkStart w:id="506" w:name="_Toc189393635"/>
      <w:r w:rsidRPr="00167CB8">
        <w:rPr>
          <w:rFonts w:asciiTheme="minorHAnsi" w:hAnsiTheme="minorHAnsi"/>
        </w:rPr>
        <w:t>32</w:t>
      </w:r>
      <w:r w:rsidR="006370D8" w:rsidRPr="00167CB8">
        <w:rPr>
          <w:rFonts w:asciiTheme="minorHAnsi" w:hAnsiTheme="minorHAnsi"/>
        </w:rPr>
        <w:t>.3</w:t>
      </w:r>
      <w:r w:rsidR="009A1D5D" w:rsidRPr="00167CB8">
        <w:rPr>
          <w:rFonts w:asciiTheme="minorHAnsi" w:hAnsiTheme="minorHAnsi"/>
        </w:rPr>
        <w:t xml:space="preserve"> Findings </w:t>
      </w:r>
      <w:r w:rsidR="00552506" w:rsidRPr="00167CB8">
        <w:rPr>
          <w:rFonts w:asciiTheme="minorHAnsi" w:hAnsiTheme="minorHAnsi"/>
        </w:rPr>
        <w:t>and</w:t>
      </w:r>
      <w:r w:rsidR="009A1D5D" w:rsidRPr="00167CB8">
        <w:rPr>
          <w:rFonts w:asciiTheme="minorHAnsi" w:hAnsiTheme="minorHAnsi"/>
        </w:rPr>
        <w:t xml:space="preserve"> </w:t>
      </w:r>
      <w:r w:rsidR="009B1519" w:rsidRPr="00167CB8">
        <w:rPr>
          <w:rFonts w:asciiTheme="minorHAnsi" w:hAnsiTheme="minorHAnsi"/>
        </w:rPr>
        <w:t>r</w:t>
      </w:r>
      <w:r w:rsidR="009A1D5D" w:rsidRPr="00167CB8">
        <w:rPr>
          <w:rFonts w:asciiTheme="minorHAnsi" w:hAnsiTheme="minorHAnsi"/>
        </w:rPr>
        <w:t>ecommendations</w:t>
      </w:r>
      <w:bookmarkEnd w:id="503"/>
      <w:bookmarkEnd w:id="504"/>
      <w:bookmarkEnd w:id="505"/>
      <w:bookmarkEnd w:id="506"/>
    </w:p>
    <w:p w14:paraId="04B24115" w14:textId="71AA907A" w:rsidR="009A1D5D" w:rsidRPr="00167CB8" w:rsidRDefault="009A1D5D" w:rsidP="009A1D5D">
      <w:pPr>
        <w:rPr>
          <w:rFonts w:cstheme="minorHAnsi"/>
        </w:rPr>
      </w:pPr>
      <w:r w:rsidRPr="00167CB8">
        <w:rPr>
          <w:rFonts w:cstheme="minorHAnsi"/>
        </w:rPr>
        <w:t>As no stakeholders have raised concerns about the operation of the amendments concerning extended unpaid parental leave, the Review Panel concludes that the amendments are operating as intended.</w:t>
      </w:r>
    </w:p>
    <w:p w14:paraId="5E635FB7" w14:textId="2EBE31EA" w:rsidR="00D30617" w:rsidRPr="00167CB8" w:rsidRDefault="00D30617" w:rsidP="00D30617">
      <w:r w:rsidRPr="00167CB8">
        <w:t>The Review Panel makes no recommendations in relation to these amendments.</w:t>
      </w:r>
    </w:p>
    <w:p w14:paraId="668CB3EE" w14:textId="2E43594C" w:rsidR="00121EB4" w:rsidRPr="00167CB8" w:rsidRDefault="00121EB4">
      <w:pPr>
        <w:spacing w:after="160"/>
      </w:pPr>
      <w:r w:rsidRPr="00167CB8">
        <w:br w:type="page"/>
      </w:r>
    </w:p>
    <w:p w14:paraId="73D6F334" w14:textId="783C3931" w:rsidR="00121EB4" w:rsidRPr="00167CB8" w:rsidRDefault="00F010AD" w:rsidP="00E701F7">
      <w:pPr>
        <w:pStyle w:val="Heading2"/>
        <w:rPr>
          <w:rFonts w:asciiTheme="minorHAnsi" w:hAnsiTheme="minorHAnsi"/>
        </w:rPr>
      </w:pPr>
      <w:bookmarkStart w:id="507" w:name="_Toc188278032"/>
      <w:bookmarkStart w:id="508" w:name="_Toc189260181"/>
      <w:bookmarkStart w:id="509" w:name="_Toc189260320"/>
      <w:bookmarkStart w:id="510" w:name="_Toc189393636"/>
      <w:r w:rsidRPr="00167CB8">
        <w:rPr>
          <w:rFonts w:asciiTheme="minorHAnsi" w:hAnsiTheme="minorHAnsi"/>
        </w:rPr>
        <w:lastRenderedPageBreak/>
        <w:t>Part 4</w:t>
      </w:r>
      <w:r w:rsidR="00121EB4" w:rsidRPr="00167CB8">
        <w:rPr>
          <w:rFonts w:asciiTheme="minorHAnsi" w:hAnsiTheme="minorHAnsi"/>
        </w:rPr>
        <w:t xml:space="preserve">. </w:t>
      </w:r>
      <w:r w:rsidR="00936E6A" w:rsidRPr="00167CB8">
        <w:rPr>
          <w:rFonts w:asciiTheme="minorHAnsi" w:hAnsiTheme="minorHAnsi"/>
        </w:rPr>
        <w:t>Miscellaneous</w:t>
      </w:r>
      <w:bookmarkEnd w:id="507"/>
      <w:bookmarkEnd w:id="508"/>
      <w:bookmarkEnd w:id="509"/>
      <w:bookmarkEnd w:id="510"/>
    </w:p>
    <w:p w14:paraId="2795441C" w14:textId="77777777" w:rsidR="005C686E" w:rsidRDefault="005C686E">
      <w:pPr>
        <w:spacing w:after="160"/>
        <w:rPr>
          <w:rFonts w:eastAsiaTheme="majorEastAsia" w:cstheme="majorBidi"/>
          <w:b/>
          <w:color w:val="0D2C6C" w:themeColor="text1"/>
          <w:sz w:val="32"/>
          <w:szCs w:val="24"/>
        </w:rPr>
      </w:pPr>
      <w:bookmarkStart w:id="511" w:name="_Toc185856679"/>
      <w:bookmarkStart w:id="512" w:name="_Toc187934198"/>
      <w:bookmarkStart w:id="513" w:name="_Toc188278033"/>
      <w:bookmarkStart w:id="514" w:name="_Toc189260321"/>
      <w:r>
        <w:br w:type="page"/>
      </w:r>
    </w:p>
    <w:p w14:paraId="02F9842D" w14:textId="6CD5C0C7" w:rsidR="00821381" w:rsidRPr="00167CB8" w:rsidRDefault="00F010AD" w:rsidP="00E701F7">
      <w:pPr>
        <w:pStyle w:val="Heading3"/>
        <w:rPr>
          <w:rFonts w:asciiTheme="minorHAnsi" w:hAnsiTheme="minorHAnsi"/>
        </w:rPr>
      </w:pPr>
      <w:bookmarkStart w:id="515" w:name="_Toc189393637"/>
      <w:r w:rsidRPr="00167CB8">
        <w:rPr>
          <w:rFonts w:asciiTheme="minorHAnsi" w:hAnsiTheme="minorHAnsi"/>
        </w:rPr>
        <w:lastRenderedPageBreak/>
        <w:t>Chapter 33.</w:t>
      </w:r>
      <w:r w:rsidR="00821381" w:rsidRPr="00167CB8">
        <w:rPr>
          <w:rFonts w:asciiTheme="minorHAnsi" w:hAnsiTheme="minorHAnsi"/>
        </w:rPr>
        <w:t xml:space="preserve"> </w:t>
      </w:r>
      <w:bookmarkEnd w:id="511"/>
      <w:bookmarkEnd w:id="512"/>
      <w:bookmarkEnd w:id="513"/>
      <w:bookmarkEnd w:id="514"/>
      <w:r w:rsidR="00E9200F">
        <w:rPr>
          <w:rFonts w:asciiTheme="minorHAnsi" w:hAnsiTheme="minorHAnsi"/>
        </w:rPr>
        <w:t>Introduction to Part 4</w:t>
      </w:r>
      <w:bookmarkEnd w:id="515"/>
    </w:p>
    <w:p w14:paraId="1546A973" w14:textId="77777777" w:rsidR="00E9200F" w:rsidRPr="00167CB8" w:rsidRDefault="00E9200F" w:rsidP="00E9200F">
      <w:r w:rsidRPr="00167CB8">
        <w:t xml:space="preserve">Part 4 of this report addresses various </w:t>
      </w:r>
      <w:r>
        <w:t xml:space="preserve">‘miscellaneous’ </w:t>
      </w:r>
      <w:r w:rsidRPr="00167CB8">
        <w:t xml:space="preserve">amendments introduced through the Secure Jobs, Better Pay Act </w:t>
      </w:r>
      <w:r>
        <w:t>and other acts. Specifically, it considers</w:t>
      </w:r>
      <w:r w:rsidRPr="00167CB8">
        <w:t xml:space="preserve">: </w:t>
      </w:r>
    </w:p>
    <w:p w14:paraId="52DF4E8F" w14:textId="77777777" w:rsidR="00E9200F" w:rsidRDefault="00E9200F" w:rsidP="00E9200F">
      <w:pPr>
        <w:pStyle w:val="ListBullet"/>
      </w:pPr>
      <w:r>
        <w:t>Enhancing small claims process</w:t>
      </w:r>
    </w:p>
    <w:p w14:paraId="5BD59D1D" w14:textId="77777777" w:rsidR="00E9200F" w:rsidRDefault="00E9200F" w:rsidP="00E9200F">
      <w:pPr>
        <w:pStyle w:val="ListBullet"/>
      </w:pPr>
      <w:r>
        <w:t>Prohibiting employer advertisements with pay rates that would contravene the Act</w:t>
      </w:r>
    </w:p>
    <w:p w14:paraId="2CF94138" w14:textId="5C35D579" w:rsidR="00E9200F" w:rsidRDefault="00E9200F" w:rsidP="00E9200F">
      <w:pPr>
        <w:pStyle w:val="ListBullet"/>
      </w:pPr>
      <w:r>
        <w:t>Having regard to certain additional matters (</w:t>
      </w:r>
      <w:r w:rsidR="00E05257">
        <w:t>the provision of multilingual resources</w:t>
      </w:r>
      <w:r>
        <w:t>)</w:t>
      </w:r>
    </w:p>
    <w:p w14:paraId="7147D975" w14:textId="77777777" w:rsidR="00E9200F" w:rsidRPr="00E05257" w:rsidRDefault="00E9200F" w:rsidP="00E9200F">
      <w:pPr>
        <w:pStyle w:val="ListBullet"/>
        <w:rPr>
          <w:i/>
          <w:iCs/>
        </w:rPr>
      </w:pPr>
      <w:r>
        <w:t xml:space="preserve">Amendment of the </w:t>
      </w:r>
      <w:r w:rsidRPr="00E05257">
        <w:rPr>
          <w:i/>
          <w:iCs/>
        </w:rPr>
        <w:t>Safety, Rehabilitation and Compensation Act 1988</w:t>
      </w:r>
    </w:p>
    <w:p w14:paraId="6C6E4EB8" w14:textId="77777777" w:rsidR="00E9200F" w:rsidRPr="00167CB8" w:rsidRDefault="00E9200F" w:rsidP="00E9200F">
      <w:pPr>
        <w:pStyle w:val="ListBullet"/>
      </w:pPr>
      <w:r>
        <w:t>Closing Loopholes Act – Health and Safety Representative (HSR) assistant right of entry</w:t>
      </w:r>
    </w:p>
    <w:p w14:paraId="39506AC5" w14:textId="1FA97EF9" w:rsidR="00821381" w:rsidRPr="00167CB8" w:rsidRDefault="00821381" w:rsidP="00E701F7">
      <w:r w:rsidRPr="00167CB8">
        <w:t xml:space="preserve">These amendments </w:t>
      </w:r>
      <w:r w:rsidR="00D75526" w:rsidRPr="00167CB8">
        <w:t>intended</w:t>
      </w:r>
      <w:r w:rsidRPr="00167CB8">
        <w:t xml:space="preserve"> to improve workplace accessibility and compliance</w:t>
      </w:r>
      <w:r w:rsidR="00E05257">
        <w:t>.</w:t>
      </w:r>
    </w:p>
    <w:p w14:paraId="5D1CD8CA" w14:textId="3F78CD4A" w:rsidR="00821381" w:rsidRPr="00167CB8" w:rsidRDefault="00821381" w:rsidP="00E701F7">
      <w:r w:rsidRPr="00167CB8">
        <w:t>Each section dealing with the matters raised above is structured as follows. Each begins by outlining the relevant amendments and their policy intent, followed by an analysis of the impact and issues raised during the review. Each section concludes with findings and recommendations (where applicable).</w:t>
      </w:r>
    </w:p>
    <w:p w14:paraId="3516F907" w14:textId="63C64C9E" w:rsidR="00821381" w:rsidRPr="00167CB8" w:rsidRDefault="000D5FF1" w:rsidP="000D5FF1">
      <w:pPr>
        <w:spacing w:after="160"/>
      </w:pPr>
      <w:r w:rsidRPr="00167CB8">
        <w:br w:type="page"/>
      </w:r>
    </w:p>
    <w:p w14:paraId="72543666" w14:textId="17269595" w:rsidR="00821381" w:rsidRPr="00167CB8" w:rsidRDefault="00F010AD" w:rsidP="00E701F7">
      <w:pPr>
        <w:pStyle w:val="Heading3"/>
        <w:rPr>
          <w:rFonts w:asciiTheme="minorHAnsi" w:hAnsiTheme="minorHAnsi"/>
        </w:rPr>
      </w:pPr>
      <w:bookmarkStart w:id="516" w:name="_Toc187934200"/>
      <w:bookmarkStart w:id="517" w:name="_Toc188278035"/>
      <w:bookmarkStart w:id="518" w:name="_Toc189260322"/>
      <w:bookmarkStart w:id="519" w:name="_Toc189393638"/>
      <w:r w:rsidRPr="00167CB8">
        <w:rPr>
          <w:rFonts w:asciiTheme="minorHAnsi" w:hAnsiTheme="minorHAnsi"/>
        </w:rPr>
        <w:lastRenderedPageBreak/>
        <w:t>Chapter 34.</w:t>
      </w:r>
      <w:r w:rsidR="00821381" w:rsidRPr="00167CB8">
        <w:rPr>
          <w:rFonts w:asciiTheme="minorHAnsi" w:hAnsiTheme="minorHAnsi"/>
        </w:rPr>
        <w:t xml:space="preserve"> Enhancing small claims process</w:t>
      </w:r>
      <w:bookmarkEnd w:id="516"/>
      <w:bookmarkEnd w:id="517"/>
      <w:bookmarkEnd w:id="518"/>
      <w:bookmarkEnd w:id="519"/>
    </w:p>
    <w:p w14:paraId="23B7D7C0" w14:textId="18686322" w:rsidR="00821381" w:rsidRPr="00167CB8" w:rsidRDefault="00821381" w:rsidP="00E701F7">
      <w:r w:rsidRPr="00167CB8">
        <w:t xml:space="preserve">Part 24 of </w:t>
      </w:r>
      <w:r w:rsidR="00F630B4" w:rsidRPr="00167CB8">
        <w:t xml:space="preserve">Schedule 1 to the </w:t>
      </w:r>
      <w:r w:rsidR="00591473" w:rsidRPr="00167CB8">
        <w:t>Secure Jobs, Better Pay</w:t>
      </w:r>
      <w:r w:rsidRPr="00167CB8">
        <w:t xml:space="preserve"> Act concerns amendments to </w:t>
      </w:r>
      <w:r w:rsidR="00F009AB" w:rsidRPr="00167CB8">
        <w:t>s </w:t>
      </w:r>
      <w:r w:rsidRPr="00167CB8">
        <w:t>548 of the F</w:t>
      </w:r>
      <w:r w:rsidR="007132B2" w:rsidRPr="00167CB8">
        <w:t>air Work</w:t>
      </w:r>
      <w:r w:rsidRPr="00167CB8">
        <w:t xml:space="preserve"> Act on small claims procedures. </w:t>
      </w:r>
    </w:p>
    <w:p w14:paraId="4294152D" w14:textId="2EA4E4BD" w:rsidR="00BE42B3" w:rsidRPr="00167CB8" w:rsidRDefault="00BE42B3" w:rsidP="00E701F7">
      <w:r w:rsidRPr="00167CB8">
        <w:t xml:space="preserve">The Review Panel notes that the Department of Employment and Workplace Relations released its </w:t>
      </w:r>
      <w:r w:rsidRPr="00167CB8">
        <w:rPr>
          <w:i/>
          <w:iCs/>
        </w:rPr>
        <w:t>Review of the Fair Work Act Small Claims Procedure</w:t>
      </w:r>
      <w:r w:rsidRPr="00167CB8">
        <w:t xml:space="preserve"> in January </w:t>
      </w:r>
      <w:r w:rsidR="00D56409" w:rsidRPr="00167CB8">
        <w:t>2025</w:t>
      </w:r>
      <w:r w:rsidRPr="00167CB8">
        <w:t>.</w:t>
      </w:r>
      <w:r w:rsidR="00C12C08" w:rsidRPr="00167CB8">
        <w:rPr>
          <w:rStyle w:val="FootnoteReference"/>
        </w:rPr>
        <w:footnoteReference w:id="978"/>
      </w:r>
      <w:r w:rsidRPr="00167CB8">
        <w:t xml:space="preserve"> This Review considered the effectiveness of the courts’ current small claims framework with a view to identifying issues and efficiencies, and exploring more effective avenues for wage redress for workers in Australia (including migrant workers).</w:t>
      </w:r>
      <w:r w:rsidR="00C12C08" w:rsidRPr="00167CB8">
        <w:rPr>
          <w:rStyle w:val="FootnoteReference"/>
        </w:rPr>
        <w:footnoteReference w:id="979"/>
      </w:r>
      <w:r w:rsidRPr="00167CB8">
        <w:t> This chapter considers the Secure Jobs, Better Pay amendments but notes that the department’s review has given a detailed consideration to the effectiveness and operation of the small claims framework more broadly.</w:t>
      </w:r>
    </w:p>
    <w:p w14:paraId="5EDC9B6B" w14:textId="1E9A170C" w:rsidR="00821381" w:rsidRPr="00167CB8" w:rsidRDefault="00F010AD" w:rsidP="00E701F7">
      <w:pPr>
        <w:pStyle w:val="Heading4"/>
        <w:rPr>
          <w:rFonts w:asciiTheme="minorHAnsi" w:hAnsiTheme="minorHAnsi"/>
        </w:rPr>
      </w:pPr>
      <w:bookmarkStart w:id="520" w:name="_Toc187934201"/>
      <w:bookmarkStart w:id="521" w:name="_Toc188278036"/>
      <w:bookmarkStart w:id="522" w:name="_Toc189260323"/>
      <w:bookmarkStart w:id="523" w:name="_Toc189393639"/>
      <w:r w:rsidRPr="00167CB8">
        <w:rPr>
          <w:rFonts w:asciiTheme="minorHAnsi" w:hAnsiTheme="minorHAnsi"/>
        </w:rPr>
        <w:t>34.1</w:t>
      </w:r>
      <w:r w:rsidR="00821381" w:rsidRPr="00167CB8">
        <w:rPr>
          <w:rFonts w:asciiTheme="minorHAnsi" w:hAnsiTheme="minorHAnsi"/>
        </w:rPr>
        <w:t xml:space="preserve"> </w:t>
      </w:r>
      <w:r w:rsidR="000B26ED">
        <w:rPr>
          <w:rFonts w:asciiTheme="minorHAnsi" w:hAnsiTheme="minorHAnsi"/>
        </w:rPr>
        <w:t>A</w:t>
      </w:r>
      <w:r w:rsidR="00821381" w:rsidRPr="00167CB8">
        <w:rPr>
          <w:rFonts w:asciiTheme="minorHAnsi" w:hAnsiTheme="minorHAnsi"/>
        </w:rPr>
        <w:t>mendments and inten</w:t>
      </w:r>
      <w:bookmarkEnd w:id="520"/>
      <w:bookmarkEnd w:id="521"/>
      <w:bookmarkEnd w:id="522"/>
      <w:r w:rsidR="000B26ED">
        <w:rPr>
          <w:rFonts w:asciiTheme="minorHAnsi" w:hAnsiTheme="minorHAnsi"/>
        </w:rPr>
        <w:t>t</w:t>
      </w:r>
      <w:bookmarkEnd w:id="523"/>
    </w:p>
    <w:p w14:paraId="50433A54" w14:textId="03871B67" w:rsidR="00821381" w:rsidRPr="00167CB8" w:rsidRDefault="005860F3" w:rsidP="006000ED">
      <w:pPr>
        <w:rPr>
          <w:rFonts w:cstheme="minorHAnsi"/>
        </w:rPr>
      </w:pPr>
      <w:r w:rsidRPr="00167CB8">
        <w:t>The small claims procedure allows for a less complicated</w:t>
      </w:r>
      <w:r w:rsidR="001E300A" w:rsidRPr="00167CB8">
        <w:t xml:space="preserve">, </w:t>
      </w:r>
      <w:r w:rsidR="00B0183C" w:rsidRPr="00167CB8">
        <w:t xml:space="preserve">informal </w:t>
      </w:r>
      <w:r w:rsidRPr="00167CB8">
        <w:t xml:space="preserve">process for </w:t>
      </w:r>
      <w:r w:rsidR="001E300A" w:rsidRPr="00167CB8">
        <w:t xml:space="preserve">courts to deal </w:t>
      </w:r>
      <w:r w:rsidRPr="00167CB8">
        <w:t>with certain applications under the Fair Work Act.</w:t>
      </w:r>
      <w:r w:rsidR="00C567F8" w:rsidRPr="00167CB8">
        <w:rPr>
          <w:rStyle w:val="FootnoteReference"/>
        </w:rPr>
        <w:footnoteReference w:id="980"/>
      </w:r>
      <w:r w:rsidR="00C567F8" w:rsidRPr="00167CB8">
        <w:t xml:space="preserve"> </w:t>
      </w:r>
      <w:r w:rsidR="00821381" w:rsidRPr="00167CB8">
        <w:rPr>
          <w:rFonts w:cs="Calibri"/>
        </w:rPr>
        <w:t xml:space="preserve">Section 548 of the </w:t>
      </w:r>
      <w:r w:rsidR="007132B2" w:rsidRPr="00167CB8">
        <w:rPr>
          <w:rFonts w:cs="Calibri"/>
        </w:rPr>
        <w:t>Fair Work</w:t>
      </w:r>
      <w:r w:rsidR="00821381" w:rsidRPr="00167CB8">
        <w:rPr>
          <w:rFonts w:cs="Calibri"/>
        </w:rPr>
        <w:t xml:space="preserve"> Act allows certain proceedings, such as those involving underpayment or non-payment of employee entitlements</w:t>
      </w:r>
      <w:r w:rsidR="00D1411A" w:rsidRPr="00167CB8">
        <w:rPr>
          <w:rFonts w:cs="Calibri"/>
        </w:rPr>
        <w:t>,</w:t>
      </w:r>
      <w:r w:rsidR="00821381" w:rsidRPr="00167CB8">
        <w:rPr>
          <w:rStyle w:val="FootnoteReference"/>
          <w:rFonts w:cs="Calibri"/>
        </w:rPr>
        <w:footnoteReference w:id="981"/>
      </w:r>
      <w:r w:rsidR="00821381" w:rsidRPr="00167CB8">
        <w:rPr>
          <w:rFonts w:cs="Calibri"/>
        </w:rPr>
        <w:t xml:space="preserve"> fixed</w:t>
      </w:r>
      <w:r w:rsidR="006B272C" w:rsidRPr="00167CB8">
        <w:rPr>
          <w:rFonts w:cs="Calibri"/>
        </w:rPr>
        <w:t>-</w:t>
      </w:r>
      <w:r w:rsidR="00821381" w:rsidRPr="00167CB8">
        <w:rPr>
          <w:rFonts w:cs="Calibri"/>
        </w:rPr>
        <w:t>term contracts</w:t>
      </w:r>
      <w:r w:rsidR="00821381" w:rsidRPr="00167CB8">
        <w:rPr>
          <w:rStyle w:val="FootnoteReference"/>
          <w:rFonts w:cs="Calibri"/>
        </w:rPr>
        <w:footnoteReference w:id="982"/>
      </w:r>
      <w:r w:rsidR="00821381" w:rsidRPr="00167CB8">
        <w:rPr>
          <w:rFonts w:cs="Calibri"/>
        </w:rPr>
        <w:t xml:space="preserve"> and casual conversion</w:t>
      </w:r>
      <w:r w:rsidR="00821381" w:rsidRPr="00167CB8">
        <w:rPr>
          <w:rStyle w:val="FootnoteReference"/>
          <w:rFonts w:cs="Calibri"/>
        </w:rPr>
        <w:footnoteReference w:id="983"/>
      </w:r>
      <w:r w:rsidR="00821381" w:rsidRPr="00167CB8">
        <w:rPr>
          <w:rFonts w:cs="Calibri"/>
        </w:rPr>
        <w:t xml:space="preserve"> to be dealt with through the small claims procedure in either the Federal Circuit and Family Court of Australia (FCFCOA) or </w:t>
      </w:r>
      <w:r w:rsidR="007004FC" w:rsidRPr="00167CB8">
        <w:rPr>
          <w:rFonts w:cs="Calibri"/>
        </w:rPr>
        <w:t>a magistrates</w:t>
      </w:r>
      <w:r w:rsidR="00821381" w:rsidRPr="00167CB8">
        <w:rPr>
          <w:rFonts w:cs="Calibri"/>
        </w:rPr>
        <w:t xml:space="preserve"> court.</w:t>
      </w:r>
      <w:r w:rsidR="00821381" w:rsidRPr="00167CB8">
        <w:rPr>
          <w:rStyle w:val="FootnoteReference"/>
          <w:rFonts w:cs="Calibri"/>
        </w:rPr>
        <w:footnoteReference w:id="984"/>
      </w:r>
      <w:r w:rsidR="00821381" w:rsidRPr="00167CB8">
        <w:t xml:space="preserve"> </w:t>
      </w:r>
      <w:r w:rsidR="00821381" w:rsidRPr="00167CB8">
        <w:rPr>
          <w:rFonts w:cstheme="minorHAnsi"/>
        </w:rPr>
        <w:t xml:space="preserve">Part 24 of the  </w:t>
      </w:r>
      <w:r w:rsidR="00591473" w:rsidRPr="00167CB8">
        <w:rPr>
          <w:rFonts w:cstheme="minorHAnsi"/>
        </w:rPr>
        <w:t xml:space="preserve">Secure Jobs, Better Pay </w:t>
      </w:r>
      <w:r w:rsidR="00821381" w:rsidRPr="00167CB8">
        <w:rPr>
          <w:rFonts w:cstheme="minorHAnsi"/>
        </w:rPr>
        <w:t xml:space="preserve">Act made </w:t>
      </w:r>
      <w:r w:rsidR="00F009AB" w:rsidRPr="00167CB8">
        <w:rPr>
          <w:rFonts w:cstheme="minorHAnsi"/>
        </w:rPr>
        <w:t xml:space="preserve">3 </w:t>
      </w:r>
      <w:r w:rsidR="00821381" w:rsidRPr="00167CB8">
        <w:rPr>
          <w:rFonts w:cstheme="minorHAnsi"/>
        </w:rPr>
        <w:t xml:space="preserve">main amendments to </w:t>
      </w:r>
      <w:r w:rsidR="00F009AB" w:rsidRPr="00167CB8">
        <w:rPr>
          <w:rFonts w:cstheme="minorHAnsi"/>
        </w:rPr>
        <w:t>s </w:t>
      </w:r>
      <w:r w:rsidR="00821381" w:rsidRPr="00167CB8">
        <w:rPr>
          <w:rFonts w:cstheme="minorHAnsi"/>
        </w:rPr>
        <w:t xml:space="preserve">548 of the </w:t>
      </w:r>
      <w:r w:rsidR="007132B2" w:rsidRPr="00167CB8">
        <w:rPr>
          <w:rFonts w:cstheme="minorHAnsi"/>
        </w:rPr>
        <w:t>Fair Work Act</w:t>
      </w:r>
      <w:r w:rsidR="00821381" w:rsidRPr="00167CB8">
        <w:rPr>
          <w:rFonts w:cstheme="minorHAnsi"/>
        </w:rPr>
        <w:t>.</w:t>
      </w:r>
    </w:p>
    <w:p w14:paraId="3E2175EB" w14:textId="7132EDEB" w:rsidR="00821381" w:rsidRPr="00167CB8" w:rsidRDefault="00F010AD" w:rsidP="00E701F7">
      <w:pPr>
        <w:pStyle w:val="Heading5"/>
        <w:rPr>
          <w:rFonts w:asciiTheme="minorHAnsi" w:hAnsiTheme="minorHAnsi"/>
        </w:rPr>
      </w:pPr>
      <w:bookmarkStart w:id="524" w:name="_Toc187934202"/>
      <w:r w:rsidRPr="00167CB8">
        <w:rPr>
          <w:rFonts w:asciiTheme="minorHAnsi" w:hAnsiTheme="minorHAnsi"/>
        </w:rPr>
        <w:t>34.1.1</w:t>
      </w:r>
      <w:r w:rsidR="00821381" w:rsidRPr="00167CB8">
        <w:rPr>
          <w:rFonts w:asciiTheme="minorHAnsi" w:hAnsiTheme="minorHAnsi"/>
        </w:rPr>
        <w:t xml:space="preserve"> </w:t>
      </w:r>
      <w:r w:rsidR="00591473" w:rsidRPr="00167CB8">
        <w:rPr>
          <w:rFonts w:asciiTheme="minorHAnsi" w:hAnsiTheme="minorHAnsi"/>
        </w:rPr>
        <w:t>Secure Jobs, Better Pay</w:t>
      </w:r>
      <w:r w:rsidR="00821381" w:rsidRPr="00167CB8">
        <w:rPr>
          <w:rFonts w:asciiTheme="minorHAnsi" w:hAnsiTheme="minorHAnsi"/>
        </w:rPr>
        <w:t xml:space="preserve"> </w:t>
      </w:r>
      <w:r w:rsidR="00F009AB" w:rsidRPr="00167CB8">
        <w:rPr>
          <w:rFonts w:asciiTheme="minorHAnsi" w:hAnsiTheme="minorHAnsi"/>
        </w:rPr>
        <w:t>a</w:t>
      </w:r>
      <w:r w:rsidR="00821381" w:rsidRPr="00167CB8">
        <w:rPr>
          <w:rFonts w:asciiTheme="minorHAnsi" w:hAnsiTheme="minorHAnsi"/>
        </w:rPr>
        <w:t>mendments</w:t>
      </w:r>
      <w:bookmarkEnd w:id="524"/>
    </w:p>
    <w:p w14:paraId="24B58433" w14:textId="6876A03D" w:rsidR="00821381" w:rsidRPr="00167CB8" w:rsidRDefault="00821381" w:rsidP="006000ED">
      <w:r w:rsidRPr="00167CB8">
        <w:t xml:space="preserve">The first amendment concerns the limits on the award that a court may make. Prior to the </w:t>
      </w:r>
      <w:r w:rsidR="00591473" w:rsidRPr="00167CB8">
        <w:t>Secure Jobs, Better Pay</w:t>
      </w:r>
      <w:r w:rsidRPr="00167CB8">
        <w:t xml:space="preserve"> amendments the maximum monetary cap for recovering unpaid entitlements </w:t>
      </w:r>
      <w:r w:rsidR="004333F8" w:rsidRPr="00167CB8">
        <w:t>via the small claims process</w:t>
      </w:r>
      <w:r w:rsidRPr="00167CB8">
        <w:t xml:space="preserve"> was $20,000. Through the </w:t>
      </w:r>
      <w:r w:rsidR="00591473" w:rsidRPr="00167CB8">
        <w:t>Secure Jobs, Better Pay</w:t>
      </w:r>
      <w:r w:rsidRPr="00167CB8">
        <w:t xml:space="preserve"> Act the limit was increased to a maximum of $100,000 (s 548(2)(a) of the </w:t>
      </w:r>
      <w:r w:rsidR="007132B2" w:rsidRPr="00167CB8">
        <w:t>Fair Work Act</w:t>
      </w:r>
      <w:r w:rsidRPr="00167CB8">
        <w:t xml:space="preserve">).  </w:t>
      </w:r>
    </w:p>
    <w:p w14:paraId="629D6B79" w14:textId="3AFFCE76" w:rsidR="00821381" w:rsidRPr="00167CB8" w:rsidRDefault="00821381" w:rsidP="006000ED">
      <w:r w:rsidRPr="00167CB8">
        <w:t xml:space="preserve">The second amendment concerns interest payable on </w:t>
      </w:r>
      <w:r w:rsidR="00547751" w:rsidRPr="00167CB8">
        <w:t>compensation ordered in small claims proceedings</w:t>
      </w:r>
      <w:r w:rsidRPr="00167CB8">
        <w:t>. A new section 548(2A) clarifies that any interest payments awarded under section</w:t>
      </w:r>
      <w:r w:rsidR="00F009AB" w:rsidRPr="00167CB8">
        <w:t> </w:t>
      </w:r>
      <w:r w:rsidRPr="00167CB8">
        <w:t xml:space="preserve">547 of the </w:t>
      </w:r>
      <w:r w:rsidR="007132B2" w:rsidRPr="00167CB8">
        <w:t>Fair Work Act</w:t>
      </w:r>
      <w:r w:rsidRPr="00167CB8">
        <w:t xml:space="preserve"> does not count towards the maximum amount that a court may award.</w:t>
      </w:r>
    </w:p>
    <w:p w14:paraId="4C30DDB8" w14:textId="02A04B4E" w:rsidR="00821381" w:rsidRPr="00167CB8" w:rsidRDefault="00821381" w:rsidP="006000ED">
      <w:r w:rsidRPr="00167CB8">
        <w:t>The third amendment concerns the ‘costs for filing fees paid in relation to the proceedings’. Two new subsections were added to section 548 as follows:</w:t>
      </w:r>
    </w:p>
    <w:p w14:paraId="09B6B0BE" w14:textId="5A7598EB" w:rsidR="00821381" w:rsidRPr="00167CB8" w:rsidRDefault="00821381" w:rsidP="00F009AB">
      <w:pPr>
        <w:pStyle w:val="Quote"/>
        <w:ind w:left="2160" w:hanging="720"/>
      </w:pPr>
      <w:r w:rsidRPr="00167CB8">
        <w:t>(10)</w:t>
      </w:r>
      <w:r w:rsidRPr="00167CB8">
        <w:tab/>
        <w:t xml:space="preserve">If the court makes an order (the </w:t>
      </w:r>
      <w:r w:rsidRPr="00167CB8">
        <w:rPr>
          <w:b/>
          <w:i/>
        </w:rPr>
        <w:t>small claims order</w:t>
      </w:r>
      <w:r w:rsidRPr="00167CB8">
        <w:t xml:space="preserve">) mentioned in subsection (1) against a party to small claims </w:t>
      </w:r>
      <w:r w:rsidRPr="00167CB8">
        <w:lastRenderedPageBreak/>
        <w:t>proceedings, the court may make an order as to costs against the party for any filing fees paid to the court by the party that applied for the small claims order.</w:t>
      </w:r>
    </w:p>
    <w:p w14:paraId="40A714C8" w14:textId="6C78684E" w:rsidR="00821381" w:rsidRPr="00167CB8" w:rsidRDefault="00821381" w:rsidP="00F009AB">
      <w:pPr>
        <w:pStyle w:val="Quote"/>
      </w:pPr>
      <w:r w:rsidRPr="00167CB8">
        <w:t xml:space="preserve">(11) </w:t>
      </w:r>
      <w:r w:rsidRPr="00167CB8">
        <w:tab/>
        <w:t>Subsection (10) applies despite section 570.</w:t>
      </w:r>
    </w:p>
    <w:p w14:paraId="64D5197E" w14:textId="68E4BC1B" w:rsidR="00821381" w:rsidRPr="00167CB8" w:rsidRDefault="00821381" w:rsidP="006000ED">
      <w:r w:rsidRPr="00167CB8">
        <w:t xml:space="preserve">Section 570 limits the court’s power to order costs. Except for section 548(1), </w:t>
      </w:r>
      <w:r w:rsidR="00F86C4A" w:rsidRPr="00167CB8">
        <w:t xml:space="preserve">generally </w:t>
      </w:r>
      <w:r w:rsidRPr="00167CB8">
        <w:t>the court may only award costs where:</w:t>
      </w:r>
      <w:r w:rsidR="00F009AB" w:rsidRPr="00167CB8">
        <w:rPr>
          <w:rStyle w:val="FootnoteReference"/>
        </w:rPr>
        <w:footnoteReference w:id="985"/>
      </w:r>
    </w:p>
    <w:p w14:paraId="5E3FD2A2" w14:textId="18FE1E2B" w:rsidR="00821381" w:rsidRPr="00167CB8" w:rsidRDefault="00821381" w:rsidP="00F009AB">
      <w:pPr>
        <w:pStyle w:val="Quote"/>
      </w:pPr>
      <w:r w:rsidRPr="00167CB8">
        <w:t>(a) </w:t>
      </w:r>
      <w:r w:rsidRPr="00167CB8">
        <w:tab/>
        <w:t>the court is satisfied that the party instituted the proceedings vexatiously or without reasonable cause; or</w:t>
      </w:r>
    </w:p>
    <w:p w14:paraId="51808537" w14:textId="77777777" w:rsidR="00821381" w:rsidRPr="00167CB8" w:rsidRDefault="00821381" w:rsidP="00F009AB">
      <w:pPr>
        <w:pStyle w:val="Quote"/>
      </w:pPr>
      <w:r w:rsidRPr="00167CB8">
        <w:t>(b) </w:t>
      </w:r>
      <w:r w:rsidRPr="00167CB8">
        <w:tab/>
        <w:t>the court is satisfied that the party’s unreasonable act or omission caused the other party to incur the costs; or</w:t>
      </w:r>
    </w:p>
    <w:p w14:paraId="4A836C31" w14:textId="6961CAE5" w:rsidR="00821381" w:rsidRPr="00167CB8" w:rsidRDefault="00821381" w:rsidP="00F009AB">
      <w:pPr>
        <w:pStyle w:val="Quote"/>
      </w:pPr>
      <w:r w:rsidRPr="00167CB8">
        <w:t>(c) </w:t>
      </w:r>
      <w:r w:rsidRPr="00167CB8">
        <w:tab/>
        <w:t>the court is satisfied of both of the following:</w:t>
      </w:r>
    </w:p>
    <w:p w14:paraId="2EDA6C25" w14:textId="77777777" w:rsidR="00821381" w:rsidRPr="00167CB8" w:rsidRDefault="00821381" w:rsidP="00F009AB">
      <w:pPr>
        <w:pStyle w:val="Quote"/>
        <w:ind w:left="2880" w:hanging="720"/>
      </w:pPr>
      <w:r w:rsidRPr="00167CB8">
        <w:t>(i) </w:t>
      </w:r>
      <w:r w:rsidRPr="00167CB8">
        <w:tab/>
        <w:t>the party unreasonably refused to participate in a matter before the FWC;</w:t>
      </w:r>
    </w:p>
    <w:p w14:paraId="0C7380D7" w14:textId="7CDC3145" w:rsidR="00821381" w:rsidRPr="00167CB8" w:rsidRDefault="00821381" w:rsidP="00F009AB">
      <w:pPr>
        <w:pStyle w:val="Quote"/>
        <w:ind w:left="2880" w:hanging="720"/>
      </w:pPr>
      <w:r w:rsidRPr="00167CB8">
        <w:t>(ii) </w:t>
      </w:r>
      <w:r w:rsidRPr="00167CB8">
        <w:tab/>
        <w:t>the matter arose from the same facts as the proceedings.</w:t>
      </w:r>
    </w:p>
    <w:p w14:paraId="6A23B40A" w14:textId="359802EC" w:rsidR="00050B75" w:rsidRPr="00167CB8" w:rsidRDefault="00050B75" w:rsidP="006000ED">
      <w:r w:rsidRPr="00167CB8">
        <w:t>These amendments came into effect on 1 July 2023.</w:t>
      </w:r>
    </w:p>
    <w:p w14:paraId="462270D3" w14:textId="42937E6F" w:rsidR="00821381" w:rsidRPr="00167CB8" w:rsidRDefault="00F010AD" w:rsidP="00E701F7">
      <w:pPr>
        <w:pStyle w:val="Heading5"/>
        <w:rPr>
          <w:rFonts w:asciiTheme="minorHAnsi" w:hAnsiTheme="minorHAnsi"/>
        </w:rPr>
      </w:pPr>
      <w:bookmarkStart w:id="525" w:name="_Toc187934203"/>
      <w:r w:rsidRPr="00167CB8">
        <w:rPr>
          <w:rFonts w:asciiTheme="minorHAnsi" w:hAnsiTheme="minorHAnsi"/>
        </w:rPr>
        <w:t>34.1.2</w:t>
      </w:r>
      <w:r w:rsidR="00821381" w:rsidRPr="00167CB8">
        <w:rPr>
          <w:rFonts w:asciiTheme="minorHAnsi" w:hAnsiTheme="minorHAnsi"/>
        </w:rPr>
        <w:t xml:space="preserve"> Intent of </w:t>
      </w:r>
      <w:r w:rsidR="00591473" w:rsidRPr="00167CB8">
        <w:rPr>
          <w:rFonts w:asciiTheme="minorHAnsi" w:hAnsiTheme="minorHAnsi"/>
        </w:rPr>
        <w:t>Secure Jobs, Better Pay</w:t>
      </w:r>
      <w:r w:rsidR="00591473" w:rsidRPr="00167CB8" w:rsidDel="00591473">
        <w:rPr>
          <w:rFonts w:asciiTheme="minorHAnsi" w:hAnsiTheme="minorHAnsi"/>
        </w:rPr>
        <w:t xml:space="preserve"> </w:t>
      </w:r>
      <w:r w:rsidR="00F009AB" w:rsidRPr="00167CB8">
        <w:rPr>
          <w:rFonts w:asciiTheme="minorHAnsi" w:hAnsiTheme="minorHAnsi"/>
        </w:rPr>
        <w:t>a</w:t>
      </w:r>
      <w:r w:rsidR="00821381" w:rsidRPr="00167CB8">
        <w:rPr>
          <w:rFonts w:asciiTheme="minorHAnsi" w:hAnsiTheme="minorHAnsi"/>
        </w:rPr>
        <w:t>mendments</w:t>
      </w:r>
      <w:bookmarkEnd w:id="525"/>
    </w:p>
    <w:p w14:paraId="324F3BC0" w14:textId="0F845B1B" w:rsidR="00821381" w:rsidRPr="00167CB8" w:rsidRDefault="00821381" w:rsidP="006000ED">
      <w:pPr>
        <w:spacing w:before="240"/>
        <w:rPr>
          <w:rFonts w:cs="Calibri"/>
        </w:rPr>
      </w:pPr>
      <w:r w:rsidRPr="00167CB8">
        <w:rPr>
          <w:rFonts w:cs="Calibri"/>
        </w:rPr>
        <w:t xml:space="preserve">The </w:t>
      </w:r>
      <w:r w:rsidR="00A723CF" w:rsidRPr="00167CB8">
        <w:rPr>
          <w:rFonts w:cs="Calibri"/>
        </w:rPr>
        <w:t>Australian Government</w:t>
      </w:r>
      <w:r w:rsidRPr="00167CB8">
        <w:rPr>
          <w:rFonts w:cs="Calibri"/>
        </w:rPr>
        <w:t xml:space="preserve">’s </w:t>
      </w:r>
      <w:r w:rsidR="00591473" w:rsidRPr="00167CB8">
        <w:rPr>
          <w:rFonts w:cs="Calibri"/>
        </w:rPr>
        <w:t>Secure Jobs, Better Pay</w:t>
      </w:r>
      <w:r w:rsidRPr="00167CB8">
        <w:rPr>
          <w:rFonts w:cs="Calibri"/>
        </w:rPr>
        <w:t xml:space="preserve"> amendments were informed by reports from the Migrant Workers’ Taskforce (MWTF) and the Senate Economics Reference Committee (SERC) inquiry into the </w:t>
      </w:r>
      <w:r w:rsidR="00F009AB" w:rsidRPr="00167CB8">
        <w:rPr>
          <w:rFonts w:cs="Calibri"/>
        </w:rPr>
        <w:t>u</w:t>
      </w:r>
      <w:r w:rsidRPr="00167CB8">
        <w:rPr>
          <w:rFonts w:cs="Calibri"/>
        </w:rPr>
        <w:t>nlawful underpayment of employees</w:t>
      </w:r>
      <w:r w:rsidR="00F009AB" w:rsidRPr="00167CB8">
        <w:rPr>
          <w:rFonts w:cs="Calibri"/>
        </w:rPr>
        <w:t>’</w:t>
      </w:r>
      <w:r w:rsidRPr="00167CB8">
        <w:rPr>
          <w:rFonts w:cs="Calibri"/>
        </w:rPr>
        <w:t xml:space="preserve"> remuneration. The MWTF was established in 2016 by the Liberal</w:t>
      </w:r>
      <w:r w:rsidR="00F009AB" w:rsidRPr="00167CB8">
        <w:rPr>
          <w:rFonts w:ascii="Symbol" w:eastAsia="Symbol" w:hAnsi="Symbol" w:cs="Symbol"/>
        </w:rPr>
        <w:sym w:font="Symbol" w:char="F02D"/>
      </w:r>
      <w:r w:rsidRPr="00167CB8">
        <w:rPr>
          <w:rFonts w:cs="Calibri"/>
        </w:rPr>
        <w:t xml:space="preserve">National Coalition </w:t>
      </w:r>
      <w:r w:rsidR="00F009AB" w:rsidRPr="00167CB8">
        <w:rPr>
          <w:rFonts w:cs="Calibri"/>
        </w:rPr>
        <w:t>g</w:t>
      </w:r>
      <w:r w:rsidRPr="00167CB8">
        <w:rPr>
          <w:rFonts w:cs="Calibri"/>
        </w:rPr>
        <w:t xml:space="preserve">overnment to deal with the problem of the underpayment of wages of migrant workers. It was chaired by Professor Allan Fels AO with Mr David Cousins AM as Deputy Chair. The MWTF released </w:t>
      </w:r>
      <w:r w:rsidR="00F009AB" w:rsidRPr="00167CB8">
        <w:rPr>
          <w:rFonts w:cs="Calibri"/>
        </w:rPr>
        <w:t xml:space="preserve">its </w:t>
      </w:r>
      <w:r w:rsidRPr="00167CB8">
        <w:rPr>
          <w:rFonts w:cs="Calibri"/>
        </w:rPr>
        <w:t xml:space="preserve">final report </w:t>
      </w:r>
      <w:r w:rsidR="00385C8A" w:rsidRPr="00167CB8">
        <w:rPr>
          <w:rFonts w:cs="Calibri"/>
        </w:rPr>
        <w:t>to the Australian Government</w:t>
      </w:r>
      <w:r w:rsidRPr="00167CB8">
        <w:rPr>
          <w:rFonts w:cs="Calibri"/>
        </w:rPr>
        <w:t xml:space="preserve"> in February 201</w:t>
      </w:r>
      <w:r w:rsidR="00D16D8D" w:rsidRPr="00167CB8">
        <w:rPr>
          <w:rFonts w:cs="Calibri"/>
        </w:rPr>
        <w:t>9</w:t>
      </w:r>
      <w:r w:rsidR="00F009AB" w:rsidRPr="00167CB8">
        <w:rPr>
          <w:rFonts w:cs="Calibri"/>
        </w:rPr>
        <w:t>,</w:t>
      </w:r>
      <w:r w:rsidR="00D16D8D" w:rsidRPr="00167CB8">
        <w:rPr>
          <w:rStyle w:val="FootnoteReference"/>
          <w:rFonts w:cs="Calibri"/>
        </w:rPr>
        <w:footnoteReference w:id="986"/>
      </w:r>
      <w:r w:rsidRPr="00167CB8">
        <w:rPr>
          <w:rFonts w:cs="Calibri"/>
        </w:rPr>
        <w:t xml:space="preserve"> issuing 22 recommendations.</w:t>
      </w:r>
      <w:r w:rsidRPr="00167CB8">
        <w:rPr>
          <w:vertAlign w:val="superscript"/>
        </w:rPr>
        <w:footnoteReference w:id="987"/>
      </w:r>
      <w:r w:rsidRPr="00167CB8">
        <w:rPr>
          <w:rFonts w:cs="Calibri"/>
        </w:rPr>
        <w:t xml:space="preserve"> The SERC issued their report in March 2022</w:t>
      </w:r>
      <w:r w:rsidR="00F009AB" w:rsidRPr="00167CB8">
        <w:rPr>
          <w:rFonts w:cs="Calibri"/>
        </w:rPr>
        <w:t>,</w:t>
      </w:r>
      <w:r w:rsidRPr="00167CB8">
        <w:rPr>
          <w:rFonts w:cs="Calibri"/>
        </w:rPr>
        <w:t xml:space="preserve"> making 19 recommendations.</w:t>
      </w:r>
      <w:r w:rsidRPr="00167CB8">
        <w:rPr>
          <w:vertAlign w:val="superscript"/>
        </w:rPr>
        <w:footnoteReference w:id="988"/>
      </w:r>
    </w:p>
    <w:p w14:paraId="24B3FA36" w14:textId="3825D23E" w:rsidR="00821381" w:rsidRPr="00167CB8" w:rsidRDefault="00821381" w:rsidP="006000ED">
      <w:r w:rsidRPr="00167CB8">
        <w:t xml:space="preserve">In response to </w:t>
      </w:r>
      <w:r w:rsidR="00F1225C" w:rsidRPr="00167CB8">
        <w:t>the</w:t>
      </w:r>
      <w:r w:rsidRPr="00167CB8">
        <w:t xml:space="preserve"> SERC report, the </w:t>
      </w:r>
      <w:r w:rsidR="00A723CF" w:rsidRPr="00167CB8">
        <w:t>Australian Government</w:t>
      </w:r>
      <w:r w:rsidRPr="00167CB8">
        <w:t xml:space="preserve"> asserted that these amendments were </w:t>
      </w:r>
      <w:r w:rsidR="003B5183" w:rsidRPr="00167CB8">
        <w:t xml:space="preserve">intended </w:t>
      </w:r>
      <w:r w:rsidRPr="00167CB8">
        <w:t>‘to address issues cited by the committee’</w:t>
      </w:r>
      <w:r w:rsidR="00F009AB" w:rsidRPr="00167CB8">
        <w:t>.</w:t>
      </w:r>
      <w:r w:rsidRPr="00167CB8">
        <w:rPr>
          <w:rStyle w:val="FootnoteReference"/>
        </w:rPr>
        <w:footnoteReference w:id="989"/>
      </w:r>
      <w:r w:rsidRPr="00167CB8">
        <w:t xml:space="preserve"> They also note that ‘the Government provided funding for a review of the effectiveness of the Fair Work Act small claims process, in line with the recommendations of the 2019 Migrant Workers’ Taskforce report</w:t>
      </w:r>
      <w:r w:rsidR="00F009AB" w:rsidRPr="00167CB8">
        <w:t>’</w:t>
      </w:r>
      <w:r w:rsidRPr="00167CB8">
        <w:t>.</w:t>
      </w:r>
      <w:r w:rsidRPr="00167CB8">
        <w:rPr>
          <w:rStyle w:val="FootnoteReference"/>
        </w:rPr>
        <w:footnoteReference w:id="990"/>
      </w:r>
    </w:p>
    <w:p w14:paraId="40D1FA2C" w14:textId="0FF6FC9F" w:rsidR="00821381" w:rsidRPr="00167CB8" w:rsidRDefault="00821381" w:rsidP="00F009AB">
      <w:r w:rsidRPr="00167CB8">
        <w:lastRenderedPageBreak/>
        <w:t xml:space="preserve">The </w:t>
      </w:r>
      <w:r w:rsidR="00A723CF" w:rsidRPr="00167CB8">
        <w:t>Australian</w:t>
      </w:r>
      <w:r w:rsidRPr="00167CB8">
        <w:t xml:space="preserve"> Government’s intent when amending the threshold amounts in the </w:t>
      </w:r>
      <w:r w:rsidR="007132B2" w:rsidRPr="00167CB8">
        <w:t>Fair Work Act</w:t>
      </w:r>
      <w:r w:rsidRPr="00167CB8">
        <w:t xml:space="preserve"> was to update the monetary amount in real terms (noting that the amount had not been changed since initially set at $20,000 in 2009) and allow workers to pursue claims exceeding $20,000. Their concern was that $20,000 was now a low threshold and could cause</w:t>
      </w:r>
      <w:r w:rsidR="00F009AB" w:rsidRPr="00167CB8">
        <w:t xml:space="preserve"> ‘</w:t>
      </w:r>
      <w:r w:rsidRPr="00167CB8">
        <w:t>prospective claimants with modest claims that exceed $20,000 to abandon part of their claim to bring it within the monetary cap or not use the small claims procedure at all (instead using a full court process which is expensive, time-consuming and complex)</w:t>
      </w:r>
      <w:r w:rsidR="00F009AB" w:rsidRPr="00167CB8">
        <w:t>’</w:t>
      </w:r>
      <w:r w:rsidRPr="00167CB8">
        <w:t>.</w:t>
      </w:r>
      <w:r w:rsidRPr="00167CB8">
        <w:rPr>
          <w:rStyle w:val="FootnoteReference"/>
        </w:rPr>
        <w:footnoteReference w:id="991"/>
      </w:r>
      <w:r w:rsidRPr="00167CB8">
        <w:t xml:space="preserve">  </w:t>
      </w:r>
    </w:p>
    <w:p w14:paraId="52774565" w14:textId="77777777" w:rsidR="00821381" w:rsidRPr="00167CB8" w:rsidRDefault="00821381" w:rsidP="006000ED">
      <w:r w:rsidRPr="00167CB8">
        <w:t>The amendment concerning the recovery of filing fees was to ensure that compensation awarded on successful claims was not reduced by filing costs. It was also aimed at minimising disincentives for lodging a claim.</w:t>
      </w:r>
      <w:r w:rsidRPr="00167CB8">
        <w:rPr>
          <w:rStyle w:val="FootnoteReference"/>
        </w:rPr>
        <w:footnoteReference w:id="992"/>
      </w:r>
    </w:p>
    <w:p w14:paraId="44AE249C" w14:textId="11461D22" w:rsidR="00821381" w:rsidRPr="00167CB8" w:rsidRDefault="00F010AD" w:rsidP="00E701F7">
      <w:pPr>
        <w:pStyle w:val="Heading4"/>
        <w:rPr>
          <w:rFonts w:asciiTheme="minorHAnsi" w:hAnsiTheme="minorHAnsi"/>
        </w:rPr>
      </w:pPr>
      <w:bookmarkStart w:id="526" w:name="_Toc187934204"/>
      <w:bookmarkStart w:id="527" w:name="_Toc188278037"/>
      <w:bookmarkStart w:id="528" w:name="_Toc189260324"/>
      <w:bookmarkStart w:id="529" w:name="_Toc189393640"/>
      <w:r w:rsidRPr="00167CB8">
        <w:rPr>
          <w:rFonts w:asciiTheme="minorHAnsi" w:hAnsiTheme="minorHAnsi"/>
        </w:rPr>
        <w:t>34.2</w:t>
      </w:r>
      <w:r w:rsidR="00821381" w:rsidRPr="00167CB8">
        <w:rPr>
          <w:rFonts w:asciiTheme="minorHAnsi" w:hAnsiTheme="minorHAnsi"/>
        </w:rPr>
        <w:t xml:space="preserve"> Impact and </w:t>
      </w:r>
      <w:r w:rsidR="00F009AB" w:rsidRPr="00167CB8">
        <w:rPr>
          <w:rFonts w:asciiTheme="minorHAnsi" w:hAnsiTheme="minorHAnsi"/>
        </w:rPr>
        <w:t>i</w:t>
      </w:r>
      <w:r w:rsidR="00821381" w:rsidRPr="00167CB8">
        <w:rPr>
          <w:rFonts w:asciiTheme="minorHAnsi" w:hAnsiTheme="minorHAnsi"/>
        </w:rPr>
        <w:t>ssues</w:t>
      </w:r>
      <w:bookmarkEnd w:id="526"/>
      <w:bookmarkEnd w:id="527"/>
      <w:bookmarkEnd w:id="528"/>
      <w:bookmarkEnd w:id="529"/>
    </w:p>
    <w:p w14:paraId="67BF443E" w14:textId="77777777" w:rsidR="00821381" w:rsidRPr="00167CB8" w:rsidRDefault="00821381" w:rsidP="006000ED">
      <w:r w:rsidRPr="00167CB8">
        <w:t>The following describes the data and information considered by the Review Panel when evaluating the amendments discussed above.</w:t>
      </w:r>
    </w:p>
    <w:p w14:paraId="2FA9FAFB" w14:textId="679C535C" w:rsidR="00821381" w:rsidRPr="00167CB8" w:rsidRDefault="00072E44" w:rsidP="00E701F7">
      <w:pPr>
        <w:pStyle w:val="Heading5"/>
        <w:rPr>
          <w:rFonts w:asciiTheme="minorHAnsi" w:hAnsiTheme="minorHAnsi"/>
        </w:rPr>
      </w:pPr>
      <w:bookmarkStart w:id="530" w:name="_Toc187934205"/>
      <w:r w:rsidRPr="00167CB8">
        <w:rPr>
          <w:rFonts w:asciiTheme="minorHAnsi" w:hAnsiTheme="minorHAnsi"/>
        </w:rPr>
        <w:t>34.2.1</w:t>
      </w:r>
      <w:r w:rsidR="00821381" w:rsidRPr="00167CB8">
        <w:rPr>
          <w:rFonts w:asciiTheme="minorHAnsi" w:hAnsiTheme="minorHAnsi"/>
        </w:rPr>
        <w:t xml:space="preserve"> Quantitative </w:t>
      </w:r>
      <w:r w:rsidR="00F009AB" w:rsidRPr="00167CB8">
        <w:rPr>
          <w:rFonts w:asciiTheme="minorHAnsi" w:hAnsiTheme="minorHAnsi"/>
        </w:rPr>
        <w:t>e</w:t>
      </w:r>
      <w:r w:rsidR="00821381" w:rsidRPr="00167CB8">
        <w:rPr>
          <w:rFonts w:asciiTheme="minorHAnsi" w:hAnsiTheme="minorHAnsi"/>
        </w:rPr>
        <w:t>vidence</w:t>
      </w:r>
      <w:bookmarkEnd w:id="530"/>
    </w:p>
    <w:p w14:paraId="270E3DB6" w14:textId="3A5559DF" w:rsidR="00821381" w:rsidRPr="00167CB8" w:rsidRDefault="00821381" w:rsidP="006000ED">
      <w:pPr>
        <w:spacing w:before="240"/>
        <w:rPr>
          <w:rFonts w:cs="Calibri"/>
        </w:rPr>
      </w:pPr>
      <w:r w:rsidRPr="00167CB8">
        <w:rPr>
          <w:rFonts w:cs="Calibri"/>
        </w:rPr>
        <w:t xml:space="preserve">Small claims proceedings are made through Division 2 of the FCFCOA. The following figure shows trends in the number of small claim applications over the last </w:t>
      </w:r>
      <w:r w:rsidR="00F009AB" w:rsidRPr="00167CB8">
        <w:rPr>
          <w:rFonts w:cs="Calibri"/>
        </w:rPr>
        <w:t xml:space="preserve">5 </w:t>
      </w:r>
      <w:r w:rsidRPr="00167CB8">
        <w:rPr>
          <w:rFonts w:cs="Calibri"/>
        </w:rPr>
        <w:t xml:space="preserve">financial years. The data </w:t>
      </w:r>
      <w:r w:rsidR="00C76C3A" w:rsidRPr="00167CB8">
        <w:rPr>
          <w:rFonts w:cs="Calibri"/>
        </w:rPr>
        <w:t xml:space="preserve">is </w:t>
      </w:r>
      <w:r w:rsidRPr="00167CB8">
        <w:rPr>
          <w:rFonts w:cs="Calibri"/>
        </w:rPr>
        <w:t xml:space="preserve">from the FCFCOA </w:t>
      </w:r>
      <w:r w:rsidR="00F009AB" w:rsidRPr="00167CB8">
        <w:rPr>
          <w:rFonts w:cs="Calibri"/>
        </w:rPr>
        <w:t>a</w:t>
      </w:r>
      <w:r w:rsidRPr="00167CB8">
        <w:rPr>
          <w:rFonts w:cs="Calibri"/>
        </w:rPr>
        <w:t xml:space="preserve">nnual </w:t>
      </w:r>
      <w:r w:rsidR="00F009AB" w:rsidRPr="00167CB8">
        <w:rPr>
          <w:rFonts w:cs="Calibri"/>
        </w:rPr>
        <w:t>r</w:t>
      </w:r>
      <w:r w:rsidRPr="00167CB8">
        <w:rPr>
          <w:rFonts w:cs="Calibri"/>
        </w:rPr>
        <w:t xml:space="preserve">eports. </w:t>
      </w:r>
      <w:r w:rsidR="007803EE" w:rsidRPr="00167CB8">
        <w:rPr>
          <w:rFonts w:cs="Calibri"/>
        </w:rPr>
        <w:t>P</w:t>
      </w:r>
      <w:r w:rsidRPr="00167CB8">
        <w:rPr>
          <w:rFonts w:cs="Calibri"/>
        </w:rPr>
        <w:t>rior to 2019</w:t>
      </w:r>
      <w:r w:rsidR="00F009AB" w:rsidRPr="00167CB8">
        <w:rPr>
          <w:rFonts w:ascii="Symbol" w:eastAsia="Symbol" w:hAnsi="Symbol" w:cs="Symbol"/>
        </w:rPr>
        <w:sym w:font="Symbol" w:char="F02D"/>
      </w:r>
      <w:r w:rsidRPr="00167CB8">
        <w:rPr>
          <w:rFonts w:cs="Calibri"/>
        </w:rPr>
        <w:t>20 the small claims data is not disaggregated to the number of applications filed, finalised and pending</w:t>
      </w:r>
      <w:r w:rsidR="00C76C3A" w:rsidRPr="00167CB8">
        <w:rPr>
          <w:rFonts w:cs="Calibri"/>
        </w:rPr>
        <w:t xml:space="preserve"> and therefore has not been included</w:t>
      </w:r>
      <w:r w:rsidRPr="00167CB8">
        <w:rPr>
          <w:rFonts w:cs="Calibri"/>
        </w:rPr>
        <w:t xml:space="preserve">.  </w:t>
      </w:r>
    </w:p>
    <w:p w14:paraId="68623061" w14:textId="06E7F929" w:rsidR="00821381" w:rsidRPr="00167CB8" w:rsidRDefault="00821381" w:rsidP="006000ED">
      <w:pPr>
        <w:spacing w:before="240"/>
        <w:rPr>
          <w:i/>
          <w:iCs/>
          <w:color w:val="404246" w:themeColor="text2"/>
        </w:rPr>
      </w:pPr>
      <w:r w:rsidRPr="00167CB8">
        <w:rPr>
          <w:rFonts w:cs="Calibri"/>
        </w:rPr>
        <w:t xml:space="preserve">Figure </w:t>
      </w:r>
      <w:r w:rsidR="004179C4" w:rsidRPr="00167CB8">
        <w:rPr>
          <w:rFonts w:cs="Calibri"/>
        </w:rPr>
        <w:t>21</w:t>
      </w:r>
      <w:r w:rsidRPr="00167CB8">
        <w:rPr>
          <w:rFonts w:cs="Calibri"/>
        </w:rPr>
        <w:t xml:space="preserve"> shows that, over the </w:t>
      </w:r>
      <w:r w:rsidR="00F009AB" w:rsidRPr="00167CB8">
        <w:rPr>
          <w:rFonts w:cs="Calibri"/>
        </w:rPr>
        <w:t>5-</w:t>
      </w:r>
      <w:r w:rsidRPr="00167CB8">
        <w:rPr>
          <w:rFonts w:cs="Calibri"/>
        </w:rPr>
        <w:t>year period examined, the number of small claims applications filed was at its highest in 2019</w:t>
      </w:r>
      <w:r w:rsidR="00F009AB" w:rsidRPr="00167CB8">
        <w:rPr>
          <w:rFonts w:ascii="Symbol" w:eastAsia="Symbol" w:hAnsi="Symbol" w:cs="Symbol"/>
        </w:rPr>
        <w:sym w:font="Symbol" w:char="F02D"/>
      </w:r>
      <w:r w:rsidRPr="00167CB8">
        <w:rPr>
          <w:rFonts w:cs="Calibri"/>
        </w:rPr>
        <w:t>20. This may relate to the fact that the report from the MWTF was released by the National</w:t>
      </w:r>
      <w:r w:rsidR="00F009AB" w:rsidRPr="00167CB8">
        <w:rPr>
          <w:rFonts w:ascii="Symbol" w:eastAsia="Symbol" w:hAnsi="Symbol" w:cs="Symbol"/>
        </w:rPr>
        <w:sym w:font="Symbol" w:char="F02D"/>
      </w:r>
      <w:r w:rsidRPr="00167CB8">
        <w:rPr>
          <w:rFonts w:cs="Calibri"/>
        </w:rPr>
        <w:t xml:space="preserve">Liberal Coalition </w:t>
      </w:r>
      <w:r w:rsidR="00F009AB" w:rsidRPr="00167CB8">
        <w:rPr>
          <w:rFonts w:cs="Calibri"/>
        </w:rPr>
        <w:t>g</w:t>
      </w:r>
      <w:r w:rsidRPr="00167CB8">
        <w:rPr>
          <w:rFonts w:cs="Calibri"/>
        </w:rPr>
        <w:t xml:space="preserve">overnment in March 2019 and there was likely heightened attention concerning </w:t>
      </w:r>
      <w:r w:rsidR="009266C1" w:rsidRPr="00167CB8">
        <w:rPr>
          <w:rFonts w:cs="Calibri"/>
        </w:rPr>
        <w:t>underpayments</w:t>
      </w:r>
      <w:r w:rsidRPr="00167CB8">
        <w:rPr>
          <w:rFonts w:cs="Calibri"/>
        </w:rPr>
        <w:t>.</w:t>
      </w:r>
      <w:r w:rsidRPr="00167CB8">
        <w:rPr>
          <w:rStyle w:val="FootnoteReference"/>
          <w:rFonts w:cs="Calibri"/>
        </w:rPr>
        <w:footnoteReference w:id="993"/>
      </w:r>
      <w:r w:rsidRPr="00167CB8">
        <w:rPr>
          <w:rFonts w:cs="Calibri"/>
        </w:rPr>
        <w:t xml:space="preserve"> Between 2019</w:t>
      </w:r>
      <w:r w:rsidR="00F009AB" w:rsidRPr="00167CB8">
        <w:rPr>
          <w:rFonts w:ascii="Symbol" w:eastAsia="Symbol" w:hAnsi="Symbol" w:cs="Symbol"/>
        </w:rPr>
        <w:sym w:font="Symbol" w:char="F02D"/>
      </w:r>
      <w:r w:rsidRPr="00167CB8">
        <w:rPr>
          <w:rFonts w:cs="Calibri"/>
        </w:rPr>
        <w:t>20 and 2022</w:t>
      </w:r>
      <w:r w:rsidR="00F009AB" w:rsidRPr="00167CB8">
        <w:rPr>
          <w:rFonts w:ascii="Symbol" w:eastAsia="Symbol" w:hAnsi="Symbol" w:cs="Symbol"/>
        </w:rPr>
        <w:sym w:font="Symbol" w:char="F02D"/>
      </w:r>
      <w:r w:rsidRPr="00167CB8">
        <w:rPr>
          <w:rFonts w:cs="Calibri"/>
        </w:rPr>
        <w:t>23 there was a decline in the number of applications filed. This trend reversed in 2023</w:t>
      </w:r>
      <w:r w:rsidR="00F009AB" w:rsidRPr="00167CB8">
        <w:rPr>
          <w:rFonts w:ascii="Symbol" w:eastAsia="Symbol" w:hAnsi="Symbol" w:cs="Symbol"/>
        </w:rPr>
        <w:sym w:font="Symbol" w:char="F02D"/>
      </w:r>
      <w:r w:rsidRPr="00167CB8">
        <w:rPr>
          <w:rFonts w:cs="Calibri"/>
        </w:rPr>
        <w:t>24 with the number of new cases filed increasing by 80 (or 58%) to 217 between 2022</w:t>
      </w:r>
      <w:r w:rsidR="00F009AB" w:rsidRPr="00167CB8">
        <w:rPr>
          <w:rFonts w:ascii="Symbol" w:eastAsia="Symbol" w:hAnsi="Symbol" w:cs="Symbol"/>
        </w:rPr>
        <w:sym w:font="Symbol" w:char="F02D"/>
      </w:r>
      <w:r w:rsidRPr="00167CB8">
        <w:rPr>
          <w:rFonts w:cs="Calibri"/>
        </w:rPr>
        <w:t>23 and 2023</w:t>
      </w:r>
      <w:r w:rsidR="00F009AB" w:rsidRPr="00167CB8">
        <w:rPr>
          <w:rFonts w:ascii="Symbol" w:eastAsia="Symbol" w:hAnsi="Symbol" w:cs="Symbol"/>
        </w:rPr>
        <w:sym w:font="Symbol" w:char="F02D"/>
      </w:r>
      <w:r w:rsidRPr="00167CB8">
        <w:rPr>
          <w:rFonts w:cs="Calibri"/>
        </w:rPr>
        <w:t>24 financial years.</w:t>
      </w:r>
    </w:p>
    <w:p w14:paraId="19E6DB19" w14:textId="02D6672E" w:rsidR="00821381" w:rsidRPr="00167CB8" w:rsidRDefault="00821381" w:rsidP="00470AB9">
      <w:pPr>
        <w:pStyle w:val="Caption"/>
      </w:pPr>
      <w:bookmarkStart w:id="531" w:name="_Toc189310809"/>
      <w:r w:rsidRPr="00167CB8">
        <w:lastRenderedPageBreak/>
        <w:t xml:space="preserve">Figure </w:t>
      </w:r>
      <w:r w:rsidR="004179C4" w:rsidRPr="00167CB8">
        <w:t>21</w:t>
      </w:r>
      <w:r w:rsidRPr="00167CB8">
        <w:t>: The number of small claims applications filed, finalised and pending, 2019</w:t>
      </w:r>
      <w:r w:rsidR="00F009AB" w:rsidRPr="00C7470B">
        <w:sym w:font="Symbol" w:char="F02D"/>
      </w:r>
      <w:r w:rsidRPr="00167CB8">
        <w:t>20 to 2023</w:t>
      </w:r>
      <w:r w:rsidR="00F009AB" w:rsidRPr="00C7470B">
        <w:sym w:font="Symbol" w:char="F02D"/>
      </w:r>
      <w:r w:rsidRPr="00167CB8">
        <w:t>24</w:t>
      </w:r>
      <w:bookmarkEnd w:id="531"/>
    </w:p>
    <w:p w14:paraId="48700A19" w14:textId="77777777" w:rsidR="00821381" w:rsidRPr="00167CB8" w:rsidRDefault="00821381" w:rsidP="006000ED">
      <w:pPr>
        <w:spacing w:after="0"/>
        <w:rPr>
          <w:rFonts w:cs="Calibri"/>
        </w:rPr>
      </w:pPr>
      <w:r w:rsidRPr="00167CB8">
        <w:rPr>
          <w:noProof/>
        </w:rPr>
        <w:drawing>
          <wp:inline distT="0" distB="0" distL="0" distR="0" wp14:anchorId="1C13CBFD" wp14:editId="3E856B5F">
            <wp:extent cx="5731510" cy="3748405"/>
            <wp:effectExtent l="0" t="0" r="2540" b="4445"/>
            <wp:docPr id="437679023"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79023" name="Picture 1" descr="A graph of a bar chart&#10;&#10;Description automatically generated with medium confidence"/>
                    <pic:cNvPicPr/>
                  </pic:nvPicPr>
                  <pic:blipFill>
                    <a:blip r:embed="rId46"/>
                    <a:stretch>
                      <a:fillRect/>
                    </a:stretch>
                  </pic:blipFill>
                  <pic:spPr>
                    <a:xfrm>
                      <a:off x="0" y="0"/>
                      <a:ext cx="5731510" cy="3748405"/>
                    </a:xfrm>
                    <a:prstGeom prst="rect">
                      <a:avLst/>
                    </a:prstGeom>
                  </pic:spPr>
                </pic:pic>
              </a:graphicData>
            </a:graphic>
          </wp:inline>
        </w:drawing>
      </w:r>
    </w:p>
    <w:p w14:paraId="0D404DE2" w14:textId="77777777" w:rsidR="00821381" w:rsidRPr="00167CB8" w:rsidRDefault="00821381" w:rsidP="00F009AB">
      <w:pPr>
        <w:pStyle w:val="Source"/>
        <w:rPr>
          <w:b/>
          <w:bCs/>
        </w:rPr>
      </w:pPr>
      <w:r w:rsidRPr="00167CB8">
        <w:rPr>
          <w:b/>
          <w:bCs/>
        </w:rPr>
        <w:t>Note:</w:t>
      </w:r>
    </w:p>
    <w:p w14:paraId="76F880AF" w14:textId="50F575BD" w:rsidR="00821381" w:rsidRPr="00167CB8" w:rsidRDefault="00F009AB" w:rsidP="00F009AB">
      <w:pPr>
        <w:pStyle w:val="Source"/>
      </w:pPr>
      <w:r w:rsidRPr="00167CB8">
        <w:t xml:space="preserve">1. </w:t>
      </w:r>
      <w:r w:rsidR="00821381" w:rsidRPr="00167CB8">
        <w:t xml:space="preserve">The small claims division of the FCFCOA deals with request under subsection 548(1A) of the </w:t>
      </w:r>
      <w:r w:rsidR="007132B2" w:rsidRPr="00167CB8">
        <w:t>Fair Work Act</w:t>
      </w:r>
      <w:r w:rsidR="00821381" w:rsidRPr="00167CB8">
        <w:t xml:space="preserve"> (concerning compensation for an entitlement such as underpayment) and subsections 548(1B) and (1C) of the </w:t>
      </w:r>
      <w:r w:rsidR="007132B2" w:rsidRPr="00167CB8">
        <w:t>Fair Work Act</w:t>
      </w:r>
      <w:r w:rsidR="00821381" w:rsidRPr="00167CB8">
        <w:t xml:space="preserve"> in relation to fixed</w:t>
      </w:r>
      <w:r w:rsidR="006B272C" w:rsidRPr="00167CB8">
        <w:t>-</w:t>
      </w:r>
      <w:r w:rsidR="00821381" w:rsidRPr="00167CB8">
        <w:t xml:space="preserve">term and casual contracts </w:t>
      </w:r>
      <w:r w:rsidR="007966E6" w:rsidRPr="00167CB8">
        <w:t>.</w:t>
      </w:r>
    </w:p>
    <w:p w14:paraId="366DB282" w14:textId="0E00B38B" w:rsidR="00821381" w:rsidRPr="00167CB8" w:rsidRDefault="00F009AB" w:rsidP="00F009AB">
      <w:pPr>
        <w:pStyle w:val="Source"/>
      </w:pPr>
      <w:r w:rsidRPr="00167CB8">
        <w:t xml:space="preserve">2. </w:t>
      </w:r>
      <w:r w:rsidR="00821381" w:rsidRPr="00167CB8">
        <w:t xml:space="preserve">The data for Figure </w:t>
      </w:r>
      <w:r w:rsidR="00B87C0B" w:rsidRPr="00167CB8">
        <w:t>2</w:t>
      </w:r>
      <w:r w:rsidR="00821381" w:rsidRPr="00167CB8">
        <w:t xml:space="preserve">1 are from the FCFCOA Annual Reports 2023-24, Figure 4.5.6(c). The information is not disaggregated by the section of the </w:t>
      </w:r>
      <w:r w:rsidR="007132B2" w:rsidRPr="00167CB8">
        <w:t>Fair Work Act</w:t>
      </w:r>
      <w:r w:rsidR="00821381" w:rsidRPr="00167CB8">
        <w:t xml:space="preserve"> under which applications are filed etc.  Accordingly, it is not possible to say, with certainty, whether the increased number of applications filed are arising under s.548(1A) in relation to unpaid entitlements. </w:t>
      </w:r>
    </w:p>
    <w:p w14:paraId="296605A9" w14:textId="73B2AB19" w:rsidR="00821381" w:rsidRPr="00167CB8" w:rsidRDefault="00F009AB" w:rsidP="00F009AB">
      <w:pPr>
        <w:pStyle w:val="Source"/>
      </w:pPr>
      <w:r w:rsidRPr="00167CB8">
        <w:t xml:space="preserve">3. </w:t>
      </w:r>
      <w:r w:rsidR="00821381" w:rsidRPr="00167CB8">
        <w:t xml:space="preserve">The </w:t>
      </w:r>
      <w:r w:rsidR="00591473" w:rsidRPr="00167CB8">
        <w:t>Secure Jobs, Better Pay</w:t>
      </w:r>
      <w:r w:rsidR="00821381" w:rsidRPr="00167CB8">
        <w:t xml:space="preserve"> amendments concerning small claims came into effect from 1 July 2023. This is shown in the above chart via the horizontal red line</w:t>
      </w:r>
      <w:r w:rsidR="00B6607C" w:rsidRPr="00167CB8">
        <w:t xml:space="preserve"> (</w:t>
      </w:r>
      <w:r w:rsidR="00C37AF1" w:rsidRPr="00167CB8">
        <w:t>2023-24 is the only year which includes fixed</w:t>
      </w:r>
      <w:r w:rsidR="006B272C" w:rsidRPr="00167CB8">
        <w:t>-</w:t>
      </w:r>
      <w:r w:rsidR="00C37AF1" w:rsidRPr="00167CB8">
        <w:t>term contract disputes)</w:t>
      </w:r>
      <w:r w:rsidR="00821381" w:rsidRPr="00167CB8">
        <w:t>.</w:t>
      </w:r>
    </w:p>
    <w:p w14:paraId="49F3F577" w14:textId="1800D7E8" w:rsidR="00821381" w:rsidRPr="00167CB8" w:rsidRDefault="00821381" w:rsidP="00F009AB">
      <w:pPr>
        <w:pStyle w:val="Source"/>
      </w:pPr>
      <w:r w:rsidRPr="00167CB8">
        <w:rPr>
          <w:b/>
          <w:bCs/>
        </w:rPr>
        <w:t>Source:</w:t>
      </w:r>
      <w:r w:rsidRPr="00167CB8">
        <w:t xml:space="preserve"> Federal Circuit and Family Court of Australia</w:t>
      </w:r>
      <w:r w:rsidR="002D30C0" w:rsidRPr="00167CB8">
        <w:t>,</w:t>
      </w:r>
      <w:r w:rsidRPr="00167CB8">
        <w:t xml:space="preserve"> </w:t>
      </w:r>
      <w:r w:rsidR="002D30C0" w:rsidRPr="00167CB8">
        <w:rPr>
          <w:i/>
          <w:iCs/>
        </w:rPr>
        <w:t>A</w:t>
      </w:r>
      <w:r w:rsidRPr="00167CB8">
        <w:rPr>
          <w:i/>
          <w:iCs/>
        </w:rPr>
        <w:t>nnual</w:t>
      </w:r>
      <w:r w:rsidR="002D30C0" w:rsidRPr="00167CB8">
        <w:rPr>
          <w:i/>
          <w:iCs/>
        </w:rPr>
        <w:t xml:space="preserve"> R</w:t>
      </w:r>
      <w:r w:rsidRPr="00167CB8">
        <w:rPr>
          <w:i/>
          <w:iCs/>
        </w:rPr>
        <w:t>eport 2023</w:t>
      </w:r>
      <w:r w:rsidR="002D30C0" w:rsidRPr="00167CB8">
        <w:rPr>
          <w:rFonts w:ascii="Symbol" w:eastAsia="Symbol" w:hAnsi="Symbol" w:cs="Symbol"/>
          <w:i/>
        </w:rPr>
        <w:sym w:font="Symbol" w:char="F02D"/>
      </w:r>
      <w:r w:rsidRPr="00167CB8">
        <w:rPr>
          <w:i/>
          <w:iCs/>
        </w:rPr>
        <w:t>24</w:t>
      </w:r>
      <w:r w:rsidRPr="00167CB8">
        <w:t>, Figure 4.5.6(c).</w:t>
      </w:r>
    </w:p>
    <w:p w14:paraId="7DAF10C6" w14:textId="728C968C" w:rsidR="00821381" w:rsidRPr="00167CB8" w:rsidRDefault="00821381" w:rsidP="00F009AB">
      <w:pPr>
        <w:pStyle w:val="Source"/>
      </w:pPr>
      <w:r w:rsidRPr="00167CB8">
        <w:rPr>
          <w:b/>
          <w:bCs/>
        </w:rPr>
        <w:t xml:space="preserve">Alt-text: </w:t>
      </w:r>
      <w:r w:rsidRPr="00167CB8">
        <w:t>A bar chart showing the number of small claims filed, finalised and pending. In 2023</w:t>
      </w:r>
      <w:r w:rsidR="00F009AB" w:rsidRPr="00167CB8">
        <w:rPr>
          <w:rFonts w:ascii="Symbol" w:eastAsia="Symbol" w:hAnsi="Symbol" w:cs="Symbol"/>
        </w:rPr>
        <w:sym w:font="Symbol" w:char="F02D"/>
      </w:r>
      <w:r w:rsidRPr="00167CB8">
        <w:t>24 financial year the number of small claims filed was equal to 217, up by 80 (or 58%) on the numbers filed in 2022</w:t>
      </w:r>
      <w:r w:rsidR="00F009AB" w:rsidRPr="00167CB8">
        <w:rPr>
          <w:rFonts w:ascii="Symbol" w:eastAsia="Symbol" w:hAnsi="Symbol" w:cs="Symbol"/>
        </w:rPr>
        <w:sym w:font="Symbol" w:char="F02D"/>
      </w:r>
      <w:r w:rsidRPr="00167CB8">
        <w:t>23.</w:t>
      </w:r>
    </w:p>
    <w:p w14:paraId="29CE9396" w14:textId="15BD491D" w:rsidR="00821381" w:rsidRPr="00167CB8" w:rsidRDefault="00821381" w:rsidP="002D30C0">
      <w:r w:rsidRPr="00167CB8">
        <w:t>The rise in small claims in 2023</w:t>
      </w:r>
      <w:r w:rsidR="002D30C0" w:rsidRPr="00167CB8">
        <w:rPr>
          <w:rFonts w:ascii="Symbol" w:eastAsia="Symbol" w:hAnsi="Symbol" w:cs="Symbol"/>
        </w:rPr>
        <w:sym w:font="Symbol" w:char="F02D"/>
      </w:r>
      <w:r w:rsidRPr="00167CB8">
        <w:t xml:space="preserve">24 aligns with the </w:t>
      </w:r>
      <w:r w:rsidR="00A723CF" w:rsidRPr="00167CB8">
        <w:t>Australian Government</w:t>
      </w:r>
      <w:r w:rsidR="002D30C0" w:rsidRPr="00167CB8">
        <w:t>’</w:t>
      </w:r>
      <w:r w:rsidRPr="00167CB8">
        <w:t xml:space="preserve">s intent and the changes to the </w:t>
      </w:r>
      <w:r w:rsidR="007132B2" w:rsidRPr="00167CB8">
        <w:t>Act</w:t>
      </w:r>
      <w:r w:rsidRPr="00167CB8">
        <w:t xml:space="preserve"> to encourage workers to pursue their entitlements through a more accessible claims process. However, other factors may also explain the observed increase. For example, there has been extensive media coverage of </w:t>
      </w:r>
      <w:r w:rsidR="0051684E" w:rsidRPr="00167CB8">
        <w:t>underpayment</w:t>
      </w:r>
      <w:r w:rsidRPr="00167CB8">
        <w:t xml:space="preserve"> following </w:t>
      </w:r>
      <w:r w:rsidR="00A723CF" w:rsidRPr="00167CB8">
        <w:t xml:space="preserve">Australian </w:t>
      </w:r>
      <w:r w:rsidR="00A723CF" w:rsidRPr="00167CB8">
        <w:lastRenderedPageBreak/>
        <w:t>Government</w:t>
      </w:r>
      <w:r w:rsidRPr="00167CB8">
        <w:t xml:space="preserve"> inquiries</w:t>
      </w:r>
      <w:r w:rsidRPr="00167CB8">
        <w:rPr>
          <w:rStyle w:val="FootnoteReference"/>
          <w:rFonts w:cs="Calibri"/>
        </w:rPr>
        <w:footnoteReference w:id="994"/>
      </w:r>
      <w:r w:rsidR="002D30C0" w:rsidRPr="00167CB8">
        <w:t xml:space="preserve"> </w:t>
      </w:r>
      <w:r w:rsidR="00197B43" w:rsidRPr="00167CB8">
        <w:rPr>
          <w:rStyle w:val="FootnoteReference"/>
          <w:rFonts w:cs="Calibri"/>
        </w:rPr>
        <w:footnoteReference w:id="995"/>
      </w:r>
      <w:r w:rsidRPr="00167CB8">
        <w:t xml:space="preserve"> </w:t>
      </w:r>
      <w:r w:rsidR="00B67B93" w:rsidRPr="00167CB8">
        <w:rPr>
          <w:rStyle w:val="FootnoteReference"/>
          <w:rFonts w:cs="Calibri"/>
        </w:rPr>
        <w:footnoteReference w:id="996"/>
      </w:r>
      <w:r w:rsidRPr="00167CB8">
        <w:t xml:space="preserve">and changes to the </w:t>
      </w:r>
      <w:r w:rsidR="007132B2" w:rsidRPr="00167CB8">
        <w:t>Act</w:t>
      </w:r>
      <w:r w:rsidRPr="00167CB8">
        <w:t>. This could have had an educative function and generated more claims. Claims may also be up on account of union campaigns and cost-of-living pressures.</w:t>
      </w:r>
      <w:r w:rsidR="00D1411A" w:rsidRPr="00167CB8">
        <w:rPr>
          <w:rStyle w:val="FootnoteReference"/>
          <w:rFonts w:cs="Calibri"/>
        </w:rPr>
        <w:footnoteReference w:id="997"/>
      </w:r>
      <w:r w:rsidRPr="00167CB8">
        <w:t xml:space="preserve"> </w:t>
      </w:r>
    </w:p>
    <w:p w14:paraId="7500AE5E" w14:textId="32E6E817" w:rsidR="00821381" w:rsidRPr="00167CB8" w:rsidRDefault="00821381" w:rsidP="002D30C0">
      <w:r w:rsidRPr="00167CB8">
        <w:t xml:space="preserve">It is important to note that the data in Figure </w:t>
      </w:r>
      <w:r w:rsidR="00E46942" w:rsidRPr="00167CB8">
        <w:t>21</w:t>
      </w:r>
      <w:r w:rsidRPr="00167CB8">
        <w:t xml:space="preserve"> provides only partial insight into the extent of worker underpayment / non-payment. For example, it only reports on small claims taken through the FCFCOA. </w:t>
      </w:r>
      <w:r w:rsidR="00D04214" w:rsidRPr="00167CB8">
        <w:t>From the limited data available it appears that some</w:t>
      </w:r>
      <w:r w:rsidRPr="00167CB8">
        <w:t xml:space="preserve"> claims </w:t>
      </w:r>
      <w:r w:rsidR="00D04214" w:rsidRPr="00167CB8">
        <w:t>have</w:t>
      </w:r>
      <w:r w:rsidRPr="00167CB8">
        <w:t xml:space="preserve"> pursued through state courts</w:t>
      </w:r>
      <w:r w:rsidR="00D04214" w:rsidRPr="00167CB8">
        <w:t>.</w:t>
      </w:r>
      <w:r w:rsidRPr="00167CB8">
        <w:t xml:space="preserve"> </w:t>
      </w:r>
      <w:r w:rsidR="00D04214" w:rsidRPr="00167CB8">
        <w:t>However</w:t>
      </w:r>
      <w:r w:rsidR="008730DD" w:rsidRPr="00167CB8">
        <w:t>,</w:t>
      </w:r>
      <w:r w:rsidR="00D04214" w:rsidRPr="00167CB8">
        <w:t xml:space="preserve"> state court data</w:t>
      </w:r>
      <w:r w:rsidRPr="00167CB8">
        <w:t xml:space="preserve"> not </w:t>
      </w:r>
      <w:r w:rsidR="00D04214" w:rsidRPr="00167CB8">
        <w:t>been</w:t>
      </w:r>
      <w:r w:rsidRPr="00167CB8">
        <w:t xml:space="preserve"> captured in this data</w:t>
      </w:r>
      <w:r w:rsidR="005C6FE7" w:rsidRPr="00167CB8">
        <w:t xml:space="preserve"> due to a lack of </w:t>
      </w:r>
      <w:r w:rsidR="00D826F7" w:rsidRPr="00167CB8">
        <w:t>disaggregated</w:t>
      </w:r>
      <w:r w:rsidR="005C6FE7" w:rsidRPr="00167CB8">
        <w:t xml:space="preserve"> data </w:t>
      </w:r>
      <w:r w:rsidR="00D826F7" w:rsidRPr="00167CB8">
        <w:t>on small claims in most states</w:t>
      </w:r>
      <w:r w:rsidRPr="00167CB8">
        <w:t>.</w:t>
      </w:r>
      <w:r w:rsidR="00BB79E8" w:rsidRPr="00167CB8">
        <w:t xml:space="preserve"> </w:t>
      </w:r>
      <w:r w:rsidR="001E547E" w:rsidRPr="00167CB8">
        <w:t xml:space="preserve">Better data from state courts may help better understand how </w:t>
      </w:r>
      <w:r w:rsidR="00E86FD0" w:rsidRPr="00167CB8">
        <w:t>many small claims applications have been made across the country.</w:t>
      </w:r>
      <w:r w:rsidR="00BB79E8" w:rsidRPr="00167CB8">
        <w:t xml:space="preserve"> </w:t>
      </w:r>
      <w:r w:rsidRPr="00167CB8">
        <w:t xml:space="preserve">The enforcement activities of the FWO may have also affected the number of small claims filed. </w:t>
      </w:r>
    </w:p>
    <w:p w14:paraId="258AD49B" w14:textId="425CCEAC" w:rsidR="00821381" w:rsidRDefault="00821381" w:rsidP="002D30C0">
      <w:pPr>
        <w:spacing w:before="240" w:after="0"/>
        <w:rPr>
          <w:rFonts w:cs="Calibri"/>
        </w:rPr>
      </w:pPr>
      <w:r w:rsidRPr="00167CB8">
        <w:rPr>
          <w:rFonts w:cs="Calibri"/>
        </w:rPr>
        <w:t xml:space="preserve">Table </w:t>
      </w:r>
      <w:r w:rsidR="009C7A64" w:rsidRPr="00167CB8">
        <w:rPr>
          <w:rFonts w:cs="Calibri"/>
        </w:rPr>
        <w:t>21</w:t>
      </w:r>
      <w:r w:rsidRPr="00167CB8">
        <w:rPr>
          <w:rFonts w:cs="Calibri"/>
        </w:rPr>
        <w:t xml:space="preserve"> outlines trends in </w:t>
      </w:r>
      <w:r w:rsidR="002D30C0" w:rsidRPr="00167CB8">
        <w:rPr>
          <w:rFonts w:cs="Calibri"/>
        </w:rPr>
        <w:t>e</w:t>
      </w:r>
      <w:r w:rsidRPr="00167CB8">
        <w:rPr>
          <w:rFonts w:cs="Calibri"/>
        </w:rPr>
        <w:t xml:space="preserve">nforcement </w:t>
      </w:r>
      <w:r w:rsidR="002D30C0" w:rsidRPr="00167CB8">
        <w:rPr>
          <w:rFonts w:cs="Calibri"/>
        </w:rPr>
        <w:t>o</w:t>
      </w:r>
      <w:r w:rsidRPr="00167CB8">
        <w:rPr>
          <w:rFonts w:cs="Calibri"/>
        </w:rPr>
        <w:t xml:space="preserve">utcomes by the </w:t>
      </w:r>
      <w:r w:rsidR="002D30C0" w:rsidRPr="00167CB8">
        <w:rPr>
          <w:rFonts w:cs="Calibri"/>
        </w:rPr>
        <w:t>Fair Work Ombudsman (</w:t>
      </w:r>
      <w:r w:rsidRPr="00167CB8">
        <w:rPr>
          <w:rFonts w:cs="Calibri"/>
        </w:rPr>
        <w:t>FWO</w:t>
      </w:r>
      <w:r w:rsidR="002D30C0" w:rsidRPr="00167CB8">
        <w:rPr>
          <w:rFonts w:cs="Calibri"/>
        </w:rPr>
        <w:t>)</w:t>
      </w:r>
      <w:r w:rsidR="0059195D" w:rsidRPr="00167CB8">
        <w:rPr>
          <w:rFonts w:cs="Calibri"/>
        </w:rPr>
        <w:t xml:space="preserve"> from data provided to the Review</w:t>
      </w:r>
      <w:r w:rsidRPr="00167CB8">
        <w:rPr>
          <w:rFonts w:cs="Calibri"/>
        </w:rPr>
        <w:t xml:space="preserve">. Compliance notices, a key tool for rectifying worker underpayments, increased by 6% in 2023–24, with 2,574 notices issued. Beyond highlighting the prevalence of underpayments and the amounts recovered, </w:t>
      </w:r>
      <w:r w:rsidR="002D30C0" w:rsidRPr="00167CB8">
        <w:rPr>
          <w:rFonts w:cs="Calibri"/>
        </w:rPr>
        <w:t>T</w:t>
      </w:r>
      <w:r w:rsidRPr="00167CB8">
        <w:rPr>
          <w:rFonts w:cs="Calibri"/>
        </w:rPr>
        <w:t xml:space="preserve">able </w:t>
      </w:r>
      <w:r w:rsidR="000F638C" w:rsidRPr="00167CB8">
        <w:rPr>
          <w:rFonts w:cs="Calibri"/>
        </w:rPr>
        <w:t>21</w:t>
      </w:r>
      <w:r w:rsidR="002D30C0" w:rsidRPr="00167CB8">
        <w:rPr>
          <w:rFonts w:cs="Calibri"/>
        </w:rPr>
        <w:t xml:space="preserve"> </w:t>
      </w:r>
      <w:r w:rsidRPr="00167CB8">
        <w:rPr>
          <w:rFonts w:cs="Calibri"/>
        </w:rPr>
        <w:t xml:space="preserve">illustrates how the FWO’s enforcement activities likely mitigate the volume of small claims reflected in Figure </w:t>
      </w:r>
      <w:r w:rsidR="00AF5A0D" w:rsidRPr="00167CB8">
        <w:rPr>
          <w:rFonts w:cs="Calibri"/>
        </w:rPr>
        <w:t>21</w:t>
      </w:r>
      <w:r w:rsidRPr="00167CB8">
        <w:rPr>
          <w:rFonts w:cs="Calibri"/>
        </w:rPr>
        <w:t>.</w:t>
      </w:r>
    </w:p>
    <w:p w14:paraId="5ACA4787" w14:textId="77777777" w:rsidR="00C262DB" w:rsidRDefault="00C262DB" w:rsidP="00C262DB">
      <w:pPr>
        <w:pStyle w:val="Caption"/>
        <w:ind w:left="0"/>
      </w:pPr>
    </w:p>
    <w:p w14:paraId="4852E23A" w14:textId="77777777" w:rsidR="009C4379" w:rsidRDefault="009C4379">
      <w:pPr>
        <w:spacing w:after="160"/>
        <w:rPr>
          <w:rFonts w:cs="Calibri"/>
          <w:b/>
          <w:bCs/>
          <w:lang w:val="en-US"/>
        </w:rPr>
      </w:pPr>
      <w:r>
        <w:br w:type="page"/>
      </w:r>
    </w:p>
    <w:p w14:paraId="5A0AF90D" w14:textId="4AF2311C" w:rsidR="00821381" w:rsidRPr="00167CB8" w:rsidRDefault="00821381" w:rsidP="00C262DB">
      <w:pPr>
        <w:pStyle w:val="Caption"/>
        <w:ind w:left="0"/>
      </w:pPr>
      <w:r w:rsidRPr="00167CB8">
        <w:lastRenderedPageBreak/>
        <w:t xml:space="preserve">Table </w:t>
      </w:r>
      <w:r w:rsidR="00AF5A0D" w:rsidRPr="00167CB8">
        <w:t>21</w:t>
      </w:r>
      <w:r w:rsidRPr="00167CB8">
        <w:t>: Office of the Fair Work Ombudsman, Enforcement Outcomes 2019</w:t>
      </w:r>
      <w:r w:rsidR="002D30C0" w:rsidRPr="00167CB8">
        <w:rPr>
          <w:rFonts w:ascii="Symbol" w:eastAsia="Symbol" w:hAnsi="Symbol" w:cs="Symbol"/>
        </w:rPr>
        <w:sym w:font="Symbol" w:char="F02D"/>
      </w:r>
      <w:r w:rsidRPr="00167CB8">
        <w:t>20 to 2023</w:t>
      </w:r>
      <w:r w:rsidR="002D30C0" w:rsidRPr="00167CB8">
        <w:rPr>
          <w:rFonts w:ascii="Symbol" w:eastAsia="Symbol" w:hAnsi="Symbol" w:cs="Symbol"/>
        </w:rPr>
        <w:sym w:font="Symbol" w:char="F02D"/>
      </w:r>
      <w:r w:rsidRPr="00167CB8">
        <w:t>24</w:t>
      </w:r>
    </w:p>
    <w:tbl>
      <w:tblPr>
        <w:tblW w:w="87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80"/>
        <w:gridCol w:w="1088"/>
        <w:gridCol w:w="1088"/>
        <w:gridCol w:w="1088"/>
        <w:gridCol w:w="1088"/>
        <w:gridCol w:w="1088"/>
      </w:tblGrid>
      <w:tr w:rsidR="00821381" w:rsidRPr="00167CB8" w14:paraId="31255541" w14:textId="77777777" w:rsidTr="00F94A9C">
        <w:trPr>
          <w:trHeight w:val="300"/>
        </w:trPr>
        <w:tc>
          <w:tcPr>
            <w:tcW w:w="3280" w:type="dxa"/>
            <w:tcBorders>
              <w:top w:val="single" w:sz="4" w:space="0" w:color="auto"/>
              <w:bottom w:val="single" w:sz="4" w:space="0" w:color="auto"/>
            </w:tcBorders>
            <w:shd w:val="clear" w:color="auto" w:fill="auto"/>
            <w:noWrap/>
            <w:vAlign w:val="bottom"/>
            <w:hideMark/>
          </w:tcPr>
          <w:p w14:paraId="72015125" w14:textId="77777777" w:rsidR="00821381" w:rsidRPr="00167CB8" w:rsidRDefault="00821381" w:rsidP="006000ED">
            <w:pPr>
              <w:spacing w:after="0"/>
              <w:rPr>
                <w:rFonts w:eastAsia="Times New Roman" w:cs="Calibri"/>
                <w:sz w:val="20"/>
                <w:szCs w:val="20"/>
                <w:lang w:eastAsia="en-AU"/>
              </w:rPr>
            </w:pPr>
          </w:p>
        </w:tc>
        <w:tc>
          <w:tcPr>
            <w:tcW w:w="1088" w:type="dxa"/>
            <w:tcBorders>
              <w:top w:val="single" w:sz="4" w:space="0" w:color="auto"/>
              <w:bottom w:val="single" w:sz="4" w:space="0" w:color="auto"/>
            </w:tcBorders>
            <w:vAlign w:val="bottom"/>
          </w:tcPr>
          <w:p w14:paraId="17D309E3" w14:textId="1A0319AF"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2019</w:t>
            </w:r>
            <w:r w:rsidR="002D30C0"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20</w:t>
            </w:r>
          </w:p>
        </w:tc>
        <w:tc>
          <w:tcPr>
            <w:tcW w:w="1088" w:type="dxa"/>
            <w:tcBorders>
              <w:top w:val="single" w:sz="4" w:space="0" w:color="auto"/>
              <w:bottom w:val="single" w:sz="4" w:space="0" w:color="auto"/>
            </w:tcBorders>
            <w:vAlign w:val="bottom"/>
          </w:tcPr>
          <w:p w14:paraId="162F0111" w14:textId="03FD1DC7"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2020</w:t>
            </w:r>
            <w:r w:rsidR="002D30C0"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21</w:t>
            </w:r>
          </w:p>
        </w:tc>
        <w:tc>
          <w:tcPr>
            <w:tcW w:w="1088" w:type="dxa"/>
            <w:tcBorders>
              <w:top w:val="single" w:sz="4" w:space="0" w:color="auto"/>
              <w:bottom w:val="single" w:sz="4" w:space="0" w:color="auto"/>
            </w:tcBorders>
            <w:vAlign w:val="bottom"/>
          </w:tcPr>
          <w:p w14:paraId="2448941D" w14:textId="206C0E8C"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2021</w:t>
            </w:r>
            <w:r w:rsidR="002D30C0"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22</w:t>
            </w:r>
          </w:p>
        </w:tc>
        <w:tc>
          <w:tcPr>
            <w:tcW w:w="1088" w:type="dxa"/>
            <w:tcBorders>
              <w:top w:val="single" w:sz="4" w:space="0" w:color="auto"/>
              <w:bottom w:val="single" w:sz="4" w:space="0" w:color="auto"/>
            </w:tcBorders>
            <w:vAlign w:val="bottom"/>
          </w:tcPr>
          <w:p w14:paraId="0F66D316" w14:textId="6C76CDA0"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2022</w:t>
            </w:r>
            <w:r w:rsidR="002D30C0"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23</w:t>
            </w:r>
          </w:p>
        </w:tc>
        <w:tc>
          <w:tcPr>
            <w:tcW w:w="1088" w:type="dxa"/>
            <w:tcBorders>
              <w:top w:val="single" w:sz="4" w:space="0" w:color="auto"/>
              <w:bottom w:val="single" w:sz="4" w:space="0" w:color="auto"/>
            </w:tcBorders>
            <w:vAlign w:val="bottom"/>
          </w:tcPr>
          <w:p w14:paraId="76BCAF75" w14:textId="24BB58E1"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2023</w:t>
            </w:r>
            <w:r w:rsidR="002D30C0"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24</w:t>
            </w:r>
          </w:p>
        </w:tc>
      </w:tr>
      <w:tr w:rsidR="00821381" w:rsidRPr="00167CB8" w14:paraId="10523847" w14:textId="77777777" w:rsidTr="00F94A9C">
        <w:trPr>
          <w:trHeight w:val="830"/>
        </w:trPr>
        <w:tc>
          <w:tcPr>
            <w:tcW w:w="3280" w:type="dxa"/>
            <w:tcBorders>
              <w:top w:val="single" w:sz="4" w:space="0" w:color="auto"/>
              <w:bottom w:val="nil"/>
            </w:tcBorders>
            <w:shd w:val="clear" w:color="auto" w:fill="auto"/>
            <w:hideMark/>
          </w:tcPr>
          <w:p w14:paraId="00445C35" w14:textId="6013E96D"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Infringement notices (</w:t>
            </w:r>
            <w:r w:rsidR="002D30C0" w:rsidRPr="00167CB8">
              <w:rPr>
                <w:rFonts w:eastAsia="Times New Roman" w:cs="Calibri"/>
                <w:color w:val="000000"/>
                <w:sz w:val="20"/>
                <w:szCs w:val="20"/>
                <w:lang w:eastAsia="en-AU"/>
              </w:rPr>
              <w:t>‘</w:t>
            </w:r>
            <w:r w:rsidRPr="00167CB8">
              <w:rPr>
                <w:rFonts w:eastAsia="Times New Roman" w:cs="Calibri"/>
                <w:color w:val="000000"/>
                <w:sz w:val="20"/>
                <w:szCs w:val="20"/>
                <w:lang w:eastAsia="en-AU"/>
              </w:rPr>
              <w:t>on</w:t>
            </w:r>
            <w:r w:rsidR="002D30C0" w:rsidRPr="00167CB8">
              <w:rPr>
                <w:rFonts w:eastAsia="Times New Roman" w:cs="Calibri"/>
                <w:color w:val="000000"/>
                <w:sz w:val="20"/>
                <w:szCs w:val="20"/>
                <w:lang w:eastAsia="en-AU"/>
              </w:rPr>
              <w:t>-</w:t>
            </w:r>
            <w:r w:rsidRPr="00167CB8">
              <w:rPr>
                <w:rFonts w:eastAsia="Times New Roman" w:cs="Calibri"/>
                <w:color w:val="000000"/>
                <w:sz w:val="20"/>
                <w:szCs w:val="20"/>
                <w:lang w:eastAsia="en-AU"/>
              </w:rPr>
              <w:t>the</w:t>
            </w:r>
            <w:r w:rsidR="002D30C0" w:rsidRPr="00167CB8">
              <w:rPr>
                <w:rFonts w:eastAsia="Times New Roman" w:cs="Calibri"/>
                <w:color w:val="000000"/>
                <w:sz w:val="20"/>
                <w:szCs w:val="20"/>
                <w:lang w:eastAsia="en-AU"/>
              </w:rPr>
              <w:t>-</w:t>
            </w:r>
            <w:r w:rsidRPr="00167CB8">
              <w:rPr>
                <w:rFonts w:eastAsia="Times New Roman" w:cs="Calibri"/>
                <w:color w:val="000000"/>
                <w:sz w:val="20"/>
                <w:szCs w:val="20"/>
                <w:lang w:eastAsia="en-AU"/>
              </w:rPr>
              <w:t>spot fines</w:t>
            </w:r>
            <w:r w:rsidR="002D30C0" w:rsidRPr="00167CB8">
              <w:rPr>
                <w:rFonts w:eastAsia="Times New Roman" w:cs="Calibri"/>
                <w:color w:val="000000"/>
                <w:sz w:val="20"/>
                <w:szCs w:val="20"/>
                <w:lang w:eastAsia="en-AU"/>
              </w:rPr>
              <w:t>’</w:t>
            </w:r>
            <w:r w:rsidRPr="00167CB8">
              <w:rPr>
                <w:rFonts w:eastAsia="Times New Roman" w:cs="Calibri"/>
                <w:color w:val="000000"/>
                <w:sz w:val="20"/>
                <w:szCs w:val="20"/>
                <w:lang w:eastAsia="en-AU"/>
              </w:rPr>
              <w:t xml:space="preserve"> to employers breaching record-keeping and pay slip requirements)</w:t>
            </w:r>
          </w:p>
        </w:tc>
        <w:tc>
          <w:tcPr>
            <w:tcW w:w="1088" w:type="dxa"/>
            <w:tcBorders>
              <w:top w:val="single" w:sz="4" w:space="0" w:color="auto"/>
              <w:bottom w:val="nil"/>
            </w:tcBorders>
            <w:vAlign w:val="bottom"/>
          </w:tcPr>
          <w:p w14:paraId="3A4446BA"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685A2F46"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66D48B3C"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02EE71D7"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1091EDF2" w14:textId="77777777" w:rsidR="00F94A9C" w:rsidRPr="00167CB8" w:rsidRDefault="00F94A9C" w:rsidP="006000ED">
            <w:pPr>
              <w:spacing w:after="0"/>
              <w:jc w:val="center"/>
              <w:rPr>
                <w:rFonts w:eastAsia="Times New Roman" w:cs="Calibri"/>
                <w:color w:val="000000"/>
                <w:sz w:val="20"/>
                <w:szCs w:val="20"/>
                <w:lang w:eastAsia="en-AU"/>
              </w:rPr>
            </w:pPr>
          </w:p>
        </w:tc>
      </w:tr>
      <w:tr w:rsidR="00821381" w:rsidRPr="00167CB8" w14:paraId="203E2B7B" w14:textId="77777777" w:rsidTr="00F94A9C">
        <w:trPr>
          <w:trHeight w:val="300"/>
        </w:trPr>
        <w:tc>
          <w:tcPr>
            <w:tcW w:w="3280" w:type="dxa"/>
            <w:tcBorders>
              <w:top w:val="nil"/>
              <w:bottom w:val="nil"/>
            </w:tcBorders>
            <w:shd w:val="clear" w:color="auto" w:fill="auto"/>
            <w:noWrap/>
            <w:vAlign w:val="bottom"/>
            <w:hideMark/>
          </w:tcPr>
          <w:p w14:paraId="3D45B9C2"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Notices</w:t>
            </w:r>
          </w:p>
        </w:tc>
        <w:tc>
          <w:tcPr>
            <w:tcW w:w="1088" w:type="dxa"/>
            <w:tcBorders>
              <w:top w:val="nil"/>
              <w:bottom w:val="nil"/>
            </w:tcBorders>
            <w:vAlign w:val="bottom"/>
          </w:tcPr>
          <w:p w14:paraId="48DDB961" w14:textId="5954CC4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603</w:t>
            </w:r>
          </w:p>
        </w:tc>
        <w:tc>
          <w:tcPr>
            <w:tcW w:w="1088" w:type="dxa"/>
            <w:tcBorders>
              <w:top w:val="nil"/>
              <w:bottom w:val="nil"/>
            </w:tcBorders>
            <w:vAlign w:val="bottom"/>
          </w:tcPr>
          <w:p w14:paraId="7D1D947A" w14:textId="252D0580"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513</w:t>
            </w:r>
          </w:p>
        </w:tc>
        <w:tc>
          <w:tcPr>
            <w:tcW w:w="1088" w:type="dxa"/>
            <w:tcBorders>
              <w:top w:val="nil"/>
              <w:bottom w:val="nil"/>
            </w:tcBorders>
            <w:vAlign w:val="bottom"/>
          </w:tcPr>
          <w:p w14:paraId="72D60F24" w14:textId="4B38CD3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492</w:t>
            </w:r>
          </w:p>
        </w:tc>
        <w:tc>
          <w:tcPr>
            <w:tcW w:w="1088" w:type="dxa"/>
            <w:tcBorders>
              <w:top w:val="nil"/>
              <w:bottom w:val="nil"/>
            </w:tcBorders>
            <w:vAlign w:val="bottom"/>
          </w:tcPr>
          <w:p w14:paraId="190FDDFA" w14:textId="5D25053A"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626</w:t>
            </w:r>
          </w:p>
        </w:tc>
        <w:tc>
          <w:tcPr>
            <w:tcW w:w="1088" w:type="dxa"/>
            <w:tcBorders>
              <w:top w:val="nil"/>
              <w:bottom w:val="nil"/>
            </w:tcBorders>
            <w:vAlign w:val="bottom"/>
          </w:tcPr>
          <w:p w14:paraId="10C38A14" w14:textId="70466AE4"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760</w:t>
            </w:r>
          </w:p>
        </w:tc>
      </w:tr>
      <w:tr w:rsidR="00821381" w:rsidRPr="00167CB8" w14:paraId="26D822B9" w14:textId="77777777" w:rsidTr="00F94A9C">
        <w:trPr>
          <w:trHeight w:val="300"/>
        </w:trPr>
        <w:tc>
          <w:tcPr>
            <w:tcW w:w="3280" w:type="dxa"/>
            <w:tcBorders>
              <w:top w:val="nil"/>
              <w:bottom w:val="single" w:sz="4" w:space="0" w:color="auto"/>
            </w:tcBorders>
            <w:shd w:val="clear" w:color="auto" w:fill="auto"/>
            <w:noWrap/>
            <w:vAlign w:val="bottom"/>
            <w:hideMark/>
          </w:tcPr>
          <w:p w14:paraId="0C16D432"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Penalties paid</w:t>
            </w:r>
          </w:p>
        </w:tc>
        <w:tc>
          <w:tcPr>
            <w:tcW w:w="1088" w:type="dxa"/>
            <w:tcBorders>
              <w:top w:val="nil"/>
              <w:bottom w:val="single" w:sz="4" w:space="0" w:color="auto"/>
            </w:tcBorders>
            <w:vAlign w:val="bottom"/>
          </w:tcPr>
          <w:p w14:paraId="01C8C3EC" w14:textId="587FB17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$891,173</w:t>
            </w:r>
          </w:p>
        </w:tc>
        <w:tc>
          <w:tcPr>
            <w:tcW w:w="1088" w:type="dxa"/>
            <w:tcBorders>
              <w:top w:val="nil"/>
              <w:bottom w:val="single" w:sz="4" w:space="0" w:color="auto"/>
            </w:tcBorders>
            <w:vAlign w:val="bottom"/>
          </w:tcPr>
          <w:p w14:paraId="0E10F5ED" w14:textId="35C77619"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$518,396</w:t>
            </w:r>
          </w:p>
        </w:tc>
        <w:tc>
          <w:tcPr>
            <w:tcW w:w="1088" w:type="dxa"/>
            <w:tcBorders>
              <w:top w:val="nil"/>
              <w:bottom w:val="single" w:sz="4" w:space="0" w:color="auto"/>
            </w:tcBorders>
            <w:vAlign w:val="bottom"/>
          </w:tcPr>
          <w:p w14:paraId="3BB739A0" w14:textId="400A7772"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$446,037</w:t>
            </w:r>
          </w:p>
        </w:tc>
        <w:tc>
          <w:tcPr>
            <w:tcW w:w="1088" w:type="dxa"/>
            <w:tcBorders>
              <w:top w:val="nil"/>
              <w:bottom w:val="single" w:sz="4" w:space="0" w:color="auto"/>
            </w:tcBorders>
            <w:vAlign w:val="bottom"/>
          </w:tcPr>
          <w:p w14:paraId="7F2A8643" w14:textId="6C952C80"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$739,966</w:t>
            </w:r>
          </w:p>
        </w:tc>
        <w:tc>
          <w:tcPr>
            <w:tcW w:w="1088" w:type="dxa"/>
            <w:tcBorders>
              <w:top w:val="nil"/>
              <w:bottom w:val="single" w:sz="4" w:space="0" w:color="auto"/>
            </w:tcBorders>
            <w:vAlign w:val="bottom"/>
          </w:tcPr>
          <w:p w14:paraId="1D6DC20F" w14:textId="31D90D68"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$986,616</w:t>
            </w:r>
          </w:p>
        </w:tc>
      </w:tr>
      <w:tr w:rsidR="00821381" w:rsidRPr="00167CB8" w14:paraId="4BDA690C" w14:textId="77777777" w:rsidTr="00F94A9C">
        <w:trPr>
          <w:trHeight w:val="539"/>
        </w:trPr>
        <w:tc>
          <w:tcPr>
            <w:tcW w:w="3280" w:type="dxa"/>
            <w:tcBorders>
              <w:top w:val="single" w:sz="4" w:space="0" w:color="auto"/>
              <w:bottom w:val="nil"/>
            </w:tcBorders>
            <w:shd w:val="clear" w:color="auto" w:fill="auto"/>
            <w:hideMark/>
          </w:tcPr>
          <w:p w14:paraId="4CB8E2B5"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Compliance notices (rectifying suspected underpayment of workers)</w:t>
            </w:r>
          </w:p>
        </w:tc>
        <w:tc>
          <w:tcPr>
            <w:tcW w:w="1088" w:type="dxa"/>
            <w:tcBorders>
              <w:top w:val="single" w:sz="4" w:space="0" w:color="auto"/>
              <w:bottom w:val="nil"/>
            </w:tcBorders>
            <w:vAlign w:val="bottom"/>
          </w:tcPr>
          <w:p w14:paraId="7B6B5D71"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60ECC18B"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75C9D752"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5B565F38"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1B8FE00E" w14:textId="77777777" w:rsidR="00F94A9C" w:rsidRPr="00167CB8" w:rsidRDefault="00F94A9C" w:rsidP="006000ED">
            <w:pPr>
              <w:spacing w:after="0"/>
              <w:jc w:val="center"/>
              <w:rPr>
                <w:rFonts w:eastAsia="Times New Roman" w:cs="Calibri"/>
                <w:color w:val="000000"/>
                <w:sz w:val="20"/>
                <w:szCs w:val="20"/>
                <w:lang w:eastAsia="en-AU"/>
              </w:rPr>
            </w:pPr>
          </w:p>
        </w:tc>
      </w:tr>
      <w:tr w:rsidR="00821381" w:rsidRPr="00167CB8" w14:paraId="5CBDA7C1" w14:textId="77777777" w:rsidTr="00F94A9C">
        <w:trPr>
          <w:trHeight w:val="300"/>
        </w:trPr>
        <w:tc>
          <w:tcPr>
            <w:tcW w:w="3280" w:type="dxa"/>
            <w:tcBorders>
              <w:top w:val="nil"/>
              <w:bottom w:val="nil"/>
            </w:tcBorders>
            <w:shd w:val="clear" w:color="auto" w:fill="auto"/>
            <w:noWrap/>
            <w:vAlign w:val="bottom"/>
            <w:hideMark/>
          </w:tcPr>
          <w:p w14:paraId="14FCC728"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Notices</w:t>
            </w:r>
          </w:p>
        </w:tc>
        <w:tc>
          <w:tcPr>
            <w:tcW w:w="1088" w:type="dxa"/>
            <w:tcBorders>
              <w:top w:val="nil"/>
              <w:bottom w:val="nil"/>
            </w:tcBorders>
            <w:vAlign w:val="bottom"/>
          </w:tcPr>
          <w:p w14:paraId="47A86AF7" w14:textId="6EE41FA0"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952</w:t>
            </w:r>
          </w:p>
        </w:tc>
        <w:tc>
          <w:tcPr>
            <w:tcW w:w="1088" w:type="dxa"/>
            <w:tcBorders>
              <w:top w:val="nil"/>
              <w:bottom w:val="nil"/>
            </w:tcBorders>
            <w:vAlign w:val="bottom"/>
          </w:tcPr>
          <w:p w14:paraId="231C68DD" w14:textId="409E3CF4"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2,025</w:t>
            </w:r>
          </w:p>
        </w:tc>
        <w:tc>
          <w:tcPr>
            <w:tcW w:w="1088" w:type="dxa"/>
            <w:tcBorders>
              <w:top w:val="nil"/>
              <w:bottom w:val="nil"/>
            </w:tcBorders>
            <w:vAlign w:val="bottom"/>
          </w:tcPr>
          <w:p w14:paraId="13EFA5AD" w14:textId="119531FD"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2,345</w:t>
            </w:r>
          </w:p>
        </w:tc>
        <w:tc>
          <w:tcPr>
            <w:tcW w:w="1088" w:type="dxa"/>
            <w:tcBorders>
              <w:top w:val="nil"/>
              <w:bottom w:val="nil"/>
            </w:tcBorders>
            <w:vAlign w:val="bottom"/>
          </w:tcPr>
          <w:p w14:paraId="6BB3AAF2" w14:textId="23AB661E"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2,424</w:t>
            </w:r>
          </w:p>
        </w:tc>
        <w:tc>
          <w:tcPr>
            <w:tcW w:w="1088" w:type="dxa"/>
            <w:tcBorders>
              <w:top w:val="nil"/>
              <w:bottom w:val="nil"/>
            </w:tcBorders>
            <w:vAlign w:val="bottom"/>
          </w:tcPr>
          <w:p w14:paraId="66B20298" w14:textId="0179510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2,574</w:t>
            </w:r>
          </w:p>
        </w:tc>
      </w:tr>
      <w:tr w:rsidR="00821381" w:rsidRPr="00167CB8" w14:paraId="49C6FD39" w14:textId="77777777" w:rsidTr="00F94A9C">
        <w:trPr>
          <w:trHeight w:val="300"/>
        </w:trPr>
        <w:tc>
          <w:tcPr>
            <w:tcW w:w="3280" w:type="dxa"/>
            <w:tcBorders>
              <w:top w:val="nil"/>
              <w:bottom w:val="single" w:sz="4" w:space="0" w:color="auto"/>
            </w:tcBorders>
            <w:shd w:val="clear" w:color="auto" w:fill="auto"/>
            <w:noWrap/>
            <w:vAlign w:val="bottom"/>
            <w:hideMark/>
          </w:tcPr>
          <w:p w14:paraId="72D985A1"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Penalties paid</w:t>
            </w:r>
          </w:p>
        </w:tc>
        <w:tc>
          <w:tcPr>
            <w:tcW w:w="1088" w:type="dxa"/>
            <w:tcBorders>
              <w:top w:val="nil"/>
              <w:bottom w:val="single" w:sz="4" w:space="0" w:color="auto"/>
            </w:tcBorders>
            <w:vAlign w:val="bottom"/>
          </w:tcPr>
          <w:p w14:paraId="0359D4DA" w14:textId="262597D7"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$7.8m</w:t>
            </w:r>
          </w:p>
        </w:tc>
        <w:tc>
          <w:tcPr>
            <w:tcW w:w="1088" w:type="dxa"/>
            <w:tcBorders>
              <w:top w:val="nil"/>
              <w:bottom w:val="single" w:sz="4" w:space="0" w:color="auto"/>
            </w:tcBorders>
            <w:vAlign w:val="bottom"/>
          </w:tcPr>
          <w:p w14:paraId="28475E2D" w14:textId="0B3ECBFB"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$16.5m</w:t>
            </w:r>
          </w:p>
        </w:tc>
        <w:tc>
          <w:tcPr>
            <w:tcW w:w="1088" w:type="dxa"/>
            <w:tcBorders>
              <w:top w:val="nil"/>
              <w:bottom w:val="single" w:sz="4" w:space="0" w:color="auto"/>
            </w:tcBorders>
            <w:vAlign w:val="bottom"/>
          </w:tcPr>
          <w:p w14:paraId="54F4B9EA" w14:textId="032415FF"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$20.2m</w:t>
            </w:r>
          </w:p>
        </w:tc>
        <w:tc>
          <w:tcPr>
            <w:tcW w:w="1088" w:type="dxa"/>
            <w:tcBorders>
              <w:top w:val="nil"/>
              <w:bottom w:val="single" w:sz="4" w:space="0" w:color="auto"/>
            </w:tcBorders>
            <w:vAlign w:val="bottom"/>
          </w:tcPr>
          <w:p w14:paraId="4B8D307B" w14:textId="1A6C7D24"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$14.8m</w:t>
            </w:r>
          </w:p>
        </w:tc>
        <w:tc>
          <w:tcPr>
            <w:tcW w:w="1088" w:type="dxa"/>
            <w:tcBorders>
              <w:top w:val="nil"/>
              <w:bottom w:val="single" w:sz="4" w:space="0" w:color="auto"/>
            </w:tcBorders>
            <w:vAlign w:val="bottom"/>
          </w:tcPr>
          <w:p w14:paraId="0289BCCC" w14:textId="4F099154"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$16.9m</w:t>
            </w:r>
          </w:p>
        </w:tc>
      </w:tr>
      <w:tr w:rsidR="00821381" w:rsidRPr="00167CB8" w14:paraId="3BA2FC54" w14:textId="77777777" w:rsidTr="00F94A9C">
        <w:trPr>
          <w:trHeight w:val="810"/>
        </w:trPr>
        <w:tc>
          <w:tcPr>
            <w:tcW w:w="3280" w:type="dxa"/>
            <w:tcBorders>
              <w:top w:val="single" w:sz="4" w:space="0" w:color="auto"/>
              <w:bottom w:val="nil"/>
            </w:tcBorders>
            <w:shd w:val="clear" w:color="auto" w:fill="auto"/>
            <w:hideMark/>
          </w:tcPr>
          <w:p w14:paraId="71ED526A" w14:textId="76EED688"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Enforceable undertakings (includes recovering unpaid wages outside 6</w:t>
            </w:r>
            <w:r w:rsidR="002D30C0" w:rsidRPr="00167CB8">
              <w:rPr>
                <w:rFonts w:eastAsia="Times New Roman" w:cs="Calibri"/>
                <w:color w:val="000000"/>
                <w:sz w:val="20"/>
                <w:szCs w:val="20"/>
                <w:lang w:eastAsia="en-AU"/>
              </w:rPr>
              <w:t>-</w:t>
            </w:r>
            <w:r w:rsidRPr="00167CB8">
              <w:rPr>
                <w:rFonts w:eastAsia="Times New Roman" w:cs="Calibri"/>
                <w:color w:val="000000"/>
                <w:sz w:val="20"/>
                <w:szCs w:val="20"/>
                <w:lang w:eastAsia="en-AU"/>
              </w:rPr>
              <w:t>year statutory limit)</w:t>
            </w:r>
          </w:p>
        </w:tc>
        <w:tc>
          <w:tcPr>
            <w:tcW w:w="1088" w:type="dxa"/>
            <w:tcBorders>
              <w:top w:val="single" w:sz="4" w:space="0" w:color="auto"/>
              <w:bottom w:val="nil"/>
            </w:tcBorders>
            <w:vAlign w:val="bottom"/>
          </w:tcPr>
          <w:p w14:paraId="7D072A4B"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16EE7D0E"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564034A9"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78312888"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10ECF440" w14:textId="77777777" w:rsidR="00F94A9C" w:rsidRPr="00167CB8" w:rsidRDefault="00F94A9C" w:rsidP="006000ED">
            <w:pPr>
              <w:spacing w:after="0"/>
              <w:jc w:val="center"/>
              <w:rPr>
                <w:rFonts w:eastAsia="Times New Roman" w:cs="Calibri"/>
                <w:color w:val="000000"/>
                <w:sz w:val="20"/>
                <w:szCs w:val="20"/>
                <w:lang w:eastAsia="en-AU"/>
              </w:rPr>
            </w:pPr>
          </w:p>
        </w:tc>
      </w:tr>
      <w:tr w:rsidR="00821381" w:rsidRPr="00167CB8" w14:paraId="1A7BA332" w14:textId="77777777" w:rsidTr="00F94A9C">
        <w:trPr>
          <w:trHeight w:val="300"/>
        </w:trPr>
        <w:tc>
          <w:tcPr>
            <w:tcW w:w="3280" w:type="dxa"/>
            <w:tcBorders>
              <w:top w:val="nil"/>
              <w:bottom w:val="nil"/>
            </w:tcBorders>
            <w:shd w:val="clear" w:color="auto" w:fill="auto"/>
            <w:noWrap/>
            <w:vAlign w:val="bottom"/>
            <w:hideMark/>
          </w:tcPr>
          <w:p w14:paraId="76B6E8CC"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Notices</w:t>
            </w:r>
          </w:p>
        </w:tc>
        <w:tc>
          <w:tcPr>
            <w:tcW w:w="1088" w:type="dxa"/>
            <w:tcBorders>
              <w:top w:val="nil"/>
              <w:bottom w:val="nil"/>
            </w:tcBorders>
            <w:vAlign w:val="bottom"/>
          </w:tcPr>
          <w:p w14:paraId="15C091A9" w14:textId="3D19220A"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12</w:t>
            </w:r>
          </w:p>
        </w:tc>
        <w:tc>
          <w:tcPr>
            <w:tcW w:w="1088" w:type="dxa"/>
            <w:tcBorders>
              <w:top w:val="nil"/>
              <w:bottom w:val="nil"/>
            </w:tcBorders>
            <w:vAlign w:val="bottom"/>
          </w:tcPr>
          <w:p w14:paraId="17A0BE83" w14:textId="083BA59D"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19</w:t>
            </w:r>
          </w:p>
        </w:tc>
        <w:tc>
          <w:tcPr>
            <w:tcW w:w="1088" w:type="dxa"/>
            <w:tcBorders>
              <w:top w:val="nil"/>
              <w:bottom w:val="nil"/>
            </w:tcBorders>
            <w:vAlign w:val="bottom"/>
          </w:tcPr>
          <w:p w14:paraId="0CB97153" w14:textId="734D328D"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9</w:t>
            </w:r>
          </w:p>
        </w:tc>
        <w:tc>
          <w:tcPr>
            <w:tcW w:w="1088" w:type="dxa"/>
            <w:tcBorders>
              <w:top w:val="nil"/>
              <w:bottom w:val="nil"/>
            </w:tcBorders>
            <w:vAlign w:val="bottom"/>
          </w:tcPr>
          <w:p w14:paraId="413D2670" w14:textId="7399461A"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15</w:t>
            </w:r>
          </w:p>
        </w:tc>
        <w:tc>
          <w:tcPr>
            <w:tcW w:w="1088" w:type="dxa"/>
            <w:tcBorders>
              <w:top w:val="nil"/>
              <w:bottom w:val="nil"/>
            </w:tcBorders>
            <w:vAlign w:val="bottom"/>
          </w:tcPr>
          <w:p w14:paraId="61F873BF" w14:textId="5A234F7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15</w:t>
            </w:r>
          </w:p>
        </w:tc>
      </w:tr>
      <w:tr w:rsidR="00821381" w:rsidRPr="00167CB8" w14:paraId="2DE976FF" w14:textId="77777777" w:rsidTr="00F94A9C">
        <w:trPr>
          <w:trHeight w:val="300"/>
        </w:trPr>
        <w:tc>
          <w:tcPr>
            <w:tcW w:w="3280" w:type="dxa"/>
            <w:tcBorders>
              <w:top w:val="nil"/>
              <w:bottom w:val="single" w:sz="4" w:space="0" w:color="auto"/>
            </w:tcBorders>
            <w:shd w:val="clear" w:color="auto" w:fill="auto"/>
            <w:noWrap/>
            <w:vAlign w:val="bottom"/>
            <w:hideMark/>
          </w:tcPr>
          <w:p w14:paraId="14306426"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Penalties paid</w:t>
            </w:r>
          </w:p>
        </w:tc>
        <w:tc>
          <w:tcPr>
            <w:tcW w:w="1088" w:type="dxa"/>
            <w:tcBorders>
              <w:top w:val="nil"/>
              <w:bottom w:val="single" w:sz="4" w:space="0" w:color="auto"/>
            </w:tcBorders>
            <w:vAlign w:val="bottom"/>
          </w:tcPr>
          <w:p w14:paraId="2AD2AAC8" w14:textId="17ABE04C"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$56.8m</w:t>
            </w:r>
          </w:p>
        </w:tc>
        <w:tc>
          <w:tcPr>
            <w:tcW w:w="1088" w:type="dxa"/>
            <w:tcBorders>
              <w:top w:val="nil"/>
              <w:bottom w:val="single" w:sz="4" w:space="0" w:color="auto"/>
            </w:tcBorders>
            <w:vAlign w:val="bottom"/>
          </w:tcPr>
          <w:p w14:paraId="6EEE831C" w14:textId="37C87E34"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$81.7m</w:t>
            </w:r>
          </w:p>
        </w:tc>
        <w:tc>
          <w:tcPr>
            <w:tcW w:w="1088" w:type="dxa"/>
            <w:tcBorders>
              <w:top w:val="nil"/>
              <w:bottom w:val="single" w:sz="4" w:space="0" w:color="auto"/>
            </w:tcBorders>
            <w:vAlign w:val="bottom"/>
          </w:tcPr>
          <w:p w14:paraId="4F28BBD0" w14:textId="219E6C61"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$56.4m</w:t>
            </w:r>
          </w:p>
        </w:tc>
        <w:tc>
          <w:tcPr>
            <w:tcW w:w="1088" w:type="dxa"/>
            <w:tcBorders>
              <w:top w:val="nil"/>
              <w:bottom w:val="single" w:sz="4" w:space="0" w:color="auto"/>
            </w:tcBorders>
            <w:vAlign w:val="bottom"/>
          </w:tcPr>
          <w:p w14:paraId="68B9F11A" w14:textId="55B096C2"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$40.3m</w:t>
            </w:r>
          </w:p>
        </w:tc>
        <w:tc>
          <w:tcPr>
            <w:tcW w:w="1088" w:type="dxa"/>
            <w:tcBorders>
              <w:top w:val="nil"/>
              <w:bottom w:val="single" w:sz="4" w:space="0" w:color="auto"/>
            </w:tcBorders>
            <w:vAlign w:val="bottom"/>
          </w:tcPr>
          <w:p w14:paraId="40636AC8" w14:textId="7294824A"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$30.2m</w:t>
            </w:r>
          </w:p>
        </w:tc>
      </w:tr>
      <w:tr w:rsidR="00821381" w:rsidRPr="00167CB8" w14:paraId="05C65FE3" w14:textId="77777777" w:rsidTr="006000ED">
        <w:trPr>
          <w:trHeight w:val="300"/>
        </w:trPr>
        <w:tc>
          <w:tcPr>
            <w:tcW w:w="3280" w:type="dxa"/>
            <w:tcBorders>
              <w:top w:val="single" w:sz="4" w:space="0" w:color="auto"/>
            </w:tcBorders>
            <w:shd w:val="clear" w:color="auto" w:fill="auto"/>
            <w:noWrap/>
            <w:vAlign w:val="bottom"/>
          </w:tcPr>
          <w:p w14:paraId="7086D778" w14:textId="43A91ABD"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Litigation (more serious or systemic cases of noncompliance)</w:t>
            </w:r>
          </w:p>
        </w:tc>
        <w:tc>
          <w:tcPr>
            <w:tcW w:w="1088" w:type="dxa"/>
            <w:tcBorders>
              <w:top w:val="single" w:sz="4" w:space="0" w:color="auto"/>
            </w:tcBorders>
            <w:vAlign w:val="bottom"/>
          </w:tcPr>
          <w:p w14:paraId="346D5C7A"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tcBorders>
            <w:vAlign w:val="bottom"/>
          </w:tcPr>
          <w:p w14:paraId="62818F82"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tcBorders>
            <w:vAlign w:val="bottom"/>
          </w:tcPr>
          <w:p w14:paraId="1F6B4A3E"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tcBorders>
            <w:vAlign w:val="bottom"/>
          </w:tcPr>
          <w:p w14:paraId="720BE218" w14:textId="77777777" w:rsidR="00F94A9C" w:rsidRPr="00167CB8" w:rsidRDefault="00F94A9C" w:rsidP="006000ED">
            <w:pPr>
              <w:spacing w:after="0"/>
              <w:jc w:val="center"/>
              <w:rPr>
                <w:rFonts w:eastAsia="Times New Roman" w:cs="Calibri"/>
                <w:color w:val="000000"/>
                <w:sz w:val="20"/>
                <w:szCs w:val="20"/>
                <w:lang w:eastAsia="en-AU"/>
              </w:rPr>
            </w:pPr>
          </w:p>
        </w:tc>
        <w:tc>
          <w:tcPr>
            <w:tcW w:w="1088" w:type="dxa"/>
            <w:tcBorders>
              <w:top w:val="single" w:sz="4" w:space="0" w:color="auto"/>
            </w:tcBorders>
            <w:vAlign w:val="bottom"/>
          </w:tcPr>
          <w:p w14:paraId="4CEDAE0D" w14:textId="77777777" w:rsidR="00F94A9C" w:rsidRPr="00167CB8" w:rsidRDefault="00F94A9C" w:rsidP="006000ED">
            <w:pPr>
              <w:spacing w:after="0"/>
              <w:jc w:val="center"/>
              <w:rPr>
                <w:rFonts w:eastAsia="Times New Roman" w:cs="Calibri"/>
                <w:color w:val="000000"/>
                <w:sz w:val="20"/>
                <w:szCs w:val="20"/>
                <w:lang w:eastAsia="en-AU"/>
              </w:rPr>
            </w:pPr>
          </w:p>
        </w:tc>
      </w:tr>
      <w:tr w:rsidR="00821381" w:rsidRPr="00167CB8" w14:paraId="33447CBE" w14:textId="77777777" w:rsidTr="00F94A9C">
        <w:trPr>
          <w:trHeight w:val="300"/>
        </w:trPr>
        <w:tc>
          <w:tcPr>
            <w:tcW w:w="3280" w:type="dxa"/>
            <w:shd w:val="clear" w:color="auto" w:fill="auto"/>
            <w:noWrap/>
            <w:vAlign w:val="bottom"/>
            <w:hideMark/>
          </w:tcPr>
          <w:p w14:paraId="26593C71"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Proceedings commenced</w:t>
            </w:r>
          </w:p>
        </w:tc>
        <w:tc>
          <w:tcPr>
            <w:tcW w:w="1088" w:type="dxa"/>
            <w:vAlign w:val="bottom"/>
          </w:tcPr>
          <w:p w14:paraId="5CA246CA" w14:textId="46574DB7"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54</w:t>
            </w:r>
          </w:p>
        </w:tc>
        <w:tc>
          <w:tcPr>
            <w:tcW w:w="1088" w:type="dxa"/>
            <w:vAlign w:val="bottom"/>
          </w:tcPr>
          <w:p w14:paraId="58829B4F" w14:textId="1E4D30A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76</w:t>
            </w:r>
          </w:p>
        </w:tc>
        <w:tc>
          <w:tcPr>
            <w:tcW w:w="1088" w:type="dxa"/>
            <w:vAlign w:val="bottom"/>
          </w:tcPr>
          <w:p w14:paraId="258CFD11" w14:textId="124F97D0"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137</w:t>
            </w:r>
          </w:p>
        </w:tc>
        <w:tc>
          <w:tcPr>
            <w:tcW w:w="1088" w:type="dxa"/>
            <w:vAlign w:val="bottom"/>
          </w:tcPr>
          <w:p w14:paraId="2CD54713" w14:textId="127FBBB1"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81</w:t>
            </w:r>
          </w:p>
        </w:tc>
        <w:tc>
          <w:tcPr>
            <w:tcW w:w="1088" w:type="dxa"/>
            <w:vAlign w:val="bottom"/>
          </w:tcPr>
          <w:p w14:paraId="0D146BD6" w14:textId="49502076"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64</w:t>
            </w:r>
          </w:p>
        </w:tc>
      </w:tr>
      <w:tr w:rsidR="00821381" w:rsidRPr="00167CB8" w14:paraId="19838A5D" w14:textId="77777777" w:rsidTr="00F94A9C">
        <w:trPr>
          <w:trHeight w:val="300"/>
        </w:trPr>
        <w:tc>
          <w:tcPr>
            <w:tcW w:w="3280" w:type="dxa"/>
            <w:shd w:val="clear" w:color="auto" w:fill="auto"/>
            <w:noWrap/>
            <w:vAlign w:val="bottom"/>
            <w:hideMark/>
          </w:tcPr>
          <w:p w14:paraId="65724E87" w14:textId="77777777" w:rsidR="00821381" w:rsidRPr="00167CB8" w:rsidRDefault="00821381" w:rsidP="006000ED">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Court orders</w:t>
            </w:r>
          </w:p>
        </w:tc>
        <w:tc>
          <w:tcPr>
            <w:tcW w:w="1088" w:type="dxa"/>
            <w:vAlign w:val="bottom"/>
          </w:tcPr>
          <w:p w14:paraId="433D57A0" w14:textId="21FA1A52"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4.4m</w:t>
            </w:r>
          </w:p>
        </w:tc>
        <w:tc>
          <w:tcPr>
            <w:tcW w:w="1088" w:type="dxa"/>
            <w:vAlign w:val="bottom"/>
          </w:tcPr>
          <w:p w14:paraId="23576F44" w14:textId="12D09242"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$2.9m</w:t>
            </w:r>
          </w:p>
        </w:tc>
        <w:tc>
          <w:tcPr>
            <w:tcW w:w="1088" w:type="dxa"/>
            <w:vAlign w:val="bottom"/>
          </w:tcPr>
          <w:p w14:paraId="6C544AE2" w14:textId="6687B8FA"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$2.7m</w:t>
            </w:r>
          </w:p>
        </w:tc>
        <w:tc>
          <w:tcPr>
            <w:tcW w:w="1088" w:type="dxa"/>
            <w:vAlign w:val="bottom"/>
          </w:tcPr>
          <w:p w14:paraId="78C9AF5E" w14:textId="7FD04833"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$3.7m</w:t>
            </w:r>
          </w:p>
        </w:tc>
        <w:tc>
          <w:tcPr>
            <w:tcW w:w="1088" w:type="dxa"/>
            <w:vAlign w:val="bottom"/>
          </w:tcPr>
          <w:p w14:paraId="6C599F4F" w14:textId="746ED69E" w:rsidR="00F94A9C" w:rsidRPr="00167CB8" w:rsidRDefault="00F94A9C" w:rsidP="006000ED">
            <w:pPr>
              <w:spacing w:after="0"/>
              <w:jc w:val="center"/>
              <w:rPr>
                <w:rFonts w:eastAsia="Times New Roman" w:cs="Calibri"/>
                <w:color w:val="000000"/>
                <w:sz w:val="20"/>
                <w:szCs w:val="20"/>
                <w:lang w:eastAsia="en-AU"/>
              </w:rPr>
            </w:pPr>
            <w:r w:rsidRPr="00167CB8">
              <w:rPr>
                <w:rFonts w:eastAsia="Times New Roman" w:cs="Calibri"/>
                <w:color w:val="000000"/>
                <w:sz w:val="20"/>
                <w:szCs w:val="20"/>
                <w:lang w:eastAsia="en-AU"/>
              </w:rPr>
              <w:t>$21.2m</w:t>
            </w:r>
          </w:p>
        </w:tc>
      </w:tr>
    </w:tbl>
    <w:p w14:paraId="665FBEAA" w14:textId="49739DE6" w:rsidR="00821381" w:rsidRPr="00167CB8" w:rsidRDefault="00821381" w:rsidP="002D30C0">
      <w:pPr>
        <w:pStyle w:val="Source"/>
      </w:pPr>
      <w:r w:rsidRPr="00167CB8">
        <w:rPr>
          <w:b/>
          <w:bCs/>
        </w:rPr>
        <w:t>Note:</w:t>
      </w:r>
      <w:r w:rsidRPr="00167CB8">
        <w:t xml:space="preserve"> Every year the FWO also reports serious contraventions of the FWO. The serious contraventions are not included in this table. </w:t>
      </w:r>
    </w:p>
    <w:p w14:paraId="02227865" w14:textId="2BE00425" w:rsidR="00821381" w:rsidRPr="00167CB8" w:rsidRDefault="00821381" w:rsidP="002D30C0">
      <w:pPr>
        <w:pStyle w:val="Source"/>
      </w:pPr>
      <w:r w:rsidRPr="00167CB8">
        <w:rPr>
          <w:b/>
          <w:bCs/>
        </w:rPr>
        <w:t>Source:</w:t>
      </w:r>
      <w:r w:rsidRPr="00167CB8">
        <w:t xml:space="preserve"> FWO </w:t>
      </w:r>
      <w:r w:rsidR="002D30C0" w:rsidRPr="00167CB8">
        <w:t>a</w:t>
      </w:r>
      <w:r w:rsidRPr="00167CB8">
        <w:t xml:space="preserve">nnual </w:t>
      </w:r>
      <w:r w:rsidR="002D30C0" w:rsidRPr="00167CB8">
        <w:t>r</w:t>
      </w:r>
      <w:r w:rsidRPr="00167CB8">
        <w:t>eport</w:t>
      </w:r>
      <w:r w:rsidR="002D30C0" w:rsidRPr="00167CB8">
        <w:t>s</w:t>
      </w:r>
      <w:r w:rsidR="000C4B62" w:rsidRPr="00167CB8">
        <w:t xml:space="preserve"> 2019</w:t>
      </w:r>
      <w:r w:rsidR="002D30C0" w:rsidRPr="00167CB8">
        <w:rPr>
          <w:rFonts w:ascii="Symbol" w:eastAsia="Symbol" w:hAnsi="Symbol" w:cs="Symbol"/>
        </w:rPr>
        <w:sym w:font="Symbol" w:char="F02D"/>
      </w:r>
      <w:r w:rsidR="000C4B62" w:rsidRPr="00167CB8">
        <w:t xml:space="preserve">20 to </w:t>
      </w:r>
      <w:r w:rsidR="000C4B62" w:rsidRPr="00167CB8">
        <w:rPr>
          <w:rFonts w:eastAsia="Times New Roman"/>
          <w:color w:val="000000"/>
          <w:lang w:eastAsia="en-AU"/>
        </w:rPr>
        <w:t>2023</w:t>
      </w:r>
      <w:r w:rsidR="002D30C0" w:rsidRPr="00167CB8">
        <w:rPr>
          <w:rFonts w:ascii="Symbol" w:eastAsia="Symbol" w:hAnsi="Symbol" w:cs="Symbol"/>
          <w:color w:val="000000"/>
          <w:lang w:eastAsia="en-AU"/>
        </w:rPr>
        <w:sym w:font="Symbol" w:char="F02D"/>
      </w:r>
      <w:r w:rsidR="000C4B62" w:rsidRPr="00167CB8">
        <w:rPr>
          <w:rFonts w:eastAsia="Times New Roman"/>
          <w:color w:val="000000"/>
          <w:lang w:eastAsia="en-AU"/>
        </w:rPr>
        <w:t>24</w:t>
      </w:r>
      <w:r w:rsidRPr="00167CB8">
        <w:t>, various.</w:t>
      </w:r>
    </w:p>
    <w:p w14:paraId="7F717F19" w14:textId="3BC2F157" w:rsidR="00821381" w:rsidRPr="00167CB8" w:rsidRDefault="00072E44" w:rsidP="00E701F7">
      <w:pPr>
        <w:pStyle w:val="Heading5"/>
        <w:rPr>
          <w:rFonts w:asciiTheme="minorHAnsi" w:hAnsiTheme="minorHAnsi"/>
        </w:rPr>
      </w:pPr>
      <w:bookmarkStart w:id="532" w:name="_Toc187934206"/>
      <w:r w:rsidRPr="00167CB8">
        <w:rPr>
          <w:rFonts w:asciiTheme="minorHAnsi" w:hAnsiTheme="minorHAnsi"/>
        </w:rPr>
        <w:t>34.2.2</w:t>
      </w:r>
      <w:r w:rsidR="00821381" w:rsidRPr="00167CB8">
        <w:rPr>
          <w:rFonts w:asciiTheme="minorHAnsi" w:hAnsiTheme="minorHAnsi"/>
        </w:rPr>
        <w:t xml:space="preserve"> Qualitative </w:t>
      </w:r>
      <w:r w:rsidR="002D30C0" w:rsidRPr="00167CB8">
        <w:rPr>
          <w:rFonts w:asciiTheme="minorHAnsi" w:hAnsiTheme="minorHAnsi"/>
        </w:rPr>
        <w:t>e</w:t>
      </w:r>
      <w:r w:rsidR="00821381" w:rsidRPr="00167CB8">
        <w:rPr>
          <w:rFonts w:asciiTheme="minorHAnsi" w:hAnsiTheme="minorHAnsi"/>
        </w:rPr>
        <w:t>vidence</w:t>
      </w:r>
      <w:bookmarkEnd w:id="532"/>
    </w:p>
    <w:p w14:paraId="4025DC11" w14:textId="77777777" w:rsidR="00821381" w:rsidRPr="00167CB8" w:rsidRDefault="00821381" w:rsidP="006000ED">
      <w:pPr>
        <w:spacing w:before="240"/>
        <w:rPr>
          <w:rFonts w:cs="Calibri"/>
        </w:rPr>
      </w:pPr>
      <w:r w:rsidRPr="00167CB8">
        <w:rPr>
          <w:rFonts w:cs="Calibri"/>
        </w:rPr>
        <w:t xml:space="preserve">As previously noted, there have been several reports and inquiries into the matter of wage theft in Australia. </w:t>
      </w:r>
    </w:p>
    <w:p w14:paraId="07785E02" w14:textId="4653354C" w:rsidR="00821381" w:rsidRPr="00167CB8" w:rsidRDefault="00821381" w:rsidP="006000ED">
      <w:pPr>
        <w:spacing w:before="240"/>
        <w:rPr>
          <w:rFonts w:cs="Calibri"/>
        </w:rPr>
      </w:pPr>
      <w:r w:rsidRPr="00167CB8">
        <w:rPr>
          <w:rFonts w:cs="Calibri"/>
        </w:rPr>
        <w:t xml:space="preserve">In the March 2022 report by the SERC, the majority view of the </w:t>
      </w:r>
      <w:r w:rsidR="002D30C0" w:rsidRPr="00167CB8">
        <w:rPr>
          <w:rFonts w:cs="Calibri"/>
        </w:rPr>
        <w:t>c</w:t>
      </w:r>
      <w:r w:rsidRPr="00167CB8">
        <w:rPr>
          <w:rFonts w:cs="Calibri"/>
        </w:rPr>
        <w:t xml:space="preserve">ommittee was that wage theft was systemic and </w:t>
      </w:r>
      <w:r w:rsidR="002D30C0" w:rsidRPr="00167CB8">
        <w:rPr>
          <w:rFonts w:cs="Calibri"/>
        </w:rPr>
        <w:t>‘</w:t>
      </w:r>
      <w:r w:rsidRPr="00167CB8">
        <w:rPr>
          <w:rFonts w:cs="Calibri"/>
        </w:rPr>
        <w:t>often a deliberate decision of businesses that participate in a race to the bottom</w:t>
      </w:r>
      <w:r w:rsidR="002D30C0" w:rsidRPr="00167CB8">
        <w:rPr>
          <w:rFonts w:cs="Calibri"/>
        </w:rPr>
        <w:t>’</w:t>
      </w:r>
      <w:r w:rsidRPr="00167CB8">
        <w:rPr>
          <w:rFonts w:cs="Calibri"/>
        </w:rPr>
        <w:t>.</w:t>
      </w:r>
      <w:r w:rsidRPr="00167CB8">
        <w:rPr>
          <w:rStyle w:val="FootnoteReference"/>
          <w:rFonts w:cs="Calibri"/>
        </w:rPr>
        <w:footnoteReference w:id="998"/>
      </w:r>
      <w:r w:rsidRPr="00167CB8">
        <w:rPr>
          <w:rFonts w:cs="Calibri"/>
        </w:rPr>
        <w:t xml:space="preserve"> Among other things the </w:t>
      </w:r>
      <w:r w:rsidR="002D30C0" w:rsidRPr="00167CB8">
        <w:rPr>
          <w:rFonts w:cs="Calibri"/>
        </w:rPr>
        <w:t>c</w:t>
      </w:r>
      <w:r w:rsidRPr="00167CB8">
        <w:rPr>
          <w:rFonts w:cs="Calibri"/>
        </w:rPr>
        <w:t>ommittee recommended that:</w:t>
      </w:r>
      <w:r w:rsidR="002D30C0" w:rsidRPr="00167CB8">
        <w:rPr>
          <w:rStyle w:val="FootnoteReference"/>
          <w:rFonts w:cs="Calibri"/>
        </w:rPr>
        <w:footnoteReference w:id="999"/>
      </w:r>
    </w:p>
    <w:p w14:paraId="2FBB206F" w14:textId="32EA76AA" w:rsidR="00821381" w:rsidRPr="00FD6483" w:rsidRDefault="00821381" w:rsidP="00FD6483">
      <w:pPr>
        <w:pStyle w:val="Quote"/>
      </w:pPr>
      <w:r w:rsidRPr="00FD6483">
        <w:t>the Australian Government establish a small claims tribunal, ideally co-located with the Fair Work Commission, to create a simple, affordable, accessible, and efficient process for employees to pursue wage theft, including Superannuation Guarantee non-compliance.</w:t>
      </w:r>
    </w:p>
    <w:p w14:paraId="38D81485" w14:textId="36D2AACE" w:rsidR="00821381" w:rsidRPr="00167CB8" w:rsidRDefault="00821381" w:rsidP="006000ED">
      <w:pPr>
        <w:spacing w:before="240"/>
        <w:rPr>
          <w:rFonts w:cs="Calibri"/>
        </w:rPr>
      </w:pPr>
      <w:r w:rsidRPr="00167CB8">
        <w:rPr>
          <w:rFonts w:cs="Calibri"/>
        </w:rPr>
        <w:lastRenderedPageBreak/>
        <w:t xml:space="preserve">Since the amendment of the </w:t>
      </w:r>
      <w:r w:rsidR="007132B2" w:rsidRPr="00167CB8">
        <w:rPr>
          <w:rFonts w:cs="Calibri"/>
        </w:rPr>
        <w:t>Act</w:t>
      </w:r>
      <w:r w:rsidRPr="00167CB8">
        <w:rPr>
          <w:rFonts w:cs="Calibri"/>
        </w:rPr>
        <w:t>, the Grattan Institute (May 2023)</w:t>
      </w:r>
      <w:r w:rsidRPr="00167CB8">
        <w:rPr>
          <w:rStyle w:val="FootnoteReference"/>
          <w:rFonts w:cs="Calibri"/>
        </w:rPr>
        <w:footnoteReference w:id="1000"/>
      </w:r>
      <w:r w:rsidRPr="00167CB8">
        <w:rPr>
          <w:rFonts w:cs="Calibri"/>
        </w:rPr>
        <w:t xml:space="preserve"> and the Migrant Justice Institute (June 2024)</w:t>
      </w:r>
      <w:r w:rsidRPr="00167CB8">
        <w:rPr>
          <w:rStyle w:val="FootnoteReference"/>
          <w:rFonts w:cs="Calibri"/>
        </w:rPr>
        <w:footnoteReference w:id="1001"/>
      </w:r>
      <w:r w:rsidRPr="00167CB8">
        <w:rPr>
          <w:rFonts w:cs="Calibri"/>
        </w:rPr>
        <w:t xml:space="preserve"> have also released reports on </w:t>
      </w:r>
      <w:r w:rsidR="00503896" w:rsidRPr="00167CB8">
        <w:rPr>
          <w:rFonts w:cs="Calibri"/>
        </w:rPr>
        <w:t>exploitation of migrant workers</w:t>
      </w:r>
      <w:r w:rsidRPr="00167CB8">
        <w:rPr>
          <w:rFonts w:cs="Calibri"/>
        </w:rPr>
        <w:t>.</w:t>
      </w:r>
      <w:r w:rsidRPr="00167CB8">
        <w:rPr>
          <w:rStyle w:val="FootnoteReference"/>
          <w:rFonts w:cs="Calibri"/>
        </w:rPr>
        <w:footnoteReference w:id="1002"/>
      </w:r>
      <w:r w:rsidRPr="00167CB8">
        <w:rPr>
          <w:rFonts w:cs="Calibri"/>
        </w:rPr>
        <w:t xml:space="preserve"> The latter examines the effectiveness of the small claims process within the FCFCOA for migrant workers seeking to recover unpaid entitlements. They note th</w:t>
      </w:r>
      <w:r w:rsidR="00315529" w:rsidRPr="00167CB8">
        <w:rPr>
          <w:rFonts w:cs="Calibri"/>
        </w:rPr>
        <w:t>at</w:t>
      </w:r>
      <w:r w:rsidRPr="00167CB8">
        <w:rPr>
          <w:rFonts w:cs="Calibri"/>
        </w:rPr>
        <w:t xml:space="preserve"> 137 small claim applications were filed in 2022</w:t>
      </w:r>
      <w:r w:rsidR="002D30C0" w:rsidRPr="00167CB8">
        <w:rPr>
          <w:rFonts w:ascii="Symbol" w:eastAsia="Symbol" w:hAnsi="Symbol" w:cs="Symbol"/>
        </w:rPr>
        <w:sym w:font="Symbol" w:char="F02D"/>
      </w:r>
      <w:r w:rsidRPr="00167CB8">
        <w:rPr>
          <w:rFonts w:cs="Calibri"/>
        </w:rPr>
        <w:t xml:space="preserve">23 but argue that </w:t>
      </w:r>
      <w:r w:rsidR="002D30C0" w:rsidRPr="00167CB8">
        <w:rPr>
          <w:rFonts w:cs="Calibri"/>
        </w:rPr>
        <w:t>‘</w:t>
      </w:r>
      <w:r w:rsidRPr="00167CB8">
        <w:rPr>
          <w:rFonts w:cs="Calibri"/>
        </w:rPr>
        <w:t>[t]his number should be seen against the Grattan Institute’s estimate that between 490,000 and 1.26 million workers are paid below the national minimum wage in a year</w:t>
      </w:r>
      <w:r w:rsidR="002D30C0" w:rsidRPr="00167CB8">
        <w:rPr>
          <w:rFonts w:cs="Calibri"/>
        </w:rPr>
        <w:t>’.</w:t>
      </w:r>
      <w:r w:rsidRPr="00167CB8">
        <w:rPr>
          <w:rFonts w:cs="Calibri"/>
        </w:rPr>
        <w:t xml:space="preserve"> They also note that </w:t>
      </w:r>
      <w:r w:rsidR="002D30C0" w:rsidRPr="00167CB8">
        <w:rPr>
          <w:rFonts w:cs="Calibri"/>
        </w:rPr>
        <w:t>‘</w:t>
      </w:r>
      <w:r w:rsidRPr="00167CB8">
        <w:rPr>
          <w:rFonts w:cs="Calibri"/>
        </w:rPr>
        <w:t>it is not clear that wage claims are being systematically resolved via other legal forums</w:t>
      </w:r>
      <w:r w:rsidR="009C1B8E" w:rsidRPr="00167CB8">
        <w:rPr>
          <w:rFonts w:cs="Calibri"/>
        </w:rPr>
        <w:t xml:space="preserve"> or by the Fair Work Ombudsman</w:t>
      </w:r>
      <w:r w:rsidR="002D30C0" w:rsidRPr="00167CB8">
        <w:rPr>
          <w:rFonts w:cs="Calibri"/>
        </w:rPr>
        <w:t>’</w:t>
      </w:r>
      <w:r w:rsidRPr="00167CB8">
        <w:rPr>
          <w:rFonts w:cs="Calibri"/>
        </w:rPr>
        <w:t>.</w:t>
      </w:r>
      <w:r w:rsidRPr="00167CB8">
        <w:rPr>
          <w:rStyle w:val="FootnoteReference"/>
          <w:rFonts w:cs="Calibri"/>
        </w:rPr>
        <w:footnoteReference w:id="1003"/>
      </w:r>
      <w:r w:rsidRPr="00167CB8">
        <w:rPr>
          <w:rFonts w:cs="Calibri"/>
        </w:rPr>
        <w:t xml:space="preserve"> </w:t>
      </w:r>
    </w:p>
    <w:p w14:paraId="5498161F" w14:textId="4AEF84CA" w:rsidR="00821381" w:rsidRPr="00167CB8" w:rsidRDefault="00821381" w:rsidP="006000ED">
      <w:pPr>
        <w:rPr>
          <w:rFonts w:cs="Calibri"/>
        </w:rPr>
      </w:pPr>
      <w:r w:rsidRPr="00167CB8">
        <w:rPr>
          <w:rFonts w:cs="Calibri"/>
        </w:rPr>
        <w:t xml:space="preserve">Their report identifies significant barriers that prevent workers from utilising the small claims process. Among other things they recommend increased funding for community legal </w:t>
      </w:r>
      <w:r w:rsidR="00F628DB" w:rsidRPr="00167CB8">
        <w:rPr>
          <w:rFonts w:cs="Calibri"/>
        </w:rPr>
        <w:t>centres</w:t>
      </w:r>
      <w:r w:rsidRPr="00167CB8">
        <w:rPr>
          <w:rFonts w:cs="Calibri"/>
        </w:rPr>
        <w:t xml:space="preserve">, a duty lawyer scheme to support workers in court, a new dispute resolution process in the </w:t>
      </w:r>
      <w:r w:rsidR="002D30C0" w:rsidRPr="00167CB8">
        <w:rPr>
          <w:rFonts w:cs="Calibri"/>
        </w:rPr>
        <w:t>Fair Work Commission (</w:t>
      </w:r>
      <w:r w:rsidRPr="00167CB8">
        <w:rPr>
          <w:rFonts w:cs="Calibri"/>
        </w:rPr>
        <w:t>FWC</w:t>
      </w:r>
      <w:r w:rsidR="002D30C0" w:rsidRPr="00167CB8">
        <w:rPr>
          <w:rFonts w:cs="Calibri"/>
        </w:rPr>
        <w:t>)</w:t>
      </w:r>
      <w:r w:rsidRPr="00167CB8">
        <w:rPr>
          <w:rFonts w:cs="Calibri"/>
        </w:rPr>
        <w:t xml:space="preserve"> for wages and entitlements and a new Fair Work Court to streamline claims. Their recommendations echo the recommendations of the SERC, with both calling for a simpler, more informal body to deal with underpayments that utilises a lot of the FWC’s simpler, more affordable and more efficient processes. </w:t>
      </w:r>
    </w:p>
    <w:p w14:paraId="69957B00" w14:textId="08A26EF3" w:rsidR="00821381" w:rsidRPr="00167CB8" w:rsidRDefault="00821381" w:rsidP="006000ED">
      <w:pPr>
        <w:rPr>
          <w:rFonts w:cs="Calibri"/>
          <w:vertAlign w:val="superscript"/>
        </w:rPr>
      </w:pPr>
      <w:r w:rsidRPr="00167CB8">
        <w:rPr>
          <w:rFonts w:cs="Calibri"/>
        </w:rPr>
        <w:t xml:space="preserve">The concern about cost may be due </w:t>
      </w:r>
      <w:r w:rsidR="00563AC9" w:rsidRPr="00167CB8">
        <w:rPr>
          <w:rFonts w:cs="Calibri"/>
        </w:rPr>
        <w:t>in part</w:t>
      </w:r>
      <w:r w:rsidRPr="00167CB8">
        <w:rPr>
          <w:rFonts w:cs="Calibri"/>
        </w:rPr>
        <w:t xml:space="preserve"> to the filing fees being lower in the FWC. </w:t>
      </w:r>
      <w:r w:rsidR="00F0483C" w:rsidRPr="00167CB8">
        <w:rPr>
          <w:rFonts w:cs="Calibri"/>
        </w:rPr>
        <w:t>I</w:t>
      </w:r>
      <w:r w:rsidR="002008BC" w:rsidRPr="00167CB8">
        <w:rPr>
          <w:rFonts w:cs="Calibri"/>
        </w:rPr>
        <w:t>f an employee is represented, th</w:t>
      </w:r>
      <w:r w:rsidR="00F0483C" w:rsidRPr="00167CB8">
        <w:rPr>
          <w:rFonts w:cs="Calibri"/>
        </w:rPr>
        <w:t>e cost of representation will likely be a substantial cost</w:t>
      </w:r>
      <w:r w:rsidR="002D30C0" w:rsidRPr="00167CB8">
        <w:rPr>
          <w:rFonts w:cs="Calibri"/>
        </w:rPr>
        <w:t>;</w:t>
      </w:r>
      <w:r w:rsidR="00F0483C" w:rsidRPr="00167CB8">
        <w:rPr>
          <w:rFonts w:cs="Calibri"/>
        </w:rPr>
        <w:t xml:space="preserve"> however</w:t>
      </w:r>
      <w:r w:rsidR="002D30C0" w:rsidRPr="00167CB8">
        <w:rPr>
          <w:rFonts w:cs="Calibri"/>
        </w:rPr>
        <w:t>,</w:t>
      </w:r>
      <w:r w:rsidR="00F0483C" w:rsidRPr="00167CB8">
        <w:rPr>
          <w:rFonts w:cs="Calibri"/>
        </w:rPr>
        <w:t xml:space="preserve"> for self-represented employees the </w:t>
      </w:r>
      <w:r w:rsidR="00580FA5" w:rsidRPr="00167CB8">
        <w:rPr>
          <w:rFonts w:cs="Calibri"/>
        </w:rPr>
        <w:t xml:space="preserve">filing fees represent </w:t>
      </w:r>
      <w:r w:rsidR="004B4D33" w:rsidRPr="00167CB8">
        <w:rPr>
          <w:rFonts w:cs="Calibri"/>
        </w:rPr>
        <w:t>an initial cost barrier and disincentive</w:t>
      </w:r>
      <w:r w:rsidR="00546A92" w:rsidRPr="00167CB8">
        <w:rPr>
          <w:rFonts w:cs="Calibri"/>
        </w:rPr>
        <w:t xml:space="preserve"> to using the process</w:t>
      </w:r>
      <w:r w:rsidR="004B4D33" w:rsidRPr="00167CB8">
        <w:rPr>
          <w:rFonts w:cs="Calibri"/>
        </w:rPr>
        <w:t>.</w:t>
      </w:r>
      <w:r w:rsidRPr="00167CB8">
        <w:rPr>
          <w:rFonts w:cs="Calibri"/>
        </w:rPr>
        <w:t xml:space="preserve"> In</w:t>
      </w:r>
      <w:r w:rsidR="001A5D5F" w:rsidRPr="00167CB8">
        <w:rPr>
          <w:rFonts w:cs="Calibri"/>
        </w:rPr>
        <w:t xml:space="preserve"> the</w:t>
      </w:r>
      <w:r w:rsidRPr="00167CB8">
        <w:rPr>
          <w:rFonts w:cs="Calibri"/>
        </w:rPr>
        <w:t xml:space="preserve"> FWC it </w:t>
      </w:r>
      <w:r w:rsidR="0067160A" w:rsidRPr="00167CB8">
        <w:rPr>
          <w:rFonts w:cs="Calibri"/>
        </w:rPr>
        <w:t xml:space="preserve">currently </w:t>
      </w:r>
      <w:r w:rsidRPr="00167CB8">
        <w:rPr>
          <w:rFonts w:cs="Calibri"/>
        </w:rPr>
        <w:t>costs $87.20 to file an unfair dismissal application.</w:t>
      </w:r>
      <w:r w:rsidRPr="00167CB8">
        <w:rPr>
          <w:rStyle w:val="FootnoteReference"/>
          <w:rFonts w:cs="Calibri"/>
        </w:rPr>
        <w:footnoteReference w:id="1004"/>
      </w:r>
      <w:r w:rsidRPr="00167CB8">
        <w:rPr>
          <w:rFonts w:cs="Calibri"/>
        </w:rPr>
        <w:t xml:space="preserve"> This is less than half of the $295 </w:t>
      </w:r>
      <w:r w:rsidR="0067160A" w:rsidRPr="00167CB8">
        <w:rPr>
          <w:rFonts w:cs="Calibri"/>
        </w:rPr>
        <w:t>it currently costs to file</w:t>
      </w:r>
      <w:r w:rsidR="00471086" w:rsidRPr="00167CB8">
        <w:rPr>
          <w:rFonts w:cs="Calibri"/>
        </w:rPr>
        <w:t xml:space="preserve"> </w:t>
      </w:r>
      <w:r w:rsidRPr="00167CB8">
        <w:rPr>
          <w:rFonts w:cs="Calibri"/>
        </w:rPr>
        <w:t xml:space="preserve">a small claims application in </w:t>
      </w:r>
      <w:r w:rsidR="001A5D5F" w:rsidRPr="00167CB8">
        <w:rPr>
          <w:rFonts w:cs="Calibri"/>
        </w:rPr>
        <w:t>the</w:t>
      </w:r>
      <w:r w:rsidRPr="00167CB8">
        <w:rPr>
          <w:rFonts w:cs="Calibri"/>
        </w:rPr>
        <w:t xml:space="preserve"> FCFCOA</w:t>
      </w:r>
      <w:r w:rsidR="002D30C0" w:rsidRPr="00167CB8">
        <w:rPr>
          <w:rFonts w:cs="Calibri"/>
        </w:rPr>
        <w:t>,</w:t>
      </w:r>
      <w:r w:rsidRPr="00167CB8">
        <w:rPr>
          <w:rFonts w:cs="Calibri"/>
        </w:rPr>
        <w:t xml:space="preserve"> which increases to $470 for claims between $10,000 and $50,000 or to $545 for claims between $50,000 and $100,000.</w:t>
      </w:r>
      <w:r w:rsidRPr="00167CB8">
        <w:rPr>
          <w:rStyle w:val="FootnoteReference"/>
          <w:rFonts w:cs="Calibri"/>
        </w:rPr>
        <w:footnoteReference w:id="1005"/>
      </w:r>
      <w:r w:rsidRPr="00167CB8">
        <w:rPr>
          <w:rFonts w:cs="Calibri"/>
          <w:vertAlign w:val="superscript"/>
        </w:rPr>
        <w:t xml:space="preserve"> </w:t>
      </w:r>
      <w:r w:rsidRPr="00167CB8">
        <w:rPr>
          <w:rFonts w:cs="Calibri"/>
        </w:rPr>
        <w:t>However</w:t>
      </w:r>
      <w:r w:rsidR="00F825AF" w:rsidRPr="00167CB8">
        <w:rPr>
          <w:rFonts w:cs="Calibri"/>
        </w:rPr>
        <w:t>,</w:t>
      </w:r>
      <w:r w:rsidRPr="00167CB8">
        <w:rPr>
          <w:rFonts w:cs="Calibri"/>
        </w:rPr>
        <w:t xml:space="preserve"> both jurisdictions do allow for parties to apply to have their filing fees waived.</w:t>
      </w:r>
      <w:r w:rsidRPr="00167CB8">
        <w:rPr>
          <w:rStyle w:val="FootnoteReference"/>
          <w:rFonts w:cs="Calibri"/>
        </w:rPr>
        <w:footnoteReference w:id="1006"/>
      </w:r>
    </w:p>
    <w:p w14:paraId="1313F7EC" w14:textId="79140C53" w:rsidR="00E37926" w:rsidRPr="00167CB8" w:rsidRDefault="00E37926" w:rsidP="006000ED">
      <w:pPr>
        <w:rPr>
          <w:rFonts w:cs="Calibri"/>
        </w:rPr>
      </w:pPr>
      <w:r w:rsidRPr="00167CB8">
        <w:rPr>
          <w:rFonts w:cs="Calibri"/>
        </w:rPr>
        <w:t xml:space="preserve">As noted, the Department of Employment and Workplace Relations has recently released its </w:t>
      </w:r>
      <w:r w:rsidRPr="00167CB8">
        <w:rPr>
          <w:rFonts w:cs="Calibri"/>
          <w:i/>
          <w:iCs/>
        </w:rPr>
        <w:t>Review of the Fair Work Act Small Claims Procedure</w:t>
      </w:r>
      <w:r w:rsidR="008857E7" w:rsidRPr="00167CB8">
        <w:rPr>
          <w:rFonts w:cs="Calibri"/>
        </w:rPr>
        <w:t>.</w:t>
      </w:r>
      <w:r w:rsidR="008857E7" w:rsidRPr="00167CB8">
        <w:rPr>
          <w:rStyle w:val="FootnoteReference"/>
          <w:rFonts w:cs="Calibri"/>
        </w:rPr>
        <w:footnoteReference w:id="1007"/>
      </w:r>
      <w:r w:rsidRPr="00167CB8">
        <w:rPr>
          <w:rFonts w:cs="Calibri"/>
        </w:rPr>
        <w:t xml:space="preserve"> If any issues are identified during further consultation, the Review Panel may further consider its findings and recommendations in the Final Report.</w:t>
      </w:r>
    </w:p>
    <w:p w14:paraId="62426359" w14:textId="441E457A" w:rsidR="00821381" w:rsidRPr="00167CB8" w:rsidRDefault="00072E44" w:rsidP="00E701F7">
      <w:pPr>
        <w:pStyle w:val="Heading5"/>
        <w:rPr>
          <w:rFonts w:asciiTheme="minorHAnsi" w:hAnsiTheme="minorHAnsi"/>
        </w:rPr>
      </w:pPr>
      <w:bookmarkStart w:id="533" w:name="_Toc187934207"/>
      <w:r w:rsidRPr="00167CB8">
        <w:rPr>
          <w:rFonts w:asciiTheme="minorHAnsi" w:hAnsiTheme="minorHAnsi"/>
        </w:rPr>
        <w:t>34.2.3</w:t>
      </w:r>
      <w:r w:rsidR="00821381" w:rsidRPr="00167CB8">
        <w:rPr>
          <w:rFonts w:asciiTheme="minorHAnsi" w:hAnsiTheme="minorHAnsi"/>
        </w:rPr>
        <w:t xml:space="preserve"> Stakeholder views</w:t>
      </w:r>
      <w:bookmarkEnd w:id="533"/>
    </w:p>
    <w:p w14:paraId="27EA376F" w14:textId="17AADB89" w:rsidR="00821381" w:rsidRPr="00167CB8" w:rsidRDefault="00821381" w:rsidP="006000ED">
      <w:pPr>
        <w:rPr>
          <w:rFonts w:cs="Calibri"/>
        </w:rPr>
      </w:pPr>
      <w:r w:rsidRPr="00167CB8">
        <w:rPr>
          <w:rFonts w:cs="Calibri"/>
        </w:rPr>
        <w:t xml:space="preserve">In submissions to the review, many stakeholders </w:t>
      </w:r>
      <w:r w:rsidR="00851745" w:rsidRPr="00167CB8">
        <w:rPr>
          <w:rFonts w:cs="Calibri"/>
        </w:rPr>
        <w:t>(</w:t>
      </w:r>
      <w:r w:rsidR="002D30C0" w:rsidRPr="00167CB8">
        <w:rPr>
          <w:rFonts w:cs="Calibri"/>
        </w:rPr>
        <w:t>the Australian Council of Trade Unions (ACTU)</w:t>
      </w:r>
      <w:r w:rsidR="00851745" w:rsidRPr="00167CB8">
        <w:rPr>
          <w:rFonts w:cs="Calibri"/>
        </w:rPr>
        <w:t>, United Workers Union</w:t>
      </w:r>
      <w:r w:rsidR="002D30C0" w:rsidRPr="00167CB8">
        <w:rPr>
          <w:rFonts w:cs="Calibri"/>
        </w:rPr>
        <w:t xml:space="preserve"> (UWU)</w:t>
      </w:r>
      <w:r w:rsidR="00851745" w:rsidRPr="00167CB8">
        <w:rPr>
          <w:rFonts w:cs="Calibri"/>
        </w:rPr>
        <w:t xml:space="preserve">, </w:t>
      </w:r>
      <w:r w:rsidR="002D30C0" w:rsidRPr="00167CB8">
        <w:rPr>
          <w:rFonts w:cs="Calibri"/>
        </w:rPr>
        <w:t>the Council of Small Business Organisations Australia (COSBOA)</w:t>
      </w:r>
      <w:r w:rsidR="00851745" w:rsidRPr="00167CB8">
        <w:rPr>
          <w:rFonts w:cs="Calibri"/>
        </w:rPr>
        <w:t>, Employment Rights Legal Service, Master Electricians Australia)</w:t>
      </w:r>
      <w:r w:rsidRPr="00167CB8">
        <w:rPr>
          <w:rFonts w:cs="Calibri"/>
        </w:rPr>
        <w:t xml:space="preserve"> gave positive feedback about the increased accessibility to small claims procedures for workers and many </w:t>
      </w:r>
      <w:r w:rsidRPr="00167CB8">
        <w:rPr>
          <w:rFonts w:cs="Calibri"/>
        </w:rPr>
        <w:lastRenderedPageBreak/>
        <w:t>noted that the changes have not yet been used enough to definitively evaluate whether the amendments are working as intended or not.</w:t>
      </w:r>
      <w:r w:rsidR="00933B55" w:rsidRPr="00167CB8">
        <w:rPr>
          <w:rFonts w:cs="Calibri"/>
        </w:rPr>
        <w:t xml:space="preserve"> </w:t>
      </w:r>
      <w:r w:rsidRPr="00167CB8">
        <w:rPr>
          <w:rFonts w:cs="Calibri"/>
        </w:rPr>
        <w:t>The ACTU submitted that:</w:t>
      </w:r>
      <w:r w:rsidR="002D30C0" w:rsidRPr="00167CB8">
        <w:rPr>
          <w:rFonts w:cs="Calibri"/>
          <w:vertAlign w:val="superscript"/>
        </w:rPr>
        <w:footnoteReference w:id="1008"/>
      </w:r>
    </w:p>
    <w:p w14:paraId="5F5D5897" w14:textId="181AC2A0" w:rsidR="00821381" w:rsidRPr="00FD6483" w:rsidRDefault="00821381" w:rsidP="00FD6483">
      <w:pPr>
        <w:pStyle w:val="Quote"/>
      </w:pPr>
      <w:r w:rsidRPr="00FD6483">
        <w:t>Giving those workers access to the cheaper and less formal avenue of small claims processes makes justice more accessible for them and reduces the burden on the courts. Indeed, the changes are already having this effect.</w:t>
      </w:r>
    </w:p>
    <w:p w14:paraId="1B1C8CB2" w14:textId="3CFFDD41" w:rsidR="00821381" w:rsidRPr="00167CB8" w:rsidRDefault="00821381" w:rsidP="006000ED">
      <w:pPr>
        <w:rPr>
          <w:rFonts w:cs="Calibri"/>
        </w:rPr>
      </w:pPr>
      <w:r w:rsidRPr="00167CB8">
        <w:rPr>
          <w:rFonts w:cs="Calibri"/>
        </w:rPr>
        <w:t>The ACTU also note</w:t>
      </w:r>
      <w:r w:rsidR="002D30C0" w:rsidRPr="00167CB8">
        <w:rPr>
          <w:rFonts w:cs="Calibri"/>
        </w:rPr>
        <w:t>d</w:t>
      </w:r>
      <w:r w:rsidRPr="00167CB8">
        <w:rPr>
          <w:rFonts w:cs="Calibri"/>
        </w:rPr>
        <w:t xml:space="preserve"> that, because of changes to the monetary caps, unions are now able to take cases for larger amounts.</w:t>
      </w:r>
      <w:r w:rsidRPr="00167CB8">
        <w:rPr>
          <w:rStyle w:val="FootnoteReference"/>
          <w:rFonts w:cs="Calibri"/>
        </w:rPr>
        <w:footnoteReference w:id="1009"/>
      </w:r>
    </w:p>
    <w:p w14:paraId="314E5B76" w14:textId="3ED7EA91" w:rsidR="00821381" w:rsidRPr="00167CB8" w:rsidRDefault="00821381" w:rsidP="006000ED">
      <w:pPr>
        <w:rPr>
          <w:rFonts w:cs="Calibri"/>
        </w:rPr>
      </w:pPr>
      <w:r w:rsidRPr="00167CB8">
        <w:rPr>
          <w:rFonts w:cs="Calibri"/>
        </w:rPr>
        <w:t xml:space="preserve">Some employer groups (e.g. Ai Group) questioned the appropriateness of the </w:t>
      </w:r>
      <w:r w:rsidR="00591473" w:rsidRPr="00167CB8">
        <w:rPr>
          <w:rFonts w:cs="Calibri"/>
        </w:rPr>
        <w:t>Secure Jobs, Better Pay</w:t>
      </w:r>
      <w:r w:rsidRPr="00167CB8" w:rsidDel="00591473">
        <w:rPr>
          <w:rFonts w:cs="Calibri"/>
        </w:rPr>
        <w:t xml:space="preserve"> </w:t>
      </w:r>
      <w:r w:rsidR="00591473" w:rsidRPr="00167CB8">
        <w:rPr>
          <w:rFonts w:cs="Calibri"/>
        </w:rPr>
        <w:t>amendments</w:t>
      </w:r>
      <w:r w:rsidRPr="00167CB8">
        <w:rPr>
          <w:rFonts w:cs="Calibri"/>
        </w:rPr>
        <w:t xml:space="preserve"> and raised concerns that employers may be pulled into disputes for ‘substantial sums’ ($100,000) without rules of evidence and procedure. Both the Ai Group</w:t>
      </w:r>
      <w:r w:rsidR="00474987" w:rsidRPr="00167CB8">
        <w:rPr>
          <w:rFonts w:cs="Calibri"/>
        </w:rPr>
        <w:t>,</w:t>
      </w:r>
      <w:r w:rsidRPr="00167CB8">
        <w:rPr>
          <w:rFonts w:cs="Calibri"/>
        </w:rPr>
        <w:t xml:space="preserve"> </w:t>
      </w:r>
      <w:r w:rsidR="002D30C0" w:rsidRPr="00167CB8">
        <w:rPr>
          <w:rFonts w:cs="Calibri"/>
        </w:rPr>
        <w:t>Australian Chamber of Commerce and Industry (</w:t>
      </w:r>
      <w:r w:rsidRPr="00167CB8">
        <w:rPr>
          <w:rFonts w:cs="Calibri"/>
        </w:rPr>
        <w:t>ACCI</w:t>
      </w:r>
      <w:r w:rsidR="002D30C0" w:rsidRPr="00167CB8">
        <w:rPr>
          <w:rFonts w:cs="Calibri"/>
        </w:rPr>
        <w:t>)</w:t>
      </w:r>
      <w:r w:rsidRPr="00167CB8">
        <w:rPr>
          <w:rFonts w:cs="Calibri"/>
        </w:rPr>
        <w:t xml:space="preserve"> </w:t>
      </w:r>
      <w:r w:rsidR="00474987" w:rsidRPr="00167CB8">
        <w:rPr>
          <w:rFonts w:cs="Calibri"/>
        </w:rPr>
        <w:t xml:space="preserve">and COSBOA </w:t>
      </w:r>
      <w:r w:rsidRPr="00167CB8">
        <w:rPr>
          <w:rFonts w:cs="Calibri"/>
        </w:rPr>
        <w:t xml:space="preserve">submitted that $100,000 was not a small claim and the amount should be lowered. The Ai Group suggested an amount </w:t>
      </w:r>
      <w:r w:rsidR="00A16302" w:rsidRPr="00167CB8">
        <w:rPr>
          <w:rFonts w:cs="Calibri"/>
        </w:rPr>
        <w:t>between $40,000 and</w:t>
      </w:r>
      <w:r w:rsidRPr="00167CB8">
        <w:rPr>
          <w:rFonts w:cs="Calibri"/>
        </w:rPr>
        <w:t xml:space="preserve"> around $60,000</w:t>
      </w:r>
      <w:r w:rsidRPr="00167CB8">
        <w:rPr>
          <w:rStyle w:val="FootnoteReference"/>
          <w:rFonts w:cs="Calibri"/>
        </w:rPr>
        <w:footnoteReference w:id="1010"/>
      </w:r>
      <w:r w:rsidRPr="00167CB8">
        <w:rPr>
          <w:rFonts w:cs="Calibri"/>
        </w:rPr>
        <w:t xml:space="preserve"> </w:t>
      </w:r>
      <w:r w:rsidR="002D30C0" w:rsidRPr="00167CB8">
        <w:rPr>
          <w:rFonts w:cs="Calibri"/>
        </w:rPr>
        <w:t xml:space="preserve">and </w:t>
      </w:r>
      <w:r w:rsidRPr="00167CB8">
        <w:rPr>
          <w:rFonts w:cs="Calibri"/>
        </w:rPr>
        <w:t>ACCI suggested $50,000 with annual indexing,</w:t>
      </w:r>
      <w:r w:rsidRPr="00167CB8">
        <w:rPr>
          <w:rStyle w:val="FootnoteReference"/>
          <w:rFonts w:cs="Calibri"/>
        </w:rPr>
        <w:footnoteReference w:id="1011"/>
      </w:r>
      <w:r w:rsidRPr="00167CB8">
        <w:rPr>
          <w:rFonts w:cs="Calibri"/>
        </w:rPr>
        <w:t xml:space="preserve"> while COSBOA recommended lowering it to $30,000 and indexing it annually.</w:t>
      </w:r>
      <w:r w:rsidRPr="00167CB8">
        <w:rPr>
          <w:rStyle w:val="FootnoteReference"/>
          <w:rFonts w:cs="Calibri"/>
        </w:rPr>
        <w:footnoteReference w:id="1012"/>
      </w:r>
      <w:r w:rsidRPr="00167CB8">
        <w:rPr>
          <w:rFonts w:cs="Calibri"/>
        </w:rPr>
        <w:t xml:space="preserve"> </w:t>
      </w:r>
    </w:p>
    <w:p w14:paraId="26178CB2" w14:textId="7C4EA25A" w:rsidR="00821381" w:rsidRPr="00167CB8" w:rsidRDefault="00821381" w:rsidP="006000ED">
      <w:pPr>
        <w:rPr>
          <w:rFonts w:cs="Calibri"/>
        </w:rPr>
      </w:pPr>
      <w:r w:rsidRPr="00167CB8">
        <w:rPr>
          <w:rFonts w:cs="Calibri"/>
        </w:rPr>
        <w:t>Other employer groups (e.g. Master Electricians Australia) welcomed the changes ‘recognising its potential to provide greater assistance with judicial matters</w:t>
      </w:r>
      <w:r w:rsidR="002D30C0" w:rsidRPr="00167CB8">
        <w:rPr>
          <w:rFonts w:cs="Calibri"/>
        </w:rPr>
        <w:t>’</w:t>
      </w:r>
      <w:r w:rsidRPr="00167CB8">
        <w:rPr>
          <w:rFonts w:cs="Calibri"/>
        </w:rPr>
        <w:t>.</w:t>
      </w:r>
      <w:r w:rsidRPr="00167CB8">
        <w:rPr>
          <w:rStyle w:val="FootnoteReference"/>
          <w:rFonts w:cs="Calibri"/>
        </w:rPr>
        <w:footnoteReference w:id="1013"/>
      </w:r>
    </w:p>
    <w:p w14:paraId="707D3F6F" w14:textId="5E4579BE" w:rsidR="00821381" w:rsidRPr="00167CB8" w:rsidRDefault="00821381" w:rsidP="006000ED">
      <w:pPr>
        <w:spacing w:after="120"/>
        <w:rPr>
          <w:rFonts w:cs="Calibri"/>
        </w:rPr>
      </w:pPr>
      <w:r w:rsidRPr="00167CB8">
        <w:rPr>
          <w:rFonts w:cs="Calibri"/>
        </w:rPr>
        <w:t>Unions welcomed the amendments. The UWU submitted that the increased threshold would enable more workers to access the small claims jurisdiction.</w:t>
      </w:r>
      <w:r w:rsidR="001167B3" w:rsidRPr="00167CB8">
        <w:rPr>
          <w:rStyle w:val="FootnoteReference"/>
          <w:rFonts w:cs="Calibri"/>
        </w:rPr>
        <w:footnoteReference w:id="1014"/>
      </w:r>
      <w:r w:rsidRPr="00167CB8">
        <w:rPr>
          <w:rFonts w:cs="Calibri"/>
        </w:rPr>
        <w:t xml:space="preserve"> Both the UWU and ACTU called for an amendment to the </w:t>
      </w:r>
      <w:r w:rsidR="007132B2" w:rsidRPr="00167CB8">
        <w:rPr>
          <w:rFonts w:cs="Calibri"/>
        </w:rPr>
        <w:t>Act</w:t>
      </w:r>
      <w:r w:rsidRPr="00167CB8">
        <w:rPr>
          <w:rFonts w:cs="Calibri"/>
        </w:rPr>
        <w:t xml:space="preserve"> to clarify that parties may make claims on enterprise agreements that have since been replaced by a new enterprise agreement.  </w:t>
      </w:r>
    </w:p>
    <w:p w14:paraId="0FF77D10" w14:textId="2CAA8921" w:rsidR="00821381" w:rsidRPr="00167CB8" w:rsidRDefault="00821381" w:rsidP="006000ED">
      <w:pPr>
        <w:spacing w:after="120"/>
        <w:rPr>
          <w:rFonts w:cs="Calibri"/>
        </w:rPr>
      </w:pPr>
      <w:r w:rsidRPr="00167CB8">
        <w:rPr>
          <w:rFonts w:cs="Calibri"/>
        </w:rPr>
        <w:t xml:space="preserve">The Employment Rights Legal Service welcomed the amendments to the </w:t>
      </w:r>
      <w:r w:rsidR="007132B2" w:rsidRPr="00167CB8">
        <w:rPr>
          <w:rFonts w:cs="Calibri"/>
        </w:rPr>
        <w:t>Act</w:t>
      </w:r>
      <w:r w:rsidRPr="00167CB8">
        <w:rPr>
          <w:rFonts w:cs="Calibri"/>
        </w:rPr>
        <w:t xml:space="preserve"> but submitted that the reforms do not go far enough:</w:t>
      </w:r>
      <w:r w:rsidR="002D30C0" w:rsidRPr="00167CB8">
        <w:rPr>
          <w:rStyle w:val="FootnoteReference"/>
          <w:rFonts w:cs="Calibri"/>
        </w:rPr>
        <w:footnoteReference w:id="1015"/>
      </w:r>
      <w:r w:rsidRPr="00167CB8">
        <w:rPr>
          <w:rFonts w:cs="Calibri"/>
        </w:rPr>
        <w:t xml:space="preserve"> </w:t>
      </w:r>
    </w:p>
    <w:p w14:paraId="24858C7B" w14:textId="17C1F278" w:rsidR="00821381" w:rsidRPr="00FD6483" w:rsidRDefault="00821381" w:rsidP="00FD6483">
      <w:pPr>
        <w:pStyle w:val="Quote"/>
      </w:pPr>
      <w:r w:rsidRPr="00FD6483">
        <w:t>we do not believe the reforms go far enough to address the problems facing workers experiencing disadvantage who need to access the court process to recover unpaid wages and entitlements. Even with these changes, the small claims process is too complicated for the majority of the workforce to navigate without assistance, especially for migrant workers who have English as a second language and workers on temporary visas.</w:t>
      </w:r>
    </w:p>
    <w:p w14:paraId="326B10F8" w14:textId="03A80BD8" w:rsidR="00821381" w:rsidRPr="00167CB8" w:rsidRDefault="002D30C0" w:rsidP="006000ED">
      <w:pPr>
        <w:spacing w:after="120"/>
        <w:rPr>
          <w:rFonts w:cs="Calibri"/>
        </w:rPr>
      </w:pPr>
      <w:r w:rsidRPr="00167CB8">
        <w:rPr>
          <w:rFonts w:cs="Calibri"/>
        </w:rPr>
        <w:t xml:space="preserve">It </w:t>
      </w:r>
      <w:r w:rsidR="00821381" w:rsidRPr="00167CB8">
        <w:rPr>
          <w:rFonts w:cs="Calibri"/>
        </w:rPr>
        <w:t>recommend</w:t>
      </w:r>
      <w:r w:rsidRPr="00167CB8">
        <w:rPr>
          <w:rFonts w:cs="Calibri"/>
        </w:rPr>
        <w:t>ed</w:t>
      </w:r>
      <w:r w:rsidR="00821381" w:rsidRPr="00167CB8">
        <w:rPr>
          <w:rFonts w:cs="Calibri"/>
        </w:rPr>
        <w:t xml:space="preserve">, among other things, that </w:t>
      </w:r>
      <w:r w:rsidRPr="00167CB8">
        <w:rPr>
          <w:rFonts w:cs="Calibri"/>
        </w:rPr>
        <w:t>‘</w:t>
      </w:r>
      <w:r w:rsidR="00821381" w:rsidRPr="00167CB8">
        <w:rPr>
          <w:rFonts w:cs="Calibri"/>
        </w:rPr>
        <w:t>The FWC’s jurisdiction should be expanded in order to handle underpayment and wage theft matters</w:t>
      </w:r>
      <w:r w:rsidR="00FD6483">
        <w:rPr>
          <w:rFonts w:cs="Calibri"/>
        </w:rPr>
        <w:t>.</w:t>
      </w:r>
      <w:r w:rsidRPr="00167CB8">
        <w:rPr>
          <w:rFonts w:cs="Calibri"/>
        </w:rPr>
        <w:t>’</w:t>
      </w:r>
      <w:r w:rsidR="00821381" w:rsidRPr="00167CB8">
        <w:rPr>
          <w:rStyle w:val="FootnoteReference"/>
          <w:rFonts w:cs="Calibri"/>
        </w:rPr>
        <w:footnoteReference w:id="1016"/>
      </w:r>
      <w:r w:rsidR="00821381" w:rsidRPr="00167CB8">
        <w:rPr>
          <w:rFonts w:cs="Calibri"/>
        </w:rPr>
        <w:t xml:space="preserve"> </w:t>
      </w:r>
    </w:p>
    <w:p w14:paraId="5076BC1B" w14:textId="6A2DBB32" w:rsidR="00821381" w:rsidRPr="00167CB8" w:rsidRDefault="00821381" w:rsidP="006000ED">
      <w:pPr>
        <w:spacing w:after="120"/>
        <w:rPr>
          <w:rFonts w:cs="Calibri"/>
        </w:rPr>
      </w:pPr>
      <w:r w:rsidRPr="00167CB8">
        <w:rPr>
          <w:rFonts w:cs="Calibri"/>
        </w:rPr>
        <w:lastRenderedPageBreak/>
        <w:t>The Law Council of Australia also welcomed the amendments</w:t>
      </w:r>
      <w:r w:rsidR="002D30C0" w:rsidRPr="00167CB8">
        <w:rPr>
          <w:rFonts w:cs="Calibri"/>
        </w:rPr>
        <w:t>,</w:t>
      </w:r>
      <w:r w:rsidRPr="00167CB8">
        <w:rPr>
          <w:rFonts w:cs="Calibri"/>
        </w:rPr>
        <w:t xml:space="preserve"> particularly as ‘it introduced for the first time a right to costs, albeit very limited’.</w:t>
      </w:r>
      <w:r w:rsidRPr="00167CB8">
        <w:rPr>
          <w:rStyle w:val="FootnoteReference"/>
          <w:rFonts w:cs="Calibri"/>
        </w:rPr>
        <w:footnoteReference w:id="1017"/>
      </w:r>
      <w:r w:rsidRPr="00167CB8">
        <w:rPr>
          <w:rFonts w:cs="Calibri"/>
        </w:rPr>
        <w:t xml:space="preserve"> However, </w:t>
      </w:r>
      <w:r w:rsidR="002D30C0" w:rsidRPr="00167CB8">
        <w:rPr>
          <w:rFonts w:cs="Calibri"/>
        </w:rPr>
        <w:t xml:space="preserve">it </w:t>
      </w:r>
      <w:r w:rsidRPr="00167CB8">
        <w:rPr>
          <w:rFonts w:cs="Calibri"/>
        </w:rPr>
        <w:t>assert</w:t>
      </w:r>
      <w:r w:rsidR="002D30C0" w:rsidRPr="00167CB8">
        <w:rPr>
          <w:rFonts w:cs="Calibri"/>
        </w:rPr>
        <w:t>ed</w:t>
      </w:r>
      <w:r w:rsidRPr="00167CB8">
        <w:rPr>
          <w:rFonts w:cs="Calibri"/>
        </w:rPr>
        <w:t xml:space="preserve"> that the small claims procedure remains underutilised and they recommend reforms that would result in ‘penalties issued against an employer, with the ability to seek to have those amounts paid to themselves</w:t>
      </w:r>
      <w:r w:rsidR="002D30C0" w:rsidRPr="00167CB8">
        <w:rPr>
          <w:rFonts w:cs="Calibri"/>
        </w:rPr>
        <w:t>’</w:t>
      </w:r>
      <w:r w:rsidRPr="00167CB8">
        <w:rPr>
          <w:rFonts w:cs="Calibri"/>
        </w:rPr>
        <w:t>.</w:t>
      </w:r>
      <w:r w:rsidRPr="00167CB8">
        <w:rPr>
          <w:rStyle w:val="FootnoteReference"/>
          <w:rFonts w:cs="Calibri"/>
        </w:rPr>
        <w:footnoteReference w:id="1018"/>
      </w:r>
    </w:p>
    <w:p w14:paraId="761B329E" w14:textId="77736AAA" w:rsidR="00821381" w:rsidRPr="00167CB8" w:rsidRDefault="00072E44" w:rsidP="00E701F7">
      <w:pPr>
        <w:pStyle w:val="Heading4"/>
        <w:rPr>
          <w:rFonts w:asciiTheme="minorHAnsi" w:hAnsiTheme="minorHAnsi"/>
        </w:rPr>
      </w:pPr>
      <w:bookmarkStart w:id="534" w:name="_Toc187934208"/>
      <w:bookmarkStart w:id="535" w:name="_Toc188278038"/>
      <w:bookmarkStart w:id="536" w:name="_Toc189260325"/>
      <w:bookmarkStart w:id="537" w:name="_Toc189393641"/>
      <w:r w:rsidRPr="00167CB8">
        <w:rPr>
          <w:rFonts w:asciiTheme="minorHAnsi" w:hAnsiTheme="minorHAnsi"/>
        </w:rPr>
        <w:t>34.3</w:t>
      </w:r>
      <w:r w:rsidR="00821381" w:rsidRPr="00167CB8">
        <w:rPr>
          <w:rFonts w:asciiTheme="minorHAnsi" w:hAnsiTheme="minorHAnsi"/>
        </w:rPr>
        <w:t xml:space="preserve"> Findings and </w:t>
      </w:r>
      <w:r w:rsidR="002D30C0" w:rsidRPr="00167CB8">
        <w:rPr>
          <w:rFonts w:asciiTheme="minorHAnsi" w:hAnsiTheme="minorHAnsi"/>
        </w:rPr>
        <w:t>r</w:t>
      </w:r>
      <w:r w:rsidR="00821381" w:rsidRPr="00167CB8">
        <w:rPr>
          <w:rFonts w:asciiTheme="minorHAnsi" w:hAnsiTheme="minorHAnsi"/>
        </w:rPr>
        <w:t>ecommendations</w:t>
      </w:r>
      <w:bookmarkEnd w:id="534"/>
      <w:bookmarkEnd w:id="535"/>
      <w:bookmarkEnd w:id="536"/>
      <w:bookmarkEnd w:id="537"/>
    </w:p>
    <w:p w14:paraId="0C71DD4C" w14:textId="77777777" w:rsidR="00821381" w:rsidRPr="00167CB8" w:rsidRDefault="00821381" w:rsidP="006000ED">
      <w:pPr>
        <w:spacing w:after="120"/>
        <w:rPr>
          <w:rFonts w:cs="Calibri"/>
        </w:rPr>
      </w:pPr>
      <w:r w:rsidRPr="00167CB8">
        <w:rPr>
          <w:rFonts w:cs="Calibri"/>
        </w:rPr>
        <w:t>The amendments concerning small claims took effect on 1 July 2023. While the short timeframe since their implementation limits comprehensive evaluation, data limitations are also a problem. Despite this, several stakeholders have expressed their satisfaction with the amendments and view that the amendments are working as intended. The Panel is inclined to agree.</w:t>
      </w:r>
    </w:p>
    <w:p w14:paraId="4A0967A4" w14:textId="5AF7B478" w:rsidR="00967470" w:rsidRPr="00167CB8" w:rsidRDefault="00967470" w:rsidP="00E701F7">
      <w:r w:rsidRPr="00167CB8">
        <w:t xml:space="preserve">Consistent with the findings of the Department of Employment and Workplace Relations’ </w:t>
      </w:r>
      <w:r w:rsidRPr="00167CB8">
        <w:rPr>
          <w:i/>
          <w:iCs/>
        </w:rPr>
        <w:t>Review of the Fair Work Act Small Claims Procedure</w:t>
      </w:r>
      <w:r w:rsidRPr="00167CB8">
        <w:t>, the Review Panel acknowledges the need for more data about the impacts of the small claims framework in proceedings and on employer behaviour, as well as the need to support employees to access legal assistance in small claims matters.</w:t>
      </w:r>
    </w:p>
    <w:p w14:paraId="72084A43" w14:textId="77777777" w:rsidR="00967470" w:rsidRPr="00167CB8" w:rsidRDefault="00967470" w:rsidP="00E701F7">
      <w:r w:rsidRPr="00167CB8">
        <w:t>In particular, the Review Panel notes the lack of clear data around the use of small claims procedures, particularly in state and territory courts. Collecting and monitoring more data about their use is important to understand the impacts of these amendments and the potential benefits of further reform. This data should also be considered as part of broader evidence about workplace entitlements not being met (e.g. the proportion and characteristics of workers who continue to be underpaid) and the extent to which different mechanisms for redress are being used (including small claims procedures).</w:t>
      </w:r>
    </w:p>
    <w:p w14:paraId="3BC71ABE" w14:textId="0FFB6380" w:rsidR="00967470" w:rsidRPr="00167CB8" w:rsidRDefault="00967470" w:rsidP="00E701F7">
      <w:r w:rsidRPr="00167CB8">
        <w:t>The Review Panel also notes reports (SERC and MWTF) before the amendments, more recent research (e.g. by the Migrant Justice Institute and the Grattan Institute)</w:t>
      </w:r>
      <w:r w:rsidR="000E6C96" w:rsidRPr="00167CB8">
        <w:rPr>
          <w:rStyle w:val="FootnoteReference"/>
        </w:rPr>
        <w:footnoteReference w:id="1019"/>
      </w:r>
      <w:r w:rsidR="000E6C96" w:rsidRPr="00167CB8">
        <w:t xml:space="preserve"> </w:t>
      </w:r>
      <w:r w:rsidRPr="00167CB8">
        <w:t>and stakeholder submissions (e.g. Employment Rights Legal Service) highlighting the complexity of the small claims process. Given this, individuals continue to need support to access the process (such as through community legal education or duty lawyer services). While some of the financial barriers and disincentives have been removed, broader procedural and institutional reform may still be required. While the small claims process is simpler than other legal processes, it is also more formal than mediation and conciliation procedures such as those used by the FWC.</w:t>
      </w:r>
    </w:p>
    <w:p w14:paraId="2376A0EF" w14:textId="77777777" w:rsidR="00C9275D" w:rsidRPr="00167CB8" w:rsidRDefault="00C9275D" w:rsidP="00C9275D">
      <w:r w:rsidRPr="00167CB8">
        <w:t>Given its recent release, the Review Panel reiterates the Review of the Fair Work Act Small Claims Procedure’s recommendations, particularly in relation to the need for further data, support for employees to access legal assistance and potential institutional reform.</w:t>
      </w:r>
    </w:p>
    <w:p w14:paraId="1908C233" w14:textId="77777777" w:rsidR="002D47A6" w:rsidRPr="00167CB8" w:rsidRDefault="002D47A6" w:rsidP="002D47A6">
      <w:pPr>
        <w:rPr>
          <w:b/>
          <w:bCs/>
        </w:rPr>
      </w:pPr>
      <w:r w:rsidRPr="00167CB8">
        <w:rPr>
          <w:b/>
          <w:bCs/>
        </w:rPr>
        <w:t>Draft Recommendation 17: Consistent with recommendations 9, 10 and 11 of the Department of Employment and Workplace Relations’ Review of the Fair Work Act Small Claims Procedure:</w:t>
      </w:r>
    </w:p>
    <w:p w14:paraId="057C15B4" w14:textId="77777777" w:rsidR="002D47A6" w:rsidRPr="00167CB8" w:rsidRDefault="002D47A6" w:rsidP="00567FCA">
      <w:pPr>
        <w:pStyle w:val="ListParagraph"/>
        <w:numPr>
          <w:ilvl w:val="0"/>
          <w:numId w:val="23"/>
        </w:numPr>
        <w:rPr>
          <w:b/>
          <w:bCs/>
          <w:sz w:val="22"/>
          <w:szCs w:val="22"/>
        </w:rPr>
      </w:pPr>
      <w:r w:rsidRPr="00167CB8">
        <w:rPr>
          <w:b/>
          <w:bCs/>
          <w:sz w:val="22"/>
          <w:szCs w:val="22"/>
        </w:rPr>
        <w:lastRenderedPageBreak/>
        <w:t xml:space="preserve">9. The Government should undertake further work to consider whether additional funding is required for legal assistance in small claims matters, to enable: </w:t>
      </w:r>
    </w:p>
    <w:p w14:paraId="1F400AE4" w14:textId="2DB7895B" w:rsidR="002D47A6" w:rsidRPr="00167CB8" w:rsidRDefault="002D47A6" w:rsidP="002D47A6">
      <w:pPr>
        <w:pStyle w:val="ListParagraph"/>
        <w:ind w:left="1440"/>
        <w:rPr>
          <w:b/>
          <w:bCs/>
          <w:sz w:val="22"/>
          <w:szCs w:val="22"/>
        </w:rPr>
      </w:pPr>
      <w:r w:rsidRPr="00167CB8">
        <w:rPr>
          <w:b/>
          <w:bCs/>
          <w:sz w:val="22"/>
          <w:szCs w:val="22"/>
        </w:rPr>
        <w:t xml:space="preserve">a. the establishment of duty lawyer services </w:t>
      </w:r>
    </w:p>
    <w:p w14:paraId="261CB9E4" w14:textId="069FE733" w:rsidR="002D47A6" w:rsidRPr="00167CB8" w:rsidRDefault="002D47A6" w:rsidP="002D47A6">
      <w:pPr>
        <w:pStyle w:val="ListParagraph"/>
        <w:ind w:left="1440"/>
        <w:rPr>
          <w:b/>
          <w:bCs/>
          <w:sz w:val="22"/>
          <w:szCs w:val="22"/>
        </w:rPr>
      </w:pPr>
      <w:r w:rsidRPr="00167CB8">
        <w:rPr>
          <w:b/>
          <w:bCs/>
          <w:sz w:val="22"/>
          <w:szCs w:val="22"/>
        </w:rPr>
        <w:t xml:space="preserve">b. the provision of targeted community legal education initiatives, and </w:t>
      </w:r>
    </w:p>
    <w:p w14:paraId="474D266D" w14:textId="5817124F" w:rsidR="002D47A6" w:rsidRPr="00167CB8" w:rsidRDefault="002D47A6" w:rsidP="002D47A6">
      <w:pPr>
        <w:pStyle w:val="ListParagraph"/>
        <w:ind w:left="1440"/>
        <w:rPr>
          <w:b/>
          <w:bCs/>
          <w:sz w:val="22"/>
          <w:szCs w:val="22"/>
        </w:rPr>
      </w:pPr>
      <w:r w:rsidRPr="00167CB8">
        <w:rPr>
          <w:b/>
          <w:bCs/>
          <w:sz w:val="22"/>
          <w:szCs w:val="22"/>
        </w:rPr>
        <w:t>c. legal assistance providers to assist and represent more workers.</w:t>
      </w:r>
    </w:p>
    <w:p w14:paraId="77B5FCDE" w14:textId="77777777" w:rsidR="002D47A6" w:rsidRPr="00167CB8" w:rsidRDefault="002D47A6" w:rsidP="00567FCA">
      <w:pPr>
        <w:pStyle w:val="ListParagraph"/>
        <w:numPr>
          <w:ilvl w:val="0"/>
          <w:numId w:val="23"/>
        </w:numPr>
        <w:rPr>
          <w:b/>
          <w:bCs/>
          <w:sz w:val="22"/>
          <w:szCs w:val="22"/>
        </w:rPr>
      </w:pPr>
      <w:r w:rsidRPr="00167CB8">
        <w:rPr>
          <w:b/>
          <w:bCs/>
          <w:sz w:val="22"/>
          <w:szCs w:val="22"/>
        </w:rPr>
        <w:t xml:space="preserve">10. Once data on the effects of the increased monetary cap becomes available, the Department of Employment and Workplace Relations should consider whether any additional changes to the small claims procedure under the </w:t>
      </w:r>
      <w:r w:rsidRPr="00167CB8">
        <w:rPr>
          <w:b/>
          <w:bCs/>
          <w:i/>
          <w:iCs/>
          <w:sz w:val="22"/>
          <w:szCs w:val="22"/>
        </w:rPr>
        <w:t>Fair Work Act 2009</w:t>
      </w:r>
      <w:r w:rsidRPr="00167CB8">
        <w:rPr>
          <w:b/>
          <w:bCs/>
          <w:sz w:val="22"/>
          <w:szCs w:val="22"/>
        </w:rPr>
        <w:t xml:space="preserve"> are necessary.</w:t>
      </w:r>
      <w:r w:rsidRPr="00167CB8">
        <w:rPr>
          <w:rStyle w:val="FootnoteReference"/>
          <w:b/>
          <w:bCs/>
          <w:sz w:val="22"/>
          <w:szCs w:val="22"/>
        </w:rPr>
        <w:t xml:space="preserve"> </w:t>
      </w:r>
    </w:p>
    <w:p w14:paraId="0B3E59CB" w14:textId="77777777" w:rsidR="002D47A6" w:rsidRPr="00167CB8" w:rsidRDefault="002D47A6" w:rsidP="00567FCA">
      <w:pPr>
        <w:pStyle w:val="ListParagraph"/>
        <w:numPr>
          <w:ilvl w:val="0"/>
          <w:numId w:val="23"/>
        </w:numPr>
        <w:rPr>
          <w:b/>
          <w:bCs/>
          <w:sz w:val="22"/>
          <w:szCs w:val="22"/>
        </w:rPr>
      </w:pPr>
      <w:r w:rsidRPr="00167CB8">
        <w:rPr>
          <w:b/>
          <w:bCs/>
          <w:sz w:val="22"/>
          <w:szCs w:val="22"/>
        </w:rPr>
        <w:t>11. Noting differing views about the potentially complementary nature of extending small claims jurisdiction to a tribunal and establishing an industrial court, it is recommended that Government consider these options further and determine which option, if any, to pursue. In progressing the selected policy, stakeholder feedback, including that received as part of the Small Claims Review, should be considered.</w:t>
      </w:r>
    </w:p>
    <w:p w14:paraId="14565480" w14:textId="6A186401" w:rsidR="00967470" w:rsidRPr="00167CB8" w:rsidRDefault="000D5FF1" w:rsidP="000D5FF1">
      <w:pPr>
        <w:spacing w:after="160"/>
        <w:rPr>
          <w:b/>
        </w:rPr>
      </w:pPr>
      <w:r w:rsidRPr="00167CB8">
        <w:rPr>
          <w:b/>
        </w:rPr>
        <w:br w:type="page"/>
      </w:r>
    </w:p>
    <w:p w14:paraId="3B8B7959" w14:textId="4BD9DE61" w:rsidR="00821381" w:rsidRPr="00167CB8" w:rsidRDefault="00072E44" w:rsidP="00E701F7">
      <w:pPr>
        <w:pStyle w:val="Heading3"/>
        <w:rPr>
          <w:rFonts w:asciiTheme="minorHAnsi" w:hAnsiTheme="minorHAnsi"/>
        </w:rPr>
      </w:pPr>
      <w:bookmarkStart w:id="538" w:name="_Toc187934209"/>
      <w:bookmarkStart w:id="539" w:name="_Toc188278039"/>
      <w:bookmarkStart w:id="540" w:name="_Toc189260326"/>
      <w:bookmarkStart w:id="541" w:name="_Toc189393642"/>
      <w:r w:rsidRPr="00167CB8">
        <w:rPr>
          <w:rFonts w:asciiTheme="minorHAnsi" w:hAnsiTheme="minorHAnsi"/>
        </w:rPr>
        <w:lastRenderedPageBreak/>
        <w:t>Chapter 35.</w:t>
      </w:r>
      <w:r w:rsidR="00821381" w:rsidRPr="00167CB8">
        <w:rPr>
          <w:rFonts w:asciiTheme="minorHAnsi" w:hAnsiTheme="minorHAnsi"/>
        </w:rPr>
        <w:t xml:space="preserve"> Prohibiting employer advertisements with pay rates that would contravene the Act</w:t>
      </w:r>
      <w:bookmarkEnd w:id="538"/>
      <w:bookmarkEnd w:id="539"/>
      <w:bookmarkEnd w:id="540"/>
      <w:bookmarkEnd w:id="541"/>
    </w:p>
    <w:p w14:paraId="70BB31E8" w14:textId="1DE26983" w:rsidR="00821381" w:rsidRPr="00167CB8" w:rsidRDefault="00821381" w:rsidP="006000ED">
      <w:pPr>
        <w:rPr>
          <w:lang w:val="en-US"/>
        </w:rPr>
      </w:pPr>
      <w:r w:rsidRPr="00167CB8">
        <w:rPr>
          <w:lang w:val="en-US"/>
        </w:rPr>
        <w:t xml:space="preserve">Part 25 of the </w:t>
      </w:r>
      <w:r w:rsidR="00591473" w:rsidRPr="00167CB8">
        <w:rPr>
          <w:lang w:val="en-US"/>
        </w:rPr>
        <w:t>Secure Jobs, Better Pay</w:t>
      </w:r>
      <w:r w:rsidRPr="00167CB8">
        <w:rPr>
          <w:lang w:val="en-US"/>
        </w:rPr>
        <w:t xml:space="preserve"> Act concerns amendments at Part 3-6 (Other rights and responsibilities) of the </w:t>
      </w:r>
      <w:r w:rsidR="007132B2" w:rsidRPr="00167CB8">
        <w:rPr>
          <w:lang w:val="en-US"/>
        </w:rPr>
        <w:t>Fair Work Act</w:t>
      </w:r>
      <w:r w:rsidRPr="00167CB8">
        <w:rPr>
          <w:lang w:val="en-US"/>
        </w:rPr>
        <w:t xml:space="preserve"> on employer obligations in relation to advertising rates of pay.</w:t>
      </w:r>
    </w:p>
    <w:p w14:paraId="587684AB" w14:textId="0C42C61B" w:rsidR="00821381" w:rsidRPr="00167CB8" w:rsidRDefault="00072E44" w:rsidP="00E701F7">
      <w:pPr>
        <w:pStyle w:val="Heading4"/>
        <w:rPr>
          <w:rFonts w:asciiTheme="minorHAnsi" w:hAnsiTheme="minorHAnsi"/>
        </w:rPr>
      </w:pPr>
      <w:bookmarkStart w:id="542" w:name="_Toc187934210"/>
      <w:bookmarkStart w:id="543" w:name="_Toc188278040"/>
      <w:bookmarkStart w:id="544" w:name="_Toc189260327"/>
      <w:bookmarkStart w:id="545" w:name="_Toc189393643"/>
      <w:r w:rsidRPr="00167CB8">
        <w:rPr>
          <w:rFonts w:asciiTheme="minorHAnsi" w:hAnsiTheme="minorHAnsi"/>
        </w:rPr>
        <w:t>35.1</w:t>
      </w:r>
      <w:r w:rsidR="00821381" w:rsidRPr="00167CB8">
        <w:rPr>
          <w:rFonts w:asciiTheme="minorHAnsi" w:hAnsiTheme="minorHAnsi"/>
        </w:rPr>
        <w:t xml:space="preserve"> Amendments </w:t>
      </w:r>
      <w:r w:rsidR="002D30C0" w:rsidRPr="00167CB8">
        <w:rPr>
          <w:rFonts w:asciiTheme="minorHAnsi" w:hAnsiTheme="minorHAnsi"/>
        </w:rPr>
        <w:t>and i</w:t>
      </w:r>
      <w:r w:rsidR="00821381" w:rsidRPr="00167CB8">
        <w:rPr>
          <w:rFonts w:asciiTheme="minorHAnsi" w:hAnsiTheme="minorHAnsi"/>
        </w:rPr>
        <w:t>ntent</w:t>
      </w:r>
      <w:bookmarkEnd w:id="542"/>
      <w:bookmarkEnd w:id="543"/>
      <w:bookmarkEnd w:id="544"/>
      <w:bookmarkEnd w:id="545"/>
    </w:p>
    <w:p w14:paraId="55CC89D5" w14:textId="5DD29D4E" w:rsidR="00821381" w:rsidRPr="00167CB8" w:rsidRDefault="00821381" w:rsidP="006000ED">
      <w:pPr>
        <w:rPr>
          <w:rFonts w:cstheme="minorHAnsi"/>
          <w:lang w:val="en-US"/>
        </w:rPr>
      </w:pPr>
      <w:r w:rsidRPr="00167CB8">
        <w:rPr>
          <w:rFonts w:cstheme="minorHAnsi"/>
          <w:lang w:val="en-US"/>
        </w:rPr>
        <w:t xml:space="preserve">The main amendments to the </w:t>
      </w:r>
      <w:r w:rsidR="007132B2" w:rsidRPr="00167CB8">
        <w:rPr>
          <w:rFonts w:cstheme="minorHAnsi"/>
          <w:lang w:val="en-US"/>
        </w:rPr>
        <w:t>Fair Work Act</w:t>
      </w:r>
      <w:r w:rsidRPr="00167CB8">
        <w:rPr>
          <w:rFonts w:cstheme="minorHAnsi"/>
          <w:lang w:val="en-US"/>
        </w:rPr>
        <w:t xml:space="preserve"> made by Part 25 of the </w:t>
      </w:r>
      <w:r w:rsidR="008E641B" w:rsidRPr="00167CB8">
        <w:rPr>
          <w:rFonts w:cstheme="minorHAnsi"/>
        </w:rPr>
        <w:t>Secure Jobs, Better Pay</w:t>
      </w:r>
      <w:r w:rsidRPr="00167CB8">
        <w:rPr>
          <w:rFonts w:cstheme="minorHAnsi"/>
          <w:lang w:val="en-US"/>
        </w:rPr>
        <w:t xml:space="preserve"> Act is the insertion of a new </w:t>
      </w:r>
      <w:r w:rsidR="00F34AC2" w:rsidRPr="00167CB8">
        <w:rPr>
          <w:rFonts w:cstheme="minorHAnsi"/>
          <w:lang w:val="en-US"/>
        </w:rPr>
        <w:t xml:space="preserve">provision </w:t>
      </w:r>
      <w:r w:rsidR="002D30C0" w:rsidRPr="00167CB8">
        <w:rPr>
          <w:rFonts w:cstheme="minorHAnsi"/>
          <w:lang w:val="en-US"/>
        </w:rPr>
        <w:t>‘</w:t>
      </w:r>
      <w:r w:rsidRPr="00167CB8">
        <w:rPr>
          <w:rFonts w:cstheme="minorHAnsi"/>
          <w:lang w:val="en-US"/>
        </w:rPr>
        <w:t>about the obligations of national system employers in relation to advertising rates of pay</w:t>
      </w:r>
      <w:r w:rsidR="002D30C0" w:rsidRPr="00167CB8">
        <w:rPr>
          <w:rFonts w:cstheme="minorHAnsi"/>
          <w:lang w:val="en-US"/>
        </w:rPr>
        <w:t>’</w:t>
      </w:r>
      <w:r w:rsidRPr="00167CB8">
        <w:rPr>
          <w:rFonts w:cstheme="minorHAnsi"/>
          <w:lang w:val="en-US"/>
        </w:rPr>
        <w:t>.</w:t>
      </w:r>
      <w:r w:rsidRPr="00167CB8">
        <w:rPr>
          <w:rStyle w:val="FootnoteReference"/>
          <w:rFonts w:cstheme="minorHAnsi"/>
          <w:lang w:val="en-US"/>
        </w:rPr>
        <w:footnoteReference w:id="1020"/>
      </w:r>
    </w:p>
    <w:p w14:paraId="22D097EF" w14:textId="73E994F8" w:rsidR="00821381" w:rsidRPr="00167CB8" w:rsidRDefault="00072E44" w:rsidP="00E701F7">
      <w:pPr>
        <w:pStyle w:val="Heading5"/>
        <w:rPr>
          <w:rFonts w:asciiTheme="minorHAnsi" w:hAnsiTheme="minorHAnsi"/>
        </w:rPr>
      </w:pPr>
      <w:bookmarkStart w:id="546" w:name="_Toc187934211"/>
      <w:r w:rsidRPr="00167CB8">
        <w:rPr>
          <w:rFonts w:asciiTheme="minorHAnsi" w:hAnsiTheme="minorHAnsi"/>
        </w:rPr>
        <w:t>35.1.1</w:t>
      </w:r>
      <w:r w:rsidR="00821381" w:rsidRPr="00167CB8">
        <w:rPr>
          <w:rFonts w:asciiTheme="minorHAnsi" w:hAnsiTheme="minorHAnsi"/>
        </w:rPr>
        <w:t xml:space="preserve"> </w:t>
      </w:r>
      <w:r w:rsidR="00591473" w:rsidRPr="00167CB8">
        <w:rPr>
          <w:rFonts w:asciiTheme="minorHAnsi" w:hAnsiTheme="minorHAnsi"/>
        </w:rPr>
        <w:t>Secure Jobs, Better Pay</w:t>
      </w:r>
      <w:r w:rsidR="00821381" w:rsidRPr="00167CB8">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546"/>
    </w:p>
    <w:p w14:paraId="3761605A" w14:textId="6F2F05E9" w:rsidR="00821381" w:rsidRPr="00167CB8" w:rsidRDefault="002D30C0" w:rsidP="006000ED">
      <w:pPr>
        <w:rPr>
          <w:rFonts w:cstheme="minorHAnsi"/>
          <w:lang w:val="en-US"/>
        </w:rPr>
      </w:pPr>
      <w:r w:rsidRPr="00167CB8">
        <w:rPr>
          <w:rFonts w:cstheme="minorHAnsi"/>
          <w:lang w:val="en-US"/>
        </w:rPr>
        <w:t xml:space="preserve">The </w:t>
      </w:r>
      <w:r w:rsidR="00591473" w:rsidRPr="00167CB8">
        <w:rPr>
          <w:rFonts w:cstheme="minorHAnsi"/>
          <w:lang w:val="en-US"/>
        </w:rPr>
        <w:t>Secure Jobs, Better Pay</w:t>
      </w:r>
      <w:r w:rsidR="00F34AC2" w:rsidRPr="00167CB8">
        <w:rPr>
          <w:rFonts w:cstheme="minorHAnsi"/>
          <w:lang w:val="en-US"/>
        </w:rPr>
        <w:t xml:space="preserve"> Act adds </w:t>
      </w:r>
      <w:r w:rsidR="00821381" w:rsidRPr="00167CB8">
        <w:rPr>
          <w:rFonts w:cstheme="minorHAnsi"/>
          <w:lang w:val="en-US"/>
        </w:rPr>
        <w:t xml:space="preserve">Division 4 (Employer obligations in relation to advertising rates of pay) to Part 3-6 of the </w:t>
      </w:r>
      <w:r w:rsidR="007132B2" w:rsidRPr="00167CB8">
        <w:rPr>
          <w:rFonts w:cstheme="minorHAnsi"/>
          <w:lang w:val="en-US"/>
        </w:rPr>
        <w:t>Fair Work Act</w:t>
      </w:r>
      <w:r w:rsidR="00821381" w:rsidRPr="00167CB8">
        <w:rPr>
          <w:rFonts w:cstheme="minorHAnsi"/>
          <w:lang w:val="en-US"/>
        </w:rPr>
        <w:t xml:space="preserve">. </w:t>
      </w:r>
      <w:r w:rsidR="00395266" w:rsidRPr="00167CB8">
        <w:rPr>
          <w:rFonts w:cstheme="minorHAnsi"/>
          <w:lang w:val="en-US"/>
        </w:rPr>
        <w:t xml:space="preserve">There are </w:t>
      </w:r>
      <w:r w:rsidRPr="00167CB8">
        <w:rPr>
          <w:rFonts w:cstheme="minorHAnsi"/>
          <w:lang w:val="en-US"/>
        </w:rPr>
        <w:t xml:space="preserve">2 </w:t>
      </w:r>
      <w:r w:rsidR="00AB3F51" w:rsidRPr="00167CB8">
        <w:rPr>
          <w:rFonts w:cstheme="minorHAnsi"/>
          <w:lang w:val="en-US"/>
        </w:rPr>
        <w:t>key</w:t>
      </w:r>
      <w:r w:rsidR="00395266" w:rsidRPr="00167CB8">
        <w:rPr>
          <w:rFonts w:cstheme="minorHAnsi"/>
          <w:lang w:val="en-US"/>
        </w:rPr>
        <w:t xml:space="preserve"> parts to this new division:</w:t>
      </w:r>
    </w:p>
    <w:p w14:paraId="3ABCB612" w14:textId="5457F7E3" w:rsidR="00F452D8" w:rsidRPr="00167CB8" w:rsidRDefault="00F452D8" w:rsidP="00567FCA">
      <w:pPr>
        <w:pStyle w:val="ListParagraph"/>
        <w:numPr>
          <w:ilvl w:val="0"/>
          <w:numId w:val="8"/>
        </w:numPr>
        <w:spacing w:line="360" w:lineRule="auto"/>
        <w:rPr>
          <w:rFonts w:cstheme="minorHAnsi"/>
          <w:sz w:val="22"/>
          <w:szCs w:val="22"/>
          <w:lang w:val="en-US"/>
        </w:rPr>
      </w:pPr>
      <w:r w:rsidRPr="00167CB8">
        <w:rPr>
          <w:rFonts w:cstheme="minorHAnsi"/>
          <w:sz w:val="22"/>
          <w:szCs w:val="22"/>
          <w:lang w:val="en-US"/>
        </w:rPr>
        <w:t>Section 536AA(1) broadly provides that employers must not advertise employment with a rate of pay that contravenes the F</w:t>
      </w:r>
      <w:r w:rsidR="005E1AD9" w:rsidRPr="00167CB8">
        <w:rPr>
          <w:rFonts w:cstheme="minorHAnsi"/>
          <w:sz w:val="22"/>
          <w:szCs w:val="22"/>
          <w:lang w:val="en-US"/>
        </w:rPr>
        <w:t xml:space="preserve">air </w:t>
      </w:r>
      <w:r w:rsidRPr="00167CB8">
        <w:rPr>
          <w:rFonts w:cstheme="minorHAnsi"/>
          <w:sz w:val="22"/>
          <w:szCs w:val="22"/>
          <w:lang w:val="en-US"/>
        </w:rPr>
        <w:t>W</w:t>
      </w:r>
      <w:r w:rsidR="005E1AD9" w:rsidRPr="00167CB8">
        <w:rPr>
          <w:rFonts w:cstheme="minorHAnsi"/>
          <w:sz w:val="22"/>
          <w:szCs w:val="22"/>
          <w:lang w:val="en-US"/>
        </w:rPr>
        <w:t>ork</w:t>
      </w:r>
      <w:r w:rsidRPr="00167CB8">
        <w:rPr>
          <w:rFonts w:cstheme="minorHAnsi"/>
          <w:sz w:val="22"/>
          <w:szCs w:val="22"/>
          <w:lang w:val="en-US"/>
        </w:rPr>
        <w:t xml:space="preserve"> Act or a fair work instrument.</w:t>
      </w:r>
    </w:p>
    <w:p w14:paraId="74A1AF2C" w14:textId="4DCDAC7C" w:rsidR="00F452D8" w:rsidRPr="00167CB8" w:rsidRDefault="00F452D8" w:rsidP="00567FCA">
      <w:pPr>
        <w:pStyle w:val="ListParagraph"/>
        <w:numPr>
          <w:ilvl w:val="0"/>
          <w:numId w:val="8"/>
        </w:numPr>
        <w:spacing w:line="360" w:lineRule="auto"/>
        <w:rPr>
          <w:rFonts w:cstheme="minorHAnsi"/>
          <w:sz w:val="22"/>
          <w:szCs w:val="22"/>
          <w:lang w:val="en-US"/>
        </w:rPr>
      </w:pPr>
      <w:r w:rsidRPr="00167CB8">
        <w:rPr>
          <w:rFonts w:cstheme="minorHAnsi"/>
          <w:sz w:val="22"/>
          <w:szCs w:val="22"/>
          <w:lang w:val="en-US"/>
        </w:rPr>
        <w:t xml:space="preserve">Section 536AA(2) broadly provides that advertisement of piecework must include any periodic rate of pay to which pieceworker is entitled. </w:t>
      </w:r>
    </w:p>
    <w:p w14:paraId="7206BC65" w14:textId="640C6520" w:rsidR="00337F9C" w:rsidRPr="00167CB8" w:rsidRDefault="00337F9C" w:rsidP="00567FCA">
      <w:pPr>
        <w:pStyle w:val="ListParagraph"/>
        <w:numPr>
          <w:ilvl w:val="0"/>
          <w:numId w:val="8"/>
        </w:numPr>
        <w:spacing w:line="360" w:lineRule="auto"/>
        <w:rPr>
          <w:rFonts w:cstheme="minorHAnsi"/>
          <w:sz w:val="22"/>
          <w:szCs w:val="22"/>
          <w:lang w:val="en-US"/>
        </w:rPr>
      </w:pPr>
      <w:r w:rsidRPr="00167CB8">
        <w:rPr>
          <w:rFonts w:cstheme="minorHAnsi"/>
          <w:sz w:val="22"/>
          <w:szCs w:val="22"/>
          <w:lang w:val="en-US"/>
        </w:rPr>
        <w:t xml:space="preserve">Sections 536AA(1) and (2) are civil remedy provisions. </w:t>
      </w:r>
      <w:r w:rsidR="00E173AB" w:rsidRPr="00167CB8">
        <w:rPr>
          <w:rFonts w:cstheme="minorHAnsi"/>
          <w:sz w:val="22"/>
          <w:szCs w:val="22"/>
          <w:lang w:val="en-US"/>
        </w:rPr>
        <w:t xml:space="preserve">The </w:t>
      </w:r>
      <w:r w:rsidR="002D30C0" w:rsidRPr="00167CB8">
        <w:rPr>
          <w:rFonts w:cstheme="minorHAnsi"/>
          <w:sz w:val="22"/>
          <w:szCs w:val="22"/>
          <w:lang w:val="en-US"/>
        </w:rPr>
        <w:t>Fair Work Ombudsman (</w:t>
      </w:r>
      <w:r w:rsidR="00E173AB" w:rsidRPr="00167CB8">
        <w:rPr>
          <w:rFonts w:cstheme="minorHAnsi"/>
          <w:sz w:val="22"/>
          <w:szCs w:val="22"/>
          <w:lang w:val="en-US"/>
        </w:rPr>
        <w:t>FWO</w:t>
      </w:r>
      <w:r w:rsidR="002D30C0" w:rsidRPr="00167CB8">
        <w:rPr>
          <w:rFonts w:cstheme="minorHAnsi"/>
          <w:sz w:val="22"/>
          <w:szCs w:val="22"/>
          <w:lang w:val="en-US"/>
        </w:rPr>
        <w:t>)</w:t>
      </w:r>
      <w:r w:rsidRPr="00167CB8">
        <w:rPr>
          <w:rFonts w:cstheme="minorHAnsi"/>
          <w:sz w:val="22"/>
          <w:szCs w:val="22"/>
          <w:lang w:val="en-US"/>
        </w:rPr>
        <w:t xml:space="preserve"> can issue compliance notices requiring an employer to take specific action in relation to noncompliant advertisements, amongst other things.</w:t>
      </w:r>
      <w:r w:rsidRPr="00167CB8">
        <w:rPr>
          <w:sz w:val="22"/>
          <w:szCs w:val="22"/>
          <w:vertAlign w:val="superscript"/>
          <w:lang w:val="en-US"/>
        </w:rPr>
        <w:footnoteReference w:id="1021"/>
      </w:r>
      <w:r w:rsidRPr="00167CB8">
        <w:rPr>
          <w:rFonts w:cstheme="minorHAnsi"/>
          <w:sz w:val="22"/>
          <w:szCs w:val="22"/>
          <w:vertAlign w:val="superscript"/>
          <w:lang w:val="en-US"/>
        </w:rPr>
        <w:t xml:space="preserve"> </w:t>
      </w:r>
    </w:p>
    <w:p w14:paraId="2916DEBB" w14:textId="4A905E08" w:rsidR="00821381" w:rsidRPr="00167CB8" w:rsidRDefault="00821381" w:rsidP="006000ED">
      <w:pPr>
        <w:rPr>
          <w:rFonts w:cstheme="minorHAnsi"/>
          <w:lang w:val="en-US"/>
        </w:rPr>
      </w:pPr>
      <w:r w:rsidRPr="00167CB8">
        <w:rPr>
          <w:rFonts w:cstheme="minorHAnsi"/>
          <w:lang w:val="en-US"/>
        </w:rPr>
        <w:t>Section 536AA(3) includes reasonable excuse provisions. Section 536AA(1) and (2) do not apply if the employer has a reasonable excuse.</w:t>
      </w:r>
    </w:p>
    <w:p w14:paraId="6D6B63FA" w14:textId="77777777" w:rsidR="00821381" w:rsidRPr="00167CB8" w:rsidRDefault="00821381" w:rsidP="006000ED">
      <w:pPr>
        <w:rPr>
          <w:rFonts w:eastAsia="Aptos" w:cs="Calibri"/>
        </w:rPr>
      </w:pPr>
      <w:r w:rsidRPr="00167CB8">
        <w:rPr>
          <w:rFonts w:cs="Calibri"/>
          <w:lang w:val="en-US"/>
        </w:rPr>
        <w:t>It is important to note that</w:t>
      </w:r>
      <w:r w:rsidRPr="00167CB8">
        <w:rPr>
          <w:rFonts w:eastAsia="Aptos" w:cs="Calibri"/>
        </w:rPr>
        <w:t xml:space="preserve"> prohibitions only apply to employers that opt to specify a rate of pay in their advertising.</w:t>
      </w:r>
      <w:r w:rsidRPr="00167CB8">
        <w:rPr>
          <w:rStyle w:val="FootnoteReference"/>
          <w:rFonts w:eastAsia="Aptos" w:cs="Calibri"/>
        </w:rPr>
        <w:footnoteReference w:id="1022"/>
      </w:r>
      <w:r w:rsidRPr="00167CB8">
        <w:rPr>
          <w:rFonts w:eastAsia="Aptos" w:cs="Calibri"/>
        </w:rPr>
        <w:t xml:space="preserve"> It does not apply to publishers of employment advertisements (such as websites that host employment advertisements).</w:t>
      </w:r>
      <w:r w:rsidRPr="00167CB8">
        <w:rPr>
          <w:rStyle w:val="FootnoteReference"/>
          <w:rFonts w:eastAsia="Aptos" w:cs="Calibri"/>
        </w:rPr>
        <w:footnoteReference w:id="1023"/>
      </w:r>
      <w:r w:rsidRPr="00167CB8">
        <w:rPr>
          <w:rFonts w:eastAsia="Aptos" w:cs="Calibri"/>
        </w:rPr>
        <w:t xml:space="preserve"> </w:t>
      </w:r>
    </w:p>
    <w:p w14:paraId="4BE768ED" w14:textId="02EA6F43" w:rsidR="00821381" w:rsidRPr="00167CB8" w:rsidRDefault="00821381" w:rsidP="006000ED">
      <w:pPr>
        <w:rPr>
          <w:rFonts w:cstheme="minorHAnsi"/>
          <w:lang w:val="en-US"/>
        </w:rPr>
      </w:pPr>
      <w:r w:rsidRPr="00167CB8">
        <w:rPr>
          <w:rFonts w:cstheme="minorHAnsi"/>
          <w:lang w:val="en-US"/>
        </w:rPr>
        <w:t xml:space="preserve">These </w:t>
      </w:r>
      <w:r w:rsidR="00050B75" w:rsidRPr="00167CB8">
        <w:rPr>
          <w:rFonts w:cstheme="minorHAnsi"/>
          <w:lang w:val="en-US"/>
        </w:rPr>
        <w:t>amendments came into effect on</w:t>
      </w:r>
      <w:r w:rsidRPr="00167CB8">
        <w:rPr>
          <w:rFonts w:cstheme="minorHAnsi"/>
          <w:lang w:val="en-US"/>
        </w:rPr>
        <w:t xml:space="preserve"> 7 </w:t>
      </w:r>
      <w:r w:rsidR="002A6158" w:rsidRPr="00167CB8">
        <w:rPr>
          <w:rFonts w:cstheme="minorHAnsi"/>
          <w:lang w:val="en-US"/>
        </w:rPr>
        <w:t xml:space="preserve">December 2022 and apply to jobs being advertised on or after 7 January 2023, regardless of when the advertisement was originally </w:t>
      </w:r>
      <w:r w:rsidRPr="00167CB8">
        <w:rPr>
          <w:rFonts w:cstheme="minorHAnsi"/>
          <w:lang w:val="en-US"/>
        </w:rPr>
        <w:t>posted.</w:t>
      </w:r>
      <w:r w:rsidRPr="00167CB8">
        <w:rPr>
          <w:rFonts w:cstheme="minorHAnsi"/>
          <w:vertAlign w:val="superscript"/>
          <w:lang w:val="en-US"/>
        </w:rPr>
        <w:footnoteReference w:id="1024"/>
      </w:r>
      <w:r w:rsidRPr="00167CB8">
        <w:rPr>
          <w:rFonts w:cstheme="minorHAnsi"/>
          <w:lang w:val="en-US"/>
        </w:rPr>
        <w:t xml:space="preserve"> </w:t>
      </w:r>
    </w:p>
    <w:p w14:paraId="07B136B9" w14:textId="1F7437D8" w:rsidR="00821381" w:rsidRPr="00167CB8" w:rsidRDefault="00072E44" w:rsidP="00E701F7">
      <w:pPr>
        <w:pStyle w:val="Heading5"/>
        <w:rPr>
          <w:rFonts w:asciiTheme="minorHAnsi" w:hAnsiTheme="minorHAnsi"/>
        </w:rPr>
      </w:pPr>
      <w:bookmarkStart w:id="547" w:name="_Toc187934212"/>
      <w:r w:rsidRPr="00167CB8">
        <w:rPr>
          <w:rFonts w:asciiTheme="minorHAnsi" w:hAnsiTheme="minorHAnsi"/>
        </w:rPr>
        <w:t>35.1.2</w:t>
      </w:r>
      <w:r w:rsidR="00821381" w:rsidRPr="00167CB8">
        <w:rPr>
          <w:rFonts w:asciiTheme="minorHAnsi" w:hAnsiTheme="minorHAnsi"/>
        </w:rPr>
        <w:t xml:space="preserve"> Intent of </w:t>
      </w:r>
      <w:r w:rsidR="00591473" w:rsidRPr="00167CB8">
        <w:rPr>
          <w:rFonts w:asciiTheme="minorHAnsi" w:hAnsiTheme="minorHAnsi"/>
        </w:rPr>
        <w:t>Secure Jobs, Better Pay</w:t>
      </w:r>
      <w:r w:rsidR="00821381" w:rsidRPr="00167CB8">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547"/>
    </w:p>
    <w:p w14:paraId="348D1CE4" w14:textId="6E330508" w:rsidR="00821381" w:rsidRPr="00167CB8" w:rsidRDefault="00821381" w:rsidP="006000ED">
      <w:pPr>
        <w:rPr>
          <w:lang w:val="en-US"/>
        </w:rPr>
      </w:pPr>
      <w:r w:rsidRPr="00167CB8">
        <w:rPr>
          <w:lang w:val="en-US"/>
        </w:rPr>
        <w:t xml:space="preserve">In the Revised Explanatory Memorandum, </w:t>
      </w:r>
      <w:r w:rsidR="008B26F9" w:rsidRPr="00167CB8">
        <w:rPr>
          <w:lang w:val="en-US"/>
        </w:rPr>
        <w:t>then Minister for Employment and Workplace Relations, the Hon Tony Burke MP, explained</w:t>
      </w:r>
      <w:r w:rsidRPr="00167CB8">
        <w:rPr>
          <w:lang w:val="en-US"/>
        </w:rPr>
        <w:t xml:space="preserve"> that the prohibitions on offering employment with </w:t>
      </w:r>
      <w:r w:rsidRPr="00167CB8">
        <w:rPr>
          <w:lang w:val="en-US"/>
        </w:rPr>
        <w:lastRenderedPageBreak/>
        <w:t xml:space="preserve">rates of pay that are below the </w:t>
      </w:r>
      <w:r w:rsidR="007132B2" w:rsidRPr="00167CB8">
        <w:rPr>
          <w:lang w:val="en-US"/>
        </w:rPr>
        <w:t>Fair Work Act</w:t>
      </w:r>
      <w:r w:rsidRPr="00167CB8">
        <w:rPr>
          <w:lang w:val="en-US"/>
        </w:rPr>
        <w:t xml:space="preserve"> or a fair work instrument are </w:t>
      </w:r>
      <w:r w:rsidR="007D681C" w:rsidRPr="00167CB8">
        <w:rPr>
          <w:lang w:val="en-US"/>
        </w:rPr>
        <w:t xml:space="preserve">intended </w:t>
      </w:r>
      <w:r w:rsidR="00682307" w:rsidRPr="00167CB8">
        <w:rPr>
          <w:lang w:val="en-US"/>
        </w:rPr>
        <w:t>to r</w:t>
      </w:r>
      <w:r w:rsidRPr="00167CB8">
        <w:rPr>
          <w:lang w:val="en-US"/>
        </w:rPr>
        <w:t>educ</w:t>
      </w:r>
      <w:r w:rsidR="00682307" w:rsidRPr="00167CB8">
        <w:rPr>
          <w:lang w:val="en-US"/>
        </w:rPr>
        <w:t>e</w:t>
      </w:r>
      <w:r w:rsidRPr="00167CB8">
        <w:rPr>
          <w:lang w:val="en-US"/>
        </w:rPr>
        <w:t xml:space="preserve"> worker exploitation and reduc</w:t>
      </w:r>
      <w:r w:rsidR="00682307" w:rsidRPr="00167CB8">
        <w:rPr>
          <w:lang w:val="en-US"/>
        </w:rPr>
        <w:t>e</w:t>
      </w:r>
      <w:r w:rsidRPr="00167CB8">
        <w:rPr>
          <w:lang w:val="en-US"/>
        </w:rPr>
        <w:t xml:space="preserve"> unintentional underpayments</w:t>
      </w:r>
      <w:r w:rsidR="00DF0C09" w:rsidRPr="00167CB8">
        <w:rPr>
          <w:lang w:val="en-US"/>
        </w:rPr>
        <w:t>:</w:t>
      </w:r>
      <w:r w:rsidR="002D30C0" w:rsidRPr="00167CB8">
        <w:rPr>
          <w:rStyle w:val="FootnoteReference"/>
        </w:rPr>
        <w:footnoteReference w:id="1025"/>
      </w:r>
    </w:p>
    <w:p w14:paraId="249A2DD2" w14:textId="3D2DCF89" w:rsidR="00821381" w:rsidRPr="00167CB8" w:rsidRDefault="00821381" w:rsidP="00FD6483">
      <w:pPr>
        <w:pStyle w:val="Quote"/>
      </w:pPr>
      <w:r w:rsidRPr="00167CB8">
        <w:t>The proposed prohibition on advertising employment opportunities at below minimum wages is also aimed at reducing worker exploitation. It would send a clear message to employers that they must verify the correct entitlements prior to advertising. It would help promote a culture of compliance with industrial relations laws by encouraging employers to consider their workplace obligations before hiring employees, which should help to reduce unintentional underpayments of employees.</w:t>
      </w:r>
    </w:p>
    <w:p w14:paraId="49DCA6B5" w14:textId="423E7A12" w:rsidR="00821381" w:rsidRPr="00167CB8" w:rsidRDefault="00821381" w:rsidP="006000ED">
      <w:pPr>
        <w:rPr>
          <w:lang w:val="en-US"/>
        </w:rPr>
      </w:pPr>
      <w:r w:rsidRPr="00167CB8">
        <w:rPr>
          <w:lang w:val="en-US"/>
        </w:rPr>
        <w:t>The amendments implement a previous recommendation from the 2018 report of the Migrant Workers</w:t>
      </w:r>
      <w:r w:rsidR="004E4B04" w:rsidRPr="00167CB8">
        <w:rPr>
          <w:lang w:val="en-US"/>
        </w:rPr>
        <w:t>’</w:t>
      </w:r>
      <w:r w:rsidRPr="00167CB8">
        <w:rPr>
          <w:lang w:val="en-US"/>
        </w:rPr>
        <w:t xml:space="preserve"> Taskforce (MWTF). At </w:t>
      </w:r>
      <w:r w:rsidR="002D30C0" w:rsidRPr="00167CB8">
        <w:rPr>
          <w:lang w:val="en-US"/>
        </w:rPr>
        <w:t>r</w:t>
      </w:r>
      <w:r w:rsidRPr="00167CB8">
        <w:rPr>
          <w:lang w:val="en-US"/>
        </w:rPr>
        <w:t xml:space="preserve">ecommendation 4 the MWTF recommended that </w:t>
      </w:r>
      <w:r w:rsidR="002D30C0" w:rsidRPr="00167CB8">
        <w:rPr>
          <w:lang w:val="en-US"/>
        </w:rPr>
        <w:t>‘</w:t>
      </w:r>
      <w:r w:rsidR="00DF0C09" w:rsidRPr="00167CB8">
        <w:rPr>
          <w:lang w:val="en-US"/>
        </w:rPr>
        <w:t>l</w:t>
      </w:r>
      <w:r w:rsidRPr="00167CB8">
        <w:rPr>
          <w:lang w:val="en-US"/>
        </w:rPr>
        <w:t>egislation be amended to prohibit persons from advertising jobs with pay rates that would breach the Fair Work Act 2009</w:t>
      </w:r>
      <w:r w:rsidR="002D30C0" w:rsidRPr="00167CB8">
        <w:rPr>
          <w:lang w:val="en-US"/>
        </w:rPr>
        <w:t>’</w:t>
      </w:r>
      <w:r w:rsidRPr="00167CB8">
        <w:rPr>
          <w:lang w:val="en-US"/>
        </w:rPr>
        <w:t>.</w:t>
      </w:r>
      <w:r w:rsidRPr="00167CB8">
        <w:rPr>
          <w:rStyle w:val="FootnoteReference"/>
          <w:lang w:val="en-US"/>
        </w:rPr>
        <w:footnoteReference w:id="1026"/>
      </w:r>
      <w:r w:rsidRPr="00167CB8">
        <w:rPr>
          <w:lang w:val="en-US"/>
        </w:rPr>
        <w:t xml:space="preserve"> Professor</w:t>
      </w:r>
      <w:r w:rsidR="002D30C0" w:rsidRPr="00167CB8">
        <w:rPr>
          <w:lang w:val="en-US"/>
        </w:rPr>
        <w:t xml:space="preserve"> </w:t>
      </w:r>
      <w:r w:rsidRPr="00167CB8">
        <w:rPr>
          <w:lang w:val="en-US"/>
        </w:rPr>
        <w:t>Fels and Mr Cousins (Chair and Deputy Chair, respectively</w:t>
      </w:r>
      <w:r w:rsidR="002D30C0" w:rsidRPr="00167CB8">
        <w:rPr>
          <w:lang w:val="en-US"/>
        </w:rPr>
        <w:t>,</w:t>
      </w:r>
      <w:r w:rsidRPr="00167CB8">
        <w:rPr>
          <w:lang w:val="en-US"/>
        </w:rPr>
        <w:t xml:space="preserve"> of the MWTF) noted that:</w:t>
      </w:r>
      <w:r w:rsidR="002D30C0" w:rsidRPr="00167CB8">
        <w:rPr>
          <w:rStyle w:val="FootnoteReference"/>
          <w:lang w:val="en-US"/>
        </w:rPr>
        <w:footnoteReference w:id="1027"/>
      </w:r>
    </w:p>
    <w:p w14:paraId="30F44A4B" w14:textId="0C3C305E" w:rsidR="00821381" w:rsidRPr="00167CB8" w:rsidRDefault="00821381" w:rsidP="00FD6483">
      <w:pPr>
        <w:pStyle w:val="Quote"/>
      </w:pPr>
      <w:r w:rsidRPr="00167CB8">
        <w:t>Whilst it is a breach of the law to under-pay, it is not necessarily a breach of the law to advertise a job at a pay rate which is below award conditions. The Taskforce considered this should be readily fixed by legislative change.</w:t>
      </w:r>
    </w:p>
    <w:p w14:paraId="26D2DF3D" w14:textId="77E537C8" w:rsidR="00821381" w:rsidRPr="00167CB8" w:rsidRDefault="00821381" w:rsidP="006000ED">
      <w:r w:rsidRPr="00167CB8">
        <w:rPr>
          <w:lang w:val="en-US"/>
        </w:rPr>
        <w:t xml:space="preserve">The amendments also address </w:t>
      </w:r>
      <w:r w:rsidR="002D30C0" w:rsidRPr="00167CB8">
        <w:rPr>
          <w:lang w:val="en-US"/>
        </w:rPr>
        <w:t>r</w:t>
      </w:r>
      <w:r w:rsidRPr="00167CB8">
        <w:rPr>
          <w:lang w:val="en-US"/>
        </w:rPr>
        <w:t>ecommendation 2 of the Senate Economics Reference</w:t>
      </w:r>
      <w:r w:rsidR="002D30C0" w:rsidRPr="00167CB8">
        <w:rPr>
          <w:lang w:val="en-US"/>
        </w:rPr>
        <w:t>s</w:t>
      </w:r>
      <w:r w:rsidRPr="00167CB8">
        <w:rPr>
          <w:lang w:val="en-US"/>
        </w:rPr>
        <w:t xml:space="preserve"> Committee inquiry into unlawful underpayments</w:t>
      </w:r>
      <w:r w:rsidR="00DF0C09" w:rsidRPr="00167CB8">
        <w:rPr>
          <w:lang w:val="en-US"/>
        </w:rPr>
        <w:t xml:space="preserve"> of employees’ re</w:t>
      </w:r>
      <w:r w:rsidR="002D30C0" w:rsidRPr="00167CB8">
        <w:rPr>
          <w:lang w:val="en-US"/>
        </w:rPr>
        <w:t>mu</w:t>
      </w:r>
      <w:r w:rsidR="00DF0C09" w:rsidRPr="00167CB8">
        <w:rPr>
          <w:lang w:val="en-US"/>
        </w:rPr>
        <w:t>neration</w:t>
      </w:r>
      <w:r w:rsidRPr="00167CB8">
        <w:t>.</w:t>
      </w:r>
      <w:r w:rsidRPr="00167CB8">
        <w:rPr>
          <w:rStyle w:val="FootnoteReference"/>
        </w:rPr>
        <w:footnoteReference w:id="1028"/>
      </w:r>
      <w:r w:rsidRPr="00167CB8">
        <w:t xml:space="preserve"> Among other things, </w:t>
      </w:r>
      <w:r w:rsidR="002D30C0" w:rsidRPr="00167CB8">
        <w:t>r</w:t>
      </w:r>
      <w:r w:rsidRPr="00167CB8">
        <w:t xml:space="preserve">ecommendation 2 provided that the </w:t>
      </w:r>
      <w:r w:rsidR="00A723CF" w:rsidRPr="00167CB8">
        <w:t>Australian Government</w:t>
      </w:r>
      <w:r w:rsidRPr="00167CB8">
        <w:t xml:space="preserve"> amend the </w:t>
      </w:r>
      <w:r w:rsidRPr="00167CB8">
        <w:rPr>
          <w:i/>
          <w:iCs/>
        </w:rPr>
        <w:t xml:space="preserve">Fair Work Act 2009 </w:t>
      </w:r>
      <w:r w:rsidRPr="00167CB8">
        <w:t xml:space="preserve">to </w:t>
      </w:r>
      <w:r w:rsidR="002D30C0" w:rsidRPr="00167CB8">
        <w:t>‘</w:t>
      </w:r>
      <w:r w:rsidR="0024668D" w:rsidRPr="00167CB8">
        <w:t>m</w:t>
      </w:r>
      <w:r w:rsidRPr="00167CB8">
        <w:t>ake it an offence for employers to advertise employment with a rate of pay less than the national minimum wage</w:t>
      </w:r>
      <w:r w:rsidR="002D30C0" w:rsidRPr="00167CB8">
        <w:t>’</w:t>
      </w:r>
      <w:r w:rsidRPr="00167CB8">
        <w:t>.</w:t>
      </w:r>
      <w:r w:rsidRPr="00167CB8">
        <w:rPr>
          <w:rStyle w:val="FootnoteReference"/>
        </w:rPr>
        <w:footnoteReference w:id="1029"/>
      </w:r>
      <w:r w:rsidRPr="00167CB8">
        <w:t xml:space="preserve">  </w:t>
      </w:r>
    </w:p>
    <w:p w14:paraId="02CADF49" w14:textId="064B985F" w:rsidR="00821381" w:rsidRPr="00167CB8" w:rsidRDefault="00821381" w:rsidP="006000ED">
      <w:pPr>
        <w:spacing w:after="0"/>
        <w:rPr>
          <w:lang w:val="en-US"/>
        </w:rPr>
      </w:pPr>
      <w:r w:rsidRPr="00167CB8">
        <w:rPr>
          <w:lang w:val="en-US"/>
        </w:rPr>
        <w:t xml:space="preserve">The amendments </w:t>
      </w:r>
      <w:r w:rsidR="00E23580" w:rsidRPr="00167CB8">
        <w:rPr>
          <w:lang w:val="en-US"/>
        </w:rPr>
        <w:t xml:space="preserve">were </w:t>
      </w:r>
      <w:r w:rsidRPr="00167CB8">
        <w:rPr>
          <w:lang w:val="en-US"/>
        </w:rPr>
        <w:t xml:space="preserve">also </w:t>
      </w:r>
      <w:r w:rsidR="00616911" w:rsidRPr="00167CB8">
        <w:rPr>
          <w:lang w:val="en-US"/>
        </w:rPr>
        <w:t>made in the context of</w:t>
      </w:r>
      <w:r w:rsidRPr="00167CB8">
        <w:rPr>
          <w:lang w:val="en-US"/>
        </w:rPr>
        <w:t xml:space="preserve"> a Unions NSW 2020 report (</w:t>
      </w:r>
      <w:r w:rsidRPr="00167CB8">
        <w:rPr>
          <w:i/>
          <w:iCs/>
          <w:lang w:val="en-US"/>
        </w:rPr>
        <w:t>Wage Theft: The Shadow Market</w:t>
      </w:r>
      <w:r w:rsidRPr="00167CB8">
        <w:rPr>
          <w:lang w:val="en-US"/>
        </w:rPr>
        <w:t>) highlighting the pervasive exploitation of migrant workers and revealing that a significant number of job advertisements in foreign languages offered wages which were below the legal minimum.</w:t>
      </w:r>
      <w:r w:rsidRPr="00167CB8">
        <w:rPr>
          <w:rStyle w:val="FootnoteReference"/>
          <w:lang w:val="en-US"/>
        </w:rPr>
        <w:footnoteReference w:id="1030"/>
      </w:r>
    </w:p>
    <w:p w14:paraId="3BE4A8DE" w14:textId="2F99EC38" w:rsidR="00821381" w:rsidRPr="00167CB8" w:rsidRDefault="00072E44" w:rsidP="00E701F7">
      <w:pPr>
        <w:pStyle w:val="Heading4"/>
        <w:rPr>
          <w:rFonts w:asciiTheme="minorHAnsi" w:hAnsiTheme="minorHAnsi"/>
        </w:rPr>
      </w:pPr>
      <w:bookmarkStart w:id="548" w:name="_Toc187934213"/>
      <w:bookmarkStart w:id="549" w:name="_Toc188278041"/>
      <w:bookmarkStart w:id="550" w:name="_Toc189260328"/>
      <w:bookmarkStart w:id="551" w:name="_Toc189393644"/>
      <w:r w:rsidRPr="00167CB8">
        <w:rPr>
          <w:rFonts w:asciiTheme="minorHAnsi" w:hAnsiTheme="minorHAnsi"/>
        </w:rPr>
        <w:t>35.2</w:t>
      </w:r>
      <w:r w:rsidR="00821381" w:rsidRPr="00167CB8">
        <w:rPr>
          <w:rFonts w:asciiTheme="minorHAnsi" w:hAnsiTheme="minorHAnsi"/>
        </w:rPr>
        <w:t xml:space="preserve"> Impact and </w:t>
      </w:r>
      <w:r w:rsidR="002D30C0" w:rsidRPr="00167CB8">
        <w:rPr>
          <w:rFonts w:asciiTheme="minorHAnsi" w:hAnsiTheme="minorHAnsi"/>
        </w:rPr>
        <w:t>i</w:t>
      </w:r>
      <w:r w:rsidR="00821381" w:rsidRPr="00167CB8">
        <w:rPr>
          <w:rFonts w:asciiTheme="minorHAnsi" w:hAnsiTheme="minorHAnsi"/>
        </w:rPr>
        <w:t>ssues</w:t>
      </w:r>
      <w:bookmarkEnd w:id="548"/>
      <w:bookmarkEnd w:id="549"/>
      <w:bookmarkEnd w:id="550"/>
      <w:bookmarkEnd w:id="551"/>
    </w:p>
    <w:p w14:paraId="4E2F3314" w14:textId="77777777" w:rsidR="00821381" w:rsidRPr="00167CB8" w:rsidRDefault="00821381" w:rsidP="006000ED">
      <w:r w:rsidRPr="00167CB8">
        <w:t>The following summarises the data and information considered by the Review Panel when evaluating the amendments discussed above.</w:t>
      </w:r>
    </w:p>
    <w:p w14:paraId="03C75C5D" w14:textId="15072D49" w:rsidR="00821381" w:rsidRPr="00167CB8" w:rsidRDefault="00072E44" w:rsidP="00E701F7">
      <w:pPr>
        <w:pStyle w:val="Heading5"/>
        <w:rPr>
          <w:rFonts w:asciiTheme="minorHAnsi" w:hAnsiTheme="minorHAnsi"/>
        </w:rPr>
      </w:pPr>
      <w:bookmarkStart w:id="552" w:name="_Toc187934214"/>
      <w:r w:rsidRPr="00167CB8">
        <w:rPr>
          <w:rFonts w:asciiTheme="minorHAnsi" w:hAnsiTheme="minorHAnsi"/>
        </w:rPr>
        <w:lastRenderedPageBreak/>
        <w:t>35.2.1</w:t>
      </w:r>
      <w:r w:rsidR="00821381" w:rsidRPr="00167CB8">
        <w:rPr>
          <w:rFonts w:asciiTheme="minorHAnsi" w:hAnsiTheme="minorHAnsi"/>
        </w:rPr>
        <w:t xml:space="preserve"> Quantitative </w:t>
      </w:r>
      <w:r w:rsidR="002D30C0" w:rsidRPr="00167CB8">
        <w:rPr>
          <w:rFonts w:asciiTheme="minorHAnsi" w:hAnsiTheme="minorHAnsi"/>
        </w:rPr>
        <w:t>e</w:t>
      </w:r>
      <w:r w:rsidR="00821381" w:rsidRPr="00167CB8">
        <w:rPr>
          <w:rFonts w:asciiTheme="minorHAnsi" w:hAnsiTheme="minorHAnsi"/>
        </w:rPr>
        <w:t>vidence</w:t>
      </w:r>
      <w:bookmarkEnd w:id="552"/>
    </w:p>
    <w:p w14:paraId="30B7428B" w14:textId="2DBC256C" w:rsidR="00821381" w:rsidRPr="00167CB8" w:rsidRDefault="00821381" w:rsidP="006000ED">
      <w:r w:rsidRPr="00167CB8">
        <w:t xml:space="preserve">The data reported in this section </w:t>
      </w:r>
      <w:r w:rsidR="00F93775" w:rsidRPr="00167CB8">
        <w:t xml:space="preserve">is </w:t>
      </w:r>
      <w:r w:rsidRPr="00167CB8">
        <w:t>in relation to the activities of the FWO. The FWO is responsible for compliance and enforcement of the prohibition of employment advertisements with illegal rates of pay. If the FWO found an employer advertising a job with pay below the minimum it could</w:t>
      </w:r>
      <w:r w:rsidR="0019178A" w:rsidRPr="00167CB8">
        <w:t>, for instance</w:t>
      </w:r>
      <w:r w:rsidRPr="00167CB8">
        <w:t xml:space="preserve">: </w:t>
      </w:r>
    </w:p>
    <w:p w14:paraId="018089FE" w14:textId="25F46D0A" w:rsidR="00821381" w:rsidRPr="00167CB8" w:rsidRDefault="002D30C0" w:rsidP="00567FCA">
      <w:pPr>
        <w:pStyle w:val="ListParagraph"/>
        <w:numPr>
          <w:ilvl w:val="0"/>
          <w:numId w:val="9"/>
        </w:numPr>
        <w:spacing w:line="259" w:lineRule="auto"/>
        <w:ind w:left="714" w:hanging="357"/>
        <w:rPr>
          <w:sz w:val="22"/>
          <w:szCs w:val="22"/>
        </w:rPr>
      </w:pPr>
      <w:r w:rsidRPr="00167CB8">
        <w:rPr>
          <w:sz w:val="22"/>
          <w:szCs w:val="22"/>
        </w:rPr>
        <w:t>i</w:t>
      </w:r>
      <w:r w:rsidR="00821381" w:rsidRPr="00167CB8">
        <w:rPr>
          <w:sz w:val="22"/>
          <w:szCs w:val="22"/>
        </w:rPr>
        <w:t>ssue a compliance notice</w:t>
      </w:r>
    </w:p>
    <w:p w14:paraId="3B3A914B" w14:textId="2D07D314" w:rsidR="00821381" w:rsidRPr="00167CB8" w:rsidRDefault="002D30C0" w:rsidP="00567FCA">
      <w:pPr>
        <w:pStyle w:val="ListParagraph"/>
        <w:numPr>
          <w:ilvl w:val="0"/>
          <w:numId w:val="9"/>
        </w:numPr>
        <w:spacing w:line="259" w:lineRule="auto"/>
        <w:ind w:left="714" w:hanging="357"/>
        <w:rPr>
          <w:sz w:val="22"/>
          <w:szCs w:val="22"/>
        </w:rPr>
      </w:pPr>
      <w:r w:rsidRPr="00167CB8">
        <w:rPr>
          <w:sz w:val="22"/>
          <w:szCs w:val="22"/>
        </w:rPr>
        <w:t>i</w:t>
      </w:r>
      <w:r w:rsidR="00821381" w:rsidRPr="00167CB8">
        <w:rPr>
          <w:sz w:val="22"/>
          <w:szCs w:val="22"/>
        </w:rPr>
        <w:t>mpose an infringement notice</w:t>
      </w:r>
    </w:p>
    <w:p w14:paraId="50E4B0AE" w14:textId="203973D2" w:rsidR="00821381" w:rsidRPr="00167CB8" w:rsidRDefault="002D30C0" w:rsidP="00567FCA">
      <w:pPr>
        <w:pStyle w:val="ListParagraph"/>
        <w:numPr>
          <w:ilvl w:val="0"/>
          <w:numId w:val="9"/>
        </w:numPr>
        <w:spacing w:line="259" w:lineRule="auto"/>
        <w:ind w:left="714" w:hanging="357"/>
        <w:rPr>
          <w:sz w:val="22"/>
          <w:szCs w:val="22"/>
        </w:rPr>
      </w:pPr>
      <w:r w:rsidRPr="00167CB8">
        <w:rPr>
          <w:sz w:val="22"/>
          <w:szCs w:val="22"/>
        </w:rPr>
        <w:t>s</w:t>
      </w:r>
      <w:r w:rsidR="00821381" w:rsidRPr="00167CB8">
        <w:rPr>
          <w:sz w:val="22"/>
          <w:szCs w:val="22"/>
        </w:rPr>
        <w:t>eek court penalties</w:t>
      </w:r>
    </w:p>
    <w:p w14:paraId="705ADE9F" w14:textId="571CF2B0" w:rsidR="00821381" w:rsidRPr="00167CB8" w:rsidRDefault="002D30C0" w:rsidP="00567FCA">
      <w:pPr>
        <w:pStyle w:val="ListParagraph"/>
        <w:numPr>
          <w:ilvl w:val="0"/>
          <w:numId w:val="9"/>
        </w:numPr>
        <w:spacing w:line="259" w:lineRule="auto"/>
        <w:ind w:left="714" w:hanging="357"/>
        <w:rPr>
          <w:sz w:val="22"/>
          <w:szCs w:val="22"/>
        </w:rPr>
      </w:pPr>
      <w:r w:rsidRPr="00167CB8">
        <w:rPr>
          <w:sz w:val="22"/>
          <w:szCs w:val="22"/>
        </w:rPr>
        <w:t>e</w:t>
      </w:r>
      <w:r w:rsidR="00821381" w:rsidRPr="00167CB8">
        <w:rPr>
          <w:sz w:val="22"/>
          <w:szCs w:val="22"/>
        </w:rPr>
        <w:t>ducate the employer about the prohibition</w:t>
      </w:r>
      <w:r w:rsidRPr="00167CB8">
        <w:rPr>
          <w:sz w:val="22"/>
          <w:szCs w:val="22"/>
        </w:rPr>
        <w:t>.</w:t>
      </w:r>
      <w:r w:rsidR="00821381" w:rsidRPr="00167CB8">
        <w:rPr>
          <w:rStyle w:val="FootnoteReference"/>
          <w:sz w:val="22"/>
          <w:szCs w:val="22"/>
        </w:rPr>
        <w:footnoteReference w:id="1031"/>
      </w:r>
      <w:r w:rsidR="00821381" w:rsidRPr="00167CB8">
        <w:rPr>
          <w:sz w:val="22"/>
          <w:szCs w:val="22"/>
        </w:rPr>
        <w:t xml:space="preserve">  </w:t>
      </w:r>
    </w:p>
    <w:p w14:paraId="5BD864DC" w14:textId="1368BF40" w:rsidR="00821381" w:rsidRPr="00167CB8" w:rsidRDefault="00821381" w:rsidP="006000ED">
      <w:r w:rsidRPr="00167CB8">
        <w:t xml:space="preserve">The amendments, as noted, came into effect on 7 </w:t>
      </w:r>
      <w:r w:rsidR="0024668D" w:rsidRPr="00167CB8">
        <w:t>December 2022 and apply to jobs being advertised on or after</w:t>
      </w:r>
      <w:r w:rsidRPr="00167CB8">
        <w:t xml:space="preserve"> 7 January 2023.</w:t>
      </w:r>
    </w:p>
    <w:p w14:paraId="17A228FC" w14:textId="424261B4" w:rsidR="00821381" w:rsidRPr="00167CB8" w:rsidRDefault="00D30F9A" w:rsidP="006000ED">
      <w:r w:rsidRPr="00167CB8">
        <w:t xml:space="preserve">Data provided </w:t>
      </w:r>
      <w:r w:rsidR="00594F08" w:rsidRPr="00167CB8">
        <w:t xml:space="preserve">from the FWO to the Review </w:t>
      </w:r>
      <w:r w:rsidR="00821381" w:rsidRPr="00167CB8">
        <w:t>indicates that</w:t>
      </w:r>
      <w:r w:rsidR="002D30C0" w:rsidRPr="00167CB8">
        <w:t>,</w:t>
      </w:r>
      <w:r w:rsidR="00821381" w:rsidRPr="00167CB8">
        <w:t xml:space="preserve"> from 7 January 2023 to 31 October 2024, the FWO issued 243 infringement notices to employers contravening the </w:t>
      </w:r>
      <w:r w:rsidR="0048783C" w:rsidRPr="00167CB8">
        <w:t xml:space="preserve">Act </w:t>
      </w:r>
      <w:r w:rsidR="00821381" w:rsidRPr="00167CB8">
        <w:t xml:space="preserve">provisions on job advertisements. </w:t>
      </w:r>
    </w:p>
    <w:p w14:paraId="1B55F348" w14:textId="45BA9A36" w:rsidR="00821381" w:rsidRPr="00167CB8" w:rsidRDefault="006944E4" w:rsidP="006000ED">
      <w:r w:rsidRPr="00167CB8">
        <w:t xml:space="preserve">Part of the role of the </w:t>
      </w:r>
      <w:r w:rsidR="00821381" w:rsidRPr="00167CB8">
        <w:t xml:space="preserve">FWO </w:t>
      </w:r>
      <w:r w:rsidRPr="00167CB8">
        <w:t>is to provide education around workplace entitlements and employer obligations</w:t>
      </w:r>
      <w:r w:rsidR="00821381" w:rsidRPr="00167CB8">
        <w:t xml:space="preserve"> and its web</w:t>
      </w:r>
      <w:r w:rsidR="002D30C0" w:rsidRPr="00167CB8">
        <w:t xml:space="preserve"> </w:t>
      </w:r>
      <w:r w:rsidR="00821381" w:rsidRPr="00167CB8">
        <w:t>page on ‘Job ads’</w:t>
      </w:r>
      <w:r w:rsidR="00821381" w:rsidRPr="00167CB8">
        <w:rPr>
          <w:rStyle w:val="FootnoteReference"/>
        </w:rPr>
        <w:footnoteReference w:id="1032"/>
      </w:r>
      <w:r w:rsidR="00821381" w:rsidRPr="00167CB8">
        <w:t xml:space="preserve"> includes an example of a job advertisement template for employers. This includes specific information on rules about what </w:t>
      </w:r>
      <w:r w:rsidR="002D30C0" w:rsidRPr="00167CB8">
        <w:t xml:space="preserve">cannot </w:t>
      </w:r>
      <w:r w:rsidR="00821381" w:rsidRPr="00167CB8">
        <w:t xml:space="preserve">be included in job ads, including ensuring pay rates </w:t>
      </w:r>
      <w:r w:rsidR="002D30C0" w:rsidRPr="00167CB8">
        <w:t xml:space="preserve">do not </w:t>
      </w:r>
      <w:r w:rsidR="00821381" w:rsidRPr="00167CB8">
        <w:t xml:space="preserve">breach the </w:t>
      </w:r>
      <w:r w:rsidR="007132B2" w:rsidRPr="00167CB8">
        <w:t>Act</w:t>
      </w:r>
      <w:r w:rsidR="00821381" w:rsidRPr="00167CB8">
        <w:t xml:space="preserve"> or a fair work instrument. The template also includes a link </w:t>
      </w:r>
      <w:r w:rsidR="00E940AF" w:rsidRPr="00167CB8">
        <w:t>to</w:t>
      </w:r>
      <w:r w:rsidR="00821381" w:rsidRPr="00167CB8">
        <w:t xml:space="preserve"> the FW</w:t>
      </w:r>
      <w:r w:rsidR="00DE731E" w:rsidRPr="00167CB8">
        <w:t>O</w:t>
      </w:r>
      <w:r w:rsidR="00821381" w:rsidRPr="00167CB8">
        <w:t xml:space="preserve"> ‘Pay and Conditions Tool’.</w:t>
      </w:r>
      <w:r w:rsidR="00821381" w:rsidRPr="00167CB8">
        <w:rPr>
          <w:rStyle w:val="FootnoteReference"/>
        </w:rPr>
        <w:footnoteReference w:id="1033"/>
      </w:r>
      <w:r w:rsidR="00821381" w:rsidRPr="00167CB8">
        <w:t xml:space="preserve">  </w:t>
      </w:r>
    </w:p>
    <w:p w14:paraId="4B62C921" w14:textId="428CED67" w:rsidR="00821381" w:rsidRPr="00167CB8" w:rsidRDefault="00594F08" w:rsidP="006000ED">
      <w:r w:rsidRPr="00167CB8">
        <w:t>The</w:t>
      </w:r>
      <w:r w:rsidR="00821381" w:rsidRPr="00167CB8">
        <w:t xml:space="preserve"> </w:t>
      </w:r>
      <w:r w:rsidRPr="00167CB8">
        <w:t>data</w:t>
      </w:r>
      <w:r w:rsidR="00821381" w:rsidRPr="00167CB8">
        <w:t xml:space="preserve"> </w:t>
      </w:r>
      <w:r w:rsidR="00CF704F" w:rsidRPr="00167CB8">
        <w:t xml:space="preserve">provided from the FWO to the Review </w:t>
      </w:r>
      <w:r w:rsidR="00821381" w:rsidRPr="00167CB8">
        <w:t>indicates their job ads web</w:t>
      </w:r>
      <w:r w:rsidR="002D30C0" w:rsidRPr="00167CB8">
        <w:t xml:space="preserve"> </w:t>
      </w:r>
      <w:r w:rsidR="00821381" w:rsidRPr="00167CB8">
        <w:t>page was viewed over 20,000 times between 2022</w:t>
      </w:r>
      <w:r w:rsidR="002D30C0" w:rsidRPr="00167CB8">
        <w:rPr>
          <w:rFonts w:ascii="Symbol" w:eastAsia="Symbol" w:hAnsi="Symbol" w:cs="Symbol"/>
        </w:rPr>
        <w:sym w:font="Symbol" w:char="F02D"/>
      </w:r>
      <w:r w:rsidR="00821381" w:rsidRPr="00167CB8">
        <w:t xml:space="preserve">23 </w:t>
      </w:r>
      <w:r w:rsidR="002D30C0" w:rsidRPr="00167CB8">
        <w:t xml:space="preserve">and </w:t>
      </w:r>
      <w:r w:rsidR="00821381" w:rsidRPr="00167CB8">
        <w:t>31 October 2024.</w:t>
      </w:r>
    </w:p>
    <w:p w14:paraId="28EB5B83" w14:textId="337C67A7" w:rsidR="00821381" w:rsidRPr="00167CB8" w:rsidRDefault="00821381" w:rsidP="006000ED">
      <w:r w:rsidRPr="00167CB8">
        <w:t>Members of the public, including employees</w:t>
      </w:r>
      <w:r w:rsidR="002D30C0" w:rsidRPr="00167CB8">
        <w:t>,</w:t>
      </w:r>
      <w:r w:rsidRPr="00167CB8">
        <w:t xml:space="preserve"> may report breaches of the </w:t>
      </w:r>
      <w:r w:rsidR="001B75FF" w:rsidRPr="00167CB8">
        <w:t>Fair Work</w:t>
      </w:r>
      <w:r w:rsidRPr="00167CB8">
        <w:t xml:space="preserve"> Act to the FWO. The FWO website sets out the information required when reporting an incident and explains that reporting may be done anonymously.</w:t>
      </w:r>
      <w:r w:rsidRPr="00167CB8">
        <w:rPr>
          <w:rStyle w:val="FootnoteReference"/>
        </w:rPr>
        <w:footnoteReference w:id="1034"/>
      </w:r>
      <w:r w:rsidRPr="00167CB8">
        <w:t xml:space="preserve"> Workers may also contact the FWO for direct help or questions on their workplace entitlements.</w:t>
      </w:r>
    </w:p>
    <w:p w14:paraId="68226EEE" w14:textId="58821053" w:rsidR="00821381" w:rsidRPr="00167CB8" w:rsidRDefault="00821381" w:rsidP="006000ED">
      <w:r w:rsidRPr="00167CB8">
        <w:t xml:space="preserve">The </w:t>
      </w:r>
      <w:r w:rsidR="00711432" w:rsidRPr="00167CB8">
        <w:t>FWO data also indicate</w:t>
      </w:r>
      <w:r w:rsidR="00251F27" w:rsidRPr="00167CB8">
        <w:t>s</w:t>
      </w:r>
      <w:r w:rsidR="00711432" w:rsidRPr="00167CB8">
        <w:t xml:space="preserve"> that</w:t>
      </w:r>
      <w:r w:rsidRPr="00167CB8">
        <w:t xml:space="preserve"> they provided assistance in response to 2 requests regarding these provisions.</w:t>
      </w:r>
      <w:r w:rsidR="006B5554" w:rsidRPr="00167CB8">
        <w:t xml:space="preserve"> However, they did not provide details of how many anonymous reports </w:t>
      </w:r>
      <w:r w:rsidR="00300CAA" w:rsidRPr="00167CB8">
        <w:t xml:space="preserve">were </w:t>
      </w:r>
      <w:r w:rsidR="006B5554" w:rsidRPr="00167CB8">
        <w:t>received</w:t>
      </w:r>
      <w:r w:rsidR="006944E4" w:rsidRPr="00167CB8">
        <w:t xml:space="preserve"> which may be </w:t>
      </w:r>
      <w:r w:rsidR="00300CAA" w:rsidRPr="00167CB8">
        <w:t>substantially</w:t>
      </w:r>
      <w:r w:rsidR="006944E4" w:rsidRPr="00167CB8">
        <w:t xml:space="preserve"> higher.</w:t>
      </w:r>
    </w:p>
    <w:p w14:paraId="0C067F19" w14:textId="46A14656" w:rsidR="00821381" w:rsidRPr="00167CB8" w:rsidRDefault="00072E44" w:rsidP="00E701F7">
      <w:pPr>
        <w:pStyle w:val="Heading5"/>
        <w:rPr>
          <w:rFonts w:asciiTheme="minorHAnsi" w:hAnsiTheme="minorHAnsi"/>
        </w:rPr>
      </w:pPr>
      <w:bookmarkStart w:id="553" w:name="_Toc187934215"/>
      <w:r w:rsidRPr="00167CB8">
        <w:rPr>
          <w:rFonts w:asciiTheme="minorHAnsi" w:hAnsiTheme="minorHAnsi"/>
        </w:rPr>
        <w:t>35.2.2</w:t>
      </w:r>
      <w:r w:rsidR="00821381" w:rsidRPr="00167CB8">
        <w:rPr>
          <w:rFonts w:asciiTheme="minorHAnsi" w:hAnsiTheme="minorHAnsi"/>
        </w:rPr>
        <w:t xml:space="preserve"> Qualitative </w:t>
      </w:r>
      <w:r w:rsidR="002D30C0" w:rsidRPr="00167CB8">
        <w:rPr>
          <w:rFonts w:asciiTheme="minorHAnsi" w:hAnsiTheme="minorHAnsi"/>
        </w:rPr>
        <w:t>e</w:t>
      </w:r>
      <w:r w:rsidR="00821381" w:rsidRPr="00167CB8">
        <w:rPr>
          <w:rFonts w:asciiTheme="minorHAnsi" w:hAnsiTheme="minorHAnsi"/>
        </w:rPr>
        <w:t>vidence</w:t>
      </w:r>
      <w:bookmarkEnd w:id="553"/>
    </w:p>
    <w:p w14:paraId="7046A55D" w14:textId="453D4C5C" w:rsidR="00821381" w:rsidRPr="00167CB8" w:rsidRDefault="00821381" w:rsidP="00E701F7">
      <w:r w:rsidRPr="00167CB8">
        <w:t xml:space="preserve">The Review Panel </w:t>
      </w:r>
      <w:r w:rsidR="00363BBF" w:rsidRPr="00167CB8">
        <w:t xml:space="preserve">is not aware of </w:t>
      </w:r>
      <w:r w:rsidRPr="00167CB8">
        <w:t xml:space="preserve">any other </w:t>
      </w:r>
      <w:r w:rsidR="00BF6161" w:rsidRPr="00167CB8">
        <w:t xml:space="preserve">significant </w:t>
      </w:r>
      <w:r w:rsidRPr="00167CB8">
        <w:t xml:space="preserve">qualitative evidence </w:t>
      </w:r>
      <w:r w:rsidR="00EC766B" w:rsidRPr="00167CB8">
        <w:t>in relation to these amendments.</w:t>
      </w:r>
    </w:p>
    <w:p w14:paraId="6142E555" w14:textId="0F25A031" w:rsidR="00821381" w:rsidRPr="00167CB8" w:rsidRDefault="00072E44" w:rsidP="00E701F7">
      <w:pPr>
        <w:pStyle w:val="Heading5"/>
        <w:rPr>
          <w:rFonts w:asciiTheme="minorHAnsi" w:hAnsiTheme="minorHAnsi"/>
        </w:rPr>
      </w:pPr>
      <w:bookmarkStart w:id="554" w:name="_Toc187934216"/>
      <w:r w:rsidRPr="00167CB8">
        <w:rPr>
          <w:rFonts w:asciiTheme="minorHAnsi" w:hAnsiTheme="minorHAnsi"/>
        </w:rPr>
        <w:t>35.2.3</w:t>
      </w:r>
      <w:r w:rsidR="00821381" w:rsidRPr="00167CB8">
        <w:rPr>
          <w:rFonts w:asciiTheme="minorHAnsi" w:hAnsiTheme="minorHAnsi"/>
        </w:rPr>
        <w:t xml:space="preserve"> Stakeholder views</w:t>
      </w:r>
      <w:bookmarkEnd w:id="554"/>
    </w:p>
    <w:p w14:paraId="7658DE31" w14:textId="3B833E00" w:rsidR="00821381" w:rsidRPr="00167CB8" w:rsidRDefault="002D30C0" w:rsidP="006000ED">
      <w:pPr>
        <w:spacing w:before="240"/>
      </w:pPr>
      <w:r w:rsidRPr="00167CB8">
        <w:t>The Australian Chamber of Commerce and Industry (</w:t>
      </w:r>
      <w:r w:rsidR="00821381" w:rsidRPr="00167CB8">
        <w:t>ACCI</w:t>
      </w:r>
      <w:r w:rsidRPr="00167CB8">
        <w:t>)</w:t>
      </w:r>
      <w:r w:rsidR="00821381" w:rsidRPr="00167CB8">
        <w:t xml:space="preserve"> raised concerns in their submissions</w:t>
      </w:r>
      <w:r w:rsidR="00711432" w:rsidRPr="00167CB8">
        <w:t xml:space="preserve"> about </w:t>
      </w:r>
      <w:r w:rsidR="005B61B8" w:rsidRPr="00167CB8">
        <w:t>job advertising platforms</w:t>
      </w:r>
      <w:r w:rsidR="00821381" w:rsidRPr="00167CB8">
        <w:t>. ACCI note</w:t>
      </w:r>
      <w:r w:rsidRPr="00167CB8">
        <w:t>d</w:t>
      </w:r>
      <w:r w:rsidR="00821381" w:rsidRPr="00167CB8">
        <w:t xml:space="preserve"> that some pay discrepancies in job </w:t>
      </w:r>
      <w:r w:rsidR="00821381" w:rsidRPr="00167CB8">
        <w:lastRenderedPageBreak/>
        <w:t>advertisements occur because platforms pre-fill pay ranges. Their suggestion is that platforms such as SEEK could improve their interfaces to allow manual input of pay rates and reduce the risk of errors.</w:t>
      </w:r>
      <w:r w:rsidR="00821381" w:rsidRPr="00167CB8">
        <w:rPr>
          <w:rStyle w:val="FootnoteReference"/>
        </w:rPr>
        <w:footnoteReference w:id="1035"/>
      </w:r>
      <w:r w:rsidR="00821381" w:rsidRPr="00167CB8">
        <w:t xml:space="preserve"> </w:t>
      </w:r>
    </w:p>
    <w:p w14:paraId="4A50E3DA" w14:textId="399A38DD" w:rsidR="00821381" w:rsidRPr="00167CB8" w:rsidRDefault="00821381" w:rsidP="006000ED">
      <w:r w:rsidRPr="00167CB8">
        <w:t>Ai Group raised no issues with these amendments but asserted that ‘the Government should devote resources to ensuring that there are appropriate public education initiatives implemented to ensure that the new obligations widely known, including initiatives that are communicated in a variety of different community languages</w:t>
      </w:r>
      <w:r w:rsidR="002D30C0" w:rsidRPr="00167CB8">
        <w:t>’</w:t>
      </w:r>
      <w:r w:rsidR="00794E0B" w:rsidRPr="00167CB8">
        <w:t>.</w:t>
      </w:r>
      <w:r w:rsidRPr="00167CB8">
        <w:rPr>
          <w:rStyle w:val="FootnoteReference"/>
        </w:rPr>
        <w:footnoteReference w:id="1036"/>
      </w:r>
    </w:p>
    <w:p w14:paraId="1C420B52" w14:textId="748F078C" w:rsidR="00821381" w:rsidRPr="00167CB8" w:rsidRDefault="00821381" w:rsidP="006000ED">
      <w:r w:rsidRPr="00167CB8">
        <w:t>Clubs Australia</w:t>
      </w:r>
      <w:r w:rsidRPr="00167CB8">
        <w:rPr>
          <w:rStyle w:val="FootnoteReference"/>
        </w:rPr>
        <w:footnoteReference w:id="1037"/>
      </w:r>
      <w:r w:rsidRPr="00167CB8">
        <w:t xml:space="preserve"> expressed concerns about the amendments. They highlighted the risk that clubs might unintentionally breach the law when advertising roles. For example, a club might advertise a part-time position with a legally compliant wage rate but later decide to hire a casual employee instead. If a casual loading had not been included in the original advertisement</w:t>
      </w:r>
      <w:r w:rsidR="002D30C0" w:rsidRPr="00167CB8">
        <w:t>,</w:t>
      </w:r>
      <w:r w:rsidRPr="00167CB8">
        <w:t xml:space="preserve"> this could potentially be a breach of the Act. </w:t>
      </w:r>
    </w:p>
    <w:p w14:paraId="2CB91C8F" w14:textId="6C843AD8" w:rsidR="00821381" w:rsidRPr="00167CB8" w:rsidRDefault="00821381" w:rsidP="006000ED">
      <w:r w:rsidRPr="00167CB8">
        <w:t xml:space="preserve">Clubs Australia and the </w:t>
      </w:r>
      <w:r w:rsidR="002D30C0" w:rsidRPr="00167CB8">
        <w:t>Australian Retailers Association</w:t>
      </w:r>
      <w:r w:rsidR="001D690F" w:rsidRPr="00167CB8">
        <w:rPr>
          <w:rStyle w:val="FootnoteReference"/>
        </w:rPr>
        <w:footnoteReference w:id="1038"/>
      </w:r>
      <w:r w:rsidRPr="00167CB8">
        <w:t xml:space="preserve"> noted that they had not experienced any issues yet but indicated some concerns about the potential liability of employers.</w:t>
      </w:r>
      <w:r w:rsidRPr="00167CB8">
        <w:rPr>
          <w:rStyle w:val="FootnoteReference"/>
        </w:rPr>
        <w:footnoteReference w:id="1039"/>
      </w:r>
      <w:r w:rsidRPr="00167CB8">
        <w:t xml:space="preserve"> </w:t>
      </w:r>
    </w:p>
    <w:p w14:paraId="38991924" w14:textId="1DB995D1" w:rsidR="00821381" w:rsidRPr="00167CB8" w:rsidRDefault="00821381" w:rsidP="002D30C0">
      <w:r w:rsidRPr="00167CB8">
        <w:t xml:space="preserve">The </w:t>
      </w:r>
      <w:r w:rsidR="002D30C0" w:rsidRPr="00167CB8">
        <w:t>Australian Council of Trade Unions (</w:t>
      </w:r>
      <w:r w:rsidRPr="00167CB8">
        <w:t>ACTU</w:t>
      </w:r>
      <w:r w:rsidR="002D30C0" w:rsidRPr="00167CB8">
        <w:t>)</w:t>
      </w:r>
      <w:r w:rsidR="00CC49B3" w:rsidRPr="00167CB8">
        <w:rPr>
          <w:rStyle w:val="FootnoteReference"/>
        </w:rPr>
        <w:footnoteReference w:id="1040"/>
      </w:r>
      <w:r w:rsidRPr="00167CB8">
        <w:t xml:space="preserve"> and the Employment Rights Legal Service (ERLS)</w:t>
      </w:r>
      <w:r w:rsidRPr="00167CB8">
        <w:rPr>
          <w:rStyle w:val="FootnoteReference"/>
        </w:rPr>
        <w:footnoteReference w:id="1041"/>
      </w:r>
      <w:r w:rsidRPr="00167CB8">
        <w:t xml:space="preserve"> strongly support the amendments, although the ERLS contends that the reforms do not go far enough. Their particular concern relates to ‘closed’ environments (e.g. WhatsApp) which are used by many young people, migrant workers and vulnerable workers when searching for work. They note that </w:t>
      </w:r>
      <w:r w:rsidR="002D30C0" w:rsidRPr="00167CB8">
        <w:t>s </w:t>
      </w:r>
      <w:r w:rsidRPr="00167CB8">
        <w:t>536AA may</w:t>
      </w:r>
      <w:r w:rsidR="002D30C0" w:rsidRPr="00167CB8">
        <w:t xml:space="preserve"> ‘</w:t>
      </w:r>
      <w:r w:rsidRPr="00167CB8">
        <w:t xml:space="preserve">inadvertently encourage employers to advertise employment in </w:t>
      </w:r>
      <w:r w:rsidR="002D30C0" w:rsidRPr="00167CB8">
        <w:t>“</w:t>
      </w:r>
      <w:r w:rsidRPr="00167CB8">
        <w:t>closed</w:t>
      </w:r>
      <w:r w:rsidR="002D30C0" w:rsidRPr="00167CB8">
        <w:t>”</w:t>
      </w:r>
      <w:r w:rsidRPr="00167CB8">
        <w:t xml:space="preserve"> environments (for example, private social media groups and message boards, e.g., WhatsApp) in order to evade detection, or to decline to advertise any specific rate of pay</w:t>
      </w:r>
      <w:r w:rsidR="002D30C0" w:rsidRPr="00167CB8">
        <w:t>’</w:t>
      </w:r>
      <w:r w:rsidRPr="00167CB8">
        <w:t>.</w:t>
      </w:r>
    </w:p>
    <w:p w14:paraId="64665052" w14:textId="007D2660" w:rsidR="00821381" w:rsidRPr="00167CB8" w:rsidRDefault="00821381" w:rsidP="006000ED">
      <w:r w:rsidRPr="00167CB8">
        <w:t xml:space="preserve">The </w:t>
      </w:r>
      <w:r w:rsidR="002D30C0" w:rsidRPr="00167CB8">
        <w:t xml:space="preserve">Finance Sector Union </w:t>
      </w:r>
      <w:r w:rsidRPr="00167CB8">
        <w:t>also asserted that there ‘has been an increasing trend in the advertising of job vacancies to advertise roles without pay rates attached.’</w:t>
      </w:r>
      <w:r w:rsidRPr="00167CB8">
        <w:rPr>
          <w:rStyle w:val="FootnoteReference"/>
        </w:rPr>
        <w:footnoteReference w:id="1042"/>
      </w:r>
      <w:r w:rsidRPr="00167CB8">
        <w:t xml:space="preserve"> </w:t>
      </w:r>
      <w:r w:rsidR="002D30C0" w:rsidRPr="00167CB8">
        <w:t xml:space="preserve">It </w:t>
      </w:r>
      <w:r w:rsidRPr="00167CB8">
        <w:t>recommend</w:t>
      </w:r>
      <w:r w:rsidR="002D30C0" w:rsidRPr="00167CB8">
        <w:t>ed</w:t>
      </w:r>
      <w:r w:rsidRPr="00167CB8">
        <w:t xml:space="preserve"> the ‘government introduce salary range transparency legislation and/or regulations to require employers to disclose salary ranges in every job advertised</w:t>
      </w:r>
      <w:r w:rsidR="002D30C0" w:rsidRPr="00167CB8">
        <w:t>’</w:t>
      </w:r>
      <w:r w:rsidRPr="00167CB8">
        <w:t>.</w:t>
      </w:r>
      <w:r w:rsidRPr="00167CB8">
        <w:rPr>
          <w:rStyle w:val="FootnoteReference"/>
        </w:rPr>
        <w:footnoteReference w:id="1043"/>
      </w:r>
    </w:p>
    <w:p w14:paraId="44243640" w14:textId="5C35CF72" w:rsidR="00821381" w:rsidRPr="00167CB8" w:rsidRDefault="00072E44" w:rsidP="00E701F7">
      <w:pPr>
        <w:pStyle w:val="Heading4"/>
        <w:rPr>
          <w:rFonts w:asciiTheme="minorHAnsi" w:hAnsiTheme="minorHAnsi"/>
        </w:rPr>
      </w:pPr>
      <w:bookmarkStart w:id="555" w:name="_Toc187934217"/>
      <w:bookmarkStart w:id="556" w:name="_Toc188278042"/>
      <w:bookmarkStart w:id="557" w:name="_Toc189260329"/>
      <w:bookmarkStart w:id="558" w:name="_Toc189393645"/>
      <w:r w:rsidRPr="00167CB8">
        <w:rPr>
          <w:rFonts w:asciiTheme="minorHAnsi" w:hAnsiTheme="minorHAnsi"/>
        </w:rPr>
        <w:t>35.3</w:t>
      </w:r>
      <w:r w:rsidR="00821381" w:rsidRPr="00167CB8">
        <w:rPr>
          <w:rFonts w:asciiTheme="minorHAnsi" w:hAnsiTheme="minorHAnsi"/>
        </w:rPr>
        <w:t xml:space="preserve"> Findings and </w:t>
      </w:r>
      <w:r w:rsidR="002D30C0" w:rsidRPr="00167CB8">
        <w:rPr>
          <w:rFonts w:asciiTheme="minorHAnsi" w:hAnsiTheme="minorHAnsi"/>
        </w:rPr>
        <w:t>r</w:t>
      </w:r>
      <w:r w:rsidR="00821381" w:rsidRPr="00167CB8">
        <w:rPr>
          <w:rFonts w:asciiTheme="minorHAnsi" w:hAnsiTheme="minorHAnsi"/>
        </w:rPr>
        <w:t>ecommendations</w:t>
      </w:r>
      <w:bookmarkEnd w:id="555"/>
      <w:bookmarkEnd w:id="556"/>
      <w:bookmarkEnd w:id="557"/>
      <w:bookmarkEnd w:id="558"/>
    </w:p>
    <w:p w14:paraId="3C4214A2" w14:textId="038FA01C" w:rsidR="00821381" w:rsidRPr="00167CB8" w:rsidRDefault="00821381" w:rsidP="00E701F7">
      <w:pPr>
        <w:rPr>
          <w:rFonts w:cstheme="minorHAnsi"/>
          <w:lang w:val="en-US"/>
        </w:rPr>
      </w:pPr>
      <w:r w:rsidRPr="00167CB8">
        <w:rPr>
          <w:lang w:val="en-US"/>
        </w:rPr>
        <w:t xml:space="preserve">The amendments came into effect on </w:t>
      </w:r>
      <w:r w:rsidRPr="00167CB8">
        <w:rPr>
          <w:rFonts w:cstheme="minorHAnsi"/>
          <w:lang w:val="en-US"/>
        </w:rPr>
        <w:t xml:space="preserve">7 </w:t>
      </w:r>
      <w:r w:rsidR="00B36062" w:rsidRPr="00167CB8">
        <w:rPr>
          <w:lang w:val="en-US"/>
        </w:rPr>
        <w:t xml:space="preserve">December 2022 and apply to jobs being advertised on or after </w:t>
      </w:r>
      <w:r w:rsidRPr="00167CB8">
        <w:rPr>
          <w:rFonts w:cstheme="minorHAnsi"/>
          <w:lang w:val="en-US"/>
        </w:rPr>
        <w:t>7 January 2023</w:t>
      </w:r>
      <w:r w:rsidR="002D30C0" w:rsidRPr="00167CB8">
        <w:rPr>
          <w:rFonts w:cstheme="minorHAnsi"/>
          <w:lang w:val="en-US"/>
        </w:rPr>
        <w:t>.</w:t>
      </w:r>
      <w:r w:rsidRPr="00167CB8">
        <w:rPr>
          <w:rFonts w:cstheme="minorHAnsi"/>
          <w:lang w:val="en-US"/>
        </w:rPr>
        <w:t xml:space="preserve"> </w:t>
      </w:r>
      <w:r w:rsidR="002D30C0" w:rsidRPr="00167CB8">
        <w:rPr>
          <w:rFonts w:cstheme="minorHAnsi"/>
          <w:lang w:val="en-US"/>
        </w:rPr>
        <w:t>E</w:t>
      </w:r>
      <w:r w:rsidRPr="00167CB8">
        <w:rPr>
          <w:rFonts w:cstheme="minorHAnsi"/>
          <w:lang w:val="en-US"/>
        </w:rPr>
        <w:t xml:space="preserve">vidence </w:t>
      </w:r>
      <w:r w:rsidR="00C80FF7" w:rsidRPr="00167CB8">
        <w:rPr>
          <w:rFonts w:cstheme="minorHAnsi"/>
          <w:lang w:val="en-US"/>
        </w:rPr>
        <w:t xml:space="preserve">provided </w:t>
      </w:r>
      <w:r w:rsidRPr="00167CB8">
        <w:rPr>
          <w:rFonts w:cstheme="minorHAnsi"/>
          <w:lang w:val="en-US"/>
        </w:rPr>
        <w:t xml:space="preserve">by the FWO and stakeholders suggests that the changes are having their intended effect. The Panel concurs. </w:t>
      </w:r>
    </w:p>
    <w:p w14:paraId="4E1E6D75" w14:textId="556A9010" w:rsidR="00821381" w:rsidRPr="00167CB8" w:rsidRDefault="00821381" w:rsidP="00E701F7">
      <w:pPr>
        <w:rPr>
          <w:rFonts w:cstheme="minorHAnsi"/>
          <w:lang w:val="en-US"/>
        </w:rPr>
      </w:pPr>
      <w:r w:rsidRPr="00167CB8">
        <w:rPr>
          <w:rFonts w:cstheme="minorHAnsi"/>
          <w:lang w:val="en-US"/>
        </w:rPr>
        <w:t xml:space="preserve">Notwithstanding this conclusion the Panel notes the concerns and issues raised by stakeholders and, accordingly, makes </w:t>
      </w:r>
      <w:r w:rsidR="00076AE7" w:rsidRPr="00167CB8">
        <w:rPr>
          <w:rFonts w:cstheme="minorHAnsi"/>
          <w:lang w:val="en-US"/>
        </w:rPr>
        <w:t xml:space="preserve">a </w:t>
      </w:r>
      <w:r w:rsidRPr="00167CB8">
        <w:rPr>
          <w:rFonts w:cstheme="minorHAnsi"/>
          <w:lang w:val="en-US"/>
        </w:rPr>
        <w:t>recommendation.</w:t>
      </w:r>
    </w:p>
    <w:p w14:paraId="0059FCD9" w14:textId="6B602ED8" w:rsidR="00821381" w:rsidRPr="00167CB8" w:rsidRDefault="00821381" w:rsidP="00E701F7">
      <w:pPr>
        <w:rPr>
          <w:rFonts w:cstheme="minorHAnsi"/>
          <w:lang w:val="en-US"/>
        </w:rPr>
      </w:pPr>
      <w:r w:rsidRPr="00167CB8">
        <w:rPr>
          <w:rFonts w:cstheme="minorHAnsi"/>
          <w:lang w:val="en-US"/>
        </w:rPr>
        <w:t xml:space="preserve">The ongoing effectiveness of these reforms, intended to make sure prospective employees receive correct and lawful information about potential employment opportunities, will depend </w:t>
      </w:r>
      <w:r w:rsidRPr="00167CB8">
        <w:rPr>
          <w:rFonts w:cstheme="minorHAnsi"/>
          <w:lang w:val="en-US"/>
        </w:rPr>
        <w:lastRenderedPageBreak/>
        <w:t>on applying them in the context of evolving technology and methods of communication. For example, job advertising platforms should be set up to support compliance by making sure that pay ranges do not display rates below the legal minimums. Similarly, amendments may be required if the provisions do not effectively cover new channels being used to advertise jobs, such as WhatsApp groups, private social media pages or closed job boards.</w:t>
      </w:r>
    </w:p>
    <w:p w14:paraId="4DF5B7D1" w14:textId="77777777" w:rsidR="00F712CE" w:rsidRPr="00167CB8" w:rsidRDefault="00F712CE" w:rsidP="00F712CE">
      <w:pPr>
        <w:rPr>
          <w:rFonts w:cstheme="minorHAnsi"/>
          <w:b/>
          <w:iCs/>
          <w:lang w:val="en-US"/>
        </w:rPr>
      </w:pPr>
      <w:r w:rsidRPr="00167CB8">
        <w:rPr>
          <w:rFonts w:cstheme="minorHAnsi"/>
          <w:b/>
          <w:iCs/>
          <w:lang w:val="en-US"/>
        </w:rPr>
        <w:t>Draft Recommendation 18: The Fair Work Ombudsman (FWO) should engage with job advertising platforms and other technology stakeholders to ensure that all job advertisements include accurate and lawful information, supported by the FWO’s public education initiatives and materials.</w:t>
      </w:r>
    </w:p>
    <w:p w14:paraId="673322C8" w14:textId="56863975" w:rsidR="00821381" w:rsidRPr="00167CB8" w:rsidRDefault="00821381" w:rsidP="00E701F7">
      <w:r w:rsidRPr="00167CB8">
        <w:t xml:space="preserve">Several stakeholders also raised concerns about what constitutes a </w:t>
      </w:r>
      <w:r w:rsidR="002D30C0" w:rsidRPr="00167CB8">
        <w:t>‘</w:t>
      </w:r>
      <w:r w:rsidRPr="00167CB8">
        <w:t>reasonable excuse</w:t>
      </w:r>
      <w:r w:rsidR="002D30C0" w:rsidRPr="00167CB8">
        <w:t>’</w:t>
      </w:r>
      <w:r w:rsidRPr="00167CB8">
        <w:t xml:space="preserve"> in the context of job advertisements. For example, the Panel understands that this was intended to protect employers from penalties where pay rates change while a job is being advertised. The Review Panel anticipates that as the provisions are implemented in practice, more examples will become available to support consistent application and enforcement of the amendments.</w:t>
      </w:r>
    </w:p>
    <w:p w14:paraId="7BA2EC23" w14:textId="00EC0EA1" w:rsidR="00821381" w:rsidRPr="00167CB8" w:rsidRDefault="00821381" w:rsidP="00E701F7">
      <w:r w:rsidRPr="00167CB8">
        <w:t xml:space="preserve">The Review Panel notes that there is no Australian law requirement for job advertisements to include rates of pay. More evidence is required about the impacts of job advertisement information on employment and workplace behaviour, the effectiveness of regulation and whether there are other similarly important issues (e.g. expected hours of work and rosters). Ideally, longer datasets which can identify trends alongside FWO engagement and enforcement data would support such considerations in future. Pending further evidence about issues in Australia and international best practice, it may be appropriate to consider future reforms to require pay and other information in job advertisements. </w:t>
      </w:r>
    </w:p>
    <w:p w14:paraId="39C9EB8D" w14:textId="2A0EE220" w:rsidR="00821381" w:rsidRPr="00167CB8" w:rsidRDefault="000F6630" w:rsidP="000F6630">
      <w:pPr>
        <w:rPr>
          <w:rFonts w:cstheme="minorHAnsi"/>
          <w:b/>
          <w:bCs/>
        </w:rPr>
      </w:pPr>
      <w:r w:rsidRPr="00167CB8">
        <w:t>If available in time, such evidence would also inform the consideration of these amendments in a further review of the Secure Jobs, Better Pay Act (see Draft Recommendation 1).</w:t>
      </w:r>
      <w:r w:rsidR="00DC4661" w:rsidRPr="00167CB8">
        <w:br w:type="page"/>
      </w:r>
    </w:p>
    <w:p w14:paraId="1725C45C" w14:textId="7AF9D6EE" w:rsidR="00821381" w:rsidRPr="00167CB8" w:rsidRDefault="00072E44" w:rsidP="00E701F7">
      <w:pPr>
        <w:pStyle w:val="Heading3"/>
        <w:rPr>
          <w:rFonts w:asciiTheme="minorHAnsi" w:hAnsiTheme="minorHAnsi"/>
        </w:rPr>
      </w:pPr>
      <w:bookmarkStart w:id="559" w:name="_Toc187934218"/>
      <w:bookmarkStart w:id="560" w:name="_Toc188278043"/>
      <w:bookmarkStart w:id="561" w:name="_Toc189260330"/>
      <w:bookmarkStart w:id="562" w:name="_Toc189393646"/>
      <w:r w:rsidRPr="00167CB8">
        <w:rPr>
          <w:rFonts w:asciiTheme="minorHAnsi" w:hAnsiTheme="minorHAnsi"/>
        </w:rPr>
        <w:lastRenderedPageBreak/>
        <w:t>Chapter 36.</w:t>
      </w:r>
      <w:r w:rsidR="00821381" w:rsidRPr="00167CB8">
        <w:rPr>
          <w:rFonts w:asciiTheme="minorHAnsi" w:hAnsiTheme="minorHAnsi"/>
        </w:rPr>
        <w:t xml:space="preserve"> Having regard to certain additional matters</w:t>
      </w:r>
      <w:bookmarkEnd w:id="559"/>
      <w:bookmarkEnd w:id="560"/>
      <w:bookmarkEnd w:id="561"/>
      <w:bookmarkEnd w:id="562"/>
    </w:p>
    <w:p w14:paraId="1EEABB04" w14:textId="381052F4" w:rsidR="00821381" w:rsidRPr="00167CB8" w:rsidRDefault="00821381" w:rsidP="006000ED">
      <w:pPr>
        <w:rPr>
          <w:lang w:val="en-US"/>
        </w:rPr>
      </w:pPr>
      <w:r w:rsidRPr="00167CB8">
        <w:rPr>
          <w:lang w:val="en-US"/>
        </w:rPr>
        <w:t xml:space="preserve">Part 25AA of the </w:t>
      </w:r>
      <w:r w:rsidR="00591473" w:rsidRPr="00167CB8">
        <w:rPr>
          <w:lang w:val="en-US"/>
        </w:rPr>
        <w:t>Secure Jobs, Better Pay</w:t>
      </w:r>
      <w:r w:rsidRPr="00167CB8">
        <w:rPr>
          <w:lang w:val="en-US"/>
        </w:rPr>
        <w:t xml:space="preserve"> Act concerns the requirement that the </w:t>
      </w:r>
      <w:r w:rsidR="002D30C0" w:rsidRPr="00167CB8">
        <w:rPr>
          <w:lang w:val="en-US"/>
        </w:rPr>
        <w:t>Fair Work Commission (</w:t>
      </w:r>
      <w:r w:rsidRPr="00167CB8">
        <w:rPr>
          <w:lang w:val="en-US"/>
        </w:rPr>
        <w:t>FWC</w:t>
      </w:r>
      <w:r w:rsidR="002D30C0" w:rsidRPr="00167CB8">
        <w:rPr>
          <w:lang w:val="en-US"/>
        </w:rPr>
        <w:t>)</w:t>
      </w:r>
      <w:r w:rsidRPr="00167CB8">
        <w:rPr>
          <w:lang w:val="en-US"/>
        </w:rPr>
        <w:t xml:space="preserve"> and the </w:t>
      </w:r>
      <w:r w:rsidR="002D30C0" w:rsidRPr="00167CB8">
        <w:rPr>
          <w:lang w:val="en-US"/>
        </w:rPr>
        <w:t>Fair Work Ombudsman (</w:t>
      </w:r>
      <w:r w:rsidRPr="00167CB8">
        <w:rPr>
          <w:lang w:val="en-US"/>
        </w:rPr>
        <w:t>FWO</w:t>
      </w:r>
      <w:r w:rsidR="002D30C0" w:rsidRPr="00167CB8">
        <w:rPr>
          <w:lang w:val="en-US"/>
        </w:rPr>
        <w:t>)</w:t>
      </w:r>
      <w:r w:rsidRPr="00167CB8">
        <w:rPr>
          <w:lang w:val="en-US"/>
        </w:rPr>
        <w:t xml:space="preserve"> make educational materials and resources available in multiple languages. </w:t>
      </w:r>
    </w:p>
    <w:p w14:paraId="2E1547C5" w14:textId="5DB75B40" w:rsidR="00821381" w:rsidRPr="00167CB8" w:rsidRDefault="00821381" w:rsidP="006000ED">
      <w:pPr>
        <w:rPr>
          <w:rFonts w:cstheme="minorHAnsi"/>
        </w:rPr>
      </w:pPr>
      <w:r w:rsidRPr="00167CB8">
        <w:rPr>
          <w:rFonts w:cstheme="minorHAnsi"/>
        </w:rPr>
        <w:t xml:space="preserve">The FWC </w:t>
      </w:r>
      <w:r w:rsidR="006D1EA2" w:rsidRPr="00167CB8">
        <w:rPr>
          <w:rFonts w:cstheme="minorHAnsi"/>
        </w:rPr>
        <w:t>deals with</w:t>
      </w:r>
      <w:r w:rsidRPr="00167CB8">
        <w:rPr>
          <w:rFonts w:cstheme="minorHAnsi"/>
        </w:rPr>
        <w:t xml:space="preserve"> workplace disputes</w:t>
      </w:r>
      <w:r w:rsidR="00D53D21" w:rsidRPr="00167CB8">
        <w:rPr>
          <w:rStyle w:val="FootnoteReference"/>
          <w:rFonts w:cstheme="minorHAnsi"/>
        </w:rPr>
        <w:footnoteReference w:id="1044"/>
      </w:r>
      <w:r w:rsidR="00D52C02" w:rsidRPr="00167CB8">
        <w:rPr>
          <w:rFonts w:cstheme="minorHAnsi"/>
        </w:rPr>
        <w:t xml:space="preserve"> and </w:t>
      </w:r>
      <w:r w:rsidR="00B615A7" w:rsidRPr="00167CB8">
        <w:rPr>
          <w:rFonts w:cstheme="minorHAnsi"/>
        </w:rPr>
        <w:t>makes orders</w:t>
      </w:r>
      <w:r w:rsidR="00AC50ED" w:rsidRPr="00167CB8">
        <w:rPr>
          <w:rFonts w:cstheme="minorHAnsi"/>
        </w:rPr>
        <w:t>.</w:t>
      </w:r>
      <w:r w:rsidRPr="00167CB8">
        <w:rPr>
          <w:rFonts w:cstheme="minorHAnsi"/>
        </w:rPr>
        <w:t xml:space="preserve"> </w:t>
      </w:r>
      <w:r w:rsidR="00AC50ED" w:rsidRPr="00167CB8">
        <w:rPr>
          <w:rFonts w:cstheme="minorHAnsi"/>
        </w:rPr>
        <w:t>I</w:t>
      </w:r>
      <w:r w:rsidR="00D52C02" w:rsidRPr="00167CB8">
        <w:rPr>
          <w:rFonts w:cstheme="minorHAnsi"/>
        </w:rPr>
        <w:t xml:space="preserve">t assists </w:t>
      </w:r>
      <w:r w:rsidR="00AC50ED" w:rsidRPr="00167CB8">
        <w:rPr>
          <w:rFonts w:cstheme="minorHAnsi"/>
        </w:rPr>
        <w:t xml:space="preserve">people </w:t>
      </w:r>
      <w:r w:rsidR="00940C9D" w:rsidRPr="00167CB8">
        <w:rPr>
          <w:rFonts w:cstheme="minorHAnsi"/>
        </w:rPr>
        <w:t>with limited English proficiency</w:t>
      </w:r>
      <w:r w:rsidR="00AC50ED" w:rsidRPr="00167CB8">
        <w:rPr>
          <w:rFonts w:cstheme="minorHAnsi"/>
        </w:rPr>
        <w:t xml:space="preserve"> </w:t>
      </w:r>
      <w:r w:rsidR="00940C9D" w:rsidRPr="00167CB8">
        <w:rPr>
          <w:rFonts w:cstheme="minorHAnsi"/>
        </w:rPr>
        <w:t xml:space="preserve">to access </w:t>
      </w:r>
      <w:r w:rsidR="00AC50ED" w:rsidRPr="00167CB8">
        <w:rPr>
          <w:rFonts w:cstheme="minorHAnsi"/>
        </w:rPr>
        <w:t xml:space="preserve">these services </w:t>
      </w:r>
      <w:r w:rsidR="00940C9D" w:rsidRPr="00167CB8">
        <w:rPr>
          <w:rFonts w:cstheme="minorHAnsi"/>
        </w:rPr>
        <w:t>through the</w:t>
      </w:r>
      <w:r w:rsidRPr="00167CB8">
        <w:rPr>
          <w:rFonts w:cstheme="minorHAnsi"/>
        </w:rPr>
        <w:t xml:space="preserve"> Translation and Interpreting Service </w:t>
      </w:r>
      <w:r w:rsidR="002018FE" w:rsidRPr="00167CB8">
        <w:rPr>
          <w:rFonts w:cstheme="minorHAnsi"/>
        </w:rPr>
        <w:t>(TIS National)</w:t>
      </w:r>
      <w:r w:rsidRPr="00167CB8">
        <w:rPr>
          <w:rFonts w:cstheme="minorHAnsi"/>
        </w:rPr>
        <w:t xml:space="preserve"> with nationally accredited interpreters as well as information on the role of the FWC in 28 languages other than English.</w:t>
      </w:r>
      <w:r w:rsidRPr="00167CB8">
        <w:rPr>
          <w:rStyle w:val="FootnoteReference"/>
          <w:rFonts w:cstheme="minorHAnsi"/>
          <w:lang w:val="en-US"/>
        </w:rPr>
        <w:footnoteReference w:id="1045"/>
      </w:r>
      <w:r w:rsidRPr="00167CB8">
        <w:rPr>
          <w:rFonts w:cstheme="minorHAnsi"/>
          <w:lang w:val="en-US"/>
        </w:rPr>
        <w:t xml:space="preserve">   </w:t>
      </w:r>
    </w:p>
    <w:p w14:paraId="016F16B4" w14:textId="77777777" w:rsidR="00821381" w:rsidRPr="00167CB8" w:rsidRDefault="00821381" w:rsidP="006000ED">
      <w:pPr>
        <w:rPr>
          <w:rFonts w:cstheme="minorHAnsi"/>
        </w:rPr>
      </w:pPr>
      <w:r w:rsidRPr="00167CB8">
        <w:rPr>
          <w:rFonts w:cstheme="minorHAnsi"/>
        </w:rPr>
        <w:t>The FWO provides general information and guidance to both employers and employees, serving a diverse audience. Its website features an automatic translation tool (Microsoft Translator) that converts content into over 30 languages.</w:t>
      </w:r>
      <w:r w:rsidRPr="00167CB8">
        <w:rPr>
          <w:rStyle w:val="FootnoteReference"/>
          <w:rFonts w:cstheme="minorHAnsi"/>
          <w:lang w:val="en-US"/>
        </w:rPr>
        <w:footnoteReference w:id="1046"/>
      </w:r>
      <w:r w:rsidRPr="00167CB8">
        <w:rPr>
          <w:rFonts w:cstheme="minorHAnsi"/>
        </w:rPr>
        <w:t xml:space="preserve"> The tool enables quick access for individuals with limited English proficiency by making information instantly available in their preferred language.</w:t>
      </w:r>
    </w:p>
    <w:p w14:paraId="1DC6AB78" w14:textId="226FDE02" w:rsidR="00821381" w:rsidRPr="00167CB8" w:rsidRDefault="00072E44" w:rsidP="00E701F7">
      <w:pPr>
        <w:pStyle w:val="Heading4"/>
        <w:rPr>
          <w:rFonts w:asciiTheme="minorHAnsi" w:hAnsiTheme="minorHAnsi"/>
        </w:rPr>
      </w:pPr>
      <w:bookmarkStart w:id="567" w:name="_Toc187934219"/>
      <w:bookmarkStart w:id="568" w:name="_Toc188278044"/>
      <w:bookmarkStart w:id="569" w:name="_Toc189260331"/>
      <w:bookmarkStart w:id="570" w:name="_Toc189393647"/>
      <w:r w:rsidRPr="00167CB8">
        <w:rPr>
          <w:rFonts w:asciiTheme="minorHAnsi" w:hAnsiTheme="minorHAnsi"/>
        </w:rPr>
        <w:t>36.1</w:t>
      </w:r>
      <w:r w:rsidR="00821381" w:rsidRPr="00167CB8">
        <w:rPr>
          <w:rFonts w:asciiTheme="minorHAnsi" w:hAnsiTheme="minorHAnsi"/>
        </w:rPr>
        <w:t xml:space="preserve"> </w:t>
      </w:r>
      <w:r w:rsidRPr="00167CB8">
        <w:rPr>
          <w:rFonts w:asciiTheme="minorHAnsi" w:hAnsiTheme="minorHAnsi"/>
        </w:rPr>
        <w:t xml:space="preserve">Amendments </w:t>
      </w:r>
      <w:r w:rsidR="002D30C0" w:rsidRPr="00167CB8">
        <w:rPr>
          <w:rFonts w:asciiTheme="minorHAnsi" w:hAnsiTheme="minorHAnsi"/>
        </w:rPr>
        <w:t>and i</w:t>
      </w:r>
      <w:r w:rsidRPr="00167CB8">
        <w:rPr>
          <w:rFonts w:asciiTheme="minorHAnsi" w:hAnsiTheme="minorHAnsi"/>
        </w:rPr>
        <w:t>ntent</w:t>
      </w:r>
      <w:bookmarkEnd w:id="567"/>
      <w:bookmarkEnd w:id="568"/>
      <w:bookmarkEnd w:id="569"/>
      <w:bookmarkEnd w:id="570"/>
    </w:p>
    <w:p w14:paraId="69ACD749" w14:textId="66F59657" w:rsidR="00821381" w:rsidRPr="00167CB8" w:rsidRDefault="00821381" w:rsidP="006000ED">
      <w:pPr>
        <w:rPr>
          <w:rFonts w:cstheme="minorHAnsi"/>
          <w:lang w:val="en-US"/>
        </w:rPr>
      </w:pPr>
      <w:r w:rsidRPr="00167CB8">
        <w:rPr>
          <w:rFonts w:cstheme="minorHAnsi"/>
          <w:lang w:val="en-US"/>
        </w:rPr>
        <w:t xml:space="preserve">Part 5-1, Division 2, of the </w:t>
      </w:r>
      <w:r w:rsidR="007132B2" w:rsidRPr="00167CB8">
        <w:rPr>
          <w:rFonts w:cstheme="minorHAnsi"/>
          <w:lang w:val="en-US"/>
        </w:rPr>
        <w:t>Fair Work Act</w:t>
      </w:r>
      <w:r w:rsidRPr="00167CB8">
        <w:rPr>
          <w:rFonts w:cstheme="minorHAnsi"/>
          <w:lang w:val="en-US"/>
        </w:rPr>
        <w:t xml:space="preserve"> describes the functions of the FWC. Part 5-2 (Division 2) describes the functions of the FWO. </w:t>
      </w:r>
    </w:p>
    <w:p w14:paraId="26CBF5CF" w14:textId="769588A1" w:rsidR="00821381" w:rsidRPr="00167CB8" w:rsidRDefault="00072E44" w:rsidP="00E701F7">
      <w:pPr>
        <w:pStyle w:val="Heading5"/>
        <w:rPr>
          <w:rFonts w:asciiTheme="minorHAnsi" w:hAnsiTheme="minorHAnsi"/>
        </w:rPr>
      </w:pPr>
      <w:bookmarkStart w:id="571" w:name="_Toc187934220"/>
      <w:r w:rsidRPr="00167CB8">
        <w:rPr>
          <w:rFonts w:asciiTheme="minorHAnsi" w:hAnsiTheme="minorHAnsi"/>
        </w:rPr>
        <w:t>36.1.1</w:t>
      </w:r>
      <w:r w:rsidR="00821381" w:rsidRPr="00167CB8">
        <w:rPr>
          <w:rFonts w:asciiTheme="minorHAnsi" w:hAnsiTheme="minorHAnsi"/>
        </w:rPr>
        <w:t xml:space="preserve"> </w:t>
      </w:r>
      <w:r w:rsidR="00591473" w:rsidRPr="00167CB8">
        <w:rPr>
          <w:rFonts w:asciiTheme="minorHAnsi" w:hAnsiTheme="minorHAnsi"/>
        </w:rPr>
        <w:t>Secure Jobs, Better Pay</w:t>
      </w:r>
      <w:r w:rsidR="00821381" w:rsidRPr="00167CB8">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571"/>
    </w:p>
    <w:p w14:paraId="79A1BFBE" w14:textId="45E4E257" w:rsidR="00821381" w:rsidRPr="00167CB8" w:rsidRDefault="00821381" w:rsidP="006000ED">
      <w:pPr>
        <w:rPr>
          <w:rFonts w:cstheme="minorHAnsi"/>
          <w:lang w:val="en-US"/>
        </w:rPr>
      </w:pPr>
      <w:r w:rsidRPr="00167CB8">
        <w:rPr>
          <w:rFonts w:cstheme="minorHAnsi"/>
          <w:lang w:val="en-US"/>
        </w:rPr>
        <w:t xml:space="preserve">The amendments to the </w:t>
      </w:r>
      <w:r w:rsidR="007132B2" w:rsidRPr="00167CB8">
        <w:rPr>
          <w:rFonts w:cstheme="minorHAnsi"/>
          <w:lang w:val="en-US"/>
        </w:rPr>
        <w:t>Fair Work Act</w:t>
      </w:r>
      <w:r w:rsidRPr="00167CB8">
        <w:rPr>
          <w:rFonts w:cstheme="minorHAnsi"/>
          <w:lang w:val="en-US"/>
        </w:rPr>
        <w:t xml:space="preserve"> concerning </w:t>
      </w:r>
      <w:r w:rsidR="00106515" w:rsidRPr="00167CB8">
        <w:rPr>
          <w:rFonts w:cstheme="minorHAnsi"/>
          <w:lang w:val="en-US"/>
        </w:rPr>
        <w:t>providing services in mul</w:t>
      </w:r>
      <w:r w:rsidR="00996159" w:rsidRPr="00167CB8">
        <w:rPr>
          <w:rFonts w:cstheme="minorHAnsi"/>
          <w:lang w:val="en-US"/>
        </w:rPr>
        <w:t xml:space="preserve">tiple </w:t>
      </w:r>
      <w:r w:rsidRPr="00167CB8">
        <w:rPr>
          <w:rFonts w:cstheme="minorHAnsi"/>
          <w:lang w:val="en-US"/>
        </w:rPr>
        <w:t>languages were as follows:</w:t>
      </w:r>
    </w:p>
    <w:p w14:paraId="093E8FEE" w14:textId="7E3A88BF" w:rsidR="00821381" w:rsidRPr="00167CB8" w:rsidRDefault="00821381" w:rsidP="00567FCA">
      <w:pPr>
        <w:pStyle w:val="ListParagraph"/>
        <w:numPr>
          <w:ilvl w:val="0"/>
          <w:numId w:val="10"/>
        </w:numPr>
        <w:spacing w:line="259" w:lineRule="auto"/>
        <w:ind w:left="1080"/>
        <w:rPr>
          <w:rFonts w:cstheme="minorHAnsi"/>
          <w:sz w:val="22"/>
          <w:szCs w:val="22"/>
          <w:lang w:val="en-US"/>
        </w:rPr>
      </w:pPr>
      <w:r w:rsidRPr="00167CB8">
        <w:rPr>
          <w:rFonts w:cstheme="minorHAnsi"/>
          <w:sz w:val="22"/>
          <w:szCs w:val="22"/>
          <w:lang w:val="en-US"/>
        </w:rPr>
        <w:t>Under a new s</w:t>
      </w:r>
      <w:r w:rsidR="002D30C0" w:rsidRPr="00167CB8">
        <w:rPr>
          <w:rFonts w:cstheme="minorHAnsi"/>
          <w:sz w:val="22"/>
          <w:szCs w:val="22"/>
          <w:lang w:val="en-US"/>
        </w:rPr>
        <w:t> </w:t>
      </w:r>
      <w:r w:rsidRPr="00167CB8">
        <w:rPr>
          <w:rFonts w:cstheme="minorHAnsi"/>
          <w:sz w:val="22"/>
          <w:szCs w:val="22"/>
          <w:lang w:val="en-US"/>
        </w:rPr>
        <w:t xml:space="preserve">577(2) the FWC must now have regard to </w:t>
      </w:r>
      <w:r w:rsidR="002D30C0" w:rsidRPr="00167CB8">
        <w:rPr>
          <w:rFonts w:cstheme="minorHAnsi"/>
          <w:sz w:val="22"/>
          <w:szCs w:val="22"/>
          <w:lang w:val="en-US"/>
        </w:rPr>
        <w:t>‘</w:t>
      </w:r>
      <w:r w:rsidRPr="00167CB8">
        <w:rPr>
          <w:rFonts w:cstheme="minorHAnsi"/>
          <w:sz w:val="22"/>
          <w:szCs w:val="22"/>
          <w:lang w:val="en-US"/>
        </w:rPr>
        <w:t xml:space="preserve">(a) the need for guidelines and other materials to be available in multiple languages; and (b) </w:t>
      </w:r>
      <w:r w:rsidR="002D30C0" w:rsidRPr="00167CB8">
        <w:rPr>
          <w:rFonts w:cstheme="minorHAnsi"/>
          <w:sz w:val="22"/>
          <w:szCs w:val="22"/>
          <w:lang w:val="en-US"/>
        </w:rPr>
        <w:t>t</w:t>
      </w:r>
      <w:r w:rsidRPr="00167CB8">
        <w:rPr>
          <w:rFonts w:cstheme="minorHAnsi"/>
          <w:sz w:val="22"/>
          <w:szCs w:val="22"/>
          <w:lang w:val="en-US"/>
        </w:rPr>
        <w:t>he need for community outreach in multiple languages</w:t>
      </w:r>
      <w:r w:rsidR="002D30C0" w:rsidRPr="00167CB8">
        <w:rPr>
          <w:rFonts w:cstheme="minorHAnsi"/>
          <w:sz w:val="22"/>
          <w:szCs w:val="22"/>
          <w:lang w:val="en-US"/>
        </w:rPr>
        <w:t>’</w:t>
      </w:r>
      <w:r w:rsidRPr="00167CB8">
        <w:rPr>
          <w:rFonts w:cstheme="minorHAnsi"/>
          <w:sz w:val="22"/>
          <w:szCs w:val="22"/>
          <w:lang w:val="en-US"/>
        </w:rPr>
        <w:t>.</w:t>
      </w:r>
    </w:p>
    <w:p w14:paraId="40244446" w14:textId="6E89ACAF" w:rsidR="00821381" w:rsidRPr="00167CB8" w:rsidRDefault="00821381" w:rsidP="00567FCA">
      <w:pPr>
        <w:pStyle w:val="ListParagraph"/>
        <w:numPr>
          <w:ilvl w:val="0"/>
          <w:numId w:val="10"/>
        </w:numPr>
        <w:spacing w:line="259" w:lineRule="auto"/>
        <w:ind w:left="1080"/>
        <w:rPr>
          <w:rFonts w:cstheme="minorHAnsi"/>
          <w:sz w:val="22"/>
          <w:szCs w:val="22"/>
          <w:lang w:val="en-US"/>
        </w:rPr>
      </w:pPr>
      <w:r w:rsidRPr="00167CB8">
        <w:rPr>
          <w:rFonts w:cstheme="minorHAnsi"/>
          <w:sz w:val="22"/>
          <w:szCs w:val="22"/>
          <w:lang w:val="en-US"/>
        </w:rPr>
        <w:t>Under a new s</w:t>
      </w:r>
      <w:r w:rsidR="002D30C0" w:rsidRPr="00167CB8">
        <w:rPr>
          <w:rFonts w:cstheme="minorHAnsi"/>
          <w:sz w:val="22"/>
          <w:szCs w:val="22"/>
          <w:lang w:val="en-US"/>
        </w:rPr>
        <w:t> </w:t>
      </w:r>
      <w:r w:rsidRPr="00167CB8">
        <w:rPr>
          <w:rFonts w:cstheme="minorHAnsi"/>
          <w:sz w:val="22"/>
          <w:szCs w:val="22"/>
          <w:lang w:val="en-US"/>
        </w:rPr>
        <w:t xml:space="preserve">682(1A) the FWO must have regard to </w:t>
      </w:r>
      <w:r w:rsidR="002D30C0" w:rsidRPr="00167CB8">
        <w:rPr>
          <w:rFonts w:cstheme="minorHAnsi"/>
          <w:sz w:val="22"/>
          <w:szCs w:val="22"/>
          <w:lang w:val="en-US"/>
        </w:rPr>
        <w:t>‘</w:t>
      </w:r>
      <w:r w:rsidRPr="00167CB8">
        <w:rPr>
          <w:rFonts w:cstheme="minorHAnsi"/>
          <w:sz w:val="22"/>
          <w:szCs w:val="22"/>
          <w:lang w:val="en-US"/>
        </w:rPr>
        <w:t>(a) the need for guidelines and other materials to be available in multiple languages; and (b) the need for community outreach in multiple languages</w:t>
      </w:r>
      <w:r w:rsidR="002D30C0" w:rsidRPr="00167CB8">
        <w:rPr>
          <w:rFonts w:cstheme="minorHAnsi"/>
          <w:sz w:val="22"/>
          <w:szCs w:val="22"/>
          <w:lang w:val="en-US"/>
        </w:rPr>
        <w:t>’</w:t>
      </w:r>
      <w:r w:rsidRPr="00167CB8">
        <w:rPr>
          <w:rFonts w:cstheme="minorHAnsi"/>
          <w:sz w:val="22"/>
          <w:szCs w:val="22"/>
          <w:lang w:val="en-US"/>
        </w:rPr>
        <w:t>.</w:t>
      </w:r>
    </w:p>
    <w:p w14:paraId="4A5C0EB7" w14:textId="77777777" w:rsidR="00821381" w:rsidRPr="00167CB8" w:rsidRDefault="00821381" w:rsidP="006000ED">
      <w:pPr>
        <w:rPr>
          <w:rFonts w:cstheme="minorHAnsi"/>
          <w:lang w:val="en-US"/>
        </w:rPr>
      </w:pPr>
      <w:r w:rsidRPr="00167CB8">
        <w:rPr>
          <w:rFonts w:cstheme="minorHAnsi"/>
          <w:lang w:val="en-US"/>
        </w:rPr>
        <w:t xml:space="preserve">These new provisions came into effect on 7 December 2022. </w:t>
      </w:r>
    </w:p>
    <w:p w14:paraId="48AD61CA" w14:textId="32B2BACD" w:rsidR="00821381" w:rsidRPr="00167CB8" w:rsidRDefault="00072E44" w:rsidP="00E701F7">
      <w:pPr>
        <w:pStyle w:val="Heading5"/>
        <w:rPr>
          <w:rFonts w:asciiTheme="minorHAnsi" w:hAnsiTheme="minorHAnsi"/>
        </w:rPr>
      </w:pPr>
      <w:bookmarkStart w:id="572" w:name="_Toc187934221"/>
      <w:r w:rsidRPr="00167CB8">
        <w:rPr>
          <w:rFonts w:asciiTheme="minorHAnsi" w:hAnsiTheme="minorHAnsi"/>
        </w:rPr>
        <w:t>36.1.2</w:t>
      </w:r>
      <w:r w:rsidR="00821381" w:rsidRPr="00167CB8">
        <w:rPr>
          <w:rFonts w:asciiTheme="minorHAnsi" w:hAnsiTheme="minorHAnsi"/>
        </w:rPr>
        <w:t xml:space="preserve"> Intent of </w:t>
      </w:r>
      <w:r w:rsidR="00591473" w:rsidRPr="00167CB8">
        <w:rPr>
          <w:rFonts w:asciiTheme="minorHAnsi" w:hAnsiTheme="minorHAnsi"/>
        </w:rPr>
        <w:t>Secure Jobs, Better Pay</w:t>
      </w:r>
      <w:r w:rsidR="00821381" w:rsidRPr="00167CB8">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572"/>
    </w:p>
    <w:p w14:paraId="3E8D5E05" w14:textId="1141E560" w:rsidR="00821381" w:rsidRPr="00167CB8" w:rsidRDefault="00821381" w:rsidP="006000ED">
      <w:r w:rsidRPr="00167CB8">
        <w:rPr>
          <w:rFonts w:cstheme="minorHAnsi"/>
          <w:lang w:val="en-US"/>
        </w:rPr>
        <w:t xml:space="preserve">The intent of these </w:t>
      </w:r>
      <w:r w:rsidRPr="00167CB8">
        <w:t xml:space="preserve">amendments is to ensure that employees and employers in culturally </w:t>
      </w:r>
      <w:r w:rsidR="00CB27A0" w:rsidRPr="00167CB8">
        <w:t xml:space="preserve">and linguistically </w:t>
      </w:r>
      <w:r w:rsidRPr="00167CB8">
        <w:t>diverse</w:t>
      </w:r>
      <w:r w:rsidR="00CB27A0" w:rsidRPr="00167CB8">
        <w:t xml:space="preserve"> (CALD)</w:t>
      </w:r>
      <w:r w:rsidRPr="00167CB8">
        <w:t xml:space="preserve"> communities have access to important workplace information, regardless of their </w:t>
      </w:r>
      <w:r w:rsidR="00F4675E" w:rsidRPr="00167CB8">
        <w:t xml:space="preserve">English </w:t>
      </w:r>
      <w:r w:rsidRPr="00167CB8">
        <w:t xml:space="preserve">language proficiency, </w:t>
      </w:r>
      <w:r w:rsidR="0014538A" w:rsidRPr="00167CB8">
        <w:t>creating greater awareness of workplace rights and employer obligations</w:t>
      </w:r>
      <w:r w:rsidRPr="00167CB8">
        <w:t>.</w:t>
      </w:r>
    </w:p>
    <w:p w14:paraId="505CC546" w14:textId="3C7C3279" w:rsidR="00821381" w:rsidRPr="00167CB8" w:rsidRDefault="00821381" w:rsidP="006000ED">
      <w:pPr>
        <w:rPr>
          <w:rFonts w:cstheme="minorHAnsi"/>
        </w:rPr>
      </w:pPr>
      <w:r w:rsidRPr="00167CB8">
        <w:t xml:space="preserve">To quote the </w:t>
      </w:r>
      <w:r w:rsidR="00A723CF" w:rsidRPr="00167CB8">
        <w:t>Australian</w:t>
      </w:r>
      <w:r w:rsidRPr="00167CB8">
        <w:t xml:space="preserve"> Government</w:t>
      </w:r>
      <w:r w:rsidR="002D30C0" w:rsidRPr="00167CB8">
        <w:t>,</w:t>
      </w:r>
      <w:r w:rsidRPr="00167CB8">
        <w:t xml:space="preserve"> </w:t>
      </w:r>
      <w:r w:rsidR="002D30C0" w:rsidRPr="00167CB8">
        <w:t>‘</w:t>
      </w:r>
      <w:r w:rsidRPr="00167CB8">
        <w:rPr>
          <w:rFonts w:cstheme="minorHAnsi"/>
        </w:rPr>
        <w:t>Making resources, information and services available in multiple languages helps more workers from linguistically diverse backgrounds understand their workplace rights and obligations in Australia, so reducing the risk of misinformation and exploitation</w:t>
      </w:r>
      <w:r w:rsidR="002D30C0" w:rsidRPr="00167CB8">
        <w:rPr>
          <w:rFonts w:cstheme="minorHAnsi"/>
        </w:rPr>
        <w:t>’</w:t>
      </w:r>
      <w:r w:rsidRPr="00167CB8">
        <w:rPr>
          <w:rFonts w:cstheme="minorHAnsi"/>
        </w:rPr>
        <w:t>.</w:t>
      </w:r>
      <w:r w:rsidRPr="00167CB8">
        <w:rPr>
          <w:rStyle w:val="FootnoteReference"/>
          <w:rFonts w:cstheme="minorHAnsi"/>
        </w:rPr>
        <w:footnoteReference w:id="1047"/>
      </w:r>
    </w:p>
    <w:p w14:paraId="1208F802" w14:textId="249A49ED" w:rsidR="00821381" w:rsidRPr="00167CB8" w:rsidRDefault="00821381" w:rsidP="006000ED">
      <w:r w:rsidRPr="00167CB8">
        <w:lastRenderedPageBreak/>
        <w:t xml:space="preserve">The </w:t>
      </w:r>
      <w:r w:rsidR="00A723CF" w:rsidRPr="00167CB8">
        <w:t>Australian</w:t>
      </w:r>
      <w:r w:rsidRPr="00167CB8">
        <w:t xml:space="preserve"> Government also noted that</w:t>
      </w:r>
      <w:r w:rsidR="002D30C0" w:rsidRPr="00167CB8">
        <w:t>,</w:t>
      </w:r>
      <w:r w:rsidRPr="00167CB8">
        <w:t xml:space="preserve"> although the FWC and FWO provide translation services/tools, there has never been a statutory requirement for them to do so. </w:t>
      </w:r>
    </w:p>
    <w:p w14:paraId="7D1F1594" w14:textId="07DFFA08" w:rsidR="00821381" w:rsidRPr="00167CB8" w:rsidRDefault="00072E44" w:rsidP="00E701F7">
      <w:pPr>
        <w:pStyle w:val="Heading4"/>
        <w:rPr>
          <w:rFonts w:asciiTheme="minorHAnsi" w:hAnsiTheme="minorHAnsi"/>
        </w:rPr>
      </w:pPr>
      <w:bookmarkStart w:id="573" w:name="_Toc187934222"/>
      <w:bookmarkStart w:id="574" w:name="_Toc188278045"/>
      <w:bookmarkStart w:id="575" w:name="_Toc189260332"/>
      <w:bookmarkStart w:id="576" w:name="_Toc189393648"/>
      <w:r w:rsidRPr="00167CB8">
        <w:rPr>
          <w:rFonts w:asciiTheme="minorHAnsi" w:hAnsiTheme="minorHAnsi"/>
        </w:rPr>
        <w:t>36.2</w:t>
      </w:r>
      <w:r w:rsidR="00821381" w:rsidRPr="00167CB8">
        <w:rPr>
          <w:rFonts w:asciiTheme="minorHAnsi" w:hAnsiTheme="minorHAnsi"/>
        </w:rPr>
        <w:t xml:space="preserve"> Impact and </w:t>
      </w:r>
      <w:r w:rsidR="002D30C0" w:rsidRPr="00167CB8">
        <w:rPr>
          <w:rFonts w:asciiTheme="minorHAnsi" w:hAnsiTheme="minorHAnsi"/>
        </w:rPr>
        <w:t>i</w:t>
      </w:r>
      <w:r w:rsidR="00821381" w:rsidRPr="00167CB8">
        <w:rPr>
          <w:rFonts w:asciiTheme="minorHAnsi" w:hAnsiTheme="minorHAnsi"/>
        </w:rPr>
        <w:t>ssues</w:t>
      </w:r>
      <w:bookmarkEnd w:id="573"/>
      <w:bookmarkEnd w:id="574"/>
      <w:bookmarkEnd w:id="575"/>
      <w:bookmarkEnd w:id="576"/>
    </w:p>
    <w:p w14:paraId="2C8BB917" w14:textId="77777777" w:rsidR="00821381" w:rsidRPr="00167CB8" w:rsidRDefault="00821381" w:rsidP="006000ED">
      <w:r w:rsidRPr="00167CB8">
        <w:t>The following summarises the data and information considered by the Review Panel when evaluating the amendments discussed above.</w:t>
      </w:r>
    </w:p>
    <w:p w14:paraId="0748779C" w14:textId="3F31BB9F" w:rsidR="00821381" w:rsidRPr="00167CB8" w:rsidRDefault="00072E44" w:rsidP="00E701F7">
      <w:pPr>
        <w:pStyle w:val="Heading5"/>
        <w:rPr>
          <w:rFonts w:asciiTheme="minorHAnsi" w:hAnsiTheme="minorHAnsi"/>
        </w:rPr>
      </w:pPr>
      <w:bookmarkStart w:id="577" w:name="_Toc187934223"/>
      <w:r w:rsidRPr="00167CB8">
        <w:rPr>
          <w:rFonts w:asciiTheme="minorHAnsi" w:hAnsiTheme="minorHAnsi"/>
        </w:rPr>
        <w:t>36.2</w:t>
      </w:r>
      <w:r w:rsidR="00184D51" w:rsidRPr="00167CB8">
        <w:rPr>
          <w:rFonts w:asciiTheme="minorHAnsi" w:hAnsiTheme="minorHAnsi"/>
        </w:rPr>
        <w:t>.1</w:t>
      </w:r>
      <w:r w:rsidR="00821381" w:rsidRPr="00167CB8">
        <w:rPr>
          <w:rFonts w:asciiTheme="minorHAnsi" w:hAnsiTheme="minorHAnsi"/>
        </w:rPr>
        <w:t xml:space="preserve"> Quantitative </w:t>
      </w:r>
      <w:r w:rsidR="002D30C0" w:rsidRPr="00167CB8">
        <w:rPr>
          <w:rFonts w:asciiTheme="minorHAnsi" w:hAnsiTheme="minorHAnsi"/>
        </w:rPr>
        <w:t>e</w:t>
      </w:r>
      <w:r w:rsidR="00821381" w:rsidRPr="00167CB8">
        <w:rPr>
          <w:rFonts w:asciiTheme="minorHAnsi" w:hAnsiTheme="minorHAnsi"/>
        </w:rPr>
        <w:t>vidence</w:t>
      </w:r>
      <w:bookmarkEnd w:id="577"/>
    </w:p>
    <w:p w14:paraId="02213D65" w14:textId="11C8B4F4" w:rsidR="00821381" w:rsidRPr="00167CB8" w:rsidRDefault="00821381" w:rsidP="006000ED">
      <w:pPr>
        <w:jc w:val="both"/>
        <w:rPr>
          <w:rFonts w:cs="Calibri"/>
        </w:rPr>
      </w:pPr>
      <w:r w:rsidRPr="00167CB8">
        <w:rPr>
          <w:rFonts w:cs="Calibri"/>
        </w:rPr>
        <w:t xml:space="preserve">The FWO </w:t>
      </w:r>
      <w:r w:rsidR="009C2DA9" w:rsidRPr="00167CB8">
        <w:rPr>
          <w:rFonts w:cs="Calibri"/>
        </w:rPr>
        <w:t xml:space="preserve">provided data to the </w:t>
      </w:r>
      <w:r w:rsidR="00470FBA" w:rsidRPr="00167CB8">
        <w:rPr>
          <w:rFonts w:cs="Calibri"/>
        </w:rPr>
        <w:t xml:space="preserve">Review </w:t>
      </w:r>
      <w:r w:rsidR="003C12EF" w:rsidRPr="00167CB8">
        <w:t>indicating</w:t>
      </w:r>
      <w:r w:rsidRPr="00167CB8">
        <w:t xml:space="preserve"> </w:t>
      </w:r>
      <w:r w:rsidRPr="00167CB8">
        <w:rPr>
          <w:rFonts w:cs="Calibri"/>
        </w:rPr>
        <w:t>that they provided an auto-translation tool on their website allowing the website to be translated into 36 languages other than English.</w:t>
      </w:r>
    </w:p>
    <w:p w14:paraId="503CF520" w14:textId="2DF16DDA" w:rsidR="00821381" w:rsidRPr="00167CB8" w:rsidRDefault="00821381" w:rsidP="006000ED">
      <w:pPr>
        <w:jc w:val="both"/>
        <w:rPr>
          <w:rFonts w:cs="Calibri"/>
        </w:rPr>
      </w:pPr>
      <w:r w:rsidRPr="00167CB8">
        <w:rPr>
          <w:rFonts w:cs="Calibri"/>
        </w:rPr>
        <w:t xml:space="preserve">The FWO </w:t>
      </w:r>
      <w:r w:rsidR="003C12EF" w:rsidRPr="00167CB8">
        <w:rPr>
          <w:rFonts w:cs="Calibri"/>
        </w:rPr>
        <w:t>data also shows that</w:t>
      </w:r>
      <w:r w:rsidR="002D30C0" w:rsidRPr="00167CB8">
        <w:rPr>
          <w:rFonts w:cs="Calibri"/>
        </w:rPr>
        <w:t>,</w:t>
      </w:r>
      <w:r w:rsidR="003C12EF" w:rsidRPr="00167CB8">
        <w:rPr>
          <w:rFonts w:cs="Calibri"/>
        </w:rPr>
        <w:t xml:space="preserve"> in</w:t>
      </w:r>
      <w:r w:rsidRPr="00167CB8">
        <w:rPr>
          <w:rFonts w:cs="Calibri"/>
        </w:rPr>
        <w:t xml:space="preserve"> 2023–24, pages on their website were translated 126,843 times using the </w:t>
      </w:r>
      <w:r w:rsidRPr="00167CB8">
        <w:rPr>
          <w:rFonts w:cstheme="minorHAnsi"/>
        </w:rPr>
        <w:t>automatic translation tool</w:t>
      </w:r>
      <w:r w:rsidRPr="00167CB8">
        <w:rPr>
          <w:rFonts w:cs="Calibri"/>
        </w:rPr>
        <w:t>. The most common languages were Simplified Chinese, Spanish, Korean, Japanese and French</w:t>
      </w:r>
      <w:r w:rsidR="002D30C0" w:rsidRPr="00167CB8">
        <w:rPr>
          <w:rFonts w:cs="Calibri"/>
        </w:rPr>
        <w:t>,</w:t>
      </w:r>
      <w:r w:rsidRPr="00167CB8">
        <w:rPr>
          <w:rFonts w:cs="Calibri"/>
        </w:rPr>
        <w:t xml:space="preserve"> and most of the translated pages concerned pay and minimum wages.</w:t>
      </w:r>
    </w:p>
    <w:p w14:paraId="4D94B7A0" w14:textId="23AA51CC" w:rsidR="00821381" w:rsidRPr="00167CB8" w:rsidRDefault="00821381" w:rsidP="006000ED">
      <w:pPr>
        <w:jc w:val="both"/>
        <w:rPr>
          <w:rFonts w:cs="Calibri"/>
        </w:rPr>
      </w:pPr>
      <w:r w:rsidRPr="00167CB8">
        <w:rPr>
          <w:rFonts w:cs="Calibri"/>
        </w:rPr>
        <w:t xml:space="preserve">The FWO </w:t>
      </w:r>
      <w:r w:rsidR="003C12EF" w:rsidRPr="00167CB8">
        <w:rPr>
          <w:rFonts w:cs="Calibri"/>
        </w:rPr>
        <w:t>data</w:t>
      </w:r>
      <w:r w:rsidRPr="00167CB8">
        <w:rPr>
          <w:rFonts w:cs="Calibri"/>
        </w:rPr>
        <w:t xml:space="preserve"> also provided information about the page views/download</w:t>
      </w:r>
      <w:r w:rsidR="00CE1D12" w:rsidRPr="00167CB8">
        <w:rPr>
          <w:rFonts w:cs="Calibri"/>
        </w:rPr>
        <w:t>s</w:t>
      </w:r>
      <w:r w:rsidRPr="00167CB8">
        <w:rPr>
          <w:rFonts w:cs="Calibri"/>
        </w:rPr>
        <w:t xml:space="preserve"> for their pages </w:t>
      </w:r>
      <w:r w:rsidR="00CE1D12" w:rsidRPr="00167CB8">
        <w:rPr>
          <w:rFonts w:cs="Calibri"/>
        </w:rPr>
        <w:t xml:space="preserve">that </w:t>
      </w:r>
      <w:r w:rsidRPr="00167CB8">
        <w:rPr>
          <w:rFonts w:cs="Calibri"/>
        </w:rPr>
        <w:t>link to their language tools and translated materials</w:t>
      </w:r>
      <w:r w:rsidR="000E731F" w:rsidRPr="00167CB8">
        <w:rPr>
          <w:rFonts w:cs="Calibri"/>
        </w:rPr>
        <w:t xml:space="preserve">. The data provided is from 1 </w:t>
      </w:r>
      <w:r w:rsidRPr="00167CB8">
        <w:rPr>
          <w:rFonts w:cs="Calibri"/>
        </w:rPr>
        <w:t xml:space="preserve">July 2020 </w:t>
      </w:r>
      <w:r w:rsidR="000E731F" w:rsidRPr="00167CB8">
        <w:rPr>
          <w:rFonts w:cs="Calibri"/>
        </w:rPr>
        <w:t xml:space="preserve">to 31 </w:t>
      </w:r>
      <w:r w:rsidRPr="00167CB8">
        <w:rPr>
          <w:rFonts w:cs="Calibri"/>
        </w:rPr>
        <w:t>October 2024. On average 14,779 people a year viewed or downloaded the ‘Language help’ web</w:t>
      </w:r>
      <w:r w:rsidR="002D30C0" w:rsidRPr="00167CB8">
        <w:rPr>
          <w:rFonts w:cs="Calibri"/>
        </w:rPr>
        <w:t xml:space="preserve"> </w:t>
      </w:r>
      <w:r w:rsidRPr="00167CB8">
        <w:rPr>
          <w:rFonts w:cs="Calibri"/>
        </w:rPr>
        <w:t>page and 1,865 viewed or downloaded the ‘Workplace help in other languages’ web</w:t>
      </w:r>
      <w:r w:rsidR="002D30C0" w:rsidRPr="00167CB8">
        <w:rPr>
          <w:rFonts w:cs="Calibri"/>
        </w:rPr>
        <w:t xml:space="preserve"> </w:t>
      </w:r>
      <w:r w:rsidRPr="00167CB8">
        <w:rPr>
          <w:rFonts w:cs="Calibri"/>
        </w:rPr>
        <w:t>page between 2020</w:t>
      </w:r>
      <w:r w:rsidR="002D30C0" w:rsidRPr="00167CB8">
        <w:rPr>
          <w:rFonts w:ascii="Symbol" w:eastAsia="Symbol" w:hAnsi="Symbol" w:cs="Symbol"/>
        </w:rPr>
        <w:sym w:font="Symbol" w:char="F02D"/>
      </w:r>
      <w:r w:rsidRPr="00167CB8">
        <w:rPr>
          <w:rFonts w:cs="Calibri"/>
        </w:rPr>
        <w:t xml:space="preserve">21 </w:t>
      </w:r>
      <w:r w:rsidR="002D30C0" w:rsidRPr="00167CB8">
        <w:rPr>
          <w:rFonts w:cs="Calibri"/>
        </w:rPr>
        <w:t xml:space="preserve">and </w:t>
      </w:r>
      <w:r w:rsidRPr="00167CB8">
        <w:rPr>
          <w:rFonts w:cs="Calibri"/>
        </w:rPr>
        <w:t>2023</w:t>
      </w:r>
      <w:r w:rsidR="002D30C0" w:rsidRPr="00167CB8">
        <w:rPr>
          <w:rFonts w:ascii="Symbol" w:eastAsia="Symbol" w:hAnsi="Symbol" w:cs="Symbol"/>
        </w:rPr>
        <w:sym w:font="Symbol" w:char="F02D"/>
      </w:r>
      <w:r w:rsidRPr="00167CB8">
        <w:rPr>
          <w:rFonts w:cs="Calibri"/>
        </w:rPr>
        <w:t>24</w:t>
      </w:r>
      <w:r w:rsidR="002D30C0" w:rsidRPr="00167CB8">
        <w:rPr>
          <w:rFonts w:cs="Calibri"/>
        </w:rPr>
        <w:t>,</w:t>
      </w:r>
      <w:r w:rsidRPr="00167CB8">
        <w:rPr>
          <w:rFonts w:cs="Calibri"/>
        </w:rPr>
        <w:t xml:space="preserve"> with the latter web page seeing an increase in views/downloads each year. </w:t>
      </w:r>
    </w:p>
    <w:p w14:paraId="5D554E4A" w14:textId="1805BE1E" w:rsidR="00821381" w:rsidRPr="00167CB8" w:rsidRDefault="002D30C0" w:rsidP="00470AB9">
      <w:pPr>
        <w:pStyle w:val="Caption"/>
      </w:pPr>
      <w:r w:rsidRPr="00167CB8">
        <w:t xml:space="preserve">Table </w:t>
      </w:r>
      <w:r w:rsidR="001D6960" w:rsidRPr="00167CB8">
        <w:t>22</w:t>
      </w:r>
      <w:r w:rsidR="00B51557" w:rsidRPr="00167CB8">
        <w:t>:</w:t>
      </w:r>
      <w:r w:rsidRPr="00167CB8">
        <w:t xml:space="preserve"> </w:t>
      </w:r>
      <w:r w:rsidR="00821381" w:rsidRPr="00167CB8">
        <w:t>Data views/downloads of translated resources</w:t>
      </w:r>
    </w:p>
    <w:tbl>
      <w:tblPr>
        <w:tblStyle w:val="TableGrid"/>
        <w:tblW w:w="0" w:type="auto"/>
        <w:tblLook w:val="04A0" w:firstRow="1" w:lastRow="0" w:firstColumn="1" w:lastColumn="0" w:noHBand="0" w:noVBand="1"/>
      </w:tblPr>
      <w:tblGrid>
        <w:gridCol w:w="2568"/>
        <w:gridCol w:w="1284"/>
        <w:gridCol w:w="1284"/>
        <w:gridCol w:w="1285"/>
        <w:gridCol w:w="1122"/>
        <w:gridCol w:w="1448"/>
      </w:tblGrid>
      <w:tr w:rsidR="00821381" w:rsidRPr="00167CB8" w14:paraId="5A6EEC99" w14:textId="77777777">
        <w:tc>
          <w:tcPr>
            <w:tcW w:w="2568" w:type="dxa"/>
            <w:vMerge w:val="restart"/>
            <w:shd w:val="clear" w:color="auto" w:fill="EAEBEC" w:themeFill="text2" w:themeFillTint="1A"/>
          </w:tcPr>
          <w:p w14:paraId="2CA94C91" w14:textId="77777777" w:rsidR="00821381" w:rsidRPr="00167CB8" w:rsidRDefault="00821381" w:rsidP="006000ED">
            <w:pPr>
              <w:spacing w:line="259" w:lineRule="auto"/>
              <w:rPr>
                <w:b/>
                <w:bCs/>
                <w:i/>
                <w:iCs/>
              </w:rPr>
            </w:pPr>
            <w:r w:rsidRPr="00167CB8">
              <w:rPr>
                <w:b/>
                <w:bCs/>
              </w:rPr>
              <w:t>Webpage / online resource</w:t>
            </w:r>
          </w:p>
        </w:tc>
        <w:tc>
          <w:tcPr>
            <w:tcW w:w="6423" w:type="dxa"/>
            <w:gridSpan w:val="5"/>
            <w:shd w:val="clear" w:color="auto" w:fill="EAEBEC" w:themeFill="text2" w:themeFillTint="1A"/>
          </w:tcPr>
          <w:p w14:paraId="75EB2ECA" w14:textId="77777777" w:rsidR="00821381" w:rsidRPr="00167CB8" w:rsidRDefault="00821381" w:rsidP="006000ED">
            <w:pPr>
              <w:spacing w:line="259" w:lineRule="auto"/>
              <w:rPr>
                <w:b/>
                <w:bCs/>
              </w:rPr>
            </w:pPr>
            <w:r w:rsidRPr="00167CB8">
              <w:rPr>
                <w:b/>
                <w:bCs/>
              </w:rPr>
              <w:t>Page views / downloads</w:t>
            </w:r>
          </w:p>
        </w:tc>
      </w:tr>
      <w:tr w:rsidR="00821381" w:rsidRPr="00167CB8" w14:paraId="39C570FC" w14:textId="77777777">
        <w:tc>
          <w:tcPr>
            <w:tcW w:w="2568" w:type="dxa"/>
            <w:vMerge/>
            <w:shd w:val="clear" w:color="auto" w:fill="EAEBEC" w:themeFill="text2" w:themeFillTint="1A"/>
          </w:tcPr>
          <w:p w14:paraId="6C77951A" w14:textId="77777777" w:rsidR="00821381" w:rsidRPr="00167CB8" w:rsidRDefault="00821381" w:rsidP="006000ED">
            <w:pPr>
              <w:spacing w:line="259" w:lineRule="auto"/>
              <w:rPr>
                <w:b/>
                <w:bCs/>
                <w:i/>
                <w:iCs/>
              </w:rPr>
            </w:pPr>
          </w:p>
        </w:tc>
        <w:tc>
          <w:tcPr>
            <w:tcW w:w="1284" w:type="dxa"/>
            <w:shd w:val="clear" w:color="auto" w:fill="EAEBEC" w:themeFill="text2" w:themeFillTint="1A"/>
          </w:tcPr>
          <w:p w14:paraId="429FF963" w14:textId="5810CE28" w:rsidR="00821381" w:rsidRPr="00167CB8" w:rsidRDefault="002D30C0" w:rsidP="006000ED">
            <w:pPr>
              <w:spacing w:line="259" w:lineRule="auto"/>
              <w:rPr>
                <w:b/>
                <w:bCs/>
              </w:rPr>
            </w:pPr>
            <w:r w:rsidRPr="00167CB8">
              <w:rPr>
                <w:b/>
                <w:bCs/>
              </w:rPr>
              <w:t>20</w:t>
            </w:r>
            <w:r w:rsidR="00821381" w:rsidRPr="00167CB8">
              <w:rPr>
                <w:b/>
                <w:bCs/>
              </w:rPr>
              <w:t>20</w:t>
            </w:r>
            <w:r w:rsidRPr="00167CB8">
              <w:rPr>
                <w:rFonts w:ascii="Symbol" w:eastAsia="Symbol" w:hAnsi="Symbol" w:cs="Symbol"/>
                <w:b/>
              </w:rPr>
              <w:sym w:font="Symbol" w:char="F02D"/>
            </w:r>
            <w:r w:rsidR="00821381" w:rsidRPr="00167CB8">
              <w:rPr>
                <w:b/>
                <w:bCs/>
              </w:rPr>
              <w:t>21</w:t>
            </w:r>
          </w:p>
        </w:tc>
        <w:tc>
          <w:tcPr>
            <w:tcW w:w="1284" w:type="dxa"/>
            <w:shd w:val="clear" w:color="auto" w:fill="EAEBEC" w:themeFill="text2" w:themeFillTint="1A"/>
          </w:tcPr>
          <w:p w14:paraId="0E2F1705" w14:textId="17C1C693" w:rsidR="00821381" w:rsidRPr="00167CB8" w:rsidRDefault="002D30C0" w:rsidP="006000ED">
            <w:pPr>
              <w:spacing w:line="259" w:lineRule="auto"/>
              <w:rPr>
                <w:b/>
                <w:bCs/>
              </w:rPr>
            </w:pPr>
            <w:r w:rsidRPr="00167CB8">
              <w:rPr>
                <w:b/>
                <w:bCs/>
              </w:rPr>
              <w:t>20</w:t>
            </w:r>
            <w:r w:rsidR="00821381" w:rsidRPr="00167CB8">
              <w:rPr>
                <w:b/>
                <w:bCs/>
              </w:rPr>
              <w:t>21</w:t>
            </w:r>
            <w:r w:rsidRPr="00167CB8">
              <w:rPr>
                <w:rFonts w:ascii="Symbol" w:eastAsia="Symbol" w:hAnsi="Symbol" w:cs="Symbol"/>
                <w:b/>
              </w:rPr>
              <w:sym w:font="Symbol" w:char="F02D"/>
            </w:r>
            <w:r w:rsidR="00821381" w:rsidRPr="00167CB8">
              <w:rPr>
                <w:b/>
                <w:bCs/>
              </w:rPr>
              <w:t>22</w:t>
            </w:r>
          </w:p>
        </w:tc>
        <w:tc>
          <w:tcPr>
            <w:tcW w:w="1285" w:type="dxa"/>
            <w:shd w:val="clear" w:color="auto" w:fill="EAEBEC" w:themeFill="text2" w:themeFillTint="1A"/>
          </w:tcPr>
          <w:p w14:paraId="3F92DC4E" w14:textId="7FEBBA68" w:rsidR="00821381" w:rsidRPr="00167CB8" w:rsidRDefault="002D30C0" w:rsidP="006000ED">
            <w:pPr>
              <w:spacing w:line="259" w:lineRule="auto"/>
              <w:rPr>
                <w:b/>
                <w:bCs/>
              </w:rPr>
            </w:pPr>
            <w:r w:rsidRPr="00167CB8">
              <w:rPr>
                <w:b/>
                <w:bCs/>
              </w:rPr>
              <w:t>20</w:t>
            </w:r>
            <w:r w:rsidR="00821381" w:rsidRPr="00167CB8">
              <w:rPr>
                <w:b/>
                <w:bCs/>
              </w:rPr>
              <w:t>22</w:t>
            </w:r>
            <w:r w:rsidRPr="00167CB8">
              <w:rPr>
                <w:rFonts w:ascii="Symbol" w:eastAsia="Symbol" w:hAnsi="Symbol" w:cs="Symbol"/>
                <w:b/>
              </w:rPr>
              <w:sym w:font="Symbol" w:char="F02D"/>
            </w:r>
            <w:r w:rsidR="00821381" w:rsidRPr="00167CB8">
              <w:rPr>
                <w:b/>
                <w:bCs/>
              </w:rPr>
              <w:t>23</w:t>
            </w:r>
          </w:p>
        </w:tc>
        <w:tc>
          <w:tcPr>
            <w:tcW w:w="1122" w:type="dxa"/>
            <w:shd w:val="clear" w:color="auto" w:fill="EAEBEC" w:themeFill="text2" w:themeFillTint="1A"/>
          </w:tcPr>
          <w:p w14:paraId="001A6CBD" w14:textId="115B3327" w:rsidR="00821381" w:rsidRPr="00167CB8" w:rsidRDefault="002D30C0" w:rsidP="006000ED">
            <w:pPr>
              <w:spacing w:line="259" w:lineRule="auto"/>
              <w:rPr>
                <w:b/>
                <w:bCs/>
              </w:rPr>
            </w:pPr>
            <w:r w:rsidRPr="00167CB8">
              <w:rPr>
                <w:b/>
                <w:bCs/>
              </w:rPr>
              <w:t>20</w:t>
            </w:r>
            <w:r w:rsidR="00821381" w:rsidRPr="00167CB8">
              <w:rPr>
                <w:b/>
                <w:bCs/>
              </w:rPr>
              <w:t>23</w:t>
            </w:r>
            <w:r w:rsidRPr="00167CB8">
              <w:rPr>
                <w:rFonts w:ascii="Symbol" w:eastAsia="Symbol" w:hAnsi="Symbol" w:cs="Symbol"/>
                <w:b/>
              </w:rPr>
              <w:sym w:font="Symbol" w:char="F02D"/>
            </w:r>
            <w:r w:rsidR="00821381" w:rsidRPr="00167CB8">
              <w:rPr>
                <w:b/>
                <w:bCs/>
              </w:rPr>
              <w:t>24</w:t>
            </w:r>
          </w:p>
        </w:tc>
        <w:tc>
          <w:tcPr>
            <w:tcW w:w="1448" w:type="dxa"/>
            <w:shd w:val="clear" w:color="auto" w:fill="EAEBEC" w:themeFill="text2" w:themeFillTint="1A"/>
          </w:tcPr>
          <w:p w14:paraId="10CA3E51" w14:textId="3CFC3FF1" w:rsidR="00821381" w:rsidRPr="00167CB8" w:rsidRDefault="002D30C0" w:rsidP="006000ED">
            <w:pPr>
              <w:spacing w:line="259" w:lineRule="auto"/>
              <w:rPr>
                <w:b/>
                <w:bCs/>
              </w:rPr>
            </w:pPr>
            <w:r w:rsidRPr="00167CB8">
              <w:rPr>
                <w:b/>
                <w:bCs/>
              </w:rPr>
              <w:t>20</w:t>
            </w:r>
            <w:r w:rsidR="00821381" w:rsidRPr="00167CB8">
              <w:rPr>
                <w:b/>
                <w:bCs/>
              </w:rPr>
              <w:t xml:space="preserve">24 – 31 Oct </w:t>
            </w:r>
            <w:r w:rsidRPr="00167CB8">
              <w:rPr>
                <w:b/>
                <w:bCs/>
              </w:rPr>
              <w:t>20</w:t>
            </w:r>
            <w:r w:rsidR="00821381" w:rsidRPr="00167CB8">
              <w:rPr>
                <w:b/>
                <w:bCs/>
              </w:rPr>
              <w:t>24</w:t>
            </w:r>
          </w:p>
        </w:tc>
      </w:tr>
      <w:tr w:rsidR="00821381" w:rsidRPr="00167CB8" w14:paraId="08999B18" w14:textId="77777777">
        <w:tc>
          <w:tcPr>
            <w:tcW w:w="2568" w:type="dxa"/>
          </w:tcPr>
          <w:p w14:paraId="668C474C" w14:textId="72C60CF2" w:rsidR="00821381" w:rsidRPr="00167CB8" w:rsidRDefault="00821381" w:rsidP="006000ED">
            <w:pPr>
              <w:spacing w:after="160" w:line="259" w:lineRule="auto"/>
            </w:pPr>
            <w:hyperlink r:id="rId47" w:history="1">
              <w:r w:rsidRPr="00167CB8">
                <w:rPr>
                  <w:rStyle w:val="Hyperlink"/>
                </w:rPr>
                <w:t xml:space="preserve">Language help </w:t>
              </w:r>
              <w:r w:rsidR="002D30C0" w:rsidRPr="00167CB8">
                <w:rPr>
                  <w:rStyle w:val="Hyperlink"/>
                  <w:rFonts w:ascii="Symbol" w:eastAsia="Symbol" w:hAnsi="Symbol" w:cs="Symbol"/>
                </w:rPr>
                <w:sym w:font="Symbol" w:char="F02D"/>
              </w:r>
              <w:r w:rsidRPr="00167CB8">
                <w:rPr>
                  <w:rStyle w:val="Hyperlink"/>
                </w:rPr>
                <w:t xml:space="preserve"> Fair Work Ombudsman</w:t>
              </w:r>
            </w:hyperlink>
          </w:p>
        </w:tc>
        <w:tc>
          <w:tcPr>
            <w:tcW w:w="1284" w:type="dxa"/>
          </w:tcPr>
          <w:p w14:paraId="2E98132A" w14:textId="77777777" w:rsidR="00821381" w:rsidRPr="00167CB8" w:rsidRDefault="00821381" w:rsidP="006000ED">
            <w:pPr>
              <w:spacing w:line="259" w:lineRule="auto"/>
              <w:rPr>
                <w:i/>
                <w:iCs/>
              </w:rPr>
            </w:pPr>
            <w:r w:rsidRPr="00167CB8">
              <w:rPr>
                <w:rFonts w:cs="Calibri"/>
              </w:rPr>
              <w:t>18,418</w:t>
            </w:r>
          </w:p>
        </w:tc>
        <w:tc>
          <w:tcPr>
            <w:tcW w:w="1284" w:type="dxa"/>
          </w:tcPr>
          <w:p w14:paraId="1B2402F5" w14:textId="77777777" w:rsidR="00821381" w:rsidRPr="00167CB8" w:rsidRDefault="00821381" w:rsidP="006000ED">
            <w:pPr>
              <w:spacing w:line="259" w:lineRule="auto"/>
              <w:rPr>
                <w:i/>
                <w:iCs/>
              </w:rPr>
            </w:pPr>
            <w:r w:rsidRPr="00167CB8">
              <w:rPr>
                <w:rFonts w:cs="Calibri"/>
              </w:rPr>
              <w:t>13,498</w:t>
            </w:r>
          </w:p>
        </w:tc>
        <w:tc>
          <w:tcPr>
            <w:tcW w:w="1285" w:type="dxa"/>
          </w:tcPr>
          <w:p w14:paraId="4F923C88" w14:textId="77777777" w:rsidR="00821381" w:rsidRPr="00167CB8" w:rsidRDefault="00821381" w:rsidP="006000ED">
            <w:pPr>
              <w:spacing w:line="259" w:lineRule="auto"/>
              <w:rPr>
                <w:i/>
                <w:iCs/>
              </w:rPr>
            </w:pPr>
            <w:r w:rsidRPr="00167CB8">
              <w:rPr>
                <w:rFonts w:cs="Calibri"/>
              </w:rPr>
              <w:t>12,459</w:t>
            </w:r>
          </w:p>
        </w:tc>
        <w:tc>
          <w:tcPr>
            <w:tcW w:w="1122" w:type="dxa"/>
          </w:tcPr>
          <w:p w14:paraId="38290AD8" w14:textId="77777777" w:rsidR="00821381" w:rsidRPr="00167CB8" w:rsidRDefault="00821381" w:rsidP="006000ED">
            <w:pPr>
              <w:spacing w:line="259" w:lineRule="auto"/>
              <w:rPr>
                <w:i/>
                <w:iCs/>
              </w:rPr>
            </w:pPr>
            <w:r w:rsidRPr="00167CB8">
              <w:rPr>
                <w:rFonts w:cs="Calibri"/>
              </w:rPr>
              <w:t>14,742</w:t>
            </w:r>
          </w:p>
        </w:tc>
        <w:tc>
          <w:tcPr>
            <w:tcW w:w="1448" w:type="dxa"/>
          </w:tcPr>
          <w:p w14:paraId="1991C75B" w14:textId="77777777" w:rsidR="00821381" w:rsidRPr="00167CB8" w:rsidRDefault="00821381" w:rsidP="006000ED">
            <w:pPr>
              <w:spacing w:line="259" w:lineRule="auto"/>
              <w:rPr>
                <w:i/>
                <w:iCs/>
              </w:rPr>
            </w:pPr>
            <w:r w:rsidRPr="00167CB8">
              <w:rPr>
                <w:rFonts w:cs="Calibri"/>
              </w:rPr>
              <w:t>7,298</w:t>
            </w:r>
          </w:p>
        </w:tc>
      </w:tr>
      <w:tr w:rsidR="00821381" w:rsidRPr="00167CB8" w14:paraId="63E60725" w14:textId="77777777">
        <w:tc>
          <w:tcPr>
            <w:tcW w:w="2568" w:type="dxa"/>
          </w:tcPr>
          <w:p w14:paraId="07DFA191" w14:textId="32EB9F71" w:rsidR="00821381" w:rsidRPr="00167CB8" w:rsidRDefault="00821381" w:rsidP="006000ED">
            <w:pPr>
              <w:spacing w:after="160" w:line="259" w:lineRule="auto"/>
            </w:pPr>
            <w:hyperlink r:id="rId48" w:history="1">
              <w:r w:rsidRPr="00167CB8">
                <w:rPr>
                  <w:rStyle w:val="Hyperlink"/>
                </w:rPr>
                <w:t xml:space="preserve">Workplace help in other languages </w:t>
              </w:r>
              <w:r w:rsidR="002D30C0" w:rsidRPr="00167CB8">
                <w:rPr>
                  <w:rStyle w:val="Hyperlink"/>
                  <w:rFonts w:ascii="Symbol" w:eastAsia="Symbol" w:hAnsi="Symbol" w:cs="Symbol"/>
                </w:rPr>
                <w:sym w:font="Symbol" w:char="F02D"/>
              </w:r>
              <w:r w:rsidRPr="00167CB8">
                <w:rPr>
                  <w:rStyle w:val="Hyperlink"/>
                </w:rPr>
                <w:t xml:space="preserve"> Fair Work Ombudsman</w:t>
              </w:r>
            </w:hyperlink>
          </w:p>
        </w:tc>
        <w:tc>
          <w:tcPr>
            <w:tcW w:w="1284" w:type="dxa"/>
          </w:tcPr>
          <w:p w14:paraId="2945F3D8" w14:textId="77777777" w:rsidR="00821381" w:rsidRPr="00167CB8" w:rsidRDefault="00821381" w:rsidP="006000ED">
            <w:pPr>
              <w:spacing w:line="259" w:lineRule="auto"/>
              <w:rPr>
                <w:i/>
                <w:iCs/>
              </w:rPr>
            </w:pPr>
            <w:r w:rsidRPr="00167CB8">
              <w:rPr>
                <w:rFonts w:cs="Calibri"/>
              </w:rPr>
              <w:t>533</w:t>
            </w:r>
          </w:p>
        </w:tc>
        <w:tc>
          <w:tcPr>
            <w:tcW w:w="1284" w:type="dxa"/>
          </w:tcPr>
          <w:p w14:paraId="7BA879D6" w14:textId="77777777" w:rsidR="00821381" w:rsidRPr="00167CB8" w:rsidRDefault="00821381" w:rsidP="006000ED">
            <w:pPr>
              <w:spacing w:line="259" w:lineRule="auto"/>
              <w:rPr>
                <w:i/>
                <w:iCs/>
              </w:rPr>
            </w:pPr>
            <w:r w:rsidRPr="00167CB8">
              <w:rPr>
                <w:rFonts w:cs="Calibri"/>
              </w:rPr>
              <w:t>1,830</w:t>
            </w:r>
          </w:p>
        </w:tc>
        <w:tc>
          <w:tcPr>
            <w:tcW w:w="1285" w:type="dxa"/>
          </w:tcPr>
          <w:p w14:paraId="0956F4D1" w14:textId="77777777" w:rsidR="00821381" w:rsidRPr="00167CB8" w:rsidRDefault="00821381" w:rsidP="006000ED">
            <w:pPr>
              <w:spacing w:line="259" w:lineRule="auto"/>
              <w:rPr>
                <w:i/>
                <w:iCs/>
              </w:rPr>
            </w:pPr>
            <w:r w:rsidRPr="00167CB8">
              <w:rPr>
                <w:rFonts w:cs="Calibri"/>
              </w:rPr>
              <w:t>2,414</w:t>
            </w:r>
          </w:p>
        </w:tc>
        <w:tc>
          <w:tcPr>
            <w:tcW w:w="1122" w:type="dxa"/>
          </w:tcPr>
          <w:p w14:paraId="67FAA2F5" w14:textId="77777777" w:rsidR="00821381" w:rsidRPr="00167CB8" w:rsidRDefault="00821381" w:rsidP="006000ED">
            <w:pPr>
              <w:spacing w:line="259" w:lineRule="auto"/>
              <w:rPr>
                <w:i/>
                <w:iCs/>
              </w:rPr>
            </w:pPr>
            <w:r w:rsidRPr="00167CB8">
              <w:rPr>
                <w:rFonts w:cs="Calibri"/>
              </w:rPr>
              <w:t>2,686</w:t>
            </w:r>
          </w:p>
        </w:tc>
        <w:tc>
          <w:tcPr>
            <w:tcW w:w="1448" w:type="dxa"/>
          </w:tcPr>
          <w:p w14:paraId="154A7137" w14:textId="77777777" w:rsidR="00821381" w:rsidRPr="00167CB8" w:rsidRDefault="00821381" w:rsidP="006000ED">
            <w:pPr>
              <w:spacing w:line="259" w:lineRule="auto"/>
              <w:rPr>
                <w:i/>
                <w:iCs/>
              </w:rPr>
            </w:pPr>
            <w:r w:rsidRPr="00167CB8">
              <w:rPr>
                <w:rFonts w:cs="Calibri"/>
              </w:rPr>
              <w:t>971</w:t>
            </w:r>
          </w:p>
        </w:tc>
      </w:tr>
    </w:tbl>
    <w:p w14:paraId="581B5CD8" w14:textId="77777777" w:rsidR="00C87A8E" w:rsidRPr="00167CB8" w:rsidRDefault="00C87A8E" w:rsidP="00C87A8E">
      <w:pPr>
        <w:pStyle w:val="Source"/>
      </w:pPr>
      <w:bookmarkStart w:id="578" w:name="_Toc187934224"/>
      <w:r w:rsidRPr="00167CB8">
        <w:rPr>
          <w:b/>
          <w:bCs/>
        </w:rPr>
        <w:t>Source:</w:t>
      </w:r>
      <w:r w:rsidRPr="00167CB8">
        <w:t xml:space="preserve"> Data provided to the Review by the FWO.</w:t>
      </w:r>
    </w:p>
    <w:p w14:paraId="2C78B30E" w14:textId="145091E3" w:rsidR="00821381" w:rsidRPr="00167CB8" w:rsidRDefault="00184D51" w:rsidP="00E701F7">
      <w:pPr>
        <w:pStyle w:val="Heading5"/>
        <w:rPr>
          <w:rFonts w:asciiTheme="minorHAnsi" w:hAnsiTheme="minorHAnsi"/>
        </w:rPr>
      </w:pPr>
      <w:r w:rsidRPr="00167CB8">
        <w:rPr>
          <w:rFonts w:asciiTheme="minorHAnsi" w:hAnsiTheme="minorHAnsi"/>
        </w:rPr>
        <w:t>36.2.2</w:t>
      </w:r>
      <w:r w:rsidR="00821381" w:rsidRPr="00167CB8">
        <w:rPr>
          <w:rFonts w:asciiTheme="minorHAnsi" w:hAnsiTheme="minorHAnsi"/>
        </w:rPr>
        <w:t xml:space="preserve"> Qualitative </w:t>
      </w:r>
      <w:r w:rsidR="002D30C0" w:rsidRPr="00167CB8">
        <w:rPr>
          <w:rFonts w:asciiTheme="minorHAnsi" w:hAnsiTheme="minorHAnsi"/>
        </w:rPr>
        <w:t>e</w:t>
      </w:r>
      <w:r w:rsidR="00821381" w:rsidRPr="00167CB8">
        <w:rPr>
          <w:rFonts w:asciiTheme="minorHAnsi" w:hAnsiTheme="minorHAnsi"/>
        </w:rPr>
        <w:t>vidence</w:t>
      </w:r>
      <w:bookmarkEnd w:id="578"/>
    </w:p>
    <w:p w14:paraId="2D79F368" w14:textId="5F84F593" w:rsidR="00821381" w:rsidRPr="00167CB8" w:rsidRDefault="00821381" w:rsidP="006000ED">
      <w:pPr>
        <w:rPr>
          <w:rFonts w:cstheme="minorHAnsi"/>
          <w:lang w:val="en-US"/>
        </w:rPr>
      </w:pPr>
      <w:r w:rsidRPr="00167CB8">
        <w:rPr>
          <w:rFonts w:cstheme="minorHAnsi"/>
          <w:lang w:val="en-US"/>
        </w:rPr>
        <w:t xml:space="preserve">Both the FWC and FWO provided information and support in multiple languages prior to the </w:t>
      </w:r>
      <w:r w:rsidR="00591473" w:rsidRPr="00167CB8">
        <w:rPr>
          <w:rFonts w:cstheme="minorHAnsi"/>
          <w:lang w:val="en-US"/>
        </w:rPr>
        <w:t>Secure Jobs, Better Pay</w:t>
      </w:r>
      <w:r w:rsidRPr="00167CB8">
        <w:rPr>
          <w:rFonts w:cstheme="minorHAnsi"/>
          <w:lang w:val="en-US"/>
        </w:rPr>
        <w:t xml:space="preserve"> amendments and have undertaken further work since.</w:t>
      </w:r>
    </w:p>
    <w:p w14:paraId="3A7BB606" w14:textId="2860751B" w:rsidR="00821381" w:rsidRPr="00167CB8" w:rsidRDefault="00821381" w:rsidP="006000ED">
      <w:pPr>
        <w:rPr>
          <w:rFonts w:cstheme="minorHAnsi"/>
          <w:lang w:val="en-US"/>
        </w:rPr>
      </w:pPr>
      <w:r w:rsidRPr="00167CB8">
        <w:rPr>
          <w:rFonts w:cstheme="minorHAnsi"/>
          <w:lang w:val="en-US"/>
        </w:rPr>
        <w:t xml:space="preserve">In December 2024 the FWC released its ‘Community and </w:t>
      </w:r>
      <w:r w:rsidR="002D30C0" w:rsidRPr="00167CB8">
        <w:rPr>
          <w:rFonts w:cstheme="minorHAnsi"/>
          <w:lang w:val="en-US"/>
        </w:rPr>
        <w:t>E</w:t>
      </w:r>
      <w:r w:rsidRPr="00167CB8">
        <w:rPr>
          <w:rFonts w:cstheme="minorHAnsi"/>
          <w:lang w:val="en-US"/>
        </w:rPr>
        <w:t xml:space="preserve">ngagement </w:t>
      </w:r>
      <w:r w:rsidR="002D30C0" w:rsidRPr="00167CB8">
        <w:rPr>
          <w:rFonts w:cstheme="minorHAnsi"/>
          <w:lang w:val="en-US"/>
        </w:rPr>
        <w:t>S</w:t>
      </w:r>
      <w:r w:rsidRPr="00167CB8">
        <w:rPr>
          <w:rFonts w:cstheme="minorHAnsi"/>
          <w:lang w:val="en-US"/>
        </w:rPr>
        <w:t>trategy 2025</w:t>
      </w:r>
      <w:r w:rsidR="002D30C0" w:rsidRPr="00167CB8">
        <w:rPr>
          <w:rFonts w:ascii="Symbol" w:eastAsia="Symbol" w:hAnsi="Symbol" w:cstheme="minorHAnsi"/>
          <w:lang w:val="en-US"/>
        </w:rPr>
        <w:sym w:font="Symbol" w:char="F02D"/>
      </w:r>
      <w:r w:rsidRPr="00167CB8">
        <w:rPr>
          <w:rFonts w:cstheme="minorHAnsi"/>
          <w:lang w:val="en-US"/>
        </w:rPr>
        <w:t>27’ focused on ways to support CALD communities.</w:t>
      </w:r>
      <w:r w:rsidRPr="00167CB8">
        <w:rPr>
          <w:rStyle w:val="FootnoteReference"/>
          <w:rFonts w:cstheme="minorHAnsi"/>
          <w:lang w:val="en-US"/>
        </w:rPr>
        <w:footnoteReference w:id="1048"/>
      </w:r>
      <w:r w:rsidRPr="00167CB8">
        <w:rPr>
          <w:rFonts w:cstheme="minorHAnsi"/>
          <w:lang w:val="en-US"/>
        </w:rPr>
        <w:t xml:space="preserve"> In the strategy document the FWC notes that some CALD users are hesitant to use TIS </w:t>
      </w:r>
      <w:r w:rsidR="00817BCE" w:rsidRPr="00167CB8">
        <w:rPr>
          <w:rFonts w:cstheme="minorHAnsi"/>
          <w:lang w:val="en-US"/>
        </w:rPr>
        <w:t xml:space="preserve">National </w:t>
      </w:r>
      <w:r w:rsidRPr="00167CB8">
        <w:rPr>
          <w:rFonts w:cstheme="minorHAnsi"/>
          <w:lang w:val="en-US"/>
        </w:rPr>
        <w:t xml:space="preserve">and that the FWC intends to do further research with the CALD community to better understand what refinements and enhancements are required regarding the use of interpreters. The strategy document also indicates that the </w:t>
      </w:r>
      <w:r w:rsidRPr="00167CB8">
        <w:rPr>
          <w:rFonts w:cstheme="minorHAnsi"/>
          <w:lang w:val="en-US"/>
        </w:rPr>
        <w:lastRenderedPageBreak/>
        <w:t>FWC will explore the use of an automatic translator tool/service</w:t>
      </w:r>
      <w:r w:rsidR="00817BCE" w:rsidRPr="00167CB8">
        <w:rPr>
          <w:rFonts w:cstheme="minorHAnsi"/>
          <w:lang w:val="en-US"/>
        </w:rPr>
        <w:t xml:space="preserve"> similar to the </w:t>
      </w:r>
      <w:r w:rsidR="002D30C0" w:rsidRPr="00167CB8">
        <w:rPr>
          <w:rFonts w:cstheme="minorHAnsi"/>
          <w:lang w:val="en-US"/>
        </w:rPr>
        <w:t xml:space="preserve">one the </w:t>
      </w:r>
      <w:r w:rsidR="00817BCE" w:rsidRPr="00167CB8">
        <w:rPr>
          <w:rFonts w:cstheme="minorHAnsi"/>
          <w:lang w:val="en-US"/>
        </w:rPr>
        <w:t>FWO uses</w:t>
      </w:r>
      <w:r w:rsidRPr="00167CB8">
        <w:rPr>
          <w:rFonts w:cstheme="minorHAnsi"/>
          <w:lang w:val="en-US"/>
        </w:rPr>
        <w:t>.</w:t>
      </w:r>
    </w:p>
    <w:p w14:paraId="3702C478" w14:textId="17796574" w:rsidR="00821381" w:rsidRPr="00167CB8" w:rsidRDefault="00821381" w:rsidP="006000ED">
      <w:pPr>
        <w:rPr>
          <w:rFonts w:cstheme="minorHAnsi"/>
          <w:lang w:val="en-US"/>
        </w:rPr>
      </w:pPr>
      <w:r w:rsidRPr="00167CB8">
        <w:rPr>
          <w:rFonts w:cstheme="minorHAnsi"/>
          <w:lang w:val="en-US"/>
        </w:rPr>
        <w:t>This follows the release of resources for people from CALD communities in October 2023. The President of the FWC reports that the ‘</w:t>
      </w:r>
      <w:r w:rsidRPr="00167CB8">
        <w:rPr>
          <w:rFonts w:cstheme="minorHAnsi"/>
        </w:rPr>
        <w:t>resources [were] translated by NAATI-accredited translators into 28 community languages to help those from CALD backgrounds better understand the role of the Commission. The languages were chosen based on 2021 Census data and our own internal data regarding interpreter requests</w:t>
      </w:r>
      <w:r w:rsidR="002D30C0" w:rsidRPr="00167CB8">
        <w:rPr>
          <w:rFonts w:cstheme="minorHAnsi"/>
        </w:rPr>
        <w:t>’</w:t>
      </w:r>
      <w:r w:rsidRPr="00167CB8">
        <w:rPr>
          <w:rFonts w:cstheme="minorHAnsi"/>
        </w:rPr>
        <w:t>.</w:t>
      </w:r>
      <w:r w:rsidRPr="00167CB8">
        <w:rPr>
          <w:rStyle w:val="FootnoteReference"/>
          <w:rFonts w:cstheme="minorHAnsi"/>
        </w:rPr>
        <w:footnoteReference w:id="1049"/>
      </w:r>
    </w:p>
    <w:p w14:paraId="00380398" w14:textId="51CAE999" w:rsidR="00821381" w:rsidRPr="00167CB8" w:rsidRDefault="00821381" w:rsidP="006000ED">
      <w:pPr>
        <w:rPr>
          <w:rFonts w:cstheme="minorHAnsi"/>
          <w:lang w:val="en-US"/>
        </w:rPr>
      </w:pPr>
      <w:r w:rsidRPr="00167CB8">
        <w:rPr>
          <w:rFonts w:cstheme="minorHAnsi"/>
          <w:lang w:val="en-US"/>
        </w:rPr>
        <w:t>The FWO’s ongoing commitment to the maintenance</w:t>
      </w:r>
      <w:r w:rsidR="002D30C0" w:rsidRPr="00167CB8">
        <w:rPr>
          <w:rFonts w:cstheme="minorHAnsi"/>
          <w:lang w:val="en-US"/>
        </w:rPr>
        <w:t xml:space="preserve"> and </w:t>
      </w:r>
      <w:r w:rsidRPr="00167CB8">
        <w:rPr>
          <w:rFonts w:cstheme="minorHAnsi"/>
          <w:lang w:val="en-US"/>
        </w:rPr>
        <w:t xml:space="preserve">revision (and expansion where necessary) of web content for CALD workplace participants is a component of its publicly available </w:t>
      </w:r>
      <w:hyperlink r:id="rId49" w:history="1">
        <w:r w:rsidRPr="00167CB8">
          <w:rPr>
            <w:rFonts w:cstheme="minorHAnsi"/>
            <w:lang w:val="en-US"/>
          </w:rPr>
          <w:t>Multicultural Access and Equity Action Plan 2023</w:t>
        </w:r>
        <w:r w:rsidR="002D30C0" w:rsidRPr="00167CB8">
          <w:rPr>
            <w:rFonts w:ascii="Symbol" w:eastAsia="Symbol" w:hAnsi="Symbol" w:cstheme="minorHAnsi"/>
            <w:lang w:val="en-US"/>
          </w:rPr>
          <w:sym w:font="Symbol" w:char="F02D"/>
        </w:r>
        <w:r w:rsidRPr="00167CB8">
          <w:rPr>
            <w:rFonts w:cstheme="minorHAnsi"/>
            <w:lang w:val="en-US"/>
          </w:rPr>
          <w:t>2025</w:t>
        </w:r>
      </w:hyperlink>
      <w:r w:rsidRPr="00167CB8">
        <w:rPr>
          <w:rFonts w:cstheme="minorHAnsi"/>
          <w:lang w:val="en-US"/>
        </w:rPr>
        <w:t xml:space="preserve">. This plan sets out how the FWO meets its responsibilities under the Australian Government’s </w:t>
      </w:r>
      <w:hyperlink r:id="rId50" w:history="1">
        <w:r w:rsidRPr="00167CB8">
          <w:rPr>
            <w:rFonts w:cstheme="minorHAnsi"/>
            <w:lang w:val="en-US"/>
          </w:rPr>
          <w:t>Multicultural Access and Equity Policy</w:t>
        </w:r>
      </w:hyperlink>
      <w:r w:rsidRPr="00167CB8">
        <w:rPr>
          <w:rFonts w:cstheme="minorHAnsi"/>
          <w:lang w:val="en-US"/>
        </w:rPr>
        <w:t>, including to ensure that CALD workplace participants are educated about their workplace rights, entitlements and responsibilities and that the FWO addresses any barriers that exist for members of CALD communities in accessing its services and assistance.</w:t>
      </w:r>
    </w:p>
    <w:p w14:paraId="7FEE8314" w14:textId="6EC00791" w:rsidR="00821381" w:rsidRPr="00167CB8" w:rsidRDefault="00821381" w:rsidP="006000ED">
      <w:pPr>
        <w:rPr>
          <w:rFonts w:cstheme="minorHAnsi"/>
        </w:rPr>
      </w:pPr>
      <w:r w:rsidRPr="00167CB8">
        <w:rPr>
          <w:rFonts w:cstheme="minorHAnsi"/>
          <w:lang w:val="en-US"/>
        </w:rPr>
        <w:t>The Multicultural Access and Equity Action Plan follows considerable work to make the FWO more accessible for CALD communities</w:t>
      </w:r>
      <w:r w:rsidR="002D30C0" w:rsidRPr="00167CB8">
        <w:rPr>
          <w:rFonts w:cstheme="minorHAnsi"/>
          <w:lang w:val="en-US"/>
        </w:rPr>
        <w:t>,</w:t>
      </w:r>
      <w:r w:rsidRPr="00167CB8">
        <w:rPr>
          <w:rFonts w:cstheme="minorHAnsi"/>
          <w:lang w:val="en-US"/>
        </w:rPr>
        <w:t xml:space="preserve"> such as the ‘in-language Anonymous Report tool’ released in July 2017 and the </w:t>
      </w:r>
      <w:r w:rsidRPr="00167CB8">
        <w:rPr>
          <w:rFonts w:cstheme="minorHAnsi"/>
        </w:rPr>
        <w:t>automatic translation tool launched in February 2018.</w:t>
      </w:r>
      <w:r w:rsidRPr="00167CB8">
        <w:rPr>
          <w:rStyle w:val="FootnoteReference"/>
          <w:rFonts w:cstheme="minorHAnsi"/>
        </w:rPr>
        <w:footnoteReference w:id="1050"/>
      </w:r>
    </w:p>
    <w:p w14:paraId="7C27A48D" w14:textId="70707051" w:rsidR="00821381" w:rsidRPr="00167CB8" w:rsidRDefault="00821381" w:rsidP="006000ED">
      <w:pPr>
        <w:rPr>
          <w:rFonts w:cstheme="minorHAnsi"/>
        </w:rPr>
      </w:pPr>
      <w:r w:rsidRPr="00167CB8">
        <w:rPr>
          <w:rFonts w:cstheme="minorHAnsi"/>
        </w:rPr>
        <w:t xml:space="preserve">Additionally, the FWO has taken targeted measures to support First Nations people as part of their Reconciliation Action Plan. The </w:t>
      </w:r>
      <w:r w:rsidR="00A5628A" w:rsidRPr="00167CB8">
        <w:rPr>
          <w:rFonts w:cstheme="minorHAnsi"/>
        </w:rPr>
        <w:t>FWO</w:t>
      </w:r>
      <w:r w:rsidRPr="00167CB8">
        <w:rPr>
          <w:rFonts w:cstheme="minorHAnsi"/>
        </w:rPr>
        <w:t xml:space="preserve"> note</w:t>
      </w:r>
      <w:r w:rsidR="00A5628A" w:rsidRPr="00167CB8">
        <w:rPr>
          <w:rFonts w:cstheme="minorHAnsi"/>
        </w:rPr>
        <w:t>s</w:t>
      </w:r>
      <w:r w:rsidRPr="00167CB8">
        <w:rPr>
          <w:rFonts w:cstheme="minorHAnsi"/>
        </w:rPr>
        <w:t xml:space="preserve"> that</w:t>
      </w:r>
      <w:r w:rsidR="002D30C0" w:rsidRPr="00167CB8">
        <w:rPr>
          <w:rFonts w:cstheme="minorHAnsi"/>
        </w:rPr>
        <w:t>,</w:t>
      </w:r>
      <w:r w:rsidRPr="00167CB8">
        <w:rPr>
          <w:rFonts w:cstheme="minorHAnsi"/>
        </w:rPr>
        <w:t xml:space="preserve"> along with other materials targeted at supporting First Nations people, such as webinars and face to face information session in English, they have worked with the ‘Aboriginal Resource and Development Services (ARDS Aboriginal Corporation) in the production of the Yolnu Matha in-language workplace materials for First Nations people</w:t>
      </w:r>
      <w:r w:rsidR="002D30C0" w:rsidRPr="00167CB8">
        <w:rPr>
          <w:rFonts w:cstheme="minorHAnsi"/>
        </w:rPr>
        <w:t>’</w:t>
      </w:r>
      <w:r w:rsidRPr="00167CB8">
        <w:rPr>
          <w:rFonts w:cstheme="minorHAnsi"/>
        </w:rPr>
        <w:t>.</w:t>
      </w:r>
      <w:r w:rsidRPr="00167CB8">
        <w:rPr>
          <w:rStyle w:val="FootnoteReference"/>
          <w:rFonts w:cstheme="minorHAnsi"/>
        </w:rPr>
        <w:footnoteReference w:id="1051"/>
      </w:r>
    </w:p>
    <w:p w14:paraId="17E0C16B" w14:textId="61931BAF" w:rsidR="00821381" w:rsidRPr="00167CB8" w:rsidRDefault="00184D51" w:rsidP="00E701F7">
      <w:pPr>
        <w:pStyle w:val="Heading5"/>
        <w:rPr>
          <w:rFonts w:asciiTheme="minorHAnsi" w:hAnsiTheme="minorHAnsi"/>
        </w:rPr>
      </w:pPr>
      <w:bookmarkStart w:id="583" w:name="_Toc187934225"/>
      <w:r w:rsidRPr="00167CB8">
        <w:rPr>
          <w:rFonts w:asciiTheme="minorHAnsi" w:hAnsiTheme="minorHAnsi"/>
        </w:rPr>
        <w:t>36.2.3</w:t>
      </w:r>
      <w:r w:rsidR="00821381" w:rsidRPr="00167CB8">
        <w:rPr>
          <w:rFonts w:asciiTheme="minorHAnsi" w:hAnsiTheme="minorHAnsi"/>
        </w:rPr>
        <w:t xml:space="preserve"> Stakeholder views</w:t>
      </w:r>
      <w:bookmarkEnd w:id="583"/>
    </w:p>
    <w:p w14:paraId="2468D3A7" w14:textId="77777777" w:rsidR="00821381" w:rsidRPr="00167CB8" w:rsidRDefault="00821381" w:rsidP="00E701F7">
      <w:pPr>
        <w:rPr>
          <w:rFonts w:cstheme="minorHAnsi"/>
          <w:lang w:val="en-US"/>
        </w:rPr>
      </w:pPr>
      <w:r w:rsidRPr="00167CB8">
        <w:rPr>
          <w:rFonts w:cstheme="minorHAnsi"/>
          <w:lang w:val="en-US"/>
        </w:rPr>
        <w:t>No submissions to the review raised concerns or provided specific feedback about these amendments.</w:t>
      </w:r>
    </w:p>
    <w:p w14:paraId="648C86D5" w14:textId="2491B62F" w:rsidR="00821381" w:rsidRPr="00167CB8" w:rsidRDefault="00184D51" w:rsidP="00E701F7">
      <w:pPr>
        <w:pStyle w:val="Heading4"/>
        <w:rPr>
          <w:rFonts w:asciiTheme="minorHAnsi" w:hAnsiTheme="minorHAnsi"/>
        </w:rPr>
      </w:pPr>
      <w:bookmarkStart w:id="584" w:name="_Toc187934226"/>
      <w:bookmarkStart w:id="585" w:name="_Toc188278046"/>
      <w:bookmarkStart w:id="586" w:name="_Toc189260333"/>
      <w:bookmarkStart w:id="587" w:name="_Toc189393649"/>
      <w:r w:rsidRPr="00167CB8">
        <w:rPr>
          <w:rFonts w:asciiTheme="minorHAnsi" w:hAnsiTheme="minorHAnsi"/>
        </w:rPr>
        <w:t>36.3</w:t>
      </w:r>
      <w:r w:rsidR="00821381" w:rsidRPr="00167CB8">
        <w:rPr>
          <w:rFonts w:asciiTheme="minorHAnsi" w:hAnsiTheme="minorHAnsi"/>
        </w:rPr>
        <w:t xml:space="preserve"> Findings and </w:t>
      </w:r>
      <w:r w:rsidR="002D30C0" w:rsidRPr="00167CB8">
        <w:rPr>
          <w:rFonts w:asciiTheme="minorHAnsi" w:hAnsiTheme="minorHAnsi"/>
        </w:rPr>
        <w:t>r</w:t>
      </w:r>
      <w:r w:rsidR="00821381" w:rsidRPr="00167CB8">
        <w:rPr>
          <w:rFonts w:asciiTheme="minorHAnsi" w:hAnsiTheme="minorHAnsi"/>
        </w:rPr>
        <w:t>ecommendations</w:t>
      </w:r>
      <w:bookmarkEnd w:id="584"/>
      <w:bookmarkEnd w:id="585"/>
      <w:bookmarkEnd w:id="586"/>
      <w:bookmarkEnd w:id="587"/>
    </w:p>
    <w:p w14:paraId="7E1D790F" w14:textId="77777777" w:rsidR="00821381" w:rsidRPr="00167CB8" w:rsidRDefault="00821381" w:rsidP="006000ED">
      <w:pPr>
        <w:rPr>
          <w:rFonts w:cstheme="minorHAnsi"/>
          <w:lang w:val="en-US"/>
        </w:rPr>
      </w:pPr>
      <w:r w:rsidRPr="00167CB8">
        <w:rPr>
          <w:rFonts w:cstheme="minorHAnsi"/>
          <w:lang w:val="en-US"/>
        </w:rPr>
        <w:t xml:space="preserve">The Review Panel is satisfied that the new </w:t>
      </w:r>
      <w:r w:rsidRPr="00167CB8">
        <w:t xml:space="preserve">statutory requirement for the FWC and FWO to have regard to </w:t>
      </w:r>
      <w:r w:rsidRPr="00167CB8">
        <w:rPr>
          <w:rFonts w:cstheme="minorHAnsi"/>
          <w:lang w:val="en-US"/>
        </w:rPr>
        <w:t xml:space="preserve">guidelines and materials being available in multiple languages is having its intended effect and that there are no unintended effects. </w:t>
      </w:r>
    </w:p>
    <w:p w14:paraId="4BBA32EE" w14:textId="77777777" w:rsidR="00821381" w:rsidRPr="00167CB8" w:rsidRDefault="00821381" w:rsidP="006000ED">
      <w:pPr>
        <w:rPr>
          <w:rFonts w:cstheme="minorHAnsi"/>
          <w:lang w:val="en-US"/>
        </w:rPr>
      </w:pPr>
      <w:r w:rsidRPr="00167CB8">
        <w:rPr>
          <w:rFonts w:cstheme="minorHAnsi"/>
          <w:lang w:val="en-US"/>
        </w:rPr>
        <w:t xml:space="preserve">The Review Panel supports the current actions being taken by the FWO and the FWC to support CALD communities, particularly the FWO’s use of Microsoft Translator. However, more can be done to provide targeted materials to First Nations peoples. The Review Panel is interested in the materials prepared in </w:t>
      </w:r>
      <w:r w:rsidRPr="00167CB8">
        <w:rPr>
          <w:rFonts w:cstheme="minorHAnsi"/>
        </w:rPr>
        <w:t>Yolnu Matha by FWO with ARDS and notes that similar materials could be prepared to support other First Nations peoples.</w:t>
      </w:r>
    </w:p>
    <w:p w14:paraId="0D7C603C" w14:textId="77777777" w:rsidR="00EA249F" w:rsidRPr="00167CB8" w:rsidRDefault="00EA249F" w:rsidP="00EA249F">
      <w:pPr>
        <w:rPr>
          <w:b/>
          <w:bCs/>
        </w:rPr>
      </w:pPr>
      <w:bookmarkStart w:id="588" w:name="_Toc186378676"/>
      <w:r w:rsidRPr="00167CB8">
        <w:rPr>
          <w:b/>
          <w:bCs/>
        </w:rPr>
        <w:lastRenderedPageBreak/>
        <w:t xml:space="preserve">Draft Recommendation 19: The FWC </w:t>
      </w:r>
      <w:r w:rsidRPr="00167CB8" w:rsidDel="001F67CD">
        <w:rPr>
          <w:b/>
          <w:bCs/>
        </w:rPr>
        <w:t xml:space="preserve">should </w:t>
      </w:r>
      <w:r w:rsidRPr="00167CB8">
        <w:rPr>
          <w:b/>
          <w:bCs/>
        </w:rPr>
        <w:t>implement an automatic language translation tool on its website (as used by the FWO) and the Australian Government should investigate whether such tools could be used to translate materials into First Nations languages.</w:t>
      </w:r>
    </w:p>
    <w:bookmarkEnd w:id="588"/>
    <w:p w14:paraId="47CD4681" w14:textId="5C884A46" w:rsidR="00821381" w:rsidRPr="00167CB8" w:rsidRDefault="00DC4661" w:rsidP="00DC4661">
      <w:pPr>
        <w:spacing w:after="160"/>
        <w:rPr>
          <w:rFonts w:cstheme="minorHAnsi"/>
          <w:b/>
          <w:bCs/>
        </w:rPr>
      </w:pPr>
      <w:r w:rsidRPr="00167CB8">
        <w:br w:type="page"/>
      </w:r>
    </w:p>
    <w:p w14:paraId="672CAB82" w14:textId="3A7BC01F" w:rsidR="00821381" w:rsidRPr="00167CB8" w:rsidRDefault="00184D51" w:rsidP="00E701F7">
      <w:pPr>
        <w:pStyle w:val="Heading3"/>
        <w:rPr>
          <w:rFonts w:asciiTheme="minorHAnsi" w:hAnsiTheme="minorHAnsi"/>
        </w:rPr>
      </w:pPr>
      <w:bookmarkStart w:id="589" w:name="_Toc187934227"/>
      <w:bookmarkStart w:id="590" w:name="_Toc188278047"/>
      <w:bookmarkStart w:id="591" w:name="_Toc189260334"/>
      <w:bookmarkStart w:id="592" w:name="_Toc189393650"/>
      <w:r w:rsidRPr="00167CB8">
        <w:rPr>
          <w:rFonts w:asciiTheme="minorHAnsi" w:hAnsiTheme="minorHAnsi"/>
        </w:rPr>
        <w:lastRenderedPageBreak/>
        <w:t>Chapter 37.</w:t>
      </w:r>
      <w:r w:rsidR="00821381" w:rsidRPr="00167CB8">
        <w:rPr>
          <w:rFonts w:asciiTheme="minorHAnsi" w:hAnsiTheme="minorHAnsi"/>
        </w:rPr>
        <w:t xml:space="preserve"> Amendment of the Safety, Rehabilitation and Compensation Act 1988</w:t>
      </w:r>
      <w:bookmarkEnd w:id="589"/>
      <w:bookmarkEnd w:id="590"/>
      <w:bookmarkEnd w:id="591"/>
      <w:bookmarkEnd w:id="592"/>
    </w:p>
    <w:p w14:paraId="37BC8633" w14:textId="28EBBD33" w:rsidR="00821381" w:rsidRPr="00167CB8" w:rsidRDefault="00821381" w:rsidP="006000ED">
      <w:pPr>
        <w:rPr>
          <w:rFonts w:cstheme="minorHAnsi"/>
          <w:lang w:val="en-US"/>
        </w:rPr>
      </w:pPr>
      <w:r w:rsidRPr="00167CB8">
        <w:rPr>
          <w:rFonts w:cstheme="minorHAnsi"/>
          <w:lang w:val="en-US"/>
        </w:rPr>
        <w:t xml:space="preserve">The </w:t>
      </w:r>
      <w:r w:rsidR="00EE0FF2" w:rsidRPr="00167CB8">
        <w:rPr>
          <w:rFonts w:cstheme="minorHAnsi"/>
          <w:lang w:val="en-US"/>
        </w:rPr>
        <w:t>Secure Jobs, Better Pay</w:t>
      </w:r>
      <w:r w:rsidRPr="00167CB8">
        <w:rPr>
          <w:rFonts w:cstheme="minorHAnsi"/>
          <w:lang w:val="en-US"/>
        </w:rPr>
        <w:t xml:space="preserve"> Act, at Part 27, made amendments to the </w:t>
      </w:r>
      <w:r w:rsidRPr="00167CB8">
        <w:rPr>
          <w:rFonts w:cstheme="minorHAnsi"/>
          <w:i/>
          <w:iCs/>
          <w:lang w:val="en-US"/>
        </w:rPr>
        <w:t>Safety, Rehabilitation and Compensation Act 1988</w:t>
      </w:r>
      <w:r w:rsidRPr="00167CB8">
        <w:rPr>
          <w:rFonts w:cstheme="minorHAnsi"/>
          <w:lang w:val="en-US"/>
        </w:rPr>
        <w:t xml:space="preserve"> </w:t>
      </w:r>
      <w:r w:rsidR="002D30C0" w:rsidRPr="00167CB8">
        <w:rPr>
          <w:rFonts w:cstheme="minorHAnsi"/>
          <w:lang w:val="en-US"/>
        </w:rPr>
        <w:t xml:space="preserve">(Cth) </w:t>
      </w:r>
      <w:r w:rsidRPr="00167CB8">
        <w:rPr>
          <w:rFonts w:cstheme="minorHAnsi"/>
          <w:lang w:val="en-US"/>
        </w:rPr>
        <w:t>(SRC Act). The SRC Act is the legislative framework that underpins the Comcare workers’ compensation scheme.</w:t>
      </w:r>
    </w:p>
    <w:p w14:paraId="5675228D" w14:textId="2A1F631E" w:rsidR="00821381" w:rsidRPr="00167CB8" w:rsidRDefault="00184D51" w:rsidP="00E701F7">
      <w:pPr>
        <w:pStyle w:val="Heading4"/>
        <w:rPr>
          <w:rFonts w:asciiTheme="minorHAnsi" w:hAnsiTheme="minorHAnsi"/>
        </w:rPr>
      </w:pPr>
      <w:bookmarkStart w:id="593" w:name="_Toc187934228"/>
      <w:bookmarkStart w:id="594" w:name="_Toc188278048"/>
      <w:bookmarkStart w:id="595" w:name="_Toc189260335"/>
      <w:bookmarkStart w:id="596" w:name="_Toc189393651"/>
      <w:r w:rsidRPr="00167CB8">
        <w:rPr>
          <w:rFonts w:asciiTheme="minorHAnsi" w:hAnsiTheme="minorHAnsi"/>
        </w:rPr>
        <w:t>37.1</w:t>
      </w:r>
      <w:r w:rsidR="00821381" w:rsidRPr="00167CB8">
        <w:rPr>
          <w:rFonts w:asciiTheme="minorHAnsi" w:hAnsiTheme="minorHAnsi"/>
        </w:rPr>
        <w:t xml:space="preserve"> </w:t>
      </w:r>
      <w:bookmarkEnd w:id="593"/>
      <w:bookmarkEnd w:id="594"/>
      <w:r w:rsidRPr="00167CB8">
        <w:rPr>
          <w:rFonts w:asciiTheme="minorHAnsi" w:hAnsiTheme="minorHAnsi"/>
        </w:rPr>
        <w:t>Amendment</w:t>
      </w:r>
      <w:r w:rsidR="001D3E2B">
        <w:rPr>
          <w:rFonts w:asciiTheme="minorHAnsi" w:hAnsiTheme="minorHAnsi"/>
        </w:rPr>
        <w:t>s</w:t>
      </w:r>
      <w:r w:rsidRPr="00167CB8">
        <w:rPr>
          <w:rFonts w:asciiTheme="minorHAnsi" w:hAnsiTheme="minorHAnsi"/>
        </w:rPr>
        <w:t xml:space="preserve"> </w:t>
      </w:r>
      <w:r w:rsidR="002D30C0" w:rsidRPr="00167CB8">
        <w:rPr>
          <w:rFonts w:asciiTheme="minorHAnsi" w:hAnsiTheme="minorHAnsi"/>
        </w:rPr>
        <w:t>and i</w:t>
      </w:r>
      <w:r w:rsidRPr="00167CB8">
        <w:rPr>
          <w:rFonts w:asciiTheme="minorHAnsi" w:hAnsiTheme="minorHAnsi"/>
        </w:rPr>
        <w:t>ntent</w:t>
      </w:r>
      <w:bookmarkEnd w:id="595"/>
      <w:bookmarkEnd w:id="596"/>
    </w:p>
    <w:p w14:paraId="66BB54C3" w14:textId="77777777" w:rsidR="00821381" w:rsidRPr="00167CB8" w:rsidRDefault="00821381" w:rsidP="006000ED">
      <w:pPr>
        <w:rPr>
          <w:rFonts w:cstheme="minorHAnsi"/>
          <w:lang w:val="en-US"/>
        </w:rPr>
      </w:pPr>
      <w:r w:rsidRPr="00167CB8">
        <w:rPr>
          <w:rFonts w:cstheme="minorHAnsi"/>
          <w:lang w:val="en-US"/>
        </w:rPr>
        <w:t>The following summarises the main amendments and the intent of the amendments.</w:t>
      </w:r>
    </w:p>
    <w:p w14:paraId="3BAF9901" w14:textId="0F1BD20C" w:rsidR="00821381" w:rsidRPr="00167CB8" w:rsidRDefault="00184D51" w:rsidP="00E701F7">
      <w:pPr>
        <w:pStyle w:val="Heading5"/>
        <w:rPr>
          <w:rFonts w:asciiTheme="minorHAnsi" w:hAnsiTheme="minorHAnsi"/>
        </w:rPr>
      </w:pPr>
      <w:bookmarkStart w:id="597" w:name="_Toc187934229"/>
      <w:r w:rsidRPr="00167CB8">
        <w:rPr>
          <w:rFonts w:asciiTheme="minorHAnsi" w:hAnsiTheme="minorHAnsi"/>
        </w:rPr>
        <w:t>37.1.1</w:t>
      </w:r>
      <w:r w:rsidR="00821381" w:rsidRPr="00167CB8">
        <w:rPr>
          <w:rFonts w:asciiTheme="minorHAnsi" w:hAnsiTheme="minorHAnsi"/>
        </w:rPr>
        <w:t xml:space="preserve"> </w:t>
      </w:r>
      <w:r w:rsidR="00EE0FF2" w:rsidRPr="00167CB8">
        <w:rPr>
          <w:rFonts w:asciiTheme="minorHAnsi" w:hAnsiTheme="minorHAnsi"/>
        </w:rPr>
        <w:t>Secure Jobs, Better Pay</w:t>
      </w:r>
      <w:r w:rsidR="00EE0FF2" w:rsidRPr="00167CB8" w:rsidDel="00EE0FF2">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597"/>
    </w:p>
    <w:p w14:paraId="5A8D7EDF" w14:textId="7F3F589D" w:rsidR="00821381" w:rsidRPr="00167CB8" w:rsidRDefault="00821381" w:rsidP="006000ED">
      <w:pPr>
        <w:rPr>
          <w:rFonts w:cstheme="minorHAnsi"/>
          <w:lang w:val="en-US"/>
        </w:rPr>
      </w:pPr>
      <w:r w:rsidRPr="00167CB8">
        <w:rPr>
          <w:rFonts w:cstheme="minorHAnsi"/>
          <w:lang w:val="en-US"/>
        </w:rPr>
        <w:t xml:space="preserve">The </w:t>
      </w:r>
      <w:r w:rsidR="00EE0FF2" w:rsidRPr="00167CB8">
        <w:rPr>
          <w:rFonts w:cstheme="minorHAnsi"/>
          <w:lang w:val="en-US"/>
        </w:rPr>
        <w:t>Secure Jobs, Better Pay</w:t>
      </w:r>
      <w:r w:rsidRPr="00167CB8">
        <w:rPr>
          <w:rFonts w:cstheme="minorHAnsi"/>
          <w:lang w:val="en-US"/>
        </w:rPr>
        <w:t xml:space="preserve"> Act amended the SRC Act to streamline access to workers’ compensation for firefighters, including reducing the qualifying period for oesophageal cancer from 25 years to 15 years, extending coverage of presumptive workers’ compensation to volunteer firefighters in the Australian Capital Territory (ACT) and clarifying how volunteer firefighters access the presumptive provisions under the SRC Act.</w:t>
      </w:r>
      <w:r w:rsidRPr="00167CB8">
        <w:rPr>
          <w:rFonts w:cstheme="minorHAnsi"/>
          <w:vertAlign w:val="superscript"/>
          <w:lang w:val="en-US"/>
        </w:rPr>
        <w:footnoteReference w:id="1052"/>
      </w:r>
    </w:p>
    <w:p w14:paraId="44BD85B1" w14:textId="50098D16" w:rsidR="005B3B7D" w:rsidRPr="00167CB8" w:rsidRDefault="005B3B7D" w:rsidP="006000ED">
      <w:pPr>
        <w:rPr>
          <w:rFonts w:cstheme="minorHAnsi"/>
          <w:lang w:val="en-US"/>
        </w:rPr>
      </w:pPr>
      <w:r w:rsidRPr="00167CB8">
        <w:rPr>
          <w:rFonts w:cstheme="minorHAnsi"/>
          <w:lang w:val="en-US"/>
        </w:rPr>
        <w:t xml:space="preserve">These amendments came into effect on </w:t>
      </w:r>
      <w:r w:rsidR="00A46C51" w:rsidRPr="00167CB8">
        <w:rPr>
          <w:rFonts w:cstheme="minorHAnsi"/>
        </w:rPr>
        <w:t>7 December 2022.</w:t>
      </w:r>
    </w:p>
    <w:p w14:paraId="0149241B" w14:textId="41C0DF28" w:rsidR="00821381" w:rsidRPr="00167CB8" w:rsidRDefault="00184D51" w:rsidP="00E701F7">
      <w:pPr>
        <w:pStyle w:val="Heading5"/>
        <w:rPr>
          <w:rFonts w:asciiTheme="minorHAnsi" w:hAnsiTheme="minorHAnsi"/>
        </w:rPr>
      </w:pPr>
      <w:bookmarkStart w:id="598" w:name="_Toc187934230"/>
      <w:r w:rsidRPr="00167CB8">
        <w:rPr>
          <w:rFonts w:asciiTheme="minorHAnsi" w:hAnsiTheme="minorHAnsi"/>
        </w:rPr>
        <w:t>37.1.2</w:t>
      </w:r>
      <w:r w:rsidR="00821381" w:rsidRPr="00167CB8">
        <w:rPr>
          <w:rFonts w:asciiTheme="minorHAnsi" w:hAnsiTheme="minorHAnsi"/>
        </w:rPr>
        <w:t xml:space="preserve"> Intent of </w:t>
      </w:r>
      <w:r w:rsidR="00EE0FF2" w:rsidRPr="00167CB8">
        <w:rPr>
          <w:rFonts w:asciiTheme="minorHAnsi" w:hAnsiTheme="minorHAnsi"/>
        </w:rPr>
        <w:t>Secure Jobs, Better Pay</w:t>
      </w:r>
      <w:r w:rsidR="00821381" w:rsidRPr="00167CB8">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598"/>
    </w:p>
    <w:p w14:paraId="6DFAD348" w14:textId="77777777" w:rsidR="00821381" w:rsidRPr="00167CB8" w:rsidRDefault="00821381" w:rsidP="009F4C9B">
      <w:pPr>
        <w:spacing w:after="0"/>
        <w:rPr>
          <w:color w:val="777778" w:themeColor="accent5"/>
        </w:rPr>
      </w:pPr>
      <w:r w:rsidRPr="00167CB8">
        <w:rPr>
          <w:rFonts w:cstheme="minorHAnsi"/>
          <w:lang w:val="en-US"/>
        </w:rPr>
        <w:t>The amendments are designed to make it easier for employed and volunteer firefighters who contract certain illnesses to access the Comcare workers’ compensation scheme.</w:t>
      </w:r>
      <w:r w:rsidRPr="00167CB8">
        <w:rPr>
          <w:rFonts w:cstheme="minorHAnsi"/>
          <w:vertAlign w:val="superscript"/>
          <w:lang w:val="en-US"/>
        </w:rPr>
        <w:footnoteReference w:id="1053"/>
      </w:r>
    </w:p>
    <w:p w14:paraId="4A886931" w14:textId="124C496C" w:rsidR="00821381" w:rsidRPr="00167CB8" w:rsidRDefault="00184D51" w:rsidP="00E701F7">
      <w:pPr>
        <w:pStyle w:val="Heading4"/>
        <w:rPr>
          <w:rFonts w:asciiTheme="minorHAnsi" w:hAnsiTheme="minorHAnsi"/>
        </w:rPr>
      </w:pPr>
      <w:bookmarkStart w:id="599" w:name="_Toc187934231"/>
      <w:bookmarkStart w:id="600" w:name="_Toc188278049"/>
      <w:bookmarkStart w:id="601" w:name="_Toc189260336"/>
      <w:bookmarkStart w:id="602" w:name="_Toc189393652"/>
      <w:r w:rsidRPr="00167CB8">
        <w:rPr>
          <w:rFonts w:asciiTheme="minorHAnsi" w:hAnsiTheme="minorHAnsi"/>
        </w:rPr>
        <w:t>37.2</w:t>
      </w:r>
      <w:r w:rsidR="00821381" w:rsidRPr="00167CB8">
        <w:rPr>
          <w:rFonts w:asciiTheme="minorHAnsi" w:hAnsiTheme="minorHAnsi"/>
        </w:rPr>
        <w:t xml:space="preserve"> Impact and </w:t>
      </w:r>
      <w:r w:rsidR="002D30C0" w:rsidRPr="00167CB8">
        <w:rPr>
          <w:rFonts w:asciiTheme="minorHAnsi" w:hAnsiTheme="minorHAnsi"/>
        </w:rPr>
        <w:t>i</w:t>
      </w:r>
      <w:r w:rsidR="00821381" w:rsidRPr="00167CB8">
        <w:rPr>
          <w:rFonts w:asciiTheme="minorHAnsi" w:hAnsiTheme="minorHAnsi"/>
        </w:rPr>
        <w:t>ssues</w:t>
      </w:r>
      <w:bookmarkEnd w:id="599"/>
      <w:bookmarkEnd w:id="600"/>
      <w:bookmarkEnd w:id="601"/>
      <w:bookmarkEnd w:id="602"/>
    </w:p>
    <w:p w14:paraId="6E3861BA" w14:textId="77777777" w:rsidR="00821381" w:rsidRPr="00167CB8" w:rsidRDefault="00821381" w:rsidP="006000ED">
      <w:r w:rsidRPr="00167CB8">
        <w:t>The following summarises the data and information considered by the Review Panel when evaluating the amendments discussed above.</w:t>
      </w:r>
    </w:p>
    <w:p w14:paraId="040A101D" w14:textId="25802747" w:rsidR="00821381" w:rsidRPr="00167CB8" w:rsidRDefault="00184D51" w:rsidP="00E701F7">
      <w:pPr>
        <w:pStyle w:val="Heading5"/>
        <w:rPr>
          <w:rFonts w:asciiTheme="minorHAnsi" w:hAnsiTheme="minorHAnsi"/>
        </w:rPr>
      </w:pPr>
      <w:bookmarkStart w:id="603" w:name="_Toc187934232"/>
      <w:r w:rsidRPr="00167CB8">
        <w:rPr>
          <w:rFonts w:asciiTheme="minorHAnsi" w:hAnsiTheme="minorHAnsi"/>
        </w:rPr>
        <w:t>37.2.1</w:t>
      </w:r>
      <w:r w:rsidR="00821381" w:rsidRPr="00167CB8">
        <w:rPr>
          <w:rFonts w:asciiTheme="minorHAnsi" w:hAnsiTheme="minorHAnsi"/>
        </w:rPr>
        <w:t xml:space="preserve"> Quantitative </w:t>
      </w:r>
      <w:r w:rsidR="002D30C0" w:rsidRPr="00167CB8">
        <w:rPr>
          <w:rFonts w:asciiTheme="minorHAnsi" w:hAnsiTheme="minorHAnsi"/>
        </w:rPr>
        <w:t>e</w:t>
      </w:r>
      <w:r w:rsidR="00821381" w:rsidRPr="00167CB8">
        <w:rPr>
          <w:rFonts w:asciiTheme="minorHAnsi" w:hAnsiTheme="minorHAnsi"/>
        </w:rPr>
        <w:t>vidence</w:t>
      </w:r>
      <w:bookmarkEnd w:id="603"/>
    </w:p>
    <w:p w14:paraId="1118DF9C" w14:textId="5C21FEAA" w:rsidR="00821381" w:rsidRPr="00167CB8" w:rsidRDefault="00821381" w:rsidP="00E701F7">
      <w:pPr>
        <w:rPr>
          <w:color w:val="777778" w:themeColor="accent5"/>
        </w:rPr>
      </w:pPr>
      <w:r w:rsidRPr="00167CB8">
        <w:t xml:space="preserve">The Review Panel understands that no workers’ compensation claims have been made by volunteer firefighters in the ACT since the </w:t>
      </w:r>
      <w:r w:rsidR="00EE0FF2" w:rsidRPr="00167CB8">
        <w:t>Secure Jobs, Better Pay</w:t>
      </w:r>
      <w:r w:rsidRPr="00167CB8">
        <w:t xml:space="preserve"> amendments came into effect.</w:t>
      </w:r>
      <w:r w:rsidR="003D0B06" w:rsidRPr="00167CB8">
        <w:t xml:space="preserve"> The Review Panel is therefore not aware of any </w:t>
      </w:r>
      <w:r w:rsidR="00914E5D" w:rsidRPr="00167CB8">
        <w:t xml:space="preserve">significant </w:t>
      </w:r>
      <w:r w:rsidR="003D0B06" w:rsidRPr="00167CB8">
        <w:t>quantitative evidence in relation to these amendments.</w:t>
      </w:r>
    </w:p>
    <w:p w14:paraId="02472A8F" w14:textId="67BE7862" w:rsidR="00821381" w:rsidRPr="00167CB8" w:rsidRDefault="00184D51" w:rsidP="00E701F7">
      <w:pPr>
        <w:pStyle w:val="Heading5"/>
        <w:rPr>
          <w:rFonts w:asciiTheme="minorHAnsi" w:hAnsiTheme="minorHAnsi"/>
        </w:rPr>
      </w:pPr>
      <w:bookmarkStart w:id="604" w:name="_Toc187934233"/>
      <w:r w:rsidRPr="00167CB8">
        <w:rPr>
          <w:rFonts w:asciiTheme="minorHAnsi" w:hAnsiTheme="minorHAnsi"/>
        </w:rPr>
        <w:t>37.2.2</w:t>
      </w:r>
      <w:r w:rsidR="00821381" w:rsidRPr="00167CB8">
        <w:rPr>
          <w:rFonts w:asciiTheme="minorHAnsi" w:hAnsiTheme="minorHAnsi"/>
        </w:rPr>
        <w:t xml:space="preserve"> Qualitative </w:t>
      </w:r>
      <w:r w:rsidR="002D30C0" w:rsidRPr="00167CB8">
        <w:rPr>
          <w:rFonts w:asciiTheme="minorHAnsi" w:hAnsiTheme="minorHAnsi"/>
        </w:rPr>
        <w:t>e</w:t>
      </w:r>
      <w:r w:rsidR="00821381" w:rsidRPr="00167CB8">
        <w:rPr>
          <w:rFonts w:asciiTheme="minorHAnsi" w:hAnsiTheme="minorHAnsi"/>
        </w:rPr>
        <w:t>vidence</w:t>
      </w:r>
      <w:bookmarkEnd w:id="604"/>
    </w:p>
    <w:p w14:paraId="7F385CFA" w14:textId="7FCD5121" w:rsidR="00821381" w:rsidRPr="00167CB8" w:rsidRDefault="00821381" w:rsidP="00E701F7">
      <w:r w:rsidRPr="00167CB8">
        <w:t>The Review Panel has not identified any other qualitative evidence to consider outside of the views shared by stakeholders.</w:t>
      </w:r>
      <w:r w:rsidR="00A15028" w:rsidRPr="00167CB8">
        <w:t xml:space="preserve"> The Review Panel is therefore not aware of any </w:t>
      </w:r>
      <w:r w:rsidR="00914E5D" w:rsidRPr="00167CB8">
        <w:t xml:space="preserve">significant </w:t>
      </w:r>
      <w:r w:rsidR="00A15028" w:rsidRPr="00167CB8">
        <w:t>qualitative evidence in relation to these amendments.</w:t>
      </w:r>
    </w:p>
    <w:p w14:paraId="3053E965" w14:textId="2FEF4123" w:rsidR="00821381" w:rsidRPr="00167CB8" w:rsidRDefault="00184D51" w:rsidP="00E701F7">
      <w:pPr>
        <w:pStyle w:val="Heading5"/>
        <w:rPr>
          <w:rFonts w:asciiTheme="minorHAnsi" w:hAnsiTheme="minorHAnsi"/>
        </w:rPr>
      </w:pPr>
      <w:bookmarkStart w:id="605" w:name="_Toc187934234"/>
      <w:r w:rsidRPr="00167CB8">
        <w:rPr>
          <w:rFonts w:asciiTheme="minorHAnsi" w:hAnsiTheme="minorHAnsi"/>
        </w:rPr>
        <w:t>37.2.3</w:t>
      </w:r>
      <w:r w:rsidR="00821381" w:rsidRPr="00167CB8">
        <w:rPr>
          <w:rFonts w:asciiTheme="minorHAnsi" w:hAnsiTheme="minorHAnsi"/>
        </w:rPr>
        <w:t xml:space="preserve"> Stakeholder views</w:t>
      </w:r>
      <w:bookmarkEnd w:id="605"/>
    </w:p>
    <w:p w14:paraId="569DBB75" w14:textId="34F74D31" w:rsidR="00821381" w:rsidRPr="00167CB8" w:rsidRDefault="00821381" w:rsidP="002D30C0">
      <w:pPr>
        <w:rPr>
          <w:rFonts w:cstheme="minorHAnsi"/>
          <w:lang w:val="en-US"/>
        </w:rPr>
      </w:pPr>
      <w:r w:rsidRPr="00167CB8">
        <w:rPr>
          <w:rFonts w:cstheme="minorHAnsi"/>
          <w:lang w:val="en-US"/>
        </w:rPr>
        <w:t xml:space="preserve">The only submission that mentioned Part 27 of the </w:t>
      </w:r>
      <w:r w:rsidR="00EE0FF2" w:rsidRPr="00167CB8">
        <w:rPr>
          <w:rFonts w:cstheme="minorHAnsi"/>
          <w:lang w:val="en-US"/>
        </w:rPr>
        <w:t>Secure Jobs, Better Pay</w:t>
      </w:r>
      <w:r w:rsidRPr="00167CB8">
        <w:rPr>
          <w:rFonts w:cstheme="minorHAnsi"/>
          <w:lang w:val="en-US"/>
        </w:rPr>
        <w:t xml:space="preserve"> Act was from the </w:t>
      </w:r>
      <w:r w:rsidR="002D30C0" w:rsidRPr="00167CB8">
        <w:rPr>
          <w:rFonts w:cstheme="minorHAnsi"/>
          <w:lang w:val="en-US"/>
        </w:rPr>
        <w:t>Australian Council of Trade Unions (</w:t>
      </w:r>
      <w:r w:rsidRPr="00167CB8">
        <w:rPr>
          <w:rFonts w:cstheme="minorHAnsi"/>
          <w:lang w:val="en-US"/>
        </w:rPr>
        <w:t>ACTU</w:t>
      </w:r>
      <w:r w:rsidR="002D30C0" w:rsidRPr="00167CB8">
        <w:rPr>
          <w:rFonts w:cstheme="minorHAnsi"/>
          <w:lang w:val="en-US"/>
        </w:rPr>
        <w:t>)</w:t>
      </w:r>
      <w:r w:rsidRPr="00167CB8">
        <w:rPr>
          <w:rFonts w:cstheme="minorHAnsi"/>
          <w:lang w:val="en-US"/>
        </w:rPr>
        <w:t>. The ACTU provided no criticism or recommendations</w:t>
      </w:r>
      <w:r w:rsidR="002D30C0" w:rsidRPr="00167CB8">
        <w:rPr>
          <w:rFonts w:cstheme="minorHAnsi"/>
          <w:lang w:val="en-US"/>
        </w:rPr>
        <w:t>,</w:t>
      </w:r>
      <w:r w:rsidRPr="00167CB8">
        <w:rPr>
          <w:rFonts w:cstheme="minorHAnsi"/>
          <w:lang w:val="en-US"/>
        </w:rPr>
        <w:t xml:space="preserve"> stating that they ‘</w:t>
      </w:r>
      <w:r w:rsidRPr="00167CB8">
        <w:rPr>
          <w:rFonts w:cstheme="minorHAnsi"/>
        </w:rPr>
        <w:t>welcomed the recent commitment of the Minister for Employment and Workplace Relations to continue working with the relevant parties, including the union, to ensure that the intent of these changes are fairly and effectively met</w:t>
      </w:r>
      <w:r w:rsidR="002D30C0" w:rsidRPr="00167CB8">
        <w:rPr>
          <w:rFonts w:cstheme="minorHAnsi"/>
        </w:rPr>
        <w:t>’</w:t>
      </w:r>
      <w:r w:rsidRPr="00167CB8">
        <w:rPr>
          <w:rFonts w:cstheme="minorHAnsi"/>
        </w:rPr>
        <w:t>.</w:t>
      </w:r>
      <w:r w:rsidRPr="00167CB8">
        <w:rPr>
          <w:rStyle w:val="FootnoteReference"/>
          <w:rFonts w:cstheme="minorHAnsi"/>
        </w:rPr>
        <w:footnoteReference w:id="1054"/>
      </w:r>
    </w:p>
    <w:p w14:paraId="7C2D6246" w14:textId="77777777" w:rsidR="00821381" w:rsidRPr="00167CB8" w:rsidRDefault="00821381" w:rsidP="006000ED">
      <w:pPr>
        <w:rPr>
          <w:rFonts w:cstheme="minorHAnsi"/>
          <w:lang w:val="en-US"/>
        </w:rPr>
      </w:pPr>
      <w:r w:rsidRPr="00167CB8">
        <w:rPr>
          <w:rFonts w:cstheme="minorHAnsi"/>
          <w:lang w:val="en-US"/>
        </w:rPr>
        <w:lastRenderedPageBreak/>
        <w:t>Other feedback provided to the review indicates that amendments to the firefighter provisions of the SRC Act are functioning as intended and without unintended consequences.</w:t>
      </w:r>
    </w:p>
    <w:p w14:paraId="74201169" w14:textId="64C2BE44" w:rsidR="00821381" w:rsidRPr="00167CB8" w:rsidRDefault="00184D51" w:rsidP="00184D51">
      <w:pPr>
        <w:pStyle w:val="Heading4"/>
        <w:rPr>
          <w:rFonts w:cstheme="minorHAnsi"/>
          <w:lang w:val="en-US"/>
        </w:rPr>
      </w:pPr>
      <w:bookmarkStart w:id="606" w:name="_Toc187934235"/>
      <w:bookmarkStart w:id="607" w:name="_Toc189260337"/>
      <w:bookmarkStart w:id="608" w:name="_Toc189393653"/>
      <w:r w:rsidRPr="00167CB8">
        <w:t>37.3</w:t>
      </w:r>
      <w:r w:rsidR="00821381" w:rsidRPr="00167CB8">
        <w:t xml:space="preserve"> Findings and </w:t>
      </w:r>
      <w:r w:rsidR="00821381" w:rsidRPr="00167CB8">
        <w:rPr>
          <w:rFonts w:cstheme="minorHAnsi"/>
          <w:lang w:val="en-US"/>
        </w:rPr>
        <w:t>recommendations</w:t>
      </w:r>
      <w:bookmarkEnd w:id="606"/>
      <w:bookmarkEnd w:id="607"/>
      <w:bookmarkEnd w:id="608"/>
    </w:p>
    <w:p w14:paraId="0D48DE43" w14:textId="3F5E32DB" w:rsidR="00821381" w:rsidRPr="00167CB8" w:rsidRDefault="00821381" w:rsidP="006000ED">
      <w:pPr>
        <w:rPr>
          <w:rFonts w:cstheme="minorHAnsi"/>
          <w:lang w:val="en-US"/>
        </w:rPr>
      </w:pPr>
      <w:r w:rsidRPr="00167CB8">
        <w:rPr>
          <w:rFonts w:cstheme="minorHAnsi"/>
          <w:lang w:val="en-US"/>
        </w:rPr>
        <w:t>A comprehensive review of the SRC Act commenced in June 2024 and its recommendations are expected within 12 months (June 2025), with terms of reference addressing all aspects of the Comcare workers’ compensation scheme, including governance, usability and entitlements.</w:t>
      </w:r>
      <w:r w:rsidRPr="00167CB8">
        <w:rPr>
          <w:rFonts w:cstheme="minorHAnsi"/>
          <w:vertAlign w:val="superscript"/>
          <w:lang w:val="en-US"/>
        </w:rPr>
        <w:footnoteReference w:id="1055"/>
      </w:r>
      <w:r w:rsidRPr="00167CB8">
        <w:rPr>
          <w:rFonts w:cstheme="minorHAnsi"/>
          <w:vertAlign w:val="superscript"/>
          <w:lang w:val="en-US"/>
        </w:rPr>
        <w:t xml:space="preserve"> </w:t>
      </w:r>
    </w:p>
    <w:p w14:paraId="3F836038" w14:textId="377463C4" w:rsidR="00821381" w:rsidRPr="00167CB8" w:rsidRDefault="00821381" w:rsidP="006000ED">
      <w:pPr>
        <w:rPr>
          <w:rFonts w:cstheme="minorHAnsi"/>
          <w:lang w:val="en-US"/>
        </w:rPr>
      </w:pPr>
      <w:r w:rsidRPr="00167CB8">
        <w:rPr>
          <w:rFonts w:cstheme="minorHAnsi"/>
          <w:lang w:val="en-US"/>
        </w:rPr>
        <w:t xml:space="preserve">Noting that the SRC Act is subject to a broader ongoing review, </w:t>
      </w:r>
      <w:r w:rsidR="00DF5878" w:rsidRPr="00167CB8">
        <w:rPr>
          <w:rFonts w:cstheme="minorHAnsi"/>
          <w:lang w:val="en-US"/>
        </w:rPr>
        <w:t>the Review Panel</w:t>
      </w:r>
      <w:r w:rsidRPr="00167CB8">
        <w:rPr>
          <w:rFonts w:cstheme="minorHAnsi"/>
          <w:lang w:val="en-US"/>
        </w:rPr>
        <w:t xml:space="preserve"> conclude</w:t>
      </w:r>
      <w:r w:rsidR="002D30C0" w:rsidRPr="00167CB8">
        <w:rPr>
          <w:rFonts w:cstheme="minorHAnsi"/>
          <w:lang w:val="en-US"/>
        </w:rPr>
        <w:t>s</w:t>
      </w:r>
      <w:r w:rsidRPr="00167CB8">
        <w:rPr>
          <w:rFonts w:cstheme="minorHAnsi"/>
          <w:lang w:val="en-US"/>
        </w:rPr>
        <w:t xml:space="preserve"> that these amendments are having their intended effects and makes no recommendations </w:t>
      </w:r>
      <w:r w:rsidR="00F75461" w:rsidRPr="00167CB8">
        <w:rPr>
          <w:rFonts w:cstheme="minorHAnsi"/>
          <w:lang w:val="en-US"/>
        </w:rPr>
        <w:t>at this time</w:t>
      </w:r>
      <w:r w:rsidRPr="00167CB8">
        <w:rPr>
          <w:rFonts w:cstheme="minorHAnsi"/>
          <w:lang w:val="en-US"/>
        </w:rPr>
        <w:t>.</w:t>
      </w:r>
    </w:p>
    <w:p w14:paraId="3FA08480" w14:textId="6AC76C98" w:rsidR="00821381" w:rsidRPr="00167CB8" w:rsidRDefault="00DC4661" w:rsidP="00DC4661">
      <w:pPr>
        <w:spacing w:after="160"/>
        <w:rPr>
          <w:rFonts w:cstheme="minorHAnsi"/>
          <w:lang w:val="en-US"/>
        </w:rPr>
      </w:pPr>
      <w:r w:rsidRPr="00167CB8">
        <w:rPr>
          <w:rFonts w:cstheme="minorHAnsi"/>
          <w:lang w:val="en-US"/>
        </w:rPr>
        <w:br w:type="page"/>
      </w:r>
    </w:p>
    <w:p w14:paraId="2E0F20CF" w14:textId="33A6B1E1" w:rsidR="00821381" w:rsidRDefault="00184D51" w:rsidP="00E701F7">
      <w:pPr>
        <w:pStyle w:val="Heading3"/>
        <w:rPr>
          <w:rFonts w:asciiTheme="minorHAnsi" w:hAnsiTheme="minorHAnsi"/>
        </w:rPr>
      </w:pPr>
      <w:bookmarkStart w:id="609" w:name="_Toc187934236"/>
      <w:bookmarkStart w:id="610" w:name="_Toc188278050"/>
      <w:bookmarkStart w:id="611" w:name="_Toc189260338"/>
      <w:bookmarkStart w:id="612" w:name="_Toc189393654"/>
      <w:r w:rsidRPr="00167CB8">
        <w:rPr>
          <w:rFonts w:asciiTheme="minorHAnsi" w:hAnsiTheme="minorHAnsi"/>
        </w:rPr>
        <w:lastRenderedPageBreak/>
        <w:t>Chapter 38.</w:t>
      </w:r>
      <w:r w:rsidR="00821381" w:rsidRPr="00167CB8">
        <w:rPr>
          <w:rFonts w:asciiTheme="minorHAnsi" w:hAnsiTheme="minorHAnsi"/>
        </w:rPr>
        <w:t xml:space="preserve"> </w:t>
      </w:r>
      <w:r w:rsidR="00CB3B42" w:rsidRPr="00167CB8">
        <w:t>Closing Loopholes Act</w:t>
      </w:r>
      <w:r w:rsidR="00153E44">
        <w:t>: Right of entry</w:t>
      </w:r>
      <w:r w:rsidR="00821381" w:rsidRPr="00167CB8">
        <w:rPr>
          <w:rFonts w:asciiTheme="minorHAnsi" w:hAnsiTheme="minorHAnsi"/>
        </w:rPr>
        <w:t xml:space="preserve"> </w:t>
      </w:r>
      <w:r w:rsidR="002D30C0" w:rsidRPr="00167CB8">
        <w:rPr>
          <w:rFonts w:asciiTheme="minorHAnsi" w:hAnsiTheme="minorHAnsi"/>
        </w:rPr>
        <w:sym w:font="Symbol" w:char="F02D"/>
      </w:r>
      <w:r w:rsidR="002D30C0" w:rsidRPr="00167CB8">
        <w:rPr>
          <w:rFonts w:asciiTheme="minorHAnsi" w:hAnsiTheme="minorHAnsi"/>
        </w:rPr>
        <w:t xml:space="preserve"> </w:t>
      </w:r>
      <w:bookmarkEnd w:id="609"/>
      <w:bookmarkEnd w:id="610"/>
      <w:bookmarkEnd w:id="611"/>
      <w:r w:rsidR="00153E44">
        <w:rPr>
          <w:rFonts w:asciiTheme="minorHAnsi" w:hAnsiTheme="minorHAnsi"/>
        </w:rPr>
        <w:t>assisting health and safety representatives</w:t>
      </w:r>
      <w:bookmarkEnd w:id="612"/>
      <w:r w:rsidR="00153E44">
        <w:rPr>
          <w:rFonts w:asciiTheme="minorHAnsi" w:hAnsiTheme="minorHAnsi"/>
        </w:rPr>
        <w:t xml:space="preserve"> </w:t>
      </w:r>
    </w:p>
    <w:p w14:paraId="156A5E39" w14:textId="605DD499" w:rsidR="00821381" w:rsidRPr="00167CB8" w:rsidRDefault="00821381" w:rsidP="006000ED">
      <w:pPr>
        <w:rPr>
          <w:lang w:val="en-US"/>
        </w:rPr>
      </w:pPr>
      <w:bookmarkStart w:id="613" w:name="_Toc185856699"/>
      <w:r w:rsidRPr="00167CB8">
        <w:rPr>
          <w:lang w:val="en-US"/>
        </w:rPr>
        <w:t xml:space="preserve">Under the </w:t>
      </w:r>
      <w:r w:rsidR="002D30C0" w:rsidRPr="00167CB8">
        <w:rPr>
          <w:lang w:val="en-US"/>
        </w:rPr>
        <w:t>T</w:t>
      </w:r>
      <w:r w:rsidRPr="00167CB8">
        <w:rPr>
          <w:lang w:val="en-US"/>
        </w:rPr>
        <w:t xml:space="preserve">erms of </w:t>
      </w:r>
      <w:r w:rsidR="002D30C0" w:rsidRPr="00167CB8">
        <w:rPr>
          <w:lang w:val="en-US"/>
        </w:rPr>
        <w:t>R</w:t>
      </w:r>
      <w:r w:rsidRPr="00167CB8">
        <w:rPr>
          <w:lang w:val="en-US"/>
        </w:rPr>
        <w:t>eference</w:t>
      </w:r>
      <w:r w:rsidR="002D30C0" w:rsidRPr="00167CB8">
        <w:rPr>
          <w:lang w:val="en-US"/>
        </w:rPr>
        <w:t xml:space="preserve">, </w:t>
      </w:r>
      <w:r w:rsidRPr="00167CB8">
        <w:rPr>
          <w:lang w:val="en-US"/>
        </w:rPr>
        <w:t xml:space="preserve">the </w:t>
      </w:r>
      <w:r w:rsidR="00DF5878" w:rsidRPr="00167CB8">
        <w:rPr>
          <w:lang w:val="en-US"/>
        </w:rPr>
        <w:t xml:space="preserve">Review </w:t>
      </w:r>
      <w:r w:rsidRPr="00167CB8">
        <w:rPr>
          <w:lang w:val="en-US"/>
        </w:rPr>
        <w:t xml:space="preserve">Panel was also asked to review the right of entry amendments made to Part 3-4 of </w:t>
      </w:r>
      <w:r w:rsidR="00F768F7" w:rsidRPr="00167CB8">
        <w:rPr>
          <w:lang w:val="en-US"/>
        </w:rPr>
        <w:t xml:space="preserve">the </w:t>
      </w:r>
      <w:r w:rsidR="007132B2" w:rsidRPr="00167CB8">
        <w:rPr>
          <w:lang w:val="en-US"/>
        </w:rPr>
        <w:t>Fair Work Act</w:t>
      </w:r>
      <w:r w:rsidRPr="00167CB8">
        <w:rPr>
          <w:lang w:val="en-US"/>
        </w:rPr>
        <w:t xml:space="preserve"> by Part 16A of the </w:t>
      </w:r>
      <w:r w:rsidRPr="00167CB8">
        <w:rPr>
          <w:i/>
          <w:iCs/>
          <w:lang w:val="en-US"/>
        </w:rPr>
        <w:t>Fair Work Legislation Amendment (Closing Loopholes) Act 2023</w:t>
      </w:r>
      <w:r w:rsidRPr="00167CB8">
        <w:rPr>
          <w:lang w:val="en-US"/>
        </w:rPr>
        <w:t xml:space="preserve"> </w:t>
      </w:r>
      <w:r w:rsidR="002D30C0" w:rsidRPr="00167CB8">
        <w:rPr>
          <w:lang w:val="en-US"/>
        </w:rPr>
        <w:t xml:space="preserve">(Cth) </w:t>
      </w:r>
      <w:r w:rsidRPr="00167CB8">
        <w:rPr>
          <w:lang w:val="en-US"/>
        </w:rPr>
        <w:t>(</w:t>
      </w:r>
      <w:r w:rsidR="00CB3B42" w:rsidRPr="00167CB8">
        <w:t>Closing Loopholes</w:t>
      </w:r>
      <w:r w:rsidR="00CB3B42" w:rsidRPr="00167CB8">
        <w:rPr>
          <w:lang w:val="en-US"/>
        </w:rPr>
        <w:t xml:space="preserve"> </w:t>
      </w:r>
      <w:r w:rsidRPr="00167CB8">
        <w:rPr>
          <w:lang w:val="en-US"/>
        </w:rPr>
        <w:t xml:space="preserve">Act). </w:t>
      </w:r>
    </w:p>
    <w:p w14:paraId="2CAD6CF3" w14:textId="64C11E48" w:rsidR="00821381" w:rsidRPr="00167CB8" w:rsidRDefault="00BA1598" w:rsidP="00E701F7">
      <w:pPr>
        <w:pStyle w:val="Heading4"/>
        <w:rPr>
          <w:rFonts w:asciiTheme="minorHAnsi" w:hAnsiTheme="minorHAnsi"/>
        </w:rPr>
      </w:pPr>
      <w:bookmarkStart w:id="614" w:name="_Toc187934237"/>
      <w:bookmarkStart w:id="615" w:name="_Toc188278051"/>
      <w:bookmarkStart w:id="616" w:name="_Toc189260339"/>
      <w:bookmarkStart w:id="617" w:name="_Toc189393655"/>
      <w:r w:rsidRPr="00167CB8">
        <w:rPr>
          <w:rFonts w:asciiTheme="minorHAnsi" w:hAnsiTheme="minorHAnsi"/>
        </w:rPr>
        <w:t>38.1</w:t>
      </w:r>
      <w:r w:rsidR="00821381" w:rsidRPr="00167CB8">
        <w:rPr>
          <w:rFonts w:asciiTheme="minorHAnsi" w:hAnsiTheme="minorHAnsi"/>
        </w:rPr>
        <w:t xml:space="preserve"> </w:t>
      </w:r>
      <w:bookmarkEnd w:id="614"/>
      <w:bookmarkEnd w:id="615"/>
      <w:r w:rsidR="00EA5CD4" w:rsidRPr="00167CB8">
        <w:t xml:space="preserve">Amendments </w:t>
      </w:r>
      <w:r w:rsidR="002D30C0" w:rsidRPr="00167CB8">
        <w:t>and i</w:t>
      </w:r>
      <w:r w:rsidR="00EA5CD4" w:rsidRPr="00167CB8">
        <w:t>ntent</w:t>
      </w:r>
      <w:bookmarkEnd w:id="616"/>
      <w:bookmarkEnd w:id="617"/>
    </w:p>
    <w:p w14:paraId="7D2E4DFB" w14:textId="632E91CF" w:rsidR="00821381" w:rsidRPr="00167CB8" w:rsidRDefault="00821381" w:rsidP="00F917AB">
      <w:pPr>
        <w:rPr>
          <w:lang w:val="en-US"/>
        </w:rPr>
      </w:pPr>
      <w:r w:rsidRPr="00167CB8">
        <w:rPr>
          <w:lang w:val="en-US"/>
        </w:rPr>
        <w:t xml:space="preserve">The </w:t>
      </w:r>
      <w:r w:rsidR="00CB3B42" w:rsidRPr="00167CB8">
        <w:t>Closing Loopholes</w:t>
      </w:r>
      <w:r w:rsidRPr="00167CB8">
        <w:rPr>
          <w:lang w:val="en-US"/>
        </w:rPr>
        <w:t xml:space="preserve"> Act amended the requirement for officials of </w:t>
      </w:r>
      <w:r w:rsidR="00954748" w:rsidRPr="00167CB8">
        <w:rPr>
          <w:lang w:val="en-US"/>
        </w:rPr>
        <w:t xml:space="preserve">registered </w:t>
      </w:r>
      <w:r w:rsidRPr="00167CB8">
        <w:rPr>
          <w:lang w:val="en-US"/>
        </w:rPr>
        <w:t xml:space="preserve">organisations (e.g. union officials) to hold a right of entry permit when assisting Health and Safety Representatives (HSRs). While these changes impact on union officials, they relate to a right exercised by HSRs. </w:t>
      </w:r>
    </w:p>
    <w:p w14:paraId="7472903D" w14:textId="072424E2" w:rsidR="00821381" w:rsidRPr="00167CB8" w:rsidRDefault="00821381" w:rsidP="00F917AB">
      <w:pPr>
        <w:rPr>
          <w:lang w:val="en-US"/>
        </w:rPr>
      </w:pPr>
      <w:r w:rsidRPr="00167CB8">
        <w:rPr>
          <w:lang w:val="en-US"/>
        </w:rPr>
        <w:t xml:space="preserve">HSRs are employees who are elected by their colleagues to deal with </w:t>
      </w:r>
      <w:r w:rsidR="00F917AB" w:rsidRPr="00167CB8">
        <w:t xml:space="preserve">work </w:t>
      </w:r>
      <w:r w:rsidRPr="00167CB8">
        <w:t xml:space="preserve">health and safety issues in the workplace. While HSRs may request </w:t>
      </w:r>
      <w:r w:rsidR="00677332" w:rsidRPr="00167CB8">
        <w:t xml:space="preserve">a </w:t>
      </w:r>
      <w:r w:rsidRPr="00167CB8">
        <w:t>union official</w:t>
      </w:r>
      <w:r w:rsidR="00677332" w:rsidRPr="00167CB8">
        <w:t xml:space="preserve"> to</w:t>
      </w:r>
      <w:r w:rsidRPr="00167CB8">
        <w:t xml:space="preserve"> come to the workplace to assist them, there are also other reasons union officials may enter workplaces </w:t>
      </w:r>
      <w:r w:rsidR="00677332" w:rsidRPr="00167CB8">
        <w:t xml:space="preserve">(i.e. </w:t>
      </w:r>
      <w:r w:rsidR="00B36190" w:rsidRPr="00167CB8">
        <w:t xml:space="preserve">to </w:t>
      </w:r>
      <w:r w:rsidR="00B26DCA" w:rsidRPr="00167CB8">
        <w:t>hold discussions with members)</w:t>
      </w:r>
      <w:r w:rsidRPr="00167CB8">
        <w:t xml:space="preserve"> that are governed by Fair Work right of entry permits. </w:t>
      </w:r>
    </w:p>
    <w:p w14:paraId="6A147050" w14:textId="0C9C8BAB" w:rsidR="00821381" w:rsidRPr="00167CB8" w:rsidRDefault="00BA1598" w:rsidP="00E701F7">
      <w:pPr>
        <w:pStyle w:val="Heading5"/>
        <w:rPr>
          <w:rFonts w:asciiTheme="minorHAnsi" w:hAnsiTheme="minorHAnsi"/>
        </w:rPr>
      </w:pPr>
      <w:bookmarkStart w:id="618" w:name="_Toc187934238"/>
      <w:r w:rsidRPr="00167CB8">
        <w:rPr>
          <w:rFonts w:asciiTheme="minorHAnsi" w:hAnsiTheme="minorHAnsi"/>
        </w:rPr>
        <w:t>38.1.1</w:t>
      </w:r>
      <w:r w:rsidR="00821381" w:rsidRPr="00167CB8">
        <w:rPr>
          <w:rFonts w:asciiTheme="minorHAnsi" w:hAnsiTheme="minorHAnsi"/>
        </w:rPr>
        <w:t xml:space="preserve"> </w:t>
      </w:r>
      <w:r w:rsidR="00CB3B42" w:rsidRPr="00167CB8">
        <w:t xml:space="preserve">Closing Loopholes </w:t>
      </w:r>
      <w:r w:rsidR="002D30C0" w:rsidRPr="00167CB8">
        <w:rPr>
          <w:rFonts w:asciiTheme="minorHAnsi" w:hAnsiTheme="minorHAnsi"/>
        </w:rPr>
        <w:t>a</w:t>
      </w:r>
      <w:r w:rsidR="00821381" w:rsidRPr="00167CB8">
        <w:rPr>
          <w:rFonts w:asciiTheme="minorHAnsi" w:hAnsiTheme="minorHAnsi"/>
        </w:rPr>
        <w:t>mendments</w:t>
      </w:r>
      <w:bookmarkEnd w:id="618"/>
    </w:p>
    <w:p w14:paraId="2D25AC84" w14:textId="366436C8" w:rsidR="00821381" w:rsidRPr="00167CB8" w:rsidRDefault="00821381" w:rsidP="006000ED">
      <w:r w:rsidRPr="00167CB8">
        <w:t xml:space="preserve">Under the </w:t>
      </w:r>
      <w:r w:rsidR="007132B2" w:rsidRPr="00167CB8">
        <w:t>Fair Work Act</w:t>
      </w:r>
      <w:r w:rsidRPr="00167CB8">
        <w:t xml:space="preserve"> (at s</w:t>
      </w:r>
      <w:r w:rsidR="002D30C0" w:rsidRPr="00167CB8">
        <w:t> </w:t>
      </w:r>
      <w:r w:rsidRPr="00167CB8">
        <w:t xml:space="preserve">494) officials must hold a right of entry permit to exercise a </w:t>
      </w:r>
      <w:r w:rsidR="002D30C0" w:rsidRPr="00167CB8">
        <w:t>s</w:t>
      </w:r>
      <w:r w:rsidRPr="00167CB8">
        <w:t xml:space="preserve">tate or </w:t>
      </w:r>
      <w:r w:rsidR="002D30C0" w:rsidRPr="00167CB8">
        <w:t>t</w:t>
      </w:r>
      <w:r w:rsidRPr="00167CB8">
        <w:t xml:space="preserve">erritory occupational health and safety (OHS) right to enter a worksite. Prior to the </w:t>
      </w:r>
      <w:r w:rsidR="00CB3B42" w:rsidRPr="00167CB8">
        <w:t>Closing Loopholes</w:t>
      </w:r>
      <w:r w:rsidRPr="00167CB8">
        <w:t xml:space="preserve"> Act, this was required even where </w:t>
      </w:r>
      <w:r w:rsidR="002E28A4" w:rsidRPr="00167CB8">
        <w:t xml:space="preserve">the official </w:t>
      </w:r>
      <w:r w:rsidR="00FD466B" w:rsidRPr="00167CB8">
        <w:t>(or anyone else)</w:t>
      </w:r>
      <w:r w:rsidR="002E28A4" w:rsidRPr="00167CB8">
        <w:t xml:space="preserve"> was assisting the HSR. </w:t>
      </w:r>
      <w:r w:rsidRPr="00167CB8">
        <w:t xml:space="preserve"> </w:t>
      </w:r>
    </w:p>
    <w:p w14:paraId="19581CAC" w14:textId="19EE9E1E" w:rsidR="00821381" w:rsidRPr="00167CB8" w:rsidRDefault="00821381" w:rsidP="006000ED">
      <w:pPr>
        <w:rPr>
          <w:rFonts w:cstheme="minorHAnsi"/>
          <w:lang w:val="en-US"/>
        </w:rPr>
      </w:pPr>
      <w:r w:rsidRPr="00167CB8">
        <w:rPr>
          <w:rFonts w:cstheme="minorHAnsi"/>
          <w:lang w:val="en-US"/>
        </w:rPr>
        <w:t xml:space="preserve">The </w:t>
      </w:r>
      <w:r w:rsidR="00CB3B42" w:rsidRPr="00167CB8">
        <w:t>Closing Loopholes</w:t>
      </w:r>
      <w:r w:rsidRPr="00167CB8">
        <w:rPr>
          <w:rFonts w:cstheme="minorHAnsi"/>
          <w:lang w:val="en-US"/>
        </w:rPr>
        <w:t xml:space="preserve"> Act at Part 16A add</w:t>
      </w:r>
      <w:r w:rsidR="006F4024">
        <w:rPr>
          <w:rFonts w:cstheme="minorHAnsi"/>
          <w:lang w:val="en-US"/>
        </w:rPr>
        <w:t>ed</w:t>
      </w:r>
      <w:r w:rsidRPr="00167CB8">
        <w:rPr>
          <w:rFonts w:cstheme="minorHAnsi"/>
          <w:lang w:val="en-US"/>
        </w:rPr>
        <w:t xml:space="preserve"> a new </w:t>
      </w:r>
      <w:r w:rsidR="002D30C0" w:rsidRPr="00167CB8">
        <w:rPr>
          <w:rFonts w:cstheme="minorHAnsi"/>
          <w:lang w:val="en-US"/>
        </w:rPr>
        <w:t>s </w:t>
      </w:r>
      <w:r w:rsidRPr="00167CB8">
        <w:rPr>
          <w:rFonts w:cstheme="minorHAnsi"/>
          <w:lang w:val="en-US"/>
        </w:rPr>
        <w:t xml:space="preserve">494(4) in the </w:t>
      </w:r>
      <w:r w:rsidR="007132B2" w:rsidRPr="00167CB8">
        <w:rPr>
          <w:rFonts w:cstheme="minorHAnsi"/>
          <w:lang w:val="en-US"/>
        </w:rPr>
        <w:t>Fair Work Act</w:t>
      </w:r>
      <w:r w:rsidRPr="00167CB8">
        <w:rPr>
          <w:rFonts w:cstheme="minorHAnsi"/>
          <w:lang w:val="en-US"/>
        </w:rPr>
        <w:t xml:space="preserve"> that confirms that the requirement to hold a right of entry permit does ‘</w:t>
      </w:r>
      <w:r w:rsidRPr="00167CB8">
        <w:rPr>
          <w:rFonts w:cstheme="minorHAnsi"/>
        </w:rPr>
        <w:t xml:space="preserve">not apply to an official of an organisation assisting a health and safety representative on request under a provision of a State or Territory OHS law’. </w:t>
      </w:r>
      <w:r w:rsidR="00206AC5" w:rsidRPr="00167CB8">
        <w:rPr>
          <w:rFonts w:cstheme="minorHAnsi"/>
        </w:rPr>
        <w:t>This means officials are subject to the same entry requirements as any other people assisting HSRs.</w:t>
      </w:r>
      <w:r w:rsidRPr="00167CB8">
        <w:rPr>
          <w:rFonts w:cstheme="minorHAnsi"/>
          <w:lang w:val="en-US"/>
        </w:rPr>
        <w:t xml:space="preserve">  </w:t>
      </w:r>
    </w:p>
    <w:p w14:paraId="2560F197" w14:textId="6AAF1473" w:rsidR="00DA416D" w:rsidRPr="00167CB8" w:rsidRDefault="00DA416D" w:rsidP="00DA416D">
      <w:pPr>
        <w:rPr>
          <w:rFonts w:cstheme="minorHAnsi"/>
          <w:lang w:val="en-US"/>
        </w:rPr>
      </w:pPr>
      <w:r w:rsidRPr="00167CB8">
        <w:rPr>
          <w:rFonts w:cstheme="minorHAnsi"/>
          <w:lang w:val="en-US"/>
        </w:rPr>
        <w:t xml:space="preserve">Further, </w:t>
      </w:r>
      <w:r w:rsidR="002D30C0" w:rsidRPr="00167CB8">
        <w:rPr>
          <w:rFonts w:cstheme="minorHAnsi"/>
          <w:lang w:val="en-US"/>
        </w:rPr>
        <w:t>ss </w:t>
      </w:r>
      <w:r w:rsidRPr="00167CB8">
        <w:rPr>
          <w:rFonts w:cstheme="minorHAnsi"/>
          <w:lang w:val="en-US"/>
        </w:rPr>
        <w:t>495 to 498 of the Fair Work Act no longer apply where a union official is assisting a HSR.</w:t>
      </w:r>
      <w:r w:rsidRPr="00167CB8">
        <w:rPr>
          <w:rStyle w:val="FootnoteReference"/>
          <w:rFonts w:cstheme="minorHAnsi"/>
          <w:lang w:val="en-US"/>
        </w:rPr>
        <w:footnoteReference w:id="1056"/>
      </w:r>
      <w:r w:rsidRPr="00167CB8">
        <w:rPr>
          <w:rFonts w:cstheme="minorHAnsi"/>
          <w:lang w:val="en-US"/>
        </w:rPr>
        <w:t xml:space="preserve"> This means that union officials acting as HSR assistants are, among other things, not required to give at least 24 hours’ notice before exercising their right to enter a worksite</w:t>
      </w:r>
      <w:r w:rsidRPr="00167CB8">
        <w:rPr>
          <w:rStyle w:val="FootnoteReference"/>
          <w:rFonts w:cstheme="minorHAnsi"/>
          <w:lang w:val="en-US"/>
        </w:rPr>
        <w:footnoteReference w:id="1057"/>
      </w:r>
      <w:r w:rsidRPr="00167CB8">
        <w:rPr>
          <w:rFonts w:cstheme="minorHAnsi"/>
          <w:lang w:val="en-US"/>
        </w:rPr>
        <w:t xml:space="preserve"> and are not restricted to exercising a right of entry during working hours.</w:t>
      </w:r>
      <w:r w:rsidRPr="00167CB8">
        <w:rPr>
          <w:rStyle w:val="FootnoteReference"/>
          <w:rFonts w:cstheme="minorHAnsi"/>
          <w:lang w:val="en-US"/>
        </w:rPr>
        <w:footnoteReference w:id="1058"/>
      </w:r>
      <w:r w:rsidRPr="00167CB8">
        <w:rPr>
          <w:rFonts w:cstheme="minorHAnsi"/>
          <w:lang w:val="en-US"/>
        </w:rPr>
        <w:t xml:space="preserve"> </w:t>
      </w:r>
    </w:p>
    <w:p w14:paraId="05579BE8" w14:textId="5E50C9B9" w:rsidR="00821381" w:rsidRPr="00167CB8" w:rsidRDefault="00122857" w:rsidP="006000ED">
      <w:pPr>
        <w:rPr>
          <w:rFonts w:cstheme="minorHAnsi"/>
        </w:rPr>
      </w:pPr>
      <w:r w:rsidRPr="00167CB8">
        <w:rPr>
          <w:rFonts w:cstheme="minorHAnsi"/>
        </w:rPr>
        <w:t>Sections 499 to 504 of the Fa</w:t>
      </w:r>
      <w:r w:rsidR="00340D24" w:rsidRPr="00167CB8">
        <w:rPr>
          <w:rFonts w:cstheme="minorHAnsi"/>
        </w:rPr>
        <w:t>i</w:t>
      </w:r>
      <w:r w:rsidRPr="00167CB8">
        <w:rPr>
          <w:rFonts w:cstheme="minorHAnsi"/>
        </w:rPr>
        <w:t xml:space="preserve">r Work Act continue to apply in relation to </w:t>
      </w:r>
      <w:r w:rsidR="00D323ED" w:rsidRPr="00167CB8">
        <w:rPr>
          <w:rFonts w:cstheme="minorHAnsi"/>
        </w:rPr>
        <w:t xml:space="preserve">union </w:t>
      </w:r>
      <w:r w:rsidRPr="00167CB8">
        <w:rPr>
          <w:rFonts w:cstheme="minorHAnsi"/>
        </w:rPr>
        <w:t>officials. For example, w</w:t>
      </w:r>
      <w:r w:rsidR="00821381" w:rsidRPr="00167CB8">
        <w:rPr>
          <w:rFonts w:cstheme="minorHAnsi"/>
        </w:rPr>
        <w:t xml:space="preserve">hile the permit requirement has been removed, officials of organisations assisting HSRs must </w:t>
      </w:r>
      <w:r w:rsidR="002D30C0" w:rsidRPr="00167CB8">
        <w:rPr>
          <w:rFonts w:cstheme="minorHAnsi"/>
        </w:rPr>
        <w:t>‘</w:t>
      </w:r>
      <w:r w:rsidR="00821381" w:rsidRPr="00167CB8">
        <w:rPr>
          <w:rFonts w:cstheme="minorHAnsi"/>
        </w:rPr>
        <w:t>not intentionally hinder or obstruct any person, or otherwise act in an improper manner</w:t>
      </w:r>
      <w:r w:rsidR="002D30C0" w:rsidRPr="00167CB8">
        <w:rPr>
          <w:rFonts w:cstheme="minorHAnsi"/>
        </w:rPr>
        <w:t>’</w:t>
      </w:r>
      <w:r w:rsidR="00821381" w:rsidRPr="00167CB8">
        <w:rPr>
          <w:rFonts w:cstheme="minorHAnsi"/>
        </w:rPr>
        <w:t>.</w:t>
      </w:r>
      <w:r w:rsidRPr="00167CB8">
        <w:rPr>
          <w:rStyle w:val="FootnoteReference"/>
          <w:rFonts w:cstheme="minorHAnsi"/>
        </w:rPr>
        <w:footnoteReference w:id="1059"/>
      </w:r>
    </w:p>
    <w:p w14:paraId="0BC7D04C" w14:textId="5AF8E277" w:rsidR="004622BD" w:rsidRPr="00167CB8" w:rsidRDefault="004622BD" w:rsidP="006000ED">
      <w:pPr>
        <w:rPr>
          <w:rFonts w:cstheme="minorHAnsi"/>
          <w:lang w:val="en-US"/>
        </w:rPr>
      </w:pPr>
      <w:r w:rsidRPr="00167CB8">
        <w:rPr>
          <w:rFonts w:cstheme="minorHAnsi"/>
          <w:lang w:val="en-US"/>
        </w:rPr>
        <w:t xml:space="preserve">These amendments came into effect on </w:t>
      </w:r>
      <w:r w:rsidR="00852763" w:rsidRPr="00167CB8">
        <w:rPr>
          <w:rFonts w:cstheme="minorHAnsi"/>
        </w:rPr>
        <w:t>15</w:t>
      </w:r>
      <w:r w:rsidRPr="00167CB8">
        <w:rPr>
          <w:rFonts w:cstheme="minorHAnsi"/>
        </w:rPr>
        <w:t xml:space="preserve"> December </w:t>
      </w:r>
      <w:r w:rsidR="00852763" w:rsidRPr="00167CB8">
        <w:rPr>
          <w:rFonts w:cstheme="minorHAnsi"/>
        </w:rPr>
        <w:t>2023</w:t>
      </w:r>
      <w:r w:rsidRPr="00167CB8">
        <w:rPr>
          <w:rFonts w:cstheme="minorHAnsi"/>
        </w:rPr>
        <w:t>.</w:t>
      </w:r>
    </w:p>
    <w:p w14:paraId="0D04B587" w14:textId="5C57A72E" w:rsidR="00821381" w:rsidRPr="00167CB8" w:rsidRDefault="00BA1598" w:rsidP="00E701F7">
      <w:pPr>
        <w:pStyle w:val="Heading5"/>
        <w:rPr>
          <w:rFonts w:asciiTheme="minorHAnsi" w:hAnsiTheme="minorHAnsi"/>
        </w:rPr>
      </w:pPr>
      <w:bookmarkStart w:id="619" w:name="_Toc187934239"/>
      <w:r w:rsidRPr="00167CB8">
        <w:rPr>
          <w:rFonts w:asciiTheme="minorHAnsi" w:hAnsiTheme="minorHAnsi"/>
        </w:rPr>
        <w:lastRenderedPageBreak/>
        <w:t>38.1.2</w:t>
      </w:r>
      <w:r w:rsidR="00821381" w:rsidRPr="00167CB8">
        <w:rPr>
          <w:rFonts w:asciiTheme="minorHAnsi" w:hAnsiTheme="minorHAnsi"/>
        </w:rPr>
        <w:t xml:space="preserve"> Intent of </w:t>
      </w:r>
      <w:r w:rsidR="00CB3B42" w:rsidRPr="00167CB8">
        <w:t>Closing Loopholes</w:t>
      </w:r>
      <w:r w:rsidR="00821381" w:rsidRPr="00167CB8">
        <w:rPr>
          <w:rFonts w:asciiTheme="minorHAnsi" w:hAnsiTheme="minorHAnsi"/>
        </w:rPr>
        <w:t xml:space="preserve"> </w:t>
      </w:r>
      <w:r w:rsidR="002D30C0" w:rsidRPr="00167CB8">
        <w:rPr>
          <w:rFonts w:asciiTheme="minorHAnsi" w:hAnsiTheme="minorHAnsi"/>
        </w:rPr>
        <w:t>a</w:t>
      </w:r>
      <w:r w:rsidR="00821381" w:rsidRPr="00167CB8">
        <w:rPr>
          <w:rFonts w:asciiTheme="minorHAnsi" w:hAnsiTheme="minorHAnsi"/>
        </w:rPr>
        <w:t>mendments</w:t>
      </w:r>
      <w:bookmarkEnd w:id="619"/>
    </w:p>
    <w:p w14:paraId="17ED5E0C" w14:textId="246E3509" w:rsidR="000162C8" w:rsidRPr="00167CB8" w:rsidRDefault="000162C8" w:rsidP="002D30C0">
      <w:pPr>
        <w:spacing w:after="0"/>
        <w:rPr>
          <w:rFonts w:cstheme="minorHAnsi"/>
          <w:lang w:val="en-US"/>
        </w:rPr>
      </w:pPr>
      <w:r w:rsidRPr="00167CB8">
        <w:rPr>
          <w:lang w:val="en-US"/>
        </w:rPr>
        <w:t xml:space="preserve">The Explanatory Memorandum indicated that Part 16A of the </w:t>
      </w:r>
      <w:r w:rsidRPr="00167CB8">
        <w:t>Closing Loopholes</w:t>
      </w:r>
      <w:r w:rsidRPr="00167CB8">
        <w:rPr>
          <w:lang w:val="en-US"/>
        </w:rPr>
        <w:t xml:space="preserve"> Act was intended to ‘</w:t>
      </w:r>
      <w:r w:rsidRPr="00167CB8">
        <w:t>implement Recommendation 8 of the Boland Review (and reverse the effect of Powell), subject to appropriate safeguards imposed by the FW Act</w:t>
      </w:r>
      <w:r w:rsidR="002D30C0" w:rsidRPr="00167CB8">
        <w:t>’</w:t>
      </w:r>
      <w:r w:rsidRPr="00167CB8">
        <w:t>.</w:t>
      </w:r>
      <w:r w:rsidRPr="00167CB8">
        <w:rPr>
          <w:rStyle w:val="FootnoteReference"/>
          <w:lang w:val="en-US"/>
        </w:rPr>
        <w:footnoteReference w:id="1060"/>
      </w:r>
    </w:p>
    <w:p w14:paraId="08B4AFE6" w14:textId="46CB540D" w:rsidR="00821381" w:rsidRPr="00167CB8" w:rsidRDefault="00821381" w:rsidP="00C11C7D">
      <w:pPr>
        <w:spacing w:before="240"/>
      </w:pPr>
      <w:r w:rsidRPr="00167CB8">
        <w:rPr>
          <w:rFonts w:cstheme="minorHAnsi"/>
          <w:lang w:val="en-US"/>
        </w:rPr>
        <w:t xml:space="preserve">This legislative amendment arose from the Federal Court of Australia </w:t>
      </w:r>
      <w:r w:rsidR="00BB1917" w:rsidRPr="00167CB8">
        <w:rPr>
          <w:rFonts w:cstheme="minorHAnsi"/>
          <w:lang w:val="en-US"/>
        </w:rPr>
        <w:t>(</w:t>
      </w:r>
      <w:r w:rsidR="00AC30A8" w:rsidRPr="00167CB8">
        <w:rPr>
          <w:rFonts w:cstheme="minorHAnsi"/>
          <w:lang w:val="en-US"/>
        </w:rPr>
        <w:t>FCA</w:t>
      </w:r>
      <w:r w:rsidR="00BB1917" w:rsidRPr="00167CB8">
        <w:rPr>
          <w:rFonts w:cstheme="minorHAnsi"/>
          <w:lang w:val="en-US"/>
        </w:rPr>
        <w:t>)</w:t>
      </w:r>
      <w:r w:rsidRPr="00167CB8">
        <w:rPr>
          <w:rFonts w:cstheme="minorHAnsi"/>
          <w:lang w:val="en-US"/>
        </w:rPr>
        <w:t xml:space="preserve"> appeal decision, </w:t>
      </w:r>
      <w:r w:rsidRPr="00167CB8">
        <w:rPr>
          <w:i/>
          <w:iCs/>
        </w:rPr>
        <w:t>Australian Building and Construction Commissioner (ABCC) v Powell</w:t>
      </w:r>
      <w:r w:rsidRPr="00167CB8">
        <w:t>.</w:t>
      </w:r>
      <w:r w:rsidRPr="00167CB8">
        <w:rPr>
          <w:rStyle w:val="FootnoteReference"/>
        </w:rPr>
        <w:footnoteReference w:id="1061"/>
      </w:r>
      <w:r w:rsidRPr="00167CB8">
        <w:t xml:space="preserve"> In this case Mr Powell, a union official from the </w:t>
      </w:r>
      <w:r w:rsidR="002D30C0" w:rsidRPr="00167CB8">
        <w:t>Construction, Forestry and Maritime Employees Union (</w:t>
      </w:r>
      <w:r w:rsidRPr="00167CB8">
        <w:t>CFMEU</w:t>
      </w:r>
      <w:r w:rsidR="002D30C0" w:rsidRPr="00167CB8">
        <w:t>),</w:t>
      </w:r>
      <w:r w:rsidRPr="00167CB8">
        <w:t xml:space="preserve"> stated that he had been invited to enter a worksite (in Victoria) by a HSR to provide them with assistance. He argued that under s</w:t>
      </w:r>
      <w:r w:rsidR="002D30C0" w:rsidRPr="00167CB8">
        <w:t> </w:t>
      </w:r>
      <w:r w:rsidRPr="00167CB8">
        <w:t xml:space="preserve">58(1)(f) of the </w:t>
      </w:r>
      <w:r w:rsidRPr="00167CB8">
        <w:rPr>
          <w:i/>
          <w:iCs/>
        </w:rPr>
        <w:t>Occupational Health and Safety Act 2004 </w:t>
      </w:r>
      <w:r w:rsidRPr="00167CB8">
        <w:t>(Vic) (Vic OHS law) he did not need a permit for this purpose</w:t>
      </w:r>
      <w:r w:rsidR="002D30C0" w:rsidRPr="00167CB8">
        <w:t>,</w:t>
      </w:r>
      <w:r w:rsidRPr="00167CB8">
        <w:t xml:space="preserve"> as it was the HSR exercising the OHS right, not him</w:t>
      </w:r>
      <w:r w:rsidR="002D30C0" w:rsidRPr="00167CB8">
        <w:t>,</w:t>
      </w:r>
      <w:r w:rsidRPr="00167CB8">
        <w:t xml:space="preserve"> so s</w:t>
      </w:r>
      <w:r w:rsidR="002D30C0" w:rsidRPr="00167CB8">
        <w:t> </w:t>
      </w:r>
      <w:r w:rsidRPr="00167CB8">
        <w:t xml:space="preserve">494 of the </w:t>
      </w:r>
      <w:r w:rsidR="007132B2" w:rsidRPr="00167CB8">
        <w:t>Fair Work Act</w:t>
      </w:r>
      <w:r w:rsidRPr="00167CB8">
        <w:t xml:space="preserve"> did not apply.</w:t>
      </w:r>
      <w:r w:rsidRPr="00167CB8">
        <w:rPr>
          <w:rStyle w:val="FootnoteReference"/>
        </w:rPr>
        <w:footnoteReference w:id="1062"/>
      </w:r>
    </w:p>
    <w:p w14:paraId="16CCB258" w14:textId="2EDFAEFA" w:rsidR="00821381" w:rsidRPr="00167CB8" w:rsidRDefault="00AC30A8" w:rsidP="006000ED">
      <w:r w:rsidRPr="00167CB8">
        <w:t xml:space="preserve">In the original decision, the </w:t>
      </w:r>
      <w:r w:rsidR="001F12F0" w:rsidRPr="00167CB8">
        <w:t>FCA</w:t>
      </w:r>
      <w:r w:rsidR="00821381" w:rsidRPr="00167CB8">
        <w:t xml:space="preserve"> ruled in favour of Mr Powell, </w:t>
      </w:r>
      <w:r w:rsidR="00BB1917" w:rsidRPr="00167CB8">
        <w:t xml:space="preserve">determining </w:t>
      </w:r>
      <w:r w:rsidR="000D017F" w:rsidRPr="00167CB8">
        <w:t>that he</w:t>
      </w:r>
      <w:r w:rsidR="00821381" w:rsidRPr="00167CB8">
        <w:t xml:space="preserve"> did not enter in his representative capacity as a union official.</w:t>
      </w:r>
      <w:r w:rsidR="00821381" w:rsidRPr="00167CB8">
        <w:rPr>
          <w:rStyle w:val="FootnoteReference"/>
        </w:rPr>
        <w:footnoteReference w:id="1063"/>
      </w:r>
      <w:r w:rsidR="00821381" w:rsidRPr="00167CB8">
        <w:t xml:space="preserve"> The ABCC appealed to the </w:t>
      </w:r>
      <w:r w:rsidR="001F12F0" w:rsidRPr="00167CB8">
        <w:t>Full Court of the</w:t>
      </w:r>
      <w:r w:rsidR="00821381" w:rsidRPr="00167CB8">
        <w:t xml:space="preserve"> </w:t>
      </w:r>
      <w:r w:rsidR="000D017F" w:rsidRPr="00167CB8">
        <w:t>FCA</w:t>
      </w:r>
      <w:r w:rsidR="00821381" w:rsidRPr="00167CB8">
        <w:t>.</w:t>
      </w:r>
    </w:p>
    <w:p w14:paraId="45E29EC1" w14:textId="72E4D721" w:rsidR="00821381" w:rsidRPr="00167CB8" w:rsidRDefault="00821381" w:rsidP="006000ED">
      <w:r w:rsidRPr="00167CB8">
        <w:t xml:space="preserve">In a unanimous ruling the Full </w:t>
      </w:r>
      <w:r w:rsidR="00AC30A8" w:rsidRPr="00167CB8">
        <w:t xml:space="preserve">Court </w:t>
      </w:r>
      <w:r w:rsidR="000D017F" w:rsidRPr="00167CB8">
        <w:t>of the FCA</w:t>
      </w:r>
      <w:r w:rsidRPr="00167CB8">
        <w:t xml:space="preserve"> allowed the appeal, setting aside the orders of the </w:t>
      </w:r>
      <w:r w:rsidR="00C22AEC" w:rsidRPr="00167CB8">
        <w:t>previ</w:t>
      </w:r>
      <w:r w:rsidR="00F810CD" w:rsidRPr="00167CB8">
        <w:t>ous</w:t>
      </w:r>
      <w:r w:rsidR="00C22AEC" w:rsidRPr="00167CB8">
        <w:t xml:space="preserve"> </w:t>
      </w:r>
      <w:r w:rsidRPr="00167CB8">
        <w:t>judge and remitted the matter for further hearing. The Full Court</w:t>
      </w:r>
      <w:r w:rsidRPr="00167CB8" w:rsidDel="008747B5">
        <w:t xml:space="preserve"> </w:t>
      </w:r>
      <w:r w:rsidR="008747B5" w:rsidRPr="00167CB8">
        <w:t>found</w:t>
      </w:r>
      <w:r w:rsidRPr="00167CB8">
        <w:t xml:space="preserve"> ‘that Mr Powell as an official of an organisation required a permit under the </w:t>
      </w:r>
      <w:r w:rsidRPr="00167CB8">
        <w:rPr>
          <w:i/>
          <w:iCs/>
        </w:rPr>
        <w:t>FW Act</w:t>
      </w:r>
      <w:r w:rsidRPr="00167CB8">
        <w:t> to enter the premises because he was exercising his right to enter the premises or the HS representative’s right to have him enter the premises to assist the HS representative in his task</w:t>
      </w:r>
      <w:r w:rsidR="002D30C0" w:rsidRPr="00167CB8">
        <w:t>’</w:t>
      </w:r>
      <w:r w:rsidRPr="00167CB8">
        <w:t>.</w:t>
      </w:r>
      <w:r w:rsidRPr="00167CB8">
        <w:rPr>
          <w:rStyle w:val="FootnoteReference"/>
        </w:rPr>
        <w:footnoteReference w:id="1064"/>
      </w:r>
    </w:p>
    <w:p w14:paraId="21F12237" w14:textId="17138760" w:rsidR="00821381" w:rsidRPr="00167CB8" w:rsidRDefault="00821381" w:rsidP="006000ED">
      <w:r w:rsidRPr="00167CB8">
        <w:t>In 2018 Marie Boland was appointed to conduct the Review of the model WHS laws (Boland Review). WHS law is legislated and regulated separately by each of Australia’s state, territory and Commonwealth jurisdictions. They are effectively harmonised across the jurisdictions through a set of uniform laws known as the ‘Model WHS laws’.</w:t>
      </w:r>
      <w:r w:rsidRPr="00167CB8">
        <w:rPr>
          <w:rStyle w:val="FootnoteReference"/>
        </w:rPr>
        <w:footnoteReference w:id="1065"/>
      </w:r>
      <w:r w:rsidRPr="00167CB8">
        <w:t xml:space="preserve"> In assessing the powers and functions of HSRs, the Boland </w:t>
      </w:r>
      <w:r w:rsidR="00DF5878" w:rsidRPr="00167CB8">
        <w:t>R</w:t>
      </w:r>
      <w:r w:rsidRPr="00167CB8">
        <w:t>eview considered the capacity for a HSR to ‘request the assistance of any person in the performance of’ their role.</w:t>
      </w:r>
      <w:r w:rsidRPr="00167CB8">
        <w:rPr>
          <w:rStyle w:val="FootnoteReference"/>
        </w:rPr>
        <w:footnoteReference w:id="1066"/>
      </w:r>
      <w:r w:rsidRPr="00167CB8">
        <w:t xml:space="preserve"> Having considered submissions, the Boland Review concluded </w:t>
      </w:r>
      <w:r w:rsidR="002D30C0" w:rsidRPr="00167CB8">
        <w:t>‘</w:t>
      </w:r>
      <w:r w:rsidRPr="00167CB8">
        <w:t>the right of an HSR to bring in a person with appropriate experience and knowledge to assist them should not be restricted if that person is also a union official. In practice, persons assisting an HSR will not necessarily be union officials</w:t>
      </w:r>
      <w:r w:rsidR="007E4995">
        <w:t>.</w:t>
      </w:r>
      <w:r w:rsidR="002D30C0" w:rsidRPr="00167CB8">
        <w:t>’</w:t>
      </w:r>
      <w:r w:rsidRPr="00167CB8">
        <w:t xml:space="preserve"> The Boland Review recommended (</w:t>
      </w:r>
      <w:r w:rsidR="002D30C0" w:rsidRPr="00167CB8">
        <w:t>r</w:t>
      </w:r>
      <w:r w:rsidRPr="00167CB8">
        <w:t>ecommendation 8):</w:t>
      </w:r>
      <w:r w:rsidR="002D30C0" w:rsidRPr="00167CB8">
        <w:rPr>
          <w:rStyle w:val="FootnoteReference"/>
        </w:rPr>
        <w:footnoteReference w:id="1067"/>
      </w:r>
    </w:p>
    <w:p w14:paraId="3ABA5220" w14:textId="5C67FD64" w:rsidR="00821381" w:rsidRPr="00167CB8" w:rsidRDefault="00821381" w:rsidP="00FD6483">
      <w:pPr>
        <w:pStyle w:val="Quote"/>
      </w:pPr>
      <w:r w:rsidRPr="00167CB8">
        <w:t xml:space="preserve">Safe Work Australia work with relevant agencies to consider how to achieve the policy intention that a union official accessing a workplace to provide assistance to an HSR is not required to hold an entry permit </w:t>
      </w:r>
      <w:r w:rsidRPr="00167CB8">
        <w:lastRenderedPageBreak/>
        <w:t>under the Fair Work Act or another industrial law, taking into account the interaction between Commonwealth, state and territory laws.</w:t>
      </w:r>
    </w:p>
    <w:p w14:paraId="6794FD01" w14:textId="1C70C8D6" w:rsidR="00821381" w:rsidRPr="00167CB8" w:rsidRDefault="00BA1598" w:rsidP="00E701F7">
      <w:pPr>
        <w:pStyle w:val="Heading4"/>
        <w:rPr>
          <w:rFonts w:asciiTheme="minorHAnsi" w:hAnsiTheme="minorHAnsi"/>
        </w:rPr>
      </w:pPr>
      <w:bookmarkStart w:id="620" w:name="_Toc187934240"/>
      <w:bookmarkStart w:id="621" w:name="_Toc188278052"/>
      <w:bookmarkStart w:id="622" w:name="_Toc189260340"/>
      <w:bookmarkStart w:id="623" w:name="_Toc189393656"/>
      <w:r w:rsidRPr="00167CB8">
        <w:rPr>
          <w:rFonts w:asciiTheme="minorHAnsi" w:hAnsiTheme="minorHAnsi"/>
        </w:rPr>
        <w:t>38.2</w:t>
      </w:r>
      <w:r w:rsidR="00821381" w:rsidRPr="00167CB8">
        <w:rPr>
          <w:rFonts w:asciiTheme="minorHAnsi" w:hAnsiTheme="minorHAnsi"/>
        </w:rPr>
        <w:t xml:space="preserve"> Impact and </w:t>
      </w:r>
      <w:r w:rsidR="002D30C0" w:rsidRPr="00167CB8">
        <w:rPr>
          <w:rFonts w:asciiTheme="minorHAnsi" w:hAnsiTheme="minorHAnsi"/>
        </w:rPr>
        <w:t>i</w:t>
      </w:r>
      <w:r w:rsidR="00821381" w:rsidRPr="00167CB8">
        <w:rPr>
          <w:rFonts w:asciiTheme="minorHAnsi" w:hAnsiTheme="minorHAnsi"/>
        </w:rPr>
        <w:t>ssues</w:t>
      </w:r>
      <w:bookmarkEnd w:id="620"/>
      <w:bookmarkEnd w:id="621"/>
      <w:bookmarkEnd w:id="622"/>
      <w:bookmarkEnd w:id="623"/>
    </w:p>
    <w:p w14:paraId="59BAFEEE" w14:textId="77777777" w:rsidR="00821381" w:rsidRPr="00167CB8" w:rsidRDefault="00821381" w:rsidP="006000ED">
      <w:r w:rsidRPr="00167CB8">
        <w:t>The following describes the data and information considered by the Review Panel when evaluating the amendments discussed above.</w:t>
      </w:r>
    </w:p>
    <w:p w14:paraId="75D2DC0E" w14:textId="2DD5759D" w:rsidR="00821381" w:rsidRPr="00167CB8" w:rsidRDefault="00BA1598" w:rsidP="00E701F7">
      <w:pPr>
        <w:pStyle w:val="Heading5"/>
      </w:pPr>
      <w:bookmarkStart w:id="624" w:name="_Toc187934241"/>
      <w:r w:rsidRPr="00167CB8">
        <w:t>38.2.1</w:t>
      </w:r>
      <w:r w:rsidR="00821381" w:rsidRPr="00167CB8">
        <w:t xml:space="preserve"> Quantitative </w:t>
      </w:r>
      <w:r w:rsidR="002D30C0" w:rsidRPr="00167CB8">
        <w:t>e</w:t>
      </w:r>
      <w:r w:rsidR="00821381" w:rsidRPr="00167CB8">
        <w:t>vidence</w:t>
      </w:r>
      <w:bookmarkEnd w:id="624"/>
    </w:p>
    <w:p w14:paraId="209E5DEE" w14:textId="0F6D0B57" w:rsidR="00BD170E" w:rsidRPr="00167CB8" w:rsidRDefault="00B6323A" w:rsidP="006000ED">
      <w:pPr>
        <w:pStyle w:val="Normal-3ptAfter"/>
      </w:pPr>
      <w:r w:rsidRPr="00167CB8">
        <w:t>Data provided by the FWO to the Review covering 1 July 2023</w:t>
      </w:r>
      <w:r w:rsidR="002D30C0" w:rsidRPr="00167CB8">
        <w:t xml:space="preserve"> </w:t>
      </w:r>
      <w:r w:rsidR="002D30C0" w:rsidRPr="00167CB8">
        <w:rPr>
          <w:rFonts w:ascii="Symbol" w:eastAsia="Symbol" w:hAnsi="Symbol" w:cs="Symbol"/>
        </w:rPr>
        <w:sym w:font="Symbol" w:char="F02D"/>
      </w:r>
      <w:r w:rsidR="002D30C0" w:rsidRPr="00167CB8">
        <w:t xml:space="preserve"> </w:t>
      </w:r>
      <w:r w:rsidRPr="00167CB8">
        <w:t xml:space="preserve">31 October 2024 indicates that they received no requests for assistance or complaints related to union officials entering the worksite </w:t>
      </w:r>
      <w:r w:rsidR="004846B2" w:rsidRPr="00167CB8">
        <w:t xml:space="preserve">(to assist HSRs) </w:t>
      </w:r>
      <w:r w:rsidRPr="00167CB8">
        <w:t xml:space="preserve">without a permit. The Review Panel is therefore not aware of any </w:t>
      </w:r>
      <w:r w:rsidR="00301637" w:rsidRPr="00167CB8">
        <w:t xml:space="preserve">significant </w:t>
      </w:r>
      <w:r w:rsidRPr="00167CB8">
        <w:t>quantitative evidence in relation to these amendments.</w:t>
      </w:r>
    </w:p>
    <w:p w14:paraId="4831DCF1" w14:textId="19D7BDC7" w:rsidR="00821381" w:rsidRPr="00167CB8" w:rsidRDefault="00BA1598" w:rsidP="00E701F7">
      <w:pPr>
        <w:pStyle w:val="Heading5"/>
        <w:rPr>
          <w:rFonts w:asciiTheme="minorHAnsi" w:hAnsiTheme="minorHAnsi"/>
        </w:rPr>
      </w:pPr>
      <w:bookmarkStart w:id="625" w:name="_Toc187934242"/>
      <w:r w:rsidRPr="00167CB8">
        <w:rPr>
          <w:rFonts w:asciiTheme="minorHAnsi" w:hAnsiTheme="minorHAnsi"/>
        </w:rPr>
        <w:t>38.2.2</w:t>
      </w:r>
      <w:r w:rsidR="00821381" w:rsidRPr="00167CB8">
        <w:rPr>
          <w:rFonts w:asciiTheme="minorHAnsi" w:hAnsiTheme="minorHAnsi"/>
        </w:rPr>
        <w:t xml:space="preserve"> Qualitative </w:t>
      </w:r>
      <w:r w:rsidR="002D30C0" w:rsidRPr="00167CB8">
        <w:rPr>
          <w:rFonts w:asciiTheme="minorHAnsi" w:hAnsiTheme="minorHAnsi"/>
        </w:rPr>
        <w:t>e</w:t>
      </w:r>
      <w:r w:rsidR="00821381" w:rsidRPr="00167CB8">
        <w:rPr>
          <w:rFonts w:asciiTheme="minorHAnsi" w:hAnsiTheme="minorHAnsi"/>
        </w:rPr>
        <w:t>vidence</w:t>
      </w:r>
      <w:bookmarkEnd w:id="625"/>
    </w:p>
    <w:p w14:paraId="3BF5DC6D" w14:textId="3E6F5B12" w:rsidR="00821381" w:rsidRPr="00167CB8" w:rsidRDefault="00821381" w:rsidP="006000ED">
      <w:r w:rsidRPr="00167CB8">
        <w:t xml:space="preserve">In submissions to the 2018 Boland Review, the Ai Group argued that the provisions could be used by union officials to circumvent the usual right of entry provisions and could result in HSRs being pressured by union organisers to arrange for their right of entry. The </w:t>
      </w:r>
      <w:r w:rsidR="002D30C0" w:rsidRPr="00167CB8">
        <w:t>Minerals Council of Australia (</w:t>
      </w:r>
      <w:r w:rsidRPr="00167CB8">
        <w:t>MCA</w:t>
      </w:r>
      <w:r w:rsidR="002D30C0" w:rsidRPr="00167CB8">
        <w:t>)</w:t>
      </w:r>
      <w:r w:rsidRPr="00167CB8">
        <w:t xml:space="preserve"> argued that only those with a valid entry permit under WHS and workplace relation laws should be allowed entry to assist. The CME argued that the person must have relevant knowledge.</w:t>
      </w:r>
      <w:r w:rsidRPr="00167CB8">
        <w:rPr>
          <w:rStyle w:val="FootnoteReference"/>
        </w:rPr>
        <w:footnoteReference w:id="1068"/>
      </w:r>
    </w:p>
    <w:p w14:paraId="62160807" w14:textId="70EDD9C7" w:rsidR="00821381" w:rsidRPr="00167CB8" w:rsidRDefault="00821381" w:rsidP="006000ED">
      <w:r w:rsidRPr="00167CB8">
        <w:t xml:space="preserve">In response to concerns raised, the Boland Review noted that the Model WHS Act </w:t>
      </w:r>
      <w:r w:rsidR="002D30C0" w:rsidRPr="00167CB8">
        <w:t>‘</w:t>
      </w:r>
      <w:r w:rsidRPr="00167CB8">
        <w:t>includes provisions to ensure that the right to request assistance is used appropriately</w:t>
      </w:r>
      <w:r w:rsidR="002D30C0" w:rsidRPr="00167CB8">
        <w:t>’</w:t>
      </w:r>
      <w:r w:rsidRPr="00167CB8">
        <w:t xml:space="preserve">. This includes disqualifying a HSR if </w:t>
      </w:r>
      <w:r w:rsidR="002D30C0" w:rsidRPr="00167CB8">
        <w:t>‘</w:t>
      </w:r>
      <w:r w:rsidRPr="00167CB8">
        <w:t>they exercise their powers for an improper purpose (and this would include their powers related to requesting assistance from any person)</w:t>
      </w:r>
      <w:r w:rsidR="002D30C0" w:rsidRPr="00167CB8">
        <w:t>’</w:t>
      </w:r>
      <w:r w:rsidRPr="00167CB8">
        <w:t xml:space="preserve">. The Boland Review also noted that the employer may (at </w:t>
      </w:r>
      <w:r w:rsidR="002D30C0" w:rsidRPr="00167CB8">
        <w:t>s </w:t>
      </w:r>
      <w:r w:rsidRPr="00167CB8">
        <w:t>71(5) of the model WHS Act) refuse access to the workplace on ‘reasonable grounds</w:t>
      </w:r>
      <w:r w:rsidR="007E4995">
        <w:t>.</w:t>
      </w:r>
      <w:r w:rsidRPr="00167CB8">
        <w:t>’</w:t>
      </w:r>
      <w:r w:rsidRPr="00167CB8">
        <w:rPr>
          <w:rStyle w:val="FootnoteReference"/>
        </w:rPr>
        <w:footnoteReference w:id="1069"/>
      </w:r>
      <w:r w:rsidRPr="00167CB8">
        <w:t xml:space="preserve">  </w:t>
      </w:r>
    </w:p>
    <w:p w14:paraId="023EEADC" w14:textId="6AC8D031" w:rsidR="00821381" w:rsidRPr="00167CB8" w:rsidRDefault="00BA1598" w:rsidP="00E701F7">
      <w:pPr>
        <w:pStyle w:val="Heading5"/>
        <w:rPr>
          <w:rFonts w:asciiTheme="minorHAnsi" w:hAnsiTheme="minorHAnsi"/>
        </w:rPr>
      </w:pPr>
      <w:bookmarkStart w:id="626" w:name="_Toc187934243"/>
      <w:r w:rsidRPr="00167CB8">
        <w:rPr>
          <w:rFonts w:asciiTheme="minorHAnsi" w:hAnsiTheme="minorHAnsi"/>
        </w:rPr>
        <w:t>38.2.3</w:t>
      </w:r>
      <w:r w:rsidR="00821381" w:rsidRPr="00167CB8">
        <w:rPr>
          <w:rFonts w:asciiTheme="minorHAnsi" w:hAnsiTheme="minorHAnsi"/>
        </w:rPr>
        <w:t xml:space="preserve"> Stakeholder views</w:t>
      </w:r>
      <w:bookmarkEnd w:id="626"/>
    </w:p>
    <w:p w14:paraId="42C4A621" w14:textId="7D6F5282" w:rsidR="00821381" w:rsidRPr="00167CB8" w:rsidRDefault="00821381" w:rsidP="006000ED">
      <w:r w:rsidRPr="00167CB8">
        <w:t xml:space="preserve">Several employer </w:t>
      </w:r>
      <w:r w:rsidR="0048152D" w:rsidRPr="00167CB8">
        <w:t>associations</w:t>
      </w:r>
      <w:r w:rsidRPr="00167CB8">
        <w:t>, including the Australian Chamber of Commerce and Industry (ACCI), Master Builders Australia (MBA)</w:t>
      </w:r>
      <w:r w:rsidR="002D30C0" w:rsidRPr="00167CB8">
        <w:t>,</w:t>
      </w:r>
      <w:r w:rsidRPr="00167CB8">
        <w:rPr>
          <w:rStyle w:val="FootnoteReference"/>
        </w:rPr>
        <w:footnoteReference w:id="1070"/>
      </w:r>
      <w:r w:rsidRPr="00167CB8">
        <w:t xml:space="preserve"> MCA, the Ai Group</w:t>
      </w:r>
      <w:r w:rsidR="002D30C0" w:rsidRPr="00167CB8">
        <w:t>,</w:t>
      </w:r>
      <w:r w:rsidRPr="00167CB8">
        <w:rPr>
          <w:rStyle w:val="FootnoteReference"/>
        </w:rPr>
        <w:footnoteReference w:id="1071"/>
      </w:r>
      <w:r w:rsidRPr="00167CB8">
        <w:t xml:space="preserve"> the Chamber of Minerals &amp; Energy of Western Australia</w:t>
      </w:r>
      <w:r w:rsidR="002D30C0" w:rsidRPr="00167CB8">
        <w:t>,</w:t>
      </w:r>
      <w:r w:rsidRPr="00167CB8">
        <w:rPr>
          <w:rStyle w:val="FootnoteReference"/>
        </w:rPr>
        <w:footnoteReference w:id="1072"/>
      </w:r>
      <w:r w:rsidRPr="00167CB8">
        <w:t xml:space="preserve"> the Australian Retailers Association</w:t>
      </w:r>
      <w:r w:rsidR="002D30C0" w:rsidRPr="00167CB8">
        <w:t>,</w:t>
      </w:r>
      <w:r w:rsidRPr="00167CB8">
        <w:rPr>
          <w:rStyle w:val="FootnoteReference"/>
        </w:rPr>
        <w:footnoteReference w:id="1073"/>
      </w:r>
      <w:r w:rsidRPr="00167CB8">
        <w:t xml:space="preserve"> the Business Council of Australia</w:t>
      </w:r>
      <w:r w:rsidR="002D30C0" w:rsidRPr="00167CB8">
        <w:t>,</w:t>
      </w:r>
      <w:r w:rsidRPr="00167CB8">
        <w:rPr>
          <w:rStyle w:val="FootnoteReference"/>
        </w:rPr>
        <w:footnoteReference w:id="1074"/>
      </w:r>
      <w:r w:rsidRPr="00167CB8">
        <w:t xml:space="preserve"> the Housing Industry Association</w:t>
      </w:r>
      <w:r w:rsidRPr="00167CB8">
        <w:rPr>
          <w:rStyle w:val="FootnoteReference"/>
        </w:rPr>
        <w:footnoteReference w:id="1075"/>
      </w:r>
      <w:r w:rsidRPr="00167CB8">
        <w:t xml:space="preserve"> and the Chamber of Commerce and Industry of WA</w:t>
      </w:r>
      <w:r w:rsidRPr="00167CB8">
        <w:rPr>
          <w:rStyle w:val="FootnoteReference"/>
        </w:rPr>
        <w:footnoteReference w:id="1076"/>
      </w:r>
      <w:r w:rsidRPr="00167CB8">
        <w:t xml:space="preserve"> submitted that the amendments</w:t>
      </w:r>
      <w:r w:rsidRPr="00167CB8">
        <w:rPr>
          <w:rFonts w:cstheme="minorHAnsi"/>
          <w:lang w:val="en-US"/>
        </w:rPr>
        <w:t xml:space="preserve"> are misguided and inappropriate, with the potential to </w:t>
      </w:r>
      <w:r w:rsidRPr="00167CB8">
        <w:t xml:space="preserve">undermine workplace safety. </w:t>
      </w:r>
    </w:p>
    <w:p w14:paraId="0D262047" w14:textId="7E330B5F" w:rsidR="00821381" w:rsidRPr="00167CB8" w:rsidRDefault="00821381" w:rsidP="006000ED">
      <w:r w:rsidRPr="00167CB8">
        <w:t>ACCI, for example, note</w:t>
      </w:r>
      <w:r w:rsidR="002D30C0" w:rsidRPr="00167CB8">
        <w:t>d</w:t>
      </w:r>
      <w:r w:rsidRPr="00167CB8">
        <w:t xml:space="preserve"> that persons granted a right of entry permit by the FWC are required to satisfy certain requirements (e.g. they are a ‘fit and proper’ person and have completed right of </w:t>
      </w:r>
      <w:r w:rsidRPr="00167CB8">
        <w:lastRenderedPageBreak/>
        <w:t>entry training).</w:t>
      </w:r>
      <w:r w:rsidRPr="00167CB8">
        <w:rPr>
          <w:rStyle w:val="FootnoteReference"/>
        </w:rPr>
        <w:footnoteReference w:id="1077"/>
      </w:r>
      <w:r w:rsidRPr="00167CB8">
        <w:t xml:space="preserve"> If officials assisting HSRs </w:t>
      </w:r>
      <w:r w:rsidR="002D30C0" w:rsidRPr="00167CB8">
        <w:t xml:space="preserve">are not </w:t>
      </w:r>
      <w:r w:rsidRPr="00167CB8">
        <w:t xml:space="preserve">required to hold a right of entry permit, they also bypass the criteria needed to obtain one. This, in turn, may pose </w:t>
      </w:r>
      <w:r w:rsidR="002D30C0" w:rsidRPr="00167CB8">
        <w:t>‘</w:t>
      </w:r>
      <w:r w:rsidRPr="00167CB8">
        <w:t>a significant risk to both the occupier of the premises and the official during their attendance, as well as causing unnecessary tension between parties</w:t>
      </w:r>
      <w:r w:rsidR="002D30C0" w:rsidRPr="00167CB8">
        <w:t>’</w:t>
      </w:r>
      <w:r w:rsidRPr="00167CB8">
        <w:t>. They cite</w:t>
      </w:r>
      <w:r w:rsidR="002D30C0" w:rsidRPr="00167CB8">
        <w:t>d</w:t>
      </w:r>
      <w:r w:rsidRPr="00167CB8">
        <w:t xml:space="preserve"> an example from </w:t>
      </w:r>
      <w:r w:rsidR="002D30C0" w:rsidRPr="00167CB8">
        <w:t xml:space="preserve">Australian Resources &amp; Energy Employer Association </w:t>
      </w:r>
      <w:r w:rsidRPr="00167CB8">
        <w:t>of officials assisting a HSR identifying themselves as an onsite visitor to avoid compliance with safety procedures.</w:t>
      </w:r>
      <w:r w:rsidRPr="00167CB8">
        <w:rPr>
          <w:rStyle w:val="FootnoteReference"/>
        </w:rPr>
        <w:footnoteReference w:id="1078"/>
      </w:r>
      <w:r w:rsidRPr="00167CB8">
        <w:t xml:space="preserve"> ACCI also submit</w:t>
      </w:r>
      <w:r w:rsidR="002D30C0" w:rsidRPr="00167CB8">
        <w:t>ted</w:t>
      </w:r>
      <w:r w:rsidRPr="00167CB8">
        <w:t xml:space="preserve"> that, although civil penalties apply where an official contravenes their obligations at </w:t>
      </w:r>
      <w:r w:rsidR="002D30C0" w:rsidRPr="00167CB8">
        <w:t>ss </w:t>
      </w:r>
      <w:r w:rsidRPr="00167CB8">
        <w:t xml:space="preserve">499 to 504 of the </w:t>
      </w:r>
      <w:r w:rsidR="007132B2" w:rsidRPr="00167CB8">
        <w:t>Fair Work Act</w:t>
      </w:r>
      <w:r w:rsidRPr="00167CB8">
        <w:t xml:space="preserve">, </w:t>
      </w:r>
      <w:r w:rsidR="002D30C0" w:rsidRPr="00167CB8">
        <w:t>‘</w:t>
      </w:r>
      <w:r w:rsidRPr="00167CB8">
        <w:t>civil penalties do not necessarily act as a deterrent for organisations</w:t>
      </w:r>
      <w:r w:rsidR="002D30C0" w:rsidRPr="00167CB8">
        <w:t>’</w:t>
      </w:r>
      <w:r w:rsidRPr="00167CB8">
        <w:t xml:space="preserve">. </w:t>
      </w:r>
    </w:p>
    <w:p w14:paraId="0AB0F792" w14:textId="10B4A685" w:rsidR="00821381" w:rsidRPr="00167CB8" w:rsidRDefault="00821381" w:rsidP="006000ED">
      <w:r w:rsidRPr="00167CB8">
        <w:t xml:space="preserve">Employer </w:t>
      </w:r>
      <w:r w:rsidR="0048152D" w:rsidRPr="00167CB8">
        <w:t>association</w:t>
      </w:r>
      <w:r w:rsidRPr="00167CB8">
        <w:t>s expressed concern that the new provisions could be open to abuse by union officials and that the FWC is powerless to deal with the abuse. According to ACCI:</w:t>
      </w:r>
    </w:p>
    <w:p w14:paraId="42166339" w14:textId="7ABFDADC" w:rsidR="00821381" w:rsidRPr="00167CB8" w:rsidRDefault="00821381" w:rsidP="006000ED">
      <w:pPr>
        <w:ind w:left="720"/>
      </w:pPr>
      <w:r w:rsidRPr="00167CB8">
        <w:t>there is no mechanism in place that enables the FWC to refuse access to an official who is assisting an HSR. If an occupier seeks to prevent the access of an official assisting an HSR, their only option is to make an application to the Federal Court for injunctive relief, or, after a contravention has occurred, alert the FWO to the contravention and/or file the matter before the Federal Court or the Federal Circuit Court to seek a pecuniary penalty. A decision for the occupier to take the matter to the Federal Court or Federal Circuit Court will be costly and is an unjust imposition upon that occupier to address the conduct of an official assisting an HSR acting inconsistently with their obligations.</w:t>
      </w:r>
      <w:r w:rsidR="003B06F7" w:rsidRPr="00167CB8">
        <w:rPr>
          <w:rStyle w:val="FootnoteReference"/>
        </w:rPr>
        <w:footnoteReference w:id="1079"/>
      </w:r>
    </w:p>
    <w:p w14:paraId="6FE94A9C" w14:textId="77AD44DB" w:rsidR="00821381" w:rsidRPr="00167CB8" w:rsidRDefault="00821381" w:rsidP="006000ED">
      <w:r w:rsidRPr="00167CB8">
        <w:t xml:space="preserve">The MCA submitted that the amendments go </w:t>
      </w:r>
      <w:r w:rsidR="002D30C0" w:rsidRPr="00167CB8">
        <w:t>‘</w:t>
      </w:r>
      <w:r w:rsidRPr="00167CB8">
        <w:t>significantly further than the Boland Review recommendation. The recommendation assumed that union officials who do not hold an entry permit under an industrial law will nonetheless have some qualifications to enter a site for safety purpose</w:t>
      </w:r>
      <w:r w:rsidR="002D30C0" w:rsidRPr="00167CB8">
        <w:t>’</w:t>
      </w:r>
      <w:r w:rsidRPr="00167CB8">
        <w:t>.</w:t>
      </w:r>
      <w:r w:rsidRPr="00167CB8">
        <w:rPr>
          <w:rStyle w:val="FootnoteReference"/>
        </w:rPr>
        <w:footnoteReference w:id="1080"/>
      </w:r>
    </w:p>
    <w:p w14:paraId="63E038C2" w14:textId="7A6725B2" w:rsidR="00821381" w:rsidRPr="00167CB8" w:rsidRDefault="00821381" w:rsidP="006000ED">
      <w:r w:rsidRPr="00167CB8">
        <w:t>Most employer</w:t>
      </w:r>
      <w:r w:rsidR="0048152D" w:rsidRPr="00167CB8">
        <w:t xml:space="preserve"> association</w:t>
      </w:r>
      <w:r w:rsidRPr="00167CB8">
        <w:t xml:space="preserve"> submissions recommend</w:t>
      </w:r>
      <w:r w:rsidR="002D30C0" w:rsidRPr="00167CB8">
        <w:t>ed</w:t>
      </w:r>
      <w:r w:rsidRPr="00167CB8">
        <w:t xml:space="preserve"> that the amendments be repealed and that officials assisting HSRs be required to hold a federal right of entry permit. Among other things this would enable the FWC to ensure that permits were only issued to ‘fit and proper persons’. In a similar vein the Maritime Industry Australia Ltd submitted that, as a minimum, </w:t>
      </w:r>
      <w:r w:rsidR="002D30C0" w:rsidRPr="00167CB8">
        <w:t>‘</w:t>
      </w:r>
      <w:r w:rsidRPr="00167CB8">
        <w:t>officials who have had their permits cancelled, revoked, or have made applications that have not been granted should be ineligible to assist HSRs in the performance of their duties</w:t>
      </w:r>
      <w:r w:rsidR="002D30C0" w:rsidRPr="00167CB8">
        <w:t>’</w:t>
      </w:r>
      <w:r w:rsidRPr="00167CB8">
        <w:t>.</w:t>
      </w:r>
      <w:r w:rsidRPr="00167CB8">
        <w:rPr>
          <w:rStyle w:val="FootnoteReference"/>
        </w:rPr>
        <w:footnoteReference w:id="1081"/>
      </w:r>
    </w:p>
    <w:p w14:paraId="2BEE4E82" w14:textId="428204F2" w:rsidR="00821381" w:rsidRPr="00167CB8" w:rsidRDefault="00821381" w:rsidP="006000ED">
      <w:r w:rsidRPr="00167CB8">
        <w:t>ACCI also recommend</w:t>
      </w:r>
      <w:r w:rsidR="002D30C0" w:rsidRPr="00167CB8">
        <w:t>ed</w:t>
      </w:r>
      <w:r w:rsidRPr="00167CB8">
        <w:t xml:space="preserve"> that </w:t>
      </w:r>
      <w:r w:rsidR="002D30C0" w:rsidRPr="00167CB8">
        <w:t>‘</w:t>
      </w:r>
      <w:r w:rsidRPr="00167CB8">
        <w:t>the training required by officials seeking to obtain a right of entry permit is expanded to contain information relating to the statutory functions of an HSR</w:t>
      </w:r>
      <w:r w:rsidR="002D30C0" w:rsidRPr="00167CB8">
        <w:t>’</w:t>
      </w:r>
      <w:r w:rsidRPr="00167CB8">
        <w:t>.</w:t>
      </w:r>
      <w:r w:rsidRPr="00167CB8">
        <w:rPr>
          <w:rStyle w:val="FootnoteReference"/>
        </w:rPr>
        <w:footnoteReference w:id="1082"/>
      </w:r>
    </w:p>
    <w:p w14:paraId="70469782" w14:textId="706D2FE9" w:rsidR="00821381" w:rsidRPr="00167CB8" w:rsidRDefault="00821381" w:rsidP="006000ED">
      <w:r w:rsidRPr="00167CB8">
        <w:t>Unions, including the United Workers Union (UWU)</w:t>
      </w:r>
      <w:r w:rsidRPr="00167CB8">
        <w:rPr>
          <w:rStyle w:val="FootnoteReference"/>
        </w:rPr>
        <w:footnoteReference w:id="1083"/>
      </w:r>
      <w:r w:rsidRPr="00167CB8">
        <w:t xml:space="preserve"> and the Construction, Forestry, Maritime, Employees Union (CFMEU)</w:t>
      </w:r>
      <w:r w:rsidR="002D30C0" w:rsidRPr="00167CB8">
        <w:t>,</w:t>
      </w:r>
      <w:r w:rsidRPr="00167CB8">
        <w:t xml:space="preserve"> support</w:t>
      </w:r>
      <w:r w:rsidR="002D30C0" w:rsidRPr="00167CB8">
        <w:t>ed</w:t>
      </w:r>
      <w:r w:rsidRPr="00167CB8">
        <w:t xml:space="preserve"> the amendments, arguing that it assists the safety and wellbeing of workers, particularly in high</w:t>
      </w:r>
      <w:r w:rsidR="002D30C0" w:rsidRPr="00167CB8">
        <w:t>-</w:t>
      </w:r>
      <w:r w:rsidRPr="00167CB8">
        <w:t>risk industries such as mining and construction.</w:t>
      </w:r>
    </w:p>
    <w:p w14:paraId="328174D6" w14:textId="170B632E" w:rsidR="00821381" w:rsidRPr="00167CB8" w:rsidRDefault="00821381" w:rsidP="006000ED">
      <w:r w:rsidRPr="00167CB8">
        <w:lastRenderedPageBreak/>
        <w:t>The CFMEU submit</w:t>
      </w:r>
      <w:r w:rsidR="002D30C0" w:rsidRPr="00167CB8">
        <w:t>ted</w:t>
      </w:r>
      <w:r w:rsidRPr="00167CB8">
        <w:t xml:space="preserve"> that employer concerns about the amendments undermining safety or increasing the power of unions are unfounded and were also raised in the Boland Review and dismissed; </w:t>
      </w:r>
      <w:r w:rsidR="002D30C0" w:rsidRPr="00167CB8">
        <w:t>‘</w:t>
      </w:r>
      <w:r w:rsidRPr="00167CB8">
        <w:t>WHS law already contains provisions which ensure the right to request assistance is used appropriately</w:t>
      </w:r>
      <w:r w:rsidR="002D30C0" w:rsidRPr="00167CB8">
        <w:t>’</w:t>
      </w:r>
      <w:r w:rsidRPr="00167CB8">
        <w:t>.</w:t>
      </w:r>
      <w:r w:rsidRPr="00167CB8">
        <w:rPr>
          <w:rStyle w:val="FootnoteReference"/>
        </w:rPr>
        <w:footnoteReference w:id="1084"/>
      </w:r>
      <w:r w:rsidRPr="00167CB8">
        <w:t xml:space="preserve"> Further, </w:t>
      </w:r>
      <w:r w:rsidR="002D30C0" w:rsidRPr="00167CB8">
        <w:t xml:space="preserve">it </w:t>
      </w:r>
      <w:r w:rsidRPr="00167CB8">
        <w:t>argue</w:t>
      </w:r>
      <w:r w:rsidR="002D30C0" w:rsidRPr="00167CB8">
        <w:t>d</w:t>
      </w:r>
      <w:r w:rsidRPr="00167CB8">
        <w:t xml:space="preserve"> that the amendments at s</w:t>
      </w:r>
      <w:r w:rsidR="002D30C0" w:rsidRPr="00167CB8">
        <w:t> </w:t>
      </w:r>
      <w:r w:rsidRPr="00167CB8">
        <w:t xml:space="preserve">494(4) do not go far enough and </w:t>
      </w:r>
      <w:r w:rsidR="002D30C0" w:rsidRPr="00167CB8">
        <w:t>‘</w:t>
      </w:r>
      <w:r w:rsidRPr="00167CB8">
        <w:t>are limited to circumstances where a properly elected HSR requests the assistance of a person</w:t>
      </w:r>
      <w:r w:rsidR="002D30C0" w:rsidRPr="00167CB8">
        <w:t>’</w:t>
      </w:r>
      <w:r w:rsidRPr="00167CB8">
        <w:t xml:space="preserve">. </w:t>
      </w:r>
      <w:r w:rsidR="002D30C0" w:rsidRPr="00167CB8">
        <w:t xml:space="preserve">It </w:t>
      </w:r>
      <w:r w:rsidRPr="00167CB8">
        <w:t>note</w:t>
      </w:r>
      <w:r w:rsidR="002D30C0" w:rsidRPr="00167CB8">
        <w:t>d</w:t>
      </w:r>
      <w:r w:rsidRPr="00167CB8">
        <w:t xml:space="preserve"> that the process for electing HSRs under the WHS Act is not suitable for industries such as construction where much of the work is performed by contractors or subcontractors with frequent turnover.</w:t>
      </w:r>
      <w:r w:rsidRPr="00167CB8">
        <w:rPr>
          <w:rStyle w:val="FootnoteReference"/>
        </w:rPr>
        <w:footnoteReference w:id="1085"/>
      </w:r>
    </w:p>
    <w:p w14:paraId="2B6BF5E2" w14:textId="3545CEEC" w:rsidR="00821381" w:rsidRPr="00167CB8" w:rsidRDefault="00821381" w:rsidP="00E701F7">
      <w:pPr>
        <w:rPr>
          <w:color w:val="777778" w:themeColor="accent5"/>
        </w:rPr>
      </w:pPr>
      <w:r w:rsidRPr="00167CB8">
        <w:t xml:space="preserve">The Electrical Trades Union of Australia (ETU) also seeks further amendments to Part 3-4 of the </w:t>
      </w:r>
      <w:r w:rsidR="007132B2" w:rsidRPr="00167CB8">
        <w:t>Fair Work Act</w:t>
      </w:r>
      <w:r w:rsidRPr="00167CB8">
        <w:t xml:space="preserve"> on right of entry</w:t>
      </w:r>
      <w:r w:rsidR="002D30C0" w:rsidRPr="00167CB8">
        <w:t>,</w:t>
      </w:r>
      <w:r w:rsidRPr="00167CB8">
        <w:t xml:space="preserve"> noting that they are routinely denied right of entry to registered training organisations (e.g. </w:t>
      </w:r>
      <w:r w:rsidR="00C51038" w:rsidRPr="00167CB8">
        <w:t xml:space="preserve">to engage with </w:t>
      </w:r>
      <w:r w:rsidRPr="00167CB8">
        <w:t xml:space="preserve">apprentices) and to camps where fly-in-fly-out workers sleep, as the </w:t>
      </w:r>
      <w:r w:rsidR="002D30C0" w:rsidRPr="00167CB8">
        <w:t xml:space="preserve">camps </w:t>
      </w:r>
      <w:r w:rsidRPr="00167CB8">
        <w:t>are often owned and operated by a party other than the employer.</w:t>
      </w:r>
    </w:p>
    <w:p w14:paraId="67C4A528" w14:textId="33C3C5EB" w:rsidR="00821381" w:rsidRPr="00167CB8" w:rsidRDefault="00BA1598" w:rsidP="00E701F7">
      <w:pPr>
        <w:pStyle w:val="Heading4"/>
        <w:rPr>
          <w:rFonts w:asciiTheme="minorHAnsi" w:hAnsiTheme="minorHAnsi"/>
        </w:rPr>
      </w:pPr>
      <w:bookmarkStart w:id="627" w:name="_Toc187934244"/>
      <w:bookmarkStart w:id="628" w:name="_Toc188278053"/>
      <w:bookmarkStart w:id="629" w:name="_Toc189260341"/>
      <w:bookmarkStart w:id="630" w:name="_Toc189393657"/>
      <w:r w:rsidRPr="00167CB8">
        <w:rPr>
          <w:rFonts w:asciiTheme="minorHAnsi" w:hAnsiTheme="minorHAnsi"/>
        </w:rPr>
        <w:t>38.3</w:t>
      </w:r>
      <w:r w:rsidR="00821381" w:rsidRPr="00167CB8">
        <w:rPr>
          <w:rFonts w:asciiTheme="minorHAnsi" w:hAnsiTheme="minorHAnsi"/>
        </w:rPr>
        <w:t xml:space="preserve"> Findings </w:t>
      </w:r>
      <w:r w:rsidR="002D30C0" w:rsidRPr="00167CB8">
        <w:rPr>
          <w:rFonts w:asciiTheme="minorHAnsi" w:hAnsiTheme="minorHAnsi"/>
        </w:rPr>
        <w:t>and r</w:t>
      </w:r>
      <w:r w:rsidR="00821381" w:rsidRPr="00167CB8">
        <w:rPr>
          <w:rFonts w:asciiTheme="minorHAnsi" w:hAnsiTheme="minorHAnsi"/>
        </w:rPr>
        <w:t>ecommendations</w:t>
      </w:r>
      <w:bookmarkEnd w:id="627"/>
      <w:bookmarkEnd w:id="628"/>
      <w:bookmarkEnd w:id="629"/>
      <w:bookmarkEnd w:id="630"/>
    </w:p>
    <w:p w14:paraId="7E00E95C" w14:textId="2BAAB00E" w:rsidR="00821381" w:rsidRPr="00167CB8" w:rsidRDefault="00821381" w:rsidP="006000ED">
      <w:r w:rsidRPr="00167CB8">
        <w:t xml:space="preserve">The </w:t>
      </w:r>
      <w:r w:rsidR="00973166" w:rsidRPr="00167CB8">
        <w:t>Review</w:t>
      </w:r>
      <w:r w:rsidRPr="00167CB8">
        <w:t xml:space="preserve"> Panel notes that the amendment was designed to address a specific issue raised by the Boland Review. Specifically, the intent of the amendment is to ensure that HSRs may access timely assistance from union officials to address WHS concerns without having to obtain a permit.</w:t>
      </w:r>
    </w:p>
    <w:p w14:paraId="04057BF7" w14:textId="4336BE83" w:rsidR="00821381" w:rsidRPr="00167CB8" w:rsidRDefault="00821381" w:rsidP="006000ED">
      <w:r w:rsidRPr="00167CB8">
        <w:t>Employers argue that the amendment undermines rather than enhance</w:t>
      </w:r>
      <w:r w:rsidR="00450214" w:rsidRPr="00167CB8">
        <w:t>s</w:t>
      </w:r>
      <w:r w:rsidRPr="00167CB8">
        <w:t xml:space="preserve"> </w:t>
      </w:r>
      <w:r w:rsidR="00BD18F9" w:rsidRPr="00167CB8">
        <w:t>workplace safety</w:t>
      </w:r>
      <w:r w:rsidRPr="00167CB8">
        <w:t xml:space="preserve">. They believe the removal of the permit requirement bypasses essential safeguards, such as training and the ‘fit and proper person’ test, </w:t>
      </w:r>
      <w:r w:rsidR="00916D76" w:rsidRPr="00167CB8">
        <w:t xml:space="preserve">which is </w:t>
      </w:r>
      <w:r w:rsidRPr="00167CB8">
        <w:t>required for right of entry permits.</w:t>
      </w:r>
    </w:p>
    <w:p w14:paraId="61716ADA" w14:textId="7505E681" w:rsidR="00821381" w:rsidRPr="00167CB8" w:rsidRDefault="00821381" w:rsidP="006000ED">
      <w:r w:rsidRPr="00167CB8">
        <w:t>The amendment has been positively received by unions. They argue that it facilitates timely assistance for HSRs, particularly in high-risk industries such as construction and mining, where safety concerns can be urgent. The CFMEU and other unions see the amendment as essential to improving workplace safety outcomes.</w:t>
      </w:r>
      <w:r w:rsidR="00754C87" w:rsidRPr="00167CB8">
        <w:t xml:space="preserve"> Unions also argue that the amendments do not go far enough and should be expanded to allow union officials to assist workers even in the absence of a formally elected HSR.</w:t>
      </w:r>
    </w:p>
    <w:p w14:paraId="556BF9F3" w14:textId="77777777" w:rsidR="00B00E9E" w:rsidRPr="00167CB8" w:rsidRDefault="00821381" w:rsidP="006000ED">
      <w:r w:rsidRPr="00167CB8">
        <w:t xml:space="preserve">The </w:t>
      </w:r>
      <w:r w:rsidR="00973166" w:rsidRPr="00167CB8">
        <w:t>Review</w:t>
      </w:r>
      <w:r w:rsidRPr="00167CB8">
        <w:t xml:space="preserve"> Panel notes employer</w:t>
      </w:r>
      <w:r w:rsidR="00F64874" w:rsidRPr="00167CB8">
        <w:t xml:space="preserve"> associations’</w:t>
      </w:r>
      <w:r w:rsidRPr="00167CB8">
        <w:t xml:space="preserve"> concern that the amendment could be exploited by union officials to gain access to workplaces under the guise of assisting HSRs. There is also concern that officials assisting HSRs are no longer subject to the oversight of the FWC, not required to meet fit and proper persons requirements, and not required to undertake basic training before entering workplaces. </w:t>
      </w:r>
    </w:p>
    <w:p w14:paraId="023786E3" w14:textId="77777777" w:rsidR="00561557" w:rsidRPr="00167CB8" w:rsidRDefault="00561557" w:rsidP="00561557">
      <w:r w:rsidRPr="00167CB8">
        <w:t xml:space="preserve">In relation to the particular issues and allegations relating to the CFMEU, the Review Panel notes that significant steps have been taken to address these, including placing the Construction and General Division of the CFMEU and all of its branches into administration (see Chapter 4). </w:t>
      </w:r>
    </w:p>
    <w:p w14:paraId="273E560F" w14:textId="77777777" w:rsidR="00561557" w:rsidRPr="00167CB8" w:rsidRDefault="00561557" w:rsidP="00561557">
      <w:r w:rsidRPr="00167CB8">
        <w:t>The Review Panel considers that more actual evidence of misuse is required before attempting to re-impose requirements or establish an alternative oversight mechanism, including in relation to unions that have been placed in administration.</w:t>
      </w:r>
    </w:p>
    <w:p w14:paraId="5B680F35" w14:textId="2CA5DDD4" w:rsidR="00821381" w:rsidRPr="00167CB8" w:rsidRDefault="00C05E65" w:rsidP="006000ED">
      <w:r w:rsidRPr="00167CB8">
        <w:lastRenderedPageBreak/>
        <w:t>There has been a limited amount of time since th</w:t>
      </w:r>
      <w:r w:rsidR="00E44720" w:rsidRPr="00167CB8">
        <w:t>is amendment took effect. There is no</w:t>
      </w:r>
      <w:r w:rsidR="00821381" w:rsidRPr="00167CB8">
        <w:t xml:space="preserve"> appropriate evidence available to make findings and recommendation about </w:t>
      </w:r>
      <w:r w:rsidR="001F686D" w:rsidRPr="00167CB8">
        <w:t xml:space="preserve">this </w:t>
      </w:r>
      <w:r w:rsidR="00821381" w:rsidRPr="00167CB8">
        <w:t xml:space="preserve">recent amendment. If </w:t>
      </w:r>
      <w:r w:rsidR="001F686D" w:rsidRPr="00167CB8">
        <w:t>P</w:t>
      </w:r>
      <w:r w:rsidR="00821381" w:rsidRPr="00167CB8">
        <w:t xml:space="preserve">arliament has genuine concerns about the immediate operation of amendments in </w:t>
      </w:r>
      <w:r w:rsidR="00D755DC" w:rsidRPr="00167CB8">
        <w:t xml:space="preserve">the </w:t>
      </w:r>
      <w:r w:rsidR="00821381" w:rsidRPr="00167CB8">
        <w:t>future, the Review Panel suggests that significantly more work should be undertaken to collect empirical data and evidence before commencing a statutory review.</w:t>
      </w:r>
    </w:p>
    <w:p w14:paraId="304CB107" w14:textId="46AD4BC4" w:rsidR="00CE47CB" w:rsidRPr="00167CB8" w:rsidRDefault="00CE47CB" w:rsidP="006000ED">
      <w:r w:rsidRPr="00167CB8">
        <w:t>Such evidence would also inform consideration of the amendment in future reviews (see Draft Recommendation 1, noting that these amendments were made through the Closing Loopholes Act).</w:t>
      </w:r>
    </w:p>
    <w:bookmarkEnd w:id="613"/>
    <w:p w14:paraId="217305FC" w14:textId="230A5C7C" w:rsidR="00936E6A" w:rsidRPr="00167CB8" w:rsidRDefault="00936E6A" w:rsidP="00E701F7">
      <w:pPr>
        <w:spacing w:after="160"/>
      </w:pPr>
      <w:r w:rsidRPr="00167CB8">
        <w:br w:type="page"/>
      </w:r>
    </w:p>
    <w:p w14:paraId="5F8ACADA" w14:textId="7D7447E7" w:rsidR="00936E6A" w:rsidRPr="00167CB8" w:rsidRDefault="00BA1598" w:rsidP="00936E6A">
      <w:pPr>
        <w:pStyle w:val="Heading2"/>
        <w:rPr>
          <w:rFonts w:asciiTheme="minorHAnsi" w:hAnsiTheme="minorHAnsi"/>
        </w:rPr>
      </w:pPr>
      <w:bookmarkStart w:id="631" w:name="_Toc188278055"/>
      <w:bookmarkStart w:id="632" w:name="_Toc189260182"/>
      <w:bookmarkStart w:id="633" w:name="_Toc189260342"/>
      <w:bookmarkStart w:id="634" w:name="_Toc189393658"/>
      <w:r w:rsidRPr="00167CB8">
        <w:rPr>
          <w:rFonts w:asciiTheme="minorHAnsi" w:hAnsiTheme="minorHAnsi"/>
        </w:rPr>
        <w:lastRenderedPageBreak/>
        <w:t>Part 5</w:t>
      </w:r>
      <w:r w:rsidR="00936E6A" w:rsidRPr="00167CB8">
        <w:rPr>
          <w:rFonts w:asciiTheme="minorHAnsi" w:hAnsiTheme="minorHAnsi"/>
        </w:rPr>
        <w:t xml:space="preserve">. </w:t>
      </w:r>
      <w:r w:rsidR="003A56D5" w:rsidRPr="00167CB8">
        <w:rPr>
          <w:rFonts w:asciiTheme="minorHAnsi" w:hAnsiTheme="minorHAnsi"/>
        </w:rPr>
        <w:t>Next steps</w:t>
      </w:r>
      <w:bookmarkEnd w:id="631"/>
      <w:bookmarkEnd w:id="632"/>
      <w:bookmarkEnd w:id="633"/>
      <w:bookmarkEnd w:id="634"/>
    </w:p>
    <w:p w14:paraId="30B34DB0" w14:textId="70F75DE1" w:rsidR="00936E6A" w:rsidRPr="00167CB8" w:rsidRDefault="004C6190" w:rsidP="00936E6A">
      <w:r w:rsidRPr="00167CB8">
        <w:t xml:space="preserve">The Review Panel </w:t>
      </w:r>
      <w:r w:rsidR="006B4E2F" w:rsidRPr="00167CB8">
        <w:t>invites additional submission</w:t>
      </w:r>
      <w:r w:rsidR="00EC4DB3" w:rsidRPr="00167CB8">
        <w:t>s</w:t>
      </w:r>
      <w:r w:rsidR="006B4E2F" w:rsidRPr="00167CB8">
        <w:t xml:space="preserve"> in response to this draft report and </w:t>
      </w:r>
      <w:r w:rsidR="0095034A" w:rsidRPr="00167CB8">
        <w:t>its</w:t>
      </w:r>
      <w:r w:rsidR="006B4E2F" w:rsidRPr="00167CB8">
        <w:t xml:space="preserve"> draft recommendations</w:t>
      </w:r>
      <w:r w:rsidR="00036517" w:rsidRPr="00167CB8">
        <w:t>. Written submissions should be provided as soon as possible and no later than 16 February 2025.</w:t>
      </w:r>
    </w:p>
    <w:p w14:paraId="4E2C7042" w14:textId="7F07D42B" w:rsidR="00986DAC" w:rsidRPr="00167CB8" w:rsidRDefault="00036517" w:rsidP="00936E6A">
      <w:r w:rsidRPr="00167CB8">
        <w:t xml:space="preserve">The Panel </w:t>
      </w:r>
      <w:r w:rsidR="00986DAC" w:rsidRPr="00167CB8">
        <w:t xml:space="preserve">requests that </w:t>
      </w:r>
      <w:r w:rsidR="003924AB" w:rsidRPr="00167CB8">
        <w:t>stakeholder</w:t>
      </w:r>
      <w:r w:rsidR="00D576E5" w:rsidRPr="00167CB8">
        <w:t>s</w:t>
      </w:r>
      <w:r w:rsidR="003924AB" w:rsidRPr="00167CB8">
        <w:t xml:space="preserve"> </w:t>
      </w:r>
      <w:r w:rsidR="0095034A" w:rsidRPr="00167CB8">
        <w:t>provide appropriate data or other evidence when</w:t>
      </w:r>
      <w:r w:rsidR="003924AB" w:rsidRPr="00167CB8">
        <w:t xml:space="preserve"> making </w:t>
      </w:r>
      <w:r w:rsidR="00077C9F" w:rsidRPr="00167CB8">
        <w:t>a submission in response</w:t>
      </w:r>
      <w:r w:rsidR="00986DAC" w:rsidRPr="00167CB8">
        <w:t xml:space="preserve"> to</w:t>
      </w:r>
      <w:r w:rsidR="00077C9F" w:rsidRPr="00167CB8">
        <w:t xml:space="preserve"> this draft report</w:t>
      </w:r>
      <w:r w:rsidR="00D576E5" w:rsidRPr="00167CB8">
        <w:t xml:space="preserve"> </w:t>
      </w:r>
      <w:r w:rsidR="0095034A" w:rsidRPr="00167CB8">
        <w:t>and its</w:t>
      </w:r>
      <w:r w:rsidR="00077C9F" w:rsidRPr="00167CB8">
        <w:t xml:space="preserve"> draft </w:t>
      </w:r>
      <w:r w:rsidR="00C43738" w:rsidRPr="00167CB8">
        <w:t>recommendations.</w:t>
      </w:r>
      <w:r w:rsidR="00D576E5" w:rsidRPr="00167CB8">
        <w:t xml:space="preserve"> </w:t>
      </w:r>
    </w:p>
    <w:p w14:paraId="49A171F5" w14:textId="44AA4CA7" w:rsidR="004D5D32" w:rsidRPr="00167CB8" w:rsidRDefault="007203D9" w:rsidP="00936E6A">
      <w:r w:rsidRPr="00167CB8">
        <w:t>Following consideration of additional submission</w:t>
      </w:r>
      <w:r w:rsidR="00CE7363" w:rsidRPr="00167CB8">
        <w:t>s received, th</w:t>
      </w:r>
      <w:r w:rsidRPr="00167CB8">
        <w:t>e Review Panel will deliver its f</w:t>
      </w:r>
      <w:r w:rsidR="004D5D32" w:rsidRPr="00167CB8">
        <w:t xml:space="preserve">inal report </w:t>
      </w:r>
      <w:r w:rsidRPr="00167CB8">
        <w:t>to the Minister</w:t>
      </w:r>
      <w:r w:rsidR="004D5D32" w:rsidRPr="00167CB8">
        <w:t xml:space="preserve"> by 31 March</w:t>
      </w:r>
      <w:r w:rsidRPr="00167CB8">
        <w:t xml:space="preserve"> 2025.</w:t>
      </w:r>
    </w:p>
    <w:p w14:paraId="4BA1CDEE" w14:textId="03D04CCA" w:rsidR="004D5D32" w:rsidRPr="00167CB8" w:rsidRDefault="004D5D32">
      <w:pPr>
        <w:spacing w:after="160"/>
      </w:pPr>
      <w:r w:rsidRPr="00167CB8">
        <w:br w:type="page"/>
      </w:r>
    </w:p>
    <w:p w14:paraId="691EA364" w14:textId="4A52F752" w:rsidR="004D5D32" w:rsidRPr="00167CB8" w:rsidRDefault="004D5D32" w:rsidP="00572302">
      <w:pPr>
        <w:pStyle w:val="Heading2"/>
      </w:pPr>
      <w:bookmarkStart w:id="635" w:name="_Toc189260183"/>
      <w:bookmarkStart w:id="636" w:name="_Toc189260343"/>
      <w:bookmarkStart w:id="637" w:name="_Toc189393659"/>
      <w:r w:rsidRPr="00167CB8">
        <w:lastRenderedPageBreak/>
        <w:t>Bibliography</w:t>
      </w:r>
      <w:bookmarkEnd w:id="635"/>
      <w:bookmarkEnd w:id="636"/>
      <w:bookmarkEnd w:id="637"/>
    </w:p>
    <w:p w14:paraId="3D885439" w14:textId="77777777" w:rsidR="00F976DB" w:rsidRPr="00167CB8" w:rsidRDefault="00F976DB" w:rsidP="00D00ABC">
      <w:pPr>
        <w:spacing w:after="0"/>
      </w:pPr>
      <w:r w:rsidRPr="00167CB8">
        <w:rPr>
          <w:rFonts w:eastAsia="Aptos" w:cs="Aptos"/>
        </w:rPr>
        <w:t xml:space="preserve"> </w:t>
      </w:r>
    </w:p>
    <w:p w14:paraId="3E5D5098" w14:textId="77777777" w:rsidR="00F976DB" w:rsidRPr="00167CB8" w:rsidRDefault="00F976DB" w:rsidP="000A43D6">
      <w:r w:rsidRPr="00167CB8">
        <w:t>Andersen, S. (2024) ‘</w:t>
      </w:r>
      <w:r>
        <w:t xml:space="preserve">Multi-employer bargaining in Denmark: Interwoven processes of coordination’, </w:t>
      </w:r>
      <w:r w:rsidRPr="000457AF">
        <w:rPr>
          <w:u w:val="single"/>
        </w:rPr>
        <w:t>International labour Review</w:t>
      </w:r>
      <w:r>
        <w:t>, 163(4): 693-710.</w:t>
      </w:r>
    </w:p>
    <w:p w14:paraId="025374AB" w14:textId="77777777" w:rsidR="00541CDE" w:rsidRPr="00167CB8" w:rsidRDefault="00F976DB" w:rsidP="00541CDE">
      <w:r w:rsidRPr="00167CB8">
        <w:rPr>
          <w:rFonts w:eastAsia="Aptos" w:cs="Aptos"/>
        </w:rPr>
        <w:t>Ayres, I. &amp; Braithwaite, J. (1992) responsive Regulation: Transcending the Deregulation Debate, Oxford University Press, Oxford.</w:t>
      </w:r>
    </w:p>
    <w:p w14:paraId="417FB33E" w14:textId="00814926" w:rsidR="00AB2EEB" w:rsidRDefault="00AB2EEB" w:rsidP="00F976DB">
      <w:r w:rsidRPr="00AB2EEB">
        <w:t xml:space="preserve">Australian Government (2025) ‘Work Choices: Employee collective agreements’: </w:t>
      </w:r>
      <w:hyperlink r:id="rId51" w:history="1">
        <w:r w:rsidRPr="000A642A">
          <w:rPr>
            <w:rStyle w:val="Hyperlink"/>
          </w:rPr>
          <w:t>https://www.aph.gov.au/~/media/Estimates/Live/eet_ctte/estimates/bud_0607/dewr/w098-07att8.ashx</w:t>
        </w:r>
      </w:hyperlink>
    </w:p>
    <w:p w14:paraId="0EA331FE" w14:textId="38F2464C" w:rsidR="00F976DB" w:rsidRPr="00167CB8" w:rsidRDefault="00F976DB" w:rsidP="00F976DB">
      <w:r w:rsidRPr="00167CB8">
        <w:t xml:space="preserve">BCA (2019) The state of enterprise bargaining in Australia, Business Council of Australia: </w:t>
      </w:r>
      <w:hyperlink r:id="rId52" w:history="1">
        <w:r w:rsidRPr="00167CB8">
          <w:rPr>
            <w:rStyle w:val="Hyperlink"/>
          </w:rPr>
          <w:t>https://www.bca.com.au/the_state_of_enterprise_bargaining_in_australia</w:t>
        </w:r>
      </w:hyperlink>
    </w:p>
    <w:p w14:paraId="5E4EEDEC" w14:textId="77777777" w:rsidR="00F976DB" w:rsidRPr="00167CB8" w:rsidRDefault="00F976DB" w:rsidP="000A43D6">
      <w:r w:rsidRPr="00167CB8">
        <w:t xml:space="preserve">Bray M., Waring, R. Cooper &amp; J. Macneil (2018) </w:t>
      </w:r>
      <w:r w:rsidRPr="00167CB8">
        <w:rPr>
          <w:u w:val="single"/>
        </w:rPr>
        <w:t>Employment Relations: Theory and Practice</w:t>
      </w:r>
      <w:r w:rsidRPr="00167CB8">
        <w:t>, McGraw-Hill, Sydney, 4th Edition.</w:t>
      </w:r>
    </w:p>
    <w:p w14:paraId="150A57EB" w14:textId="77777777" w:rsidR="00F976DB" w:rsidRPr="00167CB8" w:rsidRDefault="00F976DB" w:rsidP="000A43D6">
      <w:r w:rsidRPr="00167CB8">
        <w:t xml:space="preserve">Bray, M, McCrystal, S &amp; Spiess, L (2020) ‘Why doesn’t anyone talk about non-union collective agreements?’ </w:t>
      </w:r>
      <w:r w:rsidRPr="00167CB8">
        <w:rPr>
          <w:u w:val="single"/>
        </w:rPr>
        <w:t>Journal of Industrial Relations</w:t>
      </w:r>
      <w:r w:rsidRPr="00167CB8">
        <w:t>, 62(5) pp. 784-807</w:t>
      </w:r>
    </w:p>
    <w:p w14:paraId="48DB9C66" w14:textId="77777777" w:rsidR="00F976DB" w:rsidRPr="00167CB8" w:rsidRDefault="00F976DB" w:rsidP="000A43D6">
      <w:r w:rsidRPr="00167CB8">
        <w:t xml:space="preserve">Bray, M. &amp; Macneil, J. (2016) ‘Reforming Collective Bargaining’ in K. Hancock &amp; R. Lansbury (eds), </w:t>
      </w:r>
      <w:r w:rsidRPr="00167CB8">
        <w:rPr>
          <w:u w:val="single"/>
        </w:rPr>
        <w:t>Industrial Relations Reform: Looking to the Future</w:t>
      </w:r>
      <w:r w:rsidRPr="00167CB8">
        <w:t>, Federation Press, Sydney: 105-131.</w:t>
      </w:r>
    </w:p>
    <w:p w14:paraId="2C0BE094" w14:textId="77777777" w:rsidR="00F976DB" w:rsidRPr="00167CB8" w:rsidRDefault="00F976DB" w:rsidP="000A43D6">
      <w:pPr>
        <w:rPr>
          <w:rFonts w:ascii="Calibri" w:hAnsi="Calibri" w:cs="Calibri"/>
        </w:rPr>
      </w:pPr>
      <w:r w:rsidRPr="00167CB8">
        <w:rPr>
          <w:rFonts w:ascii="Calibri" w:hAnsi="Calibri" w:cs="Calibri"/>
        </w:rPr>
        <w:t xml:space="preserve">Bray, M. &amp; Macneil, J. (2023) ‘Still Central: Change and continuity in Australia’s major industrial tribunal’, </w:t>
      </w:r>
      <w:r w:rsidRPr="00167CB8">
        <w:rPr>
          <w:rFonts w:ascii="Calibri" w:hAnsi="Calibri" w:cs="Calibri"/>
          <w:u w:val="single"/>
        </w:rPr>
        <w:t>Industrial Relations Journal</w:t>
      </w:r>
      <w:r w:rsidRPr="00167CB8">
        <w:rPr>
          <w:rFonts w:ascii="Calibri" w:hAnsi="Calibri" w:cs="Calibri"/>
        </w:rPr>
        <w:t>, 54 (4-5): 359-376.</w:t>
      </w:r>
    </w:p>
    <w:p w14:paraId="5EB35A57" w14:textId="77777777" w:rsidR="00F976DB" w:rsidRPr="00167CB8" w:rsidRDefault="00F976DB" w:rsidP="000A43D6">
      <w:r w:rsidRPr="00167CB8">
        <w:t xml:space="preserve">Bray, M. &amp; Stewart, A. (2013) ‘What is Distinctive About the Fair Work Regime?’, </w:t>
      </w:r>
      <w:r w:rsidRPr="00167CB8">
        <w:rPr>
          <w:u w:val="single"/>
        </w:rPr>
        <w:t>Australian Journal of Labour Law</w:t>
      </w:r>
      <w:r w:rsidRPr="00167CB8">
        <w:t>, 26 (1), pp. 20-49.</w:t>
      </w:r>
    </w:p>
    <w:p w14:paraId="219DADE0" w14:textId="77777777" w:rsidR="00F976DB" w:rsidRPr="00167CB8" w:rsidRDefault="00F976DB" w:rsidP="000A43D6">
      <w:r w:rsidRPr="00167CB8">
        <w:t xml:space="preserve">Chaudhuri, U &amp; Sarina T (2018) ‘Employer Controlled Agreement-Making: Thwarting Collective Bargaining Under the Fair Work Act’ in S McCrystal, B Creighton &amp; A Forsyth (eds.) </w:t>
      </w:r>
      <w:r w:rsidRPr="00167CB8">
        <w:rPr>
          <w:u w:val="single"/>
        </w:rPr>
        <w:t>Collective Bargaining Under the Fair Work Act</w:t>
      </w:r>
      <w:r w:rsidRPr="00167CB8">
        <w:t>, Federation Press, Sydney, pp. 138-161</w:t>
      </w:r>
    </w:p>
    <w:p w14:paraId="39241DED" w14:textId="77777777" w:rsidR="00F976DB" w:rsidRPr="00167CB8" w:rsidRDefault="00F976DB" w:rsidP="000A43D6">
      <w:r w:rsidRPr="00167CB8">
        <w:t xml:space="preserve">Cooper, R. &amp; Ellem, B. (2008) ‘The Neoliberal State, Trade Unions and Collective Bargaining in Australia’, </w:t>
      </w:r>
      <w:r w:rsidRPr="00167CB8">
        <w:rPr>
          <w:u w:val="single"/>
        </w:rPr>
        <w:t>British Journal of Industrial Relations</w:t>
      </w:r>
      <w:r w:rsidRPr="00167CB8">
        <w:t>, 46 (?): 284-</w:t>
      </w:r>
    </w:p>
    <w:p w14:paraId="399CE5BD" w14:textId="77777777" w:rsidR="00F976DB" w:rsidRPr="00167CB8" w:rsidRDefault="00F976DB" w:rsidP="000A43D6">
      <w:r w:rsidRPr="00167CB8">
        <w:t xml:space="preserve">Cooper, R. &amp; Ellem, B. (2011) ‘‘Less than zero’: union recognition and bargaining rights in Australia 1996–2007’, </w:t>
      </w:r>
      <w:r w:rsidRPr="00167CB8">
        <w:rPr>
          <w:u w:val="single"/>
        </w:rPr>
        <w:t>Labour History</w:t>
      </w:r>
      <w:r w:rsidRPr="00167CB8">
        <w:t xml:space="preserve">, 52 (1): 49-69. </w:t>
      </w:r>
    </w:p>
    <w:p w14:paraId="532658ED" w14:textId="77777777" w:rsidR="00F976DB" w:rsidRPr="00167CB8" w:rsidRDefault="00F976DB" w:rsidP="000A43D6">
      <w:r w:rsidRPr="00167CB8">
        <w:t xml:space="preserve">Creighton, B., Denvir, C., Johnstone, R., McCrystal, S. &amp; Orchiston, A. (2020) </w:t>
      </w:r>
      <w:r w:rsidRPr="00167CB8">
        <w:rPr>
          <w:u w:val="single"/>
        </w:rPr>
        <w:t>Strike Ballots, Democracy, and the Law</w:t>
      </w:r>
      <w:r w:rsidRPr="00167CB8">
        <w:t>, Oxford University Press, Oxford.</w:t>
      </w:r>
    </w:p>
    <w:p w14:paraId="012E7111" w14:textId="77777777" w:rsidR="00F976DB" w:rsidRPr="00167CB8" w:rsidRDefault="00F976DB" w:rsidP="000A43D6">
      <w:r w:rsidRPr="00167CB8">
        <w:t xml:space="preserve">Flanders, A. (1974) ‘The Tradition of Voluntarism’, </w:t>
      </w:r>
      <w:r w:rsidRPr="00167CB8">
        <w:rPr>
          <w:u w:val="single"/>
        </w:rPr>
        <w:t>British Journal of Industrial Relations</w:t>
      </w:r>
      <w:r w:rsidRPr="00167CB8">
        <w:t>, 12 (3): 352-370.</w:t>
      </w:r>
    </w:p>
    <w:p w14:paraId="6DB43B0A" w14:textId="77777777" w:rsidR="00F976DB" w:rsidRPr="00167CB8" w:rsidRDefault="00F976DB" w:rsidP="000A43D6">
      <w:r w:rsidRPr="00167CB8">
        <w:t xml:space="preserve">Forsyth, A &amp; McCrystal, S (2023a) ‘The potential impact of the Fair Work Amendment (Secure Jobs, Better Pay) Act 2022 on collective bargaining in Australia: Reviewing the new multiemployer bargaining provisions and other measures to promote bargaining’ </w:t>
      </w:r>
      <w:r w:rsidRPr="00167CB8">
        <w:rPr>
          <w:u w:val="single"/>
        </w:rPr>
        <w:t>Journal of Industrial Relations</w:t>
      </w:r>
      <w:r w:rsidRPr="00167CB8">
        <w:t>, 65(4) pp. 386-402.</w:t>
      </w:r>
    </w:p>
    <w:p w14:paraId="3649F2BC" w14:textId="77777777" w:rsidR="00F976DB" w:rsidRPr="00167CB8" w:rsidRDefault="00F976DB" w:rsidP="000A43D6">
      <w:r w:rsidRPr="00167CB8">
        <w:lastRenderedPageBreak/>
        <w:t xml:space="preserve">Forsyth, A &amp; McCrystal, S (2023b) ‘Reforming Australian Bargaining and Strike Laws to Maximise Worker Power’, </w:t>
      </w:r>
      <w:r w:rsidRPr="00167CB8">
        <w:rPr>
          <w:u w:val="single"/>
        </w:rPr>
        <w:t>UNSW Law Journal</w:t>
      </w:r>
      <w:r w:rsidRPr="00167CB8">
        <w:t>, 46(4) pp. 1105-1133.</w:t>
      </w:r>
    </w:p>
    <w:p w14:paraId="4DF1DE4D" w14:textId="77777777" w:rsidR="00F976DB" w:rsidRPr="00167CB8" w:rsidRDefault="00F976DB" w:rsidP="000A43D6">
      <w:r w:rsidRPr="00167CB8">
        <w:t xml:space="preserve">Forsyth, A. (2020) ‘Ten Years of the Fair Work Act: (More) Testing Times for Australia’s Unions’, </w:t>
      </w:r>
      <w:r w:rsidRPr="00167CB8">
        <w:rPr>
          <w:u w:val="single"/>
        </w:rPr>
        <w:t>Australian Journal of Labour Law</w:t>
      </w:r>
      <w:r w:rsidRPr="00167CB8">
        <w:t xml:space="preserve">, 33(1): 122-138. </w:t>
      </w:r>
    </w:p>
    <w:p w14:paraId="27BB8FD7" w14:textId="77777777" w:rsidR="00C14B1A" w:rsidRDefault="00C14B1A" w:rsidP="000A43D6">
      <w:r w:rsidRPr="00C14B1A">
        <w:t xml:space="preserve">Forsyth, A., Gostencnik, V., Ross, I. &amp; Sharard, T. (2007) </w:t>
      </w:r>
      <w:r w:rsidRPr="00AB2EEB">
        <w:rPr>
          <w:u w:val="single"/>
        </w:rPr>
        <w:t>Workplace relations in the building and construction industry</w:t>
      </w:r>
      <w:r w:rsidRPr="00C14B1A">
        <w:t xml:space="preserve">, LexisNexis Butterworths, Chatswood, N.S.W. </w:t>
      </w:r>
    </w:p>
    <w:p w14:paraId="52EA1F2A" w14:textId="4249E3F9" w:rsidR="00F976DB" w:rsidRPr="00167CB8" w:rsidRDefault="00F976DB" w:rsidP="000A43D6">
      <w:r w:rsidRPr="00167CB8">
        <w:t xml:space="preserve">Forsyth, A., Howe, J., Gahan, P. &amp; Landau, I. (2017) ‘Establishing the Right to Bargain Collectively in Australia and the UK: Are Majority Support Determinations under Australia’s Fair Work Act a More Effective Form of Union Recognition?’, </w:t>
      </w:r>
      <w:r w:rsidRPr="00167CB8">
        <w:rPr>
          <w:u w:val="single"/>
        </w:rPr>
        <w:t>Industrial Law Journal</w:t>
      </w:r>
      <w:r w:rsidRPr="00167CB8">
        <w:t>, 46 (3): 335-365.</w:t>
      </w:r>
    </w:p>
    <w:p w14:paraId="7ABA7D60" w14:textId="77777777" w:rsidR="00F976DB" w:rsidRPr="00167CB8" w:rsidRDefault="00F976DB" w:rsidP="000A43D6">
      <w:r w:rsidRPr="00167CB8">
        <w:t xml:space="preserve">FWC (2014) Productivity and innovation in enterprise agreement clauses: an overview of literature, data and case studies at the workplace level, Fair Work Commission, Melbourne: </w:t>
      </w:r>
      <w:hyperlink r:id="rId53" w:history="1">
        <w:r w:rsidRPr="00167CB8">
          <w:rPr>
            <w:rStyle w:val="Hyperlink"/>
          </w:rPr>
          <w:t>https://www.fwc.gov.au/documents/resources/pieac-report-23-dec-2014.pdf</w:t>
        </w:r>
      </w:hyperlink>
    </w:p>
    <w:p w14:paraId="5F68B406" w14:textId="77777777" w:rsidR="00F976DB" w:rsidRPr="00167CB8" w:rsidRDefault="00F976DB" w:rsidP="006000ED">
      <w:r w:rsidRPr="00167CB8">
        <w:t xml:space="preserve">Grace Kelly, K. (2019) ‘The IR system isn’t broken, so it doesn’t need to be “fixed”’, </w:t>
      </w:r>
      <w:r w:rsidRPr="00167CB8">
        <w:rPr>
          <w:u w:val="single"/>
        </w:rPr>
        <w:t>The Australian</w:t>
      </w:r>
      <w:r w:rsidRPr="00167CB8">
        <w:t>, 13-14 July: 22.</w:t>
      </w:r>
    </w:p>
    <w:p w14:paraId="4ECF369A" w14:textId="77777777" w:rsidR="00F976DB" w:rsidRPr="00167CB8" w:rsidRDefault="00F976DB" w:rsidP="00D00ABC">
      <w:pPr>
        <w:spacing w:after="0"/>
      </w:pPr>
      <w:r w:rsidRPr="00167CB8">
        <w:rPr>
          <w:rFonts w:eastAsia="Aptos" w:cs="Aptos"/>
        </w:rPr>
        <w:t>Gunningham, N. (2011) ‘Enforcement and Compliance Strategies’ in R. Baldwin, M. Cave &amp; M. Lodge (eds), The Oxford Handbook of Regulation, Oxford University Press, Oxford): 120-145.</w:t>
      </w:r>
      <w:r w:rsidRPr="00167CB8">
        <w:t xml:space="preserve"> </w:t>
      </w:r>
    </w:p>
    <w:p w14:paraId="7E6E8569" w14:textId="77777777" w:rsidR="00F976DB" w:rsidRPr="00167CB8" w:rsidRDefault="00F976DB" w:rsidP="0082484F">
      <w:r w:rsidRPr="00167CB8">
        <w:t>Hancock et al. (1985)</w:t>
      </w:r>
    </w:p>
    <w:p w14:paraId="71011AAE" w14:textId="77777777" w:rsidR="00F976DB" w:rsidRPr="00167CB8" w:rsidRDefault="00F976DB" w:rsidP="00D00ABC">
      <w:r w:rsidRPr="00167CB8">
        <w:t xml:space="preserve">Hancock, K. (2016) ‘Reforming Industrial Relations: Revisiting the 1980s and 1990s’ in K. Hancock &amp; R. Lansbury (eds), </w:t>
      </w:r>
      <w:r w:rsidRPr="00167CB8">
        <w:rPr>
          <w:u w:val="single"/>
        </w:rPr>
        <w:t>Industrial Relations Reform: Looking to the Future</w:t>
      </w:r>
      <w:r w:rsidRPr="00167CB8">
        <w:t>, Federation Press, Sydney: 16-39.</w:t>
      </w:r>
    </w:p>
    <w:p w14:paraId="52698A0F" w14:textId="77777777" w:rsidR="00F976DB" w:rsidRPr="00167CB8" w:rsidRDefault="00F976DB" w:rsidP="0082484F">
      <w:r w:rsidRPr="00167CB8">
        <w:t xml:space="preserve">Hancock, K. (2016) ‘Reforming Industrial Relations: Revisiting the 1980s and 1990s’ in K. Hancock &amp; R. Lansbury (eds), </w:t>
      </w:r>
      <w:r w:rsidRPr="00167CB8">
        <w:rPr>
          <w:u w:val="single"/>
        </w:rPr>
        <w:t>Industrial Relations Reform: Looking to the Future</w:t>
      </w:r>
      <w:r w:rsidRPr="00167CB8">
        <w:t>, Federation Press, Sydney: 16-39.</w:t>
      </w:r>
    </w:p>
    <w:p w14:paraId="35E23D3D" w14:textId="77777777" w:rsidR="00F976DB" w:rsidRPr="00167CB8" w:rsidRDefault="00F976DB" w:rsidP="00D00ABC">
      <w:r w:rsidRPr="00167CB8">
        <w:t xml:space="preserve">Hancock, K. (chair) (1985), </w:t>
      </w:r>
      <w:r w:rsidRPr="00167CB8">
        <w:rPr>
          <w:u w:val="single"/>
        </w:rPr>
        <w:t>Committee of Review into Australian Industrial Relations Law and Systems, Report</w:t>
      </w:r>
      <w:r w:rsidRPr="00167CB8">
        <w:t>, AGPS, Canberra</w:t>
      </w:r>
    </w:p>
    <w:p w14:paraId="43541431" w14:textId="77777777" w:rsidR="00F976DB" w:rsidRPr="00167CB8" w:rsidRDefault="00F976DB" w:rsidP="0082484F">
      <w:r w:rsidRPr="00167CB8">
        <w:t xml:space="preserve">Isaac, J, (2018) ‘Why are Australian Wages Lagging and What Can Be done About It?’, </w:t>
      </w:r>
      <w:r w:rsidRPr="00167CB8">
        <w:rPr>
          <w:u w:val="single"/>
        </w:rPr>
        <w:t>Australian Economic Review</w:t>
      </w:r>
      <w:r w:rsidRPr="00167CB8">
        <w:t>, 51 (2): 175-90.</w:t>
      </w:r>
    </w:p>
    <w:p w14:paraId="0B977D23" w14:textId="77777777" w:rsidR="00F976DB" w:rsidRPr="00167CB8" w:rsidRDefault="00F976DB" w:rsidP="0082484F">
      <w:r w:rsidRPr="00167CB8">
        <w:t xml:space="preserve">Isaac, J. (1989) ‘The Arbitration Commission: Prime Mover or Facilitator’, </w:t>
      </w:r>
      <w:r w:rsidRPr="00167CB8">
        <w:rPr>
          <w:u w:val="single"/>
        </w:rPr>
        <w:t>Journal of Industrial Relations</w:t>
      </w:r>
      <w:r w:rsidRPr="00167CB8">
        <w:t xml:space="preserve"> 31 (3): pages?</w:t>
      </w:r>
    </w:p>
    <w:p w14:paraId="4DA85951" w14:textId="77777777" w:rsidR="00F976DB" w:rsidRPr="00167CB8" w:rsidRDefault="00F976DB" w:rsidP="0082484F">
      <w:r w:rsidRPr="00167CB8">
        <w:t xml:space="preserve">Kent, A. (2021) ‘New Zealand's fair pay agreements: a new direction in sectoral and occupational bargaining’, </w:t>
      </w:r>
      <w:r w:rsidRPr="00167CB8">
        <w:rPr>
          <w:u w:val="single"/>
        </w:rPr>
        <w:t>Labour &amp; Industry</w:t>
      </w:r>
      <w:r w:rsidRPr="00167CB8">
        <w:t>, 31 (3): p235-254.</w:t>
      </w:r>
    </w:p>
    <w:p w14:paraId="4E775BB5" w14:textId="77777777" w:rsidR="00F976DB" w:rsidRPr="00167CB8" w:rsidRDefault="00F976DB" w:rsidP="0082484F">
      <w:r w:rsidRPr="00167CB8">
        <w:t xml:space="preserve">Macdonald, F., Charlesworth, S. &amp; Brigden, C. (2018) ‘Access to Collective Bargaining for Low-Paid Workers’ in McCrystal et al. (eds), </w:t>
      </w:r>
      <w:r w:rsidRPr="00167CB8">
        <w:rPr>
          <w:u w:val="single"/>
        </w:rPr>
        <w:t>Collective Bargaining under the Fair Work Act</w:t>
      </w:r>
      <w:r w:rsidRPr="00167CB8">
        <w:t>, Federation Press, Sydney: 206-227.</w:t>
      </w:r>
    </w:p>
    <w:p w14:paraId="5405FC14" w14:textId="77777777" w:rsidR="00F976DB" w:rsidRPr="00167CB8" w:rsidRDefault="00F976DB" w:rsidP="0082484F">
      <w:r w:rsidRPr="00167CB8">
        <w:t xml:space="preserve">McCrystal, S &amp; Bray, M (2021) ‘Non-Union Agreement-Making in Australia in Comparative and Historical Context’ </w:t>
      </w:r>
      <w:r w:rsidRPr="00167CB8">
        <w:rPr>
          <w:u w:val="single"/>
        </w:rPr>
        <w:t>Comparative Labor Law and Policy Journal</w:t>
      </w:r>
      <w:r w:rsidRPr="00167CB8">
        <w:t>, 41(3) pp. 753-788.</w:t>
      </w:r>
    </w:p>
    <w:p w14:paraId="04A4767E" w14:textId="77777777" w:rsidR="00F976DB" w:rsidRPr="00167CB8" w:rsidRDefault="00F976DB" w:rsidP="0082484F">
      <w:r w:rsidRPr="00167CB8">
        <w:t xml:space="preserve">McCrystal, S. (2019) ‘Why is it so hard to take lawful strike action in Australia?’, </w:t>
      </w:r>
      <w:r w:rsidRPr="00167CB8">
        <w:rPr>
          <w:u w:val="single"/>
        </w:rPr>
        <w:t>Journal of Industrial Relations</w:t>
      </w:r>
      <w:r w:rsidRPr="00167CB8">
        <w:t>, 61 (1): 129-144.</w:t>
      </w:r>
    </w:p>
    <w:p w14:paraId="3462707A" w14:textId="77777777" w:rsidR="00F976DB" w:rsidRPr="00167CB8" w:rsidRDefault="00F976DB" w:rsidP="0082484F">
      <w:r w:rsidRPr="00167CB8">
        <w:lastRenderedPageBreak/>
        <w:t xml:space="preserve">Naughton, R. (1995) ‘Bargaining in Good Faith’ in P Ronfeldt and R McCallum (eds) </w:t>
      </w:r>
      <w:r w:rsidRPr="00167CB8">
        <w:rPr>
          <w:u w:val="single"/>
        </w:rPr>
        <w:t>Enterprise Bargaining, Trade Unions and the Law</w:t>
      </w:r>
      <w:r w:rsidRPr="00167CB8">
        <w:t>, The Federation Press, Sydney: .</w:t>
      </w:r>
    </w:p>
    <w:p w14:paraId="3F81D4B5" w14:textId="77777777" w:rsidR="00F976DB" w:rsidRPr="00167CB8" w:rsidRDefault="00F976DB" w:rsidP="0082484F">
      <w:r w:rsidRPr="00167CB8">
        <w:t xml:space="preserve">Pekarek, A., Landau, I., Gahan, P., Forsyth, A., &amp; Howe, J. (2017). Old game, new rules? The dynamics of enterprise bargaining under the Fair Work Act. </w:t>
      </w:r>
      <w:r w:rsidRPr="00167CB8">
        <w:rPr>
          <w:u w:val="single"/>
        </w:rPr>
        <w:t>Journal of Industrial Relations</w:t>
      </w:r>
      <w:r w:rsidRPr="00167CB8">
        <w:t>, 59(1), 44-64.</w:t>
      </w:r>
    </w:p>
    <w:p w14:paraId="72C9FC2B" w14:textId="77777777" w:rsidR="00F976DB" w:rsidRPr="00167CB8" w:rsidRDefault="00F976DB" w:rsidP="0082484F">
      <w:r w:rsidRPr="00167CB8">
        <w:t xml:space="preserve">Pennington, A. (2018) ‘On the Brink: The Erosion of Enterprise Agreement Coverage in Australia’s Private Sector’, Centre for Future Work at the Australia Institute, December:  </w:t>
      </w:r>
      <w:hyperlink r:id="rId54" w:history="1">
        <w:r w:rsidRPr="00167CB8">
          <w:rPr>
            <w:rStyle w:val="Hyperlink"/>
          </w:rPr>
          <w:t>https://australiainstitute.org.au/wp-content/uploads/2020/12/Collective-Bargaining-On-the-Brink-WEB.pdf</w:t>
        </w:r>
      </w:hyperlink>
    </w:p>
    <w:p w14:paraId="49DBE459" w14:textId="77777777" w:rsidR="00F976DB" w:rsidRPr="00167CB8" w:rsidRDefault="00F976DB" w:rsidP="0082484F">
      <w:r w:rsidRPr="00167CB8">
        <w:t xml:space="preserve">Pohler, D. (2018) ‘Collective Bargaining’ in A. Wilkinson et al. (eds), </w:t>
      </w:r>
      <w:r w:rsidRPr="00167CB8">
        <w:rPr>
          <w:u w:val="single"/>
        </w:rPr>
        <w:t>The Routledge Companion to Employment Relations</w:t>
      </w:r>
      <w:r w:rsidRPr="00167CB8">
        <w:t>, Routledge, Oxford: 235-250.</w:t>
      </w:r>
    </w:p>
    <w:p w14:paraId="13D4055F" w14:textId="77777777" w:rsidR="00F976DB" w:rsidRPr="00167CB8" w:rsidRDefault="00F976DB" w:rsidP="0082484F">
      <w:r w:rsidRPr="00167CB8">
        <w:t>Rasmussen, E., Bray, M. &amp; Stewart, A. (2019) ‘What is distinctive about New Zealand’s Employment Relations Act 2000?’, Labour &amp; Industry, 29 (1): 52–73.</w:t>
      </w:r>
    </w:p>
    <w:p w14:paraId="47DEDB96" w14:textId="77777777" w:rsidR="00F976DB" w:rsidRPr="00167CB8" w:rsidRDefault="00F976DB" w:rsidP="0082484F">
      <w:r w:rsidRPr="00167CB8">
        <w:t xml:space="preserve">Read, R. (2018) ‘The Role of Trade Unions and Individual Bargaining Representatives: Who Pays for the Work of Bargaining?’ in S. McCrystal et al. (eds), </w:t>
      </w:r>
      <w:r w:rsidRPr="00167CB8">
        <w:rPr>
          <w:u w:val="single"/>
        </w:rPr>
        <w:t>Collective Bargaining under the Fair Work Act</w:t>
      </w:r>
      <w:r w:rsidRPr="00167CB8">
        <w:t>, Federation Press, Sydney: 69-92.</w:t>
      </w:r>
    </w:p>
    <w:p w14:paraId="4B9AEDAC" w14:textId="77777777" w:rsidR="00F976DB" w:rsidRPr="00167CB8" w:rsidRDefault="00F976DB" w:rsidP="0082484F">
      <w:r w:rsidRPr="00167CB8">
        <w:t>Roche, W. &amp; Gormley, T. (2020) ‘The durability of coordinated bargaining: Crisis, recovery and pay fixing in Ireland’, Economic and Industrial Democracy, 41 (2): 481-505.</w:t>
      </w:r>
    </w:p>
    <w:p w14:paraId="119CB3B5" w14:textId="77777777" w:rsidR="00F976DB" w:rsidRPr="00167CB8" w:rsidRDefault="00F976DB" w:rsidP="00D00ABC">
      <w:r w:rsidRPr="00167CB8">
        <w:t>Romeyn, J. (1986). The Role of Specialist Tribunals. </w:t>
      </w:r>
      <w:r w:rsidRPr="00167CB8">
        <w:rPr>
          <w:u w:val="single"/>
        </w:rPr>
        <w:t>Journal of Industrial Relations</w:t>
      </w:r>
      <w:r w:rsidRPr="00167CB8">
        <w:t>, </w:t>
      </w:r>
      <w:r w:rsidRPr="00167CB8">
        <w:rPr>
          <w:i/>
          <w:iCs/>
        </w:rPr>
        <w:t>28</w:t>
      </w:r>
      <w:r w:rsidRPr="00167CB8">
        <w:t>(1), 3-23</w:t>
      </w:r>
    </w:p>
    <w:p w14:paraId="43A6E086" w14:textId="77777777" w:rsidR="00F976DB" w:rsidRPr="00167CB8" w:rsidRDefault="00F976DB" w:rsidP="0082484F">
      <w:r w:rsidRPr="00167CB8">
        <w:t xml:space="preserve">Sheldon, P. &amp; Thornthwaite, L. (2022) ‘Employers’ Associations in Australia’ in L. Gooberman &amp; M. Hauptmeier (eds), </w:t>
      </w:r>
      <w:r w:rsidRPr="00167CB8">
        <w:rPr>
          <w:u w:val="single"/>
        </w:rPr>
        <w:t>Contemporary Employer’ Organisations: Adaptation and Resilience</w:t>
      </w:r>
      <w:r w:rsidRPr="00167CB8">
        <w:t>, Routledge, London, 139-158.</w:t>
      </w:r>
    </w:p>
    <w:p w14:paraId="7400503D" w14:textId="77777777" w:rsidR="00F976DB" w:rsidRPr="00167CB8" w:rsidRDefault="00F976DB" w:rsidP="0082484F">
      <w:r w:rsidRPr="00167CB8">
        <w:t xml:space="preserve">Stanford, J. (2018) ‘The Declining Labour Share in Australia: Definition, Measurement, and International Comparisons’, </w:t>
      </w:r>
      <w:r w:rsidRPr="00167CB8">
        <w:rPr>
          <w:u w:val="single"/>
        </w:rPr>
        <w:t>Journal of Australian Political Economy</w:t>
      </w:r>
      <w:r w:rsidRPr="00167CB8">
        <w:t>, No. 81, pp. 11-32.</w:t>
      </w:r>
    </w:p>
    <w:p w14:paraId="4B133303" w14:textId="77777777" w:rsidR="00F976DB" w:rsidRPr="00167CB8" w:rsidRDefault="00F976DB" w:rsidP="0082484F">
      <w:r w:rsidRPr="00167CB8">
        <w:t xml:space="preserve">Stanford, J., McDonald, F. &amp; Raynes,  (2022) ‘Collective Bargaining and Wage Growth in Australia’, Centre for Future Work: </w:t>
      </w:r>
      <w:hyperlink r:id="rId55" w:history="1">
        <w:r w:rsidRPr="00167CB8">
          <w:rPr>
            <w:rStyle w:val="Hyperlink"/>
          </w:rPr>
          <w:t>https://futurework.org.au/wp-content/uploads/sites/2/2022/11/Collective_Bargaining_and_Wage_Growth_in_Australia_FINAL.pdf</w:t>
        </w:r>
      </w:hyperlink>
    </w:p>
    <w:p w14:paraId="3A98E7DC" w14:textId="77777777" w:rsidR="00F976DB" w:rsidRPr="00167CB8" w:rsidRDefault="00F976DB" w:rsidP="0082484F">
      <w:r w:rsidRPr="00167CB8">
        <w:t xml:space="preserve">Stewart, A, McCrystal, S &amp; Forsyth, A (2023) ‘Will Pay Be Better and Jobs More Secure? Analysing the Albanese Government’s First Round of Fair Work Reforms’ </w:t>
      </w:r>
      <w:r w:rsidRPr="00167CB8">
        <w:rPr>
          <w:u w:val="single"/>
        </w:rPr>
        <w:t>Australian Journal of Labour Law</w:t>
      </w:r>
      <w:r w:rsidRPr="00167CB8">
        <w:t>, 36(2) pp. 104-144.</w:t>
      </w:r>
    </w:p>
    <w:p w14:paraId="1703C0BC" w14:textId="10DEC6AD" w:rsidR="00F976DB" w:rsidRPr="00167CB8" w:rsidRDefault="00F976DB" w:rsidP="0082484F">
      <w:r w:rsidRPr="00167CB8">
        <w:t>Stewart, A. &amp; Forsyth, A.</w:t>
      </w:r>
      <w:r w:rsidR="00910FB5">
        <w:t xml:space="preserve"> (eds)</w:t>
      </w:r>
      <w:r w:rsidRPr="00167CB8">
        <w:t xml:space="preserve"> (2009) </w:t>
      </w:r>
      <w:r w:rsidR="00841862" w:rsidRPr="00841862">
        <w:rPr>
          <w:u w:val="single"/>
        </w:rPr>
        <w:t>Fair Work: The new workplace laws and the Work Choices legacy</w:t>
      </w:r>
      <w:r w:rsidR="00841862">
        <w:t>, Federation Press, Sydney.</w:t>
      </w:r>
    </w:p>
    <w:p w14:paraId="0605AFA9" w14:textId="77777777" w:rsidR="00F976DB" w:rsidRPr="00167CB8" w:rsidRDefault="00F976DB" w:rsidP="0082484F">
      <w:r w:rsidRPr="00167CB8">
        <w:t xml:space="preserve">Stewart, A., Forsyth, A., Irving, M., Johnstone, R., &amp; McCrystal, S. (2016) </w:t>
      </w:r>
      <w:r w:rsidRPr="00167CB8">
        <w:rPr>
          <w:u w:val="single"/>
        </w:rPr>
        <w:t>Creighton &amp; Stewart's Labour Law</w:t>
      </w:r>
      <w:r w:rsidRPr="00167CB8">
        <w:t>, Federation Press, Sydney.</w:t>
      </w:r>
    </w:p>
    <w:p w14:paraId="2330A530" w14:textId="77777777" w:rsidR="00F976DB" w:rsidRPr="00167CB8" w:rsidRDefault="00F976DB" w:rsidP="0082484F">
      <w:r w:rsidRPr="00167CB8">
        <w:t xml:space="preserve">Stewart, A., Stanford, J. &amp; Harding, T. (eds) (2018) </w:t>
      </w:r>
      <w:r w:rsidRPr="00167CB8">
        <w:rPr>
          <w:u w:val="single"/>
        </w:rPr>
        <w:t>The Wages Crisis in Australia</w:t>
      </w:r>
      <w:r w:rsidRPr="00167CB8">
        <w:t xml:space="preserve">, University of Adelaide Press, Adelaide: </w:t>
      </w:r>
      <w:hyperlink r:id="rId56" w:history="1">
        <w:r w:rsidRPr="00167CB8">
          <w:rPr>
            <w:rStyle w:val="Hyperlink"/>
          </w:rPr>
          <w:t>https://www.adelaide.edu.au/press/ua/media/621/uap-wages-crisis-ebook.pdf</w:t>
        </w:r>
      </w:hyperlink>
    </w:p>
    <w:p w14:paraId="1C3DDE28" w14:textId="77777777" w:rsidR="00F976DB" w:rsidRPr="00167CB8" w:rsidRDefault="00F976DB" w:rsidP="0082484F">
      <w:r w:rsidRPr="00167CB8">
        <w:lastRenderedPageBreak/>
        <w:t xml:space="preserve">Sutherland, C. (2009) ‘Making the “BOOT” Fit: Reforms to Agreement-Making from Work Choices to Fair Work’ in A. Forsyth &amp; A. Stewart (eds), </w:t>
      </w:r>
      <w:r w:rsidRPr="00167CB8">
        <w:rPr>
          <w:u w:val="single"/>
        </w:rPr>
        <w:t>Fair Work: the New Workplace Laws and the Work Choices Legacy</w:t>
      </w:r>
      <w:r w:rsidRPr="00167CB8">
        <w:t>, Federation Press, Sydney: 99-119.</w:t>
      </w:r>
    </w:p>
    <w:p w14:paraId="0C807575" w14:textId="77777777" w:rsidR="00F976DB" w:rsidRPr="00167CB8" w:rsidRDefault="00F976DB" w:rsidP="0082484F">
      <w:r w:rsidRPr="00167CB8">
        <w:t xml:space="preserve">Walker, K. (1970) </w:t>
      </w:r>
      <w:r w:rsidRPr="00167CB8">
        <w:rPr>
          <w:u w:val="single"/>
        </w:rPr>
        <w:t>Australian Industrial Relations Systems</w:t>
      </w:r>
      <w:r w:rsidRPr="00167CB8">
        <w:t>, Oxford University Press, Melbourne.</w:t>
      </w:r>
    </w:p>
    <w:p w14:paraId="3726C393" w14:textId="77777777" w:rsidR="00F976DB" w:rsidRPr="00167CB8" w:rsidRDefault="00F976DB" w:rsidP="0082484F">
      <w:r w:rsidRPr="00167CB8">
        <w:t>Walpole, K (2015) ‘The Fair Work Act: Encouraging collective agreement-making but leaving collective bargaining to choice’ Labour and Industry, 25(3) pp. 205-218</w:t>
      </w:r>
    </w:p>
    <w:p w14:paraId="709C79D0" w14:textId="77777777" w:rsidR="00770B91" w:rsidRDefault="00770B91" w:rsidP="0082484F">
      <w:r w:rsidRPr="00770B91">
        <w:t xml:space="preserve">Waring, P., de Ruyter, A., &amp; Burgess, J. (2006) ‘The Australian Fair Pay Commission: Rationale, Operation, Antecedents and Implications’, </w:t>
      </w:r>
      <w:r w:rsidRPr="00770B91">
        <w:rPr>
          <w:u w:val="single"/>
        </w:rPr>
        <w:t>The Economic and Labour Relations Review</w:t>
      </w:r>
      <w:r w:rsidRPr="00770B91">
        <w:t>, 16(2), 127-146.</w:t>
      </w:r>
    </w:p>
    <w:p w14:paraId="6529AF79" w14:textId="6DCD1B48" w:rsidR="00F976DB" w:rsidRPr="00167CB8" w:rsidRDefault="00F976DB" w:rsidP="0082484F">
      <w:r w:rsidRPr="00167CB8">
        <w:t xml:space="preserve">Wright, C. F., &amp; McLaughlin, C. (2021) ‘Trade union legitimacy and legitimation politics in Australia and New Zealand’, </w:t>
      </w:r>
      <w:r w:rsidRPr="00167CB8">
        <w:rPr>
          <w:u w:val="single"/>
        </w:rPr>
        <w:t>Industrial Relations</w:t>
      </w:r>
      <w:r w:rsidRPr="00167CB8">
        <w:t>, 60(3), 338–369.</w:t>
      </w:r>
    </w:p>
    <w:p w14:paraId="0B3DA354" w14:textId="77777777" w:rsidR="00F976DB" w:rsidRPr="00167CB8" w:rsidRDefault="00F976DB" w:rsidP="0082484F">
      <w:r w:rsidRPr="00167CB8">
        <w:t xml:space="preserve">Yerbury, D. &amp; Isaac, J. (1971) ‘Recent Trends in Collective Bargaining in Australia’, </w:t>
      </w:r>
      <w:r w:rsidRPr="00167CB8">
        <w:rPr>
          <w:u w:val="single"/>
        </w:rPr>
        <w:t>International Labour Review</w:t>
      </w:r>
      <w:r w:rsidRPr="00167CB8">
        <w:t>, 103 (?): 431-452.</w:t>
      </w:r>
    </w:p>
    <w:p w14:paraId="3327BD18" w14:textId="1BB06BED" w:rsidR="001E49C2" w:rsidRPr="00167CB8" w:rsidRDefault="001E49C2">
      <w:pPr>
        <w:spacing w:after="160"/>
      </w:pPr>
      <w:r w:rsidRPr="00167CB8">
        <w:br w:type="page"/>
      </w:r>
    </w:p>
    <w:p w14:paraId="0998DD69" w14:textId="55A0E7D7" w:rsidR="007A6A1A" w:rsidRPr="00167CB8" w:rsidRDefault="007A6A1A" w:rsidP="00650687">
      <w:pPr>
        <w:pStyle w:val="Heading2"/>
      </w:pPr>
      <w:bookmarkStart w:id="638" w:name="_Toc188278056"/>
      <w:bookmarkStart w:id="639" w:name="_Toc189260184"/>
      <w:bookmarkStart w:id="640" w:name="_Toc189393660"/>
      <w:r w:rsidRPr="00167CB8">
        <w:lastRenderedPageBreak/>
        <w:t xml:space="preserve">Appendix 1 – </w:t>
      </w:r>
      <w:bookmarkEnd w:id="638"/>
      <w:bookmarkEnd w:id="639"/>
      <w:r w:rsidR="00840C8F">
        <w:t>Labour market and wages</w:t>
      </w:r>
      <w:bookmarkEnd w:id="640"/>
    </w:p>
    <w:p w14:paraId="4872BCE4" w14:textId="2FBDF855" w:rsidR="007A6A1A" w:rsidRPr="00167CB8" w:rsidRDefault="00650687" w:rsidP="00650687">
      <w:pPr>
        <w:pStyle w:val="Heading3"/>
      </w:pPr>
      <w:bookmarkStart w:id="641" w:name="_Toc189393661"/>
      <w:r>
        <w:t xml:space="preserve">1. </w:t>
      </w:r>
      <w:r w:rsidR="007A6A1A" w:rsidRPr="00167CB8">
        <w:t>Introduction</w:t>
      </w:r>
      <w:bookmarkEnd w:id="641"/>
    </w:p>
    <w:p w14:paraId="74C5560F" w14:textId="76D38370" w:rsidR="007A6A1A" w:rsidRPr="00167CB8" w:rsidRDefault="007A6A1A" w:rsidP="007A6A1A">
      <w:pPr>
        <w:spacing w:after="160"/>
      </w:pPr>
      <w:r w:rsidRPr="00167CB8">
        <w:t xml:space="preserve">This statistical appendix draws on data from numerous sources, including the Australian Bureau of Statistics (ABS) and the Household, Income and Labour Dynamics in Australia (HILDA) </w:t>
      </w:r>
      <w:r w:rsidR="00D2311C" w:rsidRPr="00167CB8">
        <w:t>s</w:t>
      </w:r>
      <w:r w:rsidRPr="00167CB8">
        <w:t>urvey</w:t>
      </w:r>
      <w:r w:rsidR="00D2311C" w:rsidRPr="00167CB8">
        <w:t>,</w:t>
      </w:r>
      <w:r w:rsidRPr="00167CB8">
        <w:rPr>
          <w:vertAlign w:val="superscript"/>
        </w:rPr>
        <w:footnoteReference w:id="1086"/>
      </w:r>
      <w:r w:rsidRPr="00167CB8">
        <w:t xml:space="preserve"> to describe recent labour market developments and trends in wages in Australia. It presents information that the Review Panel has drawn on when evaluating the impact and effects of the Secure Jobs, Better Pay Act. Information drawn from the Department of Employment and Workplace Relations (DEWR) Workplace Agreements Database is contained in </w:t>
      </w:r>
      <w:r w:rsidR="00D2311C" w:rsidRPr="00167CB8">
        <w:t>A</w:t>
      </w:r>
      <w:r w:rsidRPr="00167CB8">
        <w:t xml:space="preserve">ppendix </w:t>
      </w:r>
      <w:r w:rsidR="00D2311C" w:rsidRPr="00167CB8">
        <w:t>2</w:t>
      </w:r>
      <w:r w:rsidRPr="00167CB8">
        <w:t>.</w:t>
      </w:r>
    </w:p>
    <w:p w14:paraId="5183787B" w14:textId="29436710" w:rsidR="007A6A1A" w:rsidRPr="00167CB8" w:rsidRDefault="007A6A1A" w:rsidP="007A6A1A">
      <w:pPr>
        <w:spacing w:after="160"/>
      </w:pPr>
      <w:r w:rsidRPr="00167CB8">
        <w:t xml:space="preserve">The charts and tables in this appendix are organised across </w:t>
      </w:r>
      <w:r w:rsidR="00D2311C" w:rsidRPr="00167CB8">
        <w:t xml:space="preserve">2 </w:t>
      </w:r>
      <w:r w:rsidRPr="00167CB8">
        <w:t>sections. The first concerns developments in the labour market. It presents information on employment growth and the characteristics of employment. The second section focuses on wages growth.</w:t>
      </w:r>
    </w:p>
    <w:p w14:paraId="3BB1EA6A" w14:textId="26DA9F3C" w:rsidR="007A6A1A" w:rsidRPr="00167CB8" w:rsidRDefault="00650687" w:rsidP="00650687">
      <w:pPr>
        <w:pStyle w:val="Heading3"/>
      </w:pPr>
      <w:bookmarkStart w:id="642" w:name="_Toc186991758"/>
      <w:bookmarkStart w:id="643" w:name="_Toc189393662"/>
      <w:r>
        <w:t xml:space="preserve">2. </w:t>
      </w:r>
      <w:r w:rsidR="007A6A1A" w:rsidRPr="00167CB8">
        <w:t>Developments in the labour market</w:t>
      </w:r>
      <w:bookmarkEnd w:id="642"/>
      <w:bookmarkEnd w:id="643"/>
    </w:p>
    <w:p w14:paraId="337AB548" w14:textId="0EC736BF" w:rsidR="007A6A1A" w:rsidRPr="00167CB8" w:rsidRDefault="007A6A1A" w:rsidP="007A6A1A">
      <w:pPr>
        <w:spacing w:after="160"/>
      </w:pPr>
      <w:r w:rsidRPr="00167CB8">
        <w:t xml:space="preserve">This section presents information on patterns and characteristics of employment. There are </w:t>
      </w:r>
      <w:r w:rsidR="00D2311C" w:rsidRPr="00167CB8">
        <w:t xml:space="preserve">6 </w:t>
      </w:r>
      <w:r w:rsidRPr="00167CB8">
        <w:t>subsections in total, covering employment growth, casual employment, flexible working arrangements, fixed</w:t>
      </w:r>
      <w:r w:rsidR="00D2311C" w:rsidRPr="00167CB8">
        <w:t>-</w:t>
      </w:r>
      <w:r w:rsidRPr="00167CB8">
        <w:t>term contract arrangements, trade union membership and an analysis of employment characteristics based on HILDA.</w:t>
      </w:r>
    </w:p>
    <w:p w14:paraId="05895DA8" w14:textId="77777777" w:rsidR="007A6A1A" w:rsidRPr="00167CB8" w:rsidRDefault="007A6A1A" w:rsidP="00650687">
      <w:pPr>
        <w:pStyle w:val="Heading4"/>
      </w:pPr>
      <w:bookmarkStart w:id="644" w:name="_Toc186991759"/>
      <w:bookmarkStart w:id="645" w:name="_Toc189393663"/>
      <w:r w:rsidRPr="00167CB8">
        <w:t>2.1 Employment growth, by industry and occupation</w:t>
      </w:r>
      <w:bookmarkEnd w:id="644"/>
      <w:bookmarkEnd w:id="645"/>
    </w:p>
    <w:p w14:paraId="01DAA8FD" w14:textId="0F9B671C" w:rsidR="007A6A1A" w:rsidRPr="00167CB8" w:rsidRDefault="007A6A1A" w:rsidP="007A6A1A">
      <w:pPr>
        <w:spacing w:after="160"/>
      </w:pPr>
      <w:r w:rsidRPr="00167CB8">
        <w:t>This section reviews trends in employment, including t</w:t>
      </w:r>
      <w:r w:rsidR="00A554F1" w:rsidRPr="00167CB8">
        <w:t>r</w:t>
      </w:r>
      <w:r w:rsidRPr="00167CB8">
        <w:t xml:space="preserve">ends at the 1-digit industry and occupation levels. Consideration is given to longer-term changes (e.g. those spanning 2012 to 2022) and changes since 2022 (i.e. since the passage of the </w:t>
      </w:r>
      <w:r w:rsidR="00D2311C" w:rsidRPr="00167CB8">
        <w:t xml:space="preserve">Secure Jobs, Better Pay </w:t>
      </w:r>
      <w:r w:rsidRPr="00167CB8">
        <w:t xml:space="preserve">Act in December 2022).  </w:t>
      </w:r>
    </w:p>
    <w:p w14:paraId="3C9192CE" w14:textId="1CAE6345" w:rsidR="007A6A1A" w:rsidRPr="00167CB8" w:rsidRDefault="007A6A1A" w:rsidP="007A6A1A">
      <w:pPr>
        <w:spacing w:after="160"/>
      </w:pPr>
      <w:r w:rsidRPr="00167CB8">
        <w:t xml:space="preserve">Table </w:t>
      </w:r>
      <w:r w:rsidR="00002FE1" w:rsidRPr="00167CB8">
        <w:t>23</w:t>
      </w:r>
      <w:r w:rsidR="009C4379">
        <w:t xml:space="preserve"> </w:t>
      </w:r>
      <w:r w:rsidRPr="00167CB8">
        <w:t xml:space="preserve">draws on data from </w:t>
      </w:r>
      <w:r w:rsidR="00970D37" w:rsidRPr="00167CB8">
        <w:t>the</w:t>
      </w:r>
      <w:r w:rsidRPr="00167CB8">
        <w:t xml:space="preserve"> ABS monthly Labour Force Survey.</w:t>
      </w:r>
      <w:r w:rsidRPr="00167CB8">
        <w:rPr>
          <w:vertAlign w:val="superscript"/>
        </w:rPr>
        <w:footnoteReference w:id="1087"/>
      </w:r>
      <w:r w:rsidRPr="00167CB8">
        <w:t xml:space="preserve"> At the time of writing</w:t>
      </w:r>
      <w:r w:rsidR="00970D37" w:rsidRPr="00167CB8">
        <w:t>,</w:t>
      </w:r>
      <w:r w:rsidRPr="00167CB8">
        <w:t xml:space="preserve"> the reference period (most recently available data) was November 2024. To facilitate comparisons the selected timeframe for analysis of these data are the 10 years to November 2022 and the </w:t>
      </w:r>
      <w:r w:rsidR="00D2311C" w:rsidRPr="00167CB8">
        <w:t xml:space="preserve">2 </w:t>
      </w:r>
      <w:r w:rsidRPr="00167CB8">
        <w:t xml:space="preserve">years from November 2022 (just before the SJBP reforms) to November 2024.  </w:t>
      </w:r>
    </w:p>
    <w:p w14:paraId="37B9B8B6" w14:textId="25C36659" w:rsidR="007A6A1A" w:rsidRPr="00167CB8" w:rsidRDefault="005C2AC7" w:rsidP="007A6A1A">
      <w:pPr>
        <w:spacing w:after="160"/>
      </w:pPr>
      <w:r w:rsidRPr="00167CB8">
        <w:t>This</w:t>
      </w:r>
      <w:r w:rsidR="00970D37" w:rsidRPr="00167CB8">
        <w:t xml:space="preserve"> analysis</w:t>
      </w:r>
      <w:r w:rsidR="007A6A1A" w:rsidRPr="00167CB8">
        <w:t xml:space="preserve"> illustrates a significant increase in employment since 2012. By November 2024 there were 14.5</w:t>
      </w:r>
      <w:r w:rsidR="00D2311C" w:rsidRPr="00167CB8">
        <w:t> </w:t>
      </w:r>
      <w:r w:rsidR="007A6A1A" w:rsidRPr="00167CB8">
        <w:t xml:space="preserve">million people employed in the Australian labour market. Employment growth increased by 24.3% in the </w:t>
      </w:r>
      <w:r w:rsidR="00D2311C" w:rsidRPr="00167CB8">
        <w:t xml:space="preserve">10 </w:t>
      </w:r>
      <w:r w:rsidR="007A6A1A" w:rsidRPr="00167CB8">
        <w:t xml:space="preserve">years to November 2022 and by a further 6.6% between November 2022 and November 2024. </w:t>
      </w:r>
    </w:p>
    <w:p w14:paraId="6AF000B8" w14:textId="4C51357A" w:rsidR="007A6A1A" w:rsidRPr="00167CB8" w:rsidRDefault="007A6A1A" w:rsidP="007A6A1A">
      <w:pPr>
        <w:spacing w:after="160"/>
      </w:pPr>
      <w:r w:rsidRPr="00167CB8">
        <w:t xml:space="preserve">Male employment growth was particularly strong in the part-time labour market (fewer than 35 hours per week), increasing by 35.9% in the 10 years to 2022 and by a further 10.4% in the </w:t>
      </w:r>
      <w:r w:rsidR="00A461FB" w:rsidRPr="00167CB8">
        <w:t xml:space="preserve">2 </w:t>
      </w:r>
      <w:r w:rsidRPr="00167CB8">
        <w:lastRenderedPageBreak/>
        <w:t>years to November 2024. There has been an increase in the unemployment rate – from 3.5% in November 2022 to 4.1% in November 2024. The male underemployment rate (as a share of total employed) has increased between 2022 and 2024. At November 2024 it was equal to 5.2%.</w:t>
      </w:r>
    </w:p>
    <w:p w14:paraId="436702FB" w14:textId="3E080A6F" w:rsidR="007A6A1A" w:rsidRPr="00167CB8" w:rsidRDefault="007A6A1A" w:rsidP="007A6A1A">
      <w:pPr>
        <w:spacing w:after="160"/>
      </w:pPr>
      <w:r w:rsidRPr="00167CB8">
        <w:t>Among women</w:t>
      </w:r>
      <w:r w:rsidR="00A461FB" w:rsidRPr="00167CB8">
        <w:t>,</w:t>
      </w:r>
      <w:r w:rsidRPr="00167CB8">
        <w:t xml:space="preserve"> employment growth was more marked in the full-time labour market, rising by 32% in the 10 years to November 2022 and by a further 6.1% in the </w:t>
      </w:r>
      <w:r w:rsidR="00A461FB" w:rsidRPr="00167CB8">
        <w:t xml:space="preserve">2 </w:t>
      </w:r>
      <w:r w:rsidRPr="00167CB8">
        <w:t>years to November 2024. By November 2024</w:t>
      </w:r>
      <w:r w:rsidR="00A461FB" w:rsidRPr="00167CB8">
        <w:t>,</w:t>
      </w:r>
      <w:r w:rsidRPr="00167CB8">
        <w:t xml:space="preserve"> 48% of all employed persons were women. As a share of full-time employment, women accounted for 39% (up from 35% at November 2012). The share of women participating in the labour market has also increased markedly in recent years, up from 58.6% at November 2012 to 62.9% at November 2024. In line with this</w:t>
      </w:r>
      <w:r w:rsidR="00A461FB" w:rsidRPr="00167CB8">
        <w:t>,</w:t>
      </w:r>
      <w:r w:rsidRPr="00167CB8">
        <w:t xml:space="preserve"> the gender</w:t>
      </w:r>
      <w:r w:rsidR="00A461FB" w:rsidRPr="00167CB8">
        <w:t xml:space="preserve"> </w:t>
      </w:r>
      <w:r w:rsidRPr="00167CB8">
        <w:t>gap in labour force participation continues to fall, declining from 13 percentage points in November 2012 to 8.4 percentage points at November 2024. The underemployment rate (as a % of total employed) among women was stable between 2022 and 2024 at 7.6%.</w:t>
      </w:r>
    </w:p>
    <w:p w14:paraId="61EA28C7" w14:textId="77777777" w:rsidR="007A6A1A" w:rsidRPr="00167CB8" w:rsidRDefault="007A6A1A" w:rsidP="007A6A1A">
      <w:pPr>
        <w:spacing w:after="160"/>
      </w:pPr>
      <w:r w:rsidRPr="00167CB8">
        <w:t xml:space="preserve">  </w:t>
      </w:r>
    </w:p>
    <w:p w14:paraId="6F2B5313"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p>
    <w:p w14:paraId="6C1EF89C" w14:textId="356109E3" w:rsidR="007A6A1A" w:rsidRPr="00167CB8" w:rsidRDefault="007A6A1A" w:rsidP="00470AB9">
      <w:pPr>
        <w:pStyle w:val="Caption"/>
      </w:pPr>
      <w:bookmarkStart w:id="646" w:name="_Ref184403783"/>
      <w:bookmarkStart w:id="647" w:name="_Toc186991801"/>
      <w:bookmarkStart w:id="648" w:name="_Toc189310852"/>
      <w:r w:rsidRPr="00167CB8">
        <w:lastRenderedPageBreak/>
        <w:t xml:space="preserve">Table </w:t>
      </w:r>
      <w:r w:rsidR="00B4757F" w:rsidRPr="00167CB8">
        <w:t>23</w:t>
      </w:r>
      <w:bookmarkEnd w:id="646"/>
      <w:r w:rsidRPr="00167CB8">
        <w:t>: Selected indicators of labour force status: November 2012</w:t>
      </w:r>
      <w:r w:rsidR="00A461FB" w:rsidRPr="00167CB8">
        <w:t xml:space="preserve"> </w:t>
      </w:r>
      <w:r w:rsidR="00A461FB" w:rsidRPr="00167CB8">
        <w:rPr>
          <w:rFonts w:ascii="Symbol" w:eastAsia="Symbol" w:hAnsi="Symbol" w:cs="Symbol"/>
        </w:rPr>
        <w:sym w:font="Symbol" w:char="F02D"/>
      </w:r>
      <w:r w:rsidR="00A461FB" w:rsidRPr="00167CB8">
        <w:t xml:space="preserve"> </w:t>
      </w:r>
      <w:r w:rsidRPr="00167CB8">
        <w:t>November 2022; November 2022</w:t>
      </w:r>
      <w:r w:rsidR="00A461FB" w:rsidRPr="00167CB8">
        <w:t xml:space="preserve"> </w:t>
      </w:r>
      <w:r w:rsidR="00A461FB" w:rsidRPr="00167CB8">
        <w:rPr>
          <w:rFonts w:ascii="Symbol" w:eastAsia="Symbol" w:hAnsi="Symbol" w:cs="Symbol"/>
        </w:rPr>
        <w:sym w:font="Symbol" w:char="F02D"/>
      </w:r>
      <w:r w:rsidR="00A461FB" w:rsidRPr="00167CB8">
        <w:t xml:space="preserve"> </w:t>
      </w:r>
      <w:r w:rsidRPr="00167CB8">
        <w:t>November 2024, Australia</w:t>
      </w:r>
      <w:bookmarkEnd w:id="647"/>
      <w:bookmarkEnd w:id="648"/>
    </w:p>
    <w:tbl>
      <w:tblPr>
        <w:tblW w:w="13745" w:type="dxa"/>
        <w:tblLayout w:type="fixed"/>
        <w:tblLook w:val="04A0" w:firstRow="1" w:lastRow="0" w:firstColumn="1" w:lastColumn="0" w:noHBand="0" w:noVBand="1"/>
      </w:tblPr>
      <w:tblGrid>
        <w:gridCol w:w="3496"/>
        <w:gridCol w:w="1380"/>
        <w:gridCol w:w="1382"/>
        <w:gridCol w:w="1382"/>
        <w:gridCol w:w="1382"/>
        <w:gridCol w:w="1382"/>
        <w:gridCol w:w="931"/>
        <w:gridCol w:w="1134"/>
        <w:gridCol w:w="1276"/>
      </w:tblGrid>
      <w:tr w:rsidR="007A6A1A" w:rsidRPr="00167CB8" w14:paraId="36B59192" w14:textId="77777777" w:rsidTr="000449E6">
        <w:trPr>
          <w:trHeight w:val="566"/>
        </w:trPr>
        <w:tc>
          <w:tcPr>
            <w:tcW w:w="3496" w:type="dxa"/>
            <w:tcBorders>
              <w:top w:val="single" w:sz="4" w:space="0" w:color="auto"/>
              <w:left w:val="single" w:sz="4" w:space="0" w:color="auto"/>
              <w:bottom w:val="single" w:sz="4" w:space="0" w:color="auto"/>
              <w:right w:val="nil"/>
            </w:tcBorders>
            <w:noWrap/>
            <w:vAlign w:val="center"/>
            <w:hideMark/>
          </w:tcPr>
          <w:p w14:paraId="7B346A7C" w14:textId="77777777" w:rsidR="007A6A1A" w:rsidRPr="00167CB8" w:rsidRDefault="007A6A1A" w:rsidP="007A6A1A">
            <w:pPr>
              <w:spacing w:after="160"/>
            </w:pPr>
          </w:p>
        </w:tc>
        <w:tc>
          <w:tcPr>
            <w:tcW w:w="1380" w:type="dxa"/>
            <w:tcBorders>
              <w:top w:val="single" w:sz="4" w:space="0" w:color="auto"/>
              <w:left w:val="nil"/>
              <w:bottom w:val="single" w:sz="4" w:space="0" w:color="auto"/>
              <w:right w:val="nil"/>
            </w:tcBorders>
            <w:vAlign w:val="center"/>
            <w:hideMark/>
          </w:tcPr>
          <w:p w14:paraId="24E613F4" w14:textId="77777777" w:rsidR="007A6A1A" w:rsidRPr="00393B2F" w:rsidRDefault="007A6A1A" w:rsidP="007A6A1A">
            <w:pPr>
              <w:spacing w:after="160"/>
              <w:rPr>
                <w:sz w:val="20"/>
                <w:szCs w:val="20"/>
              </w:rPr>
            </w:pPr>
            <w:r w:rsidRPr="00393B2F">
              <w:rPr>
                <w:sz w:val="20"/>
                <w:szCs w:val="20"/>
              </w:rPr>
              <w:t>Employed full-time '000</w:t>
            </w:r>
          </w:p>
        </w:tc>
        <w:tc>
          <w:tcPr>
            <w:tcW w:w="1382" w:type="dxa"/>
            <w:tcBorders>
              <w:top w:val="single" w:sz="4" w:space="0" w:color="auto"/>
              <w:left w:val="nil"/>
              <w:bottom w:val="single" w:sz="4" w:space="0" w:color="auto"/>
              <w:right w:val="nil"/>
            </w:tcBorders>
            <w:vAlign w:val="center"/>
            <w:hideMark/>
          </w:tcPr>
          <w:p w14:paraId="299849B0" w14:textId="77777777" w:rsidR="007A6A1A" w:rsidRPr="00393B2F" w:rsidRDefault="007A6A1A" w:rsidP="007A6A1A">
            <w:pPr>
              <w:spacing w:after="160"/>
              <w:rPr>
                <w:sz w:val="20"/>
                <w:szCs w:val="20"/>
              </w:rPr>
            </w:pPr>
            <w:r w:rsidRPr="00393B2F">
              <w:rPr>
                <w:sz w:val="20"/>
                <w:szCs w:val="20"/>
              </w:rPr>
              <w:t>Employed part-time '000</w:t>
            </w:r>
          </w:p>
        </w:tc>
        <w:tc>
          <w:tcPr>
            <w:tcW w:w="1382" w:type="dxa"/>
            <w:tcBorders>
              <w:top w:val="single" w:sz="4" w:space="0" w:color="auto"/>
              <w:left w:val="nil"/>
              <w:bottom w:val="single" w:sz="4" w:space="0" w:color="auto"/>
              <w:right w:val="nil"/>
            </w:tcBorders>
            <w:vAlign w:val="center"/>
            <w:hideMark/>
          </w:tcPr>
          <w:p w14:paraId="524FBACE" w14:textId="77777777" w:rsidR="007A6A1A" w:rsidRPr="00393B2F" w:rsidRDefault="007A6A1A" w:rsidP="007A6A1A">
            <w:pPr>
              <w:spacing w:after="160"/>
              <w:rPr>
                <w:sz w:val="20"/>
                <w:szCs w:val="20"/>
              </w:rPr>
            </w:pPr>
            <w:r w:rsidRPr="00393B2F">
              <w:rPr>
                <w:sz w:val="20"/>
                <w:szCs w:val="20"/>
              </w:rPr>
              <w:t>Employed total '000</w:t>
            </w:r>
          </w:p>
        </w:tc>
        <w:tc>
          <w:tcPr>
            <w:tcW w:w="1382" w:type="dxa"/>
            <w:tcBorders>
              <w:top w:val="single" w:sz="4" w:space="0" w:color="auto"/>
              <w:left w:val="nil"/>
              <w:bottom w:val="single" w:sz="4" w:space="0" w:color="auto"/>
              <w:right w:val="nil"/>
            </w:tcBorders>
            <w:vAlign w:val="center"/>
            <w:hideMark/>
          </w:tcPr>
          <w:p w14:paraId="57BE50D1" w14:textId="77777777" w:rsidR="007A6A1A" w:rsidRPr="00393B2F" w:rsidRDefault="007A6A1A" w:rsidP="007A6A1A">
            <w:pPr>
              <w:spacing w:after="160"/>
              <w:rPr>
                <w:sz w:val="20"/>
                <w:szCs w:val="20"/>
              </w:rPr>
            </w:pPr>
            <w:r w:rsidRPr="00393B2F">
              <w:rPr>
                <w:sz w:val="20"/>
                <w:szCs w:val="20"/>
              </w:rPr>
              <w:t>E/P ratio (%)</w:t>
            </w:r>
          </w:p>
        </w:tc>
        <w:tc>
          <w:tcPr>
            <w:tcW w:w="1382" w:type="dxa"/>
            <w:tcBorders>
              <w:top w:val="single" w:sz="4" w:space="0" w:color="auto"/>
              <w:left w:val="nil"/>
              <w:bottom w:val="single" w:sz="4" w:space="0" w:color="auto"/>
              <w:right w:val="nil"/>
            </w:tcBorders>
            <w:vAlign w:val="center"/>
            <w:hideMark/>
          </w:tcPr>
          <w:p w14:paraId="3B2F55EA" w14:textId="31695BBB" w:rsidR="007A6A1A" w:rsidRPr="00393B2F" w:rsidRDefault="007A6A1A" w:rsidP="007A6A1A">
            <w:pPr>
              <w:spacing w:after="160"/>
              <w:rPr>
                <w:sz w:val="20"/>
                <w:szCs w:val="20"/>
              </w:rPr>
            </w:pPr>
            <w:r w:rsidRPr="00393B2F">
              <w:rPr>
                <w:sz w:val="20"/>
                <w:szCs w:val="20"/>
              </w:rPr>
              <w:t xml:space="preserve">Labour </w:t>
            </w:r>
            <w:r w:rsidR="00A461FB" w:rsidRPr="00393B2F">
              <w:rPr>
                <w:sz w:val="20"/>
                <w:szCs w:val="20"/>
              </w:rPr>
              <w:t>f</w:t>
            </w:r>
            <w:r w:rsidRPr="00393B2F">
              <w:rPr>
                <w:sz w:val="20"/>
                <w:szCs w:val="20"/>
              </w:rPr>
              <w:t>orce '000</w:t>
            </w:r>
          </w:p>
        </w:tc>
        <w:tc>
          <w:tcPr>
            <w:tcW w:w="931" w:type="dxa"/>
            <w:tcBorders>
              <w:top w:val="single" w:sz="4" w:space="0" w:color="auto"/>
              <w:left w:val="nil"/>
              <w:bottom w:val="single" w:sz="4" w:space="0" w:color="auto"/>
              <w:right w:val="nil"/>
            </w:tcBorders>
            <w:vAlign w:val="center"/>
            <w:hideMark/>
          </w:tcPr>
          <w:p w14:paraId="21FFD2BE" w14:textId="54F0D60A" w:rsidR="007A6A1A" w:rsidRPr="00393B2F" w:rsidRDefault="007A6A1A" w:rsidP="007A6A1A">
            <w:pPr>
              <w:spacing w:after="160"/>
              <w:rPr>
                <w:sz w:val="20"/>
                <w:szCs w:val="20"/>
              </w:rPr>
            </w:pPr>
            <w:r w:rsidRPr="00393B2F">
              <w:rPr>
                <w:sz w:val="20"/>
                <w:szCs w:val="20"/>
              </w:rPr>
              <w:t>Partici</w:t>
            </w:r>
            <w:r w:rsidR="000449E6">
              <w:rPr>
                <w:sz w:val="20"/>
                <w:szCs w:val="20"/>
              </w:rPr>
              <w:t>-</w:t>
            </w:r>
            <w:r w:rsidRPr="00393B2F">
              <w:rPr>
                <w:sz w:val="20"/>
                <w:szCs w:val="20"/>
              </w:rPr>
              <w:t>pation rate (%)</w:t>
            </w:r>
          </w:p>
        </w:tc>
        <w:tc>
          <w:tcPr>
            <w:tcW w:w="1134" w:type="dxa"/>
            <w:tcBorders>
              <w:top w:val="single" w:sz="4" w:space="0" w:color="auto"/>
              <w:left w:val="nil"/>
              <w:bottom w:val="single" w:sz="4" w:space="0" w:color="auto"/>
              <w:right w:val="nil"/>
            </w:tcBorders>
            <w:vAlign w:val="center"/>
            <w:hideMark/>
          </w:tcPr>
          <w:p w14:paraId="6E44899A" w14:textId="0F6C9DDD" w:rsidR="007A6A1A" w:rsidRPr="00393B2F" w:rsidRDefault="007A6A1A" w:rsidP="007A6A1A">
            <w:pPr>
              <w:spacing w:after="160"/>
              <w:rPr>
                <w:sz w:val="20"/>
                <w:szCs w:val="20"/>
              </w:rPr>
            </w:pPr>
            <w:r w:rsidRPr="00393B2F">
              <w:rPr>
                <w:sz w:val="20"/>
                <w:szCs w:val="20"/>
              </w:rPr>
              <w:t>Unemployment rate (%)</w:t>
            </w:r>
          </w:p>
        </w:tc>
        <w:tc>
          <w:tcPr>
            <w:tcW w:w="1276" w:type="dxa"/>
            <w:tcBorders>
              <w:top w:val="single" w:sz="4" w:space="0" w:color="auto"/>
              <w:left w:val="nil"/>
              <w:bottom w:val="single" w:sz="4" w:space="0" w:color="auto"/>
              <w:right w:val="single" w:sz="4" w:space="0" w:color="auto"/>
            </w:tcBorders>
            <w:vAlign w:val="center"/>
            <w:hideMark/>
          </w:tcPr>
          <w:p w14:paraId="565FDD31" w14:textId="77777777" w:rsidR="007A6A1A" w:rsidRPr="00393B2F" w:rsidRDefault="007A6A1A" w:rsidP="007A6A1A">
            <w:pPr>
              <w:spacing w:after="160"/>
              <w:rPr>
                <w:sz w:val="20"/>
                <w:szCs w:val="20"/>
              </w:rPr>
            </w:pPr>
            <w:r w:rsidRPr="00393B2F">
              <w:rPr>
                <w:sz w:val="20"/>
                <w:szCs w:val="20"/>
              </w:rPr>
              <w:t>Underemployment ratio (% of employed)</w:t>
            </w:r>
          </w:p>
        </w:tc>
      </w:tr>
      <w:tr w:rsidR="007A6A1A" w:rsidRPr="00167CB8" w14:paraId="46059117" w14:textId="77777777" w:rsidTr="000449E6">
        <w:trPr>
          <w:trHeight w:val="341"/>
        </w:trPr>
        <w:tc>
          <w:tcPr>
            <w:tcW w:w="3496" w:type="dxa"/>
            <w:tcBorders>
              <w:top w:val="nil"/>
              <w:left w:val="single" w:sz="4" w:space="0" w:color="auto"/>
              <w:bottom w:val="nil"/>
              <w:right w:val="nil"/>
            </w:tcBorders>
            <w:noWrap/>
            <w:vAlign w:val="center"/>
            <w:hideMark/>
          </w:tcPr>
          <w:p w14:paraId="6E9E4FAC" w14:textId="77777777" w:rsidR="007A6A1A" w:rsidRPr="00BB4D6B" w:rsidRDefault="007A6A1A" w:rsidP="00BB4D6B">
            <w:pPr>
              <w:spacing w:after="0" w:line="240" w:lineRule="auto"/>
              <w:rPr>
                <w:b/>
                <w:bCs/>
                <w:sz w:val="20"/>
                <w:szCs w:val="20"/>
              </w:rPr>
            </w:pPr>
            <w:r w:rsidRPr="00BB4D6B">
              <w:rPr>
                <w:b/>
                <w:bCs/>
                <w:sz w:val="20"/>
                <w:szCs w:val="20"/>
              </w:rPr>
              <w:t>Men</w:t>
            </w:r>
          </w:p>
        </w:tc>
        <w:tc>
          <w:tcPr>
            <w:tcW w:w="1380" w:type="dxa"/>
            <w:vAlign w:val="center"/>
            <w:hideMark/>
          </w:tcPr>
          <w:p w14:paraId="4A637E2F" w14:textId="77777777" w:rsidR="007A6A1A" w:rsidRPr="00BB4D6B" w:rsidRDefault="007A6A1A" w:rsidP="00BB4D6B">
            <w:pPr>
              <w:spacing w:after="0" w:line="240" w:lineRule="auto"/>
              <w:rPr>
                <w:b/>
                <w:bCs/>
                <w:sz w:val="20"/>
                <w:szCs w:val="20"/>
              </w:rPr>
            </w:pPr>
          </w:p>
        </w:tc>
        <w:tc>
          <w:tcPr>
            <w:tcW w:w="1382" w:type="dxa"/>
            <w:vAlign w:val="center"/>
            <w:hideMark/>
          </w:tcPr>
          <w:p w14:paraId="65EC9EEC" w14:textId="77777777" w:rsidR="007A6A1A" w:rsidRPr="00BB4D6B" w:rsidRDefault="007A6A1A" w:rsidP="00BB4D6B">
            <w:pPr>
              <w:spacing w:after="0" w:line="240" w:lineRule="auto"/>
              <w:rPr>
                <w:sz w:val="20"/>
                <w:szCs w:val="20"/>
              </w:rPr>
            </w:pPr>
          </w:p>
        </w:tc>
        <w:tc>
          <w:tcPr>
            <w:tcW w:w="1382" w:type="dxa"/>
            <w:vAlign w:val="center"/>
            <w:hideMark/>
          </w:tcPr>
          <w:p w14:paraId="4199B95F" w14:textId="77777777" w:rsidR="007A6A1A" w:rsidRPr="00BB4D6B" w:rsidRDefault="007A6A1A" w:rsidP="00BB4D6B">
            <w:pPr>
              <w:spacing w:after="0" w:line="240" w:lineRule="auto"/>
              <w:rPr>
                <w:sz w:val="20"/>
                <w:szCs w:val="20"/>
              </w:rPr>
            </w:pPr>
          </w:p>
        </w:tc>
        <w:tc>
          <w:tcPr>
            <w:tcW w:w="1382" w:type="dxa"/>
            <w:vAlign w:val="center"/>
            <w:hideMark/>
          </w:tcPr>
          <w:p w14:paraId="41695218" w14:textId="77777777" w:rsidR="007A6A1A" w:rsidRPr="00BB4D6B" w:rsidRDefault="007A6A1A" w:rsidP="00BB4D6B">
            <w:pPr>
              <w:spacing w:after="0" w:line="240" w:lineRule="auto"/>
              <w:rPr>
                <w:sz w:val="20"/>
                <w:szCs w:val="20"/>
              </w:rPr>
            </w:pPr>
          </w:p>
        </w:tc>
        <w:tc>
          <w:tcPr>
            <w:tcW w:w="1382" w:type="dxa"/>
            <w:vAlign w:val="center"/>
            <w:hideMark/>
          </w:tcPr>
          <w:p w14:paraId="007F41BB" w14:textId="77777777" w:rsidR="007A6A1A" w:rsidRPr="00BB4D6B" w:rsidRDefault="007A6A1A" w:rsidP="00BB4D6B">
            <w:pPr>
              <w:spacing w:after="0" w:line="240" w:lineRule="auto"/>
              <w:rPr>
                <w:sz w:val="20"/>
                <w:szCs w:val="20"/>
              </w:rPr>
            </w:pPr>
          </w:p>
        </w:tc>
        <w:tc>
          <w:tcPr>
            <w:tcW w:w="931" w:type="dxa"/>
            <w:vAlign w:val="center"/>
            <w:hideMark/>
          </w:tcPr>
          <w:p w14:paraId="2D0962B3" w14:textId="77777777" w:rsidR="007A6A1A" w:rsidRPr="00BB4D6B" w:rsidRDefault="007A6A1A" w:rsidP="00BB4D6B">
            <w:pPr>
              <w:spacing w:after="0" w:line="240" w:lineRule="auto"/>
              <w:rPr>
                <w:sz w:val="20"/>
                <w:szCs w:val="20"/>
              </w:rPr>
            </w:pPr>
          </w:p>
        </w:tc>
        <w:tc>
          <w:tcPr>
            <w:tcW w:w="1134" w:type="dxa"/>
            <w:vAlign w:val="center"/>
            <w:hideMark/>
          </w:tcPr>
          <w:p w14:paraId="5C1C369B" w14:textId="77777777" w:rsidR="007A6A1A" w:rsidRPr="00BB4D6B" w:rsidRDefault="007A6A1A" w:rsidP="00BB4D6B">
            <w:pPr>
              <w:spacing w:after="0" w:line="240" w:lineRule="auto"/>
              <w:rPr>
                <w:sz w:val="20"/>
                <w:szCs w:val="20"/>
              </w:rPr>
            </w:pPr>
          </w:p>
        </w:tc>
        <w:tc>
          <w:tcPr>
            <w:tcW w:w="1276" w:type="dxa"/>
            <w:tcBorders>
              <w:top w:val="nil"/>
              <w:left w:val="nil"/>
              <w:bottom w:val="nil"/>
              <w:right w:val="single" w:sz="4" w:space="0" w:color="auto"/>
            </w:tcBorders>
            <w:vAlign w:val="center"/>
            <w:hideMark/>
          </w:tcPr>
          <w:p w14:paraId="4167CBE3" w14:textId="77777777" w:rsidR="007A6A1A" w:rsidRPr="00BB4D6B" w:rsidRDefault="007A6A1A" w:rsidP="00BB4D6B">
            <w:pPr>
              <w:spacing w:after="0" w:line="240" w:lineRule="auto"/>
              <w:rPr>
                <w:sz w:val="20"/>
                <w:szCs w:val="20"/>
              </w:rPr>
            </w:pPr>
          </w:p>
        </w:tc>
      </w:tr>
      <w:tr w:rsidR="007A6A1A" w:rsidRPr="00167CB8" w14:paraId="25CD5567" w14:textId="77777777" w:rsidTr="000449E6">
        <w:trPr>
          <w:trHeight w:val="341"/>
        </w:trPr>
        <w:tc>
          <w:tcPr>
            <w:tcW w:w="3496" w:type="dxa"/>
            <w:tcBorders>
              <w:top w:val="nil"/>
              <w:left w:val="single" w:sz="4" w:space="0" w:color="auto"/>
              <w:bottom w:val="nil"/>
              <w:right w:val="nil"/>
            </w:tcBorders>
            <w:noWrap/>
            <w:vAlign w:val="center"/>
            <w:hideMark/>
          </w:tcPr>
          <w:p w14:paraId="5E9C0016" w14:textId="77777777" w:rsidR="007A6A1A" w:rsidRPr="00BB4D6B" w:rsidRDefault="007A6A1A" w:rsidP="00BB4D6B">
            <w:pPr>
              <w:spacing w:after="0" w:line="240" w:lineRule="auto"/>
              <w:rPr>
                <w:sz w:val="20"/>
                <w:szCs w:val="20"/>
              </w:rPr>
            </w:pPr>
            <w:r w:rsidRPr="00BB4D6B">
              <w:rPr>
                <w:sz w:val="20"/>
                <w:szCs w:val="20"/>
              </w:rPr>
              <w:t>Nov-12</w:t>
            </w:r>
          </w:p>
        </w:tc>
        <w:tc>
          <w:tcPr>
            <w:tcW w:w="1380" w:type="dxa"/>
            <w:noWrap/>
            <w:vAlign w:val="center"/>
            <w:hideMark/>
          </w:tcPr>
          <w:p w14:paraId="21BC38F1" w14:textId="77777777" w:rsidR="007A6A1A" w:rsidRPr="00BB4D6B" w:rsidRDefault="007A6A1A" w:rsidP="00BB4D6B">
            <w:pPr>
              <w:spacing w:after="0" w:line="240" w:lineRule="auto"/>
              <w:rPr>
                <w:sz w:val="20"/>
                <w:szCs w:val="20"/>
              </w:rPr>
            </w:pPr>
            <w:r w:rsidRPr="00BB4D6B">
              <w:rPr>
                <w:sz w:val="20"/>
                <w:szCs w:val="20"/>
              </w:rPr>
              <w:t>5,182.3</w:t>
            </w:r>
          </w:p>
        </w:tc>
        <w:tc>
          <w:tcPr>
            <w:tcW w:w="1382" w:type="dxa"/>
            <w:noWrap/>
            <w:vAlign w:val="center"/>
            <w:hideMark/>
          </w:tcPr>
          <w:p w14:paraId="4CE12D12" w14:textId="77777777" w:rsidR="007A6A1A" w:rsidRPr="00BB4D6B" w:rsidRDefault="007A6A1A" w:rsidP="00BB4D6B">
            <w:pPr>
              <w:spacing w:after="0" w:line="240" w:lineRule="auto"/>
              <w:rPr>
                <w:sz w:val="20"/>
                <w:szCs w:val="20"/>
              </w:rPr>
            </w:pPr>
            <w:r w:rsidRPr="00BB4D6B">
              <w:rPr>
                <w:sz w:val="20"/>
                <w:szCs w:val="20"/>
              </w:rPr>
              <w:t>990.8</w:t>
            </w:r>
          </w:p>
        </w:tc>
        <w:tc>
          <w:tcPr>
            <w:tcW w:w="1382" w:type="dxa"/>
            <w:noWrap/>
            <w:vAlign w:val="center"/>
            <w:hideMark/>
          </w:tcPr>
          <w:p w14:paraId="758AFC3A" w14:textId="77777777" w:rsidR="007A6A1A" w:rsidRPr="00BB4D6B" w:rsidRDefault="007A6A1A" w:rsidP="00BB4D6B">
            <w:pPr>
              <w:spacing w:after="0" w:line="240" w:lineRule="auto"/>
              <w:rPr>
                <w:sz w:val="20"/>
                <w:szCs w:val="20"/>
              </w:rPr>
            </w:pPr>
            <w:r w:rsidRPr="00BB4D6B">
              <w:rPr>
                <w:sz w:val="20"/>
                <w:szCs w:val="20"/>
              </w:rPr>
              <w:t>6,173.1</w:t>
            </w:r>
          </w:p>
        </w:tc>
        <w:tc>
          <w:tcPr>
            <w:tcW w:w="1382" w:type="dxa"/>
            <w:noWrap/>
            <w:vAlign w:val="center"/>
            <w:hideMark/>
          </w:tcPr>
          <w:p w14:paraId="6FFB4477" w14:textId="77777777" w:rsidR="007A6A1A" w:rsidRPr="00BB4D6B" w:rsidRDefault="007A6A1A" w:rsidP="00BB4D6B">
            <w:pPr>
              <w:spacing w:after="0" w:line="240" w:lineRule="auto"/>
              <w:rPr>
                <w:sz w:val="20"/>
                <w:szCs w:val="20"/>
              </w:rPr>
            </w:pPr>
            <w:r w:rsidRPr="00BB4D6B">
              <w:rPr>
                <w:sz w:val="20"/>
                <w:szCs w:val="20"/>
              </w:rPr>
              <w:t>67.7</w:t>
            </w:r>
          </w:p>
        </w:tc>
        <w:tc>
          <w:tcPr>
            <w:tcW w:w="1382" w:type="dxa"/>
            <w:noWrap/>
            <w:vAlign w:val="center"/>
            <w:hideMark/>
          </w:tcPr>
          <w:p w14:paraId="157E6BC4" w14:textId="795C7954" w:rsidR="007A6A1A" w:rsidRPr="00BB4D6B" w:rsidRDefault="007A6A1A" w:rsidP="00BB4D6B">
            <w:pPr>
              <w:spacing w:after="0" w:line="240" w:lineRule="auto"/>
              <w:rPr>
                <w:sz w:val="20"/>
                <w:szCs w:val="20"/>
              </w:rPr>
            </w:pPr>
            <w:r w:rsidRPr="00BB4D6B">
              <w:rPr>
                <w:sz w:val="20"/>
                <w:szCs w:val="20"/>
              </w:rPr>
              <w:t>6</w:t>
            </w:r>
            <w:r w:rsidR="00A461FB" w:rsidRPr="00BB4D6B">
              <w:rPr>
                <w:sz w:val="20"/>
                <w:szCs w:val="20"/>
              </w:rPr>
              <w:t>,</w:t>
            </w:r>
            <w:r w:rsidRPr="00BB4D6B">
              <w:rPr>
                <w:sz w:val="20"/>
                <w:szCs w:val="20"/>
              </w:rPr>
              <w:t>517.4</w:t>
            </w:r>
          </w:p>
        </w:tc>
        <w:tc>
          <w:tcPr>
            <w:tcW w:w="931" w:type="dxa"/>
            <w:noWrap/>
            <w:vAlign w:val="center"/>
            <w:hideMark/>
          </w:tcPr>
          <w:p w14:paraId="2DF8EC49" w14:textId="77777777" w:rsidR="007A6A1A" w:rsidRPr="00BB4D6B" w:rsidRDefault="007A6A1A" w:rsidP="00BB4D6B">
            <w:pPr>
              <w:spacing w:after="0" w:line="240" w:lineRule="auto"/>
              <w:rPr>
                <w:sz w:val="20"/>
                <w:szCs w:val="20"/>
              </w:rPr>
            </w:pPr>
            <w:r w:rsidRPr="00BB4D6B">
              <w:rPr>
                <w:sz w:val="20"/>
                <w:szCs w:val="20"/>
              </w:rPr>
              <w:t>71.6</w:t>
            </w:r>
          </w:p>
        </w:tc>
        <w:tc>
          <w:tcPr>
            <w:tcW w:w="1134" w:type="dxa"/>
            <w:noWrap/>
            <w:vAlign w:val="center"/>
            <w:hideMark/>
          </w:tcPr>
          <w:p w14:paraId="418D7B32" w14:textId="77777777" w:rsidR="007A6A1A" w:rsidRPr="00BB4D6B" w:rsidRDefault="007A6A1A" w:rsidP="00BB4D6B">
            <w:pPr>
              <w:spacing w:after="0" w:line="240" w:lineRule="auto"/>
              <w:rPr>
                <w:sz w:val="20"/>
                <w:szCs w:val="20"/>
              </w:rPr>
            </w:pPr>
            <w:r w:rsidRPr="00BB4D6B">
              <w:rPr>
                <w:sz w:val="20"/>
                <w:szCs w:val="20"/>
              </w:rPr>
              <w:t>5.3</w:t>
            </w:r>
          </w:p>
        </w:tc>
        <w:tc>
          <w:tcPr>
            <w:tcW w:w="1276" w:type="dxa"/>
            <w:tcBorders>
              <w:top w:val="nil"/>
              <w:left w:val="nil"/>
              <w:bottom w:val="nil"/>
              <w:right w:val="single" w:sz="4" w:space="0" w:color="auto"/>
            </w:tcBorders>
            <w:noWrap/>
            <w:vAlign w:val="center"/>
            <w:hideMark/>
          </w:tcPr>
          <w:p w14:paraId="6BBBFC5C" w14:textId="77777777" w:rsidR="007A6A1A" w:rsidRPr="00BB4D6B" w:rsidRDefault="007A6A1A" w:rsidP="00BB4D6B">
            <w:pPr>
              <w:spacing w:after="0" w:line="240" w:lineRule="auto"/>
              <w:rPr>
                <w:sz w:val="20"/>
                <w:szCs w:val="20"/>
              </w:rPr>
            </w:pPr>
            <w:r w:rsidRPr="00BB4D6B">
              <w:rPr>
                <w:sz w:val="20"/>
                <w:szCs w:val="20"/>
              </w:rPr>
              <w:t>5.6</w:t>
            </w:r>
          </w:p>
        </w:tc>
      </w:tr>
      <w:tr w:rsidR="007A6A1A" w:rsidRPr="00167CB8" w14:paraId="07883E72" w14:textId="77777777" w:rsidTr="000449E6">
        <w:trPr>
          <w:trHeight w:val="341"/>
        </w:trPr>
        <w:tc>
          <w:tcPr>
            <w:tcW w:w="3496" w:type="dxa"/>
            <w:tcBorders>
              <w:top w:val="nil"/>
              <w:left w:val="single" w:sz="4" w:space="0" w:color="auto"/>
              <w:bottom w:val="nil"/>
              <w:right w:val="nil"/>
            </w:tcBorders>
            <w:noWrap/>
            <w:vAlign w:val="center"/>
            <w:hideMark/>
          </w:tcPr>
          <w:p w14:paraId="51520D2F" w14:textId="77777777" w:rsidR="007A6A1A" w:rsidRPr="00BB4D6B" w:rsidRDefault="007A6A1A" w:rsidP="00BB4D6B">
            <w:pPr>
              <w:spacing w:after="0" w:line="240" w:lineRule="auto"/>
              <w:rPr>
                <w:sz w:val="20"/>
                <w:szCs w:val="20"/>
              </w:rPr>
            </w:pPr>
            <w:r w:rsidRPr="00BB4D6B">
              <w:rPr>
                <w:sz w:val="20"/>
                <w:szCs w:val="20"/>
              </w:rPr>
              <w:t>Nov-22</w:t>
            </w:r>
          </w:p>
        </w:tc>
        <w:tc>
          <w:tcPr>
            <w:tcW w:w="1380" w:type="dxa"/>
            <w:noWrap/>
            <w:vAlign w:val="center"/>
            <w:hideMark/>
          </w:tcPr>
          <w:p w14:paraId="53D0A9D3" w14:textId="77777777" w:rsidR="007A6A1A" w:rsidRPr="00BB4D6B" w:rsidRDefault="007A6A1A" w:rsidP="00BB4D6B">
            <w:pPr>
              <w:spacing w:after="0" w:line="240" w:lineRule="auto"/>
              <w:rPr>
                <w:sz w:val="20"/>
                <w:szCs w:val="20"/>
              </w:rPr>
            </w:pPr>
            <w:r w:rsidRPr="00BB4D6B">
              <w:rPr>
                <w:sz w:val="20"/>
                <w:szCs w:val="20"/>
              </w:rPr>
              <w:t>5,850.4</w:t>
            </w:r>
          </w:p>
        </w:tc>
        <w:tc>
          <w:tcPr>
            <w:tcW w:w="1382" w:type="dxa"/>
            <w:noWrap/>
            <w:vAlign w:val="center"/>
            <w:hideMark/>
          </w:tcPr>
          <w:p w14:paraId="070FF71F" w14:textId="0CEE1058" w:rsidR="007A6A1A" w:rsidRPr="00BB4D6B" w:rsidRDefault="007A6A1A" w:rsidP="00BB4D6B">
            <w:pPr>
              <w:spacing w:after="0" w:line="240" w:lineRule="auto"/>
              <w:rPr>
                <w:sz w:val="20"/>
                <w:szCs w:val="20"/>
              </w:rPr>
            </w:pPr>
            <w:r w:rsidRPr="00BB4D6B">
              <w:rPr>
                <w:sz w:val="20"/>
                <w:szCs w:val="20"/>
              </w:rPr>
              <w:t>1</w:t>
            </w:r>
            <w:r w:rsidR="00A461FB" w:rsidRPr="00BB4D6B">
              <w:rPr>
                <w:sz w:val="20"/>
                <w:szCs w:val="20"/>
              </w:rPr>
              <w:t>,</w:t>
            </w:r>
            <w:r w:rsidRPr="00BB4D6B">
              <w:rPr>
                <w:sz w:val="20"/>
                <w:szCs w:val="20"/>
              </w:rPr>
              <w:t>346.1</w:t>
            </w:r>
          </w:p>
        </w:tc>
        <w:tc>
          <w:tcPr>
            <w:tcW w:w="1382" w:type="dxa"/>
            <w:noWrap/>
            <w:vAlign w:val="center"/>
            <w:hideMark/>
          </w:tcPr>
          <w:p w14:paraId="0A881038" w14:textId="77777777" w:rsidR="007A6A1A" w:rsidRPr="00BB4D6B" w:rsidRDefault="007A6A1A" w:rsidP="00BB4D6B">
            <w:pPr>
              <w:spacing w:after="0" w:line="240" w:lineRule="auto"/>
              <w:rPr>
                <w:sz w:val="20"/>
                <w:szCs w:val="20"/>
              </w:rPr>
            </w:pPr>
            <w:r w:rsidRPr="00BB4D6B">
              <w:rPr>
                <w:sz w:val="20"/>
                <w:szCs w:val="20"/>
              </w:rPr>
              <w:t>7,196.5</w:t>
            </w:r>
          </w:p>
        </w:tc>
        <w:tc>
          <w:tcPr>
            <w:tcW w:w="1382" w:type="dxa"/>
            <w:noWrap/>
            <w:vAlign w:val="center"/>
            <w:hideMark/>
          </w:tcPr>
          <w:p w14:paraId="20E2F16A" w14:textId="77777777" w:rsidR="007A6A1A" w:rsidRPr="00BB4D6B" w:rsidRDefault="007A6A1A" w:rsidP="00BB4D6B">
            <w:pPr>
              <w:spacing w:after="0" w:line="240" w:lineRule="auto"/>
              <w:rPr>
                <w:sz w:val="20"/>
                <w:szCs w:val="20"/>
              </w:rPr>
            </w:pPr>
            <w:r w:rsidRPr="00BB4D6B">
              <w:rPr>
                <w:sz w:val="20"/>
                <w:szCs w:val="20"/>
              </w:rPr>
              <w:t>68.3</w:t>
            </w:r>
          </w:p>
        </w:tc>
        <w:tc>
          <w:tcPr>
            <w:tcW w:w="1382" w:type="dxa"/>
            <w:noWrap/>
            <w:vAlign w:val="center"/>
            <w:hideMark/>
          </w:tcPr>
          <w:p w14:paraId="3D542468" w14:textId="7094BFCD" w:rsidR="007A6A1A" w:rsidRPr="00BB4D6B" w:rsidRDefault="007A6A1A" w:rsidP="00BB4D6B">
            <w:pPr>
              <w:spacing w:after="0" w:line="240" w:lineRule="auto"/>
              <w:rPr>
                <w:sz w:val="20"/>
                <w:szCs w:val="20"/>
              </w:rPr>
            </w:pPr>
            <w:r w:rsidRPr="00BB4D6B">
              <w:rPr>
                <w:sz w:val="20"/>
                <w:szCs w:val="20"/>
              </w:rPr>
              <w:t>7</w:t>
            </w:r>
            <w:r w:rsidR="00A461FB" w:rsidRPr="00BB4D6B">
              <w:rPr>
                <w:sz w:val="20"/>
                <w:szCs w:val="20"/>
              </w:rPr>
              <w:t>,</w:t>
            </w:r>
            <w:r w:rsidRPr="00BB4D6B">
              <w:rPr>
                <w:sz w:val="20"/>
                <w:szCs w:val="20"/>
              </w:rPr>
              <w:t>457.2</w:t>
            </w:r>
          </w:p>
        </w:tc>
        <w:tc>
          <w:tcPr>
            <w:tcW w:w="931" w:type="dxa"/>
            <w:noWrap/>
            <w:vAlign w:val="center"/>
            <w:hideMark/>
          </w:tcPr>
          <w:p w14:paraId="60058CC3" w14:textId="77777777" w:rsidR="007A6A1A" w:rsidRPr="00BB4D6B" w:rsidRDefault="007A6A1A" w:rsidP="00BB4D6B">
            <w:pPr>
              <w:spacing w:after="0" w:line="240" w:lineRule="auto"/>
              <w:rPr>
                <w:sz w:val="20"/>
                <w:szCs w:val="20"/>
              </w:rPr>
            </w:pPr>
            <w:r w:rsidRPr="00BB4D6B">
              <w:rPr>
                <w:sz w:val="20"/>
                <w:szCs w:val="20"/>
              </w:rPr>
              <w:t>70.7</w:t>
            </w:r>
          </w:p>
        </w:tc>
        <w:tc>
          <w:tcPr>
            <w:tcW w:w="1134" w:type="dxa"/>
            <w:noWrap/>
            <w:vAlign w:val="center"/>
            <w:hideMark/>
          </w:tcPr>
          <w:p w14:paraId="4FF5ECA8" w14:textId="77777777" w:rsidR="007A6A1A" w:rsidRPr="00BB4D6B" w:rsidRDefault="007A6A1A" w:rsidP="00BB4D6B">
            <w:pPr>
              <w:spacing w:after="0" w:line="240" w:lineRule="auto"/>
              <w:rPr>
                <w:sz w:val="20"/>
                <w:szCs w:val="20"/>
              </w:rPr>
            </w:pPr>
            <w:r w:rsidRPr="00BB4D6B">
              <w:rPr>
                <w:sz w:val="20"/>
                <w:szCs w:val="20"/>
              </w:rPr>
              <w:t>3.5</w:t>
            </w:r>
          </w:p>
        </w:tc>
        <w:tc>
          <w:tcPr>
            <w:tcW w:w="1276" w:type="dxa"/>
            <w:tcBorders>
              <w:top w:val="nil"/>
              <w:left w:val="nil"/>
              <w:bottom w:val="nil"/>
              <w:right w:val="single" w:sz="4" w:space="0" w:color="auto"/>
            </w:tcBorders>
            <w:noWrap/>
            <w:vAlign w:val="center"/>
            <w:hideMark/>
          </w:tcPr>
          <w:p w14:paraId="2884BE60" w14:textId="77777777" w:rsidR="007A6A1A" w:rsidRPr="00BB4D6B" w:rsidRDefault="007A6A1A" w:rsidP="00BB4D6B">
            <w:pPr>
              <w:spacing w:after="0" w:line="240" w:lineRule="auto"/>
              <w:rPr>
                <w:sz w:val="20"/>
                <w:szCs w:val="20"/>
              </w:rPr>
            </w:pPr>
            <w:r w:rsidRPr="00BB4D6B">
              <w:rPr>
                <w:sz w:val="20"/>
                <w:szCs w:val="20"/>
              </w:rPr>
              <w:t>4.8</w:t>
            </w:r>
          </w:p>
        </w:tc>
      </w:tr>
      <w:tr w:rsidR="007A6A1A" w:rsidRPr="00167CB8" w14:paraId="04B742DD" w14:textId="77777777" w:rsidTr="000449E6">
        <w:trPr>
          <w:trHeight w:val="341"/>
        </w:trPr>
        <w:tc>
          <w:tcPr>
            <w:tcW w:w="3496" w:type="dxa"/>
            <w:tcBorders>
              <w:top w:val="nil"/>
              <w:left w:val="single" w:sz="4" w:space="0" w:color="auto"/>
              <w:bottom w:val="nil"/>
              <w:right w:val="nil"/>
            </w:tcBorders>
            <w:noWrap/>
            <w:vAlign w:val="center"/>
            <w:hideMark/>
          </w:tcPr>
          <w:p w14:paraId="10D05F87" w14:textId="77777777" w:rsidR="007A6A1A" w:rsidRPr="00BB4D6B" w:rsidRDefault="007A6A1A" w:rsidP="00BB4D6B">
            <w:pPr>
              <w:spacing w:after="0" w:line="240" w:lineRule="auto"/>
              <w:rPr>
                <w:sz w:val="20"/>
                <w:szCs w:val="20"/>
              </w:rPr>
            </w:pPr>
            <w:r w:rsidRPr="00BB4D6B">
              <w:rPr>
                <w:sz w:val="20"/>
                <w:szCs w:val="20"/>
              </w:rPr>
              <w:t>Nov-24</w:t>
            </w:r>
          </w:p>
        </w:tc>
        <w:tc>
          <w:tcPr>
            <w:tcW w:w="1380" w:type="dxa"/>
            <w:noWrap/>
            <w:vAlign w:val="center"/>
            <w:hideMark/>
          </w:tcPr>
          <w:p w14:paraId="24ED75CB" w14:textId="77777777" w:rsidR="007A6A1A" w:rsidRPr="00BB4D6B" w:rsidRDefault="007A6A1A" w:rsidP="00BB4D6B">
            <w:pPr>
              <w:spacing w:after="0" w:line="240" w:lineRule="auto"/>
              <w:rPr>
                <w:sz w:val="20"/>
                <w:szCs w:val="20"/>
              </w:rPr>
            </w:pPr>
            <w:r w:rsidRPr="00BB4D6B">
              <w:rPr>
                <w:sz w:val="20"/>
                <w:szCs w:val="20"/>
              </w:rPr>
              <w:t>6,101.2</w:t>
            </w:r>
          </w:p>
        </w:tc>
        <w:tc>
          <w:tcPr>
            <w:tcW w:w="1382" w:type="dxa"/>
            <w:noWrap/>
            <w:vAlign w:val="center"/>
            <w:hideMark/>
          </w:tcPr>
          <w:p w14:paraId="44CCA59E" w14:textId="6026F68B" w:rsidR="007A6A1A" w:rsidRPr="00BB4D6B" w:rsidRDefault="007A6A1A" w:rsidP="00BB4D6B">
            <w:pPr>
              <w:spacing w:after="0" w:line="240" w:lineRule="auto"/>
              <w:rPr>
                <w:sz w:val="20"/>
                <w:szCs w:val="20"/>
              </w:rPr>
            </w:pPr>
            <w:r w:rsidRPr="00BB4D6B">
              <w:rPr>
                <w:sz w:val="20"/>
                <w:szCs w:val="20"/>
              </w:rPr>
              <w:t>1</w:t>
            </w:r>
            <w:r w:rsidR="00A461FB" w:rsidRPr="00BB4D6B">
              <w:rPr>
                <w:sz w:val="20"/>
                <w:szCs w:val="20"/>
              </w:rPr>
              <w:t>,</w:t>
            </w:r>
            <w:r w:rsidRPr="00BB4D6B">
              <w:rPr>
                <w:sz w:val="20"/>
                <w:szCs w:val="20"/>
              </w:rPr>
              <w:t>486.6</w:t>
            </w:r>
          </w:p>
        </w:tc>
        <w:tc>
          <w:tcPr>
            <w:tcW w:w="1382" w:type="dxa"/>
            <w:noWrap/>
            <w:vAlign w:val="center"/>
            <w:hideMark/>
          </w:tcPr>
          <w:p w14:paraId="79FA7310" w14:textId="77777777" w:rsidR="007A6A1A" w:rsidRPr="00BB4D6B" w:rsidRDefault="007A6A1A" w:rsidP="00BB4D6B">
            <w:pPr>
              <w:spacing w:after="0" w:line="240" w:lineRule="auto"/>
              <w:rPr>
                <w:sz w:val="20"/>
                <w:szCs w:val="20"/>
              </w:rPr>
            </w:pPr>
            <w:r w:rsidRPr="00BB4D6B">
              <w:rPr>
                <w:sz w:val="20"/>
                <w:szCs w:val="20"/>
              </w:rPr>
              <w:t>7,587.8</w:t>
            </w:r>
          </w:p>
        </w:tc>
        <w:tc>
          <w:tcPr>
            <w:tcW w:w="1382" w:type="dxa"/>
            <w:noWrap/>
            <w:vAlign w:val="center"/>
            <w:hideMark/>
          </w:tcPr>
          <w:p w14:paraId="181D36C2" w14:textId="77777777" w:rsidR="007A6A1A" w:rsidRPr="00BB4D6B" w:rsidRDefault="007A6A1A" w:rsidP="00BB4D6B">
            <w:pPr>
              <w:spacing w:after="0" w:line="240" w:lineRule="auto"/>
              <w:rPr>
                <w:sz w:val="20"/>
                <w:szCs w:val="20"/>
              </w:rPr>
            </w:pPr>
            <w:r w:rsidRPr="00BB4D6B">
              <w:rPr>
                <w:sz w:val="20"/>
                <w:szCs w:val="20"/>
              </w:rPr>
              <w:t>68.3</w:t>
            </w:r>
          </w:p>
        </w:tc>
        <w:tc>
          <w:tcPr>
            <w:tcW w:w="1382" w:type="dxa"/>
            <w:noWrap/>
            <w:vAlign w:val="center"/>
            <w:hideMark/>
          </w:tcPr>
          <w:p w14:paraId="33CA7363" w14:textId="076B0601" w:rsidR="007A6A1A" w:rsidRPr="00BB4D6B" w:rsidRDefault="007A6A1A" w:rsidP="00BB4D6B">
            <w:pPr>
              <w:spacing w:after="0" w:line="240" w:lineRule="auto"/>
              <w:rPr>
                <w:sz w:val="20"/>
                <w:szCs w:val="20"/>
              </w:rPr>
            </w:pPr>
            <w:r w:rsidRPr="00BB4D6B">
              <w:rPr>
                <w:sz w:val="20"/>
                <w:szCs w:val="20"/>
              </w:rPr>
              <w:t>7</w:t>
            </w:r>
            <w:r w:rsidR="00A461FB" w:rsidRPr="00BB4D6B">
              <w:rPr>
                <w:sz w:val="20"/>
                <w:szCs w:val="20"/>
              </w:rPr>
              <w:t>,</w:t>
            </w:r>
            <w:r w:rsidRPr="00BB4D6B">
              <w:rPr>
                <w:sz w:val="20"/>
                <w:szCs w:val="20"/>
              </w:rPr>
              <w:t>909.4</w:t>
            </w:r>
          </w:p>
        </w:tc>
        <w:tc>
          <w:tcPr>
            <w:tcW w:w="931" w:type="dxa"/>
            <w:noWrap/>
            <w:vAlign w:val="center"/>
            <w:hideMark/>
          </w:tcPr>
          <w:p w14:paraId="78B97EAB" w14:textId="77777777" w:rsidR="007A6A1A" w:rsidRPr="00BB4D6B" w:rsidRDefault="007A6A1A" w:rsidP="00BB4D6B">
            <w:pPr>
              <w:spacing w:after="0" w:line="240" w:lineRule="auto"/>
              <w:rPr>
                <w:sz w:val="20"/>
                <w:szCs w:val="20"/>
              </w:rPr>
            </w:pPr>
            <w:r w:rsidRPr="00BB4D6B">
              <w:rPr>
                <w:sz w:val="20"/>
                <w:szCs w:val="20"/>
              </w:rPr>
              <w:t>71.3</w:t>
            </w:r>
          </w:p>
        </w:tc>
        <w:tc>
          <w:tcPr>
            <w:tcW w:w="1134" w:type="dxa"/>
            <w:noWrap/>
            <w:vAlign w:val="center"/>
            <w:hideMark/>
          </w:tcPr>
          <w:p w14:paraId="7F3D60ED" w14:textId="77777777" w:rsidR="007A6A1A" w:rsidRPr="00BB4D6B" w:rsidRDefault="007A6A1A" w:rsidP="00BB4D6B">
            <w:pPr>
              <w:spacing w:after="0" w:line="240" w:lineRule="auto"/>
              <w:rPr>
                <w:sz w:val="20"/>
                <w:szCs w:val="20"/>
              </w:rPr>
            </w:pPr>
            <w:r w:rsidRPr="00BB4D6B">
              <w:rPr>
                <w:sz w:val="20"/>
                <w:szCs w:val="20"/>
              </w:rPr>
              <w:t>4.1</w:t>
            </w:r>
          </w:p>
        </w:tc>
        <w:tc>
          <w:tcPr>
            <w:tcW w:w="1276" w:type="dxa"/>
            <w:tcBorders>
              <w:top w:val="nil"/>
              <w:left w:val="nil"/>
              <w:bottom w:val="nil"/>
              <w:right w:val="single" w:sz="4" w:space="0" w:color="auto"/>
            </w:tcBorders>
            <w:noWrap/>
            <w:vAlign w:val="center"/>
            <w:hideMark/>
          </w:tcPr>
          <w:p w14:paraId="70BC5935" w14:textId="77777777" w:rsidR="007A6A1A" w:rsidRPr="00BB4D6B" w:rsidRDefault="007A6A1A" w:rsidP="00BB4D6B">
            <w:pPr>
              <w:spacing w:after="0" w:line="240" w:lineRule="auto"/>
              <w:rPr>
                <w:sz w:val="20"/>
                <w:szCs w:val="20"/>
              </w:rPr>
            </w:pPr>
            <w:r w:rsidRPr="00BB4D6B">
              <w:rPr>
                <w:sz w:val="20"/>
                <w:szCs w:val="20"/>
              </w:rPr>
              <w:t>5.2</w:t>
            </w:r>
          </w:p>
        </w:tc>
      </w:tr>
      <w:tr w:rsidR="007A6A1A" w:rsidRPr="00167CB8" w14:paraId="0D043361" w14:textId="77777777" w:rsidTr="000449E6">
        <w:trPr>
          <w:trHeight w:val="341"/>
        </w:trPr>
        <w:tc>
          <w:tcPr>
            <w:tcW w:w="3496" w:type="dxa"/>
            <w:tcBorders>
              <w:top w:val="nil"/>
              <w:left w:val="single" w:sz="4" w:space="0" w:color="auto"/>
              <w:bottom w:val="nil"/>
              <w:right w:val="nil"/>
            </w:tcBorders>
            <w:vAlign w:val="center"/>
            <w:hideMark/>
          </w:tcPr>
          <w:p w14:paraId="058CCE76" w14:textId="027819F1" w:rsidR="007A6A1A" w:rsidRPr="00BB4D6B" w:rsidRDefault="007A6A1A" w:rsidP="00BB4D6B">
            <w:pPr>
              <w:spacing w:after="0" w:line="240" w:lineRule="auto"/>
              <w:rPr>
                <w:sz w:val="20"/>
                <w:szCs w:val="20"/>
              </w:rPr>
            </w:pPr>
            <w:r w:rsidRPr="00BB4D6B">
              <w:rPr>
                <w:sz w:val="20"/>
                <w:szCs w:val="20"/>
              </w:rPr>
              <w:t>Change Nov 2012</w:t>
            </w:r>
            <w:r w:rsidR="00A461FB" w:rsidRPr="00BB4D6B">
              <w:rPr>
                <w:sz w:val="20"/>
                <w:szCs w:val="20"/>
              </w:rPr>
              <w:t xml:space="preserve"> </w:t>
            </w:r>
            <w:r w:rsidR="00A461FB" w:rsidRPr="00BB4D6B">
              <w:rPr>
                <w:rFonts w:ascii="Symbol" w:eastAsia="Symbol" w:hAnsi="Symbol" w:cs="Symbol"/>
                <w:sz w:val="20"/>
                <w:szCs w:val="20"/>
              </w:rPr>
              <w:sym w:font="Symbol" w:char="F02D"/>
            </w:r>
            <w:r w:rsidR="00A461FB" w:rsidRPr="00BB4D6B">
              <w:rPr>
                <w:sz w:val="20"/>
                <w:szCs w:val="20"/>
              </w:rPr>
              <w:t xml:space="preserve"> </w:t>
            </w:r>
            <w:r w:rsidRPr="00BB4D6B">
              <w:rPr>
                <w:sz w:val="20"/>
                <w:szCs w:val="20"/>
              </w:rPr>
              <w:t>Nov 2022</w:t>
            </w:r>
          </w:p>
        </w:tc>
        <w:tc>
          <w:tcPr>
            <w:tcW w:w="1380" w:type="dxa"/>
            <w:noWrap/>
            <w:vAlign w:val="center"/>
            <w:hideMark/>
          </w:tcPr>
          <w:p w14:paraId="05D944DC" w14:textId="77777777" w:rsidR="007A6A1A" w:rsidRPr="00BB4D6B" w:rsidRDefault="007A6A1A" w:rsidP="00BB4D6B">
            <w:pPr>
              <w:spacing w:after="0" w:line="240" w:lineRule="auto"/>
              <w:rPr>
                <w:sz w:val="20"/>
                <w:szCs w:val="20"/>
              </w:rPr>
            </w:pPr>
            <w:r w:rsidRPr="00BB4D6B">
              <w:rPr>
                <w:sz w:val="20"/>
                <w:szCs w:val="20"/>
              </w:rPr>
              <w:t>12.9%</w:t>
            </w:r>
          </w:p>
        </w:tc>
        <w:tc>
          <w:tcPr>
            <w:tcW w:w="1382" w:type="dxa"/>
            <w:noWrap/>
            <w:vAlign w:val="center"/>
            <w:hideMark/>
          </w:tcPr>
          <w:p w14:paraId="7B33640A" w14:textId="77777777" w:rsidR="007A6A1A" w:rsidRPr="00BB4D6B" w:rsidRDefault="007A6A1A" w:rsidP="00BB4D6B">
            <w:pPr>
              <w:spacing w:after="0" w:line="240" w:lineRule="auto"/>
              <w:rPr>
                <w:sz w:val="20"/>
                <w:szCs w:val="20"/>
              </w:rPr>
            </w:pPr>
            <w:r w:rsidRPr="00BB4D6B">
              <w:rPr>
                <w:sz w:val="20"/>
                <w:szCs w:val="20"/>
              </w:rPr>
              <w:t>35.9%</w:t>
            </w:r>
          </w:p>
        </w:tc>
        <w:tc>
          <w:tcPr>
            <w:tcW w:w="1382" w:type="dxa"/>
            <w:noWrap/>
            <w:vAlign w:val="center"/>
            <w:hideMark/>
          </w:tcPr>
          <w:p w14:paraId="7D91D5B4" w14:textId="77777777" w:rsidR="007A6A1A" w:rsidRPr="00BB4D6B" w:rsidRDefault="007A6A1A" w:rsidP="00BB4D6B">
            <w:pPr>
              <w:spacing w:after="0" w:line="240" w:lineRule="auto"/>
              <w:rPr>
                <w:sz w:val="20"/>
                <w:szCs w:val="20"/>
              </w:rPr>
            </w:pPr>
            <w:r w:rsidRPr="00BB4D6B">
              <w:rPr>
                <w:sz w:val="20"/>
                <w:szCs w:val="20"/>
              </w:rPr>
              <w:t>16.6%</w:t>
            </w:r>
          </w:p>
        </w:tc>
        <w:tc>
          <w:tcPr>
            <w:tcW w:w="1382" w:type="dxa"/>
            <w:noWrap/>
            <w:vAlign w:val="center"/>
            <w:hideMark/>
          </w:tcPr>
          <w:p w14:paraId="5EC0672E" w14:textId="77777777" w:rsidR="007A6A1A" w:rsidRPr="00BB4D6B" w:rsidRDefault="007A6A1A" w:rsidP="00BB4D6B">
            <w:pPr>
              <w:spacing w:after="0" w:line="240" w:lineRule="auto"/>
              <w:rPr>
                <w:sz w:val="20"/>
                <w:szCs w:val="20"/>
              </w:rPr>
            </w:pPr>
            <w:r w:rsidRPr="00BB4D6B">
              <w:rPr>
                <w:sz w:val="20"/>
                <w:szCs w:val="20"/>
              </w:rPr>
              <w:t>0.62</w:t>
            </w:r>
          </w:p>
        </w:tc>
        <w:tc>
          <w:tcPr>
            <w:tcW w:w="1382" w:type="dxa"/>
            <w:noWrap/>
            <w:vAlign w:val="center"/>
            <w:hideMark/>
          </w:tcPr>
          <w:p w14:paraId="1643353E" w14:textId="77777777" w:rsidR="007A6A1A" w:rsidRPr="00BB4D6B" w:rsidRDefault="007A6A1A" w:rsidP="00BB4D6B">
            <w:pPr>
              <w:spacing w:after="0" w:line="240" w:lineRule="auto"/>
              <w:rPr>
                <w:sz w:val="20"/>
                <w:szCs w:val="20"/>
              </w:rPr>
            </w:pPr>
            <w:r w:rsidRPr="00BB4D6B">
              <w:rPr>
                <w:sz w:val="20"/>
                <w:szCs w:val="20"/>
              </w:rPr>
              <w:t>14.4%</w:t>
            </w:r>
          </w:p>
        </w:tc>
        <w:tc>
          <w:tcPr>
            <w:tcW w:w="931" w:type="dxa"/>
            <w:noWrap/>
            <w:vAlign w:val="center"/>
            <w:hideMark/>
          </w:tcPr>
          <w:p w14:paraId="2B5E43B9" w14:textId="77777777" w:rsidR="007A6A1A" w:rsidRPr="00BB4D6B" w:rsidRDefault="007A6A1A" w:rsidP="00BB4D6B">
            <w:pPr>
              <w:spacing w:after="0" w:line="240" w:lineRule="auto"/>
              <w:rPr>
                <w:sz w:val="20"/>
                <w:szCs w:val="20"/>
              </w:rPr>
            </w:pPr>
            <w:r w:rsidRPr="00BB4D6B">
              <w:rPr>
                <w:sz w:val="20"/>
                <w:szCs w:val="20"/>
              </w:rPr>
              <w:t>-0.92</w:t>
            </w:r>
          </w:p>
        </w:tc>
        <w:tc>
          <w:tcPr>
            <w:tcW w:w="1134" w:type="dxa"/>
            <w:noWrap/>
            <w:vAlign w:val="center"/>
            <w:hideMark/>
          </w:tcPr>
          <w:p w14:paraId="5A58CC86" w14:textId="77777777" w:rsidR="007A6A1A" w:rsidRPr="00BB4D6B" w:rsidRDefault="007A6A1A" w:rsidP="00BB4D6B">
            <w:pPr>
              <w:spacing w:after="0" w:line="240" w:lineRule="auto"/>
              <w:rPr>
                <w:sz w:val="20"/>
                <w:szCs w:val="20"/>
              </w:rPr>
            </w:pPr>
            <w:r w:rsidRPr="00BB4D6B">
              <w:rPr>
                <w:sz w:val="20"/>
                <w:szCs w:val="20"/>
              </w:rPr>
              <w:t>-1.71</w:t>
            </w:r>
          </w:p>
        </w:tc>
        <w:tc>
          <w:tcPr>
            <w:tcW w:w="1276" w:type="dxa"/>
            <w:tcBorders>
              <w:top w:val="nil"/>
              <w:left w:val="nil"/>
              <w:bottom w:val="nil"/>
              <w:right w:val="single" w:sz="4" w:space="0" w:color="auto"/>
            </w:tcBorders>
            <w:noWrap/>
            <w:vAlign w:val="center"/>
            <w:hideMark/>
          </w:tcPr>
          <w:p w14:paraId="1BAB12FD" w14:textId="77777777" w:rsidR="007A6A1A" w:rsidRPr="00BB4D6B" w:rsidRDefault="007A6A1A" w:rsidP="00BB4D6B">
            <w:pPr>
              <w:spacing w:after="0" w:line="240" w:lineRule="auto"/>
              <w:rPr>
                <w:sz w:val="20"/>
                <w:szCs w:val="20"/>
              </w:rPr>
            </w:pPr>
            <w:r w:rsidRPr="00BB4D6B">
              <w:rPr>
                <w:sz w:val="20"/>
                <w:szCs w:val="20"/>
              </w:rPr>
              <w:t>-0.80</w:t>
            </w:r>
          </w:p>
        </w:tc>
      </w:tr>
      <w:tr w:rsidR="007A6A1A" w:rsidRPr="00167CB8" w14:paraId="16EC1791" w14:textId="77777777" w:rsidTr="000449E6">
        <w:trPr>
          <w:trHeight w:val="341"/>
        </w:trPr>
        <w:tc>
          <w:tcPr>
            <w:tcW w:w="3496" w:type="dxa"/>
            <w:tcBorders>
              <w:top w:val="nil"/>
              <w:left w:val="single" w:sz="4" w:space="0" w:color="auto"/>
              <w:bottom w:val="nil"/>
              <w:right w:val="nil"/>
            </w:tcBorders>
            <w:vAlign w:val="center"/>
            <w:hideMark/>
          </w:tcPr>
          <w:p w14:paraId="7533BDF1" w14:textId="5487EFB1" w:rsidR="007A6A1A" w:rsidRPr="00BB4D6B" w:rsidRDefault="007A6A1A" w:rsidP="00BB4D6B">
            <w:pPr>
              <w:spacing w:after="0" w:line="240" w:lineRule="auto"/>
              <w:rPr>
                <w:sz w:val="20"/>
                <w:szCs w:val="20"/>
              </w:rPr>
            </w:pPr>
            <w:r w:rsidRPr="00BB4D6B">
              <w:rPr>
                <w:sz w:val="20"/>
                <w:szCs w:val="20"/>
              </w:rPr>
              <w:t>Change Nov 2022</w:t>
            </w:r>
            <w:r w:rsidR="00A461FB" w:rsidRPr="00BB4D6B">
              <w:rPr>
                <w:sz w:val="20"/>
                <w:szCs w:val="20"/>
              </w:rPr>
              <w:t xml:space="preserve"> </w:t>
            </w:r>
            <w:r w:rsidR="00A461FB" w:rsidRPr="00BB4D6B">
              <w:rPr>
                <w:rFonts w:ascii="Symbol" w:eastAsia="Symbol" w:hAnsi="Symbol" w:cs="Symbol"/>
                <w:sz w:val="20"/>
                <w:szCs w:val="20"/>
              </w:rPr>
              <w:sym w:font="Symbol" w:char="F02D"/>
            </w:r>
            <w:r w:rsidR="00A461FB" w:rsidRPr="00BB4D6B">
              <w:rPr>
                <w:sz w:val="20"/>
                <w:szCs w:val="20"/>
              </w:rPr>
              <w:t xml:space="preserve"> </w:t>
            </w:r>
            <w:r w:rsidRPr="00BB4D6B">
              <w:rPr>
                <w:sz w:val="20"/>
                <w:szCs w:val="20"/>
              </w:rPr>
              <w:t>Nov 2024</w:t>
            </w:r>
          </w:p>
        </w:tc>
        <w:tc>
          <w:tcPr>
            <w:tcW w:w="1380" w:type="dxa"/>
            <w:noWrap/>
            <w:vAlign w:val="center"/>
            <w:hideMark/>
          </w:tcPr>
          <w:p w14:paraId="5D0ABF1C" w14:textId="77777777" w:rsidR="007A6A1A" w:rsidRPr="00BB4D6B" w:rsidRDefault="007A6A1A" w:rsidP="00BB4D6B">
            <w:pPr>
              <w:spacing w:after="0" w:line="240" w:lineRule="auto"/>
              <w:rPr>
                <w:sz w:val="20"/>
                <w:szCs w:val="20"/>
              </w:rPr>
            </w:pPr>
            <w:r w:rsidRPr="00BB4D6B">
              <w:rPr>
                <w:sz w:val="20"/>
                <w:szCs w:val="20"/>
              </w:rPr>
              <w:t>4.3%</w:t>
            </w:r>
          </w:p>
        </w:tc>
        <w:tc>
          <w:tcPr>
            <w:tcW w:w="1382" w:type="dxa"/>
            <w:noWrap/>
            <w:vAlign w:val="center"/>
            <w:hideMark/>
          </w:tcPr>
          <w:p w14:paraId="0052790E" w14:textId="77777777" w:rsidR="007A6A1A" w:rsidRPr="00BB4D6B" w:rsidRDefault="007A6A1A" w:rsidP="00BB4D6B">
            <w:pPr>
              <w:spacing w:after="0" w:line="240" w:lineRule="auto"/>
              <w:rPr>
                <w:sz w:val="20"/>
                <w:szCs w:val="20"/>
              </w:rPr>
            </w:pPr>
            <w:r w:rsidRPr="00BB4D6B">
              <w:rPr>
                <w:sz w:val="20"/>
                <w:szCs w:val="20"/>
              </w:rPr>
              <w:t>10.4%</w:t>
            </w:r>
          </w:p>
        </w:tc>
        <w:tc>
          <w:tcPr>
            <w:tcW w:w="1382" w:type="dxa"/>
            <w:noWrap/>
            <w:vAlign w:val="center"/>
            <w:hideMark/>
          </w:tcPr>
          <w:p w14:paraId="76FAC66E" w14:textId="77777777" w:rsidR="007A6A1A" w:rsidRPr="00BB4D6B" w:rsidRDefault="007A6A1A" w:rsidP="00BB4D6B">
            <w:pPr>
              <w:spacing w:after="0" w:line="240" w:lineRule="auto"/>
              <w:rPr>
                <w:sz w:val="20"/>
                <w:szCs w:val="20"/>
              </w:rPr>
            </w:pPr>
            <w:r w:rsidRPr="00BB4D6B">
              <w:rPr>
                <w:sz w:val="20"/>
                <w:szCs w:val="20"/>
              </w:rPr>
              <w:t>5.4%</w:t>
            </w:r>
          </w:p>
        </w:tc>
        <w:tc>
          <w:tcPr>
            <w:tcW w:w="1382" w:type="dxa"/>
            <w:noWrap/>
            <w:vAlign w:val="center"/>
            <w:hideMark/>
          </w:tcPr>
          <w:p w14:paraId="0D9B5A95" w14:textId="77777777" w:rsidR="007A6A1A" w:rsidRPr="00BB4D6B" w:rsidRDefault="007A6A1A" w:rsidP="00BB4D6B">
            <w:pPr>
              <w:spacing w:after="0" w:line="240" w:lineRule="auto"/>
              <w:rPr>
                <w:sz w:val="20"/>
                <w:szCs w:val="20"/>
              </w:rPr>
            </w:pPr>
            <w:r w:rsidRPr="00BB4D6B">
              <w:rPr>
                <w:sz w:val="20"/>
                <w:szCs w:val="20"/>
              </w:rPr>
              <w:t>0.0</w:t>
            </w:r>
          </w:p>
        </w:tc>
        <w:tc>
          <w:tcPr>
            <w:tcW w:w="1382" w:type="dxa"/>
            <w:noWrap/>
            <w:vAlign w:val="center"/>
            <w:hideMark/>
          </w:tcPr>
          <w:p w14:paraId="1BEEC84B" w14:textId="77777777" w:rsidR="007A6A1A" w:rsidRPr="00BB4D6B" w:rsidRDefault="007A6A1A" w:rsidP="00BB4D6B">
            <w:pPr>
              <w:spacing w:after="0" w:line="240" w:lineRule="auto"/>
              <w:rPr>
                <w:sz w:val="20"/>
                <w:szCs w:val="20"/>
              </w:rPr>
            </w:pPr>
            <w:r w:rsidRPr="00BB4D6B">
              <w:rPr>
                <w:sz w:val="20"/>
                <w:szCs w:val="20"/>
              </w:rPr>
              <w:t>6.1%</w:t>
            </w:r>
          </w:p>
        </w:tc>
        <w:tc>
          <w:tcPr>
            <w:tcW w:w="931" w:type="dxa"/>
            <w:noWrap/>
            <w:vAlign w:val="center"/>
            <w:hideMark/>
          </w:tcPr>
          <w:p w14:paraId="3286A7A2" w14:textId="77777777" w:rsidR="007A6A1A" w:rsidRPr="00BB4D6B" w:rsidRDefault="007A6A1A" w:rsidP="00BB4D6B">
            <w:pPr>
              <w:spacing w:after="0" w:line="240" w:lineRule="auto"/>
              <w:rPr>
                <w:sz w:val="20"/>
                <w:szCs w:val="20"/>
              </w:rPr>
            </w:pPr>
            <w:r w:rsidRPr="00BB4D6B">
              <w:rPr>
                <w:sz w:val="20"/>
                <w:szCs w:val="20"/>
              </w:rPr>
              <w:t>0.62</w:t>
            </w:r>
          </w:p>
        </w:tc>
        <w:tc>
          <w:tcPr>
            <w:tcW w:w="1134" w:type="dxa"/>
            <w:noWrap/>
            <w:vAlign w:val="center"/>
            <w:hideMark/>
          </w:tcPr>
          <w:p w14:paraId="72D9C924" w14:textId="77777777" w:rsidR="007A6A1A" w:rsidRPr="00BB4D6B" w:rsidRDefault="007A6A1A" w:rsidP="00BB4D6B">
            <w:pPr>
              <w:spacing w:after="0" w:line="240" w:lineRule="auto"/>
              <w:rPr>
                <w:sz w:val="20"/>
                <w:szCs w:val="20"/>
              </w:rPr>
            </w:pPr>
            <w:r w:rsidRPr="00BB4D6B">
              <w:rPr>
                <w:sz w:val="20"/>
                <w:szCs w:val="20"/>
              </w:rPr>
              <w:t>0.55</w:t>
            </w:r>
          </w:p>
        </w:tc>
        <w:tc>
          <w:tcPr>
            <w:tcW w:w="1276" w:type="dxa"/>
            <w:tcBorders>
              <w:top w:val="nil"/>
              <w:left w:val="nil"/>
              <w:bottom w:val="nil"/>
              <w:right w:val="single" w:sz="4" w:space="0" w:color="auto"/>
            </w:tcBorders>
            <w:noWrap/>
            <w:vAlign w:val="center"/>
            <w:hideMark/>
          </w:tcPr>
          <w:p w14:paraId="28065B5F" w14:textId="77777777" w:rsidR="007A6A1A" w:rsidRPr="00BB4D6B" w:rsidRDefault="007A6A1A" w:rsidP="00BB4D6B">
            <w:pPr>
              <w:spacing w:after="0" w:line="240" w:lineRule="auto"/>
              <w:rPr>
                <w:sz w:val="20"/>
                <w:szCs w:val="20"/>
              </w:rPr>
            </w:pPr>
            <w:r w:rsidRPr="00BB4D6B">
              <w:rPr>
                <w:sz w:val="20"/>
                <w:szCs w:val="20"/>
              </w:rPr>
              <w:t>0.40</w:t>
            </w:r>
          </w:p>
        </w:tc>
      </w:tr>
      <w:tr w:rsidR="007A6A1A" w:rsidRPr="00167CB8" w14:paraId="7AD1286E" w14:textId="77777777" w:rsidTr="000449E6">
        <w:trPr>
          <w:trHeight w:val="341"/>
        </w:trPr>
        <w:tc>
          <w:tcPr>
            <w:tcW w:w="3496" w:type="dxa"/>
            <w:tcBorders>
              <w:top w:val="single" w:sz="4" w:space="0" w:color="auto"/>
              <w:left w:val="single" w:sz="4" w:space="0" w:color="auto"/>
              <w:bottom w:val="nil"/>
              <w:right w:val="nil"/>
            </w:tcBorders>
            <w:noWrap/>
            <w:vAlign w:val="center"/>
            <w:hideMark/>
          </w:tcPr>
          <w:p w14:paraId="7A50D729" w14:textId="77777777" w:rsidR="007A6A1A" w:rsidRPr="00BB4D6B" w:rsidRDefault="007A6A1A" w:rsidP="00BB4D6B">
            <w:pPr>
              <w:spacing w:after="0" w:line="240" w:lineRule="auto"/>
              <w:rPr>
                <w:b/>
                <w:bCs/>
                <w:sz w:val="20"/>
                <w:szCs w:val="20"/>
              </w:rPr>
            </w:pPr>
            <w:r w:rsidRPr="00BB4D6B">
              <w:rPr>
                <w:b/>
                <w:bCs/>
                <w:sz w:val="20"/>
                <w:szCs w:val="20"/>
              </w:rPr>
              <w:t>Women</w:t>
            </w:r>
          </w:p>
        </w:tc>
        <w:tc>
          <w:tcPr>
            <w:tcW w:w="1380" w:type="dxa"/>
            <w:tcBorders>
              <w:top w:val="single" w:sz="4" w:space="0" w:color="auto"/>
              <w:left w:val="nil"/>
              <w:bottom w:val="nil"/>
              <w:right w:val="nil"/>
            </w:tcBorders>
            <w:vAlign w:val="center"/>
            <w:hideMark/>
          </w:tcPr>
          <w:p w14:paraId="0A5B36A9" w14:textId="77777777" w:rsidR="007A6A1A" w:rsidRPr="00BB4D6B" w:rsidRDefault="007A6A1A" w:rsidP="00BB4D6B">
            <w:pPr>
              <w:spacing w:after="0" w:line="240" w:lineRule="auto"/>
              <w:rPr>
                <w:b/>
                <w:bCs/>
                <w:sz w:val="20"/>
                <w:szCs w:val="20"/>
              </w:rPr>
            </w:pPr>
          </w:p>
        </w:tc>
        <w:tc>
          <w:tcPr>
            <w:tcW w:w="1382" w:type="dxa"/>
            <w:tcBorders>
              <w:top w:val="single" w:sz="4" w:space="0" w:color="auto"/>
              <w:left w:val="nil"/>
              <w:bottom w:val="nil"/>
              <w:right w:val="nil"/>
            </w:tcBorders>
            <w:vAlign w:val="center"/>
            <w:hideMark/>
          </w:tcPr>
          <w:p w14:paraId="684CA11F" w14:textId="77777777" w:rsidR="007A6A1A" w:rsidRPr="00BB4D6B" w:rsidRDefault="007A6A1A" w:rsidP="00BB4D6B">
            <w:pPr>
              <w:spacing w:after="0" w:line="240" w:lineRule="auto"/>
              <w:rPr>
                <w:sz w:val="20"/>
                <w:szCs w:val="20"/>
              </w:rPr>
            </w:pPr>
          </w:p>
        </w:tc>
        <w:tc>
          <w:tcPr>
            <w:tcW w:w="1382" w:type="dxa"/>
            <w:tcBorders>
              <w:top w:val="single" w:sz="4" w:space="0" w:color="auto"/>
              <w:left w:val="nil"/>
              <w:bottom w:val="nil"/>
              <w:right w:val="nil"/>
            </w:tcBorders>
            <w:vAlign w:val="center"/>
            <w:hideMark/>
          </w:tcPr>
          <w:p w14:paraId="5ECE1726" w14:textId="77777777" w:rsidR="007A6A1A" w:rsidRPr="00BB4D6B" w:rsidRDefault="007A6A1A" w:rsidP="00BB4D6B">
            <w:pPr>
              <w:spacing w:after="0" w:line="240" w:lineRule="auto"/>
              <w:rPr>
                <w:sz w:val="20"/>
                <w:szCs w:val="20"/>
              </w:rPr>
            </w:pPr>
          </w:p>
        </w:tc>
        <w:tc>
          <w:tcPr>
            <w:tcW w:w="1382" w:type="dxa"/>
            <w:tcBorders>
              <w:top w:val="single" w:sz="4" w:space="0" w:color="auto"/>
              <w:left w:val="nil"/>
              <w:bottom w:val="nil"/>
              <w:right w:val="nil"/>
            </w:tcBorders>
            <w:vAlign w:val="center"/>
            <w:hideMark/>
          </w:tcPr>
          <w:p w14:paraId="235AF46F" w14:textId="77777777" w:rsidR="007A6A1A" w:rsidRPr="00BB4D6B" w:rsidRDefault="007A6A1A" w:rsidP="00BB4D6B">
            <w:pPr>
              <w:spacing w:after="0" w:line="240" w:lineRule="auto"/>
              <w:rPr>
                <w:sz w:val="20"/>
                <w:szCs w:val="20"/>
              </w:rPr>
            </w:pPr>
          </w:p>
        </w:tc>
        <w:tc>
          <w:tcPr>
            <w:tcW w:w="1382" w:type="dxa"/>
            <w:tcBorders>
              <w:top w:val="single" w:sz="4" w:space="0" w:color="auto"/>
              <w:left w:val="nil"/>
              <w:bottom w:val="nil"/>
              <w:right w:val="nil"/>
            </w:tcBorders>
            <w:vAlign w:val="center"/>
            <w:hideMark/>
          </w:tcPr>
          <w:p w14:paraId="736001D1" w14:textId="77777777" w:rsidR="007A6A1A" w:rsidRPr="00BB4D6B" w:rsidRDefault="007A6A1A" w:rsidP="00BB4D6B">
            <w:pPr>
              <w:spacing w:after="0" w:line="240" w:lineRule="auto"/>
              <w:rPr>
                <w:sz w:val="20"/>
                <w:szCs w:val="20"/>
              </w:rPr>
            </w:pPr>
          </w:p>
        </w:tc>
        <w:tc>
          <w:tcPr>
            <w:tcW w:w="931" w:type="dxa"/>
            <w:tcBorders>
              <w:top w:val="single" w:sz="4" w:space="0" w:color="auto"/>
              <w:left w:val="nil"/>
              <w:bottom w:val="nil"/>
              <w:right w:val="nil"/>
            </w:tcBorders>
            <w:vAlign w:val="center"/>
            <w:hideMark/>
          </w:tcPr>
          <w:p w14:paraId="4532914F" w14:textId="77777777" w:rsidR="007A6A1A" w:rsidRPr="00BB4D6B" w:rsidRDefault="007A6A1A" w:rsidP="00BB4D6B">
            <w:pPr>
              <w:spacing w:after="0" w:line="240" w:lineRule="auto"/>
              <w:rPr>
                <w:sz w:val="20"/>
                <w:szCs w:val="20"/>
              </w:rPr>
            </w:pPr>
          </w:p>
        </w:tc>
        <w:tc>
          <w:tcPr>
            <w:tcW w:w="1134" w:type="dxa"/>
            <w:tcBorders>
              <w:top w:val="single" w:sz="4" w:space="0" w:color="auto"/>
              <w:left w:val="nil"/>
              <w:bottom w:val="nil"/>
              <w:right w:val="nil"/>
            </w:tcBorders>
            <w:vAlign w:val="center"/>
            <w:hideMark/>
          </w:tcPr>
          <w:p w14:paraId="3FFD4A35" w14:textId="77777777" w:rsidR="007A6A1A" w:rsidRPr="00BB4D6B" w:rsidRDefault="007A6A1A" w:rsidP="00BB4D6B">
            <w:pPr>
              <w:spacing w:after="0" w:line="240" w:lineRule="auto"/>
              <w:rPr>
                <w:sz w:val="20"/>
                <w:szCs w:val="20"/>
              </w:rPr>
            </w:pPr>
          </w:p>
        </w:tc>
        <w:tc>
          <w:tcPr>
            <w:tcW w:w="1276" w:type="dxa"/>
            <w:tcBorders>
              <w:top w:val="single" w:sz="4" w:space="0" w:color="auto"/>
              <w:left w:val="nil"/>
              <w:bottom w:val="nil"/>
              <w:right w:val="single" w:sz="4" w:space="0" w:color="auto"/>
            </w:tcBorders>
            <w:vAlign w:val="center"/>
            <w:hideMark/>
          </w:tcPr>
          <w:p w14:paraId="7314AA2B" w14:textId="77777777" w:rsidR="007A6A1A" w:rsidRPr="00BB4D6B" w:rsidRDefault="007A6A1A" w:rsidP="00BB4D6B">
            <w:pPr>
              <w:spacing w:after="0" w:line="240" w:lineRule="auto"/>
              <w:rPr>
                <w:sz w:val="20"/>
                <w:szCs w:val="20"/>
              </w:rPr>
            </w:pPr>
          </w:p>
        </w:tc>
      </w:tr>
      <w:tr w:rsidR="007A6A1A" w:rsidRPr="00167CB8" w14:paraId="3D338280" w14:textId="77777777" w:rsidTr="000449E6">
        <w:trPr>
          <w:trHeight w:val="341"/>
        </w:trPr>
        <w:tc>
          <w:tcPr>
            <w:tcW w:w="3496" w:type="dxa"/>
            <w:tcBorders>
              <w:top w:val="nil"/>
              <w:left w:val="single" w:sz="4" w:space="0" w:color="auto"/>
              <w:bottom w:val="nil"/>
              <w:right w:val="nil"/>
            </w:tcBorders>
            <w:noWrap/>
            <w:vAlign w:val="center"/>
            <w:hideMark/>
          </w:tcPr>
          <w:p w14:paraId="45090B0F" w14:textId="77777777" w:rsidR="007A6A1A" w:rsidRPr="00BB4D6B" w:rsidRDefault="007A6A1A" w:rsidP="00BB4D6B">
            <w:pPr>
              <w:spacing w:after="0" w:line="240" w:lineRule="auto"/>
              <w:rPr>
                <w:sz w:val="20"/>
                <w:szCs w:val="20"/>
              </w:rPr>
            </w:pPr>
            <w:r w:rsidRPr="00BB4D6B">
              <w:rPr>
                <w:sz w:val="20"/>
                <w:szCs w:val="20"/>
              </w:rPr>
              <w:t>Nov-12</w:t>
            </w:r>
          </w:p>
        </w:tc>
        <w:tc>
          <w:tcPr>
            <w:tcW w:w="1380" w:type="dxa"/>
            <w:noWrap/>
            <w:vAlign w:val="center"/>
            <w:hideMark/>
          </w:tcPr>
          <w:p w14:paraId="06FA051C" w14:textId="77777777" w:rsidR="007A6A1A" w:rsidRPr="00BB4D6B" w:rsidRDefault="007A6A1A" w:rsidP="00BB4D6B">
            <w:pPr>
              <w:spacing w:after="0" w:line="240" w:lineRule="auto"/>
              <w:rPr>
                <w:sz w:val="20"/>
                <w:szCs w:val="20"/>
              </w:rPr>
            </w:pPr>
            <w:r w:rsidRPr="00BB4D6B">
              <w:rPr>
                <w:sz w:val="20"/>
                <w:szCs w:val="20"/>
              </w:rPr>
              <w:t>2,833.3</w:t>
            </w:r>
          </w:p>
        </w:tc>
        <w:tc>
          <w:tcPr>
            <w:tcW w:w="1382" w:type="dxa"/>
            <w:noWrap/>
            <w:vAlign w:val="center"/>
            <w:hideMark/>
          </w:tcPr>
          <w:p w14:paraId="40A2C1AA" w14:textId="7E20085A" w:rsidR="007A6A1A" w:rsidRPr="00BB4D6B" w:rsidRDefault="007A6A1A" w:rsidP="00BB4D6B">
            <w:pPr>
              <w:spacing w:after="0" w:line="240" w:lineRule="auto"/>
              <w:rPr>
                <w:sz w:val="20"/>
                <w:szCs w:val="20"/>
              </w:rPr>
            </w:pPr>
            <w:r w:rsidRPr="00BB4D6B">
              <w:rPr>
                <w:sz w:val="20"/>
                <w:szCs w:val="20"/>
              </w:rPr>
              <w:t>2</w:t>
            </w:r>
            <w:r w:rsidR="00A461FB" w:rsidRPr="00BB4D6B">
              <w:rPr>
                <w:sz w:val="20"/>
                <w:szCs w:val="20"/>
              </w:rPr>
              <w:t>,</w:t>
            </w:r>
            <w:r w:rsidRPr="00BB4D6B">
              <w:rPr>
                <w:sz w:val="20"/>
                <w:szCs w:val="20"/>
              </w:rPr>
              <w:t>378.5</w:t>
            </w:r>
          </w:p>
        </w:tc>
        <w:tc>
          <w:tcPr>
            <w:tcW w:w="1382" w:type="dxa"/>
            <w:noWrap/>
            <w:vAlign w:val="center"/>
            <w:hideMark/>
          </w:tcPr>
          <w:p w14:paraId="3EEC5CF7" w14:textId="77777777" w:rsidR="007A6A1A" w:rsidRPr="00BB4D6B" w:rsidRDefault="007A6A1A" w:rsidP="00BB4D6B">
            <w:pPr>
              <w:spacing w:after="0" w:line="240" w:lineRule="auto"/>
              <w:rPr>
                <w:sz w:val="20"/>
                <w:szCs w:val="20"/>
              </w:rPr>
            </w:pPr>
            <w:r w:rsidRPr="00BB4D6B">
              <w:rPr>
                <w:sz w:val="20"/>
                <w:szCs w:val="20"/>
              </w:rPr>
              <w:t>5,211.8</w:t>
            </w:r>
          </w:p>
        </w:tc>
        <w:tc>
          <w:tcPr>
            <w:tcW w:w="1382" w:type="dxa"/>
            <w:noWrap/>
            <w:vAlign w:val="center"/>
            <w:hideMark/>
          </w:tcPr>
          <w:p w14:paraId="0CB75124" w14:textId="77777777" w:rsidR="007A6A1A" w:rsidRPr="00BB4D6B" w:rsidRDefault="007A6A1A" w:rsidP="00BB4D6B">
            <w:pPr>
              <w:spacing w:after="0" w:line="240" w:lineRule="auto"/>
              <w:rPr>
                <w:sz w:val="20"/>
                <w:szCs w:val="20"/>
              </w:rPr>
            </w:pPr>
            <w:r w:rsidRPr="00BB4D6B">
              <w:rPr>
                <w:sz w:val="20"/>
                <w:szCs w:val="20"/>
              </w:rPr>
              <w:t>55.5</w:t>
            </w:r>
          </w:p>
        </w:tc>
        <w:tc>
          <w:tcPr>
            <w:tcW w:w="1382" w:type="dxa"/>
            <w:noWrap/>
            <w:vAlign w:val="center"/>
            <w:hideMark/>
          </w:tcPr>
          <w:p w14:paraId="6FB08AA5" w14:textId="4378205C" w:rsidR="007A6A1A" w:rsidRPr="00BB4D6B" w:rsidRDefault="007A6A1A" w:rsidP="00BB4D6B">
            <w:pPr>
              <w:spacing w:after="0" w:line="240" w:lineRule="auto"/>
              <w:rPr>
                <w:sz w:val="20"/>
                <w:szCs w:val="20"/>
              </w:rPr>
            </w:pPr>
            <w:r w:rsidRPr="00BB4D6B">
              <w:rPr>
                <w:sz w:val="20"/>
                <w:szCs w:val="20"/>
              </w:rPr>
              <w:t>5</w:t>
            </w:r>
            <w:r w:rsidR="00A461FB" w:rsidRPr="00BB4D6B">
              <w:rPr>
                <w:sz w:val="20"/>
                <w:szCs w:val="20"/>
              </w:rPr>
              <w:t>,</w:t>
            </w:r>
            <w:r w:rsidRPr="00BB4D6B">
              <w:rPr>
                <w:sz w:val="20"/>
                <w:szCs w:val="20"/>
              </w:rPr>
              <w:t>499.2</w:t>
            </w:r>
          </w:p>
        </w:tc>
        <w:tc>
          <w:tcPr>
            <w:tcW w:w="931" w:type="dxa"/>
            <w:noWrap/>
            <w:vAlign w:val="center"/>
            <w:hideMark/>
          </w:tcPr>
          <w:p w14:paraId="62C3E176" w14:textId="77777777" w:rsidR="007A6A1A" w:rsidRPr="00BB4D6B" w:rsidRDefault="007A6A1A" w:rsidP="00BB4D6B">
            <w:pPr>
              <w:spacing w:after="0" w:line="240" w:lineRule="auto"/>
              <w:rPr>
                <w:sz w:val="20"/>
                <w:szCs w:val="20"/>
              </w:rPr>
            </w:pPr>
            <w:r w:rsidRPr="00BB4D6B">
              <w:rPr>
                <w:sz w:val="20"/>
                <w:szCs w:val="20"/>
              </w:rPr>
              <w:t>58.6</w:t>
            </w:r>
          </w:p>
        </w:tc>
        <w:tc>
          <w:tcPr>
            <w:tcW w:w="1134" w:type="dxa"/>
            <w:noWrap/>
            <w:vAlign w:val="center"/>
            <w:hideMark/>
          </w:tcPr>
          <w:p w14:paraId="0FAD6016" w14:textId="77777777" w:rsidR="007A6A1A" w:rsidRPr="00BB4D6B" w:rsidRDefault="007A6A1A" w:rsidP="00BB4D6B">
            <w:pPr>
              <w:spacing w:after="0" w:line="240" w:lineRule="auto"/>
              <w:rPr>
                <w:sz w:val="20"/>
                <w:szCs w:val="20"/>
              </w:rPr>
            </w:pPr>
            <w:r w:rsidRPr="00BB4D6B">
              <w:rPr>
                <w:sz w:val="20"/>
                <w:szCs w:val="20"/>
              </w:rPr>
              <w:t>5.2</w:t>
            </w:r>
          </w:p>
        </w:tc>
        <w:tc>
          <w:tcPr>
            <w:tcW w:w="1276" w:type="dxa"/>
            <w:tcBorders>
              <w:top w:val="nil"/>
              <w:left w:val="nil"/>
              <w:bottom w:val="nil"/>
              <w:right w:val="single" w:sz="4" w:space="0" w:color="auto"/>
            </w:tcBorders>
            <w:noWrap/>
            <w:vAlign w:val="center"/>
            <w:hideMark/>
          </w:tcPr>
          <w:p w14:paraId="094BD4E8" w14:textId="77777777" w:rsidR="007A6A1A" w:rsidRPr="00BB4D6B" w:rsidRDefault="007A6A1A" w:rsidP="00BB4D6B">
            <w:pPr>
              <w:spacing w:after="0" w:line="240" w:lineRule="auto"/>
              <w:rPr>
                <w:sz w:val="20"/>
                <w:szCs w:val="20"/>
              </w:rPr>
            </w:pPr>
            <w:r w:rsidRPr="00BB4D6B">
              <w:rPr>
                <w:sz w:val="20"/>
                <w:szCs w:val="20"/>
              </w:rPr>
              <w:t>9.6</w:t>
            </w:r>
          </w:p>
        </w:tc>
      </w:tr>
      <w:tr w:rsidR="007A6A1A" w:rsidRPr="00167CB8" w14:paraId="0469712B" w14:textId="77777777" w:rsidTr="000449E6">
        <w:trPr>
          <w:trHeight w:val="341"/>
        </w:trPr>
        <w:tc>
          <w:tcPr>
            <w:tcW w:w="3496" w:type="dxa"/>
            <w:tcBorders>
              <w:top w:val="nil"/>
              <w:left w:val="single" w:sz="4" w:space="0" w:color="auto"/>
              <w:bottom w:val="nil"/>
              <w:right w:val="nil"/>
            </w:tcBorders>
            <w:noWrap/>
            <w:vAlign w:val="center"/>
            <w:hideMark/>
          </w:tcPr>
          <w:p w14:paraId="7C224781" w14:textId="77777777" w:rsidR="007A6A1A" w:rsidRPr="00BB4D6B" w:rsidRDefault="007A6A1A" w:rsidP="00BB4D6B">
            <w:pPr>
              <w:spacing w:after="0" w:line="240" w:lineRule="auto"/>
              <w:rPr>
                <w:sz w:val="20"/>
                <w:szCs w:val="20"/>
              </w:rPr>
            </w:pPr>
            <w:r w:rsidRPr="00BB4D6B">
              <w:rPr>
                <w:sz w:val="20"/>
                <w:szCs w:val="20"/>
              </w:rPr>
              <w:t>Nov-22</w:t>
            </w:r>
          </w:p>
        </w:tc>
        <w:tc>
          <w:tcPr>
            <w:tcW w:w="1380" w:type="dxa"/>
            <w:noWrap/>
            <w:vAlign w:val="center"/>
            <w:hideMark/>
          </w:tcPr>
          <w:p w14:paraId="4A1E2C5B" w14:textId="77777777" w:rsidR="007A6A1A" w:rsidRPr="00BB4D6B" w:rsidRDefault="007A6A1A" w:rsidP="00BB4D6B">
            <w:pPr>
              <w:spacing w:after="0" w:line="240" w:lineRule="auto"/>
              <w:rPr>
                <w:sz w:val="20"/>
                <w:szCs w:val="20"/>
              </w:rPr>
            </w:pPr>
            <w:r w:rsidRPr="00BB4D6B">
              <w:rPr>
                <w:sz w:val="20"/>
                <w:szCs w:val="20"/>
              </w:rPr>
              <w:t>3,740.5</w:t>
            </w:r>
          </w:p>
        </w:tc>
        <w:tc>
          <w:tcPr>
            <w:tcW w:w="1382" w:type="dxa"/>
            <w:noWrap/>
            <w:vAlign w:val="center"/>
            <w:hideMark/>
          </w:tcPr>
          <w:p w14:paraId="029868B8" w14:textId="46AA1F7A" w:rsidR="007A6A1A" w:rsidRPr="00BB4D6B" w:rsidRDefault="007A6A1A" w:rsidP="00BB4D6B">
            <w:pPr>
              <w:spacing w:after="0" w:line="240" w:lineRule="auto"/>
              <w:rPr>
                <w:sz w:val="20"/>
                <w:szCs w:val="20"/>
              </w:rPr>
            </w:pPr>
            <w:r w:rsidRPr="00BB4D6B">
              <w:rPr>
                <w:sz w:val="20"/>
                <w:szCs w:val="20"/>
              </w:rPr>
              <w:t>2</w:t>
            </w:r>
            <w:r w:rsidR="00A461FB" w:rsidRPr="00BB4D6B">
              <w:rPr>
                <w:sz w:val="20"/>
                <w:szCs w:val="20"/>
              </w:rPr>
              <w:t>,</w:t>
            </w:r>
            <w:r w:rsidRPr="00BB4D6B">
              <w:rPr>
                <w:sz w:val="20"/>
                <w:szCs w:val="20"/>
              </w:rPr>
              <w:t>843.0</w:t>
            </w:r>
          </w:p>
        </w:tc>
        <w:tc>
          <w:tcPr>
            <w:tcW w:w="1382" w:type="dxa"/>
            <w:noWrap/>
            <w:vAlign w:val="center"/>
            <w:hideMark/>
          </w:tcPr>
          <w:p w14:paraId="2BF5FD2A" w14:textId="77777777" w:rsidR="007A6A1A" w:rsidRPr="00BB4D6B" w:rsidRDefault="007A6A1A" w:rsidP="00BB4D6B">
            <w:pPr>
              <w:spacing w:after="0" w:line="240" w:lineRule="auto"/>
              <w:rPr>
                <w:sz w:val="20"/>
                <w:szCs w:val="20"/>
              </w:rPr>
            </w:pPr>
            <w:r w:rsidRPr="00BB4D6B">
              <w:rPr>
                <w:sz w:val="20"/>
                <w:szCs w:val="20"/>
              </w:rPr>
              <w:t>6,583.5</w:t>
            </w:r>
          </w:p>
        </w:tc>
        <w:tc>
          <w:tcPr>
            <w:tcW w:w="1382" w:type="dxa"/>
            <w:noWrap/>
            <w:vAlign w:val="center"/>
            <w:hideMark/>
          </w:tcPr>
          <w:p w14:paraId="16FDEF15" w14:textId="77777777" w:rsidR="007A6A1A" w:rsidRPr="00BB4D6B" w:rsidRDefault="007A6A1A" w:rsidP="00BB4D6B">
            <w:pPr>
              <w:spacing w:after="0" w:line="240" w:lineRule="auto"/>
              <w:rPr>
                <w:sz w:val="20"/>
                <w:szCs w:val="20"/>
              </w:rPr>
            </w:pPr>
            <w:r w:rsidRPr="00BB4D6B">
              <w:rPr>
                <w:sz w:val="20"/>
                <w:szCs w:val="20"/>
              </w:rPr>
              <w:t>60.4</w:t>
            </w:r>
          </w:p>
        </w:tc>
        <w:tc>
          <w:tcPr>
            <w:tcW w:w="1382" w:type="dxa"/>
            <w:noWrap/>
            <w:vAlign w:val="center"/>
            <w:hideMark/>
          </w:tcPr>
          <w:p w14:paraId="26C9B34D" w14:textId="6102B05C" w:rsidR="007A6A1A" w:rsidRPr="00BB4D6B" w:rsidRDefault="007A6A1A" w:rsidP="00BB4D6B">
            <w:pPr>
              <w:spacing w:after="0" w:line="240" w:lineRule="auto"/>
              <w:rPr>
                <w:sz w:val="20"/>
                <w:szCs w:val="20"/>
              </w:rPr>
            </w:pPr>
            <w:r w:rsidRPr="00BB4D6B">
              <w:rPr>
                <w:sz w:val="20"/>
                <w:szCs w:val="20"/>
              </w:rPr>
              <w:t>6</w:t>
            </w:r>
            <w:r w:rsidR="00A461FB" w:rsidRPr="00BB4D6B">
              <w:rPr>
                <w:sz w:val="20"/>
                <w:szCs w:val="20"/>
              </w:rPr>
              <w:t>,</w:t>
            </w:r>
            <w:r w:rsidRPr="00BB4D6B">
              <w:rPr>
                <w:sz w:val="20"/>
                <w:szCs w:val="20"/>
              </w:rPr>
              <w:t>824.3</w:t>
            </w:r>
          </w:p>
        </w:tc>
        <w:tc>
          <w:tcPr>
            <w:tcW w:w="931" w:type="dxa"/>
            <w:noWrap/>
            <w:vAlign w:val="center"/>
            <w:hideMark/>
          </w:tcPr>
          <w:p w14:paraId="22F04D11" w14:textId="77777777" w:rsidR="007A6A1A" w:rsidRPr="00BB4D6B" w:rsidRDefault="007A6A1A" w:rsidP="00BB4D6B">
            <w:pPr>
              <w:spacing w:after="0" w:line="240" w:lineRule="auto"/>
              <w:rPr>
                <w:sz w:val="20"/>
                <w:szCs w:val="20"/>
              </w:rPr>
            </w:pPr>
            <w:r w:rsidRPr="00BB4D6B">
              <w:rPr>
                <w:sz w:val="20"/>
                <w:szCs w:val="20"/>
              </w:rPr>
              <w:t>62.6</w:t>
            </w:r>
          </w:p>
        </w:tc>
        <w:tc>
          <w:tcPr>
            <w:tcW w:w="1134" w:type="dxa"/>
            <w:noWrap/>
            <w:vAlign w:val="center"/>
            <w:hideMark/>
          </w:tcPr>
          <w:p w14:paraId="77C95293" w14:textId="77777777" w:rsidR="007A6A1A" w:rsidRPr="00BB4D6B" w:rsidRDefault="007A6A1A" w:rsidP="00BB4D6B">
            <w:pPr>
              <w:spacing w:after="0" w:line="240" w:lineRule="auto"/>
              <w:rPr>
                <w:sz w:val="20"/>
                <w:szCs w:val="20"/>
              </w:rPr>
            </w:pPr>
            <w:r w:rsidRPr="00BB4D6B">
              <w:rPr>
                <w:sz w:val="20"/>
                <w:szCs w:val="20"/>
              </w:rPr>
              <w:t>3.5</w:t>
            </w:r>
          </w:p>
        </w:tc>
        <w:tc>
          <w:tcPr>
            <w:tcW w:w="1276" w:type="dxa"/>
            <w:tcBorders>
              <w:top w:val="nil"/>
              <w:left w:val="nil"/>
              <w:bottom w:val="nil"/>
              <w:right w:val="single" w:sz="4" w:space="0" w:color="auto"/>
            </w:tcBorders>
            <w:noWrap/>
            <w:vAlign w:val="center"/>
            <w:hideMark/>
          </w:tcPr>
          <w:p w14:paraId="0171C399" w14:textId="77777777" w:rsidR="007A6A1A" w:rsidRPr="00BB4D6B" w:rsidRDefault="007A6A1A" w:rsidP="00BB4D6B">
            <w:pPr>
              <w:spacing w:after="0" w:line="240" w:lineRule="auto"/>
              <w:rPr>
                <w:sz w:val="20"/>
                <w:szCs w:val="20"/>
              </w:rPr>
            </w:pPr>
            <w:r w:rsidRPr="00BB4D6B">
              <w:rPr>
                <w:sz w:val="20"/>
                <w:szCs w:val="20"/>
              </w:rPr>
              <w:t>7.6</w:t>
            </w:r>
          </w:p>
        </w:tc>
      </w:tr>
      <w:tr w:rsidR="007A6A1A" w:rsidRPr="00167CB8" w14:paraId="2DF2AB11" w14:textId="77777777" w:rsidTr="000449E6">
        <w:trPr>
          <w:trHeight w:val="341"/>
        </w:trPr>
        <w:tc>
          <w:tcPr>
            <w:tcW w:w="3496" w:type="dxa"/>
            <w:tcBorders>
              <w:top w:val="nil"/>
              <w:left w:val="single" w:sz="4" w:space="0" w:color="auto"/>
              <w:bottom w:val="nil"/>
              <w:right w:val="nil"/>
            </w:tcBorders>
            <w:noWrap/>
            <w:vAlign w:val="center"/>
            <w:hideMark/>
          </w:tcPr>
          <w:p w14:paraId="5C273505" w14:textId="77777777" w:rsidR="007A6A1A" w:rsidRPr="00BB4D6B" w:rsidRDefault="007A6A1A" w:rsidP="00BB4D6B">
            <w:pPr>
              <w:spacing w:after="0" w:line="240" w:lineRule="auto"/>
              <w:rPr>
                <w:sz w:val="20"/>
                <w:szCs w:val="20"/>
              </w:rPr>
            </w:pPr>
            <w:r w:rsidRPr="00BB4D6B">
              <w:rPr>
                <w:sz w:val="20"/>
                <w:szCs w:val="20"/>
              </w:rPr>
              <w:t>Nov-24</w:t>
            </w:r>
          </w:p>
        </w:tc>
        <w:tc>
          <w:tcPr>
            <w:tcW w:w="1380" w:type="dxa"/>
            <w:noWrap/>
            <w:vAlign w:val="center"/>
            <w:hideMark/>
          </w:tcPr>
          <w:p w14:paraId="6729E134" w14:textId="77777777" w:rsidR="007A6A1A" w:rsidRPr="00BB4D6B" w:rsidRDefault="007A6A1A" w:rsidP="00BB4D6B">
            <w:pPr>
              <w:spacing w:after="0" w:line="240" w:lineRule="auto"/>
              <w:rPr>
                <w:sz w:val="20"/>
                <w:szCs w:val="20"/>
              </w:rPr>
            </w:pPr>
            <w:r w:rsidRPr="00BB4D6B">
              <w:rPr>
                <w:sz w:val="20"/>
                <w:szCs w:val="20"/>
              </w:rPr>
              <w:t>3,966.9</w:t>
            </w:r>
          </w:p>
        </w:tc>
        <w:tc>
          <w:tcPr>
            <w:tcW w:w="1382" w:type="dxa"/>
            <w:noWrap/>
            <w:vAlign w:val="center"/>
            <w:hideMark/>
          </w:tcPr>
          <w:p w14:paraId="4CB1876B" w14:textId="1F48B5EE" w:rsidR="007A6A1A" w:rsidRPr="00BB4D6B" w:rsidRDefault="007A6A1A" w:rsidP="00BB4D6B">
            <w:pPr>
              <w:spacing w:after="0" w:line="240" w:lineRule="auto"/>
              <w:rPr>
                <w:sz w:val="20"/>
                <w:szCs w:val="20"/>
              </w:rPr>
            </w:pPr>
            <w:r w:rsidRPr="00BB4D6B">
              <w:rPr>
                <w:sz w:val="20"/>
                <w:szCs w:val="20"/>
              </w:rPr>
              <w:t>2</w:t>
            </w:r>
            <w:r w:rsidR="00A461FB" w:rsidRPr="00BB4D6B">
              <w:rPr>
                <w:sz w:val="20"/>
                <w:szCs w:val="20"/>
              </w:rPr>
              <w:t>,</w:t>
            </w:r>
            <w:r w:rsidRPr="00BB4D6B">
              <w:rPr>
                <w:sz w:val="20"/>
                <w:szCs w:val="20"/>
              </w:rPr>
              <w:t>980.8</w:t>
            </w:r>
          </w:p>
        </w:tc>
        <w:tc>
          <w:tcPr>
            <w:tcW w:w="1382" w:type="dxa"/>
            <w:noWrap/>
            <w:vAlign w:val="center"/>
            <w:hideMark/>
          </w:tcPr>
          <w:p w14:paraId="51A4F38E" w14:textId="77777777" w:rsidR="007A6A1A" w:rsidRPr="00BB4D6B" w:rsidRDefault="007A6A1A" w:rsidP="00BB4D6B">
            <w:pPr>
              <w:spacing w:after="0" w:line="240" w:lineRule="auto"/>
              <w:rPr>
                <w:sz w:val="20"/>
                <w:szCs w:val="20"/>
              </w:rPr>
            </w:pPr>
            <w:r w:rsidRPr="00BB4D6B">
              <w:rPr>
                <w:sz w:val="20"/>
                <w:szCs w:val="20"/>
              </w:rPr>
              <w:t>6,947.7</w:t>
            </w:r>
          </w:p>
        </w:tc>
        <w:tc>
          <w:tcPr>
            <w:tcW w:w="1382" w:type="dxa"/>
            <w:noWrap/>
            <w:vAlign w:val="center"/>
            <w:hideMark/>
          </w:tcPr>
          <w:p w14:paraId="402066B4" w14:textId="77777777" w:rsidR="007A6A1A" w:rsidRPr="00BB4D6B" w:rsidRDefault="007A6A1A" w:rsidP="00BB4D6B">
            <w:pPr>
              <w:spacing w:after="0" w:line="240" w:lineRule="auto"/>
              <w:rPr>
                <w:sz w:val="20"/>
                <w:szCs w:val="20"/>
              </w:rPr>
            </w:pPr>
            <w:r w:rsidRPr="00BB4D6B">
              <w:rPr>
                <w:sz w:val="20"/>
                <w:szCs w:val="20"/>
              </w:rPr>
              <w:t>60.6</w:t>
            </w:r>
          </w:p>
        </w:tc>
        <w:tc>
          <w:tcPr>
            <w:tcW w:w="1382" w:type="dxa"/>
            <w:noWrap/>
            <w:vAlign w:val="center"/>
            <w:hideMark/>
          </w:tcPr>
          <w:p w14:paraId="3610D23F" w14:textId="29106974" w:rsidR="007A6A1A" w:rsidRPr="00BB4D6B" w:rsidRDefault="007A6A1A" w:rsidP="00BB4D6B">
            <w:pPr>
              <w:spacing w:after="0" w:line="240" w:lineRule="auto"/>
              <w:rPr>
                <w:sz w:val="20"/>
                <w:szCs w:val="20"/>
              </w:rPr>
            </w:pPr>
            <w:r w:rsidRPr="00BB4D6B">
              <w:rPr>
                <w:sz w:val="20"/>
                <w:szCs w:val="20"/>
              </w:rPr>
              <w:t>7</w:t>
            </w:r>
            <w:r w:rsidR="00A461FB" w:rsidRPr="00BB4D6B">
              <w:rPr>
                <w:sz w:val="20"/>
                <w:szCs w:val="20"/>
              </w:rPr>
              <w:t>,</w:t>
            </w:r>
            <w:r w:rsidRPr="00BB4D6B">
              <w:rPr>
                <w:sz w:val="20"/>
                <w:szCs w:val="20"/>
              </w:rPr>
              <w:t>221.4</w:t>
            </w:r>
          </w:p>
        </w:tc>
        <w:tc>
          <w:tcPr>
            <w:tcW w:w="931" w:type="dxa"/>
            <w:noWrap/>
            <w:vAlign w:val="center"/>
            <w:hideMark/>
          </w:tcPr>
          <w:p w14:paraId="3E5E7FF9" w14:textId="77777777" w:rsidR="007A6A1A" w:rsidRPr="00BB4D6B" w:rsidRDefault="007A6A1A" w:rsidP="00BB4D6B">
            <w:pPr>
              <w:spacing w:after="0" w:line="240" w:lineRule="auto"/>
              <w:rPr>
                <w:sz w:val="20"/>
                <w:szCs w:val="20"/>
              </w:rPr>
            </w:pPr>
            <w:r w:rsidRPr="00BB4D6B">
              <w:rPr>
                <w:sz w:val="20"/>
                <w:szCs w:val="20"/>
              </w:rPr>
              <w:t>62.9</w:t>
            </w:r>
          </w:p>
        </w:tc>
        <w:tc>
          <w:tcPr>
            <w:tcW w:w="1134" w:type="dxa"/>
            <w:noWrap/>
            <w:vAlign w:val="center"/>
            <w:hideMark/>
          </w:tcPr>
          <w:p w14:paraId="4A603911" w14:textId="77777777" w:rsidR="007A6A1A" w:rsidRPr="00BB4D6B" w:rsidRDefault="007A6A1A" w:rsidP="00BB4D6B">
            <w:pPr>
              <w:spacing w:after="0" w:line="240" w:lineRule="auto"/>
              <w:rPr>
                <w:sz w:val="20"/>
                <w:szCs w:val="20"/>
              </w:rPr>
            </w:pPr>
            <w:r w:rsidRPr="00BB4D6B">
              <w:rPr>
                <w:sz w:val="20"/>
                <w:szCs w:val="20"/>
              </w:rPr>
              <w:t>3.8</w:t>
            </w:r>
          </w:p>
        </w:tc>
        <w:tc>
          <w:tcPr>
            <w:tcW w:w="1276" w:type="dxa"/>
            <w:tcBorders>
              <w:top w:val="nil"/>
              <w:left w:val="nil"/>
              <w:bottom w:val="nil"/>
              <w:right w:val="single" w:sz="4" w:space="0" w:color="auto"/>
            </w:tcBorders>
            <w:noWrap/>
            <w:vAlign w:val="center"/>
            <w:hideMark/>
          </w:tcPr>
          <w:p w14:paraId="687A1132" w14:textId="77777777" w:rsidR="007A6A1A" w:rsidRPr="00BB4D6B" w:rsidRDefault="007A6A1A" w:rsidP="00BB4D6B">
            <w:pPr>
              <w:spacing w:after="0" w:line="240" w:lineRule="auto"/>
              <w:rPr>
                <w:sz w:val="20"/>
                <w:szCs w:val="20"/>
              </w:rPr>
            </w:pPr>
            <w:r w:rsidRPr="00BB4D6B">
              <w:rPr>
                <w:sz w:val="20"/>
                <w:szCs w:val="20"/>
              </w:rPr>
              <w:t>7.6</w:t>
            </w:r>
          </w:p>
        </w:tc>
      </w:tr>
      <w:tr w:rsidR="007A6A1A" w:rsidRPr="00167CB8" w14:paraId="2B3EB8C7" w14:textId="77777777" w:rsidTr="000449E6">
        <w:trPr>
          <w:trHeight w:val="341"/>
        </w:trPr>
        <w:tc>
          <w:tcPr>
            <w:tcW w:w="3496" w:type="dxa"/>
            <w:tcBorders>
              <w:top w:val="nil"/>
              <w:left w:val="single" w:sz="4" w:space="0" w:color="auto"/>
              <w:bottom w:val="nil"/>
              <w:right w:val="nil"/>
            </w:tcBorders>
            <w:vAlign w:val="center"/>
            <w:hideMark/>
          </w:tcPr>
          <w:p w14:paraId="51998756" w14:textId="7E033B88" w:rsidR="007A6A1A" w:rsidRPr="00BB4D6B" w:rsidRDefault="007A6A1A" w:rsidP="00BB4D6B">
            <w:pPr>
              <w:spacing w:after="0" w:line="240" w:lineRule="auto"/>
              <w:rPr>
                <w:sz w:val="20"/>
                <w:szCs w:val="20"/>
              </w:rPr>
            </w:pPr>
            <w:r w:rsidRPr="00BB4D6B">
              <w:rPr>
                <w:sz w:val="20"/>
                <w:szCs w:val="20"/>
              </w:rPr>
              <w:t>Change Nov 2012</w:t>
            </w:r>
            <w:r w:rsidR="00A461FB" w:rsidRPr="00BB4D6B">
              <w:rPr>
                <w:sz w:val="20"/>
                <w:szCs w:val="20"/>
              </w:rPr>
              <w:t xml:space="preserve"> </w:t>
            </w:r>
            <w:r w:rsidR="00A461FB" w:rsidRPr="00BB4D6B">
              <w:rPr>
                <w:rFonts w:ascii="Symbol" w:eastAsia="Symbol" w:hAnsi="Symbol" w:cs="Symbol"/>
                <w:sz w:val="20"/>
                <w:szCs w:val="20"/>
              </w:rPr>
              <w:sym w:font="Symbol" w:char="F02D"/>
            </w:r>
            <w:r w:rsidR="00A461FB" w:rsidRPr="00BB4D6B">
              <w:rPr>
                <w:sz w:val="20"/>
                <w:szCs w:val="20"/>
              </w:rPr>
              <w:t xml:space="preserve"> </w:t>
            </w:r>
            <w:r w:rsidRPr="00BB4D6B">
              <w:rPr>
                <w:sz w:val="20"/>
                <w:szCs w:val="20"/>
              </w:rPr>
              <w:t>Nov 2022</w:t>
            </w:r>
          </w:p>
        </w:tc>
        <w:tc>
          <w:tcPr>
            <w:tcW w:w="1380" w:type="dxa"/>
            <w:noWrap/>
            <w:vAlign w:val="center"/>
            <w:hideMark/>
          </w:tcPr>
          <w:p w14:paraId="09E9D81F" w14:textId="77777777" w:rsidR="007A6A1A" w:rsidRPr="00BB4D6B" w:rsidRDefault="007A6A1A" w:rsidP="00BB4D6B">
            <w:pPr>
              <w:spacing w:after="0" w:line="240" w:lineRule="auto"/>
              <w:rPr>
                <w:sz w:val="20"/>
                <w:szCs w:val="20"/>
              </w:rPr>
            </w:pPr>
            <w:r w:rsidRPr="00BB4D6B">
              <w:rPr>
                <w:sz w:val="20"/>
                <w:szCs w:val="20"/>
              </w:rPr>
              <w:t>32.0%</w:t>
            </w:r>
          </w:p>
        </w:tc>
        <w:tc>
          <w:tcPr>
            <w:tcW w:w="1382" w:type="dxa"/>
            <w:noWrap/>
            <w:vAlign w:val="center"/>
            <w:hideMark/>
          </w:tcPr>
          <w:p w14:paraId="6B14C39F" w14:textId="77777777" w:rsidR="007A6A1A" w:rsidRPr="00BB4D6B" w:rsidRDefault="007A6A1A" w:rsidP="00BB4D6B">
            <w:pPr>
              <w:spacing w:after="0" w:line="240" w:lineRule="auto"/>
              <w:rPr>
                <w:sz w:val="20"/>
                <w:szCs w:val="20"/>
              </w:rPr>
            </w:pPr>
            <w:r w:rsidRPr="00BB4D6B">
              <w:rPr>
                <w:sz w:val="20"/>
                <w:szCs w:val="20"/>
              </w:rPr>
              <w:t>19.5%</w:t>
            </w:r>
          </w:p>
        </w:tc>
        <w:tc>
          <w:tcPr>
            <w:tcW w:w="1382" w:type="dxa"/>
            <w:noWrap/>
            <w:vAlign w:val="center"/>
            <w:hideMark/>
          </w:tcPr>
          <w:p w14:paraId="16A1AAF8" w14:textId="77777777" w:rsidR="007A6A1A" w:rsidRPr="00BB4D6B" w:rsidRDefault="007A6A1A" w:rsidP="00BB4D6B">
            <w:pPr>
              <w:spacing w:after="0" w:line="240" w:lineRule="auto"/>
              <w:rPr>
                <w:sz w:val="20"/>
                <w:szCs w:val="20"/>
              </w:rPr>
            </w:pPr>
            <w:r w:rsidRPr="00BB4D6B">
              <w:rPr>
                <w:sz w:val="20"/>
                <w:szCs w:val="20"/>
              </w:rPr>
              <w:t>26.3%</w:t>
            </w:r>
          </w:p>
        </w:tc>
        <w:tc>
          <w:tcPr>
            <w:tcW w:w="1382" w:type="dxa"/>
            <w:noWrap/>
            <w:vAlign w:val="center"/>
            <w:hideMark/>
          </w:tcPr>
          <w:p w14:paraId="5328977A" w14:textId="77777777" w:rsidR="007A6A1A" w:rsidRPr="00BB4D6B" w:rsidRDefault="007A6A1A" w:rsidP="00BB4D6B">
            <w:pPr>
              <w:spacing w:after="0" w:line="240" w:lineRule="auto"/>
              <w:rPr>
                <w:sz w:val="20"/>
                <w:szCs w:val="20"/>
              </w:rPr>
            </w:pPr>
            <w:r w:rsidRPr="00BB4D6B">
              <w:rPr>
                <w:sz w:val="20"/>
                <w:szCs w:val="20"/>
              </w:rPr>
              <w:t>4.87</w:t>
            </w:r>
          </w:p>
        </w:tc>
        <w:tc>
          <w:tcPr>
            <w:tcW w:w="1382" w:type="dxa"/>
            <w:noWrap/>
            <w:vAlign w:val="center"/>
            <w:hideMark/>
          </w:tcPr>
          <w:p w14:paraId="574803AD" w14:textId="77777777" w:rsidR="007A6A1A" w:rsidRPr="00BB4D6B" w:rsidRDefault="007A6A1A" w:rsidP="00BB4D6B">
            <w:pPr>
              <w:spacing w:after="0" w:line="240" w:lineRule="auto"/>
              <w:rPr>
                <w:sz w:val="20"/>
                <w:szCs w:val="20"/>
              </w:rPr>
            </w:pPr>
            <w:r w:rsidRPr="00BB4D6B">
              <w:rPr>
                <w:sz w:val="20"/>
                <w:szCs w:val="20"/>
              </w:rPr>
              <w:t>24.1%</w:t>
            </w:r>
          </w:p>
        </w:tc>
        <w:tc>
          <w:tcPr>
            <w:tcW w:w="931" w:type="dxa"/>
            <w:noWrap/>
            <w:vAlign w:val="center"/>
            <w:hideMark/>
          </w:tcPr>
          <w:p w14:paraId="00C1F452" w14:textId="77777777" w:rsidR="007A6A1A" w:rsidRPr="00BB4D6B" w:rsidRDefault="007A6A1A" w:rsidP="00BB4D6B">
            <w:pPr>
              <w:spacing w:after="0" w:line="240" w:lineRule="auto"/>
              <w:rPr>
                <w:sz w:val="20"/>
                <w:szCs w:val="20"/>
              </w:rPr>
            </w:pPr>
            <w:r w:rsidRPr="00BB4D6B">
              <w:rPr>
                <w:sz w:val="20"/>
                <w:szCs w:val="20"/>
              </w:rPr>
              <w:t>3.98</w:t>
            </w:r>
          </w:p>
        </w:tc>
        <w:tc>
          <w:tcPr>
            <w:tcW w:w="1134" w:type="dxa"/>
            <w:noWrap/>
            <w:vAlign w:val="center"/>
            <w:hideMark/>
          </w:tcPr>
          <w:p w14:paraId="2BC6938E" w14:textId="77777777" w:rsidR="007A6A1A" w:rsidRPr="00BB4D6B" w:rsidRDefault="007A6A1A" w:rsidP="00BB4D6B">
            <w:pPr>
              <w:spacing w:after="0" w:line="240" w:lineRule="auto"/>
              <w:rPr>
                <w:sz w:val="20"/>
                <w:szCs w:val="20"/>
              </w:rPr>
            </w:pPr>
            <w:r w:rsidRPr="00BB4D6B">
              <w:rPr>
                <w:sz w:val="20"/>
                <w:szCs w:val="20"/>
              </w:rPr>
              <w:t>-1.70</w:t>
            </w:r>
          </w:p>
        </w:tc>
        <w:tc>
          <w:tcPr>
            <w:tcW w:w="1276" w:type="dxa"/>
            <w:tcBorders>
              <w:top w:val="nil"/>
              <w:left w:val="nil"/>
              <w:bottom w:val="nil"/>
              <w:right w:val="single" w:sz="4" w:space="0" w:color="auto"/>
            </w:tcBorders>
            <w:noWrap/>
            <w:vAlign w:val="center"/>
            <w:hideMark/>
          </w:tcPr>
          <w:p w14:paraId="7C17770A" w14:textId="77777777" w:rsidR="007A6A1A" w:rsidRPr="00BB4D6B" w:rsidRDefault="007A6A1A" w:rsidP="00BB4D6B">
            <w:pPr>
              <w:spacing w:after="0" w:line="240" w:lineRule="auto"/>
              <w:rPr>
                <w:sz w:val="20"/>
                <w:szCs w:val="20"/>
              </w:rPr>
            </w:pPr>
            <w:r w:rsidRPr="00BB4D6B">
              <w:rPr>
                <w:sz w:val="20"/>
                <w:szCs w:val="20"/>
              </w:rPr>
              <w:t>-2.00</w:t>
            </w:r>
          </w:p>
        </w:tc>
      </w:tr>
      <w:tr w:rsidR="007A6A1A" w:rsidRPr="00167CB8" w14:paraId="29B0E52E" w14:textId="77777777" w:rsidTr="000449E6">
        <w:trPr>
          <w:trHeight w:val="341"/>
        </w:trPr>
        <w:tc>
          <w:tcPr>
            <w:tcW w:w="3496" w:type="dxa"/>
            <w:tcBorders>
              <w:top w:val="nil"/>
              <w:left w:val="single" w:sz="4" w:space="0" w:color="auto"/>
              <w:bottom w:val="nil"/>
              <w:right w:val="nil"/>
            </w:tcBorders>
            <w:vAlign w:val="center"/>
            <w:hideMark/>
          </w:tcPr>
          <w:p w14:paraId="20436903" w14:textId="5D0FC644" w:rsidR="007A6A1A" w:rsidRPr="00BB4D6B" w:rsidRDefault="007A6A1A" w:rsidP="00BB4D6B">
            <w:pPr>
              <w:spacing w:after="0" w:line="240" w:lineRule="auto"/>
              <w:rPr>
                <w:sz w:val="20"/>
                <w:szCs w:val="20"/>
              </w:rPr>
            </w:pPr>
            <w:r w:rsidRPr="00BB4D6B">
              <w:rPr>
                <w:sz w:val="20"/>
                <w:szCs w:val="20"/>
              </w:rPr>
              <w:t>Change Nov 2022</w:t>
            </w:r>
            <w:r w:rsidR="00A461FB" w:rsidRPr="00BB4D6B">
              <w:rPr>
                <w:sz w:val="20"/>
                <w:szCs w:val="20"/>
              </w:rPr>
              <w:t xml:space="preserve"> </w:t>
            </w:r>
            <w:r w:rsidR="00A461FB" w:rsidRPr="00BB4D6B">
              <w:rPr>
                <w:rFonts w:ascii="Symbol" w:eastAsia="Symbol" w:hAnsi="Symbol" w:cs="Symbol"/>
                <w:sz w:val="20"/>
                <w:szCs w:val="20"/>
              </w:rPr>
              <w:sym w:font="Symbol" w:char="F02D"/>
            </w:r>
            <w:r w:rsidR="00A461FB" w:rsidRPr="00BB4D6B">
              <w:rPr>
                <w:sz w:val="20"/>
                <w:szCs w:val="20"/>
              </w:rPr>
              <w:t xml:space="preserve"> </w:t>
            </w:r>
            <w:r w:rsidRPr="00BB4D6B">
              <w:rPr>
                <w:sz w:val="20"/>
                <w:szCs w:val="20"/>
              </w:rPr>
              <w:t>Nov 2024</w:t>
            </w:r>
          </w:p>
        </w:tc>
        <w:tc>
          <w:tcPr>
            <w:tcW w:w="1380" w:type="dxa"/>
            <w:tcBorders>
              <w:top w:val="nil"/>
              <w:left w:val="nil"/>
              <w:bottom w:val="single" w:sz="4" w:space="0" w:color="auto"/>
              <w:right w:val="nil"/>
            </w:tcBorders>
            <w:noWrap/>
            <w:vAlign w:val="center"/>
            <w:hideMark/>
          </w:tcPr>
          <w:p w14:paraId="55204CD7" w14:textId="77777777" w:rsidR="007A6A1A" w:rsidRPr="00BB4D6B" w:rsidRDefault="007A6A1A" w:rsidP="00BB4D6B">
            <w:pPr>
              <w:spacing w:after="0" w:line="240" w:lineRule="auto"/>
              <w:rPr>
                <w:sz w:val="20"/>
                <w:szCs w:val="20"/>
              </w:rPr>
            </w:pPr>
            <w:r w:rsidRPr="00BB4D6B">
              <w:rPr>
                <w:sz w:val="20"/>
                <w:szCs w:val="20"/>
              </w:rPr>
              <w:t>6.1%</w:t>
            </w:r>
          </w:p>
        </w:tc>
        <w:tc>
          <w:tcPr>
            <w:tcW w:w="1382" w:type="dxa"/>
            <w:tcBorders>
              <w:top w:val="nil"/>
              <w:left w:val="nil"/>
              <w:bottom w:val="single" w:sz="4" w:space="0" w:color="auto"/>
              <w:right w:val="nil"/>
            </w:tcBorders>
            <w:noWrap/>
            <w:vAlign w:val="center"/>
            <w:hideMark/>
          </w:tcPr>
          <w:p w14:paraId="5330A926" w14:textId="77777777" w:rsidR="007A6A1A" w:rsidRPr="00BB4D6B" w:rsidRDefault="007A6A1A" w:rsidP="00BB4D6B">
            <w:pPr>
              <w:spacing w:after="0" w:line="240" w:lineRule="auto"/>
              <w:rPr>
                <w:sz w:val="20"/>
                <w:szCs w:val="20"/>
              </w:rPr>
            </w:pPr>
            <w:r w:rsidRPr="00BB4D6B">
              <w:rPr>
                <w:sz w:val="20"/>
                <w:szCs w:val="20"/>
              </w:rPr>
              <w:t>4.8%</w:t>
            </w:r>
          </w:p>
        </w:tc>
        <w:tc>
          <w:tcPr>
            <w:tcW w:w="1382" w:type="dxa"/>
            <w:tcBorders>
              <w:top w:val="nil"/>
              <w:left w:val="nil"/>
              <w:bottom w:val="single" w:sz="4" w:space="0" w:color="auto"/>
              <w:right w:val="nil"/>
            </w:tcBorders>
            <w:noWrap/>
            <w:vAlign w:val="center"/>
            <w:hideMark/>
          </w:tcPr>
          <w:p w14:paraId="0CD5F6DE" w14:textId="77777777" w:rsidR="007A6A1A" w:rsidRPr="00BB4D6B" w:rsidRDefault="007A6A1A" w:rsidP="00BB4D6B">
            <w:pPr>
              <w:spacing w:after="0" w:line="240" w:lineRule="auto"/>
              <w:rPr>
                <w:sz w:val="20"/>
                <w:szCs w:val="20"/>
              </w:rPr>
            </w:pPr>
            <w:r w:rsidRPr="00BB4D6B">
              <w:rPr>
                <w:sz w:val="20"/>
                <w:szCs w:val="20"/>
              </w:rPr>
              <w:t>5.5%</w:t>
            </w:r>
          </w:p>
        </w:tc>
        <w:tc>
          <w:tcPr>
            <w:tcW w:w="1382" w:type="dxa"/>
            <w:tcBorders>
              <w:top w:val="nil"/>
              <w:left w:val="nil"/>
              <w:bottom w:val="single" w:sz="4" w:space="0" w:color="auto"/>
              <w:right w:val="nil"/>
            </w:tcBorders>
            <w:noWrap/>
            <w:vAlign w:val="center"/>
            <w:hideMark/>
          </w:tcPr>
          <w:p w14:paraId="076C50E2" w14:textId="77777777" w:rsidR="007A6A1A" w:rsidRPr="00BB4D6B" w:rsidRDefault="007A6A1A" w:rsidP="00BB4D6B">
            <w:pPr>
              <w:spacing w:after="0" w:line="240" w:lineRule="auto"/>
              <w:rPr>
                <w:sz w:val="20"/>
                <w:szCs w:val="20"/>
              </w:rPr>
            </w:pPr>
            <w:r w:rsidRPr="00BB4D6B">
              <w:rPr>
                <w:sz w:val="20"/>
                <w:szCs w:val="20"/>
              </w:rPr>
              <w:t>0.15</w:t>
            </w:r>
          </w:p>
        </w:tc>
        <w:tc>
          <w:tcPr>
            <w:tcW w:w="1382" w:type="dxa"/>
            <w:noWrap/>
            <w:vAlign w:val="center"/>
            <w:hideMark/>
          </w:tcPr>
          <w:p w14:paraId="6167A459" w14:textId="77777777" w:rsidR="007A6A1A" w:rsidRPr="00BB4D6B" w:rsidRDefault="007A6A1A" w:rsidP="00BB4D6B">
            <w:pPr>
              <w:spacing w:after="0" w:line="240" w:lineRule="auto"/>
              <w:rPr>
                <w:sz w:val="20"/>
                <w:szCs w:val="20"/>
              </w:rPr>
            </w:pPr>
            <w:r w:rsidRPr="00BB4D6B">
              <w:rPr>
                <w:sz w:val="20"/>
                <w:szCs w:val="20"/>
              </w:rPr>
              <w:t>5.8%</w:t>
            </w:r>
          </w:p>
        </w:tc>
        <w:tc>
          <w:tcPr>
            <w:tcW w:w="931" w:type="dxa"/>
            <w:tcBorders>
              <w:top w:val="nil"/>
              <w:left w:val="nil"/>
              <w:bottom w:val="single" w:sz="4" w:space="0" w:color="auto"/>
              <w:right w:val="nil"/>
            </w:tcBorders>
            <w:noWrap/>
            <w:vAlign w:val="center"/>
            <w:hideMark/>
          </w:tcPr>
          <w:p w14:paraId="6018D7A7" w14:textId="77777777" w:rsidR="007A6A1A" w:rsidRPr="00BB4D6B" w:rsidRDefault="007A6A1A" w:rsidP="00BB4D6B">
            <w:pPr>
              <w:spacing w:after="0" w:line="240" w:lineRule="auto"/>
              <w:rPr>
                <w:sz w:val="20"/>
                <w:szCs w:val="20"/>
              </w:rPr>
            </w:pPr>
            <w:r w:rsidRPr="00BB4D6B">
              <w:rPr>
                <w:sz w:val="20"/>
                <w:szCs w:val="20"/>
              </w:rPr>
              <w:t>0.30</w:t>
            </w:r>
          </w:p>
        </w:tc>
        <w:tc>
          <w:tcPr>
            <w:tcW w:w="1134" w:type="dxa"/>
            <w:tcBorders>
              <w:top w:val="nil"/>
              <w:left w:val="nil"/>
              <w:bottom w:val="single" w:sz="4" w:space="0" w:color="auto"/>
              <w:right w:val="nil"/>
            </w:tcBorders>
            <w:noWrap/>
            <w:vAlign w:val="center"/>
            <w:hideMark/>
          </w:tcPr>
          <w:p w14:paraId="3415FC08" w14:textId="77777777" w:rsidR="007A6A1A" w:rsidRPr="00BB4D6B" w:rsidRDefault="007A6A1A" w:rsidP="00BB4D6B">
            <w:pPr>
              <w:spacing w:after="0" w:line="240" w:lineRule="auto"/>
              <w:rPr>
                <w:sz w:val="20"/>
                <w:szCs w:val="20"/>
              </w:rPr>
            </w:pPr>
            <w:r w:rsidRPr="00BB4D6B">
              <w:rPr>
                <w:sz w:val="20"/>
                <w:szCs w:val="20"/>
              </w:rPr>
              <w:t>0.30</w:t>
            </w:r>
          </w:p>
        </w:tc>
        <w:tc>
          <w:tcPr>
            <w:tcW w:w="1276" w:type="dxa"/>
            <w:tcBorders>
              <w:top w:val="nil"/>
              <w:left w:val="nil"/>
              <w:bottom w:val="single" w:sz="4" w:space="0" w:color="auto"/>
              <w:right w:val="single" w:sz="4" w:space="0" w:color="auto"/>
            </w:tcBorders>
            <w:noWrap/>
            <w:vAlign w:val="center"/>
            <w:hideMark/>
          </w:tcPr>
          <w:p w14:paraId="4A729AFE" w14:textId="77777777" w:rsidR="007A6A1A" w:rsidRPr="00BB4D6B" w:rsidRDefault="007A6A1A" w:rsidP="00BB4D6B">
            <w:pPr>
              <w:spacing w:after="0" w:line="240" w:lineRule="auto"/>
              <w:rPr>
                <w:sz w:val="20"/>
                <w:szCs w:val="20"/>
              </w:rPr>
            </w:pPr>
            <w:r w:rsidRPr="00BB4D6B">
              <w:rPr>
                <w:sz w:val="20"/>
                <w:szCs w:val="20"/>
              </w:rPr>
              <w:t>0.00</w:t>
            </w:r>
          </w:p>
        </w:tc>
      </w:tr>
      <w:tr w:rsidR="007A6A1A" w:rsidRPr="00167CB8" w14:paraId="647F7AC3" w14:textId="77777777" w:rsidTr="000449E6">
        <w:trPr>
          <w:trHeight w:val="341"/>
        </w:trPr>
        <w:tc>
          <w:tcPr>
            <w:tcW w:w="3496" w:type="dxa"/>
            <w:tcBorders>
              <w:top w:val="single" w:sz="4" w:space="0" w:color="auto"/>
              <w:left w:val="single" w:sz="4" w:space="0" w:color="auto"/>
              <w:bottom w:val="nil"/>
              <w:right w:val="nil"/>
            </w:tcBorders>
            <w:noWrap/>
            <w:vAlign w:val="center"/>
            <w:hideMark/>
          </w:tcPr>
          <w:p w14:paraId="0254E690" w14:textId="77777777" w:rsidR="007A6A1A" w:rsidRPr="00BB4D6B" w:rsidRDefault="007A6A1A" w:rsidP="00BB4D6B">
            <w:pPr>
              <w:spacing w:after="0" w:line="240" w:lineRule="auto"/>
              <w:rPr>
                <w:b/>
                <w:bCs/>
                <w:sz w:val="20"/>
                <w:szCs w:val="20"/>
              </w:rPr>
            </w:pPr>
            <w:r w:rsidRPr="00BB4D6B">
              <w:rPr>
                <w:b/>
                <w:bCs/>
                <w:sz w:val="20"/>
                <w:szCs w:val="20"/>
              </w:rPr>
              <w:t>Persons</w:t>
            </w:r>
          </w:p>
        </w:tc>
        <w:tc>
          <w:tcPr>
            <w:tcW w:w="1380" w:type="dxa"/>
            <w:vAlign w:val="center"/>
            <w:hideMark/>
          </w:tcPr>
          <w:p w14:paraId="0E1DD56B" w14:textId="77777777" w:rsidR="007A6A1A" w:rsidRPr="00BB4D6B" w:rsidRDefault="007A6A1A" w:rsidP="00BB4D6B">
            <w:pPr>
              <w:spacing w:after="0" w:line="240" w:lineRule="auto"/>
              <w:rPr>
                <w:b/>
                <w:bCs/>
                <w:sz w:val="20"/>
                <w:szCs w:val="20"/>
              </w:rPr>
            </w:pPr>
          </w:p>
        </w:tc>
        <w:tc>
          <w:tcPr>
            <w:tcW w:w="1382" w:type="dxa"/>
            <w:vAlign w:val="center"/>
            <w:hideMark/>
          </w:tcPr>
          <w:p w14:paraId="299118B5" w14:textId="77777777" w:rsidR="007A6A1A" w:rsidRPr="00BB4D6B" w:rsidRDefault="007A6A1A" w:rsidP="00BB4D6B">
            <w:pPr>
              <w:spacing w:after="0" w:line="240" w:lineRule="auto"/>
              <w:rPr>
                <w:sz w:val="20"/>
                <w:szCs w:val="20"/>
              </w:rPr>
            </w:pPr>
          </w:p>
        </w:tc>
        <w:tc>
          <w:tcPr>
            <w:tcW w:w="1382" w:type="dxa"/>
            <w:vAlign w:val="center"/>
            <w:hideMark/>
          </w:tcPr>
          <w:p w14:paraId="3E6D9007" w14:textId="77777777" w:rsidR="007A6A1A" w:rsidRPr="00BB4D6B" w:rsidRDefault="007A6A1A" w:rsidP="00BB4D6B">
            <w:pPr>
              <w:spacing w:after="0" w:line="240" w:lineRule="auto"/>
              <w:rPr>
                <w:sz w:val="20"/>
                <w:szCs w:val="20"/>
              </w:rPr>
            </w:pPr>
          </w:p>
        </w:tc>
        <w:tc>
          <w:tcPr>
            <w:tcW w:w="1382" w:type="dxa"/>
            <w:vAlign w:val="center"/>
            <w:hideMark/>
          </w:tcPr>
          <w:p w14:paraId="0C3B1FD5" w14:textId="77777777" w:rsidR="007A6A1A" w:rsidRPr="00BB4D6B" w:rsidRDefault="007A6A1A" w:rsidP="00BB4D6B">
            <w:pPr>
              <w:spacing w:after="0" w:line="240" w:lineRule="auto"/>
              <w:rPr>
                <w:sz w:val="20"/>
                <w:szCs w:val="20"/>
              </w:rPr>
            </w:pPr>
          </w:p>
        </w:tc>
        <w:tc>
          <w:tcPr>
            <w:tcW w:w="1382" w:type="dxa"/>
            <w:tcBorders>
              <w:top w:val="single" w:sz="4" w:space="0" w:color="auto"/>
              <w:left w:val="nil"/>
              <w:bottom w:val="nil"/>
              <w:right w:val="nil"/>
            </w:tcBorders>
            <w:vAlign w:val="center"/>
            <w:hideMark/>
          </w:tcPr>
          <w:p w14:paraId="5340E633" w14:textId="77777777" w:rsidR="007A6A1A" w:rsidRPr="00BB4D6B" w:rsidRDefault="007A6A1A" w:rsidP="00BB4D6B">
            <w:pPr>
              <w:spacing w:after="0" w:line="240" w:lineRule="auto"/>
              <w:rPr>
                <w:sz w:val="20"/>
                <w:szCs w:val="20"/>
              </w:rPr>
            </w:pPr>
          </w:p>
        </w:tc>
        <w:tc>
          <w:tcPr>
            <w:tcW w:w="931" w:type="dxa"/>
            <w:vAlign w:val="center"/>
            <w:hideMark/>
          </w:tcPr>
          <w:p w14:paraId="7BCC18BA" w14:textId="77777777" w:rsidR="007A6A1A" w:rsidRPr="00BB4D6B" w:rsidRDefault="007A6A1A" w:rsidP="00BB4D6B">
            <w:pPr>
              <w:spacing w:after="0" w:line="240" w:lineRule="auto"/>
              <w:rPr>
                <w:sz w:val="20"/>
                <w:szCs w:val="20"/>
              </w:rPr>
            </w:pPr>
          </w:p>
        </w:tc>
        <w:tc>
          <w:tcPr>
            <w:tcW w:w="1134" w:type="dxa"/>
            <w:vAlign w:val="center"/>
            <w:hideMark/>
          </w:tcPr>
          <w:p w14:paraId="5FDD8E7B" w14:textId="77777777" w:rsidR="007A6A1A" w:rsidRPr="00BB4D6B" w:rsidRDefault="007A6A1A" w:rsidP="00BB4D6B">
            <w:pPr>
              <w:spacing w:after="0" w:line="240" w:lineRule="auto"/>
              <w:rPr>
                <w:sz w:val="20"/>
                <w:szCs w:val="20"/>
              </w:rPr>
            </w:pPr>
          </w:p>
        </w:tc>
        <w:tc>
          <w:tcPr>
            <w:tcW w:w="1276" w:type="dxa"/>
            <w:tcBorders>
              <w:top w:val="nil"/>
              <w:left w:val="nil"/>
              <w:bottom w:val="nil"/>
              <w:right w:val="single" w:sz="4" w:space="0" w:color="auto"/>
            </w:tcBorders>
            <w:vAlign w:val="center"/>
            <w:hideMark/>
          </w:tcPr>
          <w:p w14:paraId="51AFE8B6" w14:textId="77777777" w:rsidR="007A6A1A" w:rsidRPr="00BB4D6B" w:rsidRDefault="007A6A1A" w:rsidP="00BB4D6B">
            <w:pPr>
              <w:spacing w:after="0" w:line="240" w:lineRule="auto"/>
              <w:rPr>
                <w:sz w:val="20"/>
                <w:szCs w:val="20"/>
              </w:rPr>
            </w:pPr>
          </w:p>
        </w:tc>
      </w:tr>
      <w:tr w:rsidR="007A6A1A" w:rsidRPr="00167CB8" w14:paraId="3EA92BC2" w14:textId="77777777" w:rsidTr="000449E6">
        <w:trPr>
          <w:trHeight w:val="341"/>
        </w:trPr>
        <w:tc>
          <w:tcPr>
            <w:tcW w:w="3496" w:type="dxa"/>
            <w:tcBorders>
              <w:top w:val="nil"/>
              <w:left w:val="single" w:sz="4" w:space="0" w:color="auto"/>
              <w:bottom w:val="nil"/>
              <w:right w:val="nil"/>
            </w:tcBorders>
            <w:noWrap/>
            <w:vAlign w:val="center"/>
            <w:hideMark/>
          </w:tcPr>
          <w:p w14:paraId="09957338" w14:textId="77777777" w:rsidR="007A6A1A" w:rsidRPr="00BB4D6B" w:rsidRDefault="007A6A1A" w:rsidP="00BB4D6B">
            <w:pPr>
              <w:spacing w:after="0" w:line="240" w:lineRule="auto"/>
              <w:rPr>
                <w:sz w:val="20"/>
                <w:szCs w:val="20"/>
              </w:rPr>
            </w:pPr>
            <w:r w:rsidRPr="00BB4D6B">
              <w:rPr>
                <w:sz w:val="20"/>
                <w:szCs w:val="20"/>
              </w:rPr>
              <w:t>Nov-12</w:t>
            </w:r>
          </w:p>
        </w:tc>
        <w:tc>
          <w:tcPr>
            <w:tcW w:w="1380" w:type="dxa"/>
            <w:noWrap/>
            <w:vAlign w:val="center"/>
            <w:hideMark/>
          </w:tcPr>
          <w:p w14:paraId="4571DFCB" w14:textId="77777777" w:rsidR="007A6A1A" w:rsidRPr="00BB4D6B" w:rsidRDefault="007A6A1A" w:rsidP="00BB4D6B">
            <w:pPr>
              <w:spacing w:after="0" w:line="240" w:lineRule="auto"/>
              <w:rPr>
                <w:sz w:val="20"/>
                <w:szCs w:val="20"/>
              </w:rPr>
            </w:pPr>
            <w:r w:rsidRPr="00BB4D6B">
              <w:rPr>
                <w:sz w:val="20"/>
                <w:szCs w:val="20"/>
              </w:rPr>
              <w:t>8,015.6</w:t>
            </w:r>
          </w:p>
        </w:tc>
        <w:tc>
          <w:tcPr>
            <w:tcW w:w="1382" w:type="dxa"/>
            <w:noWrap/>
            <w:vAlign w:val="center"/>
            <w:hideMark/>
          </w:tcPr>
          <w:p w14:paraId="3CA34E48" w14:textId="572D5081" w:rsidR="007A6A1A" w:rsidRPr="00BB4D6B" w:rsidRDefault="007A6A1A" w:rsidP="00BB4D6B">
            <w:pPr>
              <w:spacing w:after="0" w:line="240" w:lineRule="auto"/>
              <w:rPr>
                <w:sz w:val="20"/>
                <w:szCs w:val="20"/>
              </w:rPr>
            </w:pPr>
            <w:r w:rsidRPr="00BB4D6B">
              <w:rPr>
                <w:sz w:val="20"/>
                <w:szCs w:val="20"/>
              </w:rPr>
              <w:t>3</w:t>
            </w:r>
            <w:r w:rsidR="00A461FB" w:rsidRPr="00BB4D6B">
              <w:rPr>
                <w:sz w:val="20"/>
                <w:szCs w:val="20"/>
              </w:rPr>
              <w:t>,</w:t>
            </w:r>
            <w:r w:rsidRPr="00BB4D6B">
              <w:rPr>
                <w:sz w:val="20"/>
                <w:szCs w:val="20"/>
              </w:rPr>
              <w:t>369.3</w:t>
            </w:r>
          </w:p>
        </w:tc>
        <w:tc>
          <w:tcPr>
            <w:tcW w:w="1382" w:type="dxa"/>
            <w:noWrap/>
            <w:vAlign w:val="center"/>
            <w:hideMark/>
          </w:tcPr>
          <w:p w14:paraId="5FFEEA55" w14:textId="77777777" w:rsidR="007A6A1A" w:rsidRPr="00BB4D6B" w:rsidRDefault="007A6A1A" w:rsidP="00BB4D6B">
            <w:pPr>
              <w:spacing w:after="0" w:line="240" w:lineRule="auto"/>
              <w:rPr>
                <w:sz w:val="20"/>
                <w:szCs w:val="20"/>
              </w:rPr>
            </w:pPr>
            <w:r w:rsidRPr="00BB4D6B">
              <w:rPr>
                <w:sz w:val="20"/>
                <w:szCs w:val="20"/>
              </w:rPr>
              <w:t>11,384.9</w:t>
            </w:r>
          </w:p>
        </w:tc>
        <w:tc>
          <w:tcPr>
            <w:tcW w:w="1382" w:type="dxa"/>
            <w:noWrap/>
            <w:vAlign w:val="center"/>
            <w:hideMark/>
          </w:tcPr>
          <w:p w14:paraId="5170B856" w14:textId="77777777" w:rsidR="007A6A1A" w:rsidRPr="00BB4D6B" w:rsidRDefault="007A6A1A" w:rsidP="00BB4D6B">
            <w:pPr>
              <w:spacing w:after="0" w:line="240" w:lineRule="auto"/>
              <w:rPr>
                <w:sz w:val="20"/>
                <w:szCs w:val="20"/>
              </w:rPr>
            </w:pPr>
            <w:r w:rsidRPr="00BB4D6B">
              <w:rPr>
                <w:sz w:val="20"/>
                <w:szCs w:val="20"/>
              </w:rPr>
              <w:t>61.5</w:t>
            </w:r>
          </w:p>
        </w:tc>
        <w:tc>
          <w:tcPr>
            <w:tcW w:w="1382" w:type="dxa"/>
            <w:noWrap/>
            <w:vAlign w:val="center"/>
            <w:hideMark/>
          </w:tcPr>
          <w:p w14:paraId="6C5CA5F0" w14:textId="4AA9ACCD" w:rsidR="007A6A1A" w:rsidRPr="00BB4D6B" w:rsidRDefault="007A6A1A" w:rsidP="00BB4D6B">
            <w:pPr>
              <w:spacing w:after="0" w:line="240" w:lineRule="auto"/>
              <w:rPr>
                <w:sz w:val="20"/>
                <w:szCs w:val="20"/>
              </w:rPr>
            </w:pPr>
            <w:r w:rsidRPr="00BB4D6B">
              <w:rPr>
                <w:sz w:val="20"/>
                <w:szCs w:val="20"/>
              </w:rPr>
              <w:t>12</w:t>
            </w:r>
            <w:r w:rsidR="00A461FB" w:rsidRPr="00BB4D6B">
              <w:rPr>
                <w:sz w:val="20"/>
                <w:szCs w:val="20"/>
              </w:rPr>
              <w:t>,</w:t>
            </w:r>
            <w:r w:rsidRPr="00BB4D6B">
              <w:rPr>
                <w:sz w:val="20"/>
                <w:szCs w:val="20"/>
              </w:rPr>
              <w:t>016.5</w:t>
            </w:r>
          </w:p>
        </w:tc>
        <w:tc>
          <w:tcPr>
            <w:tcW w:w="931" w:type="dxa"/>
            <w:noWrap/>
            <w:vAlign w:val="center"/>
            <w:hideMark/>
          </w:tcPr>
          <w:p w14:paraId="3956DB34" w14:textId="77777777" w:rsidR="007A6A1A" w:rsidRPr="00BB4D6B" w:rsidRDefault="007A6A1A" w:rsidP="00BB4D6B">
            <w:pPr>
              <w:spacing w:after="0" w:line="240" w:lineRule="auto"/>
              <w:rPr>
                <w:sz w:val="20"/>
                <w:szCs w:val="20"/>
              </w:rPr>
            </w:pPr>
            <w:r w:rsidRPr="00BB4D6B">
              <w:rPr>
                <w:sz w:val="20"/>
                <w:szCs w:val="20"/>
              </w:rPr>
              <w:t>64.9</w:t>
            </w:r>
          </w:p>
        </w:tc>
        <w:tc>
          <w:tcPr>
            <w:tcW w:w="1134" w:type="dxa"/>
            <w:noWrap/>
            <w:vAlign w:val="center"/>
            <w:hideMark/>
          </w:tcPr>
          <w:p w14:paraId="54242CD6" w14:textId="77777777" w:rsidR="007A6A1A" w:rsidRPr="00BB4D6B" w:rsidRDefault="007A6A1A" w:rsidP="00BB4D6B">
            <w:pPr>
              <w:spacing w:after="0" w:line="240" w:lineRule="auto"/>
              <w:rPr>
                <w:sz w:val="20"/>
                <w:szCs w:val="20"/>
              </w:rPr>
            </w:pPr>
            <w:r w:rsidRPr="00BB4D6B">
              <w:rPr>
                <w:sz w:val="20"/>
                <w:szCs w:val="20"/>
              </w:rPr>
              <w:t>5.3</w:t>
            </w:r>
          </w:p>
        </w:tc>
        <w:tc>
          <w:tcPr>
            <w:tcW w:w="1276" w:type="dxa"/>
            <w:tcBorders>
              <w:top w:val="nil"/>
              <w:left w:val="nil"/>
              <w:bottom w:val="nil"/>
              <w:right w:val="single" w:sz="4" w:space="0" w:color="auto"/>
            </w:tcBorders>
            <w:noWrap/>
            <w:vAlign w:val="center"/>
            <w:hideMark/>
          </w:tcPr>
          <w:p w14:paraId="0AD8EA82" w14:textId="77777777" w:rsidR="007A6A1A" w:rsidRPr="00BB4D6B" w:rsidRDefault="007A6A1A" w:rsidP="00BB4D6B">
            <w:pPr>
              <w:spacing w:after="0" w:line="240" w:lineRule="auto"/>
              <w:rPr>
                <w:sz w:val="20"/>
                <w:szCs w:val="20"/>
              </w:rPr>
            </w:pPr>
            <w:r w:rsidRPr="00BB4D6B">
              <w:rPr>
                <w:sz w:val="20"/>
                <w:szCs w:val="20"/>
              </w:rPr>
              <w:t>7.4</w:t>
            </w:r>
          </w:p>
        </w:tc>
      </w:tr>
      <w:tr w:rsidR="007A6A1A" w:rsidRPr="00167CB8" w14:paraId="0766183D" w14:textId="77777777" w:rsidTr="000449E6">
        <w:trPr>
          <w:trHeight w:val="341"/>
        </w:trPr>
        <w:tc>
          <w:tcPr>
            <w:tcW w:w="3496" w:type="dxa"/>
            <w:tcBorders>
              <w:top w:val="nil"/>
              <w:left w:val="single" w:sz="4" w:space="0" w:color="auto"/>
              <w:bottom w:val="nil"/>
              <w:right w:val="nil"/>
            </w:tcBorders>
            <w:noWrap/>
            <w:vAlign w:val="center"/>
            <w:hideMark/>
          </w:tcPr>
          <w:p w14:paraId="7B008398" w14:textId="77777777" w:rsidR="007A6A1A" w:rsidRPr="00BB4D6B" w:rsidRDefault="007A6A1A" w:rsidP="00BB4D6B">
            <w:pPr>
              <w:spacing w:after="0" w:line="240" w:lineRule="auto"/>
              <w:rPr>
                <w:sz w:val="20"/>
                <w:szCs w:val="20"/>
              </w:rPr>
            </w:pPr>
            <w:r w:rsidRPr="00BB4D6B">
              <w:rPr>
                <w:sz w:val="20"/>
                <w:szCs w:val="20"/>
              </w:rPr>
              <w:t>Nov-22</w:t>
            </w:r>
          </w:p>
        </w:tc>
        <w:tc>
          <w:tcPr>
            <w:tcW w:w="1380" w:type="dxa"/>
            <w:noWrap/>
            <w:vAlign w:val="center"/>
            <w:hideMark/>
          </w:tcPr>
          <w:p w14:paraId="5DC5616B" w14:textId="77777777" w:rsidR="007A6A1A" w:rsidRPr="00BB4D6B" w:rsidRDefault="007A6A1A" w:rsidP="00BB4D6B">
            <w:pPr>
              <w:spacing w:after="0" w:line="240" w:lineRule="auto"/>
              <w:rPr>
                <w:sz w:val="20"/>
                <w:szCs w:val="20"/>
              </w:rPr>
            </w:pPr>
            <w:r w:rsidRPr="00BB4D6B">
              <w:rPr>
                <w:sz w:val="20"/>
                <w:szCs w:val="20"/>
              </w:rPr>
              <w:t>9,590.9</w:t>
            </w:r>
          </w:p>
        </w:tc>
        <w:tc>
          <w:tcPr>
            <w:tcW w:w="1382" w:type="dxa"/>
            <w:noWrap/>
            <w:vAlign w:val="center"/>
            <w:hideMark/>
          </w:tcPr>
          <w:p w14:paraId="783721CE" w14:textId="7E3DD544" w:rsidR="007A6A1A" w:rsidRPr="00BB4D6B" w:rsidRDefault="007A6A1A" w:rsidP="00BB4D6B">
            <w:pPr>
              <w:spacing w:after="0" w:line="240" w:lineRule="auto"/>
              <w:rPr>
                <w:sz w:val="20"/>
                <w:szCs w:val="20"/>
              </w:rPr>
            </w:pPr>
            <w:r w:rsidRPr="00BB4D6B">
              <w:rPr>
                <w:sz w:val="20"/>
                <w:szCs w:val="20"/>
              </w:rPr>
              <w:t>4</w:t>
            </w:r>
            <w:r w:rsidR="00A461FB" w:rsidRPr="00BB4D6B">
              <w:rPr>
                <w:sz w:val="20"/>
                <w:szCs w:val="20"/>
              </w:rPr>
              <w:t>,</w:t>
            </w:r>
            <w:r w:rsidRPr="00BB4D6B">
              <w:rPr>
                <w:sz w:val="20"/>
                <w:szCs w:val="20"/>
              </w:rPr>
              <w:t>189.1</w:t>
            </w:r>
          </w:p>
        </w:tc>
        <w:tc>
          <w:tcPr>
            <w:tcW w:w="1382" w:type="dxa"/>
            <w:noWrap/>
            <w:vAlign w:val="center"/>
            <w:hideMark/>
          </w:tcPr>
          <w:p w14:paraId="7618D72A" w14:textId="77777777" w:rsidR="007A6A1A" w:rsidRPr="00BB4D6B" w:rsidRDefault="007A6A1A" w:rsidP="00BB4D6B">
            <w:pPr>
              <w:spacing w:after="0" w:line="240" w:lineRule="auto"/>
              <w:rPr>
                <w:sz w:val="20"/>
                <w:szCs w:val="20"/>
              </w:rPr>
            </w:pPr>
            <w:r w:rsidRPr="00BB4D6B">
              <w:rPr>
                <w:sz w:val="20"/>
                <w:szCs w:val="20"/>
              </w:rPr>
              <w:t>13,780.0</w:t>
            </w:r>
          </w:p>
        </w:tc>
        <w:tc>
          <w:tcPr>
            <w:tcW w:w="1382" w:type="dxa"/>
            <w:noWrap/>
            <w:vAlign w:val="center"/>
            <w:hideMark/>
          </w:tcPr>
          <w:p w14:paraId="320365DD" w14:textId="77777777" w:rsidR="007A6A1A" w:rsidRPr="00BB4D6B" w:rsidRDefault="007A6A1A" w:rsidP="00BB4D6B">
            <w:pPr>
              <w:spacing w:after="0" w:line="240" w:lineRule="auto"/>
              <w:rPr>
                <w:sz w:val="20"/>
                <w:szCs w:val="20"/>
              </w:rPr>
            </w:pPr>
            <w:r w:rsidRPr="00BB4D6B">
              <w:rPr>
                <w:sz w:val="20"/>
                <w:szCs w:val="20"/>
              </w:rPr>
              <w:t>64.3</w:t>
            </w:r>
          </w:p>
        </w:tc>
        <w:tc>
          <w:tcPr>
            <w:tcW w:w="1382" w:type="dxa"/>
            <w:noWrap/>
            <w:vAlign w:val="center"/>
            <w:hideMark/>
          </w:tcPr>
          <w:p w14:paraId="47678FA6" w14:textId="5226A000" w:rsidR="007A6A1A" w:rsidRPr="00BB4D6B" w:rsidRDefault="007A6A1A" w:rsidP="00BB4D6B">
            <w:pPr>
              <w:spacing w:after="0" w:line="240" w:lineRule="auto"/>
              <w:rPr>
                <w:sz w:val="20"/>
                <w:szCs w:val="20"/>
              </w:rPr>
            </w:pPr>
            <w:r w:rsidRPr="00BB4D6B">
              <w:rPr>
                <w:sz w:val="20"/>
                <w:szCs w:val="20"/>
              </w:rPr>
              <w:t>14</w:t>
            </w:r>
            <w:r w:rsidR="00A461FB" w:rsidRPr="00BB4D6B">
              <w:rPr>
                <w:sz w:val="20"/>
                <w:szCs w:val="20"/>
              </w:rPr>
              <w:t>,</w:t>
            </w:r>
            <w:r w:rsidRPr="00BB4D6B">
              <w:rPr>
                <w:sz w:val="20"/>
                <w:szCs w:val="20"/>
              </w:rPr>
              <w:t>281.5</w:t>
            </w:r>
          </w:p>
        </w:tc>
        <w:tc>
          <w:tcPr>
            <w:tcW w:w="931" w:type="dxa"/>
            <w:noWrap/>
            <w:vAlign w:val="center"/>
            <w:hideMark/>
          </w:tcPr>
          <w:p w14:paraId="6AFEAE44" w14:textId="77777777" w:rsidR="007A6A1A" w:rsidRPr="00BB4D6B" w:rsidRDefault="007A6A1A" w:rsidP="00BB4D6B">
            <w:pPr>
              <w:spacing w:after="0" w:line="240" w:lineRule="auto"/>
              <w:rPr>
                <w:sz w:val="20"/>
                <w:szCs w:val="20"/>
              </w:rPr>
            </w:pPr>
            <w:r w:rsidRPr="00BB4D6B">
              <w:rPr>
                <w:sz w:val="20"/>
                <w:szCs w:val="20"/>
              </w:rPr>
              <w:t>66.6</w:t>
            </w:r>
          </w:p>
        </w:tc>
        <w:tc>
          <w:tcPr>
            <w:tcW w:w="1134" w:type="dxa"/>
            <w:noWrap/>
            <w:vAlign w:val="center"/>
            <w:hideMark/>
          </w:tcPr>
          <w:p w14:paraId="4770542C" w14:textId="77777777" w:rsidR="007A6A1A" w:rsidRPr="00BB4D6B" w:rsidRDefault="007A6A1A" w:rsidP="00BB4D6B">
            <w:pPr>
              <w:spacing w:after="0" w:line="240" w:lineRule="auto"/>
              <w:rPr>
                <w:sz w:val="20"/>
                <w:szCs w:val="20"/>
              </w:rPr>
            </w:pPr>
            <w:r w:rsidRPr="00BB4D6B">
              <w:rPr>
                <w:sz w:val="20"/>
                <w:szCs w:val="20"/>
              </w:rPr>
              <w:t>3.5</w:t>
            </w:r>
          </w:p>
        </w:tc>
        <w:tc>
          <w:tcPr>
            <w:tcW w:w="1276" w:type="dxa"/>
            <w:tcBorders>
              <w:top w:val="nil"/>
              <w:left w:val="nil"/>
              <w:bottom w:val="nil"/>
              <w:right w:val="single" w:sz="4" w:space="0" w:color="auto"/>
            </w:tcBorders>
            <w:noWrap/>
            <w:vAlign w:val="center"/>
            <w:hideMark/>
          </w:tcPr>
          <w:p w14:paraId="3B5A045C" w14:textId="77777777" w:rsidR="007A6A1A" w:rsidRPr="00BB4D6B" w:rsidRDefault="007A6A1A" w:rsidP="00BB4D6B">
            <w:pPr>
              <w:spacing w:after="0" w:line="240" w:lineRule="auto"/>
              <w:rPr>
                <w:sz w:val="20"/>
                <w:szCs w:val="20"/>
              </w:rPr>
            </w:pPr>
            <w:r w:rsidRPr="00BB4D6B">
              <w:rPr>
                <w:sz w:val="20"/>
                <w:szCs w:val="20"/>
              </w:rPr>
              <w:t>6.1</w:t>
            </w:r>
          </w:p>
        </w:tc>
      </w:tr>
      <w:tr w:rsidR="007A6A1A" w:rsidRPr="00167CB8" w14:paraId="161A4D3F" w14:textId="77777777" w:rsidTr="000449E6">
        <w:trPr>
          <w:trHeight w:val="341"/>
        </w:trPr>
        <w:tc>
          <w:tcPr>
            <w:tcW w:w="3496" w:type="dxa"/>
            <w:tcBorders>
              <w:top w:val="nil"/>
              <w:left w:val="single" w:sz="4" w:space="0" w:color="auto"/>
              <w:bottom w:val="nil"/>
              <w:right w:val="nil"/>
            </w:tcBorders>
            <w:noWrap/>
            <w:vAlign w:val="center"/>
            <w:hideMark/>
          </w:tcPr>
          <w:p w14:paraId="72BC9554" w14:textId="77777777" w:rsidR="007A6A1A" w:rsidRPr="00BB4D6B" w:rsidRDefault="007A6A1A" w:rsidP="00BB4D6B">
            <w:pPr>
              <w:spacing w:after="0" w:line="240" w:lineRule="auto"/>
              <w:rPr>
                <w:sz w:val="20"/>
                <w:szCs w:val="20"/>
              </w:rPr>
            </w:pPr>
            <w:r w:rsidRPr="00BB4D6B">
              <w:rPr>
                <w:sz w:val="20"/>
                <w:szCs w:val="20"/>
              </w:rPr>
              <w:t>Nov-24</w:t>
            </w:r>
          </w:p>
        </w:tc>
        <w:tc>
          <w:tcPr>
            <w:tcW w:w="1380" w:type="dxa"/>
            <w:noWrap/>
            <w:vAlign w:val="center"/>
            <w:hideMark/>
          </w:tcPr>
          <w:p w14:paraId="47B9A80F" w14:textId="77777777" w:rsidR="007A6A1A" w:rsidRPr="00BB4D6B" w:rsidRDefault="007A6A1A" w:rsidP="00BB4D6B">
            <w:pPr>
              <w:spacing w:after="0" w:line="240" w:lineRule="auto"/>
              <w:rPr>
                <w:sz w:val="20"/>
                <w:szCs w:val="20"/>
              </w:rPr>
            </w:pPr>
            <w:r w:rsidRPr="00BB4D6B">
              <w:rPr>
                <w:sz w:val="20"/>
                <w:szCs w:val="20"/>
              </w:rPr>
              <w:t>10,068.1</w:t>
            </w:r>
          </w:p>
        </w:tc>
        <w:tc>
          <w:tcPr>
            <w:tcW w:w="1382" w:type="dxa"/>
            <w:noWrap/>
            <w:vAlign w:val="center"/>
            <w:hideMark/>
          </w:tcPr>
          <w:p w14:paraId="38711AB2" w14:textId="1DA700EB" w:rsidR="007A6A1A" w:rsidRPr="00BB4D6B" w:rsidRDefault="007A6A1A" w:rsidP="00BB4D6B">
            <w:pPr>
              <w:spacing w:after="0" w:line="240" w:lineRule="auto"/>
              <w:rPr>
                <w:sz w:val="20"/>
                <w:szCs w:val="20"/>
              </w:rPr>
            </w:pPr>
            <w:r w:rsidRPr="00BB4D6B">
              <w:rPr>
                <w:sz w:val="20"/>
                <w:szCs w:val="20"/>
              </w:rPr>
              <w:t>4</w:t>
            </w:r>
            <w:r w:rsidR="00A461FB" w:rsidRPr="00BB4D6B">
              <w:rPr>
                <w:sz w:val="20"/>
                <w:szCs w:val="20"/>
              </w:rPr>
              <w:t>,</w:t>
            </w:r>
            <w:r w:rsidRPr="00BB4D6B">
              <w:rPr>
                <w:sz w:val="20"/>
                <w:szCs w:val="20"/>
              </w:rPr>
              <w:t>467.4</w:t>
            </w:r>
          </w:p>
        </w:tc>
        <w:tc>
          <w:tcPr>
            <w:tcW w:w="1382" w:type="dxa"/>
            <w:noWrap/>
            <w:vAlign w:val="center"/>
            <w:hideMark/>
          </w:tcPr>
          <w:p w14:paraId="6619F0EF" w14:textId="77777777" w:rsidR="007A6A1A" w:rsidRPr="00BB4D6B" w:rsidRDefault="007A6A1A" w:rsidP="00BB4D6B">
            <w:pPr>
              <w:spacing w:after="0" w:line="240" w:lineRule="auto"/>
              <w:rPr>
                <w:sz w:val="20"/>
                <w:szCs w:val="20"/>
              </w:rPr>
            </w:pPr>
            <w:r w:rsidRPr="00BB4D6B">
              <w:rPr>
                <w:sz w:val="20"/>
                <w:szCs w:val="20"/>
              </w:rPr>
              <w:t>14,535.5</w:t>
            </w:r>
          </w:p>
        </w:tc>
        <w:tc>
          <w:tcPr>
            <w:tcW w:w="1382" w:type="dxa"/>
            <w:noWrap/>
            <w:vAlign w:val="center"/>
            <w:hideMark/>
          </w:tcPr>
          <w:p w14:paraId="0C3CEB9A" w14:textId="77777777" w:rsidR="007A6A1A" w:rsidRPr="00BB4D6B" w:rsidRDefault="007A6A1A" w:rsidP="00BB4D6B">
            <w:pPr>
              <w:spacing w:after="0" w:line="240" w:lineRule="auto"/>
              <w:rPr>
                <w:sz w:val="20"/>
                <w:szCs w:val="20"/>
              </w:rPr>
            </w:pPr>
            <w:r w:rsidRPr="00BB4D6B">
              <w:rPr>
                <w:sz w:val="20"/>
                <w:szCs w:val="20"/>
              </w:rPr>
              <w:t>64.4</w:t>
            </w:r>
          </w:p>
        </w:tc>
        <w:tc>
          <w:tcPr>
            <w:tcW w:w="1382" w:type="dxa"/>
            <w:noWrap/>
            <w:vAlign w:val="center"/>
            <w:hideMark/>
          </w:tcPr>
          <w:p w14:paraId="18272034" w14:textId="7191EBEB" w:rsidR="007A6A1A" w:rsidRPr="00BB4D6B" w:rsidRDefault="007A6A1A" w:rsidP="00BB4D6B">
            <w:pPr>
              <w:spacing w:after="0" w:line="240" w:lineRule="auto"/>
              <w:rPr>
                <w:sz w:val="20"/>
                <w:szCs w:val="20"/>
              </w:rPr>
            </w:pPr>
            <w:r w:rsidRPr="00BB4D6B">
              <w:rPr>
                <w:sz w:val="20"/>
                <w:szCs w:val="20"/>
              </w:rPr>
              <w:t>15</w:t>
            </w:r>
            <w:r w:rsidR="00A461FB" w:rsidRPr="00BB4D6B">
              <w:rPr>
                <w:sz w:val="20"/>
                <w:szCs w:val="20"/>
              </w:rPr>
              <w:t>,</w:t>
            </w:r>
            <w:r w:rsidRPr="00BB4D6B">
              <w:rPr>
                <w:sz w:val="20"/>
                <w:szCs w:val="20"/>
              </w:rPr>
              <w:t>130.8</w:t>
            </w:r>
          </w:p>
        </w:tc>
        <w:tc>
          <w:tcPr>
            <w:tcW w:w="931" w:type="dxa"/>
            <w:noWrap/>
            <w:vAlign w:val="center"/>
            <w:hideMark/>
          </w:tcPr>
          <w:p w14:paraId="300B39A4" w14:textId="77777777" w:rsidR="007A6A1A" w:rsidRPr="00BB4D6B" w:rsidRDefault="007A6A1A" w:rsidP="00BB4D6B">
            <w:pPr>
              <w:spacing w:after="0" w:line="240" w:lineRule="auto"/>
              <w:rPr>
                <w:sz w:val="20"/>
                <w:szCs w:val="20"/>
              </w:rPr>
            </w:pPr>
            <w:r w:rsidRPr="00BB4D6B">
              <w:rPr>
                <w:sz w:val="20"/>
                <w:szCs w:val="20"/>
              </w:rPr>
              <w:t>67.0</w:t>
            </w:r>
          </w:p>
        </w:tc>
        <w:tc>
          <w:tcPr>
            <w:tcW w:w="1134" w:type="dxa"/>
            <w:noWrap/>
            <w:vAlign w:val="center"/>
            <w:hideMark/>
          </w:tcPr>
          <w:p w14:paraId="39AF1EBF" w14:textId="77777777" w:rsidR="007A6A1A" w:rsidRPr="00BB4D6B" w:rsidRDefault="007A6A1A" w:rsidP="00BB4D6B">
            <w:pPr>
              <w:spacing w:after="0" w:line="240" w:lineRule="auto"/>
              <w:rPr>
                <w:sz w:val="20"/>
                <w:szCs w:val="20"/>
              </w:rPr>
            </w:pPr>
            <w:r w:rsidRPr="00BB4D6B">
              <w:rPr>
                <w:sz w:val="20"/>
                <w:szCs w:val="20"/>
              </w:rPr>
              <w:t>3.9</w:t>
            </w:r>
          </w:p>
        </w:tc>
        <w:tc>
          <w:tcPr>
            <w:tcW w:w="1276" w:type="dxa"/>
            <w:tcBorders>
              <w:top w:val="nil"/>
              <w:left w:val="nil"/>
              <w:bottom w:val="nil"/>
              <w:right w:val="single" w:sz="4" w:space="0" w:color="auto"/>
            </w:tcBorders>
            <w:noWrap/>
            <w:vAlign w:val="center"/>
            <w:hideMark/>
          </w:tcPr>
          <w:p w14:paraId="0E3B5AE2" w14:textId="77777777" w:rsidR="007A6A1A" w:rsidRPr="00BB4D6B" w:rsidRDefault="007A6A1A" w:rsidP="00BB4D6B">
            <w:pPr>
              <w:spacing w:after="0" w:line="240" w:lineRule="auto"/>
              <w:rPr>
                <w:sz w:val="20"/>
                <w:szCs w:val="20"/>
              </w:rPr>
            </w:pPr>
            <w:r w:rsidRPr="00BB4D6B">
              <w:rPr>
                <w:sz w:val="20"/>
                <w:szCs w:val="20"/>
              </w:rPr>
              <w:t>6.3</w:t>
            </w:r>
          </w:p>
        </w:tc>
      </w:tr>
      <w:tr w:rsidR="007A6A1A" w:rsidRPr="00167CB8" w14:paraId="0363187E" w14:textId="77777777" w:rsidTr="000449E6">
        <w:trPr>
          <w:trHeight w:val="341"/>
        </w:trPr>
        <w:tc>
          <w:tcPr>
            <w:tcW w:w="3496" w:type="dxa"/>
            <w:tcBorders>
              <w:top w:val="nil"/>
              <w:left w:val="single" w:sz="4" w:space="0" w:color="auto"/>
              <w:bottom w:val="nil"/>
              <w:right w:val="nil"/>
            </w:tcBorders>
            <w:vAlign w:val="center"/>
            <w:hideMark/>
          </w:tcPr>
          <w:p w14:paraId="0A1225C2" w14:textId="77777777" w:rsidR="007A6A1A" w:rsidRPr="00BB4D6B" w:rsidRDefault="007A6A1A" w:rsidP="00BB4D6B">
            <w:pPr>
              <w:spacing w:after="0" w:line="240" w:lineRule="auto"/>
              <w:rPr>
                <w:sz w:val="20"/>
                <w:szCs w:val="20"/>
              </w:rPr>
            </w:pPr>
            <w:r w:rsidRPr="00BB4D6B">
              <w:rPr>
                <w:sz w:val="20"/>
                <w:szCs w:val="20"/>
              </w:rPr>
              <w:t>Change Nov 2012-Nov 2022</w:t>
            </w:r>
          </w:p>
        </w:tc>
        <w:tc>
          <w:tcPr>
            <w:tcW w:w="1380" w:type="dxa"/>
            <w:noWrap/>
            <w:vAlign w:val="center"/>
            <w:hideMark/>
          </w:tcPr>
          <w:p w14:paraId="753F3BF8" w14:textId="77777777" w:rsidR="007A6A1A" w:rsidRPr="00BB4D6B" w:rsidRDefault="007A6A1A" w:rsidP="00BB4D6B">
            <w:pPr>
              <w:spacing w:after="0" w:line="240" w:lineRule="auto"/>
              <w:rPr>
                <w:sz w:val="20"/>
                <w:szCs w:val="20"/>
              </w:rPr>
            </w:pPr>
            <w:r w:rsidRPr="00BB4D6B">
              <w:rPr>
                <w:sz w:val="20"/>
                <w:szCs w:val="20"/>
              </w:rPr>
              <w:t>19.7%</w:t>
            </w:r>
          </w:p>
        </w:tc>
        <w:tc>
          <w:tcPr>
            <w:tcW w:w="1382" w:type="dxa"/>
            <w:noWrap/>
            <w:vAlign w:val="center"/>
            <w:hideMark/>
          </w:tcPr>
          <w:p w14:paraId="15EC97A7" w14:textId="77777777" w:rsidR="007A6A1A" w:rsidRPr="00BB4D6B" w:rsidRDefault="007A6A1A" w:rsidP="00BB4D6B">
            <w:pPr>
              <w:spacing w:after="0" w:line="240" w:lineRule="auto"/>
              <w:rPr>
                <w:sz w:val="20"/>
                <w:szCs w:val="20"/>
              </w:rPr>
            </w:pPr>
            <w:r w:rsidRPr="00BB4D6B">
              <w:rPr>
                <w:sz w:val="20"/>
                <w:szCs w:val="20"/>
              </w:rPr>
              <w:t>24.3%</w:t>
            </w:r>
          </w:p>
        </w:tc>
        <w:tc>
          <w:tcPr>
            <w:tcW w:w="1382" w:type="dxa"/>
            <w:noWrap/>
            <w:vAlign w:val="center"/>
            <w:hideMark/>
          </w:tcPr>
          <w:p w14:paraId="30828D34" w14:textId="77777777" w:rsidR="007A6A1A" w:rsidRPr="00BB4D6B" w:rsidRDefault="007A6A1A" w:rsidP="00BB4D6B">
            <w:pPr>
              <w:spacing w:after="0" w:line="240" w:lineRule="auto"/>
              <w:rPr>
                <w:sz w:val="20"/>
                <w:szCs w:val="20"/>
              </w:rPr>
            </w:pPr>
            <w:r w:rsidRPr="00BB4D6B">
              <w:rPr>
                <w:sz w:val="20"/>
                <w:szCs w:val="20"/>
              </w:rPr>
              <w:t>21.0%</w:t>
            </w:r>
          </w:p>
        </w:tc>
        <w:tc>
          <w:tcPr>
            <w:tcW w:w="1382" w:type="dxa"/>
            <w:noWrap/>
            <w:vAlign w:val="center"/>
            <w:hideMark/>
          </w:tcPr>
          <w:p w14:paraId="1B6FCBD3" w14:textId="77777777" w:rsidR="007A6A1A" w:rsidRPr="00BB4D6B" w:rsidRDefault="007A6A1A" w:rsidP="00BB4D6B">
            <w:pPr>
              <w:spacing w:after="0" w:line="240" w:lineRule="auto"/>
              <w:rPr>
                <w:sz w:val="20"/>
                <w:szCs w:val="20"/>
              </w:rPr>
            </w:pPr>
            <w:r w:rsidRPr="00BB4D6B">
              <w:rPr>
                <w:sz w:val="20"/>
                <w:szCs w:val="20"/>
              </w:rPr>
              <w:t>2.77</w:t>
            </w:r>
          </w:p>
        </w:tc>
        <w:tc>
          <w:tcPr>
            <w:tcW w:w="1382" w:type="dxa"/>
            <w:noWrap/>
            <w:vAlign w:val="center"/>
            <w:hideMark/>
          </w:tcPr>
          <w:p w14:paraId="2AEB1F84" w14:textId="77777777" w:rsidR="007A6A1A" w:rsidRPr="00BB4D6B" w:rsidRDefault="007A6A1A" w:rsidP="00BB4D6B">
            <w:pPr>
              <w:spacing w:after="0" w:line="240" w:lineRule="auto"/>
              <w:rPr>
                <w:sz w:val="20"/>
                <w:szCs w:val="20"/>
              </w:rPr>
            </w:pPr>
            <w:r w:rsidRPr="00BB4D6B">
              <w:rPr>
                <w:sz w:val="20"/>
                <w:szCs w:val="20"/>
              </w:rPr>
              <w:t>18.8%</w:t>
            </w:r>
          </w:p>
        </w:tc>
        <w:tc>
          <w:tcPr>
            <w:tcW w:w="931" w:type="dxa"/>
            <w:noWrap/>
            <w:vAlign w:val="center"/>
            <w:hideMark/>
          </w:tcPr>
          <w:p w14:paraId="1924D7D5" w14:textId="77777777" w:rsidR="007A6A1A" w:rsidRPr="00BB4D6B" w:rsidRDefault="007A6A1A" w:rsidP="00BB4D6B">
            <w:pPr>
              <w:spacing w:after="0" w:line="240" w:lineRule="auto"/>
              <w:rPr>
                <w:sz w:val="20"/>
                <w:szCs w:val="20"/>
              </w:rPr>
            </w:pPr>
            <w:r w:rsidRPr="00BB4D6B">
              <w:rPr>
                <w:sz w:val="20"/>
                <w:szCs w:val="20"/>
              </w:rPr>
              <w:t>1.69</w:t>
            </w:r>
          </w:p>
        </w:tc>
        <w:tc>
          <w:tcPr>
            <w:tcW w:w="1134" w:type="dxa"/>
            <w:noWrap/>
            <w:vAlign w:val="center"/>
            <w:hideMark/>
          </w:tcPr>
          <w:p w14:paraId="3578C7CB" w14:textId="77777777" w:rsidR="007A6A1A" w:rsidRPr="00BB4D6B" w:rsidRDefault="007A6A1A" w:rsidP="00BB4D6B">
            <w:pPr>
              <w:spacing w:after="0" w:line="240" w:lineRule="auto"/>
              <w:rPr>
                <w:sz w:val="20"/>
                <w:szCs w:val="20"/>
              </w:rPr>
            </w:pPr>
            <w:r w:rsidRPr="00BB4D6B">
              <w:rPr>
                <w:sz w:val="20"/>
                <w:szCs w:val="20"/>
              </w:rPr>
              <w:t>-1.71</w:t>
            </w:r>
          </w:p>
        </w:tc>
        <w:tc>
          <w:tcPr>
            <w:tcW w:w="1276" w:type="dxa"/>
            <w:tcBorders>
              <w:top w:val="nil"/>
              <w:left w:val="nil"/>
              <w:bottom w:val="nil"/>
              <w:right w:val="single" w:sz="4" w:space="0" w:color="auto"/>
            </w:tcBorders>
            <w:noWrap/>
            <w:vAlign w:val="center"/>
            <w:hideMark/>
          </w:tcPr>
          <w:p w14:paraId="7595802C" w14:textId="77777777" w:rsidR="007A6A1A" w:rsidRPr="00BB4D6B" w:rsidRDefault="007A6A1A" w:rsidP="00BB4D6B">
            <w:pPr>
              <w:spacing w:after="0" w:line="240" w:lineRule="auto"/>
              <w:rPr>
                <w:sz w:val="20"/>
                <w:szCs w:val="20"/>
              </w:rPr>
            </w:pPr>
            <w:r w:rsidRPr="00BB4D6B">
              <w:rPr>
                <w:sz w:val="20"/>
                <w:szCs w:val="20"/>
              </w:rPr>
              <w:t>-1.30</w:t>
            </w:r>
          </w:p>
        </w:tc>
      </w:tr>
      <w:tr w:rsidR="007A6A1A" w:rsidRPr="00167CB8" w14:paraId="4407CE65" w14:textId="77777777" w:rsidTr="000449E6">
        <w:trPr>
          <w:trHeight w:val="341"/>
        </w:trPr>
        <w:tc>
          <w:tcPr>
            <w:tcW w:w="3496" w:type="dxa"/>
            <w:tcBorders>
              <w:top w:val="nil"/>
              <w:left w:val="single" w:sz="4" w:space="0" w:color="auto"/>
              <w:bottom w:val="single" w:sz="4" w:space="0" w:color="auto"/>
              <w:right w:val="nil"/>
            </w:tcBorders>
            <w:vAlign w:val="center"/>
            <w:hideMark/>
          </w:tcPr>
          <w:p w14:paraId="0BAF3AAC" w14:textId="77777777" w:rsidR="007A6A1A" w:rsidRPr="00BB4D6B" w:rsidRDefault="007A6A1A" w:rsidP="00BB4D6B">
            <w:pPr>
              <w:spacing w:after="0" w:line="240" w:lineRule="auto"/>
              <w:rPr>
                <w:sz w:val="20"/>
                <w:szCs w:val="20"/>
              </w:rPr>
            </w:pPr>
            <w:r w:rsidRPr="00BB4D6B">
              <w:rPr>
                <w:sz w:val="20"/>
                <w:szCs w:val="20"/>
              </w:rPr>
              <w:t>Change Nov 2022-Nov 2024</w:t>
            </w:r>
          </w:p>
        </w:tc>
        <w:tc>
          <w:tcPr>
            <w:tcW w:w="1380" w:type="dxa"/>
            <w:tcBorders>
              <w:top w:val="nil"/>
              <w:left w:val="nil"/>
              <w:bottom w:val="single" w:sz="4" w:space="0" w:color="auto"/>
              <w:right w:val="nil"/>
            </w:tcBorders>
            <w:noWrap/>
            <w:vAlign w:val="center"/>
            <w:hideMark/>
          </w:tcPr>
          <w:p w14:paraId="5C6A81FE" w14:textId="77777777" w:rsidR="007A6A1A" w:rsidRPr="00BB4D6B" w:rsidRDefault="007A6A1A" w:rsidP="00BB4D6B">
            <w:pPr>
              <w:spacing w:after="0" w:line="240" w:lineRule="auto"/>
              <w:rPr>
                <w:sz w:val="20"/>
                <w:szCs w:val="20"/>
              </w:rPr>
            </w:pPr>
            <w:r w:rsidRPr="00BB4D6B">
              <w:rPr>
                <w:sz w:val="20"/>
                <w:szCs w:val="20"/>
              </w:rPr>
              <w:t>5.0%</w:t>
            </w:r>
          </w:p>
        </w:tc>
        <w:tc>
          <w:tcPr>
            <w:tcW w:w="1382" w:type="dxa"/>
            <w:tcBorders>
              <w:top w:val="nil"/>
              <w:left w:val="nil"/>
              <w:bottom w:val="single" w:sz="4" w:space="0" w:color="auto"/>
              <w:right w:val="nil"/>
            </w:tcBorders>
            <w:noWrap/>
            <w:vAlign w:val="center"/>
            <w:hideMark/>
          </w:tcPr>
          <w:p w14:paraId="7D09DF3C" w14:textId="77777777" w:rsidR="007A6A1A" w:rsidRPr="00BB4D6B" w:rsidRDefault="007A6A1A" w:rsidP="00BB4D6B">
            <w:pPr>
              <w:spacing w:after="0" w:line="240" w:lineRule="auto"/>
              <w:rPr>
                <w:sz w:val="20"/>
                <w:szCs w:val="20"/>
              </w:rPr>
            </w:pPr>
            <w:r w:rsidRPr="00BB4D6B">
              <w:rPr>
                <w:sz w:val="20"/>
                <w:szCs w:val="20"/>
              </w:rPr>
              <w:t>6.6%</w:t>
            </w:r>
          </w:p>
        </w:tc>
        <w:tc>
          <w:tcPr>
            <w:tcW w:w="1382" w:type="dxa"/>
            <w:tcBorders>
              <w:top w:val="nil"/>
              <w:left w:val="nil"/>
              <w:bottom w:val="single" w:sz="4" w:space="0" w:color="auto"/>
              <w:right w:val="nil"/>
            </w:tcBorders>
            <w:noWrap/>
            <w:vAlign w:val="center"/>
            <w:hideMark/>
          </w:tcPr>
          <w:p w14:paraId="7EC60B90" w14:textId="77777777" w:rsidR="007A6A1A" w:rsidRPr="00BB4D6B" w:rsidRDefault="007A6A1A" w:rsidP="00BB4D6B">
            <w:pPr>
              <w:spacing w:after="0" w:line="240" w:lineRule="auto"/>
              <w:rPr>
                <w:sz w:val="20"/>
                <w:szCs w:val="20"/>
              </w:rPr>
            </w:pPr>
            <w:r w:rsidRPr="00BB4D6B">
              <w:rPr>
                <w:sz w:val="20"/>
                <w:szCs w:val="20"/>
              </w:rPr>
              <w:t>5.5%</w:t>
            </w:r>
          </w:p>
        </w:tc>
        <w:tc>
          <w:tcPr>
            <w:tcW w:w="1382" w:type="dxa"/>
            <w:tcBorders>
              <w:top w:val="nil"/>
              <w:left w:val="nil"/>
              <w:bottom w:val="single" w:sz="4" w:space="0" w:color="auto"/>
              <w:right w:val="nil"/>
            </w:tcBorders>
            <w:noWrap/>
            <w:vAlign w:val="center"/>
            <w:hideMark/>
          </w:tcPr>
          <w:p w14:paraId="0EB67C71" w14:textId="77777777" w:rsidR="007A6A1A" w:rsidRPr="00BB4D6B" w:rsidRDefault="007A6A1A" w:rsidP="00BB4D6B">
            <w:pPr>
              <w:spacing w:after="0" w:line="240" w:lineRule="auto"/>
              <w:rPr>
                <w:sz w:val="20"/>
                <w:szCs w:val="20"/>
              </w:rPr>
            </w:pPr>
            <w:r w:rsidRPr="00BB4D6B">
              <w:rPr>
                <w:sz w:val="20"/>
                <w:szCs w:val="20"/>
              </w:rPr>
              <w:t>0.06</w:t>
            </w:r>
          </w:p>
        </w:tc>
        <w:tc>
          <w:tcPr>
            <w:tcW w:w="1382" w:type="dxa"/>
            <w:tcBorders>
              <w:top w:val="nil"/>
              <w:left w:val="nil"/>
              <w:bottom w:val="single" w:sz="4" w:space="0" w:color="auto"/>
              <w:right w:val="nil"/>
            </w:tcBorders>
            <w:noWrap/>
            <w:vAlign w:val="center"/>
            <w:hideMark/>
          </w:tcPr>
          <w:p w14:paraId="09D0A889" w14:textId="77777777" w:rsidR="007A6A1A" w:rsidRPr="00BB4D6B" w:rsidRDefault="007A6A1A" w:rsidP="00BB4D6B">
            <w:pPr>
              <w:spacing w:after="0" w:line="240" w:lineRule="auto"/>
              <w:rPr>
                <w:sz w:val="20"/>
                <w:szCs w:val="20"/>
              </w:rPr>
            </w:pPr>
            <w:r w:rsidRPr="00BB4D6B">
              <w:rPr>
                <w:sz w:val="20"/>
                <w:szCs w:val="20"/>
              </w:rPr>
              <w:t>5.9%</w:t>
            </w:r>
          </w:p>
        </w:tc>
        <w:tc>
          <w:tcPr>
            <w:tcW w:w="931" w:type="dxa"/>
            <w:tcBorders>
              <w:top w:val="nil"/>
              <w:left w:val="nil"/>
              <w:bottom w:val="single" w:sz="4" w:space="0" w:color="auto"/>
              <w:right w:val="nil"/>
            </w:tcBorders>
            <w:noWrap/>
            <w:vAlign w:val="center"/>
            <w:hideMark/>
          </w:tcPr>
          <w:p w14:paraId="24DE4D10" w14:textId="77777777" w:rsidR="007A6A1A" w:rsidRPr="00BB4D6B" w:rsidRDefault="007A6A1A" w:rsidP="00BB4D6B">
            <w:pPr>
              <w:spacing w:after="0" w:line="240" w:lineRule="auto"/>
              <w:rPr>
                <w:sz w:val="20"/>
                <w:szCs w:val="20"/>
              </w:rPr>
            </w:pPr>
            <w:r w:rsidRPr="00BB4D6B">
              <w:rPr>
                <w:sz w:val="20"/>
                <w:szCs w:val="20"/>
              </w:rPr>
              <w:t>0.36</w:t>
            </w:r>
          </w:p>
        </w:tc>
        <w:tc>
          <w:tcPr>
            <w:tcW w:w="1134" w:type="dxa"/>
            <w:tcBorders>
              <w:top w:val="nil"/>
              <w:left w:val="nil"/>
              <w:bottom w:val="single" w:sz="4" w:space="0" w:color="auto"/>
              <w:right w:val="nil"/>
            </w:tcBorders>
            <w:noWrap/>
            <w:vAlign w:val="center"/>
            <w:hideMark/>
          </w:tcPr>
          <w:p w14:paraId="7F3F289D" w14:textId="77777777" w:rsidR="007A6A1A" w:rsidRPr="00BB4D6B" w:rsidRDefault="007A6A1A" w:rsidP="00BB4D6B">
            <w:pPr>
              <w:spacing w:after="0" w:line="240" w:lineRule="auto"/>
              <w:rPr>
                <w:sz w:val="20"/>
                <w:szCs w:val="20"/>
              </w:rPr>
            </w:pPr>
            <w:r w:rsidRPr="00BB4D6B">
              <w:rPr>
                <w:sz w:val="20"/>
                <w:szCs w:val="20"/>
              </w:rPr>
              <w:t>0.35</w:t>
            </w:r>
          </w:p>
        </w:tc>
        <w:tc>
          <w:tcPr>
            <w:tcW w:w="1276" w:type="dxa"/>
            <w:tcBorders>
              <w:top w:val="nil"/>
              <w:left w:val="nil"/>
              <w:bottom w:val="single" w:sz="4" w:space="0" w:color="auto"/>
              <w:right w:val="single" w:sz="4" w:space="0" w:color="auto"/>
            </w:tcBorders>
            <w:noWrap/>
            <w:vAlign w:val="center"/>
            <w:hideMark/>
          </w:tcPr>
          <w:p w14:paraId="35060C04" w14:textId="77777777" w:rsidR="007A6A1A" w:rsidRPr="00BB4D6B" w:rsidRDefault="007A6A1A" w:rsidP="00BB4D6B">
            <w:pPr>
              <w:spacing w:after="0" w:line="240" w:lineRule="auto"/>
              <w:rPr>
                <w:sz w:val="20"/>
                <w:szCs w:val="20"/>
              </w:rPr>
            </w:pPr>
            <w:r w:rsidRPr="00BB4D6B">
              <w:rPr>
                <w:sz w:val="20"/>
                <w:szCs w:val="20"/>
              </w:rPr>
              <w:t>0.20</w:t>
            </w:r>
          </w:p>
        </w:tc>
      </w:tr>
    </w:tbl>
    <w:p w14:paraId="2CE154C6" w14:textId="77777777" w:rsidR="00A461FB" w:rsidRPr="00BB4D6B" w:rsidRDefault="007A6A1A" w:rsidP="00BB4D6B">
      <w:pPr>
        <w:spacing w:after="0"/>
        <w:rPr>
          <w:b/>
          <w:bCs/>
          <w:sz w:val="18"/>
          <w:szCs w:val="18"/>
        </w:rPr>
      </w:pPr>
      <w:r w:rsidRPr="00BB4D6B">
        <w:rPr>
          <w:b/>
          <w:bCs/>
          <w:sz w:val="18"/>
          <w:szCs w:val="18"/>
        </w:rPr>
        <w:t xml:space="preserve">Notes: </w:t>
      </w:r>
    </w:p>
    <w:p w14:paraId="2725DE51" w14:textId="52B44E51" w:rsidR="00A461FB" w:rsidRPr="00BB4D6B" w:rsidRDefault="007A6A1A" w:rsidP="00BB4D6B">
      <w:pPr>
        <w:spacing w:after="0" w:line="240" w:lineRule="auto"/>
        <w:rPr>
          <w:sz w:val="18"/>
          <w:szCs w:val="18"/>
        </w:rPr>
      </w:pPr>
      <w:r w:rsidRPr="00BB4D6B">
        <w:rPr>
          <w:sz w:val="18"/>
          <w:szCs w:val="18"/>
        </w:rPr>
        <w:t>1. E/P</w:t>
      </w:r>
      <w:r w:rsidR="00A461FB" w:rsidRPr="00BB4D6B">
        <w:rPr>
          <w:sz w:val="18"/>
          <w:szCs w:val="18"/>
        </w:rPr>
        <w:t>:</w:t>
      </w:r>
      <w:r w:rsidRPr="00BB4D6B">
        <w:rPr>
          <w:sz w:val="18"/>
          <w:szCs w:val="18"/>
        </w:rPr>
        <w:t xml:space="preserve"> employment to population ratio</w:t>
      </w:r>
      <w:r w:rsidR="00A461FB" w:rsidRPr="00BB4D6B">
        <w:rPr>
          <w:sz w:val="18"/>
          <w:szCs w:val="18"/>
        </w:rPr>
        <w:t>.</w:t>
      </w:r>
    </w:p>
    <w:p w14:paraId="479EA24E" w14:textId="07BB6BB6" w:rsidR="00A461FB" w:rsidRPr="00BB4D6B" w:rsidRDefault="007A6A1A" w:rsidP="00BB4D6B">
      <w:pPr>
        <w:spacing w:after="0" w:line="240" w:lineRule="auto"/>
        <w:rPr>
          <w:sz w:val="18"/>
          <w:szCs w:val="18"/>
        </w:rPr>
      </w:pPr>
      <w:r w:rsidRPr="00BB4D6B">
        <w:rPr>
          <w:sz w:val="18"/>
          <w:szCs w:val="18"/>
        </w:rPr>
        <w:t xml:space="preserve">2. </w:t>
      </w:r>
      <w:r w:rsidR="00A461FB" w:rsidRPr="00BB4D6B">
        <w:rPr>
          <w:sz w:val="18"/>
          <w:szCs w:val="18"/>
        </w:rPr>
        <w:t>W</w:t>
      </w:r>
      <w:r w:rsidRPr="00BB4D6B">
        <w:rPr>
          <w:sz w:val="18"/>
          <w:szCs w:val="18"/>
        </w:rPr>
        <w:t xml:space="preserve">here the initial data is a % (e.g. E/P ratio), the change calculation shows the percentage point change. </w:t>
      </w:r>
    </w:p>
    <w:p w14:paraId="7A85C377" w14:textId="2C3DF6F8" w:rsidR="007A6A1A" w:rsidRPr="00BB4D6B" w:rsidRDefault="007A6A1A" w:rsidP="00BB4D6B">
      <w:pPr>
        <w:spacing w:after="0" w:line="240" w:lineRule="auto"/>
        <w:rPr>
          <w:sz w:val="18"/>
          <w:szCs w:val="18"/>
        </w:rPr>
      </w:pPr>
      <w:r w:rsidRPr="00BB4D6B">
        <w:rPr>
          <w:b/>
          <w:bCs/>
          <w:sz w:val="18"/>
          <w:szCs w:val="18"/>
        </w:rPr>
        <w:t>Source:</w:t>
      </w:r>
      <w:r w:rsidRPr="00BB4D6B">
        <w:rPr>
          <w:sz w:val="18"/>
          <w:szCs w:val="18"/>
        </w:rPr>
        <w:t xml:space="preserve"> ABS Labour Force, Australia (Cat No 6202.0), Table 1 and Table 22 (Underutilised persons by age and sex). Seasonally adjusted data. </w:t>
      </w:r>
    </w:p>
    <w:p w14:paraId="16747F73"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0E4A1867" w14:textId="55850D01" w:rsidR="007A6A1A" w:rsidRPr="00167CB8" w:rsidRDefault="00C1082E" w:rsidP="007A6A1A">
      <w:pPr>
        <w:spacing w:after="160"/>
      </w:pPr>
      <w:r w:rsidRPr="00167CB8">
        <w:lastRenderedPageBreak/>
        <w:t xml:space="preserve">Table </w:t>
      </w:r>
      <w:r w:rsidR="00BB4D6B">
        <w:t xml:space="preserve">24 </w:t>
      </w:r>
      <w:r w:rsidR="007A6A1A" w:rsidRPr="00167CB8">
        <w:t>shows the distribution of men and women across major industry divisions and, in so doing, highlights the sex-segregated nature of the Australian labour market. These data are from the ABS detailed Labour Force Survey.</w:t>
      </w:r>
      <w:r w:rsidR="007A6A1A" w:rsidRPr="00167CB8">
        <w:rPr>
          <w:vertAlign w:val="superscript"/>
        </w:rPr>
        <w:footnoteReference w:id="1088"/>
      </w:r>
      <w:r w:rsidR="007A6A1A" w:rsidRPr="00167CB8">
        <w:t xml:space="preserve"> </w:t>
      </w:r>
    </w:p>
    <w:p w14:paraId="4B96CEAE" w14:textId="48548339" w:rsidR="007A6A1A" w:rsidRPr="00167CB8" w:rsidRDefault="007A6A1A" w:rsidP="007A6A1A">
      <w:pPr>
        <w:spacing w:after="160"/>
      </w:pPr>
      <w:r w:rsidRPr="00167CB8">
        <w:t xml:space="preserve">In the 10 years to 2022 the top </w:t>
      </w:r>
      <w:r w:rsidR="00A461FB" w:rsidRPr="00167CB8">
        <w:t xml:space="preserve">5 </w:t>
      </w:r>
      <w:r w:rsidRPr="00167CB8">
        <w:t xml:space="preserve">growth industries (in descending order of growth) were </w:t>
      </w:r>
      <w:r w:rsidR="00A461FB" w:rsidRPr="00167CB8">
        <w:t>h</w:t>
      </w:r>
      <w:r w:rsidRPr="00167CB8">
        <w:t xml:space="preserve">ealth care and social assistance; </w:t>
      </w:r>
      <w:r w:rsidR="00A461FB" w:rsidRPr="00167CB8">
        <w:t>p</w:t>
      </w:r>
      <w:r w:rsidRPr="00167CB8">
        <w:t xml:space="preserve">rofessional, scientific and technical services; </w:t>
      </w:r>
      <w:r w:rsidR="00A461FB" w:rsidRPr="00167CB8">
        <w:t>e</w:t>
      </w:r>
      <w:r w:rsidRPr="00167CB8">
        <w:t xml:space="preserve">ducation and </w:t>
      </w:r>
      <w:r w:rsidR="00A461FB" w:rsidRPr="00167CB8">
        <w:t>t</w:t>
      </w:r>
      <w:r w:rsidRPr="00167CB8">
        <w:t xml:space="preserve">raining; </w:t>
      </w:r>
      <w:r w:rsidR="00A461FB" w:rsidRPr="00167CB8">
        <w:t>f</w:t>
      </w:r>
      <w:r w:rsidRPr="00167CB8">
        <w:t>inancial and insurance</w:t>
      </w:r>
      <w:r w:rsidR="00A461FB" w:rsidRPr="00167CB8">
        <w:t>; and</w:t>
      </w:r>
      <w:r w:rsidRPr="00167CB8">
        <w:t xml:space="preserve"> </w:t>
      </w:r>
      <w:r w:rsidR="00A461FB" w:rsidRPr="00167CB8">
        <w:t>p</w:t>
      </w:r>
      <w:r w:rsidRPr="00167CB8">
        <w:t xml:space="preserve">ublic administration and safety.  </w:t>
      </w:r>
    </w:p>
    <w:p w14:paraId="7383C9F1" w14:textId="05BCC7C5" w:rsidR="007A6A1A" w:rsidRPr="00167CB8" w:rsidRDefault="007A6A1A" w:rsidP="007A6A1A">
      <w:pPr>
        <w:spacing w:after="160"/>
      </w:pPr>
      <w:r w:rsidRPr="00167CB8">
        <w:t xml:space="preserve">Employment fell in </w:t>
      </w:r>
      <w:r w:rsidR="00A461FB" w:rsidRPr="00167CB8">
        <w:t>m</w:t>
      </w:r>
      <w:r w:rsidRPr="00167CB8">
        <w:t>anufacturing</w:t>
      </w:r>
      <w:r w:rsidR="00A461FB" w:rsidRPr="00167CB8">
        <w:t>;</w:t>
      </w:r>
      <w:r w:rsidRPr="00167CB8">
        <w:t xml:space="preserve"> </w:t>
      </w:r>
      <w:r w:rsidR="00A461FB" w:rsidRPr="00167CB8">
        <w:t>w</w:t>
      </w:r>
      <w:r w:rsidRPr="00167CB8">
        <w:t xml:space="preserve">holesale trade and </w:t>
      </w:r>
      <w:r w:rsidR="00A461FB" w:rsidRPr="00167CB8">
        <w:t>a</w:t>
      </w:r>
      <w:r w:rsidRPr="00167CB8">
        <w:t>griculture</w:t>
      </w:r>
      <w:r w:rsidR="00A461FB" w:rsidRPr="00167CB8">
        <w:t>; and</w:t>
      </w:r>
      <w:r w:rsidRPr="00167CB8">
        <w:t xml:space="preserve"> forestry and fishing. Since August 2022 </w:t>
      </w:r>
      <w:r w:rsidR="00A461FB" w:rsidRPr="00167CB8">
        <w:t xml:space="preserve">2 </w:t>
      </w:r>
      <w:r w:rsidRPr="00167CB8">
        <w:t xml:space="preserve">industries </w:t>
      </w:r>
      <w:r w:rsidR="00A461FB" w:rsidRPr="00167CB8">
        <w:rPr>
          <w:rFonts w:ascii="Symbol" w:eastAsia="Symbol" w:hAnsi="Symbol" w:cs="Symbol"/>
        </w:rPr>
        <w:sym w:font="Symbol" w:char="F02D"/>
      </w:r>
      <w:r w:rsidRPr="00167CB8">
        <w:t xml:space="preserve"> </w:t>
      </w:r>
      <w:r w:rsidR="00A461FB" w:rsidRPr="00167CB8">
        <w:t>h</w:t>
      </w:r>
      <w:r w:rsidRPr="00167CB8">
        <w:t>ealth care and social assistance</w:t>
      </w:r>
      <w:r w:rsidR="00A461FB" w:rsidRPr="00167CB8">
        <w:t>;</w:t>
      </w:r>
      <w:r w:rsidRPr="00167CB8">
        <w:t xml:space="preserve"> and </w:t>
      </w:r>
      <w:r w:rsidR="00A461FB" w:rsidRPr="00167CB8">
        <w:t>e</w:t>
      </w:r>
      <w:r w:rsidRPr="00167CB8">
        <w:t xml:space="preserve">ducation and training – have continued to exhibit strong employment growth. </w:t>
      </w:r>
    </w:p>
    <w:p w14:paraId="21E70F80" w14:textId="4F53D798" w:rsidR="007A6A1A" w:rsidRPr="00167CB8" w:rsidRDefault="007A6A1A" w:rsidP="007A6A1A">
      <w:pPr>
        <w:spacing w:after="160"/>
      </w:pPr>
      <w:r w:rsidRPr="00167CB8">
        <w:t xml:space="preserve">By August 2024 nearly a quarter (24.7%) of all employed women were </w:t>
      </w:r>
      <w:r w:rsidR="00A461FB" w:rsidRPr="00167CB8">
        <w:t xml:space="preserve">employed </w:t>
      </w:r>
      <w:r w:rsidRPr="00167CB8">
        <w:t xml:space="preserve">in the </w:t>
      </w:r>
      <w:r w:rsidR="00A461FB" w:rsidRPr="00167CB8">
        <w:t>h</w:t>
      </w:r>
      <w:r w:rsidRPr="00167CB8">
        <w:t xml:space="preserve">ealth care and social assistance sector. A further 13.1% were employed in </w:t>
      </w:r>
      <w:r w:rsidR="00A461FB" w:rsidRPr="00167CB8">
        <w:t>e</w:t>
      </w:r>
      <w:r w:rsidRPr="00167CB8">
        <w:t xml:space="preserve">ducation and training and 10.6% in </w:t>
      </w:r>
      <w:r w:rsidR="00A461FB" w:rsidRPr="00167CB8">
        <w:t>r</w:t>
      </w:r>
      <w:r w:rsidRPr="00167CB8">
        <w:t>etail trade. The distribution of men across the industry divisions was quite different. The largest share</w:t>
      </w:r>
      <w:r w:rsidR="00A461FB" w:rsidRPr="00167CB8">
        <w:t>,</w:t>
      </w:r>
      <w:r w:rsidRPr="00167CB8">
        <w:t xml:space="preserve"> at 15%</w:t>
      </w:r>
      <w:r w:rsidR="00A461FB" w:rsidRPr="00167CB8">
        <w:t>,</w:t>
      </w:r>
      <w:r w:rsidRPr="00167CB8">
        <w:t xml:space="preserve"> </w:t>
      </w:r>
      <w:r w:rsidR="00A461FB" w:rsidRPr="00167CB8">
        <w:t xml:space="preserve">was </w:t>
      </w:r>
      <w:r w:rsidRPr="00167CB8">
        <w:t xml:space="preserve">in </w:t>
      </w:r>
      <w:r w:rsidR="00A461FB" w:rsidRPr="00167CB8">
        <w:t>c</w:t>
      </w:r>
      <w:r w:rsidRPr="00167CB8">
        <w:t xml:space="preserve">onstruction, followed by 9.8% in </w:t>
      </w:r>
      <w:r w:rsidR="00A461FB" w:rsidRPr="00167CB8">
        <w:t>p</w:t>
      </w:r>
      <w:r w:rsidRPr="00167CB8">
        <w:t>rofessional, scientific and technical services and then 8.3% in manufacturing. Only 3.7% of employed women were in manufacturing. These patterns of labour market segmentation have implications for the gender wage gap (as will be explained below).</w:t>
      </w:r>
    </w:p>
    <w:p w14:paraId="384A592C" w14:textId="6C50C08B" w:rsidR="007A6A1A" w:rsidRPr="00167CB8" w:rsidRDefault="007A6A1A" w:rsidP="007A6A1A">
      <w:pPr>
        <w:spacing w:after="160"/>
      </w:pPr>
      <w:r w:rsidRPr="00167CB8">
        <w:t xml:space="preserve">In terms of total employment, </w:t>
      </w:r>
      <w:r w:rsidR="00332EA9" w:rsidRPr="00167CB8">
        <w:t xml:space="preserve">Table </w:t>
      </w:r>
      <w:r w:rsidR="001363DB" w:rsidRPr="00167CB8">
        <w:t xml:space="preserve">24 </w:t>
      </w:r>
      <w:r w:rsidRPr="00167CB8">
        <w:t xml:space="preserve">shows that the largest is </w:t>
      </w:r>
      <w:r w:rsidR="00A461FB" w:rsidRPr="00167CB8">
        <w:t>h</w:t>
      </w:r>
      <w:r w:rsidRPr="00167CB8">
        <w:t xml:space="preserve">ealth care and social assistance. At August 2024 this industry division accounted for 15.5% of all employed people in Australia. The second largest industry division was </w:t>
      </w:r>
      <w:r w:rsidR="00A461FB" w:rsidRPr="00167CB8">
        <w:t>r</w:t>
      </w:r>
      <w:r w:rsidRPr="00167CB8">
        <w:t xml:space="preserve">etail trade (at 9.3%), followed by </w:t>
      </w:r>
      <w:r w:rsidR="00A461FB" w:rsidRPr="00167CB8">
        <w:t>c</w:t>
      </w:r>
      <w:r w:rsidRPr="00167CB8">
        <w:t xml:space="preserve">onstruction (9.2%), </w:t>
      </w:r>
      <w:r w:rsidR="00A461FB" w:rsidRPr="00167CB8">
        <w:t>p</w:t>
      </w:r>
      <w:r w:rsidRPr="00167CB8">
        <w:t xml:space="preserve">rofessional, scientific and technical services (9.1%) and </w:t>
      </w:r>
      <w:r w:rsidR="00A461FB" w:rsidRPr="00167CB8">
        <w:t>e</w:t>
      </w:r>
      <w:r w:rsidRPr="00167CB8">
        <w:t xml:space="preserve">ducation and training (8.6%). </w:t>
      </w:r>
    </w:p>
    <w:p w14:paraId="174BC541" w14:textId="476DB7D5" w:rsidR="007A6A1A" w:rsidRPr="00167CB8" w:rsidRDefault="00B4407E" w:rsidP="007A6A1A">
      <w:pPr>
        <w:spacing w:after="160"/>
      </w:pPr>
      <w:r w:rsidRPr="00167CB8">
        <w:t xml:space="preserve">Table </w:t>
      </w:r>
      <w:r w:rsidR="00514A09" w:rsidRPr="00167CB8">
        <w:t>25</w:t>
      </w:r>
      <w:r w:rsidR="00E711B5">
        <w:t xml:space="preserve"> </w:t>
      </w:r>
      <w:r w:rsidR="007A6A1A" w:rsidRPr="00167CB8">
        <w:t xml:space="preserve">shows employment growth – and distribution – by occupation of employment. Between August 2012 and August 2024 total employment increased by 28%. Above average growth, however, occurred among </w:t>
      </w:r>
      <w:r w:rsidR="00A461FB" w:rsidRPr="00167CB8">
        <w:t>c</w:t>
      </w:r>
      <w:r w:rsidR="007A6A1A" w:rsidRPr="00167CB8">
        <w:t xml:space="preserve">ommunity and personal service workers (56% growth rate between 2012 and 2024) and </w:t>
      </w:r>
      <w:r w:rsidR="00A461FB" w:rsidRPr="00167CB8">
        <w:t>p</w:t>
      </w:r>
      <w:r w:rsidR="007A6A1A" w:rsidRPr="00167CB8">
        <w:t xml:space="preserve">rofessionals (52% increase in employment over the same period). In the </w:t>
      </w:r>
      <w:r w:rsidR="00A461FB" w:rsidRPr="00167CB8">
        <w:t xml:space="preserve">2 </w:t>
      </w:r>
      <w:r w:rsidR="007A6A1A" w:rsidRPr="00167CB8">
        <w:t xml:space="preserve">years to August 2022 employment growth among men was strongest amongst </w:t>
      </w:r>
      <w:r w:rsidR="00A461FB" w:rsidRPr="00167CB8">
        <w:t>c</w:t>
      </w:r>
      <w:r w:rsidR="007A6A1A" w:rsidRPr="00167CB8">
        <w:t>lerical and administrative workers</w:t>
      </w:r>
      <w:r w:rsidR="00A461FB" w:rsidRPr="00167CB8">
        <w:t>,</w:t>
      </w:r>
      <w:r w:rsidR="007A6A1A" w:rsidRPr="00167CB8">
        <w:t xml:space="preserve"> whereas among women it was strongest amongst </w:t>
      </w:r>
      <w:r w:rsidR="00A461FB" w:rsidRPr="00167CB8">
        <w:t>c</w:t>
      </w:r>
      <w:r w:rsidR="007A6A1A" w:rsidRPr="00167CB8">
        <w:t xml:space="preserve">ommunity and personal service workers. </w:t>
      </w:r>
    </w:p>
    <w:p w14:paraId="50DB010A"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p>
    <w:p w14:paraId="7CC3BFD6" w14:textId="573241DE" w:rsidR="007A6A1A" w:rsidRPr="00167CB8" w:rsidRDefault="007A6A1A" w:rsidP="00BB4D6B">
      <w:pPr>
        <w:pStyle w:val="Caption"/>
        <w:spacing w:after="0" w:line="240" w:lineRule="auto"/>
      </w:pPr>
      <w:bookmarkStart w:id="649" w:name="_Ref184403803"/>
      <w:bookmarkStart w:id="650" w:name="_Toc186991802"/>
      <w:bookmarkStart w:id="651" w:name="_Toc189310853"/>
      <w:r w:rsidRPr="00167CB8">
        <w:lastRenderedPageBreak/>
        <w:t xml:space="preserve">Table </w:t>
      </w:r>
      <w:r w:rsidR="00E634F9" w:rsidRPr="00167CB8">
        <w:t>24</w:t>
      </w:r>
      <w:bookmarkEnd w:id="649"/>
      <w:r w:rsidRPr="00167CB8">
        <w:t>: Employment growth and distribution by industry division, Australia</w:t>
      </w:r>
      <w:bookmarkEnd w:id="650"/>
      <w:bookmarkEnd w:id="651"/>
    </w:p>
    <w:tbl>
      <w:tblPr>
        <w:tblW w:w="141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63"/>
        <w:gridCol w:w="934"/>
        <w:gridCol w:w="934"/>
        <w:gridCol w:w="935"/>
        <w:gridCol w:w="1019"/>
        <w:gridCol w:w="1019"/>
        <w:gridCol w:w="1020"/>
        <w:gridCol w:w="1019"/>
        <w:gridCol w:w="1019"/>
        <w:gridCol w:w="1019"/>
        <w:gridCol w:w="1019"/>
      </w:tblGrid>
      <w:tr w:rsidR="007A6A1A" w:rsidRPr="00167CB8" w14:paraId="3B1E24F1" w14:textId="77777777">
        <w:trPr>
          <w:trHeight w:val="267"/>
        </w:trPr>
        <w:tc>
          <w:tcPr>
            <w:tcW w:w="4160" w:type="dxa"/>
            <w:tcBorders>
              <w:top w:val="single" w:sz="4" w:space="0" w:color="auto"/>
              <w:left w:val="single" w:sz="4" w:space="0" w:color="auto"/>
              <w:bottom w:val="nil"/>
              <w:right w:val="nil"/>
            </w:tcBorders>
            <w:noWrap/>
            <w:vAlign w:val="bottom"/>
            <w:hideMark/>
          </w:tcPr>
          <w:p w14:paraId="7CA36176" w14:textId="77777777" w:rsidR="007A6A1A" w:rsidRPr="00BB4D6B" w:rsidRDefault="007A6A1A" w:rsidP="00BB4D6B">
            <w:pPr>
              <w:spacing w:after="0" w:line="240" w:lineRule="auto"/>
              <w:rPr>
                <w:b/>
                <w:bCs/>
                <w:sz w:val="20"/>
                <w:szCs w:val="20"/>
              </w:rPr>
            </w:pPr>
          </w:p>
        </w:tc>
        <w:tc>
          <w:tcPr>
            <w:tcW w:w="2800" w:type="dxa"/>
            <w:gridSpan w:val="3"/>
            <w:tcBorders>
              <w:top w:val="single" w:sz="4" w:space="0" w:color="auto"/>
              <w:left w:val="nil"/>
              <w:bottom w:val="nil"/>
              <w:right w:val="single" w:sz="4" w:space="0" w:color="auto"/>
            </w:tcBorders>
            <w:hideMark/>
          </w:tcPr>
          <w:p w14:paraId="22DEDB4A" w14:textId="79443A2A" w:rsidR="007A6A1A" w:rsidRPr="00BB4D6B" w:rsidRDefault="007A6A1A" w:rsidP="00BB4D6B">
            <w:pPr>
              <w:spacing w:after="0" w:line="240" w:lineRule="auto"/>
              <w:rPr>
                <w:b/>
                <w:bCs/>
                <w:sz w:val="20"/>
                <w:szCs w:val="20"/>
              </w:rPr>
            </w:pPr>
            <w:r w:rsidRPr="00BB4D6B">
              <w:rPr>
                <w:b/>
                <w:bCs/>
                <w:sz w:val="20"/>
                <w:szCs w:val="20"/>
              </w:rPr>
              <w:t>Aug 2012</w:t>
            </w:r>
            <w:r w:rsidR="00A461FB" w:rsidRPr="00BB4D6B">
              <w:rPr>
                <w:rFonts w:ascii="Symbol" w:eastAsia="Symbol" w:hAnsi="Symbol" w:cs="Symbol"/>
                <w:b/>
                <w:bCs/>
                <w:sz w:val="20"/>
                <w:szCs w:val="20"/>
              </w:rPr>
              <w:sym w:font="Symbol" w:char="F02D"/>
            </w:r>
            <w:r w:rsidR="00A461FB" w:rsidRPr="00BB4D6B">
              <w:rPr>
                <w:b/>
                <w:bCs/>
                <w:sz w:val="20"/>
                <w:szCs w:val="20"/>
              </w:rPr>
              <w:t>20</w:t>
            </w:r>
            <w:r w:rsidRPr="00BB4D6B">
              <w:rPr>
                <w:b/>
                <w:bCs/>
                <w:sz w:val="20"/>
                <w:szCs w:val="20"/>
              </w:rPr>
              <w:t>22</w:t>
            </w:r>
          </w:p>
        </w:tc>
        <w:tc>
          <w:tcPr>
            <w:tcW w:w="3058" w:type="dxa"/>
            <w:gridSpan w:val="3"/>
            <w:tcBorders>
              <w:top w:val="single" w:sz="4" w:space="0" w:color="auto"/>
              <w:left w:val="single" w:sz="4" w:space="0" w:color="auto"/>
              <w:bottom w:val="nil"/>
              <w:right w:val="single" w:sz="4" w:space="0" w:color="auto"/>
            </w:tcBorders>
            <w:hideMark/>
          </w:tcPr>
          <w:p w14:paraId="5A8F5D41" w14:textId="49784D80" w:rsidR="007A6A1A" w:rsidRPr="00BB4D6B" w:rsidRDefault="007A6A1A" w:rsidP="00BB4D6B">
            <w:pPr>
              <w:spacing w:after="0" w:line="240" w:lineRule="auto"/>
              <w:rPr>
                <w:b/>
                <w:bCs/>
                <w:sz w:val="20"/>
                <w:szCs w:val="20"/>
              </w:rPr>
            </w:pPr>
            <w:r w:rsidRPr="00BB4D6B">
              <w:rPr>
                <w:b/>
                <w:bCs/>
                <w:sz w:val="20"/>
                <w:szCs w:val="20"/>
              </w:rPr>
              <w:t>Aug 2022</w:t>
            </w:r>
            <w:r w:rsidR="00A461FB" w:rsidRPr="00BB4D6B">
              <w:rPr>
                <w:rFonts w:ascii="Symbol" w:eastAsia="Symbol" w:hAnsi="Symbol" w:cs="Symbol"/>
                <w:b/>
                <w:bCs/>
                <w:sz w:val="20"/>
                <w:szCs w:val="20"/>
              </w:rPr>
              <w:sym w:font="Symbol" w:char="F02D"/>
            </w:r>
            <w:r w:rsidR="00A461FB" w:rsidRPr="00BB4D6B">
              <w:rPr>
                <w:b/>
                <w:bCs/>
                <w:sz w:val="20"/>
                <w:szCs w:val="20"/>
              </w:rPr>
              <w:t>20</w:t>
            </w:r>
            <w:r w:rsidRPr="00BB4D6B">
              <w:rPr>
                <w:b/>
                <w:bCs/>
                <w:sz w:val="20"/>
                <w:szCs w:val="20"/>
              </w:rPr>
              <w:t>24</w:t>
            </w:r>
          </w:p>
        </w:tc>
        <w:tc>
          <w:tcPr>
            <w:tcW w:w="2038" w:type="dxa"/>
            <w:gridSpan w:val="2"/>
            <w:tcBorders>
              <w:top w:val="single" w:sz="4" w:space="0" w:color="auto"/>
              <w:left w:val="single" w:sz="4" w:space="0" w:color="auto"/>
              <w:bottom w:val="nil"/>
              <w:right w:val="nil"/>
            </w:tcBorders>
            <w:hideMark/>
          </w:tcPr>
          <w:p w14:paraId="48F9695E" w14:textId="77777777" w:rsidR="007A6A1A" w:rsidRPr="00BB4D6B" w:rsidRDefault="007A6A1A" w:rsidP="00BB4D6B">
            <w:pPr>
              <w:spacing w:after="0" w:line="240" w:lineRule="auto"/>
              <w:rPr>
                <w:b/>
                <w:bCs/>
                <w:sz w:val="20"/>
                <w:szCs w:val="20"/>
              </w:rPr>
            </w:pPr>
            <w:r w:rsidRPr="00BB4D6B">
              <w:rPr>
                <w:b/>
                <w:bCs/>
                <w:sz w:val="20"/>
                <w:szCs w:val="20"/>
              </w:rPr>
              <w:t>Aug-2012</w:t>
            </w:r>
          </w:p>
        </w:tc>
        <w:tc>
          <w:tcPr>
            <w:tcW w:w="2038" w:type="dxa"/>
            <w:gridSpan w:val="2"/>
            <w:tcBorders>
              <w:top w:val="single" w:sz="4" w:space="0" w:color="auto"/>
              <w:left w:val="nil"/>
              <w:bottom w:val="nil"/>
              <w:right w:val="single" w:sz="4" w:space="0" w:color="auto"/>
            </w:tcBorders>
            <w:hideMark/>
          </w:tcPr>
          <w:p w14:paraId="234C246D" w14:textId="77777777" w:rsidR="007A6A1A" w:rsidRPr="00BB4D6B" w:rsidRDefault="007A6A1A" w:rsidP="00BB4D6B">
            <w:pPr>
              <w:spacing w:after="0" w:line="240" w:lineRule="auto"/>
              <w:rPr>
                <w:b/>
                <w:bCs/>
                <w:sz w:val="20"/>
                <w:szCs w:val="20"/>
              </w:rPr>
            </w:pPr>
            <w:r w:rsidRPr="00BB4D6B">
              <w:rPr>
                <w:b/>
                <w:bCs/>
                <w:sz w:val="20"/>
                <w:szCs w:val="20"/>
              </w:rPr>
              <w:t>Aug-2024</w:t>
            </w:r>
          </w:p>
        </w:tc>
      </w:tr>
      <w:tr w:rsidR="007A6A1A" w:rsidRPr="00167CB8" w14:paraId="2FD4B5AA" w14:textId="77777777">
        <w:trPr>
          <w:trHeight w:val="304"/>
        </w:trPr>
        <w:tc>
          <w:tcPr>
            <w:tcW w:w="4160" w:type="dxa"/>
            <w:tcBorders>
              <w:top w:val="nil"/>
              <w:left w:val="single" w:sz="4" w:space="0" w:color="auto"/>
              <w:bottom w:val="single" w:sz="4" w:space="0" w:color="auto"/>
              <w:right w:val="nil"/>
            </w:tcBorders>
            <w:noWrap/>
            <w:vAlign w:val="bottom"/>
            <w:hideMark/>
          </w:tcPr>
          <w:p w14:paraId="0E7C0600" w14:textId="77777777" w:rsidR="007A6A1A" w:rsidRPr="00BB4D6B" w:rsidRDefault="007A6A1A" w:rsidP="00BB4D6B">
            <w:pPr>
              <w:spacing w:after="0" w:line="240" w:lineRule="auto"/>
              <w:rPr>
                <w:b/>
                <w:bCs/>
                <w:sz w:val="20"/>
                <w:szCs w:val="20"/>
              </w:rPr>
            </w:pPr>
          </w:p>
        </w:tc>
        <w:tc>
          <w:tcPr>
            <w:tcW w:w="933" w:type="dxa"/>
            <w:tcBorders>
              <w:top w:val="nil"/>
              <w:left w:val="nil"/>
              <w:bottom w:val="single" w:sz="4" w:space="0" w:color="auto"/>
              <w:right w:val="nil"/>
            </w:tcBorders>
            <w:hideMark/>
          </w:tcPr>
          <w:p w14:paraId="46FED650" w14:textId="77777777" w:rsidR="007A6A1A" w:rsidRPr="00BB4D6B" w:rsidRDefault="007A6A1A" w:rsidP="00BB4D6B">
            <w:pPr>
              <w:spacing w:after="0" w:line="240" w:lineRule="auto"/>
              <w:rPr>
                <w:b/>
                <w:bCs/>
                <w:sz w:val="20"/>
                <w:szCs w:val="20"/>
              </w:rPr>
            </w:pPr>
            <w:r w:rsidRPr="00BB4D6B">
              <w:rPr>
                <w:b/>
                <w:bCs/>
                <w:sz w:val="20"/>
                <w:szCs w:val="20"/>
              </w:rPr>
              <w:t>Total</w:t>
            </w:r>
          </w:p>
        </w:tc>
        <w:tc>
          <w:tcPr>
            <w:tcW w:w="933" w:type="dxa"/>
            <w:tcBorders>
              <w:top w:val="nil"/>
              <w:left w:val="nil"/>
              <w:bottom w:val="single" w:sz="4" w:space="0" w:color="auto"/>
              <w:right w:val="nil"/>
            </w:tcBorders>
            <w:hideMark/>
          </w:tcPr>
          <w:p w14:paraId="39708A43" w14:textId="77777777" w:rsidR="007A6A1A" w:rsidRPr="00BB4D6B" w:rsidRDefault="007A6A1A" w:rsidP="00BB4D6B">
            <w:pPr>
              <w:spacing w:after="0" w:line="240" w:lineRule="auto"/>
              <w:rPr>
                <w:b/>
                <w:bCs/>
                <w:sz w:val="20"/>
                <w:szCs w:val="20"/>
              </w:rPr>
            </w:pPr>
            <w:r w:rsidRPr="00BB4D6B">
              <w:rPr>
                <w:b/>
                <w:bCs/>
                <w:sz w:val="20"/>
                <w:szCs w:val="20"/>
              </w:rPr>
              <w:t>Men</w:t>
            </w:r>
          </w:p>
        </w:tc>
        <w:tc>
          <w:tcPr>
            <w:tcW w:w="934" w:type="dxa"/>
            <w:tcBorders>
              <w:top w:val="nil"/>
              <w:left w:val="nil"/>
              <w:bottom w:val="single" w:sz="4" w:space="0" w:color="auto"/>
              <w:right w:val="single" w:sz="4" w:space="0" w:color="auto"/>
            </w:tcBorders>
            <w:hideMark/>
          </w:tcPr>
          <w:p w14:paraId="2D7505F5" w14:textId="77777777" w:rsidR="007A6A1A" w:rsidRPr="00BB4D6B" w:rsidRDefault="007A6A1A" w:rsidP="00BB4D6B">
            <w:pPr>
              <w:spacing w:after="0" w:line="240" w:lineRule="auto"/>
              <w:rPr>
                <w:b/>
                <w:bCs/>
                <w:sz w:val="20"/>
                <w:szCs w:val="20"/>
              </w:rPr>
            </w:pPr>
            <w:r w:rsidRPr="00BB4D6B">
              <w:rPr>
                <w:b/>
                <w:bCs/>
                <w:sz w:val="20"/>
                <w:szCs w:val="20"/>
              </w:rPr>
              <w:t>Women</w:t>
            </w:r>
          </w:p>
        </w:tc>
        <w:tc>
          <w:tcPr>
            <w:tcW w:w="1019" w:type="dxa"/>
            <w:tcBorders>
              <w:top w:val="nil"/>
              <w:left w:val="single" w:sz="4" w:space="0" w:color="auto"/>
              <w:bottom w:val="single" w:sz="4" w:space="0" w:color="auto"/>
              <w:right w:val="nil"/>
            </w:tcBorders>
            <w:hideMark/>
          </w:tcPr>
          <w:p w14:paraId="7D7244C4" w14:textId="77777777" w:rsidR="007A6A1A" w:rsidRPr="00BB4D6B" w:rsidRDefault="007A6A1A" w:rsidP="00BB4D6B">
            <w:pPr>
              <w:spacing w:after="0" w:line="240" w:lineRule="auto"/>
              <w:rPr>
                <w:b/>
                <w:bCs/>
                <w:sz w:val="20"/>
                <w:szCs w:val="20"/>
              </w:rPr>
            </w:pPr>
            <w:r w:rsidRPr="00BB4D6B">
              <w:rPr>
                <w:b/>
                <w:bCs/>
                <w:sz w:val="20"/>
                <w:szCs w:val="20"/>
              </w:rPr>
              <w:t>Total</w:t>
            </w:r>
          </w:p>
        </w:tc>
        <w:tc>
          <w:tcPr>
            <w:tcW w:w="1019" w:type="dxa"/>
            <w:tcBorders>
              <w:top w:val="nil"/>
              <w:left w:val="nil"/>
              <w:bottom w:val="single" w:sz="4" w:space="0" w:color="auto"/>
              <w:right w:val="nil"/>
            </w:tcBorders>
            <w:hideMark/>
          </w:tcPr>
          <w:p w14:paraId="23C51F52" w14:textId="77777777" w:rsidR="007A6A1A" w:rsidRPr="00BB4D6B" w:rsidRDefault="007A6A1A" w:rsidP="00BB4D6B">
            <w:pPr>
              <w:spacing w:after="0" w:line="240" w:lineRule="auto"/>
              <w:rPr>
                <w:b/>
                <w:bCs/>
                <w:sz w:val="20"/>
                <w:szCs w:val="20"/>
              </w:rPr>
            </w:pPr>
            <w:r w:rsidRPr="00BB4D6B">
              <w:rPr>
                <w:b/>
                <w:bCs/>
                <w:sz w:val="20"/>
                <w:szCs w:val="20"/>
              </w:rPr>
              <w:t>Men</w:t>
            </w:r>
          </w:p>
        </w:tc>
        <w:tc>
          <w:tcPr>
            <w:tcW w:w="1020" w:type="dxa"/>
            <w:tcBorders>
              <w:top w:val="nil"/>
              <w:left w:val="nil"/>
              <w:bottom w:val="single" w:sz="4" w:space="0" w:color="auto"/>
              <w:right w:val="single" w:sz="4" w:space="0" w:color="auto"/>
            </w:tcBorders>
            <w:hideMark/>
          </w:tcPr>
          <w:p w14:paraId="5C4F5A0A" w14:textId="77777777" w:rsidR="007A6A1A" w:rsidRPr="00BB4D6B" w:rsidRDefault="007A6A1A" w:rsidP="00BB4D6B">
            <w:pPr>
              <w:spacing w:after="0" w:line="240" w:lineRule="auto"/>
              <w:rPr>
                <w:b/>
                <w:bCs/>
                <w:sz w:val="20"/>
                <w:szCs w:val="20"/>
              </w:rPr>
            </w:pPr>
            <w:r w:rsidRPr="00BB4D6B">
              <w:rPr>
                <w:b/>
                <w:bCs/>
                <w:sz w:val="20"/>
                <w:szCs w:val="20"/>
              </w:rPr>
              <w:t>Women</w:t>
            </w:r>
          </w:p>
        </w:tc>
        <w:tc>
          <w:tcPr>
            <w:tcW w:w="1019" w:type="dxa"/>
            <w:tcBorders>
              <w:top w:val="nil"/>
              <w:left w:val="single" w:sz="4" w:space="0" w:color="auto"/>
              <w:bottom w:val="single" w:sz="4" w:space="0" w:color="auto"/>
              <w:right w:val="nil"/>
            </w:tcBorders>
            <w:hideMark/>
          </w:tcPr>
          <w:p w14:paraId="6B3E15E2" w14:textId="77777777" w:rsidR="007A6A1A" w:rsidRPr="00BB4D6B" w:rsidRDefault="007A6A1A" w:rsidP="00BB4D6B">
            <w:pPr>
              <w:spacing w:after="0" w:line="240" w:lineRule="auto"/>
              <w:rPr>
                <w:b/>
                <w:bCs/>
                <w:sz w:val="20"/>
                <w:szCs w:val="20"/>
              </w:rPr>
            </w:pPr>
            <w:r w:rsidRPr="00BB4D6B">
              <w:rPr>
                <w:b/>
                <w:bCs/>
                <w:sz w:val="20"/>
                <w:szCs w:val="20"/>
              </w:rPr>
              <w:t>Men</w:t>
            </w:r>
          </w:p>
        </w:tc>
        <w:tc>
          <w:tcPr>
            <w:tcW w:w="1019" w:type="dxa"/>
            <w:tcBorders>
              <w:top w:val="nil"/>
              <w:left w:val="nil"/>
              <w:bottom w:val="single" w:sz="4" w:space="0" w:color="auto"/>
              <w:right w:val="nil"/>
            </w:tcBorders>
            <w:hideMark/>
          </w:tcPr>
          <w:p w14:paraId="47DA80A7" w14:textId="77777777" w:rsidR="007A6A1A" w:rsidRPr="00BB4D6B" w:rsidRDefault="007A6A1A" w:rsidP="00BB4D6B">
            <w:pPr>
              <w:spacing w:after="0" w:line="240" w:lineRule="auto"/>
              <w:rPr>
                <w:b/>
                <w:bCs/>
                <w:sz w:val="20"/>
                <w:szCs w:val="20"/>
              </w:rPr>
            </w:pPr>
            <w:r w:rsidRPr="00BB4D6B">
              <w:rPr>
                <w:b/>
                <w:bCs/>
                <w:sz w:val="20"/>
                <w:szCs w:val="20"/>
              </w:rPr>
              <w:t>Women</w:t>
            </w:r>
          </w:p>
        </w:tc>
        <w:tc>
          <w:tcPr>
            <w:tcW w:w="1019" w:type="dxa"/>
            <w:tcBorders>
              <w:top w:val="nil"/>
              <w:left w:val="nil"/>
              <w:bottom w:val="single" w:sz="4" w:space="0" w:color="auto"/>
              <w:right w:val="nil"/>
            </w:tcBorders>
            <w:hideMark/>
          </w:tcPr>
          <w:p w14:paraId="248662C2" w14:textId="77777777" w:rsidR="007A6A1A" w:rsidRPr="00BB4D6B" w:rsidRDefault="007A6A1A" w:rsidP="00BB4D6B">
            <w:pPr>
              <w:spacing w:after="0" w:line="240" w:lineRule="auto"/>
              <w:rPr>
                <w:b/>
                <w:bCs/>
                <w:sz w:val="20"/>
                <w:szCs w:val="20"/>
              </w:rPr>
            </w:pPr>
            <w:r w:rsidRPr="00BB4D6B">
              <w:rPr>
                <w:b/>
                <w:bCs/>
                <w:sz w:val="20"/>
                <w:szCs w:val="20"/>
              </w:rPr>
              <w:t>Men</w:t>
            </w:r>
          </w:p>
        </w:tc>
        <w:tc>
          <w:tcPr>
            <w:tcW w:w="1019" w:type="dxa"/>
            <w:tcBorders>
              <w:top w:val="nil"/>
              <w:left w:val="nil"/>
              <w:bottom w:val="single" w:sz="4" w:space="0" w:color="auto"/>
              <w:right w:val="single" w:sz="4" w:space="0" w:color="auto"/>
            </w:tcBorders>
            <w:hideMark/>
          </w:tcPr>
          <w:p w14:paraId="52876905" w14:textId="77777777" w:rsidR="007A6A1A" w:rsidRPr="00BB4D6B" w:rsidRDefault="007A6A1A" w:rsidP="00BB4D6B">
            <w:pPr>
              <w:spacing w:after="0" w:line="240" w:lineRule="auto"/>
              <w:rPr>
                <w:b/>
                <w:bCs/>
                <w:sz w:val="20"/>
                <w:szCs w:val="20"/>
              </w:rPr>
            </w:pPr>
            <w:r w:rsidRPr="00BB4D6B">
              <w:rPr>
                <w:b/>
                <w:bCs/>
                <w:sz w:val="20"/>
                <w:szCs w:val="20"/>
              </w:rPr>
              <w:t>Women</w:t>
            </w:r>
          </w:p>
        </w:tc>
      </w:tr>
      <w:tr w:rsidR="007A6A1A" w:rsidRPr="00167CB8" w14:paraId="382C462C" w14:textId="77777777">
        <w:trPr>
          <w:trHeight w:val="371"/>
        </w:trPr>
        <w:tc>
          <w:tcPr>
            <w:tcW w:w="4160" w:type="dxa"/>
            <w:tcBorders>
              <w:top w:val="single" w:sz="4" w:space="0" w:color="auto"/>
              <w:left w:val="single" w:sz="4" w:space="0" w:color="auto"/>
              <w:bottom w:val="nil"/>
              <w:right w:val="nil"/>
            </w:tcBorders>
            <w:vAlign w:val="bottom"/>
            <w:hideMark/>
          </w:tcPr>
          <w:p w14:paraId="0E4A143A" w14:textId="2ACFB18E" w:rsidR="007A6A1A" w:rsidRPr="00BB4D6B" w:rsidRDefault="007A6A1A" w:rsidP="00BB4D6B">
            <w:pPr>
              <w:spacing w:after="0" w:line="240" w:lineRule="auto"/>
              <w:rPr>
                <w:sz w:val="20"/>
                <w:szCs w:val="20"/>
              </w:rPr>
            </w:pPr>
            <w:r w:rsidRPr="00BB4D6B">
              <w:rPr>
                <w:sz w:val="20"/>
                <w:szCs w:val="20"/>
              </w:rPr>
              <w:t xml:space="preserve">Agriculture, </w:t>
            </w:r>
            <w:r w:rsidR="00A461FB" w:rsidRPr="00BB4D6B">
              <w:rPr>
                <w:sz w:val="20"/>
                <w:szCs w:val="20"/>
              </w:rPr>
              <w:t>f</w:t>
            </w:r>
            <w:r w:rsidRPr="00BB4D6B">
              <w:rPr>
                <w:sz w:val="20"/>
                <w:szCs w:val="20"/>
              </w:rPr>
              <w:t xml:space="preserve">orestry and </w:t>
            </w:r>
            <w:r w:rsidR="00A461FB" w:rsidRPr="00BB4D6B">
              <w:rPr>
                <w:sz w:val="20"/>
                <w:szCs w:val="20"/>
              </w:rPr>
              <w:t>f</w:t>
            </w:r>
            <w:r w:rsidRPr="00BB4D6B">
              <w:rPr>
                <w:sz w:val="20"/>
                <w:szCs w:val="20"/>
              </w:rPr>
              <w:t>ishing</w:t>
            </w:r>
          </w:p>
        </w:tc>
        <w:tc>
          <w:tcPr>
            <w:tcW w:w="933" w:type="dxa"/>
            <w:tcBorders>
              <w:top w:val="single" w:sz="4" w:space="0" w:color="auto"/>
              <w:left w:val="nil"/>
              <w:bottom w:val="nil"/>
              <w:right w:val="nil"/>
            </w:tcBorders>
            <w:noWrap/>
            <w:vAlign w:val="bottom"/>
            <w:hideMark/>
          </w:tcPr>
          <w:p w14:paraId="4AF6A3E6" w14:textId="77777777" w:rsidR="007A6A1A" w:rsidRPr="00BB4D6B" w:rsidRDefault="007A6A1A" w:rsidP="00BB4D6B">
            <w:pPr>
              <w:spacing w:after="0" w:line="240" w:lineRule="auto"/>
              <w:rPr>
                <w:sz w:val="20"/>
                <w:szCs w:val="20"/>
              </w:rPr>
            </w:pPr>
            <w:r w:rsidRPr="00BB4D6B">
              <w:rPr>
                <w:sz w:val="20"/>
                <w:szCs w:val="20"/>
              </w:rPr>
              <w:t>-6%</w:t>
            </w:r>
          </w:p>
        </w:tc>
        <w:tc>
          <w:tcPr>
            <w:tcW w:w="933" w:type="dxa"/>
            <w:tcBorders>
              <w:top w:val="single" w:sz="4" w:space="0" w:color="auto"/>
              <w:left w:val="nil"/>
              <w:bottom w:val="nil"/>
              <w:right w:val="nil"/>
            </w:tcBorders>
            <w:noWrap/>
            <w:vAlign w:val="bottom"/>
            <w:hideMark/>
          </w:tcPr>
          <w:p w14:paraId="72FA9C8C" w14:textId="77777777" w:rsidR="007A6A1A" w:rsidRPr="00BB4D6B" w:rsidRDefault="007A6A1A" w:rsidP="00BB4D6B">
            <w:pPr>
              <w:spacing w:after="0" w:line="240" w:lineRule="auto"/>
              <w:rPr>
                <w:sz w:val="20"/>
                <w:szCs w:val="20"/>
              </w:rPr>
            </w:pPr>
            <w:r w:rsidRPr="00BB4D6B">
              <w:rPr>
                <w:sz w:val="20"/>
                <w:szCs w:val="20"/>
              </w:rPr>
              <w:t>-3%</w:t>
            </w:r>
          </w:p>
        </w:tc>
        <w:tc>
          <w:tcPr>
            <w:tcW w:w="934" w:type="dxa"/>
            <w:tcBorders>
              <w:top w:val="single" w:sz="4" w:space="0" w:color="auto"/>
              <w:left w:val="nil"/>
              <w:bottom w:val="nil"/>
              <w:right w:val="single" w:sz="4" w:space="0" w:color="auto"/>
            </w:tcBorders>
            <w:noWrap/>
            <w:vAlign w:val="bottom"/>
            <w:hideMark/>
          </w:tcPr>
          <w:p w14:paraId="13549994" w14:textId="77777777" w:rsidR="007A6A1A" w:rsidRPr="00BB4D6B" w:rsidRDefault="007A6A1A" w:rsidP="00BB4D6B">
            <w:pPr>
              <w:spacing w:after="0" w:line="240" w:lineRule="auto"/>
              <w:rPr>
                <w:sz w:val="20"/>
                <w:szCs w:val="20"/>
              </w:rPr>
            </w:pPr>
            <w:r w:rsidRPr="00BB4D6B">
              <w:rPr>
                <w:sz w:val="20"/>
                <w:szCs w:val="20"/>
              </w:rPr>
              <w:t>-8%</w:t>
            </w:r>
          </w:p>
        </w:tc>
        <w:tc>
          <w:tcPr>
            <w:tcW w:w="1019" w:type="dxa"/>
            <w:tcBorders>
              <w:top w:val="single" w:sz="4" w:space="0" w:color="auto"/>
              <w:left w:val="single" w:sz="4" w:space="0" w:color="auto"/>
              <w:bottom w:val="nil"/>
              <w:right w:val="nil"/>
            </w:tcBorders>
            <w:noWrap/>
            <w:vAlign w:val="bottom"/>
            <w:hideMark/>
          </w:tcPr>
          <w:p w14:paraId="2F9479D7" w14:textId="77777777" w:rsidR="007A6A1A" w:rsidRPr="00BB4D6B" w:rsidRDefault="007A6A1A" w:rsidP="00BB4D6B">
            <w:pPr>
              <w:spacing w:after="0" w:line="240" w:lineRule="auto"/>
              <w:rPr>
                <w:sz w:val="20"/>
                <w:szCs w:val="20"/>
              </w:rPr>
            </w:pPr>
            <w:r w:rsidRPr="00BB4D6B">
              <w:rPr>
                <w:sz w:val="20"/>
                <w:szCs w:val="20"/>
              </w:rPr>
              <w:t>10%</w:t>
            </w:r>
          </w:p>
        </w:tc>
        <w:tc>
          <w:tcPr>
            <w:tcW w:w="1019" w:type="dxa"/>
            <w:tcBorders>
              <w:top w:val="single" w:sz="4" w:space="0" w:color="auto"/>
              <w:left w:val="nil"/>
              <w:bottom w:val="nil"/>
              <w:right w:val="nil"/>
            </w:tcBorders>
            <w:noWrap/>
            <w:vAlign w:val="bottom"/>
            <w:hideMark/>
          </w:tcPr>
          <w:p w14:paraId="6E12F3FC" w14:textId="77777777" w:rsidR="007A6A1A" w:rsidRPr="00BB4D6B" w:rsidRDefault="007A6A1A" w:rsidP="00BB4D6B">
            <w:pPr>
              <w:spacing w:after="0" w:line="240" w:lineRule="auto"/>
              <w:rPr>
                <w:sz w:val="20"/>
                <w:szCs w:val="20"/>
              </w:rPr>
            </w:pPr>
            <w:r w:rsidRPr="00BB4D6B">
              <w:rPr>
                <w:sz w:val="20"/>
                <w:szCs w:val="20"/>
              </w:rPr>
              <w:t>6%</w:t>
            </w:r>
          </w:p>
        </w:tc>
        <w:tc>
          <w:tcPr>
            <w:tcW w:w="1020" w:type="dxa"/>
            <w:tcBorders>
              <w:top w:val="single" w:sz="4" w:space="0" w:color="auto"/>
              <w:left w:val="nil"/>
              <w:bottom w:val="nil"/>
              <w:right w:val="single" w:sz="4" w:space="0" w:color="auto"/>
            </w:tcBorders>
            <w:noWrap/>
            <w:vAlign w:val="bottom"/>
            <w:hideMark/>
          </w:tcPr>
          <w:p w14:paraId="6827044E"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single" w:sz="4" w:space="0" w:color="auto"/>
              <w:left w:val="single" w:sz="4" w:space="0" w:color="auto"/>
              <w:bottom w:val="nil"/>
              <w:right w:val="nil"/>
            </w:tcBorders>
            <w:noWrap/>
            <w:vAlign w:val="bottom"/>
            <w:hideMark/>
          </w:tcPr>
          <w:p w14:paraId="3BDD049F" w14:textId="77777777" w:rsidR="007A6A1A" w:rsidRPr="00BB4D6B" w:rsidRDefault="007A6A1A" w:rsidP="00BB4D6B">
            <w:pPr>
              <w:spacing w:after="0" w:line="240" w:lineRule="auto"/>
              <w:rPr>
                <w:sz w:val="20"/>
                <w:szCs w:val="20"/>
              </w:rPr>
            </w:pPr>
            <w:r w:rsidRPr="00BB4D6B">
              <w:rPr>
                <w:sz w:val="20"/>
                <w:szCs w:val="20"/>
              </w:rPr>
              <w:t>3.5%</w:t>
            </w:r>
          </w:p>
        </w:tc>
        <w:tc>
          <w:tcPr>
            <w:tcW w:w="1019" w:type="dxa"/>
            <w:tcBorders>
              <w:top w:val="single" w:sz="4" w:space="0" w:color="auto"/>
              <w:left w:val="nil"/>
              <w:bottom w:val="nil"/>
              <w:right w:val="nil"/>
            </w:tcBorders>
            <w:noWrap/>
            <w:vAlign w:val="bottom"/>
            <w:hideMark/>
          </w:tcPr>
          <w:p w14:paraId="29070AE6"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single" w:sz="4" w:space="0" w:color="auto"/>
              <w:left w:val="nil"/>
              <w:bottom w:val="nil"/>
              <w:right w:val="nil"/>
            </w:tcBorders>
            <w:noWrap/>
            <w:vAlign w:val="bottom"/>
            <w:hideMark/>
          </w:tcPr>
          <w:p w14:paraId="0E39E9CE" w14:textId="77777777" w:rsidR="007A6A1A" w:rsidRPr="00BB4D6B" w:rsidRDefault="007A6A1A" w:rsidP="00BB4D6B">
            <w:pPr>
              <w:spacing w:after="0" w:line="240" w:lineRule="auto"/>
              <w:rPr>
                <w:sz w:val="20"/>
                <w:szCs w:val="20"/>
              </w:rPr>
            </w:pPr>
            <w:r w:rsidRPr="00BB4D6B">
              <w:rPr>
                <w:sz w:val="20"/>
                <w:szCs w:val="20"/>
              </w:rPr>
              <w:t>3.0%</w:t>
            </w:r>
          </w:p>
        </w:tc>
        <w:tc>
          <w:tcPr>
            <w:tcW w:w="1019" w:type="dxa"/>
            <w:tcBorders>
              <w:top w:val="single" w:sz="4" w:space="0" w:color="auto"/>
              <w:left w:val="nil"/>
              <w:bottom w:val="nil"/>
              <w:right w:val="single" w:sz="4" w:space="0" w:color="auto"/>
            </w:tcBorders>
            <w:noWrap/>
            <w:vAlign w:val="bottom"/>
            <w:hideMark/>
          </w:tcPr>
          <w:p w14:paraId="5ECB4BEA" w14:textId="77777777" w:rsidR="007A6A1A" w:rsidRPr="00BB4D6B" w:rsidRDefault="007A6A1A" w:rsidP="00BB4D6B">
            <w:pPr>
              <w:spacing w:after="0" w:line="240" w:lineRule="auto"/>
              <w:rPr>
                <w:sz w:val="20"/>
                <w:szCs w:val="20"/>
              </w:rPr>
            </w:pPr>
            <w:r w:rsidRPr="00BB4D6B">
              <w:rPr>
                <w:sz w:val="20"/>
                <w:szCs w:val="20"/>
              </w:rPr>
              <w:t>1.5%</w:t>
            </w:r>
          </w:p>
        </w:tc>
      </w:tr>
      <w:tr w:rsidR="007A6A1A" w:rsidRPr="00167CB8" w14:paraId="1EED855B" w14:textId="77777777">
        <w:trPr>
          <w:trHeight w:val="371"/>
        </w:trPr>
        <w:tc>
          <w:tcPr>
            <w:tcW w:w="4160" w:type="dxa"/>
            <w:tcBorders>
              <w:top w:val="nil"/>
              <w:left w:val="single" w:sz="4" w:space="0" w:color="auto"/>
              <w:bottom w:val="nil"/>
              <w:right w:val="nil"/>
            </w:tcBorders>
            <w:vAlign w:val="bottom"/>
            <w:hideMark/>
          </w:tcPr>
          <w:p w14:paraId="158CCA9F" w14:textId="77777777" w:rsidR="007A6A1A" w:rsidRPr="00BB4D6B" w:rsidRDefault="007A6A1A" w:rsidP="00BB4D6B">
            <w:pPr>
              <w:spacing w:after="0" w:line="240" w:lineRule="auto"/>
              <w:rPr>
                <w:sz w:val="20"/>
                <w:szCs w:val="20"/>
              </w:rPr>
            </w:pPr>
            <w:r w:rsidRPr="00BB4D6B">
              <w:rPr>
                <w:sz w:val="20"/>
                <w:szCs w:val="20"/>
              </w:rPr>
              <w:t>Mining</w:t>
            </w:r>
          </w:p>
        </w:tc>
        <w:tc>
          <w:tcPr>
            <w:tcW w:w="933" w:type="dxa"/>
            <w:tcBorders>
              <w:top w:val="nil"/>
              <w:left w:val="nil"/>
              <w:bottom w:val="nil"/>
              <w:right w:val="nil"/>
            </w:tcBorders>
            <w:noWrap/>
            <w:vAlign w:val="bottom"/>
            <w:hideMark/>
          </w:tcPr>
          <w:p w14:paraId="5545F7EC" w14:textId="77777777" w:rsidR="007A6A1A" w:rsidRPr="00BB4D6B" w:rsidRDefault="007A6A1A" w:rsidP="00BB4D6B">
            <w:pPr>
              <w:spacing w:after="0" w:line="240" w:lineRule="auto"/>
              <w:rPr>
                <w:sz w:val="20"/>
                <w:szCs w:val="20"/>
              </w:rPr>
            </w:pPr>
            <w:r w:rsidRPr="00BB4D6B">
              <w:rPr>
                <w:sz w:val="20"/>
                <w:szCs w:val="20"/>
              </w:rPr>
              <w:t>9%</w:t>
            </w:r>
          </w:p>
        </w:tc>
        <w:tc>
          <w:tcPr>
            <w:tcW w:w="933" w:type="dxa"/>
            <w:tcBorders>
              <w:top w:val="nil"/>
              <w:left w:val="nil"/>
              <w:bottom w:val="nil"/>
              <w:right w:val="nil"/>
            </w:tcBorders>
            <w:noWrap/>
            <w:vAlign w:val="bottom"/>
            <w:hideMark/>
          </w:tcPr>
          <w:p w14:paraId="7845017B" w14:textId="77777777" w:rsidR="007A6A1A" w:rsidRPr="00BB4D6B" w:rsidRDefault="007A6A1A" w:rsidP="00BB4D6B">
            <w:pPr>
              <w:spacing w:after="0" w:line="240" w:lineRule="auto"/>
              <w:rPr>
                <w:sz w:val="20"/>
                <w:szCs w:val="20"/>
              </w:rPr>
            </w:pPr>
            <w:r w:rsidRPr="00BB4D6B">
              <w:rPr>
                <w:sz w:val="20"/>
                <w:szCs w:val="20"/>
              </w:rPr>
              <w:t>0%</w:t>
            </w:r>
          </w:p>
        </w:tc>
        <w:tc>
          <w:tcPr>
            <w:tcW w:w="934" w:type="dxa"/>
            <w:tcBorders>
              <w:top w:val="nil"/>
              <w:left w:val="nil"/>
              <w:bottom w:val="nil"/>
              <w:right w:val="single" w:sz="4" w:space="0" w:color="auto"/>
            </w:tcBorders>
            <w:noWrap/>
            <w:vAlign w:val="bottom"/>
            <w:hideMark/>
          </w:tcPr>
          <w:p w14:paraId="0A56C958" w14:textId="77777777" w:rsidR="007A6A1A" w:rsidRPr="00BB4D6B" w:rsidRDefault="007A6A1A" w:rsidP="00BB4D6B">
            <w:pPr>
              <w:spacing w:after="0" w:line="240" w:lineRule="auto"/>
              <w:rPr>
                <w:sz w:val="20"/>
                <w:szCs w:val="20"/>
              </w:rPr>
            </w:pPr>
            <w:r w:rsidRPr="00BB4D6B">
              <w:rPr>
                <w:sz w:val="20"/>
                <w:szCs w:val="20"/>
              </w:rPr>
              <w:t>49%</w:t>
            </w:r>
          </w:p>
        </w:tc>
        <w:tc>
          <w:tcPr>
            <w:tcW w:w="1019" w:type="dxa"/>
            <w:tcBorders>
              <w:top w:val="nil"/>
              <w:left w:val="single" w:sz="4" w:space="0" w:color="auto"/>
              <w:bottom w:val="nil"/>
              <w:right w:val="nil"/>
            </w:tcBorders>
            <w:noWrap/>
            <w:vAlign w:val="bottom"/>
            <w:hideMark/>
          </w:tcPr>
          <w:p w14:paraId="3E76D99C" w14:textId="77777777" w:rsidR="007A6A1A" w:rsidRPr="00BB4D6B" w:rsidRDefault="007A6A1A" w:rsidP="00BB4D6B">
            <w:pPr>
              <w:spacing w:after="0" w:line="240" w:lineRule="auto"/>
              <w:rPr>
                <w:sz w:val="20"/>
                <w:szCs w:val="20"/>
              </w:rPr>
            </w:pPr>
            <w:r w:rsidRPr="00BB4D6B">
              <w:rPr>
                <w:sz w:val="20"/>
                <w:szCs w:val="20"/>
              </w:rPr>
              <w:t>1%</w:t>
            </w:r>
          </w:p>
        </w:tc>
        <w:tc>
          <w:tcPr>
            <w:tcW w:w="1019" w:type="dxa"/>
            <w:tcBorders>
              <w:top w:val="nil"/>
              <w:left w:val="nil"/>
              <w:bottom w:val="nil"/>
              <w:right w:val="nil"/>
            </w:tcBorders>
            <w:noWrap/>
            <w:vAlign w:val="bottom"/>
            <w:hideMark/>
          </w:tcPr>
          <w:p w14:paraId="708708B1" w14:textId="77777777" w:rsidR="007A6A1A" w:rsidRPr="00BB4D6B" w:rsidRDefault="007A6A1A" w:rsidP="00BB4D6B">
            <w:pPr>
              <w:spacing w:after="0" w:line="240" w:lineRule="auto"/>
              <w:rPr>
                <w:sz w:val="20"/>
                <w:szCs w:val="20"/>
              </w:rPr>
            </w:pPr>
            <w:r w:rsidRPr="00BB4D6B">
              <w:rPr>
                <w:sz w:val="20"/>
                <w:szCs w:val="20"/>
              </w:rPr>
              <w:t>-1%</w:t>
            </w:r>
          </w:p>
        </w:tc>
        <w:tc>
          <w:tcPr>
            <w:tcW w:w="1020" w:type="dxa"/>
            <w:tcBorders>
              <w:top w:val="nil"/>
              <w:left w:val="nil"/>
              <w:bottom w:val="nil"/>
              <w:right w:val="single" w:sz="4" w:space="0" w:color="auto"/>
            </w:tcBorders>
            <w:noWrap/>
            <w:vAlign w:val="bottom"/>
            <w:hideMark/>
          </w:tcPr>
          <w:p w14:paraId="07655209" w14:textId="77777777" w:rsidR="007A6A1A" w:rsidRPr="00BB4D6B" w:rsidRDefault="007A6A1A" w:rsidP="00BB4D6B">
            <w:pPr>
              <w:spacing w:after="0" w:line="240" w:lineRule="auto"/>
              <w:rPr>
                <w:sz w:val="20"/>
                <w:szCs w:val="20"/>
              </w:rPr>
            </w:pPr>
            <w:r w:rsidRPr="00BB4D6B">
              <w:rPr>
                <w:sz w:val="20"/>
                <w:szCs w:val="20"/>
              </w:rPr>
              <w:t>6%</w:t>
            </w:r>
          </w:p>
        </w:tc>
        <w:tc>
          <w:tcPr>
            <w:tcW w:w="1019" w:type="dxa"/>
            <w:tcBorders>
              <w:top w:val="nil"/>
              <w:left w:val="single" w:sz="4" w:space="0" w:color="auto"/>
              <w:bottom w:val="nil"/>
              <w:right w:val="nil"/>
            </w:tcBorders>
            <w:noWrap/>
            <w:vAlign w:val="bottom"/>
            <w:hideMark/>
          </w:tcPr>
          <w:p w14:paraId="5508CDC1" w14:textId="77777777" w:rsidR="007A6A1A" w:rsidRPr="00BB4D6B" w:rsidRDefault="007A6A1A" w:rsidP="00BB4D6B">
            <w:pPr>
              <w:spacing w:after="0" w:line="240" w:lineRule="auto"/>
              <w:rPr>
                <w:sz w:val="20"/>
                <w:szCs w:val="20"/>
              </w:rPr>
            </w:pPr>
            <w:r w:rsidRPr="00BB4D6B">
              <w:rPr>
                <w:sz w:val="20"/>
                <w:szCs w:val="20"/>
              </w:rPr>
              <w:t>3.8%</w:t>
            </w:r>
          </w:p>
        </w:tc>
        <w:tc>
          <w:tcPr>
            <w:tcW w:w="1019" w:type="dxa"/>
            <w:tcBorders>
              <w:top w:val="nil"/>
              <w:left w:val="nil"/>
              <w:bottom w:val="nil"/>
              <w:right w:val="nil"/>
            </w:tcBorders>
            <w:noWrap/>
            <w:vAlign w:val="bottom"/>
            <w:hideMark/>
          </w:tcPr>
          <w:p w14:paraId="4DCA3E94" w14:textId="77777777" w:rsidR="007A6A1A" w:rsidRPr="00BB4D6B" w:rsidRDefault="007A6A1A" w:rsidP="00BB4D6B">
            <w:pPr>
              <w:spacing w:after="0" w:line="240" w:lineRule="auto"/>
              <w:rPr>
                <w:sz w:val="20"/>
                <w:szCs w:val="20"/>
              </w:rPr>
            </w:pPr>
            <w:r w:rsidRPr="00BB4D6B">
              <w:rPr>
                <w:sz w:val="20"/>
                <w:szCs w:val="20"/>
              </w:rPr>
              <w:t>0.7%</w:t>
            </w:r>
          </w:p>
        </w:tc>
        <w:tc>
          <w:tcPr>
            <w:tcW w:w="1019" w:type="dxa"/>
            <w:tcBorders>
              <w:top w:val="nil"/>
              <w:left w:val="nil"/>
              <w:bottom w:val="nil"/>
              <w:right w:val="nil"/>
            </w:tcBorders>
            <w:noWrap/>
            <w:vAlign w:val="bottom"/>
            <w:hideMark/>
          </w:tcPr>
          <w:p w14:paraId="62CF88F5" w14:textId="77777777" w:rsidR="007A6A1A" w:rsidRPr="00BB4D6B" w:rsidRDefault="007A6A1A" w:rsidP="00BB4D6B">
            <w:pPr>
              <w:spacing w:after="0" w:line="240" w:lineRule="auto"/>
              <w:rPr>
                <w:sz w:val="20"/>
                <w:szCs w:val="20"/>
              </w:rPr>
            </w:pPr>
            <w:r w:rsidRPr="00BB4D6B">
              <w:rPr>
                <w:sz w:val="20"/>
                <w:szCs w:val="20"/>
              </w:rPr>
              <w:t>3.1%</w:t>
            </w:r>
          </w:p>
        </w:tc>
        <w:tc>
          <w:tcPr>
            <w:tcW w:w="1019" w:type="dxa"/>
            <w:tcBorders>
              <w:top w:val="nil"/>
              <w:left w:val="nil"/>
              <w:bottom w:val="nil"/>
              <w:right w:val="single" w:sz="4" w:space="0" w:color="auto"/>
            </w:tcBorders>
            <w:noWrap/>
            <w:vAlign w:val="bottom"/>
            <w:hideMark/>
          </w:tcPr>
          <w:p w14:paraId="4EC60D00" w14:textId="77777777" w:rsidR="007A6A1A" w:rsidRPr="00BB4D6B" w:rsidRDefault="007A6A1A" w:rsidP="00BB4D6B">
            <w:pPr>
              <w:spacing w:after="0" w:line="240" w:lineRule="auto"/>
              <w:rPr>
                <w:sz w:val="20"/>
                <w:szCs w:val="20"/>
              </w:rPr>
            </w:pPr>
            <w:r w:rsidRPr="00BB4D6B">
              <w:rPr>
                <w:sz w:val="20"/>
                <w:szCs w:val="20"/>
              </w:rPr>
              <w:t>0.9%</w:t>
            </w:r>
          </w:p>
        </w:tc>
      </w:tr>
      <w:tr w:rsidR="007A6A1A" w:rsidRPr="00167CB8" w14:paraId="6EA495F8" w14:textId="77777777">
        <w:trPr>
          <w:trHeight w:val="371"/>
        </w:trPr>
        <w:tc>
          <w:tcPr>
            <w:tcW w:w="4160" w:type="dxa"/>
            <w:tcBorders>
              <w:top w:val="nil"/>
              <w:left w:val="single" w:sz="4" w:space="0" w:color="auto"/>
              <w:bottom w:val="nil"/>
              <w:right w:val="nil"/>
            </w:tcBorders>
            <w:vAlign w:val="bottom"/>
            <w:hideMark/>
          </w:tcPr>
          <w:p w14:paraId="1921AB0F" w14:textId="77777777" w:rsidR="007A6A1A" w:rsidRPr="00BB4D6B" w:rsidRDefault="007A6A1A" w:rsidP="00BB4D6B">
            <w:pPr>
              <w:spacing w:after="0" w:line="240" w:lineRule="auto"/>
              <w:rPr>
                <w:sz w:val="20"/>
                <w:szCs w:val="20"/>
              </w:rPr>
            </w:pPr>
            <w:r w:rsidRPr="00BB4D6B">
              <w:rPr>
                <w:sz w:val="20"/>
                <w:szCs w:val="20"/>
              </w:rPr>
              <w:t>Manufacturing</w:t>
            </w:r>
          </w:p>
        </w:tc>
        <w:tc>
          <w:tcPr>
            <w:tcW w:w="933" w:type="dxa"/>
            <w:tcBorders>
              <w:top w:val="nil"/>
              <w:left w:val="nil"/>
              <w:bottom w:val="nil"/>
              <w:right w:val="nil"/>
            </w:tcBorders>
            <w:noWrap/>
            <w:vAlign w:val="bottom"/>
            <w:hideMark/>
          </w:tcPr>
          <w:p w14:paraId="3BAC1E5D" w14:textId="77777777" w:rsidR="007A6A1A" w:rsidRPr="00BB4D6B" w:rsidRDefault="007A6A1A" w:rsidP="00BB4D6B">
            <w:pPr>
              <w:spacing w:after="0" w:line="240" w:lineRule="auto"/>
              <w:rPr>
                <w:sz w:val="20"/>
                <w:szCs w:val="20"/>
              </w:rPr>
            </w:pPr>
            <w:r w:rsidRPr="00BB4D6B">
              <w:rPr>
                <w:sz w:val="20"/>
                <w:szCs w:val="20"/>
              </w:rPr>
              <w:t>-10%</w:t>
            </w:r>
          </w:p>
        </w:tc>
        <w:tc>
          <w:tcPr>
            <w:tcW w:w="933" w:type="dxa"/>
            <w:tcBorders>
              <w:top w:val="nil"/>
              <w:left w:val="nil"/>
              <w:bottom w:val="nil"/>
              <w:right w:val="nil"/>
            </w:tcBorders>
            <w:noWrap/>
            <w:vAlign w:val="bottom"/>
            <w:hideMark/>
          </w:tcPr>
          <w:p w14:paraId="5515AD4D" w14:textId="77777777" w:rsidR="007A6A1A" w:rsidRPr="00BB4D6B" w:rsidRDefault="007A6A1A" w:rsidP="00BB4D6B">
            <w:pPr>
              <w:spacing w:after="0" w:line="240" w:lineRule="auto"/>
              <w:rPr>
                <w:sz w:val="20"/>
                <w:szCs w:val="20"/>
              </w:rPr>
            </w:pPr>
            <w:r w:rsidRPr="00BB4D6B">
              <w:rPr>
                <w:sz w:val="20"/>
                <w:szCs w:val="20"/>
              </w:rPr>
              <w:t>-15%</w:t>
            </w:r>
          </w:p>
        </w:tc>
        <w:tc>
          <w:tcPr>
            <w:tcW w:w="934" w:type="dxa"/>
            <w:tcBorders>
              <w:top w:val="nil"/>
              <w:left w:val="nil"/>
              <w:bottom w:val="nil"/>
              <w:right w:val="single" w:sz="4" w:space="0" w:color="auto"/>
            </w:tcBorders>
            <w:noWrap/>
            <w:vAlign w:val="bottom"/>
            <w:hideMark/>
          </w:tcPr>
          <w:p w14:paraId="3BA642CE" w14:textId="77777777" w:rsidR="007A6A1A" w:rsidRPr="00BB4D6B" w:rsidRDefault="007A6A1A" w:rsidP="00BB4D6B">
            <w:pPr>
              <w:spacing w:after="0" w:line="240" w:lineRule="auto"/>
              <w:rPr>
                <w:sz w:val="20"/>
                <w:szCs w:val="20"/>
              </w:rPr>
            </w:pPr>
            <w:r w:rsidRPr="00BB4D6B">
              <w:rPr>
                <w:sz w:val="20"/>
                <w:szCs w:val="20"/>
              </w:rPr>
              <w:t>0%</w:t>
            </w:r>
          </w:p>
        </w:tc>
        <w:tc>
          <w:tcPr>
            <w:tcW w:w="1019" w:type="dxa"/>
            <w:tcBorders>
              <w:top w:val="nil"/>
              <w:left w:val="single" w:sz="4" w:space="0" w:color="auto"/>
              <w:bottom w:val="nil"/>
              <w:right w:val="nil"/>
            </w:tcBorders>
            <w:noWrap/>
            <w:vAlign w:val="bottom"/>
            <w:hideMark/>
          </w:tcPr>
          <w:p w14:paraId="745DBEE3" w14:textId="77777777" w:rsidR="007A6A1A" w:rsidRPr="00BB4D6B" w:rsidRDefault="007A6A1A" w:rsidP="00BB4D6B">
            <w:pPr>
              <w:spacing w:after="0" w:line="240" w:lineRule="auto"/>
              <w:rPr>
                <w:sz w:val="20"/>
                <w:szCs w:val="20"/>
              </w:rPr>
            </w:pPr>
            <w:r w:rsidRPr="00BB4D6B">
              <w:rPr>
                <w:sz w:val="20"/>
                <w:szCs w:val="20"/>
              </w:rPr>
              <w:t>5%</w:t>
            </w:r>
          </w:p>
        </w:tc>
        <w:tc>
          <w:tcPr>
            <w:tcW w:w="1019" w:type="dxa"/>
            <w:tcBorders>
              <w:top w:val="nil"/>
              <w:left w:val="nil"/>
              <w:bottom w:val="nil"/>
              <w:right w:val="nil"/>
            </w:tcBorders>
            <w:noWrap/>
            <w:vAlign w:val="bottom"/>
            <w:hideMark/>
          </w:tcPr>
          <w:p w14:paraId="4B70F370" w14:textId="77777777" w:rsidR="007A6A1A" w:rsidRPr="00BB4D6B" w:rsidRDefault="007A6A1A" w:rsidP="00BB4D6B">
            <w:pPr>
              <w:spacing w:after="0" w:line="240" w:lineRule="auto"/>
              <w:rPr>
                <w:sz w:val="20"/>
                <w:szCs w:val="20"/>
              </w:rPr>
            </w:pPr>
            <w:r w:rsidRPr="00BB4D6B">
              <w:rPr>
                <w:sz w:val="20"/>
                <w:szCs w:val="20"/>
              </w:rPr>
              <w:t>6%</w:t>
            </w:r>
          </w:p>
        </w:tc>
        <w:tc>
          <w:tcPr>
            <w:tcW w:w="1020" w:type="dxa"/>
            <w:tcBorders>
              <w:top w:val="nil"/>
              <w:left w:val="nil"/>
              <w:bottom w:val="nil"/>
              <w:right w:val="single" w:sz="4" w:space="0" w:color="auto"/>
            </w:tcBorders>
            <w:noWrap/>
            <w:vAlign w:val="bottom"/>
            <w:hideMark/>
          </w:tcPr>
          <w:p w14:paraId="4737FBF5" w14:textId="77777777" w:rsidR="007A6A1A" w:rsidRPr="00BB4D6B" w:rsidRDefault="007A6A1A" w:rsidP="00BB4D6B">
            <w:pPr>
              <w:spacing w:after="0" w:line="240" w:lineRule="auto"/>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49C9D1E6" w14:textId="77777777" w:rsidR="007A6A1A" w:rsidRPr="00BB4D6B" w:rsidRDefault="007A6A1A" w:rsidP="00BB4D6B">
            <w:pPr>
              <w:spacing w:after="0" w:line="240" w:lineRule="auto"/>
              <w:rPr>
                <w:sz w:val="20"/>
                <w:szCs w:val="20"/>
              </w:rPr>
            </w:pPr>
            <w:r w:rsidRPr="00BB4D6B">
              <w:rPr>
                <w:sz w:val="20"/>
                <w:szCs w:val="20"/>
              </w:rPr>
              <w:t>11.4%</w:t>
            </w:r>
          </w:p>
        </w:tc>
        <w:tc>
          <w:tcPr>
            <w:tcW w:w="1019" w:type="dxa"/>
            <w:tcBorders>
              <w:top w:val="nil"/>
              <w:left w:val="nil"/>
              <w:bottom w:val="nil"/>
              <w:right w:val="nil"/>
            </w:tcBorders>
            <w:noWrap/>
            <w:vAlign w:val="bottom"/>
            <w:hideMark/>
          </w:tcPr>
          <w:p w14:paraId="5E8653F9" w14:textId="77777777" w:rsidR="007A6A1A" w:rsidRPr="00BB4D6B" w:rsidRDefault="007A6A1A" w:rsidP="00BB4D6B">
            <w:pPr>
              <w:spacing w:after="0" w:line="240" w:lineRule="auto"/>
              <w:rPr>
                <w:sz w:val="20"/>
                <w:szCs w:val="20"/>
              </w:rPr>
            </w:pPr>
            <w:r w:rsidRPr="00BB4D6B">
              <w:rPr>
                <w:sz w:val="20"/>
                <w:szCs w:val="20"/>
              </w:rPr>
              <w:t>4.8%</w:t>
            </w:r>
          </w:p>
        </w:tc>
        <w:tc>
          <w:tcPr>
            <w:tcW w:w="1019" w:type="dxa"/>
            <w:tcBorders>
              <w:top w:val="nil"/>
              <w:left w:val="nil"/>
              <w:bottom w:val="nil"/>
              <w:right w:val="nil"/>
            </w:tcBorders>
            <w:noWrap/>
            <w:vAlign w:val="bottom"/>
            <w:hideMark/>
          </w:tcPr>
          <w:p w14:paraId="6250551E" w14:textId="77777777" w:rsidR="007A6A1A" w:rsidRPr="00BB4D6B" w:rsidRDefault="007A6A1A" w:rsidP="00BB4D6B">
            <w:pPr>
              <w:spacing w:after="0" w:line="240" w:lineRule="auto"/>
              <w:rPr>
                <w:sz w:val="20"/>
                <w:szCs w:val="20"/>
              </w:rPr>
            </w:pPr>
            <w:r w:rsidRPr="00BB4D6B">
              <w:rPr>
                <w:sz w:val="20"/>
                <w:szCs w:val="20"/>
              </w:rPr>
              <w:t>8.3%</w:t>
            </w:r>
          </w:p>
        </w:tc>
        <w:tc>
          <w:tcPr>
            <w:tcW w:w="1019" w:type="dxa"/>
            <w:tcBorders>
              <w:top w:val="nil"/>
              <w:left w:val="nil"/>
              <w:bottom w:val="nil"/>
              <w:right w:val="single" w:sz="4" w:space="0" w:color="auto"/>
            </w:tcBorders>
            <w:noWrap/>
            <w:vAlign w:val="bottom"/>
            <w:hideMark/>
          </w:tcPr>
          <w:p w14:paraId="3EDE3BB0" w14:textId="77777777" w:rsidR="007A6A1A" w:rsidRPr="00BB4D6B" w:rsidRDefault="007A6A1A" w:rsidP="00BB4D6B">
            <w:pPr>
              <w:spacing w:after="0" w:line="240" w:lineRule="auto"/>
              <w:rPr>
                <w:sz w:val="20"/>
                <w:szCs w:val="20"/>
              </w:rPr>
            </w:pPr>
            <w:r w:rsidRPr="00BB4D6B">
              <w:rPr>
                <w:sz w:val="20"/>
                <w:szCs w:val="20"/>
              </w:rPr>
              <w:t>3.7%</w:t>
            </w:r>
          </w:p>
        </w:tc>
      </w:tr>
      <w:tr w:rsidR="007A6A1A" w:rsidRPr="00167CB8" w14:paraId="27BF2221" w14:textId="77777777">
        <w:trPr>
          <w:trHeight w:val="371"/>
        </w:trPr>
        <w:tc>
          <w:tcPr>
            <w:tcW w:w="4160" w:type="dxa"/>
            <w:tcBorders>
              <w:top w:val="nil"/>
              <w:left w:val="single" w:sz="4" w:space="0" w:color="auto"/>
              <w:bottom w:val="nil"/>
              <w:right w:val="nil"/>
            </w:tcBorders>
            <w:vAlign w:val="bottom"/>
            <w:hideMark/>
          </w:tcPr>
          <w:p w14:paraId="3B1A2C6D" w14:textId="635AADAE" w:rsidR="007A6A1A" w:rsidRPr="00BB4D6B" w:rsidRDefault="007A6A1A" w:rsidP="00BB4D6B">
            <w:pPr>
              <w:spacing w:after="0" w:line="240" w:lineRule="auto"/>
              <w:rPr>
                <w:sz w:val="20"/>
                <w:szCs w:val="20"/>
              </w:rPr>
            </w:pPr>
            <w:r w:rsidRPr="00BB4D6B">
              <w:rPr>
                <w:sz w:val="20"/>
                <w:szCs w:val="20"/>
              </w:rPr>
              <w:t xml:space="preserve">Electricity, </w:t>
            </w:r>
            <w:r w:rsidR="00A461FB" w:rsidRPr="00BB4D6B">
              <w:rPr>
                <w:sz w:val="20"/>
                <w:szCs w:val="20"/>
              </w:rPr>
              <w:t>g</w:t>
            </w:r>
            <w:r w:rsidRPr="00BB4D6B">
              <w:rPr>
                <w:sz w:val="20"/>
                <w:szCs w:val="20"/>
              </w:rPr>
              <w:t xml:space="preserve">as, </w:t>
            </w:r>
            <w:r w:rsidR="00A461FB" w:rsidRPr="00BB4D6B">
              <w:rPr>
                <w:sz w:val="20"/>
                <w:szCs w:val="20"/>
              </w:rPr>
              <w:t>w</w:t>
            </w:r>
            <w:r w:rsidRPr="00BB4D6B">
              <w:rPr>
                <w:sz w:val="20"/>
                <w:szCs w:val="20"/>
              </w:rPr>
              <w:t xml:space="preserve">ater and </w:t>
            </w:r>
            <w:r w:rsidR="00A461FB" w:rsidRPr="00BB4D6B">
              <w:rPr>
                <w:sz w:val="20"/>
                <w:szCs w:val="20"/>
              </w:rPr>
              <w:t>w</w:t>
            </w:r>
            <w:r w:rsidRPr="00BB4D6B">
              <w:rPr>
                <w:sz w:val="20"/>
                <w:szCs w:val="20"/>
              </w:rPr>
              <w:t xml:space="preserve">aste </w:t>
            </w:r>
            <w:r w:rsidR="00A461FB" w:rsidRPr="00BB4D6B">
              <w:rPr>
                <w:sz w:val="20"/>
                <w:szCs w:val="20"/>
              </w:rPr>
              <w:t>s</w:t>
            </w:r>
            <w:r w:rsidRPr="00BB4D6B">
              <w:rPr>
                <w:sz w:val="20"/>
                <w:szCs w:val="20"/>
              </w:rPr>
              <w:t>ervices</w:t>
            </w:r>
          </w:p>
        </w:tc>
        <w:tc>
          <w:tcPr>
            <w:tcW w:w="933" w:type="dxa"/>
            <w:tcBorders>
              <w:top w:val="nil"/>
              <w:left w:val="nil"/>
              <w:bottom w:val="nil"/>
              <w:right w:val="nil"/>
            </w:tcBorders>
            <w:noWrap/>
            <w:vAlign w:val="bottom"/>
            <w:hideMark/>
          </w:tcPr>
          <w:p w14:paraId="762729A3" w14:textId="77777777" w:rsidR="007A6A1A" w:rsidRPr="00BB4D6B" w:rsidRDefault="007A6A1A" w:rsidP="00BB4D6B">
            <w:pPr>
              <w:spacing w:after="0" w:line="240" w:lineRule="auto"/>
              <w:rPr>
                <w:sz w:val="20"/>
                <w:szCs w:val="20"/>
              </w:rPr>
            </w:pPr>
            <w:r w:rsidRPr="00BB4D6B">
              <w:rPr>
                <w:sz w:val="20"/>
                <w:szCs w:val="20"/>
              </w:rPr>
              <w:t>8%</w:t>
            </w:r>
          </w:p>
        </w:tc>
        <w:tc>
          <w:tcPr>
            <w:tcW w:w="933" w:type="dxa"/>
            <w:tcBorders>
              <w:top w:val="nil"/>
              <w:left w:val="nil"/>
              <w:bottom w:val="nil"/>
              <w:right w:val="nil"/>
            </w:tcBorders>
            <w:noWrap/>
            <w:vAlign w:val="bottom"/>
            <w:hideMark/>
          </w:tcPr>
          <w:p w14:paraId="57753C76" w14:textId="77777777" w:rsidR="007A6A1A" w:rsidRPr="00BB4D6B" w:rsidRDefault="007A6A1A" w:rsidP="00BB4D6B">
            <w:pPr>
              <w:spacing w:after="0" w:line="240" w:lineRule="auto"/>
              <w:rPr>
                <w:sz w:val="20"/>
                <w:szCs w:val="20"/>
              </w:rPr>
            </w:pPr>
            <w:r w:rsidRPr="00BB4D6B">
              <w:rPr>
                <w:sz w:val="20"/>
                <w:szCs w:val="20"/>
              </w:rPr>
              <w:t>12%</w:t>
            </w:r>
          </w:p>
        </w:tc>
        <w:tc>
          <w:tcPr>
            <w:tcW w:w="934" w:type="dxa"/>
            <w:tcBorders>
              <w:top w:val="nil"/>
              <w:left w:val="nil"/>
              <w:bottom w:val="nil"/>
              <w:right w:val="single" w:sz="4" w:space="0" w:color="auto"/>
            </w:tcBorders>
            <w:noWrap/>
            <w:vAlign w:val="bottom"/>
            <w:hideMark/>
          </w:tcPr>
          <w:p w14:paraId="479D6A96" w14:textId="77777777" w:rsidR="007A6A1A" w:rsidRPr="00BB4D6B" w:rsidRDefault="007A6A1A" w:rsidP="00BB4D6B">
            <w:pPr>
              <w:spacing w:after="0" w:line="240" w:lineRule="auto"/>
              <w:rPr>
                <w:sz w:val="20"/>
                <w:szCs w:val="20"/>
              </w:rPr>
            </w:pPr>
            <w:r w:rsidRPr="00BB4D6B">
              <w:rPr>
                <w:sz w:val="20"/>
                <w:szCs w:val="20"/>
              </w:rPr>
              <w:t>-4%</w:t>
            </w:r>
          </w:p>
        </w:tc>
        <w:tc>
          <w:tcPr>
            <w:tcW w:w="1019" w:type="dxa"/>
            <w:tcBorders>
              <w:top w:val="nil"/>
              <w:left w:val="single" w:sz="4" w:space="0" w:color="auto"/>
              <w:bottom w:val="nil"/>
              <w:right w:val="nil"/>
            </w:tcBorders>
            <w:noWrap/>
            <w:vAlign w:val="bottom"/>
            <w:hideMark/>
          </w:tcPr>
          <w:p w14:paraId="7D0ECFA9" w14:textId="77777777" w:rsidR="007A6A1A" w:rsidRPr="00BB4D6B" w:rsidRDefault="007A6A1A" w:rsidP="00BB4D6B">
            <w:pPr>
              <w:spacing w:after="0" w:line="240" w:lineRule="auto"/>
              <w:rPr>
                <w:sz w:val="20"/>
                <w:szCs w:val="20"/>
              </w:rPr>
            </w:pPr>
            <w:r w:rsidRPr="00BB4D6B">
              <w:rPr>
                <w:sz w:val="20"/>
                <w:szCs w:val="20"/>
              </w:rPr>
              <w:t>31%</w:t>
            </w:r>
          </w:p>
        </w:tc>
        <w:tc>
          <w:tcPr>
            <w:tcW w:w="1019" w:type="dxa"/>
            <w:tcBorders>
              <w:top w:val="nil"/>
              <w:left w:val="nil"/>
              <w:bottom w:val="nil"/>
              <w:right w:val="nil"/>
            </w:tcBorders>
            <w:noWrap/>
            <w:vAlign w:val="bottom"/>
            <w:hideMark/>
          </w:tcPr>
          <w:p w14:paraId="3C417810" w14:textId="77777777" w:rsidR="007A6A1A" w:rsidRPr="00BB4D6B" w:rsidRDefault="007A6A1A" w:rsidP="00BB4D6B">
            <w:pPr>
              <w:spacing w:after="0" w:line="240" w:lineRule="auto"/>
              <w:rPr>
                <w:sz w:val="20"/>
                <w:szCs w:val="20"/>
              </w:rPr>
            </w:pPr>
            <w:r w:rsidRPr="00BB4D6B">
              <w:rPr>
                <w:sz w:val="20"/>
                <w:szCs w:val="20"/>
              </w:rPr>
              <w:t>21%</w:t>
            </w:r>
          </w:p>
        </w:tc>
        <w:tc>
          <w:tcPr>
            <w:tcW w:w="1020" w:type="dxa"/>
            <w:tcBorders>
              <w:top w:val="nil"/>
              <w:left w:val="nil"/>
              <w:bottom w:val="nil"/>
              <w:right w:val="single" w:sz="4" w:space="0" w:color="auto"/>
            </w:tcBorders>
            <w:noWrap/>
            <w:vAlign w:val="bottom"/>
            <w:hideMark/>
          </w:tcPr>
          <w:p w14:paraId="36A7C66B" w14:textId="77777777" w:rsidR="007A6A1A" w:rsidRPr="00BB4D6B" w:rsidRDefault="007A6A1A" w:rsidP="00BB4D6B">
            <w:pPr>
              <w:spacing w:after="0" w:line="240" w:lineRule="auto"/>
              <w:rPr>
                <w:sz w:val="20"/>
                <w:szCs w:val="20"/>
              </w:rPr>
            </w:pPr>
            <w:r w:rsidRPr="00BB4D6B">
              <w:rPr>
                <w:sz w:val="20"/>
                <w:szCs w:val="20"/>
              </w:rPr>
              <w:t>69%</w:t>
            </w:r>
          </w:p>
        </w:tc>
        <w:tc>
          <w:tcPr>
            <w:tcW w:w="1019" w:type="dxa"/>
            <w:tcBorders>
              <w:top w:val="nil"/>
              <w:left w:val="single" w:sz="4" w:space="0" w:color="auto"/>
              <w:bottom w:val="nil"/>
              <w:right w:val="nil"/>
            </w:tcBorders>
            <w:noWrap/>
            <w:vAlign w:val="bottom"/>
            <w:hideMark/>
          </w:tcPr>
          <w:p w14:paraId="5D73D115"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nil"/>
              <w:left w:val="nil"/>
              <w:bottom w:val="nil"/>
              <w:right w:val="nil"/>
            </w:tcBorders>
            <w:noWrap/>
            <w:vAlign w:val="bottom"/>
            <w:hideMark/>
          </w:tcPr>
          <w:p w14:paraId="3F290725" w14:textId="77777777" w:rsidR="007A6A1A" w:rsidRPr="00BB4D6B" w:rsidRDefault="007A6A1A" w:rsidP="00BB4D6B">
            <w:pPr>
              <w:spacing w:after="0" w:line="240" w:lineRule="auto"/>
              <w:rPr>
                <w:sz w:val="20"/>
                <w:szCs w:val="20"/>
              </w:rPr>
            </w:pPr>
            <w:r w:rsidRPr="00BB4D6B">
              <w:rPr>
                <w:sz w:val="20"/>
                <w:szCs w:val="20"/>
              </w:rPr>
              <w:t>0.7%</w:t>
            </w:r>
          </w:p>
        </w:tc>
        <w:tc>
          <w:tcPr>
            <w:tcW w:w="1019" w:type="dxa"/>
            <w:tcBorders>
              <w:top w:val="nil"/>
              <w:left w:val="nil"/>
              <w:bottom w:val="nil"/>
              <w:right w:val="nil"/>
            </w:tcBorders>
            <w:noWrap/>
            <w:vAlign w:val="bottom"/>
            <w:hideMark/>
          </w:tcPr>
          <w:p w14:paraId="2403DB3A" w14:textId="77777777" w:rsidR="007A6A1A" w:rsidRPr="00BB4D6B" w:rsidRDefault="007A6A1A" w:rsidP="00BB4D6B">
            <w:pPr>
              <w:spacing w:after="0" w:line="240" w:lineRule="auto"/>
              <w:rPr>
                <w:sz w:val="20"/>
                <w:szCs w:val="20"/>
              </w:rPr>
            </w:pPr>
            <w:r w:rsidRPr="00BB4D6B">
              <w:rPr>
                <w:sz w:val="20"/>
                <w:szCs w:val="20"/>
              </w:rPr>
              <w:t>2.0%</w:t>
            </w:r>
          </w:p>
        </w:tc>
        <w:tc>
          <w:tcPr>
            <w:tcW w:w="1019" w:type="dxa"/>
            <w:tcBorders>
              <w:top w:val="nil"/>
              <w:left w:val="nil"/>
              <w:bottom w:val="nil"/>
              <w:right w:val="single" w:sz="4" w:space="0" w:color="auto"/>
            </w:tcBorders>
            <w:noWrap/>
            <w:vAlign w:val="bottom"/>
            <w:hideMark/>
          </w:tcPr>
          <w:p w14:paraId="42FE102B" w14:textId="77777777" w:rsidR="007A6A1A" w:rsidRPr="00BB4D6B" w:rsidRDefault="007A6A1A" w:rsidP="00BB4D6B">
            <w:pPr>
              <w:spacing w:after="0" w:line="240" w:lineRule="auto"/>
              <w:rPr>
                <w:sz w:val="20"/>
                <w:szCs w:val="20"/>
              </w:rPr>
            </w:pPr>
            <w:r w:rsidRPr="00BB4D6B">
              <w:rPr>
                <w:sz w:val="20"/>
                <w:szCs w:val="20"/>
              </w:rPr>
              <w:t>0.8%</w:t>
            </w:r>
          </w:p>
        </w:tc>
      </w:tr>
      <w:tr w:rsidR="007A6A1A" w:rsidRPr="00167CB8" w14:paraId="1909E789" w14:textId="77777777">
        <w:trPr>
          <w:trHeight w:val="371"/>
        </w:trPr>
        <w:tc>
          <w:tcPr>
            <w:tcW w:w="4160" w:type="dxa"/>
            <w:tcBorders>
              <w:top w:val="nil"/>
              <w:left w:val="single" w:sz="4" w:space="0" w:color="auto"/>
              <w:bottom w:val="nil"/>
              <w:right w:val="nil"/>
            </w:tcBorders>
            <w:vAlign w:val="bottom"/>
            <w:hideMark/>
          </w:tcPr>
          <w:p w14:paraId="6A8D2407" w14:textId="77777777" w:rsidR="007A6A1A" w:rsidRPr="00BB4D6B" w:rsidRDefault="007A6A1A" w:rsidP="00BB4D6B">
            <w:pPr>
              <w:spacing w:after="0" w:line="240" w:lineRule="auto"/>
              <w:rPr>
                <w:sz w:val="20"/>
                <w:szCs w:val="20"/>
              </w:rPr>
            </w:pPr>
            <w:r w:rsidRPr="00BB4D6B">
              <w:rPr>
                <w:sz w:val="20"/>
                <w:szCs w:val="20"/>
              </w:rPr>
              <w:t>Construction</w:t>
            </w:r>
          </w:p>
        </w:tc>
        <w:tc>
          <w:tcPr>
            <w:tcW w:w="933" w:type="dxa"/>
            <w:tcBorders>
              <w:top w:val="nil"/>
              <w:left w:val="nil"/>
              <w:bottom w:val="nil"/>
              <w:right w:val="nil"/>
            </w:tcBorders>
            <w:noWrap/>
            <w:vAlign w:val="bottom"/>
            <w:hideMark/>
          </w:tcPr>
          <w:p w14:paraId="43AC0ACB" w14:textId="77777777" w:rsidR="007A6A1A" w:rsidRPr="00BB4D6B" w:rsidRDefault="007A6A1A" w:rsidP="00BB4D6B">
            <w:pPr>
              <w:spacing w:after="0" w:line="240" w:lineRule="auto"/>
              <w:rPr>
                <w:sz w:val="20"/>
                <w:szCs w:val="20"/>
              </w:rPr>
            </w:pPr>
            <w:r w:rsidRPr="00BB4D6B">
              <w:rPr>
                <w:sz w:val="20"/>
                <w:szCs w:val="20"/>
              </w:rPr>
              <w:t>33%</w:t>
            </w:r>
          </w:p>
        </w:tc>
        <w:tc>
          <w:tcPr>
            <w:tcW w:w="933" w:type="dxa"/>
            <w:tcBorders>
              <w:top w:val="nil"/>
              <w:left w:val="nil"/>
              <w:bottom w:val="nil"/>
              <w:right w:val="nil"/>
            </w:tcBorders>
            <w:noWrap/>
            <w:vAlign w:val="bottom"/>
            <w:hideMark/>
          </w:tcPr>
          <w:p w14:paraId="3A26D6F4" w14:textId="77777777" w:rsidR="007A6A1A" w:rsidRPr="00BB4D6B" w:rsidRDefault="007A6A1A" w:rsidP="00BB4D6B">
            <w:pPr>
              <w:spacing w:after="0" w:line="240" w:lineRule="auto"/>
              <w:rPr>
                <w:sz w:val="20"/>
                <w:szCs w:val="20"/>
              </w:rPr>
            </w:pPr>
            <w:r w:rsidRPr="00BB4D6B">
              <w:rPr>
                <w:sz w:val="20"/>
                <w:szCs w:val="20"/>
              </w:rPr>
              <w:t>29%</w:t>
            </w:r>
          </w:p>
        </w:tc>
        <w:tc>
          <w:tcPr>
            <w:tcW w:w="934" w:type="dxa"/>
            <w:tcBorders>
              <w:top w:val="nil"/>
              <w:left w:val="nil"/>
              <w:bottom w:val="nil"/>
              <w:right w:val="single" w:sz="4" w:space="0" w:color="auto"/>
            </w:tcBorders>
            <w:noWrap/>
            <w:vAlign w:val="bottom"/>
            <w:hideMark/>
          </w:tcPr>
          <w:p w14:paraId="7F1113DF" w14:textId="77777777" w:rsidR="007A6A1A" w:rsidRPr="00BB4D6B" w:rsidRDefault="007A6A1A" w:rsidP="00BB4D6B">
            <w:pPr>
              <w:spacing w:after="0" w:line="240" w:lineRule="auto"/>
              <w:rPr>
                <w:sz w:val="20"/>
                <w:szCs w:val="20"/>
              </w:rPr>
            </w:pPr>
            <w:r w:rsidRPr="00BB4D6B">
              <w:rPr>
                <w:sz w:val="20"/>
                <w:szCs w:val="20"/>
              </w:rPr>
              <w:t>55%</w:t>
            </w:r>
          </w:p>
        </w:tc>
        <w:tc>
          <w:tcPr>
            <w:tcW w:w="1019" w:type="dxa"/>
            <w:tcBorders>
              <w:top w:val="nil"/>
              <w:left w:val="single" w:sz="4" w:space="0" w:color="auto"/>
              <w:bottom w:val="nil"/>
              <w:right w:val="nil"/>
            </w:tcBorders>
            <w:noWrap/>
            <w:vAlign w:val="bottom"/>
            <w:hideMark/>
          </w:tcPr>
          <w:p w14:paraId="4D344BEB" w14:textId="77777777" w:rsidR="007A6A1A" w:rsidRPr="00BB4D6B" w:rsidRDefault="007A6A1A" w:rsidP="00BB4D6B">
            <w:pPr>
              <w:spacing w:after="0" w:line="240" w:lineRule="auto"/>
              <w:rPr>
                <w:sz w:val="20"/>
                <w:szCs w:val="20"/>
              </w:rPr>
            </w:pPr>
            <w:r w:rsidRPr="00BB4D6B">
              <w:rPr>
                <w:sz w:val="20"/>
                <w:szCs w:val="20"/>
              </w:rPr>
              <w:t>4%</w:t>
            </w:r>
          </w:p>
        </w:tc>
        <w:tc>
          <w:tcPr>
            <w:tcW w:w="1019" w:type="dxa"/>
            <w:tcBorders>
              <w:top w:val="nil"/>
              <w:left w:val="nil"/>
              <w:bottom w:val="nil"/>
              <w:right w:val="nil"/>
            </w:tcBorders>
            <w:noWrap/>
            <w:vAlign w:val="bottom"/>
            <w:hideMark/>
          </w:tcPr>
          <w:p w14:paraId="6A516497" w14:textId="77777777" w:rsidR="007A6A1A" w:rsidRPr="00BB4D6B" w:rsidRDefault="007A6A1A" w:rsidP="00BB4D6B">
            <w:pPr>
              <w:spacing w:after="0" w:line="240" w:lineRule="auto"/>
              <w:rPr>
                <w:sz w:val="20"/>
                <w:szCs w:val="20"/>
              </w:rPr>
            </w:pPr>
            <w:r w:rsidRPr="00BB4D6B">
              <w:rPr>
                <w:sz w:val="20"/>
                <w:szCs w:val="20"/>
              </w:rPr>
              <w:t>4%</w:t>
            </w:r>
          </w:p>
        </w:tc>
        <w:tc>
          <w:tcPr>
            <w:tcW w:w="1020" w:type="dxa"/>
            <w:tcBorders>
              <w:top w:val="nil"/>
              <w:left w:val="nil"/>
              <w:bottom w:val="nil"/>
              <w:right w:val="single" w:sz="4" w:space="0" w:color="auto"/>
            </w:tcBorders>
            <w:noWrap/>
            <w:vAlign w:val="bottom"/>
            <w:hideMark/>
          </w:tcPr>
          <w:p w14:paraId="4F8CD61D" w14:textId="77777777" w:rsidR="007A6A1A" w:rsidRPr="00BB4D6B" w:rsidRDefault="007A6A1A" w:rsidP="00BB4D6B">
            <w:pPr>
              <w:spacing w:after="0" w:line="240" w:lineRule="auto"/>
              <w:rPr>
                <w:sz w:val="20"/>
                <w:szCs w:val="20"/>
              </w:rPr>
            </w:pPr>
            <w:r w:rsidRPr="00BB4D6B">
              <w:rPr>
                <w:sz w:val="20"/>
                <w:szCs w:val="20"/>
              </w:rPr>
              <w:t>5%</w:t>
            </w:r>
          </w:p>
        </w:tc>
        <w:tc>
          <w:tcPr>
            <w:tcW w:w="1019" w:type="dxa"/>
            <w:tcBorders>
              <w:top w:val="nil"/>
              <w:left w:val="single" w:sz="4" w:space="0" w:color="auto"/>
              <w:bottom w:val="nil"/>
              <w:right w:val="nil"/>
            </w:tcBorders>
            <w:noWrap/>
            <w:vAlign w:val="bottom"/>
            <w:hideMark/>
          </w:tcPr>
          <w:p w14:paraId="68FEE788" w14:textId="77777777" w:rsidR="007A6A1A" w:rsidRPr="00BB4D6B" w:rsidRDefault="007A6A1A" w:rsidP="00BB4D6B">
            <w:pPr>
              <w:spacing w:after="0" w:line="240" w:lineRule="auto"/>
              <w:rPr>
                <w:sz w:val="20"/>
                <w:szCs w:val="20"/>
              </w:rPr>
            </w:pPr>
            <w:r w:rsidRPr="00BB4D6B">
              <w:rPr>
                <w:sz w:val="20"/>
                <w:szCs w:val="20"/>
              </w:rPr>
              <w:t>13.7%</w:t>
            </w:r>
          </w:p>
        </w:tc>
        <w:tc>
          <w:tcPr>
            <w:tcW w:w="1019" w:type="dxa"/>
            <w:tcBorders>
              <w:top w:val="nil"/>
              <w:left w:val="nil"/>
              <w:bottom w:val="nil"/>
              <w:right w:val="nil"/>
            </w:tcBorders>
            <w:noWrap/>
            <w:vAlign w:val="bottom"/>
            <w:hideMark/>
          </w:tcPr>
          <w:p w14:paraId="160533CF" w14:textId="77777777" w:rsidR="007A6A1A" w:rsidRPr="00BB4D6B" w:rsidRDefault="007A6A1A" w:rsidP="00BB4D6B">
            <w:pPr>
              <w:spacing w:after="0" w:line="240" w:lineRule="auto"/>
              <w:rPr>
                <w:sz w:val="20"/>
                <w:szCs w:val="20"/>
              </w:rPr>
            </w:pPr>
            <w:r w:rsidRPr="00BB4D6B">
              <w:rPr>
                <w:sz w:val="20"/>
                <w:szCs w:val="20"/>
              </w:rPr>
              <w:t>2.1%</w:t>
            </w:r>
          </w:p>
        </w:tc>
        <w:tc>
          <w:tcPr>
            <w:tcW w:w="1019" w:type="dxa"/>
            <w:tcBorders>
              <w:top w:val="nil"/>
              <w:left w:val="nil"/>
              <w:bottom w:val="nil"/>
              <w:right w:val="nil"/>
            </w:tcBorders>
            <w:noWrap/>
            <w:vAlign w:val="bottom"/>
            <w:hideMark/>
          </w:tcPr>
          <w:p w14:paraId="60A15926" w14:textId="77777777" w:rsidR="007A6A1A" w:rsidRPr="00BB4D6B" w:rsidRDefault="007A6A1A" w:rsidP="00BB4D6B">
            <w:pPr>
              <w:spacing w:after="0" w:line="240" w:lineRule="auto"/>
              <w:rPr>
                <w:sz w:val="20"/>
                <w:szCs w:val="20"/>
              </w:rPr>
            </w:pPr>
            <w:r w:rsidRPr="00BB4D6B">
              <w:rPr>
                <w:sz w:val="20"/>
                <w:szCs w:val="20"/>
              </w:rPr>
              <w:t>15.0%</w:t>
            </w:r>
          </w:p>
        </w:tc>
        <w:tc>
          <w:tcPr>
            <w:tcW w:w="1019" w:type="dxa"/>
            <w:tcBorders>
              <w:top w:val="nil"/>
              <w:left w:val="nil"/>
              <w:bottom w:val="nil"/>
              <w:right w:val="single" w:sz="4" w:space="0" w:color="auto"/>
            </w:tcBorders>
            <w:noWrap/>
            <w:vAlign w:val="bottom"/>
            <w:hideMark/>
          </w:tcPr>
          <w:p w14:paraId="28E5F58D" w14:textId="77777777" w:rsidR="007A6A1A" w:rsidRPr="00BB4D6B" w:rsidRDefault="007A6A1A" w:rsidP="00BB4D6B">
            <w:pPr>
              <w:spacing w:after="0" w:line="240" w:lineRule="auto"/>
              <w:rPr>
                <w:sz w:val="20"/>
                <w:szCs w:val="20"/>
              </w:rPr>
            </w:pPr>
            <w:r w:rsidRPr="00BB4D6B">
              <w:rPr>
                <w:sz w:val="20"/>
                <w:szCs w:val="20"/>
              </w:rPr>
              <w:t>2.6%</w:t>
            </w:r>
          </w:p>
        </w:tc>
      </w:tr>
      <w:tr w:rsidR="007A6A1A" w:rsidRPr="00167CB8" w14:paraId="5E1F334F" w14:textId="77777777">
        <w:trPr>
          <w:trHeight w:val="371"/>
        </w:trPr>
        <w:tc>
          <w:tcPr>
            <w:tcW w:w="4160" w:type="dxa"/>
            <w:tcBorders>
              <w:top w:val="nil"/>
              <w:left w:val="single" w:sz="4" w:space="0" w:color="auto"/>
              <w:bottom w:val="nil"/>
              <w:right w:val="nil"/>
            </w:tcBorders>
            <w:vAlign w:val="bottom"/>
            <w:hideMark/>
          </w:tcPr>
          <w:p w14:paraId="2C0426EC" w14:textId="28C5E1C6" w:rsidR="007A6A1A" w:rsidRPr="00BB4D6B" w:rsidRDefault="007A6A1A" w:rsidP="00BB4D6B">
            <w:pPr>
              <w:spacing w:after="0" w:line="240" w:lineRule="auto"/>
              <w:rPr>
                <w:sz w:val="20"/>
                <w:szCs w:val="20"/>
              </w:rPr>
            </w:pPr>
            <w:r w:rsidRPr="00BB4D6B">
              <w:rPr>
                <w:sz w:val="20"/>
                <w:szCs w:val="20"/>
              </w:rPr>
              <w:t xml:space="preserve">Wholesale </w:t>
            </w:r>
            <w:r w:rsidR="00A461FB" w:rsidRPr="00BB4D6B">
              <w:rPr>
                <w:sz w:val="20"/>
                <w:szCs w:val="20"/>
              </w:rPr>
              <w:t>t</w:t>
            </w:r>
            <w:r w:rsidRPr="00BB4D6B">
              <w:rPr>
                <w:sz w:val="20"/>
                <w:szCs w:val="20"/>
              </w:rPr>
              <w:t xml:space="preserve">rade </w:t>
            </w:r>
          </w:p>
        </w:tc>
        <w:tc>
          <w:tcPr>
            <w:tcW w:w="933" w:type="dxa"/>
            <w:tcBorders>
              <w:top w:val="nil"/>
              <w:left w:val="nil"/>
              <w:bottom w:val="nil"/>
              <w:right w:val="nil"/>
            </w:tcBorders>
            <w:noWrap/>
            <w:vAlign w:val="bottom"/>
            <w:hideMark/>
          </w:tcPr>
          <w:p w14:paraId="3655EF65" w14:textId="77777777" w:rsidR="007A6A1A" w:rsidRPr="00BB4D6B" w:rsidRDefault="007A6A1A" w:rsidP="00BB4D6B">
            <w:pPr>
              <w:spacing w:after="0" w:line="240" w:lineRule="auto"/>
              <w:rPr>
                <w:sz w:val="20"/>
                <w:szCs w:val="20"/>
              </w:rPr>
            </w:pPr>
            <w:r w:rsidRPr="00BB4D6B">
              <w:rPr>
                <w:sz w:val="20"/>
                <w:szCs w:val="20"/>
              </w:rPr>
              <w:t>-13%</w:t>
            </w:r>
          </w:p>
        </w:tc>
        <w:tc>
          <w:tcPr>
            <w:tcW w:w="933" w:type="dxa"/>
            <w:tcBorders>
              <w:top w:val="nil"/>
              <w:left w:val="nil"/>
              <w:bottom w:val="nil"/>
              <w:right w:val="nil"/>
            </w:tcBorders>
            <w:noWrap/>
            <w:vAlign w:val="bottom"/>
            <w:hideMark/>
          </w:tcPr>
          <w:p w14:paraId="19CDD05B" w14:textId="77777777" w:rsidR="007A6A1A" w:rsidRPr="00BB4D6B" w:rsidRDefault="007A6A1A" w:rsidP="00BB4D6B">
            <w:pPr>
              <w:spacing w:after="0" w:line="240" w:lineRule="auto"/>
              <w:rPr>
                <w:sz w:val="20"/>
                <w:szCs w:val="20"/>
              </w:rPr>
            </w:pPr>
            <w:r w:rsidRPr="00BB4D6B">
              <w:rPr>
                <w:sz w:val="20"/>
                <w:szCs w:val="20"/>
              </w:rPr>
              <w:t>-4%</w:t>
            </w:r>
          </w:p>
        </w:tc>
        <w:tc>
          <w:tcPr>
            <w:tcW w:w="934" w:type="dxa"/>
            <w:tcBorders>
              <w:top w:val="nil"/>
              <w:left w:val="nil"/>
              <w:bottom w:val="nil"/>
              <w:right w:val="single" w:sz="4" w:space="0" w:color="auto"/>
            </w:tcBorders>
            <w:noWrap/>
            <w:vAlign w:val="bottom"/>
            <w:hideMark/>
          </w:tcPr>
          <w:p w14:paraId="07BF04A9" w14:textId="77777777" w:rsidR="007A6A1A" w:rsidRPr="00BB4D6B" w:rsidRDefault="007A6A1A" w:rsidP="00BB4D6B">
            <w:pPr>
              <w:spacing w:after="0" w:line="240" w:lineRule="auto"/>
              <w:rPr>
                <w:sz w:val="20"/>
                <w:szCs w:val="20"/>
              </w:rPr>
            </w:pPr>
            <w:r w:rsidRPr="00BB4D6B">
              <w:rPr>
                <w:sz w:val="20"/>
                <w:szCs w:val="20"/>
              </w:rPr>
              <w:t>-17%</w:t>
            </w:r>
          </w:p>
        </w:tc>
        <w:tc>
          <w:tcPr>
            <w:tcW w:w="1019" w:type="dxa"/>
            <w:tcBorders>
              <w:top w:val="nil"/>
              <w:left w:val="single" w:sz="4" w:space="0" w:color="auto"/>
              <w:bottom w:val="nil"/>
              <w:right w:val="nil"/>
            </w:tcBorders>
            <w:noWrap/>
            <w:vAlign w:val="bottom"/>
            <w:hideMark/>
          </w:tcPr>
          <w:p w14:paraId="46227374" w14:textId="77777777" w:rsidR="007A6A1A" w:rsidRPr="00BB4D6B" w:rsidRDefault="007A6A1A" w:rsidP="00BB4D6B">
            <w:pPr>
              <w:spacing w:after="0" w:line="240" w:lineRule="auto"/>
              <w:rPr>
                <w:sz w:val="20"/>
                <w:szCs w:val="20"/>
              </w:rPr>
            </w:pPr>
            <w:r w:rsidRPr="00BB4D6B">
              <w:rPr>
                <w:sz w:val="20"/>
                <w:szCs w:val="20"/>
              </w:rPr>
              <w:t>1%</w:t>
            </w:r>
          </w:p>
        </w:tc>
        <w:tc>
          <w:tcPr>
            <w:tcW w:w="1019" w:type="dxa"/>
            <w:tcBorders>
              <w:top w:val="nil"/>
              <w:left w:val="nil"/>
              <w:bottom w:val="nil"/>
              <w:right w:val="nil"/>
            </w:tcBorders>
            <w:noWrap/>
            <w:vAlign w:val="bottom"/>
            <w:hideMark/>
          </w:tcPr>
          <w:p w14:paraId="32B3FB7D" w14:textId="77777777" w:rsidR="007A6A1A" w:rsidRPr="00BB4D6B" w:rsidRDefault="007A6A1A" w:rsidP="00BB4D6B">
            <w:pPr>
              <w:spacing w:after="0" w:line="240" w:lineRule="auto"/>
              <w:rPr>
                <w:sz w:val="20"/>
                <w:szCs w:val="20"/>
              </w:rPr>
            </w:pPr>
            <w:r w:rsidRPr="00BB4D6B">
              <w:rPr>
                <w:sz w:val="20"/>
                <w:szCs w:val="20"/>
              </w:rPr>
              <w:t>-3%</w:t>
            </w:r>
          </w:p>
        </w:tc>
        <w:tc>
          <w:tcPr>
            <w:tcW w:w="1020" w:type="dxa"/>
            <w:tcBorders>
              <w:top w:val="nil"/>
              <w:left w:val="nil"/>
              <w:bottom w:val="nil"/>
              <w:right w:val="single" w:sz="4" w:space="0" w:color="auto"/>
            </w:tcBorders>
            <w:noWrap/>
            <w:vAlign w:val="bottom"/>
            <w:hideMark/>
          </w:tcPr>
          <w:p w14:paraId="3DC3B5CA" w14:textId="77777777" w:rsidR="007A6A1A" w:rsidRPr="00BB4D6B" w:rsidRDefault="007A6A1A" w:rsidP="00BB4D6B">
            <w:pPr>
              <w:spacing w:after="0" w:line="240" w:lineRule="auto"/>
              <w:rPr>
                <w:sz w:val="20"/>
                <w:szCs w:val="20"/>
              </w:rPr>
            </w:pPr>
            <w:r w:rsidRPr="00BB4D6B">
              <w:rPr>
                <w:sz w:val="20"/>
                <w:szCs w:val="20"/>
              </w:rPr>
              <w:t>11%</w:t>
            </w:r>
          </w:p>
        </w:tc>
        <w:tc>
          <w:tcPr>
            <w:tcW w:w="1019" w:type="dxa"/>
            <w:tcBorders>
              <w:top w:val="nil"/>
              <w:left w:val="single" w:sz="4" w:space="0" w:color="auto"/>
              <w:bottom w:val="nil"/>
              <w:right w:val="nil"/>
            </w:tcBorders>
            <w:noWrap/>
            <w:vAlign w:val="bottom"/>
            <w:hideMark/>
          </w:tcPr>
          <w:p w14:paraId="1821D5E2" w14:textId="77777777" w:rsidR="007A6A1A" w:rsidRPr="00BB4D6B" w:rsidRDefault="007A6A1A" w:rsidP="00BB4D6B">
            <w:pPr>
              <w:spacing w:after="0" w:line="240" w:lineRule="auto"/>
              <w:rPr>
                <w:sz w:val="20"/>
                <w:szCs w:val="20"/>
              </w:rPr>
            </w:pPr>
            <w:r w:rsidRPr="00BB4D6B">
              <w:rPr>
                <w:sz w:val="20"/>
                <w:szCs w:val="20"/>
              </w:rPr>
              <w:t>4.4%</w:t>
            </w:r>
          </w:p>
        </w:tc>
        <w:tc>
          <w:tcPr>
            <w:tcW w:w="1019" w:type="dxa"/>
            <w:tcBorders>
              <w:top w:val="nil"/>
              <w:left w:val="nil"/>
              <w:bottom w:val="nil"/>
              <w:right w:val="nil"/>
            </w:tcBorders>
            <w:noWrap/>
            <w:vAlign w:val="bottom"/>
            <w:hideMark/>
          </w:tcPr>
          <w:p w14:paraId="65170E39" w14:textId="77777777" w:rsidR="007A6A1A" w:rsidRPr="00BB4D6B" w:rsidRDefault="007A6A1A" w:rsidP="00BB4D6B">
            <w:pPr>
              <w:spacing w:after="0" w:line="240" w:lineRule="auto"/>
              <w:rPr>
                <w:sz w:val="20"/>
                <w:szCs w:val="20"/>
              </w:rPr>
            </w:pPr>
            <w:r w:rsidRPr="00BB4D6B">
              <w:rPr>
                <w:sz w:val="20"/>
                <w:szCs w:val="20"/>
              </w:rPr>
              <w:t>2.8%</w:t>
            </w:r>
          </w:p>
        </w:tc>
        <w:tc>
          <w:tcPr>
            <w:tcW w:w="1019" w:type="dxa"/>
            <w:tcBorders>
              <w:top w:val="nil"/>
              <w:left w:val="nil"/>
              <w:bottom w:val="nil"/>
              <w:right w:val="nil"/>
            </w:tcBorders>
            <w:noWrap/>
            <w:vAlign w:val="bottom"/>
            <w:hideMark/>
          </w:tcPr>
          <w:p w14:paraId="408999B7" w14:textId="77777777" w:rsidR="007A6A1A" w:rsidRPr="00BB4D6B" w:rsidRDefault="007A6A1A" w:rsidP="00BB4D6B">
            <w:pPr>
              <w:spacing w:after="0" w:line="240" w:lineRule="auto"/>
              <w:rPr>
                <w:sz w:val="20"/>
                <w:szCs w:val="20"/>
              </w:rPr>
            </w:pPr>
            <w:r w:rsidRPr="00BB4D6B">
              <w:rPr>
                <w:sz w:val="20"/>
                <w:szCs w:val="20"/>
              </w:rPr>
              <w:t>3.3%</w:t>
            </w:r>
          </w:p>
        </w:tc>
        <w:tc>
          <w:tcPr>
            <w:tcW w:w="1019" w:type="dxa"/>
            <w:tcBorders>
              <w:top w:val="nil"/>
              <w:left w:val="nil"/>
              <w:bottom w:val="nil"/>
              <w:right w:val="single" w:sz="4" w:space="0" w:color="auto"/>
            </w:tcBorders>
            <w:noWrap/>
            <w:vAlign w:val="bottom"/>
            <w:hideMark/>
          </w:tcPr>
          <w:p w14:paraId="79DAE8BA" w14:textId="77777777" w:rsidR="007A6A1A" w:rsidRPr="00BB4D6B" w:rsidRDefault="007A6A1A" w:rsidP="00BB4D6B">
            <w:pPr>
              <w:spacing w:after="0" w:line="240" w:lineRule="auto"/>
              <w:rPr>
                <w:sz w:val="20"/>
                <w:szCs w:val="20"/>
              </w:rPr>
            </w:pPr>
            <w:r w:rsidRPr="00BB4D6B">
              <w:rPr>
                <w:sz w:val="20"/>
                <w:szCs w:val="20"/>
              </w:rPr>
              <w:t>1.9%</w:t>
            </w:r>
          </w:p>
        </w:tc>
      </w:tr>
      <w:tr w:rsidR="007A6A1A" w:rsidRPr="00167CB8" w14:paraId="182182A5" w14:textId="77777777">
        <w:trPr>
          <w:trHeight w:val="371"/>
        </w:trPr>
        <w:tc>
          <w:tcPr>
            <w:tcW w:w="4160" w:type="dxa"/>
            <w:tcBorders>
              <w:top w:val="nil"/>
              <w:left w:val="single" w:sz="4" w:space="0" w:color="auto"/>
              <w:bottom w:val="nil"/>
              <w:right w:val="nil"/>
            </w:tcBorders>
            <w:vAlign w:val="bottom"/>
            <w:hideMark/>
          </w:tcPr>
          <w:p w14:paraId="6E0054C2" w14:textId="4A73428B" w:rsidR="007A6A1A" w:rsidRPr="00BB4D6B" w:rsidRDefault="007A6A1A" w:rsidP="00BB4D6B">
            <w:pPr>
              <w:spacing w:after="0" w:line="240" w:lineRule="auto"/>
              <w:rPr>
                <w:sz w:val="20"/>
                <w:szCs w:val="20"/>
              </w:rPr>
            </w:pPr>
            <w:r w:rsidRPr="00BB4D6B">
              <w:rPr>
                <w:sz w:val="20"/>
                <w:szCs w:val="20"/>
              </w:rPr>
              <w:t xml:space="preserve">Retail </w:t>
            </w:r>
            <w:r w:rsidR="00A461FB" w:rsidRPr="00BB4D6B">
              <w:rPr>
                <w:sz w:val="20"/>
                <w:szCs w:val="20"/>
              </w:rPr>
              <w:t>t</w:t>
            </w:r>
            <w:r w:rsidRPr="00BB4D6B">
              <w:rPr>
                <w:sz w:val="20"/>
                <w:szCs w:val="20"/>
              </w:rPr>
              <w:t xml:space="preserve">rade </w:t>
            </w:r>
          </w:p>
        </w:tc>
        <w:tc>
          <w:tcPr>
            <w:tcW w:w="933" w:type="dxa"/>
            <w:tcBorders>
              <w:top w:val="nil"/>
              <w:left w:val="nil"/>
              <w:bottom w:val="nil"/>
              <w:right w:val="nil"/>
            </w:tcBorders>
            <w:noWrap/>
            <w:vAlign w:val="bottom"/>
            <w:hideMark/>
          </w:tcPr>
          <w:p w14:paraId="1DC0885F" w14:textId="77777777" w:rsidR="007A6A1A" w:rsidRPr="00BB4D6B" w:rsidRDefault="007A6A1A" w:rsidP="00BB4D6B">
            <w:pPr>
              <w:spacing w:after="0" w:line="240" w:lineRule="auto"/>
              <w:rPr>
                <w:sz w:val="20"/>
                <w:szCs w:val="20"/>
              </w:rPr>
            </w:pPr>
            <w:r w:rsidRPr="00BB4D6B">
              <w:rPr>
                <w:sz w:val="20"/>
                <w:szCs w:val="20"/>
              </w:rPr>
              <w:t>12%</w:t>
            </w:r>
          </w:p>
        </w:tc>
        <w:tc>
          <w:tcPr>
            <w:tcW w:w="933" w:type="dxa"/>
            <w:tcBorders>
              <w:top w:val="nil"/>
              <w:left w:val="nil"/>
              <w:bottom w:val="nil"/>
              <w:right w:val="nil"/>
            </w:tcBorders>
            <w:noWrap/>
            <w:vAlign w:val="bottom"/>
            <w:hideMark/>
          </w:tcPr>
          <w:p w14:paraId="7E3C5B95" w14:textId="77777777" w:rsidR="007A6A1A" w:rsidRPr="00BB4D6B" w:rsidRDefault="007A6A1A" w:rsidP="00BB4D6B">
            <w:pPr>
              <w:spacing w:after="0" w:line="240" w:lineRule="auto"/>
              <w:rPr>
                <w:sz w:val="20"/>
                <w:szCs w:val="20"/>
              </w:rPr>
            </w:pPr>
            <w:r w:rsidRPr="00BB4D6B">
              <w:rPr>
                <w:sz w:val="20"/>
                <w:szCs w:val="20"/>
              </w:rPr>
              <w:t>21%</w:t>
            </w:r>
          </w:p>
        </w:tc>
        <w:tc>
          <w:tcPr>
            <w:tcW w:w="934" w:type="dxa"/>
            <w:tcBorders>
              <w:top w:val="nil"/>
              <w:left w:val="nil"/>
              <w:bottom w:val="nil"/>
              <w:right w:val="single" w:sz="4" w:space="0" w:color="auto"/>
            </w:tcBorders>
            <w:noWrap/>
            <w:vAlign w:val="bottom"/>
            <w:hideMark/>
          </w:tcPr>
          <w:p w14:paraId="6C92505F" w14:textId="77777777" w:rsidR="007A6A1A" w:rsidRPr="00BB4D6B" w:rsidRDefault="007A6A1A" w:rsidP="00BB4D6B">
            <w:pPr>
              <w:spacing w:after="0" w:line="240" w:lineRule="auto"/>
              <w:rPr>
                <w:sz w:val="20"/>
                <w:szCs w:val="20"/>
              </w:rPr>
            </w:pPr>
            <w:r w:rsidRPr="00BB4D6B">
              <w:rPr>
                <w:sz w:val="20"/>
                <w:szCs w:val="20"/>
              </w:rPr>
              <w:t>4%</w:t>
            </w:r>
          </w:p>
        </w:tc>
        <w:tc>
          <w:tcPr>
            <w:tcW w:w="1019" w:type="dxa"/>
            <w:tcBorders>
              <w:top w:val="nil"/>
              <w:left w:val="single" w:sz="4" w:space="0" w:color="auto"/>
              <w:bottom w:val="nil"/>
              <w:right w:val="nil"/>
            </w:tcBorders>
            <w:noWrap/>
            <w:vAlign w:val="bottom"/>
            <w:hideMark/>
          </w:tcPr>
          <w:p w14:paraId="4422466C" w14:textId="77777777" w:rsidR="007A6A1A" w:rsidRPr="00BB4D6B" w:rsidRDefault="007A6A1A" w:rsidP="00BB4D6B">
            <w:pPr>
              <w:spacing w:after="0" w:line="240" w:lineRule="auto"/>
              <w:rPr>
                <w:sz w:val="20"/>
                <w:szCs w:val="20"/>
              </w:rPr>
            </w:pPr>
            <w:r w:rsidRPr="00BB4D6B">
              <w:rPr>
                <w:sz w:val="20"/>
                <w:szCs w:val="20"/>
              </w:rPr>
              <w:t>1%</w:t>
            </w:r>
          </w:p>
        </w:tc>
        <w:tc>
          <w:tcPr>
            <w:tcW w:w="1019" w:type="dxa"/>
            <w:tcBorders>
              <w:top w:val="nil"/>
              <w:left w:val="nil"/>
              <w:bottom w:val="nil"/>
              <w:right w:val="nil"/>
            </w:tcBorders>
            <w:noWrap/>
            <w:vAlign w:val="bottom"/>
            <w:hideMark/>
          </w:tcPr>
          <w:p w14:paraId="71F46516" w14:textId="77777777" w:rsidR="007A6A1A" w:rsidRPr="00BB4D6B" w:rsidRDefault="007A6A1A" w:rsidP="00BB4D6B">
            <w:pPr>
              <w:spacing w:after="0" w:line="240" w:lineRule="auto"/>
              <w:rPr>
                <w:sz w:val="20"/>
                <w:szCs w:val="20"/>
              </w:rPr>
            </w:pPr>
            <w:r w:rsidRPr="00BB4D6B">
              <w:rPr>
                <w:sz w:val="20"/>
                <w:szCs w:val="20"/>
              </w:rPr>
              <w:t>0%</w:t>
            </w:r>
          </w:p>
        </w:tc>
        <w:tc>
          <w:tcPr>
            <w:tcW w:w="1020" w:type="dxa"/>
            <w:tcBorders>
              <w:top w:val="nil"/>
              <w:left w:val="nil"/>
              <w:bottom w:val="nil"/>
              <w:right w:val="single" w:sz="4" w:space="0" w:color="auto"/>
            </w:tcBorders>
            <w:noWrap/>
            <w:vAlign w:val="bottom"/>
            <w:hideMark/>
          </w:tcPr>
          <w:p w14:paraId="47D7049D" w14:textId="77777777" w:rsidR="007A6A1A" w:rsidRPr="00BB4D6B" w:rsidRDefault="007A6A1A" w:rsidP="00BB4D6B">
            <w:pPr>
              <w:spacing w:after="0" w:line="240" w:lineRule="auto"/>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1ED8CC2F" w14:textId="77777777" w:rsidR="007A6A1A" w:rsidRPr="00BB4D6B" w:rsidRDefault="007A6A1A" w:rsidP="00BB4D6B">
            <w:pPr>
              <w:spacing w:after="0" w:line="240" w:lineRule="auto"/>
              <w:rPr>
                <w:sz w:val="20"/>
                <w:szCs w:val="20"/>
              </w:rPr>
            </w:pPr>
            <w:r w:rsidRPr="00BB4D6B">
              <w:rPr>
                <w:sz w:val="20"/>
                <w:szCs w:val="20"/>
              </w:rPr>
              <w:t>8.2%</w:t>
            </w:r>
          </w:p>
        </w:tc>
        <w:tc>
          <w:tcPr>
            <w:tcW w:w="1019" w:type="dxa"/>
            <w:tcBorders>
              <w:top w:val="nil"/>
              <w:left w:val="nil"/>
              <w:bottom w:val="nil"/>
              <w:right w:val="nil"/>
            </w:tcBorders>
            <w:noWrap/>
            <w:vAlign w:val="bottom"/>
            <w:hideMark/>
          </w:tcPr>
          <w:p w14:paraId="7E1DF60C" w14:textId="77777777" w:rsidR="007A6A1A" w:rsidRPr="00BB4D6B" w:rsidRDefault="007A6A1A" w:rsidP="00BB4D6B">
            <w:pPr>
              <w:spacing w:after="0" w:line="240" w:lineRule="auto"/>
              <w:rPr>
                <w:sz w:val="20"/>
                <w:szCs w:val="20"/>
              </w:rPr>
            </w:pPr>
            <w:r w:rsidRPr="00BB4D6B">
              <w:rPr>
                <w:sz w:val="20"/>
                <w:szCs w:val="20"/>
              </w:rPr>
              <w:t>13.2%</w:t>
            </w:r>
          </w:p>
        </w:tc>
        <w:tc>
          <w:tcPr>
            <w:tcW w:w="1019" w:type="dxa"/>
            <w:tcBorders>
              <w:top w:val="nil"/>
              <w:left w:val="nil"/>
              <w:bottom w:val="nil"/>
              <w:right w:val="nil"/>
            </w:tcBorders>
            <w:noWrap/>
            <w:vAlign w:val="bottom"/>
            <w:hideMark/>
          </w:tcPr>
          <w:p w14:paraId="5E75156E" w14:textId="77777777" w:rsidR="007A6A1A" w:rsidRPr="00BB4D6B" w:rsidRDefault="007A6A1A" w:rsidP="00BB4D6B">
            <w:pPr>
              <w:spacing w:after="0" w:line="240" w:lineRule="auto"/>
              <w:rPr>
                <w:sz w:val="20"/>
                <w:szCs w:val="20"/>
              </w:rPr>
            </w:pPr>
            <w:r w:rsidRPr="00BB4D6B">
              <w:rPr>
                <w:sz w:val="20"/>
                <w:szCs w:val="20"/>
              </w:rPr>
              <w:t>8.1%</w:t>
            </w:r>
          </w:p>
        </w:tc>
        <w:tc>
          <w:tcPr>
            <w:tcW w:w="1019" w:type="dxa"/>
            <w:tcBorders>
              <w:top w:val="nil"/>
              <w:left w:val="nil"/>
              <w:bottom w:val="nil"/>
              <w:right w:val="single" w:sz="4" w:space="0" w:color="auto"/>
            </w:tcBorders>
            <w:noWrap/>
            <w:vAlign w:val="bottom"/>
            <w:hideMark/>
          </w:tcPr>
          <w:p w14:paraId="4CC40C87" w14:textId="77777777" w:rsidR="007A6A1A" w:rsidRPr="00BB4D6B" w:rsidRDefault="007A6A1A" w:rsidP="00BB4D6B">
            <w:pPr>
              <w:spacing w:after="0" w:line="240" w:lineRule="auto"/>
              <w:rPr>
                <w:sz w:val="20"/>
                <w:szCs w:val="20"/>
              </w:rPr>
            </w:pPr>
            <w:r w:rsidRPr="00BB4D6B">
              <w:rPr>
                <w:sz w:val="20"/>
                <w:szCs w:val="20"/>
              </w:rPr>
              <w:t>10.6%</w:t>
            </w:r>
          </w:p>
        </w:tc>
      </w:tr>
      <w:tr w:rsidR="007A6A1A" w:rsidRPr="00167CB8" w14:paraId="2733020F" w14:textId="77777777">
        <w:trPr>
          <w:trHeight w:val="371"/>
        </w:trPr>
        <w:tc>
          <w:tcPr>
            <w:tcW w:w="4160" w:type="dxa"/>
            <w:tcBorders>
              <w:top w:val="nil"/>
              <w:left w:val="single" w:sz="4" w:space="0" w:color="auto"/>
              <w:bottom w:val="nil"/>
              <w:right w:val="nil"/>
            </w:tcBorders>
            <w:vAlign w:val="bottom"/>
            <w:hideMark/>
          </w:tcPr>
          <w:p w14:paraId="589DA11F" w14:textId="41C72CE1" w:rsidR="007A6A1A" w:rsidRPr="00BB4D6B" w:rsidRDefault="007A6A1A" w:rsidP="00BB4D6B">
            <w:pPr>
              <w:spacing w:after="0" w:line="240" w:lineRule="auto"/>
              <w:rPr>
                <w:sz w:val="20"/>
                <w:szCs w:val="20"/>
              </w:rPr>
            </w:pPr>
            <w:r w:rsidRPr="00BB4D6B">
              <w:rPr>
                <w:sz w:val="20"/>
                <w:szCs w:val="20"/>
              </w:rPr>
              <w:t xml:space="preserve">Accommodation and </w:t>
            </w:r>
            <w:r w:rsidR="00A461FB" w:rsidRPr="00BB4D6B">
              <w:rPr>
                <w:sz w:val="20"/>
                <w:szCs w:val="20"/>
              </w:rPr>
              <w:t>f</w:t>
            </w:r>
            <w:r w:rsidRPr="00BB4D6B">
              <w:rPr>
                <w:sz w:val="20"/>
                <w:szCs w:val="20"/>
              </w:rPr>
              <w:t xml:space="preserve">ood </w:t>
            </w:r>
            <w:r w:rsidR="00A461FB" w:rsidRPr="00BB4D6B">
              <w:rPr>
                <w:sz w:val="20"/>
                <w:szCs w:val="20"/>
              </w:rPr>
              <w:t>s</w:t>
            </w:r>
            <w:r w:rsidRPr="00BB4D6B">
              <w:rPr>
                <w:sz w:val="20"/>
                <w:szCs w:val="20"/>
              </w:rPr>
              <w:t>ervices</w:t>
            </w:r>
          </w:p>
        </w:tc>
        <w:tc>
          <w:tcPr>
            <w:tcW w:w="933" w:type="dxa"/>
            <w:tcBorders>
              <w:top w:val="nil"/>
              <w:left w:val="nil"/>
              <w:bottom w:val="nil"/>
              <w:right w:val="nil"/>
            </w:tcBorders>
            <w:noWrap/>
            <w:vAlign w:val="bottom"/>
            <w:hideMark/>
          </w:tcPr>
          <w:p w14:paraId="323B1068" w14:textId="77777777" w:rsidR="007A6A1A" w:rsidRPr="00BB4D6B" w:rsidRDefault="007A6A1A" w:rsidP="00BB4D6B">
            <w:pPr>
              <w:spacing w:after="0" w:line="240" w:lineRule="auto"/>
              <w:rPr>
                <w:sz w:val="20"/>
                <w:szCs w:val="20"/>
              </w:rPr>
            </w:pPr>
            <w:r w:rsidRPr="00BB4D6B">
              <w:rPr>
                <w:sz w:val="20"/>
                <w:szCs w:val="20"/>
              </w:rPr>
              <w:t>20%</w:t>
            </w:r>
          </w:p>
        </w:tc>
        <w:tc>
          <w:tcPr>
            <w:tcW w:w="933" w:type="dxa"/>
            <w:tcBorders>
              <w:top w:val="nil"/>
              <w:left w:val="nil"/>
              <w:bottom w:val="nil"/>
              <w:right w:val="nil"/>
            </w:tcBorders>
            <w:noWrap/>
            <w:vAlign w:val="bottom"/>
            <w:hideMark/>
          </w:tcPr>
          <w:p w14:paraId="1EF14012" w14:textId="77777777" w:rsidR="007A6A1A" w:rsidRPr="00BB4D6B" w:rsidRDefault="007A6A1A" w:rsidP="00BB4D6B">
            <w:pPr>
              <w:spacing w:after="0" w:line="240" w:lineRule="auto"/>
              <w:rPr>
                <w:sz w:val="20"/>
                <w:szCs w:val="20"/>
              </w:rPr>
            </w:pPr>
            <w:r w:rsidRPr="00BB4D6B">
              <w:rPr>
                <w:sz w:val="20"/>
                <w:szCs w:val="20"/>
              </w:rPr>
              <w:t>16%</w:t>
            </w:r>
          </w:p>
        </w:tc>
        <w:tc>
          <w:tcPr>
            <w:tcW w:w="934" w:type="dxa"/>
            <w:tcBorders>
              <w:top w:val="nil"/>
              <w:left w:val="nil"/>
              <w:bottom w:val="nil"/>
              <w:right w:val="single" w:sz="4" w:space="0" w:color="auto"/>
            </w:tcBorders>
            <w:noWrap/>
            <w:vAlign w:val="bottom"/>
            <w:hideMark/>
          </w:tcPr>
          <w:p w14:paraId="2833C7A9" w14:textId="77777777" w:rsidR="007A6A1A" w:rsidRPr="00BB4D6B" w:rsidRDefault="007A6A1A" w:rsidP="00BB4D6B">
            <w:pPr>
              <w:spacing w:after="0" w:line="240" w:lineRule="auto"/>
              <w:rPr>
                <w:sz w:val="20"/>
                <w:szCs w:val="20"/>
              </w:rPr>
            </w:pPr>
            <w:r w:rsidRPr="00BB4D6B">
              <w:rPr>
                <w:sz w:val="20"/>
                <w:szCs w:val="20"/>
              </w:rPr>
              <w:t>22%</w:t>
            </w:r>
          </w:p>
        </w:tc>
        <w:tc>
          <w:tcPr>
            <w:tcW w:w="1019" w:type="dxa"/>
            <w:tcBorders>
              <w:top w:val="nil"/>
              <w:left w:val="single" w:sz="4" w:space="0" w:color="auto"/>
              <w:bottom w:val="nil"/>
              <w:right w:val="nil"/>
            </w:tcBorders>
            <w:noWrap/>
            <w:vAlign w:val="bottom"/>
            <w:hideMark/>
          </w:tcPr>
          <w:p w14:paraId="657F5F0E" w14:textId="77777777" w:rsidR="007A6A1A" w:rsidRPr="00BB4D6B" w:rsidRDefault="007A6A1A" w:rsidP="00BB4D6B">
            <w:pPr>
              <w:spacing w:after="0" w:line="240" w:lineRule="auto"/>
              <w:rPr>
                <w:sz w:val="20"/>
                <w:szCs w:val="20"/>
              </w:rPr>
            </w:pPr>
            <w:r w:rsidRPr="00BB4D6B">
              <w:rPr>
                <w:sz w:val="20"/>
                <w:szCs w:val="20"/>
              </w:rPr>
              <w:t>5%</w:t>
            </w:r>
          </w:p>
        </w:tc>
        <w:tc>
          <w:tcPr>
            <w:tcW w:w="1019" w:type="dxa"/>
            <w:tcBorders>
              <w:top w:val="nil"/>
              <w:left w:val="nil"/>
              <w:bottom w:val="nil"/>
              <w:right w:val="nil"/>
            </w:tcBorders>
            <w:noWrap/>
            <w:vAlign w:val="bottom"/>
            <w:hideMark/>
          </w:tcPr>
          <w:p w14:paraId="626E92EC" w14:textId="77777777" w:rsidR="007A6A1A" w:rsidRPr="00BB4D6B" w:rsidRDefault="007A6A1A" w:rsidP="00BB4D6B">
            <w:pPr>
              <w:spacing w:after="0" w:line="240" w:lineRule="auto"/>
              <w:rPr>
                <w:sz w:val="20"/>
                <w:szCs w:val="20"/>
              </w:rPr>
            </w:pPr>
            <w:r w:rsidRPr="00BB4D6B">
              <w:rPr>
                <w:sz w:val="20"/>
                <w:szCs w:val="20"/>
              </w:rPr>
              <w:t>13%</w:t>
            </w:r>
          </w:p>
        </w:tc>
        <w:tc>
          <w:tcPr>
            <w:tcW w:w="1020" w:type="dxa"/>
            <w:tcBorders>
              <w:top w:val="nil"/>
              <w:left w:val="nil"/>
              <w:bottom w:val="nil"/>
              <w:right w:val="single" w:sz="4" w:space="0" w:color="auto"/>
            </w:tcBorders>
            <w:noWrap/>
            <w:vAlign w:val="bottom"/>
            <w:hideMark/>
          </w:tcPr>
          <w:p w14:paraId="470744B8" w14:textId="77777777" w:rsidR="007A6A1A" w:rsidRPr="00BB4D6B" w:rsidRDefault="007A6A1A" w:rsidP="00BB4D6B">
            <w:pPr>
              <w:spacing w:after="0" w:line="240" w:lineRule="auto"/>
              <w:rPr>
                <w:sz w:val="20"/>
                <w:szCs w:val="20"/>
              </w:rPr>
            </w:pPr>
            <w:r w:rsidRPr="00BB4D6B">
              <w:rPr>
                <w:sz w:val="20"/>
                <w:szCs w:val="20"/>
              </w:rPr>
              <w:t>-1%</w:t>
            </w:r>
          </w:p>
        </w:tc>
        <w:tc>
          <w:tcPr>
            <w:tcW w:w="1019" w:type="dxa"/>
            <w:tcBorders>
              <w:top w:val="nil"/>
              <w:left w:val="single" w:sz="4" w:space="0" w:color="auto"/>
              <w:bottom w:val="nil"/>
              <w:right w:val="nil"/>
            </w:tcBorders>
            <w:noWrap/>
            <w:vAlign w:val="bottom"/>
            <w:hideMark/>
          </w:tcPr>
          <w:p w14:paraId="7CE430A4" w14:textId="77777777" w:rsidR="007A6A1A" w:rsidRPr="00BB4D6B" w:rsidRDefault="007A6A1A" w:rsidP="00BB4D6B">
            <w:pPr>
              <w:spacing w:after="0" w:line="240" w:lineRule="auto"/>
              <w:rPr>
                <w:sz w:val="20"/>
                <w:szCs w:val="20"/>
              </w:rPr>
            </w:pPr>
            <w:r w:rsidRPr="00BB4D6B">
              <w:rPr>
                <w:sz w:val="20"/>
                <w:szCs w:val="20"/>
              </w:rPr>
              <w:t>5.7%</w:t>
            </w:r>
          </w:p>
        </w:tc>
        <w:tc>
          <w:tcPr>
            <w:tcW w:w="1019" w:type="dxa"/>
            <w:tcBorders>
              <w:top w:val="nil"/>
              <w:left w:val="nil"/>
              <w:bottom w:val="nil"/>
              <w:right w:val="nil"/>
            </w:tcBorders>
            <w:noWrap/>
            <w:vAlign w:val="bottom"/>
            <w:hideMark/>
          </w:tcPr>
          <w:p w14:paraId="592AEFB3" w14:textId="77777777" w:rsidR="007A6A1A" w:rsidRPr="00BB4D6B" w:rsidRDefault="007A6A1A" w:rsidP="00BB4D6B">
            <w:pPr>
              <w:spacing w:after="0" w:line="240" w:lineRule="auto"/>
              <w:rPr>
                <w:sz w:val="20"/>
                <w:szCs w:val="20"/>
              </w:rPr>
            </w:pPr>
            <w:r w:rsidRPr="00BB4D6B">
              <w:rPr>
                <w:sz w:val="20"/>
                <w:szCs w:val="20"/>
              </w:rPr>
              <w:t>8.1%</w:t>
            </w:r>
          </w:p>
        </w:tc>
        <w:tc>
          <w:tcPr>
            <w:tcW w:w="1019" w:type="dxa"/>
            <w:tcBorders>
              <w:top w:val="nil"/>
              <w:left w:val="nil"/>
              <w:bottom w:val="nil"/>
              <w:right w:val="nil"/>
            </w:tcBorders>
            <w:noWrap/>
            <w:vAlign w:val="bottom"/>
            <w:hideMark/>
          </w:tcPr>
          <w:p w14:paraId="5F3A8410" w14:textId="77777777" w:rsidR="007A6A1A" w:rsidRPr="00BB4D6B" w:rsidRDefault="007A6A1A" w:rsidP="00BB4D6B">
            <w:pPr>
              <w:spacing w:after="0" w:line="240" w:lineRule="auto"/>
              <w:rPr>
                <w:sz w:val="20"/>
                <w:szCs w:val="20"/>
              </w:rPr>
            </w:pPr>
            <w:r w:rsidRPr="00BB4D6B">
              <w:rPr>
                <w:sz w:val="20"/>
                <w:szCs w:val="20"/>
              </w:rPr>
              <w:t>6.1%</w:t>
            </w:r>
          </w:p>
        </w:tc>
        <w:tc>
          <w:tcPr>
            <w:tcW w:w="1019" w:type="dxa"/>
            <w:tcBorders>
              <w:top w:val="nil"/>
              <w:left w:val="nil"/>
              <w:bottom w:val="nil"/>
              <w:right w:val="single" w:sz="4" w:space="0" w:color="auto"/>
            </w:tcBorders>
            <w:noWrap/>
            <w:vAlign w:val="bottom"/>
            <w:hideMark/>
          </w:tcPr>
          <w:p w14:paraId="62E93214" w14:textId="77777777" w:rsidR="007A6A1A" w:rsidRPr="00BB4D6B" w:rsidRDefault="007A6A1A" w:rsidP="00BB4D6B">
            <w:pPr>
              <w:spacing w:after="0" w:line="240" w:lineRule="auto"/>
              <w:rPr>
                <w:sz w:val="20"/>
                <w:szCs w:val="20"/>
              </w:rPr>
            </w:pPr>
            <w:r w:rsidRPr="00BB4D6B">
              <w:rPr>
                <w:sz w:val="20"/>
                <w:szCs w:val="20"/>
              </w:rPr>
              <w:t>7.4%</w:t>
            </w:r>
          </w:p>
        </w:tc>
      </w:tr>
      <w:tr w:rsidR="007A6A1A" w:rsidRPr="00167CB8" w14:paraId="2F60C3A1" w14:textId="77777777">
        <w:trPr>
          <w:trHeight w:val="371"/>
        </w:trPr>
        <w:tc>
          <w:tcPr>
            <w:tcW w:w="4160" w:type="dxa"/>
            <w:tcBorders>
              <w:top w:val="nil"/>
              <w:left w:val="single" w:sz="4" w:space="0" w:color="auto"/>
              <w:bottom w:val="nil"/>
              <w:right w:val="nil"/>
            </w:tcBorders>
            <w:vAlign w:val="bottom"/>
            <w:hideMark/>
          </w:tcPr>
          <w:p w14:paraId="6AE2B64A" w14:textId="67888E6C" w:rsidR="007A6A1A" w:rsidRPr="00BB4D6B" w:rsidRDefault="007A6A1A" w:rsidP="00BB4D6B">
            <w:pPr>
              <w:spacing w:after="0" w:line="240" w:lineRule="auto"/>
              <w:rPr>
                <w:sz w:val="20"/>
                <w:szCs w:val="20"/>
              </w:rPr>
            </w:pPr>
            <w:r w:rsidRPr="00BB4D6B">
              <w:rPr>
                <w:sz w:val="20"/>
                <w:szCs w:val="20"/>
              </w:rPr>
              <w:t xml:space="preserve">Transport, </w:t>
            </w:r>
            <w:r w:rsidR="00A461FB" w:rsidRPr="00BB4D6B">
              <w:rPr>
                <w:sz w:val="20"/>
                <w:szCs w:val="20"/>
              </w:rPr>
              <w:t>p</w:t>
            </w:r>
            <w:r w:rsidRPr="00BB4D6B">
              <w:rPr>
                <w:sz w:val="20"/>
                <w:szCs w:val="20"/>
              </w:rPr>
              <w:t xml:space="preserve">ostal and </w:t>
            </w:r>
            <w:r w:rsidR="00A461FB" w:rsidRPr="00BB4D6B">
              <w:rPr>
                <w:sz w:val="20"/>
                <w:szCs w:val="20"/>
              </w:rPr>
              <w:t>w</w:t>
            </w:r>
            <w:r w:rsidRPr="00BB4D6B">
              <w:rPr>
                <w:sz w:val="20"/>
                <w:szCs w:val="20"/>
              </w:rPr>
              <w:t xml:space="preserve">arehousing </w:t>
            </w:r>
          </w:p>
        </w:tc>
        <w:tc>
          <w:tcPr>
            <w:tcW w:w="933" w:type="dxa"/>
            <w:tcBorders>
              <w:top w:val="nil"/>
              <w:left w:val="nil"/>
              <w:bottom w:val="nil"/>
              <w:right w:val="nil"/>
            </w:tcBorders>
            <w:noWrap/>
            <w:vAlign w:val="bottom"/>
            <w:hideMark/>
          </w:tcPr>
          <w:p w14:paraId="1678219B" w14:textId="77777777" w:rsidR="007A6A1A" w:rsidRPr="00BB4D6B" w:rsidRDefault="007A6A1A" w:rsidP="00BB4D6B">
            <w:pPr>
              <w:spacing w:after="0" w:line="240" w:lineRule="auto"/>
              <w:rPr>
                <w:sz w:val="20"/>
                <w:szCs w:val="20"/>
              </w:rPr>
            </w:pPr>
            <w:r w:rsidRPr="00BB4D6B">
              <w:rPr>
                <w:sz w:val="20"/>
                <w:szCs w:val="20"/>
              </w:rPr>
              <w:t>26%</w:t>
            </w:r>
          </w:p>
        </w:tc>
        <w:tc>
          <w:tcPr>
            <w:tcW w:w="933" w:type="dxa"/>
            <w:tcBorders>
              <w:top w:val="nil"/>
              <w:left w:val="nil"/>
              <w:bottom w:val="nil"/>
              <w:right w:val="nil"/>
            </w:tcBorders>
            <w:noWrap/>
            <w:vAlign w:val="bottom"/>
            <w:hideMark/>
          </w:tcPr>
          <w:p w14:paraId="19AE005E" w14:textId="77777777" w:rsidR="007A6A1A" w:rsidRPr="00BB4D6B" w:rsidRDefault="007A6A1A" w:rsidP="00BB4D6B">
            <w:pPr>
              <w:spacing w:after="0" w:line="240" w:lineRule="auto"/>
              <w:rPr>
                <w:sz w:val="20"/>
                <w:szCs w:val="20"/>
              </w:rPr>
            </w:pPr>
            <w:r w:rsidRPr="00BB4D6B">
              <w:rPr>
                <w:sz w:val="20"/>
                <w:szCs w:val="20"/>
              </w:rPr>
              <w:t>22%</w:t>
            </w:r>
          </w:p>
        </w:tc>
        <w:tc>
          <w:tcPr>
            <w:tcW w:w="934" w:type="dxa"/>
            <w:tcBorders>
              <w:top w:val="nil"/>
              <w:left w:val="nil"/>
              <w:bottom w:val="nil"/>
              <w:right w:val="single" w:sz="4" w:space="0" w:color="auto"/>
            </w:tcBorders>
            <w:noWrap/>
            <w:vAlign w:val="bottom"/>
            <w:hideMark/>
          </w:tcPr>
          <w:p w14:paraId="4350CD72" w14:textId="77777777" w:rsidR="007A6A1A" w:rsidRPr="00BB4D6B" w:rsidRDefault="007A6A1A" w:rsidP="00BB4D6B">
            <w:pPr>
              <w:spacing w:after="0" w:line="240" w:lineRule="auto"/>
              <w:rPr>
                <w:sz w:val="20"/>
                <w:szCs w:val="20"/>
              </w:rPr>
            </w:pPr>
            <w:r w:rsidRPr="00BB4D6B">
              <w:rPr>
                <w:sz w:val="20"/>
                <w:szCs w:val="20"/>
              </w:rPr>
              <w:t>42%</w:t>
            </w:r>
          </w:p>
        </w:tc>
        <w:tc>
          <w:tcPr>
            <w:tcW w:w="1019" w:type="dxa"/>
            <w:tcBorders>
              <w:top w:val="nil"/>
              <w:left w:val="single" w:sz="4" w:space="0" w:color="auto"/>
              <w:bottom w:val="nil"/>
              <w:right w:val="nil"/>
            </w:tcBorders>
            <w:noWrap/>
            <w:vAlign w:val="bottom"/>
            <w:hideMark/>
          </w:tcPr>
          <w:p w14:paraId="0DE66A34" w14:textId="77777777" w:rsidR="007A6A1A" w:rsidRPr="00BB4D6B" w:rsidRDefault="007A6A1A" w:rsidP="00BB4D6B">
            <w:pPr>
              <w:spacing w:after="0" w:line="240" w:lineRule="auto"/>
              <w:rPr>
                <w:sz w:val="20"/>
                <w:szCs w:val="20"/>
              </w:rPr>
            </w:pPr>
            <w:r w:rsidRPr="00BB4D6B">
              <w:rPr>
                <w:sz w:val="20"/>
                <w:szCs w:val="20"/>
              </w:rPr>
              <w:t>2%</w:t>
            </w:r>
          </w:p>
        </w:tc>
        <w:tc>
          <w:tcPr>
            <w:tcW w:w="1019" w:type="dxa"/>
            <w:tcBorders>
              <w:top w:val="nil"/>
              <w:left w:val="nil"/>
              <w:bottom w:val="nil"/>
              <w:right w:val="nil"/>
            </w:tcBorders>
            <w:noWrap/>
            <w:vAlign w:val="bottom"/>
            <w:hideMark/>
          </w:tcPr>
          <w:p w14:paraId="5B8513EC" w14:textId="77777777" w:rsidR="007A6A1A" w:rsidRPr="00BB4D6B" w:rsidRDefault="007A6A1A" w:rsidP="00BB4D6B">
            <w:pPr>
              <w:spacing w:after="0" w:line="240" w:lineRule="auto"/>
              <w:rPr>
                <w:sz w:val="20"/>
                <w:szCs w:val="20"/>
              </w:rPr>
            </w:pPr>
            <w:r w:rsidRPr="00BB4D6B">
              <w:rPr>
                <w:sz w:val="20"/>
                <w:szCs w:val="20"/>
              </w:rPr>
              <w:t>3%</w:t>
            </w:r>
          </w:p>
        </w:tc>
        <w:tc>
          <w:tcPr>
            <w:tcW w:w="1020" w:type="dxa"/>
            <w:tcBorders>
              <w:top w:val="nil"/>
              <w:left w:val="nil"/>
              <w:bottom w:val="nil"/>
              <w:right w:val="single" w:sz="4" w:space="0" w:color="auto"/>
            </w:tcBorders>
            <w:noWrap/>
            <w:vAlign w:val="bottom"/>
            <w:hideMark/>
          </w:tcPr>
          <w:p w14:paraId="1B5A2612" w14:textId="77777777" w:rsidR="007A6A1A" w:rsidRPr="00BB4D6B" w:rsidRDefault="007A6A1A" w:rsidP="00BB4D6B">
            <w:pPr>
              <w:spacing w:after="0" w:line="240" w:lineRule="auto"/>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6C733224" w14:textId="77777777" w:rsidR="007A6A1A" w:rsidRPr="00BB4D6B" w:rsidRDefault="007A6A1A" w:rsidP="00BB4D6B">
            <w:pPr>
              <w:spacing w:after="0" w:line="240" w:lineRule="auto"/>
              <w:rPr>
                <w:sz w:val="20"/>
                <w:szCs w:val="20"/>
              </w:rPr>
            </w:pPr>
            <w:r w:rsidRPr="00BB4D6B">
              <w:rPr>
                <w:sz w:val="20"/>
                <w:szCs w:val="20"/>
              </w:rPr>
              <w:t>7.1%</w:t>
            </w:r>
          </w:p>
        </w:tc>
        <w:tc>
          <w:tcPr>
            <w:tcW w:w="1019" w:type="dxa"/>
            <w:tcBorders>
              <w:top w:val="nil"/>
              <w:left w:val="nil"/>
              <w:bottom w:val="nil"/>
              <w:right w:val="nil"/>
            </w:tcBorders>
            <w:noWrap/>
            <w:vAlign w:val="bottom"/>
            <w:hideMark/>
          </w:tcPr>
          <w:p w14:paraId="1A57725C" w14:textId="77777777" w:rsidR="007A6A1A" w:rsidRPr="00BB4D6B" w:rsidRDefault="007A6A1A" w:rsidP="00BB4D6B">
            <w:pPr>
              <w:spacing w:after="0" w:line="240" w:lineRule="auto"/>
              <w:rPr>
                <w:sz w:val="20"/>
                <w:szCs w:val="20"/>
              </w:rPr>
            </w:pPr>
            <w:r w:rsidRPr="00BB4D6B">
              <w:rPr>
                <w:sz w:val="20"/>
                <w:szCs w:val="20"/>
              </w:rPr>
              <w:t>2.2%</w:t>
            </w:r>
          </w:p>
        </w:tc>
        <w:tc>
          <w:tcPr>
            <w:tcW w:w="1019" w:type="dxa"/>
            <w:tcBorders>
              <w:top w:val="nil"/>
              <w:left w:val="nil"/>
              <w:bottom w:val="nil"/>
              <w:right w:val="nil"/>
            </w:tcBorders>
            <w:noWrap/>
            <w:vAlign w:val="bottom"/>
            <w:hideMark/>
          </w:tcPr>
          <w:p w14:paraId="27CB00D3" w14:textId="77777777" w:rsidR="007A6A1A" w:rsidRPr="00BB4D6B" w:rsidRDefault="007A6A1A" w:rsidP="00BB4D6B">
            <w:pPr>
              <w:spacing w:after="0" w:line="240" w:lineRule="auto"/>
              <w:rPr>
                <w:sz w:val="20"/>
                <w:szCs w:val="20"/>
              </w:rPr>
            </w:pPr>
            <w:r w:rsidRPr="00BB4D6B">
              <w:rPr>
                <w:sz w:val="20"/>
                <w:szCs w:val="20"/>
              </w:rPr>
              <w:t>7.3%</w:t>
            </w:r>
          </w:p>
        </w:tc>
        <w:tc>
          <w:tcPr>
            <w:tcW w:w="1019" w:type="dxa"/>
            <w:tcBorders>
              <w:top w:val="nil"/>
              <w:left w:val="nil"/>
              <w:bottom w:val="nil"/>
              <w:right w:val="single" w:sz="4" w:space="0" w:color="auto"/>
            </w:tcBorders>
            <w:noWrap/>
            <w:vAlign w:val="bottom"/>
            <w:hideMark/>
          </w:tcPr>
          <w:p w14:paraId="31EB6A7B" w14:textId="77777777" w:rsidR="007A6A1A" w:rsidRPr="00BB4D6B" w:rsidRDefault="007A6A1A" w:rsidP="00BB4D6B">
            <w:pPr>
              <w:spacing w:after="0" w:line="240" w:lineRule="auto"/>
              <w:rPr>
                <w:sz w:val="20"/>
                <w:szCs w:val="20"/>
              </w:rPr>
            </w:pPr>
            <w:r w:rsidRPr="00BB4D6B">
              <w:rPr>
                <w:sz w:val="20"/>
                <w:szCs w:val="20"/>
              </w:rPr>
              <w:t>2.3%</w:t>
            </w:r>
          </w:p>
        </w:tc>
      </w:tr>
      <w:tr w:rsidR="007A6A1A" w:rsidRPr="00167CB8" w14:paraId="64A97024" w14:textId="77777777">
        <w:trPr>
          <w:trHeight w:val="371"/>
        </w:trPr>
        <w:tc>
          <w:tcPr>
            <w:tcW w:w="4160" w:type="dxa"/>
            <w:tcBorders>
              <w:top w:val="nil"/>
              <w:left w:val="single" w:sz="4" w:space="0" w:color="auto"/>
              <w:bottom w:val="nil"/>
              <w:right w:val="nil"/>
            </w:tcBorders>
            <w:vAlign w:val="bottom"/>
            <w:hideMark/>
          </w:tcPr>
          <w:p w14:paraId="2E3DD440" w14:textId="526F5D05" w:rsidR="007A6A1A" w:rsidRPr="00BB4D6B" w:rsidRDefault="007A6A1A" w:rsidP="00BB4D6B">
            <w:pPr>
              <w:spacing w:after="0" w:line="240" w:lineRule="auto"/>
              <w:rPr>
                <w:sz w:val="20"/>
                <w:szCs w:val="20"/>
              </w:rPr>
            </w:pPr>
            <w:r w:rsidRPr="00BB4D6B">
              <w:rPr>
                <w:sz w:val="20"/>
                <w:szCs w:val="20"/>
              </w:rPr>
              <w:t>Information</w:t>
            </w:r>
            <w:r w:rsidR="00A461FB" w:rsidRPr="00BB4D6B">
              <w:rPr>
                <w:sz w:val="20"/>
                <w:szCs w:val="20"/>
              </w:rPr>
              <w:t>,</w:t>
            </w:r>
            <w:r w:rsidRPr="00BB4D6B">
              <w:rPr>
                <w:sz w:val="20"/>
                <w:szCs w:val="20"/>
              </w:rPr>
              <w:t xml:space="preserve"> </w:t>
            </w:r>
            <w:r w:rsidR="00A461FB" w:rsidRPr="00BB4D6B">
              <w:rPr>
                <w:sz w:val="20"/>
                <w:szCs w:val="20"/>
              </w:rPr>
              <w:t>m</w:t>
            </w:r>
            <w:r w:rsidRPr="00BB4D6B">
              <w:rPr>
                <w:sz w:val="20"/>
                <w:szCs w:val="20"/>
              </w:rPr>
              <w:t xml:space="preserve">edia and </w:t>
            </w:r>
            <w:r w:rsidR="00A461FB" w:rsidRPr="00BB4D6B">
              <w:rPr>
                <w:sz w:val="20"/>
                <w:szCs w:val="20"/>
              </w:rPr>
              <w:t>t</w:t>
            </w:r>
            <w:r w:rsidRPr="00BB4D6B">
              <w:rPr>
                <w:sz w:val="20"/>
                <w:szCs w:val="20"/>
              </w:rPr>
              <w:t xml:space="preserve">elecommunications </w:t>
            </w:r>
          </w:p>
        </w:tc>
        <w:tc>
          <w:tcPr>
            <w:tcW w:w="933" w:type="dxa"/>
            <w:tcBorders>
              <w:top w:val="nil"/>
              <w:left w:val="nil"/>
              <w:bottom w:val="nil"/>
              <w:right w:val="nil"/>
            </w:tcBorders>
            <w:noWrap/>
            <w:vAlign w:val="bottom"/>
            <w:hideMark/>
          </w:tcPr>
          <w:p w14:paraId="15047026" w14:textId="77777777" w:rsidR="007A6A1A" w:rsidRPr="00BB4D6B" w:rsidRDefault="007A6A1A" w:rsidP="00BB4D6B">
            <w:pPr>
              <w:spacing w:after="0" w:line="240" w:lineRule="auto"/>
              <w:rPr>
                <w:sz w:val="20"/>
                <w:szCs w:val="20"/>
              </w:rPr>
            </w:pPr>
            <w:r w:rsidRPr="00BB4D6B">
              <w:rPr>
                <w:sz w:val="20"/>
                <w:szCs w:val="20"/>
              </w:rPr>
              <w:t>-15%</w:t>
            </w:r>
          </w:p>
        </w:tc>
        <w:tc>
          <w:tcPr>
            <w:tcW w:w="933" w:type="dxa"/>
            <w:tcBorders>
              <w:top w:val="nil"/>
              <w:left w:val="nil"/>
              <w:bottom w:val="nil"/>
              <w:right w:val="nil"/>
            </w:tcBorders>
            <w:noWrap/>
            <w:vAlign w:val="bottom"/>
            <w:hideMark/>
          </w:tcPr>
          <w:p w14:paraId="664F0D90" w14:textId="77777777" w:rsidR="007A6A1A" w:rsidRPr="00BB4D6B" w:rsidRDefault="007A6A1A" w:rsidP="00BB4D6B">
            <w:pPr>
              <w:spacing w:after="0" w:line="240" w:lineRule="auto"/>
              <w:rPr>
                <w:sz w:val="20"/>
                <w:szCs w:val="20"/>
              </w:rPr>
            </w:pPr>
            <w:r w:rsidRPr="00BB4D6B">
              <w:rPr>
                <w:sz w:val="20"/>
                <w:szCs w:val="20"/>
              </w:rPr>
              <w:t>-14%</w:t>
            </w:r>
          </w:p>
        </w:tc>
        <w:tc>
          <w:tcPr>
            <w:tcW w:w="934" w:type="dxa"/>
            <w:tcBorders>
              <w:top w:val="nil"/>
              <w:left w:val="nil"/>
              <w:bottom w:val="nil"/>
              <w:right w:val="single" w:sz="4" w:space="0" w:color="auto"/>
            </w:tcBorders>
            <w:noWrap/>
            <w:vAlign w:val="bottom"/>
            <w:hideMark/>
          </w:tcPr>
          <w:p w14:paraId="01C82A27" w14:textId="77777777" w:rsidR="007A6A1A" w:rsidRPr="00BB4D6B" w:rsidRDefault="007A6A1A" w:rsidP="00BB4D6B">
            <w:pPr>
              <w:spacing w:after="0" w:line="240" w:lineRule="auto"/>
              <w:rPr>
                <w:sz w:val="20"/>
                <w:szCs w:val="20"/>
              </w:rPr>
            </w:pPr>
            <w:r w:rsidRPr="00BB4D6B">
              <w:rPr>
                <w:sz w:val="20"/>
                <w:szCs w:val="20"/>
              </w:rPr>
              <w:t>-20%</w:t>
            </w:r>
          </w:p>
        </w:tc>
        <w:tc>
          <w:tcPr>
            <w:tcW w:w="1019" w:type="dxa"/>
            <w:tcBorders>
              <w:top w:val="nil"/>
              <w:left w:val="single" w:sz="4" w:space="0" w:color="auto"/>
              <w:bottom w:val="nil"/>
              <w:right w:val="nil"/>
            </w:tcBorders>
            <w:noWrap/>
            <w:vAlign w:val="bottom"/>
            <w:hideMark/>
          </w:tcPr>
          <w:p w14:paraId="7705CFAA" w14:textId="77777777" w:rsidR="007A6A1A" w:rsidRPr="00BB4D6B" w:rsidRDefault="007A6A1A" w:rsidP="00BB4D6B">
            <w:pPr>
              <w:spacing w:after="0" w:line="240" w:lineRule="auto"/>
              <w:rPr>
                <w:sz w:val="20"/>
                <w:szCs w:val="20"/>
              </w:rPr>
            </w:pPr>
            <w:r w:rsidRPr="00BB4D6B">
              <w:rPr>
                <w:sz w:val="20"/>
                <w:szCs w:val="20"/>
              </w:rPr>
              <w:t>-6%</w:t>
            </w:r>
          </w:p>
        </w:tc>
        <w:tc>
          <w:tcPr>
            <w:tcW w:w="1019" w:type="dxa"/>
            <w:tcBorders>
              <w:top w:val="nil"/>
              <w:left w:val="nil"/>
              <w:bottom w:val="nil"/>
              <w:right w:val="nil"/>
            </w:tcBorders>
            <w:noWrap/>
            <w:vAlign w:val="bottom"/>
            <w:hideMark/>
          </w:tcPr>
          <w:p w14:paraId="34FCA120" w14:textId="77777777" w:rsidR="007A6A1A" w:rsidRPr="00BB4D6B" w:rsidRDefault="007A6A1A" w:rsidP="00BB4D6B">
            <w:pPr>
              <w:spacing w:after="0" w:line="240" w:lineRule="auto"/>
              <w:rPr>
                <w:sz w:val="20"/>
                <w:szCs w:val="20"/>
              </w:rPr>
            </w:pPr>
            <w:r w:rsidRPr="00BB4D6B">
              <w:rPr>
                <w:sz w:val="20"/>
                <w:szCs w:val="20"/>
              </w:rPr>
              <w:t>-4%</w:t>
            </w:r>
          </w:p>
        </w:tc>
        <w:tc>
          <w:tcPr>
            <w:tcW w:w="1020" w:type="dxa"/>
            <w:tcBorders>
              <w:top w:val="nil"/>
              <w:left w:val="nil"/>
              <w:bottom w:val="nil"/>
              <w:right w:val="single" w:sz="4" w:space="0" w:color="auto"/>
            </w:tcBorders>
            <w:noWrap/>
            <w:vAlign w:val="bottom"/>
            <w:hideMark/>
          </w:tcPr>
          <w:p w14:paraId="5ABE1679" w14:textId="77777777" w:rsidR="007A6A1A" w:rsidRPr="00BB4D6B" w:rsidRDefault="007A6A1A" w:rsidP="00BB4D6B">
            <w:pPr>
              <w:spacing w:after="0" w:line="240" w:lineRule="auto"/>
              <w:rPr>
                <w:sz w:val="20"/>
                <w:szCs w:val="20"/>
              </w:rPr>
            </w:pPr>
            <w:r w:rsidRPr="00BB4D6B">
              <w:rPr>
                <w:sz w:val="20"/>
                <w:szCs w:val="20"/>
              </w:rPr>
              <w:t>-9%</w:t>
            </w:r>
          </w:p>
        </w:tc>
        <w:tc>
          <w:tcPr>
            <w:tcW w:w="1019" w:type="dxa"/>
            <w:tcBorders>
              <w:top w:val="nil"/>
              <w:left w:val="single" w:sz="4" w:space="0" w:color="auto"/>
              <w:bottom w:val="nil"/>
              <w:right w:val="nil"/>
            </w:tcBorders>
            <w:noWrap/>
            <w:vAlign w:val="bottom"/>
            <w:hideMark/>
          </w:tcPr>
          <w:p w14:paraId="49711598" w14:textId="77777777" w:rsidR="007A6A1A" w:rsidRPr="00BB4D6B" w:rsidRDefault="007A6A1A" w:rsidP="00BB4D6B">
            <w:pPr>
              <w:spacing w:after="0" w:line="240" w:lineRule="auto"/>
              <w:rPr>
                <w:sz w:val="20"/>
                <w:szCs w:val="20"/>
              </w:rPr>
            </w:pPr>
            <w:r w:rsidRPr="00BB4D6B">
              <w:rPr>
                <w:sz w:val="20"/>
                <w:szCs w:val="20"/>
              </w:rPr>
              <w:t>2.2%</w:t>
            </w:r>
          </w:p>
        </w:tc>
        <w:tc>
          <w:tcPr>
            <w:tcW w:w="1019" w:type="dxa"/>
            <w:tcBorders>
              <w:top w:val="nil"/>
              <w:left w:val="nil"/>
              <w:bottom w:val="nil"/>
              <w:right w:val="nil"/>
            </w:tcBorders>
            <w:noWrap/>
            <w:vAlign w:val="bottom"/>
            <w:hideMark/>
          </w:tcPr>
          <w:p w14:paraId="125648CE" w14:textId="77777777" w:rsidR="007A6A1A" w:rsidRPr="00BB4D6B" w:rsidRDefault="007A6A1A" w:rsidP="00BB4D6B">
            <w:pPr>
              <w:spacing w:after="0" w:line="240" w:lineRule="auto"/>
              <w:rPr>
                <w:sz w:val="20"/>
                <w:szCs w:val="20"/>
              </w:rPr>
            </w:pPr>
            <w:r w:rsidRPr="00BB4D6B">
              <w:rPr>
                <w:sz w:val="20"/>
                <w:szCs w:val="20"/>
              </w:rPr>
              <w:t>1.9%</w:t>
            </w:r>
          </w:p>
        </w:tc>
        <w:tc>
          <w:tcPr>
            <w:tcW w:w="1019" w:type="dxa"/>
            <w:tcBorders>
              <w:top w:val="nil"/>
              <w:left w:val="nil"/>
              <w:bottom w:val="nil"/>
              <w:right w:val="nil"/>
            </w:tcBorders>
            <w:noWrap/>
            <w:vAlign w:val="bottom"/>
            <w:hideMark/>
          </w:tcPr>
          <w:p w14:paraId="1333BF7C" w14:textId="77777777" w:rsidR="007A6A1A" w:rsidRPr="00BB4D6B" w:rsidRDefault="007A6A1A" w:rsidP="00BB4D6B">
            <w:pPr>
              <w:spacing w:after="0" w:line="240" w:lineRule="auto"/>
              <w:rPr>
                <w:sz w:val="20"/>
                <w:szCs w:val="20"/>
              </w:rPr>
            </w:pPr>
            <w:r w:rsidRPr="00BB4D6B">
              <w:rPr>
                <w:sz w:val="20"/>
                <w:szCs w:val="20"/>
              </w:rPr>
              <w:t>1.5%</w:t>
            </w:r>
          </w:p>
        </w:tc>
        <w:tc>
          <w:tcPr>
            <w:tcW w:w="1019" w:type="dxa"/>
            <w:tcBorders>
              <w:top w:val="nil"/>
              <w:left w:val="nil"/>
              <w:bottom w:val="nil"/>
              <w:right w:val="single" w:sz="4" w:space="0" w:color="auto"/>
            </w:tcBorders>
            <w:noWrap/>
            <w:vAlign w:val="bottom"/>
            <w:hideMark/>
          </w:tcPr>
          <w:p w14:paraId="4345B7D0" w14:textId="77777777" w:rsidR="007A6A1A" w:rsidRPr="00BB4D6B" w:rsidRDefault="007A6A1A" w:rsidP="00BB4D6B">
            <w:pPr>
              <w:spacing w:after="0" w:line="240" w:lineRule="auto"/>
              <w:rPr>
                <w:sz w:val="20"/>
                <w:szCs w:val="20"/>
              </w:rPr>
            </w:pPr>
            <w:r w:rsidRPr="00BB4D6B">
              <w:rPr>
                <w:sz w:val="20"/>
                <w:szCs w:val="20"/>
              </w:rPr>
              <w:t>1.0%</w:t>
            </w:r>
          </w:p>
        </w:tc>
      </w:tr>
      <w:tr w:rsidR="007A6A1A" w:rsidRPr="00167CB8" w14:paraId="7BF59700" w14:textId="77777777">
        <w:trPr>
          <w:trHeight w:val="371"/>
        </w:trPr>
        <w:tc>
          <w:tcPr>
            <w:tcW w:w="4160" w:type="dxa"/>
            <w:tcBorders>
              <w:top w:val="nil"/>
              <w:left w:val="single" w:sz="4" w:space="0" w:color="auto"/>
              <w:bottom w:val="nil"/>
              <w:right w:val="nil"/>
            </w:tcBorders>
            <w:vAlign w:val="bottom"/>
            <w:hideMark/>
          </w:tcPr>
          <w:p w14:paraId="533FFD27" w14:textId="494A08AB" w:rsidR="007A6A1A" w:rsidRPr="00BB4D6B" w:rsidRDefault="007A6A1A" w:rsidP="00BB4D6B">
            <w:pPr>
              <w:spacing w:after="0" w:line="240" w:lineRule="auto"/>
              <w:rPr>
                <w:sz w:val="20"/>
                <w:szCs w:val="20"/>
              </w:rPr>
            </w:pPr>
            <w:r w:rsidRPr="00BB4D6B">
              <w:rPr>
                <w:sz w:val="20"/>
                <w:szCs w:val="20"/>
              </w:rPr>
              <w:t xml:space="preserve">Financial and </w:t>
            </w:r>
            <w:r w:rsidR="00A461FB" w:rsidRPr="00BB4D6B">
              <w:rPr>
                <w:sz w:val="20"/>
                <w:szCs w:val="20"/>
              </w:rPr>
              <w:t>i</w:t>
            </w:r>
            <w:r w:rsidRPr="00BB4D6B">
              <w:rPr>
                <w:sz w:val="20"/>
                <w:szCs w:val="20"/>
              </w:rPr>
              <w:t xml:space="preserve">nsurance </w:t>
            </w:r>
            <w:r w:rsidR="00A461FB" w:rsidRPr="00BB4D6B">
              <w:rPr>
                <w:sz w:val="20"/>
                <w:szCs w:val="20"/>
              </w:rPr>
              <w:t>s</w:t>
            </w:r>
            <w:r w:rsidRPr="00BB4D6B">
              <w:rPr>
                <w:sz w:val="20"/>
                <w:szCs w:val="20"/>
              </w:rPr>
              <w:t>ervices</w:t>
            </w:r>
          </w:p>
        </w:tc>
        <w:tc>
          <w:tcPr>
            <w:tcW w:w="933" w:type="dxa"/>
            <w:tcBorders>
              <w:top w:val="nil"/>
              <w:left w:val="nil"/>
              <w:bottom w:val="nil"/>
              <w:right w:val="nil"/>
            </w:tcBorders>
            <w:noWrap/>
            <w:vAlign w:val="bottom"/>
            <w:hideMark/>
          </w:tcPr>
          <w:p w14:paraId="58DFA678" w14:textId="77777777" w:rsidR="007A6A1A" w:rsidRPr="00BB4D6B" w:rsidRDefault="007A6A1A" w:rsidP="00BB4D6B">
            <w:pPr>
              <w:spacing w:after="0" w:line="240" w:lineRule="auto"/>
              <w:rPr>
                <w:sz w:val="20"/>
                <w:szCs w:val="20"/>
              </w:rPr>
            </w:pPr>
            <w:r w:rsidRPr="00BB4D6B">
              <w:rPr>
                <w:sz w:val="20"/>
                <w:szCs w:val="20"/>
              </w:rPr>
              <w:t>27%</w:t>
            </w:r>
          </w:p>
        </w:tc>
        <w:tc>
          <w:tcPr>
            <w:tcW w:w="933" w:type="dxa"/>
            <w:tcBorders>
              <w:top w:val="nil"/>
              <w:left w:val="nil"/>
              <w:bottom w:val="nil"/>
              <w:right w:val="nil"/>
            </w:tcBorders>
            <w:noWrap/>
            <w:vAlign w:val="bottom"/>
            <w:hideMark/>
          </w:tcPr>
          <w:p w14:paraId="1702399D" w14:textId="77777777" w:rsidR="007A6A1A" w:rsidRPr="00BB4D6B" w:rsidRDefault="007A6A1A" w:rsidP="00BB4D6B">
            <w:pPr>
              <w:spacing w:after="0" w:line="240" w:lineRule="auto"/>
              <w:rPr>
                <w:sz w:val="20"/>
                <w:szCs w:val="20"/>
              </w:rPr>
            </w:pPr>
            <w:r w:rsidRPr="00BB4D6B">
              <w:rPr>
                <w:sz w:val="20"/>
                <w:szCs w:val="20"/>
              </w:rPr>
              <w:t>27%</w:t>
            </w:r>
          </w:p>
        </w:tc>
        <w:tc>
          <w:tcPr>
            <w:tcW w:w="934" w:type="dxa"/>
            <w:tcBorders>
              <w:top w:val="nil"/>
              <w:left w:val="nil"/>
              <w:bottom w:val="nil"/>
              <w:right w:val="single" w:sz="4" w:space="0" w:color="auto"/>
            </w:tcBorders>
            <w:noWrap/>
            <w:vAlign w:val="bottom"/>
            <w:hideMark/>
          </w:tcPr>
          <w:p w14:paraId="4B6904B7" w14:textId="77777777" w:rsidR="007A6A1A" w:rsidRPr="00BB4D6B" w:rsidRDefault="007A6A1A" w:rsidP="00BB4D6B">
            <w:pPr>
              <w:spacing w:after="0" w:line="240" w:lineRule="auto"/>
              <w:rPr>
                <w:sz w:val="20"/>
                <w:szCs w:val="20"/>
              </w:rPr>
            </w:pPr>
            <w:r w:rsidRPr="00BB4D6B">
              <w:rPr>
                <w:sz w:val="20"/>
                <w:szCs w:val="20"/>
              </w:rPr>
              <w:t>26%</w:t>
            </w:r>
          </w:p>
        </w:tc>
        <w:tc>
          <w:tcPr>
            <w:tcW w:w="1019" w:type="dxa"/>
            <w:tcBorders>
              <w:top w:val="nil"/>
              <w:left w:val="single" w:sz="4" w:space="0" w:color="auto"/>
              <w:bottom w:val="nil"/>
              <w:right w:val="nil"/>
            </w:tcBorders>
            <w:noWrap/>
            <w:vAlign w:val="bottom"/>
            <w:hideMark/>
          </w:tcPr>
          <w:p w14:paraId="16E6C1AA" w14:textId="77777777" w:rsidR="007A6A1A" w:rsidRPr="00BB4D6B" w:rsidRDefault="007A6A1A" w:rsidP="00BB4D6B">
            <w:pPr>
              <w:spacing w:after="0" w:line="240" w:lineRule="auto"/>
              <w:rPr>
                <w:sz w:val="20"/>
                <w:szCs w:val="20"/>
              </w:rPr>
            </w:pPr>
            <w:r w:rsidRPr="00BB4D6B">
              <w:rPr>
                <w:sz w:val="20"/>
                <w:szCs w:val="20"/>
              </w:rPr>
              <w:t>0%</w:t>
            </w:r>
          </w:p>
        </w:tc>
        <w:tc>
          <w:tcPr>
            <w:tcW w:w="1019" w:type="dxa"/>
            <w:tcBorders>
              <w:top w:val="nil"/>
              <w:left w:val="nil"/>
              <w:bottom w:val="nil"/>
              <w:right w:val="nil"/>
            </w:tcBorders>
            <w:noWrap/>
            <w:vAlign w:val="bottom"/>
            <w:hideMark/>
          </w:tcPr>
          <w:p w14:paraId="2DA060CA" w14:textId="77777777" w:rsidR="007A6A1A" w:rsidRPr="00BB4D6B" w:rsidRDefault="007A6A1A" w:rsidP="00BB4D6B">
            <w:pPr>
              <w:spacing w:after="0" w:line="240" w:lineRule="auto"/>
              <w:rPr>
                <w:sz w:val="20"/>
                <w:szCs w:val="20"/>
              </w:rPr>
            </w:pPr>
            <w:r w:rsidRPr="00BB4D6B">
              <w:rPr>
                <w:sz w:val="20"/>
                <w:szCs w:val="20"/>
              </w:rPr>
              <w:t>2%</w:t>
            </w:r>
          </w:p>
        </w:tc>
        <w:tc>
          <w:tcPr>
            <w:tcW w:w="1020" w:type="dxa"/>
            <w:tcBorders>
              <w:top w:val="nil"/>
              <w:left w:val="nil"/>
              <w:bottom w:val="nil"/>
              <w:right w:val="single" w:sz="4" w:space="0" w:color="auto"/>
            </w:tcBorders>
            <w:noWrap/>
            <w:vAlign w:val="bottom"/>
            <w:hideMark/>
          </w:tcPr>
          <w:p w14:paraId="7CADEA8A" w14:textId="77777777" w:rsidR="007A6A1A" w:rsidRPr="00BB4D6B" w:rsidRDefault="007A6A1A" w:rsidP="00BB4D6B">
            <w:pPr>
              <w:spacing w:after="0" w:line="240" w:lineRule="auto"/>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370BA313" w14:textId="77777777" w:rsidR="007A6A1A" w:rsidRPr="00BB4D6B" w:rsidRDefault="007A6A1A" w:rsidP="00BB4D6B">
            <w:pPr>
              <w:spacing w:after="0" w:line="240" w:lineRule="auto"/>
              <w:rPr>
                <w:sz w:val="20"/>
                <w:szCs w:val="20"/>
              </w:rPr>
            </w:pPr>
            <w:r w:rsidRPr="00BB4D6B">
              <w:rPr>
                <w:sz w:val="20"/>
                <w:szCs w:val="20"/>
              </w:rPr>
              <w:t>3.3%</w:t>
            </w:r>
          </w:p>
        </w:tc>
        <w:tc>
          <w:tcPr>
            <w:tcW w:w="1019" w:type="dxa"/>
            <w:tcBorders>
              <w:top w:val="nil"/>
              <w:left w:val="nil"/>
              <w:bottom w:val="nil"/>
              <w:right w:val="nil"/>
            </w:tcBorders>
            <w:noWrap/>
            <w:vAlign w:val="bottom"/>
            <w:hideMark/>
          </w:tcPr>
          <w:p w14:paraId="547BDBF4" w14:textId="77777777" w:rsidR="007A6A1A" w:rsidRPr="00BB4D6B" w:rsidRDefault="007A6A1A" w:rsidP="00BB4D6B">
            <w:pPr>
              <w:spacing w:after="0" w:line="240" w:lineRule="auto"/>
              <w:rPr>
                <w:sz w:val="20"/>
                <w:szCs w:val="20"/>
              </w:rPr>
            </w:pPr>
            <w:r w:rsidRPr="00BB4D6B">
              <w:rPr>
                <w:sz w:val="20"/>
                <w:szCs w:val="20"/>
              </w:rPr>
              <w:t>4.2%</w:t>
            </w:r>
          </w:p>
        </w:tc>
        <w:tc>
          <w:tcPr>
            <w:tcW w:w="1019" w:type="dxa"/>
            <w:tcBorders>
              <w:top w:val="nil"/>
              <w:left w:val="nil"/>
              <w:bottom w:val="nil"/>
              <w:right w:val="nil"/>
            </w:tcBorders>
            <w:noWrap/>
            <w:vAlign w:val="bottom"/>
            <w:hideMark/>
          </w:tcPr>
          <w:p w14:paraId="2EB2077E" w14:textId="77777777" w:rsidR="007A6A1A" w:rsidRPr="00BB4D6B" w:rsidRDefault="007A6A1A" w:rsidP="00BB4D6B">
            <w:pPr>
              <w:spacing w:after="0" w:line="240" w:lineRule="auto"/>
              <w:rPr>
                <w:sz w:val="20"/>
                <w:szCs w:val="20"/>
              </w:rPr>
            </w:pPr>
            <w:r w:rsidRPr="00BB4D6B">
              <w:rPr>
                <w:sz w:val="20"/>
                <w:szCs w:val="20"/>
              </w:rPr>
              <w:t>3.5%</w:t>
            </w:r>
          </w:p>
        </w:tc>
        <w:tc>
          <w:tcPr>
            <w:tcW w:w="1019" w:type="dxa"/>
            <w:tcBorders>
              <w:top w:val="nil"/>
              <w:left w:val="nil"/>
              <w:bottom w:val="nil"/>
              <w:right w:val="single" w:sz="4" w:space="0" w:color="auto"/>
            </w:tcBorders>
            <w:noWrap/>
            <w:vAlign w:val="bottom"/>
            <w:hideMark/>
          </w:tcPr>
          <w:p w14:paraId="7ED63D2B" w14:textId="77777777" w:rsidR="007A6A1A" w:rsidRPr="00BB4D6B" w:rsidRDefault="007A6A1A" w:rsidP="00BB4D6B">
            <w:pPr>
              <w:spacing w:after="0" w:line="240" w:lineRule="auto"/>
              <w:rPr>
                <w:sz w:val="20"/>
                <w:szCs w:val="20"/>
              </w:rPr>
            </w:pPr>
            <w:r w:rsidRPr="00BB4D6B">
              <w:rPr>
                <w:sz w:val="20"/>
                <w:szCs w:val="20"/>
              </w:rPr>
              <w:t>3.9%</w:t>
            </w:r>
          </w:p>
        </w:tc>
      </w:tr>
      <w:tr w:rsidR="007A6A1A" w:rsidRPr="00167CB8" w14:paraId="098EA263" w14:textId="77777777">
        <w:trPr>
          <w:trHeight w:val="371"/>
        </w:trPr>
        <w:tc>
          <w:tcPr>
            <w:tcW w:w="4160" w:type="dxa"/>
            <w:tcBorders>
              <w:top w:val="nil"/>
              <w:left w:val="single" w:sz="4" w:space="0" w:color="auto"/>
              <w:bottom w:val="nil"/>
              <w:right w:val="nil"/>
            </w:tcBorders>
            <w:vAlign w:val="bottom"/>
            <w:hideMark/>
          </w:tcPr>
          <w:p w14:paraId="17AEC8EC" w14:textId="68F312EF" w:rsidR="007A6A1A" w:rsidRPr="00BB4D6B" w:rsidRDefault="007A6A1A" w:rsidP="00BB4D6B">
            <w:pPr>
              <w:spacing w:after="0" w:line="240" w:lineRule="auto"/>
              <w:rPr>
                <w:sz w:val="20"/>
                <w:szCs w:val="20"/>
              </w:rPr>
            </w:pPr>
            <w:r w:rsidRPr="00BB4D6B">
              <w:rPr>
                <w:sz w:val="20"/>
                <w:szCs w:val="20"/>
              </w:rPr>
              <w:t xml:space="preserve">Rental, </w:t>
            </w:r>
            <w:r w:rsidR="00A461FB" w:rsidRPr="00BB4D6B">
              <w:rPr>
                <w:sz w:val="20"/>
                <w:szCs w:val="20"/>
              </w:rPr>
              <w:t>h</w:t>
            </w:r>
            <w:r w:rsidRPr="00BB4D6B">
              <w:rPr>
                <w:sz w:val="20"/>
                <w:szCs w:val="20"/>
              </w:rPr>
              <w:t xml:space="preserve">iring and </w:t>
            </w:r>
            <w:r w:rsidR="00A461FB" w:rsidRPr="00BB4D6B">
              <w:rPr>
                <w:sz w:val="20"/>
                <w:szCs w:val="20"/>
              </w:rPr>
              <w:t>r</w:t>
            </w:r>
            <w:r w:rsidRPr="00BB4D6B">
              <w:rPr>
                <w:sz w:val="20"/>
                <w:szCs w:val="20"/>
              </w:rPr>
              <w:t xml:space="preserve">eal </w:t>
            </w:r>
            <w:r w:rsidR="00A461FB" w:rsidRPr="00BB4D6B">
              <w:rPr>
                <w:sz w:val="20"/>
                <w:szCs w:val="20"/>
              </w:rPr>
              <w:t>e</w:t>
            </w:r>
            <w:r w:rsidRPr="00BB4D6B">
              <w:rPr>
                <w:sz w:val="20"/>
                <w:szCs w:val="20"/>
              </w:rPr>
              <w:t xml:space="preserve">state </w:t>
            </w:r>
            <w:r w:rsidR="00A461FB" w:rsidRPr="00BB4D6B">
              <w:rPr>
                <w:sz w:val="20"/>
                <w:szCs w:val="20"/>
              </w:rPr>
              <w:t>s</w:t>
            </w:r>
            <w:r w:rsidRPr="00BB4D6B">
              <w:rPr>
                <w:sz w:val="20"/>
                <w:szCs w:val="20"/>
              </w:rPr>
              <w:t xml:space="preserve">ervices </w:t>
            </w:r>
          </w:p>
        </w:tc>
        <w:tc>
          <w:tcPr>
            <w:tcW w:w="933" w:type="dxa"/>
            <w:tcBorders>
              <w:top w:val="nil"/>
              <w:left w:val="nil"/>
              <w:bottom w:val="nil"/>
              <w:right w:val="nil"/>
            </w:tcBorders>
            <w:noWrap/>
            <w:vAlign w:val="bottom"/>
            <w:hideMark/>
          </w:tcPr>
          <w:p w14:paraId="275ECB32" w14:textId="77777777" w:rsidR="007A6A1A" w:rsidRPr="00BB4D6B" w:rsidRDefault="007A6A1A" w:rsidP="00BB4D6B">
            <w:pPr>
              <w:spacing w:after="0" w:line="240" w:lineRule="auto"/>
              <w:rPr>
                <w:sz w:val="20"/>
                <w:szCs w:val="20"/>
              </w:rPr>
            </w:pPr>
            <w:r w:rsidRPr="00BB4D6B">
              <w:rPr>
                <w:sz w:val="20"/>
                <w:szCs w:val="20"/>
              </w:rPr>
              <w:t>14%</w:t>
            </w:r>
          </w:p>
        </w:tc>
        <w:tc>
          <w:tcPr>
            <w:tcW w:w="933" w:type="dxa"/>
            <w:tcBorders>
              <w:top w:val="nil"/>
              <w:left w:val="nil"/>
              <w:bottom w:val="nil"/>
              <w:right w:val="nil"/>
            </w:tcBorders>
            <w:noWrap/>
            <w:vAlign w:val="bottom"/>
            <w:hideMark/>
          </w:tcPr>
          <w:p w14:paraId="7AA5FF3F" w14:textId="77777777" w:rsidR="007A6A1A" w:rsidRPr="00BB4D6B" w:rsidRDefault="007A6A1A" w:rsidP="00BB4D6B">
            <w:pPr>
              <w:spacing w:after="0" w:line="240" w:lineRule="auto"/>
              <w:rPr>
                <w:sz w:val="20"/>
                <w:szCs w:val="20"/>
              </w:rPr>
            </w:pPr>
            <w:r w:rsidRPr="00BB4D6B">
              <w:rPr>
                <w:sz w:val="20"/>
                <w:szCs w:val="20"/>
              </w:rPr>
              <w:t>4%</w:t>
            </w:r>
          </w:p>
        </w:tc>
        <w:tc>
          <w:tcPr>
            <w:tcW w:w="934" w:type="dxa"/>
            <w:tcBorders>
              <w:top w:val="nil"/>
              <w:left w:val="nil"/>
              <w:bottom w:val="nil"/>
              <w:right w:val="single" w:sz="4" w:space="0" w:color="auto"/>
            </w:tcBorders>
            <w:noWrap/>
            <w:vAlign w:val="bottom"/>
            <w:hideMark/>
          </w:tcPr>
          <w:p w14:paraId="4D3E1C08" w14:textId="77777777" w:rsidR="007A6A1A" w:rsidRPr="00BB4D6B" w:rsidRDefault="007A6A1A" w:rsidP="00BB4D6B">
            <w:pPr>
              <w:spacing w:after="0" w:line="240" w:lineRule="auto"/>
              <w:rPr>
                <w:sz w:val="20"/>
                <w:szCs w:val="20"/>
              </w:rPr>
            </w:pPr>
            <w:r w:rsidRPr="00BB4D6B">
              <w:rPr>
                <w:sz w:val="20"/>
                <w:szCs w:val="20"/>
              </w:rPr>
              <w:t>27%</w:t>
            </w:r>
          </w:p>
        </w:tc>
        <w:tc>
          <w:tcPr>
            <w:tcW w:w="1019" w:type="dxa"/>
            <w:tcBorders>
              <w:top w:val="nil"/>
              <w:left w:val="single" w:sz="4" w:space="0" w:color="auto"/>
              <w:bottom w:val="nil"/>
              <w:right w:val="nil"/>
            </w:tcBorders>
            <w:noWrap/>
            <w:vAlign w:val="bottom"/>
            <w:hideMark/>
          </w:tcPr>
          <w:p w14:paraId="62C63A64" w14:textId="77777777" w:rsidR="007A6A1A" w:rsidRPr="00BB4D6B" w:rsidRDefault="007A6A1A" w:rsidP="00BB4D6B">
            <w:pPr>
              <w:spacing w:after="0" w:line="240" w:lineRule="auto"/>
              <w:rPr>
                <w:sz w:val="20"/>
                <w:szCs w:val="20"/>
              </w:rPr>
            </w:pPr>
            <w:r w:rsidRPr="00BB4D6B">
              <w:rPr>
                <w:sz w:val="20"/>
                <w:szCs w:val="20"/>
              </w:rPr>
              <w:t>11%</w:t>
            </w:r>
          </w:p>
        </w:tc>
        <w:tc>
          <w:tcPr>
            <w:tcW w:w="1019" w:type="dxa"/>
            <w:tcBorders>
              <w:top w:val="nil"/>
              <w:left w:val="nil"/>
              <w:bottom w:val="nil"/>
              <w:right w:val="nil"/>
            </w:tcBorders>
            <w:noWrap/>
            <w:vAlign w:val="bottom"/>
            <w:hideMark/>
          </w:tcPr>
          <w:p w14:paraId="69BB0636" w14:textId="77777777" w:rsidR="007A6A1A" w:rsidRPr="00BB4D6B" w:rsidRDefault="007A6A1A" w:rsidP="00BB4D6B">
            <w:pPr>
              <w:spacing w:after="0" w:line="240" w:lineRule="auto"/>
              <w:rPr>
                <w:sz w:val="20"/>
                <w:szCs w:val="20"/>
              </w:rPr>
            </w:pPr>
            <w:r w:rsidRPr="00BB4D6B">
              <w:rPr>
                <w:sz w:val="20"/>
                <w:szCs w:val="20"/>
              </w:rPr>
              <w:t>21%</w:t>
            </w:r>
          </w:p>
        </w:tc>
        <w:tc>
          <w:tcPr>
            <w:tcW w:w="1020" w:type="dxa"/>
            <w:tcBorders>
              <w:top w:val="nil"/>
              <w:left w:val="nil"/>
              <w:bottom w:val="nil"/>
              <w:right w:val="single" w:sz="4" w:space="0" w:color="auto"/>
            </w:tcBorders>
            <w:noWrap/>
            <w:vAlign w:val="bottom"/>
            <w:hideMark/>
          </w:tcPr>
          <w:p w14:paraId="46EA376F" w14:textId="77777777" w:rsidR="007A6A1A" w:rsidRPr="00BB4D6B" w:rsidRDefault="007A6A1A" w:rsidP="00BB4D6B">
            <w:pPr>
              <w:spacing w:after="0" w:line="240" w:lineRule="auto"/>
              <w:rPr>
                <w:sz w:val="20"/>
                <w:szCs w:val="20"/>
              </w:rPr>
            </w:pPr>
            <w:r w:rsidRPr="00BB4D6B">
              <w:rPr>
                <w:sz w:val="20"/>
                <w:szCs w:val="20"/>
              </w:rPr>
              <w:t>3%</w:t>
            </w:r>
          </w:p>
        </w:tc>
        <w:tc>
          <w:tcPr>
            <w:tcW w:w="1019" w:type="dxa"/>
            <w:tcBorders>
              <w:top w:val="nil"/>
              <w:left w:val="single" w:sz="4" w:space="0" w:color="auto"/>
              <w:bottom w:val="nil"/>
              <w:right w:val="nil"/>
            </w:tcBorders>
            <w:noWrap/>
            <w:vAlign w:val="bottom"/>
            <w:hideMark/>
          </w:tcPr>
          <w:p w14:paraId="225D73CB" w14:textId="77777777" w:rsidR="007A6A1A" w:rsidRPr="00BB4D6B" w:rsidRDefault="007A6A1A" w:rsidP="00BB4D6B">
            <w:pPr>
              <w:spacing w:after="0" w:line="240" w:lineRule="auto"/>
              <w:rPr>
                <w:sz w:val="20"/>
                <w:szCs w:val="20"/>
              </w:rPr>
            </w:pPr>
            <w:r w:rsidRPr="00BB4D6B">
              <w:rPr>
                <w:sz w:val="20"/>
                <w:szCs w:val="20"/>
              </w:rPr>
              <w:t>1.7%</w:t>
            </w:r>
          </w:p>
        </w:tc>
        <w:tc>
          <w:tcPr>
            <w:tcW w:w="1019" w:type="dxa"/>
            <w:tcBorders>
              <w:top w:val="nil"/>
              <w:left w:val="nil"/>
              <w:bottom w:val="nil"/>
              <w:right w:val="nil"/>
            </w:tcBorders>
            <w:noWrap/>
            <w:vAlign w:val="bottom"/>
            <w:hideMark/>
          </w:tcPr>
          <w:p w14:paraId="762FFDBF"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nil"/>
              <w:left w:val="nil"/>
              <w:bottom w:val="nil"/>
              <w:right w:val="nil"/>
            </w:tcBorders>
            <w:noWrap/>
            <w:vAlign w:val="bottom"/>
            <w:hideMark/>
          </w:tcPr>
          <w:p w14:paraId="2A2681C6"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nil"/>
              <w:left w:val="nil"/>
              <w:bottom w:val="nil"/>
              <w:right w:val="single" w:sz="4" w:space="0" w:color="auto"/>
            </w:tcBorders>
            <w:noWrap/>
            <w:vAlign w:val="bottom"/>
            <w:hideMark/>
          </w:tcPr>
          <w:p w14:paraId="224D464C" w14:textId="77777777" w:rsidR="007A6A1A" w:rsidRPr="00BB4D6B" w:rsidRDefault="007A6A1A" w:rsidP="00BB4D6B">
            <w:pPr>
              <w:spacing w:after="0" w:line="240" w:lineRule="auto"/>
              <w:rPr>
                <w:sz w:val="20"/>
                <w:szCs w:val="20"/>
              </w:rPr>
            </w:pPr>
            <w:r w:rsidRPr="00BB4D6B">
              <w:rPr>
                <w:sz w:val="20"/>
                <w:szCs w:val="20"/>
              </w:rPr>
              <w:t>1.8%</w:t>
            </w:r>
          </w:p>
        </w:tc>
      </w:tr>
      <w:tr w:rsidR="007A6A1A" w:rsidRPr="00167CB8" w14:paraId="454BE497" w14:textId="77777777">
        <w:trPr>
          <w:trHeight w:val="371"/>
        </w:trPr>
        <w:tc>
          <w:tcPr>
            <w:tcW w:w="4160" w:type="dxa"/>
            <w:tcBorders>
              <w:top w:val="nil"/>
              <w:left w:val="single" w:sz="4" w:space="0" w:color="auto"/>
              <w:bottom w:val="nil"/>
              <w:right w:val="nil"/>
            </w:tcBorders>
            <w:vAlign w:val="bottom"/>
            <w:hideMark/>
          </w:tcPr>
          <w:p w14:paraId="3FF85C19" w14:textId="76CAB2CA" w:rsidR="007A6A1A" w:rsidRPr="00BB4D6B" w:rsidRDefault="007A6A1A" w:rsidP="00BB4D6B">
            <w:pPr>
              <w:spacing w:after="0" w:line="240" w:lineRule="auto"/>
              <w:rPr>
                <w:sz w:val="20"/>
                <w:szCs w:val="20"/>
              </w:rPr>
            </w:pPr>
            <w:r w:rsidRPr="00BB4D6B">
              <w:rPr>
                <w:sz w:val="20"/>
                <w:szCs w:val="20"/>
              </w:rPr>
              <w:t xml:space="preserve">Professional, </w:t>
            </w:r>
            <w:r w:rsidR="00A461FB" w:rsidRPr="00BB4D6B">
              <w:rPr>
                <w:sz w:val="20"/>
                <w:szCs w:val="20"/>
              </w:rPr>
              <w:t>s</w:t>
            </w:r>
            <w:r w:rsidRPr="00BB4D6B">
              <w:rPr>
                <w:sz w:val="20"/>
                <w:szCs w:val="20"/>
              </w:rPr>
              <w:t xml:space="preserve">cientific and </w:t>
            </w:r>
            <w:r w:rsidR="00A461FB" w:rsidRPr="00BB4D6B">
              <w:rPr>
                <w:sz w:val="20"/>
                <w:szCs w:val="20"/>
              </w:rPr>
              <w:t>t</w:t>
            </w:r>
            <w:r w:rsidRPr="00BB4D6B">
              <w:rPr>
                <w:sz w:val="20"/>
                <w:szCs w:val="20"/>
              </w:rPr>
              <w:t xml:space="preserve">echnical </w:t>
            </w:r>
            <w:r w:rsidR="00A461FB" w:rsidRPr="00BB4D6B">
              <w:rPr>
                <w:sz w:val="20"/>
                <w:szCs w:val="20"/>
              </w:rPr>
              <w:t>s</w:t>
            </w:r>
            <w:r w:rsidRPr="00BB4D6B">
              <w:rPr>
                <w:sz w:val="20"/>
                <w:szCs w:val="20"/>
              </w:rPr>
              <w:t>ervices</w:t>
            </w:r>
          </w:p>
        </w:tc>
        <w:tc>
          <w:tcPr>
            <w:tcW w:w="933" w:type="dxa"/>
            <w:tcBorders>
              <w:top w:val="nil"/>
              <w:left w:val="nil"/>
              <w:bottom w:val="nil"/>
              <w:right w:val="nil"/>
            </w:tcBorders>
            <w:noWrap/>
            <w:vAlign w:val="bottom"/>
            <w:hideMark/>
          </w:tcPr>
          <w:p w14:paraId="35F20466" w14:textId="77777777" w:rsidR="007A6A1A" w:rsidRPr="00BB4D6B" w:rsidRDefault="007A6A1A" w:rsidP="00BB4D6B">
            <w:pPr>
              <w:spacing w:after="0" w:line="240" w:lineRule="auto"/>
              <w:rPr>
                <w:sz w:val="20"/>
                <w:szCs w:val="20"/>
              </w:rPr>
            </w:pPr>
            <w:r w:rsidRPr="00BB4D6B">
              <w:rPr>
                <w:sz w:val="20"/>
                <w:szCs w:val="20"/>
              </w:rPr>
              <w:t>42%</w:t>
            </w:r>
          </w:p>
        </w:tc>
        <w:tc>
          <w:tcPr>
            <w:tcW w:w="933" w:type="dxa"/>
            <w:tcBorders>
              <w:top w:val="nil"/>
              <w:left w:val="nil"/>
              <w:bottom w:val="nil"/>
              <w:right w:val="nil"/>
            </w:tcBorders>
            <w:noWrap/>
            <w:vAlign w:val="bottom"/>
            <w:hideMark/>
          </w:tcPr>
          <w:p w14:paraId="209F8450" w14:textId="77777777" w:rsidR="007A6A1A" w:rsidRPr="00BB4D6B" w:rsidRDefault="007A6A1A" w:rsidP="00BB4D6B">
            <w:pPr>
              <w:spacing w:after="0" w:line="240" w:lineRule="auto"/>
              <w:rPr>
                <w:sz w:val="20"/>
                <w:szCs w:val="20"/>
              </w:rPr>
            </w:pPr>
            <w:r w:rsidRPr="00BB4D6B">
              <w:rPr>
                <w:sz w:val="20"/>
                <w:szCs w:val="20"/>
              </w:rPr>
              <w:t>41%</w:t>
            </w:r>
          </w:p>
        </w:tc>
        <w:tc>
          <w:tcPr>
            <w:tcW w:w="934" w:type="dxa"/>
            <w:tcBorders>
              <w:top w:val="nil"/>
              <w:left w:val="nil"/>
              <w:bottom w:val="nil"/>
              <w:right w:val="single" w:sz="4" w:space="0" w:color="auto"/>
            </w:tcBorders>
            <w:noWrap/>
            <w:vAlign w:val="bottom"/>
            <w:hideMark/>
          </w:tcPr>
          <w:p w14:paraId="22A3C0F0" w14:textId="77777777" w:rsidR="007A6A1A" w:rsidRPr="00BB4D6B" w:rsidRDefault="007A6A1A" w:rsidP="00BB4D6B">
            <w:pPr>
              <w:spacing w:after="0" w:line="240" w:lineRule="auto"/>
              <w:rPr>
                <w:sz w:val="20"/>
                <w:szCs w:val="20"/>
              </w:rPr>
            </w:pPr>
            <w:r w:rsidRPr="00BB4D6B">
              <w:rPr>
                <w:sz w:val="20"/>
                <w:szCs w:val="20"/>
              </w:rPr>
              <w:t>37%</w:t>
            </w:r>
          </w:p>
        </w:tc>
        <w:tc>
          <w:tcPr>
            <w:tcW w:w="1019" w:type="dxa"/>
            <w:tcBorders>
              <w:top w:val="nil"/>
              <w:left w:val="single" w:sz="4" w:space="0" w:color="auto"/>
              <w:bottom w:val="nil"/>
              <w:right w:val="nil"/>
            </w:tcBorders>
            <w:noWrap/>
            <w:vAlign w:val="bottom"/>
            <w:hideMark/>
          </w:tcPr>
          <w:p w14:paraId="7F2D82C9" w14:textId="77777777" w:rsidR="007A6A1A" w:rsidRPr="00BB4D6B" w:rsidRDefault="007A6A1A" w:rsidP="00BB4D6B">
            <w:pPr>
              <w:spacing w:after="0" w:line="240" w:lineRule="auto"/>
              <w:rPr>
                <w:sz w:val="20"/>
                <w:szCs w:val="20"/>
              </w:rPr>
            </w:pPr>
            <w:r w:rsidRPr="00BB4D6B">
              <w:rPr>
                <w:sz w:val="20"/>
                <w:szCs w:val="20"/>
              </w:rPr>
              <w:t>3%</w:t>
            </w:r>
          </w:p>
        </w:tc>
        <w:tc>
          <w:tcPr>
            <w:tcW w:w="1019" w:type="dxa"/>
            <w:tcBorders>
              <w:top w:val="nil"/>
              <w:left w:val="nil"/>
              <w:bottom w:val="nil"/>
              <w:right w:val="nil"/>
            </w:tcBorders>
            <w:noWrap/>
            <w:vAlign w:val="bottom"/>
            <w:hideMark/>
          </w:tcPr>
          <w:p w14:paraId="0FFF63CA" w14:textId="77777777" w:rsidR="007A6A1A" w:rsidRPr="00BB4D6B" w:rsidRDefault="007A6A1A" w:rsidP="00BB4D6B">
            <w:pPr>
              <w:spacing w:after="0" w:line="240" w:lineRule="auto"/>
              <w:rPr>
                <w:sz w:val="20"/>
                <w:szCs w:val="20"/>
              </w:rPr>
            </w:pPr>
            <w:r w:rsidRPr="00BB4D6B">
              <w:rPr>
                <w:sz w:val="20"/>
                <w:szCs w:val="20"/>
              </w:rPr>
              <w:t>2%</w:t>
            </w:r>
          </w:p>
        </w:tc>
        <w:tc>
          <w:tcPr>
            <w:tcW w:w="1020" w:type="dxa"/>
            <w:tcBorders>
              <w:top w:val="nil"/>
              <w:left w:val="nil"/>
              <w:bottom w:val="nil"/>
              <w:right w:val="single" w:sz="4" w:space="0" w:color="auto"/>
            </w:tcBorders>
            <w:noWrap/>
            <w:vAlign w:val="bottom"/>
            <w:hideMark/>
          </w:tcPr>
          <w:p w14:paraId="53A3FF25" w14:textId="77777777" w:rsidR="007A6A1A" w:rsidRPr="00BB4D6B" w:rsidRDefault="007A6A1A" w:rsidP="00BB4D6B">
            <w:pPr>
              <w:spacing w:after="0" w:line="240" w:lineRule="auto"/>
              <w:rPr>
                <w:sz w:val="20"/>
                <w:szCs w:val="20"/>
              </w:rPr>
            </w:pPr>
            <w:r w:rsidRPr="00BB4D6B">
              <w:rPr>
                <w:sz w:val="20"/>
                <w:szCs w:val="20"/>
              </w:rPr>
              <w:t>4%</w:t>
            </w:r>
          </w:p>
        </w:tc>
        <w:tc>
          <w:tcPr>
            <w:tcW w:w="1019" w:type="dxa"/>
            <w:tcBorders>
              <w:top w:val="nil"/>
              <w:left w:val="single" w:sz="4" w:space="0" w:color="auto"/>
              <w:bottom w:val="nil"/>
              <w:right w:val="nil"/>
            </w:tcBorders>
            <w:noWrap/>
            <w:vAlign w:val="bottom"/>
            <w:hideMark/>
          </w:tcPr>
          <w:p w14:paraId="55800236" w14:textId="77777777" w:rsidR="007A6A1A" w:rsidRPr="00BB4D6B" w:rsidRDefault="007A6A1A" w:rsidP="00BB4D6B">
            <w:pPr>
              <w:spacing w:after="0" w:line="240" w:lineRule="auto"/>
              <w:rPr>
                <w:sz w:val="20"/>
                <w:szCs w:val="20"/>
              </w:rPr>
            </w:pPr>
            <w:r w:rsidRPr="00BB4D6B">
              <w:rPr>
                <w:sz w:val="20"/>
                <w:szCs w:val="20"/>
              </w:rPr>
              <w:t>8.4%</w:t>
            </w:r>
          </w:p>
        </w:tc>
        <w:tc>
          <w:tcPr>
            <w:tcW w:w="1019" w:type="dxa"/>
            <w:tcBorders>
              <w:top w:val="nil"/>
              <w:left w:val="nil"/>
              <w:bottom w:val="nil"/>
              <w:right w:val="nil"/>
            </w:tcBorders>
            <w:noWrap/>
            <w:vAlign w:val="bottom"/>
            <w:hideMark/>
          </w:tcPr>
          <w:p w14:paraId="2AE1AE4E" w14:textId="77777777" w:rsidR="007A6A1A" w:rsidRPr="00BB4D6B" w:rsidRDefault="007A6A1A" w:rsidP="00BB4D6B">
            <w:pPr>
              <w:spacing w:after="0" w:line="240" w:lineRule="auto"/>
              <w:rPr>
                <w:sz w:val="20"/>
                <w:szCs w:val="20"/>
              </w:rPr>
            </w:pPr>
            <w:r w:rsidRPr="00BB4D6B">
              <w:rPr>
                <w:sz w:val="20"/>
                <w:szCs w:val="20"/>
              </w:rPr>
              <w:t>7.7%</w:t>
            </w:r>
          </w:p>
        </w:tc>
        <w:tc>
          <w:tcPr>
            <w:tcW w:w="1019" w:type="dxa"/>
            <w:tcBorders>
              <w:top w:val="nil"/>
              <w:left w:val="nil"/>
              <w:bottom w:val="nil"/>
              <w:right w:val="nil"/>
            </w:tcBorders>
            <w:noWrap/>
            <w:vAlign w:val="bottom"/>
            <w:hideMark/>
          </w:tcPr>
          <w:p w14:paraId="2EE8B443" w14:textId="77777777" w:rsidR="007A6A1A" w:rsidRPr="00BB4D6B" w:rsidRDefault="007A6A1A" w:rsidP="00BB4D6B">
            <w:pPr>
              <w:spacing w:after="0" w:line="240" w:lineRule="auto"/>
              <w:rPr>
                <w:sz w:val="20"/>
                <w:szCs w:val="20"/>
              </w:rPr>
            </w:pPr>
            <w:r w:rsidRPr="00BB4D6B">
              <w:rPr>
                <w:sz w:val="20"/>
                <w:szCs w:val="20"/>
              </w:rPr>
              <w:t>9.8%</w:t>
            </w:r>
          </w:p>
        </w:tc>
        <w:tc>
          <w:tcPr>
            <w:tcW w:w="1019" w:type="dxa"/>
            <w:tcBorders>
              <w:top w:val="nil"/>
              <w:left w:val="nil"/>
              <w:bottom w:val="nil"/>
              <w:right w:val="single" w:sz="4" w:space="0" w:color="auto"/>
            </w:tcBorders>
            <w:noWrap/>
            <w:vAlign w:val="bottom"/>
            <w:hideMark/>
          </w:tcPr>
          <w:p w14:paraId="30584495" w14:textId="77777777" w:rsidR="007A6A1A" w:rsidRPr="00BB4D6B" w:rsidRDefault="007A6A1A" w:rsidP="00BB4D6B">
            <w:pPr>
              <w:spacing w:after="0" w:line="240" w:lineRule="auto"/>
              <w:rPr>
                <w:sz w:val="20"/>
                <w:szCs w:val="20"/>
              </w:rPr>
            </w:pPr>
            <w:r w:rsidRPr="00BB4D6B">
              <w:rPr>
                <w:sz w:val="20"/>
                <w:szCs w:val="20"/>
              </w:rPr>
              <w:t>8.3%</w:t>
            </w:r>
          </w:p>
        </w:tc>
      </w:tr>
      <w:tr w:rsidR="007A6A1A" w:rsidRPr="00167CB8" w14:paraId="46D6DC04" w14:textId="77777777">
        <w:trPr>
          <w:trHeight w:val="371"/>
        </w:trPr>
        <w:tc>
          <w:tcPr>
            <w:tcW w:w="4160" w:type="dxa"/>
            <w:tcBorders>
              <w:top w:val="nil"/>
              <w:left w:val="single" w:sz="4" w:space="0" w:color="auto"/>
              <w:bottom w:val="nil"/>
              <w:right w:val="nil"/>
            </w:tcBorders>
            <w:vAlign w:val="bottom"/>
            <w:hideMark/>
          </w:tcPr>
          <w:p w14:paraId="0B8D543E" w14:textId="1E24E531" w:rsidR="007A6A1A" w:rsidRPr="00BB4D6B" w:rsidRDefault="007A6A1A" w:rsidP="00BB4D6B">
            <w:pPr>
              <w:spacing w:after="0" w:line="240" w:lineRule="auto"/>
              <w:rPr>
                <w:sz w:val="20"/>
                <w:szCs w:val="20"/>
              </w:rPr>
            </w:pPr>
            <w:r w:rsidRPr="00BB4D6B">
              <w:rPr>
                <w:sz w:val="20"/>
                <w:szCs w:val="20"/>
              </w:rPr>
              <w:t xml:space="preserve">Administrative and </w:t>
            </w:r>
            <w:r w:rsidR="00A461FB" w:rsidRPr="00BB4D6B">
              <w:rPr>
                <w:sz w:val="20"/>
                <w:szCs w:val="20"/>
              </w:rPr>
              <w:t>s</w:t>
            </w:r>
            <w:r w:rsidRPr="00BB4D6B">
              <w:rPr>
                <w:sz w:val="20"/>
                <w:szCs w:val="20"/>
              </w:rPr>
              <w:t xml:space="preserve">upport </w:t>
            </w:r>
            <w:r w:rsidR="00A461FB" w:rsidRPr="00BB4D6B">
              <w:rPr>
                <w:sz w:val="20"/>
                <w:szCs w:val="20"/>
              </w:rPr>
              <w:t>s</w:t>
            </w:r>
            <w:r w:rsidRPr="00BB4D6B">
              <w:rPr>
                <w:sz w:val="20"/>
                <w:szCs w:val="20"/>
              </w:rPr>
              <w:t xml:space="preserve">ervices </w:t>
            </w:r>
          </w:p>
        </w:tc>
        <w:tc>
          <w:tcPr>
            <w:tcW w:w="933" w:type="dxa"/>
            <w:tcBorders>
              <w:top w:val="nil"/>
              <w:left w:val="nil"/>
              <w:bottom w:val="nil"/>
              <w:right w:val="nil"/>
            </w:tcBorders>
            <w:noWrap/>
            <w:vAlign w:val="bottom"/>
            <w:hideMark/>
          </w:tcPr>
          <w:p w14:paraId="47E58AC4" w14:textId="77777777" w:rsidR="007A6A1A" w:rsidRPr="00BB4D6B" w:rsidRDefault="007A6A1A" w:rsidP="00BB4D6B">
            <w:pPr>
              <w:spacing w:after="0" w:line="240" w:lineRule="auto"/>
              <w:rPr>
                <w:sz w:val="20"/>
                <w:szCs w:val="20"/>
              </w:rPr>
            </w:pPr>
            <w:r w:rsidRPr="00BB4D6B">
              <w:rPr>
                <w:sz w:val="20"/>
                <w:szCs w:val="20"/>
              </w:rPr>
              <w:t>11%</w:t>
            </w:r>
          </w:p>
        </w:tc>
        <w:tc>
          <w:tcPr>
            <w:tcW w:w="933" w:type="dxa"/>
            <w:tcBorders>
              <w:top w:val="nil"/>
              <w:left w:val="nil"/>
              <w:bottom w:val="nil"/>
              <w:right w:val="nil"/>
            </w:tcBorders>
            <w:noWrap/>
            <w:vAlign w:val="bottom"/>
            <w:hideMark/>
          </w:tcPr>
          <w:p w14:paraId="4C095C8A" w14:textId="77777777" w:rsidR="007A6A1A" w:rsidRPr="00BB4D6B" w:rsidRDefault="007A6A1A" w:rsidP="00BB4D6B">
            <w:pPr>
              <w:spacing w:after="0" w:line="240" w:lineRule="auto"/>
              <w:rPr>
                <w:sz w:val="20"/>
                <w:szCs w:val="20"/>
              </w:rPr>
            </w:pPr>
            <w:r w:rsidRPr="00BB4D6B">
              <w:rPr>
                <w:sz w:val="20"/>
                <w:szCs w:val="20"/>
              </w:rPr>
              <w:t>8%</w:t>
            </w:r>
          </w:p>
        </w:tc>
        <w:tc>
          <w:tcPr>
            <w:tcW w:w="934" w:type="dxa"/>
            <w:tcBorders>
              <w:top w:val="nil"/>
              <w:left w:val="nil"/>
              <w:bottom w:val="nil"/>
              <w:right w:val="single" w:sz="4" w:space="0" w:color="auto"/>
            </w:tcBorders>
            <w:noWrap/>
            <w:vAlign w:val="bottom"/>
            <w:hideMark/>
          </w:tcPr>
          <w:p w14:paraId="1E300415"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nil"/>
              <w:left w:val="single" w:sz="4" w:space="0" w:color="auto"/>
              <w:bottom w:val="nil"/>
              <w:right w:val="nil"/>
            </w:tcBorders>
            <w:noWrap/>
            <w:vAlign w:val="bottom"/>
            <w:hideMark/>
          </w:tcPr>
          <w:p w14:paraId="33196D53" w14:textId="77777777" w:rsidR="007A6A1A" w:rsidRPr="00BB4D6B" w:rsidRDefault="007A6A1A" w:rsidP="00BB4D6B">
            <w:pPr>
              <w:spacing w:after="0" w:line="240" w:lineRule="auto"/>
              <w:rPr>
                <w:sz w:val="20"/>
                <w:szCs w:val="20"/>
              </w:rPr>
            </w:pPr>
            <w:r w:rsidRPr="00BB4D6B">
              <w:rPr>
                <w:sz w:val="20"/>
                <w:szCs w:val="20"/>
              </w:rPr>
              <w:t>0%</w:t>
            </w:r>
          </w:p>
        </w:tc>
        <w:tc>
          <w:tcPr>
            <w:tcW w:w="1019" w:type="dxa"/>
            <w:tcBorders>
              <w:top w:val="nil"/>
              <w:left w:val="nil"/>
              <w:bottom w:val="nil"/>
              <w:right w:val="nil"/>
            </w:tcBorders>
            <w:noWrap/>
            <w:vAlign w:val="bottom"/>
            <w:hideMark/>
          </w:tcPr>
          <w:p w14:paraId="7183DEDE" w14:textId="77777777" w:rsidR="007A6A1A" w:rsidRPr="00BB4D6B" w:rsidRDefault="007A6A1A" w:rsidP="00BB4D6B">
            <w:pPr>
              <w:spacing w:after="0" w:line="240" w:lineRule="auto"/>
              <w:rPr>
                <w:sz w:val="20"/>
                <w:szCs w:val="20"/>
              </w:rPr>
            </w:pPr>
            <w:r w:rsidRPr="00BB4D6B">
              <w:rPr>
                <w:sz w:val="20"/>
                <w:szCs w:val="20"/>
              </w:rPr>
              <w:t>1%</w:t>
            </w:r>
          </w:p>
        </w:tc>
        <w:tc>
          <w:tcPr>
            <w:tcW w:w="1020" w:type="dxa"/>
            <w:tcBorders>
              <w:top w:val="nil"/>
              <w:left w:val="nil"/>
              <w:bottom w:val="nil"/>
              <w:right w:val="single" w:sz="4" w:space="0" w:color="auto"/>
            </w:tcBorders>
            <w:noWrap/>
            <w:vAlign w:val="bottom"/>
            <w:hideMark/>
          </w:tcPr>
          <w:p w14:paraId="6B09E30E" w14:textId="77777777" w:rsidR="007A6A1A" w:rsidRPr="00BB4D6B" w:rsidRDefault="007A6A1A" w:rsidP="00BB4D6B">
            <w:pPr>
              <w:spacing w:after="0" w:line="240" w:lineRule="auto"/>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75588C64" w14:textId="77777777" w:rsidR="007A6A1A" w:rsidRPr="00BB4D6B" w:rsidRDefault="007A6A1A" w:rsidP="00BB4D6B">
            <w:pPr>
              <w:spacing w:after="0" w:line="240" w:lineRule="auto"/>
              <w:rPr>
                <w:sz w:val="20"/>
                <w:szCs w:val="20"/>
              </w:rPr>
            </w:pPr>
            <w:r w:rsidRPr="00BB4D6B">
              <w:rPr>
                <w:sz w:val="20"/>
                <w:szCs w:val="20"/>
              </w:rPr>
              <w:t>3.2%</w:t>
            </w:r>
          </w:p>
        </w:tc>
        <w:tc>
          <w:tcPr>
            <w:tcW w:w="1019" w:type="dxa"/>
            <w:tcBorders>
              <w:top w:val="nil"/>
              <w:left w:val="nil"/>
              <w:bottom w:val="nil"/>
              <w:right w:val="nil"/>
            </w:tcBorders>
            <w:noWrap/>
            <w:vAlign w:val="bottom"/>
            <w:hideMark/>
          </w:tcPr>
          <w:p w14:paraId="610EBF5A" w14:textId="77777777" w:rsidR="007A6A1A" w:rsidRPr="00BB4D6B" w:rsidRDefault="007A6A1A" w:rsidP="00BB4D6B">
            <w:pPr>
              <w:spacing w:after="0" w:line="240" w:lineRule="auto"/>
              <w:rPr>
                <w:sz w:val="20"/>
                <w:szCs w:val="20"/>
              </w:rPr>
            </w:pPr>
            <w:r w:rsidRPr="00BB4D6B">
              <w:rPr>
                <w:sz w:val="20"/>
                <w:szCs w:val="20"/>
              </w:rPr>
              <w:t>3.9%</w:t>
            </w:r>
          </w:p>
        </w:tc>
        <w:tc>
          <w:tcPr>
            <w:tcW w:w="1019" w:type="dxa"/>
            <w:tcBorders>
              <w:top w:val="nil"/>
              <w:left w:val="nil"/>
              <w:bottom w:val="nil"/>
              <w:right w:val="nil"/>
            </w:tcBorders>
            <w:noWrap/>
            <w:vAlign w:val="bottom"/>
            <w:hideMark/>
          </w:tcPr>
          <w:p w14:paraId="0DCFD69C" w14:textId="77777777" w:rsidR="007A6A1A" w:rsidRPr="00BB4D6B" w:rsidRDefault="007A6A1A" w:rsidP="00BB4D6B">
            <w:pPr>
              <w:spacing w:after="0" w:line="240" w:lineRule="auto"/>
              <w:rPr>
                <w:sz w:val="20"/>
                <w:szCs w:val="20"/>
              </w:rPr>
            </w:pPr>
            <w:r w:rsidRPr="00BB4D6B">
              <w:rPr>
                <w:sz w:val="20"/>
                <w:szCs w:val="20"/>
              </w:rPr>
              <w:t>2.8%</w:t>
            </w:r>
          </w:p>
        </w:tc>
        <w:tc>
          <w:tcPr>
            <w:tcW w:w="1019" w:type="dxa"/>
            <w:tcBorders>
              <w:top w:val="nil"/>
              <w:left w:val="nil"/>
              <w:bottom w:val="nil"/>
              <w:right w:val="single" w:sz="4" w:space="0" w:color="auto"/>
            </w:tcBorders>
            <w:noWrap/>
            <w:vAlign w:val="bottom"/>
            <w:hideMark/>
          </w:tcPr>
          <w:p w14:paraId="7968DC42" w14:textId="77777777" w:rsidR="007A6A1A" w:rsidRPr="00BB4D6B" w:rsidRDefault="007A6A1A" w:rsidP="00BB4D6B">
            <w:pPr>
              <w:spacing w:after="0" w:line="240" w:lineRule="auto"/>
              <w:rPr>
                <w:sz w:val="20"/>
                <w:szCs w:val="20"/>
              </w:rPr>
            </w:pPr>
            <w:r w:rsidRPr="00BB4D6B">
              <w:rPr>
                <w:sz w:val="20"/>
                <w:szCs w:val="20"/>
              </w:rPr>
              <w:t>3.3%</w:t>
            </w:r>
          </w:p>
        </w:tc>
      </w:tr>
      <w:tr w:rsidR="007A6A1A" w:rsidRPr="00167CB8" w14:paraId="18FCF772" w14:textId="77777777">
        <w:trPr>
          <w:trHeight w:val="371"/>
        </w:trPr>
        <w:tc>
          <w:tcPr>
            <w:tcW w:w="4160" w:type="dxa"/>
            <w:tcBorders>
              <w:top w:val="nil"/>
              <w:left w:val="single" w:sz="4" w:space="0" w:color="auto"/>
              <w:bottom w:val="nil"/>
              <w:right w:val="nil"/>
            </w:tcBorders>
            <w:vAlign w:val="bottom"/>
            <w:hideMark/>
          </w:tcPr>
          <w:p w14:paraId="3BC37206" w14:textId="2EAE1A18" w:rsidR="007A6A1A" w:rsidRPr="00BB4D6B" w:rsidRDefault="007A6A1A" w:rsidP="00BB4D6B">
            <w:pPr>
              <w:spacing w:after="0" w:line="240" w:lineRule="auto"/>
              <w:rPr>
                <w:sz w:val="20"/>
                <w:szCs w:val="20"/>
              </w:rPr>
            </w:pPr>
            <w:r w:rsidRPr="00BB4D6B">
              <w:rPr>
                <w:sz w:val="20"/>
                <w:szCs w:val="20"/>
              </w:rPr>
              <w:t xml:space="preserve">Public </w:t>
            </w:r>
            <w:r w:rsidR="00A461FB" w:rsidRPr="00BB4D6B">
              <w:rPr>
                <w:sz w:val="20"/>
                <w:szCs w:val="20"/>
              </w:rPr>
              <w:t>a</w:t>
            </w:r>
            <w:r w:rsidRPr="00BB4D6B">
              <w:rPr>
                <w:sz w:val="20"/>
                <w:szCs w:val="20"/>
              </w:rPr>
              <w:t xml:space="preserve">dministration and </w:t>
            </w:r>
            <w:r w:rsidR="006B272C" w:rsidRPr="00BB4D6B">
              <w:rPr>
                <w:sz w:val="20"/>
                <w:szCs w:val="20"/>
              </w:rPr>
              <w:t>s</w:t>
            </w:r>
            <w:r w:rsidRPr="00BB4D6B">
              <w:rPr>
                <w:sz w:val="20"/>
                <w:szCs w:val="20"/>
              </w:rPr>
              <w:t xml:space="preserve">afety </w:t>
            </w:r>
          </w:p>
        </w:tc>
        <w:tc>
          <w:tcPr>
            <w:tcW w:w="933" w:type="dxa"/>
            <w:tcBorders>
              <w:top w:val="nil"/>
              <w:left w:val="nil"/>
              <w:bottom w:val="nil"/>
              <w:right w:val="nil"/>
            </w:tcBorders>
            <w:noWrap/>
            <w:vAlign w:val="bottom"/>
            <w:hideMark/>
          </w:tcPr>
          <w:p w14:paraId="53FA3196" w14:textId="77777777" w:rsidR="007A6A1A" w:rsidRPr="00BB4D6B" w:rsidRDefault="007A6A1A" w:rsidP="00BB4D6B">
            <w:pPr>
              <w:spacing w:after="0" w:line="240" w:lineRule="auto"/>
              <w:rPr>
                <w:sz w:val="20"/>
                <w:szCs w:val="20"/>
              </w:rPr>
            </w:pPr>
            <w:r w:rsidRPr="00BB4D6B">
              <w:rPr>
                <w:sz w:val="20"/>
                <w:szCs w:val="20"/>
              </w:rPr>
              <w:t>25%</w:t>
            </w:r>
          </w:p>
        </w:tc>
        <w:tc>
          <w:tcPr>
            <w:tcW w:w="933" w:type="dxa"/>
            <w:tcBorders>
              <w:top w:val="nil"/>
              <w:left w:val="nil"/>
              <w:bottom w:val="nil"/>
              <w:right w:val="nil"/>
            </w:tcBorders>
            <w:noWrap/>
            <w:vAlign w:val="bottom"/>
            <w:hideMark/>
          </w:tcPr>
          <w:p w14:paraId="404D266D" w14:textId="77777777" w:rsidR="007A6A1A" w:rsidRPr="00BB4D6B" w:rsidRDefault="007A6A1A" w:rsidP="00BB4D6B">
            <w:pPr>
              <w:spacing w:after="0" w:line="240" w:lineRule="auto"/>
              <w:rPr>
                <w:sz w:val="20"/>
                <w:szCs w:val="20"/>
              </w:rPr>
            </w:pPr>
            <w:r w:rsidRPr="00BB4D6B">
              <w:rPr>
                <w:sz w:val="20"/>
                <w:szCs w:val="20"/>
              </w:rPr>
              <w:t>14%</w:t>
            </w:r>
          </w:p>
        </w:tc>
        <w:tc>
          <w:tcPr>
            <w:tcW w:w="934" w:type="dxa"/>
            <w:tcBorders>
              <w:top w:val="nil"/>
              <w:left w:val="nil"/>
              <w:bottom w:val="nil"/>
              <w:right w:val="single" w:sz="4" w:space="0" w:color="auto"/>
            </w:tcBorders>
            <w:noWrap/>
            <w:vAlign w:val="bottom"/>
            <w:hideMark/>
          </w:tcPr>
          <w:p w14:paraId="6AC802C1" w14:textId="77777777" w:rsidR="007A6A1A" w:rsidRPr="00BB4D6B" w:rsidRDefault="007A6A1A" w:rsidP="00BB4D6B">
            <w:pPr>
              <w:spacing w:after="0" w:line="240" w:lineRule="auto"/>
              <w:rPr>
                <w:sz w:val="20"/>
                <w:szCs w:val="20"/>
              </w:rPr>
            </w:pPr>
            <w:r w:rsidRPr="00BB4D6B">
              <w:rPr>
                <w:sz w:val="20"/>
                <w:szCs w:val="20"/>
              </w:rPr>
              <w:t>37%</w:t>
            </w:r>
          </w:p>
        </w:tc>
        <w:tc>
          <w:tcPr>
            <w:tcW w:w="1019" w:type="dxa"/>
            <w:tcBorders>
              <w:top w:val="nil"/>
              <w:left w:val="single" w:sz="4" w:space="0" w:color="auto"/>
              <w:bottom w:val="nil"/>
              <w:right w:val="nil"/>
            </w:tcBorders>
            <w:noWrap/>
            <w:vAlign w:val="bottom"/>
            <w:hideMark/>
          </w:tcPr>
          <w:p w14:paraId="161E9A2E" w14:textId="77777777" w:rsidR="007A6A1A" w:rsidRPr="00BB4D6B" w:rsidRDefault="007A6A1A" w:rsidP="00BB4D6B">
            <w:pPr>
              <w:spacing w:after="0" w:line="240" w:lineRule="auto"/>
              <w:rPr>
                <w:sz w:val="20"/>
                <w:szCs w:val="20"/>
              </w:rPr>
            </w:pPr>
            <w:r w:rsidRPr="00BB4D6B">
              <w:rPr>
                <w:sz w:val="20"/>
                <w:szCs w:val="20"/>
              </w:rPr>
              <w:t>14%</w:t>
            </w:r>
          </w:p>
        </w:tc>
        <w:tc>
          <w:tcPr>
            <w:tcW w:w="1019" w:type="dxa"/>
            <w:tcBorders>
              <w:top w:val="nil"/>
              <w:left w:val="nil"/>
              <w:bottom w:val="nil"/>
              <w:right w:val="nil"/>
            </w:tcBorders>
            <w:noWrap/>
            <w:vAlign w:val="bottom"/>
            <w:hideMark/>
          </w:tcPr>
          <w:p w14:paraId="2F0D9820" w14:textId="77777777" w:rsidR="007A6A1A" w:rsidRPr="00BB4D6B" w:rsidRDefault="007A6A1A" w:rsidP="00BB4D6B">
            <w:pPr>
              <w:spacing w:after="0" w:line="240" w:lineRule="auto"/>
              <w:rPr>
                <w:sz w:val="20"/>
                <w:szCs w:val="20"/>
              </w:rPr>
            </w:pPr>
            <w:r w:rsidRPr="00BB4D6B">
              <w:rPr>
                <w:sz w:val="20"/>
                <w:szCs w:val="20"/>
              </w:rPr>
              <w:t>14%</w:t>
            </w:r>
          </w:p>
        </w:tc>
        <w:tc>
          <w:tcPr>
            <w:tcW w:w="1020" w:type="dxa"/>
            <w:tcBorders>
              <w:top w:val="nil"/>
              <w:left w:val="nil"/>
              <w:bottom w:val="nil"/>
              <w:right w:val="single" w:sz="4" w:space="0" w:color="auto"/>
            </w:tcBorders>
            <w:noWrap/>
            <w:vAlign w:val="bottom"/>
            <w:hideMark/>
          </w:tcPr>
          <w:p w14:paraId="3791CD0E" w14:textId="77777777" w:rsidR="007A6A1A" w:rsidRPr="00BB4D6B" w:rsidRDefault="007A6A1A" w:rsidP="00BB4D6B">
            <w:pPr>
              <w:spacing w:after="0" w:line="240" w:lineRule="auto"/>
              <w:rPr>
                <w:sz w:val="20"/>
                <w:szCs w:val="20"/>
              </w:rPr>
            </w:pPr>
            <w:r w:rsidRPr="00BB4D6B">
              <w:rPr>
                <w:sz w:val="20"/>
                <w:szCs w:val="20"/>
              </w:rPr>
              <w:t>16%</w:t>
            </w:r>
          </w:p>
        </w:tc>
        <w:tc>
          <w:tcPr>
            <w:tcW w:w="1019" w:type="dxa"/>
            <w:tcBorders>
              <w:top w:val="nil"/>
              <w:left w:val="single" w:sz="4" w:space="0" w:color="auto"/>
              <w:bottom w:val="nil"/>
              <w:right w:val="nil"/>
            </w:tcBorders>
            <w:noWrap/>
            <w:vAlign w:val="bottom"/>
            <w:hideMark/>
          </w:tcPr>
          <w:p w14:paraId="6F746C39" w14:textId="77777777" w:rsidR="007A6A1A" w:rsidRPr="00BB4D6B" w:rsidRDefault="007A6A1A" w:rsidP="00BB4D6B">
            <w:pPr>
              <w:spacing w:after="0" w:line="240" w:lineRule="auto"/>
              <w:rPr>
                <w:sz w:val="20"/>
                <w:szCs w:val="20"/>
              </w:rPr>
            </w:pPr>
            <w:r w:rsidRPr="00BB4D6B">
              <w:rPr>
                <w:sz w:val="20"/>
                <w:szCs w:val="20"/>
              </w:rPr>
              <w:t>6.2%</w:t>
            </w:r>
          </w:p>
        </w:tc>
        <w:tc>
          <w:tcPr>
            <w:tcW w:w="1019" w:type="dxa"/>
            <w:tcBorders>
              <w:top w:val="nil"/>
              <w:left w:val="nil"/>
              <w:bottom w:val="nil"/>
              <w:right w:val="nil"/>
            </w:tcBorders>
            <w:noWrap/>
            <w:vAlign w:val="bottom"/>
            <w:hideMark/>
          </w:tcPr>
          <w:p w14:paraId="6068B440" w14:textId="77777777" w:rsidR="007A6A1A" w:rsidRPr="00BB4D6B" w:rsidRDefault="007A6A1A" w:rsidP="00BB4D6B">
            <w:pPr>
              <w:spacing w:after="0" w:line="240" w:lineRule="auto"/>
              <w:rPr>
                <w:sz w:val="20"/>
                <w:szCs w:val="20"/>
              </w:rPr>
            </w:pPr>
            <w:r w:rsidRPr="00BB4D6B">
              <w:rPr>
                <w:sz w:val="20"/>
                <w:szCs w:val="20"/>
              </w:rPr>
              <w:t>6.0%</w:t>
            </w:r>
          </w:p>
        </w:tc>
        <w:tc>
          <w:tcPr>
            <w:tcW w:w="1019" w:type="dxa"/>
            <w:tcBorders>
              <w:top w:val="nil"/>
              <w:left w:val="nil"/>
              <w:bottom w:val="nil"/>
              <w:right w:val="nil"/>
            </w:tcBorders>
            <w:noWrap/>
            <w:vAlign w:val="bottom"/>
            <w:hideMark/>
          </w:tcPr>
          <w:p w14:paraId="2BD7EAAC" w14:textId="77777777" w:rsidR="007A6A1A" w:rsidRPr="00BB4D6B" w:rsidRDefault="007A6A1A" w:rsidP="00BB4D6B">
            <w:pPr>
              <w:spacing w:after="0" w:line="240" w:lineRule="auto"/>
              <w:rPr>
                <w:sz w:val="20"/>
                <w:szCs w:val="20"/>
              </w:rPr>
            </w:pPr>
            <w:r w:rsidRPr="00BB4D6B">
              <w:rPr>
                <w:sz w:val="20"/>
                <w:szCs w:val="20"/>
              </w:rPr>
              <w:t>6.5%</w:t>
            </w:r>
          </w:p>
        </w:tc>
        <w:tc>
          <w:tcPr>
            <w:tcW w:w="1019" w:type="dxa"/>
            <w:tcBorders>
              <w:top w:val="nil"/>
              <w:left w:val="nil"/>
              <w:bottom w:val="nil"/>
              <w:right w:val="single" w:sz="4" w:space="0" w:color="auto"/>
            </w:tcBorders>
            <w:noWrap/>
            <w:vAlign w:val="bottom"/>
            <w:hideMark/>
          </w:tcPr>
          <w:p w14:paraId="15527FC9" w14:textId="77777777" w:rsidR="007A6A1A" w:rsidRPr="00BB4D6B" w:rsidRDefault="007A6A1A" w:rsidP="00BB4D6B">
            <w:pPr>
              <w:spacing w:after="0" w:line="240" w:lineRule="auto"/>
              <w:rPr>
                <w:sz w:val="20"/>
                <w:szCs w:val="20"/>
              </w:rPr>
            </w:pPr>
            <w:r w:rsidRPr="00BB4D6B">
              <w:rPr>
                <w:sz w:val="20"/>
                <w:szCs w:val="20"/>
              </w:rPr>
              <w:t>7.1%</w:t>
            </w:r>
          </w:p>
        </w:tc>
      </w:tr>
      <w:tr w:rsidR="007A6A1A" w:rsidRPr="00167CB8" w14:paraId="6287B71C" w14:textId="77777777">
        <w:trPr>
          <w:trHeight w:val="371"/>
        </w:trPr>
        <w:tc>
          <w:tcPr>
            <w:tcW w:w="4160" w:type="dxa"/>
            <w:tcBorders>
              <w:top w:val="nil"/>
              <w:left w:val="single" w:sz="4" w:space="0" w:color="auto"/>
              <w:bottom w:val="nil"/>
              <w:right w:val="nil"/>
            </w:tcBorders>
            <w:vAlign w:val="bottom"/>
            <w:hideMark/>
          </w:tcPr>
          <w:p w14:paraId="3BAD9772" w14:textId="682BDF63" w:rsidR="007A6A1A" w:rsidRPr="00BB4D6B" w:rsidRDefault="007A6A1A" w:rsidP="00BB4D6B">
            <w:pPr>
              <w:spacing w:after="0" w:line="240" w:lineRule="auto"/>
              <w:rPr>
                <w:sz w:val="20"/>
                <w:szCs w:val="20"/>
              </w:rPr>
            </w:pPr>
            <w:r w:rsidRPr="00BB4D6B">
              <w:rPr>
                <w:sz w:val="20"/>
                <w:szCs w:val="20"/>
              </w:rPr>
              <w:t xml:space="preserve">Education and </w:t>
            </w:r>
            <w:r w:rsidR="00A461FB" w:rsidRPr="00BB4D6B">
              <w:rPr>
                <w:sz w:val="20"/>
                <w:szCs w:val="20"/>
              </w:rPr>
              <w:t>t</w:t>
            </w:r>
            <w:r w:rsidRPr="00BB4D6B">
              <w:rPr>
                <w:sz w:val="20"/>
                <w:szCs w:val="20"/>
              </w:rPr>
              <w:t xml:space="preserve">raining </w:t>
            </w:r>
          </w:p>
        </w:tc>
        <w:tc>
          <w:tcPr>
            <w:tcW w:w="933" w:type="dxa"/>
            <w:tcBorders>
              <w:top w:val="nil"/>
              <w:left w:val="nil"/>
              <w:bottom w:val="nil"/>
              <w:right w:val="nil"/>
            </w:tcBorders>
            <w:noWrap/>
            <w:vAlign w:val="bottom"/>
            <w:hideMark/>
          </w:tcPr>
          <w:p w14:paraId="0D97D1C0" w14:textId="77777777" w:rsidR="007A6A1A" w:rsidRPr="00BB4D6B" w:rsidRDefault="007A6A1A" w:rsidP="00BB4D6B">
            <w:pPr>
              <w:spacing w:after="0" w:line="240" w:lineRule="auto"/>
              <w:rPr>
                <w:sz w:val="20"/>
                <w:szCs w:val="20"/>
              </w:rPr>
            </w:pPr>
            <w:r w:rsidRPr="00BB4D6B">
              <w:rPr>
                <w:sz w:val="20"/>
                <w:szCs w:val="20"/>
              </w:rPr>
              <w:t>28%</w:t>
            </w:r>
          </w:p>
        </w:tc>
        <w:tc>
          <w:tcPr>
            <w:tcW w:w="933" w:type="dxa"/>
            <w:tcBorders>
              <w:top w:val="nil"/>
              <w:left w:val="nil"/>
              <w:bottom w:val="nil"/>
              <w:right w:val="nil"/>
            </w:tcBorders>
            <w:noWrap/>
            <w:vAlign w:val="bottom"/>
            <w:hideMark/>
          </w:tcPr>
          <w:p w14:paraId="1456645B" w14:textId="77777777" w:rsidR="007A6A1A" w:rsidRPr="00BB4D6B" w:rsidRDefault="007A6A1A" w:rsidP="00BB4D6B">
            <w:pPr>
              <w:spacing w:after="0" w:line="240" w:lineRule="auto"/>
              <w:rPr>
                <w:sz w:val="20"/>
                <w:szCs w:val="20"/>
              </w:rPr>
            </w:pPr>
            <w:r w:rsidRPr="00BB4D6B">
              <w:rPr>
                <w:sz w:val="20"/>
                <w:szCs w:val="20"/>
              </w:rPr>
              <w:t>9%</w:t>
            </w:r>
          </w:p>
        </w:tc>
        <w:tc>
          <w:tcPr>
            <w:tcW w:w="934" w:type="dxa"/>
            <w:tcBorders>
              <w:top w:val="nil"/>
              <w:left w:val="nil"/>
              <w:bottom w:val="nil"/>
              <w:right w:val="single" w:sz="4" w:space="0" w:color="auto"/>
            </w:tcBorders>
            <w:noWrap/>
            <w:vAlign w:val="bottom"/>
            <w:hideMark/>
          </w:tcPr>
          <w:p w14:paraId="5154B3F9" w14:textId="77777777" w:rsidR="007A6A1A" w:rsidRPr="00BB4D6B" w:rsidRDefault="007A6A1A" w:rsidP="00BB4D6B">
            <w:pPr>
              <w:spacing w:after="0" w:line="240" w:lineRule="auto"/>
              <w:rPr>
                <w:sz w:val="20"/>
                <w:szCs w:val="20"/>
              </w:rPr>
            </w:pPr>
            <w:r w:rsidRPr="00BB4D6B">
              <w:rPr>
                <w:sz w:val="20"/>
                <w:szCs w:val="20"/>
              </w:rPr>
              <w:t>37%</w:t>
            </w:r>
          </w:p>
        </w:tc>
        <w:tc>
          <w:tcPr>
            <w:tcW w:w="1019" w:type="dxa"/>
            <w:tcBorders>
              <w:top w:val="nil"/>
              <w:left w:val="single" w:sz="4" w:space="0" w:color="auto"/>
              <w:bottom w:val="nil"/>
              <w:right w:val="nil"/>
            </w:tcBorders>
            <w:noWrap/>
            <w:vAlign w:val="bottom"/>
            <w:hideMark/>
          </w:tcPr>
          <w:p w14:paraId="39894B26" w14:textId="77777777" w:rsidR="007A6A1A" w:rsidRPr="00BB4D6B" w:rsidRDefault="007A6A1A" w:rsidP="00BB4D6B">
            <w:pPr>
              <w:spacing w:after="0" w:line="240" w:lineRule="auto"/>
              <w:rPr>
                <w:sz w:val="20"/>
                <w:szCs w:val="20"/>
              </w:rPr>
            </w:pPr>
            <w:r w:rsidRPr="00BB4D6B">
              <w:rPr>
                <w:sz w:val="20"/>
                <w:szCs w:val="20"/>
              </w:rPr>
              <w:t>11%</w:t>
            </w:r>
          </w:p>
        </w:tc>
        <w:tc>
          <w:tcPr>
            <w:tcW w:w="1019" w:type="dxa"/>
            <w:tcBorders>
              <w:top w:val="nil"/>
              <w:left w:val="nil"/>
              <w:bottom w:val="nil"/>
              <w:right w:val="nil"/>
            </w:tcBorders>
            <w:noWrap/>
            <w:vAlign w:val="bottom"/>
            <w:hideMark/>
          </w:tcPr>
          <w:p w14:paraId="6314B5A9" w14:textId="77777777" w:rsidR="007A6A1A" w:rsidRPr="00BB4D6B" w:rsidRDefault="007A6A1A" w:rsidP="00BB4D6B">
            <w:pPr>
              <w:spacing w:after="0" w:line="240" w:lineRule="auto"/>
              <w:rPr>
                <w:sz w:val="20"/>
                <w:szCs w:val="20"/>
              </w:rPr>
            </w:pPr>
            <w:r w:rsidRPr="00BB4D6B">
              <w:rPr>
                <w:sz w:val="20"/>
                <w:szCs w:val="20"/>
              </w:rPr>
              <w:t>18%</w:t>
            </w:r>
          </w:p>
        </w:tc>
        <w:tc>
          <w:tcPr>
            <w:tcW w:w="1020" w:type="dxa"/>
            <w:tcBorders>
              <w:top w:val="nil"/>
              <w:left w:val="nil"/>
              <w:bottom w:val="nil"/>
              <w:right w:val="single" w:sz="4" w:space="0" w:color="auto"/>
            </w:tcBorders>
            <w:noWrap/>
            <w:vAlign w:val="bottom"/>
            <w:hideMark/>
          </w:tcPr>
          <w:p w14:paraId="2C8A11D3" w14:textId="77777777" w:rsidR="007A6A1A" w:rsidRPr="00BB4D6B" w:rsidRDefault="007A6A1A" w:rsidP="00BB4D6B">
            <w:pPr>
              <w:spacing w:after="0" w:line="240" w:lineRule="auto"/>
              <w:rPr>
                <w:sz w:val="20"/>
                <w:szCs w:val="20"/>
              </w:rPr>
            </w:pPr>
            <w:r w:rsidRPr="00BB4D6B">
              <w:rPr>
                <w:sz w:val="20"/>
                <w:szCs w:val="20"/>
              </w:rPr>
              <w:t>8%</w:t>
            </w:r>
          </w:p>
        </w:tc>
        <w:tc>
          <w:tcPr>
            <w:tcW w:w="1019" w:type="dxa"/>
            <w:tcBorders>
              <w:top w:val="nil"/>
              <w:left w:val="single" w:sz="4" w:space="0" w:color="auto"/>
              <w:bottom w:val="nil"/>
              <w:right w:val="nil"/>
            </w:tcBorders>
            <w:noWrap/>
            <w:vAlign w:val="bottom"/>
            <w:hideMark/>
          </w:tcPr>
          <w:p w14:paraId="47DAA80A" w14:textId="77777777" w:rsidR="007A6A1A" w:rsidRPr="00BB4D6B" w:rsidRDefault="007A6A1A" w:rsidP="00BB4D6B">
            <w:pPr>
              <w:spacing w:after="0" w:line="240" w:lineRule="auto"/>
              <w:rPr>
                <w:sz w:val="20"/>
                <w:szCs w:val="20"/>
              </w:rPr>
            </w:pPr>
            <w:r w:rsidRPr="00BB4D6B">
              <w:rPr>
                <w:sz w:val="20"/>
                <w:szCs w:val="20"/>
              </w:rPr>
              <w:t>4.6%</w:t>
            </w:r>
          </w:p>
        </w:tc>
        <w:tc>
          <w:tcPr>
            <w:tcW w:w="1019" w:type="dxa"/>
            <w:tcBorders>
              <w:top w:val="nil"/>
              <w:left w:val="nil"/>
              <w:bottom w:val="nil"/>
              <w:right w:val="nil"/>
            </w:tcBorders>
            <w:noWrap/>
            <w:vAlign w:val="bottom"/>
            <w:hideMark/>
          </w:tcPr>
          <w:p w14:paraId="2A6D600D" w14:textId="77777777" w:rsidR="007A6A1A" w:rsidRPr="00BB4D6B" w:rsidRDefault="007A6A1A" w:rsidP="00BB4D6B">
            <w:pPr>
              <w:spacing w:after="0" w:line="240" w:lineRule="auto"/>
              <w:rPr>
                <w:sz w:val="20"/>
                <w:szCs w:val="20"/>
              </w:rPr>
            </w:pPr>
            <w:r w:rsidRPr="00BB4D6B">
              <w:rPr>
                <w:sz w:val="20"/>
                <w:szCs w:val="20"/>
              </w:rPr>
              <w:t>11.9%</w:t>
            </w:r>
          </w:p>
        </w:tc>
        <w:tc>
          <w:tcPr>
            <w:tcW w:w="1019" w:type="dxa"/>
            <w:tcBorders>
              <w:top w:val="nil"/>
              <w:left w:val="nil"/>
              <w:bottom w:val="nil"/>
              <w:right w:val="nil"/>
            </w:tcBorders>
            <w:noWrap/>
            <w:vAlign w:val="bottom"/>
            <w:hideMark/>
          </w:tcPr>
          <w:p w14:paraId="410A9316" w14:textId="77777777" w:rsidR="007A6A1A" w:rsidRPr="00BB4D6B" w:rsidRDefault="007A6A1A" w:rsidP="00BB4D6B">
            <w:pPr>
              <w:spacing w:after="0" w:line="240" w:lineRule="auto"/>
              <w:rPr>
                <w:sz w:val="20"/>
                <w:szCs w:val="20"/>
              </w:rPr>
            </w:pPr>
            <w:r w:rsidRPr="00BB4D6B">
              <w:rPr>
                <w:sz w:val="20"/>
                <w:szCs w:val="20"/>
              </w:rPr>
              <w:t>4.8%</w:t>
            </w:r>
          </w:p>
        </w:tc>
        <w:tc>
          <w:tcPr>
            <w:tcW w:w="1019" w:type="dxa"/>
            <w:tcBorders>
              <w:top w:val="nil"/>
              <w:left w:val="nil"/>
              <w:bottom w:val="nil"/>
              <w:right w:val="single" w:sz="4" w:space="0" w:color="auto"/>
            </w:tcBorders>
            <w:noWrap/>
            <w:vAlign w:val="bottom"/>
            <w:hideMark/>
          </w:tcPr>
          <w:p w14:paraId="4DB98DF4" w14:textId="77777777" w:rsidR="007A6A1A" w:rsidRPr="00BB4D6B" w:rsidRDefault="007A6A1A" w:rsidP="00BB4D6B">
            <w:pPr>
              <w:spacing w:after="0" w:line="240" w:lineRule="auto"/>
              <w:rPr>
                <w:sz w:val="20"/>
                <w:szCs w:val="20"/>
              </w:rPr>
            </w:pPr>
            <w:r w:rsidRPr="00BB4D6B">
              <w:rPr>
                <w:sz w:val="20"/>
                <w:szCs w:val="20"/>
              </w:rPr>
              <w:t>13.1%</w:t>
            </w:r>
          </w:p>
        </w:tc>
      </w:tr>
      <w:tr w:rsidR="007A6A1A" w:rsidRPr="00167CB8" w14:paraId="5AA52A2A" w14:textId="77777777">
        <w:trPr>
          <w:trHeight w:val="371"/>
        </w:trPr>
        <w:tc>
          <w:tcPr>
            <w:tcW w:w="4160" w:type="dxa"/>
            <w:tcBorders>
              <w:top w:val="nil"/>
              <w:left w:val="single" w:sz="4" w:space="0" w:color="auto"/>
              <w:bottom w:val="nil"/>
              <w:right w:val="nil"/>
            </w:tcBorders>
            <w:vAlign w:val="bottom"/>
            <w:hideMark/>
          </w:tcPr>
          <w:p w14:paraId="0B88957A" w14:textId="5BE3CC67" w:rsidR="007A6A1A" w:rsidRPr="00BB4D6B" w:rsidRDefault="007A6A1A" w:rsidP="00BB4D6B">
            <w:pPr>
              <w:spacing w:after="0" w:line="240" w:lineRule="auto"/>
              <w:rPr>
                <w:sz w:val="20"/>
                <w:szCs w:val="20"/>
              </w:rPr>
            </w:pPr>
            <w:r w:rsidRPr="00BB4D6B">
              <w:rPr>
                <w:sz w:val="20"/>
                <w:szCs w:val="20"/>
              </w:rPr>
              <w:t xml:space="preserve">Health </w:t>
            </w:r>
            <w:r w:rsidR="00A461FB" w:rsidRPr="00BB4D6B">
              <w:rPr>
                <w:sz w:val="20"/>
                <w:szCs w:val="20"/>
              </w:rPr>
              <w:t>c</w:t>
            </w:r>
            <w:r w:rsidRPr="00BB4D6B">
              <w:rPr>
                <w:sz w:val="20"/>
                <w:szCs w:val="20"/>
              </w:rPr>
              <w:t xml:space="preserve">are and </w:t>
            </w:r>
            <w:r w:rsidR="00A461FB" w:rsidRPr="00BB4D6B">
              <w:rPr>
                <w:sz w:val="20"/>
                <w:szCs w:val="20"/>
              </w:rPr>
              <w:t>s</w:t>
            </w:r>
            <w:r w:rsidRPr="00BB4D6B">
              <w:rPr>
                <w:sz w:val="20"/>
                <w:szCs w:val="20"/>
              </w:rPr>
              <w:t xml:space="preserve">ocial </w:t>
            </w:r>
            <w:r w:rsidR="00A461FB" w:rsidRPr="00BB4D6B">
              <w:rPr>
                <w:sz w:val="20"/>
                <w:szCs w:val="20"/>
              </w:rPr>
              <w:t>a</w:t>
            </w:r>
            <w:r w:rsidRPr="00BB4D6B">
              <w:rPr>
                <w:sz w:val="20"/>
                <w:szCs w:val="20"/>
              </w:rPr>
              <w:t>ssistance</w:t>
            </w:r>
          </w:p>
        </w:tc>
        <w:tc>
          <w:tcPr>
            <w:tcW w:w="933" w:type="dxa"/>
            <w:tcBorders>
              <w:top w:val="nil"/>
              <w:left w:val="nil"/>
              <w:bottom w:val="nil"/>
              <w:right w:val="nil"/>
            </w:tcBorders>
            <w:noWrap/>
            <w:vAlign w:val="bottom"/>
            <w:hideMark/>
          </w:tcPr>
          <w:p w14:paraId="11DB16CE" w14:textId="77777777" w:rsidR="007A6A1A" w:rsidRPr="00BB4D6B" w:rsidRDefault="007A6A1A" w:rsidP="00BB4D6B">
            <w:pPr>
              <w:spacing w:after="0" w:line="240" w:lineRule="auto"/>
              <w:rPr>
                <w:sz w:val="20"/>
                <w:szCs w:val="20"/>
              </w:rPr>
            </w:pPr>
            <w:r w:rsidRPr="00BB4D6B">
              <w:rPr>
                <w:sz w:val="20"/>
                <w:szCs w:val="20"/>
              </w:rPr>
              <w:t>51%</w:t>
            </w:r>
          </w:p>
        </w:tc>
        <w:tc>
          <w:tcPr>
            <w:tcW w:w="933" w:type="dxa"/>
            <w:tcBorders>
              <w:top w:val="nil"/>
              <w:left w:val="nil"/>
              <w:bottom w:val="nil"/>
              <w:right w:val="nil"/>
            </w:tcBorders>
            <w:noWrap/>
            <w:vAlign w:val="bottom"/>
            <w:hideMark/>
          </w:tcPr>
          <w:p w14:paraId="1D069A21" w14:textId="77777777" w:rsidR="007A6A1A" w:rsidRPr="00BB4D6B" w:rsidRDefault="007A6A1A" w:rsidP="00BB4D6B">
            <w:pPr>
              <w:spacing w:after="0" w:line="240" w:lineRule="auto"/>
              <w:rPr>
                <w:sz w:val="20"/>
                <w:szCs w:val="20"/>
              </w:rPr>
            </w:pPr>
            <w:r w:rsidRPr="00BB4D6B">
              <w:rPr>
                <w:sz w:val="20"/>
                <w:szCs w:val="20"/>
              </w:rPr>
              <w:t>73%</w:t>
            </w:r>
          </w:p>
        </w:tc>
        <w:tc>
          <w:tcPr>
            <w:tcW w:w="934" w:type="dxa"/>
            <w:tcBorders>
              <w:top w:val="nil"/>
              <w:left w:val="nil"/>
              <w:bottom w:val="nil"/>
              <w:right w:val="single" w:sz="4" w:space="0" w:color="auto"/>
            </w:tcBorders>
            <w:noWrap/>
            <w:vAlign w:val="bottom"/>
            <w:hideMark/>
          </w:tcPr>
          <w:p w14:paraId="2153ADCB" w14:textId="77777777" w:rsidR="007A6A1A" w:rsidRPr="00BB4D6B" w:rsidRDefault="007A6A1A" w:rsidP="00BB4D6B">
            <w:pPr>
              <w:spacing w:after="0" w:line="240" w:lineRule="auto"/>
              <w:rPr>
                <w:sz w:val="20"/>
                <w:szCs w:val="20"/>
              </w:rPr>
            </w:pPr>
            <w:r w:rsidRPr="00BB4D6B">
              <w:rPr>
                <w:sz w:val="20"/>
                <w:szCs w:val="20"/>
              </w:rPr>
              <w:t>46%</w:t>
            </w:r>
          </w:p>
        </w:tc>
        <w:tc>
          <w:tcPr>
            <w:tcW w:w="1019" w:type="dxa"/>
            <w:tcBorders>
              <w:top w:val="nil"/>
              <w:left w:val="single" w:sz="4" w:space="0" w:color="auto"/>
              <w:bottom w:val="nil"/>
              <w:right w:val="nil"/>
            </w:tcBorders>
            <w:noWrap/>
            <w:vAlign w:val="bottom"/>
            <w:hideMark/>
          </w:tcPr>
          <w:p w14:paraId="223F1B5E" w14:textId="77777777" w:rsidR="007A6A1A" w:rsidRPr="00BB4D6B" w:rsidRDefault="007A6A1A" w:rsidP="00BB4D6B">
            <w:pPr>
              <w:spacing w:after="0" w:line="240" w:lineRule="auto"/>
              <w:rPr>
                <w:sz w:val="20"/>
                <w:szCs w:val="20"/>
              </w:rPr>
            </w:pPr>
            <w:r w:rsidRPr="00BB4D6B">
              <w:rPr>
                <w:sz w:val="20"/>
                <w:szCs w:val="20"/>
              </w:rPr>
              <w:t>10%</w:t>
            </w:r>
          </w:p>
        </w:tc>
        <w:tc>
          <w:tcPr>
            <w:tcW w:w="1019" w:type="dxa"/>
            <w:tcBorders>
              <w:top w:val="nil"/>
              <w:left w:val="nil"/>
              <w:bottom w:val="nil"/>
              <w:right w:val="nil"/>
            </w:tcBorders>
            <w:noWrap/>
            <w:vAlign w:val="bottom"/>
            <w:hideMark/>
          </w:tcPr>
          <w:p w14:paraId="6A0997B9" w14:textId="77777777" w:rsidR="007A6A1A" w:rsidRPr="00BB4D6B" w:rsidRDefault="007A6A1A" w:rsidP="00BB4D6B">
            <w:pPr>
              <w:spacing w:after="0" w:line="240" w:lineRule="auto"/>
              <w:rPr>
                <w:sz w:val="20"/>
                <w:szCs w:val="20"/>
              </w:rPr>
            </w:pPr>
            <w:r w:rsidRPr="00BB4D6B">
              <w:rPr>
                <w:sz w:val="20"/>
                <w:szCs w:val="20"/>
              </w:rPr>
              <w:t>10%</w:t>
            </w:r>
          </w:p>
        </w:tc>
        <w:tc>
          <w:tcPr>
            <w:tcW w:w="1020" w:type="dxa"/>
            <w:tcBorders>
              <w:top w:val="nil"/>
              <w:left w:val="nil"/>
              <w:bottom w:val="nil"/>
              <w:right w:val="single" w:sz="4" w:space="0" w:color="auto"/>
            </w:tcBorders>
            <w:noWrap/>
            <w:vAlign w:val="bottom"/>
            <w:hideMark/>
          </w:tcPr>
          <w:p w14:paraId="0D0E855A" w14:textId="77777777" w:rsidR="007A6A1A" w:rsidRPr="00BB4D6B" w:rsidRDefault="007A6A1A" w:rsidP="00BB4D6B">
            <w:pPr>
              <w:spacing w:after="0" w:line="240" w:lineRule="auto"/>
              <w:rPr>
                <w:sz w:val="20"/>
                <w:szCs w:val="20"/>
              </w:rPr>
            </w:pPr>
            <w:r w:rsidRPr="00BB4D6B">
              <w:rPr>
                <w:sz w:val="20"/>
                <w:szCs w:val="20"/>
              </w:rPr>
              <w:t>10%</w:t>
            </w:r>
          </w:p>
        </w:tc>
        <w:tc>
          <w:tcPr>
            <w:tcW w:w="1019" w:type="dxa"/>
            <w:tcBorders>
              <w:top w:val="nil"/>
              <w:left w:val="single" w:sz="4" w:space="0" w:color="auto"/>
              <w:bottom w:val="nil"/>
              <w:right w:val="nil"/>
            </w:tcBorders>
            <w:noWrap/>
            <w:vAlign w:val="bottom"/>
            <w:hideMark/>
          </w:tcPr>
          <w:p w14:paraId="011E8BD1" w14:textId="77777777" w:rsidR="007A6A1A" w:rsidRPr="00BB4D6B" w:rsidRDefault="007A6A1A" w:rsidP="00BB4D6B">
            <w:pPr>
              <w:spacing w:after="0" w:line="240" w:lineRule="auto"/>
              <w:rPr>
                <w:sz w:val="20"/>
                <w:szCs w:val="20"/>
              </w:rPr>
            </w:pPr>
            <w:r w:rsidRPr="00BB4D6B">
              <w:rPr>
                <w:sz w:val="20"/>
                <w:szCs w:val="20"/>
              </w:rPr>
              <w:t>4.7%</w:t>
            </w:r>
          </w:p>
        </w:tc>
        <w:tc>
          <w:tcPr>
            <w:tcW w:w="1019" w:type="dxa"/>
            <w:tcBorders>
              <w:top w:val="nil"/>
              <w:left w:val="nil"/>
              <w:bottom w:val="nil"/>
              <w:right w:val="nil"/>
            </w:tcBorders>
            <w:noWrap/>
            <w:vAlign w:val="bottom"/>
            <w:hideMark/>
          </w:tcPr>
          <w:p w14:paraId="0BE6744C" w14:textId="77777777" w:rsidR="007A6A1A" w:rsidRPr="00BB4D6B" w:rsidRDefault="007A6A1A" w:rsidP="00BB4D6B">
            <w:pPr>
              <w:spacing w:after="0" w:line="240" w:lineRule="auto"/>
              <w:rPr>
                <w:sz w:val="20"/>
                <w:szCs w:val="20"/>
              </w:rPr>
            </w:pPr>
            <w:r w:rsidRPr="00BB4D6B">
              <w:rPr>
                <w:sz w:val="20"/>
                <w:szCs w:val="20"/>
              </w:rPr>
              <w:t>20.6%</w:t>
            </w:r>
          </w:p>
        </w:tc>
        <w:tc>
          <w:tcPr>
            <w:tcW w:w="1019" w:type="dxa"/>
            <w:tcBorders>
              <w:top w:val="nil"/>
              <w:left w:val="nil"/>
              <w:bottom w:val="nil"/>
              <w:right w:val="nil"/>
            </w:tcBorders>
            <w:noWrap/>
            <w:vAlign w:val="bottom"/>
            <w:hideMark/>
          </w:tcPr>
          <w:p w14:paraId="230830E6" w14:textId="77777777" w:rsidR="007A6A1A" w:rsidRPr="00BB4D6B" w:rsidRDefault="007A6A1A" w:rsidP="00BB4D6B">
            <w:pPr>
              <w:spacing w:after="0" w:line="240" w:lineRule="auto"/>
              <w:rPr>
                <w:sz w:val="20"/>
                <w:szCs w:val="20"/>
              </w:rPr>
            </w:pPr>
            <w:r w:rsidRPr="00BB4D6B">
              <w:rPr>
                <w:sz w:val="20"/>
                <w:szCs w:val="20"/>
              </w:rPr>
              <w:t>7.3%</w:t>
            </w:r>
          </w:p>
        </w:tc>
        <w:tc>
          <w:tcPr>
            <w:tcW w:w="1019" w:type="dxa"/>
            <w:tcBorders>
              <w:top w:val="nil"/>
              <w:left w:val="nil"/>
              <w:bottom w:val="nil"/>
              <w:right w:val="single" w:sz="4" w:space="0" w:color="auto"/>
            </w:tcBorders>
            <w:noWrap/>
            <w:vAlign w:val="bottom"/>
            <w:hideMark/>
          </w:tcPr>
          <w:p w14:paraId="0C48A9C2" w14:textId="77777777" w:rsidR="007A6A1A" w:rsidRPr="00BB4D6B" w:rsidRDefault="007A6A1A" w:rsidP="00BB4D6B">
            <w:pPr>
              <w:spacing w:after="0" w:line="240" w:lineRule="auto"/>
              <w:rPr>
                <w:sz w:val="20"/>
                <w:szCs w:val="20"/>
              </w:rPr>
            </w:pPr>
            <w:r w:rsidRPr="00BB4D6B">
              <w:rPr>
                <w:sz w:val="20"/>
                <w:szCs w:val="20"/>
              </w:rPr>
              <w:t>24.7%</w:t>
            </w:r>
          </w:p>
        </w:tc>
      </w:tr>
      <w:tr w:rsidR="007A6A1A" w:rsidRPr="00167CB8" w14:paraId="4B15C67B" w14:textId="77777777">
        <w:trPr>
          <w:trHeight w:val="371"/>
        </w:trPr>
        <w:tc>
          <w:tcPr>
            <w:tcW w:w="4160" w:type="dxa"/>
            <w:tcBorders>
              <w:top w:val="nil"/>
              <w:left w:val="single" w:sz="4" w:space="0" w:color="auto"/>
              <w:bottom w:val="nil"/>
              <w:right w:val="nil"/>
            </w:tcBorders>
            <w:vAlign w:val="bottom"/>
            <w:hideMark/>
          </w:tcPr>
          <w:p w14:paraId="0D4F75AC" w14:textId="2E7988D9" w:rsidR="007A6A1A" w:rsidRPr="00BB4D6B" w:rsidRDefault="007A6A1A" w:rsidP="00BB4D6B">
            <w:pPr>
              <w:spacing w:after="0" w:line="240" w:lineRule="auto"/>
              <w:rPr>
                <w:sz w:val="20"/>
                <w:szCs w:val="20"/>
              </w:rPr>
            </w:pPr>
            <w:r w:rsidRPr="00BB4D6B">
              <w:rPr>
                <w:sz w:val="20"/>
                <w:szCs w:val="20"/>
              </w:rPr>
              <w:t xml:space="preserve">Arts and </w:t>
            </w:r>
            <w:r w:rsidR="00A461FB" w:rsidRPr="00BB4D6B">
              <w:rPr>
                <w:sz w:val="20"/>
                <w:szCs w:val="20"/>
              </w:rPr>
              <w:t>r</w:t>
            </w:r>
            <w:r w:rsidRPr="00BB4D6B">
              <w:rPr>
                <w:sz w:val="20"/>
                <w:szCs w:val="20"/>
              </w:rPr>
              <w:t xml:space="preserve">ecreation </w:t>
            </w:r>
            <w:r w:rsidR="00A461FB" w:rsidRPr="00BB4D6B">
              <w:rPr>
                <w:sz w:val="20"/>
                <w:szCs w:val="20"/>
              </w:rPr>
              <w:t>s</w:t>
            </w:r>
            <w:r w:rsidRPr="00BB4D6B">
              <w:rPr>
                <w:sz w:val="20"/>
                <w:szCs w:val="20"/>
              </w:rPr>
              <w:t>ervices</w:t>
            </w:r>
          </w:p>
        </w:tc>
        <w:tc>
          <w:tcPr>
            <w:tcW w:w="933" w:type="dxa"/>
            <w:tcBorders>
              <w:top w:val="nil"/>
              <w:left w:val="nil"/>
              <w:bottom w:val="nil"/>
              <w:right w:val="nil"/>
            </w:tcBorders>
            <w:noWrap/>
            <w:vAlign w:val="bottom"/>
            <w:hideMark/>
          </w:tcPr>
          <w:p w14:paraId="3C621290" w14:textId="77777777" w:rsidR="007A6A1A" w:rsidRPr="00BB4D6B" w:rsidRDefault="007A6A1A" w:rsidP="00BB4D6B">
            <w:pPr>
              <w:spacing w:after="0" w:line="240" w:lineRule="auto"/>
              <w:rPr>
                <w:sz w:val="20"/>
                <w:szCs w:val="20"/>
              </w:rPr>
            </w:pPr>
            <w:r w:rsidRPr="00BB4D6B">
              <w:rPr>
                <w:sz w:val="20"/>
                <w:szCs w:val="20"/>
              </w:rPr>
              <w:t>9%</w:t>
            </w:r>
          </w:p>
        </w:tc>
        <w:tc>
          <w:tcPr>
            <w:tcW w:w="933" w:type="dxa"/>
            <w:tcBorders>
              <w:top w:val="nil"/>
              <w:left w:val="nil"/>
              <w:bottom w:val="nil"/>
              <w:right w:val="nil"/>
            </w:tcBorders>
            <w:noWrap/>
            <w:vAlign w:val="bottom"/>
            <w:hideMark/>
          </w:tcPr>
          <w:p w14:paraId="196EF84E" w14:textId="77777777" w:rsidR="007A6A1A" w:rsidRPr="00BB4D6B" w:rsidRDefault="007A6A1A" w:rsidP="00BB4D6B">
            <w:pPr>
              <w:spacing w:after="0" w:line="240" w:lineRule="auto"/>
              <w:rPr>
                <w:sz w:val="20"/>
                <w:szCs w:val="20"/>
              </w:rPr>
            </w:pPr>
            <w:r w:rsidRPr="00BB4D6B">
              <w:rPr>
                <w:sz w:val="20"/>
                <w:szCs w:val="20"/>
              </w:rPr>
              <w:t>4%</w:t>
            </w:r>
          </w:p>
        </w:tc>
        <w:tc>
          <w:tcPr>
            <w:tcW w:w="934" w:type="dxa"/>
            <w:tcBorders>
              <w:top w:val="nil"/>
              <w:left w:val="nil"/>
              <w:bottom w:val="nil"/>
              <w:right w:val="single" w:sz="4" w:space="0" w:color="auto"/>
            </w:tcBorders>
            <w:noWrap/>
            <w:vAlign w:val="bottom"/>
            <w:hideMark/>
          </w:tcPr>
          <w:p w14:paraId="51388195" w14:textId="77777777" w:rsidR="007A6A1A" w:rsidRPr="00BB4D6B" w:rsidRDefault="007A6A1A" w:rsidP="00BB4D6B">
            <w:pPr>
              <w:spacing w:after="0" w:line="240" w:lineRule="auto"/>
              <w:rPr>
                <w:sz w:val="20"/>
                <w:szCs w:val="20"/>
              </w:rPr>
            </w:pPr>
            <w:r w:rsidRPr="00BB4D6B">
              <w:rPr>
                <w:sz w:val="20"/>
                <w:szCs w:val="20"/>
              </w:rPr>
              <w:t>11%</w:t>
            </w:r>
          </w:p>
        </w:tc>
        <w:tc>
          <w:tcPr>
            <w:tcW w:w="1019" w:type="dxa"/>
            <w:tcBorders>
              <w:top w:val="nil"/>
              <w:left w:val="single" w:sz="4" w:space="0" w:color="auto"/>
              <w:bottom w:val="nil"/>
              <w:right w:val="nil"/>
            </w:tcBorders>
            <w:noWrap/>
            <w:vAlign w:val="bottom"/>
            <w:hideMark/>
          </w:tcPr>
          <w:p w14:paraId="7FD00246" w14:textId="77777777" w:rsidR="007A6A1A" w:rsidRPr="00BB4D6B" w:rsidRDefault="007A6A1A" w:rsidP="00BB4D6B">
            <w:pPr>
              <w:spacing w:after="0" w:line="240" w:lineRule="auto"/>
              <w:rPr>
                <w:sz w:val="20"/>
                <w:szCs w:val="20"/>
              </w:rPr>
            </w:pPr>
            <w:r w:rsidRPr="00BB4D6B">
              <w:rPr>
                <w:sz w:val="20"/>
                <w:szCs w:val="20"/>
              </w:rPr>
              <w:t>19%</w:t>
            </w:r>
          </w:p>
        </w:tc>
        <w:tc>
          <w:tcPr>
            <w:tcW w:w="1019" w:type="dxa"/>
            <w:tcBorders>
              <w:top w:val="nil"/>
              <w:left w:val="nil"/>
              <w:bottom w:val="nil"/>
              <w:right w:val="nil"/>
            </w:tcBorders>
            <w:noWrap/>
            <w:vAlign w:val="bottom"/>
            <w:hideMark/>
          </w:tcPr>
          <w:p w14:paraId="69F42CC4" w14:textId="77777777" w:rsidR="007A6A1A" w:rsidRPr="00BB4D6B" w:rsidRDefault="007A6A1A" w:rsidP="00BB4D6B">
            <w:pPr>
              <w:spacing w:after="0" w:line="240" w:lineRule="auto"/>
              <w:rPr>
                <w:sz w:val="20"/>
                <w:szCs w:val="20"/>
              </w:rPr>
            </w:pPr>
            <w:r w:rsidRPr="00BB4D6B">
              <w:rPr>
                <w:sz w:val="20"/>
                <w:szCs w:val="20"/>
              </w:rPr>
              <w:t>10%</w:t>
            </w:r>
          </w:p>
        </w:tc>
        <w:tc>
          <w:tcPr>
            <w:tcW w:w="1020" w:type="dxa"/>
            <w:tcBorders>
              <w:top w:val="nil"/>
              <w:left w:val="nil"/>
              <w:bottom w:val="nil"/>
              <w:right w:val="single" w:sz="4" w:space="0" w:color="auto"/>
            </w:tcBorders>
            <w:noWrap/>
            <w:vAlign w:val="bottom"/>
            <w:hideMark/>
          </w:tcPr>
          <w:p w14:paraId="5766466D" w14:textId="77777777" w:rsidR="007A6A1A" w:rsidRPr="00BB4D6B" w:rsidRDefault="007A6A1A" w:rsidP="00BB4D6B">
            <w:pPr>
              <w:spacing w:after="0" w:line="240" w:lineRule="auto"/>
              <w:rPr>
                <w:sz w:val="20"/>
                <w:szCs w:val="20"/>
              </w:rPr>
            </w:pPr>
            <w:r w:rsidRPr="00BB4D6B">
              <w:rPr>
                <w:sz w:val="20"/>
                <w:szCs w:val="20"/>
              </w:rPr>
              <w:t>28%</w:t>
            </w:r>
          </w:p>
        </w:tc>
        <w:tc>
          <w:tcPr>
            <w:tcW w:w="1019" w:type="dxa"/>
            <w:tcBorders>
              <w:top w:val="nil"/>
              <w:left w:val="single" w:sz="4" w:space="0" w:color="auto"/>
              <w:bottom w:val="nil"/>
              <w:right w:val="nil"/>
            </w:tcBorders>
            <w:noWrap/>
            <w:vAlign w:val="bottom"/>
            <w:hideMark/>
          </w:tcPr>
          <w:p w14:paraId="09A89AAB" w14:textId="77777777" w:rsidR="007A6A1A" w:rsidRPr="00BB4D6B" w:rsidRDefault="007A6A1A" w:rsidP="00BB4D6B">
            <w:pPr>
              <w:spacing w:after="0" w:line="240" w:lineRule="auto"/>
              <w:rPr>
                <w:sz w:val="20"/>
                <w:szCs w:val="20"/>
              </w:rPr>
            </w:pPr>
            <w:r w:rsidRPr="00BB4D6B">
              <w:rPr>
                <w:sz w:val="20"/>
                <w:szCs w:val="20"/>
              </w:rPr>
              <w:t>1.9%</w:t>
            </w:r>
          </w:p>
        </w:tc>
        <w:tc>
          <w:tcPr>
            <w:tcW w:w="1019" w:type="dxa"/>
            <w:tcBorders>
              <w:top w:val="nil"/>
              <w:left w:val="nil"/>
              <w:bottom w:val="nil"/>
              <w:right w:val="nil"/>
            </w:tcBorders>
            <w:noWrap/>
            <w:vAlign w:val="bottom"/>
            <w:hideMark/>
          </w:tcPr>
          <w:p w14:paraId="24424825" w14:textId="77777777" w:rsidR="007A6A1A" w:rsidRPr="00BB4D6B" w:rsidRDefault="007A6A1A" w:rsidP="00BB4D6B">
            <w:pPr>
              <w:spacing w:after="0" w:line="240" w:lineRule="auto"/>
              <w:rPr>
                <w:sz w:val="20"/>
                <w:szCs w:val="20"/>
              </w:rPr>
            </w:pPr>
            <w:r w:rsidRPr="00BB4D6B">
              <w:rPr>
                <w:sz w:val="20"/>
                <w:szCs w:val="20"/>
              </w:rPr>
              <w:t>1.9%</w:t>
            </w:r>
          </w:p>
        </w:tc>
        <w:tc>
          <w:tcPr>
            <w:tcW w:w="1019" w:type="dxa"/>
            <w:tcBorders>
              <w:top w:val="nil"/>
              <w:left w:val="nil"/>
              <w:bottom w:val="nil"/>
              <w:right w:val="nil"/>
            </w:tcBorders>
            <w:noWrap/>
            <w:vAlign w:val="bottom"/>
            <w:hideMark/>
          </w:tcPr>
          <w:p w14:paraId="1DD68BDC" w14:textId="77777777" w:rsidR="007A6A1A" w:rsidRPr="00BB4D6B" w:rsidRDefault="007A6A1A" w:rsidP="00BB4D6B">
            <w:pPr>
              <w:spacing w:after="0" w:line="240" w:lineRule="auto"/>
              <w:rPr>
                <w:sz w:val="20"/>
                <w:szCs w:val="20"/>
              </w:rPr>
            </w:pPr>
            <w:r w:rsidRPr="00BB4D6B">
              <w:rPr>
                <w:sz w:val="20"/>
                <w:szCs w:val="20"/>
              </w:rPr>
              <w:t>1.8%</w:t>
            </w:r>
          </w:p>
        </w:tc>
        <w:tc>
          <w:tcPr>
            <w:tcW w:w="1019" w:type="dxa"/>
            <w:tcBorders>
              <w:top w:val="nil"/>
              <w:left w:val="nil"/>
              <w:bottom w:val="nil"/>
              <w:right w:val="single" w:sz="4" w:space="0" w:color="auto"/>
            </w:tcBorders>
            <w:noWrap/>
            <w:vAlign w:val="bottom"/>
            <w:hideMark/>
          </w:tcPr>
          <w:p w14:paraId="4AC03749" w14:textId="77777777" w:rsidR="007A6A1A" w:rsidRPr="00BB4D6B" w:rsidRDefault="007A6A1A" w:rsidP="00BB4D6B">
            <w:pPr>
              <w:spacing w:after="0" w:line="240" w:lineRule="auto"/>
              <w:rPr>
                <w:sz w:val="20"/>
                <w:szCs w:val="20"/>
              </w:rPr>
            </w:pPr>
            <w:r w:rsidRPr="00BB4D6B">
              <w:rPr>
                <w:sz w:val="20"/>
                <w:szCs w:val="20"/>
              </w:rPr>
              <w:t>2.0%</w:t>
            </w:r>
          </w:p>
        </w:tc>
      </w:tr>
      <w:tr w:rsidR="007A6A1A" w:rsidRPr="00167CB8" w14:paraId="72D059B0" w14:textId="77777777">
        <w:trPr>
          <w:trHeight w:val="371"/>
        </w:trPr>
        <w:tc>
          <w:tcPr>
            <w:tcW w:w="4160" w:type="dxa"/>
            <w:tcBorders>
              <w:top w:val="nil"/>
              <w:left w:val="single" w:sz="4" w:space="0" w:color="auto"/>
              <w:bottom w:val="single" w:sz="4" w:space="0" w:color="auto"/>
              <w:right w:val="nil"/>
            </w:tcBorders>
            <w:vAlign w:val="bottom"/>
            <w:hideMark/>
          </w:tcPr>
          <w:p w14:paraId="1D6C4A28" w14:textId="0783BF8E" w:rsidR="007A6A1A" w:rsidRPr="00BB4D6B" w:rsidRDefault="007A6A1A" w:rsidP="00BB4D6B">
            <w:pPr>
              <w:spacing w:after="0" w:line="240" w:lineRule="auto"/>
              <w:rPr>
                <w:sz w:val="20"/>
                <w:szCs w:val="20"/>
              </w:rPr>
            </w:pPr>
            <w:r w:rsidRPr="00BB4D6B">
              <w:rPr>
                <w:sz w:val="20"/>
                <w:szCs w:val="20"/>
              </w:rPr>
              <w:t xml:space="preserve">Other </w:t>
            </w:r>
            <w:r w:rsidR="00A461FB" w:rsidRPr="00BB4D6B">
              <w:rPr>
                <w:sz w:val="20"/>
                <w:szCs w:val="20"/>
              </w:rPr>
              <w:t>s</w:t>
            </w:r>
            <w:r w:rsidRPr="00BB4D6B">
              <w:rPr>
                <w:sz w:val="20"/>
                <w:szCs w:val="20"/>
              </w:rPr>
              <w:t xml:space="preserve">ervices </w:t>
            </w:r>
          </w:p>
        </w:tc>
        <w:tc>
          <w:tcPr>
            <w:tcW w:w="933" w:type="dxa"/>
            <w:tcBorders>
              <w:top w:val="nil"/>
              <w:left w:val="nil"/>
              <w:bottom w:val="single" w:sz="4" w:space="0" w:color="auto"/>
              <w:right w:val="nil"/>
            </w:tcBorders>
            <w:noWrap/>
            <w:vAlign w:val="bottom"/>
            <w:hideMark/>
          </w:tcPr>
          <w:p w14:paraId="5E65A277" w14:textId="77777777" w:rsidR="007A6A1A" w:rsidRPr="00BB4D6B" w:rsidRDefault="007A6A1A" w:rsidP="00BB4D6B">
            <w:pPr>
              <w:spacing w:after="0" w:line="240" w:lineRule="auto"/>
              <w:rPr>
                <w:sz w:val="20"/>
                <w:szCs w:val="20"/>
              </w:rPr>
            </w:pPr>
            <w:r w:rsidRPr="00BB4D6B">
              <w:rPr>
                <w:sz w:val="20"/>
                <w:szCs w:val="20"/>
              </w:rPr>
              <w:t>19%</w:t>
            </w:r>
          </w:p>
        </w:tc>
        <w:tc>
          <w:tcPr>
            <w:tcW w:w="933" w:type="dxa"/>
            <w:tcBorders>
              <w:top w:val="nil"/>
              <w:left w:val="nil"/>
              <w:bottom w:val="single" w:sz="4" w:space="0" w:color="auto"/>
              <w:right w:val="nil"/>
            </w:tcBorders>
            <w:noWrap/>
            <w:vAlign w:val="bottom"/>
            <w:hideMark/>
          </w:tcPr>
          <w:p w14:paraId="7C16A96F" w14:textId="77777777" w:rsidR="007A6A1A" w:rsidRPr="00BB4D6B" w:rsidRDefault="007A6A1A" w:rsidP="00BB4D6B">
            <w:pPr>
              <w:spacing w:after="0" w:line="240" w:lineRule="auto"/>
              <w:rPr>
                <w:sz w:val="20"/>
                <w:szCs w:val="20"/>
              </w:rPr>
            </w:pPr>
            <w:r w:rsidRPr="00BB4D6B">
              <w:rPr>
                <w:sz w:val="20"/>
                <w:szCs w:val="20"/>
              </w:rPr>
              <w:t>16%</w:t>
            </w:r>
          </w:p>
        </w:tc>
        <w:tc>
          <w:tcPr>
            <w:tcW w:w="934" w:type="dxa"/>
            <w:tcBorders>
              <w:top w:val="nil"/>
              <w:left w:val="nil"/>
              <w:bottom w:val="single" w:sz="4" w:space="0" w:color="auto"/>
              <w:right w:val="single" w:sz="4" w:space="0" w:color="auto"/>
            </w:tcBorders>
            <w:noWrap/>
            <w:vAlign w:val="bottom"/>
            <w:hideMark/>
          </w:tcPr>
          <w:p w14:paraId="0C6F1158" w14:textId="77777777" w:rsidR="007A6A1A" w:rsidRPr="00BB4D6B" w:rsidRDefault="007A6A1A" w:rsidP="00BB4D6B">
            <w:pPr>
              <w:spacing w:after="0" w:line="240" w:lineRule="auto"/>
              <w:rPr>
                <w:sz w:val="20"/>
                <w:szCs w:val="20"/>
              </w:rPr>
            </w:pPr>
            <w:r w:rsidRPr="00BB4D6B">
              <w:rPr>
                <w:sz w:val="20"/>
                <w:szCs w:val="20"/>
              </w:rPr>
              <w:t>22%</w:t>
            </w:r>
          </w:p>
        </w:tc>
        <w:tc>
          <w:tcPr>
            <w:tcW w:w="1019" w:type="dxa"/>
            <w:tcBorders>
              <w:top w:val="nil"/>
              <w:left w:val="single" w:sz="4" w:space="0" w:color="auto"/>
              <w:bottom w:val="single" w:sz="4" w:space="0" w:color="auto"/>
              <w:right w:val="nil"/>
            </w:tcBorders>
            <w:noWrap/>
            <w:vAlign w:val="bottom"/>
            <w:hideMark/>
          </w:tcPr>
          <w:p w14:paraId="1BF926ED" w14:textId="77777777" w:rsidR="007A6A1A" w:rsidRPr="00BB4D6B" w:rsidRDefault="007A6A1A" w:rsidP="00BB4D6B">
            <w:pPr>
              <w:spacing w:after="0" w:line="240" w:lineRule="auto"/>
              <w:rPr>
                <w:sz w:val="20"/>
                <w:szCs w:val="20"/>
              </w:rPr>
            </w:pPr>
            <w:r w:rsidRPr="00BB4D6B">
              <w:rPr>
                <w:sz w:val="20"/>
                <w:szCs w:val="20"/>
              </w:rPr>
              <w:t>1%</w:t>
            </w:r>
          </w:p>
        </w:tc>
        <w:tc>
          <w:tcPr>
            <w:tcW w:w="1019" w:type="dxa"/>
            <w:tcBorders>
              <w:top w:val="nil"/>
              <w:left w:val="nil"/>
              <w:bottom w:val="single" w:sz="4" w:space="0" w:color="auto"/>
              <w:right w:val="nil"/>
            </w:tcBorders>
            <w:noWrap/>
            <w:vAlign w:val="bottom"/>
            <w:hideMark/>
          </w:tcPr>
          <w:p w14:paraId="4057104A" w14:textId="77777777" w:rsidR="007A6A1A" w:rsidRPr="00BB4D6B" w:rsidRDefault="007A6A1A" w:rsidP="00BB4D6B">
            <w:pPr>
              <w:spacing w:after="0" w:line="240" w:lineRule="auto"/>
              <w:rPr>
                <w:sz w:val="20"/>
                <w:szCs w:val="20"/>
              </w:rPr>
            </w:pPr>
            <w:r w:rsidRPr="00BB4D6B">
              <w:rPr>
                <w:sz w:val="20"/>
                <w:szCs w:val="20"/>
              </w:rPr>
              <w:t>3%</w:t>
            </w:r>
          </w:p>
        </w:tc>
        <w:tc>
          <w:tcPr>
            <w:tcW w:w="1020" w:type="dxa"/>
            <w:tcBorders>
              <w:top w:val="nil"/>
              <w:left w:val="nil"/>
              <w:bottom w:val="single" w:sz="4" w:space="0" w:color="auto"/>
              <w:right w:val="single" w:sz="4" w:space="0" w:color="auto"/>
            </w:tcBorders>
            <w:noWrap/>
            <w:vAlign w:val="bottom"/>
            <w:hideMark/>
          </w:tcPr>
          <w:p w14:paraId="6718B794" w14:textId="77777777" w:rsidR="007A6A1A" w:rsidRPr="00BB4D6B" w:rsidRDefault="007A6A1A" w:rsidP="00BB4D6B">
            <w:pPr>
              <w:spacing w:after="0" w:line="240" w:lineRule="auto"/>
              <w:rPr>
                <w:sz w:val="20"/>
                <w:szCs w:val="20"/>
              </w:rPr>
            </w:pPr>
            <w:r w:rsidRPr="00BB4D6B">
              <w:rPr>
                <w:sz w:val="20"/>
                <w:szCs w:val="20"/>
              </w:rPr>
              <w:t>-3%</w:t>
            </w:r>
          </w:p>
        </w:tc>
        <w:tc>
          <w:tcPr>
            <w:tcW w:w="1019" w:type="dxa"/>
            <w:tcBorders>
              <w:top w:val="nil"/>
              <w:left w:val="single" w:sz="4" w:space="0" w:color="auto"/>
              <w:bottom w:val="single" w:sz="4" w:space="0" w:color="auto"/>
              <w:right w:val="nil"/>
            </w:tcBorders>
            <w:noWrap/>
            <w:vAlign w:val="bottom"/>
            <w:hideMark/>
          </w:tcPr>
          <w:p w14:paraId="3A479AA8" w14:textId="77777777" w:rsidR="007A6A1A" w:rsidRPr="00BB4D6B" w:rsidRDefault="007A6A1A" w:rsidP="00BB4D6B">
            <w:pPr>
              <w:spacing w:after="0" w:line="240" w:lineRule="auto"/>
              <w:rPr>
                <w:sz w:val="20"/>
                <w:szCs w:val="20"/>
              </w:rPr>
            </w:pPr>
            <w:r w:rsidRPr="00BB4D6B">
              <w:rPr>
                <w:sz w:val="20"/>
                <w:szCs w:val="20"/>
              </w:rPr>
              <w:t>4.1%</w:t>
            </w:r>
          </w:p>
        </w:tc>
        <w:tc>
          <w:tcPr>
            <w:tcW w:w="1019" w:type="dxa"/>
            <w:tcBorders>
              <w:top w:val="nil"/>
              <w:left w:val="nil"/>
              <w:bottom w:val="single" w:sz="4" w:space="0" w:color="auto"/>
              <w:right w:val="nil"/>
            </w:tcBorders>
            <w:noWrap/>
            <w:vAlign w:val="bottom"/>
            <w:hideMark/>
          </w:tcPr>
          <w:p w14:paraId="6804FC77" w14:textId="77777777" w:rsidR="007A6A1A" w:rsidRPr="00BB4D6B" w:rsidRDefault="007A6A1A" w:rsidP="00BB4D6B">
            <w:pPr>
              <w:spacing w:after="0" w:line="240" w:lineRule="auto"/>
              <w:rPr>
                <w:sz w:val="20"/>
                <w:szCs w:val="20"/>
              </w:rPr>
            </w:pPr>
            <w:r w:rsidRPr="00BB4D6B">
              <w:rPr>
                <w:sz w:val="20"/>
                <w:szCs w:val="20"/>
              </w:rPr>
              <w:t>3.6%</w:t>
            </w:r>
          </w:p>
        </w:tc>
        <w:tc>
          <w:tcPr>
            <w:tcW w:w="1019" w:type="dxa"/>
            <w:tcBorders>
              <w:top w:val="nil"/>
              <w:left w:val="nil"/>
              <w:bottom w:val="single" w:sz="4" w:space="0" w:color="auto"/>
              <w:right w:val="nil"/>
            </w:tcBorders>
            <w:noWrap/>
            <w:vAlign w:val="bottom"/>
            <w:hideMark/>
          </w:tcPr>
          <w:p w14:paraId="22564E7A" w14:textId="77777777" w:rsidR="007A6A1A" w:rsidRPr="00BB4D6B" w:rsidRDefault="007A6A1A" w:rsidP="00BB4D6B">
            <w:pPr>
              <w:spacing w:after="0" w:line="240" w:lineRule="auto"/>
              <w:rPr>
                <w:sz w:val="20"/>
                <w:szCs w:val="20"/>
              </w:rPr>
            </w:pPr>
            <w:r w:rsidRPr="00BB4D6B">
              <w:rPr>
                <w:sz w:val="20"/>
                <w:szCs w:val="20"/>
              </w:rPr>
              <w:t>3.9%</w:t>
            </w:r>
          </w:p>
        </w:tc>
        <w:tc>
          <w:tcPr>
            <w:tcW w:w="1019" w:type="dxa"/>
            <w:tcBorders>
              <w:top w:val="nil"/>
              <w:left w:val="nil"/>
              <w:bottom w:val="single" w:sz="4" w:space="0" w:color="auto"/>
              <w:right w:val="single" w:sz="4" w:space="0" w:color="auto"/>
            </w:tcBorders>
            <w:noWrap/>
            <w:vAlign w:val="bottom"/>
            <w:hideMark/>
          </w:tcPr>
          <w:p w14:paraId="640D71B7" w14:textId="77777777" w:rsidR="007A6A1A" w:rsidRPr="00BB4D6B" w:rsidRDefault="007A6A1A" w:rsidP="00BB4D6B">
            <w:pPr>
              <w:spacing w:after="0" w:line="240" w:lineRule="auto"/>
              <w:rPr>
                <w:sz w:val="20"/>
                <w:szCs w:val="20"/>
              </w:rPr>
            </w:pPr>
            <w:r w:rsidRPr="00BB4D6B">
              <w:rPr>
                <w:sz w:val="20"/>
                <w:szCs w:val="20"/>
              </w:rPr>
              <w:t>3.2%</w:t>
            </w:r>
          </w:p>
        </w:tc>
      </w:tr>
      <w:tr w:rsidR="007A6A1A" w:rsidRPr="00167CB8" w14:paraId="3DC209FE" w14:textId="77777777">
        <w:trPr>
          <w:trHeight w:val="371"/>
        </w:trPr>
        <w:tc>
          <w:tcPr>
            <w:tcW w:w="4160" w:type="dxa"/>
            <w:tcBorders>
              <w:top w:val="single" w:sz="4" w:space="0" w:color="auto"/>
              <w:left w:val="single" w:sz="4" w:space="0" w:color="auto"/>
              <w:bottom w:val="single" w:sz="4" w:space="0" w:color="auto"/>
              <w:right w:val="nil"/>
            </w:tcBorders>
            <w:noWrap/>
            <w:vAlign w:val="bottom"/>
            <w:hideMark/>
          </w:tcPr>
          <w:p w14:paraId="3E0D9778" w14:textId="77777777" w:rsidR="007A6A1A" w:rsidRPr="00BB4D6B" w:rsidRDefault="007A6A1A" w:rsidP="00BB4D6B">
            <w:pPr>
              <w:spacing w:after="0" w:line="240" w:lineRule="auto"/>
              <w:rPr>
                <w:sz w:val="20"/>
                <w:szCs w:val="20"/>
              </w:rPr>
            </w:pPr>
            <w:r w:rsidRPr="00BB4D6B">
              <w:rPr>
                <w:sz w:val="20"/>
                <w:szCs w:val="20"/>
              </w:rPr>
              <w:t>Total (All industries)</w:t>
            </w:r>
          </w:p>
        </w:tc>
        <w:tc>
          <w:tcPr>
            <w:tcW w:w="933" w:type="dxa"/>
            <w:tcBorders>
              <w:top w:val="single" w:sz="4" w:space="0" w:color="auto"/>
              <w:left w:val="nil"/>
              <w:bottom w:val="single" w:sz="4" w:space="0" w:color="auto"/>
              <w:right w:val="nil"/>
            </w:tcBorders>
            <w:noWrap/>
            <w:vAlign w:val="bottom"/>
            <w:hideMark/>
          </w:tcPr>
          <w:p w14:paraId="2A78AB0A" w14:textId="77777777" w:rsidR="007A6A1A" w:rsidRPr="00BB4D6B" w:rsidRDefault="007A6A1A" w:rsidP="00BB4D6B">
            <w:pPr>
              <w:spacing w:after="0" w:line="240" w:lineRule="auto"/>
              <w:rPr>
                <w:sz w:val="20"/>
                <w:szCs w:val="20"/>
              </w:rPr>
            </w:pPr>
            <w:r w:rsidRPr="00BB4D6B">
              <w:rPr>
                <w:sz w:val="20"/>
                <w:szCs w:val="20"/>
              </w:rPr>
              <w:t>16%</w:t>
            </w:r>
          </w:p>
        </w:tc>
        <w:tc>
          <w:tcPr>
            <w:tcW w:w="933" w:type="dxa"/>
            <w:tcBorders>
              <w:top w:val="single" w:sz="4" w:space="0" w:color="auto"/>
              <w:left w:val="nil"/>
              <w:bottom w:val="single" w:sz="4" w:space="0" w:color="auto"/>
              <w:right w:val="nil"/>
            </w:tcBorders>
            <w:noWrap/>
            <w:vAlign w:val="bottom"/>
            <w:hideMark/>
          </w:tcPr>
          <w:p w14:paraId="72466D4E" w14:textId="77777777" w:rsidR="007A6A1A" w:rsidRPr="00BB4D6B" w:rsidRDefault="007A6A1A" w:rsidP="00BB4D6B">
            <w:pPr>
              <w:spacing w:after="0" w:line="240" w:lineRule="auto"/>
              <w:rPr>
                <w:sz w:val="20"/>
                <w:szCs w:val="20"/>
              </w:rPr>
            </w:pPr>
            <w:r w:rsidRPr="00BB4D6B">
              <w:rPr>
                <w:sz w:val="20"/>
                <w:szCs w:val="20"/>
              </w:rPr>
              <w:t>16%</w:t>
            </w:r>
          </w:p>
        </w:tc>
        <w:tc>
          <w:tcPr>
            <w:tcW w:w="934" w:type="dxa"/>
            <w:tcBorders>
              <w:top w:val="single" w:sz="4" w:space="0" w:color="auto"/>
              <w:left w:val="nil"/>
              <w:bottom w:val="single" w:sz="4" w:space="0" w:color="auto"/>
              <w:right w:val="single" w:sz="4" w:space="0" w:color="auto"/>
            </w:tcBorders>
            <w:noWrap/>
            <w:vAlign w:val="bottom"/>
            <w:hideMark/>
          </w:tcPr>
          <w:p w14:paraId="12DC3EE7" w14:textId="77777777" w:rsidR="007A6A1A" w:rsidRPr="00BB4D6B" w:rsidRDefault="007A6A1A" w:rsidP="00BB4D6B">
            <w:pPr>
              <w:spacing w:after="0" w:line="240" w:lineRule="auto"/>
              <w:rPr>
                <w:sz w:val="20"/>
                <w:szCs w:val="20"/>
              </w:rPr>
            </w:pPr>
            <w:r w:rsidRPr="00BB4D6B">
              <w:rPr>
                <w:sz w:val="20"/>
                <w:szCs w:val="20"/>
              </w:rPr>
              <w:t>26%</w:t>
            </w:r>
          </w:p>
        </w:tc>
        <w:tc>
          <w:tcPr>
            <w:tcW w:w="1019" w:type="dxa"/>
            <w:tcBorders>
              <w:top w:val="single" w:sz="4" w:space="0" w:color="auto"/>
              <w:left w:val="single" w:sz="4" w:space="0" w:color="auto"/>
              <w:bottom w:val="single" w:sz="4" w:space="0" w:color="auto"/>
              <w:right w:val="nil"/>
            </w:tcBorders>
            <w:noWrap/>
            <w:vAlign w:val="bottom"/>
            <w:hideMark/>
          </w:tcPr>
          <w:p w14:paraId="2665D73F" w14:textId="77777777" w:rsidR="007A6A1A" w:rsidRPr="00BB4D6B" w:rsidRDefault="007A6A1A" w:rsidP="00BB4D6B">
            <w:pPr>
              <w:spacing w:after="0" w:line="240" w:lineRule="auto"/>
              <w:rPr>
                <w:sz w:val="20"/>
                <w:szCs w:val="20"/>
              </w:rPr>
            </w:pPr>
            <w:r w:rsidRPr="00BB4D6B">
              <w:rPr>
                <w:sz w:val="20"/>
                <w:szCs w:val="20"/>
              </w:rPr>
              <w:t>3%</w:t>
            </w:r>
          </w:p>
        </w:tc>
        <w:tc>
          <w:tcPr>
            <w:tcW w:w="1019" w:type="dxa"/>
            <w:tcBorders>
              <w:top w:val="single" w:sz="4" w:space="0" w:color="auto"/>
              <w:left w:val="nil"/>
              <w:bottom w:val="single" w:sz="4" w:space="0" w:color="auto"/>
              <w:right w:val="nil"/>
            </w:tcBorders>
            <w:noWrap/>
            <w:vAlign w:val="bottom"/>
            <w:hideMark/>
          </w:tcPr>
          <w:p w14:paraId="2BFF4FA0" w14:textId="77777777" w:rsidR="007A6A1A" w:rsidRPr="00BB4D6B" w:rsidRDefault="007A6A1A" w:rsidP="00BB4D6B">
            <w:pPr>
              <w:spacing w:after="0" w:line="240" w:lineRule="auto"/>
              <w:rPr>
                <w:sz w:val="20"/>
                <w:szCs w:val="20"/>
              </w:rPr>
            </w:pPr>
            <w:r w:rsidRPr="00BB4D6B">
              <w:rPr>
                <w:sz w:val="20"/>
                <w:szCs w:val="20"/>
              </w:rPr>
              <w:t>6%</w:t>
            </w:r>
          </w:p>
        </w:tc>
        <w:tc>
          <w:tcPr>
            <w:tcW w:w="1020" w:type="dxa"/>
            <w:tcBorders>
              <w:top w:val="single" w:sz="4" w:space="0" w:color="auto"/>
              <w:left w:val="nil"/>
              <w:bottom w:val="single" w:sz="4" w:space="0" w:color="auto"/>
              <w:right w:val="single" w:sz="4" w:space="0" w:color="auto"/>
            </w:tcBorders>
            <w:noWrap/>
            <w:vAlign w:val="bottom"/>
            <w:hideMark/>
          </w:tcPr>
          <w:p w14:paraId="7C9E6864" w14:textId="77777777" w:rsidR="007A6A1A" w:rsidRPr="00BB4D6B" w:rsidRDefault="007A6A1A" w:rsidP="00BB4D6B">
            <w:pPr>
              <w:spacing w:after="0" w:line="240" w:lineRule="auto"/>
              <w:rPr>
                <w:sz w:val="20"/>
                <w:szCs w:val="20"/>
              </w:rPr>
            </w:pPr>
            <w:r w:rsidRPr="00BB4D6B">
              <w:rPr>
                <w:sz w:val="20"/>
                <w:szCs w:val="20"/>
              </w:rPr>
              <w:t>6%</w:t>
            </w:r>
          </w:p>
        </w:tc>
        <w:tc>
          <w:tcPr>
            <w:tcW w:w="1019" w:type="dxa"/>
            <w:tcBorders>
              <w:top w:val="single" w:sz="4" w:space="0" w:color="auto"/>
              <w:left w:val="single" w:sz="4" w:space="0" w:color="auto"/>
              <w:bottom w:val="single" w:sz="4" w:space="0" w:color="auto"/>
              <w:right w:val="nil"/>
            </w:tcBorders>
            <w:noWrap/>
            <w:vAlign w:val="bottom"/>
            <w:hideMark/>
          </w:tcPr>
          <w:p w14:paraId="6417B82A" w14:textId="77777777" w:rsidR="007A6A1A" w:rsidRPr="00BB4D6B" w:rsidRDefault="007A6A1A" w:rsidP="00BB4D6B">
            <w:pPr>
              <w:spacing w:after="0" w:line="240" w:lineRule="auto"/>
              <w:rPr>
                <w:sz w:val="20"/>
                <w:szCs w:val="20"/>
              </w:rPr>
            </w:pPr>
            <w:r w:rsidRPr="00BB4D6B">
              <w:rPr>
                <w:sz w:val="20"/>
                <w:szCs w:val="20"/>
              </w:rPr>
              <w:t>100.0%</w:t>
            </w:r>
          </w:p>
        </w:tc>
        <w:tc>
          <w:tcPr>
            <w:tcW w:w="1019" w:type="dxa"/>
            <w:tcBorders>
              <w:top w:val="single" w:sz="4" w:space="0" w:color="auto"/>
              <w:left w:val="nil"/>
              <w:bottom w:val="single" w:sz="4" w:space="0" w:color="auto"/>
              <w:right w:val="nil"/>
            </w:tcBorders>
            <w:noWrap/>
            <w:vAlign w:val="bottom"/>
            <w:hideMark/>
          </w:tcPr>
          <w:p w14:paraId="7D011C90" w14:textId="77777777" w:rsidR="007A6A1A" w:rsidRPr="00BB4D6B" w:rsidRDefault="007A6A1A" w:rsidP="00BB4D6B">
            <w:pPr>
              <w:spacing w:after="0" w:line="240" w:lineRule="auto"/>
              <w:rPr>
                <w:sz w:val="20"/>
                <w:szCs w:val="20"/>
              </w:rPr>
            </w:pPr>
            <w:r w:rsidRPr="00BB4D6B">
              <w:rPr>
                <w:sz w:val="20"/>
                <w:szCs w:val="20"/>
              </w:rPr>
              <w:t>100.0%</w:t>
            </w:r>
          </w:p>
        </w:tc>
        <w:tc>
          <w:tcPr>
            <w:tcW w:w="1019" w:type="dxa"/>
            <w:tcBorders>
              <w:top w:val="single" w:sz="4" w:space="0" w:color="auto"/>
              <w:left w:val="nil"/>
              <w:bottom w:val="single" w:sz="4" w:space="0" w:color="auto"/>
              <w:right w:val="nil"/>
            </w:tcBorders>
            <w:noWrap/>
            <w:vAlign w:val="bottom"/>
            <w:hideMark/>
          </w:tcPr>
          <w:p w14:paraId="2EB1C370" w14:textId="77777777" w:rsidR="007A6A1A" w:rsidRPr="00BB4D6B" w:rsidRDefault="007A6A1A" w:rsidP="00BB4D6B">
            <w:pPr>
              <w:spacing w:after="0" w:line="240" w:lineRule="auto"/>
              <w:rPr>
                <w:sz w:val="20"/>
                <w:szCs w:val="20"/>
              </w:rPr>
            </w:pPr>
            <w:r w:rsidRPr="00BB4D6B">
              <w:rPr>
                <w:sz w:val="20"/>
                <w:szCs w:val="20"/>
              </w:rPr>
              <w:t>100.0%</w:t>
            </w:r>
          </w:p>
        </w:tc>
        <w:tc>
          <w:tcPr>
            <w:tcW w:w="1019" w:type="dxa"/>
            <w:tcBorders>
              <w:top w:val="single" w:sz="4" w:space="0" w:color="auto"/>
              <w:left w:val="nil"/>
              <w:bottom w:val="single" w:sz="4" w:space="0" w:color="auto"/>
              <w:right w:val="single" w:sz="4" w:space="0" w:color="auto"/>
            </w:tcBorders>
            <w:noWrap/>
            <w:vAlign w:val="bottom"/>
            <w:hideMark/>
          </w:tcPr>
          <w:p w14:paraId="74A374BA" w14:textId="77777777" w:rsidR="007A6A1A" w:rsidRPr="00BB4D6B" w:rsidRDefault="007A6A1A" w:rsidP="00BB4D6B">
            <w:pPr>
              <w:spacing w:after="0" w:line="240" w:lineRule="auto"/>
              <w:rPr>
                <w:sz w:val="20"/>
                <w:szCs w:val="20"/>
              </w:rPr>
            </w:pPr>
            <w:r w:rsidRPr="00BB4D6B">
              <w:rPr>
                <w:sz w:val="20"/>
                <w:szCs w:val="20"/>
              </w:rPr>
              <w:t>100.0%</w:t>
            </w:r>
          </w:p>
        </w:tc>
      </w:tr>
    </w:tbl>
    <w:p w14:paraId="58062A04" w14:textId="302B3A4F" w:rsidR="007A6A1A" w:rsidRPr="00167CB8" w:rsidRDefault="007A6A1A" w:rsidP="00BB4D6B">
      <w:pPr>
        <w:pStyle w:val="Source"/>
        <w:spacing w:after="0" w:line="240" w:lineRule="auto"/>
      </w:pPr>
      <w:r w:rsidRPr="00167CB8">
        <w:rPr>
          <w:b/>
          <w:bCs/>
        </w:rPr>
        <w:t>Source:</w:t>
      </w:r>
      <w:r w:rsidRPr="00167CB8">
        <w:t xml:space="preserve"> ABS Labour Force, Australia, Detailed (Cat No 6291.0.55.001), Table 4. Seasonally adjusted data.  </w:t>
      </w:r>
    </w:p>
    <w:p w14:paraId="7F86C5FF"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7066D313" w14:textId="5E2A9759" w:rsidR="007A6A1A" w:rsidRPr="00167CB8" w:rsidRDefault="007A6A1A" w:rsidP="00470AB9">
      <w:pPr>
        <w:pStyle w:val="Caption"/>
      </w:pPr>
      <w:bookmarkStart w:id="652" w:name="_Ref184403902"/>
      <w:bookmarkStart w:id="653" w:name="_Toc186991803"/>
      <w:bookmarkStart w:id="654" w:name="_Toc189310854"/>
      <w:r w:rsidRPr="00167CB8">
        <w:lastRenderedPageBreak/>
        <w:t xml:space="preserve">Table </w:t>
      </w:r>
      <w:r w:rsidR="008B6861" w:rsidRPr="00167CB8">
        <w:t>25</w:t>
      </w:r>
      <w:bookmarkEnd w:id="652"/>
      <w:r w:rsidRPr="00167CB8">
        <w:t>: Employment growth by 1-digit occupation division and distribution of employment by occupation, Australia</w:t>
      </w:r>
      <w:bookmarkEnd w:id="653"/>
      <w:bookmarkEnd w:id="654"/>
    </w:p>
    <w:tbl>
      <w:tblPr>
        <w:tblW w:w="13801" w:type="dxa"/>
        <w:tblLook w:val="04A0" w:firstRow="1" w:lastRow="0" w:firstColumn="1" w:lastColumn="0" w:noHBand="0" w:noVBand="1"/>
      </w:tblPr>
      <w:tblGrid>
        <w:gridCol w:w="2526"/>
        <w:gridCol w:w="1273"/>
        <w:gridCol w:w="1465"/>
        <w:gridCol w:w="1332"/>
        <w:gridCol w:w="1277"/>
        <w:gridCol w:w="1520"/>
        <w:gridCol w:w="1010"/>
        <w:gridCol w:w="1188"/>
        <w:gridCol w:w="1166"/>
        <w:gridCol w:w="1044"/>
      </w:tblGrid>
      <w:tr w:rsidR="007A6A1A" w:rsidRPr="00BB4D6B" w14:paraId="402245A7" w14:textId="77777777">
        <w:trPr>
          <w:trHeight w:val="873"/>
        </w:trPr>
        <w:tc>
          <w:tcPr>
            <w:tcW w:w="2526" w:type="dxa"/>
            <w:tcBorders>
              <w:top w:val="single" w:sz="4" w:space="0" w:color="auto"/>
              <w:left w:val="single" w:sz="4" w:space="0" w:color="auto"/>
              <w:bottom w:val="single" w:sz="4" w:space="0" w:color="auto"/>
              <w:right w:val="nil"/>
            </w:tcBorders>
            <w:noWrap/>
            <w:vAlign w:val="bottom"/>
            <w:hideMark/>
          </w:tcPr>
          <w:p w14:paraId="33BC8174" w14:textId="77777777" w:rsidR="007A6A1A" w:rsidRPr="00BB4D6B" w:rsidRDefault="007A6A1A" w:rsidP="00BB4D6B">
            <w:pPr>
              <w:spacing w:after="0" w:line="240" w:lineRule="auto"/>
              <w:rPr>
                <w:sz w:val="20"/>
                <w:szCs w:val="20"/>
              </w:rPr>
            </w:pPr>
          </w:p>
        </w:tc>
        <w:tc>
          <w:tcPr>
            <w:tcW w:w="1273" w:type="dxa"/>
            <w:tcBorders>
              <w:top w:val="single" w:sz="4" w:space="0" w:color="auto"/>
              <w:left w:val="nil"/>
              <w:bottom w:val="single" w:sz="4" w:space="0" w:color="auto"/>
              <w:right w:val="nil"/>
            </w:tcBorders>
            <w:hideMark/>
          </w:tcPr>
          <w:p w14:paraId="61BF1B3A" w14:textId="77777777" w:rsidR="007A6A1A" w:rsidRPr="00A32741" w:rsidRDefault="007A6A1A" w:rsidP="00BB4D6B">
            <w:pPr>
              <w:spacing w:after="0" w:line="240" w:lineRule="auto"/>
              <w:rPr>
                <w:sz w:val="18"/>
                <w:szCs w:val="18"/>
              </w:rPr>
            </w:pPr>
            <w:r w:rsidRPr="00A32741">
              <w:rPr>
                <w:sz w:val="18"/>
                <w:szCs w:val="18"/>
              </w:rPr>
              <w:t>Managers</w:t>
            </w:r>
          </w:p>
        </w:tc>
        <w:tc>
          <w:tcPr>
            <w:tcW w:w="1465" w:type="dxa"/>
            <w:tcBorders>
              <w:top w:val="single" w:sz="4" w:space="0" w:color="auto"/>
              <w:left w:val="nil"/>
              <w:bottom w:val="single" w:sz="4" w:space="0" w:color="auto"/>
              <w:right w:val="nil"/>
            </w:tcBorders>
            <w:hideMark/>
          </w:tcPr>
          <w:p w14:paraId="7B8462F9" w14:textId="77777777" w:rsidR="007A6A1A" w:rsidRPr="00A32741" w:rsidRDefault="007A6A1A" w:rsidP="00BB4D6B">
            <w:pPr>
              <w:spacing w:after="0" w:line="240" w:lineRule="auto"/>
              <w:rPr>
                <w:sz w:val="18"/>
                <w:szCs w:val="18"/>
              </w:rPr>
            </w:pPr>
            <w:r w:rsidRPr="00A32741">
              <w:rPr>
                <w:sz w:val="18"/>
                <w:szCs w:val="18"/>
              </w:rPr>
              <w:t>Professionals</w:t>
            </w:r>
          </w:p>
        </w:tc>
        <w:tc>
          <w:tcPr>
            <w:tcW w:w="1332" w:type="dxa"/>
            <w:tcBorders>
              <w:top w:val="single" w:sz="4" w:space="0" w:color="auto"/>
              <w:left w:val="nil"/>
              <w:bottom w:val="single" w:sz="4" w:space="0" w:color="auto"/>
              <w:right w:val="nil"/>
            </w:tcBorders>
            <w:hideMark/>
          </w:tcPr>
          <w:p w14:paraId="20D5E1AC" w14:textId="1DA8C911" w:rsidR="007A6A1A" w:rsidRPr="00A32741" w:rsidRDefault="007A6A1A" w:rsidP="00BB4D6B">
            <w:pPr>
              <w:spacing w:after="0" w:line="240" w:lineRule="auto"/>
              <w:rPr>
                <w:sz w:val="18"/>
                <w:szCs w:val="18"/>
              </w:rPr>
            </w:pPr>
            <w:r w:rsidRPr="00A32741">
              <w:rPr>
                <w:sz w:val="18"/>
                <w:szCs w:val="18"/>
              </w:rPr>
              <w:t xml:space="preserve">Technicians and </w:t>
            </w:r>
            <w:r w:rsidR="00A461FB" w:rsidRPr="00A32741">
              <w:rPr>
                <w:sz w:val="18"/>
                <w:szCs w:val="18"/>
              </w:rPr>
              <w:t>t</w:t>
            </w:r>
            <w:r w:rsidRPr="00A32741">
              <w:rPr>
                <w:sz w:val="18"/>
                <w:szCs w:val="18"/>
              </w:rPr>
              <w:t xml:space="preserve">rades </w:t>
            </w:r>
            <w:r w:rsidR="00A461FB" w:rsidRPr="00A32741">
              <w:rPr>
                <w:sz w:val="18"/>
                <w:szCs w:val="18"/>
              </w:rPr>
              <w:t>w</w:t>
            </w:r>
            <w:r w:rsidRPr="00A32741">
              <w:rPr>
                <w:sz w:val="18"/>
                <w:szCs w:val="18"/>
              </w:rPr>
              <w:t>orkers</w:t>
            </w:r>
          </w:p>
        </w:tc>
        <w:tc>
          <w:tcPr>
            <w:tcW w:w="1277" w:type="dxa"/>
            <w:tcBorders>
              <w:top w:val="single" w:sz="4" w:space="0" w:color="auto"/>
              <w:left w:val="nil"/>
              <w:bottom w:val="single" w:sz="4" w:space="0" w:color="auto"/>
              <w:right w:val="nil"/>
            </w:tcBorders>
            <w:hideMark/>
          </w:tcPr>
          <w:p w14:paraId="483F36A9" w14:textId="293D61F9" w:rsidR="007A6A1A" w:rsidRPr="00A32741" w:rsidRDefault="007A6A1A" w:rsidP="00BB4D6B">
            <w:pPr>
              <w:spacing w:after="0" w:line="240" w:lineRule="auto"/>
              <w:rPr>
                <w:sz w:val="18"/>
                <w:szCs w:val="18"/>
              </w:rPr>
            </w:pPr>
            <w:r w:rsidRPr="00A32741">
              <w:rPr>
                <w:sz w:val="18"/>
                <w:szCs w:val="18"/>
              </w:rPr>
              <w:t xml:space="preserve">Community and </w:t>
            </w:r>
            <w:r w:rsidR="00A461FB" w:rsidRPr="00A32741">
              <w:rPr>
                <w:sz w:val="18"/>
                <w:szCs w:val="18"/>
              </w:rPr>
              <w:t>p</w:t>
            </w:r>
            <w:r w:rsidRPr="00A32741">
              <w:rPr>
                <w:sz w:val="18"/>
                <w:szCs w:val="18"/>
              </w:rPr>
              <w:t xml:space="preserve">ersonal </w:t>
            </w:r>
            <w:r w:rsidR="00A461FB" w:rsidRPr="00A32741">
              <w:rPr>
                <w:sz w:val="18"/>
                <w:szCs w:val="18"/>
              </w:rPr>
              <w:t>s</w:t>
            </w:r>
            <w:r w:rsidRPr="00A32741">
              <w:rPr>
                <w:sz w:val="18"/>
                <w:szCs w:val="18"/>
              </w:rPr>
              <w:t xml:space="preserve">ervice </w:t>
            </w:r>
            <w:r w:rsidR="00A461FB" w:rsidRPr="00A32741">
              <w:rPr>
                <w:sz w:val="18"/>
                <w:szCs w:val="18"/>
              </w:rPr>
              <w:t>w</w:t>
            </w:r>
            <w:r w:rsidRPr="00A32741">
              <w:rPr>
                <w:sz w:val="18"/>
                <w:szCs w:val="18"/>
              </w:rPr>
              <w:t>orkers</w:t>
            </w:r>
          </w:p>
        </w:tc>
        <w:tc>
          <w:tcPr>
            <w:tcW w:w="1520" w:type="dxa"/>
            <w:tcBorders>
              <w:top w:val="single" w:sz="4" w:space="0" w:color="auto"/>
              <w:left w:val="nil"/>
              <w:bottom w:val="single" w:sz="4" w:space="0" w:color="auto"/>
              <w:right w:val="nil"/>
            </w:tcBorders>
            <w:hideMark/>
          </w:tcPr>
          <w:p w14:paraId="3C20CD8F" w14:textId="7BCC6946" w:rsidR="007A6A1A" w:rsidRPr="00A32741" w:rsidRDefault="007A6A1A" w:rsidP="00BB4D6B">
            <w:pPr>
              <w:spacing w:after="0" w:line="240" w:lineRule="auto"/>
              <w:rPr>
                <w:sz w:val="18"/>
                <w:szCs w:val="18"/>
              </w:rPr>
            </w:pPr>
            <w:r w:rsidRPr="00A32741">
              <w:rPr>
                <w:sz w:val="18"/>
                <w:szCs w:val="18"/>
              </w:rPr>
              <w:t xml:space="preserve">Clerical and </w:t>
            </w:r>
            <w:r w:rsidR="00A461FB" w:rsidRPr="00A32741">
              <w:rPr>
                <w:sz w:val="18"/>
                <w:szCs w:val="18"/>
              </w:rPr>
              <w:t>a</w:t>
            </w:r>
            <w:r w:rsidRPr="00A32741">
              <w:rPr>
                <w:sz w:val="18"/>
                <w:szCs w:val="18"/>
              </w:rPr>
              <w:t xml:space="preserve">dministrative </w:t>
            </w:r>
            <w:r w:rsidR="00A461FB" w:rsidRPr="00A32741">
              <w:rPr>
                <w:sz w:val="18"/>
                <w:szCs w:val="18"/>
              </w:rPr>
              <w:t>w</w:t>
            </w:r>
            <w:r w:rsidRPr="00A32741">
              <w:rPr>
                <w:sz w:val="18"/>
                <w:szCs w:val="18"/>
              </w:rPr>
              <w:t>orkers</w:t>
            </w:r>
          </w:p>
        </w:tc>
        <w:tc>
          <w:tcPr>
            <w:tcW w:w="1010" w:type="dxa"/>
            <w:tcBorders>
              <w:top w:val="single" w:sz="4" w:space="0" w:color="auto"/>
              <w:left w:val="nil"/>
              <w:bottom w:val="single" w:sz="4" w:space="0" w:color="auto"/>
              <w:right w:val="nil"/>
            </w:tcBorders>
            <w:hideMark/>
          </w:tcPr>
          <w:p w14:paraId="517AAA75" w14:textId="6BEFA434" w:rsidR="007A6A1A" w:rsidRPr="00A32741" w:rsidRDefault="007A6A1A" w:rsidP="00BB4D6B">
            <w:pPr>
              <w:spacing w:after="0" w:line="240" w:lineRule="auto"/>
              <w:rPr>
                <w:sz w:val="18"/>
                <w:szCs w:val="18"/>
              </w:rPr>
            </w:pPr>
            <w:r w:rsidRPr="00A32741">
              <w:rPr>
                <w:sz w:val="18"/>
                <w:szCs w:val="18"/>
              </w:rPr>
              <w:t xml:space="preserve">Sales </w:t>
            </w:r>
            <w:r w:rsidR="00A461FB" w:rsidRPr="00A32741">
              <w:rPr>
                <w:sz w:val="18"/>
                <w:szCs w:val="18"/>
              </w:rPr>
              <w:t>w</w:t>
            </w:r>
            <w:r w:rsidRPr="00A32741">
              <w:rPr>
                <w:sz w:val="18"/>
                <w:szCs w:val="18"/>
              </w:rPr>
              <w:t>orkers</w:t>
            </w:r>
          </w:p>
        </w:tc>
        <w:tc>
          <w:tcPr>
            <w:tcW w:w="1188" w:type="dxa"/>
            <w:tcBorders>
              <w:top w:val="single" w:sz="4" w:space="0" w:color="auto"/>
              <w:left w:val="nil"/>
              <w:bottom w:val="single" w:sz="4" w:space="0" w:color="auto"/>
              <w:right w:val="nil"/>
            </w:tcBorders>
            <w:hideMark/>
          </w:tcPr>
          <w:p w14:paraId="69EA3D97" w14:textId="0CB187DA" w:rsidR="007A6A1A" w:rsidRPr="00A32741" w:rsidRDefault="007A6A1A" w:rsidP="00BB4D6B">
            <w:pPr>
              <w:spacing w:after="0" w:line="240" w:lineRule="auto"/>
              <w:rPr>
                <w:sz w:val="18"/>
                <w:szCs w:val="18"/>
              </w:rPr>
            </w:pPr>
            <w:r w:rsidRPr="00A32741">
              <w:rPr>
                <w:sz w:val="18"/>
                <w:szCs w:val="18"/>
              </w:rPr>
              <w:t xml:space="preserve">Machinery </w:t>
            </w:r>
            <w:r w:rsidR="00A461FB" w:rsidRPr="00A32741">
              <w:rPr>
                <w:sz w:val="18"/>
                <w:szCs w:val="18"/>
              </w:rPr>
              <w:t>o</w:t>
            </w:r>
            <w:r w:rsidRPr="00A32741">
              <w:rPr>
                <w:sz w:val="18"/>
                <w:szCs w:val="18"/>
              </w:rPr>
              <w:t xml:space="preserve">perators and </w:t>
            </w:r>
            <w:r w:rsidR="00A461FB" w:rsidRPr="00A32741">
              <w:rPr>
                <w:sz w:val="18"/>
                <w:szCs w:val="18"/>
              </w:rPr>
              <w:t>d</w:t>
            </w:r>
            <w:r w:rsidRPr="00A32741">
              <w:rPr>
                <w:sz w:val="18"/>
                <w:szCs w:val="18"/>
              </w:rPr>
              <w:t>rivers</w:t>
            </w:r>
          </w:p>
        </w:tc>
        <w:tc>
          <w:tcPr>
            <w:tcW w:w="1166" w:type="dxa"/>
            <w:tcBorders>
              <w:top w:val="single" w:sz="4" w:space="0" w:color="auto"/>
              <w:left w:val="nil"/>
              <w:bottom w:val="single" w:sz="4" w:space="0" w:color="auto"/>
              <w:right w:val="nil"/>
            </w:tcBorders>
            <w:hideMark/>
          </w:tcPr>
          <w:p w14:paraId="5A49CA0E" w14:textId="77777777" w:rsidR="007A6A1A" w:rsidRPr="00A32741" w:rsidRDefault="007A6A1A" w:rsidP="00BB4D6B">
            <w:pPr>
              <w:spacing w:after="0" w:line="240" w:lineRule="auto"/>
              <w:rPr>
                <w:sz w:val="18"/>
                <w:szCs w:val="18"/>
              </w:rPr>
            </w:pPr>
            <w:r w:rsidRPr="00A32741">
              <w:rPr>
                <w:sz w:val="18"/>
                <w:szCs w:val="18"/>
              </w:rPr>
              <w:t>Labourers</w:t>
            </w:r>
          </w:p>
        </w:tc>
        <w:tc>
          <w:tcPr>
            <w:tcW w:w="1044" w:type="dxa"/>
            <w:tcBorders>
              <w:top w:val="single" w:sz="4" w:space="0" w:color="auto"/>
              <w:left w:val="nil"/>
              <w:bottom w:val="single" w:sz="4" w:space="0" w:color="auto"/>
              <w:right w:val="single" w:sz="4" w:space="0" w:color="auto"/>
            </w:tcBorders>
            <w:hideMark/>
          </w:tcPr>
          <w:p w14:paraId="5BD9731F" w14:textId="77777777" w:rsidR="007A6A1A" w:rsidRPr="00A32741" w:rsidRDefault="007A6A1A" w:rsidP="00BB4D6B">
            <w:pPr>
              <w:spacing w:after="0" w:line="240" w:lineRule="auto"/>
              <w:rPr>
                <w:sz w:val="18"/>
                <w:szCs w:val="18"/>
              </w:rPr>
            </w:pPr>
            <w:r w:rsidRPr="00A32741">
              <w:rPr>
                <w:sz w:val="18"/>
                <w:szCs w:val="18"/>
              </w:rPr>
              <w:t>Total</w:t>
            </w:r>
          </w:p>
        </w:tc>
      </w:tr>
      <w:tr w:rsidR="007A6A1A" w:rsidRPr="00BB4D6B" w14:paraId="3080C101" w14:textId="77777777">
        <w:trPr>
          <w:trHeight w:val="287"/>
        </w:trPr>
        <w:tc>
          <w:tcPr>
            <w:tcW w:w="2526" w:type="dxa"/>
            <w:tcBorders>
              <w:top w:val="single" w:sz="4" w:space="0" w:color="auto"/>
              <w:left w:val="single" w:sz="4" w:space="0" w:color="auto"/>
              <w:bottom w:val="nil"/>
              <w:right w:val="nil"/>
            </w:tcBorders>
            <w:noWrap/>
            <w:hideMark/>
          </w:tcPr>
          <w:p w14:paraId="7DD6E5E4" w14:textId="77777777" w:rsidR="007A6A1A" w:rsidRPr="00BB4D6B" w:rsidRDefault="007A6A1A" w:rsidP="00BB4D6B">
            <w:pPr>
              <w:spacing w:after="0" w:line="240" w:lineRule="auto"/>
              <w:rPr>
                <w:b/>
                <w:bCs/>
                <w:sz w:val="20"/>
                <w:szCs w:val="20"/>
              </w:rPr>
            </w:pPr>
            <w:r w:rsidRPr="00BB4D6B">
              <w:rPr>
                <w:b/>
                <w:bCs/>
                <w:sz w:val="20"/>
                <w:szCs w:val="20"/>
              </w:rPr>
              <w:t>Men</w:t>
            </w:r>
          </w:p>
        </w:tc>
        <w:tc>
          <w:tcPr>
            <w:tcW w:w="1273" w:type="dxa"/>
            <w:tcBorders>
              <w:top w:val="single" w:sz="4" w:space="0" w:color="auto"/>
              <w:left w:val="nil"/>
              <w:bottom w:val="nil"/>
              <w:right w:val="nil"/>
            </w:tcBorders>
            <w:hideMark/>
          </w:tcPr>
          <w:p w14:paraId="383E4DF2" w14:textId="77777777" w:rsidR="007A6A1A" w:rsidRPr="00BB4D6B" w:rsidRDefault="007A6A1A" w:rsidP="00BB4D6B">
            <w:pPr>
              <w:spacing w:after="0" w:line="240" w:lineRule="auto"/>
              <w:rPr>
                <w:b/>
                <w:bCs/>
                <w:sz w:val="20"/>
                <w:szCs w:val="20"/>
              </w:rPr>
            </w:pPr>
          </w:p>
        </w:tc>
        <w:tc>
          <w:tcPr>
            <w:tcW w:w="1465" w:type="dxa"/>
            <w:tcBorders>
              <w:top w:val="single" w:sz="4" w:space="0" w:color="auto"/>
              <w:left w:val="nil"/>
              <w:bottom w:val="nil"/>
              <w:right w:val="nil"/>
            </w:tcBorders>
            <w:hideMark/>
          </w:tcPr>
          <w:p w14:paraId="494108F7" w14:textId="77777777" w:rsidR="007A6A1A" w:rsidRPr="00BB4D6B" w:rsidRDefault="007A6A1A" w:rsidP="00BB4D6B">
            <w:pPr>
              <w:spacing w:after="0" w:line="240" w:lineRule="auto"/>
              <w:rPr>
                <w:sz w:val="20"/>
                <w:szCs w:val="20"/>
              </w:rPr>
            </w:pPr>
          </w:p>
        </w:tc>
        <w:tc>
          <w:tcPr>
            <w:tcW w:w="1332" w:type="dxa"/>
            <w:tcBorders>
              <w:top w:val="single" w:sz="4" w:space="0" w:color="auto"/>
              <w:left w:val="nil"/>
              <w:bottom w:val="nil"/>
              <w:right w:val="nil"/>
            </w:tcBorders>
            <w:hideMark/>
          </w:tcPr>
          <w:p w14:paraId="5F01D394" w14:textId="77777777" w:rsidR="007A6A1A" w:rsidRPr="00BB4D6B" w:rsidRDefault="007A6A1A" w:rsidP="00BB4D6B">
            <w:pPr>
              <w:spacing w:after="0" w:line="240" w:lineRule="auto"/>
              <w:rPr>
                <w:sz w:val="20"/>
                <w:szCs w:val="20"/>
              </w:rPr>
            </w:pPr>
          </w:p>
        </w:tc>
        <w:tc>
          <w:tcPr>
            <w:tcW w:w="1277" w:type="dxa"/>
            <w:tcBorders>
              <w:top w:val="single" w:sz="4" w:space="0" w:color="auto"/>
              <w:left w:val="nil"/>
              <w:bottom w:val="nil"/>
              <w:right w:val="nil"/>
            </w:tcBorders>
            <w:hideMark/>
          </w:tcPr>
          <w:p w14:paraId="641ECB86" w14:textId="77777777" w:rsidR="007A6A1A" w:rsidRPr="00BB4D6B" w:rsidRDefault="007A6A1A" w:rsidP="00BB4D6B">
            <w:pPr>
              <w:spacing w:after="0" w:line="240" w:lineRule="auto"/>
              <w:rPr>
                <w:sz w:val="20"/>
                <w:szCs w:val="20"/>
              </w:rPr>
            </w:pPr>
          </w:p>
        </w:tc>
        <w:tc>
          <w:tcPr>
            <w:tcW w:w="1520" w:type="dxa"/>
            <w:tcBorders>
              <w:top w:val="single" w:sz="4" w:space="0" w:color="auto"/>
              <w:left w:val="nil"/>
              <w:bottom w:val="nil"/>
              <w:right w:val="nil"/>
            </w:tcBorders>
            <w:hideMark/>
          </w:tcPr>
          <w:p w14:paraId="0C72D010" w14:textId="77777777" w:rsidR="007A6A1A" w:rsidRPr="00BB4D6B" w:rsidRDefault="007A6A1A" w:rsidP="00BB4D6B">
            <w:pPr>
              <w:spacing w:after="0" w:line="240" w:lineRule="auto"/>
              <w:rPr>
                <w:sz w:val="20"/>
                <w:szCs w:val="20"/>
              </w:rPr>
            </w:pPr>
          </w:p>
        </w:tc>
        <w:tc>
          <w:tcPr>
            <w:tcW w:w="1010" w:type="dxa"/>
            <w:tcBorders>
              <w:top w:val="single" w:sz="4" w:space="0" w:color="auto"/>
              <w:left w:val="nil"/>
              <w:bottom w:val="nil"/>
              <w:right w:val="nil"/>
            </w:tcBorders>
            <w:hideMark/>
          </w:tcPr>
          <w:p w14:paraId="2BA4BD5F" w14:textId="77777777" w:rsidR="007A6A1A" w:rsidRPr="00BB4D6B" w:rsidRDefault="007A6A1A" w:rsidP="00BB4D6B">
            <w:pPr>
              <w:spacing w:after="0" w:line="240" w:lineRule="auto"/>
              <w:rPr>
                <w:sz w:val="20"/>
                <w:szCs w:val="20"/>
              </w:rPr>
            </w:pPr>
          </w:p>
        </w:tc>
        <w:tc>
          <w:tcPr>
            <w:tcW w:w="1188" w:type="dxa"/>
            <w:tcBorders>
              <w:top w:val="single" w:sz="4" w:space="0" w:color="auto"/>
              <w:left w:val="nil"/>
              <w:bottom w:val="nil"/>
              <w:right w:val="nil"/>
            </w:tcBorders>
            <w:hideMark/>
          </w:tcPr>
          <w:p w14:paraId="6A01AAE5" w14:textId="77777777" w:rsidR="007A6A1A" w:rsidRPr="00BB4D6B" w:rsidRDefault="007A6A1A" w:rsidP="00BB4D6B">
            <w:pPr>
              <w:spacing w:after="0" w:line="240" w:lineRule="auto"/>
              <w:rPr>
                <w:sz w:val="20"/>
                <w:szCs w:val="20"/>
              </w:rPr>
            </w:pPr>
          </w:p>
        </w:tc>
        <w:tc>
          <w:tcPr>
            <w:tcW w:w="1166" w:type="dxa"/>
            <w:tcBorders>
              <w:top w:val="single" w:sz="4" w:space="0" w:color="auto"/>
              <w:left w:val="nil"/>
              <w:bottom w:val="nil"/>
              <w:right w:val="nil"/>
            </w:tcBorders>
            <w:hideMark/>
          </w:tcPr>
          <w:p w14:paraId="5D05F4AC" w14:textId="77777777" w:rsidR="007A6A1A" w:rsidRPr="00BB4D6B" w:rsidRDefault="007A6A1A" w:rsidP="00BB4D6B">
            <w:pPr>
              <w:spacing w:after="0" w:line="240" w:lineRule="auto"/>
              <w:rPr>
                <w:sz w:val="20"/>
                <w:szCs w:val="20"/>
              </w:rPr>
            </w:pPr>
          </w:p>
        </w:tc>
        <w:tc>
          <w:tcPr>
            <w:tcW w:w="1044" w:type="dxa"/>
            <w:tcBorders>
              <w:top w:val="single" w:sz="4" w:space="0" w:color="auto"/>
              <w:left w:val="nil"/>
              <w:bottom w:val="nil"/>
              <w:right w:val="single" w:sz="4" w:space="0" w:color="auto"/>
            </w:tcBorders>
            <w:noWrap/>
            <w:hideMark/>
          </w:tcPr>
          <w:p w14:paraId="48885063" w14:textId="77777777" w:rsidR="007A6A1A" w:rsidRPr="00BB4D6B" w:rsidRDefault="007A6A1A" w:rsidP="00BB4D6B">
            <w:pPr>
              <w:spacing w:after="0" w:line="240" w:lineRule="auto"/>
              <w:rPr>
                <w:sz w:val="20"/>
                <w:szCs w:val="20"/>
              </w:rPr>
            </w:pPr>
          </w:p>
        </w:tc>
      </w:tr>
      <w:tr w:rsidR="007A6A1A" w:rsidRPr="00BB4D6B" w14:paraId="436B0B34" w14:textId="77777777">
        <w:trPr>
          <w:trHeight w:val="287"/>
        </w:trPr>
        <w:tc>
          <w:tcPr>
            <w:tcW w:w="2526" w:type="dxa"/>
            <w:tcBorders>
              <w:top w:val="nil"/>
              <w:left w:val="single" w:sz="4" w:space="0" w:color="auto"/>
              <w:bottom w:val="nil"/>
              <w:right w:val="nil"/>
            </w:tcBorders>
            <w:noWrap/>
            <w:hideMark/>
          </w:tcPr>
          <w:p w14:paraId="56791170" w14:textId="77777777" w:rsidR="007A6A1A" w:rsidRPr="00A32741" w:rsidRDefault="007A6A1A" w:rsidP="00BB4D6B">
            <w:pPr>
              <w:spacing w:after="0" w:line="240" w:lineRule="auto"/>
              <w:rPr>
                <w:sz w:val="18"/>
                <w:szCs w:val="18"/>
              </w:rPr>
            </w:pPr>
            <w:r w:rsidRPr="00A32741">
              <w:rPr>
                <w:sz w:val="18"/>
                <w:szCs w:val="18"/>
              </w:rPr>
              <w:t>Aug-2012</w:t>
            </w:r>
          </w:p>
        </w:tc>
        <w:tc>
          <w:tcPr>
            <w:tcW w:w="1273" w:type="dxa"/>
            <w:noWrap/>
            <w:hideMark/>
          </w:tcPr>
          <w:p w14:paraId="7D9ED9DD" w14:textId="77777777" w:rsidR="007A6A1A" w:rsidRPr="00A32741" w:rsidRDefault="007A6A1A" w:rsidP="00BB4D6B">
            <w:pPr>
              <w:spacing w:after="0" w:line="240" w:lineRule="auto"/>
              <w:rPr>
                <w:sz w:val="18"/>
                <w:szCs w:val="18"/>
              </w:rPr>
            </w:pPr>
            <w:r w:rsidRPr="00A32741">
              <w:rPr>
                <w:sz w:val="18"/>
                <w:szCs w:val="18"/>
              </w:rPr>
              <w:t>939.8</w:t>
            </w:r>
          </w:p>
        </w:tc>
        <w:tc>
          <w:tcPr>
            <w:tcW w:w="1465" w:type="dxa"/>
            <w:noWrap/>
            <w:hideMark/>
          </w:tcPr>
          <w:p w14:paraId="5218EDDE" w14:textId="77777777" w:rsidR="007A6A1A" w:rsidRPr="00A32741" w:rsidRDefault="007A6A1A" w:rsidP="00BB4D6B">
            <w:pPr>
              <w:spacing w:after="0" w:line="240" w:lineRule="auto"/>
              <w:rPr>
                <w:sz w:val="18"/>
                <w:szCs w:val="18"/>
              </w:rPr>
            </w:pPr>
            <w:r w:rsidRPr="00A32741">
              <w:rPr>
                <w:sz w:val="18"/>
                <w:szCs w:val="18"/>
              </w:rPr>
              <w:t>1,204.8</w:t>
            </w:r>
          </w:p>
        </w:tc>
        <w:tc>
          <w:tcPr>
            <w:tcW w:w="1332" w:type="dxa"/>
            <w:noWrap/>
            <w:hideMark/>
          </w:tcPr>
          <w:p w14:paraId="216A3DC9" w14:textId="77777777" w:rsidR="007A6A1A" w:rsidRPr="00A32741" w:rsidRDefault="007A6A1A" w:rsidP="00BB4D6B">
            <w:pPr>
              <w:spacing w:after="0" w:line="240" w:lineRule="auto"/>
              <w:rPr>
                <w:sz w:val="18"/>
                <w:szCs w:val="18"/>
              </w:rPr>
            </w:pPr>
            <w:r w:rsidRPr="00A32741">
              <w:rPr>
                <w:sz w:val="18"/>
                <w:szCs w:val="18"/>
              </w:rPr>
              <w:t>1,419.0</w:t>
            </w:r>
          </w:p>
        </w:tc>
        <w:tc>
          <w:tcPr>
            <w:tcW w:w="1277" w:type="dxa"/>
            <w:noWrap/>
            <w:hideMark/>
          </w:tcPr>
          <w:p w14:paraId="03D0FD39" w14:textId="77777777" w:rsidR="007A6A1A" w:rsidRPr="00A32741" w:rsidRDefault="007A6A1A" w:rsidP="00BB4D6B">
            <w:pPr>
              <w:spacing w:after="0" w:line="240" w:lineRule="auto"/>
              <w:rPr>
                <w:sz w:val="18"/>
                <w:szCs w:val="18"/>
              </w:rPr>
            </w:pPr>
            <w:r w:rsidRPr="00A32741">
              <w:rPr>
                <w:sz w:val="18"/>
                <w:szCs w:val="18"/>
              </w:rPr>
              <w:t>337.1</w:t>
            </w:r>
          </w:p>
        </w:tc>
        <w:tc>
          <w:tcPr>
            <w:tcW w:w="1520" w:type="dxa"/>
            <w:noWrap/>
            <w:hideMark/>
          </w:tcPr>
          <w:p w14:paraId="038F25D7" w14:textId="77777777" w:rsidR="007A6A1A" w:rsidRPr="00A32741" w:rsidRDefault="007A6A1A" w:rsidP="00BB4D6B">
            <w:pPr>
              <w:spacing w:after="0" w:line="240" w:lineRule="auto"/>
              <w:rPr>
                <w:sz w:val="18"/>
                <w:szCs w:val="18"/>
              </w:rPr>
            </w:pPr>
            <w:r w:rsidRPr="00A32741">
              <w:rPr>
                <w:sz w:val="18"/>
                <w:szCs w:val="18"/>
              </w:rPr>
              <w:t>397.2</w:t>
            </w:r>
          </w:p>
        </w:tc>
        <w:tc>
          <w:tcPr>
            <w:tcW w:w="1010" w:type="dxa"/>
            <w:noWrap/>
            <w:hideMark/>
          </w:tcPr>
          <w:p w14:paraId="25AB4A13" w14:textId="77777777" w:rsidR="007A6A1A" w:rsidRPr="00A32741" w:rsidRDefault="007A6A1A" w:rsidP="00BB4D6B">
            <w:pPr>
              <w:spacing w:after="0" w:line="240" w:lineRule="auto"/>
              <w:rPr>
                <w:sz w:val="18"/>
                <w:szCs w:val="18"/>
              </w:rPr>
            </w:pPr>
            <w:r w:rsidRPr="00A32741">
              <w:rPr>
                <w:sz w:val="18"/>
                <w:szCs w:val="18"/>
              </w:rPr>
              <w:t>405.1</w:t>
            </w:r>
          </w:p>
        </w:tc>
        <w:tc>
          <w:tcPr>
            <w:tcW w:w="1188" w:type="dxa"/>
            <w:noWrap/>
            <w:hideMark/>
          </w:tcPr>
          <w:p w14:paraId="374591BF" w14:textId="77777777" w:rsidR="007A6A1A" w:rsidRPr="00A32741" w:rsidRDefault="007A6A1A" w:rsidP="00BB4D6B">
            <w:pPr>
              <w:spacing w:after="0" w:line="240" w:lineRule="auto"/>
              <w:rPr>
                <w:sz w:val="18"/>
                <w:szCs w:val="18"/>
              </w:rPr>
            </w:pPr>
            <w:r w:rsidRPr="00A32741">
              <w:rPr>
                <w:sz w:val="18"/>
                <w:szCs w:val="18"/>
              </w:rPr>
              <w:t>669.1</w:t>
            </w:r>
          </w:p>
        </w:tc>
        <w:tc>
          <w:tcPr>
            <w:tcW w:w="1166" w:type="dxa"/>
            <w:noWrap/>
            <w:hideMark/>
          </w:tcPr>
          <w:p w14:paraId="02F513DF" w14:textId="77777777" w:rsidR="007A6A1A" w:rsidRPr="00A32741" w:rsidRDefault="007A6A1A" w:rsidP="00BB4D6B">
            <w:pPr>
              <w:spacing w:after="0" w:line="240" w:lineRule="auto"/>
              <w:rPr>
                <w:sz w:val="18"/>
                <w:szCs w:val="18"/>
              </w:rPr>
            </w:pPr>
            <w:r w:rsidRPr="00A32741">
              <w:rPr>
                <w:sz w:val="18"/>
                <w:szCs w:val="18"/>
              </w:rPr>
              <w:t>736.1</w:t>
            </w:r>
          </w:p>
        </w:tc>
        <w:tc>
          <w:tcPr>
            <w:tcW w:w="1044" w:type="dxa"/>
            <w:tcBorders>
              <w:top w:val="nil"/>
              <w:left w:val="nil"/>
              <w:bottom w:val="nil"/>
              <w:right w:val="single" w:sz="4" w:space="0" w:color="auto"/>
            </w:tcBorders>
            <w:noWrap/>
            <w:hideMark/>
          </w:tcPr>
          <w:p w14:paraId="0F08106E" w14:textId="77777777" w:rsidR="007A6A1A" w:rsidRPr="00A32741" w:rsidRDefault="007A6A1A" w:rsidP="00BB4D6B">
            <w:pPr>
              <w:spacing w:after="0" w:line="240" w:lineRule="auto"/>
              <w:rPr>
                <w:sz w:val="18"/>
                <w:szCs w:val="18"/>
              </w:rPr>
            </w:pPr>
            <w:r w:rsidRPr="00A32741">
              <w:rPr>
                <w:sz w:val="18"/>
                <w:szCs w:val="18"/>
              </w:rPr>
              <w:t>6,108.2</w:t>
            </w:r>
          </w:p>
        </w:tc>
      </w:tr>
      <w:tr w:rsidR="007A6A1A" w:rsidRPr="00BB4D6B" w14:paraId="4CEF203C" w14:textId="77777777">
        <w:trPr>
          <w:trHeight w:val="287"/>
        </w:trPr>
        <w:tc>
          <w:tcPr>
            <w:tcW w:w="2526" w:type="dxa"/>
            <w:tcBorders>
              <w:top w:val="nil"/>
              <w:left w:val="single" w:sz="4" w:space="0" w:color="auto"/>
              <w:bottom w:val="nil"/>
              <w:right w:val="nil"/>
            </w:tcBorders>
            <w:noWrap/>
            <w:hideMark/>
          </w:tcPr>
          <w:p w14:paraId="7C99A00E" w14:textId="77777777" w:rsidR="007A6A1A" w:rsidRPr="00A32741" w:rsidRDefault="007A6A1A" w:rsidP="00BB4D6B">
            <w:pPr>
              <w:spacing w:after="0" w:line="240" w:lineRule="auto"/>
              <w:rPr>
                <w:sz w:val="18"/>
                <w:szCs w:val="18"/>
              </w:rPr>
            </w:pPr>
            <w:r w:rsidRPr="00A32741">
              <w:rPr>
                <w:sz w:val="18"/>
                <w:szCs w:val="18"/>
              </w:rPr>
              <w:t>Aug-2022</w:t>
            </w:r>
          </w:p>
        </w:tc>
        <w:tc>
          <w:tcPr>
            <w:tcW w:w="1273" w:type="dxa"/>
            <w:noWrap/>
            <w:hideMark/>
          </w:tcPr>
          <w:p w14:paraId="2C9E34F2" w14:textId="77777777" w:rsidR="007A6A1A" w:rsidRPr="00A32741" w:rsidRDefault="007A6A1A" w:rsidP="00BB4D6B">
            <w:pPr>
              <w:spacing w:after="0" w:line="240" w:lineRule="auto"/>
              <w:rPr>
                <w:sz w:val="18"/>
                <w:szCs w:val="18"/>
              </w:rPr>
            </w:pPr>
            <w:r w:rsidRPr="00A32741">
              <w:rPr>
                <w:sz w:val="18"/>
                <w:szCs w:val="18"/>
              </w:rPr>
              <w:t>1,132.6</w:t>
            </w:r>
          </w:p>
        </w:tc>
        <w:tc>
          <w:tcPr>
            <w:tcW w:w="1465" w:type="dxa"/>
            <w:noWrap/>
            <w:hideMark/>
          </w:tcPr>
          <w:p w14:paraId="4C61E521" w14:textId="77777777" w:rsidR="007A6A1A" w:rsidRPr="00A32741" w:rsidRDefault="007A6A1A" w:rsidP="00BB4D6B">
            <w:pPr>
              <w:spacing w:after="0" w:line="240" w:lineRule="auto"/>
              <w:rPr>
                <w:sz w:val="18"/>
                <w:szCs w:val="18"/>
              </w:rPr>
            </w:pPr>
            <w:r w:rsidRPr="00A32741">
              <w:rPr>
                <w:sz w:val="18"/>
                <w:szCs w:val="18"/>
              </w:rPr>
              <w:t>1,539.7</w:t>
            </w:r>
          </w:p>
        </w:tc>
        <w:tc>
          <w:tcPr>
            <w:tcW w:w="1332" w:type="dxa"/>
            <w:noWrap/>
            <w:hideMark/>
          </w:tcPr>
          <w:p w14:paraId="62A00C30" w14:textId="77777777" w:rsidR="007A6A1A" w:rsidRPr="00A32741" w:rsidRDefault="007A6A1A" w:rsidP="00BB4D6B">
            <w:pPr>
              <w:spacing w:after="0" w:line="240" w:lineRule="auto"/>
              <w:rPr>
                <w:sz w:val="18"/>
                <w:szCs w:val="18"/>
              </w:rPr>
            </w:pPr>
            <w:r w:rsidRPr="00A32741">
              <w:rPr>
                <w:sz w:val="18"/>
                <w:szCs w:val="18"/>
              </w:rPr>
              <w:t>1,538.4</w:t>
            </w:r>
          </w:p>
        </w:tc>
        <w:tc>
          <w:tcPr>
            <w:tcW w:w="1277" w:type="dxa"/>
            <w:noWrap/>
            <w:hideMark/>
          </w:tcPr>
          <w:p w14:paraId="3100682D" w14:textId="77777777" w:rsidR="007A6A1A" w:rsidRPr="00A32741" w:rsidRDefault="007A6A1A" w:rsidP="00BB4D6B">
            <w:pPr>
              <w:spacing w:after="0" w:line="240" w:lineRule="auto"/>
              <w:rPr>
                <w:sz w:val="18"/>
                <w:szCs w:val="18"/>
              </w:rPr>
            </w:pPr>
            <w:r w:rsidRPr="00A32741">
              <w:rPr>
                <w:sz w:val="18"/>
                <w:szCs w:val="18"/>
              </w:rPr>
              <w:t>460.3</w:t>
            </w:r>
          </w:p>
        </w:tc>
        <w:tc>
          <w:tcPr>
            <w:tcW w:w="1520" w:type="dxa"/>
            <w:noWrap/>
            <w:hideMark/>
          </w:tcPr>
          <w:p w14:paraId="77A95EE9" w14:textId="77777777" w:rsidR="007A6A1A" w:rsidRPr="00A32741" w:rsidRDefault="007A6A1A" w:rsidP="00BB4D6B">
            <w:pPr>
              <w:spacing w:after="0" w:line="240" w:lineRule="auto"/>
              <w:rPr>
                <w:sz w:val="18"/>
                <w:szCs w:val="18"/>
              </w:rPr>
            </w:pPr>
            <w:r w:rsidRPr="00A32741">
              <w:rPr>
                <w:sz w:val="18"/>
                <w:szCs w:val="18"/>
              </w:rPr>
              <w:t>451.9</w:t>
            </w:r>
          </w:p>
        </w:tc>
        <w:tc>
          <w:tcPr>
            <w:tcW w:w="1010" w:type="dxa"/>
            <w:noWrap/>
            <w:hideMark/>
          </w:tcPr>
          <w:p w14:paraId="37AB054F" w14:textId="77777777" w:rsidR="007A6A1A" w:rsidRPr="00A32741" w:rsidRDefault="007A6A1A" w:rsidP="00BB4D6B">
            <w:pPr>
              <w:spacing w:after="0" w:line="240" w:lineRule="auto"/>
              <w:rPr>
                <w:sz w:val="18"/>
                <w:szCs w:val="18"/>
              </w:rPr>
            </w:pPr>
            <w:r w:rsidRPr="00A32741">
              <w:rPr>
                <w:sz w:val="18"/>
                <w:szCs w:val="18"/>
              </w:rPr>
              <w:t>441.4</w:t>
            </w:r>
          </w:p>
        </w:tc>
        <w:tc>
          <w:tcPr>
            <w:tcW w:w="1188" w:type="dxa"/>
            <w:noWrap/>
            <w:hideMark/>
          </w:tcPr>
          <w:p w14:paraId="36F77A7F" w14:textId="77777777" w:rsidR="007A6A1A" w:rsidRPr="00A32741" w:rsidRDefault="007A6A1A" w:rsidP="00BB4D6B">
            <w:pPr>
              <w:spacing w:after="0" w:line="240" w:lineRule="auto"/>
              <w:rPr>
                <w:sz w:val="18"/>
                <w:szCs w:val="18"/>
              </w:rPr>
            </w:pPr>
            <w:r w:rsidRPr="00A32741">
              <w:rPr>
                <w:sz w:val="18"/>
                <w:szCs w:val="18"/>
              </w:rPr>
              <w:t>770.7</w:t>
            </w:r>
          </w:p>
        </w:tc>
        <w:tc>
          <w:tcPr>
            <w:tcW w:w="1166" w:type="dxa"/>
            <w:noWrap/>
            <w:hideMark/>
          </w:tcPr>
          <w:p w14:paraId="4F2328F6" w14:textId="77777777" w:rsidR="007A6A1A" w:rsidRPr="00A32741" w:rsidRDefault="007A6A1A" w:rsidP="00BB4D6B">
            <w:pPr>
              <w:spacing w:after="0" w:line="240" w:lineRule="auto"/>
              <w:rPr>
                <w:sz w:val="18"/>
                <w:szCs w:val="18"/>
              </w:rPr>
            </w:pPr>
            <w:r w:rsidRPr="00A32741">
              <w:rPr>
                <w:sz w:val="18"/>
                <w:szCs w:val="18"/>
              </w:rPr>
              <w:t>763.6</w:t>
            </w:r>
          </w:p>
        </w:tc>
        <w:tc>
          <w:tcPr>
            <w:tcW w:w="1044" w:type="dxa"/>
            <w:tcBorders>
              <w:top w:val="nil"/>
              <w:left w:val="nil"/>
              <w:bottom w:val="nil"/>
              <w:right w:val="single" w:sz="4" w:space="0" w:color="auto"/>
            </w:tcBorders>
            <w:noWrap/>
            <w:hideMark/>
          </w:tcPr>
          <w:p w14:paraId="12E74282" w14:textId="77777777" w:rsidR="007A6A1A" w:rsidRPr="00A32741" w:rsidRDefault="007A6A1A" w:rsidP="00BB4D6B">
            <w:pPr>
              <w:spacing w:after="0" w:line="240" w:lineRule="auto"/>
              <w:rPr>
                <w:sz w:val="18"/>
                <w:szCs w:val="18"/>
              </w:rPr>
            </w:pPr>
            <w:r w:rsidRPr="00A32741">
              <w:rPr>
                <w:sz w:val="18"/>
                <w:szCs w:val="18"/>
              </w:rPr>
              <w:t>7,098.6</w:t>
            </w:r>
          </w:p>
        </w:tc>
      </w:tr>
      <w:tr w:rsidR="007A6A1A" w:rsidRPr="00BB4D6B" w14:paraId="765324CF" w14:textId="77777777">
        <w:trPr>
          <w:trHeight w:val="287"/>
        </w:trPr>
        <w:tc>
          <w:tcPr>
            <w:tcW w:w="2526" w:type="dxa"/>
            <w:tcBorders>
              <w:top w:val="nil"/>
              <w:left w:val="single" w:sz="4" w:space="0" w:color="auto"/>
              <w:bottom w:val="nil"/>
              <w:right w:val="nil"/>
            </w:tcBorders>
            <w:noWrap/>
            <w:hideMark/>
          </w:tcPr>
          <w:p w14:paraId="0CB481AE" w14:textId="77777777" w:rsidR="007A6A1A" w:rsidRPr="00A32741" w:rsidRDefault="007A6A1A" w:rsidP="00BB4D6B">
            <w:pPr>
              <w:spacing w:after="0" w:line="240" w:lineRule="auto"/>
              <w:rPr>
                <w:sz w:val="18"/>
                <w:szCs w:val="18"/>
              </w:rPr>
            </w:pPr>
            <w:r w:rsidRPr="00A32741">
              <w:rPr>
                <w:sz w:val="18"/>
                <w:szCs w:val="18"/>
              </w:rPr>
              <w:t>Aug-2024</w:t>
            </w:r>
          </w:p>
        </w:tc>
        <w:tc>
          <w:tcPr>
            <w:tcW w:w="1273" w:type="dxa"/>
            <w:noWrap/>
            <w:hideMark/>
          </w:tcPr>
          <w:p w14:paraId="03DFA890" w14:textId="77777777" w:rsidR="007A6A1A" w:rsidRPr="00A32741" w:rsidRDefault="007A6A1A" w:rsidP="00BB4D6B">
            <w:pPr>
              <w:spacing w:after="0" w:line="240" w:lineRule="auto"/>
              <w:rPr>
                <w:sz w:val="18"/>
                <w:szCs w:val="18"/>
              </w:rPr>
            </w:pPr>
            <w:r w:rsidRPr="00A32741">
              <w:rPr>
                <w:sz w:val="18"/>
                <w:szCs w:val="18"/>
              </w:rPr>
              <w:t>1,116.8</w:t>
            </w:r>
          </w:p>
        </w:tc>
        <w:tc>
          <w:tcPr>
            <w:tcW w:w="1465" w:type="dxa"/>
            <w:noWrap/>
            <w:hideMark/>
          </w:tcPr>
          <w:p w14:paraId="36524034" w14:textId="77777777" w:rsidR="007A6A1A" w:rsidRPr="00A32741" w:rsidRDefault="007A6A1A" w:rsidP="00BB4D6B">
            <w:pPr>
              <w:spacing w:after="0" w:line="240" w:lineRule="auto"/>
              <w:rPr>
                <w:sz w:val="18"/>
                <w:szCs w:val="18"/>
              </w:rPr>
            </w:pPr>
            <w:r w:rsidRPr="00A32741">
              <w:rPr>
                <w:sz w:val="18"/>
                <w:szCs w:val="18"/>
              </w:rPr>
              <w:t>1,723.0</w:t>
            </w:r>
          </w:p>
        </w:tc>
        <w:tc>
          <w:tcPr>
            <w:tcW w:w="1332" w:type="dxa"/>
            <w:noWrap/>
            <w:hideMark/>
          </w:tcPr>
          <w:p w14:paraId="0C75E4F5" w14:textId="77777777" w:rsidR="007A6A1A" w:rsidRPr="00A32741" w:rsidRDefault="007A6A1A" w:rsidP="00BB4D6B">
            <w:pPr>
              <w:spacing w:after="0" w:line="240" w:lineRule="auto"/>
              <w:rPr>
                <w:sz w:val="18"/>
                <w:szCs w:val="18"/>
              </w:rPr>
            </w:pPr>
            <w:r w:rsidRPr="00A32741">
              <w:rPr>
                <w:sz w:val="18"/>
                <w:szCs w:val="18"/>
              </w:rPr>
              <w:t>1,620.2</w:t>
            </w:r>
          </w:p>
        </w:tc>
        <w:tc>
          <w:tcPr>
            <w:tcW w:w="1277" w:type="dxa"/>
            <w:noWrap/>
            <w:hideMark/>
          </w:tcPr>
          <w:p w14:paraId="21DD4B38" w14:textId="77777777" w:rsidR="007A6A1A" w:rsidRPr="00A32741" w:rsidRDefault="007A6A1A" w:rsidP="00BB4D6B">
            <w:pPr>
              <w:spacing w:after="0" w:line="240" w:lineRule="auto"/>
              <w:rPr>
                <w:sz w:val="18"/>
                <w:szCs w:val="18"/>
              </w:rPr>
            </w:pPr>
            <w:r w:rsidRPr="00A32741">
              <w:rPr>
                <w:sz w:val="18"/>
                <w:szCs w:val="18"/>
              </w:rPr>
              <w:t>514.8</w:t>
            </w:r>
          </w:p>
        </w:tc>
        <w:tc>
          <w:tcPr>
            <w:tcW w:w="1520" w:type="dxa"/>
            <w:noWrap/>
            <w:hideMark/>
          </w:tcPr>
          <w:p w14:paraId="419B705F" w14:textId="77777777" w:rsidR="007A6A1A" w:rsidRPr="00A32741" w:rsidRDefault="007A6A1A" w:rsidP="00BB4D6B">
            <w:pPr>
              <w:spacing w:after="0" w:line="240" w:lineRule="auto"/>
              <w:rPr>
                <w:sz w:val="18"/>
                <w:szCs w:val="18"/>
              </w:rPr>
            </w:pPr>
            <w:r w:rsidRPr="00A32741">
              <w:rPr>
                <w:sz w:val="18"/>
                <w:szCs w:val="18"/>
              </w:rPr>
              <w:t>505.9</w:t>
            </w:r>
          </w:p>
        </w:tc>
        <w:tc>
          <w:tcPr>
            <w:tcW w:w="1010" w:type="dxa"/>
            <w:noWrap/>
            <w:hideMark/>
          </w:tcPr>
          <w:p w14:paraId="0332BBDD" w14:textId="77777777" w:rsidR="007A6A1A" w:rsidRPr="00A32741" w:rsidRDefault="007A6A1A" w:rsidP="00BB4D6B">
            <w:pPr>
              <w:spacing w:after="0" w:line="240" w:lineRule="auto"/>
              <w:rPr>
                <w:sz w:val="18"/>
                <w:szCs w:val="18"/>
              </w:rPr>
            </w:pPr>
            <w:r w:rsidRPr="00A32741">
              <w:rPr>
                <w:sz w:val="18"/>
                <w:szCs w:val="18"/>
              </w:rPr>
              <w:t>465.4</w:t>
            </w:r>
          </w:p>
        </w:tc>
        <w:tc>
          <w:tcPr>
            <w:tcW w:w="1188" w:type="dxa"/>
            <w:noWrap/>
            <w:hideMark/>
          </w:tcPr>
          <w:p w14:paraId="4C5DCE79" w14:textId="77777777" w:rsidR="007A6A1A" w:rsidRPr="00A32741" w:rsidRDefault="007A6A1A" w:rsidP="00BB4D6B">
            <w:pPr>
              <w:spacing w:after="0" w:line="240" w:lineRule="auto"/>
              <w:rPr>
                <w:sz w:val="18"/>
                <w:szCs w:val="18"/>
              </w:rPr>
            </w:pPr>
            <w:r w:rsidRPr="00A32741">
              <w:rPr>
                <w:sz w:val="18"/>
                <w:szCs w:val="18"/>
              </w:rPr>
              <w:t>772.8</w:t>
            </w:r>
          </w:p>
        </w:tc>
        <w:tc>
          <w:tcPr>
            <w:tcW w:w="1166" w:type="dxa"/>
            <w:noWrap/>
            <w:hideMark/>
          </w:tcPr>
          <w:p w14:paraId="45C6D2D9" w14:textId="77777777" w:rsidR="007A6A1A" w:rsidRPr="00A32741" w:rsidRDefault="007A6A1A" w:rsidP="00BB4D6B">
            <w:pPr>
              <w:spacing w:after="0" w:line="240" w:lineRule="auto"/>
              <w:rPr>
                <w:sz w:val="18"/>
                <w:szCs w:val="18"/>
              </w:rPr>
            </w:pPr>
            <w:r w:rsidRPr="00A32741">
              <w:rPr>
                <w:sz w:val="18"/>
                <w:szCs w:val="18"/>
              </w:rPr>
              <w:t>786.3</w:t>
            </w:r>
          </w:p>
        </w:tc>
        <w:tc>
          <w:tcPr>
            <w:tcW w:w="1044" w:type="dxa"/>
            <w:tcBorders>
              <w:top w:val="nil"/>
              <w:left w:val="nil"/>
              <w:bottom w:val="nil"/>
              <w:right w:val="single" w:sz="4" w:space="0" w:color="auto"/>
            </w:tcBorders>
            <w:noWrap/>
            <w:hideMark/>
          </w:tcPr>
          <w:p w14:paraId="7793A5F8" w14:textId="77777777" w:rsidR="007A6A1A" w:rsidRPr="00A32741" w:rsidRDefault="007A6A1A" w:rsidP="00BB4D6B">
            <w:pPr>
              <w:spacing w:after="0" w:line="240" w:lineRule="auto"/>
              <w:rPr>
                <w:sz w:val="18"/>
                <w:szCs w:val="18"/>
              </w:rPr>
            </w:pPr>
            <w:r w:rsidRPr="00A32741">
              <w:rPr>
                <w:sz w:val="18"/>
                <w:szCs w:val="18"/>
              </w:rPr>
              <w:t>7,505.1</w:t>
            </w:r>
          </w:p>
        </w:tc>
      </w:tr>
      <w:tr w:rsidR="007A6A1A" w:rsidRPr="00BB4D6B" w14:paraId="723224E9" w14:textId="77777777">
        <w:trPr>
          <w:trHeight w:val="287"/>
        </w:trPr>
        <w:tc>
          <w:tcPr>
            <w:tcW w:w="2526" w:type="dxa"/>
            <w:tcBorders>
              <w:top w:val="nil"/>
              <w:left w:val="single" w:sz="4" w:space="0" w:color="auto"/>
              <w:bottom w:val="nil"/>
              <w:right w:val="nil"/>
            </w:tcBorders>
            <w:noWrap/>
            <w:hideMark/>
          </w:tcPr>
          <w:p w14:paraId="6EB81401" w14:textId="11B56CE5" w:rsidR="007A6A1A" w:rsidRPr="00A32741" w:rsidRDefault="007A6A1A" w:rsidP="00BB4D6B">
            <w:pPr>
              <w:spacing w:after="0" w:line="240" w:lineRule="auto"/>
              <w:rPr>
                <w:sz w:val="18"/>
                <w:szCs w:val="18"/>
              </w:rPr>
            </w:pPr>
            <w:r w:rsidRPr="00A32741">
              <w:rPr>
                <w:sz w:val="18"/>
                <w:szCs w:val="18"/>
              </w:rPr>
              <w:t>Change Aug 2012</w:t>
            </w:r>
            <w:r w:rsidR="00A461FB" w:rsidRPr="00A32741">
              <w:rPr>
                <w:sz w:val="18"/>
                <w:szCs w:val="18"/>
              </w:rPr>
              <w:t xml:space="preserve"> </w:t>
            </w:r>
            <w:r w:rsidR="00A461FB" w:rsidRPr="00A32741">
              <w:rPr>
                <w:rFonts w:ascii="Symbol" w:eastAsia="Symbol" w:hAnsi="Symbol" w:cs="Symbol"/>
                <w:sz w:val="18"/>
                <w:szCs w:val="18"/>
              </w:rPr>
              <w:sym w:font="Symbol" w:char="F02D"/>
            </w:r>
            <w:r w:rsidR="00A461FB" w:rsidRPr="00A32741">
              <w:rPr>
                <w:sz w:val="18"/>
                <w:szCs w:val="18"/>
              </w:rPr>
              <w:t xml:space="preserve"> </w:t>
            </w:r>
            <w:r w:rsidRPr="00A32741">
              <w:rPr>
                <w:sz w:val="18"/>
                <w:szCs w:val="18"/>
              </w:rPr>
              <w:t>Aug 2022</w:t>
            </w:r>
          </w:p>
        </w:tc>
        <w:tc>
          <w:tcPr>
            <w:tcW w:w="1273" w:type="dxa"/>
            <w:noWrap/>
            <w:hideMark/>
          </w:tcPr>
          <w:p w14:paraId="26E45F7A" w14:textId="77777777" w:rsidR="007A6A1A" w:rsidRPr="00A32741" w:rsidRDefault="007A6A1A" w:rsidP="00BB4D6B">
            <w:pPr>
              <w:spacing w:after="0" w:line="240" w:lineRule="auto"/>
              <w:rPr>
                <w:sz w:val="18"/>
                <w:szCs w:val="18"/>
              </w:rPr>
            </w:pPr>
            <w:r w:rsidRPr="00A32741">
              <w:rPr>
                <w:sz w:val="18"/>
                <w:szCs w:val="18"/>
              </w:rPr>
              <w:t>20.5%</w:t>
            </w:r>
          </w:p>
        </w:tc>
        <w:tc>
          <w:tcPr>
            <w:tcW w:w="1465" w:type="dxa"/>
            <w:noWrap/>
            <w:hideMark/>
          </w:tcPr>
          <w:p w14:paraId="222FA191" w14:textId="77777777" w:rsidR="007A6A1A" w:rsidRPr="00A32741" w:rsidRDefault="007A6A1A" w:rsidP="00BB4D6B">
            <w:pPr>
              <w:spacing w:after="0" w:line="240" w:lineRule="auto"/>
              <w:rPr>
                <w:sz w:val="18"/>
                <w:szCs w:val="18"/>
              </w:rPr>
            </w:pPr>
            <w:r w:rsidRPr="00A32741">
              <w:rPr>
                <w:sz w:val="18"/>
                <w:szCs w:val="18"/>
              </w:rPr>
              <w:t>27.8%</w:t>
            </w:r>
          </w:p>
        </w:tc>
        <w:tc>
          <w:tcPr>
            <w:tcW w:w="1332" w:type="dxa"/>
            <w:noWrap/>
            <w:hideMark/>
          </w:tcPr>
          <w:p w14:paraId="1855EDC7" w14:textId="77777777" w:rsidR="007A6A1A" w:rsidRPr="00A32741" w:rsidRDefault="007A6A1A" w:rsidP="00BB4D6B">
            <w:pPr>
              <w:spacing w:after="0" w:line="240" w:lineRule="auto"/>
              <w:rPr>
                <w:sz w:val="18"/>
                <w:szCs w:val="18"/>
              </w:rPr>
            </w:pPr>
            <w:r w:rsidRPr="00A32741">
              <w:rPr>
                <w:sz w:val="18"/>
                <w:szCs w:val="18"/>
              </w:rPr>
              <w:t>8.4%</w:t>
            </w:r>
          </w:p>
        </w:tc>
        <w:tc>
          <w:tcPr>
            <w:tcW w:w="1277" w:type="dxa"/>
            <w:noWrap/>
            <w:hideMark/>
          </w:tcPr>
          <w:p w14:paraId="338FA451" w14:textId="77777777" w:rsidR="007A6A1A" w:rsidRPr="00A32741" w:rsidRDefault="007A6A1A" w:rsidP="00BB4D6B">
            <w:pPr>
              <w:spacing w:after="0" w:line="240" w:lineRule="auto"/>
              <w:rPr>
                <w:sz w:val="18"/>
                <w:szCs w:val="18"/>
              </w:rPr>
            </w:pPr>
            <w:r w:rsidRPr="00A32741">
              <w:rPr>
                <w:sz w:val="18"/>
                <w:szCs w:val="18"/>
              </w:rPr>
              <w:t>36.6%</w:t>
            </w:r>
          </w:p>
        </w:tc>
        <w:tc>
          <w:tcPr>
            <w:tcW w:w="1520" w:type="dxa"/>
            <w:noWrap/>
            <w:hideMark/>
          </w:tcPr>
          <w:p w14:paraId="289F73AB" w14:textId="77777777" w:rsidR="007A6A1A" w:rsidRPr="00A32741" w:rsidRDefault="007A6A1A" w:rsidP="00BB4D6B">
            <w:pPr>
              <w:spacing w:after="0" w:line="240" w:lineRule="auto"/>
              <w:rPr>
                <w:sz w:val="18"/>
                <w:szCs w:val="18"/>
              </w:rPr>
            </w:pPr>
            <w:r w:rsidRPr="00A32741">
              <w:rPr>
                <w:sz w:val="18"/>
                <w:szCs w:val="18"/>
              </w:rPr>
              <w:t>13.8%</w:t>
            </w:r>
          </w:p>
        </w:tc>
        <w:tc>
          <w:tcPr>
            <w:tcW w:w="1010" w:type="dxa"/>
            <w:noWrap/>
            <w:hideMark/>
          </w:tcPr>
          <w:p w14:paraId="08254276" w14:textId="77777777" w:rsidR="007A6A1A" w:rsidRPr="00A32741" w:rsidRDefault="007A6A1A" w:rsidP="00BB4D6B">
            <w:pPr>
              <w:spacing w:after="0" w:line="240" w:lineRule="auto"/>
              <w:rPr>
                <w:sz w:val="18"/>
                <w:szCs w:val="18"/>
              </w:rPr>
            </w:pPr>
            <w:r w:rsidRPr="00A32741">
              <w:rPr>
                <w:sz w:val="18"/>
                <w:szCs w:val="18"/>
              </w:rPr>
              <w:t>9.0%</w:t>
            </w:r>
          </w:p>
        </w:tc>
        <w:tc>
          <w:tcPr>
            <w:tcW w:w="1188" w:type="dxa"/>
            <w:noWrap/>
            <w:hideMark/>
          </w:tcPr>
          <w:p w14:paraId="18736C75" w14:textId="77777777" w:rsidR="007A6A1A" w:rsidRPr="00A32741" w:rsidRDefault="007A6A1A" w:rsidP="00BB4D6B">
            <w:pPr>
              <w:spacing w:after="0" w:line="240" w:lineRule="auto"/>
              <w:rPr>
                <w:sz w:val="18"/>
                <w:szCs w:val="18"/>
              </w:rPr>
            </w:pPr>
            <w:r w:rsidRPr="00A32741">
              <w:rPr>
                <w:sz w:val="18"/>
                <w:szCs w:val="18"/>
              </w:rPr>
              <w:t>15.2%</w:t>
            </w:r>
          </w:p>
        </w:tc>
        <w:tc>
          <w:tcPr>
            <w:tcW w:w="1166" w:type="dxa"/>
            <w:noWrap/>
            <w:hideMark/>
          </w:tcPr>
          <w:p w14:paraId="1F1471D6" w14:textId="77777777" w:rsidR="007A6A1A" w:rsidRPr="00A32741" w:rsidRDefault="007A6A1A" w:rsidP="00BB4D6B">
            <w:pPr>
              <w:spacing w:after="0" w:line="240" w:lineRule="auto"/>
              <w:rPr>
                <w:sz w:val="18"/>
                <w:szCs w:val="18"/>
              </w:rPr>
            </w:pPr>
            <w:r w:rsidRPr="00A32741">
              <w:rPr>
                <w:sz w:val="18"/>
                <w:szCs w:val="18"/>
              </w:rPr>
              <w:t>3.7%</w:t>
            </w:r>
          </w:p>
        </w:tc>
        <w:tc>
          <w:tcPr>
            <w:tcW w:w="1044" w:type="dxa"/>
            <w:tcBorders>
              <w:top w:val="nil"/>
              <w:left w:val="nil"/>
              <w:bottom w:val="nil"/>
              <w:right w:val="single" w:sz="4" w:space="0" w:color="auto"/>
            </w:tcBorders>
            <w:noWrap/>
            <w:hideMark/>
          </w:tcPr>
          <w:p w14:paraId="6E5FF475" w14:textId="77777777" w:rsidR="007A6A1A" w:rsidRPr="00A32741" w:rsidRDefault="007A6A1A" w:rsidP="00BB4D6B">
            <w:pPr>
              <w:spacing w:after="0" w:line="240" w:lineRule="auto"/>
              <w:rPr>
                <w:sz w:val="18"/>
                <w:szCs w:val="18"/>
              </w:rPr>
            </w:pPr>
            <w:r w:rsidRPr="00A32741">
              <w:rPr>
                <w:sz w:val="18"/>
                <w:szCs w:val="18"/>
              </w:rPr>
              <w:t>16.2%</w:t>
            </w:r>
          </w:p>
        </w:tc>
      </w:tr>
      <w:tr w:rsidR="007A6A1A" w:rsidRPr="00BB4D6B" w14:paraId="5C2784FF" w14:textId="77777777">
        <w:trPr>
          <w:trHeight w:val="287"/>
        </w:trPr>
        <w:tc>
          <w:tcPr>
            <w:tcW w:w="2526" w:type="dxa"/>
            <w:tcBorders>
              <w:top w:val="nil"/>
              <w:left w:val="single" w:sz="4" w:space="0" w:color="auto"/>
              <w:bottom w:val="single" w:sz="4" w:space="0" w:color="auto"/>
              <w:right w:val="nil"/>
            </w:tcBorders>
            <w:noWrap/>
            <w:hideMark/>
          </w:tcPr>
          <w:p w14:paraId="08BEFAF4" w14:textId="781F5798" w:rsidR="007A6A1A" w:rsidRPr="00A32741" w:rsidRDefault="007A6A1A" w:rsidP="00BB4D6B">
            <w:pPr>
              <w:spacing w:after="0" w:line="240" w:lineRule="auto"/>
              <w:rPr>
                <w:sz w:val="18"/>
                <w:szCs w:val="18"/>
              </w:rPr>
            </w:pPr>
            <w:r w:rsidRPr="00A32741">
              <w:rPr>
                <w:sz w:val="18"/>
                <w:szCs w:val="18"/>
              </w:rPr>
              <w:t>Change Aug 2022</w:t>
            </w:r>
            <w:r w:rsidR="00A461FB" w:rsidRPr="00A32741">
              <w:rPr>
                <w:sz w:val="18"/>
                <w:szCs w:val="18"/>
              </w:rPr>
              <w:t xml:space="preserve"> </w:t>
            </w:r>
            <w:r w:rsidR="00A461FB" w:rsidRPr="00A32741">
              <w:rPr>
                <w:rFonts w:ascii="Symbol" w:eastAsia="Symbol" w:hAnsi="Symbol" w:cs="Symbol"/>
                <w:sz w:val="18"/>
                <w:szCs w:val="18"/>
              </w:rPr>
              <w:sym w:font="Symbol" w:char="F02D"/>
            </w:r>
            <w:r w:rsidR="00A461FB" w:rsidRPr="00A32741">
              <w:rPr>
                <w:sz w:val="18"/>
                <w:szCs w:val="18"/>
              </w:rPr>
              <w:t xml:space="preserve"> </w:t>
            </w:r>
            <w:r w:rsidRPr="00A32741">
              <w:rPr>
                <w:sz w:val="18"/>
                <w:szCs w:val="18"/>
              </w:rPr>
              <w:t>Aug 2024</w:t>
            </w:r>
          </w:p>
        </w:tc>
        <w:tc>
          <w:tcPr>
            <w:tcW w:w="1273" w:type="dxa"/>
            <w:tcBorders>
              <w:top w:val="nil"/>
              <w:left w:val="nil"/>
              <w:bottom w:val="single" w:sz="4" w:space="0" w:color="auto"/>
              <w:right w:val="nil"/>
            </w:tcBorders>
            <w:noWrap/>
            <w:hideMark/>
          </w:tcPr>
          <w:p w14:paraId="21AE234E" w14:textId="77777777" w:rsidR="007A6A1A" w:rsidRPr="00A32741" w:rsidRDefault="007A6A1A" w:rsidP="00BB4D6B">
            <w:pPr>
              <w:spacing w:after="0" w:line="240" w:lineRule="auto"/>
              <w:rPr>
                <w:sz w:val="18"/>
                <w:szCs w:val="18"/>
              </w:rPr>
            </w:pPr>
            <w:r w:rsidRPr="00A32741">
              <w:rPr>
                <w:sz w:val="18"/>
                <w:szCs w:val="18"/>
              </w:rPr>
              <w:t>-1.4%</w:t>
            </w:r>
          </w:p>
        </w:tc>
        <w:tc>
          <w:tcPr>
            <w:tcW w:w="1465" w:type="dxa"/>
            <w:tcBorders>
              <w:top w:val="nil"/>
              <w:left w:val="nil"/>
              <w:bottom w:val="single" w:sz="4" w:space="0" w:color="auto"/>
              <w:right w:val="nil"/>
            </w:tcBorders>
            <w:noWrap/>
            <w:hideMark/>
          </w:tcPr>
          <w:p w14:paraId="308D37CF" w14:textId="77777777" w:rsidR="007A6A1A" w:rsidRPr="00A32741" w:rsidRDefault="007A6A1A" w:rsidP="00BB4D6B">
            <w:pPr>
              <w:spacing w:after="0" w:line="240" w:lineRule="auto"/>
              <w:rPr>
                <w:sz w:val="18"/>
                <w:szCs w:val="18"/>
              </w:rPr>
            </w:pPr>
            <w:r w:rsidRPr="00A32741">
              <w:rPr>
                <w:sz w:val="18"/>
                <w:szCs w:val="18"/>
              </w:rPr>
              <w:t>11.9%</w:t>
            </w:r>
          </w:p>
        </w:tc>
        <w:tc>
          <w:tcPr>
            <w:tcW w:w="1332" w:type="dxa"/>
            <w:tcBorders>
              <w:top w:val="nil"/>
              <w:left w:val="nil"/>
              <w:bottom w:val="single" w:sz="4" w:space="0" w:color="auto"/>
              <w:right w:val="nil"/>
            </w:tcBorders>
            <w:noWrap/>
            <w:hideMark/>
          </w:tcPr>
          <w:p w14:paraId="34A2DD30" w14:textId="77777777" w:rsidR="007A6A1A" w:rsidRPr="00A32741" w:rsidRDefault="007A6A1A" w:rsidP="00BB4D6B">
            <w:pPr>
              <w:spacing w:after="0" w:line="240" w:lineRule="auto"/>
              <w:rPr>
                <w:sz w:val="18"/>
                <w:szCs w:val="18"/>
              </w:rPr>
            </w:pPr>
            <w:r w:rsidRPr="00A32741">
              <w:rPr>
                <w:sz w:val="18"/>
                <w:szCs w:val="18"/>
              </w:rPr>
              <w:t>5.3%</w:t>
            </w:r>
          </w:p>
        </w:tc>
        <w:tc>
          <w:tcPr>
            <w:tcW w:w="1277" w:type="dxa"/>
            <w:tcBorders>
              <w:top w:val="nil"/>
              <w:left w:val="nil"/>
              <w:bottom w:val="single" w:sz="4" w:space="0" w:color="auto"/>
              <w:right w:val="nil"/>
            </w:tcBorders>
            <w:noWrap/>
            <w:hideMark/>
          </w:tcPr>
          <w:p w14:paraId="670C3DDF" w14:textId="77777777" w:rsidR="007A6A1A" w:rsidRPr="00A32741" w:rsidRDefault="007A6A1A" w:rsidP="00BB4D6B">
            <w:pPr>
              <w:spacing w:after="0" w:line="240" w:lineRule="auto"/>
              <w:rPr>
                <w:sz w:val="18"/>
                <w:szCs w:val="18"/>
              </w:rPr>
            </w:pPr>
            <w:r w:rsidRPr="00A32741">
              <w:rPr>
                <w:sz w:val="18"/>
                <w:szCs w:val="18"/>
              </w:rPr>
              <w:t>11.8%</w:t>
            </w:r>
          </w:p>
        </w:tc>
        <w:tc>
          <w:tcPr>
            <w:tcW w:w="1520" w:type="dxa"/>
            <w:tcBorders>
              <w:top w:val="nil"/>
              <w:left w:val="nil"/>
              <w:bottom w:val="single" w:sz="4" w:space="0" w:color="auto"/>
              <w:right w:val="nil"/>
            </w:tcBorders>
            <w:noWrap/>
            <w:hideMark/>
          </w:tcPr>
          <w:p w14:paraId="5BAE8022" w14:textId="77777777" w:rsidR="007A6A1A" w:rsidRPr="00A32741" w:rsidRDefault="007A6A1A" w:rsidP="00BB4D6B">
            <w:pPr>
              <w:spacing w:after="0" w:line="240" w:lineRule="auto"/>
              <w:rPr>
                <w:sz w:val="18"/>
                <w:szCs w:val="18"/>
              </w:rPr>
            </w:pPr>
            <w:r w:rsidRPr="00A32741">
              <w:rPr>
                <w:sz w:val="18"/>
                <w:szCs w:val="18"/>
              </w:rPr>
              <w:t>11.9%</w:t>
            </w:r>
          </w:p>
        </w:tc>
        <w:tc>
          <w:tcPr>
            <w:tcW w:w="1010" w:type="dxa"/>
            <w:tcBorders>
              <w:top w:val="nil"/>
              <w:left w:val="nil"/>
              <w:bottom w:val="single" w:sz="4" w:space="0" w:color="auto"/>
              <w:right w:val="nil"/>
            </w:tcBorders>
            <w:noWrap/>
            <w:hideMark/>
          </w:tcPr>
          <w:p w14:paraId="50767650" w14:textId="77777777" w:rsidR="007A6A1A" w:rsidRPr="00A32741" w:rsidRDefault="007A6A1A" w:rsidP="00BB4D6B">
            <w:pPr>
              <w:spacing w:after="0" w:line="240" w:lineRule="auto"/>
              <w:rPr>
                <w:sz w:val="18"/>
                <w:szCs w:val="18"/>
              </w:rPr>
            </w:pPr>
            <w:r w:rsidRPr="00A32741">
              <w:rPr>
                <w:sz w:val="18"/>
                <w:szCs w:val="18"/>
              </w:rPr>
              <w:t>5.4%</w:t>
            </w:r>
          </w:p>
        </w:tc>
        <w:tc>
          <w:tcPr>
            <w:tcW w:w="1188" w:type="dxa"/>
            <w:tcBorders>
              <w:top w:val="nil"/>
              <w:left w:val="nil"/>
              <w:bottom w:val="single" w:sz="4" w:space="0" w:color="auto"/>
              <w:right w:val="nil"/>
            </w:tcBorders>
            <w:noWrap/>
            <w:hideMark/>
          </w:tcPr>
          <w:p w14:paraId="6BA5AC5B" w14:textId="77777777" w:rsidR="007A6A1A" w:rsidRPr="00A32741" w:rsidRDefault="007A6A1A" w:rsidP="00BB4D6B">
            <w:pPr>
              <w:spacing w:after="0" w:line="240" w:lineRule="auto"/>
              <w:rPr>
                <w:sz w:val="18"/>
                <w:szCs w:val="18"/>
              </w:rPr>
            </w:pPr>
            <w:r w:rsidRPr="00A32741">
              <w:rPr>
                <w:sz w:val="18"/>
                <w:szCs w:val="18"/>
              </w:rPr>
              <w:t>0.3%</w:t>
            </w:r>
          </w:p>
        </w:tc>
        <w:tc>
          <w:tcPr>
            <w:tcW w:w="1166" w:type="dxa"/>
            <w:tcBorders>
              <w:top w:val="nil"/>
              <w:left w:val="nil"/>
              <w:bottom w:val="single" w:sz="4" w:space="0" w:color="auto"/>
              <w:right w:val="nil"/>
            </w:tcBorders>
            <w:noWrap/>
            <w:hideMark/>
          </w:tcPr>
          <w:p w14:paraId="4DD22255" w14:textId="77777777" w:rsidR="007A6A1A" w:rsidRPr="00A32741" w:rsidRDefault="007A6A1A" w:rsidP="00BB4D6B">
            <w:pPr>
              <w:spacing w:after="0" w:line="240" w:lineRule="auto"/>
              <w:rPr>
                <w:sz w:val="18"/>
                <w:szCs w:val="18"/>
              </w:rPr>
            </w:pPr>
            <w:r w:rsidRPr="00A32741">
              <w:rPr>
                <w:sz w:val="18"/>
                <w:szCs w:val="18"/>
              </w:rPr>
              <w:t>3.0%</w:t>
            </w:r>
          </w:p>
        </w:tc>
        <w:tc>
          <w:tcPr>
            <w:tcW w:w="1044" w:type="dxa"/>
            <w:tcBorders>
              <w:top w:val="nil"/>
              <w:left w:val="nil"/>
              <w:bottom w:val="single" w:sz="4" w:space="0" w:color="auto"/>
              <w:right w:val="single" w:sz="4" w:space="0" w:color="auto"/>
            </w:tcBorders>
            <w:noWrap/>
            <w:hideMark/>
          </w:tcPr>
          <w:p w14:paraId="117BF9B6" w14:textId="77777777" w:rsidR="007A6A1A" w:rsidRPr="00A32741" w:rsidRDefault="007A6A1A" w:rsidP="00BB4D6B">
            <w:pPr>
              <w:spacing w:after="0" w:line="240" w:lineRule="auto"/>
              <w:rPr>
                <w:sz w:val="18"/>
                <w:szCs w:val="18"/>
              </w:rPr>
            </w:pPr>
            <w:r w:rsidRPr="00A32741">
              <w:rPr>
                <w:sz w:val="18"/>
                <w:szCs w:val="18"/>
              </w:rPr>
              <w:t>5.7%</w:t>
            </w:r>
          </w:p>
        </w:tc>
      </w:tr>
      <w:tr w:rsidR="007A6A1A" w:rsidRPr="00BB4D6B" w14:paraId="33F5310F" w14:textId="77777777">
        <w:trPr>
          <w:trHeight w:val="287"/>
        </w:trPr>
        <w:tc>
          <w:tcPr>
            <w:tcW w:w="2526" w:type="dxa"/>
            <w:tcBorders>
              <w:top w:val="single" w:sz="4" w:space="0" w:color="auto"/>
              <w:left w:val="single" w:sz="4" w:space="0" w:color="auto"/>
              <w:bottom w:val="nil"/>
              <w:right w:val="nil"/>
            </w:tcBorders>
            <w:noWrap/>
            <w:hideMark/>
          </w:tcPr>
          <w:p w14:paraId="73260838" w14:textId="77777777" w:rsidR="007A6A1A" w:rsidRPr="00BB4D6B" w:rsidRDefault="007A6A1A" w:rsidP="00BB4D6B">
            <w:pPr>
              <w:spacing w:after="0" w:line="240" w:lineRule="auto"/>
              <w:rPr>
                <w:b/>
                <w:bCs/>
                <w:sz w:val="20"/>
                <w:szCs w:val="20"/>
              </w:rPr>
            </w:pPr>
            <w:r w:rsidRPr="00BB4D6B">
              <w:rPr>
                <w:b/>
                <w:bCs/>
                <w:sz w:val="20"/>
                <w:szCs w:val="20"/>
              </w:rPr>
              <w:t>Women</w:t>
            </w:r>
          </w:p>
        </w:tc>
        <w:tc>
          <w:tcPr>
            <w:tcW w:w="1273" w:type="dxa"/>
            <w:tcBorders>
              <w:top w:val="single" w:sz="4" w:space="0" w:color="auto"/>
              <w:left w:val="nil"/>
              <w:bottom w:val="nil"/>
              <w:right w:val="nil"/>
            </w:tcBorders>
            <w:noWrap/>
            <w:hideMark/>
          </w:tcPr>
          <w:p w14:paraId="15164787" w14:textId="77777777" w:rsidR="007A6A1A" w:rsidRPr="00BB4D6B" w:rsidRDefault="007A6A1A" w:rsidP="00BB4D6B">
            <w:pPr>
              <w:spacing w:after="0" w:line="240" w:lineRule="auto"/>
              <w:rPr>
                <w:b/>
                <w:bCs/>
                <w:sz w:val="20"/>
                <w:szCs w:val="20"/>
              </w:rPr>
            </w:pPr>
          </w:p>
        </w:tc>
        <w:tc>
          <w:tcPr>
            <w:tcW w:w="1465" w:type="dxa"/>
            <w:tcBorders>
              <w:top w:val="single" w:sz="4" w:space="0" w:color="auto"/>
              <w:left w:val="nil"/>
              <w:bottom w:val="nil"/>
              <w:right w:val="nil"/>
            </w:tcBorders>
            <w:noWrap/>
            <w:hideMark/>
          </w:tcPr>
          <w:p w14:paraId="12C2D133" w14:textId="77777777" w:rsidR="007A6A1A" w:rsidRPr="00BB4D6B" w:rsidRDefault="007A6A1A" w:rsidP="00BB4D6B">
            <w:pPr>
              <w:spacing w:after="0" w:line="240" w:lineRule="auto"/>
              <w:rPr>
                <w:sz w:val="20"/>
                <w:szCs w:val="20"/>
              </w:rPr>
            </w:pPr>
          </w:p>
        </w:tc>
        <w:tc>
          <w:tcPr>
            <w:tcW w:w="1332" w:type="dxa"/>
            <w:tcBorders>
              <w:top w:val="single" w:sz="4" w:space="0" w:color="auto"/>
              <w:left w:val="nil"/>
              <w:bottom w:val="nil"/>
              <w:right w:val="nil"/>
            </w:tcBorders>
            <w:noWrap/>
            <w:hideMark/>
          </w:tcPr>
          <w:p w14:paraId="56E04C1F" w14:textId="77777777" w:rsidR="007A6A1A" w:rsidRPr="00BB4D6B" w:rsidRDefault="007A6A1A" w:rsidP="00BB4D6B">
            <w:pPr>
              <w:spacing w:after="0" w:line="240" w:lineRule="auto"/>
              <w:rPr>
                <w:sz w:val="20"/>
                <w:szCs w:val="20"/>
              </w:rPr>
            </w:pPr>
          </w:p>
        </w:tc>
        <w:tc>
          <w:tcPr>
            <w:tcW w:w="1277" w:type="dxa"/>
            <w:tcBorders>
              <w:top w:val="single" w:sz="4" w:space="0" w:color="auto"/>
              <w:left w:val="nil"/>
              <w:bottom w:val="nil"/>
              <w:right w:val="nil"/>
            </w:tcBorders>
            <w:noWrap/>
            <w:hideMark/>
          </w:tcPr>
          <w:p w14:paraId="75D51CBF" w14:textId="77777777" w:rsidR="007A6A1A" w:rsidRPr="00BB4D6B" w:rsidRDefault="007A6A1A" w:rsidP="00BB4D6B">
            <w:pPr>
              <w:spacing w:after="0" w:line="240" w:lineRule="auto"/>
              <w:rPr>
                <w:sz w:val="20"/>
                <w:szCs w:val="20"/>
              </w:rPr>
            </w:pPr>
          </w:p>
        </w:tc>
        <w:tc>
          <w:tcPr>
            <w:tcW w:w="1520" w:type="dxa"/>
            <w:tcBorders>
              <w:top w:val="single" w:sz="4" w:space="0" w:color="auto"/>
              <w:left w:val="nil"/>
              <w:bottom w:val="nil"/>
              <w:right w:val="nil"/>
            </w:tcBorders>
            <w:noWrap/>
            <w:hideMark/>
          </w:tcPr>
          <w:p w14:paraId="0BBCC347" w14:textId="77777777" w:rsidR="007A6A1A" w:rsidRPr="00BB4D6B" w:rsidRDefault="007A6A1A" w:rsidP="00BB4D6B">
            <w:pPr>
              <w:spacing w:after="0" w:line="240" w:lineRule="auto"/>
              <w:rPr>
                <w:sz w:val="20"/>
                <w:szCs w:val="20"/>
              </w:rPr>
            </w:pPr>
          </w:p>
        </w:tc>
        <w:tc>
          <w:tcPr>
            <w:tcW w:w="1010" w:type="dxa"/>
            <w:tcBorders>
              <w:top w:val="single" w:sz="4" w:space="0" w:color="auto"/>
              <w:left w:val="nil"/>
              <w:bottom w:val="nil"/>
              <w:right w:val="nil"/>
            </w:tcBorders>
            <w:noWrap/>
            <w:hideMark/>
          </w:tcPr>
          <w:p w14:paraId="639C1FE1" w14:textId="77777777" w:rsidR="007A6A1A" w:rsidRPr="00BB4D6B" w:rsidRDefault="007A6A1A" w:rsidP="00BB4D6B">
            <w:pPr>
              <w:spacing w:after="0" w:line="240" w:lineRule="auto"/>
              <w:rPr>
                <w:sz w:val="20"/>
                <w:szCs w:val="20"/>
              </w:rPr>
            </w:pPr>
          </w:p>
        </w:tc>
        <w:tc>
          <w:tcPr>
            <w:tcW w:w="1188" w:type="dxa"/>
            <w:tcBorders>
              <w:top w:val="single" w:sz="4" w:space="0" w:color="auto"/>
              <w:left w:val="nil"/>
              <w:bottom w:val="nil"/>
              <w:right w:val="nil"/>
            </w:tcBorders>
            <w:noWrap/>
            <w:hideMark/>
          </w:tcPr>
          <w:p w14:paraId="777FF791" w14:textId="77777777" w:rsidR="007A6A1A" w:rsidRPr="00BB4D6B" w:rsidRDefault="007A6A1A" w:rsidP="00BB4D6B">
            <w:pPr>
              <w:spacing w:after="0" w:line="240" w:lineRule="auto"/>
              <w:rPr>
                <w:sz w:val="20"/>
                <w:szCs w:val="20"/>
              </w:rPr>
            </w:pPr>
          </w:p>
        </w:tc>
        <w:tc>
          <w:tcPr>
            <w:tcW w:w="1166" w:type="dxa"/>
            <w:tcBorders>
              <w:top w:val="single" w:sz="4" w:space="0" w:color="auto"/>
              <w:left w:val="nil"/>
              <w:bottom w:val="nil"/>
              <w:right w:val="nil"/>
            </w:tcBorders>
            <w:noWrap/>
            <w:hideMark/>
          </w:tcPr>
          <w:p w14:paraId="0349670C" w14:textId="77777777" w:rsidR="007A6A1A" w:rsidRPr="00BB4D6B" w:rsidRDefault="007A6A1A" w:rsidP="00BB4D6B">
            <w:pPr>
              <w:spacing w:after="0" w:line="240" w:lineRule="auto"/>
              <w:rPr>
                <w:sz w:val="20"/>
                <w:szCs w:val="20"/>
              </w:rPr>
            </w:pPr>
          </w:p>
        </w:tc>
        <w:tc>
          <w:tcPr>
            <w:tcW w:w="1044" w:type="dxa"/>
            <w:tcBorders>
              <w:top w:val="single" w:sz="4" w:space="0" w:color="auto"/>
              <w:left w:val="nil"/>
              <w:bottom w:val="nil"/>
              <w:right w:val="single" w:sz="4" w:space="0" w:color="auto"/>
            </w:tcBorders>
            <w:noWrap/>
            <w:hideMark/>
          </w:tcPr>
          <w:p w14:paraId="3202E418" w14:textId="77777777" w:rsidR="007A6A1A" w:rsidRPr="00BB4D6B" w:rsidRDefault="007A6A1A" w:rsidP="00BB4D6B">
            <w:pPr>
              <w:spacing w:after="0" w:line="240" w:lineRule="auto"/>
              <w:rPr>
                <w:sz w:val="20"/>
                <w:szCs w:val="20"/>
              </w:rPr>
            </w:pPr>
          </w:p>
        </w:tc>
      </w:tr>
      <w:tr w:rsidR="007A6A1A" w:rsidRPr="00BB4D6B" w14:paraId="3FA3EFE4" w14:textId="77777777">
        <w:trPr>
          <w:trHeight w:val="287"/>
        </w:trPr>
        <w:tc>
          <w:tcPr>
            <w:tcW w:w="2526" w:type="dxa"/>
            <w:tcBorders>
              <w:top w:val="nil"/>
              <w:left w:val="single" w:sz="4" w:space="0" w:color="auto"/>
              <w:bottom w:val="nil"/>
              <w:right w:val="nil"/>
            </w:tcBorders>
            <w:noWrap/>
            <w:hideMark/>
          </w:tcPr>
          <w:p w14:paraId="6067C9BD" w14:textId="77777777" w:rsidR="007A6A1A" w:rsidRPr="00A32741" w:rsidRDefault="007A6A1A" w:rsidP="00BB4D6B">
            <w:pPr>
              <w:spacing w:after="0" w:line="240" w:lineRule="auto"/>
              <w:rPr>
                <w:sz w:val="18"/>
                <w:szCs w:val="18"/>
              </w:rPr>
            </w:pPr>
            <w:r w:rsidRPr="00A32741">
              <w:rPr>
                <w:sz w:val="18"/>
                <w:szCs w:val="18"/>
              </w:rPr>
              <w:t>Aug-2012</w:t>
            </w:r>
          </w:p>
        </w:tc>
        <w:tc>
          <w:tcPr>
            <w:tcW w:w="1273" w:type="dxa"/>
            <w:noWrap/>
            <w:hideMark/>
          </w:tcPr>
          <w:p w14:paraId="08B347D5" w14:textId="77777777" w:rsidR="007A6A1A" w:rsidRPr="00A32741" w:rsidRDefault="007A6A1A" w:rsidP="00BB4D6B">
            <w:pPr>
              <w:spacing w:after="0" w:line="240" w:lineRule="auto"/>
              <w:rPr>
                <w:sz w:val="18"/>
                <w:szCs w:val="18"/>
              </w:rPr>
            </w:pPr>
            <w:r w:rsidRPr="00A32741">
              <w:rPr>
                <w:sz w:val="18"/>
                <w:szCs w:val="18"/>
              </w:rPr>
              <w:t>489.4</w:t>
            </w:r>
          </w:p>
        </w:tc>
        <w:tc>
          <w:tcPr>
            <w:tcW w:w="1465" w:type="dxa"/>
            <w:noWrap/>
            <w:hideMark/>
          </w:tcPr>
          <w:p w14:paraId="60D766A2" w14:textId="77777777" w:rsidR="007A6A1A" w:rsidRPr="00A32741" w:rsidRDefault="007A6A1A" w:rsidP="00BB4D6B">
            <w:pPr>
              <w:spacing w:after="0" w:line="240" w:lineRule="auto"/>
              <w:rPr>
                <w:sz w:val="18"/>
                <w:szCs w:val="18"/>
              </w:rPr>
            </w:pPr>
            <w:r w:rsidRPr="00A32741">
              <w:rPr>
                <w:sz w:val="18"/>
                <w:szCs w:val="18"/>
              </w:rPr>
              <w:t>1,310.9</w:t>
            </w:r>
          </w:p>
        </w:tc>
        <w:tc>
          <w:tcPr>
            <w:tcW w:w="1332" w:type="dxa"/>
            <w:noWrap/>
            <w:hideMark/>
          </w:tcPr>
          <w:p w14:paraId="42892DCB" w14:textId="77777777" w:rsidR="007A6A1A" w:rsidRPr="00A32741" w:rsidRDefault="007A6A1A" w:rsidP="00BB4D6B">
            <w:pPr>
              <w:spacing w:after="0" w:line="240" w:lineRule="auto"/>
              <w:rPr>
                <w:sz w:val="18"/>
                <w:szCs w:val="18"/>
              </w:rPr>
            </w:pPr>
            <w:r w:rsidRPr="00A32741">
              <w:rPr>
                <w:sz w:val="18"/>
                <w:szCs w:val="18"/>
              </w:rPr>
              <w:t>235.4</w:t>
            </w:r>
          </w:p>
        </w:tc>
        <w:tc>
          <w:tcPr>
            <w:tcW w:w="1277" w:type="dxa"/>
            <w:noWrap/>
            <w:hideMark/>
          </w:tcPr>
          <w:p w14:paraId="23AE8F87" w14:textId="77777777" w:rsidR="007A6A1A" w:rsidRPr="00A32741" w:rsidRDefault="007A6A1A" w:rsidP="00BB4D6B">
            <w:pPr>
              <w:spacing w:after="0" w:line="240" w:lineRule="auto"/>
              <w:rPr>
                <w:sz w:val="18"/>
                <w:szCs w:val="18"/>
              </w:rPr>
            </w:pPr>
            <w:r w:rsidRPr="00A32741">
              <w:rPr>
                <w:sz w:val="18"/>
                <w:szCs w:val="18"/>
              </w:rPr>
              <w:t>727.4</w:t>
            </w:r>
          </w:p>
        </w:tc>
        <w:tc>
          <w:tcPr>
            <w:tcW w:w="1520" w:type="dxa"/>
            <w:noWrap/>
            <w:hideMark/>
          </w:tcPr>
          <w:p w14:paraId="7AC4EC28" w14:textId="77777777" w:rsidR="007A6A1A" w:rsidRPr="00A32741" w:rsidRDefault="007A6A1A" w:rsidP="00BB4D6B">
            <w:pPr>
              <w:spacing w:after="0" w:line="240" w:lineRule="auto"/>
              <w:rPr>
                <w:sz w:val="18"/>
                <w:szCs w:val="18"/>
              </w:rPr>
            </w:pPr>
            <w:r w:rsidRPr="00A32741">
              <w:rPr>
                <w:sz w:val="18"/>
                <w:szCs w:val="18"/>
              </w:rPr>
              <w:t>1,267.0</w:t>
            </w:r>
          </w:p>
        </w:tc>
        <w:tc>
          <w:tcPr>
            <w:tcW w:w="1010" w:type="dxa"/>
            <w:noWrap/>
            <w:hideMark/>
          </w:tcPr>
          <w:p w14:paraId="6FA4AA9F" w14:textId="77777777" w:rsidR="007A6A1A" w:rsidRPr="00A32741" w:rsidRDefault="007A6A1A" w:rsidP="00BB4D6B">
            <w:pPr>
              <w:spacing w:after="0" w:line="240" w:lineRule="auto"/>
              <w:rPr>
                <w:sz w:val="18"/>
                <w:szCs w:val="18"/>
              </w:rPr>
            </w:pPr>
            <w:r w:rsidRPr="00A32741">
              <w:rPr>
                <w:sz w:val="18"/>
                <w:szCs w:val="18"/>
              </w:rPr>
              <w:t>653.9</w:t>
            </w:r>
          </w:p>
        </w:tc>
        <w:tc>
          <w:tcPr>
            <w:tcW w:w="1188" w:type="dxa"/>
            <w:noWrap/>
            <w:hideMark/>
          </w:tcPr>
          <w:p w14:paraId="1B328BC7" w14:textId="77777777" w:rsidR="007A6A1A" w:rsidRPr="00A32741" w:rsidRDefault="007A6A1A" w:rsidP="00BB4D6B">
            <w:pPr>
              <w:spacing w:after="0" w:line="240" w:lineRule="auto"/>
              <w:rPr>
                <w:sz w:val="18"/>
                <w:szCs w:val="18"/>
              </w:rPr>
            </w:pPr>
            <w:r w:rsidRPr="00A32741">
              <w:rPr>
                <w:sz w:val="18"/>
                <w:szCs w:val="18"/>
              </w:rPr>
              <w:t>57.3</w:t>
            </w:r>
          </w:p>
        </w:tc>
        <w:tc>
          <w:tcPr>
            <w:tcW w:w="1166" w:type="dxa"/>
            <w:noWrap/>
            <w:hideMark/>
          </w:tcPr>
          <w:p w14:paraId="7D290810" w14:textId="77777777" w:rsidR="007A6A1A" w:rsidRPr="00A32741" w:rsidRDefault="007A6A1A" w:rsidP="00BB4D6B">
            <w:pPr>
              <w:spacing w:after="0" w:line="240" w:lineRule="auto"/>
              <w:rPr>
                <w:sz w:val="18"/>
                <w:szCs w:val="18"/>
              </w:rPr>
            </w:pPr>
            <w:r w:rsidRPr="00A32741">
              <w:rPr>
                <w:sz w:val="18"/>
                <w:szCs w:val="18"/>
              </w:rPr>
              <w:t>414.7</w:t>
            </w:r>
          </w:p>
        </w:tc>
        <w:tc>
          <w:tcPr>
            <w:tcW w:w="1044" w:type="dxa"/>
            <w:tcBorders>
              <w:top w:val="nil"/>
              <w:left w:val="nil"/>
              <w:bottom w:val="nil"/>
              <w:right w:val="single" w:sz="4" w:space="0" w:color="auto"/>
            </w:tcBorders>
            <w:noWrap/>
            <w:hideMark/>
          </w:tcPr>
          <w:p w14:paraId="2A27458D" w14:textId="77777777" w:rsidR="007A6A1A" w:rsidRPr="00A32741" w:rsidRDefault="007A6A1A" w:rsidP="00BB4D6B">
            <w:pPr>
              <w:spacing w:after="0" w:line="240" w:lineRule="auto"/>
              <w:rPr>
                <w:sz w:val="18"/>
                <w:szCs w:val="18"/>
              </w:rPr>
            </w:pPr>
            <w:r w:rsidRPr="00A32741">
              <w:rPr>
                <w:sz w:val="18"/>
                <w:szCs w:val="18"/>
              </w:rPr>
              <w:t>5,155.9</w:t>
            </w:r>
          </w:p>
        </w:tc>
      </w:tr>
      <w:tr w:rsidR="007A6A1A" w:rsidRPr="00BB4D6B" w14:paraId="7C07525E" w14:textId="77777777">
        <w:trPr>
          <w:trHeight w:val="287"/>
        </w:trPr>
        <w:tc>
          <w:tcPr>
            <w:tcW w:w="2526" w:type="dxa"/>
            <w:tcBorders>
              <w:top w:val="nil"/>
              <w:left w:val="single" w:sz="4" w:space="0" w:color="auto"/>
              <w:bottom w:val="nil"/>
              <w:right w:val="nil"/>
            </w:tcBorders>
            <w:noWrap/>
            <w:hideMark/>
          </w:tcPr>
          <w:p w14:paraId="0F36C41D" w14:textId="77777777" w:rsidR="007A6A1A" w:rsidRPr="00A32741" w:rsidRDefault="007A6A1A" w:rsidP="00BB4D6B">
            <w:pPr>
              <w:spacing w:after="0" w:line="240" w:lineRule="auto"/>
              <w:rPr>
                <w:sz w:val="18"/>
                <w:szCs w:val="18"/>
              </w:rPr>
            </w:pPr>
            <w:r w:rsidRPr="00A32741">
              <w:rPr>
                <w:sz w:val="18"/>
                <w:szCs w:val="18"/>
              </w:rPr>
              <w:t>Aug-2022</w:t>
            </w:r>
          </w:p>
        </w:tc>
        <w:tc>
          <w:tcPr>
            <w:tcW w:w="1273" w:type="dxa"/>
            <w:noWrap/>
            <w:hideMark/>
          </w:tcPr>
          <w:p w14:paraId="430E4E8C" w14:textId="77777777" w:rsidR="007A6A1A" w:rsidRPr="00A32741" w:rsidRDefault="007A6A1A" w:rsidP="00BB4D6B">
            <w:pPr>
              <w:spacing w:after="0" w:line="240" w:lineRule="auto"/>
              <w:rPr>
                <w:sz w:val="18"/>
                <w:szCs w:val="18"/>
              </w:rPr>
            </w:pPr>
            <w:r w:rsidRPr="00A32741">
              <w:rPr>
                <w:sz w:val="18"/>
                <w:szCs w:val="18"/>
              </w:rPr>
              <w:t>735.2</w:t>
            </w:r>
          </w:p>
        </w:tc>
        <w:tc>
          <w:tcPr>
            <w:tcW w:w="1465" w:type="dxa"/>
            <w:noWrap/>
            <w:hideMark/>
          </w:tcPr>
          <w:p w14:paraId="16E82BAD" w14:textId="77777777" w:rsidR="007A6A1A" w:rsidRPr="00A32741" w:rsidRDefault="007A6A1A" w:rsidP="00BB4D6B">
            <w:pPr>
              <w:spacing w:after="0" w:line="240" w:lineRule="auto"/>
              <w:rPr>
                <w:sz w:val="18"/>
                <w:szCs w:val="18"/>
              </w:rPr>
            </w:pPr>
            <w:r w:rsidRPr="00A32741">
              <w:rPr>
                <w:sz w:val="18"/>
                <w:szCs w:val="18"/>
              </w:rPr>
              <w:t>1,935.0</w:t>
            </w:r>
          </w:p>
        </w:tc>
        <w:tc>
          <w:tcPr>
            <w:tcW w:w="1332" w:type="dxa"/>
            <w:noWrap/>
            <w:hideMark/>
          </w:tcPr>
          <w:p w14:paraId="63E04504" w14:textId="77777777" w:rsidR="007A6A1A" w:rsidRPr="00A32741" w:rsidRDefault="007A6A1A" w:rsidP="00BB4D6B">
            <w:pPr>
              <w:spacing w:after="0" w:line="240" w:lineRule="auto"/>
              <w:rPr>
                <w:sz w:val="18"/>
                <w:szCs w:val="18"/>
              </w:rPr>
            </w:pPr>
            <w:r w:rsidRPr="00A32741">
              <w:rPr>
                <w:sz w:val="18"/>
                <w:szCs w:val="18"/>
              </w:rPr>
              <w:t>311.9</w:t>
            </w:r>
          </w:p>
        </w:tc>
        <w:tc>
          <w:tcPr>
            <w:tcW w:w="1277" w:type="dxa"/>
            <w:noWrap/>
            <w:hideMark/>
          </w:tcPr>
          <w:p w14:paraId="2DC49AFF" w14:textId="77777777" w:rsidR="007A6A1A" w:rsidRPr="00A32741" w:rsidRDefault="007A6A1A" w:rsidP="00BB4D6B">
            <w:pPr>
              <w:spacing w:after="0" w:line="240" w:lineRule="auto"/>
              <w:rPr>
                <w:sz w:val="18"/>
                <w:szCs w:val="18"/>
              </w:rPr>
            </w:pPr>
            <w:r w:rsidRPr="00A32741">
              <w:rPr>
                <w:sz w:val="18"/>
                <w:szCs w:val="18"/>
              </w:rPr>
              <w:t>1,037.1</w:t>
            </w:r>
          </w:p>
        </w:tc>
        <w:tc>
          <w:tcPr>
            <w:tcW w:w="1520" w:type="dxa"/>
            <w:noWrap/>
            <w:hideMark/>
          </w:tcPr>
          <w:p w14:paraId="6A7AFBBB" w14:textId="77777777" w:rsidR="007A6A1A" w:rsidRPr="00A32741" w:rsidRDefault="007A6A1A" w:rsidP="00BB4D6B">
            <w:pPr>
              <w:spacing w:after="0" w:line="240" w:lineRule="auto"/>
              <w:rPr>
                <w:sz w:val="18"/>
                <w:szCs w:val="18"/>
              </w:rPr>
            </w:pPr>
            <w:r w:rsidRPr="00A32741">
              <w:rPr>
                <w:sz w:val="18"/>
                <w:szCs w:val="18"/>
              </w:rPr>
              <w:t>1,281.2</w:t>
            </w:r>
          </w:p>
        </w:tc>
        <w:tc>
          <w:tcPr>
            <w:tcW w:w="1010" w:type="dxa"/>
            <w:noWrap/>
            <w:hideMark/>
          </w:tcPr>
          <w:p w14:paraId="0B181FA3" w14:textId="77777777" w:rsidR="007A6A1A" w:rsidRPr="00A32741" w:rsidRDefault="007A6A1A" w:rsidP="00BB4D6B">
            <w:pPr>
              <w:spacing w:after="0" w:line="240" w:lineRule="auto"/>
              <w:rPr>
                <w:sz w:val="18"/>
                <w:szCs w:val="18"/>
              </w:rPr>
            </w:pPr>
            <w:r w:rsidRPr="00A32741">
              <w:rPr>
                <w:sz w:val="18"/>
                <w:szCs w:val="18"/>
              </w:rPr>
              <w:t>659.0</w:t>
            </w:r>
          </w:p>
        </w:tc>
        <w:tc>
          <w:tcPr>
            <w:tcW w:w="1188" w:type="dxa"/>
            <w:noWrap/>
            <w:hideMark/>
          </w:tcPr>
          <w:p w14:paraId="37825681" w14:textId="77777777" w:rsidR="007A6A1A" w:rsidRPr="00A32741" w:rsidRDefault="007A6A1A" w:rsidP="00BB4D6B">
            <w:pPr>
              <w:spacing w:after="0" w:line="240" w:lineRule="auto"/>
              <w:rPr>
                <w:sz w:val="18"/>
                <w:szCs w:val="18"/>
              </w:rPr>
            </w:pPr>
            <w:r w:rsidRPr="00A32741">
              <w:rPr>
                <w:sz w:val="18"/>
                <w:szCs w:val="18"/>
              </w:rPr>
              <w:t>124.0</w:t>
            </w:r>
          </w:p>
        </w:tc>
        <w:tc>
          <w:tcPr>
            <w:tcW w:w="1166" w:type="dxa"/>
            <w:noWrap/>
            <w:hideMark/>
          </w:tcPr>
          <w:p w14:paraId="1E3D65BD" w14:textId="77777777" w:rsidR="007A6A1A" w:rsidRPr="00A32741" w:rsidRDefault="007A6A1A" w:rsidP="00BB4D6B">
            <w:pPr>
              <w:spacing w:after="0" w:line="240" w:lineRule="auto"/>
              <w:rPr>
                <w:sz w:val="18"/>
                <w:szCs w:val="18"/>
              </w:rPr>
            </w:pPr>
            <w:r w:rsidRPr="00A32741">
              <w:rPr>
                <w:sz w:val="18"/>
                <w:szCs w:val="18"/>
              </w:rPr>
              <w:t>412.7</w:t>
            </w:r>
          </w:p>
        </w:tc>
        <w:tc>
          <w:tcPr>
            <w:tcW w:w="1044" w:type="dxa"/>
            <w:tcBorders>
              <w:top w:val="nil"/>
              <w:left w:val="nil"/>
              <w:bottom w:val="nil"/>
              <w:right w:val="single" w:sz="4" w:space="0" w:color="auto"/>
            </w:tcBorders>
            <w:noWrap/>
            <w:hideMark/>
          </w:tcPr>
          <w:p w14:paraId="3474B317" w14:textId="77777777" w:rsidR="007A6A1A" w:rsidRPr="00A32741" w:rsidRDefault="007A6A1A" w:rsidP="00BB4D6B">
            <w:pPr>
              <w:spacing w:after="0" w:line="240" w:lineRule="auto"/>
              <w:rPr>
                <w:sz w:val="18"/>
                <w:szCs w:val="18"/>
              </w:rPr>
            </w:pPr>
            <w:r w:rsidRPr="00A32741">
              <w:rPr>
                <w:sz w:val="18"/>
                <w:szCs w:val="18"/>
              </w:rPr>
              <w:t>6,496.2</w:t>
            </w:r>
          </w:p>
        </w:tc>
      </w:tr>
      <w:tr w:rsidR="007A6A1A" w:rsidRPr="00BB4D6B" w14:paraId="7203C14D" w14:textId="77777777">
        <w:trPr>
          <w:trHeight w:val="287"/>
        </w:trPr>
        <w:tc>
          <w:tcPr>
            <w:tcW w:w="2526" w:type="dxa"/>
            <w:tcBorders>
              <w:top w:val="nil"/>
              <w:left w:val="single" w:sz="4" w:space="0" w:color="auto"/>
              <w:bottom w:val="nil"/>
              <w:right w:val="nil"/>
            </w:tcBorders>
            <w:noWrap/>
            <w:hideMark/>
          </w:tcPr>
          <w:p w14:paraId="3FEFD842" w14:textId="77777777" w:rsidR="007A6A1A" w:rsidRPr="00A32741" w:rsidRDefault="007A6A1A" w:rsidP="00BB4D6B">
            <w:pPr>
              <w:spacing w:after="0" w:line="240" w:lineRule="auto"/>
              <w:rPr>
                <w:sz w:val="18"/>
                <w:szCs w:val="18"/>
              </w:rPr>
            </w:pPr>
            <w:r w:rsidRPr="00A32741">
              <w:rPr>
                <w:sz w:val="18"/>
                <w:szCs w:val="18"/>
              </w:rPr>
              <w:t>Aug-2024</w:t>
            </w:r>
          </w:p>
        </w:tc>
        <w:tc>
          <w:tcPr>
            <w:tcW w:w="1273" w:type="dxa"/>
            <w:noWrap/>
            <w:hideMark/>
          </w:tcPr>
          <w:p w14:paraId="6F483C68" w14:textId="77777777" w:rsidR="007A6A1A" w:rsidRPr="00A32741" w:rsidRDefault="007A6A1A" w:rsidP="00BB4D6B">
            <w:pPr>
              <w:spacing w:after="0" w:line="240" w:lineRule="auto"/>
              <w:rPr>
                <w:sz w:val="18"/>
                <w:szCs w:val="18"/>
              </w:rPr>
            </w:pPr>
            <w:r w:rsidRPr="00A32741">
              <w:rPr>
                <w:sz w:val="18"/>
                <w:szCs w:val="18"/>
              </w:rPr>
              <w:t>760.6</w:t>
            </w:r>
          </w:p>
        </w:tc>
        <w:tc>
          <w:tcPr>
            <w:tcW w:w="1465" w:type="dxa"/>
            <w:noWrap/>
            <w:hideMark/>
          </w:tcPr>
          <w:p w14:paraId="41425938" w14:textId="77777777" w:rsidR="007A6A1A" w:rsidRPr="00A32741" w:rsidRDefault="007A6A1A" w:rsidP="00BB4D6B">
            <w:pPr>
              <w:spacing w:after="0" w:line="240" w:lineRule="auto"/>
              <w:rPr>
                <w:sz w:val="18"/>
                <w:szCs w:val="18"/>
              </w:rPr>
            </w:pPr>
            <w:r w:rsidRPr="00A32741">
              <w:rPr>
                <w:sz w:val="18"/>
                <w:szCs w:val="18"/>
              </w:rPr>
              <w:t>2,097.4</w:t>
            </w:r>
          </w:p>
        </w:tc>
        <w:tc>
          <w:tcPr>
            <w:tcW w:w="1332" w:type="dxa"/>
            <w:noWrap/>
            <w:hideMark/>
          </w:tcPr>
          <w:p w14:paraId="29658180" w14:textId="77777777" w:rsidR="007A6A1A" w:rsidRPr="00A32741" w:rsidRDefault="007A6A1A" w:rsidP="00BB4D6B">
            <w:pPr>
              <w:spacing w:after="0" w:line="240" w:lineRule="auto"/>
              <w:rPr>
                <w:sz w:val="18"/>
                <w:szCs w:val="18"/>
              </w:rPr>
            </w:pPr>
            <w:r w:rsidRPr="00A32741">
              <w:rPr>
                <w:sz w:val="18"/>
                <w:szCs w:val="18"/>
              </w:rPr>
              <w:t>333.8</w:t>
            </w:r>
          </w:p>
        </w:tc>
        <w:tc>
          <w:tcPr>
            <w:tcW w:w="1277" w:type="dxa"/>
            <w:noWrap/>
            <w:hideMark/>
          </w:tcPr>
          <w:p w14:paraId="3625E245" w14:textId="77777777" w:rsidR="007A6A1A" w:rsidRPr="00A32741" w:rsidRDefault="007A6A1A" w:rsidP="00BB4D6B">
            <w:pPr>
              <w:spacing w:after="0" w:line="240" w:lineRule="auto"/>
              <w:rPr>
                <w:sz w:val="18"/>
                <w:szCs w:val="18"/>
              </w:rPr>
            </w:pPr>
            <w:r w:rsidRPr="00A32741">
              <w:rPr>
                <w:sz w:val="18"/>
                <w:szCs w:val="18"/>
              </w:rPr>
              <w:t>1,143.5</w:t>
            </w:r>
          </w:p>
        </w:tc>
        <w:tc>
          <w:tcPr>
            <w:tcW w:w="1520" w:type="dxa"/>
            <w:noWrap/>
            <w:hideMark/>
          </w:tcPr>
          <w:p w14:paraId="66663194" w14:textId="77777777" w:rsidR="007A6A1A" w:rsidRPr="00A32741" w:rsidRDefault="007A6A1A" w:rsidP="00BB4D6B">
            <w:pPr>
              <w:spacing w:after="0" w:line="240" w:lineRule="auto"/>
              <w:rPr>
                <w:sz w:val="18"/>
                <w:szCs w:val="18"/>
              </w:rPr>
            </w:pPr>
            <w:r w:rsidRPr="00A32741">
              <w:rPr>
                <w:sz w:val="18"/>
                <w:szCs w:val="18"/>
              </w:rPr>
              <w:t>1,346.2</w:t>
            </w:r>
          </w:p>
        </w:tc>
        <w:tc>
          <w:tcPr>
            <w:tcW w:w="1010" w:type="dxa"/>
            <w:noWrap/>
            <w:hideMark/>
          </w:tcPr>
          <w:p w14:paraId="7988E3A9" w14:textId="77777777" w:rsidR="007A6A1A" w:rsidRPr="00A32741" w:rsidRDefault="007A6A1A" w:rsidP="00BB4D6B">
            <w:pPr>
              <w:spacing w:after="0" w:line="240" w:lineRule="auto"/>
              <w:rPr>
                <w:sz w:val="18"/>
                <w:szCs w:val="18"/>
              </w:rPr>
            </w:pPr>
            <w:r w:rsidRPr="00A32741">
              <w:rPr>
                <w:sz w:val="18"/>
                <w:szCs w:val="18"/>
              </w:rPr>
              <w:t>650.7</w:t>
            </w:r>
          </w:p>
        </w:tc>
        <w:tc>
          <w:tcPr>
            <w:tcW w:w="1188" w:type="dxa"/>
            <w:noWrap/>
            <w:hideMark/>
          </w:tcPr>
          <w:p w14:paraId="1392D5FD" w14:textId="77777777" w:rsidR="007A6A1A" w:rsidRPr="00A32741" w:rsidRDefault="007A6A1A" w:rsidP="00BB4D6B">
            <w:pPr>
              <w:spacing w:after="0" w:line="240" w:lineRule="auto"/>
              <w:rPr>
                <w:sz w:val="18"/>
                <w:szCs w:val="18"/>
              </w:rPr>
            </w:pPr>
            <w:r w:rsidRPr="00A32741">
              <w:rPr>
                <w:sz w:val="18"/>
                <w:szCs w:val="18"/>
              </w:rPr>
              <w:t>113.4</w:t>
            </w:r>
          </w:p>
        </w:tc>
        <w:tc>
          <w:tcPr>
            <w:tcW w:w="1166" w:type="dxa"/>
            <w:noWrap/>
            <w:hideMark/>
          </w:tcPr>
          <w:p w14:paraId="03280DAD" w14:textId="77777777" w:rsidR="007A6A1A" w:rsidRPr="00A32741" w:rsidRDefault="007A6A1A" w:rsidP="00BB4D6B">
            <w:pPr>
              <w:spacing w:after="0" w:line="240" w:lineRule="auto"/>
              <w:rPr>
                <w:sz w:val="18"/>
                <w:szCs w:val="18"/>
              </w:rPr>
            </w:pPr>
            <w:r w:rsidRPr="00A32741">
              <w:rPr>
                <w:sz w:val="18"/>
                <w:szCs w:val="18"/>
              </w:rPr>
              <w:t>446.1</w:t>
            </w:r>
          </w:p>
        </w:tc>
        <w:tc>
          <w:tcPr>
            <w:tcW w:w="1044" w:type="dxa"/>
            <w:tcBorders>
              <w:top w:val="nil"/>
              <w:left w:val="nil"/>
              <w:bottom w:val="nil"/>
              <w:right w:val="single" w:sz="4" w:space="0" w:color="auto"/>
            </w:tcBorders>
            <w:noWrap/>
            <w:hideMark/>
          </w:tcPr>
          <w:p w14:paraId="32A15341" w14:textId="77777777" w:rsidR="007A6A1A" w:rsidRPr="00A32741" w:rsidRDefault="007A6A1A" w:rsidP="00BB4D6B">
            <w:pPr>
              <w:spacing w:after="0" w:line="240" w:lineRule="auto"/>
              <w:rPr>
                <w:sz w:val="18"/>
                <w:szCs w:val="18"/>
              </w:rPr>
            </w:pPr>
            <w:r w:rsidRPr="00A32741">
              <w:rPr>
                <w:sz w:val="18"/>
                <w:szCs w:val="18"/>
              </w:rPr>
              <w:t>6,891.7</w:t>
            </w:r>
          </w:p>
        </w:tc>
      </w:tr>
      <w:tr w:rsidR="007A6A1A" w:rsidRPr="00BB4D6B" w14:paraId="193BD189" w14:textId="77777777">
        <w:trPr>
          <w:trHeight w:val="341"/>
        </w:trPr>
        <w:tc>
          <w:tcPr>
            <w:tcW w:w="2526" w:type="dxa"/>
            <w:tcBorders>
              <w:top w:val="nil"/>
              <w:left w:val="single" w:sz="4" w:space="0" w:color="auto"/>
              <w:bottom w:val="nil"/>
              <w:right w:val="nil"/>
            </w:tcBorders>
            <w:noWrap/>
            <w:hideMark/>
          </w:tcPr>
          <w:p w14:paraId="151B8BE7" w14:textId="65704A38" w:rsidR="007A6A1A" w:rsidRPr="00A32741" w:rsidRDefault="007A6A1A" w:rsidP="00BB4D6B">
            <w:pPr>
              <w:spacing w:after="0" w:line="240" w:lineRule="auto"/>
              <w:rPr>
                <w:sz w:val="18"/>
                <w:szCs w:val="18"/>
              </w:rPr>
            </w:pPr>
            <w:r w:rsidRPr="00A32741">
              <w:rPr>
                <w:sz w:val="18"/>
                <w:szCs w:val="18"/>
              </w:rPr>
              <w:t>Change Aug 2012</w:t>
            </w:r>
            <w:r w:rsidR="00A461FB" w:rsidRPr="00A32741">
              <w:rPr>
                <w:sz w:val="18"/>
                <w:szCs w:val="18"/>
              </w:rPr>
              <w:t xml:space="preserve"> </w:t>
            </w:r>
            <w:r w:rsidR="00A461FB" w:rsidRPr="00A32741">
              <w:rPr>
                <w:rFonts w:ascii="Symbol" w:eastAsia="Symbol" w:hAnsi="Symbol" w:cs="Symbol"/>
                <w:sz w:val="18"/>
                <w:szCs w:val="18"/>
              </w:rPr>
              <w:sym w:font="Symbol" w:char="F02D"/>
            </w:r>
            <w:r w:rsidR="00A461FB" w:rsidRPr="00A32741">
              <w:rPr>
                <w:sz w:val="18"/>
                <w:szCs w:val="18"/>
              </w:rPr>
              <w:t xml:space="preserve"> </w:t>
            </w:r>
            <w:r w:rsidRPr="00A32741">
              <w:rPr>
                <w:sz w:val="18"/>
                <w:szCs w:val="18"/>
              </w:rPr>
              <w:t>Aug 2022</w:t>
            </w:r>
          </w:p>
        </w:tc>
        <w:tc>
          <w:tcPr>
            <w:tcW w:w="1273" w:type="dxa"/>
            <w:noWrap/>
            <w:hideMark/>
          </w:tcPr>
          <w:p w14:paraId="5CD2EA2B" w14:textId="77777777" w:rsidR="007A6A1A" w:rsidRPr="00A32741" w:rsidRDefault="007A6A1A" w:rsidP="00BB4D6B">
            <w:pPr>
              <w:spacing w:after="0" w:line="240" w:lineRule="auto"/>
              <w:rPr>
                <w:sz w:val="18"/>
                <w:szCs w:val="18"/>
              </w:rPr>
            </w:pPr>
            <w:r w:rsidRPr="00A32741">
              <w:rPr>
                <w:sz w:val="18"/>
                <w:szCs w:val="18"/>
              </w:rPr>
              <w:t>50.2%</w:t>
            </w:r>
          </w:p>
        </w:tc>
        <w:tc>
          <w:tcPr>
            <w:tcW w:w="1465" w:type="dxa"/>
            <w:noWrap/>
            <w:hideMark/>
          </w:tcPr>
          <w:p w14:paraId="226E57E1" w14:textId="77777777" w:rsidR="007A6A1A" w:rsidRPr="00A32741" w:rsidRDefault="007A6A1A" w:rsidP="00BB4D6B">
            <w:pPr>
              <w:spacing w:after="0" w:line="240" w:lineRule="auto"/>
              <w:rPr>
                <w:sz w:val="18"/>
                <w:szCs w:val="18"/>
              </w:rPr>
            </w:pPr>
            <w:r w:rsidRPr="00A32741">
              <w:rPr>
                <w:sz w:val="18"/>
                <w:szCs w:val="18"/>
              </w:rPr>
              <w:t>47.6%</w:t>
            </w:r>
          </w:p>
        </w:tc>
        <w:tc>
          <w:tcPr>
            <w:tcW w:w="1332" w:type="dxa"/>
            <w:noWrap/>
            <w:hideMark/>
          </w:tcPr>
          <w:p w14:paraId="7E2E078F" w14:textId="77777777" w:rsidR="007A6A1A" w:rsidRPr="00A32741" w:rsidRDefault="007A6A1A" w:rsidP="00BB4D6B">
            <w:pPr>
              <w:spacing w:after="0" w:line="240" w:lineRule="auto"/>
              <w:rPr>
                <w:sz w:val="18"/>
                <w:szCs w:val="18"/>
              </w:rPr>
            </w:pPr>
            <w:r w:rsidRPr="00A32741">
              <w:rPr>
                <w:sz w:val="18"/>
                <w:szCs w:val="18"/>
              </w:rPr>
              <w:t>32.5%</w:t>
            </w:r>
          </w:p>
        </w:tc>
        <w:tc>
          <w:tcPr>
            <w:tcW w:w="1277" w:type="dxa"/>
            <w:noWrap/>
            <w:hideMark/>
          </w:tcPr>
          <w:p w14:paraId="46E4FB53" w14:textId="77777777" w:rsidR="007A6A1A" w:rsidRPr="00A32741" w:rsidRDefault="007A6A1A" w:rsidP="00BB4D6B">
            <w:pPr>
              <w:spacing w:after="0" w:line="240" w:lineRule="auto"/>
              <w:rPr>
                <w:sz w:val="18"/>
                <w:szCs w:val="18"/>
              </w:rPr>
            </w:pPr>
            <w:r w:rsidRPr="00A32741">
              <w:rPr>
                <w:sz w:val="18"/>
                <w:szCs w:val="18"/>
              </w:rPr>
              <w:t>42.6%</w:t>
            </w:r>
          </w:p>
        </w:tc>
        <w:tc>
          <w:tcPr>
            <w:tcW w:w="1520" w:type="dxa"/>
            <w:noWrap/>
            <w:hideMark/>
          </w:tcPr>
          <w:p w14:paraId="598A7B17" w14:textId="77777777" w:rsidR="007A6A1A" w:rsidRPr="00A32741" w:rsidRDefault="007A6A1A" w:rsidP="00BB4D6B">
            <w:pPr>
              <w:spacing w:after="0" w:line="240" w:lineRule="auto"/>
              <w:rPr>
                <w:sz w:val="18"/>
                <w:szCs w:val="18"/>
              </w:rPr>
            </w:pPr>
            <w:r w:rsidRPr="00A32741">
              <w:rPr>
                <w:sz w:val="18"/>
                <w:szCs w:val="18"/>
              </w:rPr>
              <w:t>1.1%</w:t>
            </w:r>
          </w:p>
        </w:tc>
        <w:tc>
          <w:tcPr>
            <w:tcW w:w="1010" w:type="dxa"/>
            <w:noWrap/>
            <w:hideMark/>
          </w:tcPr>
          <w:p w14:paraId="30A0F653" w14:textId="77777777" w:rsidR="007A6A1A" w:rsidRPr="00A32741" w:rsidRDefault="007A6A1A" w:rsidP="00BB4D6B">
            <w:pPr>
              <w:spacing w:after="0" w:line="240" w:lineRule="auto"/>
              <w:rPr>
                <w:sz w:val="18"/>
                <w:szCs w:val="18"/>
              </w:rPr>
            </w:pPr>
            <w:r w:rsidRPr="00A32741">
              <w:rPr>
                <w:sz w:val="18"/>
                <w:szCs w:val="18"/>
              </w:rPr>
              <w:t>0.8%</w:t>
            </w:r>
          </w:p>
        </w:tc>
        <w:tc>
          <w:tcPr>
            <w:tcW w:w="1188" w:type="dxa"/>
            <w:noWrap/>
            <w:hideMark/>
          </w:tcPr>
          <w:p w14:paraId="2A16A73E" w14:textId="77777777" w:rsidR="007A6A1A" w:rsidRPr="00A32741" w:rsidRDefault="007A6A1A" w:rsidP="00BB4D6B">
            <w:pPr>
              <w:spacing w:after="0" w:line="240" w:lineRule="auto"/>
              <w:rPr>
                <w:sz w:val="18"/>
                <w:szCs w:val="18"/>
              </w:rPr>
            </w:pPr>
            <w:r w:rsidRPr="00A32741">
              <w:rPr>
                <w:sz w:val="18"/>
                <w:szCs w:val="18"/>
              </w:rPr>
              <w:t>116.5%</w:t>
            </w:r>
          </w:p>
        </w:tc>
        <w:tc>
          <w:tcPr>
            <w:tcW w:w="1166" w:type="dxa"/>
            <w:noWrap/>
            <w:hideMark/>
          </w:tcPr>
          <w:p w14:paraId="421ACE3D" w14:textId="77777777" w:rsidR="007A6A1A" w:rsidRPr="00A32741" w:rsidRDefault="007A6A1A" w:rsidP="00BB4D6B">
            <w:pPr>
              <w:spacing w:after="0" w:line="240" w:lineRule="auto"/>
              <w:rPr>
                <w:sz w:val="18"/>
                <w:szCs w:val="18"/>
              </w:rPr>
            </w:pPr>
            <w:r w:rsidRPr="00A32741">
              <w:rPr>
                <w:sz w:val="18"/>
                <w:szCs w:val="18"/>
              </w:rPr>
              <w:t>-0.5%</w:t>
            </w:r>
          </w:p>
        </w:tc>
        <w:tc>
          <w:tcPr>
            <w:tcW w:w="1044" w:type="dxa"/>
            <w:tcBorders>
              <w:top w:val="nil"/>
              <w:left w:val="nil"/>
              <w:bottom w:val="nil"/>
              <w:right w:val="single" w:sz="4" w:space="0" w:color="auto"/>
            </w:tcBorders>
            <w:noWrap/>
            <w:hideMark/>
          </w:tcPr>
          <w:p w14:paraId="1966D666" w14:textId="77777777" w:rsidR="007A6A1A" w:rsidRPr="00A32741" w:rsidRDefault="007A6A1A" w:rsidP="00BB4D6B">
            <w:pPr>
              <w:spacing w:after="0" w:line="240" w:lineRule="auto"/>
              <w:rPr>
                <w:sz w:val="18"/>
                <w:szCs w:val="18"/>
              </w:rPr>
            </w:pPr>
            <w:r w:rsidRPr="00A32741">
              <w:rPr>
                <w:sz w:val="18"/>
                <w:szCs w:val="18"/>
              </w:rPr>
              <w:t>26.0%</w:t>
            </w:r>
          </w:p>
        </w:tc>
      </w:tr>
      <w:tr w:rsidR="007A6A1A" w:rsidRPr="00BB4D6B" w14:paraId="1891A569" w14:textId="77777777">
        <w:trPr>
          <w:trHeight w:val="287"/>
        </w:trPr>
        <w:tc>
          <w:tcPr>
            <w:tcW w:w="2526" w:type="dxa"/>
            <w:tcBorders>
              <w:top w:val="nil"/>
              <w:left w:val="single" w:sz="4" w:space="0" w:color="auto"/>
              <w:bottom w:val="single" w:sz="4" w:space="0" w:color="auto"/>
              <w:right w:val="nil"/>
            </w:tcBorders>
            <w:noWrap/>
            <w:hideMark/>
          </w:tcPr>
          <w:p w14:paraId="26E23D60" w14:textId="1FDC24AE" w:rsidR="007A6A1A" w:rsidRPr="00A32741" w:rsidRDefault="007A6A1A" w:rsidP="00BB4D6B">
            <w:pPr>
              <w:spacing w:after="0" w:line="240" w:lineRule="auto"/>
              <w:rPr>
                <w:sz w:val="18"/>
                <w:szCs w:val="18"/>
              </w:rPr>
            </w:pPr>
            <w:r w:rsidRPr="00A32741">
              <w:rPr>
                <w:sz w:val="18"/>
                <w:szCs w:val="18"/>
              </w:rPr>
              <w:t>Change Aug 2022</w:t>
            </w:r>
            <w:r w:rsidR="00A461FB" w:rsidRPr="00A32741">
              <w:rPr>
                <w:sz w:val="18"/>
                <w:szCs w:val="18"/>
              </w:rPr>
              <w:t xml:space="preserve"> </w:t>
            </w:r>
            <w:r w:rsidR="00A461FB" w:rsidRPr="00A32741">
              <w:rPr>
                <w:rFonts w:ascii="Symbol" w:eastAsia="Symbol" w:hAnsi="Symbol" w:cs="Symbol"/>
                <w:sz w:val="18"/>
                <w:szCs w:val="18"/>
              </w:rPr>
              <w:sym w:font="Symbol" w:char="F02D"/>
            </w:r>
            <w:r w:rsidR="00A461FB" w:rsidRPr="00A32741">
              <w:rPr>
                <w:sz w:val="18"/>
                <w:szCs w:val="18"/>
              </w:rPr>
              <w:t xml:space="preserve"> </w:t>
            </w:r>
            <w:r w:rsidRPr="00A32741">
              <w:rPr>
                <w:sz w:val="18"/>
                <w:szCs w:val="18"/>
              </w:rPr>
              <w:t>Aug 2024</w:t>
            </w:r>
          </w:p>
        </w:tc>
        <w:tc>
          <w:tcPr>
            <w:tcW w:w="1273" w:type="dxa"/>
            <w:tcBorders>
              <w:top w:val="nil"/>
              <w:left w:val="nil"/>
              <w:bottom w:val="single" w:sz="4" w:space="0" w:color="auto"/>
              <w:right w:val="nil"/>
            </w:tcBorders>
            <w:noWrap/>
            <w:hideMark/>
          </w:tcPr>
          <w:p w14:paraId="50596617" w14:textId="77777777" w:rsidR="007A6A1A" w:rsidRPr="00A32741" w:rsidRDefault="007A6A1A" w:rsidP="00BB4D6B">
            <w:pPr>
              <w:spacing w:after="0" w:line="240" w:lineRule="auto"/>
              <w:rPr>
                <w:sz w:val="18"/>
                <w:szCs w:val="18"/>
              </w:rPr>
            </w:pPr>
            <w:r w:rsidRPr="00A32741">
              <w:rPr>
                <w:sz w:val="18"/>
                <w:szCs w:val="18"/>
              </w:rPr>
              <w:t>3.5%</w:t>
            </w:r>
          </w:p>
        </w:tc>
        <w:tc>
          <w:tcPr>
            <w:tcW w:w="1465" w:type="dxa"/>
            <w:tcBorders>
              <w:top w:val="nil"/>
              <w:left w:val="nil"/>
              <w:bottom w:val="single" w:sz="4" w:space="0" w:color="auto"/>
              <w:right w:val="nil"/>
            </w:tcBorders>
            <w:noWrap/>
            <w:hideMark/>
          </w:tcPr>
          <w:p w14:paraId="10AE4E82" w14:textId="77777777" w:rsidR="007A6A1A" w:rsidRPr="00A32741" w:rsidRDefault="007A6A1A" w:rsidP="00BB4D6B">
            <w:pPr>
              <w:spacing w:after="0" w:line="240" w:lineRule="auto"/>
              <w:rPr>
                <w:sz w:val="18"/>
                <w:szCs w:val="18"/>
              </w:rPr>
            </w:pPr>
            <w:r w:rsidRPr="00A32741">
              <w:rPr>
                <w:sz w:val="18"/>
                <w:szCs w:val="18"/>
              </w:rPr>
              <w:t>8.4%</w:t>
            </w:r>
          </w:p>
        </w:tc>
        <w:tc>
          <w:tcPr>
            <w:tcW w:w="1332" w:type="dxa"/>
            <w:tcBorders>
              <w:top w:val="nil"/>
              <w:left w:val="nil"/>
              <w:bottom w:val="single" w:sz="4" w:space="0" w:color="auto"/>
              <w:right w:val="nil"/>
            </w:tcBorders>
            <w:noWrap/>
            <w:hideMark/>
          </w:tcPr>
          <w:p w14:paraId="0A069604" w14:textId="77777777" w:rsidR="007A6A1A" w:rsidRPr="00A32741" w:rsidRDefault="007A6A1A" w:rsidP="00BB4D6B">
            <w:pPr>
              <w:spacing w:after="0" w:line="240" w:lineRule="auto"/>
              <w:rPr>
                <w:sz w:val="18"/>
                <w:szCs w:val="18"/>
              </w:rPr>
            </w:pPr>
            <w:r w:rsidRPr="00A32741">
              <w:rPr>
                <w:sz w:val="18"/>
                <w:szCs w:val="18"/>
              </w:rPr>
              <w:t>7.0%</w:t>
            </w:r>
          </w:p>
        </w:tc>
        <w:tc>
          <w:tcPr>
            <w:tcW w:w="1277" w:type="dxa"/>
            <w:tcBorders>
              <w:top w:val="nil"/>
              <w:left w:val="nil"/>
              <w:bottom w:val="single" w:sz="4" w:space="0" w:color="auto"/>
              <w:right w:val="nil"/>
            </w:tcBorders>
            <w:noWrap/>
            <w:hideMark/>
          </w:tcPr>
          <w:p w14:paraId="39B5C130" w14:textId="77777777" w:rsidR="007A6A1A" w:rsidRPr="00A32741" w:rsidRDefault="007A6A1A" w:rsidP="00BB4D6B">
            <w:pPr>
              <w:spacing w:after="0" w:line="240" w:lineRule="auto"/>
              <w:rPr>
                <w:sz w:val="18"/>
                <w:szCs w:val="18"/>
              </w:rPr>
            </w:pPr>
            <w:r w:rsidRPr="00A32741">
              <w:rPr>
                <w:sz w:val="18"/>
                <w:szCs w:val="18"/>
              </w:rPr>
              <w:t>10.3%</w:t>
            </w:r>
          </w:p>
        </w:tc>
        <w:tc>
          <w:tcPr>
            <w:tcW w:w="1520" w:type="dxa"/>
            <w:tcBorders>
              <w:top w:val="nil"/>
              <w:left w:val="nil"/>
              <w:bottom w:val="single" w:sz="4" w:space="0" w:color="auto"/>
              <w:right w:val="nil"/>
            </w:tcBorders>
            <w:noWrap/>
            <w:hideMark/>
          </w:tcPr>
          <w:p w14:paraId="0CC12EF3" w14:textId="77777777" w:rsidR="007A6A1A" w:rsidRPr="00A32741" w:rsidRDefault="007A6A1A" w:rsidP="00BB4D6B">
            <w:pPr>
              <w:spacing w:after="0" w:line="240" w:lineRule="auto"/>
              <w:rPr>
                <w:sz w:val="18"/>
                <w:szCs w:val="18"/>
              </w:rPr>
            </w:pPr>
            <w:r w:rsidRPr="00A32741">
              <w:rPr>
                <w:sz w:val="18"/>
                <w:szCs w:val="18"/>
              </w:rPr>
              <w:t>5.1%</w:t>
            </w:r>
          </w:p>
        </w:tc>
        <w:tc>
          <w:tcPr>
            <w:tcW w:w="1010" w:type="dxa"/>
            <w:tcBorders>
              <w:top w:val="nil"/>
              <w:left w:val="nil"/>
              <w:bottom w:val="single" w:sz="4" w:space="0" w:color="auto"/>
              <w:right w:val="nil"/>
            </w:tcBorders>
            <w:noWrap/>
            <w:hideMark/>
          </w:tcPr>
          <w:p w14:paraId="6A32D1F4" w14:textId="77777777" w:rsidR="007A6A1A" w:rsidRPr="00A32741" w:rsidRDefault="007A6A1A" w:rsidP="00BB4D6B">
            <w:pPr>
              <w:spacing w:after="0" w:line="240" w:lineRule="auto"/>
              <w:rPr>
                <w:sz w:val="18"/>
                <w:szCs w:val="18"/>
              </w:rPr>
            </w:pPr>
            <w:r w:rsidRPr="00A32741">
              <w:rPr>
                <w:sz w:val="18"/>
                <w:szCs w:val="18"/>
              </w:rPr>
              <w:t>-1.3%</w:t>
            </w:r>
          </w:p>
        </w:tc>
        <w:tc>
          <w:tcPr>
            <w:tcW w:w="1188" w:type="dxa"/>
            <w:tcBorders>
              <w:top w:val="nil"/>
              <w:left w:val="nil"/>
              <w:bottom w:val="single" w:sz="4" w:space="0" w:color="auto"/>
              <w:right w:val="nil"/>
            </w:tcBorders>
            <w:noWrap/>
            <w:hideMark/>
          </w:tcPr>
          <w:p w14:paraId="3AAD67E4" w14:textId="77777777" w:rsidR="007A6A1A" w:rsidRPr="00A32741" w:rsidRDefault="007A6A1A" w:rsidP="00BB4D6B">
            <w:pPr>
              <w:spacing w:after="0" w:line="240" w:lineRule="auto"/>
              <w:rPr>
                <w:sz w:val="18"/>
                <w:szCs w:val="18"/>
              </w:rPr>
            </w:pPr>
            <w:r w:rsidRPr="00A32741">
              <w:rPr>
                <w:sz w:val="18"/>
                <w:szCs w:val="18"/>
              </w:rPr>
              <w:t>-8.5%</w:t>
            </w:r>
          </w:p>
        </w:tc>
        <w:tc>
          <w:tcPr>
            <w:tcW w:w="1166" w:type="dxa"/>
            <w:tcBorders>
              <w:top w:val="nil"/>
              <w:left w:val="nil"/>
              <w:bottom w:val="single" w:sz="4" w:space="0" w:color="auto"/>
              <w:right w:val="nil"/>
            </w:tcBorders>
            <w:noWrap/>
            <w:hideMark/>
          </w:tcPr>
          <w:p w14:paraId="29775F09" w14:textId="77777777" w:rsidR="007A6A1A" w:rsidRPr="00A32741" w:rsidRDefault="007A6A1A" w:rsidP="00BB4D6B">
            <w:pPr>
              <w:spacing w:after="0" w:line="240" w:lineRule="auto"/>
              <w:rPr>
                <w:sz w:val="18"/>
                <w:szCs w:val="18"/>
              </w:rPr>
            </w:pPr>
            <w:r w:rsidRPr="00A32741">
              <w:rPr>
                <w:sz w:val="18"/>
                <w:szCs w:val="18"/>
              </w:rPr>
              <w:t>8.1%</w:t>
            </w:r>
          </w:p>
        </w:tc>
        <w:tc>
          <w:tcPr>
            <w:tcW w:w="1044" w:type="dxa"/>
            <w:tcBorders>
              <w:top w:val="nil"/>
              <w:left w:val="nil"/>
              <w:bottom w:val="single" w:sz="4" w:space="0" w:color="auto"/>
              <w:right w:val="single" w:sz="4" w:space="0" w:color="auto"/>
            </w:tcBorders>
            <w:noWrap/>
            <w:hideMark/>
          </w:tcPr>
          <w:p w14:paraId="6385A180" w14:textId="77777777" w:rsidR="007A6A1A" w:rsidRPr="00A32741" w:rsidRDefault="007A6A1A" w:rsidP="00BB4D6B">
            <w:pPr>
              <w:spacing w:after="0" w:line="240" w:lineRule="auto"/>
              <w:rPr>
                <w:sz w:val="18"/>
                <w:szCs w:val="18"/>
              </w:rPr>
            </w:pPr>
            <w:r w:rsidRPr="00A32741">
              <w:rPr>
                <w:sz w:val="18"/>
                <w:szCs w:val="18"/>
              </w:rPr>
              <w:t>6.1%</w:t>
            </w:r>
          </w:p>
        </w:tc>
      </w:tr>
      <w:tr w:rsidR="007A6A1A" w:rsidRPr="00BB4D6B" w14:paraId="5F14D1DE" w14:textId="77777777">
        <w:trPr>
          <w:trHeight w:val="287"/>
        </w:trPr>
        <w:tc>
          <w:tcPr>
            <w:tcW w:w="2526" w:type="dxa"/>
            <w:tcBorders>
              <w:top w:val="single" w:sz="4" w:space="0" w:color="auto"/>
              <w:left w:val="single" w:sz="4" w:space="0" w:color="auto"/>
              <w:bottom w:val="nil"/>
              <w:right w:val="nil"/>
            </w:tcBorders>
            <w:noWrap/>
            <w:hideMark/>
          </w:tcPr>
          <w:p w14:paraId="268374ED" w14:textId="77777777" w:rsidR="007A6A1A" w:rsidRPr="00BB4D6B" w:rsidRDefault="007A6A1A" w:rsidP="00BB4D6B">
            <w:pPr>
              <w:spacing w:after="0" w:line="240" w:lineRule="auto"/>
              <w:rPr>
                <w:b/>
                <w:bCs/>
                <w:sz w:val="20"/>
                <w:szCs w:val="20"/>
              </w:rPr>
            </w:pPr>
            <w:r w:rsidRPr="00BB4D6B">
              <w:rPr>
                <w:b/>
                <w:bCs/>
                <w:sz w:val="20"/>
                <w:szCs w:val="20"/>
              </w:rPr>
              <w:t>Persons</w:t>
            </w:r>
          </w:p>
        </w:tc>
        <w:tc>
          <w:tcPr>
            <w:tcW w:w="1273" w:type="dxa"/>
            <w:tcBorders>
              <w:top w:val="single" w:sz="4" w:space="0" w:color="auto"/>
              <w:left w:val="nil"/>
              <w:bottom w:val="nil"/>
              <w:right w:val="nil"/>
            </w:tcBorders>
            <w:noWrap/>
            <w:hideMark/>
          </w:tcPr>
          <w:p w14:paraId="1C298264" w14:textId="77777777" w:rsidR="007A6A1A" w:rsidRPr="00BB4D6B" w:rsidRDefault="007A6A1A" w:rsidP="00BB4D6B">
            <w:pPr>
              <w:spacing w:after="0" w:line="240" w:lineRule="auto"/>
              <w:rPr>
                <w:b/>
                <w:bCs/>
                <w:sz w:val="20"/>
                <w:szCs w:val="20"/>
              </w:rPr>
            </w:pPr>
          </w:p>
        </w:tc>
        <w:tc>
          <w:tcPr>
            <w:tcW w:w="1465" w:type="dxa"/>
            <w:tcBorders>
              <w:top w:val="single" w:sz="4" w:space="0" w:color="auto"/>
              <w:left w:val="nil"/>
              <w:bottom w:val="nil"/>
              <w:right w:val="nil"/>
            </w:tcBorders>
            <w:noWrap/>
            <w:hideMark/>
          </w:tcPr>
          <w:p w14:paraId="7F7BE514" w14:textId="77777777" w:rsidR="007A6A1A" w:rsidRPr="00BB4D6B" w:rsidRDefault="007A6A1A" w:rsidP="00BB4D6B">
            <w:pPr>
              <w:spacing w:after="0" w:line="240" w:lineRule="auto"/>
              <w:rPr>
                <w:sz w:val="20"/>
                <w:szCs w:val="20"/>
              </w:rPr>
            </w:pPr>
          </w:p>
        </w:tc>
        <w:tc>
          <w:tcPr>
            <w:tcW w:w="1332" w:type="dxa"/>
            <w:tcBorders>
              <w:top w:val="single" w:sz="4" w:space="0" w:color="auto"/>
              <w:left w:val="nil"/>
              <w:bottom w:val="nil"/>
              <w:right w:val="nil"/>
            </w:tcBorders>
            <w:noWrap/>
            <w:hideMark/>
          </w:tcPr>
          <w:p w14:paraId="4F103DA8" w14:textId="77777777" w:rsidR="007A6A1A" w:rsidRPr="00BB4D6B" w:rsidRDefault="007A6A1A" w:rsidP="00BB4D6B">
            <w:pPr>
              <w:spacing w:after="0" w:line="240" w:lineRule="auto"/>
              <w:rPr>
                <w:sz w:val="20"/>
                <w:szCs w:val="20"/>
              </w:rPr>
            </w:pPr>
          </w:p>
        </w:tc>
        <w:tc>
          <w:tcPr>
            <w:tcW w:w="1277" w:type="dxa"/>
            <w:tcBorders>
              <w:top w:val="single" w:sz="4" w:space="0" w:color="auto"/>
              <w:left w:val="nil"/>
              <w:bottom w:val="nil"/>
              <w:right w:val="nil"/>
            </w:tcBorders>
            <w:noWrap/>
            <w:hideMark/>
          </w:tcPr>
          <w:p w14:paraId="3D1A2694" w14:textId="77777777" w:rsidR="007A6A1A" w:rsidRPr="00BB4D6B" w:rsidRDefault="007A6A1A" w:rsidP="00BB4D6B">
            <w:pPr>
              <w:spacing w:after="0" w:line="240" w:lineRule="auto"/>
              <w:rPr>
                <w:sz w:val="20"/>
                <w:szCs w:val="20"/>
              </w:rPr>
            </w:pPr>
          </w:p>
        </w:tc>
        <w:tc>
          <w:tcPr>
            <w:tcW w:w="1520" w:type="dxa"/>
            <w:tcBorders>
              <w:top w:val="single" w:sz="4" w:space="0" w:color="auto"/>
              <w:left w:val="nil"/>
              <w:bottom w:val="nil"/>
              <w:right w:val="nil"/>
            </w:tcBorders>
            <w:noWrap/>
            <w:hideMark/>
          </w:tcPr>
          <w:p w14:paraId="2F46DFB9" w14:textId="77777777" w:rsidR="007A6A1A" w:rsidRPr="00BB4D6B" w:rsidRDefault="007A6A1A" w:rsidP="00BB4D6B">
            <w:pPr>
              <w:spacing w:after="0" w:line="240" w:lineRule="auto"/>
              <w:rPr>
                <w:sz w:val="20"/>
                <w:szCs w:val="20"/>
              </w:rPr>
            </w:pPr>
          </w:p>
        </w:tc>
        <w:tc>
          <w:tcPr>
            <w:tcW w:w="1010" w:type="dxa"/>
            <w:tcBorders>
              <w:top w:val="single" w:sz="4" w:space="0" w:color="auto"/>
              <w:left w:val="nil"/>
              <w:bottom w:val="nil"/>
              <w:right w:val="nil"/>
            </w:tcBorders>
            <w:noWrap/>
            <w:hideMark/>
          </w:tcPr>
          <w:p w14:paraId="4D017B85" w14:textId="77777777" w:rsidR="007A6A1A" w:rsidRPr="00BB4D6B" w:rsidRDefault="007A6A1A" w:rsidP="00BB4D6B">
            <w:pPr>
              <w:spacing w:after="0" w:line="240" w:lineRule="auto"/>
              <w:rPr>
                <w:sz w:val="20"/>
                <w:szCs w:val="20"/>
              </w:rPr>
            </w:pPr>
          </w:p>
        </w:tc>
        <w:tc>
          <w:tcPr>
            <w:tcW w:w="1188" w:type="dxa"/>
            <w:tcBorders>
              <w:top w:val="single" w:sz="4" w:space="0" w:color="auto"/>
              <w:left w:val="nil"/>
              <w:bottom w:val="nil"/>
              <w:right w:val="nil"/>
            </w:tcBorders>
            <w:noWrap/>
            <w:hideMark/>
          </w:tcPr>
          <w:p w14:paraId="4CEC89D0" w14:textId="77777777" w:rsidR="007A6A1A" w:rsidRPr="00BB4D6B" w:rsidRDefault="007A6A1A" w:rsidP="00BB4D6B">
            <w:pPr>
              <w:spacing w:after="0" w:line="240" w:lineRule="auto"/>
              <w:rPr>
                <w:sz w:val="20"/>
                <w:szCs w:val="20"/>
              </w:rPr>
            </w:pPr>
          </w:p>
        </w:tc>
        <w:tc>
          <w:tcPr>
            <w:tcW w:w="1166" w:type="dxa"/>
            <w:tcBorders>
              <w:top w:val="single" w:sz="4" w:space="0" w:color="auto"/>
              <w:left w:val="nil"/>
              <w:bottom w:val="nil"/>
              <w:right w:val="nil"/>
            </w:tcBorders>
            <w:noWrap/>
            <w:hideMark/>
          </w:tcPr>
          <w:p w14:paraId="296FCB01" w14:textId="77777777" w:rsidR="007A6A1A" w:rsidRPr="00BB4D6B" w:rsidRDefault="007A6A1A" w:rsidP="00BB4D6B">
            <w:pPr>
              <w:spacing w:after="0" w:line="240" w:lineRule="auto"/>
              <w:rPr>
                <w:sz w:val="20"/>
                <w:szCs w:val="20"/>
              </w:rPr>
            </w:pPr>
          </w:p>
        </w:tc>
        <w:tc>
          <w:tcPr>
            <w:tcW w:w="1044" w:type="dxa"/>
            <w:tcBorders>
              <w:top w:val="single" w:sz="4" w:space="0" w:color="auto"/>
              <w:left w:val="nil"/>
              <w:bottom w:val="nil"/>
              <w:right w:val="single" w:sz="4" w:space="0" w:color="auto"/>
            </w:tcBorders>
            <w:noWrap/>
            <w:hideMark/>
          </w:tcPr>
          <w:p w14:paraId="40CBA20E" w14:textId="77777777" w:rsidR="007A6A1A" w:rsidRPr="00BB4D6B" w:rsidRDefault="007A6A1A" w:rsidP="00BB4D6B">
            <w:pPr>
              <w:spacing w:after="0" w:line="240" w:lineRule="auto"/>
              <w:rPr>
                <w:sz w:val="20"/>
                <w:szCs w:val="20"/>
              </w:rPr>
            </w:pPr>
          </w:p>
        </w:tc>
      </w:tr>
      <w:tr w:rsidR="007A6A1A" w:rsidRPr="00BB4D6B" w14:paraId="57CCBE01" w14:textId="77777777">
        <w:trPr>
          <w:trHeight w:val="287"/>
        </w:trPr>
        <w:tc>
          <w:tcPr>
            <w:tcW w:w="2526" w:type="dxa"/>
            <w:tcBorders>
              <w:top w:val="nil"/>
              <w:left w:val="single" w:sz="4" w:space="0" w:color="auto"/>
              <w:bottom w:val="nil"/>
              <w:right w:val="nil"/>
            </w:tcBorders>
            <w:noWrap/>
            <w:hideMark/>
          </w:tcPr>
          <w:p w14:paraId="3CC4293C" w14:textId="77777777" w:rsidR="007A6A1A" w:rsidRPr="00A32741" w:rsidRDefault="007A6A1A" w:rsidP="00BB4D6B">
            <w:pPr>
              <w:spacing w:after="0" w:line="240" w:lineRule="auto"/>
              <w:rPr>
                <w:sz w:val="18"/>
                <w:szCs w:val="18"/>
              </w:rPr>
            </w:pPr>
            <w:r w:rsidRPr="00A32741">
              <w:rPr>
                <w:sz w:val="18"/>
                <w:szCs w:val="18"/>
              </w:rPr>
              <w:t>Aug-2012</w:t>
            </w:r>
          </w:p>
        </w:tc>
        <w:tc>
          <w:tcPr>
            <w:tcW w:w="1273" w:type="dxa"/>
            <w:noWrap/>
            <w:hideMark/>
          </w:tcPr>
          <w:p w14:paraId="4C6EB8BD" w14:textId="77777777" w:rsidR="007A6A1A" w:rsidRPr="00A32741" w:rsidRDefault="007A6A1A" w:rsidP="00BB4D6B">
            <w:pPr>
              <w:spacing w:after="0" w:line="240" w:lineRule="auto"/>
              <w:rPr>
                <w:sz w:val="18"/>
                <w:szCs w:val="18"/>
              </w:rPr>
            </w:pPr>
            <w:r w:rsidRPr="00A32741">
              <w:rPr>
                <w:sz w:val="18"/>
                <w:szCs w:val="18"/>
              </w:rPr>
              <w:t>1,429.1</w:t>
            </w:r>
          </w:p>
        </w:tc>
        <w:tc>
          <w:tcPr>
            <w:tcW w:w="1465" w:type="dxa"/>
            <w:noWrap/>
            <w:hideMark/>
          </w:tcPr>
          <w:p w14:paraId="4EB2119C" w14:textId="77777777" w:rsidR="007A6A1A" w:rsidRPr="00A32741" w:rsidRDefault="007A6A1A" w:rsidP="00BB4D6B">
            <w:pPr>
              <w:spacing w:after="0" w:line="240" w:lineRule="auto"/>
              <w:rPr>
                <w:sz w:val="18"/>
                <w:szCs w:val="18"/>
              </w:rPr>
            </w:pPr>
            <w:r w:rsidRPr="00A32741">
              <w:rPr>
                <w:sz w:val="18"/>
                <w:szCs w:val="18"/>
              </w:rPr>
              <w:t>2,515.7</w:t>
            </w:r>
          </w:p>
        </w:tc>
        <w:tc>
          <w:tcPr>
            <w:tcW w:w="1332" w:type="dxa"/>
            <w:noWrap/>
            <w:hideMark/>
          </w:tcPr>
          <w:p w14:paraId="205A7D8B" w14:textId="77777777" w:rsidR="007A6A1A" w:rsidRPr="00A32741" w:rsidRDefault="007A6A1A" w:rsidP="00BB4D6B">
            <w:pPr>
              <w:spacing w:after="0" w:line="240" w:lineRule="auto"/>
              <w:rPr>
                <w:sz w:val="18"/>
                <w:szCs w:val="18"/>
              </w:rPr>
            </w:pPr>
            <w:r w:rsidRPr="00A32741">
              <w:rPr>
                <w:sz w:val="18"/>
                <w:szCs w:val="18"/>
              </w:rPr>
              <w:t>1,654.4</w:t>
            </w:r>
          </w:p>
        </w:tc>
        <w:tc>
          <w:tcPr>
            <w:tcW w:w="1277" w:type="dxa"/>
            <w:noWrap/>
            <w:hideMark/>
          </w:tcPr>
          <w:p w14:paraId="4A8EF83D" w14:textId="77777777" w:rsidR="007A6A1A" w:rsidRPr="00A32741" w:rsidRDefault="007A6A1A" w:rsidP="00BB4D6B">
            <w:pPr>
              <w:spacing w:after="0" w:line="240" w:lineRule="auto"/>
              <w:rPr>
                <w:sz w:val="18"/>
                <w:szCs w:val="18"/>
              </w:rPr>
            </w:pPr>
            <w:r w:rsidRPr="00A32741">
              <w:rPr>
                <w:sz w:val="18"/>
                <w:szCs w:val="18"/>
              </w:rPr>
              <w:t>1,064.5</w:t>
            </w:r>
          </w:p>
        </w:tc>
        <w:tc>
          <w:tcPr>
            <w:tcW w:w="1520" w:type="dxa"/>
            <w:noWrap/>
            <w:hideMark/>
          </w:tcPr>
          <w:p w14:paraId="69D62595" w14:textId="77777777" w:rsidR="007A6A1A" w:rsidRPr="00A32741" w:rsidRDefault="007A6A1A" w:rsidP="00BB4D6B">
            <w:pPr>
              <w:spacing w:after="0" w:line="240" w:lineRule="auto"/>
              <w:rPr>
                <w:sz w:val="18"/>
                <w:szCs w:val="18"/>
              </w:rPr>
            </w:pPr>
            <w:r w:rsidRPr="00A32741">
              <w:rPr>
                <w:sz w:val="18"/>
                <w:szCs w:val="18"/>
              </w:rPr>
              <w:t>1,664.2</w:t>
            </w:r>
          </w:p>
        </w:tc>
        <w:tc>
          <w:tcPr>
            <w:tcW w:w="1010" w:type="dxa"/>
            <w:noWrap/>
            <w:hideMark/>
          </w:tcPr>
          <w:p w14:paraId="576CB4C5" w14:textId="77777777" w:rsidR="007A6A1A" w:rsidRPr="00A32741" w:rsidRDefault="007A6A1A" w:rsidP="00BB4D6B">
            <w:pPr>
              <w:spacing w:after="0" w:line="240" w:lineRule="auto"/>
              <w:rPr>
                <w:sz w:val="18"/>
                <w:szCs w:val="18"/>
              </w:rPr>
            </w:pPr>
            <w:r w:rsidRPr="00A32741">
              <w:rPr>
                <w:sz w:val="18"/>
                <w:szCs w:val="18"/>
              </w:rPr>
              <w:t>1,059.0</w:t>
            </w:r>
          </w:p>
        </w:tc>
        <w:tc>
          <w:tcPr>
            <w:tcW w:w="1188" w:type="dxa"/>
            <w:noWrap/>
            <w:hideMark/>
          </w:tcPr>
          <w:p w14:paraId="005FDC23" w14:textId="77777777" w:rsidR="007A6A1A" w:rsidRPr="00A32741" w:rsidRDefault="007A6A1A" w:rsidP="00BB4D6B">
            <w:pPr>
              <w:spacing w:after="0" w:line="240" w:lineRule="auto"/>
              <w:rPr>
                <w:sz w:val="18"/>
                <w:szCs w:val="18"/>
              </w:rPr>
            </w:pPr>
            <w:r w:rsidRPr="00A32741">
              <w:rPr>
                <w:sz w:val="18"/>
                <w:szCs w:val="18"/>
              </w:rPr>
              <w:t>726.4</w:t>
            </w:r>
          </w:p>
        </w:tc>
        <w:tc>
          <w:tcPr>
            <w:tcW w:w="1166" w:type="dxa"/>
            <w:noWrap/>
            <w:hideMark/>
          </w:tcPr>
          <w:p w14:paraId="788CD3C6" w14:textId="77777777" w:rsidR="007A6A1A" w:rsidRPr="00A32741" w:rsidRDefault="007A6A1A" w:rsidP="00BB4D6B">
            <w:pPr>
              <w:spacing w:after="0" w:line="240" w:lineRule="auto"/>
              <w:rPr>
                <w:sz w:val="18"/>
                <w:szCs w:val="18"/>
              </w:rPr>
            </w:pPr>
            <w:r w:rsidRPr="00A32741">
              <w:rPr>
                <w:sz w:val="18"/>
                <w:szCs w:val="18"/>
              </w:rPr>
              <w:t>1,150.8</w:t>
            </w:r>
          </w:p>
        </w:tc>
        <w:tc>
          <w:tcPr>
            <w:tcW w:w="1044" w:type="dxa"/>
            <w:tcBorders>
              <w:top w:val="nil"/>
              <w:left w:val="nil"/>
              <w:bottom w:val="nil"/>
              <w:right w:val="single" w:sz="4" w:space="0" w:color="auto"/>
            </w:tcBorders>
            <w:noWrap/>
            <w:hideMark/>
          </w:tcPr>
          <w:p w14:paraId="4DA54173" w14:textId="77777777" w:rsidR="007A6A1A" w:rsidRPr="00A32741" w:rsidRDefault="007A6A1A" w:rsidP="00BB4D6B">
            <w:pPr>
              <w:spacing w:after="0" w:line="240" w:lineRule="auto"/>
              <w:rPr>
                <w:sz w:val="18"/>
                <w:szCs w:val="18"/>
              </w:rPr>
            </w:pPr>
            <w:r w:rsidRPr="00A32741">
              <w:rPr>
                <w:sz w:val="18"/>
                <w:szCs w:val="18"/>
              </w:rPr>
              <w:t>11,264.1</w:t>
            </w:r>
          </w:p>
        </w:tc>
      </w:tr>
      <w:tr w:rsidR="007A6A1A" w:rsidRPr="00BB4D6B" w14:paraId="66339DC7" w14:textId="77777777">
        <w:trPr>
          <w:trHeight w:val="287"/>
        </w:trPr>
        <w:tc>
          <w:tcPr>
            <w:tcW w:w="2526" w:type="dxa"/>
            <w:tcBorders>
              <w:top w:val="nil"/>
              <w:left w:val="single" w:sz="4" w:space="0" w:color="auto"/>
              <w:bottom w:val="nil"/>
              <w:right w:val="nil"/>
            </w:tcBorders>
            <w:noWrap/>
            <w:hideMark/>
          </w:tcPr>
          <w:p w14:paraId="64A21569" w14:textId="77777777" w:rsidR="007A6A1A" w:rsidRPr="00A32741" w:rsidRDefault="007A6A1A" w:rsidP="00BB4D6B">
            <w:pPr>
              <w:spacing w:after="0" w:line="240" w:lineRule="auto"/>
              <w:rPr>
                <w:sz w:val="18"/>
                <w:szCs w:val="18"/>
              </w:rPr>
            </w:pPr>
            <w:r w:rsidRPr="00A32741">
              <w:rPr>
                <w:sz w:val="18"/>
                <w:szCs w:val="18"/>
              </w:rPr>
              <w:t>Aug-2022</w:t>
            </w:r>
          </w:p>
        </w:tc>
        <w:tc>
          <w:tcPr>
            <w:tcW w:w="1273" w:type="dxa"/>
            <w:noWrap/>
            <w:hideMark/>
          </w:tcPr>
          <w:p w14:paraId="391C504F" w14:textId="77777777" w:rsidR="007A6A1A" w:rsidRPr="00A32741" w:rsidRDefault="007A6A1A" w:rsidP="00BB4D6B">
            <w:pPr>
              <w:spacing w:after="0" w:line="240" w:lineRule="auto"/>
              <w:rPr>
                <w:sz w:val="18"/>
                <w:szCs w:val="18"/>
              </w:rPr>
            </w:pPr>
            <w:r w:rsidRPr="00A32741">
              <w:rPr>
                <w:sz w:val="18"/>
                <w:szCs w:val="18"/>
              </w:rPr>
              <w:t>1,867.8</w:t>
            </w:r>
          </w:p>
        </w:tc>
        <w:tc>
          <w:tcPr>
            <w:tcW w:w="1465" w:type="dxa"/>
            <w:noWrap/>
            <w:hideMark/>
          </w:tcPr>
          <w:p w14:paraId="0E41C783" w14:textId="77777777" w:rsidR="007A6A1A" w:rsidRPr="00A32741" w:rsidRDefault="007A6A1A" w:rsidP="00BB4D6B">
            <w:pPr>
              <w:spacing w:after="0" w:line="240" w:lineRule="auto"/>
              <w:rPr>
                <w:sz w:val="18"/>
                <w:szCs w:val="18"/>
              </w:rPr>
            </w:pPr>
            <w:r w:rsidRPr="00A32741">
              <w:rPr>
                <w:sz w:val="18"/>
                <w:szCs w:val="18"/>
              </w:rPr>
              <w:t>3,474.7</w:t>
            </w:r>
          </w:p>
        </w:tc>
        <w:tc>
          <w:tcPr>
            <w:tcW w:w="1332" w:type="dxa"/>
            <w:noWrap/>
            <w:hideMark/>
          </w:tcPr>
          <w:p w14:paraId="0C8F93C8" w14:textId="77777777" w:rsidR="007A6A1A" w:rsidRPr="00A32741" w:rsidRDefault="007A6A1A" w:rsidP="00BB4D6B">
            <w:pPr>
              <w:spacing w:after="0" w:line="240" w:lineRule="auto"/>
              <w:rPr>
                <w:sz w:val="18"/>
                <w:szCs w:val="18"/>
              </w:rPr>
            </w:pPr>
            <w:r w:rsidRPr="00A32741">
              <w:rPr>
                <w:sz w:val="18"/>
                <w:szCs w:val="18"/>
              </w:rPr>
              <w:t>1,850.3</w:t>
            </w:r>
          </w:p>
        </w:tc>
        <w:tc>
          <w:tcPr>
            <w:tcW w:w="1277" w:type="dxa"/>
            <w:noWrap/>
            <w:hideMark/>
          </w:tcPr>
          <w:p w14:paraId="7B25130E" w14:textId="77777777" w:rsidR="007A6A1A" w:rsidRPr="00A32741" w:rsidRDefault="007A6A1A" w:rsidP="00BB4D6B">
            <w:pPr>
              <w:spacing w:after="0" w:line="240" w:lineRule="auto"/>
              <w:rPr>
                <w:sz w:val="18"/>
                <w:szCs w:val="18"/>
              </w:rPr>
            </w:pPr>
            <w:r w:rsidRPr="00A32741">
              <w:rPr>
                <w:sz w:val="18"/>
                <w:szCs w:val="18"/>
              </w:rPr>
              <w:t>1,497.5</w:t>
            </w:r>
          </w:p>
        </w:tc>
        <w:tc>
          <w:tcPr>
            <w:tcW w:w="1520" w:type="dxa"/>
            <w:noWrap/>
            <w:hideMark/>
          </w:tcPr>
          <w:p w14:paraId="5858F127" w14:textId="77777777" w:rsidR="007A6A1A" w:rsidRPr="00A32741" w:rsidRDefault="007A6A1A" w:rsidP="00BB4D6B">
            <w:pPr>
              <w:spacing w:after="0" w:line="240" w:lineRule="auto"/>
              <w:rPr>
                <w:sz w:val="18"/>
                <w:szCs w:val="18"/>
              </w:rPr>
            </w:pPr>
            <w:r w:rsidRPr="00A32741">
              <w:rPr>
                <w:sz w:val="18"/>
                <w:szCs w:val="18"/>
              </w:rPr>
              <w:t>1,733.1</w:t>
            </w:r>
          </w:p>
        </w:tc>
        <w:tc>
          <w:tcPr>
            <w:tcW w:w="1010" w:type="dxa"/>
            <w:noWrap/>
            <w:hideMark/>
          </w:tcPr>
          <w:p w14:paraId="672842C0" w14:textId="77777777" w:rsidR="007A6A1A" w:rsidRPr="00A32741" w:rsidRDefault="007A6A1A" w:rsidP="00BB4D6B">
            <w:pPr>
              <w:spacing w:after="0" w:line="240" w:lineRule="auto"/>
              <w:rPr>
                <w:sz w:val="18"/>
                <w:szCs w:val="18"/>
              </w:rPr>
            </w:pPr>
            <w:r w:rsidRPr="00A32741">
              <w:rPr>
                <w:sz w:val="18"/>
                <w:szCs w:val="18"/>
              </w:rPr>
              <w:t>1,100.4</w:t>
            </w:r>
          </w:p>
        </w:tc>
        <w:tc>
          <w:tcPr>
            <w:tcW w:w="1188" w:type="dxa"/>
            <w:noWrap/>
            <w:hideMark/>
          </w:tcPr>
          <w:p w14:paraId="0E95BAEF" w14:textId="77777777" w:rsidR="007A6A1A" w:rsidRPr="00A32741" w:rsidRDefault="007A6A1A" w:rsidP="00BB4D6B">
            <w:pPr>
              <w:spacing w:after="0" w:line="240" w:lineRule="auto"/>
              <w:rPr>
                <w:sz w:val="18"/>
                <w:szCs w:val="18"/>
              </w:rPr>
            </w:pPr>
            <w:r w:rsidRPr="00A32741">
              <w:rPr>
                <w:sz w:val="18"/>
                <w:szCs w:val="18"/>
              </w:rPr>
              <w:t>894.7</w:t>
            </w:r>
          </w:p>
        </w:tc>
        <w:tc>
          <w:tcPr>
            <w:tcW w:w="1166" w:type="dxa"/>
            <w:noWrap/>
            <w:hideMark/>
          </w:tcPr>
          <w:p w14:paraId="21312DFB" w14:textId="77777777" w:rsidR="007A6A1A" w:rsidRPr="00A32741" w:rsidRDefault="007A6A1A" w:rsidP="00BB4D6B">
            <w:pPr>
              <w:spacing w:after="0" w:line="240" w:lineRule="auto"/>
              <w:rPr>
                <w:sz w:val="18"/>
                <w:szCs w:val="18"/>
              </w:rPr>
            </w:pPr>
            <w:r w:rsidRPr="00A32741">
              <w:rPr>
                <w:sz w:val="18"/>
                <w:szCs w:val="18"/>
              </w:rPr>
              <w:t>1,176.3</w:t>
            </w:r>
          </w:p>
        </w:tc>
        <w:tc>
          <w:tcPr>
            <w:tcW w:w="1044" w:type="dxa"/>
            <w:tcBorders>
              <w:top w:val="nil"/>
              <w:left w:val="nil"/>
              <w:bottom w:val="nil"/>
              <w:right w:val="single" w:sz="4" w:space="0" w:color="auto"/>
            </w:tcBorders>
            <w:noWrap/>
            <w:hideMark/>
          </w:tcPr>
          <w:p w14:paraId="76BDB0C6" w14:textId="77777777" w:rsidR="007A6A1A" w:rsidRPr="00A32741" w:rsidRDefault="007A6A1A" w:rsidP="00BB4D6B">
            <w:pPr>
              <w:spacing w:after="0" w:line="240" w:lineRule="auto"/>
              <w:rPr>
                <w:sz w:val="18"/>
                <w:szCs w:val="18"/>
              </w:rPr>
            </w:pPr>
            <w:r w:rsidRPr="00A32741">
              <w:rPr>
                <w:sz w:val="18"/>
                <w:szCs w:val="18"/>
              </w:rPr>
              <w:t>13,594.7</w:t>
            </w:r>
          </w:p>
        </w:tc>
      </w:tr>
      <w:tr w:rsidR="007A6A1A" w:rsidRPr="00BB4D6B" w14:paraId="1DA6A041" w14:textId="77777777">
        <w:trPr>
          <w:trHeight w:val="287"/>
        </w:trPr>
        <w:tc>
          <w:tcPr>
            <w:tcW w:w="2526" w:type="dxa"/>
            <w:tcBorders>
              <w:top w:val="nil"/>
              <w:left w:val="single" w:sz="4" w:space="0" w:color="auto"/>
              <w:bottom w:val="nil"/>
              <w:right w:val="nil"/>
            </w:tcBorders>
            <w:noWrap/>
            <w:hideMark/>
          </w:tcPr>
          <w:p w14:paraId="6538D340" w14:textId="77777777" w:rsidR="007A6A1A" w:rsidRPr="00A32741" w:rsidRDefault="007A6A1A" w:rsidP="00BB4D6B">
            <w:pPr>
              <w:spacing w:after="0" w:line="240" w:lineRule="auto"/>
              <w:rPr>
                <w:sz w:val="18"/>
                <w:szCs w:val="18"/>
              </w:rPr>
            </w:pPr>
            <w:r w:rsidRPr="00A32741">
              <w:rPr>
                <w:sz w:val="18"/>
                <w:szCs w:val="18"/>
              </w:rPr>
              <w:t>Aug-2024</w:t>
            </w:r>
          </w:p>
        </w:tc>
        <w:tc>
          <w:tcPr>
            <w:tcW w:w="1273" w:type="dxa"/>
            <w:noWrap/>
            <w:hideMark/>
          </w:tcPr>
          <w:p w14:paraId="500D3709" w14:textId="77777777" w:rsidR="007A6A1A" w:rsidRPr="00A32741" w:rsidRDefault="007A6A1A" w:rsidP="00BB4D6B">
            <w:pPr>
              <w:spacing w:after="0" w:line="240" w:lineRule="auto"/>
              <w:rPr>
                <w:sz w:val="18"/>
                <w:szCs w:val="18"/>
              </w:rPr>
            </w:pPr>
            <w:r w:rsidRPr="00A32741">
              <w:rPr>
                <w:sz w:val="18"/>
                <w:szCs w:val="18"/>
              </w:rPr>
              <w:t>1,877.4</w:t>
            </w:r>
          </w:p>
        </w:tc>
        <w:tc>
          <w:tcPr>
            <w:tcW w:w="1465" w:type="dxa"/>
            <w:noWrap/>
            <w:hideMark/>
          </w:tcPr>
          <w:p w14:paraId="2605269E" w14:textId="77777777" w:rsidR="007A6A1A" w:rsidRPr="00A32741" w:rsidRDefault="007A6A1A" w:rsidP="00BB4D6B">
            <w:pPr>
              <w:spacing w:after="0" w:line="240" w:lineRule="auto"/>
              <w:rPr>
                <w:sz w:val="18"/>
                <w:szCs w:val="18"/>
              </w:rPr>
            </w:pPr>
            <w:r w:rsidRPr="00A32741">
              <w:rPr>
                <w:sz w:val="18"/>
                <w:szCs w:val="18"/>
              </w:rPr>
              <w:t>3,820.5</w:t>
            </w:r>
          </w:p>
        </w:tc>
        <w:tc>
          <w:tcPr>
            <w:tcW w:w="1332" w:type="dxa"/>
            <w:noWrap/>
            <w:hideMark/>
          </w:tcPr>
          <w:p w14:paraId="2EA746C7" w14:textId="77777777" w:rsidR="007A6A1A" w:rsidRPr="00A32741" w:rsidRDefault="007A6A1A" w:rsidP="00BB4D6B">
            <w:pPr>
              <w:spacing w:after="0" w:line="240" w:lineRule="auto"/>
              <w:rPr>
                <w:sz w:val="18"/>
                <w:szCs w:val="18"/>
              </w:rPr>
            </w:pPr>
            <w:r w:rsidRPr="00A32741">
              <w:rPr>
                <w:sz w:val="18"/>
                <w:szCs w:val="18"/>
              </w:rPr>
              <w:t>1,953.9</w:t>
            </w:r>
          </w:p>
        </w:tc>
        <w:tc>
          <w:tcPr>
            <w:tcW w:w="1277" w:type="dxa"/>
            <w:noWrap/>
            <w:hideMark/>
          </w:tcPr>
          <w:p w14:paraId="62530FCA" w14:textId="77777777" w:rsidR="007A6A1A" w:rsidRPr="00A32741" w:rsidRDefault="007A6A1A" w:rsidP="00BB4D6B">
            <w:pPr>
              <w:spacing w:after="0" w:line="240" w:lineRule="auto"/>
              <w:rPr>
                <w:sz w:val="18"/>
                <w:szCs w:val="18"/>
              </w:rPr>
            </w:pPr>
            <w:r w:rsidRPr="00A32741">
              <w:rPr>
                <w:sz w:val="18"/>
                <w:szCs w:val="18"/>
              </w:rPr>
              <w:t>1,658.3</w:t>
            </w:r>
          </w:p>
        </w:tc>
        <w:tc>
          <w:tcPr>
            <w:tcW w:w="1520" w:type="dxa"/>
            <w:noWrap/>
            <w:hideMark/>
          </w:tcPr>
          <w:p w14:paraId="2791ADDF" w14:textId="77777777" w:rsidR="007A6A1A" w:rsidRPr="00A32741" w:rsidRDefault="007A6A1A" w:rsidP="00BB4D6B">
            <w:pPr>
              <w:spacing w:after="0" w:line="240" w:lineRule="auto"/>
              <w:rPr>
                <w:sz w:val="18"/>
                <w:szCs w:val="18"/>
              </w:rPr>
            </w:pPr>
            <w:r w:rsidRPr="00A32741">
              <w:rPr>
                <w:sz w:val="18"/>
                <w:szCs w:val="18"/>
              </w:rPr>
              <w:t>1,852.1</w:t>
            </w:r>
          </w:p>
        </w:tc>
        <w:tc>
          <w:tcPr>
            <w:tcW w:w="1010" w:type="dxa"/>
            <w:noWrap/>
            <w:hideMark/>
          </w:tcPr>
          <w:p w14:paraId="1AC816A9" w14:textId="77777777" w:rsidR="007A6A1A" w:rsidRPr="00A32741" w:rsidRDefault="007A6A1A" w:rsidP="00BB4D6B">
            <w:pPr>
              <w:spacing w:after="0" w:line="240" w:lineRule="auto"/>
              <w:rPr>
                <w:sz w:val="18"/>
                <w:szCs w:val="18"/>
              </w:rPr>
            </w:pPr>
            <w:r w:rsidRPr="00A32741">
              <w:rPr>
                <w:sz w:val="18"/>
                <w:szCs w:val="18"/>
              </w:rPr>
              <w:t>1,116.1</w:t>
            </w:r>
          </w:p>
        </w:tc>
        <w:tc>
          <w:tcPr>
            <w:tcW w:w="1188" w:type="dxa"/>
            <w:noWrap/>
            <w:hideMark/>
          </w:tcPr>
          <w:p w14:paraId="091A1249" w14:textId="77777777" w:rsidR="007A6A1A" w:rsidRPr="00A32741" w:rsidRDefault="007A6A1A" w:rsidP="00BB4D6B">
            <w:pPr>
              <w:spacing w:after="0" w:line="240" w:lineRule="auto"/>
              <w:rPr>
                <w:sz w:val="18"/>
                <w:szCs w:val="18"/>
              </w:rPr>
            </w:pPr>
            <w:r w:rsidRPr="00A32741">
              <w:rPr>
                <w:sz w:val="18"/>
                <w:szCs w:val="18"/>
              </w:rPr>
              <w:t>886.2</w:t>
            </w:r>
          </w:p>
        </w:tc>
        <w:tc>
          <w:tcPr>
            <w:tcW w:w="1166" w:type="dxa"/>
            <w:noWrap/>
            <w:hideMark/>
          </w:tcPr>
          <w:p w14:paraId="483C3989" w14:textId="77777777" w:rsidR="007A6A1A" w:rsidRPr="00A32741" w:rsidRDefault="007A6A1A" w:rsidP="00BB4D6B">
            <w:pPr>
              <w:spacing w:after="0" w:line="240" w:lineRule="auto"/>
              <w:rPr>
                <w:sz w:val="18"/>
                <w:szCs w:val="18"/>
              </w:rPr>
            </w:pPr>
            <w:r w:rsidRPr="00A32741">
              <w:rPr>
                <w:sz w:val="18"/>
                <w:szCs w:val="18"/>
              </w:rPr>
              <w:t>1,232.4</w:t>
            </w:r>
          </w:p>
        </w:tc>
        <w:tc>
          <w:tcPr>
            <w:tcW w:w="1044" w:type="dxa"/>
            <w:tcBorders>
              <w:top w:val="nil"/>
              <w:left w:val="nil"/>
              <w:bottom w:val="nil"/>
              <w:right w:val="single" w:sz="4" w:space="0" w:color="auto"/>
            </w:tcBorders>
            <w:noWrap/>
            <w:hideMark/>
          </w:tcPr>
          <w:p w14:paraId="49780D64" w14:textId="77777777" w:rsidR="007A6A1A" w:rsidRPr="00A32741" w:rsidRDefault="007A6A1A" w:rsidP="00BB4D6B">
            <w:pPr>
              <w:spacing w:after="0" w:line="240" w:lineRule="auto"/>
              <w:rPr>
                <w:sz w:val="18"/>
                <w:szCs w:val="18"/>
              </w:rPr>
            </w:pPr>
            <w:r w:rsidRPr="00A32741">
              <w:rPr>
                <w:sz w:val="18"/>
                <w:szCs w:val="18"/>
              </w:rPr>
              <w:t>14,396.8</w:t>
            </w:r>
          </w:p>
        </w:tc>
      </w:tr>
      <w:tr w:rsidR="007A6A1A" w:rsidRPr="00BB4D6B" w14:paraId="1A8B320F" w14:textId="77777777">
        <w:trPr>
          <w:trHeight w:val="287"/>
        </w:trPr>
        <w:tc>
          <w:tcPr>
            <w:tcW w:w="2526" w:type="dxa"/>
            <w:tcBorders>
              <w:top w:val="nil"/>
              <w:left w:val="single" w:sz="4" w:space="0" w:color="auto"/>
              <w:bottom w:val="nil"/>
              <w:right w:val="nil"/>
            </w:tcBorders>
            <w:noWrap/>
            <w:hideMark/>
          </w:tcPr>
          <w:p w14:paraId="1C5E98CF" w14:textId="77777777" w:rsidR="007A6A1A" w:rsidRPr="00A32741" w:rsidRDefault="007A6A1A" w:rsidP="00BB4D6B">
            <w:pPr>
              <w:spacing w:after="0" w:line="240" w:lineRule="auto"/>
              <w:rPr>
                <w:sz w:val="18"/>
                <w:szCs w:val="18"/>
              </w:rPr>
            </w:pPr>
            <w:r w:rsidRPr="00A32741">
              <w:rPr>
                <w:sz w:val="18"/>
                <w:szCs w:val="18"/>
              </w:rPr>
              <w:t>Change Aug 2012-Aug 2022</w:t>
            </w:r>
          </w:p>
        </w:tc>
        <w:tc>
          <w:tcPr>
            <w:tcW w:w="1273" w:type="dxa"/>
            <w:noWrap/>
            <w:hideMark/>
          </w:tcPr>
          <w:p w14:paraId="741903B4" w14:textId="77777777" w:rsidR="007A6A1A" w:rsidRPr="00A32741" w:rsidRDefault="007A6A1A" w:rsidP="00BB4D6B">
            <w:pPr>
              <w:spacing w:after="0" w:line="240" w:lineRule="auto"/>
              <w:rPr>
                <w:sz w:val="18"/>
                <w:szCs w:val="18"/>
              </w:rPr>
            </w:pPr>
            <w:r w:rsidRPr="00A32741">
              <w:rPr>
                <w:sz w:val="18"/>
                <w:szCs w:val="18"/>
              </w:rPr>
              <w:t>30.7%</w:t>
            </w:r>
          </w:p>
        </w:tc>
        <w:tc>
          <w:tcPr>
            <w:tcW w:w="1465" w:type="dxa"/>
            <w:noWrap/>
            <w:hideMark/>
          </w:tcPr>
          <w:p w14:paraId="7EB00DAB" w14:textId="77777777" w:rsidR="007A6A1A" w:rsidRPr="00A32741" w:rsidRDefault="007A6A1A" w:rsidP="00BB4D6B">
            <w:pPr>
              <w:spacing w:after="0" w:line="240" w:lineRule="auto"/>
              <w:rPr>
                <w:sz w:val="18"/>
                <w:szCs w:val="18"/>
              </w:rPr>
            </w:pPr>
            <w:r w:rsidRPr="00A32741">
              <w:rPr>
                <w:sz w:val="18"/>
                <w:szCs w:val="18"/>
              </w:rPr>
              <w:t>38.1%</w:t>
            </w:r>
          </w:p>
        </w:tc>
        <w:tc>
          <w:tcPr>
            <w:tcW w:w="1332" w:type="dxa"/>
            <w:noWrap/>
            <w:hideMark/>
          </w:tcPr>
          <w:p w14:paraId="43094DEF" w14:textId="77777777" w:rsidR="007A6A1A" w:rsidRPr="00A32741" w:rsidRDefault="007A6A1A" w:rsidP="00BB4D6B">
            <w:pPr>
              <w:spacing w:after="0" w:line="240" w:lineRule="auto"/>
              <w:rPr>
                <w:sz w:val="18"/>
                <w:szCs w:val="18"/>
              </w:rPr>
            </w:pPr>
            <w:r w:rsidRPr="00A32741">
              <w:rPr>
                <w:sz w:val="18"/>
                <w:szCs w:val="18"/>
              </w:rPr>
              <w:t>11.8%</w:t>
            </w:r>
          </w:p>
        </w:tc>
        <w:tc>
          <w:tcPr>
            <w:tcW w:w="1277" w:type="dxa"/>
            <w:noWrap/>
            <w:hideMark/>
          </w:tcPr>
          <w:p w14:paraId="56FFAA8E" w14:textId="77777777" w:rsidR="007A6A1A" w:rsidRPr="00A32741" w:rsidRDefault="007A6A1A" w:rsidP="00BB4D6B">
            <w:pPr>
              <w:spacing w:after="0" w:line="240" w:lineRule="auto"/>
              <w:rPr>
                <w:sz w:val="18"/>
                <w:szCs w:val="18"/>
              </w:rPr>
            </w:pPr>
            <w:r w:rsidRPr="00A32741">
              <w:rPr>
                <w:sz w:val="18"/>
                <w:szCs w:val="18"/>
              </w:rPr>
              <w:t>40.7%</w:t>
            </w:r>
          </w:p>
        </w:tc>
        <w:tc>
          <w:tcPr>
            <w:tcW w:w="1520" w:type="dxa"/>
            <w:noWrap/>
            <w:hideMark/>
          </w:tcPr>
          <w:p w14:paraId="293EF689" w14:textId="77777777" w:rsidR="007A6A1A" w:rsidRPr="00A32741" w:rsidRDefault="007A6A1A" w:rsidP="00BB4D6B">
            <w:pPr>
              <w:spacing w:after="0" w:line="240" w:lineRule="auto"/>
              <w:rPr>
                <w:sz w:val="18"/>
                <w:szCs w:val="18"/>
              </w:rPr>
            </w:pPr>
            <w:r w:rsidRPr="00A32741">
              <w:rPr>
                <w:sz w:val="18"/>
                <w:szCs w:val="18"/>
              </w:rPr>
              <w:t>4.1%</w:t>
            </w:r>
          </w:p>
        </w:tc>
        <w:tc>
          <w:tcPr>
            <w:tcW w:w="1010" w:type="dxa"/>
            <w:noWrap/>
            <w:hideMark/>
          </w:tcPr>
          <w:p w14:paraId="6F849D4A" w14:textId="77777777" w:rsidR="007A6A1A" w:rsidRPr="00A32741" w:rsidRDefault="007A6A1A" w:rsidP="00BB4D6B">
            <w:pPr>
              <w:spacing w:after="0" w:line="240" w:lineRule="auto"/>
              <w:rPr>
                <w:sz w:val="18"/>
                <w:szCs w:val="18"/>
              </w:rPr>
            </w:pPr>
            <w:r w:rsidRPr="00A32741">
              <w:rPr>
                <w:sz w:val="18"/>
                <w:szCs w:val="18"/>
              </w:rPr>
              <w:t>3.9%</w:t>
            </w:r>
          </w:p>
        </w:tc>
        <w:tc>
          <w:tcPr>
            <w:tcW w:w="1188" w:type="dxa"/>
            <w:noWrap/>
            <w:hideMark/>
          </w:tcPr>
          <w:p w14:paraId="4D931093" w14:textId="77777777" w:rsidR="007A6A1A" w:rsidRPr="00A32741" w:rsidRDefault="007A6A1A" w:rsidP="00BB4D6B">
            <w:pPr>
              <w:spacing w:after="0" w:line="240" w:lineRule="auto"/>
              <w:rPr>
                <w:sz w:val="18"/>
                <w:szCs w:val="18"/>
              </w:rPr>
            </w:pPr>
            <w:r w:rsidRPr="00A32741">
              <w:rPr>
                <w:sz w:val="18"/>
                <w:szCs w:val="18"/>
              </w:rPr>
              <w:t>23.2%</w:t>
            </w:r>
          </w:p>
        </w:tc>
        <w:tc>
          <w:tcPr>
            <w:tcW w:w="1166" w:type="dxa"/>
            <w:noWrap/>
            <w:hideMark/>
          </w:tcPr>
          <w:p w14:paraId="1DEFB870" w14:textId="77777777" w:rsidR="007A6A1A" w:rsidRPr="00A32741" w:rsidRDefault="007A6A1A" w:rsidP="00BB4D6B">
            <w:pPr>
              <w:spacing w:after="0" w:line="240" w:lineRule="auto"/>
              <w:rPr>
                <w:sz w:val="18"/>
                <w:szCs w:val="18"/>
              </w:rPr>
            </w:pPr>
            <w:r w:rsidRPr="00A32741">
              <w:rPr>
                <w:sz w:val="18"/>
                <w:szCs w:val="18"/>
              </w:rPr>
              <w:t>2.2%</w:t>
            </w:r>
          </w:p>
        </w:tc>
        <w:tc>
          <w:tcPr>
            <w:tcW w:w="1044" w:type="dxa"/>
            <w:tcBorders>
              <w:top w:val="nil"/>
              <w:left w:val="nil"/>
              <w:bottom w:val="nil"/>
              <w:right w:val="single" w:sz="4" w:space="0" w:color="auto"/>
            </w:tcBorders>
            <w:noWrap/>
            <w:hideMark/>
          </w:tcPr>
          <w:p w14:paraId="10835CC9" w14:textId="77777777" w:rsidR="007A6A1A" w:rsidRPr="00A32741" w:rsidRDefault="007A6A1A" w:rsidP="00BB4D6B">
            <w:pPr>
              <w:spacing w:after="0" w:line="240" w:lineRule="auto"/>
              <w:rPr>
                <w:sz w:val="18"/>
                <w:szCs w:val="18"/>
              </w:rPr>
            </w:pPr>
            <w:r w:rsidRPr="00A32741">
              <w:rPr>
                <w:sz w:val="18"/>
                <w:szCs w:val="18"/>
              </w:rPr>
              <w:t>20.7%</w:t>
            </w:r>
          </w:p>
        </w:tc>
      </w:tr>
      <w:tr w:rsidR="007A6A1A" w:rsidRPr="00BB4D6B" w14:paraId="1813F879" w14:textId="77777777">
        <w:trPr>
          <w:trHeight w:val="287"/>
        </w:trPr>
        <w:tc>
          <w:tcPr>
            <w:tcW w:w="2526" w:type="dxa"/>
            <w:tcBorders>
              <w:top w:val="nil"/>
              <w:left w:val="single" w:sz="4" w:space="0" w:color="auto"/>
              <w:bottom w:val="single" w:sz="4" w:space="0" w:color="auto"/>
              <w:right w:val="nil"/>
            </w:tcBorders>
            <w:noWrap/>
            <w:hideMark/>
          </w:tcPr>
          <w:p w14:paraId="690C3546" w14:textId="77777777" w:rsidR="007A6A1A" w:rsidRPr="00A32741" w:rsidRDefault="007A6A1A" w:rsidP="00BB4D6B">
            <w:pPr>
              <w:spacing w:after="0" w:line="240" w:lineRule="auto"/>
              <w:rPr>
                <w:sz w:val="18"/>
                <w:szCs w:val="18"/>
              </w:rPr>
            </w:pPr>
            <w:r w:rsidRPr="00A32741">
              <w:rPr>
                <w:sz w:val="18"/>
                <w:szCs w:val="18"/>
              </w:rPr>
              <w:t>Change Aug 2022-Aug 2024</w:t>
            </w:r>
          </w:p>
        </w:tc>
        <w:tc>
          <w:tcPr>
            <w:tcW w:w="1273" w:type="dxa"/>
            <w:tcBorders>
              <w:top w:val="nil"/>
              <w:left w:val="nil"/>
              <w:bottom w:val="single" w:sz="4" w:space="0" w:color="auto"/>
              <w:right w:val="nil"/>
            </w:tcBorders>
            <w:noWrap/>
            <w:hideMark/>
          </w:tcPr>
          <w:p w14:paraId="1464B7BE" w14:textId="77777777" w:rsidR="007A6A1A" w:rsidRPr="00A32741" w:rsidRDefault="007A6A1A" w:rsidP="00BB4D6B">
            <w:pPr>
              <w:spacing w:after="0" w:line="240" w:lineRule="auto"/>
              <w:rPr>
                <w:sz w:val="18"/>
                <w:szCs w:val="18"/>
              </w:rPr>
            </w:pPr>
            <w:r w:rsidRPr="00A32741">
              <w:rPr>
                <w:sz w:val="18"/>
                <w:szCs w:val="18"/>
              </w:rPr>
              <w:t>0.5%</w:t>
            </w:r>
          </w:p>
        </w:tc>
        <w:tc>
          <w:tcPr>
            <w:tcW w:w="1465" w:type="dxa"/>
            <w:tcBorders>
              <w:top w:val="nil"/>
              <w:left w:val="nil"/>
              <w:bottom w:val="single" w:sz="4" w:space="0" w:color="auto"/>
              <w:right w:val="nil"/>
            </w:tcBorders>
            <w:noWrap/>
            <w:hideMark/>
          </w:tcPr>
          <w:p w14:paraId="76E9AA6B" w14:textId="77777777" w:rsidR="007A6A1A" w:rsidRPr="00A32741" w:rsidRDefault="007A6A1A" w:rsidP="00BB4D6B">
            <w:pPr>
              <w:spacing w:after="0" w:line="240" w:lineRule="auto"/>
              <w:rPr>
                <w:sz w:val="18"/>
                <w:szCs w:val="18"/>
              </w:rPr>
            </w:pPr>
            <w:r w:rsidRPr="00A32741">
              <w:rPr>
                <w:sz w:val="18"/>
                <w:szCs w:val="18"/>
              </w:rPr>
              <w:t>10.0%</w:t>
            </w:r>
          </w:p>
        </w:tc>
        <w:tc>
          <w:tcPr>
            <w:tcW w:w="1332" w:type="dxa"/>
            <w:tcBorders>
              <w:top w:val="nil"/>
              <w:left w:val="nil"/>
              <w:bottom w:val="single" w:sz="4" w:space="0" w:color="auto"/>
              <w:right w:val="nil"/>
            </w:tcBorders>
            <w:noWrap/>
            <w:hideMark/>
          </w:tcPr>
          <w:p w14:paraId="7D3BC620" w14:textId="77777777" w:rsidR="007A6A1A" w:rsidRPr="00A32741" w:rsidRDefault="007A6A1A" w:rsidP="00BB4D6B">
            <w:pPr>
              <w:spacing w:after="0" w:line="240" w:lineRule="auto"/>
              <w:rPr>
                <w:sz w:val="18"/>
                <w:szCs w:val="18"/>
              </w:rPr>
            </w:pPr>
            <w:r w:rsidRPr="00A32741">
              <w:rPr>
                <w:sz w:val="18"/>
                <w:szCs w:val="18"/>
              </w:rPr>
              <w:t>5.6%</w:t>
            </w:r>
          </w:p>
        </w:tc>
        <w:tc>
          <w:tcPr>
            <w:tcW w:w="1277" w:type="dxa"/>
            <w:tcBorders>
              <w:top w:val="nil"/>
              <w:left w:val="nil"/>
              <w:bottom w:val="single" w:sz="4" w:space="0" w:color="auto"/>
              <w:right w:val="nil"/>
            </w:tcBorders>
            <w:noWrap/>
            <w:hideMark/>
          </w:tcPr>
          <w:p w14:paraId="792CB22E" w14:textId="77777777" w:rsidR="007A6A1A" w:rsidRPr="00A32741" w:rsidRDefault="007A6A1A" w:rsidP="00BB4D6B">
            <w:pPr>
              <w:spacing w:after="0" w:line="240" w:lineRule="auto"/>
              <w:rPr>
                <w:sz w:val="18"/>
                <w:szCs w:val="18"/>
              </w:rPr>
            </w:pPr>
            <w:r w:rsidRPr="00A32741">
              <w:rPr>
                <w:sz w:val="18"/>
                <w:szCs w:val="18"/>
              </w:rPr>
              <w:t>10.7%</w:t>
            </w:r>
          </w:p>
        </w:tc>
        <w:tc>
          <w:tcPr>
            <w:tcW w:w="1520" w:type="dxa"/>
            <w:tcBorders>
              <w:top w:val="nil"/>
              <w:left w:val="nil"/>
              <w:bottom w:val="single" w:sz="4" w:space="0" w:color="auto"/>
              <w:right w:val="nil"/>
            </w:tcBorders>
            <w:noWrap/>
            <w:hideMark/>
          </w:tcPr>
          <w:p w14:paraId="42BC98F4" w14:textId="77777777" w:rsidR="007A6A1A" w:rsidRPr="00A32741" w:rsidRDefault="007A6A1A" w:rsidP="00BB4D6B">
            <w:pPr>
              <w:spacing w:after="0" w:line="240" w:lineRule="auto"/>
              <w:rPr>
                <w:sz w:val="18"/>
                <w:szCs w:val="18"/>
              </w:rPr>
            </w:pPr>
            <w:r w:rsidRPr="00A32741">
              <w:rPr>
                <w:sz w:val="18"/>
                <w:szCs w:val="18"/>
              </w:rPr>
              <w:t>6.9%</w:t>
            </w:r>
          </w:p>
        </w:tc>
        <w:tc>
          <w:tcPr>
            <w:tcW w:w="1010" w:type="dxa"/>
            <w:tcBorders>
              <w:top w:val="nil"/>
              <w:left w:val="nil"/>
              <w:bottom w:val="single" w:sz="4" w:space="0" w:color="auto"/>
              <w:right w:val="nil"/>
            </w:tcBorders>
            <w:noWrap/>
            <w:hideMark/>
          </w:tcPr>
          <w:p w14:paraId="5844A76C" w14:textId="77777777" w:rsidR="007A6A1A" w:rsidRPr="00A32741" w:rsidRDefault="007A6A1A" w:rsidP="00BB4D6B">
            <w:pPr>
              <w:spacing w:after="0" w:line="240" w:lineRule="auto"/>
              <w:rPr>
                <w:sz w:val="18"/>
                <w:szCs w:val="18"/>
              </w:rPr>
            </w:pPr>
            <w:r w:rsidRPr="00A32741">
              <w:rPr>
                <w:sz w:val="18"/>
                <w:szCs w:val="18"/>
              </w:rPr>
              <w:t>1.4%</w:t>
            </w:r>
          </w:p>
        </w:tc>
        <w:tc>
          <w:tcPr>
            <w:tcW w:w="1188" w:type="dxa"/>
            <w:tcBorders>
              <w:top w:val="nil"/>
              <w:left w:val="nil"/>
              <w:bottom w:val="single" w:sz="4" w:space="0" w:color="auto"/>
              <w:right w:val="nil"/>
            </w:tcBorders>
            <w:noWrap/>
            <w:hideMark/>
          </w:tcPr>
          <w:p w14:paraId="5CD7D1D2" w14:textId="77777777" w:rsidR="007A6A1A" w:rsidRPr="00A32741" w:rsidRDefault="007A6A1A" w:rsidP="00BB4D6B">
            <w:pPr>
              <w:spacing w:after="0" w:line="240" w:lineRule="auto"/>
              <w:rPr>
                <w:sz w:val="18"/>
                <w:szCs w:val="18"/>
              </w:rPr>
            </w:pPr>
            <w:r w:rsidRPr="00A32741">
              <w:rPr>
                <w:sz w:val="18"/>
                <w:szCs w:val="18"/>
              </w:rPr>
              <w:t>-0.9%</w:t>
            </w:r>
          </w:p>
        </w:tc>
        <w:tc>
          <w:tcPr>
            <w:tcW w:w="1166" w:type="dxa"/>
            <w:tcBorders>
              <w:top w:val="nil"/>
              <w:left w:val="nil"/>
              <w:bottom w:val="single" w:sz="4" w:space="0" w:color="auto"/>
              <w:right w:val="nil"/>
            </w:tcBorders>
            <w:noWrap/>
            <w:hideMark/>
          </w:tcPr>
          <w:p w14:paraId="5E993B3B" w14:textId="77777777" w:rsidR="007A6A1A" w:rsidRPr="00A32741" w:rsidRDefault="007A6A1A" w:rsidP="00BB4D6B">
            <w:pPr>
              <w:spacing w:after="0" w:line="240" w:lineRule="auto"/>
              <w:rPr>
                <w:sz w:val="18"/>
                <w:szCs w:val="18"/>
              </w:rPr>
            </w:pPr>
            <w:r w:rsidRPr="00A32741">
              <w:rPr>
                <w:sz w:val="18"/>
                <w:szCs w:val="18"/>
              </w:rPr>
              <w:t>4.8%</w:t>
            </w:r>
          </w:p>
        </w:tc>
        <w:tc>
          <w:tcPr>
            <w:tcW w:w="1044" w:type="dxa"/>
            <w:tcBorders>
              <w:top w:val="nil"/>
              <w:left w:val="nil"/>
              <w:bottom w:val="single" w:sz="4" w:space="0" w:color="auto"/>
              <w:right w:val="single" w:sz="4" w:space="0" w:color="auto"/>
            </w:tcBorders>
            <w:noWrap/>
            <w:hideMark/>
          </w:tcPr>
          <w:p w14:paraId="37822D63" w14:textId="77777777" w:rsidR="007A6A1A" w:rsidRPr="00A32741" w:rsidRDefault="007A6A1A" w:rsidP="00BB4D6B">
            <w:pPr>
              <w:spacing w:after="0" w:line="240" w:lineRule="auto"/>
              <w:rPr>
                <w:sz w:val="18"/>
                <w:szCs w:val="18"/>
              </w:rPr>
            </w:pPr>
            <w:r w:rsidRPr="00A32741">
              <w:rPr>
                <w:sz w:val="18"/>
                <w:szCs w:val="18"/>
              </w:rPr>
              <w:t>5.9%</w:t>
            </w:r>
          </w:p>
        </w:tc>
      </w:tr>
      <w:tr w:rsidR="007A6A1A" w:rsidRPr="00BB4D6B" w14:paraId="43E7AF01" w14:textId="77777777">
        <w:trPr>
          <w:trHeight w:val="287"/>
        </w:trPr>
        <w:tc>
          <w:tcPr>
            <w:tcW w:w="3799" w:type="dxa"/>
            <w:gridSpan w:val="2"/>
            <w:tcBorders>
              <w:top w:val="single" w:sz="4" w:space="0" w:color="auto"/>
              <w:left w:val="single" w:sz="4" w:space="0" w:color="auto"/>
              <w:bottom w:val="nil"/>
              <w:right w:val="nil"/>
            </w:tcBorders>
            <w:noWrap/>
            <w:hideMark/>
          </w:tcPr>
          <w:p w14:paraId="512FF4B3" w14:textId="77777777" w:rsidR="007A6A1A" w:rsidRPr="00BB4D6B" w:rsidRDefault="007A6A1A" w:rsidP="00BB4D6B">
            <w:pPr>
              <w:spacing w:after="0" w:line="240" w:lineRule="auto"/>
              <w:rPr>
                <w:b/>
                <w:bCs/>
                <w:sz w:val="20"/>
                <w:szCs w:val="20"/>
              </w:rPr>
            </w:pPr>
            <w:r w:rsidRPr="00BB4D6B">
              <w:rPr>
                <w:b/>
                <w:bCs/>
                <w:sz w:val="20"/>
                <w:szCs w:val="20"/>
              </w:rPr>
              <w:t>Distribution at August 2024</w:t>
            </w:r>
          </w:p>
        </w:tc>
        <w:tc>
          <w:tcPr>
            <w:tcW w:w="1465" w:type="dxa"/>
            <w:tcBorders>
              <w:top w:val="single" w:sz="4" w:space="0" w:color="auto"/>
              <w:left w:val="nil"/>
              <w:bottom w:val="nil"/>
              <w:right w:val="nil"/>
            </w:tcBorders>
            <w:noWrap/>
            <w:hideMark/>
          </w:tcPr>
          <w:p w14:paraId="37CB6074" w14:textId="77777777" w:rsidR="007A6A1A" w:rsidRPr="00BB4D6B" w:rsidRDefault="007A6A1A" w:rsidP="00BB4D6B">
            <w:pPr>
              <w:spacing w:after="0" w:line="240" w:lineRule="auto"/>
              <w:rPr>
                <w:b/>
                <w:bCs/>
                <w:sz w:val="20"/>
                <w:szCs w:val="20"/>
              </w:rPr>
            </w:pPr>
          </w:p>
        </w:tc>
        <w:tc>
          <w:tcPr>
            <w:tcW w:w="1332" w:type="dxa"/>
            <w:tcBorders>
              <w:top w:val="single" w:sz="4" w:space="0" w:color="auto"/>
              <w:left w:val="nil"/>
              <w:bottom w:val="nil"/>
              <w:right w:val="nil"/>
            </w:tcBorders>
            <w:noWrap/>
            <w:hideMark/>
          </w:tcPr>
          <w:p w14:paraId="10400B6C" w14:textId="77777777" w:rsidR="007A6A1A" w:rsidRPr="00BB4D6B" w:rsidRDefault="007A6A1A" w:rsidP="00BB4D6B">
            <w:pPr>
              <w:spacing w:after="0" w:line="240" w:lineRule="auto"/>
              <w:rPr>
                <w:sz w:val="20"/>
                <w:szCs w:val="20"/>
              </w:rPr>
            </w:pPr>
          </w:p>
        </w:tc>
        <w:tc>
          <w:tcPr>
            <w:tcW w:w="1277" w:type="dxa"/>
            <w:tcBorders>
              <w:top w:val="single" w:sz="4" w:space="0" w:color="auto"/>
              <w:left w:val="nil"/>
              <w:bottom w:val="nil"/>
              <w:right w:val="nil"/>
            </w:tcBorders>
            <w:noWrap/>
            <w:hideMark/>
          </w:tcPr>
          <w:p w14:paraId="0402FA71" w14:textId="77777777" w:rsidR="007A6A1A" w:rsidRPr="00BB4D6B" w:rsidRDefault="007A6A1A" w:rsidP="00BB4D6B">
            <w:pPr>
              <w:spacing w:after="0" w:line="240" w:lineRule="auto"/>
              <w:rPr>
                <w:sz w:val="20"/>
                <w:szCs w:val="20"/>
              </w:rPr>
            </w:pPr>
          </w:p>
        </w:tc>
        <w:tc>
          <w:tcPr>
            <w:tcW w:w="1520" w:type="dxa"/>
            <w:tcBorders>
              <w:top w:val="single" w:sz="4" w:space="0" w:color="auto"/>
              <w:left w:val="nil"/>
              <w:bottom w:val="nil"/>
              <w:right w:val="nil"/>
            </w:tcBorders>
            <w:noWrap/>
            <w:hideMark/>
          </w:tcPr>
          <w:p w14:paraId="014E6A1E" w14:textId="77777777" w:rsidR="007A6A1A" w:rsidRPr="00BB4D6B" w:rsidRDefault="007A6A1A" w:rsidP="00BB4D6B">
            <w:pPr>
              <w:spacing w:after="0" w:line="240" w:lineRule="auto"/>
              <w:rPr>
                <w:sz w:val="20"/>
                <w:szCs w:val="20"/>
              </w:rPr>
            </w:pPr>
          </w:p>
        </w:tc>
        <w:tc>
          <w:tcPr>
            <w:tcW w:w="1010" w:type="dxa"/>
            <w:tcBorders>
              <w:top w:val="single" w:sz="4" w:space="0" w:color="auto"/>
              <w:left w:val="nil"/>
              <w:bottom w:val="nil"/>
              <w:right w:val="nil"/>
            </w:tcBorders>
            <w:noWrap/>
            <w:hideMark/>
          </w:tcPr>
          <w:p w14:paraId="3849A2B1" w14:textId="77777777" w:rsidR="007A6A1A" w:rsidRPr="00BB4D6B" w:rsidRDefault="007A6A1A" w:rsidP="00BB4D6B">
            <w:pPr>
              <w:spacing w:after="0" w:line="240" w:lineRule="auto"/>
              <w:rPr>
                <w:sz w:val="20"/>
                <w:szCs w:val="20"/>
              </w:rPr>
            </w:pPr>
          </w:p>
        </w:tc>
        <w:tc>
          <w:tcPr>
            <w:tcW w:w="1188" w:type="dxa"/>
            <w:tcBorders>
              <w:top w:val="single" w:sz="4" w:space="0" w:color="auto"/>
              <w:left w:val="nil"/>
              <w:bottom w:val="nil"/>
              <w:right w:val="nil"/>
            </w:tcBorders>
            <w:noWrap/>
            <w:hideMark/>
          </w:tcPr>
          <w:p w14:paraId="7BF33711" w14:textId="77777777" w:rsidR="007A6A1A" w:rsidRPr="00BB4D6B" w:rsidRDefault="007A6A1A" w:rsidP="00BB4D6B">
            <w:pPr>
              <w:spacing w:after="0" w:line="240" w:lineRule="auto"/>
              <w:rPr>
                <w:sz w:val="20"/>
                <w:szCs w:val="20"/>
              </w:rPr>
            </w:pPr>
          </w:p>
        </w:tc>
        <w:tc>
          <w:tcPr>
            <w:tcW w:w="1166" w:type="dxa"/>
            <w:tcBorders>
              <w:top w:val="single" w:sz="4" w:space="0" w:color="auto"/>
              <w:left w:val="nil"/>
              <w:bottom w:val="nil"/>
              <w:right w:val="nil"/>
            </w:tcBorders>
            <w:noWrap/>
            <w:hideMark/>
          </w:tcPr>
          <w:p w14:paraId="3C947984" w14:textId="77777777" w:rsidR="007A6A1A" w:rsidRPr="00BB4D6B" w:rsidRDefault="007A6A1A" w:rsidP="00BB4D6B">
            <w:pPr>
              <w:spacing w:after="0" w:line="240" w:lineRule="auto"/>
              <w:rPr>
                <w:sz w:val="20"/>
                <w:szCs w:val="20"/>
              </w:rPr>
            </w:pPr>
          </w:p>
        </w:tc>
        <w:tc>
          <w:tcPr>
            <w:tcW w:w="1044" w:type="dxa"/>
            <w:tcBorders>
              <w:top w:val="single" w:sz="4" w:space="0" w:color="auto"/>
              <w:left w:val="nil"/>
              <w:bottom w:val="nil"/>
              <w:right w:val="single" w:sz="4" w:space="0" w:color="auto"/>
            </w:tcBorders>
            <w:noWrap/>
            <w:hideMark/>
          </w:tcPr>
          <w:p w14:paraId="27069DFD" w14:textId="77777777" w:rsidR="007A6A1A" w:rsidRPr="00BB4D6B" w:rsidRDefault="007A6A1A" w:rsidP="00BB4D6B">
            <w:pPr>
              <w:spacing w:after="0" w:line="240" w:lineRule="auto"/>
              <w:rPr>
                <w:sz w:val="20"/>
                <w:szCs w:val="20"/>
              </w:rPr>
            </w:pPr>
          </w:p>
        </w:tc>
      </w:tr>
      <w:tr w:rsidR="007A6A1A" w:rsidRPr="00BB4D6B" w14:paraId="61475025" w14:textId="77777777">
        <w:trPr>
          <w:trHeight w:val="287"/>
        </w:trPr>
        <w:tc>
          <w:tcPr>
            <w:tcW w:w="2526" w:type="dxa"/>
            <w:tcBorders>
              <w:top w:val="nil"/>
              <w:left w:val="single" w:sz="4" w:space="0" w:color="auto"/>
              <w:bottom w:val="nil"/>
              <w:right w:val="nil"/>
            </w:tcBorders>
            <w:noWrap/>
            <w:hideMark/>
          </w:tcPr>
          <w:p w14:paraId="2A3186C4" w14:textId="77777777" w:rsidR="007A6A1A" w:rsidRPr="00A32741" w:rsidRDefault="007A6A1A" w:rsidP="00BB4D6B">
            <w:pPr>
              <w:spacing w:after="0" w:line="240" w:lineRule="auto"/>
              <w:rPr>
                <w:sz w:val="18"/>
                <w:szCs w:val="18"/>
              </w:rPr>
            </w:pPr>
            <w:r w:rsidRPr="00A32741">
              <w:rPr>
                <w:sz w:val="18"/>
                <w:szCs w:val="18"/>
              </w:rPr>
              <w:t>Men</w:t>
            </w:r>
          </w:p>
        </w:tc>
        <w:tc>
          <w:tcPr>
            <w:tcW w:w="1273" w:type="dxa"/>
            <w:noWrap/>
            <w:hideMark/>
          </w:tcPr>
          <w:p w14:paraId="490BD908" w14:textId="77777777" w:rsidR="007A6A1A" w:rsidRPr="00A32741" w:rsidRDefault="007A6A1A" w:rsidP="00BB4D6B">
            <w:pPr>
              <w:spacing w:after="0" w:line="240" w:lineRule="auto"/>
              <w:rPr>
                <w:sz w:val="18"/>
                <w:szCs w:val="18"/>
              </w:rPr>
            </w:pPr>
            <w:r w:rsidRPr="00A32741">
              <w:rPr>
                <w:sz w:val="18"/>
                <w:szCs w:val="18"/>
              </w:rPr>
              <w:t>14.9%</w:t>
            </w:r>
          </w:p>
        </w:tc>
        <w:tc>
          <w:tcPr>
            <w:tcW w:w="1465" w:type="dxa"/>
            <w:noWrap/>
            <w:hideMark/>
          </w:tcPr>
          <w:p w14:paraId="6691DADA" w14:textId="77777777" w:rsidR="007A6A1A" w:rsidRPr="00A32741" w:rsidRDefault="007A6A1A" w:rsidP="00BB4D6B">
            <w:pPr>
              <w:spacing w:after="0" w:line="240" w:lineRule="auto"/>
              <w:rPr>
                <w:sz w:val="18"/>
                <w:szCs w:val="18"/>
              </w:rPr>
            </w:pPr>
            <w:r w:rsidRPr="00A32741">
              <w:rPr>
                <w:sz w:val="18"/>
                <w:szCs w:val="18"/>
              </w:rPr>
              <w:t>23.0%</w:t>
            </w:r>
          </w:p>
        </w:tc>
        <w:tc>
          <w:tcPr>
            <w:tcW w:w="1332" w:type="dxa"/>
            <w:noWrap/>
            <w:hideMark/>
          </w:tcPr>
          <w:p w14:paraId="0485B9F6" w14:textId="77777777" w:rsidR="007A6A1A" w:rsidRPr="00A32741" w:rsidRDefault="007A6A1A" w:rsidP="00BB4D6B">
            <w:pPr>
              <w:spacing w:after="0" w:line="240" w:lineRule="auto"/>
              <w:rPr>
                <w:sz w:val="18"/>
                <w:szCs w:val="18"/>
              </w:rPr>
            </w:pPr>
            <w:r w:rsidRPr="00A32741">
              <w:rPr>
                <w:sz w:val="18"/>
                <w:szCs w:val="18"/>
              </w:rPr>
              <w:t>21.6%</w:t>
            </w:r>
          </w:p>
        </w:tc>
        <w:tc>
          <w:tcPr>
            <w:tcW w:w="1277" w:type="dxa"/>
            <w:noWrap/>
            <w:hideMark/>
          </w:tcPr>
          <w:p w14:paraId="193BC0E6" w14:textId="77777777" w:rsidR="007A6A1A" w:rsidRPr="00A32741" w:rsidRDefault="007A6A1A" w:rsidP="00BB4D6B">
            <w:pPr>
              <w:spacing w:after="0" w:line="240" w:lineRule="auto"/>
              <w:rPr>
                <w:sz w:val="18"/>
                <w:szCs w:val="18"/>
              </w:rPr>
            </w:pPr>
            <w:r w:rsidRPr="00A32741">
              <w:rPr>
                <w:sz w:val="18"/>
                <w:szCs w:val="18"/>
              </w:rPr>
              <w:t>6.9%</w:t>
            </w:r>
          </w:p>
        </w:tc>
        <w:tc>
          <w:tcPr>
            <w:tcW w:w="1520" w:type="dxa"/>
            <w:noWrap/>
            <w:hideMark/>
          </w:tcPr>
          <w:p w14:paraId="246409AE" w14:textId="77777777" w:rsidR="007A6A1A" w:rsidRPr="00A32741" w:rsidRDefault="007A6A1A" w:rsidP="00BB4D6B">
            <w:pPr>
              <w:spacing w:after="0" w:line="240" w:lineRule="auto"/>
              <w:rPr>
                <w:sz w:val="18"/>
                <w:szCs w:val="18"/>
              </w:rPr>
            </w:pPr>
            <w:r w:rsidRPr="00A32741">
              <w:rPr>
                <w:sz w:val="18"/>
                <w:szCs w:val="18"/>
              </w:rPr>
              <w:t>6.7%</w:t>
            </w:r>
          </w:p>
        </w:tc>
        <w:tc>
          <w:tcPr>
            <w:tcW w:w="1010" w:type="dxa"/>
            <w:noWrap/>
            <w:hideMark/>
          </w:tcPr>
          <w:p w14:paraId="2CD40EAF" w14:textId="77777777" w:rsidR="007A6A1A" w:rsidRPr="00A32741" w:rsidRDefault="007A6A1A" w:rsidP="00BB4D6B">
            <w:pPr>
              <w:spacing w:after="0" w:line="240" w:lineRule="auto"/>
              <w:rPr>
                <w:sz w:val="18"/>
                <w:szCs w:val="18"/>
              </w:rPr>
            </w:pPr>
            <w:r w:rsidRPr="00A32741">
              <w:rPr>
                <w:sz w:val="18"/>
                <w:szCs w:val="18"/>
              </w:rPr>
              <w:t>6.2%</w:t>
            </w:r>
          </w:p>
        </w:tc>
        <w:tc>
          <w:tcPr>
            <w:tcW w:w="1188" w:type="dxa"/>
            <w:noWrap/>
            <w:hideMark/>
          </w:tcPr>
          <w:p w14:paraId="5E442B6F" w14:textId="77777777" w:rsidR="007A6A1A" w:rsidRPr="00A32741" w:rsidRDefault="007A6A1A" w:rsidP="00BB4D6B">
            <w:pPr>
              <w:spacing w:after="0" w:line="240" w:lineRule="auto"/>
              <w:rPr>
                <w:sz w:val="18"/>
                <w:szCs w:val="18"/>
              </w:rPr>
            </w:pPr>
            <w:r w:rsidRPr="00A32741">
              <w:rPr>
                <w:sz w:val="18"/>
                <w:szCs w:val="18"/>
              </w:rPr>
              <w:t>10.3%</w:t>
            </w:r>
          </w:p>
        </w:tc>
        <w:tc>
          <w:tcPr>
            <w:tcW w:w="1166" w:type="dxa"/>
            <w:noWrap/>
            <w:hideMark/>
          </w:tcPr>
          <w:p w14:paraId="784335AF" w14:textId="77777777" w:rsidR="007A6A1A" w:rsidRPr="00A32741" w:rsidRDefault="007A6A1A" w:rsidP="00BB4D6B">
            <w:pPr>
              <w:spacing w:after="0" w:line="240" w:lineRule="auto"/>
              <w:rPr>
                <w:sz w:val="18"/>
                <w:szCs w:val="18"/>
              </w:rPr>
            </w:pPr>
            <w:r w:rsidRPr="00A32741">
              <w:rPr>
                <w:sz w:val="18"/>
                <w:szCs w:val="18"/>
              </w:rPr>
              <w:t>10.5%</w:t>
            </w:r>
          </w:p>
        </w:tc>
        <w:tc>
          <w:tcPr>
            <w:tcW w:w="1044" w:type="dxa"/>
            <w:tcBorders>
              <w:top w:val="nil"/>
              <w:left w:val="nil"/>
              <w:bottom w:val="nil"/>
              <w:right w:val="single" w:sz="4" w:space="0" w:color="auto"/>
            </w:tcBorders>
            <w:noWrap/>
            <w:hideMark/>
          </w:tcPr>
          <w:p w14:paraId="456F7E26" w14:textId="77777777" w:rsidR="007A6A1A" w:rsidRPr="00A32741" w:rsidRDefault="007A6A1A" w:rsidP="00BB4D6B">
            <w:pPr>
              <w:spacing w:after="0" w:line="240" w:lineRule="auto"/>
              <w:rPr>
                <w:sz w:val="18"/>
                <w:szCs w:val="18"/>
              </w:rPr>
            </w:pPr>
            <w:r w:rsidRPr="00A32741">
              <w:rPr>
                <w:sz w:val="18"/>
                <w:szCs w:val="18"/>
              </w:rPr>
              <w:t>100.0%</w:t>
            </w:r>
          </w:p>
        </w:tc>
      </w:tr>
      <w:tr w:rsidR="007A6A1A" w:rsidRPr="00BB4D6B" w14:paraId="262934DB" w14:textId="77777777">
        <w:trPr>
          <w:trHeight w:val="287"/>
        </w:trPr>
        <w:tc>
          <w:tcPr>
            <w:tcW w:w="2526" w:type="dxa"/>
            <w:tcBorders>
              <w:top w:val="nil"/>
              <w:left w:val="single" w:sz="4" w:space="0" w:color="auto"/>
              <w:bottom w:val="nil"/>
              <w:right w:val="nil"/>
            </w:tcBorders>
            <w:noWrap/>
            <w:hideMark/>
          </w:tcPr>
          <w:p w14:paraId="07DA7B34" w14:textId="77777777" w:rsidR="007A6A1A" w:rsidRPr="00A32741" w:rsidRDefault="007A6A1A" w:rsidP="00BB4D6B">
            <w:pPr>
              <w:spacing w:after="0" w:line="240" w:lineRule="auto"/>
              <w:rPr>
                <w:sz w:val="18"/>
                <w:szCs w:val="18"/>
              </w:rPr>
            </w:pPr>
            <w:r w:rsidRPr="00A32741">
              <w:rPr>
                <w:sz w:val="18"/>
                <w:szCs w:val="18"/>
              </w:rPr>
              <w:t>Women</w:t>
            </w:r>
          </w:p>
        </w:tc>
        <w:tc>
          <w:tcPr>
            <w:tcW w:w="1273" w:type="dxa"/>
            <w:noWrap/>
            <w:hideMark/>
          </w:tcPr>
          <w:p w14:paraId="63B5329C" w14:textId="77777777" w:rsidR="007A6A1A" w:rsidRPr="00A32741" w:rsidRDefault="007A6A1A" w:rsidP="00BB4D6B">
            <w:pPr>
              <w:spacing w:after="0" w:line="240" w:lineRule="auto"/>
              <w:rPr>
                <w:sz w:val="18"/>
                <w:szCs w:val="18"/>
              </w:rPr>
            </w:pPr>
            <w:r w:rsidRPr="00A32741">
              <w:rPr>
                <w:sz w:val="18"/>
                <w:szCs w:val="18"/>
              </w:rPr>
              <w:t>11.0%</w:t>
            </w:r>
          </w:p>
        </w:tc>
        <w:tc>
          <w:tcPr>
            <w:tcW w:w="1465" w:type="dxa"/>
            <w:noWrap/>
            <w:hideMark/>
          </w:tcPr>
          <w:p w14:paraId="396377C5" w14:textId="77777777" w:rsidR="007A6A1A" w:rsidRPr="00A32741" w:rsidRDefault="007A6A1A" w:rsidP="00BB4D6B">
            <w:pPr>
              <w:spacing w:after="0" w:line="240" w:lineRule="auto"/>
              <w:rPr>
                <w:sz w:val="18"/>
                <w:szCs w:val="18"/>
              </w:rPr>
            </w:pPr>
            <w:r w:rsidRPr="00A32741">
              <w:rPr>
                <w:sz w:val="18"/>
                <w:szCs w:val="18"/>
              </w:rPr>
              <w:t>30.4%</w:t>
            </w:r>
          </w:p>
        </w:tc>
        <w:tc>
          <w:tcPr>
            <w:tcW w:w="1332" w:type="dxa"/>
            <w:noWrap/>
            <w:hideMark/>
          </w:tcPr>
          <w:p w14:paraId="37F68607" w14:textId="77777777" w:rsidR="007A6A1A" w:rsidRPr="00A32741" w:rsidRDefault="007A6A1A" w:rsidP="00BB4D6B">
            <w:pPr>
              <w:spacing w:after="0" w:line="240" w:lineRule="auto"/>
              <w:rPr>
                <w:sz w:val="18"/>
                <w:szCs w:val="18"/>
              </w:rPr>
            </w:pPr>
            <w:r w:rsidRPr="00A32741">
              <w:rPr>
                <w:sz w:val="18"/>
                <w:szCs w:val="18"/>
              </w:rPr>
              <w:t>4.8%</w:t>
            </w:r>
          </w:p>
        </w:tc>
        <w:tc>
          <w:tcPr>
            <w:tcW w:w="1277" w:type="dxa"/>
            <w:noWrap/>
            <w:hideMark/>
          </w:tcPr>
          <w:p w14:paraId="07807CA2" w14:textId="77777777" w:rsidR="007A6A1A" w:rsidRPr="00A32741" w:rsidRDefault="007A6A1A" w:rsidP="00BB4D6B">
            <w:pPr>
              <w:spacing w:after="0" w:line="240" w:lineRule="auto"/>
              <w:rPr>
                <w:sz w:val="18"/>
                <w:szCs w:val="18"/>
              </w:rPr>
            </w:pPr>
            <w:r w:rsidRPr="00A32741">
              <w:rPr>
                <w:sz w:val="18"/>
                <w:szCs w:val="18"/>
              </w:rPr>
              <w:t>16.6%</w:t>
            </w:r>
          </w:p>
        </w:tc>
        <w:tc>
          <w:tcPr>
            <w:tcW w:w="1520" w:type="dxa"/>
            <w:noWrap/>
            <w:hideMark/>
          </w:tcPr>
          <w:p w14:paraId="673A0E45" w14:textId="77777777" w:rsidR="007A6A1A" w:rsidRPr="00A32741" w:rsidRDefault="007A6A1A" w:rsidP="00BB4D6B">
            <w:pPr>
              <w:spacing w:after="0" w:line="240" w:lineRule="auto"/>
              <w:rPr>
                <w:sz w:val="18"/>
                <w:szCs w:val="18"/>
              </w:rPr>
            </w:pPr>
            <w:r w:rsidRPr="00A32741">
              <w:rPr>
                <w:sz w:val="18"/>
                <w:szCs w:val="18"/>
              </w:rPr>
              <w:t>19.5%</w:t>
            </w:r>
          </w:p>
        </w:tc>
        <w:tc>
          <w:tcPr>
            <w:tcW w:w="1010" w:type="dxa"/>
            <w:noWrap/>
            <w:hideMark/>
          </w:tcPr>
          <w:p w14:paraId="3942487B" w14:textId="77777777" w:rsidR="007A6A1A" w:rsidRPr="00A32741" w:rsidRDefault="007A6A1A" w:rsidP="00BB4D6B">
            <w:pPr>
              <w:spacing w:after="0" w:line="240" w:lineRule="auto"/>
              <w:rPr>
                <w:sz w:val="18"/>
                <w:szCs w:val="18"/>
              </w:rPr>
            </w:pPr>
            <w:r w:rsidRPr="00A32741">
              <w:rPr>
                <w:sz w:val="18"/>
                <w:szCs w:val="18"/>
              </w:rPr>
              <w:t>9.4%</w:t>
            </w:r>
          </w:p>
        </w:tc>
        <w:tc>
          <w:tcPr>
            <w:tcW w:w="1188" w:type="dxa"/>
            <w:noWrap/>
            <w:hideMark/>
          </w:tcPr>
          <w:p w14:paraId="3EE3613D" w14:textId="77777777" w:rsidR="007A6A1A" w:rsidRPr="00A32741" w:rsidRDefault="007A6A1A" w:rsidP="00BB4D6B">
            <w:pPr>
              <w:spacing w:after="0" w:line="240" w:lineRule="auto"/>
              <w:rPr>
                <w:sz w:val="18"/>
                <w:szCs w:val="18"/>
              </w:rPr>
            </w:pPr>
            <w:r w:rsidRPr="00A32741">
              <w:rPr>
                <w:sz w:val="18"/>
                <w:szCs w:val="18"/>
              </w:rPr>
              <w:t>1.6%</w:t>
            </w:r>
          </w:p>
        </w:tc>
        <w:tc>
          <w:tcPr>
            <w:tcW w:w="1166" w:type="dxa"/>
            <w:noWrap/>
            <w:hideMark/>
          </w:tcPr>
          <w:p w14:paraId="341630BC" w14:textId="77777777" w:rsidR="007A6A1A" w:rsidRPr="00A32741" w:rsidRDefault="007A6A1A" w:rsidP="00BB4D6B">
            <w:pPr>
              <w:spacing w:after="0" w:line="240" w:lineRule="auto"/>
              <w:rPr>
                <w:sz w:val="18"/>
                <w:szCs w:val="18"/>
              </w:rPr>
            </w:pPr>
            <w:r w:rsidRPr="00A32741">
              <w:rPr>
                <w:sz w:val="18"/>
                <w:szCs w:val="18"/>
              </w:rPr>
              <w:t>6.5%</w:t>
            </w:r>
          </w:p>
        </w:tc>
        <w:tc>
          <w:tcPr>
            <w:tcW w:w="1044" w:type="dxa"/>
            <w:tcBorders>
              <w:top w:val="nil"/>
              <w:left w:val="nil"/>
              <w:bottom w:val="nil"/>
              <w:right w:val="single" w:sz="4" w:space="0" w:color="auto"/>
            </w:tcBorders>
            <w:noWrap/>
            <w:hideMark/>
          </w:tcPr>
          <w:p w14:paraId="52587264" w14:textId="77777777" w:rsidR="007A6A1A" w:rsidRPr="00A32741" w:rsidRDefault="007A6A1A" w:rsidP="00BB4D6B">
            <w:pPr>
              <w:spacing w:after="0" w:line="240" w:lineRule="auto"/>
              <w:rPr>
                <w:sz w:val="18"/>
                <w:szCs w:val="18"/>
              </w:rPr>
            </w:pPr>
            <w:r w:rsidRPr="00A32741">
              <w:rPr>
                <w:sz w:val="18"/>
                <w:szCs w:val="18"/>
              </w:rPr>
              <w:t>100.0%</w:t>
            </w:r>
          </w:p>
        </w:tc>
      </w:tr>
      <w:tr w:rsidR="007A6A1A" w:rsidRPr="00BB4D6B" w14:paraId="31BCFA79" w14:textId="77777777">
        <w:trPr>
          <w:trHeight w:val="287"/>
        </w:trPr>
        <w:tc>
          <w:tcPr>
            <w:tcW w:w="2526" w:type="dxa"/>
            <w:tcBorders>
              <w:top w:val="nil"/>
              <w:left w:val="single" w:sz="4" w:space="0" w:color="auto"/>
              <w:bottom w:val="single" w:sz="4" w:space="0" w:color="auto"/>
              <w:right w:val="nil"/>
            </w:tcBorders>
            <w:noWrap/>
            <w:hideMark/>
          </w:tcPr>
          <w:p w14:paraId="15DD76D3" w14:textId="77777777" w:rsidR="007A6A1A" w:rsidRPr="00A32741" w:rsidRDefault="007A6A1A" w:rsidP="00BB4D6B">
            <w:pPr>
              <w:spacing w:after="0" w:line="240" w:lineRule="auto"/>
              <w:rPr>
                <w:sz w:val="18"/>
                <w:szCs w:val="18"/>
              </w:rPr>
            </w:pPr>
            <w:r w:rsidRPr="00A32741">
              <w:rPr>
                <w:sz w:val="18"/>
                <w:szCs w:val="18"/>
              </w:rPr>
              <w:t>Persons</w:t>
            </w:r>
          </w:p>
        </w:tc>
        <w:tc>
          <w:tcPr>
            <w:tcW w:w="1273" w:type="dxa"/>
            <w:tcBorders>
              <w:top w:val="nil"/>
              <w:left w:val="nil"/>
              <w:bottom w:val="single" w:sz="4" w:space="0" w:color="auto"/>
              <w:right w:val="nil"/>
            </w:tcBorders>
            <w:noWrap/>
            <w:hideMark/>
          </w:tcPr>
          <w:p w14:paraId="6C243825" w14:textId="77777777" w:rsidR="007A6A1A" w:rsidRPr="00A32741" w:rsidRDefault="007A6A1A" w:rsidP="00BB4D6B">
            <w:pPr>
              <w:spacing w:after="0" w:line="240" w:lineRule="auto"/>
              <w:rPr>
                <w:sz w:val="18"/>
                <w:szCs w:val="18"/>
              </w:rPr>
            </w:pPr>
            <w:r w:rsidRPr="00A32741">
              <w:rPr>
                <w:sz w:val="18"/>
                <w:szCs w:val="18"/>
              </w:rPr>
              <w:t>13.0%</w:t>
            </w:r>
          </w:p>
        </w:tc>
        <w:tc>
          <w:tcPr>
            <w:tcW w:w="1465" w:type="dxa"/>
            <w:tcBorders>
              <w:top w:val="nil"/>
              <w:left w:val="nil"/>
              <w:bottom w:val="single" w:sz="4" w:space="0" w:color="auto"/>
              <w:right w:val="nil"/>
            </w:tcBorders>
            <w:noWrap/>
            <w:hideMark/>
          </w:tcPr>
          <w:p w14:paraId="448AC5D3" w14:textId="77777777" w:rsidR="007A6A1A" w:rsidRPr="00A32741" w:rsidRDefault="007A6A1A" w:rsidP="00BB4D6B">
            <w:pPr>
              <w:spacing w:after="0" w:line="240" w:lineRule="auto"/>
              <w:rPr>
                <w:sz w:val="18"/>
                <w:szCs w:val="18"/>
              </w:rPr>
            </w:pPr>
            <w:r w:rsidRPr="00A32741">
              <w:rPr>
                <w:sz w:val="18"/>
                <w:szCs w:val="18"/>
              </w:rPr>
              <w:t>26.5%</w:t>
            </w:r>
          </w:p>
        </w:tc>
        <w:tc>
          <w:tcPr>
            <w:tcW w:w="1332" w:type="dxa"/>
            <w:tcBorders>
              <w:top w:val="nil"/>
              <w:left w:val="nil"/>
              <w:bottom w:val="single" w:sz="4" w:space="0" w:color="auto"/>
              <w:right w:val="nil"/>
            </w:tcBorders>
            <w:noWrap/>
            <w:hideMark/>
          </w:tcPr>
          <w:p w14:paraId="1AD3F62A" w14:textId="77777777" w:rsidR="007A6A1A" w:rsidRPr="00A32741" w:rsidRDefault="007A6A1A" w:rsidP="00BB4D6B">
            <w:pPr>
              <w:spacing w:after="0" w:line="240" w:lineRule="auto"/>
              <w:rPr>
                <w:sz w:val="18"/>
                <w:szCs w:val="18"/>
              </w:rPr>
            </w:pPr>
            <w:r w:rsidRPr="00A32741">
              <w:rPr>
                <w:sz w:val="18"/>
                <w:szCs w:val="18"/>
              </w:rPr>
              <w:t>13.6%</w:t>
            </w:r>
          </w:p>
        </w:tc>
        <w:tc>
          <w:tcPr>
            <w:tcW w:w="1277" w:type="dxa"/>
            <w:tcBorders>
              <w:top w:val="nil"/>
              <w:left w:val="nil"/>
              <w:bottom w:val="single" w:sz="4" w:space="0" w:color="auto"/>
              <w:right w:val="nil"/>
            </w:tcBorders>
            <w:noWrap/>
            <w:hideMark/>
          </w:tcPr>
          <w:p w14:paraId="509759D0" w14:textId="77777777" w:rsidR="007A6A1A" w:rsidRPr="00A32741" w:rsidRDefault="007A6A1A" w:rsidP="00BB4D6B">
            <w:pPr>
              <w:spacing w:after="0" w:line="240" w:lineRule="auto"/>
              <w:rPr>
                <w:sz w:val="18"/>
                <w:szCs w:val="18"/>
              </w:rPr>
            </w:pPr>
            <w:r w:rsidRPr="00A32741">
              <w:rPr>
                <w:sz w:val="18"/>
                <w:szCs w:val="18"/>
              </w:rPr>
              <w:t>11.5%</w:t>
            </w:r>
          </w:p>
        </w:tc>
        <w:tc>
          <w:tcPr>
            <w:tcW w:w="1520" w:type="dxa"/>
            <w:tcBorders>
              <w:top w:val="nil"/>
              <w:left w:val="nil"/>
              <w:bottom w:val="single" w:sz="4" w:space="0" w:color="auto"/>
              <w:right w:val="nil"/>
            </w:tcBorders>
            <w:noWrap/>
            <w:hideMark/>
          </w:tcPr>
          <w:p w14:paraId="595D4F03" w14:textId="77777777" w:rsidR="007A6A1A" w:rsidRPr="00A32741" w:rsidRDefault="007A6A1A" w:rsidP="00BB4D6B">
            <w:pPr>
              <w:spacing w:after="0" w:line="240" w:lineRule="auto"/>
              <w:rPr>
                <w:sz w:val="18"/>
                <w:szCs w:val="18"/>
              </w:rPr>
            </w:pPr>
            <w:r w:rsidRPr="00A32741">
              <w:rPr>
                <w:sz w:val="18"/>
                <w:szCs w:val="18"/>
              </w:rPr>
              <w:t>12.9%</w:t>
            </w:r>
          </w:p>
        </w:tc>
        <w:tc>
          <w:tcPr>
            <w:tcW w:w="1010" w:type="dxa"/>
            <w:tcBorders>
              <w:top w:val="nil"/>
              <w:left w:val="nil"/>
              <w:bottom w:val="single" w:sz="4" w:space="0" w:color="auto"/>
              <w:right w:val="nil"/>
            </w:tcBorders>
            <w:noWrap/>
            <w:hideMark/>
          </w:tcPr>
          <w:p w14:paraId="6BAD06BF" w14:textId="77777777" w:rsidR="007A6A1A" w:rsidRPr="00A32741" w:rsidRDefault="007A6A1A" w:rsidP="00BB4D6B">
            <w:pPr>
              <w:spacing w:after="0" w:line="240" w:lineRule="auto"/>
              <w:rPr>
                <w:sz w:val="18"/>
                <w:szCs w:val="18"/>
              </w:rPr>
            </w:pPr>
            <w:r w:rsidRPr="00A32741">
              <w:rPr>
                <w:sz w:val="18"/>
                <w:szCs w:val="18"/>
              </w:rPr>
              <w:t>7.8%</w:t>
            </w:r>
          </w:p>
        </w:tc>
        <w:tc>
          <w:tcPr>
            <w:tcW w:w="1188" w:type="dxa"/>
            <w:tcBorders>
              <w:top w:val="nil"/>
              <w:left w:val="nil"/>
              <w:bottom w:val="single" w:sz="4" w:space="0" w:color="auto"/>
              <w:right w:val="nil"/>
            </w:tcBorders>
            <w:noWrap/>
            <w:hideMark/>
          </w:tcPr>
          <w:p w14:paraId="67E8B35D" w14:textId="77777777" w:rsidR="007A6A1A" w:rsidRPr="00A32741" w:rsidRDefault="007A6A1A" w:rsidP="00BB4D6B">
            <w:pPr>
              <w:spacing w:after="0" w:line="240" w:lineRule="auto"/>
              <w:rPr>
                <w:sz w:val="18"/>
                <w:szCs w:val="18"/>
              </w:rPr>
            </w:pPr>
            <w:r w:rsidRPr="00A32741">
              <w:rPr>
                <w:sz w:val="18"/>
                <w:szCs w:val="18"/>
              </w:rPr>
              <w:t>6.2%</w:t>
            </w:r>
          </w:p>
        </w:tc>
        <w:tc>
          <w:tcPr>
            <w:tcW w:w="1166" w:type="dxa"/>
            <w:tcBorders>
              <w:top w:val="nil"/>
              <w:left w:val="nil"/>
              <w:bottom w:val="single" w:sz="4" w:space="0" w:color="auto"/>
              <w:right w:val="nil"/>
            </w:tcBorders>
            <w:noWrap/>
            <w:hideMark/>
          </w:tcPr>
          <w:p w14:paraId="6535D8DD" w14:textId="77777777" w:rsidR="007A6A1A" w:rsidRPr="00A32741" w:rsidRDefault="007A6A1A" w:rsidP="00BB4D6B">
            <w:pPr>
              <w:spacing w:after="0" w:line="240" w:lineRule="auto"/>
              <w:rPr>
                <w:sz w:val="18"/>
                <w:szCs w:val="18"/>
              </w:rPr>
            </w:pPr>
            <w:r w:rsidRPr="00A32741">
              <w:rPr>
                <w:sz w:val="18"/>
                <w:szCs w:val="18"/>
              </w:rPr>
              <w:t>8.6%</w:t>
            </w:r>
          </w:p>
        </w:tc>
        <w:tc>
          <w:tcPr>
            <w:tcW w:w="1044" w:type="dxa"/>
            <w:tcBorders>
              <w:top w:val="nil"/>
              <w:left w:val="nil"/>
              <w:bottom w:val="single" w:sz="4" w:space="0" w:color="auto"/>
              <w:right w:val="single" w:sz="4" w:space="0" w:color="auto"/>
            </w:tcBorders>
            <w:noWrap/>
            <w:hideMark/>
          </w:tcPr>
          <w:p w14:paraId="5DCD8D92" w14:textId="77777777" w:rsidR="007A6A1A" w:rsidRPr="00A32741" w:rsidRDefault="007A6A1A" w:rsidP="00BB4D6B">
            <w:pPr>
              <w:spacing w:after="0" w:line="240" w:lineRule="auto"/>
              <w:rPr>
                <w:sz w:val="18"/>
                <w:szCs w:val="18"/>
              </w:rPr>
            </w:pPr>
            <w:r w:rsidRPr="00A32741">
              <w:rPr>
                <w:sz w:val="18"/>
                <w:szCs w:val="18"/>
              </w:rPr>
              <w:t>100.0%</w:t>
            </w:r>
          </w:p>
        </w:tc>
      </w:tr>
      <w:tr w:rsidR="007A6A1A" w:rsidRPr="00BB4D6B" w14:paraId="11E28129" w14:textId="77777777">
        <w:trPr>
          <w:trHeight w:val="287"/>
        </w:trPr>
        <w:tc>
          <w:tcPr>
            <w:tcW w:w="2526" w:type="dxa"/>
            <w:tcBorders>
              <w:top w:val="single" w:sz="4" w:space="0" w:color="auto"/>
              <w:left w:val="single" w:sz="4" w:space="0" w:color="auto"/>
              <w:bottom w:val="single" w:sz="4" w:space="0" w:color="auto"/>
              <w:right w:val="nil"/>
            </w:tcBorders>
            <w:noWrap/>
            <w:hideMark/>
          </w:tcPr>
          <w:p w14:paraId="39E1C508" w14:textId="77777777" w:rsidR="007A6A1A" w:rsidRPr="00A32741" w:rsidRDefault="007A6A1A" w:rsidP="00BB4D6B">
            <w:pPr>
              <w:spacing w:after="0" w:line="240" w:lineRule="auto"/>
              <w:rPr>
                <w:sz w:val="18"/>
                <w:szCs w:val="18"/>
              </w:rPr>
            </w:pPr>
            <w:r w:rsidRPr="00A32741">
              <w:rPr>
                <w:sz w:val="18"/>
                <w:szCs w:val="18"/>
              </w:rPr>
              <w:t>Share of new jobs created between August 2012 and August 2024, by occupation (persons)</w:t>
            </w:r>
          </w:p>
        </w:tc>
        <w:tc>
          <w:tcPr>
            <w:tcW w:w="1273" w:type="dxa"/>
            <w:tcBorders>
              <w:top w:val="single" w:sz="4" w:space="0" w:color="auto"/>
              <w:left w:val="nil"/>
              <w:bottom w:val="single" w:sz="4" w:space="0" w:color="auto"/>
              <w:right w:val="nil"/>
            </w:tcBorders>
            <w:noWrap/>
            <w:vAlign w:val="center"/>
            <w:hideMark/>
          </w:tcPr>
          <w:p w14:paraId="25508BEA" w14:textId="77777777" w:rsidR="007A6A1A" w:rsidRPr="00A32741" w:rsidRDefault="007A6A1A" w:rsidP="00BB4D6B">
            <w:pPr>
              <w:spacing w:after="0" w:line="240" w:lineRule="auto"/>
              <w:rPr>
                <w:sz w:val="18"/>
                <w:szCs w:val="18"/>
              </w:rPr>
            </w:pPr>
            <w:r w:rsidRPr="00A32741">
              <w:rPr>
                <w:sz w:val="18"/>
                <w:szCs w:val="18"/>
              </w:rPr>
              <w:t>14.3%</w:t>
            </w:r>
          </w:p>
        </w:tc>
        <w:tc>
          <w:tcPr>
            <w:tcW w:w="1465" w:type="dxa"/>
            <w:tcBorders>
              <w:top w:val="single" w:sz="4" w:space="0" w:color="auto"/>
              <w:left w:val="nil"/>
              <w:bottom w:val="single" w:sz="4" w:space="0" w:color="auto"/>
              <w:right w:val="nil"/>
            </w:tcBorders>
            <w:noWrap/>
            <w:vAlign w:val="center"/>
            <w:hideMark/>
          </w:tcPr>
          <w:p w14:paraId="1E1458D7" w14:textId="77777777" w:rsidR="007A6A1A" w:rsidRPr="00A32741" w:rsidRDefault="007A6A1A" w:rsidP="00BB4D6B">
            <w:pPr>
              <w:spacing w:after="0" w:line="240" w:lineRule="auto"/>
              <w:rPr>
                <w:sz w:val="18"/>
                <w:szCs w:val="18"/>
              </w:rPr>
            </w:pPr>
            <w:r w:rsidRPr="00A32741">
              <w:rPr>
                <w:sz w:val="18"/>
                <w:szCs w:val="18"/>
              </w:rPr>
              <w:t>41.6%</w:t>
            </w:r>
          </w:p>
        </w:tc>
        <w:tc>
          <w:tcPr>
            <w:tcW w:w="1332" w:type="dxa"/>
            <w:tcBorders>
              <w:top w:val="single" w:sz="4" w:space="0" w:color="auto"/>
              <w:left w:val="nil"/>
              <w:bottom w:val="single" w:sz="4" w:space="0" w:color="auto"/>
              <w:right w:val="nil"/>
            </w:tcBorders>
            <w:noWrap/>
            <w:vAlign w:val="center"/>
            <w:hideMark/>
          </w:tcPr>
          <w:p w14:paraId="0DA0F8DD" w14:textId="77777777" w:rsidR="007A6A1A" w:rsidRPr="00A32741" w:rsidRDefault="007A6A1A" w:rsidP="00BB4D6B">
            <w:pPr>
              <w:spacing w:after="0" w:line="240" w:lineRule="auto"/>
              <w:rPr>
                <w:sz w:val="18"/>
                <w:szCs w:val="18"/>
              </w:rPr>
            </w:pPr>
            <w:r w:rsidRPr="00A32741">
              <w:rPr>
                <w:sz w:val="18"/>
                <w:szCs w:val="18"/>
              </w:rPr>
              <w:t>9.6%</w:t>
            </w:r>
          </w:p>
        </w:tc>
        <w:tc>
          <w:tcPr>
            <w:tcW w:w="1277" w:type="dxa"/>
            <w:tcBorders>
              <w:top w:val="single" w:sz="4" w:space="0" w:color="auto"/>
              <w:left w:val="nil"/>
              <w:bottom w:val="single" w:sz="4" w:space="0" w:color="auto"/>
              <w:right w:val="nil"/>
            </w:tcBorders>
            <w:noWrap/>
            <w:vAlign w:val="center"/>
            <w:hideMark/>
          </w:tcPr>
          <w:p w14:paraId="7377F812" w14:textId="77777777" w:rsidR="007A6A1A" w:rsidRPr="00A32741" w:rsidRDefault="007A6A1A" w:rsidP="00BB4D6B">
            <w:pPr>
              <w:spacing w:after="0" w:line="240" w:lineRule="auto"/>
              <w:rPr>
                <w:sz w:val="18"/>
                <w:szCs w:val="18"/>
              </w:rPr>
            </w:pPr>
            <w:r w:rsidRPr="00A32741">
              <w:rPr>
                <w:sz w:val="18"/>
                <w:szCs w:val="18"/>
              </w:rPr>
              <w:t>19.0%</w:t>
            </w:r>
          </w:p>
        </w:tc>
        <w:tc>
          <w:tcPr>
            <w:tcW w:w="1520" w:type="dxa"/>
            <w:tcBorders>
              <w:top w:val="single" w:sz="4" w:space="0" w:color="auto"/>
              <w:left w:val="nil"/>
              <w:bottom w:val="single" w:sz="4" w:space="0" w:color="auto"/>
              <w:right w:val="nil"/>
            </w:tcBorders>
            <w:noWrap/>
            <w:vAlign w:val="center"/>
            <w:hideMark/>
          </w:tcPr>
          <w:p w14:paraId="5C74B6CF" w14:textId="77777777" w:rsidR="007A6A1A" w:rsidRPr="00A32741" w:rsidRDefault="007A6A1A" w:rsidP="00BB4D6B">
            <w:pPr>
              <w:spacing w:after="0" w:line="240" w:lineRule="auto"/>
              <w:rPr>
                <w:sz w:val="18"/>
                <w:szCs w:val="18"/>
              </w:rPr>
            </w:pPr>
            <w:r w:rsidRPr="00A32741">
              <w:rPr>
                <w:sz w:val="18"/>
                <w:szCs w:val="18"/>
              </w:rPr>
              <w:t>6.0%</w:t>
            </w:r>
          </w:p>
        </w:tc>
        <w:tc>
          <w:tcPr>
            <w:tcW w:w="1010" w:type="dxa"/>
            <w:tcBorders>
              <w:top w:val="single" w:sz="4" w:space="0" w:color="auto"/>
              <w:left w:val="nil"/>
              <w:bottom w:val="single" w:sz="4" w:space="0" w:color="auto"/>
              <w:right w:val="nil"/>
            </w:tcBorders>
            <w:noWrap/>
            <w:vAlign w:val="center"/>
            <w:hideMark/>
          </w:tcPr>
          <w:p w14:paraId="04960F2D" w14:textId="77777777" w:rsidR="007A6A1A" w:rsidRPr="00A32741" w:rsidRDefault="007A6A1A" w:rsidP="00BB4D6B">
            <w:pPr>
              <w:spacing w:after="0" w:line="240" w:lineRule="auto"/>
              <w:rPr>
                <w:sz w:val="18"/>
                <w:szCs w:val="18"/>
              </w:rPr>
            </w:pPr>
            <w:r w:rsidRPr="00A32741">
              <w:rPr>
                <w:sz w:val="18"/>
                <w:szCs w:val="18"/>
              </w:rPr>
              <w:t>1.8%</w:t>
            </w:r>
          </w:p>
        </w:tc>
        <w:tc>
          <w:tcPr>
            <w:tcW w:w="1188" w:type="dxa"/>
            <w:tcBorders>
              <w:top w:val="single" w:sz="4" w:space="0" w:color="auto"/>
              <w:left w:val="nil"/>
              <w:bottom w:val="single" w:sz="4" w:space="0" w:color="auto"/>
              <w:right w:val="nil"/>
            </w:tcBorders>
            <w:noWrap/>
            <w:vAlign w:val="center"/>
            <w:hideMark/>
          </w:tcPr>
          <w:p w14:paraId="0BD0DB03" w14:textId="77777777" w:rsidR="007A6A1A" w:rsidRPr="00A32741" w:rsidRDefault="007A6A1A" w:rsidP="00BB4D6B">
            <w:pPr>
              <w:spacing w:after="0" w:line="240" w:lineRule="auto"/>
              <w:rPr>
                <w:sz w:val="18"/>
                <w:szCs w:val="18"/>
              </w:rPr>
            </w:pPr>
            <w:r w:rsidRPr="00A32741">
              <w:rPr>
                <w:sz w:val="18"/>
                <w:szCs w:val="18"/>
              </w:rPr>
              <w:t>5.1%</w:t>
            </w:r>
          </w:p>
        </w:tc>
        <w:tc>
          <w:tcPr>
            <w:tcW w:w="1166" w:type="dxa"/>
            <w:tcBorders>
              <w:top w:val="single" w:sz="4" w:space="0" w:color="auto"/>
              <w:left w:val="nil"/>
              <w:bottom w:val="single" w:sz="4" w:space="0" w:color="auto"/>
              <w:right w:val="nil"/>
            </w:tcBorders>
            <w:noWrap/>
            <w:vAlign w:val="center"/>
            <w:hideMark/>
          </w:tcPr>
          <w:p w14:paraId="666EB544" w14:textId="77777777" w:rsidR="007A6A1A" w:rsidRPr="00A32741" w:rsidRDefault="007A6A1A" w:rsidP="00BB4D6B">
            <w:pPr>
              <w:spacing w:after="0" w:line="240" w:lineRule="auto"/>
              <w:rPr>
                <w:sz w:val="18"/>
                <w:szCs w:val="18"/>
              </w:rPr>
            </w:pPr>
            <w:r w:rsidRPr="00A32741">
              <w:rPr>
                <w:sz w:val="18"/>
                <w:szCs w:val="18"/>
              </w:rPr>
              <w:t>2.6%</w:t>
            </w:r>
          </w:p>
        </w:tc>
        <w:tc>
          <w:tcPr>
            <w:tcW w:w="1044" w:type="dxa"/>
            <w:tcBorders>
              <w:top w:val="single" w:sz="4" w:space="0" w:color="auto"/>
              <w:left w:val="nil"/>
              <w:bottom w:val="single" w:sz="4" w:space="0" w:color="auto"/>
              <w:right w:val="single" w:sz="4" w:space="0" w:color="auto"/>
            </w:tcBorders>
            <w:noWrap/>
            <w:vAlign w:val="center"/>
            <w:hideMark/>
          </w:tcPr>
          <w:p w14:paraId="402CCDDE" w14:textId="77777777" w:rsidR="007A6A1A" w:rsidRPr="00A32741" w:rsidRDefault="007A6A1A" w:rsidP="00BB4D6B">
            <w:pPr>
              <w:spacing w:after="0" w:line="240" w:lineRule="auto"/>
              <w:rPr>
                <w:sz w:val="18"/>
                <w:szCs w:val="18"/>
              </w:rPr>
            </w:pPr>
            <w:r w:rsidRPr="00A32741">
              <w:rPr>
                <w:sz w:val="18"/>
                <w:szCs w:val="18"/>
              </w:rPr>
              <w:t>100.0%</w:t>
            </w:r>
          </w:p>
        </w:tc>
      </w:tr>
    </w:tbl>
    <w:p w14:paraId="3981CE9F" w14:textId="23FE5638" w:rsidR="007A6A1A" w:rsidRPr="00A32741" w:rsidRDefault="007A6A1A" w:rsidP="00BB4D6B">
      <w:pPr>
        <w:pStyle w:val="Source"/>
        <w:spacing w:after="0" w:line="240" w:lineRule="auto"/>
        <w:rPr>
          <w:szCs w:val="18"/>
        </w:rPr>
      </w:pPr>
      <w:r w:rsidRPr="00A32741">
        <w:rPr>
          <w:b/>
          <w:bCs/>
          <w:szCs w:val="18"/>
        </w:rPr>
        <w:t>Source:</w:t>
      </w:r>
      <w:r w:rsidRPr="00A32741">
        <w:rPr>
          <w:szCs w:val="18"/>
        </w:rPr>
        <w:t xml:space="preserve"> ABS Labour Force, Australia, Detailed (Cat No 6291.0.55.001), Table 7, original series.</w:t>
      </w:r>
    </w:p>
    <w:p w14:paraId="43E0839A"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17257C9F" w14:textId="0712812C" w:rsidR="007A6A1A" w:rsidRPr="00167CB8" w:rsidRDefault="007A6A1A" w:rsidP="00C7470B">
      <w:pPr>
        <w:pStyle w:val="Caption"/>
      </w:pPr>
      <w:bookmarkStart w:id="655" w:name="_Ref184403855"/>
      <w:bookmarkStart w:id="656" w:name="_Ref184403834"/>
      <w:bookmarkStart w:id="657" w:name="_Toc186991777"/>
      <w:bookmarkStart w:id="658" w:name="_Toc189310810"/>
      <w:r w:rsidRPr="00167CB8">
        <w:lastRenderedPageBreak/>
        <w:t xml:space="preserve">Figure </w:t>
      </w:r>
      <w:r w:rsidR="0043348A" w:rsidRPr="00167CB8">
        <w:t>22</w:t>
      </w:r>
      <w:bookmarkEnd w:id="655"/>
      <w:r w:rsidRPr="00167CB8">
        <w:t>: Industry size (employment) and distribution of employment</w:t>
      </w:r>
      <w:bookmarkEnd w:id="656"/>
      <w:bookmarkEnd w:id="657"/>
      <w:bookmarkEnd w:id="658"/>
    </w:p>
    <w:p w14:paraId="142A92CA" w14:textId="77777777" w:rsidR="007A6A1A" w:rsidRPr="00167CB8" w:rsidRDefault="007A6A1A" w:rsidP="007A6A1A">
      <w:pPr>
        <w:spacing w:after="160"/>
      </w:pPr>
      <w:r w:rsidRPr="00167CB8">
        <w:rPr>
          <w:noProof/>
        </w:rPr>
        <w:drawing>
          <wp:inline distT="0" distB="0" distL="0" distR="0" wp14:anchorId="38D254C8" wp14:editId="780B567E">
            <wp:extent cx="5731510" cy="3745230"/>
            <wp:effectExtent l="0" t="0" r="2540" b="7620"/>
            <wp:docPr id="1434940265" name="Picture 67" descr="A graph of people with blue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descr="A graph of people with blue and black lines&#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3745230"/>
                    </a:xfrm>
                    <a:prstGeom prst="rect">
                      <a:avLst/>
                    </a:prstGeom>
                    <a:noFill/>
                    <a:ln>
                      <a:noFill/>
                    </a:ln>
                  </pic:spPr>
                </pic:pic>
              </a:graphicData>
            </a:graphic>
          </wp:inline>
        </w:drawing>
      </w:r>
    </w:p>
    <w:p w14:paraId="404E1D9C" w14:textId="470FF835" w:rsidR="007A6A1A" w:rsidRPr="00167CB8" w:rsidRDefault="007A6A1A" w:rsidP="00A461FB">
      <w:pPr>
        <w:pStyle w:val="Source"/>
      </w:pPr>
      <w:r w:rsidRPr="00167CB8">
        <w:rPr>
          <w:b/>
          <w:bCs/>
        </w:rPr>
        <w:t>Source:</w:t>
      </w:r>
      <w:r w:rsidRPr="00167CB8">
        <w:t xml:space="preserve"> ABS Labour Force, Australia, Detailed (Cat No 6291.0.55.001), Table 4, August 2024. Seasonally adjusted data.</w:t>
      </w:r>
    </w:p>
    <w:p w14:paraId="2186E294" w14:textId="5A1FB784" w:rsidR="007A6A1A" w:rsidRPr="00167CB8" w:rsidRDefault="007A6A1A" w:rsidP="00A461FB">
      <w:pPr>
        <w:pStyle w:val="Source"/>
      </w:pPr>
      <w:r w:rsidRPr="00167CB8">
        <w:rPr>
          <w:b/>
          <w:bCs/>
        </w:rPr>
        <w:t>Alt-text:</w:t>
      </w:r>
      <w:r w:rsidRPr="00167CB8">
        <w:t xml:space="preserve"> A combination chart showing the distribution of employees by industry. At August 2024</w:t>
      </w:r>
      <w:r w:rsidR="00A461FB" w:rsidRPr="00167CB8">
        <w:t>,</w:t>
      </w:r>
      <w:r w:rsidRPr="00167CB8">
        <w:t xml:space="preserve"> 15.5% of all employees (persons) (black line) were employed in the </w:t>
      </w:r>
      <w:r w:rsidR="00A461FB" w:rsidRPr="00167CB8">
        <w:t>h</w:t>
      </w:r>
      <w:r w:rsidRPr="00167CB8">
        <w:t>ealth care and social assistance sector (making this the largest industry sector (by employee size). The bars show the distribution of men and women across industries. In 2024</w:t>
      </w:r>
      <w:r w:rsidR="00A461FB" w:rsidRPr="00167CB8">
        <w:t>,</w:t>
      </w:r>
      <w:r w:rsidRPr="00167CB8">
        <w:t xml:space="preserve"> around 17% of all women employees were in the </w:t>
      </w:r>
      <w:r w:rsidR="00A461FB" w:rsidRPr="00167CB8">
        <w:t>h</w:t>
      </w:r>
      <w:r w:rsidRPr="00167CB8">
        <w:t xml:space="preserve">ealth care and social assistance sector, followed by around 9% of women in the </w:t>
      </w:r>
      <w:r w:rsidR="00A461FB" w:rsidRPr="00167CB8">
        <w:t>e</w:t>
      </w:r>
      <w:r w:rsidRPr="00167CB8">
        <w:t xml:space="preserve">ducation and training sector. Among men the largest share (around 11%) were in construction. </w:t>
      </w:r>
    </w:p>
    <w:p w14:paraId="2AF77F0A" w14:textId="77777777" w:rsidR="007A6A1A" w:rsidRPr="00167CB8" w:rsidRDefault="007A6A1A" w:rsidP="00650687">
      <w:pPr>
        <w:pStyle w:val="Heading4"/>
      </w:pPr>
      <w:bookmarkStart w:id="659" w:name="_Toc186991760"/>
      <w:bookmarkStart w:id="660" w:name="_Toc189393664"/>
      <w:r w:rsidRPr="00167CB8">
        <w:t>2.2 Casual employment</w:t>
      </w:r>
      <w:bookmarkEnd w:id="659"/>
      <w:bookmarkEnd w:id="660"/>
    </w:p>
    <w:p w14:paraId="6B308EB7" w14:textId="77777777" w:rsidR="001B52AF" w:rsidRDefault="007A6A1A" w:rsidP="001B52AF">
      <w:pPr>
        <w:spacing w:after="160"/>
      </w:pPr>
      <w:r w:rsidRPr="00167CB8">
        <w:t>There are various ways of defining casual employment. A common approach used in Australia is to classify someone as casual if they have no paid leave entitlements. Adopting this approach</w:t>
      </w:r>
      <w:r w:rsidR="008B39A1">
        <w:t xml:space="preserve"> </w:t>
      </w:r>
      <w:r w:rsidR="001B52AF">
        <w:t>Figure 23</w:t>
      </w:r>
      <w:r w:rsidRPr="00167CB8">
        <w:t xml:space="preserve"> shows that</w:t>
      </w:r>
      <w:r w:rsidR="00A461FB" w:rsidRPr="00167CB8">
        <w:t>,</w:t>
      </w:r>
      <w:r w:rsidRPr="00167CB8">
        <w:t xml:space="preserve"> among women, much of the full-time employment growth among women is casual in nature.</w:t>
      </w:r>
    </w:p>
    <w:p w14:paraId="460006DF" w14:textId="4F0A0F96" w:rsidR="007A6A1A" w:rsidRPr="00167CB8" w:rsidRDefault="001B52AF" w:rsidP="001B52AF">
      <w:pPr>
        <w:spacing w:after="160"/>
      </w:pPr>
      <w:r>
        <w:t>Figure 24 f</w:t>
      </w:r>
      <w:r w:rsidR="007A6A1A" w:rsidRPr="00167CB8">
        <w:t xml:space="preserve">or men, </w:t>
      </w:r>
      <w:r w:rsidR="00A461FB" w:rsidRPr="00167CB8">
        <w:t xml:space="preserve">it </w:t>
      </w:r>
      <w:r w:rsidR="007A6A1A" w:rsidRPr="00167CB8">
        <w:t xml:space="preserve">shows that over the last decade part-time employment (with and without paid leave entitlements) has grown faster than full-time employment. </w:t>
      </w:r>
    </w:p>
    <w:p w14:paraId="4D926659" w14:textId="507B6FA9" w:rsidR="007A6A1A" w:rsidRPr="00167CB8" w:rsidRDefault="007A6A1A" w:rsidP="00470AB9">
      <w:pPr>
        <w:pStyle w:val="Caption"/>
      </w:pPr>
      <w:bookmarkStart w:id="661" w:name="_Ref184403937"/>
      <w:bookmarkStart w:id="662" w:name="_Toc186991778"/>
      <w:bookmarkStart w:id="663" w:name="_Toc189310811"/>
      <w:r w:rsidRPr="00167CB8">
        <w:lastRenderedPageBreak/>
        <w:t xml:space="preserve">Figure </w:t>
      </w:r>
      <w:r w:rsidR="00BB4B87" w:rsidRPr="00167CB8">
        <w:t>23</w:t>
      </w:r>
      <w:bookmarkEnd w:id="661"/>
      <w:r w:rsidRPr="00167CB8">
        <w:t>: Trends in casual employment, women</w:t>
      </w:r>
      <w:bookmarkEnd w:id="662"/>
      <w:bookmarkEnd w:id="663"/>
    </w:p>
    <w:p w14:paraId="046D539B" w14:textId="77777777" w:rsidR="007A6A1A" w:rsidRPr="00167CB8" w:rsidRDefault="007A6A1A" w:rsidP="007A6A1A">
      <w:pPr>
        <w:spacing w:after="160"/>
      </w:pPr>
      <w:r w:rsidRPr="00167CB8">
        <w:rPr>
          <w:noProof/>
        </w:rPr>
        <w:drawing>
          <wp:inline distT="0" distB="0" distL="0" distR="0" wp14:anchorId="660217CE" wp14:editId="795839BC">
            <wp:extent cx="5731510" cy="3745230"/>
            <wp:effectExtent l="0" t="0" r="2540" b="7620"/>
            <wp:docPr id="1302843211" name="Picture 6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43211" name="Picture 66" descr="A graph of different colored lines&#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3745230"/>
                    </a:xfrm>
                    <a:prstGeom prst="rect">
                      <a:avLst/>
                    </a:prstGeom>
                    <a:noFill/>
                    <a:ln>
                      <a:noFill/>
                    </a:ln>
                  </pic:spPr>
                </pic:pic>
              </a:graphicData>
            </a:graphic>
          </wp:inline>
        </w:drawing>
      </w:r>
    </w:p>
    <w:p w14:paraId="712D0AAB" w14:textId="771E7094" w:rsidR="007A6A1A" w:rsidRPr="00167CB8" w:rsidRDefault="007A6A1A" w:rsidP="00A461FB">
      <w:pPr>
        <w:pStyle w:val="Source"/>
      </w:pPr>
      <w:r w:rsidRPr="00167CB8">
        <w:rPr>
          <w:b/>
          <w:bCs/>
        </w:rPr>
        <w:t>Source:</w:t>
      </w:r>
      <w:r w:rsidRPr="00167CB8">
        <w:t xml:space="preserve"> ABS Labour Force, Australia, Detailed (Cat No 6291.0.55.001), EQ04. Original series. Indexed to August 2014 and then smoothed using a four-quarter moving average to August 2024.</w:t>
      </w:r>
    </w:p>
    <w:p w14:paraId="42676C87" w14:textId="422D47CF" w:rsidR="007A6A1A" w:rsidRPr="00167CB8" w:rsidRDefault="007A6A1A" w:rsidP="00A461FB">
      <w:pPr>
        <w:pStyle w:val="Source"/>
      </w:pPr>
      <w:r w:rsidRPr="00167CB8">
        <w:rPr>
          <w:b/>
          <w:bCs/>
        </w:rPr>
        <w:t>Alt-text:</w:t>
      </w:r>
      <w:r w:rsidRPr="00167CB8">
        <w:t xml:space="preserve"> A line chart showing trends in female employment disaggregated by hours (full-time, part-time) and paid leave entitlements. Between 2015 and 2024, in the female labour market, full-time employment (with paid leave) has grown by nearly 140%. The next strongest growth has been among full-timers without paid leave entitlements (i.e. casuals), increasing by just over 130% between 2015 and 2024.</w:t>
      </w:r>
    </w:p>
    <w:p w14:paraId="6E93FCDF" w14:textId="77777777" w:rsidR="007A6A1A" w:rsidRPr="00167CB8" w:rsidRDefault="007A6A1A" w:rsidP="007A6A1A">
      <w:pPr>
        <w:spacing w:after="160"/>
        <w:rPr>
          <w:i/>
          <w:iCs/>
        </w:rPr>
      </w:pPr>
      <w:r w:rsidRPr="00167CB8">
        <w:br w:type="page"/>
      </w:r>
      <w:bookmarkStart w:id="664" w:name="_Ref184403949"/>
    </w:p>
    <w:p w14:paraId="3E58D6EC" w14:textId="5004D56B" w:rsidR="007A6A1A" w:rsidRPr="00167CB8" w:rsidRDefault="007A6A1A" w:rsidP="00470AB9">
      <w:pPr>
        <w:pStyle w:val="Caption"/>
      </w:pPr>
      <w:bookmarkStart w:id="665" w:name="_Toc186991779"/>
      <w:bookmarkStart w:id="666" w:name="_Toc189310812"/>
      <w:r w:rsidRPr="00167CB8">
        <w:lastRenderedPageBreak/>
        <w:t xml:space="preserve">Figure </w:t>
      </w:r>
      <w:r w:rsidR="00817A80" w:rsidRPr="00167CB8">
        <w:t>24</w:t>
      </w:r>
      <w:bookmarkEnd w:id="664"/>
      <w:r w:rsidRPr="00167CB8">
        <w:t>: Trends in casual employment, men</w:t>
      </w:r>
      <w:bookmarkEnd w:id="665"/>
      <w:bookmarkEnd w:id="666"/>
    </w:p>
    <w:p w14:paraId="7139E264" w14:textId="77777777" w:rsidR="007A6A1A" w:rsidRPr="00167CB8" w:rsidRDefault="007A6A1A" w:rsidP="007A6A1A">
      <w:pPr>
        <w:spacing w:after="160"/>
      </w:pPr>
      <w:r w:rsidRPr="00167CB8">
        <w:rPr>
          <w:noProof/>
        </w:rPr>
        <w:drawing>
          <wp:inline distT="0" distB="0" distL="0" distR="0" wp14:anchorId="48ABE3D2" wp14:editId="054FD951">
            <wp:extent cx="5731510" cy="3753485"/>
            <wp:effectExtent l="0" t="0" r="2540" b="0"/>
            <wp:docPr id="52606997" name="Picture 65"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descr="A graph of a number of people&#10;&#10;Description automatically generated with medium confidenc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3753485"/>
                    </a:xfrm>
                    <a:prstGeom prst="rect">
                      <a:avLst/>
                    </a:prstGeom>
                    <a:noFill/>
                    <a:ln>
                      <a:noFill/>
                    </a:ln>
                  </pic:spPr>
                </pic:pic>
              </a:graphicData>
            </a:graphic>
          </wp:inline>
        </w:drawing>
      </w:r>
    </w:p>
    <w:p w14:paraId="54AEFB2E" w14:textId="53AFC6FB" w:rsidR="007A6A1A" w:rsidRPr="00167CB8" w:rsidRDefault="007A6A1A" w:rsidP="00A461FB">
      <w:pPr>
        <w:pStyle w:val="Source"/>
      </w:pPr>
      <w:r w:rsidRPr="00167CB8">
        <w:rPr>
          <w:b/>
          <w:bCs/>
        </w:rPr>
        <w:t>Source:</w:t>
      </w:r>
      <w:r w:rsidRPr="00167CB8">
        <w:t xml:space="preserve"> ABS Labour Force, Australia, Detailed (Cat No 6291.0.55.001), EQ04. Original series.  Indexed to August 2014 and then smoothed using a </w:t>
      </w:r>
      <w:r w:rsidR="00A14864" w:rsidRPr="00167CB8">
        <w:t>4</w:t>
      </w:r>
      <w:r w:rsidRPr="00167CB8">
        <w:t>-quarter moving average to August 2024.</w:t>
      </w:r>
    </w:p>
    <w:p w14:paraId="54086B4E" w14:textId="77777777" w:rsidR="007A6A1A" w:rsidRPr="00167CB8" w:rsidRDefault="007A6A1A" w:rsidP="00A461FB">
      <w:pPr>
        <w:pStyle w:val="Source"/>
      </w:pPr>
      <w:r w:rsidRPr="00167CB8">
        <w:rPr>
          <w:b/>
          <w:bCs/>
        </w:rPr>
        <w:t>Alt-text:</w:t>
      </w:r>
      <w:r w:rsidRPr="00167CB8">
        <w:t xml:space="preserve"> A line chart showing trends in male employment disaggregated by hours (full-time, part-time) and paid leave entitlements. Between 2015 and 2024, in the male labour market, part-time employment (with paid leave) has grown by around 145%. The next strongest growth has been among part-timers without paid leave entitlements (i.e., casuals), increasing by around 130% between 2015 and 2024.</w:t>
      </w:r>
    </w:p>
    <w:p w14:paraId="03E3FACD" w14:textId="647C413C" w:rsidR="007A6A1A" w:rsidRPr="00167CB8" w:rsidRDefault="00C22C04" w:rsidP="007A6A1A">
      <w:pPr>
        <w:spacing w:after="160"/>
      </w:pPr>
      <w:r w:rsidRPr="00167CB8">
        <w:t>Table 26</w:t>
      </w:r>
      <w:r w:rsidR="007A6A1A" w:rsidRPr="00167CB8">
        <w:t xml:space="preserve"> summarise changes in employment by hours (full-time, part-time) and status of employment in the main job between November 2022 (before the </w:t>
      </w:r>
      <w:r w:rsidR="00A461FB" w:rsidRPr="00167CB8">
        <w:t xml:space="preserve">Secure Jobs, Better Pay </w:t>
      </w:r>
      <w:r w:rsidR="007A6A1A" w:rsidRPr="00167CB8">
        <w:t xml:space="preserve">Act) and August 2024 (at time of writing, the most recent available data). Among women there has been a decline in the incidence of casual employment in the full-time and part-time labour markets. Among men, the number and share employed as casuals has decline in the full-time labour market but increased in the part-time labour market.  </w:t>
      </w:r>
    </w:p>
    <w:p w14:paraId="5C1948F6"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p>
    <w:p w14:paraId="5110F1F0" w14:textId="69FBB976" w:rsidR="007A6A1A" w:rsidRPr="00167CB8" w:rsidRDefault="007A6A1A" w:rsidP="00470AB9">
      <w:pPr>
        <w:pStyle w:val="Caption"/>
      </w:pPr>
      <w:bookmarkStart w:id="667" w:name="_Ref184403966"/>
      <w:bookmarkStart w:id="668" w:name="_Toc186991804"/>
      <w:bookmarkStart w:id="669" w:name="_Toc189310855"/>
      <w:r w:rsidRPr="00167CB8">
        <w:lastRenderedPageBreak/>
        <w:t xml:space="preserve">Table </w:t>
      </w:r>
      <w:r w:rsidR="00DD21F3" w:rsidRPr="00167CB8">
        <w:t>26</w:t>
      </w:r>
      <w:bookmarkEnd w:id="667"/>
      <w:r w:rsidRPr="00167CB8">
        <w:t xml:space="preserve">: </w:t>
      </w:r>
      <w:r w:rsidR="00A461FB" w:rsidRPr="00167CB8">
        <w:t>E</w:t>
      </w:r>
      <w:r w:rsidRPr="00167CB8">
        <w:t>mployed persons by sex and status in employment of main job</w:t>
      </w:r>
      <w:bookmarkEnd w:id="668"/>
      <w:bookmarkEnd w:id="669"/>
    </w:p>
    <w:tbl>
      <w:tblPr>
        <w:tblW w:w="1388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15"/>
        <w:gridCol w:w="1355"/>
        <w:gridCol w:w="1355"/>
        <w:gridCol w:w="1355"/>
        <w:gridCol w:w="1355"/>
        <w:gridCol w:w="866"/>
        <w:gridCol w:w="1355"/>
        <w:gridCol w:w="1355"/>
        <w:gridCol w:w="1355"/>
        <w:gridCol w:w="1355"/>
        <w:gridCol w:w="866"/>
      </w:tblGrid>
      <w:tr w:rsidR="007A6A1A" w:rsidRPr="00167CB8" w14:paraId="0B1B2E38" w14:textId="77777777" w:rsidTr="00FB75F7">
        <w:trPr>
          <w:trHeight w:val="504"/>
        </w:trPr>
        <w:tc>
          <w:tcPr>
            <w:tcW w:w="1315" w:type="dxa"/>
            <w:tcBorders>
              <w:top w:val="single" w:sz="4" w:space="0" w:color="auto"/>
              <w:left w:val="single" w:sz="4" w:space="0" w:color="auto"/>
              <w:bottom w:val="nil"/>
              <w:right w:val="nil"/>
            </w:tcBorders>
            <w:hideMark/>
          </w:tcPr>
          <w:p w14:paraId="121E6599" w14:textId="77777777" w:rsidR="007A6A1A" w:rsidRPr="00A32741" w:rsidRDefault="007A6A1A" w:rsidP="007A6A1A">
            <w:pPr>
              <w:spacing w:after="160"/>
              <w:rPr>
                <w:b/>
                <w:bCs/>
                <w:sz w:val="20"/>
                <w:szCs w:val="20"/>
              </w:rPr>
            </w:pPr>
          </w:p>
        </w:tc>
        <w:tc>
          <w:tcPr>
            <w:tcW w:w="6286" w:type="dxa"/>
            <w:gridSpan w:val="5"/>
            <w:tcBorders>
              <w:top w:val="single" w:sz="4" w:space="0" w:color="auto"/>
              <w:left w:val="nil"/>
              <w:bottom w:val="nil"/>
              <w:right w:val="single" w:sz="4" w:space="0" w:color="auto"/>
            </w:tcBorders>
            <w:vAlign w:val="center"/>
            <w:hideMark/>
          </w:tcPr>
          <w:p w14:paraId="332C5727" w14:textId="77777777" w:rsidR="007A6A1A" w:rsidRPr="00A32741" w:rsidRDefault="007A6A1A" w:rsidP="007A6A1A">
            <w:pPr>
              <w:spacing w:after="160"/>
              <w:rPr>
                <w:b/>
                <w:bCs/>
                <w:sz w:val="20"/>
                <w:szCs w:val="20"/>
              </w:rPr>
            </w:pPr>
            <w:r w:rsidRPr="00A32741">
              <w:rPr>
                <w:b/>
                <w:bCs/>
                <w:sz w:val="20"/>
                <w:szCs w:val="20"/>
              </w:rPr>
              <w:t>Women</w:t>
            </w:r>
          </w:p>
        </w:tc>
        <w:tc>
          <w:tcPr>
            <w:tcW w:w="6286" w:type="dxa"/>
            <w:gridSpan w:val="5"/>
            <w:tcBorders>
              <w:top w:val="single" w:sz="4" w:space="0" w:color="auto"/>
              <w:left w:val="single" w:sz="4" w:space="0" w:color="auto"/>
              <w:bottom w:val="nil"/>
              <w:right w:val="single" w:sz="4" w:space="0" w:color="auto"/>
            </w:tcBorders>
            <w:vAlign w:val="center"/>
            <w:hideMark/>
          </w:tcPr>
          <w:p w14:paraId="47185254" w14:textId="77777777" w:rsidR="007A6A1A" w:rsidRPr="00A32741" w:rsidRDefault="007A6A1A" w:rsidP="007A6A1A">
            <w:pPr>
              <w:spacing w:after="160"/>
              <w:rPr>
                <w:b/>
                <w:bCs/>
                <w:sz w:val="20"/>
                <w:szCs w:val="20"/>
              </w:rPr>
            </w:pPr>
            <w:r w:rsidRPr="00A32741">
              <w:rPr>
                <w:b/>
                <w:bCs/>
                <w:sz w:val="20"/>
                <w:szCs w:val="20"/>
              </w:rPr>
              <w:t>Men</w:t>
            </w:r>
          </w:p>
        </w:tc>
      </w:tr>
      <w:tr w:rsidR="007A6A1A" w:rsidRPr="00167CB8" w14:paraId="370C0C66" w14:textId="77777777" w:rsidTr="00FB75F7">
        <w:trPr>
          <w:trHeight w:val="791"/>
        </w:trPr>
        <w:tc>
          <w:tcPr>
            <w:tcW w:w="1315" w:type="dxa"/>
            <w:tcBorders>
              <w:top w:val="nil"/>
              <w:left w:val="single" w:sz="4" w:space="0" w:color="auto"/>
              <w:bottom w:val="single" w:sz="4" w:space="0" w:color="auto"/>
              <w:right w:val="nil"/>
            </w:tcBorders>
            <w:vAlign w:val="center"/>
            <w:hideMark/>
          </w:tcPr>
          <w:p w14:paraId="2CC8DBAF" w14:textId="77777777" w:rsidR="007A6A1A" w:rsidRPr="00A32741" w:rsidRDefault="007A6A1A" w:rsidP="007A6A1A">
            <w:pPr>
              <w:spacing w:after="160"/>
              <w:rPr>
                <w:b/>
                <w:bCs/>
                <w:sz w:val="20"/>
                <w:szCs w:val="20"/>
              </w:rPr>
            </w:pPr>
          </w:p>
        </w:tc>
        <w:tc>
          <w:tcPr>
            <w:tcW w:w="1355" w:type="dxa"/>
            <w:tcBorders>
              <w:top w:val="nil"/>
              <w:left w:val="nil"/>
              <w:bottom w:val="single" w:sz="4" w:space="0" w:color="auto"/>
              <w:right w:val="nil"/>
            </w:tcBorders>
            <w:vAlign w:val="center"/>
            <w:hideMark/>
          </w:tcPr>
          <w:p w14:paraId="30A08B09" w14:textId="77777777" w:rsidR="007A6A1A" w:rsidRPr="00310C3D" w:rsidRDefault="007A6A1A" w:rsidP="007A6A1A">
            <w:pPr>
              <w:spacing w:after="160"/>
              <w:rPr>
                <w:b/>
                <w:bCs/>
                <w:sz w:val="19"/>
                <w:szCs w:val="19"/>
              </w:rPr>
            </w:pPr>
            <w:r w:rsidRPr="00310C3D">
              <w:rPr>
                <w:b/>
                <w:bCs/>
                <w:sz w:val="19"/>
                <w:szCs w:val="19"/>
              </w:rPr>
              <w:t>Full-time, with paid leave entitlements</w:t>
            </w:r>
          </w:p>
        </w:tc>
        <w:tc>
          <w:tcPr>
            <w:tcW w:w="1355" w:type="dxa"/>
            <w:tcBorders>
              <w:top w:val="nil"/>
              <w:left w:val="nil"/>
              <w:bottom w:val="single" w:sz="4" w:space="0" w:color="auto"/>
              <w:right w:val="nil"/>
            </w:tcBorders>
            <w:vAlign w:val="center"/>
            <w:hideMark/>
          </w:tcPr>
          <w:p w14:paraId="1A02B688" w14:textId="77777777" w:rsidR="007A6A1A" w:rsidRPr="00310C3D" w:rsidRDefault="007A6A1A" w:rsidP="007A6A1A">
            <w:pPr>
              <w:spacing w:after="160"/>
              <w:rPr>
                <w:b/>
                <w:bCs/>
                <w:sz w:val="19"/>
                <w:szCs w:val="19"/>
              </w:rPr>
            </w:pPr>
            <w:r w:rsidRPr="00310C3D">
              <w:rPr>
                <w:b/>
                <w:bCs/>
                <w:sz w:val="19"/>
                <w:szCs w:val="19"/>
              </w:rPr>
              <w:t>Full-time, no paid leave entitlements</w:t>
            </w:r>
          </w:p>
        </w:tc>
        <w:tc>
          <w:tcPr>
            <w:tcW w:w="1355" w:type="dxa"/>
            <w:tcBorders>
              <w:top w:val="nil"/>
              <w:left w:val="nil"/>
              <w:bottom w:val="single" w:sz="4" w:space="0" w:color="auto"/>
              <w:right w:val="nil"/>
            </w:tcBorders>
            <w:vAlign w:val="center"/>
            <w:hideMark/>
          </w:tcPr>
          <w:p w14:paraId="75214636" w14:textId="77777777" w:rsidR="007A6A1A" w:rsidRPr="00310C3D" w:rsidRDefault="007A6A1A" w:rsidP="007A6A1A">
            <w:pPr>
              <w:spacing w:after="160"/>
              <w:rPr>
                <w:b/>
                <w:bCs/>
                <w:sz w:val="19"/>
                <w:szCs w:val="19"/>
              </w:rPr>
            </w:pPr>
            <w:r w:rsidRPr="00310C3D">
              <w:rPr>
                <w:b/>
                <w:bCs/>
                <w:sz w:val="19"/>
                <w:szCs w:val="19"/>
              </w:rPr>
              <w:t>Part-time, with paid leave entitlements</w:t>
            </w:r>
          </w:p>
        </w:tc>
        <w:tc>
          <w:tcPr>
            <w:tcW w:w="1355" w:type="dxa"/>
            <w:tcBorders>
              <w:top w:val="nil"/>
              <w:left w:val="nil"/>
              <w:bottom w:val="single" w:sz="4" w:space="0" w:color="auto"/>
              <w:right w:val="nil"/>
            </w:tcBorders>
            <w:vAlign w:val="center"/>
            <w:hideMark/>
          </w:tcPr>
          <w:p w14:paraId="188F7869" w14:textId="77777777" w:rsidR="007A6A1A" w:rsidRPr="00310C3D" w:rsidRDefault="007A6A1A" w:rsidP="007A6A1A">
            <w:pPr>
              <w:spacing w:after="160"/>
              <w:rPr>
                <w:b/>
                <w:bCs/>
                <w:sz w:val="19"/>
                <w:szCs w:val="19"/>
              </w:rPr>
            </w:pPr>
            <w:r w:rsidRPr="00310C3D">
              <w:rPr>
                <w:b/>
                <w:bCs/>
                <w:sz w:val="19"/>
                <w:szCs w:val="19"/>
              </w:rPr>
              <w:t>Part-time, no paid leave entitlements</w:t>
            </w:r>
          </w:p>
        </w:tc>
        <w:tc>
          <w:tcPr>
            <w:tcW w:w="866" w:type="dxa"/>
            <w:tcBorders>
              <w:top w:val="nil"/>
              <w:left w:val="nil"/>
              <w:bottom w:val="single" w:sz="4" w:space="0" w:color="auto"/>
              <w:right w:val="single" w:sz="4" w:space="0" w:color="auto"/>
            </w:tcBorders>
            <w:vAlign w:val="center"/>
            <w:hideMark/>
          </w:tcPr>
          <w:p w14:paraId="530B121C" w14:textId="77777777" w:rsidR="007A6A1A" w:rsidRPr="00310C3D" w:rsidRDefault="007A6A1A" w:rsidP="007A6A1A">
            <w:pPr>
              <w:spacing w:after="160"/>
              <w:rPr>
                <w:b/>
                <w:bCs/>
                <w:sz w:val="19"/>
                <w:szCs w:val="19"/>
              </w:rPr>
            </w:pPr>
            <w:r w:rsidRPr="00310C3D">
              <w:rPr>
                <w:b/>
                <w:bCs/>
                <w:sz w:val="19"/>
                <w:szCs w:val="19"/>
              </w:rPr>
              <w:t>Total</w:t>
            </w:r>
          </w:p>
        </w:tc>
        <w:tc>
          <w:tcPr>
            <w:tcW w:w="1355" w:type="dxa"/>
            <w:tcBorders>
              <w:top w:val="nil"/>
              <w:left w:val="single" w:sz="4" w:space="0" w:color="auto"/>
              <w:bottom w:val="single" w:sz="4" w:space="0" w:color="auto"/>
              <w:right w:val="nil"/>
            </w:tcBorders>
            <w:vAlign w:val="center"/>
            <w:hideMark/>
          </w:tcPr>
          <w:p w14:paraId="6AC29E53" w14:textId="77777777" w:rsidR="007A6A1A" w:rsidRPr="00310C3D" w:rsidRDefault="007A6A1A" w:rsidP="007A6A1A">
            <w:pPr>
              <w:spacing w:after="160"/>
              <w:rPr>
                <w:b/>
                <w:bCs/>
                <w:sz w:val="19"/>
                <w:szCs w:val="19"/>
              </w:rPr>
            </w:pPr>
            <w:r w:rsidRPr="00310C3D">
              <w:rPr>
                <w:b/>
                <w:bCs/>
                <w:sz w:val="19"/>
                <w:szCs w:val="19"/>
              </w:rPr>
              <w:t>Full-time, with paid leave entitlements</w:t>
            </w:r>
          </w:p>
        </w:tc>
        <w:tc>
          <w:tcPr>
            <w:tcW w:w="1355" w:type="dxa"/>
            <w:tcBorders>
              <w:top w:val="nil"/>
              <w:left w:val="nil"/>
              <w:bottom w:val="single" w:sz="4" w:space="0" w:color="auto"/>
              <w:right w:val="nil"/>
            </w:tcBorders>
            <w:vAlign w:val="center"/>
            <w:hideMark/>
          </w:tcPr>
          <w:p w14:paraId="4740D468" w14:textId="77777777" w:rsidR="007A6A1A" w:rsidRPr="00310C3D" w:rsidRDefault="007A6A1A" w:rsidP="007A6A1A">
            <w:pPr>
              <w:spacing w:after="160"/>
              <w:rPr>
                <w:b/>
                <w:bCs/>
                <w:sz w:val="19"/>
                <w:szCs w:val="19"/>
              </w:rPr>
            </w:pPr>
            <w:r w:rsidRPr="00310C3D">
              <w:rPr>
                <w:b/>
                <w:bCs/>
                <w:sz w:val="19"/>
                <w:szCs w:val="19"/>
              </w:rPr>
              <w:t>Full-time, no paid leave entitlements</w:t>
            </w:r>
          </w:p>
        </w:tc>
        <w:tc>
          <w:tcPr>
            <w:tcW w:w="1355" w:type="dxa"/>
            <w:tcBorders>
              <w:top w:val="nil"/>
              <w:left w:val="nil"/>
              <w:bottom w:val="single" w:sz="4" w:space="0" w:color="auto"/>
              <w:right w:val="nil"/>
            </w:tcBorders>
            <w:vAlign w:val="center"/>
            <w:hideMark/>
          </w:tcPr>
          <w:p w14:paraId="1D217618" w14:textId="77777777" w:rsidR="007A6A1A" w:rsidRPr="00310C3D" w:rsidRDefault="007A6A1A" w:rsidP="007A6A1A">
            <w:pPr>
              <w:spacing w:after="160"/>
              <w:rPr>
                <w:b/>
                <w:bCs/>
                <w:sz w:val="19"/>
                <w:szCs w:val="19"/>
              </w:rPr>
            </w:pPr>
            <w:r w:rsidRPr="00310C3D">
              <w:rPr>
                <w:b/>
                <w:bCs/>
                <w:sz w:val="19"/>
                <w:szCs w:val="19"/>
              </w:rPr>
              <w:t>Part-time, with paid leave entitlements</w:t>
            </w:r>
          </w:p>
        </w:tc>
        <w:tc>
          <w:tcPr>
            <w:tcW w:w="1355" w:type="dxa"/>
            <w:tcBorders>
              <w:top w:val="nil"/>
              <w:left w:val="nil"/>
              <w:bottom w:val="single" w:sz="4" w:space="0" w:color="auto"/>
              <w:right w:val="nil"/>
            </w:tcBorders>
            <w:vAlign w:val="center"/>
            <w:hideMark/>
          </w:tcPr>
          <w:p w14:paraId="27BC482B" w14:textId="77777777" w:rsidR="007A6A1A" w:rsidRPr="00310C3D" w:rsidRDefault="007A6A1A" w:rsidP="007A6A1A">
            <w:pPr>
              <w:spacing w:after="160"/>
              <w:rPr>
                <w:b/>
                <w:bCs/>
                <w:sz w:val="19"/>
                <w:szCs w:val="19"/>
              </w:rPr>
            </w:pPr>
            <w:r w:rsidRPr="00310C3D">
              <w:rPr>
                <w:b/>
                <w:bCs/>
                <w:sz w:val="19"/>
                <w:szCs w:val="19"/>
              </w:rPr>
              <w:t>Part-time, no paid leave entitlements</w:t>
            </w:r>
          </w:p>
        </w:tc>
        <w:tc>
          <w:tcPr>
            <w:tcW w:w="866" w:type="dxa"/>
            <w:tcBorders>
              <w:top w:val="nil"/>
              <w:left w:val="nil"/>
              <w:bottom w:val="single" w:sz="4" w:space="0" w:color="auto"/>
              <w:right w:val="single" w:sz="4" w:space="0" w:color="auto"/>
            </w:tcBorders>
            <w:vAlign w:val="center"/>
            <w:hideMark/>
          </w:tcPr>
          <w:p w14:paraId="7D295E1A" w14:textId="77777777" w:rsidR="007A6A1A" w:rsidRPr="00310C3D" w:rsidRDefault="007A6A1A" w:rsidP="007A6A1A">
            <w:pPr>
              <w:spacing w:after="160"/>
              <w:rPr>
                <w:b/>
                <w:bCs/>
                <w:sz w:val="19"/>
                <w:szCs w:val="19"/>
              </w:rPr>
            </w:pPr>
            <w:r w:rsidRPr="00310C3D">
              <w:rPr>
                <w:b/>
                <w:bCs/>
                <w:sz w:val="19"/>
                <w:szCs w:val="19"/>
              </w:rPr>
              <w:t>Total</w:t>
            </w:r>
          </w:p>
        </w:tc>
      </w:tr>
      <w:tr w:rsidR="007A6A1A" w:rsidRPr="00167CB8" w14:paraId="7D432F5B" w14:textId="77777777" w:rsidTr="00FB75F7">
        <w:trPr>
          <w:trHeight w:val="262"/>
        </w:trPr>
        <w:tc>
          <w:tcPr>
            <w:tcW w:w="1315" w:type="dxa"/>
            <w:tcBorders>
              <w:top w:val="single" w:sz="4" w:space="0" w:color="auto"/>
              <w:left w:val="single" w:sz="4" w:space="0" w:color="auto"/>
              <w:bottom w:val="nil"/>
              <w:right w:val="nil"/>
            </w:tcBorders>
            <w:vAlign w:val="center"/>
            <w:hideMark/>
          </w:tcPr>
          <w:p w14:paraId="64446FC2" w14:textId="77777777" w:rsidR="007A6A1A" w:rsidRPr="00A32741" w:rsidRDefault="007A6A1A" w:rsidP="007A6A1A">
            <w:pPr>
              <w:spacing w:after="160"/>
              <w:rPr>
                <w:sz w:val="20"/>
                <w:szCs w:val="20"/>
              </w:rPr>
            </w:pPr>
            <w:r w:rsidRPr="00A32741">
              <w:rPr>
                <w:sz w:val="20"/>
                <w:szCs w:val="20"/>
              </w:rPr>
              <w:t>Nov-2022 (employed ‘000)</w:t>
            </w:r>
          </w:p>
        </w:tc>
        <w:tc>
          <w:tcPr>
            <w:tcW w:w="1355" w:type="dxa"/>
            <w:tcBorders>
              <w:top w:val="single" w:sz="4" w:space="0" w:color="auto"/>
              <w:left w:val="nil"/>
              <w:bottom w:val="nil"/>
              <w:right w:val="nil"/>
            </w:tcBorders>
            <w:vAlign w:val="center"/>
            <w:hideMark/>
          </w:tcPr>
          <w:p w14:paraId="308042FD" w14:textId="77777777" w:rsidR="007A6A1A" w:rsidRPr="00A32741" w:rsidRDefault="007A6A1A" w:rsidP="007A6A1A">
            <w:pPr>
              <w:spacing w:after="160"/>
              <w:rPr>
                <w:sz w:val="20"/>
                <w:szCs w:val="20"/>
              </w:rPr>
            </w:pPr>
            <w:r w:rsidRPr="00A32741">
              <w:rPr>
                <w:sz w:val="20"/>
                <w:szCs w:val="20"/>
              </w:rPr>
              <w:t>2,826</w:t>
            </w:r>
          </w:p>
        </w:tc>
        <w:tc>
          <w:tcPr>
            <w:tcW w:w="1355" w:type="dxa"/>
            <w:tcBorders>
              <w:top w:val="single" w:sz="4" w:space="0" w:color="auto"/>
              <w:left w:val="nil"/>
              <w:bottom w:val="nil"/>
              <w:right w:val="nil"/>
            </w:tcBorders>
            <w:vAlign w:val="center"/>
            <w:hideMark/>
          </w:tcPr>
          <w:p w14:paraId="4396B1C3" w14:textId="77777777" w:rsidR="007A6A1A" w:rsidRPr="00A32741" w:rsidRDefault="007A6A1A" w:rsidP="007A6A1A">
            <w:pPr>
              <w:spacing w:after="160"/>
              <w:rPr>
                <w:sz w:val="20"/>
                <w:szCs w:val="20"/>
              </w:rPr>
            </w:pPr>
            <w:r w:rsidRPr="00A32741">
              <w:rPr>
                <w:sz w:val="20"/>
                <w:szCs w:val="20"/>
              </w:rPr>
              <w:t>325</w:t>
            </w:r>
          </w:p>
        </w:tc>
        <w:tc>
          <w:tcPr>
            <w:tcW w:w="1355" w:type="dxa"/>
            <w:tcBorders>
              <w:top w:val="single" w:sz="4" w:space="0" w:color="auto"/>
              <w:left w:val="nil"/>
              <w:bottom w:val="nil"/>
              <w:right w:val="nil"/>
            </w:tcBorders>
            <w:vAlign w:val="center"/>
            <w:hideMark/>
          </w:tcPr>
          <w:p w14:paraId="072E551E" w14:textId="77777777" w:rsidR="007A6A1A" w:rsidRPr="00A32741" w:rsidRDefault="007A6A1A" w:rsidP="007A6A1A">
            <w:pPr>
              <w:spacing w:after="160"/>
              <w:rPr>
                <w:sz w:val="20"/>
                <w:szCs w:val="20"/>
              </w:rPr>
            </w:pPr>
            <w:r w:rsidRPr="00A32741">
              <w:rPr>
                <w:sz w:val="20"/>
                <w:szCs w:val="20"/>
              </w:rPr>
              <w:t>1,212</w:t>
            </w:r>
          </w:p>
        </w:tc>
        <w:tc>
          <w:tcPr>
            <w:tcW w:w="1355" w:type="dxa"/>
            <w:tcBorders>
              <w:top w:val="single" w:sz="4" w:space="0" w:color="auto"/>
              <w:left w:val="nil"/>
              <w:bottom w:val="nil"/>
              <w:right w:val="nil"/>
            </w:tcBorders>
            <w:vAlign w:val="center"/>
            <w:hideMark/>
          </w:tcPr>
          <w:p w14:paraId="17841A1F" w14:textId="77777777" w:rsidR="007A6A1A" w:rsidRPr="00A32741" w:rsidRDefault="007A6A1A" w:rsidP="007A6A1A">
            <w:pPr>
              <w:spacing w:after="160"/>
              <w:rPr>
                <w:sz w:val="20"/>
                <w:szCs w:val="20"/>
              </w:rPr>
            </w:pPr>
            <w:r w:rsidRPr="00A32741">
              <w:rPr>
                <w:sz w:val="20"/>
                <w:szCs w:val="20"/>
              </w:rPr>
              <w:t>1,038</w:t>
            </w:r>
          </w:p>
        </w:tc>
        <w:tc>
          <w:tcPr>
            <w:tcW w:w="866" w:type="dxa"/>
            <w:tcBorders>
              <w:top w:val="single" w:sz="4" w:space="0" w:color="auto"/>
              <w:left w:val="nil"/>
              <w:bottom w:val="nil"/>
              <w:right w:val="single" w:sz="4" w:space="0" w:color="auto"/>
            </w:tcBorders>
            <w:vAlign w:val="center"/>
            <w:hideMark/>
          </w:tcPr>
          <w:p w14:paraId="41EACFE8" w14:textId="77777777" w:rsidR="007A6A1A" w:rsidRPr="00A32741" w:rsidRDefault="007A6A1A" w:rsidP="007A6A1A">
            <w:pPr>
              <w:spacing w:after="160"/>
              <w:rPr>
                <w:sz w:val="20"/>
                <w:szCs w:val="20"/>
              </w:rPr>
            </w:pPr>
            <w:r w:rsidRPr="00A32741">
              <w:rPr>
                <w:sz w:val="20"/>
                <w:szCs w:val="20"/>
              </w:rPr>
              <w:t>5,401</w:t>
            </w:r>
          </w:p>
        </w:tc>
        <w:tc>
          <w:tcPr>
            <w:tcW w:w="1355" w:type="dxa"/>
            <w:tcBorders>
              <w:top w:val="single" w:sz="4" w:space="0" w:color="auto"/>
              <w:left w:val="single" w:sz="4" w:space="0" w:color="auto"/>
              <w:bottom w:val="nil"/>
              <w:right w:val="nil"/>
            </w:tcBorders>
            <w:vAlign w:val="center"/>
            <w:hideMark/>
          </w:tcPr>
          <w:p w14:paraId="6836DD68" w14:textId="77777777" w:rsidR="007A6A1A" w:rsidRPr="00A32741" w:rsidRDefault="007A6A1A" w:rsidP="007A6A1A">
            <w:pPr>
              <w:spacing w:after="160"/>
              <w:rPr>
                <w:sz w:val="20"/>
                <w:szCs w:val="20"/>
              </w:rPr>
            </w:pPr>
            <w:r w:rsidRPr="00A32741">
              <w:rPr>
                <w:sz w:val="20"/>
                <w:szCs w:val="20"/>
              </w:rPr>
              <w:t>3,982</w:t>
            </w:r>
          </w:p>
        </w:tc>
        <w:tc>
          <w:tcPr>
            <w:tcW w:w="1355" w:type="dxa"/>
            <w:tcBorders>
              <w:top w:val="single" w:sz="4" w:space="0" w:color="auto"/>
              <w:left w:val="nil"/>
              <w:bottom w:val="nil"/>
              <w:right w:val="nil"/>
            </w:tcBorders>
            <w:vAlign w:val="center"/>
            <w:hideMark/>
          </w:tcPr>
          <w:p w14:paraId="1BD8CEBA" w14:textId="77777777" w:rsidR="007A6A1A" w:rsidRPr="00A32741" w:rsidRDefault="007A6A1A" w:rsidP="007A6A1A">
            <w:pPr>
              <w:spacing w:after="160"/>
              <w:rPr>
                <w:sz w:val="20"/>
                <w:szCs w:val="20"/>
              </w:rPr>
            </w:pPr>
            <w:r w:rsidRPr="00A32741">
              <w:rPr>
                <w:sz w:val="20"/>
                <w:szCs w:val="20"/>
              </w:rPr>
              <w:t>569</w:t>
            </w:r>
          </w:p>
        </w:tc>
        <w:tc>
          <w:tcPr>
            <w:tcW w:w="1355" w:type="dxa"/>
            <w:tcBorders>
              <w:top w:val="single" w:sz="4" w:space="0" w:color="auto"/>
              <w:left w:val="nil"/>
              <w:bottom w:val="nil"/>
              <w:right w:val="nil"/>
            </w:tcBorders>
            <w:vAlign w:val="center"/>
            <w:hideMark/>
          </w:tcPr>
          <w:p w14:paraId="677F7748" w14:textId="77777777" w:rsidR="007A6A1A" w:rsidRPr="00A32741" w:rsidRDefault="007A6A1A" w:rsidP="007A6A1A">
            <w:pPr>
              <w:spacing w:after="160"/>
              <w:rPr>
                <w:sz w:val="20"/>
                <w:szCs w:val="20"/>
              </w:rPr>
            </w:pPr>
            <w:r w:rsidRPr="00A32741">
              <w:rPr>
                <w:sz w:val="20"/>
                <w:szCs w:val="20"/>
              </w:rPr>
              <w:t>362</w:t>
            </w:r>
          </w:p>
        </w:tc>
        <w:tc>
          <w:tcPr>
            <w:tcW w:w="1355" w:type="dxa"/>
            <w:tcBorders>
              <w:top w:val="single" w:sz="4" w:space="0" w:color="auto"/>
              <w:left w:val="nil"/>
              <w:bottom w:val="nil"/>
              <w:right w:val="nil"/>
            </w:tcBorders>
            <w:vAlign w:val="center"/>
            <w:hideMark/>
          </w:tcPr>
          <w:p w14:paraId="200FEA76" w14:textId="77777777" w:rsidR="007A6A1A" w:rsidRPr="00A32741" w:rsidRDefault="007A6A1A" w:rsidP="007A6A1A">
            <w:pPr>
              <w:spacing w:after="160"/>
              <w:rPr>
                <w:sz w:val="20"/>
                <w:szCs w:val="20"/>
              </w:rPr>
            </w:pPr>
            <w:r w:rsidRPr="00A32741">
              <w:rPr>
                <w:sz w:val="20"/>
                <w:szCs w:val="20"/>
              </w:rPr>
              <w:t>601</w:t>
            </w:r>
          </w:p>
        </w:tc>
        <w:tc>
          <w:tcPr>
            <w:tcW w:w="866" w:type="dxa"/>
            <w:tcBorders>
              <w:top w:val="single" w:sz="4" w:space="0" w:color="auto"/>
              <w:left w:val="nil"/>
              <w:bottom w:val="nil"/>
              <w:right w:val="single" w:sz="4" w:space="0" w:color="auto"/>
            </w:tcBorders>
            <w:vAlign w:val="center"/>
            <w:hideMark/>
          </w:tcPr>
          <w:p w14:paraId="1DA27A86" w14:textId="77777777" w:rsidR="007A6A1A" w:rsidRPr="00A32741" w:rsidRDefault="007A6A1A" w:rsidP="007A6A1A">
            <w:pPr>
              <w:spacing w:after="160"/>
              <w:rPr>
                <w:sz w:val="20"/>
                <w:szCs w:val="20"/>
              </w:rPr>
            </w:pPr>
            <w:r w:rsidRPr="00A32741">
              <w:rPr>
                <w:sz w:val="20"/>
                <w:szCs w:val="20"/>
              </w:rPr>
              <w:t>5,513</w:t>
            </w:r>
          </w:p>
        </w:tc>
      </w:tr>
      <w:tr w:rsidR="007A6A1A" w:rsidRPr="00167CB8" w14:paraId="313EEE22" w14:textId="77777777" w:rsidTr="00FB75F7">
        <w:trPr>
          <w:trHeight w:val="262"/>
        </w:trPr>
        <w:tc>
          <w:tcPr>
            <w:tcW w:w="1315" w:type="dxa"/>
            <w:tcBorders>
              <w:top w:val="nil"/>
              <w:left w:val="single" w:sz="4" w:space="0" w:color="auto"/>
              <w:bottom w:val="nil"/>
              <w:right w:val="nil"/>
            </w:tcBorders>
            <w:vAlign w:val="center"/>
            <w:hideMark/>
          </w:tcPr>
          <w:p w14:paraId="157CBD9B" w14:textId="77777777" w:rsidR="007A6A1A" w:rsidRPr="00A32741" w:rsidRDefault="007A6A1A" w:rsidP="007A6A1A">
            <w:pPr>
              <w:spacing w:after="160"/>
              <w:rPr>
                <w:sz w:val="20"/>
                <w:szCs w:val="20"/>
              </w:rPr>
            </w:pPr>
            <w:r w:rsidRPr="00A32741">
              <w:rPr>
                <w:sz w:val="20"/>
                <w:szCs w:val="20"/>
              </w:rPr>
              <w:t>Aug-2024 (employed ‘000)</w:t>
            </w:r>
          </w:p>
        </w:tc>
        <w:tc>
          <w:tcPr>
            <w:tcW w:w="1355" w:type="dxa"/>
            <w:tcBorders>
              <w:top w:val="nil"/>
              <w:left w:val="nil"/>
              <w:bottom w:val="nil"/>
              <w:right w:val="nil"/>
            </w:tcBorders>
            <w:vAlign w:val="center"/>
            <w:hideMark/>
          </w:tcPr>
          <w:p w14:paraId="6D82AD69" w14:textId="77777777" w:rsidR="007A6A1A" w:rsidRPr="00A32741" w:rsidRDefault="007A6A1A" w:rsidP="007A6A1A">
            <w:pPr>
              <w:spacing w:after="160"/>
              <w:rPr>
                <w:sz w:val="20"/>
                <w:szCs w:val="20"/>
              </w:rPr>
            </w:pPr>
            <w:r w:rsidRPr="00A32741">
              <w:rPr>
                <w:sz w:val="20"/>
                <w:szCs w:val="20"/>
              </w:rPr>
              <w:t>3,022</w:t>
            </w:r>
          </w:p>
        </w:tc>
        <w:tc>
          <w:tcPr>
            <w:tcW w:w="1355" w:type="dxa"/>
            <w:tcBorders>
              <w:top w:val="nil"/>
              <w:left w:val="nil"/>
              <w:bottom w:val="nil"/>
              <w:right w:val="nil"/>
            </w:tcBorders>
            <w:vAlign w:val="center"/>
            <w:hideMark/>
          </w:tcPr>
          <w:p w14:paraId="494387A2" w14:textId="77777777" w:rsidR="007A6A1A" w:rsidRPr="00A32741" w:rsidRDefault="007A6A1A" w:rsidP="007A6A1A">
            <w:pPr>
              <w:spacing w:after="160"/>
              <w:rPr>
                <w:sz w:val="20"/>
                <w:szCs w:val="20"/>
              </w:rPr>
            </w:pPr>
            <w:r w:rsidRPr="00A32741">
              <w:rPr>
                <w:sz w:val="20"/>
                <w:szCs w:val="20"/>
              </w:rPr>
              <w:t>305</w:t>
            </w:r>
          </w:p>
        </w:tc>
        <w:tc>
          <w:tcPr>
            <w:tcW w:w="1355" w:type="dxa"/>
            <w:tcBorders>
              <w:top w:val="nil"/>
              <w:left w:val="nil"/>
              <w:bottom w:val="nil"/>
              <w:right w:val="nil"/>
            </w:tcBorders>
            <w:vAlign w:val="center"/>
            <w:hideMark/>
          </w:tcPr>
          <w:p w14:paraId="3EB740AC" w14:textId="77777777" w:rsidR="007A6A1A" w:rsidRPr="00A32741" w:rsidRDefault="007A6A1A" w:rsidP="007A6A1A">
            <w:pPr>
              <w:spacing w:after="160"/>
              <w:rPr>
                <w:sz w:val="20"/>
                <w:szCs w:val="20"/>
              </w:rPr>
            </w:pPr>
            <w:r w:rsidRPr="00A32741">
              <w:rPr>
                <w:sz w:val="20"/>
                <w:szCs w:val="20"/>
              </w:rPr>
              <w:t>1,306</w:t>
            </w:r>
          </w:p>
        </w:tc>
        <w:tc>
          <w:tcPr>
            <w:tcW w:w="1355" w:type="dxa"/>
            <w:tcBorders>
              <w:top w:val="nil"/>
              <w:left w:val="nil"/>
              <w:bottom w:val="nil"/>
              <w:right w:val="nil"/>
            </w:tcBorders>
            <w:vAlign w:val="center"/>
            <w:hideMark/>
          </w:tcPr>
          <w:p w14:paraId="1738D2C4" w14:textId="77777777" w:rsidR="007A6A1A" w:rsidRPr="00A32741" w:rsidRDefault="007A6A1A" w:rsidP="007A6A1A">
            <w:pPr>
              <w:spacing w:after="160"/>
              <w:rPr>
                <w:sz w:val="20"/>
                <w:szCs w:val="20"/>
              </w:rPr>
            </w:pPr>
            <w:r w:rsidRPr="00A32741">
              <w:rPr>
                <w:sz w:val="20"/>
                <w:szCs w:val="20"/>
              </w:rPr>
              <w:t>1,018</w:t>
            </w:r>
          </w:p>
        </w:tc>
        <w:tc>
          <w:tcPr>
            <w:tcW w:w="866" w:type="dxa"/>
            <w:tcBorders>
              <w:top w:val="nil"/>
              <w:left w:val="nil"/>
              <w:bottom w:val="nil"/>
              <w:right w:val="single" w:sz="4" w:space="0" w:color="auto"/>
            </w:tcBorders>
            <w:vAlign w:val="center"/>
            <w:hideMark/>
          </w:tcPr>
          <w:p w14:paraId="79FA593B" w14:textId="77777777" w:rsidR="007A6A1A" w:rsidRPr="00A32741" w:rsidRDefault="007A6A1A" w:rsidP="007A6A1A">
            <w:pPr>
              <w:spacing w:after="160"/>
              <w:rPr>
                <w:sz w:val="20"/>
                <w:szCs w:val="20"/>
              </w:rPr>
            </w:pPr>
            <w:r w:rsidRPr="00A32741">
              <w:rPr>
                <w:sz w:val="20"/>
                <w:szCs w:val="20"/>
              </w:rPr>
              <w:t>5,652</w:t>
            </w:r>
          </w:p>
        </w:tc>
        <w:tc>
          <w:tcPr>
            <w:tcW w:w="1355" w:type="dxa"/>
            <w:tcBorders>
              <w:top w:val="nil"/>
              <w:left w:val="single" w:sz="4" w:space="0" w:color="auto"/>
              <w:bottom w:val="nil"/>
              <w:right w:val="nil"/>
            </w:tcBorders>
            <w:vAlign w:val="center"/>
            <w:hideMark/>
          </w:tcPr>
          <w:p w14:paraId="143E16D6" w14:textId="77777777" w:rsidR="007A6A1A" w:rsidRPr="00A32741" w:rsidRDefault="007A6A1A" w:rsidP="007A6A1A">
            <w:pPr>
              <w:spacing w:after="160"/>
              <w:rPr>
                <w:sz w:val="20"/>
                <w:szCs w:val="20"/>
              </w:rPr>
            </w:pPr>
            <w:r w:rsidRPr="00A32741">
              <w:rPr>
                <w:sz w:val="20"/>
                <w:szCs w:val="20"/>
              </w:rPr>
              <w:t>4,120</w:t>
            </w:r>
          </w:p>
        </w:tc>
        <w:tc>
          <w:tcPr>
            <w:tcW w:w="1355" w:type="dxa"/>
            <w:tcBorders>
              <w:top w:val="nil"/>
              <w:left w:val="nil"/>
              <w:bottom w:val="nil"/>
              <w:right w:val="nil"/>
            </w:tcBorders>
            <w:vAlign w:val="center"/>
            <w:hideMark/>
          </w:tcPr>
          <w:p w14:paraId="2CFEC086" w14:textId="77777777" w:rsidR="007A6A1A" w:rsidRPr="00A32741" w:rsidRDefault="007A6A1A" w:rsidP="007A6A1A">
            <w:pPr>
              <w:spacing w:after="160"/>
              <w:rPr>
                <w:sz w:val="20"/>
                <w:szCs w:val="20"/>
              </w:rPr>
            </w:pPr>
            <w:r w:rsidRPr="00A32741">
              <w:rPr>
                <w:sz w:val="20"/>
                <w:szCs w:val="20"/>
              </w:rPr>
              <w:t>508</w:t>
            </w:r>
          </w:p>
        </w:tc>
        <w:tc>
          <w:tcPr>
            <w:tcW w:w="1355" w:type="dxa"/>
            <w:tcBorders>
              <w:top w:val="nil"/>
              <w:left w:val="nil"/>
              <w:bottom w:val="nil"/>
              <w:right w:val="nil"/>
            </w:tcBorders>
            <w:vAlign w:val="center"/>
            <w:hideMark/>
          </w:tcPr>
          <w:p w14:paraId="442C91AC" w14:textId="77777777" w:rsidR="007A6A1A" w:rsidRPr="00A32741" w:rsidRDefault="007A6A1A" w:rsidP="007A6A1A">
            <w:pPr>
              <w:spacing w:after="160"/>
              <w:rPr>
                <w:sz w:val="20"/>
                <w:szCs w:val="20"/>
              </w:rPr>
            </w:pPr>
            <w:r w:rsidRPr="00A32741">
              <w:rPr>
                <w:sz w:val="20"/>
                <w:szCs w:val="20"/>
              </w:rPr>
              <w:t>412</w:t>
            </w:r>
          </w:p>
        </w:tc>
        <w:tc>
          <w:tcPr>
            <w:tcW w:w="1355" w:type="dxa"/>
            <w:tcBorders>
              <w:top w:val="nil"/>
              <w:left w:val="nil"/>
              <w:bottom w:val="nil"/>
              <w:right w:val="nil"/>
            </w:tcBorders>
            <w:vAlign w:val="center"/>
            <w:hideMark/>
          </w:tcPr>
          <w:p w14:paraId="7CDD47C6" w14:textId="77777777" w:rsidR="007A6A1A" w:rsidRPr="00A32741" w:rsidRDefault="007A6A1A" w:rsidP="007A6A1A">
            <w:pPr>
              <w:spacing w:after="160"/>
              <w:rPr>
                <w:sz w:val="20"/>
                <w:szCs w:val="20"/>
              </w:rPr>
            </w:pPr>
            <w:r w:rsidRPr="00A32741">
              <w:rPr>
                <w:sz w:val="20"/>
                <w:szCs w:val="20"/>
              </w:rPr>
              <w:t>689</w:t>
            </w:r>
          </w:p>
        </w:tc>
        <w:tc>
          <w:tcPr>
            <w:tcW w:w="866" w:type="dxa"/>
            <w:tcBorders>
              <w:top w:val="nil"/>
              <w:left w:val="nil"/>
              <w:bottom w:val="nil"/>
              <w:right w:val="single" w:sz="4" w:space="0" w:color="auto"/>
            </w:tcBorders>
            <w:vAlign w:val="center"/>
            <w:hideMark/>
          </w:tcPr>
          <w:p w14:paraId="50178465" w14:textId="77777777" w:rsidR="007A6A1A" w:rsidRPr="00A32741" w:rsidRDefault="007A6A1A" w:rsidP="007A6A1A">
            <w:pPr>
              <w:spacing w:after="160"/>
              <w:rPr>
                <w:sz w:val="20"/>
                <w:szCs w:val="20"/>
              </w:rPr>
            </w:pPr>
            <w:r w:rsidRPr="00A32741">
              <w:rPr>
                <w:sz w:val="20"/>
                <w:szCs w:val="20"/>
              </w:rPr>
              <w:t>5,729</w:t>
            </w:r>
          </w:p>
        </w:tc>
      </w:tr>
      <w:tr w:rsidR="007A6A1A" w:rsidRPr="00167CB8" w14:paraId="026A6497" w14:textId="77777777" w:rsidTr="00FB75F7">
        <w:trPr>
          <w:trHeight w:val="335"/>
        </w:trPr>
        <w:tc>
          <w:tcPr>
            <w:tcW w:w="1315" w:type="dxa"/>
            <w:tcBorders>
              <w:top w:val="nil"/>
              <w:left w:val="single" w:sz="4" w:space="0" w:color="auto"/>
              <w:bottom w:val="single" w:sz="4" w:space="0" w:color="auto"/>
              <w:right w:val="nil"/>
            </w:tcBorders>
            <w:vAlign w:val="center"/>
            <w:hideMark/>
          </w:tcPr>
          <w:p w14:paraId="56426737" w14:textId="77777777" w:rsidR="007A6A1A" w:rsidRPr="00A32741" w:rsidRDefault="007A6A1A" w:rsidP="007A6A1A">
            <w:pPr>
              <w:spacing w:after="160"/>
              <w:rPr>
                <w:sz w:val="20"/>
                <w:szCs w:val="20"/>
              </w:rPr>
            </w:pPr>
            <w:r w:rsidRPr="00A32741">
              <w:rPr>
                <w:sz w:val="20"/>
                <w:szCs w:val="20"/>
              </w:rPr>
              <w:t>% change</w:t>
            </w:r>
          </w:p>
        </w:tc>
        <w:tc>
          <w:tcPr>
            <w:tcW w:w="1355" w:type="dxa"/>
            <w:tcBorders>
              <w:top w:val="nil"/>
              <w:left w:val="nil"/>
              <w:bottom w:val="single" w:sz="4" w:space="0" w:color="auto"/>
              <w:right w:val="nil"/>
            </w:tcBorders>
            <w:vAlign w:val="center"/>
            <w:hideMark/>
          </w:tcPr>
          <w:p w14:paraId="4C7E9327" w14:textId="77777777" w:rsidR="007A6A1A" w:rsidRPr="00A32741" w:rsidRDefault="007A6A1A" w:rsidP="007A6A1A">
            <w:pPr>
              <w:spacing w:after="160"/>
              <w:rPr>
                <w:sz w:val="20"/>
                <w:szCs w:val="20"/>
              </w:rPr>
            </w:pPr>
            <w:r w:rsidRPr="00A32741">
              <w:rPr>
                <w:sz w:val="20"/>
                <w:szCs w:val="20"/>
              </w:rPr>
              <w:t>7.0%</w:t>
            </w:r>
          </w:p>
        </w:tc>
        <w:tc>
          <w:tcPr>
            <w:tcW w:w="1355" w:type="dxa"/>
            <w:tcBorders>
              <w:top w:val="nil"/>
              <w:left w:val="nil"/>
              <w:bottom w:val="single" w:sz="4" w:space="0" w:color="auto"/>
              <w:right w:val="nil"/>
            </w:tcBorders>
            <w:vAlign w:val="center"/>
            <w:hideMark/>
          </w:tcPr>
          <w:p w14:paraId="2EE027C5" w14:textId="77777777" w:rsidR="007A6A1A" w:rsidRPr="00A32741" w:rsidRDefault="007A6A1A" w:rsidP="007A6A1A">
            <w:pPr>
              <w:spacing w:after="160"/>
              <w:rPr>
                <w:sz w:val="20"/>
                <w:szCs w:val="20"/>
              </w:rPr>
            </w:pPr>
            <w:r w:rsidRPr="00A32741">
              <w:rPr>
                <w:sz w:val="20"/>
                <w:szCs w:val="20"/>
              </w:rPr>
              <w:t>-6.1%</w:t>
            </w:r>
          </w:p>
        </w:tc>
        <w:tc>
          <w:tcPr>
            <w:tcW w:w="1355" w:type="dxa"/>
            <w:tcBorders>
              <w:top w:val="nil"/>
              <w:left w:val="nil"/>
              <w:bottom w:val="single" w:sz="4" w:space="0" w:color="auto"/>
              <w:right w:val="nil"/>
            </w:tcBorders>
            <w:vAlign w:val="center"/>
            <w:hideMark/>
          </w:tcPr>
          <w:p w14:paraId="686279EB" w14:textId="77777777" w:rsidR="007A6A1A" w:rsidRPr="00A32741" w:rsidRDefault="007A6A1A" w:rsidP="007A6A1A">
            <w:pPr>
              <w:spacing w:after="160"/>
              <w:rPr>
                <w:sz w:val="20"/>
                <w:szCs w:val="20"/>
              </w:rPr>
            </w:pPr>
            <w:r w:rsidRPr="00A32741">
              <w:rPr>
                <w:sz w:val="20"/>
                <w:szCs w:val="20"/>
              </w:rPr>
              <w:t>7.7%</w:t>
            </w:r>
          </w:p>
        </w:tc>
        <w:tc>
          <w:tcPr>
            <w:tcW w:w="1355" w:type="dxa"/>
            <w:tcBorders>
              <w:top w:val="nil"/>
              <w:left w:val="nil"/>
              <w:bottom w:val="single" w:sz="4" w:space="0" w:color="auto"/>
              <w:right w:val="nil"/>
            </w:tcBorders>
            <w:vAlign w:val="center"/>
            <w:hideMark/>
          </w:tcPr>
          <w:p w14:paraId="24EC25E8" w14:textId="77777777" w:rsidR="007A6A1A" w:rsidRPr="00A32741" w:rsidRDefault="007A6A1A" w:rsidP="007A6A1A">
            <w:pPr>
              <w:spacing w:after="160"/>
              <w:rPr>
                <w:sz w:val="20"/>
                <w:szCs w:val="20"/>
              </w:rPr>
            </w:pPr>
            <w:r w:rsidRPr="00A32741">
              <w:rPr>
                <w:sz w:val="20"/>
                <w:szCs w:val="20"/>
              </w:rPr>
              <w:t>-1.9%</w:t>
            </w:r>
          </w:p>
        </w:tc>
        <w:tc>
          <w:tcPr>
            <w:tcW w:w="866" w:type="dxa"/>
            <w:tcBorders>
              <w:top w:val="nil"/>
              <w:left w:val="nil"/>
              <w:bottom w:val="single" w:sz="4" w:space="0" w:color="auto"/>
              <w:right w:val="single" w:sz="4" w:space="0" w:color="auto"/>
            </w:tcBorders>
            <w:vAlign w:val="center"/>
            <w:hideMark/>
          </w:tcPr>
          <w:p w14:paraId="12770096" w14:textId="77777777" w:rsidR="007A6A1A" w:rsidRPr="00A32741" w:rsidRDefault="007A6A1A" w:rsidP="007A6A1A">
            <w:pPr>
              <w:spacing w:after="160"/>
              <w:rPr>
                <w:sz w:val="20"/>
                <w:szCs w:val="20"/>
              </w:rPr>
            </w:pPr>
            <w:r w:rsidRPr="00A32741">
              <w:rPr>
                <w:sz w:val="20"/>
                <w:szCs w:val="20"/>
              </w:rPr>
              <w:t>4.6%</w:t>
            </w:r>
          </w:p>
        </w:tc>
        <w:tc>
          <w:tcPr>
            <w:tcW w:w="1355" w:type="dxa"/>
            <w:tcBorders>
              <w:top w:val="nil"/>
              <w:left w:val="single" w:sz="4" w:space="0" w:color="auto"/>
              <w:bottom w:val="single" w:sz="4" w:space="0" w:color="auto"/>
              <w:right w:val="nil"/>
            </w:tcBorders>
            <w:vAlign w:val="center"/>
            <w:hideMark/>
          </w:tcPr>
          <w:p w14:paraId="7A5E4305" w14:textId="77777777" w:rsidR="007A6A1A" w:rsidRPr="00A32741" w:rsidRDefault="007A6A1A" w:rsidP="007A6A1A">
            <w:pPr>
              <w:spacing w:after="160"/>
              <w:rPr>
                <w:sz w:val="20"/>
                <w:szCs w:val="20"/>
              </w:rPr>
            </w:pPr>
            <w:r w:rsidRPr="00A32741">
              <w:rPr>
                <w:sz w:val="20"/>
                <w:szCs w:val="20"/>
              </w:rPr>
              <w:t>3.5%</w:t>
            </w:r>
          </w:p>
        </w:tc>
        <w:tc>
          <w:tcPr>
            <w:tcW w:w="1355" w:type="dxa"/>
            <w:tcBorders>
              <w:top w:val="nil"/>
              <w:left w:val="nil"/>
              <w:bottom w:val="single" w:sz="4" w:space="0" w:color="auto"/>
              <w:right w:val="nil"/>
            </w:tcBorders>
            <w:vAlign w:val="center"/>
            <w:hideMark/>
          </w:tcPr>
          <w:p w14:paraId="0D3E106E" w14:textId="77777777" w:rsidR="007A6A1A" w:rsidRPr="00A32741" w:rsidRDefault="007A6A1A" w:rsidP="007A6A1A">
            <w:pPr>
              <w:spacing w:after="160"/>
              <w:rPr>
                <w:sz w:val="20"/>
                <w:szCs w:val="20"/>
              </w:rPr>
            </w:pPr>
            <w:r w:rsidRPr="00A32741">
              <w:rPr>
                <w:sz w:val="20"/>
                <w:szCs w:val="20"/>
              </w:rPr>
              <w:t>-10.6%</w:t>
            </w:r>
          </w:p>
        </w:tc>
        <w:tc>
          <w:tcPr>
            <w:tcW w:w="1355" w:type="dxa"/>
            <w:tcBorders>
              <w:top w:val="nil"/>
              <w:left w:val="nil"/>
              <w:bottom w:val="single" w:sz="4" w:space="0" w:color="auto"/>
              <w:right w:val="nil"/>
            </w:tcBorders>
            <w:vAlign w:val="center"/>
            <w:hideMark/>
          </w:tcPr>
          <w:p w14:paraId="2108F7F2" w14:textId="77777777" w:rsidR="007A6A1A" w:rsidRPr="00A32741" w:rsidRDefault="007A6A1A" w:rsidP="007A6A1A">
            <w:pPr>
              <w:spacing w:after="160"/>
              <w:rPr>
                <w:sz w:val="20"/>
                <w:szCs w:val="20"/>
              </w:rPr>
            </w:pPr>
            <w:r w:rsidRPr="00A32741">
              <w:rPr>
                <w:sz w:val="20"/>
                <w:szCs w:val="20"/>
              </w:rPr>
              <w:t>13.8%</w:t>
            </w:r>
          </w:p>
        </w:tc>
        <w:tc>
          <w:tcPr>
            <w:tcW w:w="1355" w:type="dxa"/>
            <w:tcBorders>
              <w:top w:val="nil"/>
              <w:left w:val="nil"/>
              <w:bottom w:val="single" w:sz="4" w:space="0" w:color="auto"/>
              <w:right w:val="nil"/>
            </w:tcBorders>
            <w:vAlign w:val="center"/>
            <w:hideMark/>
          </w:tcPr>
          <w:p w14:paraId="701CCA4A" w14:textId="77777777" w:rsidR="007A6A1A" w:rsidRPr="00A32741" w:rsidRDefault="007A6A1A" w:rsidP="007A6A1A">
            <w:pPr>
              <w:spacing w:after="160"/>
              <w:rPr>
                <w:sz w:val="20"/>
                <w:szCs w:val="20"/>
              </w:rPr>
            </w:pPr>
            <w:r w:rsidRPr="00A32741">
              <w:rPr>
                <w:sz w:val="20"/>
                <w:szCs w:val="20"/>
              </w:rPr>
              <w:t>14.7%</w:t>
            </w:r>
          </w:p>
        </w:tc>
        <w:tc>
          <w:tcPr>
            <w:tcW w:w="866" w:type="dxa"/>
            <w:tcBorders>
              <w:top w:val="nil"/>
              <w:left w:val="nil"/>
              <w:bottom w:val="single" w:sz="4" w:space="0" w:color="auto"/>
              <w:right w:val="single" w:sz="4" w:space="0" w:color="auto"/>
            </w:tcBorders>
            <w:vAlign w:val="center"/>
            <w:hideMark/>
          </w:tcPr>
          <w:p w14:paraId="1B896EBF" w14:textId="77777777" w:rsidR="007A6A1A" w:rsidRPr="00A32741" w:rsidRDefault="007A6A1A" w:rsidP="007A6A1A">
            <w:pPr>
              <w:spacing w:after="160"/>
              <w:rPr>
                <w:sz w:val="20"/>
                <w:szCs w:val="20"/>
              </w:rPr>
            </w:pPr>
            <w:r w:rsidRPr="00A32741">
              <w:rPr>
                <w:sz w:val="20"/>
                <w:szCs w:val="20"/>
              </w:rPr>
              <w:t>3.9%</w:t>
            </w:r>
          </w:p>
        </w:tc>
      </w:tr>
      <w:tr w:rsidR="00FB75F7" w:rsidRPr="00167CB8" w14:paraId="6CE8A8A2" w14:textId="77777777" w:rsidTr="00FB75F7">
        <w:trPr>
          <w:trHeight w:val="262"/>
        </w:trPr>
        <w:tc>
          <w:tcPr>
            <w:tcW w:w="5380" w:type="dxa"/>
            <w:gridSpan w:val="4"/>
            <w:tcBorders>
              <w:top w:val="single" w:sz="4" w:space="0" w:color="auto"/>
              <w:left w:val="single" w:sz="4" w:space="0" w:color="auto"/>
              <w:bottom w:val="nil"/>
              <w:right w:val="nil"/>
            </w:tcBorders>
            <w:vAlign w:val="center"/>
            <w:hideMark/>
          </w:tcPr>
          <w:p w14:paraId="367474F3" w14:textId="1665A5B5" w:rsidR="00FB75F7" w:rsidRPr="00A32741" w:rsidRDefault="00FB75F7" w:rsidP="007A6A1A">
            <w:pPr>
              <w:spacing w:after="160"/>
              <w:rPr>
                <w:sz w:val="20"/>
                <w:szCs w:val="20"/>
              </w:rPr>
            </w:pPr>
            <w:r w:rsidRPr="00A32741">
              <w:rPr>
                <w:sz w:val="20"/>
                <w:szCs w:val="20"/>
              </w:rPr>
              <w:t>Row % share of each employment group</w:t>
            </w:r>
          </w:p>
        </w:tc>
        <w:tc>
          <w:tcPr>
            <w:tcW w:w="1355" w:type="dxa"/>
            <w:tcBorders>
              <w:top w:val="single" w:sz="4" w:space="0" w:color="auto"/>
              <w:left w:val="nil"/>
              <w:bottom w:val="nil"/>
              <w:right w:val="nil"/>
            </w:tcBorders>
            <w:vAlign w:val="center"/>
            <w:hideMark/>
          </w:tcPr>
          <w:p w14:paraId="2CB7656C" w14:textId="77777777" w:rsidR="00FB75F7" w:rsidRPr="00A32741" w:rsidRDefault="00FB75F7" w:rsidP="007A6A1A">
            <w:pPr>
              <w:spacing w:after="160"/>
              <w:rPr>
                <w:sz w:val="20"/>
                <w:szCs w:val="20"/>
              </w:rPr>
            </w:pPr>
          </w:p>
        </w:tc>
        <w:tc>
          <w:tcPr>
            <w:tcW w:w="866" w:type="dxa"/>
            <w:tcBorders>
              <w:top w:val="single" w:sz="4" w:space="0" w:color="auto"/>
              <w:left w:val="nil"/>
              <w:bottom w:val="nil"/>
              <w:right w:val="single" w:sz="4" w:space="0" w:color="auto"/>
            </w:tcBorders>
            <w:vAlign w:val="center"/>
            <w:hideMark/>
          </w:tcPr>
          <w:p w14:paraId="12BA9D3B" w14:textId="77777777" w:rsidR="00FB75F7" w:rsidRPr="00A32741" w:rsidRDefault="00FB75F7" w:rsidP="007A6A1A">
            <w:pPr>
              <w:spacing w:after="160"/>
              <w:rPr>
                <w:sz w:val="20"/>
                <w:szCs w:val="20"/>
              </w:rPr>
            </w:pPr>
          </w:p>
        </w:tc>
        <w:tc>
          <w:tcPr>
            <w:tcW w:w="1355" w:type="dxa"/>
            <w:tcBorders>
              <w:top w:val="single" w:sz="4" w:space="0" w:color="auto"/>
              <w:left w:val="single" w:sz="4" w:space="0" w:color="auto"/>
              <w:bottom w:val="nil"/>
              <w:right w:val="nil"/>
            </w:tcBorders>
            <w:vAlign w:val="center"/>
            <w:hideMark/>
          </w:tcPr>
          <w:p w14:paraId="1C2E8E5E" w14:textId="77777777" w:rsidR="00FB75F7" w:rsidRPr="00A32741" w:rsidRDefault="00FB75F7" w:rsidP="007A6A1A">
            <w:pPr>
              <w:spacing w:after="160"/>
              <w:rPr>
                <w:sz w:val="20"/>
                <w:szCs w:val="20"/>
              </w:rPr>
            </w:pPr>
          </w:p>
        </w:tc>
        <w:tc>
          <w:tcPr>
            <w:tcW w:w="1355" w:type="dxa"/>
            <w:tcBorders>
              <w:top w:val="single" w:sz="4" w:space="0" w:color="auto"/>
              <w:left w:val="nil"/>
              <w:bottom w:val="nil"/>
              <w:right w:val="nil"/>
            </w:tcBorders>
            <w:vAlign w:val="center"/>
            <w:hideMark/>
          </w:tcPr>
          <w:p w14:paraId="41186CE3" w14:textId="77777777" w:rsidR="00FB75F7" w:rsidRPr="00A32741" w:rsidRDefault="00FB75F7" w:rsidP="007A6A1A">
            <w:pPr>
              <w:spacing w:after="160"/>
              <w:rPr>
                <w:sz w:val="20"/>
                <w:szCs w:val="20"/>
              </w:rPr>
            </w:pPr>
          </w:p>
        </w:tc>
        <w:tc>
          <w:tcPr>
            <w:tcW w:w="1355" w:type="dxa"/>
            <w:tcBorders>
              <w:top w:val="single" w:sz="4" w:space="0" w:color="auto"/>
              <w:left w:val="nil"/>
              <w:bottom w:val="nil"/>
              <w:right w:val="nil"/>
            </w:tcBorders>
            <w:vAlign w:val="center"/>
            <w:hideMark/>
          </w:tcPr>
          <w:p w14:paraId="611617E8" w14:textId="77777777" w:rsidR="00FB75F7" w:rsidRPr="00A32741" w:rsidRDefault="00FB75F7" w:rsidP="007A6A1A">
            <w:pPr>
              <w:spacing w:after="160"/>
              <w:rPr>
                <w:sz w:val="20"/>
                <w:szCs w:val="20"/>
              </w:rPr>
            </w:pPr>
          </w:p>
        </w:tc>
        <w:tc>
          <w:tcPr>
            <w:tcW w:w="1355" w:type="dxa"/>
            <w:tcBorders>
              <w:top w:val="single" w:sz="4" w:space="0" w:color="auto"/>
              <w:left w:val="nil"/>
              <w:bottom w:val="nil"/>
              <w:right w:val="nil"/>
            </w:tcBorders>
            <w:vAlign w:val="center"/>
            <w:hideMark/>
          </w:tcPr>
          <w:p w14:paraId="279FF826" w14:textId="77777777" w:rsidR="00FB75F7" w:rsidRPr="00A32741" w:rsidRDefault="00FB75F7" w:rsidP="007A6A1A">
            <w:pPr>
              <w:spacing w:after="160"/>
              <w:rPr>
                <w:sz w:val="20"/>
                <w:szCs w:val="20"/>
              </w:rPr>
            </w:pPr>
          </w:p>
        </w:tc>
        <w:tc>
          <w:tcPr>
            <w:tcW w:w="866" w:type="dxa"/>
            <w:tcBorders>
              <w:top w:val="single" w:sz="4" w:space="0" w:color="auto"/>
              <w:left w:val="nil"/>
              <w:bottom w:val="nil"/>
              <w:right w:val="single" w:sz="4" w:space="0" w:color="auto"/>
            </w:tcBorders>
            <w:vAlign w:val="center"/>
            <w:hideMark/>
          </w:tcPr>
          <w:p w14:paraId="3EFF8D9D" w14:textId="77777777" w:rsidR="00FB75F7" w:rsidRPr="00A32741" w:rsidRDefault="00FB75F7" w:rsidP="007A6A1A">
            <w:pPr>
              <w:spacing w:after="160"/>
              <w:rPr>
                <w:sz w:val="20"/>
                <w:szCs w:val="20"/>
              </w:rPr>
            </w:pPr>
          </w:p>
        </w:tc>
      </w:tr>
      <w:tr w:rsidR="007A6A1A" w:rsidRPr="00167CB8" w14:paraId="5DC9E098" w14:textId="77777777" w:rsidTr="00FB75F7">
        <w:trPr>
          <w:trHeight w:val="443"/>
        </w:trPr>
        <w:tc>
          <w:tcPr>
            <w:tcW w:w="1315" w:type="dxa"/>
            <w:tcBorders>
              <w:top w:val="nil"/>
              <w:left w:val="single" w:sz="4" w:space="0" w:color="auto"/>
              <w:bottom w:val="nil"/>
              <w:right w:val="nil"/>
            </w:tcBorders>
            <w:vAlign w:val="center"/>
            <w:hideMark/>
          </w:tcPr>
          <w:p w14:paraId="349A3E92" w14:textId="77777777" w:rsidR="007A6A1A" w:rsidRPr="00A32741" w:rsidRDefault="007A6A1A" w:rsidP="007A6A1A">
            <w:pPr>
              <w:spacing w:after="160"/>
              <w:rPr>
                <w:sz w:val="20"/>
                <w:szCs w:val="20"/>
              </w:rPr>
            </w:pPr>
            <w:r w:rsidRPr="00A32741">
              <w:rPr>
                <w:sz w:val="20"/>
                <w:szCs w:val="20"/>
              </w:rPr>
              <w:t>Nov-2022</w:t>
            </w:r>
          </w:p>
        </w:tc>
        <w:tc>
          <w:tcPr>
            <w:tcW w:w="1355" w:type="dxa"/>
            <w:tcBorders>
              <w:top w:val="nil"/>
              <w:left w:val="nil"/>
              <w:bottom w:val="nil"/>
              <w:right w:val="nil"/>
            </w:tcBorders>
            <w:vAlign w:val="center"/>
            <w:hideMark/>
          </w:tcPr>
          <w:p w14:paraId="1C5F3A49" w14:textId="77777777" w:rsidR="007A6A1A" w:rsidRPr="00A32741" w:rsidRDefault="007A6A1A" w:rsidP="007A6A1A">
            <w:pPr>
              <w:spacing w:after="160"/>
              <w:rPr>
                <w:sz w:val="20"/>
                <w:szCs w:val="20"/>
              </w:rPr>
            </w:pPr>
            <w:r w:rsidRPr="00A32741">
              <w:rPr>
                <w:sz w:val="20"/>
                <w:szCs w:val="20"/>
              </w:rPr>
              <w:t>52.3%</w:t>
            </w:r>
          </w:p>
        </w:tc>
        <w:tc>
          <w:tcPr>
            <w:tcW w:w="1355" w:type="dxa"/>
            <w:tcBorders>
              <w:top w:val="nil"/>
              <w:left w:val="nil"/>
              <w:bottom w:val="nil"/>
              <w:right w:val="nil"/>
            </w:tcBorders>
            <w:vAlign w:val="center"/>
            <w:hideMark/>
          </w:tcPr>
          <w:p w14:paraId="0C4BD4CB" w14:textId="77777777" w:rsidR="007A6A1A" w:rsidRPr="00A32741" w:rsidRDefault="007A6A1A" w:rsidP="007A6A1A">
            <w:pPr>
              <w:spacing w:after="160"/>
              <w:rPr>
                <w:sz w:val="20"/>
                <w:szCs w:val="20"/>
              </w:rPr>
            </w:pPr>
            <w:r w:rsidRPr="00A32741">
              <w:rPr>
                <w:sz w:val="20"/>
                <w:szCs w:val="20"/>
              </w:rPr>
              <w:t>6.0%</w:t>
            </w:r>
          </w:p>
        </w:tc>
        <w:tc>
          <w:tcPr>
            <w:tcW w:w="1355" w:type="dxa"/>
            <w:tcBorders>
              <w:top w:val="nil"/>
              <w:left w:val="nil"/>
              <w:bottom w:val="nil"/>
              <w:right w:val="nil"/>
            </w:tcBorders>
            <w:vAlign w:val="center"/>
            <w:hideMark/>
          </w:tcPr>
          <w:p w14:paraId="542F3428" w14:textId="77777777" w:rsidR="007A6A1A" w:rsidRPr="00A32741" w:rsidRDefault="007A6A1A" w:rsidP="007A6A1A">
            <w:pPr>
              <w:spacing w:after="160"/>
              <w:rPr>
                <w:sz w:val="20"/>
                <w:szCs w:val="20"/>
              </w:rPr>
            </w:pPr>
            <w:r w:rsidRPr="00A32741">
              <w:rPr>
                <w:sz w:val="20"/>
                <w:szCs w:val="20"/>
              </w:rPr>
              <w:t>22.4%</w:t>
            </w:r>
          </w:p>
        </w:tc>
        <w:tc>
          <w:tcPr>
            <w:tcW w:w="1355" w:type="dxa"/>
            <w:tcBorders>
              <w:top w:val="nil"/>
              <w:left w:val="nil"/>
              <w:bottom w:val="nil"/>
              <w:right w:val="nil"/>
            </w:tcBorders>
            <w:vAlign w:val="center"/>
            <w:hideMark/>
          </w:tcPr>
          <w:p w14:paraId="31F0B627" w14:textId="77777777" w:rsidR="007A6A1A" w:rsidRPr="00A32741" w:rsidRDefault="007A6A1A" w:rsidP="007A6A1A">
            <w:pPr>
              <w:spacing w:after="160"/>
              <w:rPr>
                <w:sz w:val="20"/>
                <w:szCs w:val="20"/>
              </w:rPr>
            </w:pPr>
            <w:r w:rsidRPr="00A32741">
              <w:rPr>
                <w:sz w:val="20"/>
                <w:szCs w:val="20"/>
              </w:rPr>
              <w:t>19.2%</w:t>
            </w:r>
          </w:p>
        </w:tc>
        <w:tc>
          <w:tcPr>
            <w:tcW w:w="866" w:type="dxa"/>
            <w:tcBorders>
              <w:top w:val="nil"/>
              <w:left w:val="nil"/>
              <w:bottom w:val="nil"/>
              <w:right w:val="single" w:sz="4" w:space="0" w:color="auto"/>
            </w:tcBorders>
            <w:vAlign w:val="center"/>
            <w:hideMark/>
          </w:tcPr>
          <w:p w14:paraId="7A88C4EA" w14:textId="77777777" w:rsidR="007A6A1A" w:rsidRPr="00A32741" w:rsidRDefault="007A6A1A" w:rsidP="007A6A1A">
            <w:pPr>
              <w:spacing w:after="160"/>
              <w:rPr>
                <w:sz w:val="20"/>
                <w:szCs w:val="20"/>
              </w:rPr>
            </w:pPr>
            <w:r w:rsidRPr="00A32741">
              <w:rPr>
                <w:sz w:val="20"/>
                <w:szCs w:val="20"/>
              </w:rPr>
              <w:t>100.0%</w:t>
            </w:r>
          </w:p>
        </w:tc>
        <w:tc>
          <w:tcPr>
            <w:tcW w:w="1355" w:type="dxa"/>
            <w:tcBorders>
              <w:top w:val="nil"/>
              <w:left w:val="single" w:sz="4" w:space="0" w:color="auto"/>
              <w:bottom w:val="nil"/>
              <w:right w:val="nil"/>
            </w:tcBorders>
            <w:vAlign w:val="center"/>
            <w:hideMark/>
          </w:tcPr>
          <w:p w14:paraId="6BF74189" w14:textId="77777777" w:rsidR="007A6A1A" w:rsidRPr="00A32741" w:rsidRDefault="007A6A1A" w:rsidP="007A6A1A">
            <w:pPr>
              <w:spacing w:after="160"/>
              <w:rPr>
                <w:sz w:val="20"/>
                <w:szCs w:val="20"/>
              </w:rPr>
            </w:pPr>
            <w:r w:rsidRPr="00A32741">
              <w:rPr>
                <w:sz w:val="20"/>
                <w:szCs w:val="20"/>
              </w:rPr>
              <w:t>72.2%</w:t>
            </w:r>
          </w:p>
        </w:tc>
        <w:tc>
          <w:tcPr>
            <w:tcW w:w="1355" w:type="dxa"/>
            <w:tcBorders>
              <w:top w:val="nil"/>
              <w:left w:val="nil"/>
              <w:bottom w:val="nil"/>
              <w:right w:val="nil"/>
            </w:tcBorders>
            <w:vAlign w:val="center"/>
            <w:hideMark/>
          </w:tcPr>
          <w:p w14:paraId="079A20C8" w14:textId="77777777" w:rsidR="007A6A1A" w:rsidRPr="00A32741" w:rsidRDefault="007A6A1A" w:rsidP="007A6A1A">
            <w:pPr>
              <w:spacing w:after="160"/>
              <w:rPr>
                <w:sz w:val="20"/>
                <w:szCs w:val="20"/>
              </w:rPr>
            </w:pPr>
            <w:r w:rsidRPr="00A32741">
              <w:rPr>
                <w:sz w:val="20"/>
                <w:szCs w:val="20"/>
              </w:rPr>
              <w:t>10.3%</w:t>
            </w:r>
          </w:p>
        </w:tc>
        <w:tc>
          <w:tcPr>
            <w:tcW w:w="1355" w:type="dxa"/>
            <w:tcBorders>
              <w:top w:val="nil"/>
              <w:left w:val="nil"/>
              <w:bottom w:val="nil"/>
              <w:right w:val="nil"/>
            </w:tcBorders>
            <w:vAlign w:val="center"/>
            <w:hideMark/>
          </w:tcPr>
          <w:p w14:paraId="3EE83D72" w14:textId="77777777" w:rsidR="007A6A1A" w:rsidRPr="00A32741" w:rsidRDefault="007A6A1A" w:rsidP="007A6A1A">
            <w:pPr>
              <w:spacing w:after="160"/>
              <w:rPr>
                <w:sz w:val="20"/>
                <w:szCs w:val="20"/>
              </w:rPr>
            </w:pPr>
            <w:r w:rsidRPr="00A32741">
              <w:rPr>
                <w:sz w:val="20"/>
                <w:szCs w:val="20"/>
              </w:rPr>
              <w:t>6.6%</w:t>
            </w:r>
          </w:p>
        </w:tc>
        <w:tc>
          <w:tcPr>
            <w:tcW w:w="1355" w:type="dxa"/>
            <w:tcBorders>
              <w:top w:val="nil"/>
              <w:left w:val="nil"/>
              <w:bottom w:val="nil"/>
              <w:right w:val="nil"/>
            </w:tcBorders>
            <w:vAlign w:val="center"/>
            <w:hideMark/>
          </w:tcPr>
          <w:p w14:paraId="6E8A1F5E" w14:textId="77777777" w:rsidR="007A6A1A" w:rsidRPr="00A32741" w:rsidRDefault="007A6A1A" w:rsidP="007A6A1A">
            <w:pPr>
              <w:spacing w:after="160"/>
              <w:rPr>
                <w:sz w:val="20"/>
                <w:szCs w:val="20"/>
              </w:rPr>
            </w:pPr>
            <w:r w:rsidRPr="00A32741">
              <w:rPr>
                <w:sz w:val="20"/>
                <w:szCs w:val="20"/>
              </w:rPr>
              <w:t>10.9%</w:t>
            </w:r>
          </w:p>
        </w:tc>
        <w:tc>
          <w:tcPr>
            <w:tcW w:w="866" w:type="dxa"/>
            <w:tcBorders>
              <w:top w:val="nil"/>
              <w:left w:val="nil"/>
              <w:bottom w:val="nil"/>
              <w:right w:val="single" w:sz="4" w:space="0" w:color="auto"/>
            </w:tcBorders>
            <w:vAlign w:val="center"/>
            <w:hideMark/>
          </w:tcPr>
          <w:p w14:paraId="43E25B00" w14:textId="77777777" w:rsidR="007A6A1A" w:rsidRPr="00A32741" w:rsidRDefault="007A6A1A" w:rsidP="007A6A1A">
            <w:pPr>
              <w:spacing w:after="160"/>
              <w:rPr>
                <w:sz w:val="20"/>
                <w:szCs w:val="20"/>
              </w:rPr>
            </w:pPr>
            <w:r w:rsidRPr="00A32741">
              <w:rPr>
                <w:sz w:val="20"/>
                <w:szCs w:val="20"/>
              </w:rPr>
              <w:t>100.0%</w:t>
            </w:r>
          </w:p>
        </w:tc>
      </w:tr>
      <w:tr w:rsidR="007A6A1A" w:rsidRPr="00167CB8" w14:paraId="4F514479" w14:textId="77777777" w:rsidTr="00FB75F7">
        <w:trPr>
          <w:trHeight w:val="420"/>
        </w:trPr>
        <w:tc>
          <w:tcPr>
            <w:tcW w:w="1315" w:type="dxa"/>
            <w:tcBorders>
              <w:top w:val="nil"/>
              <w:left w:val="single" w:sz="4" w:space="0" w:color="auto"/>
              <w:bottom w:val="single" w:sz="4" w:space="0" w:color="auto"/>
              <w:right w:val="nil"/>
            </w:tcBorders>
            <w:vAlign w:val="center"/>
            <w:hideMark/>
          </w:tcPr>
          <w:p w14:paraId="24BA2001" w14:textId="77777777" w:rsidR="007A6A1A" w:rsidRPr="00A32741" w:rsidRDefault="007A6A1A" w:rsidP="007A6A1A">
            <w:pPr>
              <w:spacing w:after="160"/>
              <w:rPr>
                <w:sz w:val="20"/>
                <w:szCs w:val="20"/>
              </w:rPr>
            </w:pPr>
            <w:r w:rsidRPr="00A32741">
              <w:rPr>
                <w:sz w:val="20"/>
                <w:szCs w:val="20"/>
              </w:rPr>
              <w:t>Aug-2024</w:t>
            </w:r>
          </w:p>
        </w:tc>
        <w:tc>
          <w:tcPr>
            <w:tcW w:w="1355" w:type="dxa"/>
            <w:tcBorders>
              <w:top w:val="nil"/>
              <w:left w:val="nil"/>
              <w:bottom w:val="single" w:sz="4" w:space="0" w:color="auto"/>
              <w:right w:val="nil"/>
            </w:tcBorders>
            <w:vAlign w:val="center"/>
            <w:hideMark/>
          </w:tcPr>
          <w:p w14:paraId="136A98B6" w14:textId="77777777" w:rsidR="007A6A1A" w:rsidRPr="00A32741" w:rsidRDefault="007A6A1A" w:rsidP="007A6A1A">
            <w:pPr>
              <w:spacing w:after="160"/>
              <w:rPr>
                <w:sz w:val="20"/>
                <w:szCs w:val="20"/>
              </w:rPr>
            </w:pPr>
            <w:r w:rsidRPr="00A32741">
              <w:rPr>
                <w:sz w:val="20"/>
                <w:szCs w:val="20"/>
              </w:rPr>
              <w:t>53.5%</w:t>
            </w:r>
          </w:p>
        </w:tc>
        <w:tc>
          <w:tcPr>
            <w:tcW w:w="1355" w:type="dxa"/>
            <w:tcBorders>
              <w:top w:val="nil"/>
              <w:left w:val="nil"/>
              <w:bottom w:val="single" w:sz="4" w:space="0" w:color="auto"/>
              <w:right w:val="nil"/>
            </w:tcBorders>
            <w:vAlign w:val="center"/>
            <w:hideMark/>
          </w:tcPr>
          <w:p w14:paraId="7B71497E" w14:textId="77777777" w:rsidR="007A6A1A" w:rsidRPr="00A32741" w:rsidRDefault="007A6A1A" w:rsidP="007A6A1A">
            <w:pPr>
              <w:spacing w:after="160"/>
              <w:rPr>
                <w:sz w:val="20"/>
                <w:szCs w:val="20"/>
              </w:rPr>
            </w:pPr>
            <w:r w:rsidRPr="00A32741">
              <w:rPr>
                <w:sz w:val="20"/>
                <w:szCs w:val="20"/>
              </w:rPr>
              <w:t>5.4%</w:t>
            </w:r>
          </w:p>
        </w:tc>
        <w:tc>
          <w:tcPr>
            <w:tcW w:w="1355" w:type="dxa"/>
            <w:tcBorders>
              <w:top w:val="nil"/>
              <w:left w:val="nil"/>
              <w:bottom w:val="single" w:sz="4" w:space="0" w:color="auto"/>
              <w:right w:val="nil"/>
            </w:tcBorders>
            <w:vAlign w:val="center"/>
            <w:hideMark/>
          </w:tcPr>
          <w:p w14:paraId="441D5CA3" w14:textId="77777777" w:rsidR="007A6A1A" w:rsidRPr="00A32741" w:rsidRDefault="007A6A1A" w:rsidP="007A6A1A">
            <w:pPr>
              <w:spacing w:after="160"/>
              <w:rPr>
                <w:sz w:val="20"/>
                <w:szCs w:val="20"/>
              </w:rPr>
            </w:pPr>
            <w:r w:rsidRPr="00A32741">
              <w:rPr>
                <w:sz w:val="20"/>
                <w:szCs w:val="20"/>
              </w:rPr>
              <w:t>23.1%</w:t>
            </w:r>
          </w:p>
        </w:tc>
        <w:tc>
          <w:tcPr>
            <w:tcW w:w="1355" w:type="dxa"/>
            <w:tcBorders>
              <w:top w:val="nil"/>
              <w:left w:val="nil"/>
              <w:bottom w:val="single" w:sz="4" w:space="0" w:color="auto"/>
              <w:right w:val="nil"/>
            </w:tcBorders>
            <w:vAlign w:val="center"/>
            <w:hideMark/>
          </w:tcPr>
          <w:p w14:paraId="3577A86A" w14:textId="77777777" w:rsidR="007A6A1A" w:rsidRPr="00A32741" w:rsidRDefault="007A6A1A" w:rsidP="007A6A1A">
            <w:pPr>
              <w:spacing w:after="160"/>
              <w:rPr>
                <w:sz w:val="20"/>
                <w:szCs w:val="20"/>
              </w:rPr>
            </w:pPr>
            <w:r w:rsidRPr="00A32741">
              <w:rPr>
                <w:sz w:val="20"/>
                <w:szCs w:val="20"/>
              </w:rPr>
              <w:t>18.0%</w:t>
            </w:r>
          </w:p>
        </w:tc>
        <w:tc>
          <w:tcPr>
            <w:tcW w:w="866" w:type="dxa"/>
            <w:tcBorders>
              <w:top w:val="nil"/>
              <w:left w:val="nil"/>
              <w:bottom w:val="single" w:sz="4" w:space="0" w:color="auto"/>
              <w:right w:val="single" w:sz="4" w:space="0" w:color="auto"/>
            </w:tcBorders>
            <w:vAlign w:val="center"/>
            <w:hideMark/>
          </w:tcPr>
          <w:p w14:paraId="4A84C41F" w14:textId="77777777" w:rsidR="007A6A1A" w:rsidRPr="00A32741" w:rsidRDefault="007A6A1A" w:rsidP="007A6A1A">
            <w:pPr>
              <w:spacing w:after="160"/>
              <w:rPr>
                <w:sz w:val="20"/>
                <w:szCs w:val="20"/>
              </w:rPr>
            </w:pPr>
            <w:r w:rsidRPr="00A32741">
              <w:rPr>
                <w:sz w:val="20"/>
                <w:szCs w:val="20"/>
              </w:rPr>
              <w:t>100.0%</w:t>
            </w:r>
          </w:p>
        </w:tc>
        <w:tc>
          <w:tcPr>
            <w:tcW w:w="1355" w:type="dxa"/>
            <w:tcBorders>
              <w:top w:val="nil"/>
              <w:left w:val="single" w:sz="4" w:space="0" w:color="auto"/>
              <w:bottom w:val="single" w:sz="4" w:space="0" w:color="auto"/>
              <w:right w:val="nil"/>
            </w:tcBorders>
            <w:vAlign w:val="center"/>
            <w:hideMark/>
          </w:tcPr>
          <w:p w14:paraId="6264BC64" w14:textId="77777777" w:rsidR="007A6A1A" w:rsidRPr="00A32741" w:rsidRDefault="007A6A1A" w:rsidP="007A6A1A">
            <w:pPr>
              <w:spacing w:after="160"/>
              <w:rPr>
                <w:sz w:val="20"/>
                <w:szCs w:val="20"/>
              </w:rPr>
            </w:pPr>
            <w:r w:rsidRPr="00A32741">
              <w:rPr>
                <w:sz w:val="20"/>
                <w:szCs w:val="20"/>
              </w:rPr>
              <w:t>71.9%</w:t>
            </w:r>
          </w:p>
        </w:tc>
        <w:tc>
          <w:tcPr>
            <w:tcW w:w="1355" w:type="dxa"/>
            <w:tcBorders>
              <w:top w:val="nil"/>
              <w:left w:val="nil"/>
              <w:bottom w:val="single" w:sz="4" w:space="0" w:color="auto"/>
              <w:right w:val="nil"/>
            </w:tcBorders>
            <w:vAlign w:val="center"/>
            <w:hideMark/>
          </w:tcPr>
          <w:p w14:paraId="4D9C2E15" w14:textId="77777777" w:rsidR="007A6A1A" w:rsidRPr="00A32741" w:rsidRDefault="007A6A1A" w:rsidP="007A6A1A">
            <w:pPr>
              <w:spacing w:after="160"/>
              <w:rPr>
                <w:sz w:val="20"/>
                <w:szCs w:val="20"/>
              </w:rPr>
            </w:pPr>
            <w:r w:rsidRPr="00A32741">
              <w:rPr>
                <w:sz w:val="20"/>
                <w:szCs w:val="20"/>
              </w:rPr>
              <w:t>8.9%</w:t>
            </w:r>
          </w:p>
        </w:tc>
        <w:tc>
          <w:tcPr>
            <w:tcW w:w="1355" w:type="dxa"/>
            <w:tcBorders>
              <w:top w:val="nil"/>
              <w:left w:val="nil"/>
              <w:bottom w:val="single" w:sz="4" w:space="0" w:color="auto"/>
              <w:right w:val="nil"/>
            </w:tcBorders>
            <w:vAlign w:val="center"/>
            <w:hideMark/>
          </w:tcPr>
          <w:p w14:paraId="7BA0A8BA" w14:textId="77777777" w:rsidR="007A6A1A" w:rsidRPr="00A32741" w:rsidRDefault="007A6A1A" w:rsidP="007A6A1A">
            <w:pPr>
              <w:spacing w:after="160"/>
              <w:rPr>
                <w:sz w:val="20"/>
                <w:szCs w:val="20"/>
              </w:rPr>
            </w:pPr>
            <w:r w:rsidRPr="00A32741">
              <w:rPr>
                <w:sz w:val="20"/>
                <w:szCs w:val="20"/>
              </w:rPr>
              <w:t>7.2%</w:t>
            </w:r>
          </w:p>
        </w:tc>
        <w:tc>
          <w:tcPr>
            <w:tcW w:w="1355" w:type="dxa"/>
            <w:tcBorders>
              <w:top w:val="nil"/>
              <w:left w:val="nil"/>
              <w:bottom w:val="single" w:sz="4" w:space="0" w:color="auto"/>
              <w:right w:val="nil"/>
            </w:tcBorders>
            <w:vAlign w:val="center"/>
            <w:hideMark/>
          </w:tcPr>
          <w:p w14:paraId="5D75E440" w14:textId="77777777" w:rsidR="007A6A1A" w:rsidRPr="00A32741" w:rsidRDefault="007A6A1A" w:rsidP="007A6A1A">
            <w:pPr>
              <w:spacing w:after="160"/>
              <w:rPr>
                <w:sz w:val="20"/>
                <w:szCs w:val="20"/>
              </w:rPr>
            </w:pPr>
            <w:r w:rsidRPr="00A32741">
              <w:rPr>
                <w:sz w:val="20"/>
                <w:szCs w:val="20"/>
              </w:rPr>
              <w:t>12.0%</w:t>
            </w:r>
          </w:p>
        </w:tc>
        <w:tc>
          <w:tcPr>
            <w:tcW w:w="866" w:type="dxa"/>
            <w:tcBorders>
              <w:top w:val="nil"/>
              <w:left w:val="nil"/>
              <w:bottom w:val="single" w:sz="4" w:space="0" w:color="auto"/>
              <w:right w:val="single" w:sz="4" w:space="0" w:color="auto"/>
            </w:tcBorders>
            <w:vAlign w:val="center"/>
            <w:hideMark/>
          </w:tcPr>
          <w:p w14:paraId="0EC24EAF" w14:textId="77777777" w:rsidR="007A6A1A" w:rsidRPr="00A32741" w:rsidRDefault="007A6A1A" w:rsidP="007A6A1A">
            <w:pPr>
              <w:spacing w:after="160"/>
              <w:rPr>
                <w:sz w:val="20"/>
                <w:szCs w:val="20"/>
              </w:rPr>
            </w:pPr>
            <w:r w:rsidRPr="00A32741">
              <w:rPr>
                <w:sz w:val="20"/>
                <w:szCs w:val="20"/>
              </w:rPr>
              <w:t>100.0%</w:t>
            </w:r>
          </w:p>
        </w:tc>
      </w:tr>
    </w:tbl>
    <w:p w14:paraId="7BBCB8EF" w14:textId="7407ED7E" w:rsidR="007A6A1A" w:rsidRPr="00167CB8" w:rsidRDefault="007A6A1A" w:rsidP="00A461FB">
      <w:pPr>
        <w:pStyle w:val="Source"/>
      </w:pPr>
      <w:r w:rsidRPr="00167CB8">
        <w:rPr>
          <w:b/>
          <w:bCs/>
        </w:rPr>
        <w:t>Source:</w:t>
      </w:r>
      <w:r w:rsidRPr="00167CB8">
        <w:t xml:space="preserve"> ABS Labour Force, Australia, Detailed (Cat No 6291.0.55.001), EQ04. Original series.  </w:t>
      </w:r>
    </w:p>
    <w:p w14:paraId="7D86A6B4" w14:textId="70F784E3" w:rsidR="007A6A1A" w:rsidRPr="00167CB8" w:rsidRDefault="007A6A1A" w:rsidP="00A461FB">
      <w:pPr>
        <w:pStyle w:val="Source"/>
      </w:pPr>
      <w:r w:rsidRPr="00167CB8">
        <w:rPr>
          <w:b/>
          <w:bCs/>
        </w:rPr>
        <w:t>Alt-text:</w:t>
      </w:r>
      <w:r w:rsidRPr="00167CB8">
        <w:t xml:space="preserve"> A table showing the number of men and women employed, by employment status in main job. Between November 2022 and August 2024 there was a decline in casual employment among women. Among men, over the same period, there was an overall growth in employment among those with no paid leave entitlements, driven by a growth in men employed on a part-time casual basis.</w:t>
      </w:r>
    </w:p>
    <w:p w14:paraId="31B64353"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38418B6A" w14:textId="77777777" w:rsidR="007A6A1A" w:rsidRPr="00167CB8" w:rsidRDefault="007A6A1A" w:rsidP="00650687">
      <w:pPr>
        <w:pStyle w:val="Heading4"/>
      </w:pPr>
      <w:bookmarkStart w:id="670" w:name="_Toc186991761"/>
      <w:bookmarkStart w:id="671" w:name="_Toc189393665"/>
      <w:r w:rsidRPr="00167CB8">
        <w:lastRenderedPageBreak/>
        <w:t>2.3 Flexible working arrangements</w:t>
      </w:r>
      <w:bookmarkEnd w:id="670"/>
      <w:bookmarkEnd w:id="671"/>
    </w:p>
    <w:p w14:paraId="458E2731" w14:textId="62B1E3FC" w:rsidR="007A6A1A" w:rsidRPr="00167CB8" w:rsidRDefault="002058A9" w:rsidP="007A6A1A">
      <w:pPr>
        <w:spacing w:after="160"/>
      </w:pPr>
      <w:r w:rsidRPr="00167CB8">
        <w:t xml:space="preserve">Table 27 </w:t>
      </w:r>
      <w:r w:rsidR="007A6A1A" w:rsidRPr="00167CB8">
        <w:t>summarises changes in working arrangements since 2015.</w:t>
      </w:r>
      <w:r w:rsidR="007A6A1A" w:rsidRPr="00167CB8">
        <w:rPr>
          <w:vertAlign w:val="superscript"/>
        </w:rPr>
        <w:footnoteReference w:id="1089"/>
      </w:r>
      <w:r w:rsidR="007A6A1A" w:rsidRPr="00167CB8">
        <w:t xml:space="preserve"> As shown, in 2024, 30.3% of employees had an agreement with their employer to work flexible hours, down from 33.4% in August 2023. </w:t>
      </w:r>
    </w:p>
    <w:p w14:paraId="798259CA" w14:textId="57031686" w:rsidR="007A6A1A" w:rsidRPr="00167CB8" w:rsidRDefault="007A6A1A" w:rsidP="00310C3D">
      <w:pPr>
        <w:pStyle w:val="Caption"/>
        <w:ind w:left="0"/>
      </w:pPr>
      <w:bookmarkStart w:id="672" w:name="_Ref184404105"/>
      <w:bookmarkStart w:id="673" w:name="_Toc186991805"/>
      <w:bookmarkStart w:id="674" w:name="_Toc189310856"/>
      <w:r w:rsidRPr="00167CB8">
        <w:t xml:space="preserve">Table </w:t>
      </w:r>
      <w:r w:rsidR="003B6A72" w:rsidRPr="00167CB8">
        <w:t>27</w:t>
      </w:r>
      <w:bookmarkEnd w:id="672"/>
      <w:r w:rsidRPr="00167CB8">
        <w:t>: Working arrangements, Australia</w:t>
      </w:r>
      <w:bookmarkEnd w:id="673"/>
      <w:bookmarkEnd w:id="674"/>
    </w:p>
    <w:tbl>
      <w:tblPr>
        <w:tblW w:w="94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39"/>
        <w:gridCol w:w="979"/>
        <w:gridCol w:w="979"/>
        <w:gridCol w:w="979"/>
        <w:gridCol w:w="979"/>
        <w:gridCol w:w="979"/>
        <w:gridCol w:w="979"/>
      </w:tblGrid>
      <w:tr w:rsidR="007A6A1A" w:rsidRPr="00167CB8" w14:paraId="57AFD9DB" w14:textId="77777777" w:rsidTr="00310C3D">
        <w:trPr>
          <w:trHeight w:val="380"/>
        </w:trPr>
        <w:tc>
          <w:tcPr>
            <w:tcW w:w="3539" w:type="dxa"/>
            <w:tcBorders>
              <w:top w:val="single" w:sz="4" w:space="0" w:color="auto"/>
              <w:left w:val="single" w:sz="4" w:space="0" w:color="auto"/>
              <w:bottom w:val="single" w:sz="4" w:space="0" w:color="auto"/>
              <w:right w:val="nil"/>
            </w:tcBorders>
            <w:noWrap/>
            <w:vAlign w:val="center"/>
            <w:hideMark/>
          </w:tcPr>
          <w:p w14:paraId="18BB962B" w14:textId="77777777" w:rsidR="007A6A1A" w:rsidRPr="00A32741" w:rsidRDefault="007A6A1A" w:rsidP="007A6A1A">
            <w:pPr>
              <w:spacing w:after="160"/>
              <w:rPr>
                <w:b/>
                <w:bCs/>
              </w:rPr>
            </w:pPr>
          </w:p>
        </w:tc>
        <w:tc>
          <w:tcPr>
            <w:tcW w:w="979" w:type="dxa"/>
            <w:tcBorders>
              <w:top w:val="single" w:sz="4" w:space="0" w:color="auto"/>
              <w:left w:val="nil"/>
              <w:bottom w:val="single" w:sz="4" w:space="0" w:color="auto"/>
              <w:right w:val="nil"/>
            </w:tcBorders>
            <w:noWrap/>
            <w:vAlign w:val="center"/>
            <w:hideMark/>
          </w:tcPr>
          <w:p w14:paraId="6F7CA5CB" w14:textId="77777777" w:rsidR="007A6A1A" w:rsidRPr="00A32741" w:rsidRDefault="007A6A1A" w:rsidP="007A6A1A">
            <w:pPr>
              <w:spacing w:after="160"/>
              <w:rPr>
                <w:b/>
                <w:bCs/>
              </w:rPr>
            </w:pPr>
            <w:r w:rsidRPr="00A32741">
              <w:rPr>
                <w:b/>
                <w:bCs/>
              </w:rPr>
              <w:t>Aug-15 (%)</w:t>
            </w:r>
          </w:p>
        </w:tc>
        <w:tc>
          <w:tcPr>
            <w:tcW w:w="979" w:type="dxa"/>
            <w:tcBorders>
              <w:top w:val="single" w:sz="4" w:space="0" w:color="auto"/>
              <w:left w:val="nil"/>
              <w:bottom w:val="single" w:sz="4" w:space="0" w:color="auto"/>
              <w:right w:val="nil"/>
            </w:tcBorders>
            <w:noWrap/>
            <w:vAlign w:val="center"/>
            <w:hideMark/>
          </w:tcPr>
          <w:p w14:paraId="1BF1431A" w14:textId="77777777" w:rsidR="007A6A1A" w:rsidRPr="00A32741" w:rsidRDefault="007A6A1A" w:rsidP="007A6A1A">
            <w:pPr>
              <w:spacing w:after="160"/>
              <w:rPr>
                <w:b/>
                <w:bCs/>
              </w:rPr>
            </w:pPr>
            <w:r w:rsidRPr="00A32741">
              <w:rPr>
                <w:b/>
                <w:bCs/>
              </w:rPr>
              <w:t>Aug-17 (%)</w:t>
            </w:r>
          </w:p>
        </w:tc>
        <w:tc>
          <w:tcPr>
            <w:tcW w:w="979" w:type="dxa"/>
            <w:tcBorders>
              <w:top w:val="single" w:sz="4" w:space="0" w:color="auto"/>
              <w:left w:val="nil"/>
              <w:bottom w:val="single" w:sz="4" w:space="0" w:color="auto"/>
              <w:right w:val="nil"/>
            </w:tcBorders>
            <w:noWrap/>
            <w:vAlign w:val="center"/>
            <w:hideMark/>
          </w:tcPr>
          <w:p w14:paraId="11A7F4B8" w14:textId="77777777" w:rsidR="007A6A1A" w:rsidRPr="00A32741" w:rsidRDefault="007A6A1A" w:rsidP="007A6A1A">
            <w:pPr>
              <w:spacing w:after="160"/>
              <w:rPr>
                <w:b/>
                <w:bCs/>
              </w:rPr>
            </w:pPr>
            <w:r w:rsidRPr="00A32741">
              <w:rPr>
                <w:b/>
                <w:bCs/>
              </w:rPr>
              <w:t>Aug-19 (%)</w:t>
            </w:r>
          </w:p>
        </w:tc>
        <w:tc>
          <w:tcPr>
            <w:tcW w:w="979" w:type="dxa"/>
            <w:tcBorders>
              <w:top w:val="single" w:sz="4" w:space="0" w:color="auto"/>
              <w:left w:val="nil"/>
              <w:bottom w:val="single" w:sz="4" w:space="0" w:color="auto"/>
              <w:right w:val="nil"/>
            </w:tcBorders>
            <w:noWrap/>
            <w:vAlign w:val="center"/>
            <w:hideMark/>
          </w:tcPr>
          <w:p w14:paraId="7363FA20" w14:textId="77777777" w:rsidR="007A6A1A" w:rsidRPr="00A32741" w:rsidRDefault="007A6A1A" w:rsidP="007A6A1A">
            <w:pPr>
              <w:spacing w:after="160"/>
              <w:rPr>
                <w:b/>
                <w:bCs/>
              </w:rPr>
            </w:pPr>
            <w:r w:rsidRPr="00A32741">
              <w:rPr>
                <w:b/>
                <w:bCs/>
              </w:rPr>
              <w:t>Aug-21 (%)</w:t>
            </w:r>
          </w:p>
        </w:tc>
        <w:tc>
          <w:tcPr>
            <w:tcW w:w="979" w:type="dxa"/>
            <w:tcBorders>
              <w:top w:val="single" w:sz="4" w:space="0" w:color="auto"/>
              <w:left w:val="nil"/>
              <w:bottom w:val="single" w:sz="4" w:space="0" w:color="auto"/>
              <w:right w:val="nil"/>
            </w:tcBorders>
            <w:noWrap/>
            <w:vAlign w:val="center"/>
            <w:hideMark/>
          </w:tcPr>
          <w:p w14:paraId="5D7FA22C" w14:textId="77777777" w:rsidR="007A6A1A" w:rsidRPr="00A32741" w:rsidRDefault="007A6A1A" w:rsidP="007A6A1A">
            <w:pPr>
              <w:spacing w:after="160"/>
              <w:rPr>
                <w:b/>
                <w:bCs/>
              </w:rPr>
            </w:pPr>
            <w:r w:rsidRPr="00A32741">
              <w:rPr>
                <w:b/>
                <w:bCs/>
              </w:rPr>
              <w:t>Aug-23 (%)</w:t>
            </w:r>
          </w:p>
        </w:tc>
        <w:tc>
          <w:tcPr>
            <w:tcW w:w="979" w:type="dxa"/>
            <w:tcBorders>
              <w:top w:val="single" w:sz="4" w:space="0" w:color="auto"/>
              <w:left w:val="nil"/>
              <w:bottom w:val="single" w:sz="4" w:space="0" w:color="auto"/>
              <w:right w:val="single" w:sz="4" w:space="0" w:color="auto"/>
            </w:tcBorders>
            <w:vAlign w:val="center"/>
            <w:hideMark/>
          </w:tcPr>
          <w:p w14:paraId="047D5844" w14:textId="77777777" w:rsidR="007A6A1A" w:rsidRPr="00A32741" w:rsidRDefault="007A6A1A" w:rsidP="007A6A1A">
            <w:pPr>
              <w:spacing w:after="160"/>
              <w:rPr>
                <w:b/>
                <w:bCs/>
              </w:rPr>
            </w:pPr>
            <w:r w:rsidRPr="00A32741">
              <w:rPr>
                <w:b/>
                <w:bCs/>
              </w:rPr>
              <w:t>Aug-24 (%)</w:t>
            </w:r>
          </w:p>
        </w:tc>
      </w:tr>
      <w:tr w:rsidR="007A6A1A" w:rsidRPr="00167CB8" w14:paraId="202939A0" w14:textId="77777777" w:rsidTr="00310C3D">
        <w:trPr>
          <w:trHeight w:val="380"/>
        </w:trPr>
        <w:tc>
          <w:tcPr>
            <w:tcW w:w="3539" w:type="dxa"/>
            <w:tcBorders>
              <w:top w:val="nil"/>
              <w:left w:val="single" w:sz="4" w:space="0" w:color="auto"/>
              <w:bottom w:val="nil"/>
              <w:right w:val="nil"/>
            </w:tcBorders>
            <w:noWrap/>
            <w:vAlign w:val="center"/>
            <w:hideMark/>
          </w:tcPr>
          <w:p w14:paraId="10458665" w14:textId="77777777" w:rsidR="007A6A1A" w:rsidRPr="00167CB8" w:rsidRDefault="007A6A1A" w:rsidP="007A6A1A">
            <w:pPr>
              <w:spacing w:after="160"/>
            </w:pPr>
            <w:r w:rsidRPr="00167CB8">
              <w:t>Had an agreement to work flexible hours</w:t>
            </w:r>
          </w:p>
        </w:tc>
        <w:tc>
          <w:tcPr>
            <w:tcW w:w="979" w:type="dxa"/>
            <w:tcBorders>
              <w:top w:val="nil"/>
              <w:left w:val="nil"/>
              <w:bottom w:val="nil"/>
              <w:right w:val="nil"/>
            </w:tcBorders>
            <w:noWrap/>
            <w:vAlign w:val="center"/>
            <w:hideMark/>
          </w:tcPr>
          <w:p w14:paraId="56419061" w14:textId="77777777" w:rsidR="007A6A1A" w:rsidRPr="00167CB8" w:rsidRDefault="007A6A1A" w:rsidP="007A6A1A">
            <w:pPr>
              <w:spacing w:after="160"/>
            </w:pPr>
            <w:r w:rsidRPr="00167CB8">
              <w:t>31.9</w:t>
            </w:r>
          </w:p>
        </w:tc>
        <w:tc>
          <w:tcPr>
            <w:tcW w:w="979" w:type="dxa"/>
            <w:tcBorders>
              <w:top w:val="nil"/>
              <w:left w:val="nil"/>
              <w:bottom w:val="nil"/>
              <w:right w:val="nil"/>
            </w:tcBorders>
            <w:noWrap/>
            <w:vAlign w:val="center"/>
            <w:hideMark/>
          </w:tcPr>
          <w:p w14:paraId="2C4CC237" w14:textId="77777777" w:rsidR="007A6A1A" w:rsidRPr="00167CB8" w:rsidRDefault="007A6A1A" w:rsidP="007A6A1A">
            <w:pPr>
              <w:spacing w:after="160"/>
            </w:pPr>
            <w:r w:rsidRPr="00167CB8">
              <w:t>32.7</w:t>
            </w:r>
          </w:p>
        </w:tc>
        <w:tc>
          <w:tcPr>
            <w:tcW w:w="979" w:type="dxa"/>
            <w:tcBorders>
              <w:top w:val="nil"/>
              <w:left w:val="nil"/>
              <w:bottom w:val="nil"/>
              <w:right w:val="nil"/>
            </w:tcBorders>
            <w:noWrap/>
            <w:vAlign w:val="center"/>
            <w:hideMark/>
          </w:tcPr>
          <w:p w14:paraId="17C37DD1" w14:textId="77777777" w:rsidR="007A6A1A" w:rsidRPr="00167CB8" w:rsidRDefault="007A6A1A" w:rsidP="007A6A1A">
            <w:pPr>
              <w:spacing w:after="160"/>
            </w:pPr>
            <w:r w:rsidRPr="00167CB8">
              <w:t>34.1</w:t>
            </w:r>
          </w:p>
        </w:tc>
        <w:tc>
          <w:tcPr>
            <w:tcW w:w="979" w:type="dxa"/>
            <w:tcBorders>
              <w:top w:val="nil"/>
              <w:left w:val="nil"/>
              <w:bottom w:val="nil"/>
              <w:right w:val="nil"/>
            </w:tcBorders>
            <w:noWrap/>
            <w:vAlign w:val="center"/>
            <w:hideMark/>
          </w:tcPr>
          <w:p w14:paraId="41BE797E" w14:textId="77777777" w:rsidR="007A6A1A" w:rsidRPr="00167CB8" w:rsidRDefault="007A6A1A" w:rsidP="007A6A1A">
            <w:pPr>
              <w:spacing w:after="160"/>
            </w:pPr>
            <w:r w:rsidRPr="00167CB8">
              <w:t>35.6</w:t>
            </w:r>
          </w:p>
        </w:tc>
        <w:tc>
          <w:tcPr>
            <w:tcW w:w="979" w:type="dxa"/>
            <w:tcBorders>
              <w:top w:val="nil"/>
              <w:left w:val="nil"/>
              <w:bottom w:val="nil"/>
              <w:right w:val="nil"/>
            </w:tcBorders>
            <w:noWrap/>
            <w:vAlign w:val="center"/>
            <w:hideMark/>
          </w:tcPr>
          <w:p w14:paraId="4347A3F3" w14:textId="77777777" w:rsidR="007A6A1A" w:rsidRPr="00167CB8" w:rsidRDefault="007A6A1A" w:rsidP="007A6A1A">
            <w:pPr>
              <w:spacing w:after="160"/>
            </w:pPr>
            <w:r w:rsidRPr="00167CB8">
              <w:t>33.4</w:t>
            </w:r>
          </w:p>
        </w:tc>
        <w:tc>
          <w:tcPr>
            <w:tcW w:w="979" w:type="dxa"/>
            <w:tcBorders>
              <w:top w:val="nil"/>
              <w:left w:val="nil"/>
              <w:bottom w:val="nil"/>
              <w:right w:val="single" w:sz="4" w:space="0" w:color="auto"/>
            </w:tcBorders>
            <w:vAlign w:val="center"/>
            <w:hideMark/>
          </w:tcPr>
          <w:p w14:paraId="2E697E91" w14:textId="048B1C7E" w:rsidR="007A6A1A" w:rsidRPr="00167CB8" w:rsidRDefault="007A6A1A" w:rsidP="007A6A1A">
            <w:pPr>
              <w:spacing w:after="160"/>
            </w:pPr>
            <w:r w:rsidRPr="00167CB8">
              <w:t>30.3</w:t>
            </w:r>
          </w:p>
        </w:tc>
      </w:tr>
      <w:tr w:rsidR="007A6A1A" w:rsidRPr="00167CB8" w14:paraId="39020032" w14:textId="77777777" w:rsidTr="00310C3D">
        <w:trPr>
          <w:trHeight w:val="380"/>
        </w:trPr>
        <w:tc>
          <w:tcPr>
            <w:tcW w:w="3539" w:type="dxa"/>
            <w:tcBorders>
              <w:top w:val="nil"/>
              <w:left w:val="single" w:sz="4" w:space="0" w:color="auto"/>
              <w:bottom w:val="single" w:sz="4" w:space="0" w:color="auto"/>
              <w:right w:val="nil"/>
            </w:tcBorders>
            <w:noWrap/>
            <w:vAlign w:val="center"/>
            <w:hideMark/>
          </w:tcPr>
          <w:p w14:paraId="68946466" w14:textId="77777777" w:rsidR="007A6A1A" w:rsidRPr="00167CB8" w:rsidRDefault="007A6A1A" w:rsidP="007A6A1A">
            <w:pPr>
              <w:spacing w:after="160"/>
            </w:pPr>
            <w:r w:rsidRPr="00167CB8">
              <w:t>Regularly worked from home in job or business</w:t>
            </w:r>
          </w:p>
        </w:tc>
        <w:tc>
          <w:tcPr>
            <w:tcW w:w="979" w:type="dxa"/>
            <w:tcBorders>
              <w:top w:val="nil"/>
              <w:left w:val="nil"/>
              <w:bottom w:val="single" w:sz="4" w:space="0" w:color="auto"/>
              <w:right w:val="nil"/>
            </w:tcBorders>
            <w:noWrap/>
            <w:vAlign w:val="center"/>
            <w:hideMark/>
          </w:tcPr>
          <w:p w14:paraId="1FDC7C84" w14:textId="77777777" w:rsidR="007A6A1A" w:rsidRPr="00167CB8" w:rsidRDefault="007A6A1A" w:rsidP="007A6A1A">
            <w:pPr>
              <w:spacing w:after="160"/>
            </w:pPr>
            <w:r w:rsidRPr="00167CB8">
              <w:t>29.9</w:t>
            </w:r>
          </w:p>
        </w:tc>
        <w:tc>
          <w:tcPr>
            <w:tcW w:w="979" w:type="dxa"/>
            <w:tcBorders>
              <w:top w:val="nil"/>
              <w:left w:val="nil"/>
              <w:bottom w:val="single" w:sz="4" w:space="0" w:color="auto"/>
              <w:right w:val="nil"/>
            </w:tcBorders>
            <w:noWrap/>
            <w:vAlign w:val="center"/>
            <w:hideMark/>
          </w:tcPr>
          <w:p w14:paraId="68A19729" w14:textId="77777777" w:rsidR="007A6A1A" w:rsidRPr="00167CB8" w:rsidRDefault="007A6A1A" w:rsidP="007A6A1A">
            <w:pPr>
              <w:spacing w:after="160"/>
            </w:pPr>
            <w:r w:rsidRPr="00167CB8">
              <w:t>30.9</w:t>
            </w:r>
          </w:p>
        </w:tc>
        <w:tc>
          <w:tcPr>
            <w:tcW w:w="979" w:type="dxa"/>
            <w:tcBorders>
              <w:top w:val="nil"/>
              <w:left w:val="nil"/>
              <w:bottom w:val="single" w:sz="4" w:space="0" w:color="auto"/>
              <w:right w:val="nil"/>
            </w:tcBorders>
            <w:noWrap/>
            <w:vAlign w:val="center"/>
            <w:hideMark/>
          </w:tcPr>
          <w:p w14:paraId="1A30FD7A" w14:textId="77777777" w:rsidR="007A6A1A" w:rsidRPr="00167CB8" w:rsidRDefault="007A6A1A" w:rsidP="007A6A1A">
            <w:pPr>
              <w:spacing w:after="160"/>
            </w:pPr>
            <w:r w:rsidRPr="00167CB8">
              <w:t>32.1</w:t>
            </w:r>
          </w:p>
        </w:tc>
        <w:tc>
          <w:tcPr>
            <w:tcW w:w="979" w:type="dxa"/>
            <w:tcBorders>
              <w:top w:val="nil"/>
              <w:left w:val="nil"/>
              <w:bottom w:val="single" w:sz="4" w:space="0" w:color="auto"/>
              <w:right w:val="nil"/>
            </w:tcBorders>
            <w:noWrap/>
            <w:vAlign w:val="center"/>
            <w:hideMark/>
          </w:tcPr>
          <w:p w14:paraId="6478F547" w14:textId="77777777" w:rsidR="007A6A1A" w:rsidRPr="00167CB8" w:rsidRDefault="007A6A1A" w:rsidP="007A6A1A">
            <w:pPr>
              <w:spacing w:after="160"/>
            </w:pPr>
            <w:r w:rsidRPr="00167CB8">
              <w:t>40.3</w:t>
            </w:r>
          </w:p>
        </w:tc>
        <w:tc>
          <w:tcPr>
            <w:tcW w:w="979" w:type="dxa"/>
            <w:tcBorders>
              <w:top w:val="nil"/>
              <w:left w:val="nil"/>
              <w:bottom w:val="single" w:sz="4" w:space="0" w:color="auto"/>
              <w:right w:val="nil"/>
            </w:tcBorders>
            <w:noWrap/>
            <w:vAlign w:val="center"/>
            <w:hideMark/>
          </w:tcPr>
          <w:p w14:paraId="0F669B55" w14:textId="77777777" w:rsidR="007A6A1A" w:rsidRPr="00167CB8" w:rsidRDefault="007A6A1A" w:rsidP="007A6A1A">
            <w:pPr>
              <w:spacing w:after="160"/>
            </w:pPr>
            <w:r w:rsidRPr="00167CB8">
              <w:t>36.9</w:t>
            </w:r>
          </w:p>
        </w:tc>
        <w:tc>
          <w:tcPr>
            <w:tcW w:w="979" w:type="dxa"/>
            <w:tcBorders>
              <w:top w:val="nil"/>
              <w:left w:val="nil"/>
              <w:bottom w:val="single" w:sz="4" w:space="0" w:color="auto"/>
              <w:right w:val="single" w:sz="4" w:space="0" w:color="auto"/>
            </w:tcBorders>
            <w:vAlign w:val="center"/>
            <w:hideMark/>
          </w:tcPr>
          <w:p w14:paraId="6E61CCFD" w14:textId="67D0B94E" w:rsidR="007A6A1A" w:rsidRPr="00167CB8" w:rsidRDefault="007A6A1A" w:rsidP="007A6A1A">
            <w:pPr>
              <w:spacing w:after="160"/>
            </w:pPr>
            <w:r w:rsidRPr="00167CB8">
              <w:t>31.5</w:t>
            </w:r>
          </w:p>
        </w:tc>
      </w:tr>
    </w:tbl>
    <w:p w14:paraId="1CCE426D" w14:textId="656EAF57" w:rsidR="007A6A1A" w:rsidRPr="00167CB8" w:rsidRDefault="007A6A1A" w:rsidP="00A461FB">
      <w:pPr>
        <w:pStyle w:val="Source"/>
      </w:pPr>
      <w:r w:rsidRPr="00167CB8">
        <w:rPr>
          <w:b/>
          <w:bCs/>
        </w:rPr>
        <w:t>Source:</w:t>
      </w:r>
      <w:r w:rsidRPr="00167CB8">
        <w:t xml:space="preserve"> ABS Working Arrangements, August (Cat No 5336.0 and Cat No. 6336.0).</w:t>
      </w:r>
    </w:p>
    <w:p w14:paraId="69584225" w14:textId="77777777" w:rsidR="007A6A1A" w:rsidRPr="00167CB8" w:rsidRDefault="007A6A1A" w:rsidP="00A461FB">
      <w:pPr>
        <w:pStyle w:val="Source"/>
      </w:pPr>
      <w:r w:rsidRPr="00167CB8">
        <w:rPr>
          <w:b/>
          <w:bCs/>
        </w:rPr>
        <w:t>Alt-text:</w:t>
      </w:r>
      <w:r w:rsidRPr="00167CB8">
        <w:t xml:space="preserve"> A table showing the shares of employees who have an agreement to work flexible hours. At August 2024 30.3% of employees had an agreement to work flexible hours, down from 35.6% in August 2021.</w:t>
      </w:r>
    </w:p>
    <w:p w14:paraId="4DE0443E" w14:textId="7C94C892" w:rsidR="007A6A1A" w:rsidRPr="00167CB8" w:rsidRDefault="007A6A1A" w:rsidP="00650687">
      <w:pPr>
        <w:pStyle w:val="Heading4"/>
      </w:pPr>
      <w:bookmarkStart w:id="675" w:name="_Toc186991762"/>
      <w:bookmarkStart w:id="676" w:name="_Toc189393666"/>
      <w:r w:rsidRPr="00167CB8">
        <w:t>2.4 Fixed</w:t>
      </w:r>
      <w:r w:rsidR="00A14864" w:rsidRPr="00167CB8">
        <w:t>-</w:t>
      </w:r>
      <w:r w:rsidRPr="00167CB8">
        <w:t>term arrangements</w:t>
      </w:r>
      <w:bookmarkEnd w:id="675"/>
      <w:bookmarkEnd w:id="676"/>
    </w:p>
    <w:p w14:paraId="2FA6E4F4" w14:textId="628E8F87" w:rsidR="007A6A1A" w:rsidRPr="00167CB8" w:rsidRDefault="00410154" w:rsidP="007A6A1A">
      <w:pPr>
        <w:spacing w:after="160"/>
      </w:pPr>
      <w:r w:rsidRPr="00167CB8">
        <w:t xml:space="preserve">Tables 28 to 32 and Figure 25 </w:t>
      </w:r>
      <w:r w:rsidR="007A6A1A" w:rsidRPr="00167CB8">
        <w:t>are based on ABS data for August 2024 and describe the employment characteristics of employees on fixed</w:t>
      </w:r>
      <w:r w:rsidR="00A461FB" w:rsidRPr="00167CB8">
        <w:t>-</w:t>
      </w:r>
      <w:r w:rsidR="007A6A1A" w:rsidRPr="00167CB8">
        <w:t>term contracts or arrangements. In total there were 512,000 employees (4.2% of all employees) on fixed</w:t>
      </w:r>
      <w:r w:rsidR="00A461FB" w:rsidRPr="00167CB8">
        <w:t>-</w:t>
      </w:r>
      <w:r w:rsidR="007A6A1A" w:rsidRPr="00167CB8">
        <w:t>term contracts at this time. The majority of employees on fixed-term contracts are full-time employees (72.4%)</w:t>
      </w:r>
      <w:r w:rsidR="00641402">
        <w:t xml:space="preserve"> (see Table 28)</w:t>
      </w:r>
      <w:r w:rsidR="007A6A1A" w:rsidRPr="00167CB8">
        <w:t xml:space="preserve"> and professionals (48.4%)</w:t>
      </w:r>
      <w:r w:rsidR="00641402">
        <w:t xml:space="preserve"> (see Table 31)</w:t>
      </w:r>
      <w:r w:rsidR="007A6A1A" w:rsidRPr="00167CB8">
        <w:t>. Many (40.8%) have been in their current job for less than one year</w:t>
      </w:r>
      <w:r w:rsidR="00641402">
        <w:t xml:space="preserve"> (see Table </w:t>
      </w:r>
      <w:r w:rsidR="002D2ADF">
        <w:t>29)</w:t>
      </w:r>
      <w:r w:rsidR="007A6A1A" w:rsidRPr="00167CB8">
        <w:t>. Although tenure is short, there is a high expectation of ongoing employment; 74.8% expect to remain in their job for the next 12 months</w:t>
      </w:r>
      <w:r w:rsidR="002D2ADF">
        <w:t xml:space="preserve"> (see Table 30)</w:t>
      </w:r>
      <w:r w:rsidR="007A6A1A" w:rsidRPr="00167CB8">
        <w:t xml:space="preserve">. </w:t>
      </w:r>
    </w:p>
    <w:p w14:paraId="30AA23BB" w14:textId="7765F3C7" w:rsidR="007A6A1A" w:rsidRPr="00167CB8" w:rsidRDefault="007A6A1A" w:rsidP="007A6A1A">
      <w:pPr>
        <w:spacing w:after="160"/>
      </w:pPr>
      <w:r w:rsidRPr="00167CB8">
        <w:t xml:space="preserve">At August 2024, </w:t>
      </w:r>
      <w:r w:rsidR="00A461FB" w:rsidRPr="00167CB8">
        <w:t xml:space="preserve">3 </w:t>
      </w:r>
      <w:r w:rsidRPr="00167CB8">
        <w:t>industries stood out for their use of fixed-term contracts</w:t>
      </w:r>
      <w:r w:rsidR="002D2ADF">
        <w:t xml:space="preserve"> (see Table 32)</w:t>
      </w:r>
      <w:r w:rsidRPr="00167CB8">
        <w:t xml:space="preserve">: the share was highest in: </w:t>
      </w:r>
    </w:p>
    <w:p w14:paraId="0A299487" w14:textId="324A2F16" w:rsidR="007A6A1A" w:rsidRPr="00167CB8" w:rsidRDefault="00A461FB" w:rsidP="00567FCA">
      <w:pPr>
        <w:numPr>
          <w:ilvl w:val="0"/>
          <w:numId w:val="17"/>
        </w:numPr>
        <w:spacing w:after="160"/>
      </w:pPr>
      <w:r w:rsidRPr="00167CB8">
        <w:t>e</w:t>
      </w:r>
      <w:r w:rsidR="007A6A1A" w:rsidRPr="00167CB8">
        <w:t>ducation and training (11.7% of all employees)</w:t>
      </w:r>
    </w:p>
    <w:p w14:paraId="7833BF7A" w14:textId="289F47DC" w:rsidR="007A6A1A" w:rsidRPr="00167CB8" w:rsidRDefault="00A461FB" w:rsidP="00567FCA">
      <w:pPr>
        <w:numPr>
          <w:ilvl w:val="0"/>
          <w:numId w:val="17"/>
        </w:numPr>
        <w:spacing w:after="160"/>
      </w:pPr>
      <w:r w:rsidRPr="00167CB8">
        <w:t>p</w:t>
      </w:r>
      <w:r w:rsidR="007A6A1A" w:rsidRPr="00167CB8">
        <w:t>ublic administration and safety (8.1%) of all employees)</w:t>
      </w:r>
    </w:p>
    <w:p w14:paraId="7445B39D" w14:textId="01949DF7" w:rsidR="007A6A1A" w:rsidRPr="00167CB8" w:rsidRDefault="00A461FB" w:rsidP="00567FCA">
      <w:pPr>
        <w:numPr>
          <w:ilvl w:val="0"/>
          <w:numId w:val="17"/>
        </w:numPr>
        <w:spacing w:after="160"/>
      </w:pPr>
      <w:r w:rsidRPr="00167CB8">
        <w:t>a</w:t>
      </w:r>
      <w:r w:rsidR="007A6A1A" w:rsidRPr="00167CB8">
        <w:t>rts and recreational services (7.9%) of all employees.</w:t>
      </w:r>
    </w:p>
    <w:p w14:paraId="2CDBB339" w14:textId="3F20F3C1" w:rsidR="007A6A1A" w:rsidRPr="00167CB8" w:rsidRDefault="007A6A1A" w:rsidP="007A6A1A">
      <w:pPr>
        <w:spacing w:after="160"/>
      </w:pPr>
      <w:r w:rsidRPr="00167CB8">
        <w:t>Since August 2022 fixed</w:t>
      </w:r>
      <w:r w:rsidR="00A461FB" w:rsidRPr="00167CB8">
        <w:t>-</w:t>
      </w:r>
      <w:r w:rsidRPr="00167CB8">
        <w:t>term employment among employees has increased by 122,600</w:t>
      </w:r>
      <w:r w:rsidR="00A461FB" w:rsidRPr="00167CB8">
        <w:t xml:space="preserve"> </w:t>
      </w:r>
      <w:r w:rsidR="00A461FB" w:rsidRPr="00167CB8">
        <w:rPr>
          <w:rFonts w:ascii="Symbol" w:eastAsia="Symbol" w:hAnsi="Symbol" w:cs="Symbol"/>
        </w:rPr>
        <w:sym w:font="Symbol" w:char="F02D"/>
      </w:r>
      <w:r w:rsidR="00A461FB" w:rsidRPr="00167CB8">
        <w:t xml:space="preserve"> </w:t>
      </w:r>
      <w:r w:rsidRPr="00167CB8">
        <w:t>an increase of 31% from the 389,700 fixed</w:t>
      </w:r>
      <w:r w:rsidR="00A461FB" w:rsidRPr="00167CB8">
        <w:t>-</w:t>
      </w:r>
      <w:r w:rsidRPr="00167CB8">
        <w:t xml:space="preserve">term employees at August 2022. Of all new fixed-term employment contracts, 21.7% were in </w:t>
      </w:r>
      <w:r w:rsidR="00A461FB" w:rsidRPr="00167CB8">
        <w:t>h</w:t>
      </w:r>
      <w:r w:rsidRPr="00167CB8">
        <w:t xml:space="preserve">ealth care and social assistance, 18.7% in </w:t>
      </w:r>
      <w:r w:rsidR="00A461FB" w:rsidRPr="00167CB8">
        <w:t>p</w:t>
      </w:r>
      <w:r w:rsidRPr="00167CB8">
        <w:t xml:space="preserve">ublic administration and safety and 14.1% in </w:t>
      </w:r>
      <w:r w:rsidR="00A461FB" w:rsidRPr="00167CB8">
        <w:t>e</w:t>
      </w:r>
      <w:r w:rsidRPr="00167CB8">
        <w:t xml:space="preserve">ducation and training. </w:t>
      </w:r>
    </w:p>
    <w:p w14:paraId="0BF4AC96" w14:textId="77777777" w:rsidR="00E12A27" w:rsidRDefault="00E12A27">
      <w:pPr>
        <w:spacing w:after="160"/>
        <w:rPr>
          <w:rFonts w:cs="Calibri"/>
          <w:b/>
          <w:bCs/>
          <w:lang w:val="en-US"/>
        </w:rPr>
      </w:pPr>
      <w:bookmarkStart w:id="677" w:name="_Ref184404151"/>
      <w:bookmarkStart w:id="678" w:name="_Toc186991806"/>
      <w:bookmarkStart w:id="679" w:name="_Toc189310857"/>
      <w:r>
        <w:br w:type="page"/>
      </w:r>
    </w:p>
    <w:p w14:paraId="1665D70B" w14:textId="19487672" w:rsidR="007A6A1A" w:rsidRPr="00167CB8" w:rsidRDefault="007A6A1A" w:rsidP="00470AB9">
      <w:pPr>
        <w:pStyle w:val="Caption"/>
      </w:pPr>
      <w:r w:rsidRPr="00167CB8">
        <w:lastRenderedPageBreak/>
        <w:t xml:space="preserve">Table </w:t>
      </w:r>
      <w:r w:rsidR="001B19AB" w:rsidRPr="00167CB8">
        <w:t>28</w:t>
      </w:r>
      <w:bookmarkEnd w:id="677"/>
      <w:r w:rsidRPr="00167CB8">
        <w:t>: Fixed</w:t>
      </w:r>
      <w:r w:rsidR="00A14864" w:rsidRPr="00167CB8">
        <w:t>-</w:t>
      </w:r>
      <w:r w:rsidRPr="00167CB8">
        <w:t>term employment, by status in main job</w:t>
      </w:r>
      <w:bookmarkEnd w:id="678"/>
      <w:bookmarkEnd w:id="679"/>
    </w:p>
    <w:tbl>
      <w:tblPr>
        <w:tblW w:w="9269" w:type="dxa"/>
        <w:tblLook w:val="04A0" w:firstRow="1" w:lastRow="0" w:firstColumn="1" w:lastColumn="0" w:noHBand="0" w:noVBand="1"/>
      </w:tblPr>
      <w:tblGrid>
        <w:gridCol w:w="5022"/>
        <w:gridCol w:w="2310"/>
        <w:gridCol w:w="1937"/>
      </w:tblGrid>
      <w:tr w:rsidR="007A6A1A" w:rsidRPr="00167CB8" w14:paraId="3F8012F1" w14:textId="77777777" w:rsidTr="00BB18C3">
        <w:trPr>
          <w:trHeight w:val="179"/>
        </w:trPr>
        <w:tc>
          <w:tcPr>
            <w:tcW w:w="5022" w:type="dxa"/>
            <w:tcBorders>
              <w:top w:val="single" w:sz="4" w:space="0" w:color="auto"/>
              <w:left w:val="single" w:sz="4" w:space="0" w:color="auto"/>
              <w:bottom w:val="single" w:sz="4" w:space="0" w:color="auto"/>
              <w:right w:val="nil"/>
            </w:tcBorders>
            <w:shd w:val="clear" w:color="auto" w:fill="FFFFFF"/>
            <w:noWrap/>
            <w:vAlign w:val="bottom"/>
            <w:hideMark/>
          </w:tcPr>
          <w:p w14:paraId="5BF78986" w14:textId="77777777" w:rsidR="007A6A1A" w:rsidRPr="00167CB8" w:rsidRDefault="007A6A1A" w:rsidP="007A6A1A">
            <w:pPr>
              <w:spacing w:after="160"/>
              <w:rPr>
                <w:b/>
                <w:bCs/>
              </w:rPr>
            </w:pPr>
            <w:r w:rsidRPr="00167CB8">
              <w:rPr>
                <w:b/>
                <w:bCs/>
              </w:rPr>
              <w:t>Full-time or part-time status in main job</w:t>
            </w:r>
          </w:p>
        </w:tc>
        <w:tc>
          <w:tcPr>
            <w:tcW w:w="2310" w:type="dxa"/>
            <w:tcBorders>
              <w:top w:val="single" w:sz="4" w:space="0" w:color="auto"/>
              <w:left w:val="nil"/>
              <w:bottom w:val="single" w:sz="4" w:space="0" w:color="auto"/>
              <w:right w:val="nil"/>
            </w:tcBorders>
            <w:shd w:val="clear" w:color="auto" w:fill="FFFFFF"/>
            <w:noWrap/>
            <w:vAlign w:val="center"/>
            <w:hideMark/>
          </w:tcPr>
          <w:p w14:paraId="4263D34A" w14:textId="7483E7F2" w:rsidR="007A6A1A" w:rsidRPr="00167CB8" w:rsidRDefault="007A6A1A" w:rsidP="007A6A1A">
            <w:pPr>
              <w:spacing w:after="160"/>
              <w:rPr>
                <w:b/>
                <w:bCs/>
              </w:rPr>
            </w:pPr>
            <w:r w:rsidRPr="00167CB8">
              <w:rPr>
                <w:b/>
                <w:bCs/>
              </w:rPr>
              <w:t>Number fixed</w:t>
            </w:r>
            <w:r w:rsidR="00A461FB" w:rsidRPr="00167CB8">
              <w:rPr>
                <w:b/>
                <w:bCs/>
              </w:rPr>
              <w:t>-</w:t>
            </w:r>
            <w:r w:rsidRPr="00167CB8">
              <w:rPr>
                <w:b/>
                <w:bCs/>
              </w:rPr>
              <w:t>term at August 2024</w:t>
            </w:r>
          </w:p>
        </w:tc>
        <w:tc>
          <w:tcPr>
            <w:tcW w:w="1937" w:type="dxa"/>
            <w:tcBorders>
              <w:top w:val="single" w:sz="4" w:space="0" w:color="auto"/>
              <w:left w:val="nil"/>
              <w:bottom w:val="single" w:sz="4" w:space="0" w:color="auto"/>
              <w:right w:val="single" w:sz="4" w:space="0" w:color="auto"/>
            </w:tcBorders>
            <w:shd w:val="clear" w:color="auto" w:fill="FFFFFF"/>
            <w:noWrap/>
            <w:vAlign w:val="center"/>
            <w:hideMark/>
          </w:tcPr>
          <w:p w14:paraId="0AAD9028" w14:textId="77777777" w:rsidR="007A6A1A" w:rsidRPr="00167CB8" w:rsidRDefault="007A6A1A" w:rsidP="007A6A1A">
            <w:pPr>
              <w:spacing w:after="160"/>
              <w:rPr>
                <w:b/>
                <w:bCs/>
              </w:rPr>
            </w:pPr>
            <w:r w:rsidRPr="00167CB8">
              <w:rPr>
                <w:b/>
                <w:bCs/>
              </w:rPr>
              <w:t>% (distribution)</w:t>
            </w:r>
          </w:p>
        </w:tc>
      </w:tr>
      <w:tr w:rsidR="007A6A1A" w:rsidRPr="00167CB8" w14:paraId="43E2E1B9" w14:textId="77777777" w:rsidTr="00BB18C3">
        <w:trPr>
          <w:trHeight w:val="179"/>
        </w:trPr>
        <w:tc>
          <w:tcPr>
            <w:tcW w:w="5022" w:type="dxa"/>
            <w:tcBorders>
              <w:top w:val="nil"/>
              <w:left w:val="single" w:sz="4" w:space="0" w:color="auto"/>
              <w:bottom w:val="nil"/>
              <w:right w:val="nil"/>
            </w:tcBorders>
            <w:shd w:val="clear" w:color="auto" w:fill="FFFFFF"/>
            <w:noWrap/>
            <w:vAlign w:val="bottom"/>
            <w:hideMark/>
          </w:tcPr>
          <w:p w14:paraId="2F637B2C" w14:textId="77777777" w:rsidR="007A6A1A" w:rsidRPr="00167CB8" w:rsidRDefault="007A6A1A" w:rsidP="007A6A1A">
            <w:pPr>
              <w:spacing w:after="160"/>
            </w:pPr>
            <w:r w:rsidRPr="00167CB8">
              <w:t>Full-time</w:t>
            </w:r>
          </w:p>
        </w:tc>
        <w:tc>
          <w:tcPr>
            <w:tcW w:w="2310" w:type="dxa"/>
            <w:shd w:val="clear" w:color="auto" w:fill="FFFFFF"/>
            <w:noWrap/>
            <w:vAlign w:val="center"/>
            <w:hideMark/>
          </w:tcPr>
          <w:p w14:paraId="167915BD" w14:textId="77777777" w:rsidR="007A6A1A" w:rsidRPr="00167CB8" w:rsidRDefault="007A6A1A" w:rsidP="007A6A1A">
            <w:pPr>
              <w:spacing w:after="160"/>
            </w:pPr>
            <w:r w:rsidRPr="00167CB8">
              <w:t>371.1</w:t>
            </w:r>
          </w:p>
        </w:tc>
        <w:tc>
          <w:tcPr>
            <w:tcW w:w="1937" w:type="dxa"/>
            <w:tcBorders>
              <w:top w:val="nil"/>
              <w:left w:val="nil"/>
              <w:bottom w:val="nil"/>
              <w:right w:val="single" w:sz="4" w:space="0" w:color="auto"/>
            </w:tcBorders>
            <w:noWrap/>
            <w:vAlign w:val="center"/>
            <w:hideMark/>
          </w:tcPr>
          <w:p w14:paraId="3E43A377" w14:textId="77777777" w:rsidR="007A6A1A" w:rsidRPr="00167CB8" w:rsidRDefault="007A6A1A" w:rsidP="007A6A1A">
            <w:pPr>
              <w:spacing w:after="160"/>
            </w:pPr>
            <w:r w:rsidRPr="00167CB8">
              <w:t>72.4%</w:t>
            </w:r>
          </w:p>
        </w:tc>
      </w:tr>
      <w:tr w:rsidR="007A6A1A" w:rsidRPr="00167CB8" w14:paraId="51F575DC" w14:textId="77777777" w:rsidTr="00BB18C3">
        <w:trPr>
          <w:trHeight w:val="179"/>
        </w:trPr>
        <w:tc>
          <w:tcPr>
            <w:tcW w:w="5022" w:type="dxa"/>
            <w:tcBorders>
              <w:top w:val="nil"/>
              <w:left w:val="single" w:sz="4" w:space="0" w:color="auto"/>
              <w:bottom w:val="nil"/>
              <w:right w:val="nil"/>
            </w:tcBorders>
            <w:shd w:val="clear" w:color="auto" w:fill="FFFFFF"/>
            <w:noWrap/>
            <w:vAlign w:val="bottom"/>
            <w:hideMark/>
          </w:tcPr>
          <w:p w14:paraId="71FA59B6" w14:textId="77777777" w:rsidR="007A6A1A" w:rsidRPr="00167CB8" w:rsidRDefault="007A6A1A" w:rsidP="007A6A1A">
            <w:pPr>
              <w:spacing w:after="160"/>
            </w:pPr>
            <w:r w:rsidRPr="00167CB8">
              <w:t>Part-time</w:t>
            </w:r>
          </w:p>
        </w:tc>
        <w:tc>
          <w:tcPr>
            <w:tcW w:w="2310" w:type="dxa"/>
            <w:shd w:val="clear" w:color="auto" w:fill="FFFFFF"/>
            <w:noWrap/>
            <w:vAlign w:val="center"/>
            <w:hideMark/>
          </w:tcPr>
          <w:p w14:paraId="2C507D5A" w14:textId="77777777" w:rsidR="007A6A1A" w:rsidRPr="00167CB8" w:rsidRDefault="007A6A1A" w:rsidP="007A6A1A">
            <w:pPr>
              <w:spacing w:after="160"/>
            </w:pPr>
            <w:r w:rsidRPr="00167CB8">
              <w:t>141.2</w:t>
            </w:r>
          </w:p>
        </w:tc>
        <w:tc>
          <w:tcPr>
            <w:tcW w:w="1937" w:type="dxa"/>
            <w:tcBorders>
              <w:top w:val="nil"/>
              <w:left w:val="nil"/>
              <w:bottom w:val="nil"/>
              <w:right w:val="single" w:sz="4" w:space="0" w:color="auto"/>
            </w:tcBorders>
            <w:noWrap/>
            <w:vAlign w:val="center"/>
            <w:hideMark/>
          </w:tcPr>
          <w:p w14:paraId="26E59E45" w14:textId="77777777" w:rsidR="007A6A1A" w:rsidRPr="00167CB8" w:rsidRDefault="007A6A1A" w:rsidP="007A6A1A">
            <w:pPr>
              <w:spacing w:after="160"/>
            </w:pPr>
            <w:r w:rsidRPr="00167CB8">
              <w:t>27.6%</w:t>
            </w:r>
          </w:p>
        </w:tc>
      </w:tr>
      <w:tr w:rsidR="007A6A1A" w:rsidRPr="00167CB8" w14:paraId="7F78D860" w14:textId="77777777" w:rsidTr="00BB18C3">
        <w:trPr>
          <w:trHeight w:val="179"/>
        </w:trPr>
        <w:tc>
          <w:tcPr>
            <w:tcW w:w="5022" w:type="dxa"/>
            <w:tcBorders>
              <w:top w:val="nil"/>
              <w:left w:val="single" w:sz="4" w:space="0" w:color="auto"/>
              <w:bottom w:val="single" w:sz="4" w:space="0" w:color="auto"/>
              <w:right w:val="nil"/>
            </w:tcBorders>
            <w:noWrap/>
            <w:vAlign w:val="bottom"/>
            <w:hideMark/>
          </w:tcPr>
          <w:p w14:paraId="50B76CFC" w14:textId="77777777" w:rsidR="007A6A1A" w:rsidRPr="00167CB8" w:rsidRDefault="007A6A1A" w:rsidP="007A6A1A">
            <w:pPr>
              <w:spacing w:after="160"/>
            </w:pPr>
            <w:r w:rsidRPr="00167CB8">
              <w:t>Total</w:t>
            </w:r>
          </w:p>
        </w:tc>
        <w:tc>
          <w:tcPr>
            <w:tcW w:w="2310" w:type="dxa"/>
            <w:tcBorders>
              <w:top w:val="nil"/>
              <w:left w:val="nil"/>
              <w:bottom w:val="single" w:sz="4" w:space="0" w:color="auto"/>
              <w:right w:val="nil"/>
            </w:tcBorders>
            <w:noWrap/>
            <w:vAlign w:val="center"/>
            <w:hideMark/>
          </w:tcPr>
          <w:p w14:paraId="27DCE740" w14:textId="77777777" w:rsidR="007A6A1A" w:rsidRPr="00167CB8" w:rsidRDefault="007A6A1A" w:rsidP="007A6A1A">
            <w:pPr>
              <w:spacing w:after="160"/>
            </w:pPr>
            <w:r w:rsidRPr="00167CB8">
              <w:t>512.3</w:t>
            </w:r>
          </w:p>
        </w:tc>
        <w:tc>
          <w:tcPr>
            <w:tcW w:w="1937" w:type="dxa"/>
            <w:tcBorders>
              <w:top w:val="nil"/>
              <w:left w:val="nil"/>
              <w:bottom w:val="single" w:sz="4" w:space="0" w:color="auto"/>
              <w:right w:val="single" w:sz="4" w:space="0" w:color="auto"/>
            </w:tcBorders>
            <w:noWrap/>
            <w:vAlign w:val="center"/>
            <w:hideMark/>
          </w:tcPr>
          <w:p w14:paraId="60A044B6" w14:textId="77777777" w:rsidR="007A6A1A" w:rsidRPr="00167CB8" w:rsidRDefault="007A6A1A" w:rsidP="007A6A1A">
            <w:pPr>
              <w:spacing w:after="160"/>
            </w:pPr>
            <w:r w:rsidRPr="00167CB8">
              <w:t>100.0%</w:t>
            </w:r>
          </w:p>
        </w:tc>
      </w:tr>
    </w:tbl>
    <w:p w14:paraId="5A11C80B" w14:textId="02330356" w:rsidR="007A6A1A" w:rsidRPr="00167CB8" w:rsidRDefault="007A6A1A" w:rsidP="00A461FB">
      <w:pPr>
        <w:pStyle w:val="Source"/>
      </w:pPr>
      <w:r w:rsidRPr="00167CB8">
        <w:rPr>
          <w:b/>
          <w:bCs/>
        </w:rPr>
        <w:t>Source:</w:t>
      </w:r>
      <w:r w:rsidRPr="00167CB8">
        <w:t xml:space="preserve"> ABS Working Arrangements, August 2024 (Cat No 6336.0, Table 6). </w:t>
      </w:r>
    </w:p>
    <w:p w14:paraId="2AA92339" w14:textId="1BDA8B89" w:rsidR="007A6A1A" w:rsidRPr="00167CB8" w:rsidRDefault="007A6A1A" w:rsidP="00A461FB">
      <w:pPr>
        <w:pStyle w:val="Source"/>
      </w:pPr>
      <w:r w:rsidRPr="00167CB8">
        <w:rPr>
          <w:b/>
          <w:bCs/>
        </w:rPr>
        <w:t>Alt-text:</w:t>
      </w:r>
      <w:r w:rsidRPr="00167CB8">
        <w:t xml:space="preserve"> A table showing the number of employees by full-time or part-time status in their main job who were employed under a fixed</w:t>
      </w:r>
      <w:r w:rsidR="006B272C" w:rsidRPr="00167CB8">
        <w:t>-</w:t>
      </w:r>
      <w:r w:rsidRPr="00167CB8">
        <w:t>term contract at August 2024. Of all those engaged under a fixed</w:t>
      </w:r>
      <w:r w:rsidR="006B272C" w:rsidRPr="00167CB8">
        <w:t>-</w:t>
      </w:r>
      <w:r w:rsidRPr="00167CB8">
        <w:t>term contract 72.4% were full-time employees.</w:t>
      </w:r>
    </w:p>
    <w:p w14:paraId="0988EBA8" w14:textId="5E8AFFAA" w:rsidR="007A6A1A" w:rsidRPr="00167CB8" w:rsidRDefault="007A6A1A" w:rsidP="00470AB9">
      <w:pPr>
        <w:pStyle w:val="Caption"/>
      </w:pPr>
      <w:bookmarkStart w:id="680" w:name="_Ref184404256"/>
      <w:bookmarkStart w:id="681" w:name="_Toc186991807"/>
      <w:bookmarkStart w:id="682" w:name="_Toc189310858"/>
      <w:r w:rsidRPr="00167CB8">
        <w:t xml:space="preserve">Table </w:t>
      </w:r>
      <w:r w:rsidR="008F6A15" w:rsidRPr="00167CB8">
        <w:t>29</w:t>
      </w:r>
      <w:bookmarkEnd w:id="680"/>
      <w:r w:rsidRPr="00167CB8">
        <w:t>: Fixed</w:t>
      </w:r>
      <w:r w:rsidR="00A461FB" w:rsidRPr="00167CB8">
        <w:t>-</w:t>
      </w:r>
      <w:r w:rsidRPr="00167CB8">
        <w:t>term employment, by duration of employment in main job</w:t>
      </w:r>
      <w:bookmarkEnd w:id="681"/>
      <w:bookmarkEnd w:id="682"/>
    </w:p>
    <w:tbl>
      <w:tblPr>
        <w:tblW w:w="9238" w:type="dxa"/>
        <w:tblLook w:val="04A0" w:firstRow="1" w:lastRow="0" w:firstColumn="1" w:lastColumn="0" w:noHBand="0" w:noVBand="1"/>
      </w:tblPr>
      <w:tblGrid>
        <w:gridCol w:w="5002"/>
        <w:gridCol w:w="2300"/>
        <w:gridCol w:w="1936"/>
      </w:tblGrid>
      <w:tr w:rsidR="007A6A1A" w:rsidRPr="00167CB8" w14:paraId="740E32A2" w14:textId="77777777" w:rsidTr="00BB18C3">
        <w:trPr>
          <w:trHeight w:val="181"/>
        </w:trPr>
        <w:tc>
          <w:tcPr>
            <w:tcW w:w="5002" w:type="dxa"/>
            <w:tcBorders>
              <w:top w:val="single" w:sz="4" w:space="0" w:color="auto"/>
              <w:left w:val="single" w:sz="4" w:space="0" w:color="auto"/>
              <w:bottom w:val="single" w:sz="4" w:space="0" w:color="auto"/>
              <w:right w:val="nil"/>
            </w:tcBorders>
            <w:shd w:val="clear" w:color="auto" w:fill="FFFFFF"/>
            <w:noWrap/>
            <w:vAlign w:val="bottom"/>
            <w:hideMark/>
          </w:tcPr>
          <w:p w14:paraId="64C548DF" w14:textId="77777777" w:rsidR="007A6A1A" w:rsidRPr="00167CB8" w:rsidRDefault="007A6A1A" w:rsidP="007A6A1A">
            <w:pPr>
              <w:spacing w:after="160"/>
              <w:rPr>
                <w:b/>
                <w:bCs/>
              </w:rPr>
            </w:pPr>
            <w:r w:rsidRPr="00167CB8">
              <w:rPr>
                <w:b/>
                <w:bCs/>
              </w:rPr>
              <w:t>Duration of employment in main job</w:t>
            </w:r>
          </w:p>
        </w:tc>
        <w:tc>
          <w:tcPr>
            <w:tcW w:w="2300" w:type="dxa"/>
            <w:tcBorders>
              <w:top w:val="single" w:sz="4" w:space="0" w:color="auto"/>
              <w:left w:val="nil"/>
              <w:bottom w:val="single" w:sz="4" w:space="0" w:color="auto"/>
              <w:right w:val="nil"/>
            </w:tcBorders>
            <w:noWrap/>
            <w:vAlign w:val="center"/>
            <w:hideMark/>
          </w:tcPr>
          <w:p w14:paraId="7F897FBB" w14:textId="61A303D7" w:rsidR="007A6A1A" w:rsidRPr="00167CB8" w:rsidRDefault="007A6A1A" w:rsidP="007A6A1A">
            <w:pPr>
              <w:spacing w:after="160"/>
            </w:pPr>
            <w:r w:rsidRPr="00167CB8">
              <w:rPr>
                <w:b/>
                <w:bCs/>
              </w:rPr>
              <w:t>Number fixed</w:t>
            </w:r>
            <w:r w:rsidR="00A461FB" w:rsidRPr="00167CB8">
              <w:rPr>
                <w:b/>
                <w:bCs/>
              </w:rPr>
              <w:t>-</w:t>
            </w:r>
            <w:r w:rsidRPr="00167CB8">
              <w:rPr>
                <w:b/>
                <w:bCs/>
              </w:rPr>
              <w:t>term at August 2024</w:t>
            </w:r>
          </w:p>
        </w:tc>
        <w:tc>
          <w:tcPr>
            <w:tcW w:w="1936" w:type="dxa"/>
            <w:tcBorders>
              <w:top w:val="single" w:sz="4" w:space="0" w:color="auto"/>
              <w:left w:val="nil"/>
              <w:bottom w:val="single" w:sz="4" w:space="0" w:color="auto"/>
              <w:right w:val="single" w:sz="4" w:space="0" w:color="auto"/>
            </w:tcBorders>
            <w:noWrap/>
            <w:vAlign w:val="center"/>
            <w:hideMark/>
          </w:tcPr>
          <w:p w14:paraId="58F61847" w14:textId="77777777" w:rsidR="007A6A1A" w:rsidRPr="00167CB8" w:rsidRDefault="007A6A1A" w:rsidP="007A6A1A">
            <w:pPr>
              <w:spacing w:after="160"/>
            </w:pPr>
            <w:r w:rsidRPr="00167CB8">
              <w:rPr>
                <w:b/>
                <w:bCs/>
              </w:rPr>
              <w:t>% (distribution)</w:t>
            </w:r>
          </w:p>
        </w:tc>
      </w:tr>
      <w:tr w:rsidR="007A6A1A" w:rsidRPr="00167CB8" w14:paraId="202D72FB" w14:textId="77777777" w:rsidTr="00BB18C3">
        <w:trPr>
          <w:trHeight w:val="181"/>
        </w:trPr>
        <w:tc>
          <w:tcPr>
            <w:tcW w:w="5002" w:type="dxa"/>
            <w:tcBorders>
              <w:top w:val="single" w:sz="4" w:space="0" w:color="auto"/>
              <w:left w:val="single" w:sz="4" w:space="0" w:color="auto"/>
              <w:bottom w:val="nil"/>
              <w:right w:val="nil"/>
            </w:tcBorders>
            <w:shd w:val="clear" w:color="auto" w:fill="FFFFFF"/>
            <w:noWrap/>
            <w:vAlign w:val="bottom"/>
            <w:hideMark/>
          </w:tcPr>
          <w:p w14:paraId="5FB95EB2" w14:textId="77777777" w:rsidR="007A6A1A" w:rsidRPr="00167CB8" w:rsidRDefault="007A6A1A" w:rsidP="007A6A1A">
            <w:pPr>
              <w:spacing w:after="160"/>
            </w:pPr>
            <w:r w:rsidRPr="00167CB8">
              <w:t>Less than 1 year</w:t>
            </w:r>
          </w:p>
        </w:tc>
        <w:tc>
          <w:tcPr>
            <w:tcW w:w="2300" w:type="dxa"/>
            <w:tcBorders>
              <w:top w:val="single" w:sz="4" w:space="0" w:color="auto"/>
              <w:left w:val="nil"/>
              <w:bottom w:val="nil"/>
              <w:right w:val="nil"/>
            </w:tcBorders>
            <w:noWrap/>
            <w:vAlign w:val="center"/>
            <w:hideMark/>
          </w:tcPr>
          <w:p w14:paraId="6572B797" w14:textId="77777777" w:rsidR="007A6A1A" w:rsidRPr="00167CB8" w:rsidRDefault="007A6A1A" w:rsidP="007A6A1A">
            <w:pPr>
              <w:spacing w:after="160"/>
            </w:pPr>
            <w:r w:rsidRPr="00167CB8">
              <w:t>209.2</w:t>
            </w:r>
          </w:p>
        </w:tc>
        <w:tc>
          <w:tcPr>
            <w:tcW w:w="1936" w:type="dxa"/>
            <w:tcBorders>
              <w:top w:val="single" w:sz="4" w:space="0" w:color="auto"/>
              <w:left w:val="nil"/>
              <w:bottom w:val="nil"/>
              <w:right w:val="single" w:sz="4" w:space="0" w:color="auto"/>
            </w:tcBorders>
            <w:noWrap/>
            <w:vAlign w:val="center"/>
            <w:hideMark/>
          </w:tcPr>
          <w:p w14:paraId="7CFA0F64" w14:textId="77777777" w:rsidR="007A6A1A" w:rsidRPr="00167CB8" w:rsidRDefault="007A6A1A" w:rsidP="007A6A1A">
            <w:pPr>
              <w:spacing w:after="160"/>
            </w:pPr>
            <w:r w:rsidRPr="00167CB8">
              <w:t>40.8%</w:t>
            </w:r>
          </w:p>
        </w:tc>
      </w:tr>
      <w:tr w:rsidR="007A6A1A" w:rsidRPr="00167CB8" w14:paraId="567F17E8" w14:textId="77777777" w:rsidTr="00BB18C3">
        <w:trPr>
          <w:trHeight w:val="181"/>
        </w:trPr>
        <w:tc>
          <w:tcPr>
            <w:tcW w:w="5002" w:type="dxa"/>
            <w:tcBorders>
              <w:top w:val="nil"/>
              <w:left w:val="single" w:sz="4" w:space="0" w:color="auto"/>
              <w:bottom w:val="nil"/>
              <w:right w:val="nil"/>
            </w:tcBorders>
            <w:shd w:val="clear" w:color="auto" w:fill="FFFFFF"/>
            <w:noWrap/>
            <w:vAlign w:val="bottom"/>
            <w:hideMark/>
          </w:tcPr>
          <w:p w14:paraId="0AA0C035" w14:textId="77777777" w:rsidR="007A6A1A" w:rsidRPr="00167CB8" w:rsidRDefault="007A6A1A" w:rsidP="007A6A1A">
            <w:pPr>
              <w:spacing w:after="160"/>
            </w:pPr>
            <w:r w:rsidRPr="00167CB8">
              <w:t>1 year and over</w:t>
            </w:r>
          </w:p>
        </w:tc>
        <w:tc>
          <w:tcPr>
            <w:tcW w:w="2300" w:type="dxa"/>
            <w:noWrap/>
            <w:vAlign w:val="center"/>
            <w:hideMark/>
          </w:tcPr>
          <w:p w14:paraId="53FA6D7F" w14:textId="77777777" w:rsidR="007A6A1A" w:rsidRPr="00167CB8" w:rsidRDefault="007A6A1A" w:rsidP="007A6A1A">
            <w:pPr>
              <w:spacing w:after="160"/>
            </w:pPr>
            <w:r w:rsidRPr="00167CB8">
              <w:t>303.1</w:t>
            </w:r>
          </w:p>
        </w:tc>
        <w:tc>
          <w:tcPr>
            <w:tcW w:w="1936" w:type="dxa"/>
            <w:tcBorders>
              <w:top w:val="nil"/>
              <w:left w:val="nil"/>
              <w:bottom w:val="nil"/>
              <w:right w:val="single" w:sz="4" w:space="0" w:color="auto"/>
            </w:tcBorders>
            <w:noWrap/>
            <w:vAlign w:val="center"/>
            <w:hideMark/>
          </w:tcPr>
          <w:p w14:paraId="49477C79" w14:textId="77777777" w:rsidR="007A6A1A" w:rsidRPr="00167CB8" w:rsidRDefault="007A6A1A" w:rsidP="007A6A1A">
            <w:pPr>
              <w:spacing w:after="160"/>
            </w:pPr>
            <w:r w:rsidRPr="00167CB8">
              <w:t>59.2%</w:t>
            </w:r>
          </w:p>
        </w:tc>
      </w:tr>
      <w:tr w:rsidR="007A6A1A" w:rsidRPr="00167CB8" w14:paraId="6AC1A0A7" w14:textId="77777777" w:rsidTr="00BB18C3">
        <w:trPr>
          <w:trHeight w:val="181"/>
        </w:trPr>
        <w:tc>
          <w:tcPr>
            <w:tcW w:w="5002" w:type="dxa"/>
            <w:tcBorders>
              <w:top w:val="nil"/>
              <w:left w:val="single" w:sz="4" w:space="0" w:color="auto"/>
              <w:bottom w:val="nil"/>
              <w:right w:val="nil"/>
            </w:tcBorders>
            <w:shd w:val="clear" w:color="auto" w:fill="FFFFFF"/>
            <w:noWrap/>
            <w:vAlign w:val="bottom"/>
            <w:hideMark/>
          </w:tcPr>
          <w:p w14:paraId="64C4F2F9" w14:textId="6A2AFF02" w:rsidR="007A6A1A" w:rsidRPr="00167CB8" w:rsidRDefault="007A6A1A" w:rsidP="007A6A1A">
            <w:pPr>
              <w:spacing w:after="160"/>
            </w:pPr>
            <w:r w:rsidRPr="00167CB8">
              <w:t xml:space="preserve">   1</w:t>
            </w:r>
            <w:r w:rsidR="00A461FB" w:rsidRPr="00167CB8">
              <w:rPr>
                <w:rFonts w:ascii="Symbol" w:eastAsia="Symbol" w:hAnsi="Symbol" w:cs="Symbol"/>
              </w:rPr>
              <w:sym w:font="Symbol" w:char="F02D"/>
            </w:r>
            <w:r w:rsidRPr="00167CB8">
              <w:t>2 years</w:t>
            </w:r>
          </w:p>
        </w:tc>
        <w:tc>
          <w:tcPr>
            <w:tcW w:w="2300" w:type="dxa"/>
            <w:noWrap/>
            <w:vAlign w:val="center"/>
            <w:hideMark/>
          </w:tcPr>
          <w:p w14:paraId="72AA3689" w14:textId="77777777" w:rsidR="007A6A1A" w:rsidRPr="00167CB8" w:rsidRDefault="007A6A1A" w:rsidP="007A6A1A">
            <w:pPr>
              <w:spacing w:after="160"/>
            </w:pPr>
            <w:r w:rsidRPr="00167CB8">
              <w:t>141.5</w:t>
            </w:r>
          </w:p>
        </w:tc>
        <w:tc>
          <w:tcPr>
            <w:tcW w:w="1936" w:type="dxa"/>
            <w:tcBorders>
              <w:top w:val="nil"/>
              <w:left w:val="nil"/>
              <w:bottom w:val="nil"/>
              <w:right w:val="single" w:sz="4" w:space="0" w:color="auto"/>
            </w:tcBorders>
            <w:noWrap/>
            <w:vAlign w:val="center"/>
            <w:hideMark/>
          </w:tcPr>
          <w:p w14:paraId="06FB1E2F" w14:textId="77777777" w:rsidR="007A6A1A" w:rsidRPr="00167CB8" w:rsidRDefault="007A6A1A" w:rsidP="007A6A1A">
            <w:pPr>
              <w:spacing w:after="160"/>
            </w:pPr>
            <w:r w:rsidRPr="00167CB8">
              <w:t>27.6%</w:t>
            </w:r>
          </w:p>
        </w:tc>
      </w:tr>
      <w:tr w:rsidR="007A6A1A" w:rsidRPr="00167CB8" w14:paraId="6914A19F" w14:textId="77777777" w:rsidTr="00BB18C3">
        <w:trPr>
          <w:trHeight w:val="181"/>
        </w:trPr>
        <w:tc>
          <w:tcPr>
            <w:tcW w:w="5002" w:type="dxa"/>
            <w:tcBorders>
              <w:top w:val="nil"/>
              <w:left w:val="single" w:sz="4" w:space="0" w:color="auto"/>
              <w:bottom w:val="nil"/>
              <w:right w:val="nil"/>
            </w:tcBorders>
            <w:shd w:val="clear" w:color="auto" w:fill="FFFFFF"/>
            <w:noWrap/>
            <w:vAlign w:val="bottom"/>
            <w:hideMark/>
          </w:tcPr>
          <w:p w14:paraId="213D0D9F" w14:textId="3E8CA619" w:rsidR="007A6A1A" w:rsidRPr="00167CB8" w:rsidRDefault="007A6A1A" w:rsidP="007A6A1A">
            <w:pPr>
              <w:spacing w:after="160"/>
            </w:pPr>
            <w:r w:rsidRPr="00167CB8">
              <w:t xml:space="preserve">   3</w:t>
            </w:r>
            <w:r w:rsidR="00A461FB" w:rsidRPr="00167CB8">
              <w:rPr>
                <w:rFonts w:ascii="Symbol" w:eastAsia="Symbol" w:hAnsi="Symbol" w:cs="Symbol"/>
              </w:rPr>
              <w:sym w:font="Symbol" w:char="F02D"/>
            </w:r>
            <w:r w:rsidRPr="00167CB8">
              <w:t>4 years</w:t>
            </w:r>
          </w:p>
        </w:tc>
        <w:tc>
          <w:tcPr>
            <w:tcW w:w="2300" w:type="dxa"/>
            <w:noWrap/>
            <w:vAlign w:val="center"/>
            <w:hideMark/>
          </w:tcPr>
          <w:p w14:paraId="3E405644" w14:textId="77777777" w:rsidR="007A6A1A" w:rsidRPr="00167CB8" w:rsidRDefault="007A6A1A" w:rsidP="007A6A1A">
            <w:pPr>
              <w:spacing w:after="160"/>
            </w:pPr>
            <w:r w:rsidRPr="00167CB8">
              <w:t>62.2</w:t>
            </w:r>
          </w:p>
        </w:tc>
        <w:tc>
          <w:tcPr>
            <w:tcW w:w="1936" w:type="dxa"/>
            <w:tcBorders>
              <w:top w:val="nil"/>
              <w:left w:val="nil"/>
              <w:bottom w:val="nil"/>
              <w:right w:val="single" w:sz="4" w:space="0" w:color="auto"/>
            </w:tcBorders>
            <w:noWrap/>
            <w:vAlign w:val="center"/>
            <w:hideMark/>
          </w:tcPr>
          <w:p w14:paraId="453A4FCF" w14:textId="77777777" w:rsidR="007A6A1A" w:rsidRPr="00167CB8" w:rsidRDefault="007A6A1A" w:rsidP="007A6A1A">
            <w:pPr>
              <w:spacing w:after="160"/>
            </w:pPr>
            <w:r w:rsidRPr="00167CB8">
              <w:t>12.1%</w:t>
            </w:r>
          </w:p>
        </w:tc>
      </w:tr>
      <w:tr w:rsidR="007A6A1A" w:rsidRPr="00167CB8" w14:paraId="49D08B9D" w14:textId="77777777" w:rsidTr="00BB18C3">
        <w:trPr>
          <w:trHeight w:val="181"/>
        </w:trPr>
        <w:tc>
          <w:tcPr>
            <w:tcW w:w="5002" w:type="dxa"/>
            <w:tcBorders>
              <w:top w:val="nil"/>
              <w:left w:val="single" w:sz="4" w:space="0" w:color="auto"/>
              <w:bottom w:val="nil"/>
              <w:right w:val="nil"/>
            </w:tcBorders>
            <w:shd w:val="clear" w:color="auto" w:fill="FFFFFF"/>
            <w:noWrap/>
            <w:vAlign w:val="bottom"/>
            <w:hideMark/>
          </w:tcPr>
          <w:p w14:paraId="57894067" w14:textId="31B5B513" w:rsidR="007A6A1A" w:rsidRPr="00167CB8" w:rsidRDefault="007A6A1A" w:rsidP="007A6A1A">
            <w:pPr>
              <w:spacing w:after="160"/>
            </w:pPr>
            <w:r w:rsidRPr="00167CB8">
              <w:t xml:space="preserve">   5</w:t>
            </w:r>
            <w:r w:rsidR="00A461FB" w:rsidRPr="00167CB8">
              <w:rPr>
                <w:rFonts w:ascii="Symbol" w:eastAsia="Symbol" w:hAnsi="Symbol" w:cs="Symbol"/>
              </w:rPr>
              <w:sym w:font="Symbol" w:char="F02D"/>
            </w:r>
            <w:r w:rsidRPr="00167CB8">
              <w:t>9 years</w:t>
            </w:r>
          </w:p>
        </w:tc>
        <w:tc>
          <w:tcPr>
            <w:tcW w:w="2300" w:type="dxa"/>
            <w:noWrap/>
            <w:vAlign w:val="center"/>
            <w:hideMark/>
          </w:tcPr>
          <w:p w14:paraId="4778A1FC" w14:textId="77777777" w:rsidR="007A6A1A" w:rsidRPr="00167CB8" w:rsidRDefault="007A6A1A" w:rsidP="007A6A1A">
            <w:pPr>
              <w:spacing w:after="160"/>
            </w:pPr>
            <w:r w:rsidRPr="00167CB8">
              <w:t>52.6</w:t>
            </w:r>
          </w:p>
        </w:tc>
        <w:tc>
          <w:tcPr>
            <w:tcW w:w="1936" w:type="dxa"/>
            <w:tcBorders>
              <w:top w:val="nil"/>
              <w:left w:val="nil"/>
              <w:bottom w:val="nil"/>
              <w:right w:val="single" w:sz="4" w:space="0" w:color="auto"/>
            </w:tcBorders>
            <w:noWrap/>
            <w:vAlign w:val="center"/>
            <w:hideMark/>
          </w:tcPr>
          <w:p w14:paraId="79EB0FF8" w14:textId="77777777" w:rsidR="007A6A1A" w:rsidRPr="00167CB8" w:rsidRDefault="007A6A1A" w:rsidP="007A6A1A">
            <w:pPr>
              <w:spacing w:after="160"/>
            </w:pPr>
            <w:r w:rsidRPr="00167CB8">
              <w:t>10.3%</w:t>
            </w:r>
          </w:p>
        </w:tc>
      </w:tr>
      <w:tr w:rsidR="007A6A1A" w:rsidRPr="00167CB8" w14:paraId="297412F1" w14:textId="77777777" w:rsidTr="00BB18C3">
        <w:trPr>
          <w:trHeight w:val="181"/>
        </w:trPr>
        <w:tc>
          <w:tcPr>
            <w:tcW w:w="5002" w:type="dxa"/>
            <w:tcBorders>
              <w:top w:val="nil"/>
              <w:left w:val="single" w:sz="4" w:space="0" w:color="auto"/>
              <w:bottom w:val="single" w:sz="4" w:space="0" w:color="auto"/>
              <w:right w:val="nil"/>
            </w:tcBorders>
            <w:shd w:val="clear" w:color="auto" w:fill="FFFFFF"/>
            <w:noWrap/>
            <w:vAlign w:val="bottom"/>
            <w:hideMark/>
          </w:tcPr>
          <w:p w14:paraId="6088DCE0" w14:textId="77777777" w:rsidR="007A6A1A" w:rsidRPr="00167CB8" w:rsidRDefault="007A6A1A" w:rsidP="007A6A1A">
            <w:pPr>
              <w:spacing w:after="160"/>
            </w:pPr>
            <w:r w:rsidRPr="00167CB8">
              <w:t xml:space="preserve">   10 years and over</w:t>
            </w:r>
          </w:p>
        </w:tc>
        <w:tc>
          <w:tcPr>
            <w:tcW w:w="2300" w:type="dxa"/>
            <w:tcBorders>
              <w:top w:val="nil"/>
              <w:left w:val="nil"/>
              <w:bottom w:val="single" w:sz="4" w:space="0" w:color="auto"/>
              <w:right w:val="nil"/>
            </w:tcBorders>
            <w:noWrap/>
            <w:vAlign w:val="center"/>
            <w:hideMark/>
          </w:tcPr>
          <w:p w14:paraId="7D8E6B37" w14:textId="77777777" w:rsidR="007A6A1A" w:rsidRPr="00167CB8" w:rsidRDefault="007A6A1A" w:rsidP="007A6A1A">
            <w:pPr>
              <w:spacing w:after="160"/>
            </w:pPr>
            <w:r w:rsidRPr="00167CB8">
              <w:t>46.8</w:t>
            </w:r>
          </w:p>
        </w:tc>
        <w:tc>
          <w:tcPr>
            <w:tcW w:w="1936" w:type="dxa"/>
            <w:tcBorders>
              <w:top w:val="nil"/>
              <w:left w:val="nil"/>
              <w:bottom w:val="single" w:sz="4" w:space="0" w:color="auto"/>
              <w:right w:val="single" w:sz="4" w:space="0" w:color="auto"/>
            </w:tcBorders>
            <w:noWrap/>
            <w:vAlign w:val="center"/>
            <w:hideMark/>
          </w:tcPr>
          <w:p w14:paraId="5BB4281F" w14:textId="77777777" w:rsidR="007A6A1A" w:rsidRPr="00167CB8" w:rsidRDefault="007A6A1A" w:rsidP="007A6A1A">
            <w:pPr>
              <w:spacing w:after="160"/>
            </w:pPr>
            <w:r w:rsidRPr="00167CB8">
              <w:t>9.1%</w:t>
            </w:r>
          </w:p>
        </w:tc>
      </w:tr>
      <w:tr w:rsidR="007A6A1A" w:rsidRPr="00167CB8" w14:paraId="1E6E7D3A" w14:textId="77777777" w:rsidTr="00BB18C3">
        <w:trPr>
          <w:trHeight w:val="181"/>
        </w:trPr>
        <w:tc>
          <w:tcPr>
            <w:tcW w:w="5002" w:type="dxa"/>
            <w:tcBorders>
              <w:top w:val="nil"/>
              <w:left w:val="single" w:sz="4" w:space="0" w:color="auto"/>
              <w:bottom w:val="single" w:sz="4" w:space="0" w:color="auto"/>
              <w:right w:val="nil"/>
            </w:tcBorders>
            <w:shd w:val="clear" w:color="auto" w:fill="FFFFFF"/>
            <w:noWrap/>
            <w:vAlign w:val="bottom"/>
            <w:hideMark/>
          </w:tcPr>
          <w:p w14:paraId="65076DAF" w14:textId="77777777" w:rsidR="007A6A1A" w:rsidRPr="00167CB8" w:rsidRDefault="007A6A1A" w:rsidP="007A6A1A">
            <w:pPr>
              <w:spacing w:after="160"/>
            </w:pPr>
          </w:p>
        </w:tc>
        <w:tc>
          <w:tcPr>
            <w:tcW w:w="2300" w:type="dxa"/>
            <w:tcBorders>
              <w:top w:val="nil"/>
              <w:left w:val="nil"/>
              <w:bottom w:val="single" w:sz="4" w:space="0" w:color="auto"/>
              <w:right w:val="nil"/>
            </w:tcBorders>
            <w:noWrap/>
            <w:vAlign w:val="center"/>
            <w:hideMark/>
          </w:tcPr>
          <w:p w14:paraId="6907AD03" w14:textId="77777777" w:rsidR="007A6A1A" w:rsidRPr="00167CB8" w:rsidRDefault="007A6A1A" w:rsidP="007A6A1A">
            <w:pPr>
              <w:spacing w:after="160"/>
            </w:pPr>
            <w:r w:rsidRPr="00167CB8">
              <w:t>512.3</w:t>
            </w:r>
          </w:p>
        </w:tc>
        <w:tc>
          <w:tcPr>
            <w:tcW w:w="1936" w:type="dxa"/>
            <w:tcBorders>
              <w:top w:val="nil"/>
              <w:left w:val="nil"/>
              <w:bottom w:val="single" w:sz="4" w:space="0" w:color="auto"/>
              <w:right w:val="single" w:sz="4" w:space="0" w:color="auto"/>
            </w:tcBorders>
            <w:noWrap/>
            <w:vAlign w:val="center"/>
            <w:hideMark/>
          </w:tcPr>
          <w:p w14:paraId="66852F25" w14:textId="77777777" w:rsidR="007A6A1A" w:rsidRPr="00167CB8" w:rsidRDefault="007A6A1A" w:rsidP="007A6A1A">
            <w:pPr>
              <w:spacing w:after="160"/>
            </w:pPr>
            <w:r w:rsidRPr="00167CB8">
              <w:t>100.0%</w:t>
            </w:r>
          </w:p>
        </w:tc>
      </w:tr>
    </w:tbl>
    <w:p w14:paraId="0FC6EB4C" w14:textId="7B8CC91A" w:rsidR="007A6A1A" w:rsidRPr="00167CB8" w:rsidRDefault="007A6A1A" w:rsidP="00A461FB">
      <w:pPr>
        <w:pStyle w:val="Source"/>
      </w:pPr>
      <w:r w:rsidRPr="00167CB8">
        <w:rPr>
          <w:b/>
          <w:bCs/>
        </w:rPr>
        <w:t>Source:</w:t>
      </w:r>
      <w:r w:rsidRPr="00167CB8">
        <w:t xml:space="preserve"> ABS Working Arrangements, August 2024 (Cat No 6336.0, Table 6). </w:t>
      </w:r>
    </w:p>
    <w:p w14:paraId="19528264" w14:textId="03CD55D7" w:rsidR="007A6A1A" w:rsidRPr="00167CB8" w:rsidRDefault="007A6A1A" w:rsidP="00A461FB">
      <w:pPr>
        <w:pStyle w:val="Source"/>
      </w:pPr>
      <w:r w:rsidRPr="00167CB8">
        <w:rPr>
          <w:b/>
          <w:bCs/>
        </w:rPr>
        <w:t>Alt-text:</w:t>
      </w:r>
      <w:r w:rsidRPr="00167CB8">
        <w:t xml:space="preserve"> A table showing the number of employees by who were employed under a fixed</w:t>
      </w:r>
      <w:r w:rsidR="006B272C" w:rsidRPr="00167CB8">
        <w:t>-</w:t>
      </w:r>
      <w:r w:rsidRPr="00167CB8">
        <w:t>term contract at August 2024 by duration of employment in main job. Nearly 60% of employees on a fixed</w:t>
      </w:r>
      <w:r w:rsidR="006B272C" w:rsidRPr="00167CB8">
        <w:t>-</w:t>
      </w:r>
      <w:r w:rsidRPr="00167CB8">
        <w:t xml:space="preserve">term contract had been employed for 1 year or more. </w:t>
      </w:r>
    </w:p>
    <w:p w14:paraId="7F18D178" w14:textId="157F085C" w:rsidR="007A6A1A" w:rsidRPr="00167CB8" w:rsidRDefault="007A6A1A" w:rsidP="00470AB9">
      <w:pPr>
        <w:pStyle w:val="Caption"/>
      </w:pPr>
      <w:bookmarkStart w:id="683" w:name="_Ref184404272"/>
      <w:bookmarkStart w:id="684" w:name="_Toc186991808"/>
      <w:bookmarkStart w:id="685" w:name="_Toc189310859"/>
      <w:r w:rsidRPr="00167CB8">
        <w:t xml:space="preserve">Table </w:t>
      </w:r>
      <w:r w:rsidR="003F3FBB" w:rsidRPr="00167CB8">
        <w:t>30</w:t>
      </w:r>
      <w:bookmarkEnd w:id="683"/>
      <w:r w:rsidRPr="00167CB8">
        <w:t>: Fixed</w:t>
      </w:r>
      <w:r w:rsidR="00A461FB" w:rsidRPr="00167CB8">
        <w:t>-</w:t>
      </w:r>
      <w:r w:rsidRPr="00167CB8">
        <w:t>term employment, by expectation of future employment in main job</w:t>
      </w:r>
      <w:bookmarkEnd w:id="684"/>
      <w:bookmarkEnd w:id="685"/>
    </w:p>
    <w:tbl>
      <w:tblPr>
        <w:tblW w:w="9128" w:type="dxa"/>
        <w:tblLook w:val="04A0" w:firstRow="1" w:lastRow="0" w:firstColumn="1" w:lastColumn="0" w:noHBand="0" w:noVBand="1"/>
      </w:tblPr>
      <w:tblGrid>
        <w:gridCol w:w="5003"/>
        <w:gridCol w:w="2267"/>
        <w:gridCol w:w="1858"/>
      </w:tblGrid>
      <w:tr w:rsidR="007A6A1A" w:rsidRPr="00167CB8" w14:paraId="0EAB9E6E" w14:textId="77777777" w:rsidTr="00BB18C3">
        <w:trPr>
          <w:trHeight w:val="263"/>
        </w:trPr>
        <w:tc>
          <w:tcPr>
            <w:tcW w:w="5003" w:type="dxa"/>
            <w:tcBorders>
              <w:top w:val="single" w:sz="4" w:space="0" w:color="auto"/>
              <w:left w:val="single" w:sz="4" w:space="0" w:color="auto"/>
              <w:bottom w:val="single" w:sz="4" w:space="0" w:color="auto"/>
              <w:right w:val="nil"/>
            </w:tcBorders>
            <w:shd w:val="clear" w:color="auto" w:fill="FFFFFF"/>
            <w:noWrap/>
            <w:vAlign w:val="bottom"/>
            <w:hideMark/>
          </w:tcPr>
          <w:p w14:paraId="7628D83C" w14:textId="77777777" w:rsidR="007A6A1A" w:rsidRPr="00167CB8" w:rsidRDefault="007A6A1A" w:rsidP="007A6A1A">
            <w:pPr>
              <w:spacing w:after="160"/>
              <w:rPr>
                <w:b/>
                <w:bCs/>
              </w:rPr>
            </w:pPr>
            <w:r w:rsidRPr="00167CB8">
              <w:rPr>
                <w:b/>
                <w:bCs/>
              </w:rPr>
              <w:t>Expectation of future employment in main job</w:t>
            </w:r>
          </w:p>
        </w:tc>
        <w:tc>
          <w:tcPr>
            <w:tcW w:w="2267" w:type="dxa"/>
            <w:tcBorders>
              <w:top w:val="single" w:sz="4" w:space="0" w:color="auto"/>
              <w:left w:val="nil"/>
              <w:bottom w:val="single" w:sz="4" w:space="0" w:color="auto"/>
              <w:right w:val="nil"/>
            </w:tcBorders>
            <w:noWrap/>
            <w:vAlign w:val="center"/>
            <w:hideMark/>
          </w:tcPr>
          <w:p w14:paraId="17FC6884" w14:textId="44A6CC3B" w:rsidR="007A6A1A" w:rsidRPr="00167CB8" w:rsidRDefault="007A6A1A" w:rsidP="007A6A1A">
            <w:pPr>
              <w:spacing w:after="160"/>
              <w:rPr>
                <w:b/>
                <w:bCs/>
              </w:rPr>
            </w:pPr>
            <w:r w:rsidRPr="00167CB8">
              <w:rPr>
                <w:b/>
                <w:bCs/>
              </w:rPr>
              <w:t>Number fixed</w:t>
            </w:r>
            <w:r w:rsidR="00A461FB" w:rsidRPr="00167CB8">
              <w:rPr>
                <w:b/>
                <w:bCs/>
              </w:rPr>
              <w:t>-</w:t>
            </w:r>
            <w:r w:rsidRPr="00167CB8">
              <w:rPr>
                <w:b/>
                <w:bCs/>
              </w:rPr>
              <w:t>term at August 2024</w:t>
            </w:r>
          </w:p>
        </w:tc>
        <w:tc>
          <w:tcPr>
            <w:tcW w:w="1858" w:type="dxa"/>
            <w:tcBorders>
              <w:top w:val="single" w:sz="4" w:space="0" w:color="auto"/>
              <w:left w:val="nil"/>
              <w:bottom w:val="single" w:sz="4" w:space="0" w:color="auto"/>
              <w:right w:val="single" w:sz="4" w:space="0" w:color="auto"/>
            </w:tcBorders>
            <w:noWrap/>
            <w:vAlign w:val="center"/>
            <w:hideMark/>
          </w:tcPr>
          <w:p w14:paraId="49424706" w14:textId="77777777" w:rsidR="007A6A1A" w:rsidRPr="00167CB8" w:rsidRDefault="007A6A1A" w:rsidP="007A6A1A">
            <w:pPr>
              <w:spacing w:after="160"/>
            </w:pPr>
            <w:r w:rsidRPr="00167CB8">
              <w:rPr>
                <w:b/>
                <w:bCs/>
              </w:rPr>
              <w:t>% (distribution)</w:t>
            </w:r>
          </w:p>
        </w:tc>
      </w:tr>
      <w:tr w:rsidR="007A6A1A" w:rsidRPr="00167CB8" w14:paraId="2F29B55A" w14:textId="77777777" w:rsidTr="00BB18C3">
        <w:trPr>
          <w:trHeight w:val="263"/>
        </w:trPr>
        <w:tc>
          <w:tcPr>
            <w:tcW w:w="5003" w:type="dxa"/>
            <w:tcBorders>
              <w:top w:val="single" w:sz="4" w:space="0" w:color="auto"/>
              <w:left w:val="single" w:sz="4" w:space="0" w:color="auto"/>
              <w:bottom w:val="nil"/>
              <w:right w:val="nil"/>
            </w:tcBorders>
            <w:shd w:val="clear" w:color="auto" w:fill="FFFFFF"/>
            <w:noWrap/>
            <w:vAlign w:val="bottom"/>
            <w:hideMark/>
          </w:tcPr>
          <w:p w14:paraId="68E98EFE" w14:textId="77777777" w:rsidR="007A6A1A" w:rsidRPr="00167CB8" w:rsidRDefault="007A6A1A" w:rsidP="007A6A1A">
            <w:pPr>
              <w:spacing w:after="160"/>
            </w:pPr>
            <w:r w:rsidRPr="00167CB8">
              <w:t>Expects to remain in main job for next 12 months</w:t>
            </w:r>
          </w:p>
        </w:tc>
        <w:tc>
          <w:tcPr>
            <w:tcW w:w="2267" w:type="dxa"/>
            <w:tcBorders>
              <w:top w:val="single" w:sz="4" w:space="0" w:color="auto"/>
              <w:left w:val="nil"/>
              <w:bottom w:val="nil"/>
              <w:right w:val="nil"/>
            </w:tcBorders>
            <w:noWrap/>
            <w:vAlign w:val="center"/>
            <w:hideMark/>
          </w:tcPr>
          <w:p w14:paraId="631F867B" w14:textId="77777777" w:rsidR="007A6A1A" w:rsidRPr="00167CB8" w:rsidRDefault="007A6A1A" w:rsidP="007A6A1A">
            <w:pPr>
              <w:spacing w:after="160"/>
            </w:pPr>
            <w:r w:rsidRPr="00167CB8">
              <w:t>383.2</w:t>
            </w:r>
          </w:p>
        </w:tc>
        <w:tc>
          <w:tcPr>
            <w:tcW w:w="1858" w:type="dxa"/>
            <w:tcBorders>
              <w:top w:val="single" w:sz="4" w:space="0" w:color="auto"/>
              <w:left w:val="nil"/>
              <w:bottom w:val="nil"/>
              <w:right w:val="single" w:sz="4" w:space="0" w:color="auto"/>
            </w:tcBorders>
            <w:noWrap/>
            <w:vAlign w:val="center"/>
            <w:hideMark/>
          </w:tcPr>
          <w:p w14:paraId="4B76FF37" w14:textId="77777777" w:rsidR="007A6A1A" w:rsidRPr="00167CB8" w:rsidRDefault="007A6A1A" w:rsidP="007A6A1A">
            <w:pPr>
              <w:spacing w:after="160"/>
            </w:pPr>
            <w:r w:rsidRPr="00167CB8">
              <w:t>74.8%</w:t>
            </w:r>
          </w:p>
        </w:tc>
      </w:tr>
      <w:tr w:rsidR="007A6A1A" w:rsidRPr="00167CB8" w14:paraId="7AF2E834" w14:textId="77777777" w:rsidTr="00BB18C3">
        <w:trPr>
          <w:trHeight w:val="263"/>
        </w:trPr>
        <w:tc>
          <w:tcPr>
            <w:tcW w:w="5003" w:type="dxa"/>
            <w:tcBorders>
              <w:top w:val="nil"/>
              <w:left w:val="single" w:sz="4" w:space="0" w:color="auto"/>
              <w:bottom w:val="nil"/>
              <w:right w:val="nil"/>
            </w:tcBorders>
            <w:shd w:val="clear" w:color="auto" w:fill="FFFFFF"/>
            <w:noWrap/>
            <w:vAlign w:val="bottom"/>
            <w:hideMark/>
          </w:tcPr>
          <w:p w14:paraId="6E1F0566" w14:textId="77777777" w:rsidR="007A6A1A" w:rsidRPr="00167CB8" w:rsidRDefault="007A6A1A" w:rsidP="007A6A1A">
            <w:pPr>
              <w:spacing w:after="160"/>
            </w:pPr>
            <w:r w:rsidRPr="00167CB8">
              <w:t>Does not expect to remain in main job for next 12 months</w:t>
            </w:r>
          </w:p>
        </w:tc>
        <w:tc>
          <w:tcPr>
            <w:tcW w:w="2267" w:type="dxa"/>
            <w:noWrap/>
            <w:vAlign w:val="center"/>
            <w:hideMark/>
          </w:tcPr>
          <w:p w14:paraId="371F13BD" w14:textId="77777777" w:rsidR="007A6A1A" w:rsidRPr="00167CB8" w:rsidRDefault="007A6A1A" w:rsidP="007A6A1A">
            <w:pPr>
              <w:spacing w:after="160"/>
            </w:pPr>
            <w:r w:rsidRPr="00167CB8">
              <w:t>129.1</w:t>
            </w:r>
          </w:p>
        </w:tc>
        <w:tc>
          <w:tcPr>
            <w:tcW w:w="1858" w:type="dxa"/>
            <w:tcBorders>
              <w:top w:val="nil"/>
              <w:left w:val="nil"/>
              <w:bottom w:val="nil"/>
              <w:right w:val="single" w:sz="4" w:space="0" w:color="auto"/>
            </w:tcBorders>
            <w:noWrap/>
            <w:vAlign w:val="center"/>
            <w:hideMark/>
          </w:tcPr>
          <w:p w14:paraId="3E4512E6" w14:textId="77777777" w:rsidR="007A6A1A" w:rsidRPr="00167CB8" w:rsidRDefault="007A6A1A" w:rsidP="007A6A1A">
            <w:pPr>
              <w:spacing w:after="160"/>
            </w:pPr>
            <w:r w:rsidRPr="00167CB8">
              <w:t>25.2%</w:t>
            </w:r>
          </w:p>
        </w:tc>
      </w:tr>
      <w:tr w:rsidR="007A6A1A" w:rsidRPr="00167CB8" w14:paraId="29B55525" w14:textId="77777777" w:rsidTr="00BB18C3">
        <w:trPr>
          <w:trHeight w:val="263"/>
        </w:trPr>
        <w:tc>
          <w:tcPr>
            <w:tcW w:w="5003" w:type="dxa"/>
            <w:tcBorders>
              <w:top w:val="nil"/>
              <w:left w:val="single" w:sz="4" w:space="0" w:color="auto"/>
              <w:bottom w:val="single" w:sz="4" w:space="0" w:color="auto"/>
              <w:right w:val="nil"/>
            </w:tcBorders>
            <w:noWrap/>
            <w:vAlign w:val="bottom"/>
            <w:hideMark/>
          </w:tcPr>
          <w:p w14:paraId="53C30D3F" w14:textId="2A2C1726" w:rsidR="007A6A1A" w:rsidRPr="00167CB8" w:rsidRDefault="00A461FB" w:rsidP="007A6A1A">
            <w:pPr>
              <w:spacing w:after="160"/>
            </w:pPr>
            <w:r w:rsidRPr="00167CB8">
              <w:t>Total</w:t>
            </w:r>
          </w:p>
        </w:tc>
        <w:tc>
          <w:tcPr>
            <w:tcW w:w="2267" w:type="dxa"/>
            <w:tcBorders>
              <w:top w:val="nil"/>
              <w:left w:val="nil"/>
              <w:bottom w:val="single" w:sz="4" w:space="0" w:color="auto"/>
              <w:right w:val="nil"/>
            </w:tcBorders>
            <w:noWrap/>
            <w:vAlign w:val="center"/>
            <w:hideMark/>
          </w:tcPr>
          <w:p w14:paraId="7CE01B8D" w14:textId="77777777" w:rsidR="007A6A1A" w:rsidRPr="00167CB8" w:rsidRDefault="007A6A1A" w:rsidP="007A6A1A">
            <w:pPr>
              <w:spacing w:after="160"/>
            </w:pPr>
            <w:r w:rsidRPr="00167CB8">
              <w:t>512.3</w:t>
            </w:r>
          </w:p>
        </w:tc>
        <w:tc>
          <w:tcPr>
            <w:tcW w:w="1858" w:type="dxa"/>
            <w:tcBorders>
              <w:top w:val="nil"/>
              <w:left w:val="nil"/>
              <w:bottom w:val="single" w:sz="4" w:space="0" w:color="auto"/>
              <w:right w:val="single" w:sz="4" w:space="0" w:color="auto"/>
            </w:tcBorders>
            <w:noWrap/>
            <w:vAlign w:val="center"/>
            <w:hideMark/>
          </w:tcPr>
          <w:p w14:paraId="3C8DDF1E" w14:textId="77777777" w:rsidR="007A6A1A" w:rsidRPr="00167CB8" w:rsidRDefault="007A6A1A" w:rsidP="007A6A1A">
            <w:pPr>
              <w:spacing w:after="160"/>
            </w:pPr>
            <w:r w:rsidRPr="00167CB8">
              <w:t>100.0%</w:t>
            </w:r>
          </w:p>
        </w:tc>
      </w:tr>
    </w:tbl>
    <w:p w14:paraId="2C903EB7" w14:textId="698BCB34" w:rsidR="007A6A1A" w:rsidRPr="00167CB8" w:rsidRDefault="007A6A1A" w:rsidP="00A461FB">
      <w:pPr>
        <w:pStyle w:val="Source"/>
      </w:pPr>
      <w:r w:rsidRPr="00167CB8">
        <w:rPr>
          <w:b/>
          <w:bCs/>
        </w:rPr>
        <w:t>Source:</w:t>
      </w:r>
      <w:r w:rsidRPr="00167CB8">
        <w:t xml:space="preserve"> ABS Working Arrangements, August 2024 (Cat No 6336.0, Table 6). </w:t>
      </w:r>
    </w:p>
    <w:p w14:paraId="6C233686" w14:textId="6CEA6D76" w:rsidR="007A6A1A" w:rsidRPr="00167CB8" w:rsidRDefault="007A6A1A" w:rsidP="00E12A27">
      <w:pPr>
        <w:pStyle w:val="Source"/>
      </w:pPr>
      <w:r w:rsidRPr="00167CB8">
        <w:rPr>
          <w:b/>
          <w:bCs/>
        </w:rPr>
        <w:t>Alt-text:</w:t>
      </w:r>
      <w:r w:rsidRPr="00167CB8">
        <w:t xml:space="preserve"> A table showing the number of employees who were employed under a fixed</w:t>
      </w:r>
      <w:r w:rsidR="00A461FB" w:rsidRPr="00167CB8">
        <w:t>-</w:t>
      </w:r>
      <w:r w:rsidRPr="00167CB8">
        <w:t xml:space="preserve">term contract at August 2024 by expectations of future employment. The majority (74.8%) expect to remain in their job for the next 12 months.  </w:t>
      </w:r>
      <w:r w:rsidRPr="00167CB8">
        <w:br w:type="page"/>
      </w:r>
    </w:p>
    <w:p w14:paraId="1DEFAF37" w14:textId="45705E9B" w:rsidR="007A6A1A" w:rsidRPr="00167CB8" w:rsidRDefault="007A6A1A" w:rsidP="00470AB9">
      <w:pPr>
        <w:pStyle w:val="Caption"/>
      </w:pPr>
      <w:bookmarkStart w:id="686" w:name="_Ref184404163"/>
      <w:bookmarkStart w:id="687" w:name="_Toc186991809"/>
      <w:bookmarkStart w:id="688" w:name="_Toc189310860"/>
      <w:r w:rsidRPr="00167CB8">
        <w:lastRenderedPageBreak/>
        <w:t xml:space="preserve">Table </w:t>
      </w:r>
      <w:r w:rsidR="00EF1D2F" w:rsidRPr="00167CB8">
        <w:t>31</w:t>
      </w:r>
      <w:bookmarkEnd w:id="686"/>
      <w:r w:rsidRPr="00167CB8">
        <w:t>: Fixed</w:t>
      </w:r>
      <w:r w:rsidR="00A14864" w:rsidRPr="00167CB8">
        <w:t>-</w:t>
      </w:r>
      <w:r w:rsidRPr="00167CB8">
        <w:t>term employment, by occupation of main job</w:t>
      </w:r>
      <w:bookmarkEnd w:id="687"/>
      <w:bookmarkEnd w:id="688"/>
    </w:p>
    <w:tbl>
      <w:tblPr>
        <w:tblW w:w="9026" w:type="dxa"/>
        <w:tblLook w:val="04A0" w:firstRow="1" w:lastRow="0" w:firstColumn="1" w:lastColumn="0" w:noHBand="0" w:noVBand="1"/>
      </w:tblPr>
      <w:tblGrid>
        <w:gridCol w:w="5105"/>
        <w:gridCol w:w="1993"/>
        <w:gridCol w:w="1928"/>
      </w:tblGrid>
      <w:tr w:rsidR="007A6A1A" w:rsidRPr="00167CB8" w14:paraId="410DAE88" w14:textId="77777777" w:rsidTr="00BB18C3">
        <w:trPr>
          <w:trHeight w:val="247"/>
        </w:trPr>
        <w:tc>
          <w:tcPr>
            <w:tcW w:w="5105" w:type="dxa"/>
            <w:tcBorders>
              <w:top w:val="single" w:sz="4" w:space="0" w:color="auto"/>
              <w:left w:val="single" w:sz="4" w:space="0" w:color="auto"/>
              <w:bottom w:val="single" w:sz="4" w:space="0" w:color="auto"/>
              <w:right w:val="nil"/>
            </w:tcBorders>
            <w:shd w:val="clear" w:color="auto" w:fill="FFFFFF"/>
            <w:noWrap/>
            <w:vAlign w:val="bottom"/>
            <w:hideMark/>
          </w:tcPr>
          <w:p w14:paraId="0F218043" w14:textId="77777777" w:rsidR="007A6A1A" w:rsidRPr="00167CB8" w:rsidRDefault="007A6A1A" w:rsidP="007A6A1A">
            <w:pPr>
              <w:spacing w:after="160"/>
              <w:rPr>
                <w:b/>
                <w:bCs/>
              </w:rPr>
            </w:pPr>
            <w:r w:rsidRPr="00167CB8">
              <w:rPr>
                <w:b/>
                <w:bCs/>
              </w:rPr>
              <w:t>Occupation of main job</w:t>
            </w:r>
          </w:p>
        </w:tc>
        <w:tc>
          <w:tcPr>
            <w:tcW w:w="1993" w:type="dxa"/>
            <w:tcBorders>
              <w:top w:val="single" w:sz="4" w:space="0" w:color="auto"/>
              <w:left w:val="nil"/>
              <w:bottom w:val="single" w:sz="4" w:space="0" w:color="auto"/>
              <w:right w:val="nil"/>
            </w:tcBorders>
            <w:noWrap/>
            <w:vAlign w:val="center"/>
            <w:hideMark/>
          </w:tcPr>
          <w:p w14:paraId="1342556C" w14:textId="26D3A7B6" w:rsidR="007A6A1A" w:rsidRPr="00167CB8" w:rsidRDefault="007A6A1A" w:rsidP="007A6A1A">
            <w:pPr>
              <w:spacing w:after="160"/>
              <w:rPr>
                <w:b/>
                <w:bCs/>
              </w:rPr>
            </w:pPr>
            <w:r w:rsidRPr="00167CB8">
              <w:rPr>
                <w:b/>
                <w:bCs/>
              </w:rPr>
              <w:t>Number fixed</w:t>
            </w:r>
            <w:r w:rsidR="00A461FB" w:rsidRPr="00167CB8">
              <w:rPr>
                <w:b/>
                <w:bCs/>
              </w:rPr>
              <w:t>-</w:t>
            </w:r>
            <w:r w:rsidRPr="00167CB8">
              <w:rPr>
                <w:b/>
                <w:bCs/>
              </w:rPr>
              <w:t>term at August 2024</w:t>
            </w:r>
          </w:p>
        </w:tc>
        <w:tc>
          <w:tcPr>
            <w:tcW w:w="1928" w:type="dxa"/>
            <w:tcBorders>
              <w:top w:val="single" w:sz="4" w:space="0" w:color="auto"/>
              <w:left w:val="nil"/>
              <w:bottom w:val="single" w:sz="4" w:space="0" w:color="auto"/>
              <w:right w:val="single" w:sz="4" w:space="0" w:color="auto"/>
            </w:tcBorders>
            <w:noWrap/>
            <w:vAlign w:val="center"/>
            <w:hideMark/>
          </w:tcPr>
          <w:p w14:paraId="72D3C3DB" w14:textId="77777777" w:rsidR="007A6A1A" w:rsidRPr="00167CB8" w:rsidRDefault="007A6A1A" w:rsidP="007A6A1A">
            <w:pPr>
              <w:spacing w:after="160"/>
            </w:pPr>
            <w:r w:rsidRPr="00167CB8">
              <w:rPr>
                <w:b/>
                <w:bCs/>
              </w:rPr>
              <w:t>% distribution</w:t>
            </w:r>
          </w:p>
        </w:tc>
      </w:tr>
      <w:tr w:rsidR="007A6A1A" w:rsidRPr="00167CB8" w14:paraId="7BA2524E" w14:textId="77777777" w:rsidTr="00BB18C3">
        <w:trPr>
          <w:trHeight w:val="247"/>
        </w:trPr>
        <w:tc>
          <w:tcPr>
            <w:tcW w:w="5105" w:type="dxa"/>
            <w:tcBorders>
              <w:top w:val="single" w:sz="4" w:space="0" w:color="auto"/>
              <w:left w:val="single" w:sz="4" w:space="0" w:color="auto"/>
              <w:bottom w:val="nil"/>
              <w:right w:val="nil"/>
            </w:tcBorders>
            <w:shd w:val="clear" w:color="auto" w:fill="FFFFFF"/>
            <w:noWrap/>
            <w:vAlign w:val="bottom"/>
            <w:hideMark/>
          </w:tcPr>
          <w:p w14:paraId="44ED688E" w14:textId="77777777" w:rsidR="007A6A1A" w:rsidRPr="00167CB8" w:rsidRDefault="007A6A1A" w:rsidP="007A6A1A">
            <w:pPr>
              <w:spacing w:after="160"/>
            </w:pPr>
            <w:r w:rsidRPr="00167CB8">
              <w:t>Managers</w:t>
            </w:r>
          </w:p>
        </w:tc>
        <w:tc>
          <w:tcPr>
            <w:tcW w:w="1993" w:type="dxa"/>
            <w:tcBorders>
              <w:top w:val="single" w:sz="4" w:space="0" w:color="auto"/>
              <w:left w:val="nil"/>
              <w:bottom w:val="nil"/>
              <w:right w:val="nil"/>
            </w:tcBorders>
            <w:noWrap/>
            <w:vAlign w:val="center"/>
            <w:hideMark/>
          </w:tcPr>
          <w:p w14:paraId="62D0DE8F" w14:textId="77777777" w:rsidR="007A6A1A" w:rsidRPr="00167CB8" w:rsidRDefault="007A6A1A" w:rsidP="007A6A1A">
            <w:pPr>
              <w:spacing w:after="160"/>
            </w:pPr>
            <w:r w:rsidRPr="00167CB8">
              <w:t>49.8</w:t>
            </w:r>
          </w:p>
        </w:tc>
        <w:tc>
          <w:tcPr>
            <w:tcW w:w="1928" w:type="dxa"/>
            <w:tcBorders>
              <w:top w:val="single" w:sz="4" w:space="0" w:color="auto"/>
              <w:left w:val="nil"/>
              <w:bottom w:val="nil"/>
              <w:right w:val="single" w:sz="4" w:space="0" w:color="auto"/>
            </w:tcBorders>
            <w:noWrap/>
            <w:vAlign w:val="center"/>
            <w:hideMark/>
          </w:tcPr>
          <w:p w14:paraId="01F6FF07" w14:textId="77777777" w:rsidR="007A6A1A" w:rsidRPr="00167CB8" w:rsidRDefault="007A6A1A" w:rsidP="007A6A1A">
            <w:pPr>
              <w:spacing w:after="160"/>
            </w:pPr>
            <w:r w:rsidRPr="00167CB8">
              <w:t>9.7%</w:t>
            </w:r>
          </w:p>
        </w:tc>
      </w:tr>
      <w:tr w:rsidR="007A6A1A" w:rsidRPr="00167CB8" w14:paraId="393389EE"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1D3C8555" w14:textId="77777777" w:rsidR="007A6A1A" w:rsidRPr="00167CB8" w:rsidRDefault="007A6A1A" w:rsidP="007A6A1A">
            <w:pPr>
              <w:spacing w:after="160"/>
            </w:pPr>
            <w:r w:rsidRPr="00167CB8">
              <w:t>Professionals</w:t>
            </w:r>
          </w:p>
        </w:tc>
        <w:tc>
          <w:tcPr>
            <w:tcW w:w="1993" w:type="dxa"/>
            <w:noWrap/>
            <w:vAlign w:val="center"/>
            <w:hideMark/>
          </w:tcPr>
          <w:p w14:paraId="35D3D630" w14:textId="77777777" w:rsidR="007A6A1A" w:rsidRPr="00167CB8" w:rsidRDefault="007A6A1A" w:rsidP="007A6A1A">
            <w:pPr>
              <w:spacing w:after="160"/>
            </w:pPr>
            <w:r w:rsidRPr="00167CB8">
              <w:t>248.1</w:t>
            </w:r>
          </w:p>
        </w:tc>
        <w:tc>
          <w:tcPr>
            <w:tcW w:w="1928" w:type="dxa"/>
            <w:tcBorders>
              <w:top w:val="nil"/>
              <w:left w:val="nil"/>
              <w:bottom w:val="nil"/>
              <w:right w:val="single" w:sz="4" w:space="0" w:color="auto"/>
            </w:tcBorders>
            <w:noWrap/>
            <w:vAlign w:val="center"/>
            <w:hideMark/>
          </w:tcPr>
          <w:p w14:paraId="1ACCADC8" w14:textId="77777777" w:rsidR="007A6A1A" w:rsidRPr="00167CB8" w:rsidRDefault="007A6A1A" w:rsidP="007A6A1A">
            <w:pPr>
              <w:spacing w:after="160"/>
            </w:pPr>
            <w:r w:rsidRPr="00167CB8">
              <w:t>48.4%</w:t>
            </w:r>
          </w:p>
        </w:tc>
      </w:tr>
      <w:tr w:rsidR="007A6A1A" w:rsidRPr="00167CB8" w14:paraId="1B6A8513"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093F32C0" w14:textId="77777777" w:rsidR="007A6A1A" w:rsidRPr="00167CB8" w:rsidRDefault="007A6A1A" w:rsidP="007A6A1A">
            <w:pPr>
              <w:spacing w:after="160"/>
            </w:pPr>
            <w:r w:rsidRPr="00167CB8">
              <w:t>Technicians and trade workers</w:t>
            </w:r>
          </w:p>
        </w:tc>
        <w:tc>
          <w:tcPr>
            <w:tcW w:w="1993" w:type="dxa"/>
            <w:noWrap/>
            <w:vAlign w:val="center"/>
            <w:hideMark/>
          </w:tcPr>
          <w:p w14:paraId="588AA792" w14:textId="77777777" w:rsidR="007A6A1A" w:rsidRPr="00167CB8" w:rsidRDefault="007A6A1A" w:rsidP="007A6A1A">
            <w:pPr>
              <w:spacing w:after="160"/>
            </w:pPr>
            <w:r w:rsidRPr="00167CB8">
              <w:t>45.9</w:t>
            </w:r>
          </w:p>
        </w:tc>
        <w:tc>
          <w:tcPr>
            <w:tcW w:w="1928" w:type="dxa"/>
            <w:tcBorders>
              <w:top w:val="nil"/>
              <w:left w:val="nil"/>
              <w:bottom w:val="nil"/>
              <w:right w:val="single" w:sz="4" w:space="0" w:color="auto"/>
            </w:tcBorders>
            <w:noWrap/>
            <w:vAlign w:val="center"/>
            <w:hideMark/>
          </w:tcPr>
          <w:p w14:paraId="5A4B723D" w14:textId="77777777" w:rsidR="007A6A1A" w:rsidRPr="00167CB8" w:rsidRDefault="007A6A1A" w:rsidP="007A6A1A">
            <w:pPr>
              <w:spacing w:after="160"/>
            </w:pPr>
            <w:r w:rsidRPr="00167CB8">
              <w:t>9.0%</w:t>
            </w:r>
          </w:p>
        </w:tc>
      </w:tr>
      <w:tr w:rsidR="007A6A1A" w:rsidRPr="00167CB8" w14:paraId="5DD1A1DE"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607FE77E" w14:textId="77777777" w:rsidR="007A6A1A" w:rsidRPr="00167CB8" w:rsidRDefault="007A6A1A" w:rsidP="007A6A1A">
            <w:pPr>
              <w:spacing w:after="160"/>
            </w:pPr>
            <w:r w:rsidRPr="00167CB8">
              <w:t>Community and personal service workers</w:t>
            </w:r>
          </w:p>
        </w:tc>
        <w:tc>
          <w:tcPr>
            <w:tcW w:w="1993" w:type="dxa"/>
            <w:noWrap/>
            <w:vAlign w:val="center"/>
            <w:hideMark/>
          </w:tcPr>
          <w:p w14:paraId="25E0B274" w14:textId="77777777" w:rsidR="007A6A1A" w:rsidRPr="00167CB8" w:rsidRDefault="007A6A1A" w:rsidP="007A6A1A">
            <w:pPr>
              <w:spacing w:after="160"/>
            </w:pPr>
            <w:r w:rsidRPr="00167CB8">
              <w:t>49.9</w:t>
            </w:r>
          </w:p>
        </w:tc>
        <w:tc>
          <w:tcPr>
            <w:tcW w:w="1928" w:type="dxa"/>
            <w:tcBorders>
              <w:top w:val="nil"/>
              <w:left w:val="nil"/>
              <w:bottom w:val="nil"/>
              <w:right w:val="single" w:sz="4" w:space="0" w:color="auto"/>
            </w:tcBorders>
            <w:noWrap/>
            <w:vAlign w:val="center"/>
            <w:hideMark/>
          </w:tcPr>
          <w:p w14:paraId="382AD246" w14:textId="77777777" w:rsidR="007A6A1A" w:rsidRPr="00167CB8" w:rsidRDefault="007A6A1A" w:rsidP="007A6A1A">
            <w:pPr>
              <w:spacing w:after="160"/>
            </w:pPr>
            <w:r w:rsidRPr="00167CB8">
              <w:t>9.7%</w:t>
            </w:r>
          </w:p>
        </w:tc>
      </w:tr>
      <w:tr w:rsidR="007A6A1A" w:rsidRPr="00167CB8" w14:paraId="088275FC"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4E3BA4B4" w14:textId="77777777" w:rsidR="007A6A1A" w:rsidRPr="00167CB8" w:rsidRDefault="007A6A1A" w:rsidP="007A6A1A">
            <w:pPr>
              <w:spacing w:after="160"/>
            </w:pPr>
            <w:r w:rsidRPr="00167CB8">
              <w:t>Clerical and administrative workers</w:t>
            </w:r>
          </w:p>
        </w:tc>
        <w:tc>
          <w:tcPr>
            <w:tcW w:w="1993" w:type="dxa"/>
            <w:noWrap/>
            <w:vAlign w:val="center"/>
            <w:hideMark/>
          </w:tcPr>
          <w:p w14:paraId="612A6C2C" w14:textId="77777777" w:rsidR="007A6A1A" w:rsidRPr="00167CB8" w:rsidRDefault="007A6A1A" w:rsidP="007A6A1A">
            <w:pPr>
              <w:spacing w:after="160"/>
            </w:pPr>
            <w:r w:rsidRPr="00167CB8">
              <w:t>79.0</w:t>
            </w:r>
          </w:p>
        </w:tc>
        <w:tc>
          <w:tcPr>
            <w:tcW w:w="1928" w:type="dxa"/>
            <w:tcBorders>
              <w:top w:val="nil"/>
              <w:left w:val="nil"/>
              <w:bottom w:val="nil"/>
              <w:right w:val="single" w:sz="4" w:space="0" w:color="auto"/>
            </w:tcBorders>
            <w:noWrap/>
            <w:vAlign w:val="center"/>
            <w:hideMark/>
          </w:tcPr>
          <w:p w14:paraId="3384CB92" w14:textId="77777777" w:rsidR="007A6A1A" w:rsidRPr="00167CB8" w:rsidRDefault="007A6A1A" w:rsidP="007A6A1A">
            <w:pPr>
              <w:spacing w:after="160"/>
            </w:pPr>
            <w:r w:rsidRPr="00167CB8">
              <w:t>15.4%</w:t>
            </w:r>
          </w:p>
        </w:tc>
      </w:tr>
      <w:tr w:rsidR="007A6A1A" w:rsidRPr="00167CB8" w14:paraId="7DD79733"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0FF50523" w14:textId="77777777" w:rsidR="007A6A1A" w:rsidRPr="00167CB8" w:rsidRDefault="007A6A1A" w:rsidP="007A6A1A">
            <w:pPr>
              <w:spacing w:after="160"/>
            </w:pPr>
            <w:r w:rsidRPr="00167CB8">
              <w:t>Sales workers</w:t>
            </w:r>
          </w:p>
        </w:tc>
        <w:tc>
          <w:tcPr>
            <w:tcW w:w="1993" w:type="dxa"/>
            <w:noWrap/>
            <w:vAlign w:val="center"/>
            <w:hideMark/>
          </w:tcPr>
          <w:p w14:paraId="45D2D938" w14:textId="77777777" w:rsidR="007A6A1A" w:rsidRPr="00167CB8" w:rsidRDefault="007A6A1A" w:rsidP="007A6A1A">
            <w:pPr>
              <w:spacing w:after="160"/>
            </w:pPr>
            <w:r w:rsidRPr="00167CB8">
              <w:t>10.5</w:t>
            </w:r>
          </w:p>
        </w:tc>
        <w:tc>
          <w:tcPr>
            <w:tcW w:w="1928" w:type="dxa"/>
            <w:tcBorders>
              <w:top w:val="nil"/>
              <w:left w:val="nil"/>
              <w:bottom w:val="nil"/>
              <w:right w:val="single" w:sz="4" w:space="0" w:color="auto"/>
            </w:tcBorders>
            <w:noWrap/>
            <w:vAlign w:val="center"/>
            <w:hideMark/>
          </w:tcPr>
          <w:p w14:paraId="44E41A73" w14:textId="77777777" w:rsidR="007A6A1A" w:rsidRPr="00167CB8" w:rsidRDefault="007A6A1A" w:rsidP="007A6A1A">
            <w:pPr>
              <w:spacing w:after="160"/>
            </w:pPr>
            <w:r w:rsidRPr="00167CB8">
              <w:t>2.1%</w:t>
            </w:r>
          </w:p>
        </w:tc>
      </w:tr>
      <w:tr w:rsidR="007A6A1A" w:rsidRPr="00167CB8" w14:paraId="66D66938"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52D06F2B" w14:textId="77777777" w:rsidR="007A6A1A" w:rsidRPr="00167CB8" w:rsidRDefault="007A6A1A" w:rsidP="007A6A1A">
            <w:pPr>
              <w:spacing w:after="160"/>
            </w:pPr>
            <w:r w:rsidRPr="00167CB8">
              <w:t>Machinery operators and drivers</w:t>
            </w:r>
          </w:p>
        </w:tc>
        <w:tc>
          <w:tcPr>
            <w:tcW w:w="1993" w:type="dxa"/>
            <w:noWrap/>
            <w:vAlign w:val="center"/>
            <w:hideMark/>
          </w:tcPr>
          <w:p w14:paraId="2145B757" w14:textId="77777777" w:rsidR="007A6A1A" w:rsidRPr="00167CB8" w:rsidRDefault="007A6A1A" w:rsidP="007A6A1A">
            <w:pPr>
              <w:spacing w:after="160"/>
            </w:pPr>
            <w:r w:rsidRPr="00167CB8">
              <w:t>12.5</w:t>
            </w:r>
          </w:p>
        </w:tc>
        <w:tc>
          <w:tcPr>
            <w:tcW w:w="1928" w:type="dxa"/>
            <w:tcBorders>
              <w:top w:val="nil"/>
              <w:left w:val="nil"/>
              <w:bottom w:val="nil"/>
              <w:right w:val="single" w:sz="4" w:space="0" w:color="auto"/>
            </w:tcBorders>
            <w:noWrap/>
            <w:vAlign w:val="center"/>
            <w:hideMark/>
          </w:tcPr>
          <w:p w14:paraId="0A973B9B" w14:textId="77777777" w:rsidR="007A6A1A" w:rsidRPr="00167CB8" w:rsidRDefault="007A6A1A" w:rsidP="007A6A1A">
            <w:pPr>
              <w:spacing w:after="160"/>
            </w:pPr>
            <w:r w:rsidRPr="00167CB8">
              <w:t>2.4%</w:t>
            </w:r>
          </w:p>
        </w:tc>
      </w:tr>
      <w:tr w:rsidR="007A6A1A" w:rsidRPr="00167CB8" w14:paraId="76969532" w14:textId="77777777" w:rsidTr="00BB18C3">
        <w:trPr>
          <w:trHeight w:val="247"/>
        </w:trPr>
        <w:tc>
          <w:tcPr>
            <w:tcW w:w="5105" w:type="dxa"/>
            <w:tcBorders>
              <w:top w:val="nil"/>
              <w:left w:val="single" w:sz="4" w:space="0" w:color="auto"/>
              <w:bottom w:val="nil"/>
              <w:right w:val="nil"/>
            </w:tcBorders>
            <w:shd w:val="clear" w:color="auto" w:fill="FFFFFF"/>
            <w:noWrap/>
            <w:vAlign w:val="bottom"/>
            <w:hideMark/>
          </w:tcPr>
          <w:p w14:paraId="4A8F8739" w14:textId="77777777" w:rsidR="007A6A1A" w:rsidRPr="00167CB8" w:rsidRDefault="007A6A1A" w:rsidP="007A6A1A">
            <w:pPr>
              <w:spacing w:after="160"/>
            </w:pPr>
            <w:r w:rsidRPr="00167CB8">
              <w:t>Labourers</w:t>
            </w:r>
          </w:p>
        </w:tc>
        <w:tc>
          <w:tcPr>
            <w:tcW w:w="1993" w:type="dxa"/>
            <w:noWrap/>
            <w:vAlign w:val="center"/>
            <w:hideMark/>
          </w:tcPr>
          <w:p w14:paraId="7F437589" w14:textId="77777777" w:rsidR="007A6A1A" w:rsidRPr="00167CB8" w:rsidRDefault="007A6A1A" w:rsidP="007A6A1A">
            <w:pPr>
              <w:spacing w:after="160"/>
            </w:pPr>
            <w:r w:rsidRPr="00167CB8">
              <w:t>16.6</w:t>
            </w:r>
          </w:p>
        </w:tc>
        <w:tc>
          <w:tcPr>
            <w:tcW w:w="1928" w:type="dxa"/>
            <w:tcBorders>
              <w:top w:val="nil"/>
              <w:left w:val="nil"/>
              <w:bottom w:val="nil"/>
              <w:right w:val="single" w:sz="4" w:space="0" w:color="auto"/>
            </w:tcBorders>
            <w:noWrap/>
            <w:vAlign w:val="center"/>
            <w:hideMark/>
          </w:tcPr>
          <w:p w14:paraId="5A01152F" w14:textId="77777777" w:rsidR="007A6A1A" w:rsidRPr="00167CB8" w:rsidRDefault="007A6A1A" w:rsidP="007A6A1A">
            <w:pPr>
              <w:spacing w:after="160"/>
            </w:pPr>
            <w:r w:rsidRPr="00167CB8">
              <w:t>3.2%</w:t>
            </w:r>
          </w:p>
        </w:tc>
      </w:tr>
      <w:tr w:rsidR="007A6A1A" w:rsidRPr="00167CB8" w14:paraId="48113BF1" w14:textId="77777777" w:rsidTr="00BB18C3">
        <w:trPr>
          <w:trHeight w:val="247"/>
        </w:trPr>
        <w:tc>
          <w:tcPr>
            <w:tcW w:w="5105" w:type="dxa"/>
            <w:tcBorders>
              <w:top w:val="nil"/>
              <w:left w:val="single" w:sz="4" w:space="0" w:color="auto"/>
              <w:bottom w:val="single" w:sz="4" w:space="0" w:color="auto"/>
              <w:right w:val="nil"/>
            </w:tcBorders>
            <w:shd w:val="clear" w:color="auto" w:fill="FFFFFF"/>
            <w:noWrap/>
            <w:vAlign w:val="bottom"/>
            <w:hideMark/>
          </w:tcPr>
          <w:p w14:paraId="09E6994D" w14:textId="2E230C8B" w:rsidR="007A6A1A" w:rsidRPr="00E12A27" w:rsidRDefault="007A6A1A" w:rsidP="007A6A1A">
            <w:pPr>
              <w:spacing w:after="160"/>
              <w:rPr>
                <w:sz w:val="20"/>
                <w:szCs w:val="20"/>
              </w:rPr>
            </w:pPr>
            <w:r w:rsidRPr="00167CB8">
              <w:t> </w:t>
            </w:r>
            <w:r w:rsidR="00E12A27">
              <w:t>Total</w:t>
            </w:r>
          </w:p>
        </w:tc>
        <w:tc>
          <w:tcPr>
            <w:tcW w:w="1993" w:type="dxa"/>
            <w:tcBorders>
              <w:top w:val="nil"/>
              <w:left w:val="nil"/>
              <w:bottom w:val="single" w:sz="4" w:space="0" w:color="auto"/>
              <w:right w:val="nil"/>
            </w:tcBorders>
            <w:noWrap/>
            <w:vAlign w:val="center"/>
            <w:hideMark/>
          </w:tcPr>
          <w:p w14:paraId="6E93D571" w14:textId="77777777" w:rsidR="007A6A1A" w:rsidRPr="00167CB8" w:rsidRDefault="007A6A1A" w:rsidP="007A6A1A">
            <w:pPr>
              <w:spacing w:after="160"/>
            </w:pPr>
            <w:r w:rsidRPr="00167CB8">
              <w:t>512.3</w:t>
            </w:r>
          </w:p>
        </w:tc>
        <w:tc>
          <w:tcPr>
            <w:tcW w:w="1928" w:type="dxa"/>
            <w:tcBorders>
              <w:top w:val="nil"/>
              <w:left w:val="nil"/>
              <w:bottom w:val="single" w:sz="4" w:space="0" w:color="auto"/>
              <w:right w:val="single" w:sz="4" w:space="0" w:color="auto"/>
            </w:tcBorders>
            <w:noWrap/>
            <w:vAlign w:val="center"/>
            <w:hideMark/>
          </w:tcPr>
          <w:p w14:paraId="38705247" w14:textId="77777777" w:rsidR="007A6A1A" w:rsidRPr="00167CB8" w:rsidRDefault="007A6A1A" w:rsidP="007A6A1A">
            <w:pPr>
              <w:spacing w:after="160"/>
            </w:pPr>
            <w:r w:rsidRPr="00167CB8">
              <w:t>100%</w:t>
            </w:r>
          </w:p>
        </w:tc>
      </w:tr>
    </w:tbl>
    <w:p w14:paraId="583577B2" w14:textId="4408F3FD" w:rsidR="007A6A1A" w:rsidRPr="00167CB8" w:rsidRDefault="007A6A1A" w:rsidP="00A461FB">
      <w:pPr>
        <w:pStyle w:val="Source"/>
      </w:pPr>
      <w:r w:rsidRPr="00167CB8">
        <w:rPr>
          <w:b/>
          <w:bCs/>
        </w:rPr>
        <w:t>Source:</w:t>
      </w:r>
      <w:r w:rsidRPr="00167CB8">
        <w:t xml:space="preserve"> ABS Working Arrangements, August 2024 (Cat No 6336.0, Table 6). </w:t>
      </w:r>
    </w:p>
    <w:p w14:paraId="163DDE21" w14:textId="2685001C" w:rsidR="007A6A1A" w:rsidRPr="00167CB8" w:rsidRDefault="007A6A1A" w:rsidP="00A461FB">
      <w:pPr>
        <w:pStyle w:val="Source"/>
      </w:pPr>
      <w:r w:rsidRPr="00167CB8">
        <w:rPr>
          <w:b/>
          <w:bCs/>
        </w:rPr>
        <w:t>Alt-text:</w:t>
      </w:r>
      <w:r w:rsidRPr="00167CB8">
        <w:t xml:space="preserve"> A table showing the number of employees by who were employed under a fixed</w:t>
      </w:r>
      <w:r w:rsidR="00A461FB" w:rsidRPr="00167CB8">
        <w:t>-</w:t>
      </w:r>
      <w:r w:rsidRPr="00167CB8">
        <w:t xml:space="preserve">term contract at August 2024 by occupation of main job. The majority (48.4%) are professionals. </w:t>
      </w:r>
    </w:p>
    <w:p w14:paraId="5E7F5222" w14:textId="77777777" w:rsidR="007A6A1A" w:rsidRPr="00167CB8" w:rsidRDefault="007A6A1A" w:rsidP="007A6A1A">
      <w:pPr>
        <w:spacing w:after="160"/>
        <w:rPr>
          <w:i/>
          <w:iCs/>
        </w:rPr>
      </w:pPr>
    </w:p>
    <w:p w14:paraId="557EBA64"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p>
    <w:p w14:paraId="79C17893" w14:textId="287B63F4" w:rsidR="007A6A1A" w:rsidRPr="00167CB8" w:rsidRDefault="007A6A1A" w:rsidP="00470AB9">
      <w:pPr>
        <w:pStyle w:val="Caption"/>
      </w:pPr>
      <w:bookmarkStart w:id="689" w:name="_Ref184404290"/>
      <w:bookmarkStart w:id="690" w:name="_Toc186991810"/>
      <w:bookmarkStart w:id="691" w:name="_Toc189310861"/>
      <w:r w:rsidRPr="00167CB8">
        <w:lastRenderedPageBreak/>
        <w:t xml:space="preserve">Table </w:t>
      </w:r>
      <w:r w:rsidR="006E163F" w:rsidRPr="00167CB8">
        <w:t>32</w:t>
      </w:r>
      <w:bookmarkEnd w:id="689"/>
      <w:r w:rsidRPr="00167CB8">
        <w:t>: Fixed</w:t>
      </w:r>
      <w:r w:rsidR="00A14864" w:rsidRPr="00167CB8">
        <w:t>-</w:t>
      </w:r>
      <w:r w:rsidRPr="00167CB8">
        <w:t>term employment, by industry of main job</w:t>
      </w:r>
      <w:bookmarkEnd w:id="690"/>
      <w:bookmarkEnd w:id="691"/>
    </w:p>
    <w:tbl>
      <w:tblPr>
        <w:tblW w:w="13875" w:type="dxa"/>
        <w:tblLayout w:type="fixed"/>
        <w:tblLook w:val="04A0" w:firstRow="1" w:lastRow="0" w:firstColumn="1" w:lastColumn="0" w:noHBand="0" w:noVBand="1"/>
      </w:tblPr>
      <w:tblGrid>
        <w:gridCol w:w="4955"/>
        <w:gridCol w:w="1783"/>
        <w:gridCol w:w="1784"/>
        <w:gridCol w:w="1784"/>
        <w:gridCol w:w="1784"/>
        <w:gridCol w:w="1785"/>
      </w:tblGrid>
      <w:tr w:rsidR="007A6A1A" w:rsidRPr="00167CB8" w14:paraId="111C80F7" w14:textId="77777777">
        <w:trPr>
          <w:trHeight w:val="233"/>
        </w:trPr>
        <w:tc>
          <w:tcPr>
            <w:tcW w:w="4957" w:type="dxa"/>
            <w:tcBorders>
              <w:top w:val="single" w:sz="4" w:space="0" w:color="auto"/>
              <w:left w:val="single" w:sz="4" w:space="0" w:color="auto"/>
              <w:bottom w:val="single" w:sz="4" w:space="0" w:color="auto"/>
              <w:right w:val="nil"/>
            </w:tcBorders>
            <w:shd w:val="clear" w:color="auto" w:fill="FFFFFF"/>
            <w:noWrap/>
            <w:vAlign w:val="bottom"/>
            <w:hideMark/>
          </w:tcPr>
          <w:p w14:paraId="0E3B8EF9" w14:textId="77777777" w:rsidR="007A6A1A" w:rsidRPr="00EA1F10" w:rsidRDefault="007A6A1A" w:rsidP="00E12A27">
            <w:pPr>
              <w:spacing w:after="0" w:line="240" w:lineRule="auto"/>
              <w:rPr>
                <w:b/>
                <w:bCs/>
                <w:sz w:val="18"/>
                <w:szCs w:val="18"/>
              </w:rPr>
            </w:pPr>
            <w:r w:rsidRPr="00EA1F10">
              <w:rPr>
                <w:b/>
                <w:bCs/>
                <w:sz w:val="18"/>
                <w:szCs w:val="18"/>
              </w:rPr>
              <w:t>Industry of main job</w:t>
            </w:r>
          </w:p>
        </w:tc>
        <w:tc>
          <w:tcPr>
            <w:tcW w:w="1784" w:type="dxa"/>
            <w:tcBorders>
              <w:top w:val="single" w:sz="4" w:space="0" w:color="auto"/>
              <w:left w:val="nil"/>
              <w:bottom w:val="single" w:sz="4" w:space="0" w:color="auto"/>
              <w:right w:val="nil"/>
            </w:tcBorders>
            <w:vAlign w:val="center"/>
            <w:hideMark/>
          </w:tcPr>
          <w:p w14:paraId="1DE8ABC5" w14:textId="4A83BB7C" w:rsidR="007A6A1A" w:rsidRPr="00EA1F10" w:rsidRDefault="007A6A1A" w:rsidP="00E12A27">
            <w:pPr>
              <w:spacing w:after="0" w:line="240" w:lineRule="auto"/>
              <w:rPr>
                <w:b/>
                <w:bCs/>
                <w:sz w:val="18"/>
                <w:szCs w:val="18"/>
              </w:rPr>
            </w:pPr>
            <w:r w:rsidRPr="00EA1F10">
              <w:rPr>
                <w:b/>
                <w:bCs/>
                <w:sz w:val="18"/>
                <w:szCs w:val="18"/>
              </w:rPr>
              <w:t>Number fixed</w:t>
            </w:r>
            <w:r w:rsidR="00A461FB" w:rsidRPr="00EA1F10">
              <w:rPr>
                <w:b/>
                <w:bCs/>
                <w:sz w:val="18"/>
                <w:szCs w:val="18"/>
              </w:rPr>
              <w:t>-</w:t>
            </w:r>
            <w:r w:rsidRPr="00EA1F10">
              <w:rPr>
                <w:b/>
                <w:bCs/>
                <w:sz w:val="18"/>
                <w:szCs w:val="18"/>
              </w:rPr>
              <w:t>term at August 2022</w:t>
            </w:r>
          </w:p>
          <w:p w14:paraId="021258B8" w14:textId="77777777" w:rsidR="007A6A1A" w:rsidRPr="00EA1F10" w:rsidRDefault="007A6A1A" w:rsidP="00E12A27">
            <w:pPr>
              <w:spacing w:after="0" w:line="240" w:lineRule="auto"/>
              <w:rPr>
                <w:b/>
                <w:bCs/>
                <w:sz w:val="18"/>
                <w:szCs w:val="18"/>
              </w:rPr>
            </w:pPr>
            <w:r w:rsidRPr="00EA1F10">
              <w:rPr>
                <w:b/>
                <w:bCs/>
                <w:sz w:val="18"/>
                <w:szCs w:val="18"/>
              </w:rPr>
              <w:t>(‘000)</w:t>
            </w:r>
          </w:p>
        </w:tc>
        <w:tc>
          <w:tcPr>
            <w:tcW w:w="1784" w:type="dxa"/>
            <w:tcBorders>
              <w:top w:val="single" w:sz="4" w:space="0" w:color="auto"/>
              <w:left w:val="nil"/>
              <w:bottom w:val="single" w:sz="4" w:space="0" w:color="auto"/>
              <w:right w:val="nil"/>
            </w:tcBorders>
            <w:noWrap/>
            <w:vAlign w:val="center"/>
            <w:hideMark/>
          </w:tcPr>
          <w:p w14:paraId="14E24E82" w14:textId="3ABC5F63" w:rsidR="007A6A1A" w:rsidRPr="00EA1F10" w:rsidRDefault="007A6A1A" w:rsidP="00E12A27">
            <w:pPr>
              <w:spacing w:after="0" w:line="240" w:lineRule="auto"/>
              <w:rPr>
                <w:b/>
                <w:bCs/>
                <w:sz w:val="18"/>
                <w:szCs w:val="18"/>
              </w:rPr>
            </w:pPr>
            <w:r w:rsidRPr="00EA1F10">
              <w:rPr>
                <w:b/>
                <w:bCs/>
                <w:sz w:val="18"/>
                <w:szCs w:val="18"/>
              </w:rPr>
              <w:t>Number fixed</w:t>
            </w:r>
            <w:r w:rsidR="00A461FB" w:rsidRPr="00EA1F10">
              <w:rPr>
                <w:b/>
                <w:bCs/>
                <w:sz w:val="18"/>
                <w:szCs w:val="18"/>
              </w:rPr>
              <w:t>-</w:t>
            </w:r>
            <w:r w:rsidRPr="00EA1F10">
              <w:rPr>
                <w:b/>
                <w:bCs/>
                <w:sz w:val="18"/>
                <w:szCs w:val="18"/>
              </w:rPr>
              <w:t>term at August 2024</w:t>
            </w:r>
          </w:p>
          <w:p w14:paraId="48EA8587" w14:textId="77777777" w:rsidR="007A6A1A" w:rsidRPr="00EA1F10" w:rsidRDefault="007A6A1A" w:rsidP="00E12A27">
            <w:pPr>
              <w:spacing w:after="0" w:line="240" w:lineRule="auto"/>
              <w:rPr>
                <w:b/>
                <w:bCs/>
                <w:sz w:val="18"/>
                <w:szCs w:val="18"/>
              </w:rPr>
            </w:pPr>
            <w:r w:rsidRPr="00EA1F10">
              <w:rPr>
                <w:b/>
                <w:bCs/>
                <w:sz w:val="18"/>
                <w:szCs w:val="18"/>
              </w:rPr>
              <w:t>(‘000)</w:t>
            </w:r>
          </w:p>
        </w:tc>
        <w:tc>
          <w:tcPr>
            <w:tcW w:w="1784" w:type="dxa"/>
            <w:tcBorders>
              <w:top w:val="single" w:sz="4" w:space="0" w:color="auto"/>
              <w:left w:val="nil"/>
              <w:bottom w:val="single" w:sz="4" w:space="0" w:color="auto"/>
              <w:right w:val="nil"/>
            </w:tcBorders>
            <w:hideMark/>
          </w:tcPr>
          <w:p w14:paraId="681174A4" w14:textId="77777777" w:rsidR="007A6A1A" w:rsidRPr="00EA1F10" w:rsidRDefault="007A6A1A" w:rsidP="00E12A27">
            <w:pPr>
              <w:spacing w:after="0" w:line="240" w:lineRule="auto"/>
              <w:rPr>
                <w:b/>
                <w:bCs/>
                <w:sz w:val="18"/>
                <w:szCs w:val="18"/>
              </w:rPr>
            </w:pPr>
            <w:r w:rsidRPr="00EA1F10">
              <w:rPr>
                <w:b/>
                <w:bCs/>
                <w:sz w:val="18"/>
                <w:szCs w:val="18"/>
              </w:rPr>
              <w:t>Within industry share of employees on fixed-term contracts (2024) (%)</w:t>
            </w:r>
          </w:p>
        </w:tc>
        <w:tc>
          <w:tcPr>
            <w:tcW w:w="1784" w:type="dxa"/>
            <w:tcBorders>
              <w:top w:val="single" w:sz="4" w:space="0" w:color="auto"/>
              <w:left w:val="nil"/>
              <w:bottom w:val="single" w:sz="4" w:space="0" w:color="auto"/>
              <w:right w:val="nil"/>
            </w:tcBorders>
            <w:vAlign w:val="center"/>
            <w:hideMark/>
          </w:tcPr>
          <w:p w14:paraId="00B4A74D" w14:textId="77777777" w:rsidR="007A6A1A" w:rsidRPr="00EA1F10" w:rsidRDefault="007A6A1A" w:rsidP="00E12A27">
            <w:pPr>
              <w:spacing w:after="0" w:line="240" w:lineRule="auto"/>
              <w:rPr>
                <w:b/>
                <w:bCs/>
                <w:sz w:val="18"/>
                <w:szCs w:val="18"/>
              </w:rPr>
            </w:pPr>
            <w:r w:rsidRPr="00EA1F10">
              <w:rPr>
                <w:b/>
                <w:bCs/>
                <w:sz w:val="18"/>
                <w:szCs w:val="18"/>
              </w:rPr>
              <w:t>Distribution of fixed-term employment at 2024 (%)</w:t>
            </w:r>
          </w:p>
        </w:tc>
        <w:tc>
          <w:tcPr>
            <w:tcW w:w="1785" w:type="dxa"/>
            <w:tcBorders>
              <w:top w:val="single" w:sz="4" w:space="0" w:color="auto"/>
              <w:left w:val="nil"/>
              <w:bottom w:val="single" w:sz="4" w:space="0" w:color="auto"/>
              <w:right w:val="single" w:sz="4" w:space="0" w:color="auto"/>
            </w:tcBorders>
            <w:noWrap/>
            <w:vAlign w:val="center"/>
            <w:hideMark/>
          </w:tcPr>
          <w:p w14:paraId="2D82E1C8" w14:textId="1DE820EC" w:rsidR="007A6A1A" w:rsidRPr="00EA1F10" w:rsidRDefault="007A6A1A" w:rsidP="00E12A27">
            <w:pPr>
              <w:spacing w:after="0" w:line="240" w:lineRule="auto"/>
              <w:rPr>
                <w:sz w:val="18"/>
                <w:szCs w:val="18"/>
              </w:rPr>
            </w:pPr>
            <w:r w:rsidRPr="00EA1F10">
              <w:rPr>
                <w:b/>
                <w:bCs/>
                <w:sz w:val="18"/>
                <w:szCs w:val="18"/>
              </w:rPr>
              <w:t>%</w:t>
            </w:r>
            <w:r w:rsidR="00A461FB" w:rsidRPr="00EA1F10">
              <w:rPr>
                <w:b/>
                <w:bCs/>
                <w:sz w:val="18"/>
                <w:szCs w:val="18"/>
              </w:rPr>
              <w:t xml:space="preserve"> </w:t>
            </w:r>
            <w:r w:rsidRPr="00EA1F10">
              <w:rPr>
                <w:b/>
                <w:bCs/>
                <w:sz w:val="18"/>
                <w:szCs w:val="18"/>
              </w:rPr>
              <w:t>share of growth in fixed</w:t>
            </w:r>
            <w:r w:rsidR="00A461FB" w:rsidRPr="00EA1F10">
              <w:rPr>
                <w:b/>
                <w:bCs/>
                <w:sz w:val="18"/>
                <w:szCs w:val="18"/>
              </w:rPr>
              <w:t>-</w:t>
            </w:r>
            <w:r w:rsidRPr="00EA1F10">
              <w:rPr>
                <w:b/>
                <w:bCs/>
                <w:sz w:val="18"/>
                <w:szCs w:val="18"/>
              </w:rPr>
              <w:t>term employment 2022</w:t>
            </w:r>
            <w:r w:rsidR="00A461FB" w:rsidRPr="00EA1F10">
              <w:rPr>
                <w:rFonts w:ascii="Symbol" w:eastAsia="Symbol" w:hAnsi="Symbol" w:cs="Symbol"/>
                <w:b/>
                <w:sz w:val="18"/>
                <w:szCs w:val="18"/>
              </w:rPr>
              <w:sym w:font="Symbol" w:char="F02D"/>
            </w:r>
            <w:r w:rsidR="00A461FB" w:rsidRPr="00EA1F10">
              <w:rPr>
                <w:b/>
                <w:bCs/>
                <w:sz w:val="18"/>
                <w:szCs w:val="18"/>
              </w:rPr>
              <w:t>20</w:t>
            </w:r>
            <w:r w:rsidRPr="00EA1F10">
              <w:rPr>
                <w:b/>
                <w:bCs/>
                <w:sz w:val="18"/>
                <w:szCs w:val="18"/>
              </w:rPr>
              <w:t>24</w:t>
            </w:r>
          </w:p>
        </w:tc>
      </w:tr>
      <w:tr w:rsidR="007A6A1A" w:rsidRPr="00167CB8" w14:paraId="517A2859" w14:textId="77777777">
        <w:trPr>
          <w:trHeight w:val="233"/>
        </w:trPr>
        <w:tc>
          <w:tcPr>
            <w:tcW w:w="4957" w:type="dxa"/>
            <w:tcBorders>
              <w:top w:val="single" w:sz="4" w:space="0" w:color="auto"/>
              <w:left w:val="single" w:sz="4" w:space="0" w:color="auto"/>
              <w:bottom w:val="nil"/>
              <w:right w:val="nil"/>
            </w:tcBorders>
            <w:shd w:val="clear" w:color="auto" w:fill="FFFFFF"/>
            <w:noWrap/>
            <w:vAlign w:val="center"/>
          </w:tcPr>
          <w:p w14:paraId="0D8C3167" w14:textId="77777777" w:rsidR="007A6A1A" w:rsidRPr="00E12A27" w:rsidRDefault="007A6A1A" w:rsidP="00E12A27">
            <w:pPr>
              <w:spacing w:after="0" w:line="240" w:lineRule="auto"/>
              <w:rPr>
                <w:sz w:val="20"/>
                <w:szCs w:val="20"/>
              </w:rPr>
            </w:pPr>
          </w:p>
        </w:tc>
        <w:tc>
          <w:tcPr>
            <w:tcW w:w="1784" w:type="dxa"/>
            <w:tcBorders>
              <w:top w:val="single" w:sz="4" w:space="0" w:color="auto"/>
              <w:left w:val="nil"/>
              <w:bottom w:val="nil"/>
              <w:right w:val="nil"/>
            </w:tcBorders>
            <w:vAlign w:val="center"/>
            <w:hideMark/>
          </w:tcPr>
          <w:p w14:paraId="564FF7F3" w14:textId="77777777" w:rsidR="007A6A1A" w:rsidRPr="00E12A27" w:rsidRDefault="007A6A1A" w:rsidP="00EA1F10">
            <w:pPr>
              <w:spacing w:after="0" w:line="240" w:lineRule="auto"/>
              <w:rPr>
                <w:sz w:val="20"/>
                <w:szCs w:val="20"/>
              </w:rPr>
            </w:pPr>
            <w:r w:rsidRPr="00E12A27">
              <w:rPr>
                <w:sz w:val="20"/>
                <w:szCs w:val="20"/>
              </w:rPr>
              <w:t>(1)</w:t>
            </w:r>
          </w:p>
        </w:tc>
        <w:tc>
          <w:tcPr>
            <w:tcW w:w="1784" w:type="dxa"/>
            <w:tcBorders>
              <w:top w:val="single" w:sz="4" w:space="0" w:color="auto"/>
              <w:left w:val="nil"/>
              <w:bottom w:val="nil"/>
              <w:right w:val="nil"/>
            </w:tcBorders>
            <w:noWrap/>
            <w:vAlign w:val="center"/>
            <w:hideMark/>
          </w:tcPr>
          <w:p w14:paraId="54E7F7F6" w14:textId="77777777" w:rsidR="007A6A1A" w:rsidRPr="00E12A27" w:rsidRDefault="007A6A1A" w:rsidP="00EA1F10">
            <w:pPr>
              <w:spacing w:after="0" w:line="240" w:lineRule="auto"/>
              <w:rPr>
                <w:sz w:val="20"/>
                <w:szCs w:val="20"/>
              </w:rPr>
            </w:pPr>
            <w:r w:rsidRPr="00E12A27">
              <w:rPr>
                <w:sz w:val="20"/>
                <w:szCs w:val="20"/>
              </w:rPr>
              <w:t>(2)</w:t>
            </w:r>
          </w:p>
        </w:tc>
        <w:tc>
          <w:tcPr>
            <w:tcW w:w="1784" w:type="dxa"/>
            <w:tcBorders>
              <w:top w:val="single" w:sz="4" w:space="0" w:color="auto"/>
              <w:left w:val="nil"/>
              <w:bottom w:val="nil"/>
              <w:right w:val="nil"/>
            </w:tcBorders>
            <w:vAlign w:val="center"/>
            <w:hideMark/>
          </w:tcPr>
          <w:p w14:paraId="62206FE2" w14:textId="77777777" w:rsidR="007A6A1A" w:rsidRPr="00E12A27" w:rsidRDefault="007A6A1A" w:rsidP="00EA1F10">
            <w:pPr>
              <w:spacing w:after="0" w:line="240" w:lineRule="auto"/>
              <w:rPr>
                <w:sz w:val="20"/>
                <w:szCs w:val="20"/>
              </w:rPr>
            </w:pPr>
            <w:r w:rsidRPr="00E12A27">
              <w:rPr>
                <w:sz w:val="20"/>
                <w:szCs w:val="20"/>
              </w:rPr>
              <w:t>(3)</w:t>
            </w:r>
          </w:p>
        </w:tc>
        <w:tc>
          <w:tcPr>
            <w:tcW w:w="1784" w:type="dxa"/>
            <w:tcBorders>
              <w:top w:val="single" w:sz="4" w:space="0" w:color="auto"/>
              <w:left w:val="nil"/>
              <w:bottom w:val="nil"/>
              <w:right w:val="nil"/>
            </w:tcBorders>
            <w:vAlign w:val="center"/>
            <w:hideMark/>
          </w:tcPr>
          <w:p w14:paraId="117110F0" w14:textId="77777777" w:rsidR="007A6A1A" w:rsidRPr="00E12A27" w:rsidRDefault="007A6A1A" w:rsidP="00EA1F10">
            <w:pPr>
              <w:spacing w:after="0" w:line="240" w:lineRule="auto"/>
              <w:rPr>
                <w:sz w:val="20"/>
                <w:szCs w:val="20"/>
              </w:rPr>
            </w:pPr>
            <w:r w:rsidRPr="00E12A27">
              <w:rPr>
                <w:sz w:val="20"/>
                <w:szCs w:val="20"/>
              </w:rPr>
              <w:t>(4)</w:t>
            </w:r>
          </w:p>
        </w:tc>
        <w:tc>
          <w:tcPr>
            <w:tcW w:w="1785" w:type="dxa"/>
            <w:tcBorders>
              <w:top w:val="single" w:sz="4" w:space="0" w:color="auto"/>
              <w:left w:val="nil"/>
              <w:bottom w:val="nil"/>
              <w:right w:val="single" w:sz="4" w:space="0" w:color="auto"/>
            </w:tcBorders>
            <w:noWrap/>
            <w:vAlign w:val="center"/>
            <w:hideMark/>
          </w:tcPr>
          <w:p w14:paraId="39A386E1" w14:textId="77777777" w:rsidR="007A6A1A" w:rsidRPr="00E12A27" w:rsidRDefault="007A6A1A" w:rsidP="00EA1F10">
            <w:pPr>
              <w:spacing w:after="0" w:line="240" w:lineRule="auto"/>
              <w:rPr>
                <w:sz w:val="20"/>
                <w:szCs w:val="20"/>
              </w:rPr>
            </w:pPr>
            <w:r w:rsidRPr="00E12A27">
              <w:rPr>
                <w:sz w:val="20"/>
                <w:szCs w:val="20"/>
              </w:rPr>
              <w:t>(5)</w:t>
            </w:r>
          </w:p>
        </w:tc>
      </w:tr>
      <w:tr w:rsidR="007A6A1A" w:rsidRPr="00167CB8" w14:paraId="5B9AAA62" w14:textId="77777777" w:rsidTr="00EA1F10">
        <w:trPr>
          <w:trHeight w:val="283"/>
        </w:trPr>
        <w:tc>
          <w:tcPr>
            <w:tcW w:w="4957" w:type="dxa"/>
            <w:tcBorders>
              <w:top w:val="single" w:sz="4" w:space="0" w:color="auto"/>
              <w:left w:val="single" w:sz="4" w:space="0" w:color="auto"/>
              <w:bottom w:val="nil"/>
              <w:right w:val="nil"/>
            </w:tcBorders>
            <w:shd w:val="clear" w:color="auto" w:fill="FFFFFF"/>
            <w:noWrap/>
            <w:vAlign w:val="center"/>
            <w:hideMark/>
          </w:tcPr>
          <w:p w14:paraId="566ACA87" w14:textId="77777777" w:rsidR="007A6A1A" w:rsidRPr="00E12A27" w:rsidRDefault="007A6A1A" w:rsidP="00E12A27">
            <w:pPr>
              <w:spacing w:after="0" w:line="240" w:lineRule="auto"/>
              <w:rPr>
                <w:sz w:val="20"/>
                <w:szCs w:val="20"/>
              </w:rPr>
            </w:pPr>
            <w:r w:rsidRPr="00E12A27">
              <w:rPr>
                <w:sz w:val="20"/>
                <w:szCs w:val="20"/>
              </w:rPr>
              <w:t>Agriculture, forestry and fishing</w:t>
            </w:r>
          </w:p>
        </w:tc>
        <w:tc>
          <w:tcPr>
            <w:tcW w:w="1784" w:type="dxa"/>
            <w:tcBorders>
              <w:top w:val="single" w:sz="4" w:space="0" w:color="auto"/>
              <w:left w:val="nil"/>
              <w:bottom w:val="nil"/>
              <w:right w:val="nil"/>
            </w:tcBorders>
            <w:vAlign w:val="center"/>
            <w:hideMark/>
          </w:tcPr>
          <w:p w14:paraId="59E881F8" w14:textId="77777777" w:rsidR="007A6A1A" w:rsidRPr="00E12A27" w:rsidRDefault="007A6A1A" w:rsidP="00EA1F10">
            <w:pPr>
              <w:spacing w:after="0" w:line="240" w:lineRule="auto"/>
              <w:rPr>
                <w:sz w:val="20"/>
                <w:szCs w:val="20"/>
              </w:rPr>
            </w:pPr>
            <w:r w:rsidRPr="00E12A27">
              <w:rPr>
                <w:sz w:val="20"/>
                <w:szCs w:val="20"/>
              </w:rPr>
              <w:t>0.7</w:t>
            </w:r>
          </w:p>
        </w:tc>
        <w:tc>
          <w:tcPr>
            <w:tcW w:w="1784" w:type="dxa"/>
            <w:tcBorders>
              <w:top w:val="single" w:sz="4" w:space="0" w:color="auto"/>
              <w:left w:val="nil"/>
              <w:bottom w:val="nil"/>
              <w:right w:val="nil"/>
            </w:tcBorders>
            <w:noWrap/>
            <w:vAlign w:val="center"/>
            <w:hideMark/>
          </w:tcPr>
          <w:p w14:paraId="47CEFAA2" w14:textId="77777777" w:rsidR="007A6A1A" w:rsidRPr="00E12A27" w:rsidRDefault="007A6A1A" w:rsidP="00EA1F10">
            <w:pPr>
              <w:spacing w:after="0" w:line="240" w:lineRule="auto"/>
              <w:rPr>
                <w:sz w:val="20"/>
                <w:szCs w:val="20"/>
              </w:rPr>
            </w:pPr>
            <w:r w:rsidRPr="00E12A27">
              <w:rPr>
                <w:sz w:val="20"/>
                <w:szCs w:val="20"/>
              </w:rPr>
              <w:t>2.8</w:t>
            </w:r>
          </w:p>
        </w:tc>
        <w:tc>
          <w:tcPr>
            <w:tcW w:w="1784" w:type="dxa"/>
            <w:tcBorders>
              <w:top w:val="single" w:sz="4" w:space="0" w:color="auto"/>
              <w:left w:val="nil"/>
              <w:bottom w:val="nil"/>
              <w:right w:val="nil"/>
            </w:tcBorders>
            <w:vAlign w:val="center"/>
            <w:hideMark/>
          </w:tcPr>
          <w:p w14:paraId="6A71F623" w14:textId="77777777" w:rsidR="007A6A1A" w:rsidRPr="00E12A27" w:rsidRDefault="007A6A1A" w:rsidP="00EA1F10">
            <w:pPr>
              <w:spacing w:after="0" w:line="240" w:lineRule="auto"/>
              <w:rPr>
                <w:sz w:val="20"/>
                <w:szCs w:val="20"/>
              </w:rPr>
            </w:pPr>
            <w:r w:rsidRPr="00E12A27">
              <w:rPr>
                <w:sz w:val="20"/>
                <w:szCs w:val="20"/>
              </w:rPr>
              <w:t>2.2%</w:t>
            </w:r>
          </w:p>
        </w:tc>
        <w:tc>
          <w:tcPr>
            <w:tcW w:w="1784" w:type="dxa"/>
            <w:tcBorders>
              <w:top w:val="single" w:sz="4" w:space="0" w:color="auto"/>
              <w:left w:val="nil"/>
              <w:bottom w:val="nil"/>
              <w:right w:val="nil"/>
            </w:tcBorders>
            <w:vAlign w:val="center"/>
            <w:hideMark/>
          </w:tcPr>
          <w:p w14:paraId="30FC7C06" w14:textId="77777777" w:rsidR="007A6A1A" w:rsidRPr="00E12A27" w:rsidRDefault="007A6A1A" w:rsidP="00EA1F10">
            <w:pPr>
              <w:spacing w:after="0" w:line="240" w:lineRule="auto"/>
              <w:rPr>
                <w:sz w:val="20"/>
                <w:szCs w:val="20"/>
              </w:rPr>
            </w:pPr>
            <w:r w:rsidRPr="00E12A27">
              <w:rPr>
                <w:sz w:val="20"/>
                <w:szCs w:val="20"/>
              </w:rPr>
              <w:t>0.6%</w:t>
            </w:r>
          </w:p>
        </w:tc>
        <w:tc>
          <w:tcPr>
            <w:tcW w:w="1785" w:type="dxa"/>
            <w:tcBorders>
              <w:top w:val="single" w:sz="4" w:space="0" w:color="auto"/>
              <w:left w:val="nil"/>
              <w:bottom w:val="nil"/>
              <w:right w:val="single" w:sz="4" w:space="0" w:color="auto"/>
            </w:tcBorders>
            <w:noWrap/>
            <w:vAlign w:val="center"/>
            <w:hideMark/>
          </w:tcPr>
          <w:p w14:paraId="612ECDD1" w14:textId="77777777" w:rsidR="007A6A1A" w:rsidRPr="00E12A27" w:rsidRDefault="007A6A1A" w:rsidP="00EA1F10">
            <w:pPr>
              <w:spacing w:after="0" w:line="240" w:lineRule="auto"/>
              <w:rPr>
                <w:sz w:val="20"/>
                <w:szCs w:val="20"/>
              </w:rPr>
            </w:pPr>
            <w:r w:rsidRPr="00E12A27">
              <w:rPr>
                <w:sz w:val="20"/>
                <w:szCs w:val="20"/>
              </w:rPr>
              <w:t>1.7%</w:t>
            </w:r>
          </w:p>
        </w:tc>
      </w:tr>
      <w:tr w:rsidR="007A6A1A" w:rsidRPr="00167CB8" w14:paraId="5D61E6A9"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57875B2D" w14:textId="77777777" w:rsidR="007A6A1A" w:rsidRPr="00E12A27" w:rsidRDefault="007A6A1A" w:rsidP="00E12A27">
            <w:pPr>
              <w:spacing w:after="0" w:line="240" w:lineRule="auto"/>
              <w:rPr>
                <w:sz w:val="20"/>
                <w:szCs w:val="20"/>
              </w:rPr>
            </w:pPr>
            <w:r w:rsidRPr="00E12A27">
              <w:rPr>
                <w:sz w:val="20"/>
                <w:szCs w:val="20"/>
              </w:rPr>
              <w:t>Mining</w:t>
            </w:r>
          </w:p>
        </w:tc>
        <w:tc>
          <w:tcPr>
            <w:tcW w:w="1784" w:type="dxa"/>
            <w:vAlign w:val="center"/>
            <w:hideMark/>
          </w:tcPr>
          <w:p w14:paraId="7EC1A490" w14:textId="77777777" w:rsidR="007A6A1A" w:rsidRPr="00E12A27" w:rsidRDefault="007A6A1A" w:rsidP="00EA1F10">
            <w:pPr>
              <w:spacing w:after="0" w:line="240" w:lineRule="auto"/>
              <w:rPr>
                <w:sz w:val="20"/>
                <w:szCs w:val="20"/>
              </w:rPr>
            </w:pPr>
            <w:r w:rsidRPr="00E12A27">
              <w:rPr>
                <w:sz w:val="20"/>
                <w:szCs w:val="20"/>
              </w:rPr>
              <w:t>4.4</w:t>
            </w:r>
          </w:p>
        </w:tc>
        <w:tc>
          <w:tcPr>
            <w:tcW w:w="1784" w:type="dxa"/>
            <w:noWrap/>
            <w:vAlign w:val="center"/>
            <w:hideMark/>
          </w:tcPr>
          <w:p w14:paraId="65D312A2" w14:textId="77777777" w:rsidR="007A6A1A" w:rsidRPr="00E12A27" w:rsidRDefault="007A6A1A" w:rsidP="00EA1F10">
            <w:pPr>
              <w:spacing w:after="0" w:line="240" w:lineRule="auto"/>
              <w:rPr>
                <w:sz w:val="20"/>
                <w:szCs w:val="20"/>
              </w:rPr>
            </w:pPr>
            <w:r w:rsidRPr="00E12A27">
              <w:rPr>
                <w:sz w:val="20"/>
                <w:szCs w:val="20"/>
              </w:rPr>
              <w:t>11.2</w:t>
            </w:r>
          </w:p>
        </w:tc>
        <w:tc>
          <w:tcPr>
            <w:tcW w:w="1784" w:type="dxa"/>
            <w:vAlign w:val="center"/>
            <w:hideMark/>
          </w:tcPr>
          <w:p w14:paraId="6D7EC776" w14:textId="77777777" w:rsidR="007A6A1A" w:rsidRPr="00E12A27" w:rsidRDefault="007A6A1A" w:rsidP="00EA1F10">
            <w:pPr>
              <w:spacing w:after="0" w:line="240" w:lineRule="auto"/>
              <w:rPr>
                <w:sz w:val="20"/>
                <w:szCs w:val="20"/>
              </w:rPr>
            </w:pPr>
            <w:r w:rsidRPr="00E12A27">
              <w:rPr>
                <w:sz w:val="20"/>
                <w:szCs w:val="20"/>
              </w:rPr>
              <w:t>4.3%</w:t>
            </w:r>
          </w:p>
        </w:tc>
        <w:tc>
          <w:tcPr>
            <w:tcW w:w="1784" w:type="dxa"/>
            <w:vAlign w:val="center"/>
            <w:hideMark/>
          </w:tcPr>
          <w:p w14:paraId="33B6E850" w14:textId="77777777" w:rsidR="007A6A1A" w:rsidRPr="00E12A27" w:rsidRDefault="007A6A1A" w:rsidP="00EA1F10">
            <w:pPr>
              <w:spacing w:after="0" w:line="240" w:lineRule="auto"/>
              <w:rPr>
                <w:sz w:val="20"/>
                <w:szCs w:val="20"/>
              </w:rPr>
            </w:pPr>
            <w:r w:rsidRPr="00E12A27">
              <w:rPr>
                <w:sz w:val="20"/>
                <w:szCs w:val="20"/>
              </w:rPr>
              <w:t>2.2%</w:t>
            </w:r>
          </w:p>
        </w:tc>
        <w:tc>
          <w:tcPr>
            <w:tcW w:w="1785" w:type="dxa"/>
            <w:tcBorders>
              <w:top w:val="nil"/>
              <w:left w:val="nil"/>
              <w:bottom w:val="nil"/>
              <w:right w:val="single" w:sz="4" w:space="0" w:color="auto"/>
            </w:tcBorders>
            <w:noWrap/>
            <w:vAlign w:val="center"/>
            <w:hideMark/>
          </w:tcPr>
          <w:p w14:paraId="0AFB1504" w14:textId="77777777" w:rsidR="007A6A1A" w:rsidRPr="00E12A27" w:rsidRDefault="007A6A1A" w:rsidP="00EA1F10">
            <w:pPr>
              <w:spacing w:after="0" w:line="240" w:lineRule="auto"/>
              <w:rPr>
                <w:sz w:val="20"/>
                <w:szCs w:val="20"/>
              </w:rPr>
            </w:pPr>
            <w:r w:rsidRPr="00E12A27">
              <w:rPr>
                <w:sz w:val="20"/>
                <w:szCs w:val="20"/>
              </w:rPr>
              <w:t>5.6%</w:t>
            </w:r>
          </w:p>
        </w:tc>
      </w:tr>
      <w:tr w:rsidR="007A6A1A" w:rsidRPr="00167CB8" w14:paraId="5F749E63"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0FDAC1AE" w14:textId="77777777" w:rsidR="007A6A1A" w:rsidRPr="00E12A27" w:rsidRDefault="007A6A1A" w:rsidP="00E12A27">
            <w:pPr>
              <w:spacing w:after="0" w:line="240" w:lineRule="auto"/>
              <w:rPr>
                <w:sz w:val="20"/>
                <w:szCs w:val="20"/>
              </w:rPr>
            </w:pPr>
            <w:r w:rsidRPr="00E12A27">
              <w:rPr>
                <w:sz w:val="20"/>
                <w:szCs w:val="20"/>
              </w:rPr>
              <w:t>Manufacturing</w:t>
            </w:r>
          </w:p>
        </w:tc>
        <w:tc>
          <w:tcPr>
            <w:tcW w:w="1784" w:type="dxa"/>
            <w:vAlign w:val="center"/>
            <w:hideMark/>
          </w:tcPr>
          <w:p w14:paraId="5644F358" w14:textId="77777777" w:rsidR="007A6A1A" w:rsidRPr="00E12A27" w:rsidRDefault="007A6A1A" w:rsidP="00EA1F10">
            <w:pPr>
              <w:spacing w:after="0" w:line="240" w:lineRule="auto"/>
              <w:rPr>
                <w:sz w:val="20"/>
                <w:szCs w:val="20"/>
              </w:rPr>
            </w:pPr>
            <w:r w:rsidRPr="00E12A27">
              <w:rPr>
                <w:sz w:val="20"/>
                <w:szCs w:val="20"/>
              </w:rPr>
              <w:t>9.8</w:t>
            </w:r>
          </w:p>
        </w:tc>
        <w:tc>
          <w:tcPr>
            <w:tcW w:w="1784" w:type="dxa"/>
            <w:noWrap/>
            <w:vAlign w:val="center"/>
            <w:hideMark/>
          </w:tcPr>
          <w:p w14:paraId="2E386D95" w14:textId="77777777" w:rsidR="007A6A1A" w:rsidRPr="00E12A27" w:rsidRDefault="007A6A1A" w:rsidP="00EA1F10">
            <w:pPr>
              <w:spacing w:after="0" w:line="240" w:lineRule="auto"/>
              <w:rPr>
                <w:sz w:val="20"/>
                <w:szCs w:val="20"/>
              </w:rPr>
            </w:pPr>
            <w:r w:rsidRPr="00E12A27">
              <w:rPr>
                <w:sz w:val="20"/>
                <w:szCs w:val="20"/>
              </w:rPr>
              <w:t>10.2</w:t>
            </w:r>
          </w:p>
        </w:tc>
        <w:tc>
          <w:tcPr>
            <w:tcW w:w="1784" w:type="dxa"/>
            <w:vAlign w:val="center"/>
            <w:hideMark/>
          </w:tcPr>
          <w:p w14:paraId="45D0B536" w14:textId="77777777" w:rsidR="007A6A1A" w:rsidRPr="00E12A27" w:rsidRDefault="007A6A1A" w:rsidP="00EA1F10">
            <w:pPr>
              <w:spacing w:after="0" w:line="240" w:lineRule="auto"/>
              <w:rPr>
                <w:sz w:val="20"/>
                <w:szCs w:val="20"/>
              </w:rPr>
            </w:pPr>
            <w:r w:rsidRPr="00E12A27">
              <w:rPr>
                <w:sz w:val="20"/>
                <w:szCs w:val="20"/>
              </w:rPr>
              <w:t>1.3%</w:t>
            </w:r>
          </w:p>
        </w:tc>
        <w:tc>
          <w:tcPr>
            <w:tcW w:w="1784" w:type="dxa"/>
            <w:vAlign w:val="center"/>
            <w:hideMark/>
          </w:tcPr>
          <w:p w14:paraId="72C4A86A" w14:textId="77777777" w:rsidR="007A6A1A" w:rsidRPr="00E12A27" w:rsidRDefault="007A6A1A" w:rsidP="00EA1F10">
            <w:pPr>
              <w:spacing w:after="0" w:line="240" w:lineRule="auto"/>
              <w:rPr>
                <w:sz w:val="20"/>
                <w:szCs w:val="20"/>
              </w:rPr>
            </w:pPr>
            <w:r w:rsidRPr="00E12A27">
              <w:rPr>
                <w:sz w:val="20"/>
                <w:szCs w:val="20"/>
              </w:rPr>
              <w:t>2.0%</w:t>
            </w:r>
          </w:p>
        </w:tc>
        <w:tc>
          <w:tcPr>
            <w:tcW w:w="1785" w:type="dxa"/>
            <w:tcBorders>
              <w:top w:val="nil"/>
              <w:left w:val="nil"/>
              <w:bottom w:val="nil"/>
              <w:right w:val="single" w:sz="4" w:space="0" w:color="auto"/>
            </w:tcBorders>
            <w:noWrap/>
            <w:vAlign w:val="center"/>
            <w:hideMark/>
          </w:tcPr>
          <w:p w14:paraId="7D7DD581" w14:textId="77777777" w:rsidR="007A6A1A" w:rsidRPr="00E12A27" w:rsidRDefault="007A6A1A" w:rsidP="00EA1F10">
            <w:pPr>
              <w:spacing w:after="0" w:line="240" w:lineRule="auto"/>
              <w:rPr>
                <w:sz w:val="20"/>
                <w:szCs w:val="20"/>
              </w:rPr>
            </w:pPr>
            <w:r w:rsidRPr="00E12A27">
              <w:rPr>
                <w:sz w:val="20"/>
                <w:szCs w:val="20"/>
              </w:rPr>
              <w:t>0.3%</w:t>
            </w:r>
          </w:p>
        </w:tc>
      </w:tr>
      <w:tr w:rsidR="007A6A1A" w:rsidRPr="00167CB8" w14:paraId="4B39F875"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17ED24CB" w14:textId="77777777" w:rsidR="007A6A1A" w:rsidRPr="00E12A27" w:rsidRDefault="007A6A1A" w:rsidP="00E12A27">
            <w:pPr>
              <w:spacing w:after="0" w:line="240" w:lineRule="auto"/>
              <w:rPr>
                <w:sz w:val="20"/>
                <w:szCs w:val="20"/>
              </w:rPr>
            </w:pPr>
            <w:r w:rsidRPr="00E12A27">
              <w:rPr>
                <w:sz w:val="20"/>
                <w:szCs w:val="20"/>
              </w:rPr>
              <w:t>Electricity, gas, water and waste services</w:t>
            </w:r>
          </w:p>
        </w:tc>
        <w:tc>
          <w:tcPr>
            <w:tcW w:w="1784" w:type="dxa"/>
            <w:vAlign w:val="center"/>
            <w:hideMark/>
          </w:tcPr>
          <w:p w14:paraId="7FA937A4" w14:textId="77777777" w:rsidR="007A6A1A" w:rsidRPr="00E12A27" w:rsidRDefault="007A6A1A" w:rsidP="00EA1F10">
            <w:pPr>
              <w:spacing w:after="0" w:line="240" w:lineRule="auto"/>
              <w:rPr>
                <w:sz w:val="20"/>
                <w:szCs w:val="20"/>
              </w:rPr>
            </w:pPr>
            <w:r w:rsidRPr="00E12A27">
              <w:rPr>
                <w:sz w:val="20"/>
                <w:szCs w:val="20"/>
              </w:rPr>
              <w:t>5.8</w:t>
            </w:r>
          </w:p>
        </w:tc>
        <w:tc>
          <w:tcPr>
            <w:tcW w:w="1784" w:type="dxa"/>
            <w:noWrap/>
            <w:vAlign w:val="center"/>
            <w:hideMark/>
          </w:tcPr>
          <w:p w14:paraId="19C87BC0" w14:textId="77777777" w:rsidR="007A6A1A" w:rsidRPr="00E12A27" w:rsidRDefault="007A6A1A" w:rsidP="00EA1F10">
            <w:pPr>
              <w:spacing w:after="0" w:line="240" w:lineRule="auto"/>
              <w:rPr>
                <w:sz w:val="20"/>
                <w:szCs w:val="20"/>
              </w:rPr>
            </w:pPr>
            <w:r w:rsidRPr="00E12A27">
              <w:rPr>
                <w:sz w:val="20"/>
                <w:szCs w:val="20"/>
              </w:rPr>
              <w:t>7.7</w:t>
            </w:r>
          </w:p>
        </w:tc>
        <w:tc>
          <w:tcPr>
            <w:tcW w:w="1784" w:type="dxa"/>
            <w:vAlign w:val="center"/>
            <w:hideMark/>
          </w:tcPr>
          <w:p w14:paraId="3B404141" w14:textId="77777777" w:rsidR="007A6A1A" w:rsidRPr="00E12A27" w:rsidRDefault="007A6A1A" w:rsidP="00EA1F10">
            <w:pPr>
              <w:spacing w:after="0" w:line="240" w:lineRule="auto"/>
              <w:rPr>
                <w:sz w:val="20"/>
                <w:szCs w:val="20"/>
              </w:rPr>
            </w:pPr>
            <w:r w:rsidRPr="00E12A27">
              <w:rPr>
                <w:sz w:val="20"/>
                <w:szCs w:val="20"/>
              </w:rPr>
              <w:t>3.7%</w:t>
            </w:r>
          </w:p>
        </w:tc>
        <w:tc>
          <w:tcPr>
            <w:tcW w:w="1784" w:type="dxa"/>
            <w:vAlign w:val="center"/>
            <w:hideMark/>
          </w:tcPr>
          <w:p w14:paraId="2B141F8D" w14:textId="77777777" w:rsidR="007A6A1A" w:rsidRPr="00E12A27" w:rsidRDefault="007A6A1A" w:rsidP="00EA1F10">
            <w:pPr>
              <w:spacing w:after="0" w:line="240" w:lineRule="auto"/>
              <w:rPr>
                <w:sz w:val="20"/>
                <w:szCs w:val="20"/>
              </w:rPr>
            </w:pPr>
            <w:r w:rsidRPr="00E12A27">
              <w:rPr>
                <w:sz w:val="20"/>
                <w:szCs w:val="20"/>
              </w:rPr>
              <w:t>1.5%</w:t>
            </w:r>
          </w:p>
        </w:tc>
        <w:tc>
          <w:tcPr>
            <w:tcW w:w="1785" w:type="dxa"/>
            <w:tcBorders>
              <w:top w:val="nil"/>
              <w:left w:val="nil"/>
              <w:bottom w:val="nil"/>
              <w:right w:val="single" w:sz="4" w:space="0" w:color="auto"/>
            </w:tcBorders>
            <w:noWrap/>
            <w:vAlign w:val="center"/>
            <w:hideMark/>
          </w:tcPr>
          <w:p w14:paraId="3E0B1BE5" w14:textId="77777777" w:rsidR="007A6A1A" w:rsidRPr="00E12A27" w:rsidRDefault="007A6A1A" w:rsidP="00EA1F10">
            <w:pPr>
              <w:spacing w:after="0" w:line="240" w:lineRule="auto"/>
              <w:rPr>
                <w:sz w:val="20"/>
                <w:szCs w:val="20"/>
              </w:rPr>
            </w:pPr>
            <w:r w:rsidRPr="00E12A27">
              <w:rPr>
                <w:sz w:val="20"/>
                <w:szCs w:val="20"/>
              </w:rPr>
              <w:t>1.5%</w:t>
            </w:r>
          </w:p>
        </w:tc>
      </w:tr>
      <w:tr w:rsidR="007A6A1A" w:rsidRPr="00167CB8" w14:paraId="0D90F8AE"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09FD794C" w14:textId="77777777" w:rsidR="007A6A1A" w:rsidRPr="00E12A27" w:rsidRDefault="007A6A1A" w:rsidP="00E12A27">
            <w:pPr>
              <w:spacing w:after="0" w:line="240" w:lineRule="auto"/>
              <w:rPr>
                <w:sz w:val="20"/>
                <w:szCs w:val="20"/>
              </w:rPr>
            </w:pPr>
            <w:r w:rsidRPr="00E12A27">
              <w:rPr>
                <w:sz w:val="20"/>
                <w:szCs w:val="20"/>
              </w:rPr>
              <w:t>Construction</w:t>
            </w:r>
          </w:p>
        </w:tc>
        <w:tc>
          <w:tcPr>
            <w:tcW w:w="1784" w:type="dxa"/>
            <w:vAlign w:val="center"/>
            <w:hideMark/>
          </w:tcPr>
          <w:p w14:paraId="5C231573" w14:textId="77777777" w:rsidR="007A6A1A" w:rsidRPr="00E12A27" w:rsidRDefault="007A6A1A" w:rsidP="00EA1F10">
            <w:pPr>
              <w:spacing w:after="0" w:line="240" w:lineRule="auto"/>
              <w:rPr>
                <w:sz w:val="20"/>
                <w:szCs w:val="20"/>
              </w:rPr>
            </w:pPr>
            <w:r w:rsidRPr="00E12A27">
              <w:rPr>
                <w:sz w:val="20"/>
                <w:szCs w:val="20"/>
              </w:rPr>
              <w:t>9.2</w:t>
            </w:r>
          </w:p>
        </w:tc>
        <w:tc>
          <w:tcPr>
            <w:tcW w:w="1784" w:type="dxa"/>
            <w:noWrap/>
            <w:vAlign w:val="center"/>
            <w:hideMark/>
          </w:tcPr>
          <w:p w14:paraId="48FAC980" w14:textId="77777777" w:rsidR="007A6A1A" w:rsidRPr="00E12A27" w:rsidRDefault="007A6A1A" w:rsidP="00EA1F10">
            <w:pPr>
              <w:spacing w:after="0" w:line="240" w:lineRule="auto"/>
              <w:rPr>
                <w:sz w:val="20"/>
                <w:szCs w:val="20"/>
              </w:rPr>
            </w:pPr>
            <w:r w:rsidRPr="00E12A27">
              <w:rPr>
                <w:sz w:val="20"/>
                <w:szCs w:val="20"/>
              </w:rPr>
              <w:t>16.4</w:t>
            </w:r>
          </w:p>
        </w:tc>
        <w:tc>
          <w:tcPr>
            <w:tcW w:w="1784" w:type="dxa"/>
            <w:vAlign w:val="center"/>
            <w:hideMark/>
          </w:tcPr>
          <w:p w14:paraId="5810FC7B" w14:textId="77777777" w:rsidR="007A6A1A" w:rsidRPr="00E12A27" w:rsidRDefault="007A6A1A" w:rsidP="00EA1F10">
            <w:pPr>
              <w:spacing w:after="0" w:line="240" w:lineRule="auto"/>
              <w:rPr>
                <w:sz w:val="20"/>
                <w:szCs w:val="20"/>
              </w:rPr>
            </w:pPr>
            <w:r w:rsidRPr="00E12A27">
              <w:rPr>
                <w:sz w:val="20"/>
                <w:szCs w:val="20"/>
              </w:rPr>
              <w:t>1.9%</w:t>
            </w:r>
          </w:p>
        </w:tc>
        <w:tc>
          <w:tcPr>
            <w:tcW w:w="1784" w:type="dxa"/>
            <w:vAlign w:val="center"/>
            <w:hideMark/>
          </w:tcPr>
          <w:p w14:paraId="1EB2D161" w14:textId="77777777" w:rsidR="007A6A1A" w:rsidRPr="00E12A27" w:rsidRDefault="007A6A1A" w:rsidP="00EA1F10">
            <w:pPr>
              <w:spacing w:after="0" w:line="240" w:lineRule="auto"/>
              <w:rPr>
                <w:sz w:val="20"/>
                <w:szCs w:val="20"/>
              </w:rPr>
            </w:pPr>
            <w:r w:rsidRPr="00E12A27">
              <w:rPr>
                <w:sz w:val="20"/>
                <w:szCs w:val="20"/>
              </w:rPr>
              <w:t>3.2%</w:t>
            </w:r>
          </w:p>
        </w:tc>
        <w:tc>
          <w:tcPr>
            <w:tcW w:w="1785" w:type="dxa"/>
            <w:tcBorders>
              <w:top w:val="nil"/>
              <w:left w:val="nil"/>
              <w:bottom w:val="nil"/>
              <w:right w:val="single" w:sz="4" w:space="0" w:color="auto"/>
            </w:tcBorders>
            <w:noWrap/>
            <w:vAlign w:val="center"/>
            <w:hideMark/>
          </w:tcPr>
          <w:p w14:paraId="4D172FC8" w14:textId="77777777" w:rsidR="007A6A1A" w:rsidRPr="00E12A27" w:rsidRDefault="007A6A1A" w:rsidP="00EA1F10">
            <w:pPr>
              <w:spacing w:after="0" w:line="240" w:lineRule="auto"/>
              <w:rPr>
                <w:sz w:val="20"/>
                <w:szCs w:val="20"/>
              </w:rPr>
            </w:pPr>
            <w:r w:rsidRPr="00E12A27">
              <w:rPr>
                <w:sz w:val="20"/>
                <w:szCs w:val="20"/>
              </w:rPr>
              <w:t>5.8%</w:t>
            </w:r>
          </w:p>
        </w:tc>
      </w:tr>
      <w:tr w:rsidR="007A6A1A" w:rsidRPr="00167CB8" w14:paraId="53D7DDF4"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0DA0E9B4" w14:textId="77777777" w:rsidR="007A6A1A" w:rsidRPr="00E12A27" w:rsidRDefault="007A6A1A" w:rsidP="00E12A27">
            <w:pPr>
              <w:spacing w:after="0" w:line="240" w:lineRule="auto"/>
              <w:rPr>
                <w:sz w:val="20"/>
                <w:szCs w:val="20"/>
              </w:rPr>
            </w:pPr>
            <w:r w:rsidRPr="00E12A27">
              <w:rPr>
                <w:sz w:val="20"/>
                <w:szCs w:val="20"/>
              </w:rPr>
              <w:t>Wholesale trade</w:t>
            </w:r>
          </w:p>
        </w:tc>
        <w:tc>
          <w:tcPr>
            <w:tcW w:w="1784" w:type="dxa"/>
            <w:vAlign w:val="center"/>
            <w:hideMark/>
          </w:tcPr>
          <w:p w14:paraId="71326499" w14:textId="77777777" w:rsidR="007A6A1A" w:rsidRPr="00E12A27" w:rsidRDefault="007A6A1A" w:rsidP="00EA1F10">
            <w:pPr>
              <w:spacing w:after="0" w:line="240" w:lineRule="auto"/>
              <w:rPr>
                <w:sz w:val="20"/>
                <w:szCs w:val="20"/>
              </w:rPr>
            </w:pPr>
            <w:r w:rsidRPr="00E12A27">
              <w:rPr>
                <w:sz w:val="20"/>
                <w:szCs w:val="20"/>
              </w:rPr>
              <w:t>2.2</w:t>
            </w:r>
          </w:p>
        </w:tc>
        <w:tc>
          <w:tcPr>
            <w:tcW w:w="1784" w:type="dxa"/>
            <w:noWrap/>
            <w:vAlign w:val="center"/>
            <w:hideMark/>
          </w:tcPr>
          <w:p w14:paraId="354A22FD" w14:textId="77777777" w:rsidR="007A6A1A" w:rsidRPr="00E12A27" w:rsidRDefault="007A6A1A" w:rsidP="00EA1F10">
            <w:pPr>
              <w:spacing w:after="0" w:line="240" w:lineRule="auto"/>
              <w:rPr>
                <w:sz w:val="20"/>
                <w:szCs w:val="20"/>
              </w:rPr>
            </w:pPr>
            <w:r w:rsidRPr="00E12A27">
              <w:rPr>
                <w:sz w:val="20"/>
                <w:szCs w:val="20"/>
              </w:rPr>
              <w:t>2.6</w:t>
            </w:r>
          </w:p>
        </w:tc>
        <w:tc>
          <w:tcPr>
            <w:tcW w:w="1784" w:type="dxa"/>
            <w:vAlign w:val="center"/>
            <w:hideMark/>
          </w:tcPr>
          <w:p w14:paraId="782D22D7" w14:textId="77777777" w:rsidR="007A6A1A" w:rsidRPr="00E12A27" w:rsidRDefault="007A6A1A" w:rsidP="00EA1F10">
            <w:pPr>
              <w:spacing w:after="0" w:line="240" w:lineRule="auto"/>
              <w:rPr>
                <w:sz w:val="20"/>
                <w:szCs w:val="20"/>
              </w:rPr>
            </w:pPr>
            <w:r w:rsidRPr="00E12A27">
              <w:rPr>
                <w:sz w:val="20"/>
                <w:szCs w:val="20"/>
              </w:rPr>
              <w:t>0.8%</w:t>
            </w:r>
          </w:p>
        </w:tc>
        <w:tc>
          <w:tcPr>
            <w:tcW w:w="1784" w:type="dxa"/>
            <w:vAlign w:val="center"/>
            <w:hideMark/>
          </w:tcPr>
          <w:p w14:paraId="769E97A0" w14:textId="77777777" w:rsidR="007A6A1A" w:rsidRPr="00E12A27" w:rsidRDefault="007A6A1A" w:rsidP="00EA1F10">
            <w:pPr>
              <w:spacing w:after="0" w:line="240" w:lineRule="auto"/>
              <w:rPr>
                <w:sz w:val="20"/>
                <w:szCs w:val="20"/>
              </w:rPr>
            </w:pPr>
            <w:r w:rsidRPr="00E12A27">
              <w:rPr>
                <w:sz w:val="20"/>
                <w:szCs w:val="20"/>
              </w:rPr>
              <w:t>0.5%</w:t>
            </w:r>
          </w:p>
        </w:tc>
        <w:tc>
          <w:tcPr>
            <w:tcW w:w="1785" w:type="dxa"/>
            <w:tcBorders>
              <w:top w:val="nil"/>
              <w:left w:val="nil"/>
              <w:bottom w:val="nil"/>
              <w:right w:val="single" w:sz="4" w:space="0" w:color="auto"/>
            </w:tcBorders>
            <w:noWrap/>
            <w:vAlign w:val="center"/>
            <w:hideMark/>
          </w:tcPr>
          <w:p w14:paraId="3D2BC957" w14:textId="77777777" w:rsidR="007A6A1A" w:rsidRPr="00E12A27" w:rsidRDefault="007A6A1A" w:rsidP="00EA1F10">
            <w:pPr>
              <w:spacing w:after="0" w:line="240" w:lineRule="auto"/>
              <w:rPr>
                <w:sz w:val="20"/>
                <w:szCs w:val="20"/>
              </w:rPr>
            </w:pPr>
            <w:r w:rsidRPr="00E12A27">
              <w:rPr>
                <w:sz w:val="20"/>
                <w:szCs w:val="20"/>
              </w:rPr>
              <w:t>0.3%</w:t>
            </w:r>
          </w:p>
        </w:tc>
      </w:tr>
      <w:tr w:rsidR="007A6A1A" w:rsidRPr="00167CB8" w14:paraId="49CEDB86"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1B6AC132" w14:textId="77777777" w:rsidR="007A6A1A" w:rsidRPr="00E12A27" w:rsidRDefault="007A6A1A" w:rsidP="00E12A27">
            <w:pPr>
              <w:spacing w:after="0" w:line="240" w:lineRule="auto"/>
              <w:rPr>
                <w:sz w:val="20"/>
                <w:szCs w:val="20"/>
              </w:rPr>
            </w:pPr>
            <w:r w:rsidRPr="00E12A27">
              <w:rPr>
                <w:sz w:val="20"/>
                <w:szCs w:val="20"/>
              </w:rPr>
              <w:t>Retail trade</w:t>
            </w:r>
          </w:p>
        </w:tc>
        <w:tc>
          <w:tcPr>
            <w:tcW w:w="1784" w:type="dxa"/>
            <w:vAlign w:val="center"/>
            <w:hideMark/>
          </w:tcPr>
          <w:p w14:paraId="69824FB0" w14:textId="77777777" w:rsidR="007A6A1A" w:rsidRPr="00E12A27" w:rsidRDefault="007A6A1A" w:rsidP="00EA1F10">
            <w:pPr>
              <w:spacing w:after="0" w:line="240" w:lineRule="auto"/>
              <w:rPr>
                <w:sz w:val="20"/>
                <w:szCs w:val="20"/>
              </w:rPr>
            </w:pPr>
            <w:r w:rsidRPr="00E12A27">
              <w:rPr>
                <w:sz w:val="20"/>
                <w:szCs w:val="20"/>
              </w:rPr>
              <w:t>7.7</w:t>
            </w:r>
          </w:p>
        </w:tc>
        <w:tc>
          <w:tcPr>
            <w:tcW w:w="1784" w:type="dxa"/>
            <w:noWrap/>
            <w:vAlign w:val="center"/>
            <w:hideMark/>
          </w:tcPr>
          <w:p w14:paraId="4737F970" w14:textId="77777777" w:rsidR="007A6A1A" w:rsidRPr="00E12A27" w:rsidRDefault="007A6A1A" w:rsidP="00EA1F10">
            <w:pPr>
              <w:spacing w:after="0" w:line="240" w:lineRule="auto"/>
              <w:rPr>
                <w:sz w:val="20"/>
                <w:szCs w:val="20"/>
              </w:rPr>
            </w:pPr>
            <w:r w:rsidRPr="00E12A27">
              <w:rPr>
                <w:sz w:val="20"/>
                <w:szCs w:val="20"/>
              </w:rPr>
              <w:t>15.5</w:t>
            </w:r>
          </w:p>
        </w:tc>
        <w:tc>
          <w:tcPr>
            <w:tcW w:w="1784" w:type="dxa"/>
            <w:vAlign w:val="center"/>
            <w:hideMark/>
          </w:tcPr>
          <w:p w14:paraId="49692A1C" w14:textId="77777777" w:rsidR="007A6A1A" w:rsidRPr="00E12A27" w:rsidRDefault="007A6A1A" w:rsidP="00EA1F10">
            <w:pPr>
              <w:spacing w:after="0" w:line="240" w:lineRule="auto"/>
              <w:rPr>
                <w:sz w:val="20"/>
                <w:szCs w:val="20"/>
              </w:rPr>
            </w:pPr>
            <w:r w:rsidRPr="00E12A27">
              <w:rPr>
                <w:sz w:val="20"/>
                <w:szCs w:val="20"/>
              </w:rPr>
              <w:t>1.3%</w:t>
            </w:r>
          </w:p>
        </w:tc>
        <w:tc>
          <w:tcPr>
            <w:tcW w:w="1784" w:type="dxa"/>
            <w:vAlign w:val="center"/>
            <w:hideMark/>
          </w:tcPr>
          <w:p w14:paraId="628147A4" w14:textId="77777777" w:rsidR="007A6A1A" w:rsidRPr="00E12A27" w:rsidRDefault="007A6A1A" w:rsidP="00EA1F10">
            <w:pPr>
              <w:spacing w:after="0" w:line="240" w:lineRule="auto"/>
              <w:rPr>
                <w:sz w:val="20"/>
                <w:szCs w:val="20"/>
              </w:rPr>
            </w:pPr>
            <w:r w:rsidRPr="00E12A27">
              <w:rPr>
                <w:sz w:val="20"/>
                <w:szCs w:val="20"/>
              </w:rPr>
              <w:t>3.0%</w:t>
            </w:r>
          </w:p>
        </w:tc>
        <w:tc>
          <w:tcPr>
            <w:tcW w:w="1785" w:type="dxa"/>
            <w:tcBorders>
              <w:top w:val="nil"/>
              <w:left w:val="nil"/>
              <w:bottom w:val="nil"/>
              <w:right w:val="single" w:sz="4" w:space="0" w:color="auto"/>
            </w:tcBorders>
            <w:noWrap/>
            <w:vAlign w:val="center"/>
            <w:hideMark/>
          </w:tcPr>
          <w:p w14:paraId="14A645C2" w14:textId="77777777" w:rsidR="007A6A1A" w:rsidRPr="00E12A27" w:rsidRDefault="007A6A1A" w:rsidP="00EA1F10">
            <w:pPr>
              <w:spacing w:after="0" w:line="240" w:lineRule="auto"/>
              <w:rPr>
                <w:sz w:val="20"/>
                <w:szCs w:val="20"/>
              </w:rPr>
            </w:pPr>
            <w:r w:rsidRPr="00E12A27">
              <w:rPr>
                <w:sz w:val="20"/>
                <w:szCs w:val="20"/>
              </w:rPr>
              <w:t>6.3%</w:t>
            </w:r>
          </w:p>
        </w:tc>
      </w:tr>
      <w:tr w:rsidR="007A6A1A" w:rsidRPr="00167CB8" w14:paraId="2CF94FBB"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1FC8786D" w14:textId="77777777" w:rsidR="007A6A1A" w:rsidRPr="00E12A27" w:rsidRDefault="007A6A1A" w:rsidP="00E12A27">
            <w:pPr>
              <w:spacing w:after="0" w:line="240" w:lineRule="auto"/>
              <w:rPr>
                <w:sz w:val="20"/>
                <w:szCs w:val="20"/>
              </w:rPr>
            </w:pPr>
            <w:r w:rsidRPr="00E12A27">
              <w:rPr>
                <w:sz w:val="20"/>
                <w:szCs w:val="20"/>
              </w:rPr>
              <w:t>Accommodation and food services</w:t>
            </w:r>
          </w:p>
        </w:tc>
        <w:tc>
          <w:tcPr>
            <w:tcW w:w="1784" w:type="dxa"/>
            <w:vAlign w:val="center"/>
            <w:hideMark/>
          </w:tcPr>
          <w:p w14:paraId="68C0B1C8" w14:textId="77777777" w:rsidR="007A6A1A" w:rsidRPr="00E12A27" w:rsidRDefault="007A6A1A" w:rsidP="00EA1F10">
            <w:pPr>
              <w:spacing w:after="0" w:line="240" w:lineRule="auto"/>
              <w:rPr>
                <w:sz w:val="20"/>
                <w:szCs w:val="20"/>
              </w:rPr>
            </w:pPr>
            <w:r w:rsidRPr="00E12A27">
              <w:rPr>
                <w:sz w:val="20"/>
                <w:szCs w:val="20"/>
              </w:rPr>
              <w:t>3.1</w:t>
            </w:r>
          </w:p>
        </w:tc>
        <w:tc>
          <w:tcPr>
            <w:tcW w:w="1784" w:type="dxa"/>
            <w:noWrap/>
            <w:vAlign w:val="center"/>
            <w:hideMark/>
          </w:tcPr>
          <w:p w14:paraId="43712ABC" w14:textId="77777777" w:rsidR="007A6A1A" w:rsidRPr="00E12A27" w:rsidRDefault="007A6A1A" w:rsidP="00EA1F10">
            <w:pPr>
              <w:spacing w:after="0" w:line="240" w:lineRule="auto"/>
              <w:rPr>
                <w:sz w:val="20"/>
                <w:szCs w:val="20"/>
              </w:rPr>
            </w:pPr>
            <w:r w:rsidRPr="00E12A27">
              <w:rPr>
                <w:sz w:val="20"/>
                <w:szCs w:val="20"/>
              </w:rPr>
              <w:t>9.8</w:t>
            </w:r>
          </w:p>
        </w:tc>
        <w:tc>
          <w:tcPr>
            <w:tcW w:w="1784" w:type="dxa"/>
            <w:vAlign w:val="center"/>
            <w:hideMark/>
          </w:tcPr>
          <w:p w14:paraId="67814968" w14:textId="77777777" w:rsidR="007A6A1A" w:rsidRPr="00E12A27" w:rsidRDefault="007A6A1A" w:rsidP="00EA1F10">
            <w:pPr>
              <w:spacing w:after="0" w:line="240" w:lineRule="auto"/>
              <w:rPr>
                <w:sz w:val="20"/>
                <w:szCs w:val="20"/>
              </w:rPr>
            </w:pPr>
            <w:r w:rsidRPr="00E12A27">
              <w:rPr>
                <w:sz w:val="20"/>
                <w:szCs w:val="20"/>
              </w:rPr>
              <w:t>1.1%</w:t>
            </w:r>
          </w:p>
        </w:tc>
        <w:tc>
          <w:tcPr>
            <w:tcW w:w="1784" w:type="dxa"/>
            <w:vAlign w:val="center"/>
            <w:hideMark/>
          </w:tcPr>
          <w:p w14:paraId="65EA1630" w14:textId="77777777" w:rsidR="007A6A1A" w:rsidRPr="00E12A27" w:rsidRDefault="007A6A1A" w:rsidP="00EA1F10">
            <w:pPr>
              <w:spacing w:after="0" w:line="240" w:lineRule="auto"/>
              <w:rPr>
                <w:sz w:val="20"/>
                <w:szCs w:val="20"/>
              </w:rPr>
            </w:pPr>
            <w:r w:rsidRPr="00E12A27">
              <w:rPr>
                <w:sz w:val="20"/>
                <w:szCs w:val="20"/>
              </w:rPr>
              <w:t>1.9%</w:t>
            </w:r>
          </w:p>
        </w:tc>
        <w:tc>
          <w:tcPr>
            <w:tcW w:w="1785" w:type="dxa"/>
            <w:tcBorders>
              <w:top w:val="nil"/>
              <w:left w:val="nil"/>
              <w:bottom w:val="nil"/>
              <w:right w:val="single" w:sz="4" w:space="0" w:color="auto"/>
            </w:tcBorders>
            <w:noWrap/>
            <w:vAlign w:val="center"/>
            <w:hideMark/>
          </w:tcPr>
          <w:p w14:paraId="60620F7E" w14:textId="77777777" w:rsidR="007A6A1A" w:rsidRPr="00E12A27" w:rsidRDefault="007A6A1A" w:rsidP="00EA1F10">
            <w:pPr>
              <w:spacing w:after="0" w:line="240" w:lineRule="auto"/>
              <w:rPr>
                <w:sz w:val="20"/>
                <w:szCs w:val="20"/>
              </w:rPr>
            </w:pPr>
            <w:r w:rsidRPr="00E12A27">
              <w:rPr>
                <w:sz w:val="20"/>
                <w:szCs w:val="20"/>
              </w:rPr>
              <w:t>5.5%</w:t>
            </w:r>
          </w:p>
        </w:tc>
      </w:tr>
      <w:tr w:rsidR="007A6A1A" w:rsidRPr="00167CB8" w14:paraId="02F4DAAB"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7374958B" w14:textId="77777777" w:rsidR="007A6A1A" w:rsidRPr="00E12A27" w:rsidRDefault="007A6A1A" w:rsidP="00E12A27">
            <w:pPr>
              <w:spacing w:after="0" w:line="240" w:lineRule="auto"/>
              <w:rPr>
                <w:sz w:val="20"/>
                <w:szCs w:val="20"/>
              </w:rPr>
            </w:pPr>
            <w:r w:rsidRPr="00E12A27">
              <w:rPr>
                <w:sz w:val="20"/>
                <w:szCs w:val="20"/>
              </w:rPr>
              <w:t>Transport, postal and warehousing</w:t>
            </w:r>
          </w:p>
        </w:tc>
        <w:tc>
          <w:tcPr>
            <w:tcW w:w="1784" w:type="dxa"/>
            <w:vAlign w:val="center"/>
            <w:hideMark/>
          </w:tcPr>
          <w:p w14:paraId="5A99E2D1" w14:textId="77777777" w:rsidR="007A6A1A" w:rsidRPr="00E12A27" w:rsidRDefault="007A6A1A" w:rsidP="00EA1F10">
            <w:pPr>
              <w:spacing w:after="0" w:line="240" w:lineRule="auto"/>
              <w:rPr>
                <w:sz w:val="20"/>
                <w:szCs w:val="20"/>
              </w:rPr>
            </w:pPr>
            <w:r w:rsidRPr="00E12A27">
              <w:rPr>
                <w:sz w:val="20"/>
                <w:szCs w:val="20"/>
              </w:rPr>
              <w:t>4.5</w:t>
            </w:r>
          </w:p>
        </w:tc>
        <w:tc>
          <w:tcPr>
            <w:tcW w:w="1784" w:type="dxa"/>
            <w:noWrap/>
            <w:vAlign w:val="center"/>
            <w:hideMark/>
          </w:tcPr>
          <w:p w14:paraId="5C9F465D" w14:textId="77777777" w:rsidR="007A6A1A" w:rsidRPr="00E12A27" w:rsidRDefault="007A6A1A" w:rsidP="00EA1F10">
            <w:pPr>
              <w:spacing w:after="0" w:line="240" w:lineRule="auto"/>
              <w:rPr>
                <w:sz w:val="20"/>
                <w:szCs w:val="20"/>
              </w:rPr>
            </w:pPr>
            <w:r w:rsidRPr="00E12A27">
              <w:rPr>
                <w:sz w:val="20"/>
                <w:szCs w:val="20"/>
              </w:rPr>
              <w:t>8.6</w:t>
            </w:r>
          </w:p>
        </w:tc>
        <w:tc>
          <w:tcPr>
            <w:tcW w:w="1784" w:type="dxa"/>
            <w:vAlign w:val="center"/>
            <w:hideMark/>
          </w:tcPr>
          <w:p w14:paraId="655B40D7" w14:textId="77777777" w:rsidR="007A6A1A" w:rsidRPr="00E12A27" w:rsidRDefault="007A6A1A" w:rsidP="00EA1F10">
            <w:pPr>
              <w:spacing w:after="0" w:line="240" w:lineRule="auto"/>
              <w:rPr>
                <w:sz w:val="20"/>
                <w:szCs w:val="20"/>
              </w:rPr>
            </w:pPr>
            <w:r w:rsidRPr="00E12A27">
              <w:rPr>
                <w:sz w:val="20"/>
                <w:szCs w:val="20"/>
              </w:rPr>
              <w:t>1.5%</w:t>
            </w:r>
          </w:p>
        </w:tc>
        <w:tc>
          <w:tcPr>
            <w:tcW w:w="1784" w:type="dxa"/>
            <w:vAlign w:val="center"/>
            <w:hideMark/>
          </w:tcPr>
          <w:p w14:paraId="78D356E3" w14:textId="77777777" w:rsidR="007A6A1A" w:rsidRPr="00E12A27" w:rsidRDefault="007A6A1A" w:rsidP="00EA1F10">
            <w:pPr>
              <w:spacing w:after="0" w:line="240" w:lineRule="auto"/>
              <w:rPr>
                <w:sz w:val="20"/>
                <w:szCs w:val="20"/>
              </w:rPr>
            </w:pPr>
            <w:r w:rsidRPr="00E12A27">
              <w:rPr>
                <w:sz w:val="20"/>
                <w:szCs w:val="20"/>
              </w:rPr>
              <w:t>1.7%</w:t>
            </w:r>
          </w:p>
        </w:tc>
        <w:tc>
          <w:tcPr>
            <w:tcW w:w="1785" w:type="dxa"/>
            <w:tcBorders>
              <w:top w:val="nil"/>
              <w:left w:val="nil"/>
              <w:bottom w:val="nil"/>
              <w:right w:val="single" w:sz="4" w:space="0" w:color="auto"/>
            </w:tcBorders>
            <w:noWrap/>
            <w:vAlign w:val="center"/>
            <w:hideMark/>
          </w:tcPr>
          <w:p w14:paraId="5EB93A0D" w14:textId="77777777" w:rsidR="007A6A1A" w:rsidRPr="00E12A27" w:rsidRDefault="007A6A1A" w:rsidP="00EA1F10">
            <w:pPr>
              <w:spacing w:after="0" w:line="240" w:lineRule="auto"/>
              <w:rPr>
                <w:sz w:val="20"/>
                <w:szCs w:val="20"/>
              </w:rPr>
            </w:pPr>
            <w:r w:rsidRPr="00E12A27">
              <w:rPr>
                <w:sz w:val="20"/>
                <w:szCs w:val="20"/>
              </w:rPr>
              <w:t>3.4%</w:t>
            </w:r>
          </w:p>
        </w:tc>
      </w:tr>
      <w:tr w:rsidR="007A6A1A" w:rsidRPr="00167CB8" w14:paraId="62574C80"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067592B7" w14:textId="6D43AD16" w:rsidR="007A6A1A" w:rsidRPr="00E12A27" w:rsidRDefault="007A6A1A" w:rsidP="00E12A27">
            <w:pPr>
              <w:spacing w:after="0" w:line="240" w:lineRule="auto"/>
              <w:rPr>
                <w:sz w:val="20"/>
                <w:szCs w:val="20"/>
              </w:rPr>
            </w:pPr>
            <w:r w:rsidRPr="00E12A27">
              <w:rPr>
                <w:sz w:val="20"/>
                <w:szCs w:val="20"/>
              </w:rPr>
              <w:t>Information</w:t>
            </w:r>
            <w:r w:rsidR="00A461FB" w:rsidRPr="00E12A27">
              <w:rPr>
                <w:sz w:val="20"/>
                <w:szCs w:val="20"/>
              </w:rPr>
              <w:t>,</w:t>
            </w:r>
            <w:r w:rsidRPr="00E12A27">
              <w:rPr>
                <w:sz w:val="20"/>
                <w:szCs w:val="20"/>
              </w:rPr>
              <w:t xml:space="preserve"> </w:t>
            </w:r>
            <w:r w:rsidR="00A461FB" w:rsidRPr="00E12A27">
              <w:rPr>
                <w:sz w:val="20"/>
                <w:szCs w:val="20"/>
              </w:rPr>
              <w:t>m</w:t>
            </w:r>
            <w:r w:rsidRPr="00E12A27">
              <w:rPr>
                <w:sz w:val="20"/>
                <w:szCs w:val="20"/>
              </w:rPr>
              <w:t>edia and telecommunications</w:t>
            </w:r>
          </w:p>
        </w:tc>
        <w:tc>
          <w:tcPr>
            <w:tcW w:w="1784" w:type="dxa"/>
            <w:vAlign w:val="center"/>
            <w:hideMark/>
          </w:tcPr>
          <w:p w14:paraId="678A199F" w14:textId="77777777" w:rsidR="007A6A1A" w:rsidRPr="00E12A27" w:rsidRDefault="007A6A1A" w:rsidP="00EA1F10">
            <w:pPr>
              <w:spacing w:after="0" w:line="240" w:lineRule="auto"/>
              <w:rPr>
                <w:sz w:val="20"/>
                <w:szCs w:val="20"/>
              </w:rPr>
            </w:pPr>
            <w:r w:rsidRPr="00E12A27">
              <w:rPr>
                <w:sz w:val="20"/>
                <w:szCs w:val="20"/>
              </w:rPr>
              <w:t>12.7</w:t>
            </w:r>
          </w:p>
        </w:tc>
        <w:tc>
          <w:tcPr>
            <w:tcW w:w="1784" w:type="dxa"/>
            <w:noWrap/>
            <w:vAlign w:val="center"/>
            <w:hideMark/>
          </w:tcPr>
          <w:p w14:paraId="3805E0DD" w14:textId="77777777" w:rsidR="007A6A1A" w:rsidRPr="00E12A27" w:rsidRDefault="007A6A1A" w:rsidP="00EA1F10">
            <w:pPr>
              <w:spacing w:after="0" w:line="240" w:lineRule="auto"/>
              <w:rPr>
                <w:sz w:val="20"/>
                <w:szCs w:val="20"/>
              </w:rPr>
            </w:pPr>
            <w:r w:rsidRPr="00E12A27">
              <w:rPr>
                <w:sz w:val="20"/>
                <w:szCs w:val="20"/>
              </w:rPr>
              <w:t>9.5</w:t>
            </w:r>
          </w:p>
        </w:tc>
        <w:tc>
          <w:tcPr>
            <w:tcW w:w="1784" w:type="dxa"/>
            <w:vAlign w:val="center"/>
            <w:hideMark/>
          </w:tcPr>
          <w:p w14:paraId="54904F5B" w14:textId="77777777" w:rsidR="007A6A1A" w:rsidRPr="00E12A27" w:rsidRDefault="007A6A1A" w:rsidP="00EA1F10">
            <w:pPr>
              <w:spacing w:after="0" w:line="240" w:lineRule="auto"/>
              <w:rPr>
                <w:sz w:val="20"/>
                <w:szCs w:val="20"/>
              </w:rPr>
            </w:pPr>
            <w:r w:rsidRPr="00E12A27">
              <w:rPr>
                <w:sz w:val="20"/>
                <w:szCs w:val="20"/>
              </w:rPr>
              <w:t>6.0%</w:t>
            </w:r>
          </w:p>
        </w:tc>
        <w:tc>
          <w:tcPr>
            <w:tcW w:w="1784" w:type="dxa"/>
            <w:vAlign w:val="center"/>
            <w:hideMark/>
          </w:tcPr>
          <w:p w14:paraId="3F41446E" w14:textId="77777777" w:rsidR="007A6A1A" w:rsidRPr="00E12A27" w:rsidRDefault="007A6A1A" w:rsidP="00EA1F10">
            <w:pPr>
              <w:spacing w:after="0" w:line="240" w:lineRule="auto"/>
              <w:rPr>
                <w:sz w:val="20"/>
                <w:szCs w:val="20"/>
              </w:rPr>
            </w:pPr>
            <w:r w:rsidRPr="00E12A27">
              <w:rPr>
                <w:sz w:val="20"/>
                <w:szCs w:val="20"/>
              </w:rPr>
              <w:t>1.8%</w:t>
            </w:r>
          </w:p>
        </w:tc>
        <w:tc>
          <w:tcPr>
            <w:tcW w:w="1785" w:type="dxa"/>
            <w:tcBorders>
              <w:top w:val="nil"/>
              <w:left w:val="nil"/>
              <w:bottom w:val="nil"/>
              <w:right w:val="single" w:sz="4" w:space="0" w:color="auto"/>
            </w:tcBorders>
            <w:noWrap/>
            <w:vAlign w:val="center"/>
            <w:hideMark/>
          </w:tcPr>
          <w:p w14:paraId="45EAF8CB" w14:textId="77777777" w:rsidR="007A6A1A" w:rsidRPr="00E12A27" w:rsidRDefault="007A6A1A" w:rsidP="00EA1F10">
            <w:pPr>
              <w:spacing w:after="0" w:line="240" w:lineRule="auto"/>
              <w:rPr>
                <w:sz w:val="20"/>
                <w:szCs w:val="20"/>
              </w:rPr>
            </w:pPr>
            <w:r w:rsidRPr="00E12A27">
              <w:rPr>
                <w:sz w:val="20"/>
                <w:szCs w:val="20"/>
              </w:rPr>
              <w:t>-2.6%</w:t>
            </w:r>
          </w:p>
        </w:tc>
      </w:tr>
      <w:tr w:rsidR="007A6A1A" w:rsidRPr="00167CB8" w14:paraId="5806223E"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4A1EB2A6" w14:textId="77777777" w:rsidR="007A6A1A" w:rsidRPr="00E12A27" w:rsidRDefault="007A6A1A" w:rsidP="00E12A27">
            <w:pPr>
              <w:spacing w:after="0" w:line="240" w:lineRule="auto"/>
              <w:rPr>
                <w:sz w:val="20"/>
                <w:szCs w:val="20"/>
              </w:rPr>
            </w:pPr>
            <w:r w:rsidRPr="00E12A27">
              <w:rPr>
                <w:sz w:val="20"/>
                <w:szCs w:val="20"/>
              </w:rPr>
              <w:t>Financial and insurance services</w:t>
            </w:r>
          </w:p>
        </w:tc>
        <w:tc>
          <w:tcPr>
            <w:tcW w:w="1784" w:type="dxa"/>
            <w:vAlign w:val="center"/>
            <w:hideMark/>
          </w:tcPr>
          <w:p w14:paraId="16B87694" w14:textId="77777777" w:rsidR="007A6A1A" w:rsidRPr="00E12A27" w:rsidRDefault="007A6A1A" w:rsidP="00EA1F10">
            <w:pPr>
              <w:spacing w:after="0" w:line="240" w:lineRule="auto"/>
              <w:rPr>
                <w:sz w:val="20"/>
                <w:szCs w:val="20"/>
              </w:rPr>
            </w:pPr>
            <w:r w:rsidRPr="00E12A27">
              <w:rPr>
                <w:sz w:val="20"/>
                <w:szCs w:val="20"/>
              </w:rPr>
              <w:t>10.6</w:t>
            </w:r>
          </w:p>
        </w:tc>
        <w:tc>
          <w:tcPr>
            <w:tcW w:w="1784" w:type="dxa"/>
            <w:noWrap/>
            <w:vAlign w:val="center"/>
            <w:hideMark/>
          </w:tcPr>
          <w:p w14:paraId="3DA9D14D" w14:textId="77777777" w:rsidR="007A6A1A" w:rsidRPr="00E12A27" w:rsidRDefault="007A6A1A" w:rsidP="00EA1F10">
            <w:pPr>
              <w:spacing w:after="0" w:line="240" w:lineRule="auto"/>
              <w:rPr>
                <w:sz w:val="20"/>
                <w:szCs w:val="20"/>
              </w:rPr>
            </w:pPr>
            <w:r w:rsidRPr="00E12A27">
              <w:rPr>
                <w:sz w:val="20"/>
                <w:szCs w:val="20"/>
              </w:rPr>
              <w:t>17.1</w:t>
            </w:r>
          </w:p>
        </w:tc>
        <w:tc>
          <w:tcPr>
            <w:tcW w:w="1784" w:type="dxa"/>
            <w:vAlign w:val="center"/>
            <w:hideMark/>
          </w:tcPr>
          <w:p w14:paraId="36CF4007" w14:textId="77777777" w:rsidR="007A6A1A" w:rsidRPr="00E12A27" w:rsidRDefault="007A6A1A" w:rsidP="00EA1F10">
            <w:pPr>
              <w:spacing w:after="0" w:line="240" w:lineRule="auto"/>
              <w:rPr>
                <w:sz w:val="20"/>
                <w:szCs w:val="20"/>
              </w:rPr>
            </w:pPr>
            <w:r w:rsidRPr="00E12A27">
              <w:rPr>
                <w:sz w:val="20"/>
                <w:szCs w:val="20"/>
              </w:rPr>
              <w:t>3.4%</w:t>
            </w:r>
          </w:p>
        </w:tc>
        <w:tc>
          <w:tcPr>
            <w:tcW w:w="1784" w:type="dxa"/>
            <w:vAlign w:val="center"/>
            <w:hideMark/>
          </w:tcPr>
          <w:p w14:paraId="47D82A34" w14:textId="77777777" w:rsidR="007A6A1A" w:rsidRPr="00E12A27" w:rsidRDefault="007A6A1A" w:rsidP="00EA1F10">
            <w:pPr>
              <w:spacing w:after="0" w:line="240" w:lineRule="auto"/>
              <w:rPr>
                <w:sz w:val="20"/>
                <w:szCs w:val="20"/>
              </w:rPr>
            </w:pPr>
            <w:r w:rsidRPr="00E12A27">
              <w:rPr>
                <w:sz w:val="20"/>
                <w:szCs w:val="20"/>
              </w:rPr>
              <w:t>3.3%</w:t>
            </w:r>
          </w:p>
        </w:tc>
        <w:tc>
          <w:tcPr>
            <w:tcW w:w="1785" w:type="dxa"/>
            <w:tcBorders>
              <w:top w:val="nil"/>
              <w:left w:val="nil"/>
              <w:bottom w:val="nil"/>
              <w:right w:val="single" w:sz="4" w:space="0" w:color="auto"/>
            </w:tcBorders>
            <w:noWrap/>
            <w:vAlign w:val="center"/>
            <w:hideMark/>
          </w:tcPr>
          <w:p w14:paraId="4AD7E8AD" w14:textId="77777777" w:rsidR="007A6A1A" w:rsidRPr="00E12A27" w:rsidRDefault="007A6A1A" w:rsidP="00EA1F10">
            <w:pPr>
              <w:spacing w:after="0" w:line="240" w:lineRule="auto"/>
              <w:rPr>
                <w:sz w:val="20"/>
                <w:szCs w:val="20"/>
              </w:rPr>
            </w:pPr>
            <w:r w:rsidRPr="00E12A27">
              <w:rPr>
                <w:sz w:val="20"/>
                <w:szCs w:val="20"/>
              </w:rPr>
              <w:t>5.3%</w:t>
            </w:r>
          </w:p>
        </w:tc>
      </w:tr>
      <w:tr w:rsidR="007A6A1A" w:rsidRPr="00167CB8" w14:paraId="0EEC79BA"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7E5C85DA" w14:textId="77777777" w:rsidR="007A6A1A" w:rsidRPr="00E12A27" w:rsidRDefault="007A6A1A" w:rsidP="00E12A27">
            <w:pPr>
              <w:spacing w:after="0" w:line="240" w:lineRule="auto"/>
              <w:rPr>
                <w:sz w:val="20"/>
                <w:szCs w:val="20"/>
              </w:rPr>
            </w:pPr>
            <w:r w:rsidRPr="00E12A27">
              <w:rPr>
                <w:sz w:val="20"/>
                <w:szCs w:val="20"/>
              </w:rPr>
              <w:t>Rental, hiring and real estate services</w:t>
            </w:r>
          </w:p>
        </w:tc>
        <w:tc>
          <w:tcPr>
            <w:tcW w:w="1784" w:type="dxa"/>
            <w:vAlign w:val="center"/>
            <w:hideMark/>
          </w:tcPr>
          <w:p w14:paraId="3E87FA86" w14:textId="77777777" w:rsidR="007A6A1A" w:rsidRPr="00E12A27" w:rsidRDefault="007A6A1A" w:rsidP="00EA1F10">
            <w:pPr>
              <w:spacing w:after="0" w:line="240" w:lineRule="auto"/>
              <w:rPr>
                <w:sz w:val="20"/>
                <w:szCs w:val="20"/>
              </w:rPr>
            </w:pPr>
            <w:r w:rsidRPr="00E12A27">
              <w:rPr>
                <w:sz w:val="20"/>
                <w:szCs w:val="20"/>
              </w:rPr>
              <w:t>2.8</w:t>
            </w:r>
          </w:p>
        </w:tc>
        <w:tc>
          <w:tcPr>
            <w:tcW w:w="1784" w:type="dxa"/>
            <w:noWrap/>
            <w:vAlign w:val="center"/>
            <w:hideMark/>
          </w:tcPr>
          <w:p w14:paraId="01A2CA1D" w14:textId="77777777" w:rsidR="007A6A1A" w:rsidRPr="00E12A27" w:rsidRDefault="007A6A1A" w:rsidP="00EA1F10">
            <w:pPr>
              <w:spacing w:after="0" w:line="240" w:lineRule="auto"/>
              <w:rPr>
                <w:sz w:val="20"/>
                <w:szCs w:val="20"/>
              </w:rPr>
            </w:pPr>
            <w:r w:rsidRPr="00E12A27">
              <w:rPr>
                <w:sz w:val="20"/>
                <w:szCs w:val="20"/>
              </w:rPr>
              <w:t>5.0</w:t>
            </w:r>
          </w:p>
        </w:tc>
        <w:tc>
          <w:tcPr>
            <w:tcW w:w="1784" w:type="dxa"/>
            <w:vAlign w:val="center"/>
            <w:hideMark/>
          </w:tcPr>
          <w:p w14:paraId="5D306F6F" w14:textId="77777777" w:rsidR="007A6A1A" w:rsidRPr="00E12A27" w:rsidRDefault="007A6A1A" w:rsidP="00EA1F10">
            <w:pPr>
              <w:spacing w:after="0" w:line="240" w:lineRule="auto"/>
              <w:rPr>
                <w:sz w:val="20"/>
                <w:szCs w:val="20"/>
              </w:rPr>
            </w:pPr>
            <w:r w:rsidRPr="00E12A27">
              <w:rPr>
                <w:sz w:val="20"/>
                <w:szCs w:val="20"/>
              </w:rPr>
              <w:t>2.7%</w:t>
            </w:r>
          </w:p>
        </w:tc>
        <w:tc>
          <w:tcPr>
            <w:tcW w:w="1784" w:type="dxa"/>
            <w:vAlign w:val="center"/>
            <w:hideMark/>
          </w:tcPr>
          <w:p w14:paraId="262FD84F" w14:textId="77777777" w:rsidR="007A6A1A" w:rsidRPr="00E12A27" w:rsidRDefault="007A6A1A" w:rsidP="00EA1F10">
            <w:pPr>
              <w:spacing w:after="0" w:line="240" w:lineRule="auto"/>
              <w:rPr>
                <w:sz w:val="20"/>
                <w:szCs w:val="20"/>
              </w:rPr>
            </w:pPr>
            <w:r w:rsidRPr="00E12A27">
              <w:rPr>
                <w:sz w:val="20"/>
                <w:szCs w:val="20"/>
              </w:rPr>
              <w:t>1.0%</w:t>
            </w:r>
          </w:p>
        </w:tc>
        <w:tc>
          <w:tcPr>
            <w:tcW w:w="1785" w:type="dxa"/>
            <w:tcBorders>
              <w:top w:val="nil"/>
              <w:left w:val="nil"/>
              <w:bottom w:val="nil"/>
              <w:right w:val="single" w:sz="4" w:space="0" w:color="auto"/>
            </w:tcBorders>
            <w:noWrap/>
            <w:vAlign w:val="center"/>
            <w:hideMark/>
          </w:tcPr>
          <w:p w14:paraId="148A0B9E" w14:textId="77777777" w:rsidR="007A6A1A" w:rsidRPr="00E12A27" w:rsidRDefault="007A6A1A" w:rsidP="00EA1F10">
            <w:pPr>
              <w:spacing w:after="0" w:line="240" w:lineRule="auto"/>
              <w:rPr>
                <w:sz w:val="20"/>
                <w:szCs w:val="20"/>
              </w:rPr>
            </w:pPr>
            <w:r w:rsidRPr="00E12A27">
              <w:rPr>
                <w:sz w:val="20"/>
                <w:szCs w:val="20"/>
              </w:rPr>
              <w:t>1.8%</w:t>
            </w:r>
          </w:p>
        </w:tc>
      </w:tr>
      <w:tr w:rsidR="007A6A1A" w:rsidRPr="00167CB8" w14:paraId="7D0A3540"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2106996E" w14:textId="77777777" w:rsidR="007A6A1A" w:rsidRPr="00E12A27" w:rsidRDefault="007A6A1A" w:rsidP="00E12A27">
            <w:pPr>
              <w:spacing w:after="0" w:line="240" w:lineRule="auto"/>
              <w:rPr>
                <w:sz w:val="20"/>
                <w:szCs w:val="20"/>
              </w:rPr>
            </w:pPr>
            <w:r w:rsidRPr="00E12A27">
              <w:rPr>
                <w:sz w:val="20"/>
                <w:szCs w:val="20"/>
              </w:rPr>
              <w:t>Professional, scientific and technical services</w:t>
            </w:r>
          </w:p>
        </w:tc>
        <w:tc>
          <w:tcPr>
            <w:tcW w:w="1784" w:type="dxa"/>
            <w:vAlign w:val="center"/>
            <w:hideMark/>
          </w:tcPr>
          <w:p w14:paraId="1538E808" w14:textId="77777777" w:rsidR="007A6A1A" w:rsidRPr="00E12A27" w:rsidRDefault="007A6A1A" w:rsidP="00EA1F10">
            <w:pPr>
              <w:spacing w:after="0" w:line="240" w:lineRule="auto"/>
              <w:rPr>
                <w:sz w:val="20"/>
                <w:szCs w:val="20"/>
              </w:rPr>
            </w:pPr>
            <w:r w:rsidRPr="00E12A27">
              <w:rPr>
                <w:sz w:val="20"/>
                <w:szCs w:val="20"/>
              </w:rPr>
              <w:t>31.8</w:t>
            </w:r>
          </w:p>
        </w:tc>
        <w:tc>
          <w:tcPr>
            <w:tcW w:w="1784" w:type="dxa"/>
            <w:noWrap/>
            <w:vAlign w:val="center"/>
            <w:hideMark/>
          </w:tcPr>
          <w:p w14:paraId="432A30EE" w14:textId="77777777" w:rsidR="007A6A1A" w:rsidRPr="00E12A27" w:rsidRDefault="007A6A1A" w:rsidP="00EA1F10">
            <w:pPr>
              <w:spacing w:after="0" w:line="240" w:lineRule="auto"/>
              <w:rPr>
                <w:sz w:val="20"/>
                <w:szCs w:val="20"/>
              </w:rPr>
            </w:pPr>
            <w:r w:rsidRPr="00E12A27">
              <w:rPr>
                <w:sz w:val="20"/>
                <w:szCs w:val="20"/>
              </w:rPr>
              <w:t>34.2</w:t>
            </w:r>
          </w:p>
        </w:tc>
        <w:tc>
          <w:tcPr>
            <w:tcW w:w="1784" w:type="dxa"/>
            <w:vAlign w:val="center"/>
            <w:hideMark/>
          </w:tcPr>
          <w:p w14:paraId="44A3F2E0" w14:textId="77777777" w:rsidR="007A6A1A" w:rsidRPr="00E12A27" w:rsidRDefault="007A6A1A" w:rsidP="00EA1F10">
            <w:pPr>
              <w:spacing w:after="0" w:line="240" w:lineRule="auto"/>
              <w:rPr>
                <w:sz w:val="20"/>
                <w:szCs w:val="20"/>
              </w:rPr>
            </w:pPr>
            <w:r w:rsidRPr="00E12A27">
              <w:rPr>
                <w:sz w:val="20"/>
                <w:szCs w:val="20"/>
              </w:rPr>
              <w:t>3.4%</w:t>
            </w:r>
          </w:p>
        </w:tc>
        <w:tc>
          <w:tcPr>
            <w:tcW w:w="1784" w:type="dxa"/>
            <w:vAlign w:val="center"/>
            <w:hideMark/>
          </w:tcPr>
          <w:p w14:paraId="60A9621A" w14:textId="77777777" w:rsidR="007A6A1A" w:rsidRPr="00E12A27" w:rsidRDefault="007A6A1A" w:rsidP="00EA1F10">
            <w:pPr>
              <w:spacing w:after="0" w:line="240" w:lineRule="auto"/>
              <w:rPr>
                <w:sz w:val="20"/>
                <w:szCs w:val="20"/>
              </w:rPr>
            </w:pPr>
            <w:r w:rsidRPr="00E12A27">
              <w:rPr>
                <w:sz w:val="20"/>
                <w:szCs w:val="20"/>
              </w:rPr>
              <w:t>6.7%</w:t>
            </w:r>
          </w:p>
        </w:tc>
        <w:tc>
          <w:tcPr>
            <w:tcW w:w="1785" w:type="dxa"/>
            <w:tcBorders>
              <w:top w:val="nil"/>
              <w:left w:val="nil"/>
              <w:bottom w:val="nil"/>
              <w:right w:val="single" w:sz="4" w:space="0" w:color="auto"/>
            </w:tcBorders>
            <w:noWrap/>
            <w:vAlign w:val="center"/>
            <w:hideMark/>
          </w:tcPr>
          <w:p w14:paraId="5D255A68" w14:textId="77777777" w:rsidR="007A6A1A" w:rsidRPr="00E12A27" w:rsidRDefault="007A6A1A" w:rsidP="00EA1F10">
            <w:pPr>
              <w:spacing w:after="0" w:line="240" w:lineRule="auto"/>
              <w:rPr>
                <w:sz w:val="20"/>
                <w:szCs w:val="20"/>
              </w:rPr>
            </w:pPr>
            <w:r w:rsidRPr="00E12A27">
              <w:rPr>
                <w:sz w:val="20"/>
                <w:szCs w:val="20"/>
              </w:rPr>
              <w:t>2.0%</w:t>
            </w:r>
          </w:p>
        </w:tc>
      </w:tr>
      <w:tr w:rsidR="007A6A1A" w:rsidRPr="00167CB8" w14:paraId="54AFFA4D"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0BA9C08E" w14:textId="77777777" w:rsidR="007A6A1A" w:rsidRPr="00E12A27" w:rsidRDefault="007A6A1A" w:rsidP="00E12A27">
            <w:pPr>
              <w:spacing w:after="0" w:line="240" w:lineRule="auto"/>
              <w:rPr>
                <w:sz w:val="20"/>
                <w:szCs w:val="20"/>
              </w:rPr>
            </w:pPr>
            <w:r w:rsidRPr="00E12A27">
              <w:rPr>
                <w:sz w:val="20"/>
                <w:szCs w:val="20"/>
              </w:rPr>
              <w:t>Administrative and support services</w:t>
            </w:r>
          </w:p>
        </w:tc>
        <w:tc>
          <w:tcPr>
            <w:tcW w:w="1784" w:type="dxa"/>
            <w:vAlign w:val="center"/>
            <w:hideMark/>
          </w:tcPr>
          <w:p w14:paraId="0A4CB512" w14:textId="77777777" w:rsidR="007A6A1A" w:rsidRPr="00E12A27" w:rsidRDefault="007A6A1A" w:rsidP="00EA1F10">
            <w:pPr>
              <w:spacing w:after="0" w:line="240" w:lineRule="auto"/>
              <w:rPr>
                <w:sz w:val="20"/>
                <w:szCs w:val="20"/>
              </w:rPr>
            </w:pPr>
            <w:r w:rsidRPr="00E12A27">
              <w:rPr>
                <w:sz w:val="20"/>
                <w:szCs w:val="20"/>
              </w:rPr>
              <w:t>15.9</w:t>
            </w:r>
          </w:p>
        </w:tc>
        <w:tc>
          <w:tcPr>
            <w:tcW w:w="1784" w:type="dxa"/>
            <w:noWrap/>
            <w:vAlign w:val="center"/>
            <w:hideMark/>
          </w:tcPr>
          <w:p w14:paraId="3BCB30D5" w14:textId="77777777" w:rsidR="007A6A1A" w:rsidRPr="00E12A27" w:rsidRDefault="007A6A1A" w:rsidP="00EA1F10">
            <w:pPr>
              <w:spacing w:after="0" w:line="240" w:lineRule="auto"/>
              <w:rPr>
                <w:sz w:val="20"/>
                <w:szCs w:val="20"/>
              </w:rPr>
            </w:pPr>
            <w:r w:rsidRPr="00E12A27">
              <w:rPr>
                <w:sz w:val="20"/>
                <w:szCs w:val="20"/>
              </w:rPr>
              <w:t>13.8</w:t>
            </w:r>
          </w:p>
        </w:tc>
        <w:tc>
          <w:tcPr>
            <w:tcW w:w="1784" w:type="dxa"/>
            <w:vAlign w:val="center"/>
            <w:hideMark/>
          </w:tcPr>
          <w:p w14:paraId="7D1D252E" w14:textId="77777777" w:rsidR="007A6A1A" w:rsidRPr="00E12A27" w:rsidRDefault="007A6A1A" w:rsidP="00EA1F10">
            <w:pPr>
              <w:spacing w:after="0" w:line="240" w:lineRule="auto"/>
              <w:rPr>
                <w:sz w:val="20"/>
                <w:szCs w:val="20"/>
              </w:rPr>
            </w:pPr>
            <w:r w:rsidRPr="00E12A27">
              <w:rPr>
                <w:sz w:val="20"/>
                <w:szCs w:val="20"/>
              </w:rPr>
              <w:t>4.5%</w:t>
            </w:r>
          </w:p>
        </w:tc>
        <w:tc>
          <w:tcPr>
            <w:tcW w:w="1784" w:type="dxa"/>
            <w:vAlign w:val="center"/>
            <w:hideMark/>
          </w:tcPr>
          <w:p w14:paraId="622852B1" w14:textId="77777777" w:rsidR="007A6A1A" w:rsidRPr="00E12A27" w:rsidRDefault="007A6A1A" w:rsidP="00EA1F10">
            <w:pPr>
              <w:spacing w:after="0" w:line="240" w:lineRule="auto"/>
              <w:rPr>
                <w:sz w:val="20"/>
                <w:szCs w:val="20"/>
              </w:rPr>
            </w:pPr>
            <w:r w:rsidRPr="00E12A27">
              <w:rPr>
                <w:sz w:val="20"/>
                <w:szCs w:val="20"/>
              </w:rPr>
              <w:t>2.7%</w:t>
            </w:r>
          </w:p>
        </w:tc>
        <w:tc>
          <w:tcPr>
            <w:tcW w:w="1785" w:type="dxa"/>
            <w:tcBorders>
              <w:top w:val="nil"/>
              <w:left w:val="nil"/>
              <w:bottom w:val="nil"/>
              <w:right w:val="single" w:sz="4" w:space="0" w:color="auto"/>
            </w:tcBorders>
            <w:noWrap/>
            <w:vAlign w:val="center"/>
            <w:hideMark/>
          </w:tcPr>
          <w:p w14:paraId="3FF9293E" w14:textId="77777777" w:rsidR="007A6A1A" w:rsidRPr="00E12A27" w:rsidRDefault="007A6A1A" w:rsidP="00EA1F10">
            <w:pPr>
              <w:spacing w:after="0" w:line="240" w:lineRule="auto"/>
              <w:rPr>
                <w:sz w:val="20"/>
                <w:szCs w:val="20"/>
              </w:rPr>
            </w:pPr>
            <w:r w:rsidRPr="00E12A27">
              <w:rPr>
                <w:sz w:val="20"/>
                <w:szCs w:val="20"/>
              </w:rPr>
              <w:t>-1.7%</w:t>
            </w:r>
          </w:p>
        </w:tc>
      </w:tr>
      <w:tr w:rsidR="007A6A1A" w:rsidRPr="00167CB8" w14:paraId="794CFEFC"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7E224073" w14:textId="77777777" w:rsidR="007A6A1A" w:rsidRPr="00E12A27" w:rsidRDefault="007A6A1A" w:rsidP="00E12A27">
            <w:pPr>
              <w:spacing w:after="0" w:line="240" w:lineRule="auto"/>
              <w:rPr>
                <w:sz w:val="20"/>
                <w:szCs w:val="20"/>
              </w:rPr>
            </w:pPr>
            <w:r w:rsidRPr="00E12A27">
              <w:rPr>
                <w:sz w:val="20"/>
                <w:szCs w:val="20"/>
              </w:rPr>
              <w:t>Public administration and safety</w:t>
            </w:r>
          </w:p>
        </w:tc>
        <w:tc>
          <w:tcPr>
            <w:tcW w:w="1784" w:type="dxa"/>
            <w:vAlign w:val="center"/>
            <w:hideMark/>
          </w:tcPr>
          <w:p w14:paraId="030F6BE0" w14:textId="77777777" w:rsidR="007A6A1A" w:rsidRPr="00E12A27" w:rsidRDefault="007A6A1A" w:rsidP="00EA1F10">
            <w:pPr>
              <w:spacing w:after="0" w:line="240" w:lineRule="auto"/>
              <w:rPr>
                <w:sz w:val="20"/>
                <w:szCs w:val="20"/>
              </w:rPr>
            </w:pPr>
            <w:r w:rsidRPr="00E12A27">
              <w:rPr>
                <w:sz w:val="20"/>
                <w:szCs w:val="20"/>
              </w:rPr>
              <w:t>55.4</w:t>
            </w:r>
          </w:p>
        </w:tc>
        <w:tc>
          <w:tcPr>
            <w:tcW w:w="1784" w:type="dxa"/>
            <w:noWrap/>
            <w:vAlign w:val="center"/>
            <w:hideMark/>
          </w:tcPr>
          <w:p w14:paraId="01AA19AA" w14:textId="77777777" w:rsidR="007A6A1A" w:rsidRPr="00E12A27" w:rsidRDefault="007A6A1A" w:rsidP="00EA1F10">
            <w:pPr>
              <w:spacing w:after="0" w:line="240" w:lineRule="auto"/>
              <w:rPr>
                <w:sz w:val="20"/>
                <w:szCs w:val="20"/>
              </w:rPr>
            </w:pPr>
            <w:r w:rsidRPr="00E12A27">
              <w:rPr>
                <w:sz w:val="20"/>
                <w:szCs w:val="20"/>
              </w:rPr>
              <w:t>78.3</w:t>
            </w:r>
          </w:p>
        </w:tc>
        <w:tc>
          <w:tcPr>
            <w:tcW w:w="1784" w:type="dxa"/>
            <w:vAlign w:val="center"/>
            <w:hideMark/>
          </w:tcPr>
          <w:p w14:paraId="75A74574" w14:textId="77777777" w:rsidR="007A6A1A" w:rsidRPr="00E12A27" w:rsidRDefault="007A6A1A" w:rsidP="00EA1F10">
            <w:pPr>
              <w:spacing w:after="0" w:line="240" w:lineRule="auto"/>
              <w:rPr>
                <w:sz w:val="20"/>
                <w:szCs w:val="20"/>
              </w:rPr>
            </w:pPr>
            <w:r w:rsidRPr="00E12A27">
              <w:rPr>
                <w:sz w:val="20"/>
                <w:szCs w:val="20"/>
              </w:rPr>
              <w:t>8.1%</w:t>
            </w:r>
          </w:p>
        </w:tc>
        <w:tc>
          <w:tcPr>
            <w:tcW w:w="1784" w:type="dxa"/>
            <w:vAlign w:val="center"/>
            <w:hideMark/>
          </w:tcPr>
          <w:p w14:paraId="2D207AE8" w14:textId="77777777" w:rsidR="007A6A1A" w:rsidRPr="00E12A27" w:rsidRDefault="007A6A1A" w:rsidP="00EA1F10">
            <w:pPr>
              <w:spacing w:after="0" w:line="240" w:lineRule="auto"/>
              <w:rPr>
                <w:sz w:val="20"/>
                <w:szCs w:val="20"/>
              </w:rPr>
            </w:pPr>
            <w:r w:rsidRPr="00E12A27">
              <w:rPr>
                <w:sz w:val="20"/>
                <w:szCs w:val="20"/>
              </w:rPr>
              <w:t>15.3%</w:t>
            </w:r>
          </w:p>
        </w:tc>
        <w:tc>
          <w:tcPr>
            <w:tcW w:w="1785" w:type="dxa"/>
            <w:tcBorders>
              <w:top w:val="nil"/>
              <w:left w:val="nil"/>
              <w:bottom w:val="nil"/>
              <w:right w:val="single" w:sz="4" w:space="0" w:color="auto"/>
            </w:tcBorders>
            <w:noWrap/>
            <w:vAlign w:val="center"/>
            <w:hideMark/>
          </w:tcPr>
          <w:p w14:paraId="5217E22F" w14:textId="77777777" w:rsidR="007A6A1A" w:rsidRPr="00E12A27" w:rsidRDefault="007A6A1A" w:rsidP="00EA1F10">
            <w:pPr>
              <w:spacing w:after="0" w:line="240" w:lineRule="auto"/>
              <w:rPr>
                <w:sz w:val="20"/>
                <w:szCs w:val="20"/>
              </w:rPr>
            </w:pPr>
            <w:r w:rsidRPr="00E12A27">
              <w:rPr>
                <w:sz w:val="20"/>
                <w:szCs w:val="20"/>
              </w:rPr>
              <w:t>18.7%</w:t>
            </w:r>
          </w:p>
        </w:tc>
      </w:tr>
      <w:tr w:rsidR="007A6A1A" w:rsidRPr="00167CB8" w14:paraId="00A7A653"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19DF088E" w14:textId="77777777" w:rsidR="007A6A1A" w:rsidRPr="00E12A27" w:rsidRDefault="007A6A1A" w:rsidP="00E12A27">
            <w:pPr>
              <w:spacing w:after="0" w:line="240" w:lineRule="auto"/>
              <w:rPr>
                <w:sz w:val="20"/>
                <w:szCs w:val="20"/>
              </w:rPr>
            </w:pPr>
            <w:r w:rsidRPr="00E12A27">
              <w:rPr>
                <w:sz w:val="20"/>
                <w:szCs w:val="20"/>
              </w:rPr>
              <w:t>Education and training</w:t>
            </w:r>
          </w:p>
        </w:tc>
        <w:tc>
          <w:tcPr>
            <w:tcW w:w="1784" w:type="dxa"/>
            <w:vAlign w:val="center"/>
            <w:hideMark/>
          </w:tcPr>
          <w:p w14:paraId="1C57DE92" w14:textId="77777777" w:rsidR="007A6A1A" w:rsidRPr="00E12A27" w:rsidRDefault="007A6A1A" w:rsidP="00EA1F10">
            <w:pPr>
              <w:spacing w:after="0" w:line="240" w:lineRule="auto"/>
              <w:rPr>
                <w:sz w:val="20"/>
                <w:szCs w:val="20"/>
              </w:rPr>
            </w:pPr>
            <w:r w:rsidRPr="00E12A27">
              <w:rPr>
                <w:sz w:val="20"/>
                <w:szCs w:val="20"/>
              </w:rPr>
              <w:t>120.3</w:t>
            </w:r>
          </w:p>
        </w:tc>
        <w:tc>
          <w:tcPr>
            <w:tcW w:w="1784" w:type="dxa"/>
            <w:noWrap/>
            <w:vAlign w:val="center"/>
            <w:hideMark/>
          </w:tcPr>
          <w:p w14:paraId="7202363E" w14:textId="77777777" w:rsidR="007A6A1A" w:rsidRPr="00E12A27" w:rsidRDefault="007A6A1A" w:rsidP="00EA1F10">
            <w:pPr>
              <w:spacing w:after="0" w:line="240" w:lineRule="auto"/>
              <w:rPr>
                <w:sz w:val="20"/>
                <w:szCs w:val="20"/>
              </w:rPr>
            </w:pPr>
            <w:r w:rsidRPr="00E12A27">
              <w:rPr>
                <w:sz w:val="20"/>
                <w:szCs w:val="20"/>
              </w:rPr>
              <w:t>137.6</w:t>
            </w:r>
          </w:p>
        </w:tc>
        <w:tc>
          <w:tcPr>
            <w:tcW w:w="1784" w:type="dxa"/>
            <w:vAlign w:val="center"/>
            <w:hideMark/>
          </w:tcPr>
          <w:p w14:paraId="59E7D2FF" w14:textId="77777777" w:rsidR="007A6A1A" w:rsidRPr="00E12A27" w:rsidRDefault="007A6A1A" w:rsidP="00EA1F10">
            <w:pPr>
              <w:spacing w:after="0" w:line="240" w:lineRule="auto"/>
              <w:rPr>
                <w:sz w:val="20"/>
                <w:szCs w:val="20"/>
              </w:rPr>
            </w:pPr>
            <w:r w:rsidRPr="00E12A27">
              <w:rPr>
                <w:sz w:val="20"/>
                <w:szCs w:val="20"/>
              </w:rPr>
              <w:t>11.7%</w:t>
            </w:r>
          </w:p>
        </w:tc>
        <w:tc>
          <w:tcPr>
            <w:tcW w:w="1784" w:type="dxa"/>
            <w:vAlign w:val="center"/>
            <w:hideMark/>
          </w:tcPr>
          <w:p w14:paraId="2D965ED3" w14:textId="77777777" w:rsidR="007A6A1A" w:rsidRPr="00E12A27" w:rsidRDefault="007A6A1A" w:rsidP="00EA1F10">
            <w:pPr>
              <w:spacing w:after="0" w:line="240" w:lineRule="auto"/>
              <w:rPr>
                <w:sz w:val="20"/>
                <w:szCs w:val="20"/>
              </w:rPr>
            </w:pPr>
            <w:r w:rsidRPr="00E12A27">
              <w:rPr>
                <w:sz w:val="20"/>
                <w:szCs w:val="20"/>
              </w:rPr>
              <w:t>26.9%</w:t>
            </w:r>
          </w:p>
        </w:tc>
        <w:tc>
          <w:tcPr>
            <w:tcW w:w="1785" w:type="dxa"/>
            <w:tcBorders>
              <w:top w:val="nil"/>
              <w:left w:val="nil"/>
              <w:bottom w:val="nil"/>
              <w:right w:val="single" w:sz="4" w:space="0" w:color="auto"/>
            </w:tcBorders>
            <w:noWrap/>
            <w:vAlign w:val="center"/>
            <w:hideMark/>
          </w:tcPr>
          <w:p w14:paraId="7CC0847D" w14:textId="77777777" w:rsidR="007A6A1A" w:rsidRPr="00E12A27" w:rsidRDefault="007A6A1A" w:rsidP="00EA1F10">
            <w:pPr>
              <w:spacing w:after="0" w:line="240" w:lineRule="auto"/>
              <w:rPr>
                <w:sz w:val="20"/>
                <w:szCs w:val="20"/>
              </w:rPr>
            </w:pPr>
            <w:r w:rsidRPr="00E12A27">
              <w:rPr>
                <w:sz w:val="20"/>
                <w:szCs w:val="20"/>
              </w:rPr>
              <w:t>14.1%</w:t>
            </w:r>
          </w:p>
        </w:tc>
      </w:tr>
      <w:tr w:rsidR="007A6A1A" w:rsidRPr="00167CB8" w14:paraId="3000BD6F"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3AA47BD2" w14:textId="77777777" w:rsidR="007A6A1A" w:rsidRPr="00E12A27" w:rsidRDefault="007A6A1A" w:rsidP="00E12A27">
            <w:pPr>
              <w:spacing w:after="0" w:line="240" w:lineRule="auto"/>
              <w:rPr>
                <w:sz w:val="20"/>
                <w:szCs w:val="20"/>
              </w:rPr>
            </w:pPr>
            <w:r w:rsidRPr="00E12A27">
              <w:rPr>
                <w:sz w:val="20"/>
                <w:szCs w:val="20"/>
              </w:rPr>
              <w:t>Health care and social assistance</w:t>
            </w:r>
          </w:p>
        </w:tc>
        <w:tc>
          <w:tcPr>
            <w:tcW w:w="1784" w:type="dxa"/>
            <w:vAlign w:val="center"/>
            <w:hideMark/>
          </w:tcPr>
          <w:p w14:paraId="532EED92" w14:textId="77777777" w:rsidR="007A6A1A" w:rsidRPr="00E12A27" w:rsidRDefault="007A6A1A" w:rsidP="00EA1F10">
            <w:pPr>
              <w:spacing w:after="0" w:line="240" w:lineRule="auto"/>
              <w:rPr>
                <w:sz w:val="20"/>
                <w:szCs w:val="20"/>
              </w:rPr>
            </w:pPr>
            <w:r w:rsidRPr="00E12A27">
              <w:rPr>
                <w:sz w:val="20"/>
                <w:szCs w:val="20"/>
              </w:rPr>
              <w:t>78.7</w:t>
            </w:r>
          </w:p>
        </w:tc>
        <w:tc>
          <w:tcPr>
            <w:tcW w:w="1784" w:type="dxa"/>
            <w:noWrap/>
            <w:vAlign w:val="center"/>
            <w:hideMark/>
          </w:tcPr>
          <w:p w14:paraId="4A5CEDE1" w14:textId="77777777" w:rsidR="007A6A1A" w:rsidRPr="00E12A27" w:rsidRDefault="007A6A1A" w:rsidP="00EA1F10">
            <w:pPr>
              <w:spacing w:after="0" w:line="240" w:lineRule="auto"/>
              <w:rPr>
                <w:sz w:val="20"/>
                <w:szCs w:val="20"/>
              </w:rPr>
            </w:pPr>
            <w:r w:rsidRPr="00E12A27">
              <w:rPr>
                <w:sz w:val="20"/>
                <w:szCs w:val="20"/>
              </w:rPr>
              <w:t>105.3</w:t>
            </w:r>
          </w:p>
        </w:tc>
        <w:tc>
          <w:tcPr>
            <w:tcW w:w="1784" w:type="dxa"/>
            <w:vAlign w:val="center"/>
            <w:hideMark/>
          </w:tcPr>
          <w:p w14:paraId="6A1EA388" w14:textId="77777777" w:rsidR="007A6A1A" w:rsidRPr="00E12A27" w:rsidRDefault="007A6A1A" w:rsidP="00EA1F10">
            <w:pPr>
              <w:spacing w:after="0" w:line="240" w:lineRule="auto"/>
              <w:rPr>
                <w:sz w:val="20"/>
                <w:szCs w:val="20"/>
              </w:rPr>
            </w:pPr>
            <w:r w:rsidRPr="00E12A27">
              <w:rPr>
                <w:sz w:val="20"/>
                <w:szCs w:val="20"/>
              </w:rPr>
              <w:t>5.3%</w:t>
            </w:r>
          </w:p>
        </w:tc>
        <w:tc>
          <w:tcPr>
            <w:tcW w:w="1784" w:type="dxa"/>
            <w:vAlign w:val="center"/>
            <w:hideMark/>
          </w:tcPr>
          <w:p w14:paraId="34748D98" w14:textId="77777777" w:rsidR="007A6A1A" w:rsidRPr="00E12A27" w:rsidRDefault="007A6A1A" w:rsidP="00EA1F10">
            <w:pPr>
              <w:spacing w:after="0" w:line="240" w:lineRule="auto"/>
              <w:rPr>
                <w:sz w:val="20"/>
                <w:szCs w:val="20"/>
              </w:rPr>
            </w:pPr>
            <w:r w:rsidRPr="00E12A27">
              <w:rPr>
                <w:sz w:val="20"/>
                <w:szCs w:val="20"/>
              </w:rPr>
              <w:t>20.5%</w:t>
            </w:r>
          </w:p>
        </w:tc>
        <w:tc>
          <w:tcPr>
            <w:tcW w:w="1785" w:type="dxa"/>
            <w:tcBorders>
              <w:top w:val="nil"/>
              <w:left w:val="nil"/>
              <w:bottom w:val="nil"/>
              <w:right w:val="single" w:sz="4" w:space="0" w:color="auto"/>
            </w:tcBorders>
            <w:noWrap/>
            <w:vAlign w:val="center"/>
            <w:hideMark/>
          </w:tcPr>
          <w:p w14:paraId="7668DD5A" w14:textId="77777777" w:rsidR="007A6A1A" w:rsidRPr="00E12A27" w:rsidRDefault="007A6A1A" w:rsidP="00EA1F10">
            <w:pPr>
              <w:spacing w:after="0" w:line="240" w:lineRule="auto"/>
              <w:rPr>
                <w:sz w:val="20"/>
                <w:szCs w:val="20"/>
              </w:rPr>
            </w:pPr>
            <w:r w:rsidRPr="00E12A27">
              <w:rPr>
                <w:sz w:val="20"/>
                <w:szCs w:val="20"/>
              </w:rPr>
              <w:t>21.7%</w:t>
            </w:r>
          </w:p>
        </w:tc>
      </w:tr>
      <w:tr w:rsidR="007A6A1A" w:rsidRPr="00167CB8" w14:paraId="24536F25"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277008FE" w14:textId="77777777" w:rsidR="007A6A1A" w:rsidRPr="00E12A27" w:rsidRDefault="007A6A1A" w:rsidP="00E12A27">
            <w:pPr>
              <w:spacing w:after="0" w:line="240" w:lineRule="auto"/>
              <w:rPr>
                <w:sz w:val="20"/>
                <w:szCs w:val="20"/>
              </w:rPr>
            </w:pPr>
            <w:r w:rsidRPr="00E12A27">
              <w:rPr>
                <w:sz w:val="20"/>
                <w:szCs w:val="20"/>
              </w:rPr>
              <w:t>Arts and recreation services</w:t>
            </w:r>
          </w:p>
        </w:tc>
        <w:tc>
          <w:tcPr>
            <w:tcW w:w="1784" w:type="dxa"/>
            <w:vAlign w:val="center"/>
            <w:hideMark/>
          </w:tcPr>
          <w:p w14:paraId="1015BE8F" w14:textId="77777777" w:rsidR="007A6A1A" w:rsidRPr="00E12A27" w:rsidRDefault="007A6A1A" w:rsidP="00EA1F10">
            <w:pPr>
              <w:spacing w:after="0" w:line="240" w:lineRule="auto"/>
              <w:rPr>
                <w:sz w:val="20"/>
                <w:szCs w:val="20"/>
              </w:rPr>
            </w:pPr>
            <w:r w:rsidRPr="00E12A27">
              <w:rPr>
                <w:sz w:val="20"/>
                <w:szCs w:val="20"/>
              </w:rPr>
              <w:t>5.3</w:t>
            </w:r>
          </w:p>
        </w:tc>
        <w:tc>
          <w:tcPr>
            <w:tcW w:w="1784" w:type="dxa"/>
            <w:noWrap/>
            <w:vAlign w:val="center"/>
            <w:hideMark/>
          </w:tcPr>
          <w:p w14:paraId="2D3C35F6" w14:textId="77777777" w:rsidR="007A6A1A" w:rsidRPr="00E12A27" w:rsidRDefault="007A6A1A" w:rsidP="00EA1F10">
            <w:pPr>
              <w:spacing w:after="0" w:line="240" w:lineRule="auto"/>
              <w:rPr>
                <w:sz w:val="20"/>
                <w:szCs w:val="20"/>
              </w:rPr>
            </w:pPr>
            <w:r w:rsidRPr="00E12A27">
              <w:rPr>
                <w:sz w:val="20"/>
                <w:szCs w:val="20"/>
              </w:rPr>
              <w:t>16.3</w:t>
            </w:r>
          </w:p>
        </w:tc>
        <w:tc>
          <w:tcPr>
            <w:tcW w:w="1784" w:type="dxa"/>
            <w:vAlign w:val="center"/>
            <w:hideMark/>
          </w:tcPr>
          <w:p w14:paraId="79EEF92D" w14:textId="77777777" w:rsidR="007A6A1A" w:rsidRPr="00E12A27" w:rsidRDefault="007A6A1A" w:rsidP="00EA1F10">
            <w:pPr>
              <w:spacing w:after="0" w:line="240" w:lineRule="auto"/>
              <w:rPr>
                <w:sz w:val="20"/>
                <w:szCs w:val="20"/>
              </w:rPr>
            </w:pPr>
            <w:r w:rsidRPr="00E12A27">
              <w:rPr>
                <w:sz w:val="20"/>
                <w:szCs w:val="20"/>
              </w:rPr>
              <w:t>7.9%</w:t>
            </w:r>
          </w:p>
        </w:tc>
        <w:tc>
          <w:tcPr>
            <w:tcW w:w="1784" w:type="dxa"/>
            <w:vAlign w:val="center"/>
            <w:hideMark/>
          </w:tcPr>
          <w:p w14:paraId="5FDA393E" w14:textId="77777777" w:rsidR="007A6A1A" w:rsidRPr="00E12A27" w:rsidRDefault="007A6A1A" w:rsidP="00EA1F10">
            <w:pPr>
              <w:spacing w:after="0" w:line="240" w:lineRule="auto"/>
              <w:rPr>
                <w:sz w:val="20"/>
                <w:szCs w:val="20"/>
              </w:rPr>
            </w:pPr>
            <w:r w:rsidRPr="00E12A27">
              <w:rPr>
                <w:sz w:val="20"/>
                <w:szCs w:val="20"/>
              </w:rPr>
              <w:t>3.2%</w:t>
            </w:r>
          </w:p>
        </w:tc>
        <w:tc>
          <w:tcPr>
            <w:tcW w:w="1785" w:type="dxa"/>
            <w:tcBorders>
              <w:top w:val="nil"/>
              <w:left w:val="nil"/>
              <w:bottom w:val="nil"/>
              <w:right w:val="single" w:sz="4" w:space="0" w:color="auto"/>
            </w:tcBorders>
            <w:noWrap/>
            <w:vAlign w:val="center"/>
            <w:hideMark/>
          </w:tcPr>
          <w:p w14:paraId="51D2F024" w14:textId="77777777" w:rsidR="007A6A1A" w:rsidRPr="00E12A27" w:rsidRDefault="007A6A1A" w:rsidP="00EA1F10">
            <w:pPr>
              <w:spacing w:after="0" w:line="240" w:lineRule="auto"/>
              <w:rPr>
                <w:sz w:val="20"/>
                <w:szCs w:val="20"/>
              </w:rPr>
            </w:pPr>
            <w:r w:rsidRPr="00E12A27">
              <w:rPr>
                <w:sz w:val="20"/>
                <w:szCs w:val="20"/>
              </w:rPr>
              <w:t>9.0%</w:t>
            </w:r>
          </w:p>
        </w:tc>
      </w:tr>
      <w:tr w:rsidR="007A6A1A" w:rsidRPr="00167CB8" w14:paraId="0DB1D275" w14:textId="77777777" w:rsidTr="00EA1F10">
        <w:trPr>
          <w:trHeight w:val="283"/>
        </w:trPr>
        <w:tc>
          <w:tcPr>
            <w:tcW w:w="4957" w:type="dxa"/>
            <w:tcBorders>
              <w:top w:val="nil"/>
              <w:left w:val="single" w:sz="4" w:space="0" w:color="auto"/>
              <w:bottom w:val="nil"/>
              <w:right w:val="nil"/>
            </w:tcBorders>
            <w:shd w:val="clear" w:color="auto" w:fill="FFFFFF"/>
            <w:noWrap/>
            <w:vAlign w:val="center"/>
            <w:hideMark/>
          </w:tcPr>
          <w:p w14:paraId="2FDB9EA8" w14:textId="77777777" w:rsidR="007A6A1A" w:rsidRPr="00E12A27" w:rsidRDefault="007A6A1A" w:rsidP="00E12A27">
            <w:pPr>
              <w:spacing w:after="0" w:line="240" w:lineRule="auto"/>
              <w:rPr>
                <w:sz w:val="20"/>
                <w:szCs w:val="20"/>
              </w:rPr>
            </w:pPr>
            <w:r w:rsidRPr="00E12A27">
              <w:rPr>
                <w:sz w:val="20"/>
                <w:szCs w:val="20"/>
              </w:rPr>
              <w:t>Other services</w:t>
            </w:r>
          </w:p>
        </w:tc>
        <w:tc>
          <w:tcPr>
            <w:tcW w:w="1784" w:type="dxa"/>
            <w:vAlign w:val="center"/>
            <w:hideMark/>
          </w:tcPr>
          <w:p w14:paraId="1762600F" w14:textId="77777777" w:rsidR="007A6A1A" w:rsidRPr="00E12A27" w:rsidRDefault="007A6A1A" w:rsidP="00EA1F10">
            <w:pPr>
              <w:spacing w:after="0" w:line="240" w:lineRule="auto"/>
              <w:rPr>
                <w:sz w:val="20"/>
                <w:szCs w:val="20"/>
              </w:rPr>
            </w:pPr>
            <w:r w:rsidRPr="00E12A27">
              <w:rPr>
                <w:sz w:val="20"/>
                <w:szCs w:val="20"/>
              </w:rPr>
              <w:t>8.8</w:t>
            </w:r>
          </w:p>
        </w:tc>
        <w:tc>
          <w:tcPr>
            <w:tcW w:w="1784" w:type="dxa"/>
            <w:noWrap/>
            <w:vAlign w:val="center"/>
            <w:hideMark/>
          </w:tcPr>
          <w:p w14:paraId="340BEECD" w14:textId="77777777" w:rsidR="007A6A1A" w:rsidRPr="00E12A27" w:rsidRDefault="007A6A1A" w:rsidP="00EA1F10">
            <w:pPr>
              <w:spacing w:after="0" w:line="240" w:lineRule="auto"/>
              <w:rPr>
                <w:sz w:val="20"/>
                <w:szCs w:val="20"/>
              </w:rPr>
            </w:pPr>
            <w:r w:rsidRPr="00E12A27">
              <w:rPr>
                <w:sz w:val="20"/>
                <w:szCs w:val="20"/>
              </w:rPr>
              <w:t>10.5</w:t>
            </w:r>
          </w:p>
        </w:tc>
        <w:tc>
          <w:tcPr>
            <w:tcW w:w="1784" w:type="dxa"/>
            <w:vAlign w:val="center"/>
            <w:hideMark/>
          </w:tcPr>
          <w:p w14:paraId="48D4EFA9" w14:textId="77777777" w:rsidR="007A6A1A" w:rsidRPr="00E12A27" w:rsidRDefault="007A6A1A" w:rsidP="00EA1F10">
            <w:pPr>
              <w:spacing w:after="0" w:line="240" w:lineRule="auto"/>
              <w:rPr>
                <w:sz w:val="20"/>
                <w:szCs w:val="20"/>
              </w:rPr>
            </w:pPr>
            <w:r w:rsidRPr="00E12A27">
              <w:rPr>
                <w:sz w:val="20"/>
                <w:szCs w:val="20"/>
              </w:rPr>
              <w:t>3.0%</w:t>
            </w:r>
          </w:p>
        </w:tc>
        <w:tc>
          <w:tcPr>
            <w:tcW w:w="1784" w:type="dxa"/>
            <w:vAlign w:val="center"/>
            <w:hideMark/>
          </w:tcPr>
          <w:p w14:paraId="2BFB0149" w14:textId="77777777" w:rsidR="007A6A1A" w:rsidRPr="00E12A27" w:rsidRDefault="007A6A1A" w:rsidP="00EA1F10">
            <w:pPr>
              <w:spacing w:after="0" w:line="240" w:lineRule="auto"/>
              <w:rPr>
                <w:sz w:val="20"/>
                <w:szCs w:val="20"/>
              </w:rPr>
            </w:pPr>
            <w:r w:rsidRPr="00E12A27">
              <w:rPr>
                <w:sz w:val="20"/>
                <w:szCs w:val="20"/>
              </w:rPr>
              <w:t>2.1%</w:t>
            </w:r>
          </w:p>
        </w:tc>
        <w:tc>
          <w:tcPr>
            <w:tcW w:w="1785" w:type="dxa"/>
            <w:tcBorders>
              <w:top w:val="nil"/>
              <w:left w:val="nil"/>
              <w:bottom w:val="nil"/>
              <w:right w:val="single" w:sz="4" w:space="0" w:color="auto"/>
            </w:tcBorders>
            <w:noWrap/>
            <w:vAlign w:val="center"/>
            <w:hideMark/>
          </w:tcPr>
          <w:p w14:paraId="576D0DA8" w14:textId="77777777" w:rsidR="007A6A1A" w:rsidRPr="00E12A27" w:rsidRDefault="007A6A1A" w:rsidP="00EA1F10">
            <w:pPr>
              <w:spacing w:after="0" w:line="240" w:lineRule="auto"/>
              <w:rPr>
                <w:sz w:val="20"/>
                <w:szCs w:val="20"/>
              </w:rPr>
            </w:pPr>
            <w:r w:rsidRPr="00E12A27">
              <w:rPr>
                <w:sz w:val="20"/>
                <w:szCs w:val="20"/>
              </w:rPr>
              <w:t>1.4%</w:t>
            </w:r>
          </w:p>
        </w:tc>
      </w:tr>
      <w:tr w:rsidR="007A6A1A" w:rsidRPr="00167CB8" w14:paraId="380B1800" w14:textId="77777777" w:rsidTr="00EA1F10">
        <w:trPr>
          <w:trHeight w:val="283"/>
        </w:trPr>
        <w:tc>
          <w:tcPr>
            <w:tcW w:w="4957" w:type="dxa"/>
            <w:tcBorders>
              <w:top w:val="nil"/>
              <w:left w:val="single" w:sz="4" w:space="0" w:color="auto"/>
              <w:bottom w:val="single" w:sz="4" w:space="0" w:color="auto"/>
              <w:right w:val="nil"/>
            </w:tcBorders>
            <w:shd w:val="clear" w:color="auto" w:fill="FFFFFF"/>
            <w:noWrap/>
            <w:vAlign w:val="center"/>
            <w:hideMark/>
          </w:tcPr>
          <w:p w14:paraId="79E37F9C" w14:textId="77777777" w:rsidR="007A6A1A" w:rsidRPr="00E12A27" w:rsidRDefault="007A6A1A" w:rsidP="00E12A27">
            <w:pPr>
              <w:spacing w:after="0" w:line="240" w:lineRule="auto"/>
              <w:rPr>
                <w:sz w:val="20"/>
                <w:szCs w:val="20"/>
              </w:rPr>
            </w:pPr>
          </w:p>
        </w:tc>
        <w:tc>
          <w:tcPr>
            <w:tcW w:w="1784" w:type="dxa"/>
            <w:tcBorders>
              <w:top w:val="nil"/>
              <w:left w:val="nil"/>
              <w:bottom w:val="single" w:sz="4" w:space="0" w:color="auto"/>
              <w:right w:val="nil"/>
            </w:tcBorders>
            <w:vAlign w:val="center"/>
            <w:hideMark/>
          </w:tcPr>
          <w:p w14:paraId="27A36ADA" w14:textId="77777777" w:rsidR="007A6A1A" w:rsidRPr="00E12A27" w:rsidRDefault="007A6A1A" w:rsidP="00EA1F10">
            <w:pPr>
              <w:spacing w:after="0" w:line="240" w:lineRule="auto"/>
              <w:rPr>
                <w:sz w:val="20"/>
                <w:szCs w:val="20"/>
              </w:rPr>
            </w:pPr>
            <w:r w:rsidRPr="00E12A27">
              <w:rPr>
                <w:sz w:val="20"/>
                <w:szCs w:val="20"/>
              </w:rPr>
              <w:t>389.7</w:t>
            </w:r>
          </w:p>
        </w:tc>
        <w:tc>
          <w:tcPr>
            <w:tcW w:w="1784" w:type="dxa"/>
            <w:tcBorders>
              <w:top w:val="nil"/>
              <w:left w:val="nil"/>
              <w:bottom w:val="single" w:sz="4" w:space="0" w:color="auto"/>
              <w:right w:val="nil"/>
            </w:tcBorders>
            <w:noWrap/>
            <w:vAlign w:val="center"/>
            <w:hideMark/>
          </w:tcPr>
          <w:p w14:paraId="4346E551" w14:textId="77777777" w:rsidR="007A6A1A" w:rsidRPr="00E12A27" w:rsidRDefault="007A6A1A" w:rsidP="00EA1F10">
            <w:pPr>
              <w:spacing w:after="0" w:line="240" w:lineRule="auto"/>
              <w:rPr>
                <w:sz w:val="20"/>
                <w:szCs w:val="20"/>
              </w:rPr>
            </w:pPr>
            <w:r w:rsidRPr="00E12A27">
              <w:rPr>
                <w:sz w:val="20"/>
                <w:szCs w:val="20"/>
              </w:rPr>
              <w:t>512.3</w:t>
            </w:r>
          </w:p>
        </w:tc>
        <w:tc>
          <w:tcPr>
            <w:tcW w:w="1784" w:type="dxa"/>
            <w:tcBorders>
              <w:top w:val="nil"/>
              <w:left w:val="nil"/>
              <w:bottom w:val="single" w:sz="4" w:space="0" w:color="auto"/>
              <w:right w:val="nil"/>
            </w:tcBorders>
            <w:vAlign w:val="center"/>
            <w:hideMark/>
          </w:tcPr>
          <w:p w14:paraId="11D83024" w14:textId="77777777" w:rsidR="007A6A1A" w:rsidRPr="00E12A27" w:rsidRDefault="007A6A1A" w:rsidP="00EA1F10">
            <w:pPr>
              <w:spacing w:after="0" w:line="240" w:lineRule="auto"/>
              <w:rPr>
                <w:sz w:val="20"/>
                <w:szCs w:val="20"/>
              </w:rPr>
            </w:pPr>
            <w:r w:rsidRPr="00E12A27">
              <w:rPr>
                <w:sz w:val="20"/>
                <w:szCs w:val="20"/>
              </w:rPr>
              <w:t>4.2%</w:t>
            </w:r>
          </w:p>
        </w:tc>
        <w:tc>
          <w:tcPr>
            <w:tcW w:w="1784" w:type="dxa"/>
            <w:tcBorders>
              <w:top w:val="nil"/>
              <w:left w:val="nil"/>
              <w:bottom w:val="single" w:sz="4" w:space="0" w:color="auto"/>
              <w:right w:val="nil"/>
            </w:tcBorders>
            <w:vAlign w:val="center"/>
            <w:hideMark/>
          </w:tcPr>
          <w:p w14:paraId="2DBB9525" w14:textId="77777777" w:rsidR="007A6A1A" w:rsidRPr="00E12A27" w:rsidRDefault="007A6A1A" w:rsidP="00EA1F10">
            <w:pPr>
              <w:spacing w:after="0" w:line="240" w:lineRule="auto"/>
              <w:rPr>
                <w:sz w:val="20"/>
                <w:szCs w:val="20"/>
              </w:rPr>
            </w:pPr>
            <w:r w:rsidRPr="00E12A27">
              <w:rPr>
                <w:sz w:val="20"/>
                <w:szCs w:val="20"/>
              </w:rPr>
              <w:t>100%</w:t>
            </w:r>
          </w:p>
        </w:tc>
        <w:tc>
          <w:tcPr>
            <w:tcW w:w="1785" w:type="dxa"/>
            <w:tcBorders>
              <w:top w:val="nil"/>
              <w:left w:val="nil"/>
              <w:bottom w:val="single" w:sz="4" w:space="0" w:color="auto"/>
              <w:right w:val="single" w:sz="4" w:space="0" w:color="auto"/>
            </w:tcBorders>
            <w:noWrap/>
            <w:vAlign w:val="center"/>
            <w:hideMark/>
          </w:tcPr>
          <w:p w14:paraId="10556B89" w14:textId="77777777" w:rsidR="007A6A1A" w:rsidRPr="00E12A27" w:rsidRDefault="007A6A1A" w:rsidP="00EA1F10">
            <w:pPr>
              <w:spacing w:after="0" w:line="240" w:lineRule="auto"/>
              <w:rPr>
                <w:sz w:val="20"/>
                <w:szCs w:val="20"/>
              </w:rPr>
            </w:pPr>
            <w:r w:rsidRPr="00E12A27">
              <w:rPr>
                <w:sz w:val="20"/>
                <w:szCs w:val="20"/>
              </w:rPr>
              <w:t>100.0%</w:t>
            </w:r>
          </w:p>
        </w:tc>
      </w:tr>
    </w:tbl>
    <w:p w14:paraId="4DE190BF" w14:textId="1B3E5838" w:rsidR="007A6A1A" w:rsidRPr="00EA1F10" w:rsidRDefault="007A6A1A" w:rsidP="00433E6E">
      <w:pPr>
        <w:pStyle w:val="Source"/>
        <w:spacing w:after="0" w:line="240" w:lineRule="auto"/>
      </w:pPr>
      <w:r w:rsidRPr="00167CB8">
        <w:rPr>
          <w:b/>
          <w:bCs/>
        </w:rPr>
        <w:t>Source:</w:t>
      </w:r>
      <w:r w:rsidRPr="00167CB8">
        <w:t xml:space="preserve"> ABS Working Arrangements, August 2024 (Cat No 6336.0, Table 6). </w:t>
      </w:r>
      <w:r w:rsidR="00433E6E">
        <w:t xml:space="preserve">     </w:t>
      </w:r>
      <w:r w:rsidRPr="00EA1F10">
        <w:rPr>
          <w:b/>
          <w:bCs/>
          <w:sz w:val="17"/>
          <w:szCs w:val="17"/>
        </w:rPr>
        <w:t>Alt-text:</w:t>
      </w:r>
      <w:r w:rsidRPr="00EA1F10">
        <w:rPr>
          <w:sz w:val="17"/>
          <w:szCs w:val="17"/>
        </w:rPr>
        <w:t xml:space="preserve"> A table showing the number of employees who were employed under a fixed</w:t>
      </w:r>
      <w:r w:rsidR="006B272C" w:rsidRPr="00EA1F10">
        <w:rPr>
          <w:sz w:val="17"/>
          <w:szCs w:val="17"/>
        </w:rPr>
        <w:t>-</w:t>
      </w:r>
      <w:r w:rsidRPr="00EA1F10">
        <w:rPr>
          <w:sz w:val="17"/>
          <w:szCs w:val="17"/>
        </w:rPr>
        <w:t>term</w:t>
      </w:r>
      <w:r w:rsidR="00A461FB" w:rsidRPr="00EA1F10">
        <w:rPr>
          <w:sz w:val="17"/>
          <w:szCs w:val="17"/>
        </w:rPr>
        <w:t>-</w:t>
      </w:r>
      <w:r w:rsidRPr="00EA1F10">
        <w:rPr>
          <w:sz w:val="17"/>
          <w:szCs w:val="17"/>
        </w:rPr>
        <w:t>contract at August 2022 and August 2024 by industry of main job. Column 3 shows that in 2024</w:t>
      </w:r>
      <w:r w:rsidR="00A461FB" w:rsidRPr="00EA1F10">
        <w:rPr>
          <w:sz w:val="17"/>
          <w:szCs w:val="17"/>
        </w:rPr>
        <w:t>,</w:t>
      </w:r>
      <w:r w:rsidRPr="00EA1F10">
        <w:rPr>
          <w:sz w:val="17"/>
          <w:szCs w:val="17"/>
        </w:rPr>
        <w:t xml:space="preserve"> 11.7% of all employees in </w:t>
      </w:r>
      <w:r w:rsidR="00A461FB" w:rsidRPr="00EA1F10">
        <w:rPr>
          <w:sz w:val="17"/>
          <w:szCs w:val="17"/>
        </w:rPr>
        <w:t>e</w:t>
      </w:r>
      <w:r w:rsidRPr="00EA1F10">
        <w:rPr>
          <w:sz w:val="17"/>
          <w:szCs w:val="17"/>
        </w:rPr>
        <w:t>ducation and training were on fixed</w:t>
      </w:r>
      <w:r w:rsidR="00A461FB" w:rsidRPr="00EA1F10">
        <w:rPr>
          <w:sz w:val="17"/>
          <w:szCs w:val="17"/>
        </w:rPr>
        <w:t>-</w:t>
      </w:r>
      <w:r w:rsidRPr="00EA1F10">
        <w:rPr>
          <w:sz w:val="17"/>
          <w:szCs w:val="17"/>
        </w:rPr>
        <w:t xml:space="preserve">term contracts. The next industry to have the highest ‘within’ industry share was </w:t>
      </w:r>
      <w:r w:rsidR="00A461FB" w:rsidRPr="00EA1F10">
        <w:rPr>
          <w:sz w:val="17"/>
          <w:szCs w:val="17"/>
        </w:rPr>
        <w:t>p</w:t>
      </w:r>
      <w:r w:rsidRPr="00EA1F10">
        <w:rPr>
          <w:sz w:val="17"/>
          <w:szCs w:val="17"/>
        </w:rPr>
        <w:t>ublic administration and safety at 8.1%. Column 4 shows the distribution of 2024 fixed</w:t>
      </w:r>
      <w:r w:rsidR="00A461FB" w:rsidRPr="00EA1F10">
        <w:rPr>
          <w:sz w:val="17"/>
          <w:szCs w:val="17"/>
        </w:rPr>
        <w:t>-</w:t>
      </w:r>
      <w:r w:rsidRPr="00EA1F10">
        <w:rPr>
          <w:sz w:val="17"/>
          <w:szCs w:val="17"/>
        </w:rPr>
        <w:t xml:space="preserve">term employment. Just over a quarter (26.9%) of all fixed-term employees are in the </w:t>
      </w:r>
      <w:r w:rsidR="00A461FB" w:rsidRPr="00EA1F10">
        <w:rPr>
          <w:sz w:val="17"/>
          <w:szCs w:val="17"/>
        </w:rPr>
        <w:t>e</w:t>
      </w:r>
      <w:r w:rsidRPr="00EA1F10">
        <w:rPr>
          <w:sz w:val="17"/>
          <w:szCs w:val="17"/>
        </w:rPr>
        <w:t>ducation and training sector</w:t>
      </w:r>
      <w:r w:rsidR="00A461FB" w:rsidRPr="00EA1F10">
        <w:rPr>
          <w:sz w:val="17"/>
          <w:szCs w:val="17"/>
        </w:rPr>
        <w:t>,</w:t>
      </w:r>
      <w:r w:rsidRPr="00EA1F10">
        <w:rPr>
          <w:sz w:val="17"/>
          <w:szCs w:val="17"/>
        </w:rPr>
        <w:t xml:space="preserve"> while 20.5% are employed in the </w:t>
      </w:r>
      <w:r w:rsidR="00A461FB" w:rsidRPr="00EA1F10">
        <w:rPr>
          <w:sz w:val="17"/>
          <w:szCs w:val="17"/>
        </w:rPr>
        <w:t>h</w:t>
      </w:r>
      <w:r w:rsidRPr="00EA1F10">
        <w:rPr>
          <w:sz w:val="17"/>
          <w:szCs w:val="17"/>
        </w:rPr>
        <w:t>ealth care and social assistance sector. Column 5 shows that, of the 122,600 increase in the total number of employees on fixed</w:t>
      </w:r>
      <w:r w:rsidR="00A461FB" w:rsidRPr="00EA1F10">
        <w:rPr>
          <w:sz w:val="17"/>
          <w:szCs w:val="17"/>
        </w:rPr>
        <w:t>-</w:t>
      </w:r>
      <w:r w:rsidRPr="00EA1F10">
        <w:rPr>
          <w:sz w:val="17"/>
          <w:szCs w:val="17"/>
        </w:rPr>
        <w:t xml:space="preserve">term contracts between 2022 and 2024, 21% of the growth was in the </w:t>
      </w:r>
      <w:r w:rsidR="00A461FB" w:rsidRPr="00EA1F10">
        <w:rPr>
          <w:sz w:val="17"/>
          <w:szCs w:val="17"/>
        </w:rPr>
        <w:t>h</w:t>
      </w:r>
      <w:r w:rsidRPr="00EA1F10">
        <w:rPr>
          <w:sz w:val="17"/>
          <w:szCs w:val="17"/>
        </w:rPr>
        <w:t>ealth care and social assistance sector.</w:t>
      </w:r>
    </w:p>
    <w:p w14:paraId="617AD836"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40C56DE1" w14:textId="20B64A7B" w:rsidR="007A6A1A" w:rsidRDefault="007A6A1A" w:rsidP="00470AB9">
      <w:pPr>
        <w:pStyle w:val="Caption"/>
      </w:pPr>
      <w:bookmarkStart w:id="692" w:name="_Toc189310813"/>
      <w:r w:rsidRPr="00167CB8">
        <w:lastRenderedPageBreak/>
        <w:t xml:space="preserve">Figure </w:t>
      </w:r>
      <w:r w:rsidR="00616FE5" w:rsidRPr="00167CB8">
        <w:t>25</w:t>
      </w:r>
      <w:r w:rsidRPr="00167CB8">
        <w:t>: Trends in fixed-term employment, 2014 to 2024</w:t>
      </w:r>
      <w:bookmarkEnd w:id="692"/>
    </w:p>
    <w:p w14:paraId="7115178B" w14:textId="77777777" w:rsidR="007A6A1A" w:rsidRPr="00167CB8" w:rsidRDefault="007A6A1A" w:rsidP="00433E6E">
      <w:pPr>
        <w:spacing w:after="160"/>
        <w:ind w:left="57"/>
        <w:rPr>
          <w:i/>
          <w:iCs/>
        </w:rPr>
      </w:pPr>
      <w:r w:rsidRPr="00167CB8">
        <w:rPr>
          <w:i/>
          <w:iCs/>
          <w:noProof/>
        </w:rPr>
        <w:drawing>
          <wp:inline distT="0" distB="0" distL="0" distR="0" wp14:anchorId="6350ACB9" wp14:editId="19FA6078">
            <wp:extent cx="5731510" cy="3750945"/>
            <wp:effectExtent l="0" t="0" r="2540" b="1905"/>
            <wp:docPr id="520357691" name="Picture 6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descr="A graph of different colored lines&#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1352249" w14:textId="210C6124" w:rsidR="007A6A1A" w:rsidRPr="00167CB8" w:rsidRDefault="007A6A1A" w:rsidP="00A461FB">
      <w:pPr>
        <w:pStyle w:val="Source"/>
      </w:pPr>
      <w:r w:rsidRPr="00167CB8">
        <w:rPr>
          <w:b/>
          <w:bCs/>
        </w:rPr>
        <w:t>Source:</w:t>
      </w:r>
      <w:r w:rsidRPr="00167CB8">
        <w:t xml:space="preserve"> ABS Working Arrangements, August 2024 (Cat No 6336.0, Table 6). </w:t>
      </w:r>
    </w:p>
    <w:p w14:paraId="7E712ED8" w14:textId="7A359367" w:rsidR="007A6A1A" w:rsidRPr="00167CB8" w:rsidRDefault="007A6A1A" w:rsidP="00A461FB">
      <w:pPr>
        <w:pStyle w:val="Source"/>
      </w:pPr>
      <w:r w:rsidRPr="00167CB8">
        <w:rPr>
          <w:b/>
          <w:bCs/>
        </w:rPr>
        <w:t>Alt-text:</w:t>
      </w:r>
      <w:r w:rsidRPr="00167CB8">
        <w:t xml:space="preserve"> A line chart showing trends in the growth in fixed</w:t>
      </w:r>
      <w:r w:rsidR="00A461FB" w:rsidRPr="00167CB8">
        <w:t>-</w:t>
      </w:r>
      <w:r w:rsidRPr="00167CB8">
        <w:t>term employment between 2014 and 2024 (indexed to 2014). Fixed</w:t>
      </w:r>
      <w:r w:rsidR="00A461FB" w:rsidRPr="00167CB8">
        <w:t>-</w:t>
      </w:r>
      <w:r w:rsidRPr="00167CB8">
        <w:t>term employment grew by nearly 20% by 2020 among men and women employed full-time. There was a marked decline between 2022 and 2023 in the numbers of male part-time employees and female full-time employees engaged on fixed</w:t>
      </w:r>
      <w:r w:rsidR="00A461FB" w:rsidRPr="00167CB8">
        <w:t>-</w:t>
      </w:r>
      <w:r w:rsidRPr="00167CB8">
        <w:t>term contracts. The use of fixed</w:t>
      </w:r>
      <w:r w:rsidR="00A461FB" w:rsidRPr="00167CB8">
        <w:t>-</w:t>
      </w:r>
      <w:r w:rsidRPr="00167CB8">
        <w:t>term employment contracts resumed in 2024. By August 2024 the number of full-timers engaged on a fixed</w:t>
      </w:r>
      <w:r w:rsidR="00A461FB" w:rsidRPr="00167CB8">
        <w:t>-</w:t>
      </w:r>
      <w:r w:rsidRPr="00167CB8">
        <w:t>term contract was nearly 50% higher than levels recorded in 2014.</w:t>
      </w:r>
    </w:p>
    <w:p w14:paraId="5FA7EDF3" w14:textId="77777777" w:rsidR="007A6A1A" w:rsidRPr="00167CB8" w:rsidRDefault="007A6A1A" w:rsidP="007A6A1A">
      <w:pPr>
        <w:spacing w:after="160"/>
      </w:pPr>
      <w:r w:rsidRPr="00167CB8">
        <w:br w:type="page"/>
      </w:r>
    </w:p>
    <w:p w14:paraId="36569D40" w14:textId="77777777" w:rsidR="007A6A1A" w:rsidRPr="00167CB8" w:rsidRDefault="007A6A1A" w:rsidP="00650687">
      <w:pPr>
        <w:pStyle w:val="Heading4"/>
      </w:pPr>
      <w:bookmarkStart w:id="693" w:name="_Toc186991763"/>
      <w:bookmarkStart w:id="694" w:name="_Toc189393667"/>
      <w:r w:rsidRPr="00167CB8">
        <w:lastRenderedPageBreak/>
        <w:t>2.5 Trade union membership</w:t>
      </w:r>
      <w:bookmarkEnd w:id="693"/>
      <w:bookmarkEnd w:id="694"/>
    </w:p>
    <w:p w14:paraId="33DB657C" w14:textId="38701AD6" w:rsidR="007A6A1A" w:rsidRPr="00167CB8" w:rsidRDefault="005B0F2D" w:rsidP="007A6A1A">
      <w:pPr>
        <w:spacing w:after="160"/>
      </w:pPr>
      <w:r w:rsidRPr="00167CB8">
        <w:t>Figure 26</w:t>
      </w:r>
      <w:r w:rsidR="000D6011">
        <w:t xml:space="preserve"> </w:t>
      </w:r>
      <w:r w:rsidR="007A6A1A" w:rsidRPr="00167CB8">
        <w:t>shows trends in trade union membership in Australia. The data are from the ABS Characteristics of Employment Survey. As of August 2024</w:t>
      </w:r>
      <w:r w:rsidR="00A461FB" w:rsidRPr="00167CB8">
        <w:t>,</w:t>
      </w:r>
      <w:r w:rsidR="007A6A1A" w:rsidRPr="00167CB8">
        <w:t xml:space="preserve"> 1.6 million employees (or 13.1%) were trade union members. The incidence of union membership was higher among women (14.1%) than men (12.0%). </w:t>
      </w:r>
    </w:p>
    <w:p w14:paraId="2ACFA400" w14:textId="3FC24B99" w:rsidR="007A6A1A" w:rsidRPr="00167CB8" w:rsidRDefault="007A6A1A" w:rsidP="00470AB9">
      <w:pPr>
        <w:pStyle w:val="Caption"/>
      </w:pPr>
      <w:bookmarkStart w:id="695" w:name="_Ref184404394"/>
      <w:bookmarkStart w:id="696" w:name="_Toc186991781"/>
      <w:bookmarkStart w:id="697" w:name="_Toc189310814"/>
      <w:r w:rsidRPr="00167CB8">
        <w:t xml:space="preserve">Figure </w:t>
      </w:r>
      <w:r w:rsidR="00434A53" w:rsidRPr="00167CB8">
        <w:t>26</w:t>
      </w:r>
      <w:bookmarkEnd w:id="695"/>
      <w:r w:rsidRPr="00167CB8">
        <w:t>: Trade union membership (%), Australia</w:t>
      </w:r>
      <w:bookmarkEnd w:id="696"/>
      <w:r w:rsidR="00A14864" w:rsidRPr="00167CB8">
        <w:t>, 2004 to 2024</w:t>
      </w:r>
      <w:bookmarkEnd w:id="697"/>
    </w:p>
    <w:p w14:paraId="7AD36E4A" w14:textId="77777777" w:rsidR="007A6A1A" w:rsidRPr="00167CB8" w:rsidRDefault="007A6A1A" w:rsidP="007A6A1A">
      <w:pPr>
        <w:spacing w:after="160"/>
      </w:pPr>
      <w:r w:rsidRPr="00167CB8">
        <w:rPr>
          <w:noProof/>
        </w:rPr>
        <w:drawing>
          <wp:inline distT="0" distB="0" distL="0" distR="0" wp14:anchorId="60749D0A" wp14:editId="74B98157">
            <wp:extent cx="5731510" cy="3750945"/>
            <wp:effectExtent l="0" t="0" r="2540" b="1905"/>
            <wp:docPr id="1828232707" name="Picture 63" descr="A graph of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32707" name="Picture 63" descr="A graph of a person and pers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1C3AF902" w14:textId="3C824448" w:rsidR="007A6A1A" w:rsidRPr="00167CB8" w:rsidRDefault="007A6A1A" w:rsidP="00A461FB">
      <w:pPr>
        <w:pStyle w:val="Source"/>
      </w:pPr>
      <w:r w:rsidRPr="00167CB8">
        <w:rPr>
          <w:b/>
          <w:bCs/>
        </w:rPr>
        <w:t>Source:</w:t>
      </w:r>
      <w:r w:rsidRPr="00167CB8">
        <w:t xml:space="preserve"> Australian Bureau of Statistics, Trade union membership August 2024</w:t>
      </w:r>
      <w:r w:rsidR="00A461FB" w:rsidRPr="00167CB8">
        <w:t>.</w:t>
      </w:r>
    </w:p>
    <w:p w14:paraId="58911652" w14:textId="77777777" w:rsidR="007A6A1A" w:rsidRPr="00167CB8" w:rsidRDefault="007A6A1A" w:rsidP="00A461FB">
      <w:pPr>
        <w:pStyle w:val="Source"/>
      </w:pPr>
      <w:r w:rsidRPr="00167CB8">
        <w:rPr>
          <w:b/>
          <w:bCs/>
        </w:rPr>
        <w:t>Alt-text:</w:t>
      </w:r>
      <w:r w:rsidRPr="00167CB8">
        <w:t xml:space="preserve"> A line chart showing trends in the trade union membership in Australia. Although the share of union membership has declined significantly over recent decades, there was a slight increase in the incidence of membership between 2022 and 2024.</w:t>
      </w:r>
    </w:p>
    <w:p w14:paraId="51122094" w14:textId="77777777" w:rsidR="007A6A1A" w:rsidRPr="00167CB8" w:rsidRDefault="007A6A1A" w:rsidP="007A6A1A">
      <w:pPr>
        <w:spacing w:after="160"/>
        <w:rPr>
          <w:i/>
          <w:iCs/>
        </w:rPr>
      </w:pPr>
      <w:r w:rsidRPr="00167CB8">
        <w:rPr>
          <w:i/>
          <w:iCs/>
        </w:rPr>
        <w:br w:type="page"/>
      </w:r>
    </w:p>
    <w:p w14:paraId="3F78B0F9" w14:textId="3DAEC21A" w:rsidR="007A6A1A" w:rsidRPr="00167CB8" w:rsidRDefault="00752169" w:rsidP="007A6A1A">
      <w:pPr>
        <w:spacing w:after="160"/>
      </w:pPr>
      <w:r w:rsidRPr="00167CB8">
        <w:lastRenderedPageBreak/>
        <w:t>Figure 27</w:t>
      </w:r>
      <w:r w:rsidR="007A6A1A" w:rsidRPr="00167CB8">
        <w:t xml:space="preserve"> presents information on union density (the share of employees who are union members) by industry. At August 2024</w:t>
      </w:r>
      <w:r w:rsidR="00A461FB" w:rsidRPr="00167CB8">
        <w:t>,</w:t>
      </w:r>
      <w:r w:rsidR="007A6A1A" w:rsidRPr="00167CB8">
        <w:t xml:space="preserve"> 27% of employees in the </w:t>
      </w:r>
      <w:r w:rsidR="00A461FB" w:rsidRPr="00167CB8">
        <w:t>e</w:t>
      </w:r>
      <w:r w:rsidR="007A6A1A" w:rsidRPr="00167CB8">
        <w:t xml:space="preserve">ducation and training industry division were union members. In </w:t>
      </w:r>
      <w:r w:rsidR="00A461FB" w:rsidRPr="00167CB8">
        <w:t>h</w:t>
      </w:r>
      <w:r w:rsidR="007A6A1A" w:rsidRPr="00167CB8">
        <w:t xml:space="preserve">ealth care and social assistance (the largest sector in terms of employment size), 23% of employees were union members. In </w:t>
      </w:r>
      <w:r w:rsidR="00A461FB" w:rsidRPr="00167CB8">
        <w:t>c</w:t>
      </w:r>
      <w:r w:rsidR="007A6A1A" w:rsidRPr="00167CB8">
        <w:t>onstruction (the second largest industry in terms of employment size) union density was equal to 11.7%.</w:t>
      </w:r>
    </w:p>
    <w:p w14:paraId="142A06D1" w14:textId="11CD42F7" w:rsidR="007A6A1A" w:rsidRPr="00167CB8" w:rsidRDefault="007A6A1A" w:rsidP="00470AB9">
      <w:pPr>
        <w:pStyle w:val="Caption"/>
      </w:pPr>
      <w:bookmarkStart w:id="698" w:name="_Ref184404415"/>
      <w:bookmarkStart w:id="699" w:name="_Toc186991782"/>
      <w:bookmarkStart w:id="700" w:name="_Toc189310815"/>
      <w:r w:rsidRPr="00167CB8">
        <w:t xml:space="preserve">Figure </w:t>
      </w:r>
      <w:r w:rsidR="00F10411" w:rsidRPr="00167CB8">
        <w:t>27</w:t>
      </w:r>
      <w:bookmarkEnd w:id="698"/>
      <w:r w:rsidRPr="00167CB8">
        <w:t>: Trade union membership by industry, Australia, August 2024</w:t>
      </w:r>
      <w:bookmarkEnd w:id="699"/>
      <w:bookmarkEnd w:id="700"/>
    </w:p>
    <w:p w14:paraId="2B5448E8" w14:textId="77777777" w:rsidR="007A6A1A" w:rsidRPr="00167CB8" w:rsidRDefault="007A6A1A" w:rsidP="007A6A1A">
      <w:pPr>
        <w:spacing w:after="160"/>
      </w:pPr>
      <w:r w:rsidRPr="00167CB8">
        <w:rPr>
          <w:noProof/>
        </w:rPr>
        <w:drawing>
          <wp:inline distT="0" distB="0" distL="0" distR="0" wp14:anchorId="0BA3D85A" wp14:editId="27AF9DFC">
            <wp:extent cx="5731510" cy="3750945"/>
            <wp:effectExtent l="0" t="0" r="2540" b="1905"/>
            <wp:docPr id="1836874789" name="Picture 62" descr="A graph of a number of blue and whit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74789" name="Picture 62" descr="A graph of a number of blue and white bars&#10;&#10;Description automatically generated with medium confidenc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B7DC2F9" w14:textId="71AE7DBD" w:rsidR="007A6A1A" w:rsidRPr="00167CB8" w:rsidRDefault="007A6A1A" w:rsidP="00A461FB">
      <w:pPr>
        <w:pStyle w:val="Source"/>
      </w:pPr>
      <w:r w:rsidRPr="00167CB8">
        <w:rPr>
          <w:b/>
          <w:bCs/>
        </w:rPr>
        <w:t>Source:</w:t>
      </w:r>
      <w:r w:rsidRPr="00167CB8">
        <w:t xml:space="preserve"> Australian Bureau of Statistics, Trade union membership August 2024</w:t>
      </w:r>
      <w:r w:rsidR="00A461FB" w:rsidRPr="00167CB8">
        <w:t>.</w:t>
      </w:r>
    </w:p>
    <w:p w14:paraId="02ADAA5F" w14:textId="430FA129" w:rsidR="007A6A1A" w:rsidRPr="00167CB8" w:rsidRDefault="007A6A1A" w:rsidP="00A461FB">
      <w:pPr>
        <w:pStyle w:val="Source"/>
      </w:pPr>
      <w:r w:rsidRPr="00167CB8">
        <w:rPr>
          <w:b/>
          <w:bCs/>
        </w:rPr>
        <w:t>Alt-text:</w:t>
      </w:r>
      <w:r w:rsidRPr="00167CB8">
        <w:t xml:space="preserve"> A bar chart showing union membership by industry. In 2024 union membership was highest in the </w:t>
      </w:r>
      <w:r w:rsidR="00A461FB" w:rsidRPr="00167CB8">
        <w:t>e</w:t>
      </w:r>
      <w:r w:rsidRPr="00167CB8">
        <w:t>ducation and training sector.</w:t>
      </w:r>
    </w:p>
    <w:p w14:paraId="177229B2" w14:textId="578EC29C" w:rsidR="007A6A1A" w:rsidRPr="00167CB8" w:rsidRDefault="007A6A1A" w:rsidP="007A6A1A">
      <w:pPr>
        <w:spacing w:after="160"/>
      </w:pPr>
      <w:bookmarkStart w:id="701" w:name="_Ref184404455"/>
      <w:r w:rsidRPr="00167CB8">
        <w:t xml:space="preserve">Union density is highest among professionals (see Table </w:t>
      </w:r>
      <w:r w:rsidR="007D5168" w:rsidRPr="00167CB8">
        <w:t>33</w:t>
      </w:r>
      <w:r w:rsidRPr="00167CB8">
        <w:t xml:space="preserve">). This likely reflects the large incidence of union membership in the </w:t>
      </w:r>
      <w:r w:rsidR="00A461FB" w:rsidRPr="00167CB8">
        <w:t>e</w:t>
      </w:r>
      <w:r w:rsidRPr="00167CB8">
        <w:t xml:space="preserve">ducation and training industry and the </w:t>
      </w:r>
      <w:r w:rsidR="00A461FB" w:rsidRPr="00167CB8">
        <w:t>h</w:t>
      </w:r>
      <w:r w:rsidRPr="00167CB8">
        <w:t xml:space="preserve">ealth care and social assistance industry. </w:t>
      </w:r>
    </w:p>
    <w:p w14:paraId="11B64884" w14:textId="77777777" w:rsidR="007A6A1A" w:rsidRPr="00167CB8" w:rsidRDefault="007A6A1A" w:rsidP="007A6A1A">
      <w:pPr>
        <w:spacing w:after="160"/>
        <w:rPr>
          <w:i/>
          <w:iCs/>
        </w:rPr>
      </w:pPr>
      <w:r w:rsidRPr="00167CB8">
        <w:rPr>
          <w:i/>
          <w:iCs/>
        </w:rPr>
        <w:br w:type="page"/>
      </w:r>
    </w:p>
    <w:p w14:paraId="1908A1EF" w14:textId="1B06C60C" w:rsidR="007A6A1A" w:rsidRPr="00167CB8" w:rsidRDefault="007A6A1A" w:rsidP="00470AB9">
      <w:pPr>
        <w:pStyle w:val="Caption"/>
      </w:pPr>
      <w:bookmarkStart w:id="702" w:name="_Toc186991811"/>
      <w:bookmarkStart w:id="703" w:name="_Toc189310862"/>
      <w:r w:rsidRPr="00167CB8">
        <w:lastRenderedPageBreak/>
        <w:t xml:space="preserve">Table </w:t>
      </w:r>
      <w:r w:rsidR="007D5168" w:rsidRPr="00167CB8">
        <w:t>33</w:t>
      </w:r>
      <w:bookmarkEnd w:id="701"/>
      <w:r w:rsidRPr="00167CB8">
        <w:t>: Trade union membership by occupation, August 2024</w:t>
      </w:r>
      <w:bookmarkEnd w:id="702"/>
      <w:bookmarkEnd w:id="703"/>
    </w:p>
    <w:tbl>
      <w:tblPr>
        <w:tblW w:w="88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37"/>
        <w:gridCol w:w="1791"/>
      </w:tblGrid>
      <w:tr w:rsidR="007A6A1A" w:rsidRPr="00167CB8" w14:paraId="2CBA18C5" w14:textId="77777777">
        <w:trPr>
          <w:trHeight w:val="283"/>
        </w:trPr>
        <w:tc>
          <w:tcPr>
            <w:tcW w:w="7037" w:type="dxa"/>
            <w:tcBorders>
              <w:top w:val="single" w:sz="4" w:space="0" w:color="auto"/>
              <w:left w:val="single" w:sz="4" w:space="0" w:color="auto"/>
              <w:bottom w:val="single" w:sz="4" w:space="0" w:color="auto"/>
              <w:right w:val="nil"/>
            </w:tcBorders>
            <w:noWrap/>
            <w:vAlign w:val="bottom"/>
            <w:hideMark/>
          </w:tcPr>
          <w:p w14:paraId="7B390737" w14:textId="77777777" w:rsidR="007A6A1A" w:rsidRPr="00167CB8" w:rsidRDefault="007A6A1A" w:rsidP="007A6A1A">
            <w:pPr>
              <w:spacing w:after="160"/>
            </w:pPr>
            <w:r w:rsidRPr="00167CB8">
              <w:t>1-Digit occupation division</w:t>
            </w:r>
          </w:p>
        </w:tc>
        <w:tc>
          <w:tcPr>
            <w:tcW w:w="1791" w:type="dxa"/>
            <w:tcBorders>
              <w:top w:val="single" w:sz="4" w:space="0" w:color="auto"/>
              <w:left w:val="nil"/>
              <w:bottom w:val="single" w:sz="4" w:space="0" w:color="auto"/>
              <w:right w:val="single" w:sz="4" w:space="0" w:color="auto"/>
            </w:tcBorders>
            <w:noWrap/>
            <w:vAlign w:val="bottom"/>
            <w:hideMark/>
          </w:tcPr>
          <w:p w14:paraId="55D6CE6D" w14:textId="77777777" w:rsidR="007A6A1A" w:rsidRPr="00167CB8" w:rsidRDefault="007A6A1A" w:rsidP="007A6A1A">
            <w:pPr>
              <w:spacing w:after="160"/>
            </w:pPr>
            <w:r w:rsidRPr="00167CB8">
              <w:t>Trade union membership (%)</w:t>
            </w:r>
          </w:p>
        </w:tc>
      </w:tr>
      <w:tr w:rsidR="007A6A1A" w:rsidRPr="00167CB8" w14:paraId="1847AB2E" w14:textId="77777777">
        <w:trPr>
          <w:trHeight w:val="283"/>
        </w:trPr>
        <w:tc>
          <w:tcPr>
            <w:tcW w:w="7037" w:type="dxa"/>
            <w:tcBorders>
              <w:top w:val="single" w:sz="4" w:space="0" w:color="auto"/>
              <w:left w:val="single" w:sz="4" w:space="0" w:color="auto"/>
              <w:bottom w:val="nil"/>
              <w:right w:val="nil"/>
            </w:tcBorders>
            <w:noWrap/>
            <w:vAlign w:val="center"/>
            <w:hideMark/>
          </w:tcPr>
          <w:p w14:paraId="7A5509FD" w14:textId="77777777" w:rsidR="007A6A1A" w:rsidRPr="00167CB8" w:rsidRDefault="007A6A1A" w:rsidP="007A6A1A">
            <w:pPr>
              <w:spacing w:after="160"/>
            </w:pPr>
            <w:r w:rsidRPr="00167CB8">
              <w:t>Professionals</w:t>
            </w:r>
          </w:p>
        </w:tc>
        <w:tc>
          <w:tcPr>
            <w:tcW w:w="1791" w:type="dxa"/>
            <w:tcBorders>
              <w:top w:val="single" w:sz="4" w:space="0" w:color="auto"/>
              <w:left w:val="nil"/>
              <w:bottom w:val="nil"/>
              <w:right w:val="single" w:sz="4" w:space="0" w:color="auto"/>
            </w:tcBorders>
            <w:noWrap/>
            <w:vAlign w:val="bottom"/>
            <w:hideMark/>
          </w:tcPr>
          <w:p w14:paraId="2B6D399B" w14:textId="77777777" w:rsidR="007A6A1A" w:rsidRPr="00167CB8" w:rsidRDefault="007A6A1A" w:rsidP="007A6A1A">
            <w:pPr>
              <w:spacing w:after="160"/>
            </w:pPr>
            <w:r w:rsidRPr="00167CB8">
              <w:t>19.8%</w:t>
            </w:r>
          </w:p>
        </w:tc>
      </w:tr>
      <w:tr w:rsidR="007A6A1A" w:rsidRPr="00167CB8" w14:paraId="4FCE883C" w14:textId="77777777">
        <w:trPr>
          <w:trHeight w:val="283"/>
        </w:trPr>
        <w:tc>
          <w:tcPr>
            <w:tcW w:w="7037" w:type="dxa"/>
            <w:tcBorders>
              <w:top w:val="nil"/>
              <w:left w:val="single" w:sz="4" w:space="0" w:color="auto"/>
              <w:bottom w:val="nil"/>
              <w:right w:val="nil"/>
            </w:tcBorders>
            <w:noWrap/>
            <w:vAlign w:val="center"/>
            <w:hideMark/>
          </w:tcPr>
          <w:p w14:paraId="107EBC36" w14:textId="77777777" w:rsidR="007A6A1A" w:rsidRPr="00167CB8" w:rsidRDefault="007A6A1A" w:rsidP="007A6A1A">
            <w:pPr>
              <w:spacing w:after="160"/>
            </w:pPr>
            <w:r w:rsidRPr="00167CB8">
              <w:t>Community and Personal Service Workers</w:t>
            </w:r>
          </w:p>
        </w:tc>
        <w:tc>
          <w:tcPr>
            <w:tcW w:w="1791" w:type="dxa"/>
            <w:tcBorders>
              <w:top w:val="nil"/>
              <w:left w:val="nil"/>
              <w:bottom w:val="nil"/>
              <w:right w:val="single" w:sz="4" w:space="0" w:color="auto"/>
            </w:tcBorders>
            <w:noWrap/>
            <w:vAlign w:val="bottom"/>
            <w:hideMark/>
          </w:tcPr>
          <w:p w14:paraId="69071571" w14:textId="77777777" w:rsidR="007A6A1A" w:rsidRPr="00167CB8" w:rsidRDefault="007A6A1A" w:rsidP="007A6A1A">
            <w:pPr>
              <w:spacing w:after="160"/>
            </w:pPr>
            <w:r w:rsidRPr="00167CB8">
              <w:t>16.4%</w:t>
            </w:r>
          </w:p>
        </w:tc>
      </w:tr>
      <w:tr w:rsidR="007A6A1A" w:rsidRPr="00167CB8" w14:paraId="56964F2C" w14:textId="77777777">
        <w:trPr>
          <w:trHeight w:val="283"/>
        </w:trPr>
        <w:tc>
          <w:tcPr>
            <w:tcW w:w="7037" w:type="dxa"/>
            <w:tcBorders>
              <w:top w:val="nil"/>
              <w:left w:val="single" w:sz="4" w:space="0" w:color="auto"/>
              <w:bottom w:val="nil"/>
              <w:right w:val="nil"/>
            </w:tcBorders>
            <w:noWrap/>
            <w:vAlign w:val="center"/>
            <w:hideMark/>
          </w:tcPr>
          <w:p w14:paraId="414D4D20" w14:textId="77777777" w:rsidR="007A6A1A" w:rsidRPr="00167CB8" w:rsidRDefault="007A6A1A" w:rsidP="007A6A1A">
            <w:pPr>
              <w:spacing w:after="160"/>
            </w:pPr>
            <w:r w:rsidRPr="00167CB8">
              <w:t>Machinery Operators and Drivers</w:t>
            </w:r>
          </w:p>
        </w:tc>
        <w:tc>
          <w:tcPr>
            <w:tcW w:w="1791" w:type="dxa"/>
            <w:tcBorders>
              <w:top w:val="nil"/>
              <w:left w:val="nil"/>
              <w:bottom w:val="nil"/>
              <w:right w:val="single" w:sz="4" w:space="0" w:color="auto"/>
            </w:tcBorders>
            <w:noWrap/>
            <w:vAlign w:val="bottom"/>
            <w:hideMark/>
          </w:tcPr>
          <w:p w14:paraId="4D948A9C" w14:textId="77777777" w:rsidR="007A6A1A" w:rsidRPr="00167CB8" w:rsidRDefault="007A6A1A" w:rsidP="007A6A1A">
            <w:pPr>
              <w:spacing w:after="160"/>
            </w:pPr>
            <w:r w:rsidRPr="00167CB8">
              <w:t>15.9%</w:t>
            </w:r>
          </w:p>
        </w:tc>
      </w:tr>
      <w:tr w:rsidR="007A6A1A" w:rsidRPr="00167CB8" w14:paraId="184C9E12" w14:textId="77777777">
        <w:trPr>
          <w:trHeight w:val="283"/>
        </w:trPr>
        <w:tc>
          <w:tcPr>
            <w:tcW w:w="7037" w:type="dxa"/>
            <w:tcBorders>
              <w:top w:val="nil"/>
              <w:left w:val="single" w:sz="4" w:space="0" w:color="auto"/>
              <w:bottom w:val="nil"/>
              <w:right w:val="nil"/>
            </w:tcBorders>
            <w:noWrap/>
            <w:vAlign w:val="center"/>
            <w:hideMark/>
          </w:tcPr>
          <w:p w14:paraId="5F683648" w14:textId="77777777" w:rsidR="007A6A1A" w:rsidRPr="00167CB8" w:rsidRDefault="007A6A1A" w:rsidP="007A6A1A">
            <w:pPr>
              <w:spacing w:after="160"/>
            </w:pPr>
            <w:r w:rsidRPr="00167CB8">
              <w:t>Technicians and Trades Workers</w:t>
            </w:r>
          </w:p>
        </w:tc>
        <w:tc>
          <w:tcPr>
            <w:tcW w:w="1791" w:type="dxa"/>
            <w:tcBorders>
              <w:top w:val="nil"/>
              <w:left w:val="nil"/>
              <w:bottom w:val="nil"/>
              <w:right w:val="single" w:sz="4" w:space="0" w:color="auto"/>
            </w:tcBorders>
            <w:noWrap/>
            <w:vAlign w:val="bottom"/>
            <w:hideMark/>
          </w:tcPr>
          <w:p w14:paraId="3BF74631" w14:textId="77777777" w:rsidR="007A6A1A" w:rsidRPr="00167CB8" w:rsidRDefault="007A6A1A" w:rsidP="007A6A1A">
            <w:pPr>
              <w:spacing w:after="160"/>
            </w:pPr>
            <w:r w:rsidRPr="00167CB8">
              <w:t>13.0%</w:t>
            </w:r>
          </w:p>
        </w:tc>
      </w:tr>
      <w:tr w:rsidR="007A6A1A" w:rsidRPr="00167CB8" w14:paraId="2B4DE58C" w14:textId="77777777">
        <w:trPr>
          <w:trHeight w:val="283"/>
        </w:trPr>
        <w:tc>
          <w:tcPr>
            <w:tcW w:w="7037" w:type="dxa"/>
            <w:tcBorders>
              <w:top w:val="nil"/>
              <w:left w:val="single" w:sz="4" w:space="0" w:color="auto"/>
              <w:bottom w:val="nil"/>
              <w:right w:val="nil"/>
            </w:tcBorders>
            <w:noWrap/>
            <w:vAlign w:val="center"/>
            <w:hideMark/>
          </w:tcPr>
          <w:p w14:paraId="4E58CAF7" w14:textId="77777777" w:rsidR="007A6A1A" w:rsidRPr="00167CB8" w:rsidRDefault="007A6A1A" w:rsidP="007A6A1A">
            <w:pPr>
              <w:spacing w:after="160"/>
            </w:pPr>
            <w:r w:rsidRPr="00167CB8">
              <w:t>Labourers</w:t>
            </w:r>
          </w:p>
        </w:tc>
        <w:tc>
          <w:tcPr>
            <w:tcW w:w="1791" w:type="dxa"/>
            <w:tcBorders>
              <w:top w:val="nil"/>
              <w:left w:val="nil"/>
              <w:bottom w:val="nil"/>
              <w:right w:val="single" w:sz="4" w:space="0" w:color="auto"/>
            </w:tcBorders>
            <w:noWrap/>
            <w:vAlign w:val="bottom"/>
            <w:hideMark/>
          </w:tcPr>
          <w:p w14:paraId="3F6F48F0" w14:textId="77777777" w:rsidR="007A6A1A" w:rsidRPr="00167CB8" w:rsidRDefault="007A6A1A" w:rsidP="007A6A1A">
            <w:pPr>
              <w:spacing w:after="160"/>
            </w:pPr>
            <w:r w:rsidRPr="00167CB8">
              <w:t>9.8%</w:t>
            </w:r>
          </w:p>
        </w:tc>
      </w:tr>
      <w:tr w:rsidR="007A6A1A" w:rsidRPr="00167CB8" w14:paraId="54841C04" w14:textId="77777777">
        <w:trPr>
          <w:trHeight w:val="283"/>
        </w:trPr>
        <w:tc>
          <w:tcPr>
            <w:tcW w:w="7037" w:type="dxa"/>
            <w:tcBorders>
              <w:top w:val="nil"/>
              <w:left w:val="single" w:sz="4" w:space="0" w:color="auto"/>
              <w:bottom w:val="nil"/>
              <w:right w:val="nil"/>
            </w:tcBorders>
            <w:noWrap/>
            <w:vAlign w:val="center"/>
            <w:hideMark/>
          </w:tcPr>
          <w:p w14:paraId="666BF4D6" w14:textId="77777777" w:rsidR="007A6A1A" w:rsidRPr="00167CB8" w:rsidRDefault="007A6A1A" w:rsidP="007A6A1A">
            <w:pPr>
              <w:spacing w:after="160"/>
            </w:pPr>
            <w:r w:rsidRPr="00167CB8">
              <w:t>Clerical and Administrative Workers</w:t>
            </w:r>
          </w:p>
        </w:tc>
        <w:tc>
          <w:tcPr>
            <w:tcW w:w="1791" w:type="dxa"/>
            <w:tcBorders>
              <w:top w:val="nil"/>
              <w:left w:val="nil"/>
              <w:bottom w:val="nil"/>
              <w:right w:val="single" w:sz="4" w:space="0" w:color="auto"/>
            </w:tcBorders>
            <w:noWrap/>
            <w:vAlign w:val="bottom"/>
            <w:hideMark/>
          </w:tcPr>
          <w:p w14:paraId="569CB2CC" w14:textId="77777777" w:rsidR="007A6A1A" w:rsidRPr="00167CB8" w:rsidRDefault="007A6A1A" w:rsidP="007A6A1A">
            <w:pPr>
              <w:spacing w:after="160"/>
            </w:pPr>
            <w:r w:rsidRPr="00167CB8">
              <w:t>7.9%</w:t>
            </w:r>
          </w:p>
        </w:tc>
      </w:tr>
      <w:tr w:rsidR="007A6A1A" w:rsidRPr="00167CB8" w14:paraId="3455E1EC" w14:textId="77777777">
        <w:trPr>
          <w:trHeight w:val="283"/>
        </w:trPr>
        <w:tc>
          <w:tcPr>
            <w:tcW w:w="7037" w:type="dxa"/>
            <w:tcBorders>
              <w:top w:val="nil"/>
              <w:left w:val="single" w:sz="4" w:space="0" w:color="auto"/>
              <w:bottom w:val="nil"/>
              <w:right w:val="nil"/>
            </w:tcBorders>
            <w:noWrap/>
            <w:vAlign w:val="center"/>
            <w:hideMark/>
          </w:tcPr>
          <w:p w14:paraId="6B33B279" w14:textId="77777777" w:rsidR="007A6A1A" w:rsidRPr="00167CB8" w:rsidRDefault="007A6A1A" w:rsidP="007A6A1A">
            <w:pPr>
              <w:spacing w:after="160"/>
            </w:pPr>
            <w:r w:rsidRPr="00167CB8">
              <w:t>Managers</w:t>
            </w:r>
          </w:p>
        </w:tc>
        <w:tc>
          <w:tcPr>
            <w:tcW w:w="1791" w:type="dxa"/>
            <w:tcBorders>
              <w:top w:val="nil"/>
              <w:left w:val="nil"/>
              <w:bottom w:val="nil"/>
              <w:right w:val="single" w:sz="4" w:space="0" w:color="auto"/>
            </w:tcBorders>
            <w:noWrap/>
            <w:vAlign w:val="bottom"/>
            <w:hideMark/>
          </w:tcPr>
          <w:p w14:paraId="3952B0D0" w14:textId="77777777" w:rsidR="007A6A1A" w:rsidRPr="00167CB8" w:rsidRDefault="007A6A1A" w:rsidP="007A6A1A">
            <w:pPr>
              <w:spacing w:after="160"/>
            </w:pPr>
            <w:r w:rsidRPr="00167CB8">
              <w:t>6.3%</w:t>
            </w:r>
          </w:p>
        </w:tc>
      </w:tr>
      <w:tr w:rsidR="007A6A1A" w:rsidRPr="00167CB8" w14:paraId="41F709E5" w14:textId="77777777">
        <w:trPr>
          <w:trHeight w:val="283"/>
        </w:trPr>
        <w:tc>
          <w:tcPr>
            <w:tcW w:w="7037" w:type="dxa"/>
            <w:tcBorders>
              <w:top w:val="nil"/>
              <w:left w:val="single" w:sz="4" w:space="0" w:color="auto"/>
              <w:bottom w:val="single" w:sz="4" w:space="0" w:color="auto"/>
              <w:right w:val="nil"/>
            </w:tcBorders>
            <w:noWrap/>
            <w:vAlign w:val="center"/>
            <w:hideMark/>
          </w:tcPr>
          <w:p w14:paraId="5DC8E3B7" w14:textId="77777777" w:rsidR="007A6A1A" w:rsidRPr="00167CB8" w:rsidRDefault="007A6A1A" w:rsidP="007A6A1A">
            <w:pPr>
              <w:spacing w:after="160"/>
            </w:pPr>
            <w:r w:rsidRPr="00167CB8">
              <w:t>Sales Workers</w:t>
            </w:r>
          </w:p>
        </w:tc>
        <w:tc>
          <w:tcPr>
            <w:tcW w:w="1791" w:type="dxa"/>
            <w:tcBorders>
              <w:top w:val="nil"/>
              <w:left w:val="nil"/>
              <w:bottom w:val="single" w:sz="4" w:space="0" w:color="auto"/>
              <w:right w:val="single" w:sz="4" w:space="0" w:color="auto"/>
            </w:tcBorders>
            <w:noWrap/>
            <w:vAlign w:val="bottom"/>
            <w:hideMark/>
          </w:tcPr>
          <w:p w14:paraId="7ED4BA2B" w14:textId="77777777" w:rsidR="007A6A1A" w:rsidRPr="00167CB8" w:rsidRDefault="007A6A1A" w:rsidP="007A6A1A">
            <w:pPr>
              <w:spacing w:after="160"/>
            </w:pPr>
            <w:r w:rsidRPr="00167CB8">
              <w:t>5.9%</w:t>
            </w:r>
          </w:p>
        </w:tc>
      </w:tr>
    </w:tbl>
    <w:p w14:paraId="3D435CD9" w14:textId="26BDB683" w:rsidR="007A6A1A" w:rsidRPr="00167CB8" w:rsidRDefault="007A6A1A" w:rsidP="00A461FB">
      <w:pPr>
        <w:pStyle w:val="Source"/>
      </w:pPr>
      <w:r w:rsidRPr="00167CB8">
        <w:rPr>
          <w:b/>
          <w:bCs/>
        </w:rPr>
        <w:t>Source:</w:t>
      </w:r>
      <w:r w:rsidRPr="00167CB8">
        <w:t xml:space="preserve"> Australian Bureau of Statistics, Trade union membership August 2024</w:t>
      </w:r>
      <w:r w:rsidR="00A461FB" w:rsidRPr="00167CB8">
        <w:t>.</w:t>
      </w:r>
    </w:p>
    <w:p w14:paraId="5C4DD5AF" w14:textId="570F8486" w:rsidR="007A6A1A" w:rsidRPr="00167CB8" w:rsidRDefault="007A6A1A" w:rsidP="00A461FB">
      <w:pPr>
        <w:pStyle w:val="Source"/>
      </w:pPr>
      <w:r w:rsidRPr="00167CB8">
        <w:rPr>
          <w:b/>
          <w:bCs/>
        </w:rPr>
        <w:t>Alt-text:</w:t>
      </w:r>
      <w:r w:rsidRPr="00167CB8">
        <w:t xml:space="preserve"> A table showing union membership rates by occupation. In 2024 union membership was highest among professionals at 19.8%, followed by </w:t>
      </w:r>
      <w:r w:rsidR="00A461FB" w:rsidRPr="00167CB8">
        <w:t>c</w:t>
      </w:r>
      <w:r w:rsidRPr="00167CB8">
        <w:t xml:space="preserve">ommunity and personal service workers (16.4%). Fewer than 6% of sales workers were union members. </w:t>
      </w:r>
    </w:p>
    <w:p w14:paraId="224C77DA" w14:textId="77777777" w:rsidR="007A6A1A" w:rsidRPr="00167CB8" w:rsidRDefault="007A6A1A" w:rsidP="00650687">
      <w:pPr>
        <w:pStyle w:val="Heading4"/>
      </w:pPr>
      <w:bookmarkStart w:id="704" w:name="_Toc186991764"/>
      <w:bookmarkStart w:id="705" w:name="_Toc189393668"/>
      <w:r w:rsidRPr="00167CB8">
        <w:t>2.6 Select employment characteristics based on data from the HILDA Survey</w:t>
      </w:r>
      <w:bookmarkEnd w:id="704"/>
      <w:bookmarkEnd w:id="705"/>
    </w:p>
    <w:p w14:paraId="6A9E9EC4" w14:textId="4C14F0E6" w:rsidR="007A6A1A" w:rsidRPr="00167CB8" w:rsidRDefault="007A6A1A" w:rsidP="007A6A1A">
      <w:pPr>
        <w:spacing w:after="160"/>
      </w:pPr>
      <w:r w:rsidRPr="00167CB8">
        <w:t xml:space="preserve">Additional insight into various labour market characteristics may be obtained from the Household, Income and Labour Dynamics in Australia (HILDA) </w:t>
      </w:r>
      <w:r w:rsidR="00A461FB" w:rsidRPr="00167CB8">
        <w:t>s</w:t>
      </w:r>
      <w:r w:rsidRPr="00167CB8">
        <w:t xml:space="preserve">urvey. HILDA is a longitudinal household survey. After weighting using the population weights the HILDA data are nationally representative. </w:t>
      </w:r>
    </w:p>
    <w:p w14:paraId="71D7517C" w14:textId="77777777" w:rsidR="007A6A1A" w:rsidRPr="00167CB8" w:rsidRDefault="007A6A1A" w:rsidP="00650687">
      <w:pPr>
        <w:pStyle w:val="Heading5"/>
      </w:pPr>
      <w:r w:rsidRPr="00167CB8">
        <w:t>2.6.1 Union membership</w:t>
      </w:r>
    </w:p>
    <w:p w14:paraId="6C5DE9BF" w14:textId="717CF850" w:rsidR="007A6A1A" w:rsidRPr="00167CB8" w:rsidRDefault="00433E6E" w:rsidP="007A6A1A">
      <w:pPr>
        <w:spacing w:after="160"/>
      </w:pPr>
      <w:r>
        <w:t>Table 34</w:t>
      </w:r>
      <w:r w:rsidR="007A6A1A" w:rsidRPr="00167CB8">
        <w:t xml:space="preserve"> reports trends in trade union membership by employment status and method of pay setting. In 2012</w:t>
      </w:r>
      <w:r w:rsidR="00A461FB" w:rsidRPr="00167CB8">
        <w:t>,</w:t>
      </w:r>
      <w:r w:rsidR="007A6A1A" w:rsidRPr="00167CB8">
        <w:t xml:space="preserve"> 10.8% of all casual employees were union members</w:t>
      </w:r>
      <w:r w:rsidR="00A461FB" w:rsidRPr="00167CB8">
        <w:t>.</w:t>
      </w:r>
      <w:r w:rsidR="007A6A1A" w:rsidRPr="00167CB8">
        <w:t xml:space="preserve"> </w:t>
      </w:r>
      <w:r w:rsidR="00A461FB" w:rsidRPr="00167CB8">
        <w:t>B</w:t>
      </w:r>
      <w:r w:rsidR="007A6A1A" w:rsidRPr="00167CB8">
        <w:t>y 2023 this had declined to 6.9%. Similarly, in 2012</w:t>
      </w:r>
      <w:r w:rsidR="00A461FB" w:rsidRPr="00167CB8">
        <w:t>,</w:t>
      </w:r>
      <w:r w:rsidR="007A6A1A" w:rsidRPr="00167CB8">
        <w:t xml:space="preserve"> 30.2% of all employees on a permanent contract were union members</w:t>
      </w:r>
      <w:r w:rsidR="00A461FB" w:rsidRPr="00167CB8">
        <w:t>.</w:t>
      </w:r>
      <w:r w:rsidR="007A6A1A" w:rsidRPr="00167CB8">
        <w:t xml:space="preserve"> </w:t>
      </w:r>
      <w:r w:rsidR="00A461FB" w:rsidRPr="00167CB8">
        <w:t>B</w:t>
      </w:r>
      <w:r w:rsidR="007A6A1A" w:rsidRPr="00167CB8">
        <w:t>y 2023 this had fallen to 24.5%. Among all those whose pay is determined by a collective agreement, 40.8% are union member</w:t>
      </w:r>
      <w:r w:rsidR="00A461FB" w:rsidRPr="00167CB8">
        <w:t>s</w:t>
      </w:r>
      <w:r w:rsidR="007A6A1A" w:rsidRPr="00167CB8">
        <w:t xml:space="preserve">. </w:t>
      </w:r>
    </w:p>
    <w:p w14:paraId="69DD2D36"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p>
    <w:p w14:paraId="651C4EF3" w14:textId="52F61B41" w:rsidR="007A6A1A" w:rsidRPr="00167CB8" w:rsidRDefault="007A6A1A" w:rsidP="00470AB9">
      <w:pPr>
        <w:pStyle w:val="Caption"/>
      </w:pPr>
      <w:bookmarkStart w:id="706" w:name="_Ref186905097"/>
      <w:bookmarkStart w:id="707" w:name="_Toc186991812"/>
      <w:bookmarkStart w:id="708" w:name="_Toc189310863"/>
      <w:r w:rsidRPr="00167CB8">
        <w:lastRenderedPageBreak/>
        <w:t xml:space="preserve">Table </w:t>
      </w:r>
      <w:r w:rsidR="00A909DC" w:rsidRPr="00167CB8">
        <w:t>34</w:t>
      </w:r>
      <w:bookmarkEnd w:id="706"/>
      <w:r w:rsidRPr="00167CB8">
        <w:t>: Union membership (%) by employment status and method of pay setting status in main job, 2012 to 2023</w:t>
      </w:r>
      <w:bookmarkEnd w:id="707"/>
      <w:bookmarkEnd w:id="708"/>
    </w:p>
    <w:tbl>
      <w:tblPr>
        <w:tblW w:w="139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32"/>
        <w:gridCol w:w="1478"/>
        <w:gridCol w:w="1477"/>
        <w:gridCol w:w="1477"/>
        <w:gridCol w:w="1477"/>
        <w:gridCol w:w="1477"/>
        <w:gridCol w:w="1477"/>
        <w:gridCol w:w="1477"/>
        <w:gridCol w:w="1478"/>
      </w:tblGrid>
      <w:tr w:rsidR="007A6A1A" w:rsidRPr="00167CB8" w14:paraId="386EA011" w14:textId="77777777">
        <w:trPr>
          <w:trHeight w:val="309"/>
        </w:trPr>
        <w:tc>
          <w:tcPr>
            <w:tcW w:w="2131" w:type="dxa"/>
            <w:tcBorders>
              <w:top w:val="single" w:sz="4" w:space="0" w:color="auto"/>
              <w:left w:val="single" w:sz="4" w:space="0" w:color="auto"/>
              <w:bottom w:val="single" w:sz="4" w:space="0" w:color="auto"/>
              <w:right w:val="nil"/>
            </w:tcBorders>
            <w:noWrap/>
            <w:vAlign w:val="bottom"/>
            <w:hideMark/>
          </w:tcPr>
          <w:p w14:paraId="0A0DB46B" w14:textId="77777777" w:rsidR="007A6A1A" w:rsidRPr="002154E6" w:rsidRDefault="007A6A1A" w:rsidP="007A6A1A">
            <w:pPr>
              <w:spacing w:after="160"/>
              <w:rPr>
                <w:b/>
                <w:bCs/>
              </w:rPr>
            </w:pPr>
          </w:p>
        </w:tc>
        <w:tc>
          <w:tcPr>
            <w:tcW w:w="1477" w:type="dxa"/>
            <w:tcBorders>
              <w:top w:val="single" w:sz="4" w:space="0" w:color="auto"/>
              <w:left w:val="nil"/>
              <w:bottom w:val="single" w:sz="4" w:space="0" w:color="auto"/>
              <w:right w:val="nil"/>
            </w:tcBorders>
            <w:noWrap/>
            <w:vAlign w:val="center"/>
            <w:hideMark/>
          </w:tcPr>
          <w:p w14:paraId="4ACF352D" w14:textId="77777777" w:rsidR="007A6A1A" w:rsidRPr="002154E6" w:rsidRDefault="007A6A1A" w:rsidP="007A6A1A">
            <w:pPr>
              <w:spacing w:after="160"/>
              <w:rPr>
                <w:b/>
                <w:bCs/>
              </w:rPr>
            </w:pPr>
            <w:r w:rsidRPr="002154E6">
              <w:rPr>
                <w:b/>
                <w:bCs/>
              </w:rPr>
              <w:t>Casual</w:t>
            </w:r>
          </w:p>
        </w:tc>
        <w:tc>
          <w:tcPr>
            <w:tcW w:w="1477" w:type="dxa"/>
            <w:tcBorders>
              <w:top w:val="single" w:sz="4" w:space="0" w:color="auto"/>
              <w:left w:val="nil"/>
              <w:bottom w:val="single" w:sz="4" w:space="0" w:color="auto"/>
              <w:right w:val="nil"/>
            </w:tcBorders>
            <w:noWrap/>
            <w:vAlign w:val="center"/>
            <w:hideMark/>
          </w:tcPr>
          <w:p w14:paraId="0A37E40E" w14:textId="77777777" w:rsidR="007A6A1A" w:rsidRPr="002154E6" w:rsidRDefault="007A6A1A" w:rsidP="007A6A1A">
            <w:pPr>
              <w:spacing w:after="160"/>
              <w:rPr>
                <w:b/>
                <w:bCs/>
              </w:rPr>
            </w:pPr>
            <w:r w:rsidRPr="002154E6">
              <w:rPr>
                <w:b/>
                <w:bCs/>
              </w:rPr>
              <w:t>Permanent</w:t>
            </w:r>
          </w:p>
        </w:tc>
        <w:tc>
          <w:tcPr>
            <w:tcW w:w="1477" w:type="dxa"/>
            <w:tcBorders>
              <w:top w:val="single" w:sz="4" w:space="0" w:color="auto"/>
              <w:left w:val="nil"/>
              <w:bottom w:val="single" w:sz="4" w:space="0" w:color="auto"/>
              <w:right w:val="nil"/>
            </w:tcBorders>
            <w:noWrap/>
            <w:vAlign w:val="center"/>
            <w:hideMark/>
          </w:tcPr>
          <w:p w14:paraId="1D34A55C" w14:textId="446A3084" w:rsidR="007A6A1A" w:rsidRPr="002154E6" w:rsidRDefault="007A6A1A" w:rsidP="007A6A1A">
            <w:pPr>
              <w:spacing w:after="160"/>
              <w:rPr>
                <w:b/>
                <w:bCs/>
              </w:rPr>
            </w:pPr>
            <w:r w:rsidRPr="002154E6">
              <w:rPr>
                <w:b/>
                <w:bCs/>
              </w:rPr>
              <w:t>Fixed</w:t>
            </w:r>
            <w:r w:rsidR="006B272C" w:rsidRPr="002154E6">
              <w:rPr>
                <w:b/>
                <w:bCs/>
              </w:rPr>
              <w:t>-t</w:t>
            </w:r>
            <w:r w:rsidRPr="002154E6">
              <w:rPr>
                <w:b/>
                <w:bCs/>
              </w:rPr>
              <w:t xml:space="preserve">erm </w:t>
            </w:r>
            <w:r w:rsidR="006B272C" w:rsidRPr="002154E6">
              <w:rPr>
                <w:b/>
                <w:bCs/>
              </w:rPr>
              <w:t>c</w:t>
            </w:r>
            <w:r w:rsidRPr="002154E6">
              <w:rPr>
                <w:b/>
                <w:bCs/>
              </w:rPr>
              <w:t>ontract</w:t>
            </w:r>
          </w:p>
        </w:tc>
        <w:tc>
          <w:tcPr>
            <w:tcW w:w="1477" w:type="dxa"/>
            <w:tcBorders>
              <w:top w:val="single" w:sz="4" w:space="0" w:color="auto"/>
              <w:left w:val="nil"/>
              <w:bottom w:val="single" w:sz="4" w:space="0" w:color="auto"/>
              <w:right w:val="nil"/>
            </w:tcBorders>
            <w:vAlign w:val="center"/>
            <w:hideMark/>
          </w:tcPr>
          <w:p w14:paraId="07B87DB6" w14:textId="77777777" w:rsidR="007A6A1A" w:rsidRPr="002154E6" w:rsidRDefault="007A6A1A" w:rsidP="007A6A1A">
            <w:pPr>
              <w:spacing w:after="160"/>
              <w:rPr>
                <w:b/>
                <w:bCs/>
              </w:rPr>
            </w:pPr>
            <w:r w:rsidRPr="002154E6">
              <w:rPr>
                <w:b/>
                <w:bCs/>
              </w:rPr>
              <w:t>Part-time</w:t>
            </w:r>
          </w:p>
        </w:tc>
        <w:tc>
          <w:tcPr>
            <w:tcW w:w="1477" w:type="dxa"/>
            <w:tcBorders>
              <w:top w:val="single" w:sz="4" w:space="0" w:color="auto"/>
              <w:left w:val="nil"/>
              <w:bottom w:val="single" w:sz="4" w:space="0" w:color="auto"/>
              <w:right w:val="nil"/>
            </w:tcBorders>
            <w:vAlign w:val="center"/>
            <w:hideMark/>
          </w:tcPr>
          <w:p w14:paraId="4BBB66F0" w14:textId="77777777" w:rsidR="007A6A1A" w:rsidRPr="002154E6" w:rsidRDefault="007A6A1A" w:rsidP="007A6A1A">
            <w:pPr>
              <w:spacing w:after="160"/>
              <w:rPr>
                <w:b/>
                <w:bCs/>
              </w:rPr>
            </w:pPr>
            <w:r w:rsidRPr="002154E6">
              <w:rPr>
                <w:b/>
                <w:bCs/>
              </w:rPr>
              <w:t>Full-time</w:t>
            </w:r>
          </w:p>
        </w:tc>
        <w:tc>
          <w:tcPr>
            <w:tcW w:w="1477" w:type="dxa"/>
            <w:tcBorders>
              <w:top w:val="single" w:sz="4" w:space="0" w:color="auto"/>
              <w:left w:val="nil"/>
              <w:bottom w:val="single" w:sz="4" w:space="0" w:color="auto"/>
              <w:right w:val="nil"/>
            </w:tcBorders>
            <w:vAlign w:val="center"/>
            <w:hideMark/>
          </w:tcPr>
          <w:p w14:paraId="6F68EB63" w14:textId="77777777" w:rsidR="007A6A1A" w:rsidRPr="002154E6" w:rsidRDefault="007A6A1A" w:rsidP="007A6A1A">
            <w:pPr>
              <w:spacing w:after="160"/>
              <w:rPr>
                <w:b/>
                <w:bCs/>
              </w:rPr>
            </w:pPr>
            <w:r w:rsidRPr="002154E6">
              <w:rPr>
                <w:b/>
                <w:bCs/>
              </w:rPr>
              <w:t>Award</w:t>
            </w:r>
          </w:p>
        </w:tc>
        <w:tc>
          <w:tcPr>
            <w:tcW w:w="1477" w:type="dxa"/>
            <w:tcBorders>
              <w:top w:val="single" w:sz="4" w:space="0" w:color="auto"/>
              <w:left w:val="nil"/>
              <w:bottom w:val="single" w:sz="4" w:space="0" w:color="auto"/>
              <w:right w:val="nil"/>
            </w:tcBorders>
            <w:vAlign w:val="center"/>
            <w:hideMark/>
          </w:tcPr>
          <w:p w14:paraId="271B2BE1" w14:textId="38D3FEC3" w:rsidR="007A6A1A" w:rsidRPr="002154E6" w:rsidRDefault="007A6A1A" w:rsidP="007A6A1A">
            <w:pPr>
              <w:spacing w:after="160"/>
              <w:rPr>
                <w:b/>
                <w:bCs/>
              </w:rPr>
            </w:pPr>
            <w:r w:rsidRPr="002154E6">
              <w:rPr>
                <w:b/>
                <w:bCs/>
              </w:rPr>
              <w:t xml:space="preserve">Collective </w:t>
            </w:r>
            <w:r w:rsidR="006B272C" w:rsidRPr="002154E6">
              <w:rPr>
                <w:b/>
                <w:bCs/>
              </w:rPr>
              <w:t>a</w:t>
            </w:r>
            <w:r w:rsidRPr="002154E6">
              <w:rPr>
                <w:b/>
                <w:bCs/>
              </w:rPr>
              <w:t>greement</w:t>
            </w:r>
          </w:p>
        </w:tc>
        <w:tc>
          <w:tcPr>
            <w:tcW w:w="1478" w:type="dxa"/>
            <w:tcBorders>
              <w:top w:val="single" w:sz="4" w:space="0" w:color="auto"/>
              <w:left w:val="nil"/>
              <w:bottom w:val="single" w:sz="4" w:space="0" w:color="auto"/>
              <w:right w:val="single" w:sz="4" w:space="0" w:color="auto"/>
            </w:tcBorders>
            <w:vAlign w:val="center"/>
            <w:hideMark/>
          </w:tcPr>
          <w:p w14:paraId="586F1467" w14:textId="37E14B44" w:rsidR="007A6A1A" w:rsidRPr="002154E6" w:rsidRDefault="007A6A1A" w:rsidP="007A6A1A">
            <w:pPr>
              <w:spacing w:after="160"/>
              <w:rPr>
                <w:b/>
                <w:bCs/>
              </w:rPr>
            </w:pPr>
            <w:r w:rsidRPr="002154E6">
              <w:rPr>
                <w:b/>
                <w:bCs/>
              </w:rPr>
              <w:t xml:space="preserve">Individual </w:t>
            </w:r>
            <w:r w:rsidR="006B272C" w:rsidRPr="002154E6">
              <w:rPr>
                <w:b/>
                <w:bCs/>
              </w:rPr>
              <w:t>a</w:t>
            </w:r>
            <w:r w:rsidRPr="002154E6">
              <w:rPr>
                <w:b/>
                <w:bCs/>
              </w:rPr>
              <w:t>greement</w:t>
            </w:r>
          </w:p>
        </w:tc>
      </w:tr>
      <w:tr w:rsidR="007A6A1A" w:rsidRPr="00167CB8" w14:paraId="6E992572" w14:textId="77777777">
        <w:trPr>
          <w:trHeight w:val="309"/>
        </w:trPr>
        <w:tc>
          <w:tcPr>
            <w:tcW w:w="2131" w:type="dxa"/>
            <w:tcBorders>
              <w:top w:val="single" w:sz="4" w:space="0" w:color="auto"/>
              <w:left w:val="single" w:sz="4" w:space="0" w:color="auto"/>
              <w:bottom w:val="nil"/>
              <w:right w:val="nil"/>
            </w:tcBorders>
            <w:noWrap/>
            <w:vAlign w:val="bottom"/>
            <w:hideMark/>
          </w:tcPr>
          <w:p w14:paraId="06FF6E31" w14:textId="77777777" w:rsidR="007A6A1A" w:rsidRPr="00167CB8" w:rsidRDefault="007A6A1A" w:rsidP="007A6A1A">
            <w:pPr>
              <w:spacing w:after="160"/>
            </w:pPr>
            <w:r w:rsidRPr="00167CB8">
              <w:t>2012</w:t>
            </w:r>
          </w:p>
        </w:tc>
        <w:tc>
          <w:tcPr>
            <w:tcW w:w="1477" w:type="dxa"/>
            <w:tcBorders>
              <w:top w:val="single" w:sz="4" w:space="0" w:color="auto"/>
              <w:left w:val="nil"/>
              <w:bottom w:val="nil"/>
              <w:right w:val="nil"/>
            </w:tcBorders>
            <w:noWrap/>
            <w:vAlign w:val="bottom"/>
            <w:hideMark/>
          </w:tcPr>
          <w:p w14:paraId="10330241" w14:textId="77777777" w:rsidR="007A6A1A" w:rsidRPr="00167CB8" w:rsidRDefault="007A6A1A" w:rsidP="007A6A1A">
            <w:pPr>
              <w:spacing w:after="160"/>
            </w:pPr>
            <w:r w:rsidRPr="00167CB8">
              <w:t>10.8%</w:t>
            </w:r>
          </w:p>
        </w:tc>
        <w:tc>
          <w:tcPr>
            <w:tcW w:w="1477" w:type="dxa"/>
            <w:tcBorders>
              <w:top w:val="single" w:sz="4" w:space="0" w:color="auto"/>
              <w:left w:val="nil"/>
              <w:bottom w:val="nil"/>
              <w:right w:val="nil"/>
            </w:tcBorders>
            <w:noWrap/>
            <w:vAlign w:val="bottom"/>
            <w:hideMark/>
          </w:tcPr>
          <w:p w14:paraId="0FEA30C9" w14:textId="77777777" w:rsidR="007A6A1A" w:rsidRPr="00167CB8" w:rsidRDefault="007A6A1A" w:rsidP="007A6A1A">
            <w:pPr>
              <w:spacing w:after="160"/>
            </w:pPr>
            <w:r w:rsidRPr="00167CB8">
              <w:t>30.2%</w:t>
            </w:r>
          </w:p>
        </w:tc>
        <w:tc>
          <w:tcPr>
            <w:tcW w:w="1477" w:type="dxa"/>
            <w:tcBorders>
              <w:top w:val="single" w:sz="4" w:space="0" w:color="auto"/>
              <w:left w:val="nil"/>
              <w:bottom w:val="nil"/>
              <w:right w:val="nil"/>
            </w:tcBorders>
            <w:noWrap/>
            <w:vAlign w:val="bottom"/>
            <w:hideMark/>
          </w:tcPr>
          <w:p w14:paraId="265E5933" w14:textId="77777777" w:rsidR="007A6A1A" w:rsidRPr="00167CB8" w:rsidRDefault="007A6A1A" w:rsidP="007A6A1A">
            <w:pPr>
              <w:spacing w:after="160"/>
            </w:pPr>
            <w:r w:rsidRPr="00167CB8">
              <w:t>24.8%</w:t>
            </w:r>
          </w:p>
        </w:tc>
        <w:tc>
          <w:tcPr>
            <w:tcW w:w="1477" w:type="dxa"/>
            <w:tcBorders>
              <w:top w:val="single" w:sz="4" w:space="0" w:color="auto"/>
              <w:left w:val="nil"/>
              <w:bottom w:val="nil"/>
              <w:right w:val="nil"/>
            </w:tcBorders>
            <w:vAlign w:val="bottom"/>
            <w:hideMark/>
          </w:tcPr>
          <w:p w14:paraId="0C90CCA0" w14:textId="77777777" w:rsidR="007A6A1A" w:rsidRPr="00167CB8" w:rsidRDefault="007A6A1A" w:rsidP="007A6A1A">
            <w:pPr>
              <w:spacing w:after="160"/>
            </w:pPr>
            <w:r w:rsidRPr="00167CB8">
              <w:t>20.8%</w:t>
            </w:r>
          </w:p>
        </w:tc>
        <w:tc>
          <w:tcPr>
            <w:tcW w:w="1477" w:type="dxa"/>
            <w:tcBorders>
              <w:top w:val="single" w:sz="4" w:space="0" w:color="auto"/>
              <w:left w:val="nil"/>
              <w:bottom w:val="nil"/>
              <w:right w:val="nil"/>
            </w:tcBorders>
            <w:vAlign w:val="bottom"/>
            <w:hideMark/>
          </w:tcPr>
          <w:p w14:paraId="2A06DA76" w14:textId="77777777" w:rsidR="007A6A1A" w:rsidRPr="00167CB8" w:rsidRDefault="007A6A1A" w:rsidP="007A6A1A">
            <w:pPr>
              <w:spacing w:after="160"/>
            </w:pPr>
            <w:r w:rsidRPr="00167CB8">
              <w:t>27.8%</w:t>
            </w:r>
          </w:p>
        </w:tc>
        <w:tc>
          <w:tcPr>
            <w:tcW w:w="1477" w:type="dxa"/>
            <w:tcBorders>
              <w:top w:val="single" w:sz="4" w:space="0" w:color="auto"/>
              <w:left w:val="nil"/>
              <w:bottom w:val="nil"/>
              <w:right w:val="nil"/>
            </w:tcBorders>
            <w:vAlign w:val="bottom"/>
            <w:hideMark/>
          </w:tcPr>
          <w:p w14:paraId="63F7AD84" w14:textId="77777777" w:rsidR="007A6A1A" w:rsidRPr="00167CB8" w:rsidRDefault="007A6A1A" w:rsidP="007A6A1A">
            <w:pPr>
              <w:spacing w:after="160"/>
            </w:pPr>
            <w:r w:rsidRPr="00167CB8">
              <w:t>25.2%</w:t>
            </w:r>
          </w:p>
        </w:tc>
        <w:tc>
          <w:tcPr>
            <w:tcW w:w="1477" w:type="dxa"/>
            <w:tcBorders>
              <w:top w:val="single" w:sz="4" w:space="0" w:color="auto"/>
              <w:left w:val="nil"/>
              <w:bottom w:val="nil"/>
              <w:right w:val="nil"/>
            </w:tcBorders>
            <w:vAlign w:val="bottom"/>
            <w:hideMark/>
          </w:tcPr>
          <w:p w14:paraId="2FC89A30" w14:textId="77777777" w:rsidR="007A6A1A" w:rsidRPr="00167CB8" w:rsidRDefault="007A6A1A" w:rsidP="007A6A1A">
            <w:pPr>
              <w:spacing w:after="160"/>
            </w:pPr>
            <w:r w:rsidRPr="00167CB8">
              <w:t>47.3%</w:t>
            </w:r>
          </w:p>
        </w:tc>
        <w:tc>
          <w:tcPr>
            <w:tcW w:w="1478" w:type="dxa"/>
            <w:tcBorders>
              <w:top w:val="single" w:sz="4" w:space="0" w:color="auto"/>
              <w:left w:val="nil"/>
              <w:bottom w:val="nil"/>
              <w:right w:val="single" w:sz="4" w:space="0" w:color="auto"/>
            </w:tcBorders>
            <w:vAlign w:val="bottom"/>
            <w:hideMark/>
          </w:tcPr>
          <w:p w14:paraId="3DCFF93B" w14:textId="77777777" w:rsidR="007A6A1A" w:rsidRPr="00167CB8" w:rsidRDefault="007A6A1A" w:rsidP="007A6A1A">
            <w:pPr>
              <w:spacing w:after="160"/>
            </w:pPr>
            <w:r w:rsidRPr="00167CB8">
              <w:t>8.1%</w:t>
            </w:r>
          </w:p>
        </w:tc>
      </w:tr>
      <w:tr w:rsidR="007A6A1A" w:rsidRPr="00167CB8" w14:paraId="3BAA02BD" w14:textId="77777777">
        <w:trPr>
          <w:trHeight w:val="309"/>
        </w:trPr>
        <w:tc>
          <w:tcPr>
            <w:tcW w:w="2131" w:type="dxa"/>
            <w:tcBorders>
              <w:top w:val="nil"/>
              <w:left w:val="single" w:sz="4" w:space="0" w:color="auto"/>
              <w:bottom w:val="nil"/>
              <w:right w:val="nil"/>
            </w:tcBorders>
            <w:noWrap/>
            <w:vAlign w:val="bottom"/>
            <w:hideMark/>
          </w:tcPr>
          <w:p w14:paraId="043E7E87" w14:textId="77777777" w:rsidR="007A6A1A" w:rsidRPr="00167CB8" w:rsidRDefault="007A6A1A" w:rsidP="007A6A1A">
            <w:pPr>
              <w:spacing w:after="160"/>
            </w:pPr>
            <w:r w:rsidRPr="00167CB8">
              <w:t>2013</w:t>
            </w:r>
          </w:p>
        </w:tc>
        <w:tc>
          <w:tcPr>
            <w:tcW w:w="1477" w:type="dxa"/>
            <w:tcBorders>
              <w:top w:val="nil"/>
              <w:left w:val="nil"/>
              <w:bottom w:val="nil"/>
              <w:right w:val="nil"/>
            </w:tcBorders>
            <w:noWrap/>
            <w:vAlign w:val="bottom"/>
            <w:hideMark/>
          </w:tcPr>
          <w:p w14:paraId="6C88BB1C" w14:textId="77777777" w:rsidR="007A6A1A" w:rsidRPr="00167CB8" w:rsidRDefault="007A6A1A" w:rsidP="007A6A1A">
            <w:pPr>
              <w:spacing w:after="160"/>
            </w:pPr>
            <w:r w:rsidRPr="00167CB8">
              <w:t>9.0%</w:t>
            </w:r>
          </w:p>
        </w:tc>
        <w:tc>
          <w:tcPr>
            <w:tcW w:w="1477" w:type="dxa"/>
            <w:tcBorders>
              <w:top w:val="nil"/>
              <w:left w:val="nil"/>
              <w:bottom w:val="nil"/>
              <w:right w:val="nil"/>
            </w:tcBorders>
            <w:noWrap/>
            <w:vAlign w:val="bottom"/>
            <w:hideMark/>
          </w:tcPr>
          <w:p w14:paraId="547F189B" w14:textId="77777777" w:rsidR="007A6A1A" w:rsidRPr="00167CB8" w:rsidRDefault="007A6A1A" w:rsidP="007A6A1A">
            <w:pPr>
              <w:spacing w:after="160"/>
            </w:pPr>
            <w:r w:rsidRPr="00167CB8">
              <w:t>30.8%</w:t>
            </w:r>
          </w:p>
        </w:tc>
        <w:tc>
          <w:tcPr>
            <w:tcW w:w="1477" w:type="dxa"/>
            <w:tcBorders>
              <w:top w:val="nil"/>
              <w:left w:val="nil"/>
              <w:bottom w:val="nil"/>
              <w:right w:val="nil"/>
            </w:tcBorders>
            <w:noWrap/>
            <w:vAlign w:val="bottom"/>
            <w:hideMark/>
          </w:tcPr>
          <w:p w14:paraId="2ADFE0D4" w14:textId="77777777" w:rsidR="007A6A1A" w:rsidRPr="00167CB8" w:rsidRDefault="007A6A1A" w:rsidP="007A6A1A">
            <w:pPr>
              <w:spacing w:after="160"/>
            </w:pPr>
            <w:r w:rsidRPr="00167CB8">
              <w:t>29.8%</w:t>
            </w:r>
          </w:p>
        </w:tc>
        <w:tc>
          <w:tcPr>
            <w:tcW w:w="1477" w:type="dxa"/>
            <w:tcBorders>
              <w:top w:val="nil"/>
              <w:left w:val="nil"/>
              <w:bottom w:val="nil"/>
              <w:right w:val="nil"/>
            </w:tcBorders>
            <w:vAlign w:val="bottom"/>
            <w:hideMark/>
          </w:tcPr>
          <w:p w14:paraId="69C0FBC8" w14:textId="77777777" w:rsidR="007A6A1A" w:rsidRPr="00167CB8" w:rsidRDefault="007A6A1A" w:rsidP="007A6A1A">
            <w:pPr>
              <w:spacing w:after="160"/>
            </w:pPr>
            <w:r w:rsidRPr="00167CB8">
              <w:t>21.4%</w:t>
            </w:r>
          </w:p>
        </w:tc>
        <w:tc>
          <w:tcPr>
            <w:tcW w:w="1477" w:type="dxa"/>
            <w:tcBorders>
              <w:top w:val="nil"/>
              <w:left w:val="nil"/>
              <w:bottom w:val="nil"/>
              <w:right w:val="nil"/>
            </w:tcBorders>
            <w:vAlign w:val="bottom"/>
            <w:hideMark/>
          </w:tcPr>
          <w:p w14:paraId="2B880E89" w14:textId="77777777" w:rsidR="007A6A1A" w:rsidRPr="00167CB8" w:rsidRDefault="007A6A1A" w:rsidP="007A6A1A">
            <w:pPr>
              <w:spacing w:after="160"/>
            </w:pPr>
            <w:r w:rsidRPr="00167CB8">
              <w:t>28.4%</w:t>
            </w:r>
          </w:p>
        </w:tc>
        <w:tc>
          <w:tcPr>
            <w:tcW w:w="1477" w:type="dxa"/>
            <w:tcBorders>
              <w:top w:val="nil"/>
              <w:left w:val="nil"/>
              <w:bottom w:val="nil"/>
              <w:right w:val="nil"/>
            </w:tcBorders>
            <w:vAlign w:val="bottom"/>
            <w:hideMark/>
          </w:tcPr>
          <w:p w14:paraId="1DA2604F" w14:textId="77777777" w:rsidR="007A6A1A" w:rsidRPr="00167CB8" w:rsidRDefault="007A6A1A" w:rsidP="007A6A1A">
            <w:pPr>
              <w:spacing w:after="160"/>
            </w:pPr>
            <w:r w:rsidRPr="00167CB8">
              <w:t>24.8%</w:t>
            </w:r>
          </w:p>
        </w:tc>
        <w:tc>
          <w:tcPr>
            <w:tcW w:w="1477" w:type="dxa"/>
            <w:tcBorders>
              <w:top w:val="nil"/>
              <w:left w:val="nil"/>
              <w:bottom w:val="nil"/>
              <w:right w:val="nil"/>
            </w:tcBorders>
            <w:vAlign w:val="bottom"/>
            <w:hideMark/>
          </w:tcPr>
          <w:p w14:paraId="79557590" w14:textId="77777777" w:rsidR="007A6A1A" w:rsidRPr="00167CB8" w:rsidRDefault="007A6A1A" w:rsidP="007A6A1A">
            <w:pPr>
              <w:spacing w:after="160"/>
            </w:pPr>
            <w:r w:rsidRPr="00167CB8">
              <w:t>48.2%</w:t>
            </w:r>
          </w:p>
        </w:tc>
        <w:tc>
          <w:tcPr>
            <w:tcW w:w="1478" w:type="dxa"/>
            <w:tcBorders>
              <w:top w:val="nil"/>
              <w:left w:val="nil"/>
              <w:bottom w:val="nil"/>
              <w:right w:val="single" w:sz="4" w:space="0" w:color="auto"/>
            </w:tcBorders>
            <w:vAlign w:val="bottom"/>
            <w:hideMark/>
          </w:tcPr>
          <w:p w14:paraId="5E8BFE5C" w14:textId="77777777" w:rsidR="007A6A1A" w:rsidRPr="00167CB8" w:rsidRDefault="007A6A1A" w:rsidP="007A6A1A">
            <w:pPr>
              <w:spacing w:after="160"/>
            </w:pPr>
            <w:r w:rsidRPr="00167CB8">
              <w:t>8.9%</w:t>
            </w:r>
          </w:p>
        </w:tc>
      </w:tr>
      <w:tr w:rsidR="007A6A1A" w:rsidRPr="00167CB8" w14:paraId="12B8C669" w14:textId="77777777">
        <w:trPr>
          <w:trHeight w:val="309"/>
        </w:trPr>
        <w:tc>
          <w:tcPr>
            <w:tcW w:w="2131" w:type="dxa"/>
            <w:tcBorders>
              <w:top w:val="nil"/>
              <w:left w:val="single" w:sz="4" w:space="0" w:color="auto"/>
              <w:bottom w:val="nil"/>
              <w:right w:val="nil"/>
            </w:tcBorders>
            <w:noWrap/>
            <w:vAlign w:val="bottom"/>
            <w:hideMark/>
          </w:tcPr>
          <w:p w14:paraId="0437D50B" w14:textId="77777777" w:rsidR="007A6A1A" w:rsidRPr="00167CB8" w:rsidRDefault="007A6A1A" w:rsidP="007A6A1A">
            <w:pPr>
              <w:spacing w:after="160"/>
            </w:pPr>
            <w:r w:rsidRPr="00167CB8">
              <w:t>2014</w:t>
            </w:r>
          </w:p>
        </w:tc>
        <w:tc>
          <w:tcPr>
            <w:tcW w:w="1477" w:type="dxa"/>
            <w:tcBorders>
              <w:top w:val="nil"/>
              <w:left w:val="nil"/>
              <w:bottom w:val="nil"/>
              <w:right w:val="nil"/>
            </w:tcBorders>
            <w:noWrap/>
            <w:vAlign w:val="bottom"/>
            <w:hideMark/>
          </w:tcPr>
          <w:p w14:paraId="6CF4CC4D" w14:textId="77777777" w:rsidR="007A6A1A" w:rsidRPr="00167CB8" w:rsidRDefault="007A6A1A" w:rsidP="007A6A1A">
            <w:pPr>
              <w:spacing w:after="160"/>
            </w:pPr>
            <w:r w:rsidRPr="00167CB8">
              <w:t>10.1%</w:t>
            </w:r>
          </w:p>
        </w:tc>
        <w:tc>
          <w:tcPr>
            <w:tcW w:w="1477" w:type="dxa"/>
            <w:tcBorders>
              <w:top w:val="nil"/>
              <w:left w:val="nil"/>
              <w:bottom w:val="nil"/>
              <w:right w:val="nil"/>
            </w:tcBorders>
            <w:noWrap/>
            <w:vAlign w:val="bottom"/>
            <w:hideMark/>
          </w:tcPr>
          <w:p w14:paraId="064EA6DA" w14:textId="77777777" w:rsidR="007A6A1A" w:rsidRPr="00167CB8" w:rsidRDefault="007A6A1A" w:rsidP="007A6A1A">
            <w:pPr>
              <w:spacing w:after="160"/>
            </w:pPr>
            <w:r w:rsidRPr="00167CB8">
              <w:t>29.4%</w:t>
            </w:r>
          </w:p>
        </w:tc>
        <w:tc>
          <w:tcPr>
            <w:tcW w:w="1477" w:type="dxa"/>
            <w:tcBorders>
              <w:top w:val="nil"/>
              <w:left w:val="nil"/>
              <w:bottom w:val="nil"/>
              <w:right w:val="nil"/>
            </w:tcBorders>
            <w:noWrap/>
            <w:vAlign w:val="bottom"/>
            <w:hideMark/>
          </w:tcPr>
          <w:p w14:paraId="1263BCDC" w14:textId="77777777" w:rsidR="007A6A1A" w:rsidRPr="00167CB8" w:rsidRDefault="007A6A1A" w:rsidP="007A6A1A">
            <w:pPr>
              <w:spacing w:after="160"/>
            </w:pPr>
            <w:r w:rsidRPr="00167CB8">
              <w:t>26.9%</w:t>
            </w:r>
          </w:p>
        </w:tc>
        <w:tc>
          <w:tcPr>
            <w:tcW w:w="1477" w:type="dxa"/>
            <w:tcBorders>
              <w:top w:val="nil"/>
              <w:left w:val="nil"/>
              <w:bottom w:val="nil"/>
              <w:right w:val="nil"/>
            </w:tcBorders>
            <w:vAlign w:val="bottom"/>
            <w:hideMark/>
          </w:tcPr>
          <w:p w14:paraId="1750F83A" w14:textId="77777777" w:rsidR="007A6A1A" w:rsidRPr="00167CB8" w:rsidRDefault="007A6A1A" w:rsidP="007A6A1A">
            <w:pPr>
              <w:spacing w:after="160"/>
            </w:pPr>
            <w:r w:rsidRPr="00167CB8">
              <w:t>21.3%</w:t>
            </w:r>
          </w:p>
        </w:tc>
        <w:tc>
          <w:tcPr>
            <w:tcW w:w="1477" w:type="dxa"/>
            <w:tcBorders>
              <w:top w:val="nil"/>
              <w:left w:val="nil"/>
              <w:bottom w:val="nil"/>
              <w:right w:val="nil"/>
            </w:tcBorders>
            <w:vAlign w:val="bottom"/>
            <w:hideMark/>
          </w:tcPr>
          <w:p w14:paraId="184F744F" w14:textId="77777777" w:rsidR="007A6A1A" w:rsidRPr="00167CB8" w:rsidRDefault="007A6A1A" w:rsidP="007A6A1A">
            <w:pPr>
              <w:spacing w:after="160"/>
            </w:pPr>
            <w:r w:rsidRPr="00167CB8">
              <w:t>26.6%</w:t>
            </w:r>
          </w:p>
        </w:tc>
        <w:tc>
          <w:tcPr>
            <w:tcW w:w="1477" w:type="dxa"/>
            <w:tcBorders>
              <w:top w:val="nil"/>
              <w:left w:val="nil"/>
              <w:bottom w:val="nil"/>
              <w:right w:val="nil"/>
            </w:tcBorders>
            <w:vAlign w:val="bottom"/>
            <w:hideMark/>
          </w:tcPr>
          <w:p w14:paraId="3B2DA6C2" w14:textId="77777777" w:rsidR="007A6A1A" w:rsidRPr="00167CB8" w:rsidRDefault="007A6A1A" w:rsidP="007A6A1A">
            <w:pPr>
              <w:spacing w:after="160"/>
            </w:pPr>
            <w:r w:rsidRPr="00167CB8">
              <w:t>24.3%</w:t>
            </w:r>
          </w:p>
        </w:tc>
        <w:tc>
          <w:tcPr>
            <w:tcW w:w="1477" w:type="dxa"/>
            <w:tcBorders>
              <w:top w:val="nil"/>
              <w:left w:val="nil"/>
              <w:bottom w:val="nil"/>
              <w:right w:val="nil"/>
            </w:tcBorders>
            <w:vAlign w:val="bottom"/>
            <w:hideMark/>
          </w:tcPr>
          <w:p w14:paraId="616332D2" w14:textId="77777777" w:rsidR="007A6A1A" w:rsidRPr="00167CB8" w:rsidRDefault="007A6A1A" w:rsidP="007A6A1A">
            <w:pPr>
              <w:spacing w:after="160"/>
            </w:pPr>
            <w:r w:rsidRPr="00167CB8">
              <w:t>46.7%</w:t>
            </w:r>
          </w:p>
        </w:tc>
        <w:tc>
          <w:tcPr>
            <w:tcW w:w="1478" w:type="dxa"/>
            <w:tcBorders>
              <w:top w:val="nil"/>
              <w:left w:val="nil"/>
              <w:bottom w:val="nil"/>
              <w:right w:val="single" w:sz="4" w:space="0" w:color="auto"/>
            </w:tcBorders>
            <w:vAlign w:val="bottom"/>
            <w:hideMark/>
          </w:tcPr>
          <w:p w14:paraId="35A19408" w14:textId="77777777" w:rsidR="007A6A1A" w:rsidRPr="00167CB8" w:rsidRDefault="007A6A1A" w:rsidP="007A6A1A">
            <w:pPr>
              <w:spacing w:after="160"/>
            </w:pPr>
            <w:r w:rsidRPr="00167CB8">
              <w:t>8.0%</w:t>
            </w:r>
          </w:p>
        </w:tc>
      </w:tr>
      <w:tr w:rsidR="007A6A1A" w:rsidRPr="00167CB8" w14:paraId="1238E180" w14:textId="77777777">
        <w:trPr>
          <w:trHeight w:val="309"/>
        </w:trPr>
        <w:tc>
          <w:tcPr>
            <w:tcW w:w="2131" w:type="dxa"/>
            <w:tcBorders>
              <w:top w:val="nil"/>
              <w:left w:val="single" w:sz="4" w:space="0" w:color="auto"/>
              <w:bottom w:val="nil"/>
              <w:right w:val="nil"/>
            </w:tcBorders>
            <w:noWrap/>
            <w:vAlign w:val="bottom"/>
            <w:hideMark/>
          </w:tcPr>
          <w:p w14:paraId="55A052E8" w14:textId="77777777" w:rsidR="007A6A1A" w:rsidRPr="00167CB8" w:rsidRDefault="007A6A1A" w:rsidP="007A6A1A">
            <w:pPr>
              <w:spacing w:after="160"/>
            </w:pPr>
            <w:r w:rsidRPr="00167CB8">
              <w:t>2015</w:t>
            </w:r>
          </w:p>
        </w:tc>
        <w:tc>
          <w:tcPr>
            <w:tcW w:w="1477" w:type="dxa"/>
            <w:tcBorders>
              <w:top w:val="nil"/>
              <w:left w:val="nil"/>
              <w:bottom w:val="nil"/>
              <w:right w:val="nil"/>
            </w:tcBorders>
            <w:noWrap/>
            <w:vAlign w:val="bottom"/>
            <w:hideMark/>
          </w:tcPr>
          <w:p w14:paraId="029960EE" w14:textId="77777777" w:rsidR="007A6A1A" w:rsidRPr="00167CB8" w:rsidRDefault="007A6A1A" w:rsidP="007A6A1A">
            <w:pPr>
              <w:spacing w:after="160"/>
            </w:pPr>
            <w:r w:rsidRPr="00167CB8">
              <w:t>9.0%</w:t>
            </w:r>
          </w:p>
        </w:tc>
        <w:tc>
          <w:tcPr>
            <w:tcW w:w="1477" w:type="dxa"/>
            <w:tcBorders>
              <w:top w:val="nil"/>
              <w:left w:val="nil"/>
              <w:bottom w:val="nil"/>
              <w:right w:val="nil"/>
            </w:tcBorders>
            <w:noWrap/>
            <w:vAlign w:val="bottom"/>
            <w:hideMark/>
          </w:tcPr>
          <w:p w14:paraId="51284B59" w14:textId="77777777" w:rsidR="007A6A1A" w:rsidRPr="00167CB8" w:rsidRDefault="007A6A1A" w:rsidP="007A6A1A">
            <w:pPr>
              <w:spacing w:after="160"/>
            </w:pPr>
            <w:r w:rsidRPr="00167CB8">
              <w:t>29.3%</w:t>
            </w:r>
          </w:p>
        </w:tc>
        <w:tc>
          <w:tcPr>
            <w:tcW w:w="1477" w:type="dxa"/>
            <w:tcBorders>
              <w:top w:val="nil"/>
              <w:left w:val="nil"/>
              <w:bottom w:val="nil"/>
              <w:right w:val="nil"/>
            </w:tcBorders>
            <w:noWrap/>
            <w:vAlign w:val="bottom"/>
            <w:hideMark/>
          </w:tcPr>
          <w:p w14:paraId="11DF7AB7" w14:textId="77777777" w:rsidR="007A6A1A" w:rsidRPr="00167CB8" w:rsidRDefault="007A6A1A" w:rsidP="007A6A1A">
            <w:pPr>
              <w:spacing w:after="160"/>
            </w:pPr>
            <w:r w:rsidRPr="00167CB8">
              <w:t>23.4%</w:t>
            </w:r>
          </w:p>
        </w:tc>
        <w:tc>
          <w:tcPr>
            <w:tcW w:w="1477" w:type="dxa"/>
            <w:tcBorders>
              <w:top w:val="nil"/>
              <w:left w:val="nil"/>
              <w:bottom w:val="nil"/>
              <w:right w:val="nil"/>
            </w:tcBorders>
            <w:vAlign w:val="bottom"/>
            <w:hideMark/>
          </w:tcPr>
          <w:p w14:paraId="45737FBE" w14:textId="77777777" w:rsidR="007A6A1A" w:rsidRPr="00167CB8" w:rsidRDefault="007A6A1A" w:rsidP="007A6A1A">
            <w:pPr>
              <w:spacing w:after="160"/>
            </w:pPr>
            <w:r w:rsidRPr="00167CB8">
              <w:t>20.7%</w:t>
            </w:r>
          </w:p>
        </w:tc>
        <w:tc>
          <w:tcPr>
            <w:tcW w:w="1477" w:type="dxa"/>
            <w:tcBorders>
              <w:top w:val="nil"/>
              <w:left w:val="nil"/>
              <w:bottom w:val="nil"/>
              <w:right w:val="nil"/>
            </w:tcBorders>
            <w:vAlign w:val="bottom"/>
            <w:hideMark/>
          </w:tcPr>
          <w:p w14:paraId="7AF87DE0" w14:textId="77777777" w:rsidR="007A6A1A" w:rsidRPr="00167CB8" w:rsidRDefault="007A6A1A" w:rsidP="007A6A1A">
            <w:pPr>
              <w:spacing w:after="160"/>
            </w:pPr>
            <w:r w:rsidRPr="00167CB8">
              <w:t>25.9%</w:t>
            </w:r>
          </w:p>
        </w:tc>
        <w:tc>
          <w:tcPr>
            <w:tcW w:w="1477" w:type="dxa"/>
            <w:tcBorders>
              <w:top w:val="nil"/>
              <w:left w:val="nil"/>
              <w:bottom w:val="nil"/>
              <w:right w:val="nil"/>
            </w:tcBorders>
            <w:vAlign w:val="bottom"/>
            <w:hideMark/>
          </w:tcPr>
          <w:p w14:paraId="2A02031F" w14:textId="77777777" w:rsidR="007A6A1A" w:rsidRPr="00167CB8" w:rsidRDefault="007A6A1A" w:rsidP="007A6A1A">
            <w:pPr>
              <w:spacing w:after="160"/>
            </w:pPr>
            <w:r w:rsidRPr="00167CB8">
              <w:t>22.2%</w:t>
            </w:r>
          </w:p>
        </w:tc>
        <w:tc>
          <w:tcPr>
            <w:tcW w:w="1477" w:type="dxa"/>
            <w:tcBorders>
              <w:top w:val="nil"/>
              <w:left w:val="nil"/>
              <w:bottom w:val="nil"/>
              <w:right w:val="nil"/>
            </w:tcBorders>
            <w:vAlign w:val="bottom"/>
            <w:hideMark/>
          </w:tcPr>
          <w:p w14:paraId="2A3E82C5" w14:textId="77777777" w:rsidR="007A6A1A" w:rsidRPr="00167CB8" w:rsidRDefault="007A6A1A" w:rsidP="007A6A1A">
            <w:pPr>
              <w:spacing w:after="160"/>
            </w:pPr>
            <w:r w:rsidRPr="00167CB8">
              <w:t>45.3%</w:t>
            </w:r>
          </w:p>
        </w:tc>
        <w:tc>
          <w:tcPr>
            <w:tcW w:w="1478" w:type="dxa"/>
            <w:tcBorders>
              <w:top w:val="nil"/>
              <w:left w:val="nil"/>
              <w:bottom w:val="nil"/>
              <w:right w:val="single" w:sz="4" w:space="0" w:color="auto"/>
            </w:tcBorders>
            <w:vAlign w:val="bottom"/>
            <w:hideMark/>
          </w:tcPr>
          <w:p w14:paraId="3B2B967C" w14:textId="77777777" w:rsidR="007A6A1A" w:rsidRPr="00167CB8" w:rsidRDefault="007A6A1A" w:rsidP="007A6A1A">
            <w:pPr>
              <w:spacing w:after="160"/>
            </w:pPr>
            <w:r w:rsidRPr="00167CB8">
              <w:t>7.9%</w:t>
            </w:r>
          </w:p>
        </w:tc>
      </w:tr>
      <w:tr w:rsidR="007A6A1A" w:rsidRPr="00167CB8" w14:paraId="04231403" w14:textId="77777777">
        <w:trPr>
          <w:trHeight w:val="309"/>
        </w:trPr>
        <w:tc>
          <w:tcPr>
            <w:tcW w:w="2131" w:type="dxa"/>
            <w:tcBorders>
              <w:top w:val="nil"/>
              <w:left w:val="single" w:sz="4" w:space="0" w:color="auto"/>
              <w:bottom w:val="nil"/>
              <w:right w:val="nil"/>
            </w:tcBorders>
            <w:noWrap/>
            <w:vAlign w:val="bottom"/>
            <w:hideMark/>
          </w:tcPr>
          <w:p w14:paraId="2B2FA5CC" w14:textId="77777777" w:rsidR="007A6A1A" w:rsidRPr="00167CB8" w:rsidRDefault="007A6A1A" w:rsidP="007A6A1A">
            <w:pPr>
              <w:spacing w:after="160"/>
            </w:pPr>
            <w:r w:rsidRPr="00167CB8">
              <w:t>2016</w:t>
            </w:r>
          </w:p>
        </w:tc>
        <w:tc>
          <w:tcPr>
            <w:tcW w:w="1477" w:type="dxa"/>
            <w:tcBorders>
              <w:top w:val="nil"/>
              <w:left w:val="nil"/>
              <w:bottom w:val="nil"/>
              <w:right w:val="nil"/>
            </w:tcBorders>
            <w:noWrap/>
            <w:vAlign w:val="bottom"/>
            <w:hideMark/>
          </w:tcPr>
          <w:p w14:paraId="5DF842B9" w14:textId="77777777" w:rsidR="007A6A1A" w:rsidRPr="00167CB8" w:rsidRDefault="007A6A1A" w:rsidP="007A6A1A">
            <w:pPr>
              <w:spacing w:after="160"/>
            </w:pPr>
            <w:r w:rsidRPr="00167CB8">
              <w:t>7.6%</w:t>
            </w:r>
          </w:p>
        </w:tc>
        <w:tc>
          <w:tcPr>
            <w:tcW w:w="1477" w:type="dxa"/>
            <w:tcBorders>
              <w:top w:val="nil"/>
              <w:left w:val="nil"/>
              <w:bottom w:val="nil"/>
              <w:right w:val="nil"/>
            </w:tcBorders>
            <w:noWrap/>
            <w:vAlign w:val="bottom"/>
            <w:hideMark/>
          </w:tcPr>
          <w:p w14:paraId="18249537" w14:textId="77777777" w:rsidR="007A6A1A" w:rsidRPr="00167CB8" w:rsidRDefault="007A6A1A" w:rsidP="007A6A1A">
            <w:pPr>
              <w:spacing w:after="160"/>
            </w:pPr>
            <w:r w:rsidRPr="00167CB8">
              <w:t>27.6%</w:t>
            </w:r>
          </w:p>
        </w:tc>
        <w:tc>
          <w:tcPr>
            <w:tcW w:w="1477" w:type="dxa"/>
            <w:tcBorders>
              <w:top w:val="nil"/>
              <w:left w:val="nil"/>
              <w:bottom w:val="nil"/>
              <w:right w:val="nil"/>
            </w:tcBorders>
            <w:noWrap/>
            <w:vAlign w:val="bottom"/>
            <w:hideMark/>
          </w:tcPr>
          <w:p w14:paraId="4E7D28EF" w14:textId="77777777" w:rsidR="007A6A1A" w:rsidRPr="00167CB8" w:rsidRDefault="007A6A1A" w:rsidP="007A6A1A">
            <w:pPr>
              <w:spacing w:after="160"/>
            </w:pPr>
            <w:r w:rsidRPr="00167CB8">
              <w:t>23.1%</w:t>
            </w:r>
          </w:p>
        </w:tc>
        <w:tc>
          <w:tcPr>
            <w:tcW w:w="1477" w:type="dxa"/>
            <w:tcBorders>
              <w:top w:val="nil"/>
              <w:left w:val="nil"/>
              <w:bottom w:val="nil"/>
              <w:right w:val="nil"/>
            </w:tcBorders>
            <w:vAlign w:val="bottom"/>
            <w:hideMark/>
          </w:tcPr>
          <w:p w14:paraId="32983D61" w14:textId="77777777" w:rsidR="007A6A1A" w:rsidRPr="00167CB8" w:rsidRDefault="007A6A1A" w:rsidP="007A6A1A">
            <w:pPr>
              <w:spacing w:after="160"/>
            </w:pPr>
            <w:r w:rsidRPr="00167CB8">
              <w:t>18.5%</w:t>
            </w:r>
          </w:p>
        </w:tc>
        <w:tc>
          <w:tcPr>
            <w:tcW w:w="1477" w:type="dxa"/>
            <w:tcBorders>
              <w:top w:val="nil"/>
              <w:left w:val="nil"/>
              <w:bottom w:val="nil"/>
              <w:right w:val="nil"/>
            </w:tcBorders>
            <w:vAlign w:val="bottom"/>
            <w:hideMark/>
          </w:tcPr>
          <w:p w14:paraId="157782F0" w14:textId="77777777" w:rsidR="007A6A1A" w:rsidRPr="00167CB8" w:rsidRDefault="007A6A1A" w:rsidP="007A6A1A">
            <w:pPr>
              <w:spacing w:after="160"/>
            </w:pPr>
            <w:r w:rsidRPr="00167CB8">
              <w:t>24.8%</w:t>
            </w:r>
          </w:p>
        </w:tc>
        <w:tc>
          <w:tcPr>
            <w:tcW w:w="1477" w:type="dxa"/>
            <w:tcBorders>
              <w:top w:val="nil"/>
              <w:left w:val="nil"/>
              <w:bottom w:val="nil"/>
              <w:right w:val="nil"/>
            </w:tcBorders>
            <w:vAlign w:val="bottom"/>
            <w:hideMark/>
          </w:tcPr>
          <w:p w14:paraId="24E6FCB8" w14:textId="77777777" w:rsidR="007A6A1A" w:rsidRPr="00167CB8" w:rsidRDefault="007A6A1A" w:rsidP="007A6A1A">
            <w:pPr>
              <w:spacing w:after="160"/>
            </w:pPr>
            <w:r w:rsidRPr="00167CB8">
              <w:t>19.1%</w:t>
            </w:r>
          </w:p>
        </w:tc>
        <w:tc>
          <w:tcPr>
            <w:tcW w:w="1477" w:type="dxa"/>
            <w:tcBorders>
              <w:top w:val="nil"/>
              <w:left w:val="nil"/>
              <w:bottom w:val="nil"/>
              <w:right w:val="nil"/>
            </w:tcBorders>
            <w:vAlign w:val="bottom"/>
            <w:hideMark/>
          </w:tcPr>
          <w:p w14:paraId="4C79D5EA" w14:textId="77777777" w:rsidR="007A6A1A" w:rsidRPr="00167CB8" w:rsidRDefault="007A6A1A" w:rsidP="007A6A1A">
            <w:pPr>
              <w:spacing w:after="160"/>
            </w:pPr>
            <w:r w:rsidRPr="00167CB8">
              <w:t>44.4%</w:t>
            </w:r>
          </w:p>
        </w:tc>
        <w:tc>
          <w:tcPr>
            <w:tcW w:w="1478" w:type="dxa"/>
            <w:tcBorders>
              <w:top w:val="nil"/>
              <w:left w:val="nil"/>
              <w:bottom w:val="nil"/>
              <w:right w:val="single" w:sz="4" w:space="0" w:color="auto"/>
            </w:tcBorders>
            <w:vAlign w:val="bottom"/>
            <w:hideMark/>
          </w:tcPr>
          <w:p w14:paraId="79105F40" w14:textId="77777777" w:rsidR="007A6A1A" w:rsidRPr="00167CB8" w:rsidRDefault="007A6A1A" w:rsidP="007A6A1A">
            <w:pPr>
              <w:spacing w:after="160"/>
            </w:pPr>
            <w:r w:rsidRPr="00167CB8">
              <w:t>9.1%</w:t>
            </w:r>
          </w:p>
        </w:tc>
      </w:tr>
      <w:tr w:rsidR="007A6A1A" w:rsidRPr="00167CB8" w14:paraId="75B5E683" w14:textId="77777777">
        <w:trPr>
          <w:trHeight w:val="309"/>
        </w:trPr>
        <w:tc>
          <w:tcPr>
            <w:tcW w:w="2131" w:type="dxa"/>
            <w:tcBorders>
              <w:top w:val="nil"/>
              <w:left w:val="single" w:sz="4" w:space="0" w:color="auto"/>
              <w:bottom w:val="nil"/>
              <w:right w:val="nil"/>
            </w:tcBorders>
            <w:noWrap/>
            <w:vAlign w:val="bottom"/>
            <w:hideMark/>
          </w:tcPr>
          <w:p w14:paraId="50C37102" w14:textId="77777777" w:rsidR="007A6A1A" w:rsidRPr="00167CB8" w:rsidRDefault="007A6A1A" w:rsidP="007A6A1A">
            <w:pPr>
              <w:spacing w:after="160"/>
            </w:pPr>
            <w:r w:rsidRPr="00167CB8">
              <w:t>2017</w:t>
            </w:r>
          </w:p>
        </w:tc>
        <w:tc>
          <w:tcPr>
            <w:tcW w:w="1477" w:type="dxa"/>
            <w:tcBorders>
              <w:top w:val="nil"/>
              <w:left w:val="nil"/>
              <w:bottom w:val="nil"/>
              <w:right w:val="nil"/>
            </w:tcBorders>
            <w:noWrap/>
            <w:vAlign w:val="bottom"/>
            <w:hideMark/>
          </w:tcPr>
          <w:p w14:paraId="74D34339" w14:textId="77777777" w:rsidR="007A6A1A" w:rsidRPr="00167CB8" w:rsidRDefault="007A6A1A" w:rsidP="007A6A1A">
            <w:pPr>
              <w:spacing w:after="160"/>
            </w:pPr>
            <w:r w:rsidRPr="00167CB8">
              <w:t>8.6%</w:t>
            </w:r>
          </w:p>
        </w:tc>
        <w:tc>
          <w:tcPr>
            <w:tcW w:w="1477" w:type="dxa"/>
            <w:tcBorders>
              <w:top w:val="nil"/>
              <w:left w:val="nil"/>
              <w:bottom w:val="nil"/>
              <w:right w:val="nil"/>
            </w:tcBorders>
            <w:noWrap/>
            <w:vAlign w:val="bottom"/>
            <w:hideMark/>
          </w:tcPr>
          <w:p w14:paraId="67C6D851" w14:textId="77777777" w:rsidR="007A6A1A" w:rsidRPr="00167CB8" w:rsidRDefault="007A6A1A" w:rsidP="007A6A1A">
            <w:pPr>
              <w:spacing w:after="160"/>
            </w:pPr>
            <w:r w:rsidRPr="00167CB8">
              <w:t>27.6%</w:t>
            </w:r>
          </w:p>
        </w:tc>
        <w:tc>
          <w:tcPr>
            <w:tcW w:w="1477" w:type="dxa"/>
            <w:tcBorders>
              <w:top w:val="nil"/>
              <w:left w:val="nil"/>
              <w:bottom w:val="nil"/>
              <w:right w:val="nil"/>
            </w:tcBorders>
            <w:noWrap/>
            <w:vAlign w:val="bottom"/>
            <w:hideMark/>
          </w:tcPr>
          <w:p w14:paraId="526589F2" w14:textId="77777777" w:rsidR="007A6A1A" w:rsidRPr="00167CB8" w:rsidRDefault="007A6A1A" w:rsidP="007A6A1A">
            <w:pPr>
              <w:spacing w:after="160"/>
            </w:pPr>
            <w:r w:rsidRPr="00167CB8">
              <w:t>22.9%</w:t>
            </w:r>
          </w:p>
        </w:tc>
        <w:tc>
          <w:tcPr>
            <w:tcW w:w="1477" w:type="dxa"/>
            <w:tcBorders>
              <w:top w:val="nil"/>
              <w:left w:val="nil"/>
              <w:bottom w:val="nil"/>
              <w:right w:val="nil"/>
            </w:tcBorders>
            <w:vAlign w:val="bottom"/>
            <w:hideMark/>
          </w:tcPr>
          <w:p w14:paraId="1C69DFAF" w14:textId="77777777" w:rsidR="007A6A1A" w:rsidRPr="00167CB8" w:rsidRDefault="007A6A1A" w:rsidP="007A6A1A">
            <w:pPr>
              <w:spacing w:after="160"/>
            </w:pPr>
            <w:r w:rsidRPr="00167CB8">
              <w:t>17.9%</w:t>
            </w:r>
          </w:p>
        </w:tc>
        <w:tc>
          <w:tcPr>
            <w:tcW w:w="1477" w:type="dxa"/>
            <w:tcBorders>
              <w:top w:val="nil"/>
              <w:left w:val="nil"/>
              <w:bottom w:val="nil"/>
              <w:right w:val="nil"/>
            </w:tcBorders>
            <w:vAlign w:val="bottom"/>
            <w:hideMark/>
          </w:tcPr>
          <w:p w14:paraId="24B6FD17" w14:textId="77777777" w:rsidR="007A6A1A" w:rsidRPr="00167CB8" w:rsidRDefault="007A6A1A" w:rsidP="007A6A1A">
            <w:pPr>
              <w:spacing w:after="160"/>
            </w:pPr>
            <w:r w:rsidRPr="00167CB8">
              <w:t>25.2%</w:t>
            </w:r>
          </w:p>
        </w:tc>
        <w:tc>
          <w:tcPr>
            <w:tcW w:w="1477" w:type="dxa"/>
            <w:tcBorders>
              <w:top w:val="nil"/>
              <w:left w:val="nil"/>
              <w:bottom w:val="nil"/>
              <w:right w:val="nil"/>
            </w:tcBorders>
            <w:vAlign w:val="bottom"/>
            <w:hideMark/>
          </w:tcPr>
          <w:p w14:paraId="1B181DE5" w14:textId="77777777" w:rsidR="007A6A1A" w:rsidRPr="00167CB8" w:rsidRDefault="007A6A1A" w:rsidP="007A6A1A">
            <w:pPr>
              <w:spacing w:after="160"/>
            </w:pPr>
            <w:r w:rsidRPr="00167CB8">
              <w:t>18.3%</w:t>
            </w:r>
          </w:p>
        </w:tc>
        <w:tc>
          <w:tcPr>
            <w:tcW w:w="1477" w:type="dxa"/>
            <w:tcBorders>
              <w:top w:val="nil"/>
              <w:left w:val="nil"/>
              <w:bottom w:val="nil"/>
              <w:right w:val="nil"/>
            </w:tcBorders>
            <w:vAlign w:val="bottom"/>
            <w:hideMark/>
          </w:tcPr>
          <w:p w14:paraId="073F990F" w14:textId="77777777" w:rsidR="007A6A1A" w:rsidRPr="00167CB8" w:rsidRDefault="007A6A1A" w:rsidP="007A6A1A">
            <w:pPr>
              <w:spacing w:after="160"/>
            </w:pPr>
            <w:r w:rsidRPr="00167CB8">
              <w:t>44.2%</w:t>
            </w:r>
          </w:p>
        </w:tc>
        <w:tc>
          <w:tcPr>
            <w:tcW w:w="1478" w:type="dxa"/>
            <w:tcBorders>
              <w:top w:val="nil"/>
              <w:left w:val="nil"/>
              <w:bottom w:val="nil"/>
              <w:right w:val="single" w:sz="4" w:space="0" w:color="auto"/>
            </w:tcBorders>
            <w:vAlign w:val="bottom"/>
            <w:hideMark/>
          </w:tcPr>
          <w:p w14:paraId="2DDF9723" w14:textId="77777777" w:rsidR="007A6A1A" w:rsidRPr="00167CB8" w:rsidRDefault="007A6A1A" w:rsidP="007A6A1A">
            <w:pPr>
              <w:spacing w:after="160"/>
            </w:pPr>
            <w:r w:rsidRPr="00167CB8">
              <w:t>9.8%</w:t>
            </w:r>
          </w:p>
        </w:tc>
      </w:tr>
      <w:tr w:rsidR="007A6A1A" w:rsidRPr="00167CB8" w14:paraId="22E4954A" w14:textId="77777777">
        <w:trPr>
          <w:trHeight w:val="309"/>
        </w:trPr>
        <w:tc>
          <w:tcPr>
            <w:tcW w:w="2131" w:type="dxa"/>
            <w:tcBorders>
              <w:top w:val="nil"/>
              <w:left w:val="single" w:sz="4" w:space="0" w:color="auto"/>
              <w:bottom w:val="nil"/>
              <w:right w:val="nil"/>
            </w:tcBorders>
            <w:noWrap/>
            <w:vAlign w:val="bottom"/>
            <w:hideMark/>
          </w:tcPr>
          <w:p w14:paraId="5E5936C2" w14:textId="77777777" w:rsidR="007A6A1A" w:rsidRPr="00167CB8" w:rsidRDefault="007A6A1A" w:rsidP="007A6A1A">
            <w:pPr>
              <w:spacing w:after="160"/>
            </w:pPr>
            <w:r w:rsidRPr="00167CB8">
              <w:t>2018</w:t>
            </w:r>
          </w:p>
        </w:tc>
        <w:tc>
          <w:tcPr>
            <w:tcW w:w="1477" w:type="dxa"/>
            <w:tcBorders>
              <w:top w:val="nil"/>
              <w:left w:val="nil"/>
              <w:bottom w:val="nil"/>
              <w:right w:val="nil"/>
            </w:tcBorders>
            <w:noWrap/>
            <w:vAlign w:val="bottom"/>
            <w:hideMark/>
          </w:tcPr>
          <w:p w14:paraId="1F96A465" w14:textId="77777777" w:rsidR="007A6A1A" w:rsidRPr="00167CB8" w:rsidRDefault="007A6A1A" w:rsidP="007A6A1A">
            <w:pPr>
              <w:spacing w:after="160"/>
            </w:pPr>
            <w:r w:rsidRPr="00167CB8">
              <w:t>7.4%</w:t>
            </w:r>
          </w:p>
        </w:tc>
        <w:tc>
          <w:tcPr>
            <w:tcW w:w="1477" w:type="dxa"/>
            <w:tcBorders>
              <w:top w:val="nil"/>
              <w:left w:val="nil"/>
              <w:bottom w:val="nil"/>
              <w:right w:val="nil"/>
            </w:tcBorders>
            <w:noWrap/>
            <w:vAlign w:val="bottom"/>
            <w:hideMark/>
          </w:tcPr>
          <w:p w14:paraId="712D6A17" w14:textId="77777777" w:rsidR="007A6A1A" w:rsidRPr="00167CB8" w:rsidRDefault="007A6A1A" w:rsidP="007A6A1A">
            <w:pPr>
              <w:spacing w:after="160"/>
            </w:pPr>
            <w:r w:rsidRPr="00167CB8">
              <w:t>26.6%</w:t>
            </w:r>
          </w:p>
        </w:tc>
        <w:tc>
          <w:tcPr>
            <w:tcW w:w="1477" w:type="dxa"/>
            <w:tcBorders>
              <w:top w:val="nil"/>
              <w:left w:val="nil"/>
              <w:bottom w:val="nil"/>
              <w:right w:val="nil"/>
            </w:tcBorders>
            <w:noWrap/>
            <w:vAlign w:val="bottom"/>
            <w:hideMark/>
          </w:tcPr>
          <w:p w14:paraId="764BE56B" w14:textId="77777777" w:rsidR="007A6A1A" w:rsidRPr="00167CB8" w:rsidRDefault="007A6A1A" w:rsidP="007A6A1A">
            <w:pPr>
              <w:spacing w:after="160"/>
            </w:pPr>
            <w:r w:rsidRPr="00167CB8">
              <w:t>20.7%</w:t>
            </w:r>
          </w:p>
        </w:tc>
        <w:tc>
          <w:tcPr>
            <w:tcW w:w="1477" w:type="dxa"/>
            <w:tcBorders>
              <w:top w:val="nil"/>
              <w:left w:val="nil"/>
              <w:bottom w:val="nil"/>
              <w:right w:val="nil"/>
            </w:tcBorders>
            <w:vAlign w:val="bottom"/>
            <w:hideMark/>
          </w:tcPr>
          <w:p w14:paraId="58AD3DD2" w14:textId="77777777" w:rsidR="007A6A1A" w:rsidRPr="00167CB8" w:rsidRDefault="007A6A1A" w:rsidP="007A6A1A">
            <w:pPr>
              <w:spacing w:after="160"/>
            </w:pPr>
            <w:r w:rsidRPr="00167CB8">
              <w:t>18.3%</w:t>
            </w:r>
          </w:p>
        </w:tc>
        <w:tc>
          <w:tcPr>
            <w:tcW w:w="1477" w:type="dxa"/>
            <w:tcBorders>
              <w:top w:val="nil"/>
              <w:left w:val="nil"/>
              <w:bottom w:val="nil"/>
              <w:right w:val="nil"/>
            </w:tcBorders>
            <w:vAlign w:val="bottom"/>
            <w:hideMark/>
          </w:tcPr>
          <w:p w14:paraId="09297630" w14:textId="77777777" w:rsidR="007A6A1A" w:rsidRPr="00167CB8" w:rsidRDefault="007A6A1A" w:rsidP="007A6A1A">
            <w:pPr>
              <w:spacing w:after="160"/>
            </w:pPr>
            <w:r w:rsidRPr="00167CB8">
              <w:t>23.5%</w:t>
            </w:r>
          </w:p>
        </w:tc>
        <w:tc>
          <w:tcPr>
            <w:tcW w:w="1477" w:type="dxa"/>
            <w:tcBorders>
              <w:top w:val="nil"/>
              <w:left w:val="nil"/>
              <w:bottom w:val="nil"/>
              <w:right w:val="nil"/>
            </w:tcBorders>
            <w:vAlign w:val="bottom"/>
            <w:hideMark/>
          </w:tcPr>
          <w:p w14:paraId="16A7BB33" w14:textId="77777777" w:rsidR="007A6A1A" w:rsidRPr="00167CB8" w:rsidRDefault="007A6A1A" w:rsidP="007A6A1A">
            <w:pPr>
              <w:spacing w:after="160"/>
            </w:pPr>
            <w:r w:rsidRPr="00167CB8">
              <w:t>17.8%</w:t>
            </w:r>
          </w:p>
        </w:tc>
        <w:tc>
          <w:tcPr>
            <w:tcW w:w="1477" w:type="dxa"/>
            <w:tcBorders>
              <w:top w:val="nil"/>
              <w:left w:val="nil"/>
              <w:bottom w:val="nil"/>
              <w:right w:val="nil"/>
            </w:tcBorders>
            <w:vAlign w:val="bottom"/>
            <w:hideMark/>
          </w:tcPr>
          <w:p w14:paraId="3BC54A00" w14:textId="77777777" w:rsidR="007A6A1A" w:rsidRPr="00167CB8" w:rsidRDefault="007A6A1A" w:rsidP="007A6A1A">
            <w:pPr>
              <w:spacing w:after="160"/>
            </w:pPr>
            <w:r w:rsidRPr="00167CB8">
              <w:t>42.0%</w:t>
            </w:r>
          </w:p>
        </w:tc>
        <w:tc>
          <w:tcPr>
            <w:tcW w:w="1478" w:type="dxa"/>
            <w:tcBorders>
              <w:top w:val="nil"/>
              <w:left w:val="nil"/>
              <w:bottom w:val="nil"/>
              <w:right w:val="single" w:sz="4" w:space="0" w:color="auto"/>
            </w:tcBorders>
            <w:vAlign w:val="bottom"/>
            <w:hideMark/>
          </w:tcPr>
          <w:p w14:paraId="1AB4BDDD" w14:textId="77777777" w:rsidR="007A6A1A" w:rsidRPr="00167CB8" w:rsidRDefault="007A6A1A" w:rsidP="007A6A1A">
            <w:pPr>
              <w:spacing w:after="160"/>
            </w:pPr>
            <w:r w:rsidRPr="00167CB8">
              <w:t>8.8%</w:t>
            </w:r>
          </w:p>
        </w:tc>
      </w:tr>
      <w:tr w:rsidR="007A6A1A" w:rsidRPr="00167CB8" w14:paraId="0AA9D1FF" w14:textId="77777777">
        <w:trPr>
          <w:trHeight w:val="309"/>
        </w:trPr>
        <w:tc>
          <w:tcPr>
            <w:tcW w:w="2131" w:type="dxa"/>
            <w:tcBorders>
              <w:top w:val="nil"/>
              <w:left w:val="single" w:sz="4" w:space="0" w:color="auto"/>
              <w:bottom w:val="nil"/>
              <w:right w:val="nil"/>
            </w:tcBorders>
            <w:noWrap/>
            <w:vAlign w:val="bottom"/>
            <w:hideMark/>
          </w:tcPr>
          <w:p w14:paraId="363FEEBB" w14:textId="77777777" w:rsidR="007A6A1A" w:rsidRPr="00167CB8" w:rsidRDefault="007A6A1A" w:rsidP="007A6A1A">
            <w:pPr>
              <w:spacing w:after="160"/>
            </w:pPr>
            <w:r w:rsidRPr="00167CB8">
              <w:t>2019</w:t>
            </w:r>
          </w:p>
        </w:tc>
        <w:tc>
          <w:tcPr>
            <w:tcW w:w="1477" w:type="dxa"/>
            <w:tcBorders>
              <w:top w:val="nil"/>
              <w:left w:val="nil"/>
              <w:bottom w:val="nil"/>
              <w:right w:val="nil"/>
            </w:tcBorders>
            <w:noWrap/>
            <w:vAlign w:val="bottom"/>
            <w:hideMark/>
          </w:tcPr>
          <w:p w14:paraId="4DB65446" w14:textId="77777777" w:rsidR="007A6A1A" w:rsidRPr="00167CB8" w:rsidRDefault="007A6A1A" w:rsidP="007A6A1A">
            <w:pPr>
              <w:spacing w:after="160"/>
            </w:pPr>
            <w:r w:rsidRPr="00167CB8">
              <w:t>8.5%</w:t>
            </w:r>
          </w:p>
        </w:tc>
        <w:tc>
          <w:tcPr>
            <w:tcW w:w="1477" w:type="dxa"/>
            <w:tcBorders>
              <w:top w:val="nil"/>
              <w:left w:val="nil"/>
              <w:bottom w:val="nil"/>
              <w:right w:val="nil"/>
            </w:tcBorders>
            <w:noWrap/>
            <w:vAlign w:val="bottom"/>
            <w:hideMark/>
          </w:tcPr>
          <w:p w14:paraId="66CBE130" w14:textId="77777777" w:rsidR="007A6A1A" w:rsidRPr="00167CB8" w:rsidRDefault="007A6A1A" w:rsidP="007A6A1A">
            <w:pPr>
              <w:spacing w:after="160"/>
            </w:pPr>
            <w:r w:rsidRPr="00167CB8">
              <w:t>25.7%</w:t>
            </w:r>
          </w:p>
        </w:tc>
        <w:tc>
          <w:tcPr>
            <w:tcW w:w="1477" w:type="dxa"/>
            <w:tcBorders>
              <w:top w:val="nil"/>
              <w:left w:val="nil"/>
              <w:bottom w:val="nil"/>
              <w:right w:val="nil"/>
            </w:tcBorders>
            <w:noWrap/>
            <w:vAlign w:val="bottom"/>
            <w:hideMark/>
          </w:tcPr>
          <w:p w14:paraId="368ACD86" w14:textId="77777777" w:rsidR="007A6A1A" w:rsidRPr="00167CB8" w:rsidRDefault="007A6A1A" w:rsidP="007A6A1A">
            <w:pPr>
              <w:spacing w:after="160"/>
            </w:pPr>
            <w:r w:rsidRPr="00167CB8">
              <w:t>20.3%</w:t>
            </w:r>
          </w:p>
        </w:tc>
        <w:tc>
          <w:tcPr>
            <w:tcW w:w="1477" w:type="dxa"/>
            <w:tcBorders>
              <w:top w:val="nil"/>
              <w:left w:val="nil"/>
              <w:bottom w:val="nil"/>
              <w:right w:val="nil"/>
            </w:tcBorders>
            <w:vAlign w:val="bottom"/>
            <w:hideMark/>
          </w:tcPr>
          <w:p w14:paraId="05FB546A" w14:textId="77777777" w:rsidR="007A6A1A" w:rsidRPr="00167CB8" w:rsidRDefault="007A6A1A" w:rsidP="007A6A1A">
            <w:pPr>
              <w:spacing w:after="160"/>
            </w:pPr>
            <w:r w:rsidRPr="00167CB8">
              <w:t>18.4%</w:t>
            </w:r>
          </w:p>
        </w:tc>
        <w:tc>
          <w:tcPr>
            <w:tcW w:w="1477" w:type="dxa"/>
            <w:tcBorders>
              <w:top w:val="nil"/>
              <w:left w:val="nil"/>
              <w:bottom w:val="nil"/>
              <w:right w:val="nil"/>
            </w:tcBorders>
            <w:vAlign w:val="bottom"/>
            <w:hideMark/>
          </w:tcPr>
          <w:p w14:paraId="15E22BF8" w14:textId="77777777" w:rsidR="007A6A1A" w:rsidRPr="00167CB8" w:rsidRDefault="007A6A1A" w:rsidP="007A6A1A">
            <w:pPr>
              <w:spacing w:after="160"/>
            </w:pPr>
            <w:r w:rsidRPr="00167CB8">
              <w:t>22.9%</w:t>
            </w:r>
          </w:p>
        </w:tc>
        <w:tc>
          <w:tcPr>
            <w:tcW w:w="1477" w:type="dxa"/>
            <w:tcBorders>
              <w:top w:val="nil"/>
              <w:left w:val="nil"/>
              <w:bottom w:val="nil"/>
              <w:right w:val="nil"/>
            </w:tcBorders>
            <w:vAlign w:val="bottom"/>
            <w:hideMark/>
          </w:tcPr>
          <w:p w14:paraId="20BD8B2F" w14:textId="77777777" w:rsidR="007A6A1A" w:rsidRPr="00167CB8" w:rsidRDefault="007A6A1A" w:rsidP="007A6A1A">
            <w:pPr>
              <w:spacing w:after="160"/>
            </w:pPr>
            <w:r w:rsidRPr="00167CB8">
              <w:t>18.1%</w:t>
            </w:r>
          </w:p>
        </w:tc>
        <w:tc>
          <w:tcPr>
            <w:tcW w:w="1477" w:type="dxa"/>
            <w:tcBorders>
              <w:top w:val="nil"/>
              <w:left w:val="nil"/>
              <w:bottom w:val="nil"/>
              <w:right w:val="nil"/>
            </w:tcBorders>
            <w:vAlign w:val="bottom"/>
            <w:hideMark/>
          </w:tcPr>
          <w:p w14:paraId="2291457F" w14:textId="77777777" w:rsidR="007A6A1A" w:rsidRPr="00167CB8" w:rsidRDefault="007A6A1A" w:rsidP="007A6A1A">
            <w:pPr>
              <w:spacing w:after="160"/>
            </w:pPr>
            <w:r w:rsidRPr="00167CB8">
              <w:t>40.6%</w:t>
            </w:r>
          </w:p>
        </w:tc>
        <w:tc>
          <w:tcPr>
            <w:tcW w:w="1478" w:type="dxa"/>
            <w:tcBorders>
              <w:top w:val="nil"/>
              <w:left w:val="nil"/>
              <w:bottom w:val="nil"/>
              <w:right w:val="single" w:sz="4" w:space="0" w:color="auto"/>
            </w:tcBorders>
            <w:vAlign w:val="bottom"/>
            <w:hideMark/>
          </w:tcPr>
          <w:p w14:paraId="3A23CE30" w14:textId="77777777" w:rsidR="007A6A1A" w:rsidRPr="00167CB8" w:rsidRDefault="007A6A1A" w:rsidP="007A6A1A">
            <w:pPr>
              <w:spacing w:after="160"/>
            </w:pPr>
            <w:r w:rsidRPr="00167CB8">
              <w:t>7.7%</w:t>
            </w:r>
          </w:p>
        </w:tc>
      </w:tr>
      <w:tr w:rsidR="007A6A1A" w:rsidRPr="00167CB8" w14:paraId="46B078FB" w14:textId="77777777">
        <w:trPr>
          <w:trHeight w:val="309"/>
        </w:trPr>
        <w:tc>
          <w:tcPr>
            <w:tcW w:w="2131" w:type="dxa"/>
            <w:tcBorders>
              <w:top w:val="nil"/>
              <w:left w:val="single" w:sz="4" w:space="0" w:color="auto"/>
              <w:bottom w:val="nil"/>
              <w:right w:val="nil"/>
            </w:tcBorders>
            <w:noWrap/>
            <w:vAlign w:val="bottom"/>
            <w:hideMark/>
          </w:tcPr>
          <w:p w14:paraId="2FE9CCD9" w14:textId="77777777" w:rsidR="007A6A1A" w:rsidRPr="00167CB8" w:rsidRDefault="007A6A1A" w:rsidP="007A6A1A">
            <w:pPr>
              <w:spacing w:after="160"/>
            </w:pPr>
            <w:r w:rsidRPr="00167CB8">
              <w:t>2020</w:t>
            </w:r>
          </w:p>
        </w:tc>
        <w:tc>
          <w:tcPr>
            <w:tcW w:w="1477" w:type="dxa"/>
            <w:tcBorders>
              <w:top w:val="nil"/>
              <w:left w:val="nil"/>
              <w:bottom w:val="nil"/>
              <w:right w:val="nil"/>
            </w:tcBorders>
            <w:noWrap/>
            <w:vAlign w:val="bottom"/>
            <w:hideMark/>
          </w:tcPr>
          <w:p w14:paraId="376476ED" w14:textId="77777777" w:rsidR="007A6A1A" w:rsidRPr="00167CB8" w:rsidRDefault="007A6A1A" w:rsidP="007A6A1A">
            <w:pPr>
              <w:spacing w:after="160"/>
            </w:pPr>
            <w:r w:rsidRPr="00167CB8">
              <w:t>9.1%</w:t>
            </w:r>
          </w:p>
        </w:tc>
        <w:tc>
          <w:tcPr>
            <w:tcW w:w="1477" w:type="dxa"/>
            <w:tcBorders>
              <w:top w:val="nil"/>
              <w:left w:val="nil"/>
              <w:bottom w:val="nil"/>
              <w:right w:val="nil"/>
            </w:tcBorders>
            <w:noWrap/>
            <w:vAlign w:val="bottom"/>
            <w:hideMark/>
          </w:tcPr>
          <w:p w14:paraId="243330A0" w14:textId="77777777" w:rsidR="007A6A1A" w:rsidRPr="00167CB8" w:rsidRDefault="007A6A1A" w:rsidP="007A6A1A">
            <w:pPr>
              <w:spacing w:after="160"/>
            </w:pPr>
            <w:r w:rsidRPr="00167CB8">
              <w:t>25.6%</w:t>
            </w:r>
          </w:p>
        </w:tc>
        <w:tc>
          <w:tcPr>
            <w:tcW w:w="1477" w:type="dxa"/>
            <w:tcBorders>
              <w:top w:val="nil"/>
              <w:left w:val="nil"/>
              <w:bottom w:val="nil"/>
              <w:right w:val="nil"/>
            </w:tcBorders>
            <w:noWrap/>
            <w:vAlign w:val="bottom"/>
            <w:hideMark/>
          </w:tcPr>
          <w:p w14:paraId="5ADD2B63" w14:textId="77777777" w:rsidR="007A6A1A" w:rsidRPr="00167CB8" w:rsidRDefault="007A6A1A" w:rsidP="007A6A1A">
            <w:pPr>
              <w:spacing w:after="160"/>
            </w:pPr>
            <w:r w:rsidRPr="00167CB8">
              <w:t>23.5%</w:t>
            </w:r>
          </w:p>
        </w:tc>
        <w:tc>
          <w:tcPr>
            <w:tcW w:w="1477" w:type="dxa"/>
            <w:tcBorders>
              <w:top w:val="nil"/>
              <w:left w:val="nil"/>
              <w:bottom w:val="nil"/>
              <w:right w:val="nil"/>
            </w:tcBorders>
            <w:vAlign w:val="bottom"/>
            <w:hideMark/>
          </w:tcPr>
          <w:p w14:paraId="71D656D2" w14:textId="77777777" w:rsidR="007A6A1A" w:rsidRPr="00167CB8" w:rsidRDefault="007A6A1A" w:rsidP="007A6A1A">
            <w:pPr>
              <w:spacing w:after="160"/>
            </w:pPr>
            <w:r w:rsidRPr="00167CB8">
              <w:t>20.2%</w:t>
            </w:r>
          </w:p>
        </w:tc>
        <w:tc>
          <w:tcPr>
            <w:tcW w:w="1477" w:type="dxa"/>
            <w:tcBorders>
              <w:top w:val="nil"/>
              <w:left w:val="nil"/>
              <w:bottom w:val="nil"/>
              <w:right w:val="nil"/>
            </w:tcBorders>
            <w:vAlign w:val="bottom"/>
            <w:hideMark/>
          </w:tcPr>
          <w:p w14:paraId="46CD98AB" w14:textId="77777777" w:rsidR="007A6A1A" w:rsidRPr="00167CB8" w:rsidRDefault="007A6A1A" w:rsidP="007A6A1A">
            <w:pPr>
              <w:spacing w:after="160"/>
            </w:pPr>
            <w:r w:rsidRPr="00167CB8">
              <w:t>23.2%</w:t>
            </w:r>
          </w:p>
        </w:tc>
        <w:tc>
          <w:tcPr>
            <w:tcW w:w="1477" w:type="dxa"/>
            <w:tcBorders>
              <w:top w:val="nil"/>
              <w:left w:val="nil"/>
              <w:bottom w:val="nil"/>
              <w:right w:val="nil"/>
            </w:tcBorders>
            <w:vAlign w:val="bottom"/>
            <w:hideMark/>
          </w:tcPr>
          <w:p w14:paraId="5866C4FE" w14:textId="77777777" w:rsidR="007A6A1A" w:rsidRPr="00167CB8" w:rsidRDefault="007A6A1A" w:rsidP="007A6A1A">
            <w:pPr>
              <w:spacing w:after="160"/>
            </w:pPr>
            <w:r w:rsidRPr="00167CB8">
              <w:t>17.4%</w:t>
            </w:r>
          </w:p>
        </w:tc>
        <w:tc>
          <w:tcPr>
            <w:tcW w:w="1477" w:type="dxa"/>
            <w:tcBorders>
              <w:top w:val="nil"/>
              <w:left w:val="nil"/>
              <w:bottom w:val="nil"/>
              <w:right w:val="nil"/>
            </w:tcBorders>
            <w:vAlign w:val="bottom"/>
            <w:hideMark/>
          </w:tcPr>
          <w:p w14:paraId="79A01B30" w14:textId="77777777" w:rsidR="007A6A1A" w:rsidRPr="00167CB8" w:rsidRDefault="007A6A1A" w:rsidP="007A6A1A">
            <w:pPr>
              <w:spacing w:after="160"/>
            </w:pPr>
            <w:r w:rsidRPr="00167CB8">
              <w:t>44.1%</w:t>
            </w:r>
          </w:p>
        </w:tc>
        <w:tc>
          <w:tcPr>
            <w:tcW w:w="1478" w:type="dxa"/>
            <w:tcBorders>
              <w:top w:val="nil"/>
              <w:left w:val="nil"/>
              <w:bottom w:val="nil"/>
              <w:right w:val="single" w:sz="4" w:space="0" w:color="auto"/>
            </w:tcBorders>
            <w:vAlign w:val="bottom"/>
            <w:hideMark/>
          </w:tcPr>
          <w:p w14:paraId="0E3FF541" w14:textId="77777777" w:rsidR="007A6A1A" w:rsidRPr="00167CB8" w:rsidRDefault="007A6A1A" w:rsidP="007A6A1A">
            <w:pPr>
              <w:spacing w:after="160"/>
            </w:pPr>
            <w:r w:rsidRPr="00167CB8">
              <w:t>8.6%</w:t>
            </w:r>
          </w:p>
        </w:tc>
      </w:tr>
      <w:tr w:rsidR="007A6A1A" w:rsidRPr="00167CB8" w14:paraId="677994C2" w14:textId="77777777">
        <w:trPr>
          <w:trHeight w:val="309"/>
        </w:trPr>
        <w:tc>
          <w:tcPr>
            <w:tcW w:w="2131" w:type="dxa"/>
            <w:tcBorders>
              <w:top w:val="nil"/>
              <w:left w:val="single" w:sz="4" w:space="0" w:color="auto"/>
              <w:bottom w:val="nil"/>
              <w:right w:val="nil"/>
            </w:tcBorders>
            <w:noWrap/>
            <w:vAlign w:val="bottom"/>
            <w:hideMark/>
          </w:tcPr>
          <w:p w14:paraId="7B1E2220" w14:textId="77777777" w:rsidR="007A6A1A" w:rsidRPr="00167CB8" w:rsidRDefault="007A6A1A" w:rsidP="007A6A1A">
            <w:pPr>
              <w:spacing w:after="160"/>
            </w:pPr>
            <w:r w:rsidRPr="00167CB8">
              <w:t>2021</w:t>
            </w:r>
          </w:p>
        </w:tc>
        <w:tc>
          <w:tcPr>
            <w:tcW w:w="1477" w:type="dxa"/>
            <w:tcBorders>
              <w:top w:val="nil"/>
              <w:left w:val="nil"/>
              <w:bottom w:val="nil"/>
              <w:right w:val="nil"/>
            </w:tcBorders>
            <w:noWrap/>
            <w:vAlign w:val="bottom"/>
            <w:hideMark/>
          </w:tcPr>
          <w:p w14:paraId="4E1029DF" w14:textId="77777777" w:rsidR="007A6A1A" w:rsidRPr="00167CB8" w:rsidRDefault="007A6A1A" w:rsidP="007A6A1A">
            <w:pPr>
              <w:spacing w:after="160"/>
            </w:pPr>
            <w:r w:rsidRPr="00167CB8">
              <w:t>7.3%</w:t>
            </w:r>
          </w:p>
        </w:tc>
        <w:tc>
          <w:tcPr>
            <w:tcW w:w="1477" w:type="dxa"/>
            <w:tcBorders>
              <w:top w:val="nil"/>
              <w:left w:val="nil"/>
              <w:bottom w:val="nil"/>
              <w:right w:val="nil"/>
            </w:tcBorders>
            <w:noWrap/>
            <w:vAlign w:val="bottom"/>
            <w:hideMark/>
          </w:tcPr>
          <w:p w14:paraId="5D2340C7" w14:textId="77777777" w:rsidR="007A6A1A" w:rsidRPr="00167CB8" w:rsidRDefault="007A6A1A" w:rsidP="007A6A1A">
            <w:pPr>
              <w:spacing w:after="160"/>
            </w:pPr>
            <w:r w:rsidRPr="00167CB8">
              <w:t>25.0%</w:t>
            </w:r>
          </w:p>
        </w:tc>
        <w:tc>
          <w:tcPr>
            <w:tcW w:w="1477" w:type="dxa"/>
            <w:tcBorders>
              <w:top w:val="nil"/>
              <w:left w:val="nil"/>
              <w:bottom w:val="nil"/>
              <w:right w:val="nil"/>
            </w:tcBorders>
            <w:noWrap/>
            <w:vAlign w:val="bottom"/>
            <w:hideMark/>
          </w:tcPr>
          <w:p w14:paraId="2C78FA4C" w14:textId="77777777" w:rsidR="007A6A1A" w:rsidRPr="00167CB8" w:rsidRDefault="007A6A1A" w:rsidP="007A6A1A">
            <w:pPr>
              <w:spacing w:after="160"/>
            </w:pPr>
            <w:r w:rsidRPr="00167CB8">
              <w:t>22.7%</w:t>
            </w:r>
          </w:p>
        </w:tc>
        <w:tc>
          <w:tcPr>
            <w:tcW w:w="1477" w:type="dxa"/>
            <w:tcBorders>
              <w:top w:val="nil"/>
              <w:left w:val="nil"/>
              <w:bottom w:val="nil"/>
              <w:right w:val="nil"/>
            </w:tcBorders>
            <w:vAlign w:val="bottom"/>
            <w:hideMark/>
          </w:tcPr>
          <w:p w14:paraId="3826ED95" w14:textId="77777777" w:rsidR="007A6A1A" w:rsidRPr="00167CB8" w:rsidRDefault="007A6A1A" w:rsidP="007A6A1A">
            <w:pPr>
              <w:spacing w:after="160"/>
            </w:pPr>
            <w:r w:rsidRPr="00167CB8">
              <w:t>18.8%</w:t>
            </w:r>
          </w:p>
        </w:tc>
        <w:tc>
          <w:tcPr>
            <w:tcW w:w="1477" w:type="dxa"/>
            <w:tcBorders>
              <w:top w:val="nil"/>
              <w:left w:val="nil"/>
              <w:bottom w:val="nil"/>
              <w:right w:val="nil"/>
            </w:tcBorders>
            <w:vAlign w:val="bottom"/>
            <w:hideMark/>
          </w:tcPr>
          <w:p w14:paraId="48753AE7" w14:textId="77777777" w:rsidR="007A6A1A" w:rsidRPr="00167CB8" w:rsidRDefault="007A6A1A" w:rsidP="007A6A1A">
            <w:pPr>
              <w:spacing w:after="160"/>
            </w:pPr>
            <w:r w:rsidRPr="00167CB8">
              <w:t>22.4%</w:t>
            </w:r>
          </w:p>
        </w:tc>
        <w:tc>
          <w:tcPr>
            <w:tcW w:w="1477" w:type="dxa"/>
            <w:tcBorders>
              <w:top w:val="nil"/>
              <w:left w:val="nil"/>
              <w:bottom w:val="nil"/>
              <w:right w:val="nil"/>
            </w:tcBorders>
            <w:vAlign w:val="bottom"/>
            <w:hideMark/>
          </w:tcPr>
          <w:p w14:paraId="54619E96" w14:textId="77777777" w:rsidR="007A6A1A" w:rsidRPr="00167CB8" w:rsidRDefault="007A6A1A" w:rsidP="007A6A1A">
            <w:pPr>
              <w:spacing w:after="160"/>
            </w:pPr>
            <w:r w:rsidRPr="00167CB8">
              <w:t>16.5%</w:t>
            </w:r>
          </w:p>
        </w:tc>
        <w:tc>
          <w:tcPr>
            <w:tcW w:w="1477" w:type="dxa"/>
            <w:tcBorders>
              <w:top w:val="nil"/>
              <w:left w:val="nil"/>
              <w:bottom w:val="nil"/>
              <w:right w:val="nil"/>
            </w:tcBorders>
            <w:vAlign w:val="bottom"/>
            <w:hideMark/>
          </w:tcPr>
          <w:p w14:paraId="400DC532" w14:textId="77777777" w:rsidR="007A6A1A" w:rsidRPr="00167CB8" w:rsidRDefault="007A6A1A" w:rsidP="007A6A1A">
            <w:pPr>
              <w:spacing w:after="160"/>
            </w:pPr>
            <w:r w:rsidRPr="00167CB8">
              <w:t>41.5%</w:t>
            </w:r>
          </w:p>
        </w:tc>
        <w:tc>
          <w:tcPr>
            <w:tcW w:w="1478" w:type="dxa"/>
            <w:tcBorders>
              <w:top w:val="nil"/>
              <w:left w:val="nil"/>
              <w:bottom w:val="nil"/>
              <w:right w:val="single" w:sz="4" w:space="0" w:color="auto"/>
            </w:tcBorders>
            <w:vAlign w:val="bottom"/>
            <w:hideMark/>
          </w:tcPr>
          <w:p w14:paraId="6B52EDCC" w14:textId="77777777" w:rsidR="007A6A1A" w:rsidRPr="00167CB8" w:rsidRDefault="007A6A1A" w:rsidP="007A6A1A">
            <w:pPr>
              <w:spacing w:after="160"/>
            </w:pPr>
            <w:r w:rsidRPr="00167CB8">
              <w:t>7.7%</w:t>
            </w:r>
          </w:p>
        </w:tc>
      </w:tr>
      <w:tr w:rsidR="007A6A1A" w:rsidRPr="00167CB8" w14:paraId="62FF70C0" w14:textId="77777777">
        <w:trPr>
          <w:trHeight w:val="309"/>
        </w:trPr>
        <w:tc>
          <w:tcPr>
            <w:tcW w:w="2131" w:type="dxa"/>
            <w:tcBorders>
              <w:top w:val="nil"/>
              <w:left w:val="single" w:sz="4" w:space="0" w:color="auto"/>
              <w:bottom w:val="nil"/>
              <w:right w:val="nil"/>
            </w:tcBorders>
            <w:noWrap/>
            <w:vAlign w:val="bottom"/>
            <w:hideMark/>
          </w:tcPr>
          <w:p w14:paraId="3E4CB4D0" w14:textId="77777777" w:rsidR="007A6A1A" w:rsidRPr="00167CB8" w:rsidRDefault="007A6A1A" w:rsidP="007A6A1A">
            <w:pPr>
              <w:spacing w:after="160"/>
            </w:pPr>
            <w:r w:rsidRPr="00167CB8">
              <w:t>2022</w:t>
            </w:r>
          </w:p>
        </w:tc>
        <w:tc>
          <w:tcPr>
            <w:tcW w:w="1477" w:type="dxa"/>
            <w:tcBorders>
              <w:top w:val="nil"/>
              <w:left w:val="nil"/>
              <w:bottom w:val="nil"/>
              <w:right w:val="nil"/>
            </w:tcBorders>
            <w:noWrap/>
            <w:vAlign w:val="bottom"/>
            <w:hideMark/>
          </w:tcPr>
          <w:p w14:paraId="1FC15D57" w14:textId="77777777" w:rsidR="007A6A1A" w:rsidRPr="00167CB8" w:rsidRDefault="007A6A1A" w:rsidP="007A6A1A">
            <w:pPr>
              <w:spacing w:after="160"/>
            </w:pPr>
            <w:r w:rsidRPr="00167CB8">
              <w:t>6.8%</w:t>
            </w:r>
          </w:p>
        </w:tc>
        <w:tc>
          <w:tcPr>
            <w:tcW w:w="1477" w:type="dxa"/>
            <w:tcBorders>
              <w:top w:val="nil"/>
              <w:left w:val="nil"/>
              <w:bottom w:val="nil"/>
              <w:right w:val="nil"/>
            </w:tcBorders>
            <w:noWrap/>
            <w:vAlign w:val="bottom"/>
            <w:hideMark/>
          </w:tcPr>
          <w:p w14:paraId="58269AE9" w14:textId="77777777" w:rsidR="007A6A1A" w:rsidRPr="00167CB8" w:rsidRDefault="007A6A1A" w:rsidP="007A6A1A">
            <w:pPr>
              <w:spacing w:after="160"/>
            </w:pPr>
            <w:r w:rsidRPr="00167CB8">
              <w:t>24.1%</w:t>
            </w:r>
          </w:p>
        </w:tc>
        <w:tc>
          <w:tcPr>
            <w:tcW w:w="1477" w:type="dxa"/>
            <w:tcBorders>
              <w:top w:val="nil"/>
              <w:left w:val="nil"/>
              <w:bottom w:val="nil"/>
              <w:right w:val="nil"/>
            </w:tcBorders>
            <w:noWrap/>
            <w:vAlign w:val="bottom"/>
            <w:hideMark/>
          </w:tcPr>
          <w:p w14:paraId="5C11C159" w14:textId="77777777" w:rsidR="007A6A1A" w:rsidRPr="00167CB8" w:rsidRDefault="007A6A1A" w:rsidP="007A6A1A">
            <w:pPr>
              <w:spacing w:after="160"/>
            </w:pPr>
            <w:r w:rsidRPr="00167CB8">
              <w:t>22.2%</w:t>
            </w:r>
          </w:p>
        </w:tc>
        <w:tc>
          <w:tcPr>
            <w:tcW w:w="1477" w:type="dxa"/>
            <w:tcBorders>
              <w:top w:val="nil"/>
              <w:left w:val="nil"/>
              <w:bottom w:val="nil"/>
              <w:right w:val="nil"/>
            </w:tcBorders>
            <w:vAlign w:val="bottom"/>
            <w:hideMark/>
          </w:tcPr>
          <w:p w14:paraId="303351F8" w14:textId="77777777" w:rsidR="007A6A1A" w:rsidRPr="00167CB8" w:rsidRDefault="007A6A1A" w:rsidP="007A6A1A">
            <w:pPr>
              <w:spacing w:after="160"/>
            </w:pPr>
            <w:r w:rsidRPr="00167CB8">
              <w:t>18.0%</w:t>
            </w:r>
          </w:p>
        </w:tc>
        <w:tc>
          <w:tcPr>
            <w:tcW w:w="1477" w:type="dxa"/>
            <w:tcBorders>
              <w:top w:val="nil"/>
              <w:left w:val="nil"/>
              <w:bottom w:val="nil"/>
              <w:right w:val="nil"/>
            </w:tcBorders>
            <w:vAlign w:val="bottom"/>
            <w:hideMark/>
          </w:tcPr>
          <w:p w14:paraId="3BDC5A61" w14:textId="77777777" w:rsidR="007A6A1A" w:rsidRPr="00167CB8" w:rsidRDefault="007A6A1A" w:rsidP="007A6A1A">
            <w:pPr>
              <w:spacing w:after="160"/>
            </w:pPr>
            <w:r w:rsidRPr="00167CB8">
              <w:t>21.3%</w:t>
            </w:r>
          </w:p>
        </w:tc>
        <w:tc>
          <w:tcPr>
            <w:tcW w:w="1477" w:type="dxa"/>
            <w:tcBorders>
              <w:top w:val="nil"/>
              <w:left w:val="nil"/>
              <w:bottom w:val="nil"/>
              <w:right w:val="nil"/>
            </w:tcBorders>
            <w:vAlign w:val="bottom"/>
            <w:hideMark/>
          </w:tcPr>
          <w:p w14:paraId="0F84196D" w14:textId="77777777" w:rsidR="007A6A1A" w:rsidRPr="00167CB8" w:rsidRDefault="007A6A1A" w:rsidP="007A6A1A">
            <w:pPr>
              <w:spacing w:after="160"/>
            </w:pPr>
            <w:r w:rsidRPr="00167CB8">
              <w:t>16.1%</w:t>
            </w:r>
          </w:p>
        </w:tc>
        <w:tc>
          <w:tcPr>
            <w:tcW w:w="1477" w:type="dxa"/>
            <w:tcBorders>
              <w:top w:val="nil"/>
              <w:left w:val="nil"/>
              <w:bottom w:val="nil"/>
              <w:right w:val="nil"/>
            </w:tcBorders>
            <w:vAlign w:val="bottom"/>
            <w:hideMark/>
          </w:tcPr>
          <w:p w14:paraId="59D02A6F" w14:textId="77777777" w:rsidR="007A6A1A" w:rsidRPr="00167CB8" w:rsidRDefault="007A6A1A" w:rsidP="007A6A1A">
            <w:pPr>
              <w:spacing w:after="160"/>
            </w:pPr>
            <w:r w:rsidRPr="00167CB8">
              <w:t>41.5%</w:t>
            </w:r>
          </w:p>
        </w:tc>
        <w:tc>
          <w:tcPr>
            <w:tcW w:w="1478" w:type="dxa"/>
            <w:tcBorders>
              <w:top w:val="nil"/>
              <w:left w:val="nil"/>
              <w:bottom w:val="nil"/>
              <w:right w:val="single" w:sz="4" w:space="0" w:color="auto"/>
            </w:tcBorders>
            <w:vAlign w:val="bottom"/>
            <w:hideMark/>
          </w:tcPr>
          <w:p w14:paraId="21F8DB3D" w14:textId="77777777" w:rsidR="007A6A1A" w:rsidRPr="00167CB8" w:rsidRDefault="007A6A1A" w:rsidP="007A6A1A">
            <w:pPr>
              <w:spacing w:after="160"/>
            </w:pPr>
            <w:r w:rsidRPr="00167CB8">
              <w:t>6.4%</w:t>
            </w:r>
          </w:p>
        </w:tc>
      </w:tr>
      <w:tr w:rsidR="007A6A1A" w:rsidRPr="00167CB8" w14:paraId="75F3768F" w14:textId="77777777">
        <w:trPr>
          <w:trHeight w:val="309"/>
        </w:trPr>
        <w:tc>
          <w:tcPr>
            <w:tcW w:w="2131" w:type="dxa"/>
            <w:tcBorders>
              <w:top w:val="nil"/>
              <w:left w:val="single" w:sz="4" w:space="0" w:color="auto"/>
              <w:bottom w:val="single" w:sz="4" w:space="0" w:color="auto"/>
              <w:right w:val="nil"/>
            </w:tcBorders>
            <w:noWrap/>
            <w:vAlign w:val="bottom"/>
            <w:hideMark/>
          </w:tcPr>
          <w:p w14:paraId="7C955B6D" w14:textId="77777777" w:rsidR="007A6A1A" w:rsidRPr="00167CB8" w:rsidRDefault="007A6A1A" w:rsidP="007A6A1A">
            <w:pPr>
              <w:spacing w:after="160"/>
            </w:pPr>
            <w:r w:rsidRPr="00167CB8">
              <w:t>2023</w:t>
            </w:r>
          </w:p>
        </w:tc>
        <w:tc>
          <w:tcPr>
            <w:tcW w:w="1477" w:type="dxa"/>
            <w:tcBorders>
              <w:top w:val="nil"/>
              <w:left w:val="nil"/>
              <w:bottom w:val="single" w:sz="4" w:space="0" w:color="auto"/>
              <w:right w:val="nil"/>
            </w:tcBorders>
            <w:noWrap/>
            <w:vAlign w:val="bottom"/>
            <w:hideMark/>
          </w:tcPr>
          <w:p w14:paraId="08E15119" w14:textId="77777777" w:rsidR="007A6A1A" w:rsidRPr="00167CB8" w:rsidRDefault="007A6A1A" w:rsidP="007A6A1A">
            <w:pPr>
              <w:spacing w:after="160"/>
            </w:pPr>
            <w:r w:rsidRPr="00167CB8">
              <w:t>6.9%</w:t>
            </w:r>
          </w:p>
        </w:tc>
        <w:tc>
          <w:tcPr>
            <w:tcW w:w="1477" w:type="dxa"/>
            <w:tcBorders>
              <w:top w:val="nil"/>
              <w:left w:val="nil"/>
              <w:bottom w:val="single" w:sz="4" w:space="0" w:color="auto"/>
              <w:right w:val="nil"/>
            </w:tcBorders>
            <w:noWrap/>
            <w:vAlign w:val="bottom"/>
            <w:hideMark/>
          </w:tcPr>
          <w:p w14:paraId="46F0E028" w14:textId="77777777" w:rsidR="007A6A1A" w:rsidRPr="00167CB8" w:rsidRDefault="007A6A1A" w:rsidP="007A6A1A">
            <w:pPr>
              <w:spacing w:after="160"/>
            </w:pPr>
            <w:r w:rsidRPr="00167CB8">
              <w:t>24.5%</w:t>
            </w:r>
          </w:p>
        </w:tc>
        <w:tc>
          <w:tcPr>
            <w:tcW w:w="1477" w:type="dxa"/>
            <w:tcBorders>
              <w:top w:val="nil"/>
              <w:left w:val="nil"/>
              <w:bottom w:val="single" w:sz="4" w:space="0" w:color="auto"/>
              <w:right w:val="nil"/>
            </w:tcBorders>
            <w:noWrap/>
            <w:vAlign w:val="bottom"/>
            <w:hideMark/>
          </w:tcPr>
          <w:p w14:paraId="21D44197" w14:textId="77777777" w:rsidR="007A6A1A" w:rsidRPr="00167CB8" w:rsidRDefault="007A6A1A" w:rsidP="007A6A1A">
            <w:pPr>
              <w:spacing w:after="160"/>
            </w:pPr>
            <w:r w:rsidRPr="00167CB8">
              <w:t>19.8%</w:t>
            </w:r>
          </w:p>
        </w:tc>
        <w:tc>
          <w:tcPr>
            <w:tcW w:w="1477" w:type="dxa"/>
            <w:tcBorders>
              <w:top w:val="nil"/>
              <w:left w:val="nil"/>
              <w:bottom w:val="single" w:sz="4" w:space="0" w:color="auto"/>
              <w:right w:val="nil"/>
            </w:tcBorders>
            <w:vAlign w:val="bottom"/>
            <w:hideMark/>
          </w:tcPr>
          <w:p w14:paraId="66E4F646" w14:textId="77777777" w:rsidR="007A6A1A" w:rsidRPr="00167CB8" w:rsidRDefault="007A6A1A" w:rsidP="007A6A1A">
            <w:pPr>
              <w:spacing w:after="160"/>
            </w:pPr>
            <w:r w:rsidRPr="00167CB8">
              <w:t>17.8%</w:t>
            </w:r>
          </w:p>
        </w:tc>
        <w:tc>
          <w:tcPr>
            <w:tcW w:w="1477" w:type="dxa"/>
            <w:tcBorders>
              <w:top w:val="nil"/>
              <w:left w:val="nil"/>
              <w:bottom w:val="single" w:sz="4" w:space="0" w:color="auto"/>
              <w:right w:val="nil"/>
            </w:tcBorders>
            <w:vAlign w:val="bottom"/>
            <w:hideMark/>
          </w:tcPr>
          <w:p w14:paraId="78C8D303" w14:textId="77777777" w:rsidR="007A6A1A" w:rsidRPr="00167CB8" w:rsidRDefault="007A6A1A" w:rsidP="007A6A1A">
            <w:pPr>
              <w:spacing w:after="160"/>
            </w:pPr>
            <w:r w:rsidRPr="00167CB8">
              <w:t>22.1%</w:t>
            </w:r>
          </w:p>
        </w:tc>
        <w:tc>
          <w:tcPr>
            <w:tcW w:w="1477" w:type="dxa"/>
            <w:tcBorders>
              <w:top w:val="nil"/>
              <w:left w:val="nil"/>
              <w:bottom w:val="single" w:sz="4" w:space="0" w:color="auto"/>
              <w:right w:val="nil"/>
            </w:tcBorders>
            <w:vAlign w:val="bottom"/>
            <w:hideMark/>
          </w:tcPr>
          <w:p w14:paraId="4B541665" w14:textId="77777777" w:rsidR="007A6A1A" w:rsidRPr="00167CB8" w:rsidRDefault="007A6A1A" w:rsidP="007A6A1A">
            <w:pPr>
              <w:spacing w:after="160"/>
            </w:pPr>
            <w:r w:rsidRPr="00167CB8">
              <w:t>16.0%</w:t>
            </w:r>
          </w:p>
        </w:tc>
        <w:tc>
          <w:tcPr>
            <w:tcW w:w="1477" w:type="dxa"/>
            <w:tcBorders>
              <w:top w:val="nil"/>
              <w:left w:val="nil"/>
              <w:bottom w:val="single" w:sz="4" w:space="0" w:color="auto"/>
              <w:right w:val="nil"/>
            </w:tcBorders>
            <w:vAlign w:val="bottom"/>
            <w:hideMark/>
          </w:tcPr>
          <w:p w14:paraId="73EC07B7" w14:textId="77777777" w:rsidR="007A6A1A" w:rsidRPr="00167CB8" w:rsidRDefault="007A6A1A" w:rsidP="007A6A1A">
            <w:pPr>
              <w:spacing w:after="160"/>
            </w:pPr>
            <w:r w:rsidRPr="00167CB8">
              <w:t>40.8%</w:t>
            </w:r>
          </w:p>
        </w:tc>
        <w:tc>
          <w:tcPr>
            <w:tcW w:w="1478" w:type="dxa"/>
            <w:tcBorders>
              <w:top w:val="nil"/>
              <w:left w:val="nil"/>
              <w:bottom w:val="single" w:sz="4" w:space="0" w:color="auto"/>
              <w:right w:val="single" w:sz="4" w:space="0" w:color="auto"/>
            </w:tcBorders>
            <w:vAlign w:val="bottom"/>
            <w:hideMark/>
          </w:tcPr>
          <w:p w14:paraId="40F0EE51" w14:textId="77777777" w:rsidR="007A6A1A" w:rsidRPr="00167CB8" w:rsidRDefault="007A6A1A" w:rsidP="007A6A1A">
            <w:pPr>
              <w:spacing w:after="160"/>
            </w:pPr>
            <w:r w:rsidRPr="00167CB8">
              <w:t>7.9%</w:t>
            </w:r>
          </w:p>
        </w:tc>
      </w:tr>
    </w:tbl>
    <w:p w14:paraId="181843B0" w14:textId="77777777" w:rsidR="007A6A1A" w:rsidRPr="00167CB8" w:rsidRDefault="007A6A1A" w:rsidP="00A461FB">
      <w:pPr>
        <w:pStyle w:val="Source"/>
      </w:pPr>
      <w:r w:rsidRPr="00167CB8">
        <w:rPr>
          <w:b/>
          <w:bCs/>
        </w:rPr>
        <w:t>Source:</w:t>
      </w:r>
      <w:r w:rsidRPr="00167CB8">
        <w:t xml:space="preserve"> HILDA, waves 12 to 23. Sample: employees. Estimates weighted to reflect population totals. </w:t>
      </w:r>
    </w:p>
    <w:p w14:paraId="182B2498" w14:textId="59780700" w:rsidR="007A6A1A" w:rsidRPr="00167CB8" w:rsidRDefault="007A6A1A" w:rsidP="00A461FB">
      <w:pPr>
        <w:pStyle w:val="Source"/>
      </w:pPr>
      <w:bookmarkStart w:id="709" w:name="_Ref184404480"/>
      <w:r w:rsidRPr="00167CB8">
        <w:rPr>
          <w:b/>
          <w:bCs/>
        </w:rPr>
        <w:t>Alt-text:</w:t>
      </w:r>
      <w:r w:rsidRPr="00167CB8">
        <w:t xml:space="preserve"> A table showing union density across various characteristics of employment. In 2023</w:t>
      </w:r>
      <w:r w:rsidR="00A461FB" w:rsidRPr="00167CB8">
        <w:t>,</w:t>
      </w:r>
      <w:r w:rsidRPr="00167CB8">
        <w:t xml:space="preserve"> 6.9% of casual employees were trade union members. Among those who were on permanent contracts the membership share was equal to 24.5%. Union membership is higher among full-timers (22.1%) than part-timers (17.8%). It also varies by method of pay setting. Among those covered by a collective agreement, the union membership share is equal to 40.8%. Among those who are award reliant, the union membership share is equal to 16.0%.  </w:t>
      </w:r>
    </w:p>
    <w:p w14:paraId="4A279D61"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r w:rsidRPr="00167CB8">
        <w:br w:type="page"/>
      </w:r>
    </w:p>
    <w:bookmarkEnd w:id="709"/>
    <w:p w14:paraId="6CCD7AFC" w14:textId="77777777" w:rsidR="007A6A1A" w:rsidRPr="00167CB8" w:rsidRDefault="007A6A1A" w:rsidP="00650687">
      <w:pPr>
        <w:pStyle w:val="Heading5"/>
      </w:pPr>
      <w:r w:rsidRPr="00167CB8">
        <w:lastRenderedPageBreak/>
        <w:t>2.6.2 Flexibility to balance work and non-work commitments</w:t>
      </w:r>
    </w:p>
    <w:p w14:paraId="21F41334" w14:textId="7E437AD5" w:rsidR="007A6A1A" w:rsidRPr="00167CB8" w:rsidRDefault="007F6B75" w:rsidP="007A6A1A">
      <w:pPr>
        <w:spacing w:after="160"/>
      </w:pPr>
      <w:r w:rsidRPr="00167CB8">
        <w:t>Figure 28</w:t>
      </w:r>
      <w:r w:rsidR="007A130A">
        <w:t xml:space="preserve"> </w:t>
      </w:r>
      <w:r w:rsidR="007A6A1A" w:rsidRPr="00167CB8">
        <w:t xml:space="preserve">reports the extent to which employees are satisfied with their ability to balance work and non-work commitments. The scale ranges from 0 (totally dissatisfied) to 10 (totally satisfied). As shown, since COVID-19 there has been a marked increase in the share reporting that they are satisfied. This may relate to the increased ability among some employees to work at home. </w:t>
      </w:r>
    </w:p>
    <w:p w14:paraId="2B917CE5" w14:textId="58876617" w:rsidR="007A6A1A" w:rsidRPr="00167CB8" w:rsidRDefault="005619EF" w:rsidP="007A6A1A">
      <w:pPr>
        <w:spacing w:after="160"/>
      </w:pPr>
      <w:r w:rsidRPr="00167CB8">
        <w:t>Figure 29</w:t>
      </w:r>
      <w:r w:rsidR="007A130A">
        <w:t xml:space="preserve"> </w:t>
      </w:r>
      <w:r w:rsidR="007A6A1A" w:rsidRPr="00167CB8">
        <w:t>shows that in 2012 around 15% of employees worked some or all their usual hours in their main job at home</w:t>
      </w:r>
      <w:r w:rsidR="00A461FB" w:rsidRPr="00167CB8">
        <w:t>.</w:t>
      </w:r>
      <w:r w:rsidR="007A6A1A" w:rsidRPr="00167CB8">
        <w:t xml:space="preserve"> </w:t>
      </w:r>
      <w:r w:rsidR="00A461FB" w:rsidRPr="00167CB8">
        <w:t>B</w:t>
      </w:r>
      <w:r w:rsidR="007A6A1A" w:rsidRPr="00167CB8">
        <w:t xml:space="preserve">y 2023 this had increased to around 31%. </w:t>
      </w:r>
    </w:p>
    <w:p w14:paraId="1C536B59" w14:textId="5D646369" w:rsidR="007A6A1A" w:rsidRPr="00167CB8" w:rsidRDefault="007A6A1A" w:rsidP="00470AB9">
      <w:pPr>
        <w:pStyle w:val="Caption"/>
      </w:pPr>
      <w:bookmarkStart w:id="710" w:name="_Ref184404501"/>
      <w:bookmarkStart w:id="711" w:name="_Toc186991783"/>
      <w:bookmarkStart w:id="712" w:name="_Toc189310816"/>
      <w:r w:rsidRPr="00167CB8">
        <w:t xml:space="preserve">Figure </w:t>
      </w:r>
      <w:r w:rsidR="005619EF" w:rsidRPr="00167CB8">
        <w:t>28</w:t>
      </w:r>
      <w:bookmarkEnd w:id="710"/>
      <w:r w:rsidRPr="00167CB8">
        <w:t>: Perceived satisfaction with ability to balance work and non-work commitments, employees, Australia</w:t>
      </w:r>
      <w:bookmarkEnd w:id="711"/>
      <w:bookmarkEnd w:id="712"/>
    </w:p>
    <w:p w14:paraId="474A061B" w14:textId="77777777" w:rsidR="007A6A1A" w:rsidRPr="00167CB8" w:rsidRDefault="007A6A1A" w:rsidP="007A6A1A">
      <w:pPr>
        <w:spacing w:after="160"/>
      </w:pPr>
      <w:r w:rsidRPr="00167CB8">
        <w:rPr>
          <w:noProof/>
        </w:rPr>
        <w:drawing>
          <wp:inline distT="0" distB="0" distL="0" distR="0" wp14:anchorId="174C833F" wp14:editId="6D53D24A">
            <wp:extent cx="5731510" cy="3750945"/>
            <wp:effectExtent l="0" t="0" r="2540" b="1905"/>
            <wp:docPr id="29475386" name="Picture 61" descr="A graph with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386" name="Picture 61" descr="A graph with blue bars&#10;&#10;Description automatically generated with medium confiden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7DD90C4D" w14:textId="77777777" w:rsidR="007A6A1A" w:rsidRPr="00167CB8" w:rsidRDefault="007A6A1A" w:rsidP="00A461FB">
      <w:pPr>
        <w:pStyle w:val="Source"/>
      </w:pPr>
      <w:r w:rsidRPr="00167CB8">
        <w:rPr>
          <w:b/>
          <w:bCs/>
        </w:rPr>
        <w:t>Source:</w:t>
      </w:r>
      <w:r w:rsidRPr="00167CB8">
        <w:t xml:space="preserve"> HILDA, waves 12 to 23. Estimates weighted to reflect population totals.</w:t>
      </w:r>
    </w:p>
    <w:p w14:paraId="18ABFEED" w14:textId="2A5DB673" w:rsidR="007A6A1A" w:rsidRPr="00167CB8" w:rsidRDefault="007A6A1A" w:rsidP="00A461FB">
      <w:pPr>
        <w:pStyle w:val="Source"/>
      </w:pPr>
      <w:bookmarkStart w:id="713" w:name="_Ref184404512"/>
      <w:r w:rsidRPr="00167CB8">
        <w:rPr>
          <w:b/>
          <w:bCs/>
        </w:rPr>
        <w:t>Alt-text:</w:t>
      </w:r>
      <w:r w:rsidRPr="00167CB8">
        <w:t xml:space="preserve"> A bar chart showing employee perceived satisfaction levels with ability to balance work and non-work commitments. In 2015 the mean response among employees, on a scale of 0 (low) to 10 (high)</w:t>
      </w:r>
      <w:r w:rsidR="00A461FB" w:rsidRPr="00167CB8">
        <w:t>,</w:t>
      </w:r>
      <w:r w:rsidRPr="00167CB8">
        <w:t xml:space="preserve"> was 7.5. By 2023 this equivalent mean response had increased to just over 7.8, suggesting satisfaction levels are increasing.   </w:t>
      </w:r>
    </w:p>
    <w:p w14:paraId="195F99F9" w14:textId="77777777" w:rsidR="007A6A1A" w:rsidRPr="00167CB8" w:rsidRDefault="007A6A1A" w:rsidP="007A6A1A">
      <w:pPr>
        <w:spacing w:after="160"/>
        <w:rPr>
          <w:i/>
          <w:iCs/>
        </w:rPr>
      </w:pPr>
      <w:r w:rsidRPr="00167CB8">
        <w:br w:type="page"/>
      </w:r>
    </w:p>
    <w:p w14:paraId="03A2B110" w14:textId="6F4691ED" w:rsidR="007A6A1A" w:rsidRPr="00167CB8" w:rsidRDefault="007A6A1A" w:rsidP="00470AB9">
      <w:pPr>
        <w:pStyle w:val="Caption"/>
      </w:pPr>
      <w:bookmarkStart w:id="714" w:name="_Ref186905189"/>
      <w:bookmarkStart w:id="715" w:name="_Toc186991784"/>
      <w:bookmarkStart w:id="716" w:name="_Toc189310817"/>
      <w:r w:rsidRPr="00167CB8">
        <w:lastRenderedPageBreak/>
        <w:t xml:space="preserve">Figure </w:t>
      </w:r>
      <w:r w:rsidR="00BD06C5" w:rsidRPr="00167CB8">
        <w:t>29</w:t>
      </w:r>
      <w:bookmarkEnd w:id="713"/>
      <w:bookmarkEnd w:id="714"/>
      <w:r w:rsidRPr="00167CB8">
        <w:t>: Share of employees who report being able to work some or all of their usual hours in their main job at home</w:t>
      </w:r>
      <w:bookmarkEnd w:id="715"/>
      <w:bookmarkEnd w:id="716"/>
    </w:p>
    <w:p w14:paraId="136F70DB" w14:textId="77777777" w:rsidR="007A6A1A" w:rsidRPr="00167CB8" w:rsidRDefault="007A6A1A" w:rsidP="007A6A1A">
      <w:pPr>
        <w:spacing w:after="160"/>
      </w:pPr>
      <w:r w:rsidRPr="00167CB8">
        <w:rPr>
          <w:noProof/>
        </w:rPr>
        <w:drawing>
          <wp:inline distT="0" distB="0" distL="0" distR="0" wp14:anchorId="43B748E2" wp14:editId="6973E46F">
            <wp:extent cx="5731510" cy="3750945"/>
            <wp:effectExtent l="0" t="0" r="2540" b="1905"/>
            <wp:docPr id="505263915" name="Picture 60" descr="A line graph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0" descr="A line graph with numbers&#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35494452" w14:textId="77777777" w:rsidR="007A6A1A" w:rsidRPr="00167CB8" w:rsidRDefault="007A6A1A" w:rsidP="00A461FB">
      <w:pPr>
        <w:pStyle w:val="Source"/>
      </w:pPr>
      <w:r w:rsidRPr="00167CB8">
        <w:rPr>
          <w:b/>
          <w:bCs/>
        </w:rPr>
        <w:t>Source:</w:t>
      </w:r>
      <w:r w:rsidRPr="00167CB8">
        <w:t xml:space="preserve"> HILDA, waves 12 to 23. Estimates weighted to reflect population totals.</w:t>
      </w:r>
    </w:p>
    <w:p w14:paraId="574A37A2" w14:textId="77777777" w:rsidR="007A6A1A" w:rsidRPr="00167CB8" w:rsidRDefault="007A6A1A" w:rsidP="00A461FB">
      <w:pPr>
        <w:pStyle w:val="Source"/>
      </w:pPr>
      <w:r w:rsidRPr="00167CB8">
        <w:rPr>
          <w:b/>
          <w:bCs/>
        </w:rPr>
        <w:t>Alt-text:</w:t>
      </w:r>
      <w:r w:rsidRPr="00167CB8">
        <w:t xml:space="preserve"> A line chart showing the share of employees able to work some or all of their usual hours of work per week (main job) at home. Since 2019 and the effects of COVID-19 there has been a significant jump in the share of workers who may work at home. In 2023 around 30% of all employees could work some or all hours at home.    </w:t>
      </w:r>
    </w:p>
    <w:p w14:paraId="5B3AD952" w14:textId="44F614E0" w:rsidR="007A6A1A" w:rsidRPr="00167CB8" w:rsidRDefault="007A6A1A" w:rsidP="00650687">
      <w:pPr>
        <w:pStyle w:val="Heading5"/>
      </w:pPr>
      <w:r w:rsidRPr="00167CB8">
        <w:rPr>
          <w:i/>
          <w:iCs/>
        </w:rPr>
        <w:t>2</w:t>
      </w:r>
      <w:r w:rsidRPr="00167CB8">
        <w:t>.6.3 Fixed</w:t>
      </w:r>
      <w:r w:rsidR="00A461FB" w:rsidRPr="00167CB8">
        <w:t>-</w:t>
      </w:r>
      <w:r w:rsidRPr="00167CB8">
        <w:t>term contracts</w:t>
      </w:r>
    </w:p>
    <w:p w14:paraId="7BAFFB3F" w14:textId="2DDBD0A2" w:rsidR="007A6A1A" w:rsidRPr="00167CB8" w:rsidRDefault="007A6A1A" w:rsidP="007A6A1A">
      <w:pPr>
        <w:spacing w:after="160"/>
        <w:rPr>
          <w:i/>
          <w:iCs/>
        </w:rPr>
      </w:pPr>
      <w:r w:rsidRPr="00167CB8">
        <w:t xml:space="preserve">Figures </w:t>
      </w:r>
      <w:r w:rsidR="00517F42" w:rsidRPr="00167CB8">
        <w:t>30</w:t>
      </w:r>
      <w:r w:rsidRPr="00167CB8">
        <w:t xml:space="preserve"> and </w:t>
      </w:r>
      <w:r w:rsidR="00517F42" w:rsidRPr="00167CB8">
        <w:t>31</w:t>
      </w:r>
      <w:r w:rsidRPr="00167CB8">
        <w:t xml:space="preserve"> show trends in fixed</w:t>
      </w:r>
      <w:r w:rsidR="00A461FB" w:rsidRPr="00167CB8">
        <w:t>-</w:t>
      </w:r>
      <w:r w:rsidRPr="00167CB8">
        <w:t>term employment. Between 2001 and 2023 there has been a 58% growth in the total number of employees on fixed</w:t>
      </w:r>
      <w:r w:rsidR="00A461FB" w:rsidRPr="00167CB8">
        <w:t>-</w:t>
      </w:r>
      <w:r w:rsidRPr="00167CB8">
        <w:t>term contracts. The growth has been faster among women (64% growth) compared to men (52% growth) and parallels growth in the education and training sector. Between 2022 and 2023 there was a sharp growth in the number of men employed under a fixed</w:t>
      </w:r>
      <w:r w:rsidR="00A461FB" w:rsidRPr="00167CB8">
        <w:t>-</w:t>
      </w:r>
      <w:r w:rsidRPr="00167CB8">
        <w:t>term contract. As a share of all employees, male fixed</w:t>
      </w:r>
      <w:r w:rsidR="00A461FB" w:rsidRPr="00167CB8">
        <w:t>-</w:t>
      </w:r>
      <w:r w:rsidRPr="00167CB8">
        <w:t xml:space="preserve">term contracts increased from 7% in 2022 to 9% in 2023. </w:t>
      </w:r>
      <w:r w:rsidRPr="00167CB8">
        <w:rPr>
          <w:i/>
          <w:iCs/>
        </w:rPr>
        <w:br w:type="page"/>
      </w:r>
    </w:p>
    <w:p w14:paraId="2946A5A3" w14:textId="7C7D06E6" w:rsidR="007A6A1A" w:rsidRPr="00167CB8" w:rsidRDefault="007A6A1A" w:rsidP="00470AB9">
      <w:pPr>
        <w:pStyle w:val="Caption"/>
      </w:pPr>
      <w:bookmarkStart w:id="717" w:name="_Toc186991785"/>
      <w:bookmarkStart w:id="718" w:name="_Toc189310818"/>
      <w:r w:rsidRPr="00167CB8">
        <w:lastRenderedPageBreak/>
        <w:t xml:space="preserve">Figure </w:t>
      </w:r>
      <w:r w:rsidR="00517F42" w:rsidRPr="00167CB8">
        <w:t>30</w:t>
      </w:r>
      <w:r w:rsidRPr="00167CB8">
        <w:t>: Trends in the number of employees who are employed via a fixed</w:t>
      </w:r>
      <w:r w:rsidR="00A461FB" w:rsidRPr="00167CB8">
        <w:t>-</w:t>
      </w:r>
      <w:r w:rsidRPr="00167CB8">
        <w:t>term contract, by gender</w:t>
      </w:r>
      <w:bookmarkEnd w:id="717"/>
      <w:bookmarkEnd w:id="718"/>
      <w:r w:rsidRPr="00167CB8">
        <w:t xml:space="preserve"> </w:t>
      </w:r>
    </w:p>
    <w:p w14:paraId="164D1A89" w14:textId="77777777" w:rsidR="007A6A1A" w:rsidRPr="00167CB8" w:rsidRDefault="007A6A1A" w:rsidP="007A6A1A">
      <w:pPr>
        <w:spacing w:after="160"/>
        <w:rPr>
          <w:i/>
          <w:iCs/>
        </w:rPr>
      </w:pPr>
      <w:r w:rsidRPr="00167CB8">
        <w:rPr>
          <w:noProof/>
        </w:rPr>
        <w:drawing>
          <wp:inline distT="0" distB="0" distL="0" distR="0" wp14:anchorId="1E0F6A77" wp14:editId="50741F89">
            <wp:extent cx="5731510" cy="3750945"/>
            <wp:effectExtent l="0" t="0" r="2540" b="1905"/>
            <wp:docPr id="1927185314" name="Picture 59"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 descr="A graph of a number of people&#10;&#10;Description automatically generated with medium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26FFB5B7" w14:textId="435C8988" w:rsidR="007A6A1A" w:rsidRPr="00167CB8" w:rsidRDefault="007A6A1A" w:rsidP="00A461FB">
      <w:pPr>
        <w:pStyle w:val="Source"/>
      </w:pPr>
      <w:r w:rsidRPr="00167CB8">
        <w:rPr>
          <w:b/>
          <w:bCs/>
        </w:rPr>
        <w:t>Source:</w:t>
      </w:r>
      <w:r w:rsidRPr="00167CB8">
        <w:t xml:space="preserve"> HILDA, waves 1</w:t>
      </w:r>
      <w:r w:rsidR="00A461FB" w:rsidRPr="00167CB8">
        <w:rPr>
          <w:rFonts w:ascii="Symbol" w:eastAsia="Symbol" w:hAnsi="Symbol" w:cs="Symbol"/>
        </w:rPr>
        <w:sym w:font="Symbol" w:char="F02D"/>
      </w:r>
      <w:r w:rsidRPr="00167CB8">
        <w:t>23</w:t>
      </w:r>
      <w:r w:rsidR="00A461FB" w:rsidRPr="00167CB8">
        <w:t>.</w:t>
      </w:r>
    </w:p>
    <w:p w14:paraId="6190D3FB" w14:textId="30A61BCD" w:rsidR="007A6A1A" w:rsidRPr="00167CB8" w:rsidRDefault="007A6A1A" w:rsidP="00A461FB">
      <w:pPr>
        <w:pStyle w:val="Source"/>
      </w:pPr>
      <w:r w:rsidRPr="00167CB8">
        <w:rPr>
          <w:b/>
          <w:bCs/>
        </w:rPr>
        <w:t>Alt-text:</w:t>
      </w:r>
      <w:r w:rsidRPr="00167CB8">
        <w:t xml:space="preserve"> </w:t>
      </w:r>
      <w:r w:rsidR="00A461FB" w:rsidRPr="00167CB8">
        <w:t>A</w:t>
      </w:r>
      <w:r w:rsidRPr="00167CB8">
        <w:t xml:space="preserve"> line chart showing the number of men and women who are employees and engaged using a fixed</w:t>
      </w:r>
      <w:r w:rsidR="00A461FB" w:rsidRPr="00167CB8">
        <w:t>-</w:t>
      </w:r>
      <w:r w:rsidRPr="00167CB8">
        <w:t>term contract. In 2001 there were 326,148 female employees on fixed</w:t>
      </w:r>
      <w:r w:rsidR="00A461FB" w:rsidRPr="00167CB8">
        <w:t>-</w:t>
      </w:r>
      <w:r w:rsidRPr="00167CB8">
        <w:t>term contracts. By 2023 this number stood at 533,875 (a 64% increase). The number of employees on fixed</w:t>
      </w:r>
      <w:r w:rsidR="00A461FB" w:rsidRPr="00167CB8">
        <w:t>-</w:t>
      </w:r>
      <w:r w:rsidRPr="00167CB8">
        <w:t>term contracts who work in the education and training sector peaked in 2017 at 278,950.</w:t>
      </w:r>
    </w:p>
    <w:p w14:paraId="722428D3" w14:textId="77777777" w:rsidR="007A6A1A" w:rsidRPr="00167CB8" w:rsidRDefault="007A6A1A" w:rsidP="007A6A1A">
      <w:pPr>
        <w:spacing w:after="160"/>
        <w:rPr>
          <w:i/>
          <w:iCs/>
        </w:rPr>
      </w:pPr>
      <w:r w:rsidRPr="00167CB8">
        <w:br w:type="page"/>
      </w:r>
    </w:p>
    <w:p w14:paraId="703F24C1" w14:textId="637EB33E" w:rsidR="007A6A1A" w:rsidRPr="00167CB8" w:rsidRDefault="007A6A1A" w:rsidP="00470AB9">
      <w:pPr>
        <w:pStyle w:val="Caption"/>
      </w:pPr>
      <w:bookmarkStart w:id="719" w:name="_Toc186991786"/>
      <w:bookmarkStart w:id="720" w:name="_Toc189310819"/>
      <w:r w:rsidRPr="00167CB8">
        <w:lastRenderedPageBreak/>
        <w:t xml:space="preserve">Figure </w:t>
      </w:r>
      <w:r w:rsidR="00517F42" w:rsidRPr="00167CB8">
        <w:t>31</w:t>
      </w:r>
      <w:r w:rsidRPr="00167CB8">
        <w:t>: Trends in the share of employees who are on fixed</w:t>
      </w:r>
      <w:r w:rsidR="00A461FB" w:rsidRPr="00167CB8">
        <w:t>-</w:t>
      </w:r>
      <w:r w:rsidRPr="00167CB8">
        <w:t>term contracts, by gender</w:t>
      </w:r>
      <w:bookmarkEnd w:id="719"/>
      <w:bookmarkEnd w:id="720"/>
    </w:p>
    <w:p w14:paraId="4171F4ED" w14:textId="77777777" w:rsidR="007A6A1A" w:rsidRPr="00167CB8" w:rsidRDefault="007A6A1A" w:rsidP="007A6A1A">
      <w:pPr>
        <w:spacing w:after="160"/>
      </w:pPr>
      <w:r w:rsidRPr="00167CB8">
        <w:rPr>
          <w:noProof/>
        </w:rPr>
        <w:drawing>
          <wp:inline distT="0" distB="0" distL="0" distR="0" wp14:anchorId="11EAAF7A" wp14:editId="735A9397">
            <wp:extent cx="5731510" cy="3750945"/>
            <wp:effectExtent l="0" t="0" r="2540" b="1905"/>
            <wp:docPr id="1636292976" name="Picture 58"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4BCE08D4" w14:textId="49F5E2AC" w:rsidR="007A6A1A" w:rsidRPr="00167CB8" w:rsidRDefault="007A6A1A" w:rsidP="00A461FB">
      <w:pPr>
        <w:pStyle w:val="Source"/>
      </w:pPr>
      <w:r w:rsidRPr="00167CB8">
        <w:rPr>
          <w:b/>
          <w:bCs/>
        </w:rPr>
        <w:t>Source:</w:t>
      </w:r>
      <w:r w:rsidRPr="00167CB8">
        <w:t xml:space="preserve"> HILDA, waves 1</w:t>
      </w:r>
      <w:r w:rsidR="00A461FB" w:rsidRPr="00167CB8">
        <w:rPr>
          <w:rFonts w:ascii="Symbol" w:eastAsia="Symbol" w:hAnsi="Symbol" w:cs="Symbol"/>
        </w:rPr>
        <w:sym w:font="Symbol" w:char="F02D"/>
      </w:r>
      <w:r w:rsidRPr="00167CB8">
        <w:t>23</w:t>
      </w:r>
      <w:r w:rsidR="00A461FB" w:rsidRPr="00167CB8">
        <w:t>.</w:t>
      </w:r>
    </w:p>
    <w:p w14:paraId="35605041" w14:textId="163DAF14" w:rsidR="007A6A1A" w:rsidRPr="00167CB8" w:rsidRDefault="007A6A1A" w:rsidP="00A461FB">
      <w:pPr>
        <w:pStyle w:val="Source"/>
      </w:pPr>
      <w:r w:rsidRPr="00167CB8">
        <w:rPr>
          <w:b/>
          <w:bCs/>
        </w:rPr>
        <w:t>Alt-text:</w:t>
      </w:r>
      <w:r w:rsidRPr="00167CB8">
        <w:t xml:space="preserve"> </w:t>
      </w:r>
      <w:r w:rsidR="00A461FB" w:rsidRPr="00167CB8">
        <w:t>A</w:t>
      </w:r>
      <w:r w:rsidRPr="00167CB8">
        <w:t xml:space="preserve"> line chart showing the share of employees, by gender, who are on fixed</w:t>
      </w:r>
      <w:r w:rsidR="00A461FB" w:rsidRPr="00167CB8">
        <w:t>-</w:t>
      </w:r>
      <w:r w:rsidRPr="00167CB8">
        <w:t xml:space="preserve">term contracts. The share averaged 9% for men and 10% for women between 2001 and 2018. It peaked in 2019 among women at 12%. Since 2022 it has decline for women and increased, sharply, among men. In the education and training sector the share peaked at 24% in 2017. </w:t>
      </w:r>
    </w:p>
    <w:p w14:paraId="622AB093" w14:textId="77777777" w:rsidR="00240461" w:rsidRDefault="007A6A1A" w:rsidP="007A6A1A">
      <w:pPr>
        <w:spacing w:after="160"/>
      </w:pPr>
      <w:r w:rsidRPr="00167CB8">
        <w:t xml:space="preserve">In Table </w:t>
      </w:r>
      <w:r w:rsidR="00AB3F4B" w:rsidRPr="00167CB8">
        <w:t>35</w:t>
      </w:r>
      <w:r w:rsidRPr="00167CB8">
        <w:t xml:space="preserve"> the analysis focuses on understanding what share of fixed</w:t>
      </w:r>
      <w:r w:rsidR="00A461FB" w:rsidRPr="00167CB8">
        <w:t>-</w:t>
      </w:r>
      <w:r w:rsidRPr="00167CB8">
        <w:t>term contract holders earn above the high income threshold. In 2023</w:t>
      </w:r>
      <w:r w:rsidR="00A461FB" w:rsidRPr="00167CB8">
        <w:rPr>
          <w:rFonts w:ascii="Symbol" w:eastAsia="Symbol" w:hAnsi="Symbol" w:cs="Symbol"/>
        </w:rPr>
        <w:t>-</w:t>
      </w:r>
      <w:r w:rsidRPr="00167CB8">
        <w:t xml:space="preserve">24 financial year, persons earning more than $167,500 on an annual basis were exempt from the new provisions in the </w:t>
      </w:r>
      <w:r w:rsidR="00A461FB" w:rsidRPr="00167CB8">
        <w:t xml:space="preserve">Secure Jobs, Better Pay </w:t>
      </w:r>
      <w:r w:rsidRPr="00167CB8">
        <w:t>Act concerning limits on fixed</w:t>
      </w:r>
      <w:r w:rsidR="00A461FB" w:rsidRPr="00167CB8">
        <w:t>-</w:t>
      </w:r>
      <w:r w:rsidRPr="00167CB8">
        <w:t>term contracts. To estimate the share</w:t>
      </w:r>
      <w:r w:rsidR="00A461FB" w:rsidRPr="00167CB8">
        <w:t>,</w:t>
      </w:r>
      <w:r w:rsidRPr="00167CB8">
        <w:t xml:space="preserve"> hourly earnings in HILDA were computed as usual weekly earnings divided by usual hours worked. These were deflated into 2023 prices and then multiplied by 38 (for 38 hours) and 52 (for 52 weeks). A dummy variable was then created and set equal to 1 if a persons usual hourly earnings, on a full-time equivalent basis, exceeded the $167,500 threshold. </w:t>
      </w:r>
    </w:p>
    <w:p w14:paraId="1A600B96" w14:textId="25A02D3C" w:rsidR="007A6A1A" w:rsidRPr="00167CB8" w:rsidRDefault="007A6A1A" w:rsidP="007A6A1A">
      <w:pPr>
        <w:spacing w:after="160"/>
      </w:pPr>
      <w:r w:rsidRPr="00167CB8">
        <w:t xml:space="preserve">The </w:t>
      </w:r>
      <w:r w:rsidR="001F125D">
        <w:t xml:space="preserve">descriptive data </w:t>
      </w:r>
      <w:r w:rsidRPr="00167CB8">
        <w:t xml:space="preserve">in Table </w:t>
      </w:r>
      <w:r w:rsidR="00E172D4" w:rsidRPr="00167CB8">
        <w:t>35</w:t>
      </w:r>
      <w:r w:rsidRPr="00167CB8">
        <w:t xml:space="preserve"> show that</w:t>
      </w:r>
      <w:r w:rsidR="001F125D">
        <w:t>,</w:t>
      </w:r>
      <w:r w:rsidRPr="00167CB8">
        <w:t xml:space="preserve"> over the 23 years of HILDA data (2001 to 2023)</w:t>
      </w:r>
      <w:r w:rsidR="001F125D">
        <w:t xml:space="preserve">, </w:t>
      </w:r>
      <w:r w:rsidRPr="00167CB8">
        <w:t>10% of all employees were on a fixed</w:t>
      </w:r>
      <w:r w:rsidR="00A461FB" w:rsidRPr="00167CB8">
        <w:t>-</w:t>
      </w:r>
      <w:r w:rsidRPr="00167CB8">
        <w:t>term contract. This falls to 9% among a sample where hourly earnings are below the threshold and rises to 14% for a sample where hourly earnings are above the threshold. The results are consistent with earlier findings showing that professionals have the greatest likelihood of being on a fixed</w:t>
      </w:r>
      <w:r w:rsidR="00A461FB" w:rsidRPr="00167CB8">
        <w:t>-</w:t>
      </w:r>
      <w:r w:rsidRPr="00167CB8">
        <w:t>term contract.</w:t>
      </w:r>
    </w:p>
    <w:p w14:paraId="48D5AB91" w14:textId="77777777" w:rsidR="002154E6" w:rsidRDefault="002154E6">
      <w:pPr>
        <w:spacing w:after="160"/>
        <w:rPr>
          <w:rFonts w:cs="Calibri"/>
          <w:b/>
          <w:bCs/>
          <w:lang w:val="en-US"/>
        </w:rPr>
      </w:pPr>
      <w:bookmarkStart w:id="721" w:name="_Toc186991813"/>
      <w:bookmarkStart w:id="722" w:name="_Toc189310864"/>
      <w:r>
        <w:br w:type="page"/>
      </w:r>
    </w:p>
    <w:p w14:paraId="06174AC4" w14:textId="4823C725" w:rsidR="007A6A1A" w:rsidRPr="00167CB8" w:rsidRDefault="007A6A1A" w:rsidP="00470AB9">
      <w:pPr>
        <w:pStyle w:val="Caption"/>
      </w:pPr>
      <w:r w:rsidRPr="00167CB8">
        <w:lastRenderedPageBreak/>
        <w:t xml:space="preserve">Table </w:t>
      </w:r>
      <w:r w:rsidR="00F66AFB" w:rsidRPr="00167CB8">
        <w:t>35</w:t>
      </w:r>
      <w:r w:rsidR="00071DD3" w:rsidRPr="00167CB8">
        <w:t>:</w:t>
      </w:r>
      <w:r w:rsidRPr="00167CB8">
        <w:t xml:space="preserve"> Share of fixed</w:t>
      </w:r>
      <w:r w:rsidR="00A14864" w:rsidRPr="00167CB8">
        <w:t>-</w:t>
      </w:r>
      <w:r w:rsidRPr="00167CB8">
        <w:t>term contract holders who earn over the high income threshold?</w:t>
      </w:r>
      <w:bookmarkEnd w:id="721"/>
      <w:bookmarkEnd w:id="722"/>
    </w:p>
    <w:tbl>
      <w:tblPr>
        <w:tblW w:w="914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6"/>
        <w:gridCol w:w="1396"/>
        <w:gridCol w:w="2153"/>
        <w:gridCol w:w="1454"/>
        <w:gridCol w:w="1630"/>
      </w:tblGrid>
      <w:tr w:rsidR="007A6A1A" w:rsidRPr="00167CB8" w14:paraId="4E2C4A72" w14:textId="77777777" w:rsidTr="005D0C30">
        <w:trPr>
          <w:trHeight w:val="650"/>
        </w:trPr>
        <w:tc>
          <w:tcPr>
            <w:tcW w:w="2516" w:type="dxa"/>
            <w:tcBorders>
              <w:top w:val="single" w:sz="4" w:space="0" w:color="auto"/>
              <w:bottom w:val="nil"/>
            </w:tcBorders>
            <w:noWrap/>
            <w:vAlign w:val="center"/>
            <w:hideMark/>
          </w:tcPr>
          <w:p w14:paraId="469BE5B1" w14:textId="77777777" w:rsidR="007A6A1A" w:rsidRPr="00167CB8" w:rsidRDefault="007A6A1A" w:rsidP="007A6A1A">
            <w:pPr>
              <w:spacing w:after="160"/>
            </w:pPr>
          </w:p>
        </w:tc>
        <w:tc>
          <w:tcPr>
            <w:tcW w:w="1396" w:type="dxa"/>
            <w:tcBorders>
              <w:top w:val="single" w:sz="4" w:space="0" w:color="auto"/>
              <w:bottom w:val="nil"/>
              <w:right w:val="single" w:sz="4" w:space="0" w:color="auto"/>
            </w:tcBorders>
            <w:noWrap/>
            <w:vAlign w:val="center"/>
            <w:hideMark/>
          </w:tcPr>
          <w:p w14:paraId="65C7A2BF" w14:textId="77777777" w:rsidR="007A6A1A" w:rsidRPr="00167CB8" w:rsidRDefault="007A6A1A" w:rsidP="007A6A1A">
            <w:pPr>
              <w:spacing w:after="160"/>
            </w:pPr>
          </w:p>
        </w:tc>
        <w:tc>
          <w:tcPr>
            <w:tcW w:w="5237" w:type="dxa"/>
            <w:gridSpan w:val="3"/>
            <w:tcBorders>
              <w:top w:val="single" w:sz="4" w:space="0" w:color="auto"/>
              <w:left w:val="single" w:sz="4" w:space="0" w:color="auto"/>
              <w:bottom w:val="nil"/>
            </w:tcBorders>
            <w:noWrap/>
            <w:vAlign w:val="center"/>
            <w:hideMark/>
          </w:tcPr>
          <w:p w14:paraId="36BB655C" w14:textId="0834126E" w:rsidR="007A6A1A" w:rsidRPr="00AE5395" w:rsidRDefault="00AE5395" w:rsidP="007A6A1A">
            <w:pPr>
              <w:spacing w:after="160"/>
              <w:rPr>
                <w:b/>
                <w:bCs/>
              </w:rPr>
            </w:pPr>
            <w:r w:rsidRPr="00AE5395">
              <w:rPr>
                <w:b/>
                <w:bCs/>
              </w:rPr>
              <w:t>E</w:t>
            </w:r>
            <w:r w:rsidR="007A6A1A" w:rsidRPr="00AE5395">
              <w:rPr>
                <w:b/>
                <w:bCs/>
              </w:rPr>
              <w:t>arns over $167,500 on an annual equivalent basis (in 2023 prices)</w:t>
            </w:r>
          </w:p>
        </w:tc>
      </w:tr>
      <w:tr w:rsidR="007A6A1A" w:rsidRPr="00167CB8" w14:paraId="01CE5E8F" w14:textId="77777777" w:rsidTr="005D0C30">
        <w:trPr>
          <w:trHeight w:val="328"/>
        </w:trPr>
        <w:tc>
          <w:tcPr>
            <w:tcW w:w="2516" w:type="dxa"/>
            <w:tcBorders>
              <w:top w:val="nil"/>
              <w:bottom w:val="single" w:sz="4" w:space="0" w:color="auto"/>
            </w:tcBorders>
            <w:noWrap/>
            <w:vAlign w:val="center"/>
            <w:hideMark/>
          </w:tcPr>
          <w:p w14:paraId="1430D0F5" w14:textId="77777777" w:rsidR="007A6A1A" w:rsidRPr="00167CB8" w:rsidRDefault="007A6A1A" w:rsidP="007A6A1A">
            <w:pPr>
              <w:spacing w:after="160"/>
            </w:pPr>
          </w:p>
        </w:tc>
        <w:tc>
          <w:tcPr>
            <w:tcW w:w="1396" w:type="dxa"/>
            <w:tcBorders>
              <w:top w:val="nil"/>
              <w:bottom w:val="single" w:sz="4" w:space="0" w:color="auto"/>
              <w:right w:val="single" w:sz="4" w:space="0" w:color="auto"/>
            </w:tcBorders>
            <w:noWrap/>
            <w:vAlign w:val="center"/>
            <w:hideMark/>
          </w:tcPr>
          <w:p w14:paraId="2FCCFCCE" w14:textId="77777777" w:rsidR="007A6A1A" w:rsidRPr="00167CB8" w:rsidRDefault="007A6A1A" w:rsidP="007A6A1A">
            <w:pPr>
              <w:spacing w:after="160"/>
            </w:pPr>
          </w:p>
        </w:tc>
        <w:tc>
          <w:tcPr>
            <w:tcW w:w="2153" w:type="dxa"/>
            <w:tcBorders>
              <w:top w:val="nil"/>
              <w:left w:val="single" w:sz="4" w:space="0" w:color="auto"/>
              <w:bottom w:val="single" w:sz="4" w:space="0" w:color="auto"/>
            </w:tcBorders>
            <w:noWrap/>
            <w:vAlign w:val="center"/>
            <w:hideMark/>
          </w:tcPr>
          <w:p w14:paraId="660B2E58" w14:textId="77777777" w:rsidR="007A6A1A" w:rsidRPr="00AE5395" w:rsidRDefault="007A6A1A" w:rsidP="007A6A1A">
            <w:pPr>
              <w:spacing w:after="160"/>
              <w:rPr>
                <w:b/>
                <w:bCs/>
              </w:rPr>
            </w:pPr>
            <w:r w:rsidRPr="00AE5395">
              <w:rPr>
                <w:b/>
                <w:bCs/>
              </w:rPr>
              <w:t>no</w:t>
            </w:r>
          </w:p>
        </w:tc>
        <w:tc>
          <w:tcPr>
            <w:tcW w:w="1454" w:type="dxa"/>
            <w:tcBorders>
              <w:top w:val="nil"/>
              <w:bottom w:val="single" w:sz="4" w:space="0" w:color="auto"/>
            </w:tcBorders>
            <w:noWrap/>
            <w:vAlign w:val="center"/>
            <w:hideMark/>
          </w:tcPr>
          <w:p w14:paraId="55FDD90F" w14:textId="77777777" w:rsidR="007A6A1A" w:rsidRPr="00AE5395" w:rsidRDefault="007A6A1A" w:rsidP="007A6A1A">
            <w:pPr>
              <w:spacing w:after="160"/>
              <w:rPr>
                <w:b/>
                <w:bCs/>
              </w:rPr>
            </w:pPr>
            <w:r w:rsidRPr="00AE5395">
              <w:rPr>
                <w:b/>
                <w:bCs/>
              </w:rPr>
              <w:t>yes</w:t>
            </w:r>
          </w:p>
        </w:tc>
        <w:tc>
          <w:tcPr>
            <w:tcW w:w="1629" w:type="dxa"/>
            <w:tcBorders>
              <w:top w:val="nil"/>
              <w:bottom w:val="single" w:sz="4" w:space="0" w:color="auto"/>
            </w:tcBorders>
            <w:noWrap/>
            <w:vAlign w:val="center"/>
            <w:hideMark/>
          </w:tcPr>
          <w:p w14:paraId="067CEE4B" w14:textId="77777777" w:rsidR="007A6A1A" w:rsidRPr="00AE5395" w:rsidRDefault="007A6A1A" w:rsidP="007A6A1A">
            <w:pPr>
              <w:spacing w:after="160"/>
              <w:rPr>
                <w:b/>
                <w:bCs/>
              </w:rPr>
            </w:pPr>
            <w:r w:rsidRPr="00AE5395">
              <w:rPr>
                <w:b/>
                <w:bCs/>
              </w:rPr>
              <w:t>Total employees</w:t>
            </w:r>
          </w:p>
        </w:tc>
      </w:tr>
      <w:tr w:rsidR="007A6A1A" w:rsidRPr="00167CB8" w14:paraId="552C89D3" w14:textId="77777777" w:rsidTr="005D0C30">
        <w:trPr>
          <w:trHeight w:val="328"/>
        </w:trPr>
        <w:tc>
          <w:tcPr>
            <w:tcW w:w="2516" w:type="dxa"/>
            <w:vMerge w:val="restart"/>
            <w:tcBorders>
              <w:top w:val="single" w:sz="4" w:space="0" w:color="auto"/>
            </w:tcBorders>
            <w:noWrap/>
            <w:vAlign w:val="center"/>
          </w:tcPr>
          <w:p w14:paraId="650E46F9" w14:textId="236CE265" w:rsidR="007A6A1A" w:rsidRPr="00AE5395" w:rsidRDefault="007A6A1A" w:rsidP="007A6A1A">
            <w:pPr>
              <w:spacing w:after="160"/>
              <w:rPr>
                <w:b/>
                <w:bCs/>
              </w:rPr>
            </w:pPr>
            <w:r w:rsidRPr="00AE5395">
              <w:rPr>
                <w:b/>
                <w:bCs/>
              </w:rPr>
              <w:t>Fixed</w:t>
            </w:r>
            <w:r w:rsidR="006B272C" w:rsidRPr="00AE5395">
              <w:rPr>
                <w:b/>
                <w:bCs/>
              </w:rPr>
              <w:t>-</w:t>
            </w:r>
            <w:r w:rsidRPr="00AE5395">
              <w:rPr>
                <w:b/>
                <w:bCs/>
              </w:rPr>
              <w:t>term contract?</w:t>
            </w:r>
          </w:p>
          <w:p w14:paraId="6FC5B30C" w14:textId="77777777" w:rsidR="007A6A1A" w:rsidRPr="00AE5395" w:rsidRDefault="007A6A1A" w:rsidP="007A6A1A">
            <w:pPr>
              <w:spacing w:after="160"/>
              <w:rPr>
                <w:b/>
                <w:bCs/>
              </w:rPr>
            </w:pPr>
          </w:p>
          <w:p w14:paraId="0E72B61E" w14:textId="77777777" w:rsidR="007A6A1A" w:rsidRPr="00AE5395" w:rsidRDefault="007A6A1A" w:rsidP="007A6A1A">
            <w:pPr>
              <w:spacing w:after="160"/>
              <w:rPr>
                <w:b/>
                <w:bCs/>
              </w:rPr>
            </w:pPr>
          </w:p>
        </w:tc>
        <w:tc>
          <w:tcPr>
            <w:tcW w:w="1396" w:type="dxa"/>
            <w:tcBorders>
              <w:top w:val="single" w:sz="4" w:space="0" w:color="auto"/>
              <w:right w:val="single" w:sz="4" w:space="0" w:color="auto"/>
            </w:tcBorders>
            <w:noWrap/>
            <w:vAlign w:val="center"/>
            <w:hideMark/>
          </w:tcPr>
          <w:p w14:paraId="61C15FF5" w14:textId="77777777" w:rsidR="007A6A1A" w:rsidRPr="00AE5395" w:rsidRDefault="007A6A1A" w:rsidP="007A6A1A">
            <w:pPr>
              <w:spacing w:after="160"/>
              <w:rPr>
                <w:b/>
                <w:bCs/>
              </w:rPr>
            </w:pPr>
            <w:r w:rsidRPr="00AE5395">
              <w:rPr>
                <w:b/>
                <w:bCs/>
              </w:rPr>
              <w:t>no</w:t>
            </w:r>
          </w:p>
        </w:tc>
        <w:tc>
          <w:tcPr>
            <w:tcW w:w="2153" w:type="dxa"/>
            <w:tcBorders>
              <w:top w:val="single" w:sz="4" w:space="0" w:color="auto"/>
              <w:left w:val="single" w:sz="4" w:space="0" w:color="auto"/>
            </w:tcBorders>
            <w:noWrap/>
            <w:vAlign w:val="center"/>
            <w:hideMark/>
          </w:tcPr>
          <w:p w14:paraId="528B29A5" w14:textId="77777777" w:rsidR="007A6A1A" w:rsidRPr="00167CB8" w:rsidRDefault="007A6A1A" w:rsidP="007A6A1A">
            <w:pPr>
              <w:spacing w:after="160"/>
            </w:pPr>
            <w:r w:rsidRPr="00167CB8">
              <w:t>152,184</w:t>
            </w:r>
          </w:p>
        </w:tc>
        <w:tc>
          <w:tcPr>
            <w:tcW w:w="1454" w:type="dxa"/>
            <w:tcBorders>
              <w:top w:val="single" w:sz="4" w:space="0" w:color="auto"/>
            </w:tcBorders>
            <w:noWrap/>
            <w:vAlign w:val="center"/>
            <w:hideMark/>
          </w:tcPr>
          <w:p w14:paraId="3FC99182" w14:textId="77777777" w:rsidR="007A6A1A" w:rsidRPr="00167CB8" w:rsidRDefault="007A6A1A" w:rsidP="007A6A1A">
            <w:pPr>
              <w:spacing w:after="160"/>
            </w:pPr>
            <w:r w:rsidRPr="00167CB8">
              <w:t>7,472</w:t>
            </w:r>
          </w:p>
        </w:tc>
        <w:tc>
          <w:tcPr>
            <w:tcW w:w="1629" w:type="dxa"/>
            <w:tcBorders>
              <w:top w:val="single" w:sz="4" w:space="0" w:color="auto"/>
            </w:tcBorders>
            <w:noWrap/>
            <w:vAlign w:val="center"/>
            <w:hideMark/>
          </w:tcPr>
          <w:p w14:paraId="32DFF7A7" w14:textId="77777777" w:rsidR="007A6A1A" w:rsidRPr="00167CB8" w:rsidRDefault="007A6A1A" w:rsidP="007A6A1A">
            <w:pPr>
              <w:spacing w:after="160"/>
            </w:pPr>
            <w:r w:rsidRPr="00167CB8">
              <w:t>159,656</w:t>
            </w:r>
          </w:p>
        </w:tc>
      </w:tr>
      <w:tr w:rsidR="007A6A1A" w:rsidRPr="00167CB8" w14:paraId="26F0B37E" w14:textId="77777777" w:rsidTr="005D0C30">
        <w:trPr>
          <w:trHeight w:val="328"/>
        </w:trPr>
        <w:tc>
          <w:tcPr>
            <w:tcW w:w="0" w:type="auto"/>
            <w:vMerge/>
            <w:vAlign w:val="center"/>
            <w:hideMark/>
          </w:tcPr>
          <w:p w14:paraId="28B03A6C" w14:textId="77777777" w:rsidR="007A6A1A" w:rsidRPr="00AE5395" w:rsidRDefault="007A6A1A" w:rsidP="007A6A1A">
            <w:pPr>
              <w:spacing w:after="160"/>
              <w:rPr>
                <w:b/>
                <w:bCs/>
              </w:rPr>
            </w:pPr>
          </w:p>
        </w:tc>
        <w:tc>
          <w:tcPr>
            <w:tcW w:w="1396" w:type="dxa"/>
            <w:tcBorders>
              <w:right w:val="single" w:sz="4" w:space="0" w:color="auto"/>
            </w:tcBorders>
            <w:noWrap/>
            <w:vAlign w:val="center"/>
            <w:hideMark/>
          </w:tcPr>
          <w:p w14:paraId="0BBE01C0" w14:textId="77777777" w:rsidR="007A6A1A" w:rsidRPr="00AE5395" w:rsidRDefault="007A6A1A" w:rsidP="007A6A1A">
            <w:pPr>
              <w:spacing w:after="160"/>
              <w:rPr>
                <w:b/>
                <w:bCs/>
              </w:rPr>
            </w:pPr>
          </w:p>
        </w:tc>
        <w:tc>
          <w:tcPr>
            <w:tcW w:w="2153" w:type="dxa"/>
            <w:tcBorders>
              <w:left w:val="single" w:sz="4" w:space="0" w:color="auto"/>
            </w:tcBorders>
            <w:noWrap/>
            <w:vAlign w:val="center"/>
            <w:hideMark/>
          </w:tcPr>
          <w:p w14:paraId="1355E54A" w14:textId="77777777" w:rsidR="007A6A1A" w:rsidRPr="00167CB8" w:rsidRDefault="007A6A1A" w:rsidP="007A6A1A">
            <w:pPr>
              <w:spacing w:after="160"/>
            </w:pPr>
            <w:r w:rsidRPr="00167CB8">
              <w:t>91%</w:t>
            </w:r>
          </w:p>
        </w:tc>
        <w:tc>
          <w:tcPr>
            <w:tcW w:w="1454" w:type="dxa"/>
            <w:noWrap/>
            <w:vAlign w:val="center"/>
            <w:hideMark/>
          </w:tcPr>
          <w:p w14:paraId="614A06BF" w14:textId="77777777" w:rsidR="007A6A1A" w:rsidRPr="00167CB8" w:rsidRDefault="007A6A1A" w:rsidP="007A6A1A">
            <w:pPr>
              <w:spacing w:after="160"/>
            </w:pPr>
            <w:r w:rsidRPr="00167CB8">
              <w:t>86%</w:t>
            </w:r>
          </w:p>
        </w:tc>
        <w:tc>
          <w:tcPr>
            <w:tcW w:w="1629" w:type="dxa"/>
            <w:noWrap/>
            <w:vAlign w:val="center"/>
            <w:hideMark/>
          </w:tcPr>
          <w:p w14:paraId="6FF1B66F" w14:textId="77777777" w:rsidR="007A6A1A" w:rsidRPr="00167CB8" w:rsidRDefault="007A6A1A" w:rsidP="007A6A1A">
            <w:pPr>
              <w:spacing w:after="160"/>
            </w:pPr>
            <w:r w:rsidRPr="00167CB8">
              <w:t>90%</w:t>
            </w:r>
          </w:p>
        </w:tc>
      </w:tr>
      <w:tr w:rsidR="007A6A1A" w:rsidRPr="00167CB8" w14:paraId="3E78975A" w14:textId="77777777" w:rsidTr="005D0C30">
        <w:trPr>
          <w:trHeight w:val="328"/>
        </w:trPr>
        <w:tc>
          <w:tcPr>
            <w:tcW w:w="0" w:type="auto"/>
            <w:vMerge/>
            <w:vAlign w:val="center"/>
            <w:hideMark/>
          </w:tcPr>
          <w:p w14:paraId="7B22A34A" w14:textId="77777777" w:rsidR="007A6A1A" w:rsidRPr="00AE5395" w:rsidRDefault="007A6A1A" w:rsidP="007A6A1A">
            <w:pPr>
              <w:spacing w:after="160"/>
              <w:rPr>
                <w:b/>
                <w:bCs/>
              </w:rPr>
            </w:pPr>
          </w:p>
        </w:tc>
        <w:tc>
          <w:tcPr>
            <w:tcW w:w="1396" w:type="dxa"/>
            <w:tcBorders>
              <w:right w:val="single" w:sz="4" w:space="0" w:color="auto"/>
            </w:tcBorders>
            <w:noWrap/>
            <w:vAlign w:val="center"/>
            <w:hideMark/>
          </w:tcPr>
          <w:p w14:paraId="7ADF48C3" w14:textId="77777777" w:rsidR="007A6A1A" w:rsidRPr="00AE5395" w:rsidRDefault="007A6A1A" w:rsidP="007A6A1A">
            <w:pPr>
              <w:spacing w:after="160"/>
              <w:rPr>
                <w:b/>
                <w:bCs/>
              </w:rPr>
            </w:pPr>
            <w:r w:rsidRPr="00AE5395">
              <w:rPr>
                <w:b/>
                <w:bCs/>
              </w:rPr>
              <w:t>yes</w:t>
            </w:r>
          </w:p>
        </w:tc>
        <w:tc>
          <w:tcPr>
            <w:tcW w:w="2153" w:type="dxa"/>
            <w:tcBorders>
              <w:left w:val="single" w:sz="4" w:space="0" w:color="auto"/>
            </w:tcBorders>
            <w:noWrap/>
            <w:vAlign w:val="center"/>
            <w:hideMark/>
          </w:tcPr>
          <w:p w14:paraId="62F75CD8" w14:textId="77777777" w:rsidR="007A6A1A" w:rsidRPr="00167CB8" w:rsidRDefault="007A6A1A" w:rsidP="007A6A1A">
            <w:pPr>
              <w:spacing w:after="160"/>
            </w:pPr>
            <w:r w:rsidRPr="00167CB8">
              <w:t>15,704</w:t>
            </w:r>
          </w:p>
        </w:tc>
        <w:tc>
          <w:tcPr>
            <w:tcW w:w="1454" w:type="dxa"/>
            <w:noWrap/>
            <w:vAlign w:val="center"/>
            <w:hideMark/>
          </w:tcPr>
          <w:p w14:paraId="46B1BBFC" w14:textId="77777777" w:rsidR="007A6A1A" w:rsidRPr="00167CB8" w:rsidRDefault="007A6A1A" w:rsidP="007A6A1A">
            <w:pPr>
              <w:spacing w:after="160"/>
            </w:pPr>
            <w:r w:rsidRPr="00167CB8">
              <w:t>1,261</w:t>
            </w:r>
          </w:p>
        </w:tc>
        <w:tc>
          <w:tcPr>
            <w:tcW w:w="1629" w:type="dxa"/>
            <w:noWrap/>
            <w:vAlign w:val="center"/>
            <w:hideMark/>
          </w:tcPr>
          <w:p w14:paraId="2B859381" w14:textId="77777777" w:rsidR="007A6A1A" w:rsidRPr="00167CB8" w:rsidRDefault="007A6A1A" w:rsidP="007A6A1A">
            <w:pPr>
              <w:spacing w:after="160"/>
            </w:pPr>
            <w:r w:rsidRPr="00167CB8">
              <w:t>16,964</w:t>
            </w:r>
          </w:p>
        </w:tc>
      </w:tr>
      <w:tr w:rsidR="007A6A1A" w:rsidRPr="00167CB8" w14:paraId="09886A3A" w14:textId="77777777" w:rsidTr="005D0C30">
        <w:trPr>
          <w:trHeight w:val="328"/>
        </w:trPr>
        <w:tc>
          <w:tcPr>
            <w:tcW w:w="0" w:type="auto"/>
            <w:vMerge/>
            <w:vAlign w:val="center"/>
            <w:hideMark/>
          </w:tcPr>
          <w:p w14:paraId="33532938" w14:textId="77777777" w:rsidR="007A6A1A" w:rsidRPr="00AE5395" w:rsidRDefault="007A6A1A" w:rsidP="007A6A1A">
            <w:pPr>
              <w:spacing w:after="160"/>
              <w:rPr>
                <w:b/>
                <w:bCs/>
              </w:rPr>
            </w:pPr>
          </w:p>
        </w:tc>
        <w:tc>
          <w:tcPr>
            <w:tcW w:w="1396" w:type="dxa"/>
            <w:tcBorders>
              <w:right w:val="single" w:sz="4" w:space="0" w:color="auto"/>
            </w:tcBorders>
            <w:noWrap/>
            <w:vAlign w:val="center"/>
            <w:hideMark/>
          </w:tcPr>
          <w:p w14:paraId="186114CD" w14:textId="77777777" w:rsidR="007A6A1A" w:rsidRPr="00AE5395" w:rsidRDefault="007A6A1A" w:rsidP="007A6A1A">
            <w:pPr>
              <w:spacing w:after="160"/>
              <w:rPr>
                <w:b/>
                <w:bCs/>
              </w:rPr>
            </w:pPr>
          </w:p>
        </w:tc>
        <w:tc>
          <w:tcPr>
            <w:tcW w:w="2153" w:type="dxa"/>
            <w:tcBorders>
              <w:left w:val="single" w:sz="4" w:space="0" w:color="auto"/>
            </w:tcBorders>
            <w:noWrap/>
            <w:vAlign w:val="center"/>
            <w:hideMark/>
          </w:tcPr>
          <w:p w14:paraId="5F67AC93" w14:textId="77777777" w:rsidR="007A6A1A" w:rsidRPr="00167CB8" w:rsidRDefault="007A6A1A" w:rsidP="007A6A1A">
            <w:pPr>
              <w:spacing w:after="160"/>
            </w:pPr>
            <w:r w:rsidRPr="00167CB8">
              <w:t>9%</w:t>
            </w:r>
          </w:p>
        </w:tc>
        <w:tc>
          <w:tcPr>
            <w:tcW w:w="1454" w:type="dxa"/>
            <w:noWrap/>
            <w:vAlign w:val="center"/>
            <w:hideMark/>
          </w:tcPr>
          <w:p w14:paraId="275474C5" w14:textId="77777777" w:rsidR="007A6A1A" w:rsidRPr="00167CB8" w:rsidRDefault="007A6A1A" w:rsidP="007A6A1A">
            <w:pPr>
              <w:spacing w:after="160"/>
            </w:pPr>
            <w:r w:rsidRPr="00167CB8">
              <w:t>14%</w:t>
            </w:r>
          </w:p>
        </w:tc>
        <w:tc>
          <w:tcPr>
            <w:tcW w:w="1629" w:type="dxa"/>
            <w:noWrap/>
            <w:vAlign w:val="center"/>
            <w:hideMark/>
          </w:tcPr>
          <w:p w14:paraId="6E107C96" w14:textId="77777777" w:rsidR="007A6A1A" w:rsidRPr="00167CB8" w:rsidRDefault="007A6A1A" w:rsidP="007A6A1A">
            <w:pPr>
              <w:spacing w:after="160"/>
            </w:pPr>
            <w:r w:rsidRPr="00167CB8">
              <w:t>10%</w:t>
            </w:r>
          </w:p>
        </w:tc>
      </w:tr>
      <w:tr w:rsidR="007A6A1A" w:rsidRPr="00167CB8" w14:paraId="6FABD7D7" w14:textId="77777777" w:rsidTr="005D0C30">
        <w:trPr>
          <w:trHeight w:val="328"/>
        </w:trPr>
        <w:tc>
          <w:tcPr>
            <w:tcW w:w="0" w:type="auto"/>
            <w:vMerge/>
            <w:tcBorders>
              <w:bottom w:val="single" w:sz="4" w:space="0" w:color="auto"/>
            </w:tcBorders>
            <w:vAlign w:val="center"/>
            <w:hideMark/>
          </w:tcPr>
          <w:p w14:paraId="515FDD8E" w14:textId="77777777" w:rsidR="007A6A1A" w:rsidRPr="00AE5395" w:rsidRDefault="007A6A1A" w:rsidP="007A6A1A">
            <w:pPr>
              <w:spacing w:after="160"/>
              <w:rPr>
                <w:b/>
                <w:bCs/>
              </w:rPr>
            </w:pPr>
          </w:p>
        </w:tc>
        <w:tc>
          <w:tcPr>
            <w:tcW w:w="1396" w:type="dxa"/>
            <w:tcBorders>
              <w:bottom w:val="single" w:sz="4" w:space="0" w:color="auto"/>
              <w:right w:val="single" w:sz="4" w:space="0" w:color="auto"/>
            </w:tcBorders>
            <w:noWrap/>
            <w:vAlign w:val="center"/>
            <w:hideMark/>
          </w:tcPr>
          <w:p w14:paraId="65C36A0C" w14:textId="77777777" w:rsidR="007A6A1A" w:rsidRPr="00AE5395" w:rsidRDefault="007A6A1A" w:rsidP="007A6A1A">
            <w:pPr>
              <w:spacing w:after="160"/>
              <w:rPr>
                <w:b/>
                <w:bCs/>
              </w:rPr>
            </w:pPr>
            <w:r w:rsidRPr="00AE5395">
              <w:rPr>
                <w:b/>
                <w:bCs/>
              </w:rPr>
              <w:t>Total employees</w:t>
            </w:r>
          </w:p>
        </w:tc>
        <w:tc>
          <w:tcPr>
            <w:tcW w:w="2153" w:type="dxa"/>
            <w:tcBorders>
              <w:left w:val="single" w:sz="4" w:space="0" w:color="auto"/>
            </w:tcBorders>
            <w:noWrap/>
            <w:vAlign w:val="center"/>
            <w:hideMark/>
          </w:tcPr>
          <w:p w14:paraId="14C849EB" w14:textId="77777777" w:rsidR="007A6A1A" w:rsidRPr="00167CB8" w:rsidRDefault="007A6A1A" w:rsidP="007A6A1A">
            <w:pPr>
              <w:spacing w:after="160"/>
            </w:pPr>
            <w:r w:rsidRPr="00167CB8">
              <w:t>167,888</w:t>
            </w:r>
          </w:p>
        </w:tc>
        <w:tc>
          <w:tcPr>
            <w:tcW w:w="1454" w:type="dxa"/>
            <w:noWrap/>
            <w:vAlign w:val="center"/>
            <w:hideMark/>
          </w:tcPr>
          <w:p w14:paraId="62C88400" w14:textId="77777777" w:rsidR="007A6A1A" w:rsidRPr="00167CB8" w:rsidRDefault="007A6A1A" w:rsidP="007A6A1A">
            <w:pPr>
              <w:spacing w:after="160"/>
            </w:pPr>
            <w:r w:rsidRPr="00167CB8">
              <w:t>8,733</w:t>
            </w:r>
          </w:p>
        </w:tc>
        <w:tc>
          <w:tcPr>
            <w:tcW w:w="1629" w:type="dxa"/>
            <w:noWrap/>
            <w:vAlign w:val="center"/>
            <w:hideMark/>
          </w:tcPr>
          <w:p w14:paraId="417CE6B7" w14:textId="77777777" w:rsidR="007A6A1A" w:rsidRPr="00167CB8" w:rsidRDefault="007A6A1A" w:rsidP="007A6A1A">
            <w:pPr>
              <w:spacing w:after="160"/>
            </w:pPr>
            <w:r w:rsidRPr="00167CB8">
              <w:t>176,620</w:t>
            </w:r>
          </w:p>
        </w:tc>
      </w:tr>
    </w:tbl>
    <w:p w14:paraId="2E843962" w14:textId="77777777" w:rsidR="007A6A1A" w:rsidRPr="00167CB8" w:rsidRDefault="007A6A1A" w:rsidP="00A461FB">
      <w:pPr>
        <w:pStyle w:val="Source"/>
        <w:rPr>
          <w:b/>
          <w:bCs/>
        </w:rPr>
      </w:pPr>
      <w:r w:rsidRPr="00167CB8">
        <w:rPr>
          <w:b/>
          <w:bCs/>
        </w:rPr>
        <w:t xml:space="preserve">Note: </w:t>
      </w:r>
    </w:p>
    <w:p w14:paraId="219A3C32" w14:textId="2335FD95" w:rsidR="007A6A1A" w:rsidRPr="00167CB8" w:rsidRDefault="00A461FB" w:rsidP="00A461FB">
      <w:pPr>
        <w:pStyle w:val="Source"/>
      </w:pPr>
      <w:r w:rsidRPr="00167CB8">
        <w:t xml:space="preserve">1. </w:t>
      </w:r>
      <w:r w:rsidR="007A6A1A" w:rsidRPr="00167CB8">
        <w:t>Sample: employees aged 18</w:t>
      </w:r>
      <w:r w:rsidRPr="00167CB8">
        <w:rPr>
          <w:rFonts w:ascii="Symbol" w:eastAsia="Symbol" w:hAnsi="Symbol" w:cs="Symbol"/>
        </w:rPr>
        <w:sym w:font="Symbol" w:char="F02D"/>
      </w:r>
      <w:r w:rsidR="007A6A1A" w:rsidRPr="00167CB8">
        <w:t>64 employed on either a permanent, fixed or casual contract.</w:t>
      </w:r>
    </w:p>
    <w:p w14:paraId="35040A9A" w14:textId="0CB6FD19" w:rsidR="007A6A1A" w:rsidRPr="00167CB8" w:rsidRDefault="00A461FB" w:rsidP="00A461FB">
      <w:pPr>
        <w:pStyle w:val="Source"/>
      </w:pPr>
      <w:r w:rsidRPr="00167CB8">
        <w:t xml:space="preserve">2. </w:t>
      </w:r>
      <w:r w:rsidR="007A6A1A" w:rsidRPr="00167CB8">
        <w:t>Period covered: 2001 to 2023.</w:t>
      </w:r>
    </w:p>
    <w:p w14:paraId="771797E0" w14:textId="2D64EF2C" w:rsidR="007A6A1A" w:rsidRPr="00167CB8" w:rsidRDefault="00A461FB" w:rsidP="00A461FB">
      <w:pPr>
        <w:pStyle w:val="Source"/>
      </w:pPr>
      <w:r w:rsidRPr="00167CB8">
        <w:t xml:space="preserve">3. </w:t>
      </w:r>
      <w:r w:rsidR="007A6A1A" w:rsidRPr="00167CB8">
        <w:t>Estimates weighted to reflect population totals.</w:t>
      </w:r>
    </w:p>
    <w:p w14:paraId="5F2A55B9" w14:textId="694DFC24" w:rsidR="007A6A1A" w:rsidRPr="00167CB8" w:rsidRDefault="007A6A1A" w:rsidP="00A461FB">
      <w:pPr>
        <w:pStyle w:val="Source"/>
      </w:pPr>
      <w:r w:rsidRPr="00167CB8">
        <w:rPr>
          <w:b/>
          <w:bCs/>
        </w:rPr>
        <w:t>Source:</w:t>
      </w:r>
      <w:r w:rsidRPr="00167CB8">
        <w:t xml:space="preserve"> HILDA, waves 1</w:t>
      </w:r>
      <w:r w:rsidR="00A461FB" w:rsidRPr="00167CB8">
        <w:rPr>
          <w:rFonts w:ascii="Symbol" w:eastAsia="Symbol" w:hAnsi="Symbol" w:cs="Symbol"/>
        </w:rPr>
        <w:sym w:font="Symbol" w:char="F02D"/>
      </w:r>
      <w:r w:rsidRPr="00167CB8">
        <w:t>23.</w:t>
      </w:r>
    </w:p>
    <w:p w14:paraId="64DAA82A" w14:textId="5A688903" w:rsidR="007A6A1A" w:rsidRPr="00167CB8" w:rsidRDefault="007A6A1A" w:rsidP="00A461FB">
      <w:pPr>
        <w:pStyle w:val="Source"/>
      </w:pPr>
      <w:r w:rsidRPr="00167CB8">
        <w:rPr>
          <w:b/>
          <w:bCs/>
        </w:rPr>
        <w:t xml:space="preserve">Alt-text:  </w:t>
      </w:r>
      <w:r w:rsidRPr="00167CB8">
        <w:t>A table showing the share of high income earners (those earning above $167,500 in 2023 prices) who are on a fixed</w:t>
      </w:r>
      <w:r w:rsidR="00A461FB" w:rsidRPr="00167CB8">
        <w:t>-</w:t>
      </w:r>
      <w:r w:rsidRPr="00167CB8">
        <w:t>term contract. Estimates show that 14% of employees who are high income earners were on a fixed</w:t>
      </w:r>
      <w:r w:rsidR="00A461FB" w:rsidRPr="00167CB8">
        <w:t>-</w:t>
      </w:r>
      <w:r w:rsidRPr="00167CB8">
        <w:t xml:space="preserve">term contract.  </w:t>
      </w:r>
    </w:p>
    <w:p w14:paraId="27EFF614" w14:textId="726B7679" w:rsidR="007A6A1A" w:rsidRPr="00167CB8" w:rsidRDefault="007A6A1A" w:rsidP="007A6A1A">
      <w:pPr>
        <w:spacing w:after="160"/>
      </w:pPr>
      <w:r w:rsidRPr="00167CB8">
        <w:t xml:space="preserve">In Figure </w:t>
      </w:r>
      <w:r w:rsidR="0083307C" w:rsidRPr="00167CB8">
        <w:t>32</w:t>
      </w:r>
      <w:r w:rsidR="008C12EC" w:rsidRPr="00167CB8">
        <w:t>,</w:t>
      </w:r>
      <w:r w:rsidRPr="00167CB8">
        <w:t xml:space="preserve"> descriptive analysis is used to examine the transition outcomes of employees who are on fixed</w:t>
      </w:r>
      <w:r w:rsidR="00A461FB" w:rsidRPr="00167CB8">
        <w:t>-</w:t>
      </w:r>
      <w:r w:rsidRPr="00167CB8">
        <w:t xml:space="preserve">term contracts. The analysis is based on a sample of HILDA employees who are observed over at least </w:t>
      </w:r>
      <w:r w:rsidR="00A461FB" w:rsidRPr="00167CB8">
        <w:t xml:space="preserve">2 </w:t>
      </w:r>
      <w:r w:rsidRPr="00167CB8">
        <w:t>consecutive waves. The results for 2001 to 2021 (first dark blue bar) show that</w:t>
      </w:r>
      <w:r w:rsidR="00A461FB" w:rsidRPr="00167CB8">
        <w:t>,</w:t>
      </w:r>
      <w:r w:rsidRPr="00167CB8">
        <w:t xml:space="preserve"> over this period, 44% of those who were on a fixed</w:t>
      </w:r>
      <w:r w:rsidR="00A461FB" w:rsidRPr="00167CB8">
        <w:t>-</w:t>
      </w:r>
      <w:r w:rsidRPr="00167CB8">
        <w:t>term contract in period 1 were on a fixed</w:t>
      </w:r>
      <w:r w:rsidR="00A461FB" w:rsidRPr="00167CB8">
        <w:t>-</w:t>
      </w:r>
      <w:r w:rsidRPr="00167CB8">
        <w:t>term contract in period 2, and 49% of those on a fixed</w:t>
      </w:r>
      <w:r w:rsidR="00A461FB" w:rsidRPr="00167CB8">
        <w:t>-</w:t>
      </w:r>
      <w:r w:rsidRPr="00167CB8">
        <w:t>term contract in period 1 were on a permanent contract in period 2. The ‘2023’ results show outcomes among those on a fixed</w:t>
      </w:r>
      <w:r w:rsidR="00A461FB" w:rsidRPr="00167CB8">
        <w:t>-</w:t>
      </w:r>
      <w:r w:rsidRPr="00167CB8">
        <w:t>term contract in 2022 and their status in 2023. The results are qualitatively the same as those for the 2001</w:t>
      </w:r>
      <w:r w:rsidR="00A461FB" w:rsidRPr="00167CB8">
        <w:rPr>
          <w:rFonts w:ascii="Symbol" w:eastAsia="Symbol" w:hAnsi="Symbol" w:cs="Symbol"/>
        </w:rPr>
        <w:t>-</w:t>
      </w:r>
      <w:r w:rsidR="00A461FB" w:rsidRPr="00167CB8">
        <w:t>20</w:t>
      </w:r>
      <w:r w:rsidRPr="00167CB8">
        <w:t xml:space="preserve">21 period. A marginally higher share </w:t>
      </w:r>
      <w:r w:rsidR="00A461FB" w:rsidRPr="00167CB8">
        <w:t>(</w:t>
      </w:r>
      <w:r w:rsidRPr="00167CB8">
        <w:t>50%</w:t>
      </w:r>
      <w:r w:rsidR="00A461FB" w:rsidRPr="00167CB8">
        <w:t>)</w:t>
      </w:r>
      <w:r w:rsidRPr="00167CB8">
        <w:t xml:space="preserve"> transition to a permanent contract and a smaller (6%) transition to a casual contract. The bars labelled ‘2001</w:t>
      </w:r>
      <w:r w:rsidR="00A461FB" w:rsidRPr="00167CB8">
        <w:rPr>
          <w:rFonts w:ascii="Symbol" w:eastAsia="Symbol" w:hAnsi="Symbol" w:cs="Symbol"/>
        </w:rPr>
        <w:t>-</w:t>
      </w:r>
      <w:r w:rsidRPr="00167CB8">
        <w:t xml:space="preserve">23 earning less than the threshold’ show the outcomes for those earning less than the high income threshold (on a full-time, annual, equivalent basis). A slightly higher share transition to having a permanent contract in year 2.  </w:t>
      </w:r>
    </w:p>
    <w:p w14:paraId="53AAEB0C" w14:textId="0EAF3DF3" w:rsidR="007A6A1A" w:rsidRPr="00167CB8" w:rsidRDefault="007A6A1A" w:rsidP="00470AB9">
      <w:pPr>
        <w:pStyle w:val="Caption"/>
      </w:pPr>
      <w:bookmarkStart w:id="723" w:name="_Toc186991787"/>
      <w:bookmarkStart w:id="724" w:name="_Toc189310820"/>
      <w:r w:rsidRPr="00167CB8">
        <w:lastRenderedPageBreak/>
        <w:t xml:space="preserve">Figure </w:t>
      </w:r>
      <w:r w:rsidR="0083307C" w:rsidRPr="00167CB8">
        <w:t>32</w:t>
      </w:r>
      <w:r w:rsidRPr="00167CB8">
        <w:t>: Fixed</w:t>
      </w:r>
      <w:r w:rsidR="00A461FB" w:rsidRPr="00167CB8">
        <w:t>-</w:t>
      </w:r>
      <w:r w:rsidRPr="00167CB8">
        <w:t>term contract transition analysis</w:t>
      </w:r>
      <w:bookmarkEnd w:id="723"/>
      <w:bookmarkEnd w:id="724"/>
    </w:p>
    <w:p w14:paraId="5F0804D2" w14:textId="77777777" w:rsidR="007A6A1A" w:rsidRPr="00167CB8" w:rsidRDefault="007A6A1A" w:rsidP="007A6A1A">
      <w:pPr>
        <w:spacing w:after="160"/>
      </w:pPr>
      <w:r w:rsidRPr="00167CB8">
        <w:rPr>
          <w:noProof/>
        </w:rPr>
        <w:drawing>
          <wp:inline distT="0" distB="0" distL="0" distR="0" wp14:anchorId="74DCF180" wp14:editId="5B29C032">
            <wp:extent cx="5731510" cy="3750945"/>
            <wp:effectExtent l="0" t="0" r="2540" b="1905"/>
            <wp:docPr id="1859260020" name="Picture 57"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descr="A graph of blue and white bars&#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1ADE7D8" w14:textId="77777777" w:rsidR="007A6A1A" w:rsidRPr="00167CB8" w:rsidRDefault="007A6A1A" w:rsidP="00A461FB">
      <w:pPr>
        <w:pStyle w:val="Source"/>
        <w:rPr>
          <w:b/>
          <w:bCs/>
        </w:rPr>
      </w:pPr>
      <w:r w:rsidRPr="00167CB8">
        <w:rPr>
          <w:b/>
          <w:bCs/>
        </w:rPr>
        <w:t>Notes:</w:t>
      </w:r>
    </w:p>
    <w:p w14:paraId="17A43777" w14:textId="4CCA5D6E" w:rsidR="007A6A1A" w:rsidRPr="00167CB8" w:rsidRDefault="00A461FB" w:rsidP="00A461FB">
      <w:pPr>
        <w:pStyle w:val="Source"/>
      </w:pPr>
      <w:r w:rsidRPr="00167CB8">
        <w:t xml:space="preserve">1. </w:t>
      </w:r>
      <w:r w:rsidR="007A6A1A" w:rsidRPr="00167CB8">
        <w:t>Employees aged 18</w:t>
      </w:r>
      <w:r w:rsidRPr="00167CB8">
        <w:rPr>
          <w:rFonts w:ascii="Symbol" w:eastAsia="Symbol" w:hAnsi="Symbol" w:cs="Symbol"/>
        </w:rPr>
        <w:sym w:font="Symbol" w:char="F02D"/>
      </w:r>
      <w:r w:rsidR="007A6A1A" w:rsidRPr="00167CB8">
        <w:t xml:space="preserve">64, excludes employees in agriculture and restricts the sample to those observed in at least </w:t>
      </w:r>
      <w:r w:rsidRPr="00167CB8">
        <w:t xml:space="preserve">2 </w:t>
      </w:r>
      <w:r w:rsidR="007A6A1A" w:rsidRPr="00167CB8">
        <w:t>consecutive waves of data.</w:t>
      </w:r>
    </w:p>
    <w:p w14:paraId="11F09C96" w14:textId="52AF3B52" w:rsidR="007A6A1A" w:rsidRPr="00167CB8" w:rsidRDefault="00A461FB" w:rsidP="00A461FB">
      <w:pPr>
        <w:pStyle w:val="Source"/>
      </w:pPr>
      <w:r w:rsidRPr="00167CB8">
        <w:t xml:space="preserve">2. </w:t>
      </w:r>
      <w:r w:rsidR="007A6A1A" w:rsidRPr="00167CB8">
        <w:t>Estimates weighted to reflect population totals.</w:t>
      </w:r>
    </w:p>
    <w:p w14:paraId="56B3DD7D" w14:textId="0A6F2B3E" w:rsidR="007A6A1A" w:rsidRPr="00167CB8" w:rsidRDefault="007A6A1A" w:rsidP="00A461FB">
      <w:pPr>
        <w:pStyle w:val="Source"/>
      </w:pPr>
      <w:r w:rsidRPr="00167CB8">
        <w:rPr>
          <w:b/>
          <w:bCs/>
        </w:rPr>
        <w:t>Source:</w:t>
      </w:r>
      <w:r w:rsidRPr="00167CB8">
        <w:t xml:space="preserve"> HILDA, waves 1</w:t>
      </w:r>
      <w:r w:rsidR="00A461FB" w:rsidRPr="00167CB8">
        <w:rPr>
          <w:rFonts w:ascii="Symbol" w:eastAsia="Symbol" w:hAnsi="Symbol" w:cs="Symbol"/>
        </w:rPr>
        <w:sym w:font="Symbol" w:char="F02D"/>
      </w:r>
      <w:r w:rsidRPr="00167CB8">
        <w:t>23.</w:t>
      </w:r>
    </w:p>
    <w:p w14:paraId="67EC3974" w14:textId="25AC13C7" w:rsidR="007A6A1A" w:rsidRPr="00167CB8" w:rsidRDefault="007A6A1A" w:rsidP="00A461FB">
      <w:pPr>
        <w:pStyle w:val="Source"/>
      </w:pPr>
      <w:r w:rsidRPr="00167CB8">
        <w:rPr>
          <w:b/>
          <w:bCs/>
        </w:rPr>
        <w:t>Alt-text:</w:t>
      </w:r>
      <w:r w:rsidRPr="00167CB8">
        <w:t xml:space="preserve"> A bar chart showing the employment status in year 2 of employees who were on fixed</w:t>
      </w:r>
      <w:r w:rsidR="00A461FB" w:rsidRPr="00167CB8">
        <w:t>-</w:t>
      </w:r>
      <w:r w:rsidRPr="00167CB8">
        <w:t>term contracts in year</w:t>
      </w:r>
      <w:r w:rsidR="00A461FB" w:rsidRPr="00167CB8">
        <w:t> </w:t>
      </w:r>
      <w:r w:rsidRPr="00167CB8">
        <w:t>1. The ‘2023’ bars show that, of those who were fixed term in 2022, 44% where fixed term in 2023, 50% were permanent in 2023 and 6% were casual. The ‘2001</w:t>
      </w:r>
      <w:r w:rsidR="00A461FB" w:rsidRPr="00167CB8">
        <w:rPr>
          <w:rFonts w:ascii="Symbol" w:eastAsia="Symbol" w:hAnsi="Symbol" w:cs="Symbol"/>
        </w:rPr>
        <w:sym w:font="Symbol" w:char="F02D"/>
      </w:r>
      <w:r w:rsidRPr="00167CB8">
        <w:t xml:space="preserve">23, earning less than threshold’ bars show that those learning less than the threshold who were fixed-term contract holders in year 1 had a 50% probability of being permanent in year 2. </w:t>
      </w:r>
    </w:p>
    <w:p w14:paraId="78639482" w14:textId="1EF5AF74" w:rsidR="007A6A1A" w:rsidRPr="00167CB8" w:rsidRDefault="007A6A1A" w:rsidP="007A6A1A">
      <w:pPr>
        <w:spacing w:after="160"/>
      </w:pPr>
      <w:r w:rsidRPr="00167CB8">
        <w:t xml:space="preserve">Table </w:t>
      </w:r>
      <w:r w:rsidR="000D0E7A" w:rsidRPr="00167CB8">
        <w:t>36</w:t>
      </w:r>
      <w:r w:rsidR="0042553A" w:rsidRPr="00167CB8">
        <w:t xml:space="preserve"> </w:t>
      </w:r>
      <w:r w:rsidRPr="00167CB8">
        <w:t xml:space="preserve">uses regression analysis to explore the characteristics of employees who are on fixed-term contracts over </w:t>
      </w:r>
      <w:r w:rsidR="00A461FB" w:rsidRPr="00167CB8">
        <w:t xml:space="preserve">2 </w:t>
      </w:r>
      <w:r w:rsidRPr="00167CB8">
        <w:t>consecutive years and those who transition from a fixed</w:t>
      </w:r>
      <w:r w:rsidR="00A461FB" w:rsidRPr="00167CB8">
        <w:t>-</w:t>
      </w:r>
      <w:r w:rsidRPr="00167CB8">
        <w:t xml:space="preserve">term contract to a permanent position. A dummy variable ‘Post22’ is used to see if there is any difference post the </w:t>
      </w:r>
      <w:r w:rsidR="00A461FB" w:rsidRPr="00167CB8">
        <w:t xml:space="preserve">Secure Jobs, Better Pay </w:t>
      </w:r>
      <w:r w:rsidRPr="00167CB8">
        <w:t xml:space="preserve">Act coming into effect. The coefficient on this variable is not significant. The variable </w:t>
      </w:r>
      <w:r w:rsidR="00A461FB" w:rsidRPr="00167CB8">
        <w:t>‘</w:t>
      </w:r>
      <w:r w:rsidRPr="00167CB8">
        <w:t>Thresh</w:t>
      </w:r>
      <w:r w:rsidR="00A461FB" w:rsidRPr="00167CB8">
        <w:t>’</w:t>
      </w:r>
      <w:r w:rsidRPr="00167CB8">
        <w:t xml:space="preserve"> is highly significant and shows that high income earners are much more likely than other employees to have consecutive fixed</w:t>
      </w:r>
      <w:r w:rsidR="00A461FB" w:rsidRPr="00167CB8">
        <w:t>-</w:t>
      </w:r>
      <w:r w:rsidRPr="00167CB8">
        <w:t xml:space="preserve">term contracts (column 1). Column 2 shows high income earners are less likely than other employees to transition to a permanent job. </w:t>
      </w:r>
    </w:p>
    <w:p w14:paraId="1F45285A" w14:textId="18C142ED" w:rsidR="007A6A1A" w:rsidRPr="00167CB8" w:rsidRDefault="007A6A1A" w:rsidP="007A6A1A">
      <w:pPr>
        <w:spacing w:after="160"/>
      </w:pPr>
      <w:r w:rsidRPr="00167CB8">
        <w:t>Remaining with column 2, the analysis shows there is no difference in the outcome by gender. In terms of age, the reference group is aged 18</w:t>
      </w:r>
      <w:r w:rsidR="00A461FB" w:rsidRPr="00167CB8">
        <w:rPr>
          <w:rFonts w:ascii="Symbol" w:eastAsia="Symbol" w:hAnsi="Symbol" w:cs="Symbol"/>
        </w:rPr>
        <w:sym w:font="Symbol" w:char="F02D"/>
      </w:r>
      <w:r w:rsidRPr="00167CB8">
        <w:t>24. When compared to this group</w:t>
      </w:r>
      <w:r w:rsidR="00A461FB" w:rsidRPr="00167CB8">
        <w:t>,</w:t>
      </w:r>
      <w:r w:rsidRPr="00167CB8">
        <w:t xml:space="preserve"> persons aged 25</w:t>
      </w:r>
      <w:r w:rsidR="00A461FB" w:rsidRPr="00167CB8">
        <w:rPr>
          <w:rFonts w:ascii="Symbol" w:eastAsia="Symbol" w:hAnsi="Symbol" w:cs="Symbol"/>
        </w:rPr>
        <w:sym w:font="Symbol" w:char="F02D"/>
      </w:r>
      <w:r w:rsidRPr="00167CB8">
        <w:t xml:space="preserve">34 are more likely to transition from a fixed to permanent, whereas older aged workers are less likely to transition from fixed to permanent. When compared to labourers and related </w:t>
      </w:r>
      <w:r w:rsidRPr="00167CB8">
        <w:lastRenderedPageBreak/>
        <w:t xml:space="preserve">workers, transitioning probabilities (transitioning to a permanent contract) are also significantly higher for all occupation groups. </w:t>
      </w:r>
    </w:p>
    <w:p w14:paraId="3B29D88A" w14:textId="00F6D2AE" w:rsidR="007A6A1A" w:rsidRPr="00167CB8" w:rsidRDefault="007A6A1A" w:rsidP="007A6A1A">
      <w:pPr>
        <w:spacing w:after="160"/>
      </w:pPr>
      <w:r w:rsidRPr="00167CB8">
        <w:t xml:space="preserve">The industry analysis shows the results benchmarked to education and training. When compared to this sector, the only sector where there is a significantly higher likelihood of transitioning from fixed to permanent is </w:t>
      </w:r>
      <w:r w:rsidR="00A461FB" w:rsidRPr="00167CB8">
        <w:t>m</w:t>
      </w:r>
      <w:r w:rsidRPr="00167CB8">
        <w:t xml:space="preserve">ining. In the </w:t>
      </w:r>
      <w:r w:rsidR="00A461FB" w:rsidRPr="00167CB8">
        <w:t>h</w:t>
      </w:r>
      <w:r w:rsidRPr="00167CB8">
        <w:t xml:space="preserve">ealth care and social assistance sector the probability of transitioning to permanent is the same as in the education training sector. The negative and statistically significant sign on many of the other industry coefficients shows that in these sectors, when compared to education and training, the probability of transitioning from fixed to permanent is significantly lower. </w:t>
      </w:r>
    </w:p>
    <w:p w14:paraId="4F6509C9" w14:textId="77777777" w:rsidR="007A6A1A" w:rsidRPr="00167CB8" w:rsidRDefault="007A6A1A" w:rsidP="007A6A1A">
      <w:pPr>
        <w:spacing w:after="160"/>
      </w:pPr>
      <w:r w:rsidRPr="00167CB8">
        <w:t xml:space="preserve">Transitioning is lower in urban areas. When compared to New South Wales, the likelihood of moving from fixed to permanent is higher in Victoria, Queensland, South Australia and Western Australia. </w:t>
      </w:r>
    </w:p>
    <w:p w14:paraId="02EB8C0F" w14:textId="34F152DF" w:rsidR="007A6A1A" w:rsidRPr="00167CB8" w:rsidRDefault="007A6A1A" w:rsidP="00470AB9">
      <w:pPr>
        <w:pStyle w:val="Caption"/>
      </w:pPr>
      <w:bookmarkStart w:id="725" w:name="_Toc186991814"/>
      <w:bookmarkStart w:id="726" w:name="_Toc189310865"/>
      <w:r w:rsidRPr="00167CB8">
        <w:t xml:space="preserve">Table </w:t>
      </w:r>
      <w:r w:rsidR="00735F85" w:rsidRPr="00167CB8">
        <w:t>36</w:t>
      </w:r>
      <w:r w:rsidRPr="00167CB8">
        <w:t>: Logit regressions – what are the characteristics of employees who transition from fixed-to-fixed and from fixed-to-permanent contracts?</w:t>
      </w:r>
      <w:bookmarkEnd w:id="725"/>
      <w:bookmarkEnd w:id="726"/>
    </w:p>
    <w:tbl>
      <w:tblPr>
        <w:tblW w:w="90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2"/>
        <w:gridCol w:w="1418"/>
        <w:gridCol w:w="1842"/>
      </w:tblGrid>
      <w:tr w:rsidR="007A6A1A" w:rsidRPr="00167CB8" w14:paraId="64182417" w14:textId="77777777">
        <w:trPr>
          <w:trHeight w:val="211"/>
        </w:trPr>
        <w:tc>
          <w:tcPr>
            <w:tcW w:w="5812" w:type="dxa"/>
            <w:tcBorders>
              <w:top w:val="single" w:sz="4" w:space="0" w:color="auto"/>
              <w:left w:val="single" w:sz="4" w:space="0" w:color="auto"/>
              <w:bottom w:val="nil"/>
              <w:right w:val="nil"/>
            </w:tcBorders>
            <w:noWrap/>
            <w:vAlign w:val="bottom"/>
            <w:hideMark/>
          </w:tcPr>
          <w:p w14:paraId="2168CE07" w14:textId="77777777" w:rsidR="007A6A1A" w:rsidRPr="002154E6" w:rsidRDefault="007A6A1A" w:rsidP="002154E6">
            <w:pPr>
              <w:spacing w:after="0" w:line="240" w:lineRule="auto"/>
              <w:rPr>
                <w:sz w:val="20"/>
                <w:szCs w:val="20"/>
              </w:rPr>
            </w:pPr>
          </w:p>
        </w:tc>
        <w:tc>
          <w:tcPr>
            <w:tcW w:w="1418" w:type="dxa"/>
            <w:tcBorders>
              <w:top w:val="single" w:sz="4" w:space="0" w:color="auto"/>
              <w:left w:val="nil"/>
              <w:bottom w:val="nil"/>
              <w:right w:val="nil"/>
            </w:tcBorders>
            <w:noWrap/>
            <w:vAlign w:val="bottom"/>
            <w:hideMark/>
          </w:tcPr>
          <w:p w14:paraId="4CB4AD53" w14:textId="7070B274" w:rsidR="007A6A1A" w:rsidRPr="002154E6" w:rsidRDefault="00A461FB" w:rsidP="002154E6">
            <w:pPr>
              <w:spacing w:after="0" w:line="240" w:lineRule="auto"/>
              <w:rPr>
                <w:sz w:val="20"/>
                <w:szCs w:val="20"/>
              </w:rPr>
            </w:pPr>
            <w:r w:rsidRPr="002154E6">
              <w:rPr>
                <w:sz w:val="20"/>
                <w:szCs w:val="20"/>
              </w:rPr>
              <w:t>F</w:t>
            </w:r>
            <w:r w:rsidR="007A6A1A" w:rsidRPr="002154E6">
              <w:rPr>
                <w:sz w:val="20"/>
                <w:szCs w:val="20"/>
              </w:rPr>
              <w:t>ixed to fixed</w:t>
            </w:r>
          </w:p>
        </w:tc>
        <w:tc>
          <w:tcPr>
            <w:tcW w:w="1842" w:type="dxa"/>
            <w:tcBorders>
              <w:top w:val="single" w:sz="4" w:space="0" w:color="auto"/>
              <w:left w:val="nil"/>
              <w:bottom w:val="nil"/>
              <w:right w:val="single" w:sz="4" w:space="0" w:color="auto"/>
            </w:tcBorders>
            <w:noWrap/>
            <w:vAlign w:val="bottom"/>
            <w:hideMark/>
          </w:tcPr>
          <w:p w14:paraId="4A6A1E45" w14:textId="2E7AFBB6" w:rsidR="007A6A1A" w:rsidRPr="002154E6" w:rsidRDefault="00A461FB" w:rsidP="002154E6">
            <w:pPr>
              <w:spacing w:after="0" w:line="240" w:lineRule="auto"/>
              <w:rPr>
                <w:sz w:val="20"/>
                <w:szCs w:val="20"/>
              </w:rPr>
            </w:pPr>
            <w:r w:rsidRPr="002154E6">
              <w:rPr>
                <w:sz w:val="20"/>
                <w:szCs w:val="20"/>
              </w:rPr>
              <w:t>F</w:t>
            </w:r>
            <w:r w:rsidR="007A6A1A" w:rsidRPr="002154E6">
              <w:rPr>
                <w:sz w:val="20"/>
                <w:szCs w:val="20"/>
              </w:rPr>
              <w:t>ixed to perm</w:t>
            </w:r>
            <w:r w:rsidRPr="002154E6">
              <w:rPr>
                <w:sz w:val="20"/>
                <w:szCs w:val="20"/>
              </w:rPr>
              <w:t>anent</w:t>
            </w:r>
          </w:p>
        </w:tc>
      </w:tr>
      <w:tr w:rsidR="007A6A1A" w:rsidRPr="00167CB8" w14:paraId="28CA6B0D" w14:textId="77777777">
        <w:trPr>
          <w:trHeight w:val="211"/>
        </w:trPr>
        <w:tc>
          <w:tcPr>
            <w:tcW w:w="5812" w:type="dxa"/>
            <w:tcBorders>
              <w:top w:val="nil"/>
              <w:left w:val="single" w:sz="4" w:space="0" w:color="auto"/>
              <w:bottom w:val="single" w:sz="4" w:space="0" w:color="auto"/>
              <w:right w:val="nil"/>
            </w:tcBorders>
            <w:noWrap/>
            <w:vAlign w:val="bottom"/>
            <w:hideMark/>
          </w:tcPr>
          <w:p w14:paraId="0D2D7D32" w14:textId="77777777" w:rsidR="007A6A1A" w:rsidRPr="002154E6" w:rsidRDefault="007A6A1A" w:rsidP="002154E6">
            <w:pPr>
              <w:spacing w:after="0" w:line="240" w:lineRule="auto"/>
              <w:rPr>
                <w:sz w:val="20"/>
                <w:szCs w:val="20"/>
              </w:rPr>
            </w:pPr>
          </w:p>
        </w:tc>
        <w:tc>
          <w:tcPr>
            <w:tcW w:w="1418" w:type="dxa"/>
            <w:tcBorders>
              <w:top w:val="nil"/>
              <w:left w:val="nil"/>
              <w:bottom w:val="single" w:sz="4" w:space="0" w:color="auto"/>
              <w:right w:val="nil"/>
            </w:tcBorders>
            <w:noWrap/>
            <w:vAlign w:val="bottom"/>
            <w:hideMark/>
          </w:tcPr>
          <w:p w14:paraId="25289DCA" w14:textId="77777777" w:rsidR="007A6A1A" w:rsidRPr="002154E6" w:rsidRDefault="007A6A1A" w:rsidP="002154E6">
            <w:pPr>
              <w:spacing w:after="0" w:line="240" w:lineRule="auto"/>
              <w:rPr>
                <w:sz w:val="20"/>
                <w:szCs w:val="20"/>
              </w:rPr>
            </w:pPr>
            <w:r w:rsidRPr="002154E6">
              <w:rPr>
                <w:sz w:val="20"/>
                <w:szCs w:val="20"/>
              </w:rPr>
              <w:t>(1)</w:t>
            </w:r>
          </w:p>
        </w:tc>
        <w:tc>
          <w:tcPr>
            <w:tcW w:w="1842" w:type="dxa"/>
            <w:tcBorders>
              <w:top w:val="nil"/>
              <w:left w:val="nil"/>
              <w:bottom w:val="single" w:sz="4" w:space="0" w:color="auto"/>
              <w:right w:val="single" w:sz="4" w:space="0" w:color="auto"/>
            </w:tcBorders>
            <w:noWrap/>
            <w:vAlign w:val="bottom"/>
            <w:hideMark/>
          </w:tcPr>
          <w:p w14:paraId="223A11D2" w14:textId="77777777" w:rsidR="007A6A1A" w:rsidRPr="002154E6" w:rsidRDefault="007A6A1A" w:rsidP="002154E6">
            <w:pPr>
              <w:spacing w:after="0" w:line="240" w:lineRule="auto"/>
              <w:rPr>
                <w:sz w:val="20"/>
                <w:szCs w:val="20"/>
              </w:rPr>
            </w:pPr>
            <w:r w:rsidRPr="002154E6">
              <w:rPr>
                <w:sz w:val="20"/>
                <w:szCs w:val="20"/>
              </w:rPr>
              <w:t>(2)</w:t>
            </w:r>
          </w:p>
        </w:tc>
      </w:tr>
      <w:tr w:rsidR="007A6A1A" w:rsidRPr="00167CB8" w14:paraId="030DC8A0" w14:textId="77777777">
        <w:trPr>
          <w:trHeight w:val="211"/>
        </w:trPr>
        <w:tc>
          <w:tcPr>
            <w:tcW w:w="5812" w:type="dxa"/>
            <w:tcBorders>
              <w:top w:val="single" w:sz="4" w:space="0" w:color="auto"/>
              <w:left w:val="single" w:sz="4" w:space="0" w:color="auto"/>
              <w:bottom w:val="nil"/>
              <w:right w:val="nil"/>
            </w:tcBorders>
            <w:noWrap/>
            <w:vAlign w:val="bottom"/>
            <w:hideMark/>
          </w:tcPr>
          <w:p w14:paraId="78798951" w14:textId="77777777" w:rsidR="007A6A1A" w:rsidRPr="002154E6" w:rsidRDefault="007A6A1A" w:rsidP="002154E6">
            <w:pPr>
              <w:spacing w:after="0" w:line="240" w:lineRule="auto"/>
              <w:rPr>
                <w:sz w:val="20"/>
                <w:szCs w:val="20"/>
              </w:rPr>
            </w:pPr>
            <w:r w:rsidRPr="002154E6">
              <w:rPr>
                <w:sz w:val="20"/>
                <w:szCs w:val="20"/>
              </w:rPr>
              <w:t>Post22 (=1 if 2023 and 0 otherwise)</w:t>
            </w:r>
          </w:p>
        </w:tc>
        <w:tc>
          <w:tcPr>
            <w:tcW w:w="1418" w:type="dxa"/>
            <w:tcBorders>
              <w:top w:val="single" w:sz="4" w:space="0" w:color="auto"/>
              <w:left w:val="nil"/>
              <w:bottom w:val="nil"/>
              <w:right w:val="nil"/>
            </w:tcBorders>
            <w:noWrap/>
            <w:vAlign w:val="bottom"/>
            <w:hideMark/>
          </w:tcPr>
          <w:p w14:paraId="6995E016"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single" w:sz="4" w:space="0" w:color="auto"/>
              <w:left w:val="nil"/>
              <w:bottom w:val="nil"/>
              <w:right w:val="single" w:sz="4" w:space="0" w:color="auto"/>
            </w:tcBorders>
            <w:noWrap/>
            <w:vAlign w:val="bottom"/>
            <w:hideMark/>
          </w:tcPr>
          <w:p w14:paraId="35C288FB"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6CB9B990" w14:textId="77777777">
        <w:trPr>
          <w:trHeight w:val="211"/>
        </w:trPr>
        <w:tc>
          <w:tcPr>
            <w:tcW w:w="5812" w:type="dxa"/>
            <w:tcBorders>
              <w:top w:val="nil"/>
              <w:left w:val="single" w:sz="4" w:space="0" w:color="auto"/>
              <w:bottom w:val="nil"/>
              <w:right w:val="nil"/>
            </w:tcBorders>
            <w:noWrap/>
            <w:vAlign w:val="bottom"/>
            <w:hideMark/>
          </w:tcPr>
          <w:p w14:paraId="42D64185"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09C6948"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7B7FB117"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20BBA805" w14:textId="77777777">
        <w:trPr>
          <w:trHeight w:val="211"/>
        </w:trPr>
        <w:tc>
          <w:tcPr>
            <w:tcW w:w="5812" w:type="dxa"/>
            <w:tcBorders>
              <w:top w:val="nil"/>
              <w:left w:val="single" w:sz="4" w:space="0" w:color="auto"/>
              <w:bottom w:val="nil"/>
              <w:right w:val="nil"/>
            </w:tcBorders>
            <w:noWrap/>
            <w:vAlign w:val="bottom"/>
            <w:hideMark/>
          </w:tcPr>
          <w:p w14:paraId="2C10AD0B" w14:textId="77777777" w:rsidR="007A6A1A" w:rsidRPr="002154E6" w:rsidRDefault="007A6A1A" w:rsidP="002154E6">
            <w:pPr>
              <w:spacing w:after="0" w:line="240" w:lineRule="auto"/>
              <w:rPr>
                <w:sz w:val="20"/>
                <w:szCs w:val="20"/>
              </w:rPr>
            </w:pPr>
            <w:r w:rsidRPr="002154E6">
              <w:rPr>
                <w:sz w:val="20"/>
                <w:szCs w:val="20"/>
              </w:rPr>
              <w:t>Thresh (=1 if hourly wage * 38 * 52 &gt; $167,500) (in 2023 prices).</w:t>
            </w:r>
          </w:p>
        </w:tc>
        <w:tc>
          <w:tcPr>
            <w:tcW w:w="1418" w:type="dxa"/>
            <w:tcBorders>
              <w:top w:val="nil"/>
              <w:left w:val="nil"/>
              <w:bottom w:val="nil"/>
              <w:right w:val="nil"/>
            </w:tcBorders>
            <w:noWrap/>
            <w:vAlign w:val="bottom"/>
            <w:hideMark/>
          </w:tcPr>
          <w:p w14:paraId="16CB4FD9" w14:textId="77777777" w:rsidR="007A6A1A" w:rsidRPr="002154E6" w:rsidRDefault="007A6A1A" w:rsidP="002154E6">
            <w:pPr>
              <w:spacing w:after="0" w:line="240" w:lineRule="auto"/>
              <w:rPr>
                <w:sz w:val="20"/>
                <w:szCs w:val="20"/>
              </w:rPr>
            </w:pPr>
            <w:r w:rsidRPr="002154E6">
              <w:rPr>
                <w:sz w:val="20"/>
                <w:szCs w:val="20"/>
              </w:rPr>
              <w:t>0.018***</w:t>
            </w:r>
          </w:p>
        </w:tc>
        <w:tc>
          <w:tcPr>
            <w:tcW w:w="1842" w:type="dxa"/>
            <w:tcBorders>
              <w:top w:val="nil"/>
              <w:left w:val="nil"/>
              <w:bottom w:val="nil"/>
              <w:right w:val="single" w:sz="4" w:space="0" w:color="auto"/>
            </w:tcBorders>
            <w:noWrap/>
            <w:vAlign w:val="bottom"/>
            <w:hideMark/>
          </w:tcPr>
          <w:p w14:paraId="10C2EAF0"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1B50829D" w14:textId="77777777">
        <w:trPr>
          <w:trHeight w:val="211"/>
        </w:trPr>
        <w:tc>
          <w:tcPr>
            <w:tcW w:w="5812" w:type="dxa"/>
            <w:tcBorders>
              <w:top w:val="nil"/>
              <w:left w:val="single" w:sz="4" w:space="0" w:color="auto"/>
              <w:bottom w:val="nil"/>
              <w:right w:val="nil"/>
            </w:tcBorders>
            <w:noWrap/>
            <w:vAlign w:val="bottom"/>
            <w:hideMark/>
          </w:tcPr>
          <w:p w14:paraId="5A298F72"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0770FB22"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145EFE5A"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145F03BF" w14:textId="77777777">
        <w:trPr>
          <w:trHeight w:val="211"/>
        </w:trPr>
        <w:tc>
          <w:tcPr>
            <w:tcW w:w="5812" w:type="dxa"/>
            <w:tcBorders>
              <w:top w:val="nil"/>
              <w:left w:val="single" w:sz="4" w:space="0" w:color="auto"/>
              <w:bottom w:val="nil"/>
              <w:right w:val="nil"/>
            </w:tcBorders>
            <w:noWrap/>
            <w:vAlign w:val="bottom"/>
            <w:hideMark/>
          </w:tcPr>
          <w:p w14:paraId="7AAF722F" w14:textId="77777777" w:rsidR="007A6A1A" w:rsidRPr="002154E6" w:rsidRDefault="007A6A1A" w:rsidP="002154E6">
            <w:pPr>
              <w:spacing w:after="0" w:line="240" w:lineRule="auto"/>
              <w:rPr>
                <w:sz w:val="20"/>
                <w:szCs w:val="20"/>
              </w:rPr>
            </w:pPr>
            <w:r w:rsidRPr="002154E6">
              <w:rPr>
                <w:sz w:val="20"/>
                <w:szCs w:val="20"/>
              </w:rPr>
              <w:t>thresh22 (=1 if thresh=1 &amp; post22=1)</w:t>
            </w:r>
          </w:p>
        </w:tc>
        <w:tc>
          <w:tcPr>
            <w:tcW w:w="1418" w:type="dxa"/>
            <w:tcBorders>
              <w:top w:val="nil"/>
              <w:left w:val="nil"/>
              <w:bottom w:val="nil"/>
              <w:right w:val="nil"/>
            </w:tcBorders>
            <w:noWrap/>
            <w:vAlign w:val="bottom"/>
            <w:hideMark/>
          </w:tcPr>
          <w:p w14:paraId="37BC7B46" w14:textId="77777777" w:rsidR="007A6A1A" w:rsidRPr="002154E6" w:rsidRDefault="007A6A1A" w:rsidP="002154E6">
            <w:pPr>
              <w:spacing w:after="0" w:line="240" w:lineRule="auto"/>
              <w:rPr>
                <w:sz w:val="20"/>
                <w:szCs w:val="20"/>
              </w:rPr>
            </w:pPr>
            <w:r w:rsidRPr="002154E6">
              <w:rPr>
                <w:sz w:val="20"/>
                <w:szCs w:val="20"/>
              </w:rPr>
              <w:t>0.000</w:t>
            </w:r>
          </w:p>
        </w:tc>
        <w:tc>
          <w:tcPr>
            <w:tcW w:w="1842" w:type="dxa"/>
            <w:tcBorders>
              <w:top w:val="nil"/>
              <w:left w:val="nil"/>
              <w:bottom w:val="nil"/>
              <w:right w:val="single" w:sz="4" w:space="0" w:color="auto"/>
            </w:tcBorders>
            <w:noWrap/>
            <w:vAlign w:val="bottom"/>
            <w:hideMark/>
          </w:tcPr>
          <w:p w14:paraId="54D1EC31"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7D497B84" w14:textId="77777777">
        <w:trPr>
          <w:trHeight w:val="211"/>
        </w:trPr>
        <w:tc>
          <w:tcPr>
            <w:tcW w:w="5812" w:type="dxa"/>
            <w:tcBorders>
              <w:top w:val="nil"/>
              <w:left w:val="single" w:sz="4" w:space="0" w:color="auto"/>
              <w:bottom w:val="nil"/>
              <w:right w:val="nil"/>
            </w:tcBorders>
            <w:noWrap/>
            <w:vAlign w:val="bottom"/>
            <w:hideMark/>
          </w:tcPr>
          <w:p w14:paraId="1C1F781A"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E4F3C62" w14:textId="77777777" w:rsidR="007A6A1A" w:rsidRPr="002154E6" w:rsidRDefault="007A6A1A" w:rsidP="002154E6">
            <w:pPr>
              <w:spacing w:after="0" w:line="240" w:lineRule="auto"/>
              <w:rPr>
                <w:sz w:val="20"/>
                <w:szCs w:val="20"/>
              </w:rPr>
            </w:pPr>
            <w:r w:rsidRPr="002154E6">
              <w:rPr>
                <w:sz w:val="20"/>
                <w:szCs w:val="20"/>
              </w:rPr>
              <w:t>(0.007)</w:t>
            </w:r>
          </w:p>
        </w:tc>
        <w:tc>
          <w:tcPr>
            <w:tcW w:w="1842" w:type="dxa"/>
            <w:tcBorders>
              <w:top w:val="nil"/>
              <w:left w:val="nil"/>
              <w:bottom w:val="nil"/>
              <w:right w:val="single" w:sz="4" w:space="0" w:color="auto"/>
            </w:tcBorders>
            <w:noWrap/>
            <w:vAlign w:val="bottom"/>
            <w:hideMark/>
          </w:tcPr>
          <w:p w14:paraId="40CC6B9F"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467F1213" w14:textId="77777777">
        <w:trPr>
          <w:trHeight w:val="211"/>
        </w:trPr>
        <w:tc>
          <w:tcPr>
            <w:tcW w:w="5812" w:type="dxa"/>
            <w:tcBorders>
              <w:top w:val="nil"/>
              <w:left w:val="single" w:sz="4" w:space="0" w:color="auto"/>
              <w:bottom w:val="nil"/>
              <w:right w:val="nil"/>
            </w:tcBorders>
            <w:noWrap/>
            <w:vAlign w:val="bottom"/>
            <w:hideMark/>
          </w:tcPr>
          <w:p w14:paraId="07145F1B" w14:textId="77777777" w:rsidR="007A6A1A" w:rsidRPr="002154E6" w:rsidRDefault="007A6A1A" w:rsidP="002154E6">
            <w:pPr>
              <w:spacing w:after="0" w:line="240" w:lineRule="auto"/>
              <w:rPr>
                <w:sz w:val="20"/>
                <w:szCs w:val="20"/>
              </w:rPr>
            </w:pPr>
            <w:r w:rsidRPr="002154E6">
              <w:rPr>
                <w:sz w:val="20"/>
                <w:szCs w:val="20"/>
              </w:rPr>
              <w:t>Female (=1 if female)</w:t>
            </w:r>
          </w:p>
        </w:tc>
        <w:tc>
          <w:tcPr>
            <w:tcW w:w="1418" w:type="dxa"/>
            <w:tcBorders>
              <w:top w:val="nil"/>
              <w:left w:val="nil"/>
              <w:bottom w:val="nil"/>
              <w:right w:val="nil"/>
            </w:tcBorders>
            <w:noWrap/>
            <w:vAlign w:val="bottom"/>
            <w:hideMark/>
          </w:tcPr>
          <w:p w14:paraId="339154DE"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69719C1E"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12E4F7AF" w14:textId="77777777">
        <w:trPr>
          <w:trHeight w:val="211"/>
        </w:trPr>
        <w:tc>
          <w:tcPr>
            <w:tcW w:w="5812" w:type="dxa"/>
            <w:tcBorders>
              <w:top w:val="nil"/>
              <w:left w:val="single" w:sz="4" w:space="0" w:color="auto"/>
              <w:bottom w:val="nil"/>
              <w:right w:val="nil"/>
            </w:tcBorders>
            <w:noWrap/>
            <w:vAlign w:val="bottom"/>
            <w:hideMark/>
          </w:tcPr>
          <w:p w14:paraId="13E54151"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5D076ECE"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0132BF63"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0875CD54" w14:textId="77777777">
        <w:trPr>
          <w:trHeight w:val="211"/>
        </w:trPr>
        <w:tc>
          <w:tcPr>
            <w:tcW w:w="5812" w:type="dxa"/>
            <w:tcBorders>
              <w:top w:val="nil"/>
              <w:left w:val="single" w:sz="4" w:space="0" w:color="auto"/>
              <w:bottom w:val="nil"/>
              <w:right w:val="nil"/>
            </w:tcBorders>
            <w:noWrap/>
            <w:vAlign w:val="bottom"/>
            <w:hideMark/>
          </w:tcPr>
          <w:p w14:paraId="74FEA952" w14:textId="77777777" w:rsidR="007A6A1A" w:rsidRPr="002154E6" w:rsidRDefault="007A6A1A" w:rsidP="002154E6">
            <w:pPr>
              <w:spacing w:after="0" w:line="240" w:lineRule="auto"/>
              <w:rPr>
                <w:sz w:val="20"/>
                <w:szCs w:val="20"/>
              </w:rPr>
            </w:pPr>
            <w:r w:rsidRPr="002154E6">
              <w:rPr>
                <w:sz w:val="20"/>
                <w:szCs w:val="20"/>
              </w:rPr>
              <w:t>age2534 (=1 if aged 25-34)</w:t>
            </w:r>
          </w:p>
        </w:tc>
        <w:tc>
          <w:tcPr>
            <w:tcW w:w="1418" w:type="dxa"/>
            <w:tcBorders>
              <w:top w:val="nil"/>
              <w:left w:val="nil"/>
              <w:bottom w:val="nil"/>
              <w:right w:val="nil"/>
            </w:tcBorders>
            <w:noWrap/>
            <w:vAlign w:val="bottom"/>
            <w:hideMark/>
          </w:tcPr>
          <w:p w14:paraId="68B2B5B2" w14:textId="77777777" w:rsidR="007A6A1A" w:rsidRPr="002154E6" w:rsidRDefault="007A6A1A" w:rsidP="002154E6">
            <w:pPr>
              <w:spacing w:after="0" w:line="240" w:lineRule="auto"/>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2AF15C7C" w14:textId="77777777" w:rsidR="007A6A1A" w:rsidRPr="002154E6" w:rsidRDefault="007A6A1A" w:rsidP="002154E6">
            <w:pPr>
              <w:spacing w:after="0" w:line="240" w:lineRule="auto"/>
              <w:rPr>
                <w:sz w:val="20"/>
                <w:szCs w:val="20"/>
              </w:rPr>
            </w:pPr>
            <w:r w:rsidRPr="002154E6">
              <w:rPr>
                <w:sz w:val="20"/>
                <w:szCs w:val="20"/>
              </w:rPr>
              <w:t>0.005***</w:t>
            </w:r>
          </w:p>
        </w:tc>
      </w:tr>
      <w:tr w:rsidR="007A6A1A" w:rsidRPr="00167CB8" w14:paraId="59C5113C" w14:textId="77777777">
        <w:trPr>
          <w:trHeight w:val="211"/>
        </w:trPr>
        <w:tc>
          <w:tcPr>
            <w:tcW w:w="5812" w:type="dxa"/>
            <w:tcBorders>
              <w:top w:val="nil"/>
              <w:left w:val="single" w:sz="4" w:space="0" w:color="auto"/>
              <w:bottom w:val="nil"/>
              <w:right w:val="nil"/>
            </w:tcBorders>
            <w:noWrap/>
            <w:vAlign w:val="bottom"/>
            <w:hideMark/>
          </w:tcPr>
          <w:p w14:paraId="2A52BF8C"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438B21E5"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4BA02555"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0D157BC8" w14:textId="77777777">
        <w:trPr>
          <w:trHeight w:val="211"/>
        </w:trPr>
        <w:tc>
          <w:tcPr>
            <w:tcW w:w="5812" w:type="dxa"/>
            <w:tcBorders>
              <w:top w:val="nil"/>
              <w:left w:val="single" w:sz="4" w:space="0" w:color="auto"/>
              <w:bottom w:val="nil"/>
              <w:right w:val="nil"/>
            </w:tcBorders>
            <w:noWrap/>
            <w:vAlign w:val="bottom"/>
            <w:hideMark/>
          </w:tcPr>
          <w:p w14:paraId="7832FF17" w14:textId="77777777" w:rsidR="007A6A1A" w:rsidRPr="002154E6" w:rsidRDefault="007A6A1A" w:rsidP="002154E6">
            <w:pPr>
              <w:spacing w:after="0" w:line="240" w:lineRule="auto"/>
              <w:rPr>
                <w:sz w:val="20"/>
                <w:szCs w:val="20"/>
              </w:rPr>
            </w:pPr>
            <w:r w:rsidRPr="002154E6">
              <w:rPr>
                <w:sz w:val="20"/>
                <w:szCs w:val="20"/>
              </w:rPr>
              <w:t>age3554 (=1 if aged 35-54)</w:t>
            </w:r>
          </w:p>
        </w:tc>
        <w:tc>
          <w:tcPr>
            <w:tcW w:w="1418" w:type="dxa"/>
            <w:tcBorders>
              <w:top w:val="nil"/>
              <w:left w:val="nil"/>
              <w:bottom w:val="nil"/>
              <w:right w:val="nil"/>
            </w:tcBorders>
            <w:noWrap/>
            <w:vAlign w:val="bottom"/>
            <w:hideMark/>
          </w:tcPr>
          <w:p w14:paraId="5770FC75"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2491EBF2"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2E85DF78" w14:textId="77777777">
        <w:trPr>
          <w:trHeight w:val="211"/>
        </w:trPr>
        <w:tc>
          <w:tcPr>
            <w:tcW w:w="5812" w:type="dxa"/>
            <w:tcBorders>
              <w:top w:val="nil"/>
              <w:left w:val="single" w:sz="4" w:space="0" w:color="auto"/>
              <w:bottom w:val="nil"/>
              <w:right w:val="nil"/>
            </w:tcBorders>
            <w:noWrap/>
            <w:vAlign w:val="bottom"/>
            <w:hideMark/>
          </w:tcPr>
          <w:p w14:paraId="0C3A6B78"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8399CD5"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154260BD"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4B32666E" w14:textId="77777777">
        <w:trPr>
          <w:trHeight w:val="211"/>
        </w:trPr>
        <w:tc>
          <w:tcPr>
            <w:tcW w:w="5812" w:type="dxa"/>
            <w:tcBorders>
              <w:top w:val="nil"/>
              <w:left w:val="single" w:sz="4" w:space="0" w:color="auto"/>
              <w:bottom w:val="nil"/>
              <w:right w:val="nil"/>
            </w:tcBorders>
            <w:noWrap/>
            <w:vAlign w:val="bottom"/>
            <w:hideMark/>
          </w:tcPr>
          <w:p w14:paraId="60DAC9E5" w14:textId="77777777" w:rsidR="007A6A1A" w:rsidRPr="002154E6" w:rsidRDefault="007A6A1A" w:rsidP="002154E6">
            <w:pPr>
              <w:spacing w:after="0" w:line="240" w:lineRule="auto"/>
              <w:rPr>
                <w:sz w:val="20"/>
                <w:szCs w:val="20"/>
              </w:rPr>
            </w:pPr>
            <w:r w:rsidRPr="002154E6">
              <w:rPr>
                <w:sz w:val="20"/>
                <w:szCs w:val="20"/>
              </w:rPr>
              <w:t>age5564 (=1 if aged 55-64)</w:t>
            </w:r>
          </w:p>
        </w:tc>
        <w:tc>
          <w:tcPr>
            <w:tcW w:w="1418" w:type="dxa"/>
            <w:tcBorders>
              <w:top w:val="nil"/>
              <w:left w:val="nil"/>
              <w:bottom w:val="nil"/>
              <w:right w:val="nil"/>
            </w:tcBorders>
            <w:noWrap/>
            <w:vAlign w:val="bottom"/>
            <w:hideMark/>
          </w:tcPr>
          <w:p w14:paraId="44804516"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07E7303E"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714D246D" w14:textId="77777777">
        <w:trPr>
          <w:trHeight w:val="211"/>
        </w:trPr>
        <w:tc>
          <w:tcPr>
            <w:tcW w:w="5812" w:type="dxa"/>
            <w:tcBorders>
              <w:top w:val="nil"/>
              <w:left w:val="single" w:sz="4" w:space="0" w:color="auto"/>
              <w:bottom w:val="nil"/>
              <w:right w:val="nil"/>
            </w:tcBorders>
            <w:noWrap/>
            <w:vAlign w:val="bottom"/>
            <w:hideMark/>
          </w:tcPr>
          <w:p w14:paraId="679074BB"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2BDB23EB"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10FDBD20"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5531B2BC" w14:textId="77777777">
        <w:trPr>
          <w:trHeight w:val="211"/>
        </w:trPr>
        <w:tc>
          <w:tcPr>
            <w:tcW w:w="5812" w:type="dxa"/>
            <w:tcBorders>
              <w:top w:val="nil"/>
              <w:left w:val="single" w:sz="4" w:space="0" w:color="auto"/>
              <w:bottom w:val="nil"/>
              <w:right w:val="nil"/>
            </w:tcBorders>
            <w:noWrap/>
            <w:vAlign w:val="bottom"/>
            <w:hideMark/>
          </w:tcPr>
          <w:p w14:paraId="377B6574" w14:textId="77777777" w:rsidR="007A6A1A" w:rsidRPr="002154E6" w:rsidRDefault="007A6A1A" w:rsidP="002154E6">
            <w:pPr>
              <w:spacing w:after="0" w:line="240" w:lineRule="auto"/>
              <w:rPr>
                <w:sz w:val="20"/>
                <w:szCs w:val="20"/>
              </w:rPr>
            </w:pPr>
            <w:r w:rsidRPr="002154E6">
              <w:rPr>
                <w:sz w:val="20"/>
                <w:szCs w:val="20"/>
              </w:rPr>
              <w:t xml:space="preserve">Manager </w:t>
            </w:r>
          </w:p>
        </w:tc>
        <w:tc>
          <w:tcPr>
            <w:tcW w:w="1418" w:type="dxa"/>
            <w:tcBorders>
              <w:top w:val="nil"/>
              <w:left w:val="nil"/>
              <w:bottom w:val="nil"/>
              <w:right w:val="nil"/>
            </w:tcBorders>
            <w:noWrap/>
            <w:vAlign w:val="bottom"/>
            <w:hideMark/>
          </w:tcPr>
          <w:p w14:paraId="13EFF6B9" w14:textId="77777777" w:rsidR="007A6A1A" w:rsidRPr="002154E6" w:rsidRDefault="007A6A1A" w:rsidP="002154E6">
            <w:pPr>
              <w:spacing w:after="0" w:line="240" w:lineRule="auto"/>
              <w:rPr>
                <w:sz w:val="20"/>
                <w:szCs w:val="20"/>
              </w:rPr>
            </w:pPr>
            <w:r w:rsidRPr="002154E6">
              <w:rPr>
                <w:sz w:val="20"/>
                <w:szCs w:val="20"/>
              </w:rPr>
              <w:t>0.048***</w:t>
            </w:r>
          </w:p>
        </w:tc>
        <w:tc>
          <w:tcPr>
            <w:tcW w:w="1842" w:type="dxa"/>
            <w:tcBorders>
              <w:top w:val="nil"/>
              <w:left w:val="nil"/>
              <w:bottom w:val="nil"/>
              <w:right w:val="single" w:sz="4" w:space="0" w:color="auto"/>
            </w:tcBorders>
            <w:noWrap/>
            <w:vAlign w:val="bottom"/>
            <w:hideMark/>
          </w:tcPr>
          <w:p w14:paraId="77D8DA0A" w14:textId="77777777" w:rsidR="007A6A1A" w:rsidRPr="002154E6" w:rsidRDefault="007A6A1A" w:rsidP="002154E6">
            <w:pPr>
              <w:spacing w:after="0" w:line="240" w:lineRule="auto"/>
              <w:rPr>
                <w:sz w:val="20"/>
                <w:szCs w:val="20"/>
              </w:rPr>
            </w:pPr>
            <w:r w:rsidRPr="002154E6">
              <w:rPr>
                <w:sz w:val="20"/>
                <w:szCs w:val="20"/>
              </w:rPr>
              <w:t>0.032***</w:t>
            </w:r>
          </w:p>
        </w:tc>
      </w:tr>
      <w:tr w:rsidR="007A6A1A" w:rsidRPr="00167CB8" w14:paraId="350FC0DB" w14:textId="77777777">
        <w:trPr>
          <w:trHeight w:val="211"/>
        </w:trPr>
        <w:tc>
          <w:tcPr>
            <w:tcW w:w="5812" w:type="dxa"/>
            <w:tcBorders>
              <w:top w:val="nil"/>
              <w:left w:val="single" w:sz="4" w:space="0" w:color="auto"/>
              <w:bottom w:val="nil"/>
              <w:right w:val="nil"/>
            </w:tcBorders>
            <w:noWrap/>
            <w:vAlign w:val="bottom"/>
            <w:hideMark/>
          </w:tcPr>
          <w:p w14:paraId="6EA2AEEF"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21E0274"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04511142"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495FBB1" w14:textId="77777777">
        <w:trPr>
          <w:trHeight w:val="211"/>
        </w:trPr>
        <w:tc>
          <w:tcPr>
            <w:tcW w:w="5812" w:type="dxa"/>
            <w:tcBorders>
              <w:top w:val="nil"/>
              <w:left w:val="single" w:sz="4" w:space="0" w:color="auto"/>
              <w:bottom w:val="nil"/>
              <w:right w:val="nil"/>
            </w:tcBorders>
            <w:noWrap/>
            <w:vAlign w:val="bottom"/>
            <w:hideMark/>
          </w:tcPr>
          <w:p w14:paraId="38666E05" w14:textId="77777777" w:rsidR="007A6A1A" w:rsidRPr="002154E6" w:rsidRDefault="007A6A1A" w:rsidP="002154E6">
            <w:pPr>
              <w:spacing w:after="0" w:line="240" w:lineRule="auto"/>
              <w:rPr>
                <w:sz w:val="20"/>
                <w:szCs w:val="20"/>
              </w:rPr>
            </w:pPr>
            <w:r w:rsidRPr="002154E6">
              <w:rPr>
                <w:sz w:val="20"/>
                <w:szCs w:val="20"/>
              </w:rPr>
              <w:t>Professional</w:t>
            </w:r>
          </w:p>
        </w:tc>
        <w:tc>
          <w:tcPr>
            <w:tcW w:w="1418" w:type="dxa"/>
            <w:tcBorders>
              <w:top w:val="nil"/>
              <w:left w:val="nil"/>
              <w:bottom w:val="nil"/>
              <w:right w:val="nil"/>
            </w:tcBorders>
            <w:noWrap/>
            <w:vAlign w:val="bottom"/>
            <w:hideMark/>
          </w:tcPr>
          <w:p w14:paraId="4C979533" w14:textId="77777777" w:rsidR="007A6A1A" w:rsidRPr="002154E6" w:rsidRDefault="007A6A1A" w:rsidP="002154E6">
            <w:pPr>
              <w:spacing w:after="0" w:line="240" w:lineRule="auto"/>
              <w:rPr>
                <w:sz w:val="20"/>
                <w:szCs w:val="20"/>
              </w:rPr>
            </w:pPr>
            <w:r w:rsidRPr="002154E6">
              <w:rPr>
                <w:sz w:val="20"/>
                <w:szCs w:val="20"/>
              </w:rPr>
              <w:t>0.044***</w:t>
            </w:r>
          </w:p>
        </w:tc>
        <w:tc>
          <w:tcPr>
            <w:tcW w:w="1842" w:type="dxa"/>
            <w:tcBorders>
              <w:top w:val="nil"/>
              <w:left w:val="nil"/>
              <w:bottom w:val="nil"/>
              <w:right w:val="single" w:sz="4" w:space="0" w:color="auto"/>
            </w:tcBorders>
            <w:noWrap/>
            <w:vAlign w:val="bottom"/>
            <w:hideMark/>
          </w:tcPr>
          <w:p w14:paraId="6E43A821" w14:textId="77777777" w:rsidR="007A6A1A" w:rsidRPr="002154E6" w:rsidRDefault="007A6A1A" w:rsidP="002154E6">
            <w:pPr>
              <w:spacing w:after="0" w:line="240" w:lineRule="auto"/>
              <w:rPr>
                <w:sz w:val="20"/>
                <w:szCs w:val="20"/>
              </w:rPr>
            </w:pPr>
            <w:r w:rsidRPr="002154E6">
              <w:rPr>
                <w:sz w:val="20"/>
                <w:szCs w:val="20"/>
              </w:rPr>
              <w:t>0.029***</w:t>
            </w:r>
          </w:p>
        </w:tc>
      </w:tr>
      <w:tr w:rsidR="007A6A1A" w:rsidRPr="00167CB8" w14:paraId="64F22B06" w14:textId="77777777">
        <w:trPr>
          <w:trHeight w:val="211"/>
        </w:trPr>
        <w:tc>
          <w:tcPr>
            <w:tcW w:w="5812" w:type="dxa"/>
            <w:tcBorders>
              <w:top w:val="nil"/>
              <w:left w:val="single" w:sz="4" w:space="0" w:color="auto"/>
              <w:bottom w:val="nil"/>
              <w:right w:val="nil"/>
            </w:tcBorders>
            <w:noWrap/>
            <w:vAlign w:val="bottom"/>
            <w:hideMark/>
          </w:tcPr>
          <w:p w14:paraId="78E578F5"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165E5009"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3B3114A7"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89D9BEF" w14:textId="77777777">
        <w:trPr>
          <w:trHeight w:val="211"/>
        </w:trPr>
        <w:tc>
          <w:tcPr>
            <w:tcW w:w="5812" w:type="dxa"/>
            <w:tcBorders>
              <w:top w:val="nil"/>
              <w:left w:val="single" w:sz="4" w:space="0" w:color="auto"/>
              <w:bottom w:val="nil"/>
              <w:right w:val="nil"/>
            </w:tcBorders>
            <w:noWrap/>
            <w:vAlign w:val="bottom"/>
            <w:hideMark/>
          </w:tcPr>
          <w:p w14:paraId="396975A6" w14:textId="77777777" w:rsidR="007A6A1A" w:rsidRPr="002154E6" w:rsidRDefault="007A6A1A" w:rsidP="002154E6">
            <w:pPr>
              <w:spacing w:after="0" w:line="240" w:lineRule="auto"/>
              <w:rPr>
                <w:sz w:val="20"/>
                <w:szCs w:val="20"/>
              </w:rPr>
            </w:pPr>
            <w:r w:rsidRPr="002154E6">
              <w:rPr>
                <w:sz w:val="20"/>
                <w:szCs w:val="20"/>
              </w:rPr>
              <w:t>Trades person</w:t>
            </w:r>
          </w:p>
        </w:tc>
        <w:tc>
          <w:tcPr>
            <w:tcW w:w="1418" w:type="dxa"/>
            <w:tcBorders>
              <w:top w:val="nil"/>
              <w:left w:val="nil"/>
              <w:bottom w:val="nil"/>
              <w:right w:val="nil"/>
            </w:tcBorders>
            <w:noWrap/>
            <w:vAlign w:val="bottom"/>
            <w:hideMark/>
          </w:tcPr>
          <w:p w14:paraId="1DD32D6F" w14:textId="77777777" w:rsidR="007A6A1A" w:rsidRPr="002154E6" w:rsidRDefault="007A6A1A" w:rsidP="002154E6">
            <w:pPr>
              <w:spacing w:after="0" w:line="240" w:lineRule="auto"/>
              <w:rPr>
                <w:sz w:val="20"/>
                <w:szCs w:val="20"/>
              </w:rPr>
            </w:pPr>
            <w:r w:rsidRPr="002154E6">
              <w:rPr>
                <w:sz w:val="20"/>
                <w:szCs w:val="20"/>
              </w:rPr>
              <w:t>0.035***</w:t>
            </w:r>
          </w:p>
        </w:tc>
        <w:tc>
          <w:tcPr>
            <w:tcW w:w="1842" w:type="dxa"/>
            <w:tcBorders>
              <w:top w:val="nil"/>
              <w:left w:val="nil"/>
              <w:bottom w:val="nil"/>
              <w:right w:val="single" w:sz="4" w:space="0" w:color="auto"/>
            </w:tcBorders>
            <w:noWrap/>
            <w:vAlign w:val="bottom"/>
            <w:hideMark/>
          </w:tcPr>
          <w:p w14:paraId="4982C3C8" w14:textId="77777777" w:rsidR="007A6A1A" w:rsidRPr="002154E6" w:rsidRDefault="007A6A1A" w:rsidP="002154E6">
            <w:pPr>
              <w:spacing w:after="0" w:line="240" w:lineRule="auto"/>
              <w:rPr>
                <w:sz w:val="20"/>
                <w:szCs w:val="20"/>
              </w:rPr>
            </w:pPr>
            <w:r w:rsidRPr="002154E6">
              <w:rPr>
                <w:sz w:val="20"/>
                <w:szCs w:val="20"/>
              </w:rPr>
              <w:t>0.027***</w:t>
            </w:r>
          </w:p>
        </w:tc>
      </w:tr>
      <w:tr w:rsidR="007A6A1A" w:rsidRPr="00167CB8" w14:paraId="6FE58297" w14:textId="77777777">
        <w:trPr>
          <w:trHeight w:val="211"/>
        </w:trPr>
        <w:tc>
          <w:tcPr>
            <w:tcW w:w="5812" w:type="dxa"/>
            <w:tcBorders>
              <w:top w:val="nil"/>
              <w:left w:val="single" w:sz="4" w:space="0" w:color="auto"/>
              <w:bottom w:val="nil"/>
              <w:right w:val="nil"/>
            </w:tcBorders>
            <w:noWrap/>
            <w:vAlign w:val="bottom"/>
            <w:hideMark/>
          </w:tcPr>
          <w:p w14:paraId="1173F638"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28B98661"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70650E61"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198D1630" w14:textId="77777777">
        <w:trPr>
          <w:trHeight w:val="211"/>
        </w:trPr>
        <w:tc>
          <w:tcPr>
            <w:tcW w:w="5812" w:type="dxa"/>
            <w:tcBorders>
              <w:top w:val="nil"/>
              <w:left w:val="single" w:sz="4" w:space="0" w:color="auto"/>
              <w:bottom w:val="nil"/>
              <w:right w:val="nil"/>
            </w:tcBorders>
            <w:noWrap/>
            <w:vAlign w:val="bottom"/>
            <w:hideMark/>
          </w:tcPr>
          <w:p w14:paraId="52CFD5AA" w14:textId="77777777" w:rsidR="007A6A1A" w:rsidRPr="002154E6" w:rsidRDefault="007A6A1A" w:rsidP="002154E6">
            <w:pPr>
              <w:spacing w:after="0" w:line="240" w:lineRule="auto"/>
              <w:rPr>
                <w:sz w:val="20"/>
                <w:szCs w:val="20"/>
              </w:rPr>
            </w:pPr>
            <w:r w:rsidRPr="002154E6">
              <w:rPr>
                <w:sz w:val="20"/>
                <w:szCs w:val="20"/>
              </w:rPr>
              <w:t>Service worker</w:t>
            </w:r>
          </w:p>
        </w:tc>
        <w:tc>
          <w:tcPr>
            <w:tcW w:w="1418" w:type="dxa"/>
            <w:tcBorders>
              <w:top w:val="nil"/>
              <w:left w:val="nil"/>
              <w:bottom w:val="nil"/>
              <w:right w:val="nil"/>
            </w:tcBorders>
            <w:noWrap/>
            <w:vAlign w:val="bottom"/>
            <w:hideMark/>
          </w:tcPr>
          <w:p w14:paraId="0A44A983" w14:textId="77777777" w:rsidR="007A6A1A" w:rsidRPr="002154E6" w:rsidRDefault="007A6A1A" w:rsidP="002154E6">
            <w:pPr>
              <w:spacing w:after="0" w:line="240" w:lineRule="auto"/>
              <w:rPr>
                <w:sz w:val="20"/>
                <w:szCs w:val="20"/>
              </w:rPr>
            </w:pPr>
            <w:r w:rsidRPr="002154E6">
              <w:rPr>
                <w:sz w:val="20"/>
                <w:szCs w:val="20"/>
              </w:rPr>
              <w:t>0.026***</w:t>
            </w:r>
          </w:p>
        </w:tc>
        <w:tc>
          <w:tcPr>
            <w:tcW w:w="1842" w:type="dxa"/>
            <w:tcBorders>
              <w:top w:val="nil"/>
              <w:left w:val="nil"/>
              <w:bottom w:val="nil"/>
              <w:right w:val="single" w:sz="4" w:space="0" w:color="auto"/>
            </w:tcBorders>
            <w:noWrap/>
            <w:vAlign w:val="bottom"/>
            <w:hideMark/>
          </w:tcPr>
          <w:p w14:paraId="0727B666" w14:textId="77777777" w:rsidR="007A6A1A" w:rsidRPr="002154E6" w:rsidRDefault="007A6A1A" w:rsidP="002154E6">
            <w:pPr>
              <w:spacing w:after="0" w:line="240" w:lineRule="auto"/>
              <w:rPr>
                <w:sz w:val="20"/>
                <w:szCs w:val="20"/>
              </w:rPr>
            </w:pPr>
            <w:r w:rsidRPr="002154E6">
              <w:rPr>
                <w:sz w:val="20"/>
                <w:szCs w:val="20"/>
              </w:rPr>
              <w:t>0.015***</w:t>
            </w:r>
          </w:p>
        </w:tc>
      </w:tr>
      <w:tr w:rsidR="007A6A1A" w:rsidRPr="00167CB8" w14:paraId="16C2E455" w14:textId="77777777">
        <w:trPr>
          <w:trHeight w:val="211"/>
        </w:trPr>
        <w:tc>
          <w:tcPr>
            <w:tcW w:w="5812" w:type="dxa"/>
            <w:tcBorders>
              <w:top w:val="nil"/>
              <w:left w:val="single" w:sz="4" w:space="0" w:color="auto"/>
              <w:bottom w:val="nil"/>
              <w:right w:val="nil"/>
            </w:tcBorders>
            <w:noWrap/>
            <w:vAlign w:val="bottom"/>
            <w:hideMark/>
          </w:tcPr>
          <w:p w14:paraId="5498EC94"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09B8CC00"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1176D480"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A6723AF" w14:textId="77777777">
        <w:trPr>
          <w:trHeight w:val="211"/>
        </w:trPr>
        <w:tc>
          <w:tcPr>
            <w:tcW w:w="5812" w:type="dxa"/>
            <w:tcBorders>
              <w:top w:val="nil"/>
              <w:left w:val="single" w:sz="4" w:space="0" w:color="auto"/>
              <w:bottom w:val="nil"/>
              <w:right w:val="nil"/>
            </w:tcBorders>
            <w:noWrap/>
            <w:vAlign w:val="bottom"/>
            <w:hideMark/>
          </w:tcPr>
          <w:p w14:paraId="4DBE3C56" w14:textId="77777777" w:rsidR="007A6A1A" w:rsidRPr="002154E6" w:rsidRDefault="007A6A1A" w:rsidP="002154E6">
            <w:pPr>
              <w:spacing w:after="0" w:line="240" w:lineRule="auto"/>
              <w:rPr>
                <w:sz w:val="20"/>
                <w:szCs w:val="20"/>
              </w:rPr>
            </w:pPr>
            <w:r w:rsidRPr="002154E6">
              <w:rPr>
                <w:sz w:val="20"/>
                <w:szCs w:val="20"/>
              </w:rPr>
              <w:t>Clerical worker</w:t>
            </w:r>
          </w:p>
        </w:tc>
        <w:tc>
          <w:tcPr>
            <w:tcW w:w="1418" w:type="dxa"/>
            <w:tcBorders>
              <w:top w:val="nil"/>
              <w:left w:val="nil"/>
              <w:bottom w:val="nil"/>
              <w:right w:val="nil"/>
            </w:tcBorders>
            <w:noWrap/>
            <w:vAlign w:val="bottom"/>
            <w:hideMark/>
          </w:tcPr>
          <w:p w14:paraId="161D9692" w14:textId="77777777" w:rsidR="007A6A1A" w:rsidRPr="002154E6" w:rsidRDefault="007A6A1A" w:rsidP="002154E6">
            <w:pPr>
              <w:spacing w:after="0" w:line="240" w:lineRule="auto"/>
              <w:rPr>
                <w:sz w:val="20"/>
                <w:szCs w:val="20"/>
              </w:rPr>
            </w:pPr>
            <w:r w:rsidRPr="002154E6">
              <w:rPr>
                <w:sz w:val="20"/>
                <w:szCs w:val="20"/>
              </w:rPr>
              <w:t>0.026***</w:t>
            </w:r>
          </w:p>
        </w:tc>
        <w:tc>
          <w:tcPr>
            <w:tcW w:w="1842" w:type="dxa"/>
            <w:tcBorders>
              <w:top w:val="nil"/>
              <w:left w:val="nil"/>
              <w:bottom w:val="nil"/>
              <w:right w:val="single" w:sz="4" w:space="0" w:color="auto"/>
            </w:tcBorders>
            <w:noWrap/>
            <w:vAlign w:val="bottom"/>
            <w:hideMark/>
          </w:tcPr>
          <w:p w14:paraId="08262507" w14:textId="77777777" w:rsidR="007A6A1A" w:rsidRPr="002154E6" w:rsidRDefault="007A6A1A" w:rsidP="002154E6">
            <w:pPr>
              <w:spacing w:after="0" w:line="240" w:lineRule="auto"/>
              <w:rPr>
                <w:sz w:val="20"/>
                <w:szCs w:val="20"/>
              </w:rPr>
            </w:pPr>
            <w:r w:rsidRPr="002154E6">
              <w:rPr>
                <w:sz w:val="20"/>
                <w:szCs w:val="20"/>
              </w:rPr>
              <w:t>0.022***</w:t>
            </w:r>
          </w:p>
        </w:tc>
      </w:tr>
      <w:tr w:rsidR="007A6A1A" w:rsidRPr="00167CB8" w14:paraId="52969719" w14:textId="77777777">
        <w:trPr>
          <w:trHeight w:val="211"/>
        </w:trPr>
        <w:tc>
          <w:tcPr>
            <w:tcW w:w="5812" w:type="dxa"/>
            <w:tcBorders>
              <w:top w:val="nil"/>
              <w:left w:val="single" w:sz="4" w:space="0" w:color="auto"/>
              <w:bottom w:val="nil"/>
              <w:right w:val="nil"/>
            </w:tcBorders>
            <w:noWrap/>
            <w:vAlign w:val="bottom"/>
            <w:hideMark/>
          </w:tcPr>
          <w:p w14:paraId="21D0B583"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5ED01A43"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708C549A"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2BE58C1" w14:textId="77777777">
        <w:trPr>
          <w:trHeight w:val="211"/>
        </w:trPr>
        <w:tc>
          <w:tcPr>
            <w:tcW w:w="5812" w:type="dxa"/>
            <w:tcBorders>
              <w:top w:val="nil"/>
              <w:left w:val="single" w:sz="4" w:space="0" w:color="auto"/>
              <w:bottom w:val="nil"/>
              <w:right w:val="nil"/>
            </w:tcBorders>
            <w:noWrap/>
            <w:vAlign w:val="bottom"/>
            <w:hideMark/>
          </w:tcPr>
          <w:p w14:paraId="762F7D5C" w14:textId="77777777" w:rsidR="007A6A1A" w:rsidRPr="002154E6" w:rsidRDefault="007A6A1A" w:rsidP="002154E6">
            <w:pPr>
              <w:spacing w:after="0" w:line="240" w:lineRule="auto"/>
              <w:rPr>
                <w:sz w:val="20"/>
                <w:szCs w:val="20"/>
              </w:rPr>
            </w:pPr>
            <w:r w:rsidRPr="002154E6">
              <w:rPr>
                <w:sz w:val="20"/>
                <w:szCs w:val="20"/>
              </w:rPr>
              <w:t>Sales worker</w:t>
            </w:r>
          </w:p>
        </w:tc>
        <w:tc>
          <w:tcPr>
            <w:tcW w:w="1418" w:type="dxa"/>
            <w:tcBorders>
              <w:top w:val="nil"/>
              <w:left w:val="nil"/>
              <w:bottom w:val="nil"/>
              <w:right w:val="nil"/>
            </w:tcBorders>
            <w:noWrap/>
            <w:vAlign w:val="bottom"/>
            <w:hideMark/>
          </w:tcPr>
          <w:p w14:paraId="16E9261D" w14:textId="77777777" w:rsidR="007A6A1A" w:rsidRPr="002154E6" w:rsidRDefault="007A6A1A" w:rsidP="002154E6">
            <w:pPr>
              <w:spacing w:after="0" w:line="240" w:lineRule="auto"/>
              <w:rPr>
                <w:sz w:val="20"/>
                <w:szCs w:val="20"/>
              </w:rPr>
            </w:pPr>
            <w:r w:rsidRPr="002154E6">
              <w:rPr>
                <w:sz w:val="20"/>
                <w:szCs w:val="20"/>
              </w:rPr>
              <w:t>0.021***</w:t>
            </w:r>
          </w:p>
        </w:tc>
        <w:tc>
          <w:tcPr>
            <w:tcW w:w="1842" w:type="dxa"/>
            <w:tcBorders>
              <w:top w:val="nil"/>
              <w:left w:val="nil"/>
              <w:bottom w:val="nil"/>
              <w:right w:val="single" w:sz="4" w:space="0" w:color="auto"/>
            </w:tcBorders>
            <w:noWrap/>
            <w:vAlign w:val="bottom"/>
            <w:hideMark/>
          </w:tcPr>
          <w:p w14:paraId="0967EB66" w14:textId="77777777" w:rsidR="007A6A1A" w:rsidRPr="002154E6" w:rsidRDefault="007A6A1A" w:rsidP="002154E6">
            <w:pPr>
              <w:spacing w:after="0" w:line="240" w:lineRule="auto"/>
              <w:rPr>
                <w:sz w:val="20"/>
                <w:szCs w:val="20"/>
              </w:rPr>
            </w:pPr>
            <w:r w:rsidRPr="002154E6">
              <w:rPr>
                <w:sz w:val="20"/>
                <w:szCs w:val="20"/>
              </w:rPr>
              <w:t>0.012***</w:t>
            </w:r>
          </w:p>
        </w:tc>
      </w:tr>
      <w:tr w:rsidR="007A6A1A" w:rsidRPr="00167CB8" w14:paraId="529809F7" w14:textId="77777777">
        <w:trPr>
          <w:trHeight w:val="211"/>
        </w:trPr>
        <w:tc>
          <w:tcPr>
            <w:tcW w:w="5812" w:type="dxa"/>
            <w:tcBorders>
              <w:top w:val="nil"/>
              <w:left w:val="single" w:sz="4" w:space="0" w:color="auto"/>
              <w:bottom w:val="nil"/>
              <w:right w:val="nil"/>
            </w:tcBorders>
            <w:noWrap/>
            <w:vAlign w:val="bottom"/>
            <w:hideMark/>
          </w:tcPr>
          <w:p w14:paraId="0B5FE6DE"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92884C6" w14:textId="77777777" w:rsidR="007A6A1A" w:rsidRPr="002154E6" w:rsidRDefault="007A6A1A" w:rsidP="002154E6">
            <w:pPr>
              <w:spacing w:after="0" w:line="240" w:lineRule="auto"/>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227A8DA0"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4EC9E96" w14:textId="77777777">
        <w:trPr>
          <w:trHeight w:val="211"/>
        </w:trPr>
        <w:tc>
          <w:tcPr>
            <w:tcW w:w="5812" w:type="dxa"/>
            <w:tcBorders>
              <w:top w:val="nil"/>
              <w:left w:val="single" w:sz="4" w:space="0" w:color="auto"/>
              <w:bottom w:val="nil"/>
              <w:right w:val="nil"/>
            </w:tcBorders>
            <w:noWrap/>
            <w:vAlign w:val="bottom"/>
            <w:hideMark/>
          </w:tcPr>
          <w:p w14:paraId="2DC33694" w14:textId="77777777" w:rsidR="007A6A1A" w:rsidRPr="002154E6" w:rsidRDefault="007A6A1A" w:rsidP="002154E6">
            <w:pPr>
              <w:spacing w:after="0" w:line="240" w:lineRule="auto"/>
              <w:rPr>
                <w:sz w:val="20"/>
                <w:szCs w:val="20"/>
              </w:rPr>
            </w:pPr>
            <w:r w:rsidRPr="002154E6">
              <w:rPr>
                <w:sz w:val="20"/>
                <w:szCs w:val="20"/>
              </w:rPr>
              <w:t>Operator</w:t>
            </w:r>
          </w:p>
        </w:tc>
        <w:tc>
          <w:tcPr>
            <w:tcW w:w="1418" w:type="dxa"/>
            <w:tcBorders>
              <w:top w:val="nil"/>
              <w:left w:val="nil"/>
              <w:bottom w:val="nil"/>
              <w:right w:val="nil"/>
            </w:tcBorders>
            <w:noWrap/>
            <w:vAlign w:val="bottom"/>
            <w:hideMark/>
          </w:tcPr>
          <w:p w14:paraId="35118A2F" w14:textId="77777777" w:rsidR="007A6A1A" w:rsidRPr="002154E6" w:rsidRDefault="007A6A1A" w:rsidP="002154E6">
            <w:pPr>
              <w:spacing w:after="0" w:line="240" w:lineRule="auto"/>
              <w:rPr>
                <w:sz w:val="20"/>
                <w:szCs w:val="20"/>
              </w:rPr>
            </w:pPr>
            <w:r w:rsidRPr="002154E6">
              <w:rPr>
                <w:sz w:val="20"/>
                <w:szCs w:val="20"/>
              </w:rPr>
              <w:t>0.008*</w:t>
            </w:r>
          </w:p>
        </w:tc>
        <w:tc>
          <w:tcPr>
            <w:tcW w:w="1842" w:type="dxa"/>
            <w:tcBorders>
              <w:top w:val="nil"/>
              <w:left w:val="nil"/>
              <w:bottom w:val="nil"/>
              <w:right w:val="single" w:sz="4" w:space="0" w:color="auto"/>
            </w:tcBorders>
            <w:noWrap/>
            <w:vAlign w:val="bottom"/>
            <w:hideMark/>
          </w:tcPr>
          <w:p w14:paraId="7CEEEC4F" w14:textId="77777777" w:rsidR="007A6A1A" w:rsidRPr="002154E6" w:rsidRDefault="007A6A1A" w:rsidP="002154E6">
            <w:pPr>
              <w:spacing w:after="0" w:line="240" w:lineRule="auto"/>
              <w:rPr>
                <w:sz w:val="20"/>
                <w:szCs w:val="20"/>
              </w:rPr>
            </w:pPr>
            <w:r w:rsidRPr="002154E6">
              <w:rPr>
                <w:sz w:val="20"/>
                <w:szCs w:val="20"/>
              </w:rPr>
              <w:t>0.011***</w:t>
            </w:r>
          </w:p>
        </w:tc>
      </w:tr>
      <w:tr w:rsidR="007A6A1A" w:rsidRPr="00167CB8" w14:paraId="388925F2" w14:textId="77777777">
        <w:trPr>
          <w:trHeight w:val="211"/>
        </w:trPr>
        <w:tc>
          <w:tcPr>
            <w:tcW w:w="5812" w:type="dxa"/>
            <w:tcBorders>
              <w:top w:val="nil"/>
              <w:left w:val="single" w:sz="4" w:space="0" w:color="auto"/>
              <w:bottom w:val="nil"/>
              <w:right w:val="nil"/>
            </w:tcBorders>
            <w:noWrap/>
            <w:vAlign w:val="bottom"/>
            <w:hideMark/>
          </w:tcPr>
          <w:p w14:paraId="348CE57E"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1C4CD623" w14:textId="77777777" w:rsidR="007A6A1A" w:rsidRPr="002154E6" w:rsidRDefault="007A6A1A" w:rsidP="002154E6">
            <w:pPr>
              <w:spacing w:after="0" w:line="240" w:lineRule="auto"/>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4ABFBB81"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CD590BD" w14:textId="77777777">
        <w:trPr>
          <w:trHeight w:val="211"/>
        </w:trPr>
        <w:tc>
          <w:tcPr>
            <w:tcW w:w="5812" w:type="dxa"/>
            <w:tcBorders>
              <w:top w:val="nil"/>
              <w:left w:val="single" w:sz="4" w:space="0" w:color="auto"/>
              <w:bottom w:val="nil"/>
              <w:right w:val="nil"/>
            </w:tcBorders>
            <w:noWrap/>
            <w:vAlign w:val="bottom"/>
            <w:hideMark/>
          </w:tcPr>
          <w:p w14:paraId="008185D7" w14:textId="3F17515B" w:rsidR="007A6A1A" w:rsidRPr="002154E6" w:rsidRDefault="007A6A1A" w:rsidP="002154E6">
            <w:pPr>
              <w:spacing w:after="0" w:line="240" w:lineRule="auto"/>
              <w:rPr>
                <w:sz w:val="20"/>
                <w:szCs w:val="20"/>
              </w:rPr>
            </w:pPr>
            <w:r w:rsidRPr="002154E6">
              <w:rPr>
                <w:sz w:val="20"/>
                <w:szCs w:val="20"/>
              </w:rPr>
              <w:t xml:space="preserve">Public </w:t>
            </w:r>
            <w:r w:rsidR="00A461FB" w:rsidRPr="002154E6">
              <w:rPr>
                <w:sz w:val="20"/>
                <w:szCs w:val="20"/>
              </w:rPr>
              <w:t>s</w:t>
            </w:r>
            <w:r w:rsidRPr="002154E6">
              <w:rPr>
                <w:sz w:val="20"/>
                <w:szCs w:val="20"/>
              </w:rPr>
              <w:t>ector</w:t>
            </w:r>
          </w:p>
        </w:tc>
        <w:tc>
          <w:tcPr>
            <w:tcW w:w="1418" w:type="dxa"/>
            <w:tcBorders>
              <w:top w:val="nil"/>
              <w:left w:val="nil"/>
              <w:bottom w:val="nil"/>
              <w:right w:val="nil"/>
            </w:tcBorders>
            <w:noWrap/>
            <w:vAlign w:val="bottom"/>
            <w:hideMark/>
          </w:tcPr>
          <w:p w14:paraId="03F8432E" w14:textId="77777777" w:rsidR="007A6A1A" w:rsidRPr="002154E6" w:rsidRDefault="007A6A1A" w:rsidP="002154E6">
            <w:pPr>
              <w:spacing w:after="0" w:line="240" w:lineRule="auto"/>
              <w:rPr>
                <w:sz w:val="20"/>
                <w:szCs w:val="20"/>
              </w:rPr>
            </w:pPr>
            <w:r w:rsidRPr="002154E6">
              <w:rPr>
                <w:sz w:val="20"/>
                <w:szCs w:val="20"/>
              </w:rPr>
              <w:t>0.020***</w:t>
            </w:r>
          </w:p>
        </w:tc>
        <w:tc>
          <w:tcPr>
            <w:tcW w:w="1842" w:type="dxa"/>
            <w:tcBorders>
              <w:top w:val="nil"/>
              <w:left w:val="nil"/>
              <w:bottom w:val="nil"/>
              <w:right w:val="single" w:sz="4" w:space="0" w:color="auto"/>
            </w:tcBorders>
            <w:noWrap/>
            <w:vAlign w:val="bottom"/>
            <w:hideMark/>
          </w:tcPr>
          <w:p w14:paraId="6635E66B"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16E3FF23" w14:textId="77777777">
        <w:trPr>
          <w:trHeight w:val="211"/>
        </w:trPr>
        <w:tc>
          <w:tcPr>
            <w:tcW w:w="5812" w:type="dxa"/>
            <w:tcBorders>
              <w:top w:val="nil"/>
              <w:left w:val="single" w:sz="4" w:space="0" w:color="auto"/>
              <w:bottom w:val="nil"/>
              <w:right w:val="nil"/>
            </w:tcBorders>
            <w:noWrap/>
            <w:vAlign w:val="bottom"/>
            <w:hideMark/>
          </w:tcPr>
          <w:p w14:paraId="681E7288"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31CBD5F"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3099C9EB"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0DB70D23" w14:textId="77777777">
        <w:trPr>
          <w:trHeight w:val="211"/>
        </w:trPr>
        <w:tc>
          <w:tcPr>
            <w:tcW w:w="5812" w:type="dxa"/>
            <w:tcBorders>
              <w:top w:val="nil"/>
              <w:left w:val="single" w:sz="4" w:space="0" w:color="auto"/>
              <w:bottom w:val="nil"/>
              <w:right w:val="nil"/>
            </w:tcBorders>
            <w:noWrap/>
            <w:vAlign w:val="bottom"/>
            <w:hideMark/>
          </w:tcPr>
          <w:p w14:paraId="43BF8F1F" w14:textId="77777777" w:rsidR="007A6A1A" w:rsidRPr="002154E6" w:rsidRDefault="007A6A1A" w:rsidP="002154E6">
            <w:pPr>
              <w:spacing w:after="0" w:line="240" w:lineRule="auto"/>
              <w:rPr>
                <w:sz w:val="20"/>
                <w:szCs w:val="20"/>
              </w:rPr>
            </w:pPr>
            <w:r w:rsidRPr="002154E6">
              <w:rPr>
                <w:sz w:val="20"/>
                <w:szCs w:val="20"/>
              </w:rPr>
              <w:t>Mining</w:t>
            </w:r>
          </w:p>
        </w:tc>
        <w:tc>
          <w:tcPr>
            <w:tcW w:w="1418" w:type="dxa"/>
            <w:tcBorders>
              <w:top w:val="nil"/>
              <w:left w:val="nil"/>
              <w:bottom w:val="nil"/>
              <w:right w:val="nil"/>
            </w:tcBorders>
            <w:noWrap/>
            <w:vAlign w:val="bottom"/>
            <w:hideMark/>
          </w:tcPr>
          <w:p w14:paraId="26E274F3" w14:textId="77777777" w:rsidR="007A6A1A" w:rsidRPr="002154E6" w:rsidRDefault="007A6A1A" w:rsidP="002154E6">
            <w:pPr>
              <w:spacing w:after="0" w:line="240" w:lineRule="auto"/>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58AD5C34"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393BD2A8" w14:textId="77777777">
        <w:trPr>
          <w:trHeight w:val="211"/>
        </w:trPr>
        <w:tc>
          <w:tcPr>
            <w:tcW w:w="5812" w:type="dxa"/>
            <w:tcBorders>
              <w:top w:val="nil"/>
              <w:left w:val="single" w:sz="4" w:space="0" w:color="auto"/>
              <w:bottom w:val="nil"/>
              <w:right w:val="nil"/>
            </w:tcBorders>
            <w:noWrap/>
            <w:vAlign w:val="bottom"/>
            <w:hideMark/>
          </w:tcPr>
          <w:p w14:paraId="427FADD0"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73BE3F2" w14:textId="77777777" w:rsidR="007A6A1A" w:rsidRPr="002154E6" w:rsidRDefault="007A6A1A" w:rsidP="002154E6">
            <w:pPr>
              <w:spacing w:after="0" w:line="240" w:lineRule="auto"/>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0FA49D86"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68E1FBBB" w14:textId="77777777">
        <w:trPr>
          <w:trHeight w:val="211"/>
        </w:trPr>
        <w:tc>
          <w:tcPr>
            <w:tcW w:w="5812" w:type="dxa"/>
            <w:tcBorders>
              <w:top w:val="nil"/>
              <w:left w:val="single" w:sz="4" w:space="0" w:color="auto"/>
              <w:bottom w:val="nil"/>
              <w:right w:val="nil"/>
            </w:tcBorders>
            <w:noWrap/>
            <w:vAlign w:val="bottom"/>
            <w:hideMark/>
          </w:tcPr>
          <w:p w14:paraId="470D3A9E" w14:textId="77777777" w:rsidR="007A6A1A" w:rsidRPr="002154E6" w:rsidRDefault="007A6A1A" w:rsidP="002154E6">
            <w:pPr>
              <w:spacing w:after="0" w:line="240" w:lineRule="auto"/>
              <w:rPr>
                <w:sz w:val="20"/>
                <w:szCs w:val="20"/>
              </w:rPr>
            </w:pPr>
            <w:r w:rsidRPr="002154E6">
              <w:rPr>
                <w:sz w:val="20"/>
                <w:szCs w:val="20"/>
              </w:rPr>
              <w:t>Manufacturing</w:t>
            </w:r>
          </w:p>
        </w:tc>
        <w:tc>
          <w:tcPr>
            <w:tcW w:w="1418" w:type="dxa"/>
            <w:tcBorders>
              <w:top w:val="nil"/>
              <w:left w:val="nil"/>
              <w:bottom w:val="nil"/>
              <w:right w:val="nil"/>
            </w:tcBorders>
            <w:noWrap/>
            <w:vAlign w:val="bottom"/>
            <w:hideMark/>
          </w:tcPr>
          <w:p w14:paraId="618E9317" w14:textId="77777777" w:rsidR="007A6A1A" w:rsidRPr="002154E6" w:rsidRDefault="007A6A1A" w:rsidP="002154E6">
            <w:pPr>
              <w:spacing w:after="0" w:line="240" w:lineRule="auto"/>
              <w:rPr>
                <w:sz w:val="20"/>
                <w:szCs w:val="20"/>
              </w:rPr>
            </w:pPr>
            <w:r w:rsidRPr="002154E6">
              <w:rPr>
                <w:sz w:val="20"/>
                <w:szCs w:val="20"/>
              </w:rPr>
              <w:t>-0.043***</w:t>
            </w:r>
          </w:p>
        </w:tc>
        <w:tc>
          <w:tcPr>
            <w:tcW w:w="1842" w:type="dxa"/>
            <w:tcBorders>
              <w:top w:val="nil"/>
              <w:left w:val="nil"/>
              <w:bottom w:val="nil"/>
              <w:right w:val="single" w:sz="4" w:space="0" w:color="auto"/>
            </w:tcBorders>
            <w:noWrap/>
            <w:vAlign w:val="bottom"/>
            <w:hideMark/>
          </w:tcPr>
          <w:p w14:paraId="35ADD570" w14:textId="77777777" w:rsidR="007A6A1A" w:rsidRPr="002154E6" w:rsidRDefault="007A6A1A" w:rsidP="002154E6">
            <w:pPr>
              <w:spacing w:after="0" w:line="240" w:lineRule="auto"/>
              <w:rPr>
                <w:sz w:val="20"/>
                <w:szCs w:val="20"/>
              </w:rPr>
            </w:pPr>
            <w:r w:rsidRPr="002154E6">
              <w:rPr>
                <w:sz w:val="20"/>
                <w:szCs w:val="20"/>
              </w:rPr>
              <w:t>-0.008***</w:t>
            </w:r>
          </w:p>
        </w:tc>
      </w:tr>
      <w:tr w:rsidR="007A6A1A" w:rsidRPr="00167CB8" w14:paraId="5B4D0289" w14:textId="77777777">
        <w:trPr>
          <w:trHeight w:val="211"/>
        </w:trPr>
        <w:tc>
          <w:tcPr>
            <w:tcW w:w="5812" w:type="dxa"/>
            <w:tcBorders>
              <w:top w:val="nil"/>
              <w:left w:val="single" w:sz="4" w:space="0" w:color="auto"/>
              <w:bottom w:val="nil"/>
              <w:right w:val="nil"/>
            </w:tcBorders>
            <w:noWrap/>
            <w:vAlign w:val="bottom"/>
            <w:hideMark/>
          </w:tcPr>
          <w:p w14:paraId="4083312A"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0401F83F"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5A9D3026"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445A895A" w14:textId="77777777">
        <w:trPr>
          <w:trHeight w:val="211"/>
        </w:trPr>
        <w:tc>
          <w:tcPr>
            <w:tcW w:w="5812" w:type="dxa"/>
            <w:tcBorders>
              <w:top w:val="nil"/>
              <w:left w:val="single" w:sz="4" w:space="0" w:color="auto"/>
              <w:bottom w:val="nil"/>
              <w:right w:val="nil"/>
            </w:tcBorders>
            <w:noWrap/>
            <w:vAlign w:val="bottom"/>
            <w:hideMark/>
          </w:tcPr>
          <w:p w14:paraId="34672EB7" w14:textId="77777777" w:rsidR="007A6A1A" w:rsidRPr="002154E6" w:rsidRDefault="007A6A1A" w:rsidP="002154E6">
            <w:pPr>
              <w:spacing w:after="0" w:line="240" w:lineRule="auto"/>
              <w:rPr>
                <w:sz w:val="20"/>
                <w:szCs w:val="20"/>
              </w:rPr>
            </w:pPr>
            <w:r w:rsidRPr="002154E6">
              <w:rPr>
                <w:sz w:val="20"/>
                <w:szCs w:val="20"/>
              </w:rPr>
              <w:lastRenderedPageBreak/>
              <w:t>Electricity, gas and water</w:t>
            </w:r>
          </w:p>
        </w:tc>
        <w:tc>
          <w:tcPr>
            <w:tcW w:w="1418" w:type="dxa"/>
            <w:tcBorders>
              <w:top w:val="nil"/>
              <w:left w:val="nil"/>
              <w:bottom w:val="nil"/>
              <w:right w:val="nil"/>
            </w:tcBorders>
            <w:noWrap/>
            <w:vAlign w:val="bottom"/>
            <w:hideMark/>
          </w:tcPr>
          <w:p w14:paraId="7578005D" w14:textId="77777777" w:rsidR="007A6A1A" w:rsidRPr="002154E6" w:rsidRDefault="007A6A1A" w:rsidP="002154E6">
            <w:pPr>
              <w:spacing w:after="0" w:line="240" w:lineRule="auto"/>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17B2E07B" w14:textId="77777777" w:rsidR="007A6A1A" w:rsidRPr="002154E6" w:rsidRDefault="007A6A1A" w:rsidP="002154E6">
            <w:pPr>
              <w:spacing w:after="0" w:line="240" w:lineRule="auto"/>
              <w:rPr>
                <w:sz w:val="20"/>
                <w:szCs w:val="20"/>
              </w:rPr>
            </w:pPr>
            <w:r w:rsidRPr="002154E6">
              <w:rPr>
                <w:sz w:val="20"/>
                <w:szCs w:val="20"/>
              </w:rPr>
              <w:t>-0.008*</w:t>
            </w:r>
          </w:p>
        </w:tc>
      </w:tr>
      <w:tr w:rsidR="007A6A1A" w:rsidRPr="00167CB8" w14:paraId="0687D499" w14:textId="77777777">
        <w:trPr>
          <w:trHeight w:val="211"/>
        </w:trPr>
        <w:tc>
          <w:tcPr>
            <w:tcW w:w="5812" w:type="dxa"/>
            <w:tcBorders>
              <w:top w:val="nil"/>
              <w:left w:val="single" w:sz="4" w:space="0" w:color="auto"/>
              <w:bottom w:val="nil"/>
              <w:right w:val="nil"/>
            </w:tcBorders>
            <w:noWrap/>
            <w:vAlign w:val="bottom"/>
            <w:hideMark/>
          </w:tcPr>
          <w:p w14:paraId="60542426"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16FBB992" w14:textId="77777777" w:rsidR="007A6A1A" w:rsidRPr="002154E6" w:rsidRDefault="007A6A1A" w:rsidP="002154E6">
            <w:pPr>
              <w:spacing w:after="0" w:line="240" w:lineRule="auto"/>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520AE1DE" w14:textId="77777777" w:rsidR="007A6A1A" w:rsidRPr="002154E6" w:rsidRDefault="007A6A1A" w:rsidP="002154E6">
            <w:pPr>
              <w:spacing w:after="0" w:line="240" w:lineRule="auto"/>
              <w:rPr>
                <w:sz w:val="20"/>
                <w:szCs w:val="20"/>
              </w:rPr>
            </w:pPr>
            <w:r w:rsidRPr="002154E6">
              <w:rPr>
                <w:sz w:val="20"/>
                <w:szCs w:val="20"/>
              </w:rPr>
              <w:t>(0.005)</w:t>
            </w:r>
          </w:p>
        </w:tc>
      </w:tr>
      <w:tr w:rsidR="007A6A1A" w:rsidRPr="00167CB8" w14:paraId="22E064CE" w14:textId="77777777">
        <w:trPr>
          <w:trHeight w:val="211"/>
        </w:trPr>
        <w:tc>
          <w:tcPr>
            <w:tcW w:w="5812" w:type="dxa"/>
            <w:tcBorders>
              <w:top w:val="nil"/>
              <w:left w:val="single" w:sz="4" w:space="0" w:color="auto"/>
              <w:bottom w:val="nil"/>
              <w:right w:val="nil"/>
            </w:tcBorders>
            <w:noWrap/>
            <w:vAlign w:val="bottom"/>
            <w:hideMark/>
          </w:tcPr>
          <w:p w14:paraId="23F3A7FB" w14:textId="77777777" w:rsidR="007A6A1A" w:rsidRPr="002154E6" w:rsidRDefault="007A6A1A" w:rsidP="002154E6">
            <w:pPr>
              <w:spacing w:after="0" w:line="240" w:lineRule="auto"/>
              <w:rPr>
                <w:sz w:val="20"/>
                <w:szCs w:val="20"/>
              </w:rPr>
            </w:pPr>
            <w:r w:rsidRPr="002154E6">
              <w:rPr>
                <w:sz w:val="20"/>
                <w:szCs w:val="20"/>
              </w:rPr>
              <w:t>Construction</w:t>
            </w:r>
          </w:p>
        </w:tc>
        <w:tc>
          <w:tcPr>
            <w:tcW w:w="1418" w:type="dxa"/>
            <w:tcBorders>
              <w:top w:val="nil"/>
              <w:left w:val="nil"/>
              <w:bottom w:val="nil"/>
              <w:right w:val="nil"/>
            </w:tcBorders>
            <w:noWrap/>
            <w:vAlign w:val="bottom"/>
            <w:hideMark/>
          </w:tcPr>
          <w:p w14:paraId="55801D14" w14:textId="77777777" w:rsidR="007A6A1A" w:rsidRPr="002154E6" w:rsidRDefault="007A6A1A" w:rsidP="002154E6">
            <w:pPr>
              <w:spacing w:after="0" w:line="240" w:lineRule="auto"/>
              <w:rPr>
                <w:sz w:val="20"/>
                <w:szCs w:val="20"/>
              </w:rPr>
            </w:pPr>
            <w:r w:rsidRPr="002154E6">
              <w:rPr>
                <w:sz w:val="20"/>
                <w:szCs w:val="20"/>
              </w:rPr>
              <w:t>-0.030***</w:t>
            </w:r>
          </w:p>
        </w:tc>
        <w:tc>
          <w:tcPr>
            <w:tcW w:w="1842" w:type="dxa"/>
            <w:tcBorders>
              <w:top w:val="nil"/>
              <w:left w:val="nil"/>
              <w:bottom w:val="nil"/>
              <w:right w:val="single" w:sz="4" w:space="0" w:color="auto"/>
            </w:tcBorders>
            <w:noWrap/>
            <w:vAlign w:val="bottom"/>
            <w:hideMark/>
          </w:tcPr>
          <w:p w14:paraId="2EE85A63" w14:textId="77777777" w:rsidR="007A6A1A" w:rsidRPr="002154E6" w:rsidRDefault="007A6A1A" w:rsidP="002154E6">
            <w:pPr>
              <w:spacing w:after="0" w:line="240" w:lineRule="auto"/>
              <w:rPr>
                <w:sz w:val="20"/>
                <w:szCs w:val="20"/>
              </w:rPr>
            </w:pPr>
            <w:r w:rsidRPr="002154E6">
              <w:rPr>
                <w:sz w:val="20"/>
                <w:szCs w:val="20"/>
              </w:rPr>
              <w:t>-0.005*</w:t>
            </w:r>
          </w:p>
        </w:tc>
      </w:tr>
      <w:tr w:rsidR="007A6A1A" w:rsidRPr="00167CB8" w14:paraId="5ABFB0A3" w14:textId="77777777">
        <w:trPr>
          <w:trHeight w:val="211"/>
        </w:trPr>
        <w:tc>
          <w:tcPr>
            <w:tcW w:w="5812" w:type="dxa"/>
            <w:tcBorders>
              <w:top w:val="nil"/>
              <w:left w:val="single" w:sz="4" w:space="0" w:color="auto"/>
              <w:bottom w:val="nil"/>
              <w:right w:val="nil"/>
            </w:tcBorders>
            <w:noWrap/>
            <w:vAlign w:val="bottom"/>
            <w:hideMark/>
          </w:tcPr>
          <w:p w14:paraId="1587E856"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19E8F93F"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19AE9CBD"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0CFFEE4" w14:textId="77777777">
        <w:trPr>
          <w:trHeight w:val="211"/>
        </w:trPr>
        <w:tc>
          <w:tcPr>
            <w:tcW w:w="5812" w:type="dxa"/>
            <w:tcBorders>
              <w:top w:val="nil"/>
              <w:left w:val="single" w:sz="4" w:space="0" w:color="auto"/>
              <w:bottom w:val="nil"/>
              <w:right w:val="nil"/>
            </w:tcBorders>
            <w:noWrap/>
            <w:vAlign w:val="bottom"/>
            <w:hideMark/>
          </w:tcPr>
          <w:p w14:paraId="06E83CFA" w14:textId="77777777" w:rsidR="007A6A1A" w:rsidRPr="002154E6" w:rsidRDefault="007A6A1A" w:rsidP="002154E6">
            <w:pPr>
              <w:spacing w:after="0" w:line="240" w:lineRule="auto"/>
              <w:rPr>
                <w:sz w:val="20"/>
                <w:szCs w:val="20"/>
              </w:rPr>
            </w:pPr>
            <w:r w:rsidRPr="002154E6">
              <w:rPr>
                <w:sz w:val="20"/>
                <w:szCs w:val="20"/>
              </w:rPr>
              <w:t>Wholesale trade</w:t>
            </w:r>
          </w:p>
        </w:tc>
        <w:tc>
          <w:tcPr>
            <w:tcW w:w="1418" w:type="dxa"/>
            <w:tcBorders>
              <w:top w:val="nil"/>
              <w:left w:val="nil"/>
              <w:bottom w:val="nil"/>
              <w:right w:val="nil"/>
            </w:tcBorders>
            <w:noWrap/>
            <w:vAlign w:val="bottom"/>
            <w:hideMark/>
          </w:tcPr>
          <w:p w14:paraId="1677FB8B" w14:textId="77777777" w:rsidR="007A6A1A" w:rsidRPr="002154E6" w:rsidRDefault="007A6A1A" w:rsidP="002154E6">
            <w:pPr>
              <w:spacing w:after="0" w:line="240" w:lineRule="auto"/>
              <w:rPr>
                <w:sz w:val="20"/>
                <w:szCs w:val="20"/>
              </w:rPr>
            </w:pPr>
            <w:r w:rsidRPr="002154E6">
              <w:rPr>
                <w:sz w:val="20"/>
                <w:szCs w:val="20"/>
              </w:rPr>
              <w:t>-0.035***</w:t>
            </w:r>
          </w:p>
        </w:tc>
        <w:tc>
          <w:tcPr>
            <w:tcW w:w="1842" w:type="dxa"/>
            <w:tcBorders>
              <w:top w:val="nil"/>
              <w:left w:val="nil"/>
              <w:bottom w:val="nil"/>
              <w:right w:val="single" w:sz="4" w:space="0" w:color="auto"/>
            </w:tcBorders>
            <w:noWrap/>
            <w:vAlign w:val="bottom"/>
            <w:hideMark/>
          </w:tcPr>
          <w:p w14:paraId="13F9CA3B" w14:textId="77777777" w:rsidR="007A6A1A" w:rsidRPr="002154E6" w:rsidRDefault="007A6A1A" w:rsidP="002154E6">
            <w:pPr>
              <w:spacing w:after="0" w:line="240" w:lineRule="auto"/>
              <w:rPr>
                <w:sz w:val="20"/>
                <w:szCs w:val="20"/>
              </w:rPr>
            </w:pPr>
            <w:r w:rsidRPr="002154E6">
              <w:rPr>
                <w:sz w:val="20"/>
                <w:szCs w:val="20"/>
              </w:rPr>
              <w:t>-0.007**</w:t>
            </w:r>
          </w:p>
        </w:tc>
      </w:tr>
      <w:tr w:rsidR="007A6A1A" w:rsidRPr="00167CB8" w14:paraId="5F601421" w14:textId="77777777">
        <w:trPr>
          <w:trHeight w:val="211"/>
        </w:trPr>
        <w:tc>
          <w:tcPr>
            <w:tcW w:w="5812" w:type="dxa"/>
            <w:tcBorders>
              <w:top w:val="nil"/>
              <w:left w:val="single" w:sz="4" w:space="0" w:color="auto"/>
              <w:bottom w:val="nil"/>
              <w:right w:val="nil"/>
            </w:tcBorders>
            <w:noWrap/>
            <w:vAlign w:val="bottom"/>
            <w:hideMark/>
          </w:tcPr>
          <w:p w14:paraId="76725946"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1BD7DABA" w14:textId="77777777" w:rsidR="007A6A1A" w:rsidRPr="002154E6" w:rsidRDefault="007A6A1A" w:rsidP="002154E6">
            <w:pPr>
              <w:spacing w:after="0" w:line="240" w:lineRule="auto"/>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42EED4A2"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A5B8DA7" w14:textId="77777777">
        <w:trPr>
          <w:trHeight w:val="211"/>
        </w:trPr>
        <w:tc>
          <w:tcPr>
            <w:tcW w:w="5812" w:type="dxa"/>
            <w:tcBorders>
              <w:top w:val="nil"/>
              <w:left w:val="single" w:sz="4" w:space="0" w:color="auto"/>
              <w:bottom w:val="nil"/>
              <w:right w:val="nil"/>
            </w:tcBorders>
            <w:noWrap/>
            <w:vAlign w:val="bottom"/>
            <w:hideMark/>
          </w:tcPr>
          <w:p w14:paraId="03F1288F" w14:textId="77777777" w:rsidR="007A6A1A" w:rsidRPr="002154E6" w:rsidRDefault="007A6A1A" w:rsidP="002154E6">
            <w:pPr>
              <w:spacing w:after="0" w:line="240" w:lineRule="auto"/>
              <w:rPr>
                <w:sz w:val="20"/>
                <w:szCs w:val="20"/>
              </w:rPr>
            </w:pPr>
            <w:r w:rsidRPr="002154E6">
              <w:rPr>
                <w:sz w:val="20"/>
                <w:szCs w:val="20"/>
              </w:rPr>
              <w:t>Retail trade</w:t>
            </w:r>
          </w:p>
        </w:tc>
        <w:tc>
          <w:tcPr>
            <w:tcW w:w="1418" w:type="dxa"/>
            <w:tcBorders>
              <w:top w:val="nil"/>
              <w:left w:val="nil"/>
              <w:bottom w:val="nil"/>
              <w:right w:val="nil"/>
            </w:tcBorders>
            <w:noWrap/>
            <w:vAlign w:val="bottom"/>
            <w:hideMark/>
          </w:tcPr>
          <w:p w14:paraId="55AD9F02" w14:textId="77777777" w:rsidR="007A6A1A" w:rsidRPr="002154E6" w:rsidRDefault="007A6A1A" w:rsidP="002154E6">
            <w:pPr>
              <w:spacing w:after="0" w:line="240" w:lineRule="auto"/>
              <w:rPr>
                <w:sz w:val="20"/>
                <w:szCs w:val="20"/>
              </w:rPr>
            </w:pPr>
            <w:r w:rsidRPr="002154E6">
              <w:rPr>
                <w:sz w:val="20"/>
                <w:szCs w:val="20"/>
              </w:rPr>
              <w:t>-0.029***</w:t>
            </w:r>
          </w:p>
        </w:tc>
        <w:tc>
          <w:tcPr>
            <w:tcW w:w="1842" w:type="dxa"/>
            <w:tcBorders>
              <w:top w:val="nil"/>
              <w:left w:val="nil"/>
              <w:bottom w:val="nil"/>
              <w:right w:val="single" w:sz="4" w:space="0" w:color="auto"/>
            </w:tcBorders>
            <w:noWrap/>
            <w:vAlign w:val="bottom"/>
            <w:hideMark/>
          </w:tcPr>
          <w:p w14:paraId="00B9FE40"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56FEB9F" w14:textId="77777777">
        <w:trPr>
          <w:trHeight w:val="211"/>
        </w:trPr>
        <w:tc>
          <w:tcPr>
            <w:tcW w:w="5812" w:type="dxa"/>
            <w:tcBorders>
              <w:top w:val="nil"/>
              <w:left w:val="single" w:sz="4" w:space="0" w:color="auto"/>
              <w:bottom w:val="nil"/>
              <w:right w:val="nil"/>
            </w:tcBorders>
            <w:noWrap/>
            <w:vAlign w:val="bottom"/>
            <w:hideMark/>
          </w:tcPr>
          <w:p w14:paraId="2556268C"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5119702"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3EDB12E0"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02E5C627" w14:textId="77777777">
        <w:trPr>
          <w:trHeight w:val="211"/>
        </w:trPr>
        <w:tc>
          <w:tcPr>
            <w:tcW w:w="5812" w:type="dxa"/>
            <w:tcBorders>
              <w:top w:val="nil"/>
              <w:left w:val="single" w:sz="4" w:space="0" w:color="auto"/>
              <w:bottom w:val="nil"/>
              <w:right w:val="nil"/>
            </w:tcBorders>
            <w:noWrap/>
            <w:vAlign w:val="bottom"/>
            <w:hideMark/>
          </w:tcPr>
          <w:p w14:paraId="61AF2134" w14:textId="77777777" w:rsidR="007A6A1A" w:rsidRPr="002154E6" w:rsidRDefault="007A6A1A" w:rsidP="002154E6">
            <w:pPr>
              <w:spacing w:after="0" w:line="240" w:lineRule="auto"/>
              <w:rPr>
                <w:sz w:val="20"/>
                <w:szCs w:val="20"/>
              </w:rPr>
            </w:pPr>
            <w:r w:rsidRPr="002154E6">
              <w:rPr>
                <w:sz w:val="20"/>
                <w:szCs w:val="20"/>
              </w:rPr>
              <w:t>Accommodation and food services</w:t>
            </w:r>
          </w:p>
        </w:tc>
        <w:tc>
          <w:tcPr>
            <w:tcW w:w="1418" w:type="dxa"/>
            <w:tcBorders>
              <w:top w:val="nil"/>
              <w:left w:val="nil"/>
              <w:bottom w:val="nil"/>
              <w:right w:val="nil"/>
            </w:tcBorders>
            <w:noWrap/>
            <w:vAlign w:val="bottom"/>
            <w:hideMark/>
          </w:tcPr>
          <w:p w14:paraId="1699BE35" w14:textId="77777777" w:rsidR="007A6A1A" w:rsidRPr="002154E6" w:rsidRDefault="007A6A1A" w:rsidP="002154E6">
            <w:pPr>
              <w:spacing w:after="0" w:line="240" w:lineRule="auto"/>
              <w:rPr>
                <w:sz w:val="20"/>
                <w:szCs w:val="20"/>
              </w:rPr>
            </w:pPr>
            <w:r w:rsidRPr="002154E6">
              <w:rPr>
                <w:sz w:val="20"/>
                <w:szCs w:val="20"/>
              </w:rPr>
              <w:t>-0.060***</w:t>
            </w:r>
          </w:p>
        </w:tc>
        <w:tc>
          <w:tcPr>
            <w:tcW w:w="1842" w:type="dxa"/>
            <w:tcBorders>
              <w:top w:val="nil"/>
              <w:left w:val="nil"/>
              <w:bottom w:val="nil"/>
              <w:right w:val="single" w:sz="4" w:space="0" w:color="auto"/>
            </w:tcBorders>
            <w:noWrap/>
            <w:vAlign w:val="bottom"/>
            <w:hideMark/>
          </w:tcPr>
          <w:p w14:paraId="2322A377" w14:textId="77777777" w:rsidR="007A6A1A" w:rsidRPr="002154E6" w:rsidRDefault="007A6A1A" w:rsidP="002154E6">
            <w:pPr>
              <w:spacing w:after="0" w:line="240" w:lineRule="auto"/>
              <w:rPr>
                <w:sz w:val="20"/>
                <w:szCs w:val="20"/>
              </w:rPr>
            </w:pPr>
            <w:r w:rsidRPr="002154E6">
              <w:rPr>
                <w:sz w:val="20"/>
                <w:szCs w:val="20"/>
              </w:rPr>
              <w:t>-0.034***</w:t>
            </w:r>
          </w:p>
        </w:tc>
      </w:tr>
      <w:tr w:rsidR="007A6A1A" w:rsidRPr="00167CB8" w14:paraId="74A2767F" w14:textId="77777777">
        <w:trPr>
          <w:trHeight w:val="211"/>
        </w:trPr>
        <w:tc>
          <w:tcPr>
            <w:tcW w:w="5812" w:type="dxa"/>
            <w:tcBorders>
              <w:top w:val="nil"/>
              <w:left w:val="single" w:sz="4" w:space="0" w:color="auto"/>
              <w:bottom w:val="nil"/>
              <w:right w:val="nil"/>
            </w:tcBorders>
            <w:noWrap/>
            <w:vAlign w:val="bottom"/>
            <w:hideMark/>
          </w:tcPr>
          <w:p w14:paraId="43EF894E"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57734596" w14:textId="77777777" w:rsidR="007A6A1A" w:rsidRPr="002154E6" w:rsidRDefault="007A6A1A" w:rsidP="002154E6">
            <w:pPr>
              <w:spacing w:after="0" w:line="240" w:lineRule="auto"/>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7C416A93"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1B53E60A" w14:textId="77777777">
        <w:trPr>
          <w:trHeight w:val="211"/>
        </w:trPr>
        <w:tc>
          <w:tcPr>
            <w:tcW w:w="5812" w:type="dxa"/>
            <w:tcBorders>
              <w:top w:val="nil"/>
              <w:left w:val="single" w:sz="4" w:space="0" w:color="auto"/>
              <w:bottom w:val="nil"/>
              <w:right w:val="nil"/>
            </w:tcBorders>
            <w:noWrap/>
            <w:vAlign w:val="bottom"/>
            <w:hideMark/>
          </w:tcPr>
          <w:p w14:paraId="17A8D1F6" w14:textId="77777777" w:rsidR="007A6A1A" w:rsidRPr="002154E6" w:rsidRDefault="007A6A1A" w:rsidP="002154E6">
            <w:pPr>
              <w:spacing w:after="0" w:line="240" w:lineRule="auto"/>
              <w:rPr>
                <w:sz w:val="20"/>
                <w:szCs w:val="20"/>
              </w:rPr>
            </w:pPr>
            <w:r w:rsidRPr="002154E6">
              <w:rPr>
                <w:sz w:val="20"/>
                <w:szCs w:val="20"/>
              </w:rPr>
              <w:t>Transport, postal and warehousing</w:t>
            </w:r>
          </w:p>
        </w:tc>
        <w:tc>
          <w:tcPr>
            <w:tcW w:w="1418" w:type="dxa"/>
            <w:tcBorders>
              <w:top w:val="nil"/>
              <w:left w:val="nil"/>
              <w:bottom w:val="nil"/>
              <w:right w:val="nil"/>
            </w:tcBorders>
            <w:noWrap/>
            <w:vAlign w:val="bottom"/>
            <w:hideMark/>
          </w:tcPr>
          <w:p w14:paraId="428B8C87" w14:textId="77777777" w:rsidR="007A6A1A" w:rsidRPr="002154E6" w:rsidRDefault="007A6A1A" w:rsidP="002154E6">
            <w:pPr>
              <w:spacing w:after="0" w:line="240" w:lineRule="auto"/>
              <w:rPr>
                <w:sz w:val="20"/>
                <w:szCs w:val="20"/>
              </w:rPr>
            </w:pPr>
            <w:r w:rsidRPr="002154E6">
              <w:rPr>
                <w:sz w:val="20"/>
                <w:szCs w:val="20"/>
              </w:rPr>
              <w:t>-0.035***</w:t>
            </w:r>
          </w:p>
        </w:tc>
        <w:tc>
          <w:tcPr>
            <w:tcW w:w="1842" w:type="dxa"/>
            <w:tcBorders>
              <w:top w:val="nil"/>
              <w:left w:val="nil"/>
              <w:bottom w:val="nil"/>
              <w:right w:val="single" w:sz="4" w:space="0" w:color="auto"/>
            </w:tcBorders>
            <w:noWrap/>
            <w:vAlign w:val="bottom"/>
            <w:hideMark/>
          </w:tcPr>
          <w:p w14:paraId="7E9AFFCA"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421940D1" w14:textId="77777777">
        <w:trPr>
          <w:trHeight w:val="211"/>
        </w:trPr>
        <w:tc>
          <w:tcPr>
            <w:tcW w:w="5812" w:type="dxa"/>
            <w:tcBorders>
              <w:top w:val="nil"/>
              <w:left w:val="single" w:sz="4" w:space="0" w:color="auto"/>
              <w:bottom w:val="nil"/>
              <w:right w:val="nil"/>
            </w:tcBorders>
            <w:noWrap/>
            <w:vAlign w:val="bottom"/>
            <w:hideMark/>
          </w:tcPr>
          <w:p w14:paraId="7CACD8A2"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0DFFB83D" w14:textId="77777777" w:rsidR="007A6A1A" w:rsidRPr="002154E6" w:rsidRDefault="007A6A1A" w:rsidP="002154E6">
            <w:pPr>
              <w:spacing w:after="0" w:line="240" w:lineRule="auto"/>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264BB987"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EEDC28E" w14:textId="77777777">
        <w:trPr>
          <w:trHeight w:val="211"/>
        </w:trPr>
        <w:tc>
          <w:tcPr>
            <w:tcW w:w="5812" w:type="dxa"/>
            <w:tcBorders>
              <w:top w:val="nil"/>
              <w:left w:val="single" w:sz="4" w:space="0" w:color="auto"/>
              <w:bottom w:val="nil"/>
              <w:right w:val="nil"/>
            </w:tcBorders>
            <w:noWrap/>
            <w:vAlign w:val="bottom"/>
            <w:hideMark/>
          </w:tcPr>
          <w:p w14:paraId="5DD8646C" w14:textId="77777777" w:rsidR="007A6A1A" w:rsidRPr="002154E6" w:rsidRDefault="007A6A1A" w:rsidP="002154E6">
            <w:pPr>
              <w:spacing w:after="0" w:line="240" w:lineRule="auto"/>
              <w:rPr>
                <w:sz w:val="20"/>
                <w:szCs w:val="20"/>
              </w:rPr>
            </w:pPr>
            <w:r w:rsidRPr="002154E6">
              <w:rPr>
                <w:sz w:val="20"/>
                <w:szCs w:val="20"/>
              </w:rPr>
              <w:t>Information media and telecommunications</w:t>
            </w:r>
          </w:p>
        </w:tc>
        <w:tc>
          <w:tcPr>
            <w:tcW w:w="1418" w:type="dxa"/>
            <w:tcBorders>
              <w:top w:val="nil"/>
              <w:left w:val="nil"/>
              <w:bottom w:val="nil"/>
              <w:right w:val="nil"/>
            </w:tcBorders>
            <w:noWrap/>
            <w:vAlign w:val="bottom"/>
            <w:hideMark/>
          </w:tcPr>
          <w:p w14:paraId="51915C8C" w14:textId="77777777" w:rsidR="007A6A1A" w:rsidRPr="002154E6" w:rsidRDefault="007A6A1A" w:rsidP="002154E6">
            <w:pPr>
              <w:spacing w:after="0" w:line="240" w:lineRule="auto"/>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5098547B" w14:textId="77777777" w:rsidR="007A6A1A" w:rsidRPr="002154E6" w:rsidRDefault="007A6A1A" w:rsidP="002154E6">
            <w:pPr>
              <w:spacing w:after="0" w:line="240" w:lineRule="auto"/>
              <w:rPr>
                <w:sz w:val="20"/>
                <w:szCs w:val="20"/>
              </w:rPr>
            </w:pPr>
            <w:r w:rsidRPr="002154E6">
              <w:rPr>
                <w:sz w:val="20"/>
                <w:szCs w:val="20"/>
              </w:rPr>
              <w:t>-0.007*</w:t>
            </w:r>
          </w:p>
        </w:tc>
      </w:tr>
      <w:tr w:rsidR="007A6A1A" w:rsidRPr="00167CB8" w14:paraId="4E38CEFD" w14:textId="77777777">
        <w:trPr>
          <w:trHeight w:val="211"/>
        </w:trPr>
        <w:tc>
          <w:tcPr>
            <w:tcW w:w="5812" w:type="dxa"/>
            <w:tcBorders>
              <w:top w:val="nil"/>
              <w:left w:val="single" w:sz="4" w:space="0" w:color="auto"/>
              <w:bottom w:val="nil"/>
              <w:right w:val="nil"/>
            </w:tcBorders>
            <w:noWrap/>
            <w:vAlign w:val="bottom"/>
            <w:hideMark/>
          </w:tcPr>
          <w:p w14:paraId="024DB38E"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9EE0CB3"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3C6A1F1F"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0716CF44" w14:textId="77777777">
        <w:trPr>
          <w:trHeight w:val="211"/>
        </w:trPr>
        <w:tc>
          <w:tcPr>
            <w:tcW w:w="5812" w:type="dxa"/>
            <w:tcBorders>
              <w:top w:val="nil"/>
              <w:left w:val="single" w:sz="4" w:space="0" w:color="auto"/>
              <w:bottom w:val="nil"/>
              <w:right w:val="nil"/>
            </w:tcBorders>
            <w:noWrap/>
            <w:vAlign w:val="bottom"/>
            <w:hideMark/>
          </w:tcPr>
          <w:p w14:paraId="74699ADF" w14:textId="77777777" w:rsidR="007A6A1A" w:rsidRPr="002154E6" w:rsidRDefault="007A6A1A" w:rsidP="002154E6">
            <w:pPr>
              <w:spacing w:after="0" w:line="240" w:lineRule="auto"/>
              <w:rPr>
                <w:sz w:val="20"/>
                <w:szCs w:val="20"/>
              </w:rPr>
            </w:pPr>
            <w:r w:rsidRPr="002154E6">
              <w:rPr>
                <w:sz w:val="20"/>
                <w:szCs w:val="20"/>
              </w:rPr>
              <w:t>Financial and insurance services</w:t>
            </w:r>
          </w:p>
        </w:tc>
        <w:tc>
          <w:tcPr>
            <w:tcW w:w="1418" w:type="dxa"/>
            <w:tcBorders>
              <w:top w:val="nil"/>
              <w:left w:val="nil"/>
              <w:bottom w:val="nil"/>
              <w:right w:val="nil"/>
            </w:tcBorders>
            <w:noWrap/>
            <w:vAlign w:val="bottom"/>
            <w:hideMark/>
          </w:tcPr>
          <w:p w14:paraId="12674A7C" w14:textId="77777777" w:rsidR="007A6A1A" w:rsidRPr="002154E6" w:rsidRDefault="007A6A1A" w:rsidP="002154E6">
            <w:pPr>
              <w:spacing w:after="0" w:line="240" w:lineRule="auto"/>
              <w:rPr>
                <w:sz w:val="20"/>
                <w:szCs w:val="20"/>
              </w:rPr>
            </w:pPr>
            <w:r w:rsidRPr="002154E6">
              <w:rPr>
                <w:sz w:val="20"/>
                <w:szCs w:val="20"/>
              </w:rPr>
              <w:t>-0.037***</w:t>
            </w:r>
          </w:p>
        </w:tc>
        <w:tc>
          <w:tcPr>
            <w:tcW w:w="1842" w:type="dxa"/>
            <w:tcBorders>
              <w:top w:val="nil"/>
              <w:left w:val="nil"/>
              <w:bottom w:val="nil"/>
              <w:right w:val="single" w:sz="4" w:space="0" w:color="auto"/>
            </w:tcBorders>
            <w:noWrap/>
            <w:vAlign w:val="bottom"/>
            <w:hideMark/>
          </w:tcPr>
          <w:p w14:paraId="1FA13910"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4B5D6EE9" w14:textId="77777777">
        <w:trPr>
          <w:trHeight w:val="211"/>
        </w:trPr>
        <w:tc>
          <w:tcPr>
            <w:tcW w:w="5812" w:type="dxa"/>
            <w:tcBorders>
              <w:top w:val="nil"/>
              <w:left w:val="single" w:sz="4" w:space="0" w:color="auto"/>
              <w:bottom w:val="nil"/>
              <w:right w:val="nil"/>
            </w:tcBorders>
            <w:noWrap/>
            <w:vAlign w:val="bottom"/>
            <w:hideMark/>
          </w:tcPr>
          <w:p w14:paraId="111A1CE0"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1D2878E"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74A725AE"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0BE29C57" w14:textId="77777777">
        <w:trPr>
          <w:trHeight w:val="211"/>
        </w:trPr>
        <w:tc>
          <w:tcPr>
            <w:tcW w:w="5812" w:type="dxa"/>
            <w:tcBorders>
              <w:top w:val="nil"/>
              <w:left w:val="single" w:sz="4" w:space="0" w:color="auto"/>
              <w:bottom w:val="nil"/>
              <w:right w:val="nil"/>
            </w:tcBorders>
            <w:noWrap/>
            <w:vAlign w:val="bottom"/>
            <w:hideMark/>
          </w:tcPr>
          <w:p w14:paraId="5A74AD4B" w14:textId="77777777" w:rsidR="007A6A1A" w:rsidRPr="002154E6" w:rsidRDefault="007A6A1A" w:rsidP="002154E6">
            <w:pPr>
              <w:spacing w:after="0" w:line="240" w:lineRule="auto"/>
              <w:rPr>
                <w:sz w:val="20"/>
                <w:szCs w:val="20"/>
              </w:rPr>
            </w:pPr>
            <w:r w:rsidRPr="002154E6">
              <w:rPr>
                <w:sz w:val="20"/>
                <w:szCs w:val="20"/>
              </w:rPr>
              <w:t>Rental, hiring and real estate services</w:t>
            </w:r>
          </w:p>
        </w:tc>
        <w:tc>
          <w:tcPr>
            <w:tcW w:w="1418" w:type="dxa"/>
            <w:tcBorders>
              <w:top w:val="nil"/>
              <w:left w:val="nil"/>
              <w:bottom w:val="nil"/>
              <w:right w:val="nil"/>
            </w:tcBorders>
            <w:noWrap/>
            <w:vAlign w:val="bottom"/>
            <w:hideMark/>
          </w:tcPr>
          <w:p w14:paraId="49290F7B" w14:textId="77777777" w:rsidR="007A6A1A" w:rsidRPr="002154E6" w:rsidRDefault="007A6A1A" w:rsidP="002154E6">
            <w:pPr>
              <w:spacing w:after="0" w:line="240" w:lineRule="auto"/>
              <w:rPr>
                <w:sz w:val="20"/>
                <w:szCs w:val="20"/>
              </w:rPr>
            </w:pPr>
            <w:r w:rsidRPr="002154E6">
              <w:rPr>
                <w:sz w:val="20"/>
                <w:szCs w:val="20"/>
              </w:rPr>
              <w:t>-0.029***</w:t>
            </w:r>
          </w:p>
        </w:tc>
        <w:tc>
          <w:tcPr>
            <w:tcW w:w="1842" w:type="dxa"/>
            <w:tcBorders>
              <w:top w:val="nil"/>
              <w:left w:val="nil"/>
              <w:bottom w:val="nil"/>
              <w:right w:val="single" w:sz="4" w:space="0" w:color="auto"/>
            </w:tcBorders>
            <w:noWrap/>
            <w:vAlign w:val="bottom"/>
            <w:hideMark/>
          </w:tcPr>
          <w:p w14:paraId="4743B77A" w14:textId="77777777" w:rsidR="007A6A1A" w:rsidRPr="002154E6" w:rsidRDefault="007A6A1A" w:rsidP="002154E6">
            <w:pPr>
              <w:spacing w:after="0" w:line="240" w:lineRule="auto"/>
              <w:rPr>
                <w:sz w:val="20"/>
                <w:szCs w:val="20"/>
              </w:rPr>
            </w:pPr>
            <w:r w:rsidRPr="002154E6">
              <w:rPr>
                <w:sz w:val="20"/>
                <w:szCs w:val="20"/>
              </w:rPr>
              <w:t>0.006</w:t>
            </w:r>
          </w:p>
        </w:tc>
      </w:tr>
      <w:tr w:rsidR="007A6A1A" w:rsidRPr="00167CB8" w14:paraId="4A48DB1C" w14:textId="77777777">
        <w:trPr>
          <w:trHeight w:val="211"/>
        </w:trPr>
        <w:tc>
          <w:tcPr>
            <w:tcW w:w="5812" w:type="dxa"/>
            <w:tcBorders>
              <w:top w:val="nil"/>
              <w:left w:val="single" w:sz="4" w:space="0" w:color="auto"/>
              <w:bottom w:val="nil"/>
              <w:right w:val="nil"/>
            </w:tcBorders>
            <w:noWrap/>
            <w:vAlign w:val="bottom"/>
            <w:hideMark/>
          </w:tcPr>
          <w:p w14:paraId="0F9460FE"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4A59AA45" w14:textId="77777777" w:rsidR="007A6A1A" w:rsidRPr="002154E6" w:rsidRDefault="007A6A1A" w:rsidP="002154E6">
            <w:pPr>
              <w:spacing w:after="0" w:line="240" w:lineRule="auto"/>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6CE5E32B"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2A6D5383" w14:textId="77777777">
        <w:trPr>
          <w:trHeight w:val="211"/>
        </w:trPr>
        <w:tc>
          <w:tcPr>
            <w:tcW w:w="5812" w:type="dxa"/>
            <w:tcBorders>
              <w:top w:val="nil"/>
              <w:left w:val="single" w:sz="4" w:space="0" w:color="auto"/>
              <w:bottom w:val="nil"/>
              <w:right w:val="nil"/>
            </w:tcBorders>
            <w:noWrap/>
            <w:vAlign w:val="bottom"/>
            <w:hideMark/>
          </w:tcPr>
          <w:p w14:paraId="680AAFFD" w14:textId="77777777" w:rsidR="007A6A1A" w:rsidRPr="002154E6" w:rsidRDefault="007A6A1A" w:rsidP="002154E6">
            <w:pPr>
              <w:spacing w:after="0" w:line="240" w:lineRule="auto"/>
              <w:rPr>
                <w:sz w:val="20"/>
                <w:szCs w:val="20"/>
              </w:rPr>
            </w:pPr>
            <w:r w:rsidRPr="002154E6">
              <w:rPr>
                <w:sz w:val="20"/>
                <w:szCs w:val="20"/>
              </w:rPr>
              <w:t>Professional, scientific and technical</w:t>
            </w:r>
          </w:p>
        </w:tc>
        <w:tc>
          <w:tcPr>
            <w:tcW w:w="1418" w:type="dxa"/>
            <w:tcBorders>
              <w:top w:val="nil"/>
              <w:left w:val="nil"/>
              <w:bottom w:val="nil"/>
              <w:right w:val="nil"/>
            </w:tcBorders>
            <w:noWrap/>
            <w:vAlign w:val="bottom"/>
            <w:hideMark/>
          </w:tcPr>
          <w:p w14:paraId="7D0E6F8C" w14:textId="77777777" w:rsidR="007A6A1A" w:rsidRPr="002154E6" w:rsidRDefault="007A6A1A" w:rsidP="002154E6">
            <w:pPr>
              <w:spacing w:after="0" w:line="240" w:lineRule="auto"/>
              <w:rPr>
                <w:sz w:val="20"/>
                <w:szCs w:val="20"/>
              </w:rPr>
            </w:pPr>
            <w:r w:rsidRPr="002154E6">
              <w:rPr>
                <w:sz w:val="20"/>
                <w:szCs w:val="20"/>
              </w:rPr>
              <w:t>-0.026***</w:t>
            </w:r>
          </w:p>
        </w:tc>
        <w:tc>
          <w:tcPr>
            <w:tcW w:w="1842" w:type="dxa"/>
            <w:tcBorders>
              <w:top w:val="nil"/>
              <w:left w:val="nil"/>
              <w:bottom w:val="nil"/>
              <w:right w:val="single" w:sz="4" w:space="0" w:color="auto"/>
            </w:tcBorders>
            <w:noWrap/>
            <w:vAlign w:val="bottom"/>
            <w:hideMark/>
          </w:tcPr>
          <w:p w14:paraId="2DDA4A9E"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44EACB7D" w14:textId="77777777">
        <w:trPr>
          <w:trHeight w:val="211"/>
        </w:trPr>
        <w:tc>
          <w:tcPr>
            <w:tcW w:w="5812" w:type="dxa"/>
            <w:tcBorders>
              <w:top w:val="nil"/>
              <w:left w:val="single" w:sz="4" w:space="0" w:color="auto"/>
              <w:bottom w:val="nil"/>
              <w:right w:val="nil"/>
            </w:tcBorders>
            <w:noWrap/>
            <w:vAlign w:val="bottom"/>
            <w:hideMark/>
          </w:tcPr>
          <w:p w14:paraId="3F298056"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62D427A"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15C16FE"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35B363B1" w14:textId="77777777">
        <w:trPr>
          <w:trHeight w:val="211"/>
        </w:trPr>
        <w:tc>
          <w:tcPr>
            <w:tcW w:w="5812" w:type="dxa"/>
            <w:tcBorders>
              <w:top w:val="nil"/>
              <w:left w:val="single" w:sz="4" w:space="0" w:color="auto"/>
              <w:bottom w:val="nil"/>
              <w:right w:val="nil"/>
            </w:tcBorders>
            <w:noWrap/>
            <w:vAlign w:val="bottom"/>
            <w:hideMark/>
          </w:tcPr>
          <w:p w14:paraId="7E8D639B" w14:textId="77777777" w:rsidR="007A6A1A" w:rsidRPr="002154E6" w:rsidRDefault="007A6A1A" w:rsidP="002154E6">
            <w:pPr>
              <w:spacing w:after="0" w:line="240" w:lineRule="auto"/>
              <w:rPr>
                <w:sz w:val="20"/>
                <w:szCs w:val="20"/>
              </w:rPr>
            </w:pPr>
            <w:r w:rsidRPr="002154E6">
              <w:rPr>
                <w:sz w:val="20"/>
                <w:szCs w:val="20"/>
              </w:rPr>
              <w:t>Administrative and support service</w:t>
            </w:r>
          </w:p>
        </w:tc>
        <w:tc>
          <w:tcPr>
            <w:tcW w:w="1418" w:type="dxa"/>
            <w:tcBorders>
              <w:top w:val="nil"/>
              <w:left w:val="nil"/>
              <w:bottom w:val="nil"/>
              <w:right w:val="nil"/>
            </w:tcBorders>
            <w:noWrap/>
            <w:vAlign w:val="bottom"/>
            <w:hideMark/>
          </w:tcPr>
          <w:p w14:paraId="11333DE1" w14:textId="77777777" w:rsidR="007A6A1A" w:rsidRPr="002154E6" w:rsidRDefault="007A6A1A" w:rsidP="002154E6">
            <w:pPr>
              <w:spacing w:after="0" w:line="240" w:lineRule="auto"/>
              <w:rPr>
                <w:sz w:val="20"/>
                <w:szCs w:val="20"/>
              </w:rPr>
            </w:pPr>
            <w:r w:rsidRPr="002154E6">
              <w:rPr>
                <w:sz w:val="20"/>
                <w:szCs w:val="20"/>
              </w:rPr>
              <w:t>-0.021***</w:t>
            </w:r>
          </w:p>
        </w:tc>
        <w:tc>
          <w:tcPr>
            <w:tcW w:w="1842" w:type="dxa"/>
            <w:tcBorders>
              <w:top w:val="nil"/>
              <w:left w:val="nil"/>
              <w:bottom w:val="nil"/>
              <w:right w:val="single" w:sz="4" w:space="0" w:color="auto"/>
            </w:tcBorders>
            <w:noWrap/>
            <w:vAlign w:val="bottom"/>
            <w:hideMark/>
          </w:tcPr>
          <w:p w14:paraId="75D98AEC"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6A14C7ED" w14:textId="77777777">
        <w:trPr>
          <w:trHeight w:val="211"/>
        </w:trPr>
        <w:tc>
          <w:tcPr>
            <w:tcW w:w="5812" w:type="dxa"/>
            <w:tcBorders>
              <w:top w:val="nil"/>
              <w:left w:val="single" w:sz="4" w:space="0" w:color="auto"/>
              <w:bottom w:val="nil"/>
              <w:right w:val="nil"/>
            </w:tcBorders>
            <w:noWrap/>
            <w:vAlign w:val="bottom"/>
            <w:hideMark/>
          </w:tcPr>
          <w:p w14:paraId="3E043CC4"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439BFF46"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529CF2A0"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67A1AA6D" w14:textId="77777777">
        <w:trPr>
          <w:trHeight w:val="211"/>
        </w:trPr>
        <w:tc>
          <w:tcPr>
            <w:tcW w:w="5812" w:type="dxa"/>
            <w:tcBorders>
              <w:top w:val="nil"/>
              <w:left w:val="single" w:sz="4" w:space="0" w:color="auto"/>
              <w:bottom w:val="nil"/>
              <w:right w:val="nil"/>
            </w:tcBorders>
            <w:noWrap/>
            <w:vAlign w:val="bottom"/>
            <w:hideMark/>
          </w:tcPr>
          <w:p w14:paraId="3A46CD34" w14:textId="77777777" w:rsidR="007A6A1A" w:rsidRPr="002154E6" w:rsidRDefault="007A6A1A" w:rsidP="002154E6">
            <w:pPr>
              <w:spacing w:after="0" w:line="240" w:lineRule="auto"/>
              <w:rPr>
                <w:sz w:val="20"/>
                <w:szCs w:val="20"/>
              </w:rPr>
            </w:pPr>
            <w:r w:rsidRPr="002154E6">
              <w:rPr>
                <w:sz w:val="20"/>
                <w:szCs w:val="20"/>
              </w:rPr>
              <w:t>Public, administration and safety</w:t>
            </w:r>
          </w:p>
        </w:tc>
        <w:tc>
          <w:tcPr>
            <w:tcW w:w="1418" w:type="dxa"/>
            <w:tcBorders>
              <w:top w:val="nil"/>
              <w:left w:val="nil"/>
              <w:bottom w:val="nil"/>
              <w:right w:val="nil"/>
            </w:tcBorders>
            <w:noWrap/>
            <w:vAlign w:val="bottom"/>
            <w:hideMark/>
          </w:tcPr>
          <w:p w14:paraId="493B1244" w14:textId="77777777" w:rsidR="007A6A1A" w:rsidRPr="002154E6" w:rsidRDefault="007A6A1A" w:rsidP="002154E6">
            <w:pPr>
              <w:spacing w:after="0" w:line="240" w:lineRule="auto"/>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7A389464"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418107E0" w14:textId="77777777">
        <w:trPr>
          <w:trHeight w:val="211"/>
        </w:trPr>
        <w:tc>
          <w:tcPr>
            <w:tcW w:w="5812" w:type="dxa"/>
            <w:tcBorders>
              <w:top w:val="nil"/>
              <w:left w:val="single" w:sz="4" w:space="0" w:color="auto"/>
              <w:bottom w:val="nil"/>
              <w:right w:val="nil"/>
            </w:tcBorders>
            <w:noWrap/>
            <w:vAlign w:val="bottom"/>
            <w:hideMark/>
          </w:tcPr>
          <w:p w14:paraId="4013F93B"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594D19E9"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7DE7D270"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6972CB98" w14:textId="77777777">
        <w:trPr>
          <w:trHeight w:val="211"/>
        </w:trPr>
        <w:tc>
          <w:tcPr>
            <w:tcW w:w="5812" w:type="dxa"/>
            <w:tcBorders>
              <w:top w:val="nil"/>
              <w:left w:val="single" w:sz="4" w:space="0" w:color="auto"/>
              <w:bottom w:val="nil"/>
              <w:right w:val="nil"/>
            </w:tcBorders>
            <w:noWrap/>
            <w:vAlign w:val="bottom"/>
            <w:hideMark/>
          </w:tcPr>
          <w:p w14:paraId="0E17F984" w14:textId="77777777" w:rsidR="007A6A1A" w:rsidRPr="002154E6" w:rsidRDefault="007A6A1A" w:rsidP="002154E6">
            <w:pPr>
              <w:spacing w:after="0" w:line="240" w:lineRule="auto"/>
              <w:rPr>
                <w:sz w:val="20"/>
                <w:szCs w:val="20"/>
              </w:rPr>
            </w:pPr>
            <w:r w:rsidRPr="002154E6">
              <w:rPr>
                <w:sz w:val="20"/>
                <w:szCs w:val="20"/>
              </w:rPr>
              <w:t>Health care and social assistance</w:t>
            </w:r>
          </w:p>
        </w:tc>
        <w:tc>
          <w:tcPr>
            <w:tcW w:w="1418" w:type="dxa"/>
            <w:tcBorders>
              <w:top w:val="nil"/>
              <w:left w:val="nil"/>
              <w:bottom w:val="nil"/>
              <w:right w:val="nil"/>
            </w:tcBorders>
            <w:noWrap/>
            <w:vAlign w:val="bottom"/>
            <w:hideMark/>
          </w:tcPr>
          <w:p w14:paraId="48CBE7F6" w14:textId="77777777" w:rsidR="007A6A1A" w:rsidRPr="002154E6" w:rsidRDefault="007A6A1A" w:rsidP="002154E6">
            <w:pPr>
              <w:spacing w:after="0" w:line="240" w:lineRule="auto"/>
              <w:rPr>
                <w:sz w:val="20"/>
                <w:szCs w:val="20"/>
              </w:rPr>
            </w:pPr>
            <w:r w:rsidRPr="002154E6">
              <w:rPr>
                <w:sz w:val="20"/>
                <w:szCs w:val="20"/>
              </w:rPr>
              <w:t>-0.016***</w:t>
            </w:r>
          </w:p>
        </w:tc>
        <w:tc>
          <w:tcPr>
            <w:tcW w:w="1842" w:type="dxa"/>
            <w:tcBorders>
              <w:top w:val="nil"/>
              <w:left w:val="nil"/>
              <w:bottom w:val="nil"/>
              <w:right w:val="single" w:sz="4" w:space="0" w:color="auto"/>
            </w:tcBorders>
            <w:noWrap/>
            <w:vAlign w:val="bottom"/>
            <w:hideMark/>
          </w:tcPr>
          <w:p w14:paraId="518EAC3F" w14:textId="77777777" w:rsidR="007A6A1A" w:rsidRPr="002154E6" w:rsidRDefault="007A6A1A" w:rsidP="002154E6">
            <w:pPr>
              <w:spacing w:after="0" w:line="240" w:lineRule="auto"/>
              <w:rPr>
                <w:sz w:val="20"/>
                <w:szCs w:val="20"/>
              </w:rPr>
            </w:pPr>
            <w:r w:rsidRPr="002154E6">
              <w:rPr>
                <w:sz w:val="20"/>
                <w:szCs w:val="20"/>
              </w:rPr>
              <w:t>-0.000</w:t>
            </w:r>
          </w:p>
        </w:tc>
      </w:tr>
      <w:tr w:rsidR="007A6A1A" w:rsidRPr="00167CB8" w14:paraId="3819D147" w14:textId="77777777">
        <w:trPr>
          <w:trHeight w:val="211"/>
        </w:trPr>
        <w:tc>
          <w:tcPr>
            <w:tcW w:w="5812" w:type="dxa"/>
            <w:tcBorders>
              <w:top w:val="nil"/>
              <w:left w:val="single" w:sz="4" w:space="0" w:color="auto"/>
              <w:bottom w:val="nil"/>
              <w:right w:val="nil"/>
            </w:tcBorders>
            <w:noWrap/>
            <w:vAlign w:val="bottom"/>
            <w:hideMark/>
          </w:tcPr>
          <w:p w14:paraId="73F976D5"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4450C9CE"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6A5ACA8F"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73F38E25" w14:textId="77777777">
        <w:trPr>
          <w:trHeight w:val="211"/>
        </w:trPr>
        <w:tc>
          <w:tcPr>
            <w:tcW w:w="5812" w:type="dxa"/>
            <w:tcBorders>
              <w:top w:val="nil"/>
              <w:left w:val="single" w:sz="4" w:space="0" w:color="auto"/>
              <w:bottom w:val="nil"/>
              <w:right w:val="nil"/>
            </w:tcBorders>
            <w:noWrap/>
            <w:vAlign w:val="bottom"/>
            <w:hideMark/>
          </w:tcPr>
          <w:p w14:paraId="517E57E6" w14:textId="77777777" w:rsidR="007A6A1A" w:rsidRPr="002154E6" w:rsidRDefault="007A6A1A" w:rsidP="002154E6">
            <w:pPr>
              <w:spacing w:after="0" w:line="240" w:lineRule="auto"/>
              <w:rPr>
                <w:sz w:val="20"/>
                <w:szCs w:val="20"/>
              </w:rPr>
            </w:pPr>
            <w:r w:rsidRPr="002154E6">
              <w:rPr>
                <w:sz w:val="20"/>
                <w:szCs w:val="20"/>
              </w:rPr>
              <w:t>Arts and recreation services</w:t>
            </w:r>
          </w:p>
        </w:tc>
        <w:tc>
          <w:tcPr>
            <w:tcW w:w="1418" w:type="dxa"/>
            <w:tcBorders>
              <w:top w:val="nil"/>
              <w:left w:val="nil"/>
              <w:bottom w:val="nil"/>
              <w:right w:val="nil"/>
            </w:tcBorders>
            <w:noWrap/>
            <w:vAlign w:val="bottom"/>
            <w:hideMark/>
          </w:tcPr>
          <w:p w14:paraId="76FEFADA" w14:textId="77777777" w:rsidR="007A6A1A" w:rsidRPr="002154E6" w:rsidRDefault="007A6A1A" w:rsidP="002154E6">
            <w:pPr>
              <w:spacing w:after="0" w:line="240" w:lineRule="auto"/>
              <w:rPr>
                <w:sz w:val="20"/>
                <w:szCs w:val="20"/>
              </w:rPr>
            </w:pPr>
            <w:r w:rsidRPr="002154E6">
              <w:rPr>
                <w:sz w:val="20"/>
                <w:szCs w:val="20"/>
              </w:rPr>
              <w:t>-0.012***</w:t>
            </w:r>
          </w:p>
        </w:tc>
        <w:tc>
          <w:tcPr>
            <w:tcW w:w="1842" w:type="dxa"/>
            <w:tcBorders>
              <w:top w:val="nil"/>
              <w:left w:val="nil"/>
              <w:bottom w:val="nil"/>
              <w:right w:val="single" w:sz="4" w:space="0" w:color="auto"/>
            </w:tcBorders>
            <w:noWrap/>
            <w:vAlign w:val="bottom"/>
            <w:hideMark/>
          </w:tcPr>
          <w:p w14:paraId="2EEA7768" w14:textId="77777777" w:rsidR="007A6A1A" w:rsidRPr="002154E6" w:rsidRDefault="007A6A1A" w:rsidP="002154E6">
            <w:pPr>
              <w:spacing w:after="0" w:line="240" w:lineRule="auto"/>
              <w:rPr>
                <w:sz w:val="20"/>
                <w:szCs w:val="20"/>
              </w:rPr>
            </w:pPr>
            <w:r w:rsidRPr="002154E6">
              <w:rPr>
                <w:sz w:val="20"/>
                <w:szCs w:val="20"/>
              </w:rPr>
              <w:t>-0.011***</w:t>
            </w:r>
          </w:p>
        </w:tc>
      </w:tr>
      <w:tr w:rsidR="007A6A1A" w:rsidRPr="00167CB8" w14:paraId="6515B738" w14:textId="77777777">
        <w:trPr>
          <w:trHeight w:val="211"/>
        </w:trPr>
        <w:tc>
          <w:tcPr>
            <w:tcW w:w="5812" w:type="dxa"/>
            <w:tcBorders>
              <w:top w:val="nil"/>
              <w:left w:val="single" w:sz="4" w:space="0" w:color="auto"/>
              <w:bottom w:val="nil"/>
              <w:right w:val="nil"/>
            </w:tcBorders>
            <w:noWrap/>
            <w:vAlign w:val="bottom"/>
            <w:hideMark/>
          </w:tcPr>
          <w:p w14:paraId="61A11893"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C38B868"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27077B66"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5E0C4E4A" w14:textId="77777777">
        <w:trPr>
          <w:trHeight w:val="211"/>
        </w:trPr>
        <w:tc>
          <w:tcPr>
            <w:tcW w:w="5812" w:type="dxa"/>
            <w:tcBorders>
              <w:top w:val="nil"/>
              <w:left w:val="single" w:sz="4" w:space="0" w:color="auto"/>
              <w:bottom w:val="nil"/>
              <w:right w:val="nil"/>
            </w:tcBorders>
            <w:noWrap/>
            <w:vAlign w:val="bottom"/>
            <w:hideMark/>
          </w:tcPr>
          <w:p w14:paraId="0D22BDE8" w14:textId="77777777" w:rsidR="007A6A1A" w:rsidRPr="002154E6" w:rsidRDefault="007A6A1A" w:rsidP="002154E6">
            <w:pPr>
              <w:spacing w:after="0" w:line="240" w:lineRule="auto"/>
              <w:rPr>
                <w:sz w:val="20"/>
                <w:szCs w:val="20"/>
              </w:rPr>
            </w:pPr>
            <w:r w:rsidRPr="002154E6">
              <w:rPr>
                <w:sz w:val="20"/>
                <w:szCs w:val="20"/>
              </w:rPr>
              <w:t>Other services</w:t>
            </w:r>
          </w:p>
        </w:tc>
        <w:tc>
          <w:tcPr>
            <w:tcW w:w="1418" w:type="dxa"/>
            <w:tcBorders>
              <w:top w:val="nil"/>
              <w:left w:val="nil"/>
              <w:bottom w:val="nil"/>
              <w:right w:val="nil"/>
            </w:tcBorders>
            <w:noWrap/>
            <w:vAlign w:val="bottom"/>
            <w:hideMark/>
          </w:tcPr>
          <w:p w14:paraId="08DC299A" w14:textId="77777777" w:rsidR="007A6A1A" w:rsidRPr="002154E6" w:rsidRDefault="007A6A1A" w:rsidP="002154E6">
            <w:pPr>
              <w:spacing w:after="0" w:line="240" w:lineRule="auto"/>
              <w:rPr>
                <w:sz w:val="20"/>
                <w:szCs w:val="20"/>
              </w:rPr>
            </w:pPr>
            <w:r w:rsidRPr="002154E6">
              <w:rPr>
                <w:sz w:val="20"/>
                <w:szCs w:val="20"/>
              </w:rPr>
              <w:t>-0.016***</w:t>
            </w:r>
          </w:p>
        </w:tc>
        <w:tc>
          <w:tcPr>
            <w:tcW w:w="1842" w:type="dxa"/>
            <w:tcBorders>
              <w:top w:val="nil"/>
              <w:left w:val="nil"/>
              <w:bottom w:val="nil"/>
              <w:right w:val="single" w:sz="4" w:space="0" w:color="auto"/>
            </w:tcBorders>
            <w:noWrap/>
            <w:vAlign w:val="bottom"/>
            <w:hideMark/>
          </w:tcPr>
          <w:p w14:paraId="0134B4E4"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245FB6B1" w14:textId="77777777">
        <w:trPr>
          <w:trHeight w:val="211"/>
        </w:trPr>
        <w:tc>
          <w:tcPr>
            <w:tcW w:w="5812" w:type="dxa"/>
            <w:tcBorders>
              <w:top w:val="nil"/>
              <w:left w:val="single" w:sz="4" w:space="0" w:color="auto"/>
              <w:bottom w:val="nil"/>
              <w:right w:val="nil"/>
            </w:tcBorders>
            <w:noWrap/>
            <w:vAlign w:val="bottom"/>
            <w:hideMark/>
          </w:tcPr>
          <w:p w14:paraId="19246752"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249C6C17"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1FEB63C8"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446BEC4" w14:textId="77777777">
        <w:trPr>
          <w:trHeight w:val="211"/>
        </w:trPr>
        <w:tc>
          <w:tcPr>
            <w:tcW w:w="5812" w:type="dxa"/>
            <w:tcBorders>
              <w:top w:val="nil"/>
              <w:left w:val="single" w:sz="4" w:space="0" w:color="auto"/>
              <w:bottom w:val="nil"/>
              <w:right w:val="nil"/>
            </w:tcBorders>
            <w:noWrap/>
            <w:vAlign w:val="bottom"/>
            <w:hideMark/>
          </w:tcPr>
          <w:p w14:paraId="06F05F46" w14:textId="77777777" w:rsidR="007A6A1A" w:rsidRPr="002154E6" w:rsidRDefault="007A6A1A" w:rsidP="002154E6">
            <w:pPr>
              <w:spacing w:after="0" w:line="240" w:lineRule="auto"/>
              <w:rPr>
                <w:sz w:val="20"/>
                <w:szCs w:val="20"/>
              </w:rPr>
            </w:pPr>
            <w:r w:rsidRPr="002154E6">
              <w:rPr>
                <w:sz w:val="20"/>
                <w:szCs w:val="20"/>
              </w:rPr>
              <w:t>Migrant, born main English-speaking country</w:t>
            </w:r>
          </w:p>
        </w:tc>
        <w:tc>
          <w:tcPr>
            <w:tcW w:w="1418" w:type="dxa"/>
            <w:tcBorders>
              <w:top w:val="nil"/>
              <w:left w:val="nil"/>
              <w:bottom w:val="nil"/>
              <w:right w:val="nil"/>
            </w:tcBorders>
            <w:noWrap/>
            <w:vAlign w:val="bottom"/>
            <w:hideMark/>
          </w:tcPr>
          <w:p w14:paraId="4E83B208"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2D51C030"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2B5D560B" w14:textId="77777777">
        <w:trPr>
          <w:trHeight w:val="211"/>
        </w:trPr>
        <w:tc>
          <w:tcPr>
            <w:tcW w:w="5812" w:type="dxa"/>
            <w:tcBorders>
              <w:top w:val="nil"/>
              <w:left w:val="single" w:sz="4" w:space="0" w:color="auto"/>
              <w:bottom w:val="nil"/>
              <w:right w:val="nil"/>
            </w:tcBorders>
            <w:noWrap/>
            <w:vAlign w:val="bottom"/>
            <w:hideMark/>
          </w:tcPr>
          <w:p w14:paraId="19112A11"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42877EE1"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631B5A20"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6A299BD6" w14:textId="77777777">
        <w:trPr>
          <w:trHeight w:val="211"/>
        </w:trPr>
        <w:tc>
          <w:tcPr>
            <w:tcW w:w="5812" w:type="dxa"/>
            <w:tcBorders>
              <w:top w:val="nil"/>
              <w:left w:val="single" w:sz="4" w:space="0" w:color="auto"/>
              <w:bottom w:val="nil"/>
              <w:right w:val="nil"/>
            </w:tcBorders>
            <w:noWrap/>
            <w:vAlign w:val="bottom"/>
            <w:hideMark/>
          </w:tcPr>
          <w:p w14:paraId="36BAA45C" w14:textId="77777777" w:rsidR="007A6A1A" w:rsidRPr="002154E6" w:rsidRDefault="007A6A1A" w:rsidP="002154E6">
            <w:pPr>
              <w:spacing w:after="0" w:line="240" w:lineRule="auto"/>
              <w:rPr>
                <w:sz w:val="20"/>
                <w:szCs w:val="20"/>
              </w:rPr>
            </w:pPr>
            <w:r w:rsidRPr="002154E6">
              <w:rPr>
                <w:sz w:val="20"/>
                <w:szCs w:val="20"/>
              </w:rPr>
              <w:t>Migrant, born non-English-speaking country</w:t>
            </w:r>
          </w:p>
        </w:tc>
        <w:tc>
          <w:tcPr>
            <w:tcW w:w="1418" w:type="dxa"/>
            <w:tcBorders>
              <w:top w:val="nil"/>
              <w:left w:val="nil"/>
              <w:bottom w:val="nil"/>
              <w:right w:val="nil"/>
            </w:tcBorders>
            <w:noWrap/>
            <w:vAlign w:val="bottom"/>
            <w:hideMark/>
          </w:tcPr>
          <w:p w14:paraId="31403863"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7BFF513"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7805201A" w14:textId="77777777">
        <w:trPr>
          <w:trHeight w:val="211"/>
        </w:trPr>
        <w:tc>
          <w:tcPr>
            <w:tcW w:w="5812" w:type="dxa"/>
            <w:tcBorders>
              <w:top w:val="nil"/>
              <w:left w:val="single" w:sz="4" w:space="0" w:color="auto"/>
              <w:bottom w:val="nil"/>
              <w:right w:val="nil"/>
            </w:tcBorders>
            <w:noWrap/>
            <w:vAlign w:val="bottom"/>
            <w:hideMark/>
          </w:tcPr>
          <w:p w14:paraId="594C5AF3"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6149FFEE"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6EEC3DA0"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73820F2B" w14:textId="77777777">
        <w:trPr>
          <w:trHeight w:val="211"/>
        </w:trPr>
        <w:tc>
          <w:tcPr>
            <w:tcW w:w="5812" w:type="dxa"/>
            <w:tcBorders>
              <w:top w:val="nil"/>
              <w:left w:val="single" w:sz="4" w:space="0" w:color="auto"/>
              <w:bottom w:val="nil"/>
              <w:right w:val="nil"/>
            </w:tcBorders>
            <w:noWrap/>
            <w:vAlign w:val="bottom"/>
            <w:hideMark/>
          </w:tcPr>
          <w:p w14:paraId="77AD84BF" w14:textId="77777777" w:rsidR="007A6A1A" w:rsidRPr="002154E6" w:rsidRDefault="007A6A1A" w:rsidP="002154E6">
            <w:pPr>
              <w:spacing w:after="0" w:line="240" w:lineRule="auto"/>
              <w:rPr>
                <w:sz w:val="20"/>
                <w:szCs w:val="20"/>
              </w:rPr>
            </w:pPr>
            <w:r w:rsidRPr="002154E6">
              <w:rPr>
                <w:sz w:val="20"/>
                <w:szCs w:val="20"/>
              </w:rPr>
              <w:t>Resides in a main urban area</w:t>
            </w:r>
          </w:p>
        </w:tc>
        <w:tc>
          <w:tcPr>
            <w:tcW w:w="1418" w:type="dxa"/>
            <w:tcBorders>
              <w:top w:val="nil"/>
              <w:left w:val="nil"/>
              <w:bottom w:val="nil"/>
              <w:right w:val="nil"/>
            </w:tcBorders>
            <w:noWrap/>
            <w:vAlign w:val="bottom"/>
            <w:hideMark/>
          </w:tcPr>
          <w:p w14:paraId="56CA849A"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324DF378"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4D6FAFE6" w14:textId="77777777">
        <w:trPr>
          <w:trHeight w:val="211"/>
        </w:trPr>
        <w:tc>
          <w:tcPr>
            <w:tcW w:w="5812" w:type="dxa"/>
            <w:tcBorders>
              <w:top w:val="nil"/>
              <w:left w:val="single" w:sz="4" w:space="0" w:color="auto"/>
              <w:bottom w:val="nil"/>
              <w:right w:val="nil"/>
            </w:tcBorders>
            <w:noWrap/>
            <w:vAlign w:val="bottom"/>
            <w:hideMark/>
          </w:tcPr>
          <w:p w14:paraId="5F8CD6E3"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91C9C74"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19AAEDC0"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514D2C2C" w14:textId="77777777">
        <w:trPr>
          <w:trHeight w:val="211"/>
        </w:trPr>
        <w:tc>
          <w:tcPr>
            <w:tcW w:w="5812" w:type="dxa"/>
            <w:tcBorders>
              <w:top w:val="nil"/>
              <w:left w:val="single" w:sz="4" w:space="0" w:color="auto"/>
              <w:bottom w:val="nil"/>
              <w:right w:val="nil"/>
            </w:tcBorders>
            <w:noWrap/>
            <w:vAlign w:val="bottom"/>
            <w:hideMark/>
          </w:tcPr>
          <w:p w14:paraId="50BBD987" w14:textId="77777777" w:rsidR="007A6A1A" w:rsidRPr="002154E6" w:rsidRDefault="007A6A1A" w:rsidP="002154E6">
            <w:pPr>
              <w:spacing w:after="0" w:line="240" w:lineRule="auto"/>
              <w:rPr>
                <w:sz w:val="20"/>
                <w:szCs w:val="20"/>
              </w:rPr>
            </w:pPr>
            <w:r w:rsidRPr="002154E6">
              <w:rPr>
                <w:sz w:val="20"/>
                <w:szCs w:val="20"/>
              </w:rPr>
              <w:t>Victoria</w:t>
            </w:r>
          </w:p>
        </w:tc>
        <w:tc>
          <w:tcPr>
            <w:tcW w:w="1418" w:type="dxa"/>
            <w:tcBorders>
              <w:top w:val="nil"/>
              <w:left w:val="nil"/>
              <w:bottom w:val="nil"/>
              <w:right w:val="nil"/>
            </w:tcBorders>
            <w:noWrap/>
            <w:vAlign w:val="bottom"/>
            <w:hideMark/>
          </w:tcPr>
          <w:p w14:paraId="5194FB1D" w14:textId="77777777" w:rsidR="007A6A1A" w:rsidRPr="002154E6" w:rsidRDefault="007A6A1A" w:rsidP="002154E6">
            <w:pPr>
              <w:spacing w:after="0" w:line="240" w:lineRule="auto"/>
              <w:rPr>
                <w:sz w:val="20"/>
                <w:szCs w:val="20"/>
              </w:rPr>
            </w:pPr>
            <w:r w:rsidRPr="002154E6">
              <w:rPr>
                <w:sz w:val="20"/>
                <w:szCs w:val="20"/>
              </w:rPr>
              <w:t>0.006***</w:t>
            </w:r>
          </w:p>
        </w:tc>
        <w:tc>
          <w:tcPr>
            <w:tcW w:w="1842" w:type="dxa"/>
            <w:tcBorders>
              <w:top w:val="nil"/>
              <w:left w:val="nil"/>
              <w:bottom w:val="nil"/>
              <w:right w:val="single" w:sz="4" w:space="0" w:color="auto"/>
            </w:tcBorders>
            <w:noWrap/>
            <w:vAlign w:val="bottom"/>
            <w:hideMark/>
          </w:tcPr>
          <w:p w14:paraId="5B727707" w14:textId="77777777" w:rsidR="007A6A1A" w:rsidRPr="002154E6" w:rsidRDefault="007A6A1A" w:rsidP="002154E6">
            <w:pPr>
              <w:spacing w:after="0" w:line="240" w:lineRule="auto"/>
              <w:rPr>
                <w:sz w:val="20"/>
                <w:szCs w:val="20"/>
              </w:rPr>
            </w:pPr>
            <w:r w:rsidRPr="002154E6">
              <w:rPr>
                <w:sz w:val="20"/>
                <w:szCs w:val="20"/>
              </w:rPr>
              <w:t>0.009***</w:t>
            </w:r>
          </w:p>
        </w:tc>
      </w:tr>
      <w:tr w:rsidR="007A6A1A" w:rsidRPr="00167CB8" w14:paraId="507422D7" w14:textId="77777777">
        <w:trPr>
          <w:trHeight w:val="211"/>
        </w:trPr>
        <w:tc>
          <w:tcPr>
            <w:tcW w:w="5812" w:type="dxa"/>
            <w:tcBorders>
              <w:top w:val="nil"/>
              <w:left w:val="single" w:sz="4" w:space="0" w:color="auto"/>
              <w:bottom w:val="nil"/>
              <w:right w:val="nil"/>
            </w:tcBorders>
            <w:noWrap/>
            <w:vAlign w:val="bottom"/>
            <w:hideMark/>
          </w:tcPr>
          <w:p w14:paraId="18A46BA7"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76C2AD12"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25768FB7"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510AB5F2" w14:textId="77777777">
        <w:trPr>
          <w:trHeight w:val="211"/>
        </w:trPr>
        <w:tc>
          <w:tcPr>
            <w:tcW w:w="5812" w:type="dxa"/>
            <w:tcBorders>
              <w:top w:val="nil"/>
              <w:left w:val="single" w:sz="4" w:space="0" w:color="auto"/>
              <w:bottom w:val="nil"/>
              <w:right w:val="nil"/>
            </w:tcBorders>
            <w:noWrap/>
            <w:vAlign w:val="bottom"/>
            <w:hideMark/>
          </w:tcPr>
          <w:p w14:paraId="12697743" w14:textId="77777777" w:rsidR="007A6A1A" w:rsidRPr="002154E6" w:rsidRDefault="007A6A1A" w:rsidP="002154E6">
            <w:pPr>
              <w:spacing w:after="0" w:line="240" w:lineRule="auto"/>
              <w:rPr>
                <w:sz w:val="20"/>
                <w:szCs w:val="20"/>
              </w:rPr>
            </w:pPr>
            <w:r w:rsidRPr="002154E6">
              <w:rPr>
                <w:sz w:val="20"/>
                <w:szCs w:val="20"/>
              </w:rPr>
              <w:t>Queensland</w:t>
            </w:r>
          </w:p>
        </w:tc>
        <w:tc>
          <w:tcPr>
            <w:tcW w:w="1418" w:type="dxa"/>
            <w:tcBorders>
              <w:top w:val="nil"/>
              <w:left w:val="nil"/>
              <w:bottom w:val="nil"/>
              <w:right w:val="nil"/>
            </w:tcBorders>
            <w:noWrap/>
            <w:vAlign w:val="bottom"/>
            <w:hideMark/>
          </w:tcPr>
          <w:p w14:paraId="7311010E"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6E626D5F" w14:textId="77777777" w:rsidR="007A6A1A" w:rsidRPr="002154E6" w:rsidRDefault="007A6A1A" w:rsidP="002154E6">
            <w:pPr>
              <w:spacing w:after="0" w:line="240" w:lineRule="auto"/>
              <w:rPr>
                <w:sz w:val="20"/>
                <w:szCs w:val="20"/>
              </w:rPr>
            </w:pPr>
            <w:r w:rsidRPr="002154E6">
              <w:rPr>
                <w:sz w:val="20"/>
                <w:szCs w:val="20"/>
              </w:rPr>
              <w:t>0.004**</w:t>
            </w:r>
          </w:p>
        </w:tc>
      </w:tr>
      <w:tr w:rsidR="007A6A1A" w:rsidRPr="00167CB8" w14:paraId="697105D9" w14:textId="77777777">
        <w:trPr>
          <w:trHeight w:val="211"/>
        </w:trPr>
        <w:tc>
          <w:tcPr>
            <w:tcW w:w="5812" w:type="dxa"/>
            <w:tcBorders>
              <w:top w:val="nil"/>
              <w:left w:val="single" w:sz="4" w:space="0" w:color="auto"/>
              <w:bottom w:val="nil"/>
              <w:right w:val="nil"/>
            </w:tcBorders>
            <w:noWrap/>
            <w:vAlign w:val="bottom"/>
            <w:hideMark/>
          </w:tcPr>
          <w:p w14:paraId="22F2D610"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590AF2C9" w14:textId="77777777" w:rsidR="007A6A1A" w:rsidRPr="002154E6" w:rsidRDefault="007A6A1A" w:rsidP="002154E6">
            <w:pPr>
              <w:spacing w:after="0" w:line="240" w:lineRule="auto"/>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1410F418" w14:textId="77777777" w:rsidR="007A6A1A" w:rsidRPr="002154E6" w:rsidRDefault="007A6A1A" w:rsidP="002154E6">
            <w:pPr>
              <w:spacing w:after="0" w:line="240" w:lineRule="auto"/>
              <w:rPr>
                <w:sz w:val="20"/>
                <w:szCs w:val="20"/>
              </w:rPr>
            </w:pPr>
            <w:r w:rsidRPr="002154E6">
              <w:rPr>
                <w:sz w:val="20"/>
                <w:szCs w:val="20"/>
              </w:rPr>
              <w:t>(0.001)</w:t>
            </w:r>
          </w:p>
        </w:tc>
      </w:tr>
      <w:tr w:rsidR="007A6A1A" w:rsidRPr="00167CB8" w14:paraId="70FFA728" w14:textId="77777777">
        <w:trPr>
          <w:trHeight w:val="211"/>
        </w:trPr>
        <w:tc>
          <w:tcPr>
            <w:tcW w:w="5812" w:type="dxa"/>
            <w:tcBorders>
              <w:top w:val="nil"/>
              <w:left w:val="single" w:sz="4" w:space="0" w:color="auto"/>
              <w:bottom w:val="nil"/>
              <w:right w:val="nil"/>
            </w:tcBorders>
            <w:noWrap/>
            <w:vAlign w:val="bottom"/>
            <w:hideMark/>
          </w:tcPr>
          <w:p w14:paraId="2FFA3A76" w14:textId="77777777" w:rsidR="007A6A1A" w:rsidRPr="002154E6" w:rsidRDefault="007A6A1A" w:rsidP="002154E6">
            <w:pPr>
              <w:spacing w:after="0" w:line="240" w:lineRule="auto"/>
              <w:rPr>
                <w:sz w:val="20"/>
                <w:szCs w:val="20"/>
              </w:rPr>
            </w:pPr>
            <w:r w:rsidRPr="002154E6">
              <w:rPr>
                <w:sz w:val="20"/>
                <w:szCs w:val="20"/>
              </w:rPr>
              <w:t>South Australia</w:t>
            </w:r>
          </w:p>
        </w:tc>
        <w:tc>
          <w:tcPr>
            <w:tcW w:w="1418" w:type="dxa"/>
            <w:tcBorders>
              <w:top w:val="nil"/>
              <w:left w:val="nil"/>
              <w:bottom w:val="nil"/>
              <w:right w:val="nil"/>
            </w:tcBorders>
            <w:noWrap/>
            <w:vAlign w:val="bottom"/>
            <w:hideMark/>
          </w:tcPr>
          <w:p w14:paraId="2DA19889" w14:textId="77777777" w:rsidR="007A6A1A" w:rsidRPr="002154E6" w:rsidRDefault="007A6A1A" w:rsidP="002154E6">
            <w:pPr>
              <w:spacing w:after="0" w:line="240" w:lineRule="auto"/>
              <w:rPr>
                <w:sz w:val="20"/>
                <w:szCs w:val="20"/>
              </w:rPr>
            </w:pPr>
            <w:r w:rsidRPr="002154E6">
              <w:rPr>
                <w:sz w:val="20"/>
                <w:szCs w:val="20"/>
              </w:rPr>
              <w:t>0.017***</w:t>
            </w:r>
          </w:p>
        </w:tc>
        <w:tc>
          <w:tcPr>
            <w:tcW w:w="1842" w:type="dxa"/>
            <w:tcBorders>
              <w:top w:val="nil"/>
              <w:left w:val="nil"/>
              <w:bottom w:val="nil"/>
              <w:right w:val="single" w:sz="4" w:space="0" w:color="auto"/>
            </w:tcBorders>
            <w:noWrap/>
            <w:vAlign w:val="bottom"/>
            <w:hideMark/>
          </w:tcPr>
          <w:p w14:paraId="2B65872E" w14:textId="77777777" w:rsidR="007A6A1A" w:rsidRPr="002154E6" w:rsidRDefault="007A6A1A" w:rsidP="002154E6">
            <w:pPr>
              <w:spacing w:after="0" w:line="240" w:lineRule="auto"/>
              <w:rPr>
                <w:sz w:val="20"/>
                <w:szCs w:val="20"/>
              </w:rPr>
            </w:pPr>
            <w:r w:rsidRPr="002154E6">
              <w:rPr>
                <w:sz w:val="20"/>
                <w:szCs w:val="20"/>
              </w:rPr>
              <w:t>0.006***</w:t>
            </w:r>
          </w:p>
        </w:tc>
      </w:tr>
      <w:tr w:rsidR="007A6A1A" w:rsidRPr="00167CB8" w14:paraId="0743D956" w14:textId="77777777">
        <w:trPr>
          <w:trHeight w:val="211"/>
        </w:trPr>
        <w:tc>
          <w:tcPr>
            <w:tcW w:w="5812" w:type="dxa"/>
            <w:tcBorders>
              <w:top w:val="nil"/>
              <w:left w:val="single" w:sz="4" w:space="0" w:color="auto"/>
              <w:bottom w:val="nil"/>
              <w:right w:val="nil"/>
            </w:tcBorders>
            <w:noWrap/>
            <w:vAlign w:val="bottom"/>
            <w:hideMark/>
          </w:tcPr>
          <w:p w14:paraId="1ABC9342"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4F6A09D7"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32086628"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42813934" w14:textId="77777777">
        <w:trPr>
          <w:trHeight w:val="211"/>
        </w:trPr>
        <w:tc>
          <w:tcPr>
            <w:tcW w:w="5812" w:type="dxa"/>
            <w:tcBorders>
              <w:top w:val="nil"/>
              <w:left w:val="single" w:sz="4" w:space="0" w:color="auto"/>
              <w:bottom w:val="nil"/>
              <w:right w:val="nil"/>
            </w:tcBorders>
            <w:noWrap/>
            <w:vAlign w:val="bottom"/>
            <w:hideMark/>
          </w:tcPr>
          <w:p w14:paraId="50F572B0" w14:textId="77777777" w:rsidR="007A6A1A" w:rsidRPr="002154E6" w:rsidRDefault="007A6A1A" w:rsidP="002154E6">
            <w:pPr>
              <w:spacing w:after="0" w:line="240" w:lineRule="auto"/>
              <w:rPr>
                <w:sz w:val="20"/>
                <w:szCs w:val="20"/>
              </w:rPr>
            </w:pPr>
            <w:r w:rsidRPr="002154E6">
              <w:rPr>
                <w:sz w:val="20"/>
                <w:szCs w:val="20"/>
              </w:rPr>
              <w:t>Western Australia</w:t>
            </w:r>
          </w:p>
        </w:tc>
        <w:tc>
          <w:tcPr>
            <w:tcW w:w="1418" w:type="dxa"/>
            <w:tcBorders>
              <w:top w:val="nil"/>
              <w:left w:val="nil"/>
              <w:bottom w:val="nil"/>
              <w:right w:val="nil"/>
            </w:tcBorders>
            <w:noWrap/>
            <w:vAlign w:val="bottom"/>
            <w:hideMark/>
          </w:tcPr>
          <w:p w14:paraId="733D977C" w14:textId="77777777" w:rsidR="007A6A1A" w:rsidRPr="002154E6" w:rsidRDefault="007A6A1A" w:rsidP="002154E6">
            <w:pPr>
              <w:spacing w:after="0" w:line="240" w:lineRule="auto"/>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1CE9702D" w14:textId="77777777" w:rsidR="007A6A1A" w:rsidRPr="002154E6" w:rsidRDefault="007A6A1A" w:rsidP="002154E6">
            <w:pPr>
              <w:spacing w:after="0" w:line="240" w:lineRule="auto"/>
              <w:rPr>
                <w:sz w:val="20"/>
                <w:szCs w:val="20"/>
              </w:rPr>
            </w:pPr>
            <w:r w:rsidRPr="002154E6">
              <w:rPr>
                <w:sz w:val="20"/>
                <w:szCs w:val="20"/>
              </w:rPr>
              <w:t>0.010***</w:t>
            </w:r>
          </w:p>
        </w:tc>
      </w:tr>
      <w:tr w:rsidR="007A6A1A" w:rsidRPr="00167CB8" w14:paraId="60462BF5" w14:textId="77777777">
        <w:trPr>
          <w:trHeight w:val="211"/>
        </w:trPr>
        <w:tc>
          <w:tcPr>
            <w:tcW w:w="5812" w:type="dxa"/>
            <w:tcBorders>
              <w:top w:val="nil"/>
              <w:left w:val="single" w:sz="4" w:space="0" w:color="auto"/>
              <w:bottom w:val="nil"/>
              <w:right w:val="nil"/>
            </w:tcBorders>
            <w:noWrap/>
            <w:vAlign w:val="bottom"/>
            <w:hideMark/>
          </w:tcPr>
          <w:p w14:paraId="727C44F9"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246EF06E"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4F0A7C0F"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7ECA25B1" w14:textId="77777777">
        <w:trPr>
          <w:trHeight w:val="211"/>
        </w:trPr>
        <w:tc>
          <w:tcPr>
            <w:tcW w:w="5812" w:type="dxa"/>
            <w:tcBorders>
              <w:top w:val="nil"/>
              <w:left w:val="single" w:sz="4" w:space="0" w:color="auto"/>
              <w:bottom w:val="nil"/>
              <w:right w:val="nil"/>
            </w:tcBorders>
            <w:noWrap/>
            <w:vAlign w:val="bottom"/>
            <w:hideMark/>
          </w:tcPr>
          <w:p w14:paraId="7F112E0B" w14:textId="77777777" w:rsidR="007A6A1A" w:rsidRPr="002154E6" w:rsidRDefault="007A6A1A" w:rsidP="002154E6">
            <w:pPr>
              <w:spacing w:after="0" w:line="240" w:lineRule="auto"/>
              <w:rPr>
                <w:sz w:val="20"/>
                <w:szCs w:val="20"/>
              </w:rPr>
            </w:pPr>
            <w:r w:rsidRPr="002154E6">
              <w:rPr>
                <w:sz w:val="20"/>
                <w:szCs w:val="20"/>
              </w:rPr>
              <w:t>Tasmania</w:t>
            </w:r>
          </w:p>
        </w:tc>
        <w:tc>
          <w:tcPr>
            <w:tcW w:w="1418" w:type="dxa"/>
            <w:tcBorders>
              <w:top w:val="nil"/>
              <w:left w:val="nil"/>
              <w:bottom w:val="nil"/>
              <w:right w:val="nil"/>
            </w:tcBorders>
            <w:noWrap/>
            <w:vAlign w:val="bottom"/>
            <w:hideMark/>
          </w:tcPr>
          <w:p w14:paraId="5120463E"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5E33A83D" w14:textId="77777777" w:rsidR="007A6A1A" w:rsidRPr="002154E6" w:rsidRDefault="007A6A1A" w:rsidP="002154E6">
            <w:pPr>
              <w:spacing w:after="0" w:line="240" w:lineRule="auto"/>
              <w:rPr>
                <w:sz w:val="20"/>
                <w:szCs w:val="20"/>
              </w:rPr>
            </w:pPr>
            <w:r w:rsidRPr="002154E6">
              <w:rPr>
                <w:sz w:val="20"/>
                <w:szCs w:val="20"/>
              </w:rPr>
              <w:t>0.002</w:t>
            </w:r>
          </w:p>
        </w:tc>
      </w:tr>
      <w:tr w:rsidR="007A6A1A" w:rsidRPr="00167CB8" w14:paraId="0DB77BAD" w14:textId="77777777">
        <w:trPr>
          <w:trHeight w:val="211"/>
        </w:trPr>
        <w:tc>
          <w:tcPr>
            <w:tcW w:w="5812" w:type="dxa"/>
            <w:tcBorders>
              <w:top w:val="nil"/>
              <w:left w:val="single" w:sz="4" w:space="0" w:color="auto"/>
              <w:bottom w:val="nil"/>
              <w:right w:val="nil"/>
            </w:tcBorders>
            <w:noWrap/>
            <w:vAlign w:val="bottom"/>
            <w:hideMark/>
          </w:tcPr>
          <w:p w14:paraId="2C14E8F8"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393A3AB3" w14:textId="77777777" w:rsidR="007A6A1A" w:rsidRPr="002154E6" w:rsidRDefault="007A6A1A" w:rsidP="002154E6">
            <w:pPr>
              <w:spacing w:after="0" w:line="240" w:lineRule="auto"/>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09EABF3F"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72BCFF0F" w14:textId="77777777">
        <w:trPr>
          <w:trHeight w:val="211"/>
        </w:trPr>
        <w:tc>
          <w:tcPr>
            <w:tcW w:w="5812" w:type="dxa"/>
            <w:tcBorders>
              <w:top w:val="nil"/>
              <w:left w:val="single" w:sz="4" w:space="0" w:color="auto"/>
              <w:bottom w:val="nil"/>
              <w:right w:val="nil"/>
            </w:tcBorders>
            <w:noWrap/>
            <w:vAlign w:val="bottom"/>
            <w:hideMark/>
          </w:tcPr>
          <w:p w14:paraId="531060A2" w14:textId="77777777" w:rsidR="007A6A1A" w:rsidRPr="002154E6" w:rsidRDefault="007A6A1A" w:rsidP="002154E6">
            <w:pPr>
              <w:spacing w:after="0" w:line="240" w:lineRule="auto"/>
              <w:rPr>
                <w:sz w:val="20"/>
                <w:szCs w:val="20"/>
              </w:rPr>
            </w:pPr>
            <w:r w:rsidRPr="002154E6">
              <w:rPr>
                <w:sz w:val="20"/>
                <w:szCs w:val="20"/>
              </w:rPr>
              <w:t>NT and ACT</w:t>
            </w:r>
          </w:p>
        </w:tc>
        <w:tc>
          <w:tcPr>
            <w:tcW w:w="1418" w:type="dxa"/>
            <w:tcBorders>
              <w:top w:val="nil"/>
              <w:left w:val="nil"/>
              <w:bottom w:val="nil"/>
              <w:right w:val="nil"/>
            </w:tcBorders>
            <w:noWrap/>
            <w:vAlign w:val="bottom"/>
            <w:hideMark/>
          </w:tcPr>
          <w:p w14:paraId="3657F6F3" w14:textId="77777777" w:rsidR="007A6A1A" w:rsidRPr="002154E6" w:rsidRDefault="007A6A1A" w:rsidP="002154E6">
            <w:pPr>
              <w:spacing w:after="0" w:line="240" w:lineRule="auto"/>
              <w:rPr>
                <w:sz w:val="20"/>
                <w:szCs w:val="20"/>
              </w:rPr>
            </w:pPr>
            <w:r w:rsidRPr="002154E6">
              <w:rPr>
                <w:sz w:val="20"/>
                <w:szCs w:val="20"/>
              </w:rPr>
              <w:t>0.012***</w:t>
            </w:r>
          </w:p>
        </w:tc>
        <w:tc>
          <w:tcPr>
            <w:tcW w:w="1842" w:type="dxa"/>
            <w:tcBorders>
              <w:top w:val="nil"/>
              <w:left w:val="nil"/>
              <w:bottom w:val="nil"/>
              <w:right w:val="single" w:sz="4" w:space="0" w:color="auto"/>
            </w:tcBorders>
            <w:noWrap/>
            <w:vAlign w:val="bottom"/>
            <w:hideMark/>
          </w:tcPr>
          <w:p w14:paraId="67A9A8C8"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EF3293C" w14:textId="77777777">
        <w:trPr>
          <w:trHeight w:val="211"/>
        </w:trPr>
        <w:tc>
          <w:tcPr>
            <w:tcW w:w="5812" w:type="dxa"/>
            <w:tcBorders>
              <w:top w:val="nil"/>
              <w:left w:val="single" w:sz="4" w:space="0" w:color="auto"/>
              <w:bottom w:val="nil"/>
              <w:right w:val="nil"/>
            </w:tcBorders>
            <w:noWrap/>
            <w:vAlign w:val="bottom"/>
            <w:hideMark/>
          </w:tcPr>
          <w:p w14:paraId="5791CCB2" w14:textId="77777777" w:rsidR="007A6A1A" w:rsidRPr="002154E6" w:rsidRDefault="007A6A1A" w:rsidP="002154E6">
            <w:pPr>
              <w:spacing w:after="0" w:line="240" w:lineRule="auto"/>
              <w:rPr>
                <w:sz w:val="20"/>
                <w:szCs w:val="20"/>
              </w:rPr>
            </w:pPr>
          </w:p>
        </w:tc>
        <w:tc>
          <w:tcPr>
            <w:tcW w:w="1418" w:type="dxa"/>
            <w:tcBorders>
              <w:top w:val="nil"/>
              <w:left w:val="nil"/>
              <w:bottom w:val="nil"/>
              <w:right w:val="nil"/>
            </w:tcBorders>
            <w:noWrap/>
            <w:vAlign w:val="bottom"/>
            <w:hideMark/>
          </w:tcPr>
          <w:p w14:paraId="0F66B863" w14:textId="77777777" w:rsidR="007A6A1A" w:rsidRPr="002154E6" w:rsidRDefault="007A6A1A" w:rsidP="002154E6">
            <w:pPr>
              <w:spacing w:after="0" w:line="240" w:lineRule="auto"/>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72BC5AC5" w14:textId="77777777" w:rsidR="007A6A1A" w:rsidRPr="002154E6" w:rsidRDefault="007A6A1A" w:rsidP="002154E6">
            <w:pPr>
              <w:spacing w:after="0" w:line="240" w:lineRule="auto"/>
              <w:rPr>
                <w:sz w:val="20"/>
                <w:szCs w:val="20"/>
              </w:rPr>
            </w:pPr>
            <w:r w:rsidRPr="002154E6">
              <w:rPr>
                <w:sz w:val="20"/>
                <w:szCs w:val="20"/>
              </w:rPr>
              <w:t>(0.003)</w:t>
            </w:r>
          </w:p>
        </w:tc>
      </w:tr>
      <w:tr w:rsidR="007A6A1A" w:rsidRPr="00167CB8" w14:paraId="30DE3426" w14:textId="77777777">
        <w:trPr>
          <w:trHeight w:val="211"/>
        </w:trPr>
        <w:tc>
          <w:tcPr>
            <w:tcW w:w="5812" w:type="dxa"/>
            <w:tcBorders>
              <w:top w:val="single" w:sz="4" w:space="0" w:color="auto"/>
              <w:left w:val="single" w:sz="4" w:space="0" w:color="auto"/>
              <w:bottom w:val="single" w:sz="4" w:space="0" w:color="auto"/>
              <w:right w:val="nil"/>
            </w:tcBorders>
            <w:noWrap/>
            <w:vAlign w:val="bottom"/>
            <w:hideMark/>
          </w:tcPr>
          <w:p w14:paraId="1181AB68" w14:textId="77777777" w:rsidR="007A6A1A" w:rsidRPr="002154E6" w:rsidRDefault="007A6A1A" w:rsidP="002154E6">
            <w:pPr>
              <w:spacing w:after="0" w:line="240" w:lineRule="auto"/>
              <w:rPr>
                <w:sz w:val="20"/>
                <w:szCs w:val="20"/>
              </w:rPr>
            </w:pPr>
            <w:r w:rsidRPr="002154E6">
              <w:rPr>
                <w:sz w:val="20"/>
                <w:szCs w:val="20"/>
              </w:rPr>
              <w:t>Observations</w:t>
            </w:r>
          </w:p>
        </w:tc>
        <w:tc>
          <w:tcPr>
            <w:tcW w:w="1418" w:type="dxa"/>
            <w:tcBorders>
              <w:top w:val="single" w:sz="4" w:space="0" w:color="auto"/>
              <w:left w:val="nil"/>
              <w:bottom w:val="single" w:sz="4" w:space="0" w:color="auto"/>
              <w:right w:val="nil"/>
            </w:tcBorders>
            <w:noWrap/>
            <w:vAlign w:val="bottom"/>
            <w:hideMark/>
          </w:tcPr>
          <w:p w14:paraId="369968A2" w14:textId="77777777" w:rsidR="007A6A1A" w:rsidRPr="002154E6" w:rsidRDefault="007A6A1A" w:rsidP="002154E6">
            <w:pPr>
              <w:spacing w:after="0" w:line="240" w:lineRule="auto"/>
              <w:rPr>
                <w:sz w:val="20"/>
                <w:szCs w:val="20"/>
              </w:rPr>
            </w:pPr>
            <w:r w:rsidRPr="002154E6">
              <w:rPr>
                <w:sz w:val="20"/>
                <w:szCs w:val="20"/>
              </w:rPr>
              <w:t>168,701</w:t>
            </w:r>
          </w:p>
        </w:tc>
        <w:tc>
          <w:tcPr>
            <w:tcW w:w="1842" w:type="dxa"/>
            <w:tcBorders>
              <w:top w:val="single" w:sz="4" w:space="0" w:color="auto"/>
              <w:left w:val="nil"/>
              <w:bottom w:val="single" w:sz="4" w:space="0" w:color="auto"/>
              <w:right w:val="single" w:sz="4" w:space="0" w:color="auto"/>
            </w:tcBorders>
            <w:noWrap/>
            <w:vAlign w:val="bottom"/>
            <w:hideMark/>
          </w:tcPr>
          <w:p w14:paraId="364FDD01" w14:textId="77777777" w:rsidR="007A6A1A" w:rsidRPr="002154E6" w:rsidRDefault="007A6A1A" w:rsidP="002154E6">
            <w:pPr>
              <w:spacing w:after="0" w:line="240" w:lineRule="auto"/>
              <w:rPr>
                <w:sz w:val="20"/>
                <w:szCs w:val="20"/>
              </w:rPr>
            </w:pPr>
            <w:r w:rsidRPr="002154E6">
              <w:rPr>
                <w:sz w:val="20"/>
                <w:szCs w:val="20"/>
              </w:rPr>
              <w:t>168,701</w:t>
            </w:r>
          </w:p>
        </w:tc>
      </w:tr>
    </w:tbl>
    <w:p w14:paraId="39B44FEF" w14:textId="7C98DA89" w:rsidR="00A461FB" w:rsidRPr="00167CB8" w:rsidRDefault="007A6A1A" w:rsidP="00A461FB">
      <w:pPr>
        <w:pStyle w:val="Source"/>
      </w:pPr>
      <w:r w:rsidRPr="00167CB8">
        <w:rPr>
          <w:b/>
          <w:bCs/>
        </w:rPr>
        <w:t>Note:</w:t>
      </w:r>
      <w:r w:rsidRPr="00167CB8">
        <w:t xml:space="preserve"> </w:t>
      </w:r>
    </w:p>
    <w:p w14:paraId="267B7970" w14:textId="3E80C0B8" w:rsidR="00A461FB" w:rsidRPr="00167CB8" w:rsidRDefault="007A6A1A" w:rsidP="00A461FB">
      <w:pPr>
        <w:pStyle w:val="Source"/>
      </w:pPr>
      <w:r w:rsidRPr="00167CB8">
        <w:t>1</w:t>
      </w:r>
      <w:r w:rsidR="00A461FB" w:rsidRPr="00167CB8">
        <w:t>.</w:t>
      </w:r>
      <w:r w:rsidRPr="00167CB8">
        <w:t xml:space="preserve"> Dependent variable in column 1 is equal to 1 if transition is from fixed-to-fixed (from year 1 to year 2). Dependent variable in column 2 is equal to 1 if transition is from fixed-to-permanent (from year 1 to year 2)</w:t>
      </w:r>
      <w:r w:rsidR="00A461FB" w:rsidRPr="00167CB8">
        <w:t>.</w:t>
      </w:r>
    </w:p>
    <w:p w14:paraId="6208B39C" w14:textId="7339898A" w:rsidR="00A461FB" w:rsidRPr="00167CB8" w:rsidRDefault="007A6A1A" w:rsidP="00A461FB">
      <w:pPr>
        <w:pStyle w:val="Source"/>
      </w:pPr>
      <w:r w:rsidRPr="00167CB8">
        <w:t>2</w:t>
      </w:r>
      <w:r w:rsidR="00A461FB" w:rsidRPr="00167CB8">
        <w:t>.</w:t>
      </w:r>
      <w:r w:rsidRPr="00167CB8">
        <w:t xml:space="preserve"> </w:t>
      </w:r>
      <w:r w:rsidR="00A461FB" w:rsidRPr="00167CB8">
        <w:t>S</w:t>
      </w:r>
      <w:r w:rsidRPr="00167CB8">
        <w:t>ample: aged 18</w:t>
      </w:r>
      <w:r w:rsidR="00A461FB" w:rsidRPr="00167CB8">
        <w:rPr>
          <w:rFonts w:ascii="Symbol" w:eastAsia="Symbol" w:hAnsi="Symbol" w:cs="Symbol"/>
        </w:rPr>
        <w:sym w:font="Symbol" w:char="F02D"/>
      </w:r>
      <w:r w:rsidRPr="00167CB8">
        <w:t xml:space="preserve">64, excludes agriculture and persons not observed in employment over at least </w:t>
      </w:r>
      <w:r w:rsidR="00A461FB" w:rsidRPr="00167CB8">
        <w:t xml:space="preserve">2 </w:t>
      </w:r>
      <w:r w:rsidRPr="00167CB8">
        <w:t>consecutive waves. Time period covered 2001 to 2023</w:t>
      </w:r>
      <w:r w:rsidR="00A461FB" w:rsidRPr="00167CB8">
        <w:t>.</w:t>
      </w:r>
    </w:p>
    <w:p w14:paraId="060F192B" w14:textId="1F7B7BFE" w:rsidR="00A461FB" w:rsidRPr="00167CB8" w:rsidRDefault="007A6A1A" w:rsidP="00A461FB">
      <w:pPr>
        <w:pStyle w:val="Source"/>
      </w:pPr>
      <w:r w:rsidRPr="00167CB8">
        <w:lastRenderedPageBreak/>
        <w:t>3. Estimator: logit. Marginal effects reported</w:t>
      </w:r>
      <w:r w:rsidR="00A461FB" w:rsidRPr="00167CB8">
        <w:t>.</w:t>
      </w:r>
    </w:p>
    <w:p w14:paraId="16163AED" w14:textId="5F507944" w:rsidR="00A461FB" w:rsidRPr="00167CB8" w:rsidRDefault="007A6A1A" w:rsidP="00A461FB">
      <w:pPr>
        <w:pStyle w:val="Source"/>
      </w:pPr>
      <w:r w:rsidRPr="00167CB8">
        <w:t>4. Significance given by: *** p&lt;0.01, ** p&lt;0.05, * p&lt;0.1; 5. Robust standard errors in parentheses</w:t>
      </w:r>
      <w:r w:rsidR="00A461FB" w:rsidRPr="00167CB8">
        <w:t>.</w:t>
      </w:r>
    </w:p>
    <w:p w14:paraId="4AB05589" w14:textId="5ECEA924" w:rsidR="00A461FB" w:rsidRPr="00167CB8" w:rsidRDefault="007A6A1A" w:rsidP="00A461FB">
      <w:pPr>
        <w:pStyle w:val="Source"/>
      </w:pPr>
      <w:r w:rsidRPr="00167CB8">
        <w:t>6. Reference groups are: aged 18</w:t>
      </w:r>
      <w:r w:rsidR="00A461FB" w:rsidRPr="00167CB8">
        <w:rPr>
          <w:rFonts w:ascii="Symbol" w:eastAsia="Symbol" w:hAnsi="Symbol" w:cs="Symbol"/>
        </w:rPr>
        <w:sym w:font="Symbol" w:char="F02D"/>
      </w:r>
      <w:r w:rsidRPr="00167CB8">
        <w:t xml:space="preserve">24, labourers, </w:t>
      </w:r>
      <w:r w:rsidR="00A461FB" w:rsidRPr="00167CB8">
        <w:t>e</w:t>
      </w:r>
      <w:r w:rsidRPr="00167CB8">
        <w:t>ducation and training, Australian born, New South Wales</w:t>
      </w:r>
      <w:r w:rsidR="00A461FB" w:rsidRPr="00167CB8">
        <w:t xml:space="preserve">. </w:t>
      </w:r>
    </w:p>
    <w:p w14:paraId="578365E7" w14:textId="393BBA9F" w:rsidR="007A6A1A" w:rsidRPr="00167CB8" w:rsidRDefault="007A6A1A" w:rsidP="00A461FB">
      <w:pPr>
        <w:pStyle w:val="Source"/>
      </w:pPr>
      <w:r w:rsidRPr="00167CB8">
        <w:t>7. Source: HILDA, waves 1</w:t>
      </w:r>
      <w:r w:rsidR="00A461FB" w:rsidRPr="00167CB8">
        <w:rPr>
          <w:rFonts w:ascii="Symbol" w:eastAsia="Symbol" w:hAnsi="Symbol" w:cs="Symbol"/>
        </w:rPr>
        <w:t>-</w:t>
      </w:r>
      <w:r w:rsidRPr="00167CB8">
        <w:t xml:space="preserve">23. </w:t>
      </w:r>
    </w:p>
    <w:p w14:paraId="66E92F6C" w14:textId="77777777" w:rsidR="007A6A1A" w:rsidRPr="00167CB8" w:rsidRDefault="007A6A1A" w:rsidP="00650687">
      <w:pPr>
        <w:pStyle w:val="Heading3"/>
      </w:pPr>
      <w:bookmarkStart w:id="727" w:name="_Toc186991765"/>
      <w:bookmarkStart w:id="728" w:name="_Toc189393669"/>
      <w:r w:rsidRPr="00167CB8">
        <w:t>3. Wage relativities and growth</w:t>
      </w:r>
      <w:bookmarkEnd w:id="727"/>
      <w:bookmarkEnd w:id="728"/>
    </w:p>
    <w:p w14:paraId="1ACD40A4" w14:textId="0304A971" w:rsidR="007A6A1A" w:rsidRPr="00167CB8" w:rsidRDefault="007A6A1A" w:rsidP="007A6A1A">
      <w:pPr>
        <w:spacing w:after="160"/>
      </w:pPr>
      <w:r w:rsidRPr="00167CB8">
        <w:t xml:space="preserve">Within Australia wage data are collected via a range of different surveys and methods. Some of it </w:t>
      </w:r>
      <w:r w:rsidR="00C87E4A" w:rsidRPr="00167CB8">
        <w:t xml:space="preserve">is </w:t>
      </w:r>
      <w:r w:rsidRPr="00167CB8">
        <w:t>collected from employer records and employer surveys</w:t>
      </w:r>
      <w:r w:rsidR="00C87E4A" w:rsidRPr="00167CB8">
        <w:t>;</w:t>
      </w:r>
      <w:r w:rsidRPr="00167CB8">
        <w:t xml:space="preserve"> other data is collected from surveys of individuals</w:t>
      </w:r>
      <w:r w:rsidR="00C73F11">
        <w:t xml:space="preserve"> Table 37</w:t>
      </w:r>
      <w:r w:rsidR="007E5352" w:rsidRPr="00167CB8">
        <w:t>.</w:t>
      </w:r>
      <w:r w:rsidRPr="00167CB8">
        <w:t xml:space="preserve"> Aside from challenges monitoring wages using different sources, there is no common agreement on how to best measure or define wages. For example, should the measure focus on hourly, weekly or annual labour earnings? Should it be by gender? Should it measure hours paid for or be a measure based on hours worked (e.g. usual weekly wage divided by usual weekly hours worked)? Should it only measure the wages of employees or should it include all workers (including the self-employed)? Should the focus be the ordinary time earnings or total earnings (including irregular payments such as bonuses)? Should it be labour earnings form all jobs or just the main job? Should the focus be on gross or net labour earnings? Should it include superannuation? Should the sample be restricted to persons employed full-time or should part-timers also be included?</w:t>
      </w:r>
    </w:p>
    <w:p w14:paraId="4F359776" w14:textId="2C37975C" w:rsidR="007A6A1A" w:rsidRPr="00167CB8" w:rsidRDefault="007A6A1A" w:rsidP="007A6A1A">
      <w:pPr>
        <w:spacing w:after="160"/>
      </w:pPr>
      <w:r w:rsidRPr="00167CB8">
        <w:t xml:space="preserve">In addition to the above, there is also a lack of agreement as to what the denominator might be for certain high level indicators such as the gender wage gap (GWG). The GWG is commonly measured as: </w:t>
      </w:r>
      <m:oMath>
        <m:sSub>
          <m:sSubPr>
            <m:ctrlPr>
              <w:rPr>
                <w:rFonts w:ascii="Cambria Math" w:hAnsi="Cambria Math"/>
                <w:i/>
              </w:rPr>
            </m:ctrlPr>
          </m:sSubPr>
          <m:e>
            <m:r>
              <w:rPr>
                <w:rFonts w:ascii="Cambria Math" w:hAnsi="Cambria Math"/>
              </w:rPr>
              <m:t>(Wages</m:t>
            </m:r>
          </m:e>
          <m:sub>
            <m:r>
              <w:rPr>
                <w:rFonts w:ascii="Cambria Math" w:hAnsi="Cambria Math"/>
              </w:rPr>
              <m:t>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Women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Men</m:t>
            </m:r>
          </m:sub>
        </m:sSub>
        <m:r>
          <w:rPr>
            <w:rFonts w:ascii="Cambria Math" w:hAnsi="Cambria Math"/>
          </w:rPr>
          <m:t>*100</m:t>
        </m:r>
      </m:oMath>
      <w:r w:rsidRPr="00167CB8">
        <w:t xml:space="preserve">. This shows how much lower the wages of men need to be for the gap to equal zero. An alternative approach is to measure the GWG as: </w:t>
      </w:r>
      <m:oMath>
        <m:sSub>
          <m:sSubPr>
            <m:ctrlPr>
              <w:rPr>
                <w:rFonts w:ascii="Cambria Math" w:hAnsi="Cambria Math"/>
                <w:i/>
              </w:rPr>
            </m:ctrlPr>
          </m:sSubPr>
          <m:e>
            <m:r>
              <w:rPr>
                <w:rFonts w:ascii="Cambria Math" w:hAnsi="Cambria Math"/>
              </w:rPr>
              <m:t>(Wages</m:t>
            </m:r>
          </m:e>
          <m:sub>
            <m:r>
              <w:rPr>
                <w:rFonts w:ascii="Cambria Math" w:hAnsi="Cambria Math"/>
              </w:rPr>
              <m:t>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Women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Women</m:t>
            </m:r>
          </m:sub>
        </m:sSub>
        <m:r>
          <w:rPr>
            <w:rFonts w:ascii="Cambria Math" w:hAnsi="Cambria Math"/>
          </w:rPr>
          <m:t>*100</m:t>
        </m:r>
      </m:oMath>
      <w:r w:rsidRPr="00167CB8">
        <w:t>. This shows how much higher the wages of women need to be to equal those of men.</w:t>
      </w:r>
    </w:p>
    <w:p w14:paraId="5600796F" w14:textId="4910EA79" w:rsidR="007A6A1A" w:rsidRPr="00167CB8" w:rsidRDefault="007A6A1A" w:rsidP="007A6A1A">
      <w:pPr>
        <w:spacing w:after="160"/>
      </w:pPr>
      <w:r w:rsidRPr="00167CB8">
        <w:t xml:space="preserve">There is also the question of nominal wages (wages at current prices) and real wages (wages after adjusting for inflation). Additionally, a distinction is sometimes made between the real </w:t>
      </w:r>
      <w:r w:rsidRPr="00167CB8">
        <w:rPr>
          <w:i/>
          <w:iCs/>
        </w:rPr>
        <w:t xml:space="preserve">consumer </w:t>
      </w:r>
      <w:r w:rsidRPr="00167CB8">
        <w:t xml:space="preserve">wage and the real </w:t>
      </w:r>
      <w:r w:rsidRPr="00167CB8">
        <w:rPr>
          <w:i/>
          <w:iCs/>
        </w:rPr>
        <w:t>producer</w:t>
      </w:r>
      <w:r w:rsidRPr="00167CB8">
        <w:t xml:space="preserve"> wage. The real consumer wage adjusts the nominal wage for changes in the prices of goods and services that consumers purchase; </w:t>
      </w:r>
      <w:r w:rsidR="00C87E4A" w:rsidRPr="00167CB8">
        <w:t xml:space="preserve">that is, </w:t>
      </w:r>
      <w:r w:rsidRPr="00167CB8">
        <w:t xml:space="preserve">it deflates the nominal wage uses the consumer price index (CPI). The real producer wage deflates the nominal wage using the producer price index (PPI). The PPI captures changes in the prices producers receive for goods and services, including prices producers pay for inputs. Real producer wages therefore show wages in relation to the price of outputs and inputs. </w:t>
      </w:r>
    </w:p>
    <w:p w14:paraId="6B3F82EB"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r w:rsidRPr="00167CB8">
        <w:br w:type="page"/>
      </w:r>
    </w:p>
    <w:p w14:paraId="7E8E6B47" w14:textId="3E15B32C" w:rsidR="007A6A1A" w:rsidRPr="00167CB8" w:rsidRDefault="007A6A1A" w:rsidP="00470AB9">
      <w:pPr>
        <w:pStyle w:val="Caption"/>
      </w:pPr>
      <w:bookmarkStart w:id="729" w:name="_Ref184404541"/>
      <w:bookmarkStart w:id="730" w:name="_Ref186902995"/>
      <w:bookmarkStart w:id="731" w:name="_Toc186991815"/>
      <w:bookmarkStart w:id="732" w:name="_Toc189310866"/>
      <w:r w:rsidRPr="00167CB8">
        <w:lastRenderedPageBreak/>
        <w:t xml:space="preserve">Table </w:t>
      </w:r>
      <w:r w:rsidR="005C3215" w:rsidRPr="00167CB8">
        <w:t>37</w:t>
      </w:r>
      <w:bookmarkEnd w:id="729"/>
      <w:r w:rsidRPr="00167CB8">
        <w:t>: Source of wage data in Australia</w:t>
      </w:r>
      <w:bookmarkEnd w:id="730"/>
      <w:r w:rsidRPr="00167CB8">
        <w:rPr>
          <w:vertAlign w:val="superscript"/>
        </w:rPr>
        <w:footnoteReference w:id="1090"/>
      </w:r>
      <w:bookmarkEnd w:id="731"/>
      <w:bookmarkEnd w:id="732"/>
    </w:p>
    <w:tbl>
      <w:tblPr>
        <w:tblStyle w:val="TableGrid"/>
        <w:tblW w:w="14075" w:type="dxa"/>
        <w:tblLook w:val="04A0" w:firstRow="1" w:lastRow="0" w:firstColumn="1" w:lastColumn="0" w:noHBand="0" w:noVBand="1"/>
      </w:tblPr>
      <w:tblGrid>
        <w:gridCol w:w="2241"/>
        <w:gridCol w:w="1580"/>
        <w:gridCol w:w="2829"/>
        <w:gridCol w:w="7425"/>
      </w:tblGrid>
      <w:tr w:rsidR="007A6A1A" w:rsidRPr="00167CB8" w14:paraId="6FEC4199" w14:textId="77777777">
        <w:trPr>
          <w:trHeight w:val="266"/>
        </w:trPr>
        <w:tc>
          <w:tcPr>
            <w:tcW w:w="2242" w:type="dxa"/>
            <w:tcBorders>
              <w:top w:val="single" w:sz="4" w:space="0" w:color="auto"/>
              <w:left w:val="single" w:sz="4" w:space="0" w:color="auto"/>
              <w:bottom w:val="single" w:sz="4" w:space="0" w:color="auto"/>
              <w:right w:val="single" w:sz="4" w:space="0" w:color="auto"/>
            </w:tcBorders>
            <w:hideMark/>
          </w:tcPr>
          <w:p w14:paraId="38B67103" w14:textId="77777777" w:rsidR="007A6A1A" w:rsidRPr="00167CB8" w:rsidRDefault="007A6A1A" w:rsidP="007A6A1A">
            <w:pPr>
              <w:spacing w:after="160" w:line="259" w:lineRule="auto"/>
              <w:rPr>
                <w:b/>
                <w:bCs/>
              </w:rPr>
            </w:pPr>
            <w:r w:rsidRPr="00167CB8">
              <w:rPr>
                <w:b/>
                <w:bCs/>
              </w:rPr>
              <w:t>Series</w:t>
            </w:r>
          </w:p>
        </w:tc>
        <w:tc>
          <w:tcPr>
            <w:tcW w:w="1574" w:type="dxa"/>
            <w:tcBorders>
              <w:top w:val="single" w:sz="4" w:space="0" w:color="auto"/>
              <w:left w:val="single" w:sz="4" w:space="0" w:color="auto"/>
              <w:bottom w:val="single" w:sz="4" w:space="0" w:color="auto"/>
              <w:right w:val="single" w:sz="4" w:space="0" w:color="auto"/>
            </w:tcBorders>
            <w:hideMark/>
          </w:tcPr>
          <w:p w14:paraId="4A1A616C" w14:textId="28FFF016" w:rsidR="007A6A1A" w:rsidRPr="00167CB8" w:rsidRDefault="007A6A1A" w:rsidP="007A6A1A">
            <w:pPr>
              <w:spacing w:after="160" w:line="259" w:lineRule="auto"/>
              <w:rPr>
                <w:b/>
                <w:bCs/>
              </w:rPr>
            </w:pPr>
            <w:r w:rsidRPr="00167CB8">
              <w:rPr>
                <w:b/>
                <w:bCs/>
              </w:rPr>
              <w:t>Source</w:t>
            </w:r>
          </w:p>
        </w:tc>
        <w:tc>
          <w:tcPr>
            <w:tcW w:w="2830" w:type="dxa"/>
            <w:tcBorders>
              <w:top w:val="single" w:sz="4" w:space="0" w:color="auto"/>
              <w:left w:val="single" w:sz="4" w:space="0" w:color="auto"/>
              <w:bottom w:val="single" w:sz="4" w:space="0" w:color="auto"/>
              <w:right w:val="single" w:sz="4" w:space="0" w:color="auto"/>
            </w:tcBorders>
            <w:hideMark/>
          </w:tcPr>
          <w:p w14:paraId="71184433" w14:textId="77777777" w:rsidR="007A6A1A" w:rsidRPr="00167CB8" w:rsidRDefault="007A6A1A" w:rsidP="007A6A1A">
            <w:pPr>
              <w:spacing w:after="160" w:line="259" w:lineRule="auto"/>
              <w:rPr>
                <w:b/>
                <w:bCs/>
              </w:rPr>
            </w:pPr>
            <w:r w:rsidRPr="00167CB8">
              <w:rPr>
                <w:b/>
                <w:bCs/>
              </w:rPr>
              <w:t>Availability</w:t>
            </w:r>
          </w:p>
        </w:tc>
        <w:tc>
          <w:tcPr>
            <w:tcW w:w="7429" w:type="dxa"/>
            <w:tcBorders>
              <w:top w:val="single" w:sz="4" w:space="0" w:color="auto"/>
              <w:left w:val="single" w:sz="4" w:space="0" w:color="auto"/>
              <w:bottom w:val="single" w:sz="4" w:space="0" w:color="auto"/>
              <w:right w:val="single" w:sz="4" w:space="0" w:color="auto"/>
            </w:tcBorders>
            <w:hideMark/>
          </w:tcPr>
          <w:p w14:paraId="4AFD3BCF" w14:textId="77777777" w:rsidR="007A6A1A" w:rsidRPr="00167CB8" w:rsidRDefault="007A6A1A" w:rsidP="007A6A1A">
            <w:pPr>
              <w:spacing w:after="160" w:line="259" w:lineRule="auto"/>
              <w:rPr>
                <w:b/>
                <w:bCs/>
              </w:rPr>
            </w:pPr>
            <w:r w:rsidRPr="00167CB8">
              <w:rPr>
                <w:b/>
                <w:bCs/>
              </w:rPr>
              <w:t>Description</w:t>
            </w:r>
          </w:p>
        </w:tc>
      </w:tr>
      <w:tr w:rsidR="007A6A1A" w:rsidRPr="00167CB8" w14:paraId="26EC29CC" w14:textId="77777777">
        <w:trPr>
          <w:trHeight w:val="742"/>
        </w:trPr>
        <w:tc>
          <w:tcPr>
            <w:tcW w:w="2242" w:type="dxa"/>
            <w:tcBorders>
              <w:top w:val="single" w:sz="4" w:space="0" w:color="auto"/>
              <w:left w:val="single" w:sz="4" w:space="0" w:color="auto"/>
              <w:bottom w:val="single" w:sz="4" w:space="0" w:color="auto"/>
              <w:right w:val="single" w:sz="4" w:space="0" w:color="auto"/>
            </w:tcBorders>
            <w:hideMark/>
          </w:tcPr>
          <w:p w14:paraId="559D7CC6" w14:textId="77777777" w:rsidR="007A6A1A" w:rsidRPr="00167CB8" w:rsidRDefault="007A6A1A" w:rsidP="007A6A1A">
            <w:pPr>
              <w:spacing w:after="160" w:line="259" w:lineRule="auto"/>
            </w:pPr>
            <w:r w:rsidRPr="00167CB8">
              <w:t>Wage price index (WPI)</w:t>
            </w:r>
          </w:p>
        </w:tc>
        <w:tc>
          <w:tcPr>
            <w:tcW w:w="1574" w:type="dxa"/>
            <w:tcBorders>
              <w:top w:val="single" w:sz="4" w:space="0" w:color="auto"/>
              <w:left w:val="single" w:sz="4" w:space="0" w:color="auto"/>
              <w:bottom w:val="single" w:sz="4" w:space="0" w:color="auto"/>
              <w:right w:val="single" w:sz="4" w:space="0" w:color="auto"/>
            </w:tcBorders>
            <w:hideMark/>
          </w:tcPr>
          <w:p w14:paraId="15C88AE1" w14:textId="0810BC0F" w:rsidR="007A6A1A" w:rsidRPr="00167CB8" w:rsidRDefault="007A6A1A" w:rsidP="007A6A1A">
            <w:pPr>
              <w:spacing w:after="160" w:line="259" w:lineRule="auto"/>
            </w:pPr>
            <w:r w:rsidRPr="00167CB8">
              <w:t>ABS Cat No 6345.0</w:t>
            </w:r>
          </w:p>
        </w:tc>
        <w:tc>
          <w:tcPr>
            <w:tcW w:w="2830" w:type="dxa"/>
            <w:tcBorders>
              <w:top w:val="single" w:sz="4" w:space="0" w:color="auto"/>
              <w:left w:val="single" w:sz="4" w:space="0" w:color="auto"/>
              <w:bottom w:val="single" w:sz="4" w:space="0" w:color="auto"/>
              <w:right w:val="single" w:sz="4" w:space="0" w:color="auto"/>
            </w:tcBorders>
            <w:hideMark/>
          </w:tcPr>
          <w:p w14:paraId="49849023" w14:textId="050B3BA2" w:rsidR="007A6A1A" w:rsidRPr="00167CB8" w:rsidRDefault="007A6A1A" w:rsidP="007A6A1A">
            <w:pPr>
              <w:spacing w:after="160" w:line="259" w:lineRule="auto"/>
            </w:pPr>
            <w:r w:rsidRPr="00167CB8">
              <w:t xml:space="preserve">Available quarterly covering March, June, September and December. (December 2024 WPI to be released </w:t>
            </w:r>
            <w:r w:rsidR="00C87E4A" w:rsidRPr="00167CB8">
              <w:t xml:space="preserve">on </w:t>
            </w:r>
            <w:r w:rsidRPr="00167CB8">
              <w:t>19</w:t>
            </w:r>
            <w:r w:rsidR="00C87E4A" w:rsidRPr="00167CB8">
              <w:t xml:space="preserve"> February 2025.</w:t>
            </w:r>
            <w:r w:rsidRPr="00167CB8">
              <w:t>)</w:t>
            </w:r>
          </w:p>
        </w:tc>
        <w:tc>
          <w:tcPr>
            <w:tcW w:w="7429" w:type="dxa"/>
            <w:tcBorders>
              <w:top w:val="single" w:sz="4" w:space="0" w:color="auto"/>
              <w:left w:val="single" w:sz="4" w:space="0" w:color="auto"/>
              <w:bottom w:val="single" w:sz="4" w:space="0" w:color="auto"/>
              <w:right w:val="single" w:sz="4" w:space="0" w:color="auto"/>
            </w:tcBorders>
            <w:hideMark/>
          </w:tcPr>
          <w:p w14:paraId="7D9A639B" w14:textId="20C7D54F" w:rsidR="007A6A1A" w:rsidRPr="00167CB8" w:rsidRDefault="007A6A1A" w:rsidP="007A6A1A">
            <w:pPr>
              <w:spacing w:after="160" w:line="259" w:lineRule="auto"/>
            </w:pPr>
            <w:r w:rsidRPr="00167CB8">
              <w:t>The wages for a basket of jobs are collected from a sample of public and private sector employers. The index is not affected by compositional changes in the labour market or hours worked. Information available by sector and industry but not gender. Most published series do not include bonuses. Superannuation is not included in the index. Index numbers are available on a quarterly basis. Information on the ‘contribution to wage growth by method of setting pay’ (</w:t>
            </w:r>
            <w:r w:rsidR="00C87E4A" w:rsidRPr="00167CB8">
              <w:t>e</w:t>
            </w:r>
            <w:r w:rsidRPr="00167CB8">
              <w:t xml:space="preserve">nterprise agreement, </w:t>
            </w:r>
            <w:r w:rsidR="00C87E4A" w:rsidRPr="00167CB8">
              <w:t>i</w:t>
            </w:r>
            <w:r w:rsidRPr="00167CB8">
              <w:t xml:space="preserve">ndividual arrangement or </w:t>
            </w:r>
            <w:r w:rsidR="00C87E4A" w:rsidRPr="00167CB8">
              <w:t>a</w:t>
            </w:r>
            <w:r w:rsidRPr="00167CB8">
              <w:t>ward) is also available.</w:t>
            </w:r>
          </w:p>
        </w:tc>
      </w:tr>
      <w:tr w:rsidR="007A6A1A" w:rsidRPr="00167CB8" w14:paraId="234713EC" w14:textId="77777777">
        <w:trPr>
          <w:trHeight w:val="266"/>
        </w:trPr>
        <w:tc>
          <w:tcPr>
            <w:tcW w:w="2242" w:type="dxa"/>
            <w:tcBorders>
              <w:top w:val="single" w:sz="4" w:space="0" w:color="auto"/>
              <w:left w:val="single" w:sz="4" w:space="0" w:color="auto"/>
              <w:bottom w:val="single" w:sz="4" w:space="0" w:color="auto"/>
              <w:right w:val="single" w:sz="4" w:space="0" w:color="auto"/>
            </w:tcBorders>
            <w:hideMark/>
          </w:tcPr>
          <w:p w14:paraId="4D0C2D95" w14:textId="77777777" w:rsidR="007A6A1A" w:rsidRPr="00167CB8" w:rsidRDefault="007A6A1A" w:rsidP="007A6A1A">
            <w:pPr>
              <w:spacing w:after="160" w:line="259" w:lineRule="auto"/>
            </w:pPr>
            <w:r w:rsidRPr="00167CB8">
              <w:t>Average weekly earnings (AWE), Australia</w:t>
            </w:r>
          </w:p>
        </w:tc>
        <w:tc>
          <w:tcPr>
            <w:tcW w:w="1574" w:type="dxa"/>
            <w:tcBorders>
              <w:top w:val="single" w:sz="4" w:space="0" w:color="auto"/>
              <w:left w:val="single" w:sz="4" w:space="0" w:color="auto"/>
              <w:bottom w:val="single" w:sz="4" w:space="0" w:color="auto"/>
              <w:right w:val="single" w:sz="4" w:space="0" w:color="auto"/>
            </w:tcBorders>
            <w:hideMark/>
          </w:tcPr>
          <w:p w14:paraId="673D88FD" w14:textId="4B7DC288" w:rsidR="007A6A1A" w:rsidRPr="00167CB8" w:rsidRDefault="007A6A1A" w:rsidP="007A6A1A">
            <w:pPr>
              <w:spacing w:after="160" w:line="259" w:lineRule="auto"/>
            </w:pPr>
            <w:r w:rsidRPr="00167CB8">
              <w:t>ABS Cat No 6302.0</w:t>
            </w:r>
          </w:p>
        </w:tc>
        <w:tc>
          <w:tcPr>
            <w:tcW w:w="2830" w:type="dxa"/>
            <w:tcBorders>
              <w:top w:val="single" w:sz="4" w:space="0" w:color="auto"/>
              <w:left w:val="single" w:sz="4" w:space="0" w:color="auto"/>
              <w:bottom w:val="single" w:sz="4" w:space="0" w:color="auto"/>
              <w:right w:val="single" w:sz="4" w:space="0" w:color="auto"/>
            </w:tcBorders>
            <w:hideMark/>
          </w:tcPr>
          <w:p w14:paraId="3EBD4646" w14:textId="6C109536" w:rsidR="007A6A1A" w:rsidRPr="00167CB8" w:rsidRDefault="007A6A1A" w:rsidP="007A6A1A">
            <w:pPr>
              <w:spacing w:after="160" w:line="259" w:lineRule="auto"/>
            </w:pPr>
            <w:r w:rsidRPr="00167CB8">
              <w:t xml:space="preserve">Estimates are available on a bi-annual basis (May and November). November 2024 data will be released </w:t>
            </w:r>
            <w:r w:rsidR="00C87E4A" w:rsidRPr="00167CB8">
              <w:t xml:space="preserve">in </w:t>
            </w:r>
            <w:r w:rsidRPr="00167CB8">
              <w:t>February 2025.</w:t>
            </w:r>
          </w:p>
        </w:tc>
        <w:tc>
          <w:tcPr>
            <w:tcW w:w="7429" w:type="dxa"/>
            <w:tcBorders>
              <w:top w:val="single" w:sz="4" w:space="0" w:color="auto"/>
              <w:left w:val="single" w:sz="4" w:space="0" w:color="auto"/>
              <w:bottom w:val="single" w:sz="4" w:space="0" w:color="auto"/>
              <w:right w:val="single" w:sz="4" w:space="0" w:color="auto"/>
            </w:tcBorders>
            <w:hideMark/>
          </w:tcPr>
          <w:p w14:paraId="7E3DC8A3" w14:textId="77777777" w:rsidR="007A6A1A" w:rsidRPr="00167CB8" w:rsidRDefault="007A6A1A" w:rsidP="007A6A1A">
            <w:pPr>
              <w:spacing w:after="160" w:line="259" w:lineRule="auto"/>
            </w:pPr>
            <w:r w:rsidRPr="00167CB8">
              <w:t>Survey of business units. Information stratified by gender, sector, industry and state/territory as well as by full-time (35 or more hours per week) employment. AWE excludes irregular and infrequent payments such as annual bonuses and leave loading. AWE data is collected for a typical week.</w:t>
            </w:r>
          </w:p>
        </w:tc>
      </w:tr>
      <w:tr w:rsidR="007A6A1A" w:rsidRPr="00167CB8" w14:paraId="2ED2ADF5" w14:textId="77777777">
        <w:trPr>
          <w:trHeight w:val="266"/>
        </w:trPr>
        <w:tc>
          <w:tcPr>
            <w:tcW w:w="2242" w:type="dxa"/>
            <w:tcBorders>
              <w:top w:val="single" w:sz="4" w:space="0" w:color="auto"/>
              <w:left w:val="single" w:sz="4" w:space="0" w:color="auto"/>
              <w:bottom w:val="single" w:sz="4" w:space="0" w:color="auto"/>
              <w:right w:val="single" w:sz="4" w:space="0" w:color="auto"/>
            </w:tcBorders>
            <w:hideMark/>
          </w:tcPr>
          <w:p w14:paraId="78D3FE34" w14:textId="77777777" w:rsidR="007A6A1A" w:rsidRPr="00167CB8" w:rsidRDefault="007A6A1A" w:rsidP="007A6A1A">
            <w:pPr>
              <w:spacing w:after="160" w:line="259" w:lineRule="auto"/>
            </w:pPr>
            <w:r w:rsidRPr="00167CB8">
              <w:t xml:space="preserve">Employee earnings and hours (EEH), Australia </w:t>
            </w:r>
          </w:p>
        </w:tc>
        <w:tc>
          <w:tcPr>
            <w:tcW w:w="1574" w:type="dxa"/>
            <w:tcBorders>
              <w:top w:val="single" w:sz="4" w:space="0" w:color="auto"/>
              <w:left w:val="single" w:sz="4" w:space="0" w:color="auto"/>
              <w:bottom w:val="single" w:sz="4" w:space="0" w:color="auto"/>
              <w:right w:val="single" w:sz="4" w:space="0" w:color="auto"/>
            </w:tcBorders>
            <w:hideMark/>
          </w:tcPr>
          <w:p w14:paraId="77CBF6F1" w14:textId="4115C13B" w:rsidR="007A6A1A" w:rsidRPr="00167CB8" w:rsidRDefault="007A6A1A" w:rsidP="007A6A1A">
            <w:pPr>
              <w:spacing w:after="160" w:line="259" w:lineRule="auto"/>
            </w:pPr>
            <w:r w:rsidRPr="00167CB8">
              <w:t>ABS Cat No 6306.0.</w:t>
            </w:r>
          </w:p>
        </w:tc>
        <w:tc>
          <w:tcPr>
            <w:tcW w:w="2830" w:type="dxa"/>
            <w:tcBorders>
              <w:top w:val="single" w:sz="4" w:space="0" w:color="auto"/>
              <w:left w:val="single" w:sz="4" w:space="0" w:color="auto"/>
              <w:bottom w:val="single" w:sz="4" w:space="0" w:color="auto"/>
              <w:right w:val="single" w:sz="4" w:space="0" w:color="auto"/>
            </w:tcBorders>
            <w:hideMark/>
          </w:tcPr>
          <w:p w14:paraId="66CD64AC" w14:textId="7AA2D05E" w:rsidR="007A6A1A" w:rsidRPr="00167CB8" w:rsidRDefault="007A6A1A" w:rsidP="007A6A1A">
            <w:pPr>
              <w:spacing w:after="160" w:line="259" w:lineRule="auto"/>
            </w:pPr>
            <w:r w:rsidRPr="00167CB8">
              <w:t xml:space="preserve">Available every </w:t>
            </w:r>
            <w:r w:rsidR="00C87E4A" w:rsidRPr="00167CB8">
              <w:t xml:space="preserve">2 </w:t>
            </w:r>
            <w:r w:rsidRPr="00167CB8">
              <w:t xml:space="preserve">years. Most recent reference period is May 2023 (released </w:t>
            </w:r>
            <w:r w:rsidR="00C87E4A" w:rsidRPr="00167CB8">
              <w:t xml:space="preserve">in </w:t>
            </w:r>
            <w:r w:rsidRPr="00167CB8">
              <w:t xml:space="preserve">January 2024); next release will pertain to May 2025. </w:t>
            </w:r>
          </w:p>
        </w:tc>
        <w:tc>
          <w:tcPr>
            <w:tcW w:w="7429" w:type="dxa"/>
            <w:tcBorders>
              <w:top w:val="single" w:sz="4" w:space="0" w:color="auto"/>
              <w:left w:val="single" w:sz="4" w:space="0" w:color="auto"/>
              <w:bottom w:val="single" w:sz="4" w:space="0" w:color="auto"/>
              <w:right w:val="single" w:sz="4" w:space="0" w:color="auto"/>
            </w:tcBorders>
            <w:hideMark/>
          </w:tcPr>
          <w:p w14:paraId="709C14B1" w14:textId="522141F5" w:rsidR="007A6A1A" w:rsidRPr="00167CB8" w:rsidRDefault="007A6A1A" w:rsidP="007A6A1A">
            <w:pPr>
              <w:spacing w:after="160" w:line="259" w:lineRule="auto"/>
            </w:pPr>
            <w:r w:rsidRPr="00167CB8">
              <w:t xml:space="preserve">The EEH is conducted every </w:t>
            </w:r>
            <w:r w:rsidR="00C87E4A" w:rsidRPr="00167CB8">
              <w:t xml:space="preserve">2 </w:t>
            </w:r>
            <w:r w:rsidRPr="00167CB8">
              <w:t xml:space="preserve">years. It was last conducted in May 2023. It contains information on methods of setting pay with current categories being </w:t>
            </w:r>
            <w:r w:rsidR="00C87E4A" w:rsidRPr="00167CB8">
              <w:t>a</w:t>
            </w:r>
            <w:r w:rsidRPr="00167CB8">
              <w:t xml:space="preserve">ward only, collective agreement (enterprise agreement), individual arrangement or owner manager of incorporated enterprise. Employees who receive pay above the award rate are classified as being paid by </w:t>
            </w:r>
            <w:r w:rsidR="00C87E4A" w:rsidRPr="00167CB8">
              <w:t xml:space="preserve">either </w:t>
            </w:r>
            <w:r w:rsidRPr="00167CB8">
              <w:t>a collective agreement or an individual arrangement. Wage data</w:t>
            </w:r>
            <w:r w:rsidR="00C87E4A" w:rsidRPr="00167CB8">
              <w:t xml:space="preserve"> is </w:t>
            </w:r>
            <w:r w:rsidRPr="00167CB8">
              <w:t>collected from employers and pertains to hours paid for. It includes all cash earnings, including regular bonuses.</w:t>
            </w:r>
          </w:p>
        </w:tc>
      </w:tr>
      <w:tr w:rsidR="007A6A1A" w:rsidRPr="00167CB8" w14:paraId="34F645D1" w14:textId="77777777">
        <w:trPr>
          <w:trHeight w:val="279"/>
        </w:trPr>
        <w:tc>
          <w:tcPr>
            <w:tcW w:w="2242" w:type="dxa"/>
            <w:tcBorders>
              <w:top w:val="single" w:sz="4" w:space="0" w:color="auto"/>
              <w:left w:val="single" w:sz="4" w:space="0" w:color="auto"/>
              <w:bottom w:val="single" w:sz="4" w:space="0" w:color="auto"/>
              <w:right w:val="single" w:sz="4" w:space="0" w:color="auto"/>
            </w:tcBorders>
            <w:hideMark/>
          </w:tcPr>
          <w:p w14:paraId="636859F5" w14:textId="60EC4598" w:rsidR="007A6A1A" w:rsidRPr="00167CB8" w:rsidRDefault="007A6A1A" w:rsidP="007A6A1A">
            <w:pPr>
              <w:spacing w:after="160" w:line="259" w:lineRule="auto"/>
            </w:pPr>
            <w:r w:rsidRPr="00167CB8">
              <w:lastRenderedPageBreak/>
              <w:t xml:space="preserve">Employee </w:t>
            </w:r>
            <w:r w:rsidR="00C87E4A" w:rsidRPr="00167CB8">
              <w:t>e</w:t>
            </w:r>
            <w:r w:rsidRPr="00167CB8">
              <w:t xml:space="preserve">arnings </w:t>
            </w:r>
          </w:p>
        </w:tc>
        <w:tc>
          <w:tcPr>
            <w:tcW w:w="1574" w:type="dxa"/>
            <w:tcBorders>
              <w:top w:val="single" w:sz="4" w:space="0" w:color="auto"/>
              <w:left w:val="single" w:sz="4" w:space="0" w:color="auto"/>
              <w:bottom w:val="single" w:sz="4" w:space="0" w:color="auto"/>
              <w:right w:val="single" w:sz="4" w:space="0" w:color="auto"/>
            </w:tcBorders>
            <w:hideMark/>
          </w:tcPr>
          <w:p w14:paraId="354FF08F" w14:textId="467622CF" w:rsidR="007A6A1A" w:rsidRPr="00167CB8" w:rsidRDefault="007A6A1A" w:rsidP="007A6A1A">
            <w:pPr>
              <w:spacing w:after="160" w:line="259" w:lineRule="auto"/>
            </w:pPr>
            <w:r w:rsidRPr="00167CB8">
              <w:t>ABS Cat No 6337.0</w:t>
            </w:r>
          </w:p>
        </w:tc>
        <w:tc>
          <w:tcPr>
            <w:tcW w:w="2830" w:type="dxa"/>
            <w:tcBorders>
              <w:top w:val="single" w:sz="4" w:space="0" w:color="auto"/>
              <w:left w:val="single" w:sz="4" w:space="0" w:color="auto"/>
              <w:bottom w:val="single" w:sz="4" w:space="0" w:color="auto"/>
              <w:right w:val="single" w:sz="4" w:space="0" w:color="auto"/>
            </w:tcBorders>
            <w:hideMark/>
          </w:tcPr>
          <w:p w14:paraId="56CC6EA5" w14:textId="77777777" w:rsidR="007A6A1A" w:rsidRPr="00167CB8" w:rsidRDefault="007A6A1A" w:rsidP="007A6A1A">
            <w:pPr>
              <w:spacing w:after="160" w:line="259" w:lineRule="auto"/>
            </w:pPr>
            <w:r w:rsidRPr="00167CB8">
              <w:t>Reference period August 2024 (released December 2024).</w:t>
            </w:r>
          </w:p>
        </w:tc>
        <w:tc>
          <w:tcPr>
            <w:tcW w:w="7429" w:type="dxa"/>
            <w:tcBorders>
              <w:top w:val="single" w:sz="4" w:space="0" w:color="auto"/>
              <w:left w:val="single" w:sz="4" w:space="0" w:color="auto"/>
              <w:bottom w:val="single" w:sz="4" w:space="0" w:color="auto"/>
              <w:right w:val="single" w:sz="4" w:space="0" w:color="auto"/>
            </w:tcBorders>
            <w:hideMark/>
          </w:tcPr>
          <w:p w14:paraId="7BBDA1D4" w14:textId="77777777" w:rsidR="007A6A1A" w:rsidRPr="00167CB8" w:rsidRDefault="007A6A1A" w:rsidP="007A6A1A">
            <w:pPr>
              <w:spacing w:after="160" w:line="259" w:lineRule="auto"/>
            </w:pPr>
            <w:r w:rsidRPr="00167CB8">
              <w:t>Released on an annual basis. Wage information pertains to hours actually worked. (The employee earnings information is part of the Characteristics of Employment (COE) survey (ABS 6333.0)).</w:t>
            </w:r>
          </w:p>
        </w:tc>
      </w:tr>
      <w:tr w:rsidR="007A6A1A" w:rsidRPr="00167CB8" w14:paraId="11D5C5BB" w14:textId="77777777">
        <w:trPr>
          <w:trHeight w:val="279"/>
        </w:trPr>
        <w:tc>
          <w:tcPr>
            <w:tcW w:w="2242" w:type="dxa"/>
            <w:tcBorders>
              <w:top w:val="single" w:sz="4" w:space="0" w:color="auto"/>
              <w:left w:val="single" w:sz="4" w:space="0" w:color="auto"/>
              <w:bottom w:val="single" w:sz="4" w:space="0" w:color="auto"/>
              <w:right w:val="single" w:sz="4" w:space="0" w:color="auto"/>
            </w:tcBorders>
            <w:hideMark/>
          </w:tcPr>
          <w:p w14:paraId="66E129E1" w14:textId="77777777" w:rsidR="007A6A1A" w:rsidRPr="00167CB8" w:rsidRDefault="007A6A1A" w:rsidP="007A6A1A">
            <w:pPr>
              <w:spacing w:after="160" w:line="259" w:lineRule="auto"/>
            </w:pPr>
            <w:r w:rsidRPr="00167CB8">
              <w:t xml:space="preserve">Labour Account Australia </w:t>
            </w:r>
          </w:p>
        </w:tc>
        <w:tc>
          <w:tcPr>
            <w:tcW w:w="1574" w:type="dxa"/>
            <w:tcBorders>
              <w:top w:val="single" w:sz="4" w:space="0" w:color="auto"/>
              <w:left w:val="single" w:sz="4" w:space="0" w:color="auto"/>
              <w:bottom w:val="single" w:sz="4" w:space="0" w:color="auto"/>
              <w:right w:val="single" w:sz="4" w:space="0" w:color="auto"/>
            </w:tcBorders>
            <w:hideMark/>
          </w:tcPr>
          <w:p w14:paraId="67109D77" w14:textId="63C25403" w:rsidR="007A6A1A" w:rsidRPr="00167CB8" w:rsidRDefault="007A6A1A" w:rsidP="007A6A1A">
            <w:pPr>
              <w:spacing w:after="160" w:line="259" w:lineRule="auto"/>
            </w:pPr>
            <w:r w:rsidRPr="00167CB8">
              <w:t xml:space="preserve">ABS Cat No 6150.0.55.003 </w:t>
            </w:r>
          </w:p>
        </w:tc>
        <w:tc>
          <w:tcPr>
            <w:tcW w:w="2830" w:type="dxa"/>
            <w:tcBorders>
              <w:top w:val="single" w:sz="4" w:space="0" w:color="auto"/>
              <w:left w:val="single" w:sz="4" w:space="0" w:color="auto"/>
              <w:bottom w:val="single" w:sz="4" w:space="0" w:color="auto"/>
              <w:right w:val="single" w:sz="4" w:space="0" w:color="auto"/>
            </w:tcBorders>
            <w:hideMark/>
          </w:tcPr>
          <w:p w14:paraId="0375BA52" w14:textId="77777777" w:rsidR="007A6A1A" w:rsidRPr="00167CB8" w:rsidRDefault="007A6A1A" w:rsidP="007A6A1A">
            <w:pPr>
              <w:spacing w:after="160" w:line="259" w:lineRule="auto"/>
            </w:pPr>
            <w:r w:rsidRPr="00167CB8">
              <w:t xml:space="preserve">Monthly. </w:t>
            </w:r>
          </w:p>
        </w:tc>
        <w:tc>
          <w:tcPr>
            <w:tcW w:w="7429" w:type="dxa"/>
            <w:tcBorders>
              <w:top w:val="single" w:sz="4" w:space="0" w:color="auto"/>
              <w:left w:val="single" w:sz="4" w:space="0" w:color="auto"/>
              <w:bottom w:val="single" w:sz="4" w:space="0" w:color="auto"/>
              <w:right w:val="single" w:sz="4" w:space="0" w:color="auto"/>
            </w:tcBorders>
            <w:hideMark/>
          </w:tcPr>
          <w:p w14:paraId="56799855" w14:textId="311DDF51" w:rsidR="007A6A1A" w:rsidRPr="00167CB8" w:rsidRDefault="007A6A1A" w:rsidP="007A6A1A">
            <w:pPr>
              <w:spacing w:after="160" w:line="259" w:lineRule="auto"/>
            </w:pPr>
            <w:r w:rsidRPr="00167CB8">
              <w:t>Includes information on average hourly income per Labour Account employed person and total compensation of employees. It includes employees and owner</w:t>
            </w:r>
            <w:r w:rsidR="00C87E4A" w:rsidRPr="00167CB8">
              <w:t xml:space="preserve"> </w:t>
            </w:r>
            <w:r w:rsidRPr="00167CB8">
              <w:t xml:space="preserve">managers. As with the WPI, these data cannot be disaggregated by gender. </w:t>
            </w:r>
          </w:p>
        </w:tc>
      </w:tr>
      <w:tr w:rsidR="007A6A1A" w:rsidRPr="00167CB8" w14:paraId="2D3C1894" w14:textId="77777777">
        <w:trPr>
          <w:trHeight w:val="279"/>
        </w:trPr>
        <w:tc>
          <w:tcPr>
            <w:tcW w:w="2242" w:type="dxa"/>
            <w:tcBorders>
              <w:top w:val="single" w:sz="4" w:space="0" w:color="auto"/>
              <w:left w:val="single" w:sz="4" w:space="0" w:color="auto"/>
              <w:bottom w:val="single" w:sz="4" w:space="0" w:color="auto"/>
              <w:right w:val="single" w:sz="4" w:space="0" w:color="auto"/>
            </w:tcBorders>
            <w:hideMark/>
          </w:tcPr>
          <w:p w14:paraId="510F4A09" w14:textId="77777777" w:rsidR="007A6A1A" w:rsidRPr="00167CB8" w:rsidRDefault="007A6A1A" w:rsidP="007A6A1A">
            <w:pPr>
              <w:spacing w:after="160" w:line="259" w:lineRule="auto"/>
            </w:pPr>
            <w:r w:rsidRPr="00167CB8">
              <w:t>Workplace Agreement Database (WAD)</w:t>
            </w:r>
          </w:p>
        </w:tc>
        <w:tc>
          <w:tcPr>
            <w:tcW w:w="1574" w:type="dxa"/>
            <w:tcBorders>
              <w:top w:val="single" w:sz="4" w:space="0" w:color="auto"/>
              <w:left w:val="single" w:sz="4" w:space="0" w:color="auto"/>
              <w:bottom w:val="single" w:sz="4" w:space="0" w:color="auto"/>
              <w:right w:val="single" w:sz="4" w:space="0" w:color="auto"/>
            </w:tcBorders>
            <w:hideMark/>
          </w:tcPr>
          <w:p w14:paraId="52981076" w14:textId="77777777" w:rsidR="007A6A1A" w:rsidRPr="00167CB8" w:rsidRDefault="007A6A1A" w:rsidP="007A6A1A">
            <w:pPr>
              <w:spacing w:after="160" w:line="259" w:lineRule="auto"/>
            </w:pPr>
            <w:r w:rsidRPr="00167CB8">
              <w:t>Department of Employment and Workplace Relations (DEWR)</w:t>
            </w:r>
          </w:p>
        </w:tc>
        <w:tc>
          <w:tcPr>
            <w:tcW w:w="2830" w:type="dxa"/>
            <w:tcBorders>
              <w:top w:val="single" w:sz="4" w:space="0" w:color="auto"/>
              <w:left w:val="single" w:sz="4" w:space="0" w:color="auto"/>
              <w:bottom w:val="single" w:sz="4" w:space="0" w:color="auto"/>
              <w:right w:val="single" w:sz="4" w:space="0" w:color="auto"/>
            </w:tcBorders>
            <w:hideMark/>
          </w:tcPr>
          <w:p w14:paraId="2EBC6CDD" w14:textId="77777777" w:rsidR="007A6A1A" w:rsidRPr="00167CB8" w:rsidRDefault="007A6A1A" w:rsidP="007A6A1A">
            <w:pPr>
              <w:spacing w:after="160" w:line="259" w:lineRule="auto"/>
            </w:pPr>
            <w:r w:rsidRPr="00167CB8">
              <w:t>All federal enterprise agreements certified or approved since 1 January 1997.</w:t>
            </w:r>
          </w:p>
        </w:tc>
        <w:tc>
          <w:tcPr>
            <w:tcW w:w="7429" w:type="dxa"/>
            <w:tcBorders>
              <w:top w:val="single" w:sz="4" w:space="0" w:color="auto"/>
              <w:left w:val="single" w:sz="4" w:space="0" w:color="auto"/>
              <w:bottom w:val="single" w:sz="4" w:space="0" w:color="auto"/>
              <w:right w:val="single" w:sz="4" w:space="0" w:color="auto"/>
            </w:tcBorders>
            <w:hideMark/>
          </w:tcPr>
          <w:p w14:paraId="0DA926A4" w14:textId="34B6CD04" w:rsidR="007A6A1A" w:rsidRPr="00167CB8" w:rsidRDefault="007A6A1A" w:rsidP="007A6A1A">
            <w:pPr>
              <w:spacing w:after="160" w:line="259" w:lineRule="auto"/>
            </w:pPr>
            <w:r w:rsidRPr="00167CB8">
              <w:t xml:space="preserve">Contains information on the coverage of </w:t>
            </w:r>
            <w:r w:rsidR="00C87E4A" w:rsidRPr="00167CB8">
              <w:t>f</w:t>
            </w:r>
            <w:r w:rsidRPr="00167CB8">
              <w:t xml:space="preserve">ederal </w:t>
            </w:r>
            <w:r w:rsidR="00C87E4A" w:rsidRPr="00167CB8">
              <w:t>e</w:t>
            </w:r>
            <w:r w:rsidRPr="00167CB8">
              <w:t xml:space="preserve">nterprise </w:t>
            </w:r>
            <w:r w:rsidR="00C87E4A" w:rsidRPr="00167CB8">
              <w:t>a</w:t>
            </w:r>
            <w:r w:rsidRPr="00167CB8">
              <w:t>greements and wage increase. DEWR publishes a quarterly bulletin on trends in federal enterprise bargaining. The most recent bulletin</w:t>
            </w:r>
            <w:r w:rsidR="00C87E4A" w:rsidRPr="00167CB8">
              <w:t xml:space="preserve"> </w:t>
            </w:r>
            <w:r w:rsidRPr="00167CB8">
              <w:t>(released September 2024) is for the June 2024 quarter.</w:t>
            </w:r>
          </w:p>
        </w:tc>
      </w:tr>
      <w:tr w:rsidR="007A6A1A" w:rsidRPr="00167CB8" w14:paraId="05BEE371" w14:textId="77777777">
        <w:trPr>
          <w:trHeight w:val="748"/>
        </w:trPr>
        <w:tc>
          <w:tcPr>
            <w:tcW w:w="2242" w:type="dxa"/>
            <w:tcBorders>
              <w:top w:val="single" w:sz="4" w:space="0" w:color="auto"/>
              <w:left w:val="single" w:sz="4" w:space="0" w:color="auto"/>
              <w:bottom w:val="single" w:sz="4" w:space="0" w:color="auto"/>
              <w:right w:val="single" w:sz="4" w:space="0" w:color="auto"/>
            </w:tcBorders>
            <w:hideMark/>
          </w:tcPr>
          <w:p w14:paraId="7587A5AD" w14:textId="63E3DE34" w:rsidR="007A6A1A" w:rsidRPr="00167CB8" w:rsidRDefault="007A6A1A" w:rsidP="007A6A1A">
            <w:pPr>
              <w:spacing w:after="160" w:line="259" w:lineRule="auto"/>
            </w:pPr>
            <w:r w:rsidRPr="00167CB8">
              <w:t xml:space="preserve">Household, Income and Labour Dynamics in Australia (HILDA) </w:t>
            </w:r>
            <w:r w:rsidR="00C87E4A" w:rsidRPr="00167CB8">
              <w:t>s</w:t>
            </w:r>
            <w:r w:rsidRPr="00167CB8">
              <w:t>urvey</w:t>
            </w:r>
          </w:p>
        </w:tc>
        <w:tc>
          <w:tcPr>
            <w:tcW w:w="1574" w:type="dxa"/>
            <w:tcBorders>
              <w:top w:val="single" w:sz="4" w:space="0" w:color="auto"/>
              <w:left w:val="single" w:sz="4" w:space="0" w:color="auto"/>
              <w:bottom w:val="single" w:sz="4" w:space="0" w:color="auto"/>
              <w:right w:val="single" w:sz="4" w:space="0" w:color="auto"/>
            </w:tcBorders>
            <w:hideMark/>
          </w:tcPr>
          <w:p w14:paraId="6FEBDBB9" w14:textId="77777777" w:rsidR="007A6A1A" w:rsidRPr="00167CB8" w:rsidRDefault="007A6A1A" w:rsidP="007A6A1A">
            <w:pPr>
              <w:spacing w:after="160" w:line="259" w:lineRule="auto"/>
            </w:pPr>
            <w:r w:rsidRPr="00167CB8">
              <w:t xml:space="preserve">Melbourne Institute </w:t>
            </w:r>
          </w:p>
        </w:tc>
        <w:tc>
          <w:tcPr>
            <w:tcW w:w="2830" w:type="dxa"/>
            <w:tcBorders>
              <w:top w:val="single" w:sz="4" w:space="0" w:color="auto"/>
              <w:left w:val="single" w:sz="4" w:space="0" w:color="auto"/>
              <w:bottom w:val="single" w:sz="4" w:space="0" w:color="auto"/>
              <w:right w:val="single" w:sz="4" w:space="0" w:color="auto"/>
            </w:tcBorders>
            <w:hideMark/>
          </w:tcPr>
          <w:p w14:paraId="46594E67" w14:textId="77777777" w:rsidR="007A6A1A" w:rsidRPr="00167CB8" w:rsidRDefault="007A6A1A" w:rsidP="007A6A1A">
            <w:pPr>
              <w:spacing w:after="160" w:line="259" w:lineRule="auto"/>
            </w:pPr>
            <w:r w:rsidRPr="00167CB8">
              <w:t>Available annually since 2000.</w:t>
            </w:r>
          </w:p>
        </w:tc>
        <w:tc>
          <w:tcPr>
            <w:tcW w:w="7429" w:type="dxa"/>
            <w:tcBorders>
              <w:top w:val="single" w:sz="4" w:space="0" w:color="auto"/>
              <w:left w:val="single" w:sz="4" w:space="0" w:color="auto"/>
              <w:bottom w:val="single" w:sz="4" w:space="0" w:color="auto"/>
              <w:right w:val="single" w:sz="4" w:space="0" w:color="auto"/>
            </w:tcBorders>
            <w:hideMark/>
          </w:tcPr>
          <w:p w14:paraId="6B21AB8B" w14:textId="77777777" w:rsidR="007A6A1A" w:rsidRPr="00167CB8" w:rsidRDefault="007A6A1A" w:rsidP="007A6A1A">
            <w:pPr>
              <w:spacing w:after="160" w:line="259" w:lineRule="auto"/>
            </w:pPr>
            <w:r w:rsidRPr="00167CB8">
              <w:t xml:space="preserve">Unit record data, with the survey collecting information from responding individuals on their usual weekly labour earnings in their main job and all jobs and total hours usually worked each week in main job and all jobs. HILDA data can be used to compute estimates of hourly wage and disaggregated trends by sector and gender. </w:t>
            </w:r>
          </w:p>
        </w:tc>
      </w:tr>
    </w:tbl>
    <w:p w14:paraId="072827EB"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2A9008E3" w14:textId="77777777" w:rsidR="007A6A1A" w:rsidRPr="00167CB8" w:rsidRDefault="007A6A1A" w:rsidP="00650687">
      <w:pPr>
        <w:pStyle w:val="Heading4"/>
      </w:pPr>
      <w:bookmarkStart w:id="733" w:name="_Toc186991766"/>
      <w:bookmarkStart w:id="734" w:name="_Toc189393670"/>
      <w:r w:rsidRPr="00167CB8">
        <w:lastRenderedPageBreak/>
        <w:t>3.1 WPI data</w:t>
      </w:r>
      <w:bookmarkEnd w:id="733"/>
      <w:bookmarkEnd w:id="734"/>
    </w:p>
    <w:p w14:paraId="72B1ADE0" w14:textId="47CA8B4D" w:rsidR="007A6A1A" w:rsidRPr="00167CB8" w:rsidRDefault="00C60AF0" w:rsidP="007A6A1A">
      <w:pPr>
        <w:spacing w:after="160"/>
      </w:pPr>
      <w:r w:rsidRPr="00167CB8">
        <w:t>Figure 33</w:t>
      </w:r>
      <w:r w:rsidR="007A6A1A" w:rsidRPr="00167CB8">
        <w:t xml:space="preserve">, based on the WPI, shows trends in total hourly rates of pay excluding bonuses since 2000. That is, it shows trends in ordinary time earnings (the base rate of pay for standard hours worked) plus allowances and penalty payments. Information on the CPI and the PPI is also included for comparison purposes. Between 2000 and 2020 the WPI grew at a faster rate than the CPI and PPI. This was reversed after COVID-19 owing to inflationary pressures. Between September 2023 and September 2024, however, the WPI grew faster than the CPI. The real consumer wage (measured as the percentage change in the WPI minus the percentage change in the CPI) is, as a result, now positive again. </w:t>
      </w:r>
    </w:p>
    <w:p w14:paraId="2F57FDC3" w14:textId="404EF2EC" w:rsidR="007A6A1A" w:rsidRPr="00167CB8" w:rsidRDefault="007A6A1A" w:rsidP="00470AB9">
      <w:pPr>
        <w:pStyle w:val="Caption"/>
      </w:pPr>
      <w:bookmarkStart w:id="735" w:name="_Ref184404560"/>
      <w:bookmarkStart w:id="736" w:name="_Toc186991788"/>
      <w:bookmarkStart w:id="737" w:name="_Toc189310821"/>
      <w:r w:rsidRPr="00167CB8">
        <w:t xml:space="preserve">Figure </w:t>
      </w:r>
      <w:r w:rsidR="00397AB3" w:rsidRPr="00167CB8">
        <w:t>33</w:t>
      </w:r>
      <w:bookmarkEnd w:id="735"/>
      <w:r w:rsidRPr="00167CB8">
        <w:t>: Trends in total hourly rates of pay excluding bonuses (WPI), the CPI and the PPI</w:t>
      </w:r>
      <w:bookmarkEnd w:id="736"/>
      <w:bookmarkEnd w:id="737"/>
    </w:p>
    <w:p w14:paraId="5DAEE905" w14:textId="77777777" w:rsidR="007A6A1A" w:rsidRPr="00167CB8" w:rsidRDefault="007A6A1A" w:rsidP="007A6A1A">
      <w:pPr>
        <w:spacing w:after="160"/>
      </w:pPr>
      <w:r w:rsidRPr="00167CB8">
        <w:rPr>
          <w:noProof/>
        </w:rPr>
        <w:drawing>
          <wp:inline distT="0" distB="0" distL="0" distR="0" wp14:anchorId="6BBF3260" wp14:editId="20FC8284">
            <wp:extent cx="5731510" cy="3750945"/>
            <wp:effectExtent l="0" t="0" r="2540" b="1905"/>
            <wp:docPr id="1617277982" name="Picture 5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77982" name="Picture 56" descr="A graph of a number of people&#10;&#10;Description automatically generated with medium confidenc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1A2E5416" w14:textId="3BE6215A" w:rsidR="007A6A1A" w:rsidRPr="00167CB8" w:rsidRDefault="007A6A1A" w:rsidP="00C87E4A">
      <w:pPr>
        <w:pStyle w:val="Source"/>
      </w:pPr>
      <w:r w:rsidRPr="00167CB8">
        <w:rPr>
          <w:b/>
          <w:bCs/>
        </w:rPr>
        <w:t>Note:</w:t>
      </w:r>
      <w:r w:rsidRPr="00167CB8">
        <w:t xml:space="preserve"> </w:t>
      </w:r>
      <w:r w:rsidR="00C87E4A" w:rsidRPr="00167CB8">
        <w:t>C</w:t>
      </w:r>
      <w:r w:rsidRPr="00167CB8">
        <w:t xml:space="preserve">alculations based on ABS Cat No 6345.0 (WPI), ABS Cat No 6401.0 (CPI) and ABS Cat No 6427.0 (PPI). </w:t>
      </w:r>
    </w:p>
    <w:p w14:paraId="7E5C9FB6" w14:textId="03B317A0" w:rsidR="007A6A1A" w:rsidRPr="00167CB8" w:rsidRDefault="007A6A1A" w:rsidP="00C87E4A">
      <w:pPr>
        <w:pStyle w:val="Source"/>
      </w:pPr>
      <w:r w:rsidRPr="00167CB8">
        <w:rPr>
          <w:b/>
          <w:bCs/>
        </w:rPr>
        <w:t>Alt-text:</w:t>
      </w:r>
      <w:r w:rsidRPr="00167CB8">
        <w:t xml:space="preserve"> A line chart showing the trend in the WPI, CPI and </w:t>
      </w:r>
      <w:r w:rsidR="001960B2" w:rsidRPr="00167CB8">
        <w:t>P</w:t>
      </w:r>
      <w:r w:rsidRPr="00167CB8">
        <w:t>PI between March 2000 and September 2024. The increase was greatest among the WPI, followed by the CPI.</w:t>
      </w:r>
    </w:p>
    <w:p w14:paraId="2DC14EF3" w14:textId="77777777" w:rsidR="007A6A1A" w:rsidRPr="00167CB8" w:rsidRDefault="007A6A1A" w:rsidP="007A6A1A">
      <w:pPr>
        <w:spacing w:after="160"/>
        <w:rPr>
          <w:i/>
          <w:iCs/>
        </w:rPr>
      </w:pPr>
      <w:r w:rsidRPr="00167CB8">
        <w:br w:type="page"/>
      </w:r>
    </w:p>
    <w:p w14:paraId="2D70B11E" w14:textId="2FCA1B6E" w:rsidR="007A6A1A" w:rsidRDefault="00656EE2" w:rsidP="007A6A1A">
      <w:pPr>
        <w:spacing w:after="160"/>
      </w:pPr>
      <w:r w:rsidRPr="00167CB8">
        <w:lastRenderedPageBreak/>
        <w:t>Table 38</w:t>
      </w:r>
      <w:r w:rsidR="007A6A1A" w:rsidRPr="00167CB8">
        <w:t xml:space="preserve"> shows the percentage change in the WPI, CPI and real consumer wage from March 2010 to September 2024. Estimates elsewhere point to a slowdown in Australian wage growth from around 2012.</w:t>
      </w:r>
      <w:r w:rsidR="007A6A1A" w:rsidRPr="00167CB8">
        <w:rPr>
          <w:vertAlign w:val="superscript"/>
        </w:rPr>
        <w:footnoteReference w:id="1091"/>
      </w:r>
      <w:r w:rsidR="007A6A1A" w:rsidRPr="00167CB8">
        <w:t xml:space="preserve"> This is also reflected in Figure </w:t>
      </w:r>
      <w:r w:rsidR="0063139B" w:rsidRPr="00167CB8">
        <w:t>34</w:t>
      </w:r>
      <w:r w:rsidR="007A6A1A" w:rsidRPr="00167CB8">
        <w:t>, with real wage growth stalling (becoming negative) in 2014 and again in 2021. Most recently available data points to a slower growth in the WPI and faster growth in real consumer wages, with the latter underpinned by a slowdown in inflation (slower growth in the CPI).</w:t>
      </w:r>
      <w:r w:rsidR="007A6A1A" w:rsidRPr="00167CB8">
        <w:rPr>
          <w:vertAlign w:val="superscript"/>
        </w:rPr>
        <w:footnoteReference w:id="1092"/>
      </w:r>
      <w:r w:rsidR="007A6A1A" w:rsidRPr="00167CB8">
        <w:t xml:space="preserve"> </w:t>
      </w:r>
    </w:p>
    <w:p w14:paraId="23C5ACB1" w14:textId="0FE49937" w:rsidR="00737EF3" w:rsidRPr="00167CB8" w:rsidRDefault="00737EF3" w:rsidP="00737EF3">
      <w:pPr>
        <w:pStyle w:val="Caption"/>
        <w:ind w:left="0"/>
      </w:pPr>
      <w:bookmarkStart w:id="738" w:name="_Ref184404578"/>
      <w:bookmarkStart w:id="739" w:name="_Toc186991816"/>
      <w:bookmarkStart w:id="740" w:name="_Toc189310867"/>
      <w:bookmarkStart w:id="741" w:name="_Ref184404602"/>
      <w:r w:rsidRPr="00167CB8">
        <w:t>Table 38</w:t>
      </w:r>
      <w:bookmarkEnd w:id="738"/>
      <w:r w:rsidRPr="00167CB8">
        <w:t>: Real wage growth, nationally, since December 2022</w:t>
      </w:r>
      <w:bookmarkEnd w:id="739"/>
      <w:bookmarkEnd w:id="740"/>
    </w:p>
    <w:tbl>
      <w:tblPr>
        <w:tblW w:w="913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64"/>
        <w:gridCol w:w="1867"/>
        <w:gridCol w:w="622"/>
        <w:gridCol w:w="1229"/>
        <w:gridCol w:w="16"/>
        <w:gridCol w:w="1867"/>
        <w:gridCol w:w="1867"/>
      </w:tblGrid>
      <w:tr w:rsidR="00737EF3" w:rsidRPr="00167CB8" w14:paraId="162E1953" w14:textId="77777777" w:rsidTr="007E4977">
        <w:trPr>
          <w:trHeight w:val="340"/>
        </w:trPr>
        <w:tc>
          <w:tcPr>
            <w:tcW w:w="1664" w:type="dxa"/>
            <w:tcBorders>
              <w:top w:val="single" w:sz="4" w:space="0" w:color="auto"/>
              <w:left w:val="single" w:sz="4" w:space="0" w:color="auto"/>
              <w:bottom w:val="nil"/>
              <w:right w:val="nil"/>
            </w:tcBorders>
            <w:noWrap/>
            <w:vAlign w:val="bottom"/>
            <w:hideMark/>
          </w:tcPr>
          <w:p w14:paraId="717EBD91" w14:textId="77777777" w:rsidR="00737EF3" w:rsidRPr="00167CB8" w:rsidRDefault="00737EF3" w:rsidP="007E4977">
            <w:pPr>
              <w:spacing w:after="0" w:line="240" w:lineRule="auto"/>
            </w:pPr>
          </w:p>
        </w:tc>
        <w:tc>
          <w:tcPr>
            <w:tcW w:w="2489" w:type="dxa"/>
            <w:gridSpan w:val="2"/>
            <w:tcBorders>
              <w:top w:val="single" w:sz="4" w:space="0" w:color="auto"/>
              <w:left w:val="nil"/>
              <w:bottom w:val="nil"/>
              <w:right w:val="nil"/>
            </w:tcBorders>
            <w:noWrap/>
            <w:vAlign w:val="bottom"/>
            <w:hideMark/>
          </w:tcPr>
          <w:p w14:paraId="263B5784" w14:textId="77777777" w:rsidR="00737EF3" w:rsidRPr="00167CB8" w:rsidRDefault="00737EF3" w:rsidP="007E4977">
            <w:pPr>
              <w:spacing w:after="0" w:line="240" w:lineRule="auto"/>
            </w:pPr>
          </w:p>
        </w:tc>
        <w:tc>
          <w:tcPr>
            <w:tcW w:w="1229" w:type="dxa"/>
            <w:tcBorders>
              <w:top w:val="single" w:sz="4" w:space="0" w:color="auto"/>
              <w:left w:val="nil"/>
              <w:bottom w:val="nil"/>
              <w:right w:val="nil"/>
            </w:tcBorders>
            <w:noWrap/>
            <w:vAlign w:val="bottom"/>
            <w:hideMark/>
          </w:tcPr>
          <w:p w14:paraId="4D9935E6" w14:textId="77777777" w:rsidR="00737EF3" w:rsidRPr="00167CB8" w:rsidRDefault="00737EF3" w:rsidP="007E4977">
            <w:pPr>
              <w:spacing w:after="0" w:line="240" w:lineRule="auto"/>
            </w:pPr>
          </w:p>
        </w:tc>
        <w:tc>
          <w:tcPr>
            <w:tcW w:w="3750" w:type="dxa"/>
            <w:gridSpan w:val="3"/>
            <w:tcBorders>
              <w:top w:val="single" w:sz="4" w:space="0" w:color="auto"/>
              <w:left w:val="nil"/>
              <w:bottom w:val="nil"/>
              <w:right w:val="single" w:sz="4" w:space="0" w:color="auto"/>
            </w:tcBorders>
            <w:noWrap/>
            <w:vAlign w:val="bottom"/>
            <w:hideMark/>
          </w:tcPr>
          <w:p w14:paraId="09B59552" w14:textId="77777777" w:rsidR="00737EF3" w:rsidRPr="00167CB8" w:rsidRDefault="00737EF3" w:rsidP="007E4977">
            <w:pPr>
              <w:spacing w:after="0" w:line="240" w:lineRule="auto"/>
            </w:pPr>
            <w:r w:rsidRPr="00167CB8">
              <w:t>% change from corresponding quarter of previous year</w:t>
            </w:r>
          </w:p>
        </w:tc>
      </w:tr>
      <w:tr w:rsidR="00737EF3" w:rsidRPr="00167CB8" w14:paraId="3A66A5FD" w14:textId="77777777" w:rsidTr="007E4977">
        <w:trPr>
          <w:trHeight w:val="340"/>
        </w:trPr>
        <w:tc>
          <w:tcPr>
            <w:tcW w:w="1664" w:type="dxa"/>
            <w:tcBorders>
              <w:top w:val="nil"/>
              <w:left w:val="single" w:sz="4" w:space="0" w:color="auto"/>
              <w:bottom w:val="single" w:sz="4" w:space="0" w:color="auto"/>
              <w:right w:val="nil"/>
            </w:tcBorders>
            <w:noWrap/>
            <w:vAlign w:val="bottom"/>
            <w:hideMark/>
          </w:tcPr>
          <w:p w14:paraId="018E30EA" w14:textId="77777777" w:rsidR="00737EF3" w:rsidRPr="00167CB8" w:rsidRDefault="00737EF3" w:rsidP="007E4977">
            <w:pPr>
              <w:spacing w:after="0" w:line="240" w:lineRule="auto"/>
            </w:pPr>
          </w:p>
        </w:tc>
        <w:tc>
          <w:tcPr>
            <w:tcW w:w="1867" w:type="dxa"/>
            <w:tcBorders>
              <w:top w:val="nil"/>
              <w:left w:val="nil"/>
              <w:bottom w:val="single" w:sz="4" w:space="0" w:color="auto"/>
              <w:right w:val="nil"/>
            </w:tcBorders>
            <w:noWrap/>
            <w:vAlign w:val="bottom"/>
            <w:hideMark/>
          </w:tcPr>
          <w:p w14:paraId="46F7377B" w14:textId="77777777" w:rsidR="00737EF3" w:rsidRPr="00167CB8" w:rsidRDefault="00737EF3" w:rsidP="007E4977">
            <w:pPr>
              <w:spacing w:after="0" w:line="240" w:lineRule="auto"/>
            </w:pPr>
            <w:r w:rsidRPr="00167CB8">
              <w:t xml:space="preserve">% </w:t>
            </w:r>
            <w:r>
              <w:t>c</w:t>
            </w:r>
            <w:r w:rsidRPr="00167CB8">
              <w:t>hange Dec 22 to Sept 24</w:t>
            </w:r>
          </w:p>
        </w:tc>
        <w:tc>
          <w:tcPr>
            <w:tcW w:w="1867" w:type="dxa"/>
            <w:gridSpan w:val="3"/>
            <w:tcBorders>
              <w:top w:val="nil"/>
              <w:left w:val="nil"/>
              <w:bottom w:val="single" w:sz="4" w:space="0" w:color="auto"/>
              <w:right w:val="nil"/>
            </w:tcBorders>
            <w:noWrap/>
            <w:vAlign w:val="bottom"/>
            <w:hideMark/>
          </w:tcPr>
          <w:p w14:paraId="1518458D" w14:textId="77777777" w:rsidR="00737EF3" w:rsidRPr="00167CB8" w:rsidRDefault="00737EF3" w:rsidP="007E4977">
            <w:pPr>
              <w:spacing w:after="0" w:line="240" w:lineRule="auto"/>
            </w:pPr>
            <w:r w:rsidRPr="00167CB8">
              <w:t>Quarterly average % change Dec 22 to Sept 24</w:t>
            </w:r>
          </w:p>
        </w:tc>
        <w:tc>
          <w:tcPr>
            <w:tcW w:w="1867" w:type="dxa"/>
            <w:tcBorders>
              <w:top w:val="nil"/>
              <w:left w:val="nil"/>
              <w:bottom w:val="single" w:sz="4" w:space="0" w:color="auto"/>
              <w:right w:val="nil"/>
            </w:tcBorders>
            <w:noWrap/>
            <w:vAlign w:val="bottom"/>
            <w:hideMark/>
          </w:tcPr>
          <w:p w14:paraId="5F30E552" w14:textId="77777777" w:rsidR="00737EF3" w:rsidRPr="00167CB8" w:rsidRDefault="00737EF3" w:rsidP="007E4977">
            <w:pPr>
              <w:spacing w:after="0" w:line="240" w:lineRule="auto"/>
            </w:pPr>
            <w:r w:rsidRPr="00167CB8">
              <w:t xml:space="preserve">Sept 22 to </w:t>
            </w:r>
          </w:p>
          <w:p w14:paraId="71DA7658" w14:textId="77777777" w:rsidR="00737EF3" w:rsidRPr="00167CB8" w:rsidRDefault="00737EF3" w:rsidP="007E4977">
            <w:pPr>
              <w:spacing w:after="0" w:line="240" w:lineRule="auto"/>
            </w:pPr>
            <w:r w:rsidRPr="00167CB8">
              <w:t>Sept 23</w:t>
            </w:r>
          </w:p>
        </w:tc>
        <w:tc>
          <w:tcPr>
            <w:tcW w:w="1867" w:type="dxa"/>
            <w:tcBorders>
              <w:top w:val="nil"/>
              <w:left w:val="nil"/>
              <w:bottom w:val="single" w:sz="4" w:space="0" w:color="auto"/>
              <w:right w:val="single" w:sz="4" w:space="0" w:color="auto"/>
            </w:tcBorders>
            <w:noWrap/>
            <w:vAlign w:val="bottom"/>
            <w:hideMark/>
          </w:tcPr>
          <w:p w14:paraId="64FAFBF6" w14:textId="77777777" w:rsidR="00737EF3" w:rsidRPr="00167CB8" w:rsidRDefault="00737EF3" w:rsidP="007E4977">
            <w:pPr>
              <w:spacing w:after="0" w:line="240" w:lineRule="auto"/>
            </w:pPr>
            <w:r w:rsidRPr="00167CB8">
              <w:t xml:space="preserve">Sept 23 to </w:t>
            </w:r>
          </w:p>
          <w:p w14:paraId="0BA0FF16" w14:textId="77777777" w:rsidR="00737EF3" w:rsidRPr="00167CB8" w:rsidRDefault="00737EF3" w:rsidP="007E4977">
            <w:pPr>
              <w:spacing w:after="0" w:line="240" w:lineRule="auto"/>
            </w:pPr>
            <w:r w:rsidRPr="00167CB8">
              <w:t>Sept 24</w:t>
            </w:r>
          </w:p>
        </w:tc>
      </w:tr>
      <w:tr w:rsidR="00737EF3" w:rsidRPr="00167CB8" w14:paraId="6501AD39" w14:textId="77777777" w:rsidTr="007E4977">
        <w:trPr>
          <w:trHeight w:val="340"/>
        </w:trPr>
        <w:tc>
          <w:tcPr>
            <w:tcW w:w="1664" w:type="dxa"/>
            <w:tcBorders>
              <w:top w:val="single" w:sz="4" w:space="0" w:color="auto"/>
              <w:left w:val="single" w:sz="4" w:space="0" w:color="auto"/>
              <w:bottom w:val="nil"/>
              <w:right w:val="nil"/>
            </w:tcBorders>
            <w:noWrap/>
            <w:vAlign w:val="bottom"/>
            <w:hideMark/>
          </w:tcPr>
          <w:p w14:paraId="0EFAC131" w14:textId="77777777" w:rsidR="00737EF3" w:rsidRPr="00167CB8" w:rsidRDefault="00737EF3" w:rsidP="007E4977">
            <w:pPr>
              <w:spacing w:after="0" w:line="240" w:lineRule="auto"/>
            </w:pPr>
            <w:r w:rsidRPr="00167CB8">
              <w:t>WPI</w:t>
            </w:r>
          </w:p>
        </w:tc>
        <w:tc>
          <w:tcPr>
            <w:tcW w:w="1867" w:type="dxa"/>
            <w:tcBorders>
              <w:top w:val="single" w:sz="4" w:space="0" w:color="auto"/>
              <w:left w:val="nil"/>
              <w:bottom w:val="nil"/>
              <w:right w:val="nil"/>
            </w:tcBorders>
            <w:noWrap/>
            <w:vAlign w:val="bottom"/>
            <w:hideMark/>
          </w:tcPr>
          <w:p w14:paraId="44D225F4" w14:textId="77777777" w:rsidR="00737EF3" w:rsidRPr="00167CB8" w:rsidRDefault="00737EF3" w:rsidP="007E4977">
            <w:pPr>
              <w:spacing w:after="0" w:line="240" w:lineRule="auto"/>
            </w:pPr>
            <w:r w:rsidRPr="00167CB8">
              <w:t>6.8</w:t>
            </w:r>
          </w:p>
        </w:tc>
        <w:tc>
          <w:tcPr>
            <w:tcW w:w="1867" w:type="dxa"/>
            <w:gridSpan w:val="3"/>
            <w:tcBorders>
              <w:top w:val="single" w:sz="4" w:space="0" w:color="auto"/>
              <w:left w:val="nil"/>
              <w:bottom w:val="nil"/>
              <w:right w:val="nil"/>
            </w:tcBorders>
            <w:noWrap/>
            <w:vAlign w:val="bottom"/>
            <w:hideMark/>
          </w:tcPr>
          <w:p w14:paraId="4D06E179" w14:textId="77777777" w:rsidR="00737EF3" w:rsidRPr="00167CB8" w:rsidRDefault="00737EF3" w:rsidP="007E4977">
            <w:pPr>
              <w:spacing w:after="0" w:line="240" w:lineRule="auto"/>
            </w:pPr>
            <w:r w:rsidRPr="00167CB8">
              <w:t>3.8</w:t>
            </w:r>
          </w:p>
        </w:tc>
        <w:tc>
          <w:tcPr>
            <w:tcW w:w="1867" w:type="dxa"/>
            <w:tcBorders>
              <w:top w:val="single" w:sz="4" w:space="0" w:color="auto"/>
              <w:left w:val="nil"/>
              <w:bottom w:val="nil"/>
              <w:right w:val="nil"/>
            </w:tcBorders>
            <w:noWrap/>
            <w:vAlign w:val="bottom"/>
            <w:hideMark/>
          </w:tcPr>
          <w:p w14:paraId="1C04C503" w14:textId="77777777" w:rsidR="00737EF3" w:rsidRPr="00167CB8" w:rsidRDefault="00737EF3" w:rsidP="007E4977">
            <w:pPr>
              <w:spacing w:after="0" w:line="240" w:lineRule="auto"/>
            </w:pPr>
            <w:r w:rsidRPr="00167CB8">
              <w:t>4.1</w:t>
            </w:r>
          </w:p>
        </w:tc>
        <w:tc>
          <w:tcPr>
            <w:tcW w:w="1867" w:type="dxa"/>
            <w:tcBorders>
              <w:top w:val="single" w:sz="4" w:space="0" w:color="auto"/>
              <w:left w:val="nil"/>
              <w:bottom w:val="nil"/>
              <w:right w:val="single" w:sz="4" w:space="0" w:color="auto"/>
            </w:tcBorders>
            <w:noWrap/>
            <w:vAlign w:val="bottom"/>
            <w:hideMark/>
          </w:tcPr>
          <w:p w14:paraId="7E06C6B3" w14:textId="77777777" w:rsidR="00737EF3" w:rsidRPr="00167CB8" w:rsidRDefault="00737EF3" w:rsidP="007E4977">
            <w:pPr>
              <w:spacing w:after="0" w:line="240" w:lineRule="auto"/>
            </w:pPr>
            <w:r w:rsidRPr="00167CB8">
              <w:t>3.5</w:t>
            </w:r>
          </w:p>
        </w:tc>
      </w:tr>
      <w:tr w:rsidR="00737EF3" w:rsidRPr="00167CB8" w14:paraId="7F016DC4" w14:textId="77777777" w:rsidTr="007E4977">
        <w:trPr>
          <w:trHeight w:val="340"/>
        </w:trPr>
        <w:tc>
          <w:tcPr>
            <w:tcW w:w="1664" w:type="dxa"/>
            <w:tcBorders>
              <w:top w:val="nil"/>
              <w:left w:val="single" w:sz="4" w:space="0" w:color="auto"/>
              <w:bottom w:val="nil"/>
              <w:right w:val="nil"/>
            </w:tcBorders>
            <w:noWrap/>
            <w:vAlign w:val="bottom"/>
            <w:hideMark/>
          </w:tcPr>
          <w:p w14:paraId="0C5F48A4" w14:textId="77777777" w:rsidR="00737EF3" w:rsidRPr="00167CB8" w:rsidRDefault="00737EF3" w:rsidP="007E4977">
            <w:pPr>
              <w:spacing w:after="0" w:line="240" w:lineRule="auto"/>
            </w:pPr>
            <w:r w:rsidRPr="00167CB8">
              <w:t>CPI</w:t>
            </w:r>
          </w:p>
        </w:tc>
        <w:tc>
          <w:tcPr>
            <w:tcW w:w="1867" w:type="dxa"/>
            <w:tcBorders>
              <w:top w:val="nil"/>
              <w:left w:val="nil"/>
              <w:bottom w:val="nil"/>
              <w:right w:val="nil"/>
            </w:tcBorders>
            <w:noWrap/>
            <w:vAlign w:val="bottom"/>
            <w:hideMark/>
          </w:tcPr>
          <w:p w14:paraId="3E726264" w14:textId="77777777" w:rsidR="00737EF3" w:rsidRPr="00167CB8" w:rsidRDefault="00737EF3" w:rsidP="007E4977">
            <w:pPr>
              <w:spacing w:after="0" w:line="240" w:lineRule="auto"/>
            </w:pPr>
            <w:r w:rsidRPr="00167CB8">
              <w:t>6.3</w:t>
            </w:r>
          </w:p>
        </w:tc>
        <w:tc>
          <w:tcPr>
            <w:tcW w:w="1867" w:type="dxa"/>
            <w:gridSpan w:val="3"/>
            <w:tcBorders>
              <w:top w:val="nil"/>
              <w:left w:val="nil"/>
              <w:bottom w:val="nil"/>
              <w:right w:val="nil"/>
            </w:tcBorders>
            <w:noWrap/>
            <w:vAlign w:val="bottom"/>
            <w:hideMark/>
          </w:tcPr>
          <w:p w14:paraId="4535739D" w14:textId="77777777" w:rsidR="00737EF3" w:rsidRPr="00167CB8" w:rsidRDefault="00737EF3" w:rsidP="007E4977">
            <w:pPr>
              <w:spacing w:after="0" w:line="240" w:lineRule="auto"/>
            </w:pPr>
            <w:r w:rsidRPr="00167CB8">
              <w:t>5.1</w:t>
            </w:r>
          </w:p>
        </w:tc>
        <w:tc>
          <w:tcPr>
            <w:tcW w:w="1867" w:type="dxa"/>
            <w:tcBorders>
              <w:top w:val="nil"/>
              <w:left w:val="nil"/>
              <w:bottom w:val="nil"/>
              <w:right w:val="nil"/>
            </w:tcBorders>
            <w:noWrap/>
            <w:vAlign w:val="bottom"/>
            <w:hideMark/>
          </w:tcPr>
          <w:p w14:paraId="2EA12D58" w14:textId="77777777" w:rsidR="00737EF3" w:rsidRPr="00167CB8" w:rsidRDefault="00737EF3" w:rsidP="007E4977">
            <w:pPr>
              <w:spacing w:after="0" w:line="240" w:lineRule="auto"/>
            </w:pPr>
            <w:r w:rsidRPr="00167CB8">
              <w:t>5.4</w:t>
            </w:r>
          </w:p>
        </w:tc>
        <w:tc>
          <w:tcPr>
            <w:tcW w:w="1867" w:type="dxa"/>
            <w:tcBorders>
              <w:top w:val="nil"/>
              <w:left w:val="nil"/>
              <w:bottom w:val="nil"/>
              <w:right w:val="single" w:sz="4" w:space="0" w:color="auto"/>
            </w:tcBorders>
            <w:noWrap/>
            <w:vAlign w:val="bottom"/>
            <w:hideMark/>
          </w:tcPr>
          <w:p w14:paraId="7855649A" w14:textId="77777777" w:rsidR="00737EF3" w:rsidRPr="00167CB8" w:rsidRDefault="00737EF3" w:rsidP="007E4977">
            <w:pPr>
              <w:spacing w:after="0" w:line="240" w:lineRule="auto"/>
            </w:pPr>
            <w:r w:rsidRPr="00167CB8">
              <w:t>2.8</w:t>
            </w:r>
          </w:p>
        </w:tc>
      </w:tr>
      <w:tr w:rsidR="00737EF3" w:rsidRPr="00167CB8" w14:paraId="45210D00" w14:textId="77777777" w:rsidTr="007E4977">
        <w:trPr>
          <w:trHeight w:val="340"/>
        </w:trPr>
        <w:tc>
          <w:tcPr>
            <w:tcW w:w="1664" w:type="dxa"/>
            <w:tcBorders>
              <w:top w:val="nil"/>
              <w:left w:val="single" w:sz="4" w:space="0" w:color="auto"/>
              <w:bottom w:val="nil"/>
              <w:right w:val="nil"/>
            </w:tcBorders>
            <w:noWrap/>
            <w:vAlign w:val="bottom"/>
            <w:hideMark/>
          </w:tcPr>
          <w:p w14:paraId="74DCE1ED" w14:textId="77777777" w:rsidR="00737EF3" w:rsidRPr="00167CB8" w:rsidRDefault="00737EF3" w:rsidP="007E4977">
            <w:pPr>
              <w:spacing w:after="0" w:line="240" w:lineRule="auto"/>
            </w:pPr>
            <w:r w:rsidRPr="00167CB8">
              <w:t>PPI</w:t>
            </w:r>
          </w:p>
        </w:tc>
        <w:tc>
          <w:tcPr>
            <w:tcW w:w="1867" w:type="dxa"/>
            <w:tcBorders>
              <w:top w:val="nil"/>
              <w:left w:val="nil"/>
              <w:bottom w:val="nil"/>
              <w:right w:val="nil"/>
            </w:tcBorders>
            <w:noWrap/>
            <w:vAlign w:val="bottom"/>
            <w:hideMark/>
          </w:tcPr>
          <w:p w14:paraId="58D42653" w14:textId="77777777" w:rsidR="00737EF3" w:rsidRPr="00167CB8" w:rsidRDefault="00737EF3" w:rsidP="007E4977">
            <w:pPr>
              <w:spacing w:after="0" w:line="240" w:lineRule="auto"/>
            </w:pPr>
            <w:r w:rsidRPr="00167CB8">
              <w:t>7.1</w:t>
            </w:r>
          </w:p>
        </w:tc>
        <w:tc>
          <w:tcPr>
            <w:tcW w:w="1867" w:type="dxa"/>
            <w:gridSpan w:val="3"/>
            <w:tcBorders>
              <w:top w:val="nil"/>
              <w:left w:val="nil"/>
              <w:bottom w:val="nil"/>
              <w:right w:val="nil"/>
            </w:tcBorders>
            <w:noWrap/>
            <w:vAlign w:val="bottom"/>
            <w:hideMark/>
          </w:tcPr>
          <w:p w14:paraId="5DCF2746" w14:textId="77777777" w:rsidR="00737EF3" w:rsidRPr="00167CB8" w:rsidRDefault="00737EF3" w:rsidP="007E4977">
            <w:pPr>
              <w:spacing w:after="0" w:line="240" w:lineRule="auto"/>
            </w:pPr>
            <w:r w:rsidRPr="00167CB8">
              <w:t>4.4</w:t>
            </w:r>
          </w:p>
        </w:tc>
        <w:tc>
          <w:tcPr>
            <w:tcW w:w="1867" w:type="dxa"/>
            <w:tcBorders>
              <w:top w:val="nil"/>
              <w:left w:val="nil"/>
              <w:bottom w:val="nil"/>
              <w:right w:val="nil"/>
            </w:tcBorders>
            <w:noWrap/>
            <w:vAlign w:val="bottom"/>
            <w:hideMark/>
          </w:tcPr>
          <w:p w14:paraId="6F22A28F" w14:textId="77777777" w:rsidR="00737EF3" w:rsidRPr="00167CB8" w:rsidRDefault="00737EF3" w:rsidP="007E4977">
            <w:pPr>
              <w:spacing w:after="0" w:line="240" w:lineRule="auto"/>
            </w:pPr>
            <w:r w:rsidRPr="00167CB8">
              <w:t>3.8</w:t>
            </w:r>
          </w:p>
        </w:tc>
        <w:tc>
          <w:tcPr>
            <w:tcW w:w="1867" w:type="dxa"/>
            <w:tcBorders>
              <w:top w:val="nil"/>
              <w:left w:val="nil"/>
              <w:bottom w:val="nil"/>
              <w:right w:val="single" w:sz="4" w:space="0" w:color="auto"/>
            </w:tcBorders>
            <w:noWrap/>
            <w:vAlign w:val="bottom"/>
            <w:hideMark/>
          </w:tcPr>
          <w:p w14:paraId="1EC34B00" w14:textId="77777777" w:rsidR="00737EF3" w:rsidRPr="00167CB8" w:rsidRDefault="00737EF3" w:rsidP="007E4977">
            <w:pPr>
              <w:spacing w:after="0" w:line="240" w:lineRule="auto"/>
            </w:pPr>
            <w:r w:rsidRPr="00167CB8">
              <w:t>3.9</w:t>
            </w:r>
          </w:p>
        </w:tc>
      </w:tr>
      <w:tr w:rsidR="00737EF3" w:rsidRPr="00167CB8" w14:paraId="15218CD7" w14:textId="77777777" w:rsidTr="007E4977">
        <w:trPr>
          <w:trHeight w:val="340"/>
        </w:trPr>
        <w:tc>
          <w:tcPr>
            <w:tcW w:w="1664" w:type="dxa"/>
            <w:tcBorders>
              <w:top w:val="nil"/>
              <w:left w:val="single" w:sz="4" w:space="0" w:color="auto"/>
              <w:bottom w:val="single" w:sz="4" w:space="0" w:color="auto"/>
              <w:right w:val="nil"/>
            </w:tcBorders>
            <w:noWrap/>
            <w:vAlign w:val="bottom"/>
            <w:hideMark/>
          </w:tcPr>
          <w:p w14:paraId="1FFC9637" w14:textId="77777777" w:rsidR="00737EF3" w:rsidRPr="00167CB8" w:rsidRDefault="00737EF3" w:rsidP="007E4977">
            <w:pPr>
              <w:spacing w:after="0" w:line="240" w:lineRule="auto"/>
            </w:pPr>
            <w:r w:rsidRPr="00167CB8">
              <w:t>Real consumer wage (WPI-CPI)</w:t>
            </w:r>
          </w:p>
        </w:tc>
        <w:tc>
          <w:tcPr>
            <w:tcW w:w="1867" w:type="dxa"/>
            <w:tcBorders>
              <w:top w:val="nil"/>
              <w:left w:val="nil"/>
              <w:bottom w:val="single" w:sz="4" w:space="0" w:color="auto"/>
              <w:right w:val="nil"/>
            </w:tcBorders>
            <w:noWrap/>
            <w:vAlign w:val="bottom"/>
            <w:hideMark/>
          </w:tcPr>
          <w:p w14:paraId="381B6DF5" w14:textId="77777777" w:rsidR="00737EF3" w:rsidRPr="00167CB8" w:rsidRDefault="00737EF3" w:rsidP="007E4977">
            <w:pPr>
              <w:spacing w:after="0" w:line="240" w:lineRule="auto"/>
            </w:pPr>
            <w:r w:rsidRPr="00167CB8">
              <w:t>0.5</w:t>
            </w:r>
          </w:p>
        </w:tc>
        <w:tc>
          <w:tcPr>
            <w:tcW w:w="1867" w:type="dxa"/>
            <w:gridSpan w:val="3"/>
            <w:tcBorders>
              <w:top w:val="nil"/>
              <w:left w:val="nil"/>
              <w:bottom w:val="single" w:sz="4" w:space="0" w:color="auto"/>
              <w:right w:val="nil"/>
            </w:tcBorders>
            <w:noWrap/>
            <w:vAlign w:val="bottom"/>
            <w:hideMark/>
          </w:tcPr>
          <w:p w14:paraId="0F562FC4" w14:textId="77777777" w:rsidR="00737EF3" w:rsidRPr="00167CB8" w:rsidRDefault="00737EF3" w:rsidP="007E4977">
            <w:pPr>
              <w:spacing w:after="0" w:line="240" w:lineRule="auto"/>
            </w:pPr>
            <w:r w:rsidRPr="00167CB8">
              <w:t>-1.3</w:t>
            </w:r>
          </w:p>
        </w:tc>
        <w:tc>
          <w:tcPr>
            <w:tcW w:w="1867" w:type="dxa"/>
            <w:tcBorders>
              <w:top w:val="nil"/>
              <w:left w:val="nil"/>
              <w:bottom w:val="single" w:sz="4" w:space="0" w:color="auto"/>
              <w:right w:val="nil"/>
            </w:tcBorders>
            <w:noWrap/>
            <w:vAlign w:val="bottom"/>
            <w:hideMark/>
          </w:tcPr>
          <w:p w14:paraId="78732AEC" w14:textId="77777777" w:rsidR="00737EF3" w:rsidRPr="00167CB8" w:rsidRDefault="00737EF3" w:rsidP="007E4977">
            <w:pPr>
              <w:spacing w:after="0" w:line="240" w:lineRule="auto"/>
            </w:pPr>
            <w:r w:rsidRPr="00167CB8">
              <w:t>-1.3</w:t>
            </w:r>
          </w:p>
        </w:tc>
        <w:tc>
          <w:tcPr>
            <w:tcW w:w="1867" w:type="dxa"/>
            <w:tcBorders>
              <w:top w:val="nil"/>
              <w:left w:val="nil"/>
              <w:bottom w:val="single" w:sz="4" w:space="0" w:color="auto"/>
              <w:right w:val="single" w:sz="4" w:space="0" w:color="auto"/>
            </w:tcBorders>
            <w:noWrap/>
            <w:vAlign w:val="bottom"/>
            <w:hideMark/>
          </w:tcPr>
          <w:p w14:paraId="75428CD4" w14:textId="77777777" w:rsidR="00737EF3" w:rsidRPr="00167CB8" w:rsidRDefault="00737EF3" w:rsidP="007E4977">
            <w:pPr>
              <w:spacing w:after="0" w:line="240" w:lineRule="auto"/>
            </w:pPr>
            <w:r w:rsidRPr="00167CB8">
              <w:t>0.7</w:t>
            </w:r>
          </w:p>
        </w:tc>
      </w:tr>
    </w:tbl>
    <w:p w14:paraId="4324D644" w14:textId="77777777" w:rsidR="00737EF3" w:rsidRPr="00167CB8" w:rsidRDefault="00737EF3" w:rsidP="00737EF3">
      <w:pPr>
        <w:pStyle w:val="Source"/>
      </w:pPr>
      <w:r w:rsidRPr="00167CB8">
        <w:rPr>
          <w:b/>
          <w:bCs/>
        </w:rPr>
        <w:t>Source:</w:t>
      </w:r>
      <w:r w:rsidRPr="00167CB8">
        <w:t xml:space="preserve"> ABS Cat No 6345.0 (WPI), ABS Cat No 6401.0 (CPI) and ABS Cat No 6427.0 (PPI).</w:t>
      </w:r>
    </w:p>
    <w:p w14:paraId="773CD773" w14:textId="77777777" w:rsidR="00737EF3" w:rsidRPr="00167CB8" w:rsidRDefault="00737EF3" w:rsidP="00737EF3">
      <w:pPr>
        <w:pStyle w:val="Source"/>
      </w:pPr>
      <w:r w:rsidRPr="00167CB8">
        <w:rPr>
          <w:b/>
          <w:bCs/>
        </w:rPr>
        <w:t>Alt-text:</w:t>
      </w:r>
      <w:r w:rsidRPr="00167CB8">
        <w:t xml:space="preserve"> A table showing changes in the WPI and real consumer wage since December 2022. Over the period December 2022 to September 2024 the real wage has increased by 0.5%. </w:t>
      </w:r>
    </w:p>
    <w:p w14:paraId="72E792BE" w14:textId="7422546E" w:rsidR="007A6A1A" w:rsidRPr="00167CB8" w:rsidRDefault="007A6A1A" w:rsidP="007A6A1A">
      <w:pPr>
        <w:spacing w:after="160"/>
        <w:rPr>
          <w:i/>
          <w:iCs/>
        </w:rPr>
      </w:pPr>
    </w:p>
    <w:p w14:paraId="38F57D15" w14:textId="39D62DEE" w:rsidR="007A6A1A" w:rsidRPr="00167CB8" w:rsidRDefault="007A6A1A" w:rsidP="00470AB9">
      <w:pPr>
        <w:pStyle w:val="Caption"/>
      </w:pPr>
      <w:bookmarkStart w:id="742" w:name="_Ref186903689"/>
      <w:bookmarkStart w:id="743" w:name="_Toc186991789"/>
      <w:bookmarkStart w:id="744" w:name="_Toc189310822"/>
      <w:r w:rsidRPr="00167CB8">
        <w:lastRenderedPageBreak/>
        <w:t xml:space="preserve">Figure </w:t>
      </w:r>
      <w:r w:rsidR="00A34BAF" w:rsidRPr="00167CB8">
        <w:t>34</w:t>
      </w:r>
      <w:bookmarkEnd w:id="741"/>
      <w:bookmarkEnd w:id="742"/>
      <w:r w:rsidRPr="00167CB8">
        <w:t>: Nominal and real wage growth in Australia, March 2010 to September 2024</w:t>
      </w:r>
      <w:bookmarkEnd w:id="743"/>
      <w:bookmarkEnd w:id="744"/>
    </w:p>
    <w:p w14:paraId="3CCC646C" w14:textId="77777777" w:rsidR="007A6A1A" w:rsidRPr="00167CB8" w:rsidRDefault="007A6A1A" w:rsidP="007A6A1A">
      <w:pPr>
        <w:spacing w:after="160"/>
      </w:pPr>
      <w:r w:rsidRPr="00167CB8">
        <w:rPr>
          <w:noProof/>
        </w:rPr>
        <w:drawing>
          <wp:inline distT="0" distB="0" distL="0" distR="0" wp14:anchorId="1227BC53" wp14:editId="197082BD">
            <wp:extent cx="5731510" cy="3750945"/>
            <wp:effectExtent l="0" t="0" r="2540" b="1905"/>
            <wp:docPr id="146451038" name="Picture 55" descr="A graph with red line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descr="A graph with red line and green lines&#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08355C41" w14:textId="15C8A5A9" w:rsidR="007A6A1A" w:rsidRPr="00167CB8" w:rsidRDefault="007A6A1A" w:rsidP="00C87E4A">
      <w:pPr>
        <w:pStyle w:val="Source"/>
        <w:rPr>
          <w:b/>
          <w:bCs/>
        </w:rPr>
      </w:pPr>
      <w:r w:rsidRPr="00167CB8">
        <w:rPr>
          <w:b/>
          <w:bCs/>
        </w:rPr>
        <w:t xml:space="preserve">Note: </w:t>
      </w:r>
    </w:p>
    <w:p w14:paraId="0220D500" w14:textId="77777777" w:rsidR="007A6A1A" w:rsidRPr="00167CB8" w:rsidRDefault="007A6A1A" w:rsidP="00C87E4A">
      <w:pPr>
        <w:pStyle w:val="Source"/>
      </w:pPr>
      <w:r w:rsidRPr="00167CB8">
        <w:t>1. ABS 6345.0 Wage Price Index, Australia. Table 1, Total hourly rates of pay excluding bonuses, original.</w:t>
      </w:r>
    </w:p>
    <w:p w14:paraId="40981AFF" w14:textId="77777777" w:rsidR="007A6A1A" w:rsidRPr="00167CB8" w:rsidRDefault="007A6A1A" w:rsidP="00C87E4A">
      <w:pPr>
        <w:pStyle w:val="Source"/>
      </w:pPr>
      <w:r w:rsidRPr="00167CB8">
        <w:t>2. ABS 6401.0 Consumer Price Index, Australia. Tables 1 and 2, All groups CPI Australia, original.</w:t>
      </w:r>
    </w:p>
    <w:p w14:paraId="265072BF" w14:textId="77777777" w:rsidR="007A6A1A" w:rsidRPr="00167CB8" w:rsidRDefault="007A6A1A" w:rsidP="00C87E4A">
      <w:pPr>
        <w:pStyle w:val="Source"/>
      </w:pPr>
      <w:r w:rsidRPr="00167CB8">
        <w:t>3. Real wages derived by subtracting the CPI from the WPI.</w:t>
      </w:r>
    </w:p>
    <w:p w14:paraId="481449FC" w14:textId="77777777" w:rsidR="007A6A1A" w:rsidRPr="00167CB8" w:rsidRDefault="007A6A1A" w:rsidP="00C87E4A">
      <w:pPr>
        <w:pStyle w:val="Source"/>
      </w:pPr>
      <w:r w:rsidRPr="00167CB8">
        <w:rPr>
          <w:b/>
          <w:bCs/>
        </w:rPr>
        <w:t>Alt-text:</w:t>
      </w:r>
      <w:r w:rsidRPr="00167CB8">
        <w:t xml:space="preserve"> A combination line and bar chart showing trends in the percentage change in nominal and real wages from the corresponding quarter of the previous year. Growth in real wages was negative between December 2013 and June 2014 and became negative again in June 2021. With growth in the CPI easing, real wage growth turned positive in December 2023.</w:t>
      </w:r>
    </w:p>
    <w:p w14:paraId="77244351" w14:textId="77777777" w:rsidR="00737EF3" w:rsidRDefault="00737EF3" w:rsidP="007A6A1A">
      <w:pPr>
        <w:spacing w:after="160"/>
      </w:pPr>
      <w:bookmarkStart w:id="745" w:name="_Ref184404628"/>
      <w:bookmarkStart w:id="746" w:name="_Ref184404623"/>
    </w:p>
    <w:p w14:paraId="374A2268" w14:textId="5D842D8F" w:rsidR="007A6A1A" w:rsidRPr="00167CB8" w:rsidRDefault="00FB10BB" w:rsidP="007A6A1A">
      <w:pPr>
        <w:spacing w:after="160"/>
      </w:pPr>
      <w:r w:rsidRPr="00167CB8">
        <w:t xml:space="preserve">Table 39 </w:t>
      </w:r>
      <w:r w:rsidR="007A6A1A" w:rsidRPr="00167CB8">
        <w:t xml:space="preserve">shows nominal wage growth by sector. Estimates in column </w:t>
      </w:r>
      <w:r w:rsidR="00C87E4A" w:rsidRPr="00167CB8">
        <w:t>2</w:t>
      </w:r>
      <w:r w:rsidR="007A6A1A" w:rsidRPr="00167CB8">
        <w:t xml:space="preserve"> show that certain industries such as </w:t>
      </w:r>
      <w:r w:rsidR="00C87E4A" w:rsidRPr="00167CB8">
        <w:t>m</w:t>
      </w:r>
      <w:r w:rsidR="007A6A1A" w:rsidRPr="00167CB8">
        <w:t xml:space="preserve">anufacturing, </w:t>
      </w:r>
      <w:r w:rsidR="00C87E4A" w:rsidRPr="00167CB8">
        <w:t>c</w:t>
      </w:r>
      <w:r w:rsidR="007A6A1A" w:rsidRPr="00167CB8">
        <w:t xml:space="preserve">onstruction, </w:t>
      </w:r>
      <w:r w:rsidR="00C87E4A" w:rsidRPr="00167CB8">
        <w:t>e</w:t>
      </w:r>
      <w:r w:rsidR="007A6A1A" w:rsidRPr="00167CB8">
        <w:t>ducation and training</w:t>
      </w:r>
      <w:r w:rsidR="00C87E4A" w:rsidRPr="00167CB8">
        <w:t>,</w:t>
      </w:r>
      <w:r w:rsidR="007A6A1A" w:rsidRPr="00167CB8">
        <w:t xml:space="preserve"> and </w:t>
      </w:r>
      <w:r w:rsidR="00C87E4A" w:rsidRPr="00167CB8">
        <w:t>h</w:t>
      </w:r>
      <w:r w:rsidR="007A6A1A" w:rsidRPr="00167CB8">
        <w:t xml:space="preserve">ealth care and social assistance (private sector) have experienced above average wage growth since December 2022. Sectors with below average wage growth include </w:t>
      </w:r>
      <w:r w:rsidR="00C87E4A" w:rsidRPr="00167CB8">
        <w:t>h</w:t>
      </w:r>
      <w:r w:rsidR="007A6A1A" w:rsidRPr="00167CB8">
        <w:t xml:space="preserve">ealth care and social assistance workers (public sector), </w:t>
      </w:r>
      <w:r w:rsidR="00C87E4A" w:rsidRPr="00167CB8">
        <w:t>a</w:t>
      </w:r>
      <w:r w:rsidR="007A6A1A" w:rsidRPr="00167CB8">
        <w:t>rts and recreational services</w:t>
      </w:r>
      <w:r w:rsidR="00C87E4A" w:rsidRPr="00167CB8">
        <w:t>,</w:t>
      </w:r>
      <w:r w:rsidR="007A6A1A" w:rsidRPr="00167CB8">
        <w:t xml:space="preserve"> and </w:t>
      </w:r>
      <w:r w:rsidR="00C87E4A" w:rsidRPr="00167CB8">
        <w:t>r</w:t>
      </w:r>
      <w:r w:rsidR="007A6A1A" w:rsidRPr="00167CB8">
        <w:t xml:space="preserve">ental, hiring and real estate services. </w:t>
      </w:r>
    </w:p>
    <w:p w14:paraId="3216CBB8" w14:textId="77777777" w:rsidR="007A6A1A" w:rsidRPr="00167CB8" w:rsidRDefault="007A6A1A" w:rsidP="007A6A1A">
      <w:pPr>
        <w:spacing w:after="160"/>
      </w:pPr>
      <w:r w:rsidRPr="00167CB8">
        <w:br w:type="page"/>
      </w:r>
    </w:p>
    <w:p w14:paraId="2F9226D0" w14:textId="497F127B" w:rsidR="007A6A1A" w:rsidRPr="00167CB8" w:rsidRDefault="007A6A1A" w:rsidP="00470AB9">
      <w:pPr>
        <w:pStyle w:val="Caption"/>
      </w:pPr>
      <w:bookmarkStart w:id="747" w:name="_Ref186903704"/>
      <w:bookmarkStart w:id="748" w:name="_Toc186991817"/>
      <w:bookmarkStart w:id="749" w:name="_Toc189310868"/>
      <w:r w:rsidRPr="00167CB8">
        <w:lastRenderedPageBreak/>
        <w:t xml:space="preserve">Table </w:t>
      </w:r>
      <w:r w:rsidR="00E67381" w:rsidRPr="00167CB8">
        <w:t>39</w:t>
      </w:r>
      <w:bookmarkEnd w:id="745"/>
      <w:bookmarkEnd w:id="747"/>
      <w:r w:rsidRPr="00167CB8">
        <w:t>: Nominal wage growth by industry and select sectors since December 2022</w:t>
      </w:r>
      <w:bookmarkEnd w:id="746"/>
      <w:bookmarkEnd w:id="748"/>
      <w:bookmarkEnd w:id="749"/>
    </w:p>
    <w:tbl>
      <w:tblPr>
        <w:tblW w:w="90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11"/>
        <w:gridCol w:w="1323"/>
        <w:gridCol w:w="1242"/>
        <w:gridCol w:w="1582"/>
        <w:gridCol w:w="935"/>
        <w:gridCol w:w="698"/>
      </w:tblGrid>
      <w:tr w:rsidR="007A6A1A" w:rsidRPr="00167CB8" w14:paraId="7A3DB24B" w14:textId="77777777" w:rsidTr="00675321">
        <w:trPr>
          <w:trHeight w:val="298"/>
        </w:trPr>
        <w:tc>
          <w:tcPr>
            <w:tcW w:w="3311" w:type="dxa"/>
            <w:tcBorders>
              <w:top w:val="single" w:sz="4" w:space="0" w:color="auto"/>
              <w:left w:val="single" w:sz="4" w:space="0" w:color="auto"/>
              <w:bottom w:val="nil"/>
              <w:right w:val="nil"/>
            </w:tcBorders>
            <w:noWrap/>
            <w:vAlign w:val="bottom"/>
            <w:hideMark/>
          </w:tcPr>
          <w:p w14:paraId="14E7D2A8" w14:textId="77777777" w:rsidR="007A6A1A" w:rsidRPr="00675321" w:rsidRDefault="007A6A1A" w:rsidP="00C73F11">
            <w:pPr>
              <w:spacing w:after="0" w:line="240" w:lineRule="auto"/>
              <w:rPr>
                <w:b/>
                <w:bCs/>
                <w:sz w:val="20"/>
                <w:szCs w:val="20"/>
              </w:rPr>
            </w:pPr>
          </w:p>
        </w:tc>
        <w:tc>
          <w:tcPr>
            <w:tcW w:w="1323" w:type="dxa"/>
            <w:vMerge w:val="restart"/>
            <w:tcBorders>
              <w:top w:val="single" w:sz="4" w:space="0" w:color="auto"/>
              <w:left w:val="nil"/>
              <w:bottom w:val="single" w:sz="4" w:space="0" w:color="auto"/>
              <w:right w:val="nil"/>
            </w:tcBorders>
            <w:vAlign w:val="bottom"/>
            <w:hideMark/>
          </w:tcPr>
          <w:p w14:paraId="1C892963" w14:textId="77777777" w:rsidR="007A6A1A" w:rsidRPr="00675321" w:rsidRDefault="007A6A1A" w:rsidP="00C73F11">
            <w:pPr>
              <w:spacing w:after="0" w:line="240" w:lineRule="auto"/>
              <w:rPr>
                <w:b/>
                <w:bCs/>
                <w:sz w:val="20"/>
                <w:szCs w:val="20"/>
              </w:rPr>
            </w:pPr>
            <w:r w:rsidRPr="00675321">
              <w:rPr>
                <w:b/>
                <w:bCs/>
                <w:sz w:val="20"/>
                <w:szCs w:val="20"/>
              </w:rPr>
              <w:t>March 2010 to September 2024</w:t>
            </w:r>
          </w:p>
        </w:tc>
        <w:tc>
          <w:tcPr>
            <w:tcW w:w="1242" w:type="dxa"/>
            <w:vMerge w:val="restart"/>
            <w:tcBorders>
              <w:top w:val="single" w:sz="4" w:space="0" w:color="auto"/>
              <w:left w:val="nil"/>
              <w:bottom w:val="single" w:sz="4" w:space="0" w:color="auto"/>
              <w:right w:val="nil"/>
            </w:tcBorders>
            <w:vAlign w:val="bottom"/>
            <w:hideMark/>
          </w:tcPr>
          <w:p w14:paraId="550570D6" w14:textId="77777777" w:rsidR="007A6A1A" w:rsidRPr="00675321" w:rsidRDefault="007A6A1A" w:rsidP="00C73F11">
            <w:pPr>
              <w:spacing w:after="0" w:line="240" w:lineRule="auto"/>
              <w:rPr>
                <w:b/>
                <w:bCs/>
                <w:sz w:val="20"/>
                <w:szCs w:val="20"/>
              </w:rPr>
            </w:pPr>
            <w:r w:rsidRPr="00675321">
              <w:rPr>
                <w:b/>
                <w:bCs/>
                <w:sz w:val="20"/>
                <w:szCs w:val="20"/>
              </w:rPr>
              <w:t>December 2022 to September 2024</w:t>
            </w:r>
          </w:p>
        </w:tc>
        <w:tc>
          <w:tcPr>
            <w:tcW w:w="1582" w:type="dxa"/>
            <w:tcBorders>
              <w:top w:val="single" w:sz="4" w:space="0" w:color="auto"/>
              <w:left w:val="nil"/>
              <w:bottom w:val="nil"/>
              <w:right w:val="nil"/>
            </w:tcBorders>
            <w:noWrap/>
            <w:vAlign w:val="bottom"/>
            <w:hideMark/>
          </w:tcPr>
          <w:p w14:paraId="4CC6B295" w14:textId="77777777" w:rsidR="007A6A1A" w:rsidRPr="00675321" w:rsidRDefault="007A6A1A" w:rsidP="00C73F11">
            <w:pPr>
              <w:spacing w:after="0" w:line="240" w:lineRule="auto"/>
              <w:rPr>
                <w:b/>
                <w:bCs/>
                <w:sz w:val="20"/>
                <w:szCs w:val="20"/>
              </w:rPr>
            </w:pPr>
          </w:p>
        </w:tc>
        <w:tc>
          <w:tcPr>
            <w:tcW w:w="1633" w:type="dxa"/>
            <w:gridSpan w:val="2"/>
            <w:tcBorders>
              <w:top w:val="single" w:sz="4" w:space="0" w:color="auto"/>
              <w:left w:val="nil"/>
              <w:bottom w:val="nil"/>
              <w:right w:val="single" w:sz="4" w:space="0" w:color="auto"/>
            </w:tcBorders>
            <w:noWrap/>
            <w:vAlign w:val="bottom"/>
            <w:hideMark/>
          </w:tcPr>
          <w:p w14:paraId="7DBDED18" w14:textId="77777777" w:rsidR="007A6A1A" w:rsidRPr="00675321" w:rsidRDefault="007A6A1A" w:rsidP="00C73F11">
            <w:pPr>
              <w:spacing w:after="0" w:line="240" w:lineRule="auto"/>
              <w:rPr>
                <w:b/>
                <w:bCs/>
                <w:sz w:val="20"/>
                <w:szCs w:val="20"/>
              </w:rPr>
            </w:pPr>
            <w:r w:rsidRPr="00675321">
              <w:rPr>
                <w:b/>
                <w:bCs/>
                <w:sz w:val="20"/>
                <w:szCs w:val="20"/>
              </w:rPr>
              <w:t>% change from corresponding quarter of previous year</w:t>
            </w:r>
          </w:p>
        </w:tc>
      </w:tr>
      <w:tr w:rsidR="007A6A1A" w:rsidRPr="00167CB8" w14:paraId="2061004A" w14:textId="77777777" w:rsidTr="00675321">
        <w:trPr>
          <w:trHeight w:val="298"/>
        </w:trPr>
        <w:tc>
          <w:tcPr>
            <w:tcW w:w="3311" w:type="dxa"/>
            <w:tcBorders>
              <w:top w:val="nil"/>
              <w:left w:val="single" w:sz="4" w:space="0" w:color="auto"/>
              <w:bottom w:val="single" w:sz="4" w:space="0" w:color="auto"/>
              <w:right w:val="nil"/>
            </w:tcBorders>
            <w:noWrap/>
            <w:vAlign w:val="bottom"/>
            <w:hideMark/>
          </w:tcPr>
          <w:p w14:paraId="2BEDDBC3" w14:textId="77777777" w:rsidR="007A6A1A" w:rsidRPr="00675321" w:rsidRDefault="007A6A1A" w:rsidP="00C73F11">
            <w:pPr>
              <w:spacing w:after="0" w:line="240" w:lineRule="auto"/>
              <w:rPr>
                <w:b/>
                <w:bCs/>
                <w:sz w:val="20"/>
                <w:szCs w:val="20"/>
              </w:rPr>
            </w:pPr>
          </w:p>
        </w:tc>
        <w:tc>
          <w:tcPr>
            <w:tcW w:w="1323" w:type="dxa"/>
            <w:vMerge/>
            <w:tcBorders>
              <w:top w:val="single" w:sz="4" w:space="0" w:color="auto"/>
              <w:left w:val="nil"/>
              <w:bottom w:val="single" w:sz="4" w:space="0" w:color="auto"/>
              <w:right w:val="nil"/>
            </w:tcBorders>
            <w:vAlign w:val="center"/>
            <w:hideMark/>
          </w:tcPr>
          <w:p w14:paraId="5F148CB3" w14:textId="77777777" w:rsidR="007A6A1A" w:rsidRPr="00675321" w:rsidRDefault="007A6A1A" w:rsidP="00C73F11">
            <w:pPr>
              <w:spacing w:after="0" w:line="240" w:lineRule="auto"/>
              <w:rPr>
                <w:b/>
                <w:bCs/>
                <w:sz w:val="20"/>
                <w:szCs w:val="20"/>
              </w:rPr>
            </w:pPr>
          </w:p>
        </w:tc>
        <w:tc>
          <w:tcPr>
            <w:tcW w:w="1242" w:type="dxa"/>
            <w:vMerge/>
            <w:tcBorders>
              <w:top w:val="single" w:sz="4" w:space="0" w:color="auto"/>
              <w:left w:val="nil"/>
              <w:bottom w:val="single" w:sz="4" w:space="0" w:color="auto"/>
              <w:right w:val="nil"/>
            </w:tcBorders>
            <w:vAlign w:val="center"/>
            <w:hideMark/>
          </w:tcPr>
          <w:p w14:paraId="32668618" w14:textId="77777777" w:rsidR="007A6A1A" w:rsidRPr="00675321" w:rsidRDefault="007A6A1A" w:rsidP="00C73F11">
            <w:pPr>
              <w:spacing w:after="0" w:line="240" w:lineRule="auto"/>
              <w:rPr>
                <w:b/>
                <w:bCs/>
                <w:sz w:val="20"/>
                <w:szCs w:val="20"/>
              </w:rPr>
            </w:pPr>
          </w:p>
        </w:tc>
        <w:tc>
          <w:tcPr>
            <w:tcW w:w="1582" w:type="dxa"/>
            <w:tcBorders>
              <w:top w:val="nil"/>
              <w:left w:val="nil"/>
              <w:bottom w:val="single" w:sz="4" w:space="0" w:color="auto"/>
              <w:right w:val="nil"/>
            </w:tcBorders>
            <w:noWrap/>
            <w:vAlign w:val="bottom"/>
            <w:hideMark/>
          </w:tcPr>
          <w:p w14:paraId="2233231C" w14:textId="77777777" w:rsidR="007A6A1A" w:rsidRPr="00675321" w:rsidRDefault="007A6A1A" w:rsidP="00C73F11">
            <w:pPr>
              <w:spacing w:after="0" w:line="240" w:lineRule="auto"/>
              <w:rPr>
                <w:b/>
                <w:bCs/>
                <w:sz w:val="20"/>
                <w:szCs w:val="20"/>
              </w:rPr>
            </w:pPr>
            <w:r w:rsidRPr="00675321">
              <w:rPr>
                <w:b/>
                <w:bCs/>
                <w:sz w:val="20"/>
                <w:szCs w:val="20"/>
              </w:rPr>
              <w:t>Quarterly average % change Dec 22 to Sept 24</w:t>
            </w:r>
          </w:p>
        </w:tc>
        <w:tc>
          <w:tcPr>
            <w:tcW w:w="935" w:type="dxa"/>
            <w:tcBorders>
              <w:top w:val="nil"/>
              <w:left w:val="nil"/>
              <w:bottom w:val="single" w:sz="4" w:space="0" w:color="auto"/>
              <w:right w:val="nil"/>
            </w:tcBorders>
            <w:noWrap/>
            <w:vAlign w:val="bottom"/>
            <w:hideMark/>
          </w:tcPr>
          <w:p w14:paraId="1ED69B3A" w14:textId="77777777" w:rsidR="007A6A1A" w:rsidRPr="00675321" w:rsidRDefault="007A6A1A" w:rsidP="00C73F11">
            <w:pPr>
              <w:spacing w:after="0" w:line="240" w:lineRule="auto"/>
              <w:rPr>
                <w:b/>
                <w:bCs/>
                <w:sz w:val="20"/>
                <w:szCs w:val="20"/>
              </w:rPr>
            </w:pPr>
            <w:r w:rsidRPr="00675321">
              <w:rPr>
                <w:b/>
                <w:bCs/>
                <w:sz w:val="20"/>
                <w:szCs w:val="20"/>
              </w:rPr>
              <w:t xml:space="preserve">Sept 22 to </w:t>
            </w:r>
          </w:p>
          <w:p w14:paraId="2A0DC06F" w14:textId="77777777" w:rsidR="007A6A1A" w:rsidRPr="00675321" w:rsidRDefault="007A6A1A" w:rsidP="00C73F11">
            <w:pPr>
              <w:spacing w:after="0" w:line="240" w:lineRule="auto"/>
              <w:rPr>
                <w:b/>
                <w:bCs/>
                <w:sz w:val="20"/>
                <w:szCs w:val="20"/>
              </w:rPr>
            </w:pPr>
            <w:r w:rsidRPr="00675321">
              <w:rPr>
                <w:b/>
                <w:bCs/>
                <w:sz w:val="20"/>
                <w:szCs w:val="20"/>
              </w:rPr>
              <w:t>Sept 23</w:t>
            </w:r>
          </w:p>
        </w:tc>
        <w:tc>
          <w:tcPr>
            <w:tcW w:w="698" w:type="dxa"/>
            <w:tcBorders>
              <w:top w:val="nil"/>
              <w:left w:val="nil"/>
              <w:bottom w:val="single" w:sz="4" w:space="0" w:color="auto"/>
              <w:right w:val="single" w:sz="4" w:space="0" w:color="auto"/>
            </w:tcBorders>
            <w:noWrap/>
            <w:vAlign w:val="bottom"/>
            <w:hideMark/>
          </w:tcPr>
          <w:p w14:paraId="6C9C3D49" w14:textId="77777777" w:rsidR="007A6A1A" w:rsidRPr="00675321" w:rsidRDefault="007A6A1A" w:rsidP="00C73F11">
            <w:pPr>
              <w:spacing w:after="0" w:line="240" w:lineRule="auto"/>
              <w:rPr>
                <w:b/>
                <w:bCs/>
                <w:sz w:val="20"/>
                <w:szCs w:val="20"/>
              </w:rPr>
            </w:pPr>
            <w:r w:rsidRPr="00675321">
              <w:rPr>
                <w:b/>
                <w:bCs/>
                <w:sz w:val="20"/>
                <w:szCs w:val="20"/>
              </w:rPr>
              <w:t xml:space="preserve">Sept 23 to </w:t>
            </w:r>
          </w:p>
          <w:p w14:paraId="40E806FD" w14:textId="77777777" w:rsidR="007A6A1A" w:rsidRPr="00675321" w:rsidRDefault="007A6A1A" w:rsidP="00C73F11">
            <w:pPr>
              <w:spacing w:after="0" w:line="240" w:lineRule="auto"/>
              <w:rPr>
                <w:b/>
                <w:bCs/>
                <w:sz w:val="20"/>
                <w:szCs w:val="20"/>
              </w:rPr>
            </w:pPr>
            <w:r w:rsidRPr="00675321">
              <w:rPr>
                <w:b/>
                <w:bCs/>
                <w:sz w:val="20"/>
                <w:szCs w:val="20"/>
              </w:rPr>
              <w:t>Sept 24</w:t>
            </w:r>
          </w:p>
        </w:tc>
      </w:tr>
      <w:tr w:rsidR="007A6A1A" w:rsidRPr="00167CB8" w14:paraId="5CA5B721" w14:textId="77777777" w:rsidTr="00675321">
        <w:trPr>
          <w:trHeight w:val="340"/>
        </w:trPr>
        <w:tc>
          <w:tcPr>
            <w:tcW w:w="3311" w:type="dxa"/>
            <w:tcBorders>
              <w:top w:val="single" w:sz="4" w:space="0" w:color="auto"/>
              <w:left w:val="single" w:sz="4" w:space="0" w:color="auto"/>
              <w:bottom w:val="nil"/>
              <w:right w:val="nil"/>
            </w:tcBorders>
            <w:vAlign w:val="center"/>
          </w:tcPr>
          <w:p w14:paraId="4454CB55" w14:textId="77777777" w:rsidR="007A6A1A" w:rsidRPr="00C73F11" w:rsidRDefault="007A6A1A" w:rsidP="00BD36B5">
            <w:pPr>
              <w:spacing w:after="0" w:line="240" w:lineRule="auto"/>
              <w:rPr>
                <w:sz w:val="20"/>
                <w:szCs w:val="20"/>
              </w:rPr>
            </w:pPr>
          </w:p>
        </w:tc>
        <w:tc>
          <w:tcPr>
            <w:tcW w:w="1323" w:type="dxa"/>
            <w:tcBorders>
              <w:top w:val="single" w:sz="4" w:space="0" w:color="auto"/>
              <w:left w:val="nil"/>
              <w:bottom w:val="nil"/>
              <w:right w:val="nil"/>
            </w:tcBorders>
            <w:vAlign w:val="center"/>
            <w:hideMark/>
          </w:tcPr>
          <w:p w14:paraId="04095B6B" w14:textId="77777777" w:rsidR="007A6A1A" w:rsidRPr="00C73F11" w:rsidRDefault="007A6A1A" w:rsidP="00BD36B5">
            <w:pPr>
              <w:spacing w:after="0" w:line="240" w:lineRule="auto"/>
              <w:jc w:val="center"/>
              <w:rPr>
                <w:sz w:val="20"/>
                <w:szCs w:val="20"/>
              </w:rPr>
            </w:pPr>
            <w:r w:rsidRPr="00C73F11">
              <w:rPr>
                <w:sz w:val="20"/>
                <w:szCs w:val="20"/>
              </w:rPr>
              <w:t>(i)</w:t>
            </w:r>
          </w:p>
        </w:tc>
        <w:tc>
          <w:tcPr>
            <w:tcW w:w="1242" w:type="dxa"/>
            <w:tcBorders>
              <w:top w:val="single" w:sz="4" w:space="0" w:color="auto"/>
              <w:left w:val="nil"/>
              <w:bottom w:val="nil"/>
              <w:right w:val="nil"/>
            </w:tcBorders>
            <w:vAlign w:val="center"/>
            <w:hideMark/>
          </w:tcPr>
          <w:p w14:paraId="7604BBAF" w14:textId="77777777" w:rsidR="007A6A1A" w:rsidRPr="00C73F11" w:rsidRDefault="007A6A1A" w:rsidP="00BD36B5">
            <w:pPr>
              <w:spacing w:after="0" w:line="240" w:lineRule="auto"/>
              <w:jc w:val="center"/>
              <w:rPr>
                <w:sz w:val="20"/>
                <w:szCs w:val="20"/>
              </w:rPr>
            </w:pPr>
            <w:r w:rsidRPr="00C73F11">
              <w:rPr>
                <w:sz w:val="20"/>
                <w:szCs w:val="20"/>
              </w:rPr>
              <w:t>(ii)</w:t>
            </w:r>
          </w:p>
        </w:tc>
        <w:tc>
          <w:tcPr>
            <w:tcW w:w="1582" w:type="dxa"/>
            <w:tcBorders>
              <w:top w:val="single" w:sz="4" w:space="0" w:color="auto"/>
              <w:left w:val="nil"/>
              <w:bottom w:val="nil"/>
              <w:right w:val="nil"/>
            </w:tcBorders>
            <w:noWrap/>
            <w:vAlign w:val="center"/>
            <w:hideMark/>
          </w:tcPr>
          <w:p w14:paraId="2EA12209" w14:textId="77777777" w:rsidR="007A6A1A" w:rsidRPr="00C73F11" w:rsidRDefault="007A6A1A" w:rsidP="00BD36B5">
            <w:pPr>
              <w:spacing w:after="0" w:line="240" w:lineRule="auto"/>
              <w:jc w:val="center"/>
              <w:rPr>
                <w:sz w:val="20"/>
                <w:szCs w:val="20"/>
              </w:rPr>
            </w:pPr>
            <w:r w:rsidRPr="00C73F11">
              <w:rPr>
                <w:sz w:val="20"/>
                <w:szCs w:val="20"/>
              </w:rPr>
              <w:t>(iii)</w:t>
            </w:r>
          </w:p>
        </w:tc>
        <w:tc>
          <w:tcPr>
            <w:tcW w:w="935" w:type="dxa"/>
            <w:tcBorders>
              <w:top w:val="single" w:sz="4" w:space="0" w:color="auto"/>
              <w:left w:val="nil"/>
              <w:bottom w:val="nil"/>
              <w:right w:val="nil"/>
            </w:tcBorders>
            <w:noWrap/>
            <w:vAlign w:val="center"/>
            <w:hideMark/>
          </w:tcPr>
          <w:p w14:paraId="76A377AD" w14:textId="77777777" w:rsidR="007A6A1A" w:rsidRPr="00C73F11" w:rsidRDefault="007A6A1A" w:rsidP="00BD36B5">
            <w:pPr>
              <w:spacing w:after="0" w:line="240" w:lineRule="auto"/>
              <w:jc w:val="center"/>
              <w:rPr>
                <w:sz w:val="20"/>
                <w:szCs w:val="20"/>
              </w:rPr>
            </w:pPr>
            <w:r w:rsidRPr="00C73F11">
              <w:rPr>
                <w:sz w:val="20"/>
                <w:szCs w:val="20"/>
              </w:rPr>
              <w:t>(iv)</w:t>
            </w:r>
          </w:p>
        </w:tc>
        <w:tc>
          <w:tcPr>
            <w:tcW w:w="698" w:type="dxa"/>
            <w:tcBorders>
              <w:top w:val="single" w:sz="4" w:space="0" w:color="auto"/>
              <w:left w:val="nil"/>
              <w:bottom w:val="nil"/>
              <w:right w:val="single" w:sz="4" w:space="0" w:color="auto"/>
            </w:tcBorders>
            <w:noWrap/>
            <w:vAlign w:val="center"/>
            <w:hideMark/>
          </w:tcPr>
          <w:p w14:paraId="783321D4" w14:textId="77777777" w:rsidR="007A6A1A" w:rsidRPr="00C73F11" w:rsidRDefault="007A6A1A" w:rsidP="00BD36B5">
            <w:pPr>
              <w:spacing w:after="0" w:line="240" w:lineRule="auto"/>
              <w:jc w:val="center"/>
              <w:rPr>
                <w:sz w:val="20"/>
                <w:szCs w:val="20"/>
              </w:rPr>
            </w:pPr>
            <w:r w:rsidRPr="00C73F11">
              <w:rPr>
                <w:sz w:val="20"/>
                <w:szCs w:val="20"/>
              </w:rPr>
              <w:t>(v)</w:t>
            </w:r>
          </w:p>
        </w:tc>
      </w:tr>
      <w:tr w:rsidR="007A6A1A" w:rsidRPr="00167CB8" w14:paraId="447D2B89" w14:textId="77777777" w:rsidTr="00675321">
        <w:trPr>
          <w:trHeight w:val="340"/>
        </w:trPr>
        <w:tc>
          <w:tcPr>
            <w:tcW w:w="3311" w:type="dxa"/>
            <w:tcBorders>
              <w:top w:val="nil"/>
              <w:left w:val="single" w:sz="4" w:space="0" w:color="auto"/>
              <w:bottom w:val="nil"/>
              <w:right w:val="nil"/>
            </w:tcBorders>
            <w:vAlign w:val="center"/>
            <w:hideMark/>
          </w:tcPr>
          <w:p w14:paraId="5C6F433B" w14:textId="77777777" w:rsidR="007A6A1A" w:rsidRPr="00C73F11" w:rsidRDefault="007A6A1A" w:rsidP="00BD36B5">
            <w:pPr>
              <w:spacing w:after="0" w:line="240" w:lineRule="auto"/>
              <w:rPr>
                <w:sz w:val="20"/>
                <w:szCs w:val="20"/>
              </w:rPr>
            </w:pPr>
            <w:r w:rsidRPr="00C73F11">
              <w:rPr>
                <w:sz w:val="20"/>
                <w:szCs w:val="20"/>
              </w:rPr>
              <w:t>Mining</w:t>
            </w:r>
          </w:p>
        </w:tc>
        <w:tc>
          <w:tcPr>
            <w:tcW w:w="1323" w:type="dxa"/>
            <w:tcBorders>
              <w:top w:val="nil"/>
              <w:left w:val="nil"/>
              <w:bottom w:val="nil"/>
              <w:right w:val="nil"/>
            </w:tcBorders>
            <w:vAlign w:val="center"/>
            <w:hideMark/>
          </w:tcPr>
          <w:p w14:paraId="33730AE5" w14:textId="77777777" w:rsidR="007A6A1A" w:rsidRPr="00C73F11" w:rsidRDefault="007A6A1A" w:rsidP="00BD36B5">
            <w:pPr>
              <w:spacing w:after="0" w:line="240" w:lineRule="auto"/>
              <w:jc w:val="center"/>
              <w:rPr>
                <w:sz w:val="20"/>
                <w:szCs w:val="20"/>
              </w:rPr>
            </w:pPr>
            <w:r w:rsidRPr="00C73F11">
              <w:rPr>
                <w:sz w:val="20"/>
                <w:szCs w:val="20"/>
              </w:rPr>
              <w:t>46.3%</w:t>
            </w:r>
          </w:p>
        </w:tc>
        <w:tc>
          <w:tcPr>
            <w:tcW w:w="1242" w:type="dxa"/>
            <w:tcBorders>
              <w:top w:val="nil"/>
              <w:left w:val="nil"/>
              <w:bottom w:val="nil"/>
              <w:right w:val="nil"/>
            </w:tcBorders>
            <w:vAlign w:val="center"/>
            <w:hideMark/>
          </w:tcPr>
          <w:p w14:paraId="5F75D293" w14:textId="77777777" w:rsidR="007A6A1A" w:rsidRPr="00C73F11" w:rsidRDefault="007A6A1A" w:rsidP="00BD36B5">
            <w:pPr>
              <w:spacing w:after="0" w:line="240" w:lineRule="auto"/>
              <w:jc w:val="center"/>
              <w:rPr>
                <w:sz w:val="20"/>
                <w:szCs w:val="20"/>
              </w:rPr>
            </w:pPr>
            <w:r w:rsidRPr="00C73F11">
              <w:rPr>
                <w:sz w:val="20"/>
                <w:szCs w:val="20"/>
              </w:rPr>
              <w:t>6.7%</w:t>
            </w:r>
          </w:p>
        </w:tc>
        <w:tc>
          <w:tcPr>
            <w:tcW w:w="1582" w:type="dxa"/>
            <w:tcBorders>
              <w:top w:val="nil"/>
              <w:left w:val="nil"/>
              <w:bottom w:val="nil"/>
              <w:right w:val="nil"/>
            </w:tcBorders>
            <w:noWrap/>
            <w:vAlign w:val="center"/>
            <w:hideMark/>
          </w:tcPr>
          <w:p w14:paraId="461C3402" w14:textId="77777777" w:rsidR="007A6A1A" w:rsidRPr="00C73F11" w:rsidRDefault="007A6A1A" w:rsidP="00BD36B5">
            <w:pPr>
              <w:spacing w:after="0" w:line="240" w:lineRule="auto"/>
              <w:jc w:val="center"/>
              <w:rPr>
                <w:sz w:val="20"/>
                <w:szCs w:val="20"/>
              </w:rPr>
            </w:pPr>
            <w:r w:rsidRPr="00C73F11">
              <w:rPr>
                <w:sz w:val="20"/>
                <w:szCs w:val="20"/>
              </w:rPr>
              <w:t>3.9</w:t>
            </w:r>
          </w:p>
        </w:tc>
        <w:tc>
          <w:tcPr>
            <w:tcW w:w="935" w:type="dxa"/>
            <w:tcBorders>
              <w:top w:val="nil"/>
              <w:left w:val="nil"/>
              <w:bottom w:val="nil"/>
              <w:right w:val="nil"/>
            </w:tcBorders>
            <w:noWrap/>
            <w:vAlign w:val="center"/>
            <w:hideMark/>
          </w:tcPr>
          <w:p w14:paraId="43040C10" w14:textId="77777777" w:rsidR="007A6A1A" w:rsidRPr="00C73F11" w:rsidRDefault="007A6A1A" w:rsidP="00BD36B5">
            <w:pPr>
              <w:spacing w:after="0" w:line="240" w:lineRule="auto"/>
              <w:jc w:val="center"/>
              <w:rPr>
                <w:sz w:val="20"/>
                <w:szCs w:val="20"/>
              </w:rPr>
            </w:pPr>
            <w:r w:rsidRPr="00C73F11">
              <w:rPr>
                <w:sz w:val="20"/>
                <w:szCs w:val="20"/>
              </w:rPr>
              <w:t>4.0</w:t>
            </w:r>
          </w:p>
        </w:tc>
        <w:tc>
          <w:tcPr>
            <w:tcW w:w="698" w:type="dxa"/>
            <w:tcBorders>
              <w:top w:val="nil"/>
              <w:left w:val="nil"/>
              <w:bottom w:val="nil"/>
              <w:right w:val="single" w:sz="4" w:space="0" w:color="auto"/>
            </w:tcBorders>
            <w:noWrap/>
            <w:vAlign w:val="center"/>
            <w:hideMark/>
          </w:tcPr>
          <w:p w14:paraId="0D4FABC4" w14:textId="77777777" w:rsidR="007A6A1A" w:rsidRPr="00C73F11" w:rsidRDefault="007A6A1A" w:rsidP="00BD36B5">
            <w:pPr>
              <w:spacing w:after="0" w:line="240" w:lineRule="auto"/>
              <w:jc w:val="center"/>
              <w:rPr>
                <w:sz w:val="20"/>
                <w:szCs w:val="20"/>
              </w:rPr>
            </w:pPr>
            <w:r w:rsidRPr="00C73F11">
              <w:rPr>
                <w:sz w:val="20"/>
                <w:szCs w:val="20"/>
              </w:rPr>
              <w:t>3.8</w:t>
            </w:r>
          </w:p>
        </w:tc>
      </w:tr>
      <w:tr w:rsidR="007A6A1A" w:rsidRPr="00167CB8" w14:paraId="44848F0F" w14:textId="77777777" w:rsidTr="00675321">
        <w:trPr>
          <w:trHeight w:val="340"/>
        </w:trPr>
        <w:tc>
          <w:tcPr>
            <w:tcW w:w="3311" w:type="dxa"/>
            <w:tcBorders>
              <w:top w:val="nil"/>
              <w:left w:val="single" w:sz="4" w:space="0" w:color="auto"/>
              <w:bottom w:val="nil"/>
              <w:right w:val="nil"/>
            </w:tcBorders>
            <w:vAlign w:val="center"/>
            <w:hideMark/>
          </w:tcPr>
          <w:p w14:paraId="10FBFC7E" w14:textId="77777777" w:rsidR="007A6A1A" w:rsidRPr="00C73F11" w:rsidRDefault="007A6A1A" w:rsidP="00BD36B5">
            <w:pPr>
              <w:spacing w:after="0" w:line="240" w:lineRule="auto"/>
              <w:rPr>
                <w:sz w:val="20"/>
                <w:szCs w:val="20"/>
              </w:rPr>
            </w:pPr>
            <w:r w:rsidRPr="00C73F11">
              <w:rPr>
                <w:sz w:val="20"/>
                <w:szCs w:val="20"/>
              </w:rPr>
              <w:t>Manufacturing</w:t>
            </w:r>
          </w:p>
        </w:tc>
        <w:tc>
          <w:tcPr>
            <w:tcW w:w="1323" w:type="dxa"/>
            <w:tcBorders>
              <w:top w:val="nil"/>
              <w:left w:val="nil"/>
              <w:bottom w:val="nil"/>
              <w:right w:val="nil"/>
            </w:tcBorders>
            <w:vAlign w:val="center"/>
            <w:hideMark/>
          </w:tcPr>
          <w:p w14:paraId="2E121975" w14:textId="77777777" w:rsidR="007A6A1A" w:rsidRPr="00C73F11" w:rsidRDefault="007A6A1A" w:rsidP="00BD36B5">
            <w:pPr>
              <w:spacing w:after="0" w:line="240" w:lineRule="auto"/>
              <w:jc w:val="center"/>
              <w:rPr>
                <w:sz w:val="20"/>
                <w:szCs w:val="20"/>
              </w:rPr>
            </w:pPr>
            <w:r w:rsidRPr="00C73F11">
              <w:rPr>
                <w:sz w:val="20"/>
                <w:szCs w:val="20"/>
              </w:rPr>
              <w:t>50.6%</w:t>
            </w:r>
          </w:p>
        </w:tc>
        <w:tc>
          <w:tcPr>
            <w:tcW w:w="1242" w:type="dxa"/>
            <w:tcBorders>
              <w:top w:val="nil"/>
              <w:left w:val="nil"/>
              <w:bottom w:val="nil"/>
              <w:right w:val="nil"/>
            </w:tcBorders>
            <w:vAlign w:val="center"/>
            <w:hideMark/>
          </w:tcPr>
          <w:p w14:paraId="07677360" w14:textId="77777777" w:rsidR="007A6A1A" w:rsidRPr="00C73F11" w:rsidRDefault="007A6A1A" w:rsidP="00BD36B5">
            <w:pPr>
              <w:spacing w:after="0" w:line="240" w:lineRule="auto"/>
              <w:jc w:val="center"/>
              <w:rPr>
                <w:sz w:val="20"/>
                <w:szCs w:val="20"/>
              </w:rPr>
            </w:pPr>
            <w:r w:rsidRPr="00C73F11">
              <w:rPr>
                <w:sz w:val="20"/>
                <w:szCs w:val="20"/>
              </w:rPr>
              <w:t>7.0%</w:t>
            </w:r>
          </w:p>
        </w:tc>
        <w:tc>
          <w:tcPr>
            <w:tcW w:w="1582" w:type="dxa"/>
            <w:tcBorders>
              <w:top w:val="nil"/>
              <w:left w:val="nil"/>
              <w:bottom w:val="nil"/>
              <w:right w:val="nil"/>
            </w:tcBorders>
            <w:noWrap/>
            <w:vAlign w:val="center"/>
            <w:hideMark/>
          </w:tcPr>
          <w:p w14:paraId="26C1E37F" w14:textId="77777777" w:rsidR="007A6A1A" w:rsidRPr="00C73F11" w:rsidRDefault="007A6A1A" w:rsidP="00BD36B5">
            <w:pPr>
              <w:spacing w:after="0" w:line="240" w:lineRule="auto"/>
              <w:jc w:val="center"/>
              <w:rPr>
                <w:sz w:val="20"/>
                <w:szCs w:val="20"/>
              </w:rPr>
            </w:pPr>
            <w:r w:rsidRPr="00C73F11">
              <w:rPr>
                <w:sz w:val="20"/>
                <w:szCs w:val="20"/>
              </w:rPr>
              <w:t>4.1</w:t>
            </w:r>
          </w:p>
        </w:tc>
        <w:tc>
          <w:tcPr>
            <w:tcW w:w="935" w:type="dxa"/>
            <w:tcBorders>
              <w:top w:val="nil"/>
              <w:left w:val="nil"/>
              <w:bottom w:val="nil"/>
              <w:right w:val="nil"/>
            </w:tcBorders>
            <w:noWrap/>
            <w:vAlign w:val="center"/>
            <w:hideMark/>
          </w:tcPr>
          <w:p w14:paraId="77414CC2" w14:textId="77777777" w:rsidR="007A6A1A" w:rsidRPr="00C73F11" w:rsidRDefault="007A6A1A" w:rsidP="00BD36B5">
            <w:pPr>
              <w:spacing w:after="0" w:line="240" w:lineRule="auto"/>
              <w:jc w:val="center"/>
              <w:rPr>
                <w:sz w:val="20"/>
                <w:szCs w:val="20"/>
              </w:rPr>
            </w:pPr>
            <w:r w:rsidRPr="00C73F11">
              <w:rPr>
                <w:sz w:val="20"/>
                <w:szCs w:val="20"/>
              </w:rPr>
              <w:t>4.4</w:t>
            </w:r>
          </w:p>
        </w:tc>
        <w:tc>
          <w:tcPr>
            <w:tcW w:w="698" w:type="dxa"/>
            <w:tcBorders>
              <w:top w:val="nil"/>
              <w:left w:val="nil"/>
              <w:bottom w:val="nil"/>
              <w:right w:val="single" w:sz="4" w:space="0" w:color="auto"/>
            </w:tcBorders>
            <w:noWrap/>
            <w:vAlign w:val="center"/>
            <w:hideMark/>
          </w:tcPr>
          <w:p w14:paraId="1F2AB593" w14:textId="77777777" w:rsidR="007A6A1A" w:rsidRPr="00C73F11" w:rsidRDefault="007A6A1A" w:rsidP="00BD36B5">
            <w:pPr>
              <w:spacing w:after="0" w:line="240" w:lineRule="auto"/>
              <w:jc w:val="center"/>
              <w:rPr>
                <w:sz w:val="20"/>
                <w:szCs w:val="20"/>
              </w:rPr>
            </w:pPr>
            <w:r w:rsidRPr="00C73F11">
              <w:rPr>
                <w:sz w:val="20"/>
                <w:szCs w:val="20"/>
              </w:rPr>
              <w:t>3.8</w:t>
            </w:r>
          </w:p>
        </w:tc>
      </w:tr>
      <w:tr w:rsidR="007A6A1A" w:rsidRPr="00167CB8" w14:paraId="6435B22D" w14:textId="77777777" w:rsidTr="00675321">
        <w:trPr>
          <w:trHeight w:val="340"/>
        </w:trPr>
        <w:tc>
          <w:tcPr>
            <w:tcW w:w="3311" w:type="dxa"/>
            <w:tcBorders>
              <w:top w:val="nil"/>
              <w:left w:val="single" w:sz="4" w:space="0" w:color="auto"/>
              <w:bottom w:val="nil"/>
              <w:right w:val="nil"/>
            </w:tcBorders>
            <w:vAlign w:val="center"/>
            <w:hideMark/>
          </w:tcPr>
          <w:p w14:paraId="2C71174E" w14:textId="77777777" w:rsidR="007A6A1A" w:rsidRPr="00C73F11" w:rsidRDefault="007A6A1A" w:rsidP="00BD36B5">
            <w:pPr>
              <w:spacing w:after="0" w:line="240" w:lineRule="auto"/>
              <w:rPr>
                <w:sz w:val="20"/>
                <w:szCs w:val="20"/>
              </w:rPr>
            </w:pPr>
            <w:r w:rsidRPr="00C73F11">
              <w:rPr>
                <w:sz w:val="20"/>
                <w:szCs w:val="20"/>
              </w:rPr>
              <w:t>Electricity, gas, water and waste services</w:t>
            </w:r>
          </w:p>
        </w:tc>
        <w:tc>
          <w:tcPr>
            <w:tcW w:w="1323" w:type="dxa"/>
            <w:tcBorders>
              <w:top w:val="nil"/>
              <w:left w:val="nil"/>
              <w:bottom w:val="nil"/>
              <w:right w:val="nil"/>
            </w:tcBorders>
            <w:vAlign w:val="center"/>
            <w:hideMark/>
          </w:tcPr>
          <w:p w14:paraId="0997D18C" w14:textId="77777777" w:rsidR="007A6A1A" w:rsidRPr="00C73F11" w:rsidRDefault="007A6A1A" w:rsidP="00BD36B5">
            <w:pPr>
              <w:spacing w:after="0" w:line="240" w:lineRule="auto"/>
              <w:jc w:val="center"/>
              <w:rPr>
                <w:sz w:val="20"/>
                <w:szCs w:val="20"/>
              </w:rPr>
            </w:pPr>
            <w:r w:rsidRPr="00C73F11">
              <w:rPr>
                <w:sz w:val="20"/>
                <w:szCs w:val="20"/>
              </w:rPr>
              <w:t>53.1%</w:t>
            </w:r>
          </w:p>
        </w:tc>
        <w:tc>
          <w:tcPr>
            <w:tcW w:w="1242" w:type="dxa"/>
            <w:tcBorders>
              <w:top w:val="nil"/>
              <w:left w:val="nil"/>
              <w:bottom w:val="nil"/>
              <w:right w:val="nil"/>
            </w:tcBorders>
            <w:vAlign w:val="center"/>
            <w:hideMark/>
          </w:tcPr>
          <w:p w14:paraId="204EA2E8" w14:textId="77777777" w:rsidR="007A6A1A" w:rsidRPr="00C73F11" w:rsidRDefault="007A6A1A" w:rsidP="00BD36B5">
            <w:pPr>
              <w:spacing w:after="0" w:line="240" w:lineRule="auto"/>
              <w:jc w:val="center"/>
              <w:rPr>
                <w:sz w:val="20"/>
                <w:szCs w:val="20"/>
              </w:rPr>
            </w:pPr>
            <w:r w:rsidRPr="00C73F11">
              <w:rPr>
                <w:sz w:val="20"/>
                <w:szCs w:val="20"/>
              </w:rPr>
              <w:t>7.8%</w:t>
            </w:r>
          </w:p>
        </w:tc>
        <w:tc>
          <w:tcPr>
            <w:tcW w:w="1582" w:type="dxa"/>
            <w:tcBorders>
              <w:top w:val="nil"/>
              <w:left w:val="nil"/>
              <w:bottom w:val="nil"/>
              <w:right w:val="nil"/>
            </w:tcBorders>
            <w:noWrap/>
            <w:vAlign w:val="center"/>
            <w:hideMark/>
          </w:tcPr>
          <w:p w14:paraId="03CC56DB" w14:textId="77777777" w:rsidR="007A6A1A" w:rsidRPr="00C73F11" w:rsidRDefault="007A6A1A" w:rsidP="00BD36B5">
            <w:pPr>
              <w:spacing w:after="0" w:line="240" w:lineRule="auto"/>
              <w:jc w:val="center"/>
              <w:rPr>
                <w:sz w:val="20"/>
                <w:szCs w:val="20"/>
              </w:rPr>
            </w:pPr>
            <w:r w:rsidRPr="00C73F11">
              <w:rPr>
                <w:sz w:val="20"/>
                <w:szCs w:val="20"/>
              </w:rPr>
              <w:t>4.1</w:t>
            </w:r>
          </w:p>
        </w:tc>
        <w:tc>
          <w:tcPr>
            <w:tcW w:w="935" w:type="dxa"/>
            <w:tcBorders>
              <w:top w:val="nil"/>
              <w:left w:val="nil"/>
              <w:bottom w:val="nil"/>
              <w:right w:val="nil"/>
            </w:tcBorders>
            <w:noWrap/>
            <w:vAlign w:val="center"/>
            <w:hideMark/>
          </w:tcPr>
          <w:p w14:paraId="512CC85B" w14:textId="77777777" w:rsidR="007A6A1A" w:rsidRPr="00C73F11" w:rsidRDefault="007A6A1A" w:rsidP="00BD36B5">
            <w:pPr>
              <w:spacing w:after="0" w:line="240" w:lineRule="auto"/>
              <w:jc w:val="center"/>
              <w:rPr>
                <w:sz w:val="20"/>
                <w:szCs w:val="20"/>
              </w:rPr>
            </w:pPr>
            <w:r w:rsidRPr="00C73F11">
              <w:rPr>
                <w:sz w:val="20"/>
                <w:szCs w:val="20"/>
              </w:rPr>
              <w:t>3.9</w:t>
            </w:r>
          </w:p>
        </w:tc>
        <w:tc>
          <w:tcPr>
            <w:tcW w:w="698" w:type="dxa"/>
            <w:tcBorders>
              <w:top w:val="nil"/>
              <w:left w:val="nil"/>
              <w:bottom w:val="nil"/>
              <w:right w:val="single" w:sz="4" w:space="0" w:color="auto"/>
            </w:tcBorders>
            <w:noWrap/>
            <w:vAlign w:val="center"/>
            <w:hideMark/>
          </w:tcPr>
          <w:p w14:paraId="3E0F18C2" w14:textId="77777777" w:rsidR="007A6A1A" w:rsidRPr="00C73F11" w:rsidRDefault="007A6A1A" w:rsidP="00BD36B5">
            <w:pPr>
              <w:spacing w:after="0" w:line="240" w:lineRule="auto"/>
              <w:jc w:val="center"/>
              <w:rPr>
                <w:sz w:val="20"/>
                <w:szCs w:val="20"/>
              </w:rPr>
            </w:pPr>
            <w:r w:rsidRPr="00C73F11">
              <w:rPr>
                <w:sz w:val="20"/>
                <w:szCs w:val="20"/>
              </w:rPr>
              <w:t>5.0</w:t>
            </w:r>
          </w:p>
        </w:tc>
      </w:tr>
      <w:tr w:rsidR="007A6A1A" w:rsidRPr="00167CB8" w14:paraId="106D9CD8" w14:textId="77777777" w:rsidTr="00675321">
        <w:trPr>
          <w:trHeight w:val="340"/>
        </w:trPr>
        <w:tc>
          <w:tcPr>
            <w:tcW w:w="3311" w:type="dxa"/>
            <w:tcBorders>
              <w:top w:val="nil"/>
              <w:left w:val="single" w:sz="4" w:space="0" w:color="auto"/>
              <w:bottom w:val="nil"/>
              <w:right w:val="nil"/>
            </w:tcBorders>
            <w:vAlign w:val="center"/>
            <w:hideMark/>
          </w:tcPr>
          <w:p w14:paraId="7B01512B" w14:textId="77777777" w:rsidR="007A6A1A" w:rsidRPr="00C73F11" w:rsidRDefault="007A6A1A" w:rsidP="00BD36B5">
            <w:pPr>
              <w:spacing w:after="0" w:line="240" w:lineRule="auto"/>
              <w:rPr>
                <w:sz w:val="20"/>
                <w:szCs w:val="20"/>
              </w:rPr>
            </w:pPr>
            <w:r w:rsidRPr="00C73F11">
              <w:rPr>
                <w:sz w:val="20"/>
                <w:szCs w:val="20"/>
              </w:rPr>
              <w:t>Construction</w:t>
            </w:r>
          </w:p>
        </w:tc>
        <w:tc>
          <w:tcPr>
            <w:tcW w:w="1323" w:type="dxa"/>
            <w:tcBorders>
              <w:top w:val="nil"/>
              <w:left w:val="nil"/>
              <w:bottom w:val="nil"/>
              <w:right w:val="nil"/>
            </w:tcBorders>
            <w:vAlign w:val="center"/>
            <w:hideMark/>
          </w:tcPr>
          <w:p w14:paraId="7C93E33E" w14:textId="77777777" w:rsidR="007A6A1A" w:rsidRPr="00C73F11" w:rsidRDefault="007A6A1A" w:rsidP="00BD36B5">
            <w:pPr>
              <w:spacing w:after="0" w:line="240" w:lineRule="auto"/>
              <w:jc w:val="center"/>
              <w:rPr>
                <w:sz w:val="20"/>
                <w:szCs w:val="20"/>
              </w:rPr>
            </w:pPr>
            <w:r w:rsidRPr="00C73F11">
              <w:rPr>
                <w:sz w:val="20"/>
                <w:szCs w:val="20"/>
              </w:rPr>
              <w:t>47.2%</w:t>
            </w:r>
          </w:p>
        </w:tc>
        <w:tc>
          <w:tcPr>
            <w:tcW w:w="1242" w:type="dxa"/>
            <w:tcBorders>
              <w:top w:val="nil"/>
              <w:left w:val="nil"/>
              <w:bottom w:val="nil"/>
              <w:right w:val="nil"/>
            </w:tcBorders>
            <w:vAlign w:val="center"/>
            <w:hideMark/>
          </w:tcPr>
          <w:p w14:paraId="5081AED8" w14:textId="77777777" w:rsidR="007A6A1A" w:rsidRPr="00C73F11" w:rsidRDefault="007A6A1A" w:rsidP="00BD36B5">
            <w:pPr>
              <w:spacing w:after="0" w:line="240" w:lineRule="auto"/>
              <w:jc w:val="center"/>
              <w:rPr>
                <w:sz w:val="20"/>
                <w:szCs w:val="20"/>
              </w:rPr>
            </w:pPr>
            <w:r w:rsidRPr="00C73F11">
              <w:rPr>
                <w:sz w:val="20"/>
                <w:szCs w:val="20"/>
              </w:rPr>
              <w:t>7.0%</w:t>
            </w:r>
          </w:p>
        </w:tc>
        <w:tc>
          <w:tcPr>
            <w:tcW w:w="1582" w:type="dxa"/>
            <w:tcBorders>
              <w:top w:val="nil"/>
              <w:left w:val="nil"/>
              <w:bottom w:val="nil"/>
              <w:right w:val="nil"/>
            </w:tcBorders>
            <w:noWrap/>
            <w:vAlign w:val="center"/>
            <w:hideMark/>
          </w:tcPr>
          <w:p w14:paraId="1A1D6EE9" w14:textId="77777777" w:rsidR="007A6A1A" w:rsidRPr="00C73F11" w:rsidRDefault="007A6A1A" w:rsidP="00BD36B5">
            <w:pPr>
              <w:spacing w:after="0" w:line="240" w:lineRule="auto"/>
              <w:jc w:val="center"/>
              <w:rPr>
                <w:sz w:val="20"/>
                <w:szCs w:val="20"/>
              </w:rPr>
            </w:pPr>
            <w:r w:rsidRPr="00C73F11">
              <w:rPr>
                <w:sz w:val="20"/>
                <w:szCs w:val="20"/>
              </w:rPr>
              <w:t>3.9</w:t>
            </w:r>
          </w:p>
        </w:tc>
        <w:tc>
          <w:tcPr>
            <w:tcW w:w="935" w:type="dxa"/>
            <w:tcBorders>
              <w:top w:val="nil"/>
              <w:left w:val="nil"/>
              <w:bottom w:val="nil"/>
              <w:right w:val="nil"/>
            </w:tcBorders>
            <w:noWrap/>
            <w:vAlign w:val="center"/>
            <w:hideMark/>
          </w:tcPr>
          <w:p w14:paraId="76349D55" w14:textId="77777777" w:rsidR="007A6A1A" w:rsidRPr="00C73F11" w:rsidRDefault="007A6A1A" w:rsidP="00BD36B5">
            <w:pPr>
              <w:spacing w:after="0" w:line="240" w:lineRule="auto"/>
              <w:jc w:val="center"/>
              <w:rPr>
                <w:sz w:val="20"/>
                <w:szCs w:val="20"/>
              </w:rPr>
            </w:pPr>
            <w:r w:rsidRPr="00C73F11">
              <w:rPr>
                <w:sz w:val="20"/>
                <w:szCs w:val="20"/>
              </w:rPr>
              <w:t>4.3</w:t>
            </w:r>
          </w:p>
        </w:tc>
        <w:tc>
          <w:tcPr>
            <w:tcW w:w="698" w:type="dxa"/>
            <w:tcBorders>
              <w:top w:val="nil"/>
              <w:left w:val="nil"/>
              <w:bottom w:val="nil"/>
              <w:right w:val="single" w:sz="4" w:space="0" w:color="auto"/>
            </w:tcBorders>
            <w:noWrap/>
            <w:vAlign w:val="center"/>
            <w:hideMark/>
          </w:tcPr>
          <w:p w14:paraId="5B84CB06" w14:textId="77777777" w:rsidR="007A6A1A" w:rsidRPr="00C73F11" w:rsidRDefault="007A6A1A" w:rsidP="00BD36B5">
            <w:pPr>
              <w:spacing w:after="0" w:line="240" w:lineRule="auto"/>
              <w:jc w:val="center"/>
              <w:rPr>
                <w:sz w:val="20"/>
                <w:szCs w:val="20"/>
              </w:rPr>
            </w:pPr>
            <w:r w:rsidRPr="00C73F11">
              <w:rPr>
                <w:sz w:val="20"/>
                <w:szCs w:val="20"/>
              </w:rPr>
              <w:t>3.5</w:t>
            </w:r>
          </w:p>
        </w:tc>
      </w:tr>
      <w:tr w:rsidR="007A6A1A" w:rsidRPr="00167CB8" w14:paraId="7EFCFB35" w14:textId="77777777" w:rsidTr="00675321">
        <w:trPr>
          <w:trHeight w:val="340"/>
        </w:trPr>
        <w:tc>
          <w:tcPr>
            <w:tcW w:w="3311" w:type="dxa"/>
            <w:tcBorders>
              <w:top w:val="nil"/>
              <w:left w:val="single" w:sz="4" w:space="0" w:color="auto"/>
              <w:bottom w:val="nil"/>
              <w:right w:val="nil"/>
            </w:tcBorders>
            <w:vAlign w:val="center"/>
            <w:hideMark/>
          </w:tcPr>
          <w:p w14:paraId="5826C104" w14:textId="77777777" w:rsidR="007A6A1A" w:rsidRPr="00C73F11" w:rsidRDefault="007A6A1A" w:rsidP="00BD36B5">
            <w:pPr>
              <w:spacing w:after="0" w:line="240" w:lineRule="auto"/>
              <w:rPr>
                <w:sz w:val="20"/>
                <w:szCs w:val="20"/>
              </w:rPr>
            </w:pPr>
            <w:r w:rsidRPr="00C73F11">
              <w:rPr>
                <w:sz w:val="20"/>
                <w:szCs w:val="20"/>
              </w:rPr>
              <w:t>Wholesale trade</w:t>
            </w:r>
          </w:p>
        </w:tc>
        <w:tc>
          <w:tcPr>
            <w:tcW w:w="1323" w:type="dxa"/>
            <w:tcBorders>
              <w:top w:val="nil"/>
              <w:left w:val="nil"/>
              <w:bottom w:val="nil"/>
              <w:right w:val="nil"/>
            </w:tcBorders>
            <w:vAlign w:val="center"/>
            <w:hideMark/>
          </w:tcPr>
          <w:p w14:paraId="61C79948" w14:textId="77777777" w:rsidR="007A6A1A" w:rsidRPr="00C73F11" w:rsidRDefault="007A6A1A" w:rsidP="00BD36B5">
            <w:pPr>
              <w:spacing w:after="0" w:line="240" w:lineRule="auto"/>
              <w:jc w:val="center"/>
              <w:rPr>
                <w:sz w:val="20"/>
                <w:szCs w:val="20"/>
              </w:rPr>
            </w:pPr>
            <w:r w:rsidRPr="00C73F11">
              <w:rPr>
                <w:sz w:val="20"/>
                <w:szCs w:val="20"/>
              </w:rPr>
              <w:t>47.6%</w:t>
            </w:r>
          </w:p>
        </w:tc>
        <w:tc>
          <w:tcPr>
            <w:tcW w:w="1242" w:type="dxa"/>
            <w:tcBorders>
              <w:top w:val="nil"/>
              <w:left w:val="nil"/>
              <w:bottom w:val="nil"/>
              <w:right w:val="nil"/>
            </w:tcBorders>
            <w:vAlign w:val="center"/>
            <w:hideMark/>
          </w:tcPr>
          <w:p w14:paraId="41504F66" w14:textId="77777777" w:rsidR="007A6A1A" w:rsidRPr="00C73F11" w:rsidRDefault="007A6A1A" w:rsidP="00BD36B5">
            <w:pPr>
              <w:spacing w:after="0" w:line="240" w:lineRule="auto"/>
              <w:jc w:val="center"/>
              <w:rPr>
                <w:sz w:val="20"/>
                <w:szCs w:val="20"/>
              </w:rPr>
            </w:pPr>
            <w:r w:rsidRPr="00C73F11">
              <w:rPr>
                <w:sz w:val="20"/>
                <w:szCs w:val="20"/>
              </w:rPr>
              <w:t>5.9%</w:t>
            </w:r>
          </w:p>
        </w:tc>
        <w:tc>
          <w:tcPr>
            <w:tcW w:w="1582" w:type="dxa"/>
            <w:tcBorders>
              <w:top w:val="nil"/>
              <w:left w:val="nil"/>
              <w:bottom w:val="nil"/>
              <w:right w:val="nil"/>
            </w:tcBorders>
            <w:noWrap/>
            <w:vAlign w:val="center"/>
            <w:hideMark/>
          </w:tcPr>
          <w:p w14:paraId="4102D9A4" w14:textId="77777777" w:rsidR="007A6A1A" w:rsidRPr="00C73F11" w:rsidRDefault="007A6A1A" w:rsidP="00BD36B5">
            <w:pPr>
              <w:spacing w:after="0" w:line="240" w:lineRule="auto"/>
              <w:jc w:val="center"/>
              <w:rPr>
                <w:sz w:val="20"/>
                <w:szCs w:val="20"/>
              </w:rPr>
            </w:pPr>
            <w:r w:rsidRPr="00C73F11">
              <w:rPr>
                <w:sz w:val="20"/>
                <w:szCs w:val="20"/>
              </w:rPr>
              <w:t>3.8</w:t>
            </w:r>
          </w:p>
        </w:tc>
        <w:tc>
          <w:tcPr>
            <w:tcW w:w="935" w:type="dxa"/>
            <w:tcBorders>
              <w:top w:val="nil"/>
              <w:left w:val="nil"/>
              <w:bottom w:val="nil"/>
              <w:right w:val="nil"/>
            </w:tcBorders>
            <w:noWrap/>
            <w:vAlign w:val="center"/>
            <w:hideMark/>
          </w:tcPr>
          <w:p w14:paraId="25643D66" w14:textId="77777777" w:rsidR="007A6A1A" w:rsidRPr="00C73F11" w:rsidRDefault="007A6A1A" w:rsidP="00BD36B5">
            <w:pPr>
              <w:spacing w:after="0" w:line="240" w:lineRule="auto"/>
              <w:jc w:val="center"/>
              <w:rPr>
                <w:sz w:val="20"/>
                <w:szCs w:val="20"/>
              </w:rPr>
            </w:pPr>
            <w:r w:rsidRPr="00C73F11">
              <w:rPr>
                <w:sz w:val="20"/>
                <w:szCs w:val="20"/>
              </w:rPr>
              <w:t>3.7</w:t>
            </w:r>
          </w:p>
        </w:tc>
        <w:tc>
          <w:tcPr>
            <w:tcW w:w="698" w:type="dxa"/>
            <w:tcBorders>
              <w:top w:val="nil"/>
              <w:left w:val="nil"/>
              <w:bottom w:val="nil"/>
              <w:right w:val="single" w:sz="4" w:space="0" w:color="auto"/>
            </w:tcBorders>
            <w:noWrap/>
            <w:vAlign w:val="center"/>
            <w:hideMark/>
          </w:tcPr>
          <w:p w14:paraId="11943D36" w14:textId="77777777" w:rsidR="007A6A1A" w:rsidRPr="00C73F11" w:rsidRDefault="007A6A1A" w:rsidP="00BD36B5">
            <w:pPr>
              <w:spacing w:after="0" w:line="240" w:lineRule="auto"/>
              <w:jc w:val="center"/>
              <w:rPr>
                <w:sz w:val="20"/>
                <w:szCs w:val="20"/>
              </w:rPr>
            </w:pPr>
            <w:r w:rsidRPr="00C73F11">
              <w:rPr>
                <w:sz w:val="20"/>
                <w:szCs w:val="20"/>
              </w:rPr>
              <w:t>3.2</w:t>
            </w:r>
          </w:p>
        </w:tc>
      </w:tr>
      <w:tr w:rsidR="007A6A1A" w:rsidRPr="00167CB8" w14:paraId="498173DE" w14:textId="77777777" w:rsidTr="00675321">
        <w:trPr>
          <w:trHeight w:val="340"/>
        </w:trPr>
        <w:tc>
          <w:tcPr>
            <w:tcW w:w="3311" w:type="dxa"/>
            <w:tcBorders>
              <w:top w:val="nil"/>
              <w:left w:val="single" w:sz="4" w:space="0" w:color="auto"/>
              <w:bottom w:val="nil"/>
              <w:right w:val="nil"/>
            </w:tcBorders>
            <w:vAlign w:val="center"/>
            <w:hideMark/>
          </w:tcPr>
          <w:p w14:paraId="4A3E221B" w14:textId="77777777" w:rsidR="007A6A1A" w:rsidRPr="00C73F11" w:rsidRDefault="007A6A1A" w:rsidP="00BD36B5">
            <w:pPr>
              <w:spacing w:after="0" w:line="240" w:lineRule="auto"/>
              <w:rPr>
                <w:sz w:val="20"/>
                <w:szCs w:val="20"/>
              </w:rPr>
            </w:pPr>
            <w:r w:rsidRPr="00C73F11">
              <w:rPr>
                <w:sz w:val="20"/>
                <w:szCs w:val="20"/>
              </w:rPr>
              <w:t>Retail trade</w:t>
            </w:r>
          </w:p>
        </w:tc>
        <w:tc>
          <w:tcPr>
            <w:tcW w:w="1323" w:type="dxa"/>
            <w:tcBorders>
              <w:top w:val="nil"/>
              <w:left w:val="nil"/>
              <w:bottom w:val="nil"/>
              <w:right w:val="nil"/>
            </w:tcBorders>
            <w:vAlign w:val="center"/>
            <w:hideMark/>
          </w:tcPr>
          <w:p w14:paraId="4CAF3768" w14:textId="77777777" w:rsidR="007A6A1A" w:rsidRPr="00C73F11" w:rsidRDefault="007A6A1A" w:rsidP="00BD36B5">
            <w:pPr>
              <w:spacing w:after="0" w:line="240" w:lineRule="auto"/>
              <w:jc w:val="center"/>
              <w:rPr>
                <w:sz w:val="20"/>
                <w:szCs w:val="20"/>
              </w:rPr>
            </w:pPr>
            <w:r w:rsidRPr="00C73F11">
              <w:rPr>
                <w:sz w:val="20"/>
                <w:szCs w:val="20"/>
              </w:rPr>
              <w:t>44.3%</w:t>
            </w:r>
          </w:p>
        </w:tc>
        <w:tc>
          <w:tcPr>
            <w:tcW w:w="1242" w:type="dxa"/>
            <w:tcBorders>
              <w:top w:val="nil"/>
              <w:left w:val="nil"/>
              <w:bottom w:val="nil"/>
              <w:right w:val="nil"/>
            </w:tcBorders>
            <w:vAlign w:val="center"/>
            <w:hideMark/>
          </w:tcPr>
          <w:p w14:paraId="78ED6333" w14:textId="77777777" w:rsidR="007A6A1A" w:rsidRPr="00C73F11" w:rsidRDefault="007A6A1A" w:rsidP="00BD36B5">
            <w:pPr>
              <w:spacing w:after="0" w:line="240" w:lineRule="auto"/>
              <w:jc w:val="center"/>
              <w:rPr>
                <w:sz w:val="20"/>
                <w:szCs w:val="20"/>
              </w:rPr>
            </w:pPr>
            <w:r w:rsidRPr="00C73F11">
              <w:rPr>
                <w:sz w:val="20"/>
                <w:szCs w:val="20"/>
              </w:rPr>
              <w:t>7.0%</w:t>
            </w:r>
          </w:p>
        </w:tc>
        <w:tc>
          <w:tcPr>
            <w:tcW w:w="1582" w:type="dxa"/>
            <w:tcBorders>
              <w:top w:val="nil"/>
              <w:left w:val="nil"/>
              <w:bottom w:val="nil"/>
              <w:right w:val="nil"/>
            </w:tcBorders>
            <w:noWrap/>
            <w:vAlign w:val="center"/>
            <w:hideMark/>
          </w:tcPr>
          <w:p w14:paraId="4603943D" w14:textId="77777777" w:rsidR="007A6A1A" w:rsidRPr="00C73F11" w:rsidRDefault="007A6A1A" w:rsidP="00BD36B5">
            <w:pPr>
              <w:spacing w:after="0" w:line="240" w:lineRule="auto"/>
              <w:jc w:val="center"/>
              <w:rPr>
                <w:sz w:val="20"/>
                <w:szCs w:val="20"/>
              </w:rPr>
            </w:pPr>
            <w:r w:rsidRPr="00C73F11">
              <w:rPr>
                <w:sz w:val="20"/>
                <w:szCs w:val="20"/>
              </w:rPr>
              <w:t>4.0</w:t>
            </w:r>
          </w:p>
        </w:tc>
        <w:tc>
          <w:tcPr>
            <w:tcW w:w="935" w:type="dxa"/>
            <w:tcBorders>
              <w:top w:val="nil"/>
              <w:left w:val="nil"/>
              <w:bottom w:val="nil"/>
              <w:right w:val="nil"/>
            </w:tcBorders>
            <w:noWrap/>
            <w:vAlign w:val="center"/>
            <w:hideMark/>
          </w:tcPr>
          <w:p w14:paraId="125AB39E" w14:textId="77777777" w:rsidR="007A6A1A" w:rsidRPr="00C73F11" w:rsidRDefault="007A6A1A" w:rsidP="00BD36B5">
            <w:pPr>
              <w:spacing w:after="0" w:line="240" w:lineRule="auto"/>
              <w:jc w:val="center"/>
              <w:rPr>
                <w:sz w:val="20"/>
                <w:szCs w:val="20"/>
              </w:rPr>
            </w:pPr>
            <w:r w:rsidRPr="00C73F11">
              <w:rPr>
                <w:sz w:val="20"/>
                <w:szCs w:val="20"/>
              </w:rPr>
              <w:t>4.4</w:t>
            </w:r>
          </w:p>
        </w:tc>
        <w:tc>
          <w:tcPr>
            <w:tcW w:w="698" w:type="dxa"/>
            <w:tcBorders>
              <w:top w:val="nil"/>
              <w:left w:val="nil"/>
              <w:bottom w:val="nil"/>
              <w:right w:val="single" w:sz="4" w:space="0" w:color="auto"/>
            </w:tcBorders>
            <w:noWrap/>
            <w:vAlign w:val="center"/>
            <w:hideMark/>
          </w:tcPr>
          <w:p w14:paraId="3CA96481" w14:textId="77777777" w:rsidR="007A6A1A" w:rsidRPr="00C73F11" w:rsidRDefault="007A6A1A" w:rsidP="00BD36B5">
            <w:pPr>
              <w:spacing w:after="0" w:line="240" w:lineRule="auto"/>
              <w:jc w:val="center"/>
              <w:rPr>
                <w:sz w:val="20"/>
                <w:szCs w:val="20"/>
              </w:rPr>
            </w:pPr>
            <w:r w:rsidRPr="00C73F11">
              <w:rPr>
                <w:sz w:val="20"/>
                <w:szCs w:val="20"/>
              </w:rPr>
              <w:t>3.4</w:t>
            </w:r>
          </w:p>
        </w:tc>
      </w:tr>
      <w:tr w:rsidR="007A6A1A" w:rsidRPr="00167CB8" w14:paraId="78C5B365" w14:textId="77777777" w:rsidTr="00675321">
        <w:trPr>
          <w:trHeight w:val="340"/>
        </w:trPr>
        <w:tc>
          <w:tcPr>
            <w:tcW w:w="3311" w:type="dxa"/>
            <w:tcBorders>
              <w:top w:val="nil"/>
              <w:left w:val="single" w:sz="4" w:space="0" w:color="auto"/>
              <w:bottom w:val="nil"/>
              <w:right w:val="nil"/>
            </w:tcBorders>
            <w:vAlign w:val="center"/>
            <w:hideMark/>
          </w:tcPr>
          <w:p w14:paraId="0646DEAC" w14:textId="77777777" w:rsidR="007A6A1A" w:rsidRPr="00C73F11" w:rsidRDefault="007A6A1A" w:rsidP="00BD36B5">
            <w:pPr>
              <w:spacing w:after="0" w:line="240" w:lineRule="auto"/>
              <w:rPr>
                <w:sz w:val="20"/>
                <w:szCs w:val="20"/>
              </w:rPr>
            </w:pPr>
            <w:r w:rsidRPr="00C73F11">
              <w:rPr>
                <w:sz w:val="20"/>
                <w:szCs w:val="20"/>
              </w:rPr>
              <w:t>Accommodation and food services</w:t>
            </w:r>
          </w:p>
        </w:tc>
        <w:tc>
          <w:tcPr>
            <w:tcW w:w="1323" w:type="dxa"/>
            <w:tcBorders>
              <w:top w:val="nil"/>
              <w:left w:val="nil"/>
              <w:bottom w:val="nil"/>
              <w:right w:val="nil"/>
            </w:tcBorders>
            <w:vAlign w:val="center"/>
            <w:hideMark/>
          </w:tcPr>
          <w:p w14:paraId="67D929D9" w14:textId="77777777" w:rsidR="007A6A1A" w:rsidRPr="00C73F11" w:rsidRDefault="007A6A1A" w:rsidP="00BD36B5">
            <w:pPr>
              <w:spacing w:after="0" w:line="240" w:lineRule="auto"/>
              <w:jc w:val="center"/>
              <w:rPr>
                <w:sz w:val="20"/>
                <w:szCs w:val="20"/>
              </w:rPr>
            </w:pPr>
            <w:r w:rsidRPr="00C73F11">
              <w:rPr>
                <w:sz w:val="20"/>
                <w:szCs w:val="20"/>
              </w:rPr>
              <w:t>47.3%</w:t>
            </w:r>
          </w:p>
        </w:tc>
        <w:tc>
          <w:tcPr>
            <w:tcW w:w="1242" w:type="dxa"/>
            <w:tcBorders>
              <w:top w:val="nil"/>
              <w:left w:val="nil"/>
              <w:bottom w:val="nil"/>
              <w:right w:val="nil"/>
            </w:tcBorders>
            <w:vAlign w:val="center"/>
            <w:hideMark/>
          </w:tcPr>
          <w:p w14:paraId="112760F9" w14:textId="77777777" w:rsidR="007A6A1A" w:rsidRPr="00C73F11" w:rsidRDefault="007A6A1A" w:rsidP="00BD36B5">
            <w:pPr>
              <w:spacing w:after="0" w:line="240" w:lineRule="auto"/>
              <w:jc w:val="center"/>
              <w:rPr>
                <w:sz w:val="20"/>
                <w:szCs w:val="20"/>
              </w:rPr>
            </w:pPr>
            <w:r w:rsidRPr="00C73F11">
              <w:rPr>
                <w:sz w:val="20"/>
                <w:szCs w:val="20"/>
              </w:rPr>
              <w:t>7.3%</w:t>
            </w:r>
          </w:p>
        </w:tc>
        <w:tc>
          <w:tcPr>
            <w:tcW w:w="1582" w:type="dxa"/>
            <w:tcBorders>
              <w:top w:val="nil"/>
              <w:left w:val="nil"/>
              <w:bottom w:val="nil"/>
              <w:right w:val="nil"/>
            </w:tcBorders>
            <w:noWrap/>
            <w:vAlign w:val="center"/>
            <w:hideMark/>
          </w:tcPr>
          <w:p w14:paraId="2EBFDC97" w14:textId="77777777" w:rsidR="007A6A1A" w:rsidRPr="00C73F11" w:rsidRDefault="007A6A1A" w:rsidP="00BD36B5">
            <w:pPr>
              <w:spacing w:after="0" w:line="240" w:lineRule="auto"/>
              <w:jc w:val="center"/>
              <w:rPr>
                <w:sz w:val="20"/>
                <w:szCs w:val="20"/>
              </w:rPr>
            </w:pPr>
            <w:r w:rsidRPr="00C73F11">
              <w:rPr>
                <w:sz w:val="20"/>
                <w:szCs w:val="20"/>
              </w:rPr>
              <w:t>4.0</w:t>
            </w:r>
          </w:p>
        </w:tc>
        <w:tc>
          <w:tcPr>
            <w:tcW w:w="935" w:type="dxa"/>
            <w:tcBorders>
              <w:top w:val="nil"/>
              <w:left w:val="nil"/>
              <w:bottom w:val="nil"/>
              <w:right w:val="nil"/>
            </w:tcBorders>
            <w:noWrap/>
            <w:vAlign w:val="center"/>
            <w:hideMark/>
          </w:tcPr>
          <w:p w14:paraId="117E662C" w14:textId="77777777" w:rsidR="007A6A1A" w:rsidRPr="00C73F11" w:rsidRDefault="007A6A1A" w:rsidP="00BD36B5">
            <w:pPr>
              <w:spacing w:after="0" w:line="240" w:lineRule="auto"/>
              <w:jc w:val="center"/>
              <w:rPr>
                <w:sz w:val="20"/>
                <w:szCs w:val="20"/>
              </w:rPr>
            </w:pPr>
            <w:r w:rsidRPr="00C73F11">
              <w:rPr>
                <w:sz w:val="20"/>
                <w:szCs w:val="20"/>
              </w:rPr>
              <w:t>5.5</w:t>
            </w:r>
          </w:p>
        </w:tc>
        <w:tc>
          <w:tcPr>
            <w:tcW w:w="698" w:type="dxa"/>
            <w:tcBorders>
              <w:top w:val="nil"/>
              <w:left w:val="nil"/>
              <w:bottom w:val="nil"/>
              <w:right w:val="single" w:sz="4" w:space="0" w:color="auto"/>
            </w:tcBorders>
            <w:noWrap/>
            <w:vAlign w:val="center"/>
            <w:hideMark/>
          </w:tcPr>
          <w:p w14:paraId="39226D3E" w14:textId="77777777" w:rsidR="007A6A1A" w:rsidRPr="00C73F11" w:rsidRDefault="007A6A1A" w:rsidP="00BD36B5">
            <w:pPr>
              <w:spacing w:after="0" w:line="240" w:lineRule="auto"/>
              <w:jc w:val="center"/>
              <w:rPr>
                <w:sz w:val="20"/>
                <w:szCs w:val="20"/>
              </w:rPr>
            </w:pPr>
            <w:r w:rsidRPr="00C73F11">
              <w:rPr>
                <w:sz w:val="20"/>
                <w:szCs w:val="20"/>
              </w:rPr>
              <w:t>3.5</w:t>
            </w:r>
          </w:p>
        </w:tc>
      </w:tr>
      <w:tr w:rsidR="007A6A1A" w:rsidRPr="00167CB8" w14:paraId="2459D52C" w14:textId="77777777" w:rsidTr="00675321">
        <w:trPr>
          <w:trHeight w:val="340"/>
        </w:trPr>
        <w:tc>
          <w:tcPr>
            <w:tcW w:w="3311" w:type="dxa"/>
            <w:tcBorders>
              <w:top w:val="nil"/>
              <w:left w:val="single" w:sz="4" w:space="0" w:color="auto"/>
              <w:bottom w:val="nil"/>
              <w:right w:val="nil"/>
            </w:tcBorders>
            <w:vAlign w:val="center"/>
            <w:hideMark/>
          </w:tcPr>
          <w:p w14:paraId="53801BA8" w14:textId="77777777" w:rsidR="007A6A1A" w:rsidRPr="00C73F11" w:rsidRDefault="007A6A1A" w:rsidP="00BD36B5">
            <w:pPr>
              <w:spacing w:after="0" w:line="240" w:lineRule="auto"/>
              <w:rPr>
                <w:sz w:val="20"/>
                <w:szCs w:val="20"/>
              </w:rPr>
            </w:pPr>
            <w:r w:rsidRPr="00C73F11">
              <w:rPr>
                <w:sz w:val="20"/>
                <w:szCs w:val="20"/>
              </w:rPr>
              <w:t>Transport, postal and warehousing</w:t>
            </w:r>
          </w:p>
        </w:tc>
        <w:tc>
          <w:tcPr>
            <w:tcW w:w="1323" w:type="dxa"/>
            <w:tcBorders>
              <w:top w:val="nil"/>
              <w:left w:val="nil"/>
              <w:bottom w:val="nil"/>
              <w:right w:val="nil"/>
            </w:tcBorders>
            <w:vAlign w:val="center"/>
            <w:hideMark/>
          </w:tcPr>
          <w:p w14:paraId="74B1E082" w14:textId="77777777" w:rsidR="007A6A1A" w:rsidRPr="00C73F11" w:rsidRDefault="007A6A1A" w:rsidP="00BD36B5">
            <w:pPr>
              <w:spacing w:after="0" w:line="240" w:lineRule="auto"/>
              <w:jc w:val="center"/>
              <w:rPr>
                <w:sz w:val="20"/>
                <w:szCs w:val="20"/>
              </w:rPr>
            </w:pPr>
            <w:r w:rsidRPr="00C73F11">
              <w:rPr>
                <w:sz w:val="20"/>
                <w:szCs w:val="20"/>
              </w:rPr>
              <w:t>46.5%</w:t>
            </w:r>
          </w:p>
        </w:tc>
        <w:tc>
          <w:tcPr>
            <w:tcW w:w="1242" w:type="dxa"/>
            <w:tcBorders>
              <w:top w:val="nil"/>
              <w:left w:val="nil"/>
              <w:bottom w:val="nil"/>
              <w:right w:val="nil"/>
            </w:tcBorders>
            <w:vAlign w:val="center"/>
            <w:hideMark/>
          </w:tcPr>
          <w:p w14:paraId="66FECB51" w14:textId="77777777" w:rsidR="007A6A1A" w:rsidRPr="00C73F11" w:rsidRDefault="007A6A1A" w:rsidP="00BD36B5">
            <w:pPr>
              <w:spacing w:after="0" w:line="240" w:lineRule="auto"/>
              <w:jc w:val="center"/>
              <w:rPr>
                <w:sz w:val="20"/>
                <w:szCs w:val="20"/>
              </w:rPr>
            </w:pPr>
            <w:r w:rsidRPr="00C73F11">
              <w:rPr>
                <w:sz w:val="20"/>
                <w:szCs w:val="20"/>
              </w:rPr>
              <w:t>7.0%</w:t>
            </w:r>
          </w:p>
        </w:tc>
        <w:tc>
          <w:tcPr>
            <w:tcW w:w="1582" w:type="dxa"/>
            <w:tcBorders>
              <w:top w:val="nil"/>
              <w:left w:val="nil"/>
              <w:bottom w:val="nil"/>
              <w:right w:val="nil"/>
            </w:tcBorders>
            <w:noWrap/>
            <w:vAlign w:val="center"/>
            <w:hideMark/>
          </w:tcPr>
          <w:p w14:paraId="57CAD870" w14:textId="77777777" w:rsidR="007A6A1A" w:rsidRPr="00C73F11" w:rsidRDefault="007A6A1A" w:rsidP="00BD36B5">
            <w:pPr>
              <w:spacing w:after="0" w:line="240" w:lineRule="auto"/>
              <w:jc w:val="center"/>
              <w:rPr>
                <w:sz w:val="20"/>
                <w:szCs w:val="20"/>
              </w:rPr>
            </w:pPr>
            <w:r w:rsidRPr="00C73F11">
              <w:rPr>
                <w:sz w:val="20"/>
                <w:szCs w:val="20"/>
              </w:rPr>
              <w:t>3.8</w:t>
            </w:r>
          </w:p>
        </w:tc>
        <w:tc>
          <w:tcPr>
            <w:tcW w:w="935" w:type="dxa"/>
            <w:tcBorders>
              <w:top w:val="nil"/>
              <w:left w:val="nil"/>
              <w:bottom w:val="nil"/>
              <w:right w:val="nil"/>
            </w:tcBorders>
            <w:noWrap/>
            <w:vAlign w:val="center"/>
            <w:hideMark/>
          </w:tcPr>
          <w:p w14:paraId="1BDE1DC0" w14:textId="77777777" w:rsidR="007A6A1A" w:rsidRPr="00C73F11" w:rsidRDefault="007A6A1A" w:rsidP="00BD36B5">
            <w:pPr>
              <w:spacing w:after="0" w:line="240" w:lineRule="auto"/>
              <w:jc w:val="center"/>
              <w:rPr>
                <w:sz w:val="20"/>
                <w:szCs w:val="20"/>
              </w:rPr>
            </w:pPr>
            <w:r w:rsidRPr="00C73F11">
              <w:rPr>
                <w:sz w:val="20"/>
                <w:szCs w:val="20"/>
              </w:rPr>
              <w:t>4.4</w:t>
            </w:r>
          </w:p>
        </w:tc>
        <w:tc>
          <w:tcPr>
            <w:tcW w:w="698" w:type="dxa"/>
            <w:tcBorders>
              <w:top w:val="nil"/>
              <w:left w:val="nil"/>
              <w:bottom w:val="nil"/>
              <w:right w:val="single" w:sz="4" w:space="0" w:color="auto"/>
            </w:tcBorders>
            <w:noWrap/>
            <w:vAlign w:val="center"/>
            <w:hideMark/>
          </w:tcPr>
          <w:p w14:paraId="33281928" w14:textId="77777777" w:rsidR="007A6A1A" w:rsidRPr="00C73F11" w:rsidRDefault="007A6A1A" w:rsidP="00BD36B5">
            <w:pPr>
              <w:spacing w:after="0" w:line="240" w:lineRule="auto"/>
              <w:jc w:val="center"/>
              <w:rPr>
                <w:sz w:val="20"/>
                <w:szCs w:val="20"/>
              </w:rPr>
            </w:pPr>
            <w:r w:rsidRPr="00C73F11">
              <w:rPr>
                <w:sz w:val="20"/>
                <w:szCs w:val="20"/>
              </w:rPr>
              <w:t>3.7</w:t>
            </w:r>
          </w:p>
        </w:tc>
      </w:tr>
      <w:tr w:rsidR="007A6A1A" w:rsidRPr="00167CB8" w14:paraId="4749C909" w14:textId="77777777" w:rsidTr="00675321">
        <w:trPr>
          <w:trHeight w:val="340"/>
        </w:trPr>
        <w:tc>
          <w:tcPr>
            <w:tcW w:w="3311" w:type="dxa"/>
            <w:tcBorders>
              <w:top w:val="nil"/>
              <w:left w:val="single" w:sz="4" w:space="0" w:color="auto"/>
              <w:bottom w:val="nil"/>
              <w:right w:val="nil"/>
            </w:tcBorders>
            <w:vAlign w:val="center"/>
            <w:hideMark/>
          </w:tcPr>
          <w:p w14:paraId="2553B0F5" w14:textId="77777777" w:rsidR="007A6A1A" w:rsidRPr="00C73F11" w:rsidRDefault="007A6A1A" w:rsidP="00BD36B5">
            <w:pPr>
              <w:spacing w:after="0" w:line="240" w:lineRule="auto"/>
              <w:rPr>
                <w:sz w:val="20"/>
                <w:szCs w:val="20"/>
              </w:rPr>
            </w:pPr>
            <w:r w:rsidRPr="00C73F11">
              <w:rPr>
                <w:sz w:val="20"/>
                <w:szCs w:val="20"/>
              </w:rPr>
              <w:t>Information media and telecommunications</w:t>
            </w:r>
          </w:p>
        </w:tc>
        <w:tc>
          <w:tcPr>
            <w:tcW w:w="1323" w:type="dxa"/>
            <w:tcBorders>
              <w:top w:val="nil"/>
              <w:left w:val="nil"/>
              <w:bottom w:val="nil"/>
              <w:right w:val="nil"/>
            </w:tcBorders>
            <w:vAlign w:val="center"/>
            <w:hideMark/>
          </w:tcPr>
          <w:p w14:paraId="16B874C8" w14:textId="77777777" w:rsidR="007A6A1A" w:rsidRPr="00C73F11" w:rsidRDefault="007A6A1A" w:rsidP="00BD36B5">
            <w:pPr>
              <w:spacing w:after="0" w:line="240" w:lineRule="auto"/>
              <w:jc w:val="center"/>
              <w:rPr>
                <w:sz w:val="20"/>
                <w:szCs w:val="20"/>
              </w:rPr>
            </w:pPr>
            <w:r w:rsidRPr="00C73F11">
              <w:rPr>
                <w:sz w:val="20"/>
                <w:szCs w:val="20"/>
              </w:rPr>
              <w:t>43.5%</w:t>
            </w:r>
          </w:p>
        </w:tc>
        <w:tc>
          <w:tcPr>
            <w:tcW w:w="1242" w:type="dxa"/>
            <w:tcBorders>
              <w:top w:val="nil"/>
              <w:left w:val="nil"/>
              <w:bottom w:val="nil"/>
              <w:right w:val="nil"/>
            </w:tcBorders>
            <w:vAlign w:val="center"/>
            <w:hideMark/>
          </w:tcPr>
          <w:p w14:paraId="3D64E4F6" w14:textId="77777777" w:rsidR="007A6A1A" w:rsidRPr="00C73F11" w:rsidRDefault="007A6A1A" w:rsidP="00BD36B5">
            <w:pPr>
              <w:spacing w:after="0" w:line="240" w:lineRule="auto"/>
              <w:jc w:val="center"/>
              <w:rPr>
                <w:sz w:val="20"/>
                <w:szCs w:val="20"/>
              </w:rPr>
            </w:pPr>
            <w:r w:rsidRPr="00C73F11">
              <w:rPr>
                <w:sz w:val="20"/>
                <w:szCs w:val="20"/>
              </w:rPr>
              <w:t>6.0%</w:t>
            </w:r>
          </w:p>
        </w:tc>
        <w:tc>
          <w:tcPr>
            <w:tcW w:w="1582" w:type="dxa"/>
            <w:tcBorders>
              <w:top w:val="nil"/>
              <w:left w:val="nil"/>
              <w:bottom w:val="nil"/>
              <w:right w:val="nil"/>
            </w:tcBorders>
            <w:noWrap/>
            <w:vAlign w:val="center"/>
            <w:hideMark/>
          </w:tcPr>
          <w:p w14:paraId="62B09612" w14:textId="77777777" w:rsidR="007A6A1A" w:rsidRPr="00C73F11" w:rsidRDefault="007A6A1A" w:rsidP="00BD36B5">
            <w:pPr>
              <w:spacing w:after="0" w:line="240" w:lineRule="auto"/>
              <w:jc w:val="center"/>
              <w:rPr>
                <w:sz w:val="20"/>
                <w:szCs w:val="20"/>
              </w:rPr>
            </w:pPr>
            <w:r w:rsidRPr="00C73F11">
              <w:rPr>
                <w:sz w:val="20"/>
                <w:szCs w:val="20"/>
              </w:rPr>
              <w:t>3.5</w:t>
            </w:r>
          </w:p>
        </w:tc>
        <w:tc>
          <w:tcPr>
            <w:tcW w:w="935" w:type="dxa"/>
            <w:tcBorders>
              <w:top w:val="nil"/>
              <w:left w:val="nil"/>
              <w:bottom w:val="nil"/>
              <w:right w:val="nil"/>
            </w:tcBorders>
            <w:noWrap/>
            <w:vAlign w:val="center"/>
            <w:hideMark/>
          </w:tcPr>
          <w:p w14:paraId="2B7A0F2D" w14:textId="77777777" w:rsidR="007A6A1A" w:rsidRPr="00C73F11" w:rsidRDefault="007A6A1A" w:rsidP="00BD36B5">
            <w:pPr>
              <w:spacing w:after="0" w:line="240" w:lineRule="auto"/>
              <w:jc w:val="center"/>
              <w:rPr>
                <w:sz w:val="20"/>
                <w:szCs w:val="20"/>
              </w:rPr>
            </w:pPr>
            <w:r w:rsidRPr="00C73F11">
              <w:rPr>
                <w:sz w:val="20"/>
                <w:szCs w:val="20"/>
              </w:rPr>
              <w:t>3.6</w:t>
            </w:r>
          </w:p>
        </w:tc>
        <w:tc>
          <w:tcPr>
            <w:tcW w:w="698" w:type="dxa"/>
            <w:tcBorders>
              <w:top w:val="nil"/>
              <w:left w:val="nil"/>
              <w:bottom w:val="nil"/>
              <w:right w:val="single" w:sz="4" w:space="0" w:color="auto"/>
            </w:tcBorders>
            <w:noWrap/>
            <w:vAlign w:val="center"/>
            <w:hideMark/>
          </w:tcPr>
          <w:p w14:paraId="04A4F4A3" w14:textId="77777777" w:rsidR="007A6A1A" w:rsidRPr="00C73F11" w:rsidRDefault="007A6A1A" w:rsidP="00BD36B5">
            <w:pPr>
              <w:spacing w:after="0" w:line="240" w:lineRule="auto"/>
              <w:jc w:val="center"/>
              <w:rPr>
                <w:sz w:val="20"/>
                <w:szCs w:val="20"/>
              </w:rPr>
            </w:pPr>
            <w:r w:rsidRPr="00C73F11">
              <w:rPr>
                <w:sz w:val="20"/>
                <w:szCs w:val="20"/>
              </w:rPr>
              <w:t>3.3</w:t>
            </w:r>
          </w:p>
        </w:tc>
      </w:tr>
      <w:tr w:rsidR="007A6A1A" w:rsidRPr="00167CB8" w14:paraId="33AA441D" w14:textId="77777777" w:rsidTr="00675321">
        <w:trPr>
          <w:trHeight w:val="340"/>
        </w:trPr>
        <w:tc>
          <w:tcPr>
            <w:tcW w:w="3311" w:type="dxa"/>
            <w:tcBorders>
              <w:top w:val="nil"/>
              <w:left w:val="single" w:sz="4" w:space="0" w:color="auto"/>
              <w:bottom w:val="nil"/>
              <w:right w:val="nil"/>
            </w:tcBorders>
            <w:vAlign w:val="center"/>
            <w:hideMark/>
          </w:tcPr>
          <w:p w14:paraId="74B24478" w14:textId="77777777" w:rsidR="007A6A1A" w:rsidRPr="00C73F11" w:rsidRDefault="007A6A1A" w:rsidP="00BD36B5">
            <w:pPr>
              <w:spacing w:after="0" w:line="240" w:lineRule="auto"/>
              <w:rPr>
                <w:sz w:val="20"/>
                <w:szCs w:val="20"/>
              </w:rPr>
            </w:pPr>
            <w:r w:rsidRPr="00C73F11">
              <w:rPr>
                <w:sz w:val="20"/>
                <w:szCs w:val="20"/>
              </w:rPr>
              <w:t>Financial and insurance services</w:t>
            </w:r>
          </w:p>
        </w:tc>
        <w:tc>
          <w:tcPr>
            <w:tcW w:w="1323" w:type="dxa"/>
            <w:tcBorders>
              <w:top w:val="nil"/>
              <w:left w:val="nil"/>
              <w:bottom w:val="nil"/>
              <w:right w:val="nil"/>
            </w:tcBorders>
            <w:vAlign w:val="center"/>
            <w:hideMark/>
          </w:tcPr>
          <w:p w14:paraId="75F9A681" w14:textId="77777777" w:rsidR="007A6A1A" w:rsidRPr="00C73F11" w:rsidRDefault="007A6A1A" w:rsidP="00BD36B5">
            <w:pPr>
              <w:spacing w:after="0" w:line="240" w:lineRule="auto"/>
              <w:jc w:val="center"/>
              <w:rPr>
                <w:sz w:val="20"/>
                <w:szCs w:val="20"/>
              </w:rPr>
            </w:pPr>
            <w:r w:rsidRPr="00C73F11">
              <w:rPr>
                <w:sz w:val="20"/>
                <w:szCs w:val="20"/>
              </w:rPr>
              <w:t>48.8%</w:t>
            </w:r>
          </w:p>
        </w:tc>
        <w:tc>
          <w:tcPr>
            <w:tcW w:w="1242" w:type="dxa"/>
            <w:tcBorders>
              <w:top w:val="nil"/>
              <w:left w:val="nil"/>
              <w:bottom w:val="nil"/>
              <w:right w:val="nil"/>
            </w:tcBorders>
            <w:vAlign w:val="center"/>
            <w:hideMark/>
          </w:tcPr>
          <w:p w14:paraId="057586E5" w14:textId="77777777" w:rsidR="007A6A1A" w:rsidRPr="00C73F11" w:rsidRDefault="007A6A1A" w:rsidP="00BD36B5">
            <w:pPr>
              <w:spacing w:after="0" w:line="240" w:lineRule="auto"/>
              <w:jc w:val="center"/>
              <w:rPr>
                <w:sz w:val="20"/>
                <w:szCs w:val="20"/>
              </w:rPr>
            </w:pPr>
            <w:r w:rsidRPr="00C73F11">
              <w:rPr>
                <w:sz w:val="20"/>
                <w:szCs w:val="20"/>
              </w:rPr>
              <w:t>5.2%</w:t>
            </w:r>
          </w:p>
        </w:tc>
        <w:tc>
          <w:tcPr>
            <w:tcW w:w="1582" w:type="dxa"/>
            <w:tcBorders>
              <w:top w:val="nil"/>
              <w:left w:val="nil"/>
              <w:bottom w:val="nil"/>
              <w:right w:val="nil"/>
            </w:tcBorders>
            <w:noWrap/>
            <w:vAlign w:val="center"/>
            <w:hideMark/>
          </w:tcPr>
          <w:p w14:paraId="08C4C58E" w14:textId="77777777" w:rsidR="007A6A1A" w:rsidRPr="00C73F11" w:rsidRDefault="007A6A1A" w:rsidP="00BD36B5">
            <w:pPr>
              <w:spacing w:after="0" w:line="240" w:lineRule="auto"/>
              <w:jc w:val="center"/>
              <w:rPr>
                <w:sz w:val="20"/>
                <w:szCs w:val="20"/>
              </w:rPr>
            </w:pPr>
            <w:r w:rsidRPr="00C73F11">
              <w:rPr>
                <w:sz w:val="20"/>
                <w:szCs w:val="20"/>
              </w:rPr>
              <w:t>3.5</w:t>
            </w:r>
          </w:p>
        </w:tc>
        <w:tc>
          <w:tcPr>
            <w:tcW w:w="935" w:type="dxa"/>
            <w:tcBorders>
              <w:top w:val="nil"/>
              <w:left w:val="nil"/>
              <w:bottom w:val="nil"/>
              <w:right w:val="nil"/>
            </w:tcBorders>
            <w:noWrap/>
            <w:vAlign w:val="center"/>
            <w:hideMark/>
          </w:tcPr>
          <w:p w14:paraId="7FDB7B33" w14:textId="77777777" w:rsidR="007A6A1A" w:rsidRPr="00C73F11" w:rsidRDefault="007A6A1A" w:rsidP="00BD36B5">
            <w:pPr>
              <w:spacing w:after="0" w:line="240" w:lineRule="auto"/>
              <w:jc w:val="center"/>
              <w:rPr>
                <w:sz w:val="20"/>
                <w:szCs w:val="20"/>
              </w:rPr>
            </w:pPr>
            <w:r w:rsidRPr="00C73F11">
              <w:rPr>
                <w:sz w:val="20"/>
                <w:szCs w:val="20"/>
              </w:rPr>
              <w:t>3.1</w:t>
            </w:r>
          </w:p>
        </w:tc>
        <w:tc>
          <w:tcPr>
            <w:tcW w:w="698" w:type="dxa"/>
            <w:tcBorders>
              <w:top w:val="nil"/>
              <w:left w:val="nil"/>
              <w:bottom w:val="nil"/>
              <w:right w:val="single" w:sz="4" w:space="0" w:color="auto"/>
            </w:tcBorders>
            <w:noWrap/>
            <w:vAlign w:val="center"/>
            <w:hideMark/>
          </w:tcPr>
          <w:p w14:paraId="22125096" w14:textId="77777777" w:rsidR="007A6A1A" w:rsidRPr="00C73F11" w:rsidRDefault="007A6A1A" w:rsidP="00BD36B5">
            <w:pPr>
              <w:spacing w:after="0" w:line="240" w:lineRule="auto"/>
              <w:jc w:val="center"/>
              <w:rPr>
                <w:sz w:val="20"/>
                <w:szCs w:val="20"/>
              </w:rPr>
            </w:pPr>
            <w:r w:rsidRPr="00C73F11">
              <w:rPr>
                <w:sz w:val="20"/>
                <w:szCs w:val="20"/>
              </w:rPr>
              <w:t>3.0</w:t>
            </w:r>
          </w:p>
        </w:tc>
      </w:tr>
      <w:tr w:rsidR="007A6A1A" w:rsidRPr="00167CB8" w14:paraId="65A4CEEC" w14:textId="77777777" w:rsidTr="00675321">
        <w:trPr>
          <w:trHeight w:val="340"/>
        </w:trPr>
        <w:tc>
          <w:tcPr>
            <w:tcW w:w="3311" w:type="dxa"/>
            <w:tcBorders>
              <w:top w:val="nil"/>
              <w:left w:val="single" w:sz="4" w:space="0" w:color="auto"/>
              <w:bottom w:val="nil"/>
              <w:right w:val="nil"/>
            </w:tcBorders>
            <w:vAlign w:val="center"/>
            <w:hideMark/>
          </w:tcPr>
          <w:p w14:paraId="2603DA2A" w14:textId="77777777" w:rsidR="007A6A1A" w:rsidRPr="00C73F11" w:rsidRDefault="007A6A1A" w:rsidP="00BD36B5">
            <w:pPr>
              <w:spacing w:after="0" w:line="240" w:lineRule="auto"/>
              <w:rPr>
                <w:sz w:val="20"/>
                <w:szCs w:val="20"/>
              </w:rPr>
            </w:pPr>
            <w:r w:rsidRPr="00C73F11">
              <w:rPr>
                <w:sz w:val="20"/>
                <w:szCs w:val="20"/>
              </w:rPr>
              <w:t>Rental, hiring and real estate services</w:t>
            </w:r>
          </w:p>
        </w:tc>
        <w:tc>
          <w:tcPr>
            <w:tcW w:w="1323" w:type="dxa"/>
            <w:tcBorders>
              <w:top w:val="nil"/>
              <w:left w:val="nil"/>
              <w:bottom w:val="nil"/>
              <w:right w:val="nil"/>
            </w:tcBorders>
            <w:vAlign w:val="center"/>
            <w:hideMark/>
          </w:tcPr>
          <w:p w14:paraId="7CD537A0" w14:textId="77777777" w:rsidR="007A6A1A" w:rsidRPr="00C73F11" w:rsidRDefault="007A6A1A" w:rsidP="00BD36B5">
            <w:pPr>
              <w:spacing w:after="0" w:line="240" w:lineRule="auto"/>
              <w:jc w:val="center"/>
              <w:rPr>
                <w:sz w:val="20"/>
                <w:szCs w:val="20"/>
              </w:rPr>
            </w:pPr>
            <w:r w:rsidRPr="00C73F11">
              <w:rPr>
                <w:sz w:val="20"/>
                <w:szCs w:val="20"/>
              </w:rPr>
              <w:t>43.0%</w:t>
            </w:r>
          </w:p>
        </w:tc>
        <w:tc>
          <w:tcPr>
            <w:tcW w:w="1242" w:type="dxa"/>
            <w:tcBorders>
              <w:top w:val="nil"/>
              <w:left w:val="nil"/>
              <w:bottom w:val="nil"/>
              <w:right w:val="nil"/>
            </w:tcBorders>
            <w:vAlign w:val="center"/>
            <w:hideMark/>
          </w:tcPr>
          <w:p w14:paraId="1AC3E213" w14:textId="77777777" w:rsidR="007A6A1A" w:rsidRPr="00C73F11" w:rsidRDefault="007A6A1A" w:rsidP="00BD36B5">
            <w:pPr>
              <w:spacing w:after="0" w:line="240" w:lineRule="auto"/>
              <w:jc w:val="center"/>
              <w:rPr>
                <w:sz w:val="20"/>
                <w:szCs w:val="20"/>
              </w:rPr>
            </w:pPr>
            <w:r w:rsidRPr="00C73F11">
              <w:rPr>
                <w:sz w:val="20"/>
                <w:szCs w:val="20"/>
              </w:rPr>
              <w:t>6.5%</w:t>
            </w:r>
          </w:p>
        </w:tc>
        <w:tc>
          <w:tcPr>
            <w:tcW w:w="1582" w:type="dxa"/>
            <w:tcBorders>
              <w:top w:val="nil"/>
              <w:left w:val="nil"/>
              <w:bottom w:val="nil"/>
              <w:right w:val="nil"/>
            </w:tcBorders>
            <w:noWrap/>
            <w:vAlign w:val="center"/>
            <w:hideMark/>
          </w:tcPr>
          <w:p w14:paraId="67C4AA92" w14:textId="77777777" w:rsidR="007A6A1A" w:rsidRPr="00C73F11" w:rsidRDefault="007A6A1A" w:rsidP="00BD36B5">
            <w:pPr>
              <w:spacing w:after="0" w:line="240" w:lineRule="auto"/>
              <w:jc w:val="center"/>
              <w:rPr>
                <w:sz w:val="20"/>
                <w:szCs w:val="20"/>
              </w:rPr>
            </w:pPr>
            <w:r w:rsidRPr="00C73F11">
              <w:rPr>
                <w:sz w:val="20"/>
                <w:szCs w:val="20"/>
              </w:rPr>
              <w:t>3.6</w:t>
            </w:r>
          </w:p>
        </w:tc>
        <w:tc>
          <w:tcPr>
            <w:tcW w:w="935" w:type="dxa"/>
            <w:tcBorders>
              <w:top w:val="nil"/>
              <w:left w:val="nil"/>
              <w:bottom w:val="nil"/>
              <w:right w:val="nil"/>
            </w:tcBorders>
            <w:noWrap/>
            <w:vAlign w:val="center"/>
            <w:hideMark/>
          </w:tcPr>
          <w:p w14:paraId="7ED0A1AA" w14:textId="77777777" w:rsidR="007A6A1A" w:rsidRPr="00C73F11" w:rsidRDefault="007A6A1A" w:rsidP="00BD36B5">
            <w:pPr>
              <w:spacing w:after="0" w:line="240" w:lineRule="auto"/>
              <w:jc w:val="center"/>
              <w:rPr>
                <w:sz w:val="20"/>
                <w:szCs w:val="20"/>
              </w:rPr>
            </w:pPr>
            <w:r w:rsidRPr="00C73F11">
              <w:rPr>
                <w:sz w:val="20"/>
                <w:szCs w:val="20"/>
              </w:rPr>
              <w:t>3.7</w:t>
            </w:r>
          </w:p>
        </w:tc>
        <w:tc>
          <w:tcPr>
            <w:tcW w:w="698" w:type="dxa"/>
            <w:tcBorders>
              <w:top w:val="nil"/>
              <w:left w:val="nil"/>
              <w:bottom w:val="nil"/>
              <w:right w:val="single" w:sz="4" w:space="0" w:color="auto"/>
            </w:tcBorders>
            <w:noWrap/>
            <w:vAlign w:val="center"/>
            <w:hideMark/>
          </w:tcPr>
          <w:p w14:paraId="24D6F5EA" w14:textId="77777777" w:rsidR="007A6A1A" w:rsidRPr="00C73F11" w:rsidRDefault="007A6A1A" w:rsidP="00BD36B5">
            <w:pPr>
              <w:spacing w:after="0" w:line="240" w:lineRule="auto"/>
              <w:jc w:val="center"/>
              <w:rPr>
                <w:sz w:val="20"/>
                <w:szCs w:val="20"/>
              </w:rPr>
            </w:pPr>
            <w:r w:rsidRPr="00C73F11">
              <w:rPr>
                <w:sz w:val="20"/>
                <w:szCs w:val="20"/>
              </w:rPr>
              <w:t>3.2</w:t>
            </w:r>
          </w:p>
        </w:tc>
      </w:tr>
      <w:tr w:rsidR="007A6A1A" w:rsidRPr="00167CB8" w14:paraId="1BBD9843" w14:textId="77777777" w:rsidTr="00675321">
        <w:trPr>
          <w:trHeight w:val="340"/>
        </w:trPr>
        <w:tc>
          <w:tcPr>
            <w:tcW w:w="3311" w:type="dxa"/>
            <w:tcBorders>
              <w:top w:val="nil"/>
              <w:left w:val="single" w:sz="4" w:space="0" w:color="auto"/>
              <w:bottom w:val="nil"/>
              <w:right w:val="nil"/>
            </w:tcBorders>
            <w:vAlign w:val="center"/>
            <w:hideMark/>
          </w:tcPr>
          <w:p w14:paraId="7EA3276C" w14:textId="77777777" w:rsidR="007A6A1A" w:rsidRPr="00C73F11" w:rsidRDefault="007A6A1A" w:rsidP="00BD36B5">
            <w:pPr>
              <w:spacing w:after="0" w:line="240" w:lineRule="auto"/>
              <w:rPr>
                <w:sz w:val="20"/>
                <w:szCs w:val="20"/>
              </w:rPr>
            </w:pPr>
            <w:r w:rsidRPr="00C73F11">
              <w:rPr>
                <w:sz w:val="20"/>
                <w:szCs w:val="20"/>
              </w:rPr>
              <w:t>Professional, scientific and technical services</w:t>
            </w:r>
          </w:p>
        </w:tc>
        <w:tc>
          <w:tcPr>
            <w:tcW w:w="1323" w:type="dxa"/>
            <w:tcBorders>
              <w:top w:val="nil"/>
              <w:left w:val="nil"/>
              <w:bottom w:val="nil"/>
              <w:right w:val="nil"/>
            </w:tcBorders>
            <w:vAlign w:val="center"/>
            <w:hideMark/>
          </w:tcPr>
          <w:p w14:paraId="542C4575" w14:textId="77777777" w:rsidR="007A6A1A" w:rsidRPr="00C73F11" w:rsidRDefault="007A6A1A" w:rsidP="00BD36B5">
            <w:pPr>
              <w:spacing w:after="0" w:line="240" w:lineRule="auto"/>
              <w:jc w:val="center"/>
              <w:rPr>
                <w:sz w:val="20"/>
                <w:szCs w:val="20"/>
              </w:rPr>
            </w:pPr>
            <w:r w:rsidRPr="00C73F11">
              <w:rPr>
                <w:sz w:val="20"/>
                <w:szCs w:val="20"/>
              </w:rPr>
              <w:t>46.0%</w:t>
            </w:r>
          </w:p>
        </w:tc>
        <w:tc>
          <w:tcPr>
            <w:tcW w:w="1242" w:type="dxa"/>
            <w:tcBorders>
              <w:top w:val="nil"/>
              <w:left w:val="nil"/>
              <w:bottom w:val="nil"/>
              <w:right w:val="nil"/>
            </w:tcBorders>
            <w:vAlign w:val="center"/>
            <w:hideMark/>
          </w:tcPr>
          <w:p w14:paraId="417170A5" w14:textId="77777777" w:rsidR="007A6A1A" w:rsidRPr="00C73F11" w:rsidRDefault="007A6A1A" w:rsidP="00BD36B5">
            <w:pPr>
              <w:spacing w:after="0" w:line="240" w:lineRule="auto"/>
              <w:jc w:val="center"/>
              <w:rPr>
                <w:sz w:val="20"/>
                <w:szCs w:val="20"/>
              </w:rPr>
            </w:pPr>
            <w:r w:rsidRPr="00C73F11">
              <w:rPr>
                <w:sz w:val="20"/>
                <w:szCs w:val="20"/>
              </w:rPr>
              <w:t>6.3%</w:t>
            </w:r>
          </w:p>
        </w:tc>
        <w:tc>
          <w:tcPr>
            <w:tcW w:w="1582" w:type="dxa"/>
            <w:tcBorders>
              <w:top w:val="nil"/>
              <w:left w:val="nil"/>
              <w:bottom w:val="nil"/>
              <w:right w:val="nil"/>
            </w:tcBorders>
            <w:noWrap/>
            <w:vAlign w:val="center"/>
            <w:hideMark/>
          </w:tcPr>
          <w:p w14:paraId="37FB4D4C" w14:textId="77777777" w:rsidR="007A6A1A" w:rsidRPr="00C73F11" w:rsidRDefault="007A6A1A" w:rsidP="00BD36B5">
            <w:pPr>
              <w:spacing w:after="0" w:line="240" w:lineRule="auto"/>
              <w:jc w:val="center"/>
              <w:rPr>
                <w:sz w:val="20"/>
                <w:szCs w:val="20"/>
              </w:rPr>
            </w:pPr>
            <w:r w:rsidRPr="00C73F11">
              <w:rPr>
                <w:sz w:val="20"/>
                <w:szCs w:val="20"/>
              </w:rPr>
              <w:t>3.7</w:t>
            </w:r>
          </w:p>
        </w:tc>
        <w:tc>
          <w:tcPr>
            <w:tcW w:w="935" w:type="dxa"/>
            <w:tcBorders>
              <w:top w:val="nil"/>
              <w:left w:val="nil"/>
              <w:bottom w:val="nil"/>
              <w:right w:val="nil"/>
            </w:tcBorders>
            <w:noWrap/>
            <w:vAlign w:val="center"/>
            <w:hideMark/>
          </w:tcPr>
          <w:p w14:paraId="3ED130E7" w14:textId="77777777" w:rsidR="007A6A1A" w:rsidRPr="00C73F11" w:rsidRDefault="007A6A1A" w:rsidP="00BD36B5">
            <w:pPr>
              <w:spacing w:after="0" w:line="240" w:lineRule="auto"/>
              <w:jc w:val="center"/>
              <w:rPr>
                <w:sz w:val="20"/>
                <w:szCs w:val="20"/>
              </w:rPr>
            </w:pPr>
            <w:r w:rsidRPr="00C73F11">
              <w:rPr>
                <w:sz w:val="20"/>
                <w:szCs w:val="20"/>
              </w:rPr>
              <w:t>3.8</w:t>
            </w:r>
          </w:p>
        </w:tc>
        <w:tc>
          <w:tcPr>
            <w:tcW w:w="698" w:type="dxa"/>
            <w:tcBorders>
              <w:top w:val="nil"/>
              <w:left w:val="nil"/>
              <w:bottom w:val="nil"/>
              <w:right w:val="single" w:sz="4" w:space="0" w:color="auto"/>
            </w:tcBorders>
            <w:noWrap/>
            <w:vAlign w:val="center"/>
            <w:hideMark/>
          </w:tcPr>
          <w:p w14:paraId="7A4DF504" w14:textId="77777777" w:rsidR="007A6A1A" w:rsidRPr="00C73F11" w:rsidRDefault="007A6A1A" w:rsidP="00BD36B5">
            <w:pPr>
              <w:spacing w:after="0" w:line="240" w:lineRule="auto"/>
              <w:jc w:val="center"/>
              <w:rPr>
                <w:sz w:val="20"/>
                <w:szCs w:val="20"/>
              </w:rPr>
            </w:pPr>
            <w:r w:rsidRPr="00C73F11">
              <w:rPr>
                <w:sz w:val="20"/>
                <w:szCs w:val="20"/>
              </w:rPr>
              <w:t>3.0</w:t>
            </w:r>
          </w:p>
        </w:tc>
      </w:tr>
      <w:tr w:rsidR="007A6A1A" w:rsidRPr="00167CB8" w14:paraId="7BA32800" w14:textId="77777777" w:rsidTr="00675321">
        <w:trPr>
          <w:trHeight w:val="340"/>
        </w:trPr>
        <w:tc>
          <w:tcPr>
            <w:tcW w:w="3311" w:type="dxa"/>
            <w:tcBorders>
              <w:top w:val="nil"/>
              <w:left w:val="single" w:sz="4" w:space="0" w:color="auto"/>
              <w:bottom w:val="nil"/>
              <w:right w:val="nil"/>
            </w:tcBorders>
            <w:vAlign w:val="center"/>
            <w:hideMark/>
          </w:tcPr>
          <w:p w14:paraId="5386F4EA" w14:textId="77777777" w:rsidR="007A6A1A" w:rsidRPr="00C73F11" w:rsidRDefault="007A6A1A" w:rsidP="00BD36B5">
            <w:pPr>
              <w:spacing w:after="0" w:line="240" w:lineRule="auto"/>
              <w:rPr>
                <w:sz w:val="20"/>
                <w:szCs w:val="20"/>
              </w:rPr>
            </w:pPr>
            <w:r w:rsidRPr="00C73F11">
              <w:rPr>
                <w:sz w:val="20"/>
                <w:szCs w:val="20"/>
              </w:rPr>
              <w:t>Administrative and support services</w:t>
            </w:r>
          </w:p>
        </w:tc>
        <w:tc>
          <w:tcPr>
            <w:tcW w:w="1323" w:type="dxa"/>
            <w:tcBorders>
              <w:top w:val="nil"/>
              <w:left w:val="nil"/>
              <w:bottom w:val="nil"/>
              <w:right w:val="nil"/>
            </w:tcBorders>
            <w:vAlign w:val="center"/>
            <w:hideMark/>
          </w:tcPr>
          <w:p w14:paraId="7B6EA625" w14:textId="77777777" w:rsidR="007A6A1A" w:rsidRPr="00C73F11" w:rsidRDefault="007A6A1A" w:rsidP="00BD36B5">
            <w:pPr>
              <w:spacing w:after="0" w:line="240" w:lineRule="auto"/>
              <w:jc w:val="center"/>
              <w:rPr>
                <w:sz w:val="20"/>
                <w:szCs w:val="20"/>
              </w:rPr>
            </w:pPr>
            <w:r w:rsidRPr="00C73F11">
              <w:rPr>
                <w:sz w:val="20"/>
                <w:szCs w:val="20"/>
              </w:rPr>
              <w:t>44.1%</w:t>
            </w:r>
          </w:p>
        </w:tc>
        <w:tc>
          <w:tcPr>
            <w:tcW w:w="1242" w:type="dxa"/>
            <w:tcBorders>
              <w:top w:val="nil"/>
              <w:left w:val="nil"/>
              <w:bottom w:val="nil"/>
              <w:right w:val="nil"/>
            </w:tcBorders>
            <w:vAlign w:val="center"/>
            <w:hideMark/>
          </w:tcPr>
          <w:p w14:paraId="5EE8E448" w14:textId="77777777" w:rsidR="007A6A1A" w:rsidRPr="00C73F11" w:rsidRDefault="007A6A1A" w:rsidP="00BD36B5">
            <w:pPr>
              <w:spacing w:after="0" w:line="240" w:lineRule="auto"/>
              <w:jc w:val="center"/>
              <w:rPr>
                <w:sz w:val="20"/>
                <w:szCs w:val="20"/>
              </w:rPr>
            </w:pPr>
            <w:r w:rsidRPr="00C73F11">
              <w:rPr>
                <w:sz w:val="20"/>
                <w:szCs w:val="20"/>
              </w:rPr>
              <w:t>8.0%</w:t>
            </w:r>
          </w:p>
        </w:tc>
        <w:tc>
          <w:tcPr>
            <w:tcW w:w="1582" w:type="dxa"/>
            <w:tcBorders>
              <w:top w:val="nil"/>
              <w:left w:val="nil"/>
              <w:bottom w:val="nil"/>
              <w:right w:val="nil"/>
            </w:tcBorders>
            <w:noWrap/>
            <w:vAlign w:val="center"/>
            <w:hideMark/>
          </w:tcPr>
          <w:p w14:paraId="278A8E53" w14:textId="77777777" w:rsidR="007A6A1A" w:rsidRPr="00C73F11" w:rsidRDefault="007A6A1A" w:rsidP="00BD36B5">
            <w:pPr>
              <w:spacing w:after="0" w:line="240" w:lineRule="auto"/>
              <w:jc w:val="center"/>
              <w:rPr>
                <w:sz w:val="20"/>
                <w:szCs w:val="20"/>
              </w:rPr>
            </w:pPr>
            <w:r w:rsidRPr="00C73F11">
              <w:rPr>
                <w:sz w:val="20"/>
                <w:szCs w:val="20"/>
              </w:rPr>
              <w:t>4.1</w:t>
            </w:r>
          </w:p>
        </w:tc>
        <w:tc>
          <w:tcPr>
            <w:tcW w:w="935" w:type="dxa"/>
            <w:tcBorders>
              <w:top w:val="nil"/>
              <w:left w:val="nil"/>
              <w:bottom w:val="nil"/>
              <w:right w:val="nil"/>
            </w:tcBorders>
            <w:noWrap/>
            <w:vAlign w:val="center"/>
            <w:hideMark/>
          </w:tcPr>
          <w:p w14:paraId="0982DCC6" w14:textId="77777777" w:rsidR="007A6A1A" w:rsidRPr="00C73F11" w:rsidRDefault="007A6A1A" w:rsidP="00BD36B5">
            <w:pPr>
              <w:spacing w:after="0" w:line="240" w:lineRule="auto"/>
              <w:jc w:val="center"/>
              <w:rPr>
                <w:sz w:val="20"/>
                <w:szCs w:val="20"/>
              </w:rPr>
            </w:pPr>
            <w:r w:rsidRPr="00C73F11">
              <w:rPr>
                <w:sz w:val="20"/>
                <w:szCs w:val="20"/>
              </w:rPr>
              <w:t>4.3</w:t>
            </w:r>
          </w:p>
        </w:tc>
        <w:tc>
          <w:tcPr>
            <w:tcW w:w="698" w:type="dxa"/>
            <w:tcBorders>
              <w:top w:val="nil"/>
              <w:left w:val="nil"/>
              <w:bottom w:val="nil"/>
              <w:right w:val="single" w:sz="4" w:space="0" w:color="auto"/>
            </w:tcBorders>
            <w:noWrap/>
            <w:vAlign w:val="center"/>
            <w:hideMark/>
          </w:tcPr>
          <w:p w14:paraId="7C5C4A81" w14:textId="77777777" w:rsidR="007A6A1A" w:rsidRPr="00C73F11" w:rsidRDefault="007A6A1A" w:rsidP="00BD36B5">
            <w:pPr>
              <w:spacing w:after="0" w:line="240" w:lineRule="auto"/>
              <w:jc w:val="center"/>
              <w:rPr>
                <w:sz w:val="20"/>
                <w:szCs w:val="20"/>
              </w:rPr>
            </w:pPr>
            <w:r w:rsidRPr="00C73F11">
              <w:rPr>
                <w:sz w:val="20"/>
                <w:szCs w:val="20"/>
              </w:rPr>
              <w:t>3.9</w:t>
            </w:r>
          </w:p>
        </w:tc>
      </w:tr>
      <w:tr w:rsidR="007A6A1A" w:rsidRPr="00167CB8" w14:paraId="6D12EE78" w14:textId="77777777" w:rsidTr="00675321">
        <w:trPr>
          <w:trHeight w:val="340"/>
        </w:trPr>
        <w:tc>
          <w:tcPr>
            <w:tcW w:w="3311" w:type="dxa"/>
            <w:tcBorders>
              <w:top w:val="nil"/>
              <w:left w:val="single" w:sz="4" w:space="0" w:color="auto"/>
              <w:bottom w:val="nil"/>
              <w:right w:val="nil"/>
            </w:tcBorders>
            <w:vAlign w:val="center"/>
            <w:hideMark/>
          </w:tcPr>
          <w:p w14:paraId="3D4292FE" w14:textId="77777777" w:rsidR="007A6A1A" w:rsidRPr="00C73F11" w:rsidRDefault="007A6A1A" w:rsidP="00BD36B5">
            <w:pPr>
              <w:spacing w:after="0" w:line="240" w:lineRule="auto"/>
              <w:rPr>
                <w:sz w:val="20"/>
                <w:szCs w:val="20"/>
              </w:rPr>
            </w:pPr>
            <w:r w:rsidRPr="00C73F11">
              <w:rPr>
                <w:sz w:val="20"/>
                <w:szCs w:val="20"/>
              </w:rPr>
              <w:t>Public administration and safety</w:t>
            </w:r>
          </w:p>
        </w:tc>
        <w:tc>
          <w:tcPr>
            <w:tcW w:w="1323" w:type="dxa"/>
            <w:tcBorders>
              <w:top w:val="nil"/>
              <w:left w:val="nil"/>
              <w:bottom w:val="nil"/>
              <w:right w:val="nil"/>
            </w:tcBorders>
            <w:vAlign w:val="center"/>
            <w:hideMark/>
          </w:tcPr>
          <w:p w14:paraId="3E0DF204" w14:textId="77777777" w:rsidR="007A6A1A" w:rsidRPr="00C73F11" w:rsidRDefault="007A6A1A" w:rsidP="00BD36B5">
            <w:pPr>
              <w:spacing w:after="0" w:line="240" w:lineRule="auto"/>
              <w:jc w:val="center"/>
              <w:rPr>
                <w:sz w:val="20"/>
                <w:szCs w:val="20"/>
              </w:rPr>
            </w:pPr>
            <w:r w:rsidRPr="00C73F11">
              <w:rPr>
                <w:sz w:val="20"/>
                <w:szCs w:val="20"/>
              </w:rPr>
              <w:t>45.5%</w:t>
            </w:r>
          </w:p>
        </w:tc>
        <w:tc>
          <w:tcPr>
            <w:tcW w:w="1242" w:type="dxa"/>
            <w:tcBorders>
              <w:top w:val="nil"/>
              <w:left w:val="nil"/>
              <w:bottom w:val="nil"/>
              <w:right w:val="nil"/>
            </w:tcBorders>
            <w:vAlign w:val="center"/>
            <w:hideMark/>
          </w:tcPr>
          <w:p w14:paraId="380A51D4" w14:textId="77777777" w:rsidR="007A6A1A" w:rsidRPr="00C73F11" w:rsidRDefault="007A6A1A" w:rsidP="00BD36B5">
            <w:pPr>
              <w:spacing w:after="0" w:line="240" w:lineRule="auto"/>
              <w:jc w:val="center"/>
              <w:rPr>
                <w:sz w:val="20"/>
                <w:szCs w:val="20"/>
              </w:rPr>
            </w:pPr>
            <w:r w:rsidRPr="00C73F11">
              <w:rPr>
                <w:sz w:val="20"/>
                <w:szCs w:val="20"/>
              </w:rPr>
              <w:t>6.1%</w:t>
            </w:r>
          </w:p>
        </w:tc>
        <w:tc>
          <w:tcPr>
            <w:tcW w:w="1582" w:type="dxa"/>
            <w:tcBorders>
              <w:top w:val="nil"/>
              <w:left w:val="nil"/>
              <w:bottom w:val="nil"/>
              <w:right w:val="nil"/>
            </w:tcBorders>
            <w:noWrap/>
            <w:vAlign w:val="center"/>
            <w:hideMark/>
          </w:tcPr>
          <w:p w14:paraId="7EF20BB4" w14:textId="77777777" w:rsidR="007A6A1A" w:rsidRPr="00C73F11" w:rsidRDefault="007A6A1A" w:rsidP="00BD36B5">
            <w:pPr>
              <w:spacing w:after="0" w:line="240" w:lineRule="auto"/>
              <w:jc w:val="center"/>
              <w:rPr>
                <w:sz w:val="20"/>
                <w:szCs w:val="20"/>
              </w:rPr>
            </w:pPr>
            <w:r w:rsidRPr="00C73F11">
              <w:rPr>
                <w:sz w:val="20"/>
                <w:szCs w:val="20"/>
              </w:rPr>
              <w:t>3.2</w:t>
            </w:r>
          </w:p>
        </w:tc>
        <w:tc>
          <w:tcPr>
            <w:tcW w:w="935" w:type="dxa"/>
            <w:tcBorders>
              <w:top w:val="nil"/>
              <w:left w:val="nil"/>
              <w:bottom w:val="nil"/>
              <w:right w:val="nil"/>
            </w:tcBorders>
            <w:noWrap/>
            <w:vAlign w:val="center"/>
            <w:hideMark/>
          </w:tcPr>
          <w:p w14:paraId="26B7E27E" w14:textId="77777777" w:rsidR="007A6A1A" w:rsidRPr="00C73F11" w:rsidRDefault="007A6A1A" w:rsidP="00BD36B5">
            <w:pPr>
              <w:spacing w:after="0" w:line="240" w:lineRule="auto"/>
              <w:jc w:val="center"/>
              <w:rPr>
                <w:sz w:val="20"/>
                <w:szCs w:val="20"/>
              </w:rPr>
            </w:pPr>
            <w:r w:rsidRPr="00C73F11">
              <w:rPr>
                <w:sz w:val="20"/>
                <w:szCs w:val="20"/>
              </w:rPr>
              <w:t>3.4</w:t>
            </w:r>
          </w:p>
        </w:tc>
        <w:tc>
          <w:tcPr>
            <w:tcW w:w="698" w:type="dxa"/>
            <w:tcBorders>
              <w:top w:val="nil"/>
              <w:left w:val="nil"/>
              <w:bottom w:val="nil"/>
              <w:right w:val="single" w:sz="4" w:space="0" w:color="auto"/>
            </w:tcBorders>
            <w:noWrap/>
            <w:vAlign w:val="center"/>
            <w:hideMark/>
          </w:tcPr>
          <w:p w14:paraId="7778B70A" w14:textId="77777777" w:rsidR="007A6A1A" w:rsidRPr="00C73F11" w:rsidRDefault="007A6A1A" w:rsidP="00BD36B5">
            <w:pPr>
              <w:spacing w:after="0" w:line="240" w:lineRule="auto"/>
              <w:jc w:val="center"/>
              <w:rPr>
                <w:sz w:val="20"/>
                <w:szCs w:val="20"/>
              </w:rPr>
            </w:pPr>
            <w:r w:rsidRPr="00C73F11">
              <w:rPr>
                <w:sz w:val="20"/>
                <w:szCs w:val="20"/>
              </w:rPr>
              <w:t>3.3</w:t>
            </w:r>
          </w:p>
        </w:tc>
      </w:tr>
      <w:tr w:rsidR="007A6A1A" w:rsidRPr="00167CB8" w14:paraId="365C19DE" w14:textId="77777777" w:rsidTr="00675321">
        <w:trPr>
          <w:trHeight w:val="340"/>
        </w:trPr>
        <w:tc>
          <w:tcPr>
            <w:tcW w:w="3311" w:type="dxa"/>
            <w:tcBorders>
              <w:top w:val="nil"/>
              <w:left w:val="single" w:sz="4" w:space="0" w:color="auto"/>
              <w:bottom w:val="nil"/>
              <w:right w:val="nil"/>
            </w:tcBorders>
            <w:vAlign w:val="center"/>
            <w:hideMark/>
          </w:tcPr>
          <w:p w14:paraId="0A536AE8" w14:textId="77777777" w:rsidR="007A6A1A" w:rsidRPr="00C73F11" w:rsidRDefault="007A6A1A" w:rsidP="00BD36B5">
            <w:pPr>
              <w:spacing w:after="0" w:line="240" w:lineRule="auto"/>
              <w:rPr>
                <w:sz w:val="20"/>
                <w:szCs w:val="20"/>
              </w:rPr>
            </w:pPr>
            <w:r w:rsidRPr="00C73F11">
              <w:rPr>
                <w:sz w:val="20"/>
                <w:szCs w:val="20"/>
              </w:rPr>
              <w:t>Education and training</w:t>
            </w:r>
          </w:p>
        </w:tc>
        <w:tc>
          <w:tcPr>
            <w:tcW w:w="1323" w:type="dxa"/>
            <w:tcBorders>
              <w:top w:val="nil"/>
              <w:left w:val="nil"/>
              <w:bottom w:val="nil"/>
              <w:right w:val="nil"/>
            </w:tcBorders>
            <w:vAlign w:val="center"/>
            <w:hideMark/>
          </w:tcPr>
          <w:p w14:paraId="3D38FCC1" w14:textId="77777777" w:rsidR="007A6A1A" w:rsidRPr="00C73F11" w:rsidRDefault="007A6A1A" w:rsidP="00BD36B5">
            <w:pPr>
              <w:spacing w:after="0" w:line="240" w:lineRule="auto"/>
              <w:jc w:val="center"/>
              <w:rPr>
                <w:sz w:val="20"/>
                <w:szCs w:val="20"/>
              </w:rPr>
            </w:pPr>
            <w:r w:rsidRPr="00C73F11">
              <w:rPr>
                <w:sz w:val="20"/>
                <w:szCs w:val="20"/>
              </w:rPr>
              <w:t>50.3%</w:t>
            </w:r>
          </w:p>
        </w:tc>
        <w:tc>
          <w:tcPr>
            <w:tcW w:w="1242" w:type="dxa"/>
            <w:tcBorders>
              <w:top w:val="nil"/>
              <w:left w:val="nil"/>
              <w:bottom w:val="nil"/>
              <w:right w:val="nil"/>
            </w:tcBorders>
            <w:vAlign w:val="center"/>
            <w:hideMark/>
          </w:tcPr>
          <w:p w14:paraId="4E4553FA" w14:textId="77777777" w:rsidR="007A6A1A" w:rsidRPr="00C73F11" w:rsidRDefault="007A6A1A" w:rsidP="00BD36B5">
            <w:pPr>
              <w:spacing w:after="0" w:line="240" w:lineRule="auto"/>
              <w:jc w:val="center"/>
              <w:rPr>
                <w:sz w:val="20"/>
                <w:szCs w:val="20"/>
              </w:rPr>
            </w:pPr>
            <w:r w:rsidRPr="00C73F11">
              <w:rPr>
                <w:sz w:val="20"/>
                <w:szCs w:val="20"/>
              </w:rPr>
              <w:t>7.6%</w:t>
            </w:r>
          </w:p>
        </w:tc>
        <w:tc>
          <w:tcPr>
            <w:tcW w:w="1582" w:type="dxa"/>
            <w:tcBorders>
              <w:top w:val="nil"/>
              <w:left w:val="nil"/>
              <w:bottom w:val="nil"/>
              <w:right w:val="nil"/>
            </w:tcBorders>
            <w:noWrap/>
            <w:vAlign w:val="center"/>
            <w:hideMark/>
          </w:tcPr>
          <w:p w14:paraId="54B36BD2" w14:textId="77777777" w:rsidR="007A6A1A" w:rsidRPr="00C73F11" w:rsidRDefault="007A6A1A" w:rsidP="00BD36B5">
            <w:pPr>
              <w:spacing w:after="0" w:line="240" w:lineRule="auto"/>
              <w:jc w:val="center"/>
              <w:rPr>
                <w:sz w:val="20"/>
                <w:szCs w:val="20"/>
              </w:rPr>
            </w:pPr>
            <w:r w:rsidRPr="00C73F11">
              <w:rPr>
                <w:sz w:val="20"/>
                <w:szCs w:val="20"/>
              </w:rPr>
              <w:t>3.7</w:t>
            </w:r>
          </w:p>
        </w:tc>
        <w:tc>
          <w:tcPr>
            <w:tcW w:w="935" w:type="dxa"/>
            <w:tcBorders>
              <w:top w:val="nil"/>
              <w:left w:val="nil"/>
              <w:bottom w:val="nil"/>
              <w:right w:val="nil"/>
            </w:tcBorders>
            <w:noWrap/>
            <w:vAlign w:val="center"/>
            <w:hideMark/>
          </w:tcPr>
          <w:p w14:paraId="023C3481" w14:textId="77777777" w:rsidR="007A6A1A" w:rsidRPr="00C73F11" w:rsidRDefault="007A6A1A" w:rsidP="00BD36B5">
            <w:pPr>
              <w:spacing w:after="0" w:line="240" w:lineRule="auto"/>
              <w:jc w:val="center"/>
              <w:rPr>
                <w:sz w:val="20"/>
                <w:szCs w:val="20"/>
              </w:rPr>
            </w:pPr>
            <w:r w:rsidRPr="00C73F11">
              <w:rPr>
                <w:sz w:val="20"/>
                <w:szCs w:val="20"/>
              </w:rPr>
              <w:t>3.6</w:t>
            </w:r>
          </w:p>
        </w:tc>
        <w:tc>
          <w:tcPr>
            <w:tcW w:w="698" w:type="dxa"/>
            <w:tcBorders>
              <w:top w:val="nil"/>
              <w:left w:val="nil"/>
              <w:bottom w:val="nil"/>
              <w:right w:val="single" w:sz="4" w:space="0" w:color="auto"/>
            </w:tcBorders>
            <w:noWrap/>
            <w:vAlign w:val="center"/>
            <w:hideMark/>
          </w:tcPr>
          <w:p w14:paraId="5AB6EAD7" w14:textId="77777777" w:rsidR="007A6A1A" w:rsidRPr="00C73F11" w:rsidRDefault="007A6A1A" w:rsidP="00BD36B5">
            <w:pPr>
              <w:spacing w:after="0" w:line="240" w:lineRule="auto"/>
              <w:jc w:val="center"/>
              <w:rPr>
                <w:sz w:val="20"/>
                <w:szCs w:val="20"/>
              </w:rPr>
            </w:pPr>
            <w:r w:rsidRPr="00C73F11">
              <w:rPr>
                <w:sz w:val="20"/>
                <w:szCs w:val="20"/>
              </w:rPr>
              <w:t>4.4</w:t>
            </w:r>
          </w:p>
        </w:tc>
      </w:tr>
      <w:tr w:rsidR="007A6A1A" w:rsidRPr="00167CB8" w14:paraId="385E4A9A" w14:textId="77777777" w:rsidTr="00675321">
        <w:trPr>
          <w:trHeight w:val="340"/>
        </w:trPr>
        <w:tc>
          <w:tcPr>
            <w:tcW w:w="3311" w:type="dxa"/>
            <w:tcBorders>
              <w:top w:val="nil"/>
              <w:left w:val="single" w:sz="4" w:space="0" w:color="auto"/>
              <w:bottom w:val="nil"/>
              <w:right w:val="nil"/>
            </w:tcBorders>
            <w:vAlign w:val="center"/>
            <w:hideMark/>
          </w:tcPr>
          <w:p w14:paraId="06592960" w14:textId="1DADD8E1" w:rsidR="007A6A1A" w:rsidRPr="00C73F11" w:rsidRDefault="007A6A1A" w:rsidP="00BD36B5">
            <w:pPr>
              <w:spacing w:after="0" w:line="240" w:lineRule="auto"/>
              <w:rPr>
                <w:i/>
                <w:iCs/>
                <w:sz w:val="20"/>
                <w:szCs w:val="20"/>
              </w:rPr>
            </w:pPr>
            <w:r w:rsidRPr="00C73F11">
              <w:rPr>
                <w:i/>
                <w:iCs/>
                <w:sz w:val="20"/>
                <w:szCs w:val="20"/>
              </w:rPr>
              <w:t>Private</w:t>
            </w:r>
          </w:p>
        </w:tc>
        <w:tc>
          <w:tcPr>
            <w:tcW w:w="1323" w:type="dxa"/>
            <w:tcBorders>
              <w:top w:val="nil"/>
              <w:left w:val="nil"/>
              <w:bottom w:val="nil"/>
              <w:right w:val="nil"/>
            </w:tcBorders>
            <w:vAlign w:val="center"/>
            <w:hideMark/>
          </w:tcPr>
          <w:p w14:paraId="2595058B" w14:textId="77777777" w:rsidR="007A6A1A" w:rsidRPr="00C73F11" w:rsidRDefault="007A6A1A" w:rsidP="00BD36B5">
            <w:pPr>
              <w:spacing w:after="0" w:line="240" w:lineRule="auto"/>
              <w:jc w:val="center"/>
              <w:rPr>
                <w:i/>
                <w:iCs/>
                <w:sz w:val="20"/>
                <w:szCs w:val="20"/>
              </w:rPr>
            </w:pPr>
            <w:r w:rsidRPr="00C73F11">
              <w:rPr>
                <w:i/>
                <w:iCs/>
                <w:sz w:val="20"/>
                <w:szCs w:val="20"/>
              </w:rPr>
              <w:t>50.4%</w:t>
            </w:r>
          </w:p>
        </w:tc>
        <w:tc>
          <w:tcPr>
            <w:tcW w:w="1242" w:type="dxa"/>
            <w:tcBorders>
              <w:top w:val="nil"/>
              <w:left w:val="nil"/>
              <w:bottom w:val="nil"/>
              <w:right w:val="nil"/>
            </w:tcBorders>
            <w:vAlign w:val="center"/>
            <w:hideMark/>
          </w:tcPr>
          <w:p w14:paraId="61026BC7" w14:textId="77777777" w:rsidR="007A6A1A" w:rsidRPr="00C73F11" w:rsidRDefault="007A6A1A" w:rsidP="00BD36B5">
            <w:pPr>
              <w:spacing w:after="0" w:line="240" w:lineRule="auto"/>
              <w:jc w:val="center"/>
              <w:rPr>
                <w:i/>
                <w:iCs/>
                <w:sz w:val="20"/>
                <w:szCs w:val="20"/>
              </w:rPr>
            </w:pPr>
            <w:r w:rsidRPr="00C73F11">
              <w:rPr>
                <w:i/>
                <w:iCs/>
                <w:sz w:val="20"/>
                <w:szCs w:val="20"/>
              </w:rPr>
              <w:t>7.3%</w:t>
            </w:r>
          </w:p>
        </w:tc>
        <w:tc>
          <w:tcPr>
            <w:tcW w:w="1582" w:type="dxa"/>
            <w:tcBorders>
              <w:top w:val="nil"/>
              <w:left w:val="nil"/>
              <w:bottom w:val="nil"/>
              <w:right w:val="nil"/>
            </w:tcBorders>
            <w:noWrap/>
            <w:vAlign w:val="center"/>
            <w:hideMark/>
          </w:tcPr>
          <w:p w14:paraId="34ED99AB" w14:textId="77777777" w:rsidR="007A6A1A" w:rsidRPr="00C73F11" w:rsidRDefault="007A6A1A" w:rsidP="00BD36B5">
            <w:pPr>
              <w:spacing w:after="0" w:line="240" w:lineRule="auto"/>
              <w:jc w:val="center"/>
              <w:rPr>
                <w:i/>
                <w:iCs/>
                <w:sz w:val="20"/>
                <w:szCs w:val="20"/>
              </w:rPr>
            </w:pPr>
            <w:r w:rsidRPr="00C73F11">
              <w:rPr>
                <w:i/>
                <w:iCs/>
                <w:sz w:val="20"/>
                <w:szCs w:val="20"/>
              </w:rPr>
              <w:t>3.7</w:t>
            </w:r>
          </w:p>
        </w:tc>
        <w:tc>
          <w:tcPr>
            <w:tcW w:w="935" w:type="dxa"/>
            <w:tcBorders>
              <w:top w:val="nil"/>
              <w:left w:val="nil"/>
              <w:bottom w:val="nil"/>
              <w:right w:val="nil"/>
            </w:tcBorders>
            <w:noWrap/>
            <w:vAlign w:val="center"/>
            <w:hideMark/>
          </w:tcPr>
          <w:p w14:paraId="1A2D0FF0" w14:textId="77777777" w:rsidR="007A6A1A" w:rsidRPr="00C73F11" w:rsidRDefault="007A6A1A" w:rsidP="00BD36B5">
            <w:pPr>
              <w:spacing w:after="0" w:line="240" w:lineRule="auto"/>
              <w:jc w:val="center"/>
              <w:rPr>
                <w:i/>
                <w:iCs/>
                <w:sz w:val="20"/>
                <w:szCs w:val="20"/>
              </w:rPr>
            </w:pPr>
            <w:r w:rsidRPr="00C73F11">
              <w:rPr>
                <w:i/>
                <w:iCs/>
                <w:sz w:val="20"/>
                <w:szCs w:val="20"/>
              </w:rPr>
              <w:t>3.4</w:t>
            </w:r>
          </w:p>
        </w:tc>
        <w:tc>
          <w:tcPr>
            <w:tcW w:w="698" w:type="dxa"/>
            <w:tcBorders>
              <w:top w:val="nil"/>
              <w:left w:val="nil"/>
              <w:bottom w:val="nil"/>
              <w:right w:val="single" w:sz="4" w:space="0" w:color="auto"/>
            </w:tcBorders>
            <w:noWrap/>
            <w:vAlign w:val="center"/>
            <w:hideMark/>
          </w:tcPr>
          <w:p w14:paraId="4DC9235B" w14:textId="77777777" w:rsidR="007A6A1A" w:rsidRPr="00C73F11" w:rsidRDefault="007A6A1A" w:rsidP="00BD36B5">
            <w:pPr>
              <w:spacing w:after="0" w:line="240" w:lineRule="auto"/>
              <w:jc w:val="center"/>
              <w:rPr>
                <w:i/>
                <w:iCs/>
                <w:sz w:val="20"/>
                <w:szCs w:val="20"/>
              </w:rPr>
            </w:pPr>
            <w:r w:rsidRPr="00C73F11">
              <w:rPr>
                <w:i/>
                <w:iCs/>
                <w:sz w:val="20"/>
                <w:szCs w:val="20"/>
              </w:rPr>
              <w:t>4.3</w:t>
            </w:r>
          </w:p>
        </w:tc>
      </w:tr>
      <w:tr w:rsidR="007A6A1A" w:rsidRPr="00167CB8" w14:paraId="08C8E8C2" w14:textId="77777777" w:rsidTr="00675321">
        <w:trPr>
          <w:trHeight w:val="340"/>
        </w:trPr>
        <w:tc>
          <w:tcPr>
            <w:tcW w:w="3311" w:type="dxa"/>
            <w:tcBorders>
              <w:top w:val="nil"/>
              <w:left w:val="single" w:sz="4" w:space="0" w:color="auto"/>
              <w:bottom w:val="nil"/>
              <w:right w:val="nil"/>
            </w:tcBorders>
            <w:vAlign w:val="center"/>
            <w:hideMark/>
          </w:tcPr>
          <w:p w14:paraId="1460C90B" w14:textId="31660322" w:rsidR="007A6A1A" w:rsidRPr="00C73F11" w:rsidRDefault="007A6A1A" w:rsidP="00BD36B5">
            <w:pPr>
              <w:spacing w:after="0" w:line="240" w:lineRule="auto"/>
              <w:rPr>
                <w:i/>
                <w:iCs/>
                <w:sz w:val="20"/>
                <w:szCs w:val="20"/>
              </w:rPr>
            </w:pPr>
            <w:r w:rsidRPr="00C73F11">
              <w:rPr>
                <w:i/>
                <w:iCs/>
                <w:sz w:val="20"/>
                <w:szCs w:val="20"/>
              </w:rPr>
              <w:t>Public</w:t>
            </w:r>
          </w:p>
        </w:tc>
        <w:tc>
          <w:tcPr>
            <w:tcW w:w="1323" w:type="dxa"/>
            <w:tcBorders>
              <w:top w:val="nil"/>
              <w:left w:val="nil"/>
              <w:bottom w:val="nil"/>
              <w:right w:val="nil"/>
            </w:tcBorders>
            <w:vAlign w:val="center"/>
            <w:hideMark/>
          </w:tcPr>
          <w:p w14:paraId="600D6F54" w14:textId="77777777" w:rsidR="007A6A1A" w:rsidRPr="00C73F11" w:rsidRDefault="007A6A1A" w:rsidP="00BD36B5">
            <w:pPr>
              <w:spacing w:after="0" w:line="240" w:lineRule="auto"/>
              <w:jc w:val="center"/>
              <w:rPr>
                <w:i/>
                <w:iCs/>
                <w:sz w:val="20"/>
                <w:szCs w:val="20"/>
              </w:rPr>
            </w:pPr>
            <w:r w:rsidRPr="00C73F11">
              <w:rPr>
                <w:i/>
                <w:iCs/>
                <w:sz w:val="20"/>
                <w:szCs w:val="20"/>
              </w:rPr>
              <w:t>50.5%</w:t>
            </w:r>
          </w:p>
        </w:tc>
        <w:tc>
          <w:tcPr>
            <w:tcW w:w="1242" w:type="dxa"/>
            <w:tcBorders>
              <w:top w:val="nil"/>
              <w:left w:val="nil"/>
              <w:bottom w:val="nil"/>
              <w:right w:val="nil"/>
            </w:tcBorders>
            <w:vAlign w:val="center"/>
            <w:hideMark/>
          </w:tcPr>
          <w:p w14:paraId="7E74DC87" w14:textId="77777777" w:rsidR="007A6A1A" w:rsidRPr="00C73F11" w:rsidRDefault="007A6A1A" w:rsidP="00BD36B5">
            <w:pPr>
              <w:spacing w:after="0" w:line="240" w:lineRule="auto"/>
              <w:jc w:val="center"/>
              <w:rPr>
                <w:i/>
                <w:iCs/>
                <w:sz w:val="20"/>
                <w:szCs w:val="20"/>
              </w:rPr>
            </w:pPr>
            <w:r w:rsidRPr="00C73F11">
              <w:rPr>
                <w:i/>
                <w:iCs/>
                <w:sz w:val="20"/>
                <w:szCs w:val="20"/>
              </w:rPr>
              <w:t>7.8%</w:t>
            </w:r>
          </w:p>
        </w:tc>
        <w:tc>
          <w:tcPr>
            <w:tcW w:w="1582" w:type="dxa"/>
            <w:tcBorders>
              <w:top w:val="nil"/>
              <w:left w:val="nil"/>
              <w:bottom w:val="nil"/>
              <w:right w:val="nil"/>
            </w:tcBorders>
            <w:noWrap/>
            <w:vAlign w:val="center"/>
            <w:hideMark/>
          </w:tcPr>
          <w:p w14:paraId="643D2046" w14:textId="77777777" w:rsidR="007A6A1A" w:rsidRPr="00C73F11" w:rsidRDefault="007A6A1A" w:rsidP="00BD36B5">
            <w:pPr>
              <w:spacing w:after="0" w:line="240" w:lineRule="auto"/>
              <w:jc w:val="center"/>
              <w:rPr>
                <w:i/>
                <w:iCs/>
                <w:sz w:val="20"/>
                <w:szCs w:val="20"/>
              </w:rPr>
            </w:pPr>
            <w:r w:rsidRPr="00C73F11">
              <w:rPr>
                <w:i/>
                <w:iCs/>
                <w:sz w:val="20"/>
                <w:szCs w:val="20"/>
              </w:rPr>
              <w:t>3.8</w:t>
            </w:r>
          </w:p>
        </w:tc>
        <w:tc>
          <w:tcPr>
            <w:tcW w:w="935" w:type="dxa"/>
            <w:tcBorders>
              <w:top w:val="nil"/>
              <w:left w:val="nil"/>
              <w:bottom w:val="nil"/>
              <w:right w:val="nil"/>
            </w:tcBorders>
            <w:noWrap/>
            <w:vAlign w:val="center"/>
            <w:hideMark/>
          </w:tcPr>
          <w:p w14:paraId="180C19BD" w14:textId="77777777" w:rsidR="007A6A1A" w:rsidRPr="00C73F11" w:rsidRDefault="007A6A1A" w:rsidP="00BD36B5">
            <w:pPr>
              <w:spacing w:after="0" w:line="240" w:lineRule="auto"/>
              <w:jc w:val="center"/>
              <w:rPr>
                <w:i/>
                <w:iCs/>
                <w:sz w:val="20"/>
                <w:szCs w:val="20"/>
              </w:rPr>
            </w:pPr>
            <w:r w:rsidRPr="00C73F11">
              <w:rPr>
                <w:i/>
                <w:iCs/>
                <w:sz w:val="20"/>
                <w:szCs w:val="20"/>
              </w:rPr>
              <w:t>3.7</w:t>
            </w:r>
          </w:p>
        </w:tc>
        <w:tc>
          <w:tcPr>
            <w:tcW w:w="698" w:type="dxa"/>
            <w:tcBorders>
              <w:top w:val="nil"/>
              <w:left w:val="nil"/>
              <w:bottom w:val="nil"/>
              <w:right w:val="single" w:sz="4" w:space="0" w:color="auto"/>
            </w:tcBorders>
            <w:noWrap/>
            <w:vAlign w:val="center"/>
            <w:hideMark/>
          </w:tcPr>
          <w:p w14:paraId="23442840" w14:textId="77777777" w:rsidR="007A6A1A" w:rsidRPr="00C73F11" w:rsidRDefault="007A6A1A" w:rsidP="00BD36B5">
            <w:pPr>
              <w:spacing w:after="0" w:line="240" w:lineRule="auto"/>
              <w:jc w:val="center"/>
              <w:rPr>
                <w:i/>
                <w:iCs/>
                <w:sz w:val="20"/>
                <w:szCs w:val="20"/>
              </w:rPr>
            </w:pPr>
            <w:r w:rsidRPr="00C73F11">
              <w:rPr>
                <w:i/>
                <w:iCs/>
                <w:sz w:val="20"/>
                <w:szCs w:val="20"/>
              </w:rPr>
              <w:t>4.4</w:t>
            </w:r>
          </w:p>
        </w:tc>
      </w:tr>
      <w:tr w:rsidR="007A6A1A" w:rsidRPr="00167CB8" w14:paraId="6D0A1476" w14:textId="77777777" w:rsidTr="00675321">
        <w:trPr>
          <w:trHeight w:val="340"/>
        </w:trPr>
        <w:tc>
          <w:tcPr>
            <w:tcW w:w="3311" w:type="dxa"/>
            <w:tcBorders>
              <w:top w:val="nil"/>
              <w:left w:val="single" w:sz="4" w:space="0" w:color="auto"/>
              <w:bottom w:val="nil"/>
              <w:right w:val="nil"/>
            </w:tcBorders>
            <w:vAlign w:val="center"/>
            <w:hideMark/>
          </w:tcPr>
          <w:p w14:paraId="1E961539" w14:textId="77777777" w:rsidR="007A6A1A" w:rsidRPr="00C73F11" w:rsidRDefault="007A6A1A" w:rsidP="00BD36B5">
            <w:pPr>
              <w:spacing w:after="0" w:line="240" w:lineRule="auto"/>
              <w:rPr>
                <w:sz w:val="20"/>
                <w:szCs w:val="20"/>
              </w:rPr>
            </w:pPr>
            <w:r w:rsidRPr="00C73F11">
              <w:rPr>
                <w:sz w:val="20"/>
                <w:szCs w:val="20"/>
              </w:rPr>
              <w:t>Health care and social assistance</w:t>
            </w:r>
          </w:p>
        </w:tc>
        <w:tc>
          <w:tcPr>
            <w:tcW w:w="1323" w:type="dxa"/>
            <w:tcBorders>
              <w:top w:val="nil"/>
              <w:left w:val="nil"/>
              <w:bottom w:val="nil"/>
              <w:right w:val="nil"/>
            </w:tcBorders>
            <w:vAlign w:val="center"/>
            <w:hideMark/>
          </w:tcPr>
          <w:p w14:paraId="7EB8EEC4" w14:textId="77777777" w:rsidR="007A6A1A" w:rsidRPr="00C73F11" w:rsidRDefault="007A6A1A" w:rsidP="00BD36B5">
            <w:pPr>
              <w:spacing w:after="0" w:line="240" w:lineRule="auto"/>
              <w:jc w:val="center"/>
              <w:rPr>
                <w:sz w:val="20"/>
                <w:szCs w:val="20"/>
              </w:rPr>
            </w:pPr>
            <w:r w:rsidRPr="00C73F11">
              <w:rPr>
                <w:sz w:val="20"/>
                <w:szCs w:val="20"/>
              </w:rPr>
              <w:t>52.6%</w:t>
            </w:r>
          </w:p>
        </w:tc>
        <w:tc>
          <w:tcPr>
            <w:tcW w:w="1242" w:type="dxa"/>
            <w:tcBorders>
              <w:top w:val="nil"/>
              <w:left w:val="nil"/>
              <w:bottom w:val="nil"/>
              <w:right w:val="nil"/>
            </w:tcBorders>
            <w:vAlign w:val="center"/>
            <w:hideMark/>
          </w:tcPr>
          <w:p w14:paraId="17ACC4D9" w14:textId="77777777" w:rsidR="007A6A1A" w:rsidRPr="00C73F11" w:rsidRDefault="007A6A1A" w:rsidP="00BD36B5">
            <w:pPr>
              <w:spacing w:after="0" w:line="240" w:lineRule="auto"/>
              <w:jc w:val="center"/>
              <w:rPr>
                <w:sz w:val="20"/>
                <w:szCs w:val="20"/>
              </w:rPr>
            </w:pPr>
            <w:r w:rsidRPr="00C73F11">
              <w:rPr>
                <w:sz w:val="20"/>
                <w:szCs w:val="20"/>
              </w:rPr>
              <w:t>7.9%</w:t>
            </w:r>
          </w:p>
        </w:tc>
        <w:tc>
          <w:tcPr>
            <w:tcW w:w="1582" w:type="dxa"/>
            <w:tcBorders>
              <w:top w:val="nil"/>
              <w:left w:val="nil"/>
              <w:bottom w:val="nil"/>
              <w:right w:val="nil"/>
            </w:tcBorders>
            <w:noWrap/>
            <w:vAlign w:val="center"/>
            <w:hideMark/>
          </w:tcPr>
          <w:p w14:paraId="5A08852F" w14:textId="77777777" w:rsidR="007A6A1A" w:rsidRPr="00C73F11" w:rsidRDefault="007A6A1A" w:rsidP="00BD36B5">
            <w:pPr>
              <w:spacing w:after="0" w:line="240" w:lineRule="auto"/>
              <w:jc w:val="center"/>
              <w:rPr>
                <w:sz w:val="20"/>
                <w:szCs w:val="20"/>
              </w:rPr>
            </w:pPr>
            <w:r w:rsidRPr="00C73F11">
              <w:rPr>
                <w:sz w:val="20"/>
                <w:szCs w:val="20"/>
              </w:rPr>
              <w:t>4.2</w:t>
            </w:r>
          </w:p>
        </w:tc>
        <w:tc>
          <w:tcPr>
            <w:tcW w:w="935" w:type="dxa"/>
            <w:tcBorders>
              <w:top w:val="nil"/>
              <w:left w:val="nil"/>
              <w:bottom w:val="nil"/>
              <w:right w:val="nil"/>
            </w:tcBorders>
            <w:noWrap/>
            <w:vAlign w:val="center"/>
            <w:hideMark/>
          </w:tcPr>
          <w:p w14:paraId="13EA3970" w14:textId="77777777" w:rsidR="007A6A1A" w:rsidRPr="00C73F11" w:rsidRDefault="007A6A1A" w:rsidP="00BD36B5">
            <w:pPr>
              <w:spacing w:after="0" w:line="240" w:lineRule="auto"/>
              <w:jc w:val="center"/>
              <w:rPr>
                <w:sz w:val="20"/>
                <w:szCs w:val="20"/>
              </w:rPr>
            </w:pPr>
            <w:r w:rsidRPr="00C73F11">
              <w:rPr>
                <w:sz w:val="20"/>
                <w:szCs w:val="20"/>
              </w:rPr>
              <w:t>4.9</w:t>
            </w:r>
          </w:p>
        </w:tc>
        <w:tc>
          <w:tcPr>
            <w:tcW w:w="698" w:type="dxa"/>
            <w:tcBorders>
              <w:top w:val="nil"/>
              <w:left w:val="nil"/>
              <w:bottom w:val="nil"/>
              <w:right w:val="single" w:sz="4" w:space="0" w:color="auto"/>
            </w:tcBorders>
            <w:noWrap/>
            <w:vAlign w:val="center"/>
            <w:hideMark/>
          </w:tcPr>
          <w:p w14:paraId="1BAA3D9B" w14:textId="77777777" w:rsidR="007A6A1A" w:rsidRPr="00C73F11" w:rsidRDefault="007A6A1A" w:rsidP="00BD36B5">
            <w:pPr>
              <w:spacing w:after="0" w:line="240" w:lineRule="auto"/>
              <w:jc w:val="center"/>
              <w:rPr>
                <w:sz w:val="20"/>
                <w:szCs w:val="20"/>
              </w:rPr>
            </w:pPr>
            <w:r w:rsidRPr="00C73F11">
              <w:rPr>
                <w:sz w:val="20"/>
                <w:szCs w:val="20"/>
              </w:rPr>
              <w:t>3.6</w:t>
            </w:r>
          </w:p>
        </w:tc>
      </w:tr>
      <w:tr w:rsidR="007A6A1A" w:rsidRPr="00167CB8" w14:paraId="366AC568" w14:textId="77777777" w:rsidTr="00675321">
        <w:trPr>
          <w:trHeight w:val="340"/>
        </w:trPr>
        <w:tc>
          <w:tcPr>
            <w:tcW w:w="3311" w:type="dxa"/>
            <w:tcBorders>
              <w:top w:val="nil"/>
              <w:left w:val="single" w:sz="4" w:space="0" w:color="auto"/>
              <w:bottom w:val="nil"/>
              <w:right w:val="nil"/>
            </w:tcBorders>
            <w:vAlign w:val="center"/>
            <w:hideMark/>
          </w:tcPr>
          <w:p w14:paraId="36BFD2B4" w14:textId="31930F90" w:rsidR="007A6A1A" w:rsidRPr="00C73F11" w:rsidRDefault="007A6A1A" w:rsidP="00BD36B5">
            <w:pPr>
              <w:spacing w:after="0" w:line="240" w:lineRule="auto"/>
              <w:rPr>
                <w:i/>
                <w:iCs/>
                <w:sz w:val="20"/>
                <w:szCs w:val="20"/>
              </w:rPr>
            </w:pPr>
            <w:r w:rsidRPr="00C73F11">
              <w:rPr>
                <w:i/>
                <w:iCs/>
                <w:sz w:val="20"/>
                <w:szCs w:val="20"/>
              </w:rPr>
              <w:t>Private</w:t>
            </w:r>
          </w:p>
        </w:tc>
        <w:tc>
          <w:tcPr>
            <w:tcW w:w="1323" w:type="dxa"/>
            <w:tcBorders>
              <w:top w:val="nil"/>
              <w:left w:val="nil"/>
              <w:bottom w:val="nil"/>
              <w:right w:val="nil"/>
            </w:tcBorders>
            <w:vAlign w:val="center"/>
            <w:hideMark/>
          </w:tcPr>
          <w:p w14:paraId="78030327" w14:textId="77777777" w:rsidR="007A6A1A" w:rsidRPr="00C73F11" w:rsidRDefault="007A6A1A" w:rsidP="00BD36B5">
            <w:pPr>
              <w:spacing w:after="0" w:line="240" w:lineRule="auto"/>
              <w:jc w:val="center"/>
              <w:rPr>
                <w:i/>
                <w:iCs/>
                <w:sz w:val="20"/>
                <w:szCs w:val="20"/>
              </w:rPr>
            </w:pPr>
            <w:r w:rsidRPr="00C73F11">
              <w:rPr>
                <w:i/>
                <w:iCs/>
                <w:sz w:val="20"/>
                <w:szCs w:val="20"/>
              </w:rPr>
              <w:t>57.9%</w:t>
            </w:r>
          </w:p>
        </w:tc>
        <w:tc>
          <w:tcPr>
            <w:tcW w:w="1242" w:type="dxa"/>
            <w:tcBorders>
              <w:top w:val="nil"/>
              <w:left w:val="nil"/>
              <w:bottom w:val="nil"/>
              <w:right w:val="nil"/>
            </w:tcBorders>
            <w:vAlign w:val="center"/>
            <w:hideMark/>
          </w:tcPr>
          <w:p w14:paraId="269CDF1D" w14:textId="77777777" w:rsidR="007A6A1A" w:rsidRPr="00C73F11" w:rsidRDefault="007A6A1A" w:rsidP="00BD36B5">
            <w:pPr>
              <w:spacing w:after="0" w:line="240" w:lineRule="auto"/>
              <w:jc w:val="center"/>
              <w:rPr>
                <w:i/>
                <w:iCs/>
                <w:sz w:val="20"/>
                <w:szCs w:val="20"/>
              </w:rPr>
            </w:pPr>
            <w:r w:rsidRPr="00C73F11">
              <w:rPr>
                <w:i/>
                <w:iCs/>
                <w:sz w:val="20"/>
                <w:szCs w:val="20"/>
              </w:rPr>
              <w:t>9.6%</w:t>
            </w:r>
          </w:p>
        </w:tc>
        <w:tc>
          <w:tcPr>
            <w:tcW w:w="1582" w:type="dxa"/>
            <w:tcBorders>
              <w:top w:val="nil"/>
              <w:left w:val="nil"/>
              <w:bottom w:val="nil"/>
              <w:right w:val="nil"/>
            </w:tcBorders>
            <w:noWrap/>
            <w:vAlign w:val="center"/>
            <w:hideMark/>
          </w:tcPr>
          <w:p w14:paraId="6B281D65" w14:textId="77777777" w:rsidR="007A6A1A" w:rsidRPr="00C73F11" w:rsidRDefault="007A6A1A" w:rsidP="00BD36B5">
            <w:pPr>
              <w:spacing w:after="0" w:line="240" w:lineRule="auto"/>
              <w:jc w:val="center"/>
              <w:rPr>
                <w:i/>
                <w:iCs/>
                <w:sz w:val="20"/>
                <w:szCs w:val="20"/>
              </w:rPr>
            </w:pPr>
            <w:r w:rsidRPr="00C73F11">
              <w:rPr>
                <w:i/>
                <w:iCs/>
                <w:sz w:val="20"/>
                <w:szCs w:val="20"/>
              </w:rPr>
              <w:t>5.0</w:t>
            </w:r>
          </w:p>
        </w:tc>
        <w:tc>
          <w:tcPr>
            <w:tcW w:w="935" w:type="dxa"/>
            <w:tcBorders>
              <w:top w:val="nil"/>
              <w:left w:val="nil"/>
              <w:bottom w:val="nil"/>
              <w:right w:val="nil"/>
            </w:tcBorders>
            <w:noWrap/>
            <w:vAlign w:val="center"/>
            <w:hideMark/>
          </w:tcPr>
          <w:p w14:paraId="7CFC9EEE" w14:textId="77777777" w:rsidR="007A6A1A" w:rsidRPr="00C73F11" w:rsidRDefault="007A6A1A" w:rsidP="00BD36B5">
            <w:pPr>
              <w:spacing w:after="0" w:line="240" w:lineRule="auto"/>
              <w:jc w:val="center"/>
              <w:rPr>
                <w:i/>
                <w:iCs/>
                <w:sz w:val="20"/>
                <w:szCs w:val="20"/>
              </w:rPr>
            </w:pPr>
            <w:r w:rsidRPr="00C73F11">
              <w:rPr>
                <w:i/>
                <w:iCs/>
                <w:sz w:val="20"/>
                <w:szCs w:val="20"/>
              </w:rPr>
              <w:t>6.0</w:t>
            </w:r>
          </w:p>
        </w:tc>
        <w:tc>
          <w:tcPr>
            <w:tcW w:w="698" w:type="dxa"/>
            <w:tcBorders>
              <w:top w:val="nil"/>
              <w:left w:val="nil"/>
              <w:bottom w:val="nil"/>
              <w:right w:val="single" w:sz="4" w:space="0" w:color="auto"/>
            </w:tcBorders>
            <w:noWrap/>
            <w:vAlign w:val="center"/>
            <w:hideMark/>
          </w:tcPr>
          <w:p w14:paraId="0269F864" w14:textId="77777777" w:rsidR="007A6A1A" w:rsidRPr="00C73F11" w:rsidRDefault="007A6A1A" w:rsidP="00BD36B5">
            <w:pPr>
              <w:spacing w:after="0" w:line="240" w:lineRule="auto"/>
              <w:jc w:val="center"/>
              <w:rPr>
                <w:i/>
                <w:iCs/>
                <w:sz w:val="20"/>
                <w:szCs w:val="20"/>
              </w:rPr>
            </w:pPr>
            <w:r w:rsidRPr="00C73F11">
              <w:rPr>
                <w:i/>
                <w:iCs/>
                <w:sz w:val="20"/>
                <w:szCs w:val="20"/>
              </w:rPr>
              <w:t>4.0</w:t>
            </w:r>
          </w:p>
        </w:tc>
      </w:tr>
      <w:tr w:rsidR="007A6A1A" w:rsidRPr="00167CB8" w14:paraId="1A07C20B" w14:textId="77777777" w:rsidTr="00675321">
        <w:trPr>
          <w:trHeight w:val="340"/>
        </w:trPr>
        <w:tc>
          <w:tcPr>
            <w:tcW w:w="3311" w:type="dxa"/>
            <w:tcBorders>
              <w:top w:val="nil"/>
              <w:left w:val="single" w:sz="4" w:space="0" w:color="auto"/>
              <w:bottom w:val="nil"/>
              <w:right w:val="nil"/>
            </w:tcBorders>
            <w:vAlign w:val="center"/>
            <w:hideMark/>
          </w:tcPr>
          <w:p w14:paraId="3923FFA6" w14:textId="71C8C37A" w:rsidR="007A6A1A" w:rsidRPr="00C73F11" w:rsidRDefault="007A6A1A" w:rsidP="00BD36B5">
            <w:pPr>
              <w:spacing w:after="0" w:line="240" w:lineRule="auto"/>
              <w:rPr>
                <w:i/>
                <w:iCs/>
                <w:sz w:val="20"/>
                <w:szCs w:val="20"/>
              </w:rPr>
            </w:pPr>
            <w:r w:rsidRPr="00C73F11">
              <w:rPr>
                <w:i/>
                <w:iCs/>
                <w:sz w:val="20"/>
                <w:szCs w:val="20"/>
              </w:rPr>
              <w:t>Public</w:t>
            </w:r>
          </w:p>
        </w:tc>
        <w:tc>
          <w:tcPr>
            <w:tcW w:w="1323" w:type="dxa"/>
            <w:tcBorders>
              <w:top w:val="nil"/>
              <w:left w:val="nil"/>
              <w:bottom w:val="nil"/>
              <w:right w:val="nil"/>
            </w:tcBorders>
            <w:vAlign w:val="center"/>
            <w:hideMark/>
          </w:tcPr>
          <w:p w14:paraId="35135E1E" w14:textId="77777777" w:rsidR="007A6A1A" w:rsidRPr="00C73F11" w:rsidRDefault="007A6A1A" w:rsidP="00BD36B5">
            <w:pPr>
              <w:spacing w:after="0" w:line="240" w:lineRule="auto"/>
              <w:jc w:val="center"/>
              <w:rPr>
                <w:i/>
                <w:iCs/>
                <w:sz w:val="20"/>
                <w:szCs w:val="20"/>
              </w:rPr>
            </w:pPr>
            <w:r w:rsidRPr="00C73F11">
              <w:rPr>
                <w:i/>
                <w:iCs/>
                <w:sz w:val="20"/>
                <w:szCs w:val="20"/>
              </w:rPr>
              <w:t>46.0%</w:t>
            </w:r>
          </w:p>
        </w:tc>
        <w:tc>
          <w:tcPr>
            <w:tcW w:w="1242" w:type="dxa"/>
            <w:tcBorders>
              <w:top w:val="nil"/>
              <w:left w:val="nil"/>
              <w:bottom w:val="nil"/>
              <w:right w:val="nil"/>
            </w:tcBorders>
            <w:vAlign w:val="center"/>
            <w:hideMark/>
          </w:tcPr>
          <w:p w14:paraId="430E846F" w14:textId="77777777" w:rsidR="007A6A1A" w:rsidRPr="00C73F11" w:rsidRDefault="007A6A1A" w:rsidP="00BD36B5">
            <w:pPr>
              <w:spacing w:after="0" w:line="240" w:lineRule="auto"/>
              <w:jc w:val="center"/>
              <w:rPr>
                <w:i/>
                <w:iCs/>
                <w:sz w:val="20"/>
                <w:szCs w:val="20"/>
              </w:rPr>
            </w:pPr>
            <w:r w:rsidRPr="00C73F11">
              <w:rPr>
                <w:i/>
                <w:iCs/>
                <w:sz w:val="20"/>
                <w:szCs w:val="20"/>
              </w:rPr>
              <w:t>5.6%</w:t>
            </w:r>
          </w:p>
        </w:tc>
        <w:tc>
          <w:tcPr>
            <w:tcW w:w="1582" w:type="dxa"/>
            <w:tcBorders>
              <w:top w:val="nil"/>
              <w:left w:val="nil"/>
              <w:bottom w:val="nil"/>
              <w:right w:val="nil"/>
            </w:tcBorders>
            <w:noWrap/>
            <w:vAlign w:val="center"/>
            <w:hideMark/>
          </w:tcPr>
          <w:p w14:paraId="1EFB6081" w14:textId="77777777" w:rsidR="007A6A1A" w:rsidRPr="00C73F11" w:rsidRDefault="007A6A1A" w:rsidP="00BD36B5">
            <w:pPr>
              <w:spacing w:after="0" w:line="240" w:lineRule="auto"/>
              <w:jc w:val="center"/>
              <w:rPr>
                <w:i/>
                <w:iCs/>
                <w:sz w:val="20"/>
                <w:szCs w:val="20"/>
              </w:rPr>
            </w:pPr>
            <w:r w:rsidRPr="00C73F11">
              <w:rPr>
                <w:i/>
                <w:iCs/>
                <w:sz w:val="20"/>
                <w:szCs w:val="20"/>
              </w:rPr>
              <w:t>3.2</w:t>
            </w:r>
          </w:p>
        </w:tc>
        <w:tc>
          <w:tcPr>
            <w:tcW w:w="935" w:type="dxa"/>
            <w:tcBorders>
              <w:top w:val="nil"/>
              <w:left w:val="nil"/>
              <w:bottom w:val="nil"/>
              <w:right w:val="nil"/>
            </w:tcBorders>
            <w:noWrap/>
            <w:vAlign w:val="center"/>
            <w:hideMark/>
          </w:tcPr>
          <w:p w14:paraId="2CB207F6" w14:textId="77777777" w:rsidR="007A6A1A" w:rsidRPr="00C73F11" w:rsidRDefault="007A6A1A" w:rsidP="00BD36B5">
            <w:pPr>
              <w:spacing w:after="0" w:line="240" w:lineRule="auto"/>
              <w:jc w:val="center"/>
              <w:rPr>
                <w:i/>
                <w:iCs/>
                <w:sz w:val="20"/>
                <w:szCs w:val="20"/>
              </w:rPr>
            </w:pPr>
            <w:r w:rsidRPr="00C73F11">
              <w:rPr>
                <w:i/>
                <w:iCs/>
                <w:sz w:val="20"/>
                <w:szCs w:val="20"/>
              </w:rPr>
              <w:t>3.3</w:t>
            </w:r>
          </w:p>
        </w:tc>
        <w:tc>
          <w:tcPr>
            <w:tcW w:w="698" w:type="dxa"/>
            <w:tcBorders>
              <w:top w:val="nil"/>
              <w:left w:val="nil"/>
              <w:bottom w:val="nil"/>
              <w:right w:val="single" w:sz="4" w:space="0" w:color="auto"/>
            </w:tcBorders>
            <w:noWrap/>
            <w:vAlign w:val="center"/>
            <w:hideMark/>
          </w:tcPr>
          <w:p w14:paraId="44E82CB4" w14:textId="77777777" w:rsidR="007A6A1A" w:rsidRPr="00C73F11" w:rsidRDefault="007A6A1A" w:rsidP="00BD36B5">
            <w:pPr>
              <w:spacing w:after="0" w:line="240" w:lineRule="auto"/>
              <w:jc w:val="center"/>
              <w:rPr>
                <w:i/>
                <w:iCs/>
                <w:sz w:val="20"/>
                <w:szCs w:val="20"/>
              </w:rPr>
            </w:pPr>
            <w:r w:rsidRPr="00C73F11">
              <w:rPr>
                <w:i/>
                <w:iCs/>
                <w:sz w:val="20"/>
                <w:szCs w:val="20"/>
              </w:rPr>
              <w:t>3.1</w:t>
            </w:r>
          </w:p>
        </w:tc>
      </w:tr>
      <w:tr w:rsidR="007A6A1A" w:rsidRPr="00167CB8" w14:paraId="5B407FC7" w14:textId="77777777" w:rsidTr="00675321">
        <w:trPr>
          <w:trHeight w:val="340"/>
        </w:trPr>
        <w:tc>
          <w:tcPr>
            <w:tcW w:w="3311" w:type="dxa"/>
            <w:tcBorders>
              <w:top w:val="nil"/>
              <w:left w:val="single" w:sz="4" w:space="0" w:color="auto"/>
              <w:bottom w:val="nil"/>
              <w:right w:val="nil"/>
            </w:tcBorders>
            <w:vAlign w:val="center"/>
            <w:hideMark/>
          </w:tcPr>
          <w:p w14:paraId="36ABF2DE" w14:textId="77777777" w:rsidR="007A6A1A" w:rsidRPr="00C73F11" w:rsidRDefault="007A6A1A" w:rsidP="00BD36B5">
            <w:pPr>
              <w:spacing w:after="0" w:line="240" w:lineRule="auto"/>
              <w:rPr>
                <w:sz w:val="20"/>
                <w:szCs w:val="20"/>
              </w:rPr>
            </w:pPr>
            <w:r w:rsidRPr="00C73F11">
              <w:rPr>
                <w:sz w:val="20"/>
                <w:szCs w:val="20"/>
              </w:rPr>
              <w:t>Arts and recreational services</w:t>
            </w:r>
          </w:p>
        </w:tc>
        <w:tc>
          <w:tcPr>
            <w:tcW w:w="1323" w:type="dxa"/>
            <w:tcBorders>
              <w:top w:val="nil"/>
              <w:left w:val="nil"/>
              <w:bottom w:val="nil"/>
              <w:right w:val="nil"/>
            </w:tcBorders>
            <w:vAlign w:val="center"/>
            <w:hideMark/>
          </w:tcPr>
          <w:p w14:paraId="7D910470" w14:textId="77777777" w:rsidR="007A6A1A" w:rsidRPr="00C73F11" w:rsidRDefault="007A6A1A" w:rsidP="00BD36B5">
            <w:pPr>
              <w:spacing w:after="0" w:line="240" w:lineRule="auto"/>
              <w:jc w:val="center"/>
              <w:rPr>
                <w:sz w:val="20"/>
                <w:szCs w:val="20"/>
              </w:rPr>
            </w:pPr>
            <w:r w:rsidRPr="00C73F11">
              <w:rPr>
                <w:sz w:val="20"/>
                <w:szCs w:val="20"/>
              </w:rPr>
              <w:t>48.9%</w:t>
            </w:r>
          </w:p>
        </w:tc>
        <w:tc>
          <w:tcPr>
            <w:tcW w:w="1242" w:type="dxa"/>
            <w:tcBorders>
              <w:top w:val="nil"/>
              <w:left w:val="nil"/>
              <w:bottom w:val="nil"/>
              <w:right w:val="nil"/>
            </w:tcBorders>
            <w:vAlign w:val="center"/>
            <w:hideMark/>
          </w:tcPr>
          <w:p w14:paraId="3F643C11" w14:textId="77777777" w:rsidR="007A6A1A" w:rsidRPr="00C73F11" w:rsidRDefault="007A6A1A" w:rsidP="00BD36B5">
            <w:pPr>
              <w:spacing w:after="0" w:line="240" w:lineRule="auto"/>
              <w:jc w:val="center"/>
              <w:rPr>
                <w:sz w:val="20"/>
                <w:szCs w:val="20"/>
              </w:rPr>
            </w:pPr>
            <w:r w:rsidRPr="00C73F11">
              <w:rPr>
                <w:sz w:val="20"/>
                <w:szCs w:val="20"/>
              </w:rPr>
              <w:t>6.3%</w:t>
            </w:r>
          </w:p>
        </w:tc>
        <w:tc>
          <w:tcPr>
            <w:tcW w:w="1582" w:type="dxa"/>
            <w:tcBorders>
              <w:top w:val="nil"/>
              <w:left w:val="nil"/>
              <w:bottom w:val="nil"/>
              <w:right w:val="nil"/>
            </w:tcBorders>
            <w:noWrap/>
            <w:vAlign w:val="center"/>
            <w:hideMark/>
          </w:tcPr>
          <w:p w14:paraId="036129ED" w14:textId="77777777" w:rsidR="007A6A1A" w:rsidRPr="00C73F11" w:rsidRDefault="007A6A1A" w:rsidP="00BD36B5">
            <w:pPr>
              <w:spacing w:after="0" w:line="240" w:lineRule="auto"/>
              <w:jc w:val="center"/>
              <w:rPr>
                <w:sz w:val="20"/>
                <w:szCs w:val="20"/>
              </w:rPr>
            </w:pPr>
            <w:r w:rsidRPr="00C73F11">
              <w:rPr>
                <w:sz w:val="20"/>
                <w:szCs w:val="20"/>
              </w:rPr>
              <w:t>3.8</w:t>
            </w:r>
          </w:p>
        </w:tc>
        <w:tc>
          <w:tcPr>
            <w:tcW w:w="935" w:type="dxa"/>
            <w:tcBorders>
              <w:top w:val="nil"/>
              <w:left w:val="nil"/>
              <w:bottom w:val="nil"/>
              <w:right w:val="nil"/>
            </w:tcBorders>
            <w:noWrap/>
            <w:vAlign w:val="center"/>
            <w:hideMark/>
          </w:tcPr>
          <w:p w14:paraId="41922318" w14:textId="77777777" w:rsidR="007A6A1A" w:rsidRPr="00C73F11" w:rsidRDefault="007A6A1A" w:rsidP="00BD36B5">
            <w:pPr>
              <w:spacing w:after="0" w:line="240" w:lineRule="auto"/>
              <w:jc w:val="center"/>
              <w:rPr>
                <w:sz w:val="20"/>
                <w:szCs w:val="20"/>
              </w:rPr>
            </w:pPr>
            <w:r w:rsidRPr="00C73F11">
              <w:rPr>
                <w:sz w:val="20"/>
                <w:szCs w:val="20"/>
              </w:rPr>
              <w:t>4.6</w:t>
            </w:r>
          </w:p>
        </w:tc>
        <w:tc>
          <w:tcPr>
            <w:tcW w:w="698" w:type="dxa"/>
            <w:tcBorders>
              <w:top w:val="nil"/>
              <w:left w:val="nil"/>
              <w:bottom w:val="nil"/>
              <w:right w:val="single" w:sz="4" w:space="0" w:color="auto"/>
            </w:tcBorders>
            <w:noWrap/>
            <w:vAlign w:val="center"/>
            <w:hideMark/>
          </w:tcPr>
          <w:p w14:paraId="1E5919D3" w14:textId="77777777" w:rsidR="007A6A1A" w:rsidRPr="00C73F11" w:rsidRDefault="007A6A1A" w:rsidP="00BD36B5">
            <w:pPr>
              <w:spacing w:after="0" w:line="240" w:lineRule="auto"/>
              <w:jc w:val="center"/>
              <w:rPr>
                <w:sz w:val="20"/>
                <w:szCs w:val="20"/>
              </w:rPr>
            </w:pPr>
            <w:r w:rsidRPr="00C73F11">
              <w:rPr>
                <w:sz w:val="20"/>
                <w:szCs w:val="20"/>
              </w:rPr>
              <w:t>2.9</w:t>
            </w:r>
          </w:p>
        </w:tc>
      </w:tr>
      <w:tr w:rsidR="007A6A1A" w:rsidRPr="00167CB8" w14:paraId="06B10DD1" w14:textId="77777777" w:rsidTr="00675321">
        <w:trPr>
          <w:trHeight w:val="340"/>
        </w:trPr>
        <w:tc>
          <w:tcPr>
            <w:tcW w:w="3311" w:type="dxa"/>
            <w:tcBorders>
              <w:top w:val="nil"/>
              <w:left w:val="single" w:sz="4" w:space="0" w:color="auto"/>
              <w:bottom w:val="single" w:sz="4" w:space="0" w:color="auto"/>
              <w:right w:val="nil"/>
            </w:tcBorders>
            <w:vAlign w:val="center"/>
            <w:hideMark/>
          </w:tcPr>
          <w:p w14:paraId="5472E41C" w14:textId="77777777" w:rsidR="007A6A1A" w:rsidRPr="00C73F11" w:rsidRDefault="007A6A1A" w:rsidP="00BD36B5">
            <w:pPr>
              <w:spacing w:after="0" w:line="240" w:lineRule="auto"/>
              <w:rPr>
                <w:sz w:val="20"/>
                <w:szCs w:val="20"/>
              </w:rPr>
            </w:pPr>
            <w:r w:rsidRPr="00C73F11">
              <w:rPr>
                <w:sz w:val="20"/>
                <w:szCs w:val="20"/>
              </w:rPr>
              <w:t>Other services</w:t>
            </w:r>
          </w:p>
        </w:tc>
        <w:tc>
          <w:tcPr>
            <w:tcW w:w="1323" w:type="dxa"/>
            <w:tcBorders>
              <w:top w:val="nil"/>
              <w:left w:val="nil"/>
              <w:bottom w:val="single" w:sz="4" w:space="0" w:color="auto"/>
              <w:right w:val="nil"/>
            </w:tcBorders>
            <w:vAlign w:val="center"/>
            <w:hideMark/>
          </w:tcPr>
          <w:p w14:paraId="56A5F8D0" w14:textId="77777777" w:rsidR="007A6A1A" w:rsidRPr="00C73F11" w:rsidRDefault="007A6A1A" w:rsidP="00BD36B5">
            <w:pPr>
              <w:spacing w:after="0" w:line="240" w:lineRule="auto"/>
              <w:jc w:val="center"/>
              <w:rPr>
                <w:sz w:val="20"/>
                <w:szCs w:val="20"/>
              </w:rPr>
            </w:pPr>
            <w:r w:rsidRPr="00C73F11">
              <w:rPr>
                <w:sz w:val="20"/>
                <w:szCs w:val="20"/>
              </w:rPr>
              <w:t>46.6%</w:t>
            </w:r>
          </w:p>
        </w:tc>
        <w:tc>
          <w:tcPr>
            <w:tcW w:w="1242" w:type="dxa"/>
            <w:tcBorders>
              <w:top w:val="nil"/>
              <w:left w:val="nil"/>
              <w:bottom w:val="single" w:sz="4" w:space="0" w:color="auto"/>
              <w:right w:val="nil"/>
            </w:tcBorders>
            <w:vAlign w:val="center"/>
            <w:hideMark/>
          </w:tcPr>
          <w:p w14:paraId="384719F5" w14:textId="77777777" w:rsidR="007A6A1A" w:rsidRPr="00C73F11" w:rsidRDefault="007A6A1A" w:rsidP="00BD36B5">
            <w:pPr>
              <w:spacing w:after="0" w:line="240" w:lineRule="auto"/>
              <w:jc w:val="center"/>
              <w:rPr>
                <w:sz w:val="20"/>
                <w:szCs w:val="20"/>
              </w:rPr>
            </w:pPr>
            <w:r w:rsidRPr="00C73F11">
              <w:rPr>
                <w:sz w:val="20"/>
                <w:szCs w:val="20"/>
              </w:rPr>
              <w:t>6.3%</w:t>
            </w:r>
          </w:p>
        </w:tc>
        <w:tc>
          <w:tcPr>
            <w:tcW w:w="1582" w:type="dxa"/>
            <w:tcBorders>
              <w:top w:val="nil"/>
              <w:left w:val="nil"/>
              <w:bottom w:val="single" w:sz="4" w:space="0" w:color="auto"/>
              <w:right w:val="nil"/>
            </w:tcBorders>
            <w:noWrap/>
            <w:vAlign w:val="center"/>
            <w:hideMark/>
          </w:tcPr>
          <w:p w14:paraId="1ABB900B" w14:textId="77777777" w:rsidR="007A6A1A" w:rsidRPr="00C73F11" w:rsidRDefault="007A6A1A" w:rsidP="00BD36B5">
            <w:pPr>
              <w:spacing w:after="0" w:line="240" w:lineRule="auto"/>
              <w:jc w:val="center"/>
              <w:rPr>
                <w:sz w:val="20"/>
                <w:szCs w:val="20"/>
              </w:rPr>
            </w:pPr>
            <w:r w:rsidRPr="00C73F11">
              <w:rPr>
                <w:sz w:val="20"/>
                <w:szCs w:val="20"/>
              </w:rPr>
              <w:t>3.7</w:t>
            </w:r>
          </w:p>
        </w:tc>
        <w:tc>
          <w:tcPr>
            <w:tcW w:w="935" w:type="dxa"/>
            <w:tcBorders>
              <w:top w:val="nil"/>
              <w:left w:val="nil"/>
              <w:bottom w:val="single" w:sz="4" w:space="0" w:color="auto"/>
              <w:right w:val="nil"/>
            </w:tcBorders>
            <w:noWrap/>
            <w:vAlign w:val="center"/>
            <w:hideMark/>
          </w:tcPr>
          <w:p w14:paraId="2891A6C7" w14:textId="77777777" w:rsidR="007A6A1A" w:rsidRPr="00C73F11" w:rsidRDefault="007A6A1A" w:rsidP="00BD36B5">
            <w:pPr>
              <w:spacing w:after="0" w:line="240" w:lineRule="auto"/>
              <w:jc w:val="center"/>
              <w:rPr>
                <w:sz w:val="20"/>
                <w:szCs w:val="20"/>
              </w:rPr>
            </w:pPr>
            <w:r w:rsidRPr="00C73F11">
              <w:rPr>
                <w:sz w:val="20"/>
                <w:szCs w:val="20"/>
              </w:rPr>
              <w:t>3.8</w:t>
            </w:r>
          </w:p>
        </w:tc>
        <w:tc>
          <w:tcPr>
            <w:tcW w:w="698" w:type="dxa"/>
            <w:tcBorders>
              <w:top w:val="nil"/>
              <w:left w:val="nil"/>
              <w:bottom w:val="single" w:sz="4" w:space="0" w:color="auto"/>
              <w:right w:val="single" w:sz="4" w:space="0" w:color="auto"/>
            </w:tcBorders>
            <w:noWrap/>
            <w:vAlign w:val="center"/>
            <w:hideMark/>
          </w:tcPr>
          <w:p w14:paraId="76B7DD48" w14:textId="77777777" w:rsidR="007A6A1A" w:rsidRPr="00C73F11" w:rsidRDefault="007A6A1A" w:rsidP="00BD36B5">
            <w:pPr>
              <w:spacing w:after="0" w:line="240" w:lineRule="auto"/>
              <w:jc w:val="center"/>
              <w:rPr>
                <w:sz w:val="20"/>
                <w:szCs w:val="20"/>
              </w:rPr>
            </w:pPr>
            <w:r w:rsidRPr="00C73F11">
              <w:rPr>
                <w:sz w:val="20"/>
                <w:szCs w:val="20"/>
              </w:rPr>
              <w:t>3.2</w:t>
            </w:r>
          </w:p>
        </w:tc>
      </w:tr>
      <w:tr w:rsidR="007A6A1A" w:rsidRPr="00167CB8" w14:paraId="3DFCEBCC" w14:textId="77777777" w:rsidTr="00675321">
        <w:trPr>
          <w:trHeight w:val="340"/>
        </w:trPr>
        <w:tc>
          <w:tcPr>
            <w:tcW w:w="3311" w:type="dxa"/>
            <w:tcBorders>
              <w:top w:val="single" w:sz="4" w:space="0" w:color="auto"/>
              <w:left w:val="single" w:sz="4" w:space="0" w:color="auto"/>
              <w:bottom w:val="nil"/>
              <w:right w:val="nil"/>
            </w:tcBorders>
            <w:vAlign w:val="center"/>
            <w:hideMark/>
          </w:tcPr>
          <w:p w14:paraId="516BCBBD" w14:textId="77777777" w:rsidR="007A6A1A" w:rsidRPr="00C73F11" w:rsidRDefault="007A6A1A" w:rsidP="00BD36B5">
            <w:pPr>
              <w:spacing w:after="0" w:line="240" w:lineRule="auto"/>
              <w:rPr>
                <w:b/>
                <w:bCs/>
                <w:sz w:val="20"/>
                <w:szCs w:val="20"/>
              </w:rPr>
            </w:pPr>
            <w:r w:rsidRPr="00C73F11">
              <w:rPr>
                <w:b/>
                <w:bCs/>
                <w:sz w:val="20"/>
                <w:szCs w:val="20"/>
              </w:rPr>
              <w:t>All Industries</w:t>
            </w:r>
          </w:p>
        </w:tc>
        <w:tc>
          <w:tcPr>
            <w:tcW w:w="1323" w:type="dxa"/>
            <w:tcBorders>
              <w:top w:val="single" w:sz="4" w:space="0" w:color="auto"/>
              <w:left w:val="nil"/>
              <w:bottom w:val="nil"/>
              <w:right w:val="nil"/>
            </w:tcBorders>
            <w:vAlign w:val="center"/>
            <w:hideMark/>
          </w:tcPr>
          <w:p w14:paraId="2F73F012" w14:textId="77777777" w:rsidR="007A6A1A" w:rsidRPr="00675321" w:rsidRDefault="007A6A1A" w:rsidP="00BD36B5">
            <w:pPr>
              <w:spacing w:after="0" w:line="240" w:lineRule="auto"/>
              <w:jc w:val="center"/>
              <w:rPr>
                <w:b/>
                <w:bCs/>
                <w:sz w:val="20"/>
                <w:szCs w:val="20"/>
              </w:rPr>
            </w:pPr>
            <w:r w:rsidRPr="00675321">
              <w:rPr>
                <w:b/>
                <w:bCs/>
                <w:sz w:val="20"/>
                <w:szCs w:val="20"/>
              </w:rPr>
              <w:t>47.8%</w:t>
            </w:r>
          </w:p>
        </w:tc>
        <w:tc>
          <w:tcPr>
            <w:tcW w:w="1242" w:type="dxa"/>
            <w:tcBorders>
              <w:top w:val="single" w:sz="4" w:space="0" w:color="auto"/>
              <w:left w:val="nil"/>
              <w:bottom w:val="nil"/>
              <w:right w:val="nil"/>
            </w:tcBorders>
            <w:vAlign w:val="center"/>
            <w:hideMark/>
          </w:tcPr>
          <w:p w14:paraId="0DCDB749" w14:textId="77777777" w:rsidR="007A6A1A" w:rsidRPr="00675321" w:rsidRDefault="007A6A1A" w:rsidP="00BD36B5">
            <w:pPr>
              <w:spacing w:after="0" w:line="240" w:lineRule="auto"/>
              <w:jc w:val="center"/>
              <w:rPr>
                <w:b/>
                <w:bCs/>
                <w:sz w:val="20"/>
                <w:szCs w:val="20"/>
              </w:rPr>
            </w:pPr>
            <w:r w:rsidRPr="00675321">
              <w:rPr>
                <w:b/>
                <w:bCs/>
                <w:sz w:val="20"/>
                <w:szCs w:val="20"/>
              </w:rPr>
              <w:t>6.9%</w:t>
            </w:r>
          </w:p>
        </w:tc>
        <w:tc>
          <w:tcPr>
            <w:tcW w:w="1582" w:type="dxa"/>
            <w:tcBorders>
              <w:top w:val="single" w:sz="4" w:space="0" w:color="auto"/>
              <w:left w:val="nil"/>
              <w:bottom w:val="nil"/>
              <w:right w:val="nil"/>
            </w:tcBorders>
            <w:noWrap/>
            <w:vAlign w:val="center"/>
            <w:hideMark/>
          </w:tcPr>
          <w:p w14:paraId="27FD2FB5" w14:textId="77777777" w:rsidR="007A6A1A" w:rsidRPr="00C73F11" w:rsidRDefault="007A6A1A" w:rsidP="00BD36B5">
            <w:pPr>
              <w:spacing w:after="0" w:line="240" w:lineRule="auto"/>
              <w:jc w:val="center"/>
              <w:rPr>
                <w:b/>
                <w:bCs/>
                <w:sz w:val="20"/>
                <w:szCs w:val="20"/>
              </w:rPr>
            </w:pPr>
            <w:r w:rsidRPr="00C73F11">
              <w:rPr>
                <w:b/>
                <w:bCs/>
                <w:sz w:val="20"/>
                <w:szCs w:val="20"/>
              </w:rPr>
              <w:t>3.8</w:t>
            </w:r>
          </w:p>
        </w:tc>
        <w:tc>
          <w:tcPr>
            <w:tcW w:w="935" w:type="dxa"/>
            <w:tcBorders>
              <w:top w:val="single" w:sz="4" w:space="0" w:color="auto"/>
              <w:left w:val="nil"/>
              <w:bottom w:val="nil"/>
              <w:right w:val="nil"/>
            </w:tcBorders>
            <w:noWrap/>
            <w:vAlign w:val="center"/>
            <w:hideMark/>
          </w:tcPr>
          <w:p w14:paraId="371BF178" w14:textId="77777777" w:rsidR="007A6A1A" w:rsidRPr="00C73F11" w:rsidRDefault="007A6A1A" w:rsidP="00BD36B5">
            <w:pPr>
              <w:spacing w:after="0" w:line="240" w:lineRule="auto"/>
              <w:jc w:val="center"/>
              <w:rPr>
                <w:b/>
                <w:bCs/>
                <w:sz w:val="20"/>
                <w:szCs w:val="20"/>
              </w:rPr>
            </w:pPr>
            <w:r w:rsidRPr="00C73F11">
              <w:rPr>
                <w:b/>
                <w:bCs/>
                <w:sz w:val="20"/>
                <w:szCs w:val="20"/>
              </w:rPr>
              <w:t>4.1</w:t>
            </w:r>
          </w:p>
        </w:tc>
        <w:tc>
          <w:tcPr>
            <w:tcW w:w="698" w:type="dxa"/>
            <w:tcBorders>
              <w:top w:val="single" w:sz="4" w:space="0" w:color="auto"/>
              <w:left w:val="nil"/>
              <w:bottom w:val="nil"/>
              <w:right w:val="single" w:sz="4" w:space="0" w:color="auto"/>
            </w:tcBorders>
            <w:noWrap/>
            <w:vAlign w:val="center"/>
            <w:hideMark/>
          </w:tcPr>
          <w:p w14:paraId="460B63B5" w14:textId="77777777" w:rsidR="007A6A1A" w:rsidRPr="00C73F11" w:rsidRDefault="007A6A1A" w:rsidP="00BD36B5">
            <w:pPr>
              <w:spacing w:after="0" w:line="240" w:lineRule="auto"/>
              <w:jc w:val="center"/>
              <w:rPr>
                <w:b/>
                <w:bCs/>
                <w:sz w:val="20"/>
                <w:szCs w:val="20"/>
              </w:rPr>
            </w:pPr>
            <w:r w:rsidRPr="00C73F11">
              <w:rPr>
                <w:b/>
                <w:bCs/>
                <w:sz w:val="20"/>
                <w:szCs w:val="20"/>
              </w:rPr>
              <w:t>3.5</w:t>
            </w:r>
          </w:p>
        </w:tc>
      </w:tr>
      <w:tr w:rsidR="007A6A1A" w:rsidRPr="00167CB8" w14:paraId="5E095689" w14:textId="77777777" w:rsidTr="00675321">
        <w:trPr>
          <w:trHeight w:val="340"/>
        </w:trPr>
        <w:tc>
          <w:tcPr>
            <w:tcW w:w="3311" w:type="dxa"/>
            <w:tcBorders>
              <w:top w:val="nil"/>
              <w:left w:val="single" w:sz="4" w:space="0" w:color="auto"/>
              <w:bottom w:val="nil"/>
              <w:right w:val="nil"/>
            </w:tcBorders>
            <w:vAlign w:val="center"/>
            <w:hideMark/>
          </w:tcPr>
          <w:p w14:paraId="2AEED12B" w14:textId="3E001A0E" w:rsidR="007A6A1A" w:rsidRPr="00C73F11" w:rsidRDefault="007A6A1A" w:rsidP="00BD36B5">
            <w:pPr>
              <w:spacing w:after="0" w:line="240" w:lineRule="auto"/>
              <w:rPr>
                <w:i/>
                <w:iCs/>
                <w:sz w:val="20"/>
                <w:szCs w:val="20"/>
              </w:rPr>
            </w:pPr>
            <w:r w:rsidRPr="00C73F11">
              <w:rPr>
                <w:i/>
                <w:iCs/>
                <w:sz w:val="20"/>
                <w:szCs w:val="20"/>
              </w:rPr>
              <w:t>Private</w:t>
            </w:r>
          </w:p>
        </w:tc>
        <w:tc>
          <w:tcPr>
            <w:tcW w:w="1323" w:type="dxa"/>
            <w:tcBorders>
              <w:top w:val="nil"/>
              <w:left w:val="nil"/>
              <w:bottom w:val="nil"/>
              <w:right w:val="nil"/>
            </w:tcBorders>
            <w:vAlign w:val="center"/>
            <w:hideMark/>
          </w:tcPr>
          <w:p w14:paraId="26DB3338" w14:textId="77777777" w:rsidR="007A6A1A" w:rsidRPr="00C73F11" w:rsidRDefault="007A6A1A" w:rsidP="00BD36B5">
            <w:pPr>
              <w:spacing w:after="0" w:line="240" w:lineRule="auto"/>
              <w:jc w:val="center"/>
              <w:rPr>
                <w:i/>
                <w:iCs/>
                <w:sz w:val="20"/>
                <w:szCs w:val="20"/>
              </w:rPr>
            </w:pPr>
            <w:r w:rsidRPr="00C73F11">
              <w:rPr>
                <w:i/>
                <w:iCs/>
                <w:sz w:val="20"/>
                <w:szCs w:val="20"/>
              </w:rPr>
              <w:t>48.0%</w:t>
            </w:r>
          </w:p>
        </w:tc>
        <w:tc>
          <w:tcPr>
            <w:tcW w:w="1242" w:type="dxa"/>
            <w:tcBorders>
              <w:top w:val="nil"/>
              <w:left w:val="nil"/>
              <w:bottom w:val="nil"/>
              <w:right w:val="nil"/>
            </w:tcBorders>
            <w:vAlign w:val="center"/>
            <w:hideMark/>
          </w:tcPr>
          <w:p w14:paraId="4248A198" w14:textId="77777777" w:rsidR="007A6A1A" w:rsidRPr="00C73F11" w:rsidRDefault="007A6A1A" w:rsidP="00BD36B5">
            <w:pPr>
              <w:spacing w:after="0" w:line="240" w:lineRule="auto"/>
              <w:jc w:val="center"/>
              <w:rPr>
                <w:i/>
                <w:iCs/>
                <w:sz w:val="20"/>
                <w:szCs w:val="20"/>
              </w:rPr>
            </w:pPr>
            <w:r w:rsidRPr="00C73F11">
              <w:rPr>
                <w:i/>
                <w:iCs/>
                <w:sz w:val="20"/>
                <w:szCs w:val="20"/>
              </w:rPr>
              <w:t>7.0%</w:t>
            </w:r>
          </w:p>
        </w:tc>
        <w:tc>
          <w:tcPr>
            <w:tcW w:w="1582" w:type="dxa"/>
            <w:tcBorders>
              <w:top w:val="nil"/>
              <w:left w:val="nil"/>
              <w:bottom w:val="nil"/>
              <w:right w:val="nil"/>
            </w:tcBorders>
            <w:noWrap/>
            <w:vAlign w:val="center"/>
            <w:hideMark/>
          </w:tcPr>
          <w:p w14:paraId="776C0B2C" w14:textId="77777777" w:rsidR="007A6A1A" w:rsidRPr="00C73F11" w:rsidRDefault="007A6A1A" w:rsidP="00BD36B5">
            <w:pPr>
              <w:spacing w:after="0" w:line="240" w:lineRule="auto"/>
              <w:jc w:val="center"/>
              <w:rPr>
                <w:i/>
                <w:iCs/>
                <w:sz w:val="20"/>
                <w:szCs w:val="20"/>
              </w:rPr>
            </w:pPr>
            <w:r w:rsidRPr="00C73F11">
              <w:rPr>
                <w:i/>
                <w:iCs/>
                <w:sz w:val="20"/>
                <w:szCs w:val="20"/>
              </w:rPr>
              <w:t>3.9</w:t>
            </w:r>
          </w:p>
        </w:tc>
        <w:tc>
          <w:tcPr>
            <w:tcW w:w="935" w:type="dxa"/>
            <w:tcBorders>
              <w:top w:val="nil"/>
              <w:left w:val="nil"/>
              <w:bottom w:val="nil"/>
              <w:right w:val="nil"/>
            </w:tcBorders>
            <w:noWrap/>
            <w:vAlign w:val="center"/>
            <w:hideMark/>
          </w:tcPr>
          <w:p w14:paraId="06F597B7" w14:textId="77777777" w:rsidR="007A6A1A" w:rsidRPr="00C73F11" w:rsidRDefault="007A6A1A" w:rsidP="00BD36B5">
            <w:pPr>
              <w:spacing w:after="0" w:line="240" w:lineRule="auto"/>
              <w:jc w:val="center"/>
              <w:rPr>
                <w:i/>
                <w:iCs/>
                <w:sz w:val="20"/>
                <w:szCs w:val="20"/>
              </w:rPr>
            </w:pPr>
            <w:r w:rsidRPr="00C73F11">
              <w:rPr>
                <w:i/>
                <w:iCs/>
                <w:sz w:val="20"/>
                <w:szCs w:val="20"/>
              </w:rPr>
              <w:t>4.2</w:t>
            </w:r>
          </w:p>
        </w:tc>
        <w:tc>
          <w:tcPr>
            <w:tcW w:w="698" w:type="dxa"/>
            <w:tcBorders>
              <w:top w:val="nil"/>
              <w:left w:val="nil"/>
              <w:bottom w:val="nil"/>
              <w:right w:val="single" w:sz="4" w:space="0" w:color="auto"/>
            </w:tcBorders>
            <w:noWrap/>
            <w:vAlign w:val="center"/>
            <w:hideMark/>
          </w:tcPr>
          <w:p w14:paraId="16C9FD5B" w14:textId="77777777" w:rsidR="007A6A1A" w:rsidRPr="00C73F11" w:rsidRDefault="007A6A1A" w:rsidP="00BD36B5">
            <w:pPr>
              <w:spacing w:after="0" w:line="240" w:lineRule="auto"/>
              <w:jc w:val="center"/>
              <w:rPr>
                <w:i/>
                <w:iCs/>
                <w:sz w:val="20"/>
                <w:szCs w:val="20"/>
              </w:rPr>
            </w:pPr>
            <w:r w:rsidRPr="00C73F11">
              <w:rPr>
                <w:i/>
                <w:iCs/>
                <w:sz w:val="20"/>
                <w:szCs w:val="20"/>
              </w:rPr>
              <w:t>3.5</w:t>
            </w:r>
          </w:p>
        </w:tc>
      </w:tr>
      <w:tr w:rsidR="007A6A1A" w:rsidRPr="00167CB8" w14:paraId="249A0A0A" w14:textId="77777777" w:rsidTr="00675321">
        <w:trPr>
          <w:trHeight w:val="340"/>
        </w:trPr>
        <w:tc>
          <w:tcPr>
            <w:tcW w:w="3311" w:type="dxa"/>
            <w:tcBorders>
              <w:top w:val="nil"/>
              <w:left w:val="single" w:sz="4" w:space="0" w:color="auto"/>
              <w:bottom w:val="single" w:sz="4" w:space="0" w:color="auto"/>
              <w:right w:val="nil"/>
            </w:tcBorders>
            <w:vAlign w:val="center"/>
            <w:hideMark/>
          </w:tcPr>
          <w:p w14:paraId="2749B4BD" w14:textId="24F452F2" w:rsidR="007A6A1A" w:rsidRPr="00C73F11" w:rsidRDefault="007A6A1A" w:rsidP="00BD36B5">
            <w:pPr>
              <w:spacing w:after="0" w:line="240" w:lineRule="auto"/>
              <w:rPr>
                <w:i/>
                <w:iCs/>
                <w:sz w:val="20"/>
                <w:szCs w:val="20"/>
              </w:rPr>
            </w:pPr>
            <w:r w:rsidRPr="00C73F11">
              <w:rPr>
                <w:i/>
                <w:iCs/>
                <w:sz w:val="20"/>
                <w:szCs w:val="20"/>
              </w:rPr>
              <w:t>Public</w:t>
            </w:r>
          </w:p>
        </w:tc>
        <w:tc>
          <w:tcPr>
            <w:tcW w:w="1323" w:type="dxa"/>
            <w:tcBorders>
              <w:top w:val="nil"/>
              <w:left w:val="nil"/>
              <w:bottom w:val="single" w:sz="4" w:space="0" w:color="auto"/>
              <w:right w:val="nil"/>
            </w:tcBorders>
            <w:vAlign w:val="center"/>
            <w:hideMark/>
          </w:tcPr>
          <w:p w14:paraId="51A790E0" w14:textId="77777777" w:rsidR="007A6A1A" w:rsidRPr="00C73F11" w:rsidRDefault="007A6A1A" w:rsidP="00BD36B5">
            <w:pPr>
              <w:spacing w:after="0" w:line="240" w:lineRule="auto"/>
              <w:jc w:val="center"/>
              <w:rPr>
                <w:i/>
                <w:iCs/>
                <w:sz w:val="20"/>
                <w:szCs w:val="20"/>
              </w:rPr>
            </w:pPr>
            <w:r w:rsidRPr="00C73F11">
              <w:rPr>
                <w:i/>
                <w:iCs/>
                <w:sz w:val="20"/>
                <w:szCs w:val="20"/>
              </w:rPr>
              <w:t>47.2%</w:t>
            </w:r>
          </w:p>
        </w:tc>
        <w:tc>
          <w:tcPr>
            <w:tcW w:w="1242" w:type="dxa"/>
            <w:tcBorders>
              <w:top w:val="nil"/>
              <w:left w:val="nil"/>
              <w:bottom w:val="single" w:sz="4" w:space="0" w:color="auto"/>
              <w:right w:val="nil"/>
            </w:tcBorders>
            <w:vAlign w:val="center"/>
            <w:hideMark/>
          </w:tcPr>
          <w:p w14:paraId="246DAF87" w14:textId="77777777" w:rsidR="007A6A1A" w:rsidRPr="00C73F11" w:rsidRDefault="007A6A1A" w:rsidP="00BD36B5">
            <w:pPr>
              <w:spacing w:after="0" w:line="240" w:lineRule="auto"/>
              <w:jc w:val="center"/>
              <w:rPr>
                <w:i/>
                <w:iCs/>
                <w:sz w:val="20"/>
                <w:szCs w:val="20"/>
              </w:rPr>
            </w:pPr>
            <w:r w:rsidRPr="00C73F11">
              <w:rPr>
                <w:i/>
                <w:iCs/>
                <w:sz w:val="20"/>
                <w:szCs w:val="20"/>
              </w:rPr>
              <w:t>6.5%</w:t>
            </w:r>
          </w:p>
        </w:tc>
        <w:tc>
          <w:tcPr>
            <w:tcW w:w="1582" w:type="dxa"/>
            <w:tcBorders>
              <w:top w:val="nil"/>
              <w:left w:val="nil"/>
              <w:bottom w:val="single" w:sz="4" w:space="0" w:color="auto"/>
              <w:right w:val="nil"/>
            </w:tcBorders>
            <w:noWrap/>
            <w:vAlign w:val="center"/>
            <w:hideMark/>
          </w:tcPr>
          <w:p w14:paraId="1EF392D4" w14:textId="77777777" w:rsidR="007A6A1A" w:rsidRPr="00C73F11" w:rsidRDefault="007A6A1A" w:rsidP="00BD36B5">
            <w:pPr>
              <w:spacing w:after="0" w:line="240" w:lineRule="auto"/>
              <w:jc w:val="center"/>
              <w:rPr>
                <w:i/>
                <w:iCs/>
                <w:sz w:val="20"/>
                <w:szCs w:val="20"/>
              </w:rPr>
            </w:pPr>
            <w:r w:rsidRPr="00C73F11">
              <w:rPr>
                <w:i/>
                <w:iCs/>
                <w:sz w:val="20"/>
                <w:szCs w:val="20"/>
              </w:rPr>
              <w:t>3.5</w:t>
            </w:r>
          </w:p>
        </w:tc>
        <w:tc>
          <w:tcPr>
            <w:tcW w:w="935" w:type="dxa"/>
            <w:tcBorders>
              <w:top w:val="nil"/>
              <w:left w:val="nil"/>
              <w:bottom w:val="single" w:sz="4" w:space="0" w:color="auto"/>
              <w:right w:val="nil"/>
            </w:tcBorders>
            <w:noWrap/>
            <w:vAlign w:val="center"/>
            <w:hideMark/>
          </w:tcPr>
          <w:p w14:paraId="01549F1E" w14:textId="77777777" w:rsidR="007A6A1A" w:rsidRPr="00C73F11" w:rsidRDefault="007A6A1A" w:rsidP="00BD36B5">
            <w:pPr>
              <w:spacing w:after="0" w:line="240" w:lineRule="auto"/>
              <w:jc w:val="center"/>
              <w:rPr>
                <w:i/>
                <w:iCs/>
                <w:sz w:val="20"/>
                <w:szCs w:val="20"/>
              </w:rPr>
            </w:pPr>
            <w:r w:rsidRPr="00C73F11">
              <w:rPr>
                <w:i/>
                <w:iCs/>
                <w:sz w:val="20"/>
                <w:szCs w:val="20"/>
              </w:rPr>
              <w:t>3.5</w:t>
            </w:r>
          </w:p>
        </w:tc>
        <w:tc>
          <w:tcPr>
            <w:tcW w:w="698" w:type="dxa"/>
            <w:tcBorders>
              <w:top w:val="nil"/>
              <w:left w:val="nil"/>
              <w:bottom w:val="single" w:sz="4" w:space="0" w:color="auto"/>
              <w:right w:val="single" w:sz="4" w:space="0" w:color="auto"/>
            </w:tcBorders>
            <w:noWrap/>
            <w:vAlign w:val="center"/>
            <w:hideMark/>
          </w:tcPr>
          <w:p w14:paraId="2668FC0B" w14:textId="77777777" w:rsidR="007A6A1A" w:rsidRPr="00C73F11" w:rsidRDefault="007A6A1A" w:rsidP="00BD36B5">
            <w:pPr>
              <w:spacing w:after="0" w:line="240" w:lineRule="auto"/>
              <w:jc w:val="center"/>
              <w:rPr>
                <w:i/>
                <w:iCs/>
                <w:sz w:val="20"/>
                <w:szCs w:val="20"/>
              </w:rPr>
            </w:pPr>
            <w:r w:rsidRPr="00C73F11">
              <w:rPr>
                <w:i/>
                <w:iCs/>
                <w:sz w:val="20"/>
                <w:szCs w:val="20"/>
              </w:rPr>
              <w:t>3.7</w:t>
            </w:r>
          </w:p>
        </w:tc>
      </w:tr>
    </w:tbl>
    <w:p w14:paraId="447FF105" w14:textId="392EFAEF" w:rsidR="007A6A1A" w:rsidRPr="00167CB8" w:rsidRDefault="007A6A1A" w:rsidP="00C87E4A">
      <w:pPr>
        <w:pStyle w:val="Source"/>
      </w:pPr>
      <w:r w:rsidRPr="00167CB8">
        <w:rPr>
          <w:b/>
          <w:bCs/>
        </w:rPr>
        <w:t>Source:</w:t>
      </w:r>
      <w:r w:rsidRPr="00167CB8">
        <w:t xml:space="preserve"> ABS Cat No 6345.0, Wage Price Index, Australia, Tables 1, 4b and 5b.</w:t>
      </w:r>
    </w:p>
    <w:p w14:paraId="7FE1A02A" w14:textId="77777777" w:rsidR="007A6A1A" w:rsidRPr="00167CB8" w:rsidRDefault="007A6A1A" w:rsidP="00C87E4A">
      <w:pPr>
        <w:pStyle w:val="Source"/>
      </w:pPr>
      <w:r w:rsidRPr="00167CB8">
        <w:rPr>
          <w:b/>
          <w:bCs/>
        </w:rPr>
        <w:t>Alt-text:</w:t>
      </w:r>
      <w:r w:rsidRPr="00167CB8">
        <w:t xml:space="preserve"> A table showing nominal wage growth by industry and select sectors. In the year to September 2024 nominal wage growth was stronger in the public sector than it was in the private sector, reversing a pattern shown in the year to September 2023.</w:t>
      </w:r>
    </w:p>
    <w:p w14:paraId="025342D0" w14:textId="77777777" w:rsidR="00675321" w:rsidRDefault="00675321">
      <w:pPr>
        <w:spacing w:after="160"/>
      </w:pPr>
      <w:r>
        <w:br w:type="page"/>
      </w:r>
    </w:p>
    <w:p w14:paraId="2921E445" w14:textId="32D4C02F" w:rsidR="007A6A1A" w:rsidRPr="00167CB8" w:rsidRDefault="006B5479" w:rsidP="007A6A1A">
      <w:pPr>
        <w:spacing w:after="160"/>
      </w:pPr>
      <w:r w:rsidRPr="00167CB8">
        <w:lastRenderedPageBreak/>
        <w:t xml:space="preserve">Figure 35 </w:t>
      </w:r>
      <w:r w:rsidR="007A6A1A" w:rsidRPr="00167CB8">
        <w:t>shows trends in the growth in wages (from the corresponding quarter of the previous year) disaggregated by sector. Wage growth was slower in the public sector than in the private sector over the period 2011 and 2012 and again in the period June 2021 to June 2024. In the September 2024 quarter the trend was reversed</w:t>
      </w:r>
      <w:r w:rsidR="00C87E4A" w:rsidRPr="00167CB8">
        <w:t>,</w:t>
      </w:r>
      <w:r w:rsidR="007A6A1A" w:rsidRPr="00167CB8">
        <w:t xml:space="preserve"> with nominal wages in the public sector growing at 3.7% when benchmarked to September 2023. The corresponding change in the private sector was 3.5%.</w:t>
      </w:r>
    </w:p>
    <w:p w14:paraId="143F0655" w14:textId="6564F114" w:rsidR="007A6A1A" w:rsidRPr="00167CB8" w:rsidRDefault="007A6A1A" w:rsidP="00470AB9">
      <w:pPr>
        <w:pStyle w:val="Caption"/>
      </w:pPr>
      <w:bookmarkStart w:id="750" w:name="_Ref184404701"/>
      <w:bookmarkStart w:id="751" w:name="_Toc186991790"/>
      <w:bookmarkStart w:id="752" w:name="_Toc189310823"/>
      <w:r w:rsidRPr="00167CB8">
        <w:t xml:space="preserve">Figure </w:t>
      </w:r>
      <w:r w:rsidR="00C84FCA" w:rsidRPr="00167CB8">
        <w:t>35</w:t>
      </w:r>
      <w:bookmarkEnd w:id="750"/>
      <w:r w:rsidRPr="00167CB8">
        <w:t>: Trends in annual growth in real wages by sector, March 2010 to September 2024</w:t>
      </w:r>
      <w:bookmarkEnd w:id="751"/>
      <w:bookmarkEnd w:id="752"/>
    </w:p>
    <w:p w14:paraId="50E2A77F" w14:textId="77777777" w:rsidR="007A6A1A" w:rsidRPr="00167CB8" w:rsidRDefault="007A6A1A" w:rsidP="007A6A1A">
      <w:pPr>
        <w:spacing w:after="160"/>
      </w:pPr>
      <w:r w:rsidRPr="00167CB8">
        <w:rPr>
          <w:noProof/>
        </w:rPr>
        <w:drawing>
          <wp:inline distT="0" distB="0" distL="0" distR="0" wp14:anchorId="0C54442F" wp14:editId="17C88968">
            <wp:extent cx="5731510" cy="3750945"/>
            <wp:effectExtent l="0" t="0" r="2540" b="1905"/>
            <wp:docPr id="1885518629" name="Picture 54" descr="A graph of a graph showing the value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descr="A graph of a graph showing the value of a company&#10;&#10;Description automatically generated with medium confidenc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22408AF4" w14:textId="77777777" w:rsidR="007A6A1A" w:rsidRPr="00167CB8" w:rsidRDefault="007A6A1A" w:rsidP="00C87E4A">
      <w:pPr>
        <w:pStyle w:val="Source"/>
      </w:pPr>
      <w:r w:rsidRPr="00167CB8">
        <w:rPr>
          <w:b/>
          <w:bCs/>
        </w:rPr>
        <w:t>Notes:</w:t>
      </w:r>
      <w:r w:rsidRPr="00167CB8">
        <w:t xml:space="preserve"> </w:t>
      </w:r>
    </w:p>
    <w:p w14:paraId="211F87FC" w14:textId="77777777" w:rsidR="007A6A1A" w:rsidRPr="00167CB8" w:rsidRDefault="007A6A1A" w:rsidP="00C87E4A">
      <w:pPr>
        <w:pStyle w:val="Source"/>
      </w:pPr>
      <w:r w:rsidRPr="00167CB8">
        <w:t>1. ABS 6345.0 Wage Price Index, Australia. Table 1, Total hourly rates of pay excluding bonuses, original.</w:t>
      </w:r>
    </w:p>
    <w:p w14:paraId="51B0A41D" w14:textId="77777777" w:rsidR="007A6A1A" w:rsidRPr="00167CB8" w:rsidRDefault="007A6A1A" w:rsidP="00C87E4A">
      <w:pPr>
        <w:pStyle w:val="Source"/>
      </w:pPr>
      <w:r w:rsidRPr="00167CB8">
        <w:t>2. ABS 6401.0 Consumer Price Index, Australia. Tables 1 and 2, All groups CPI Australia, original.</w:t>
      </w:r>
    </w:p>
    <w:p w14:paraId="0094D703" w14:textId="77777777" w:rsidR="007A6A1A" w:rsidRPr="00167CB8" w:rsidRDefault="007A6A1A" w:rsidP="00C87E4A">
      <w:pPr>
        <w:pStyle w:val="Source"/>
      </w:pPr>
      <w:r w:rsidRPr="00167CB8">
        <w:t>3. Real wages derived by subtracting the CPI from the WPI.</w:t>
      </w:r>
    </w:p>
    <w:p w14:paraId="23C901FB" w14:textId="77777777" w:rsidR="007A6A1A" w:rsidRPr="00167CB8" w:rsidRDefault="007A6A1A" w:rsidP="00C87E4A">
      <w:pPr>
        <w:pStyle w:val="Source"/>
      </w:pPr>
      <w:r w:rsidRPr="00167CB8">
        <w:rPr>
          <w:b/>
          <w:bCs/>
        </w:rPr>
        <w:t>Alt-text:</w:t>
      </w:r>
      <w:r w:rsidRPr="00167CB8">
        <w:t xml:space="preserve"> A line chart showing the percentage change in real consumer wages relative to the corresponding quarter of the previous. The data are disaggregated by sector. In the period June 2021 to June 2024 real wage growth was slower in the public sector.</w:t>
      </w:r>
    </w:p>
    <w:p w14:paraId="32CD7334" w14:textId="26DDA0DE" w:rsidR="007A6A1A" w:rsidRPr="00167CB8" w:rsidRDefault="00233736" w:rsidP="007A6A1A">
      <w:pPr>
        <w:spacing w:after="160"/>
      </w:pPr>
      <w:r w:rsidRPr="00167CB8">
        <w:t xml:space="preserve">Figure 36 </w:t>
      </w:r>
      <w:r w:rsidR="007A6A1A" w:rsidRPr="00167CB8">
        <w:t xml:space="preserve">shows considerable variability in patterns of wage growth by industry of employment. For comparative purposes all industry estimates are benchmarked to the manufacturing sector. For much of the past </w:t>
      </w:r>
      <w:r w:rsidR="00C87E4A" w:rsidRPr="00167CB8">
        <w:t xml:space="preserve">10 </w:t>
      </w:r>
      <w:r w:rsidR="007A6A1A" w:rsidRPr="00167CB8">
        <w:t>years wage growth in mining and construction has been below that of manufacturing. The opposite holds for wage growth in education and training and in health care and social assistance.</w:t>
      </w:r>
    </w:p>
    <w:p w14:paraId="0EC96A89" w14:textId="77777777" w:rsidR="007A6A1A" w:rsidRPr="00167CB8" w:rsidRDefault="007A6A1A" w:rsidP="007A6A1A">
      <w:pPr>
        <w:spacing w:after="160"/>
      </w:pPr>
    </w:p>
    <w:p w14:paraId="6008B8AC" w14:textId="77777777" w:rsidR="007A6A1A" w:rsidRPr="00167CB8" w:rsidRDefault="007A6A1A" w:rsidP="007A6A1A">
      <w:pPr>
        <w:spacing w:after="160"/>
        <w:sectPr w:rsidR="007A6A1A" w:rsidRPr="00167CB8" w:rsidSect="007A6A1A">
          <w:pgSz w:w="11906" w:h="16838"/>
          <w:pgMar w:top="1440" w:right="1440" w:bottom="1440" w:left="1440" w:header="708" w:footer="708" w:gutter="0"/>
          <w:cols w:space="720"/>
        </w:sectPr>
      </w:pPr>
    </w:p>
    <w:p w14:paraId="49A19372" w14:textId="6C816A4C" w:rsidR="007A6A1A" w:rsidRPr="00167CB8" w:rsidRDefault="007A6A1A" w:rsidP="00470AB9">
      <w:pPr>
        <w:pStyle w:val="Caption"/>
      </w:pPr>
      <w:bookmarkStart w:id="753" w:name="_Ref184404717"/>
      <w:bookmarkStart w:id="754" w:name="_Toc186991791"/>
      <w:bookmarkStart w:id="755" w:name="_Toc189310824"/>
      <w:r w:rsidRPr="00167CB8">
        <w:lastRenderedPageBreak/>
        <w:t xml:space="preserve">Figure </w:t>
      </w:r>
      <w:r w:rsidR="001318B6" w:rsidRPr="00167CB8">
        <w:t>36</w:t>
      </w:r>
      <w:bookmarkEnd w:id="753"/>
      <w:r w:rsidRPr="00167CB8">
        <w:t xml:space="preserve">: Trends in wage growth over the year benchmarked to manufacturing and smoothed using a </w:t>
      </w:r>
      <w:r w:rsidR="00C87E4A" w:rsidRPr="00167CB8">
        <w:t>4-</w:t>
      </w:r>
      <w:r w:rsidRPr="00167CB8">
        <w:t>quarter moving average</w:t>
      </w:r>
      <w:bookmarkEnd w:id="754"/>
      <w:bookmarkEnd w:id="755"/>
      <w:r w:rsidRPr="00167CB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0"/>
        <w:gridCol w:w="6710"/>
      </w:tblGrid>
      <w:tr w:rsidR="007A6A1A" w:rsidRPr="00167CB8" w14:paraId="26A7D6A0" w14:textId="77777777" w:rsidTr="00E93EBA">
        <w:trPr>
          <w:trHeight w:val="3590"/>
        </w:trPr>
        <w:tc>
          <w:tcPr>
            <w:tcW w:w="6710" w:type="dxa"/>
            <w:vAlign w:val="center"/>
            <w:hideMark/>
          </w:tcPr>
          <w:p w14:paraId="56A26B02" w14:textId="77777777" w:rsidR="007A6A1A" w:rsidRPr="00167CB8" w:rsidRDefault="007A6A1A" w:rsidP="00E93EBA">
            <w:pPr>
              <w:spacing w:after="0"/>
              <w:jc w:val="center"/>
            </w:pPr>
            <w:r w:rsidRPr="00167CB8">
              <w:rPr>
                <w:noProof/>
              </w:rPr>
              <w:drawing>
                <wp:inline distT="0" distB="0" distL="0" distR="0" wp14:anchorId="034C1574" wp14:editId="2EBEF25E">
                  <wp:extent cx="3736303" cy="2441050"/>
                  <wp:effectExtent l="0" t="0" r="0" b="0"/>
                  <wp:docPr id="1252854758" name="Picture 5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54758" name="Picture 53" descr="A graph of different colored lines&#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41954" cy="2444742"/>
                          </a:xfrm>
                          <a:prstGeom prst="rect">
                            <a:avLst/>
                          </a:prstGeom>
                          <a:noFill/>
                          <a:ln>
                            <a:noFill/>
                          </a:ln>
                        </pic:spPr>
                      </pic:pic>
                    </a:graphicData>
                  </a:graphic>
                </wp:inline>
              </w:drawing>
            </w:r>
          </w:p>
        </w:tc>
        <w:tc>
          <w:tcPr>
            <w:tcW w:w="6710" w:type="dxa"/>
            <w:vAlign w:val="center"/>
            <w:hideMark/>
          </w:tcPr>
          <w:p w14:paraId="2FF00977" w14:textId="77777777" w:rsidR="007A6A1A" w:rsidRPr="00167CB8" w:rsidRDefault="007A6A1A" w:rsidP="00E93EBA">
            <w:pPr>
              <w:spacing w:after="0"/>
              <w:jc w:val="center"/>
            </w:pPr>
            <w:r w:rsidRPr="00167CB8">
              <w:rPr>
                <w:noProof/>
              </w:rPr>
              <w:drawing>
                <wp:inline distT="0" distB="0" distL="0" distR="0" wp14:anchorId="5AB82E33" wp14:editId="0FB5064A">
                  <wp:extent cx="3762375" cy="2457450"/>
                  <wp:effectExtent l="0" t="0" r="9525" b="0"/>
                  <wp:docPr id="177582108" name="Picture 5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2108" name="Picture 52" descr="A graph of different colored lines&#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62375" cy="2457450"/>
                          </a:xfrm>
                          <a:prstGeom prst="rect">
                            <a:avLst/>
                          </a:prstGeom>
                          <a:noFill/>
                          <a:ln>
                            <a:noFill/>
                          </a:ln>
                        </pic:spPr>
                      </pic:pic>
                    </a:graphicData>
                  </a:graphic>
                </wp:inline>
              </w:drawing>
            </w:r>
          </w:p>
        </w:tc>
      </w:tr>
      <w:tr w:rsidR="007A6A1A" w:rsidRPr="00167CB8" w14:paraId="40D1F044" w14:textId="77777777" w:rsidTr="00E93EBA">
        <w:trPr>
          <w:trHeight w:val="3789"/>
        </w:trPr>
        <w:tc>
          <w:tcPr>
            <w:tcW w:w="6710" w:type="dxa"/>
            <w:vAlign w:val="center"/>
            <w:hideMark/>
          </w:tcPr>
          <w:p w14:paraId="0FE17B0A" w14:textId="77777777" w:rsidR="007A6A1A" w:rsidRPr="00167CB8" w:rsidRDefault="007A6A1A" w:rsidP="00E93EBA">
            <w:pPr>
              <w:spacing w:after="0"/>
              <w:jc w:val="center"/>
            </w:pPr>
            <w:r w:rsidRPr="00167CB8">
              <w:rPr>
                <w:noProof/>
              </w:rPr>
              <w:drawing>
                <wp:inline distT="0" distB="0" distL="0" distR="0" wp14:anchorId="042BBC4E" wp14:editId="55433E2C">
                  <wp:extent cx="3760967" cy="2454939"/>
                  <wp:effectExtent l="0" t="0" r="0" b="2540"/>
                  <wp:docPr id="1395603720" name="Picture 5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03720" name="Picture 51" descr="A graph of different colored lines&#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67335" cy="2459096"/>
                          </a:xfrm>
                          <a:prstGeom prst="rect">
                            <a:avLst/>
                          </a:prstGeom>
                          <a:noFill/>
                          <a:ln>
                            <a:noFill/>
                          </a:ln>
                        </pic:spPr>
                      </pic:pic>
                    </a:graphicData>
                  </a:graphic>
                </wp:inline>
              </w:drawing>
            </w:r>
          </w:p>
        </w:tc>
        <w:tc>
          <w:tcPr>
            <w:tcW w:w="6710" w:type="dxa"/>
            <w:vAlign w:val="center"/>
            <w:hideMark/>
          </w:tcPr>
          <w:p w14:paraId="5839E9FA" w14:textId="77777777" w:rsidR="007A6A1A" w:rsidRPr="00167CB8" w:rsidRDefault="007A6A1A" w:rsidP="00E93EBA">
            <w:pPr>
              <w:spacing w:after="0"/>
              <w:jc w:val="center"/>
            </w:pPr>
            <w:r w:rsidRPr="00167CB8">
              <w:rPr>
                <w:noProof/>
              </w:rPr>
              <w:drawing>
                <wp:inline distT="0" distB="0" distL="0" distR="0" wp14:anchorId="666C49C4" wp14:editId="63DAA044">
                  <wp:extent cx="3771900" cy="2466975"/>
                  <wp:effectExtent l="0" t="0" r="0" b="9525"/>
                  <wp:docPr id="2125627865" name="Picture 5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27865" name="Picture 50" descr="A graph of different colored lines&#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tc>
      </w:tr>
    </w:tbl>
    <w:p w14:paraId="50FB2F61" w14:textId="51A95652" w:rsidR="007A6A1A" w:rsidRPr="00167CB8" w:rsidRDefault="007A6A1A" w:rsidP="00C87E4A">
      <w:pPr>
        <w:pStyle w:val="Source"/>
      </w:pPr>
      <w:r w:rsidRPr="00167CB8">
        <w:rPr>
          <w:b/>
          <w:bCs/>
        </w:rPr>
        <w:t xml:space="preserve">Notes: </w:t>
      </w:r>
      <w:r w:rsidR="00E93EBA">
        <w:rPr>
          <w:b/>
          <w:bCs/>
        </w:rPr>
        <w:t xml:space="preserve">  </w:t>
      </w:r>
      <w:r w:rsidRPr="00167CB8">
        <w:t>1. ABS 6345.0 Wage Price Index, Australia. Table 5b, Total hourly rates of pay excluding bonuses by sector and industry, original</w:t>
      </w:r>
      <w:r w:rsidR="00E93EBA">
        <w:t xml:space="preserve">; </w:t>
      </w:r>
      <w:r w:rsidRPr="00167CB8">
        <w:t>2. ABS 6401.0 Consumer Price Index, Australia. Tables 1 and 2, All groups CPI Australia, original</w:t>
      </w:r>
      <w:r w:rsidR="00E93EBA">
        <w:t xml:space="preserve">; </w:t>
      </w:r>
      <w:r w:rsidRPr="00167CB8">
        <w:t>3. Wage growth is relative to wage growth in the manufacturing standard. Below 1.0 means growth was weaker; above 1.0 means growth was stronger.</w:t>
      </w:r>
    </w:p>
    <w:p w14:paraId="4F556B70"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1B07814E" w14:textId="77777777" w:rsidR="007A6A1A" w:rsidRPr="00167CB8" w:rsidRDefault="007A6A1A" w:rsidP="00650687">
      <w:pPr>
        <w:pStyle w:val="Heading5"/>
      </w:pPr>
      <w:r w:rsidRPr="00167CB8">
        <w:lastRenderedPageBreak/>
        <w:t>3.1.1 Contributions of methods of pay setting to wage growth</w:t>
      </w:r>
    </w:p>
    <w:p w14:paraId="09F84A1B" w14:textId="1F713DAA" w:rsidR="007A6A1A" w:rsidRPr="00167CB8" w:rsidRDefault="00595E51" w:rsidP="007A6A1A">
      <w:pPr>
        <w:spacing w:after="160"/>
      </w:pPr>
      <w:r w:rsidRPr="00167CB8">
        <w:t xml:space="preserve">Table 40 </w:t>
      </w:r>
      <w:r w:rsidR="007A6A1A" w:rsidRPr="00167CB8">
        <w:t xml:space="preserve">shows growth in wages by method of pay setting since December 2022. As shown, wage growth has been strongest in the award stream, reflecting, in part, that growth is coming off a lower base. </w:t>
      </w:r>
    </w:p>
    <w:p w14:paraId="46E44AA1" w14:textId="3BD7E43D" w:rsidR="007A6A1A" w:rsidRPr="00167CB8" w:rsidRDefault="007A6A1A" w:rsidP="00470AB9">
      <w:pPr>
        <w:pStyle w:val="Caption"/>
      </w:pPr>
      <w:bookmarkStart w:id="756" w:name="_Ref184413115"/>
      <w:bookmarkStart w:id="757" w:name="_Toc186991818"/>
      <w:bookmarkStart w:id="758" w:name="_Toc189310869"/>
      <w:r w:rsidRPr="00167CB8">
        <w:t xml:space="preserve">Table </w:t>
      </w:r>
      <w:r w:rsidR="007E40DA" w:rsidRPr="00167CB8">
        <w:t>40</w:t>
      </w:r>
      <w:bookmarkEnd w:id="756"/>
      <w:r w:rsidRPr="00167CB8">
        <w:t>: Wage growth by method of pay setting, Dec</w:t>
      </w:r>
      <w:r w:rsidR="00C87E4A" w:rsidRPr="00167CB8">
        <w:t>ember</w:t>
      </w:r>
      <w:r w:rsidRPr="00167CB8">
        <w:t xml:space="preserve"> 2022 to September 2024</w:t>
      </w:r>
      <w:bookmarkEnd w:id="757"/>
      <w:bookmarkEnd w:id="758"/>
    </w:p>
    <w:tbl>
      <w:tblPr>
        <w:tblW w:w="909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1"/>
        <w:gridCol w:w="2323"/>
        <w:gridCol w:w="2323"/>
        <w:gridCol w:w="2323"/>
      </w:tblGrid>
      <w:tr w:rsidR="007A6A1A" w:rsidRPr="00167CB8" w14:paraId="5AE570EF" w14:textId="77777777">
        <w:trPr>
          <w:trHeight w:val="343"/>
        </w:trPr>
        <w:tc>
          <w:tcPr>
            <w:tcW w:w="2121" w:type="dxa"/>
            <w:tcBorders>
              <w:top w:val="single" w:sz="4" w:space="0" w:color="auto"/>
              <w:left w:val="single" w:sz="4" w:space="0" w:color="auto"/>
              <w:bottom w:val="single" w:sz="4" w:space="0" w:color="auto"/>
              <w:right w:val="nil"/>
            </w:tcBorders>
            <w:noWrap/>
            <w:vAlign w:val="bottom"/>
            <w:hideMark/>
          </w:tcPr>
          <w:p w14:paraId="3F0FD8CE" w14:textId="77777777" w:rsidR="007A6A1A" w:rsidRPr="00167CB8" w:rsidRDefault="007A6A1A" w:rsidP="007A6A1A">
            <w:pPr>
              <w:spacing w:after="160"/>
              <w:rPr>
                <w:i/>
                <w:iCs/>
              </w:rPr>
            </w:pPr>
          </w:p>
        </w:tc>
        <w:tc>
          <w:tcPr>
            <w:tcW w:w="2322" w:type="dxa"/>
            <w:tcBorders>
              <w:top w:val="single" w:sz="4" w:space="0" w:color="auto"/>
              <w:left w:val="nil"/>
              <w:bottom w:val="single" w:sz="4" w:space="0" w:color="auto"/>
              <w:right w:val="nil"/>
            </w:tcBorders>
            <w:noWrap/>
            <w:vAlign w:val="bottom"/>
            <w:hideMark/>
          </w:tcPr>
          <w:p w14:paraId="5DFD3A44" w14:textId="4D02A24D" w:rsidR="007A6A1A" w:rsidRPr="00167CB8" w:rsidRDefault="007A6A1A" w:rsidP="007A6A1A">
            <w:pPr>
              <w:spacing w:after="160"/>
              <w:rPr>
                <w:b/>
                <w:bCs/>
              </w:rPr>
            </w:pPr>
            <w:r w:rsidRPr="00167CB8">
              <w:rPr>
                <w:b/>
                <w:bCs/>
              </w:rPr>
              <w:t xml:space="preserve">Enterprise </w:t>
            </w:r>
            <w:r w:rsidR="00C87E4A" w:rsidRPr="00167CB8">
              <w:rPr>
                <w:b/>
                <w:bCs/>
              </w:rPr>
              <w:t>a</w:t>
            </w:r>
            <w:r w:rsidRPr="00167CB8">
              <w:rPr>
                <w:b/>
                <w:bCs/>
              </w:rPr>
              <w:t>greement</w:t>
            </w:r>
          </w:p>
        </w:tc>
        <w:tc>
          <w:tcPr>
            <w:tcW w:w="2322" w:type="dxa"/>
            <w:tcBorders>
              <w:top w:val="single" w:sz="4" w:space="0" w:color="auto"/>
              <w:left w:val="nil"/>
              <w:bottom w:val="single" w:sz="4" w:space="0" w:color="auto"/>
              <w:right w:val="nil"/>
            </w:tcBorders>
            <w:noWrap/>
            <w:vAlign w:val="bottom"/>
            <w:hideMark/>
          </w:tcPr>
          <w:p w14:paraId="56B11DF7" w14:textId="79194DC5" w:rsidR="007A6A1A" w:rsidRPr="00167CB8" w:rsidRDefault="007A6A1A" w:rsidP="007A6A1A">
            <w:pPr>
              <w:spacing w:after="160"/>
              <w:rPr>
                <w:b/>
                <w:bCs/>
              </w:rPr>
            </w:pPr>
            <w:r w:rsidRPr="00167CB8">
              <w:rPr>
                <w:b/>
                <w:bCs/>
              </w:rPr>
              <w:t xml:space="preserve">Individual </w:t>
            </w:r>
            <w:r w:rsidR="00C87E4A" w:rsidRPr="00167CB8">
              <w:rPr>
                <w:b/>
                <w:bCs/>
              </w:rPr>
              <w:t>a</w:t>
            </w:r>
            <w:r w:rsidRPr="00167CB8">
              <w:rPr>
                <w:b/>
                <w:bCs/>
              </w:rPr>
              <w:t>rrangement</w:t>
            </w:r>
          </w:p>
        </w:tc>
        <w:tc>
          <w:tcPr>
            <w:tcW w:w="2322" w:type="dxa"/>
            <w:tcBorders>
              <w:top w:val="single" w:sz="4" w:space="0" w:color="auto"/>
              <w:left w:val="nil"/>
              <w:bottom w:val="single" w:sz="4" w:space="0" w:color="auto"/>
              <w:right w:val="single" w:sz="4" w:space="0" w:color="auto"/>
            </w:tcBorders>
            <w:noWrap/>
            <w:vAlign w:val="bottom"/>
            <w:hideMark/>
          </w:tcPr>
          <w:p w14:paraId="63D76FB5" w14:textId="77777777" w:rsidR="007A6A1A" w:rsidRPr="00167CB8" w:rsidRDefault="007A6A1A" w:rsidP="007A6A1A">
            <w:pPr>
              <w:spacing w:after="160"/>
              <w:rPr>
                <w:b/>
                <w:bCs/>
              </w:rPr>
            </w:pPr>
            <w:r w:rsidRPr="00167CB8">
              <w:rPr>
                <w:b/>
                <w:bCs/>
              </w:rPr>
              <w:t>Award</w:t>
            </w:r>
          </w:p>
        </w:tc>
      </w:tr>
      <w:tr w:rsidR="007A6A1A" w:rsidRPr="00167CB8" w14:paraId="38F03F59" w14:textId="77777777">
        <w:trPr>
          <w:trHeight w:val="343"/>
        </w:trPr>
        <w:tc>
          <w:tcPr>
            <w:tcW w:w="2121" w:type="dxa"/>
            <w:tcBorders>
              <w:top w:val="single" w:sz="4" w:space="0" w:color="auto"/>
              <w:left w:val="single" w:sz="4" w:space="0" w:color="auto"/>
              <w:bottom w:val="nil"/>
              <w:right w:val="nil"/>
            </w:tcBorders>
            <w:noWrap/>
            <w:vAlign w:val="bottom"/>
            <w:hideMark/>
          </w:tcPr>
          <w:p w14:paraId="2F2A562B" w14:textId="77777777" w:rsidR="007A6A1A" w:rsidRPr="00167CB8" w:rsidRDefault="007A6A1A" w:rsidP="007A6A1A">
            <w:pPr>
              <w:spacing w:after="160"/>
              <w:rPr>
                <w:b/>
                <w:bCs/>
              </w:rPr>
            </w:pPr>
            <w:r w:rsidRPr="00167CB8">
              <w:rPr>
                <w:b/>
                <w:bCs/>
              </w:rPr>
              <w:t>Dec-22</w:t>
            </w:r>
          </w:p>
        </w:tc>
        <w:tc>
          <w:tcPr>
            <w:tcW w:w="2322" w:type="dxa"/>
            <w:tcBorders>
              <w:top w:val="single" w:sz="4" w:space="0" w:color="auto"/>
              <w:left w:val="nil"/>
              <w:bottom w:val="nil"/>
              <w:right w:val="nil"/>
            </w:tcBorders>
            <w:noWrap/>
            <w:vAlign w:val="bottom"/>
            <w:hideMark/>
          </w:tcPr>
          <w:p w14:paraId="06388531" w14:textId="77777777" w:rsidR="007A6A1A" w:rsidRPr="00167CB8" w:rsidRDefault="007A6A1A" w:rsidP="007A6A1A">
            <w:pPr>
              <w:spacing w:after="160"/>
            </w:pPr>
            <w:r w:rsidRPr="00167CB8">
              <w:t>100.0%</w:t>
            </w:r>
          </w:p>
        </w:tc>
        <w:tc>
          <w:tcPr>
            <w:tcW w:w="2322" w:type="dxa"/>
            <w:tcBorders>
              <w:top w:val="single" w:sz="4" w:space="0" w:color="auto"/>
              <w:left w:val="nil"/>
              <w:bottom w:val="nil"/>
              <w:right w:val="nil"/>
            </w:tcBorders>
            <w:noWrap/>
            <w:vAlign w:val="bottom"/>
            <w:hideMark/>
          </w:tcPr>
          <w:p w14:paraId="415A6CE9" w14:textId="77777777" w:rsidR="007A6A1A" w:rsidRPr="00167CB8" w:rsidRDefault="007A6A1A" w:rsidP="007A6A1A">
            <w:pPr>
              <w:spacing w:after="160"/>
            </w:pPr>
            <w:r w:rsidRPr="00167CB8">
              <w:t>100.0%</w:t>
            </w:r>
          </w:p>
        </w:tc>
        <w:tc>
          <w:tcPr>
            <w:tcW w:w="2322" w:type="dxa"/>
            <w:tcBorders>
              <w:top w:val="single" w:sz="4" w:space="0" w:color="auto"/>
              <w:left w:val="nil"/>
              <w:bottom w:val="nil"/>
              <w:right w:val="single" w:sz="4" w:space="0" w:color="auto"/>
            </w:tcBorders>
            <w:noWrap/>
            <w:vAlign w:val="bottom"/>
            <w:hideMark/>
          </w:tcPr>
          <w:p w14:paraId="451104C1" w14:textId="77777777" w:rsidR="007A6A1A" w:rsidRPr="00167CB8" w:rsidRDefault="007A6A1A" w:rsidP="007A6A1A">
            <w:pPr>
              <w:spacing w:after="160"/>
            </w:pPr>
            <w:r w:rsidRPr="00167CB8">
              <w:t>100.0%</w:t>
            </w:r>
          </w:p>
        </w:tc>
      </w:tr>
      <w:tr w:rsidR="007A6A1A" w:rsidRPr="00167CB8" w14:paraId="2132070D" w14:textId="77777777">
        <w:trPr>
          <w:trHeight w:val="343"/>
        </w:trPr>
        <w:tc>
          <w:tcPr>
            <w:tcW w:w="2121" w:type="dxa"/>
            <w:tcBorders>
              <w:top w:val="nil"/>
              <w:left w:val="single" w:sz="4" w:space="0" w:color="auto"/>
              <w:bottom w:val="nil"/>
              <w:right w:val="nil"/>
            </w:tcBorders>
            <w:noWrap/>
            <w:vAlign w:val="bottom"/>
            <w:hideMark/>
          </w:tcPr>
          <w:p w14:paraId="73BB0E00" w14:textId="77777777" w:rsidR="007A6A1A" w:rsidRPr="00167CB8" w:rsidRDefault="007A6A1A" w:rsidP="007A6A1A">
            <w:pPr>
              <w:spacing w:after="160"/>
              <w:rPr>
                <w:b/>
                <w:bCs/>
              </w:rPr>
            </w:pPr>
            <w:r w:rsidRPr="00167CB8">
              <w:rPr>
                <w:b/>
                <w:bCs/>
              </w:rPr>
              <w:t>Mar-23</w:t>
            </w:r>
          </w:p>
        </w:tc>
        <w:tc>
          <w:tcPr>
            <w:tcW w:w="2322" w:type="dxa"/>
            <w:tcBorders>
              <w:top w:val="nil"/>
              <w:left w:val="nil"/>
              <w:bottom w:val="nil"/>
              <w:right w:val="nil"/>
            </w:tcBorders>
            <w:noWrap/>
            <w:vAlign w:val="bottom"/>
            <w:hideMark/>
          </w:tcPr>
          <w:p w14:paraId="6A14F994" w14:textId="77777777" w:rsidR="007A6A1A" w:rsidRPr="00167CB8" w:rsidRDefault="007A6A1A" w:rsidP="007A6A1A">
            <w:pPr>
              <w:spacing w:after="160"/>
            </w:pPr>
            <w:r w:rsidRPr="00167CB8">
              <w:t>100.9%</w:t>
            </w:r>
          </w:p>
        </w:tc>
        <w:tc>
          <w:tcPr>
            <w:tcW w:w="2322" w:type="dxa"/>
            <w:tcBorders>
              <w:top w:val="nil"/>
              <w:left w:val="nil"/>
              <w:bottom w:val="nil"/>
              <w:right w:val="nil"/>
            </w:tcBorders>
            <w:noWrap/>
            <w:vAlign w:val="bottom"/>
            <w:hideMark/>
          </w:tcPr>
          <w:p w14:paraId="41B78C0A" w14:textId="77777777" w:rsidR="007A6A1A" w:rsidRPr="00167CB8" w:rsidRDefault="007A6A1A" w:rsidP="007A6A1A">
            <w:pPr>
              <w:spacing w:after="160"/>
            </w:pPr>
            <w:r w:rsidRPr="00167CB8">
              <w:t>100.7%</w:t>
            </w:r>
          </w:p>
        </w:tc>
        <w:tc>
          <w:tcPr>
            <w:tcW w:w="2322" w:type="dxa"/>
            <w:tcBorders>
              <w:top w:val="nil"/>
              <w:left w:val="nil"/>
              <w:bottom w:val="nil"/>
              <w:right w:val="single" w:sz="4" w:space="0" w:color="auto"/>
            </w:tcBorders>
            <w:noWrap/>
            <w:vAlign w:val="bottom"/>
            <w:hideMark/>
          </w:tcPr>
          <w:p w14:paraId="39843D57" w14:textId="77777777" w:rsidR="007A6A1A" w:rsidRPr="00167CB8" w:rsidRDefault="007A6A1A" w:rsidP="007A6A1A">
            <w:pPr>
              <w:spacing w:after="160"/>
            </w:pPr>
            <w:r w:rsidRPr="00167CB8">
              <w:t>100.1%</w:t>
            </w:r>
          </w:p>
        </w:tc>
      </w:tr>
      <w:tr w:rsidR="007A6A1A" w:rsidRPr="00167CB8" w14:paraId="648E6147" w14:textId="77777777">
        <w:trPr>
          <w:trHeight w:val="343"/>
        </w:trPr>
        <w:tc>
          <w:tcPr>
            <w:tcW w:w="2121" w:type="dxa"/>
            <w:tcBorders>
              <w:top w:val="nil"/>
              <w:left w:val="single" w:sz="4" w:space="0" w:color="auto"/>
              <w:bottom w:val="nil"/>
              <w:right w:val="nil"/>
            </w:tcBorders>
            <w:noWrap/>
            <w:vAlign w:val="bottom"/>
            <w:hideMark/>
          </w:tcPr>
          <w:p w14:paraId="17454C66" w14:textId="77777777" w:rsidR="007A6A1A" w:rsidRPr="00167CB8" w:rsidRDefault="007A6A1A" w:rsidP="007A6A1A">
            <w:pPr>
              <w:spacing w:after="160"/>
              <w:rPr>
                <w:b/>
                <w:bCs/>
              </w:rPr>
            </w:pPr>
            <w:r w:rsidRPr="00167CB8">
              <w:rPr>
                <w:b/>
                <w:bCs/>
              </w:rPr>
              <w:t>Jun-23</w:t>
            </w:r>
          </w:p>
        </w:tc>
        <w:tc>
          <w:tcPr>
            <w:tcW w:w="2322" w:type="dxa"/>
            <w:tcBorders>
              <w:top w:val="nil"/>
              <w:left w:val="nil"/>
              <w:bottom w:val="nil"/>
              <w:right w:val="nil"/>
            </w:tcBorders>
            <w:noWrap/>
            <w:vAlign w:val="bottom"/>
            <w:hideMark/>
          </w:tcPr>
          <w:p w14:paraId="5890B441" w14:textId="77777777" w:rsidR="007A6A1A" w:rsidRPr="00167CB8" w:rsidRDefault="007A6A1A" w:rsidP="007A6A1A">
            <w:pPr>
              <w:spacing w:after="160"/>
            </w:pPr>
            <w:r w:rsidRPr="00167CB8">
              <w:t>101.5%</w:t>
            </w:r>
          </w:p>
        </w:tc>
        <w:tc>
          <w:tcPr>
            <w:tcW w:w="2322" w:type="dxa"/>
            <w:tcBorders>
              <w:top w:val="nil"/>
              <w:left w:val="nil"/>
              <w:bottom w:val="nil"/>
              <w:right w:val="nil"/>
            </w:tcBorders>
            <w:noWrap/>
            <w:vAlign w:val="bottom"/>
            <w:hideMark/>
          </w:tcPr>
          <w:p w14:paraId="425FFB3A" w14:textId="77777777" w:rsidR="007A6A1A" w:rsidRPr="00167CB8" w:rsidRDefault="007A6A1A" w:rsidP="007A6A1A">
            <w:pPr>
              <w:spacing w:after="160"/>
            </w:pPr>
            <w:r w:rsidRPr="00167CB8">
              <w:t>101.4%</w:t>
            </w:r>
          </w:p>
        </w:tc>
        <w:tc>
          <w:tcPr>
            <w:tcW w:w="2322" w:type="dxa"/>
            <w:tcBorders>
              <w:top w:val="nil"/>
              <w:left w:val="nil"/>
              <w:bottom w:val="nil"/>
              <w:right w:val="single" w:sz="4" w:space="0" w:color="auto"/>
            </w:tcBorders>
            <w:noWrap/>
            <w:vAlign w:val="bottom"/>
            <w:hideMark/>
          </w:tcPr>
          <w:p w14:paraId="7735C333" w14:textId="77777777" w:rsidR="007A6A1A" w:rsidRPr="00167CB8" w:rsidRDefault="007A6A1A" w:rsidP="007A6A1A">
            <w:pPr>
              <w:spacing w:after="160"/>
            </w:pPr>
            <w:r w:rsidRPr="00167CB8">
              <w:t>100.1%</w:t>
            </w:r>
          </w:p>
        </w:tc>
      </w:tr>
      <w:tr w:rsidR="007A6A1A" w:rsidRPr="00167CB8" w14:paraId="647B41E3" w14:textId="77777777">
        <w:trPr>
          <w:trHeight w:val="343"/>
        </w:trPr>
        <w:tc>
          <w:tcPr>
            <w:tcW w:w="2121" w:type="dxa"/>
            <w:tcBorders>
              <w:top w:val="nil"/>
              <w:left w:val="single" w:sz="4" w:space="0" w:color="auto"/>
              <w:bottom w:val="nil"/>
              <w:right w:val="nil"/>
            </w:tcBorders>
            <w:noWrap/>
            <w:vAlign w:val="bottom"/>
            <w:hideMark/>
          </w:tcPr>
          <w:p w14:paraId="4536D468" w14:textId="77777777" w:rsidR="007A6A1A" w:rsidRPr="00167CB8" w:rsidRDefault="007A6A1A" w:rsidP="007A6A1A">
            <w:pPr>
              <w:spacing w:after="160"/>
              <w:rPr>
                <w:b/>
                <w:bCs/>
              </w:rPr>
            </w:pPr>
            <w:r w:rsidRPr="00167CB8">
              <w:rPr>
                <w:b/>
                <w:bCs/>
              </w:rPr>
              <w:t>Sep-23</w:t>
            </w:r>
          </w:p>
        </w:tc>
        <w:tc>
          <w:tcPr>
            <w:tcW w:w="2322" w:type="dxa"/>
            <w:tcBorders>
              <w:top w:val="nil"/>
              <w:left w:val="nil"/>
              <w:bottom w:val="nil"/>
              <w:right w:val="nil"/>
            </w:tcBorders>
            <w:noWrap/>
            <w:vAlign w:val="bottom"/>
            <w:hideMark/>
          </w:tcPr>
          <w:p w14:paraId="637F7E09" w14:textId="77777777" w:rsidR="007A6A1A" w:rsidRPr="00167CB8" w:rsidRDefault="007A6A1A" w:rsidP="007A6A1A">
            <w:pPr>
              <w:spacing w:after="160"/>
            </w:pPr>
            <w:r w:rsidRPr="00167CB8">
              <w:t>103.4%</w:t>
            </w:r>
          </w:p>
        </w:tc>
        <w:tc>
          <w:tcPr>
            <w:tcW w:w="2322" w:type="dxa"/>
            <w:tcBorders>
              <w:top w:val="nil"/>
              <w:left w:val="nil"/>
              <w:bottom w:val="nil"/>
              <w:right w:val="nil"/>
            </w:tcBorders>
            <w:noWrap/>
            <w:vAlign w:val="bottom"/>
            <w:hideMark/>
          </w:tcPr>
          <w:p w14:paraId="2D12FA75" w14:textId="77777777" w:rsidR="007A6A1A" w:rsidRPr="00167CB8" w:rsidRDefault="007A6A1A" w:rsidP="007A6A1A">
            <w:pPr>
              <w:spacing w:after="160"/>
            </w:pPr>
            <w:r w:rsidRPr="00167CB8">
              <w:t>102.9%</w:t>
            </w:r>
          </w:p>
        </w:tc>
        <w:tc>
          <w:tcPr>
            <w:tcW w:w="2322" w:type="dxa"/>
            <w:tcBorders>
              <w:top w:val="nil"/>
              <w:left w:val="nil"/>
              <w:bottom w:val="nil"/>
              <w:right w:val="single" w:sz="4" w:space="0" w:color="auto"/>
            </w:tcBorders>
            <w:noWrap/>
            <w:vAlign w:val="bottom"/>
            <w:hideMark/>
          </w:tcPr>
          <w:p w14:paraId="4C1F3684" w14:textId="77777777" w:rsidR="007A6A1A" w:rsidRPr="00167CB8" w:rsidRDefault="007A6A1A" w:rsidP="007A6A1A">
            <w:pPr>
              <w:spacing w:after="160"/>
            </w:pPr>
            <w:r w:rsidRPr="00167CB8">
              <w:t>104.7%</w:t>
            </w:r>
          </w:p>
        </w:tc>
      </w:tr>
      <w:tr w:rsidR="007A6A1A" w:rsidRPr="00167CB8" w14:paraId="38786952" w14:textId="77777777">
        <w:trPr>
          <w:trHeight w:val="343"/>
        </w:trPr>
        <w:tc>
          <w:tcPr>
            <w:tcW w:w="2121" w:type="dxa"/>
            <w:tcBorders>
              <w:top w:val="nil"/>
              <w:left w:val="single" w:sz="4" w:space="0" w:color="auto"/>
              <w:bottom w:val="nil"/>
              <w:right w:val="nil"/>
            </w:tcBorders>
            <w:noWrap/>
            <w:vAlign w:val="bottom"/>
            <w:hideMark/>
          </w:tcPr>
          <w:p w14:paraId="679B9CCB" w14:textId="77777777" w:rsidR="007A6A1A" w:rsidRPr="00167CB8" w:rsidRDefault="007A6A1A" w:rsidP="007A6A1A">
            <w:pPr>
              <w:spacing w:after="160"/>
              <w:rPr>
                <w:b/>
                <w:bCs/>
              </w:rPr>
            </w:pPr>
            <w:r w:rsidRPr="00167CB8">
              <w:rPr>
                <w:b/>
                <w:bCs/>
              </w:rPr>
              <w:t>Dec-23</w:t>
            </w:r>
          </w:p>
        </w:tc>
        <w:tc>
          <w:tcPr>
            <w:tcW w:w="2322" w:type="dxa"/>
            <w:tcBorders>
              <w:top w:val="nil"/>
              <w:left w:val="nil"/>
              <w:bottom w:val="nil"/>
              <w:right w:val="nil"/>
            </w:tcBorders>
            <w:noWrap/>
            <w:vAlign w:val="bottom"/>
            <w:hideMark/>
          </w:tcPr>
          <w:p w14:paraId="57DB1733" w14:textId="77777777" w:rsidR="007A6A1A" w:rsidRPr="00167CB8" w:rsidRDefault="007A6A1A" w:rsidP="007A6A1A">
            <w:pPr>
              <w:spacing w:after="160"/>
            </w:pPr>
            <w:r w:rsidRPr="00167CB8">
              <w:t>104.7%</w:t>
            </w:r>
          </w:p>
        </w:tc>
        <w:tc>
          <w:tcPr>
            <w:tcW w:w="2322" w:type="dxa"/>
            <w:tcBorders>
              <w:top w:val="nil"/>
              <w:left w:val="nil"/>
              <w:bottom w:val="nil"/>
              <w:right w:val="nil"/>
            </w:tcBorders>
            <w:noWrap/>
            <w:vAlign w:val="bottom"/>
            <w:hideMark/>
          </w:tcPr>
          <w:p w14:paraId="0B15D83F" w14:textId="77777777" w:rsidR="007A6A1A" w:rsidRPr="00167CB8" w:rsidRDefault="007A6A1A" w:rsidP="007A6A1A">
            <w:pPr>
              <w:spacing w:after="160"/>
            </w:pPr>
            <w:r w:rsidRPr="00167CB8">
              <w:t>103.7%</w:t>
            </w:r>
          </w:p>
        </w:tc>
        <w:tc>
          <w:tcPr>
            <w:tcW w:w="2322" w:type="dxa"/>
            <w:tcBorders>
              <w:top w:val="nil"/>
              <w:left w:val="nil"/>
              <w:bottom w:val="nil"/>
              <w:right w:val="single" w:sz="4" w:space="0" w:color="auto"/>
            </w:tcBorders>
            <w:noWrap/>
            <w:vAlign w:val="bottom"/>
            <w:hideMark/>
          </w:tcPr>
          <w:p w14:paraId="60159EC2" w14:textId="77777777" w:rsidR="007A6A1A" w:rsidRPr="00167CB8" w:rsidRDefault="007A6A1A" w:rsidP="007A6A1A">
            <w:pPr>
              <w:spacing w:after="160"/>
            </w:pPr>
            <w:r w:rsidRPr="00167CB8">
              <w:t>105.6%</w:t>
            </w:r>
          </w:p>
        </w:tc>
      </w:tr>
      <w:tr w:rsidR="007A6A1A" w:rsidRPr="00167CB8" w14:paraId="57E3E245" w14:textId="77777777">
        <w:trPr>
          <w:trHeight w:val="343"/>
        </w:trPr>
        <w:tc>
          <w:tcPr>
            <w:tcW w:w="2121" w:type="dxa"/>
            <w:tcBorders>
              <w:top w:val="nil"/>
              <w:left w:val="single" w:sz="4" w:space="0" w:color="auto"/>
              <w:bottom w:val="nil"/>
              <w:right w:val="nil"/>
            </w:tcBorders>
            <w:noWrap/>
            <w:vAlign w:val="bottom"/>
            <w:hideMark/>
          </w:tcPr>
          <w:p w14:paraId="7E6D3764" w14:textId="77777777" w:rsidR="007A6A1A" w:rsidRPr="00167CB8" w:rsidRDefault="007A6A1A" w:rsidP="007A6A1A">
            <w:pPr>
              <w:spacing w:after="160"/>
              <w:rPr>
                <w:b/>
                <w:bCs/>
              </w:rPr>
            </w:pPr>
            <w:r w:rsidRPr="00167CB8">
              <w:rPr>
                <w:b/>
                <w:bCs/>
              </w:rPr>
              <w:t>Mar-24</w:t>
            </w:r>
          </w:p>
        </w:tc>
        <w:tc>
          <w:tcPr>
            <w:tcW w:w="2322" w:type="dxa"/>
            <w:tcBorders>
              <w:top w:val="nil"/>
              <w:left w:val="nil"/>
              <w:bottom w:val="nil"/>
              <w:right w:val="nil"/>
            </w:tcBorders>
            <w:noWrap/>
            <w:vAlign w:val="bottom"/>
            <w:hideMark/>
          </w:tcPr>
          <w:p w14:paraId="3EF2F7E8" w14:textId="77777777" w:rsidR="007A6A1A" w:rsidRPr="00167CB8" w:rsidRDefault="007A6A1A" w:rsidP="007A6A1A">
            <w:pPr>
              <w:spacing w:after="160"/>
            </w:pPr>
            <w:r w:rsidRPr="00167CB8">
              <w:t>105.3%</w:t>
            </w:r>
          </w:p>
        </w:tc>
        <w:tc>
          <w:tcPr>
            <w:tcW w:w="2322" w:type="dxa"/>
            <w:tcBorders>
              <w:top w:val="nil"/>
              <w:left w:val="nil"/>
              <w:bottom w:val="nil"/>
              <w:right w:val="nil"/>
            </w:tcBorders>
            <w:noWrap/>
            <w:vAlign w:val="bottom"/>
            <w:hideMark/>
          </w:tcPr>
          <w:p w14:paraId="0A1D4D6F" w14:textId="77777777" w:rsidR="007A6A1A" w:rsidRPr="00167CB8" w:rsidRDefault="007A6A1A" w:rsidP="007A6A1A">
            <w:pPr>
              <w:spacing w:after="160"/>
            </w:pPr>
            <w:r w:rsidRPr="00167CB8">
              <w:t>104.4%</w:t>
            </w:r>
          </w:p>
        </w:tc>
        <w:tc>
          <w:tcPr>
            <w:tcW w:w="2322" w:type="dxa"/>
            <w:tcBorders>
              <w:top w:val="nil"/>
              <w:left w:val="nil"/>
              <w:bottom w:val="nil"/>
              <w:right w:val="single" w:sz="4" w:space="0" w:color="auto"/>
            </w:tcBorders>
            <w:noWrap/>
            <w:vAlign w:val="bottom"/>
            <w:hideMark/>
          </w:tcPr>
          <w:p w14:paraId="2130601C" w14:textId="77777777" w:rsidR="007A6A1A" w:rsidRPr="00167CB8" w:rsidRDefault="007A6A1A" w:rsidP="007A6A1A">
            <w:pPr>
              <w:spacing w:after="160"/>
            </w:pPr>
            <w:r w:rsidRPr="00167CB8">
              <w:t>105.7%</w:t>
            </w:r>
          </w:p>
        </w:tc>
      </w:tr>
      <w:tr w:rsidR="007A6A1A" w:rsidRPr="00167CB8" w14:paraId="05CBADF3" w14:textId="77777777">
        <w:trPr>
          <w:trHeight w:val="343"/>
        </w:trPr>
        <w:tc>
          <w:tcPr>
            <w:tcW w:w="2121" w:type="dxa"/>
            <w:tcBorders>
              <w:top w:val="nil"/>
              <w:left w:val="single" w:sz="4" w:space="0" w:color="auto"/>
              <w:bottom w:val="nil"/>
              <w:right w:val="nil"/>
            </w:tcBorders>
            <w:noWrap/>
            <w:vAlign w:val="bottom"/>
            <w:hideMark/>
          </w:tcPr>
          <w:p w14:paraId="5C6C5193" w14:textId="77777777" w:rsidR="007A6A1A" w:rsidRPr="00167CB8" w:rsidRDefault="007A6A1A" w:rsidP="007A6A1A">
            <w:pPr>
              <w:spacing w:after="160"/>
              <w:rPr>
                <w:b/>
                <w:bCs/>
              </w:rPr>
            </w:pPr>
            <w:r w:rsidRPr="00167CB8">
              <w:rPr>
                <w:b/>
                <w:bCs/>
              </w:rPr>
              <w:t>Jun-24</w:t>
            </w:r>
          </w:p>
        </w:tc>
        <w:tc>
          <w:tcPr>
            <w:tcW w:w="2322" w:type="dxa"/>
            <w:tcBorders>
              <w:top w:val="nil"/>
              <w:left w:val="nil"/>
              <w:bottom w:val="nil"/>
              <w:right w:val="nil"/>
            </w:tcBorders>
            <w:noWrap/>
            <w:vAlign w:val="bottom"/>
            <w:hideMark/>
          </w:tcPr>
          <w:p w14:paraId="42824C71" w14:textId="77777777" w:rsidR="007A6A1A" w:rsidRPr="00167CB8" w:rsidRDefault="007A6A1A" w:rsidP="007A6A1A">
            <w:pPr>
              <w:spacing w:after="160"/>
            </w:pPr>
            <w:r w:rsidRPr="00167CB8">
              <w:t>105.9%</w:t>
            </w:r>
          </w:p>
        </w:tc>
        <w:tc>
          <w:tcPr>
            <w:tcW w:w="2322" w:type="dxa"/>
            <w:tcBorders>
              <w:top w:val="nil"/>
              <w:left w:val="nil"/>
              <w:bottom w:val="nil"/>
              <w:right w:val="nil"/>
            </w:tcBorders>
            <w:noWrap/>
            <w:vAlign w:val="bottom"/>
            <w:hideMark/>
          </w:tcPr>
          <w:p w14:paraId="1BBB754D" w14:textId="77777777" w:rsidR="007A6A1A" w:rsidRPr="00167CB8" w:rsidRDefault="007A6A1A" w:rsidP="007A6A1A">
            <w:pPr>
              <w:spacing w:after="160"/>
            </w:pPr>
            <w:r w:rsidRPr="00167CB8">
              <w:t>105.1%</w:t>
            </w:r>
          </w:p>
        </w:tc>
        <w:tc>
          <w:tcPr>
            <w:tcW w:w="2322" w:type="dxa"/>
            <w:tcBorders>
              <w:top w:val="nil"/>
              <w:left w:val="nil"/>
              <w:bottom w:val="nil"/>
              <w:right w:val="single" w:sz="4" w:space="0" w:color="auto"/>
            </w:tcBorders>
            <w:noWrap/>
            <w:vAlign w:val="bottom"/>
            <w:hideMark/>
          </w:tcPr>
          <w:p w14:paraId="018FD42F" w14:textId="77777777" w:rsidR="007A6A1A" w:rsidRPr="00167CB8" w:rsidRDefault="007A6A1A" w:rsidP="007A6A1A">
            <w:pPr>
              <w:spacing w:after="160"/>
            </w:pPr>
            <w:r w:rsidRPr="00167CB8">
              <w:t>105.8%</w:t>
            </w:r>
          </w:p>
        </w:tc>
      </w:tr>
      <w:tr w:rsidR="007A6A1A" w:rsidRPr="00167CB8" w14:paraId="155E1179" w14:textId="77777777">
        <w:trPr>
          <w:trHeight w:val="343"/>
        </w:trPr>
        <w:tc>
          <w:tcPr>
            <w:tcW w:w="2121" w:type="dxa"/>
            <w:tcBorders>
              <w:top w:val="nil"/>
              <w:left w:val="single" w:sz="4" w:space="0" w:color="auto"/>
              <w:bottom w:val="single" w:sz="4" w:space="0" w:color="auto"/>
              <w:right w:val="nil"/>
            </w:tcBorders>
            <w:noWrap/>
            <w:vAlign w:val="bottom"/>
            <w:hideMark/>
          </w:tcPr>
          <w:p w14:paraId="71DCF075" w14:textId="77777777" w:rsidR="007A6A1A" w:rsidRPr="00167CB8" w:rsidRDefault="007A6A1A" w:rsidP="007A6A1A">
            <w:pPr>
              <w:spacing w:after="160"/>
              <w:rPr>
                <w:b/>
                <w:bCs/>
              </w:rPr>
            </w:pPr>
            <w:r w:rsidRPr="00167CB8">
              <w:rPr>
                <w:b/>
                <w:bCs/>
              </w:rPr>
              <w:t>Sep-24</w:t>
            </w:r>
          </w:p>
        </w:tc>
        <w:tc>
          <w:tcPr>
            <w:tcW w:w="2322" w:type="dxa"/>
            <w:tcBorders>
              <w:top w:val="nil"/>
              <w:left w:val="nil"/>
              <w:bottom w:val="single" w:sz="4" w:space="0" w:color="auto"/>
              <w:right w:val="nil"/>
            </w:tcBorders>
            <w:noWrap/>
            <w:vAlign w:val="bottom"/>
            <w:hideMark/>
          </w:tcPr>
          <w:p w14:paraId="4401B225" w14:textId="77777777" w:rsidR="007A6A1A" w:rsidRPr="00167CB8" w:rsidRDefault="007A6A1A" w:rsidP="007A6A1A">
            <w:pPr>
              <w:spacing w:after="160"/>
            </w:pPr>
            <w:r w:rsidRPr="00167CB8">
              <w:t>107.2%</w:t>
            </w:r>
          </w:p>
        </w:tc>
        <w:tc>
          <w:tcPr>
            <w:tcW w:w="2322" w:type="dxa"/>
            <w:tcBorders>
              <w:top w:val="nil"/>
              <w:left w:val="nil"/>
              <w:bottom w:val="single" w:sz="4" w:space="0" w:color="auto"/>
              <w:right w:val="nil"/>
            </w:tcBorders>
            <w:noWrap/>
            <w:vAlign w:val="bottom"/>
            <w:hideMark/>
          </w:tcPr>
          <w:p w14:paraId="101C16C7" w14:textId="77777777" w:rsidR="007A6A1A" w:rsidRPr="00167CB8" w:rsidRDefault="007A6A1A" w:rsidP="007A6A1A">
            <w:pPr>
              <w:spacing w:after="160"/>
            </w:pPr>
            <w:r w:rsidRPr="00167CB8">
              <w:t>106.4%</w:t>
            </w:r>
          </w:p>
        </w:tc>
        <w:tc>
          <w:tcPr>
            <w:tcW w:w="2322" w:type="dxa"/>
            <w:tcBorders>
              <w:top w:val="nil"/>
              <w:left w:val="nil"/>
              <w:bottom w:val="single" w:sz="4" w:space="0" w:color="auto"/>
              <w:right w:val="single" w:sz="4" w:space="0" w:color="auto"/>
            </w:tcBorders>
            <w:noWrap/>
            <w:vAlign w:val="bottom"/>
            <w:hideMark/>
          </w:tcPr>
          <w:p w14:paraId="20A281E6" w14:textId="77777777" w:rsidR="007A6A1A" w:rsidRPr="00167CB8" w:rsidRDefault="007A6A1A" w:rsidP="007A6A1A">
            <w:pPr>
              <w:spacing w:after="160"/>
            </w:pPr>
            <w:r w:rsidRPr="00167CB8">
              <w:t>108.6%</w:t>
            </w:r>
          </w:p>
        </w:tc>
      </w:tr>
    </w:tbl>
    <w:p w14:paraId="54D11C48" w14:textId="77777777" w:rsidR="007A6A1A" w:rsidRPr="00167CB8" w:rsidRDefault="007A6A1A" w:rsidP="00C87E4A">
      <w:pPr>
        <w:pStyle w:val="Source"/>
      </w:pPr>
      <w:r w:rsidRPr="00167CB8">
        <w:rPr>
          <w:b/>
          <w:bCs/>
        </w:rPr>
        <w:t>Source:</w:t>
      </w:r>
      <w:r w:rsidRPr="00167CB8">
        <w:t xml:space="preserve"> ABS Wage Price Index, Appendix B. </w:t>
      </w:r>
    </w:p>
    <w:p w14:paraId="55711D4E" w14:textId="007E265F" w:rsidR="007A6A1A" w:rsidRPr="00167CB8" w:rsidRDefault="007A6A1A" w:rsidP="00C87E4A">
      <w:pPr>
        <w:pStyle w:val="Source"/>
      </w:pPr>
      <w:r w:rsidRPr="00167CB8">
        <w:rPr>
          <w:b/>
          <w:bCs/>
        </w:rPr>
        <w:t>Alt-text:</w:t>
      </w:r>
      <w:r w:rsidRPr="00167CB8">
        <w:t xml:space="preserve"> A table showing growth in wages by method of pay setting. Between December 2022 and September 2022 award wages increased by 8.6%, wages in individual agreements increased by 6.4% and wages in enterprise agreements increased by 7.2%</w:t>
      </w:r>
      <w:r w:rsidR="00C87E4A" w:rsidRPr="00167CB8">
        <w:t>.</w:t>
      </w:r>
    </w:p>
    <w:p w14:paraId="5319F25D" w14:textId="56577481" w:rsidR="007A6A1A" w:rsidRPr="00167CB8" w:rsidRDefault="00B32BB1" w:rsidP="007A6A1A">
      <w:pPr>
        <w:spacing w:after="160"/>
      </w:pPr>
      <w:r w:rsidRPr="00167CB8">
        <w:t xml:space="preserve">Figure 37 </w:t>
      </w:r>
      <w:r w:rsidR="007A6A1A" w:rsidRPr="00167CB8">
        <w:t>focus</w:t>
      </w:r>
      <w:r w:rsidR="000A5A78" w:rsidRPr="00167CB8">
        <w:t>es</w:t>
      </w:r>
      <w:r w:rsidR="007A6A1A" w:rsidRPr="00167CB8">
        <w:t xml:space="preserve"> on the contribution the various methods of pay setting have made to the observed quarterly growth in total hourly rates of pay (excluding bonuses). In the September 2024 quarter wages grew by 1.41 percentage points; </w:t>
      </w:r>
      <w:r w:rsidR="00C87E4A" w:rsidRPr="00167CB8">
        <w:t>one-</w:t>
      </w:r>
      <w:r w:rsidR="007A6A1A" w:rsidRPr="00167CB8">
        <w:t xml:space="preserve">third (33%) of this growth came from wage increases in </w:t>
      </w:r>
      <w:r w:rsidR="00C87E4A" w:rsidRPr="00167CB8">
        <w:t>e</w:t>
      </w:r>
      <w:r w:rsidR="007A6A1A" w:rsidRPr="00167CB8">
        <w:t xml:space="preserve">nterprise </w:t>
      </w:r>
      <w:r w:rsidR="00C87E4A" w:rsidRPr="00167CB8">
        <w:t>a</w:t>
      </w:r>
      <w:r w:rsidR="007A6A1A" w:rsidRPr="00167CB8">
        <w:t xml:space="preserve">greements, 42% from wage increases in </w:t>
      </w:r>
      <w:r w:rsidR="00C87E4A" w:rsidRPr="00167CB8">
        <w:t>i</w:t>
      </w:r>
      <w:r w:rsidR="007A6A1A" w:rsidRPr="00167CB8">
        <w:t xml:space="preserve">ndividual </w:t>
      </w:r>
      <w:r w:rsidR="00C87E4A" w:rsidRPr="00167CB8">
        <w:t>a</w:t>
      </w:r>
      <w:r w:rsidR="007A6A1A" w:rsidRPr="00167CB8">
        <w:t>rrangements and 26% from wage increases to award</w:t>
      </w:r>
      <w:r w:rsidR="00C87E4A" w:rsidRPr="00167CB8">
        <w:t>-</w:t>
      </w:r>
      <w:r w:rsidR="007A6A1A" w:rsidRPr="00167CB8">
        <w:t xml:space="preserve">reliant workers. In the September 2023 quarter wages increased by 2.03 percentage points. The contribution of the </w:t>
      </w:r>
      <w:r w:rsidR="00C87E4A" w:rsidRPr="00167CB8">
        <w:t xml:space="preserve">3 </w:t>
      </w:r>
      <w:r w:rsidR="007A6A1A" w:rsidRPr="00167CB8">
        <w:t>components previously listed were, respectively, 33%, 36% and 31%</w:t>
      </w:r>
      <w:r w:rsidR="0095688A">
        <w:t xml:space="preserve"> (see Table 41).</w:t>
      </w:r>
      <w:r w:rsidR="005467CF" w:rsidRPr="00167CB8">
        <w:t xml:space="preserve"> </w:t>
      </w:r>
    </w:p>
    <w:p w14:paraId="6376CA85" w14:textId="77777777" w:rsidR="007A6A1A" w:rsidRPr="00167CB8" w:rsidRDefault="007A6A1A" w:rsidP="007A6A1A">
      <w:pPr>
        <w:spacing w:after="160"/>
      </w:pPr>
      <w:r w:rsidRPr="00167CB8">
        <w:t xml:space="preserve">Since June 2020 the main contribution to wage growth has been individual arrangements, followed by wage increases contained in enterprise agreements and then the award. </w:t>
      </w:r>
    </w:p>
    <w:p w14:paraId="5F442E80" w14:textId="77777777" w:rsidR="007A6A1A" w:rsidRPr="00167CB8" w:rsidRDefault="007A6A1A" w:rsidP="007A6A1A">
      <w:pPr>
        <w:spacing w:after="160"/>
      </w:pPr>
      <w:r w:rsidRPr="00167CB8">
        <w:br w:type="page"/>
      </w:r>
    </w:p>
    <w:p w14:paraId="2D452BF1" w14:textId="190D611F" w:rsidR="007A6A1A" w:rsidRPr="00167CB8" w:rsidRDefault="007A6A1A" w:rsidP="00470AB9">
      <w:pPr>
        <w:pStyle w:val="Caption"/>
      </w:pPr>
      <w:bookmarkStart w:id="759" w:name="_Ref184404728"/>
      <w:bookmarkStart w:id="760" w:name="_Toc186991792"/>
      <w:bookmarkStart w:id="761" w:name="_Toc189310825"/>
      <w:r w:rsidRPr="00167CB8">
        <w:lastRenderedPageBreak/>
        <w:t xml:space="preserve">Figure </w:t>
      </w:r>
      <w:r w:rsidR="00C50375" w:rsidRPr="00167CB8">
        <w:t>37</w:t>
      </w:r>
      <w:bookmarkEnd w:id="759"/>
      <w:r w:rsidRPr="00167CB8">
        <w:t xml:space="preserve">: </w:t>
      </w:r>
      <w:r w:rsidR="00C87E4A" w:rsidRPr="00167CB8">
        <w:t>C</w:t>
      </w:r>
      <w:r w:rsidRPr="00167CB8">
        <w:t>ontributions to quarterly growth in total hourly rates of pay (excluding bonuses) by method of pay setting</w:t>
      </w:r>
      <w:bookmarkEnd w:id="760"/>
      <w:bookmarkEnd w:id="761"/>
    </w:p>
    <w:p w14:paraId="51B37A24" w14:textId="77777777" w:rsidR="007A6A1A" w:rsidRPr="00167CB8" w:rsidRDefault="007A6A1A" w:rsidP="007A6A1A">
      <w:pPr>
        <w:spacing w:after="160"/>
      </w:pPr>
      <w:r w:rsidRPr="00167CB8">
        <w:rPr>
          <w:noProof/>
        </w:rPr>
        <w:drawing>
          <wp:inline distT="0" distB="0" distL="0" distR="0" wp14:anchorId="1551D4CE" wp14:editId="7F5D97F5">
            <wp:extent cx="5429250" cy="3543300"/>
            <wp:effectExtent l="0" t="0" r="0" b="0"/>
            <wp:docPr id="193847650" name="Picture 4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descr="A graph of different colored lines&#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29250" cy="3543300"/>
                    </a:xfrm>
                    <a:prstGeom prst="rect">
                      <a:avLst/>
                    </a:prstGeom>
                    <a:noFill/>
                    <a:ln>
                      <a:noFill/>
                    </a:ln>
                  </pic:spPr>
                </pic:pic>
              </a:graphicData>
            </a:graphic>
          </wp:inline>
        </w:drawing>
      </w:r>
    </w:p>
    <w:p w14:paraId="6D619CC1" w14:textId="77777777" w:rsidR="007A6A1A" w:rsidRPr="00167CB8" w:rsidRDefault="007A6A1A" w:rsidP="00C87E4A">
      <w:pPr>
        <w:pStyle w:val="Source"/>
      </w:pPr>
      <w:r w:rsidRPr="00167CB8">
        <w:rPr>
          <w:b/>
          <w:bCs/>
        </w:rPr>
        <w:t>Source:</w:t>
      </w:r>
      <w:r w:rsidRPr="00167CB8">
        <w:t xml:space="preserve"> ABS 6345.0 Wage Price Index, Australia.</w:t>
      </w:r>
    </w:p>
    <w:p w14:paraId="54C7849C" w14:textId="5EFE1B6D" w:rsidR="007A6A1A" w:rsidRPr="00167CB8" w:rsidRDefault="007A6A1A" w:rsidP="00C87E4A">
      <w:pPr>
        <w:pStyle w:val="Source"/>
      </w:pPr>
      <w:r w:rsidRPr="00167CB8">
        <w:rPr>
          <w:b/>
          <w:bCs/>
        </w:rPr>
        <w:t>Alt-text:</w:t>
      </w:r>
      <w:r w:rsidRPr="00167CB8">
        <w:t xml:space="preserve"> A line chart showing contributions to hourly wage growth by quarter. In the September 2024 quarter hourly wages grew by 1.41 percentage points. The components of this 1.41 percentage point growth were enterprise agreements, 0.46</w:t>
      </w:r>
      <w:r w:rsidR="00C87E4A" w:rsidRPr="00167CB8">
        <w:t>;</w:t>
      </w:r>
      <w:r w:rsidRPr="00167CB8">
        <w:t xml:space="preserve"> individual arrangements</w:t>
      </w:r>
      <w:r w:rsidR="00C87E4A" w:rsidRPr="00167CB8">
        <w:t>,</w:t>
      </w:r>
      <w:r w:rsidRPr="00167CB8">
        <w:t xml:space="preserve"> 0.59</w:t>
      </w:r>
      <w:r w:rsidR="00C87E4A" w:rsidRPr="00167CB8">
        <w:t>;</w:t>
      </w:r>
      <w:r w:rsidRPr="00167CB8">
        <w:t xml:space="preserve"> and awards</w:t>
      </w:r>
      <w:r w:rsidR="00C87E4A" w:rsidRPr="00167CB8">
        <w:t>,</w:t>
      </w:r>
      <w:r w:rsidRPr="00167CB8">
        <w:t xml:space="preserve"> 0.36. The linear trend lines show that individual arrangements have contributed a rising share of wage growth since 2019. </w:t>
      </w:r>
    </w:p>
    <w:p w14:paraId="3117283A" w14:textId="4ECA9DE8" w:rsidR="007A6A1A" w:rsidRPr="00167CB8" w:rsidRDefault="007A6A1A" w:rsidP="007A6A1A">
      <w:pPr>
        <w:spacing w:after="160"/>
      </w:pPr>
      <w:r w:rsidRPr="00167CB8">
        <w:t xml:space="preserve">Each year, under </w:t>
      </w:r>
      <w:r w:rsidR="00C87E4A" w:rsidRPr="00167CB8">
        <w:t>s </w:t>
      </w:r>
      <w:r w:rsidRPr="00167CB8">
        <w:t xml:space="preserve">285 of the </w:t>
      </w:r>
      <w:r w:rsidRPr="00167CB8">
        <w:rPr>
          <w:i/>
          <w:iCs/>
        </w:rPr>
        <w:t>Fair Work Act</w:t>
      </w:r>
      <w:r w:rsidRPr="00167CB8">
        <w:t xml:space="preserve"> </w:t>
      </w:r>
      <w:r w:rsidRPr="00167CB8">
        <w:rPr>
          <w:i/>
          <w:iCs/>
        </w:rPr>
        <w:t>2009</w:t>
      </w:r>
      <w:r w:rsidRPr="00167CB8">
        <w:t xml:space="preserve"> (Cth) the Fair Work Commission (FWC) is required to conduct an annual wage review (AWR). Following the review the FWC then makes decisions on annual adjustments to the National Minimum Wage (NMW) and, separately, minimum wages in modern awards. </w:t>
      </w:r>
    </w:p>
    <w:p w14:paraId="606F17DA" w14:textId="77777777" w:rsidR="007A6A1A" w:rsidRPr="00167CB8" w:rsidRDefault="007A6A1A" w:rsidP="007A6A1A">
      <w:pPr>
        <w:spacing w:after="160"/>
      </w:pPr>
      <w:r w:rsidRPr="00167CB8">
        <w:t>The NMW applies to persons in the national industrial relations system who are not covered by a modern award or an enterprise agreement. Estimates suggest that the NMW applies to only a small fraction (around 0.25%) of the employee workforce.</w:t>
      </w:r>
      <w:r w:rsidRPr="00167CB8">
        <w:rPr>
          <w:vertAlign w:val="superscript"/>
        </w:rPr>
        <w:footnoteReference w:id="1093"/>
      </w:r>
      <w:r w:rsidRPr="00167CB8">
        <w:t xml:space="preserve"> </w:t>
      </w:r>
    </w:p>
    <w:p w14:paraId="20F2FDC8" w14:textId="4E18B26F" w:rsidR="007A6A1A" w:rsidRPr="00167CB8" w:rsidRDefault="007A6A1A" w:rsidP="007A6A1A">
      <w:pPr>
        <w:spacing w:after="160"/>
      </w:pPr>
      <w:r w:rsidRPr="00167CB8">
        <w:t>Decisions concerning adjustments to the minimum wages in modern awards are more significant. There are 121 modern awards. Estimates by the FWC suggest that around 20.7% of employees are paid exactly the award minimum</w:t>
      </w:r>
      <w:r w:rsidR="00C87E4A" w:rsidRPr="00167CB8">
        <w:t xml:space="preserve"> </w:t>
      </w:r>
      <w:r w:rsidR="00C87E4A" w:rsidRPr="00167CB8">
        <w:rPr>
          <w:rFonts w:ascii="Symbol" w:eastAsia="Symbol" w:hAnsi="Symbol" w:cs="Symbol"/>
        </w:rPr>
        <w:sym w:font="Symbol" w:char="F02D"/>
      </w:r>
      <w:r w:rsidR="00C87E4A" w:rsidRPr="00167CB8">
        <w:t xml:space="preserve"> that is, they </w:t>
      </w:r>
      <w:r w:rsidRPr="00167CB8">
        <w:t>are dependent on the annual decisions of the FWC for adjustments in wages.</w:t>
      </w:r>
      <w:r w:rsidRPr="00167CB8">
        <w:rPr>
          <w:vertAlign w:val="superscript"/>
        </w:rPr>
        <w:footnoteReference w:id="1094"/>
      </w:r>
      <w:r w:rsidRPr="00167CB8">
        <w:t xml:space="preserve"> </w:t>
      </w:r>
    </w:p>
    <w:p w14:paraId="24FEB79A" w14:textId="15BB10C1" w:rsidR="007A6A1A" w:rsidRPr="00167CB8" w:rsidRDefault="007A6A1A" w:rsidP="007A6A1A">
      <w:pPr>
        <w:spacing w:after="160"/>
      </w:pPr>
      <w:r w:rsidRPr="00167CB8">
        <w:t>AWR decisions are typically made in June and come into effect in July of the same year. They, therefore, show up in the September quarterly WPI numbers – hence the spike in wage growth observed in each September quarter</w:t>
      </w:r>
      <w:r w:rsidR="00D72E25">
        <w:t xml:space="preserve"> in</w:t>
      </w:r>
      <w:r w:rsidR="00610988">
        <w:t xml:space="preserve"> Figure 37</w:t>
      </w:r>
      <w:r w:rsidRPr="00167CB8">
        <w:t>. (Note</w:t>
      </w:r>
      <w:r w:rsidR="00C87E4A" w:rsidRPr="00167CB8">
        <w:t xml:space="preserve"> that </w:t>
      </w:r>
      <w:r w:rsidRPr="00167CB8">
        <w:t xml:space="preserve">the award contribution captured in </w:t>
      </w:r>
      <w:r w:rsidRPr="00167CB8">
        <w:lastRenderedPageBreak/>
        <w:t xml:space="preserve">the WPI will predominantly reflect decisions of the FWC but will also reflect contribution from wage increases in state awards). </w:t>
      </w:r>
    </w:p>
    <w:p w14:paraId="5AD64F88" w14:textId="1F55BB8A" w:rsidR="007A6A1A" w:rsidRPr="00224B7A" w:rsidRDefault="007A6A1A" w:rsidP="007A6A1A">
      <w:pPr>
        <w:spacing w:after="160"/>
      </w:pPr>
      <w:r w:rsidRPr="00167CB8">
        <w:t xml:space="preserve">Although only 20.7% of employees are directly affected by FWC concerning wage adjustments in modern awards, the decisions can flow through to wages in enterprise agreements and individual agreements. For many the award serves as a floor upon which over-award or individual wage arrangements are based. There is, as a result, a high degree of correlation in the movement of award wages and movements in wage increases contained in enterprise agreements and individual arrangements. For example, the correlation </w:t>
      </w:r>
      <w:r w:rsidRPr="00224B7A">
        <w:t xml:space="preserve">coefficient associated with award wage changes and wage changes from individual agreements observed in </w:t>
      </w:r>
      <w:r w:rsidR="005467CF" w:rsidRPr="00224B7A">
        <w:t xml:space="preserve">Figure 37 </w:t>
      </w:r>
      <w:r w:rsidRPr="00224B7A">
        <w:t xml:space="preserve">is equal to 0.78 (a score of 1 means it is perfectly correlated). The correlation coefficient between wage increases under enterprise agreements and the award for the same period is 0.83. </w:t>
      </w:r>
    </w:p>
    <w:p w14:paraId="6AB60446" w14:textId="5E154EB4" w:rsidR="007A6A1A" w:rsidRPr="00167CB8" w:rsidRDefault="00224B7A" w:rsidP="007A6A1A">
      <w:pPr>
        <w:spacing w:after="160"/>
      </w:pPr>
      <w:r>
        <w:t>Table 41</w:t>
      </w:r>
      <w:r w:rsidR="005467CF" w:rsidRPr="00224B7A">
        <w:t xml:space="preserve"> </w:t>
      </w:r>
      <w:r w:rsidR="007A6A1A" w:rsidRPr="00224B7A">
        <w:t>shows that between June 2023 and September 2023 total hourly wages increased</w:t>
      </w:r>
      <w:r w:rsidR="007A6A1A" w:rsidRPr="00167CB8">
        <w:t xml:space="preserve">, on average, by 2.03 percentage points. Of this increase, 33% (0.66 percentage points) came from increases covered by enterprise agreements, 36% (0.74 percentage points) came from increases agreed to under individual arrangements and a further 31% (0.63 percentage points) was from changes in awards. </w:t>
      </w:r>
    </w:p>
    <w:p w14:paraId="63CED289" w14:textId="6F4CE793" w:rsidR="007A6A1A" w:rsidRPr="00167CB8" w:rsidRDefault="007A6A1A" w:rsidP="007A6A1A">
      <w:pPr>
        <w:spacing w:after="160"/>
      </w:pPr>
      <w:r w:rsidRPr="00167CB8">
        <w:t>In the AWR 2022</w:t>
      </w:r>
      <w:r w:rsidR="00C87E4A" w:rsidRPr="00167CB8">
        <w:rPr>
          <w:rFonts w:ascii="Symbol" w:eastAsia="Symbol" w:hAnsi="Symbol" w:cs="Symbol"/>
        </w:rPr>
        <w:sym w:font="Symbol" w:char="F02D"/>
      </w:r>
      <w:r w:rsidRPr="00167CB8">
        <w:t>23 decision (handed down in June 2023) the FWC awarded an increase of 5.75% to modern award minimum wages. In the September quarter of 2023 the WPI increased by 2.03 percentage points. The fact that the overall growth in hourly wages was lower than the amount awarded to minimum wage workers relates, in part, to the fact that many award-reliant employees are low paid.</w:t>
      </w:r>
      <w:r w:rsidRPr="00167CB8">
        <w:rPr>
          <w:vertAlign w:val="superscript"/>
        </w:rPr>
        <w:footnoteReference w:id="1095"/>
      </w:r>
      <w:r w:rsidR="00C87E4A" w:rsidRPr="00167CB8">
        <w:t xml:space="preserve"> </w:t>
      </w:r>
      <w:r w:rsidRPr="00167CB8">
        <w:rPr>
          <w:vertAlign w:val="superscript"/>
        </w:rPr>
        <w:footnoteReference w:id="1096"/>
      </w:r>
    </w:p>
    <w:p w14:paraId="106FBB32" w14:textId="2A477357" w:rsidR="007A6A1A" w:rsidRPr="00167CB8" w:rsidRDefault="007A6A1A" w:rsidP="007A6A1A">
      <w:pPr>
        <w:spacing w:after="160"/>
      </w:pPr>
      <w:r w:rsidRPr="00167CB8">
        <w:t>Between June 2024 and September 2024 total hourly wage growth was equal to 1.41 percentage points</w:t>
      </w:r>
      <w:r w:rsidR="00C87E4A" w:rsidRPr="00167CB8">
        <w:t xml:space="preserve"> </w:t>
      </w:r>
      <w:r w:rsidR="00C87E4A" w:rsidRPr="00167CB8">
        <w:rPr>
          <w:rFonts w:ascii="Symbol" w:eastAsia="Symbol" w:hAnsi="Symbol" w:cs="Symbol"/>
        </w:rPr>
        <w:sym w:font="Symbol" w:char="F02D"/>
      </w:r>
      <w:r w:rsidR="00C87E4A" w:rsidRPr="00167CB8">
        <w:t xml:space="preserve"> </w:t>
      </w:r>
      <w:r w:rsidRPr="00167CB8">
        <w:t>33% (0.46 percentage points) of the change was driven by changes enterprise agreements, 42% (0.59 percentage points) of the change was driven by individual agreements and only 26% (0.36 percentage points) of the change was from awards</w:t>
      </w:r>
      <w:r w:rsidR="00C87E4A" w:rsidRPr="00167CB8">
        <w:t>.</w:t>
      </w:r>
      <w:r w:rsidRPr="00167CB8">
        <w:rPr>
          <w:vertAlign w:val="superscript"/>
        </w:rPr>
        <w:footnoteReference w:id="1097"/>
      </w:r>
      <w:r w:rsidRPr="00167CB8">
        <w:t xml:space="preserve"> </w:t>
      </w:r>
    </w:p>
    <w:p w14:paraId="296D3672" w14:textId="191ABB7B" w:rsidR="007A6A1A" w:rsidRPr="00167CB8" w:rsidRDefault="00B66F62" w:rsidP="007A6A1A">
      <w:pPr>
        <w:spacing w:after="160"/>
      </w:pPr>
      <w:r w:rsidRPr="00167CB8">
        <w:t xml:space="preserve">Table </w:t>
      </w:r>
      <w:r w:rsidR="00CD0C1F" w:rsidRPr="00167CB8">
        <w:t>41</w:t>
      </w:r>
      <w:r w:rsidR="007A6A1A" w:rsidRPr="00167CB8">
        <w:t xml:space="preserve"> also shows the contribution to growth in total hourly wages over the year. In the year to September 2024 total hourly wages increased by 3.5%, with the contribution from awards equal to 14.6%. The biggest contribution to wage growth is individual arrangements.</w:t>
      </w:r>
    </w:p>
    <w:p w14:paraId="540A7E32" w14:textId="77777777" w:rsidR="00BD36B5" w:rsidRDefault="00BD36B5">
      <w:pPr>
        <w:spacing w:after="160"/>
        <w:rPr>
          <w:rFonts w:cs="Calibri"/>
          <w:b/>
          <w:bCs/>
          <w:lang w:val="en-US"/>
        </w:rPr>
      </w:pPr>
      <w:bookmarkStart w:id="762" w:name="_Ref184404801"/>
      <w:bookmarkStart w:id="763" w:name="_Toc186991819"/>
      <w:bookmarkStart w:id="764" w:name="_Toc189310870"/>
      <w:r>
        <w:br w:type="page"/>
      </w:r>
    </w:p>
    <w:p w14:paraId="56029FD2" w14:textId="4C1EC8CF" w:rsidR="007A6A1A" w:rsidRPr="00167CB8" w:rsidRDefault="007A6A1A" w:rsidP="00470AB9">
      <w:pPr>
        <w:pStyle w:val="Caption"/>
      </w:pPr>
      <w:r w:rsidRPr="00167CB8">
        <w:lastRenderedPageBreak/>
        <w:t xml:space="preserve">Table </w:t>
      </w:r>
      <w:r w:rsidR="00CF3685" w:rsidRPr="00167CB8">
        <w:t>41</w:t>
      </w:r>
      <w:bookmarkEnd w:id="762"/>
      <w:r w:rsidRPr="00167CB8">
        <w:t>: Contribution of method of pay setting to growth in total hourly wages, September 2022 to September 2024</w:t>
      </w:r>
      <w:bookmarkEnd w:id="763"/>
      <w:bookmarkEnd w:id="764"/>
    </w:p>
    <w:tbl>
      <w:tblPr>
        <w:tblW w:w="901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2"/>
        <w:gridCol w:w="1418"/>
        <w:gridCol w:w="1620"/>
        <w:gridCol w:w="1503"/>
        <w:gridCol w:w="1503"/>
      </w:tblGrid>
      <w:tr w:rsidR="007A6A1A" w:rsidRPr="00167CB8" w14:paraId="75D3E2CE" w14:textId="77777777" w:rsidTr="00BD36B5">
        <w:trPr>
          <w:trHeight w:val="397"/>
        </w:trPr>
        <w:tc>
          <w:tcPr>
            <w:tcW w:w="2972" w:type="dxa"/>
            <w:tcBorders>
              <w:top w:val="single" w:sz="4" w:space="0" w:color="auto"/>
              <w:left w:val="single" w:sz="4" w:space="0" w:color="auto"/>
              <w:bottom w:val="single" w:sz="4" w:space="0" w:color="auto"/>
              <w:right w:val="nil"/>
            </w:tcBorders>
            <w:noWrap/>
            <w:vAlign w:val="bottom"/>
            <w:hideMark/>
          </w:tcPr>
          <w:p w14:paraId="3DBA29CF" w14:textId="77777777" w:rsidR="007A6A1A" w:rsidRPr="00167CB8" w:rsidRDefault="007A6A1A" w:rsidP="00BD36B5">
            <w:pPr>
              <w:spacing w:after="0" w:line="240" w:lineRule="auto"/>
              <w:rPr>
                <w:b/>
                <w:bCs/>
              </w:rPr>
            </w:pPr>
          </w:p>
        </w:tc>
        <w:tc>
          <w:tcPr>
            <w:tcW w:w="1418" w:type="dxa"/>
            <w:tcBorders>
              <w:top w:val="single" w:sz="4" w:space="0" w:color="auto"/>
              <w:left w:val="nil"/>
              <w:bottom w:val="single" w:sz="4" w:space="0" w:color="auto"/>
              <w:right w:val="nil"/>
            </w:tcBorders>
            <w:noWrap/>
            <w:vAlign w:val="bottom"/>
            <w:hideMark/>
          </w:tcPr>
          <w:p w14:paraId="29E2C0F8" w14:textId="60F7A729" w:rsidR="007A6A1A" w:rsidRPr="00167CB8" w:rsidRDefault="007A6A1A" w:rsidP="00BD36B5">
            <w:pPr>
              <w:spacing w:after="0" w:line="240" w:lineRule="auto"/>
              <w:rPr>
                <w:b/>
                <w:bCs/>
              </w:rPr>
            </w:pPr>
            <w:r w:rsidRPr="00167CB8">
              <w:rPr>
                <w:b/>
                <w:bCs/>
              </w:rPr>
              <w:t xml:space="preserve">Enterprise </w:t>
            </w:r>
            <w:r w:rsidR="00C87E4A" w:rsidRPr="00167CB8">
              <w:rPr>
                <w:b/>
                <w:bCs/>
              </w:rPr>
              <w:t>a</w:t>
            </w:r>
            <w:r w:rsidRPr="00167CB8">
              <w:rPr>
                <w:b/>
                <w:bCs/>
              </w:rPr>
              <w:t>greement</w:t>
            </w:r>
          </w:p>
        </w:tc>
        <w:tc>
          <w:tcPr>
            <w:tcW w:w="1620" w:type="dxa"/>
            <w:tcBorders>
              <w:top w:val="single" w:sz="4" w:space="0" w:color="auto"/>
              <w:left w:val="nil"/>
              <w:bottom w:val="single" w:sz="4" w:space="0" w:color="auto"/>
              <w:right w:val="nil"/>
            </w:tcBorders>
            <w:noWrap/>
            <w:vAlign w:val="bottom"/>
            <w:hideMark/>
          </w:tcPr>
          <w:p w14:paraId="7B11AA9B" w14:textId="17D4BC9E" w:rsidR="007A6A1A" w:rsidRPr="00167CB8" w:rsidRDefault="007A6A1A" w:rsidP="00BD36B5">
            <w:pPr>
              <w:spacing w:after="0" w:line="240" w:lineRule="auto"/>
              <w:rPr>
                <w:b/>
                <w:bCs/>
              </w:rPr>
            </w:pPr>
            <w:r w:rsidRPr="00167CB8">
              <w:rPr>
                <w:b/>
                <w:bCs/>
              </w:rPr>
              <w:t xml:space="preserve">Individual </w:t>
            </w:r>
            <w:r w:rsidR="00C87E4A" w:rsidRPr="00167CB8">
              <w:rPr>
                <w:b/>
                <w:bCs/>
              </w:rPr>
              <w:t>a</w:t>
            </w:r>
            <w:r w:rsidRPr="00167CB8">
              <w:rPr>
                <w:b/>
                <w:bCs/>
              </w:rPr>
              <w:t>rrangement</w:t>
            </w:r>
          </w:p>
        </w:tc>
        <w:tc>
          <w:tcPr>
            <w:tcW w:w="1503" w:type="dxa"/>
            <w:tcBorders>
              <w:top w:val="single" w:sz="4" w:space="0" w:color="auto"/>
              <w:left w:val="nil"/>
              <w:bottom w:val="single" w:sz="4" w:space="0" w:color="auto"/>
              <w:right w:val="nil"/>
            </w:tcBorders>
            <w:noWrap/>
            <w:vAlign w:val="bottom"/>
            <w:hideMark/>
          </w:tcPr>
          <w:p w14:paraId="6FCAE535" w14:textId="77777777" w:rsidR="007A6A1A" w:rsidRPr="00167CB8" w:rsidRDefault="007A6A1A" w:rsidP="00BD36B5">
            <w:pPr>
              <w:spacing w:after="0" w:line="240" w:lineRule="auto"/>
              <w:rPr>
                <w:b/>
                <w:bCs/>
              </w:rPr>
            </w:pPr>
            <w:r w:rsidRPr="00167CB8">
              <w:rPr>
                <w:b/>
                <w:bCs/>
              </w:rPr>
              <w:t>Award</w:t>
            </w:r>
          </w:p>
        </w:tc>
        <w:tc>
          <w:tcPr>
            <w:tcW w:w="1503" w:type="dxa"/>
            <w:tcBorders>
              <w:top w:val="single" w:sz="4" w:space="0" w:color="auto"/>
              <w:left w:val="nil"/>
              <w:bottom w:val="single" w:sz="4" w:space="0" w:color="auto"/>
              <w:right w:val="single" w:sz="4" w:space="0" w:color="auto"/>
            </w:tcBorders>
            <w:noWrap/>
            <w:vAlign w:val="bottom"/>
            <w:hideMark/>
          </w:tcPr>
          <w:p w14:paraId="55C8077B" w14:textId="77777777" w:rsidR="007A6A1A" w:rsidRPr="00167CB8" w:rsidRDefault="007A6A1A" w:rsidP="00BD36B5">
            <w:pPr>
              <w:spacing w:after="0" w:line="240" w:lineRule="auto"/>
              <w:rPr>
                <w:b/>
                <w:bCs/>
              </w:rPr>
            </w:pPr>
            <w:r w:rsidRPr="00167CB8">
              <w:rPr>
                <w:b/>
                <w:bCs/>
              </w:rPr>
              <w:t>Total</w:t>
            </w:r>
          </w:p>
        </w:tc>
      </w:tr>
      <w:tr w:rsidR="007A6A1A" w:rsidRPr="00167CB8" w14:paraId="60D8B652" w14:textId="77777777" w:rsidTr="00BD36B5">
        <w:trPr>
          <w:trHeight w:val="397"/>
        </w:trPr>
        <w:tc>
          <w:tcPr>
            <w:tcW w:w="2972" w:type="dxa"/>
            <w:tcBorders>
              <w:top w:val="single" w:sz="4" w:space="0" w:color="auto"/>
              <w:left w:val="single" w:sz="4" w:space="0" w:color="auto"/>
              <w:bottom w:val="nil"/>
              <w:right w:val="nil"/>
            </w:tcBorders>
            <w:noWrap/>
            <w:vAlign w:val="bottom"/>
          </w:tcPr>
          <w:p w14:paraId="5CB0F2F8" w14:textId="77777777" w:rsidR="007A6A1A" w:rsidRPr="00167CB8" w:rsidRDefault="007A6A1A" w:rsidP="00BD36B5">
            <w:pPr>
              <w:spacing w:after="0" w:line="240" w:lineRule="auto"/>
            </w:pPr>
          </w:p>
        </w:tc>
        <w:tc>
          <w:tcPr>
            <w:tcW w:w="6044" w:type="dxa"/>
            <w:gridSpan w:val="4"/>
            <w:tcBorders>
              <w:top w:val="single" w:sz="4" w:space="0" w:color="auto"/>
              <w:left w:val="nil"/>
              <w:bottom w:val="nil"/>
              <w:right w:val="single" w:sz="4" w:space="0" w:color="auto"/>
            </w:tcBorders>
            <w:noWrap/>
            <w:vAlign w:val="bottom"/>
            <w:hideMark/>
          </w:tcPr>
          <w:p w14:paraId="0B65F0EF" w14:textId="77777777" w:rsidR="007A6A1A" w:rsidRPr="00167CB8" w:rsidRDefault="007A6A1A" w:rsidP="00BD36B5">
            <w:pPr>
              <w:spacing w:after="0" w:line="240" w:lineRule="auto"/>
            </w:pPr>
            <w:r w:rsidRPr="00167CB8">
              <w:t>Percentage point change</w:t>
            </w:r>
          </w:p>
        </w:tc>
      </w:tr>
      <w:tr w:rsidR="007A6A1A" w:rsidRPr="00167CB8" w14:paraId="36AC7803" w14:textId="77777777" w:rsidTr="00BD36B5">
        <w:trPr>
          <w:trHeight w:val="397"/>
        </w:trPr>
        <w:tc>
          <w:tcPr>
            <w:tcW w:w="2972" w:type="dxa"/>
            <w:tcBorders>
              <w:top w:val="nil"/>
              <w:left w:val="single" w:sz="4" w:space="0" w:color="auto"/>
              <w:bottom w:val="nil"/>
              <w:right w:val="nil"/>
            </w:tcBorders>
            <w:noWrap/>
            <w:vAlign w:val="bottom"/>
            <w:hideMark/>
          </w:tcPr>
          <w:p w14:paraId="74D75C26" w14:textId="77777777" w:rsidR="007A6A1A" w:rsidRPr="00167CB8" w:rsidRDefault="007A6A1A" w:rsidP="00BD36B5">
            <w:pPr>
              <w:spacing w:after="0" w:line="240" w:lineRule="auto"/>
            </w:pPr>
            <w:r w:rsidRPr="00167CB8">
              <w:t>Sep-22</w:t>
            </w:r>
          </w:p>
        </w:tc>
        <w:tc>
          <w:tcPr>
            <w:tcW w:w="1418" w:type="dxa"/>
            <w:tcBorders>
              <w:top w:val="nil"/>
              <w:left w:val="nil"/>
              <w:bottom w:val="nil"/>
              <w:right w:val="nil"/>
            </w:tcBorders>
            <w:noWrap/>
            <w:vAlign w:val="bottom"/>
            <w:hideMark/>
          </w:tcPr>
          <w:p w14:paraId="04F72162" w14:textId="77777777" w:rsidR="007A6A1A" w:rsidRPr="00167CB8" w:rsidRDefault="007A6A1A" w:rsidP="00BD36B5">
            <w:pPr>
              <w:spacing w:after="0" w:line="240" w:lineRule="auto"/>
            </w:pPr>
            <w:r w:rsidRPr="00167CB8">
              <w:t>0.36</w:t>
            </w:r>
          </w:p>
        </w:tc>
        <w:tc>
          <w:tcPr>
            <w:tcW w:w="1620" w:type="dxa"/>
            <w:tcBorders>
              <w:top w:val="nil"/>
              <w:left w:val="nil"/>
              <w:bottom w:val="nil"/>
              <w:right w:val="nil"/>
            </w:tcBorders>
            <w:noWrap/>
            <w:vAlign w:val="bottom"/>
            <w:hideMark/>
          </w:tcPr>
          <w:p w14:paraId="17C85E95" w14:textId="77777777" w:rsidR="007A6A1A" w:rsidRPr="00167CB8" w:rsidRDefault="007A6A1A" w:rsidP="00BD36B5">
            <w:pPr>
              <w:spacing w:after="0" w:line="240" w:lineRule="auto"/>
            </w:pPr>
            <w:r w:rsidRPr="00167CB8">
              <w:t>0.75</w:t>
            </w:r>
          </w:p>
        </w:tc>
        <w:tc>
          <w:tcPr>
            <w:tcW w:w="1503" w:type="dxa"/>
            <w:tcBorders>
              <w:top w:val="nil"/>
              <w:left w:val="nil"/>
              <w:bottom w:val="nil"/>
              <w:right w:val="nil"/>
            </w:tcBorders>
            <w:noWrap/>
            <w:vAlign w:val="bottom"/>
            <w:hideMark/>
          </w:tcPr>
          <w:p w14:paraId="7CE13385" w14:textId="77777777" w:rsidR="007A6A1A" w:rsidRPr="00167CB8" w:rsidRDefault="007A6A1A" w:rsidP="00BD36B5">
            <w:pPr>
              <w:spacing w:after="0" w:line="240" w:lineRule="auto"/>
            </w:pPr>
            <w:r w:rsidRPr="00167CB8">
              <w:t>0.41</w:t>
            </w:r>
          </w:p>
        </w:tc>
        <w:tc>
          <w:tcPr>
            <w:tcW w:w="1503" w:type="dxa"/>
            <w:tcBorders>
              <w:top w:val="nil"/>
              <w:left w:val="nil"/>
              <w:bottom w:val="nil"/>
              <w:right w:val="single" w:sz="4" w:space="0" w:color="auto"/>
            </w:tcBorders>
            <w:noWrap/>
            <w:vAlign w:val="bottom"/>
            <w:hideMark/>
          </w:tcPr>
          <w:p w14:paraId="66827AC3" w14:textId="77777777" w:rsidR="007A6A1A" w:rsidRPr="00167CB8" w:rsidRDefault="007A6A1A" w:rsidP="00BD36B5">
            <w:pPr>
              <w:spacing w:after="0" w:line="240" w:lineRule="auto"/>
            </w:pPr>
            <w:r w:rsidRPr="00167CB8">
              <w:t>1.52</w:t>
            </w:r>
          </w:p>
        </w:tc>
      </w:tr>
      <w:tr w:rsidR="007A6A1A" w:rsidRPr="00167CB8" w14:paraId="15C5E517" w14:textId="77777777" w:rsidTr="00BD36B5">
        <w:trPr>
          <w:trHeight w:val="397"/>
        </w:trPr>
        <w:tc>
          <w:tcPr>
            <w:tcW w:w="2972" w:type="dxa"/>
            <w:tcBorders>
              <w:top w:val="nil"/>
              <w:left w:val="single" w:sz="4" w:space="0" w:color="auto"/>
              <w:bottom w:val="nil"/>
              <w:right w:val="nil"/>
            </w:tcBorders>
            <w:noWrap/>
            <w:vAlign w:val="bottom"/>
            <w:hideMark/>
          </w:tcPr>
          <w:p w14:paraId="1184D785" w14:textId="77777777" w:rsidR="007A6A1A" w:rsidRPr="00167CB8" w:rsidRDefault="007A6A1A" w:rsidP="00BD36B5">
            <w:pPr>
              <w:spacing w:after="0" w:line="240" w:lineRule="auto"/>
            </w:pPr>
            <w:r w:rsidRPr="00167CB8">
              <w:t>Dec-22</w:t>
            </w:r>
          </w:p>
        </w:tc>
        <w:tc>
          <w:tcPr>
            <w:tcW w:w="1418" w:type="dxa"/>
            <w:tcBorders>
              <w:top w:val="nil"/>
              <w:left w:val="nil"/>
              <w:bottom w:val="nil"/>
              <w:right w:val="nil"/>
            </w:tcBorders>
            <w:noWrap/>
            <w:vAlign w:val="bottom"/>
            <w:hideMark/>
          </w:tcPr>
          <w:p w14:paraId="304CC749" w14:textId="77777777" w:rsidR="007A6A1A" w:rsidRPr="00167CB8" w:rsidRDefault="007A6A1A" w:rsidP="00BD36B5">
            <w:pPr>
              <w:spacing w:after="0" w:line="240" w:lineRule="auto"/>
            </w:pPr>
            <w:r w:rsidRPr="00167CB8">
              <w:t>0.27</w:t>
            </w:r>
          </w:p>
        </w:tc>
        <w:tc>
          <w:tcPr>
            <w:tcW w:w="1620" w:type="dxa"/>
            <w:tcBorders>
              <w:top w:val="nil"/>
              <w:left w:val="nil"/>
              <w:bottom w:val="nil"/>
              <w:right w:val="nil"/>
            </w:tcBorders>
            <w:noWrap/>
            <w:vAlign w:val="bottom"/>
            <w:hideMark/>
          </w:tcPr>
          <w:p w14:paraId="0C85F751" w14:textId="77777777" w:rsidR="007A6A1A" w:rsidRPr="00167CB8" w:rsidRDefault="007A6A1A" w:rsidP="00BD36B5">
            <w:pPr>
              <w:spacing w:after="0" w:line="240" w:lineRule="auto"/>
            </w:pPr>
            <w:r w:rsidRPr="00167CB8">
              <w:t>0.42</w:t>
            </w:r>
          </w:p>
        </w:tc>
        <w:tc>
          <w:tcPr>
            <w:tcW w:w="1503" w:type="dxa"/>
            <w:tcBorders>
              <w:top w:val="nil"/>
              <w:left w:val="nil"/>
              <w:bottom w:val="nil"/>
              <w:right w:val="nil"/>
            </w:tcBorders>
            <w:noWrap/>
            <w:vAlign w:val="bottom"/>
            <w:hideMark/>
          </w:tcPr>
          <w:p w14:paraId="0A6D8FF5" w14:textId="77777777" w:rsidR="007A6A1A" w:rsidRPr="00167CB8" w:rsidRDefault="007A6A1A" w:rsidP="00BD36B5">
            <w:pPr>
              <w:spacing w:after="0" w:line="240" w:lineRule="auto"/>
            </w:pPr>
            <w:r w:rsidRPr="00167CB8">
              <w:t>0.15</w:t>
            </w:r>
          </w:p>
        </w:tc>
        <w:tc>
          <w:tcPr>
            <w:tcW w:w="1503" w:type="dxa"/>
            <w:tcBorders>
              <w:top w:val="nil"/>
              <w:left w:val="nil"/>
              <w:bottom w:val="nil"/>
              <w:right w:val="single" w:sz="4" w:space="0" w:color="auto"/>
            </w:tcBorders>
            <w:noWrap/>
            <w:vAlign w:val="bottom"/>
            <w:hideMark/>
          </w:tcPr>
          <w:p w14:paraId="28385FF4" w14:textId="77777777" w:rsidR="007A6A1A" w:rsidRPr="00167CB8" w:rsidRDefault="007A6A1A" w:rsidP="00BD36B5">
            <w:pPr>
              <w:spacing w:after="0" w:line="240" w:lineRule="auto"/>
            </w:pPr>
            <w:r w:rsidRPr="00167CB8">
              <w:t>0.84</w:t>
            </w:r>
          </w:p>
        </w:tc>
      </w:tr>
      <w:tr w:rsidR="007A6A1A" w:rsidRPr="00167CB8" w14:paraId="28F0F7D5" w14:textId="77777777" w:rsidTr="00BD36B5">
        <w:trPr>
          <w:trHeight w:val="397"/>
        </w:trPr>
        <w:tc>
          <w:tcPr>
            <w:tcW w:w="2972" w:type="dxa"/>
            <w:tcBorders>
              <w:top w:val="nil"/>
              <w:left w:val="single" w:sz="4" w:space="0" w:color="auto"/>
              <w:bottom w:val="nil"/>
              <w:right w:val="nil"/>
            </w:tcBorders>
            <w:noWrap/>
            <w:vAlign w:val="bottom"/>
            <w:hideMark/>
          </w:tcPr>
          <w:p w14:paraId="63F267D7" w14:textId="77777777" w:rsidR="007A6A1A" w:rsidRPr="00167CB8" w:rsidRDefault="007A6A1A" w:rsidP="00BD36B5">
            <w:pPr>
              <w:spacing w:after="0" w:line="240" w:lineRule="auto"/>
            </w:pPr>
            <w:r w:rsidRPr="00167CB8">
              <w:t>Mar-23</w:t>
            </w:r>
          </w:p>
        </w:tc>
        <w:tc>
          <w:tcPr>
            <w:tcW w:w="1418" w:type="dxa"/>
            <w:tcBorders>
              <w:top w:val="nil"/>
              <w:left w:val="nil"/>
              <w:bottom w:val="nil"/>
              <w:right w:val="nil"/>
            </w:tcBorders>
            <w:noWrap/>
            <w:vAlign w:val="bottom"/>
            <w:hideMark/>
          </w:tcPr>
          <w:p w14:paraId="65867DB1" w14:textId="77777777" w:rsidR="007A6A1A" w:rsidRPr="00167CB8" w:rsidRDefault="007A6A1A" w:rsidP="00BD36B5">
            <w:pPr>
              <w:spacing w:after="0" w:line="240" w:lineRule="auto"/>
            </w:pPr>
            <w:r w:rsidRPr="00167CB8">
              <w:t>0.34</w:t>
            </w:r>
          </w:p>
        </w:tc>
        <w:tc>
          <w:tcPr>
            <w:tcW w:w="1620" w:type="dxa"/>
            <w:tcBorders>
              <w:top w:val="nil"/>
              <w:left w:val="nil"/>
              <w:bottom w:val="nil"/>
              <w:right w:val="nil"/>
            </w:tcBorders>
            <w:noWrap/>
            <w:vAlign w:val="bottom"/>
            <w:hideMark/>
          </w:tcPr>
          <w:p w14:paraId="7390E04A" w14:textId="77777777" w:rsidR="007A6A1A" w:rsidRPr="00167CB8" w:rsidRDefault="007A6A1A" w:rsidP="00BD36B5">
            <w:pPr>
              <w:spacing w:after="0" w:line="240" w:lineRule="auto"/>
            </w:pPr>
            <w:r w:rsidRPr="00167CB8">
              <w:t>0.37</w:t>
            </w:r>
          </w:p>
        </w:tc>
        <w:tc>
          <w:tcPr>
            <w:tcW w:w="1503" w:type="dxa"/>
            <w:tcBorders>
              <w:top w:val="nil"/>
              <w:left w:val="nil"/>
              <w:bottom w:val="nil"/>
              <w:right w:val="nil"/>
            </w:tcBorders>
            <w:noWrap/>
            <w:vAlign w:val="bottom"/>
            <w:hideMark/>
          </w:tcPr>
          <w:p w14:paraId="17F973CB" w14:textId="77777777" w:rsidR="007A6A1A" w:rsidRPr="00167CB8" w:rsidRDefault="007A6A1A" w:rsidP="00BD36B5">
            <w:pPr>
              <w:spacing w:after="0" w:line="240" w:lineRule="auto"/>
            </w:pPr>
            <w:r w:rsidRPr="00167CB8">
              <w:t>0.02</w:t>
            </w:r>
          </w:p>
        </w:tc>
        <w:tc>
          <w:tcPr>
            <w:tcW w:w="1503" w:type="dxa"/>
            <w:tcBorders>
              <w:top w:val="nil"/>
              <w:left w:val="nil"/>
              <w:bottom w:val="nil"/>
              <w:right w:val="single" w:sz="4" w:space="0" w:color="auto"/>
            </w:tcBorders>
            <w:noWrap/>
            <w:vAlign w:val="bottom"/>
            <w:hideMark/>
          </w:tcPr>
          <w:p w14:paraId="57DBDE6E" w14:textId="77777777" w:rsidR="007A6A1A" w:rsidRPr="00167CB8" w:rsidRDefault="007A6A1A" w:rsidP="00BD36B5">
            <w:pPr>
              <w:spacing w:after="0" w:line="240" w:lineRule="auto"/>
            </w:pPr>
            <w:r w:rsidRPr="00167CB8">
              <w:t>0.73</w:t>
            </w:r>
          </w:p>
        </w:tc>
      </w:tr>
      <w:tr w:rsidR="007A6A1A" w:rsidRPr="00167CB8" w14:paraId="186DD0F9" w14:textId="77777777" w:rsidTr="00BD36B5">
        <w:trPr>
          <w:trHeight w:val="397"/>
        </w:trPr>
        <w:tc>
          <w:tcPr>
            <w:tcW w:w="2972" w:type="dxa"/>
            <w:tcBorders>
              <w:top w:val="nil"/>
              <w:left w:val="single" w:sz="4" w:space="0" w:color="auto"/>
              <w:bottom w:val="nil"/>
              <w:right w:val="nil"/>
            </w:tcBorders>
            <w:noWrap/>
            <w:vAlign w:val="bottom"/>
            <w:hideMark/>
          </w:tcPr>
          <w:p w14:paraId="3F606000" w14:textId="77777777" w:rsidR="007A6A1A" w:rsidRPr="00167CB8" w:rsidRDefault="007A6A1A" w:rsidP="00BD36B5">
            <w:pPr>
              <w:spacing w:after="0" w:line="240" w:lineRule="auto"/>
            </w:pPr>
            <w:r w:rsidRPr="00167CB8">
              <w:t>Jun-23</w:t>
            </w:r>
          </w:p>
        </w:tc>
        <w:tc>
          <w:tcPr>
            <w:tcW w:w="1418" w:type="dxa"/>
            <w:tcBorders>
              <w:top w:val="nil"/>
              <w:left w:val="nil"/>
              <w:bottom w:val="nil"/>
              <w:right w:val="nil"/>
            </w:tcBorders>
            <w:noWrap/>
            <w:vAlign w:val="bottom"/>
            <w:hideMark/>
          </w:tcPr>
          <w:p w14:paraId="6F4FADA0" w14:textId="77777777" w:rsidR="007A6A1A" w:rsidRPr="00167CB8" w:rsidRDefault="007A6A1A" w:rsidP="00BD36B5">
            <w:pPr>
              <w:spacing w:after="0" w:line="240" w:lineRule="auto"/>
            </w:pPr>
            <w:r w:rsidRPr="00167CB8">
              <w:t>0.22</w:t>
            </w:r>
          </w:p>
        </w:tc>
        <w:tc>
          <w:tcPr>
            <w:tcW w:w="1620" w:type="dxa"/>
            <w:tcBorders>
              <w:top w:val="nil"/>
              <w:left w:val="nil"/>
              <w:bottom w:val="nil"/>
              <w:right w:val="nil"/>
            </w:tcBorders>
            <w:noWrap/>
            <w:vAlign w:val="bottom"/>
            <w:hideMark/>
          </w:tcPr>
          <w:p w14:paraId="5EC4B3DB" w14:textId="77777777" w:rsidR="007A6A1A" w:rsidRPr="00167CB8" w:rsidRDefault="007A6A1A" w:rsidP="00BD36B5">
            <w:pPr>
              <w:spacing w:after="0" w:line="240" w:lineRule="auto"/>
            </w:pPr>
            <w:r w:rsidRPr="00167CB8">
              <w:t>0.35</w:t>
            </w:r>
          </w:p>
        </w:tc>
        <w:tc>
          <w:tcPr>
            <w:tcW w:w="1503" w:type="dxa"/>
            <w:tcBorders>
              <w:top w:val="nil"/>
              <w:left w:val="nil"/>
              <w:bottom w:val="nil"/>
              <w:right w:val="nil"/>
            </w:tcBorders>
            <w:noWrap/>
            <w:vAlign w:val="bottom"/>
            <w:hideMark/>
          </w:tcPr>
          <w:p w14:paraId="3B34C594" w14:textId="77777777" w:rsidR="007A6A1A" w:rsidRPr="00167CB8" w:rsidRDefault="007A6A1A" w:rsidP="00BD36B5">
            <w:pPr>
              <w:spacing w:after="0" w:line="240" w:lineRule="auto"/>
            </w:pPr>
            <w:r w:rsidRPr="00167CB8">
              <w:t>0.00</w:t>
            </w:r>
          </w:p>
        </w:tc>
        <w:tc>
          <w:tcPr>
            <w:tcW w:w="1503" w:type="dxa"/>
            <w:tcBorders>
              <w:top w:val="nil"/>
              <w:left w:val="nil"/>
              <w:bottom w:val="nil"/>
              <w:right w:val="single" w:sz="4" w:space="0" w:color="auto"/>
            </w:tcBorders>
            <w:noWrap/>
            <w:vAlign w:val="bottom"/>
            <w:hideMark/>
          </w:tcPr>
          <w:p w14:paraId="728CA39E" w14:textId="77777777" w:rsidR="007A6A1A" w:rsidRPr="00167CB8" w:rsidRDefault="007A6A1A" w:rsidP="00BD36B5">
            <w:pPr>
              <w:spacing w:after="0" w:line="240" w:lineRule="auto"/>
            </w:pPr>
            <w:r w:rsidRPr="00167CB8">
              <w:t>0.57</w:t>
            </w:r>
          </w:p>
        </w:tc>
      </w:tr>
      <w:tr w:rsidR="007A6A1A" w:rsidRPr="00167CB8" w14:paraId="257715BA" w14:textId="77777777" w:rsidTr="00BD36B5">
        <w:trPr>
          <w:trHeight w:val="397"/>
        </w:trPr>
        <w:tc>
          <w:tcPr>
            <w:tcW w:w="2972" w:type="dxa"/>
            <w:tcBorders>
              <w:top w:val="nil"/>
              <w:left w:val="single" w:sz="4" w:space="0" w:color="auto"/>
              <w:bottom w:val="nil"/>
              <w:right w:val="nil"/>
            </w:tcBorders>
            <w:noWrap/>
            <w:vAlign w:val="bottom"/>
            <w:hideMark/>
          </w:tcPr>
          <w:p w14:paraId="47F69B93" w14:textId="77777777" w:rsidR="007A6A1A" w:rsidRPr="00167CB8" w:rsidRDefault="007A6A1A" w:rsidP="00BD36B5">
            <w:pPr>
              <w:spacing w:after="0" w:line="240" w:lineRule="auto"/>
            </w:pPr>
            <w:r w:rsidRPr="00167CB8">
              <w:t>Sep-23</w:t>
            </w:r>
          </w:p>
        </w:tc>
        <w:tc>
          <w:tcPr>
            <w:tcW w:w="1418" w:type="dxa"/>
            <w:tcBorders>
              <w:top w:val="nil"/>
              <w:left w:val="nil"/>
              <w:bottom w:val="nil"/>
              <w:right w:val="nil"/>
            </w:tcBorders>
            <w:noWrap/>
            <w:vAlign w:val="bottom"/>
            <w:hideMark/>
          </w:tcPr>
          <w:p w14:paraId="5ABB3C4E" w14:textId="77777777" w:rsidR="007A6A1A" w:rsidRPr="00167CB8" w:rsidRDefault="007A6A1A" w:rsidP="00BD36B5">
            <w:pPr>
              <w:spacing w:after="0" w:line="240" w:lineRule="auto"/>
            </w:pPr>
            <w:r w:rsidRPr="00167CB8">
              <w:t>0.66</w:t>
            </w:r>
          </w:p>
        </w:tc>
        <w:tc>
          <w:tcPr>
            <w:tcW w:w="1620" w:type="dxa"/>
            <w:tcBorders>
              <w:top w:val="nil"/>
              <w:left w:val="nil"/>
              <w:bottom w:val="nil"/>
              <w:right w:val="nil"/>
            </w:tcBorders>
            <w:noWrap/>
            <w:vAlign w:val="bottom"/>
            <w:hideMark/>
          </w:tcPr>
          <w:p w14:paraId="5C05575F" w14:textId="77777777" w:rsidR="007A6A1A" w:rsidRPr="00167CB8" w:rsidRDefault="007A6A1A" w:rsidP="00BD36B5">
            <w:pPr>
              <w:spacing w:after="0" w:line="240" w:lineRule="auto"/>
            </w:pPr>
            <w:r w:rsidRPr="00167CB8">
              <w:t>0.74</w:t>
            </w:r>
          </w:p>
        </w:tc>
        <w:tc>
          <w:tcPr>
            <w:tcW w:w="1503" w:type="dxa"/>
            <w:tcBorders>
              <w:top w:val="nil"/>
              <w:left w:val="nil"/>
              <w:bottom w:val="nil"/>
              <w:right w:val="nil"/>
            </w:tcBorders>
            <w:noWrap/>
            <w:vAlign w:val="bottom"/>
            <w:hideMark/>
          </w:tcPr>
          <w:p w14:paraId="53F5CBF3" w14:textId="77777777" w:rsidR="007A6A1A" w:rsidRPr="00167CB8" w:rsidRDefault="007A6A1A" w:rsidP="00BD36B5">
            <w:pPr>
              <w:spacing w:after="0" w:line="240" w:lineRule="auto"/>
            </w:pPr>
            <w:r w:rsidRPr="00167CB8">
              <w:t>0.63</w:t>
            </w:r>
          </w:p>
        </w:tc>
        <w:tc>
          <w:tcPr>
            <w:tcW w:w="1503" w:type="dxa"/>
            <w:tcBorders>
              <w:top w:val="nil"/>
              <w:left w:val="nil"/>
              <w:bottom w:val="nil"/>
              <w:right w:val="single" w:sz="4" w:space="0" w:color="auto"/>
            </w:tcBorders>
            <w:noWrap/>
            <w:vAlign w:val="bottom"/>
            <w:hideMark/>
          </w:tcPr>
          <w:p w14:paraId="179E0D76" w14:textId="77777777" w:rsidR="007A6A1A" w:rsidRPr="00167CB8" w:rsidRDefault="007A6A1A" w:rsidP="00BD36B5">
            <w:pPr>
              <w:spacing w:after="0" w:line="240" w:lineRule="auto"/>
            </w:pPr>
            <w:r w:rsidRPr="00167CB8">
              <w:t>2.03</w:t>
            </w:r>
          </w:p>
        </w:tc>
      </w:tr>
      <w:tr w:rsidR="007A6A1A" w:rsidRPr="00167CB8" w14:paraId="4E965225" w14:textId="77777777" w:rsidTr="00BD36B5">
        <w:trPr>
          <w:trHeight w:val="397"/>
        </w:trPr>
        <w:tc>
          <w:tcPr>
            <w:tcW w:w="2972" w:type="dxa"/>
            <w:tcBorders>
              <w:top w:val="nil"/>
              <w:left w:val="single" w:sz="4" w:space="0" w:color="auto"/>
              <w:bottom w:val="nil"/>
              <w:right w:val="nil"/>
            </w:tcBorders>
            <w:noWrap/>
            <w:vAlign w:val="bottom"/>
            <w:hideMark/>
          </w:tcPr>
          <w:p w14:paraId="64893A57" w14:textId="77777777" w:rsidR="007A6A1A" w:rsidRPr="00167CB8" w:rsidRDefault="007A6A1A" w:rsidP="00BD36B5">
            <w:pPr>
              <w:spacing w:after="0" w:line="240" w:lineRule="auto"/>
            </w:pPr>
            <w:r w:rsidRPr="00167CB8">
              <w:t>Dec-23</w:t>
            </w:r>
          </w:p>
        </w:tc>
        <w:tc>
          <w:tcPr>
            <w:tcW w:w="1418" w:type="dxa"/>
            <w:tcBorders>
              <w:top w:val="nil"/>
              <w:left w:val="nil"/>
              <w:bottom w:val="nil"/>
              <w:right w:val="nil"/>
            </w:tcBorders>
            <w:noWrap/>
            <w:vAlign w:val="bottom"/>
            <w:hideMark/>
          </w:tcPr>
          <w:p w14:paraId="7F8FF72A" w14:textId="77777777" w:rsidR="007A6A1A" w:rsidRPr="00167CB8" w:rsidRDefault="007A6A1A" w:rsidP="00BD36B5">
            <w:pPr>
              <w:spacing w:after="0" w:line="240" w:lineRule="auto"/>
            </w:pPr>
            <w:r w:rsidRPr="00167CB8">
              <w:t>0.45</w:t>
            </w:r>
          </w:p>
        </w:tc>
        <w:tc>
          <w:tcPr>
            <w:tcW w:w="1620" w:type="dxa"/>
            <w:tcBorders>
              <w:top w:val="nil"/>
              <w:left w:val="nil"/>
              <w:bottom w:val="nil"/>
              <w:right w:val="nil"/>
            </w:tcBorders>
            <w:noWrap/>
            <w:vAlign w:val="bottom"/>
            <w:hideMark/>
          </w:tcPr>
          <w:p w14:paraId="510A051C" w14:textId="77777777" w:rsidR="007A6A1A" w:rsidRPr="00167CB8" w:rsidRDefault="007A6A1A" w:rsidP="00BD36B5">
            <w:pPr>
              <w:spacing w:after="0" w:line="240" w:lineRule="auto"/>
            </w:pPr>
            <w:r w:rsidRPr="00167CB8">
              <w:t>0.39</w:t>
            </w:r>
          </w:p>
        </w:tc>
        <w:tc>
          <w:tcPr>
            <w:tcW w:w="1503" w:type="dxa"/>
            <w:tcBorders>
              <w:top w:val="nil"/>
              <w:left w:val="nil"/>
              <w:bottom w:val="nil"/>
              <w:right w:val="nil"/>
            </w:tcBorders>
            <w:noWrap/>
            <w:vAlign w:val="bottom"/>
            <w:hideMark/>
          </w:tcPr>
          <w:p w14:paraId="0872F0F2" w14:textId="77777777" w:rsidR="007A6A1A" w:rsidRPr="00167CB8" w:rsidRDefault="007A6A1A" w:rsidP="00BD36B5">
            <w:pPr>
              <w:spacing w:after="0" w:line="240" w:lineRule="auto"/>
            </w:pPr>
            <w:r w:rsidRPr="00167CB8">
              <w:t>0.12</w:t>
            </w:r>
          </w:p>
        </w:tc>
        <w:tc>
          <w:tcPr>
            <w:tcW w:w="1503" w:type="dxa"/>
            <w:tcBorders>
              <w:top w:val="nil"/>
              <w:left w:val="nil"/>
              <w:bottom w:val="nil"/>
              <w:right w:val="single" w:sz="4" w:space="0" w:color="auto"/>
            </w:tcBorders>
            <w:noWrap/>
            <w:vAlign w:val="bottom"/>
            <w:hideMark/>
          </w:tcPr>
          <w:p w14:paraId="3C922B5D" w14:textId="77777777" w:rsidR="007A6A1A" w:rsidRPr="00167CB8" w:rsidRDefault="007A6A1A" w:rsidP="00BD36B5">
            <w:pPr>
              <w:spacing w:after="0" w:line="240" w:lineRule="auto"/>
            </w:pPr>
            <w:r w:rsidRPr="00167CB8">
              <w:t>0.96</w:t>
            </w:r>
          </w:p>
        </w:tc>
      </w:tr>
      <w:tr w:rsidR="007A6A1A" w:rsidRPr="00167CB8" w14:paraId="2FA061D0" w14:textId="77777777" w:rsidTr="00BD36B5">
        <w:trPr>
          <w:trHeight w:val="397"/>
        </w:trPr>
        <w:tc>
          <w:tcPr>
            <w:tcW w:w="2972" w:type="dxa"/>
            <w:tcBorders>
              <w:top w:val="nil"/>
              <w:left w:val="single" w:sz="4" w:space="0" w:color="auto"/>
              <w:bottom w:val="nil"/>
              <w:right w:val="nil"/>
            </w:tcBorders>
            <w:noWrap/>
            <w:vAlign w:val="bottom"/>
            <w:hideMark/>
          </w:tcPr>
          <w:p w14:paraId="77DA3A97" w14:textId="77777777" w:rsidR="007A6A1A" w:rsidRPr="00167CB8" w:rsidRDefault="007A6A1A" w:rsidP="00BD36B5">
            <w:pPr>
              <w:spacing w:after="0" w:line="240" w:lineRule="auto"/>
            </w:pPr>
            <w:r w:rsidRPr="00167CB8">
              <w:t>Mar-24</w:t>
            </w:r>
          </w:p>
        </w:tc>
        <w:tc>
          <w:tcPr>
            <w:tcW w:w="1418" w:type="dxa"/>
            <w:tcBorders>
              <w:top w:val="nil"/>
              <w:left w:val="nil"/>
              <w:bottom w:val="nil"/>
              <w:right w:val="nil"/>
            </w:tcBorders>
            <w:noWrap/>
            <w:vAlign w:val="bottom"/>
            <w:hideMark/>
          </w:tcPr>
          <w:p w14:paraId="0A06BB4E" w14:textId="77777777" w:rsidR="007A6A1A" w:rsidRPr="00167CB8" w:rsidRDefault="007A6A1A" w:rsidP="00BD36B5">
            <w:pPr>
              <w:spacing w:after="0" w:line="240" w:lineRule="auto"/>
            </w:pPr>
            <w:r w:rsidRPr="00167CB8">
              <w:t>0.21</w:t>
            </w:r>
          </w:p>
        </w:tc>
        <w:tc>
          <w:tcPr>
            <w:tcW w:w="1620" w:type="dxa"/>
            <w:tcBorders>
              <w:top w:val="nil"/>
              <w:left w:val="nil"/>
              <w:bottom w:val="nil"/>
              <w:right w:val="nil"/>
            </w:tcBorders>
            <w:noWrap/>
            <w:vAlign w:val="bottom"/>
            <w:hideMark/>
          </w:tcPr>
          <w:p w14:paraId="3F4C49F8" w14:textId="77777777" w:rsidR="007A6A1A" w:rsidRPr="00167CB8" w:rsidRDefault="007A6A1A" w:rsidP="00BD36B5">
            <w:pPr>
              <w:spacing w:after="0" w:line="240" w:lineRule="auto"/>
            </w:pPr>
            <w:r w:rsidRPr="00167CB8">
              <w:t>0.34</w:t>
            </w:r>
          </w:p>
        </w:tc>
        <w:tc>
          <w:tcPr>
            <w:tcW w:w="1503" w:type="dxa"/>
            <w:tcBorders>
              <w:top w:val="nil"/>
              <w:left w:val="nil"/>
              <w:bottom w:val="nil"/>
              <w:right w:val="nil"/>
            </w:tcBorders>
            <w:noWrap/>
            <w:vAlign w:val="bottom"/>
            <w:hideMark/>
          </w:tcPr>
          <w:p w14:paraId="6CBE967E" w14:textId="77777777" w:rsidR="007A6A1A" w:rsidRPr="00167CB8" w:rsidRDefault="007A6A1A" w:rsidP="00BD36B5">
            <w:pPr>
              <w:spacing w:after="0" w:line="240" w:lineRule="auto"/>
            </w:pPr>
            <w:r w:rsidRPr="00167CB8">
              <w:t>0.02</w:t>
            </w:r>
          </w:p>
        </w:tc>
        <w:tc>
          <w:tcPr>
            <w:tcW w:w="1503" w:type="dxa"/>
            <w:tcBorders>
              <w:top w:val="nil"/>
              <w:left w:val="nil"/>
              <w:bottom w:val="nil"/>
              <w:right w:val="single" w:sz="4" w:space="0" w:color="auto"/>
            </w:tcBorders>
            <w:noWrap/>
            <w:vAlign w:val="bottom"/>
            <w:hideMark/>
          </w:tcPr>
          <w:p w14:paraId="66A05316" w14:textId="77777777" w:rsidR="007A6A1A" w:rsidRPr="00167CB8" w:rsidRDefault="007A6A1A" w:rsidP="00BD36B5">
            <w:pPr>
              <w:spacing w:after="0" w:line="240" w:lineRule="auto"/>
            </w:pPr>
            <w:r w:rsidRPr="00167CB8">
              <w:t>0.57</w:t>
            </w:r>
          </w:p>
        </w:tc>
      </w:tr>
      <w:tr w:rsidR="007A6A1A" w:rsidRPr="00167CB8" w14:paraId="5645A42A" w14:textId="77777777" w:rsidTr="00BD36B5">
        <w:trPr>
          <w:trHeight w:val="397"/>
        </w:trPr>
        <w:tc>
          <w:tcPr>
            <w:tcW w:w="2972" w:type="dxa"/>
            <w:tcBorders>
              <w:top w:val="nil"/>
              <w:left w:val="single" w:sz="4" w:space="0" w:color="auto"/>
              <w:bottom w:val="nil"/>
              <w:right w:val="nil"/>
            </w:tcBorders>
            <w:noWrap/>
            <w:vAlign w:val="bottom"/>
            <w:hideMark/>
          </w:tcPr>
          <w:p w14:paraId="36D534D7" w14:textId="77777777" w:rsidR="007A6A1A" w:rsidRPr="00167CB8" w:rsidRDefault="007A6A1A" w:rsidP="00BD36B5">
            <w:pPr>
              <w:spacing w:after="0" w:line="240" w:lineRule="auto"/>
            </w:pPr>
            <w:r w:rsidRPr="00167CB8">
              <w:t>Jun-24</w:t>
            </w:r>
          </w:p>
        </w:tc>
        <w:tc>
          <w:tcPr>
            <w:tcW w:w="1418" w:type="dxa"/>
            <w:tcBorders>
              <w:top w:val="nil"/>
              <w:left w:val="nil"/>
              <w:bottom w:val="nil"/>
              <w:right w:val="nil"/>
            </w:tcBorders>
            <w:noWrap/>
            <w:vAlign w:val="bottom"/>
            <w:hideMark/>
          </w:tcPr>
          <w:p w14:paraId="2C58F280" w14:textId="77777777" w:rsidR="007A6A1A" w:rsidRPr="00167CB8" w:rsidRDefault="007A6A1A" w:rsidP="00BD36B5">
            <w:pPr>
              <w:spacing w:after="0" w:line="240" w:lineRule="auto"/>
            </w:pPr>
            <w:r w:rsidRPr="00167CB8">
              <w:t>0.23</w:t>
            </w:r>
          </w:p>
        </w:tc>
        <w:tc>
          <w:tcPr>
            <w:tcW w:w="1620" w:type="dxa"/>
            <w:tcBorders>
              <w:top w:val="nil"/>
              <w:left w:val="nil"/>
              <w:bottom w:val="nil"/>
              <w:right w:val="nil"/>
            </w:tcBorders>
            <w:noWrap/>
            <w:vAlign w:val="bottom"/>
            <w:hideMark/>
          </w:tcPr>
          <w:p w14:paraId="6B5BDC88" w14:textId="77777777" w:rsidR="007A6A1A" w:rsidRPr="00167CB8" w:rsidRDefault="007A6A1A" w:rsidP="00BD36B5">
            <w:pPr>
              <w:spacing w:after="0" w:line="240" w:lineRule="auto"/>
            </w:pPr>
            <w:r w:rsidRPr="00167CB8">
              <w:t>0.32</w:t>
            </w:r>
          </w:p>
        </w:tc>
        <w:tc>
          <w:tcPr>
            <w:tcW w:w="1503" w:type="dxa"/>
            <w:tcBorders>
              <w:top w:val="nil"/>
              <w:left w:val="nil"/>
              <w:bottom w:val="nil"/>
              <w:right w:val="nil"/>
            </w:tcBorders>
            <w:noWrap/>
            <w:vAlign w:val="bottom"/>
            <w:hideMark/>
          </w:tcPr>
          <w:p w14:paraId="3E284AE9" w14:textId="77777777" w:rsidR="007A6A1A" w:rsidRPr="00167CB8" w:rsidRDefault="007A6A1A" w:rsidP="00BD36B5">
            <w:pPr>
              <w:spacing w:after="0" w:line="240" w:lineRule="auto"/>
            </w:pPr>
            <w:r w:rsidRPr="00167CB8">
              <w:t>0.01</w:t>
            </w:r>
          </w:p>
        </w:tc>
        <w:tc>
          <w:tcPr>
            <w:tcW w:w="1503" w:type="dxa"/>
            <w:tcBorders>
              <w:top w:val="nil"/>
              <w:left w:val="nil"/>
              <w:bottom w:val="nil"/>
              <w:right w:val="single" w:sz="4" w:space="0" w:color="auto"/>
            </w:tcBorders>
            <w:noWrap/>
            <w:vAlign w:val="bottom"/>
            <w:hideMark/>
          </w:tcPr>
          <w:p w14:paraId="2ACEB013" w14:textId="77777777" w:rsidR="007A6A1A" w:rsidRPr="00167CB8" w:rsidRDefault="007A6A1A" w:rsidP="00BD36B5">
            <w:pPr>
              <w:spacing w:after="0" w:line="240" w:lineRule="auto"/>
            </w:pPr>
            <w:r w:rsidRPr="00167CB8">
              <w:t>0.56</w:t>
            </w:r>
          </w:p>
        </w:tc>
      </w:tr>
      <w:tr w:rsidR="007A6A1A" w:rsidRPr="00167CB8" w14:paraId="441A8FBC" w14:textId="77777777" w:rsidTr="00BD36B5">
        <w:trPr>
          <w:trHeight w:val="397"/>
        </w:trPr>
        <w:tc>
          <w:tcPr>
            <w:tcW w:w="2972" w:type="dxa"/>
            <w:tcBorders>
              <w:top w:val="nil"/>
              <w:left w:val="single" w:sz="4" w:space="0" w:color="auto"/>
              <w:bottom w:val="single" w:sz="4" w:space="0" w:color="auto"/>
              <w:right w:val="nil"/>
            </w:tcBorders>
            <w:noWrap/>
            <w:vAlign w:val="bottom"/>
            <w:hideMark/>
          </w:tcPr>
          <w:p w14:paraId="48B7C23D" w14:textId="77777777" w:rsidR="007A6A1A" w:rsidRPr="00167CB8" w:rsidRDefault="007A6A1A" w:rsidP="00BD36B5">
            <w:pPr>
              <w:spacing w:after="0" w:line="240" w:lineRule="auto"/>
            </w:pPr>
            <w:r w:rsidRPr="00167CB8">
              <w:t>Sep-24</w:t>
            </w:r>
          </w:p>
        </w:tc>
        <w:tc>
          <w:tcPr>
            <w:tcW w:w="1418" w:type="dxa"/>
            <w:tcBorders>
              <w:top w:val="nil"/>
              <w:left w:val="nil"/>
              <w:bottom w:val="single" w:sz="4" w:space="0" w:color="auto"/>
              <w:right w:val="nil"/>
            </w:tcBorders>
            <w:noWrap/>
            <w:vAlign w:val="bottom"/>
            <w:hideMark/>
          </w:tcPr>
          <w:p w14:paraId="4CA375FA" w14:textId="77777777" w:rsidR="007A6A1A" w:rsidRPr="00167CB8" w:rsidRDefault="007A6A1A" w:rsidP="00BD36B5">
            <w:pPr>
              <w:spacing w:after="0" w:line="240" w:lineRule="auto"/>
            </w:pPr>
            <w:r w:rsidRPr="00167CB8">
              <w:t>0.46</w:t>
            </w:r>
          </w:p>
        </w:tc>
        <w:tc>
          <w:tcPr>
            <w:tcW w:w="1620" w:type="dxa"/>
            <w:tcBorders>
              <w:top w:val="nil"/>
              <w:left w:val="nil"/>
              <w:bottom w:val="single" w:sz="4" w:space="0" w:color="auto"/>
              <w:right w:val="nil"/>
            </w:tcBorders>
            <w:noWrap/>
            <w:vAlign w:val="bottom"/>
            <w:hideMark/>
          </w:tcPr>
          <w:p w14:paraId="35F1CD2A" w14:textId="77777777" w:rsidR="007A6A1A" w:rsidRPr="00167CB8" w:rsidRDefault="007A6A1A" w:rsidP="00BD36B5">
            <w:pPr>
              <w:spacing w:after="0" w:line="240" w:lineRule="auto"/>
            </w:pPr>
            <w:r w:rsidRPr="00167CB8">
              <w:t>0.59</w:t>
            </w:r>
          </w:p>
        </w:tc>
        <w:tc>
          <w:tcPr>
            <w:tcW w:w="1503" w:type="dxa"/>
            <w:tcBorders>
              <w:top w:val="nil"/>
              <w:left w:val="nil"/>
              <w:bottom w:val="single" w:sz="4" w:space="0" w:color="auto"/>
              <w:right w:val="nil"/>
            </w:tcBorders>
            <w:noWrap/>
            <w:vAlign w:val="bottom"/>
            <w:hideMark/>
          </w:tcPr>
          <w:p w14:paraId="185899D4" w14:textId="77777777" w:rsidR="007A6A1A" w:rsidRPr="00167CB8" w:rsidRDefault="007A6A1A" w:rsidP="00BD36B5">
            <w:pPr>
              <w:spacing w:after="0" w:line="240" w:lineRule="auto"/>
            </w:pPr>
            <w:r w:rsidRPr="00167CB8">
              <w:t>0.36</w:t>
            </w:r>
          </w:p>
        </w:tc>
        <w:tc>
          <w:tcPr>
            <w:tcW w:w="1503" w:type="dxa"/>
            <w:tcBorders>
              <w:top w:val="nil"/>
              <w:left w:val="nil"/>
              <w:bottom w:val="single" w:sz="4" w:space="0" w:color="auto"/>
              <w:right w:val="single" w:sz="4" w:space="0" w:color="auto"/>
            </w:tcBorders>
            <w:noWrap/>
            <w:vAlign w:val="bottom"/>
            <w:hideMark/>
          </w:tcPr>
          <w:p w14:paraId="1A121E21" w14:textId="77777777" w:rsidR="007A6A1A" w:rsidRPr="00167CB8" w:rsidRDefault="007A6A1A" w:rsidP="00BD36B5">
            <w:pPr>
              <w:spacing w:after="0" w:line="240" w:lineRule="auto"/>
            </w:pPr>
            <w:r w:rsidRPr="00167CB8">
              <w:t>1.41</w:t>
            </w:r>
          </w:p>
        </w:tc>
      </w:tr>
      <w:tr w:rsidR="007A6A1A" w:rsidRPr="00167CB8" w14:paraId="142D1FAC" w14:textId="77777777" w:rsidTr="00BD36B5">
        <w:trPr>
          <w:trHeight w:val="397"/>
        </w:trPr>
        <w:tc>
          <w:tcPr>
            <w:tcW w:w="2972" w:type="dxa"/>
            <w:tcBorders>
              <w:top w:val="single" w:sz="4" w:space="0" w:color="auto"/>
              <w:left w:val="single" w:sz="4" w:space="0" w:color="auto"/>
              <w:bottom w:val="nil"/>
              <w:right w:val="nil"/>
            </w:tcBorders>
            <w:noWrap/>
            <w:vAlign w:val="bottom"/>
            <w:hideMark/>
          </w:tcPr>
          <w:p w14:paraId="4A08FE88" w14:textId="77777777" w:rsidR="007A6A1A" w:rsidRPr="00167CB8" w:rsidRDefault="007A6A1A" w:rsidP="00BD36B5">
            <w:pPr>
              <w:spacing w:after="0" w:line="240" w:lineRule="auto"/>
            </w:pPr>
            <w:r w:rsidRPr="00167CB8">
              <w:t xml:space="preserve">Total over the year </w:t>
            </w:r>
          </w:p>
        </w:tc>
        <w:tc>
          <w:tcPr>
            <w:tcW w:w="1418" w:type="dxa"/>
            <w:tcBorders>
              <w:top w:val="single" w:sz="4" w:space="0" w:color="auto"/>
              <w:left w:val="nil"/>
              <w:bottom w:val="nil"/>
              <w:right w:val="nil"/>
            </w:tcBorders>
            <w:noWrap/>
            <w:vAlign w:val="bottom"/>
          </w:tcPr>
          <w:p w14:paraId="56197C13" w14:textId="77777777" w:rsidR="007A6A1A" w:rsidRPr="00167CB8" w:rsidRDefault="007A6A1A" w:rsidP="00BD36B5">
            <w:pPr>
              <w:spacing w:after="0" w:line="240" w:lineRule="auto"/>
            </w:pPr>
          </w:p>
        </w:tc>
        <w:tc>
          <w:tcPr>
            <w:tcW w:w="1620" w:type="dxa"/>
            <w:tcBorders>
              <w:top w:val="single" w:sz="4" w:space="0" w:color="auto"/>
              <w:left w:val="nil"/>
              <w:bottom w:val="nil"/>
              <w:right w:val="nil"/>
            </w:tcBorders>
            <w:noWrap/>
            <w:vAlign w:val="bottom"/>
          </w:tcPr>
          <w:p w14:paraId="2AB9C87C" w14:textId="77777777" w:rsidR="007A6A1A" w:rsidRPr="00167CB8" w:rsidRDefault="007A6A1A" w:rsidP="00BD36B5">
            <w:pPr>
              <w:spacing w:after="0" w:line="240" w:lineRule="auto"/>
            </w:pPr>
          </w:p>
        </w:tc>
        <w:tc>
          <w:tcPr>
            <w:tcW w:w="1503" w:type="dxa"/>
            <w:tcBorders>
              <w:top w:val="single" w:sz="4" w:space="0" w:color="auto"/>
              <w:left w:val="nil"/>
              <w:bottom w:val="nil"/>
              <w:right w:val="nil"/>
            </w:tcBorders>
            <w:noWrap/>
            <w:vAlign w:val="bottom"/>
          </w:tcPr>
          <w:p w14:paraId="344CFFE2" w14:textId="77777777" w:rsidR="007A6A1A" w:rsidRPr="00167CB8" w:rsidRDefault="007A6A1A" w:rsidP="00BD36B5">
            <w:pPr>
              <w:spacing w:after="0" w:line="240" w:lineRule="auto"/>
            </w:pPr>
          </w:p>
        </w:tc>
        <w:tc>
          <w:tcPr>
            <w:tcW w:w="1503" w:type="dxa"/>
            <w:tcBorders>
              <w:top w:val="single" w:sz="4" w:space="0" w:color="auto"/>
              <w:left w:val="nil"/>
              <w:bottom w:val="nil"/>
              <w:right w:val="single" w:sz="4" w:space="0" w:color="auto"/>
            </w:tcBorders>
            <w:noWrap/>
            <w:vAlign w:val="bottom"/>
          </w:tcPr>
          <w:p w14:paraId="09015BD8" w14:textId="77777777" w:rsidR="007A6A1A" w:rsidRPr="00167CB8" w:rsidRDefault="007A6A1A" w:rsidP="00BD36B5">
            <w:pPr>
              <w:spacing w:after="0" w:line="240" w:lineRule="auto"/>
            </w:pPr>
          </w:p>
        </w:tc>
      </w:tr>
      <w:tr w:rsidR="007A6A1A" w:rsidRPr="00167CB8" w14:paraId="069F8726" w14:textId="77777777" w:rsidTr="00BD36B5">
        <w:trPr>
          <w:trHeight w:val="397"/>
        </w:trPr>
        <w:tc>
          <w:tcPr>
            <w:tcW w:w="2972" w:type="dxa"/>
            <w:tcBorders>
              <w:top w:val="nil"/>
              <w:left w:val="single" w:sz="4" w:space="0" w:color="auto"/>
              <w:bottom w:val="nil"/>
              <w:right w:val="nil"/>
            </w:tcBorders>
            <w:noWrap/>
            <w:vAlign w:val="bottom"/>
            <w:hideMark/>
          </w:tcPr>
          <w:p w14:paraId="2224D7C9" w14:textId="77777777" w:rsidR="007A6A1A" w:rsidRPr="00167CB8" w:rsidRDefault="007A6A1A" w:rsidP="00BD36B5">
            <w:pPr>
              <w:spacing w:after="0" w:line="240" w:lineRule="auto"/>
            </w:pPr>
            <w:r w:rsidRPr="00167CB8">
              <w:t>Dec-22 to Sep-23</w:t>
            </w:r>
          </w:p>
        </w:tc>
        <w:tc>
          <w:tcPr>
            <w:tcW w:w="1418" w:type="dxa"/>
            <w:tcBorders>
              <w:top w:val="nil"/>
              <w:left w:val="nil"/>
              <w:bottom w:val="nil"/>
              <w:right w:val="nil"/>
            </w:tcBorders>
            <w:noWrap/>
            <w:vAlign w:val="bottom"/>
            <w:hideMark/>
          </w:tcPr>
          <w:p w14:paraId="7A770CBD" w14:textId="77777777" w:rsidR="007A6A1A" w:rsidRPr="00167CB8" w:rsidRDefault="007A6A1A" w:rsidP="00BD36B5">
            <w:pPr>
              <w:spacing w:after="0" w:line="240" w:lineRule="auto"/>
            </w:pPr>
            <w:r w:rsidRPr="00167CB8">
              <w:t>1.49</w:t>
            </w:r>
          </w:p>
        </w:tc>
        <w:tc>
          <w:tcPr>
            <w:tcW w:w="1620" w:type="dxa"/>
            <w:tcBorders>
              <w:top w:val="nil"/>
              <w:left w:val="nil"/>
              <w:bottom w:val="nil"/>
              <w:right w:val="nil"/>
            </w:tcBorders>
            <w:noWrap/>
            <w:vAlign w:val="bottom"/>
            <w:hideMark/>
          </w:tcPr>
          <w:p w14:paraId="44309CE1" w14:textId="77777777" w:rsidR="007A6A1A" w:rsidRPr="00167CB8" w:rsidRDefault="007A6A1A" w:rsidP="00BD36B5">
            <w:pPr>
              <w:spacing w:after="0" w:line="240" w:lineRule="auto"/>
            </w:pPr>
            <w:r w:rsidRPr="00167CB8">
              <w:t>1.88</w:t>
            </w:r>
          </w:p>
        </w:tc>
        <w:tc>
          <w:tcPr>
            <w:tcW w:w="1503" w:type="dxa"/>
            <w:tcBorders>
              <w:top w:val="nil"/>
              <w:left w:val="nil"/>
              <w:bottom w:val="nil"/>
              <w:right w:val="nil"/>
            </w:tcBorders>
            <w:noWrap/>
            <w:vAlign w:val="bottom"/>
            <w:hideMark/>
          </w:tcPr>
          <w:p w14:paraId="17FF4513" w14:textId="77777777" w:rsidR="007A6A1A" w:rsidRPr="00167CB8" w:rsidRDefault="007A6A1A" w:rsidP="00BD36B5">
            <w:pPr>
              <w:spacing w:after="0" w:line="240" w:lineRule="auto"/>
            </w:pPr>
            <w:r w:rsidRPr="00167CB8">
              <w:t>0.80</w:t>
            </w:r>
          </w:p>
        </w:tc>
        <w:tc>
          <w:tcPr>
            <w:tcW w:w="1503" w:type="dxa"/>
            <w:tcBorders>
              <w:top w:val="nil"/>
              <w:left w:val="nil"/>
              <w:bottom w:val="nil"/>
              <w:right w:val="single" w:sz="4" w:space="0" w:color="auto"/>
            </w:tcBorders>
            <w:noWrap/>
            <w:vAlign w:val="bottom"/>
            <w:hideMark/>
          </w:tcPr>
          <w:p w14:paraId="37099B81" w14:textId="77777777" w:rsidR="007A6A1A" w:rsidRPr="00167CB8" w:rsidRDefault="007A6A1A" w:rsidP="00BD36B5">
            <w:pPr>
              <w:spacing w:after="0" w:line="240" w:lineRule="auto"/>
            </w:pPr>
            <w:r w:rsidRPr="00167CB8">
              <w:t>4.17</w:t>
            </w:r>
          </w:p>
        </w:tc>
      </w:tr>
      <w:tr w:rsidR="007A6A1A" w:rsidRPr="00167CB8" w14:paraId="3A432249" w14:textId="77777777" w:rsidTr="00BD36B5">
        <w:trPr>
          <w:trHeight w:val="397"/>
        </w:trPr>
        <w:tc>
          <w:tcPr>
            <w:tcW w:w="2972" w:type="dxa"/>
            <w:tcBorders>
              <w:top w:val="nil"/>
              <w:left w:val="single" w:sz="4" w:space="0" w:color="auto"/>
              <w:bottom w:val="nil"/>
              <w:right w:val="nil"/>
            </w:tcBorders>
            <w:noWrap/>
            <w:vAlign w:val="bottom"/>
            <w:hideMark/>
          </w:tcPr>
          <w:p w14:paraId="311063C5" w14:textId="77777777" w:rsidR="007A6A1A" w:rsidRPr="00167CB8" w:rsidRDefault="007A6A1A" w:rsidP="00BD36B5">
            <w:pPr>
              <w:spacing w:after="0" w:line="240" w:lineRule="auto"/>
            </w:pPr>
            <w:r w:rsidRPr="00167CB8">
              <w:t>Dec-23 to Sep-24</w:t>
            </w:r>
          </w:p>
        </w:tc>
        <w:tc>
          <w:tcPr>
            <w:tcW w:w="1418" w:type="dxa"/>
            <w:tcBorders>
              <w:top w:val="nil"/>
              <w:left w:val="nil"/>
              <w:bottom w:val="nil"/>
              <w:right w:val="nil"/>
            </w:tcBorders>
            <w:noWrap/>
            <w:vAlign w:val="bottom"/>
            <w:hideMark/>
          </w:tcPr>
          <w:p w14:paraId="5CD0416D" w14:textId="77777777" w:rsidR="007A6A1A" w:rsidRPr="00167CB8" w:rsidRDefault="007A6A1A" w:rsidP="00BD36B5">
            <w:pPr>
              <w:spacing w:after="0" w:line="240" w:lineRule="auto"/>
            </w:pPr>
            <w:r w:rsidRPr="00167CB8">
              <w:t>1.35</w:t>
            </w:r>
          </w:p>
        </w:tc>
        <w:tc>
          <w:tcPr>
            <w:tcW w:w="1620" w:type="dxa"/>
            <w:tcBorders>
              <w:top w:val="nil"/>
              <w:left w:val="nil"/>
              <w:bottom w:val="nil"/>
              <w:right w:val="nil"/>
            </w:tcBorders>
            <w:noWrap/>
            <w:vAlign w:val="bottom"/>
            <w:hideMark/>
          </w:tcPr>
          <w:p w14:paraId="3C6AC9AA" w14:textId="77777777" w:rsidR="007A6A1A" w:rsidRPr="00167CB8" w:rsidRDefault="007A6A1A" w:rsidP="00BD36B5">
            <w:pPr>
              <w:spacing w:after="0" w:line="240" w:lineRule="auto"/>
            </w:pPr>
            <w:r w:rsidRPr="00167CB8">
              <w:t>1.64</w:t>
            </w:r>
          </w:p>
        </w:tc>
        <w:tc>
          <w:tcPr>
            <w:tcW w:w="1503" w:type="dxa"/>
            <w:tcBorders>
              <w:top w:val="nil"/>
              <w:left w:val="nil"/>
              <w:bottom w:val="nil"/>
              <w:right w:val="nil"/>
            </w:tcBorders>
            <w:noWrap/>
            <w:vAlign w:val="bottom"/>
            <w:hideMark/>
          </w:tcPr>
          <w:p w14:paraId="67C75B24" w14:textId="77777777" w:rsidR="007A6A1A" w:rsidRPr="00167CB8" w:rsidRDefault="007A6A1A" w:rsidP="00BD36B5">
            <w:pPr>
              <w:spacing w:after="0" w:line="240" w:lineRule="auto"/>
            </w:pPr>
            <w:r w:rsidRPr="00167CB8">
              <w:t>0.51</w:t>
            </w:r>
          </w:p>
        </w:tc>
        <w:tc>
          <w:tcPr>
            <w:tcW w:w="1503" w:type="dxa"/>
            <w:tcBorders>
              <w:top w:val="nil"/>
              <w:left w:val="nil"/>
              <w:bottom w:val="nil"/>
              <w:right w:val="single" w:sz="4" w:space="0" w:color="auto"/>
            </w:tcBorders>
            <w:noWrap/>
            <w:vAlign w:val="bottom"/>
            <w:hideMark/>
          </w:tcPr>
          <w:p w14:paraId="660072DB" w14:textId="77777777" w:rsidR="007A6A1A" w:rsidRPr="00167CB8" w:rsidRDefault="007A6A1A" w:rsidP="00BD36B5">
            <w:pPr>
              <w:spacing w:after="0" w:line="240" w:lineRule="auto"/>
            </w:pPr>
            <w:r w:rsidRPr="00167CB8">
              <w:t>3.50</w:t>
            </w:r>
          </w:p>
        </w:tc>
      </w:tr>
      <w:tr w:rsidR="007A6A1A" w:rsidRPr="00167CB8" w14:paraId="75B219C5" w14:textId="77777777" w:rsidTr="00BD36B5">
        <w:trPr>
          <w:trHeight w:val="397"/>
        </w:trPr>
        <w:tc>
          <w:tcPr>
            <w:tcW w:w="2972" w:type="dxa"/>
            <w:tcBorders>
              <w:top w:val="nil"/>
              <w:left w:val="single" w:sz="4" w:space="0" w:color="auto"/>
              <w:bottom w:val="nil"/>
              <w:right w:val="nil"/>
            </w:tcBorders>
            <w:noWrap/>
            <w:vAlign w:val="bottom"/>
            <w:hideMark/>
          </w:tcPr>
          <w:p w14:paraId="3C87257C" w14:textId="77777777" w:rsidR="007A6A1A" w:rsidRPr="00167CB8" w:rsidRDefault="007A6A1A" w:rsidP="00BD36B5">
            <w:pPr>
              <w:spacing w:after="0" w:line="240" w:lineRule="auto"/>
            </w:pPr>
            <w:r w:rsidRPr="00167CB8">
              <w:t>% contribution over the year</w:t>
            </w:r>
          </w:p>
        </w:tc>
        <w:tc>
          <w:tcPr>
            <w:tcW w:w="1418" w:type="dxa"/>
            <w:tcBorders>
              <w:top w:val="nil"/>
              <w:left w:val="nil"/>
              <w:bottom w:val="nil"/>
              <w:right w:val="nil"/>
            </w:tcBorders>
            <w:noWrap/>
            <w:vAlign w:val="bottom"/>
          </w:tcPr>
          <w:p w14:paraId="27B5CD28" w14:textId="77777777" w:rsidR="007A6A1A" w:rsidRPr="00167CB8" w:rsidRDefault="007A6A1A" w:rsidP="00BD36B5">
            <w:pPr>
              <w:spacing w:after="0" w:line="240" w:lineRule="auto"/>
            </w:pPr>
          </w:p>
        </w:tc>
        <w:tc>
          <w:tcPr>
            <w:tcW w:w="1620" w:type="dxa"/>
            <w:tcBorders>
              <w:top w:val="nil"/>
              <w:left w:val="nil"/>
              <w:bottom w:val="nil"/>
              <w:right w:val="nil"/>
            </w:tcBorders>
            <w:noWrap/>
            <w:vAlign w:val="bottom"/>
          </w:tcPr>
          <w:p w14:paraId="048C3979" w14:textId="77777777" w:rsidR="007A6A1A" w:rsidRPr="00167CB8" w:rsidRDefault="007A6A1A" w:rsidP="00BD36B5">
            <w:pPr>
              <w:spacing w:after="0" w:line="240" w:lineRule="auto"/>
            </w:pPr>
          </w:p>
        </w:tc>
        <w:tc>
          <w:tcPr>
            <w:tcW w:w="1503" w:type="dxa"/>
            <w:tcBorders>
              <w:top w:val="nil"/>
              <w:left w:val="nil"/>
              <w:bottom w:val="nil"/>
              <w:right w:val="nil"/>
            </w:tcBorders>
            <w:noWrap/>
            <w:vAlign w:val="bottom"/>
          </w:tcPr>
          <w:p w14:paraId="12858471" w14:textId="77777777" w:rsidR="007A6A1A" w:rsidRPr="00167CB8" w:rsidRDefault="007A6A1A" w:rsidP="00BD36B5">
            <w:pPr>
              <w:spacing w:after="0" w:line="240" w:lineRule="auto"/>
            </w:pPr>
          </w:p>
        </w:tc>
        <w:tc>
          <w:tcPr>
            <w:tcW w:w="1503" w:type="dxa"/>
            <w:tcBorders>
              <w:top w:val="nil"/>
              <w:left w:val="nil"/>
              <w:bottom w:val="nil"/>
              <w:right w:val="single" w:sz="4" w:space="0" w:color="auto"/>
            </w:tcBorders>
            <w:noWrap/>
            <w:vAlign w:val="bottom"/>
          </w:tcPr>
          <w:p w14:paraId="2736A058" w14:textId="77777777" w:rsidR="007A6A1A" w:rsidRPr="00167CB8" w:rsidRDefault="007A6A1A" w:rsidP="00BD36B5">
            <w:pPr>
              <w:spacing w:after="0" w:line="240" w:lineRule="auto"/>
            </w:pPr>
          </w:p>
        </w:tc>
      </w:tr>
      <w:tr w:rsidR="007A6A1A" w:rsidRPr="00167CB8" w14:paraId="3563AC68" w14:textId="77777777" w:rsidTr="00BD36B5">
        <w:trPr>
          <w:trHeight w:val="397"/>
        </w:trPr>
        <w:tc>
          <w:tcPr>
            <w:tcW w:w="2972" w:type="dxa"/>
            <w:tcBorders>
              <w:top w:val="nil"/>
              <w:left w:val="single" w:sz="4" w:space="0" w:color="auto"/>
              <w:bottom w:val="nil"/>
              <w:right w:val="nil"/>
            </w:tcBorders>
            <w:noWrap/>
            <w:vAlign w:val="bottom"/>
            <w:hideMark/>
          </w:tcPr>
          <w:p w14:paraId="4C93978C" w14:textId="77777777" w:rsidR="007A6A1A" w:rsidRPr="00167CB8" w:rsidRDefault="007A6A1A" w:rsidP="00BD36B5">
            <w:pPr>
              <w:spacing w:after="0" w:line="240" w:lineRule="auto"/>
            </w:pPr>
            <w:r w:rsidRPr="00167CB8">
              <w:t>Dec-22 to Sep-23</w:t>
            </w:r>
          </w:p>
        </w:tc>
        <w:tc>
          <w:tcPr>
            <w:tcW w:w="1418" w:type="dxa"/>
            <w:tcBorders>
              <w:top w:val="nil"/>
              <w:left w:val="nil"/>
              <w:bottom w:val="nil"/>
              <w:right w:val="nil"/>
            </w:tcBorders>
            <w:noWrap/>
            <w:vAlign w:val="bottom"/>
            <w:hideMark/>
          </w:tcPr>
          <w:p w14:paraId="5529AECC" w14:textId="77777777" w:rsidR="007A6A1A" w:rsidRPr="00167CB8" w:rsidRDefault="007A6A1A" w:rsidP="00BD36B5">
            <w:pPr>
              <w:spacing w:after="0" w:line="240" w:lineRule="auto"/>
            </w:pPr>
            <w:r w:rsidRPr="00167CB8">
              <w:t>35.7%</w:t>
            </w:r>
          </w:p>
        </w:tc>
        <w:tc>
          <w:tcPr>
            <w:tcW w:w="1620" w:type="dxa"/>
            <w:tcBorders>
              <w:top w:val="nil"/>
              <w:left w:val="nil"/>
              <w:bottom w:val="nil"/>
              <w:right w:val="nil"/>
            </w:tcBorders>
            <w:noWrap/>
            <w:vAlign w:val="bottom"/>
            <w:hideMark/>
          </w:tcPr>
          <w:p w14:paraId="3B23B940" w14:textId="77777777" w:rsidR="007A6A1A" w:rsidRPr="00167CB8" w:rsidRDefault="007A6A1A" w:rsidP="00BD36B5">
            <w:pPr>
              <w:spacing w:after="0" w:line="240" w:lineRule="auto"/>
            </w:pPr>
            <w:r w:rsidRPr="00167CB8">
              <w:t>45.1%</w:t>
            </w:r>
          </w:p>
        </w:tc>
        <w:tc>
          <w:tcPr>
            <w:tcW w:w="1503" w:type="dxa"/>
            <w:tcBorders>
              <w:top w:val="nil"/>
              <w:left w:val="nil"/>
              <w:bottom w:val="nil"/>
              <w:right w:val="nil"/>
            </w:tcBorders>
            <w:noWrap/>
            <w:vAlign w:val="bottom"/>
            <w:hideMark/>
          </w:tcPr>
          <w:p w14:paraId="6486B0BA" w14:textId="77777777" w:rsidR="007A6A1A" w:rsidRPr="00167CB8" w:rsidRDefault="007A6A1A" w:rsidP="00BD36B5">
            <w:pPr>
              <w:spacing w:after="0" w:line="240" w:lineRule="auto"/>
            </w:pPr>
            <w:r w:rsidRPr="00167CB8">
              <w:t>19.2%</w:t>
            </w:r>
          </w:p>
        </w:tc>
        <w:tc>
          <w:tcPr>
            <w:tcW w:w="1503" w:type="dxa"/>
            <w:tcBorders>
              <w:top w:val="nil"/>
              <w:left w:val="nil"/>
              <w:bottom w:val="nil"/>
              <w:right w:val="single" w:sz="4" w:space="0" w:color="auto"/>
            </w:tcBorders>
            <w:noWrap/>
            <w:vAlign w:val="bottom"/>
            <w:hideMark/>
          </w:tcPr>
          <w:p w14:paraId="1E36BFAA" w14:textId="77777777" w:rsidR="007A6A1A" w:rsidRPr="00167CB8" w:rsidRDefault="007A6A1A" w:rsidP="00BD36B5">
            <w:pPr>
              <w:spacing w:after="0" w:line="240" w:lineRule="auto"/>
            </w:pPr>
            <w:r w:rsidRPr="00167CB8">
              <w:t>100%</w:t>
            </w:r>
          </w:p>
        </w:tc>
      </w:tr>
      <w:tr w:rsidR="007A6A1A" w:rsidRPr="00167CB8" w14:paraId="50D5907A" w14:textId="77777777" w:rsidTr="00BD36B5">
        <w:trPr>
          <w:trHeight w:val="397"/>
        </w:trPr>
        <w:tc>
          <w:tcPr>
            <w:tcW w:w="2972" w:type="dxa"/>
            <w:tcBorders>
              <w:top w:val="nil"/>
              <w:left w:val="single" w:sz="4" w:space="0" w:color="auto"/>
              <w:bottom w:val="single" w:sz="4" w:space="0" w:color="auto"/>
              <w:right w:val="nil"/>
            </w:tcBorders>
            <w:noWrap/>
            <w:vAlign w:val="bottom"/>
            <w:hideMark/>
          </w:tcPr>
          <w:p w14:paraId="4BD9EED7" w14:textId="77777777" w:rsidR="007A6A1A" w:rsidRPr="00167CB8" w:rsidRDefault="007A6A1A" w:rsidP="00BD36B5">
            <w:pPr>
              <w:spacing w:after="0" w:line="240" w:lineRule="auto"/>
            </w:pPr>
            <w:r w:rsidRPr="00167CB8">
              <w:t>Dec-23 to Sep-24</w:t>
            </w:r>
          </w:p>
        </w:tc>
        <w:tc>
          <w:tcPr>
            <w:tcW w:w="1418" w:type="dxa"/>
            <w:tcBorders>
              <w:top w:val="nil"/>
              <w:left w:val="nil"/>
              <w:bottom w:val="single" w:sz="4" w:space="0" w:color="auto"/>
              <w:right w:val="nil"/>
            </w:tcBorders>
            <w:noWrap/>
            <w:vAlign w:val="bottom"/>
            <w:hideMark/>
          </w:tcPr>
          <w:p w14:paraId="02AC9EE0" w14:textId="77777777" w:rsidR="007A6A1A" w:rsidRPr="00167CB8" w:rsidRDefault="007A6A1A" w:rsidP="00BD36B5">
            <w:pPr>
              <w:spacing w:after="0" w:line="240" w:lineRule="auto"/>
            </w:pPr>
            <w:r w:rsidRPr="00167CB8">
              <w:t>38.6%</w:t>
            </w:r>
          </w:p>
        </w:tc>
        <w:tc>
          <w:tcPr>
            <w:tcW w:w="1620" w:type="dxa"/>
            <w:tcBorders>
              <w:top w:val="nil"/>
              <w:left w:val="nil"/>
              <w:bottom w:val="single" w:sz="4" w:space="0" w:color="auto"/>
              <w:right w:val="nil"/>
            </w:tcBorders>
            <w:noWrap/>
            <w:vAlign w:val="bottom"/>
            <w:hideMark/>
          </w:tcPr>
          <w:p w14:paraId="3357B903" w14:textId="77777777" w:rsidR="007A6A1A" w:rsidRPr="00167CB8" w:rsidRDefault="007A6A1A" w:rsidP="00BD36B5">
            <w:pPr>
              <w:spacing w:after="0" w:line="240" w:lineRule="auto"/>
            </w:pPr>
            <w:r w:rsidRPr="00167CB8">
              <w:t>46.9%</w:t>
            </w:r>
          </w:p>
        </w:tc>
        <w:tc>
          <w:tcPr>
            <w:tcW w:w="1503" w:type="dxa"/>
            <w:tcBorders>
              <w:top w:val="nil"/>
              <w:left w:val="nil"/>
              <w:bottom w:val="single" w:sz="4" w:space="0" w:color="auto"/>
              <w:right w:val="nil"/>
            </w:tcBorders>
            <w:noWrap/>
            <w:vAlign w:val="bottom"/>
            <w:hideMark/>
          </w:tcPr>
          <w:p w14:paraId="4761866D" w14:textId="77777777" w:rsidR="007A6A1A" w:rsidRPr="00167CB8" w:rsidRDefault="007A6A1A" w:rsidP="00BD36B5">
            <w:pPr>
              <w:spacing w:after="0" w:line="240" w:lineRule="auto"/>
            </w:pPr>
            <w:r w:rsidRPr="00167CB8">
              <w:t>14.6%</w:t>
            </w:r>
          </w:p>
        </w:tc>
        <w:tc>
          <w:tcPr>
            <w:tcW w:w="1503" w:type="dxa"/>
            <w:tcBorders>
              <w:top w:val="nil"/>
              <w:left w:val="nil"/>
              <w:bottom w:val="single" w:sz="4" w:space="0" w:color="auto"/>
              <w:right w:val="single" w:sz="4" w:space="0" w:color="auto"/>
            </w:tcBorders>
            <w:noWrap/>
            <w:vAlign w:val="bottom"/>
            <w:hideMark/>
          </w:tcPr>
          <w:p w14:paraId="036EE861" w14:textId="77777777" w:rsidR="007A6A1A" w:rsidRPr="00167CB8" w:rsidRDefault="007A6A1A" w:rsidP="00BD36B5">
            <w:pPr>
              <w:spacing w:after="0" w:line="240" w:lineRule="auto"/>
            </w:pPr>
            <w:r w:rsidRPr="00167CB8">
              <w:t>100%</w:t>
            </w:r>
          </w:p>
        </w:tc>
      </w:tr>
    </w:tbl>
    <w:p w14:paraId="2C147DDA" w14:textId="77777777" w:rsidR="007A6A1A" w:rsidRPr="00167CB8" w:rsidRDefault="007A6A1A" w:rsidP="00C87E4A">
      <w:pPr>
        <w:pStyle w:val="Source"/>
      </w:pPr>
      <w:r w:rsidRPr="00167CB8">
        <w:rPr>
          <w:b/>
          <w:bCs/>
        </w:rPr>
        <w:t>Source:</w:t>
      </w:r>
      <w:r w:rsidRPr="00167CB8">
        <w:t xml:space="preserve"> ABS 6345.0 Wage Price Index, Australia, original.</w:t>
      </w:r>
    </w:p>
    <w:p w14:paraId="36A9FB02" w14:textId="77777777" w:rsidR="007A6A1A" w:rsidRPr="00167CB8" w:rsidRDefault="007A6A1A" w:rsidP="00C87E4A">
      <w:pPr>
        <w:pStyle w:val="Source"/>
      </w:pPr>
      <w:r w:rsidRPr="00167CB8">
        <w:rPr>
          <w:b/>
          <w:bCs/>
        </w:rPr>
        <w:t>Alt-text:</w:t>
      </w:r>
      <w:r w:rsidRPr="00167CB8">
        <w:t xml:space="preserve"> A table showing the contributions of method of pay setting to total growth in hourly wages. In the year to September 2024 wages grew by 3.5%. The final row in the table shows that 38.6% of this 3.5% growth came from wage increases in enterprise agreements, 46.9% from wage increases in individual arrangements and 14.6% from wage increases in awards.</w:t>
      </w:r>
    </w:p>
    <w:p w14:paraId="320F5E09" w14:textId="77777777" w:rsidR="007A6A1A" w:rsidRPr="00167CB8" w:rsidRDefault="007A6A1A" w:rsidP="007A6A1A">
      <w:pPr>
        <w:spacing w:after="160"/>
      </w:pPr>
      <w:r w:rsidRPr="00167CB8">
        <w:br w:type="page"/>
      </w:r>
    </w:p>
    <w:p w14:paraId="12973EBD" w14:textId="77777777" w:rsidR="007A6A1A" w:rsidRPr="00167CB8" w:rsidRDefault="007A6A1A" w:rsidP="00650687">
      <w:pPr>
        <w:pStyle w:val="Heading4"/>
      </w:pPr>
      <w:bookmarkStart w:id="765" w:name="_Toc186991767"/>
      <w:bookmarkStart w:id="766" w:name="_Toc189393671"/>
      <w:r w:rsidRPr="00167CB8">
        <w:lastRenderedPageBreak/>
        <w:t>3.2 Average weekly ordinary time earnings (AWOTE) data</w:t>
      </w:r>
      <w:bookmarkEnd w:id="765"/>
      <w:bookmarkEnd w:id="766"/>
    </w:p>
    <w:p w14:paraId="4F4E865E" w14:textId="78550479" w:rsidR="007A6A1A" w:rsidRPr="00167CB8" w:rsidRDefault="007A6A1A" w:rsidP="007A6A1A">
      <w:pPr>
        <w:spacing w:after="160"/>
      </w:pPr>
      <w:r w:rsidRPr="00167CB8">
        <w:t xml:space="preserve">This section describes wage trends and outcomes using data from the Average Weekly Earnings (AWE) bi-annual survey of business units (ABS Cat No 6302.0). The latest release (at the time of writing) is for May 2024. November 2024 estimates will be released </w:t>
      </w:r>
      <w:r w:rsidR="00C87E4A" w:rsidRPr="00167CB8">
        <w:t xml:space="preserve">on </w:t>
      </w:r>
      <w:r w:rsidRPr="00167CB8">
        <w:t>20</w:t>
      </w:r>
      <w:r w:rsidR="00C87E4A" w:rsidRPr="00167CB8">
        <w:t xml:space="preserve"> February </w:t>
      </w:r>
      <w:r w:rsidRPr="00167CB8">
        <w:t>2025.</w:t>
      </w:r>
    </w:p>
    <w:p w14:paraId="12859659" w14:textId="741D5938" w:rsidR="007A6A1A" w:rsidRPr="00167CB8" w:rsidRDefault="00057907" w:rsidP="007A6A1A">
      <w:pPr>
        <w:spacing w:after="160"/>
      </w:pPr>
      <w:r>
        <w:t>Figure 38</w:t>
      </w:r>
      <w:r w:rsidR="007A6A1A" w:rsidRPr="00167CB8">
        <w:t xml:space="preserve"> focus</w:t>
      </w:r>
      <w:r w:rsidR="00B66F62" w:rsidRPr="00167CB8">
        <w:t>es</w:t>
      </w:r>
      <w:r w:rsidR="007A6A1A" w:rsidRPr="00167CB8">
        <w:t xml:space="preserve"> on trends in the average weekly ordinary time earnings (AWOTE) of adult men and women employed full-time. Two versions of the gender wage gap (GWG) are provided for comparison purposes. The conventional measure (using male wages as the denominator) shows how much male earnings need to fall for gender equality to be achieved. The gap using female wages as the denominator (showing how much female wages need to increase for equality to be achieved) is also reported but not the focus of discussion. </w:t>
      </w:r>
    </w:p>
    <w:p w14:paraId="29E591C6" w14:textId="5D74B047" w:rsidR="00057907" w:rsidRDefault="007A6A1A" w:rsidP="00057907">
      <w:pPr>
        <w:spacing w:after="160"/>
      </w:pPr>
      <w:r w:rsidRPr="00167CB8">
        <w:t xml:space="preserve">The </w:t>
      </w:r>
      <w:r w:rsidRPr="00057907">
        <w:t xml:space="preserve">estimates in </w:t>
      </w:r>
      <w:r w:rsidR="001E18D4" w:rsidRPr="00057907">
        <w:t xml:space="preserve">Figure </w:t>
      </w:r>
      <w:r w:rsidR="00057907" w:rsidRPr="00057907">
        <w:t>38</w:t>
      </w:r>
      <w:r w:rsidRPr="00057907">
        <w:t xml:space="preserve"> show that</w:t>
      </w:r>
      <w:r w:rsidRPr="00167CB8">
        <w:t xml:space="preserve"> since November 2022 AWOTE of adults employed full-time has grown faster among women than men.</w:t>
      </w:r>
    </w:p>
    <w:p w14:paraId="1668B975" w14:textId="5EDA37BE" w:rsidR="007A6A1A" w:rsidRPr="00167CB8" w:rsidRDefault="007A6A1A" w:rsidP="00470AB9">
      <w:pPr>
        <w:pStyle w:val="Caption"/>
      </w:pPr>
      <w:bookmarkStart w:id="767" w:name="_Ref184404842"/>
      <w:bookmarkStart w:id="768" w:name="_Toc186991793"/>
      <w:bookmarkStart w:id="769" w:name="_Toc189310826"/>
      <w:r w:rsidRPr="00167CB8">
        <w:t xml:space="preserve">Figure </w:t>
      </w:r>
      <w:r w:rsidR="003F3BDB" w:rsidRPr="00167CB8">
        <w:t>38</w:t>
      </w:r>
      <w:bookmarkEnd w:id="767"/>
      <w:r w:rsidRPr="00167CB8">
        <w:t xml:space="preserve">: Trends in AWOTE of men and women and in the </w:t>
      </w:r>
      <w:bookmarkEnd w:id="768"/>
      <w:r w:rsidR="00C87E4A" w:rsidRPr="00167CB8">
        <w:t>GWG</w:t>
      </w:r>
      <w:bookmarkEnd w:id="769"/>
    </w:p>
    <w:p w14:paraId="4A9F89EE" w14:textId="77777777" w:rsidR="007A6A1A" w:rsidRPr="00167CB8" w:rsidRDefault="007A6A1A" w:rsidP="007A6A1A">
      <w:pPr>
        <w:spacing w:after="160"/>
      </w:pPr>
      <w:r w:rsidRPr="00167CB8">
        <w:rPr>
          <w:noProof/>
        </w:rPr>
        <w:drawing>
          <wp:inline distT="0" distB="0" distL="0" distR="0" wp14:anchorId="449B89E4" wp14:editId="1E05BB49">
            <wp:extent cx="5731510" cy="3750945"/>
            <wp:effectExtent l="0" t="0" r="2540" b="1905"/>
            <wp:docPr id="769198433" name="Picture 4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98433" name="Picture 48" descr="A graph of a number of people&#10;&#10;Description automatically generated with medium confidenc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657B53CA" w14:textId="77777777" w:rsidR="007A6A1A" w:rsidRPr="00167CB8" w:rsidRDefault="007A6A1A" w:rsidP="00C87E4A">
      <w:pPr>
        <w:pStyle w:val="Source"/>
      </w:pPr>
      <w:r w:rsidRPr="00167CB8">
        <w:rPr>
          <w:b/>
          <w:bCs/>
        </w:rPr>
        <w:t>Source:</w:t>
      </w:r>
      <w:r w:rsidRPr="00167CB8">
        <w:t xml:space="preserve"> ABS 6302.0 Average Weekly Earnings, Australia, Table 2 (seasonally adjusted).</w:t>
      </w:r>
    </w:p>
    <w:p w14:paraId="08B3DC07" w14:textId="77777777" w:rsidR="007A6A1A" w:rsidRPr="00167CB8" w:rsidRDefault="007A6A1A" w:rsidP="00C87E4A">
      <w:pPr>
        <w:pStyle w:val="Source"/>
      </w:pPr>
      <w:r w:rsidRPr="00167CB8">
        <w:rPr>
          <w:b/>
          <w:bCs/>
        </w:rPr>
        <w:t>Alt-text:</w:t>
      </w:r>
      <w:r w:rsidRPr="00167CB8">
        <w:t xml:space="preserve"> A combination graph showing trends in average weekly ordinary time earnings of adults employed full-time and trends in the gender wage gap (GWG). The dashed GWG line shows gender differences in wages expressed as a share of male earnings. At May 2024 the GWG was equal to 11%, down from the peak of 19% in November 2014.</w:t>
      </w:r>
    </w:p>
    <w:p w14:paraId="2A9F97B7" w14:textId="77777777" w:rsidR="00A43DFA" w:rsidRDefault="00A43DFA">
      <w:pPr>
        <w:spacing w:after="160"/>
      </w:pPr>
      <w:r>
        <w:br w:type="page"/>
      </w:r>
    </w:p>
    <w:p w14:paraId="6896F119" w14:textId="111AD098" w:rsidR="00057907" w:rsidRDefault="00057907" w:rsidP="00057907">
      <w:pPr>
        <w:spacing w:after="160"/>
      </w:pPr>
      <w:r>
        <w:lastRenderedPageBreak/>
        <w:t xml:space="preserve">Table 42 </w:t>
      </w:r>
      <w:r w:rsidRPr="00167CB8">
        <w:t>summarises the changes</w:t>
      </w:r>
      <w:r w:rsidR="00825B4E">
        <w:t xml:space="preserve"> in Figure 38</w:t>
      </w:r>
      <w:r w:rsidRPr="00167CB8">
        <w:t xml:space="preserve">. </w:t>
      </w:r>
      <w:r w:rsidR="00825B4E" w:rsidRPr="00167CB8">
        <w:t>The net effect (in terms of raw wages) is that the GWG has narrowed</w:t>
      </w:r>
      <w:r w:rsidR="00825B4E">
        <w:t xml:space="preserve"> (both measures).</w:t>
      </w:r>
      <w:r w:rsidRPr="00167CB8">
        <w:t xml:space="preserve"> At May 2024 the raw GWG based on AWOTE was 11%, significantly lower than the 19% observed in November 2014.  </w:t>
      </w:r>
    </w:p>
    <w:p w14:paraId="01AC3CEE" w14:textId="1F4C30B9" w:rsidR="00057907" w:rsidRPr="00167CB8" w:rsidRDefault="00057907" w:rsidP="00057907">
      <w:pPr>
        <w:pStyle w:val="Caption"/>
      </w:pPr>
      <w:bookmarkStart w:id="770" w:name="_Ref184404883"/>
      <w:bookmarkStart w:id="771" w:name="_Ref186906097"/>
      <w:bookmarkStart w:id="772" w:name="_Toc186991820"/>
      <w:bookmarkStart w:id="773" w:name="_Toc189310871"/>
      <w:r w:rsidRPr="00167CB8">
        <w:t>Table 42</w:t>
      </w:r>
      <w:bookmarkEnd w:id="770"/>
      <w:bookmarkEnd w:id="771"/>
      <w:r w:rsidRPr="00167CB8">
        <w:t>: Changes in AWOTE and GWG since 2022</w:t>
      </w:r>
      <w:bookmarkEnd w:id="772"/>
      <w:bookmarkEnd w:id="773"/>
    </w:p>
    <w:tbl>
      <w:tblPr>
        <w:tblW w:w="92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2"/>
        <w:gridCol w:w="1879"/>
        <w:gridCol w:w="1879"/>
        <w:gridCol w:w="1879"/>
      </w:tblGrid>
      <w:tr w:rsidR="00057907" w:rsidRPr="00167CB8" w14:paraId="067519F7" w14:textId="77777777" w:rsidTr="007E4977">
        <w:trPr>
          <w:trHeight w:val="317"/>
        </w:trPr>
        <w:tc>
          <w:tcPr>
            <w:tcW w:w="3572" w:type="dxa"/>
            <w:tcBorders>
              <w:top w:val="single" w:sz="4" w:space="0" w:color="auto"/>
              <w:left w:val="single" w:sz="4" w:space="0" w:color="auto"/>
              <w:bottom w:val="single" w:sz="4" w:space="0" w:color="auto"/>
              <w:right w:val="nil"/>
            </w:tcBorders>
            <w:noWrap/>
            <w:vAlign w:val="bottom"/>
          </w:tcPr>
          <w:p w14:paraId="47AA18B4" w14:textId="77777777" w:rsidR="00057907" w:rsidRPr="00167CB8" w:rsidRDefault="00057907" w:rsidP="007E4977">
            <w:pPr>
              <w:spacing w:after="160"/>
              <w:rPr>
                <w:b/>
                <w:bCs/>
              </w:rPr>
            </w:pPr>
          </w:p>
        </w:tc>
        <w:tc>
          <w:tcPr>
            <w:tcW w:w="1879" w:type="dxa"/>
            <w:tcBorders>
              <w:top w:val="single" w:sz="4" w:space="0" w:color="auto"/>
              <w:left w:val="nil"/>
              <w:bottom w:val="single" w:sz="4" w:space="0" w:color="auto"/>
              <w:right w:val="nil"/>
            </w:tcBorders>
            <w:noWrap/>
            <w:vAlign w:val="bottom"/>
            <w:hideMark/>
          </w:tcPr>
          <w:p w14:paraId="63828B9B" w14:textId="77777777" w:rsidR="00057907" w:rsidRPr="00167CB8" w:rsidRDefault="00057907" w:rsidP="007E4977">
            <w:pPr>
              <w:spacing w:after="160"/>
              <w:rPr>
                <w:b/>
                <w:bCs/>
              </w:rPr>
            </w:pPr>
            <w:r w:rsidRPr="00167CB8">
              <w:rPr>
                <w:b/>
                <w:bCs/>
              </w:rPr>
              <w:t>Earnings; males; full-time; adult; ordinary time earnings</w:t>
            </w:r>
          </w:p>
        </w:tc>
        <w:tc>
          <w:tcPr>
            <w:tcW w:w="1879" w:type="dxa"/>
            <w:tcBorders>
              <w:top w:val="single" w:sz="4" w:space="0" w:color="auto"/>
              <w:left w:val="nil"/>
              <w:bottom w:val="single" w:sz="4" w:space="0" w:color="auto"/>
              <w:right w:val="nil"/>
            </w:tcBorders>
            <w:noWrap/>
            <w:vAlign w:val="bottom"/>
            <w:hideMark/>
          </w:tcPr>
          <w:p w14:paraId="22329E77" w14:textId="77777777" w:rsidR="00057907" w:rsidRPr="00167CB8" w:rsidRDefault="00057907" w:rsidP="007E4977">
            <w:pPr>
              <w:spacing w:after="160"/>
              <w:rPr>
                <w:b/>
                <w:bCs/>
              </w:rPr>
            </w:pPr>
            <w:r w:rsidRPr="00167CB8">
              <w:rPr>
                <w:b/>
                <w:bCs/>
              </w:rPr>
              <w:t>Earnings; females; full-time; adult; ordinary time earnings</w:t>
            </w:r>
          </w:p>
        </w:tc>
        <w:tc>
          <w:tcPr>
            <w:tcW w:w="1879" w:type="dxa"/>
            <w:tcBorders>
              <w:top w:val="single" w:sz="4" w:space="0" w:color="auto"/>
              <w:left w:val="nil"/>
              <w:bottom w:val="single" w:sz="4" w:space="0" w:color="auto"/>
              <w:right w:val="single" w:sz="4" w:space="0" w:color="auto"/>
            </w:tcBorders>
            <w:noWrap/>
            <w:vAlign w:val="bottom"/>
            <w:hideMark/>
          </w:tcPr>
          <w:p w14:paraId="0AF5F6F4" w14:textId="77777777" w:rsidR="00057907" w:rsidRPr="00167CB8" w:rsidRDefault="00057907" w:rsidP="007E4977">
            <w:pPr>
              <w:spacing w:after="160"/>
              <w:rPr>
                <w:b/>
                <w:bCs/>
              </w:rPr>
            </w:pPr>
            <w:r w:rsidRPr="00167CB8">
              <w:rPr>
                <w:b/>
                <w:bCs/>
              </w:rPr>
              <w:t xml:space="preserve">GWG % </w:t>
            </w:r>
          </w:p>
          <w:p w14:paraId="190F9934" w14:textId="77777777" w:rsidR="00057907" w:rsidRPr="00167CB8" w:rsidRDefault="00057907" w:rsidP="007E4977">
            <w:pPr>
              <w:spacing w:after="160"/>
              <w:rPr>
                <w:b/>
                <w:bCs/>
              </w:rPr>
            </w:pPr>
            <w:r w:rsidRPr="00167CB8">
              <w:rPr>
                <w:b/>
                <w:bCs/>
              </w:rPr>
              <w:t>[(M-F/M)*100)]</w:t>
            </w:r>
          </w:p>
        </w:tc>
      </w:tr>
      <w:tr w:rsidR="00057907" w:rsidRPr="00167CB8" w14:paraId="3D02EADF" w14:textId="77777777" w:rsidTr="007E4977">
        <w:trPr>
          <w:trHeight w:val="317"/>
        </w:trPr>
        <w:tc>
          <w:tcPr>
            <w:tcW w:w="3572" w:type="dxa"/>
            <w:tcBorders>
              <w:top w:val="single" w:sz="4" w:space="0" w:color="auto"/>
              <w:left w:val="single" w:sz="4" w:space="0" w:color="auto"/>
              <w:bottom w:val="nil"/>
              <w:right w:val="nil"/>
            </w:tcBorders>
            <w:noWrap/>
            <w:vAlign w:val="bottom"/>
            <w:hideMark/>
          </w:tcPr>
          <w:p w14:paraId="5571C370" w14:textId="77777777" w:rsidR="00057907" w:rsidRPr="00167CB8" w:rsidRDefault="00057907" w:rsidP="007E4977">
            <w:pPr>
              <w:spacing w:after="160"/>
            </w:pPr>
            <w:r w:rsidRPr="00167CB8">
              <w:t>Nov 22 to May 2024</w:t>
            </w:r>
          </w:p>
        </w:tc>
        <w:tc>
          <w:tcPr>
            <w:tcW w:w="1879" w:type="dxa"/>
            <w:tcBorders>
              <w:top w:val="single" w:sz="4" w:space="0" w:color="auto"/>
              <w:left w:val="nil"/>
              <w:bottom w:val="nil"/>
              <w:right w:val="nil"/>
            </w:tcBorders>
            <w:noWrap/>
            <w:vAlign w:val="bottom"/>
            <w:hideMark/>
          </w:tcPr>
          <w:p w14:paraId="08638E10" w14:textId="77777777" w:rsidR="00057907" w:rsidRPr="00167CB8" w:rsidRDefault="00057907" w:rsidP="007E4977">
            <w:pPr>
              <w:spacing w:after="160"/>
            </w:pPr>
            <w:r w:rsidRPr="00167CB8">
              <w:t>5.6%</w:t>
            </w:r>
          </w:p>
        </w:tc>
        <w:tc>
          <w:tcPr>
            <w:tcW w:w="1879" w:type="dxa"/>
            <w:tcBorders>
              <w:top w:val="single" w:sz="4" w:space="0" w:color="auto"/>
              <w:left w:val="nil"/>
              <w:bottom w:val="nil"/>
              <w:right w:val="nil"/>
            </w:tcBorders>
            <w:noWrap/>
            <w:vAlign w:val="bottom"/>
            <w:hideMark/>
          </w:tcPr>
          <w:p w14:paraId="6E4D9E47" w14:textId="77777777" w:rsidR="00057907" w:rsidRPr="00167CB8" w:rsidRDefault="00057907" w:rsidP="007E4977">
            <w:pPr>
              <w:spacing w:after="160"/>
            </w:pPr>
            <w:r w:rsidRPr="00167CB8">
              <w:t>7.8%</w:t>
            </w:r>
          </w:p>
        </w:tc>
        <w:tc>
          <w:tcPr>
            <w:tcW w:w="1879" w:type="dxa"/>
            <w:tcBorders>
              <w:top w:val="single" w:sz="4" w:space="0" w:color="auto"/>
              <w:left w:val="nil"/>
              <w:bottom w:val="nil"/>
              <w:right w:val="single" w:sz="4" w:space="0" w:color="auto"/>
            </w:tcBorders>
            <w:noWrap/>
            <w:vAlign w:val="bottom"/>
            <w:hideMark/>
          </w:tcPr>
          <w:p w14:paraId="32BDF8EA" w14:textId="77777777" w:rsidR="00057907" w:rsidRPr="00167CB8" w:rsidRDefault="00057907" w:rsidP="007E4977">
            <w:pPr>
              <w:spacing w:after="160"/>
            </w:pPr>
            <w:r w:rsidRPr="00167CB8">
              <w:t>-2%</w:t>
            </w:r>
          </w:p>
        </w:tc>
      </w:tr>
      <w:tr w:rsidR="00057907" w:rsidRPr="00167CB8" w14:paraId="17E751D7" w14:textId="77777777" w:rsidTr="007E4977">
        <w:trPr>
          <w:trHeight w:val="317"/>
        </w:trPr>
        <w:tc>
          <w:tcPr>
            <w:tcW w:w="3572" w:type="dxa"/>
            <w:tcBorders>
              <w:top w:val="nil"/>
              <w:left w:val="single" w:sz="4" w:space="0" w:color="auto"/>
              <w:bottom w:val="nil"/>
              <w:right w:val="nil"/>
            </w:tcBorders>
            <w:noWrap/>
            <w:vAlign w:val="bottom"/>
            <w:hideMark/>
          </w:tcPr>
          <w:p w14:paraId="33F939E4" w14:textId="77777777" w:rsidR="00057907" w:rsidRPr="00167CB8" w:rsidRDefault="00057907" w:rsidP="007E4977">
            <w:pPr>
              <w:spacing w:after="160"/>
            </w:pPr>
            <w:r>
              <w:t>Y</w:t>
            </w:r>
            <w:r w:rsidRPr="00167CB8">
              <w:t>ear to May 2023</w:t>
            </w:r>
          </w:p>
        </w:tc>
        <w:tc>
          <w:tcPr>
            <w:tcW w:w="1879" w:type="dxa"/>
            <w:tcBorders>
              <w:top w:val="nil"/>
              <w:left w:val="nil"/>
              <w:bottom w:val="nil"/>
              <w:right w:val="nil"/>
            </w:tcBorders>
            <w:noWrap/>
            <w:vAlign w:val="bottom"/>
            <w:hideMark/>
          </w:tcPr>
          <w:p w14:paraId="7B2EA13D" w14:textId="77777777" w:rsidR="00057907" w:rsidRPr="00167CB8" w:rsidRDefault="00057907" w:rsidP="007E4977">
            <w:pPr>
              <w:spacing w:after="160"/>
            </w:pPr>
            <w:r w:rsidRPr="00167CB8">
              <w:t>3.5%</w:t>
            </w:r>
          </w:p>
        </w:tc>
        <w:tc>
          <w:tcPr>
            <w:tcW w:w="1879" w:type="dxa"/>
            <w:tcBorders>
              <w:top w:val="nil"/>
              <w:left w:val="nil"/>
              <w:bottom w:val="nil"/>
              <w:right w:val="nil"/>
            </w:tcBorders>
            <w:noWrap/>
            <w:vAlign w:val="bottom"/>
            <w:hideMark/>
          </w:tcPr>
          <w:p w14:paraId="46EC90F4" w14:textId="77777777" w:rsidR="00057907" w:rsidRPr="00167CB8" w:rsidRDefault="00057907" w:rsidP="007E4977">
            <w:pPr>
              <w:spacing w:after="160"/>
            </w:pPr>
            <w:r w:rsidRPr="00167CB8">
              <w:t>4.8%</w:t>
            </w:r>
          </w:p>
        </w:tc>
        <w:tc>
          <w:tcPr>
            <w:tcW w:w="1879" w:type="dxa"/>
            <w:tcBorders>
              <w:top w:val="nil"/>
              <w:left w:val="nil"/>
              <w:bottom w:val="nil"/>
              <w:right w:val="single" w:sz="4" w:space="0" w:color="auto"/>
            </w:tcBorders>
            <w:noWrap/>
            <w:vAlign w:val="bottom"/>
            <w:hideMark/>
          </w:tcPr>
          <w:p w14:paraId="7C81BAC7" w14:textId="77777777" w:rsidR="00057907" w:rsidRPr="00167CB8" w:rsidRDefault="00057907" w:rsidP="007E4977">
            <w:pPr>
              <w:spacing w:after="160"/>
            </w:pPr>
            <w:r w:rsidRPr="00167CB8">
              <w:t>-1%</w:t>
            </w:r>
          </w:p>
        </w:tc>
      </w:tr>
      <w:tr w:rsidR="00057907" w:rsidRPr="00167CB8" w14:paraId="1B7DDD9E" w14:textId="77777777" w:rsidTr="007E4977">
        <w:trPr>
          <w:trHeight w:val="317"/>
        </w:trPr>
        <w:tc>
          <w:tcPr>
            <w:tcW w:w="3572" w:type="dxa"/>
            <w:tcBorders>
              <w:top w:val="nil"/>
              <w:left w:val="single" w:sz="4" w:space="0" w:color="auto"/>
              <w:bottom w:val="single" w:sz="4" w:space="0" w:color="auto"/>
              <w:right w:val="nil"/>
            </w:tcBorders>
            <w:noWrap/>
            <w:vAlign w:val="bottom"/>
            <w:hideMark/>
          </w:tcPr>
          <w:p w14:paraId="203B6E2A" w14:textId="77777777" w:rsidR="00057907" w:rsidRPr="00167CB8" w:rsidRDefault="00057907" w:rsidP="007E4977">
            <w:pPr>
              <w:spacing w:after="160"/>
            </w:pPr>
            <w:r w:rsidRPr="00167CB8">
              <w:t>Year to May 2024</w:t>
            </w:r>
          </w:p>
        </w:tc>
        <w:tc>
          <w:tcPr>
            <w:tcW w:w="1879" w:type="dxa"/>
            <w:tcBorders>
              <w:top w:val="nil"/>
              <w:left w:val="nil"/>
              <w:bottom w:val="single" w:sz="4" w:space="0" w:color="auto"/>
              <w:right w:val="nil"/>
            </w:tcBorders>
            <w:noWrap/>
            <w:vAlign w:val="bottom"/>
            <w:hideMark/>
          </w:tcPr>
          <w:p w14:paraId="22FDF88F" w14:textId="77777777" w:rsidR="00057907" w:rsidRPr="00167CB8" w:rsidRDefault="00057907" w:rsidP="007E4977">
            <w:pPr>
              <w:spacing w:after="160"/>
            </w:pPr>
            <w:r w:rsidRPr="00167CB8">
              <w:t>3.9%</w:t>
            </w:r>
          </w:p>
        </w:tc>
        <w:tc>
          <w:tcPr>
            <w:tcW w:w="1879" w:type="dxa"/>
            <w:tcBorders>
              <w:top w:val="nil"/>
              <w:left w:val="nil"/>
              <w:bottom w:val="single" w:sz="4" w:space="0" w:color="auto"/>
              <w:right w:val="nil"/>
            </w:tcBorders>
            <w:noWrap/>
            <w:vAlign w:val="bottom"/>
            <w:hideMark/>
          </w:tcPr>
          <w:p w14:paraId="04353B61" w14:textId="77777777" w:rsidR="00057907" w:rsidRPr="00167CB8" w:rsidRDefault="00057907" w:rsidP="007E4977">
            <w:pPr>
              <w:spacing w:after="160"/>
            </w:pPr>
            <w:r w:rsidRPr="00167CB8">
              <w:t>5.7%</w:t>
            </w:r>
          </w:p>
        </w:tc>
        <w:tc>
          <w:tcPr>
            <w:tcW w:w="1879" w:type="dxa"/>
            <w:tcBorders>
              <w:top w:val="nil"/>
              <w:left w:val="nil"/>
              <w:bottom w:val="single" w:sz="4" w:space="0" w:color="auto"/>
              <w:right w:val="single" w:sz="4" w:space="0" w:color="auto"/>
            </w:tcBorders>
            <w:noWrap/>
            <w:vAlign w:val="bottom"/>
            <w:hideMark/>
          </w:tcPr>
          <w:p w14:paraId="093398E9" w14:textId="77777777" w:rsidR="00057907" w:rsidRPr="00167CB8" w:rsidRDefault="00057907" w:rsidP="007E4977">
            <w:pPr>
              <w:spacing w:after="160"/>
            </w:pPr>
            <w:r w:rsidRPr="00167CB8">
              <w:t>-2%</w:t>
            </w:r>
          </w:p>
        </w:tc>
      </w:tr>
    </w:tbl>
    <w:p w14:paraId="46ABA800" w14:textId="77777777" w:rsidR="00057907" w:rsidRPr="00167CB8" w:rsidRDefault="00057907" w:rsidP="00057907">
      <w:pPr>
        <w:pStyle w:val="Source"/>
      </w:pPr>
      <w:r w:rsidRPr="00167CB8">
        <w:rPr>
          <w:b/>
          <w:bCs/>
        </w:rPr>
        <w:t>Source:</w:t>
      </w:r>
      <w:r w:rsidRPr="00167CB8">
        <w:t xml:space="preserve"> ABS 6302.0 Average Weekly Earnings, Australia, Table 2 (seasonally adjusted).</w:t>
      </w:r>
    </w:p>
    <w:p w14:paraId="58DCA9EF" w14:textId="77777777" w:rsidR="00A43DFA" w:rsidRPr="00A43DFA" w:rsidRDefault="00057907" w:rsidP="00057907">
      <w:pPr>
        <w:spacing w:after="160"/>
        <w:rPr>
          <w:sz w:val="18"/>
          <w:szCs w:val="18"/>
        </w:rPr>
      </w:pPr>
      <w:r w:rsidRPr="00A43DFA">
        <w:rPr>
          <w:b/>
          <w:bCs/>
          <w:sz w:val="18"/>
          <w:szCs w:val="18"/>
        </w:rPr>
        <w:t>Alt-text:</w:t>
      </w:r>
      <w:r w:rsidRPr="00A43DFA">
        <w:rPr>
          <w:sz w:val="18"/>
          <w:szCs w:val="18"/>
        </w:rPr>
        <w:t xml:space="preserve"> A table showing changes in AWOTE and the GWG since late (November) 2022. AWOTE of women has increased at a faster rate than male AWOTE. </w:t>
      </w:r>
    </w:p>
    <w:p w14:paraId="79B9C291" w14:textId="77777777" w:rsidR="00A43DFA" w:rsidRDefault="00A43DFA" w:rsidP="00057907">
      <w:pPr>
        <w:spacing w:after="160"/>
      </w:pPr>
    </w:p>
    <w:p w14:paraId="00C8B644" w14:textId="4C01E7BA" w:rsidR="007A6A1A" w:rsidRPr="00167CB8" w:rsidRDefault="00A43DFA" w:rsidP="00057907">
      <w:pPr>
        <w:spacing w:after="160"/>
      </w:pPr>
      <w:r w:rsidRPr="00167CB8">
        <w:t>It</w:t>
      </w:r>
      <w:r w:rsidR="007A6A1A" w:rsidRPr="00167CB8">
        <w:t xml:space="preserve"> is important to note that the AWOTE measure (and associated GWG) may be affected by compositional shifts in the labour market. For example, if tertiary educated women were to join the labour market at a faster rate than similarly educated men and if qualifications correlated with wages then the ‘raw’ (or unadjusted) wages of women could be expected to grow faster than the corresponding growth in male wages. For this reason</w:t>
      </w:r>
      <w:r w:rsidR="00111351" w:rsidRPr="00167CB8">
        <w:t>,</w:t>
      </w:r>
      <w:r w:rsidR="007A6A1A" w:rsidRPr="00167CB8">
        <w:t xml:space="preserve"> economists often talk about the ‘raw’ gender wage gap and the ‘adjusted’ gender wage gap. The adjusted gender wage gap accounts for compositional shifts in the workforce. The estimates based on ABS </w:t>
      </w:r>
      <w:r w:rsidR="00F13213">
        <w:rPr>
          <w:i/>
          <w:iCs/>
        </w:rPr>
        <w:t xml:space="preserve">Average Weekly Earnings </w:t>
      </w:r>
      <w:r w:rsidR="007A6A1A" w:rsidRPr="00167CB8">
        <w:t>data show raw measures.</w:t>
      </w:r>
    </w:p>
    <w:p w14:paraId="56BA8CB3" w14:textId="237642DE" w:rsidR="007A6A1A" w:rsidRPr="00167CB8" w:rsidRDefault="007A6A1A" w:rsidP="007A6A1A">
      <w:pPr>
        <w:spacing w:after="160"/>
      </w:pPr>
      <w:r w:rsidRPr="00167CB8">
        <w:t xml:space="preserve">Ideally the wage measure would be the AWOTE of all employees and not just full-timers, particularly given the large share of women who work part-time. The ABS </w:t>
      </w:r>
      <w:r w:rsidRPr="00F13213">
        <w:rPr>
          <w:i/>
          <w:iCs/>
        </w:rPr>
        <w:t xml:space="preserve">Average Weekly Earnings </w:t>
      </w:r>
      <w:r w:rsidRPr="00167CB8">
        <w:t xml:space="preserve">series does not publish an hourly wage. The </w:t>
      </w:r>
      <w:r w:rsidR="00C87E4A" w:rsidRPr="00167CB8">
        <w:t>G</w:t>
      </w:r>
      <w:r w:rsidR="00F13213">
        <w:t xml:space="preserve">WG </w:t>
      </w:r>
      <w:r w:rsidRPr="00167CB8">
        <w:t xml:space="preserve">in the full-time labour market is, therefore, monitored as this group is more homogeneous in terms of hours worked. </w:t>
      </w:r>
      <w:r w:rsidR="00736022" w:rsidRPr="00167CB8">
        <w:t>Figure 3</w:t>
      </w:r>
      <w:r w:rsidR="0049106F">
        <w:t>9 s</w:t>
      </w:r>
      <w:r w:rsidRPr="00167CB8">
        <w:t>hows trends in the gap in the full-time labour market using total earnings (</w:t>
      </w:r>
      <w:r w:rsidR="0045397D">
        <w:t>which includes</w:t>
      </w:r>
      <w:r w:rsidRPr="00167CB8">
        <w:t xml:space="preserve"> overtime payments) and trends in the gap among all persons. At May 2024 the gender pay gap was 11.5% when measures using AWOTE</w:t>
      </w:r>
      <w:r w:rsidR="00C87E4A" w:rsidRPr="00167CB8">
        <w:t>;</w:t>
      </w:r>
      <w:r w:rsidRPr="00167CB8">
        <w:t xml:space="preserve"> 14.2% when measuring differences in the average total weekly earnings of men and women employed full-time</w:t>
      </w:r>
      <w:r w:rsidR="00C87E4A" w:rsidRPr="00167CB8">
        <w:t>;</w:t>
      </w:r>
      <w:r w:rsidRPr="00167CB8">
        <w:t xml:space="preserve"> and 27.7% when measuring gender differences in total earnings of employed men and women (i.e. not accounting for differences in characteristics such as hours worked).</w:t>
      </w:r>
    </w:p>
    <w:p w14:paraId="252F5914" w14:textId="7499532E" w:rsidR="007A6A1A" w:rsidRPr="00167CB8" w:rsidRDefault="007A6A1A" w:rsidP="00470AB9">
      <w:pPr>
        <w:pStyle w:val="Caption"/>
      </w:pPr>
      <w:bookmarkStart w:id="774" w:name="_Ref186906214"/>
      <w:bookmarkStart w:id="775" w:name="_Toc186991794"/>
      <w:bookmarkStart w:id="776" w:name="_Toc189310827"/>
      <w:bookmarkStart w:id="777" w:name="_Ref184404911"/>
      <w:bookmarkStart w:id="778" w:name="_Ref184490306"/>
      <w:r w:rsidRPr="00167CB8">
        <w:lastRenderedPageBreak/>
        <w:t xml:space="preserve">Figure </w:t>
      </w:r>
      <w:r w:rsidR="00AE3D90" w:rsidRPr="00167CB8">
        <w:t>39</w:t>
      </w:r>
      <w:bookmarkEnd w:id="774"/>
      <w:r w:rsidRPr="00167CB8">
        <w:t>: Trends in the GWG based on total earnings</w:t>
      </w:r>
      <w:bookmarkEnd w:id="775"/>
      <w:bookmarkEnd w:id="776"/>
    </w:p>
    <w:p w14:paraId="247909B1" w14:textId="77777777" w:rsidR="007A6A1A" w:rsidRPr="00167CB8" w:rsidRDefault="007A6A1A" w:rsidP="007A6A1A">
      <w:pPr>
        <w:spacing w:after="160"/>
      </w:pPr>
      <w:r w:rsidRPr="00167CB8">
        <w:rPr>
          <w:noProof/>
        </w:rPr>
        <w:drawing>
          <wp:inline distT="0" distB="0" distL="0" distR="0" wp14:anchorId="5CEE8F9F" wp14:editId="4708B821">
            <wp:extent cx="5731510" cy="3750945"/>
            <wp:effectExtent l="0" t="0" r="2540" b="1905"/>
            <wp:docPr id="881346697" name="Picture 4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descr="A graph of a number of people&#10;&#10;Description automatically generated with medium confidenc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2759255" w14:textId="77777777" w:rsidR="007A6A1A" w:rsidRPr="00167CB8" w:rsidRDefault="007A6A1A" w:rsidP="00C87E4A">
      <w:pPr>
        <w:pStyle w:val="Source"/>
      </w:pPr>
      <w:r w:rsidRPr="00167CB8">
        <w:rPr>
          <w:b/>
          <w:bCs/>
        </w:rPr>
        <w:t>Source:</w:t>
      </w:r>
      <w:r w:rsidRPr="00167CB8">
        <w:t xml:space="preserve"> ABS 6302.0 Average Weekly Earnings, Australia, Table 2 (seasonally adjusted).</w:t>
      </w:r>
    </w:p>
    <w:p w14:paraId="39F0F795" w14:textId="77777777" w:rsidR="007A6A1A" w:rsidRPr="00167CB8" w:rsidRDefault="007A6A1A" w:rsidP="00C87E4A">
      <w:pPr>
        <w:pStyle w:val="Source"/>
      </w:pPr>
      <w:r w:rsidRPr="00167CB8">
        <w:rPr>
          <w:b/>
          <w:bCs/>
        </w:rPr>
        <w:t>Alt-text:</w:t>
      </w:r>
      <w:r w:rsidRPr="00167CB8">
        <w:t xml:space="preserve"> A line graph showing trends in the gender wage gap based on full-time average ordinary weekly earnings, total earnings of full-time workers and total earnings of all workers (which includes part-timers).</w:t>
      </w:r>
    </w:p>
    <w:p w14:paraId="6C56F268" w14:textId="77777777" w:rsidR="007A6A1A" w:rsidRPr="00167CB8" w:rsidRDefault="007A6A1A" w:rsidP="007A6A1A">
      <w:pPr>
        <w:spacing w:after="160"/>
      </w:pPr>
      <w:r w:rsidRPr="00167CB8">
        <w:br w:type="page"/>
      </w:r>
    </w:p>
    <w:p w14:paraId="5E9E7378" w14:textId="3918FFC7" w:rsidR="007A6A1A" w:rsidRPr="00167CB8" w:rsidRDefault="007A6A1A" w:rsidP="007A6A1A">
      <w:pPr>
        <w:spacing w:after="160"/>
      </w:pPr>
      <w:r w:rsidRPr="00167CB8">
        <w:lastRenderedPageBreak/>
        <w:t xml:space="preserve">In </w:t>
      </w:r>
      <w:r w:rsidR="009F334F" w:rsidRPr="00167CB8">
        <w:t>Figure 40</w:t>
      </w:r>
      <w:r w:rsidRPr="00167CB8">
        <w:t xml:space="preserve"> the focus is on average weekly total (rather than ordinary) earnings of adult men and women, disaggregated by industry. Actual earnings at May 2024 are reported for men, with the markers showing the </w:t>
      </w:r>
      <w:r w:rsidR="00C87E4A" w:rsidRPr="00167CB8">
        <w:t>GWG</w:t>
      </w:r>
      <w:r w:rsidRPr="00167CB8">
        <w:t xml:space="preserve"> (conventional measure) within each sector. At May 2024 the overall GWG (all industries) measured using average weekly total earnings was 14.3%. The GWG was highest within the </w:t>
      </w:r>
      <w:r w:rsidR="00C87E4A" w:rsidRPr="00167CB8">
        <w:t>p</w:t>
      </w:r>
      <w:r w:rsidRPr="00167CB8">
        <w:t xml:space="preserve">rofessional, scientific and technical services industry division (22.8%), followed by the </w:t>
      </w:r>
      <w:r w:rsidR="00C87E4A" w:rsidRPr="00167CB8">
        <w:t>a</w:t>
      </w:r>
      <w:r w:rsidRPr="00167CB8">
        <w:t xml:space="preserve">dministrative and support services industry (22.5%) and then the </w:t>
      </w:r>
      <w:r w:rsidR="00C87E4A" w:rsidRPr="00167CB8">
        <w:t>h</w:t>
      </w:r>
      <w:r w:rsidRPr="00167CB8">
        <w:t xml:space="preserve">ealth care and social assistance sector (22.1%). It was lowest in </w:t>
      </w:r>
      <w:r w:rsidR="00C87E4A" w:rsidRPr="00167CB8">
        <w:t>r</w:t>
      </w:r>
      <w:r w:rsidRPr="00167CB8">
        <w:t xml:space="preserve">etail trade (8.5%).   </w:t>
      </w:r>
    </w:p>
    <w:p w14:paraId="1DD901FF" w14:textId="0F1936B5" w:rsidR="007A6A1A" w:rsidRPr="00167CB8" w:rsidRDefault="007A6A1A" w:rsidP="00470AB9">
      <w:pPr>
        <w:pStyle w:val="Caption"/>
      </w:pPr>
      <w:bookmarkStart w:id="779" w:name="_Ref186906250"/>
      <w:bookmarkStart w:id="780" w:name="_Toc186991795"/>
      <w:bookmarkStart w:id="781" w:name="_Toc189310828"/>
      <w:r w:rsidRPr="00167CB8">
        <w:t xml:space="preserve">Figure </w:t>
      </w:r>
      <w:r w:rsidR="00793E01" w:rsidRPr="00167CB8">
        <w:t>40</w:t>
      </w:r>
      <w:bookmarkEnd w:id="777"/>
      <w:bookmarkEnd w:id="778"/>
      <w:bookmarkEnd w:id="779"/>
      <w:r w:rsidRPr="00167CB8">
        <w:t xml:space="preserve">: Average weekly total earnings of adult men employed full-time industry and the associated </w:t>
      </w:r>
      <w:r w:rsidR="00C87E4A" w:rsidRPr="00167CB8">
        <w:t>GWG</w:t>
      </w:r>
      <w:r w:rsidRPr="00167CB8">
        <w:t>, May 2024</w:t>
      </w:r>
      <w:bookmarkEnd w:id="780"/>
      <w:bookmarkEnd w:id="781"/>
    </w:p>
    <w:p w14:paraId="292E49D0" w14:textId="77777777" w:rsidR="007A6A1A" w:rsidRPr="00167CB8" w:rsidRDefault="007A6A1A" w:rsidP="007A6A1A">
      <w:pPr>
        <w:spacing w:after="160"/>
      </w:pPr>
      <w:r w:rsidRPr="00167CB8">
        <w:rPr>
          <w:noProof/>
        </w:rPr>
        <w:drawing>
          <wp:inline distT="0" distB="0" distL="0" distR="0" wp14:anchorId="348C9D03" wp14:editId="11703976">
            <wp:extent cx="5731510" cy="3750945"/>
            <wp:effectExtent l="0" t="0" r="2540" b="1905"/>
            <wp:docPr id="1863893748" name="Picture 46"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descr="A graph with blue and orange squares&#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6FD2708C" w14:textId="77777777" w:rsidR="007A6A1A" w:rsidRPr="00167CB8" w:rsidRDefault="007A6A1A" w:rsidP="00C87E4A">
      <w:pPr>
        <w:pStyle w:val="Source"/>
      </w:pPr>
      <w:r w:rsidRPr="00167CB8">
        <w:rPr>
          <w:b/>
          <w:bCs/>
        </w:rPr>
        <w:t>Source:</w:t>
      </w:r>
      <w:r w:rsidRPr="00167CB8">
        <w:t xml:space="preserve"> ABS 6302.0 Average Weekly Earnings, Australia, Tables 10B and 10E 2 (original series).</w:t>
      </w:r>
    </w:p>
    <w:p w14:paraId="3B458E8B" w14:textId="77777777" w:rsidR="007A6A1A" w:rsidRPr="00167CB8" w:rsidRDefault="007A6A1A" w:rsidP="00C87E4A">
      <w:pPr>
        <w:pStyle w:val="Source"/>
      </w:pPr>
      <w:r w:rsidRPr="00167CB8">
        <w:rPr>
          <w:b/>
          <w:bCs/>
        </w:rPr>
        <w:t>Alt-text:</w:t>
      </w:r>
      <w:r w:rsidRPr="00167CB8">
        <w:t xml:space="preserve"> A combination graph showing, by industry, the average weekly total earnings of adult men employed full-time at May 2024. The markers show the GWG within each industry. Nationally, across all industries, at May 2024 the average male employed full-time earned $2,113 per week. The average women employed full-time earned $1,811 per week. The GWG was, as a result, equal to 14.3%.</w:t>
      </w:r>
    </w:p>
    <w:p w14:paraId="48CDC93F" w14:textId="77777777" w:rsidR="007A6A1A" w:rsidRPr="00167CB8" w:rsidRDefault="007A6A1A" w:rsidP="007A6A1A">
      <w:pPr>
        <w:spacing w:after="160"/>
      </w:pPr>
      <w:r w:rsidRPr="00167CB8">
        <w:br w:type="page"/>
      </w:r>
    </w:p>
    <w:p w14:paraId="19AE49BC" w14:textId="2601C5D8" w:rsidR="007A6A1A" w:rsidRPr="00167CB8" w:rsidRDefault="007A6A1A" w:rsidP="00650687">
      <w:pPr>
        <w:pStyle w:val="Heading4"/>
      </w:pPr>
      <w:bookmarkStart w:id="782" w:name="_Toc186991768"/>
      <w:bookmarkStart w:id="783" w:name="_Toc189393672"/>
      <w:r w:rsidRPr="00167CB8">
        <w:lastRenderedPageBreak/>
        <w:t xml:space="preserve">3.3 Employee </w:t>
      </w:r>
      <w:r w:rsidR="00C87E4A" w:rsidRPr="00167CB8">
        <w:t>e</w:t>
      </w:r>
      <w:r w:rsidRPr="00167CB8">
        <w:t xml:space="preserve">arnings and </w:t>
      </w:r>
      <w:r w:rsidR="00C87E4A" w:rsidRPr="00167CB8">
        <w:t>h</w:t>
      </w:r>
      <w:r w:rsidRPr="00167CB8">
        <w:t>ours</w:t>
      </w:r>
      <w:bookmarkEnd w:id="782"/>
      <w:r w:rsidR="00832F77" w:rsidRPr="00167CB8">
        <w:t xml:space="preserve"> (EEH)</w:t>
      </w:r>
      <w:bookmarkEnd w:id="783"/>
    </w:p>
    <w:p w14:paraId="4E4F6E96" w14:textId="57425529" w:rsidR="007A6A1A" w:rsidRPr="00167CB8" w:rsidRDefault="007A6A1A" w:rsidP="007A6A1A">
      <w:pPr>
        <w:spacing w:after="160"/>
      </w:pPr>
      <w:r w:rsidRPr="00167CB8">
        <w:t xml:space="preserve">The ABS EEH series permits an analysis of average weekly and hourly wages by method of pay setting. At the time of writing the most recent available data are for May 2023. </w:t>
      </w:r>
      <w:r w:rsidR="00C37F28" w:rsidRPr="00167CB8">
        <w:t xml:space="preserve">Table </w:t>
      </w:r>
      <w:r w:rsidR="00E41614" w:rsidRPr="00167CB8">
        <w:t>43</w:t>
      </w:r>
      <w:r w:rsidR="005467CF">
        <w:t xml:space="preserve"> </w:t>
      </w:r>
      <w:r w:rsidRPr="00167CB8">
        <w:t xml:space="preserve">shows the number of employees by pay setting method. </w:t>
      </w:r>
    </w:p>
    <w:p w14:paraId="6B530A02" w14:textId="5554872F" w:rsidR="007A6A1A" w:rsidRPr="00167CB8" w:rsidRDefault="007A6A1A" w:rsidP="00470AB9">
      <w:pPr>
        <w:pStyle w:val="Caption"/>
      </w:pPr>
      <w:bookmarkStart w:id="784" w:name="_Ref184489452"/>
      <w:bookmarkStart w:id="785" w:name="_Toc186991821"/>
      <w:bookmarkStart w:id="786" w:name="_Toc189310872"/>
      <w:r w:rsidRPr="00167CB8">
        <w:t xml:space="preserve">Table </w:t>
      </w:r>
      <w:r w:rsidR="00673360" w:rsidRPr="00167CB8">
        <w:t>43</w:t>
      </w:r>
      <w:bookmarkEnd w:id="784"/>
      <w:r w:rsidRPr="00167CB8">
        <w:t>: Number of employees by employment status and method of pay setting, May 2023</w:t>
      </w:r>
      <w:bookmarkEnd w:id="785"/>
      <w:bookmarkEnd w:id="786"/>
    </w:p>
    <w:tbl>
      <w:tblPr>
        <w:tblW w:w="8804" w:type="dxa"/>
        <w:tblLook w:val="04A0" w:firstRow="1" w:lastRow="0" w:firstColumn="1" w:lastColumn="0" w:noHBand="0" w:noVBand="1"/>
      </w:tblPr>
      <w:tblGrid>
        <w:gridCol w:w="2752"/>
        <w:gridCol w:w="1316"/>
        <w:gridCol w:w="1583"/>
        <w:gridCol w:w="1835"/>
        <w:gridCol w:w="1318"/>
      </w:tblGrid>
      <w:tr w:rsidR="007A6A1A" w:rsidRPr="00167CB8" w14:paraId="1D963DCC" w14:textId="77777777">
        <w:trPr>
          <w:trHeight w:val="622"/>
        </w:trPr>
        <w:tc>
          <w:tcPr>
            <w:tcW w:w="2752" w:type="dxa"/>
            <w:tcBorders>
              <w:top w:val="single" w:sz="4" w:space="0" w:color="auto"/>
              <w:left w:val="single" w:sz="4" w:space="0" w:color="auto"/>
              <w:bottom w:val="single" w:sz="4" w:space="0" w:color="auto"/>
              <w:right w:val="nil"/>
            </w:tcBorders>
            <w:vAlign w:val="bottom"/>
            <w:hideMark/>
          </w:tcPr>
          <w:p w14:paraId="6BB3EE07" w14:textId="77777777" w:rsidR="007A6A1A" w:rsidRPr="00364020" w:rsidRDefault="007A6A1A" w:rsidP="007A6A1A">
            <w:pPr>
              <w:spacing w:after="160"/>
              <w:rPr>
                <w:sz w:val="20"/>
                <w:szCs w:val="20"/>
              </w:rPr>
            </w:pPr>
          </w:p>
        </w:tc>
        <w:tc>
          <w:tcPr>
            <w:tcW w:w="1316" w:type="dxa"/>
            <w:tcBorders>
              <w:top w:val="single" w:sz="4" w:space="0" w:color="auto"/>
              <w:left w:val="nil"/>
              <w:bottom w:val="single" w:sz="4" w:space="0" w:color="auto"/>
              <w:right w:val="nil"/>
            </w:tcBorders>
            <w:vAlign w:val="bottom"/>
            <w:hideMark/>
          </w:tcPr>
          <w:p w14:paraId="70BF73C2" w14:textId="77777777" w:rsidR="007A6A1A" w:rsidRPr="00364020" w:rsidRDefault="007A6A1A" w:rsidP="007A6A1A">
            <w:pPr>
              <w:spacing w:after="160"/>
              <w:rPr>
                <w:b/>
                <w:bCs/>
                <w:sz w:val="20"/>
                <w:szCs w:val="20"/>
              </w:rPr>
            </w:pPr>
            <w:r w:rsidRPr="00364020">
              <w:rPr>
                <w:b/>
                <w:bCs/>
                <w:sz w:val="20"/>
                <w:szCs w:val="20"/>
              </w:rPr>
              <w:t>Award</w:t>
            </w:r>
          </w:p>
        </w:tc>
        <w:tc>
          <w:tcPr>
            <w:tcW w:w="1583" w:type="dxa"/>
            <w:tcBorders>
              <w:top w:val="single" w:sz="4" w:space="0" w:color="auto"/>
              <w:left w:val="nil"/>
              <w:bottom w:val="single" w:sz="4" w:space="0" w:color="auto"/>
              <w:right w:val="nil"/>
            </w:tcBorders>
            <w:vAlign w:val="bottom"/>
            <w:hideMark/>
          </w:tcPr>
          <w:p w14:paraId="7BC8C4FF" w14:textId="77777777" w:rsidR="007A6A1A" w:rsidRPr="00364020" w:rsidRDefault="007A6A1A" w:rsidP="007A6A1A">
            <w:pPr>
              <w:spacing w:after="160"/>
              <w:rPr>
                <w:b/>
                <w:bCs/>
                <w:sz w:val="20"/>
                <w:szCs w:val="20"/>
              </w:rPr>
            </w:pPr>
            <w:r w:rsidRPr="00364020">
              <w:rPr>
                <w:b/>
                <w:bCs/>
                <w:sz w:val="20"/>
                <w:szCs w:val="20"/>
              </w:rPr>
              <w:t>Collective agreement</w:t>
            </w:r>
          </w:p>
        </w:tc>
        <w:tc>
          <w:tcPr>
            <w:tcW w:w="1835" w:type="dxa"/>
            <w:tcBorders>
              <w:top w:val="single" w:sz="4" w:space="0" w:color="auto"/>
              <w:left w:val="nil"/>
              <w:bottom w:val="single" w:sz="4" w:space="0" w:color="auto"/>
              <w:right w:val="nil"/>
            </w:tcBorders>
            <w:vAlign w:val="bottom"/>
            <w:hideMark/>
          </w:tcPr>
          <w:p w14:paraId="603A5DA6" w14:textId="77777777" w:rsidR="007A6A1A" w:rsidRPr="00364020" w:rsidRDefault="007A6A1A" w:rsidP="007A6A1A">
            <w:pPr>
              <w:spacing w:after="160"/>
              <w:rPr>
                <w:b/>
                <w:bCs/>
                <w:sz w:val="20"/>
                <w:szCs w:val="20"/>
              </w:rPr>
            </w:pPr>
            <w:r w:rsidRPr="00364020">
              <w:rPr>
                <w:b/>
                <w:bCs/>
                <w:sz w:val="20"/>
                <w:szCs w:val="20"/>
              </w:rPr>
              <w:t>Individual arrangement</w:t>
            </w:r>
          </w:p>
        </w:tc>
        <w:tc>
          <w:tcPr>
            <w:tcW w:w="1318" w:type="dxa"/>
            <w:tcBorders>
              <w:top w:val="single" w:sz="4" w:space="0" w:color="auto"/>
              <w:left w:val="nil"/>
              <w:bottom w:val="single" w:sz="4" w:space="0" w:color="auto"/>
              <w:right w:val="single" w:sz="4" w:space="0" w:color="auto"/>
            </w:tcBorders>
            <w:vAlign w:val="bottom"/>
            <w:hideMark/>
          </w:tcPr>
          <w:p w14:paraId="3A27A29D" w14:textId="77777777" w:rsidR="007A6A1A" w:rsidRPr="00364020" w:rsidRDefault="007A6A1A" w:rsidP="007A6A1A">
            <w:pPr>
              <w:spacing w:after="160"/>
              <w:rPr>
                <w:b/>
                <w:bCs/>
                <w:sz w:val="20"/>
                <w:szCs w:val="20"/>
              </w:rPr>
            </w:pPr>
            <w:r w:rsidRPr="00364020">
              <w:rPr>
                <w:b/>
                <w:bCs/>
                <w:sz w:val="20"/>
                <w:szCs w:val="20"/>
              </w:rPr>
              <w:t>Total</w:t>
            </w:r>
          </w:p>
        </w:tc>
      </w:tr>
      <w:tr w:rsidR="007A6A1A" w:rsidRPr="00167CB8" w14:paraId="008127BC" w14:textId="77777777">
        <w:trPr>
          <w:trHeight w:val="262"/>
        </w:trPr>
        <w:tc>
          <w:tcPr>
            <w:tcW w:w="4068" w:type="dxa"/>
            <w:gridSpan w:val="2"/>
            <w:tcBorders>
              <w:top w:val="single" w:sz="4" w:space="0" w:color="auto"/>
              <w:left w:val="single" w:sz="4" w:space="0" w:color="auto"/>
              <w:bottom w:val="nil"/>
              <w:right w:val="nil"/>
            </w:tcBorders>
            <w:noWrap/>
            <w:vAlign w:val="bottom"/>
            <w:hideMark/>
          </w:tcPr>
          <w:p w14:paraId="27CD9001" w14:textId="77777777" w:rsidR="007A6A1A" w:rsidRPr="00364020" w:rsidRDefault="007A6A1A" w:rsidP="007A6A1A">
            <w:pPr>
              <w:spacing w:after="160"/>
              <w:rPr>
                <w:sz w:val="20"/>
                <w:szCs w:val="20"/>
              </w:rPr>
            </w:pPr>
            <w:r w:rsidRPr="00364020">
              <w:rPr>
                <w:sz w:val="20"/>
                <w:szCs w:val="20"/>
              </w:rPr>
              <w:t>NUMBER OF EMPLOYEES ('000)</w:t>
            </w:r>
          </w:p>
        </w:tc>
        <w:tc>
          <w:tcPr>
            <w:tcW w:w="1583" w:type="dxa"/>
            <w:tcBorders>
              <w:top w:val="single" w:sz="4" w:space="0" w:color="auto"/>
              <w:left w:val="nil"/>
              <w:bottom w:val="nil"/>
              <w:right w:val="nil"/>
            </w:tcBorders>
            <w:noWrap/>
            <w:vAlign w:val="bottom"/>
            <w:hideMark/>
          </w:tcPr>
          <w:p w14:paraId="141A487D" w14:textId="77777777" w:rsidR="007A6A1A" w:rsidRPr="00364020" w:rsidRDefault="007A6A1A" w:rsidP="007A6A1A">
            <w:pPr>
              <w:spacing w:after="160"/>
              <w:rPr>
                <w:sz w:val="20"/>
                <w:szCs w:val="20"/>
              </w:rPr>
            </w:pPr>
          </w:p>
        </w:tc>
        <w:tc>
          <w:tcPr>
            <w:tcW w:w="1835" w:type="dxa"/>
            <w:tcBorders>
              <w:top w:val="single" w:sz="4" w:space="0" w:color="auto"/>
              <w:left w:val="nil"/>
              <w:bottom w:val="nil"/>
              <w:right w:val="nil"/>
            </w:tcBorders>
            <w:noWrap/>
            <w:vAlign w:val="bottom"/>
            <w:hideMark/>
          </w:tcPr>
          <w:p w14:paraId="4F5B99E2" w14:textId="77777777" w:rsidR="007A6A1A" w:rsidRPr="00364020" w:rsidRDefault="007A6A1A" w:rsidP="007A6A1A">
            <w:pPr>
              <w:spacing w:after="160"/>
              <w:rPr>
                <w:sz w:val="20"/>
                <w:szCs w:val="20"/>
              </w:rPr>
            </w:pPr>
          </w:p>
        </w:tc>
        <w:tc>
          <w:tcPr>
            <w:tcW w:w="1318" w:type="dxa"/>
            <w:tcBorders>
              <w:top w:val="single" w:sz="4" w:space="0" w:color="auto"/>
              <w:left w:val="nil"/>
              <w:bottom w:val="nil"/>
              <w:right w:val="single" w:sz="4" w:space="0" w:color="auto"/>
            </w:tcBorders>
            <w:noWrap/>
            <w:vAlign w:val="bottom"/>
            <w:hideMark/>
          </w:tcPr>
          <w:p w14:paraId="082B4EF8" w14:textId="77777777" w:rsidR="007A6A1A" w:rsidRPr="00364020" w:rsidRDefault="007A6A1A" w:rsidP="007A6A1A">
            <w:pPr>
              <w:spacing w:after="160"/>
              <w:rPr>
                <w:sz w:val="20"/>
                <w:szCs w:val="20"/>
              </w:rPr>
            </w:pPr>
          </w:p>
        </w:tc>
      </w:tr>
      <w:tr w:rsidR="007A6A1A" w:rsidRPr="00167CB8" w14:paraId="5D97A887" w14:textId="77777777">
        <w:trPr>
          <w:trHeight w:val="262"/>
        </w:trPr>
        <w:tc>
          <w:tcPr>
            <w:tcW w:w="2752" w:type="dxa"/>
            <w:tcBorders>
              <w:top w:val="nil"/>
              <w:left w:val="single" w:sz="4" w:space="0" w:color="auto"/>
              <w:bottom w:val="nil"/>
              <w:right w:val="nil"/>
            </w:tcBorders>
            <w:noWrap/>
            <w:vAlign w:val="bottom"/>
            <w:hideMark/>
          </w:tcPr>
          <w:p w14:paraId="75DE0E24" w14:textId="77777777" w:rsidR="007A6A1A" w:rsidRPr="00364020" w:rsidRDefault="007A6A1A" w:rsidP="007A6A1A">
            <w:pPr>
              <w:spacing w:after="160"/>
              <w:rPr>
                <w:sz w:val="20"/>
                <w:szCs w:val="20"/>
              </w:rPr>
            </w:pPr>
            <w:r w:rsidRPr="00364020">
              <w:rPr>
                <w:sz w:val="20"/>
                <w:szCs w:val="20"/>
              </w:rPr>
              <w:t>Males</w:t>
            </w:r>
          </w:p>
        </w:tc>
        <w:tc>
          <w:tcPr>
            <w:tcW w:w="1316" w:type="dxa"/>
            <w:noWrap/>
            <w:vAlign w:val="bottom"/>
            <w:hideMark/>
          </w:tcPr>
          <w:p w14:paraId="62D179C8" w14:textId="77777777" w:rsidR="007A6A1A" w:rsidRPr="00364020" w:rsidRDefault="007A6A1A" w:rsidP="007A6A1A">
            <w:pPr>
              <w:spacing w:after="160"/>
              <w:rPr>
                <w:sz w:val="20"/>
                <w:szCs w:val="20"/>
              </w:rPr>
            </w:pPr>
          </w:p>
        </w:tc>
        <w:tc>
          <w:tcPr>
            <w:tcW w:w="1583" w:type="dxa"/>
            <w:noWrap/>
            <w:vAlign w:val="bottom"/>
            <w:hideMark/>
          </w:tcPr>
          <w:p w14:paraId="1939D908" w14:textId="77777777" w:rsidR="007A6A1A" w:rsidRPr="00364020" w:rsidRDefault="007A6A1A" w:rsidP="007A6A1A">
            <w:pPr>
              <w:spacing w:after="160"/>
              <w:rPr>
                <w:sz w:val="20"/>
                <w:szCs w:val="20"/>
              </w:rPr>
            </w:pPr>
          </w:p>
        </w:tc>
        <w:tc>
          <w:tcPr>
            <w:tcW w:w="1835" w:type="dxa"/>
            <w:noWrap/>
            <w:vAlign w:val="bottom"/>
            <w:hideMark/>
          </w:tcPr>
          <w:p w14:paraId="5B47C68C" w14:textId="77777777" w:rsidR="007A6A1A" w:rsidRPr="00364020" w:rsidRDefault="007A6A1A" w:rsidP="007A6A1A">
            <w:pPr>
              <w:spacing w:after="160"/>
              <w:rPr>
                <w:sz w:val="20"/>
                <w:szCs w:val="20"/>
              </w:rPr>
            </w:pPr>
          </w:p>
        </w:tc>
        <w:tc>
          <w:tcPr>
            <w:tcW w:w="1318" w:type="dxa"/>
            <w:tcBorders>
              <w:top w:val="nil"/>
              <w:left w:val="nil"/>
              <w:bottom w:val="nil"/>
              <w:right w:val="single" w:sz="4" w:space="0" w:color="auto"/>
            </w:tcBorders>
            <w:noWrap/>
            <w:vAlign w:val="bottom"/>
            <w:hideMark/>
          </w:tcPr>
          <w:p w14:paraId="6B98BD00" w14:textId="77777777" w:rsidR="007A6A1A" w:rsidRPr="00364020" w:rsidRDefault="007A6A1A" w:rsidP="007A6A1A">
            <w:pPr>
              <w:spacing w:after="160"/>
              <w:rPr>
                <w:sz w:val="20"/>
                <w:szCs w:val="20"/>
              </w:rPr>
            </w:pPr>
          </w:p>
        </w:tc>
      </w:tr>
      <w:tr w:rsidR="007A6A1A" w:rsidRPr="00167CB8" w14:paraId="1E3292D3" w14:textId="77777777">
        <w:trPr>
          <w:trHeight w:val="262"/>
        </w:trPr>
        <w:tc>
          <w:tcPr>
            <w:tcW w:w="2752" w:type="dxa"/>
            <w:tcBorders>
              <w:top w:val="nil"/>
              <w:left w:val="single" w:sz="4" w:space="0" w:color="auto"/>
              <w:bottom w:val="nil"/>
              <w:right w:val="nil"/>
            </w:tcBorders>
            <w:noWrap/>
            <w:vAlign w:val="bottom"/>
            <w:hideMark/>
          </w:tcPr>
          <w:p w14:paraId="1E2922E1" w14:textId="77777777" w:rsidR="007A6A1A" w:rsidRPr="00364020" w:rsidRDefault="007A6A1A" w:rsidP="007A6A1A">
            <w:pPr>
              <w:spacing w:after="160"/>
              <w:rPr>
                <w:sz w:val="20"/>
                <w:szCs w:val="20"/>
              </w:rPr>
            </w:pPr>
            <w:r w:rsidRPr="00364020">
              <w:rPr>
                <w:sz w:val="20"/>
                <w:szCs w:val="20"/>
              </w:rPr>
              <w:t>Full-time employees</w:t>
            </w:r>
          </w:p>
        </w:tc>
        <w:tc>
          <w:tcPr>
            <w:tcW w:w="1316" w:type="dxa"/>
            <w:noWrap/>
            <w:vAlign w:val="bottom"/>
            <w:hideMark/>
          </w:tcPr>
          <w:p w14:paraId="2B2BD16E" w14:textId="77777777" w:rsidR="007A6A1A" w:rsidRPr="00364020" w:rsidRDefault="007A6A1A" w:rsidP="007A6A1A">
            <w:pPr>
              <w:spacing w:after="160"/>
              <w:rPr>
                <w:sz w:val="20"/>
                <w:szCs w:val="20"/>
              </w:rPr>
            </w:pPr>
            <w:r w:rsidRPr="00364020">
              <w:rPr>
                <w:sz w:val="20"/>
                <w:szCs w:val="20"/>
              </w:rPr>
              <w:t>537.3</w:t>
            </w:r>
          </w:p>
        </w:tc>
        <w:tc>
          <w:tcPr>
            <w:tcW w:w="1583" w:type="dxa"/>
            <w:noWrap/>
            <w:vAlign w:val="bottom"/>
            <w:hideMark/>
          </w:tcPr>
          <w:p w14:paraId="4B0E2B92" w14:textId="77777777" w:rsidR="007A6A1A" w:rsidRPr="00364020" w:rsidRDefault="007A6A1A" w:rsidP="007A6A1A">
            <w:pPr>
              <w:spacing w:after="160"/>
              <w:rPr>
                <w:sz w:val="20"/>
                <w:szCs w:val="20"/>
              </w:rPr>
            </w:pPr>
            <w:r w:rsidRPr="00364020">
              <w:rPr>
                <w:sz w:val="20"/>
                <w:szCs w:val="20"/>
              </w:rPr>
              <w:t>1,314.5</w:t>
            </w:r>
          </w:p>
        </w:tc>
        <w:tc>
          <w:tcPr>
            <w:tcW w:w="1835" w:type="dxa"/>
            <w:noWrap/>
            <w:vAlign w:val="bottom"/>
            <w:hideMark/>
          </w:tcPr>
          <w:p w14:paraId="79AA6C3B" w14:textId="77777777" w:rsidR="007A6A1A" w:rsidRPr="00364020" w:rsidRDefault="007A6A1A" w:rsidP="007A6A1A">
            <w:pPr>
              <w:spacing w:after="160"/>
              <w:rPr>
                <w:sz w:val="20"/>
                <w:szCs w:val="20"/>
              </w:rPr>
            </w:pPr>
            <w:r w:rsidRPr="00364020">
              <w:rPr>
                <w:sz w:val="20"/>
                <w:szCs w:val="20"/>
              </w:rPr>
              <w:t>2,365.5</w:t>
            </w:r>
          </w:p>
        </w:tc>
        <w:tc>
          <w:tcPr>
            <w:tcW w:w="1318" w:type="dxa"/>
            <w:tcBorders>
              <w:top w:val="nil"/>
              <w:left w:val="nil"/>
              <w:bottom w:val="nil"/>
              <w:right w:val="single" w:sz="4" w:space="0" w:color="auto"/>
            </w:tcBorders>
            <w:noWrap/>
            <w:vAlign w:val="bottom"/>
            <w:hideMark/>
          </w:tcPr>
          <w:p w14:paraId="1A071EBA" w14:textId="77777777" w:rsidR="007A6A1A" w:rsidRPr="00364020" w:rsidRDefault="007A6A1A" w:rsidP="007A6A1A">
            <w:pPr>
              <w:spacing w:after="160"/>
              <w:rPr>
                <w:sz w:val="20"/>
                <w:szCs w:val="20"/>
              </w:rPr>
            </w:pPr>
            <w:r w:rsidRPr="00364020">
              <w:rPr>
                <w:sz w:val="20"/>
                <w:szCs w:val="20"/>
              </w:rPr>
              <w:t>4,217.3</w:t>
            </w:r>
          </w:p>
        </w:tc>
      </w:tr>
      <w:tr w:rsidR="007A6A1A" w:rsidRPr="00167CB8" w14:paraId="7838CF8C" w14:textId="77777777">
        <w:trPr>
          <w:trHeight w:val="262"/>
        </w:trPr>
        <w:tc>
          <w:tcPr>
            <w:tcW w:w="2752" w:type="dxa"/>
            <w:tcBorders>
              <w:top w:val="nil"/>
              <w:left w:val="single" w:sz="4" w:space="0" w:color="auto"/>
              <w:bottom w:val="nil"/>
              <w:right w:val="nil"/>
            </w:tcBorders>
            <w:noWrap/>
            <w:vAlign w:val="bottom"/>
            <w:hideMark/>
          </w:tcPr>
          <w:p w14:paraId="1537668C" w14:textId="77777777" w:rsidR="007A6A1A" w:rsidRPr="00364020" w:rsidRDefault="007A6A1A" w:rsidP="007A6A1A">
            <w:pPr>
              <w:spacing w:after="160"/>
              <w:rPr>
                <w:sz w:val="20"/>
                <w:szCs w:val="20"/>
              </w:rPr>
            </w:pPr>
            <w:r w:rsidRPr="00364020">
              <w:rPr>
                <w:sz w:val="20"/>
                <w:szCs w:val="20"/>
              </w:rPr>
              <w:t>Part-time employees</w:t>
            </w:r>
          </w:p>
        </w:tc>
        <w:tc>
          <w:tcPr>
            <w:tcW w:w="1316" w:type="dxa"/>
            <w:noWrap/>
            <w:vAlign w:val="bottom"/>
            <w:hideMark/>
          </w:tcPr>
          <w:p w14:paraId="0965BDB0" w14:textId="77777777" w:rsidR="007A6A1A" w:rsidRPr="00364020" w:rsidRDefault="007A6A1A" w:rsidP="007A6A1A">
            <w:pPr>
              <w:spacing w:after="160"/>
              <w:rPr>
                <w:sz w:val="20"/>
                <w:szCs w:val="20"/>
              </w:rPr>
            </w:pPr>
            <w:r w:rsidRPr="00364020">
              <w:rPr>
                <w:sz w:val="20"/>
                <w:szCs w:val="20"/>
              </w:rPr>
              <w:t>638.3</w:t>
            </w:r>
          </w:p>
        </w:tc>
        <w:tc>
          <w:tcPr>
            <w:tcW w:w="1583" w:type="dxa"/>
            <w:noWrap/>
            <w:vAlign w:val="bottom"/>
            <w:hideMark/>
          </w:tcPr>
          <w:p w14:paraId="1F2ABE97" w14:textId="77777777" w:rsidR="007A6A1A" w:rsidRPr="00364020" w:rsidRDefault="007A6A1A" w:rsidP="007A6A1A">
            <w:pPr>
              <w:spacing w:after="160"/>
              <w:rPr>
                <w:sz w:val="20"/>
                <w:szCs w:val="20"/>
              </w:rPr>
            </w:pPr>
            <w:r w:rsidRPr="00364020">
              <w:rPr>
                <w:sz w:val="20"/>
                <w:szCs w:val="20"/>
              </w:rPr>
              <w:t>521.9</w:t>
            </w:r>
          </w:p>
        </w:tc>
        <w:tc>
          <w:tcPr>
            <w:tcW w:w="1835" w:type="dxa"/>
            <w:noWrap/>
            <w:vAlign w:val="bottom"/>
            <w:hideMark/>
          </w:tcPr>
          <w:p w14:paraId="45DE5C6E" w14:textId="77777777" w:rsidR="007A6A1A" w:rsidRPr="00364020" w:rsidRDefault="007A6A1A" w:rsidP="007A6A1A">
            <w:pPr>
              <w:spacing w:after="160"/>
              <w:rPr>
                <w:sz w:val="20"/>
                <w:szCs w:val="20"/>
              </w:rPr>
            </w:pPr>
            <w:r w:rsidRPr="00364020">
              <w:rPr>
                <w:sz w:val="20"/>
                <w:szCs w:val="20"/>
              </w:rPr>
              <w:t>372.7</w:t>
            </w:r>
          </w:p>
        </w:tc>
        <w:tc>
          <w:tcPr>
            <w:tcW w:w="1318" w:type="dxa"/>
            <w:tcBorders>
              <w:top w:val="nil"/>
              <w:left w:val="nil"/>
              <w:bottom w:val="nil"/>
              <w:right w:val="single" w:sz="4" w:space="0" w:color="auto"/>
            </w:tcBorders>
            <w:noWrap/>
            <w:vAlign w:val="bottom"/>
            <w:hideMark/>
          </w:tcPr>
          <w:p w14:paraId="7E8CBCED" w14:textId="77777777" w:rsidR="007A6A1A" w:rsidRPr="00364020" w:rsidRDefault="007A6A1A" w:rsidP="007A6A1A">
            <w:pPr>
              <w:spacing w:after="160"/>
              <w:rPr>
                <w:sz w:val="20"/>
                <w:szCs w:val="20"/>
              </w:rPr>
            </w:pPr>
            <w:r w:rsidRPr="00364020">
              <w:rPr>
                <w:sz w:val="20"/>
                <w:szCs w:val="20"/>
              </w:rPr>
              <w:t>1,532.9</w:t>
            </w:r>
          </w:p>
        </w:tc>
      </w:tr>
      <w:tr w:rsidR="007A6A1A" w:rsidRPr="00167CB8" w14:paraId="26D6887F" w14:textId="77777777">
        <w:trPr>
          <w:trHeight w:val="262"/>
        </w:trPr>
        <w:tc>
          <w:tcPr>
            <w:tcW w:w="2752" w:type="dxa"/>
            <w:tcBorders>
              <w:top w:val="nil"/>
              <w:left w:val="single" w:sz="4" w:space="0" w:color="auto"/>
              <w:bottom w:val="nil"/>
              <w:right w:val="nil"/>
            </w:tcBorders>
            <w:noWrap/>
            <w:vAlign w:val="bottom"/>
            <w:hideMark/>
          </w:tcPr>
          <w:p w14:paraId="367F2D03" w14:textId="77777777" w:rsidR="007A6A1A" w:rsidRPr="00364020" w:rsidRDefault="007A6A1A" w:rsidP="007A6A1A">
            <w:pPr>
              <w:spacing w:after="160"/>
              <w:rPr>
                <w:b/>
                <w:bCs/>
                <w:sz w:val="20"/>
                <w:szCs w:val="20"/>
              </w:rPr>
            </w:pPr>
            <w:r w:rsidRPr="00364020">
              <w:rPr>
                <w:b/>
                <w:bCs/>
                <w:sz w:val="20"/>
                <w:szCs w:val="20"/>
              </w:rPr>
              <w:t>All employees</w:t>
            </w:r>
          </w:p>
        </w:tc>
        <w:tc>
          <w:tcPr>
            <w:tcW w:w="1316" w:type="dxa"/>
            <w:noWrap/>
            <w:vAlign w:val="bottom"/>
            <w:hideMark/>
          </w:tcPr>
          <w:p w14:paraId="47EEAF5F" w14:textId="77777777" w:rsidR="007A6A1A" w:rsidRPr="00364020" w:rsidRDefault="007A6A1A" w:rsidP="007A6A1A">
            <w:pPr>
              <w:spacing w:after="160"/>
              <w:rPr>
                <w:b/>
                <w:bCs/>
                <w:sz w:val="20"/>
                <w:szCs w:val="20"/>
              </w:rPr>
            </w:pPr>
            <w:r w:rsidRPr="00364020">
              <w:rPr>
                <w:b/>
                <w:bCs/>
                <w:sz w:val="20"/>
                <w:szCs w:val="20"/>
              </w:rPr>
              <w:t>1,175.6</w:t>
            </w:r>
          </w:p>
        </w:tc>
        <w:tc>
          <w:tcPr>
            <w:tcW w:w="1583" w:type="dxa"/>
            <w:noWrap/>
            <w:vAlign w:val="bottom"/>
            <w:hideMark/>
          </w:tcPr>
          <w:p w14:paraId="2ACA9CD7" w14:textId="77777777" w:rsidR="007A6A1A" w:rsidRPr="00364020" w:rsidRDefault="007A6A1A" w:rsidP="007A6A1A">
            <w:pPr>
              <w:spacing w:after="160"/>
              <w:rPr>
                <w:b/>
                <w:bCs/>
                <w:sz w:val="20"/>
                <w:szCs w:val="20"/>
              </w:rPr>
            </w:pPr>
            <w:r w:rsidRPr="00364020">
              <w:rPr>
                <w:b/>
                <w:bCs/>
                <w:sz w:val="20"/>
                <w:szCs w:val="20"/>
              </w:rPr>
              <w:t>1,836.4</w:t>
            </w:r>
          </w:p>
        </w:tc>
        <w:tc>
          <w:tcPr>
            <w:tcW w:w="1835" w:type="dxa"/>
            <w:noWrap/>
            <w:vAlign w:val="bottom"/>
            <w:hideMark/>
          </w:tcPr>
          <w:p w14:paraId="39EFA8F7" w14:textId="77777777" w:rsidR="007A6A1A" w:rsidRPr="00364020" w:rsidRDefault="007A6A1A" w:rsidP="007A6A1A">
            <w:pPr>
              <w:spacing w:after="160"/>
              <w:rPr>
                <w:b/>
                <w:bCs/>
                <w:sz w:val="20"/>
                <w:szCs w:val="20"/>
              </w:rPr>
            </w:pPr>
            <w:r w:rsidRPr="00364020">
              <w:rPr>
                <w:b/>
                <w:bCs/>
                <w:sz w:val="20"/>
                <w:szCs w:val="20"/>
              </w:rPr>
              <w:t>2,738.2</w:t>
            </w:r>
          </w:p>
        </w:tc>
        <w:tc>
          <w:tcPr>
            <w:tcW w:w="1318" w:type="dxa"/>
            <w:tcBorders>
              <w:top w:val="nil"/>
              <w:left w:val="nil"/>
              <w:bottom w:val="nil"/>
              <w:right w:val="single" w:sz="4" w:space="0" w:color="auto"/>
            </w:tcBorders>
            <w:noWrap/>
            <w:vAlign w:val="bottom"/>
            <w:hideMark/>
          </w:tcPr>
          <w:p w14:paraId="3A31E2CC" w14:textId="77777777" w:rsidR="007A6A1A" w:rsidRPr="00364020" w:rsidRDefault="007A6A1A" w:rsidP="007A6A1A">
            <w:pPr>
              <w:spacing w:after="160"/>
              <w:rPr>
                <w:sz w:val="20"/>
                <w:szCs w:val="20"/>
              </w:rPr>
            </w:pPr>
            <w:r w:rsidRPr="00364020">
              <w:rPr>
                <w:sz w:val="20"/>
                <w:szCs w:val="20"/>
              </w:rPr>
              <w:t>5,750.2</w:t>
            </w:r>
          </w:p>
        </w:tc>
      </w:tr>
      <w:tr w:rsidR="007A6A1A" w:rsidRPr="00167CB8" w14:paraId="579EF219" w14:textId="77777777">
        <w:trPr>
          <w:trHeight w:val="262"/>
        </w:trPr>
        <w:tc>
          <w:tcPr>
            <w:tcW w:w="2752" w:type="dxa"/>
            <w:tcBorders>
              <w:top w:val="nil"/>
              <w:left w:val="single" w:sz="4" w:space="0" w:color="auto"/>
              <w:bottom w:val="nil"/>
              <w:right w:val="nil"/>
            </w:tcBorders>
            <w:noWrap/>
            <w:vAlign w:val="bottom"/>
            <w:hideMark/>
          </w:tcPr>
          <w:p w14:paraId="0F3F488E" w14:textId="77777777" w:rsidR="007A6A1A" w:rsidRPr="00364020" w:rsidRDefault="007A6A1A" w:rsidP="007A6A1A">
            <w:pPr>
              <w:spacing w:after="160"/>
              <w:rPr>
                <w:sz w:val="20"/>
                <w:szCs w:val="20"/>
              </w:rPr>
            </w:pPr>
            <w:r w:rsidRPr="00364020">
              <w:rPr>
                <w:sz w:val="20"/>
                <w:szCs w:val="20"/>
              </w:rPr>
              <w:t>Females</w:t>
            </w:r>
          </w:p>
        </w:tc>
        <w:tc>
          <w:tcPr>
            <w:tcW w:w="1316" w:type="dxa"/>
            <w:noWrap/>
            <w:vAlign w:val="bottom"/>
            <w:hideMark/>
          </w:tcPr>
          <w:p w14:paraId="09CF2FF4" w14:textId="77777777" w:rsidR="007A6A1A" w:rsidRPr="00364020" w:rsidRDefault="007A6A1A" w:rsidP="007A6A1A">
            <w:pPr>
              <w:spacing w:after="160"/>
              <w:rPr>
                <w:sz w:val="20"/>
                <w:szCs w:val="20"/>
              </w:rPr>
            </w:pPr>
          </w:p>
        </w:tc>
        <w:tc>
          <w:tcPr>
            <w:tcW w:w="1583" w:type="dxa"/>
            <w:noWrap/>
            <w:vAlign w:val="bottom"/>
            <w:hideMark/>
          </w:tcPr>
          <w:p w14:paraId="6C6F583D" w14:textId="77777777" w:rsidR="007A6A1A" w:rsidRPr="00364020" w:rsidRDefault="007A6A1A" w:rsidP="007A6A1A">
            <w:pPr>
              <w:spacing w:after="160"/>
              <w:rPr>
                <w:sz w:val="20"/>
                <w:szCs w:val="20"/>
              </w:rPr>
            </w:pPr>
          </w:p>
        </w:tc>
        <w:tc>
          <w:tcPr>
            <w:tcW w:w="1835" w:type="dxa"/>
            <w:noWrap/>
            <w:vAlign w:val="bottom"/>
            <w:hideMark/>
          </w:tcPr>
          <w:p w14:paraId="069909A2" w14:textId="77777777" w:rsidR="007A6A1A" w:rsidRPr="00364020" w:rsidRDefault="007A6A1A" w:rsidP="007A6A1A">
            <w:pPr>
              <w:spacing w:after="160"/>
              <w:rPr>
                <w:sz w:val="20"/>
                <w:szCs w:val="20"/>
              </w:rPr>
            </w:pPr>
          </w:p>
        </w:tc>
        <w:tc>
          <w:tcPr>
            <w:tcW w:w="1318" w:type="dxa"/>
            <w:tcBorders>
              <w:top w:val="nil"/>
              <w:left w:val="nil"/>
              <w:bottom w:val="nil"/>
              <w:right w:val="single" w:sz="4" w:space="0" w:color="auto"/>
            </w:tcBorders>
            <w:noWrap/>
            <w:vAlign w:val="bottom"/>
            <w:hideMark/>
          </w:tcPr>
          <w:p w14:paraId="38134DDD" w14:textId="77777777" w:rsidR="007A6A1A" w:rsidRPr="00364020" w:rsidRDefault="007A6A1A" w:rsidP="007A6A1A">
            <w:pPr>
              <w:spacing w:after="160"/>
              <w:rPr>
                <w:sz w:val="20"/>
                <w:szCs w:val="20"/>
              </w:rPr>
            </w:pPr>
          </w:p>
        </w:tc>
      </w:tr>
      <w:tr w:rsidR="007A6A1A" w:rsidRPr="00167CB8" w14:paraId="63F05660" w14:textId="77777777">
        <w:trPr>
          <w:trHeight w:val="262"/>
        </w:trPr>
        <w:tc>
          <w:tcPr>
            <w:tcW w:w="2752" w:type="dxa"/>
            <w:tcBorders>
              <w:top w:val="nil"/>
              <w:left w:val="single" w:sz="4" w:space="0" w:color="auto"/>
              <w:bottom w:val="nil"/>
              <w:right w:val="nil"/>
            </w:tcBorders>
            <w:noWrap/>
            <w:vAlign w:val="bottom"/>
            <w:hideMark/>
          </w:tcPr>
          <w:p w14:paraId="07BA889F" w14:textId="77777777" w:rsidR="007A6A1A" w:rsidRPr="00364020" w:rsidRDefault="007A6A1A" w:rsidP="007A6A1A">
            <w:pPr>
              <w:spacing w:after="160"/>
              <w:rPr>
                <w:sz w:val="20"/>
                <w:szCs w:val="20"/>
              </w:rPr>
            </w:pPr>
            <w:r w:rsidRPr="00364020">
              <w:rPr>
                <w:sz w:val="20"/>
                <w:szCs w:val="20"/>
              </w:rPr>
              <w:t>Full-time employees</w:t>
            </w:r>
          </w:p>
        </w:tc>
        <w:tc>
          <w:tcPr>
            <w:tcW w:w="1316" w:type="dxa"/>
            <w:noWrap/>
            <w:vAlign w:val="bottom"/>
            <w:hideMark/>
          </w:tcPr>
          <w:p w14:paraId="1A17DF95" w14:textId="77777777" w:rsidR="007A6A1A" w:rsidRPr="00364020" w:rsidRDefault="007A6A1A" w:rsidP="007A6A1A">
            <w:pPr>
              <w:spacing w:after="160"/>
              <w:rPr>
                <w:sz w:val="20"/>
                <w:szCs w:val="20"/>
              </w:rPr>
            </w:pPr>
            <w:r w:rsidRPr="00364020">
              <w:rPr>
                <w:sz w:val="20"/>
                <w:szCs w:val="20"/>
              </w:rPr>
              <w:t>434.4</w:t>
            </w:r>
          </w:p>
        </w:tc>
        <w:tc>
          <w:tcPr>
            <w:tcW w:w="1583" w:type="dxa"/>
            <w:noWrap/>
            <w:vAlign w:val="bottom"/>
            <w:hideMark/>
          </w:tcPr>
          <w:p w14:paraId="20E903DD" w14:textId="77777777" w:rsidR="007A6A1A" w:rsidRPr="00364020" w:rsidRDefault="007A6A1A" w:rsidP="007A6A1A">
            <w:pPr>
              <w:spacing w:after="160"/>
              <w:rPr>
                <w:sz w:val="20"/>
                <w:szCs w:val="20"/>
              </w:rPr>
            </w:pPr>
            <w:r w:rsidRPr="00364020">
              <w:rPr>
                <w:sz w:val="20"/>
                <w:szCs w:val="20"/>
              </w:rPr>
              <w:t>1,068.3</w:t>
            </w:r>
          </w:p>
        </w:tc>
        <w:tc>
          <w:tcPr>
            <w:tcW w:w="1835" w:type="dxa"/>
            <w:noWrap/>
            <w:vAlign w:val="bottom"/>
            <w:hideMark/>
          </w:tcPr>
          <w:p w14:paraId="2645F99F" w14:textId="77777777" w:rsidR="007A6A1A" w:rsidRPr="00364020" w:rsidRDefault="007A6A1A" w:rsidP="007A6A1A">
            <w:pPr>
              <w:spacing w:after="160"/>
              <w:rPr>
                <w:sz w:val="20"/>
                <w:szCs w:val="20"/>
              </w:rPr>
            </w:pPr>
            <w:r w:rsidRPr="00364020">
              <w:rPr>
                <w:sz w:val="20"/>
                <w:szCs w:val="20"/>
              </w:rPr>
              <w:t>1,296.8</w:t>
            </w:r>
          </w:p>
        </w:tc>
        <w:tc>
          <w:tcPr>
            <w:tcW w:w="1318" w:type="dxa"/>
            <w:tcBorders>
              <w:top w:val="nil"/>
              <w:left w:val="nil"/>
              <w:bottom w:val="nil"/>
              <w:right w:val="single" w:sz="4" w:space="0" w:color="auto"/>
            </w:tcBorders>
            <w:noWrap/>
            <w:vAlign w:val="bottom"/>
            <w:hideMark/>
          </w:tcPr>
          <w:p w14:paraId="65861569" w14:textId="77777777" w:rsidR="007A6A1A" w:rsidRPr="00364020" w:rsidRDefault="007A6A1A" w:rsidP="007A6A1A">
            <w:pPr>
              <w:spacing w:after="160"/>
              <w:rPr>
                <w:sz w:val="20"/>
                <w:szCs w:val="20"/>
              </w:rPr>
            </w:pPr>
            <w:r w:rsidRPr="00364020">
              <w:rPr>
                <w:sz w:val="20"/>
                <w:szCs w:val="20"/>
              </w:rPr>
              <w:t>2,799.5</w:t>
            </w:r>
          </w:p>
        </w:tc>
      </w:tr>
      <w:tr w:rsidR="007A6A1A" w:rsidRPr="00167CB8" w14:paraId="6EDD6750" w14:textId="77777777">
        <w:trPr>
          <w:trHeight w:val="262"/>
        </w:trPr>
        <w:tc>
          <w:tcPr>
            <w:tcW w:w="2752" w:type="dxa"/>
            <w:tcBorders>
              <w:top w:val="nil"/>
              <w:left w:val="single" w:sz="4" w:space="0" w:color="auto"/>
              <w:bottom w:val="nil"/>
              <w:right w:val="nil"/>
            </w:tcBorders>
            <w:noWrap/>
            <w:vAlign w:val="bottom"/>
            <w:hideMark/>
          </w:tcPr>
          <w:p w14:paraId="162E9D09" w14:textId="77777777" w:rsidR="007A6A1A" w:rsidRPr="00364020" w:rsidRDefault="007A6A1A" w:rsidP="007A6A1A">
            <w:pPr>
              <w:spacing w:after="160"/>
              <w:rPr>
                <w:sz w:val="20"/>
                <w:szCs w:val="20"/>
              </w:rPr>
            </w:pPr>
            <w:r w:rsidRPr="00364020">
              <w:rPr>
                <w:sz w:val="20"/>
                <w:szCs w:val="20"/>
              </w:rPr>
              <w:t>Part-time employees</w:t>
            </w:r>
          </w:p>
        </w:tc>
        <w:tc>
          <w:tcPr>
            <w:tcW w:w="1316" w:type="dxa"/>
            <w:noWrap/>
            <w:vAlign w:val="bottom"/>
            <w:hideMark/>
          </w:tcPr>
          <w:p w14:paraId="154B14ED" w14:textId="77777777" w:rsidR="007A6A1A" w:rsidRPr="00364020" w:rsidRDefault="007A6A1A" w:rsidP="007A6A1A">
            <w:pPr>
              <w:spacing w:after="160"/>
              <w:rPr>
                <w:sz w:val="20"/>
                <w:szCs w:val="20"/>
              </w:rPr>
            </w:pPr>
            <w:r w:rsidRPr="00364020">
              <w:rPr>
                <w:sz w:val="20"/>
                <w:szCs w:val="20"/>
              </w:rPr>
              <w:t>1,309.7</w:t>
            </w:r>
          </w:p>
        </w:tc>
        <w:tc>
          <w:tcPr>
            <w:tcW w:w="1583" w:type="dxa"/>
            <w:noWrap/>
            <w:vAlign w:val="bottom"/>
            <w:hideMark/>
          </w:tcPr>
          <w:p w14:paraId="7C6E737A" w14:textId="77777777" w:rsidR="007A6A1A" w:rsidRPr="00364020" w:rsidRDefault="007A6A1A" w:rsidP="007A6A1A">
            <w:pPr>
              <w:spacing w:after="160"/>
              <w:rPr>
                <w:sz w:val="20"/>
                <w:szCs w:val="20"/>
              </w:rPr>
            </w:pPr>
            <w:r w:rsidRPr="00364020">
              <w:rPr>
                <w:sz w:val="20"/>
                <w:szCs w:val="20"/>
              </w:rPr>
              <w:t>1,381.2</w:t>
            </w:r>
          </w:p>
        </w:tc>
        <w:tc>
          <w:tcPr>
            <w:tcW w:w="1835" w:type="dxa"/>
            <w:noWrap/>
            <w:vAlign w:val="bottom"/>
            <w:hideMark/>
          </w:tcPr>
          <w:p w14:paraId="3451160B" w14:textId="77777777" w:rsidR="007A6A1A" w:rsidRPr="00364020" w:rsidRDefault="007A6A1A" w:rsidP="007A6A1A">
            <w:pPr>
              <w:spacing w:after="160"/>
              <w:rPr>
                <w:sz w:val="20"/>
                <w:szCs w:val="20"/>
              </w:rPr>
            </w:pPr>
            <w:r w:rsidRPr="00364020">
              <w:rPr>
                <w:sz w:val="20"/>
                <w:szCs w:val="20"/>
              </w:rPr>
              <w:t>836.1</w:t>
            </w:r>
          </w:p>
        </w:tc>
        <w:tc>
          <w:tcPr>
            <w:tcW w:w="1318" w:type="dxa"/>
            <w:tcBorders>
              <w:top w:val="nil"/>
              <w:left w:val="nil"/>
              <w:bottom w:val="nil"/>
              <w:right w:val="single" w:sz="4" w:space="0" w:color="auto"/>
            </w:tcBorders>
            <w:noWrap/>
            <w:vAlign w:val="bottom"/>
            <w:hideMark/>
          </w:tcPr>
          <w:p w14:paraId="25C76E41" w14:textId="77777777" w:rsidR="007A6A1A" w:rsidRPr="00364020" w:rsidRDefault="007A6A1A" w:rsidP="007A6A1A">
            <w:pPr>
              <w:spacing w:after="160"/>
              <w:rPr>
                <w:sz w:val="20"/>
                <w:szCs w:val="20"/>
              </w:rPr>
            </w:pPr>
            <w:r w:rsidRPr="00364020">
              <w:rPr>
                <w:sz w:val="20"/>
                <w:szCs w:val="20"/>
              </w:rPr>
              <w:t>3,527.0</w:t>
            </w:r>
          </w:p>
        </w:tc>
      </w:tr>
      <w:tr w:rsidR="007A6A1A" w:rsidRPr="00167CB8" w14:paraId="3E06E153" w14:textId="77777777">
        <w:trPr>
          <w:trHeight w:val="262"/>
        </w:trPr>
        <w:tc>
          <w:tcPr>
            <w:tcW w:w="2752" w:type="dxa"/>
            <w:tcBorders>
              <w:top w:val="nil"/>
              <w:left w:val="single" w:sz="4" w:space="0" w:color="auto"/>
              <w:bottom w:val="nil"/>
              <w:right w:val="nil"/>
            </w:tcBorders>
            <w:noWrap/>
            <w:vAlign w:val="bottom"/>
            <w:hideMark/>
          </w:tcPr>
          <w:p w14:paraId="3ED14EA4" w14:textId="77777777" w:rsidR="007A6A1A" w:rsidRPr="00364020" w:rsidRDefault="007A6A1A" w:rsidP="007A6A1A">
            <w:pPr>
              <w:spacing w:after="160"/>
              <w:rPr>
                <w:b/>
                <w:bCs/>
                <w:sz w:val="20"/>
                <w:szCs w:val="20"/>
              </w:rPr>
            </w:pPr>
            <w:r w:rsidRPr="00364020">
              <w:rPr>
                <w:b/>
                <w:bCs/>
                <w:sz w:val="20"/>
                <w:szCs w:val="20"/>
              </w:rPr>
              <w:t>All employees</w:t>
            </w:r>
          </w:p>
        </w:tc>
        <w:tc>
          <w:tcPr>
            <w:tcW w:w="1316" w:type="dxa"/>
            <w:noWrap/>
            <w:vAlign w:val="bottom"/>
            <w:hideMark/>
          </w:tcPr>
          <w:p w14:paraId="7EC2B6AD" w14:textId="77777777" w:rsidR="007A6A1A" w:rsidRPr="00364020" w:rsidRDefault="007A6A1A" w:rsidP="007A6A1A">
            <w:pPr>
              <w:spacing w:after="160"/>
              <w:rPr>
                <w:b/>
                <w:bCs/>
                <w:sz w:val="20"/>
                <w:szCs w:val="20"/>
              </w:rPr>
            </w:pPr>
            <w:r w:rsidRPr="00364020">
              <w:rPr>
                <w:b/>
                <w:bCs/>
                <w:sz w:val="20"/>
                <w:szCs w:val="20"/>
              </w:rPr>
              <w:t>1,744.2</w:t>
            </w:r>
          </w:p>
        </w:tc>
        <w:tc>
          <w:tcPr>
            <w:tcW w:w="1583" w:type="dxa"/>
            <w:noWrap/>
            <w:vAlign w:val="bottom"/>
            <w:hideMark/>
          </w:tcPr>
          <w:p w14:paraId="0EE70788" w14:textId="77777777" w:rsidR="007A6A1A" w:rsidRPr="00364020" w:rsidRDefault="007A6A1A" w:rsidP="007A6A1A">
            <w:pPr>
              <w:spacing w:after="160"/>
              <w:rPr>
                <w:b/>
                <w:bCs/>
                <w:sz w:val="20"/>
                <w:szCs w:val="20"/>
              </w:rPr>
            </w:pPr>
            <w:r w:rsidRPr="00364020">
              <w:rPr>
                <w:b/>
                <w:bCs/>
                <w:sz w:val="20"/>
                <w:szCs w:val="20"/>
              </w:rPr>
              <w:t>2,449.5</w:t>
            </w:r>
          </w:p>
        </w:tc>
        <w:tc>
          <w:tcPr>
            <w:tcW w:w="1835" w:type="dxa"/>
            <w:noWrap/>
            <w:vAlign w:val="bottom"/>
            <w:hideMark/>
          </w:tcPr>
          <w:p w14:paraId="5018A979" w14:textId="77777777" w:rsidR="007A6A1A" w:rsidRPr="00364020" w:rsidRDefault="007A6A1A" w:rsidP="007A6A1A">
            <w:pPr>
              <w:spacing w:after="160"/>
              <w:rPr>
                <w:b/>
                <w:bCs/>
                <w:sz w:val="20"/>
                <w:szCs w:val="20"/>
              </w:rPr>
            </w:pPr>
            <w:r w:rsidRPr="00364020">
              <w:rPr>
                <w:b/>
                <w:bCs/>
                <w:sz w:val="20"/>
                <w:szCs w:val="20"/>
              </w:rPr>
              <w:t>2,132.9</w:t>
            </w:r>
          </w:p>
        </w:tc>
        <w:tc>
          <w:tcPr>
            <w:tcW w:w="1318" w:type="dxa"/>
            <w:tcBorders>
              <w:top w:val="nil"/>
              <w:left w:val="nil"/>
              <w:bottom w:val="nil"/>
              <w:right w:val="single" w:sz="4" w:space="0" w:color="auto"/>
            </w:tcBorders>
            <w:noWrap/>
            <w:vAlign w:val="bottom"/>
            <w:hideMark/>
          </w:tcPr>
          <w:p w14:paraId="5D2A6238" w14:textId="77777777" w:rsidR="007A6A1A" w:rsidRPr="00364020" w:rsidRDefault="007A6A1A" w:rsidP="007A6A1A">
            <w:pPr>
              <w:spacing w:after="160"/>
              <w:rPr>
                <w:sz w:val="20"/>
                <w:szCs w:val="20"/>
              </w:rPr>
            </w:pPr>
            <w:r w:rsidRPr="00364020">
              <w:rPr>
                <w:sz w:val="20"/>
                <w:szCs w:val="20"/>
              </w:rPr>
              <w:t>6,326.6</w:t>
            </w:r>
          </w:p>
        </w:tc>
      </w:tr>
      <w:tr w:rsidR="007A6A1A" w:rsidRPr="00167CB8" w14:paraId="3672E7AE" w14:textId="77777777">
        <w:trPr>
          <w:trHeight w:val="262"/>
        </w:trPr>
        <w:tc>
          <w:tcPr>
            <w:tcW w:w="2752" w:type="dxa"/>
            <w:tcBorders>
              <w:top w:val="nil"/>
              <w:left w:val="single" w:sz="4" w:space="0" w:color="auto"/>
              <w:bottom w:val="nil"/>
              <w:right w:val="nil"/>
            </w:tcBorders>
            <w:noWrap/>
            <w:vAlign w:val="bottom"/>
            <w:hideMark/>
          </w:tcPr>
          <w:p w14:paraId="28FF04F8" w14:textId="77777777" w:rsidR="007A6A1A" w:rsidRPr="00364020" w:rsidRDefault="007A6A1A" w:rsidP="007A6A1A">
            <w:pPr>
              <w:spacing w:after="160"/>
              <w:rPr>
                <w:sz w:val="20"/>
                <w:szCs w:val="20"/>
              </w:rPr>
            </w:pPr>
            <w:r w:rsidRPr="00364020">
              <w:rPr>
                <w:sz w:val="20"/>
                <w:szCs w:val="20"/>
              </w:rPr>
              <w:t>Persons</w:t>
            </w:r>
          </w:p>
        </w:tc>
        <w:tc>
          <w:tcPr>
            <w:tcW w:w="1316" w:type="dxa"/>
            <w:noWrap/>
            <w:vAlign w:val="bottom"/>
            <w:hideMark/>
          </w:tcPr>
          <w:p w14:paraId="5A6E7370" w14:textId="77777777" w:rsidR="007A6A1A" w:rsidRPr="00364020" w:rsidRDefault="007A6A1A" w:rsidP="007A6A1A">
            <w:pPr>
              <w:spacing w:after="160"/>
              <w:rPr>
                <w:sz w:val="20"/>
                <w:szCs w:val="20"/>
              </w:rPr>
            </w:pPr>
          </w:p>
        </w:tc>
        <w:tc>
          <w:tcPr>
            <w:tcW w:w="1583" w:type="dxa"/>
            <w:noWrap/>
            <w:vAlign w:val="bottom"/>
            <w:hideMark/>
          </w:tcPr>
          <w:p w14:paraId="5A4F6541" w14:textId="77777777" w:rsidR="007A6A1A" w:rsidRPr="00364020" w:rsidRDefault="007A6A1A" w:rsidP="007A6A1A">
            <w:pPr>
              <w:spacing w:after="160"/>
              <w:rPr>
                <w:sz w:val="20"/>
                <w:szCs w:val="20"/>
              </w:rPr>
            </w:pPr>
          </w:p>
        </w:tc>
        <w:tc>
          <w:tcPr>
            <w:tcW w:w="1835" w:type="dxa"/>
            <w:noWrap/>
            <w:vAlign w:val="bottom"/>
            <w:hideMark/>
          </w:tcPr>
          <w:p w14:paraId="32EC5916" w14:textId="77777777" w:rsidR="007A6A1A" w:rsidRPr="00364020" w:rsidRDefault="007A6A1A" w:rsidP="007A6A1A">
            <w:pPr>
              <w:spacing w:after="160"/>
              <w:rPr>
                <w:sz w:val="20"/>
                <w:szCs w:val="20"/>
              </w:rPr>
            </w:pPr>
          </w:p>
        </w:tc>
        <w:tc>
          <w:tcPr>
            <w:tcW w:w="1318" w:type="dxa"/>
            <w:tcBorders>
              <w:top w:val="nil"/>
              <w:left w:val="nil"/>
              <w:bottom w:val="nil"/>
              <w:right w:val="single" w:sz="4" w:space="0" w:color="auto"/>
            </w:tcBorders>
            <w:noWrap/>
            <w:vAlign w:val="bottom"/>
            <w:hideMark/>
          </w:tcPr>
          <w:p w14:paraId="30227F1A" w14:textId="77777777" w:rsidR="007A6A1A" w:rsidRPr="00364020" w:rsidRDefault="007A6A1A" w:rsidP="007A6A1A">
            <w:pPr>
              <w:spacing w:after="160"/>
              <w:rPr>
                <w:sz w:val="20"/>
                <w:szCs w:val="20"/>
              </w:rPr>
            </w:pPr>
          </w:p>
        </w:tc>
      </w:tr>
      <w:tr w:rsidR="007A6A1A" w:rsidRPr="00167CB8" w14:paraId="31F5E3B4" w14:textId="77777777">
        <w:trPr>
          <w:trHeight w:val="262"/>
        </w:trPr>
        <w:tc>
          <w:tcPr>
            <w:tcW w:w="2752" w:type="dxa"/>
            <w:tcBorders>
              <w:top w:val="nil"/>
              <w:left w:val="single" w:sz="4" w:space="0" w:color="auto"/>
              <w:bottom w:val="nil"/>
              <w:right w:val="nil"/>
            </w:tcBorders>
            <w:noWrap/>
            <w:vAlign w:val="bottom"/>
            <w:hideMark/>
          </w:tcPr>
          <w:p w14:paraId="712ED2E1" w14:textId="77777777" w:rsidR="007A6A1A" w:rsidRPr="00364020" w:rsidRDefault="007A6A1A" w:rsidP="007A6A1A">
            <w:pPr>
              <w:spacing w:after="160"/>
              <w:rPr>
                <w:sz w:val="20"/>
                <w:szCs w:val="20"/>
              </w:rPr>
            </w:pPr>
            <w:r w:rsidRPr="00364020">
              <w:rPr>
                <w:sz w:val="20"/>
                <w:szCs w:val="20"/>
              </w:rPr>
              <w:t>Full-time employees</w:t>
            </w:r>
          </w:p>
        </w:tc>
        <w:tc>
          <w:tcPr>
            <w:tcW w:w="1316" w:type="dxa"/>
            <w:noWrap/>
            <w:vAlign w:val="bottom"/>
            <w:hideMark/>
          </w:tcPr>
          <w:p w14:paraId="2C5CE552" w14:textId="77777777" w:rsidR="007A6A1A" w:rsidRPr="00364020" w:rsidRDefault="007A6A1A" w:rsidP="007A6A1A">
            <w:pPr>
              <w:spacing w:after="160"/>
              <w:rPr>
                <w:sz w:val="20"/>
                <w:szCs w:val="20"/>
              </w:rPr>
            </w:pPr>
            <w:r w:rsidRPr="00364020">
              <w:rPr>
                <w:sz w:val="20"/>
                <w:szCs w:val="20"/>
              </w:rPr>
              <w:t>971.7</w:t>
            </w:r>
          </w:p>
        </w:tc>
        <w:tc>
          <w:tcPr>
            <w:tcW w:w="1583" w:type="dxa"/>
            <w:noWrap/>
            <w:vAlign w:val="bottom"/>
            <w:hideMark/>
          </w:tcPr>
          <w:p w14:paraId="02D63DB4" w14:textId="77777777" w:rsidR="007A6A1A" w:rsidRPr="00364020" w:rsidRDefault="007A6A1A" w:rsidP="007A6A1A">
            <w:pPr>
              <w:spacing w:after="160"/>
              <w:rPr>
                <w:sz w:val="20"/>
                <w:szCs w:val="20"/>
              </w:rPr>
            </w:pPr>
            <w:r w:rsidRPr="00364020">
              <w:rPr>
                <w:sz w:val="20"/>
                <w:szCs w:val="20"/>
              </w:rPr>
              <w:t>2,382.8</w:t>
            </w:r>
          </w:p>
        </w:tc>
        <w:tc>
          <w:tcPr>
            <w:tcW w:w="1835" w:type="dxa"/>
            <w:noWrap/>
            <w:vAlign w:val="bottom"/>
            <w:hideMark/>
          </w:tcPr>
          <w:p w14:paraId="7009DDBB" w14:textId="77777777" w:rsidR="007A6A1A" w:rsidRPr="00364020" w:rsidRDefault="007A6A1A" w:rsidP="007A6A1A">
            <w:pPr>
              <w:spacing w:after="160"/>
              <w:rPr>
                <w:sz w:val="20"/>
                <w:szCs w:val="20"/>
              </w:rPr>
            </w:pPr>
            <w:r w:rsidRPr="00364020">
              <w:rPr>
                <w:sz w:val="20"/>
                <w:szCs w:val="20"/>
              </w:rPr>
              <w:t>3,662.3</w:t>
            </w:r>
          </w:p>
        </w:tc>
        <w:tc>
          <w:tcPr>
            <w:tcW w:w="1318" w:type="dxa"/>
            <w:tcBorders>
              <w:top w:val="nil"/>
              <w:left w:val="nil"/>
              <w:bottom w:val="nil"/>
              <w:right w:val="single" w:sz="4" w:space="0" w:color="auto"/>
            </w:tcBorders>
            <w:noWrap/>
            <w:vAlign w:val="bottom"/>
            <w:hideMark/>
          </w:tcPr>
          <w:p w14:paraId="458C49BE" w14:textId="77777777" w:rsidR="007A6A1A" w:rsidRPr="00364020" w:rsidRDefault="007A6A1A" w:rsidP="007A6A1A">
            <w:pPr>
              <w:spacing w:after="160"/>
              <w:rPr>
                <w:sz w:val="20"/>
                <w:szCs w:val="20"/>
              </w:rPr>
            </w:pPr>
            <w:r w:rsidRPr="00364020">
              <w:rPr>
                <w:sz w:val="20"/>
                <w:szCs w:val="20"/>
              </w:rPr>
              <w:t>7,016.8</w:t>
            </w:r>
          </w:p>
        </w:tc>
      </w:tr>
      <w:tr w:rsidR="007A6A1A" w:rsidRPr="00167CB8" w14:paraId="61651903" w14:textId="77777777">
        <w:trPr>
          <w:trHeight w:val="262"/>
        </w:trPr>
        <w:tc>
          <w:tcPr>
            <w:tcW w:w="2752" w:type="dxa"/>
            <w:tcBorders>
              <w:top w:val="nil"/>
              <w:left w:val="single" w:sz="4" w:space="0" w:color="auto"/>
              <w:bottom w:val="nil"/>
              <w:right w:val="nil"/>
            </w:tcBorders>
            <w:noWrap/>
            <w:vAlign w:val="bottom"/>
            <w:hideMark/>
          </w:tcPr>
          <w:p w14:paraId="412D3686" w14:textId="77777777" w:rsidR="007A6A1A" w:rsidRPr="00364020" w:rsidRDefault="007A6A1A" w:rsidP="007A6A1A">
            <w:pPr>
              <w:spacing w:after="160"/>
              <w:rPr>
                <w:sz w:val="20"/>
                <w:szCs w:val="20"/>
              </w:rPr>
            </w:pPr>
            <w:r w:rsidRPr="00364020">
              <w:rPr>
                <w:sz w:val="20"/>
                <w:szCs w:val="20"/>
              </w:rPr>
              <w:t>Part-time employees</w:t>
            </w:r>
          </w:p>
        </w:tc>
        <w:tc>
          <w:tcPr>
            <w:tcW w:w="1316" w:type="dxa"/>
            <w:noWrap/>
            <w:vAlign w:val="bottom"/>
            <w:hideMark/>
          </w:tcPr>
          <w:p w14:paraId="7E918D1D" w14:textId="77777777" w:rsidR="007A6A1A" w:rsidRPr="00364020" w:rsidRDefault="007A6A1A" w:rsidP="007A6A1A">
            <w:pPr>
              <w:spacing w:after="160"/>
              <w:rPr>
                <w:sz w:val="20"/>
                <w:szCs w:val="20"/>
              </w:rPr>
            </w:pPr>
            <w:r w:rsidRPr="00364020">
              <w:rPr>
                <w:sz w:val="20"/>
                <w:szCs w:val="20"/>
              </w:rPr>
              <w:t>1,948.0</w:t>
            </w:r>
          </w:p>
        </w:tc>
        <w:tc>
          <w:tcPr>
            <w:tcW w:w="1583" w:type="dxa"/>
            <w:noWrap/>
            <w:vAlign w:val="bottom"/>
            <w:hideMark/>
          </w:tcPr>
          <w:p w14:paraId="30DF9AF4" w14:textId="77777777" w:rsidR="007A6A1A" w:rsidRPr="00364020" w:rsidRDefault="007A6A1A" w:rsidP="007A6A1A">
            <w:pPr>
              <w:spacing w:after="160"/>
              <w:rPr>
                <w:sz w:val="20"/>
                <w:szCs w:val="20"/>
              </w:rPr>
            </w:pPr>
            <w:r w:rsidRPr="00364020">
              <w:rPr>
                <w:sz w:val="20"/>
                <w:szCs w:val="20"/>
              </w:rPr>
              <w:t>1,903.1</w:t>
            </w:r>
          </w:p>
        </w:tc>
        <w:tc>
          <w:tcPr>
            <w:tcW w:w="1835" w:type="dxa"/>
            <w:noWrap/>
            <w:vAlign w:val="bottom"/>
            <w:hideMark/>
          </w:tcPr>
          <w:p w14:paraId="0D486194" w14:textId="77777777" w:rsidR="007A6A1A" w:rsidRPr="00364020" w:rsidRDefault="007A6A1A" w:rsidP="007A6A1A">
            <w:pPr>
              <w:spacing w:after="160"/>
              <w:rPr>
                <w:sz w:val="20"/>
                <w:szCs w:val="20"/>
              </w:rPr>
            </w:pPr>
            <w:r w:rsidRPr="00364020">
              <w:rPr>
                <w:sz w:val="20"/>
                <w:szCs w:val="20"/>
              </w:rPr>
              <w:t>1,208.8</w:t>
            </w:r>
          </w:p>
        </w:tc>
        <w:tc>
          <w:tcPr>
            <w:tcW w:w="1318" w:type="dxa"/>
            <w:tcBorders>
              <w:top w:val="nil"/>
              <w:left w:val="nil"/>
              <w:bottom w:val="nil"/>
              <w:right w:val="single" w:sz="4" w:space="0" w:color="auto"/>
            </w:tcBorders>
            <w:noWrap/>
            <w:vAlign w:val="bottom"/>
            <w:hideMark/>
          </w:tcPr>
          <w:p w14:paraId="2CD42390" w14:textId="77777777" w:rsidR="007A6A1A" w:rsidRPr="00364020" w:rsidRDefault="007A6A1A" w:rsidP="007A6A1A">
            <w:pPr>
              <w:spacing w:after="160"/>
              <w:rPr>
                <w:sz w:val="20"/>
                <w:szCs w:val="20"/>
              </w:rPr>
            </w:pPr>
            <w:r w:rsidRPr="00364020">
              <w:rPr>
                <w:sz w:val="20"/>
                <w:szCs w:val="20"/>
              </w:rPr>
              <w:t>5,059.9</w:t>
            </w:r>
          </w:p>
        </w:tc>
      </w:tr>
      <w:tr w:rsidR="007A6A1A" w:rsidRPr="00167CB8" w14:paraId="5E51103C" w14:textId="77777777">
        <w:trPr>
          <w:trHeight w:val="262"/>
        </w:trPr>
        <w:tc>
          <w:tcPr>
            <w:tcW w:w="2752" w:type="dxa"/>
            <w:tcBorders>
              <w:top w:val="nil"/>
              <w:left w:val="single" w:sz="4" w:space="0" w:color="auto"/>
              <w:bottom w:val="single" w:sz="4" w:space="0" w:color="auto"/>
              <w:right w:val="nil"/>
            </w:tcBorders>
            <w:noWrap/>
            <w:vAlign w:val="bottom"/>
            <w:hideMark/>
          </w:tcPr>
          <w:p w14:paraId="7E7D6FCA" w14:textId="77777777" w:rsidR="007A6A1A" w:rsidRPr="00364020" w:rsidRDefault="007A6A1A" w:rsidP="007A6A1A">
            <w:pPr>
              <w:spacing w:after="160"/>
              <w:rPr>
                <w:b/>
                <w:bCs/>
                <w:sz w:val="20"/>
                <w:szCs w:val="20"/>
              </w:rPr>
            </w:pPr>
            <w:r w:rsidRPr="00364020">
              <w:rPr>
                <w:b/>
                <w:bCs/>
                <w:sz w:val="20"/>
                <w:szCs w:val="20"/>
              </w:rPr>
              <w:t>All employees</w:t>
            </w:r>
          </w:p>
        </w:tc>
        <w:tc>
          <w:tcPr>
            <w:tcW w:w="1316" w:type="dxa"/>
            <w:tcBorders>
              <w:top w:val="nil"/>
              <w:left w:val="nil"/>
              <w:bottom w:val="single" w:sz="4" w:space="0" w:color="auto"/>
              <w:right w:val="nil"/>
            </w:tcBorders>
            <w:noWrap/>
            <w:vAlign w:val="bottom"/>
            <w:hideMark/>
          </w:tcPr>
          <w:p w14:paraId="2D368135" w14:textId="77777777" w:rsidR="007A6A1A" w:rsidRPr="00364020" w:rsidRDefault="007A6A1A" w:rsidP="007A6A1A">
            <w:pPr>
              <w:spacing w:after="160"/>
              <w:rPr>
                <w:b/>
                <w:bCs/>
                <w:sz w:val="20"/>
                <w:szCs w:val="20"/>
              </w:rPr>
            </w:pPr>
            <w:r w:rsidRPr="00364020">
              <w:rPr>
                <w:b/>
                <w:bCs/>
                <w:sz w:val="20"/>
                <w:szCs w:val="20"/>
              </w:rPr>
              <w:t>2,919.8</w:t>
            </w:r>
          </w:p>
        </w:tc>
        <w:tc>
          <w:tcPr>
            <w:tcW w:w="1583" w:type="dxa"/>
            <w:tcBorders>
              <w:top w:val="nil"/>
              <w:left w:val="nil"/>
              <w:bottom w:val="single" w:sz="4" w:space="0" w:color="auto"/>
              <w:right w:val="nil"/>
            </w:tcBorders>
            <w:noWrap/>
            <w:vAlign w:val="bottom"/>
            <w:hideMark/>
          </w:tcPr>
          <w:p w14:paraId="1F07AC97" w14:textId="77777777" w:rsidR="007A6A1A" w:rsidRPr="00364020" w:rsidRDefault="007A6A1A" w:rsidP="007A6A1A">
            <w:pPr>
              <w:spacing w:after="160"/>
              <w:rPr>
                <w:b/>
                <w:bCs/>
                <w:sz w:val="20"/>
                <w:szCs w:val="20"/>
              </w:rPr>
            </w:pPr>
            <w:r w:rsidRPr="00364020">
              <w:rPr>
                <w:b/>
                <w:bCs/>
                <w:sz w:val="20"/>
                <w:szCs w:val="20"/>
              </w:rPr>
              <w:t>4,285.9</w:t>
            </w:r>
          </w:p>
        </w:tc>
        <w:tc>
          <w:tcPr>
            <w:tcW w:w="1835" w:type="dxa"/>
            <w:tcBorders>
              <w:top w:val="nil"/>
              <w:left w:val="nil"/>
              <w:bottom w:val="single" w:sz="4" w:space="0" w:color="auto"/>
              <w:right w:val="nil"/>
            </w:tcBorders>
            <w:noWrap/>
            <w:vAlign w:val="bottom"/>
            <w:hideMark/>
          </w:tcPr>
          <w:p w14:paraId="0474EAA3" w14:textId="77777777" w:rsidR="007A6A1A" w:rsidRPr="00364020" w:rsidRDefault="007A6A1A" w:rsidP="007A6A1A">
            <w:pPr>
              <w:spacing w:after="160"/>
              <w:rPr>
                <w:b/>
                <w:bCs/>
                <w:sz w:val="20"/>
                <w:szCs w:val="20"/>
              </w:rPr>
            </w:pPr>
            <w:r w:rsidRPr="00364020">
              <w:rPr>
                <w:b/>
                <w:bCs/>
                <w:sz w:val="20"/>
                <w:szCs w:val="20"/>
              </w:rPr>
              <w:t>4,871.2</w:t>
            </w:r>
          </w:p>
        </w:tc>
        <w:tc>
          <w:tcPr>
            <w:tcW w:w="1318" w:type="dxa"/>
            <w:tcBorders>
              <w:top w:val="nil"/>
              <w:left w:val="nil"/>
              <w:bottom w:val="single" w:sz="4" w:space="0" w:color="auto"/>
              <w:right w:val="single" w:sz="4" w:space="0" w:color="auto"/>
            </w:tcBorders>
            <w:noWrap/>
            <w:vAlign w:val="bottom"/>
            <w:hideMark/>
          </w:tcPr>
          <w:p w14:paraId="145A1129" w14:textId="77777777" w:rsidR="007A6A1A" w:rsidRPr="00364020" w:rsidRDefault="007A6A1A" w:rsidP="007A6A1A">
            <w:pPr>
              <w:spacing w:after="160"/>
              <w:rPr>
                <w:sz w:val="20"/>
                <w:szCs w:val="20"/>
              </w:rPr>
            </w:pPr>
            <w:r w:rsidRPr="00364020">
              <w:rPr>
                <w:sz w:val="20"/>
                <w:szCs w:val="20"/>
              </w:rPr>
              <w:t>12,076.9</w:t>
            </w:r>
          </w:p>
        </w:tc>
      </w:tr>
    </w:tbl>
    <w:p w14:paraId="66E8AC6E" w14:textId="77777777" w:rsidR="007A6A1A" w:rsidRPr="00167CB8" w:rsidRDefault="007A6A1A" w:rsidP="00C87E4A">
      <w:pPr>
        <w:pStyle w:val="Source"/>
      </w:pPr>
      <w:r w:rsidRPr="00167CB8">
        <w:rPr>
          <w:b/>
          <w:bCs/>
        </w:rPr>
        <w:t>Source:</w:t>
      </w:r>
      <w:r w:rsidRPr="00167CB8">
        <w:t xml:space="preserve"> ABS 6306.0 Employee Earnings and Hours, May 2023. Table 1. </w:t>
      </w:r>
    </w:p>
    <w:p w14:paraId="397AFBDC" w14:textId="00705D27" w:rsidR="007A6A1A" w:rsidRPr="00167CB8" w:rsidRDefault="007A6A1A" w:rsidP="00C87E4A">
      <w:pPr>
        <w:pStyle w:val="Source"/>
      </w:pPr>
      <w:r w:rsidRPr="00167CB8">
        <w:rPr>
          <w:b/>
          <w:bCs/>
        </w:rPr>
        <w:t>Alt-text:</w:t>
      </w:r>
      <w:r w:rsidRPr="00167CB8">
        <w:t xml:space="preserve"> A table showing the number of employees by method of pay setting. At May 2023 there were 2.9</w:t>
      </w:r>
      <w:r w:rsidR="00C87E4A" w:rsidRPr="00167CB8">
        <w:t xml:space="preserve"> </w:t>
      </w:r>
      <w:r w:rsidRPr="00167CB8">
        <w:t xml:space="preserve">million workers who were paid according to the award (only) in their main job. The majority of employees are paid by an individual arrangement. </w:t>
      </w:r>
    </w:p>
    <w:p w14:paraId="75CD9763" w14:textId="21B7486B" w:rsidR="007A6A1A" w:rsidRPr="00167CB8" w:rsidRDefault="007A6A1A" w:rsidP="007A6A1A">
      <w:pPr>
        <w:spacing w:after="160"/>
      </w:pPr>
      <w:r w:rsidRPr="00167CB8">
        <w:t>The above information is re-presented in</w:t>
      </w:r>
      <w:r w:rsidR="00364020">
        <w:t xml:space="preserve"> Table 44 </w:t>
      </w:r>
      <w:r w:rsidRPr="00167CB8">
        <w:t>in percentages. It shows the size of each group as a share of total employees. For example, of all employees at May 2023, 24.2% were award</w:t>
      </w:r>
      <w:r w:rsidR="00C87E4A" w:rsidRPr="00167CB8">
        <w:t>-</w:t>
      </w:r>
      <w:r w:rsidRPr="00167CB8">
        <w:t>dependent workers. The majority of these award</w:t>
      </w:r>
      <w:r w:rsidR="00C87E4A" w:rsidRPr="00167CB8">
        <w:t>-</w:t>
      </w:r>
      <w:r w:rsidRPr="00167CB8">
        <w:t xml:space="preserve">dependent workers are part-time. Women are over-represented in the award stream while men are more likely to have their pay set via an individual arrangement. </w:t>
      </w:r>
    </w:p>
    <w:p w14:paraId="1FA32966" w14:textId="77777777" w:rsidR="00514601" w:rsidRDefault="00514601">
      <w:pPr>
        <w:spacing w:after="160"/>
        <w:rPr>
          <w:rFonts w:cs="Calibri"/>
          <w:b/>
          <w:bCs/>
          <w:lang w:val="en-US"/>
        </w:rPr>
      </w:pPr>
      <w:bookmarkStart w:id="787" w:name="_Ref184489501"/>
      <w:bookmarkStart w:id="788" w:name="_Ref186906381"/>
      <w:bookmarkStart w:id="789" w:name="_Toc186991822"/>
      <w:bookmarkStart w:id="790" w:name="_Toc189310873"/>
      <w:r>
        <w:br w:type="page"/>
      </w:r>
    </w:p>
    <w:p w14:paraId="6C41E0A6" w14:textId="651988D4" w:rsidR="007A6A1A" w:rsidRPr="00167CB8" w:rsidRDefault="007A6A1A" w:rsidP="00470AB9">
      <w:pPr>
        <w:pStyle w:val="Caption"/>
      </w:pPr>
      <w:r w:rsidRPr="00167CB8">
        <w:lastRenderedPageBreak/>
        <w:t xml:space="preserve">Table </w:t>
      </w:r>
      <w:r w:rsidR="00D75951" w:rsidRPr="00167CB8">
        <w:t>44</w:t>
      </w:r>
      <w:bookmarkEnd w:id="787"/>
      <w:bookmarkEnd w:id="788"/>
      <w:r w:rsidRPr="00167CB8">
        <w:t>: Distribution of employees over different methods of pay setting</w:t>
      </w:r>
      <w:bookmarkEnd w:id="789"/>
      <w:bookmarkEnd w:id="790"/>
    </w:p>
    <w:tbl>
      <w:tblPr>
        <w:tblW w:w="8928" w:type="dxa"/>
        <w:tblLook w:val="04A0" w:firstRow="1" w:lastRow="0" w:firstColumn="1" w:lastColumn="0" w:noHBand="0" w:noVBand="1"/>
      </w:tblPr>
      <w:tblGrid>
        <w:gridCol w:w="2846"/>
        <w:gridCol w:w="1129"/>
        <w:gridCol w:w="1723"/>
        <w:gridCol w:w="1997"/>
        <w:gridCol w:w="1233"/>
      </w:tblGrid>
      <w:tr w:rsidR="007A6A1A" w:rsidRPr="00167CB8" w14:paraId="78196362" w14:textId="77777777">
        <w:trPr>
          <w:trHeight w:val="534"/>
        </w:trPr>
        <w:tc>
          <w:tcPr>
            <w:tcW w:w="2846" w:type="dxa"/>
            <w:tcBorders>
              <w:top w:val="single" w:sz="4" w:space="0" w:color="auto"/>
              <w:left w:val="single" w:sz="4" w:space="0" w:color="auto"/>
              <w:bottom w:val="single" w:sz="4" w:space="0" w:color="auto"/>
              <w:right w:val="nil"/>
            </w:tcBorders>
            <w:vAlign w:val="bottom"/>
            <w:hideMark/>
          </w:tcPr>
          <w:p w14:paraId="36542B74" w14:textId="77777777" w:rsidR="007A6A1A" w:rsidRPr="00167CB8" w:rsidRDefault="007A6A1A" w:rsidP="007A6A1A">
            <w:pPr>
              <w:spacing w:after="160"/>
            </w:pPr>
          </w:p>
        </w:tc>
        <w:tc>
          <w:tcPr>
            <w:tcW w:w="1129" w:type="dxa"/>
            <w:tcBorders>
              <w:top w:val="single" w:sz="4" w:space="0" w:color="auto"/>
              <w:left w:val="nil"/>
              <w:bottom w:val="single" w:sz="4" w:space="0" w:color="auto"/>
              <w:right w:val="nil"/>
            </w:tcBorders>
            <w:vAlign w:val="bottom"/>
            <w:hideMark/>
          </w:tcPr>
          <w:p w14:paraId="5613D163" w14:textId="77777777" w:rsidR="007A6A1A" w:rsidRPr="00167CB8" w:rsidRDefault="007A6A1A" w:rsidP="007A6A1A">
            <w:pPr>
              <w:spacing w:after="160"/>
              <w:rPr>
                <w:b/>
                <w:bCs/>
              </w:rPr>
            </w:pPr>
            <w:r w:rsidRPr="00167CB8">
              <w:rPr>
                <w:b/>
                <w:bCs/>
              </w:rPr>
              <w:t>Award</w:t>
            </w:r>
          </w:p>
        </w:tc>
        <w:tc>
          <w:tcPr>
            <w:tcW w:w="1723" w:type="dxa"/>
            <w:tcBorders>
              <w:top w:val="single" w:sz="4" w:space="0" w:color="auto"/>
              <w:left w:val="nil"/>
              <w:bottom w:val="single" w:sz="4" w:space="0" w:color="auto"/>
              <w:right w:val="nil"/>
            </w:tcBorders>
            <w:vAlign w:val="bottom"/>
            <w:hideMark/>
          </w:tcPr>
          <w:p w14:paraId="5154B169" w14:textId="77777777" w:rsidR="007A6A1A" w:rsidRPr="00167CB8" w:rsidRDefault="007A6A1A" w:rsidP="007A6A1A">
            <w:pPr>
              <w:spacing w:after="160"/>
              <w:rPr>
                <w:b/>
                <w:bCs/>
              </w:rPr>
            </w:pPr>
            <w:r w:rsidRPr="00167CB8">
              <w:rPr>
                <w:b/>
                <w:bCs/>
              </w:rPr>
              <w:t>Collective agreement</w:t>
            </w:r>
          </w:p>
        </w:tc>
        <w:tc>
          <w:tcPr>
            <w:tcW w:w="1997" w:type="dxa"/>
            <w:tcBorders>
              <w:top w:val="single" w:sz="4" w:space="0" w:color="auto"/>
              <w:left w:val="nil"/>
              <w:bottom w:val="single" w:sz="4" w:space="0" w:color="auto"/>
              <w:right w:val="nil"/>
            </w:tcBorders>
            <w:vAlign w:val="bottom"/>
            <w:hideMark/>
          </w:tcPr>
          <w:p w14:paraId="3926D8F2" w14:textId="77777777" w:rsidR="007A6A1A" w:rsidRPr="00167CB8" w:rsidRDefault="007A6A1A" w:rsidP="007A6A1A">
            <w:pPr>
              <w:spacing w:after="160"/>
              <w:rPr>
                <w:b/>
                <w:bCs/>
              </w:rPr>
            </w:pPr>
            <w:r w:rsidRPr="00167CB8">
              <w:rPr>
                <w:b/>
                <w:bCs/>
              </w:rPr>
              <w:t>Individual arrangement</w:t>
            </w:r>
          </w:p>
        </w:tc>
        <w:tc>
          <w:tcPr>
            <w:tcW w:w="1233" w:type="dxa"/>
            <w:tcBorders>
              <w:top w:val="single" w:sz="4" w:space="0" w:color="auto"/>
              <w:left w:val="nil"/>
              <w:bottom w:val="single" w:sz="4" w:space="0" w:color="auto"/>
              <w:right w:val="single" w:sz="4" w:space="0" w:color="auto"/>
            </w:tcBorders>
            <w:vAlign w:val="bottom"/>
            <w:hideMark/>
          </w:tcPr>
          <w:p w14:paraId="225D808D" w14:textId="77777777" w:rsidR="007A6A1A" w:rsidRPr="00167CB8" w:rsidRDefault="007A6A1A" w:rsidP="007A6A1A">
            <w:pPr>
              <w:spacing w:after="160"/>
              <w:rPr>
                <w:b/>
                <w:bCs/>
              </w:rPr>
            </w:pPr>
            <w:r w:rsidRPr="00167CB8">
              <w:rPr>
                <w:b/>
                <w:bCs/>
              </w:rPr>
              <w:t>Total</w:t>
            </w:r>
          </w:p>
        </w:tc>
      </w:tr>
      <w:tr w:rsidR="007A6A1A" w:rsidRPr="00167CB8" w14:paraId="05A83D7B" w14:textId="77777777" w:rsidTr="00364020">
        <w:trPr>
          <w:trHeight w:val="454"/>
        </w:trPr>
        <w:tc>
          <w:tcPr>
            <w:tcW w:w="5698" w:type="dxa"/>
            <w:gridSpan w:val="3"/>
            <w:tcBorders>
              <w:top w:val="single" w:sz="4" w:space="0" w:color="auto"/>
              <w:left w:val="single" w:sz="4" w:space="0" w:color="auto"/>
              <w:bottom w:val="nil"/>
              <w:right w:val="nil"/>
            </w:tcBorders>
            <w:noWrap/>
            <w:vAlign w:val="bottom"/>
            <w:hideMark/>
          </w:tcPr>
          <w:p w14:paraId="01068F5B" w14:textId="77777777" w:rsidR="007A6A1A" w:rsidRPr="00167CB8" w:rsidRDefault="007A6A1A" w:rsidP="00364020">
            <w:pPr>
              <w:spacing w:after="0" w:line="240" w:lineRule="auto"/>
            </w:pPr>
            <w:r w:rsidRPr="00167CB8">
              <w:t>NUMBER OF EMPLOYEES ('000)</w:t>
            </w:r>
          </w:p>
        </w:tc>
        <w:tc>
          <w:tcPr>
            <w:tcW w:w="1997" w:type="dxa"/>
            <w:tcBorders>
              <w:top w:val="single" w:sz="4" w:space="0" w:color="auto"/>
              <w:left w:val="nil"/>
              <w:bottom w:val="nil"/>
              <w:right w:val="nil"/>
            </w:tcBorders>
            <w:noWrap/>
            <w:vAlign w:val="bottom"/>
            <w:hideMark/>
          </w:tcPr>
          <w:p w14:paraId="73B64722" w14:textId="77777777" w:rsidR="007A6A1A" w:rsidRPr="00167CB8" w:rsidRDefault="007A6A1A" w:rsidP="00364020">
            <w:pPr>
              <w:spacing w:after="0" w:line="240" w:lineRule="auto"/>
            </w:pPr>
          </w:p>
        </w:tc>
        <w:tc>
          <w:tcPr>
            <w:tcW w:w="1233" w:type="dxa"/>
            <w:tcBorders>
              <w:top w:val="single" w:sz="4" w:space="0" w:color="auto"/>
              <w:left w:val="nil"/>
              <w:bottom w:val="nil"/>
              <w:right w:val="single" w:sz="4" w:space="0" w:color="auto"/>
            </w:tcBorders>
            <w:noWrap/>
            <w:vAlign w:val="bottom"/>
            <w:hideMark/>
          </w:tcPr>
          <w:p w14:paraId="32D3E295" w14:textId="77777777" w:rsidR="007A6A1A" w:rsidRPr="00167CB8" w:rsidRDefault="007A6A1A" w:rsidP="00364020">
            <w:pPr>
              <w:spacing w:after="0" w:line="240" w:lineRule="auto"/>
            </w:pPr>
          </w:p>
        </w:tc>
      </w:tr>
      <w:tr w:rsidR="007A6A1A" w:rsidRPr="00167CB8" w14:paraId="283A79D8" w14:textId="77777777" w:rsidTr="00364020">
        <w:trPr>
          <w:trHeight w:val="454"/>
        </w:trPr>
        <w:tc>
          <w:tcPr>
            <w:tcW w:w="2846" w:type="dxa"/>
            <w:tcBorders>
              <w:top w:val="nil"/>
              <w:left w:val="single" w:sz="4" w:space="0" w:color="auto"/>
              <w:bottom w:val="nil"/>
              <w:right w:val="nil"/>
            </w:tcBorders>
            <w:noWrap/>
            <w:vAlign w:val="bottom"/>
            <w:hideMark/>
          </w:tcPr>
          <w:p w14:paraId="224B58E0" w14:textId="77777777" w:rsidR="007A6A1A" w:rsidRPr="00167CB8" w:rsidRDefault="007A6A1A" w:rsidP="00364020">
            <w:pPr>
              <w:spacing w:after="0" w:line="240" w:lineRule="auto"/>
            </w:pPr>
            <w:r w:rsidRPr="00167CB8">
              <w:t>Males</w:t>
            </w:r>
          </w:p>
        </w:tc>
        <w:tc>
          <w:tcPr>
            <w:tcW w:w="1129" w:type="dxa"/>
            <w:noWrap/>
            <w:vAlign w:val="bottom"/>
            <w:hideMark/>
          </w:tcPr>
          <w:p w14:paraId="3F9D3DE6" w14:textId="77777777" w:rsidR="007A6A1A" w:rsidRPr="00167CB8" w:rsidRDefault="007A6A1A" w:rsidP="00364020">
            <w:pPr>
              <w:spacing w:after="0" w:line="240" w:lineRule="auto"/>
            </w:pPr>
          </w:p>
        </w:tc>
        <w:tc>
          <w:tcPr>
            <w:tcW w:w="1723" w:type="dxa"/>
            <w:noWrap/>
            <w:vAlign w:val="bottom"/>
            <w:hideMark/>
          </w:tcPr>
          <w:p w14:paraId="0E5C870F" w14:textId="77777777" w:rsidR="007A6A1A" w:rsidRPr="00167CB8" w:rsidRDefault="007A6A1A" w:rsidP="00364020">
            <w:pPr>
              <w:spacing w:after="0" w:line="240" w:lineRule="auto"/>
            </w:pPr>
          </w:p>
        </w:tc>
        <w:tc>
          <w:tcPr>
            <w:tcW w:w="1997" w:type="dxa"/>
            <w:noWrap/>
            <w:vAlign w:val="bottom"/>
            <w:hideMark/>
          </w:tcPr>
          <w:p w14:paraId="0EB61083" w14:textId="77777777" w:rsidR="007A6A1A" w:rsidRPr="00167CB8" w:rsidRDefault="007A6A1A" w:rsidP="00364020">
            <w:pPr>
              <w:spacing w:after="0" w:line="240" w:lineRule="auto"/>
            </w:pPr>
          </w:p>
        </w:tc>
        <w:tc>
          <w:tcPr>
            <w:tcW w:w="1233" w:type="dxa"/>
            <w:tcBorders>
              <w:top w:val="nil"/>
              <w:left w:val="nil"/>
              <w:bottom w:val="nil"/>
              <w:right w:val="single" w:sz="4" w:space="0" w:color="auto"/>
            </w:tcBorders>
            <w:noWrap/>
            <w:vAlign w:val="bottom"/>
            <w:hideMark/>
          </w:tcPr>
          <w:p w14:paraId="79A41EB2" w14:textId="77777777" w:rsidR="007A6A1A" w:rsidRPr="00167CB8" w:rsidRDefault="007A6A1A" w:rsidP="00364020">
            <w:pPr>
              <w:spacing w:after="0" w:line="240" w:lineRule="auto"/>
            </w:pPr>
          </w:p>
        </w:tc>
      </w:tr>
      <w:tr w:rsidR="007A6A1A" w:rsidRPr="00167CB8" w14:paraId="198F0EFD" w14:textId="77777777" w:rsidTr="00364020">
        <w:trPr>
          <w:trHeight w:val="454"/>
        </w:trPr>
        <w:tc>
          <w:tcPr>
            <w:tcW w:w="2846" w:type="dxa"/>
            <w:tcBorders>
              <w:top w:val="nil"/>
              <w:left w:val="single" w:sz="4" w:space="0" w:color="auto"/>
              <w:bottom w:val="nil"/>
              <w:right w:val="nil"/>
            </w:tcBorders>
            <w:noWrap/>
            <w:vAlign w:val="bottom"/>
            <w:hideMark/>
          </w:tcPr>
          <w:p w14:paraId="66610B97" w14:textId="77777777" w:rsidR="007A6A1A" w:rsidRPr="00167CB8" w:rsidRDefault="007A6A1A" w:rsidP="00364020">
            <w:pPr>
              <w:spacing w:after="0" w:line="240" w:lineRule="auto"/>
            </w:pPr>
            <w:r w:rsidRPr="00167CB8">
              <w:t>Full-time employees</w:t>
            </w:r>
          </w:p>
        </w:tc>
        <w:tc>
          <w:tcPr>
            <w:tcW w:w="1129" w:type="dxa"/>
            <w:noWrap/>
            <w:vAlign w:val="bottom"/>
            <w:hideMark/>
          </w:tcPr>
          <w:p w14:paraId="34067B92" w14:textId="77777777" w:rsidR="007A6A1A" w:rsidRPr="00167CB8" w:rsidRDefault="007A6A1A" w:rsidP="00364020">
            <w:pPr>
              <w:spacing w:after="0" w:line="240" w:lineRule="auto"/>
            </w:pPr>
            <w:r w:rsidRPr="00167CB8">
              <w:t>4.4%</w:t>
            </w:r>
          </w:p>
        </w:tc>
        <w:tc>
          <w:tcPr>
            <w:tcW w:w="1723" w:type="dxa"/>
            <w:noWrap/>
            <w:vAlign w:val="bottom"/>
            <w:hideMark/>
          </w:tcPr>
          <w:p w14:paraId="77BF501A" w14:textId="77777777" w:rsidR="007A6A1A" w:rsidRPr="00167CB8" w:rsidRDefault="007A6A1A" w:rsidP="00364020">
            <w:pPr>
              <w:spacing w:after="0" w:line="240" w:lineRule="auto"/>
            </w:pPr>
            <w:r w:rsidRPr="00167CB8">
              <w:t>10.9%</w:t>
            </w:r>
          </w:p>
        </w:tc>
        <w:tc>
          <w:tcPr>
            <w:tcW w:w="1997" w:type="dxa"/>
            <w:noWrap/>
            <w:vAlign w:val="bottom"/>
            <w:hideMark/>
          </w:tcPr>
          <w:p w14:paraId="0170DAE7" w14:textId="77777777" w:rsidR="007A6A1A" w:rsidRPr="00167CB8" w:rsidRDefault="007A6A1A" w:rsidP="00364020">
            <w:pPr>
              <w:spacing w:after="0" w:line="240" w:lineRule="auto"/>
            </w:pPr>
            <w:r w:rsidRPr="00167CB8">
              <w:t>19.6%</w:t>
            </w:r>
          </w:p>
        </w:tc>
        <w:tc>
          <w:tcPr>
            <w:tcW w:w="1233" w:type="dxa"/>
            <w:tcBorders>
              <w:top w:val="nil"/>
              <w:left w:val="nil"/>
              <w:bottom w:val="nil"/>
              <w:right w:val="single" w:sz="4" w:space="0" w:color="auto"/>
            </w:tcBorders>
            <w:noWrap/>
            <w:vAlign w:val="bottom"/>
            <w:hideMark/>
          </w:tcPr>
          <w:p w14:paraId="618A814B" w14:textId="77777777" w:rsidR="007A6A1A" w:rsidRPr="00167CB8" w:rsidRDefault="007A6A1A" w:rsidP="00364020">
            <w:pPr>
              <w:spacing w:after="0" w:line="240" w:lineRule="auto"/>
            </w:pPr>
            <w:r w:rsidRPr="00167CB8">
              <w:t>34.9%</w:t>
            </w:r>
          </w:p>
        </w:tc>
      </w:tr>
      <w:tr w:rsidR="007A6A1A" w:rsidRPr="00167CB8" w14:paraId="07C03289" w14:textId="77777777" w:rsidTr="00364020">
        <w:trPr>
          <w:trHeight w:val="454"/>
        </w:trPr>
        <w:tc>
          <w:tcPr>
            <w:tcW w:w="2846" w:type="dxa"/>
            <w:tcBorders>
              <w:top w:val="nil"/>
              <w:left w:val="single" w:sz="4" w:space="0" w:color="auto"/>
              <w:bottom w:val="nil"/>
              <w:right w:val="nil"/>
            </w:tcBorders>
            <w:noWrap/>
            <w:vAlign w:val="bottom"/>
            <w:hideMark/>
          </w:tcPr>
          <w:p w14:paraId="203EBEB4" w14:textId="77777777" w:rsidR="007A6A1A" w:rsidRPr="00167CB8" w:rsidRDefault="007A6A1A" w:rsidP="00364020">
            <w:pPr>
              <w:spacing w:after="0" w:line="240" w:lineRule="auto"/>
            </w:pPr>
            <w:r w:rsidRPr="00167CB8">
              <w:t>Part-time employees</w:t>
            </w:r>
          </w:p>
        </w:tc>
        <w:tc>
          <w:tcPr>
            <w:tcW w:w="1129" w:type="dxa"/>
            <w:noWrap/>
            <w:vAlign w:val="bottom"/>
            <w:hideMark/>
          </w:tcPr>
          <w:p w14:paraId="2226BB1C" w14:textId="77777777" w:rsidR="007A6A1A" w:rsidRPr="00167CB8" w:rsidRDefault="007A6A1A" w:rsidP="00364020">
            <w:pPr>
              <w:spacing w:after="0" w:line="240" w:lineRule="auto"/>
            </w:pPr>
            <w:r w:rsidRPr="00167CB8">
              <w:t>5.3%</w:t>
            </w:r>
          </w:p>
        </w:tc>
        <w:tc>
          <w:tcPr>
            <w:tcW w:w="1723" w:type="dxa"/>
            <w:noWrap/>
            <w:vAlign w:val="bottom"/>
            <w:hideMark/>
          </w:tcPr>
          <w:p w14:paraId="42E4F218" w14:textId="77777777" w:rsidR="007A6A1A" w:rsidRPr="00167CB8" w:rsidRDefault="007A6A1A" w:rsidP="00364020">
            <w:pPr>
              <w:spacing w:after="0" w:line="240" w:lineRule="auto"/>
            </w:pPr>
            <w:r w:rsidRPr="00167CB8">
              <w:t>4.3%</w:t>
            </w:r>
          </w:p>
        </w:tc>
        <w:tc>
          <w:tcPr>
            <w:tcW w:w="1997" w:type="dxa"/>
            <w:noWrap/>
            <w:vAlign w:val="bottom"/>
            <w:hideMark/>
          </w:tcPr>
          <w:p w14:paraId="64286326" w14:textId="77777777" w:rsidR="007A6A1A" w:rsidRPr="00167CB8" w:rsidRDefault="007A6A1A" w:rsidP="00364020">
            <w:pPr>
              <w:spacing w:after="0" w:line="240" w:lineRule="auto"/>
            </w:pPr>
            <w:r w:rsidRPr="00167CB8">
              <w:t>3.1%</w:t>
            </w:r>
          </w:p>
        </w:tc>
        <w:tc>
          <w:tcPr>
            <w:tcW w:w="1233" w:type="dxa"/>
            <w:tcBorders>
              <w:top w:val="nil"/>
              <w:left w:val="nil"/>
              <w:bottom w:val="nil"/>
              <w:right w:val="single" w:sz="4" w:space="0" w:color="auto"/>
            </w:tcBorders>
            <w:noWrap/>
            <w:vAlign w:val="bottom"/>
            <w:hideMark/>
          </w:tcPr>
          <w:p w14:paraId="7C70A03D" w14:textId="77777777" w:rsidR="007A6A1A" w:rsidRPr="00167CB8" w:rsidRDefault="007A6A1A" w:rsidP="00364020">
            <w:pPr>
              <w:spacing w:after="0" w:line="240" w:lineRule="auto"/>
            </w:pPr>
            <w:r w:rsidRPr="00167CB8">
              <w:t>12.7%</w:t>
            </w:r>
          </w:p>
        </w:tc>
      </w:tr>
      <w:tr w:rsidR="007A6A1A" w:rsidRPr="00167CB8" w14:paraId="2091E37A" w14:textId="77777777" w:rsidTr="00364020">
        <w:trPr>
          <w:trHeight w:val="454"/>
        </w:trPr>
        <w:tc>
          <w:tcPr>
            <w:tcW w:w="2846" w:type="dxa"/>
            <w:tcBorders>
              <w:top w:val="nil"/>
              <w:left w:val="single" w:sz="4" w:space="0" w:color="auto"/>
              <w:bottom w:val="nil"/>
              <w:right w:val="nil"/>
            </w:tcBorders>
            <w:noWrap/>
            <w:vAlign w:val="bottom"/>
            <w:hideMark/>
          </w:tcPr>
          <w:p w14:paraId="735F544F" w14:textId="77777777" w:rsidR="007A6A1A" w:rsidRPr="00167CB8" w:rsidRDefault="007A6A1A" w:rsidP="00364020">
            <w:pPr>
              <w:spacing w:after="0" w:line="240" w:lineRule="auto"/>
              <w:rPr>
                <w:b/>
                <w:bCs/>
              </w:rPr>
            </w:pPr>
            <w:r w:rsidRPr="00167CB8">
              <w:rPr>
                <w:b/>
                <w:bCs/>
              </w:rPr>
              <w:t>All employees</w:t>
            </w:r>
          </w:p>
        </w:tc>
        <w:tc>
          <w:tcPr>
            <w:tcW w:w="1129" w:type="dxa"/>
            <w:noWrap/>
            <w:vAlign w:val="bottom"/>
            <w:hideMark/>
          </w:tcPr>
          <w:p w14:paraId="2B3250CA" w14:textId="77777777" w:rsidR="007A6A1A" w:rsidRPr="00167CB8" w:rsidRDefault="007A6A1A" w:rsidP="00364020">
            <w:pPr>
              <w:spacing w:after="0" w:line="240" w:lineRule="auto"/>
            </w:pPr>
            <w:r w:rsidRPr="00167CB8">
              <w:t>9.7%</w:t>
            </w:r>
          </w:p>
        </w:tc>
        <w:tc>
          <w:tcPr>
            <w:tcW w:w="1723" w:type="dxa"/>
            <w:noWrap/>
            <w:vAlign w:val="bottom"/>
            <w:hideMark/>
          </w:tcPr>
          <w:p w14:paraId="4452130D" w14:textId="77777777" w:rsidR="007A6A1A" w:rsidRPr="00167CB8" w:rsidRDefault="007A6A1A" w:rsidP="00364020">
            <w:pPr>
              <w:spacing w:after="0" w:line="240" w:lineRule="auto"/>
            </w:pPr>
            <w:r w:rsidRPr="00167CB8">
              <w:t>15.2%</w:t>
            </w:r>
          </w:p>
        </w:tc>
        <w:tc>
          <w:tcPr>
            <w:tcW w:w="1997" w:type="dxa"/>
            <w:noWrap/>
            <w:vAlign w:val="bottom"/>
            <w:hideMark/>
          </w:tcPr>
          <w:p w14:paraId="1BB1A002" w14:textId="77777777" w:rsidR="007A6A1A" w:rsidRPr="00167CB8" w:rsidRDefault="007A6A1A" w:rsidP="00364020">
            <w:pPr>
              <w:spacing w:after="0" w:line="240" w:lineRule="auto"/>
            </w:pPr>
            <w:r w:rsidRPr="00167CB8">
              <w:t>22.7%</w:t>
            </w:r>
          </w:p>
        </w:tc>
        <w:tc>
          <w:tcPr>
            <w:tcW w:w="1233" w:type="dxa"/>
            <w:tcBorders>
              <w:top w:val="nil"/>
              <w:left w:val="nil"/>
              <w:bottom w:val="nil"/>
              <w:right w:val="single" w:sz="4" w:space="0" w:color="auto"/>
            </w:tcBorders>
            <w:noWrap/>
            <w:vAlign w:val="bottom"/>
            <w:hideMark/>
          </w:tcPr>
          <w:p w14:paraId="08542EBE" w14:textId="77777777" w:rsidR="007A6A1A" w:rsidRPr="00167CB8" w:rsidRDefault="007A6A1A" w:rsidP="00364020">
            <w:pPr>
              <w:spacing w:after="0" w:line="240" w:lineRule="auto"/>
            </w:pPr>
            <w:r w:rsidRPr="00167CB8">
              <w:t>47.6%</w:t>
            </w:r>
          </w:p>
        </w:tc>
      </w:tr>
      <w:tr w:rsidR="007A6A1A" w:rsidRPr="00167CB8" w14:paraId="4EA7E8C1" w14:textId="77777777" w:rsidTr="00364020">
        <w:trPr>
          <w:trHeight w:val="454"/>
        </w:trPr>
        <w:tc>
          <w:tcPr>
            <w:tcW w:w="2846" w:type="dxa"/>
            <w:tcBorders>
              <w:top w:val="nil"/>
              <w:left w:val="single" w:sz="4" w:space="0" w:color="auto"/>
              <w:bottom w:val="nil"/>
              <w:right w:val="nil"/>
            </w:tcBorders>
            <w:noWrap/>
            <w:vAlign w:val="bottom"/>
            <w:hideMark/>
          </w:tcPr>
          <w:p w14:paraId="17D0787E" w14:textId="77777777" w:rsidR="007A6A1A" w:rsidRPr="00167CB8" w:rsidRDefault="007A6A1A" w:rsidP="00364020">
            <w:pPr>
              <w:spacing w:after="0" w:line="240" w:lineRule="auto"/>
            </w:pPr>
            <w:r w:rsidRPr="00167CB8">
              <w:t>Females</w:t>
            </w:r>
          </w:p>
        </w:tc>
        <w:tc>
          <w:tcPr>
            <w:tcW w:w="1129" w:type="dxa"/>
            <w:noWrap/>
            <w:vAlign w:val="bottom"/>
            <w:hideMark/>
          </w:tcPr>
          <w:p w14:paraId="33AB43F4" w14:textId="77777777" w:rsidR="007A6A1A" w:rsidRPr="00167CB8" w:rsidRDefault="007A6A1A" w:rsidP="00364020">
            <w:pPr>
              <w:spacing w:after="0" w:line="240" w:lineRule="auto"/>
            </w:pPr>
          </w:p>
        </w:tc>
        <w:tc>
          <w:tcPr>
            <w:tcW w:w="1723" w:type="dxa"/>
            <w:noWrap/>
            <w:vAlign w:val="bottom"/>
            <w:hideMark/>
          </w:tcPr>
          <w:p w14:paraId="4C5ABABC" w14:textId="77777777" w:rsidR="007A6A1A" w:rsidRPr="00167CB8" w:rsidRDefault="007A6A1A" w:rsidP="00364020">
            <w:pPr>
              <w:spacing w:after="0" w:line="240" w:lineRule="auto"/>
            </w:pPr>
          </w:p>
        </w:tc>
        <w:tc>
          <w:tcPr>
            <w:tcW w:w="1997" w:type="dxa"/>
            <w:noWrap/>
            <w:vAlign w:val="bottom"/>
            <w:hideMark/>
          </w:tcPr>
          <w:p w14:paraId="4FBAA8FE" w14:textId="77777777" w:rsidR="007A6A1A" w:rsidRPr="00167CB8" w:rsidRDefault="007A6A1A" w:rsidP="00364020">
            <w:pPr>
              <w:spacing w:after="0" w:line="240" w:lineRule="auto"/>
            </w:pPr>
          </w:p>
        </w:tc>
        <w:tc>
          <w:tcPr>
            <w:tcW w:w="1233" w:type="dxa"/>
            <w:tcBorders>
              <w:top w:val="nil"/>
              <w:left w:val="nil"/>
              <w:bottom w:val="nil"/>
              <w:right w:val="single" w:sz="4" w:space="0" w:color="auto"/>
            </w:tcBorders>
            <w:noWrap/>
            <w:vAlign w:val="bottom"/>
            <w:hideMark/>
          </w:tcPr>
          <w:p w14:paraId="46F20B4A" w14:textId="77777777" w:rsidR="007A6A1A" w:rsidRPr="00167CB8" w:rsidRDefault="007A6A1A" w:rsidP="00364020">
            <w:pPr>
              <w:spacing w:after="0" w:line="240" w:lineRule="auto"/>
            </w:pPr>
          </w:p>
        </w:tc>
      </w:tr>
      <w:tr w:rsidR="007A6A1A" w:rsidRPr="00167CB8" w14:paraId="7BD95CD6" w14:textId="77777777" w:rsidTr="00364020">
        <w:trPr>
          <w:trHeight w:val="454"/>
        </w:trPr>
        <w:tc>
          <w:tcPr>
            <w:tcW w:w="2846" w:type="dxa"/>
            <w:tcBorders>
              <w:top w:val="nil"/>
              <w:left w:val="single" w:sz="4" w:space="0" w:color="auto"/>
              <w:bottom w:val="nil"/>
              <w:right w:val="nil"/>
            </w:tcBorders>
            <w:noWrap/>
            <w:vAlign w:val="bottom"/>
            <w:hideMark/>
          </w:tcPr>
          <w:p w14:paraId="1A9909E9" w14:textId="77777777" w:rsidR="007A6A1A" w:rsidRPr="00167CB8" w:rsidRDefault="007A6A1A" w:rsidP="00364020">
            <w:pPr>
              <w:spacing w:after="0" w:line="240" w:lineRule="auto"/>
            </w:pPr>
            <w:r w:rsidRPr="00167CB8">
              <w:t>Full-time employees</w:t>
            </w:r>
          </w:p>
        </w:tc>
        <w:tc>
          <w:tcPr>
            <w:tcW w:w="1129" w:type="dxa"/>
            <w:noWrap/>
            <w:vAlign w:val="bottom"/>
            <w:hideMark/>
          </w:tcPr>
          <w:p w14:paraId="7C1DE24B" w14:textId="77777777" w:rsidR="007A6A1A" w:rsidRPr="00167CB8" w:rsidRDefault="007A6A1A" w:rsidP="00364020">
            <w:pPr>
              <w:spacing w:after="0" w:line="240" w:lineRule="auto"/>
            </w:pPr>
            <w:r w:rsidRPr="00167CB8">
              <w:t>3.6%</w:t>
            </w:r>
          </w:p>
        </w:tc>
        <w:tc>
          <w:tcPr>
            <w:tcW w:w="1723" w:type="dxa"/>
            <w:noWrap/>
            <w:vAlign w:val="bottom"/>
            <w:hideMark/>
          </w:tcPr>
          <w:p w14:paraId="217F4F5C" w14:textId="77777777" w:rsidR="007A6A1A" w:rsidRPr="00167CB8" w:rsidRDefault="007A6A1A" w:rsidP="00364020">
            <w:pPr>
              <w:spacing w:after="0" w:line="240" w:lineRule="auto"/>
            </w:pPr>
            <w:r w:rsidRPr="00167CB8">
              <w:t>8.8%</w:t>
            </w:r>
          </w:p>
        </w:tc>
        <w:tc>
          <w:tcPr>
            <w:tcW w:w="1997" w:type="dxa"/>
            <w:noWrap/>
            <w:vAlign w:val="bottom"/>
            <w:hideMark/>
          </w:tcPr>
          <w:p w14:paraId="2C14367E" w14:textId="77777777" w:rsidR="007A6A1A" w:rsidRPr="00167CB8" w:rsidRDefault="007A6A1A" w:rsidP="00364020">
            <w:pPr>
              <w:spacing w:after="0" w:line="240" w:lineRule="auto"/>
            </w:pPr>
            <w:r w:rsidRPr="00167CB8">
              <w:t>10.7%</w:t>
            </w:r>
          </w:p>
        </w:tc>
        <w:tc>
          <w:tcPr>
            <w:tcW w:w="1233" w:type="dxa"/>
            <w:tcBorders>
              <w:top w:val="nil"/>
              <w:left w:val="nil"/>
              <w:bottom w:val="nil"/>
              <w:right w:val="single" w:sz="4" w:space="0" w:color="auto"/>
            </w:tcBorders>
            <w:noWrap/>
            <w:vAlign w:val="bottom"/>
            <w:hideMark/>
          </w:tcPr>
          <w:p w14:paraId="1E7B50D9" w14:textId="77777777" w:rsidR="007A6A1A" w:rsidRPr="00167CB8" w:rsidRDefault="007A6A1A" w:rsidP="00364020">
            <w:pPr>
              <w:spacing w:after="0" w:line="240" w:lineRule="auto"/>
            </w:pPr>
            <w:r w:rsidRPr="00167CB8">
              <w:t>23.2%</w:t>
            </w:r>
          </w:p>
        </w:tc>
      </w:tr>
      <w:tr w:rsidR="007A6A1A" w:rsidRPr="00167CB8" w14:paraId="137E6A95" w14:textId="77777777" w:rsidTr="00364020">
        <w:trPr>
          <w:trHeight w:val="454"/>
        </w:trPr>
        <w:tc>
          <w:tcPr>
            <w:tcW w:w="2846" w:type="dxa"/>
            <w:tcBorders>
              <w:top w:val="nil"/>
              <w:left w:val="single" w:sz="4" w:space="0" w:color="auto"/>
              <w:bottom w:val="nil"/>
              <w:right w:val="nil"/>
            </w:tcBorders>
            <w:noWrap/>
            <w:vAlign w:val="bottom"/>
            <w:hideMark/>
          </w:tcPr>
          <w:p w14:paraId="5CCB6CEF" w14:textId="77777777" w:rsidR="007A6A1A" w:rsidRPr="00167CB8" w:rsidRDefault="007A6A1A" w:rsidP="00364020">
            <w:pPr>
              <w:spacing w:after="0" w:line="240" w:lineRule="auto"/>
            </w:pPr>
            <w:r w:rsidRPr="00167CB8">
              <w:t>Part-time employees</w:t>
            </w:r>
          </w:p>
        </w:tc>
        <w:tc>
          <w:tcPr>
            <w:tcW w:w="1129" w:type="dxa"/>
            <w:noWrap/>
            <w:vAlign w:val="bottom"/>
            <w:hideMark/>
          </w:tcPr>
          <w:p w14:paraId="031EFBF2" w14:textId="77777777" w:rsidR="007A6A1A" w:rsidRPr="00167CB8" w:rsidRDefault="007A6A1A" w:rsidP="00364020">
            <w:pPr>
              <w:spacing w:after="0" w:line="240" w:lineRule="auto"/>
            </w:pPr>
            <w:r w:rsidRPr="00167CB8">
              <w:t>10.8%</w:t>
            </w:r>
          </w:p>
        </w:tc>
        <w:tc>
          <w:tcPr>
            <w:tcW w:w="1723" w:type="dxa"/>
            <w:noWrap/>
            <w:vAlign w:val="bottom"/>
            <w:hideMark/>
          </w:tcPr>
          <w:p w14:paraId="56B434B3" w14:textId="77777777" w:rsidR="007A6A1A" w:rsidRPr="00167CB8" w:rsidRDefault="007A6A1A" w:rsidP="00364020">
            <w:pPr>
              <w:spacing w:after="0" w:line="240" w:lineRule="auto"/>
            </w:pPr>
            <w:r w:rsidRPr="00167CB8">
              <w:t>11.4%</w:t>
            </w:r>
          </w:p>
        </w:tc>
        <w:tc>
          <w:tcPr>
            <w:tcW w:w="1997" w:type="dxa"/>
            <w:noWrap/>
            <w:vAlign w:val="bottom"/>
            <w:hideMark/>
          </w:tcPr>
          <w:p w14:paraId="5A56A34D" w14:textId="77777777" w:rsidR="007A6A1A" w:rsidRPr="00167CB8" w:rsidRDefault="007A6A1A" w:rsidP="00364020">
            <w:pPr>
              <w:spacing w:after="0" w:line="240" w:lineRule="auto"/>
            </w:pPr>
            <w:r w:rsidRPr="00167CB8">
              <w:t>6.9%</w:t>
            </w:r>
          </w:p>
        </w:tc>
        <w:tc>
          <w:tcPr>
            <w:tcW w:w="1233" w:type="dxa"/>
            <w:tcBorders>
              <w:top w:val="nil"/>
              <w:left w:val="nil"/>
              <w:bottom w:val="nil"/>
              <w:right w:val="single" w:sz="4" w:space="0" w:color="auto"/>
            </w:tcBorders>
            <w:noWrap/>
            <w:vAlign w:val="bottom"/>
            <w:hideMark/>
          </w:tcPr>
          <w:p w14:paraId="48C39D82" w14:textId="77777777" w:rsidR="007A6A1A" w:rsidRPr="00167CB8" w:rsidRDefault="007A6A1A" w:rsidP="00364020">
            <w:pPr>
              <w:spacing w:after="0" w:line="240" w:lineRule="auto"/>
            </w:pPr>
            <w:r w:rsidRPr="00167CB8">
              <w:t>29.2%</w:t>
            </w:r>
          </w:p>
        </w:tc>
      </w:tr>
      <w:tr w:rsidR="007A6A1A" w:rsidRPr="00167CB8" w14:paraId="74FC2170" w14:textId="77777777" w:rsidTr="00364020">
        <w:trPr>
          <w:trHeight w:val="454"/>
        </w:trPr>
        <w:tc>
          <w:tcPr>
            <w:tcW w:w="2846" w:type="dxa"/>
            <w:tcBorders>
              <w:top w:val="nil"/>
              <w:left w:val="single" w:sz="4" w:space="0" w:color="auto"/>
              <w:bottom w:val="nil"/>
              <w:right w:val="nil"/>
            </w:tcBorders>
            <w:noWrap/>
            <w:vAlign w:val="bottom"/>
            <w:hideMark/>
          </w:tcPr>
          <w:p w14:paraId="73CB8E3F" w14:textId="77777777" w:rsidR="007A6A1A" w:rsidRPr="00167CB8" w:rsidRDefault="007A6A1A" w:rsidP="00364020">
            <w:pPr>
              <w:spacing w:after="0" w:line="240" w:lineRule="auto"/>
              <w:rPr>
                <w:b/>
                <w:bCs/>
              </w:rPr>
            </w:pPr>
            <w:r w:rsidRPr="00167CB8">
              <w:rPr>
                <w:b/>
                <w:bCs/>
              </w:rPr>
              <w:t>All employees</w:t>
            </w:r>
          </w:p>
        </w:tc>
        <w:tc>
          <w:tcPr>
            <w:tcW w:w="1129" w:type="dxa"/>
            <w:noWrap/>
            <w:vAlign w:val="bottom"/>
            <w:hideMark/>
          </w:tcPr>
          <w:p w14:paraId="631D08F6" w14:textId="77777777" w:rsidR="007A6A1A" w:rsidRPr="00167CB8" w:rsidRDefault="007A6A1A" w:rsidP="00364020">
            <w:pPr>
              <w:spacing w:after="0" w:line="240" w:lineRule="auto"/>
            </w:pPr>
            <w:r w:rsidRPr="00167CB8">
              <w:t>14.4%</w:t>
            </w:r>
          </w:p>
        </w:tc>
        <w:tc>
          <w:tcPr>
            <w:tcW w:w="1723" w:type="dxa"/>
            <w:noWrap/>
            <w:vAlign w:val="bottom"/>
            <w:hideMark/>
          </w:tcPr>
          <w:p w14:paraId="6BEDABCB" w14:textId="77777777" w:rsidR="007A6A1A" w:rsidRPr="00167CB8" w:rsidRDefault="007A6A1A" w:rsidP="00364020">
            <w:pPr>
              <w:spacing w:after="0" w:line="240" w:lineRule="auto"/>
            </w:pPr>
            <w:r w:rsidRPr="00167CB8">
              <w:t>20.3%</w:t>
            </w:r>
          </w:p>
        </w:tc>
        <w:tc>
          <w:tcPr>
            <w:tcW w:w="1997" w:type="dxa"/>
            <w:noWrap/>
            <w:vAlign w:val="bottom"/>
            <w:hideMark/>
          </w:tcPr>
          <w:p w14:paraId="17E47034" w14:textId="77777777" w:rsidR="007A6A1A" w:rsidRPr="00167CB8" w:rsidRDefault="007A6A1A" w:rsidP="00364020">
            <w:pPr>
              <w:spacing w:after="0" w:line="240" w:lineRule="auto"/>
            </w:pPr>
            <w:r w:rsidRPr="00167CB8">
              <w:t>17.7%</w:t>
            </w:r>
          </w:p>
        </w:tc>
        <w:tc>
          <w:tcPr>
            <w:tcW w:w="1233" w:type="dxa"/>
            <w:tcBorders>
              <w:top w:val="nil"/>
              <w:left w:val="nil"/>
              <w:bottom w:val="nil"/>
              <w:right w:val="single" w:sz="4" w:space="0" w:color="auto"/>
            </w:tcBorders>
            <w:noWrap/>
            <w:vAlign w:val="bottom"/>
            <w:hideMark/>
          </w:tcPr>
          <w:p w14:paraId="31B12C45" w14:textId="77777777" w:rsidR="007A6A1A" w:rsidRPr="00167CB8" w:rsidRDefault="007A6A1A" w:rsidP="00364020">
            <w:pPr>
              <w:spacing w:after="0" w:line="240" w:lineRule="auto"/>
            </w:pPr>
            <w:r w:rsidRPr="00167CB8">
              <w:t>52.4%</w:t>
            </w:r>
          </w:p>
        </w:tc>
      </w:tr>
      <w:tr w:rsidR="007A6A1A" w:rsidRPr="00167CB8" w14:paraId="28B1EAA4" w14:textId="77777777" w:rsidTr="00364020">
        <w:trPr>
          <w:trHeight w:val="454"/>
        </w:trPr>
        <w:tc>
          <w:tcPr>
            <w:tcW w:w="2846" w:type="dxa"/>
            <w:tcBorders>
              <w:top w:val="nil"/>
              <w:left w:val="single" w:sz="4" w:space="0" w:color="auto"/>
              <w:bottom w:val="nil"/>
              <w:right w:val="nil"/>
            </w:tcBorders>
            <w:noWrap/>
            <w:vAlign w:val="bottom"/>
            <w:hideMark/>
          </w:tcPr>
          <w:p w14:paraId="079BC5BE" w14:textId="77777777" w:rsidR="007A6A1A" w:rsidRPr="00167CB8" w:rsidRDefault="007A6A1A" w:rsidP="00364020">
            <w:pPr>
              <w:spacing w:after="0" w:line="240" w:lineRule="auto"/>
            </w:pPr>
            <w:r w:rsidRPr="00167CB8">
              <w:t>Persons</w:t>
            </w:r>
          </w:p>
        </w:tc>
        <w:tc>
          <w:tcPr>
            <w:tcW w:w="1129" w:type="dxa"/>
            <w:noWrap/>
            <w:vAlign w:val="bottom"/>
            <w:hideMark/>
          </w:tcPr>
          <w:p w14:paraId="7DFDCDD5" w14:textId="77777777" w:rsidR="007A6A1A" w:rsidRPr="00167CB8" w:rsidRDefault="007A6A1A" w:rsidP="00364020">
            <w:pPr>
              <w:spacing w:after="0" w:line="240" w:lineRule="auto"/>
            </w:pPr>
          </w:p>
        </w:tc>
        <w:tc>
          <w:tcPr>
            <w:tcW w:w="1723" w:type="dxa"/>
            <w:noWrap/>
            <w:vAlign w:val="bottom"/>
            <w:hideMark/>
          </w:tcPr>
          <w:p w14:paraId="0CCE4CFB" w14:textId="77777777" w:rsidR="007A6A1A" w:rsidRPr="00167CB8" w:rsidRDefault="007A6A1A" w:rsidP="00364020">
            <w:pPr>
              <w:spacing w:after="0" w:line="240" w:lineRule="auto"/>
            </w:pPr>
          </w:p>
        </w:tc>
        <w:tc>
          <w:tcPr>
            <w:tcW w:w="1997" w:type="dxa"/>
            <w:noWrap/>
            <w:vAlign w:val="bottom"/>
            <w:hideMark/>
          </w:tcPr>
          <w:p w14:paraId="616C0289" w14:textId="77777777" w:rsidR="007A6A1A" w:rsidRPr="00167CB8" w:rsidRDefault="007A6A1A" w:rsidP="00364020">
            <w:pPr>
              <w:spacing w:after="0" w:line="240" w:lineRule="auto"/>
            </w:pPr>
          </w:p>
        </w:tc>
        <w:tc>
          <w:tcPr>
            <w:tcW w:w="1233" w:type="dxa"/>
            <w:tcBorders>
              <w:top w:val="nil"/>
              <w:left w:val="nil"/>
              <w:bottom w:val="nil"/>
              <w:right w:val="single" w:sz="4" w:space="0" w:color="auto"/>
            </w:tcBorders>
            <w:noWrap/>
            <w:vAlign w:val="bottom"/>
            <w:hideMark/>
          </w:tcPr>
          <w:p w14:paraId="07AA3B4F" w14:textId="77777777" w:rsidR="007A6A1A" w:rsidRPr="00167CB8" w:rsidRDefault="007A6A1A" w:rsidP="00364020">
            <w:pPr>
              <w:spacing w:after="0" w:line="240" w:lineRule="auto"/>
            </w:pPr>
          </w:p>
        </w:tc>
      </w:tr>
      <w:tr w:rsidR="007A6A1A" w:rsidRPr="00167CB8" w14:paraId="4A504FAD" w14:textId="77777777" w:rsidTr="00364020">
        <w:trPr>
          <w:trHeight w:val="454"/>
        </w:trPr>
        <w:tc>
          <w:tcPr>
            <w:tcW w:w="2846" w:type="dxa"/>
            <w:tcBorders>
              <w:top w:val="nil"/>
              <w:left w:val="single" w:sz="4" w:space="0" w:color="auto"/>
              <w:bottom w:val="nil"/>
              <w:right w:val="nil"/>
            </w:tcBorders>
            <w:noWrap/>
            <w:vAlign w:val="bottom"/>
            <w:hideMark/>
          </w:tcPr>
          <w:p w14:paraId="4C835E1C" w14:textId="77777777" w:rsidR="007A6A1A" w:rsidRPr="00167CB8" w:rsidRDefault="007A6A1A" w:rsidP="00364020">
            <w:pPr>
              <w:spacing w:after="0" w:line="240" w:lineRule="auto"/>
            </w:pPr>
            <w:r w:rsidRPr="00167CB8">
              <w:t>Full-time employees</w:t>
            </w:r>
          </w:p>
        </w:tc>
        <w:tc>
          <w:tcPr>
            <w:tcW w:w="1129" w:type="dxa"/>
            <w:noWrap/>
            <w:vAlign w:val="bottom"/>
            <w:hideMark/>
          </w:tcPr>
          <w:p w14:paraId="66BE2B6A" w14:textId="77777777" w:rsidR="007A6A1A" w:rsidRPr="00167CB8" w:rsidRDefault="007A6A1A" w:rsidP="00364020">
            <w:pPr>
              <w:spacing w:after="0" w:line="240" w:lineRule="auto"/>
            </w:pPr>
            <w:r w:rsidRPr="00167CB8">
              <w:t>8.0%</w:t>
            </w:r>
          </w:p>
        </w:tc>
        <w:tc>
          <w:tcPr>
            <w:tcW w:w="1723" w:type="dxa"/>
            <w:noWrap/>
            <w:vAlign w:val="bottom"/>
            <w:hideMark/>
          </w:tcPr>
          <w:p w14:paraId="28947A25" w14:textId="77777777" w:rsidR="007A6A1A" w:rsidRPr="00167CB8" w:rsidRDefault="007A6A1A" w:rsidP="00364020">
            <w:pPr>
              <w:spacing w:after="0" w:line="240" w:lineRule="auto"/>
            </w:pPr>
            <w:r w:rsidRPr="00167CB8">
              <w:t>19.7%</w:t>
            </w:r>
          </w:p>
        </w:tc>
        <w:tc>
          <w:tcPr>
            <w:tcW w:w="1997" w:type="dxa"/>
            <w:noWrap/>
            <w:vAlign w:val="bottom"/>
            <w:hideMark/>
          </w:tcPr>
          <w:p w14:paraId="631EA1D9" w14:textId="77777777" w:rsidR="007A6A1A" w:rsidRPr="00167CB8" w:rsidRDefault="007A6A1A" w:rsidP="00364020">
            <w:pPr>
              <w:spacing w:after="0" w:line="240" w:lineRule="auto"/>
            </w:pPr>
            <w:r w:rsidRPr="00167CB8">
              <w:t>30.3%</w:t>
            </w:r>
          </w:p>
        </w:tc>
        <w:tc>
          <w:tcPr>
            <w:tcW w:w="1233" w:type="dxa"/>
            <w:tcBorders>
              <w:top w:val="nil"/>
              <w:left w:val="nil"/>
              <w:bottom w:val="nil"/>
              <w:right w:val="single" w:sz="4" w:space="0" w:color="auto"/>
            </w:tcBorders>
            <w:noWrap/>
            <w:vAlign w:val="bottom"/>
            <w:hideMark/>
          </w:tcPr>
          <w:p w14:paraId="2933FBD1" w14:textId="77777777" w:rsidR="007A6A1A" w:rsidRPr="00167CB8" w:rsidRDefault="007A6A1A" w:rsidP="00364020">
            <w:pPr>
              <w:spacing w:after="0" w:line="240" w:lineRule="auto"/>
            </w:pPr>
            <w:r w:rsidRPr="00167CB8">
              <w:t>58.1%</w:t>
            </w:r>
          </w:p>
        </w:tc>
      </w:tr>
      <w:tr w:rsidR="007A6A1A" w:rsidRPr="00167CB8" w14:paraId="67400E86" w14:textId="77777777" w:rsidTr="00364020">
        <w:trPr>
          <w:trHeight w:val="454"/>
        </w:trPr>
        <w:tc>
          <w:tcPr>
            <w:tcW w:w="2846" w:type="dxa"/>
            <w:tcBorders>
              <w:top w:val="nil"/>
              <w:left w:val="single" w:sz="4" w:space="0" w:color="auto"/>
              <w:bottom w:val="nil"/>
              <w:right w:val="nil"/>
            </w:tcBorders>
            <w:noWrap/>
            <w:vAlign w:val="bottom"/>
            <w:hideMark/>
          </w:tcPr>
          <w:p w14:paraId="060D7605" w14:textId="77777777" w:rsidR="007A6A1A" w:rsidRPr="00167CB8" w:rsidRDefault="007A6A1A" w:rsidP="00364020">
            <w:pPr>
              <w:spacing w:after="0" w:line="240" w:lineRule="auto"/>
            </w:pPr>
            <w:r w:rsidRPr="00167CB8">
              <w:t>Part-time employees</w:t>
            </w:r>
          </w:p>
        </w:tc>
        <w:tc>
          <w:tcPr>
            <w:tcW w:w="1129" w:type="dxa"/>
            <w:noWrap/>
            <w:vAlign w:val="bottom"/>
            <w:hideMark/>
          </w:tcPr>
          <w:p w14:paraId="4D754CF2" w14:textId="77777777" w:rsidR="007A6A1A" w:rsidRPr="00167CB8" w:rsidRDefault="007A6A1A" w:rsidP="00364020">
            <w:pPr>
              <w:spacing w:after="0" w:line="240" w:lineRule="auto"/>
            </w:pPr>
            <w:r w:rsidRPr="00167CB8">
              <w:t>16.1%</w:t>
            </w:r>
          </w:p>
        </w:tc>
        <w:tc>
          <w:tcPr>
            <w:tcW w:w="1723" w:type="dxa"/>
            <w:noWrap/>
            <w:vAlign w:val="bottom"/>
            <w:hideMark/>
          </w:tcPr>
          <w:p w14:paraId="2815C36C" w14:textId="77777777" w:rsidR="007A6A1A" w:rsidRPr="00167CB8" w:rsidRDefault="007A6A1A" w:rsidP="00364020">
            <w:pPr>
              <w:spacing w:after="0" w:line="240" w:lineRule="auto"/>
            </w:pPr>
            <w:r w:rsidRPr="00167CB8">
              <w:t>15.8%</w:t>
            </w:r>
          </w:p>
        </w:tc>
        <w:tc>
          <w:tcPr>
            <w:tcW w:w="1997" w:type="dxa"/>
            <w:noWrap/>
            <w:vAlign w:val="bottom"/>
            <w:hideMark/>
          </w:tcPr>
          <w:p w14:paraId="65F6C21A" w14:textId="77777777" w:rsidR="007A6A1A" w:rsidRPr="00167CB8" w:rsidRDefault="007A6A1A" w:rsidP="00364020">
            <w:pPr>
              <w:spacing w:after="0" w:line="240" w:lineRule="auto"/>
            </w:pPr>
            <w:r w:rsidRPr="00167CB8">
              <w:t>10.0%</w:t>
            </w:r>
          </w:p>
        </w:tc>
        <w:tc>
          <w:tcPr>
            <w:tcW w:w="1233" w:type="dxa"/>
            <w:tcBorders>
              <w:top w:val="nil"/>
              <w:left w:val="nil"/>
              <w:bottom w:val="nil"/>
              <w:right w:val="single" w:sz="4" w:space="0" w:color="auto"/>
            </w:tcBorders>
            <w:noWrap/>
            <w:vAlign w:val="bottom"/>
            <w:hideMark/>
          </w:tcPr>
          <w:p w14:paraId="46813E4E" w14:textId="77777777" w:rsidR="007A6A1A" w:rsidRPr="00167CB8" w:rsidRDefault="007A6A1A" w:rsidP="00364020">
            <w:pPr>
              <w:spacing w:after="0" w:line="240" w:lineRule="auto"/>
            </w:pPr>
            <w:r w:rsidRPr="00167CB8">
              <w:t>41.9%</w:t>
            </w:r>
          </w:p>
        </w:tc>
      </w:tr>
      <w:tr w:rsidR="007A6A1A" w:rsidRPr="00167CB8" w14:paraId="7DD1A93D" w14:textId="77777777" w:rsidTr="00364020">
        <w:trPr>
          <w:trHeight w:val="454"/>
        </w:trPr>
        <w:tc>
          <w:tcPr>
            <w:tcW w:w="2846" w:type="dxa"/>
            <w:tcBorders>
              <w:top w:val="nil"/>
              <w:left w:val="single" w:sz="4" w:space="0" w:color="auto"/>
              <w:bottom w:val="single" w:sz="4" w:space="0" w:color="auto"/>
              <w:right w:val="nil"/>
            </w:tcBorders>
            <w:noWrap/>
            <w:vAlign w:val="bottom"/>
            <w:hideMark/>
          </w:tcPr>
          <w:p w14:paraId="1F7A22DE" w14:textId="77777777" w:rsidR="007A6A1A" w:rsidRPr="00167CB8" w:rsidRDefault="007A6A1A" w:rsidP="00364020">
            <w:pPr>
              <w:spacing w:after="0" w:line="240" w:lineRule="auto"/>
              <w:rPr>
                <w:b/>
                <w:bCs/>
              </w:rPr>
            </w:pPr>
            <w:r w:rsidRPr="00167CB8">
              <w:rPr>
                <w:b/>
                <w:bCs/>
              </w:rPr>
              <w:t>All employees</w:t>
            </w:r>
          </w:p>
        </w:tc>
        <w:tc>
          <w:tcPr>
            <w:tcW w:w="1129" w:type="dxa"/>
            <w:tcBorders>
              <w:top w:val="nil"/>
              <w:left w:val="nil"/>
              <w:bottom w:val="single" w:sz="4" w:space="0" w:color="auto"/>
              <w:right w:val="nil"/>
            </w:tcBorders>
            <w:noWrap/>
            <w:vAlign w:val="bottom"/>
            <w:hideMark/>
          </w:tcPr>
          <w:p w14:paraId="2B985F9D" w14:textId="77777777" w:rsidR="007A6A1A" w:rsidRPr="00167CB8" w:rsidRDefault="007A6A1A" w:rsidP="00364020">
            <w:pPr>
              <w:spacing w:after="0" w:line="240" w:lineRule="auto"/>
            </w:pPr>
            <w:r w:rsidRPr="00167CB8">
              <w:t>24.2%</w:t>
            </w:r>
          </w:p>
        </w:tc>
        <w:tc>
          <w:tcPr>
            <w:tcW w:w="1723" w:type="dxa"/>
            <w:tcBorders>
              <w:top w:val="nil"/>
              <w:left w:val="nil"/>
              <w:bottom w:val="single" w:sz="4" w:space="0" w:color="auto"/>
              <w:right w:val="nil"/>
            </w:tcBorders>
            <w:noWrap/>
            <w:vAlign w:val="bottom"/>
            <w:hideMark/>
          </w:tcPr>
          <w:p w14:paraId="0F98D005" w14:textId="77777777" w:rsidR="007A6A1A" w:rsidRPr="00167CB8" w:rsidRDefault="007A6A1A" w:rsidP="00364020">
            <w:pPr>
              <w:spacing w:after="0" w:line="240" w:lineRule="auto"/>
            </w:pPr>
            <w:r w:rsidRPr="00167CB8">
              <w:t>35.5%</w:t>
            </w:r>
          </w:p>
        </w:tc>
        <w:tc>
          <w:tcPr>
            <w:tcW w:w="1997" w:type="dxa"/>
            <w:tcBorders>
              <w:top w:val="nil"/>
              <w:left w:val="nil"/>
              <w:bottom w:val="single" w:sz="4" w:space="0" w:color="auto"/>
              <w:right w:val="nil"/>
            </w:tcBorders>
            <w:noWrap/>
            <w:vAlign w:val="bottom"/>
            <w:hideMark/>
          </w:tcPr>
          <w:p w14:paraId="74711C51" w14:textId="77777777" w:rsidR="007A6A1A" w:rsidRPr="00167CB8" w:rsidRDefault="007A6A1A" w:rsidP="00364020">
            <w:pPr>
              <w:spacing w:after="0" w:line="240" w:lineRule="auto"/>
            </w:pPr>
            <w:r w:rsidRPr="00167CB8">
              <w:t>40.3%</w:t>
            </w:r>
          </w:p>
        </w:tc>
        <w:tc>
          <w:tcPr>
            <w:tcW w:w="1233" w:type="dxa"/>
            <w:tcBorders>
              <w:top w:val="nil"/>
              <w:left w:val="nil"/>
              <w:bottom w:val="single" w:sz="4" w:space="0" w:color="auto"/>
              <w:right w:val="single" w:sz="4" w:space="0" w:color="auto"/>
            </w:tcBorders>
            <w:noWrap/>
            <w:vAlign w:val="bottom"/>
            <w:hideMark/>
          </w:tcPr>
          <w:p w14:paraId="32583AB9" w14:textId="77777777" w:rsidR="007A6A1A" w:rsidRPr="00167CB8" w:rsidRDefault="007A6A1A" w:rsidP="00364020">
            <w:pPr>
              <w:spacing w:after="0" w:line="240" w:lineRule="auto"/>
            </w:pPr>
            <w:r w:rsidRPr="00167CB8">
              <w:t>100.0%</w:t>
            </w:r>
          </w:p>
        </w:tc>
      </w:tr>
    </w:tbl>
    <w:p w14:paraId="6F5687C9" w14:textId="77777777" w:rsidR="007A6A1A" w:rsidRPr="00167CB8" w:rsidRDefault="007A6A1A" w:rsidP="00C87E4A">
      <w:pPr>
        <w:pStyle w:val="Source"/>
      </w:pPr>
      <w:r w:rsidRPr="00167CB8">
        <w:rPr>
          <w:b/>
          <w:bCs/>
        </w:rPr>
        <w:t>Source:</w:t>
      </w:r>
      <w:r w:rsidRPr="00167CB8">
        <w:t xml:space="preserve"> ABS 6306.0 Employee Earnings and Hours, May 2023. Table 1. </w:t>
      </w:r>
    </w:p>
    <w:p w14:paraId="65D22001" w14:textId="5D0E6641" w:rsidR="007A6A1A" w:rsidRPr="00167CB8" w:rsidRDefault="007A6A1A" w:rsidP="00C87E4A">
      <w:pPr>
        <w:pStyle w:val="Source"/>
      </w:pPr>
      <w:r w:rsidRPr="00167CB8">
        <w:rPr>
          <w:b/>
          <w:bCs/>
        </w:rPr>
        <w:t>Alt-text:</w:t>
      </w:r>
      <w:r w:rsidRPr="00167CB8">
        <w:t xml:space="preserve"> A table showing the distribution of employees by employment status and method of pay setting. At May 2023 58.1% of employees were full-time and 41.9% worked part-time in their main job. Of all employees, 24.2% were award</w:t>
      </w:r>
      <w:r w:rsidR="00C87E4A" w:rsidRPr="00167CB8">
        <w:t>-</w:t>
      </w:r>
      <w:r w:rsidRPr="00167CB8">
        <w:t>dependent workers. The majority of them were part-time employees (16.1% of all employees are part-time award</w:t>
      </w:r>
      <w:r w:rsidR="00C87E4A" w:rsidRPr="00167CB8">
        <w:t>-</w:t>
      </w:r>
      <w:r w:rsidRPr="00167CB8">
        <w:t>dependent workers). Women are over-represented in the award stream (14.4% of total employees are women who are award</w:t>
      </w:r>
      <w:r w:rsidR="00C87E4A" w:rsidRPr="00167CB8">
        <w:t>-</w:t>
      </w:r>
      <w:r w:rsidRPr="00167CB8">
        <w:t xml:space="preserve">dependent workers). Men are more likely than women to have an individual arrangement; 22.7% of all employees are men on an individual arrangement. </w:t>
      </w:r>
    </w:p>
    <w:p w14:paraId="02164D6C" w14:textId="77777777" w:rsidR="00514601" w:rsidRDefault="00514601">
      <w:pPr>
        <w:spacing w:after="160"/>
      </w:pPr>
      <w:bookmarkStart w:id="791" w:name="_Ref184489640"/>
      <w:bookmarkStart w:id="792" w:name="_Toc186991823"/>
      <w:bookmarkStart w:id="793" w:name="_Toc189310874"/>
    </w:p>
    <w:p w14:paraId="2CA4E35B" w14:textId="77777777" w:rsidR="00514601" w:rsidRPr="00167CB8" w:rsidRDefault="00514601" w:rsidP="00514601">
      <w:pPr>
        <w:spacing w:after="160"/>
      </w:pPr>
      <w:r w:rsidRPr="00167CB8">
        <w:t>Table 45 shows the average hourly (total cash) earnings of men and women by method of pay setting. The final row shows the gender pay gap (expressed as a share of male earnings). Among award-dependent employees women, on average, are paid more than men. The gender pay gap among award workers shows that, at the mean, the average hourly earnings of award-dependent men would need to increase by 3.8% to equal the earnings of award-dependent women.</w:t>
      </w:r>
    </w:p>
    <w:p w14:paraId="4CB2D99A" w14:textId="77777777" w:rsidR="00514601" w:rsidRPr="00167CB8" w:rsidRDefault="00514601" w:rsidP="00514601">
      <w:pPr>
        <w:spacing w:after="160"/>
      </w:pPr>
      <w:r w:rsidRPr="00167CB8">
        <w:t xml:space="preserve">Women, however, are paid less than men among those covered by a collective agreement and those covered by an individual agreement.  Collective agreements, on average, have a higher hourly wage than individual agreements (see </w:t>
      </w:r>
      <w:r>
        <w:t>Table 45)</w:t>
      </w:r>
    </w:p>
    <w:p w14:paraId="4DCEE227" w14:textId="5177F59C" w:rsidR="00364020" w:rsidRDefault="00364020">
      <w:pPr>
        <w:spacing w:after="160"/>
        <w:rPr>
          <w:rFonts w:cs="Calibri"/>
          <w:b/>
          <w:bCs/>
          <w:lang w:val="en-US"/>
        </w:rPr>
      </w:pPr>
      <w:r>
        <w:br w:type="page"/>
      </w:r>
    </w:p>
    <w:p w14:paraId="530C3E2C" w14:textId="0FA87CF8" w:rsidR="007A6A1A" w:rsidRPr="00167CB8" w:rsidRDefault="007A6A1A" w:rsidP="00470AB9">
      <w:pPr>
        <w:pStyle w:val="Caption"/>
      </w:pPr>
      <w:r w:rsidRPr="00167CB8">
        <w:lastRenderedPageBreak/>
        <w:t xml:space="preserve">Table </w:t>
      </w:r>
      <w:r w:rsidR="006D388D" w:rsidRPr="00167CB8">
        <w:t>45</w:t>
      </w:r>
      <w:bookmarkEnd w:id="791"/>
      <w:r w:rsidRPr="00167CB8">
        <w:t>: Average hourly total cash earnings of non-managerial employees employed full-time and paid at the adult rate, by method of pay setting, May 2023</w:t>
      </w:r>
      <w:bookmarkEnd w:id="792"/>
      <w:bookmarkEnd w:id="793"/>
    </w:p>
    <w:tbl>
      <w:tblPr>
        <w:tblW w:w="890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23"/>
        <w:gridCol w:w="1879"/>
        <w:gridCol w:w="1813"/>
        <w:gridCol w:w="1990"/>
      </w:tblGrid>
      <w:tr w:rsidR="007A6A1A" w:rsidRPr="00167CB8" w14:paraId="196F51A0" w14:textId="77777777" w:rsidTr="00364020">
        <w:trPr>
          <w:trHeight w:val="671"/>
        </w:trPr>
        <w:tc>
          <w:tcPr>
            <w:tcW w:w="3223" w:type="dxa"/>
            <w:tcBorders>
              <w:top w:val="single" w:sz="4" w:space="0" w:color="auto"/>
              <w:left w:val="single" w:sz="4" w:space="0" w:color="auto"/>
              <w:bottom w:val="single" w:sz="4" w:space="0" w:color="auto"/>
              <w:right w:val="nil"/>
            </w:tcBorders>
            <w:noWrap/>
            <w:vAlign w:val="bottom"/>
            <w:hideMark/>
          </w:tcPr>
          <w:p w14:paraId="17B9EE03" w14:textId="77777777" w:rsidR="007A6A1A" w:rsidRPr="00167CB8" w:rsidRDefault="007A6A1A" w:rsidP="007A6A1A">
            <w:pPr>
              <w:spacing w:after="160"/>
            </w:pPr>
          </w:p>
        </w:tc>
        <w:tc>
          <w:tcPr>
            <w:tcW w:w="1879" w:type="dxa"/>
            <w:tcBorders>
              <w:top w:val="single" w:sz="4" w:space="0" w:color="auto"/>
              <w:left w:val="nil"/>
              <w:bottom w:val="single" w:sz="4" w:space="0" w:color="auto"/>
              <w:right w:val="nil"/>
            </w:tcBorders>
            <w:vAlign w:val="bottom"/>
            <w:hideMark/>
          </w:tcPr>
          <w:p w14:paraId="52EC9C44" w14:textId="77777777" w:rsidR="007A6A1A" w:rsidRPr="00167CB8" w:rsidRDefault="007A6A1A" w:rsidP="007A6A1A">
            <w:pPr>
              <w:spacing w:after="160"/>
              <w:rPr>
                <w:b/>
                <w:bCs/>
              </w:rPr>
            </w:pPr>
            <w:r w:rsidRPr="00167CB8">
              <w:rPr>
                <w:b/>
                <w:bCs/>
              </w:rPr>
              <w:t>Award only</w:t>
            </w:r>
          </w:p>
        </w:tc>
        <w:tc>
          <w:tcPr>
            <w:tcW w:w="1813" w:type="dxa"/>
            <w:tcBorders>
              <w:top w:val="single" w:sz="4" w:space="0" w:color="auto"/>
              <w:left w:val="nil"/>
              <w:bottom w:val="single" w:sz="4" w:space="0" w:color="auto"/>
              <w:right w:val="nil"/>
            </w:tcBorders>
            <w:vAlign w:val="bottom"/>
            <w:hideMark/>
          </w:tcPr>
          <w:p w14:paraId="5A33B8DD" w14:textId="77777777" w:rsidR="007A6A1A" w:rsidRPr="00167CB8" w:rsidRDefault="007A6A1A" w:rsidP="007A6A1A">
            <w:pPr>
              <w:spacing w:after="160"/>
              <w:rPr>
                <w:b/>
                <w:bCs/>
              </w:rPr>
            </w:pPr>
            <w:r w:rsidRPr="00167CB8">
              <w:rPr>
                <w:b/>
                <w:bCs/>
              </w:rPr>
              <w:t>Collective agreement</w:t>
            </w:r>
          </w:p>
        </w:tc>
        <w:tc>
          <w:tcPr>
            <w:tcW w:w="1990" w:type="dxa"/>
            <w:tcBorders>
              <w:top w:val="single" w:sz="4" w:space="0" w:color="auto"/>
              <w:left w:val="nil"/>
              <w:bottom w:val="single" w:sz="4" w:space="0" w:color="auto"/>
              <w:right w:val="single" w:sz="4" w:space="0" w:color="auto"/>
            </w:tcBorders>
            <w:vAlign w:val="bottom"/>
            <w:hideMark/>
          </w:tcPr>
          <w:p w14:paraId="0D47E02A" w14:textId="77777777" w:rsidR="007A6A1A" w:rsidRPr="00167CB8" w:rsidRDefault="007A6A1A" w:rsidP="007A6A1A">
            <w:pPr>
              <w:spacing w:after="160"/>
              <w:rPr>
                <w:b/>
                <w:bCs/>
              </w:rPr>
            </w:pPr>
            <w:r w:rsidRPr="00167CB8">
              <w:rPr>
                <w:b/>
                <w:bCs/>
              </w:rPr>
              <w:t>Individual arrangement</w:t>
            </w:r>
          </w:p>
        </w:tc>
      </w:tr>
      <w:tr w:rsidR="007A6A1A" w:rsidRPr="00167CB8" w14:paraId="54EBDC5E" w14:textId="77777777" w:rsidTr="003358E0">
        <w:trPr>
          <w:trHeight w:val="397"/>
        </w:trPr>
        <w:tc>
          <w:tcPr>
            <w:tcW w:w="3223" w:type="dxa"/>
            <w:tcBorders>
              <w:top w:val="single" w:sz="4" w:space="0" w:color="auto"/>
              <w:left w:val="single" w:sz="4" w:space="0" w:color="auto"/>
              <w:bottom w:val="nil"/>
              <w:right w:val="nil"/>
            </w:tcBorders>
            <w:noWrap/>
            <w:vAlign w:val="bottom"/>
            <w:hideMark/>
          </w:tcPr>
          <w:p w14:paraId="5E9B1A99" w14:textId="77777777" w:rsidR="007A6A1A" w:rsidRPr="003358E0" w:rsidRDefault="007A6A1A" w:rsidP="003358E0">
            <w:pPr>
              <w:spacing w:after="0" w:line="240" w:lineRule="auto"/>
              <w:rPr>
                <w:sz w:val="20"/>
                <w:szCs w:val="20"/>
              </w:rPr>
            </w:pPr>
            <w:r w:rsidRPr="003358E0">
              <w:rPr>
                <w:sz w:val="20"/>
                <w:szCs w:val="20"/>
              </w:rPr>
              <w:t>Males</w:t>
            </w:r>
          </w:p>
        </w:tc>
        <w:tc>
          <w:tcPr>
            <w:tcW w:w="1879" w:type="dxa"/>
            <w:tcBorders>
              <w:top w:val="single" w:sz="4" w:space="0" w:color="auto"/>
              <w:left w:val="nil"/>
              <w:bottom w:val="nil"/>
              <w:right w:val="nil"/>
            </w:tcBorders>
            <w:noWrap/>
            <w:vAlign w:val="bottom"/>
            <w:hideMark/>
          </w:tcPr>
          <w:p w14:paraId="7F58579D" w14:textId="77777777" w:rsidR="007A6A1A" w:rsidRPr="003358E0" w:rsidRDefault="007A6A1A" w:rsidP="003358E0">
            <w:pPr>
              <w:spacing w:after="0" w:line="240" w:lineRule="auto"/>
              <w:rPr>
                <w:sz w:val="20"/>
                <w:szCs w:val="20"/>
              </w:rPr>
            </w:pPr>
            <w:r w:rsidRPr="003358E0">
              <w:rPr>
                <w:sz w:val="20"/>
                <w:szCs w:val="20"/>
              </w:rPr>
              <w:t>$37.00</w:t>
            </w:r>
          </w:p>
        </w:tc>
        <w:tc>
          <w:tcPr>
            <w:tcW w:w="1813" w:type="dxa"/>
            <w:tcBorders>
              <w:top w:val="single" w:sz="4" w:space="0" w:color="auto"/>
              <w:left w:val="nil"/>
              <w:bottom w:val="nil"/>
              <w:right w:val="nil"/>
            </w:tcBorders>
            <w:noWrap/>
            <w:vAlign w:val="bottom"/>
            <w:hideMark/>
          </w:tcPr>
          <w:p w14:paraId="7B2621C9" w14:textId="77777777" w:rsidR="007A6A1A" w:rsidRPr="003358E0" w:rsidRDefault="007A6A1A" w:rsidP="003358E0">
            <w:pPr>
              <w:spacing w:after="0" w:line="240" w:lineRule="auto"/>
              <w:rPr>
                <w:sz w:val="20"/>
                <w:szCs w:val="20"/>
              </w:rPr>
            </w:pPr>
            <w:r w:rsidRPr="003358E0">
              <w:rPr>
                <w:sz w:val="20"/>
                <w:szCs w:val="20"/>
              </w:rPr>
              <w:t>$53.50</w:t>
            </w:r>
          </w:p>
        </w:tc>
        <w:tc>
          <w:tcPr>
            <w:tcW w:w="1990" w:type="dxa"/>
            <w:tcBorders>
              <w:top w:val="single" w:sz="4" w:space="0" w:color="auto"/>
              <w:left w:val="nil"/>
              <w:bottom w:val="nil"/>
              <w:right w:val="single" w:sz="4" w:space="0" w:color="auto"/>
            </w:tcBorders>
            <w:noWrap/>
            <w:vAlign w:val="bottom"/>
            <w:hideMark/>
          </w:tcPr>
          <w:p w14:paraId="00EB10B0" w14:textId="77777777" w:rsidR="007A6A1A" w:rsidRPr="003358E0" w:rsidRDefault="007A6A1A" w:rsidP="003358E0">
            <w:pPr>
              <w:spacing w:after="0" w:line="240" w:lineRule="auto"/>
              <w:rPr>
                <w:sz w:val="20"/>
                <w:szCs w:val="20"/>
              </w:rPr>
            </w:pPr>
            <w:r w:rsidRPr="003358E0">
              <w:rPr>
                <w:sz w:val="20"/>
                <w:szCs w:val="20"/>
              </w:rPr>
              <w:t>$51.40</w:t>
            </w:r>
          </w:p>
        </w:tc>
      </w:tr>
      <w:tr w:rsidR="007A6A1A" w:rsidRPr="00167CB8" w14:paraId="15DAB41C" w14:textId="77777777" w:rsidTr="003358E0">
        <w:trPr>
          <w:trHeight w:val="397"/>
        </w:trPr>
        <w:tc>
          <w:tcPr>
            <w:tcW w:w="3223" w:type="dxa"/>
            <w:tcBorders>
              <w:top w:val="nil"/>
              <w:left w:val="single" w:sz="4" w:space="0" w:color="auto"/>
              <w:bottom w:val="nil"/>
              <w:right w:val="nil"/>
            </w:tcBorders>
            <w:noWrap/>
            <w:vAlign w:val="bottom"/>
            <w:hideMark/>
          </w:tcPr>
          <w:p w14:paraId="7771F756" w14:textId="77777777" w:rsidR="007A6A1A" w:rsidRPr="003358E0" w:rsidRDefault="007A6A1A" w:rsidP="003358E0">
            <w:pPr>
              <w:spacing w:after="0" w:line="240" w:lineRule="auto"/>
              <w:rPr>
                <w:sz w:val="20"/>
                <w:szCs w:val="20"/>
              </w:rPr>
            </w:pPr>
            <w:r w:rsidRPr="003358E0">
              <w:rPr>
                <w:sz w:val="20"/>
                <w:szCs w:val="20"/>
              </w:rPr>
              <w:t>Females</w:t>
            </w:r>
          </w:p>
        </w:tc>
        <w:tc>
          <w:tcPr>
            <w:tcW w:w="1879" w:type="dxa"/>
            <w:tcBorders>
              <w:top w:val="nil"/>
              <w:left w:val="nil"/>
              <w:bottom w:val="nil"/>
              <w:right w:val="nil"/>
            </w:tcBorders>
            <w:noWrap/>
            <w:vAlign w:val="bottom"/>
            <w:hideMark/>
          </w:tcPr>
          <w:p w14:paraId="6A2A86D7" w14:textId="77777777" w:rsidR="007A6A1A" w:rsidRPr="003358E0" w:rsidRDefault="007A6A1A" w:rsidP="003358E0">
            <w:pPr>
              <w:spacing w:after="0" w:line="240" w:lineRule="auto"/>
              <w:rPr>
                <w:sz w:val="20"/>
                <w:szCs w:val="20"/>
              </w:rPr>
            </w:pPr>
            <w:r w:rsidRPr="003358E0">
              <w:rPr>
                <w:sz w:val="20"/>
                <w:szCs w:val="20"/>
              </w:rPr>
              <w:t>$38.40</w:t>
            </w:r>
          </w:p>
        </w:tc>
        <w:tc>
          <w:tcPr>
            <w:tcW w:w="1813" w:type="dxa"/>
            <w:tcBorders>
              <w:top w:val="nil"/>
              <w:left w:val="nil"/>
              <w:bottom w:val="nil"/>
              <w:right w:val="nil"/>
            </w:tcBorders>
            <w:noWrap/>
            <w:vAlign w:val="bottom"/>
            <w:hideMark/>
          </w:tcPr>
          <w:p w14:paraId="7C83D5D2" w14:textId="77777777" w:rsidR="007A6A1A" w:rsidRPr="003358E0" w:rsidRDefault="007A6A1A" w:rsidP="003358E0">
            <w:pPr>
              <w:spacing w:after="0" w:line="240" w:lineRule="auto"/>
              <w:rPr>
                <w:sz w:val="20"/>
                <w:szCs w:val="20"/>
              </w:rPr>
            </w:pPr>
            <w:r w:rsidRPr="003358E0">
              <w:rPr>
                <w:sz w:val="20"/>
                <w:szCs w:val="20"/>
              </w:rPr>
              <w:t>$49.90</w:t>
            </w:r>
          </w:p>
        </w:tc>
        <w:tc>
          <w:tcPr>
            <w:tcW w:w="1990" w:type="dxa"/>
            <w:tcBorders>
              <w:top w:val="nil"/>
              <w:left w:val="nil"/>
              <w:bottom w:val="nil"/>
              <w:right w:val="single" w:sz="4" w:space="0" w:color="auto"/>
            </w:tcBorders>
            <w:noWrap/>
            <w:vAlign w:val="bottom"/>
            <w:hideMark/>
          </w:tcPr>
          <w:p w14:paraId="68AED2D2" w14:textId="77777777" w:rsidR="007A6A1A" w:rsidRPr="003358E0" w:rsidRDefault="007A6A1A" w:rsidP="003358E0">
            <w:pPr>
              <w:spacing w:after="0" w:line="240" w:lineRule="auto"/>
              <w:rPr>
                <w:sz w:val="20"/>
                <w:szCs w:val="20"/>
              </w:rPr>
            </w:pPr>
            <w:r w:rsidRPr="003358E0">
              <w:rPr>
                <w:sz w:val="20"/>
                <w:szCs w:val="20"/>
              </w:rPr>
              <w:t>$45.80</w:t>
            </w:r>
          </w:p>
        </w:tc>
      </w:tr>
      <w:tr w:rsidR="007A6A1A" w:rsidRPr="00167CB8" w14:paraId="261AD5EA" w14:textId="77777777" w:rsidTr="003358E0">
        <w:trPr>
          <w:trHeight w:val="397"/>
        </w:trPr>
        <w:tc>
          <w:tcPr>
            <w:tcW w:w="3223" w:type="dxa"/>
            <w:tcBorders>
              <w:top w:val="nil"/>
              <w:left w:val="single" w:sz="4" w:space="0" w:color="auto"/>
              <w:bottom w:val="single" w:sz="4" w:space="0" w:color="auto"/>
              <w:right w:val="nil"/>
            </w:tcBorders>
            <w:noWrap/>
            <w:vAlign w:val="bottom"/>
            <w:hideMark/>
          </w:tcPr>
          <w:p w14:paraId="023C4648" w14:textId="77777777" w:rsidR="007A6A1A" w:rsidRPr="003358E0" w:rsidRDefault="007A6A1A" w:rsidP="003358E0">
            <w:pPr>
              <w:spacing w:after="0" w:line="240" w:lineRule="auto"/>
              <w:rPr>
                <w:sz w:val="20"/>
                <w:szCs w:val="20"/>
              </w:rPr>
            </w:pPr>
            <w:r w:rsidRPr="003358E0">
              <w:rPr>
                <w:sz w:val="20"/>
                <w:szCs w:val="20"/>
              </w:rPr>
              <w:t>Persons</w:t>
            </w:r>
          </w:p>
        </w:tc>
        <w:tc>
          <w:tcPr>
            <w:tcW w:w="1879" w:type="dxa"/>
            <w:tcBorders>
              <w:top w:val="nil"/>
              <w:left w:val="nil"/>
              <w:bottom w:val="single" w:sz="4" w:space="0" w:color="auto"/>
              <w:right w:val="nil"/>
            </w:tcBorders>
            <w:noWrap/>
            <w:vAlign w:val="bottom"/>
            <w:hideMark/>
          </w:tcPr>
          <w:p w14:paraId="5D60DCCB" w14:textId="77777777" w:rsidR="007A6A1A" w:rsidRPr="003358E0" w:rsidRDefault="007A6A1A" w:rsidP="003358E0">
            <w:pPr>
              <w:spacing w:after="0" w:line="240" w:lineRule="auto"/>
              <w:rPr>
                <w:sz w:val="20"/>
                <w:szCs w:val="20"/>
              </w:rPr>
            </w:pPr>
            <w:r w:rsidRPr="003358E0">
              <w:rPr>
                <w:sz w:val="20"/>
                <w:szCs w:val="20"/>
              </w:rPr>
              <w:t>$37.70</w:t>
            </w:r>
          </w:p>
        </w:tc>
        <w:tc>
          <w:tcPr>
            <w:tcW w:w="1813" w:type="dxa"/>
            <w:tcBorders>
              <w:top w:val="nil"/>
              <w:left w:val="nil"/>
              <w:bottom w:val="single" w:sz="4" w:space="0" w:color="auto"/>
              <w:right w:val="nil"/>
            </w:tcBorders>
            <w:noWrap/>
            <w:vAlign w:val="bottom"/>
            <w:hideMark/>
          </w:tcPr>
          <w:p w14:paraId="68035121" w14:textId="77777777" w:rsidR="007A6A1A" w:rsidRPr="003358E0" w:rsidRDefault="007A6A1A" w:rsidP="003358E0">
            <w:pPr>
              <w:spacing w:after="0" w:line="240" w:lineRule="auto"/>
              <w:rPr>
                <w:sz w:val="20"/>
                <w:szCs w:val="20"/>
              </w:rPr>
            </w:pPr>
            <w:r w:rsidRPr="003358E0">
              <w:rPr>
                <w:sz w:val="20"/>
                <w:szCs w:val="20"/>
              </w:rPr>
              <w:t>$51.90</w:t>
            </w:r>
          </w:p>
        </w:tc>
        <w:tc>
          <w:tcPr>
            <w:tcW w:w="1990" w:type="dxa"/>
            <w:tcBorders>
              <w:top w:val="nil"/>
              <w:left w:val="nil"/>
              <w:bottom w:val="single" w:sz="4" w:space="0" w:color="auto"/>
              <w:right w:val="single" w:sz="4" w:space="0" w:color="auto"/>
            </w:tcBorders>
            <w:noWrap/>
            <w:vAlign w:val="bottom"/>
            <w:hideMark/>
          </w:tcPr>
          <w:p w14:paraId="624C59B8" w14:textId="77777777" w:rsidR="007A6A1A" w:rsidRPr="003358E0" w:rsidRDefault="007A6A1A" w:rsidP="003358E0">
            <w:pPr>
              <w:spacing w:after="0" w:line="240" w:lineRule="auto"/>
              <w:rPr>
                <w:sz w:val="20"/>
                <w:szCs w:val="20"/>
              </w:rPr>
            </w:pPr>
            <w:r w:rsidRPr="003358E0">
              <w:rPr>
                <w:sz w:val="20"/>
                <w:szCs w:val="20"/>
              </w:rPr>
              <w:t>$49.40</w:t>
            </w:r>
          </w:p>
        </w:tc>
      </w:tr>
      <w:tr w:rsidR="007A6A1A" w:rsidRPr="00167CB8" w14:paraId="2870C2A6" w14:textId="77777777" w:rsidTr="003358E0">
        <w:trPr>
          <w:trHeight w:val="397"/>
        </w:trPr>
        <w:tc>
          <w:tcPr>
            <w:tcW w:w="3223" w:type="dxa"/>
            <w:tcBorders>
              <w:top w:val="single" w:sz="4" w:space="0" w:color="auto"/>
              <w:left w:val="single" w:sz="4" w:space="0" w:color="auto"/>
              <w:bottom w:val="single" w:sz="4" w:space="0" w:color="auto"/>
              <w:right w:val="nil"/>
            </w:tcBorders>
            <w:noWrap/>
            <w:vAlign w:val="bottom"/>
            <w:hideMark/>
          </w:tcPr>
          <w:p w14:paraId="6E8D4553" w14:textId="77777777" w:rsidR="007A6A1A" w:rsidRPr="003358E0" w:rsidRDefault="007A6A1A" w:rsidP="003358E0">
            <w:pPr>
              <w:spacing w:after="0" w:line="240" w:lineRule="auto"/>
              <w:rPr>
                <w:sz w:val="20"/>
                <w:szCs w:val="20"/>
              </w:rPr>
            </w:pPr>
            <w:r w:rsidRPr="003358E0">
              <w:rPr>
                <w:sz w:val="20"/>
                <w:szCs w:val="20"/>
              </w:rPr>
              <w:t>Gender pay gap (%)</w:t>
            </w:r>
          </w:p>
        </w:tc>
        <w:tc>
          <w:tcPr>
            <w:tcW w:w="1879" w:type="dxa"/>
            <w:tcBorders>
              <w:top w:val="single" w:sz="4" w:space="0" w:color="auto"/>
              <w:left w:val="nil"/>
              <w:bottom w:val="single" w:sz="4" w:space="0" w:color="auto"/>
              <w:right w:val="nil"/>
            </w:tcBorders>
            <w:noWrap/>
            <w:vAlign w:val="bottom"/>
            <w:hideMark/>
          </w:tcPr>
          <w:p w14:paraId="3CA980C1" w14:textId="77777777" w:rsidR="007A6A1A" w:rsidRPr="003358E0" w:rsidRDefault="007A6A1A" w:rsidP="003358E0">
            <w:pPr>
              <w:spacing w:after="0" w:line="240" w:lineRule="auto"/>
              <w:rPr>
                <w:sz w:val="20"/>
                <w:szCs w:val="20"/>
              </w:rPr>
            </w:pPr>
            <w:r w:rsidRPr="003358E0">
              <w:rPr>
                <w:sz w:val="20"/>
                <w:szCs w:val="20"/>
              </w:rPr>
              <w:t>-3.8%</w:t>
            </w:r>
          </w:p>
        </w:tc>
        <w:tc>
          <w:tcPr>
            <w:tcW w:w="1813" w:type="dxa"/>
            <w:tcBorders>
              <w:top w:val="single" w:sz="4" w:space="0" w:color="auto"/>
              <w:left w:val="nil"/>
              <w:bottom w:val="single" w:sz="4" w:space="0" w:color="auto"/>
              <w:right w:val="nil"/>
            </w:tcBorders>
            <w:noWrap/>
            <w:vAlign w:val="bottom"/>
            <w:hideMark/>
          </w:tcPr>
          <w:p w14:paraId="4DBD52D7" w14:textId="77777777" w:rsidR="007A6A1A" w:rsidRPr="003358E0" w:rsidRDefault="007A6A1A" w:rsidP="003358E0">
            <w:pPr>
              <w:spacing w:after="0" w:line="240" w:lineRule="auto"/>
              <w:rPr>
                <w:sz w:val="20"/>
                <w:szCs w:val="20"/>
              </w:rPr>
            </w:pPr>
            <w:r w:rsidRPr="003358E0">
              <w:rPr>
                <w:sz w:val="20"/>
                <w:szCs w:val="20"/>
              </w:rPr>
              <w:t>6.7%</w:t>
            </w:r>
          </w:p>
        </w:tc>
        <w:tc>
          <w:tcPr>
            <w:tcW w:w="1990" w:type="dxa"/>
            <w:tcBorders>
              <w:top w:val="single" w:sz="4" w:space="0" w:color="auto"/>
              <w:left w:val="nil"/>
              <w:bottom w:val="single" w:sz="4" w:space="0" w:color="auto"/>
              <w:right w:val="single" w:sz="4" w:space="0" w:color="auto"/>
            </w:tcBorders>
            <w:noWrap/>
            <w:vAlign w:val="bottom"/>
            <w:hideMark/>
          </w:tcPr>
          <w:p w14:paraId="731FDD11" w14:textId="77777777" w:rsidR="007A6A1A" w:rsidRPr="003358E0" w:rsidRDefault="007A6A1A" w:rsidP="003358E0">
            <w:pPr>
              <w:spacing w:after="0" w:line="240" w:lineRule="auto"/>
              <w:rPr>
                <w:sz w:val="20"/>
                <w:szCs w:val="20"/>
              </w:rPr>
            </w:pPr>
            <w:r w:rsidRPr="003358E0">
              <w:rPr>
                <w:sz w:val="20"/>
                <w:szCs w:val="20"/>
              </w:rPr>
              <w:t>10.9%</w:t>
            </w:r>
          </w:p>
        </w:tc>
      </w:tr>
    </w:tbl>
    <w:p w14:paraId="08E81C52" w14:textId="77777777" w:rsidR="007A6A1A" w:rsidRPr="00167CB8" w:rsidRDefault="007A6A1A" w:rsidP="00C87E4A">
      <w:pPr>
        <w:pStyle w:val="Source"/>
      </w:pPr>
      <w:r w:rsidRPr="00167CB8">
        <w:rPr>
          <w:b/>
          <w:bCs/>
        </w:rPr>
        <w:t>Source:</w:t>
      </w:r>
      <w:r w:rsidRPr="00167CB8">
        <w:t xml:space="preserve"> ABS 6306.0 Employee Earnings and Hours, May 2023. Table 7. Sample: non-managerial employees employed full-time and paid at the adult rate.</w:t>
      </w:r>
    </w:p>
    <w:p w14:paraId="67C845B1" w14:textId="77777777" w:rsidR="007A6A1A" w:rsidRPr="00167CB8" w:rsidRDefault="007A6A1A" w:rsidP="00C87E4A">
      <w:pPr>
        <w:pStyle w:val="Source"/>
      </w:pPr>
      <w:r w:rsidRPr="00167CB8">
        <w:rPr>
          <w:b/>
          <w:bCs/>
        </w:rPr>
        <w:t>Alt-text:</w:t>
      </w:r>
      <w:r w:rsidRPr="00167CB8">
        <w:t xml:space="preserve"> A table showing that at May 2023 women who were employed full-time in non-managerial roles and paid at the adult rate had an hourly wage (total cash earnings) of $49.90 if covered by a collective agreement. The corresponding hourly rate for men was $53.50. This equates to a gender pay gap of 6.7% (meaning male wages need to fall by 6.7% to equal those of women). The gender pay gap favoured women in the award stream. </w:t>
      </w:r>
    </w:p>
    <w:p w14:paraId="09BE4B04" w14:textId="6657E7DE" w:rsidR="007A6A1A" w:rsidRPr="00167CB8" w:rsidRDefault="009E107A" w:rsidP="007A6A1A">
      <w:pPr>
        <w:spacing w:after="160"/>
      </w:pPr>
      <w:r w:rsidRPr="00167CB8">
        <w:t xml:space="preserve">Table </w:t>
      </w:r>
      <w:r w:rsidR="00EB6DEE" w:rsidRPr="00167CB8">
        <w:t>46</w:t>
      </w:r>
      <w:r w:rsidR="007A6A1A" w:rsidRPr="00167CB8">
        <w:t xml:space="preserve"> shows the average hourly (total cash) earnings of non-managerial employees employed full-time and paid the adult rate, disaggregated by sector and by employer size. In the public sector the average hourly rate for award only workers is </w:t>
      </w:r>
      <w:r w:rsidR="00C87E4A" w:rsidRPr="00167CB8">
        <w:t>$</w:t>
      </w:r>
      <w:r w:rsidR="007A6A1A" w:rsidRPr="00167CB8">
        <w:t xml:space="preserve">54.3; in the private sector it is $33.4. These differences do not account for compositional factors – </w:t>
      </w:r>
      <w:r w:rsidR="00C87E4A" w:rsidRPr="00167CB8">
        <w:t>for example,</w:t>
      </w:r>
      <w:r w:rsidR="007A6A1A" w:rsidRPr="00167CB8">
        <w:t xml:space="preserve"> many professional workers are award</w:t>
      </w:r>
      <w:r w:rsidR="00C87E4A" w:rsidRPr="00167CB8">
        <w:t>-</w:t>
      </w:r>
      <w:r w:rsidR="007A6A1A" w:rsidRPr="00167CB8">
        <w:t>covered workers in the public sector. The table also shows the hourly rate by employer size. Large employers, on average, have higher hourly wages.</w:t>
      </w:r>
    </w:p>
    <w:p w14:paraId="7F1B11E4" w14:textId="498D9BD6" w:rsidR="007A6A1A" w:rsidRPr="00167CB8" w:rsidRDefault="007A6A1A" w:rsidP="00470AB9">
      <w:pPr>
        <w:pStyle w:val="Caption"/>
      </w:pPr>
      <w:bookmarkStart w:id="794" w:name="_Ref184490931"/>
      <w:bookmarkStart w:id="795" w:name="_Toc186991824"/>
      <w:bookmarkStart w:id="796" w:name="_Toc189310875"/>
      <w:r w:rsidRPr="00167CB8">
        <w:t xml:space="preserve">Table </w:t>
      </w:r>
      <w:r w:rsidR="00EB6DEE" w:rsidRPr="00167CB8">
        <w:t>46</w:t>
      </w:r>
      <w:bookmarkEnd w:id="794"/>
      <w:r w:rsidRPr="00167CB8">
        <w:t>: Average hourly (total cash) earnings by sector, employer size and method of pay setting, May 2023</w:t>
      </w:r>
      <w:bookmarkEnd w:id="795"/>
      <w:bookmarkEnd w:id="796"/>
    </w:p>
    <w:tbl>
      <w:tblPr>
        <w:tblW w:w="9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3"/>
        <w:gridCol w:w="2673"/>
        <w:gridCol w:w="1507"/>
        <w:gridCol w:w="1657"/>
      </w:tblGrid>
      <w:tr w:rsidR="007A6A1A" w:rsidRPr="00167CB8" w14:paraId="29104782" w14:textId="77777777">
        <w:trPr>
          <w:trHeight w:val="633"/>
        </w:trPr>
        <w:tc>
          <w:tcPr>
            <w:tcW w:w="3253" w:type="dxa"/>
            <w:tcBorders>
              <w:top w:val="single" w:sz="4" w:space="0" w:color="auto"/>
              <w:left w:val="single" w:sz="4" w:space="0" w:color="auto"/>
              <w:bottom w:val="single" w:sz="4" w:space="0" w:color="auto"/>
              <w:right w:val="nil"/>
            </w:tcBorders>
            <w:noWrap/>
            <w:vAlign w:val="bottom"/>
            <w:hideMark/>
          </w:tcPr>
          <w:p w14:paraId="4C8A53FC" w14:textId="77777777" w:rsidR="007A6A1A" w:rsidRPr="00167CB8" w:rsidRDefault="007A6A1A" w:rsidP="007A6A1A">
            <w:pPr>
              <w:spacing w:after="160"/>
              <w:rPr>
                <w:b/>
                <w:bCs/>
              </w:rPr>
            </w:pPr>
          </w:p>
        </w:tc>
        <w:tc>
          <w:tcPr>
            <w:tcW w:w="2673" w:type="dxa"/>
            <w:tcBorders>
              <w:top w:val="single" w:sz="4" w:space="0" w:color="auto"/>
              <w:left w:val="nil"/>
              <w:bottom w:val="single" w:sz="4" w:space="0" w:color="auto"/>
              <w:right w:val="nil"/>
            </w:tcBorders>
            <w:vAlign w:val="bottom"/>
            <w:hideMark/>
          </w:tcPr>
          <w:p w14:paraId="71C4C3A2" w14:textId="77777777" w:rsidR="007A6A1A" w:rsidRPr="00167CB8" w:rsidRDefault="007A6A1A" w:rsidP="007A6A1A">
            <w:pPr>
              <w:spacing w:after="160"/>
              <w:rPr>
                <w:b/>
                <w:bCs/>
              </w:rPr>
            </w:pPr>
            <w:r w:rsidRPr="00167CB8">
              <w:rPr>
                <w:b/>
                <w:bCs/>
              </w:rPr>
              <w:t>Award only</w:t>
            </w:r>
          </w:p>
        </w:tc>
        <w:tc>
          <w:tcPr>
            <w:tcW w:w="1507" w:type="dxa"/>
            <w:tcBorders>
              <w:top w:val="single" w:sz="4" w:space="0" w:color="auto"/>
              <w:left w:val="nil"/>
              <w:bottom w:val="single" w:sz="4" w:space="0" w:color="auto"/>
              <w:right w:val="nil"/>
            </w:tcBorders>
            <w:vAlign w:val="bottom"/>
            <w:hideMark/>
          </w:tcPr>
          <w:p w14:paraId="24921CEF" w14:textId="77777777" w:rsidR="007A6A1A" w:rsidRPr="00167CB8" w:rsidRDefault="007A6A1A" w:rsidP="007A6A1A">
            <w:pPr>
              <w:spacing w:after="160"/>
              <w:rPr>
                <w:b/>
                <w:bCs/>
              </w:rPr>
            </w:pPr>
            <w:r w:rsidRPr="00167CB8">
              <w:rPr>
                <w:b/>
                <w:bCs/>
              </w:rPr>
              <w:t>Collective agreement</w:t>
            </w:r>
          </w:p>
        </w:tc>
        <w:tc>
          <w:tcPr>
            <w:tcW w:w="1657" w:type="dxa"/>
            <w:tcBorders>
              <w:top w:val="single" w:sz="4" w:space="0" w:color="auto"/>
              <w:left w:val="nil"/>
              <w:bottom w:val="single" w:sz="4" w:space="0" w:color="auto"/>
              <w:right w:val="single" w:sz="4" w:space="0" w:color="auto"/>
            </w:tcBorders>
            <w:vAlign w:val="bottom"/>
            <w:hideMark/>
          </w:tcPr>
          <w:p w14:paraId="146CB2B3" w14:textId="77777777" w:rsidR="007A6A1A" w:rsidRPr="00167CB8" w:rsidRDefault="007A6A1A" w:rsidP="007A6A1A">
            <w:pPr>
              <w:spacing w:after="160"/>
              <w:rPr>
                <w:b/>
                <w:bCs/>
              </w:rPr>
            </w:pPr>
            <w:r w:rsidRPr="00167CB8">
              <w:rPr>
                <w:b/>
                <w:bCs/>
              </w:rPr>
              <w:t>Individual arrangement</w:t>
            </w:r>
          </w:p>
        </w:tc>
      </w:tr>
      <w:tr w:rsidR="007A6A1A" w:rsidRPr="00167CB8" w14:paraId="504AB494" w14:textId="77777777" w:rsidTr="00364020">
        <w:trPr>
          <w:trHeight w:val="340"/>
        </w:trPr>
        <w:tc>
          <w:tcPr>
            <w:tcW w:w="3253" w:type="dxa"/>
            <w:tcBorders>
              <w:top w:val="single" w:sz="4" w:space="0" w:color="auto"/>
              <w:left w:val="single" w:sz="4" w:space="0" w:color="auto"/>
              <w:bottom w:val="nil"/>
              <w:right w:val="nil"/>
            </w:tcBorders>
            <w:noWrap/>
            <w:vAlign w:val="bottom"/>
            <w:hideMark/>
          </w:tcPr>
          <w:p w14:paraId="70940ED4" w14:textId="77777777" w:rsidR="007A6A1A" w:rsidRPr="00364020" w:rsidRDefault="007A6A1A" w:rsidP="00364020">
            <w:pPr>
              <w:spacing w:after="0" w:line="240" w:lineRule="auto"/>
              <w:rPr>
                <w:b/>
                <w:bCs/>
                <w:sz w:val="20"/>
                <w:szCs w:val="20"/>
              </w:rPr>
            </w:pPr>
            <w:r w:rsidRPr="00364020">
              <w:rPr>
                <w:b/>
                <w:bCs/>
                <w:sz w:val="20"/>
                <w:szCs w:val="20"/>
              </w:rPr>
              <w:t>Sector</w:t>
            </w:r>
          </w:p>
        </w:tc>
        <w:tc>
          <w:tcPr>
            <w:tcW w:w="2673" w:type="dxa"/>
            <w:tcBorders>
              <w:top w:val="single" w:sz="4" w:space="0" w:color="auto"/>
              <w:left w:val="nil"/>
              <w:bottom w:val="nil"/>
              <w:right w:val="nil"/>
            </w:tcBorders>
            <w:vAlign w:val="bottom"/>
            <w:hideMark/>
          </w:tcPr>
          <w:p w14:paraId="7B09DB97" w14:textId="77777777" w:rsidR="007A6A1A" w:rsidRPr="00364020" w:rsidRDefault="007A6A1A" w:rsidP="00364020">
            <w:pPr>
              <w:spacing w:after="0" w:line="240" w:lineRule="auto"/>
              <w:rPr>
                <w:b/>
                <w:bCs/>
                <w:sz w:val="20"/>
                <w:szCs w:val="20"/>
              </w:rPr>
            </w:pPr>
          </w:p>
        </w:tc>
        <w:tc>
          <w:tcPr>
            <w:tcW w:w="1507" w:type="dxa"/>
            <w:tcBorders>
              <w:top w:val="single" w:sz="4" w:space="0" w:color="auto"/>
              <w:left w:val="nil"/>
              <w:bottom w:val="nil"/>
              <w:right w:val="nil"/>
            </w:tcBorders>
            <w:vAlign w:val="bottom"/>
            <w:hideMark/>
          </w:tcPr>
          <w:p w14:paraId="443A245E" w14:textId="77777777" w:rsidR="007A6A1A" w:rsidRPr="00364020" w:rsidRDefault="007A6A1A" w:rsidP="00364020">
            <w:pPr>
              <w:spacing w:after="0" w:line="240" w:lineRule="auto"/>
              <w:rPr>
                <w:sz w:val="20"/>
                <w:szCs w:val="20"/>
              </w:rPr>
            </w:pPr>
          </w:p>
        </w:tc>
        <w:tc>
          <w:tcPr>
            <w:tcW w:w="1657" w:type="dxa"/>
            <w:tcBorders>
              <w:top w:val="single" w:sz="4" w:space="0" w:color="auto"/>
              <w:left w:val="nil"/>
              <w:bottom w:val="nil"/>
              <w:right w:val="single" w:sz="4" w:space="0" w:color="auto"/>
            </w:tcBorders>
            <w:vAlign w:val="bottom"/>
            <w:hideMark/>
          </w:tcPr>
          <w:p w14:paraId="05921560" w14:textId="77777777" w:rsidR="007A6A1A" w:rsidRPr="00364020" w:rsidRDefault="007A6A1A" w:rsidP="00364020">
            <w:pPr>
              <w:spacing w:after="0" w:line="240" w:lineRule="auto"/>
              <w:rPr>
                <w:sz w:val="20"/>
                <w:szCs w:val="20"/>
              </w:rPr>
            </w:pPr>
          </w:p>
        </w:tc>
      </w:tr>
      <w:tr w:rsidR="007A6A1A" w:rsidRPr="00167CB8" w14:paraId="13921FCA" w14:textId="77777777" w:rsidTr="00364020">
        <w:trPr>
          <w:trHeight w:val="340"/>
        </w:trPr>
        <w:tc>
          <w:tcPr>
            <w:tcW w:w="3253" w:type="dxa"/>
            <w:tcBorders>
              <w:top w:val="nil"/>
              <w:left w:val="single" w:sz="4" w:space="0" w:color="auto"/>
              <w:bottom w:val="nil"/>
              <w:right w:val="nil"/>
            </w:tcBorders>
            <w:noWrap/>
            <w:vAlign w:val="bottom"/>
            <w:hideMark/>
          </w:tcPr>
          <w:p w14:paraId="5CFE6E27" w14:textId="77777777" w:rsidR="007A6A1A" w:rsidRPr="00364020" w:rsidRDefault="007A6A1A" w:rsidP="00364020">
            <w:pPr>
              <w:spacing w:after="0" w:line="240" w:lineRule="auto"/>
              <w:rPr>
                <w:sz w:val="20"/>
                <w:szCs w:val="20"/>
              </w:rPr>
            </w:pPr>
            <w:r w:rsidRPr="00364020">
              <w:rPr>
                <w:sz w:val="20"/>
                <w:szCs w:val="20"/>
              </w:rPr>
              <w:t xml:space="preserve">  Private sector</w:t>
            </w:r>
          </w:p>
        </w:tc>
        <w:tc>
          <w:tcPr>
            <w:tcW w:w="2673" w:type="dxa"/>
            <w:tcBorders>
              <w:top w:val="nil"/>
              <w:left w:val="nil"/>
              <w:bottom w:val="nil"/>
              <w:right w:val="nil"/>
            </w:tcBorders>
            <w:noWrap/>
            <w:vAlign w:val="bottom"/>
            <w:hideMark/>
          </w:tcPr>
          <w:p w14:paraId="27D4A696" w14:textId="77777777" w:rsidR="007A6A1A" w:rsidRPr="00364020" w:rsidRDefault="007A6A1A" w:rsidP="00364020">
            <w:pPr>
              <w:spacing w:after="0" w:line="240" w:lineRule="auto"/>
              <w:rPr>
                <w:sz w:val="20"/>
                <w:szCs w:val="20"/>
              </w:rPr>
            </w:pPr>
            <w:r w:rsidRPr="00364020">
              <w:rPr>
                <w:sz w:val="20"/>
                <w:szCs w:val="20"/>
              </w:rPr>
              <w:t>$33.4</w:t>
            </w:r>
          </w:p>
        </w:tc>
        <w:tc>
          <w:tcPr>
            <w:tcW w:w="1507" w:type="dxa"/>
            <w:tcBorders>
              <w:top w:val="nil"/>
              <w:left w:val="nil"/>
              <w:bottom w:val="nil"/>
              <w:right w:val="nil"/>
            </w:tcBorders>
            <w:noWrap/>
            <w:vAlign w:val="bottom"/>
            <w:hideMark/>
          </w:tcPr>
          <w:p w14:paraId="240788DC" w14:textId="77777777" w:rsidR="007A6A1A" w:rsidRPr="00364020" w:rsidRDefault="007A6A1A" w:rsidP="00364020">
            <w:pPr>
              <w:spacing w:after="0" w:line="240" w:lineRule="auto"/>
              <w:rPr>
                <w:sz w:val="20"/>
                <w:szCs w:val="20"/>
              </w:rPr>
            </w:pPr>
            <w:r w:rsidRPr="00364020">
              <w:rPr>
                <w:sz w:val="20"/>
                <w:szCs w:val="20"/>
              </w:rPr>
              <w:t>$49.1</w:t>
            </w:r>
          </w:p>
        </w:tc>
        <w:tc>
          <w:tcPr>
            <w:tcW w:w="1657" w:type="dxa"/>
            <w:tcBorders>
              <w:top w:val="nil"/>
              <w:left w:val="nil"/>
              <w:bottom w:val="nil"/>
              <w:right w:val="single" w:sz="4" w:space="0" w:color="auto"/>
            </w:tcBorders>
            <w:noWrap/>
            <w:vAlign w:val="bottom"/>
            <w:hideMark/>
          </w:tcPr>
          <w:p w14:paraId="501A1485" w14:textId="77777777" w:rsidR="007A6A1A" w:rsidRPr="00364020" w:rsidRDefault="007A6A1A" w:rsidP="00364020">
            <w:pPr>
              <w:spacing w:after="0" w:line="240" w:lineRule="auto"/>
              <w:rPr>
                <w:sz w:val="20"/>
                <w:szCs w:val="20"/>
              </w:rPr>
            </w:pPr>
            <w:r w:rsidRPr="00364020">
              <w:rPr>
                <w:sz w:val="20"/>
                <w:szCs w:val="20"/>
              </w:rPr>
              <w:t>$49.1</w:t>
            </w:r>
          </w:p>
        </w:tc>
      </w:tr>
      <w:tr w:rsidR="007A6A1A" w:rsidRPr="00167CB8" w14:paraId="40570F86" w14:textId="77777777" w:rsidTr="00364020">
        <w:trPr>
          <w:trHeight w:val="340"/>
        </w:trPr>
        <w:tc>
          <w:tcPr>
            <w:tcW w:w="3253" w:type="dxa"/>
            <w:tcBorders>
              <w:top w:val="nil"/>
              <w:left w:val="single" w:sz="4" w:space="0" w:color="auto"/>
              <w:bottom w:val="nil"/>
              <w:right w:val="nil"/>
            </w:tcBorders>
            <w:noWrap/>
            <w:vAlign w:val="bottom"/>
            <w:hideMark/>
          </w:tcPr>
          <w:p w14:paraId="67DA4A51" w14:textId="77777777" w:rsidR="007A6A1A" w:rsidRPr="00364020" w:rsidRDefault="007A6A1A" w:rsidP="00364020">
            <w:pPr>
              <w:spacing w:after="0" w:line="240" w:lineRule="auto"/>
              <w:rPr>
                <w:sz w:val="20"/>
                <w:szCs w:val="20"/>
              </w:rPr>
            </w:pPr>
            <w:r w:rsidRPr="00364020">
              <w:rPr>
                <w:sz w:val="20"/>
                <w:szCs w:val="20"/>
              </w:rPr>
              <w:t xml:space="preserve">  Public sector</w:t>
            </w:r>
          </w:p>
        </w:tc>
        <w:tc>
          <w:tcPr>
            <w:tcW w:w="2673" w:type="dxa"/>
            <w:tcBorders>
              <w:top w:val="nil"/>
              <w:left w:val="nil"/>
              <w:bottom w:val="nil"/>
              <w:right w:val="nil"/>
            </w:tcBorders>
            <w:noWrap/>
            <w:vAlign w:val="bottom"/>
            <w:hideMark/>
          </w:tcPr>
          <w:p w14:paraId="3C61FFA2" w14:textId="77777777" w:rsidR="007A6A1A" w:rsidRPr="00364020" w:rsidRDefault="007A6A1A" w:rsidP="00364020">
            <w:pPr>
              <w:spacing w:after="0" w:line="240" w:lineRule="auto"/>
              <w:rPr>
                <w:sz w:val="20"/>
                <w:szCs w:val="20"/>
              </w:rPr>
            </w:pPr>
            <w:r w:rsidRPr="00364020">
              <w:rPr>
                <w:sz w:val="20"/>
                <w:szCs w:val="20"/>
              </w:rPr>
              <w:t>$54.3</w:t>
            </w:r>
          </w:p>
        </w:tc>
        <w:tc>
          <w:tcPr>
            <w:tcW w:w="1507" w:type="dxa"/>
            <w:tcBorders>
              <w:top w:val="nil"/>
              <w:left w:val="nil"/>
              <w:bottom w:val="nil"/>
              <w:right w:val="nil"/>
            </w:tcBorders>
            <w:noWrap/>
            <w:vAlign w:val="bottom"/>
            <w:hideMark/>
          </w:tcPr>
          <w:p w14:paraId="1698CD82" w14:textId="77777777" w:rsidR="007A6A1A" w:rsidRPr="00364020" w:rsidRDefault="007A6A1A" w:rsidP="00364020">
            <w:pPr>
              <w:spacing w:after="0" w:line="240" w:lineRule="auto"/>
              <w:rPr>
                <w:sz w:val="20"/>
                <w:szCs w:val="20"/>
              </w:rPr>
            </w:pPr>
            <w:r w:rsidRPr="00364020">
              <w:rPr>
                <w:sz w:val="20"/>
                <w:szCs w:val="20"/>
              </w:rPr>
              <w:t>$55.0</w:t>
            </w:r>
          </w:p>
        </w:tc>
        <w:tc>
          <w:tcPr>
            <w:tcW w:w="1657" w:type="dxa"/>
            <w:tcBorders>
              <w:top w:val="nil"/>
              <w:left w:val="nil"/>
              <w:bottom w:val="nil"/>
              <w:right w:val="single" w:sz="4" w:space="0" w:color="auto"/>
            </w:tcBorders>
            <w:noWrap/>
            <w:vAlign w:val="bottom"/>
            <w:hideMark/>
          </w:tcPr>
          <w:p w14:paraId="7F10BE07" w14:textId="77777777" w:rsidR="007A6A1A" w:rsidRPr="00364020" w:rsidRDefault="007A6A1A" w:rsidP="00364020">
            <w:pPr>
              <w:spacing w:after="0" w:line="240" w:lineRule="auto"/>
              <w:rPr>
                <w:sz w:val="20"/>
                <w:szCs w:val="20"/>
              </w:rPr>
            </w:pPr>
            <w:r w:rsidRPr="00364020">
              <w:rPr>
                <w:sz w:val="20"/>
                <w:szCs w:val="20"/>
              </w:rPr>
              <w:t>$68.6</w:t>
            </w:r>
          </w:p>
        </w:tc>
      </w:tr>
      <w:tr w:rsidR="007A6A1A" w:rsidRPr="00167CB8" w14:paraId="736156D9" w14:textId="77777777" w:rsidTr="00364020">
        <w:trPr>
          <w:trHeight w:val="340"/>
        </w:trPr>
        <w:tc>
          <w:tcPr>
            <w:tcW w:w="3253" w:type="dxa"/>
            <w:tcBorders>
              <w:top w:val="nil"/>
              <w:left w:val="single" w:sz="4" w:space="0" w:color="auto"/>
              <w:bottom w:val="nil"/>
              <w:right w:val="nil"/>
            </w:tcBorders>
            <w:noWrap/>
            <w:vAlign w:val="bottom"/>
            <w:hideMark/>
          </w:tcPr>
          <w:p w14:paraId="66FB609E" w14:textId="77777777" w:rsidR="007A6A1A" w:rsidRPr="00364020" w:rsidRDefault="007A6A1A" w:rsidP="00364020">
            <w:pPr>
              <w:spacing w:after="0" w:line="240" w:lineRule="auto"/>
              <w:rPr>
                <w:sz w:val="20"/>
                <w:szCs w:val="20"/>
              </w:rPr>
            </w:pPr>
            <w:r w:rsidRPr="00364020">
              <w:rPr>
                <w:sz w:val="20"/>
                <w:szCs w:val="20"/>
              </w:rPr>
              <w:t xml:space="preserve">  All sectors</w:t>
            </w:r>
          </w:p>
        </w:tc>
        <w:tc>
          <w:tcPr>
            <w:tcW w:w="2673" w:type="dxa"/>
            <w:tcBorders>
              <w:top w:val="nil"/>
              <w:left w:val="nil"/>
              <w:bottom w:val="nil"/>
              <w:right w:val="nil"/>
            </w:tcBorders>
            <w:noWrap/>
            <w:vAlign w:val="bottom"/>
            <w:hideMark/>
          </w:tcPr>
          <w:p w14:paraId="54B67E8A" w14:textId="77777777" w:rsidR="007A6A1A" w:rsidRPr="00364020" w:rsidRDefault="007A6A1A" w:rsidP="00364020">
            <w:pPr>
              <w:spacing w:after="0" w:line="240" w:lineRule="auto"/>
              <w:rPr>
                <w:sz w:val="20"/>
                <w:szCs w:val="20"/>
              </w:rPr>
            </w:pPr>
            <w:r w:rsidRPr="00364020">
              <w:rPr>
                <w:sz w:val="20"/>
                <w:szCs w:val="20"/>
              </w:rPr>
              <w:t>$37.7</w:t>
            </w:r>
          </w:p>
        </w:tc>
        <w:tc>
          <w:tcPr>
            <w:tcW w:w="1507" w:type="dxa"/>
            <w:tcBorders>
              <w:top w:val="nil"/>
              <w:left w:val="nil"/>
              <w:bottom w:val="nil"/>
              <w:right w:val="nil"/>
            </w:tcBorders>
            <w:noWrap/>
            <w:vAlign w:val="bottom"/>
            <w:hideMark/>
          </w:tcPr>
          <w:p w14:paraId="7821589C" w14:textId="77777777" w:rsidR="007A6A1A" w:rsidRPr="00364020" w:rsidRDefault="007A6A1A" w:rsidP="00364020">
            <w:pPr>
              <w:spacing w:after="0" w:line="240" w:lineRule="auto"/>
              <w:rPr>
                <w:sz w:val="20"/>
                <w:szCs w:val="20"/>
              </w:rPr>
            </w:pPr>
            <w:r w:rsidRPr="00364020">
              <w:rPr>
                <w:sz w:val="20"/>
                <w:szCs w:val="20"/>
              </w:rPr>
              <w:t>$51.9</w:t>
            </w:r>
          </w:p>
        </w:tc>
        <w:tc>
          <w:tcPr>
            <w:tcW w:w="1657" w:type="dxa"/>
            <w:tcBorders>
              <w:top w:val="nil"/>
              <w:left w:val="nil"/>
              <w:bottom w:val="nil"/>
              <w:right w:val="single" w:sz="4" w:space="0" w:color="auto"/>
            </w:tcBorders>
            <w:noWrap/>
            <w:vAlign w:val="bottom"/>
            <w:hideMark/>
          </w:tcPr>
          <w:p w14:paraId="325148C4" w14:textId="77777777" w:rsidR="007A6A1A" w:rsidRPr="00364020" w:rsidRDefault="007A6A1A" w:rsidP="00364020">
            <w:pPr>
              <w:spacing w:after="0" w:line="240" w:lineRule="auto"/>
              <w:rPr>
                <w:sz w:val="20"/>
                <w:szCs w:val="20"/>
              </w:rPr>
            </w:pPr>
            <w:r w:rsidRPr="00364020">
              <w:rPr>
                <w:sz w:val="20"/>
                <w:szCs w:val="20"/>
              </w:rPr>
              <w:t>$49.4</w:t>
            </w:r>
          </w:p>
        </w:tc>
      </w:tr>
      <w:tr w:rsidR="007A6A1A" w:rsidRPr="00167CB8" w14:paraId="70CC5F35" w14:textId="77777777" w:rsidTr="00364020">
        <w:trPr>
          <w:trHeight w:val="340"/>
        </w:trPr>
        <w:tc>
          <w:tcPr>
            <w:tcW w:w="3253" w:type="dxa"/>
            <w:tcBorders>
              <w:top w:val="nil"/>
              <w:left w:val="single" w:sz="4" w:space="0" w:color="auto"/>
              <w:bottom w:val="nil"/>
              <w:right w:val="nil"/>
            </w:tcBorders>
            <w:noWrap/>
            <w:vAlign w:val="bottom"/>
            <w:hideMark/>
          </w:tcPr>
          <w:p w14:paraId="784DC641" w14:textId="77777777" w:rsidR="007A6A1A" w:rsidRPr="00364020" w:rsidRDefault="007A6A1A" w:rsidP="00364020">
            <w:pPr>
              <w:spacing w:after="0" w:line="240" w:lineRule="auto"/>
              <w:rPr>
                <w:b/>
                <w:bCs/>
                <w:sz w:val="20"/>
                <w:szCs w:val="20"/>
              </w:rPr>
            </w:pPr>
            <w:r w:rsidRPr="00364020">
              <w:rPr>
                <w:b/>
                <w:bCs/>
                <w:sz w:val="20"/>
                <w:szCs w:val="20"/>
              </w:rPr>
              <w:t>Employer size</w:t>
            </w:r>
          </w:p>
        </w:tc>
        <w:tc>
          <w:tcPr>
            <w:tcW w:w="2673" w:type="dxa"/>
            <w:tcBorders>
              <w:top w:val="nil"/>
              <w:left w:val="nil"/>
              <w:bottom w:val="nil"/>
              <w:right w:val="nil"/>
            </w:tcBorders>
            <w:noWrap/>
            <w:vAlign w:val="bottom"/>
            <w:hideMark/>
          </w:tcPr>
          <w:p w14:paraId="5ABB9C87" w14:textId="77777777" w:rsidR="007A6A1A" w:rsidRPr="00364020" w:rsidRDefault="007A6A1A" w:rsidP="00364020">
            <w:pPr>
              <w:spacing w:after="0" w:line="240" w:lineRule="auto"/>
              <w:rPr>
                <w:b/>
                <w:bCs/>
                <w:sz w:val="20"/>
                <w:szCs w:val="20"/>
              </w:rPr>
            </w:pPr>
          </w:p>
        </w:tc>
        <w:tc>
          <w:tcPr>
            <w:tcW w:w="1507" w:type="dxa"/>
            <w:tcBorders>
              <w:top w:val="nil"/>
              <w:left w:val="nil"/>
              <w:bottom w:val="nil"/>
              <w:right w:val="nil"/>
            </w:tcBorders>
            <w:noWrap/>
            <w:vAlign w:val="bottom"/>
            <w:hideMark/>
          </w:tcPr>
          <w:p w14:paraId="6A70DD0E" w14:textId="77777777" w:rsidR="007A6A1A" w:rsidRPr="00364020" w:rsidRDefault="007A6A1A" w:rsidP="00364020">
            <w:pPr>
              <w:spacing w:after="0" w:line="240" w:lineRule="auto"/>
              <w:rPr>
                <w:sz w:val="20"/>
                <w:szCs w:val="20"/>
              </w:rPr>
            </w:pPr>
          </w:p>
        </w:tc>
        <w:tc>
          <w:tcPr>
            <w:tcW w:w="1657" w:type="dxa"/>
            <w:tcBorders>
              <w:top w:val="nil"/>
              <w:left w:val="nil"/>
              <w:bottom w:val="nil"/>
              <w:right w:val="single" w:sz="4" w:space="0" w:color="auto"/>
            </w:tcBorders>
            <w:noWrap/>
            <w:vAlign w:val="bottom"/>
            <w:hideMark/>
          </w:tcPr>
          <w:p w14:paraId="06DD3F27" w14:textId="77777777" w:rsidR="007A6A1A" w:rsidRPr="00364020" w:rsidRDefault="007A6A1A" w:rsidP="00364020">
            <w:pPr>
              <w:spacing w:after="0" w:line="240" w:lineRule="auto"/>
              <w:rPr>
                <w:sz w:val="20"/>
                <w:szCs w:val="20"/>
              </w:rPr>
            </w:pPr>
          </w:p>
        </w:tc>
      </w:tr>
      <w:tr w:rsidR="007A6A1A" w:rsidRPr="00167CB8" w14:paraId="310222EC" w14:textId="77777777" w:rsidTr="00364020">
        <w:trPr>
          <w:trHeight w:val="340"/>
        </w:trPr>
        <w:tc>
          <w:tcPr>
            <w:tcW w:w="3253" w:type="dxa"/>
            <w:tcBorders>
              <w:top w:val="nil"/>
              <w:left w:val="single" w:sz="4" w:space="0" w:color="auto"/>
              <w:bottom w:val="nil"/>
              <w:right w:val="nil"/>
            </w:tcBorders>
            <w:noWrap/>
            <w:vAlign w:val="bottom"/>
            <w:hideMark/>
          </w:tcPr>
          <w:p w14:paraId="6B6D5C41" w14:textId="77777777" w:rsidR="007A6A1A" w:rsidRPr="00364020" w:rsidRDefault="007A6A1A" w:rsidP="00364020">
            <w:pPr>
              <w:spacing w:after="0" w:line="240" w:lineRule="auto"/>
              <w:rPr>
                <w:sz w:val="20"/>
                <w:szCs w:val="20"/>
              </w:rPr>
            </w:pPr>
            <w:r w:rsidRPr="00364020">
              <w:rPr>
                <w:sz w:val="20"/>
                <w:szCs w:val="20"/>
              </w:rPr>
              <w:t xml:space="preserve">  Under 20 employees</w:t>
            </w:r>
          </w:p>
        </w:tc>
        <w:tc>
          <w:tcPr>
            <w:tcW w:w="2673" w:type="dxa"/>
            <w:tcBorders>
              <w:top w:val="nil"/>
              <w:left w:val="nil"/>
              <w:bottom w:val="nil"/>
              <w:right w:val="nil"/>
            </w:tcBorders>
            <w:noWrap/>
            <w:vAlign w:val="bottom"/>
            <w:hideMark/>
          </w:tcPr>
          <w:p w14:paraId="5D7907F2" w14:textId="77777777" w:rsidR="007A6A1A" w:rsidRPr="00364020" w:rsidRDefault="007A6A1A" w:rsidP="00364020">
            <w:pPr>
              <w:spacing w:after="0" w:line="240" w:lineRule="auto"/>
              <w:rPr>
                <w:sz w:val="20"/>
                <w:szCs w:val="20"/>
              </w:rPr>
            </w:pPr>
            <w:r w:rsidRPr="00364020">
              <w:rPr>
                <w:sz w:val="20"/>
                <w:szCs w:val="20"/>
              </w:rPr>
              <w:t>$31.4</w:t>
            </w:r>
          </w:p>
        </w:tc>
        <w:tc>
          <w:tcPr>
            <w:tcW w:w="1507" w:type="dxa"/>
            <w:tcBorders>
              <w:top w:val="nil"/>
              <w:left w:val="nil"/>
              <w:bottom w:val="nil"/>
              <w:right w:val="nil"/>
            </w:tcBorders>
            <w:noWrap/>
            <w:vAlign w:val="bottom"/>
            <w:hideMark/>
          </w:tcPr>
          <w:p w14:paraId="0732C322" w14:textId="77777777" w:rsidR="007A6A1A" w:rsidRPr="00364020" w:rsidRDefault="007A6A1A" w:rsidP="00364020">
            <w:pPr>
              <w:spacing w:after="0" w:line="240" w:lineRule="auto"/>
              <w:rPr>
                <w:sz w:val="20"/>
                <w:szCs w:val="20"/>
              </w:rPr>
            </w:pPr>
            <w:r w:rsidRPr="00364020">
              <w:rPr>
                <w:sz w:val="20"/>
                <w:szCs w:val="20"/>
              </w:rPr>
              <w:t>$54.0</w:t>
            </w:r>
          </w:p>
        </w:tc>
        <w:tc>
          <w:tcPr>
            <w:tcW w:w="1657" w:type="dxa"/>
            <w:tcBorders>
              <w:top w:val="nil"/>
              <w:left w:val="nil"/>
              <w:bottom w:val="nil"/>
              <w:right w:val="single" w:sz="4" w:space="0" w:color="auto"/>
            </w:tcBorders>
            <w:noWrap/>
            <w:vAlign w:val="bottom"/>
            <w:hideMark/>
          </w:tcPr>
          <w:p w14:paraId="41749843" w14:textId="77777777" w:rsidR="007A6A1A" w:rsidRPr="00364020" w:rsidRDefault="007A6A1A" w:rsidP="00364020">
            <w:pPr>
              <w:spacing w:after="0" w:line="240" w:lineRule="auto"/>
              <w:rPr>
                <w:sz w:val="20"/>
                <w:szCs w:val="20"/>
              </w:rPr>
            </w:pPr>
            <w:r w:rsidRPr="00364020">
              <w:rPr>
                <w:sz w:val="20"/>
                <w:szCs w:val="20"/>
              </w:rPr>
              <w:t>$41.2</w:t>
            </w:r>
          </w:p>
        </w:tc>
      </w:tr>
      <w:tr w:rsidR="007A6A1A" w:rsidRPr="00167CB8" w14:paraId="12395940" w14:textId="77777777" w:rsidTr="00364020">
        <w:trPr>
          <w:trHeight w:val="340"/>
        </w:trPr>
        <w:tc>
          <w:tcPr>
            <w:tcW w:w="3253" w:type="dxa"/>
            <w:tcBorders>
              <w:top w:val="nil"/>
              <w:left w:val="single" w:sz="4" w:space="0" w:color="auto"/>
              <w:bottom w:val="nil"/>
              <w:right w:val="nil"/>
            </w:tcBorders>
            <w:noWrap/>
            <w:vAlign w:val="bottom"/>
            <w:hideMark/>
          </w:tcPr>
          <w:p w14:paraId="3A0296BE" w14:textId="127C89CF" w:rsidR="007A6A1A" w:rsidRPr="00364020" w:rsidRDefault="007A6A1A" w:rsidP="00364020">
            <w:pPr>
              <w:spacing w:after="0" w:line="240" w:lineRule="auto"/>
              <w:rPr>
                <w:sz w:val="20"/>
                <w:szCs w:val="20"/>
              </w:rPr>
            </w:pPr>
            <w:r w:rsidRPr="00364020">
              <w:rPr>
                <w:sz w:val="20"/>
                <w:szCs w:val="20"/>
              </w:rPr>
              <w:t xml:space="preserve">  20</w:t>
            </w:r>
            <w:r w:rsidR="00C87E4A" w:rsidRPr="00364020">
              <w:rPr>
                <w:rFonts w:ascii="Symbol" w:eastAsia="Symbol" w:hAnsi="Symbol" w:cs="Symbol"/>
                <w:sz w:val="20"/>
                <w:szCs w:val="20"/>
              </w:rPr>
              <w:sym w:font="Symbol" w:char="F02D"/>
            </w:r>
            <w:r w:rsidRPr="00364020">
              <w:rPr>
                <w:sz w:val="20"/>
                <w:szCs w:val="20"/>
              </w:rPr>
              <w:t>49 employees</w:t>
            </w:r>
          </w:p>
        </w:tc>
        <w:tc>
          <w:tcPr>
            <w:tcW w:w="2673" w:type="dxa"/>
            <w:tcBorders>
              <w:top w:val="nil"/>
              <w:left w:val="nil"/>
              <w:bottom w:val="nil"/>
              <w:right w:val="nil"/>
            </w:tcBorders>
            <w:noWrap/>
            <w:vAlign w:val="bottom"/>
            <w:hideMark/>
          </w:tcPr>
          <w:p w14:paraId="105DDD27" w14:textId="77777777" w:rsidR="007A6A1A" w:rsidRPr="00364020" w:rsidRDefault="007A6A1A" w:rsidP="00364020">
            <w:pPr>
              <w:spacing w:after="0" w:line="240" w:lineRule="auto"/>
              <w:rPr>
                <w:sz w:val="20"/>
                <w:szCs w:val="20"/>
              </w:rPr>
            </w:pPr>
            <w:r w:rsidRPr="00364020">
              <w:rPr>
                <w:sz w:val="20"/>
                <w:szCs w:val="20"/>
              </w:rPr>
              <w:t>$33.5</w:t>
            </w:r>
          </w:p>
        </w:tc>
        <w:tc>
          <w:tcPr>
            <w:tcW w:w="1507" w:type="dxa"/>
            <w:tcBorders>
              <w:top w:val="nil"/>
              <w:left w:val="nil"/>
              <w:bottom w:val="nil"/>
              <w:right w:val="nil"/>
            </w:tcBorders>
            <w:noWrap/>
            <w:vAlign w:val="bottom"/>
            <w:hideMark/>
          </w:tcPr>
          <w:p w14:paraId="7BF9EABF" w14:textId="77777777" w:rsidR="007A6A1A" w:rsidRPr="00364020" w:rsidRDefault="007A6A1A" w:rsidP="00364020">
            <w:pPr>
              <w:spacing w:after="0" w:line="240" w:lineRule="auto"/>
              <w:rPr>
                <w:sz w:val="20"/>
                <w:szCs w:val="20"/>
              </w:rPr>
            </w:pPr>
            <w:r w:rsidRPr="00364020">
              <w:rPr>
                <w:sz w:val="20"/>
                <w:szCs w:val="20"/>
              </w:rPr>
              <w:t>$47.9</w:t>
            </w:r>
          </w:p>
        </w:tc>
        <w:tc>
          <w:tcPr>
            <w:tcW w:w="1657" w:type="dxa"/>
            <w:tcBorders>
              <w:top w:val="nil"/>
              <w:left w:val="nil"/>
              <w:bottom w:val="nil"/>
              <w:right w:val="single" w:sz="4" w:space="0" w:color="auto"/>
            </w:tcBorders>
            <w:noWrap/>
            <w:vAlign w:val="bottom"/>
            <w:hideMark/>
          </w:tcPr>
          <w:p w14:paraId="3DAF8976" w14:textId="77777777" w:rsidR="007A6A1A" w:rsidRPr="00364020" w:rsidRDefault="007A6A1A" w:rsidP="00364020">
            <w:pPr>
              <w:spacing w:after="0" w:line="240" w:lineRule="auto"/>
              <w:rPr>
                <w:sz w:val="20"/>
                <w:szCs w:val="20"/>
              </w:rPr>
            </w:pPr>
            <w:r w:rsidRPr="00364020">
              <w:rPr>
                <w:sz w:val="20"/>
                <w:szCs w:val="20"/>
              </w:rPr>
              <w:t>$44.1</w:t>
            </w:r>
          </w:p>
        </w:tc>
      </w:tr>
      <w:tr w:rsidR="007A6A1A" w:rsidRPr="00167CB8" w14:paraId="2504113D" w14:textId="77777777" w:rsidTr="00364020">
        <w:trPr>
          <w:trHeight w:val="340"/>
        </w:trPr>
        <w:tc>
          <w:tcPr>
            <w:tcW w:w="3253" w:type="dxa"/>
            <w:tcBorders>
              <w:top w:val="nil"/>
              <w:left w:val="single" w:sz="4" w:space="0" w:color="auto"/>
              <w:bottom w:val="nil"/>
              <w:right w:val="nil"/>
            </w:tcBorders>
            <w:noWrap/>
            <w:vAlign w:val="bottom"/>
            <w:hideMark/>
          </w:tcPr>
          <w:p w14:paraId="3D219683" w14:textId="4EBF865E" w:rsidR="007A6A1A" w:rsidRPr="00364020" w:rsidRDefault="007A6A1A" w:rsidP="00364020">
            <w:pPr>
              <w:spacing w:after="0" w:line="240" w:lineRule="auto"/>
              <w:rPr>
                <w:sz w:val="20"/>
                <w:szCs w:val="20"/>
              </w:rPr>
            </w:pPr>
            <w:r w:rsidRPr="00364020">
              <w:rPr>
                <w:sz w:val="20"/>
                <w:szCs w:val="20"/>
              </w:rPr>
              <w:t xml:space="preserve">  50</w:t>
            </w:r>
            <w:r w:rsidR="00C87E4A" w:rsidRPr="00364020">
              <w:rPr>
                <w:rFonts w:ascii="Symbol" w:eastAsia="Symbol" w:hAnsi="Symbol" w:cs="Symbol"/>
                <w:sz w:val="20"/>
                <w:szCs w:val="20"/>
              </w:rPr>
              <w:sym w:font="Symbol" w:char="F02D"/>
            </w:r>
            <w:r w:rsidRPr="00364020">
              <w:rPr>
                <w:sz w:val="20"/>
                <w:szCs w:val="20"/>
              </w:rPr>
              <w:t>99 employees</w:t>
            </w:r>
          </w:p>
        </w:tc>
        <w:tc>
          <w:tcPr>
            <w:tcW w:w="2673" w:type="dxa"/>
            <w:tcBorders>
              <w:top w:val="nil"/>
              <w:left w:val="nil"/>
              <w:bottom w:val="nil"/>
              <w:right w:val="nil"/>
            </w:tcBorders>
            <w:noWrap/>
            <w:vAlign w:val="bottom"/>
            <w:hideMark/>
          </w:tcPr>
          <w:p w14:paraId="4C97E426" w14:textId="77777777" w:rsidR="007A6A1A" w:rsidRPr="00364020" w:rsidRDefault="007A6A1A" w:rsidP="00364020">
            <w:pPr>
              <w:spacing w:after="0" w:line="240" w:lineRule="auto"/>
              <w:rPr>
                <w:sz w:val="20"/>
                <w:szCs w:val="20"/>
              </w:rPr>
            </w:pPr>
            <w:r w:rsidRPr="00364020">
              <w:rPr>
                <w:sz w:val="20"/>
                <w:szCs w:val="20"/>
              </w:rPr>
              <w:t>$33.1</w:t>
            </w:r>
          </w:p>
        </w:tc>
        <w:tc>
          <w:tcPr>
            <w:tcW w:w="1507" w:type="dxa"/>
            <w:tcBorders>
              <w:top w:val="nil"/>
              <w:left w:val="nil"/>
              <w:bottom w:val="nil"/>
              <w:right w:val="nil"/>
            </w:tcBorders>
            <w:noWrap/>
            <w:vAlign w:val="bottom"/>
            <w:hideMark/>
          </w:tcPr>
          <w:p w14:paraId="7A18675C" w14:textId="77777777" w:rsidR="007A6A1A" w:rsidRPr="00364020" w:rsidRDefault="007A6A1A" w:rsidP="00364020">
            <w:pPr>
              <w:spacing w:after="0" w:line="240" w:lineRule="auto"/>
              <w:rPr>
                <w:sz w:val="20"/>
                <w:szCs w:val="20"/>
              </w:rPr>
            </w:pPr>
            <w:r w:rsidRPr="00364020">
              <w:rPr>
                <w:sz w:val="20"/>
                <w:szCs w:val="20"/>
              </w:rPr>
              <w:t>$43.3</w:t>
            </w:r>
          </w:p>
        </w:tc>
        <w:tc>
          <w:tcPr>
            <w:tcW w:w="1657" w:type="dxa"/>
            <w:tcBorders>
              <w:top w:val="nil"/>
              <w:left w:val="nil"/>
              <w:bottom w:val="nil"/>
              <w:right w:val="single" w:sz="4" w:space="0" w:color="auto"/>
            </w:tcBorders>
            <w:noWrap/>
            <w:vAlign w:val="bottom"/>
            <w:hideMark/>
          </w:tcPr>
          <w:p w14:paraId="1542214C" w14:textId="77777777" w:rsidR="007A6A1A" w:rsidRPr="00364020" w:rsidRDefault="007A6A1A" w:rsidP="00364020">
            <w:pPr>
              <w:spacing w:after="0" w:line="240" w:lineRule="auto"/>
              <w:rPr>
                <w:sz w:val="20"/>
                <w:szCs w:val="20"/>
              </w:rPr>
            </w:pPr>
            <w:r w:rsidRPr="00364020">
              <w:rPr>
                <w:sz w:val="20"/>
                <w:szCs w:val="20"/>
              </w:rPr>
              <w:t>$49.0</w:t>
            </w:r>
          </w:p>
        </w:tc>
      </w:tr>
      <w:tr w:rsidR="007A6A1A" w:rsidRPr="00167CB8" w14:paraId="1EAE86AC" w14:textId="77777777" w:rsidTr="00364020">
        <w:trPr>
          <w:trHeight w:val="340"/>
        </w:trPr>
        <w:tc>
          <w:tcPr>
            <w:tcW w:w="3253" w:type="dxa"/>
            <w:tcBorders>
              <w:top w:val="nil"/>
              <w:left w:val="single" w:sz="4" w:space="0" w:color="auto"/>
              <w:bottom w:val="nil"/>
              <w:right w:val="nil"/>
            </w:tcBorders>
            <w:noWrap/>
            <w:vAlign w:val="bottom"/>
            <w:hideMark/>
          </w:tcPr>
          <w:p w14:paraId="28162695" w14:textId="24929885" w:rsidR="007A6A1A" w:rsidRPr="00364020" w:rsidRDefault="007A6A1A" w:rsidP="00364020">
            <w:pPr>
              <w:spacing w:after="0" w:line="240" w:lineRule="auto"/>
              <w:rPr>
                <w:sz w:val="20"/>
                <w:szCs w:val="20"/>
              </w:rPr>
            </w:pPr>
            <w:r w:rsidRPr="00364020">
              <w:rPr>
                <w:sz w:val="20"/>
                <w:szCs w:val="20"/>
              </w:rPr>
              <w:t xml:space="preserve">  100</w:t>
            </w:r>
            <w:r w:rsidR="00C87E4A" w:rsidRPr="00364020">
              <w:rPr>
                <w:rFonts w:ascii="Symbol" w:eastAsia="Symbol" w:hAnsi="Symbol" w:cs="Symbol"/>
                <w:sz w:val="20"/>
                <w:szCs w:val="20"/>
              </w:rPr>
              <w:sym w:font="Symbol" w:char="F02D"/>
            </w:r>
            <w:r w:rsidRPr="00364020">
              <w:rPr>
                <w:sz w:val="20"/>
                <w:szCs w:val="20"/>
              </w:rPr>
              <w:t>999 employees</w:t>
            </w:r>
          </w:p>
        </w:tc>
        <w:tc>
          <w:tcPr>
            <w:tcW w:w="2673" w:type="dxa"/>
            <w:tcBorders>
              <w:top w:val="nil"/>
              <w:left w:val="nil"/>
              <w:bottom w:val="nil"/>
              <w:right w:val="nil"/>
            </w:tcBorders>
            <w:noWrap/>
            <w:vAlign w:val="bottom"/>
            <w:hideMark/>
          </w:tcPr>
          <w:p w14:paraId="74D2D84D" w14:textId="77777777" w:rsidR="007A6A1A" w:rsidRPr="00364020" w:rsidRDefault="007A6A1A" w:rsidP="00364020">
            <w:pPr>
              <w:spacing w:after="0" w:line="240" w:lineRule="auto"/>
              <w:rPr>
                <w:sz w:val="20"/>
                <w:szCs w:val="20"/>
              </w:rPr>
            </w:pPr>
            <w:r w:rsidRPr="00364020">
              <w:rPr>
                <w:sz w:val="20"/>
                <w:szCs w:val="20"/>
              </w:rPr>
              <w:t>$36.7</w:t>
            </w:r>
          </w:p>
        </w:tc>
        <w:tc>
          <w:tcPr>
            <w:tcW w:w="1507" w:type="dxa"/>
            <w:tcBorders>
              <w:top w:val="nil"/>
              <w:left w:val="nil"/>
              <w:bottom w:val="nil"/>
              <w:right w:val="nil"/>
            </w:tcBorders>
            <w:noWrap/>
            <w:vAlign w:val="bottom"/>
            <w:hideMark/>
          </w:tcPr>
          <w:p w14:paraId="57C0E853" w14:textId="77777777" w:rsidR="007A6A1A" w:rsidRPr="00364020" w:rsidRDefault="007A6A1A" w:rsidP="00364020">
            <w:pPr>
              <w:spacing w:after="0" w:line="240" w:lineRule="auto"/>
              <w:rPr>
                <w:sz w:val="20"/>
                <w:szCs w:val="20"/>
              </w:rPr>
            </w:pPr>
            <w:r w:rsidRPr="00364020">
              <w:rPr>
                <w:sz w:val="20"/>
                <w:szCs w:val="20"/>
              </w:rPr>
              <w:t>$49.7</w:t>
            </w:r>
          </w:p>
        </w:tc>
        <w:tc>
          <w:tcPr>
            <w:tcW w:w="1657" w:type="dxa"/>
            <w:tcBorders>
              <w:top w:val="nil"/>
              <w:left w:val="nil"/>
              <w:bottom w:val="nil"/>
              <w:right w:val="single" w:sz="4" w:space="0" w:color="auto"/>
            </w:tcBorders>
            <w:noWrap/>
            <w:vAlign w:val="bottom"/>
            <w:hideMark/>
          </w:tcPr>
          <w:p w14:paraId="1E9D96CA" w14:textId="77777777" w:rsidR="007A6A1A" w:rsidRPr="00364020" w:rsidRDefault="007A6A1A" w:rsidP="00364020">
            <w:pPr>
              <w:spacing w:after="0" w:line="240" w:lineRule="auto"/>
              <w:rPr>
                <w:sz w:val="20"/>
                <w:szCs w:val="20"/>
              </w:rPr>
            </w:pPr>
            <w:r w:rsidRPr="00364020">
              <w:rPr>
                <w:sz w:val="20"/>
                <w:szCs w:val="20"/>
              </w:rPr>
              <w:t>$55.2</w:t>
            </w:r>
          </w:p>
        </w:tc>
      </w:tr>
      <w:tr w:rsidR="007A6A1A" w:rsidRPr="00167CB8" w14:paraId="35FAB3F0" w14:textId="77777777" w:rsidTr="00364020">
        <w:trPr>
          <w:trHeight w:val="340"/>
        </w:trPr>
        <w:tc>
          <w:tcPr>
            <w:tcW w:w="3253" w:type="dxa"/>
            <w:tcBorders>
              <w:top w:val="nil"/>
              <w:left w:val="single" w:sz="4" w:space="0" w:color="auto"/>
              <w:bottom w:val="nil"/>
              <w:right w:val="nil"/>
            </w:tcBorders>
            <w:noWrap/>
            <w:vAlign w:val="bottom"/>
            <w:hideMark/>
          </w:tcPr>
          <w:p w14:paraId="28712C4F" w14:textId="77777777" w:rsidR="007A6A1A" w:rsidRPr="00364020" w:rsidRDefault="007A6A1A" w:rsidP="00364020">
            <w:pPr>
              <w:spacing w:after="0" w:line="240" w:lineRule="auto"/>
              <w:rPr>
                <w:sz w:val="20"/>
                <w:szCs w:val="20"/>
              </w:rPr>
            </w:pPr>
            <w:r w:rsidRPr="00364020">
              <w:rPr>
                <w:sz w:val="20"/>
                <w:szCs w:val="20"/>
              </w:rPr>
              <w:t xml:space="preserve">  1,000 and over employees</w:t>
            </w:r>
          </w:p>
        </w:tc>
        <w:tc>
          <w:tcPr>
            <w:tcW w:w="2673" w:type="dxa"/>
            <w:tcBorders>
              <w:top w:val="nil"/>
              <w:left w:val="nil"/>
              <w:bottom w:val="nil"/>
              <w:right w:val="nil"/>
            </w:tcBorders>
            <w:noWrap/>
            <w:vAlign w:val="bottom"/>
            <w:hideMark/>
          </w:tcPr>
          <w:p w14:paraId="18BD928A" w14:textId="77777777" w:rsidR="007A6A1A" w:rsidRPr="00364020" w:rsidRDefault="007A6A1A" w:rsidP="00364020">
            <w:pPr>
              <w:spacing w:after="0" w:line="240" w:lineRule="auto"/>
              <w:rPr>
                <w:sz w:val="20"/>
                <w:szCs w:val="20"/>
              </w:rPr>
            </w:pPr>
            <w:r w:rsidRPr="00364020">
              <w:rPr>
                <w:sz w:val="20"/>
                <w:szCs w:val="20"/>
              </w:rPr>
              <w:t>$48.8</w:t>
            </w:r>
          </w:p>
        </w:tc>
        <w:tc>
          <w:tcPr>
            <w:tcW w:w="1507" w:type="dxa"/>
            <w:tcBorders>
              <w:top w:val="nil"/>
              <w:left w:val="nil"/>
              <w:bottom w:val="nil"/>
              <w:right w:val="nil"/>
            </w:tcBorders>
            <w:noWrap/>
            <w:vAlign w:val="bottom"/>
            <w:hideMark/>
          </w:tcPr>
          <w:p w14:paraId="3BAB88AE" w14:textId="77777777" w:rsidR="007A6A1A" w:rsidRPr="00364020" w:rsidRDefault="007A6A1A" w:rsidP="00364020">
            <w:pPr>
              <w:spacing w:after="0" w:line="240" w:lineRule="auto"/>
              <w:rPr>
                <w:sz w:val="20"/>
                <w:szCs w:val="20"/>
              </w:rPr>
            </w:pPr>
            <w:r w:rsidRPr="00364020">
              <w:rPr>
                <w:sz w:val="20"/>
                <w:szCs w:val="20"/>
              </w:rPr>
              <w:t>$54.0</w:t>
            </w:r>
          </w:p>
        </w:tc>
        <w:tc>
          <w:tcPr>
            <w:tcW w:w="1657" w:type="dxa"/>
            <w:tcBorders>
              <w:top w:val="nil"/>
              <w:left w:val="nil"/>
              <w:bottom w:val="nil"/>
              <w:right w:val="single" w:sz="4" w:space="0" w:color="auto"/>
            </w:tcBorders>
            <w:noWrap/>
            <w:vAlign w:val="bottom"/>
            <w:hideMark/>
          </w:tcPr>
          <w:p w14:paraId="3EA75F2A" w14:textId="77777777" w:rsidR="007A6A1A" w:rsidRPr="00364020" w:rsidRDefault="007A6A1A" w:rsidP="00364020">
            <w:pPr>
              <w:spacing w:after="0" w:line="240" w:lineRule="auto"/>
              <w:rPr>
                <w:sz w:val="20"/>
                <w:szCs w:val="20"/>
              </w:rPr>
            </w:pPr>
            <w:r w:rsidRPr="00364020">
              <w:rPr>
                <w:sz w:val="20"/>
                <w:szCs w:val="20"/>
              </w:rPr>
              <w:t>$62.6</w:t>
            </w:r>
          </w:p>
        </w:tc>
      </w:tr>
      <w:tr w:rsidR="007A6A1A" w:rsidRPr="00167CB8" w14:paraId="213DA569" w14:textId="77777777" w:rsidTr="00364020">
        <w:trPr>
          <w:trHeight w:val="340"/>
        </w:trPr>
        <w:tc>
          <w:tcPr>
            <w:tcW w:w="3253" w:type="dxa"/>
            <w:tcBorders>
              <w:top w:val="nil"/>
              <w:left w:val="single" w:sz="4" w:space="0" w:color="auto"/>
              <w:bottom w:val="single" w:sz="4" w:space="0" w:color="auto"/>
              <w:right w:val="nil"/>
            </w:tcBorders>
            <w:noWrap/>
            <w:vAlign w:val="bottom"/>
            <w:hideMark/>
          </w:tcPr>
          <w:p w14:paraId="6DD5C451" w14:textId="77777777" w:rsidR="007A6A1A" w:rsidRPr="00364020" w:rsidRDefault="007A6A1A" w:rsidP="00364020">
            <w:pPr>
              <w:spacing w:after="0" w:line="240" w:lineRule="auto"/>
              <w:rPr>
                <w:sz w:val="20"/>
                <w:szCs w:val="20"/>
              </w:rPr>
            </w:pPr>
            <w:r w:rsidRPr="00364020">
              <w:rPr>
                <w:sz w:val="20"/>
                <w:szCs w:val="20"/>
              </w:rPr>
              <w:t xml:space="preserve">  Total</w:t>
            </w:r>
          </w:p>
        </w:tc>
        <w:tc>
          <w:tcPr>
            <w:tcW w:w="2673" w:type="dxa"/>
            <w:tcBorders>
              <w:top w:val="nil"/>
              <w:left w:val="nil"/>
              <w:bottom w:val="single" w:sz="4" w:space="0" w:color="auto"/>
              <w:right w:val="nil"/>
            </w:tcBorders>
            <w:noWrap/>
            <w:vAlign w:val="bottom"/>
            <w:hideMark/>
          </w:tcPr>
          <w:p w14:paraId="3CD9583A" w14:textId="77777777" w:rsidR="007A6A1A" w:rsidRPr="00364020" w:rsidRDefault="007A6A1A" w:rsidP="00364020">
            <w:pPr>
              <w:spacing w:after="0" w:line="240" w:lineRule="auto"/>
              <w:rPr>
                <w:sz w:val="20"/>
                <w:szCs w:val="20"/>
              </w:rPr>
            </w:pPr>
            <w:r w:rsidRPr="00364020">
              <w:rPr>
                <w:sz w:val="20"/>
                <w:szCs w:val="20"/>
              </w:rPr>
              <w:t>$37.7</w:t>
            </w:r>
          </w:p>
        </w:tc>
        <w:tc>
          <w:tcPr>
            <w:tcW w:w="1507" w:type="dxa"/>
            <w:tcBorders>
              <w:top w:val="nil"/>
              <w:left w:val="nil"/>
              <w:bottom w:val="single" w:sz="4" w:space="0" w:color="auto"/>
              <w:right w:val="nil"/>
            </w:tcBorders>
            <w:noWrap/>
            <w:vAlign w:val="bottom"/>
            <w:hideMark/>
          </w:tcPr>
          <w:p w14:paraId="791A8C33" w14:textId="77777777" w:rsidR="007A6A1A" w:rsidRPr="00364020" w:rsidRDefault="007A6A1A" w:rsidP="00364020">
            <w:pPr>
              <w:spacing w:after="0" w:line="240" w:lineRule="auto"/>
              <w:rPr>
                <w:sz w:val="20"/>
                <w:szCs w:val="20"/>
              </w:rPr>
            </w:pPr>
            <w:r w:rsidRPr="00364020">
              <w:rPr>
                <w:sz w:val="20"/>
                <w:szCs w:val="20"/>
              </w:rPr>
              <w:t>$51.9</w:t>
            </w:r>
          </w:p>
        </w:tc>
        <w:tc>
          <w:tcPr>
            <w:tcW w:w="1657" w:type="dxa"/>
            <w:tcBorders>
              <w:top w:val="nil"/>
              <w:left w:val="nil"/>
              <w:bottom w:val="single" w:sz="4" w:space="0" w:color="auto"/>
              <w:right w:val="single" w:sz="4" w:space="0" w:color="auto"/>
            </w:tcBorders>
            <w:noWrap/>
            <w:vAlign w:val="bottom"/>
            <w:hideMark/>
          </w:tcPr>
          <w:p w14:paraId="0A816649" w14:textId="77777777" w:rsidR="007A6A1A" w:rsidRPr="00364020" w:rsidRDefault="007A6A1A" w:rsidP="00364020">
            <w:pPr>
              <w:spacing w:after="0" w:line="240" w:lineRule="auto"/>
              <w:rPr>
                <w:sz w:val="20"/>
                <w:szCs w:val="20"/>
              </w:rPr>
            </w:pPr>
            <w:r w:rsidRPr="00364020">
              <w:rPr>
                <w:sz w:val="20"/>
                <w:szCs w:val="20"/>
              </w:rPr>
              <w:t>$49.4</w:t>
            </w:r>
          </w:p>
        </w:tc>
      </w:tr>
    </w:tbl>
    <w:p w14:paraId="54FF6B09" w14:textId="77777777" w:rsidR="007A6A1A" w:rsidRPr="00167CB8" w:rsidRDefault="007A6A1A" w:rsidP="00C87E4A">
      <w:pPr>
        <w:pStyle w:val="Source"/>
      </w:pPr>
      <w:r w:rsidRPr="00167CB8">
        <w:rPr>
          <w:b/>
          <w:bCs/>
        </w:rPr>
        <w:t>Source:</w:t>
      </w:r>
      <w:r w:rsidRPr="00167CB8">
        <w:t xml:space="preserve"> ABS 6306 Employee Earnings and Hours, May 2023. Data cube No. 7 (6306ODO007). Sample: non-managerial employees employed full-time and paid at the adult rate.</w:t>
      </w:r>
    </w:p>
    <w:p w14:paraId="2E894B84" w14:textId="42A08A09" w:rsidR="007A6A1A" w:rsidRPr="00167CB8" w:rsidRDefault="007A6A1A" w:rsidP="003358E0">
      <w:pPr>
        <w:pStyle w:val="Source"/>
      </w:pPr>
      <w:r w:rsidRPr="00167CB8">
        <w:rPr>
          <w:b/>
          <w:bCs/>
        </w:rPr>
        <w:t xml:space="preserve">Alt-text: </w:t>
      </w:r>
      <w:r w:rsidRPr="00167CB8">
        <w:t>A table showing the average hourly earnings of non-managerial employees by method of pay setting. In the private sector the average cash earnings of award reliant workers in 2023 was $33.4 per hour. In the public sector it was equal to $54.3 per hour.</w:t>
      </w:r>
      <w:r w:rsidRPr="00167CB8">
        <w:br w:type="page"/>
      </w:r>
    </w:p>
    <w:p w14:paraId="6422E2E3" w14:textId="77777777" w:rsidR="007A6A1A" w:rsidRPr="00167CB8" w:rsidRDefault="007A6A1A" w:rsidP="00650687">
      <w:pPr>
        <w:pStyle w:val="Heading4"/>
      </w:pPr>
      <w:bookmarkStart w:id="797" w:name="_Toc186991769"/>
      <w:bookmarkStart w:id="798" w:name="_Toc189393673"/>
      <w:r w:rsidRPr="00167CB8">
        <w:lastRenderedPageBreak/>
        <w:t>3.4 OECD data</w:t>
      </w:r>
      <w:bookmarkEnd w:id="797"/>
      <w:bookmarkEnd w:id="798"/>
    </w:p>
    <w:p w14:paraId="296719CC" w14:textId="77777777" w:rsidR="007A6A1A" w:rsidRPr="00167CB8" w:rsidRDefault="007A6A1A" w:rsidP="007A6A1A">
      <w:pPr>
        <w:spacing w:after="160"/>
      </w:pPr>
      <w:r w:rsidRPr="00167CB8">
        <w:t xml:space="preserve">In this section OECD data are used to examine and compare annual wage growth in Australia with growth in other OECD countries. Comparisons are made over the period 2011 to 2023. Over this period the average growth in annual wages of OECD member countries was 8%. In Australia it was markedly lower at 2%. </w:t>
      </w:r>
    </w:p>
    <w:p w14:paraId="3223FD3E" w14:textId="58A033FD" w:rsidR="007A6A1A" w:rsidRPr="00167CB8" w:rsidRDefault="007A6A1A" w:rsidP="00470AB9">
      <w:pPr>
        <w:pStyle w:val="Caption"/>
      </w:pPr>
      <w:bookmarkStart w:id="799" w:name="_Toc186991796"/>
      <w:bookmarkStart w:id="800" w:name="_Toc189310829"/>
      <w:r w:rsidRPr="00167CB8">
        <w:t xml:space="preserve">Figure </w:t>
      </w:r>
      <w:r w:rsidR="00BB1D20" w:rsidRPr="00167CB8">
        <w:t>41</w:t>
      </w:r>
      <w:r w:rsidRPr="00167CB8">
        <w:t>: Growth in average annual wages of member OECD countries, 2011 to 2023</w:t>
      </w:r>
      <w:bookmarkEnd w:id="799"/>
      <w:bookmarkEnd w:id="800"/>
    </w:p>
    <w:p w14:paraId="29B70FC3" w14:textId="77777777" w:rsidR="007A6A1A" w:rsidRPr="00167CB8" w:rsidRDefault="007A6A1A" w:rsidP="007A6A1A">
      <w:pPr>
        <w:spacing w:after="160"/>
        <w:rPr>
          <w:lang w:val="en-US"/>
        </w:rPr>
      </w:pPr>
      <w:r w:rsidRPr="00167CB8">
        <w:rPr>
          <w:noProof/>
        </w:rPr>
        <w:drawing>
          <wp:inline distT="0" distB="0" distL="0" distR="0" wp14:anchorId="19590E47" wp14:editId="08858C4B">
            <wp:extent cx="5731510" cy="3750945"/>
            <wp:effectExtent l="0" t="0" r="2540" b="1905"/>
            <wp:docPr id="1127447121" name="Picture 45" descr="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descr="A graph with blue and red lines&#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6EE47651" w14:textId="77777777" w:rsidR="007A6A1A" w:rsidRPr="00167CB8" w:rsidRDefault="007A6A1A" w:rsidP="00C87E4A">
      <w:pPr>
        <w:pStyle w:val="Source"/>
        <w:rPr>
          <w:b/>
          <w:bCs/>
          <w:lang w:val="en-US"/>
        </w:rPr>
      </w:pPr>
      <w:r w:rsidRPr="00167CB8">
        <w:rPr>
          <w:b/>
          <w:bCs/>
          <w:lang w:val="en-US"/>
        </w:rPr>
        <w:t xml:space="preserve">Notes: </w:t>
      </w:r>
    </w:p>
    <w:p w14:paraId="4D9BF065" w14:textId="2E3C3D22" w:rsidR="007A6A1A" w:rsidRPr="00167CB8" w:rsidRDefault="00C87E4A" w:rsidP="00C87E4A">
      <w:pPr>
        <w:pStyle w:val="Source"/>
        <w:rPr>
          <w:lang w:val="en-US"/>
        </w:rPr>
      </w:pPr>
      <w:r w:rsidRPr="00167CB8">
        <w:rPr>
          <w:lang w:val="en-US"/>
        </w:rPr>
        <w:t xml:space="preserve">1. </w:t>
      </w:r>
      <w:r w:rsidR="007A6A1A" w:rsidRPr="00167CB8">
        <w:rPr>
          <w:lang w:val="en-US"/>
        </w:rPr>
        <w:t>Average annual wages per full-time equivalent employee</w:t>
      </w:r>
      <w:r w:rsidRPr="00167CB8">
        <w:rPr>
          <w:lang w:val="en-US"/>
        </w:rPr>
        <w:t>.</w:t>
      </w:r>
      <w:r w:rsidR="007A6A1A" w:rsidRPr="00167CB8">
        <w:rPr>
          <w:lang w:val="en-US"/>
        </w:rPr>
        <w:t xml:space="preserve"> </w:t>
      </w:r>
    </w:p>
    <w:p w14:paraId="72622CFA" w14:textId="22ED7311" w:rsidR="007A6A1A" w:rsidRPr="00167CB8" w:rsidRDefault="00C87E4A" w:rsidP="00C87E4A">
      <w:pPr>
        <w:pStyle w:val="Source"/>
        <w:rPr>
          <w:lang w:val="en-US"/>
        </w:rPr>
      </w:pPr>
      <w:r w:rsidRPr="00167CB8">
        <w:rPr>
          <w:lang w:val="en-US"/>
        </w:rPr>
        <w:t xml:space="preserve">2. </w:t>
      </w:r>
      <w:r w:rsidR="007A6A1A" w:rsidRPr="00167CB8">
        <w:rPr>
          <w:lang w:val="en-US"/>
        </w:rPr>
        <w:t xml:space="preserve">Wage growth comparisons made using estimates which are adjusted for inflation and purchasing power parity. </w:t>
      </w:r>
    </w:p>
    <w:p w14:paraId="16E86700" w14:textId="7103B89D" w:rsidR="007A6A1A" w:rsidRPr="00167CB8" w:rsidRDefault="00C87E4A" w:rsidP="00C87E4A">
      <w:pPr>
        <w:pStyle w:val="Source"/>
        <w:rPr>
          <w:lang w:val="en-US"/>
        </w:rPr>
      </w:pPr>
      <w:r w:rsidRPr="00167CB8">
        <w:rPr>
          <w:lang w:val="en-US"/>
        </w:rPr>
        <w:t xml:space="preserve">3. </w:t>
      </w:r>
      <w:r w:rsidR="007A6A1A" w:rsidRPr="00167CB8">
        <w:rPr>
          <w:lang w:val="en-US"/>
        </w:rPr>
        <w:t xml:space="preserve">The OECD derives average annual wages by dividing the national accounts based total wage bill by the number of employees in the total economy and then weights by the ratio of average usual weekly hours per full-time employee to that of all employees to obtain the full-time equivalent measure. </w:t>
      </w:r>
    </w:p>
    <w:p w14:paraId="4920A7A7" w14:textId="77777777" w:rsidR="00C87E4A" w:rsidRPr="00167CB8" w:rsidRDefault="00C87E4A" w:rsidP="00C87E4A">
      <w:pPr>
        <w:pStyle w:val="Source"/>
        <w:rPr>
          <w:lang w:val="en-US"/>
        </w:rPr>
      </w:pPr>
      <w:r w:rsidRPr="00167CB8">
        <w:rPr>
          <w:b/>
          <w:bCs/>
          <w:lang w:val="en-US"/>
        </w:rPr>
        <w:t>Source:</w:t>
      </w:r>
      <w:r w:rsidRPr="00167CB8">
        <w:rPr>
          <w:lang w:val="en-US"/>
        </w:rPr>
        <w:t xml:space="preserve"> OECD Data Explorer, Average Annual Wages. </w:t>
      </w:r>
    </w:p>
    <w:p w14:paraId="3F2A6DF2" w14:textId="3125B01D" w:rsidR="007A6A1A" w:rsidRPr="00167CB8" w:rsidRDefault="007A6A1A" w:rsidP="00C87E4A">
      <w:pPr>
        <w:pStyle w:val="Source"/>
        <w:rPr>
          <w:lang w:val="en-US"/>
        </w:rPr>
      </w:pPr>
      <w:r w:rsidRPr="00167CB8">
        <w:rPr>
          <w:b/>
          <w:bCs/>
          <w:lang w:val="en-US"/>
        </w:rPr>
        <w:t>Alt text:</w:t>
      </w:r>
      <w:r w:rsidRPr="00167CB8">
        <w:rPr>
          <w:lang w:val="en-US"/>
        </w:rPr>
        <w:t xml:space="preserve"> </w:t>
      </w:r>
      <w:r w:rsidR="00C87E4A" w:rsidRPr="00167CB8">
        <w:rPr>
          <w:lang w:val="en-US"/>
        </w:rPr>
        <w:t>A</w:t>
      </w:r>
      <w:r w:rsidRPr="00167CB8">
        <w:rPr>
          <w:lang w:val="en-US"/>
        </w:rPr>
        <w:t xml:space="preserve"> bar chart showing growth in average annual wages of OECD countries between 2011 and 2023 (indexed to 2011). The average OECD growth rate was 8%. Annual average wage growth in Australia over this period was below the OECD average at 2%. </w:t>
      </w:r>
    </w:p>
    <w:p w14:paraId="00BF4254" w14:textId="77777777" w:rsidR="007A6A1A" w:rsidRPr="00167CB8" w:rsidRDefault="007A6A1A" w:rsidP="007A6A1A">
      <w:pPr>
        <w:spacing w:after="160"/>
      </w:pPr>
      <w:r w:rsidRPr="00167CB8">
        <w:t xml:space="preserve">Australia’s relatively slower wage growth may relate, in part, to the fact that wages in Australia are higher than average – which means growth is coming off a higher base. </w:t>
      </w:r>
    </w:p>
    <w:p w14:paraId="446043FE" w14:textId="14F7432F" w:rsidR="007A6A1A" w:rsidRPr="00167CB8" w:rsidRDefault="007A6A1A" w:rsidP="007A6A1A">
      <w:pPr>
        <w:spacing w:after="160"/>
      </w:pPr>
      <w:r w:rsidRPr="00167CB8">
        <w:t xml:space="preserve">In Figure </w:t>
      </w:r>
      <w:r w:rsidR="00065F88" w:rsidRPr="00167CB8">
        <w:t>42</w:t>
      </w:r>
      <w:r w:rsidR="005467CF">
        <w:t xml:space="preserve"> </w:t>
      </w:r>
      <w:r w:rsidRPr="00167CB8">
        <w:t xml:space="preserve">wage data for 2023 from OECD member countries are used to rank the average annual wages of member countries. Comparisons are made using estimates which are adjusted for inflation and purchasing power. Estimates are benchmarked to the United States. The comparison shows that average annual wages in Australia are above the OECD average but </w:t>
      </w:r>
      <w:r w:rsidRPr="00167CB8">
        <w:lastRenderedPageBreak/>
        <w:t xml:space="preserve">below several countries which had higher wage growth (at Figure </w:t>
      </w:r>
      <w:r w:rsidR="001C1162" w:rsidRPr="00167CB8">
        <w:t>41</w:t>
      </w:r>
      <w:r w:rsidRPr="00167CB8">
        <w:t xml:space="preserve">) – </w:t>
      </w:r>
      <w:r w:rsidR="00C87E4A" w:rsidRPr="00167CB8">
        <w:t xml:space="preserve">for example, </w:t>
      </w:r>
      <w:r w:rsidRPr="00167CB8">
        <w:t xml:space="preserve">Belgium, Norway and Austria. </w:t>
      </w:r>
    </w:p>
    <w:p w14:paraId="481E80C4" w14:textId="6CD9267B" w:rsidR="007A6A1A" w:rsidRPr="00167CB8" w:rsidRDefault="007A6A1A" w:rsidP="00470AB9">
      <w:pPr>
        <w:pStyle w:val="Caption"/>
      </w:pPr>
      <w:bookmarkStart w:id="801" w:name="_Toc186991797"/>
      <w:bookmarkStart w:id="802" w:name="_Toc189310830"/>
      <w:r w:rsidRPr="00167CB8">
        <w:t xml:space="preserve">Figure </w:t>
      </w:r>
      <w:r w:rsidR="004F147E" w:rsidRPr="00167CB8">
        <w:t>42</w:t>
      </w:r>
      <w:r w:rsidRPr="00167CB8">
        <w:t xml:space="preserve">: Average annual wage by OECD member country, benchmarked to average annual wages in the </w:t>
      </w:r>
      <w:r w:rsidR="00C87E4A" w:rsidRPr="00167CB8">
        <w:t>United States</w:t>
      </w:r>
      <w:r w:rsidRPr="00167CB8">
        <w:t>, 2023</w:t>
      </w:r>
      <w:bookmarkEnd w:id="801"/>
      <w:bookmarkEnd w:id="802"/>
      <w:r w:rsidRPr="00167CB8">
        <w:t xml:space="preserve"> </w:t>
      </w:r>
    </w:p>
    <w:p w14:paraId="553ECBC6" w14:textId="77777777" w:rsidR="007A6A1A" w:rsidRPr="00167CB8" w:rsidRDefault="007A6A1A" w:rsidP="007A6A1A">
      <w:pPr>
        <w:spacing w:after="160"/>
        <w:rPr>
          <w:lang w:val="en-US"/>
        </w:rPr>
      </w:pPr>
      <w:r w:rsidRPr="00167CB8">
        <w:rPr>
          <w:noProof/>
        </w:rPr>
        <w:drawing>
          <wp:inline distT="0" distB="0" distL="0" distR="0" wp14:anchorId="0663CC34" wp14:editId="3D9D87C9">
            <wp:extent cx="5731510" cy="3750945"/>
            <wp:effectExtent l="0" t="0" r="2540" b="1905"/>
            <wp:docPr id="399992988" name="Picture 4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descr="A graph with a red lin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651C4C56" w14:textId="77777777" w:rsidR="007A6A1A" w:rsidRPr="00167CB8" w:rsidRDefault="007A6A1A" w:rsidP="00C87E4A">
      <w:pPr>
        <w:pStyle w:val="Source"/>
      </w:pPr>
      <w:r w:rsidRPr="00167CB8">
        <w:t xml:space="preserve">Notes: </w:t>
      </w:r>
    </w:p>
    <w:p w14:paraId="09A95E2E" w14:textId="51E7C663" w:rsidR="007A6A1A" w:rsidRPr="00167CB8" w:rsidRDefault="00C87E4A" w:rsidP="00C87E4A">
      <w:pPr>
        <w:pStyle w:val="Source"/>
      </w:pPr>
      <w:r w:rsidRPr="00167CB8">
        <w:t xml:space="preserve">1. </w:t>
      </w:r>
      <w:r w:rsidR="007A6A1A" w:rsidRPr="00167CB8">
        <w:t xml:space="preserve">Average annual wages per full-time equivalent employee </w:t>
      </w:r>
    </w:p>
    <w:p w14:paraId="418EC382" w14:textId="1D5C49EC" w:rsidR="007A6A1A" w:rsidRPr="00167CB8" w:rsidRDefault="00C87E4A" w:rsidP="00C87E4A">
      <w:pPr>
        <w:pStyle w:val="Source"/>
      </w:pPr>
      <w:r w:rsidRPr="00167CB8">
        <w:t xml:space="preserve">2. </w:t>
      </w:r>
      <w:r w:rsidR="007A6A1A" w:rsidRPr="00167CB8">
        <w:t xml:space="preserve">Wage comparisons made using estimates which are adjusted for inflation and purchasing power parity. </w:t>
      </w:r>
    </w:p>
    <w:p w14:paraId="1CA8AECD" w14:textId="258BACD3" w:rsidR="007A6A1A" w:rsidRPr="00167CB8" w:rsidRDefault="00C87E4A" w:rsidP="00C87E4A">
      <w:pPr>
        <w:pStyle w:val="Source"/>
      </w:pPr>
      <w:r w:rsidRPr="00167CB8">
        <w:t xml:space="preserve">3. </w:t>
      </w:r>
      <w:r w:rsidR="007A6A1A" w:rsidRPr="00167CB8">
        <w:t>The OECD derives average annual wages by dividing the national accounts based total wage bill by the number of employees in the total economy and then weights by the ratio of average usual weekly hours per full-time employee to that of all employees to obtain the full-time equivalent measure.</w:t>
      </w:r>
    </w:p>
    <w:p w14:paraId="414DA7FC" w14:textId="77777777" w:rsidR="00C87E4A" w:rsidRPr="00167CB8" w:rsidRDefault="00C87E4A" w:rsidP="00C87E4A">
      <w:pPr>
        <w:pStyle w:val="Source"/>
      </w:pPr>
      <w:r w:rsidRPr="00167CB8">
        <w:rPr>
          <w:b/>
          <w:bCs/>
        </w:rPr>
        <w:t>Source:</w:t>
      </w:r>
      <w:r w:rsidRPr="00167CB8">
        <w:t xml:space="preserve"> OECD Data Explorer, Average Annual Wages, 2023. </w:t>
      </w:r>
    </w:p>
    <w:p w14:paraId="48FE9F15" w14:textId="427DABBC" w:rsidR="007A6A1A" w:rsidRPr="00167CB8" w:rsidRDefault="007A6A1A" w:rsidP="00C87E4A">
      <w:pPr>
        <w:pStyle w:val="Source"/>
      </w:pPr>
      <w:r w:rsidRPr="00167CB8">
        <w:rPr>
          <w:b/>
          <w:bCs/>
        </w:rPr>
        <w:t>Alt text:</w:t>
      </w:r>
      <w:r w:rsidRPr="00167CB8">
        <w:t xml:space="preserve"> </w:t>
      </w:r>
      <w:r w:rsidR="00C87E4A" w:rsidRPr="00167CB8">
        <w:t>A</w:t>
      </w:r>
      <w:r w:rsidRPr="00167CB8">
        <w:t xml:space="preserve"> bar chart showing the relative average annual wages of OECD member countries. Wages are benchmarked to the U</w:t>
      </w:r>
      <w:r w:rsidR="00C87E4A" w:rsidRPr="00167CB8">
        <w:t>nited States (US)</w:t>
      </w:r>
      <w:r w:rsidRPr="00167CB8">
        <w:t xml:space="preserve">. In 2023 </w:t>
      </w:r>
      <w:r w:rsidR="00C87E4A" w:rsidRPr="00167CB8">
        <w:t>a</w:t>
      </w:r>
      <w:r w:rsidRPr="00167CB8">
        <w:t xml:space="preserve">verage annual wages were above those of the US in Luxembourg, Iceland and Switzerland and below in countries such as Norway, Denmark, Australia and Canada. In Australia the average annual wage in 2023 was 84% of that in the US. The OECD average was 73% that of the US. Average annual wages in Australia are high relative to the OECD average. </w:t>
      </w:r>
    </w:p>
    <w:p w14:paraId="6B29D5CC" w14:textId="77777777" w:rsidR="007A6A1A" w:rsidRPr="00167CB8" w:rsidRDefault="007A6A1A" w:rsidP="00650687">
      <w:pPr>
        <w:pStyle w:val="Heading4"/>
      </w:pPr>
      <w:bookmarkStart w:id="803" w:name="_Toc186991770"/>
      <w:bookmarkStart w:id="804" w:name="_Toc189393674"/>
      <w:r w:rsidRPr="00167CB8">
        <w:t>3.5 HILDA data</w:t>
      </w:r>
      <w:bookmarkEnd w:id="803"/>
      <w:bookmarkEnd w:id="804"/>
    </w:p>
    <w:p w14:paraId="3EFBE5E6" w14:textId="6A321237" w:rsidR="007A6A1A" w:rsidRPr="00167CB8" w:rsidRDefault="007A6A1A" w:rsidP="007A6A1A">
      <w:pPr>
        <w:spacing w:after="160"/>
      </w:pPr>
      <w:r w:rsidRPr="00167CB8">
        <w:t xml:space="preserve">In this section the descriptive analysis draws on the Household, Income and Labour Dynamics in Australia (HILDA) </w:t>
      </w:r>
      <w:r w:rsidR="00C87E4A" w:rsidRPr="00167CB8">
        <w:t>s</w:t>
      </w:r>
      <w:r w:rsidRPr="00167CB8">
        <w:t xml:space="preserve">urvey. Unless otherwise stated the analysis in this section is restricted to employees aged 21 to 64. </w:t>
      </w:r>
    </w:p>
    <w:p w14:paraId="60AF8CE2" w14:textId="0C626709" w:rsidR="007A6A1A" w:rsidRPr="00167CB8" w:rsidRDefault="007A6A1A" w:rsidP="007A6A1A">
      <w:pPr>
        <w:spacing w:after="160"/>
      </w:pPr>
      <w:r w:rsidRPr="00167CB8">
        <w:t xml:space="preserve">HILDA, as previously noted, is a longitudinal survey of household members aged 15 and over and is, after weighting, nationally representative of individuals. It contains rich information on individual characteristics, including their qualifications, their work history, their wages and their </w:t>
      </w:r>
      <w:r w:rsidRPr="00167CB8">
        <w:lastRenderedPageBreak/>
        <w:t>socioeconomic characteristics. The HILDA survey commenced in 2001 and at the time of writing there are 23 waves of data (covering the period 2001 to 2023). A particular advantage of HILDA is that, since wave 8 (2008)</w:t>
      </w:r>
      <w:r w:rsidR="00C87E4A" w:rsidRPr="00167CB8">
        <w:t>,</w:t>
      </w:r>
      <w:r w:rsidRPr="00167CB8">
        <w:t xml:space="preserve"> the survey has collected information on method of pay setting.</w:t>
      </w:r>
    </w:p>
    <w:p w14:paraId="49BC9C42" w14:textId="77777777" w:rsidR="007A6A1A" w:rsidRPr="00167CB8" w:rsidRDefault="007A6A1A" w:rsidP="00650687">
      <w:pPr>
        <w:pStyle w:val="Heading5"/>
      </w:pPr>
      <w:r w:rsidRPr="00167CB8">
        <w:t>3.5.1 Method of pay setting</w:t>
      </w:r>
    </w:p>
    <w:p w14:paraId="63C367DE" w14:textId="7F2315CF" w:rsidR="007A6A1A" w:rsidRPr="00167CB8" w:rsidRDefault="00D74655" w:rsidP="007A6A1A">
      <w:pPr>
        <w:spacing w:after="160"/>
      </w:pPr>
      <w:r>
        <w:t>Figure 48</w:t>
      </w:r>
      <w:r w:rsidR="007A6A1A" w:rsidRPr="00167CB8">
        <w:t xml:space="preserve"> shows trends in the various pay setting methods between 2008 and 2023</w:t>
      </w:r>
      <w:r>
        <w:t xml:space="preserve">. </w:t>
      </w:r>
      <w:r w:rsidR="002A6A3B">
        <w:t>The data</w:t>
      </w:r>
      <w:r w:rsidR="007A6A1A" w:rsidRPr="00167CB8">
        <w:t>, disaggregated by gender</w:t>
      </w:r>
      <w:r w:rsidR="002A6A3B">
        <w:t xml:space="preserve">, is presented in Table 47. </w:t>
      </w:r>
    </w:p>
    <w:p w14:paraId="5A748BF5" w14:textId="44D65F41" w:rsidR="007A6A1A" w:rsidRPr="00167CB8" w:rsidRDefault="007A6A1A" w:rsidP="007A6A1A">
      <w:pPr>
        <w:spacing w:after="160"/>
      </w:pPr>
      <w:r w:rsidRPr="00167CB8">
        <w:t>As shown, the share of employees paid by the award (only) has been steadily declining</w:t>
      </w:r>
      <w:r w:rsidR="00C87E4A" w:rsidRPr="00167CB8">
        <w:t>,</w:t>
      </w:r>
      <w:r w:rsidRPr="00167CB8">
        <w:t xml:space="preserve"> while the share of employees covered by a collective agreement has been steadily increasing. The majority of male employees are paid according to an individual arrangement (39% in 2022</w:t>
      </w:r>
      <w:r w:rsidR="00C87E4A" w:rsidRPr="00167CB8">
        <w:rPr>
          <w:rFonts w:ascii="Symbol" w:eastAsia="Symbol" w:hAnsi="Symbol" w:cs="Symbol"/>
        </w:rPr>
        <w:t>-</w:t>
      </w:r>
      <w:r w:rsidRPr="00167CB8">
        <w:t>23), with only 25% paid by the award. In comparison, among women, around one</w:t>
      </w:r>
      <w:r w:rsidR="00C87E4A" w:rsidRPr="00167CB8">
        <w:t>-</w:t>
      </w:r>
      <w:r w:rsidRPr="00167CB8">
        <w:t>third are paid by a collective agreement, one</w:t>
      </w:r>
      <w:r w:rsidR="00C87E4A" w:rsidRPr="00167CB8">
        <w:t>-</w:t>
      </w:r>
      <w:r w:rsidRPr="00167CB8">
        <w:t>third by an individual arrangement, and one</w:t>
      </w:r>
      <w:r w:rsidR="00C87E4A" w:rsidRPr="00167CB8">
        <w:t>-</w:t>
      </w:r>
      <w:r w:rsidRPr="00167CB8">
        <w:t>third by the award</w:t>
      </w:r>
      <w:r w:rsidR="002A6A3B">
        <w:t xml:space="preserve"> (Table 47)</w:t>
      </w:r>
      <w:r w:rsidRPr="00167CB8">
        <w:t>.</w:t>
      </w:r>
    </w:p>
    <w:p w14:paraId="556188A8" w14:textId="77777777" w:rsidR="00D74655" w:rsidRDefault="007A6A1A" w:rsidP="000A1DC7">
      <w:pPr>
        <w:spacing w:after="160"/>
      </w:pPr>
      <w:r w:rsidRPr="00167CB8">
        <w:t xml:space="preserve">Table </w:t>
      </w:r>
      <w:r w:rsidR="00B27AB3" w:rsidRPr="00167CB8">
        <w:t>48</w:t>
      </w:r>
      <w:r w:rsidR="00776BA5">
        <w:t xml:space="preserve"> </w:t>
      </w:r>
      <w:r w:rsidRPr="00167CB8">
        <w:t xml:space="preserve">describes trends in methods of pay setting disaggregated by employment status (full-time and part-time). Part-timers, as shown, are much more likely to be award reliant. </w:t>
      </w:r>
      <w:bookmarkStart w:id="805" w:name="_Toc186991798"/>
      <w:bookmarkStart w:id="806" w:name="_Toc189310831"/>
    </w:p>
    <w:p w14:paraId="7FC313B4" w14:textId="77777777" w:rsidR="002A6A3B" w:rsidRDefault="002A6A3B" w:rsidP="000A1DC7">
      <w:pPr>
        <w:spacing w:after="160"/>
      </w:pPr>
    </w:p>
    <w:p w14:paraId="2F3DACDB" w14:textId="79D0ABF3" w:rsidR="000A1DC7" w:rsidRPr="00D74655" w:rsidRDefault="000A1DC7" w:rsidP="000A1DC7">
      <w:pPr>
        <w:spacing w:after="160"/>
        <w:rPr>
          <w:rFonts w:cs="Calibri"/>
          <w:b/>
          <w:bCs/>
          <w:lang w:val="en-US"/>
        </w:rPr>
      </w:pPr>
      <w:r w:rsidRPr="00D74655">
        <w:rPr>
          <w:rFonts w:cs="Calibri"/>
          <w:b/>
          <w:bCs/>
          <w:lang w:val="en-US"/>
        </w:rPr>
        <w:t>Figure 43: Trends in method of pay setting</w:t>
      </w:r>
      <w:bookmarkEnd w:id="805"/>
      <w:r w:rsidRPr="00D74655">
        <w:rPr>
          <w:rFonts w:cs="Calibri"/>
          <w:b/>
          <w:bCs/>
          <w:lang w:val="en-US"/>
        </w:rPr>
        <w:t>, 2008</w:t>
      </w:r>
      <w:r w:rsidRPr="00D74655">
        <w:rPr>
          <w:rFonts w:cs="Calibri"/>
          <w:b/>
          <w:bCs/>
          <w:lang w:val="en-US"/>
        </w:rPr>
        <w:sym w:font="Symbol" w:char="F02D"/>
      </w:r>
      <w:r w:rsidRPr="00D74655">
        <w:rPr>
          <w:rFonts w:cs="Calibri"/>
          <w:b/>
          <w:bCs/>
          <w:lang w:val="en-US"/>
        </w:rPr>
        <w:t>09 to 2022</w:t>
      </w:r>
      <w:r w:rsidRPr="00D74655">
        <w:rPr>
          <w:rFonts w:cs="Calibri"/>
          <w:b/>
          <w:bCs/>
          <w:lang w:val="en-US"/>
        </w:rPr>
        <w:sym w:font="Symbol" w:char="F02D"/>
      </w:r>
      <w:r w:rsidRPr="00D74655">
        <w:rPr>
          <w:rFonts w:cs="Calibri"/>
          <w:b/>
          <w:bCs/>
          <w:lang w:val="en-US"/>
        </w:rPr>
        <w:t>23</w:t>
      </w:r>
      <w:bookmarkEnd w:id="806"/>
    </w:p>
    <w:p w14:paraId="6C1D181C" w14:textId="77777777" w:rsidR="000A1DC7" w:rsidRPr="00167CB8" w:rsidRDefault="000A1DC7" w:rsidP="000A1DC7">
      <w:pPr>
        <w:spacing w:after="160"/>
      </w:pPr>
      <w:r w:rsidRPr="00167CB8">
        <w:rPr>
          <w:noProof/>
        </w:rPr>
        <w:drawing>
          <wp:inline distT="0" distB="0" distL="0" distR="0" wp14:anchorId="5FB7A5ED" wp14:editId="23655070">
            <wp:extent cx="5724525" cy="3743325"/>
            <wp:effectExtent l="0" t="0" r="9525" b="9525"/>
            <wp:docPr id="813590354" name="Picture 4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90354" name="Picture 43" descr="A graph of different colored lines&#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24525" cy="3743325"/>
                    </a:xfrm>
                    <a:prstGeom prst="rect">
                      <a:avLst/>
                    </a:prstGeom>
                    <a:noFill/>
                    <a:ln>
                      <a:noFill/>
                    </a:ln>
                  </pic:spPr>
                </pic:pic>
              </a:graphicData>
            </a:graphic>
          </wp:inline>
        </w:drawing>
      </w:r>
    </w:p>
    <w:p w14:paraId="3332E01C" w14:textId="77777777" w:rsidR="000A1DC7" w:rsidRPr="00167CB8" w:rsidRDefault="000A1DC7" w:rsidP="000A1DC7">
      <w:pPr>
        <w:pStyle w:val="Source"/>
      </w:pPr>
      <w:r w:rsidRPr="00167CB8">
        <w:rPr>
          <w:b/>
          <w:bCs/>
        </w:rPr>
        <w:t>Source:</w:t>
      </w:r>
      <w:r w:rsidRPr="00167CB8">
        <w:t xml:space="preserve"> Table 28.</w:t>
      </w:r>
    </w:p>
    <w:p w14:paraId="41CC686A" w14:textId="77777777" w:rsidR="000A1DC7" w:rsidRPr="00167CB8" w:rsidRDefault="000A1DC7" w:rsidP="000A1DC7">
      <w:pPr>
        <w:pStyle w:val="Source"/>
      </w:pPr>
      <w:r w:rsidRPr="00167CB8">
        <w:rPr>
          <w:b/>
          <w:bCs/>
        </w:rPr>
        <w:t>Alt-text:</w:t>
      </w:r>
      <w:r w:rsidRPr="00167CB8">
        <w:t xml:space="preserve"> A line graph showing trends in the share of employees paid according to a particular method of payment. The share who are award reliant has been trending down. In the 2022</w:t>
      </w:r>
      <w:r w:rsidRPr="00167CB8">
        <w:rPr>
          <w:rFonts w:ascii="Symbol" w:eastAsia="Symbol" w:hAnsi="Symbol" w:cs="Symbol"/>
        </w:rPr>
        <w:sym w:font="Symbol" w:char="F02D"/>
      </w:r>
      <w:r w:rsidRPr="00167CB8">
        <w:t>23 period 25% of employees were award reliant. The share paid according to an enterprise agreement has been trending up, while the share paid according to an individual arrangement has been fairly steady.</w:t>
      </w:r>
    </w:p>
    <w:p w14:paraId="59CE86F8" w14:textId="77777777" w:rsidR="000A1DC7" w:rsidRPr="00167CB8" w:rsidRDefault="000A1DC7" w:rsidP="000A1DC7">
      <w:pPr>
        <w:spacing w:after="160"/>
        <w:rPr>
          <w:i/>
          <w:iCs/>
        </w:rPr>
      </w:pPr>
      <w:r w:rsidRPr="00167CB8">
        <w:br w:type="page"/>
      </w:r>
    </w:p>
    <w:p w14:paraId="5DA59BED" w14:textId="631CB77A" w:rsidR="007A6A1A" w:rsidRPr="000A1DC7" w:rsidRDefault="007A6A1A" w:rsidP="007A6A1A">
      <w:pPr>
        <w:spacing w:after="160"/>
        <w:rPr>
          <w:i/>
          <w:iCs/>
        </w:rPr>
        <w:sectPr w:rsidR="007A6A1A" w:rsidRPr="000A1DC7" w:rsidSect="007A6A1A">
          <w:pgSz w:w="11906" w:h="16838"/>
          <w:pgMar w:top="1440" w:right="1440" w:bottom="1440" w:left="1440" w:header="708" w:footer="708" w:gutter="0"/>
          <w:cols w:space="720"/>
        </w:sectPr>
      </w:pPr>
    </w:p>
    <w:p w14:paraId="355BA9A4" w14:textId="23DC6346" w:rsidR="007A6A1A" w:rsidRPr="00167CB8" w:rsidRDefault="007A6A1A" w:rsidP="00470AB9">
      <w:pPr>
        <w:pStyle w:val="Caption"/>
      </w:pPr>
      <w:bookmarkStart w:id="807" w:name="_Ref186907459"/>
      <w:bookmarkStart w:id="808" w:name="_Toc186991825"/>
      <w:bookmarkStart w:id="809" w:name="_Toc189310876"/>
      <w:r w:rsidRPr="00167CB8">
        <w:lastRenderedPageBreak/>
        <w:t xml:space="preserve">Table </w:t>
      </w:r>
      <w:r w:rsidR="00EE0D1A" w:rsidRPr="00167CB8">
        <w:t>47</w:t>
      </w:r>
      <w:bookmarkEnd w:id="807"/>
      <w:r w:rsidRPr="00167CB8">
        <w:t>: Trends in methods of pay setting of employees, disaggregate by gender, 2008-9 to 2022-23</w:t>
      </w:r>
      <w:bookmarkEnd w:id="808"/>
      <w:bookmarkEnd w:id="809"/>
    </w:p>
    <w:tbl>
      <w:tblPr>
        <w:tblW w:w="139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48"/>
        <w:gridCol w:w="943"/>
        <w:gridCol w:w="916"/>
        <w:gridCol w:w="1464"/>
        <w:gridCol w:w="915"/>
        <w:gridCol w:w="915"/>
        <w:gridCol w:w="915"/>
        <w:gridCol w:w="1463"/>
        <w:gridCol w:w="915"/>
        <w:gridCol w:w="961"/>
        <w:gridCol w:w="915"/>
        <w:gridCol w:w="1463"/>
        <w:gridCol w:w="915"/>
      </w:tblGrid>
      <w:tr w:rsidR="00663CBD" w:rsidRPr="00167CB8" w14:paraId="668076B9" w14:textId="77777777" w:rsidTr="00663CBD">
        <w:trPr>
          <w:trHeight w:val="300"/>
        </w:trPr>
        <w:tc>
          <w:tcPr>
            <w:tcW w:w="1248" w:type="dxa"/>
            <w:tcBorders>
              <w:top w:val="single" w:sz="4" w:space="0" w:color="auto"/>
              <w:left w:val="single" w:sz="4" w:space="0" w:color="auto"/>
              <w:bottom w:val="nil"/>
              <w:right w:val="single" w:sz="4" w:space="0" w:color="auto"/>
            </w:tcBorders>
            <w:noWrap/>
            <w:vAlign w:val="bottom"/>
            <w:hideMark/>
          </w:tcPr>
          <w:p w14:paraId="1887CA8D" w14:textId="77777777" w:rsidR="00663CBD" w:rsidRPr="00663CBD" w:rsidRDefault="00663CBD" w:rsidP="00663CBD">
            <w:pPr>
              <w:spacing w:after="0" w:line="240" w:lineRule="auto"/>
              <w:rPr>
                <w:b/>
                <w:bCs/>
                <w:sz w:val="20"/>
                <w:szCs w:val="20"/>
              </w:rPr>
            </w:pPr>
          </w:p>
        </w:tc>
        <w:tc>
          <w:tcPr>
            <w:tcW w:w="1859" w:type="dxa"/>
            <w:gridSpan w:val="2"/>
            <w:tcBorders>
              <w:top w:val="single" w:sz="4" w:space="0" w:color="auto"/>
              <w:left w:val="single" w:sz="4" w:space="0" w:color="auto"/>
              <w:bottom w:val="nil"/>
              <w:right w:val="nil"/>
            </w:tcBorders>
            <w:noWrap/>
            <w:vAlign w:val="bottom"/>
            <w:hideMark/>
          </w:tcPr>
          <w:p w14:paraId="38C5535E" w14:textId="41441A61" w:rsidR="00663CBD" w:rsidRPr="00663CBD" w:rsidRDefault="00663CBD" w:rsidP="00663CBD">
            <w:pPr>
              <w:spacing w:after="0" w:line="240" w:lineRule="auto"/>
              <w:rPr>
                <w:b/>
                <w:bCs/>
                <w:sz w:val="20"/>
                <w:szCs w:val="20"/>
              </w:rPr>
            </w:pPr>
            <w:r w:rsidRPr="00663CBD">
              <w:rPr>
                <w:b/>
                <w:bCs/>
                <w:sz w:val="20"/>
                <w:szCs w:val="20"/>
              </w:rPr>
              <w:t>Persons</w:t>
            </w:r>
          </w:p>
        </w:tc>
        <w:tc>
          <w:tcPr>
            <w:tcW w:w="1464" w:type="dxa"/>
            <w:tcBorders>
              <w:top w:val="single" w:sz="4" w:space="0" w:color="auto"/>
              <w:left w:val="nil"/>
              <w:bottom w:val="nil"/>
              <w:right w:val="nil"/>
            </w:tcBorders>
            <w:noWrap/>
            <w:vAlign w:val="bottom"/>
            <w:hideMark/>
          </w:tcPr>
          <w:p w14:paraId="051C0A67" w14:textId="77777777" w:rsidR="00663CBD" w:rsidRPr="00663CBD" w:rsidRDefault="00663CBD" w:rsidP="00663CBD">
            <w:pPr>
              <w:spacing w:after="0" w:line="240" w:lineRule="auto"/>
              <w:rPr>
                <w:b/>
                <w:bCs/>
                <w:sz w:val="20"/>
                <w:szCs w:val="20"/>
              </w:rPr>
            </w:pPr>
          </w:p>
        </w:tc>
        <w:tc>
          <w:tcPr>
            <w:tcW w:w="915" w:type="dxa"/>
            <w:tcBorders>
              <w:top w:val="single" w:sz="4" w:space="0" w:color="auto"/>
              <w:left w:val="nil"/>
              <w:bottom w:val="nil"/>
              <w:right w:val="single" w:sz="4" w:space="0" w:color="auto"/>
            </w:tcBorders>
            <w:noWrap/>
            <w:vAlign w:val="bottom"/>
            <w:hideMark/>
          </w:tcPr>
          <w:p w14:paraId="1FC7CF50" w14:textId="77777777" w:rsidR="00663CBD" w:rsidRPr="00663CBD" w:rsidRDefault="00663CBD" w:rsidP="00663CBD">
            <w:pPr>
              <w:spacing w:after="0" w:line="240" w:lineRule="auto"/>
              <w:rPr>
                <w:b/>
                <w:bCs/>
                <w:sz w:val="20"/>
                <w:szCs w:val="20"/>
              </w:rPr>
            </w:pPr>
          </w:p>
        </w:tc>
        <w:tc>
          <w:tcPr>
            <w:tcW w:w="915" w:type="dxa"/>
            <w:tcBorders>
              <w:top w:val="single" w:sz="4" w:space="0" w:color="auto"/>
              <w:left w:val="single" w:sz="4" w:space="0" w:color="auto"/>
              <w:bottom w:val="nil"/>
              <w:right w:val="nil"/>
            </w:tcBorders>
            <w:noWrap/>
            <w:vAlign w:val="bottom"/>
            <w:hideMark/>
          </w:tcPr>
          <w:p w14:paraId="4F68E4E3" w14:textId="77777777" w:rsidR="00663CBD" w:rsidRPr="00663CBD" w:rsidRDefault="00663CBD" w:rsidP="00663CBD">
            <w:pPr>
              <w:spacing w:after="0" w:line="240" w:lineRule="auto"/>
              <w:rPr>
                <w:b/>
                <w:bCs/>
                <w:sz w:val="20"/>
                <w:szCs w:val="20"/>
              </w:rPr>
            </w:pPr>
            <w:r w:rsidRPr="00663CBD">
              <w:rPr>
                <w:b/>
                <w:bCs/>
                <w:sz w:val="20"/>
                <w:szCs w:val="20"/>
              </w:rPr>
              <w:t>Men</w:t>
            </w:r>
          </w:p>
        </w:tc>
        <w:tc>
          <w:tcPr>
            <w:tcW w:w="915" w:type="dxa"/>
            <w:tcBorders>
              <w:top w:val="single" w:sz="4" w:space="0" w:color="auto"/>
              <w:left w:val="nil"/>
              <w:bottom w:val="nil"/>
              <w:right w:val="nil"/>
            </w:tcBorders>
            <w:noWrap/>
            <w:vAlign w:val="bottom"/>
            <w:hideMark/>
          </w:tcPr>
          <w:p w14:paraId="0621B47B" w14:textId="77777777" w:rsidR="00663CBD" w:rsidRPr="00663CBD" w:rsidRDefault="00663CBD" w:rsidP="00663CBD">
            <w:pPr>
              <w:spacing w:after="0" w:line="240" w:lineRule="auto"/>
              <w:rPr>
                <w:b/>
                <w:bCs/>
                <w:sz w:val="20"/>
                <w:szCs w:val="20"/>
              </w:rPr>
            </w:pPr>
          </w:p>
        </w:tc>
        <w:tc>
          <w:tcPr>
            <w:tcW w:w="1463" w:type="dxa"/>
            <w:tcBorders>
              <w:top w:val="single" w:sz="4" w:space="0" w:color="auto"/>
              <w:left w:val="nil"/>
              <w:bottom w:val="nil"/>
              <w:right w:val="nil"/>
            </w:tcBorders>
            <w:noWrap/>
            <w:vAlign w:val="bottom"/>
            <w:hideMark/>
          </w:tcPr>
          <w:p w14:paraId="56158842" w14:textId="77777777" w:rsidR="00663CBD" w:rsidRPr="00663CBD" w:rsidRDefault="00663CBD" w:rsidP="00663CBD">
            <w:pPr>
              <w:spacing w:after="0" w:line="240" w:lineRule="auto"/>
              <w:rPr>
                <w:b/>
                <w:bCs/>
                <w:sz w:val="20"/>
                <w:szCs w:val="20"/>
              </w:rPr>
            </w:pPr>
          </w:p>
        </w:tc>
        <w:tc>
          <w:tcPr>
            <w:tcW w:w="915" w:type="dxa"/>
            <w:tcBorders>
              <w:top w:val="single" w:sz="4" w:space="0" w:color="auto"/>
              <w:left w:val="nil"/>
              <w:bottom w:val="nil"/>
              <w:right w:val="single" w:sz="4" w:space="0" w:color="auto"/>
            </w:tcBorders>
            <w:noWrap/>
            <w:vAlign w:val="bottom"/>
            <w:hideMark/>
          </w:tcPr>
          <w:p w14:paraId="131920F3" w14:textId="77777777" w:rsidR="00663CBD" w:rsidRPr="00663CBD" w:rsidRDefault="00663CBD" w:rsidP="00663CBD">
            <w:pPr>
              <w:spacing w:after="0" w:line="240" w:lineRule="auto"/>
              <w:rPr>
                <w:b/>
                <w:bCs/>
                <w:sz w:val="20"/>
                <w:szCs w:val="20"/>
              </w:rPr>
            </w:pPr>
          </w:p>
        </w:tc>
        <w:tc>
          <w:tcPr>
            <w:tcW w:w="961" w:type="dxa"/>
            <w:tcBorders>
              <w:top w:val="single" w:sz="4" w:space="0" w:color="auto"/>
              <w:left w:val="single" w:sz="4" w:space="0" w:color="auto"/>
              <w:bottom w:val="nil"/>
              <w:right w:val="nil"/>
            </w:tcBorders>
            <w:noWrap/>
            <w:vAlign w:val="bottom"/>
            <w:hideMark/>
          </w:tcPr>
          <w:p w14:paraId="4611BD01" w14:textId="77777777" w:rsidR="00663CBD" w:rsidRPr="00663CBD" w:rsidRDefault="00663CBD" w:rsidP="00663CBD">
            <w:pPr>
              <w:spacing w:after="0" w:line="240" w:lineRule="auto"/>
              <w:rPr>
                <w:b/>
                <w:bCs/>
                <w:sz w:val="20"/>
                <w:szCs w:val="20"/>
              </w:rPr>
            </w:pPr>
            <w:r w:rsidRPr="00663CBD">
              <w:rPr>
                <w:b/>
                <w:bCs/>
                <w:sz w:val="20"/>
                <w:szCs w:val="20"/>
              </w:rPr>
              <w:t>Women</w:t>
            </w:r>
          </w:p>
        </w:tc>
        <w:tc>
          <w:tcPr>
            <w:tcW w:w="915" w:type="dxa"/>
            <w:tcBorders>
              <w:top w:val="single" w:sz="4" w:space="0" w:color="auto"/>
              <w:left w:val="nil"/>
              <w:bottom w:val="nil"/>
              <w:right w:val="nil"/>
            </w:tcBorders>
            <w:noWrap/>
            <w:vAlign w:val="bottom"/>
            <w:hideMark/>
          </w:tcPr>
          <w:p w14:paraId="318CA814" w14:textId="77777777" w:rsidR="00663CBD" w:rsidRPr="00663CBD" w:rsidRDefault="00663CBD" w:rsidP="00663CBD">
            <w:pPr>
              <w:spacing w:after="0" w:line="240" w:lineRule="auto"/>
              <w:rPr>
                <w:b/>
                <w:bCs/>
                <w:sz w:val="20"/>
                <w:szCs w:val="20"/>
              </w:rPr>
            </w:pPr>
          </w:p>
        </w:tc>
        <w:tc>
          <w:tcPr>
            <w:tcW w:w="1463" w:type="dxa"/>
            <w:tcBorders>
              <w:top w:val="single" w:sz="4" w:space="0" w:color="auto"/>
              <w:left w:val="nil"/>
              <w:bottom w:val="nil"/>
              <w:right w:val="nil"/>
            </w:tcBorders>
            <w:noWrap/>
            <w:vAlign w:val="bottom"/>
            <w:hideMark/>
          </w:tcPr>
          <w:p w14:paraId="7C18E380" w14:textId="77777777" w:rsidR="00663CBD" w:rsidRPr="00663CBD" w:rsidRDefault="00663CBD" w:rsidP="00663CBD">
            <w:pPr>
              <w:spacing w:after="0" w:line="240" w:lineRule="auto"/>
              <w:rPr>
                <w:b/>
                <w:bCs/>
                <w:sz w:val="20"/>
                <w:szCs w:val="20"/>
              </w:rPr>
            </w:pPr>
          </w:p>
        </w:tc>
        <w:tc>
          <w:tcPr>
            <w:tcW w:w="915" w:type="dxa"/>
            <w:tcBorders>
              <w:top w:val="single" w:sz="4" w:space="0" w:color="auto"/>
              <w:left w:val="nil"/>
              <w:bottom w:val="nil"/>
              <w:right w:val="single" w:sz="4" w:space="0" w:color="auto"/>
            </w:tcBorders>
            <w:noWrap/>
            <w:vAlign w:val="bottom"/>
            <w:hideMark/>
          </w:tcPr>
          <w:p w14:paraId="61DC9657" w14:textId="77777777" w:rsidR="00663CBD" w:rsidRPr="00663CBD" w:rsidRDefault="00663CBD" w:rsidP="00663CBD">
            <w:pPr>
              <w:spacing w:after="0" w:line="240" w:lineRule="auto"/>
              <w:rPr>
                <w:b/>
                <w:bCs/>
                <w:sz w:val="20"/>
                <w:szCs w:val="20"/>
              </w:rPr>
            </w:pPr>
          </w:p>
        </w:tc>
      </w:tr>
      <w:tr w:rsidR="007A6A1A" w:rsidRPr="00167CB8" w14:paraId="39D2AEA2" w14:textId="77777777" w:rsidTr="00663CBD">
        <w:trPr>
          <w:trHeight w:val="300"/>
        </w:trPr>
        <w:tc>
          <w:tcPr>
            <w:tcW w:w="1248" w:type="dxa"/>
            <w:tcBorders>
              <w:top w:val="nil"/>
              <w:left w:val="single" w:sz="4" w:space="0" w:color="auto"/>
              <w:bottom w:val="single" w:sz="4" w:space="0" w:color="auto"/>
              <w:right w:val="single" w:sz="4" w:space="0" w:color="auto"/>
            </w:tcBorders>
            <w:noWrap/>
            <w:vAlign w:val="bottom"/>
            <w:hideMark/>
          </w:tcPr>
          <w:p w14:paraId="69577F5B" w14:textId="77777777" w:rsidR="007A6A1A" w:rsidRPr="00663CBD" w:rsidRDefault="007A6A1A" w:rsidP="00663CBD">
            <w:pPr>
              <w:spacing w:after="0" w:line="240" w:lineRule="auto"/>
              <w:rPr>
                <w:b/>
                <w:bCs/>
                <w:sz w:val="20"/>
                <w:szCs w:val="20"/>
              </w:rPr>
            </w:pPr>
          </w:p>
        </w:tc>
        <w:tc>
          <w:tcPr>
            <w:tcW w:w="943" w:type="dxa"/>
            <w:tcBorders>
              <w:top w:val="nil"/>
              <w:left w:val="single" w:sz="4" w:space="0" w:color="auto"/>
              <w:bottom w:val="single" w:sz="4" w:space="0" w:color="auto"/>
              <w:right w:val="nil"/>
            </w:tcBorders>
            <w:noWrap/>
            <w:vAlign w:val="bottom"/>
            <w:hideMark/>
          </w:tcPr>
          <w:p w14:paraId="5CBDB254" w14:textId="77777777" w:rsidR="007A6A1A" w:rsidRPr="00663CBD" w:rsidRDefault="007A6A1A" w:rsidP="00663CBD">
            <w:pPr>
              <w:spacing w:after="0" w:line="240" w:lineRule="auto"/>
              <w:rPr>
                <w:b/>
                <w:bCs/>
                <w:sz w:val="20"/>
                <w:szCs w:val="20"/>
              </w:rPr>
            </w:pPr>
            <w:r w:rsidRPr="00663CBD">
              <w:rPr>
                <w:b/>
                <w:bCs/>
                <w:sz w:val="20"/>
                <w:szCs w:val="20"/>
              </w:rPr>
              <w:t>CA</w:t>
            </w:r>
          </w:p>
        </w:tc>
        <w:tc>
          <w:tcPr>
            <w:tcW w:w="916" w:type="dxa"/>
            <w:tcBorders>
              <w:top w:val="nil"/>
              <w:left w:val="nil"/>
              <w:bottom w:val="single" w:sz="4" w:space="0" w:color="auto"/>
              <w:right w:val="nil"/>
            </w:tcBorders>
            <w:noWrap/>
            <w:vAlign w:val="bottom"/>
            <w:hideMark/>
          </w:tcPr>
          <w:p w14:paraId="746F2C69" w14:textId="77777777" w:rsidR="007A6A1A" w:rsidRPr="00663CBD" w:rsidRDefault="007A6A1A" w:rsidP="00663CBD">
            <w:pPr>
              <w:spacing w:after="0" w:line="240" w:lineRule="auto"/>
              <w:rPr>
                <w:b/>
                <w:bCs/>
                <w:sz w:val="20"/>
                <w:szCs w:val="20"/>
              </w:rPr>
            </w:pPr>
            <w:r w:rsidRPr="00663CBD">
              <w:rPr>
                <w:b/>
                <w:bCs/>
                <w:sz w:val="20"/>
                <w:szCs w:val="20"/>
              </w:rPr>
              <w:t>IA</w:t>
            </w:r>
          </w:p>
        </w:tc>
        <w:tc>
          <w:tcPr>
            <w:tcW w:w="1464" w:type="dxa"/>
            <w:tcBorders>
              <w:top w:val="nil"/>
              <w:left w:val="nil"/>
              <w:bottom w:val="single" w:sz="4" w:space="0" w:color="auto"/>
              <w:right w:val="nil"/>
            </w:tcBorders>
            <w:noWrap/>
            <w:vAlign w:val="bottom"/>
            <w:hideMark/>
          </w:tcPr>
          <w:p w14:paraId="6807A790" w14:textId="77777777" w:rsidR="007A6A1A" w:rsidRPr="00663CBD" w:rsidRDefault="007A6A1A" w:rsidP="00663CBD">
            <w:pPr>
              <w:spacing w:after="0" w:line="240" w:lineRule="auto"/>
              <w:rPr>
                <w:b/>
                <w:bCs/>
                <w:sz w:val="20"/>
                <w:szCs w:val="20"/>
              </w:rPr>
            </w:pPr>
            <w:r w:rsidRPr="00663CBD">
              <w:rPr>
                <w:b/>
                <w:bCs/>
                <w:sz w:val="20"/>
                <w:szCs w:val="20"/>
              </w:rPr>
              <w:t>Combination</w:t>
            </w:r>
          </w:p>
        </w:tc>
        <w:tc>
          <w:tcPr>
            <w:tcW w:w="915" w:type="dxa"/>
            <w:tcBorders>
              <w:top w:val="nil"/>
              <w:left w:val="nil"/>
              <w:bottom w:val="single" w:sz="4" w:space="0" w:color="auto"/>
              <w:right w:val="single" w:sz="4" w:space="0" w:color="auto"/>
            </w:tcBorders>
            <w:noWrap/>
            <w:vAlign w:val="bottom"/>
            <w:hideMark/>
          </w:tcPr>
          <w:p w14:paraId="08B41D0D" w14:textId="77777777" w:rsidR="007A6A1A" w:rsidRPr="00663CBD" w:rsidRDefault="007A6A1A" w:rsidP="00663CBD">
            <w:pPr>
              <w:spacing w:after="0" w:line="240" w:lineRule="auto"/>
              <w:rPr>
                <w:b/>
                <w:bCs/>
                <w:sz w:val="20"/>
                <w:szCs w:val="20"/>
              </w:rPr>
            </w:pPr>
            <w:r w:rsidRPr="00663CBD">
              <w:rPr>
                <w:b/>
                <w:bCs/>
                <w:sz w:val="20"/>
                <w:szCs w:val="20"/>
              </w:rPr>
              <w:t>Award</w:t>
            </w:r>
          </w:p>
        </w:tc>
        <w:tc>
          <w:tcPr>
            <w:tcW w:w="915" w:type="dxa"/>
            <w:tcBorders>
              <w:top w:val="nil"/>
              <w:left w:val="single" w:sz="4" w:space="0" w:color="auto"/>
              <w:bottom w:val="single" w:sz="4" w:space="0" w:color="auto"/>
              <w:right w:val="nil"/>
            </w:tcBorders>
            <w:noWrap/>
            <w:vAlign w:val="bottom"/>
            <w:hideMark/>
          </w:tcPr>
          <w:p w14:paraId="00CB381E" w14:textId="77777777" w:rsidR="007A6A1A" w:rsidRPr="00663CBD" w:rsidRDefault="007A6A1A" w:rsidP="00663CBD">
            <w:pPr>
              <w:spacing w:after="0" w:line="240" w:lineRule="auto"/>
              <w:rPr>
                <w:b/>
                <w:bCs/>
                <w:sz w:val="20"/>
                <w:szCs w:val="20"/>
              </w:rPr>
            </w:pPr>
            <w:r w:rsidRPr="00663CBD">
              <w:rPr>
                <w:b/>
                <w:bCs/>
                <w:sz w:val="20"/>
                <w:szCs w:val="20"/>
              </w:rPr>
              <w:t>EA</w:t>
            </w:r>
          </w:p>
        </w:tc>
        <w:tc>
          <w:tcPr>
            <w:tcW w:w="915" w:type="dxa"/>
            <w:tcBorders>
              <w:top w:val="nil"/>
              <w:left w:val="nil"/>
              <w:bottom w:val="single" w:sz="4" w:space="0" w:color="auto"/>
              <w:right w:val="nil"/>
            </w:tcBorders>
            <w:noWrap/>
            <w:vAlign w:val="bottom"/>
            <w:hideMark/>
          </w:tcPr>
          <w:p w14:paraId="0F3499D0" w14:textId="77777777" w:rsidR="007A6A1A" w:rsidRPr="00663CBD" w:rsidRDefault="007A6A1A" w:rsidP="00663CBD">
            <w:pPr>
              <w:spacing w:after="0" w:line="240" w:lineRule="auto"/>
              <w:rPr>
                <w:b/>
                <w:bCs/>
                <w:sz w:val="20"/>
                <w:szCs w:val="20"/>
              </w:rPr>
            </w:pPr>
            <w:r w:rsidRPr="00663CBD">
              <w:rPr>
                <w:b/>
                <w:bCs/>
                <w:sz w:val="20"/>
                <w:szCs w:val="20"/>
              </w:rPr>
              <w:t>IA</w:t>
            </w:r>
          </w:p>
        </w:tc>
        <w:tc>
          <w:tcPr>
            <w:tcW w:w="1463" w:type="dxa"/>
            <w:tcBorders>
              <w:top w:val="nil"/>
              <w:left w:val="nil"/>
              <w:bottom w:val="single" w:sz="4" w:space="0" w:color="auto"/>
              <w:right w:val="nil"/>
            </w:tcBorders>
            <w:noWrap/>
            <w:vAlign w:val="bottom"/>
            <w:hideMark/>
          </w:tcPr>
          <w:p w14:paraId="6FFD7BE7" w14:textId="77777777" w:rsidR="007A6A1A" w:rsidRPr="00663CBD" w:rsidRDefault="007A6A1A" w:rsidP="00663CBD">
            <w:pPr>
              <w:spacing w:after="0" w:line="240" w:lineRule="auto"/>
              <w:rPr>
                <w:b/>
                <w:bCs/>
                <w:sz w:val="20"/>
                <w:szCs w:val="20"/>
              </w:rPr>
            </w:pPr>
            <w:r w:rsidRPr="00663CBD">
              <w:rPr>
                <w:b/>
                <w:bCs/>
                <w:sz w:val="20"/>
                <w:szCs w:val="20"/>
              </w:rPr>
              <w:t>Combination</w:t>
            </w:r>
          </w:p>
        </w:tc>
        <w:tc>
          <w:tcPr>
            <w:tcW w:w="915" w:type="dxa"/>
            <w:tcBorders>
              <w:top w:val="nil"/>
              <w:left w:val="nil"/>
              <w:bottom w:val="single" w:sz="4" w:space="0" w:color="auto"/>
              <w:right w:val="single" w:sz="4" w:space="0" w:color="auto"/>
            </w:tcBorders>
            <w:noWrap/>
            <w:vAlign w:val="bottom"/>
            <w:hideMark/>
          </w:tcPr>
          <w:p w14:paraId="6A87533A" w14:textId="77777777" w:rsidR="007A6A1A" w:rsidRPr="00663CBD" w:rsidRDefault="007A6A1A" w:rsidP="00663CBD">
            <w:pPr>
              <w:spacing w:after="0" w:line="240" w:lineRule="auto"/>
              <w:rPr>
                <w:b/>
                <w:bCs/>
                <w:sz w:val="20"/>
                <w:szCs w:val="20"/>
              </w:rPr>
            </w:pPr>
            <w:r w:rsidRPr="00663CBD">
              <w:rPr>
                <w:b/>
                <w:bCs/>
                <w:sz w:val="20"/>
                <w:szCs w:val="20"/>
              </w:rPr>
              <w:t>Award</w:t>
            </w:r>
          </w:p>
        </w:tc>
        <w:tc>
          <w:tcPr>
            <w:tcW w:w="961" w:type="dxa"/>
            <w:tcBorders>
              <w:top w:val="nil"/>
              <w:left w:val="single" w:sz="4" w:space="0" w:color="auto"/>
              <w:bottom w:val="single" w:sz="4" w:space="0" w:color="auto"/>
              <w:right w:val="nil"/>
            </w:tcBorders>
            <w:noWrap/>
            <w:vAlign w:val="bottom"/>
            <w:hideMark/>
          </w:tcPr>
          <w:p w14:paraId="6490B581" w14:textId="77777777" w:rsidR="007A6A1A" w:rsidRPr="00663CBD" w:rsidRDefault="007A6A1A" w:rsidP="00663CBD">
            <w:pPr>
              <w:spacing w:after="0" w:line="240" w:lineRule="auto"/>
              <w:rPr>
                <w:b/>
                <w:bCs/>
                <w:sz w:val="20"/>
                <w:szCs w:val="20"/>
              </w:rPr>
            </w:pPr>
            <w:r w:rsidRPr="00663CBD">
              <w:rPr>
                <w:b/>
                <w:bCs/>
                <w:sz w:val="20"/>
                <w:szCs w:val="20"/>
              </w:rPr>
              <w:t>EA</w:t>
            </w:r>
          </w:p>
        </w:tc>
        <w:tc>
          <w:tcPr>
            <w:tcW w:w="915" w:type="dxa"/>
            <w:tcBorders>
              <w:top w:val="nil"/>
              <w:left w:val="nil"/>
              <w:bottom w:val="single" w:sz="4" w:space="0" w:color="auto"/>
              <w:right w:val="nil"/>
            </w:tcBorders>
            <w:noWrap/>
            <w:vAlign w:val="bottom"/>
            <w:hideMark/>
          </w:tcPr>
          <w:p w14:paraId="1E90031C" w14:textId="77777777" w:rsidR="007A6A1A" w:rsidRPr="00663CBD" w:rsidRDefault="007A6A1A" w:rsidP="00663CBD">
            <w:pPr>
              <w:spacing w:after="0" w:line="240" w:lineRule="auto"/>
              <w:rPr>
                <w:b/>
                <w:bCs/>
                <w:sz w:val="20"/>
                <w:szCs w:val="20"/>
              </w:rPr>
            </w:pPr>
            <w:r w:rsidRPr="00663CBD">
              <w:rPr>
                <w:b/>
                <w:bCs/>
                <w:sz w:val="20"/>
                <w:szCs w:val="20"/>
              </w:rPr>
              <w:t>IA</w:t>
            </w:r>
          </w:p>
        </w:tc>
        <w:tc>
          <w:tcPr>
            <w:tcW w:w="1463" w:type="dxa"/>
            <w:tcBorders>
              <w:top w:val="nil"/>
              <w:left w:val="nil"/>
              <w:bottom w:val="single" w:sz="4" w:space="0" w:color="auto"/>
              <w:right w:val="nil"/>
            </w:tcBorders>
            <w:noWrap/>
            <w:vAlign w:val="bottom"/>
            <w:hideMark/>
          </w:tcPr>
          <w:p w14:paraId="15D41C92" w14:textId="77777777" w:rsidR="007A6A1A" w:rsidRPr="00663CBD" w:rsidRDefault="007A6A1A" w:rsidP="00663CBD">
            <w:pPr>
              <w:spacing w:after="0" w:line="240" w:lineRule="auto"/>
              <w:rPr>
                <w:b/>
                <w:bCs/>
                <w:sz w:val="20"/>
                <w:szCs w:val="20"/>
              </w:rPr>
            </w:pPr>
            <w:r w:rsidRPr="00663CBD">
              <w:rPr>
                <w:b/>
                <w:bCs/>
                <w:sz w:val="20"/>
                <w:szCs w:val="20"/>
              </w:rPr>
              <w:t>Combination</w:t>
            </w:r>
          </w:p>
        </w:tc>
        <w:tc>
          <w:tcPr>
            <w:tcW w:w="915" w:type="dxa"/>
            <w:tcBorders>
              <w:top w:val="nil"/>
              <w:left w:val="nil"/>
              <w:bottom w:val="single" w:sz="4" w:space="0" w:color="auto"/>
              <w:right w:val="single" w:sz="4" w:space="0" w:color="auto"/>
            </w:tcBorders>
            <w:noWrap/>
            <w:vAlign w:val="bottom"/>
            <w:hideMark/>
          </w:tcPr>
          <w:p w14:paraId="0558C6E3" w14:textId="77777777" w:rsidR="007A6A1A" w:rsidRPr="00663CBD" w:rsidRDefault="007A6A1A" w:rsidP="00663CBD">
            <w:pPr>
              <w:spacing w:after="0" w:line="240" w:lineRule="auto"/>
              <w:rPr>
                <w:b/>
                <w:bCs/>
                <w:sz w:val="20"/>
                <w:szCs w:val="20"/>
              </w:rPr>
            </w:pPr>
            <w:r w:rsidRPr="00663CBD">
              <w:rPr>
                <w:b/>
                <w:bCs/>
                <w:sz w:val="20"/>
                <w:szCs w:val="20"/>
              </w:rPr>
              <w:t>Award</w:t>
            </w:r>
          </w:p>
        </w:tc>
      </w:tr>
      <w:tr w:rsidR="007A6A1A" w:rsidRPr="00167CB8" w14:paraId="6060E243" w14:textId="77777777" w:rsidTr="00663CBD">
        <w:trPr>
          <w:trHeight w:val="397"/>
        </w:trPr>
        <w:tc>
          <w:tcPr>
            <w:tcW w:w="1248" w:type="dxa"/>
            <w:tcBorders>
              <w:top w:val="single" w:sz="4" w:space="0" w:color="auto"/>
              <w:left w:val="single" w:sz="4" w:space="0" w:color="auto"/>
              <w:bottom w:val="nil"/>
              <w:right w:val="single" w:sz="4" w:space="0" w:color="auto"/>
            </w:tcBorders>
            <w:noWrap/>
            <w:vAlign w:val="bottom"/>
          </w:tcPr>
          <w:p w14:paraId="62825138" w14:textId="77777777" w:rsidR="007A6A1A" w:rsidRPr="00663CBD" w:rsidRDefault="007A6A1A" w:rsidP="00663CBD">
            <w:pPr>
              <w:spacing w:after="0" w:line="240" w:lineRule="auto"/>
              <w:rPr>
                <w:sz w:val="20"/>
                <w:szCs w:val="20"/>
              </w:rPr>
            </w:pPr>
          </w:p>
        </w:tc>
        <w:tc>
          <w:tcPr>
            <w:tcW w:w="4238" w:type="dxa"/>
            <w:gridSpan w:val="4"/>
            <w:tcBorders>
              <w:top w:val="single" w:sz="4" w:space="0" w:color="auto"/>
              <w:left w:val="single" w:sz="4" w:space="0" w:color="auto"/>
              <w:bottom w:val="nil"/>
              <w:right w:val="single" w:sz="4" w:space="0" w:color="auto"/>
            </w:tcBorders>
            <w:noWrap/>
            <w:vAlign w:val="bottom"/>
            <w:hideMark/>
          </w:tcPr>
          <w:p w14:paraId="3C72BF6A" w14:textId="77777777" w:rsidR="007A6A1A" w:rsidRPr="00663CBD" w:rsidRDefault="007A6A1A" w:rsidP="00663CBD">
            <w:pPr>
              <w:spacing w:after="0" w:line="240" w:lineRule="auto"/>
              <w:rPr>
                <w:sz w:val="20"/>
                <w:szCs w:val="20"/>
              </w:rPr>
            </w:pPr>
            <w:r w:rsidRPr="00663CBD">
              <w:rPr>
                <w:sz w:val="20"/>
                <w:szCs w:val="20"/>
              </w:rPr>
              <w:t>%</w:t>
            </w:r>
          </w:p>
        </w:tc>
        <w:tc>
          <w:tcPr>
            <w:tcW w:w="4208" w:type="dxa"/>
            <w:gridSpan w:val="4"/>
            <w:tcBorders>
              <w:top w:val="single" w:sz="4" w:space="0" w:color="auto"/>
              <w:left w:val="single" w:sz="4" w:space="0" w:color="auto"/>
              <w:bottom w:val="nil"/>
              <w:right w:val="single" w:sz="4" w:space="0" w:color="auto"/>
            </w:tcBorders>
            <w:noWrap/>
            <w:vAlign w:val="bottom"/>
            <w:hideMark/>
          </w:tcPr>
          <w:p w14:paraId="192618D5" w14:textId="77777777" w:rsidR="007A6A1A" w:rsidRPr="00663CBD" w:rsidRDefault="007A6A1A" w:rsidP="00663CBD">
            <w:pPr>
              <w:spacing w:after="0" w:line="240" w:lineRule="auto"/>
              <w:rPr>
                <w:sz w:val="20"/>
                <w:szCs w:val="20"/>
              </w:rPr>
            </w:pPr>
            <w:r w:rsidRPr="00663CBD">
              <w:rPr>
                <w:sz w:val="20"/>
                <w:szCs w:val="20"/>
              </w:rPr>
              <w:t>%</w:t>
            </w:r>
          </w:p>
        </w:tc>
        <w:tc>
          <w:tcPr>
            <w:tcW w:w="4254" w:type="dxa"/>
            <w:gridSpan w:val="4"/>
            <w:tcBorders>
              <w:top w:val="single" w:sz="4" w:space="0" w:color="auto"/>
              <w:left w:val="single" w:sz="4" w:space="0" w:color="auto"/>
              <w:bottom w:val="nil"/>
              <w:right w:val="single" w:sz="4" w:space="0" w:color="auto"/>
            </w:tcBorders>
            <w:noWrap/>
            <w:vAlign w:val="bottom"/>
            <w:hideMark/>
          </w:tcPr>
          <w:p w14:paraId="65935641" w14:textId="77777777" w:rsidR="007A6A1A" w:rsidRPr="00663CBD" w:rsidRDefault="007A6A1A" w:rsidP="00663CBD">
            <w:pPr>
              <w:spacing w:after="0" w:line="240" w:lineRule="auto"/>
              <w:rPr>
                <w:sz w:val="20"/>
                <w:szCs w:val="20"/>
              </w:rPr>
            </w:pPr>
            <w:r w:rsidRPr="00663CBD">
              <w:rPr>
                <w:sz w:val="20"/>
                <w:szCs w:val="20"/>
              </w:rPr>
              <w:t>%</w:t>
            </w:r>
          </w:p>
        </w:tc>
      </w:tr>
      <w:tr w:rsidR="007A6A1A" w:rsidRPr="00167CB8" w14:paraId="2A37D06B" w14:textId="77777777" w:rsidTr="00663CBD">
        <w:trPr>
          <w:trHeight w:val="397"/>
        </w:trPr>
        <w:tc>
          <w:tcPr>
            <w:tcW w:w="1248" w:type="dxa"/>
            <w:tcBorders>
              <w:top w:val="single" w:sz="4" w:space="0" w:color="auto"/>
              <w:left w:val="single" w:sz="4" w:space="0" w:color="auto"/>
              <w:bottom w:val="nil"/>
              <w:right w:val="single" w:sz="4" w:space="0" w:color="auto"/>
            </w:tcBorders>
            <w:noWrap/>
            <w:vAlign w:val="bottom"/>
            <w:hideMark/>
          </w:tcPr>
          <w:p w14:paraId="7FD51EB2" w14:textId="1023BA6C" w:rsidR="007A6A1A" w:rsidRPr="00663CBD" w:rsidRDefault="007A6A1A" w:rsidP="00663CBD">
            <w:pPr>
              <w:spacing w:after="0" w:line="240" w:lineRule="auto"/>
              <w:rPr>
                <w:sz w:val="20"/>
                <w:szCs w:val="20"/>
              </w:rPr>
            </w:pPr>
            <w:r w:rsidRPr="00663CBD">
              <w:rPr>
                <w:sz w:val="20"/>
                <w:szCs w:val="20"/>
              </w:rPr>
              <w:t>2008</w:t>
            </w:r>
            <w:r w:rsidR="00C87E4A" w:rsidRPr="00663CBD">
              <w:rPr>
                <w:rFonts w:ascii="Symbol" w:eastAsia="Symbol" w:hAnsi="Symbol" w:cs="Symbol"/>
                <w:sz w:val="20"/>
                <w:szCs w:val="20"/>
              </w:rPr>
              <w:sym w:font="Symbol" w:char="F02D"/>
            </w:r>
            <w:r w:rsidRPr="00663CBD">
              <w:rPr>
                <w:sz w:val="20"/>
                <w:szCs w:val="20"/>
              </w:rPr>
              <w:t>9</w:t>
            </w:r>
          </w:p>
        </w:tc>
        <w:tc>
          <w:tcPr>
            <w:tcW w:w="943" w:type="dxa"/>
            <w:tcBorders>
              <w:top w:val="single" w:sz="4" w:space="0" w:color="auto"/>
              <w:left w:val="single" w:sz="4" w:space="0" w:color="auto"/>
              <w:bottom w:val="nil"/>
              <w:right w:val="nil"/>
            </w:tcBorders>
            <w:noWrap/>
            <w:vAlign w:val="bottom"/>
            <w:hideMark/>
          </w:tcPr>
          <w:p w14:paraId="2E078442" w14:textId="77777777" w:rsidR="007A6A1A" w:rsidRPr="00663CBD" w:rsidRDefault="007A6A1A" w:rsidP="00663CBD">
            <w:pPr>
              <w:spacing w:after="0" w:line="240" w:lineRule="auto"/>
              <w:rPr>
                <w:sz w:val="20"/>
                <w:szCs w:val="20"/>
              </w:rPr>
            </w:pPr>
            <w:r w:rsidRPr="00663CBD">
              <w:rPr>
                <w:sz w:val="20"/>
                <w:szCs w:val="20"/>
              </w:rPr>
              <w:t>26.8</w:t>
            </w:r>
          </w:p>
        </w:tc>
        <w:tc>
          <w:tcPr>
            <w:tcW w:w="916" w:type="dxa"/>
            <w:tcBorders>
              <w:top w:val="single" w:sz="4" w:space="0" w:color="auto"/>
              <w:left w:val="nil"/>
              <w:bottom w:val="nil"/>
              <w:right w:val="nil"/>
            </w:tcBorders>
            <w:noWrap/>
            <w:vAlign w:val="bottom"/>
            <w:hideMark/>
          </w:tcPr>
          <w:p w14:paraId="71699989" w14:textId="77777777" w:rsidR="007A6A1A" w:rsidRPr="00663CBD" w:rsidRDefault="007A6A1A" w:rsidP="00663CBD">
            <w:pPr>
              <w:spacing w:after="0" w:line="240" w:lineRule="auto"/>
              <w:rPr>
                <w:sz w:val="20"/>
                <w:szCs w:val="20"/>
              </w:rPr>
            </w:pPr>
            <w:r w:rsidRPr="00663CBD">
              <w:rPr>
                <w:sz w:val="20"/>
                <w:szCs w:val="20"/>
              </w:rPr>
              <w:t>34.3</w:t>
            </w:r>
          </w:p>
        </w:tc>
        <w:tc>
          <w:tcPr>
            <w:tcW w:w="1464" w:type="dxa"/>
            <w:tcBorders>
              <w:top w:val="single" w:sz="4" w:space="0" w:color="auto"/>
              <w:left w:val="nil"/>
              <w:bottom w:val="nil"/>
              <w:right w:val="nil"/>
            </w:tcBorders>
            <w:noWrap/>
            <w:vAlign w:val="bottom"/>
            <w:hideMark/>
          </w:tcPr>
          <w:p w14:paraId="7B341A7F" w14:textId="77777777" w:rsidR="007A6A1A" w:rsidRPr="00663CBD" w:rsidRDefault="007A6A1A" w:rsidP="00663CBD">
            <w:pPr>
              <w:spacing w:after="0" w:line="240" w:lineRule="auto"/>
              <w:rPr>
                <w:sz w:val="20"/>
                <w:szCs w:val="20"/>
              </w:rPr>
            </w:pPr>
            <w:r w:rsidRPr="00663CBD">
              <w:rPr>
                <w:sz w:val="20"/>
                <w:szCs w:val="20"/>
              </w:rPr>
              <w:t>5.4</w:t>
            </w:r>
          </w:p>
        </w:tc>
        <w:tc>
          <w:tcPr>
            <w:tcW w:w="915" w:type="dxa"/>
            <w:tcBorders>
              <w:top w:val="single" w:sz="4" w:space="0" w:color="auto"/>
              <w:left w:val="nil"/>
              <w:bottom w:val="nil"/>
              <w:right w:val="single" w:sz="4" w:space="0" w:color="auto"/>
            </w:tcBorders>
            <w:noWrap/>
            <w:vAlign w:val="bottom"/>
            <w:hideMark/>
          </w:tcPr>
          <w:p w14:paraId="18E9728D" w14:textId="77777777" w:rsidR="007A6A1A" w:rsidRPr="00663CBD" w:rsidRDefault="007A6A1A" w:rsidP="00663CBD">
            <w:pPr>
              <w:spacing w:after="0" w:line="240" w:lineRule="auto"/>
              <w:rPr>
                <w:sz w:val="20"/>
                <w:szCs w:val="20"/>
              </w:rPr>
            </w:pPr>
            <w:r w:rsidRPr="00663CBD">
              <w:rPr>
                <w:sz w:val="20"/>
                <w:szCs w:val="20"/>
              </w:rPr>
              <w:t>33.5</w:t>
            </w:r>
          </w:p>
        </w:tc>
        <w:tc>
          <w:tcPr>
            <w:tcW w:w="915" w:type="dxa"/>
            <w:tcBorders>
              <w:top w:val="single" w:sz="4" w:space="0" w:color="auto"/>
              <w:left w:val="single" w:sz="4" w:space="0" w:color="auto"/>
              <w:bottom w:val="nil"/>
              <w:right w:val="nil"/>
            </w:tcBorders>
            <w:noWrap/>
            <w:vAlign w:val="bottom"/>
            <w:hideMark/>
          </w:tcPr>
          <w:p w14:paraId="4EDC3ACD" w14:textId="77777777" w:rsidR="007A6A1A" w:rsidRPr="00663CBD" w:rsidRDefault="007A6A1A" w:rsidP="00663CBD">
            <w:pPr>
              <w:spacing w:after="0" w:line="240" w:lineRule="auto"/>
              <w:rPr>
                <w:sz w:val="20"/>
                <w:szCs w:val="20"/>
              </w:rPr>
            </w:pPr>
            <w:r w:rsidRPr="00663CBD">
              <w:rPr>
                <w:sz w:val="20"/>
                <w:szCs w:val="20"/>
              </w:rPr>
              <w:t>27.9</w:t>
            </w:r>
          </w:p>
        </w:tc>
        <w:tc>
          <w:tcPr>
            <w:tcW w:w="915" w:type="dxa"/>
            <w:tcBorders>
              <w:top w:val="single" w:sz="4" w:space="0" w:color="auto"/>
              <w:left w:val="nil"/>
              <w:bottom w:val="nil"/>
              <w:right w:val="nil"/>
            </w:tcBorders>
            <w:noWrap/>
            <w:vAlign w:val="bottom"/>
            <w:hideMark/>
          </w:tcPr>
          <w:p w14:paraId="71C8B16C" w14:textId="77777777" w:rsidR="007A6A1A" w:rsidRPr="00663CBD" w:rsidRDefault="007A6A1A" w:rsidP="00663CBD">
            <w:pPr>
              <w:spacing w:after="0" w:line="240" w:lineRule="auto"/>
              <w:rPr>
                <w:sz w:val="20"/>
                <w:szCs w:val="20"/>
              </w:rPr>
            </w:pPr>
            <w:r w:rsidRPr="00663CBD">
              <w:rPr>
                <w:sz w:val="20"/>
                <w:szCs w:val="20"/>
              </w:rPr>
              <w:t>39.7</w:t>
            </w:r>
          </w:p>
        </w:tc>
        <w:tc>
          <w:tcPr>
            <w:tcW w:w="1463" w:type="dxa"/>
            <w:tcBorders>
              <w:top w:val="single" w:sz="4" w:space="0" w:color="auto"/>
              <w:left w:val="nil"/>
              <w:bottom w:val="nil"/>
              <w:right w:val="nil"/>
            </w:tcBorders>
            <w:noWrap/>
            <w:vAlign w:val="bottom"/>
            <w:hideMark/>
          </w:tcPr>
          <w:p w14:paraId="3B4B6C1A" w14:textId="77777777" w:rsidR="007A6A1A" w:rsidRPr="00663CBD" w:rsidRDefault="007A6A1A" w:rsidP="00663CBD">
            <w:pPr>
              <w:spacing w:after="0" w:line="240" w:lineRule="auto"/>
              <w:rPr>
                <w:sz w:val="20"/>
                <w:szCs w:val="20"/>
              </w:rPr>
            </w:pPr>
            <w:r w:rsidRPr="00663CBD">
              <w:rPr>
                <w:sz w:val="20"/>
                <w:szCs w:val="20"/>
              </w:rPr>
              <w:t>6.1</w:t>
            </w:r>
          </w:p>
        </w:tc>
        <w:tc>
          <w:tcPr>
            <w:tcW w:w="915" w:type="dxa"/>
            <w:tcBorders>
              <w:top w:val="single" w:sz="4" w:space="0" w:color="auto"/>
              <w:left w:val="nil"/>
              <w:bottom w:val="nil"/>
              <w:right w:val="single" w:sz="4" w:space="0" w:color="auto"/>
            </w:tcBorders>
            <w:noWrap/>
            <w:vAlign w:val="bottom"/>
            <w:hideMark/>
          </w:tcPr>
          <w:p w14:paraId="577F02A0" w14:textId="77777777" w:rsidR="007A6A1A" w:rsidRPr="00663CBD" w:rsidRDefault="007A6A1A" w:rsidP="00663CBD">
            <w:pPr>
              <w:spacing w:after="0" w:line="240" w:lineRule="auto"/>
              <w:rPr>
                <w:sz w:val="20"/>
                <w:szCs w:val="20"/>
              </w:rPr>
            </w:pPr>
            <w:r w:rsidRPr="00663CBD">
              <w:rPr>
                <w:sz w:val="20"/>
                <w:szCs w:val="20"/>
              </w:rPr>
              <w:t>26.2</w:t>
            </w:r>
          </w:p>
        </w:tc>
        <w:tc>
          <w:tcPr>
            <w:tcW w:w="961" w:type="dxa"/>
            <w:tcBorders>
              <w:top w:val="single" w:sz="4" w:space="0" w:color="auto"/>
              <w:left w:val="single" w:sz="4" w:space="0" w:color="auto"/>
              <w:bottom w:val="nil"/>
              <w:right w:val="nil"/>
            </w:tcBorders>
            <w:noWrap/>
            <w:vAlign w:val="bottom"/>
            <w:hideMark/>
          </w:tcPr>
          <w:p w14:paraId="3E94A485" w14:textId="77777777" w:rsidR="007A6A1A" w:rsidRPr="00663CBD" w:rsidRDefault="007A6A1A" w:rsidP="00663CBD">
            <w:pPr>
              <w:spacing w:after="0" w:line="240" w:lineRule="auto"/>
              <w:rPr>
                <w:sz w:val="20"/>
                <w:szCs w:val="20"/>
              </w:rPr>
            </w:pPr>
            <w:r w:rsidRPr="00663CBD">
              <w:rPr>
                <w:sz w:val="20"/>
                <w:szCs w:val="20"/>
              </w:rPr>
              <w:t>26.0</w:t>
            </w:r>
          </w:p>
        </w:tc>
        <w:tc>
          <w:tcPr>
            <w:tcW w:w="915" w:type="dxa"/>
            <w:tcBorders>
              <w:top w:val="single" w:sz="4" w:space="0" w:color="auto"/>
              <w:left w:val="nil"/>
              <w:bottom w:val="nil"/>
              <w:right w:val="nil"/>
            </w:tcBorders>
            <w:noWrap/>
            <w:vAlign w:val="bottom"/>
            <w:hideMark/>
          </w:tcPr>
          <w:p w14:paraId="67784779" w14:textId="77777777" w:rsidR="007A6A1A" w:rsidRPr="00663CBD" w:rsidRDefault="007A6A1A" w:rsidP="00663CBD">
            <w:pPr>
              <w:spacing w:after="0" w:line="240" w:lineRule="auto"/>
              <w:rPr>
                <w:sz w:val="20"/>
                <w:szCs w:val="20"/>
              </w:rPr>
            </w:pPr>
            <w:r w:rsidRPr="00663CBD">
              <w:rPr>
                <w:sz w:val="20"/>
                <w:szCs w:val="20"/>
              </w:rPr>
              <w:t>30.2</w:t>
            </w:r>
          </w:p>
        </w:tc>
        <w:tc>
          <w:tcPr>
            <w:tcW w:w="1463" w:type="dxa"/>
            <w:tcBorders>
              <w:top w:val="single" w:sz="4" w:space="0" w:color="auto"/>
              <w:left w:val="nil"/>
              <w:bottom w:val="nil"/>
              <w:right w:val="nil"/>
            </w:tcBorders>
            <w:noWrap/>
            <w:vAlign w:val="bottom"/>
            <w:hideMark/>
          </w:tcPr>
          <w:p w14:paraId="0C5ADFE7" w14:textId="77777777" w:rsidR="007A6A1A" w:rsidRPr="00663CBD" w:rsidRDefault="007A6A1A" w:rsidP="00663CBD">
            <w:pPr>
              <w:spacing w:after="0" w:line="240" w:lineRule="auto"/>
              <w:rPr>
                <w:sz w:val="20"/>
                <w:szCs w:val="20"/>
              </w:rPr>
            </w:pPr>
            <w:r w:rsidRPr="00663CBD">
              <w:rPr>
                <w:sz w:val="20"/>
                <w:szCs w:val="20"/>
              </w:rPr>
              <w:t>4.9</w:t>
            </w:r>
          </w:p>
        </w:tc>
        <w:tc>
          <w:tcPr>
            <w:tcW w:w="915" w:type="dxa"/>
            <w:tcBorders>
              <w:top w:val="single" w:sz="4" w:space="0" w:color="auto"/>
              <w:left w:val="nil"/>
              <w:bottom w:val="nil"/>
              <w:right w:val="single" w:sz="4" w:space="0" w:color="auto"/>
            </w:tcBorders>
            <w:noWrap/>
            <w:vAlign w:val="bottom"/>
            <w:hideMark/>
          </w:tcPr>
          <w:p w14:paraId="154C4676" w14:textId="77777777" w:rsidR="007A6A1A" w:rsidRPr="00663CBD" w:rsidRDefault="007A6A1A" w:rsidP="00663CBD">
            <w:pPr>
              <w:spacing w:after="0" w:line="240" w:lineRule="auto"/>
              <w:rPr>
                <w:sz w:val="20"/>
                <w:szCs w:val="20"/>
              </w:rPr>
            </w:pPr>
            <w:r w:rsidRPr="00663CBD">
              <w:rPr>
                <w:sz w:val="20"/>
                <w:szCs w:val="20"/>
              </w:rPr>
              <w:t>39.0</w:t>
            </w:r>
          </w:p>
        </w:tc>
      </w:tr>
      <w:tr w:rsidR="007A6A1A" w:rsidRPr="00167CB8" w14:paraId="4D8CDB19"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3A437183" w14:textId="45B38A4A" w:rsidR="007A6A1A" w:rsidRPr="00663CBD" w:rsidRDefault="007A6A1A" w:rsidP="00663CBD">
            <w:pPr>
              <w:spacing w:after="0" w:line="240" w:lineRule="auto"/>
              <w:rPr>
                <w:sz w:val="20"/>
                <w:szCs w:val="20"/>
              </w:rPr>
            </w:pPr>
            <w:r w:rsidRPr="00663CBD">
              <w:rPr>
                <w:sz w:val="20"/>
                <w:szCs w:val="20"/>
              </w:rPr>
              <w:t>2009</w:t>
            </w:r>
            <w:r w:rsidR="00C87E4A" w:rsidRPr="00663CBD">
              <w:rPr>
                <w:rFonts w:ascii="Symbol" w:eastAsia="Symbol" w:hAnsi="Symbol" w:cs="Symbol"/>
                <w:sz w:val="20"/>
                <w:szCs w:val="20"/>
              </w:rPr>
              <w:sym w:font="Symbol" w:char="F02D"/>
            </w:r>
            <w:r w:rsidRPr="00663CBD">
              <w:rPr>
                <w:sz w:val="20"/>
                <w:szCs w:val="20"/>
              </w:rPr>
              <w:t>10</w:t>
            </w:r>
          </w:p>
        </w:tc>
        <w:tc>
          <w:tcPr>
            <w:tcW w:w="943" w:type="dxa"/>
            <w:tcBorders>
              <w:top w:val="nil"/>
              <w:left w:val="single" w:sz="4" w:space="0" w:color="auto"/>
              <w:bottom w:val="nil"/>
              <w:right w:val="nil"/>
            </w:tcBorders>
            <w:noWrap/>
            <w:vAlign w:val="bottom"/>
            <w:hideMark/>
          </w:tcPr>
          <w:p w14:paraId="486683DC" w14:textId="77777777" w:rsidR="007A6A1A" w:rsidRPr="00663CBD" w:rsidRDefault="007A6A1A" w:rsidP="00663CBD">
            <w:pPr>
              <w:spacing w:after="0" w:line="240" w:lineRule="auto"/>
              <w:rPr>
                <w:sz w:val="20"/>
                <w:szCs w:val="20"/>
              </w:rPr>
            </w:pPr>
            <w:r w:rsidRPr="00663CBD">
              <w:rPr>
                <w:sz w:val="20"/>
                <w:szCs w:val="20"/>
              </w:rPr>
              <w:t>27.8</w:t>
            </w:r>
          </w:p>
        </w:tc>
        <w:tc>
          <w:tcPr>
            <w:tcW w:w="916" w:type="dxa"/>
            <w:tcBorders>
              <w:top w:val="nil"/>
              <w:left w:val="nil"/>
              <w:bottom w:val="nil"/>
              <w:right w:val="nil"/>
            </w:tcBorders>
            <w:noWrap/>
            <w:vAlign w:val="bottom"/>
            <w:hideMark/>
          </w:tcPr>
          <w:p w14:paraId="1FDD5D86" w14:textId="77777777" w:rsidR="007A6A1A" w:rsidRPr="00663CBD" w:rsidRDefault="007A6A1A" w:rsidP="00663CBD">
            <w:pPr>
              <w:spacing w:after="0" w:line="240" w:lineRule="auto"/>
              <w:rPr>
                <w:sz w:val="20"/>
                <w:szCs w:val="20"/>
              </w:rPr>
            </w:pPr>
            <w:r w:rsidRPr="00663CBD">
              <w:rPr>
                <w:sz w:val="20"/>
                <w:szCs w:val="20"/>
              </w:rPr>
              <w:t>34.8</w:t>
            </w:r>
          </w:p>
        </w:tc>
        <w:tc>
          <w:tcPr>
            <w:tcW w:w="1464" w:type="dxa"/>
            <w:tcBorders>
              <w:top w:val="nil"/>
              <w:left w:val="nil"/>
              <w:bottom w:val="nil"/>
              <w:right w:val="nil"/>
            </w:tcBorders>
            <w:noWrap/>
            <w:vAlign w:val="bottom"/>
            <w:hideMark/>
          </w:tcPr>
          <w:p w14:paraId="0A59A5EA" w14:textId="77777777" w:rsidR="007A6A1A" w:rsidRPr="00663CBD" w:rsidRDefault="007A6A1A" w:rsidP="00663CBD">
            <w:pPr>
              <w:spacing w:after="0" w:line="240" w:lineRule="auto"/>
              <w:rPr>
                <w:sz w:val="20"/>
                <w:szCs w:val="20"/>
              </w:rPr>
            </w:pPr>
            <w:r w:rsidRPr="00663CBD">
              <w:rPr>
                <w:sz w:val="20"/>
                <w:szCs w:val="20"/>
              </w:rPr>
              <w:t>4.3</w:t>
            </w:r>
          </w:p>
        </w:tc>
        <w:tc>
          <w:tcPr>
            <w:tcW w:w="915" w:type="dxa"/>
            <w:tcBorders>
              <w:top w:val="nil"/>
              <w:left w:val="nil"/>
              <w:bottom w:val="nil"/>
              <w:right w:val="single" w:sz="4" w:space="0" w:color="auto"/>
            </w:tcBorders>
            <w:noWrap/>
            <w:vAlign w:val="bottom"/>
            <w:hideMark/>
          </w:tcPr>
          <w:p w14:paraId="2C3EB962" w14:textId="77777777" w:rsidR="007A6A1A" w:rsidRPr="00663CBD" w:rsidRDefault="007A6A1A" w:rsidP="00663CBD">
            <w:pPr>
              <w:spacing w:after="0" w:line="240" w:lineRule="auto"/>
              <w:rPr>
                <w:sz w:val="20"/>
                <w:szCs w:val="20"/>
              </w:rPr>
            </w:pPr>
            <w:r w:rsidRPr="00663CBD">
              <w:rPr>
                <w:sz w:val="20"/>
                <w:szCs w:val="20"/>
              </w:rPr>
              <w:t>33.1</w:t>
            </w:r>
          </w:p>
        </w:tc>
        <w:tc>
          <w:tcPr>
            <w:tcW w:w="915" w:type="dxa"/>
            <w:tcBorders>
              <w:top w:val="nil"/>
              <w:left w:val="single" w:sz="4" w:space="0" w:color="auto"/>
              <w:bottom w:val="nil"/>
              <w:right w:val="nil"/>
            </w:tcBorders>
            <w:noWrap/>
            <w:vAlign w:val="bottom"/>
            <w:hideMark/>
          </w:tcPr>
          <w:p w14:paraId="7D5AA0FE" w14:textId="77777777" w:rsidR="007A6A1A" w:rsidRPr="00663CBD" w:rsidRDefault="007A6A1A" w:rsidP="00663CBD">
            <w:pPr>
              <w:spacing w:after="0" w:line="240" w:lineRule="auto"/>
              <w:rPr>
                <w:sz w:val="20"/>
                <w:szCs w:val="20"/>
              </w:rPr>
            </w:pPr>
            <w:r w:rsidRPr="00663CBD">
              <w:rPr>
                <w:sz w:val="20"/>
                <w:szCs w:val="20"/>
              </w:rPr>
              <w:t>30.0</w:t>
            </w:r>
          </w:p>
        </w:tc>
        <w:tc>
          <w:tcPr>
            <w:tcW w:w="915" w:type="dxa"/>
            <w:tcBorders>
              <w:top w:val="nil"/>
              <w:left w:val="nil"/>
              <w:bottom w:val="nil"/>
              <w:right w:val="nil"/>
            </w:tcBorders>
            <w:noWrap/>
            <w:vAlign w:val="bottom"/>
            <w:hideMark/>
          </w:tcPr>
          <w:p w14:paraId="18DF198D" w14:textId="77777777" w:rsidR="007A6A1A" w:rsidRPr="00663CBD" w:rsidRDefault="007A6A1A" w:rsidP="00663CBD">
            <w:pPr>
              <w:spacing w:after="0" w:line="240" w:lineRule="auto"/>
              <w:rPr>
                <w:sz w:val="20"/>
                <w:szCs w:val="20"/>
              </w:rPr>
            </w:pPr>
            <w:r w:rsidRPr="00663CBD">
              <w:rPr>
                <w:sz w:val="20"/>
                <w:szCs w:val="20"/>
              </w:rPr>
              <w:t>38.7</w:t>
            </w:r>
          </w:p>
        </w:tc>
        <w:tc>
          <w:tcPr>
            <w:tcW w:w="1463" w:type="dxa"/>
            <w:tcBorders>
              <w:top w:val="nil"/>
              <w:left w:val="nil"/>
              <w:bottom w:val="nil"/>
              <w:right w:val="nil"/>
            </w:tcBorders>
            <w:noWrap/>
            <w:vAlign w:val="bottom"/>
            <w:hideMark/>
          </w:tcPr>
          <w:p w14:paraId="41E3F1A4" w14:textId="77777777" w:rsidR="007A6A1A" w:rsidRPr="00663CBD" w:rsidRDefault="007A6A1A" w:rsidP="00663CBD">
            <w:pPr>
              <w:spacing w:after="0" w:line="240" w:lineRule="auto"/>
              <w:rPr>
                <w:sz w:val="20"/>
                <w:szCs w:val="20"/>
              </w:rPr>
            </w:pPr>
            <w:r w:rsidRPr="00663CBD">
              <w:rPr>
                <w:sz w:val="20"/>
                <w:szCs w:val="20"/>
              </w:rPr>
              <w:t>5.0</w:t>
            </w:r>
          </w:p>
        </w:tc>
        <w:tc>
          <w:tcPr>
            <w:tcW w:w="915" w:type="dxa"/>
            <w:tcBorders>
              <w:top w:val="nil"/>
              <w:left w:val="nil"/>
              <w:bottom w:val="nil"/>
              <w:right w:val="single" w:sz="4" w:space="0" w:color="auto"/>
            </w:tcBorders>
            <w:noWrap/>
            <w:vAlign w:val="bottom"/>
            <w:hideMark/>
          </w:tcPr>
          <w:p w14:paraId="60B9FBFD" w14:textId="77777777" w:rsidR="007A6A1A" w:rsidRPr="00663CBD" w:rsidRDefault="007A6A1A" w:rsidP="00663CBD">
            <w:pPr>
              <w:spacing w:after="0" w:line="240" w:lineRule="auto"/>
              <w:rPr>
                <w:sz w:val="20"/>
                <w:szCs w:val="20"/>
              </w:rPr>
            </w:pPr>
            <w:r w:rsidRPr="00663CBD">
              <w:rPr>
                <w:sz w:val="20"/>
                <w:szCs w:val="20"/>
              </w:rPr>
              <w:t>26.3</w:t>
            </w:r>
          </w:p>
        </w:tc>
        <w:tc>
          <w:tcPr>
            <w:tcW w:w="961" w:type="dxa"/>
            <w:tcBorders>
              <w:top w:val="nil"/>
              <w:left w:val="single" w:sz="4" w:space="0" w:color="auto"/>
              <w:bottom w:val="nil"/>
              <w:right w:val="nil"/>
            </w:tcBorders>
            <w:noWrap/>
            <w:vAlign w:val="bottom"/>
            <w:hideMark/>
          </w:tcPr>
          <w:p w14:paraId="5A0509D3" w14:textId="77777777" w:rsidR="007A6A1A" w:rsidRPr="00663CBD" w:rsidRDefault="007A6A1A" w:rsidP="00663CBD">
            <w:pPr>
              <w:spacing w:after="0" w:line="240" w:lineRule="auto"/>
              <w:rPr>
                <w:sz w:val="20"/>
                <w:szCs w:val="20"/>
              </w:rPr>
            </w:pPr>
            <w:r w:rsidRPr="00663CBD">
              <w:rPr>
                <w:sz w:val="20"/>
                <w:szCs w:val="20"/>
              </w:rPr>
              <w:t>26.2</w:t>
            </w:r>
          </w:p>
        </w:tc>
        <w:tc>
          <w:tcPr>
            <w:tcW w:w="915" w:type="dxa"/>
            <w:tcBorders>
              <w:top w:val="nil"/>
              <w:left w:val="nil"/>
              <w:bottom w:val="nil"/>
              <w:right w:val="nil"/>
            </w:tcBorders>
            <w:noWrap/>
            <w:vAlign w:val="bottom"/>
            <w:hideMark/>
          </w:tcPr>
          <w:p w14:paraId="0E56D998" w14:textId="77777777" w:rsidR="007A6A1A" w:rsidRPr="00663CBD" w:rsidRDefault="007A6A1A" w:rsidP="00663CBD">
            <w:pPr>
              <w:spacing w:after="0" w:line="240" w:lineRule="auto"/>
              <w:rPr>
                <w:sz w:val="20"/>
                <w:szCs w:val="20"/>
              </w:rPr>
            </w:pPr>
            <w:r w:rsidRPr="00663CBD">
              <w:rPr>
                <w:sz w:val="20"/>
                <w:szCs w:val="20"/>
              </w:rPr>
              <w:t>32.0</w:t>
            </w:r>
          </w:p>
        </w:tc>
        <w:tc>
          <w:tcPr>
            <w:tcW w:w="1463" w:type="dxa"/>
            <w:tcBorders>
              <w:top w:val="nil"/>
              <w:left w:val="nil"/>
              <w:bottom w:val="nil"/>
              <w:right w:val="nil"/>
            </w:tcBorders>
            <w:noWrap/>
            <w:vAlign w:val="bottom"/>
            <w:hideMark/>
          </w:tcPr>
          <w:p w14:paraId="34E64BF3" w14:textId="77777777" w:rsidR="007A6A1A" w:rsidRPr="00663CBD" w:rsidRDefault="007A6A1A" w:rsidP="00663CBD">
            <w:pPr>
              <w:spacing w:after="0" w:line="240" w:lineRule="auto"/>
              <w:rPr>
                <w:sz w:val="20"/>
                <w:szCs w:val="20"/>
              </w:rPr>
            </w:pPr>
            <w:r w:rsidRPr="00663CBD">
              <w:rPr>
                <w:sz w:val="20"/>
                <w:szCs w:val="20"/>
              </w:rPr>
              <w:t>3.7</w:t>
            </w:r>
          </w:p>
        </w:tc>
        <w:tc>
          <w:tcPr>
            <w:tcW w:w="915" w:type="dxa"/>
            <w:tcBorders>
              <w:top w:val="nil"/>
              <w:left w:val="nil"/>
              <w:bottom w:val="nil"/>
              <w:right w:val="single" w:sz="4" w:space="0" w:color="auto"/>
            </w:tcBorders>
            <w:noWrap/>
            <w:vAlign w:val="bottom"/>
            <w:hideMark/>
          </w:tcPr>
          <w:p w14:paraId="01FC77CE" w14:textId="77777777" w:rsidR="007A6A1A" w:rsidRPr="00663CBD" w:rsidRDefault="007A6A1A" w:rsidP="00663CBD">
            <w:pPr>
              <w:spacing w:after="0" w:line="240" w:lineRule="auto"/>
              <w:rPr>
                <w:sz w:val="20"/>
                <w:szCs w:val="20"/>
              </w:rPr>
            </w:pPr>
            <w:r w:rsidRPr="00663CBD">
              <w:rPr>
                <w:sz w:val="20"/>
                <w:szCs w:val="20"/>
              </w:rPr>
              <w:t>38.2</w:t>
            </w:r>
          </w:p>
        </w:tc>
      </w:tr>
      <w:tr w:rsidR="007A6A1A" w:rsidRPr="00167CB8" w14:paraId="7BC79F8B"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2FBE2FF1" w14:textId="13CD168C" w:rsidR="007A6A1A" w:rsidRPr="00663CBD" w:rsidRDefault="007A6A1A" w:rsidP="00663CBD">
            <w:pPr>
              <w:spacing w:after="0" w:line="240" w:lineRule="auto"/>
              <w:rPr>
                <w:sz w:val="20"/>
                <w:szCs w:val="20"/>
              </w:rPr>
            </w:pPr>
            <w:r w:rsidRPr="00663CBD">
              <w:rPr>
                <w:sz w:val="20"/>
                <w:szCs w:val="20"/>
              </w:rPr>
              <w:t>2010</w:t>
            </w:r>
            <w:r w:rsidR="00C87E4A" w:rsidRPr="00663CBD">
              <w:rPr>
                <w:rFonts w:ascii="Symbol" w:eastAsia="Symbol" w:hAnsi="Symbol" w:cs="Symbol"/>
                <w:sz w:val="20"/>
                <w:szCs w:val="20"/>
              </w:rPr>
              <w:sym w:font="Symbol" w:char="F02D"/>
            </w:r>
            <w:r w:rsidRPr="00663CBD">
              <w:rPr>
                <w:sz w:val="20"/>
                <w:szCs w:val="20"/>
              </w:rPr>
              <w:t>11</w:t>
            </w:r>
          </w:p>
        </w:tc>
        <w:tc>
          <w:tcPr>
            <w:tcW w:w="943" w:type="dxa"/>
            <w:tcBorders>
              <w:top w:val="nil"/>
              <w:left w:val="single" w:sz="4" w:space="0" w:color="auto"/>
              <w:bottom w:val="nil"/>
              <w:right w:val="nil"/>
            </w:tcBorders>
            <w:noWrap/>
            <w:vAlign w:val="bottom"/>
            <w:hideMark/>
          </w:tcPr>
          <w:p w14:paraId="2E420393" w14:textId="77777777" w:rsidR="007A6A1A" w:rsidRPr="00663CBD" w:rsidRDefault="007A6A1A" w:rsidP="00663CBD">
            <w:pPr>
              <w:spacing w:after="0" w:line="240" w:lineRule="auto"/>
              <w:rPr>
                <w:sz w:val="20"/>
                <w:szCs w:val="20"/>
              </w:rPr>
            </w:pPr>
            <w:r w:rsidRPr="00663CBD">
              <w:rPr>
                <w:sz w:val="20"/>
                <w:szCs w:val="20"/>
              </w:rPr>
              <w:t>27.6</w:t>
            </w:r>
          </w:p>
        </w:tc>
        <w:tc>
          <w:tcPr>
            <w:tcW w:w="916" w:type="dxa"/>
            <w:tcBorders>
              <w:top w:val="nil"/>
              <w:left w:val="nil"/>
              <w:bottom w:val="nil"/>
              <w:right w:val="nil"/>
            </w:tcBorders>
            <w:noWrap/>
            <w:vAlign w:val="bottom"/>
            <w:hideMark/>
          </w:tcPr>
          <w:p w14:paraId="358FDBC5" w14:textId="77777777" w:rsidR="007A6A1A" w:rsidRPr="00663CBD" w:rsidRDefault="007A6A1A" w:rsidP="00663CBD">
            <w:pPr>
              <w:spacing w:after="0" w:line="240" w:lineRule="auto"/>
              <w:rPr>
                <w:sz w:val="20"/>
                <w:szCs w:val="20"/>
              </w:rPr>
            </w:pPr>
            <w:r w:rsidRPr="00663CBD">
              <w:rPr>
                <w:sz w:val="20"/>
                <w:szCs w:val="20"/>
              </w:rPr>
              <w:t>34.8</w:t>
            </w:r>
          </w:p>
        </w:tc>
        <w:tc>
          <w:tcPr>
            <w:tcW w:w="1464" w:type="dxa"/>
            <w:tcBorders>
              <w:top w:val="nil"/>
              <w:left w:val="nil"/>
              <w:bottom w:val="nil"/>
              <w:right w:val="nil"/>
            </w:tcBorders>
            <w:noWrap/>
            <w:vAlign w:val="bottom"/>
            <w:hideMark/>
          </w:tcPr>
          <w:p w14:paraId="6AEEE556" w14:textId="77777777" w:rsidR="007A6A1A" w:rsidRPr="00663CBD" w:rsidRDefault="007A6A1A" w:rsidP="00663CBD">
            <w:pPr>
              <w:spacing w:after="0" w:line="240" w:lineRule="auto"/>
              <w:rPr>
                <w:sz w:val="20"/>
                <w:szCs w:val="20"/>
              </w:rPr>
            </w:pPr>
            <w:r w:rsidRPr="00663CBD">
              <w:rPr>
                <w:sz w:val="20"/>
                <w:szCs w:val="20"/>
              </w:rPr>
              <w:t>3.4</w:t>
            </w:r>
          </w:p>
        </w:tc>
        <w:tc>
          <w:tcPr>
            <w:tcW w:w="915" w:type="dxa"/>
            <w:tcBorders>
              <w:top w:val="nil"/>
              <w:left w:val="nil"/>
              <w:bottom w:val="nil"/>
              <w:right w:val="single" w:sz="4" w:space="0" w:color="auto"/>
            </w:tcBorders>
            <w:noWrap/>
            <w:vAlign w:val="bottom"/>
            <w:hideMark/>
          </w:tcPr>
          <w:p w14:paraId="69E10D19" w14:textId="77777777" w:rsidR="007A6A1A" w:rsidRPr="00663CBD" w:rsidRDefault="007A6A1A" w:rsidP="00663CBD">
            <w:pPr>
              <w:spacing w:after="0" w:line="240" w:lineRule="auto"/>
              <w:rPr>
                <w:sz w:val="20"/>
                <w:szCs w:val="20"/>
              </w:rPr>
            </w:pPr>
            <w:r w:rsidRPr="00663CBD">
              <w:rPr>
                <w:sz w:val="20"/>
                <w:szCs w:val="20"/>
              </w:rPr>
              <w:t>34.3</w:t>
            </w:r>
          </w:p>
        </w:tc>
        <w:tc>
          <w:tcPr>
            <w:tcW w:w="915" w:type="dxa"/>
            <w:tcBorders>
              <w:top w:val="nil"/>
              <w:left w:val="single" w:sz="4" w:space="0" w:color="auto"/>
              <w:bottom w:val="nil"/>
              <w:right w:val="nil"/>
            </w:tcBorders>
            <w:noWrap/>
            <w:vAlign w:val="bottom"/>
            <w:hideMark/>
          </w:tcPr>
          <w:p w14:paraId="79C077D5" w14:textId="77777777" w:rsidR="007A6A1A" w:rsidRPr="00663CBD" w:rsidRDefault="007A6A1A" w:rsidP="00663CBD">
            <w:pPr>
              <w:spacing w:after="0" w:line="240" w:lineRule="auto"/>
              <w:rPr>
                <w:sz w:val="20"/>
                <w:szCs w:val="20"/>
              </w:rPr>
            </w:pPr>
            <w:r w:rsidRPr="00663CBD">
              <w:rPr>
                <w:sz w:val="20"/>
                <w:szCs w:val="20"/>
              </w:rPr>
              <w:t>30.4</w:t>
            </w:r>
          </w:p>
        </w:tc>
        <w:tc>
          <w:tcPr>
            <w:tcW w:w="915" w:type="dxa"/>
            <w:tcBorders>
              <w:top w:val="nil"/>
              <w:left w:val="nil"/>
              <w:bottom w:val="nil"/>
              <w:right w:val="nil"/>
            </w:tcBorders>
            <w:noWrap/>
            <w:vAlign w:val="bottom"/>
            <w:hideMark/>
          </w:tcPr>
          <w:p w14:paraId="67C21AF7" w14:textId="77777777" w:rsidR="007A6A1A" w:rsidRPr="00663CBD" w:rsidRDefault="007A6A1A" w:rsidP="00663CBD">
            <w:pPr>
              <w:spacing w:after="0" w:line="240" w:lineRule="auto"/>
              <w:rPr>
                <w:sz w:val="20"/>
                <w:szCs w:val="20"/>
              </w:rPr>
            </w:pPr>
            <w:r w:rsidRPr="00663CBD">
              <w:rPr>
                <w:sz w:val="20"/>
                <w:szCs w:val="20"/>
              </w:rPr>
              <w:t>40.5</w:t>
            </w:r>
          </w:p>
        </w:tc>
        <w:tc>
          <w:tcPr>
            <w:tcW w:w="1463" w:type="dxa"/>
            <w:tcBorders>
              <w:top w:val="nil"/>
              <w:left w:val="nil"/>
              <w:bottom w:val="nil"/>
              <w:right w:val="nil"/>
            </w:tcBorders>
            <w:noWrap/>
            <w:vAlign w:val="bottom"/>
            <w:hideMark/>
          </w:tcPr>
          <w:p w14:paraId="1C9167D9" w14:textId="77777777" w:rsidR="007A6A1A" w:rsidRPr="00663CBD" w:rsidRDefault="007A6A1A" w:rsidP="00663CBD">
            <w:pPr>
              <w:spacing w:after="0" w:line="240" w:lineRule="auto"/>
              <w:rPr>
                <w:sz w:val="20"/>
                <w:szCs w:val="20"/>
              </w:rPr>
            </w:pPr>
            <w:r w:rsidRPr="00663CBD">
              <w:rPr>
                <w:sz w:val="20"/>
                <w:szCs w:val="20"/>
              </w:rPr>
              <w:t>3.7</w:t>
            </w:r>
          </w:p>
        </w:tc>
        <w:tc>
          <w:tcPr>
            <w:tcW w:w="915" w:type="dxa"/>
            <w:tcBorders>
              <w:top w:val="nil"/>
              <w:left w:val="nil"/>
              <w:bottom w:val="nil"/>
              <w:right w:val="single" w:sz="4" w:space="0" w:color="auto"/>
            </w:tcBorders>
            <w:noWrap/>
            <w:vAlign w:val="bottom"/>
            <w:hideMark/>
          </w:tcPr>
          <w:p w14:paraId="1149BBD0" w14:textId="77777777" w:rsidR="007A6A1A" w:rsidRPr="00663CBD" w:rsidRDefault="007A6A1A" w:rsidP="00663CBD">
            <w:pPr>
              <w:spacing w:after="0" w:line="240" w:lineRule="auto"/>
              <w:rPr>
                <w:sz w:val="20"/>
                <w:szCs w:val="20"/>
              </w:rPr>
            </w:pPr>
            <w:r w:rsidRPr="00663CBD">
              <w:rPr>
                <w:sz w:val="20"/>
                <w:szCs w:val="20"/>
              </w:rPr>
              <w:t>25.4</w:t>
            </w:r>
          </w:p>
        </w:tc>
        <w:tc>
          <w:tcPr>
            <w:tcW w:w="961" w:type="dxa"/>
            <w:tcBorders>
              <w:top w:val="nil"/>
              <w:left w:val="single" w:sz="4" w:space="0" w:color="auto"/>
              <w:bottom w:val="nil"/>
              <w:right w:val="nil"/>
            </w:tcBorders>
            <w:noWrap/>
            <w:vAlign w:val="bottom"/>
            <w:hideMark/>
          </w:tcPr>
          <w:p w14:paraId="54B6D515" w14:textId="77777777" w:rsidR="007A6A1A" w:rsidRPr="00663CBD" w:rsidRDefault="007A6A1A" w:rsidP="00663CBD">
            <w:pPr>
              <w:spacing w:after="0" w:line="240" w:lineRule="auto"/>
              <w:rPr>
                <w:sz w:val="20"/>
                <w:szCs w:val="20"/>
              </w:rPr>
            </w:pPr>
            <w:r w:rsidRPr="00663CBD">
              <w:rPr>
                <w:sz w:val="20"/>
                <w:szCs w:val="20"/>
              </w:rPr>
              <w:t>25.5</w:t>
            </w:r>
          </w:p>
        </w:tc>
        <w:tc>
          <w:tcPr>
            <w:tcW w:w="915" w:type="dxa"/>
            <w:tcBorders>
              <w:top w:val="nil"/>
              <w:left w:val="nil"/>
              <w:bottom w:val="nil"/>
              <w:right w:val="nil"/>
            </w:tcBorders>
            <w:noWrap/>
            <w:vAlign w:val="bottom"/>
            <w:hideMark/>
          </w:tcPr>
          <w:p w14:paraId="05195B27" w14:textId="77777777" w:rsidR="007A6A1A" w:rsidRPr="00663CBD" w:rsidRDefault="007A6A1A" w:rsidP="00663CBD">
            <w:pPr>
              <w:spacing w:after="0" w:line="240" w:lineRule="auto"/>
              <w:rPr>
                <w:sz w:val="20"/>
                <w:szCs w:val="20"/>
              </w:rPr>
            </w:pPr>
            <w:r w:rsidRPr="00663CBD">
              <w:rPr>
                <w:sz w:val="20"/>
                <w:szCs w:val="20"/>
              </w:rPr>
              <w:t>30.3</w:t>
            </w:r>
          </w:p>
        </w:tc>
        <w:tc>
          <w:tcPr>
            <w:tcW w:w="1463" w:type="dxa"/>
            <w:tcBorders>
              <w:top w:val="nil"/>
              <w:left w:val="nil"/>
              <w:bottom w:val="nil"/>
              <w:right w:val="nil"/>
            </w:tcBorders>
            <w:noWrap/>
            <w:vAlign w:val="bottom"/>
            <w:hideMark/>
          </w:tcPr>
          <w:p w14:paraId="38CA9673" w14:textId="77777777" w:rsidR="007A6A1A" w:rsidRPr="00663CBD" w:rsidRDefault="007A6A1A" w:rsidP="00663CBD">
            <w:pPr>
              <w:spacing w:after="0" w:line="240" w:lineRule="auto"/>
              <w:rPr>
                <w:sz w:val="20"/>
                <w:szCs w:val="20"/>
              </w:rPr>
            </w:pPr>
            <w:r w:rsidRPr="00663CBD">
              <w:rPr>
                <w:sz w:val="20"/>
                <w:szCs w:val="20"/>
              </w:rPr>
              <w:t>3.1</w:t>
            </w:r>
          </w:p>
        </w:tc>
        <w:tc>
          <w:tcPr>
            <w:tcW w:w="915" w:type="dxa"/>
            <w:tcBorders>
              <w:top w:val="nil"/>
              <w:left w:val="nil"/>
              <w:bottom w:val="nil"/>
              <w:right w:val="single" w:sz="4" w:space="0" w:color="auto"/>
            </w:tcBorders>
            <w:noWrap/>
            <w:vAlign w:val="bottom"/>
            <w:hideMark/>
          </w:tcPr>
          <w:p w14:paraId="4EFA84DB" w14:textId="77777777" w:rsidR="007A6A1A" w:rsidRPr="00663CBD" w:rsidRDefault="007A6A1A" w:rsidP="00663CBD">
            <w:pPr>
              <w:spacing w:after="0" w:line="240" w:lineRule="auto"/>
              <w:rPr>
                <w:sz w:val="20"/>
                <w:szCs w:val="20"/>
              </w:rPr>
            </w:pPr>
            <w:r w:rsidRPr="00663CBD">
              <w:rPr>
                <w:sz w:val="20"/>
                <w:szCs w:val="20"/>
              </w:rPr>
              <w:t>41.2</w:t>
            </w:r>
          </w:p>
        </w:tc>
      </w:tr>
      <w:tr w:rsidR="007A6A1A" w:rsidRPr="00167CB8" w14:paraId="38BCC075"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34409D78" w14:textId="3DE6AE49" w:rsidR="007A6A1A" w:rsidRPr="00663CBD" w:rsidRDefault="007A6A1A" w:rsidP="00663CBD">
            <w:pPr>
              <w:spacing w:after="0" w:line="240" w:lineRule="auto"/>
              <w:rPr>
                <w:sz w:val="20"/>
                <w:szCs w:val="20"/>
              </w:rPr>
            </w:pPr>
            <w:r w:rsidRPr="00663CBD">
              <w:rPr>
                <w:sz w:val="20"/>
                <w:szCs w:val="20"/>
              </w:rPr>
              <w:t>2011</w:t>
            </w:r>
            <w:r w:rsidR="00C87E4A" w:rsidRPr="00663CBD">
              <w:rPr>
                <w:rFonts w:ascii="Symbol" w:eastAsia="Symbol" w:hAnsi="Symbol" w:cs="Symbol"/>
                <w:sz w:val="20"/>
                <w:szCs w:val="20"/>
              </w:rPr>
              <w:sym w:font="Symbol" w:char="F02D"/>
            </w:r>
            <w:r w:rsidRPr="00663CBD">
              <w:rPr>
                <w:sz w:val="20"/>
                <w:szCs w:val="20"/>
              </w:rPr>
              <w:t>12</w:t>
            </w:r>
          </w:p>
        </w:tc>
        <w:tc>
          <w:tcPr>
            <w:tcW w:w="943" w:type="dxa"/>
            <w:tcBorders>
              <w:top w:val="nil"/>
              <w:left w:val="single" w:sz="4" w:space="0" w:color="auto"/>
              <w:bottom w:val="nil"/>
              <w:right w:val="nil"/>
            </w:tcBorders>
            <w:noWrap/>
            <w:vAlign w:val="bottom"/>
            <w:hideMark/>
          </w:tcPr>
          <w:p w14:paraId="2DE5D5BE" w14:textId="77777777" w:rsidR="007A6A1A" w:rsidRPr="00663CBD" w:rsidRDefault="007A6A1A" w:rsidP="00663CBD">
            <w:pPr>
              <w:spacing w:after="0" w:line="240" w:lineRule="auto"/>
              <w:rPr>
                <w:sz w:val="20"/>
                <w:szCs w:val="20"/>
              </w:rPr>
            </w:pPr>
            <w:r w:rsidRPr="00663CBD">
              <w:rPr>
                <w:sz w:val="20"/>
                <w:szCs w:val="20"/>
              </w:rPr>
              <w:t>32.2</w:t>
            </w:r>
          </w:p>
        </w:tc>
        <w:tc>
          <w:tcPr>
            <w:tcW w:w="916" w:type="dxa"/>
            <w:tcBorders>
              <w:top w:val="nil"/>
              <w:left w:val="nil"/>
              <w:bottom w:val="nil"/>
              <w:right w:val="nil"/>
            </w:tcBorders>
            <w:noWrap/>
            <w:vAlign w:val="bottom"/>
            <w:hideMark/>
          </w:tcPr>
          <w:p w14:paraId="6545A8FF" w14:textId="77777777" w:rsidR="007A6A1A" w:rsidRPr="00663CBD" w:rsidRDefault="007A6A1A" w:rsidP="00663CBD">
            <w:pPr>
              <w:spacing w:after="0" w:line="240" w:lineRule="auto"/>
              <w:rPr>
                <w:sz w:val="20"/>
                <w:szCs w:val="20"/>
              </w:rPr>
            </w:pPr>
            <w:r w:rsidRPr="00663CBD">
              <w:rPr>
                <w:sz w:val="20"/>
                <w:szCs w:val="20"/>
              </w:rPr>
              <w:t>32.3</w:t>
            </w:r>
          </w:p>
        </w:tc>
        <w:tc>
          <w:tcPr>
            <w:tcW w:w="1464" w:type="dxa"/>
            <w:tcBorders>
              <w:top w:val="nil"/>
              <w:left w:val="nil"/>
              <w:bottom w:val="nil"/>
              <w:right w:val="nil"/>
            </w:tcBorders>
            <w:noWrap/>
            <w:vAlign w:val="bottom"/>
            <w:hideMark/>
          </w:tcPr>
          <w:p w14:paraId="3C7129B6" w14:textId="77777777" w:rsidR="007A6A1A" w:rsidRPr="00663CBD" w:rsidRDefault="007A6A1A" w:rsidP="00663CBD">
            <w:pPr>
              <w:spacing w:after="0" w:line="240" w:lineRule="auto"/>
              <w:rPr>
                <w:sz w:val="20"/>
                <w:szCs w:val="20"/>
              </w:rPr>
            </w:pPr>
            <w:r w:rsidRPr="00663CBD">
              <w:rPr>
                <w:sz w:val="20"/>
                <w:szCs w:val="20"/>
              </w:rPr>
              <w:t>5.9</w:t>
            </w:r>
          </w:p>
        </w:tc>
        <w:tc>
          <w:tcPr>
            <w:tcW w:w="915" w:type="dxa"/>
            <w:tcBorders>
              <w:top w:val="nil"/>
              <w:left w:val="nil"/>
              <w:bottom w:val="nil"/>
              <w:right w:val="single" w:sz="4" w:space="0" w:color="auto"/>
            </w:tcBorders>
            <w:noWrap/>
            <w:vAlign w:val="bottom"/>
            <w:hideMark/>
          </w:tcPr>
          <w:p w14:paraId="5C59F43F" w14:textId="77777777" w:rsidR="007A6A1A" w:rsidRPr="00663CBD" w:rsidRDefault="007A6A1A" w:rsidP="00663CBD">
            <w:pPr>
              <w:spacing w:after="0" w:line="240" w:lineRule="auto"/>
              <w:rPr>
                <w:sz w:val="20"/>
                <w:szCs w:val="20"/>
              </w:rPr>
            </w:pPr>
            <w:r w:rsidRPr="00663CBD">
              <w:rPr>
                <w:sz w:val="20"/>
                <w:szCs w:val="20"/>
              </w:rPr>
              <w:t>29.7</w:t>
            </w:r>
          </w:p>
        </w:tc>
        <w:tc>
          <w:tcPr>
            <w:tcW w:w="915" w:type="dxa"/>
            <w:tcBorders>
              <w:top w:val="nil"/>
              <w:left w:val="single" w:sz="4" w:space="0" w:color="auto"/>
              <w:bottom w:val="nil"/>
              <w:right w:val="nil"/>
            </w:tcBorders>
            <w:noWrap/>
            <w:vAlign w:val="bottom"/>
            <w:hideMark/>
          </w:tcPr>
          <w:p w14:paraId="01FBF985" w14:textId="77777777" w:rsidR="007A6A1A" w:rsidRPr="00663CBD" w:rsidRDefault="007A6A1A" w:rsidP="00663CBD">
            <w:pPr>
              <w:spacing w:after="0" w:line="240" w:lineRule="auto"/>
              <w:rPr>
                <w:sz w:val="20"/>
                <w:szCs w:val="20"/>
              </w:rPr>
            </w:pPr>
            <w:r w:rsidRPr="00663CBD">
              <w:rPr>
                <w:sz w:val="20"/>
                <w:szCs w:val="20"/>
              </w:rPr>
              <w:t>34.6</w:t>
            </w:r>
          </w:p>
        </w:tc>
        <w:tc>
          <w:tcPr>
            <w:tcW w:w="915" w:type="dxa"/>
            <w:tcBorders>
              <w:top w:val="nil"/>
              <w:left w:val="nil"/>
              <w:bottom w:val="nil"/>
              <w:right w:val="nil"/>
            </w:tcBorders>
            <w:noWrap/>
            <w:vAlign w:val="bottom"/>
            <w:hideMark/>
          </w:tcPr>
          <w:p w14:paraId="3AA0149F" w14:textId="77777777" w:rsidR="007A6A1A" w:rsidRPr="00663CBD" w:rsidRDefault="007A6A1A" w:rsidP="00663CBD">
            <w:pPr>
              <w:spacing w:after="0" w:line="240" w:lineRule="auto"/>
              <w:rPr>
                <w:sz w:val="20"/>
                <w:szCs w:val="20"/>
              </w:rPr>
            </w:pPr>
            <w:r w:rsidRPr="00663CBD">
              <w:rPr>
                <w:sz w:val="20"/>
                <w:szCs w:val="20"/>
              </w:rPr>
              <w:t>39.4</w:t>
            </w:r>
          </w:p>
        </w:tc>
        <w:tc>
          <w:tcPr>
            <w:tcW w:w="1463" w:type="dxa"/>
            <w:tcBorders>
              <w:top w:val="nil"/>
              <w:left w:val="nil"/>
              <w:bottom w:val="nil"/>
              <w:right w:val="nil"/>
            </w:tcBorders>
            <w:noWrap/>
            <w:vAlign w:val="bottom"/>
            <w:hideMark/>
          </w:tcPr>
          <w:p w14:paraId="2A43DF2C" w14:textId="77777777" w:rsidR="007A6A1A" w:rsidRPr="00663CBD" w:rsidRDefault="007A6A1A" w:rsidP="00663CBD">
            <w:pPr>
              <w:spacing w:after="0" w:line="240" w:lineRule="auto"/>
              <w:rPr>
                <w:sz w:val="20"/>
                <w:szCs w:val="20"/>
              </w:rPr>
            </w:pPr>
            <w:r w:rsidRPr="00663CBD">
              <w:rPr>
                <w:sz w:val="20"/>
                <w:szCs w:val="20"/>
              </w:rPr>
              <w:t>4.9</w:t>
            </w:r>
          </w:p>
        </w:tc>
        <w:tc>
          <w:tcPr>
            <w:tcW w:w="915" w:type="dxa"/>
            <w:tcBorders>
              <w:top w:val="nil"/>
              <w:left w:val="nil"/>
              <w:bottom w:val="nil"/>
              <w:right w:val="single" w:sz="4" w:space="0" w:color="auto"/>
            </w:tcBorders>
            <w:noWrap/>
            <w:vAlign w:val="bottom"/>
            <w:hideMark/>
          </w:tcPr>
          <w:p w14:paraId="08D56970" w14:textId="77777777" w:rsidR="007A6A1A" w:rsidRPr="00663CBD" w:rsidRDefault="007A6A1A" w:rsidP="00663CBD">
            <w:pPr>
              <w:spacing w:after="0" w:line="240" w:lineRule="auto"/>
              <w:rPr>
                <w:sz w:val="20"/>
                <w:szCs w:val="20"/>
              </w:rPr>
            </w:pPr>
            <w:r w:rsidRPr="00663CBD">
              <w:rPr>
                <w:sz w:val="20"/>
                <w:szCs w:val="20"/>
              </w:rPr>
              <w:t>21.1</w:t>
            </w:r>
          </w:p>
        </w:tc>
        <w:tc>
          <w:tcPr>
            <w:tcW w:w="961" w:type="dxa"/>
            <w:tcBorders>
              <w:top w:val="nil"/>
              <w:left w:val="single" w:sz="4" w:space="0" w:color="auto"/>
              <w:bottom w:val="nil"/>
              <w:right w:val="nil"/>
            </w:tcBorders>
            <w:noWrap/>
            <w:vAlign w:val="bottom"/>
            <w:hideMark/>
          </w:tcPr>
          <w:p w14:paraId="7E3AA7FA" w14:textId="77777777" w:rsidR="007A6A1A" w:rsidRPr="00663CBD" w:rsidRDefault="007A6A1A" w:rsidP="00663CBD">
            <w:pPr>
              <w:spacing w:after="0" w:line="240" w:lineRule="auto"/>
              <w:rPr>
                <w:sz w:val="20"/>
                <w:szCs w:val="20"/>
              </w:rPr>
            </w:pPr>
            <w:r w:rsidRPr="00663CBD">
              <w:rPr>
                <w:sz w:val="20"/>
                <w:szCs w:val="20"/>
              </w:rPr>
              <w:t>30.1</w:t>
            </w:r>
          </w:p>
        </w:tc>
        <w:tc>
          <w:tcPr>
            <w:tcW w:w="915" w:type="dxa"/>
            <w:tcBorders>
              <w:top w:val="nil"/>
              <w:left w:val="nil"/>
              <w:bottom w:val="nil"/>
              <w:right w:val="nil"/>
            </w:tcBorders>
            <w:noWrap/>
            <w:vAlign w:val="bottom"/>
            <w:hideMark/>
          </w:tcPr>
          <w:p w14:paraId="2B4B2E2A" w14:textId="77777777" w:rsidR="007A6A1A" w:rsidRPr="00663CBD" w:rsidRDefault="007A6A1A" w:rsidP="00663CBD">
            <w:pPr>
              <w:spacing w:after="0" w:line="240" w:lineRule="auto"/>
              <w:rPr>
                <w:sz w:val="20"/>
                <w:szCs w:val="20"/>
              </w:rPr>
            </w:pPr>
            <w:r w:rsidRPr="00663CBD">
              <w:rPr>
                <w:sz w:val="20"/>
                <w:szCs w:val="20"/>
              </w:rPr>
              <w:t>26.1</w:t>
            </w:r>
          </w:p>
        </w:tc>
        <w:tc>
          <w:tcPr>
            <w:tcW w:w="1463" w:type="dxa"/>
            <w:tcBorders>
              <w:top w:val="nil"/>
              <w:left w:val="nil"/>
              <w:bottom w:val="nil"/>
              <w:right w:val="nil"/>
            </w:tcBorders>
            <w:noWrap/>
            <w:vAlign w:val="bottom"/>
            <w:hideMark/>
          </w:tcPr>
          <w:p w14:paraId="7E36BCF9" w14:textId="77777777" w:rsidR="007A6A1A" w:rsidRPr="00663CBD" w:rsidRDefault="007A6A1A" w:rsidP="00663CBD">
            <w:pPr>
              <w:spacing w:after="0" w:line="240" w:lineRule="auto"/>
              <w:rPr>
                <w:sz w:val="20"/>
                <w:szCs w:val="20"/>
              </w:rPr>
            </w:pPr>
            <w:r w:rsidRPr="00663CBD">
              <w:rPr>
                <w:sz w:val="20"/>
                <w:szCs w:val="20"/>
              </w:rPr>
              <w:t>6.7</w:t>
            </w:r>
          </w:p>
        </w:tc>
        <w:tc>
          <w:tcPr>
            <w:tcW w:w="915" w:type="dxa"/>
            <w:tcBorders>
              <w:top w:val="nil"/>
              <w:left w:val="nil"/>
              <w:bottom w:val="nil"/>
              <w:right w:val="single" w:sz="4" w:space="0" w:color="auto"/>
            </w:tcBorders>
            <w:noWrap/>
            <w:vAlign w:val="bottom"/>
            <w:hideMark/>
          </w:tcPr>
          <w:p w14:paraId="14FC93BF" w14:textId="77777777" w:rsidR="007A6A1A" w:rsidRPr="00663CBD" w:rsidRDefault="007A6A1A" w:rsidP="00663CBD">
            <w:pPr>
              <w:spacing w:after="0" w:line="240" w:lineRule="auto"/>
              <w:rPr>
                <w:sz w:val="20"/>
                <w:szCs w:val="20"/>
              </w:rPr>
            </w:pPr>
            <w:r w:rsidRPr="00663CBD">
              <w:rPr>
                <w:sz w:val="20"/>
                <w:szCs w:val="20"/>
              </w:rPr>
              <w:t>37.1</w:t>
            </w:r>
          </w:p>
        </w:tc>
      </w:tr>
      <w:tr w:rsidR="007A6A1A" w:rsidRPr="00167CB8" w14:paraId="533E06CD"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3C301994" w14:textId="55B8ED8D" w:rsidR="007A6A1A" w:rsidRPr="00663CBD" w:rsidRDefault="007A6A1A" w:rsidP="00663CBD">
            <w:pPr>
              <w:spacing w:after="0" w:line="240" w:lineRule="auto"/>
              <w:rPr>
                <w:sz w:val="20"/>
                <w:szCs w:val="20"/>
              </w:rPr>
            </w:pPr>
            <w:r w:rsidRPr="00663CBD">
              <w:rPr>
                <w:sz w:val="20"/>
                <w:szCs w:val="20"/>
              </w:rPr>
              <w:t>2012</w:t>
            </w:r>
            <w:r w:rsidR="00C87E4A" w:rsidRPr="00663CBD">
              <w:rPr>
                <w:rFonts w:ascii="Symbol" w:eastAsia="Symbol" w:hAnsi="Symbol" w:cs="Symbol"/>
                <w:sz w:val="20"/>
                <w:szCs w:val="20"/>
              </w:rPr>
              <w:sym w:font="Symbol" w:char="F02D"/>
            </w:r>
            <w:r w:rsidRPr="00663CBD">
              <w:rPr>
                <w:sz w:val="20"/>
                <w:szCs w:val="20"/>
              </w:rPr>
              <w:t>13</w:t>
            </w:r>
          </w:p>
        </w:tc>
        <w:tc>
          <w:tcPr>
            <w:tcW w:w="943" w:type="dxa"/>
            <w:tcBorders>
              <w:top w:val="nil"/>
              <w:left w:val="single" w:sz="4" w:space="0" w:color="auto"/>
              <w:bottom w:val="nil"/>
              <w:right w:val="nil"/>
            </w:tcBorders>
            <w:noWrap/>
            <w:vAlign w:val="bottom"/>
            <w:hideMark/>
          </w:tcPr>
          <w:p w14:paraId="1C520AC6" w14:textId="77777777" w:rsidR="007A6A1A" w:rsidRPr="00663CBD" w:rsidRDefault="007A6A1A" w:rsidP="00663CBD">
            <w:pPr>
              <w:spacing w:after="0" w:line="240" w:lineRule="auto"/>
              <w:rPr>
                <w:sz w:val="20"/>
                <w:szCs w:val="20"/>
              </w:rPr>
            </w:pPr>
            <w:r w:rsidRPr="00663CBD">
              <w:rPr>
                <w:sz w:val="20"/>
                <w:szCs w:val="20"/>
              </w:rPr>
              <w:t>34.4</w:t>
            </w:r>
          </w:p>
        </w:tc>
        <w:tc>
          <w:tcPr>
            <w:tcW w:w="916" w:type="dxa"/>
            <w:tcBorders>
              <w:top w:val="nil"/>
              <w:left w:val="nil"/>
              <w:bottom w:val="nil"/>
              <w:right w:val="nil"/>
            </w:tcBorders>
            <w:noWrap/>
            <w:vAlign w:val="bottom"/>
            <w:hideMark/>
          </w:tcPr>
          <w:p w14:paraId="127416C3" w14:textId="77777777" w:rsidR="007A6A1A" w:rsidRPr="00663CBD" w:rsidRDefault="007A6A1A" w:rsidP="00663CBD">
            <w:pPr>
              <w:spacing w:after="0" w:line="240" w:lineRule="auto"/>
              <w:rPr>
                <w:sz w:val="20"/>
                <w:szCs w:val="20"/>
              </w:rPr>
            </w:pPr>
            <w:r w:rsidRPr="00663CBD">
              <w:rPr>
                <w:sz w:val="20"/>
                <w:szCs w:val="20"/>
              </w:rPr>
              <w:t>30.7</w:t>
            </w:r>
          </w:p>
        </w:tc>
        <w:tc>
          <w:tcPr>
            <w:tcW w:w="1464" w:type="dxa"/>
            <w:tcBorders>
              <w:top w:val="nil"/>
              <w:left w:val="nil"/>
              <w:bottom w:val="nil"/>
              <w:right w:val="nil"/>
            </w:tcBorders>
            <w:noWrap/>
            <w:vAlign w:val="bottom"/>
            <w:hideMark/>
          </w:tcPr>
          <w:p w14:paraId="0A99FF99" w14:textId="77777777" w:rsidR="007A6A1A" w:rsidRPr="00663CBD" w:rsidRDefault="007A6A1A" w:rsidP="00663CBD">
            <w:pPr>
              <w:spacing w:after="0" w:line="240" w:lineRule="auto"/>
              <w:rPr>
                <w:sz w:val="20"/>
                <w:szCs w:val="20"/>
              </w:rPr>
            </w:pPr>
            <w:r w:rsidRPr="00663CBD">
              <w:rPr>
                <w:sz w:val="20"/>
                <w:szCs w:val="20"/>
              </w:rPr>
              <w:t>5.4</w:t>
            </w:r>
          </w:p>
        </w:tc>
        <w:tc>
          <w:tcPr>
            <w:tcW w:w="915" w:type="dxa"/>
            <w:tcBorders>
              <w:top w:val="nil"/>
              <w:left w:val="nil"/>
              <w:bottom w:val="nil"/>
              <w:right w:val="single" w:sz="4" w:space="0" w:color="auto"/>
            </w:tcBorders>
            <w:noWrap/>
            <w:vAlign w:val="bottom"/>
            <w:hideMark/>
          </w:tcPr>
          <w:p w14:paraId="50EF525E" w14:textId="77777777" w:rsidR="007A6A1A" w:rsidRPr="00663CBD" w:rsidRDefault="007A6A1A" w:rsidP="00663CBD">
            <w:pPr>
              <w:spacing w:after="0" w:line="240" w:lineRule="auto"/>
              <w:rPr>
                <w:sz w:val="20"/>
                <w:szCs w:val="20"/>
              </w:rPr>
            </w:pPr>
            <w:r w:rsidRPr="00663CBD">
              <w:rPr>
                <w:sz w:val="20"/>
                <w:szCs w:val="20"/>
              </w:rPr>
              <w:t>29.6</w:t>
            </w:r>
          </w:p>
        </w:tc>
        <w:tc>
          <w:tcPr>
            <w:tcW w:w="915" w:type="dxa"/>
            <w:tcBorders>
              <w:top w:val="nil"/>
              <w:left w:val="single" w:sz="4" w:space="0" w:color="auto"/>
              <w:bottom w:val="nil"/>
              <w:right w:val="nil"/>
            </w:tcBorders>
            <w:noWrap/>
            <w:vAlign w:val="bottom"/>
            <w:hideMark/>
          </w:tcPr>
          <w:p w14:paraId="0837CC6C" w14:textId="77777777" w:rsidR="007A6A1A" w:rsidRPr="00663CBD" w:rsidRDefault="007A6A1A" w:rsidP="00663CBD">
            <w:pPr>
              <w:spacing w:after="0" w:line="240" w:lineRule="auto"/>
              <w:rPr>
                <w:sz w:val="20"/>
                <w:szCs w:val="20"/>
              </w:rPr>
            </w:pPr>
            <w:r w:rsidRPr="00663CBD">
              <w:rPr>
                <w:sz w:val="20"/>
                <w:szCs w:val="20"/>
              </w:rPr>
              <w:t>35.9</w:t>
            </w:r>
          </w:p>
        </w:tc>
        <w:tc>
          <w:tcPr>
            <w:tcW w:w="915" w:type="dxa"/>
            <w:tcBorders>
              <w:top w:val="nil"/>
              <w:left w:val="nil"/>
              <w:bottom w:val="nil"/>
              <w:right w:val="nil"/>
            </w:tcBorders>
            <w:noWrap/>
            <w:vAlign w:val="bottom"/>
            <w:hideMark/>
          </w:tcPr>
          <w:p w14:paraId="5FAA10C4" w14:textId="77777777" w:rsidR="007A6A1A" w:rsidRPr="00663CBD" w:rsidRDefault="007A6A1A" w:rsidP="00663CBD">
            <w:pPr>
              <w:spacing w:after="0" w:line="240" w:lineRule="auto"/>
              <w:rPr>
                <w:sz w:val="20"/>
                <w:szCs w:val="20"/>
              </w:rPr>
            </w:pPr>
            <w:r w:rsidRPr="00663CBD">
              <w:rPr>
                <w:sz w:val="20"/>
                <w:szCs w:val="20"/>
              </w:rPr>
              <w:t>40.0</w:t>
            </w:r>
          </w:p>
        </w:tc>
        <w:tc>
          <w:tcPr>
            <w:tcW w:w="1463" w:type="dxa"/>
            <w:tcBorders>
              <w:top w:val="nil"/>
              <w:left w:val="nil"/>
              <w:bottom w:val="nil"/>
              <w:right w:val="nil"/>
            </w:tcBorders>
            <w:noWrap/>
            <w:vAlign w:val="bottom"/>
            <w:hideMark/>
          </w:tcPr>
          <w:p w14:paraId="1A521EA0" w14:textId="77777777" w:rsidR="007A6A1A" w:rsidRPr="00663CBD" w:rsidRDefault="007A6A1A" w:rsidP="00663CBD">
            <w:pPr>
              <w:spacing w:after="0" w:line="240" w:lineRule="auto"/>
              <w:rPr>
                <w:sz w:val="20"/>
                <w:szCs w:val="20"/>
              </w:rPr>
            </w:pPr>
            <w:r w:rsidRPr="00663CBD">
              <w:rPr>
                <w:sz w:val="20"/>
                <w:szCs w:val="20"/>
              </w:rPr>
              <w:t>4.3</w:t>
            </w:r>
          </w:p>
        </w:tc>
        <w:tc>
          <w:tcPr>
            <w:tcW w:w="915" w:type="dxa"/>
            <w:tcBorders>
              <w:top w:val="nil"/>
              <w:left w:val="nil"/>
              <w:bottom w:val="nil"/>
              <w:right w:val="single" w:sz="4" w:space="0" w:color="auto"/>
            </w:tcBorders>
            <w:noWrap/>
            <w:vAlign w:val="bottom"/>
            <w:hideMark/>
          </w:tcPr>
          <w:p w14:paraId="5B6D976C" w14:textId="77777777" w:rsidR="007A6A1A" w:rsidRPr="00663CBD" w:rsidRDefault="007A6A1A" w:rsidP="00663CBD">
            <w:pPr>
              <w:spacing w:after="0" w:line="240" w:lineRule="auto"/>
              <w:rPr>
                <w:sz w:val="20"/>
                <w:szCs w:val="20"/>
              </w:rPr>
            </w:pPr>
            <w:r w:rsidRPr="00663CBD">
              <w:rPr>
                <w:sz w:val="20"/>
                <w:szCs w:val="20"/>
              </w:rPr>
              <w:t>19.8</w:t>
            </w:r>
          </w:p>
        </w:tc>
        <w:tc>
          <w:tcPr>
            <w:tcW w:w="961" w:type="dxa"/>
            <w:tcBorders>
              <w:top w:val="nil"/>
              <w:left w:val="single" w:sz="4" w:space="0" w:color="auto"/>
              <w:bottom w:val="nil"/>
              <w:right w:val="nil"/>
            </w:tcBorders>
            <w:noWrap/>
            <w:vAlign w:val="bottom"/>
            <w:hideMark/>
          </w:tcPr>
          <w:p w14:paraId="1656E606" w14:textId="77777777" w:rsidR="007A6A1A" w:rsidRPr="00663CBD" w:rsidRDefault="007A6A1A" w:rsidP="00663CBD">
            <w:pPr>
              <w:spacing w:after="0" w:line="240" w:lineRule="auto"/>
              <w:rPr>
                <w:sz w:val="20"/>
                <w:szCs w:val="20"/>
              </w:rPr>
            </w:pPr>
            <w:r w:rsidRPr="00663CBD">
              <w:rPr>
                <w:sz w:val="20"/>
                <w:szCs w:val="20"/>
              </w:rPr>
              <w:t>33.1</w:t>
            </w:r>
          </w:p>
        </w:tc>
        <w:tc>
          <w:tcPr>
            <w:tcW w:w="915" w:type="dxa"/>
            <w:tcBorders>
              <w:top w:val="nil"/>
              <w:left w:val="nil"/>
              <w:bottom w:val="nil"/>
              <w:right w:val="nil"/>
            </w:tcBorders>
            <w:noWrap/>
            <w:vAlign w:val="bottom"/>
            <w:hideMark/>
          </w:tcPr>
          <w:p w14:paraId="1EC33B37" w14:textId="77777777" w:rsidR="007A6A1A" w:rsidRPr="00663CBD" w:rsidRDefault="007A6A1A" w:rsidP="00663CBD">
            <w:pPr>
              <w:spacing w:after="0" w:line="240" w:lineRule="auto"/>
              <w:rPr>
                <w:sz w:val="20"/>
                <w:szCs w:val="20"/>
              </w:rPr>
            </w:pPr>
            <w:r w:rsidRPr="00663CBD">
              <w:rPr>
                <w:sz w:val="20"/>
                <w:szCs w:val="20"/>
              </w:rPr>
              <w:t>23.2</w:t>
            </w:r>
          </w:p>
        </w:tc>
        <w:tc>
          <w:tcPr>
            <w:tcW w:w="1463" w:type="dxa"/>
            <w:tcBorders>
              <w:top w:val="nil"/>
              <w:left w:val="nil"/>
              <w:bottom w:val="nil"/>
              <w:right w:val="nil"/>
            </w:tcBorders>
            <w:noWrap/>
            <w:vAlign w:val="bottom"/>
            <w:hideMark/>
          </w:tcPr>
          <w:p w14:paraId="42C367F3" w14:textId="77777777" w:rsidR="007A6A1A" w:rsidRPr="00663CBD" w:rsidRDefault="007A6A1A" w:rsidP="00663CBD">
            <w:pPr>
              <w:spacing w:after="0" w:line="240" w:lineRule="auto"/>
              <w:rPr>
                <w:sz w:val="20"/>
                <w:szCs w:val="20"/>
              </w:rPr>
            </w:pPr>
            <w:r w:rsidRPr="00663CBD">
              <w:rPr>
                <w:sz w:val="20"/>
                <w:szCs w:val="20"/>
              </w:rPr>
              <w:t>6.2</w:t>
            </w:r>
          </w:p>
        </w:tc>
        <w:tc>
          <w:tcPr>
            <w:tcW w:w="915" w:type="dxa"/>
            <w:tcBorders>
              <w:top w:val="nil"/>
              <w:left w:val="nil"/>
              <w:bottom w:val="nil"/>
              <w:right w:val="single" w:sz="4" w:space="0" w:color="auto"/>
            </w:tcBorders>
            <w:noWrap/>
            <w:vAlign w:val="bottom"/>
            <w:hideMark/>
          </w:tcPr>
          <w:p w14:paraId="5D77AD3E" w14:textId="77777777" w:rsidR="007A6A1A" w:rsidRPr="00663CBD" w:rsidRDefault="007A6A1A" w:rsidP="00663CBD">
            <w:pPr>
              <w:spacing w:after="0" w:line="240" w:lineRule="auto"/>
              <w:rPr>
                <w:sz w:val="20"/>
                <w:szCs w:val="20"/>
              </w:rPr>
            </w:pPr>
            <w:r w:rsidRPr="00663CBD">
              <w:rPr>
                <w:sz w:val="20"/>
                <w:szCs w:val="20"/>
              </w:rPr>
              <w:t>37.5</w:t>
            </w:r>
          </w:p>
        </w:tc>
      </w:tr>
      <w:tr w:rsidR="007A6A1A" w:rsidRPr="00167CB8" w14:paraId="7E402DF9"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0D97DA2A" w14:textId="327E1B8E" w:rsidR="007A6A1A" w:rsidRPr="00663CBD" w:rsidRDefault="007A6A1A" w:rsidP="00663CBD">
            <w:pPr>
              <w:spacing w:after="0" w:line="240" w:lineRule="auto"/>
              <w:rPr>
                <w:sz w:val="20"/>
                <w:szCs w:val="20"/>
              </w:rPr>
            </w:pPr>
            <w:r w:rsidRPr="00663CBD">
              <w:rPr>
                <w:sz w:val="20"/>
                <w:szCs w:val="20"/>
              </w:rPr>
              <w:t>2013</w:t>
            </w:r>
            <w:r w:rsidR="00C87E4A" w:rsidRPr="00663CBD">
              <w:rPr>
                <w:rFonts w:ascii="Symbol" w:eastAsia="Symbol" w:hAnsi="Symbol" w:cs="Symbol"/>
                <w:sz w:val="20"/>
                <w:szCs w:val="20"/>
              </w:rPr>
              <w:sym w:font="Symbol" w:char="F02D"/>
            </w:r>
            <w:r w:rsidRPr="00663CBD">
              <w:rPr>
                <w:sz w:val="20"/>
                <w:szCs w:val="20"/>
              </w:rPr>
              <w:t>14</w:t>
            </w:r>
          </w:p>
        </w:tc>
        <w:tc>
          <w:tcPr>
            <w:tcW w:w="943" w:type="dxa"/>
            <w:tcBorders>
              <w:top w:val="nil"/>
              <w:left w:val="single" w:sz="4" w:space="0" w:color="auto"/>
              <w:bottom w:val="nil"/>
              <w:right w:val="nil"/>
            </w:tcBorders>
            <w:noWrap/>
            <w:vAlign w:val="bottom"/>
            <w:hideMark/>
          </w:tcPr>
          <w:p w14:paraId="1599421F" w14:textId="77777777" w:rsidR="007A6A1A" w:rsidRPr="00663CBD" w:rsidRDefault="007A6A1A" w:rsidP="00663CBD">
            <w:pPr>
              <w:spacing w:after="0" w:line="240" w:lineRule="auto"/>
              <w:rPr>
                <w:sz w:val="20"/>
                <w:szCs w:val="20"/>
              </w:rPr>
            </w:pPr>
            <w:r w:rsidRPr="00663CBD">
              <w:rPr>
                <w:sz w:val="20"/>
                <w:szCs w:val="20"/>
              </w:rPr>
              <w:t>30.8</w:t>
            </w:r>
          </w:p>
        </w:tc>
        <w:tc>
          <w:tcPr>
            <w:tcW w:w="916" w:type="dxa"/>
            <w:tcBorders>
              <w:top w:val="nil"/>
              <w:left w:val="nil"/>
              <w:bottom w:val="nil"/>
              <w:right w:val="nil"/>
            </w:tcBorders>
            <w:noWrap/>
            <w:vAlign w:val="bottom"/>
            <w:hideMark/>
          </w:tcPr>
          <w:p w14:paraId="338A4FF7" w14:textId="77777777" w:rsidR="007A6A1A" w:rsidRPr="00663CBD" w:rsidRDefault="007A6A1A" w:rsidP="00663CBD">
            <w:pPr>
              <w:spacing w:after="0" w:line="240" w:lineRule="auto"/>
              <w:rPr>
                <w:sz w:val="20"/>
                <w:szCs w:val="20"/>
              </w:rPr>
            </w:pPr>
            <w:r w:rsidRPr="00663CBD">
              <w:rPr>
                <w:sz w:val="20"/>
                <w:szCs w:val="20"/>
              </w:rPr>
              <w:t>37.7</w:t>
            </w:r>
          </w:p>
        </w:tc>
        <w:tc>
          <w:tcPr>
            <w:tcW w:w="1464" w:type="dxa"/>
            <w:tcBorders>
              <w:top w:val="nil"/>
              <w:left w:val="nil"/>
              <w:bottom w:val="nil"/>
              <w:right w:val="nil"/>
            </w:tcBorders>
            <w:noWrap/>
            <w:vAlign w:val="bottom"/>
            <w:hideMark/>
          </w:tcPr>
          <w:p w14:paraId="5C2A931E" w14:textId="77777777" w:rsidR="007A6A1A" w:rsidRPr="00663CBD" w:rsidRDefault="007A6A1A" w:rsidP="00663CBD">
            <w:pPr>
              <w:spacing w:after="0" w:line="240" w:lineRule="auto"/>
              <w:rPr>
                <w:sz w:val="20"/>
                <w:szCs w:val="20"/>
              </w:rPr>
            </w:pPr>
            <w:r w:rsidRPr="00663CBD">
              <w:rPr>
                <w:sz w:val="20"/>
                <w:szCs w:val="20"/>
              </w:rPr>
              <w:t>4.4</w:t>
            </w:r>
          </w:p>
        </w:tc>
        <w:tc>
          <w:tcPr>
            <w:tcW w:w="915" w:type="dxa"/>
            <w:tcBorders>
              <w:top w:val="nil"/>
              <w:left w:val="nil"/>
              <w:bottom w:val="nil"/>
              <w:right w:val="single" w:sz="4" w:space="0" w:color="auto"/>
            </w:tcBorders>
            <w:noWrap/>
            <w:vAlign w:val="bottom"/>
            <w:hideMark/>
          </w:tcPr>
          <w:p w14:paraId="685ABE50" w14:textId="77777777" w:rsidR="007A6A1A" w:rsidRPr="00663CBD" w:rsidRDefault="007A6A1A" w:rsidP="00663CBD">
            <w:pPr>
              <w:spacing w:after="0" w:line="240" w:lineRule="auto"/>
              <w:rPr>
                <w:sz w:val="20"/>
                <w:szCs w:val="20"/>
              </w:rPr>
            </w:pPr>
            <w:r w:rsidRPr="00663CBD">
              <w:rPr>
                <w:sz w:val="20"/>
                <w:szCs w:val="20"/>
              </w:rPr>
              <w:t>27.2</w:t>
            </w:r>
          </w:p>
        </w:tc>
        <w:tc>
          <w:tcPr>
            <w:tcW w:w="915" w:type="dxa"/>
            <w:tcBorders>
              <w:top w:val="nil"/>
              <w:left w:val="single" w:sz="4" w:space="0" w:color="auto"/>
              <w:bottom w:val="nil"/>
              <w:right w:val="nil"/>
            </w:tcBorders>
            <w:noWrap/>
            <w:vAlign w:val="bottom"/>
            <w:hideMark/>
          </w:tcPr>
          <w:p w14:paraId="7C43E9C9" w14:textId="77777777" w:rsidR="007A6A1A" w:rsidRPr="00663CBD" w:rsidRDefault="007A6A1A" w:rsidP="00663CBD">
            <w:pPr>
              <w:spacing w:after="0" w:line="240" w:lineRule="auto"/>
              <w:rPr>
                <w:sz w:val="20"/>
                <w:szCs w:val="20"/>
              </w:rPr>
            </w:pPr>
            <w:r w:rsidRPr="00663CBD">
              <w:rPr>
                <w:sz w:val="20"/>
                <w:szCs w:val="20"/>
              </w:rPr>
              <w:t>30.5</w:t>
            </w:r>
          </w:p>
        </w:tc>
        <w:tc>
          <w:tcPr>
            <w:tcW w:w="915" w:type="dxa"/>
            <w:tcBorders>
              <w:top w:val="nil"/>
              <w:left w:val="nil"/>
              <w:bottom w:val="nil"/>
              <w:right w:val="nil"/>
            </w:tcBorders>
            <w:noWrap/>
            <w:vAlign w:val="bottom"/>
            <w:hideMark/>
          </w:tcPr>
          <w:p w14:paraId="546CC558" w14:textId="77777777" w:rsidR="007A6A1A" w:rsidRPr="00663CBD" w:rsidRDefault="007A6A1A" w:rsidP="00663CBD">
            <w:pPr>
              <w:spacing w:after="0" w:line="240" w:lineRule="auto"/>
              <w:rPr>
                <w:sz w:val="20"/>
                <w:szCs w:val="20"/>
              </w:rPr>
            </w:pPr>
            <w:r w:rsidRPr="00663CBD">
              <w:rPr>
                <w:sz w:val="20"/>
                <w:szCs w:val="20"/>
              </w:rPr>
              <w:t>46.3</w:t>
            </w:r>
          </w:p>
        </w:tc>
        <w:tc>
          <w:tcPr>
            <w:tcW w:w="1463" w:type="dxa"/>
            <w:tcBorders>
              <w:top w:val="nil"/>
              <w:left w:val="nil"/>
              <w:bottom w:val="nil"/>
              <w:right w:val="nil"/>
            </w:tcBorders>
            <w:noWrap/>
            <w:vAlign w:val="bottom"/>
            <w:hideMark/>
          </w:tcPr>
          <w:p w14:paraId="6BDBAE96" w14:textId="77777777" w:rsidR="007A6A1A" w:rsidRPr="00663CBD" w:rsidRDefault="007A6A1A" w:rsidP="00663CBD">
            <w:pPr>
              <w:spacing w:after="0" w:line="240" w:lineRule="auto"/>
              <w:rPr>
                <w:sz w:val="20"/>
                <w:szCs w:val="20"/>
              </w:rPr>
            </w:pPr>
            <w:r w:rsidRPr="00663CBD">
              <w:rPr>
                <w:sz w:val="20"/>
                <w:szCs w:val="20"/>
              </w:rPr>
              <w:t>4.6</w:t>
            </w:r>
          </w:p>
        </w:tc>
        <w:tc>
          <w:tcPr>
            <w:tcW w:w="915" w:type="dxa"/>
            <w:tcBorders>
              <w:top w:val="nil"/>
              <w:left w:val="nil"/>
              <w:bottom w:val="nil"/>
              <w:right w:val="single" w:sz="4" w:space="0" w:color="auto"/>
            </w:tcBorders>
            <w:noWrap/>
            <w:vAlign w:val="bottom"/>
            <w:hideMark/>
          </w:tcPr>
          <w:p w14:paraId="65C5A6BA" w14:textId="77777777" w:rsidR="007A6A1A" w:rsidRPr="00663CBD" w:rsidRDefault="007A6A1A" w:rsidP="00663CBD">
            <w:pPr>
              <w:spacing w:after="0" w:line="240" w:lineRule="auto"/>
              <w:rPr>
                <w:sz w:val="20"/>
                <w:szCs w:val="20"/>
              </w:rPr>
            </w:pPr>
            <w:r w:rsidRPr="00663CBD">
              <w:rPr>
                <w:sz w:val="20"/>
                <w:szCs w:val="20"/>
              </w:rPr>
              <w:t>18.6</w:t>
            </w:r>
          </w:p>
        </w:tc>
        <w:tc>
          <w:tcPr>
            <w:tcW w:w="961" w:type="dxa"/>
            <w:tcBorders>
              <w:top w:val="nil"/>
              <w:left w:val="single" w:sz="4" w:space="0" w:color="auto"/>
              <w:bottom w:val="nil"/>
              <w:right w:val="nil"/>
            </w:tcBorders>
            <w:noWrap/>
            <w:vAlign w:val="bottom"/>
            <w:hideMark/>
          </w:tcPr>
          <w:p w14:paraId="6A9A1FAF" w14:textId="77777777" w:rsidR="007A6A1A" w:rsidRPr="00663CBD" w:rsidRDefault="007A6A1A" w:rsidP="00663CBD">
            <w:pPr>
              <w:spacing w:after="0" w:line="240" w:lineRule="auto"/>
              <w:rPr>
                <w:sz w:val="20"/>
                <w:szCs w:val="20"/>
              </w:rPr>
            </w:pPr>
            <w:r w:rsidRPr="00663CBD">
              <w:rPr>
                <w:sz w:val="20"/>
                <w:szCs w:val="20"/>
              </w:rPr>
              <w:t>31.0</w:t>
            </w:r>
          </w:p>
        </w:tc>
        <w:tc>
          <w:tcPr>
            <w:tcW w:w="915" w:type="dxa"/>
            <w:tcBorders>
              <w:top w:val="nil"/>
              <w:left w:val="nil"/>
              <w:bottom w:val="nil"/>
              <w:right w:val="nil"/>
            </w:tcBorders>
            <w:noWrap/>
            <w:vAlign w:val="bottom"/>
            <w:hideMark/>
          </w:tcPr>
          <w:p w14:paraId="35BE6EEA" w14:textId="77777777" w:rsidR="007A6A1A" w:rsidRPr="00663CBD" w:rsidRDefault="007A6A1A" w:rsidP="00663CBD">
            <w:pPr>
              <w:spacing w:after="0" w:line="240" w:lineRule="auto"/>
              <w:rPr>
                <w:sz w:val="20"/>
                <w:szCs w:val="20"/>
              </w:rPr>
            </w:pPr>
            <w:r w:rsidRPr="00663CBD">
              <w:rPr>
                <w:sz w:val="20"/>
                <w:szCs w:val="20"/>
              </w:rPr>
              <w:t>31.5</w:t>
            </w:r>
          </w:p>
        </w:tc>
        <w:tc>
          <w:tcPr>
            <w:tcW w:w="1463" w:type="dxa"/>
            <w:tcBorders>
              <w:top w:val="nil"/>
              <w:left w:val="nil"/>
              <w:bottom w:val="nil"/>
              <w:right w:val="nil"/>
            </w:tcBorders>
            <w:noWrap/>
            <w:vAlign w:val="bottom"/>
            <w:hideMark/>
          </w:tcPr>
          <w:p w14:paraId="65B1E7E3" w14:textId="77777777" w:rsidR="007A6A1A" w:rsidRPr="00663CBD" w:rsidRDefault="007A6A1A" w:rsidP="00663CBD">
            <w:pPr>
              <w:spacing w:after="0" w:line="240" w:lineRule="auto"/>
              <w:rPr>
                <w:sz w:val="20"/>
                <w:szCs w:val="20"/>
              </w:rPr>
            </w:pPr>
            <w:r w:rsidRPr="00663CBD">
              <w:rPr>
                <w:sz w:val="20"/>
                <w:szCs w:val="20"/>
              </w:rPr>
              <w:t>4.2</w:t>
            </w:r>
          </w:p>
        </w:tc>
        <w:tc>
          <w:tcPr>
            <w:tcW w:w="915" w:type="dxa"/>
            <w:tcBorders>
              <w:top w:val="nil"/>
              <w:left w:val="nil"/>
              <w:bottom w:val="nil"/>
              <w:right w:val="single" w:sz="4" w:space="0" w:color="auto"/>
            </w:tcBorders>
            <w:noWrap/>
            <w:vAlign w:val="bottom"/>
            <w:hideMark/>
          </w:tcPr>
          <w:p w14:paraId="7519EA58" w14:textId="77777777" w:rsidR="007A6A1A" w:rsidRPr="00663CBD" w:rsidRDefault="007A6A1A" w:rsidP="00663CBD">
            <w:pPr>
              <w:spacing w:after="0" w:line="240" w:lineRule="auto"/>
              <w:rPr>
                <w:sz w:val="20"/>
                <w:szCs w:val="20"/>
              </w:rPr>
            </w:pPr>
            <w:r w:rsidRPr="00663CBD">
              <w:rPr>
                <w:sz w:val="20"/>
                <w:szCs w:val="20"/>
              </w:rPr>
              <w:t>33.4</w:t>
            </w:r>
          </w:p>
        </w:tc>
      </w:tr>
      <w:tr w:rsidR="007A6A1A" w:rsidRPr="00167CB8" w14:paraId="702E8951"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7F309AF8" w14:textId="2AF3EE8E" w:rsidR="007A6A1A" w:rsidRPr="00663CBD" w:rsidRDefault="007A6A1A" w:rsidP="00663CBD">
            <w:pPr>
              <w:spacing w:after="0" w:line="240" w:lineRule="auto"/>
              <w:rPr>
                <w:sz w:val="20"/>
                <w:szCs w:val="20"/>
              </w:rPr>
            </w:pPr>
            <w:r w:rsidRPr="00663CBD">
              <w:rPr>
                <w:sz w:val="20"/>
                <w:szCs w:val="20"/>
              </w:rPr>
              <w:t>2014</w:t>
            </w:r>
            <w:r w:rsidR="00C87E4A" w:rsidRPr="00663CBD">
              <w:rPr>
                <w:rFonts w:ascii="Symbol" w:eastAsia="Symbol" w:hAnsi="Symbol" w:cs="Symbol"/>
                <w:sz w:val="20"/>
                <w:szCs w:val="20"/>
              </w:rPr>
              <w:sym w:font="Symbol" w:char="F02D"/>
            </w:r>
            <w:r w:rsidRPr="00663CBD">
              <w:rPr>
                <w:sz w:val="20"/>
                <w:szCs w:val="20"/>
              </w:rPr>
              <w:t>15</w:t>
            </w:r>
          </w:p>
        </w:tc>
        <w:tc>
          <w:tcPr>
            <w:tcW w:w="943" w:type="dxa"/>
            <w:tcBorders>
              <w:top w:val="nil"/>
              <w:left w:val="single" w:sz="4" w:space="0" w:color="auto"/>
              <w:bottom w:val="nil"/>
              <w:right w:val="nil"/>
            </w:tcBorders>
            <w:noWrap/>
            <w:vAlign w:val="bottom"/>
            <w:hideMark/>
          </w:tcPr>
          <w:p w14:paraId="06B6237E" w14:textId="77777777" w:rsidR="007A6A1A" w:rsidRPr="00663CBD" w:rsidRDefault="007A6A1A" w:rsidP="00663CBD">
            <w:pPr>
              <w:spacing w:after="0" w:line="240" w:lineRule="auto"/>
              <w:rPr>
                <w:sz w:val="20"/>
                <w:szCs w:val="20"/>
              </w:rPr>
            </w:pPr>
            <w:r w:rsidRPr="00663CBD">
              <w:rPr>
                <w:sz w:val="20"/>
                <w:szCs w:val="20"/>
              </w:rPr>
              <w:t>29.1</w:t>
            </w:r>
          </w:p>
        </w:tc>
        <w:tc>
          <w:tcPr>
            <w:tcW w:w="916" w:type="dxa"/>
            <w:tcBorders>
              <w:top w:val="nil"/>
              <w:left w:val="nil"/>
              <w:bottom w:val="nil"/>
              <w:right w:val="nil"/>
            </w:tcBorders>
            <w:noWrap/>
            <w:vAlign w:val="bottom"/>
            <w:hideMark/>
          </w:tcPr>
          <w:p w14:paraId="147C54F2" w14:textId="77777777" w:rsidR="007A6A1A" w:rsidRPr="00663CBD" w:rsidRDefault="007A6A1A" w:rsidP="00663CBD">
            <w:pPr>
              <w:spacing w:after="0" w:line="240" w:lineRule="auto"/>
              <w:rPr>
                <w:sz w:val="20"/>
                <w:szCs w:val="20"/>
              </w:rPr>
            </w:pPr>
            <w:r w:rsidRPr="00663CBD">
              <w:rPr>
                <w:sz w:val="20"/>
                <w:szCs w:val="20"/>
              </w:rPr>
              <w:t>40.8</w:t>
            </w:r>
          </w:p>
        </w:tc>
        <w:tc>
          <w:tcPr>
            <w:tcW w:w="1464" w:type="dxa"/>
            <w:tcBorders>
              <w:top w:val="nil"/>
              <w:left w:val="nil"/>
              <w:bottom w:val="nil"/>
              <w:right w:val="nil"/>
            </w:tcBorders>
            <w:noWrap/>
            <w:vAlign w:val="bottom"/>
            <w:hideMark/>
          </w:tcPr>
          <w:p w14:paraId="00D375ED" w14:textId="77777777" w:rsidR="007A6A1A" w:rsidRPr="00663CBD" w:rsidRDefault="007A6A1A" w:rsidP="00663CBD">
            <w:pPr>
              <w:spacing w:after="0" w:line="240" w:lineRule="auto"/>
              <w:rPr>
                <w:sz w:val="20"/>
                <w:szCs w:val="20"/>
              </w:rPr>
            </w:pPr>
            <w:r w:rsidRPr="00663CBD">
              <w:rPr>
                <w:sz w:val="20"/>
                <w:szCs w:val="20"/>
              </w:rPr>
              <w:t>4.9</w:t>
            </w:r>
          </w:p>
        </w:tc>
        <w:tc>
          <w:tcPr>
            <w:tcW w:w="915" w:type="dxa"/>
            <w:tcBorders>
              <w:top w:val="nil"/>
              <w:left w:val="nil"/>
              <w:bottom w:val="nil"/>
              <w:right w:val="single" w:sz="4" w:space="0" w:color="auto"/>
            </w:tcBorders>
            <w:noWrap/>
            <w:vAlign w:val="bottom"/>
            <w:hideMark/>
          </w:tcPr>
          <w:p w14:paraId="4B5FA671" w14:textId="77777777" w:rsidR="007A6A1A" w:rsidRPr="00663CBD" w:rsidRDefault="007A6A1A" w:rsidP="00663CBD">
            <w:pPr>
              <w:spacing w:after="0" w:line="240" w:lineRule="auto"/>
              <w:rPr>
                <w:sz w:val="20"/>
                <w:szCs w:val="20"/>
              </w:rPr>
            </w:pPr>
            <w:r w:rsidRPr="00663CBD">
              <w:rPr>
                <w:sz w:val="20"/>
                <w:szCs w:val="20"/>
              </w:rPr>
              <w:t>25.3</w:t>
            </w:r>
          </w:p>
        </w:tc>
        <w:tc>
          <w:tcPr>
            <w:tcW w:w="915" w:type="dxa"/>
            <w:tcBorders>
              <w:top w:val="nil"/>
              <w:left w:val="single" w:sz="4" w:space="0" w:color="auto"/>
              <w:bottom w:val="nil"/>
              <w:right w:val="nil"/>
            </w:tcBorders>
            <w:noWrap/>
            <w:vAlign w:val="bottom"/>
            <w:hideMark/>
          </w:tcPr>
          <w:p w14:paraId="2F811060" w14:textId="77777777" w:rsidR="007A6A1A" w:rsidRPr="00663CBD" w:rsidRDefault="007A6A1A" w:rsidP="00663CBD">
            <w:pPr>
              <w:spacing w:after="0" w:line="240" w:lineRule="auto"/>
              <w:rPr>
                <w:sz w:val="20"/>
                <w:szCs w:val="20"/>
              </w:rPr>
            </w:pPr>
            <w:r w:rsidRPr="00663CBD">
              <w:rPr>
                <w:sz w:val="20"/>
                <w:szCs w:val="20"/>
              </w:rPr>
              <w:t>28.0</w:t>
            </w:r>
          </w:p>
        </w:tc>
        <w:tc>
          <w:tcPr>
            <w:tcW w:w="915" w:type="dxa"/>
            <w:tcBorders>
              <w:top w:val="nil"/>
              <w:left w:val="nil"/>
              <w:bottom w:val="nil"/>
              <w:right w:val="nil"/>
            </w:tcBorders>
            <w:noWrap/>
            <w:vAlign w:val="bottom"/>
            <w:hideMark/>
          </w:tcPr>
          <w:p w14:paraId="055DF138" w14:textId="77777777" w:rsidR="007A6A1A" w:rsidRPr="00663CBD" w:rsidRDefault="007A6A1A" w:rsidP="00663CBD">
            <w:pPr>
              <w:spacing w:after="0" w:line="240" w:lineRule="auto"/>
              <w:rPr>
                <w:sz w:val="20"/>
                <w:szCs w:val="20"/>
              </w:rPr>
            </w:pPr>
            <w:r w:rsidRPr="00663CBD">
              <w:rPr>
                <w:sz w:val="20"/>
                <w:szCs w:val="20"/>
              </w:rPr>
              <w:t>44.7</w:t>
            </w:r>
          </w:p>
        </w:tc>
        <w:tc>
          <w:tcPr>
            <w:tcW w:w="1463" w:type="dxa"/>
            <w:tcBorders>
              <w:top w:val="nil"/>
              <w:left w:val="nil"/>
              <w:bottom w:val="nil"/>
              <w:right w:val="nil"/>
            </w:tcBorders>
            <w:noWrap/>
            <w:vAlign w:val="bottom"/>
            <w:hideMark/>
          </w:tcPr>
          <w:p w14:paraId="7FFBA99C" w14:textId="77777777" w:rsidR="007A6A1A" w:rsidRPr="00663CBD" w:rsidRDefault="007A6A1A" w:rsidP="00663CBD">
            <w:pPr>
              <w:spacing w:after="0" w:line="240" w:lineRule="auto"/>
              <w:rPr>
                <w:sz w:val="20"/>
                <w:szCs w:val="20"/>
              </w:rPr>
            </w:pPr>
            <w:r w:rsidRPr="00663CBD">
              <w:rPr>
                <w:sz w:val="20"/>
                <w:szCs w:val="20"/>
              </w:rPr>
              <w:t>4.4</w:t>
            </w:r>
          </w:p>
        </w:tc>
        <w:tc>
          <w:tcPr>
            <w:tcW w:w="915" w:type="dxa"/>
            <w:tcBorders>
              <w:top w:val="nil"/>
              <w:left w:val="nil"/>
              <w:bottom w:val="nil"/>
              <w:right w:val="single" w:sz="4" w:space="0" w:color="auto"/>
            </w:tcBorders>
            <w:noWrap/>
            <w:vAlign w:val="bottom"/>
            <w:hideMark/>
          </w:tcPr>
          <w:p w14:paraId="74A6D5AE" w14:textId="77777777" w:rsidR="007A6A1A" w:rsidRPr="00663CBD" w:rsidRDefault="007A6A1A" w:rsidP="00663CBD">
            <w:pPr>
              <w:spacing w:after="0" w:line="240" w:lineRule="auto"/>
              <w:rPr>
                <w:sz w:val="20"/>
                <w:szCs w:val="20"/>
              </w:rPr>
            </w:pPr>
            <w:r w:rsidRPr="00663CBD">
              <w:rPr>
                <w:sz w:val="20"/>
                <w:szCs w:val="20"/>
              </w:rPr>
              <w:t>23.0</w:t>
            </w:r>
          </w:p>
        </w:tc>
        <w:tc>
          <w:tcPr>
            <w:tcW w:w="961" w:type="dxa"/>
            <w:tcBorders>
              <w:top w:val="nil"/>
              <w:left w:val="single" w:sz="4" w:space="0" w:color="auto"/>
              <w:bottom w:val="nil"/>
              <w:right w:val="nil"/>
            </w:tcBorders>
            <w:noWrap/>
            <w:vAlign w:val="bottom"/>
            <w:hideMark/>
          </w:tcPr>
          <w:p w14:paraId="3F6078E9" w14:textId="77777777" w:rsidR="007A6A1A" w:rsidRPr="00663CBD" w:rsidRDefault="007A6A1A" w:rsidP="00663CBD">
            <w:pPr>
              <w:spacing w:after="0" w:line="240" w:lineRule="auto"/>
              <w:rPr>
                <w:sz w:val="20"/>
                <w:szCs w:val="20"/>
              </w:rPr>
            </w:pPr>
            <w:r w:rsidRPr="00663CBD">
              <w:rPr>
                <w:sz w:val="20"/>
                <w:szCs w:val="20"/>
              </w:rPr>
              <w:t>29.9</w:t>
            </w:r>
          </w:p>
        </w:tc>
        <w:tc>
          <w:tcPr>
            <w:tcW w:w="915" w:type="dxa"/>
            <w:tcBorders>
              <w:top w:val="nil"/>
              <w:left w:val="nil"/>
              <w:bottom w:val="nil"/>
              <w:right w:val="nil"/>
            </w:tcBorders>
            <w:noWrap/>
            <w:vAlign w:val="bottom"/>
            <w:hideMark/>
          </w:tcPr>
          <w:p w14:paraId="730B507E" w14:textId="77777777" w:rsidR="007A6A1A" w:rsidRPr="00663CBD" w:rsidRDefault="007A6A1A" w:rsidP="00663CBD">
            <w:pPr>
              <w:spacing w:after="0" w:line="240" w:lineRule="auto"/>
              <w:rPr>
                <w:sz w:val="20"/>
                <w:szCs w:val="20"/>
              </w:rPr>
            </w:pPr>
            <w:r w:rsidRPr="00663CBD">
              <w:rPr>
                <w:sz w:val="20"/>
                <w:szCs w:val="20"/>
              </w:rPr>
              <w:t>37.9</w:t>
            </w:r>
          </w:p>
        </w:tc>
        <w:tc>
          <w:tcPr>
            <w:tcW w:w="1463" w:type="dxa"/>
            <w:tcBorders>
              <w:top w:val="nil"/>
              <w:left w:val="nil"/>
              <w:bottom w:val="nil"/>
              <w:right w:val="nil"/>
            </w:tcBorders>
            <w:noWrap/>
            <w:vAlign w:val="bottom"/>
            <w:hideMark/>
          </w:tcPr>
          <w:p w14:paraId="141BE76A" w14:textId="77777777" w:rsidR="007A6A1A" w:rsidRPr="00663CBD" w:rsidRDefault="007A6A1A" w:rsidP="00663CBD">
            <w:pPr>
              <w:spacing w:after="0" w:line="240" w:lineRule="auto"/>
              <w:rPr>
                <w:sz w:val="20"/>
                <w:szCs w:val="20"/>
              </w:rPr>
            </w:pPr>
            <w:r w:rsidRPr="00663CBD">
              <w:rPr>
                <w:sz w:val="20"/>
                <w:szCs w:val="20"/>
              </w:rPr>
              <w:t>5.3</w:t>
            </w:r>
          </w:p>
        </w:tc>
        <w:tc>
          <w:tcPr>
            <w:tcW w:w="915" w:type="dxa"/>
            <w:tcBorders>
              <w:top w:val="nil"/>
              <w:left w:val="nil"/>
              <w:bottom w:val="nil"/>
              <w:right w:val="single" w:sz="4" w:space="0" w:color="auto"/>
            </w:tcBorders>
            <w:noWrap/>
            <w:vAlign w:val="bottom"/>
            <w:hideMark/>
          </w:tcPr>
          <w:p w14:paraId="0D8987E1" w14:textId="77777777" w:rsidR="007A6A1A" w:rsidRPr="00663CBD" w:rsidRDefault="007A6A1A" w:rsidP="00663CBD">
            <w:pPr>
              <w:spacing w:after="0" w:line="240" w:lineRule="auto"/>
              <w:rPr>
                <w:sz w:val="20"/>
                <w:szCs w:val="20"/>
              </w:rPr>
            </w:pPr>
            <w:r w:rsidRPr="00663CBD">
              <w:rPr>
                <w:sz w:val="20"/>
                <w:szCs w:val="20"/>
              </w:rPr>
              <w:t>27.0</w:t>
            </w:r>
          </w:p>
        </w:tc>
      </w:tr>
      <w:tr w:rsidR="007A6A1A" w:rsidRPr="00167CB8" w14:paraId="66F3483B"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4456ECAD" w14:textId="6B137A80" w:rsidR="007A6A1A" w:rsidRPr="00663CBD" w:rsidRDefault="007A6A1A" w:rsidP="00663CBD">
            <w:pPr>
              <w:spacing w:after="0" w:line="240" w:lineRule="auto"/>
              <w:rPr>
                <w:sz w:val="20"/>
                <w:szCs w:val="20"/>
              </w:rPr>
            </w:pPr>
            <w:r w:rsidRPr="00663CBD">
              <w:rPr>
                <w:sz w:val="20"/>
                <w:szCs w:val="20"/>
              </w:rPr>
              <w:t>2015</w:t>
            </w:r>
            <w:r w:rsidR="00C87E4A" w:rsidRPr="00663CBD">
              <w:rPr>
                <w:rFonts w:ascii="Symbol" w:eastAsia="Symbol" w:hAnsi="Symbol" w:cs="Symbol"/>
                <w:sz w:val="20"/>
                <w:szCs w:val="20"/>
              </w:rPr>
              <w:sym w:font="Symbol" w:char="F02D"/>
            </w:r>
            <w:r w:rsidRPr="00663CBD">
              <w:rPr>
                <w:sz w:val="20"/>
                <w:szCs w:val="20"/>
              </w:rPr>
              <w:t>16</w:t>
            </w:r>
          </w:p>
        </w:tc>
        <w:tc>
          <w:tcPr>
            <w:tcW w:w="943" w:type="dxa"/>
            <w:tcBorders>
              <w:top w:val="nil"/>
              <w:left w:val="single" w:sz="4" w:space="0" w:color="auto"/>
              <w:bottom w:val="nil"/>
              <w:right w:val="nil"/>
            </w:tcBorders>
            <w:noWrap/>
            <w:vAlign w:val="bottom"/>
            <w:hideMark/>
          </w:tcPr>
          <w:p w14:paraId="55C27340" w14:textId="77777777" w:rsidR="007A6A1A" w:rsidRPr="00663CBD" w:rsidRDefault="007A6A1A" w:rsidP="00663CBD">
            <w:pPr>
              <w:spacing w:after="0" w:line="240" w:lineRule="auto"/>
              <w:rPr>
                <w:sz w:val="20"/>
                <w:szCs w:val="20"/>
              </w:rPr>
            </w:pPr>
            <w:r w:rsidRPr="00663CBD">
              <w:rPr>
                <w:sz w:val="20"/>
                <w:szCs w:val="20"/>
              </w:rPr>
              <w:t>33.1</w:t>
            </w:r>
          </w:p>
        </w:tc>
        <w:tc>
          <w:tcPr>
            <w:tcW w:w="916" w:type="dxa"/>
            <w:tcBorders>
              <w:top w:val="nil"/>
              <w:left w:val="nil"/>
              <w:bottom w:val="nil"/>
              <w:right w:val="nil"/>
            </w:tcBorders>
            <w:noWrap/>
            <w:vAlign w:val="bottom"/>
            <w:hideMark/>
          </w:tcPr>
          <w:p w14:paraId="1FCC4641" w14:textId="77777777" w:rsidR="007A6A1A" w:rsidRPr="00663CBD" w:rsidRDefault="007A6A1A" w:rsidP="00663CBD">
            <w:pPr>
              <w:spacing w:after="0" w:line="240" w:lineRule="auto"/>
              <w:rPr>
                <w:sz w:val="20"/>
                <w:szCs w:val="20"/>
              </w:rPr>
            </w:pPr>
            <w:r w:rsidRPr="00663CBD">
              <w:rPr>
                <w:sz w:val="20"/>
                <w:szCs w:val="20"/>
              </w:rPr>
              <w:t>35.5</w:t>
            </w:r>
          </w:p>
        </w:tc>
        <w:tc>
          <w:tcPr>
            <w:tcW w:w="1464" w:type="dxa"/>
            <w:tcBorders>
              <w:top w:val="nil"/>
              <w:left w:val="nil"/>
              <w:bottom w:val="nil"/>
              <w:right w:val="nil"/>
            </w:tcBorders>
            <w:noWrap/>
            <w:vAlign w:val="bottom"/>
            <w:hideMark/>
          </w:tcPr>
          <w:p w14:paraId="7AAFE395" w14:textId="77777777" w:rsidR="007A6A1A" w:rsidRPr="00663CBD" w:rsidRDefault="007A6A1A" w:rsidP="00663CBD">
            <w:pPr>
              <w:spacing w:after="0" w:line="240" w:lineRule="auto"/>
              <w:rPr>
                <w:sz w:val="20"/>
                <w:szCs w:val="20"/>
              </w:rPr>
            </w:pPr>
            <w:r w:rsidRPr="00663CBD">
              <w:rPr>
                <w:sz w:val="20"/>
                <w:szCs w:val="20"/>
              </w:rPr>
              <w:t>4.2</w:t>
            </w:r>
          </w:p>
        </w:tc>
        <w:tc>
          <w:tcPr>
            <w:tcW w:w="915" w:type="dxa"/>
            <w:tcBorders>
              <w:top w:val="nil"/>
              <w:left w:val="nil"/>
              <w:bottom w:val="nil"/>
              <w:right w:val="single" w:sz="4" w:space="0" w:color="auto"/>
            </w:tcBorders>
            <w:noWrap/>
            <w:vAlign w:val="bottom"/>
            <w:hideMark/>
          </w:tcPr>
          <w:p w14:paraId="48BABF44" w14:textId="77777777" w:rsidR="007A6A1A" w:rsidRPr="00663CBD" w:rsidRDefault="007A6A1A" w:rsidP="00663CBD">
            <w:pPr>
              <w:spacing w:after="0" w:line="240" w:lineRule="auto"/>
              <w:rPr>
                <w:sz w:val="20"/>
                <w:szCs w:val="20"/>
              </w:rPr>
            </w:pPr>
            <w:r w:rsidRPr="00663CBD">
              <w:rPr>
                <w:sz w:val="20"/>
                <w:szCs w:val="20"/>
              </w:rPr>
              <w:t>27.2</w:t>
            </w:r>
          </w:p>
        </w:tc>
        <w:tc>
          <w:tcPr>
            <w:tcW w:w="915" w:type="dxa"/>
            <w:tcBorders>
              <w:top w:val="nil"/>
              <w:left w:val="single" w:sz="4" w:space="0" w:color="auto"/>
              <w:bottom w:val="nil"/>
              <w:right w:val="nil"/>
            </w:tcBorders>
            <w:noWrap/>
            <w:vAlign w:val="bottom"/>
            <w:hideMark/>
          </w:tcPr>
          <w:p w14:paraId="3F488286" w14:textId="77777777" w:rsidR="007A6A1A" w:rsidRPr="00663CBD" w:rsidRDefault="007A6A1A" w:rsidP="00663CBD">
            <w:pPr>
              <w:spacing w:after="0" w:line="240" w:lineRule="auto"/>
              <w:rPr>
                <w:sz w:val="20"/>
                <w:szCs w:val="20"/>
              </w:rPr>
            </w:pPr>
            <w:r w:rsidRPr="00663CBD">
              <w:rPr>
                <w:sz w:val="20"/>
                <w:szCs w:val="20"/>
              </w:rPr>
              <w:t>34.8</w:t>
            </w:r>
          </w:p>
        </w:tc>
        <w:tc>
          <w:tcPr>
            <w:tcW w:w="915" w:type="dxa"/>
            <w:tcBorders>
              <w:top w:val="nil"/>
              <w:left w:val="nil"/>
              <w:bottom w:val="nil"/>
              <w:right w:val="nil"/>
            </w:tcBorders>
            <w:noWrap/>
            <w:vAlign w:val="bottom"/>
            <w:hideMark/>
          </w:tcPr>
          <w:p w14:paraId="5BC41AF5" w14:textId="77777777" w:rsidR="007A6A1A" w:rsidRPr="00663CBD" w:rsidRDefault="007A6A1A" w:rsidP="00663CBD">
            <w:pPr>
              <w:spacing w:after="0" w:line="240" w:lineRule="auto"/>
              <w:rPr>
                <w:sz w:val="20"/>
                <w:szCs w:val="20"/>
              </w:rPr>
            </w:pPr>
            <w:r w:rsidRPr="00663CBD">
              <w:rPr>
                <w:sz w:val="20"/>
                <w:szCs w:val="20"/>
              </w:rPr>
              <w:t>37.2</w:t>
            </w:r>
          </w:p>
        </w:tc>
        <w:tc>
          <w:tcPr>
            <w:tcW w:w="1463" w:type="dxa"/>
            <w:tcBorders>
              <w:top w:val="nil"/>
              <w:left w:val="nil"/>
              <w:bottom w:val="nil"/>
              <w:right w:val="nil"/>
            </w:tcBorders>
            <w:noWrap/>
            <w:vAlign w:val="bottom"/>
            <w:hideMark/>
          </w:tcPr>
          <w:p w14:paraId="0D4AFF66" w14:textId="77777777" w:rsidR="007A6A1A" w:rsidRPr="00663CBD" w:rsidRDefault="007A6A1A" w:rsidP="00663CBD">
            <w:pPr>
              <w:spacing w:after="0" w:line="240" w:lineRule="auto"/>
              <w:rPr>
                <w:sz w:val="20"/>
                <w:szCs w:val="20"/>
              </w:rPr>
            </w:pPr>
            <w:r w:rsidRPr="00663CBD">
              <w:rPr>
                <w:sz w:val="20"/>
                <w:szCs w:val="20"/>
              </w:rPr>
              <w:t>2.4</w:t>
            </w:r>
          </w:p>
        </w:tc>
        <w:tc>
          <w:tcPr>
            <w:tcW w:w="915" w:type="dxa"/>
            <w:tcBorders>
              <w:top w:val="nil"/>
              <w:left w:val="nil"/>
              <w:bottom w:val="nil"/>
              <w:right w:val="single" w:sz="4" w:space="0" w:color="auto"/>
            </w:tcBorders>
            <w:noWrap/>
            <w:vAlign w:val="bottom"/>
            <w:hideMark/>
          </w:tcPr>
          <w:p w14:paraId="1134B018" w14:textId="77777777" w:rsidR="007A6A1A" w:rsidRPr="00663CBD" w:rsidRDefault="007A6A1A" w:rsidP="00663CBD">
            <w:pPr>
              <w:spacing w:after="0" w:line="240" w:lineRule="auto"/>
              <w:rPr>
                <w:sz w:val="20"/>
                <w:szCs w:val="20"/>
              </w:rPr>
            </w:pPr>
            <w:r w:rsidRPr="00663CBD">
              <w:rPr>
                <w:sz w:val="20"/>
                <w:szCs w:val="20"/>
              </w:rPr>
              <w:t>25.7</w:t>
            </w:r>
          </w:p>
        </w:tc>
        <w:tc>
          <w:tcPr>
            <w:tcW w:w="961" w:type="dxa"/>
            <w:tcBorders>
              <w:top w:val="nil"/>
              <w:left w:val="single" w:sz="4" w:space="0" w:color="auto"/>
              <w:bottom w:val="nil"/>
              <w:right w:val="nil"/>
            </w:tcBorders>
            <w:noWrap/>
            <w:vAlign w:val="bottom"/>
            <w:hideMark/>
          </w:tcPr>
          <w:p w14:paraId="2D543980" w14:textId="77777777" w:rsidR="007A6A1A" w:rsidRPr="00663CBD" w:rsidRDefault="007A6A1A" w:rsidP="00663CBD">
            <w:pPr>
              <w:spacing w:after="0" w:line="240" w:lineRule="auto"/>
              <w:rPr>
                <w:sz w:val="20"/>
                <w:szCs w:val="20"/>
              </w:rPr>
            </w:pPr>
            <w:r w:rsidRPr="00663CBD">
              <w:rPr>
                <w:sz w:val="20"/>
                <w:szCs w:val="20"/>
              </w:rPr>
              <w:t>31.8</w:t>
            </w:r>
          </w:p>
        </w:tc>
        <w:tc>
          <w:tcPr>
            <w:tcW w:w="915" w:type="dxa"/>
            <w:tcBorders>
              <w:top w:val="nil"/>
              <w:left w:val="nil"/>
              <w:bottom w:val="nil"/>
              <w:right w:val="nil"/>
            </w:tcBorders>
            <w:noWrap/>
            <w:vAlign w:val="bottom"/>
            <w:hideMark/>
          </w:tcPr>
          <w:p w14:paraId="132EA07F" w14:textId="77777777" w:rsidR="007A6A1A" w:rsidRPr="00663CBD" w:rsidRDefault="007A6A1A" w:rsidP="00663CBD">
            <w:pPr>
              <w:spacing w:after="0" w:line="240" w:lineRule="auto"/>
              <w:rPr>
                <w:sz w:val="20"/>
                <w:szCs w:val="20"/>
              </w:rPr>
            </w:pPr>
            <w:r w:rsidRPr="00663CBD">
              <w:rPr>
                <w:sz w:val="20"/>
                <w:szCs w:val="20"/>
              </w:rPr>
              <w:t>34.3</w:t>
            </w:r>
          </w:p>
        </w:tc>
        <w:tc>
          <w:tcPr>
            <w:tcW w:w="1463" w:type="dxa"/>
            <w:tcBorders>
              <w:top w:val="nil"/>
              <w:left w:val="nil"/>
              <w:bottom w:val="nil"/>
              <w:right w:val="nil"/>
            </w:tcBorders>
            <w:noWrap/>
            <w:vAlign w:val="bottom"/>
            <w:hideMark/>
          </w:tcPr>
          <w:p w14:paraId="7ECFD610" w14:textId="77777777" w:rsidR="007A6A1A" w:rsidRPr="00663CBD" w:rsidRDefault="007A6A1A" w:rsidP="00663CBD">
            <w:pPr>
              <w:spacing w:after="0" w:line="240" w:lineRule="auto"/>
              <w:rPr>
                <w:sz w:val="20"/>
                <w:szCs w:val="20"/>
              </w:rPr>
            </w:pPr>
            <w:r w:rsidRPr="00663CBD">
              <w:rPr>
                <w:sz w:val="20"/>
                <w:szCs w:val="20"/>
              </w:rPr>
              <w:t>5.6</w:t>
            </w:r>
          </w:p>
        </w:tc>
        <w:tc>
          <w:tcPr>
            <w:tcW w:w="915" w:type="dxa"/>
            <w:tcBorders>
              <w:top w:val="nil"/>
              <w:left w:val="nil"/>
              <w:bottom w:val="nil"/>
              <w:right w:val="single" w:sz="4" w:space="0" w:color="auto"/>
            </w:tcBorders>
            <w:noWrap/>
            <w:vAlign w:val="bottom"/>
            <w:hideMark/>
          </w:tcPr>
          <w:p w14:paraId="06543148" w14:textId="77777777" w:rsidR="007A6A1A" w:rsidRPr="00663CBD" w:rsidRDefault="007A6A1A" w:rsidP="00663CBD">
            <w:pPr>
              <w:spacing w:after="0" w:line="240" w:lineRule="auto"/>
              <w:rPr>
                <w:sz w:val="20"/>
                <w:szCs w:val="20"/>
              </w:rPr>
            </w:pPr>
            <w:r w:rsidRPr="00663CBD">
              <w:rPr>
                <w:sz w:val="20"/>
                <w:szCs w:val="20"/>
              </w:rPr>
              <w:t>28.4</w:t>
            </w:r>
          </w:p>
        </w:tc>
      </w:tr>
      <w:tr w:rsidR="007A6A1A" w:rsidRPr="00167CB8" w14:paraId="3EA62BAB"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1E26FEAA" w14:textId="654F7430" w:rsidR="007A6A1A" w:rsidRPr="00663CBD" w:rsidRDefault="007A6A1A" w:rsidP="00663CBD">
            <w:pPr>
              <w:spacing w:after="0" w:line="240" w:lineRule="auto"/>
              <w:rPr>
                <w:sz w:val="20"/>
                <w:szCs w:val="20"/>
              </w:rPr>
            </w:pPr>
            <w:r w:rsidRPr="00663CBD">
              <w:rPr>
                <w:sz w:val="20"/>
                <w:szCs w:val="20"/>
              </w:rPr>
              <w:t>2016</w:t>
            </w:r>
            <w:r w:rsidR="00C87E4A" w:rsidRPr="00663CBD">
              <w:rPr>
                <w:rFonts w:ascii="Symbol" w:eastAsia="Symbol" w:hAnsi="Symbol" w:cs="Symbol"/>
                <w:sz w:val="20"/>
                <w:szCs w:val="20"/>
              </w:rPr>
              <w:sym w:font="Symbol" w:char="F02D"/>
            </w:r>
            <w:r w:rsidRPr="00663CBD">
              <w:rPr>
                <w:sz w:val="20"/>
                <w:szCs w:val="20"/>
              </w:rPr>
              <w:t>17</w:t>
            </w:r>
          </w:p>
        </w:tc>
        <w:tc>
          <w:tcPr>
            <w:tcW w:w="943" w:type="dxa"/>
            <w:tcBorders>
              <w:top w:val="nil"/>
              <w:left w:val="single" w:sz="4" w:space="0" w:color="auto"/>
              <w:bottom w:val="nil"/>
              <w:right w:val="nil"/>
            </w:tcBorders>
            <w:noWrap/>
            <w:vAlign w:val="bottom"/>
            <w:hideMark/>
          </w:tcPr>
          <w:p w14:paraId="59048391" w14:textId="77777777" w:rsidR="007A6A1A" w:rsidRPr="00663CBD" w:rsidRDefault="007A6A1A" w:rsidP="00663CBD">
            <w:pPr>
              <w:spacing w:after="0" w:line="240" w:lineRule="auto"/>
              <w:rPr>
                <w:sz w:val="20"/>
                <w:szCs w:val="20"/>
              </w:rPr>
            </w:pPr>
            <w:r w:rsidRPr="00663CBD">
              <w:rPr>
                <w:sz w:val="20"/>
                <w:szCs w:val="20"/>
              </w:rPr>
              <w:t>35.8</w:t>
            </w:r>
          </w:p>
        </w:tc>
        <w:tc>
          <w:tcPr>
            <w:tcW w:w="916" w:type="dxa"/>
            <w:tcBorders>
              <w:top w:val="nil"/>
              <w:left w:val="nil"/>
              <w:bottom w:val="nil"/>
              <w:right w:val="nil"/>
            </w:tcBorders>
            <w:noWrap/>
            <w:vAlign w:val="bottom"/>
            <w:hideMark/>
          </w:tcPr>
          <w:p w14:paraId="1D383A47" w14:textId="77777777" w:rsidR="007A6A1A" w:rsidRPr="00663CBD" w:rsidRDefault="007A6A1A" w:rsidP="00663CBD">
            <w:pPr>
              <w:spacing w:after="0" w:line="240" w:lineRule="auto"/>
              <w:rPr>
                <w:sz w:val="20"/>
                <w:szCs w:val="20"/>
              </w:rPr>
            </w:pPr>
            <w:r w:rsidRPr="00663CBD">
              <w:rPr>
                <w:sz w:val="20"/>
                <w:szCs w:val="20"/>
              </w:rPr>
              <w:t>35.3</w:t>
            </w:r>
          </w:p>
        </w:tc>
        <w:tc>
          <w:tcPr>
            <w:tcW w:w="1464" w:type="dxa"/>
            <w:tcBorders>
              <w:top w:val="nil"/>
              <w:left w:val="nil"/>
              <w:bottom w:val="nil"/>
              <w:right w:val="nil"/>
            </w:tcBorders>
            <w:noWrap/>
            <w:vAlign w:val="bottom"/>
            <w:hideMark/>
          </w:tcPr>
          <w:p w14:paraId="11207F27" w14:textId="77777777" w:rsidR="007A6A1A" w:rsidRPr="00663CBD" w:rsidRDefault="007A6A1A" w:rsidP="00663CBD">
            <w:pPr>
              <w:spacing w:after="0" w:line="240" w:lineRule="auto"/>
              <w:rPr>
                <w:sz w:val="20"/>
                <w:szCs w:val="20"/>
              </w:rPr>
            </w:pPr>
            <w:r w:rsidRPr="00663CBD">
              <w:rPr>
                <w:sz w:val="20"/>
                <w:szCs w:val="20"/>
              </w:rPr>
              <w:t>3.1</w:t>
            </w:r>
          </w:p>
        </w:tc>
        <w:tc>
          <w:tcPr>
            <w:tcW w:w="915" w:type="dxa"/>
            <w:tcBorders>
              <w:top w:val="nil"/>
              <w:left w:val="nil"/>
              <w:bottom w:val="nil"/>
              <w:right w:val="single" w:sz="4" w:space="0" w:color="auto"/>
            </w:tcBorders>
            <w:noWrap/>
            <w:vAlign w:val="bottom"/>
            <w:hideMark/>
          </w:tcPr>
          <w:p w14:paraId="26BAA7FA" w14:textId="77777777" w:rsidR="007A6A1A" w:rsidRPr="00663CBD" w:rsidRDefault="007A6A1A" w:rsidP="00663CBD">
            <w:pPr>
              <w:spacing w:after="0" w:line="240" w:lineRule="auto"/>
              <w:rPr>
                <w:sz w:val="20"/>
                <w:szCs w:val="20"/>
              </w:rPr>
            </w:pPr>
            <w:r w:rsidRPr="00663CBD">
              <w:rPr>
                <w:sz w:val="20"/>
                <w:szCs w:val="20"/>
              </w:rPr>
              <w:t>25.8</w:t>
            </w:r>
          </w:p>
        </w:tc>
        <w:tc>
          <w:tcPr>
            <w:tcW w:w="915" w:type="dxa"/>
            <w:tcBorders>
              <w:top w:val="nil"/>
              <w:left w:val="single" w:sz="4" w:space="0" w:color="auto"/>
              <w:bottom w:val="nil"/>
              <w:right w:val="nil"/>
            </w:tcBorders>
            <w:noWrap/>
            <w:vAlign w:val="bottom"/>
            <w:hideMark/>
          </w:tcPr>
          <w:p w14:paraId="61CAED1F" w14:textId="77777777" w:rsidR="007A6A1A" w:rsidRPr="00663CBD" w:rsidRDefault="007A6A1A" w:rsidP="00663CBD">
            <w:pPr>
              <w:spacing w:after="0" w:line="240" w:lineRule="auto"/>
              <w:rPr>
                <w:sz w:val="20"/>
                <w:szCs w:val="20"/>
              </w:rPr>
            </w:pPr>
            <w:r w:rsidRPr="00663CBD">
              <w:rPr>
                <w:sz w:val="20"/>
                <w:szCs w:val="20"/>
              </w:rPr>
              <w:t>40.4</w:t>
            </w:r>
          </w:p>
        </w:tc>
        <w:tc>
          <w:tcPr>
            <w:tcW w:w="915" w:type="dxa"/>
            <w:tcBorders>
              <w:top w:val="nil"/>
              <w:left w:val="nil"/>
              <w:bottom w:val="nil"/>
              <w:right w:val="nil"/>
            </w:tcBorders>
            <w:noWrap/>
            <w:vAlign w:val="bottom"/>
            <w:hideMark/>
          </w:tcPr>
          <w:p w14:paraId="40F7AD28" w14:textId="77777777" w:rsidR="007A6A1A" w:rsidRPr="00663CBD" w:rsidRDefault="007A6A1A" w:rsidP="00663CBD">
            <w:pPr>
              <w:spacing w:after="0" w:line="240" w:lineRule="auto"/>
              <w:rPr>
                <w:sz w:val="20"/>
                <w:szCs w:val="20"/>
              </w:rPr>
            </w:pPr>
            <w:r w:rsidRPr="00663CBD">
              <w:rPr>
                <w:sz w:val="20"/>
                <w:szCs w:val="20"/>
              </w:rPr>
              <w:t>35.7</w:t>
            </w:r>
          </w:p>
        </w:tc>
        <w:tc>
          <w:tcPr>
            <w:tcW w:w="1463" w:type="dxa"/>
            <w:tcBorders>
              <w:top w:val="nil"/>
              <w:left w:val="nil"/>
              <w:bottom w:val="nil"/>
              <w:right w:val="nil"/>
            </w:tcBorders>
            <w:noWrap/>
            <w:vAlign w:val="bottom"/>
            <w:hideMark/>
          </w:tcPr>
          <w:p w14:paraId="78BAAAC6" w14:textId="77777777" w:rsidR="007A6A1A" w:rsidRPr="00663CBD" w:rsidRDefault="007A6A1A" w:rsidP="00663CBD">
            <w:pPr>
              <w:spacing w:after="0" w:line="240" w:lineRule="auto"/>
              <w:rPr>
                <w:sz w:val="20"/>
                <w:szCs w:val="20"/>
              </w:rPr>
            </w:pPr>
            <w:r w:rsidRPr="00663CBD">
              <w:rPr>
                <w:sz w:val="20"/>
                <w:szCs w:val="20"/>
              </w:rPr>
              <w:t>2.2</w:t>
            </w:r>
          </w:p>
        </w:tc>
        <w:tc>
          <w:tcPr>
            <w:tcW w:w="915" w:type="dxa"/>
            <w:tcBorders>
              <w:top w:val="nil"/>
              <w:left w:val="nil"/>
              <w:bottom w:val="nil"/>
              <w:right w:val="single" w:sz="4" w:space="0" w:color="auto"/>
            </w:tcBorders>
            <w:noWrap/>
            <w:vAlign w:val="bottom"/>
            <w:hideMark/>
          </w:tcPr>
          <w:p w14:paraId="2C366691" w14:textId="77777777" w:rsidR="007A6A1A" w:rsidRPr="00663CBD" w:rsidRDefault="007A6A1A" w:rsidP="00663CBD">
            <w:pPr>
              <w:spacing w:after="0" w:line="240" w:lineRule="auto"/>
              <w:rPr>
                <w:sz w:val="20"/>
                <w:szCs w:val="20"/>
              </w:rPr>
            </w:pPr>
            <w:r w:rsidRPr="00663CBD">
              <w:rPr>
                <w:sz w:val="20"/>
                <w:szCs w:val="20"/>
              </w:rPr>
              <w:t>21.7</w:t>
            </w:r>
          </w:p>
        </w:tc>
        <w:tc>
          <w:tcPr>
            <w:tcW w:w="961" w:type="dxa"/>
            <w:tcBorders>
              <w:top w:val="nil"/>
              <w:left w:val="single" w:sz="4" w:space="0" w:color="auto"/>
              <w:bottom w:val="nil"/>
              <w:right w:val="nil"/>
            </w:tcBorders>
            <w:noWrap/>
            <w:vAlign w:val="bottom"/>
            <w:hideMark/>
          </w:tcPr>
          <w:p w14:paraId="3E098D3C" w14:textId="77777777" w:rsidR="007A6A1A" w:rsidRPr="00663CBD" w:rsidRDefault="007A6A1A" w:rsidP="00663CBD">
            <w:pPr>
              <w:spacing w:after="0" w:line="240" w:lineRule="auto"/>
              <w:rPr>
                <w:sz w:val="20"/>
                <w:szCs w:val="20"/>
              </w:rPr>
            </w:pPr>
            <w:r w:rsidRPr="00663CBD">
              <w:rPr>
                <w:sz w:val="20"/>
                <w:szCs w:val="20"/>
              </w:rPr>
              <w:t>32.4</w:t>
            </w:r>
          </w:p>
        </w:tc>
        <w:tc>
          <w:tcPr>
            <w:tcW w:w="915" w:type="dxa"/>
            <w:tcBorders>
              <w:top w:val="nil"/>
              <w:left w:val="nil"/>
              <w:bottom w:val="nil"/>
              <w:right w:val="nil"/>
            </w:tcBorders>
            <w:noWrap/>
            <w:vAlign w:val="bottom"/>
            <w:hideMark/>
          </w:tcPr>
          <w:p w14:paraId="0F7C185B" w14:textId="77777777" w:rsidR="007A6A1A" w:rsidRPr="00663CBD" w:rsidRDefault="007A6A1A" w:rsidP="00663CBD">
            <w:pPr>
              <w:spacing w:after="0" w:line="240" w:lineRule="auto"/>
              <w:rPr>
                <w:sz w:val="20"/>
                <w:szCs w:val="20"/>
              </w:rPr>
            </w:pPr>
            <w:r w:rsidRPr="00663CBD">
              <w:rPr>
                <w:sz w:val="20"/>
                <w:szCs w:val="20"/>
              </w:rPr>
              <w:t>35.0</w:t>
            </w:r>
          </w:p>
        </w:tc>
        <w:tc>
          <w:tcPr>
            <w:tcW w:w="1463" w:type="dxa"/>
            <w:tcBorders>
              <w:top w:val="nil"/>
              <w:left w:val="nil"/>
              <w:bottom w:val="nil"/>
              <w:right w:val="nil"/>
            </w:tcBorders>
            <w:noWrap/>
            <w:vAlign w:val="bottom"/>
            <w:hideMark/>
          </w:tcPr>
          <w:p w14:paraId="26BF2191" w14:textId="77777777" w:rsidR="007A6A1A" w:rsidRPr="00663CBD" w:rsidRDefault="007A6A1A" w:rsidP="00663CBD">
            <w:pPr>
              <w:spacing w:after="0" w:line="240" w:lineRule="auto"/>
              <w:rPr>
                <w:sz w:val="20"/>
                <w:szCs w:val="20"/>
              </w:rPr>
            </w:pPr>
            <w:r w:rsidRPr="00663CBD">
              <w:rPr>
                <w:sz w:val="20"/>
                <w:szCs w:val="20"/>
              </w:rPr>
              <w:t>3.7</w:t>
            </w:r>
          </w:p>
        </w:tc>
        <w:tc>
          <w:tcPr>
            <w:tcW w:w="915" w:type="dxa"/>
            <w:tcBorders>
              <w:top w:val="nil"/>
              <w:left w:val="nil"/>
              <w:bottom w:val="nil"/>
              <w:right w:val="single" w:sz="4" w:space="0" w:color="auto"/>
            </w:tcBorders>
            <w:noWrap/>
            <w:vAlign w:val="bottom"/>
            <w:hideMark/>
          </w:tcPr>
          <w:p w14:paraId="0D778E99" w14:textId="77777777" w:rsidR="007A6A1A" w:rsidRPr="00663CBD" w:rsidRDefault="007A6A1A" w:rsidP="00663CBD">
            <w:pPr>
              <w:spacing w:after="0" w:line="240" w:lineRule="auto"/>
              <w:rPr>
                <w:sz w:val="20"/>
                <w:szCs w:val="20"/>
              </w:rPr>
            </w:pPr>
            <w:r w:rsidRPr="00663CBD">
              <w:rPr>
                <w:sz w:val="20"/>
                <w:szCs w:val="20"/>
              </w:rPr>
              <w:t>28.9</w:t>
            </w:r>
          </w:p>
        </w:tc>
      </w:tr>
      <w:tr w:rsidR="007A6A1A" w:rsidRPr="00167CB8" w14:paraId="25604777"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07E61FC8" w14:textId="342940A9" w:rsidR="007A6A1A" w:rsidRPr="00663CBD" w:rsidRDefault="007A6A1A" w:rsidP="00663CBD">
            <w:pPr>
              <w:spacing w:after="0" w:line="240" w:lineRule="auto"/>
              <w:rPr>
                <w:sz w:val="20"/>
                <w:szCs w:val="20"/>
              </w:rPr>
            </w:pPr>
            <w:r w:rsidRPr="00663CBD">
              <w:rPr>
                <w:sz w:val="20"/>
                <w:szCs w:val="20"/>
              </w:rPr>
              <w:t>2017</w:t>
            </w:r>
            <w:r w:rsidR="00C87E4A" w:rsidRPr="00663CBD">
              <w:rPr>
                <w:rFonts w:ascii="Symbol" w:eastAsia="Symbol" w:hAnsi="Symbol" w:cs="Symbol"/>
                <w:sz w:val="20"/>
                <w:szCs w:val="20"/>
              </w:rPr>
              <w:sym w:font="Symbol" w:char="F02D"/>
            </w:r>
            <w:r w:rsidRPr="00663CBD">
              <w:rPr>
                <w:sz w:val="20"/>
                <w:szCs w:val="20"/>
              </w:rPr>
              <w:t>18</w:t>
            </w:r>
          </w:p>
        </w:tc>
        <w:tc>
          <w:tcPr>
            <w:tcW w:w="943" w:type="dxa"/>
            <w:tcBorders>
              <w:top w:val="nil"/>
              <w:left w:val="single" w:sz="4" w:space="0" w:color="auto"/>
              <w:bottom w:val="nil"/>
              <w:right w:val="nil"/>
            </w:tcBorders>
            <w:noWrap/>
            <w:vAlign w:val="bottom"/>
            <w:hideMark/>
          </w:tcPr>
          <w:p w14:paraId="225DFB46" w14:textId="77777777" w:rsidR="007A6A1A" w:rsidRPr="00663CBD" w:rsidRDefault="007A6A1A" w:rsidP="00663CBD">
            <w:pPr>
              <w:spacing w:after="0" w:line="240" w:lineRule="auto"/>
              <w:rPr>
                <w:sz w:val="20"/>
                <w:szCs w:val="20"/>
              </w:rPr>
            </w:pPr>
            <w:r w:rsidRPr="00663CBD">
              <w:rPr>
                <w:sz w:val="20"/>
                <w:szCs w:val="20"/>
              </w:rPr>
              <w:t>31.7</w:t>
            </w:r>
          </w:p>
        </w:tc>
        <w:tc>
          <w:tcPr>
            <w:tcW w:w="916" w:type="dxa"/>
            <w:tcBorders>
              <w:top w:val="nil"/>
              <w:left w:val="nil"/>
              <w:bottom w:val="nil"/>
              <w:right w:val="nil"/>
            </w:tcBorders>
            <w:noWrap/>
            <w:vAlign w:val="bottom"/>
            <w:hideMark/>
          </w:tcPr>
          <w:p w14:paraId="0A7D6814" w14:textId="77777777" w:rsidR="007A6A1A" w:rsidRPr="00663CBD" w:rsidRDefault="007A6A1A" w:rsidP="00663CBD">
            <w:pPr>
              <w:spacing w:after="0" w:line="240" w:lineRule="auto"/>
              <w:rPr>
                <w:sz w:val="20"/>
                <w:szCs w:val="20"/>
              </w:rPr>
            </w:pPr>
            <w:r w:rsidRPr="00663CBD">
              <w:rPr>
                <w:sz w:val="20"/>
                <w:szCs w:val="20"/>
              </w:rPr>
              <w:t>37.2</w:t>
            </w:r>
          </w:p>
        </w:tc>
        <w:tc>
          <w:tcPr>
            <w:tcW w:w="1464" w:type="dxa"/>
            <w:tcBorders>
              <w:top w:val="nil"/>
              <w:left w:val="nil"/>
              <w:bottom w:val="nil"/>
              <w:right w:val="nil"/>
            </w:tcBorders>
            <w:noWrap/>
            <w:vAlign w:val="bottom"/>
            <w:hideMark/>
          </w:tcPr>
          <w:p w14:paraId="080E6ADC" w14:textId="77777777" w:rsidR="007A6A1A" w:rsidRPr="00663CBD" w:rsidRDefault="007A6A1A" w:rsidP="00663CBD">
            <w:pPr>
              <w:spacing w:after="0" w:line="240" w:lineRule="auto"/>
              <w:rPr>
                <w:sz w:val="20"/>
                <w:szCs w:val="20"/>
              </w:rPr>
            </w:pPr>
            <w:r w:rsidRPr="00663CBD">
              <w:rPr>
                <w:sz w:val="20"/>
                <w:szCs w:val="20"/>
              </w:rPr>
              <w:t>6.0</w:t>
            </w:r>
          </w:p>
        </w:tc>
        <w:tc>
          <w:tcPr>
            <w:tcW w:w="915" w:type="dxa"/>
            <w:tcBorders>
              <w:top w:val="nil"/>
              <w:left w:val="nil"/>
              <w:bottom w:val="nil"/>
              <w:right w:val="single" w:sz="4" w:space="0" w:color="auto"/>
            </w:tcBorders>
            <w:noWrap/>
            <w:vAlign w:val="bottom"/>
            <w:hideMark/>
          </w:tcPr>
          <w:p w14:paraId="2C26381D" w14:textId="77777777" w:rsidR="007A6A1A" w:rsidRPr="00663CBD" w:rsidRDefault="007A6A1A" w:rsidP="00663CBD">
            <w:pPr>
              <w:spacing w:after="0" w:line="240" w:lineRule="auto"/>
              <w:rPr>
                <w:sz w:val="20"/>
                <w:szCs w:val="20"/>
              </w:rPr>
            </w:pPr>
            <w:r w:rsidRPr="00663CBD">
              <w:rPr>
                <w:sz w:val="20"/>
                <w:szCs w:val="20"/>
              </w:rPr>
              <w:t>25.1</w:t>
            </w:r>
          </w:p>
        </w:tc>
        <w:tc>
          <w:tcPr>
            <w:tcW w:w="915" w:type="dxa"/>
            <w:tcBorders>
              <w:top w:val="nil"/>
              <w:left w:val="single" w:sz="4" w:space="0" w:color="auto"/>
              <w:bottom w:val="nil"/>
              <w:right w:val="nil"/>
            </w:tcBorders>
            <w:noWrap/>
            <w:vAlign w:val="bottom"/>
            <w:hideMark/>
          </w:tcPr>
          <w:p w14:paraId="5143813B" w14:textId="77777777" w:rsidR="007A6A1A" w:rsidRPr="00663CBD" w:rsidRDefault="007A6A1A" w:rsidP="00663CBD">
            <w:pPr>
              <w:spacing w:after="0" w:line="240" w:lineRule="auto"/>
              <w:rPr>
                <w:sz w:val="20"/>
                <w:szCs w:val="20"/>
              </w:rPr>
            </w:pPr>
            <w:r w:rsidRPr="00663CBD">
              <w:rPr>
                <w:sz w:val="20"/>
                <w:szCs w:val="20"/>
              </w:rPr>
              <w:t>33.0</w:t>
            </w:r>
          </w:p>
        </w:tc>
        <w:tc>
          <w:tcPr>
            <w:tcW w:w="915" w:type="dxa"/>
            <w:tcBorders>
              <w:top w:val="nil"/>
              <w:left w:val="nil"/>
              <w:bottom w:val="nil"/>
              <w:right w:val="nil"/>
            </w:tcBorders>
            <w:noWrap/>
            <w:vAlign w:val="bottom"/>
            <w:hideMark/>
          </w:tcPr>
          <w:p w14:paraId="25C1A654" w14:textId="77777777" w:rsidR="007A6A1A" w:rsidRPr="00663CBD" w:rsidRDefault="007A6A1A" w:rsidP="00663CBD">
            <w:pPr>
              <w:spacing w:after="0" w:line="240" w:lineRule="auto"/>
              <w:rPr>
                <w:sz w:val="20"/>
                <w:szCs w:val="20"/>
              </w:rPr>
            </w:pPr>
            <w:r w:rsidRPr="00663CBD">
              <w:rPr>
                <w:sz w:val="20"/>
                <w:szCs w:val="20"/>
              </w:rPr>
              <w:t>38.9</w:t>
            </w:r>
          </w:p>
        </w:tc>
        <w:tc>
          <w:tcPr>
            <w:tcW w:w="1463" w:type="dxa"/>
            <w:tcBorders>
              <w:top w:val="nil"/>
              <w:left w:val="nil"/>
              <w:bottom w:val="nil"/>
              <w:right w:val="nil"/>
            </w:tcBorders>
            <w:noWrap/>
            <w:vAlign w:val="bottom"/>
            <w:hideMark/>
          </w:tcPr>
          <w:p w14:paraId="11169B97" w14:textId="77777777" w:rsidR="007A6A1A" w:rsidRPr="00663CBD" w:rsidRDefault="007A6A1A" w:rsidP="00663CBD">
            <w:pPr>
              <w:spacing w:after="0" w:line="240" w:lineRule="auto"/>
              <w:rPr>
                <w:sz w:val="20"/>
                <w:szCs w:val="20"/>
              </w:rPr>
            </w:pPr>
            <w:r w:rsidRPr="00663CBD">
              <w:rPr>
                <w:sz w:val="20"/>
                <w:szCs w:val="20"/>
              </w:rPr>
              <w:t>8.4</w:t>
            </w:r>
          </w:p>
        </w:tc>
        <w:tc>
          <w:tcPr>
            <w:tcW w:w="915" w:type="dxa"/>
            <w:tcBorders>
              <w:top w:val="nil"/>
              <w:left w:val="nil"/>
              <w:bottom w:val="nil"/>
              <w:right w:val="single" w:sz="4" w:space="0" w:color="auto"/>
            </w:tcBorders>
            <w:noWrap/>
            <w:vAlign w:val="bottom"/>
            <w:hideMark/>
          </w:tcPr>
          <w:p w14:paraId="2B5BB6BD" w14:textId="77777777" w:rsidR="007A6A1A" w:rsidRPr="00663CBD" w:rsidRDefault="007A6A1A" w:rsidP="00663CBD">
            <w:pPr>
              <w:spacing w:after="0" w:line="240" w:lineRule="auto"/>
              <w:rPr>
                <w:sz w:val="20"/>
                <w:szCs w:val="20"/>
              </w:rPr>
            </w:pPr>
            <w:r w:rsidRPr="00663CBD">
              <w:rPr>
                <w:sz w:val="20"/>
                <w:szCs w:val="20"/>
              </w:rPr>
              <w:t>20.6</w:t>
            </w:r>
          </w:p>
        </w:tc>
        <w:tc>
          <w:tcPr>
            <w:tcW w:w="961" w:type="dxa"/>
            <w:tcBorders>
              <w:top w:val="nil"/>
              <w:left w:val="single" w:sz="4" w:space="0" w:color="auto"/>
              <w:bottom w:val="nil"/>
              <w:right w:val="nil"/>
            </w:tcBorders>
            <w:noWrap/>
            <w:vAlign w:val="bottom"/>
            <w:hideMark/>
          </w:tcPr>
          <w:p w14:paraId="787E440D" w14:textId="77777777" w:rsidR="007A6A1A" w:rsidRPr="00663CBD" w:rsidRDefault="007A6A1A" w:rsidP="00663CBD">
            <w:pPr>
              <w:spacing w:after="0" w:line="240" w:lineRule="auto"/>
              <w:rPr>
                <w:sz w:val="20"/>
                <w:szCs w:val="20"/>
              </w:rPr>
            </w:pPr>
            <w:r w:rsidRPr="00663CBD">
              <w:rPr>
                <w:sz w:val="20"/>
                <w:szCs w:val="20"/>
              </w:rPr>
              <w:t>30.6</w:t>
            </w:r>
          </w:p>
        </w:tc>
        <w:tc>
          <w:tcPr>
            <w:tcW w:w="915" w:type="dxa"/>
            <w:tcBorders>
              <w:top w:val="nil"/>
              <w:left w:val="nil"/>
              <w:bottom w:val="nil"/>
              <w:right w:val="nil"/>
            </w:tcBorders>
            <w:noWrap/>
            <w:vAlign w:val="bottom"/>
            <w:hideMark/>
          </w:tcPr>
          <w:p w14:paraId="1F05AD4C" w14:textId="77777777" w:rsidR="007A6A1A" w:rsidRPr="00663CBD" w:rsidRDefault="007A6A1A" w:rsidP="00663CBD">
            <w:pPr>
              <w:spacing w:after="0" w:line="240" w:lineRule="auto"/>
              <w:rPr>
                <w:sz w:val="20"/>
                <w:szCs w:val="20"/>
              </w:rPr>
            </w:pPr>
            <w:r w:rsidRPr="00663CBD">
              <w:rPr>
                <w:sz w:val="20"/>
                <w:szCs w:val="20"/>
              </w:rPr>
              <w:t>36.5</w:t>
            </w:r>
          </w:p>
        </w:tc>
        <w:tc>
          <w:tcPr>
            <w:tcW w:w="1463" w:type="dxa"/>
            <w:tcBorders>
              <w:top w:val="nil"/>
              <w:left w:val="nil"/>
              <w:bottom w:val="nil"/>
              <w:right w:val="nil"/>
            </w:tcBorders>
            <w:noWrap/>
            <w:vAlign w:val="bottom"/>
            <w:hideMark/>
          </w:tcPr>
          <w:p w14:paraId="37D5F8C7" w14:textId="77777777" w:rsidR="007A6A1A" w:rsidRPr="00663CBD" w:rsidRDefault="007A6A1A" w:rsidP="00663CBD">
            <w:pPr>
              <w:spacing w:after="0" w:line="240" w:lineRule="auto"/>
              <w:rPr>
                <w:sz w:val="20"/>
                <w:szCs w:val="20"/>
              </w:rPr>
            </w:pPr>
            <w:r w:rsidRPr="00663CBD">
              <w:rPr>
                <w:sz w:val="20"/>
                <w:szCs w:val="20"/>
              </w:rPr>
              <w:t>4.0</w:t>
            </w:r>
          </w:p>
        </w:tc>
        <w:tc>
          <w:tcPr>
            <w:tcW w:w="915" w:type="dxa"/>
            <w:tcBorders>
              <w:top w:val="nil"/>
              <w:left w:val="nil"/>
              <w:bottom w:val="nil"/>
              <w:right w:val="single" w:sz="4" w:space="0" w:color="auto"/>
            </w:tcBorders>
            <w:noWrap/>
            <w:vAlign w:val="bottom"/>
            <w:hideMark/>
          </w:tcPr>
          <w:p w14:paraId="26B5BEAA" w14:textId="77777777" w:rsidR="007A6A1A" w:rsidRPr="00663CBD" w:rsidRDefault="007A6A1A" w:rsidP="00663CBD">
            <w:pPr>
              <w:spacing w:after="0" w:line="240" w:lineRule="auto"/>
              <w:rPr>
                <w:sz w:val="20"/>
                <w:szCs w:val="20"/>
              </w:rPr>
            </w:pPr>
            <w:r w:rsidRPr="00663CBD">
              <w:rPr>
                <w:sz w:val="20"/>
                <w:szCs w:val="20"/>
              </w:rPr>
              <w:t>29.0</w:t>
            </w:r>
          </w:p>
        </w:tc>
      </w:tr>
      <w:tr w:rsidR="007A6A1A" w:rsidRPr="00167CB8" w14:paraId="13A784B2"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79A2738C" w14:textId="2DA26A76" w:rsidR="007A6A1A" w:rsidRPr="00663CBD" w:rsidRDefault="007A6A1A" w:rsidP="00663CBD">
            <w:pPr>
              <w:spacing w:after="0" w:line="240" w:lineRule="auto"/>
              <w:rPr>
                <w:sz w:val="20"/>
                <w:szCs w:val="20"/>
              </w:rPr>
            </w:pPr>
            <w:r w:rsidRPr="00663CBD">
              <w:rPr>
                <w:sz w:val="20"/>
                <w:szCs w:val="20"/>
              </w:rPr>
              <w:t>2018</w:t>
            </w:r>
            <w:r w:rsidR="00C87E4A" w:rsidRPr="00663CBD">
              <w:rPr>
                <w:rFonts w:ascii="Symbol" w:eastAsia="Symbol" w:hAnsi="Symbol" w:cs="Symbol"/>
                <w:sz w:val="20"/>
                <w:szCs w:val="20"/>
              </w:rPr>
              <w:sym w:font="Symbol" w:char="F02D"/>
            </w:r>
            <w:r w:rsidRPr="00663CBD">
              <w:rPr>
                <w:sz w:val="20"/>
                <w:szCs w:val="20"/>
              </w:rPr>
              <w:t>19</w:t>
            </w:r>
          </w:p>
        </w:tc>
        <w:tc>
          <w:tcPr>
            <w:tcW w:w="943" w:type="dxa"/>
            <w:tcBorders>
              <w:top w:val="nil"/>
              <w:left w:val="single" w:sz="4" w:space="0" w:color="auto"/>
              <w:bottom w:val="nil"/>
              <w:right w:val="nil"/>
            </w:tcBorders>
            <w:noWrap/>
            <w:vAlign w:val="bottom"/>
            <w:hideMark/>
          </w:tcPr>
          <w:p w14:paraId="6837C176" w14:textId="77777777" w:rsidR="007A6A1A" w:rsidRPr="00663CBD" w:rsidRDefault="007A6A1A" w:rsidP="00663CBD">
            <w:pPr>
              <w:spacing w:after="0" w:line="240" w:lineRule="auto"/>
              <w:rPr>
                <w:sz w:val="20"/>
                <w:szCs w:val="20"/>
              </w:rPr>
            </w:pPr>
            <w:r w:rsidRPr="00663CBD">
              <w:rPr>
                <w:sz w:val="20"/>
                <w:szCs w:val="20"/>
              </w:rPr>
              <w:t>30.3</w:t>
            </w:r>
          </w:p>
        </w:tc>
        <w:tc>
          <w:tcPr>
            <w:tcW w:w="916" w:type="dxa"/>
            <w:tcBorders>
              <w:top w:val="nil"/>
              <w:left w:val="nil"/>
              <w:bottom w:val="nil"/>
              <w:right w:val="nil"/>
            </w:tcBorders>
            <w:noWrap/>
            <w:vAlign w:val="bottom"/>
            <w:hideMark/>
          </w:tcPr>
          <w:p w14:paraId="3E05B298" w14:textId="77777777" w:rsidR="007A6A1A" w:rsidRPr="00663CBD" w:rsidRDefault="007A6A1A" w:rsidP="00663CBD">
            <w:pPr>
              <w:spacing w:after="0" w:line="240" w:lineRule="auto"/>
              <w:rPr>
                <w:sz w:val="20"/>
                <w:szCs w:val="20"/>
              </w:rPr>
            </w:pPr>
            <w:r w:rsidRPr="00663CBD">
              <w:rPr>
                <w:sz w:val="20"/>
                <w:szCs w:val="20"/>
              </w:rPr>
              <w:t>35.7</w:t>
            </w:r>
          </w:p>
        </w:tc>
        <w:tc>
          <w:tcPr>
            <w:tcW w:w="1464" w:type="dxa"/>
            <w:tcBorders>
              <w:top w:val="nil"/>
              <w:left w:val="nil"/>
              <w:bottom w:val="nil"/>
              <w:right w:val="nil"/>
            </w:tcBorders>
            <w:noWrap/>
            <w:vAlign w:val="bottom"/>
            <w:hideMark/>
          </w:tcPr>
          <w:p w14:paraId="7BA14C2E" w14:textId="77777777" w:rsidR="007A6A1A" w:rsidRPr="00663CBD" w:rsidRDefault="007A6A1A" w:rsidP="00663CBD">
            <w:pPr>
              <w:spacing w:after="0" w:line="240" w:lineRule="auto"/>
              <w:rPr>
                <w:sz w:val="20"/>
                <w:szCs w:val="20"/>
              </w:rPr>
            </w:pPr>
            <w:r w:rsidRPr="00663CBD">
              <w:rPr>
                <w:sz w:val="20"/>
                <w:szCs w:val="20"/>
              </w:rPr>
              <w:t>6.3</w:t>
            </w:r>
          </w:p>
        </w:tc>
        <w:tc>
          <w:tcPr>
            <w:tcW w:w="915" w:type="dxa"/>
            <w:tcBorders>
              <w:top w:val="nil"/>
              <w:left w:val="nil"/>
              <w:bottom w:val="nil"/>
              <w:right w:val="single" w:sz="4" w:space="0" w:color="auto"/>
            </w:tcBorders>
            <w:noWrap/>
            <w:vAlign w:val="bottom"/>
            <w:hideMark/>
          </w:tcPr>
          <w:p w14:paraId="75F46E2E" w14:textId="77777777" w:rsidR="007A6A1A" w:rsidRPr="00663CBD" w:rsidRDefault="007A6A1A" w:rsidP="00663CBD">
            <w:pPr>
              <w:spacing w:after="0" w:line="240" w:lineRule="auto"/>
              <w:rPr>
                <w:sz w:val="20"/>
                <w:szCs w:val="20"/>
              </w:rPr>
            </w:pPr>
            <w:r w:rsidRPr="00663CBD">
              <w:rPr>
                <w:sz w:val="20"/>
                <w:szCs w:val="20"/>
              </w:rPr>
              <w:t>27.8</w:t>
            </w:r>
          </w:p>
        </w:tc>
        <w:tc>
          <w:tcPr>
            <w:tcW w:w="915" w:type="dxa"/>
            <w:tcBorders>
              <w:top w:val="nil"/>
              <w:left w:val="single" w:sz="4" w:space="0" w:color="auto"/>
              <w:bottom w:val="nil"/>
              <w:right w:val="nil"/>
            </w:tcBorders>
            <w:noWrap/>
            <w:vAlign w:val="bottom"/>
            <w:hideMark/>
          </w:tcPr>
          <w:p w14:paraId="3D33C316" w14:textId="77777777" w:rsidR="007A6A1A" w:rsidRPr="00663CBD" w:rsidRDefault="007A6A1A" w:rsidP="00663CBD">
            <w:pPr>
              <w:spacing w:after="0" w:line="240" w:lineRule="auto"/>
              <w:rPr>
                <w:sz w:val="20"/>
                <w:szCs w:val="20"/>
              </w:rPr>
            </w:pPr>
            <w:r w:rsidRPr="00663CBD">
              <w:rPr>
                <w:sz w:val="20"/>
                <w:szCs w:val="20"/>
              </w:rPr>
              <w:t>30.0</w:t>
            </w:r>
          </w:p>
        </w:tc>
        <w:tc>
          <w:tcPr>
            <w:tcW w:w="915" w:type="dxa"/>
            <w:tcBorders>
              <w:top w:val="nil"/>
              <w:left w:val="nil"/>
              <w:bottom w:val="nil"/>
              <w:right w:val="nil"/>
            </w:tcBorders>
            <w:noWrap/>
            <w:vAlign w:val="bottom"/>
            <w:hideMark/>
          </w:tcPr>
          <w:p w14:paraId="05CFFDE2" w14:textId="77777777" w:rsidR="007A6A1A" w:rsidRPr="00663CBD" w:rsidRDefault="007A6A1A" w:rsidP="00663CBD">
            <w:pPr>
              <w:spacing w:after="0" w:line="240" w:lineRule="auto"/>
              <w:rPr>
                <w:sz w:val="20"/>
                <w:szCs w:val="20"/>
              </w:rPr>
            </w:pPr>
            <w:r w:rsidRPr="00663CBD">
              <w:rPr>
                <w:sz w:val="20"/>
                <w:szCs w:val="20"/>
              </w:rPr>
              <w:t>37.1</w:t>
            </w:r>
          </w:p>
        </w:tc>
        <w:tc>
          <w:tcPr>
            <w:tcW w:w="1463" w:type="dxa"/>
            <w:tcBorders>
              <w:top w:val="nil"/>
              <w:left w:val="nil"/>
              <w:bottom w:val="nil"/>
              <w:right w:val="nil"/>
            </w:tcBorders>
            <w:noWrap/>
            <w:vAlign w:val="bottom"/>
            <w:hideMark/>
          </w:tcPr>
          <w:p w14:paraId="174B873E" w14:textId="77777777" w:rsidR="007A6A1A" w:rsidRPr="00663CBD" w:rsidRDefault="007A6A1A" w:rsidP="00663CBD">
            <w:pPr>
              <w:spacing w:after="0" w:line="240" w:lineRule="auto"/>
              <w:rPr>
                <w:sz w:val="20"/>
                <w:szCs w:val="20"/>
              </w:rPr>
            </w:pPr>
            <w:r w:rsidRPr="00663CBD">
              <w:rPr>
                <w:sz w:val="20"/>
                <w:szCs w:val="20"/>
              </w:rPr>
              <w:t>8.7</w:t>
            </w:r>
          </w:p>
        </w:tc>
        <w:tc>
          <w:tcPr>
            <w:tcW w:w="915" w:type="dxa"/>
            <w:tcBorders>
              <w:top w:val="nil"/>
              <w:left w:val="nil"/>
              <w:bottom w:val="nil"/>
              <w:right w:val="single" w:sz="4" w:space="0" w:color="auto"/>
            </w:tcBorders>
            <w:noWrap/>
            <w:vAlign w:val="bottom"/>
            <w:hideMark/>
          </w:tcPr>
          <w:p w14:paraId="47901B95" w14:textId="77777777" w:rsidR="007A6A1A" w:rsidRPr="00663CBD" w:rsidRDefault="007A6A1A" w:rsidP="00663CBD">
            <w:pPr>
              <w:spacing w:after="0" w:line="240" w:lineRule="auto"/>
              <w:rPr>
                <w:sz w:val="20"/>
                <w:szCs w:val="20"/>
              </w:rPr>
            </w:pPr>
            <w:r w:rsidRPr="00663CBD">
              <w:rPr>
                <w:sz w:val="20"/>
                <w:szCs w:val="20"/>
              </w:rPr>
              <w:t>24.2</w:t>
            </w:r>
          </w:p>
        </w:tc>
        <w:tc>
          <w:tcPr>
            <w:tcW w:w="961" w:type="dxa"/>
            <w:tcBorders>
              <w:top w:val="nil"/>
              <w:left w:val="single" w:sz="4" w:space="0" w:color="auto"/>
              <w:bottom w:val="nil"/>
              <w:right w:val="nil"/>
            </w:tcBorders>
            <w:noWrap/>
            <w:vAlign w:val="bottom"/>
            <w:hideMark/>
          </w:tcPr>
          <w:p w14:paraId="7E7EF698" w14:textId="77777777" w:rsidR="007A6A1A" w:rsidRPr="00663CBD" w:rsidRDefault="007A6A1A" w:rsidP="00663CBD">
            <w:pPr>
              <w:spacing w:after="0" w:line="240" w:lineRule="auto"/>
              <w:rPr>
                <w:sz w:val="20"/>
                <w:szCs w:val="20"/>
              </w:rPr>
            </w:pPr>
            <w:r w:rsidRPr="00663CBD">
              <w:rPr>
                <w:sz w:val="20"/>
                <w:szCs w:val="20"/>
              </w:rPr>
              <w:t>30.4</w:t>
            </w:r>
          </w:p>
        </w:tc>
        <w:tc>
          <w:tcPr>
            <w:tcW w:w="915" w:type="dxa"/>
            <w:tcBorders>
              <w:top w:val="nil"/>
              <w:left w:val="nil"/>
              <w:bottom w:val="nil"/>
              <w:right w:val="nil"/>
            </w:tcBorders>
            <w:noWrap/>
            <w:vAlign w:val="bottom"/>
            <w:hideMark/>
          </w:tcPr>
          <w:p w14:paraId="67C732C2" w14:textId="77777777" w:rsidR="007A6A1A" w:rsidRPr="00663CBD" w:rsidRDefault="007A6A1A" w:rsidP="00663CBD">
            <w:pPr>
              <w:spacing w:after="0" w:line="240" w:lineRule="auto"/>
              <w:rPr>
                <w:sz w:val="20"/>
                <w:szCs w:val="20"/>
              </w:rPr>
            </w:pPr>
            <w:r w:rsidRPr="00663CBD">
              <w:rPr>
                <w:sz w:val="20"/>
                <w:szCs w:val="20"/>
              </w:rPr>
              <w:t>34.5</w:t>
            </w:r>
          </w:p>
        </w:tc>
        <w:tc>
          <w:tcPr>
            <w:tcW w:w="1463" w:type="dxa"/>
            <w:tcBorders>
              <w:top w:val="nil"/>
              <w:left w:val="nil"/>
              <w:bottom w:val="nil"/>
              <w:right w:val="nil"/>
            </w:tcBorders>
            <w:noWrap/>
            <w:vAlign w:val="bottom"/>
            <w:hideMark/>
          </w:tcPr>
          <w:p w14:paraId="5FF31AF6" w14:textId="77777777" w:rsidR="007A6A1A" w:rsidRPr="00663CBD" w:rsidRDefault="007A6A1A" w:rsidP="00663CBD">
            <w:pPr>
              <w:spacing w:after="0" w:line="240" w:lineRule="auto"/>
              <w:rPr>
                <w:sz w:val="20"/>
                <w:szCs w:val="20"/>
              </w:rPr>
            </w:pPr>
            <w:r w:rsidRPr="00663CBD">
              <w:rPr>
                <w:sz w:val="20"/>
                <w:szCs w:val="20"/>
              </w:rPr>
              <w:t>4.2</w:t>
            </w:r>
          </w:p>
        </w:tc>
        <w:tc>
          <w:tcPr>
            <w:tcW w:w="915" w:type="dxa"/>
            <w:tcBorders>
              <w:top w:val="nil"/>
              <w:left w:val="nil"/>
              <w:bottom w:val="nil"/>
              <w:right w:val="single" w:sz="4" w:space="0" w:color="auto"/>
            </w:tcBorders>
            <w:noWrap/>
            <w:vAlign w:val="bottom"/>
            <w:hideMark/>
          </w:tcPr>
          <w:p w14:paraId="0C5E2B15" w14:textId="77777777" w:rsidR="007A6A1A" w:rsidRPr="00663CBD" w:rsidRDefault="007A6A1A" w:rsidP="00663CBD">
            <w:pPr>
              <w:spacing w:after="0" w:line="240" w:lineRule="auto"/>
              <w:rPr>
                <w:sz w:val="20"/>
                <w:szCs w:val="20"/>
              </w:rPr>
            </w:pPr>
            <w:r w:rsidRPr="00663CBD">
              <w:rPr>
                <w:sz w:val="20"/>
                <w:szCs w:val="20"/>
              </w:rPr>
              <w:t>30.9</w:t>
            </w:r>
          </w:p>
        </w:tc>
      </w:tr>
      <w:tr w:rsidR="007A6A1A" w:rsidRPr="00167CB8" w14:paraId="6AF2D809"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1C9A5FC2" w14:textId="4ADB0D41" w:rsidR="007A6A1A" w:rsidRPr="00663CBD" w:rsidRDefault="007A6A1A" w:rsidP="00663CBD">
            <w:pPr>
              <w:spacing w:after="0" w:line="240" w:lineRule="auto"/>
              <w:rPr>
                <w:sz w:val="20"/>
                <w:szCs w:val="20"/>
              </w:rPr>
            </w:pPr>
            <w:r w:rsidRPr="00663CBD">
              <w:rPr>
                <w:sz w:val="20"/>
                <w:szCs w:val="20"/>
              </w:rPr>
              <w:t>2019</w:t>
            </w:r>
            <w:r w:rsidR="00C87E4A" w:rsidRPr="00663CBD">
              <w:rPr>
                <w:rFonts w:ascii="Symbol" w:eastAsia="Symbol" w:hAnsi="Symbol" w:cs="Symbol"/>
                <w:sz w:val="20"/>
                <w:szCs w:val="20"/>
              </w:rPr>
              <w:sym w:font="Symbol" w:char="F02D"/>
            </w:r>
            <w:r w:rsidRPr="00663CBD">
              <w:rPr>
                <w:sz w:val="20"/>
                <w:szCs w:val="20"/>
              </w:rPr>
              <w:t>20</w:t>
            </w:r>
          </w:p>
        </w:tc>
        <w:tc>
          <w:tcPr>
            <w:tcW w:w="943" w:type="dxa"/>
            <w:tcBorders>
              <w:top w:val="nil"/>
              <w:left w:val="single" w:sz="4" w:space="0" w:color="auto"/>
              <w:bottom w:val="nil"/>
              <w:right w:val="nil"/>
            </w:tcBorders>
            <w:noWrap/>
            <w:vAlign w:val="bottom"/>
            <w:hideMark/>
          </w:tcPr>
          <w:p w14:paraId="695846B4" w14:textId="77777777" w:rsidR="007A6A1A" w:rsidRPr="00663CBD" w:rsidRDefault="007A6A1A" w:rsidP="00663CBD">
            <w:pPr>
              <w:spacing w:after="0" w:line="240" w:lineRule="auto"/>
              <w:rPr>
                <w:sz w:val="20"/>
                <w:szCs w:val="20"/>
              </w:rPr>
            </w:pPr>
            <w:r w:rsidRPr="00663CBD">
              <w:rPr>
                <w:sz w:val="20"/>
                <w:szCs w:val="20"/>
              </w:rPr>
              <w:t>36.2</w:t>
            </w:r>
          </w:p>
        </w:tc>
        <w:tc>
          <w:tcPr>
            <w:tcW w:w="916" w:type="dxa"/>
            <w:tcBorders>
              <w:top w:val="nil"/>
              <w:left w:val="nil"/>
              <w:bottom w:val="nil"/>
              <w:right w:val="nil"/>
            </w:tcBorders>
            <w:noWrap/>
            <w:vAlign w:val="bottom"/>
            <w:hideMark/>
          </w:tcPr>
          <w:p w14:paraId="7A9D4E30" w14:textId="77777777" w:rsidR="007A6A1A" w:rsidRPr="00663CBD" w:rsidRDefault="007A6A1A" w:rsidP="00663CBD">
            <w:pPr>
              <w:spacing w:after="0" w:line="240" w:lineRule="auto"/>
              <w:rPr>
                <w:sz w:val="20"/>
                <w:szCs w:val="20"/>
              </w:rPr>
            </w:pPr>
            <w:r w:rsidRPr="00663CBD">
              <w:rPr>
                <w:sz w:val="20"/>
                <w:szCs w:val="20"/>
              </w:rPr>
              <w:t>31.5</w:t>
            </w:r>
          </w:p>
        </w:tc>
        <w:tc>
          <w:tcPr>
            <w:tcW w:w="1464" w:type="dxa"/>
            <w:tcBorders>
              <w:top w:val="nil"/>
              <w:left w:val="nil"/>
              <w:bottom w:val="nil"/>
              <w:right w:val="nil"/>
            </w:tcBorders>
            <w:noWrap/>
            <w:vAlign w:val="bottom"/>
            <w:hideMark/>
          </w:tcPr>
          <w:p w14:paraId="7FCD8FBA" w14:textId="77777777" w:rsidR="007A6A1A" w:rsidRPr="00663CBD" w:rsidRDefault="007A6A1A" w:rsidP="00663CBD">
            <w:pPr>
              <w:spacing w:after="0" w:line="240" w:lineRule="auto"/>
              <w:rPr>
                <w:sz w:val="20"/>
                <w:szCs w:val="20"/>
              </w:rPr>
            </w:pPr>
            <w:r w:rsidRPr="00663CBD">
              <w:rPr>
                <w:sz w:val="20"/>
                <w:szCs w:val="20"/>
              </w:rPr>
              <w:t>4.4</w:t>
            </w:r>
          </w:p>
        </w:tc>
        <w:tc>
          <w:tcPr>
            <w:tcW w:w="915" w:type="dxa"/>
            <w:tcBorders>
              <w:top w:val="nil"/>
              <w:left w:val="nil"/>
              <w:bottom w:val="nil"/>
              <w:right w:val="single" w:sz="4" w:space="0" w:color="auto"/>
            </w:tcBorders>
            <w:noWrap/>
            <w:vAlign w:val="bottom"/>
            <w:hideMark/>
          </w:tcPr>
          <w:p w14:paraId="0C0FE25C" w14:textId="77777777" w:rsidR="007A6A1A" w:rsidRPr="00663CBD" w:rsidRDefault="007A6A1A" w:rsidP="00663CBD">
            <w:pPr>
              <w:spacing w:after="0" w:line="240" w:lineRule="auto"/>
              <w:rPr>
                <w:sz w:val="20"/>
                <w:szCs w:val="20"/>
              </w:rPr>
            </w:pPr>
            <w:r w:rsidRPr="00663CBD">
              <w:rPr>
                <w:sz w:val="20"/>
                <w:szCs w:val="20"/>
              </w:rPr>
              <w:t>27.9</w:t>
            </w:r>
          </w:p>
        </w:tc>
        <w:tc>
          <w:tcPr>
            <w:tcW w:w="915" w:type="dxa"/>
            <w:tcBorders>
              <w:top w:val="nil"/>
              <w:left w:val="single" w:sz="4" w:space="0" w:color="auto"/>
              <w:bottom w:val="nil"/>
              <w:right w:val="nil"/>
            </w:tcBorders>
            <w:noWrap/>
            <w:vAlign w:val="bottom"/>
            <w:hideMark/>
          </w:tcPr>
          <w:p w14:paraId="586BACC7" w14:textId="77777777" w:rsidR="007A6A1A" w:rsidRPr="00663CBD" w:rsidRDefault="007A6A1A" w:rsidP="00663CBD">
            <w:pPr>
              <w:spacing w:after="0" w:line="240" w:lineRule="auto"/>
              <w:rPr>
                <w:sz w:val="20"/>
                <w:szCs w:val="20"/>
              </w:rPr>
            </w:pPr>
            <w:r w:rsidRPr="00663CBD">
              <w:rPr>
                <w:sz w:val="20"/>
                <w:szCs w:val="20"/>
              </w:rPr>
              <w:t>38.2</w:t>
            </w:r>
          </w:p>
        </w:tc>
        <w:tc>
          <w:tcPr>
            <w:tcW w:w="915" w:type="dxa"/>
            <w:tcBorders>
              <w:top w:val="nil"/>
              <w:left w:val="nil"/>
              <w:bottom w:val="nil"/>
              <w:right w:val="nil"/>
            </w:tcBorders>
            <w:noWrap/>
            <w:vAlign w:val="bottom"/>
            <w:hideMark/>
          </w:tcPr>
          <w:p w14:paraId="35D02177" w14:textId="77777777" w:rsidR="007A6A1A" w:rsidRPr="00663CBD" w:rsidRDefault="007A6A1A" w:rsidP="00663CBD">
            <w:pPr>
              <w:spacing w:after="0" w:line="240" w:lineRule="auto"/>
              <w:rPr>
                <w:sz w:val="20"/>
                <w:szCs w:val="20"/>
              </w:rPr>
            </w:pPr>
            <w:r w:rsidRPr="00663CBD">
              <w:rPr>
                <w:sz w:val="20"/>
                <w:szCs w:val="20"/>
              </w:rPr>
              <w:t>33.2</w:t>
            </w:r>
          </w:p>
        </w:tc>
        <w:tc>
          <w:tcPr>
            <w:tcW w:w="1463" w:type="dxa"/>
            <w:tcBorders>
              <w:top w:val="nil"/>
              <w:left w:val="nil"/>
              <w:bottom w:val="nil"/>
              <w:right w:val="nil"/>
            </w:tcBorders>
            <w:noWrap/>
            <w:vAlign w:val="bottom"/>
            <w:hideMark/>
          </w:tcPr>
          <w:p w14:paraId="0CA09D89" w14:textId="77777777" w:rsidR="007A6A1A" w:rsidRPr="00663CBD" w:rsidRDefault="007A6A1A" w:rsidP="00663CBD">
            <w:pPr>
              <w:spacing w:after="0" w:line="240" w:lineRule="auto"/>
              <w:rPr>
                <w:sz w:val="20"/>
                <w:szCs w:val="20"/>
              </w:rPr>
            </w:pPr>
            <w:r w:rsidRPr="00663CBD">
              <w:rPr>
                <w:sz w:val="20"/>
                <w:szCs w:val="20"/>
              </w:rPr>
              <w:t>4.6</w:t>
            </w:r>
          </w:p>
        </w:tc>
        <w:tc>
          <w:tcPr>
            <w:tcW w:w="915" w:type="dxa"/>
            <w:tcBorders>
              <w:top w:val="nil"/>
              <w:left w:val="nil"/>
              <w:bottom w:val="nil"/>
              <w:right w:val="single" w:sz="4" w:space="0" w:color="auto"/>
            </w:tcBorders>
            <w:noWrap/>
            <w:vAlign w:val="bottom"/>
            <w:hideMark/>
          </w:tcPr>
          <w:p w14:paraId="08C8594E" w14:textId="77777777" w:rsidR="007A6A1A" w:rsidRPr="00663CBD" w:rsidRDefault="007A6A1A" w:rsidP="00663CBD">
            <w:pPr>
              <w:spacing w:after="0" w:line="240" w:lineRule="auto"/>
              <w:rPr>
                <w:sz w:val="20"/>
                <w:szCs w:val="20"/>
              </w:rPr>
            </w:pPr>
            <w:r w:rsidRPr="00663CBD">
              <w:rPr>
                <w:sz w:val="20"/>
                <w:szCs w:val="20"/>
              </w:rPr>
              <w:t>24.1</w:t>
            </w:r>
          </w:p>
        </w:tc>
        <w:tc>
          <w:tcPr>
            <w:tcW w:w="961" w:type="dxa"/>
            <w:tcBorders>
              <w:top w:val="nil"/>
              <w:left w:val="single" w:sz="4" w:space="0" w:color="auto"/>
              <w:bottom w:val="nil"/>
              <w:right w:val="nil"/>
            </w:tcBorders>
            <w:noWrap/>
            <w:vAlign w:val="bottom"/>
            <w:hideMark/>
          </w:tcPr>
          <w:p w14:paraId="0916B239" w14:textId="77777777" w:rsidR="007A6A1A" w:rsidRPr="00663CBD" w:rsidRDefault="007A6A1A" w:rsidP="00663CBD">
            <w:pPr>
              <w:spacing w:after="0" w:line="240" w:lineRule="auto"/>
              <w:rPr>
                <w:sz w:val="20"/>
                <w:szCs w:val="20"/>
              </w:rPr>
            </w:pPr>
            <w:r w:rsidRPr="00663CBD">
              <w:rPr>
                <w:sz w:val="20"/>
                <w:szCs w:val="20"/>
              </w:rPr>
              <w:t>34.7</w:t>
            </w:r>
          </w:p>
        </w:tc>
        <w:tc>
          <w:tcPr>
            <w:tcW w:w="915" w:type="dxa"/>
            <w:tcBorders>
              <w:top w:val="nil"/>
              <w:left w:val="nil"/>
              <w:bottom w:val="nil"/>
              <w:right w:val="nil"/>
            </w:tcBorders>
            <w:noWrap/>
            <w:vAlign w:val="bottom"/>
            <w:hideMark/>
          </w:tcPr>
          <w:p w14:paraId="46BFE09D" w14:textId="77777777" w:rsidR="007A6A1A" w:rsidRPr="00663CBD" w:rsidRDefault="007A6A1A" w:rsidP="00663CBD">
            <w:pPr>
              <w:spacing w:after="0" w:line="240" w:lineRule="auto"/>
              <w:rPr>
                <w:sz w:val="20"/>
                <w:szCs w:val="20"/>
              </w:rPr>
            </w:pPr>
            <w:r w:rsidRPr="00663CBD">
              <w:rPr>
                <w:sz w:val="20"/>
                <w:szCs w:val="20"/>
              </w:rPr>
              <w:t>30.1</w:t>
            </w:r>
          </w:p>
        </w:tc>
        <w:tc>
          <w:tcPr>
            <w:tcW w:w="1463" w:type="dxa"/>
            <w:tcBorders>
              <w:top w:val="nil"/>
              <w:left w:val="nil"/>
              <w:bottom w:val="nil"/>
              <w:right w:val="nil"/>
            </w:tcBorders>
            <w:noWrap/>
            <w:vAlign w:val="bottom"/>
            <w:hideMark/>
          </w:tcPr>
          <w:p w14:paraId="4A18D1CF" w14:textId="77777777" w:rsidR="007A6A1A" w:rsidRPr="00663CBD" w:rsidRDefault="007A6A1A" w:rsidP="00663CBD">
            <w:pPr>
              <w:spacing w:after="0" w:line="240" w:lineRule="auto"/>
              <w:rPr>
                <w:sz w:val="20"/>
                <w:szCs w:val="20"/>
              </w:rPr>
            </w:pPr>
            <w:r w:rsidRPr="00663CBD">
              <w:rPr>
                <w:sz w:val="20"/>
                <w:szCs w:val="20"/>
              </w:rPr>
              <w:t>4.3</w:t>
            </w:r>
          </w:p>
        </w:tc>
        <w:tc>
          <w:tcPr>
            <w:tcW w:w="915" w:type="dxa"/>
            <w:tcBorders>
              <w:top w:val="nil"/>
              <w:left w:val="nil"/>
              <w:bottom w:val="nil"/>
              <w:right w:val="single" w:sz="4" w:space="0" w:color="auto"/>
            </w:tcBorders>
            <w:noWrap/>
            <w:vAlign w:val="bottom"/>
            <w:hideMark/>
          </w:tcPr>
          <w:p w14:paraId="3535C5D2" w14:textId="77777777" w:rsidR="007A6A1A" w:rsidRPr="00663CBD" w:rsidRDefault="007A6A1A" w:rsidP="00663CBD">
            <w:pPr>
              <w:spacing w:after="0" w:line="240" w:lineRule="auto"/>
              <w:rPr>
                <w:sz w:val="20"/>
                <w:szCs w:val="20"/>
              </w:rPr>
            </w:pPr>
            <w:r w:rsidRPr="00663CBD">
              <w:rPr>
                <w:sz w:val="20"/>
                <w:szCs w:val="20"/>
              </w:rPr>
              <w:t>30.9</w:t>
            </w:r>
          </w:p>
        </w:tc>
      </w:tr>
      <w:tr w:rsidR="007A6A1A" w:rsidRPr="00167CB8" w14:paraId="2CD4AB0E"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0156CDCE" w14:textId="50984F07" w:rsidR="007A6A1A" w:rsidRPr="00663CBD" w:rsidRDefault="007A6A1A" w:rsidP="00663CBD">
            <w:pPr>
              <w:spacing w:after="0" w:line="240" w:lineRule="auto"/>
              <w:rPr>
                <w:sz w:val="20"/>
                <w:szCs w:val="20"/>
              </w:rPr>
            </w:pPr>
            <w:r w:rsidRPr="00663CBD">
              <w:rPr>
                <w:sz w:val="20"/>
                <w:szCs w:val="20"/>
              </w:rPr>
              <w:t>2020</w:t>
            </w:r>
            <w:r w:rsidR="00C87E4A" w:rsidRPr="00663CBD">
              <w:rPr>
                <w:rFonts w:ascii="Symbol" w:eastAsia="Symbol" w:hAnsi="Symbol" w:cs="Symbol"/>
                <w:sz w:val="20"/>
                <w:szCs w:val="20"/>
              </w:rPr>
              <w:sym w:font="Symbol" w:char="F02D"/>
            </w:r>
            <w:r w:rsidRPr="00663CBD">
              <w:rPr>
                <w:sz w:val="20"/>
                <w:szCs w:val="20"/>
              </w:rPr>
              <w:t>21</w:t>
            </w:r>
          </w:p>
        </w:tc>
        <w:tc>
          <w:tcPr>
            <w:tcW w:w="943" w:type="dxa"/>
            <w:tcBorders>
              <w:top w:val="nil"/>
              <w:left w:val="single" w:sz="4" w:space="0" w:color="auto"/>
              <w:bottom w:val="nil"/>
              <w:right w:val="nil"/>
            </w:tcBorders>
            <w:noWrap/>
            <w:vAlign w:val="bottom"/>
            <w:hideMark/>
          </w:tcPr>
          <w:p w14:paraId="7A22071D" w14:textId="77777777" w:rsidR="007A6A1A" w:rsidRPr="00663CBD" w:rsidRDefault="007A6A1A" w:rsidP="00663CBD">
            <w:pPr>
              <w:spacing w:after="0" w:line="240" w:lineRule="auto"/>
              <w:rPr>
                <w:sz w:val="20"/>
                <w:szCs w:val="20"/>
              </w:rPr>
            </w:pPr>
            <w:r w:rsidRPr="00663CBD">
              <w:rPr>
                <w:sz w:val="20"/>
                <w:szCs w:val="20"/>
              </w:rPr>
              <w:t>36.1</w:t>
            </w:r>
          </w:p>
        </w:tc>
        <w:tc>
          <w:tcPr>
            <w:tcW w:w="916" w:type="dxa"/>
            <w:tcBorders>
              <w:top w:val="nil"/>
              <w:left w:val="nil"/>
              <w:bottom w:val="nil"/>
              <w:right w:val="nil"/>
            </w:tcBorders>
            <w:noWrap/>
            <w:vAlign w:val="bottom"/>
            <w:hideMark/>
          </w:tcPr>
          <w:p w14:paraId="0677D4FB" w14:textId="77777777" w:rsidR="007A6A1A" w:rsidRPr="00663CBD" w:rsidRDefault="007A6A1A" w:rsidP="00663CBD">
            <w:pPr>
              <w:spacing w:after="0" w:line="240" w:lineRule="auto"/>
              <w:rPr>
                <w:sz w:val="20"/>
                <w:szCs w:val="20"/>
              </w:rPr>
            </w:pPr>
            <w:r w:rsidRPr="00663CBD">
              <w:rPr>
                <w:sz w:val="20"/>
                <w:szCs w:val="20"/>
              </w:rPr>
              <w:t>34.9</w:t>
            </w:r>
          </w:p>
        </w:tc>
        <w:tc>
          <w:tcPr>
            <w:tcW w:w="1464" w:type="dxa"/>
            <w:tcBorders>
              <w:top w:val="nil"/>
              <w:left w:val="nil"/>
              <w:bottom w:val="nil"/>
              <w:right w:val="nil"/>
            </w:tcBorders>
            <w:noWrap/>
            <w:vAlign w:val="bottom"/>
            <w:hideMark/>
          </w:tcPr>
          <w:p w14:paraId="3E326059" w14:textId="77777777" w:rsidR="007A6A1A" w:rsidRPr="00663CBD" w:rsidRDefault="007A6A1A" w:rsidP="00663CBD">
            <w:pPr>
              <w:spacing w:after="0" w:line="240" w:lineRule="auto"/>
              <w:rPr>
                <w:sz w:val="20"/>
                <w:szCs w:val="20"/>
              </w:rPr>
            </w:pPr>
            <w:r w:rsidRPr="00663CBD">
              <w:rPr>
                <w:sz w:val="20"/>
                <w:szCs w:val="20"/>
              </w:rPr>
              <w:t>4.1</w:t>
            </w:r>
          </w:p>
        </w:tc>
        <w:tc>
          <w:tcPr>
            <w:tcW w:w="915" w:type="dxa"/>
            <w:tcBorders>
              <w:top w:val="nil"/>
              <w:left w:val="nil"/>
              <w:bottom w:val="nil"/>
              <w:right w:val="single" w:sz="4" w:space="0" w:color="auto"/>
            </w:tcBorders>
            <w:noWrap/>
            <w:vAlign w:val="bottom"/>
            <w:hideMark/>
          </w:tcPr>
          <w:p w14:paraId="2DA714E5" w14:textId="77777777" w:rsidR="007A6A1A" w:rsidRPr="00663CBD" w:rsidRDefault="007A6A1A" w:rsidP="00663CBD">
            <w:pPr>
              <w:spacing w:after="0" w:line="240" w:lineRule="auto"/>
              <w:rPr>
                <w:sz w:val="20"/>
                <w:szCs w:val="20"/>
              </w:rPr>
            </w:pPr>
            <w:r w:rsidRPr="00663CBD">
              <w:rPr>
                <w:sz w:val="20"/>
                <w:szCs w:val="20"/>
              </w:rPr>
              <w:t>24.9</w:t>
            </w:r>
          </w:p>
        </w:tc>
        <w:tc>
          <w:tcPr>
            <w:tcW w:w="915" w:type="dxa"/>
            <w:tcBorders>
              <w:top w:val="nil"/>
              <w:left w:val="single" w:sz="4" w:space="0" w:color="auto"/>
              <w:bottom w:val="nil"/>
              <w:right w:val="nil"/>
            </w:tcBorders>
            <w:noWrap/>
            <w:vAlign w:val="bottom"/>
            <w:hideMark/>
          </w:tcPr>
          <w:p w14:paraId="7DD95181" w14:textId="77777777" w:rsidR="007A6A1A" w:rsidRPr="00663CBD" w:rsidRDefault="007A6A1A" w:rsidP="00663CBD">
            <w:pPr>
              <w:spacing w:after="0" w:line="240" w:lineRule="auto"/>
              <w:rPr>
                <w:sz w:val="20"/>
                <w:szCs w:val="20"/>
              </w:rPr>
            </w:pPr>
            <w:r w:rsidRPr="00663CBD">
              <w:rPr>
                <w:sz w:val="20"/>
                <w:szCs w:val="20"/>
              </w:rPr>
              <w:t>39.5</w:t>
            </w:r>
          </w:p>
        </w:tc>
        <w:tc>
          <w:tcPr>
            <w:tcW w:w="915" w:type="dxa"/>
            <w:tcBorders>
              <w:top w:val="nil"/>
              <w:left w:val="nil"/>
              <w:bottom w:val="nil"/>
              <w:right w:val="nil"/>
            </w:tcBorders>
            <w:noWrap/>
            <w:vAlign w:val="bottom"/>
            <w:hideMark/>
          </w:tcPr>
          <w:p w14:paraId="1518CA89" w14:textId="77777777" w:rsidR="007A6A1A" w:rsidRPr="00663CBD" w:rsidRDefault="007A6A1A" w:rsidP="00663CBD">
            <w:pPr>
              <w:spacing w:after="0" w:line="240" w:lineRule="auto"/>
              <w:rPr>
                <w:sz w:val="20"/>
                <w:szCs w:val="20"/>
              </w:rPr>
            </w:pPr>
            <w:r w:rsidRPr="00663CBD">
              <w:rPr>
                <w:sz w:val="20"/>
                <w:szCs w:val="20"/>
              </w:rPr>
              <w:t>37.3</w:t>
            </w:r>
          </w:p>
        </w:tc>
        <w:tc>
          <w:tcPr>
            <w:tcW w:w="1463" w:type="dxa"/>
            <w:tcBorders>
              <w:top w:val="nil"/>
              <w:left w:val="nil"/>
              <w:bottom w:val="nil"/>
              <w:right w:val="nil"/>
            </w:tcBorders>
            <w:noWrap/>
            <w:vAlign w:val="bottom"/>
            <w:hideMark/>
          </w:tcPr>
          <w:p w14:paraId="731EA93B" w14:textId="77777777" w:rsidR="007A6A1A" w:rsidRPr="00663CBD" w:rsidRDefault="007A6A1A" w:rsidP="00663CBD">
            <w:pPr>
              <w:spacing w:after="0" w:line="240" w:lineRule="auto"/>
              <w:rPr>
                <w:sz w:val="20"/>
                <w:szCs w:val="20"/>
              </w:rPr>
            </w:pPr>
            <w:r w:rsidRPr="00663CBD">
              <w:rPr>
                <w:sz w:val="20"/>
                <w:szCs w:val="20"/>
              </w:rPr>
              <w:t>4.2</w:t>
            </w:r>
          </w:p>
        </w:tc>
        <w:tc>
          <w:tcPr>
            <w:tcW w:w="915" w:type="dxa"/>
            <w:tcBorders>
              <w:top w:val="nil"/>
              <w:left w:val="nil"/>
              <w:bottom w:val="nil"/>
              <w:right w:val="single" w:sz="4" w:space="0" w:color="auto"/>
            </w:tcBorders>
            <w:noWrap/>
            <w:vAlign w:val="bottom"/>
            <w:hideMark/>
          </w:tcPr>
          <w:p w14:paraId="7A4F36DD" w14:textId="77777777" w:rsidR="007A6A1A" w:rsidRPr="00663CBD" w:rsidRDefault="007A6A1A" w:rsidP="00663CBD">
            <w:pPr>
              <w:spacing w:after="0" w:line="240" w:lineRule="auto"/>
              <w:rPr>
                <w:sz w:val="20"/>
                <w:szCs w:val="20"/>
              </w:rPr>
            </w:pPr>
            <w:r w:rsidRPr="00663CBD">
              <w:rPr>
                <w:sz w:val="20"/>
                <w:szCs w:val="20"/>
              </w:rPr>
              <w:t>19.0</w:t>
            </w:r>
          </w:p>
        </w:tc>
        <w:tc>
          <w:tcPr>
            <w:tcW w:w="961" w:type="dxa"/>
            <w:tcBorders>
              <w:top w:val="nil"/>
              <w:left w:val="single" w:sz="4" w:space="0" w:color="auto"/>
              <w:bottom w:val="nil"/>
              <w:right w:val="nil"/>
            </w:tcBorders>
            <w:noWrap/>
            <w:vAlign w:val="bottom"/>
            <w:hideMark/>
          </w:tcPr>
          <w:p w14:paraId="4BF8B4FF" w14:textId="77777777" w:rsidR="007A6A1A" w:rsidRPr="00663CBD" w:rsidRDefault="007A6A1A" w:rsidP="00663CBD">
            <w:pPr>
              <w:spacing w:after="0" w:line="240" w:lineRule="auto"/>
              <w:rPr>
                <w:sz w:val="20"/>
                <w:szCs w:val="20"/>
              </w:rPr>
            </w:pPr>
            <w:r w:rsidRPr="00663CBD">
              <w:rPr>
                <w:sz w:val="20"/>
                <w:szCs w:val="20"/>
              </w:rPr>
              <w:t>33.3</w:t>
            </w:r>
          </w:p>
        </w:tc>
        <w:tc>
          <w:tcPr>
            <w:tcW w:w="915" w:type="dxa"/>
            <w:tcBorders>
              <w:top w:val="nil"/>
              <w:left w:val="nil"/>
              <w:bottom w:val="nil"/>
              <w:right w:val="nil"/>
            </w:tcBorders>
            <w:noWrap/>
            <w:vAlign w:val="bottom"/>
            <w:hideMark/>
          </w:tcPr>
          <w:p w14:paraId="1F446618" w14:textId="77777777" w:rsidR="007A6A1A" w:rsidRPr="00663CBD" w:rsidRDefault="007A6A1A" w:rsidP="00663CBD">
            <w:pPr>
              <w:spacing w:after="0" w:line="240" w:lineRule="auto"/>
              <w:rPr>
                <w:sz w:val="20"/>
                <w:szCs w:val="20"/>
              </w:rPr>
            </w:pPr>
            <w:r w:rsidRPr="00663CBD">
              <w:rPr>
                <w:sz w:val="20"/>
                <w:szCs w:val="20"/>
              </w:rPr>
              <w:t>33.0</w:t>
            </w:r>
          </w:p>
        </w:tc>
        <w:tc>
          <w:tcPr>
            <w:tcW w:w="1463" w:type="dxa"/>
            <w:tcBorders>
              <w:top w:val="nil"/>
              <w:left w:val="nil"/>
              <w:bottom w:val="nil"/>
              <w:right w:val="nil"/>
            </w:tcBorders>
            <w:noWrap/>
            <w:vAlign w:val="bottom"/>
            <w:hideMark/>
          </w:tcPr>
          <w:p w14:paraId="1E0D56D3" w14:textId="77777777" w:rsidR="007A6A1A" w:rsidRPr="00663CBD" w:rsidRDefault="007A6A1A" w:rsidP="00663CBD">
            <w:pPr>
              <w:spacing w:after="0" w:line="240" w:lineRule="auto"/>
              <w:rPr>
                <w:sz w:val="20"/>
                <w:szCs w:val="20"/>
              </w:rPr>
            </w:pPr>
            <w:r w:rsidRPr="00663CBD">
              <w:rPr>
                <w:sz w:val="20"/>
                <w:szCs w:val="20"/>
              </w:rPr>
              <w:t>4.0</w:t>
            </w:r>
          </w:p>
        </w:tc>
        <w:tc>
          <w:tcPr>
            <w:tcW w:w="915" w:type="dxa"/>
            <w:tcBorders>
              <w:top w:val="nil"/>
              <w:left w:val="nil"/>
              <w:bottom w:val="nil"/>
              <w:right w:val="single" w:sz="4" w:space="0" w:color="auto"/>
            </w:tcBorders>
            <w:noWrap/>
            <w:vAlign w:val="bottom"/>
            <w:hideMark/>
          </w:tcPr>
          <w:p w14:paraId="00C8A7A9" w14:textId="77777777" w:rsidR="007A6A1A" w:rsidRPr="00663CBD" w:rsidRDefault="007A6A1A" w:rsidP="00663CBD">
            <w:pPr>
              <w:spacing w:after="0" w:line="240" w:lineRule="auto"/>
              <w:rPr>
                <w:sz w:val="20"/>
                <w:szCs w:val="20"/>
              </w:rPr>
            </w:pPr>
            <w:r w:rsidRPr="00663CBD">
              <w:rPr>
                <w:sz w:val="20"/>
                <w:szCs w:val="20"/>
              </w:rPr>
              <w:t>29.7</w:t>
            </w:r>
          </w:p>
        </w:tc>
      </w:tr>
      <w:tr w:rsidR="007A6A1A" w:rsidRPr="00167CB8" w14:paraId="19C6E051" w14:textId="77777777" w:rsidTr="00663CBD">
        <w:trPr>
          <w:trHeight w:val="397"/>
        </w:trPr>
        <w:tc>
          <w:tcPr>
            <w:tcW w:w="1248" w:type="dxa"/>
            <w:tcBorders>
              <w:top w:val="nil"/>
              <w:left w:val="single" w:sz="4" w:space="0" w:color="auto"/>
              <w:bottom w:val="nil"/>
              <w:right w:val="single" w:sz="4" w:space="0" w:color="auto"/>
            </w:tcBorders>
            <w:noWrap/>
            <w:vAlign w:val="bottom"/>
            <w:hideMark/>
          </w:tcPr>
          <w:p w14:paraId="75B2F573" w14:textId="7E1CA644" w:rsidR="007A6A1A" w:rsidRPr="00663CBD" w:rsidRDefault="007A6A1A" w:rsidP="00663CBD">
            <w:pPr>
              <w:spacing w:after="0" w:line="240" w:lineRule="auto"/>
              <w:rPr>
                <w:sz w:val="20"/>
                <w:szCs w:val="20"/>
              </w:rPr>
            </w:pPr>
            <w:r w:rsidRPr="00663CBD">
              <w:rPr>
                <w:sz w:val="20"/>
                <w:szCs w:val="20"/>
              </w:rPr>
              <w:t>2021</w:t>
            </w:r>
            <w:r w:rsidR="00C87E4A" w:rsidRPr="00663CBD">
              <w:rPr>
                <w:rFonts w:ascii="Symbol" w:eastAsia="Symbol" w:hAnsi="Symbol" w:cs="Symbol"/>
                <w:sz w:val="20"/>
                <w:szCs w:val="20"/>
              </w:rPr>
              <w:sym w:font="Symbol" w:char="F02D"/>
            </w:r>
            <w:r w:rsidRPr="00663CBD">
              <w:rPr>
                <w:sz w:val="20"/>
                <w:szCs w:val="20"/>
              </w:rPr>
              <w:t>22</w:t>
            </w:r>
          </w:p>
        </w:tc>
        <w:tc>
          <w:tcPr>
            <w:tcW w:w="943" w:type="dxa"/>
            <w:tcBorders>
              <w:top w:val="nil"/>
              <w:left w:val="single" w:sz="4" w:space="0" w:color="auto"/>
              <w:bottom w:val="nil"/>
              <w:right w:val="nil"/>
            </w:tcBorders>
            <w:noWrap/>
            <w:vAlign w:val="bottom"/>
            <w:hideMark/>
          </w:tcPr>
          <w:p w14:paraId="6D7F3F6A" w14:textId="77777777" w:rsidR="007A6A1A" w:rsidRPr="00663CBD" w:rsidRDefault="007A6A1A" w:rsidP="00663CBD">
            <w:pPr>
              <w:spacing w:after="0" w:line="240" w:lineRule="auto"/>
              <w:rPr>
                <w:sz w:val="20"/>
                <w:szCs w:val="20"/>
              </w:rPr>
            </w:pPr>
            <w:r w:rsidRPr="00663CBD">
              <w:rPr>
                <w:sz w:val="20"/>
                <w:szCs w:val="20"/>
              </w:rPr>
              <w:t>31.5</w:t>
            </w:r>
          </w:p>
        </w:tc>
        <w:tc>
          <w:tcPr>
            <w:tcW w:w="916" w:type="dxa"/>
            <w:tcBorders>
              <w:top w:val="nil"/>
              <w:left w:val="nil"/>
              <w:bottom w:val="nil"/>
              <w:right w:val="nil"/>
            </w:tcBorders>
            <w:noWrap/>
            <w:vAlign w:val="bottom"/>
            <w:hideMark/>
          </w:tcPr>
          <w:p w14:paraId="45B0A6B1" w14:textId="77777777" w:rsidR="007A6A1A" w:rsidRPr="00663CBD" w:rsidRDefault="007A6A1A" w:rsidP="00663CBD">
            <w:pPr>
              <w:spacing w:after="0" w:line="240" w:lineRule="auto"/>
              <w:rPr>
                <w:sz w:val="20"/>
                <w:szCs w:val="20"/>
              </w:rPr>
            </w:pPr>
            <w:r w:rsidRPr="00663CBD">
              <w:rPr>
                <w:sz w:val="20"/>
                <w:szCs w:val="20"/>
              </w:rPr>
              <w:t>40.0</w:t>
            </w:r>
          </w:p>
        </w:tc>
        <w:tc>
          <w:tcPr>
            <w:tcW w:w="1464" w:type="dxa"/>
            <w:tcBorders>
              <w:top w:val="nil"/>
              <w:left w:val="nil"/>
              <w:bottom w:val="nil"/>
              <w:right w:val="nil"/>
            </w:tcBorders>
            <w:noWrap/>
            <w:vAlign w:val="bottom"/>
            <w:hideMark/>
          </w:tcPr>
          <w:p w14:paraId="24F79E68" w14:textId="77777777" w:rsidR="007A6A1A" w:rsidRPr="00663CBD" w:rsidRDefault="007A6A1A" w:rsidP="00663CBD">
            <w:pPr>
              <w:spacing w:after="0" w:line="240" w:lineRule="auto"/>
              <w:rPr>
                <w:sz w:val="20"/>
                <w:szCs w:val="20"/>
              </w:rPr>
            </w:pPr>
            <w:r w:rsidRPr="00663CBD">
              <w:rPr>
                <w:sz w:val="20"/>
                <w:szCs w:val="20"/>
              </w:rPr>
              <w:t>2.8</w:t>
            </w:r>
          </w:p>
        </w:tc>
        <w:tc>
          <w:tcPr>
            <w:tcW w:w="915" w:type="dxa"/>
            <w:tcBorders>
              <w:top w:val="nil"/>
              <w:left w:val="nil"/>
              <w:bottom w:val="nil"/>
              <w:right w:val="single" w:sz="4" w:space="0" w:color="auto"/>
            </w:tcBorders>
            <w:noWrap/>
            <w:vAlign w:val="bottom"/>
            <w:hideMark/>
          </w:tcPr>
          <w:p w14:paraId="4A84C7E8" w14:textId="77777777" w:rsidR="007A6A1A" w:rsidRPr="00663CBD" w:rsidRDefault="007A6A1A" w:rsidP="00663CBD">
            <w:pPr>
              <w:spacing w:after="0" w:line="240" w:lineRule="auto"/>
              <w:rPr>
                <w:sz w:val="20"/>
                <w:szCs w:val="20"/>
              </w:rPr>
            </w:pPr>
            <w:r w:rsidRPr="00663CBD">
              <w:rPr>
                <w:sz w:val="20"/>
                <w:szCs w:val="20"/>
              </w:rPr>
              <w:t>25.7</w:t>
            </w:r>
          </w:p>
        </w:tc>
        <w:tc>
          <w:tcPr>
            <w:tcW w:w="915" w:type="dxa"/>
            <w:tcBorders>
              <w:top w:val="nil"/>
              <w:left w:val="single" w:sz="4" w:space="0" w:color="auto"/>
              <w:bottom w:val="nil"/>
              <w:right w:val="nil"/>
            </w:tcBorders>
            <w:noWrap/>
            <w:vAlign w:val="bottom"/>
            <w:hideMark/>
          </w:tcPr>
          <w:p w14:paraId="62F5FE19" w14:textId="77777777" w:rsidR="007A6A1A" w:rsidRPr="00663CBD" w:rsidRDefault="007A6A1A" w:rsidP="00663CBD">
            <w:pPr>
              <w:spacing w:after="0" w:line="240" w:lineRule="auto"/>
              <w:rPr>
                <w:sz w:val="20"/>
                <w:szCs w:val="20"/>
              </w:rPr>
            </w:pPr>
            <w:r w:rsidRPr="00663CBD">
              <w:rPr>
                <w:sz w:val="20"/>
                <w:szCs w:val="20"/>
              </w:rPr>
              <w:t>34.2</w:t>
            </w:r>
          </w:p>
        </w:tc>
        <w:tc>
          <w:tcPr>
            <w:tcW w:w="915" w:type="dxa"/>
            <w:tcBorders>
              <w:top w:val="nil"/>
              <w:left w:val="nil"/>
              <w:bottom w:val="nil"/>
              <w:right w:val="nil"/>
            </w:tcBorders>
            <w:noWrap/>
            <w:vAlign w:val="bottom"/>
            <w:hideMark/>
          </w:tcPr>
          <w:p w14:paraId="1221F7BA" w14:textId="77777777" w:rsidR="007A6A1A" w:rsidRPr="00663CBD" w:rsidRDefault="007A6A1A" w:rsidP="00663CBD">
            <w:pPr>
              <w:spacing w:after="0" w:line="240" w:lineRule="auto"/>
              <w:rPr>
                <w:sz w:val="20"/>
                <w:szCs w:val="20"/>
              </w:rPr>
            </w:pPr>
            <w:r w:rsidRPr="00663CBD">
              <w:rPr>
                <w:sz w:val="20"/>
                <w:szCs w:val="20"/>
              </w:rPr>
              <w:t>42.2</w:t>
            </w:r>
          </w:p>
        </w:tc>
        <w:tc>
          <w:tcPr>
            <w:tcW w:w="1463" w:type="dxa"/>
            <w:tcBorders>
              <w:top w:val="nil"/>
              <w:left w:val="nil"/>
              <w:bottom w:val="nil"/>
              <w:right w:val="nil"/>
            </w:tcBorders>
            <w:noWrap/>
            <w:vAlign w:val="bottom"/>
            <w:hideMark/>
          </w:tcPr>
          <w:p w14:paraId="3C294A9A" w14:textId="77777777" w:rsidR="007A6A1A" w:rsidRPr="00663CBD" w:rsidRDefault="007A6A1A" w:rsidP="00663CBD">
            <w:pPr>
              <w:spacing w:after="0" w:line="240" w:lineRule="auto"/>
              <w:rPr>
                <w:sz w:val="20"/>
                <w:szCs w:val="20"/>
              </w:rPr>
            </w:pPr>
            <w:r w:rsidRPr="00663CBD">
              <w:rPr>
                <w:sz w:val="20"/>
                <w:szCs w:val="20"/>
              </w:rPr>
              <w:t>3.5</w:t>
            </w:r>
          </w:p>
        </w:tc>
        <w:tc>
          <w:tcPr>
            <w:tcW w:w="915" w:type="dxa"/>
            <w:tcBorders>
              <w:top w:val="nil"/>
              <w:left w:val="nil"/>
              <w:bottom w:val="nil"/>
              <w:right w:val="single" w:sz="4" w:space="0" w:color="auto"/>
            </w:tcBorders>
            <w:noWrap/>
            <w:vAlign w:val="bottom"/>
            <w:hideMark/>
          </w:tcPr>
          <w:p w14:paraId="171FB9FC" w14:textId="77777777" w:rsidR="007A6A1A" w:rsidRPr="00663CBD" w:rsidRDefault="007A6A1A" w:rsidP="00663CBD">
            <w:pPr>
              <w:spacing w:after="0" w:line="240" w:lineRule="auto"/>
              <w:rPr>
                <w:sz w:val="20"/>
                <w:szCs w:val="20"/>
              </w:rPr>
            </w:pPr>
            <w:r w:rsidRPr="00663CBD">
              <w:rPr>
                <w:sz w:val="20"/>
                <w:szCs w:val="20"/>
              </w:rPr>
              <w:t>20.1</w:t>
            </w:r>
          </w:p>
        </w:tc>
        <w:tc>
          <w:tcPr>
            <w:tcW w:w="961" w:type="dxa"/>
            <w:tcBorders>
              <w:top w:val="nil"/>
              <w:left w:val="single" w:sz="4" w:space="0" w:color="auto"/>
              <w:bottom w:val="nil"/>
              <w:right w:val="nil"/>
            </w:tcBorders>
            <w:noWrap/>
            <w:vAlign w:val="bottom"/>
            <w:hideMark/>
          </w:tcPr>
          <w:p w14:paraId="372EA953" w14:textId="77777777" w:rsidR="007A6A1A" w:rsidRPr="00663CBD" w:rsidRDefault="007A6A1A" w:rsidP="00663CBD">
            <w:pPr>
              <w:spacing w:after="0" w:line="240" w:lineRule="auto"/>
              <w:rPr>
                <w:sz w:val="20"/>
                <w:szCs w:val="20"/>
              </w:rPr>
            </w:pPr>
            <w:r w:rsidRPr="00663CBD">
              <w:rPr>
                <w:sz w:val="20"/>
                <w:szCs w:val="20"/>
              </w:rPr>
              <w:t>29.4</w:t>
            </w:r>
          </w:p>
        </w:tc>
        <w:tc>
          <w:tcPr>
            <w:tcW w:w="915" w:type="dxa"/>
            <w:tcBorders>
              <w:top w:val="nil"/>
              <w:left w:val="nil"/>
              <w:bottom w:val="nil"/>
              <w:right w:val="nil"/>
            </w:tcBorders>
            <w:noWrap/>
            <w:vAlign w:val="bottom"/>
            <w:hideMark/>
          </w:tcPr>
          <w:p w14:paraId="1422B883" w14:textId="77777777" w:rsidR="007A6A1A" w:rsidRPr="00663CBD" w:rsidRDefault="007A6A1A" w:rsidP="00663CBD">
            <w:pPr>
              <w:spacing w:after="0" w:line="240" w:lineRule="auto"/>
              <w:rPr>
                <w:sz w:val="20"/>
                <w:szCs w:val="20"/>
              </w:rPr>
            </w:pPr>
            <w:r w:rsidRPr="00663CBD">
              <w:rPr>
                <w:sz w:val="20"/>
                <w:szCs w:val="20"/>
              </w:rPr>
              <w:t>38.2</w:t>
            </w:r>
          </w:p>
        </w:tc>
        <w:tc>
          <w:tcPr>
            <w:tcW w:w="1463" w:type="dxa"/>
            <w:tcBorders>
              <w:top w:val="nil"/>
              <w:left w:val="nil"/>
              <w:bottom w:val="nil"/>
              <w:right w:val="nil"/>
            </w:tcBorders>
            <w:noWrap/>
            <w:vAlign w:val="bottom"/>
            <w:hideMark/>
          </w:tcPr>
          <w:p w14:paraId="130D2786" w14:textId="77777777" w:rsidR="007A6A1A" w:rsidRPr="00663CBD" w:rsidRDefault="007A6A1A" w:rsidP="00663CBD">
            <w:pPr>
              <w:spacing w:after="0" w:line="240" w:lineRule="auto"/>
              <w:rPr>
                <w:sz w:val="20"/>
                <w:szCs w:val="20"/>
              </w:rPr>
            </w:pPr>
            <w:r w:rsidRPr="00663CBD">
              <w:rPr>
                <w:sz w:val="20"/>
                <w:szCs w:val="20"/>
              </w:rPr>
              <w:t>2.2</w:t>
            </w:r>
          </w:p>
        </w:tc>
        <w:tc>
          <w:tcPr>
            <w:tcW w:w="915" w:type="dxa"/>
            <w:tcBorders>
              <w:top w:val="nil"/>
              <w:left w:val="nil"/>
              <w:bottom w:val="nil"/>
              <w:right w:val="single" w:sz="4" w:space="0" w:color="auto"/>
            </w:tcBorders>
            <w:noWrap/>
            <w:vAlign w:val="bottom"/>
            <w:hideMark/>
          </w:tcPr>
          <w:p w14:paraId="7AB2006A" w14:textId="77777777" w:rsidR="007A6A1A" w:rsidRPr="00663CBD" w:rsidRDefault="007A6A1A" w:rsidP="00663CBD">
            <w:pPr>
              <w:spacing w:after="0" w:line="240" w:lineRule="auto"/>
              <w:rPr>
                <w:sz w:val="20"/>
                <w:szCs w:val="20"/>
              </w:rPr>
            </w:pPr>
            <w:r w:rsidRPr="00663CBD">
              <w:rPr>
                <w:sz w:val="20"/>
                <w:szCs w:val="20"/>
              </w:rPr>
              <w:t>30.3</w:t>
            </w:r>
          </w:p>
        </w:tc>
      </w:tr>
      <w:tr w:rsidR="007A6A1A" w:rsidRPr="00167CB8" w14:paraId="2B080ED1" w14:textId="77777777" w:rsidTr="00663CBD">
        <w:trPr>
          <w:trHeight w:val="397"/>
        </w:trPr>
        <w:tc>
          <w:tcPr>
            <w:tcW w:w="1248" w:type="dxa"/>
            <w:tcBorders>
              <w:top w:val="nil"/>
              <w:left w:val="single" w:sz="4" w:space="0" w:color="auto"/>
              <w:bottom w:val="single" w:sz="4" w:space="0" w:color="auto"/>
              <w:right w:val="single" w:sz="4" w:space="0" w:color="auto"/>
            </w:tcBorders>
            <w:noWrap/>
            <w:vAlign w:val="bottom"/>
            <w:hideMark/>
          </w:tcPr>
          <w:p w14:paraId="7D983600" w14:textId="2C238008" w:rsidR="007A6A1A" w:rsidRPr="00663CBD" w:rsidRDefault="007A6A1A" w:rsidP="00663CBD">
            <w:pPr>
              <w:spacing w:after="0" w:line="240" w:lineRule="auto"/>
              <w:rPr>
                <w:sz w:val="20"/>
                <w:szCs w:val="20"/>
              </w:rPr>
            </w:pPr>
            <w:r w:rsidRPr="00663CBD">
              <w:rPr>
                <w:sz w:val="20"/>
                <w:szCs w:val="20"/>
              </w:rPr>
              <w:t>2022</w:t>
            </w:r>
            <w:r w:rsidR="00C87E4A" w:rsidRPr="00663CBD">
              <w:rPr>
                <w:rFonts w:ascii="Symbol" w:eastAsia="Symbol" w:hAnsi="Symbol" w:cs="Symbol"/>
                <w:sz w:val="20"/>
                <w:szCs w:val="20"/>
              </w:rPr>
              <w:sym w:font="Symbol" w:char="F02D"/>
            </w:r>
            <w:r w:rsidRPr="00663CBD">
              <w:rPr>
                <w:sz w:val="20"/>
                <w:szCs w:val="20"/>
              </w:rPr>
              <w:t>23</w:t>
            </w:r>
          </w:p>
        </w:tc>
        <w:tc>
          <w:tcPr>
            <w:tcW w:w="943" w:type="dxa"/>
            <w:tcBorders>
              <w:top w:val="nil"/>
              <w:left w:val="single" w:sz="4" w:space="0" w:color="auto"/>
              <w:bottom w:val="single" w:sz="4" w:space="0" w:color="auto"/>
              <w:right w:val="nil"/>
            </w:tcBorders>
            <w:noWrap/>
            <w:vAlign w:val="bottom"/>
            <w:hideMark/>
          </w:tcPr>
          <w:p w14:paraId="535C8F24" w14:textId="77777777" w:rsidR="007A6A1A" w:rsidRPr="00663CBD" w:rsidRDefault="007A6A1A" w:rsidP="00663CBD">
            <w:pPr>
              <w:spacing w:after="0" w:line="240" w:lineRule="auto"/>
              <w:rPr>
                <w:sz w:val="20"/>
                <w:szCs w:val="20"/>
              </w:rPr>
            </w:pPr>
            <w:r w:rsidRPr="00663CBD">
              <w:rPr>
                <w:sz w:val="20"/>
                <w:szCs w:val="20"/>
              </w:rPr>
              <w:t>36.0</w:t>
            </w:r>
          </w:p>
        </w:tc>
        <w:tc>
          <w:tcPr>
            <w:tcW w:w="916" w:type="dxa"/>
            <w:tcBorders>
              <w:top w:val="nil"/>
              <w:left w:val="nil"/>
              <w:bottom w:val="single" w:sz="4" w:space="0" w:color="auto"/>
              <w:right w:val="nil"/>
            </w:tcBorders>
            <w:noWrap/>
            <w:vAlign w:val="bottom"/>
            <w:hideMark/>
          </w:tcPr>
          <w:p w14:paraId="20EC3CB6" w14:textId="77777777" w:rsidR="007A6A1A" w:rsidRPr="00663CBD" w:rsidRDefault="007A6A1A" w:rsidP="00663CBD">
            <w:pPr>
              <w:spacing w:after="0" w:line="240" w:lineRule="auto"/>
              <w:rPr>
                <w:sz w:val="20"/>
                <w:szCs w:val="20"/>
              </w:rPr>
            </w:pPr>
            <w:r w:rsidRPr="00663CBD">
              <w:rPr>
                <w:sz w:val="20"/>
                <w:szCs w:val="20"/>
              </w:rPr>
              <w:t>35.2</w:t>
            </w:r>
          </w:p>
        </w:tc>
        <w:tc>
          <w:tcPr>
            <w:tcW w:w="1464" w:type="dxa"/>
            <w:tcBorders>
              <w:top w:val="nil"/>
              <w:left w:val="nil"/>
              <w:bottom w:val="single" w:sz="4" w:space="0" w:color="auto"/>
              <w:right w:val="nil"/>
            </w:tcBorders>
            <w:noWrap/>
            <w:vAlign w:val="bottom"/>
            <w:hideMark/>
          </w:tcPr>
          <w:p w14:paraId="21E1C36C" w14:textId="77777777" w:rsidR="007A6A1A" w:rsidRPr="00663CBD" w:rsidRDefault="007A6A1A" w:rsidP="00663CBD">
            <w:pPr>
              <w:spacing w:after="0" w:line="240" w:lineRule="auto"/>
              <w:rPr>
                <w:sz w:val="20"/>
                <w:szCs w:val="20"/>
              </w:rPr>
            </w:pPr>
            <w:r w:rsidRPr="00663CBD">
              <w:rPr>
                <w:sz w:val="20"/>
                <w:szCs w:val="20"/>
              </w:rPr>
              <w:t>3.4</w:t>
            </w:r>
          </w:p>
        </w:tc>
        <w:tc>
          <w:tcPr>
            <w:tcW w:w="915" w:type="dxa"/>
            <w:tcBorders>
              <w:top w:val="nil"/>
              <w:left w:val="nil"/>
              <w:bottom w:val="single" w:sz="4" w:space="0" w:color="auto"/>
              <w:right w:val="single" w:sz="4" w:space="0" w:color="auto"/>
            </w:tcBorders>
            <w:noWrap/>
            <w:vAlign w:val="bottom"/>
            <w:hideMark/>
          </w:tcPr>
          <w:p w14:paraId="6D12CDA3" w14:textId="77777777" w:rsidR="007A6A1A" w:rsidRPr="00663CBD" w:rsidRDefault="007A6A1A" w:rsidP="00663CBD">
            <w:pPr>
              <w:spacing w:after="0" w:line="240" w:lineRule="auto"/>
              <w:rPr>
                <w:sz w:val="20"/>
                <w:szCs w:val="20"/>
              </w:rPr>
            </w:pPr>
            <w:r w:rsidRPr="00663CBD">
              <w:rPr>
                <w:sz w:val="20"/>
                <w:szCs w:val="20"/>
              </w:rPr>
              <w:t>25.3</w:t>
            </w:r>
          </w:p>
        </w:tc>
        <w:tc>
          <w:tcPr>
            <w:tcW w:w="915" w:type="dxa"/>
            <w:tcBorders>
              <w:top w:val="nil"/>
              <w:left w:val="single" w:sz="4" w:space="0" w:color="auto"/>
              <w:bottom w:val="single" w:sz="4" w:space="0" w:color="auto"/>
              <w:right w:val="nil"/>
            </w:tcBorders>
            <w:noWrap/>
            <w:vAlign w:val="bottom"/>
            <w:hideMark/>
          </w:tcPr>
          <w:p w14:paraId="0567EA64" w14:textId="77777777" w:rsidR="007A6A1A" w:rsidRPr="00663CBD" w:rsidRDefault="007A6A1A" w:rsidP="00663CBD">
            <w:pPr>
              <w:spacing w:after="0" w:line="240" w:lineRule="auto"/>
              <w:rPr>
                <w:sz w:val="20"/>
                <w:szCs w:val="20"/>
              </w:rPr>
            </w:pPr>
            <w:r w:rsidRPr="00663CBD">
              <w:rPr>
                <w:sz w:val="20"/>
                <w:szCs w:val="20"/>
              </w:rPr>
              <w:t>36.8</w:t>
            </w:r>
          </w:p>
        </w:tc>
        <w:tc>
          <w:tcPr>
            <w:tcW w:w="915" w:type="dxa"/>
            <w:tcBorders>
              <w:top w:val="nil"/>
              <w:left w:val="nil"/>
              <w:bottom w:val="single" w:sz="4" w:space="0" w:color="auto"/>
              <w:right w:val="nil"/>
            </w:tcBorders>
            <w:noWrap/>
            <w:vAlign w:val="bottom"/>
            <w:hideMark/>
          </w:tcPr>
          <w:p w14:paraId="7E97C1AF" w14:textId="77777777" w:rsidR="007A6A1A" w:rsidRPr="00663CBD" w:rsidRDefault="007A6A1A" w:rsidP="00663CBD">
            <w:pPr>
              <w:spacing w:after="0" w:line="240" w:lineRule="auto"/>
              <w:rPr>
                <w:sz w:val="20"/>
                <w:szCs w:val="20"/>
              </w:rPr>
            </w:pPr>
            <w:r w:rsidRPr="00663CBD">
              <w:rPr>
                <w:sz w:val="20"/>
                <w:szCs w:val="20"/>
              </w:rPr>
              <w:t>38.8</w:t>
            </w:r>
          </w:p>
        </w:tc>
        <w:tc>
          <w:tcPr>
            <w:tcW w:w="1463" w:type="dxa"/>
            <w:tcBorders>
              <w:top w:val="nil"/>
              <w:left w:val="nil"/>
              <w:bottom w:val="single" w:sz="4" w:space="0" w:color="auto"/>
              <w:right w:val="nil"/>
            </w:tcBorders>
            <w:noWrap/>
            <w:vAlign w:val="bottom"/>
            <w:hideMark/>
          </w:tcPr>
          <w:p w14:paraId="1EEE6218" w14:textId="77777777" w:rsidR="007A6A1A" w:rsidRPr="00663CBD" w:rsidRDefault="007A6A1A" w:rsidP="00663CBD">
            <w:pPr>
              <w:spacing w:after="0" w:line="240" w:lineRule="auto"/>
              <w:rPr>
                <w:sz w:val="20"/>
                <w:szCs w:val="20"/>
              </w:rPr>
            </w:pPr>
            <w:r w:rsidRPr="00663CBD">
              <w:rPr>
                <w:sz w:val="20"/>
                <w:szCs w:val="20"/>
              </w:rPr>
              <w:t>4.9</w:t>
            </w:r>
          </w:p>
        </w:tc>
        <w:tc>
          <w:tcPr>
            <w:tcW w:w="915" w:type="dxa"/>
            <w:tcBorders>
              <w:top w:val="nil"/>
              <w:left w:val="nil"/>
              <w:bottom w:val="single" w:sz="4" w:space="0" w:color="auto"/>
              <w:right w:val="single" w:sz="4" w:space="0" w:color="auto"/>
            </w:tcBorders>
            <w:noWrap/>
            <w:vAlign w:val="bottom"/>
            <w:hideMark/>
          </w:tcPr>
          <w:p w14:paraId="3A35EE96" w14:textId="77777777" w:rsidR="007A6A1A" w:rsidRPr="00663CBD" w:rsidRDefault="007A6A1A" w:rsidP="00663CBD">
            <w:pPr>
              <w:spacing w:after="0" w:line="240" w:lineRule="auto"/>
              <w:rPr>
                <w:sz w:val="20"/>
                <w:szCs w:val="20"/>
              </w:rPr>
            </w:pPr>
            <w:r w:rsidRPr="00663CBD">
              <w:rPr>
                <w:sz w:val="20"/>
                <w:szCs w:val="20"/>
              </w:rPr>
              <w:t>19.5</w:t>
            </w:r>
          </w:p>
        </w:tc>
        <w:tc>
          <w:tcPr>
            <w:tcW w:w="961" w:type="dxa"/>
            <w:tcBorders>
              <w:top w:val="nil"/>
              <w:left w:val="single" w:sz="4" w:space="0" w:color="auto"/>
              <w:bottom w:val="single" w:sz="4" w:space="0" w:color="auto"/>
              <w:right w:val="nil"/>
            </w:tcBorders>
            <w:noWrap/>
            <w:vAlign w:val="bottom"/>
            <w:hideMark/>
          </w:tcPr>
          <w:p w14:paraId="420ECF5A" w14:textId="77777777" w:rsidR="007A6A1A" w:rsidRPr="00663CBD" w:rsidRDefault="007A6A1A" w:rsidP="00663CBD">
            <w:pPr>
              <w:spacing w:after="0" w:line="240" w:lineRule="auto"/>
              <w:rPr>
                <w:sz w:val="20"/>
                <w:szCs w:val="20"/>
              </w:rPr>
            </w:pPr>
            <w:r w:rsidRPr="00663CBD">
              <w:rPr>
                <w:sz w:val="20"/>
                <w:szCs w:val="20"/>
              </w:rPr>
              <w:t>35.4</w:t>
            </w:r>
          </w:p>
        </w:tc>
        <w:tc>
          <w:tcPr>
            <w:tcW w:w="915" w:type="dxa"/>
            <w:tcBorders>
              <w:top w:val="nil"/>
              <w:left w:val="nil"/>
              <w:bottom w:val="single" w:sz="4" w:space="0" w:color="auto"/>
              <w:right w:val="nil"/>
            </w:tcBorders>
            <w:noWrap/>
            <w:vAlign w:val="bottom"/>
            <w:hideMark/>
          </w:tcPr>
          <w:p w14:paraId="4D3587E3" w14:textId="77777777" w:rsidR="007A6A1A" w:rsidRPr="00663CBD" w:rsidRDefault="007A6A1A" w:rsidP="00663CBD">
            <w:pPr>
              <w:spacing w:after="0" w:line="240" w:lineRule="auto"/>
              <w:rPr>
                <w:sz w:val="20"/>
                <w:szCs w:val="20"/>
              </w:rPr>
            </w:pPr>
            <w:r w:rsidRPr="00663CBD">
              <w:rPr>
                <w:sz w:val="20"/>
                <w:szCs w:val="20"/>
              </w:rPr>
              <w:t>32.6</w:t>
            </w:r>
          </w:p>
        </w:tc>
        <w:tc>
          <w:tcPr>
            <w:tcW w:w="1463" w:type="dxa"/>
            <w:tcBorders>
              <w:top w:val="nil"/>
              <w:left w:val="nil"/>
              <w:bottom w:val="single" w:sz="4" w:space="0" w:color="auto"/>
              <w:right w:val="nil"/>
            </w:tcBorders>
            <w:noWrap/>
            <w:vAlign w:val="bottom"/>
            <w:hideMark/>
          </w:tcPr>
          <w:p w14:paraId="19AAE14A" w14:textId="77777777" w:rsidR="007A6A1A" w:rsidRPr="00663CBD" w:rsidRDefault="007A6A1A" w:rsidP="00663CBD">
            <w:pPr>
              <w:spacing w:after="0" w:line="240" w:lineRule="auto"/>
              <w:rPr>
                <w:sz w:val="20"/>
                <w:szCs w:val="20"/>
              </w:rPr>
            </w:pPr>
            <w:r w:rsidRPr="00663CBD">
              <w:rPr>
                <w:sz w:val="20"/>
                <w:szCs w:val="20"/>
              </w:rPr>
              <w:t>2.4</w:t>
            </w:r>
          </w:p>
        </w:tc>
        <w:tc>
          <w:tcPr>
            <w:tcW w:w="915" w:type="dxa"/>
            <w:tcBorders>
              <w:top w:val="nil"/>
              <w:left w:val="nil"/>
              <w:bottom w:val="single" w:sz="4" w:space="0" w:color="auto"/>
              <w:right w:val="single" w:sz="4" w:space="0" w:color="auto"/>
            </w:tcBorders>
            <w:noWrap/>
            <w:vAlign w:val="bottom"/>
            <w:hideMark/>
          </w:tcPr>
          <w:p w14:paraId="4B9194D8" w14:textId="77777777" w:rsidR="007A6A1A" w:rsidRPr="00663CBD" w:rsidRDefault="007A6A1A" w:rsidP="00663CBD">
            <w:pPr>
              <w:spacing w:after="0" w:line="240" w:lineRule="auto"/>
              <w:rPr>
                <w:sz w:val="20"/>
                <w:szCs w:val="20"/>
              </w:rPr>
            </w:pPr>
            <w:r w:rsidRPr="00663CBD">
              <w:rPr>
                <w:sz w:val="20"/>
                <w:szCs w:val="20"/>
              </w:rPr>
              <w:t>29.6</w:t>
            </w:r>
          </w:p>
        </w:tc>
      </w:tr>
    </w:tbl>
    <w:p w14:paraId="26AB4230" w14:textId="26312041" w:rsidR="007A6A1A" w:rsidRPr="00167CB8" w:rsidRDefault="007A6A1A" w:rsidP="00C87E4A">
      <w:pPr>
        <w:pStyle w:val="Source"/>
      </w:pPr>
      <w:r w:rsidRPr="00167CB8">
        <w:rPr>
          <w:b/>
          <w:bCs/>
        </w:rPr>
        <w:t xml:space="preserve">Notes: </w:t>
      </w:r>
      <w:r w:rsidR="00663CBD">
        <w:rPr>
          <w:b/>
          <w:bCs/>
        </w:rPr>
        <w:t xml:space="preserve">  </w:t>
      </w:r>
      <w:r w:rsidR="00C87E4A" w:rsidRPr="00167CB8">
        <w:t xml:space="preserve">1. </w:t>
      </w:r>
      <w:r w:rsidRPr="00167CB8">
        <w:t>Sample consists of respondents aged 21 to 64 who are employees, have an observable wage and work more than 5 hours per week in their main job and fewer than 60 hours per week in their main job. It excludes those who do not know how their pay is set or who refused to answer. It also excludes a small share of respondents whose pay is set by some other means</w:t>
      </w:r>
      <w:r w:rsidR="00663CBD">
        <w:t xml:space="preserve">; </w:t>
      </w:r>
      <w:r w:rsidR="00C87E4A" w:rsidRPr="00167CB8">
        <w:t xml:space="preserve">2. </w:t>
      </w:r>
      <w:r w:rsidRPr="00167CB8">
        <w:t xml:space="preserve">Data are pooled for each of </w:t>
      </w:r>
      <w:r w:rsidR="00C87E4A" w:rsidRPr="00167CB8">
        <w:t xml:space="preserve">2 </w:t>
      </w:r>
      <w:r w:rsidRPr="00167CB8">
        <w:t>waves to increase the sample size</w:t>
      </w:r>
      <w:r w:rsidR="00663CBD">
        <w:t xml:space="preserve">; </w:t>
      </w:r>
      <w:r w:rsidR="00C87E4A" w:rsidRPr="00167CB8">
        <w:t xml:space="preserve">3. </w:t>
      </w:r>
      <w:r w:rsidRPr="00167CB8">
        <w:t>CA = collective (enterprise) agreement; IA = individual arrangement; Combination = combination of CA and IA; Award = award only</w:t>
      </w:r>
      <w:r w:rsidR="00663CBD">
        <w:t xml:space="preserve">; </w:t>
      </w:r>
      <w:r w:rsidR="00C87E4A" w:rsidRPr="00167CB8">
        <w:t xml:space="preserve">4. </w:t>
      </w:r>
      <w:r w:rsidRPr="00167CB8">
        <w:t>Estimates weighted to reflect population totals.</w:t>
      </w:r>
    </w:p>
    <w:p w14:paraId="231D72C6" w14:textId="4189917A" w:rsidR="007A6A1A" w:rsidRPr="00167CB8" w:rsidRDefault="00C87E4A" w:rsidP="00C87E4A">
      <w:pPr>
        <w:pStyle w:val="Source"/>
      </w:pPr>
      <w:r w:rsidRPr="00167CB8">
        <w:rPr>
          <w:b/>
          <w:bCs/>
        </w:rPr>
        <w:t>Source:</w:t>
      </w:r>
      <w:r w:rsidRPr="00167CB8">
        <w:t xml:space="preserve"> Household, Income and Labour Dynamics in Australia (HILDA) Survey, waves 8 to 23.</w:t>
      </w:r>
    </w:p>
    <w:p w14:paraId="5CED16BE" w14:textId="2799B680" w:rsidR="007A6A1A" w:rsidRPr="00167CB8" w:rsidRDefault="007A6A1A" w:rsidP="00470AB9">
      <w:pPr>
        <w:pStyle w:val="Caption"/>
      </w:pPr>
      <w:bookmarkStart w:id="810" w:name="_Toc186991826"/>
      <w:bookmarkStart w:id="811" w:name="_Toc189310877"/>
      <w:r w:rsidRPr="00167CB8">
        <w:lastRenderedPageBreak/>
        <w:t xml:space="preserve">Table </w:t>
      </w:r>
      <w:r w:rsidR="00190285" w:rsidRPr="00167CB8">
        <w:t>48</w:t>
      </w:r>
      <w:r w:rsidRPr="00167CB8">
        <w:t>: Trends in methods of pay setting of employees, disaggregate by hours employed in main job, 2008</w:t>
      </w:r>
      <w:r w:rsidR="00C87E4A" w:rsidRPr="00167CB8">
        <w:rPr>
          <w:rFonts w:ascii="Symbol" w:eastAsia="Symbol" w:hAnsi="Symbol" w:cs="Symbol"/>
        </w:rPr>
        <w:sym w:font="Symbol" w:char="F02D"/>
      </w:r>
      <w:r w:rsidR="00C87E4A" w:rsidRPr="00167CB8">
        <w:t>0</w:t>
      </w:r>
      <w:r w:rsidRPr="00167CB8">
        <w:t>9 to 2022</w:t>
      </w:r>
      <w:r w:rsidR="00C87E4A" w:rsidRPr="00167CB8">
        <w:rPr>
          <w:rFonts w:ascii="Symbol" w:eastAsia="Symbol" w:hAnsi="Symbol" w:cs="Symbol"/>
        </w:rPr>
        <w:sym w:font="Symbol" w:char="F02D"/>
      </w:r>
      <w:r w:rsidRPr="00167CB8">
        <w:t>23</w:t>
      </w:r>
      <w:bookmarkEnd w:id="810"/>
      <w:bookmarkEnd w:id="811"/>
    </w:p>
    <w:tbl>
      <w:tblPr>
        <w:tblW w:w="1410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9"/>
        <w:gridCol w:w="1589"/>
        <w:gridCol w:w="1402"/>
        <w:gridCol w:w="1969"/>
        <w:gridCol w:w="1404"/>
        <w:gridCol w:w="1589"/>
        <w:gridCol w:w="1404"/>
        <w:gridCol w:w="1967"/>
        <w:gridCol w:w="1404"/>
      </w:tblGrid>
      <w:tr w:rsidR="007A6A1A" w:rsidRPr="00167CB8" w14:paraId="075245D7" w14:textId="77777777" w:rsidTr="00DA2417">
        <w:trPr>
          <w:trHeight w:val="289"/>
        </w:trPr>
        <w:tc>
          <w:tcPr>
            <w:tcW w:w="1379" w:type="dxa"/>
            <w:tcBorders>
              <w:top w:val="single" w:sz="4" w:space="0" w:color="auto"/>
              <w:left w:val="single" w:sz="4" w:space="0" w:color="auto"/>
              <w:bottom w:val="nil"/>
              <w:right w:val="single" w:sz="4" w:space="0" w:color="auto"/>
            </w:tcBorders>
            <w:noWrap/>
            <w:vAlign w:val="bottom"/>
            <w:hideMark/>
          </w:tcPr>
          <w:p w14:paraId="0E8E5F7A" w14:textId="77777777" w:rsidR="007A6A1A" w:rsidRPr="00DA2417" w:rsidRDefault="007A6A1A" w:rsidP="007A6A1A">
            <w:pPr>
              <w:spacing w:after="160"/>
              <w:rPr>
                <w:b/>
                <w:bCs/>
                <w:sz w:val="20"/>
                <w:szCs w:val="20"/>
              </w:rPr>
            </w:pPr>
          </w:p>
        </w:tc>
        <w:tc>
          <w:tcPr>
            <w:tcW w:w="4960" w:type="dxa"/>
            <w:gridSpan w:val="3"/>
            <w:tcBorders>
              <w:top w:val="single" w:sz="4" w:space="0" w:color="auto"/>
              <w:left w:val="single" w:sz="4" w:space="0" w:color="auto"/>
              <w:bottom w:val="nil"/>
              <w:right w:val="nil"/>
            </w:tcBorders>
            <w:noWrap/>
            <w:vAlign w:val="bottom"/>
            <w:hideMark/>
          </w:tcPr>
          <w:p w14:paraId="06F186BE" w14:textId="77777777" w:rsidR="007A6A1A" w:rsidRPr="00DA2417" w:rsidRDefault="007A6A1A" w:rsidP="007A6A1A">
            <w:pPr>
              <w:spacing w:after="160"/>
              <w:rPr>
                <w:b/>
                <w:bCs/>
                <w:sz w:val="20"/>
                <w:szCs w:val="20"/>
              </w:rPr>
            </w:pPr>
            <w:r w:rsidRPr="00DA2417">
              <w:rPr>
                <w:b/>
                <w:bCs/>
                <w:sz w:val="20"/>
                <w:szCs w:val="20"/>
              </w:rPr>
              <w:t>Employed full-time</w:t>
            </w:r>
          </w:p>
        </w:tc>
        <w:tc>
          <w:tcPr>
            <w:tcW w:w="1403" w:type="dxa"/>
            <w:tcBorders>
              <w:top w:val="single" w:sz="4" w:space="0" w:color="auto"/>
              <w:left w:val="nil"/>
              <w:bottom w:val="nil"/>
              <w:right w:val="single" w:sz="4" w:space="0" w:color="auto"/>
            </w:tcBorders>
            <w:noWrap/>
            <w:vAlign w:val="bottom"/>
            <w:hideMark/>
          </w:tcPr>
          <w:p w14:paraId="7ACADC12" w14:textId="77777777" w:rsidR="007A6A1A" w:rsidRPr="00DA2417" w:rsidRDefault="007A6A1A" w:rsidP="007A6A1A">
            <w:pPr>
              <w:spacing w:after="160"/>
              <w:rPr>
                <w:b/>
                <w:bCs/>
                <w:sz w:val="20"/>
                <w:szCs w:val="20"/>
              </w:rPr>
            </w:pPr>
          </w:p>
        </w:tc>
        <w:tc>
          <w:tcPr>
            <w:tcW w:w="2993" w:type="dxa"/>
            <w:gridSpan w:val="2"/>
            <w:tcBorders>
              <w:top w:val="single" w:sz="4" w:space="0" w:color="auto"/>
              <w:left w:val="single" w:sz="4" w:space="0" w:color="auto"/>
              <w:bottom w:val="nil"/>
              <w:right w:val="nil"/>
            </w:tcBorders>
            <w:noWrap/>
            <w:vAlign w:val="bottom"/>
            <w:hideMark/>
          </w:tcPr>
          <w:p w14:paraId="53698F75" w14:textId="77777777" w:rsidR="007A6A1A" w:rsidRPr="00DA2417" w:rsidRDefault="007A6A1A" w:rsidP="007A6A1A">
            <w:pPr>
              <w:spacing w:after="160"/>
              <w:rPr>
                <w:b/>
                <w:bCs/>
                <w:sz w:val="20"/>
                <w:szCs w:val="20"/>
              </w:rPr>
            </w:pPr>
            <w:r w:rsidRPr="00DA2417">
              <w:rPr>
                <w:b/>
                <w:bCs/>
                <w:sz w:val="20"/>
                <w:szCs w:val="20"/>
              </w:rPr>
              <w:t>Employed part-time</w:t>
            </w:r>
          </w:p>
        </w:tc>
        <w:tc>
          <w:tcPr>
            <w:tcW w:w="1967" w:type="dxa"/>
            <w:tcBorders>
              <w:top w:val="single" w:sz="4" w:space="0" w:color="auto"/>
              <w:left w:val="nil"/>
              <w:bottom w:val="nil"/>
              <w:right w:val="nil"/>
            </w:tcBorders>
            <w:noWrap/>
            <w:vAlign w:val="bottom"/>
            <w:hideMark/>
          </w:tcPr>
          <w:p w14:paraId="13B14B28" w14:textId="77777777" w:rsidR="007A6A1A" w:rsidRPr="00DA2417" w:rsidRDefault="007A6A1A" w:rsidP="007A6A1A">
            <w:pPr>
              <w:spacing w:after="160"/>
              <w:rPr>
                <w:b/>
                <w:bCs/>
                <w:sz w:val="20"/>
                <w:szCs w:val="20"/>
              </w:rPr>
            </w:pPr>
          </w:p>
        </w:tc>
        <w:tc>
          <w:tcPr>
            <w:tcW w:w="1403" w:type="dxa"/>
            <w:tcBorders>
              <w:top w:val="single" w:sz="4" w:space="0" w:color="auto"/>
              <w:left w:val="nil"/>
              <w:bottom w:val="nil"/>
              <w:right w:val="single" w:sz="4" w:space="0" w:color="auto"/>
            </w:tcBorders>
            <w:noWrap/>
            <w:vAlign w:val="bottom"/>
            <w:hideMark/>
          </w:tcPr>
          <w:p w14:paraId="139CF43B" w14:textId="77777777" w:rsidR="007A6A1A" w:rsidRPr="00DA2417" w:rsidRDefault="007A6A1A" w:rsidP="007A6A1A">
            <w:pPr>
              <w:spacing w:after="160"/>
              <w:rPr>
                <w:b/>
                <w:bCs/>
                <w:sz w:val="20"/>
                <w:szCs w:val="20"/>
              </w:rPr>
            </w:pPr>
          </w:p>
        </w:tc>
      </w:tr>
      <w:tr w:rsidR="007A6A1A" w:rsidRPr="00167CB8" w14:paraId="2E18C0A4" w14:textId="77777777" w:rsidTr="00DA2417">
        <w:trPr>
          <w:trHeight w:val="289"/>
        </w:trPr>
        <w:tc>
          <w:tcPr>
            <w:tcW w:w="1379" w:type="dxa"/>
            <w:tcBorders>
              <w:top w:val="nil"/>
              <w:left w:val="single" w:sz="4" w:space="0" w:color="auto"/>
              <w:bottom w:val="single" w:sz="4" w:space="0" w:color="auto"/>
              <w:right w:val="single" w:sz="4" w:space="0" w:color="auto"/>
            </w:tcBorders>
            <w:noWrap/>
            <w:vAlign w:val="bottom"/>
            <w:hideMark/>
          </w:tcPr>
          <w:p w14:paraId="7A4E0ABD" w14:textId="77777777" w:rsidR="007A6A1A" w:rsidRPr="00DA2417" w:rsidRDefault="007A6A1A" w:rsidP="007A6A1A">
            <w:pPr>
              <w:spacing w:after="160"/>
              <w:rPr>
                <w:b/>
                <w:bCs/>
                <w:sz w:val="20"/>
                <w:szCs w:val="20"/>
              </w:rPr>
            </w:pPr>
          </w:p>
        </w:tc>
        <w:tc>
          <w:tcPr>
            <w:tcW w:w="1589" w:type="dxa"/>
            <w:tcBorders>
              <w:top w:val="nil"/>
              <w:left w:val="single" w:sz="4" w:space="0" w:color="auto"/>
              <w:bottom w:val="single" w:sz="4" w:space="0" w:color="auto"/>
              <w:right w:val="nil"/>
            </w:tcBorders>
            <w:noWrap/>
            <w:vAlign w:val="bottom"/>
            <w:hideMark/>
          </w:tcPr>
          <w:p w14:paraId="1EFEF95C" w14:textId="77777777" w:rsidR="007A6A1A" w:rsidRPr="00DA2417" w:rsidRDefault="007A6A1A" w:rsidP="007A6A1A">
            <w:pPr>
              <w:spacing w:after="160"/>
              <w:rPr>
                <w:b/>
                <w:bCs/>
                <w:sz w:val="20"/>
                <w:szCs w:val="20"/>
              </w:rPr>
            </w:pPr>
            <w:r w:rsidRPr="00DA2417">
              <w:rPr>
                <w:b/>
                <w:bCs/>
                <w:sz w:val="20"/>
                <w:szCs w:val="20"/>
              </w:rPr>
              <w:t>CA</w:t>
            </w:r>
          </w:p>
        </w:tc>
        <w:tc>
          <w:tcPr>
            <w:tcW w:w="1402" w:type="dxa"/>
            <w:tcBorders>
              <w:top w:val="nil"/>
              <w:left w:val="nil"/>
              <w:bottom w:val="single" w:sz="4" w:space="0" w:color="auto"/>
              <w:right w:val="nil"/>
            </w:tcBorders>
            <w:noWrap/>
            <w:vAlign w:val="bottom"/>
            <w:hideMark/>
          </w:tcPr>
          <w:p w14:paraId="36B10C46" w14:textId="77777777" w:rsidR="007A6A1A" w:rsidRPr="00DA2417" w:rsidRDefault="007A6A1A" w:rsidP="007A6A1A">
            <w:pPr>
              <w:spacing w:after="160"/>
              <w:rPr>
                <w:b/>
                <w:bCs/>
                <w:sz w:val="20"/>
                <w:szCs w:val="20"/>
              </w:rPr>
            </w:pPr>
            <w:r w:rsidRPr="00DA2417">
              <w:rPr>
                <w:b/>
                <w:bCs/>
                <w:sz w:val="20"/>
                <w:szCs w:val="20"/>
              </w:rPr>
              <w:t>IA</w:t>
            </w:r>
          </w:p>
        </w:tc>
        <w:tc>
          <w:tcPr>
            <w:tcW w:w="1968" w:type="dxa"/>
            <w:tcBorders>
              <w:top w:val="nil"/>
              <w:left w:val="nil"/>
              <w:bottom w:val="single" w:sz="4" w:space="0" w:color="auto"/>
              <w:right w:val="nil"/>
            </w:tcBorders>
            <w:noWrap/>
            <w:vAlign w:val="bottom"/>
            <w:hideMark/>
          </w:tcPr>
          <w:p w14:paraId="4130A8B4" w14:textId="77777777" w:rsidR="007A6A1A" w:rsidRPr="00DA2417" w:rsidRDefault="007A6A1A" w:rsidP="007A6A1A">
            <w:pPr>
              <w:spacing w:after="160"/>
              <w:rPr>
                <w:b/>
                <w:bCs/>
                <w:sz w:val="20"/>
                <w:szCs w:val="20"/>
              </w:rPr>
            </w:pPr>
            <w:r w:rsidRPr="00DA2417">
              <w:rPr>
                <w:b/>
                <w:bCs/>
                <w:sz w:val="20"/>
                <w:szCs w:val="20"/>
              </w:rPr>
              <w:t>Combination</w:t>
            </w:r>
          </w:p>
        </w:tc>
        <w:tc>
          <w:tcPr>
            <w:tcW w:w="1403" w:type="dxa"/>
            <w:tcBorders>
              <w:top w:val="nil"/>
              <w:left w:val="nil"/>
              <w:bottom w:val="single" w:sz="4" w:space="0" w:color="auto"/>
              <w:right w:val="single" w:sz="4" w:space="0" w:color="auto"/>
            </w:tcBorders>
            <w:noWrap/>
            <w:vAlign w:val="bottom"/>
            <w:hideMark/>
          </w:tcPr>
          <w:p w14:paraId="02C4E1FA" w14:textId="77777777" w:rsidR="007A6A1A" w:rsidRPr="00DA2417" w:rsidRDefault="007A6A1A" w:rsidP="007A6A1A">
            <w:pPr>
              <w:spacing w:after="160"/>
              <w:rPr>
                <w:b/>
                <w:bCs/>
                <w:sz w:val="20"/>
                <w:szCs w:val="20"/>
              </w:rPr>
            </w:pPr>
            <w:r w:rsidRPr="00DA2417">
              <w:rPr>
                <w:b/>
                <w:bCs/>
                <w:sz w:val="20"/>
                <w:szCs w:val="20"/>
              </w:rPr>
              <w:t>Award</w:t>
            </w:r>
          </w:p>
        </w:tc>
        <w:tc>
          <w:tcPr>
            <w:tcW w:w="1589" w:type="dxa"/>
            <w:tcBorders>
              <w:top w:val="nil"/>
              <w:left w:val="single" w:sz="4" w:space="0" w:color="auto"/>
              <w:bottom w:val="single" w:sz="4" w:space="0" w:color="auto"/>
              <w:right w:val="nil"/>
            </w:tcBorders>
            <w:noWrap/>
            <w:vAlign w:val="bottom"/>
            <w:hideMark/>
          </w:tcPr>
          <w:p w14:paraId="561DEC77" w14:textId="77777777" w:rsidR="007A6A1A" w:rsidRPr="00DA2417" w:rsidRDefault="007A6A1A" w:rsidP="007A6A1A">
            <w:pPr>
              <w:spacing w:after="160"/>
              <w:rPr>
                <w:b/>
                <w:bCs/>
                <w:sz w:val="20"/>
                <w:szCs w:val="20"/>
              </w:rPr>
            </w:pPr>
            <w:r w:rsidRPr="00DA2417">
              <w:rPr>
                <w:b/>
                <w:bCs/>
                <w:sz w:val="20"/>
                <w:szCs w:val="20"/>
              </w:rPr>
              <w:t>EA</w:t>
            </w:r>
          </w:p>
        </w:tc>
        <w:tc>
          <w:tcPr>
            <w:tcW w:w="1403" w:type="dxa"/>
            <w:tcBorders>
              <w:top w:val="nil"/>
              <w:left w:val="nil"/>
              <w:bottom w:val="single" w:sz="4" w:space="0" w:color="auto"/>
              <w:right w:val="nil"/>
            </w:tcBorders>
            <w:noWrap/>
            <w:vAlign w:val="bottom"/>
            <w:hideMark/>
          </w:tcPr>
          <w:p w14:paraId="5505775C" w14:textId="77777777" w:rsidR="007A6A1A" w:rsidRPr="00DA2417" w:rsidRDefault="007A6A1A" w:rsidP="007A6A1A">
            <w:pPr>
              <w:spacing w:after="160"/>
              <w:rPr>
                <w:b/>
                <w:bCs/>
                <w:sz w:val="20"/>
                <w:szCs w:val="20"/>
              </w:rPr>
            </w:pPr>
            <w:r w:rsidRPr="00DA2417">
              <w:rPr>
                <w:b/>
                <w:bCs/>
                <w:sz w:val="20"/>
                <w:szCs w:val="20"/>
              </w:rPr>
              <w:t>IA</w:t>
            </w:r>
          </w:p>
        </w:tc>
        <w:tc>
          <w:tcPr>
            <w:tcW w:w="1967" w:type="dxa"/>
            <w:tcBorders>
              <w:top w:val="nil"/>
              <w:left w:val="nil"/>
              <w:bottom w:val="single" w:sz="4" w:space="0" w:color="auto"/>
              <w:right w:val="nil"/>
            </w:tcBorders>
            <w:noWrap/>
            <w:vAlign w:val="bottom"/>
            <w:hideMark/>
          </w:tcPr>
          <w:p w14:paraId="4DC0E501" w14:textId="77777777" w:rsidR="007A6A1A" w:rsidRPr="00DA2417" w:rsidRDefault="007A6A1A" w:rsidP="007A6A1A">
            <w:pPr>
              <w:spacing w:after="160"/>
              <w:rPr>
                <w:b/>
                <w:bCs/>
                <w:sz w:val="20"/>
                <w:szCs w:val="20"/>
              </w:rPr>
            </w:pPr>
            <w:r w:rsidRPr="00DA2417">
              <w:rPr>
                <w:b/>
                <w:bCs/>
                <w:sz w:val="20"/>
                <w:szCs w:val="20"/>
              </w:rPr>
              <w:t>Combination</w:t>
            </w:r>
          </w:p>
        </w:tc>
        <w:tc>
          <w:tcPr>
            <w:tcW w:w="1403" w:type="dxa"/>
            <w:tcBorders>
              <w:top w:val="nil"/>
              <w:left w:val="nil"/>
              <w:bottom w:val="single" w:sz="4" w:space="0" w:color="auto"/>
              <w:right w:val="single" w:sz="4" w:space="0" w:color="auto"/>
            </w:tcBorders>
            <w:noWrap/>
            <w:vAlign w:val="bottom"/>
            <w:hideMark/>
          </w:tcPr>
          <w:p w14:paraId="7C1E365E" w14:textId="77777777" w:rsidR="007A6A1A" w:rsidRPr="00DA2417" w:rsidRDefault="007A6A1A" w:rsidP="007A6A1A">
            <w:pPr>
              <w:spacing w:after="160"/>
              <w:rPr>
                <w:b/>
                <w:bCs/>
                <w:sz w:val="20"/>
                <w:szCs w:val="20"/>
              </w:rPr>
            </w:pPr>
            <w:r w:rsidRPr="00DA2417">
              <w:rPr>
                <w:b/>
                <w:bCs/>
                <w:sz w:val="20"/>
                <w:szCs w:val="20"/>
              </w:rPr>
              <w:t>Award</w:t>
            </w:r>
          </w:p>
        </w:tc>
      </w:tr>
      <w:tr w:rsidR="007A6A1A" w:rsidRPr="00167CB8" w14:paraId="1DA60AE5" w14:textId="77777777" w:rsidTr="00DA2417">
        <w:trPr>
          <w:trHeight w:val="289"/>
        </w:trPr>
        <w:tc>
          <w:tcPr>
            <w:tcW w:w="1379" w:type="dxa"/>
            <w:tcBorders>
              <w:top w:val="single" w:sz="4" w:space="0" w:color="auto"/>
              <w:left w:val="single" w:sz="4" w:space="0" w:color="auto"/>
              <w:bottom w:val="nil"/>
              <w:right w:val="single" w:sz="4" w:space="0" w:color="auto"/>
            </w:tcBorders>
            <w:noWrap/>
            <w:vAlign w:val="bottom"/>
          </w:tcPr>
          <w:p w14:paraId="06A31D3D" w14:textId="77777777" w:rsidR="007A6A1A" w:rsidRPr="00167CB8" w:rsidRDefault="007A6A1A" w:rsidP="007A6A1A">
            <w:pPr>
              <w:spacing w:after="160"/>
            </w:pPr>
          </w:p>
        </w:tc>
        <w:tc>
          <w:tcPr>
            <w:tcW w:w="6364" w:type="dxa"/>
            <w:gridSpan w:val="4"/>
            <w:tcBorders>
              <w:top w:val="single" w:sz="4" w:space="0" w:color="auto"/>
              <w:left w:val="single" w:sz="4" w:space="0" w:color="auto"/>
              <w:bottom w:val="nil"/>
              <w:right w:val="single" w:sz="4" w:space="0" w:color="auto"/>
            </w:tcBorders>
            <w:noWrap/>
            <w:vAlign w:val="bottom"/>
            <w:hideMark/>
          </w:tcPr>
          <w:p w14:paraId="3AA54F7A" w14:textId="77777777" w:rsidR="007A6A1A" w:rsidRPr="00167CB8" w:rsidRDefault="007A6A1A" w:rsidP="007A6A1A">
            <w:pPr>
              <w:spacing w:after="160"/>
            </w:pPr>
            <w:r w:rsidRPr="00167CB8">
              <w:t>%</w:t>
            </w:r>
          </w:p>
        </w:tc>
        <w:tc>
          <w:tcPr>
            <w:tcW w:w="6364" w:type="dxa"/>
            <w:gridSpan w:val="4"/>
            <w:tcBorders>
              <w:top w:val="single" w:sz="4" w:space="0" w:color="auto"/>
              <w:left w:val="single" w:sz="4" w:space="0" w:color="auto"/>
              <w:bottom w:val="nil"/>
              <w:right w:val="single" w:sz="4" w:space="0" w:color="auto"/>
            </w:tcBorders>
            <w:noWrap/>
            <w:vAlign w:val="bottom"/>
            <w:hideMark/>
          </w:tcPr>
          <w:p w14:paraId="72E6DC80" w14:textId="77777777" w:rsidR="007A6A1A" w:rsidRPr="00167CB8" w:rsidRDefault="007A6A1A" w:rsidP="007A6A1A">
            <w:pPr>
              <w:spacing w:after="160"/>
            </w:pPr>
            <w:r w:rsidRPr="00167CB8">
              <w:t>%</w:t>
            </w:r>
          </w:p>
        </w:tc>
      </w:tr>
      <w:tr w:rsidR="007A6A1A" w:rsidRPr="00167CB8" w14:paraId="6F435EC6" w14:textId="77777777" w:rsidTr="00DA2417">
        <w:trPr>
          <w:trHeight w:val="344"/>
        </w:trPr>
        <w:tc>
          <w:tcPr>
            <w:tcW w:w="1379" w:type="dxa"/>
            <w:tcBorders>
              <w:top w:val="single" w:sz="4" w:space="0" w:color="auto"/>
              <w:left w:val="single" w:sz="4" w:space="0" w:color="auto"/>
              <w:bottom w:val="nil"/>
              <w:right w:val="single" w:sz="4" w:space="0" w:color="auto"/>
            </w:tcBorders>
            <w:noWrap/>
            <w:vAlign w:val="bottom"/>
            <w:hideMark/>
          </w:tcPr>
          <w:p w14:paraId="05FCB85B" w14:textId="01D51730" w:rsidR="007A6A1A" w:rsidRPr="00167CB8" w:rsidRDefault="007A6A1A" w:rsidP="00DA2417">
            <w:pPr>
              <w:spacing w:after="0" w:line="240" w:lineRule="auto"/>
            </w:pPr>
            <w:r w:rsidRPr="00167CB8">
              <w:t>2008</w:t>
            </w:r>
            <w:r w:rsidR="00C87E4A" w:rsidRPr="00167CB8">
              <w:rPr>
                <w:rFonts w:ascii="Symbol" w:eastAsia="Symbol" w:hAnsi="Symbol" w:cs="Symbol"/>
              </w:rPr>
              <w:sym w:font="Symbol" w:char="F02D"/>
            </w:r>
            <w:r w:rsidR="00C87E4A" w:rsidRPr="00167CB8">
              <w:t>0</w:t>
            </w:r>
            <w:r w:rsidRPr="00167CB8">
              <w:t>9</w:t>
            </w:r>
          </w:p>
        </w:tc>
        <w:tc>
          <w:tcPr>
            <w:tcW w:w="1589" w:type="dxa"/>
            <w:tcBorders>
              <w:top w:val="single" w:sz="4" w:space="0" w:color="auto"/>
              <w:left w:val="single" w:sz="4" w:space="0" w:color="auto"/>
              <w:bottom w:val="nil"/>
              <w:right w:val="nil"/>
            </w:tcBorders>
            <w:noWrap/>
            <w:vAlign w:val="bottom"/>
            <w:hideMark/>
          </w:tcPr>
          <w:p w14:paraId="4B392146" w14:textId="77777777" w:rsidR="007A6A1A" w:rsidRPr="00167CB8" w:rsidRDefault="007A6A1A" w:rsidP="00DA2417">
            <w:pPr>
              <w:spacing w:after="0" w:line="240" w:lineRule="auto"/>
            </w:pPr>
            <w:r w:rsidRPr="00167CB8">
              <w:t>32.1</w:t>
            </w:r>
          </w:p>
        </w:tc>
        <w:tc>
          <w:tcPr>
            <w:tcW w:w="1402" w:type="dxa"/>
            <w:tcBorders>
              <w:top w:val="single" w:sz="4" w:space="0" w:color="auto"/>
              <w:left w:val="nil"/>
              <w:bottom w:val="nil"/>
              <w:right w:val="nil"/>
            </w:tcBorders>
            <w:noWrap/>
            <w:vAlign w:val="bottom"/>
            <w:hideMark/>
          </w:tcPr>
          <w:p w14:paraId="69BE4654" w14:textId="77777777" w:rsidR="007A6A1A" w:rsidRPr="00167CB8" w:rsidRDefault="007A6A1A" w:rsidP="00DA2417">
            <w:pPr>
              <w:spacing w:after="0" w:line="240" w:lineRule="auto"/>
            </w:pPr>
            <w:r w:rsidRPr="00167CB8">
              <w:t>39.2</w:t>
            </w:r>
          </w:p>
        </w:tc>
        <w:tc>
          <w:tcPr>
            <w:tcW w:w="1968" w:type="dxa"/>
            <w:tcBorders>
              <w:top w:val="single" w:sz="4" w:space="0" w:color="auto"/>
              <w:left w:val="nil"/>
              <w:bottom w:val="nil"/>
              <w:right w:val="nil"/>
            </w:tcBorders>
            <w:noWrap/>
            <w:vAlign w:val="bottom"/>
            <w:hideMark/>
          </w:tcPr>
          <w:p w14:paraId="439D04CB" w14:textId="77777777" w:rsidR="007A6A1A" w:rsidRPr="00167CB8" w:rsidRDefault="007A6A1A" w:rsidP="00DA2417">
            <w:pPr>
              <w:spacing w:after="0" w:line="240" w:lineRule="auto"/>
            </w:pPr>
            <w:r w:rsidRPr="00167CB8">
              <w:t>5.1</w:t>
            </w:r>
          </w:p>
        </w:tc>
        <w:tc>
          <w:tcPr>
            <w:tcW w:w="1403" w:type="dxa"/>
            <w:tcBorders>
              <w:top w:val="single" w:sz="4" w:space="0" w:color="auto"/>
              <w:left w:val="nil"/>
              <w:bottom w:val="nil"/>
              <w:right w:val="single" w:sz="4" w:space="0" w:color="auto"/>
            </w:tcBorders>
            <w:noWrap/>
            <w:vAlign w:val="bottom"/>
            <w:hideMark/>
          </w:tcPr>
          <w:p w14:paraId="79CDB862" w14:textId="77777777" w:rsidR="007A6A1A" w:rsidRPr="00167CB8" w:rsidRDefault="007A6A1A" w:rsidP="00DA2417">
            <w:pPr>
              <w:spacing w:after="0" w:line="240" w:lineRule="auto"/>
            </w:pPr>
            <w:r w:rsidRPr="00167CB8">
              <w:t>23.6</w:t>
            </w:r>
          </w:p>
        </w:tc>
        <w:tc>
          <w:tcPr>
            <w:tcW w:w="1589" w:type="dxa"/>
            <w:tcBorders>
              <w:top w:val="single" w:sz="4" w:space="0" w:color="auto"/>
              <w:left w:val="single" w:sz="4" w:space="0" w:color="auto"/>
              <w:bottom w:val="nil"/>
              <w:right w:val="nil"/>
            </w:tcBorders>
            <w:noWrap/>
            <w:vAlign w:val="bottom"/>
            <w:hideMark/>
          </w:tcPr>
          <w:p w14:paraId="6427833B" w14:textId="77777777" w:rsidR="007A6A1A" w:rsidRPr="00167CB8" w:rsidRDefault="007A6A1A" w:rsidP="00DA2417">
            <w:pPr>
              <w:spacing w:after="0" w:line="240" w:lineRule="auto"/>
            </w:pPr>
            <w:r w:rsidRPr="00167CB8">
              <w:t>21.7</w:t>
            </w:r>
          </w:p>
        </w:tc>
        <w:tc>
          <w:tcPr>
            <w:tcW w:w="1403" w:type="dxa"/>
            <w:tcBorders>
              <w:top w:val="single" w:sz="4" w:space="0" w:color="auto"/>
              <w:left w:val="nil"/>
              <w:bottom w:val="nil"/>
              <w:right w:val="nil"/>
            </w:tcBorders>
            <w:noWrap/>
            <w:vAlign w:val="bottom"/>
            <w:hideMark/>
          </w:tcPr>
          <w:p w14:paraId="5AE2638C" w14:textId="77777777" w:rsidR="007A6A1A" w:rsidRPr="00167CB8" w:rsidRDefault="007A6A1A" w:rsidP="00DA2417">
            <w:pPr>
              <w:spacing w:after="0" w:line="240" w:lineRule="auto"/>
            </w:pPr>
            <w:r w:rsidRPr="00167CB8">
              <w:t>29.4</w:t>
            </w:r>
          </w:p>
        </w:tc>
        <w:tc>
          <w:tcPr>
            <w:tcW w:w="1967" w:type="dxa"/>
            <w:tcBorders>
              <w:top w:val="single" w:sz="4" w:space="0" w:color="auto"/>
              <w:left w:val="nil"/>
              <w:bottom w:val="nil"/>
              <w:right w:val="nil"/>
            </w:tcBorders>
            <w:noWrap/>
            <w:vAlign w:val="bottom"/>
            <w:hideMark/>
          </w:tcPr>
          <w:p w14:paraId="3A11C807" w14:textId="77777777" w:rsidR="007A6A1A" w:rsidRPr="00167CB8" w:rsidRDefault="007A6A1A" w:rsidP="00DA2417">
            <w:pPr>
              <w:spacing w:after="0" w:line="240" w:lineRule="auto"/>
            </w:pPr>
            <w:r w:rsidRPr="00167CB8">
              <w:t>5.7</w:t>
            </w:r>
          </w:p>
        </w:tc>
        <w:tc>
          <w:tcPr>
            <w:tcW w:w="1403" w:type="dxa"/>
            <w:tcBorders>
              <w:top w:val="single" w:sz="4" w:space="0" w:color="auto"/>
              <w:left w:val="nil"/>
              <w:bottom w:val="nil"/>
              <w:right w:val="single" w:sz="4" w:space="0" w:color="auto"/>
            </w:tcBorders>
            <w:noWrap/>
            <w:vAlign w:val="bottom"/>
            <w:hideMark/>
          </w:tcPr>
          <w:p w14:paraId="57338A09" w14:textId="77777777" w:rsidR="007A6A1A" w:rsidRPr="00167CB8" w:rsidRDefault="007A6A1A" w:rsidP="00DA2417">
            <w:pPr>
              <w:spacing w:after="0" w:line="240" w:lineRule="auto"/>
            </w:pPr>
            <w:r w:rsidRPr="00167CB8">
              <w:t>43.2</w:t>
            </w:r>
          </w:p>
        </w:tc>
      </w:tr>
      <w:tr w:rsidR="007A6A1A" w:rsidRPr="00167CB8" w14:paraId="4EE786E9"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0697B42A" w14:textId="66E74648" w:rsidR="007A6A1A" w:rsidRPr="00167CB8" w:rsidRDefault="007A6A1A" w:rsidP="00DA2417">
            <w:pPr>
              <w:spacing w:after="0" w:line="240" w:lineRule="auto"/>
            </w:pPr>
            <w:r w:rsidRPr="00167CB8">
              <w:t>2009</w:t>
            </w:r>
            <w:r w:rsidR="00C87E4A" w:rsidRPr="00167CB8">
              <w:rPr>
                <w:rFonts w:ascii="Symbol" w:eastAsia="Symbol" w:hAnsi="Symbol" w:cs="Symbol"/>
              </w:rPr>
              <w:sym w:font="Symbol" w:char="F02D"/>
            </w:r>
            <w:r w:rsidRPr="00167CB8">
              <w:t>10</w:t>
            </w:r>
          </w:p>
        </w:tc>
        <w:tc>
          <w:tcPr>
            <w:tcW w:w="1589" w:type="dxa"/>
            <w:tcBorders>
              <w:top w:val="nil"/>
              <w:left w:val="single" w:sz="4" w:space="0" w:color="auto"/>
              <w:bottom w:val="nil"/>
              <w:right w:val="nil"/>
            </w:tcBorders>
            <w:noWrap/>
            <w:vAlign w:val="bottom"/>
            <w:hideMark/>
          </w:tcPr>
          <w:p w14:paraId="04E767D5" w14:textId="77777777" w:rsidR="007A6A1A" w:rsidRPr="00167CB8" w:rsidRDefault="007A6A1A" w:rsidP="00DA2417">
            <w:pPr>
              <w:spacing w:after="0" w:line="240" w:lineRule="auto"/>
            </w:pPr>
            <w:r w:rsidRPr="00167CB8">
              <w:t>34.9</w:t>
            </w:r>
          </w:p>
        </w:tc>
        <w:tc>
          <w:tcPr>
            <w:tcW w:w="1402" w:type="dxa"/>
            <w:tcBorders>
              <w:top w:val="nil"/>
              <w:left w:val="nil"/>
              <w:bottom w:val="nil"/>
              <w:right w:val="nil"/>
            </w:tcBorders>
            <w:noWrap/>
            <w:vAlign w:val="bottom"/>
            <w:hideMark/>
          </w:tcPr>
          <w:p w14:paraId="3C870F2D" w14:textId="77777777" w:rsidR="007A6A1A" w:rsidRPr="00167CB8" w:rsidRDefault="007A6A1A" w:rsidP="00DA2417">
            <w:pPr>
              <w:spacing w:after="0" w:line="240" w:lineRule="auto"/>
            </w:pPr>
            <w:r w:rsidRPr="00167CB8">
              <w:t>36.7</w:t>
            </w:r>
          </w:p>
        </w:tc>
        <w:tc>
          <w:tcPr>
            <w:tcW w:w="1968" w:type="dxa"/>
            <w:tcBorders>
              <w:top w:val="nil"/>
              <w:left w:val="nil"/>
              <w:bottom w:val="nil"/>
              <w:right w:val="nil"/>
            </w:tcBorders>
            <w:noWrap/>
            <w:vAlign w:val="bottom"/>
            <w:hideMark/>
          </w:tcPr>
          <w:p w14:paraId="245DFF0D" w14:textId="77777777" w:rsidR="007A6A1A" w:rsidRPr="00167CB8" w:rsidRDefault="007A6A1A" w:rsidP="00DA2417">
            <w:pPr>
              <w:spacing w:after="0" w:line="240" w:lineRule="auto"/>
            </w:pPr>
            <w:r w:rsidRPr="00167CB8">
              <w:t>5.1</w:t>
            </w:r>
          </w:p>
        </w:tc>
        <w:tc>
          <w:tcPr>
            <w:tcW w:w="1403" w:type="dxa"/>
            <w:tcBorders>
              <w:top w:val="nil"/>
              <w:left w:val="nil"/>
              <w:bottom w:val="nil"/>
              <w:right w:val="single" w:sz="4" w:space="0" w:color="auto"/>
            </w:tcBorders>
            <w:noWrap/>
            <w:vAlign w:val="bottom"/>
            <w:hideMark/>
          </w:tcPr>
          <w:p w14:paraId="450E570F" w14:textId="77777777" w:rsidR="007A6A1A" w:rsidRPr="00167CB8" w:rsidRDefault="007A6A1A" w:rsidP="00DA2417">
            <w:pPr>
              <w:spacing w:after="0" w:line="240" w:lineRule="auto"/>
            </w:pPr>
            <w:r w:rsidRPr="00167CB8">
              <w:t>23.4</w:t>
            </w:r>
          </w:p>
        </w:tc>
        <w:tc>
          <w:tcPr>
            <w:tcW w:w="1589" w:type="dxa"/>
            <w:tcBorders>
              <w:top w:val="nil"/>
              <w:left w:val="single" w:sz="4" w:space="0" w:color="auto"/>
              <w:bottom w:val="nil"/>
              <w:right w:val="nil"/>
            </w:tcBorders>
            <w:noWrap/>
            <w:vAlign w:val="bottom"/>
            <w:hideMark/>
          </w:tcPr>
          <w:p w14:paraId="522EC346" w14:textId="77777777" w:rsidR="007A6A1A" w:rsidRPr="00167CB8" w:rsidRDefault="007A6A1A" w:rsidP="00DA2417">
            <w:pPr>
              <w:spacing w:after="0" w:line="240" w:lineRule="auto"/>
            </w:pPr>
            <w:r w:rsidRPr="00167CB8">
              <w:t>21.5</w:t>
            </w:r>
          </w:p>
        </w:tc>
        <w:tc>
          <w:tcPr>
            <w:tcW w:w="1403" w:type="dxa"/>
            <w:tcBorders>
              <w:top w:val="nil"/>
              <w:left w:val="nil"/>
              <w:bottom w:val="nil"/>
              <w:right w:val="nil"/>
            </w:tcBorders>
            <w:noWrap/>
            <w:vAlign w:val="bottom"/>
            <w:hideMark/>
          </w:tcPr>
          <w:p w14:paraId="670632B0" w14:textId="77777777" w:rsidR="007A6A1A" w:rsidRPr="00167CB8" w:rsidRDefault="007A6A1A" w:rsidP="00DA2417">
            <w:pPr>
              <w:spacing w:after="0" w:line="240" w:lineRule="auto"/>
            </w:pPr>
            <w:r w:rsidRPr="00167CB8">
              <w:t>33.2</w:t>
            </w:r>
          </w:p>
        </w:tc>
        <w:tc>
          <w:tcPr>
            <w:tcW w:w="1967" w:type="dxa"/>
            <w:tcBorders>
              <w:top w:val="nil"/>
              <w:left w:val="nil"/>
              <w:bottom w:val="nil"/>
              <w:right w:val="nil"/>
            </w:tcBorders>
            <w:noWrap/>
            <w:vAlign w:val="bottom"/>
            <w:hideMark/>
          </w:tcPr>
          <w:p w14:paraId="73D3771B" w14:textId="77777777" w:rsidR="007A6A1A" w:rsidRPr="00167CB8" w:rsidRDefault="007A6A1A" w:rsidP="00DA2417">
            <w:pPr>
              <w:spacing w:after="0" w:line="240" w:lineRule="auto"/>
            </w:pPr>
            <w:r w:rsidRPr="00167CB8">
              <w:t>3.5</w:t>
            </w:r>
          </w:p>
        </w:tc>
        <w:tc>
          <w:tcPr>
            <w:tcW w:w="1403" w:type="dxa"/>
            <w:tcBorders>
              <w:top w:val="nil"/>
              <w:left w:val="nil"/>
              <w:bottom w:val="nil"/>
              <w:right w:val="single" w:sz="4" w:space="0" w:color="auto"/>
            </w:tcBorders>
            <w:noWrap/>
            <w:vAlign w:val="bottom"/>
            <w:hideMark/>
          </w:tcPr>
          <w:p w14:paraId="128D399A" w14:textId="77777777" w:rsidR="007A6A1A" w:rsidRPr="00167CB8" w:rsidRDefault="007A6A1A" w:rsidP="00DA2417">
            <w:pPr>
              <w:spacing w:after="0" w:line="240" w:lineRule="auto"/>
            </w:pPr>
            <w:r w:rsidRPr="00167CB8">
              <w:t>41.8</w:t>
            </w:r>
          </w:p>
        </w:tc>
      </w:tr>
      <w:tr w:rsidR="007A6A1A" w:rsidRPr="00167CB8" w14:paraId="6A773E16"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232F7ACD" w14:textId="51801AB0" w:rsidR="007A6A1A" w:rsidRPr="00167CB8" w:rsidRDefault="007A6A1A" w:rsidP="00DA2417">
            <w:pPr>
              <w:spacing w:after="0" w:line="240" w:lineRule="auto"/>
            </w:pPr>
            <w:r w:rsidRPr="00167CB8">
              <w:t>2010</w:t>
            </w:r>
            <w:r w:rsidR="00C87E4A" w:rsidRPr="00167CB8">
              <w:rPr>
                <w:rFonts w:ascii="Symbol" w:eastAsia="Symbol" w:hAnsi="Symbol" w:cs="Symbol"/>
              </w:rPr>
              <w:sym w:font="Symbol" w:char="F02D"/>
            </w:r>
            <w:r w:rsidRPr="00167CB8">
              <w:t>11</w:t>
            </w:r>
          </w:p>
        </w:tc>
        <w:tc>
          <w:tcPr>
            <w:tcW w:w="1589" w:type="dxa"/>
            <w:tcBorders>
              <w:top w:val="nil"/>
              <w:left w:val="single" w:sz="4" w:space="0" w:color="auto"/>
              <w:bottom w:val="nil"/>
              <w:right w:val="nil"/>
            </w:tcBorders>
            <w:noWrap/>
            <w:vAlign w:val="bottom"/>
            <w:hideMark/>
          </w:tcPr>
          <w:p w14:paraId="6F86E25C" w14:textId="77777777" w:rsidR="007A6A1A" w:rsidRPr="00167CB8" w:rsidRDefault="007A6A1A" w:rsidP="00DA2417">
            <w:pPr>
              <w:spacing w:after="0" w:line="240" w:lineRule="auto"/>
            </w:pPr>
            <w:r w:rsidRPr="00167CB8">
              <w:t>33.1</w:t>
            </w:r>
          </w:p>
        </w:tc>
        <w:tc>
          <w:tcPr>
            <w:tcW w:w="1402" w:type="dxa"/>
            <w:tcBorders>
              <w:top w:val="nil"/>
              <w:left w:val="nil"/>
              <w:bottom w:val="nil"/>
              <w:right w:val="nil"/>
            </w:tcBorders>
            <w:noWrap/>
            <w:vAlign w:val="bottom"/>
            <w:hideMark/>
          </w:tcPr>
          <w:p w14:paraId="24A6E619" w14:textId="77777777" w:rsidR="007A6A1A" w:rsidRPr="00167CB8" w:rsidRDefault="007A6A1A" w:rsidP="00DA2417">
            <w:pPr>
              <w:spacing w:after="0" w:line="240" w:lineRule="auto"/>
            </w:pPr>
            <w:r w:rsidRPr="00167CB8">
              <w:t>36.4</w:t>
            </w:r>
          </w:p>
        </w:tc>
        <w:tc>
          <w:tcPr>
            <w:tcW w:w="1968" w:type="dxa"/>
            <w:tcBorders>
              <w:top w:val="nil"/>
              <w:left w:val="nil"/>
              <w:bottom w:val="nil"/>
              <w:right w:val="nil"/>
            </w:tcBorders>
            <w:noWrap/>
            <w:vAlign w:val="bottom"/>
            <w:hideMark/>
          </w:tcPr>
          <w:p w14:paraId="31D61E88" w14:textId="77777777" w:rsidR="007A6A1A" w:rsidRPr="00167CB8" w:rsidRDefault="007A6A1A" w:rsidP="00DA2417">
            <w:pPr>
              <w:spacing w:after="0" w:line="240" w:lineRule="auto"/>
            </w:pPr>
            <w:r w:rsidRPr="00167CB8">
              <w:t>4.5</w:t>
            </w:r>
          </w:p>
        </w:tc>
        <w:tc>
          <w:tcPr>
            <w:tcW w:w="1403" w:type="dxa"/>
            <w:tcBorders>
              <w:top w:val="nil"/>
              <w:left w:val="nil"/>
              <w:bottom w:val="nil"/>
              <w:right w:val="single" w:sz="4" w:space="0" w:color="auto"/>
            </w:tcBorders>
            <w:noWrap/>
            <w:vAlign w:val="bottom"/>
            <w:hideMark/>
          </w:tcPr>
          <w:p w14:paraId="7E5E0BE3" w14:textId="77777777" w:rsidR="007A6A1A" w:rsidRPr="00167CB8" w:rsidRDefault="007A6A1A" w:rsidP="00DA2417">
            <w:pPr>
              <w:spacing w:after="0" w:line="240" w:lineRule="auto"/>
            </w:pPr>
            <w:r w:rsidRPr="00167CB8">
              <w:t>26.0</w:t>
            </w:r>
          </w:p>
        </w:tc>
        <w:tc>
          <w:tcPr>
            <w:tcW w:w="1589" w:type="dxa"/>
            <w:tcBorders>
              <w:top w:val="nil"/>
              <w:left w:val="single" w:sz="4" w:space="0" w:color="auto"/>
              <w:bottom w:val="nil"/>
              <w:right w:val="nil"/>
            </w:tcBorders>
            <w:noWrap/>
            <w:vAlign w:val="bottom"/>
            <w:hideMark/>
          </w:tcPr>
          <w:p w14:paraId="78FB046A" w14:textId="77777777" w:rsidR="007A6A1A" w:rsidRPr="00167CB8" w:rsidRDefault="007A6A1A" w:rsidP="00DA2417">
            <w:pPr>
              <w:spacing w:after="0" w:line="240" w:lineRule="auto"/>
            </w:pPr>
            <w:r w:rsidRPr="00167CB8">
              <w:t>23.1</w:t>
            </w:r>
          </w:p>
        </w:tc>
        <w:tc>
          <w:tcPr>
            <w:tcW w:w="1403" w:type="dxa"/>
            <w:tcBorders>
              <w:top w:val="nil"/>
              <w:left w:val="nil"/>
              <w:bottom w:val="nil"/>
              <w:right w:val="nil"/>
            </w:tcBorders>
            <w:noWrap/>
            <w:vAlign w:val="bottom"/>
            <w:hideMark/>
          </w:tcPr>
          <w:p w14:paraId="50E54793" w14:textId="77777777" w:rsidR="007A6A1A" w:rsidRPr="00167CB8" w:rsidRDefault="007A6A1A" w:rsidP="00DA2417">
            <w:pPr>
              <w:spacing w:after="0" w:line="240" w:lineRule="auto"/>
            </w:pPr>
            <w:r w:rsidRPr="00167CB8">
              <w:t>33.4</w:t>
            </w:r>
          </w:p>
        </w:tc>
        <w:tc>
          <w:tcPr>
            <w:tcW w:w="1967" w:type="dxa"/>
            <w:tcBorders>
              <w:top w:val="nil"/>
              <w:left w:val="nil"/>
              <w:bottom w:val="nil"/>
              <w:right w:val="nil"/>
            </w:tcBorders>
            <w:noWrap/>
            <w:vAlign w:val="bottom"/>
            <w:hideMark/>
          </w:tcPr>
          <w:p w14:paraId="06F7AFFE" w14:textId="77777777" w:rsidR="007A6A1A" w:rsidRPr="00167CB8" w:rsidRDefault="007A6A1A" w:rsidP="00DA2417">
            <w:pPr>
              <w:spacing w:after="0" w:line="240" w:lineRule="auto"/>
            </w:pPr>
            <w:r w:rsidRPr="00167CB8">
              <w:t>2.4</w:t>
            </w:r>
          </w:p>
        </w:tc>
        <w:tc>
          <w:tcPr>
            <w:tcW w:w="1403" w:type="dxa"/>
            <w:tcBorders>
              <w:top w:val="nil"/>
              <w:left w:val="nil"/>
              <w:bottom w:val="nil"/>
              <w:right w:val="single" w:sz="4" w:space="0" w:color="auto"/>
            </w:tcBorders>
            <w:noWrap/>
            <w:vAlign w:val="bottom"/>
            <w:hideMark/>
          </w:tcPr>
          <w:p w14:paraId="672751BA" w14:textId="77777777" w:rsidR="007A6A1A" w:rsidRPr="00167CB8" w:rsidRDefault="007A6A1A" w:rsidP="00DA2417">
            <w:pPr>
              <w:spacing w:after="0" w:line="240" w:lineRule="auto"/>
            </w:pPr>
            <w:r w:rsidRPr="00167CB8">
              <w:t>41.1</w:t>
            </w:r>
          </w:p>
        </w:tc>
      </w:tr>
      <w:tr w:rsidR="007A6A1A" w:rsidRPr="00167CB8" w14:paraId="21A04C11"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7B95B2F2" w14:textId="3A8CBD4F" w:rsidR="007A6A1A" w:rsidRPr="00167CB8" w:rsidRDefault="007A6A1A" w:rsidP="00DA2417">
            <w:pPr>
              <w:spacing w:after="0" w:line="240" w:lineRule="auto"/>
            </w:pPr>
            <w:r w:rsidRPr="00167CB8">
              <w:t>2011</w:t>
            </w:r>
            <w:r w:rsidR="00C87E4A" w:rsidRPr="00167CB8">
              <w:rPr>
                <w:rFonts w:ascii="Symbol" w:eastAsia="Symbol" w:hAnsi="Symbol" w:cs="Symbol"/>
              </w:rPr>
              <w:sym w:font="Symbol" w:char="F02D"/>
            </w:r>
            <w:r w:rsidRPr="00167CB8">
              <w:t>12</w:t>
            </w:r>
          </w:p>
        </w:tc>
        <w:tc>
          <w:tcPr>
            <w:tcW w:w="1589" w:type="dxa"/>
            <w:tcBorders>
              <w:top w:val="nil"/>
              <w:left w:val="single" w:sz="4" w:space="0" w:color="auto"/>
              <w:bottom w:val="nil"/>
              <w:right w:val="nil"/>
            </w:tcBorders>
            <w:noWrap/>
            <w:vAlign w:val="bottom"/>
            <w:hideMark/>
          </w:tcPr>
          <w:p w14:paraId="38FEEFC4" w14:textId="77777777" w:rsidR="007A6A1A" w:rsidRPr="00167CB8" w:rsidRDefault="007A6A1A" w:rsidP="00DA2417">
            <w:pPr>
              <w:spacing w:after="0" w:line="240" w:lineRule="auto"/>
            </w:pPr>
            <w:r w:rsidRPr="00167CB8">
              <w:t>32.3</w:t>
            </w:r>
          </w:p>
        </w:tc>
        <w:tc>
          <w:tcPr>
            <w:tcW w:w="1402" w:type="dxa"/>
            <w:tcBorders>
              <w:top w:val="nil"/>
              <w:left w:val="nil"/>
              <w:bottom w:val="nil"/>
              <w:right w:val="nil"/>
            </w:tcBorders>
            <w:noWrap/>
            <w:vAlign w:val="bottom"/>
            <w:hideMark/>
          </w:tcPr>
          <w:p w14:paraId="274103CD" w14:textId="77777777" w:rsidR="007A6A1A" w:rsidRPr="00167CB8" w:rsidRDefault="007A6A1A" w:rsidP="00DA2417">
            <w:pPr>
              <w:spacing w:after="0" w:line="240" w:lineRule="auto"/>
            </w:pPr>
            <w:r w:rsidRPr="00167CB8">
              <w:t>38.7</w:t>
            </w:r>
          </w:p>
        </w:tc>
        <w:tc>
          <w:tcPr>
            <w:tcW w:w="1968" w:type="dxa"/>
            <w:tcBorders>
              <w:top w:val="nil"/>
              <w:left w:val="nil"/>
              <w:bottom w:val="nil"/>
              <w:right w:val="nil"/>
            </w:tcBorders>
            <w:noWrap/>
            <w:vAlign w:val="bottom"/>
            <w:hideMark/>
          </w:tcPr>
          <w:p w14:paraId="043BA1E6" w14:textId="77777777" w:rsidR="007A6A1A" w:rsidRPr="00167CB8" w:rsidRDefault="007A6A1A" w:rsidP="00DA2417">
            <w:pPr>
              <w:spacing w:after="0" w:line="240" w:lineRule="auto"/>
            </w:pPr>
            <w:r w:rsidRPr="00167CB8">
              <w:t>6.0</w:t>
            </w:r>
          </w:p>
        </w:tc>
        <w:tc>
          <w:tcPr>
            <w:tcW w:w="1403" w:type="dxa"/>
            <w:tcBorders>
              <w:top w:val="nil"/>
              <w:left w:val="nil"/>
              <w:bottom w:val="nil"/>
              <w:right w:val="single" w:sz="4" w:space="0" w:color="auto"/>
            </w:tcBorders>
            <w:noWrap/>
            <w:vAlign w:val="bottom"/>
            <w:hideMark/>
          </w:tcPr>
          <w:p w14:paraId="7EBEA089" w14:textId="77777777" w:rsidR="007A6A1A" w:rsidRPr="00167CB8" w:rsidRDefault="007A6A1A" w:rsidP="00DA2417">
            <w:pPr>
              <w:spacing w:after="0" w:line="240" w:lineRule="auto"/>
            </w:pPr>
            <w:r w:rsidRPr="00167CB8">
              <w:t>23.1</w:t>
            </w:r>
          </w:p>
        </w:tc>
        <w:tc>
          <w:tcPr>
            <w:tcW w:w="1589" w:type="dxa"/>
            <w:tcBorders>
              <w:top w:val="nil"/>
              <w:left w:val="single" w:sz="4" w:space="0" w:color="auto"/>
              <w:bottom w:val="nil"/>
              <w:right w:val="nil"/>
            </w:tcBorders>
            <w:noWrap/>
            <w:vAlign w:val="bottom"/>
            <w:hideMark/>
          </w:tcPr>
          <w:p w14:paraId="72219982" w14:textId="77777777" w:rsidR="007A6A1A" w:rsidRPr="00167CB8" w:rsidRDefault="007A6A1A" w:rsidP="00DA2417">
            <w:pPr>
              <w:spacing w:after="0" w:line="240" w:lineRule="auto"/>
            </w:pPr>
            <w:r w:rsidRPr="00167CB8">
              <w:t>32.2</w:t>
            </w:r>
          </w:p>
        </w:tc>
        <w:tc>
          <w:tcPr>
            <w:tcW w:w="1403" w:type="dxa"/>
            <w:tcBorders>
              <w:top w:val="nil"/>
              <w:left w:val="nil"/>
              <w:bottom w:val="nil"/>
              <w:right w:val="nil"/>
            </w:tcBorders>
            <w:noWrap/>
            <w:vAlign w:val="bottom"/>
            <w:hideMark/>
          </w:tcPr>
          <w:p w14:paraId="0E0B063E" w14:textId="77777777" w:rsidR="007A6A1A" w:rsidRPr="00167CB8" w:rsidRDefault="007A6A1A" w:rsidP="00DA2417">
            <w:pPr>
              <w:spacing w:after="0" w:line="240" w:lineRule="auto"/>
            </w:pPr>
            <w:r w:rsidRPr="00167CB8">
              <w:t>27.1</w:t>
            </w:r>
          </w:p>
        </w:tc>
        <w:tc>
          <w:tcPr>
            <w:tcW w:w="1967" w:type="dxa"/>
            <w:tcBorders>
              <w:top w:val="nil"/>
              <w:left w:val="nil"/>
              <w:bottom w:val="nil"/>
              <w:right w:val="nil"/>
            </w:tcBorders>
            <w:noWrap/>
            <w:vAlign w:val="bottom"/>
            <w:hideMark/>
          </w:tcPr>
          <w:p w14:paraId="57FB2F4B" w14:textId="77777777" w:rsidR="007A6A1A" w:rsidRPr="00167CB8" w:rsidRDefault="007A6A1A" w:rsidP="00DA2417">
            <w:pPr>
              <w:spacing w:after="0" w:line="240" w:lineRule="auto"/>
            </w:pPr>
            <w:r w:rsidRPr="00167CB8">
              <w:t>5.8</w:t>
            </w:r>
          </w:p>
        </w:tc>
        <w:tc>
          <w:tcPr>
            <w:tcW w:w="1403" w:type="dxa"/>
            <w:tcBorders>
              <w:top w:val="nil"/>
              <w:left w:val="nil"/>
              <w:bottom w:val="nil"/>
              <w:right w:val="single" w:sz="4" w:space="0" w:color="auto"/>
            </w:tcBorders>
            <w:noWrap/>
            <w:vAlign w:val="bottom"/>
            <w:hideMark/>
          </w:tcPr>
          <w:p w14:paraId="5A5247FB" w14:textId="77777777" w:rsidR="007A6A1A" w:rsidRPr="00167CB8" w:rsidRDefault="007A6A1A" w:rsidP="00DA2417">
            <w:pPr>
              <w:spacing w:after="0" w:line="240" w:lineRule="auto"/>
            </w:pPr>
            <w:r w:rsidRPr="00167CB8">
              <w:t>34.9</w:t>
            </w:r>
          </w:p>
        </w:tc>
      </w:tr>
      <w:tr w:rsidR="007A6A1A" w:rsidRPr="00167CB8" w14:paraId="4BC6F853"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1D92E086" w14:textId="444764B4" w:rsidR="007A6A1A" w:rsidRPr="00167CB8" w:rsidRDefault="007A6A1A" w:rsidP="00DA2417">
            <w:pPr>
              <w:spacing w:after="0" w:line="240" w:lineRule="auto"/>
            </w:pPr>
            <w:r w:rsidRPr="00167CB8">
              <w:t>2012</w:t>
            </w:r>
            <w:r w:rsidR="00C87E4A" w:rsidRPr="00167CB8">
              <w:rPr>
                <w:rFonts w:ascii="Symbol" w:eastAsia="Symbol" w:hAnsi="Symbol" w:cs="Symbol"/>
              </w:rPr>
              <w:sym w:font="Symbol" w:char="F02D"/>
            </w:r>
            <w:r w:rsidRPr="00167CB8">
              <w:t>13</w:t>
            </w:r>
          </w:p>
        </w:tc>
        <w:tc>
          <w:tcPr>
            <w:tcW w:w="1589" w:type="dxa"/>
            <w:tcBorders>
              <w:top w:val="nil"/>
              <w:left w:val="single" w:sz="4" w:space="0" w:color="auto"/>
              <w:bottom w:val="nil"/>
              <w:right w:val="nil"/>
            </w:tcBorders>
            <w:noWrap/>
            <w:vAlign w:val="bottom"/>
            <w:hideMark/>
          </w:tcPr>
          <w:p w14:paraId="26BC3EEF" w14:textId="77777777" w:rsidR="007A6A1A" w:rsidRPr="00167CB8" w:rsidRDefault="007A6A1A" w:rsidP="00DA2417">
            <w:pPr>
              <w:spacing w:after="0" w:line="240" w:lineRule="auto"/>
            </w:pPr>
            <w:r w:rsidRPr="00167CB8">
              <w:t>33.8</w:t>
            </w:r>
          </w:p>
        </w:tc>
        <w:tc>
          <w:tcPr>
            <w:tcW w:w="1402" w:type="dxa"/>
            <w:tcBorders>
              <w:top w:val="nil"/>
              <w:left w:val="nil"/>
              <w:bottom w:val="nil"/>
              <w:right w:val="nil"/>
            </w:tcBorders>
            <w:noWrap/>
            <w:vAlign w:val="bottom"/>
            <w:hideMark/>
          </w:tcPr>
          <w:p w14:paraId="1EC730E4" w14:textId="77777777" w:rsidR="007A6A1A" w:rsidRPr="00167CB8" w:rsidRDefault="007A6A1A" w:rsidP="00DA2417">
            <w:pPr>
              <w:spacing w:after="0" w:line="240" w:lineRule="auto"/>
            </w:pPr>
            <w:r w:rsidRPr="00167CB8">
              <w:t>35.8</w:t>
            </w:r>
          </w:p>
        </w:tc>
        <w:tc>
          <w:tcPr>
            <w:tcW w:w="1968" w:type="dxa"/>
            <w:tcBorders>
              <w:top w:val="nil"/>
              <w:left w:val="nil"/>
              <w:bottom w:val="nil"/>
              <w:right w:val="nil"/>
            </w:tcBorders>
            <w:noWrap/>
            <w:vAlign w:val="bottom"/>
            <w:hideMark/>
          </w:tcPr>
          <w:p w14:paraId="5AAB5B0A" w14:textId="77777777" w:rsidR="007A6A1A" w:rsidRPr="00167CB8" w:rsidRDefault="007A6A1A" w:rsidP="00DA2417">
            <w:pPr>
              <w:spacing w:after="0" w:line="240" w:lineRule="auto"/>
            </w:pPr>
            <w:r w:rsidRPr="00167CB8">
              <w:t>5.3</w:t>
            </w:r>
          </w:p>
        </w:tc>
        <w:tc>
          <w:tcPr>
            <w:tcW w:w="1403" w:type="dxa"/>
            <w:tcBorders>
              <w:top w:val="nil"/>
              <w:left w:val="nil"/>
              <w:bottom w:val="nil"/>
              <w:right w:val="single" w:sz="4" w:space="0" w:color="auto"/>
            </w:tcBorders>
            <w:noWrap/>
            <w:vAlign w:val="bottom"/>
            <w:hideMark/>
          </w:tcPr>
          <w:p w14:paraId="7AD08205" w14:textId="77777777" w:rsidR="007A6A1A" w:rsidRPr="00167CB8" w:rsidRDefault="007A6A1A" w:rsidP="00DA2417">
            <w:pPr>
              <w:spacing w:after="0" w:line="240" w:lineRule="auto"/>
            </w:pPr>
            <w:r w:rsidRPr="00167CB8">
              <w:t>25.1</w:t>
            </w:r>
          </w:p>
        </w:tc>
        <w:tc>
          <w:tcPr>
            <w:tcW w:w="1589" w:type="dxa"/>
            <w:tcBorders>
              <w:top w:val="nil"/>
              <w:left w:val="single" w:sz="4" w:space="0" w:color="auto"/>
              <w:bottom w:val="nil"/>
              <w:right w:val="nil"/>
            </w:tcBorders>
            <w:noWrap/>
            <w:vAlign w:val="bottom"/>
            <w:hideMark/>
          </w:tcPr>
          <w:p w14:paraId="2C18EF88" w14:textId="77777777" w:rsidR="007A6A1A" w:rsidRPr="00167CB8" w:rsidRDefault="007A6A1A" w:rsidP="00DA2417">
            <w:pPr>
              <w:spacing w:after="0" w:line="240" w:lineRule="auto"/>
            </w:pPr>
            <w:r w:rsidRPr="00167CB8">
              <w:t>34.8</w:t>
            </w:r>
          </w:p>
        </w:tc>
        <w:tc>
          <w:tcPr>
            <w:tcW w:w="1403" w:type="dxa"/>
            <w:tcBorders>
              <w:top w:val="nil"/>
              <w:left w:val="nil"/>
              <w:bottom w:val="nil"/>
              <w:right w:val="nil"/>
            </w:tcBorders>
            <w:noWrap/>
            <w:vAlign w:val="bottom"/>
            <w:hideMark/>
          </w:tcPr>
          <w:p w14:paraId="53A9F5AB" w14:textId="77777777" w:rsidR="007A6A1A" w:rsidRPr="00167CB8" w:rsidRDefault="007A6A1A" w:rsidP="00DA2417">
            <w:pPr>
              <w:spacing w:after="0" w:line="240" w:lineRule="auto"/>
            </w:pPr>
            <w:r w:rsidRPr="00167CB8">
              <w:t>26.8</w:t>
            </w:r>
          </w:p>
        </w:tc>
        <w:tc>
          <w:tcPr>
            <w:tcW w:w="1967" w:type="dxa"/>
            <w:tcBorders>
              <w:top w:val="nil"/>
              <w:left w:val="nil"/>
              <w:bottom w:val="nil"/>
              <w:right w:val="nil"/>
            </w:tcBorders>
            <w:noWrap/>
            <w:vAlign w:val="bottom"/>
            <w:hideMark/>
          </w:tcPr>
          <w:p w14:paraId="3A4282FA" w14:textId="77777777" w:rsidR="007A6A1A" w:rsidRPr="00167CB8" w:rsidRDefault="007A6A1A" w:rsidP="00DA2417">
            <w:pPr>
              <w:spacing w:after="0" w:line="240" w:lineRule="auto"/>
            </w:pPr>
            <w:r w:rsidRPr="00167CB8">
              <w:t>5.4</w:t>
            </w:r>
          </w:p>
        </w:tc>
        <w:tc>
          <w:tcPr>
            <w:tcW w:w="1403" w:type="dxa"/>
            <w:tcBorders>
              <w:top w:val="nil"/>
              <w:left w:val="nil"/>
              <w:bottom w:val="nil"/>
              <w:right w:val="single" w:sz="4" w:space="0" w:color="auto"/>
            </w:tcBorders>
            <w:noWrap/>
            <w:vAlign w:val="bottom"/>
            <w:hideMark/>
          </w:tcPr>
          <w:p w14:paraId="24A79334" w14:textId="77777777" w:rsidR="007A6A1A" w:rsidRPr="00167CB8" w:rsidRDefault="007A6A1A" w:rsidP="00DA2417">
            <w:pPr>
              <w:spacing w:after="0" w:line="240" w:lineRule="auto"/>
            </w:pPr>
            <w:r w:rsidRPr="00167CB8">
              <w:t>33.0</w:t>
            </w:r>
          </w:p>
        </w:tc>
      </w:tr>
      <w:tr w:rsidR="007A6A1A" w:rsidRPr="00167CB8" w14:paraId="5C7E8EF2"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2B31581A" w14:textId="01EF218A" w:rsidR="007A6A1A" w:rsidRPr="00167CB8" w:rsidRDefault="007A6A1A" w:rsidP="00DA2417">
            <w:pPr>
              <w:spacing w:after="0" w:line="240" w:lineRule="auto"/>
            </w:pPr>
            <w:r w:rsidRPr="00167CB8">
              <w:t>2013</w:t>
            </w:r>
            <w:r w:rsidR="00C87E4A" w:rsidRPr="00167CB8">
              <w:rPr>
                <w:rFonts w:ascii="Symbol" w:eastAsia="Symbol" w:hAnsi="Symbol" w:cs="Symbol"/>
              </w:rPr>
              <w:sym w:font="Symbol" w:char="F02D"/>
            </w:r>
            <w:r w:rsidRPr="00167CB8">
              <w:t>14</w:t>
            </w:r>
          </w:p>
        </w:tc>
        <w:tc>
          <w:tcPr>
            <w:tcW w:w="1589" w:type="dxa"/>
            <w:tcBorders>
              <w:top w:val="nil"/>
              <w:left w:val="single" w:sz="4" w:space="0" w:color="auto"/>
              <w:bottom w:val="nil"/>
              <w:right w:val="nil"/>
            </w:tcBorders>
            <w:noWrap/>
            <w:vAlign w:val="bottom"/>
            <w:hideMark/>
          </w:tcPr>
          <w:p w14:paraId="1F0DB005" w14:textId="77777777" w:rsidR="007A6A1A" w:rsidRPr="00167CB8" w:rsidRDefault="007A6A1A" w:rsidP="00DA2417">
            <w:pPr>
              <w:spacing w:after="0" w:line="240" w:lineRule="auto"/>
            </w:pPr>
            <w:r w:rsidRPr="00167CB8">
              <w:t>31.5</w:t>
            </w:r>
          </w:p>
        </w:tc>
        <w:tc>
          <w:tcPr>
            <w:tcW w:w="1402" w:type="dxa"/>
            <w:tcBorders>
              <w:top w:val="nil"/>
              <w:left w:val="nil"/>
              <w:bottom w:val="nil"/>
              <w:right w:val="nil"/>
            </w:tcBorders>
            <w:noWrap/>
            <w:vAlign w:val="bottom"/>
            <w:hideMark/>
          </w:tcPr>
          <w:p w14:paraId="6B2669BC" w14:textId="77777777" w:rsidR="007A6A1A" w:rsidRPr="00167CB8" w:rsidRDefault="007A6A1A" w:rsidP="00DA2417">
            <w:pPr>
              <w:spacing w:after="0" w:line="240" w:lineRule="auto"/>
            </w:pPr>
            <w:r w:rsidRPr="00167CB8">
              <w:t>40.9</w:t>
            </w:r>
          </w:p>
        </w:tc>
        <w:tc>
          <w:tcPr>
            <w:tcW w:w="1968" w:type="dxa"/>
            <w:tcBorders>
              <w:top w:val="nil"/>
              <w:left w:val="nil"/>
              <w:bottom w:val="nil"/>
              <w:right w:val="nil"/>
            </w:tcBorders>
            <w:noWrap/>
            <w:vAlign w:val="bottom"/>
            <w:hideMark/>
          </w:tcPr>
          <w:p w14:paraId="3BB33ACC" w14:textId="77777777" w:rsidR="007A6A1A" w:rsidRPr="00167CB8" w:rsidRDefault="007A6A1A" w:rsidP="00DA2417">
            <w:pPr>
              <w:spacing w:after="0" w:line="240" w:lineRule="auto"/>
            </w:pPr>
            <w:r w:rsidRPr="00167CB8">
              <w:t>4.5</w:t>
            </w:r>
          </w:p>
        </w:tc>
        <w:tc>
          <w:tcPr>
            <w:tcW w:w="1403" w:type="dxa"/>
            <w:tcBorders>
              <w:top w:val="nil"/>
              <w:left w:val="nil"/>
              <w:bottom w:val="nil"/>
              <w:right w:val="single" w:sz="4" w:space="0" w:color="auto"/>
            </w:tcBorders>
            <w:noWrap/>
            <w:vAlign w:val="bottom"/>
            <w:hideMark/>
          </w:tcPr>
          <w:p w14:paraId="65E3745B" w14:textId="77777777" w:rsidR="007A6A1A" w:rsidRPr="00167CB8" w:rsidRDefault="007A6A1A" w:rsidP="00DA2417">
            <w:pPr>
              <w:spacing w:after="0" w:line="240" w:lineRule="auto"/>
            </w:pPr>
            <w:r w:rsidRPr="00167CB8">
              <w:t>23.2</w:t>
            </w:r>
          </w:p>
        </w:tc>
        <w:tc>
          <w:tcPr>
            <w:tcW w:w="1589" w:type="dxa"/>
            <w:tcBorders>
              <w:top w:val="nil"/>
              <w:left w:val="single" w:sz="4" w:space="0" w:color="auto"/>
              <w:bottom w:val="nil"/>
              <w:right w:val="nil"/>
            </w:tcBorders>
            <w:noWrap/>
            <w:vAlign w:val="bottom"/>
            <w:hideMark/>
          </w:tcPr>
          <w:p w14:paraId="61F3B580" w14:textId="77777777" w:rsidR="007A6A1A" w:rsidRPr="00167CB8" w:rsidRDefault="007A6A1A" w:rsidP="00DA2417">
            <w:pPr>
              <w:spacing w:after="0" w:line="240" w:lineRule="auto"/>
            </w:pPr>
            <w:r w:rsidRPr="00167CB8">
              <w:t>30.2</w:t>
            </w:r>
          </w:p>
        </w:tc>
        <w:tc>
          <w:tcPr>
            <w:tcW w:w="1403" w:type="dxa"/>
            <w:tcBorders>
              <w:top w:val="nil"/>
              <w:left w:val="nil"/>
              <w:bottom w:val="nil"/>
              <w:right w:val="nil"/>
            </w:tcBorders>
            <w:noWrap/>
            <w:vAlign w:val="bottom"/>
            <w:hideMark/>
          </w:tcPr>
          <w:p w14:paraId="5D86E5A9" w14:textId="77777777" w:rsidR="007A6A1A" w:rsidRPr="00167CB8" w:rsidRDefault="007A6A1A" w:rsidP="00DA2417">
            <w:pPr>
              <w:spacing w:after="0" w:line="240" w:lineRule="auto"/>
            </w:pPr>
            <w:r w:rsidRPr="00167CB8">
              <w:t>35.3</w:t>
            </w:r>
          </w:p>
        </w:tc>
        <w:tc>
          <w:tcPr>
            <w:tcW w:w="1967" w:type="dxa"/>
            <w:tcBorders>
              <w:top w:val="nil"/>
              <w:left w:val="nil"/>
              <w:bottom w:val="nil"/>
              <w:right w:val="nil"/>
            </w:tcBorders>
            <w:noWrap/>
            <w:vAlign w:val="bottom"/>
            <w:hideMark/>
          </w:tcPr>
          <w:p w14:paraId="1B256F65" w14:textId="77777777" w:rsidR="007A6A1A" w:rsidRPr="00167CB8" w:rsidRDefault="007A6A1A" w:rsidP="00DA2417">
            <w:pPr>
              <w:spacing w:after="0" w:line="240" w:lineRule="auto"/>
            </w:pPr>
            <w:r w:rsidRPr="00167CB8">
              <w:t>4.3</w:t>
            </w:r>
          </w:p>
        </w:tc>
        <w:tc>
          <w:tcPr>
            <w:tcW w:w="1403" w:type="dxa"/>
            <w:tcBorders>
              <w:top w:val="nil"/>
              <w:left w:val="nil"/>
              <w:bottom w:val="nil"/>
              <w:right w:val="single" w:sz="4" w:space="0" w:color="auto"/>
            </w:tcBorders>
            <w:noWrap/>
            <w:vAlign w:val="bottom"/>
            <w:hideMark/>
          </w:tcPr>
          <w:p w14:paraId="062F37DB" w14:textId="77777777" w:rsidR="007A6A1A" w:rsidRPr="00167CB8" w:rsidRDefault="007A6A1A" w:rsidP="00DA2417">
            <w:pPr>
              <w:spacing w:after="0" w:line="240" w:lineRule="auto"/>
            </w:pPr>
            <w:r w:rsidRPr="00167CB8">
              <w:t>30.2</w:t>
            </w:r>
          </w:p>
        </w:tc>
      </w:tr>
      <w:tr w:rsidR="007A6A1A" w:rsidRPr="00167CB8" w14:paraId="64B5AFF7"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7E3EB134" w14:textId="4DE65DEF" w:rsidR="007A6A1A" w:rsidRPr="00167CB8" w:rsidRDefault="007A6A1A" w:rsidP="00DA2417">
            <w:pPr>
              <w:spacing w:after="0" w:line="240" w:lineRule="auto"/>
            </w:pPr>
            <w:r w:rsidRPr="00167CB8">
              <w:t>2014</w:t>
            </w:r>
            <w:r w:rsidR="00C87E4A" w:rsidRPr="00167CB8">
              <w:rPr>
                <w:rFonts w:ascii="Symbol" w:eastAsia="Symbol" w:hAnsi="Symbol" w:cs="Symbol"/>
              </w:rPr>
              <w:sym w:font="Symbol" w:char="F02D"/>
            </w:r>
            <w:r w:rsidRPr="00167CB8">
              <w:t>15</w:t>
            </w:r>
          </w:p>
        </w:tc>
        <w:tc>
          <w:tcPr>
            <w:tcW w:w="1589" w:type="dxa"/>
            <w:tcBorders>
              <w:top w:val="nil"/>
              <w:left w:val="single" w:sz="4" w:space="0" w:color="auto"/>
              <w:bottom w:val="nil"/>
              <w:right w:val="nil"/>
            </w:tcBorders>
            <w:noWrap/>
            <w:vAlign w:val="bottom"/>
            <w:hideMark/>
          </w:tcPr>
          <w:p w14:paraId="4621092F" w14:textId="77777777" w:rsidR="007A6A1A" w:rsidRPr="00167CB8" w:rsidRDefault="007A6A1A" w:rsidP="00DA2417">
            <w:pPr>
              <w:spacing w:after="0" w:line="240" w:lineRule="auto"/>
            </w:pPr>
            <w:r w:rsidRPr="00167CB8">
              <w:t>30.9</w:t>
            </w:r>
          </w:p>
        </w:tc>
        <w:tc>
          <w:tcPr>
            <w:tcW w:w="1402" w:type="dxa"/>
            <w:tcBorders>
              <w:top w:val="nil"/>
              <w:left w:val="nil"/>
              <w:bottom w:val="nil"/>
              <w:right w:val="nil"/>
            </w:tcBorders>
            <w:noWrap/>
            <w:vAlign w:val="bottom"/>
            <w:hideMark/>
          </w:tcPr>
          <w:p w14:paraId="7C6A1C20" w14:textId="77777777" w:rsidR="007A6A1A" w:rsidRPr="00167CB8" w:rsidRDefault="007A6A1A" w:rsidP="00DA2417">
            <w:pPr>
              <w:spacing w:after="0" w:line="240" w:lineRule="auto"/>
            </w:pPr>
            <w:r w:rsidRPr="00167CB8">
              <w:t>45.8</w:t>
            </w:r>
          </w:p>
        </w:tc>
        <w:tc>
          <w:tcPr>
            <w:tcW w:w="1968" w:type="dxa"/>
            <w:tcBorders>
              <w:top w:val="nil"/>
              <w:left w:val="nil"/>
              <w:bottom w:val="nil"/>
              <w:right w:val="nil"/>
            </w:tcBorders>
            <w:noWrap/>
            <w:vAlign w:val="bottom"/>
            <w:hideMark/>
          </w:tcPr>
          <w:p w14:paraId="0DC5DF7B" w14:textId="77777777" w:rsidR="007A6A1A" w:rsidRPr="00167CB8" w:rsidRDefault="007A6A1A" w:rsidP="00DA2417">
            <w:pPr>
              <w:spacing w:after="0" w:line="240" w:lineRule="auto"/>
            </w:pPr>
            <w:r w:rsidRPr="00167CB8">
              <w:t>4.8</w:t>
            </w:r>
          </w:p>
        </w:tc>
        <w:tc>
          <w:tcPr>
            <w:tcW w:w="1403" w:type="dxa"/>
            <w:tcBorders>
              <w:top w:val="nil"/>
              <w:left w:val="nil"/>
              <w:bottom w:val="nil"/>
              <w:right w:val="single" w:sz="4" w:space="0" w:color="auto"/>
            </w:tcBorders>
            <w:noWrap/>
            <w:vAlign w:val="bottom"/>
            <w:hideMark/>
          </w:tcPr>
          <w:p w14:paraId="7B1B1BDD" w14:textId="77777777" w:rsidR="007A6A1A" w:rsidRPr="00167CB8" w:rsidRDefault="007A6A1A" w:rsidP="00DA2417">
            <w:pPr>
              <w:spacing w:after="0" w:line="240" w:lineRule="auto"/>
            </w:pPr>
            <w:r w:rsidRPr="00167CB8">
              <w:t>18.4</w:t>
            </w:r>
          </w:p>
        </w:tc>
        <w:tc>
          <w:tcPr>
            <w:tcW w:w="1589" w:type="dxa"/>
            <w:tcBorders>
              <w:top w:val="nil"/>
              <w:left w:val="single" w:sz="4" w:space="0" w:color="auto"/>
              <w:bottom w:val="nil"/>
              <w:right w:val="nil"/>
            </w:tcBorders>
            <w:noWrap/>
            <w:vAlign w:val="bottom"/>
            <w:hideMark/>
          </w:tcPr>
          <w:p w14:paraId="5A08F79A" w14:textId="77777777" w:rsidR="007A6A1A" w:rsidRPr="00167CB8" w:rsidRDefault="007A6A1A" w:rsidP="00DA2417">
            <w:pPr>
              <w:spacing w:after="0" w:line="240" w:lineRule="auto"/>
            </w:pPr>
            <w:r w:rsidRPr="00167CB8">
              <w:t>27.7</w:t>
            </w:r>
          </w:p>
        </w:tc>
        <w:tc>
          <w:tcPr>
            <w:tcW w:w="1403" w:type="dxa"/>
            <w:tcBorders>
              <w:top w:val="nil"/>
              <w:left w:val="nil"/>
              <w:bottom w:val="nil"/>
              <w:right w:val="nil"/>
            </w:tcBorders>
            <w:noWrap/>
            <w:vAlign w:val="bottom"/>
            <w:hideMark/>
          </w:tcPr>
          <w:p w14:paraId="250FB4C6" w14:textId="77777777" w:rsidR="007A6A1A" w:rsidRPr="00167CB8" w:rsidRDefault="007A6A1A" w:rsidP="00DA2417">
            <w:pPr>
              <w:spacing w:after="0" w:line="240" w:lineRule="auto"/>
            </w:pPr>
            <w:r w:rsidRPr="00167CB8">
              <w:t>37.0</w:t>
            </w:r>
          </w:p>
        </w:tc>
        <w:tc>
          <w:tcPr>
            <w:tcW w:w="1967" w:type="dxa"/>
            <w:tcBorders>
              <w:top w:val="nil"/>
              <w:left w:val="nil"/>
              <w:bottom w:val="nil"/>
              <w:right w:val="nil"/>
            </w:tcBorders>
            <w:noWrap/>
            <w:vAlign w:val="bottom"/>
            <w:hideMark/>
          </w:tcPr>
          <w:p w14:paraId="6696E3FF" w14:textId="77777777" w:rsidR="007A6A1A" w:rsidRPr="00167CB8" w:rsidRDefault="007A6A1A" w:rsidP="00DA2417">
            <w:pPr>
              <w:spacing w:after="0" w:line="240" w:lineRule="auto"/>
            </w:pPr>
            <w:r w:rsidRPr="00167CB8">
              <w:t>4.9</w:t>
            </w:r>
          </w:p>
        </w:tc>
        <w:tc>
          <w:tcPr>
            <w:tcW w:w="1403" w:type="dxa"/>
            <w:tcBorders>
              <w:top w:val="nil"/>
              <w:left w:val="nil"/>
              <w:bottom w:val="nil"/>
              <w:right w:val="single" w:sz="4" w:space="0" w:color="auto"/>
            </w:tcBorders>
            <w:noWrap/>
            <w:vAlign w:val="bottom"/>
            <w:hideMark/>
          </w:tcPr>
          <w:p w14:paraId="45B5A632" w14:textId="77777777" w:rsidR="007A6A1A" w:rsidRPr="00167CB8" w:rsidRDefault="007A6A1A" w:rsidP="00DA2417">
            <w:pPr>
              <w:spacing w:after="0" w:line="240" w:lineRule="auto"/>
            </w:pPr>
            <w:r w:rsidRPr="00167CB8">
              <w:t>30.3</w:t>
            </w:r>
          </w:p>
        </w:tc>
      </w:tr>
      <w:tr w:rsidR="007A6A1A" w:rsidRPr="00167CB8" w14:paraId="3CFC9210"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292C94D6" w14:textId="19AE7983" w:rsidR="007A6A1A" w:rsidRPr="00167CB8" w:rsidRDefault="007A6A1A" w:rsidP="00DA2417">
            <w:pPr>
              <w:spacing w:after="0" w:line="240" w:lineRule="auto"/>
            </w:pPr>
            <w:r w:rsidRPr="00167CB8">
              <w:t>2015</w:t>
            </w:r>
            <w:r w:rsidR="00C87E4A" w:rsidRPr="00167CB8">
              <w:rPr>
                <w:rFonts w:ascii="Symbol" w:eastAsia="Symbol" w:hAnsi="Symbol" w:cs="Symbol"/>
              </w:rPr>
              <w:sym w:font="Symbol" w:char="F02D"/>
            </w:r>
            <w:r w:rsidRPr="00167CB8">
              <w:t>16</w:t>
            </w:r>
          </w:p>
        </w:tc>
        <w:tc>
          <w:tcPr>
            <w:tcW w:w="1589" w:type="dxa"/>
            <w:tcBorders>
              <w:top w:val="nil"/>
              <w:left w:val="single" w:sz="4" w:space="0" w:color="auto"/>
              <w:bottom w:val="nil"/>
              <w:right w:val="nil"/>
            </w:tcBorders>
            <w:noWrap/>
            <w:vAlign w:val="bottom"/>
            <w:hideMark/>
          </w:tcPr>
          <w:p w14:paraId="2E56A41E" w14:textId="77777777" w:rsidR="007A6A1A" w:rsidRPr="00167CB8" w:rsidRDefault="007A6A1A" w:rsidP="00DA2417">
            <w:pPr>
              <w:spacing w:after="0" w:line="240" w:lineRule="auto"/>
            </w:pPr>
            <w:r w:rsidRPr="00167CB8">
              <w:t>35.8</w:t>
            </w:r>
          </w:p>
        </w:tc>
        <w:tc>
          <w:tcPr>
            <w:tcW w:w="1402" w:type="dxa"/>
            <w:tcBorders>
              <w:top w:val="nil"/>
              <w:left w:val="nil"/>
              <w:bottom w:val="nil"/>
              <w:right w:val="nil"/>
            </w:tcBorders>
            <w:noWrap/>
            <w:vAlign w:val="bottom"/>
            <w:hideMark/>
          </w:tcPr>
          <w:p w14:paraId="4CE2EC96" w14:textId="77777777" w:rsidR="007A6A1A" w:rsidRPr="00167CB8" w:rsidRDefault="007A6A1A" w:rsidP="00DA2417">
            <w:pPr>
              <w:spacing w:after="0" w:line="240" w:lineRule="auto"/>
            </w:pPr>
            <w:r w:rsidRPr="00167CB8">
              <w:t>40.1</w:t>
            </w:r>
          </w:p>
        </w:tc>
        <w:tc>
          <w:tcPr>
            <w:tcW w:w="1968" w:type="dxa"/>
            <w:tcBorders>
              <w:top w:val="nil"/>
              <w:left w:val="nil"/>
              <w:bottom w:val="nil"/>
              <w:right w:val="nil"/>
            </w:tcBorders>
            <w:noWrap/>
            <w:vAlign w:val="bottom"/>
            <w:hideMark/>
          </w:tcPr>
          <w:p w14:paraId="389B2097" w14:textId="77777777" w:rsidR="007A6A1A" w:rsidRPr="00167CB8" w:rsidRDefault="007A6A1A" w:rsidP="00DA2417">
            <w:pPr>
              <w:spacing w:after="0" w:line="240" w:lineRule="auto"/>
            </w:pPr>
            <w:r w:rsidRPr="00167CB8">
              <w:t>5.4</w:t>
            </w:r>
          </w:p>
        </w:tc>
        <w:tc>
          <w:tcPr>
            <w:tcW w:w="1403" w:type="dxa"/>
            <w:tcBorders>
              <w:top w:val="nil"/>
              <w:left w:val="nil"/>
              <w:bottom w:val="nil"/>
              <w:right w:val="single" w:sz="4" w:space="0" w:color="auto"/>
            </w:tcBorders>
            <w:noWrap/>
            <w:vAlign w:val="bottom"/>
            <w:hideMark/>
          </w:tcPr>
          <w:p w14:paraId="323E227D" w14:textId="77777777" w:rsidR="007A6A1A" w:rsidRPr="00167CB8" w:rsidRDefault="007A6A1A" w:rsidP="00DA2417">
            <w:pPr>
              <w:spacing w:after="0" w:line="240" w:lineRule="auto"/>
            </w:pPr>
            <w:r w:rsidRPr="00167CB8">
              <w:t>18.7</w:t>
            </w:r>
          </w:p>
        </w:tc>
        <w:tc>
          <w:tcPr>
            <w:tcW w:w="1589" w:type="dxa"/>
            <w:tcBorders>
              <w:top w:val="nil"/>
              <w:left w:val="single" w:sz="4" w:space="0" w:color="auto"/>
              <w:bottom w:val="nil"/>
              <w:right w:val="nil"/>
            </w:tcBorders>
            <w:noWrap/>
            <w:vAlign w:val="bottom"/>
            <w:hideMark/>
          </w:tcPr>
          <w:p w14:paraId="14BDE2E4" w14:textId="77777777" w:rsidR="007A6A1A" w:rsidRPr="00167CB8" w:rsidRDefault="007A6A1A" w:rsidP="00DA2417">
            <w:pPr>
              <w:spacing w:after="0" w:line="240" w:lineRule="auto"/>
            </w:pPr>
            <w:r w:rsidRPr="00167CB8">
              <w:t>31.2</w:t>
            </w:r>
          </w:p>
        </w:tc>
        <w:tc>
          <w:tcPr>
            <w:tcW w:w="1403" w:type="dxa"/>
            <w:tcBorders>
              <w:top w:val="nil"/>
              <w:left w:val="nil"/>
              <w:bottom w:val="nil"/>
              <w:right w:val="nil"/>
            </w:tcBorders>
            <w:noWrap/>
            <w:vAlign w:val="bottom"/>
            <w:hideMark/>
          </w:tcPr>
          <w:p w14:paraId="53B5F142" w14:textId="77777777" w:rsidR="007A6A1A" w:rsidRPr="00167CB8" w:rsidRDefault="007A6A1A" w:rsidP="00DA2417">
            <w:pPr>
              <w:spacing w:after="0" w:line="240" w:lineRule="auto"/>
            </w:pPr>
            <w:r w:rsidRPr="00167CB8">
              <w:t>32.3</w:t>
            </w:r>
          </w:p>
        </w:tc>
        <w:tc>
          <w:tcPr>
            <w:tcW w:w="1967" w:type="dxa"/>
            <w:tcBorders>
              <w:top w:val="nil"/>
              <w:left w:val="nil"/>
              <w:bottom w:val="nil"/>
              <w:right w:val="nil"/>
            </w:tcBorders>
            <w:noWrap/>
            <w:vAlign w:val="bottom"/>
            <w:hideMark/>
          </w:tcPr>
          <w:p w14:paraId="05F5662B" w14:textId="77777777" w:rsidR="007A6A1A" w:rsidRPr="00167CB8" w:rsidRDefault="007A6A1A" w:rsidP="00DA2417">
            <w:pPr>
              <w:spacing w:after="0" w:line="240" w:lineRule="auto"/>
            </w:pPr>
            <w:r w:rsidRPr="00167CB8">
              <w:t>3.4</w:t>
            </w:r>
          </w:p>
        </w:tc>
        <w:tc>
          <w:tcPr>
            <w:tcW w:w="1403" w:type="dxa"/>
            <w:tcBorders>
              <w:top w:val="nil"/>
              <w:left w:val="nil"/>
              <w:bottom w:val="nil"/>
              <w:right w:val="single" w:sz="4" w:space="0" w:color="auto"/>
            </w:tcBorders>
            <w:noWrap/>
            <w:vAlign w:val="bottom"/>
            <w:hideMark/>
          </w:tcPr>
          <w:p w14:paraId="325D3665" w14:textId="77777777" w:rsidR="007A6A1A" w:rsidRPr="00167CB8" w:rsidRDefault="007A6A1A" w:rsidP="00DA2417">
            <w:pPr>
              <w:spacing w:after="0" w:line="240" w:lineRule="auto"/>
            </w:pPr>
            <w:r w:rsidRPr="00167CB8">
              <w:t>33.1</w:t>
            </w:r>
          </w:p>
        </w:tc>
      </w:tr>
      <w:tr w:rsidR="007A6A1A" w:rsidRPr="00167CB8" w14:paraId="5DA63A04"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407C53B1" w14:textId="55785F58" w:rsidR="007A6A1A" w:rsidRPr="00167CB8" w:rsidRDefault="007A6A1A" w:rsidP="00DA2417">
            <w:pPr>
              <w:spacing w:after="0" w:line="240" w:lineRule="auto"/>
            </w:pPr>
            <w:r w:rsidRPr="00167CB8">
              <w:t>2016</w:t>
            </w:r>
            <w:r w:rsidR="00C87E4A" w:rsidRPr="00167CB8">
              <w:rPr>
                <w:rFonts w:ascii="Symbol" w:eastAsia="Symbol" w:hAnsi="Symbol" w:cs="Symbol"/>
              </w:rPr>
              <w:sym w:font="Symbol" w:char="F02D"/>
            </w:r>
            <w:r w:rsidRPr="00167CB8">
              <w:t>17</w:t>
            </w:r>
          </w:p>
        </w:tc>
        <w:tc>
          <w:tcPr>
            <w:tcW w:w="1589" w:type="dxa"/>
            <w:tcBorders>
              <w:top w:val="nil"/>
              <w:left w:val="single" w:sz="4" w:space="0" w:color="auto"/>
              <w:bottom w:val="nil"/>
              <w:right w:val="nil"/>
            </w:tcBorders>
            <w:noWrap/>
            <w:vAlign w:val="bottom"/>
            <w:hideMark/>
          </w:tcPr>
          <w:p w14:paraId="7CA38C02" w14:textId="77777777" w:rsidR="007A6A1A" w:rsidRPr="00167CB8" w:rsidRDefault="007A6A1A" w:rsidP="00DA2417">
            <w:pPr>
              <w:spacing w:after="0" w:line="240" w:lineRule="auto"/>
            </w:pPr>
            <w:r w:rsidRPr="00167CB8">
              <w:t>36.8</w:t>
            </w:r>
          </w:p>
        </w:tc>
        <w:tc>
          <w:tcPr>
            <w:tcW w:w="1402" w:type="dxa"/>
            <w:tcBorders>
              <w:top w:val="nil"/>
              <w:left w:val="nil"/>
              <w:bottom w:val="nil"/>
              <w:right w:val="nil"/>
            </w:tcBorders>
            <w:noWrap/>
            <w:vAlign w:val="bottom"/>
            <w:hideMark/>
          </w:tcPr>
          <w:p w14:paraId="293F1958" w14:textId="77777777" w:rsidR="007A6A1A" w:rsidRPr="00167CB8" w:rsidRDefault="007A6A1A" w:rsidP="00DA2417">
            <w:pPr>
              <w:spacing w:after="0" w:line="240" w:lineRule="auto"/>
            </w:pPr>
            <w:r w:rsidRPr="00167CB8">
              <w:t>39.2</w:t>
            </w:r>
          </w:p>
        </w:tc>
        <w:tc>
          <w:tcPr>
            <w:tcW w:w="1968" w:type="dxa"/>
            <w:tcBorders>
              <w:top w:val="nil"/>
              <w:left w:val="nil"/>
              <w:bottom w:val="nil"/>
              <w:right w:val="nil"/>
            </w:tcBorders>
            <w:noWrap/>
            <w:vAlign w:val="bottom"/>
            <w:hideMark/>
          </w:tcPr>
          <w:p w14:paraId="74BC1F1B" w14:textId="77777777" w:rsidR="007A6A1A" w:rsidRPr="00167CB8" w:rsidRDefault="007A6A1A" w:rsidP="00DA2417">
            <w:pPr>
              <w:spacing w:after="0" w:line="240" w:lineRule="auto"/>
            </w:pPr>
            <w:r w:rsidRPr="00167CB8">
              <w:t>4.9</w:t>
            </w:r>
          </w:p>
        </w:tc>
        <w:tc>
          <w:tcPr>
            <w:tcW w:w="1403" w:type="dxa"/>
            <w:tcBorders>
              <w:top w:val="nil"/>
              <w:left w:val="nil"/>
              <w:bottom w:val="nil"/>
              <w:right w:val="single" w:sz="4" w:space="0" w:color="auto"/>
            </w:tcBorders>
            <w:noWrap/>
            <w:vAlign w:val="bottom"/>
            <w:hideMark/>
          </w:tcPr>
          <w:p w14:paraId="70023C5A" w14:textId="77777777" w:rsidR="007A6A1A" w:rsidRPr="00167CB8" w:rsidRDefault="007A6A1A" w:rsidP="00DA2417">
            <w:pPr>
              <w:spacing w:after="0" w:line="240" w:lineRule="auto"/>
            </w:pPr>
            <w:r w:rsidRPr="00167CB8">
              <w:t>19.1</w:t>
            </w:r>
          </w:p>
        </w:tc>
        <w:tc>
          <w:tcPr>
            <w:tcW w:w="1589" w:type="dxa"/>
            <w:tcBorders>
              <w:top w:val="nil"/>
              <w:left w:val="single" w:sz="4" w:space="0" w:color="auto"/>
              <w:bottom w:val="nil"/>
              <w:right w:val="nil"/>
            </w:tcBorders>
            <w:noWrap/>
            <w:vAlign w:val="bottom"/>
            <w:hideMark/>
          </w:tcPr>
          <w:p w14:paraId="20D2381E" w14:textId="77777777" w:rsidR="007A6A1A" w:rsidRPr="00167CB8" w:rsidRDefault="007A6A1A" w:rsidP="00DA2417">
            <w:pPr>
              <w:spacing w:after="0" w:line="240" w:lineRule="auto"/>
            </w:pPr>
            <w:r w:rsidRPr="00167CB8">
              <w:t>35.1</w:t>
            </w:r>
          </w:p>
        </w:tc>
        <w:tc>
          <w:tcPr>
            <w:tcW w:w="1403" w:type="dxa"/>
            <w:tcBorders>
              <w:top w:val="nil"/>
              <w:left w:val="nil"/>
              <w:bottom w:val="nil"/>
              <w:right w:val="nil"/>
            </w:tcBorders>
            <w:noWrap/>
            <w:vAlign w:val="bottom"/>
            <w:hideMark/>
          </w:tcPr>
          <w:p w14:paraId="3BBF8E45" w14:textId="77777777" w:rsidR="007A6A1A" w:rsidRPr="00167CB8" w:rsidRDefault="007A6A1A" w:rsidP="00DA2417">
            <w:pPr>
              <w:spacing w:after="0" w:line="240" w:lineRule="auto"/>
            </w:pPr>
            <w:r w:rsidRPr="00167CB8">
              <w:t>32.8</w:t>
            </w:r>
          </w:p>
        </w:tc>
        <w:tc>
          <w:tcPr>
            <w:tcW w:w="1967" w:type="dxa"/>
            <w:tcBorders>
              <w:top w:val="nil"/>
              <w:left w:val="nil"/>
              <w:bottom w:val="nil"/>
              <w:right w:val="nil"/>
            </w:tcBorders>
            <w:noWrap/>
            <w:vAlign w:val="bottom"/>
            <w:hideMark/>
          </w:tcPr>
          <w:p w14:paraId="3EC1CFD3" w14:textId="77777777" w:rsidR="007A6A1A" w:rsidRPr="00167CB8" w:rsidRDefault="007A6A1A" w:rsidP="00DA2417">
            <w:pPr>
              <w:spacing w:after="0" w:line="240" w:lineRule="auto"/>
            </w:pPr>
            <w:r w:rsidRPr="00167CB8">
              <w:t>1.9</w:t>
            </w:r>
          </w:p>
        </w:tc>
        <w:tc>
          <w:tcPr>
            <w:tcW w:w="1403" w:type="dxa"/>
            <w:tcBorders>
              <w:top w:val="nil"/>
              <w:left w:val="nil"/>
              <w:bottom w:val="nil"/>
              <w:right w:val="single" w:sz="4" w:space="0" w:color="auto"/>
            </w:tcBorders>
            <w:noWrap/>
            <w:vAlign w:val="bottom"/>
            <w:hideMark/>
          </w:tcPr>
          <w:p w14:paraId="2C4E9491" w14:textId="77777777" w:rsidR="007A6A1A" w:rsidRPr="00167CB8" w:rsidRDefault="007A6A1A" w:rsidP="00DA2417">
            <w:pPr>
              <w:spacing w:after="0" w:line="240" w:lineRule="auto"/>
            </w:pPr>
            <w:r w:rsidRPr="00167CB8">
              <w:t>30.2</w:t>
            </w:r>
          </w:p>
        </w:tc>
      </w:tr>
      <w:tr w:rsidR="007A6A1A" w:rsidRPr="00167CB8" w14:paraId="3EB80381"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4D0CA643" w14:textId="05EE9B1F" w:rsidR="007A6A1A" w:rsidRPr="00167CB8" w:rsidRDefault="007A6A1A" w:rsidP="00DA2417">
            <w:pPr>
              <w:spacing w:after="0" w:line="240" w:lineRule="auto"/>
            </w:pPr>
            <w:r w:rsidRPr="00167CB8">
              <w:t>2017</w:t>
            </w:r>
            <w:r w:rsidR="00C87E4A" w:rsidRPr="00167CB8">
              <w:rPr>
                <w:rFonts w:ascii="Symbol" w:eastAsia="Symbol" w:hAnsi="Symbol" w:cs="Symbol"/>
              </w:rPr>
              <w:sym w:font="Symbol" w:char="F02D"/>
            </w:r>
            <w:r w:rsidRPr="00167CB8">
              <w:t>18</w:t>
            </w:r>
          </w:p>
        </w:tc>
        <w:tc>
          <w:tcPr>
            <w:tcW w:w="1589" w:type="dxa"/>
            <w:tcBorders>
              <w:top w:val="nil"/>
              <w:left w:val="single" w:sz="4" w:space="0" w:color="auto"/>
              <w:bottom w:val="nil"/>
              <w:right w:val="nil"/>
            </w:tcBorders>
            <w:noWrap/>
            <w:vAlign w:val="bottom"/>
            <w:hideMark/>
          </w:tcPr>
          <w:p w14:paraId="79532703" w14:textId="77777777" w:rsidR="007A6A1A" w:rsidRPr="00167CB8" w:rsidRDefault="007A6A1A" w:rsidP="00DA2417">
            <w:pPr>
              <w:spacing w:after="0" w:line="240" w:lineRule="auto"/>
            </w:pPr>
            <w:r w:rsidRPr="00167CB8">
              <w:t>33.8</w:t>
            </w:r>
          </w:p>
        </w:tc>
        <w:tc>
          <w:tcPr>
            <w:tcW w:w="1402" w:type="dxa"/>
            <w:tcBorders>
              <w:top w:val="nil"/>
              <w:left w:val="nil"/>
              <w:bottom w:val="nil"/>
              <w:right w:val="nil"/>
            </w:tcBorders>
            <w:noWrap/>
            <w:vAlign w:val="bottom"/>
            <w:hideMark/>
          </w:tcPr>
          <w:p w14:paraId="060C93A8" w14:textId="77777777" w:rsidR="007A6A1A" w:rsidRPr="00167CB8" w:rsidRDefault="007A6A1A" w:rsidP="00DA2417">
            <w:pPr>
              <w:spacing w:after="0" w:line="240" w:lineRule="auto"/>
            </w:pPr>
            <w:r w:rsidRPr="00167CB8">
              <w:t>40.0</w:t>
            </w:r>
          </w:p>
        </w:tc>
        <w:tc>
          <w:tcPr>
            <w:tcW w:w="1968" w:type="dxa"/>
            <w:tcBorders>
              <w:top w:val="nil"/>
              <w:left w:val="nil"/>
              <w:bottom w:val="nil"/>
              <w:right w:val="nil"/>
            </w:tcBorders>
            <w:noWrap/>
            <w:vAlign w:val="bottom"/>
            <w:hideMark/>
          </w:tcPr>
          <w:p w14:paraId="2B89475C" w14:textId="77777777" w:rsidR="007A6A1A" w:rsidRPr="00167CB8" w:rsidRDefault="007A6A1A" w:rsidP="00DA2417">
            <w:pPr>
              <w:spacing w:after="0" w:line="240" w:lineRule="auto"/>
            </w:pPr>
            <w:r w:rsidRPr="00167CB8">
              <w:t>5.5</w:t>
            </w:r>
          </w:p>
        </w:tc>
        <w:tc>
          <w:tcPr>
            <w:tcW w:w="1403" w:type="dxa"/>
            <w:tcBorders>
              <w:top w:val="nil"/>
              <w:left w:val="nil"/>
              <w:bottom w:val="nil"/>
              <w:right w:val="single" w:sz="4" w:space="0" w:color="auto"/>
            </w:tcBorders>
            <w:noWrap/>
            <w:vAlign w:val="bottom"/>
            <w:hideMark/>
          </w:tcPr>
          <w:p w14:paraId="4C835828" w14:textId="77777777" w:rsidR="007A6A1A" w:rsidRPr="00167CB8" w:rsidRDefault="007A6A1A" w:rsidP="00DA2417">
            <w:pPr>
              <w:spacing w:after="0" w:line="240" w:lineRule="auto"/>
            </w:pPr>
            <w:r w:rsidRPr="00167CB8">
              <w:t>20.8</w:t>
            </w:r>
          </w:p>
        </w:tc>
        <w:tc>
          <w:tcPr>
            <w:tcW w:w="1589" w:type="dxa"/>
            <w:tcBorders>
              <w:top w:val="nil"/>
              <w:left w:val="single" w:sz="4" w:space="0" w:color="auto"/>
              <w:bottom w:val="nil"/>
              <w:right w:val="nil"/>
            </w:tcBorders>
            <w:noWrap/>
            <w:vAlign w:val="bottom"/>
            <w:hideMark/>
          </w:tcPr>
          <w:p w14:paraId="65D9D829" w14:textId="77777777" w:rsidR="007A6A1A" w:rsidRPr="00167CB8" w:rsidRDefault="007A6A1A" w:rsidP="00DA2417">
            <w:pPr>
              <w:spacing w:after="0" w:line="240" w:lineRule="auto"/>
            </w:pPr>
            <w:r w:rsidRPr="00167CB8">
              <w:t>30.4</w:t>
            </w:r>
          </w:p>
        </w:tc>
        <w:tc>
          <w:tcPr>
            <w:tcW w:w="1403" w:type="dxa"/>
            <w:tcBorders>
              <w:top w:val="nil"/>
              <w:left w:val="nil"/>
              <w:bottom w:val="nil"/>
              <w:right w:val="nil"/>
            </w:tcBorders>
            <w:noWrap/>
            <w:vAlign w:val="bottom"/>
            <w:hideMark/>
          </w:tcPr>
          <w:p w14:paraId="714690BB" w14:textId="77777777" w:rsidR="007A6A1A" w:rsidRPr="00167CB8" w:rsidRDefault="007A6A1A" w:rsidP="00DA2417">
            <w:pPr>
              <w:spacing w:after="0" w:line="240" w:lineRule="auto"/>
            </w:pPr>
            <w:r w:rsidRPr="00167CB8">
              <w:t>35.4</w:t>
            </w:r>
          </w:p>
        </w:tc>
        <w:tc>
          <w:tcPr>
            <w:tcW w:w="1967" w:type="dxa"/>
            <w:tcBorders>
              <w:top w:val="nil"/>
              <w:left w:val="nil"/>
              <w:bottom w:val="nil"/>
              <w:right w:val="nil"/>
            </w:tcBorders>
            <w:noWrap/>
            <w:vAlign w:val="bottom"/>
            <w:hideMark/>
          </w:tcPr>
          <w:p w14:paraId="3B2B4F18" w14:textId="77777777" w:rsidR="007A6A1A" w:rsidRPr="00167CB8" w:rsidRDefault="007A6A1A" w:rsidP="00DA2417">
            <w:pPr>
              <w:spacing w:after="0" w:line="240" w:lineRule="auto"/>
            </w:pPr>
            <w:r w:rsidRPr="00167CB8">
              <w:t>6.3</w:t>
            </w:r>
          </w:p>
        </w:tc>
        <w:tc>
          <w:tcPr>
            <w:tcW w:w="1403" w:type="dxa"/>
            <w:tcBorders>
              <w:top w:val="nil"/>
              <w:left w:val="nil"/>
              <w:bottom w:val="nil"/>
              <w:right w:val="single" w:sz="4" w:space="0" w:color="auto"/>
            </w:tcBorders>
            <w:noWrap/>
            <w:vAlign w:val="bottom"/>
            <w:hideMark/>
          </w:tcPr>
          <w:p w14:paraId="07861A9F" w14:textId="77777777" w:rsidR="007A6A1A" w:rsidRPr="00167CB8" w:rsidRDefault="007A6A1A" w:rsidP="00DA2417">
            <w:pPr>
              <w:spacing w:after="0" w:line="240" w:lineRule="auto"/>
            </w:pPr>
            <w:r w:rsidRPr="00167CB8">
              <w:t>27.8</w:t>
            </w:r>
          </w:p>
        </w:tc>
      </w:tr>
      <w:tr w:rsidR="007A6A1A" w:rsidRPr="00167CB8" w14:paraId="49600DB2"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346B391E" w14:textId="2DC1BA2C" w:rsidR="007A6A1A" w:rsidRPr="00167CB8" w:rsidRDefault="007A6A1A" w:rsidP="00DA2417">
            <w:pPr>
              <w:spacing w:after="0" w:line="240" w:lineRule="auto"/>
            </w:pPr>
            <w:r w:rsidRPr="00167CB8">
              <w:t>2018</w:t>
            </w:r>
            <w:r w:rsidR="00C87E4A" w:rsidRPr="00167CB8">
              <w:rPr>
                <w:rFonts w:ascii="Symbol" w:eastAsia="Symbol" w:hAnsi="Symbol" w:cs="Symbol"/>
              </w:rPr>
              <w:sym w:font="Symbol" w:char="F02D"/>
            </w:r>
            <w:r w:rsidRPr="00167CB8">
              <w:t>19</w:t>
            </w:r>
          </w:p>
        </w:tc>
        <w:tc>
          <w:tcPr>
            <w:tcW w:w="1589" w:type="dxa"/>
            <w:tcBorders>
              <w:top w:val="nil"/>
              <w:left w:val="single" w:sz="4" w:space="0" w:color="auto"/>
              <w:bottom w:val="nil"/>
              <w:right w:val="nil"/>
            </w:tcBorders>
            <w:noWrap/>
            <w:vAlign w:val="bottom"/>
            <w:hideMark/>
          </w:tcPr>
          <w:p w14:paraId="107AF1CB" w14:textId="77777777" w:rsidR="007A6A1A" w:rsidRPr="00167CB8" w:rsidRDefault="007A6A1A" w:rsidP="00DA2417">
            <w:pPr>
              <w:spacing w:after="0" w:line="240" w:lineRule="auto"/>
            </w:pPr>
            <w:r w:rsidRPr="00167CB8">
              <w:t>33.2</w:t>
            </w:r>
          </w:p>
        </w:tc>
        <w:tc>
          <w:tcPr>
            <w:tcW w:w="1402" w:type="dxa"/>
            <w:tcBorders>
              <w:top w:val="nil"/>
              <w:left w:val="nil"/>
              <w:bottom w:val="nil"/>
              <w:right w:val="nil"/>
            </w:tcBorders>
            <w:noWrap/>
            <w:vAlign w:val="bottom"/>
            <w:hideMark/>
          </w:tcPr>
          <w:p w14:paraId="579AAD92" w14:textId="77777777" w:rsidR="007A6A1A" w:rsidRPr="00167CB8" w:rsidRDefault="007A6A1A" w:rsidP="00DA2417">
            <w:pPr>
              <w:spacing w:after="0" w:line="240" w:lineRule="auto"/>
            </w:pPr>
            <w:r w:rsidRPr="00167CB8">
              <w:t>37.4</w:t>
            </w:r>
          </w:p>
        </w:tc>
        <w:tc>
          <w:tcPr>
            <w:tcW w:w="1968" w:type="dxa"/>
            <w:tcBorders>
              <w:top w:val="nil"/>
              <w:left w:val="nil"/>
              <w:bottom w:val="nil"/>
              <w:right w:val="nil"/>
            </w:tcBorders>
            <w:noWrap/>
            <w:vAlign w:val="bottom"/>
            <w:hideMark/>
          </w:tcPr>
          <w:p w14:paraId="6401960D" w14:textId="77777777" w:rsidR="007A6A1A" w:rsidRPr="00167CB8" w:rsidRDefault="007A6A1A" w:rsidP="00DA2417">
            <w:pPr>
              <w:spacing w:after="0" w:line="240" w:lineRule="auto"/>
            </w:pPr>
            <w:r w:rsidRPr="00167CB8">
              <w:t>5.6</w:t>
            </w:r>
          </w:p>
        </w:tc>
        <w:tc>
          <w:tcPr>
            <w:tcW w:w="1403" w:type="dxa"/>
            <w:tcBorders>
              <w:top w:val="nil"/>
              <w:left w:val="nil"/>
              <w:bottom w:val="nil"/>
              <w:right w:val="single" w:sz="4" w:space="0" w:color="auto"/>
            </w:tcBorders>
            <w:noWrap/>
            <w:vAlign w:val="bottom"/>
            <w:hideMark/>
          </w:tcPr>
          <w:p w14:paraId="2BE64CA9" w14:textId="77777777" w:rsidR="007A6A1A" w:rsidRPr="00167CB8" w:rsidRDefault="007A6A1A" w:rsidP="00DA2417">
            <w:pPr>
              <w:spacing w:after="0" w:line="240" w:lineRule="auto"/>
            </w:pPr>
            <w:r w:rsidRPr="00167CB8">
              <w:t>23.8</w:t>
            </w:r>
          </w:p>
        </w:tc>
        <w:tc>
          <w:tcPr>
            <w:tcW w:w="1589" w:type="dxa"/>
            <w:tcBorders>
              <w:top w:val="nil"/>
              <w:left w:val="single" w:sz="4" w:space="0" w:color="auto"/>
              <w:bottom w:val="nil"/>
              <w:right w:val="nil"/>
            </w:tcBorders>
            <w:noWrap/>
            <w:vAlign w:val="bottom"/>
            <w:hideMark/>
          </w:tcPr>
          <w:p w14:paraId="3D17C45D" w14:textId="77777777" w:rsidR="007A6A1A" w:rsidRPr="00167CB8" w:rsidRDefault="007A6A1A" w:rsidP="00DA2417">
            <w:pPr>
              <w:spacing w:after="0" w:line="240" w:lineRule="auto"/>
            </w:pPr>
            <w:r w:rsidRPr="00167CB8">
              <w:t>28.4</w:t>
            </w:r>
          </w:p>
        </w:tc>
        <w:tc>
          <w:tcPr>
            <w:tcW w:w="1403" w:type="dxa"/>
            <w:tcBorders>
              <w:top w:val="nil"/>
              <w:left w:val="nil"/>
              <w:bottom w:val="nil"/>
              <w:right w:val="nil"/>
            </w:tcBorders>
            <w:noWrap/>
            <w:vAlign w:val="bottom"/>
            <w:hideMark/>
          </w:tcPr>
          <w:p w14:paraId="53D4FCE0" w14:textId="77777777" w:rsidR="007A6A1A" w:rsidRPr="00167CB8" w:rsidRDefault="007A6A1A" w:rsidP="00DA2417">
            <w:pPr>
              <w:spacing w:after="0" w:line="240" w:lineRule="auto"/>
            </w:pPr>
            <w:r w:rsidRPr="00167CB8">
              <w:t>34.6</w:t>
            </w:r>
          </w:p>
        </w:tc>
        <w:tc>
          <w:tcPr>
            <w:tcW w:w="1967" w:type="dxa"/>
            <w:tcBorders>
              <w:top w:val="nil"/>
              <w:left w:val="nil"/>
              <w:bottom w:val="nil"/>
              <w:right w:val="nil"/>
            </w:tcBorders>
            <w:noWrap/>
            <w:vAlign w:val="bottom"/>
            <w:hideMark/>
          </w:tcPr>
          <w:p w14:paraId="2CF5F617" w14:textId="77777777" w:rsidR="007A6A1A" w:rsidRPr="00167CB8" w:rsidRDefault="007A6A1A" w:rsidP="00DA2417">
            <w:pPr>
              <w:spacing w:after="0" w:line="240" w:lineRule="auto"/>
            </w:pPr>
            <w:r w:rsidRPr="00167CB8">
              <w:t>6.7</w:t>
            </w:r>
          </w:p>
        </w:tc>
        <w:tc>
          <w:tcPr>
            <w:tcW w:w="1403" w:type="dxa"/>
            <w:tcBorders>
              <w:top w:val="nil"/>
              <w:left w:val="nil"/>
              <w:bottom w:val="nil"/>
              <w:right w:val="single" w:sz="4" w:space="0" w:color="auto"/>
            </w:tcBorders>
            <w:noWrap/>
            <w:vAlign w:val="bottom"/>
            <w:hideMark/>
          </w:tcPr>
          <w:p w14:paraId="72EEAC97" w14:textId="77777777" w:rsidR="007A6A1A" w:rsidRPr="00167CB8" w:rsidRDefault="007A6A1A" w:rsidP="00DA2417">
            <w:pPr>
              <w:spacing w:after="0" w:line="240" w:lineRule="auto"/>
            </w:pPr>
            <w:r w:rsidRPr="00167CB8">
              <w:t>30.3</w:t>
            </w:r>
          </w:p>
        </w:tc>
      </w:tr>
      <w:tr w:rsidR="007A6A1A" w:rsidRPr="00167CB8" w14:paraId="417E0360"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04FA54C9" w14:textId="7C0FEF84" w:rsidR="007A6A1A" w:rsidRPr="00167CB8" w:rsidRDefault="007A6A1A" w:rsidP="00DA2417">
            <w:pPr>
              <w:spacing w:after="0" w:line="240" w:lineRule="auto"/>
            </w:pPr>
            <w:r w:rsidRPr="00167CB8">
              <w:t>2019</w:t>
            </w:r>
            <w:r w:rsidR="00C87E4A" w:rsidRPr="00167CB8">
              <w:rPr>
                <w:rFonts w:ascii="Symbol" w:eastAsia="Symbol" w:hAnsi="Symbol" w:cs="Symbol"/>
              </w:rPr>
              <w:sym w:font="Symbol" w:char="F02D"/>
            </w:r>
            <w:r w:rsidRPr="00167CB8">
              <w:t>20</w:t>
            </w:r>
          </w:p>
        </w:tc>
        <w:tc>
          <w:tcPr>
            <w:tcW w:w="1589" w:type="dxa"/>
            <w:tcBorders>
              <w:top w:val="nil"/>
              <w:left w:val="single" w:sz="4" w:space="0" w:color="auto"/>
              <w:bottom w:val="nil"/>
              <w:right w:val="nil"/>
            </w:tcBorders>
            <w:noWrap/>
            <w:vAlign w:val="bottom"/>
            <w:hideMark/>
          </w:tcPr>
          <w:p w14:paraId="129364CF" w14:textId="77777777" w:rsidR="007A6A1A" w:rsidRPr="00167CB8" w:rsidRDefault="007A6A1A" w:rsidP="00DA2417">
            <w:pPr>
              <w:spacing w:after="0" w:line="240" w:lineRule="auto"/>
            </w:pPr>
            <w:r w:rsidRPr="00167CB8">
              <w:t>40.8</w:t>
            </w:r>
          </w:p>
        </w:tc>
        <w:tc>
          <w:tcPr>
            <w:tcW w:w="1402" w:type="dxa"/>
            <w:tcBorders>
              <w:top w:val="nil"/>
              <w:left w:val="nil"/>
              <w:bottom w:val="nil"/>
              <w:right w:val="nil"/>
            </w:tcBorders>
            <w:noWrap/>
            <w:vAlign w:val="bottom"/>
            <w:hideMark/>
          </w:tcPr>
          <w:p w14:paraId="3B8F1F1C" w14:textId="77777777" w:rsidR="007A6A1A" w:rsidRPr="00167CB8" w:rsidRDefault="007A6A1A" w:rsidP="00DA2417">
            <w:pPr>
              <w:spacing w:after="0" w:line="240" w:lineRule="auto"/>
            </w:pPr>
            <w:r w:rsidRPr="00167CB8">
              <w:t>34.0</w:t>
            </w:r>
          </w:p>
        </w:tc>
        <w:tc>
          <w:tcPr>
            <w:tcW w:w="1968" w:type="dxa"/>
            <w:tcBorders>
              <w:top w:val="nil"/>
              <w:left w:val="nil"/>
              <w:bottom w:val="nil"/>
              <w:right w:val="nil"/>
            </w:tcBorders>
            <w:noWrap/>
            <w:vAlign w:val="bottom"/>
            <w:hideMark/>
          </w:tcPr>
          <w:p w14:paraId="7CA93AB4" w14:textId="77777777" w:rsidR="007A6A1A" w:rsidRPr="00167CB8" w:rsidRDefault="007A6A1A" w:rsidP="00DA2417">
            <w:pPr>
              <w:spacing w:after="0" w:line="240" w:lineRule="auto"/>
            </w:pPr>
            <w:r w:rsidRPr="00167CB8">
              <w:t>4.3</w:t>
            </w:r>
          </w:p>
        </w:tc>
        <w:tc>
          <w:tcPr>
            <w:tcW w:w="1403" w:type="dxa"/>
            <w:tcBorders>
              <w:top w:val="nil"/>
              <w:left w:val="nil"/>
              <w:bottom w:val="nil"/>
              <w:right w:val="single" w:sz="4" w:space="0" w:color="auto"/>
            </w:tcBorders>
            <w:noWrap/>
            <w:vAlign w:val="bottom"/>
            <w:hideMark/>
          </w:tcPr>
          <w:p w14:paraId="033DFAD0" w14:textId="77777777" w:rsidR="007A6A1A" w:rsidRPr="00167CB8" w:rsidRDefault="007A6A1A" w:rsidP="00DA2417">
            <w:pPr>
              <w:spacing w:after="0" w:line="240" w:lineRule="auto"/>
            </w:pPr>
            <w:r w:rsidRPr="00167CB8">
              <w:t>20.9</w:t>
            </w:r>
          </w:p>
        </w:tc>
        <w:tc>
          <w:tcPr>
            <w:tcW w:w="1589" w:type="dxa"/>
            <w:tcBorders>
              <w:top w:val="nil"/>
              <w:left w:val="single" w:sz="4" w:space="0" w:color="auto"/>
              <w:bottom w:val="nil"/>
              <w:right w:val="nil"/>
            </w:tcBorders>
            <w:noWrap/>
            <w:vAlign w:val="bottom"/>
            <w:hideMark/>
          </w:tcPr>
          <w:p w14:paraId="7BCBB4EE" w14:textId="77777777" w:rsidR="007A6A1A" w:rsidRPr="00167CB8" w:rsidRDefault="007A6A1A" w:rsidP="00DA2417">
            <w:pPr>
              <w:spacing w:after="0" w:line="240" w:lineRule="auto"/>
            </w:pPr>
            <w:r w:rsidRPr="00167CB8">
              <w:t>33.2</w:t>
            </w:r>
          </w:p>
        </w:tc>
        <w:tc>
          <w:tcPr>
            <w:tcW w:w="1403" w:type="dxa"/>
            <w:tcBorders>
              <w:top w:val="nil"/>
              <w:left w:val="nil"/>
              <w:bottom w:val="nil"/>
              <w:right w:val="nil"/>
            </w:tcBorders>
            <w:noWrap/>
            <w:vAlign w:val="bottom"/>
            <w:hideMark/>
          </w:tcPr>
          <w:p w14:paraId="50E91795" w14:textId="77777777" w:rsidR="007A6A1A" w:rsidRPr="00167CB8" w:rsidRDefault="007A6A1A" w:rsidP="00DA2417">
            <w:pPr>
              <w:spacing w:after="0" w:line="240" w:lineRule="auto"/>
            </w:pPr>
            <w:r w:rsidRPr="00167CB8">
              <w:t>29.8</w:t>
            </w:r>
          </w:p>
        </w:tc>
        <w:tc>
          <w:tcPr>
            <w:tcW w:w="1967" w:type="dxa"/>
            <w:tcBorders>
              <w:top w:val="nil"/>
              <w:left w:val="nil"/>
              <w:bottom w:val="nil"/>
              <w:right w:val="nil"/>
            </w:tcBorders>
            <w:noWrap/>
            <w:vAlign w:val="bottom"/>
            <w:hideMark/>
          </w:tcPr>
          <w:p w14:paraId="193A891F" w14:textId="77777777" w:rsidR="007A6A1A" w:rsidRPr="00167CB8" w:rsidRDefault="007A6A1A" w:rsidP="00DA2417">
            <w:pPr>
              <w:spacing w:after="0" w:line="240" w:lineRule="auto"/>
            </w:pPr>
            <w:r w:rsidRPr="00167CB8">
              <w:t>4.5</w:t>
            </w:r>
          </w:p>
        </w:tc>
        <w:tc>
          <w:tcPr>
            <w:tcW w:w="1403" w:type="dxa"/>
            <w:tcBorders>
              <w:top w:val="nil"/>
              <w:left w:val="nil"/>
              <w:bottom w:val="nil"/>
              <w:right w:val="single" w:sz="4" w:space="0" w:color="auto"/>
            </w:tcBorders>
            <w:noWrap/>
            <w:vAlign w:val="bottom"/>
            <w:hideMark/>
          </w:tcPr>
          <w:p w14:paraId="75AB2381" w14:textId="77777777" w:rsidR="007A6A1A" w:rsidRPr="00167CB8" w:rsidRDefault="007A6A1A" w:rsidP="00DA2417">
            <w:pPr>
              <w:spacing w:after="0" w:line="240" w:lineRule="auto"/>
            </w:pPr>
            <w:r w:rsidRPr="00167CB8">
              <w:t>32.5</w:t>
            </w:r>
          </w:p>
        </w:tc>
      </w:tr>
      <w:tr w:rsidR="007A6A1A" w:rsidRPr="00167CB8" w14:paraId="171AAFF2"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1A5448ED" w14:textId="0A648A60" w:rsidR="007A6A1A" w:rsidRPr="00167CB8" w:rsidRDefault="007A6A1A" w:rsidP="00DA2417">
            <w:pPr>
              <w:spacing w:after="0" w:line="240" w:lineRule="auto"/>
            </w:pPr>
            <w:r w:rsidRPr="00167CB8">
              <w:t>2020</w:t>
            </w:r>
            <w:r w:rsidR="00C87E4A" w:rsidRPr="00167CB8">
              <w:rPr>
                <w:rFonts w:ascii="Symbol" w:eastAsia="Symbol" w:hAnsi="Symbol" w:cs="Symbol"/>
              </w:rPr>
              <w:sym w:font="Symbol" w:char="F02D"/>
            </w:r>
            <w:r w:rsidRPr="00167CB8">
              <w:t>21</w:t>
            </w:r>
          </w:p>
        </w:tc>
        <w:tc>
          <w:tcPr>
            <w:tcW w:w="1589" w:type="dxa"/>
            <w:tcBorders>
              <w:top w:val="nil"/>
              <w:left w:val="single" w:sz="4" w:space="0" w:color="auto"/>
              <w:bottom w:val="nil"/>
              <w:right w:val="nil"/>
            </w:tcBorders>
            <w:noWrap/>
            <w:vAlign w:val="bottom"/>
            <w:hideMark/>
          </w:tcPr>
          <w:p w14:paraId="2E7E77C7" w14:textId="77777777" w:rsidR="007A6A1A" w:rsidRPr="00167CB8" w:rsidRDefault="007A6A1A" w:rsidP="00DA2417">
            <w:pPr>
              <w:spacing w:after="0" w:line="240" w:lineRule="auto"/>
            </w:pPr>
            <w:r w:rsidRPr="00167CB8">
              <w:t>40.7</w:t>
            </w:r>
          </w:p>
        </w:tc>
        <w:tc>
          <w:tcPr>
            <w:tcW w:w="1402" w:type="dxa"/>
            <w:tcBorders>
              <w:top w:val="nil"/>
              <w:left w:val="nil"/>
              <w:bottom w:val="nil"/>
              <w:right w:val="nil"/>
            </w:tcBorders>
            <w:noWrap/>
            <w:vAlign w:val="bottom"/>
            <w:hideMark/>
          </w:tcPr>
          <w:p w14:paraId="44C5D24D" w14:textId="77777777" w:rsidR="007A6A1A" w:rsidRPr="00167CB8" w:rsidRDefault="007A6A1A" w:rsidP="00DA2417">
            <w:pPr>
              <w:spacing w:after="0" w:line="240" w:lineRule="auto"/>
            </w:pPr>
            <w:r w:rsidRPr="00167CB8">
              <w:t>40.8</w:t>
            </w:r>
          </w:p>
        </w:tc>
        <w:tc>
          <w:tcPr>
            <w:tcW w:w="1968" w:type="dxa"/>
            <w:tcBorders>
              <w:top w:val="nil"/>
              <w:left w:val="nil"/>
              <w:bottom w:val="nil"/>
              <w:right w:val="nil"/>
            </w:tcBorders>
            <w:noWrap/>
            <w:vAlign w:val="bottom"/>
            <w:hideMark/>
          </w:tcPr>
          <w:p w14:paraId="7421B8F9" w14:textId="77777777" w:rsidR="007A6A1A" w:rsidRPr="00167CB8" w:rsidRDefault="007A6A1A" w:rsidP="00DA2417">
            <w:pPr>
              <w:spacing w:after="0" w:line="240" w:lineRule="auto"/>
            </w:pPr>
            <w:r w:rsidRPr="00167CB8">
              <w:t>2.1</w:t>
            </w:r>
          </w:p>
        </w:tc>
        <w:tc>
          <w:tcPr>
            <w:tcW w:w="1403" w:type="dxa"/>
            <w:tcBorders>
              <w:top w:val="nil"/>
              <w:left w:val="nil"/>
              <w:bottom w:val="nil"/>
              <w:right w:val="single" w:sz="4" w:space="0" w:color="auto"/>
            </w:tcBorders>
            <w:noWrap/>
            <w:vAlign w:val="bottom"/>
            <w:hideMark/>
          </w:tcPr>
          <w:p w14:paraId="4CC222F7" w14:textId="77777777" w:rsidR="007A6A1A" w:rsidRPr="00167CB8" w:rsidRDefault="007A6A1A" w:rsidP="00DA2417">
            <w:pPr>
              <w:spacing w:after="0" w:line="240" w:lineRule="auto"/>
            </w:pPr>
            <w:r w:rsidRPr="00167CB8">
              <w:t>16.3</w:t>
            </w:r>
          </w:p>
        </w:tc>
        <w:tc>
          <w:tcPr>
            <w:tcW w:w="1589" w:type="dxa"/>
            <w:tcBorders>
              <w:top w:val="nil"/>
              <w:left w:val="single" w:sz="4" w:space="0" w:color="auto"/>
              <w:bottom w:val="nil"/>
              <w:right w:val="nil"/>
            </w:tcBorders>
            <w:noWrap/>
            <w:vAlign w:val="bottom"/>
            <w:hideMark/>
          </w:tcPr>
          <w:p w14:paraId="4EC436F8" w14:textId="77777777" w:rsidR="007A6A1A" w:rsidRPr="00167CB8" w:rsidRDefault="007A6A1A" w:rsidP="00DA2417">
            <w:pPr>
              <w:spacing w:after="0" w:line="240" w:lineRule="auto"/>
            </w:pPr>
            <w:r w:rsidRPr="00167CB8">
              <w:t>32.5</w:t>
            </w:r>
          </w:p>
        </w:tc>
        <w:tc>
          <w:tcPr>
            <w:tcW w:w="1403" w:type="dxa"/>
            <w:tcBorders>
              <w:top w:val="nil"/>
              <w:left w:val="nil"/>
              <w:bottom w:val="nil"/>
              <w:right w:val="nil"/>
            </w:tcBorders>
            <w:noWrap/>
            <w:vAlign w:val="bottom"/>
            <w:hideMark/>
          </w:tcPr>
          <w:p w14:paraId="587DAEBF" w14:textId="77777777" w:rsidR="007A6A1A" w:rsidRPr="00167CB8" w:rsidRDefault="007A6A1A" w:rsidP="00DA2417">
            <w:pPr>
              <w:spacing w:after="0" w:line="240" w:lineRule="auto"/>
            </w:pPr>
            <w:r w:rsidRPr="00167CB8">
              <w:t>30.5</w:t>
            </w:r>
          </w:p>
        </w:tc>
        <w:tc>
          <w:tcPr>
            <w:tcW w:w="1967" w:type="dxa"/>
            <w:tcBorders>
              <w:top w:val="nil"/>
              <w:left w:val="nil"/>
              <w:bottom w:val="nil"/>
              <w:right w:val="nil"/>
            </w:tcBorders>
            <w:noWrap/>
            <w:vAlign w:val="bottom"/>
            <w:hideMark/>
          </w:tcPr>
          <w:p w14:paraId="68A5A961" w14:textId="77777777" w:rsidR="007A6A1A" w:rsidRPr="00167CB8" w:rsidRDefault="007A6A1A" w:rsidP="00DA2417">
            <w:pPr>
              <w:spacing w:after="0" w:line="240" w:lineRule="auto"/>
            </w:pPr>
            <w:r w:rsidRPr="00167CB8">
              <w:t>5.6</w:t>
            </w:r>
          </w:p>
        </w:tc>
        <w:tc>
          <w:tcPr>
            <w:tcW w:w="1403" w:type="dxa"/>
            <w:tcBorders>
              <w:top w:val="nil"/>
              <w:left w:val="nil"/>
              <w:bottom w:val="nil"/>
              <w:right w:val="single" w:sz="4" w:space="0" w:color="auto"/>
            </w:tcBorders>
            <w:noWrap/>
            <w:vAlign w:val="bottom"/>
            <w:hideMark/>
          </w:tcPr>
          <w:p w14:paraId="365FDFD5" w14:textId="77777777" w:rsidR="007A6A1A" w:rsidRPr="00167CB8" w:rsidRDefault="007A6A1A" w:rsidP="00DA2417">
            <w:pPr>
              <w:spacing w:after="0" w:line="240" w:lineRule="auto"/>
            </w:pPr>
            <w:r w:rsidRPr="00167CB8">
              <w:t>31.4</w:t>
            </w:r>
          </w:p>
        </w:tc>
      </w:tr>
      <w:tr w:rsidR="007A6A1A" w:rsidRPr="00167CB8" w14:paraId="59FF98BD" w14:textId="77777777" w:rsidTr="00DA2417">
        <w:trPr>
          <w:trHeight w:val="344"/>
        </w:trPr>
        <w:tc>
          <w:tcPr>
            <w:tcW w:w="1379" w:type="dxa"/>
            <w:tcBorders>
              <w:top w:val="nil"/>
              <w:left w:val="single" w:sz="4" w:space="0" w:color="auto"/>
              <w:bottom w:val="nil"/>
              <w:right w:val="single" w:sz="4" w:space="0" w:color="auto"/>
            </w:tcBorders>
            <w:noWrap/>
            <w:vAlign w:val="bottom"/>
            <w:hideMark/>
          </w:tcPr>
          <w:p w14:paraId="75DC87EA" w14:textId="4E1D3C3F" w:rsidR="007A6A1A" w:rsidRPr="00167CB8" w:rsidRDefault="007A6A1A" w:rsidP="00DA2417">
            <w:pPr>
              <w:spacing w:after="0" w:line="240" w:lineRule="auto"/>
            </w:pPr>
            <w:r w:rsidRPr="00167CB8">
              <w:t>2021</w:t>
            </w:r>
            <w:r w:rsidR="00C87E4A" w:rsidRPr="00167CB8">
              <w:rPr>
                <w:rFonts w:ascii="Symbol" w:eastAsia="Symbol" w:hAnsi="Symbol" w:cs="Symbol"/>
              </w:rPr>
              <w:sym w:font="Symbol" w:char="F02D"/>
            </w:r>
            <w:r w:rsidRPr="00167CB8">
              <w:t>22</w:t>
            </w:r>
          </w:p>
        </w:tc>
        <w:tc>
          <w:tcPr>
            <w:tcW w:w="1589" w:type="dxa"/>
            <w:tcBorders>
              <w:top w:val="nil"/>
              <w:left w:val="single" w:sz="4" w:space="0" w:color="auto"/>
              <w:bottom w:val="nil"/>
              <w:right w:val="nil"/>
            </w:tcBorders>
            <w:noWrap/>
            <w:vAlign w:val="bottom"/>
            <w:hideMark/>
          </w:tcPr>
          <w:p w14:paraId="28571445" w14:textId="77777777" w:rsidR="007A6A1A" w:rsidRPr="00167CB8" w:rsidRDefault="007A6A1A" w:rsidP="00DA2417">
            <w:pPr>
              <w:spacing w:after="0" w:line="240" w:lineRule="auto"/>
            </w:pPr>
            <w:r w:rsidRPr="00167CB8">
              <w:t>36.2</w:t>
            </w:r>
          </w:p>
        </w:tc>
        <w:tc>
          <w:tcPr>
            <w:tcW w:w="1402" w:type="dxa"/>
            <w:tcBorders>
              <w:top w:val="nil"/>
              <w:left w:val="nil"/>
              <w:bottom w:val="nil"/>
              <w:right w:val="nil"/>
            </w:tcBorders>
            <w:noWrap/>
            <w:vAlign w:val="bottom"/>
            <w:hideMark/>
          </w:tcPr>
          <w:p w14:paraId="2FB16313" w14:textId="77777777" w:rsidR="007A6A1A" w:rsidRPr="00167CB8" w:rsidRDefault="007A6A1A" w:rsidP="00DA2417">
            <w:pPr>
              <w:spacing w:after="0" w:line="240" w:lineRule="auto"/>
            </w:pPr>
            <w:r w:rsidRPr="00167CB8">
              <w:t>47.1</w:t>
            </w:r>
          </w:p>
        </w:tc>
        <w:tc>
          <w:tcPr>
            <w:tcW w:w="1968" w:type="dxa"/>
            <w:tcBorders>
              <w:top w:val="nil"/>
              <w:left w:val="nil"/>
              <w:bottom w:val="nil"/>
              <w:right w:val="nil"/>
            </w:tcBorders>
            <w:noWrap/>
            <w:vAlign w:val="bottom"/>
            <w:hideMark/>
          </w:tcPr>
          <w:p w14:paraId="433298BC" w14:textId="77777777" w:rsidR="007A6A1A" w:rsidRPr="00167CB8" w:rsidRDefault="007A6A1A" w:rsidP="00DA2417">
            <w:pPr>
              <w:spacing w:after="0" w:line="240" w:lineRule="auto"/>
            </w:pPr>
            <w:r w:rsidRPr="00167CB8">
              <w:t>1.8</w:t>
            </w:r>
          </w:p>
        </w:tc>
        <w:tc>
          <w:tcPr>
            <w:tcW w:w="1403" w:type="dxa"/>
            <w:tcBorders>
              <w:top w:val="nil"/>
              <w:left w:val="nil"/>
              <w:bottom w:val="nil"/>
              <w:right w:val="single" w:sz="4" w:space="0" w:color="auto"/>
            </w:tcBorders>
            <w:noWrap/>
            <w:vAlign w:val="bottom"/>
            <w:hideMark/>
          </w:tcPr>
          <w:p w14:paraId="071A2D0E" w14:textId="77777777" w:rsidR="007A6A1A" w:rsidRPr="00167CB8" w:rsidRDefault="007A6A1A" w:rsidP="00DA2417">
            <w:pPr>
              <w:spacing w:after="0" w:line="240" w:lineRule="auto"/>
            </w:pPr>
            <w:r w:rsidRPr="00167CB8">
              <w:t>14.9</w:t>
            </w:r>
          </w:p>
        </w:tc>
        <w:tc>
          <w:tcPr>
            <w:tcW w:w="1589" w:type="dxa"/>
            <w:tcBorders>
              <w:top w:val="nil"/>
              <w:left w:val="single" w:sz="4" w:space="0" w:color="auto"/>
              <w:bottom w:val="nil"/>
              <w:right w:val="nil"/>
            </w:tcBorders>
            <w:noWrap/>
            <w:vAlign w:val="bottom"/>
            <w:hideMark/>
          </w:tcPr>
          <w:p w14:paraId="123F33E0" w14:textId="77777777" w:rsidR="007A6A1A" w:rsidRPr="00167CB8" w:rsidRDefault="007A6A1A" w:rsidP="00DA2417">
            <w:pPr>
              <w:spacing w:after="0" w:line="240" w:lineRule="auto"/>
            </w:pPr>
            <w:r w:rsidRPr="00167CB8">
              <w:t>28.0</w:t>
            </w:r>
          </w:p>
        </w:tc>
        <w:tc>
          <w:tcPr>
            <w:tcW w:w="1403" w:type="dxa"/>
            <w:tcBorders>
              <w:top w:val="nil"/>
              <w:left w:val="nil"/>
              <w:bottom w:val="nil"/>
              <w:right w:val="nil"/>
            </w:tcBorders>
            <w:noWrap/>
            <w:vAlign w:val="bottom"/>
            <w:hideMark/>
          </w:tcPr>
          <w:p w14:paraId="1DB5DE49" w14:textId="77777777" w:rsidR="007A6A1A" w:rsidRPr="00167CB8" w:rsidRDefault="007A6A1A" w:rsidP="00DA2417">
            <w:pPr>
              <w:spacing w:after="0" w:line="240" w:lineRule="auto"/>
            </w:pPr>
            <w:r w:rsidRPr="00167CB8">
              <w:t>34.4</w:t>
            </w:r>
          </w:p>
        </w:tc>
        <w:tc>
          <w:tcPr>
            <w:tcW w:w="1967" w:type="dxa"/>
            <w:tcBorders>
              <w:top w:val="nil"/>
              <w:left w:val="nil"/>
              <w:bottom w:val="nil"/>
              <w:right w:val="nil"/>
            </w:tcBorders>
            <w:noWrap/>
            <w:vAlign w:val="bottom"/>
            <w:hideMark/>
          </w:tcPr>
          <w:p w14:paraId="651D5C0D" w14:textId="77777777" w:rsidR="007A6A1A" w:rsidRPr="00167CB8" w:rsidRDefault="007A6A1A" w:rsidP="00DA2417">
            <w:pPr>
              <w:spacing w:after="0" w:line="240" w:lineRule="auto"/>
            </w:pPr>
            <w:r w:rsidRPr="00167CB8">
              <w:t>3.5</w:t>
            </w:r>
          </w:p>
        </w:tc>
        <w:tc>
          <w:tcPr>
            <w:tcW w:w="1403" w:type="dxa"/>
            <w:tcBorders>
              <w:top w:val="nil"/>
              <w:left w:val="nil"/>
              <w:bottom w:val="nil"/>
              <w:right w:val="single" w:sz="4" w:space="0" w:color="auto"/>
            </w:tcBorders>
            <w:noWrap/>
            <w:vAlign w:val="bottom"/>
            <w:hideMark/>
          </w:tcPr>
          <w:p w14:paraId="32614E24" w14:textId="77777777" w:rsidR="007A6A1A" w:rsidRPr="00167CB8" w:rsidRDefault="007A6A1A" w:rsidP="00DA2417">
            <w:pPr>
              <w:spacing w:after="0" w:line="240" w:lineRule="auto"/>
            </w:pPr>
            <w:r w:rsidRPr="00167CB8">
              <w:t>34.1</w:t>
            </w:r>
          </w:p>
        </w:tc>
      </w:tr>
      <w:tr w:rsidR="007A6A1A" w:rsidRPr="00167CB8" w14:paraId="18952B8A" w14:textId="77777777" w:rsidTr="00DA2417">
        <w:trPr>
          <w:trHeight w:val="344"/>
        </w:trPr>
        <w:tc>
          <w:tcPr>
            <w:tcW w:w="1379" w:type="dxa"/>
            <w:tcBorders>
              <w:top w:val="nil"/>
              <w:left w:val="single" w:sz="4" w:space="0" w:color="auto"/>
              <w:bottom w:val="single" w:sz="4" w:space="0" w:color="auto"/>
              <w:right w:val="single" w:sz="4" w:space="0" w:color="auto"/>
            </w:tcBorders>
            <w:noWrap/>
            <w:vAlign w:val="bottom"/>
            <w:hideMark/>
          </w:tcPr>
          <w:p w14:paraId="3D936673" w14:textId="529D1FA4" w:rsidR="007A6A1A" w:rsidRPr="00167CB8" w:rsidRDefault="007A6A1A" w:rsidP="00DA2417">
            <w:pPr>
              <w:spacing w:after="0" w:line="240" w:lineRule="auto"/>
            </w:pPr>
            <w:r w:rsidRPr="00167CB8">
              <w:t>2022</w:t>
            </w:r>
            <w:r w:rsidR="00C87E4A" w:rsidRPr="00167CB8">
              <w:rPr>
                <w:rFonts w:ascii="Symbol" w:eastAsia="Symbol" w:hAnsi="Symbol" w:cs="Symbol"/>
              </w:rPr>
              <w:sym w:font="Symbol" w:char="F02D"/>
            </w:r>
            <w:r w:rsidRPr="00167CB8">
              <w:t>23</w:t>
            </w:r>
          </w:p>
        </w:tc>
        <w:tc>
          <w:tcPr>
            <w:tcW w:w="1589" w:type="dxa"/>
            <w:tcBorders>
              <w:top w:val="nil"/>
              <w:left w:val="single" w:sz="4" w:space="0" w:color="auto"/>
              <w:bottom w:val="single" w:sz="4" w:space="0" w:color="auto"/>
              <w:right w:val="nil"/>
            </w:tcBorders>
            <w:noWrap/>
            <w:vAlign w:val="bottom"/>
            <w:hideMark/>
          </w:tcPr>
          <w:p w14:paraId="5ACE10CF" w14:textId="77777777" w:rsidR="007A6A1A" w:rsidRPr="00167CB8" w:rsidRDefault="007A6A1A" w:rsidP="00DA2417">
            <w:pPr>
              <w:spacing w:after="0" w:line="240" w:lineRule="auto"/>
            </w:pPr>
            <w:r w:rsidRPr="00167CB8">
              <w:t>40.1</w:t>
            </w:r>
          </w:p>
        </w:tc>
        <w:tc>
          <w:tcPr>
            <w:tcW w:w="1402" w:type="dxa"/>
            <w:tcBorders>
              <w:top w:val="nil"/>
              <w:left w:val="nil"/>
              <w:bottom w:val="single" w:sz="4" w:space="0" w:color="auto"/>
              <w:right w:val="nil"/>
            </w:tcBorders>
            <w:noWrap/>
            <w:vAlign w:val="bottom"/>
            <w:hideMark/>
          </w:tcPr>
          <w:p w14:paraId="2E67B688" w14:textId="77777777" w:rsidR="007A6A1A" w:rsidRPr="00167CB8" w:rsidRDefault="007A6A1A" w:rsidP="00DA2417">
            <w:pPr>
              <w:spacing w:after="0" w:line="240" w:lineRule="auto"/>
            </w:pPr>
            <w:r w:rsidRPr="00167CB8">
              <w:t>40.6</w:t>
            </w:r>
          </w:p>
        </w:tc>
        <w:tc>
          <w:tcPr>
            <w:tcW w:w="1968" w:type="dxa"/>
            <w:tcBorders>
              <w:top w:val="nil"/>
              <w:left w:val="nil"/>
              <w:bottom w:val="single" w:sz="4" w:space="0" w:color="auto"/>
              <w:right w:val="nil"/>
            </w:tcBorders>
            <w:noWrap/>
            <w:vAlign w:val="bottom"/>
            <w:hideMark/>
          </w:tcPr>
          <w:p w14:paraId="5BD2575F" w14:textId="77777777" w:rsidR="007A6A1A" w:rsidRPr="00167CB8" w:rsidRDefault="007A6A1A" w:rsidP="00DA2417">
            <w:pPr>
              <w:spacing w:after="0" w:line="240" w:lineRule="auto"/>
            </w:pPr>
            <w:r w:rsidRPr="00167CB8">
              <w:t>4.3</w:t>
            </w:r>
          </w:p>
        </w:tc>
        <w:tc>
          <w:tcPr>
            <w:tcW w:w="1403" w:type="dxa"/>
            <w:tcBorders>
              <w:top w:val="nil"/>
              <w:left w:val="nil"/>
              <w:bottom w:val="single" w:sz="4" w:space="0" w:color="auto"/>
              <w:right w:val="single" w:sz="4" w:space="0" w:color="auto"/>
            </w:tcBorders>
            <w:noWrap/>
            <w:vAlign w:val="bottom"/>
            <w:hideMark/>
          </w:tcPr>
          <w:p w14:paraId="2F6EBACB" w14:textId="77777777" w:rsidR="007A6A1A" w:rsidRPr="00167CB8" w:rsidRDefault="007A6A1A" w:rsidP="00DA2417">
            <w:pPr>
              <w:spacing w:after="0" w:line="240" w:lineRule="auto"/>
            </w:pPr>
            <w:r w:rsidRPr="00167CB8">
              <w:t>15.0</w:t>
            </w:r>
          </w:p>
        </w:tc>
        <w:tc>
          <w:tcPr>
            <w:tcW w:w="1589" w:type="dxa"/>
            <w:tcBorders>
              <w:top w:val="nil"/>
              <w:left w:val="single" w:sz="4" w:space="0" w:color="auto"/>
              <w:bottom w:val="single" w:sz="4" w:space="0" w:color="auto"/>
              <w:right w:val="nil"/>
            </w:tcBorders>
            <w:noWrap/>
            <w:vAlign w:val="bottom"/>
            <w:hideMark/>
          </w:tcPr>
          <w:p w14:paraId="4600CB12" w14:textId="77777777" w:rsidR="007A6A1A" w:rsidRPr="00167CB8" w:rsidRDefault="007A6A1A" w:rsidP="00DA2417">
            <w:pPr>
              <w:spacing w:after="0" w:line="240" w:lineRule="auto"/>
            </w:pPr>
            <w:r w:rsidRPr="00167CB8">
              <w:t>32.8</w:t>
            </w:r>
          </w:p>
        </w:tc>
        <w:tc>
          <w:tcPr>
            <w:tcW w:w="1403" w:type="dxa"/>
            <w:tcBorders>
              <w:top w:val="nil"/>
              <w:left w:val="nil"/>
              <w:bottom w:val="single" w:sz="4" w:space="0" w:color="auto"/>
              <w:right w:val="nil"/>
            </w:tcBorders>
            <w:noWrap/>
            <w:vAlign w:val="bottom"/>
            <w:hideMark/>
          </w:tcPr>
          <w:p w14:paraId="277B5CC3" w14:textId="77777777" w:rsidR="007A6A1A" w:rsidRPr="00167CB8" w:rsidRDefault="007A6A1A" w:rsidP="00DA2417">
            <w:pPr>
              <w:spacing w:after="0" w:line="240" w:lineRule="auto"/>
            </w:pPr>
            <w:r w:rsidRPr="00167CB8">
              <w:t>31.1</w:t>
            </w:r>
          </w:p>
        </w:tc>
        <w:tc>
          <w:tcPr>
            <w:tcW w:w="1967" w:type="dxa"/>
            <w:tcBorders>
              <w:top w:val="nil"/>
              <w:left w:val="nil"/>
              <w:bottom w:val="single" w:sz="4" w:space="0" w:color="auto"/>
              <w:right w:val="nil"/>
            </w:tcBorders>
            <w:noWrap/>
            <w:vAlign w:val="bottom"/>
            <w:hideMark/>
          </w:tcPr>
          <w:p w14:paraId="42A27BE8" w14:textId="77777777" w:rsidR="007A6A1A" w:rsidRPr="00167CB8" w:rsidRDefault="007A6A1A" w:rsidP="00DA2417">
            <w:pPr>
              <w:spacing w:after="0" w:line="240" w:lineRule="auto"/>
            </w:pPr>
            <w:r w:rsidRPr="00167CB8">
              <w:t>2.8</w:t>
            </w:r>
          </w:p>
        </w:tc>
        <w:tc>
          <w:tcPr>
            <w:tcW w:w="1403" w:type="dxa"/>
            <w:tcBorders>
              <w:top w:val="nil"/>
              <w:left w:val="nil"/>
              <w:bottom w:val="single" w:sz="4" w:space="0" w:color="auto"/>
              <w:right w:val="single" w:sz="4" w:space="0" w:color="auto"/>
            </w:tcBorders>
            <w:noWrap/>
            <w:vAlign w:val="bottom"/>
            <w:hideMark/>
          </w:tcPr>
          <w:p w14:paraId="6E784FAA" w14:textId="77777777" w:rsidR="007A6A1A" w:rsidRPr="00167CB8" w:rsidRDefault="007A6A1A" w:rsidP="00DA2417">
            <w:pPr>
              <w:spacing w:after="0" w:line="240" w:lineRule="auto"/>
            </w:pPr>
            <w:r w:rsidRPr="00167CB8">
              <w:t>33.3</w:t>
            </w:r>
          </w:p>
        </w:tc>
      </w:tr>
    </w:tbl>
    <w:p w14:paraId="52E6874D" w14:textId="5DE0F051" w:rsidR="00C87E4A" w:rsidRPr="00167CB8" w:rsidRDefault="007A6A1A" w:rsidP="00C87E4A">
      <w:pPr>
        <w:pStyle w:val="Source"/>
      </w:pPr>
      <w:r w:rsidRPr="00167CB8">
        <w:rPr>
          <w:b/>
          <w:bCs/>
        </w:rPr>
        <w:t xml:space="preserve">Notes: </w:t>
      </w:r>
      <w:r w:rsidR="00C87E4A" w:rsidRPr="00167CB8">
        <w:t xml:space="preserve">1. </w:t>
      </w:r>
      <w:r w:rsidRPr="00167CB8">
        <w:t>Sample consists of respondents aged 21 to 64 who are employees, have an observable wage and work more than 5 hours per week in their main job and fewer than 60 hours per week in their main job. It excludes those who do not know how their pay is set or who refused to answer. It also excludes a small share of respondents whose pay is set by some other means</w:t>
      </w:r>
      <w:r w:rsidR="00172D51">
        <w:t xml:space="preserve">; </w:t>
      </w:r>
      <w:r w:rsidR="00C87E4A" w:rsidRPr="00167CB8">
        <w:t xml:space="preserve">2. </w:t>
      </w:r>
      <w:r w:rsidRPr="00167CB8">
        <w:t xml:space="preserve">Data are pooled for each of </w:t>
      </w:r>
      <w:r w:rsidR="00A14864" w:rsidRPr="00167CB8">
        <w:t xml:space="preserve">2 </w:t>
      </w:r>
      <w:r w:rsidRPr="00167CB8">
        <w:t>waves to increase the sample size</w:t>
      </w:r>
      <w:r w:rsidR="00172D51">
        <w:t xml:space="preserve">; </w:t>
      </w:r>
      <w:r w:rsidR="00C87E4A" w:rsidRPr="00167CB8">
        <w:t xml:space="preserve">3. </w:t>
      </w:r>
      <w:r w:rsidRPr="00167CB8">
        <w:t>CA = collective (enterprise) agreement; IA = individual arrangement; Combination = combination of CA and IA; Award = award only</w:t>
      </w:r>
      <w:r w:rsidR="00172D51">
        <w:t xml:space="preserve">; </w:t>
      </w:r>
      <w:r w:rsidR="00C87E4A" w:rsidRPr="00167CB8">
        <w:t xml:space="preserve">4. </w:t>
      </w:r>
      <w:r w:rsidRPr="00167CB8">
        <w:t>Estimates weighted to reflect population totals</w:t>
      </w:r>
      <w:r w:rsidR="00172D51">
        <w:t xml:space="preserve">; </w:t>
      </w:r>
      <w:r w:rsidR="00172D51" w:rsidRPr="00172D51">
        <w:rPr>
          <w:b/>
          <w:bCs/>
        </w:rPr>
        <w:t>S</w:t>
      </w:r>
      <w:r w:rsidR="00C87E4A" w:rsidRPr="00167CB8">
        <w:rPr>
          <w:b/>
          <w:bCs/>
        </w:rPr>
        <w:t>ource:</w:t>
      </w:r>
      <w:r w:rsidR="00C87E4A" w:rsidRPr="00167CB8">
        <w:t xml:space="preserve"> Household, Income and Labour Dynamics in Australia (HILDA) survey, waves 8</w:t>
      </w:r>
      <w:r w:rsidR="00C87E4A" w:rsidRPr="00167CB8">
        <w:rPr>
          <w:rFonts w:ascii="Symbol" w:eastAsia="Symbol" w:hAnsi="Symbol" w:cs="Symbol"/>
        </w:rPr>
        <w:sym w:font="Symbol" w:char="F02D"/>
      </w:r>
      <w:r w:rsidR="00C87E4A" w:rsidRPr="00167CB8">
        <w:t>23.</w:t>
      </w:r>
    </w:p>
    <w:p w14:paraId="650D647E" w14:textId="4248F3B4" w:rsidR="007A6A1A" w:rsidRPr="00167CB8" w:rsidRDefault="007A6A1A" w:rsidP="00C87E4A">
      <w:pPr>
        <w:pStyle w:val="Source"/>
      </w:pPr>
      <w:r w:rsidRPr="00167CB8">
        <w:rPr>
          <w:b/>
          <w:bCs/>
        </w:rPr>
        <w:t>Alt-text:</w:t>
      </w:r>
      <w:r w:rsidRPr="00167CB8">
        <w:t xml:space="preserve"> A table showing how pay was set for full-timers and part-timers between 2008 and 2023. In 2023</w:t>
      </w:r>
      <w:r w:rsidR="00C87E4A" w:rsidRPr="00167CB8">
        <w:t>,</w:t>
      </w:r>
      <w:r w:rsidRPr="00167CB8">
        <w:t xml:space="preserve"> 15% of full-timers had their pay set by the award only. This compares to 33% among part-timers. </w:t>
      </w:r>
    </w:p>
    <w:p w14:paraId="4DD52E68" w14:textId="77777777" w:rsidR="007A6A1A" w:rsidRPr="00167CB8" w:rsidRDefault="007A6A1A" w:rsidP="007A6A1A">
      <w:pPr>
        <w:spacing w:after="160"/>
        <w:sectPr w:rsidR="007A6A1A" w:rsidRPr="00167CB8" w:rsidSect="007A6A1A">
          <w:pgSz w:w="16838" w:h="11906" w:orient="landscape"/>
          <w:pgMar w:top="1440" w:right="1440" w:bottom="1440" w:left="1440" w:header="708" w:footer="708" w:gutter="0"/>
          <w:cols w:space="720"/>
        </w:sectPr>
      </w:pPr>
    </w:p>
    <w:p w14:paraId="0662368F" w14:textId="221CDFF7" w:rsidR="007A6A1A" w:rsidRPr="00167CB8" w:rsidRDefault="007A6A1A" w:rsidP="007A6A1A">
      <w:pPr>
        <w:spacing w:after="160"/>
      </w:pPr>
      <w:r w:rsidRPr="00167CB8">
        <w:lastRenderedPageBreak/>
        <w:t xml:space="preserve">Figure </w:t>
      </w:r>
      <w:r w:rsidR="00B83C1A" w:rsidRPr="00167CB8">
        <w:t>44</w:t>
      </w:r>
      <w:r w:rsidRPr="00167CB8">
        <w:t xml:space="preserve"> shows trends in the hourly wages by gender and method of pay setting. Those paid exactly the award rate, on average, receive lower hourly earnings than those on a collective or individual agreement. </w:t>
      </w:r>
    </w:p>
    <w:p w14:paraId="02E7FD89" w14:textId="4EFB193A" w:rsidR="007A6A1A" w:rsidRPr="00167CB8" w:rsidRDefault="007A6A1A" w:rsidP="00470AB9">
      <w:pPr>
        <w:pStyle w:val="Caption"/>
      </w:pPr>
      <w:bookmarkStart w:id="812" w:name="_Toc186991799"/>
      <w:bookmarkStart w:id="813" w:name="_Toc189310832"/>
      <w:r w:rsidRPr="00167CB8">
        <w:t xml:space="preserve">Figure </w:t>
      </w:r>
      <w:r w:rsidR="00804182" w:rsidRPr="00167CB8">
        <w:t>44</w:t>
      </w:r>
      <w:r w:rsidRPr="00167CB8">
        <w:t>: Trends in the natural logarithm of hourly wages by method of pay setting, Australia, 2008 to 2022</w:t>
      </w:r>
      <w:bookmarkEnd w:id="812"/>
      <w:bookmarkEnd w:id="813"/>
    </w:p>
    <w:p w14:paraId="18F62B5E" w14:textId="77777777" w:rsidR="007A6A1A" w:rsidRPr="00167CB8" w:rsidRDefault="007A6A1A" w:rsidP="007A6A1A">
      <w:pPr>
        <w:spacing w:after="160"/>
      </w:pPr>
      <w:r w:rsidRPr="00167CB8">
        <w:rPr>
          <w:noProof/>
        </w:rPr>
        <w:drawing>
          <wp:inline distT="0" distB="0" distL="0" distR="0" wp14:anchorId="1C66FD27" wp14:editId="360A83EE">
            <wp:extent cx="5686425" cy="3714750"/>
            <wp:effectExtent l="0" t="0" r="9525" b="0"/>
            <wp:docPr id="575308351" name="Picture 4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8" descr="A graph of different colored lines&#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86425" cy="3714750"/>
                    </a:xfrm>
                    <a:prstGeom prst="rect">
                      <a:avLst/>
                    </a:prstGeom>
                    <a:noFill/>
                    <a:ln>
                      <a:noFill/>
                    </a:ln>
                  </pic:spPr>
                </pic:pic>
              </a:graphicData>
            </a:graphic>
          </wp:inline>
        </w:drawing>
      </w:r>
    </w:p>
    <w:p w14:paraId="61268F50" w14:textId="428EC827" w:rsidR="00C87E4A" w:rsidRPr="00167CB8" w:rsidRDefault="00C87E4A" w:rsidP="00C87E4A">
      <w:pPr>
        <w:pStyle w:val="Source"/>
        <w:rPr>
          <w:b/>
          <w:bCs/>
        </w:rPr>
      </w:pPr>
      <w:r w:rsidRPr="00167CB8">
        <w:rPr>
          <w:b/>
          <w:bCs/>
        </w:rPr>
        <w:t>Notes:</w:t>
      </w:r>
    </w:p>
    <w:p w14:paraId="36EA6A47" w14:textId="2B98D153" w:rsidR="007A6A1A" w:rsidRPr="00167CB8" w:rsidRDefault="00C87E4A" w:rsidP="00C87E4A">
      <w:pPr>
        <w:pStyle w:val="Source"/>
      </w:pPr>
      <w:r w:rsidRPr="00167CB8">
        <w:t xml:space="preserve">1. </w:t>
      </w:r>
      <w:r w:rsidR="007A6A1A" w:rsidRPr="00167CB8">
        <w:t xml:space="preserve">Sample consists of respondents aged 21 to 64 who are employees, have an observable wage and work between 5 and 60 hours per week in their main job and have observable data on method of pay setting. </w:t>
      </w:r>
    </w:p>
    <w:p w14:paraId="59FBE7F4" w14:textId="017EE82A" w:rsidR="007A6A1A" w:rsidRPr="00167CB8" w:rsidRDefault="00C87E4A" w:rsidP="00C87E4A">
      <w:pPr>
        <w:pStyle w:val="Source"/>
      </w:pPr>
      <w:r w:rsidRPr="00167CB8">
        <w:t xml:space="preserve">2. </w:t>
      </w:r>
      <w:r w:rsidR="007A6A1A" w:rsidRPr="00167CB8">
        <w:t>Estimates are weighted to reflect population totals.</w:t>
      </w:r>
    </w:p>
    <w:p w14:paraId="2FFE6464" w14:textId="5FB63054" w:rsidR="007A6A1A" w:rsidRPr="00167CB8" w:rsidRDefault="00C87E4A" w:rsidP="00C87E4A">
      <w:pPr>
        <w:pStyle w:val="Source"/>
      </w:pPr>
      <w:r w:rsidRPr="00167CB8">
        <w:t xml:space="preserve">3. </w:t>
      </w:r>
      <w:r w:rsidR="007A6A1A" w:rsidRPr="00167CB8">
        <w:t>The outcome variable is the natural logarithm of hourly earnings in the main job in 2022 prices.</w:t>
      </w:r>
    </w:p>
    <w:p w14:paraId="4D5E279E" w14:textId="2C2A04C3" w:rsidR="007A6A1A" w:rsidRPr="00167CB8" w:rsidRDefault="007A6A1A" w:rsidP="00C87E4A">
      <w:pPr>
        <w:pStyle w:val="Source"/>
      </w:pPr>
      <w:r w:rsidRPr="00167CB8">
        <w:rPr>
          <w:b/>
          <w:bCs/>
        </w:rPr>
        <w:t>Source:</w:t>
      </w:r>
      <w:r w:rsidRPr="00167CB8">
        <w:t xml:space="preserve"> HILDA, waves 8</w:t>
      </w:r>
      <w:r w:rsidR="00C87E4A" w:rsidRPr="00167CB8">
        <w:rPr>
          <w:rFonts w:ascii="Symbol" w:eastAsia="Symbol" w:hAnsi="Symbol" w:cs="Symbol"/>
        </w:rPr>
        <w:sym w:font="Symbol" w:char="F02D"/>
      </w:r>
      <w:r w:rsidRPr="00167CB8">
        <w:t>22.</w:t>
      </w:r>
    </w:p>
    <w:p w14:paraId="41A0575A" w14:textId="2D3643DC" w:rsidR="007A6A1A" w:rsidRPr="00167CB8" w:rsidRDefault="007A6A1A" w:rsidP="00C87E4A">
      <w:pPr>
        <w:pStyle w:val="Source"/>
      </w:pPr>
      <w:r w:rsidRPr="00167CB8">
        <w:rPr>
          <w:b/>
          <w:bCs/>
        </w:rPr>
        <w:t>Alt-text:</w:t>
      </w:r>
      <w:r w:rsidRPr="00167CB8">
        <w:t xml:space="preserve"> A line chart showing trends in the natural logarithm of hourly wages (in 2022 prices). Wage growth between 2008 and 2022 is slowest among men who are paid exactly according to the </w:t>
      </w:r>
      <w:r w:rsidR="00C87E4A" w:rsidRPr="00167CB8">
        <w:t>a</w:t>
      </w:r>
      <w:r w:rsidRPr="00167CB8">
        <w:t>ward and highest among women who are paid according to a collective agreement.</w:t>
      </w:r>
    </w:p>
    <w:p w14:paraId="2EAF6E42" w14:textId="77777777" w:rsidR="007A6A1A" w:rsidRPr="00167CB8" w:rsidRDefault="007A6A1A" w:rsidP="007A6A1A">
      <w:pPr>
        <w:spacing w:after="160"/>
        <w:rPr>
          <w:i/>
          <w:iCs/>
        </w:rPr>
      </w:pPr>
      <w:r w:rsidRPr="00167CB8">
        <w:br w:type="page"/>
      </w:r>
    </w:p>
    <w:p w14:paraId="4217F08C" w14:textId="12039FEA" w:rsidR="007A6A1A" w:rsidRPr="00167CB8" w:rsidRDefault="007A6A1A" w:rsidP="007A6A1A">
      <w:pPr>
        <w:spacing w:after="160"/>
      </w:pPr>
      <w:r w:rsidRPr="00167CB8">
        <w:lastRenderedPageBreak/>
        <w:t xml:space="preserve">Table </w:t>
      </w:r>
      <w:r w:rsidR="000F539E" w:rsidRPr="00167CB8">
        <w:t>49</w:t>
      </w:r>
      <w:r w:rsidR="00776BA5">
        <w:t xml:space="preserve"> </w:t>
      </w:r>
      <w:r w:rsidRPr="00167CB8">
        <w:t xml:space="preserve">provides further insight into the nature of pay setting in Australia. In columns 1 and 2 the sample is constrained to employees who work full-time in their main job. Columns 3 and 4 present summary statistics for those employed part-time. The sample excludes full-time students. </w:t>
      </w:r>
    </w:p>
    <w:p w14:paraId="2B740C58" w14:textId="49E2841D" w:rsidR="007A6A1A" w:rsidRPr="00167CB8" w:rsidRDefault="007A6A1A" w:rsidP="007A6A1A">
      <w:pPr>
        <w:spacing w:after="160"/>
      </w:pPr>
      <w:r w:rsidRPr="00167CB8">
        <w:t>Estimates in column 1 show that, in the period 2012</w:t>
      </w:r>
      <w:r w:rsidR="00C87E4A" w:rsidRPr="00167CB8">
        <w:rPr>
          <w:rFonts w:ascii="Symbol" w:eastAsia="Symbol" w:hAnsi="Symbol" w:cs="Symbol"/>
        </w:rPr>
        <w:sym w:font="Symbol" w:char="F02D"/>
      </w:r>
      <w:r w:rsidRPr="00167CB8">
        <w:t xml:space="preserve">22, 37.7% of male employees working full-time had their pay set by a collective agreement. The corresponding share among women was lower at 32.7%. </w:t>
      </w:r>
    </w:p>
    <w:p w14:paraId="1E0A4B83" w14:textId="31FDAA72" w:rsidR="007A6A1A" w:rsidRPr="00167CB8" w:rsidRDefault="007A6A1A" w:rsidP="007A6A1A">
      <w:pPr>
        <w:spacing w:after="160"/>
      </w:pPr>
      <w:r w:rsidRPr="00167CB8">
        <w:t>Columns 3 and 4 show that persons working part-time are more likely than those working full-time to be paid according to the award. Part-timers are also more likely to be casual (38.5% of men and 36.1% of women).</w:t>
      </w:r>
      <w:r w:rsidRPr="00167CB8">
        <w:rPr>
          <w:vertAlign w:val="superscript"/>
        </w:rPr>
        <w:footnoteReference w:id="1098"/>
      </w:r>
    </w:p>
    <w:p w14:paraId="670E1FC7" w14:textId="77777777" w:rsidR="007A6A1A" w:rsidRPr="00167CB8" w:rsidRDefault="007A6A1A" w:rsidP="007A6A1A">
      <w:pPr>
        <w:spacing w:after="160"/>
        <w:rPr>
          <w:i/>
          <w:iCs/>
        </w:rPr>
      </w:pPr>
      <w:r w:rsidRPr="00167CB8">
        <w:br w:type="page"/>
      </w:r>
    </w:p>
    <w:p w14:paraId="23E5F979" w14:textId="301A7F51" w:rsidR="007A6A1A" w:rsidRPr="00167CB8" w:rsidRDefault="007A6A1A" w:rsidP="00470AB9">
      <w:pPr>
        <w:pStyle w:val="Caption"/>
      </w:pPr>
      <w:bookmarkStart w:id="814" w:name="_Toc186991827"/>
      <w:bookmarkStart w:id="815" w:name="_Toc189310878"/>
      <w:r w:rsidRPr="00167CB8">
        <w:lastRenderedPageBreak/>
        <w:t xml:space="preserve">Table </w:t>
      </w:r>
      <w:r w:rsidR="004B064A" w:rsidRPr="00167CB8">
        <w:t>49</w:t>
      </w:r>
      <w:r w:rsidRPr="00167CB8">
        <w:t>: Descriptive statistics concerning employees in Australia, 2012</w:t>
      </w:r>
      <w:r w:rsidR="00C87E4A" w:rsidRPr="00167CB8">
        <w:rPr>
          <w:rFonts w:ascii="Symbol" w:eastAsia="Symbol" w:hAnsi="Symbol" w:cs="Symbol"/>
        </w:rPr>
        <w:sym w:font="Symbol" w:char="F02D"/>
      </w:r>
      <w:r w:rsidRPr="00167CB8">
        <w:t>2022 (pooled)</w:t>
      </w:r>
      <w:bookmarkEnd w:id="814"/>
      <w:bookmarkEnd w:id="815"/>
    </w:p>
    <w:tbl>
      <w:tblPr>
        <w:tblW w:w="92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3"/>
        <w:gridCol w:w="1134"/>
        <w:gridCol w:w="1147"/>
        <w:gridCol w:w="6"/>
        <w:gridCol w:w="1141"/>
        <w:gridCol w:w="1147"/>
      </w:tblGrid>
      <w:tr w:rsidR="007A6A1A" w:rsidRPr="00167CB8" w14:paraId="2A375061" w14:textId="77777777" w:rsidTr="00DD02AC">
        <w:trPr>
          <w:trHeight w:val="397"/>
        </w:trPr>
        <w:tc>
          <w:tcPr>
            <w:tcW w:w="4673" w:type="dxa"/>
            <w:tcBorders>
              <w:top w:val="single" w:sz="4" w:space="0" w:color="auto"/>
              <w:left w:val="single" w:sz="4" w:space="0" w:color="auto"/>
              <w:bottom w:val="nil"/>
              <w:right w:val="nil"/>
            </w:tcBorders>
            <w:noWrap/>
            <w:vAlign w:val="bottom"/>
          </w:tcPr>
          <w:p w14:paraId="48A06B2D" w14:textId="77777777" w:rsidR="007A6A1A" w:rsidRPr="00DD02AC" w:rsidRDefault="007A6A1A" w:rsidP="00DD02AC">
            <w:pPr>
              <w:spacing w:after="0" w:line="240" w:lineRule="auto"/>
              <w:rPr>
                <w:b/>
                <w:bCs/>
                <w:sz w:val="20"/>
                <w:szCs w:val="20"/>
              </w:rPr>
            </w:pPr>
          </w:p>
        </w:tc>
        <w:tc>
          <w:tcPr>
            <w:tcW w:w="2287" w:type="dxa"/>
            <w:gridSpan w:val="3"/>
            <w:tcBorders>
              <w:top w:val="single" w:sz="4" w:space="0" w:color="auto"/>
              <w:left w:val="nil"/>
              <w:bottom w:val="nil"/>
              <w:right w:val="nil"/>
            </w:tcBorders>
            <w:noWrap/>
            <w:vAlign w:val="center"/>
            <w:hideMark/>
          </w:tcPr>
          <w:p w14:paraId="4D3C7D7B" w14:textId="77777777" w:rsidR="007A6A1A" w:rsidRPr="00DD02AC" w:rsidRDefault="007A6A1A" w:rsidP="00DD02AC">
            <w:pPr>
              <w:spacing w:after="0" w:line="240" w:lineRule="auto"/>
              <w:rPr>
                <w:b/>
                <w:bCs/>
                <w:sz w:val="20"/>
                <w:szCs w:val="20"/>
              </w:rPr>
            </w:pPr>
            <w:r w:rsidRPr="00DD02AC">
              <w:rPr>
                <w:b/>
                <w:bCs/>
                <w:sz w:val="20"/>
                <w:szCs w:val="20"/>
              </w:rPr>
              <w:t>Employed full-time main job (&gt;=35 hours per week)</w:t>
            </w:r>
          </w:p>
        </w:tc>
        <w:tc>
          <w:tcPr>
            <w:tcW w:w="2288" w:type="dxa"/>
            <w:gridSpan w:val="2"/>
            <w:tcBorders>
              <w:top w:val="single" w:sz="4" w:space="0" w:color="auto"/>
              <w:left w:val="nil"/>
              <w:bottom w:val="nil"/>
              <w:right w:val="single" w:sz="4" w:space="0" w:color="auto"/>
            </w:tcBorders>
            <w:vAlign w:val="center"/>
            <w:hideMark/>
          </w:tcPr>
          <w:p w14:paraId="24A6B33F" w14:textId="77777777" w:rsidR="007A6A1A" w:rsidRPr="00DD02AC" w:rsidRDefault="007A6A1A" w:rsidP="00DD02AC">
            <w:pPr>
              <w:spacing w:after="0" w:line="240" w:lineRule="auto"/>
              <w:rPr>
                <w:b/>
                <w:bCs/>
                <w:sz w:val="20"/>
                <w:szCs w:val="20"/>
              </w:rPr>
            </w:pPr>
            <w:r w:rsidRPr="00DD02AC">
              <w:rPr>
                <w:b/>
                <w:bCs/>
                <w:sz w:val="20"/>
                <w:szCs w:val="20"/>
              </w:rPr>
              <w:t>Employed part-time main job (fewer than 35 hours per week)</w:t>
            </w:r>
          </w:p>
        </w:tc>
      </w:tr>
      <w:tr w:rsidR="007A6A1A" w:rsidRPr="00167CB8" w14:paraId="43CDA0A1" w14:textId="77777777" w:rsidTr="00DD02AC">
        <w:trPr>
          <w:trHeight w:val="397"/>
        </w:trPr>
        <w:tc>
          <w:tcPr>
            <w:tcW w:w="4673" w:type="dxa"/>
            <w:tcBorders>
              <w:top w:val="nil"/>
              <w:left w:val="single" w:sz="4" w:space="0" w:color="auto"/>
              <w:bottom w:val="single" w:sz="4" w:space="0" w:color="auto"/>
              <w:right w:val="nil"/>
            </w:tcBorders>
            <w:noWrap/>
            <w:vAlign w:val="bottom"/>
            <w:hideMark/>
          </w:tcPr>
          <w:p w14:paraId="27136092" w14:textId="77777777" w:rsidR="007A6A1A" w:rsidRPr="00DD02AC" w:rsidRDefault="007A6A1A" w:rsidP="00DD02AC">
            <w:pPr>
              <w:spacing w:after="0" w:line="240" w:lineRule="auto"/>
              <w:rPr>
                <w:b/>
                <w:bCs/>
                <w:sz w:val="20"/>
                <w:szCs w:val="20"/>
              </w:rPr>
            </w:pPr>
          </w:p>
        </w:tc>
        <w:tc>
          <w:tcPr>
            <w:tcW w:w="1134" w:type="dxa"/>
            <w:tcBorders>
              <w:top w:val="nil"/>
              <w:left w:val="nil"/>
              <w:bottom w:val="single" w:sz="4" w:space="0" w:color="auto"/>
              <w:right w:val="nil"/>
            </w:tcBorders>
            <w:noWrap/>
            <w:vAlign w:val="center"/>
            <w:hideMark/>
          </w:tcPr>
          <w:p w14:paraId="2D6C97E2" w14:textId="77777777" w:rsidR="007A6A1A" w:rsidRPr="00DD02AC" w:rsidRDefault="007A6A1A" w:rsidP="00DD02AC">
            <w:pPr>
              <w:spacing w:after="0" w:line="240" w:lineRule="auto"/>
              <w:rPr>
                <w:b/>
                <w:bCs/>
                <w:sz w:val="20"/>
                <w:szCs w:val="20"/>
              </w:rPr>
            </w:pPr>
            <w:r w:rsidRPr="00DD02AC">
              <w:rPr>
                <w:b/>
                <w:bCs/>
                <w:sz w:val="20"/>
                <w:szCs w:val="20"/>
              </w:rPr>
              <w:t>Men</w:t>
            </w:r>
          </w:p>
        </w:tc>
        <w:tc>
          <w:tcPr>
            <w:tcW w:w="1147" w:type="dxa"/>
            <w:tcBorders>
              <w:top w:val="nil"/>
              <w:left w:val="nil"/>
              <w:bottom w:val="single" w:sz="4" w:space="0" w:color="auto"/>
              <w:right w:val="nil"/>
            </w:tcBorders>
            <w:noWrap/>
            <w:vAlign w:val="center"/>
            <w:hideMark/>
          </w:tcPr>
          <w:p w14:paraId="3A0B8095" w14:textId="77777777" w:rsidR="007A6A1A" w:rsidRPr="00DD02AC" w:rsidRDefault="007A6A1A" w:rsidP="00DD02AC">
            <w:pPr>
              <w:spacing w:after="0" w:line="240" w:lineRule="auto"/>
              <w:rPr>
                <w:b/>
                <w:bCs/>
                <w:sz w:val="20"/>
                <w:szCs w:val="20"/>
              </w:rPr>
            </w:pPr>
            <w:r w:rsidRPr="00DD02AC">
              <w:rPr>
                <w:b/>
                <w:bCs/>
                <w:sz w:val="20"/>
                <w:szCs w:val="20"/>
              </w:rPr>
              <w:t>Women</w:t>
            </w:r>
          </w:p>
        </w:tc>
        <w:tc>
          <w:tcPr>
            <w:tcW w:w="1147" w:type="dxa"/>
            <w:gridSpan w:val="2"/>
            <w:tcBorders>
              <w:top w:val="nil"/>
              <w:left w:val="nil"/>
              <w:bottom w:val="single" w:sz="4" w:space="0" w:color="auto"/>
              <w:right w:val="nil"/>
            </w:tcBorders>
            <w:vAlign w:val="center"/>
            <w:hideMark/>
          </w:tcPr>
          <w:p w14:paraId="6650B8E8" w14:textId="77777777" w:rsidR="007A6A1A" w:rsidRPr="00DD02AC" w:rsidRDefault="007A6A1A" w:rsidP="00DD02AC">
            <w:pPr>
              <w:spacing w:after="0" w:line="240" w:lineRule="auto"/>
              <w:rPr>
                <w:b/>
                <w:bCs/>
                <w:sz w:val="20"/>
                <w:szCs w:val="20"/>
              </w:rPr>
            </w:pPr>
            <w:r w:rsidRPr="00DD02AC">
              <w:rPr>
                <w:b/>
                <w:bCs/>
                <w:sz w:val="20"/>
                <w:szCs w:val="20"/>
              </w:rPr>
              <w:t>Men</w:t>
            </w:r>
          </w:p>
        </w:tc>
        <w:tc>
          <w:tcPr>
            <w:tcW w:w="1147" w:type="dxa"/>
            <w:tcBorders>
              <w:top w:val="nil"/>
              <w:left w:val="nil"/>
              <w:bottom w:val="single" w:sz="4" w:space="0" w:color="auto"/>
              <w:right w:val="single" w:sz="4" w:space="0" w:color="auto"/>
            </w:tcBorders>
            <w:vAlign w:val="center"/>
            <w:hideMark/>
          </w:tcPr>
          <w:p w14:paraId="41D281E2" w14:textId="77777777" w:rsidR="007A6A1A" w:rsidRPr="00DD02AC" w:rsidRDefault="007A6A1A" w:rsidP="00DD02AC">
            <w:pPr>
              <w:spacing w:after="0" w:line="240" w:lineRule="auto"/>
              <w:rPr>
                <w:b/>
                <w:bCs/>
                <w:sz w:val="20"/>
                <w:szCs w:val="20"/>
              </w:rPr>
            </w:pPr>
            <w:r w:rsidRPr="00DD02AC">
              <w:rPr>
                <w:b/>
                <w:bCs/>
                <w:sz w:val="20"/>
                <w:szCs w:val="20"/>
              </w:rPr>
              <w:t>Women</w:t>
            </w:r>
          </w:p>
        </w:tc>
      </w:tr>
      <w:tr w:rsidR="007A6A1A" w:rsidRPr="00167CB8" w14:paraId="41C47BE0" w14:textId="77777777" w:rsidTr="00DD02AC">
        <w:trPr>
          <w:trHeight w:val="340"/>
        </w:trPr>
        <w:tc>
          <w:tcPr>
            <w:tcW w:w="4673" w:type="dxa"/>
            <w:tcBorders>
              <w:top w:val="single" w:sz="4" w:space="0" w:color="auto"/>
              <w:left w:val="single" w:sz="4" w:space="0" w:color="auto"/>
              <w:bottom w:val="nil"/>
              <w:right w:val="nil"/>
            </w:tcBorders>
            <w:noWrap/>
            <w:vAlign w:val="center"/>
          </w:tcPr>
          <w:p w14:paraId="42981F0C" w14:textId="77777777" w:rsidR="007A6A1A" w:rsidRPr="00DD02AC" w:rsidRDefault="007A6A1A" w:rsidP="00DD02AC">
            <w:pPr>
              <w:spacing w:after="0" w:line="240" w:lineRule="auto"/>
              <w:rPr>
                <w:sz w:val="20"/>
                <w:szCs w:val="20"/>
              </w:rPr>
            </w:pPr>
          </w:p>
        </w:tc>
        <w:tc>
          <w:tcPr>
            <w:tcW w:w="1134" w:type="dxa"/>
            <w:tcBorders>
              <w:top w:val="single" w:sz="4" w:space="0" w:color="auto"/>
              <w:left w:val="nil"/>
              <w:bottom w:val="nil"/>
              <w:right w:val="nil"/>
            </w:tcBorders>
            <w:noWrap/>
            <w:vAlign w:val="center"/>
            <w:hideMark/>
          </w:tcPr>
          <w:p w14:paraId="60EBF20A" w14:textId="77777777" w:rsidR="007A6A1A" w:rsidRPr="00DD02AC" w:rsidRDefault="007A6A1A" w:rsidP="00DD02AC">
            <w:pPr>
              <w:spacing w:after="0" w:line="240" w:lineRule="auto"/>
              <w:rPr>
                <w:sz w:val="20"/>
                <w:szCs w:val="20"/>
              </w:rPr>
            </w:pPr>
            <w:r w:rsidRPr="00DD02AC">
              <w:rPr>
                <w:sz w:val="20"/>
                <w:szCs w:val="20"/>
              </w:rPr>
              <w:t>(1)</w:t>
            </w:r>
          </w:p>
        </w:tc>
        <w:tc>
          <w:tcPr>
            <w:tcW w:w="1147" w:type="dxa"/>
            <w:tcBorders>
              <w:top w:val="single" w:sz="4" w:space="0" w:color="auto"/>
              <w:left w:val="nil"/>
              <w:bottom w:val="nil"/>
              <w:right w:val="nil"/>
            </w:tcBorders>
            <w:noWrap/>
            <w:vAlign w:val="center"/>
            <w:hideMark/>
          </w:tcPr>
          <w:p w14:paraId="56B14BF0" w14:textId="77777777" w:rsidR="007A6A1A" w:rsidRPr="00DD02AC" w:rsidRDefault="007A6A1A" w:rsidP="00DD02AC">
            <w:pPr>
              <w:spacing w:after="0" w:line="240" w:lineRule="auto"/>
              <w:rPr>
                <w:sz w:val="20"/>
                <w:szCs w:val="20"/>
              </w:rPr>
            </w:pPr>
            <w:r w:rsidRPr="00DD02AC">
              <w:rPr>
                <w:sz w:val="20"/>
                <w:szCs w:val="20"/>
              </w:rPr>
              <w:t>(2)</w:t>
            </w:r>
          </w:p>
        </w:tc>
        <w:tc>
          <w:tcPr>
            <w:tcW w:w="1147" w:type="dxa"/>
            <w:gridSpan w:val="2"/>
            <w:tcBorders>
              <w:top w:val="single" w:sz="4" w:space="0" w:color="auto"/>
              <w:left w:val="nil"/>
              <w:bottom w:val="nil"/>
              <w:right w:val="nil"/>
            </w:tcBorders>
            <w:vAlign w:val="center"/>
            <w:hideMark/>
          </w:tcPr>
          <w:p w14:paraId="6ABB1C03" w14:textId="77777777" w:rsidR="007A6A1A" w:rsidRPr="00DD02AC" w:rsidRDefault="007A6A1A" w:rsidP="00DD02AC">
            <w:pPr>
              <w:spacing w:after="0" w:line="240" w:lineRule="auto"/>
              <w:rPr>
                <w:sz w:val="20"/>
                <w:szCs w:val="20"/>
              </w:rPr>
            </w:pPr>
            <w:r w:rsidRPr="00DD02AC">
              <w:rPr>
                <w:sz w:val="20"/>
                <w:szCs w:val="20"/>
              </w:rPr>
              <w:t>(3)</w:t>
            </w:r>
          </w:p>
        </w:tc>
        <w:tc>
          <w:tcPr>
            <w:tcW w:w="1147" w:type="dxa"/>
            <w:tcBorders>
              <w:top w:val="single" w:sz="4" w:space="0" w:color="auto"/>
              <w:left w:val="nil"/>
              <w:bottom w:val="nil"/>
              <w:right w:val="single" w:sz="4" w:space="0" w:color="auto"/>
            </w:tcBorders>
            <w:vAlign w:val="center"/>
            <w:hideMark/>
          </w:tcPr>
          <w:p w14:paraId="272E9986" w14:textId="77777777" w:rsidR="007A6A1A" w:rsidRPr="00DD02AC" w:rsidRDefault="007A6A1A" w:rsidP="00DD02AC">
            <w:pPr>
              <w:spacing w:after="0" w:line="240" w:lineRule="auto"/>
              <w:rPr>
                <w:sz w:val="20"/>
                <w:szCs w:val="20"/>
              </w:rPr>
            </w:pPr>
            <w:r w:rsidRPr="00DD02AC">
              <w:rPr>
                <w:sz w:val="20"/>
                <w:szCs w:val="20"/>
              </w:rPr>
              <w:t>(4)</w:t>
            </w:r>
          </w:p>
        </w:tc>
      </w:tr>
      <w:tr w:rsidR="007A6A1A" w:rsidRPr="00167CB8" w14:paraId="08B7405B" w14:textId="77777777" w:rsidTr="00DD02AC">
        <w:trPr>
          <w:trHeight w:val="340"/>
        </w:trPr>
        <w:tc>
          <w:tcPr>
            <w:tcW w:w="4673" w:type="dxa"/>
            <w:tcBorders>
              <w:top w:val="nil"/>
              <w:left w:val="single" w:sz="4" w:space="0" w:color="auto"/>
              <w:bottom w:val="nil"/>
              <w:right w:val="nil"/>
            </w:tcBorders>
            <w:noWrap/>
            <w:vAlign w:val="center"/>
            <w:hideMark/>
          </w:tcPr>
          <w:p w14:paraId="29D1242E" w14:textId="77777777" w:rsidR="007A6A1A" w:rsidRPr="00DD02AC" w:rsidRDefault="007A6A1A" w:rsidP="00DD02AC">
            <w:pPr>
              <w:spacing w:after="0" w:line="240" w:lineRule="auto"/>
              <w:rPr>
                <w:sz w:val="20"/>
                <w:szCs w:val="20"/>
              </w:rPr>
            </w:pPr>
            <w:r w:rsidRPr="00DD02AC">
              <w:rPr>
                <w:sz w:val="20"/>
                <w:szCs w:val="20"/>
              </w:rPr>
              <w:t>Weekly wage main job (in 2022 prices)</w:t>
            </w:r>
          </w:p>
        </w:tc>
        <w:tc>
          <w:tcPr>
            <w:tcW w:w="1134" w:type="dxa"/>
            <w:tcBorders>
              <w:top w:val="nil"/>
              <w:left w:val="nil"/>
              <w:bottom w:val="nil"/>
              <w:right w:val="nil"/>
            </w:tcBorders>
            <w:noWrap/>
            <w:vAlign w:val="center"/>
            <w:hideMark/>
          </w:tcPr>
          <w:p w14:paraId="5765D073" w14:textId="77777777" w:rsidR="007A6A1A" w:rsidRPr="00DD02AC" w:rsidRDefault="007A6A1A" w:rsidP="00DD02AC">
            <w:pPr>
              <w:spacing w:after="0" w:line="240" w:lineRule="auto"/>
              <w:rPr>
                <w:sz w:val="20"/>
                <w:szCs w:val="20"/>
              </w:rPr>
            </w:pPr>
            <w:r w:rsidRPr="00DD02AC">
              <w:rPr>
                <w:sz w:val="20"/>
                <w:szCs w:val="20"/>
              </w:rPr>
              <w:t>$1,766.7</w:t>
            </w:r>
          </w:p>
        </w:tc>
        <w:tc>
          <w:tcPr>
            <w:tcW w:w="1147" w:type="dxa"/>
            <w:tcBorders>
              <w:top w:val="nil"/>
              <w:left w:val="nil"/>
              <w:bottom w:val="nil"/>
              <w:right w:val="nil"/>
            </w:tcBorders>
            <w:noWrap/>
            <w:vAlign w:val="center"/>
            <w:hideMark/>
          </w:tcPr>
          <w:p w14:paraId="77FAC083" w14:textId="77777777" w:rsidR="007A6A1A" w:rsidRPr="00DD02AC" w:rsidRDefault="007A6A1A" w:rsidP="00DD02AC">
            <w:pPr>
              <w:spacing w:after="0" w:line="240" w:lineRule="auto"/>
              <w:rPr>
                <w:sz w:val="20"/>
                <w:szCs w:val="20"/>
              </w:rPr>
            </w:pPr>
            <w:r w:rsidRPr="00DD02AC">
              <w:rPr>
                <w:sz w:val="20"/>
                <w:szCs w:val="20"/>
              </w:rPr>
              <w:t>$1,476.6</w:t>
            </w:r>
          </w:p>
        </w:tc>
        <w:tc>
          <w:tcPr>
            <w:tcW w:w="1147" w:type="dxa"/>
            <w:gridSpan w:val="2"/>
            <w:tcBorders>
              <w:top w:val="nil"/>
              <w:left w:val="nil"/>
              <w:bottom w:val="nil"/>
              <w:right w:val="nil"/>
            </w:tcBorders>
            <w:vAlign w:val="center"/>
            <w:hideMark/>
          </w:tcPr>
          <w:p w14:paraId="69B861A4" w14:textId="77777777" w:rsidR="007A6A1A" w:rsidRPr="00DD02AC" w:rsidRDefault="007A6A1A" w:rsidP="00DD02AC">
            <w:pPr>
              <w:spacing w:after="0" w:line="240" w:lineRule="auto"/>
              <w:rPr>
                <w:sz w:val="20"/>
                <w:szCs w:val="20"/>
              </w:rPr>
            </w:pPr>
            <w:r w:rsidRPr="00DD02AC">
              <w:rPr>
                <w:sz w:val="20"/>
                <w:szCs w:val="20"/>
              </w:rPr>
              <w:t>$977.6</w:t>
            </w:r>
          </w:p>
        </w:tc>
        <w:tc>
          <w:tcPr>
            <w:tcW w:w="1147" w:type="dxa"/>
            <w:tcBorders>
              <w:top w:val="nil"/>
              <w:left w:val="nil"/>
              <w:bottom w:val="nil"/>
              <w:right w:val="single" w:sz="4" w:space="0" w:color="auto"/>
            </w:tcBorders>
            <w:vAlign w:val="center"/>
            <w:hideMark/>
          </w:tcPr>
          <w:p w14:paraId="6186BAC0" w14:textId="77777777" w:rsidR="007A6A1A" w:rsidRPr="00DD02AC" w:rsidRDefault="007A6A1A" w:rsidP="00DD02AC">
            <w:pPr>
              <w:spacing w:after="0" w:line="240" w:lineRule="auto"/>
              <w:rPr>
                <w:sz w:val="20"/>
                <w:szCs w:val="20"/>
              </w:rPr>
            </w:pPr>
            <w:r w:rsidRPr="00DD02AC">
              <w:rPr>
                <w:sz w:val="20"/>
                <w:szCs w:val="20"/>
              </w:rPr>
              <w:t>$844.1</w:t>
            </w:r>
          </w:p>
        </w:tc>
      </w:tr>
      <w:tr w:rsidR="007A6A1A" w:rsidRPr="00167CB8" w14:paraId="33050ED4" w14:textId="77777777" w:rsidTr="00DD02AC">
        <w:trPr>
          <w:trHeight w:val="340"/>
        </w:trPr>
        <w:tc>
          <w:tcPr>
            <w:tcW w:w="4673" w:type="dxa"/>
            <w:tcBorders>
              <w:top w:val="nil"/>
              <w:left w:val="single" w:sz="4" w:space="0" w:color="auto"/>
              <w:bottom w:val="nil"/>
              <w:right w:val="nil"/>
            </w:tcBorders>
            <w:noWrap/>
            <w:vAlign w:val="center"/>
            <w:hideMark/>
          </w:tcPr>
          <w:p w14:paraId="792C860C" w14:textId="77777777" w:rsidR="007A6A1A" w:rsidRPr="00DD02AC" w:rsidRDefault="007A6A1A" w:rsidP="00DD02AC">
            <w:pPr>
              <w:spacing w:after="0" w:line="240" w:lineRule="auto"/>
              <w:rPr>
                <w:sz w:val="20"/>
                <w:szCs w:val="20"/>
              </w:rPr>
            </w:pPr>
          </w:p>
        </w:tc>
        <w:tc>
          <w:tcPr>
            <w:tcW w:w="1134" w:type="dxa"/>
            <w:tcBorders>
              <w:top w:val="nil"/>
              <w:left w:val="nil"/>
              <w:bottom w:val="nil"/>
              <w:right w:val="nil"/>
            </w:tcBorders>
            <w:noWrap/>
            <w:vAlign w:val="center"/>
            <w:hideMark/>
          </w:tcPr>
          <w:p w14:paraId="3C1F73E5" w14:textId="77777777" w:rsidR="007A6A1A" w:rsidRPr="00DD02AC" w:rsidRDefault="007A6A1A" w:rsidP="00DD02AC">
            <w:pPr>
              <w:spacing w:after="0" w:line="240" w:lineRule="auto"/>
              <w:rPr>
                <w:sz w:val="20"/>
                <w:szCs w:val="20"/>
              </w:rPr>
            </w:pPr>
            <w:r w:rsidRPr="00DD02AC">
              <w:rPr>
                <w:sz w:val="20"/>
                <w:szCs w:val="20"/>
              </w:rPr>
              <w:t>($1,091.8)</w:t>
            </w:r>
          </w:p>
        </w:tc>
        <w:tc>
          <w:tcPr>
            <w:tcW w:w="1147" w:type="dxa"/>
            <w:tcBorders>
              <w:top w:val="nil"/>
              <w:left w:val="nil"/>
              <w:bottom w:val="nil"/>
              <w:right w:val="nil"/>
            </w:tcBorders>
            <w:noWrap/>
            <w:vAlign w:val="center"/>
            <w:hideMark/>
          </w:tcPr>
          <w:p w14:paraId="1DADE3A6" w14:textId="77777777" w:rsidR="007A6A1A" w:rsidRPr="00DD02AC" w:rsidRDefault="007A6A1A" w:rsidP="00DD02AC">
            <w:pPr>
              <w:spacing w:after="0" w:line="240" w:lineRule="auto"/>
              <w:rPr>
                <w:sz w:val="20"/>
                <w:szCs w:val="20"/>
              </w:rPr>
            </w:pPr>
            <w:r w:rsidRPr="00DD02AC">
              <w:rPr>
                <w:sz w:val="20"/>
                <w:szCs w:val="20"/>
              </w:rPr>
              <w:t>($750.7)</w:t>
            </w:r>
          </w:p>
        </w:tc>
        <w:tc>
          <w:tcPr>
            <w:tcW w:w="1147" w:type="dxa"/>
            <w:gridSpan w:val="2"/>
            <w:tcBorders>
              <w:top w:val="nil"/>
              <w:left w:val="nil"/>
              <w:bottom w:val="nil"/>
              <w:right w:val="nil"/>
            </w:tcBorders>
            <w:vAlign w:val="center"/>
            <w:hideMark/>
          </w:tcPr>
          <w:p w14:paraId="33030769" w14:textId="77777777" w:rsidR="007A6A1A" w:rsidRPr="00DD02AC" w:rsidRDefault="007A6A1A" w:rsidP="00DD02AC">
            <w:pPr>
              <w:spacing w:after="0" w:line="240" w:lineRule="auto"/>
              <w:rPr>
                <w:sz w:val="20"/>
                <w:szCs w:val="20"/>
              </w:rPr>
            </w:pPr>
            <w:r w:rsidRPr="00DD02AC">
              <w:rPr>
                <w:sz w:val="20"/>
                <w:szCs w:val="20"/>
              </w:rPr>
              <w:t>($805.9)</w:t>
            </w:r>
          </w:p>
        </w:tc>
        <w:tc>
          <w:tcPr>
            <w:tcW w:w="1147" w:type="dxa"/>
            <w:tcBorders>
              <w:top w:val="nil"/>
              <w:left w:val="nil"/>
              <w:bottom w:val="nil"/>
              <w:right w:val="single" w:sz="4" w:space="0" w:color="auto"/>
            </w:tcBorders>
            <w:vAlign w:val="center"/>
            <w:hideMark/>
          </w:tcPr>
          <w:p w14:paraId="16401227" w14:textId="77777777" w:rsidR="007A6A1A" w:rsidRPr="00DD02AC" w:rsidRDefault="007A6A1A" w:rsidP="00DD02AC">
            <w:pPr>
              <w:spacing w:after="0" w:line="240" w:lineRule="auto"/>
              <w:rPr>
                <w:sz w:val="20"/>
                <w:szCs w:val="20"/>
              </w:rPr>
            </w:pPr>
            <w:r w:rsidRPr="00DD02AC">
              <w:rPr>
                <w:sz w:val="20"/>
                <w:szCs w:val="20"/>
              </w:rPr>
              <w:t>($589.7)</w:t>
            </w:r>
          </w:p>
        </w:tc>
      </w:tr>
      <w:tr w:rsidR="007A6A1A" w:rsidRPr="00167CB8" w14:paraId="4340E761" w14:textId="77777777" w:rsidTr="00DD02AC">
        <w:trPr>
          <w:trHeight w:val="340"/>
        </w:trPr>
        <w:tc>
          <w:tcPr>
            <w:tcW w:w="4673" w:type="dxa"/>
            <w:vMerge w:val="restart"/>
            <w:tcBorders>
              <w:top w:val="nil"/>
              <w:left w:val="single" w:sz="4" w:space="0" w:color="auto"/>
              <w:bottom w:val="nil"/>
              <w:right w:val="nil"/>
            </w:tcBorders>
            <w:noWrap/>
            <w:vAlign w:val="center"/>
            <w:hideMark/>
          </w:tcPr>
          <w:p w14:paraId="64169861" w14:textId="77777777" w:rsidR="007A6A1A" w:rsidRPr="00DD02AC" w:rsidRDefault="007A6A1A" w:rsidP="00DD02AC">
            <w:pPr>
              <w:spacing w:after="0" w:line="240" w:lineRule="auto"/>
              <w:rPr>
                <w:sz w:val="20"/>
                <w:szCs w:val="20"/>
              </w:rPr>
            </w:pPr>
            <w:r w:rsidRPr="00DD02AC">
              <w:rPr>
                <w:sz w:val="20"/>
                <w:szCs w:val="20"/>
              </w:rPr>
              <w:t>Natural logarithm of weekly wage in main job (in 2022 prices)</w:t>
            </w:r>
          </w:p>
        </w:tc>
        <w:tc>
          <w:tcPr>
            <w:tcW w:w="1134" w:type="dxa"/>
            <w:tcBorders>
              <w:top w:val="nil"/>
              <w:left w:val="nil"/>
              <w:bottom w:val="nil"/>
              <w:right w:val="nil"/>
            </w:tcBorders>
            <w:noWrap/>
            <w:vAlign w:val="center"/>
            <w:hideMark/>
          </w:tcPr>
          <w:p w14:paraId="51E0B860" w14:textId="77777777" w:rsidR="007A6A1A" w:rsidRPr="00DD02AC" w:rsidRDefault="007A6A1A" w:rsidP="00DD02AC">
            <w:pPr>
              <w:spacing w:after="0" w:line="240" w:lineRule="auto"/>
              <w:rPr>
                <w:sz w:val="20"/>
                <w:szCs w:val="20"/>
              </w:rPr>
            </w:pPr>
            <w:r w:rsidRPr="00DD02AC">
              <w:rPr>
                <w:sz w:val="20"/>
                <w:szCs w:val="20"/>
              </w:rPr>
              <w:t>7.4</w:t>
            </w:r>
          </w:p>
        </w:tc>
        <w:tc>
          <w:tcPr>
            <w:tcW w:w="1147" w:type="dxa"/>
            <w:tcBorders>
              <w:top w:val="nil"/>
              <w:left w:val="nil"/>
              <w:bottom w:val="nil"/>
              <w:right w:val="nil"/>
            </w:tcBorders>
            <w:noWrap/>
            <w:vAlign w:val="center"/>
            <w:hideMark/>
          </w:tcPr>
          <w:p w14:paraId="350E0D5F" w14:textId="77777777" w:rsidR="007A6A1A" w:rsidRPr="00DD02AC" w:rsidRDefault="007A6A1A" w:rsidP="00DD02AC">
            <w:pPr>
              <w:spacing w:after="0" w:line="240" w:lineRule="auto"/>
              <w:rPr>
                <w:sz w:val="20"/>
                <w:szCs w:val="20"/>
              </w:rPr>
            </w:pPr>
            <w:r w:rsidRPr="00DD02AC">
              <w:rPr>
                <w:sz w:val="20"/>
                <w:szCs w:val="20"/>
              </w:rPr>
              <w:t>7.2</w:t>
            </w:r>
          </w:p>
        </w:tc>
        <w:tc>
          <w:tcPr>
            <w:tcW w:w="1147" w:type="dxa"/>
            <w:gridSpan w:val="2"/>
            <w:tcBorders>
              <w:top w:val="nil"/>
              <w:left w:val="nil"/>
              <w:bottom w:val="nil"/>
              <w:right w:val="nil"/>
            </w:tcBorders>
            <w:vAlign w:val="center"/>
            <w:hideMark/>
          </w:tcPr>
          <w:p w14:paraId="7723CED3" w14:textId="77777777" w:rsidR="007A6A1A" w:rsidRPr="00DD02AC" w:rsidRDefault="007A6A1A" w:rsidP="00DD02AC">
            <w:pPr>
              <w:spacing w:after="0" w:line="240" w:lineRule="auto"/>
              <w:rPr>
                <w:sz w:val="20"/>
                <w:szCs w:val="20"/>
              </w:rPr>
            </w:pPr>
            <w:r w:rsidRPr="00DD02AC">
              <w:rPr>
                <w:sz w:val="20"/>
                <w:szCs w:val="20"/>
              </w:rPr>
              <w:t>6.7</w:t>
            </w:r>
          </w:p>
        </w:tc>
        <w:tc>
          <w:tcPr>
            <w:tcW w:w="1147" w:type="dxa"/>
            <w:tcBorders>
              <w:top w:val="nil"/>
              <w:left w:val="nil"/>
              <w:bottom w:val="nil"/>
              <w:right w:val="single" w:sz="4" w:space="0" w:color="auto"/>
            </w:tcBorders>
            <w:vAlign w:val="center"/>
            <w:hideMark/>
          </w:tcPr>
          <w:p w14:paraId="33C26246" w14:textId="77777777" w:rsidR="007A6A1A" w:rsidRPr="00DD02AC" w:rsidRDefault="007A6A1A" w:rsidP="00DD02AC">
            <w:pPr>
              <w:spacing w:after="0" w:line="240" w:lineRule="auto"/>
              <w:rPr>
                <w:sz w:val="20"/>
                <w:szCs w:val="20"/>
              </w:rPr>
            </w:pPr>
            <w:r w:rsidRPr="00DD02AC">
              <w:rPr>
                <w:sz w:val="20"/>
                <w:szCs w:val="20"/>
              </w:rPr>
              <w:t>6.6</w:t>
            </w:r>
          </w:p>
        </w:tc>
      </w:tr>
      <w:tr w:rsidR="007A6A1A" w:rsidRPr="00167CB8" w14:paraId="5F589398" w14:textId="77777777" w:rsidTr="00DD02AC">
        <w:trPr>
          <w:trHeight w:val="340"/>
        </w:trPr>
        <w:tc>
          <w:tcPr>
            <w:tcW w:w="0" w:type="auto"/>
            <w:vMerge/>
            <w:tcBorders>
              <w:top w:val="nil"/>
              <w:left w:val="single" w:sz="4" w:space="0" w:color="auto"/>
              <w:bottom w:val="nil"/>
              <w:right w:val="nil"/>
            </w:tcBorders>
            <w:vAlign w:val="center"/>
            <w:hideMark/>
          </w:tcPr>
          <w:p w14:paraId="2BF946D0" w14:textId="77777777" w:rsidR="007A6A1A" w:rsidRPr="00DD02AC" w:rsidRDefault="007A6A1A" w:rsidP="00DD02AC">
            <w:pPr>
              <w:spacing w:after="0" w:line="240" w:lineRule="auto"/>
              <w:rPr>
                <w:sz w:val="20"/>
                <w:szCs w:val="20"/>
              </w:rPr>
            </w:pPr>
          </w:p>
        </w:tc>
        <w:tc>
          <w:tcPr>
            <w:tcW w:w="1134" w:type="dxa"/>
            <w:tcBorders>
              <w:top w:val="nil"/>
              <w:left w:val="nil"/>
              <w:bottom w:val="nil"/>
              <w:right w:val="nil"/>
            </w:tcBorders>
            <w:noWrap/>
            <w:vAlign w:val="center"/>
            <w:hideMark/>
          </w:tcPr>
          <w:p w14:paraId="151E537C" w14:textId="77777777" w:rsidR="007A6A1A" w:rsidRPr="00DD02AC" w:rsidRDefault="007A6A1A" w:rsidP="00DD02AC">
            <w:pPr>
              <w:spacing w:after="0" w:line="240" w:lineRule="auto"/>
              <w:rPr>
                <w:sz w:val="20"/>
                <w:szCs w:val="20"/>
              </w:rPr>
            </w:pPr>
            <w:r w:rsidRPr="00DD02AC">
              <w:rPr>
                <w:sz w:val="20"/>
                <w:szCs w:val="20"/>
              </w:rPr>
              <w:t>(0.4)</w:t>
            </w:r>
          </w:p>
        </w:tc>
        <w:tc>
          <w:tcPr>
            <w:tcW w:w="1147" w:type="dxa"/>
            <w:tcBorders>
              <w:top w:val="nil"/>
              <w:left w:val="nil"/>
              <w:bottom w:val="nil"/>
              <w:right w:val="nil"/>
            </w:tcBorders>
            <w:noWrap/>
            <w:vAlign w:val="center"/>
            <w:hideMark/>
          </w:tcPr>
          <w:p w14:paraId="47757F2F" w14:textId="77777777" w:rsidR="007A6A1A" w:rsidRPr="00DD02AC" w:rsidRDefault="007A6A1A" w:rsidP="00DD02AC">
            <w:pPr>
              <w:spacing w:after="0" w:line="240" w:lineRule="auto"/>
              <w:rPr>
                <w:sz w:val="20"/>
                <w:szCs w:val="20"/>
              </w:rPr>
            </w:pPr>
            <w:r w:rsidRPr="00DD02AC">
              <w:rPr>
                <w:sz w:val="20"/>
                <w:szCs w:val="20"/>
              </w:rPr>
              <w:t>(0.5)</w:t>
            </w:r>
          </w:p>
        </w:tc>
        <w:tc>
          <w:tcPr>
            <w:tcW w:w="1147" w:type="dxa"/>
            <w:gridSpan w:val="2"/>
            <w:tcBorders>
              <w:top w:val="nil"/>
              <w:left w:val="nil"/>
              <w:bottom w:val="nil"/>
              <w:right w:val="nil"/>
            </w:tcBorders>
            <w:vAlign w:val="center"/>
            <w:hideMark/>
          </w:tcPr>
          <w:p w14:paraId="019CFE54" w14:textId="77777777" w:rsidR="007A6A1A" w:rsidRPr="00DD02AC" w:rsidRDefault="007A6A1A" w:rsidP="00DD02AC">
            <w:pPr>
              <w:spacing w:after="0" w:line="240" w:lineRule="auto"/>
              <w:rPr>
                <w:sz w:val="20"/>
                <w:szCs w:val="20"/>
              </w:rPr>
            </w:pPr>
            <w:r w:rsidRPr="00DD02AC">
              <w:rPr>
                <w:sz w:val="20"/>
                <w:szCs w:val="20"/>
              </w:rPr>
              <w:t>(0.6)</w:t>
            </w:r>
          </w:p>
        </w:tc>
        <w:tc>
          <w:tcPr>
            <w:tcW w:w="1147" w:type="dxa"/>
            <w:tcBorders>
              <w:top w:val="nil"/>
              <w:left w:val="nil"/>
              <w:bottom w:val="nil"/>
              <w:right w:val="single" w:sz="4" w:space="0" w:color="auto"/>
            </w:tcBorders>
            <w:vAlign w:val="center"/>
            <w:hideMark/>
          </w:tcPr>
          <w:p w14:paraId="7ED57E3B" w14:textId="77777777" w:rsidR="007A6A1A" w:rsidRPr="00DD02AC" w:rsidRDefault="007A6A1A" w:rsidP="00DD02AC">
            <w:pPr>
              <w:spacing w:after="0" w:line="240" w:lineRule="auto"/>
              <w:rPr>
                <w:sz w:val="20"/>
                <w:szCs w:val="20"/>
              </w:rPr>
            </w:pPr>
            <w:r w:rsidRPr="00DD02AC">
              <w:rPr>
                <w:sz w:val="20"/>
                <w:szCs w:val="20"/>
              </w:rPr>
              <w:t>(0.6)</w:t>
            </w:r>
          </w:p>
        </w:tc>
      </w:tr>
      <w:tr w:rsidR="007A6A1A" w:rsidRPr="00167CB8" w14:paraId="2E4BCB0A" w14:textId="77777777" w:rsidTr="00DD02AC">
        <w:trPr>
          <w:trHeight w:val="340"/>
        </w:trPr>
        <w:tc>
          <w:tcPr>
            <w:tcW w:w="4673" w:type="dxa"/>
            <w:tcBorders>
              <w:top w:val="nil"/>
              <w:left w:val="single" w:sz="4" w:space="0" w:color="auto"/>
              <w:bottom w:val="nil"/>
              <w:right w:val="nil"/>
            </w:tcBorders>
            <w:noWrap/>
            <w:vAlign w:val="center"/>
            <w:hideMark/>
          </w:tcPr>
          <w:p w14:paraId="642324D4" w14:textId="17584FA8" w:rsidR="007A6A1A" w:rsidRPr="00DD02AC" w:rsidRDefault="007A6A1A" w:rsidP="00DD02AC">
            <w:pPr>
              <w:spacing w:after="0" w:line="240" w:lineRule="auto"/>
              <w:rPr>
                <w:sz w:val="20"/>
                <w:szCs w:val="20"/>
              </w:rPr>
            </w:pPr>
            <w:r w:rsidRPr="00DD02AC">
              <w:rPr>
                <w:sz w:val="20"/>
                <w:szCs w:val="20"/>
              </w:rPr>
              <w:t xml:space="preserve">Paid by an </w:t>
            </w:r>
            <w:r w:rsidR="00C87E4A" w:rsidRPr="00DD02AC">
              <w:rPr>
                <w:sz w:val="20"/>
                <w:szCs w:val="20"/>
              </w:rPr>
              <w:t>a</w:t>
            </w:r>
            <w:r w:rsidRPr="00DD02AC">
              <w:rPr>
                <w:sz w:val="20"/>
                <w:szCs w:val="20"/>
              </w:rPr>
              <w:t>ward</w:t>
            </w:r>
          </w:p>
        </w:tc>
        <w:tc>
          <w:tcPr>
            <w:tcW w:w="1134" w:type="dxa"/>
            <w:tcBorders>
              <w:top w:val="nil"/>
              <w:left w:val="nil"/>
              <w:bottom w:val="nil"/>
              <w:right w:val="nil"/>
            </w:tcBorders>
            <w:noWrap/>
            <w:vAlign w:val="center"/>
            <w:hideMark/>
          </w:tcPr>
          <w:p w14:paraId="3348C776" w14:textId="77777777" w:rsidR="007A6A1A" w:rsidRPr="00DD02AC" w:rsidRDefault="007A6A1A" w:rsidP="00DD02AC">
            <w:pPr>
              <w:spacing w:after="0" w:line="240" w:lineRule="auto"/>
              <w:rPr>
                <w:sz w:val="20"/>
                <w:szCs w:val="20"/>
              </w:rPr>
            </w:pPr>
            <w:r w:rsidRPr="00DD02AC">
              <w:rPr>
                <w:sz w:val="20"/>
                <w:szCs w:val="20"/>
              </w:rPr>
              <w:t>16.0%</w:t>
            </w:r>
          </w:p>
        </w:tc>
        <w:tc>
          <w:tcPr>
            <w:tcW w:w="1147" w:type="dxa"/>
            <w:tcBorders>
              <w:top w:val="nil"/>
              <w:left w:val="nil"/>
              <w:bottom w:val="nil"/>
              <w:right w:val="nil"/>
            </w:tcBorders>
            <w:noWrap/>
            <w:vAlign w:val="center"/>
            <w:hideMark/>
          </w:tcPr>
          <w:p w14:paraId="0A18C9AB" w14:textId="77777777" w:rsidR="007A6A1A" w:rsidRPr="00DD02AC" w:rsidRDefault="007A6A1A" w:rsidP="00DD02AC">
            <w:pPr>
              <w:spacing w:after="0" w:line="240" w:lineRule="auto"/>
              <w:rPr>
                <w:sz w:val="20"/>
                <w:szCs w:val="20"/>
              </w:rPr>
            </w:pPr>
            <w:r w:rsidRPr="00DD02AC">
              <w:rPr>
                <w:sz w:val="20"/>
                <w:szCs w:val="20"/>
              </w:rPr>
              <w:t>22.5%</w:t>
            </w:r>
          </w:p>
        </w:tc>
        <w:tc>
          <w:tcPr>
            <w:tcW w:w="1147" w:type="dxa"/>
            <w:gridSpan w:val="2"/>
            <w:tcBorders>
              <w:top w:val="nil"/>
              <w:left w:val="nil"/>
              <w:bottom w:val="nil"/>
              <w:right w:val="nil"/>
            </w:tcBorders>
            <w:vAlign w:val="center"/>
            <w:hideMark/>
          </w:tcPr>
          <w:p w14:paraId="73FD69C1" w14:textId="77777777" w:rsidR="007A6A1A" w:rsidRPr="00DD02AC" w:rsidRDefault="007A6A1A" w:rsidP="00DD02AC">
            <w:pPr>
              <w:spacing w:after="0" w:line="240" w:lineRule="auto"/>
              <w:rPr>
                <w:sz w:val="20"/>
                <w:szCs w:val="20"/>
              </w:rPr>
            </w:pPr>
            <w:r w:rsidRPr="00DD02AC">
              <w:rPr>
                <w:sz w:val="20"/>
                <w:szCs w:val="20"/>
              </w:rPr>
              <w:t>25.4%</w:t>
            </w:r>
          </w:p>
        </w:tc>
        <w:tc>
          <w:tcPr>
            <w:tcW w:w="1147" w:type="dxa"/>
            <w:tcBorders>
              <w:top w:val="nil"/>
              <w:left w:val="nil"/>
              <w:bottom w:val="nil"/>
              <w:right w:val="single" w:sz="4" w:space="0" w:color="auto"/>
            </w:tcBorders>
            <w:vAlign w:val="center"/>
            <w:hideMark/>
          </w:tcPr>
          <w:p w14:paraId="5BCEF9A3" w14:textId="77777777" w:rsidR="007A6A1A" w:rsidRPr="00DD02AC" w:rsidRDefault="007A6A1A" w:rsidP="00DD02AC">
            <w:pPr>
              <w:spacing w:after="0" w:line="240" w:lineRule="auto"/>
              <w:rPr>
                <w:sz w:val="20"/>
                <w:szCs w:val="20"/>
              </w:rPr>
            </w:pPr>
            <w:r w:rsidRPr="00DD02AC">
              <w:rPr>
                <w:sz w:val="20"/>
                <w:szCs w:val="20"/>
              </w:rPr>
              <w:t>33.5%</w:t>
            </w:r>
          </w:p>
        </w:tc>
      </w:tr>
      <w:tr w:rsidR="007A6A1A" w:rsidRPr="00167CB8" w14:paraId="3D7FE4A8" w14:textId="77777777" w:rsidTr="00DD02AC">
        <w:trPr>
          <w:trHeight w:val="340"/>
        </w:trPr>
        <w:tc>
          <w:tcPr>
            <w:tcW w:w="4673" w:type="dxa"/>
            <w:tcBorders>
              <w:top w:val="nil"/>
              <w:left w:val="single" w:sz="4" w:space="0" w:color="auto"/>
              <w:bottom w:val="nil"/>
              <w:right w:val="nil"/>
            </w:tcBorders>
            <w:noWrap/>
            <w:vAlign w:val="center"/>
            <w:hideMark/>
          </w:tcPr>
          <w:p w14:paraId="2CB91CE5" w14:textId="77777777" w:rsidR="007A6A1A" w:rsidRPr="00DD02AC" w:rsidRDefault="007A6A1A" w:rsidP="00DD02AC">
            <w:pPr>
              <w:spacing w:after="0" w:line="240" w:lineRule="auto"/>
              <w:rPr>
                <w:sz w:val="20"/>
                <w:szCs w:val="20"/>
              </w:rPr>
            </w:pPr>
            <w:r w:rsidRPr="00DD02AC">
              <w:rPr>
                <w:sz w:val="20"/>
                <w:szCs w:val="20"/>
              </w:rPr>
              <w:t>Covered by a collective agreement</w:t>
            </w:r>
          </w:p>
        </w:tc>
        <w:tc>
          <w:tcPr>
            <w:tcW w:w="1134" w:type="dxa"/>
            <w:tcBorders>
              <w:top w:val="nil"/>
              <w:left w:val="nil"/>
              <w:bottom w:val="nil"/>
              <w:right w:val="nil"/>
            </w:tcBorders>
            <w:noWrap/>
            <w:vAlign w:val="center"/>
            <w:hideMark/>
          </w:tcPr>
          <w:p w14:paraId="549643FF" w14:textId="77777777" w:rsidR="007A6A1A" w:rsidRPr="00DD02AC" w:rsidRDefault="007A6A1A" w:rsidP="00DD02AC">
            <w:pPr>
              <w:spacing w:after="0" w:line="240" w:lineRule="auto"/>
              <w:rPr>
                <w:sz w:val="20"/>
                <w:szCs w:val="20"/>
              </w:rPr>
            </w:pPr>
            <w:r w:rsidRPr="00DD02AC">
              <w:rPr>
                <w:sz w:val="20"/>
                <w:szCs w:val="20"/>
              </w:rPr>
              <w:t>37.7%</w:t>
            </w:r>
          </w:p>
        </w:tc>
        <w:tc>
          <w:tcPr>
            <w:tcW w:w="1147" w:type="dxa"/>
            <w:tcBorders>
              <w:top w:val="nil"/>
              <w:left w:val="nil"/>
              <w:bottom w:val="nil"/>
              <w:right w:val="nil"/>
            </w:tcBorders>
            <w:noWrap/>
            <w:vAlign w:val="center"/>
            <w:hideMark/>
          </w:tcPr>
          <w:p w14:paraId="23BB806E" w14:textId="77777777" w:rsidR="007A6A1A" w:rsidRPr="00DD02AC" w:rsidRDefault="007A6A1A" w:rsidP="00DD02AC">
            <w:pPr>
              <w:spacing w:after="0" w:line="240" w:lineRule="auto"/>
              <w:rPr>
                <w:sz w:val="20"/>
                <w:szCs w:val="20"/>
              </w:rPr>
            </w:pPr>
            <w:r w:rsidRPr="00DD02AC">
              <w:rPr>
                <w:sz w:val="20"/>
                <w:szCs w:val="20"/>
              </w:rPr>
              <w:t>32.7%</w:t>
            </w:r>
          </w:p>
        </w:tc>
        <w:tc>
          <w:tcPr>
            <w:tcW w:w="1147" w:type="dxa"/>
            <w:gridSpan w:val="2"/>
            <w:tcBorders>
              <w:top w:val="nil"/>
              <w:left w:val="nil"/>
              <w:bottom w:val="nil"/>
              <w:right w:val="nil"/>
            </w:tcBorders>
            <w:vAlign w:val="center"/>
            <w:hideMark/>
          </w:tcPr>
          <w:p w14:paraId="6B3AB9ED" w14:textId="77777777" w:rsidR="007A6A1A" w:rsidRPr="00DD02AC" w:rsidRDefault="007A6A1A" w:rsidP="00DD02AC">
            <w:pPr>
              <w:spacing w:after="0" w:line="240" w:lineRule="auto"/>
              <w:rPr>
                <w:sz w:val="20"/>
                <w:szCs w:val="20"/>
              </w:rPr>
            </w:pPr>
            <w:r w:rsidRPr="00DD02AC">
              <w:rPr>
                <w:sz w:val="20"/>
                <w:szCs w:val="20"/>
              </w:rPr>
              <w:t>31.0%</w:t>
            </w:r>
          </w:p>
        </w:tc>
        <w:tc>
          <w:tcPr>
            <w:tcW w:w="1147" w:type="dxa"/>
            <w:tcBorders>
              <w:top w:val="nil"/>
              <w:left w:val="nil"/>
              <w:bottom w:val="nil"/>
              <w:right w:val="single" w:sz="4" w:space="0" w:color="auto"/>
            </w:tcBorders>
            <w:vAlign w:val="center"/>
            <w:hideMark/>
          </w:tcPr>
          <w:p w14:paraId="46FB9B41" w14:textId="77777777" w:rsidR="007A6A1A" w:rsidRPr="00DD02AC" w:rsidRDefault="007A6A1A" w:rsidP="00DD02AC">
            <w:pPr>
              <w:spacing w:after="0" w:line="240" w:lineRule="auto"/>
              <w:rPr>
                <w:sz w:val="20"/>
                <w:szCs w:val="20"/>
              </w:rPr>
            </w:pPr>
            <w:r w:rsidRPr="00DD02AC">
              <w:rPr>
                <w:sz w:val="20"/>
                <w:szCs w:val="20"/>
              </w:rPr>
              <w:t>32.0%</w:t>
            </w:r>
          </w:p>
        </w:tc>
      </w:tr>
      <w:tr w:rsidR="007A6A1A" w:rsidRPr="00167CB8" w14:paraId="3C2D1612" w14:textId="77777777" w:rsidTr="00DD02AC">
        <w:trPr>
          <w:trHeight w:val="340"/>
        </w:trPr>
        <w:tc>
          <w:tcPr>
            <w:tcW w:w="4673" w:type="dxa"/>
            <w:tcBorders>
              <w:top w:val="nil"/>
              <w:left w:val="single" w:sz="4" w:space="0" w:color="auto"/>
              <w:bottom w:val="nil"/>
              <w:right w:val="nil"/>
            </w:tcBorders>
            <w:noWrap/>
            <w:vAlign w:val="center"/>
            <w:hideMark/>
          </w:tcPr>
          <w:p w14:paraId="6E73C4EA" w14:textId="77777777" w:rsidR="007A6A1A" w:rsidRPr="00DD02AC" w:rsidRDefault="007A6A1A" w:rsidP="00DD02AC">
            <w:pPr>
              <w:spacing w:after="0" w:line="240" w:lineRule="auto"/>
              <w:rPr>
                <w:sz w:val="20"/>
                <w:szCs w:val="20"/>
              </w:rPr>
            </w:pPr>
            <w:r w:rsidRPr="00DD02AC">
              <w:rPr>
                <w:sz w:val="20"/>
                <w:szCs w:val="20"/>
              </w:rPr>
              <w:t>Covered by an individual agreement</w:t>
            </w:r>
          </w:p>
        </w:tc>
        <w:tc>
          <w:tcPr>
            <w:tcW w:w="1134" w:type="dxa"/>
            <w:tcBorders>
              <w:top w:val="nil"/>
              <w:left w:val="nil"/>
              <w:bottom w:val="nil"/>
              <w:right w:val="nil"/>
            </w:tcBorders>
            <w:noWrap/>
            <w:vAlign w:val="center"/>
            <w:hideMark/>
          </w:tcPr>
          <w:p w14:paraId="6A563493" w14:textId="77777777" w:rsidR="007A6A1A" w:rsidRPr="00DD02AC" w:rsidRDefault="007A6A1A" w:rsidP="00DD02AC">
            <w:pPr>
              <w:spacing w:after="0" w:line="240" w:lineRule="auto"/>
              <w:rPr>
                <w:sz w:val="20"/>
                <w:szCs w:val="20"/>
              </w:rPr>
            </w:pPr>
            <w:r w:rsidRPr="00DD02AC">
              <w:rPr>
                <w:sz w:val="20"/>
                <w:szCs w:val="20"/>
              </w:rPr>
              <w:t>42.1%</w:t>
            </w:r>
          </w:p>
        </w:tc>
        <w:tc>
          <w:tcPr>
            <w:tcW w:w="1147" w:type="dxa"/>
            <w:tcBorders>
              <w:top w:val="nil"/>
              <w:left w:val="nil"/>
              <w:bottom w:val="nil"/>
              <w:right w:val="nil"/>
            </w:tcBorders>
            <w:noWrap/>
            <w:vAlign w:val="center"/>
            <w:hideMark/>
          </w:tcPr>
          <w:p w14:paraId="082BD714" w14:textId="77777777" w:rsidR="007A6A1A" w:rsidRPr="00DD02AC" w:rsidRDefault="007A6A1A" w:rsidP="00DD02AC">
            <w:pPr>
              <w:spacing w:after="0" w:line="240" w:lineRule="auto"/>
              <w:rPr>
                <w:sz w:val="20"/>
                <w:szCs w:val="20"/>
              </w:rPr>
            </w:pPr>
            <w:r w:rsidRPr="00DD02AC">
              <w:rPr>
                <w:sz w:val="20"/>
                <w:szCs w:val="20"/>
              </w:rPr>
              <w:t>39.8%</w:t>
            </w:r>
          </w:p>
        </w:tc>
        <w:tc>
          <w:tcPr>
            <w:tcW w:w="1147" w:type="dxa"/>
            <w:gridSpan w:val="2"/>
            <w:tcBorders>
              <w:top w:val="nil"/>
              <w:left w:val="nil"/>
              <w:bottom w:val="nil"/>
              <w:right w:val="nil"/>
            </w:tcBorders>
            <w:vAlign w:val="center"/>
            <w:hideMark/>
          </w:tcPr>
          <w:p w14:paraId="14E6CE6B" w14:textId="77777777" w:rsidR="007A6A1A" w:rsidRPr="00DD02AC" w:rsidRDefault="007A6A1A" w:rsidP="00DD02AC">
            <w:pPr>
              <w:spacing w:after="0" w:line="240" w:lineRule="auto"/>
              <w:rPr>
                <w:sz w:val="20"/>
                <w:szCs w:val="20"/>
              </w:rPr>
            </w:pPr>
            <w:r w:rsidRPr="00DD02AC">
              <w:rPr>
                <w:sz w:val="20"/>
                <w:szCs w:val="20"/>
              </w:rPr>
              <w:t>36.9%</w:t>
            </w:r>
          </w:p>
        </w:tc>
        <w:tc>
          <w:tcPr>
            <w:tcW w:w="1147" w:type="dxa"/>
            <w:tcBorders>
              <w:top w:val="nil"/>
              <w:left w:val="nil"/>
              <w:bottom w:val="nil"/>
              <w:right w:val="single" w:sz="4" w:space="0" w:color="auto"/>
            </w:tcBorders>
            <w:vAlign w:val="center"/>
            <w:hideMark/>
          </w:tcPr>
          <w:p w14:paraId="7589A287" w14:textId="77777777" w:rsidR="007A6A1A" w:rsidRPr="00DD02AC" w:rsidRDefault="007A6A1A" w:rsidP="00DD02AC">
            <w:pPr>
              <w:spacing w:after="0" w:line="240" w:lineRule="auto"/>
              <w:rPr>
                <w:sz w:val="20"/>
                <w:szCs w:val="20"/>
              </w:rPr>
            </w:pPr>
            <w:r w:rsidRPr="00DD02AC">
              <w:rPr>
                <w:sz w:val="20"/>
                <w:szCs w:val="20"/>
              </w:rPr>
              <w:t>30.1%</w:t>
            </w:r>
          </w:p>
        </w:tc>
      </w:tr>
      <w:tr w:rsidR="007A6A1A" w:rsidRPr="00167CB8" w14:paraId="45E912E9" w14:textId="77777777" w:rsidTr="00DD02AC">
        <w:trPr>
          <w:trHeight w:val="340"/>
        </w:trPr>
        <w:tc>
          <w:tcPr>
            <w:tcW w:w="4673" w:type="dxa"/>
            <w:tcBorders>
              <w:top w:val="nil"/>
              <w:left w:val="single" w:sz="4" w:space="0" w:color="auto"/>
              <w:bottom w:val="nil"/>
              <w:right w:val="nil"/>
            </w:tcBorders>
            <w:noWrap/>
            <w:vAlign w:val="center"/>
            <w:hideMark/>
          </w:tcPr>
          <w:p w14:paraId="28B4824A" w14:textId="77777777" w:rsidR="007A6A1A" w:rsidRPr="00DD02AC" w:rsidRDefault="007A6A1A" w:rsidP="00DD02AC">
            <w:pPr>
              <w:spacing w:after="0" w:line="240" w:lineRule="auto"/>
              <w:rPr>
                <w:sz w:val="20"/>
                <w:szCs w:val="20"/>
              </w:rPr>
            </w:pPr>
            <w:r w:rsidRPr="00DD02AC">
              <w:rPr>
                <w:sz w:val="20"/>
                <w:szCs w:val="20"/>
              </w:rPr>
              <w:t>Paid by some other arrangement</w:t>
            </w:r>
          </w:p>
        </w:tc>
        <w:tc>
          <w:tcPr>
            <w:tcW w:w="1134" w:type="dxa"/>
            <w:tcBorders>
              <w:top w:val="nil"/>
              <w:left w:val="nil"/>
              <w:bottom w:val="nil"/>
              <w:right w:val="nil"/>
            </w:tcBorders>
            <w:noWrap/>
            <w:vAlign w:val="center"/>
            <w:hideMark/>
          </w:tcPr>
          <w:p w14:paraId="2FF70AE1" w14:textId="77777777" w:rsidR="007A6A1A" w:rsidRPr="00DD02AC" w:rsidRDefault="007A6A1A" w:rsidP="00DD02AC">
            <w:pPr>
              <w:spacing w:after="0" w:line="240" w:lineRule="auto"/>
              <w:rPr>
                <w:sz w:val="20"/>
                <w:szCs w:val="20"/>
              </w:rPr>
            </w:pPr>
            <w:r w:rsidRPr="00DD02AC">
              <w:rPr>
                <w:sz w:val="20"/>
                <w:szCs w:val="20"/>
              </w:rPr>
              <w:t>4.2%</w:t>
            </w:r>
          </w:p>
        </w:tc>
        <w:tc>
          <w:tcPr>
            <w:tcW w:w="1147" w:type="dxa"/>
            <w:tcBorders>
              <w:top w:val="nil"/>
              <w:left w:val="nil"/>
              <w:bottom w:val="nil"/>
              <w:right w:val="nil"/>
            </w:tcBorders>
            <w:noWrap/>
            <w:vAlign w:val="center"/>
            <w:hideMark/>
          </w:tcPr>
          <w:p w14:paraId="336923D8" w14:textId="77777777" w:rsidR="007A6A1A" w:rsidRPr="00DD02AC" w:rsidRDefault="007A6A1A" w:rsidP="00DD02AC">
            <w:pPr>
              <w:spacing w:after="0" w:line="240" w:lineRule="auto"/>
              <w:rPr>
                <w:sz w:val="20"/>
                <w:szCs w:val="20"/>
              </w:rPr>
            </w:pPr>
            <w:r w:rsidRPr="00DD02AC">
              <w:rPr>
                <w:sz w:val="20"/>
                <w:szCs w:val="20"/>
              </w:rPr>
              <w:t>5.0%</w:t>
            </w:r>
          </w:p>
        </w:tc>
        <w:tc>
          <w:tcPr>
            <w:tcW w:w="1147" w:type="dxa"/>
            <w:gridSpan w:val="2"/>
            <w:tcBorders>
              <w:top w:val="nil"/>
              <w:left w:val="nil"/>
              <w:bottom w:val="nil"/>
              <w:right w:val="nil"/>
            </w:tcBorders>
            <w:vAlign w:val="center"/>
            <w:hideMark/>
          </w:tcPr>
          <w:p w14:paraId="6390E198" w14:textId="77777777" w:rsidR="007A6A1A" w:rsidRPr="00DD02AC" w:rsidRDefault="007A6A1A" w:rsidP="00DD02AC">
            <w:pPr>
              <w:spacing w:after="0" w:line="240" w:lineRule="auto"/>
              <w:rPr>
                <w:sz w:val="20"/>
                <w:szCs w:val="20"/>
              </w:rPr>
            </w:pPr>
            <w:r w:rsidRPr="00DD02AC">
              <w:rPr>
                <w:sz w:val="20"/>
                <w:szCs w:val="20"/>
              </w:rPr>
              <w:t>6.8%</w:t>
            </w:r>
          </w:p>
        </w:tc>
        <w:tc>
          <w:tcPr>
            <w:tcW w:w="1147" w:type="dxa"/>
            <w:tcBorders>
              <w:top w:val="nil"/>
              <w:left w:val="nil"/>
              <w:bottom w:val="nil"/>
              <w:right w:val="single" w:sz="4" w:space="0" w:color="auto"/>
            </w:tcBorders>
            <w:vAlign w:val="center"/>
            <w:hideMark/>
          </w:tcPr>
          <w:p w14:paraId="482B730A" w14:textId="77777777" w:rsidR="007A6A1A" w:rsidRPr="00DD02AC" w:rsidRDefault="007A6A1A" w:rsidP="00DD02AC">
            <w:pPr>
              <w:spacing w:after="0" w:line="240" w:lineRule="auto"/>
              <w:rPr>
                <w:sz w:val="20"/>
                <w:szCs w:val="20"/>
              </w:rPr>
            </w:pPr>
            <w:r w:rsidRPr="00DD02AC">
              <w:rPr>
                <w:sz w:val="20"/>
                <w:szCs w:val="20"/>
              </w:rPr>
              <w:t>4.5%</w:t>
            </w:r>
          </w:p>
        </w:tc>
      </w:tr>
      <w:tr w:rsidR="007A6A1A" w:rsidRPr="00167CB8" w14:paraId="1D73F1F2" w14:textId="77777777" w:rsidTr="00DD02AC">
        <w:trPr>
          <w:trHeight w:val="340"/>
        </w:trPr>
        <w:tc>
          <w:tcPr>
            <w:tcW w:w="4673" w:type="dxa"/>
            <w:tcBorders>
              <w:top w:val="nil"/>
              <w:left w:val="single" w:sz="4" w:space="0" w:color="auto"/>
              <w:bottom w:val="nil"/>
              <w:right w:val="nil"/>
            </w:tcBorders>
            <w:noWrap/>
            <w:vAlign w:val="center"/>
            <w:hideMark/>
          </w:tcPr>
          <w:p w14:paraId="19874B0A" w14:textId="77777777" w:rsidR="007A6A1A" w:rsidRPr="00DD02AC" w:rsidRDefault="007A6A1A" w:rsidP="00DD02AC">
            <w:pPr>
              <w:spacing w:after="0" w:line="240" w:lineRule="auto"/>
              <w:rPr>
                <w:sz w:val="20"/>
                <w:szCs w:val="20"/>
              </w:rPr>
            </w:pPr>
            <w:r w:rsidRPr="00DD02AC">
              <w:rPr>
                <w:sz w:val="20"/>
                <w:szCs w:val="20"/>
              </w:rPr>
              <w:t>Permanent employee</w:t>
            </w:r>
          </w:p>
        </w:tc>
        <w:tc>
          <w:tcPr>
            <w:tcW w:w="1134" w:type="dxa"/>
            <w:tcBorders>
              <w:top w:val="nil"/>
              <w:left w:val="nil"/>
              <w:bottom w:val="nil"/>
              <w:right w:val="nil"/>
            </w:tcBorders>
            <w:noWrap/>
            <w:vAlign w:val="center"/>
            <w:hideMark/>
          </w:tcPr>
          <w:p w14:paraId="765682AA" w14:textId="77777777" w:rsidR="007A6A1A" w:rsidRPr="00DD02AC" w:rsidRDefault="007A6A1A" w:rsidP="00DD02AC">
            <w:pPr>
              <w:spacing w:after="0" w:line="240" w:lineRule="auto"/>
              <w:rPr>
                <w:sz w:val="20"/>
                <w:szCs w:val="20"/>
              </w:rPr>
            </w:pPr>
            <w:r w:rsidRPr="00DD02AC">
              <w:rPr>
                <w:sz w:val="20"/>
                <w:szCs w:val="20"/>
              </w:rPr>
              <w:t>79.1%</w:t>
            </w:r>
          </w:p>
        </w:tc>
        <w:tc>
          <w:tcPr>
            <w:tcW w:w="1147" w:type="dxa"/>
            <w:tcBorders>
              <w:top w:val="nil"/>
              <w:left w:val="nil"/>
              <w:bottom w:val="nil"/>
              <w:right w:val="nil"/>
            </w:tcBorders>
            <w:noWrap/>
            <w:vAlign w:val="center"/>
            <w:hideMark/>
          </w:tcPr>
          <w:p w14:paraId="6FDFB143" w14:textId="77777777" w:rsidR="007A6A1A" w:rsidRPr="00DD02AC" w:rsidRDefault="007A6A1A" w:rsidP="00DD02AC">
            <w:pPr>
              <w:spacing w:after="0" w:line="240" w:lineRule="auto"/>
              <w:rPr>
                <w:sz w:val="20"/>
                <w:szCs w:val="20"/>
              </w:rPr>
            </w:pPr>
            <w:r w:rsidRPr="00DD02AC">
              <w:rPr>
                <w:sz w:val="20"/>
                <w:szCs w:val="20"/>
              </w:rPr>
              <w:t>77.5%</w:t>
            </w:r>
          </w:p>
        </w:tc>
        <w:tc>
          <w:tcPr>
            <w:tcW w:w="1147" w:type="dxa"/>
            <w:gridSpan w:val="2"/>
            <w:tcBorders>
              <w:top w:val="nil"/>
              <w:left w:val="nil"/>
              <w:bottom w:val="nil"/>
              <w:right w:val="nil"/>
            </w:tcBorders>
            <w:vAlign w:val="center"/>
            <w:hideMark/>
          </w:tcPr>
          <w:p w14:paraId="73A03AC4" w14:textId="77777777" w:rsidR="007A6A1A" w:rsidRPr="00DD02AC" w:rsidRDefault="007A6A1A" w:rsidP="00DD02AC">
            <w:pPr>
              <w:spacing w:after="0" w:line="240" w:lineRule="auto"/>
              <w:rPr>
                <w:sz w:val="20"/>
                <w:szCs w:val="20"/>
              </w:rPr>
            </w:pPr>
            <w:r w:rsidRPr="00DD02AC">
              <w:rPr>
                <w:sz w:val="20"/>
                <w:szCs w:val="20"/>
              </w:rPr>
              <w:t>50.4%</w:t>
            </w:r>
          </w:p>
        </w:tc>
        <w:tc>
          <w:tcPr>
            <w:tcW w:w="1147" w:type="dxa"/>
            <w:tcBorders>
              <w:top w:val="nil"/>
              <w:left w:val="nil"/>
              <w:bottom w:val="nil"/>
              <w:right w:val="single" w:sz="4" w:space="0" w:color="auto"/>
            </w:tcBorders>
            <w:vAlign w:val="center"/>
            <w:hideMark/>
          </w:tcPr>
          <w:p w14:paraId="64FB72E7" w14:textId="77777777" w:rsidR="007A6A1A" w:rsidRPr="00DD02AC" w:rsidRDefault="007A6A1A" w:rsidP="00DD02AC">
            <w:pPr>
              <w:spacing w:after="0" w:line="240" w:lineRule="auto"/>
              <w:rPr>
                <w:sz w:val="20"/>
                <w:szCs w:val="20"/>
              </w:rPr>
            </w:pPr>
            <w:r w:rsidRPr="00DD02AC">
              <w:rPr>
                <w:sz w:val="20"/>
                <w:szCs w:val="20"/>
              </w:rPr>
              <w:t>52.9%</w:t>
            </w:r>
          </w:p>
        </w:tc>
      </w:tr>
      <w:tr w:rsidR="007A6A1A" w:rsidRPr="00167CB8" w14:paraId="6EDDD58D" w14:textId="77777777" w:rsidTr="00DD02AC">
        <w:trPr>
          <w:trHeight w:val="340"/>
        </w:trPr>
        <w:tc>
          <w:tcPr>
            <w:tcW w:w="4673" w:type="dxa"/>
            <w:tcBorders>
              <w:top w:val="nil"/>
              <w:left w:val="single" w:sz="4" w:space="0" w:color="auto"/>
              <w:bottom w:val="nil"/>
              <w:right w:val="nil"/>
            </w:tcBorders>
            <w:noWrap/>
            <w:vAlign w:val="center"/>
            <w:hideMark/>
          </w:tcPr>
          <w:p w14:paraId="04158538" w14:textId="31F4942F" w:rsidR="007A6A1A" w:rsidRPr="00DD02AC" w:rsidRDefault="007A6A1A" w:rsidP="00DD02AC">
            <w:pPr>
              <w:spacing w:after="0" w:line="240" w:lineRule="auto"/>
              <w:rPr>
                <w:sz w:val="20"/>
                <w:szCs w:val="20"/>
              </w:rPr>
            </w:pPr>
            <w:r w:rsidRPr="00DD02AC">
              <w:rPr>
                <w:sz w:val="20"/>
                <w:szCs w:val="20"/>
              </w:rPr>
              <w:t>Fixed</w:t>
            </w:r>
            <w:r w:rsidR="00C87E4A" w:rsidRPr="00DD02AC">
              <w:rPr>
                <w:sz w:val="20"/>
                <w:szCs w:val="20"/>
              </w:rPr>
              <w:t>-</w:t>
            </w:r>
            <w:r w:rsidRPr="00DD02AC">
              <w:rPr>
                <w:sz w:val="20"/>
                <w:szCs w:val="20"/>
              </w:rPr>
              <w:t>term employee</w:t>
            </w:r>
          </w:p>
        </w:tc>
        <w:tc>
          <w:tcPr>
            <w:tcW w:w="1134" w:type="dxa"/>
            <w:tcBorders>
              <w:top w:val="nil"/>
              <w:left w:val="nil"/>
              <w:bottom w:val="nil"/>
              <w:right w:val="nil"/>
            </w:tcBorders>
            <w:noWrap/>
            <w:vAlign w:val="center"/>
            <w:hideMark/>
          </w:tcPr>
          <w:p w14:paraId="48A46094" w14:textId="77777777" w:rsidR="007A6A1A" w:rsidRPr="00DD02AC" w:rsidRDefault="007A6A1A" w:rsidP="00DD02AC">
            <w:pPr>
              <w:spacing w:after="0" w:line="240" w:lineRule="auto"/>
              <w:rPr>
                <w:sz w:val="20"/>
                <w:szCs w:val="20"/>
              </w:rPr>
            </w:pPr>
            <w:r w:rsidRPr="00DD02AC">
              <w:rPr>
                <w:sz w:val="20"/>
                <w:szCs w:val="20"/>
              </w:rPr>
              <w:t>9.5%</w:t>
            </w:r>
          </w:p>
        </w:tc>
        <w:tc>
          <w:tcPr>
            <w:tcW w:w="1147" w:type="dxa"/>
            <w:tcBorders>
              <w:top w:val="nil"/>
              <w:left w:val="nil"/>
              <w:bottom w:val="nil"/>
              <w:right w:val="nil"/>
            </w:tcBorders>
            <w:noWrap/>
            <w:vAlign w:val="center"/>
            <w:hideMark/>
          </w:tcPr>
          <w:p w14:paraId="6519E02F" w14:textId="77777777" w:rsidR="007A6A1A" w:rsidRPr="00DD02AC" w:rsidRDefault="007A6A1A" w:rsidP="00DD02AC">
            <w:pPr>
              <w:spacing w:after="0" w:line="240" w:lineRule="auto"/>
              <w:rPr>
                <w:sz w:val="20"/>
                <w:szCs w:val="20"/>
              </w:rPr>
            </w:pPr>
            <w:r w:rsidRPr="00DD02AC">
              <w:rPr>
                <w:sz w:val="20"/>
                <w:szCs w:val="20"/>
              </w:rPr>
              <w:t>14.8%</w:t>
            </w:r>
          </w:p>
        </w:tc>
        <w:tc>
          <w:tcPr>
            <w:tcW w:w="1147" w:type="dxa"/>
            <w:gridSpan w:val="2"/>
            <w:tcBorders>
              <w:top w:val="nil"/>
              <w:left w:val="nil"/>
              <w:bottom w:val="nil"/>
              <w:right w:val="nil"/>
            </w:tcBorders>
            <w:vAlign w:val="center"/>
            <w:hideMark/>
          </w:tcPr>
          <w:p w14:paraId="2CBA63C9" w14:textId="77777777" w:rsidR="007A6A1A" w:rsidRPr="00DD02AC" w:rsidRDefault="007A6A1A" w:rsidP="00DD02AC">
            <w:pPr>
              <w:spacing w:after="0" w:line="240" w:lineRule="auto"/>
              <w:rPr>
                <w:sz w:val="20"/>
                <w:szCs w:val="20"/>
              </w:rPr>
            </w:pPr>
            <w:r w:rsidRPr="00DD02AC">
              <w:rPr>
                <w:sz w:val="20"/>
                <w:szCs w:val="20"/>
              </w:rPr>
              <w:t>11.1%</w:t>
            </w:r>
          </w:p>
        </w:tc>
        <w:tc>
          <w:tcPr>
            <w:tcW w:w="1147" w:type="dxa"/>
            <w:tcBorders>
              <w:top w:val="nil"/>
              <w:left w:val="nil"/>
              <w:bottom w:val="nil"/>
              <w:right w:val="single" w:sz="4" w:space="0" w:color="auto"/>
            </w:tcBorders>
            <w:vAlign w:val="center"/>
            <w:hideMark/>
          </w:tcPr>
          <w:p w14:paraId="0592E167" w14:textId="77777777" w:rsidR="007A6A1A" w:rsidRPr="00DD02AC" w:rsidRDefault="007A6A1A" w:rsidP="00DD02AC">
            <w:pPr>
              <w:spacing w:after="0" w:line="240" w:lineRule="auto"/>
              <w:rPr>
                <w:sz w:val="20"/>
                <w:szCs w:val="20"/>
              </w:rPr>
            </w:pPr>
            <w:r w:rsidRPr="00DD02AC">
              <w:rPr>
                <w:sz w:val="20"/>
                <w:szCs w:val="20"/>
              </w:rPr>
              <w:t>11.1%</w:t>
            </w:r>
          </w:p>
        </w:tc>
      </w:tr>
      <w:tr w:rsidR="007A6A1A" w:rsidRPr="00167CB8" w14:paraId="3A31604B" w14:textId="77777777" w:rsidTr="00DD02AC">
        <w:trPr>
          <w:trHeight w:val="340"/>
        </w:trPr>
        <w:tc>
          <w:tcPr>
            <w:tcW w:w="4673" w:type="dxa"/>
            <w:tcBorders>
              <w:top w:val="nil"/>
              <w:left w:val="single" w:sz="4" w:space="0" w:color="auto"/>
              <w:bottom w:val="nil"/>
              <w:right w:val="nil"/>
            </w:tcBorders>
            <w:noWrap/>
            <w:vAlign w:val="center"/>
            <w:hideMark/>
          </w:tcPr>
          <w:p w14:paraId="4F5677B6" w14:textId="0EE592BD" w:rsidR="007A6A1A" w:rsidRPr="00DD02AC" w:rsidRDefault="007A6A1A" w:rsidP="00DD02AC">
            <w:pPr>
              <w:spacing w:after="0" w:line="240" w:lineRule="auto"/>
              <w:rPr>
                <w:sz w:val="20"/>
                <w:szCs w:val="20"/>
              </w:rPr>
            </w:pPr>
            <w:r w:rsidRPr="00DD02AC">
              <w:rPr>
                <w:sz w:val="20"/>
                <w:szCs w:val="20"/>
              </w:rPr>
              <w:t xml:space="preserve">Casual </w:t>
            </w:r>
            <w:r w:rsidR="00C87E4A" w:rsidRPr="00DD02AC">
              <w:rPr>
                <w:sz w:val="20"/>
                <w:szCs w:val="20"/>
              </w:rPr>
              <w:t>e</w:t>
            </w:r>
            <w:r w:rsidRPr="00DD02AC">
              <w:rPr>
                <w:sz w:val="20"/>
                <w:szCs w:val="20"/>
              </w:rPr>
              <w:t>mployee</w:t>
            </w:r>
          </w:p>
        </w:tc>
        <w:tc>
          <w:tcPr>
            <w:tcW w:w="1134" w:type="dxa"/>
            <w:tcBorders>
              <w:top w:val="nil"/>
              <w:left w:val="nil"/>
              <w:bottom w:val="nil"/>
              <w:right w:val="nil"/>
            </w:tcBorders>
            <w:noWrap/>
            <w:vAlign w:val="center"/>
            <w:hideMark/>
          </w:tcPr>
          <w:p w14:paraId="433B53C3" w14:textId="77777777" w:rsidR="007A6A1A" w:rsidRPr="00DD02AC" w:rsidRDefault="007A6A1A" w:rsidP="00DD02AC">
            <w:pPr>
              <w:spacing w:after="0" w:line="240" w:lineRule="auto"/>
              <w:rPr>
                <w:sz w:val="20"/>
                <w:szCs w:val="20"/>
              </w:rPr>
            </w:pPr>
            <w:r w:rsidRPr="00DD02AC">
              <w:rPr>
                <w:sz w:val="20"/>
                <w:szCs w:val="20"/>
              </w:rPr>
              <w:t>11.4%</w:t>
            </w:r>
          </w:p>
        </w:tc>
        <w:tc>
          <w:tcPr>
            <w:tcW w:w="1147" w:type="dxa"/>
            <w:tcBorders>
              <w:top w:val="nil"/>
              <w:left w:val="nil"/>
              <w:bottom w:val="nil"/>
              <w:right w:val="nil"/>
            </w:tcBorders>
            <w:noWrap/>
            <w:vAlign w:val="center"/>
            <w:hideMark/>
          </w:tcPr>
          <w:p w14:paraId="56094717" w14:textId="77777777" w:rsidR="007A6A1A" w:rsidRPr="00DD02AC" w:rsidRDefault="007A6A1A" w:rsidP="00DD02AC">
            <w:pPr>
              <w:spacing w:after="0" w:line="240" w:lineRule="auto"/>
              <w:rPr>
                <w:sz w:val="20"/>
                <w:szCs w:val="20"/>
              </w:rPr>
            </w:pPr>
            <w:r w:rsidRPr="00DD02AC">
              <w:rPr>
                <w:sz w:val="20"/>
                <w:szCs w:val="20"/>
              </w:rPr>
              <w:t>7.7%</w:t>
            </w:r>
          </w:p>
        </w:tc>
        <w:tc>
          <w:tcPr>
            <w:tcW w:w="1147" w:type="dxa"/>
            <w:gridSpan w:val="2"/>
            <w:tcBorders>
              <w:top w:val="nil"/>
              <w:left w:val="nil"/>
              <w:bottom w:val="nil"/>
              <w:right w:val="nil"/>
            </w:tcBorders>
            <w:vAlign w:val="center"/>
            <w:hideMark/>
          </w:tcPr>
          <w:p w14:paraId="3CF922BC" w14:textId="77777777" w:rsidR="007A6A1A" w:rsidRPr="00DD02AC" w:rsidRDefault="007A6A1A" w:rsidP="00DD02AC">
            <w:pPr>
              <w:spacing w:after="0" w:line="240" w:lineRule="auto"/>
              <w:rPr>
                <w:sz w:val="20"/>
                <w:szCs w:val="20"/>
              </w:rPr>
            </w:pPr>
            <w:r w:rsidRPr="00DD02AC">
              <w:rPr>
                <w:sz w:val="20"/>
                <w:szCs w:val="20"/>
              </w:rPr>
              <w:t>38.5%</w:t>
            </w:r>
          </w:p>
        </w:tc>
        <w:tc>
          <w:tcPr>
            <w:tcW w:w="1147" w:type="dxa"/>
            <w:tcBorders>
              <w:top w:val="nil"/>
              <w:left w:val="nil"/>
              <w:bottom w:val="nil"/>
              <w:right w:val="single" w:sz="4" w:space="0" w:color="auto"/>
            </w:tcBorders>
            <w:vAlign w:val="center"/>
            <w:hideMark/>
          </w:tcPr>
          <w:p w14:paraId="3CB656EC" w14:textId="77777777" w:rsidR="007A6A1A" w:rsidRPr="00DD02AC" w:rsidRDefault="007A6A1A" w:rsidP="00DD02AC">
            <w:pPr>
              <w:spacing w:after="0" w:line="240" w:lineRule="auto"/>
              <w:rPr>
                <w:sz w:val="20"/>
                <w:szCs w:val="20"/>
              </w:rPr>
            </w:pPr>
            <w:r w:rsidRPr="00DD02AC">
              <w:rPr>
                <w:sz w:val="20"/>
                <w:szCs w:val="20"/>
              </w:rPr>
              <w:t>36.1%</w:t>
            </w:r>
          </w:p>
        </w:tc>
      </w:tr>
      <w:tr w:rsidR="007A6A1A" w:rsidRPr="00167CB8" w14:paraId="3888C7E3" w14:textId="77777777" w:rsidTr="00DD02AC">
        <w:trPr>
          <w:trHeight w:val="340"/>
        </w:trPr>
        <w:tc>
          <w:tcPr>
            <w:tcW w:w="4673" w:type="dxa"/>
            <w:tcBorders>
              <w:top w:val="nil"/>
              <w:left w:val="single" w:sz="4" w:space="0" w:color="auto"/>
              <w:bottom w:val="nil"/>
              <w:right w:val="nil"/>
            </w:tcBorders>
            <w:noWrap/>
            <w:vAlign w:val="center"/>
            <w:hideMark/>
          </w:tcPr>
          <w:p w14:paraId="1347FECE" w14:textId="2D067EF7" w:rsidR="007A6A1A" w:rsidRPr="00DD02AC" w:rsidRDefault="007A6A1A" w:rsidP="00DD02AC">
            <w:pPr>
              <w:spacing w:after="0" w:line="240" w:lineRule="auto"/>
              <w:rPr>
                <w:sz w:val="20"/>
                <w:szCs w:val="20"/>
              </w:rPr>
            </w:pPr>
            <w:r w:rsidRPr="00DD02AC">
              <w:rPr>
                <w:sz w:val="20"/>
                <w:szCs w:val="20"/>
              </w:rPr>
              <w:t>Highest qualification a diploma/certificate</w:t>
            </w:r>
          </w:p>
        </w:tc>
        <w:tc>
          <w:tcPr>
            <w:tcW w:w="1134" w:type="dxa"/>
            <w:tcBorders>
              <w:top w:val="nil"/>
              <w:left w:val="nil"/>
              <w:bottom w:val="nil"/>
              <w:right w:val="nil"/>
            </w:tcBorders>
            <w:noWrap/>
            <w:vAlign w:val="center"/>
            <w:hideMark/>
          </w:tcPr>
          <w:p w14:paraId="4C06EB58" w14:textId="77777777" w:rsidR="007A6A1A" w:rsidRPr="00DD02AC" w:rsidRDefault="007A6A1A" w:rsidP="00DD02AC">
            <w:pPr>
              <w:spacing w:after="0" w:line="240" w:lineRule="auto"/>
              <w:rPr>
                <w:sz w:val="20"/>
                <w:szCs w:val="20"/>
              </w:rPr>
            </w:pPr>
            <w:r w:rsidRPr="00DD02AC">
              <w:rPr>
                <w:sz w:val="20"/>
                <w:szCs w:val="20"/>
              </w:rPr>
              <w:t>35.7%</w:t>
            </w:r>
          </w:p>
        </w:tc>
        <w:tc>
          <w:tcPr>
            <w:tcW w:w="1147" w:type="dxa"/>
            <w:tcBorders>
              <w:top w:val="nil"/>
              <w:left w:val="nil"/>
              <w:bottom w:val="nil"/>
              <w:right w:val="nil"/>
            </w:tcBorders>
            <w:noWrap/>
            <w:vAlign w:val="center"/>
            <w:hideMark/>
          </w:tcPr>
          <w:p w14:paraId="407F65E3" w14:textId="77777777" w:rsidR="007A6A1A" w:rsidRPr="00DD02AC" w:rsidRDefault="007A6A1A" w:rsidP="00DD02AC">
            <w:pPr>
              <w:spacing w:after="0" w:line="240" w:lineRule="auto"/>
              <w:rPr>
                <w:sz w:val="20"/>
                <w:szCs w:val="20"/>
              </w:rPr>
            </w:pPr>
            <w:r w:rsidRPr="00DD02AC">
              <w:rPr>
                <w:sz w:val="20"/>
                <w:szCs w:val="20"/>
              </w:rPr>
              <w:t>28.9%</w:t>
            </w:r>
          </w:p>
        </w:tc>
        <w:tc>
          <w:tcPr>
            <w:tcW w:w="1147" w:type="dxa"/>
            <w:gridSpan w:val="2"/>
            <w:tcBorders>
              <w:top w:val="nil"/>
              <w:left w:val="nil"/>
              <w:bottom w:val="nil"/>
              <w:right w:val="nil"/>
            </w:tcBorders>
            <w:vAlign w:val="center"/>
            <w:hideMark/>
          </w:tcPr>
          <w:p w14:paraId="727483E9" w14:textId="77777777" w:rsidR="007A6A1A" w:rsidRPr="00DD02AC" w:rsidRDefault="007A6A1A" w:rsidP="00DD02AC">
            <w:pPr>
              <w:spacing w:after="0" w:line="240" w:lineRule="auto"/>
              <w:rPr>
                <w:sz w:val="20"/>
                <w:szCs w:val="20"/>
              </w:rPr>
            </w:pPr>
            <w:r w:rsidRPr="00DD02AC">
              <w:rPr>
                <w:sz w:val="20"/>
                <w:szCs w:val="20"/>
              </w:rPr>
              <w:t>22.6%</w:t>
            </w:r>
          </w:p>
        </w:tc>
        <w:tc>
          <w:tcPr>
            <w:tcW w:w="1147" w:type="dxa"/>
            <w:tcBorders>
              <w:top w:val="nil"/>
              <w:left w:val="nil"/>
              <w:bottom w:val="nil"/>
              <w:right w:val="single" w:sz="4" w:space="0" w:color="auto"/>
            </w:tcBorders>
            <w:vAlign w:val="center"/>
            <w:hideMark/>
          </w:tcPr>
          <w:p w14:paraId="7AF588A9" w14:textId="77777777" w:rsidR="007A6A1A" w:rsidRPr="00DD02AC" w:rsidRDefault="007A6A1A" w:rsidP="00DD02AC">
            <w:pPr>
              <w:spacing w:after="0" w:line="240" w:lineRule="auto"/>
              <w:rPr>
                <w:sz w:val="20"/>
                <w:szCs w:val="20"/>
              </w:rPr>
            </w:pPr>
            <w:r w:rsidRPr="00DD02AC">
              <w:rPr>
                <w:sz w:val="20"/>
                <w:szCs w:val="20"/>
              </w:rPr>
              <w:t>30.6%</w:t>
            </w:r>
          </w:p>
        </w:tc>
      </w:tr>
      <w:tr w:rsidR="007A6A1A" w:rsidRPr="00167CB8" w14:paraId="5460A6D4" w14:textId="77777777" w:rsidTr="00DD02AC">
        <w:trPr>
          <w:trHeight w:val="340"/>
        </w:trPr>
        <w:tc>
          <w:tcPr>
            <w:tcW w:w="4673" w:type="dxa"/>
            <w:tcBorders>
              <w:top w:val="nil"/>
              <w:left w:val="single" w:sz="4" w:space="0" w:color="auto"/>
              <w:bottom w:val="nil"/>
              <w:right w:val="nil"/>
            </w:tcBorders>
            <w:noWrap/>
            <w:vAlign w:val="center"/>
            <w:hideMark/>
          </w:tcPr>
          <w:p w14:paraId="7269191E" w14:textId="77777777" w:rsidR="007A6A1A" w:rsidRPr="00DD02AC" w:rsidRDefault="007A6A1A" w:rsidP="00DD02AC">
            <w:pPr>
              <w:spacing w:after="0" w:line="240" w:lineRule="auto"/>
              <w:rPr>
                <w:sz w:val="20"/>
                <w:szCs w:val="20"/>
              </w:rPr>
            </w:pPr>
            <w:r w:rsidRPr="00DD02AC">
              <w:rPr>
                <w:sz w:val="20"/>
                <w:szCs w:val="20"/>
              </w:rPr>
              <w:t>Highest qualification an undergraduate degree</w:t>
            </w:r>
          </w:p>
        </w:tc>
        <w:tc>
          <w:tcPr>
            <w:tcW w:w="1134" w:type="dxa"/>
            <w:tcBorders>
              <w:top w:val="nil"/>
              <w:left w:val="nil"/>
              <w:bottom w:val="nil"/>
              <w:right w:val="nil"/>
            </w:tcBorders>
            <w:noWrap/>
            <w:vAlign w:val="center"/>
            <w:hideMark/>
          </w:tcPr>
          <w:p w14:paraId="44F582F1" w14:textId="77777777" w:rsidR="007A6A1A" w:rsidRPr="00DD02AC" w:rsidRDefault="007A6A1A" w:rsidP="00DD02AC">
            <w:pPr>
              <w:spacing w:after="0" w:line="240" w:lineRule="auto"/>
              <w:rPr>
                <w:sz w:val="20"/>
                <w:szCs w:val="20"/>
              </w:rPr>
            </w:pPr>
            <w:r w:rsidRPr="00DD02AC">
              <w:rPr>
                <w:sz w:val="20"/>
                <w:szCs w:val="20"/>
              </w:rPr>
              <w:t>20.1%</w:t>
            </w:r>
          </w:p>
        </w:tc>
        <w:tc>
          <w:tcPr>
            <w:tcW w:w="1147" w:type="dxa"/>
            <w:tcBorders>
              <w:top w:val="nil"/>
              <w:left w:val="nil"/>
              <w:bottom w:val="nil"/>
              <w:right w:val="nil"/>
            </w:tcBorders>
            <w:noWrap/>
            <w:vAlign w:val="center"/>
            <w:hideMark/>
          </w:tcPr>
          <w:p w14:paraId="19AD38E3" w14:textId="77777777" w:rsidR="007A6A1A" w:rsidRPr="00DD02AC" w:rsidRDefault="007A6A1A" w:rsidP="00DD02AC">
            <w:pPr>
              <w:spacing w:after="0" w:line="240" w:lineRule="auto"/>
              <w:rPr>
                <w:sz w:val="20"/>
                <w:szCs w:val="20"/>
              </w:rPr>
            </w:pPr>
            <w:r w:rsidRPr="00DD02AC">
              <w:rPr>
                <w:sz w:val="20"/>
                <w:szCs w:val="20"/>
              </w:rPr>
              <w:t>22.9%</w:t>
            </w:r>
          </w:p>
        </w:tc>
        <w:tc>
          <w:tcPr>
            <w:tcW w:w="1147" w:type="dxa"/>
            <w:gridSpan w:val="2"/>
            <w:tcBorders>
              <w:top w:val="nil"/>
              <w:left w:val="nil"/>
              <w:bottom w:val="nil"/>
              <w:right w:val="nil"/>
            </w:tcBorders>
            <w:vAlign w:val="center"/>
            <w:hideMark/>
          </w:tcPr>
          <w:p w14:paraId="256C0E12" w14:textId="77777777" w:rsidR="007A6A1A" w:rsidRPr="00DD02AC" w:rsidRDefault="007A6A1A" w:rsidP="00DD02AC">
            <w:pPr>
              <w:spacing w:after="0" w:line="240" w:lineRule="auto"/>
              <w:rPr>
                <w:sz w:val="20"/>
                <w:szCs w:val="20"/>
              </w:rPr>
            </w:pPr>
            <w:r w:rsidRPr="00DD02AC">
              <w:rPr>
                <w:sz w:val="20"/>
                <w:szCs w:val="20"/>
              </w:rPr>
              <w:t>25.6%</w:t>
            </w:r>
          </w:p>
        </w:tc>
        <w:tc>
          <w:tcPr>
            <w:tcW w:w="1147" w:type="dxa"/>
            <w:tcBorders>
              <w:top w:val="nil"/>
              <w:left w:val="nil"/>
              <w:bottom w:val="nil"/>
              <w:right w:val="single" w:sz="4" w:space="0" w:color="auto"/>
            </w:tcBorders>
            <w:vAlign w:val="center"/>
            <w:hideMark/>
          </w:tcPr>
          <w:p w14:paraId="3D648575" w14:textId="77777777" w:rsidR="007A6A1A" w:rsidRPr="00DD02AC" w:rsidRDefault="007A6A1A" w:rsidP="00DD02AC">
            <w:pPr>
              <w:spacing w:after="0" w:line="240" w:lineRule="auto"/>
              <w:rPr>
                <w:sz w:val="20"/>
                <w:szCs w:val="20"/>
              </w:rPr>
            </w:pPr>
            <w:r w:rsidRPr="00DD02AC">
              <w:rPr>
                <w:sz w:val="20"/>
                <w:szCs w:val="20"/>
              </w:rPr>
              <w:t>27.2%</w:t>
            </w:r>
          </w:p>
        </w:tc>
      </w:tr>
      <w:tr w:rsidR="007A6A1A" w:rsidRPr="00167CB8" w14:paraId="7D2AB21E" w14:textId="77777777" w:rsidTr="00DD02AC">
        <w:trPr>
          <w:trHeight w:val="340"/>
        </w:trPr>
        <w:tc>
          <w:tcPr>
            <w:tcW w:w="4673" w:type="dxa"/>
            <w:tcBorders>
              <w:top w:val="nil"/>
              <w:left w:val="single" w:sz="4" w:space="0" w:color="auto"/>
              <w:bottom w:val="nil"/>
              <w:right w:val="nil"/>
            </w:tcBorders>
            <w:noWrap/>
            <w:vAlign w:val="center"/>
            <w:hideMark/>
          </w:tcPr>
          <w:p w14:paraId="1AECFE3E" w14:textId="77777777" w:rsidR="007A6A1A" w:rsidRPr="00DD02AC" w:rsidRDefault="007A6A1A" w:rsidP="00DD02AC">
            <w:pPr>
              <w:spacing w:after="0" w:line="240" w:lineRule="auto"/>
              <w:rPr>
                <w:sz w:val="20"/>
                <w:szCs w:val="20"/>
              </w:rPr>
            </w:pPr>
            <w:r w:rsidRPr="00DD02AC">
              <w:rPr>
                <w:sz w:val="20"/>
                <w:szCs w:val="20"/>
              </w:rPr>
              <w:t>Highest qualification a postgraduate degree</w:t>
            </w:r>
          </w:p>
        </w:tc>
        <w:tc>
          <w:tcPr>
            <w:tcW w:w="1134" w:type="dxa"/>
            <w:tcBorders>
              <w:top w:val="nil"/>
              <w:left w:val="nil"/>
              <w:bottom w:val="nil"/>
              <w:right w:val="nil"/>
            </w:tcBorders>
            <w:noWrap/>
            <w:vAlign w:val="center"/>
            <w:hideMark/>
          </w:tcPr>
          <w:p w14:paraId="10E2413B" w14:textId="77777777" w:rsidR="007A6A1A" w:rsidRPr="00DD02AC" w:rsidRDefault="007A6A1A" w:rsidP="00DD02AC">
            <w:pPr>
              <w:spacing w:after="0" w:line="240" w:lineRule="auto"/>
              <w:rPr>
                <w:sz w:val="20"/>
                <w:szCs w:val="20"/>
              </w:rPr>
            </w:pPr>
            <w:r w:rsidRPr="00DD02AC">
              <w:rPr>
                <w:sz w:val="20"/>
                <w:szCs w:val="20"/>
              </w:rPr>
              <w:t>21.3%</w:t>
            </w:r>
          </w:p>
        </w:tc>
        <w:tc>
          <w:tcPr>
            <w:tcW w:w="1147" w:type="dxa"/>
            <w:tcBorders>
              <w:top w:val="nil"/>
              <w:left w:val="nil"/>
              <w:bottom w:val="nil"/>
              <w:right w:val="nil"/>
            </w:tcBorders>
            <w:noWrap/>
            <w:vAlign w:val="center"/>
            <w:hideMark/>
          </w:tcPr>
          <w:p w14:paraId="52ED2A75" w14:textId="77777777" w:rsidR="007A6A1A" w:rsidRPr="00DD02AC" w:rsidRDefault="007A6A1A" w:rsidP="00DD02AC">
            <w:pPr>
              <w:spacing w:after="0" w:line="240" w:lineRule="auto"/>
              <w:rPr>
                <w:sz w:val="20"/>
                <w:szCs w:val="20"/>
              </w:rPr>
            </w:pPr>
            <w:r w:rsidRPr="00DD02AC">
              <w:rPr>
                <w:sz w:val="20"/>
                <w:szCs w:val="20"/>
              </w:rPr>
              <w:t>25.4%</w:t>
            </w:r>
          </w:p>
        </w:tc>
        <w:tc>
          <w:tcPr>
            <w:tcW w:w="1147" w:type="dxa"/>
            <w:gridSpan w:val="2"/>
            <w:tcBorders>
              <w:top w:val="nil"/>
              <w:left w:val="nil"/>
              <w:bottom w:val="nil"/>
              <w:right w:val="nil"/>
            </w:tcBorders>
            <w:vAlign w:val="center"/>
            <w:hideMark/>
          </w:tcPr>
          <w:p w14:paraId="6F82A2EB" w14:textId="77777777" w:rsidR="007A6A1A" w:rsidRPr="00DD02AC" w:rsidRDefault="007A6A1A" w:rsidP="00DD02AC">
            <w:pPr>
              <w:spacing w:after="0" w:line="240" w:lineRule="auto"/>
              <w:rPr>
                <w:sz w:val="20"/>
                <w:szCs w:val="20"/>
              </w:rPr>
            </w:pPr>
            <w:r w:rsidRPr="00DD02AC">
              <w:rPr>
                <w:sz w:val="20"/>
                <w:szCs w:val="20"/>
              </w:rPr>
              <w:t>29.8%</w:t>
            </w:r>
          </w:p>
        </w:tc>
        <w:tc>
          <w:tcPr>
            <w:tcW w:w="1147" w:type="dxa"/>
            <w:tcBorders>
              <w:top w:val="nil"/>
              <w:left w:val="nil"/>
              <w:bottom w:val="nil"/>
              <w:right w:val="single" w:sz="4" w:space="0" w:color="auto"/>
            </w:tcBorders>
            <w:vAlign w:val="center"/>
            <w:hideMark/>
          </w:tcPr>
          <w:p w14:paraId="01B0F81A" w14:textId="77777777" w:rsidR="007A6A1A" w:rsidRPr="00DD02AC" w:rsidRDefault="007A6A1A" w:rsidP="00DD02AC">
            <w:pPr>
              <w:spacing w:after="0" w:line="240" w:lineRule="auto"/>
              <w:rPr>
                <w:sz w:val="20"/>
                <w:szCs w:val="20"/>
              </w:rPr>
            </w:pPr>
            <w:r w:rsidRPr="00DD02AC">
              <w:rPr>
                <w:sz w:val="20"/>
                <w:szCs w:val="20"/>
              </w:rPr>
              <w:t>21.8%</w:t>
            </w:r>
          </w:p>
        </w:tc>
      </w:tr>
      <w:tr w:rsidR="007A6A1A" w:rsidRPr="00167CB8" w14:paraId="3A292F6A" w14:textId="77777777" w:rsidTr="00DD02AC">
        <w:trPr>
          <w:trHeight w:val="340"/>
        </w:trPr>
        <w:tc>
          <w:tcPr>
            <w:tcW w:w="4673" w:type="dxa"/>
            <w:tcBorders>
              <w:top w:val="nil"/>
              <w:left w:val="single" w:sz="4" w:space="0" w:color="auto"/>
              <w:bottom w:val="nil"/>
              <w:right w:val="nil"/>
            </w:tcBorders>
            <w:noWrap/>
            <w:vAlign w:val="center"/>
            <w:hideMark/>
          </w:tcPr>
          <w:p w14:paraId="6A001D56" w14:textId="77777777" w:rsidR="007A6A1A" w:rsidRPr="00DD02AC" w:rsidRDefault="007A6A1A" w:rsidP="00DD02AC">
            <w:pPr>
              <w:spacing w:after="0" w:line="240" w:lineRule="auto"/>
              <w:rPr>
                <w:sz w:val="20"/>
                <w:szCs w:val="20"/>
              </w:rPr>
            </w:pPr>
            <w:r w:rsidRPr="00DD02AC">
              <w:rPr>
                <w:sz w:val="20"/>
                <w:szCs w:val="20"/>
              </w:rPr>
              <w:t>Age</w:t>
            </w:r>
          </w:p>
        </w:tc>
        <w:tc>
          <w:tcPr>
            <w:tcW w:w="1134" w:type="dxa"/>
            <w:tcBorders>
              <w:top w:val="nil"/>
              <w:left w:val="nil"/>
              <w:bottom w:val="nil"/>
              <w:right w:val="nil"/>
            </w:tcBorders>
            <w:noWrap/>
            <w:vAlign w:val="center"/>
            <w:hideMark/>
          </w:tcPr>
          <w:p w14:paraId="21726780" w14:textId="77777777" w:rsidR="007A6A1A" w:rsidRPr="00DD02AC" w:rsidRDefault="007A6A1A" w:rsidP="00DD02AC">
            <w:pPr>
              <w:spacing w:after="0" w:line="240" w:lineRule="auto"/>
              <w:rPr>
                <w:sz w:val="20"/>
                <w:szCs w:val="20"/>
              </w:rPr>
            </w:pPr>
            <w:r w:rsidRPr="00DD02AC">
              <w:rPr>
                <w:sz w:val="20"/>
                <w:szCs w:val="20"/>
              </w:rPr>
              <w:t>39.9</w:t>
            </w:r>
          </w:p>
        </w:tc>
        <w:tc>
          <w:tcPr>
            <w:tcW w:w="1147" w:type="dxa"/>
            <w:tcBorders>
              <w:top w:val="nil"/>
              <w:left w:val="nil"/>
              <w:bottom w:val="nil"/>
              <w:right w:val="nil"/>
            </w:tcBorders>
            <w:noWrap/>
            <w:vAlign w:val="center"/>
            <w:hideMark/>
          </w:tcPr>
          <w:p w14:paraId="3CF96B9F" w14:textId="77777777" w:rsidR="007A6A1A" w:rsidRPr="00DD02AC" w:rsidRDefault="007A6A1A" w:rsidP="00DD02AC">
            <w:pPr>
              <w:spacing w:after="0" w:line="240" w:lineRule="auto"/>
              <w:rPr>
                <w:sz w:val="20"/>
                <w:szCs w:val="20"/>
              </w:rPr>
            </w:pPr>
            <w:r w:rsidRPr="00DD02AC">
              <w:rPr>
                <w:sz w:val="20"/>
                <w:szCs w:val="20"/>
              </w:rPr>
              <w:t>37.5</w:t>
            </w:r>
          </w:p>
        </w:tc>
        <w:tc>
          <w:tcPr>
            <w:tcW w:w="1147" w:type="dxa"/>
            <w:gridSpan w:val="2"/>
            <w:tcBorders>
              <w:top w:val="nil"/>
              <w:left w:val="nil"/>
              <w:bottom w:val="nil"/>
              <w:right w:val="nil"/>
            </w:tcBorders>
            <w:vAlign w:val="center"/>
            <w:hideMark/>
          </w:tcPr>
          <w:p w14:paraId="47A28F99" w14:textId="77777777" w:rsidR="007A6A1A" w:rsidRPr="00DD02AC" w:rsidRDefault="007A6A1A" w:rsidP="00DD02AC">
            <w:pPr>
              <w:spacing w:after="0" w:line="240" w:lineRule="auto"/>
              <w:rPr>
                <w:sz w:val="20"/>
                <w:szCs w:val="20"/>
              </w:rPr>
            </w:pPr>
            <w:r w:rsidRPr="00DD02AC">
              <w:rPr>
                <w:sz w:val="20"/>
                <w:szCs w:val="20"/>
              </w:rPr>
              <w:t>38.4</w:t>
            </w:r>
          </w:p>
        </w:tc>
        <w:tc>
          <w:tcPr>
            <w:tcW w:w="1147" w:type="dxa"/>
            <w:tcBorders>
              <w:top w:val="nil"/>
              <w:left w:val="nil"/>
              <w:bottom w:val="nil"/>
              <w:right w:val="single" w:sz="4" w:space="0" w:color="auto"/>
            </w:tcBorders>
            <w:vAlign w:val="center"/>
            <w:hideMark/>
          </w:tcPr>
          <w:p w14:paraId="426BBC72" w14:textId="77777777" w:rsidR="007A6A1A" w:rsidRPr="00DD02AC" w:rsidRDefault="007A6A1A" w:rsidP="00DD02AC">
            <w:pPr>
              <w:spacing w:after="0" w:line="240" w:lineRule="auto"/>
              <w:rPr>
                <w:sz w:val="20"/>
                <w:szCs w:val="20"/>
              </w:rPr>
            </w:pPr>
            <w:r w:rsidRPr="00DD02AC">
              <w:rPr>
                <w:sz w:val="20"/>
                <w:szCs w:val="20"/>
              </w:rPr>
              <w:t>40.8</w:t>
            </w:r>
          </w:p>
        </w:tc>
      </w:tr>
      <w:tr w:rsidR="007A6A1A" w:rsidRPr="00167CB8" w14:paraId="77F50930" w14:textId="77777777" w:rsidTr="00DD02AC">
        <w:trPr>
          <w:trHeight w:val="340"/>
        </w:trPr>
        <w:tc>
          <w:tcPr>
            <w:tcW w:w="4673" w:type="dxa"/>
            <w:tcBorders>
              <w:top w:val="nil"/>
              <w:left w:val="single" w:sz="4" w:space="0" w:color="auto"/>
              <w:bottom w:val="nil"/>
              <w:right w:val="nil"/>
            </w:tcBorders>
            <w:noWrap/>
            <w:vAlign w:val="center"/>
            <w:hideMark/>
          </w:tcPr>
          <w:p w14:paraId="590CD2B8" w14:textId="77777777" w:rsidR="007A6A1A" w:rsidRPr="00DD02AC" w:rsidRDefault="007A6A1A" w:rsidP="00DD02AC">
            <w:pPr>
              <w:spacing w:after="0" w:line="240" w:lineRule="auto"/>
              <w:rPr>
                <w:sz w:val="20"/>
                <w:szCs w:val="20"/>
              </w:rPr>
            </w:pPr>
          </w:p>
        </w:tc>
        <w:tc>
          <w:tcPr>
            <w:tcW w:w="1134" w:type="dxa"/>
            <w:tcBorders>
              <w:top w:val="nil"/>
              <w:left w:val="nil"/>
              <w:bottom w:val="nil"/>
              <w:right w:val="nil"/>
            </w:tcBorders>
            <w:noWrap/>
            <w:vAlign w:val="center"/>
            <w:hideMark/>
          </w:tcPr>
          <w:p w14:paraId="5BFCB52F" w14:textId="77777777" w:rsidR="007A6A1A" w:rsidRPr="00DD02AC" w:rsidRDefault="007A6A1A" w:rsidP="00DD02AC">
            <w:pPr>
              <w:spacing w:after="0" w:line="240" w:lineRule="auto"/>
              <w:rPr>
                <w:sz w:val="20"/>
                <w:szCs w:val="20"/>
              </w:rPr>
            </w:pPr>
            <w:r w:rsidRPr="00DD02AC">
              <w:rPr>
                <w:sz w:val="20"/>
                <w:szCs w:val="20"/>
              </w:rPr>
              <w:t>(11.7)</w:t>
            </w:r>
          </w:p>
        </w:tc>
        <w:tc>
          <w:tcPr>
            <w:tcW w:w="1147" w:type="dxa"/>
            <w:tcBorders>
              <w:top w:val="nil"/>
              <w:left w:val="nil"/>
              <w:bottom w:val="nil"/>
              <w:right w:val="nil"/>
            </w:tcBorders>
            <w:noWrap/>
            <w:vAlign w:val="center"/>
            <w:hideMark/>
          </w:tcPr>
          <w:p w14:paraId="08BFABD6" w14:textId="77777777" w:rsidR="007A6A1A" w:rsidRPr="00DD02AC" w:rsidRDefault="007A6A1A" w:rsidP="00DD02AC">
            <w:pPr>
              <w:spacing w:after="0" w:line="240" w:lineRule="auto"/>
              <w:rPr>
                <w:sz w:val="20"/>
                <w:szCs w:val="20"/>
              </w:rPr>
            </w:pPr>
            <w:r w:rsidRPr="00DD02AC">
              <w:rPr>
                <w:sz w:val="20"/>
                <w:szCs w:val="20"/>
              </w:rPr>
              <w:t>(11.8)</w:t>
            </w:r>
          </w:p>
        </w:tc>
        <w:tc>
          <w:tcPr>
            <w:tcW w:w="1147" w:type="dxa"/>
            <w:gridSpan w:val="2"/>
            <w:tcBorders>
              <w:top w:val="nil"/>
              <w:left w:val="nil"/>
              <w:bottom w:val="nil"/>
              <w:right w:val="nil"/>
            </w:tcBorders>
            <w:vAlign w:val="center"/>
            <w:hideMark/>
          </w:tcPr>
          <w:p w14:paraId="3C2FE977" w14:textId="77777777" w:rsidR="007A6A1A" w:rsidRPr="00DD02AC" w:rsidRDefault="007A6A1A" w:rsidP="00DD02AC">
            <w:pPr>
              <w:spacing w:after="0" w:line="240" w:lineRule="auto"/>
              <w:rPr>
                <w:sz w:val="20"/>
                <w:szCs w:val="20"/>
              </w:rPr>
            </w:pPr>
            <w:r w:rsidRPr="00DD02AC">
              <w:rPr>
                <w:sz w:val="20"/>
                <w:szCs w:val="20"/>
              </w:rPr>
              <w:t>(12.2)</w:t>
            </w:r>
          </w:p>
        </w:tc>
        <w:tc>
          <w:tcPr>
            <w:tcW w:w="1147" w:type="dxa"/>
            <w:tcBorders>
              <w:top w:val="nil"/>
              <w:left w:val="nil"/>
              <w:bottom w:val="nil"/>
              <w:right w:val="single" w:sz="4" w:space="0" w:color="auto"/>
            </w:tcBorders>
            <w:vAlign w:val="center"/>
            <w:hideMark/>
          </w:tcPr>
          <w:p w14:paraId="151C40F7" w14:textId="77777777" w:rsidR="007A6A1A" w:rsidRPr="00DD02AC" w:rsidRDefault="007A6A1A" w:rsidP="00DD02AC">
            <w:pPr>
              <w:spacing w:after="0" w:line="240" w:lineRule="auto"/>
              <w:rPr>
                <w:sz w:val="20"/>
                <w:szCs w:val="20"/>
              </w:rPr>
            </w:pPr>
            <w:r w:rsidRPr="00DD02AC">
              <w:rPr>
                <w:sz w:val="20"/>
                <w:szCs w:val="20"/>
              </w:rPr>
              <w:t>(12.1)</w:t>
            </w:r>
          </w:p>
        </w:tc>
      </w:tr>
      <w:tr w:rsidR="007A6A1A" w:rsidRPr="00167CB8" w14:paraId="06D9103C" w14:textId="77777777" w:rsidTr="00DD02AC">
        <w:trPr>
          <w:trHeight w:val="340"/>
        </w:trPr>
        <w:tc>
          <w:tcPr>
            <w:tcW w:w="4673" w:type="dxa"/>
            <w:tcBorders>
              <w:top w:val="nil"/>
              <w:left w:val="single" w:sz="4" w:space="0" w:color="auto"/>
              <w:bottom w:val="nil"/>
              <w:right w:val="nil"/>
            </w:tcBorders>
            <w:noWrap/>
            <w:vAlign w:val="center"/>
            <w:hideMark/>
          </w:tcPr>
          <w:p w14:paraId="0E6E5EE4" w14:textId="77777777" w:rsidR="007A6A1A" w:rsidRPr="00DD02AC" w:rsidRDefault="007A6A1A" w:rsidP="00DD02AC">
            <w:pPr>
              <w:spacing w:after="0" w:line="240" w:lineRule="auto"/>
              <w:rPr>
                <w:sz w:val="20"/>
                <w:szCs w:val="20"/>
              </w:rPr>
            </w:pPr>
            <w:r w:rsidRPr="00DD02AC">
              <w:rPr>
                <w:sz w:val="20"/>
                <w:szCs w:val="20"/>
              </w:rPr>
              <w:t>Married or living in a de facto relationship</w:t>
            </w:r>
          </w:p>
        </w:tc>
        <w:tc>
          <w:tcPr>
            <w:tcW w:w="1134" w:type="dxa"/>
            <w:tcBorders>
              <w:top w:val="nil"/>
              <w:left w:val="nil"/>
              <w:bottom w:val="nil"/>
              <w:right w:val="nil"/>
            </w:tcBorders>
            <w:noWrap/>
            <w:vAlign w:val="center"/>
            <w:hideMark/>
          </w:tcPr>
          <w:p w14:paraId="3B3B0C66" w14:textId="77777777" w:rsidR="007A6A1A" w:rsidRPr="00DD02AC" w:rsidRDefault="007A6A1A" w:rsidP="00DD02AC">
            <w:pPr>
              <w:spacing w:after="0" w:line="240" w:lineRule="auto"/>
              <w:rPr>
                <w:sz w:val="20"/>
                <w:szCs w:val="20"/>
              </w:rPr>
            </w:pPr>
            <w:r w:rsidRPr="00DD02AC">
              <w:rPr>
                <w:sz w:val="20"/>
                <w:szCs w:val="20"/>
              </w:rPr>
              <w:t>67.3%</w:t>
            </w:r>
          </w:p>
        </w:tc>
        <w:tc>
          <w:tcPr>
            <w:tcW w:w="1147" w:type="dxa"/>
            <w:tcBorders>
              <w:top w:val="nil"/>
              <w:left w:val="nil"/>
              <w:bottom w:val="nil"/>
              <w:right w:val="nil"/>
            </w:tcBorders>
            <w:noWrap/>
            <w:vAlign w:val="center"/>
            <w:hideMark/>
          </w:tcPr>
          <w:p w14:paraId="6357680A" w14:textId="77777777" w:rsidR="007A6A1A" w:rsidRPr="00DD02AC" w:rsidRDefault="007A6A1A" w:rsidP="00DD02AC">
            <w:pPr>
              <w:spacing w:after="0" w:line="240" w:lineRule="auto"/>
              <w:rPr>
                <w:sz w:val="20"/>
                <w:szCs w:val="20"/>
              </w:rPr>
            </w:pPr>
            <w:r w:rsidRPr="00DD02AC">
              <w:rPr>
                <w:sz w:val="20"/>
                <w:szCs w:val="20"/>
              </w:rPr>
              <w:t>59.0%</w:t>
            </w:r>
          </w:p>
        </w:tc>
        <w:tc>
          <w:tcPr>
            <w:tcW w:w="1147" w:type="dxa"/>
            <w:gridSpan w:val="2"/>
            <w:tcBorders>
              <w:top w:val="nil"/>
              <w:left w:val="nil"/>
              <w:bottom w:val="nil"/>
              <w:right w:val="nil"/>
            </w:tcBorders>
            <w:vAlign w:val="center"/>
            <w:hideMark/>
          </w:tcPr>
          <w:p w14:paraId="2B3F304F" w14:textId="77777777" w:rsidR="007A6A1A" w:rsidRPr="00DD02AC" w:rsidRDefault="007A6A1A" w:rsidP="00DD02AC">
            <w:pPr>
              <w:spacing w:after="0" w:line="240" w:lineRule="auto"/>
              <w:rPr>
                <w:sz w:val="20"/>
                <w:szCs w:val="20"/>
              </w:rPr>
            </w:pPr>
            <w:r w:rsidRPr="00DD02AC">
              <w:rPr>
                <w:sz w:val="20"/>
                <w:szCs w:val="20"/>
              </w:rPr>
              <w:t>65.3%</w:t>
            </w:r>
          </w:p>
        </w:tc>
        <w:tc>
          <w:tcPr>
            <w:tcW w:w="1147" w:type="dxa"/>
            <w:tcBorders>
              <w:top w:val="nil"/>
              <w:left w:val="nil"/>
              <w:bottom w:val="nil"/>
              <w:right w:val="single" w:sz="4" w:space="0" w:color="auto"/>
            </w:tcBorders>
            <w:vAlign w:val="center"/>
            <w:hideMark/>
          </w:tcPr>
          <w:p w14:paraId="322D1706" w14:textId="77777777" w:rsidR="007A6A1A" w:rsidRPr="00DD02AC" w:rsidRDefault="007A6A1A" w:rsidP="00DD02AC">
            <w:pPr>
              <w:spacing w:after="0" w:line="240" w:lineRule="auto"/>
              <w:rPr>
                <w:sz w:val="20"/>
                <w:szCs w:val="20"/>
              </w:rPr>
            </w:pPr>
            <w:r w:rsidRPr="00DD02AC">
              <w:rPr>
                <w:sz w:val="20"/>
                <w:szCs w:val="20"/>
              </w:rPr>
              <w:t>67.1%</w:t>
            </w:r>
          </w:p>
        </w:tc>
      </w:tr>
      <w:tr w:rsidR="007A6A1A" w:rsidRPr="00167CB8" w14:paraId="06E7A57F" w14:textId="77777777" w:rsidTr="00DD02AC">
        <w:trPr>
          <w:trHeight w:val="340"/>
        </w:trPr>
        <w:tc>
          <w:tcPr>
            <w:tcW w:w="4673" w:type="dxa"/>
            <w:tcBorders>
              <w:top w:val="nil"/>
              <w:left w:val="single" w:sz="4" w:space="0" w:color="auto"/>
              <w:bottom w:val="nil"/>
              <w:right w:val="nil"/>
            </w:tcBorders>
            <w:noWrap/>
            <w:vAlign w:val="center"/>
            <w:hideMark/>
          </w:tcPr>
          <w:p w14:paraId="5050731C" w14:textId="77777777" w:rsidR="007A6A1A" w:rsidRPr="00DD02AC" w:rsidRDefault="007A6A1A" w:rsidP="00DD02AC">
            <w:pPr>
              <w:spacing w:after="0" w:line="240" w:lineRule="auto"/>
              <w:rPr>
                <w:sz w:val="20"/>
                <w:szCs w:val="20"/>
              </w:rPr>
            </w:pPr>
            <w:r w:rsidRPr="00DD02AC">
              <w:rPr>
                <w:sz w:val="20"/>
                <w:szCs w:val="20"/>
              </w:rPr>
              <w:t>Has a dependent child</w:t>
            </w:r>
          </w:p>
        </w:tc>
        <w:tc>
          <w:tcPr>
            <w:tcW w:w="1134" w:type="dxa"/>
            <w:tcBorders>
              <w:top w:val="nil"/>
              <w:left w:val="nil"/>
              <w:bottom w:val="nil"/>
              <w:right w:val="nil"/>
            </w:tcBorders>
            <w:noWrap/>
            <w:vAlign w:val="center"/>
            <w:hideMark/>
          </w:tcPr>
          <w:p w14:paraId="395CE48B" w14:textId="77777777" w:rsidR="007A6A1A" w:rsidRPr="00DD02AC" w:rsidRDefault="007A6A1A" w:rsidP="00DD02AC">
            <w:pPr>
              <w:spacing w:after="0" w:line="240" w:lineRule="auto"/>
              <w:rPr>
                <w:sz w:val="20"/>
                <w:szCs w:val="20"/>
              </w:rPr>
            </w:pPr>
            <w:r w:rsidRPr="00DD02AC">
              <w:rPr>
                <w:sz w:val="20"/>
                <w:szCs w:val="20"/>
              </w:rPr>
              <w:t>35.0%</w:t>
            </w:r>
          </w:p>
        </w:tc>
        <w:tc>
          <w:tcPr>
            <w:tcW w:w="1147" w:type="dxa"/>
            <w:tcBorders>
              <w:top w:val="nil"/>
              <w:left w:val="nil"/>
              <w:bottom w:val="nil"/>
              <w:right w:val="nil"/>
            </w:tcBorders>
            <w:noWrap/>
            <w:vAlign w:val="center"/>
            <w:hideMark/>
          </w:tcPr>
          <w:p w14:paraId="3BB88D80" w14:textId="77777777" w:rsidR="007A6A1A" w:rsidRPr="00DD02AC" w:rsidRDefault="007A6A1A" w:rsidP="00DD02AC">
            <w:pPr>
              <w:spacing w:after="0" w:line="240" w:lineRule="auto"/>
              <w:rPr>
                <w:sz w:val="20"/>
                <w:szCs w:val="20"/>
              </w:rPr>
            </w:pPr>
            <w:r w:rsidRPr="00DD02AC">
              <w:rPr>
                <w:sz w:val="20"/>
                <w:szCs w:val="20"/>
              </w:rPr>
              <w:t>22.3%</w:t>
            </w:r>
          </w:p>
        </w:tc>
        <w:tc>
          <w:tcPr>
            <w:tcW w:w="1147" w:type="dxa"/>
            <w:gridSpan w:val="2"/>
            <w:tcBorders>
              <w:top w:val="nil"/>
              <w:left w:val="nil"/>
              <w:bottom w:val="nil"/>
              <w:right w:val="nil"/>
            </w:tcBorders>
            <w:vAlign w:val="center"/>
            <w:hideMark/>
          </w:tcPr>
          <w:p w14:paraId="32193BA5" w14:textId="77777777" w:rsidR="007A6A1A" w:rsidRPr="00DD02AC" w:rsidRDefault="007A6A1A" w:rsidP="00DD02AC">
            <w:pPr>
              <w:spacing w:after="0" w:line="240" w:lineRule="auto"/>
              <w:rPr>
                <w:sz w:val="20"/>
                <w:szCs w:val="20"/>
              </w:rPr>
            </w:pPr>
            <w:r w:rsidRPr="00DD02AC">
              <w:rPr>
                <w:sz w:val="20"/>
                <w:szCs w:val="20"/>
              </w:rPr>
              <w:t>33.9%</w:t>
            </w:r>
          </w:p>
        </w:tc>
        <w:tc>
          <w:tcPr>
            <w:tcW w:w="1147" w:type="dxa"/>
            <w:tcBorders>
              <w:top w:val="nil"/>
              <w:left w:val="nil"/>
              <w:bottom w:val="nil"/>
              <w:right w:val="single" w:sz="4" w:space="0" w:color="auto"/>
            </w:tcBorders>
            <w:vAlign w:val="center"/>
            <w:hideMark/>
          </w:tcPr>
          <w:p w14:paraId="0D12021C" w14:textId="77777777" w:rsidR="007A6A1A" w:rsidRPr="00DD02AC" w:rsidRDefault="007A6A1A" w:rsidP="00DD02AC">
            <w:pPr>
              <w:spacing w:after="0" w:line="240" w:lineRule="auto"/>
              <w:rPr>
                <w:sz w:val="20"/>
                <w:szCs w:val="20"/>
              </w:rPr>
            </w:pPr>
            <w:r w:rsidRPr="00DD02AC">
              <w:rPr>
                <w:sz w:val="20"/>
                <w:szCs w:val="20"/>
              </w:rPr>
              <w:t>36.0%</w:t>
            </w:r>
          </w:p>
        </w:tc>
      </w:tr>
      <w:tr w:rsidR="007A6A1A" w:rsidRPr="00167CB8" w14:paraId="47055BB5" w14:textId="77777777" w:rsidTr="00DD02AC">
        <w:trPr>
          <w:trHeight w:val="340"/>
        </w:trPr>
        <w:tc>
          <w:tcPr>
            <w:tcW w:w="4673" w:type="dxa"/>
            <w:tcBorders>
              <w:top w:val="nil"/>
              <w:left w:val="single" w:sz="4" w:space="0" w:color="auto"/>
              <w:bottom w:val="nil"/>
              <w:right w:val="nil"/>
            </w:tcBorders>
            <w:noWrap/>
            <w:vAlign w:val="center"/>
            <w:hideMark/>
          </w:tcPr>
          <w:p w14:paraId="7FC4AAE3" w14:textId="77777777" w:rsidR="007A6A1A" w:rsidRPr="00DD02AC" w:rsidRDefault="007A6A1A" w:rsidP="00DD02AC">
            <w:pPr>
              <w:spacing w:after="0" w:line="240" w:lineRule="auto"/>
              <w:rPr>
                <w:sz w:val="20"/>
                <w:szCs w:val="20"/>
              </w:rPr>
            </w:pPr>
            <w:r w:rsidRPr="00DD02AC">
              <w:rPr>
                <w:sz w:val="20"/>
                <w:szCs w:val="20"/>
              </w:rPr>
              <w:t>Born in a main English-speaking country</w:t>
            </w:r>
          </w:p>
        </w:tc>
        <w:tc>
          <w:tcPr>
            <w:tcW w:w="1134" w:type="dxa"/>
            <w:tcBorders>
              <w:top w:val="nil"/>
              <w:left w:val="nil"/>
              <w:bottom w:val="nil"/>
              <w:right w:val="nil"/>
            </w:tcBorders>
            <w:noWrap/>
            <w:vAlign w:val="center"/>
            <w:hideMark/>
          </w:tcPr>
          <w:p w14:paraId="36DCB7AF" w14:textId="77777777" w:rsidR="007A6A1A" w:rsidRPr="00DD02AC" w:rsidRDefault="007A6A1A" w:rsidP="00DD02AC">
            <w:pPr>
              <w:spacing w:after="0" w:line="240" w:lineRule="auto"/>
              <w:rPr>
                <w:sz w:val="20"/>
                <w:szCs w:val="20"/>
              </w:rPr>
            </w:pPr>
            <w:r w:rsidRPr="00DD02AC">
              <w:rPr>
                <w:sz w:val="20"/>
                <w:szCs w:val="20"/>
              </w:rPr>
              <w:t>8.5%</w:t>
            </w:r>
          </w:p>
        </w:tc>
        <w:tc>
          <w:tcPr>
            <w:tcW w:w="1147" w:type="dxa"/>
            <w:tcBorders>
              <w:top w:val="nil"/>
              <w:left w:val="nil"/>
              <w:bottom w:val="nil"/>
              <w:right w:val="nil"/>
            </w:tcBorders>
            <w:noWrap/>
            <w:vAlign w:val="center"/>
            <w:hideMark/>
          </w:tcPr>
          <w:p w14:paraId="4C7F79BC" w14:textId="77777777" w:rsidR="007A6A1A" w:rsidRPr="00DD02AC" w:rsidRDefault="007A6A1A" w:rsidP="00DD02AC">
            <w:pPr>
              <w:spacing w:after="0" w:line="240" w:lineRule="auto"/>
              <w:rPr>
                <w:sz w:val="20"/>
                <w:szCs w:val="20"/>
              </w:rPr>
            </w:pPr>
            <w:r w:rsidRPr="00DD02AC">
              <w:rPr>
                <w:sz w:val="20"/>
                <w:szCs w:val="20"/>
              </w:rPr>
              <w:t>16.1%</w:t>
            </w:r>
          </w:p>
        </w:tc>
        <w:tc>
          <w:tcPr>
            <w:tcW w:w="1147" w:type="dxa"/>
            <w:gridSpan w:val="2"/>
            <w:tcBorders>
              <w:top w:val="nil"/>
              <w:left w:val="nil"/>
              <w:bottom w:val="nil"/>
              <w:right w:val="nil"/>
            </w:tcBorders>
            <w:vAlign w:val="center"/>
            <w:hideMark/>
          </w:tcPr>
          <w:p w14:paraId="516DEDDF" w14:textId="77777777" w:rsidR="007A6A1A" w:rsidRPr="00DD02AC" w:rsidRDefault="007A6A1A" w:rsidP="00DD02AC">
            <w:pPr>
              <w:spacing w:after="0" w:line="240" w:lineRule="auto"/>
              <w:rPr>
                <w:sz w:val="20"/>
                <w:szCs w:val="20"/>
              </w:rPr>
            </w:pPr>
            <w:r w:rsidRPr="00DD02AC">
              <w:rPr>
                <w:sz w:val="20"/>
                <w:szCs w:val="20"/>
              </w:rPr>
              <w:t>5.6%</w:t>
            </w:r>
          </w:p>
        </w:tc>
        <w:tc>
          <w:tcPr>
            <w:tcW w:w="1147" w:type="dxa"/>
            <w:tcBorders>
              <w:top w:val="nil"/>
              <w:left w:val="nil"/>
              <w:bottom w:val="nil"/>
              <w:right w:val="single" w:sz="4" w:space="0" w:color="auto"/>
            </w:tcBorders>
            <w:vAlign w:val="center"/>
            <w:hideMark/>
          </w:tcPr>
          <w:p w14:paraId="014B7648" w14:textId="77777777" w:rsidR="007A6A1A" w:rsidRPr="00DD02AC" w:rsidRDefault="007A6A1A" w:rsidP="00DD02AC">
            <w:pPr>
              <w:spacing w:after="0" w:line="240" w:lineRule="auto"/>
              <w:rPr>
                <w:sz w:val="20"/>
                <w:szCs w:val="20"/>
              </w:rPr>
            </w:pPr>
            <w:r w:rsidRPr="00DD02AC">
              <w:rPr>
                <w:sz w:val="20"/>
                <w:szCs w:val="20"/>
              </w:rPr>
              <w:t>8.5%</w:t>
            </w:r>
          </w:p>
        </w:tc>
      </w:tr>
      <w:tr w:rsidR="007A6A1A" w:rsidRPr="00167CB8" w14:paraId="1A2C12AE" w14:textId="77777777" w:rsidTr="00DD02AC">
        <w:trPr>
          <w:trHeight w:val="340"/>
        </w:trPr>
        <w:tc>
          <w:tcPr>
            <w:tcW w:w="4673" w:type="dxa"/>
            <w:tcBorders>
              <w:top w:val="nil"/>
              <w:left w:val="single" w:sz="4" w:space="0" w:color="auto"/>
              <w:bottom w:val="nil"/>
              <w:right w:val="nil"/>
            </w:tcBorders>
            <w:noWrap/>
            <w:vAlign w:val="center"/>
            <w:hideMark/>
          </w:tcPr>
          <w:p w14:paraId="339C0765" w14:textId="77777777" w:rsidR="007A6A1A" w:rsidRPr="00DD02AC" w:rsidRDefault="007A6A1A" w:rsidP="00DD02AC">
            <w:pPr>
              <w:spacing w:after="0" w:line="240" w:lineRule="auto"/>
              <w:rPr>
                <w:sz w:val="20"/>
                <w:szCs w:val="20"/>
              </w:rPr>
            </w:pPr>
            <w:r w:rsidRPr="00DD02AC">
              <w:rPr>
                <w:sz w:val="20"/>
                <w:szCs w:val="20"/>
              </w:rPr>
              <w:t>Born in a non-English-speaking country</w:t>
            </w:r>
          </w:p>
        </w:tc>
        <w:tc>
          <w:tcPr>
            <w:tcW w:w="1134" w:type="dxa"/>
            <w:tcBorders>
              <w:top w:val="nil"/>
              <w:left w:val="nil"/>
              <w:bottom w:val="nil"/>
              <w:right w:val="nil"/>
            </w:tcBorders>
            <w:noWrap/>
            <w:vAlign w:val="center"/>
            <w:hideMark/>
          </w:tcPr>
          <w:p w14:paraId="03D48E6E" w14:textId="77777777" w:rsidR="007A6A1A" w:rsidRPr="00DD02AC" w:rsidRDefault="007A6A1A" w:rsidP="00DD02AC">
            <w:pPr>
              <w:spacing w:after="0" w:line="240" w:lineRule="auto"/>
              <w:rPr>
                <w:sz w:val="20"/>
                <w:szCs w:val="20"/>
              </w:rPr>
            </w:pPr>
            <w:r w:rsidRPr="00DD02AC">
              <w:rPr>
                <w:sz w:val="20"/>
                <w:szCs w:val="20"/>
              </w:rPr>
              <w:t>20.5%</w:t>
            </w:r>
          </w:p>
        </w:tc>
        <w:tc>
          <w:tcPr>
            <w:tcW w:w="1147" w:type="dxa"/>
            <w:tcBorders>
              <w:top w:val="nil"/>
              <w:left w:val="nil"/>
              <w:bottom w:val="nil"/>
              <w:right w:val="nil"/>
            </w:tcBorders>
            <w:noWrap/>
            <w:vAlign w:val="center"/>
            <w:hideMark/>
          </w:tcPr>
          <w:p w14:paraId="0C68B22F" w14:textId="77777777" w:rsidR="007A6A1A" w:rsidRPr="00DD02AC" w:rsidRDefault="007A6A1A" w:rsidP="00DD02AC">
            <w:pPr>
              <w:spacing w:after="0" w:line="240" w:lineRule="auto"/>
              <w:rPr>
                <w:sz w:val="20"/>
                <w:szCs w:val="20"/>
              </w:rPr>
            </w:pPr>
            <w:r w:rsidRPr="00DD02AC">
              <w:rPr>
                <w:sz w:val="20"/>
                <w:szCs w:val="20"/>
              </w:rPr>
              <w:t>20.7%</w:t>
            </w:r>
          </w:p>
        </w:tc>
        <w:tc>
          <w:tcPr>
            <w:tcW w:w="1147" w:type="dxa"/>
            <w:gridSpan w:val="2"/>
            <w:tcBorders>
              <w:top w:val="nil"/>
              <w:left w:val="nil"/>
              <w:bottom w:val="nil"/>
              <w:right w:val="nil"/>
            </w:tcBorders>
            <w:vAlign w:val="center"/>
            <w:hideMark/>
          </w:tcPr>
          <w:p w14:paraId="27886C99" w14:textId="77777777" w:rsidR="007A6A1A" w:rsidRPr="00DD02AC" w:rsidRDefault="007A6A1A" w:rsidP="00DD02AC">
            <w:pPr>
              <w:spacing w:after="0" w:line="240" w:lineRule="auto"/>
              <w:rPr>
                <w:sz w:val="20"/>
                <w:szCs w:val="20"/>
              </w:rPr>
            </w:pPr>
            <w:r w:rsidRPr="00DD02AC">
              <w:rPr>
                <w:sz w:val="20"/>
                <w:szCs w:val="20"/>
              </w:rPr>
              <w:t>33.2%</w:t>
            </w:r>
          </w:p>
        </w:tc>
        <w:tc>
          <w:tcPr>
            <w:tcW w:w="1147" w:type="dxa"/>
            <w:tcBorders>
              <w:top w:val="nil"/>
              <w:left w:val="nil"/>
              <w:bottom w:val="nil"/>
              <w:right w:val="single" w:sz="4" w:space="0" w:color="auto"/>
            </w:tcBorders>
            <w:vAlign w:val="center"/>
            <w:hideMark/>
          </w:tcPr>
          <w:p w14:paraId="37BAF3E9" w14:textId="77777777" w:rsidR="007A6A1A" w:rsidRPr="00DD02AC" w:rsidRDefault="007A6A1A" w:rsidP="00DD02AC">
            <w:pPr>
              <w:spacing w:after="0" w:line="240" w:lineRule="auto"/>
              <w:rPr>
                <w:sz w:val="20"/>
                <w:szCs w:val="20"/>
              </w:rPr>
            </w:pPr>
            <w:r w:rsidRPr="00DD02AC">
              <w:rPr>
                <w:sz w:val="20"/>
                <w:szCs w:val="20"/>
              </w:rPr>
              <w:t>18.3%</w:t>
            </w:r>
          </w:p>
        </w:tc>
      </w:tr>
      <w:tr w:rsidR="007A6A1A" w:rsidRPr="00167CB8" w14:paraId="72A8F62E" w14:textId="77777777" w:rsidTr="00DD02AC">
        <w:trPr>
          <w:trHeight w:val="340"/>
        </w:trPr>
        <w:tc>
          <w:tcPr>
            <w:tcW w:w="4673" w:type="dxa"/>
            <w:tcBorders>
              <w:top w:val="nil"/>
              <w:left w:val="single" w:sz="4" w:space="0" w:color="auto"/>
              <w:bottom w:val="nil"/>
              <w:right w:val="nil"/>
            </w:tcBorders>
            <w:noWrap/>
            <w:vAlign w:val="center"/>
            <w:hideMark/>
          </w:tcPr>
          <w:p w14:paraId="27D5594E" w14:textId="77777777" w:rsidR="007A6A1A" w:rsidRPr="00DD02AC" w:rsidRDefault="007A6A1A" w:rsidP="00DD02AC">
            <w:pPr>
              <w:spacing w:after="0" w:line="240" w:lineRule="auto"/>
              <w:rPr>
                <w:sz w:val="20"/>
                <w:szCs w:val="20"/>
              </w:rPr>
            </w:pPr>
            <w:r w:rsidRPr="00DD02AC">
              <w:rPr>
                <w:sz w:val="20"/>
                <w:szCs w:val="20"/>
              </w:rPr>
              <w:t>Employed in the private sector</w:t>
            </w:r>
          </w:p>
        </w:tc>
        <w:tc>
          <w:tcPr>
            <w:tcW w:w="1134" w:type="dxa"/>
            <w:tcBorders>
              <w:top w:val="nil"/>
              <w:left w:val="nil"/>
              <w:bottom w:val="nil"/>
              <w:right w:val="nil"/>
            </w:tcBorders>
            <w:noWrap/>
            <w:vAlign w:val="center"/>
            <w:hideMark/>
          </w:tcPr>
          <w:p w14:paraId="3ECFD2BD" w14:textId="77777777" w:rsidR="007A6A1A" w:rsidRPr="00DD02AC" w:rsidRDefault="007A6A1A" w:rsidP="00DD02AC">
            <w:pPr>
              <w:spacing w:after="0" w:line="240" w:lineRule="auto"/>
              <w:rPr>
                <w:sz w:val="20"/>
                <w:szCs w:val="20"/>
              </w:rPr>
            </w:pPr>
            <w:r w:rsidRPr="00DD02AC">
              <w:rPr>
                <w:sz w:val="20"/>
                <w:szCs w:val="20"/>
              </w:rPr>
              <w:t>71.8%</w:t>
            </w:r>
          </w:p>
        </w:tc>
        <w:tc>
          <w:tcPr>
            <w:tcW w:w="1147" w:type="dxa"/>
            <w:tcBorders>
              <w:top w:val="nil"/>
              <w:left w:val="nil"/>
              <w:bottom w:val="nil"/>
              <w:right w:val="nil"/>
            </w:tcBorders>
            <w:noWrap/>
            <w:vAlign w:val="center"/>
            <w:hideMark/>
          </w:tcPr>
          <w:p w14:paraId="45D4687D" w14:textId="77777777" w:rsidR="007A6A1A" w:rsidRPr="00DD02AC" w:rsidRDefault="007A6A1A" w:rsidP="00DD02AC">
            <w:pPr>
              <w:spacing w:after="0" w:line="240" w:lineRule="auto"/>
              <w:rPr>
                <w:sz w:val="20"/>
                <w:szCs w:val="20"/>
              </w:rPr>
            </w:pPr>
            <w:r w:rsidRPr="00DD02AC">
              <w:rPr>
                <w:sz w:val="20"/>
                <w:szCs w:val="20"/>
              </w:rPr>
              <w:t>67.9%</w:t>
            </w:r>
          </w:p>
        </w:tc>
        <w:tc>
          <w:tcPr>
            <w:tcW w:w="1147" w:type="dxa"/>
            <w:gridSpan w:val="2"/>
            <w:tcBorders>
              <w:top w:val="nil"/>
              <w:left w:val="nil"/>
              <w:bottom w:val="nil"/>
              <w:right w:val="nil"/>
            </w:tcBorders>
            <w:vAlign w:val="center"/>
            <w:hideMark/>
          </w:tcPr>
          <w:p w14:paraId="00B9565C" w14:textId="77777777" w:rsidR="007A6A1A" w:rsidRPr="00DD02AC" w:rsidRDefault="007A6A1A" w:rsidP="00DD02AC">
            <w:pPr>
              <w:spacing w:after="0" w:line="240" w:lineRule="auto"/>
              <w:rPr>
                <w:sz w:val="20"/>
                <w:szCs w:val="20"/>
              </w:rPr>
            </w:pPr>
            <w:r w:rsidRPr="00DD02AC">
              <w:rPr>
                <w:sz w:val="20"/>
                <w:szCs w:val="20"/>
              </w:rPr>
              <w:t>76.6%</w:t>
            </w:r>
          </w:p>
        </w:tc>
        <w:tc>
          <w:tcPr>
            <w:tcW w:w="1147" w:type="dxa"/>
            <w:tcBorders>
              <w:top w:val="nil"/>
              <w:left w:val="nil"/>
              <w:bottom w:val="nil"/>
              <w:right w:val="single" w:sz="4" w:space="0" w:color="auto"/>
            </w:tcBorders>
            <w:vAlign w:val="center"/>
            <w:hideMark/>
          </w:tcPr>
          <w:p w14:paraId="6132BDD1" w14:textId="77777777" w:rsidR="007A6A1A" w:rsidRPr="00DD02AC" w:rsidRDefault="007A6A1A" w:rsidP="00DD02AC">
            <w:pPr>
              <w:spacing w:after="0" w:line="240" w:lineRule="auto"/>
              <w:rPr>
                <w:sz w:val="20"/>
                <w:szCs w:val="20"/>
              </w:rPr>
            </w:pPr>
            <w:r w:rsidRPr="00DD02AC">
              <w:rPr>
                <w:sz w:val="20"/>
                <w:szCs w:val="20"/>
              </w:rPr>
              <w:t>69.5%</w:t>
            </w:r>
          </w:p>
        </w:tc>
      </w:tr>
      <w:tr w:rsidR="007A6A1A" w:rsidRPr="00167CB8" w14:paraId="7EE8A87A" w14:textId="77777777" w:rsidTr="00DD02AC">
        <w:trPr>
          <w:trHeight w:val="340"/>
        </w:trPr>
        <w:tc>
          <w:tcPr>
            <w:tcW w:w="4673" w:type="dxa"/>
            <w:tcBorders>
              <w:top w:val="nil"/>
              <w:left w:val="single" w:sz="4" w:space="0" w:color="auto"/>
              <w:bottom w:val="nil"/>
              <w:right w:val="nil"/>
            </w:tcBorders>
            <w:noWrap/>
            <w:vAlign w:val="center"/>
            <w:hideMark/>
          </w:tcPr>
          <w:p w14:paraId="56F946A9" w14:textId="77777777" w:rsidR="007A6A1A" w:rsidRPr="00DD02AC" w:rsidRDefault="007A6A1A" w:rsidP="00DD02AC">
            <w:pPr>
              <w:spacing w:after="0" w:line="240" w:lineRule="auto"/>
              <w:rPr>
                <w:sz w:val="20"/>
                <w:szCs w:val="20"/>
              </w:rPr>
            </w:pPr>
            <w:r w:rsidRPr="00DD02AC">
              <w:rPr>
                <w:sz w:val="20"/>
                <w:szCs w:val="20"/>
              </w:rPr>
              <w:t>Member of a trade union or employee association</w:t>
            </w:r>
          </w:p>
        </w:tc>
        <w:tc>
          <w:tcPr>
            <w:tcW w:w="1134" w:type="dxa"/>
            <w:tcBorders>
              <w:top w:val="nil"/>
              <w:left w:val="nil"/>
              <w:bottom w:val="nil"/>
              <w:right w:val="nil"/>
            </w:tcBorders>
            <w:noWrap/>
            <w:vAlign w:val="center"/>
            <w:hideMark/>
          </w:tcPr>
          <w:p w14:paraId="3418964A" w14:textId="77777777" w:rsidR="007A6A1A" w:rsidRPr="00DD02AC" w:rsidRDefault="007A6A1A" w:rsidP="00DD02AC">
            <w:pPr>
              <w:spacing w:after="0" w:line="240" w:lineRule="auto"/>
              <w:rPr>
                <w:sz w:val="20"/>
                <w:szCs w:val="20"/>
              </w:rPr>
            </w:pPr>
            <w:r w:rsidRPr="00DD02AC">
              <w:rPr>
                <w:sz w:val="20"/>
                <w:szCs w:val="20"/>
              </w:rPr>
              <w:t>28.2%</w:t>
            </w:r>
          </w:p>
        </w:tc>
        <w:tc>
          <w:tcPr>
            <w:tcW w:w="1147" w:type="dxa"/>
            <w:tcBorders>
              <w:top w:val="nil"/>
              <w:left w:val="nil"/>
              <w:bottom w:val="nil"/>
              <w:right w:val="nil"/>
            </w:tcBorders>
            <w:noWrap/>
            <w:vAlign w:val="center"/>
            <w:hideMark/>
          </w:tcPr>
          <w:p w14:paraId="2E4A6701" w14:textId="77777777" w:rsidR="007A6A1A" w:rsidRPr="00DD02AC" w:rsidRDefault="007A6A1A" w:rsidP="00DD02AC">
            <w:pPr>
              <w:spacing w:after="0" w:line="240" w:lineRule="auto"/>
              <w:rPr>
                <w:sz w:val="20"/>
                <w:szCs w:val="20"/>
              </w:rPr>
            </w:pPr>
            <w:r w:rsidRPr="00DD02AC">
              <w:rPr>
                <w:sz w:val="20"/>
                <w:szCs w:val="20"/>
              </w:rPr>
              <w:t>31.2%</w:t>
            </w:r>
          </w:p>
        </w:tc>
        <w:tc>
          <w:tcPr>
            <w:tcW w:w="1147" w:type="dxa"/>
            <w:gridSpan w:val="2"/>
            <w:tcBorders>
              <w:top w:val="nil"/>
              <w:left w:val="nil"/>
              <w:bottom w:val="nil"/>
              <w:right w:val="nil"/>
            </w:tcBorders>
            <w:vAlign w:val="center"/>
            <w:hideMark/>
          </w:tcPr>
          <w:p w14:paraId="775E6E32" w14:textId="77777777" w:rsidR="007A6A1A" w:rsidRPr="00DD02AC" w:rsidRDefault="007A6A1A" w:rsidP="00DD02AC">
            <w:pPr>
              <w:spacing w:after="0" w:line="240" w:lineRule="auto"/>
              <w:rPr>
                <w:sz w:val="20"/>
                <w:szCs w:val="20"/>
              </w:rPr>
            </w:pPr>
            <w:r w:rsidRPr="00DD02AC">
              <w:rPr>
                <w:sz w:val="20"/>
                <w:szCs w:val="20"/>
              </w:rPr>
              <w:t>30.5%</w:t>
            </w:r>
          </w:p>
        </w:tc>
        <w:tc>
          <w:tcPr>
            <w:tcW w:w="1147" w:type="dxa"/>
            <w:tcBorders>
              <w:top w:val="nil"/>
              <w:left w:val="nil"/>
              <w:bottom w:val="nil"/>
              <w:right w:val="single" w:sz="4" w:space="0" w:color="auto"/>
            </w:tcBorders>
            <w:vAlign w:val="center"/>
            <w:hideMark/>
          </w:tcPr>
          <w:p w14:paraId="7CB67663" w14:textId="77777777" w:rsidR="007A6A1A" w:rsidRPr="00DD02AC" w:rsidRDefault="007A6A1A" w:rsidP="00DD02AC">
            <w:pPr>
              <w:spacing w:after="0" w:line="240" w:lineRule="auto"/>
              <w:rPr>
                <w:sz w:val="20"/>
                <w:szCs w:val="20"/>
              </w:rPr>
            </w:pPr>
            <w:r w:rsidRPr="00DD02AC">
              <w:rPr>
                <w:sz w:val="20"/>
                <w:szCs w:val="20"/>
              </w:rPr>
              <w:t>27.5%</w:t>
            </w:r>
          </w:p>
        </w:tc>
      </w:tr>
      <w:tr w:rsidR="007A6A1A" w:rsidRPr="00167CB8" w14:paraId="4FA892A0" w14:textId="77777777" w:rsidTr="00DD02AC">
        <w:trPr>
          <w:trHeight w:val="340"/>
        </w:trPr>
        <w:tc>
          <w:tcPr>
            <w:tcW w:w="4673" w:type="dxa"/>
            <w:tcBorders>
              <w:top w:val="nil"/>
              <w:left w:val="single" w:sz="4" w:space="0" w:color="auto"/>
              <w:bottom w:val="single" w:sz="4" w:space="0" w:color="auto"/>
              <w:right w:val="nil"/>
            </w:tcBorders>
            <w:noWrap/>
            <w:vAlign w:val="center"/>
            <w:hideMark/>
          </w:tcPr>
          <w:p w14:paraId="3E943B8B" w14:textId="77777777" w:rsidR="007A6A1A" w:rsidRPr="00DD02AC" w:rsidRDefault="007A6A1A" w:rsidP="00DD02AC">
            <w:pPr>
              <w:spacing w:after="0" w:line="240" w:lineRule="auto"/>
              <w:rPr>
                <w:sz w:val="20"/>
                <w:szCs w:val="20"/>
              </w:rPr>
            </w:pPr>
            <w:r w:rsidRPr="00DD02AC">
              <w:rPr>
                <w:sz w:val="20"/>
                <w:szCs w:val="20"/>
              </w:rPr>
              <w:t>Observations</w:t>
            </w:r>
          </w:p>
        </w:tc>
        <w:tc>
          <w:tcPr>
            <w:tcW w:w="1134" w:type="dxa"/>
            <w:tcBorders>
              <w:top w:val="nil"/>
              <w:left w:val="nil"/>
              <w:bottom w:val="single" w:sz="4" w:space="0" w:color="auto"/>
              <w:right w:val="nil"/>
            </w:tcBorders>
            <w:noWrap/>
            <w:vAlign w:val="center"/>
            <w:hideMark/>
          </w:tcPr>
          <w:p w14:paraId="57BD1AA3" w14:textId="77777777" w:rsidR="007A6A1A" w:rsidRPr="00DD02AC" w:rsidRDefault="007A6A1A" w:rsidP="00DD02AC">
            <w:pPr>
              <w:spacing w:after="0" w:line="240" w:lineRule="auto"/>
              <w:rPr>
                <w:sz w:val="20"/>
                <w:szCs w:val="20"/>
              </w:rPr>
            </w:pPr>
            <w:r w:rsidRPr="00DD02AC">
              <w:rPr>
                <w:sz w:val="20"/>
                <w:szCs w:val="20"/>
              </w:rPr>
              <w:t>1,566</w:t>
            </w:r>
          </w:p>
        </w:tc>
        <w:tc>
          <w:tcPr>
            <w:tcW w:w="1147" w:type="dxa"/>
            <w:tcBorders>
              <w:top w:val="nil"/>
              <w:left w:val="nil"/>
              <w:bottom w:val="single" w:sz="4" w:space="0" w:color="auto"/>
              <w:right w:val="nil"/>
            </w:tcBorders>
            <w:noWrap/>
            <w:vAlign w:val="center"/>
            <w:hideMark/>
          </w:tcPr>
          <w:p w14:paraId="0CB3C293" w14:textId="77777777" w:rsidR="007A6A1A" w:rsidRPr="00DD02AC" w:rsidRDefault="007A6A1A" w:rsidP="00DD02AC">
            <w:pPr>
              <w:spacing w:after="0" w:line="240" w:lineRule="auto"/>
              <w:rPr>
                <w:sz w:val="20"/>
                <w:szCs w:val="20"/>
              </w:rPr>
            </w:pPr>
            <w:r w:rsidRPr="00DD02AC">
              <w:rPr>
                <w:sz w:val="20"/>
                <w:szCs w:val="20"/>
              </w:rPr>
              <w:t>980</w:t>
            </w:r>
          </w:p>
        </w:tc>
        <w:tc>
          <w:tcPr>
            <w:tcW w:w="1147" w:type="dxa"/>
            <w:gridSpan w:val="2"/>
            <w:tcBorders>
              <w:top w:val="nil"/>
              <w:left w:val="nil"/>
              <w:bottom w:val="single" w:sz="4" w:space="0" w:color="auto"/>
              <w:right w:val="nil"/>
            </w:tcBorders>
            <w:vAlign w:val="center"/>
            <w:hideMark/>
          </w:tcPr>
          <w:p w14:paraId="673C2F55" w14:textId="77777777" w:rsidR="007A6A1A" w:rsidRPr="00DD02AC" w:rsidRDefault="007A6A1A" w:rsidP="00DD02AC">
            <w:pPr>
              <w:spacing w:after="0" w:line="240" w:lineRule="auto"/>
              <w:rPr>
                <w:sz w:val="20"/>
                <w:szCs w:val="20"/>
              </w:rPr>
            </w:pPr>
            <w:r w:rsidRPr="00DD02AC">
              <w:rPr>
                <w:sz w:val="20"/>
                <w:szCs w:val="20"/>
              </w:rPr>
              <w:t>833</w:t>
            </w:r>
          </w:p>
        </w:tc>
        <w:tc>
          <w:tcPr>
            <w:tcW w:w="1147" w:type="dxa"/>
            <w:tcBorders>
              <w:top w:val="nil"/>
              <w:left w:val="nil"/>
              <w:bottom w:val="single" w:sz="4" w:space="0" w:color="auto"/>
              <w:right w:val="single" w:sz="4" w:space="0" w:color="auto"/>
            </w:tcBorders>
            <w:vAlign w:val="center"/>
            <w:hideMark/>
          </w:tcPr>
          <w:p w14:paraId="0AF0B6FC" w14:textId="77777777" w:rsidR="007A6A1A" w:rsidRPr="00DD02AC" w:rsidRDefault="007A6A1A" w:rsidP="00DD02AC">
            <w:pPr>
              <w:spacing w:after="0" w:line="240" w:lineRule="auto"/>
              <w:rPr>
                <w:sz w:val="20"/>
                <w:szCs w:val="20"/>
              </w:rPr>
            </w:pPr>
            <w:r w:rsidRPr="00DD02AC">
              <w:rPr>
                <w:sz w:val="20"/>
                <w:szCs w:val="20"/>
              </w:rPr>
              <w:t>2,372</w:t>
            </w:r>
          </w:p>
        </w:tc>
      </w:tr>
    </w:tbl>
    <w:p w14:paraId="01AFE495" w14:textId="6CB3AC52" w:rsidR="00C87E4A" w:rsidRPr="00167CB8" w:rsidRDefault="00C87E4A" w:rsidP="00C87E4A">
      <w:pPr>
        <w:pStyle w:val="Source"/>
        <w:rPr>
          <w:b/>
          <w:bCs/>
        </w:rPr>
      </w:pPr>
      <w:r w:rsidRPr="00167CB8">
        <w:rPr>
          <w:b/>
          <w:bCs/>
        </w:rPr>
        <w:t>Notes:</w:t>
      </w:r>
    </w:p>
    <w:p w14:paraId="110DDCFE" w14:textId="63722D7E" w:rsidR="007A6A1A" w:rsidRPr="00167CB8" w:rsidRDefault="00C87E4A" w:rsidP="00C87E4A">
      <w:pPr>
        <w:pStyle w:val="Source"/>
      </w:pPr>
      <w:r w:rsidRPr="00167CB8">
        <w:t xml:space="preserve">1. </w:t>
      </w:r>
      <w:r w:rsidR="007A6A1A" w:rsidRPr="00167CB8">
        <w:t xml:space="preserve">Sample consists of respondents aged 21 to 64 who are employees, have an observable wage, work between 5 and 60 hours per week in their main job, and have observable data on method of pay setting. </w:t>
      </w:r>
    </w:p>
    <w:p w14:paraId="5BE3C015" w14:textId="3DCCCA81" w:rsidR="007A6A1A" w:rsidRPr="00167CB8" w:rsidRDefault="00C87E4A" w:rsidP="00C87E4A">
      <w:pPr>
        <w:pStyle w:val="Source"/>
      </w:pPr>
      <w:r w:rsidRPr="00167CB8">
        <w:t xml:space="preserve">2. </w:t>
      </w:r>
      <w:r w:rsidR="007A6A1A" w:rsidRPr="00167CB8">
        <w:t>Estimates are weighted to reflect population totals.</w:t>
      </w:r>
    </w:p>
    <w:p w14:paraId="4B4CCE3A" w14:textId="0B11F9BF" w:rsidR="007A6A1A" w:rsidRPr="00167CB8" w:rsidRDefault="00C87E4A" w:rsidP="00C87E4A">
      <w:pPr>
        <w:pStyle w:val="Source"/>
      </w:pPr>
      <w:r w:rsidRPr="00167CB8">
        <w:t xml:space="preserve">3. </w:t>
      </w:r>
      <w:r w:rsidR="007A6A1A" w:rsidRPr="00167CB8">
        <w:t>Standard deviation in parentheses for continuous variables only.</w:t>
      </w:r>
    </w:p>
    <w:p w14:paraId="5C9076C9" w14:textId="6D419C26" w:rsidR="007A6A1A" w:rsidRPr="00167CB8" w:rsidRDefault="007A6A1A" w:rsidP="00C87E4A">
      <w:pPr>
        <w:pStyle w:val="Source"/>
      </w:pPr>
      <w:r w:rsidRPr="00167CB8">
        <w:rPr>
          <w:b/>
          <w:bCs/>
        </w:rPr>
        <w:t>Source:</w:t>
      </w:r>
      <w:r w:rsidRPr="00167CB8">
        <w:t xml:space="preserve"> HILDA, waves 12</w:t>
      </w:r>
      <w:r w:rsidR="00C87E4A" w:rsidRPr="00167CB8">
        <w:rPr>
          <w:rFonts w:ascii="Symbol" w:eastAsia="Symbol" w:hAnsi="Symbol" w:cs="Symbol"/>
        </w:rPr>
        <w:sym w:font="Symbol" w:char="F02D"/>
      </w:r>
      <w:r w:rsidRPr="00167CB8">
        <w:t>22.</w:t>
      </w:r>
    </w:p>
    <w:p w14:paraId="7FCBA35B" w14:textId="2142955D" w:rsidR="007A6A1A" w:rsidRPr="00167CB8" w:rsidRDefault="007A6A1A" w:rsidP="00C87E4A">
      <w:pPr>
        <w:pStyle w:val="Source"/>
      </w:pPr>
      <w:r w:rsidRPr="00167CB8">
        <w:rPr>
          <w:b/>
          <w:bCs/>
        </w:rPr>
        <w:t>Alt-text:</w:t>
      </w:r>
      <w:r w:rsidRPr="00167CB8">
        <w:t xml:space="preserve"> A table describing the characteristics of persons employed full-time and those employed part-time, disaggregated by gender. Column 2 shows that in 2012</w:t>
      </w:r>
      <w:r w:rsidR="00C87E4A" w:rsidRPr="00167CB8">
        <w:rPr>
          <w:rFonts w:ascii="Symbol" w:eastAsia="Symbol" w:hAnsi="Symbol" w:cs="Symbol"/>
        </w:rPr>
        <w:sym w:font="Symbol" w:char="F02D"/>
      </w:r>
      <w:r w:rsidRPr="00167CB8">
        <w:t>22 around 22.5% of women who were full-time were paid by the award. This compares to 16% among male full-time employees. Among part-time workers, around 33.5% of women were paid by the award. The share of award</w:t>
      </w:r>
      <w:r w:rsidR="00C87E4A" w:rsidRPr="00167CB8">
        <w:t>-</w:t>
      </w:r>
      <w:r w:rsidRPr="00167CB8">
        <w:t xml:space="preserve">reliant workers among men employed part-time was 25%. </w:t>
      </w:r>
    </w:p>
    <w:p w14:paraId="4246D3AB" w14:textId="12DE89BC" w:rsidR="007A6A1A" w:rsidRPr="00167CB8" w:rsidRDefault="007A6A1A" w:rsidP="007A6A1A">
      <w:pPr>
        <w:spacing w:after="160"/>
      </w:pPr>
    </w:p>
    <w:p w14:paraId="32331978" w14:textId="03931FD2" w:rsidR="007A6A1A" w:rsidRDefault="007A6A1A" w:rsidP="007A6A1A">
      <w:pPr>
        <w:spacing w:after="160"/>
      </w:pPr>
      <w:r w:rsidRPr="00167CB8">
        <w:lastRenderedPageBreak/>
        <w:t xml:space="preserve">Table </w:t>
      </w:r>
      <w:r w:rsidR="00B01989" w:rsidRPr="00167CB8">
        <w:t>50</w:t>
      </w:r>
      <w:r w:rsidR="00776BA5">
        <w:t xml:space="preserve"> </w:t>
      </w:r>
      <w:r w:rsidRPr="00167CB8">
        <w:t>shows the industry coverage or usage of the various methods of pay setting. Columns 1 and 2 for collective agreements (CA</w:t>
      </w:r>
      <w:r w:rsidR="00C87E4A" w:rsidRPr="00167CB8">
        <w:t>s</w:t>
      </w:r>
      <w:r w:rsidRPr="00167CB8">
        <w:t xml:space="preserve">) show that in both periods studied (2012 and 2022), of those covered by a CA, the largest group was </w:t>
      </w:r>
      <w:r w:rsidR="00C87E4A" w:rsidRPr="00167CB8">
        <w:t>h</w:t>
      </w:r>
      <w:r w:rsidRPr="00167CB8">
        <w:t xml:space="preserve">ealth care and social assistance employees. The second largest group in both periods was </w:t>
      </w:r>
      <w:r w:rsidR="00C87E4A" w:rsidRPr="00167CB8">
        <w:t xml:space="preserve">in </w:t>
      </w:r>
      <w:r w:rsidRPr="00167CB8">
        <w:t xml:space="preserve">the </w:t>
      </w:r>
      <w:r w:rsidR="00C87E4A" w:rsidRPr="00167CB8">
        <w:t>e</w:t>
      </w:r>
      <w:r w:rsidRPr="00167CB8">
        <w:t xml:space="preserve">ducation and training industry. Individual arrangements featured strongly among </w:t>
      </w:r>
      <w:r w:rsidR="00C87E4A" w:rsidRPr="00167CB8">
        <w:t>p</w:t>
      </w:r>
      <w:r w:rsidRPr="00167CB8">
        <w:t xml:space="preserve">rofessional, scientific and technical service workers. </w:t>
      </w:r>
    </w:p>
    <w:p w14:paraId="5157AEF5" w14:textId="3E386327" w:rsidR="007A6A1A" w:rsidRPr="00167CB8" w:rsidRDefault="007A6A1A" w:rsidP="00470AB9">
      <w:pPr>
        <w:pStyle w:val="Caption"/>
      </w:pPr>
      <w:bookmarkStart w:id="816" w:name="_Toc186991828"/>
      <w:bookmarkStart w:id="817" w:name="_Toc189310879"/>
      <w:r w:rsidRPr="00167CB8">
        <w:t xml:space="preserve">Table </w:t>
      </w:r>
      <w:r w:rsidR="00963FD0" w:rsidRPr="00167CB8">
        <w:rPr>
          <w:iCs/>
          <w:color w:val="404246" w:themeColor="text2"/>
          <w:szCs w:val="18"/>
        </w:rPr>
        <w:t>50</w:t>
      </w:r>
      <w:r w:rsidR="00701361" w:rsidRPr="00167CB8">
        <w:t>:</w:t>
      </w:r>
      <w:r w:rsidRPr="00167CB8">
        <w:t xml:space="preserve"> Distribution of pay setting methods across industries, 2012 and 2022</w:t>
      </w:r>
      <w:bookmarkEnd w:id="816"/>
      <w:bookmarkEnd w:id="817"/>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1"/>
        <w:gridCol w:w="1032"/>
        <w:gridCol w:w="927"/>
        <w:gridCol w:w="865"/>
        <w:gridCol w:w="865"/>
        <w:gridCol w:w="1104"/>
        <w:gridCol w:w="1104"/>
      </w:tblGrid>
      <w:tr w:rsidR="007A6A1A" w:rsidRPr="00167CB8" w14:paraId="54CF16A5" w14:textId="77777777" w:rsidTr="005E5342">
        <w:trPr>
          <w:trHeight w:val="343"/>
        </w:trPr>
        <w:tc>
          <w:tcPr>
            <w:tcW w:w="3397" w:type="dxa"/>
            <w:tcBorders>
              <w:top w:val="single" w:sz="4" w:space="0" w:color="auto"/>
              <w:left w:val="single" w:sz="4" w:space="0" w:color="auto"/>
              <w:bottom w:val="nil"/>
              <w:right w:val="nil"/>
            </w:tcBorders>
            <w:noWrap/>
            <w:vAlign w:val="bottom"/>
            <w:hideMark/>
          </w:tcPr>
          <w:p w14:paraId="2BDFBC34" w14:textId="77777777" w:rsidR="007A6A1A" w:rsidRPr="003A7C61" w:rsidRDefault="007A6A1A" w:rsidP="003A7C61">
            <w:pPr>
              <w:spacing w:after="0" w:line="240" w:lineRule="auto"/>
              <w:rPr>
                <w:b/>
                <w:bCs/>
                <w:sz w:val="20"/>
                <w:szCs w:val="20"/>
              </w:rPr>
            </w:pPr>
          </w:p>
        </w:tc>
        <w:tc>
          <w:tcPr>
            <w:tcW w:w="1961" w:type="dxa"/>
            <w:gridSpan w:val="2"/>
            <w:tcBorders>
              <w:top w:val="single" w:sz="4" w:space="0" w:color="auto"/>
              <w:left w:val="nil"/>
              <w:bottom w:val="nil"/>
              <w:right w:val="nil"/>
            </w:tcBorders>
            <w:noWrap/>
            <w:vAlign w:val="bottom"/>
            <w:hideMark/>
          </w:tcPr>
          <w:p w14:paraId="4143F081" w14:textId="77777777" w:rsidR="007A6A1A" w:rsidRPr="003A7C61" w:rsidRDefault="007A6A1A" w:rsidP="003A7C61">
            <w:pPr>
              <w:spacing w:after="0" w:line="240" w:lineRule="auto"/>
              <w:rPr>
                <w:b/>
                <w:bCs/>
                <w:sz w:val="20"/>
                <w:szCs w:val="20"/>
              </w:rPr>
            </w:pPr>
            <w:r w:rsidRPr="003A7C61">
              <w:rPr>
                <w:b/>
                <w:bCs/>
                <w:sz w:val="20"/>
                <w:szCs w:val="20"/>
              </w:rPr>
              <w:t>CA</w:t>
            </w:r>
          </w:p>
        </w:tc>
        <w:tc>
          <w:tcPr>
            <w:tcW w:w="1720" w:type="dxa"/>
            <w:gridSpan w:val="2"/>
            <w:tcBorders>
              <w:top w:val="single" w:sz="4" w:space="0" w:color="auto"/>
              <w:left w:val="nil"/>
              <w:bottom w:val="nil"/>
              <w:right w:val="nil"/>
            </w:tcBorders>
            <w:noWrap/>
            <w:vAlign w:val="bottom"/>
            <w:hideMark/>
          </w:tcPr>
          <w:p w14:paraId="666E67FE" w14:textId="77777777" w:rsidR="007A6A1A" w:rsidRPr="003A7C61" w:rsidRDefault="007A6A1A" w:rsidP="003A7C61">
            <w:pPr>
              <w:spacing w:after="0" w:line="240" w:lineRule="auto"/>
              <w:rPr>
                <w:b/>
                <w:bCs/>
                <w:sz w:val="20"/>
                <w:szCs w:val="20"/>
              </w:rPr>
            </w:pPr>
            <w:r w:rsidRPr="003A7C61">
              <w:rPr>
                <w:b/>
                <w:bCs/>
                <w:sz w:val="20"/>
                <w:szCs w:val="20"/>
              </w:rPr>
              <w:t>IA</w:t>
            </w:r>
          </w:p>
        </w:tc>
        <w:tc>
          <w:tcPr>
            <w:tcW w:w="2210" w:type="dxa"/>
            <w:gridSpan w:val="2"/>
            <w:tcBorders>
              <w:top w:val="single" w:sz="4" w:space="0" w:color="auto"/>
              <w:left w:val="nil"/>
              <w:bottom w:val="nil"/>
              <w:right w:val="single" w:sz="4" w:space="0" w:color="auto"/>
            </w:tcBorders>
            <w:noWrap/>
            <w:vAlign w:val="bottom"/>
            <w:hideMark/>
          </w:tcPr>
          <w:p w14:paraId="34986107" w14:textId="77777777" w:rsidR="007A6A1A" w:rsidRPr="003A7C61" w:rsidRDefault="007A6A1A" w:rsidP="003A7C61">
            <w:pPr>
              <w:spacing w:after="0" w:line="240" w:lineRule="auto"/>
              <w:rPr>
                <w:b/>
                <w:bCs/>
                <w:sz w:val="20"/>
                <w:szCs w:val="20"/>
              </w:rPr>
            </w:pPr>
            <w:r w:rsidRPr="003A7C61">
              <w:rPr>
                <w:b/>
                <w:bCs/>
                <w:sz w:val="20"/>
                <w:szCs w:val="20"/>
              </w:rPr>
              <w:t>Award</w:t>
            </w:r>
          </w:p>
        </w:tc>
      </w:tr>
      <w:tr w:rsidR="007A6A1A" w:rsidRPr="00167CB8" w14:paraId="14CDCA2B" w14:textId="77777777" w:rsidTr="005E5342">
        <w:trPr>
          <w:trHeight w:val="343"/>
        </w:trPr>
        <w:tc>
          <w:tcPr>
            <w:tcW w:w="3397" w:type="dxa"/>
            <w:tcBorders>
              <w:top w:val="nil"/>
              <w:left w:val="single" w:sz="4" w:space="0" w:color="auto"/>
              <w:bottom w:val="single" w:sz="4" w:space="0" w:color="auto"/>
              <w:right w:val="nil"/>
            </w:tcBorders>
            <w:noWrap/>
            <w:vAlign w:val="bottom"/>
            <w:hideMark/>
          </w:tcPr>
          <w:p w14:paraId="27A48E43" w14:textId="77777777" w:rsidR="007A6A1A" w:rsidRPr="003A7C61" w:rsidRDefault="007A6A1A" w:rsidP="003A7C61">
            <w:pPr>
              <w:spacing w:after="0" w:line="240" w:lineRule="auto"/>
              <w:rPr>
                <w:b/>
                <w:bCs/>
                <w:sz w:val="20"/>
                <w:szCs w:val="20"/>
              </w:rPr>
            </w:pPr>
            <w:r w:rsidRPr="003A7C61">
              <w:rPr>
                <w:b/>
                <w:bCs/>
                <w:sz w:val="20"/>
                <w:szCs w:val="20"/>
              </w:rPr>
              <w:t>Industry of main job</w:t>
            </w:r>
          </w:p>
        </w:tc>
        <w:tc>
          <w:tcPr>
            <w:tcW w:w="1033" w:type="dxa"/>
            <w:tcBorders>
              <w:top w:val="nil"/>
              <w:left w:val="nil"/>
              <w:bottom w:val="single" w:sz="4" w:space="0" w:color="auto"/>
              <w:right w:val="nil"/>
            </w:tcBorders>
            <w:noWrap/>
            <w:vAlign w:val="bottom"/>
            <w:hideMark/>
          </w:tcPr>
          <w:p w14:paraId="6EF25D67" w14:textId="77777777" w:rsidR="007A6A1A" w:rsidRPr="003A7C61" w:rsidRDefault="007A6A1A" w:rsidP="003A7C61">
            <w:pPr>
              <w:spacing w:after="0" w:line="240" w:lineRule="auto"/>
              <w:rPr>
                <w:b/>
                <w:bCs/>
                <w:sz w:val="20"/>
                <w:szCs w:val="20"/>
              </w:rPr>
            </w:pPr>
            <w:r w:rsidRPr="003A7C61">
              <w:rPr>
                <w:b/>
                <w:bCs/>
                <w:sz w:val="20"/>
                <w:szCs w:val="20"/>
              </w:rPr>
              <w:t>2012</w:t>
            </w:r>
          </w:p>
        </w:tc>
        <w:tc>
          <w:tcPr>
            <w:tcW w:w="928" w:type="dxa"/>
            <w:tcBorders>
              <w:top w:val="nil"/>
              <w:left w:val="nil"/>
              <w:bottom w:val="single" w:sz="4" w:space="0" w:color="auto"/>
              <w:right w:val="nil"/>
            </w:tcBorders>
            <w:noWrap/>
            <w:vAlign w:val="bottom"/>
            <w:hideMark/>
          </w:tcPr>
          <w:p w14:paraId="62F63A0B" w14:textId="77777777" w:rsidR="007A6A1A" w:rsidRPr="003A7C61" w:rsidRDefault="007A6A1A" w:rsidP="003A7C61">
            <w:pPr>
              <w:spacing w:after="0" w:line="240" w:lineRule="auto"/>
              <w:rPr>
                <w:b/>
                <w:bCs/>
                <w:sz w:val="20"/>
                <w:szCs w:val="20"/>
              </w:rPr>
            </w:pPr>
            <w:r w:rsidRPr="003A7C61">
              <w:rPr>
                <w:b/>
                <w:bCs/>
                <w:sz w:val="20"/>
                <w:szCs w:val="20"/>
              </w:rPr>
              <w:t>2022</w:t>
            </w:r>
          </w:p>
        </w:tc>
        <w:tc>
          <w:tcPr>
            <w:tcW w:w="860" w:type="dxa"/>
            <w:tcBorders>
              <w:top w:val="nil"/>
              <w:left w:val="nil"/>
              <w:bottom w:val="single" w:sz="4" w:space="0" w:color="auto"/>
              <w:right w:val="nil"/>
            </w:tcBorders>
            <w:noWrap/>
            <w:vAlign w:val="bottom"/>
            <w:hideMark/>
          </w:tcPr>
          <w:p w14:paraId="1B1D9B21" w14:textId="77777777" w:rsidR="007A6A1A" w:rsidRPr="003A7C61" w:rsidRDefault="007A6A1A" w:rsidP="003A7C61">
            <w:pPr>
              <w:spacing w:after="0" w:line="240" w:lineRule="auto"/>
              <w:rPr>
                <w:b/>
                <w:bCs/>
                <w:sz w:val="20"/>
                <w:szCs w:val="20"/>
              </w:rPr>
            </w:pPr>
            <w:r w:rsidRPr="003A7C61">
              <w:rPr>
                <w:b/>
                <w:bCs/>
                <w:sz w:val="20"/>
                <w:szCs w:val="20"/>
              </w:rPr>
              <w:t>2012</w:t>
            </w:r>
          </w:p>
        </w:tc>
        <w:tc>
          <w:tcPr>
            <w:tcW w:w="860" w:type="dxa"/>
            <w:tcBorders>
              <w:top w:val="nil"/>
              <w:left w:val="nil"/>
              <w:bottom w:val="single" w:sz="4" w:space="0" w:color="auto"/>
              <w:right w:val="nil"/>
            </w:tcBorders>
            <w:noWrap/>
            <w:vAlign w:val="bottom"/>
            <w:hideMark/>
          </w:tcPr>
          <w:p w14:paraId="59D50060" w14:textId="77777777" w:rsidR="007A6A1A" w:rsidRPr="003A7C61" w:rsidRDefault="007A6A1A" w:rsidP="003A7C61">
            <w:pPr>
              <w:spacing w:after="0" w:line="240" w:lineRule="auto"/>
              <w:rPr>
                <w:b/>
                <w:bCs/>
                <w:sz w:val="20"/>
                <w:szCs w:val="20"/>
              </w:rPr>
            </w:pPr>
            <w:r w:rsidRPr="003A7C61">
              <w:rPr>
                <w:b/>
                <w:bCs/>
                <w:sz w:val="20"/>
                <w:szCs w:val="20"/>
              </w:rPr>
              <w:t>2022</w:t>
            </w:r>
          </w:p>
        </w:tc>
        <w:tc>
          <w:tcPr>
            <w:tcW w:w="1105" w:type="dxa"/>
            <w:tcBorders>
              <w:top w:val="nil"/>
              <w:left w:val="nil"/>
              <w:bottom w:val="single" w:sz="4" w:space="0" w:color="auto"/>
              <w:right w:val="nil"/>
            </w:tcBorders>
            <w:noWrap/>
            <w:vAlign w:val="bottom"/>
            <w:hideMark/>
          </w:tcPr>
          <w:p w14:paraId="5B7C5657" w14:textId="77777777" w:rsidR="007A6A1A" w:rsidRPr="003A7C61" w:rsidRDefault="007A6A1A" w:rsidP="003A7C61">
            <w:pPr>
              <w:spacing w:after="0" w:line="240" w:lineRule="auto"/>
              <w:rPr>
                <w:b/>
                <w:bCs/>
                <w:sz w:val="20"/>
                <w:szCs w:val="20"/>
              </w:rPr>
            </w:pPr>
            <w:r w:rsidRPr="003A7C61">
              <w:rPr>
                <w:b/>
                <w:bCs/>
                <w:sz w:val="20"/>
                <w:szCs w:val="20"/>
              </w:rPr>
              <w:t>2012</w:t>
            </w:r>
          </w:p>
        </w:tc>
        <w:tc>
          <w:tcPr>
            <w:tcW w:w="1105" w:type="dxa"/>
            <w:tcBorders>
              <w:top w:val="nil"/>
              <w:left w:val="nil"/>
              <w:bottom w:val="single" w:sz="4" w:space="0" w:color="auto"/>
              <w:right w:val="single" w:sz="4" w:space="0" w:color="auto"/>
            </w:tcBorders>
            <w:noWrap/>
            <w:vAlign w:val="bottom"/>
            <w:hideMark/>
          </w:tcPr>
          <w:p w14:paraId="4C091DEC" w14:textId="77777777" w:rsidR="007A6A1A" w:rsidRPr="003A7C61" w:rsidRDefault="007A6A1A" w:rsidP="003A7C61">
            <w:pPr>
              <w:spacing w:after="0" w:line="240" w:lineRule="auto"/>
              <w:rPr>
                <w:b/>
                <w:bCs/>
                <w:sz w:val="20"/>
                <w:szCs w:val="20"/>
              </w:rPr>
            </w:pPr>
            <w:r w:rsidRPr="003A7C61">
              <w:rPr>
                <w:b/>
                <w:bCs/>
                <w:sz w:val="20"/>
                <w:szCs w:val="20"/>
              </w:rPr>
              <w:t>2022</w:t>
            </w:r>
          </w:p>
        </w:tc>
      </w:tr>
      <w:tr w:rsidR="007A6A1A" w:rsidRPr="00167CB8" w14:paraId="0C7ACF00" w14:textId="77777777" w:rsidTr="005E5342">
        <w:trPr>
          <w:trHeight w:val="343"/>
        </w:trPr>
        <w:tc>
          <w:tcPr>
            <w:tcW w:w="3397" w:type="dxa"/>
            <w:tcBorders>
              <w:top w:val="single" w:sz="4" w:space="0" w:color="auto"/>
              <w:left w:val="single" w:sz="4" w:space="0" w:color="auto"/>
              <w:bottom w:val="nil"/>
              <w:right w:val="nil"/>
            </w:tcBorders>
            <w:noWrap/>
            <w:vAlign w:val="bottom"/>
            <w:hideMark/>
          </w:tcPr>
          <w:p w14:paraId="35D18885" w14:textId="77777777" w:rsidR="007A6A1A" w:rsidRPr="003A7C61" w:rsidRDefault="007A6A1A" w:rsidP="003A7C61">
            <w:pPr>
              <w:spacing w:after="0" w:line="240" w:lineRule="auto"/>
              <w:rPr>
                <w:sz w:val="20"/>
                <w:szCs w:val="20"/>
              </w:rPr>
            </w:pPr>
            <w:r w:rsidRPr="003A7C61">
              <w:rPr>
                <w:sz w:val="20"/>
                <w:szCs w:val="20"/>
              </w:rPr>
              <w:t>Agriculture, forestry and fishing</w:t>
            </w:r>
          </w:p>
        </w:tc>
        <w:tc>
          <w:tcPr>
            <w:tcW w:w="1033" w:type="dxa"/>
            <w:tcBorders>
              <w:top w:val="single" w:sz="4" w:space="0" w:color="auto"/>
              <w:left w:val="nil"/>
              <w:bottom w:val="nil"/>
              <w:right w:val="nil"/>
            </w:tcBorders>
            <w:noWrap/>
            <w:vAlign w:val="bottom"/>
            <w:hideMark/>
          </w:tcPr>
          <w:p w14:paraId="426F394C" w14:textId="77777777" w:rsidR="007A6A1A" w:rsidRPr="003A7C61" w:rsidRDefault="007A6A1A" w:rsidP="003A7C61">
            <w:pPr>
              <w:spacing w:after="0" w:line="240" w:lineRule="auto"/>
              <w:rPr>
                <w:sz w:val="20"/>
                <w:szCs w:val="20"/>
              </w:rPr>
            </w:pPr>
            <w:r w:rsidRPr="003A7C61">
              <w:rPr>
                <w:sz w:val="20"/>
                <w:szCs w:val="20"/>
              </w:rPr>
              <w:t>0.2%</w:t>
            </w:r>
          </w:p>
        </w:tc>
        <w:tc>
          <w:tcPr>
            <w:tcW w:w="928" w:type="dxa"/>
            <w:tcBorders>
              <w:top w:val="single" w:sz="4" w:space="0" w:color="auto"/>
              <w:left w:val="nil"/>
              <w:bottom w:val="nil"/>
              <w:right w:val="nil"/>
            </w:tcBorders>
            <w:noWrap/>
            <w:vAlign w:val="bottom"/>
            <w:hideMark/>
          </w:tcPr>
          <w:p w14:paraId="3FF5F06D" w14:textId="77777777" w:rsidR="007A6A1A" w:rsidRPr="003A7C61" w:rsidRDefault="007A6A1A" w:rsidP="003A7C61">
            <w:pPr>
              <w:spacing w:after="0" w:line="240" w:lineRule="auto"/>
              <w:rPr>
                <w:sz w:val="20"/>
                <w:szCs w:val="20"/>
              </w:rPr>
            </w:pPr>
            <w:r w:rsidRPr="003A7C61">
              <w:rPr>
                <w:sz w:val="20"/>
                <w:szCs w:val="20"/>
              </w:rPr>
              <w:t>0.3%</w:t>
            </w:r>
          </w:p>
        </w:tc>
        <w:tc>
          <w:tcPr>
            <w:tcW w:w="860" w:type="dxa"/>
            <w:tcBorders>
              <w:top w:val="single" w:sz="4" w:space="0" w:color="auto"/>
              <w:left w:val="nil"/>
              <w:bottom w:val="nil"/>
              <w:right w:val="nil"/>
            </w:tcBorders>
            <w:noWrap/>
            <w:vAlign w:val="bottom"/>
            <w:hideMark/>
          </w:tcPr>
          <w:p w14:paraId="59155AF1" w14:textId="77777777" w:rsidR="007A6A1A" w:rsidRPr="003A7C61" w:rsidRDefault="007A6A1A" w:rsidP="003A7C61">
            <w:pPr>
              <w:spacing w:after="0" w:line="240" w:lineRule="auto"/>
              <w:rPr>
                <w:sz w:val="20"/>
                <w:szCs w:val="20"/>
              </w:rPr>
            </w:pPr>
            <w:r w:rsidRPr="003A7C61">
              <w:rPr>
                <w:sz w:val="20"/>
                <w:szCs w:val="20"/>
              </w:rPr>
              <w:t>1.3%</w:t>
            </w:r>
          </w:p>
        </w:tc>
        <w:tc>
          <w:tcPr>
            <w:tcW w:w="860" w:type="dxa"/>
            <w:tcBorders>
              <w:top w:val="single" w:sz="4" w:space="0" w:color="auto"/>
              <w:left w:val="nil"/>
              <w:bottom w:val="nil"/>
              <w:right w:val="nil"/>
            </w:tcBorders>
            <w:noWrap/>
            <w:vAlign w:val="bottom"/>
            <w:hideMark/>
          </w:tcPr>
          <w:p w14:paraId="234EA51F" w14:textId="77777777" w:rsidR="007A6A1A" w:rsidRPr="003A7C61" w:rsidRDefault="007A6A1A" w:rsidP="003A7C61">
            <w:pPr>
              <w:spacing w:after="0" w:line="240" w:lineRule="auto"/>
              <w:rPr>
                <w:sz w:val="20"/>
                <w:szCs w:val="20"/>
              </w:rPr>
            </w:pPr>
            <w:r w:rsidRPr="003A7C61">
              <w:rPr>
                <w:sz w:val="20"/>
                <w:szCs w:val="20"/>
              </w:rPr>
              <w:t>1.6%</w:t>
            </w:r>
          </w:p>
        </w:tc>
        <w:tc>
          <w:tcPr>
            <w:tcW w:w="1105" w:type="dxa"/>
            <w:tcBorders>
              <w:top w:val="single" w:sz="4" w:space="0" w:color="auto"/>
              <w:left w:val="nil"/>
              <w:bottom w:val="nil"/>
              <w:right w:val="nil"/>
            </w:tcBorders>
            <w:noWrap/>
            <w:vAlign w:val="bottom"/>
            <w:hideMark/>
          </w:tcPr>
          <w:p w14:paraId="1B215A60" w14:textId="77777777" w:rsidR="007A6A1A" w:rsidRPr="003A7C61" w:rsidRDefault="007A6A1A" w:rsidP="003A7C61">
            <w:pPr>
              <w:spacing w:after="0" w:line="240" w:lineRule="auto"/>
              <w:rPr>
                <w:sz w:val="20"/>
                <w:szCs w:val="20"/>
              </w:rPr>
            </w:pPr>
            <w:r w:rsidRPr="003A7C61">
              <w:rPr>
                <w:sz w:val="20"/>
                <w:szCs w:val="20"/>
              </w:rPr>
              <w:t>2.2%</w:t>
            </w:r>
          </w:p>
        </w:tc>
        <w:tc>
          <w:tcPr>
            <w:tcW w:w="1105" w:type="dxa"/>
            <w:tcBorders>
              <w:top w:val="single" w:sz="4" w:space="0" w:color="auto"/>
              <w:left w:val="nil"/>
              <w:bottom w:val="nil"/>
              <w:right w:val="single" w:sz="4" w:space="0" w:color="auto"/>
            </w:tcBorders>
            <w:noWrap/>
            <w:vAlign w:val="bottom"/>
            <w:hideMark/>
          </w:tcPr>
          <w:p w14:paraId="6994CC9F" w14:textId="77777777" w:rsidR="007A6A1A" w:rsidRPr="003A7C61" w:rsidRDefault="007A6A1A" w:rsidP="003A7C61">
            <w:pPr>
              <w:spacing w:after="0" w:line="240" w:lineRule="auto"/>
              <w:rPr>
                <w:sz w:val="20"/>
                <w:szCs w:val="20"/>
              </w:rPr>
            </w:pPr>
            <w:r w:rsidRPr="003A7C61">
              <w:rPr>
                <w:sz w:val="20"/>
                <w:szCs w:val="20"/>
              </w:rPr>
              <w:t>1.7%</w:t>
            </w:r>
          </w:p>
        </w:tc>
      </w:tr>
      <w:tr w:rsidR="007A6A1A" w:rsidRPr="00167CB8" w14:paraId="78081FB7" w14:textId="77777777" w:rsidTr="005E5342">
        <w:trPr>
          <w:trHeight w:val="343"/>
        </w:trPr>
        <w:tc>
          <w:tcPr>
            <w:tcW w:w="3397" w:type="dxa"/>
            <w:tcBorders>
              <w:top w:val="nil"/>
              <w:left w:val="single" w:sz="4" w:space="0" w:color="auto"/>
              <w:bottom w:val="nil"/>
              <w:right w:val="nil"/>
            </w:tcBorders>
            <w:noWrap/>
            <w:vAlign w:val="bottom"/>
            <w:hideMark/>
          </w:tcPr>
          <w:p w14:paraId="5E63E14E" w14:textId="77777777" w:rsidR="007A6A1A" w:rsidRPr="003A7C61" w:rsidRDefault="007A6A1A" w:rsidP="003A7C61">
            <w:pPr>
              <w:spacing w:after="0" w:line="240" w:lineRule="auto"/>
              <w:rPr>
                <w:sz w:val="20"/>
                <w:szCs w:val="20"/>
              </w:rPr>
            </w:pPr>
            <w:r w:rsidRPr="003A7C61">
              <w:rPr>
                <w:sz w:val="20"/>
                <w:szCs w:val="20"/>
              </w:rPr>
              <w:t>Mining</w:t>
            </w:r>
          </w:p>
        </w:tc>
        <w:tc>
          <w:tcPr>
            <w:tcW w:w="1033" w:type="dxa"/>
            <w:tcBorders>
              <w:top w:val="nil"/>
              <w:left w:val="nil"/>
              <w:bottom w:val="nil"/>
              <w:right w:val="nil"/>
            </w:tcBorders>
            <w:noWrap/>
            <w:vAlign w:val="bottom"/>
            <w:hideMark/>
          </w:tcPr>
          <w:p w14:paraId="38C750EB" w14:textId="77777777" w:rsidR="007A6A1A" w:rsidRPr="003A7C61" w:rsidRDefault="007A6A1A" w:rsidP="003A7C61">
            <w:pPr>
              <w:spacing w:after="0" w:line="240" w:lineRule="auto"/>
              <w:rPr>
                <w:sz w:val="20"/>
                <w:szCs w:val="20"/>
              </w:rPr>
            </w:pPr>
            <w:r w:rsidRPr="003A7C61">
              <w:rPr>
                <w:sz w:val="20"/>
                <w:szCs w:val="20"/>
              </w:rPr>
              <w:t>3.3%</w:t>
            </w:r>
          </w:p>
        </w:tc>
        <w:tc>
          <w:tcPr>
            <w:tcW w:w="928" w:type="dxa"/>
            <w:tcBorders>
              <w:top w:val="nil"/>
              <w:left w:val="nil"/>
              <w:bottom w:val="nil"/>
              <w:right w:val="nil"/>
            </w:tcBorders>
            <w:noWrap/>
            <w:vAlign w:val="bottom"/>
            <w:hideMark/>
          </w:tcPr>
          <w:p w14:paraId="51780A35" w14:textId="77777777" w:rsidR="007A6A1A" w:rsidRPr="003A7C61" w:rsidRDefault="007A6A1A" w:rsidP="003A7C61">
            <w:pPr>
              <w:spacing w:after="0" w:line="240" w:lineRule="auto"/>
              <w:rPr>
                <w:sz w:val="20"/>
                <w:szCs w:val="20"/>
              </w:rPr>
            </w:pPr>
            <w:r w:rsidRPr="003A7C61">
              <w:rPr>
                <w:sz w:val="20"/>
                <w:szCs w:val="20"/>
              </w:rPr>
              <w:t>1.7%</w:t>
            </w:r>
          </w:p>
        </w:tc>
        <w:tc>
          <w:tcPr>
            <w:tcW w:w="860" w:type="dxa"/>
            <w:tcBorders>
              <w:top w:val="nil"/>
              <w:left w:val="nil"/>
              <w:bottom w:val="nil"/>
              <w:right w:val="nil"/>
            </w:tcBorders>
            <w:noWrap/>
            <w:vAlign w:val="bottom"/>
            <w:hideMark/>
          </w:tcPr>
          <w:p w14:paraId="052C6DFF" w14:textId="77777777" w:rsidR="007A6A1A" w:rsidRPr="003A7C61" w:rsidRDefault="007A6A1A" w:rsidP="003A7C61">
            <w:pPr>
              <w:spacing w:after="0" w:line="240" w:lineRule="auto"/>
              <w:rPr>
                <w:sz w:val="20"/>
                <w:szCs w:val="20"/>
              </w:rPr>
            </w:pPr>
            <w:r w:rsidRPr="003A7C61">
              <w:rPr>
                <w:sz w:val="20"/>
                <w:szCs w:val="20"/>
              </w:rPr>
              <w:t>3.1%</w:t>
            </w:r>
          </w:p>
        </w:tc>
        <w:tc>
          <w:tcPr>
            <w:tcW w:w="860" w:type="dxa"/>
            <w:tcBorders>
              <w:top w:val="nil"/>
              <w:left w:val="nil"/>
              <w:bottom w:val="nil"/>
              <w:right w:val="nil"/>
            </w:tcBorders>
            <w:noWrap/>
            <w:vAlign w:val="bottom"/>
            <w:hideMark/>
          </w:tcPr>
          <w:p w14:paraId="148481D7" w14:textId="77777777" w:rsidR="007A6A1A" w:rsidRPr="003A7C61" w:rsidRDefault="007A6A1A" w:rsidP="003A7C61">
            <w:pPr>
              <w:spacing w:after="0" w:line="240" w:lineRule="auto"/>
              <w:rPr>
                <w:sz w:val="20"/>
                <w:szCs w:val="20"/>
              </w:rPr>
            </w:pPr>
            <w:r w:rsidRPr="003A7C61">
              <w:rPr>
                <w:sz w:val="20"/>
                <w:szCs w:val="20"/>
              </w:rPr>
              <w:t>4.5%</w:t>
            </w:r>
          </w:p>
        </w:tc>
        <w:tc>
          <w:tcPr>
            <w:tcW w:w="1105" w:type="dxa"/>
            <w:tcBorders>
              <w:top w:val="nil"/>
              <w:left w:val="nil"/>
              <w:bottom w:val="nil"/>
              <w:right w:val="nil"/>
            </w:tcBorders>
            <w:noWrap/>
            <w:vAlign w:val="bottom"/>
            <w:hideMark/>
          </w:tcPr>
          <w:p w14:paraId="3A75E368" w14:textId="77777777" w:rsidR="007A6A1A" w:rsidRPr="003A7C61" w:rsidRDefault="007A6A1A" w:rsidP="003A7C61">
            <w:pPr>
              <w:spacing w:after="0" w:line="240" w:lineRule="auto"/>
              <w:rPr>
                <w:sz w:val="20"/>
                <w:szCs w:val="20"/>
              </w:rPr>
            </w:pPr>
            <w:r w:rsidRPr="003A7C61">
              <w:rPr>
                <w:sz w:val="20"/>
                <w:szCs w:val="20"/>
              </w:rPr>
              <w:t>0.4%</w:t>
            </w:r>
          </w:p>
        </w:tc>
        <w:tc>
          <w:tcPr>
            <w:tcW w:w="1105" w:type="dxa"/>
            <w:tcBorders>
              <w:top w:val="nil"/>
              <w:left w:val="nil"/>
              <w:bottom w:val="nil"/>
              <w:right w:val="single" w:sz="4" w:space="0" w:color="auto"/>
            </w:tcBorders>
            <w:noWrap/>
            <w:vAlign w:val="bottom"/>
            <w:hideMark/>
          </w:tcPr>
          <w:p w14:paraId="57A1DF80" w14:textId="77777777" w:rsidR="007A6A1A" w:rsidRPr="003A7C61" w:rsidRDefault="007A6A1A" w:rsidP="003A7C61">
            <w:pPr>
              <w:spacing w:after="0" w:line="240" w:lineRule="auto"/>
              <w:rPr>
                <w:sz w:val="20"/>
                <w:szCs w:val="20"/>
              </w:rPr>
            </w:pPr>
            <w:r w:rsidRPr="003A7C61">
              <w:rPr>
                <w:sz w:val="20"/>
                <w:szCs w:val="20"/>
              </w:rPr>
              <w:t>0.4%</w:t>
            </w:r>
          </w:p>
        </w:tc>
      </w:tr>
      <w:tr w:rsidR="007A6A1A" w:rsidRPr="00167CB8" w14:paraId="098133A6" w14:textId="77777777" w:rsidTr="005E5342">
        <w:trPr>
          <w:trHeight w:val="343"/>
        </w:trPr>
        <w:tc>
          <w:tcPr>
            <w:tcW w:w="3397" w:type="dxa"/>
            <w:tcBorders>
              <w:top w:val="nil"/>
              <w:left w:val="single" w:sz="4" w:space="0" w:color="auto"/>
              <w:bottom w:val="nil"/>
              <w:right w:val="nil"/>
            </w:tcBorders>
            <w:noWrap/>
            <w:vAlign w:val="bottom"/>
            <w:hideMark/>
          </w:tcPr>
          <w:p w14:paraId="6AB5B719" w14:textId="77777777" w:rsidR="007A6A1A" w:rsidRPr="003A7C61" w:rsidRDefault="007A6A1A" w:rsidP="003A7C61">
            <w:pPr>
              <w:spacing w:after="0" w:line="240" w:lineRule="auto"/>
              <w:rPr>
                <w:sz w:val="20"/>
                <w:szCs w:val="20"/>
              </w:rPr>
            </w:pPr>
            <w:r w:rsidRPr="003A7C61">
              <w:rPr>
                <w:sz w:val="20"/>
                <w:szCs w:val="20"/>
              </w:rPr>
              <w:t>Manufacturing</w:t>
            </w:r>
          </w:p>
        </w:tc>
        <w:tc>
          <w:tcPr>
            <w:tcW w:w="1033" w:type="dxa"/>
            <w:tcBorders>
              <w:top w:val="nil"/>
              <w:left w:val="nil"/>
              <w:bottom w:val="nil"/>
              <w:right w:val="nil"/>
            </w:tcBorders>
            <w:noWrap/>
            <w:vAlign w:val="bottom"/>
            <w:hideMark/>
          </w:tcPr>
          <w:p w14:paraId="583E3197" w14:textId="77777777" w:rsidR="007A6A1A" w:rsidRPr="003A7C61" w:rsidRDefault="007A6A1A" w:rsidP="003A7C61">
            <w:pPr>
              <w:spacing w:after="0" w:line="240" w:lineRule="auto"/>
              <w:rPr>
                <w:sz w:val="20"/>
                <w:szCs w:val="20"/>
              </w:rPr>
            </w:pPr>
            <w:r w:rsidRPr="003A7C61">
              <w:rPr>
                <w:sz w:val="20"/>
                <w:szCs w:val="20"/>
              </w:rPr>
              <w:t>6.7%</w:t>
            </w:r>
          </w:p>
        </w:tc>
        <w:tc>
          <w:tcPr>
            <w:tcW w:w="928" w:type="dxa"/>
            <w:tcBorders>
              <w:top w:val="nil"/>
              <w:left w:val="nil"/>
              <w:bottom w:val="nil"/>
              <w:right w:val="nil"/>
            </w:tcBorders>
            <w:noWrap/>
            <w:vAlign w:val="bottom"/>
            <w:hideMark/>
          </w:tcPr>
          <w:p w14:paraId="65016331" w14:textId="77777777" w:rsidR="007A6A1A" w:rsidRPr="003A7C61" w:rsidRDefault="007A6A1A" w:rsidP="003A7C61">
            <w:pPr>
              <w:spacing w:after="0" w:line="240" w:lineRule="auto"/>
              <w:rPr>
                <w:sz w:val="20"/>
                <w:szCs w:val="20"/>
              </w:rPr>
            </w:pPr>
            <w:r w:rsidRPr="003A7C61">
              <w:rPr>
                <w:sz w:val="20"/>
                <w:szCs w:val="20"/>
              </w:rPr>
              <w:t>4.3%</w:t>
            </w:r>
          </w:p>
        </w:tc>
        <w:tc>
          <w:tcPr>
            <w:tcW w:w="860" w:type="dxa"/>
            <w:tcBorders>
              <w:top w:val="nil"/>
              <w:left w:val="nil"/>
              <w:bottom w:val="nil"/>
              <w:right w:val="nil"/>
            </w:tcBorders>
            <w:noWrap/>
            <w:vAlign w:val="bottom"/>
            <w:hideMark/>
          </w:tcPr>
          <w:p w14:paraId="014739E1" w14:textId="77777777" w:rsidR="007A6A1A" w:rsidRPr="003A7C61" w:rsidRDefault="007A6A1A" w:rsidP="003A7C61">
            <w:pPr>
              <w:spacing w:after="0" w:line="240" w:lineRule="auto"/>
              <w:rPr>
                <w:sz w:val="20"/>
                <w:szCs w:val="20"/>
              </w:rPr>
            </w:pPr>
            <w:r w:rsidRPr="003A7C61">
              <w:rPr>
                <w:sz w:val="20"/>
                <w:szCs w:val="20"/>
              </w:rPr>
              <w:t>10.8%</w:t>
            </w:r>
          </w:p>
        </w:tc>
        <w:tc>
          <w:tcPr>
            <w:tcW w:w="860" w:type="dxa"/>
            <w:tcBorders>
              <w:top w:val="nil"/>
              <w:left w:val="nil"/>
              <w:bottom w:val="nil"/>
              <w:right w:val="nil"/>
            </w:tcBorders>
            <w:noWrap/>
            <w:vAlign w:val="bottom"/>
            <w:hideMark/>
          </w:tcPr>
          <w:p w14:paraId="24840F82" w14:textId="77777777" w:rsidR="007A6A1A" w:rsidRPr="003A7C61" w:rsidRDefault="007A6A1A" w:rsidP="003A7C61">
            <w:pPr>
              <w:spacing w:after="0" w:line="240" w:lineRule="auto"/>
              <w:rPr>
                <w:sz w:val="20"/>
                <w:szCs w:val="20"/>
              </w:rPr>
            </w:pPr>
            <w:r w:rsidRPr="003A7C61">
              <w:rPr>
                <w:sz w:val="20"/>
                <w:szCs w:val="20"/>
              </w:rPr>
              <w:t>11.9%</w:t>
            </w:r>
          </w:p>
        </w:tc>
        <w:tc>
          <w:tcPr>
            <w:tcW w:w="1105" w:type="dxa"/>
            <w:tcBorders>
              <w:top w:val="nil"/>
              <w:left w:val="nil"/>
              <w:bottom w:val="nil"/>
              <w:right w:val="nil"/>
            </w:tcBorders>
            <w:noWrap/>
            <w:vAlign w:val="bottom"/>
            <w:hideMark/>
          </w:tcPr>
          <w:p w14:paraId="7953AC7D" w14:textId="77777777" w:rsidR="007A6A1A" w:rsidRPr="003A7C61" w:rsidRDefault="007A6A1A" w:rsidP="003A7C61">
            <w:pPr>
              <w:spacing w:after="0" w:line="240" w:lineRule="auto"/>
              <w:rPr>
                <w:sz w:val="20"/>
                <w:szCs w:val="20"/>
              </w:rPr>
            </w:pPr>
            <w:r w:rsidRPr="003A7C61">
              <w:rPr>
                <w:sz w:val="20"/>
                <w:szCs w:val="20"/>
              </w:rPr>
              <w:t>6.4%</w:t>
            </w:r>
          </w:p>
        </w:tc>
        <w:tc>
          <w:tcPr>
            <w:tcW w:w="1105" w:type="dxa"/>
            <w:tcBorders>
              <w:top w:val="nil"/>
              <w:left w:val="nil"/>
              <w:bottom w:val="nil"/>
              <w:right w:val="single" w:sz="4" w:space="0" w:color="auto"/>
            </w:tcBorders>
            <w:noWrap/>
            <w:vAlign w:val="bottom"/>
            <w:hideMark/>
          </w:tcPr>
          <w:p w14:paraId="1A0D40F2" w14:textId="77777777" w:rsidR="007A6A1A" w:rsidRPr="003A7C61" w:rsidRDefault="007A6A1A" w:rsidP="003A7C61">
            <w:pPr>
              <w:spacing w:after="0" w:line="240" w:lineRule="auto"/>
              <w:rPr>
                <w:sz w:val="20"/>
                <w:szCs w:val="20"/>
              </w:rPr>
            </w:pPr>
            <w:r w:rsidRPr="003A7C61">
              <w:rPr>
                <w:sz w:val="20"/>
                <w:szCs w:val="20"/>
              </w:rPr>
              <w:t>6.7%</w:t>
            </w:r>
          </w:p>
        </w:tc>
      </w:tr>
      <w:tr w:rsidR="007A6A1A" w:rsidRPr="00167CB8" w14:paraId="17EEA709" w14:textId="77777777" w:rsidTr="005E5342">
        <w:trPr>
          <w:trHeight w:val="343"/>
        </w:trPr>
        <w:tc>
          <w:tcPr>
            <w:tcW w:w="3397" w:type="dxa"/>
            <w:tcBorders>
              <w:top w:val="nil"/>
              <w:left w:val="single" w:sz="4" w:space="0" w:color="auto"/>
              <w:bottom w:val="nil"/>
              <w:right w:val="nil"/>
            </w:tcBorders>
            <w:noWrap/>
            <w:vAlign w:val="bottom"/>
            <w:hideMark/>
          </w:tcPr>
          <w:p w14:paraId="3CA70F77" w14:textId="77777777" w:rsidR="007A6A1A" w:rsidRPr="003A7C61" w:rsidRDefault="007A6A1A" w:rsidP="003A7C61">
            <w:pPr>
              <w:spacing w:after="0" w:line="240" w:lineRule="auto"/>
              <w:rPr>
                <w:sz w:val="20"/>
                <w:szCs w:val="20"/>
              </w:rPr>
            </w:pPr>
            <w:r w:rsidRPr="003A7C61">
              <w:rPr>
                <w:sz w:val="20"/>
                <w:szCs w:val="20"/>
              </w:rPr>
              <w:t>Electricity, gas, water and waste services</w:t>
            </w:r>
          </w:p>
        </w:tc>
        <w:tc>
          <w:tcPr>
            <w:tcW w:w="1033" w:type="dxa"/>
            <w:tcBorders>
              <w:top w:val="nil"/>
              <w:left w:val="nil"/>
              <w:bottom w:val="nil"/>
              <w:right w:val="nil"/>
            </w:tcBorders>
            <w:noWrap/>
            <w:vAlign w:val="bottom"/>
            <w:hideMark/>
          </w:tcPr>
          <w:p w14:paraId="70092FDB" w14:textId="77777777" w:rsidR="007A6A1A" w:rsidRPr="003A7C61" w:rsidRDefault="007A6A1A" w:rsidP="003A7C61">
            <w:pPr>
              <w:spacing w:after="0" w:line="240" w:lineRule="auto"/>
              <w:rPr>
                <w:sz w:val="20"/>
                <w:szCs w:val="20"/>
              </w:rPr>
            </w:pPr>
            <w:r w:rsidRPr="003A7C61">
              <w:rPr>
                <w:sz w:val="20"/>
                <w:szCs w:val="20"/>
              </w:rPr>
              <w:t>1.6%</w:t>
            </w:r>
          </w:p>
        </w:tc>
        <w:tc>
          <w:tcPr>
            <w:tcW w:w="928" w:type="dxa"/>
            <w:tcBorders>
              <w:top w:val="nil"/>
              <w:left w:val="nil"/>
              <w:bottom w:val="nil"/>
              <w:right w:val="nil"/>
            </w:tcBorders>
            <w:noWrap/>
            <w:vAlign w:val="bottom"/>
            <w:hideMark/>
          </w:tcPr>
          <w:p w14:paraId="2B7DC66B" w14:textId="77777777" w:rsidR="007A6A1A" w:rsidRPr="003A7C61" w:rsidRDefault="007A6A1A" w:rsidP="003A7C61">
            <w:pPr>
              <w:spacing w:after="0" w:line="240" w:lineRule="auto"/>
              <w:rPr>
                <w:sz w:val="20"/>
                <w:szCs w:val="20"/>
              </w:rPr>
            </w:pPr>
            <w:r w:rsidRPr="003A7C61">
              <w:rPr>
                <w:sz w:val="20"/>
                <w:szCs w:val="20"/>
              </w:rPr>
              <w:t>1.7%</w:t>
            </w:r>
          </w:p>
        </w:tc>
        <w:tc>
          <w:tcPr>
            <w:tcW w:w="860" w:type="dxa"/>
            <w:tcBorders>
              <w:top w:val="nil"/>
              <w:left w:val="nil"/>
              <w:bottom w:val="nil"/>
              <w:right w:val="nil"/>
            </w:tcBorders>
            <w:noWrap/>
            <w:vAlign w:val="bottom"/>
            <w:hideMark/>
          </w:tcPr>
          <w:p w14:paraId="1331B30B" w14:textId="77777777" w:rsidR="007A6A1A" w:rsidRPr="003A7C61" w:rsidRDefault="007A6A1A" w:rsidP="003A7C61">
            <w:pPr>
              <w:spacing w:after="0" w:line="240" w:lineRule="auto"/>
              <w:rPr>
                <w:sz w:val="20"/>
                <w:szCs w:val="20"/>
              </w:rPr>
            </w:pPr>
            <w:r w:rsidRPr="003A7C61">
              <w:rPr>
                <w:sz w:val="20"/>
                <w:szCs w:val="20"/>
              </w:rPr>
              <w:t>1.1%</w:t>
            </w:r>
          </w:p>
        </w:tc>
        <w:tc>
          <w:tcPr>
            <w:tcW w:w="860" w:type="dxa"/>
            <w:tcBorders>
              <w:top w:val="nil"/>
              <w:left w:val="nil"/>
              <w:bottom w:val="nil"/>
              <w:right w:val="nil"/>
            </w:tcBorders>
            <w:noWrap/>
            <w:vAlign w:val="bottom"/>
            <w:hideMark/>
          </w:tcPr>
          <w:p w14:paraId="74AE5B00" w14:textId="77777777" w:rsidR="007A6A1A" w:rsidRPr="003A7C61" w:rsidRDefault="007A6A1A" w:rsidP="003A7C61">
            <w:pPr>
              <w:spacing w:after="0" w:line="240" w:lineRule="auto"/>
              <w:rPr>
                <w:sz w:val="20"/>
                <w:szCs w:val="20"/>
              </w:rPr>
            </w:pPr>
            <w:r w:rsidRPr="003A7C61">
              <w:rPr>
                <w:sz w:val="20"/>
                <w:szCs w:val="20"/>
              </w:rPr>
              <w:t>0.9%</w:t>
            </w:r>
          </w:p>
        </w:tc>
        <w:tc>
          <w:tcPr>
            <w:tcW w:w="1105" w:type="dxa"/>
            <w:tcBorders>
              <w:top w:val="nil"/>
              <w:left w:val="nil"/>
              <w:bottom w:val="nil"/>
              <w:right w:val="nil"/>
            </w:tcBorders>
            <w:noWrap/>
            <w:vAlign w:val="bottom"/>
            <w:hideMark/>
          </w:tcPr>
          <w:p w14:paraId="5FE5FD11" w14:textId="77777777" w:rsidR="007A6A1A" w:rsidRPr="003A7C61" w:rsidRDefault="007A6A1A" w:rsidP="003A7C61">
            <w:pPr>
              <w:spacing w:after="0" w:line="240" w:lineRule="auto"/>
              <w:rPr>
                <w:sz w:val="20"/>
                <w:szCs w:val="20"/>
              </w:rPr>
            </w:pPr>
            <w:r w:rsidRPr="003A7C61">
              <w:rPr>
                <w:sz w:val="20"/>
                <w:szCs w:val="20"/>
              </w:rPr>
              <w:t>0.4%</w:t>
            </w:r>
          </w:p>
        </w:tc>
        <w:tc>
          <w:tcPr>
            <w:tcW w:w="1105" w:type="dxa"/>
            <w:tcBorders>
              <w:top w:val="nil"/>
              <w:left w:val="nil"/>
              <w:bottom w:val="nil"/>
              <w:right w:val="single" w:sz="4" w:space="0" w:color="auto"/>
            </w:tcBorders>
            <w:noWrap/>
            <w:vAlign w:val="bottom"/>
            <w:hideMark/>
          </w:tcPr>
          <w:p w14:paraId="152A6EF0" w14:textId="77777777" w:rsidR="007A6A1A" w:rsidRPr="003A7C61" w:rsidRDefault="007A6A1A" w:rsidP="003A7C61">
            <w:pPr>
              <w:spacing w:after="0" w:line="240" w:lineRule="auto"/>
              <w:rPr>
                <w:sz w:val="20"/>
                <w:szCs w:val="20"/>
              </w:rPr>
            </w:pPr>
            <w:r w:rsidRPr="003A7C61">
              <w:rPr>
                <w:sz w:val="20"/>
                <w:szCs w:val="20"/>
              </w:rPr>
              <w:t>0.4%</w:t>
            </w:r>
          </w:p>
        </w:tc>
      </w:tr>
      <w:tr w:rsidR="007A6A1A" w:rsidRPr="00167CB8" w14:paraId="5A9F8C27" w14:textId="77777777" w:rsidTr="005E5342">
        <w:trPr>
          <w:trHeight w:val="343"/>
        </w:trPr>
        <w:tc>
          <w:tcPr>
            <w:tcW w:w="3397" w:type="dxa"/>
            <w:tcBorders>
              <w:top w:val="nil"/>
              <w:left w:val="single" w:sz="4" w:space="0" w:color="auto"/>
              <w:bottom w:val="nil"/>
              <w:right w:val="nil"/>
            </w:tcBorders>
            <w:noWrap/>
            <w:vAlign w:val="bottom"/>
            <w:hideMark/>
          </w:tcPr>
          <w:p w14:paraId="398AC070" w14:textId="77777777" w:rsidR="007A6A1A" w:rsidRPr="003A7C61" w:rsidRDefault="007A6A1A" w:rsidP="003A7C61">
            <w:pPr>
              <w:spacing w:after="0" w:line="240" w:lineRule="auto"/>
              <w:rPr>
                <w:sz w:val="20"/>
                <w:szCs w:val="20"/>
              </w:rPr>
            </w:pPr>
            <w:r w:rsidRPr="003A7C61">
              <w:rPr>
                <w:sz w:val="20"/>
                <w:szCs w:val="20"/>
              </w:rPr>
              <w:t>Construction</w:t>
            </w:r>
          </w:p>
        </w:tc>
        <w:tc>
          <w:tcPr>
            <w:tcW w:w="1033" w:type="dxa"/>
            <w:tcBorders>
              <w:top w:val="nil"/>
              <w:left w:val="nil"/>
              <w:bottom w:val="nil"/>
              <w:right w:val="nil"/>
            </w:tcBorders>
            <w:noWrap/>
            <w:vAlign w:val="bottom"/>
            <w:hideMark/>
          </w:tcPr>
          <w:p w14:paraId="1B055D0F" w14:textId="77777777" w:rsidR="007A6A1A" w:rsidRPr="003A7C61" w:rsidRDefault="007A6A1A" w:rsidP="003A7C61">
            <w:pPr>
              <w:spacing w:after="0" w:line="240" w:lineRule="auto"/>
              <w:rPr>
                <w:sz w:val="20"/>
                <w:szCs w:val="20"/>
              </w:rPr>
            </w:pPr>
            <w:r w:rsidRPr="003A7C61">
              <w:rPr>
                <w:sz w:val="20"/>
                <w:szCs w:val="20"/>
              </w:rPr>
              <w:t>4.8%</w:t>
            </w:r>
          </w:p>
        </w:tc>
        <w:tc>
          <w:tcPr>
            <w:tcW w:w="928" w:type="dxa"/>
            <w:tcBorders>
              <w:top w:val="nil"/>
              <w:left w:val="nil"/>
              <w:bottom w:val="nil"/>
              <w:right w:val="nil"/>
            </w:tcBorders>
            <w:noWrap/>
            <w:vAlign w:val="bottom"/>
            <w:hideMark/>
          </w:tcPr>
          <w:p w14:paraId="37CFD028" w14:textId="77777777" w:rsidR="007A6A1A" w:rsidRPr="003A7C61" w:rsidRDefault="007A6A1A" w:rsidP="003A7C61">
            <w:pPr>
              <w:spacing w:after="0" w:line="240" w:lineRule="auto"/>
              <w:rPr>
                <w:sz w:val="20"/>
                <w:szCs w:val="20"/>
              </w:rPr>
            </w:pPr>
            <w:r w:rsidRPr="003A7C61">
              <w:rPr>
                <w:sz w:val="20"/>
                <w:szCs w:val="20"/>
              </w:rPr>
              <w:t>3.7%</w:t>
            </w:r>
          </w:p>
        </w:tc>
        <w:tc>
          <w:tcPr>
            <w:tcW w:w="860" w:type="dxa"/>
            <w:tcBorders>
              <w:top w:val="nil"/>
              <w:left w:val="nil"/>
              <w:bottom w:val="nil"/>
              <w:right w:val="nil"/>
            </w:tcBorders>
            <w:noWrap/>
            <w:vAlign w:val="bottom"/>
            <w:hideMark/>
          </w:tcPr>
          <w:p w14:paraId="3A7161DA" w14:textId="77777777" w:rsidR="007A6A1A" w:rsidRPr="003A7C61" w:rsidRDefault="007A6A1A" w:rsidP="003A7C61">
            <w:pPr>
              <w:spacing w:after="0" w:line="240" w:lineRule="auto"/>
              <w:rPr>
                <w:sz w:val="20"/>
                <w:szCs w:val="20"/>
              </w:rPr>
            </w:pPr>
            <w:r w:rsidRPr="003A7C61">
              <w:rPr>
                <w:sz w:val="20"/>
                <w:szCs w:val="20"/>
              </w:rPr>
              <w:t>8.6%</w:t>
            </w:r>
          </w:p>
        </w:tc>
        <w:tc>
          <w:tcPr>
            <w:tcW w:w="860" w:type="dxa"/>
            <w:tcBorders>
              <w:top w:val="nil"/>
              <w:left w:val="nil"/>
              <w:bottom w:val="nil"/>
              <w:right w:val="nil"/>
            </w:tcBorders>
            <w:noWrap/>
            <w:vAlign w:val="bottom"/>
            <w:hideMark/>
          </w:tcPr>
          <w:p w14:paraId="2AC3C170" w14:textId="77777777" w:rsidR="007A6A1A" w:rsidRPr="003A7C61" w:rsidRDefault="007A6A1A" w:rsidP="003A7C61">
            <w:pPr>
              <w:spacing w:after="0" w:line="240" w:lineRule="auto"/>
              <w:rPr>
                <w:sz w:val="20"/>
                <w:szCs w:val="20"/>
              </w:rPr>
            </w:pPr>
            <w:r w:rsidRPr="003A7C61">
              <w:rPr>
                <w:sz w:val="20"/>
                <w:szCs w:val="20"/>
              </w:rPr>
              <w:t>11.0%</w:t>
            </w:r>
          </w:p>
        </w:tc>
        <w:tc>
          <w:tcPr>
            <w:tcW w:w="1105" w:type="dxa"/>
            <w:tcBorders>
              <w:top w:val="nil"/>
              <w:left w:val="nil"/>
              <w:bottom w:val="nil"/>
              <w:right w:val="nil"/>
            </w:tcBorders>
            <w:noWrap/>
            <w:vAlign w:val="bottom"/>
            <w:hideMark/>
          </w:tcPr>
          <w:p w14:paraId="32E0A5FA" w14:textId="77777777" w:rsidR="007A6A1A" w:rsidRPr="003A7C61" w:rsidRDefault="007A6A1A" w:rsidP="003A7C61">
            <w:pPr>
              <w:spacing w:after="0" w:line="240" w:lineRule="auto"/>
              <w:rPr>
                <w:sz w:val="20"/>
                <w:szCs w:val="20"/>
              </w:rPr>
            </w:pPr>
            <w:r w:rsidRPr="003A7C61">
              <w:rPr>
                <w:sz w:val="20"/>
                <w:szCs w:val="20"/>
              </w:rPr>
              <w:t>4.5%</w:t>
            </w:r>
          </w:p>
        </w:tc>
        <w:tc>
          <w:tcPr>
            <w:tcW w:w="1105" w:type="dxa"/>
            <w:tcBorders>
              <w:top w:val="nil"/>
              <w:left w:val="nil"/>
              <w:bottom w:val="nil"/>
              <w:right w:val="single" w:sz="4" w:space="0" w:color="auto"/>
            </w:tcBorders>
            <w:noWrap/>
            <w:vAlign w:val="bottom"/>
            <w:hideMark/>
          </w:tcPr>
          <w:p w14:paraId="6F4C3BD0" w14:textId="77777777" w:rsidR="007A6A1A" w:rsidRPr="003A7C61" w:rsidRDefault="007A6A1A" w:rsidP="003A7C61">
            <w:pPr>
              <w:spacing w:after="0" w:line="240" w:lineRule="auto"/>
              <w:rPr>
                <w:sz w:val="20"/>
                <w:szCs w:val="20"/>
              </w:rPr>
            </w:pPr>
            <w:r w:rsidRPr="003A7C61">
              <w:rPr>
                <w:sz w:val="20"/>
                <w:szCs w:val="20"/>
              </w:rPr>
              <w:t>5.6%</w:t>
            </w:r>
          </w:p>
        </w:tc>
      </w:tr>
      <w:tr w:rsidR="007A6A1A" w:rsidRPr="00167CB8" w14:paraId="12616F1E" w14:textId="77777777" w:rsidTr="005E5342">
        <w:trPr>
          <w:trHeight w:val="343"/>
        </w:trPr>
        <w:tc>
          <w:tcPr>
            <w:tcW w:w="3397" w:type="dxa"/>
            <w:tcBorders>
              <w:top w:val="nil"/>
              <w:left w:val="single" w:sz="4" w:space="0" w:color="auto"/>
              <w:bottom w:val="nil"/>
              <w:right w:val="nil"/>
            </w:tcBorders>
            <w:noWrap/>
            <w:vAlign w:val="bottom"/>
            <w:hideMark/>
          </w:tcPr>
          <w:p w14:paraId="35D09C18" w14:textId="77777777" w:rsidR="007A6A1A" w:rsidRPr="003A7C61" w:rsidRDefault="007A6A1A" w:rsidP="003A7C61">
            <w:pPr>
              <w:spacing w:after="0" w:line="240" w:lineRule="auto"/>
              <w:rPr>
                <w:sz w:val="20"/>
                <w:szCs w:val="20"/>
              </w:rPr>
            </w:pPr>
            <w:r w:rsidRPr="003A7C61">
              <w:rPr>
                <w:sz w:val="20"/>
                <w:szCs w:val="20"/>
              </w:rPr>
              <w:t>Wholesale trade</w:t>
            </w:r>
          </w:p>
        </w:tc>
        <w:tc>
          <w:tcPr>
            <w:tcW w:w="1033" w:type="dxa"/>
            <w:tcBorders>
              <w:top w:val="nil"/>
              <w:left w:val="nil"/>
              <w:bottom w:val="nil"/>
              <w:right w:val="nil"/>
            </w:tcBorders>
            <w:noWrap/>
            <w:vAlign w:val="bottom"/>
            <w:hideMark/>
          </w:tcPr>
          <w:p w14:paraId="1F011C16" w14:textId="77777777" w:rsidR="007A6A1A" w:rsidRPr="003A7C61" w:rsidRDefault="007A6A1A" w:rsidP="003A7C61">
            <w:pPr>
              <w:spacing w:after="0" w:line="240" w:lineRule="auto"/>
              <w:rPr>
                <w:sz w:val="20"/>
                <w:szCs w:val="20"/>
              </w:rPr>
            </w:pPr>
            <w:r w:rsidRPr="003A7C61">
              <w:rPr>
                <w:sz w:val="20"/>
                <w:szCs w:val="20"/>
              </w:rPr>
              <w:t>1.7%</w:t>
            </w:r>
          </w:p>
        </w:tc>
        <w:tc>
          <w:tcPr>
            <w:tcW w:w="928" w:type="dxa"/>
            <w:tcBorders>
              <w:top w:val="nil"/>
              <w:left w:val="nil"/>
              <w:bottom w:val="nil"/>
              <w:right w:val="nil"/>
            </w:tcBorders>
            <w:noWrap/>
            <w:vAlign w:val="bottom"/>
            <w:hideMark/>
          </w:tcPr>
          <w:p w14:paraId="089F49E4" w14:textId="77777777" w:rsidR="007A6A1A" w:rsidRPr="003A7C61" w:rsidRDefault="007A6A1A" w:rsidP="003A7C61">
            <w:pPr>
              <w:spacing w:after="0" w:line="240" w:lineRule="auto"/>
              <w:rPr>
                <w:sz w:val="20"/>
                <w:szCs w:val="20"/>
              </w:rPr>
            </w:pPr>
            <w:r w:rsidRPr="003A7C61">
              <w:rPr>
                <w:sz w:val="20"/>
                <w:szCs w:val="20"/>
              </w:rPr>
              <w:t>1.1%</w:t>
            </w:r>
          </w:p>
        </w:tc>
        <w:tc>
          <w:tcPr>
            <w:tcW w:w="860" w:type="dxa"/>
            <w:tcBorders>
              <w:top w:val="nil"/>
              <w:left w:val="nil"/>
              <w:bottom w:val="nil"/>
              <w:right w:val="nil"/>
            </w:tcBorders>
            <w:noWrap/>
            <w:vAlign w:val="bottom"/>
            <w:hideMark/>
          </w:tcPr>
          <w:p w14:paraId="61E277C2" w14:textId="77777777" w:rsidR="007A6A1A" w:rsidRPr="003A7C61" w:rsidRDefault="007A6A1A" w:rsidP="003A7C61">
            <w:pPr>
              <w:spacing w:after="0" w:line="240" w:lineRule="auto"/>
              <w:rPr>
                <w:sz w:val="20"/>
                <w:szCs w:val="20"/>
              </w:rPr>
            </w:pPr>
            <w:r w:rsidRPr="003A7C61">
              <w:rPr>
                <w:sz w:val="20"/>
                <w:szCs w:val="20"/>
              </w:rPr>
              <w:t>5.9%</w:t>
            </w:r>
          </w:p>
        </w:tc>
        <w:tc>
          <w:tcPr>
            <w:tcW w:w="860" w:type="dxa"/>
            <w:tcBorders>
              <w:top w:val="nil"/>
              <w:left w:val="nil"/>
              <w:bottom w:val="nil"/>
              <w:right w:val="nil"/>
            </w:tcBorders>
            <w:noWrap/>
            <w:vAlign w:val="bottom"/>
            <w:hideMark/>
          </w:tcPr>
          <w:p w14:paraId="481935B4" w14:textId="77777777" w:rsidR="007A6A1A" w:rsidRPr="003A7C61" w:rsidRDefault="007A6A1A" w:rsidP="003A7C61">
            <w:pPr>
              <w:spacing w:after="0" w:line="240" w:lineRule="auto"/>
              <w:rPr>
                <w:sz w:val="20"/>
                <w:szCs w:val="20"/>
              </w:rPr>
            </w:pPr>
            <w:r w:rsidRPr="003A7C61">
              <w:rPr>
                <w:sz w:val="20"/>
                <w:szCs w:val="20"/>
              </w:rPr>
              <w:t>4.2%</w:t>
            </w:r>
          </w:p>
        </w:tc>
        <w:tc>
          <w:tcPr>
            <w:tcW w:w="1105" w:type="dxa"/>
            <w:tcBorders>
              <w:top w:val="nil"/>
              <w:left w:val="nil"/>
              <w:bottom w:val="nil"/>
              <w:right w:val="nil"/>
            </w:tcBorders>
            <w:noWrap/>
            <w:vAlign w:val="bottom"/>
            <w:hideMark/>
          </w:tcPr>
          <w:p w14:paraId="0A2E0745" w14:textId="77777777" w:rsidR="007A6A1A" w:rsidRPr="003A7C61" w:rsidRDefault="007A6A1A" w:rsidP="003A7C61">
            <w:pPr>
              <w:spacing w:after="0" w:line="240" w:lineRule="auto"/>
              <w:rPr>
                <w:sz w:val="20"/>
                <w:szCs w:val="20"/>
              </w:rPr>
            </w:pPr>
            <w:r w:rsidRPr="003A7C61">
              <w:rPr>
                <w:sz w:val="20"/>
                <w:szCs w:val="20"/>
              </w:rPr>
              <w:t>2.3%</w:t>
            </w:r>
          </w:p>
        </w:tc>
        <w:tc>
          <w:tcPr>
            <w:tcW w:w="1105" w:type="dxa"/>
            <w:tcBorders>
              <w:top w:val="nil"/>
              <w:left w:val="nil"/>
              <w:bottom w:val="nil"/>
              <w:right w:val="single" w:sz="4" w:space="0" w:color="auto"/>
            </w:tcBorders>
            <w:noWrap/>
            <w:vAlign w:val="bottom"/>
            <w:hideMark/>
          </w:tcPr>
          <w:p w14:paraId="22D9A37B" w14:textId="77777777" w:rsidR="007A6A1A" w:rsidRPr="003A7C61" w:rsidRDefault="007A6A1A" w:rsidP="003A7C61">
            <w:pPr>
              <w:spacing w:after="0" w:line="240" w:lineRule="auto"/>
              <w:rPr>
                <w:sz w:val="20"/>
                <w:szCs w:val="20"/>
              </w:rPr>
            </w:pPr>
            <w:r w:rsidRPr="003A7C61">
              <w:rPr>
                <w:sz w:val="20"/>
                <w:szCs w:val="20"/>
              </w:rPr>
              <w:t>1.5%</w:t>
            </w:r>
          </w:p>
        </w:tc>
      </w:tr>
      <w:tr w:rsidR="007A6A1A" w:rsidRPr="00167CB8" w14:paraId="6758DC03" w14:textId="77777777" w:rsidTr="005E5342">
        <w:trPr>
          <w:trHeight w:val="343"/>
        </w:trPr>
        <w:tc>
          <w:tcPr>
            <w:tcW w:w="3397" w:type="dxa"/>
            <w:tcBorders>
              <w:top w:val="nil"/>
              <w:left w:val="single" w:sz="4" w:space="0" w:color="auto"/>
              <w:bottom w:val="nil"/>
              <w:right w:val="nil"/>
            </w:tcBorders>
            <w:noWrap/>
            <w:vAlign w:val="bottom"/>
            <w:hideMark/>
          </w:tcPr>
          <w:p w14:paraId="3EF085AD" w14:textId="77777777" w:rsidR="007A6A1A" w:rsidRPr="003A7C61" w:rsidRDefault="007A6A1A" w:rsidP="003A7C61">
            <w:pPr>
              <w:spacing w:after="0" w:line="240" w:lineRule="auto"/>
              <w:rPr>
                <w:sz w:val="20"/>
                <w:szCs w:val="20"/>
              </w:rPr>
            </w:pPr>
            <w:r w:rsidRPr="003A7C61">
              <w:rPr>
                <w:sz w:val="20"/>
                <w:szCs w:val="20"/>
              </w:rPr>
              <w:t>Retail trade</w:t>
            </w:r>
          </w:p>
        </w:tc>
        <w:tc>
          <w:tcPr>
            <w:tcW w:w="1033" w:type="dxa"/>
            <w:tcBorders>
              <w:top w:val="nil"/>
              <w:left w:val="nil"/>
              <w:bottom w:val="nil"/>
              <w:right w:val="nil"/>
            </w:tcBorders>
            <w:noWrap/>
            <w:vAlign w:val="bottom"/>
            <w:hideMark/>
          </w:tcPr>
          <w:p w14:paraId="2C450508" w14:textId="77777777" w:rsidR="007A6A1A" w:rsidRPr="003A7C61" w:rsidRDefault="007A6A1A" w:rsidP="003A7C61">
            <w:pPr>
              <w:spacing w:after="0" w:line="240" w:lineRule="auto"/>
              <w:rPr>
                <w:sz w:val="20"/>
                <w:szCs w:val="20"/>
              </w:rPr>
            </w:pPr>
            <w:r w:rsidRPr="003A7C61">
              <w:rPr>
                <w:sz w:val="20"/>
                <w:szCs w:val="20"/>
              </w:rPr>
              <w:t>7.7%</w:t>
            </w:r>
          </w:p>
        </w:tc>
        <w:tc>
          <w:tcPr>
            <w:tcW w:w="928" w:type="dxa"/>
            <w:tcBorders>
              <w:top w:val="nil"/>
              <w:left w:val="nil"/>
              <w:bottom w:val="nil"/>
              <w:right w:val="nil"/>
            </w:tcBorders>
            <w:noWrap/>
            <w:vAlign w:val="bottom"/>
            <w:hideMark/>
          </w:tcPr>
          <w:p w14:paraId="6EDECCCF" w14:textId="77777777" w:rsidR="007A6A1A" w:rsidRPr="003A7C61" w:rsidRDefault="007A6A1A" w:rsidP="003A7C61">
            <w:pPr>
              <w:spacing w:after="0" w:line="240" w:lineRule="auto"/>
              <w:rPr>
                <w:sz w:val="20"/>
                <w:szCs w:val="20"/>
              </w:rPr>
            </w:pPr>
            <w:r w:rsidRPr="003A7C61">
              <w:rPr>
                <w:sz w:val="20"/>
                <w:szCs w:val="20"/>
              </w:rPr>
              <w:t>7.5%</w:t>
            </w:r>
          </w:p>
        </w:tc>
        <w:tc>
          <w:tcPr>
            <w:tcW w:w="860" w:type="dxa"/>
            <w:tcBorders>
              <w:top w:val="nil"/>
              <w:left w:val="nil"/>
              <w:bottom w:val="nil"/>
              <w:right w:val="nil"/>
            </w:tcBorders>
            <w:noWrap/>
            <w:vAlign w:val="bottom"/>
            <w:hideMark/>
          </w:tcPr>
          <w:p w14:paraId="74641749" w14:textId="77777777" w:rsidR="007A6A1A" w:rsidRPr="003A7C61" w:rsidRDefault="007A6A1A" w:rsidP="003A7C61">
            <w:pPr>
              <w:spacing w:after="0" w:line="240" w:lineRule="auto"/>
              <w:rPr>
                <w:sz w:val="20"/>
                <w:szCs w:val="20"/>
              </w:rPr>
            </w:pPr>
            <w:r w:rsidRPr="003A7C61">
              <w:rPr>
                <w:sz w:val="20"/>
                <w:szCs w:val="20"/>
              </w:rPr>
              <w:t>8.9%</w:t>
            </w:r>
          </w:p>
        </w:tc>
        <w:tc>
          <w:tcPr>
            <w:tcW w:w="860" w:type="dxa"/>
            <w:tcBorders>
              <w:top w:val="nil"/>
              <w:left w:val="nil"/>
              <w:bottom w:val="nil"/>
              <w:right w:val="nil"/>
            </w:tcBorders>
            <w:noWrap/>
            <w:vAlign w:val="bottom"/>
            <w:hideMark/>
          </w:tcPr>
          <w:p w14:paraId="3EDE2F8D" w14:textId="77777777" w:rsidR="007A6A1A" w:rsidRPr="003A7C61" w:rsidRDefault="007A6A1A" w:rsidP="003A7C61">
            <w:pPr>
              <w:spacing w:after="0" w:line="240" w:lineRule="auto"/>
              <w:rPr>
                <w:sz w:val="20"/>
                <w:szCs w:val="20"/>
              </w:rPr>
            </w:pPr>
            <w:r w:rsidRPr="003A7C61">
              <w:rPr>
                <w:sz w:val="20"/>
                <w:szCs w:val="20"/>
              </w:rPr>
              <w:t>6.6%</w:t>
            </w:r>
          </w:p>
        </w:tc>
        <w:tc>
          <w:tcPr>
            <w:tcW w:w="1105" w:type="dxa"/>
            <w:tcBorders>
              <w:top w:val="nil"/>
              <w:left w:val="nil"/>
              <w:bottom w:val="nil"/>
              <w:right w:val="nil"/>
            </w:tcBorders>
            <w:noWrap/>
            <w:vAlign w:val="bottom"/>
            <w:hideMark/>
          </w:tcPr>
          <w:p w14:paraId="6CD2FA94" w14:textId="77777777" w:rsidR="007A6A1A" w:rsidRPr="003A7C61" w:rsidRDefault="007A6A1A" w:rsidP="003A7C61">
            <w:pPr>
              <w:spacing w:after="0" w:line="240" w:lineRule="auto"/>
              <w:rPr>
                <w:sz w:val="20"/>
                <w:szCs w:val="20"/>
              </w:rPr>
            </w:pPr>
            <w:r w:rsidRPr="003A7C61">
              <w:rPr>
                <w:sz w:val="20"/>
                <w:szCs w:val="20"/>
              </w:rPr>
              <w:t>16.3%</w:t>
            </w:r>
          </w:p>
        </w:tc>
        <w:tc>
          <w:tcPr>
            <w:tcW w:w="1105" w:type="dxa"/>
            <w:tcBorders>
              <w:top w:val="nil"/>
              <w:left w:val="nil"/>
              <w:bottom w:val="nil"/>
              <w:right w:val="single" w:sz="4" w:space="0" w:color="auto"/>
            </w:tcBorders>
            <w:noWrap/>
            <w:vAlign w:val="bottom"/>
            <w:hideMark/>
          </w:tcPr>
          <w:p w14:paraId="74E3EF1B" w14:textId="77777777" w:rsidR="007A6A1A" w:rsidRPr="003A7C61" w:rsidRDefault="007A6A1A" w:rsidP="003A7C61">
            <w:pPr>
              <w:spacing w:after="0" w:line="240" w:lineRule="auto"/>
              <w:rPr>
                <w:sz w:val="20"/>
                <w:szCs w:val="20"/>
              </w:rPr>
            </w:pPr>
            <w:r w:rsidRPr="003A7C61">
              <w:rPr>
                <w:sz w:val="20"/>
                <w:szCs w:val="20"/>
              </w:rPr>
              <w:t>15.8%</w:t>
            </w:r>
          </w:p>
        </w:tc>
      </w:tr>
      <w:tr w:rsidR="007A6A1A" w:rsidRPr="00167CB8" w14:paraId="4AB05252" w14:textId="77777777" w:rsidTr="005E5342">
        <w:trPr>
          <w:trHeight w:val="343"/>
        </w:trPr>
        <w:tc>
          <w:tcPr>
            <w:tcW w:w="3397" w:type="dxa"/>
            <w:tcBorders>
              <w:top w:val="nil"/>
              <w:left w:val="single" w:sz="4" w:space="0" w:color="auto"/>
              <w:bottom w:val="nil"/>
              <w:right w:val="nil"/>
            </w:tcBorders>
            <w:noWrap/>
            <w:vAlign w:val="bottom"/>
            <w:hideMark/>
          </w:tcPr>
          <w:p w14:paraId="56FD4D02" w14:textId="77777777" w:rsidR="007A6A1A" w:rsidRPr="003A7C61" w:rsidRDefault="007A6A1A" w:rsidP="003A7C61">
            <w:pPr>
              <w:spacing w:after="0" w:line="240" w:lineRule="auto"/>
              <w:rPr>
                <w:sz w:val="20"/>
                <w:szCs w:val="20"/>
              </w:rPr>
            </w:pPr>
            <w:r w:rsidRPr="003A7C61">
              <w:rPr>
                <w:sz w:val="20"/>
                <w:szCs w:val="20"/>
              </w:rPr>
              <w:t>Accommodation and food services</w:t>
            </w:r>
          </w:p>
        </w:tc>
        <w:tc>
          <w:tcPr>
            <w:tcW w:w="1033" w:type="dxa"/>
            <w:tcBorders>
              <w:top w:val="nil"/>
              <w:left w:val="nil"/>
              <w:bottom w:val="nil"/>
              <w:right w:val="nil"/>
            </w:tcBorders>
            <w:noWrap/>
            <w:vAlign w:val="bottom"/>
            <w:hideMark/>
          </w:tcPr>
          <w:p w14:paraId="4E803179" w14:textId="77777777" w:rsidR="007A6A1A" w:rsidRPr="003A7C61" w:rsidRDefault="007A6A1A" w:rsidP="003A7C61">
            <w:pPr>
              <w:spacing w:after="0" w:line="240" w:lineRule="auto"/>
              <w:rPr>
                <w:sz w:val="20"/>
                <w:szCs w:val="20"/>
              </w:rPr>
            </w:pPr>
            <w:r w:rsidRPr="003A7C61">
              <w:rPr>
                <w:sz w:val="20"/>
                <w:szCs w:val="20"/>
              </w:rPr>
              <w:t>3.7%</w:t>
            </w:r>
          </w:p>
        </w:tc>
        <w:tc>
          <w:tcPr>
            <w:tcW w:w="928" w:type="dxa"/>
            <w:tcBorders>
              <w:top w:val="nil"/>
              <w:left w:val="nil"/>
              <w:bottom w:val="nil"/>
              <w:right w:val="nil"/>
            </w:tcBorders>
            <w:noWrap/>
            <w:vAlign w:val="bottom"/>
            <w:hideMark/>
          </w:tcPr>
          <w:p w14:paraId="26F6D071" w14:textId="77777777" w:rsidR="007A6A1A" w:rsidRPr="003A7C61" w:rsidRDefault="007A6A1A" w:rsidP="003A7C61">
            <w:pPr>
              <w:spacing w:after="0" w:line="240" w:lineRule="auto"/>
              <w:rPr>
                <w:sz w:val="20"/>
                <w:szCs w:val="20"/>
              </w:rPr>
            </w:pPr>
            <w:r w:rsidRPr="003A7C61">
              <w:rPr>
                <w:sz w:val="20"/>
                <w:szCs w:val="20"/>
              </w:rPr>
              <w:t>3.0%</w:t>
            </w:r>
          </w:p>
        </w:tc>
        <w:tc>
          <w:tcPr>
            <w:tcW w:w="860" w:type="dxa"/>
            <w:tcBorders>
              <w:top w:val="nil"/>
              <w:left w:val="nil"/>
              <w:bottom w:val="nil"/>
              <w:right w:val="nil"/>
            </w:tcBorders>
            <w:noWrap/>
            <w:vAlign w:val="bottom"/>
            <w:hideMark/>
          </w:tcPr>
          <w:p w14:paraId="65A73E97" w14:textId="77777777" w:rsidR="007A6A1A" w:rsidRPr="003A7C61" w:rsidRDefault="007A6A1A" w:rsidP="003A7C61">
            <w:pPr>
              <w:spacing w:after="0" w:line="240" w:lineRule="auto"/>
              <w:rPr>
                <w:sz w:val="20"/>
                <w:szCs w:val="20"/>
              </w:rPr>
            </w:pPr>
            <w:r w:rsidRPr="003A7C61">
              <w:rPr>
                <w:sz w:val="20"/>
                <w:szCs w:val="20"/>
              </w:rPr>
              <w:t>5.6%</w:t>
            </w:r>
          </w:p>
        </w:tc>
        <w:tc>
          <w:tcPr>
            <w:tcW w:w="860" w:type="dxa"/>
            <w:tcBorders>
              <w:top w:val="nil"/>
              <w:left w:val="nil"/>
              <w:bottom w:val="nil"/>
              <w:right w:val="nil"/>
            </w:tcBorders>
            <w:noWrap/>
            <w:vAlign w:val="bottom"/>
            <w:hideMark/>
          </w:tcPr>
          <w:p w14:paraId="5C1901E4" w14:textId="77777777" w:rsidR="007A6A1A" w:rsidRPr="003A7C61" w:rsidRDefault="007A6A1A" w:rsidP="003A7C61">
            <w:pPr>
              <w:spacing w:after="0" w:line="240" w:lineRule="auto"/>
              <w:rPr>
                <w:sz w:val="20"/>
                <w:szCs w:val="20"/>
              </w:rPr>
            </w:pPr>
            <w:r w:rsidRPr="003A7C61">
              <w:rPr>
                <w:sz w:val="20"/>
                <w:szCs w:val="20"/>
              </w:rPr>
              <w:t>4.7%</w:t>
            </w:r>
          </w:p>
        </w:tc>
        <w:tc>
          <w:tcPr>
            <w:tcW w:w="1105" w:type="dxa"/>
            <w:tcBorders>
              <w:top w:val="nil"/>
              <w:left w:val="nil"/>
              <w:bottom w:val="nil"/>
              <w:right w:val="nil"/>
            </w:tcBorders>
            <w:noWrap/>
            <w:vAlign w:val="bottom"/>
            <w:hideMark/>
          </w:tcPr>
          <w:p w14:paraId="466A7C44" w14:textId="77777777" w:rsidR="007A6A1A" w:rsidRPr="003A7C61" w:rsidRDefault="007A6A1A" w:rsidP="003A7C61">
            <w:pPr>
              <w:spacing w:after="0" w:line="240" w:lineRule="auto"/>
              <w:rPr>
                <w:sz w:val="20"/>
                <w:szCs w:val="20"/>
              </w:rPr>
            </w:pPr>
            <w:r w:rsidRPr="003A7C61">
              <w:rPr>
                <w:sz w:val="20"/>
                <w:szCs w:val="20"/>
              </w:rPr>
              <w:t>12.0%</w:t>
            </w:r>
          </w:p>
        </w:tc>
        <w:tc>
          <w:tcPr>
            <w:tcW w:w="1105" w:type="dxa"/>
            <w:tcBorders>
              <w:top w:val="nil"/>
              <w:left w:val="nil"/>
              <w:bottom w:val="nil"/>
              <w:right w:val="single" w:sz="4" w:space="0" w:color="auto"/>
            </w:tcBorders>
            <w:noWrap/>
            <w:vAlign w:val="bottom"/>
            <w:hideMark/>
          </w:tcPr>
          <w:p w14:paraId="7E2E20E1" w14:textId="77777777" w:rsidR="007A6A1A" w:rsidRPr="003A7C61" w:rsidRDefault="007A6A1A" w:rsidP="003A7C61">
            <w:pPr>
              <w:spacing w:after="0" w:line="240" w:lineRule="auto"/>
              <w:rPr>
                <w:sz w:val="20"/>
                <w:szCs w:val="20"/>
              </w:rPr>
            </w:pPr>
            <w:r w:rsidRPr="003A7C61">
              <w:rPr>
                <w:sz w:val="20"/>
                <w:szCs w:val="20"/>
              </w:rPr>
              <w:t>15.6%</w:t>
            </w:r>
          </w:p>
        </w:tc>
      </w:tr>
      <w:tr w:rsidR="007A6A1A" w:rsidRPr="00167CB8" w14:paraId="4FB7183A" w14:textId="77777777" w:rsidTr="005E5342">
        <w:trPr>
          <w:trHeight w:val="343"/>
        </w:trPr>
        <w:tc>
          <w:tcPr>
            <w:tcW w:w="3397" w:type="dxa"/>
            <w:tcBorders>
              <w:top w:val="nil"/>
              <w:left w:val="single" w:sz="4" w:space="0" w:color="auto"/>
              <w:bottom w:val="nil"/>
              <w:right w:val="nil"/>
            </w:tcBorders>
            <w:noWrap/>
            <w:vAlign w:val="bottom"/>
            <w:hideMark/>
          </w:tcPr>
          <w:p w14:paraId="6952F3EB" w14:textId="77777777" w:rsidR="007A6A1A" w:rsidRPr="003A7C61" w:rsidRDefault="007A6A1A" w:rsidP="003A7C61">
            <w:pPr>
              <w:spacing w:after="0" w:line="240" w:lineRule="auto"/>
              <w:rPr>
                <w:sz w:val="20"/>
                <w:szCs w:val="20"/>
              </w:rPr>
            </w:pPr>
            <w:r w:rsidRPr="003A7C61">
              <w:rPr>
                <w:sz w:val="20"/>
                <w:szCs w:val="20"/>
              </w:rPr>
              <w:t>Transport, postal and warehousing</w:t>
            </w:r>
          </w:p>
        </w:tc>
        <w:tc>
          <w:tcPr>
            <w:tcW w:w="1033" w:type="dxa"/>
            <w:tcBorders>
              <w:top w:val="nil"/>
              <w:left w:val="nil"/>
              <w:bottom w:val="nil"/>
              <w:right w:val="nil"/>
            </w:tcBorders>
            <w:noWrap/>
            <w:vAlign w:val="bottom"/>
            <w:hideMark/>
          </w:tcPr>
          <w:p w14:paraId="2E64804C" w14:textId="77777777" w:rsidR="007A6A1A" w:rsidRPr="003A7C61" w:rsidRDefault="007A6A1A" w:rsidP="003A7C61">
            <w:pPr>
              <w:spacing w:after="0" w:line="240" w:lineRule="auto"/>
              <w:rPr>
                <w:sz w:val="20"/>
                <w:szCs w:val="20"/>
              </w:rPr>
            </w:pPr>
            <w:r w:rsidRPr="003A7C61">
              <w:rPr>
                <w:sz w:val="20"/>
                <w:szCs w:val="20"/>
              </w:rPr>
              <w:t>6.3%</w:t>
            </w:r>
          </w:p>
        </w:tc>
        <w:tc>
          <w:tcPr>
            <w:tcW w:w="928" w:type="dxa"/>
            <w:tcBorders>
              <w:top w:val="nil"/>
              <w:left w:val="nil"/>
              <w:bottom w:val="nil"/>
              <w:right w:val="nil"/>
            </w:tcBorders>
            <w:noWrap/>
            <w:vAlign w:val="bottom"/>
            <w:hideMark/>
          </w:tcPr>
          <w:p w14:paraId="609ABC19" w14:textId="77777777" w:rsidR="007A6A1A" w:rsidRPr="003A7C61" w:rsidRDefault="007A6A1A" w:rsidP="003A7C61">
            <w:pPr>
              <w:spacing w:after="0" w:line="240" w:lineRule="auto"/>
              <w:rPr>
                <w:sz w:val="20"/>
                <w:szCs w:val="20"/>
              </w:rPr>
            </w:pPr>
            <w:r w:rsidRPr="003A7C61">
              <w:rPr>
                <w:sz w:val="20"/>
                <w:szCs w:val="20"/>
              </w:rPr>
              <w:t>5.8%</w:t>
            </w:r>
          </w:p>
        </w:tc>
        <w:tc>
          <w:tcPr>
            <w:tcW w:w="860" w:type="dxa"/>
            <w:tcBorders>
              <w:top w:val="nil"/>
              <w:left w:val="nil"/>
              <w:bottom w:val="nil"/>
              <w:right w:val="nil"/>
            </w:tcBorders>
            <w:noWrap/>
            <w:vAlign w:val="bottom"/>
            <w:hideMark/>
          </w:tcPr>
          <w:p w14:paraId="2B2EF8C7" w14:textId="77777777" w:rsidR="007A6A1A" w:rsidRPr="003A7C61" w:rsidRDefault="007A6A1A" w:rsidP="003A7C61">
            <w:pPr>
              <w:spacing w:after="0" w:line="240" w:lineRule="auto"/>
              <w:rPr>
                <w:sz w:val="20"/>
                <w:szCs w:val="20"/>
              </w:rPr>
            </w:pPr>
            <w:r w:rsidRPr="003A7C61">
              <w:rPr>
                <w:sz w:val="20"/>
                <w:szCs w:val="20"/>
              </w:rPr>
              <w:t>3.9%</w:t>
            </w:r>
          </w:p>
        </w:tc>
        <w:tc>
          <w:tcPr>
            <w:tcW w:w="860" w:type="dxa"/>
            <w:tcBorders>
              <w:top w:val="nil"/>
              <w:left w:val="nil"/>
              <w:bottom w:val="nil"/>
              <w:right w:val="nil"/>
            </w:tcBorders>
            <w:noWrap/>
            <w:vAlign w:val="bottom"/>
            <w:hideMark/>
          </w:tcPr>
          <w:p w14:paraId="440AC123" w14:textId="77777777" w:rsidR="007A6A1A" w:rsidRPr="003A7C61" w:rsidRDefault="007A6A1A" w:rsidP="003A7C61">
            <w:pPr>
              <w:spacing w:after="0" w:line="240" w:lineRule="auto"/>
              <w:rPr>
                <w:sz w:val="20"/>
                <w:szCs w:val="20"/>
              </w:rPr>
            </w:pPr>
            <w:r w:rsidRPr="003A7C61">
              <w:rPr>
                <w:sz w:val="20"/>
                <w:szCs w:val="20"/>
              </w:rPr>
              <w:t>3.4%</w:t>
            </w:r>
          </w:p>
        </w:tc>
        <w:tc>
          <w:tcPr>
            <w:tcW w:w="1105" w:type="dxa"/>
            <w:tcBorders>
              <w:top w:val="nil"/>
              <w:left w:val="nil"/>
              <w:bottom w:val="nil"/>
              <w:right w:val="nil"/>
            </w:tcBorders>
            <w:noWrap/>
            <w:vAlign w:val="bottom"/>
            <w:hideMark/>
          </w:tcPr>
          <w:p w14:paraId="6BA02332" w14:textId="77777777" w:rsidR="007A6A1A" w:rsidRPr="003A7C61" w:rsidRDefault="007A6A1A" w:rsidP="003A7C61">
            <w:pPr>
              <w:spacing w:after="0" w:line="240" w:lineRule="auto"/>
              <w:rPr>
                <w:sz w:val="20"/>
                <w:szCs w:val="20"/>
              </w:rPr>
            </w:pPr>
            <w:r w:rsidRPr="003A7C61">
              <w:rPr>
                <w:sz w:val="20"/>
                <w:szCs w:val="20"/>
              </w:rPr>
              <w:t>4.6%</w:t>
            </w:r>
          </w:p>
        </w:tc>
        <w:tc>
          <w:tcPr>
            <w:tcW w:w="1105" w:type="dxa"/>
            <w:tcBorders>
              <w:top w:val="nil"/>
              <w:left w:val="nil"/>
              <w:bottom w:val="nil"/>
              <w:right w:val="single" w:sz="4" w:space="0" w:color="auto"/>
            </w:tcBorders>
            <w:noWrap/>
            <w:vAlign w:val="bottom"/>
            <w:hideMark/>
          </w:tcPr>
          <w:p w14:paraId="797319F0" w14:textId="77777777" w:rsidR="007A6A1A" w:rsidRPr="003A7C61" w:rsidRDefault="007A6A1A" w:rsidP="003A7C61">
            <w:pPr>
              <w:spacing w:after="0" w:line="240" w:lineRule="auto"/>
              <w:rPr>
                <w:sz w:val="20"/>
                <w:szCs w:val="20"/>
              </w:rPr>
            </w:pPr>
            <w:r w:rsidRPr="003A7C61">
              <w:rPr>
                <w:sz w:val="20"/>
                <w:szCs w:val="20"/>
              </w:rPr>
              <w:t>4.4%</w:t>
            </w:r>
          </w:p>
        </w:tc>
      </w:tr>
      <w:tr w:rsidR="007A6A1A" w:rsidRPr="00167CB8" w14:paraId="41C7704C" w14:textId="77777777" w:rsidTr="005E5342">
        <w:trPr>
          <w:trHeight w:val="343"/>
        </w:trPr>
        <w:tc>
          <w:tcPr>
            <w:tcW w:w="3397" w:type="dxa"/>
            <w:tcBorders>
              <w:top w:val="nil"/>
              <w:left w:val="single" w:sz="4" w:space="0" w:color="auto"/>
              <w:bottom w:val="nil"/>
              <w:right w:val="nil"/>
            </w:tcBorders>
            <w:noWrap/>
            <w:vAlign w:val="bottom"/>
            <w:hideMark/>
          </w:tcPr>
          <w:p w14:paraId="3E2955A4" w14:textId="56F47323" w:rsidR="007A6A1A" w:rsidRPr="003A7C61" w:rsidRDefault="007A6A1A" w:rsidP="003A7C61">
            <w:pPr>
              <w:spacing w:after="0" w:line="240" w:lineRule="auto"/>
              <w:rPr>
                <w:sz w:val="20"/>
                <w:szCs w:val="20"/>
              </w:rPr>
            </w:pPr>
            <w:r w:rsidRPr="003A7C61">
              <w:rPr>
                <w:sz w:val="20"/>
                <w:szCs w:val="20"/>
              </w:rPr>
              <w:t xml:space="preserve">Information </w:t>
            </w:r>
            <w:r w:rsidR="00C87E4A" w:rsidRPr="003A7C61">
              <w:rPr>
                <w:sz w:val="20"/>
                <w:szCs w:val="20"/>
              </w:rPr>
              <w:t>m</w:t>
            </w:r>
            <w:r w:rsidRPr="003A7C61">
              <w:rPr>
                <w:sz w:val="20"/>
                <w:szCs w:val="20"/>
              </w:rPr>
              <w:t>edia and telecommunications</w:t>
            </w:r>
          </w:p>
        </w:tc>
        <w:tc>
          <w:tcPr>
            <w:tcW w:w="1033" w:type="dxa"/>
            <w:tcBorders>
              <w:top w:val="nil"/>
              <w:left w:val="nil"/>
              <w:bottom w:val="nil"/>
              <w:right w:val="nil"/>
            </w:tcBorders>
            <w:noWrap/>
            <w:vAlign w:val="bottom"/>
            <w:hideMark/>
          </w:tcPr>
          <w:p w14:paraId="52C755FC" w14:textId="77777777" w:rsidR="007A6A1A" w:rsidRPr="003A7C61" w:rsidRDefault="007A6A1A" w:rsidP="003A7C61">
            <w:pPr>
              <w:spacing w:after="0" w:line="240" w:lineRule="auto"/>
              <w:rPr>
                <w:sz w:val="20"/>
                <w:szCs w:val="20"/>
              </w:rPr>
            </w:pPr>
            <w:r w:rsidRPr="003A7C61">
              <w:rPr>
                <w:sz w:val="20"/>
                <w:szCs w:val="20"/>
              </w:rPr>
              <w:t>1.8%</w:t>
            </w:r>
          </w:p>
        </w:tc>
        <w:tc>
          <w:tcPr>
            <w:tcW w:w="928" w:type="dxa"/>
            <w:tcBorders>
              <w:top w:val="nil"/>
              <w:left w:val="nil"/>
              <w:bottom w:val="nil"/>
              <w:right w:val="nil"/>
            </w:tcBorders>
            <w:noWrap/>
            <w:vAlign w:val="bottom"/>
            <w:hideMark/>
          </w:tcPr>
          <w:p w14:paraId="443A837B" w14:textId="77777777" w:rsidR="007A6A1A" w:rsidRPr="003A7C61" w:rsidRDefault="007A6A1A" w:rsidP="003A7C61">
            <w:pPr>
              <w:spacing w:after="0" w:line="240" w:lineRule="auto"/>
              <w:rPr>
                <w:sz w:val="20"/>
                <w:szCs w:val="20"/>
              </w:rPr>
            </w:pPr>
            <w:r w:rsidRPr="003A7C61">
              <w:rPr>
                <w:sz w:val="20"/>
                <w:szCs w:val="20"/>
              </w:rPr>
              <w:t>1.7%</w:t>
            </w:r>
          </w:p>
        </w:tc>
        <w:tc>
          <w:tcPr>
            <w:tcW w:w="860" w:type="dxa"/>
            <w:tcBorders>
              <w:top w:val="nil"/>
              <w:left w:val="nil"/>
              <w:bottom w:val="nil"/>
              <w:right w:val="nil"/>
            </w:tcBorders>
            <w:noWrap/>
            <w:vAlign w:val="bottom"/>
            <w:hideMark/>
          </w:tcPr>
          <w:p w14:paraId="13D2E4D8" w14:textId="77777777" w:rsidR="007A6A1A" w:rsidRPr="003A7C61" w:rsidRDefault="007A6A1A" w:rsidP="003A7C61">
            <w:pPr>
              <w:spacing w:after="0" w:line="240" w:lineRule="auto"/>
              <w:rPr>
                <w:sz w:val="20"/>
                <w:szCs w:val="20"/>
              </w:rPr>
            </w:pPr>
            <w:r w:rsidRPr="003A7C61">
              <w:rPr>
                <w:sz w:val="20"/>
                <w:szCs w:val="20"/>
              </w:rPr>
              <w:t>3.4%</w:t>
            </w:r>
          </w:p>
        </w:tc>
        <w:tc>
          <w:tcPr>
            <w:tcW w:w="860" w:type="dxa"/>
            <w:tcBorders>
              <w:top w:val="nil"/>
              <w:left w:val="nil"/>
              <w:bottom w:val="nil"/>
              <w:right w:val="nil"/>
            </w:tcBorders>
            <w:noWrap/>
            <w:vAlign w:val="bottom"/>
            <w:hideMark/>
          </w:tcPr>
          <w:p w14:paraId="1CA2002C" w14:textId="77777777" w:rsidR="007A6A1A" w:rsidRPr="003A7C61" w:rsidRDefault="007A6A1A" w:rsidP="003A7C61">
            <w:pPr>
              <w:spacing w:after="0" w:line="240" w:lineRule="auto"/>
              <w:rPr>
                <w:sz w:val="20"/>
                <w:szCs w:val="20"/>
              </w:rPr>
            </w:pPr>
            <w:r w:rsidRPr="003A7C61">
              <w:rPr>
                <w:sz w:val="20"/>
                <w:szCs w:val="20"/>
              </w:rPr>
              <w:t>1.3%</w:t>
            </w:r>
          </w:p>
        </w:tc>
        <w:tc>
          <w:tcPr>
            <w:tcW w:w="1105" w:type="dxa"/>
            <w:tcBorders>
              <w:top w:val="nil"/>
              <w:left w:val="nil"/>
              <w:bottom w:val="nil"/>
              <w:right w:val="nil"/>
            </w:tcBorders>
            <w:noWrap/>
            <w:vAlign w:val="bottom"/>
            <w:hideMark/>
          </w:tcPr>
          <w:p w14:paraId="0DED5953" w14:textId="77777777" w:rsidR="007A6A1A" w:rsidRPr="003A7C61" w:rsidRDefault="007A6A1A" w:rsidP="003A7C61">
            <w:pPr>
              <w:spacing w:after="0" w:line="240" w:lineRule="auto"/>
              <w:rPr>
                <w:sz w:val="20"/>
                <w:szCs w:val="20"/>
              </w:rPr>
            </w:pPr>
            <w:r w:rsidRPr="003A7C61">
              <w:rPr>
                <w:sz w:val="20"/>
                <w:szCs w:val="20"/>
              </w:rPr>
              <w:t>0.7%</w:t>
            </w:r>
          </w:p>
        </w:tc>
        <w:tc>
          <w:tcPr>
            <w:tcW w:w="1105" w:type="dxa"/>
            <w:tcBorders>
              <w:top w:val="nil"/>
              <w:left w:val="nil"/>
              <w:bottom w:val="nil"/>
              <w:right w:val="single" w:sz="4" w:space="0" w:color="auto"/>
            </w:tcBorders>
            <w:noWrap/>
            <w:vAlign w:val="bottom"/>
            <w:hideMark/>
          </w:tcPr>
          <w:p w14:paraId="6588879D" w14:textId="77777777" w:rsidR="007A6A1A" w:rsidRPr="003A7C61" w:rsidRDefault="007A6A1A" w:rsidP="003A7C61">
            <w:pPr>
              <w:spacing w:after="0" w:line="240" w:lineRule="auto"/>
              <w:rPr>
                <w:sz w:val="20"/>
                <w:szCs w:val="20"/>
              </w:rPr>
            </w:pPr>
            <w:r w:rsidRPr="003A7C61">
              <w:rPr>
                <w:sz w:val="20"/>
                <w:szCs w:val="20"/>
              </w:rPr>
              <w:t>0.4%</w:t>
            </w:r>
          </w:p>
        </w:tc>
      </w:tr>
      <w:tr w:rsidR="007A6A1A" w:rsidRPr="00167CB8" w14:paraId="546469BD" w14:textId="77777777" w:rsidTr="005E5342">
        <w:trPr>
          <w:trHeight w:val="343"/>
        </w:trPr>
        <w:tc>
          <w:tcPr>
            <w:tcW w:w="3397" w:type="dxa"/>
            <w:tcBorders>
              <w:top w:val="nil"/>
              <w:left w:val="single" w:sz="4" w:space="0" w:color="auto"/>
              <w:bottom w:val="nil"/>
              <w:right w:val="nil"/>
            </w:tcBorders>
            <w:noWrap/>
            <w:vAlign w:val="bottom"/>
            <w:hideMark/>
          </w:tcPr>
          <w:p w14:paraId="1B2BDA6B" w14:textId="77777777" w:rsidR="007A6A1A" w:rsidRPr="003A7C61" w:rsidRDefault="007A6A1A" w:rsidP="003A7C61">
            <w:pPr>
              <w:spacing w:after="0" w:line="240" w:lineRule="auto"/>
              <w:rPr>
                <w:sz w:val="20"/>
                <w:szCs w:val="20"/>
              </w:rPr>
            </w:pPr>
            <w:r w:rsidRPr="003A7C61">
              <w:rPr>
                <w:sz w:val="20"/>
                <w:szCs w:val="20"/>
              </w:rPr>
              <w:t>Financial and insurance services</w:t>
            </w:r>
          </w:p>
        </w:tc>
        <w:tc>
          <w:tcPr>
            <w:tcW w:w="1033" w:type="dxa"/>
            <w:tcBorders>
              <w:top w:val="nil"/>
              <w:left w:val="nil"/>
              <w:bottom w:val="nil"/>
              <w:right w:val="nil"/>
            </w:tcBorders>
            <w:noWrap/>
            <w:vAlign w:val="bottom"/>
            <w:hideMark/>
          </w:tcPr>
          <w:p w14:paraId="7C67074B" w14:textId="77777777" w:rsidR="007A6A1A" w:rsidRPr="003A7C61" w:rsidRDefault="007A6A1A" w:rsidP="003A7C61">
            <w:pPr>
              <w:spacing w:after="0" w:line="240" w:lineRule="auto"/>
              <w:rPr>
                <w:sz w:val="20"/>
                <w:szCs w:val="20"/>
              </w:rPr>
            </w:pPr>
            <w:r w:rsidRPr="003A7C61">
              <w:rPr>
                <w:sz w:val="20"/>
                <w:szCs w:val="20"/>
              </w:rPr>
              <w:t>3.8%</w:t>
            </w:r>
          </w:p>
        </w:tc>
        <w:tc>
          <w:tcPr>
            <w:tcW w:w="928" w:type="dxa"/>
            <w:tcBorders>
              <w:top w:val="nil"/>
              <w:left w:val="nil"/>
              <w:bottom w:val="nil"/>
              <w:right w:val="nil"/>
            </w:tcBorders>
            <w:noWrap/>
            <w:vAlign w:val="bottom"/>
            <w:hideMark/>
          </w:tcPr>
          <w:p w14:paraId="178FD2F1" w14:textId="77777777" w:rsidR="007A6A1A" w:rsidRPr="003A7C61" w:rsidRDefault="007A6A1A" w:rsidP="003A7C61">
            <w:pPr>
              <w:spacing w:after="0" w:line="240" w:lineRule="auto"/>
              <w:rPr>
                <w:sz w:val="20"/>
                <w:szCs w:val="20"/>
              </w:rPr>
            </w:pPr>
            <w:r w:rsidRPr="003A7C61">
              <w:rPr>
                <w:sz w:val="20"/>
                <w:szCs w:val="20"/>
              </w:rPr>
              <w:t>5.4%</w:t>
            </w:r>
          </w:p>
        </w:tc>
        <w:tc>
          <w:tcPr>
            <w:tcW w:w="860" w:type="dxa"/>
            <w:tcBorders>
              <w:top w:val="nil"/>
              <w:left w:val="nil"/>
              <w:bottom w:val="nil"/>
              <w:right w:val="nil"/>
            </w:tcBorders>
            <w:noWrap/>
            <w:vAlign w:val="bottom"/>
            <w:hideMark/>
          </w:tcPr>
          <w:p w14:paraId="039C236C" w14:textId="77777777" w:rsidR="007A6A1A" w:rsidRPr="003A7C61" w:rsidRDefault="007A6A1A" w:rsidP="003A7C61">
            <w:pPr>
              <w:spacing w:after="0" w:line="240" w:lineRule="auto"/>
              <w:rPr>
                <w:sz w:val="20"/>
                <w:szCs w:val="20"/>
              </w:rPr>
            </w:pPr>
            <w:r w:rsidRPr="003A7C61">
              <w:rPr>
                <w:sz w:val="20"/>
                <w:szCs w:val="20"/>
              </w:rPr>
              <w:t>6.5%</w:t>
            </w:r>
          </w:p>
        </w:tc>
        <w:tc>
          <w:tcPr>
            <w:tcW w:w="860" w:type="dxa"/>
            <w:tcBorders>
              <w:top w:val="nil"/>
              <w:left w:val="nil"/>
              <w:bottom w:val="nil"/>
              <w:right w:val="nil"/>
            </w:tcBorders>
            <w:noWrap/>
            <w:vAlign w:val="bottom"/>
            <w:hideMark/>
          </w:tcPr>
          <w:p w14:paraId="18079EBC" w14:textId="77777777" w:rsidR="007A6A1A" w:rsidRPr="003A7C61" w:rsidRDefault="007A6A1A" w:rsidP="003A7C61">
            <w:pPr>
              <w:spacing w:after="0" w:line="240" w:lineRule="auto"/>
              <w:rPr>
                <w:sz w:val="20"/>
                <w:szCs w:val="20"/>
              </w:rPr>
            </w:pPr>
            <w:r w:rsidRPr="003A7C61">
              <w:rPr>
                <w:sz w:val="20"/>
                <w:szCs w:val="20"/>
              </w:rPr>
              <w:t>5.9%</w:t>
            </w:r>
          </w:p>
        </w:tc>
        <w:tc>
          <w:tcPr>
            <w:tcW w:w="1105" w:type="dxa"/>
            <w:tcBorders>
              <w:top w:val="nil"/>
              <w:left w:val="nil"/>
              <w:bottom w:val="nil"/>
              <w:right w:val="nil"/>
            </w:tcBorders>
            <w:noWrap/>
            <w:vAlign w:val="bottom"/>
            <w:hideMark/>
          </w:tcPr>
          <w:p w14:paraId="7761441F" w14:textId="77777777" w:rsidR="007A6A1A" w:rsidRPr="003A7C61" w:rsidRDefault="007A6A1A" w:rsidP="003A7C61">
            <w:pPr>
              <w:spacing w:after="0" w:line="240" w:lineRule="auto"/>
              <w:rPr>
                <w:sz w:val="20"/>
                <w:szCs w:val="20"/>
              </w:rPr>
            </w:pPr>
            <w:r w:rsidRPr="003A7C61">
              <w:rPr>
                <w:sz w:val="20"/>
                <w:szCs w:val="20"/>
              </w:rPr>
              <w:t>0.8%</w:t>
            </w:r>
          </w:p>
        </w:tc>
        <w:tc>
          <w:tcPr>
            <w:tcW w:w="1105" w:type="dxa"/>
            <w:tcBorders>
              <w:top w:val="nil"/>
              <w:left w:val="nil"/>
              <w:bottom w:val="nil"/>
              <w:right w:val="single" w:sz="4" w:space="0" w:color="auto"/>
            </w:tcBorders>
            <w:noWrap/>
            <w:vAlign w:val="bottom"/>
            <w:hideMark/>
          </w:tcPr>
          <w:p w14:paraId="697F5172" w14:textId="77777777" w:rsidR="007A6A1A" w:rsidRPr="003A7C61" w:rsidRDefault="007A6A1A" w:rsidP="003A7C61">
            <w:pPr>
              <w:spacing w:after="0" w:line="240" w:lineRule="auto"/>
              <w:rPr>
                <w:sz w:val="20"/>
                <w:szCs w:val="20"/>
              </w:rPr>
            </w:pPr>
            <w:r w:rsidRPr="003A7C61">
              <w:rPr>
                <w:sz w:val="20"/>
                <w:szCs w:val="20"/>
              </w:rPr>
              <w:t>0.8%</w:t>
            </w:r>
          </w:p>
        </w:tc>
      </w:tr>
      <w:tr w:rsidR="007A6A1A" w:rsidRPr="00167CB8" w14:paraId="41EA34EA" w14:textId="77777777" w:rsidTr="005E5342">
        <w:trPr>
          <w:trHeight w:val="343"/>
        </w:trPr>
        <w:tc>
          <w:tcPr>
            <w:tcW w:w="3397" w:type="dxa"/>
            <w:tcBorders>
              <w:top w:val="nil"/>
              <w:left w:val="single" w:sz="4" w:space="0" w:color="auto"/>
              <w:bottom w:val="nil"/>
              <w:right w:val="nil"/>
            </w:tcBorders>
            <w:noWrap/>
            <w:vAlign w:val="bottom"/>
            <w:hideMark/>
          </w:tcPr>
          <w:p w14:paraId="2B396402" w14:textId="77777777" w:rsidR="007A6A1A" w:rsidRPr="003A7C61" w:rsidRDefault="007A6A1A" w:rsidP="003A7C61">
            <w:pPr>
              <w:spacing w:after="0" w:line="240" w:lineRule="auto"/>
              <w:rPr>
                <w:sz w:val="20"/>
                <w:szCs w:val="20"/>
              </w:rPr>
            </w:pPr>
            <w:r w:rsidRPr="003A7C61">
              <w:rPr>
                <w:sz w:val="20"/>
                <w:szCs w:val="20"/>
              </w:rPr>
              <w:t>Rental, hiring and real estate services</w:t>
            </w:r>
          </w:p>
        </w:tc>
        <w:tc>
          <w:tcPr>
            <w:tcW w:w="1033" w:type="dxa"/>
            <w:tcBorders>
              <w:top w:val="nil"/>
              <w:left w:val="nil"/>
              <w:bottom w:val="nil"/>
              <w:right w:val="nil"/>
            </w:tcBorders>
            <w:noWrap/>
            <w:vAlign w:val="bottom"/>
            <w:hideMark/>
          </w:tcPr>
          <w:p w14:paraId="53BE6D3A" w14:textId="77777777" w:rsidR="007A6A1A" w:rsidRPr="003A7C61" w:rsidRDefault="007A6A1A" w:rsidP="003A7C61">
            <w:pPr>
              <w:spacing w:after="0" w:line="240" w:lineRule="auto"/>
              <w:rPr>
                <w:sz w:val="20"/>
                <w:szCs w:val="20"/>
              </w:rPr>
            </w:pPr>
            <w:r w:rsidRPr="003A7C61">
              <w:rPr>
                <w:sz w:val="20"/>
                <w:szCs w:val="20"/>
              </w:rPr>
              <w:t>0.4%</w:t>
            </w:r>
          </w:p>
        </w:tc>
        <w:tc>
          <w:tcPr>
            <w:tcW w:w="928" w:type="dxa"/>
            <w:tcBorders>
              <w:top w:val="nil"/>
              <w:left w:val="nil"/>
              <w:bottom w:val="nil"/>
              <w:right w:val="nil"/>
            </w:tcBorders>
            <w:noWrap/>
            <w:vAlign w:val="bottom"/>
            <w:hideMark/>
          </w:tcPr>
          <w:p w14:paraId="4B71355E" w14:textId="77777777" w:rsidR="007A6A1A" w:rsidRPr="003A7C61" w:rsidRDefault="007A6A1A" w:rsidP="003A7C61">
            <w:pPr>
              <w:spacing w:after="0" w:line="240" w:lineRule="auto"/>
              <w:rPr>
                <w:sz w:val="20"/>
                <w:szCs w:val="20"/>
              </w:rPr>
            </w:pPr>
            <w:r w:rsidRPr="003A7C61">
              <w:rPr>
                <w:sz w:val="20"/>
                <w:szCs w:val="20"/>
              </w:rPr>
              <w:t>0.3%</w:t>
            </w:r>
          </w:p>
        </w:tc>
        <w:tc>
          <w:tcPr>
            <w:tcW w:w="860" w:type="dxa"/>
            <w:tcBorders>
              <w:top w:val="nil"/>
              <w:left w:val="nil"/>
              <w:bottom w:val="nil"/>
              <w:right w:val="nil"/>
            </w:tcBorders>
            <w:noWrap/>
            <w:vAlign w:val="bottom"/>
            <w:hideMark/>
          </w:tcPr>
          <w:p w14:paraId="5119352F" w14:textId="77777777" w:rsidR="007A6A1A" w:rsidRPr="003A7C61" w:rsidRDefault="007A6A1A" w:rsidP="003A7C61">
            <w:pPr>
              <w:spacing w:after="0" w:line="240" w:lineRule="auto"/>
              <w:rPr>
                <w:sz w:val="20"/>
                <w:szCs w:val="20"/>
              </w:rPr>
            </w:pPr>
            <w:r w:rsidRPr="003A7C61">
              <w:rPr>
                <w:sz w:val="20"/>
                <w:szCs w:val="20"/>
              </w:rPr>
              <w:t>1.5%</w:t>
            </w:r>
          </w:p>
        </w:tc>
        <w:tc>
          <w:tcPr>
            <w:tcW w:w="860" w:type="dxa"/>
            <w:tcBorders>
              <w:top w:val="nil"/>
              <w:left w:val="nil"/>
              <w:bottom w:val="nil"/>
              <w:right w:val="nil"/>
            </w:tcBorders>
            <w:noWrap/>
            <w:vAlign w:val="bottom"/>
            <w:hideMark/>
          </w:tcPr>
          <w:p w14:paraId="4F1A2457" w14:textId="77777777" w:rsidR="007A6A1A" w:rsidRPr="003A7C61" w:rsidRDefault="007A6A1A" w:rsidP="003A7C61">
            <w:pPr>
              <w:spacing w:after="0" w:line="240" w:lineRule="auto"/>
              <w:rPr>
                <w:sz w:val="20"/>
                <w:szCs w:val="20"/>
              </w:rPr>
            </w:pPr>
            <w:r w:rsidRPr="003A7C61">
              <w:rPr>
                <w:sz w:val="20"/>
                <w:szCs w:val="20"/>
              </w:rPr>
              <w:t>1.8%</w:t>
            </w:r>
          </w:p>
        </w:tc>
        <w:tc>
          <w:tcPr>
            <w:tcW w:w="1105" w:type="dxa"/>
            <w:tcBorders>
              <w:top w:val="nil"/>
              <w:left w:val="nil"/>
              <w:bottom w:val="nil"/>
              <w:right w:val="nil"/>
            </w:tcBorders>
            <w:noWrap/>
            <w:vAlign w:val="bottom"/>
            <w:hideMark/>
          </w:tcPr>
          <w:p w14:paraId="38F0F665" w14:textId="77777777" w:rsidR="007A6A1A" w:rsidRPr="003A7C61" w:rsidRDefault="007A6A1A" w:rsidP="003A7C61">
            <w:pPr>
              <w:spacing w:after="0" w:line="240" w:lineRule="auto"/>
              <w:rPr>
                <w:sz w:val="20"/>
                <w:szCs w:val="20"/>
              </w:rPr>
            </w:pPr>
            <w:r w:rsidRPr="003A7C61">
              <w:rPr>
                <w:sz w:val="20"/>
                <w:szCs w:val="20"/>
              </w:rPr>
              <w:t>1.0%</w:t>
            </w:r>
          </w:p>
        </w:tc>
        <w:tc>
          <w:tcPr>
            <w:tcW w:w="1105" w:type="dxa"/>
            <w:tcBorders>
              <w:top w:val="nil"/>
              <w:left w:val="nil"/>
              <w:bottom w:val="nil"/>
              <w:right w:val="single" w:sz="4" w:space="0" w:color="auto"/>
            </w:tcBorders>
            <w:noWrap/>
            <w:vAlign w:val="bottom"/>
            <w:hideMark/>
          </w:tcPr>
          <w:p w14:paraId="0F2963E6" w14:textId="77777777" w:rsidR="007A6A1A" w:rsidRPr="003A7C61" w:rsidRDefault="007A6A1A" w:rsidP="003A7C61">
            <w:pPr>
              <w:spacing w:after="0" w:line="240" w:lineRule="auto"/>
              <w:rPr>
                <w:sz w:val="20"/>
                <w:szCs w:val="20"/>
              </w:rPr>
            </w:pPr>
            <w:r w:rsidRPr="003A7C61">
              <w:rPr>
                <w:sz w:val="20"/>
                <w:szCs w:val="20"/>
              </w:rPr>
              <w:t>0.5%</w:t>
            </w:r>
          </w:p>
        </w:tc>
      </w:tr>
      <w:tr w:rsidR="007A6A1A" w:rsidRPr="00167CB8" w14:paraId="373B2082" w14:textId="77777777" w:rsidTr="005E5342">
        <w:trPr>
          <w:trHeight w:val="343"/>
        </w:trPr>
        <w:tc>
          <w:tcPr>
            <w:tcW w:w="3397" w:type="dxa"/>
            <w:tcBorders>
              <w:top w:val="nil"/>
              <w:left w:val="single" w:sz="4" w:space="0" w:color="auto"/>
              <w:bottom w:val="nil"/>
              <w:right w:val="nil"/>
            </w:tcBorders>
            <w:noWrap/>
            <w:vAlign w:val="bottom"/>
            <w:hideMark/>
          </w:tcPr>
          <w:p w14:paraId="50FCBDFD" w14:textId="77777777" w:rsidR="007A6A1A" w:rsidRPr="003A7C61" w:rsidRDefault="007A6A1A" w:rsidP="003A7C61">
            <w:pPr>
              <w:spacing w:after="0" w:line="240" w:lineRule="auto"/>
              <w:rPr>
                <w:sz w:val="20"/>
                <w:szCs w:val="20"/>
              </w:rPr>
            </w:pPr>
            <w:r w:rsidRPr="003A7C61">
              <w:rPr>
                <w:sz w:val="20"/>
                <w:szCs w:val="20"/>
              </w:rPr>
              <w:t>Professional, scientific and technical services</w:t>
            </w:r>
          </w:p>
        </w:tc>
        <w:tc>
          <w:tcPr>
            <w:tcW w:w="1033" w:type="dxa"/>
            <w:tcBorders>
              <w:top w:val="nil"/>
              <w:left w:val="nil"/>
              <w:bottom w:val="nil"/>
              <w:right w:val="nil"/>
            </w:tcBorders>
            <w:noWrap/>
            <w:vAlign w:val="bottom"/>
            <w:hideMark/>
          </w:tcPr>
          <w:p w14:paraId="0B11699B" w14:textId="77777777" w:rsidR="007A6A1A" w:rsidRPr="003A7C61" w:rsidRDefault="007A6A1A" w:rsidP="003A7C61">
            <w:pPr>
              <w:spacing w:after="0" w:line="240" w:lineRule="auto"/>
              <w:rPr>
                <w:sz w:val="20"/>
                <w:szCs w:val="20"/>
              </w:rPr>
            </w:pPr>
            <w:r w:rsidRPr="003A7C61">
              <w:rPr>
                <w:sz w:val="20"/>
                <w:szCs w:val="20"/>
              </w:rPr>
              <w:t>3.4%</w:t>
            </w:r>
          </w:p>
        </w:tc>
        <w:tc>
          <w:tcPr>
            <w:tcW w:w="928" w:type="dxa"/>
            <w:tcBorders>
              <w:top w:val="nil"/>
              <w:left w:val="nil"/>
              <w:bottom w:val="nil"/>
              <w:right w:val="nil"/>
            </w:tcBorders>
            <w:noWrap/>
            <w:vAlign w:val="bottom"/>
            <w:hideMark/>
          </w:tcPr>
          <w:p w14:paraId="360D18DB" w14:textId="77777777" w:rsidR="007A6A1A" w:rsidRPr="003A7C61" w:rsidRDefault="007A6A1A" w:rsidP="003A7C61">
            <w:pPr>
              <w:spacing w:after="0" w:line="240" w:lineRule="auto"/>
              <w:rPr>
                <w:sz w:val="20"/>
                <w:szCs w:val="20"/>
              </w:rPr>
            </w:pPr>
            <w:r w:rsidRPr="003A7C61">
              <w:rPr>
                <w:sz w:val="20"/>
                <w:szCs w:val="20"/>
              </w:rPr>
              <w:t>2.9%</w:t>
            </w:r>
          </w:p>
        </w:tc>
        <w:tc>
          <w:tcPr>
            <w:tcW w:w="860" w:type="dxa"/>
            <w:tcBorders>
              <w:top w:val="nil"/>
              <w:left w:val="nil"/>
              <w:bottom w:val="nil"/>
              <w:right w:val="nil"/>
            </w:tcBorders>
            <w:noWrap/>
            <w:vAlign w:val="bottom"/>
            <w:hideMark/>
          </w:tcPr>
          <w:p w14:paraId="2F7F5038" w14:textId="77777777" w:rsidR="007A6A1A" w:rsidRPr="003A7C61" w:rsidRDefault="007A6A1A" w:rsidP="003A7C61">
            <w:pPr>
              <w:spacing w:after="0" w:line="240" w:lineRule="auto"/>
              <w:rPr>
                <w:sz w:val="20"/>
                <w:szCs w:val="20"/>
              </w:rPr>
            </w:pPr>
            <w:r w:rsidRPr="003A7C61">
              <w:rPr>
                <w:sz w:val="20"/>
                <w:szCs w:val="20"/>
              </w:rPr>
              <w:t>15.6%</w:t>
            </w:r>
          </w:p>
        </w:tc>
        <w:tc>
          <w:tcPr>
            <w:tcW w:w="860" w:type="dxa"/>
            <w:tcBorders>
              <w:top w:val="nil"/>
              <w:left w:val="nil"/>
              <w:bottom w:val="nil"/>
              <w:right w:val="nil"/>
            </w:tcBorders>
            <w:noWrap/>
            <w:vAlign w:val="bottom"/>
            <w:hideMark/>
          </w:tcPr>
          <w:p w14:paraId="423532D6" w14:textId="77777777" w:rsidR="007A6A1A" w:rsidRPr="003A7C61" w:rsidRDefault="007A6A1A" w:rsidP="003A7C61">
            <w:pPr>
              <w:spacing w:after="0" w:line="240" w:lineRule="auto"/>
              <w:rPr>
                <w:sz w:val="20"/>
                <w:szCs w:val="20"/>
              </w:rPr>
            </w:pPr>
            <w:r w:rsidRPr="003A7C61">
              <w:rPr>
                <w:sz w:val="20"/>
                <w:szCs w:val="20"/>
              </w:rPr>
              <w:t>14.9%</w:t>
            </w:r>
          </w:p>
        </w:tc>
        <w:tc>
          <w:tcPr>
            <w:tcW w:w="1105" w:type="dxa"/>
            <w:tcBorders>
              <w:top w:val="nil"/>
              <w:left w:val="nil"/>
              <w:bottom w:val="nil"/>
              <w:right w:val="nil"/>
            </w:tcBorders>
            <w:noWrap/>
            <w:vAlign w:val="bottom"/>
            <w:hideMark/>
          </w:tcPr>
          <w:p w14:paraId="0DEC01F4" w14:textId="77777777" w:rsidR="007A6A1A" w:rsidRPr="003A7C61" w:rsidRDefault="007A6A1A" w:rsidP="003A7C61">
            <w:pPr>
              <w:spacing w:after="0" w:line="240" w:lineRule="auto"/>
              <w:rPr>
                <w:sz w:val="20"/>
                <w:szCs w:val="20"/>
              </w:rPr>
            </w:pPr>
            <w:r w:rsidRPr="003A7C61">
              <w:rPr>
                <w:sz w:val="20"/>
                <w:szCs w:val="20"/>
              </w:rPr>
              <w:t>2.5%</w:t>
            </w:r>
          </w:p>
        </w:tc>
        <w:tc>
          <w:tcPr>
            <w:tcW w:w="1105" w:type="dxa"/>
            <w:tcBorders>
              <w:top w:val="nil"/>
              <w:left w:val="nil"/>
              <w:bottom w:val="nil"/>
              <w:right w:val="single" w:sz="4" w:space="0" w:color="auto"/>
            </w:tcBorders>
            <w:noWrap/>
            <w:vAlign w:val="bottom"/>
            <w:hideMark/>
          </w:tcPr>
          <w:p w14:paraId="3213A8AF" w14:textId="77777777" w:rsidR="007A6A1A" w:rsidRPr="003A7C61" w:rsidRDefault="007A6A1A" w:rsidP="003A7C61">
            <w:pPr>
              <w:spacing w:after="0" w:line="240" w:lineRule="auto"/>
              <w:rPr>
                <w:sz w:val="20"/>
                <w:szCs w:val="20"/>
              </w:rPr>
            </w:pPr>
            <w:r w:rsidRPr="003A7C61">
              <w:rPr>
                <w:sz w:val="20"/>
                <w:szCs w:val="20"/>
              </w:rPr>
              <w:t>2.4%</w:t>
            </w:r>
          </w:p>
        </w:tc>
      </w:tr>
      <w:tr w:rsidR="007A6A1A" w:rsidRPr="00167CB8" w14:paraId="2845BF40" w14:textId="77777777" w:rsidTr="005E5342">
        <w:trPr>
          <w:trHeight w:val="343"/>
        </w:trPr>
        <w:tc>
          <w:tcPr>
            <w:tcW w:w="3397" w:type="dxa"/>
            <w:tcBorders>
              <w:top w:val="nil"/>
              <w:left w:val="single" w:sz="4" w:space="0" w:color="auto"/>
              <w:bottom w:val="nil"/>
              <w:right w:val="nil"/>
            </w:tcBorders>
            <w:noWrap/>
            <w:vAlign w:val="bottom"/>
            <w:hideMark/>
          </w:tcPr>
          <w:p w14:paraId="725AFA62" w14:textId="77777777" w:rsidR="007A6A1A" w:rsidRPr="003A7C61" w:rsidRDefault="007A6A1A" w:rsidP="003A7C61">
            <w:pPr>
              <w:spacing w:after="0" w:line="240" w:lineRule="auto"/>
              <w:rPr>
                <w:sz w:val="20"/>
                <w:szCs w:val="20"/>
              </w:rPr>
            </w:pPr>
            <w:r w:rsidRPr="003A7C61">
              <w:rPr>
                <w:sz w:val="20"/>
                <w:szCs w:val="20"/>
              </w:rPr>
              <w:t>Administrative and support services</w:t>
            </w:r>
          </w:p>
        </w:tc>
        <w:tc>
          <w:tcPr>
            <w:tcW w:w="1033" w:type="dxa"/>
            <w:tcBorders>
              <w:top w:val="nil"/>
              <w:left w:val="nil"/>
              <w:bottom w:val="nil"/>
              <w:right w:val="nil"/>
            </w:tcBorders>
            <w:noWrap/>
            <w:vAlign w:val="bottom"/>
            <w:hideMark/>
          </w:tcPr>
          <w:p w14:paraId="274475AB" w14:textId="77777777" w:rsidR="007A6A1A" w:rsidRPr="003A7C61" w:rsidRDefault="007A6A1A" w:rsidP="003A7C61">
            <w:pPr>
              <w:spacing w:after="0" w:line="240" w:lineRule="auto"/>
              <w:rPr>
                <w:sz w:val="20"/>
                <w:szCs w:val="20"/>
              </w:rPr>
            </w:pPr>
            <w:r w:rsidRPr="003A7C61">
              <w:rPr>
                <w:sz w:val="20"/>
                <w:szCs w:val="20"/>
              </w:rPr>
              <w:t>2.5%</w:t>
            </w:r>
          </w:p>
        </w:tc>
        <w:tc>
          <w:tcPr>
            <w:tcW w:w="928" w:type="dxa"/>
            <w:tcBorders>
              <w:top w:val="nil"/>
              <w:left w:val="nil"/>
              <w:bottom w:val="nil"/>
              <w:right w:val="nil"/>
            </w:tcBorders>
            <w:noWrap/>
            <w:vAlign w:val="bottom"/>
            <w:hideMark/>
          </w:tcPr>
          <w:p w14:paraId="0862E28A" w14:textId="77777777" w:rsidR="007A6A1A" w:rsidRPr="003A7C61" w:rsidRDefault="007A6A1A" w:rsidP="003A7C61">
            <w:pPr>
              <w:spacing w:after="0" w:line="240" w:lineRule="auto"/>
              <w:rPr>
                <w:sz w:val="20"/>
                <w:szCs w:val="20"/>
              </w:rPr>
            </w:pPr>
            <w:r w:rsidRPr="003A7C61">
              <w:rPr>
                <w:sz w:val="20"/>
                <w:szCs w:val="20"/>
              </w:rPr>
              <w:t>1.2%</w:t>
            </w:r>
          </w:p>
        </w:tc>
        <w:tc>
          <w:tcPr>
            <w:tcW w:w="860" w:type="dxa"/>
            <w:tcBorders>
              <w:top w:val="nil"/>
              <w:left w:val="nil"/>
              <w:bottom w:val="nil"/>
              <w:right w:val="nil"/>
            </w:tcBorders>
            <w:noWrap/>
            <w:vAlign w:val="bottom"/>
            <w:hideMark/>
          </w:tcPr>
          <w:p w14:paraId="54996B33" w14:textId="77777777" w:rsidR="007A6A1A" w:rsidRPr="003A7C61" w:rsidRDefault="007A6A1A" w:rsidP="003A7C61">
            <w:pPr>
              <w:spacing w:after="0" w:line="240" w:lineRule="auto"/>
              <w:rPr>
                <w:sz w:val="20"/>
                <w:szCs w:val="20"/>
              </w:rPr>
            </w:pPr>
            <w:r w:rsidRPr="003A7C61">
              <w:rPr>
                <w:sz w:val="20"/>
                <w:szCs w:val="20"/>
              </w:rPr>
              <w:t>3.2%</w:t>
            </w:r>
          </w:p>
        </w:tc>
        <w:tc>
          <w:tcPr>
            <w:tcW w:w="860" w:type="dxa"/>
            <w:tcBorders>
              <w:top w:val="nil"/>
              <w:left w:val="nil"/>
              <w:bottom w:val="nil"/>
              <w:right w:val="nil"/>
            </w:tcBorders>
            <w:noWrap/>
            <w:vAlign w:val="bottom"/>
            <w:hideMark/>
          </w:tcPr>
          <w:p w14:paraId="1CB25DAB" w14:textId="77777777" w:rsidR="007A6A1A" w:rsidRPr="003A7C61" w:rsidRDefault="007A6A1A" w:rsidP="003A7C61">
            <w:pPr>
              <w:spacing w:after="0" w:line="240" w:lineRule="auto"/>
              <w:rPr>
                <w:sz w:val="20"/>
                <w:szCs w:val="20"/>
              </w:rPr>
            </w:pPr>
            <w:r w:rsidRPr="003A7C61">
              <w:rPr>
                <w:sz w:val="20"/>
                <w:szCs w:val="20"/>
              </w:rPr>
              <w:t>2.1%</w:t>
            </w:r>
          </w:p>
        </w:tc>
        <w:tc>
          <w:tcPr>
            <w:tcW w:w="1105" w:type="dxa"/>
            <w:tcBorders>
              <w:top w:val="nil"/>
              <w:left w:val="nil"/>
              <w:bottom w:val="nil"/>
              <w:right w:val="nil"/>
            </w:tcBorders>
            <w:noWrap/>
            <w:vAlign w:val="bottom"/>
            <w:hideMark/>
          </w:tcPr>
          <w:p w14:paraId="01C0304F" w14:textId="77777777" w:rsidR="007A6A1A" w:rsidRPr="003A7C61" w:rsidRDefault="007A6A1A" w:rsidP="003A7C61">
            <w:pPr>
              <w:spacing w:after="0" w:line="240" w:lineRule="auto"/>
              <w:rPr>
                <w:sz w:val="20"/>
                <w:szCs w:val="20"/>
              </w:rPr>
            </w:pPr>
            <w:r w:rsidRPr="003A7C61">
              <w:rPr>
                <w:sz w:val="20"/>
                <w:szCs w:val="20"/>
              </w:rPr>
              <w:t>2.9%</w:t>
            </w:r>
          </w:p>
        </w:tc>
        <w:tc>
          <w:tcPr>
            <w:tcW w:w="1105" w:type="dxa"/>
            <w:tcBorders>
              <w:top w:val="nil"/>
              <w:left w:val="nil"/>
              <w:bottom w:val="nil"/>
              <w:right w:val="single" w:sz="4" w:space="0" w:color="auto"/>
            </w:tcBorders>
            <w:noWrap/>
            <w:vAlign w:val="bottom"/>
            <w:hideMark/>
          </w:tcPr>
          <w:p w14:paraId="4509E93E" w14:textId="77777777" w:rsidR="007A6A1A" w:rsidRPr="003A7C61" w:rsidRDefault="007A6A1A" w:rsidP="003A7C61">
            <w:pPr>
              <w:spacing w:after="0" w:line="240" w:lineRule="auto"/>
              <w:rPr>
                <w:sz w:val="20"/>
                <w:szCs w:val="20"/>
              </w:rPr>
            </w:pPr>
            <w:r w:rsidRPr="003A7C61">
              <w:rPr>
                <w:sz w:val="20"/>
                <w:szCs w:val="20"/>
              </w:rPr>
              <w:t>2.1%</w:t>
            </w:r>
          </w:p>
        </w:tc>
      </w:tr>
      <w:tr w:rsidR="007A6A1A" w:rsidRPr="00167CB8" w14:paraId="164560E1" w14:textId="77777777" w:rsidTr="005E5342">
        <w:trPr>
          <w:trHeight w:val="343"/>
        </w:trPr>
        <w:tc>
          <w:tcPr>
            <w:tcW w:w="3397" w:type="dxa"/>
            <w:tcBorders>
              <w:top w:val="nil"/>
              <w:left w:val="single" w:sz="4" w:space="0" w:color="auto"/>
              <w:bottom w:val="nil"/>
              <w:right w:val="nil"/>
            </w:tcBorders>
            <w:noWrap/>
            <w:vAlign w:val="bottom"/>
            <w:hideMark/>
          </w:tcPr>
          <w:p w14:paraId="16C6CEEC" w14:textId="77777777" w:rsidR="007A6A1A" w:rsidRPr="003A7C61" w:rsidRDefault="007A6A1A" w:rsidP="003A7C61">
            <w:pPr>
              <w:spacing w:after="0" w:line="240" w:lineRule="auto"/>
              <w:rPr>
                <w:sz w:val="20"/>
                <w:szCs w:val="20"/>
              </w:rPr>
            </w:pPr>
            <w:r w:rsidRPr="003A7C61">
              <w:rPr>
                <w:sz w:val="20"/>
                <w:szCs w:val="20"/>
              </w:rPr>
              <w:t>Public administration and safety</w:t>
            </w:r>
          </w:p>
        </w:tc>
        <w:tc>
          <w:tcPr>
            <w:tcW w:w="1033" w:type="dxa"/>
            <w:tcBorders>
              <w:top w:val="nil"/>
              <w:left w:val="nil"/>
              <w:bottom w:val="nil"/>
              <w:right w:val="nil"/>
            </w:tcBorders>
            <w:noWrap/>
            <w:vAlign w:val="bottom"/>
            <w:hideMark/>
          </w:tcPr>
          <w:p w14:paraId="63FCF0F3" w14:textId="77777777" w:rsidR="007A6A1A" w:rsidRPr="003A7C61" w:rsidRDefault="007A6A1A" w:rsidP="003A7C61">
            <w:pPr>
              <w:spacing w:after="0" w:line="240" w:lineRule="auto"/>
              <w:rPr>
                <w:sz w:val="20"/>
                <w:szCs w:val="20"/>
              </w:rPr>
            </w:pPr>
            <w:r w:rsidRPr="003A7C61">
              <w:rPr>
                <w:sz w:val="20"/>
                <w:szCs w:val="20"/>
              </w:rPr>
              <w:t>14.0%</w:t>
            </w:r>
          </w:p>
        </w:tc>
        <w:tc>
          <w:tcPr>
            <w:tcW w:w="928" w:type="dxa"/>
            <w:tcBorders>
              <w:top w:val="nil"/>
              <w:left w:val="nil"/>
              <w:bottom w:val="nil"/>
              <w:right w:val="nil"/>
            </w:tcBorders>
            <w:noWrap/>
            <w:vAlign w:val="bottom"/>
            <w:hideMark/>
          </w:tcPr>
          <w:p w14:paraId="79B48379" w14:textId="77777777" w:rsidR="007A6A1A" w:rsidRPr="003A7C61" w:rsidRDefault="007A6A1A" w:rsidP="003A7C61">
            <w:pPr>
              <w:spacing w:after="0" w:line="240" w:lineRule="auto"/>
              <w:rPr>
                <w:sz w:val="20"/>
                <w:szCs w:val="20"/>
              </w:rPr>
            </w:pPr>
            <w:r w:rsidRPr="003A7C61">
              <w:rPr>
                <w:sz w:val="20"/>
                <w:szCs w:val="20"/>
              </w:rPr>
              <w:t>14.3%</w:t>
            </w:r>
          </w:p>
        </w:tc>
        <w:tc>
          <w:tcPr>
            <w:tcW w:w="860" w:type="dxa"/>
            <w:tcBorders>
              <w:top w:val="nil"/>
              <w:left w:val="nil"/>
              <w:bottom w:val="nil"/>
              <w:right w:val="nil"/>
            </w:tcBorders>
            <w:noWrap/>
            <w:vAlign w:val="bottom"/>
            <w:hideMark/>
          </w:tcPr>
          <w:p w14:paraId="1D24BA10" w14:textId="77777777" w:rsidR="007A6A1A" w:rsidRPr="003A7C61" w:rsidRDefault="007A6A1A" w:rsidP="003A7C61">
            <w:pPr>
              <w:spacing w:after="0" w:line="240" w:lineRule="auto"/>
              <w:rPr>
                <w:sz w:val="20"/>
                <w:szCs w:val="20"/>
              </w:rPr>
            </w:pPr>
            <w:r w:rsidRPr="003A7C61">
              <w:rPr>
                <w:sz w:val="20"/>
                <w:szCs w:val="20"/>
              </w:rPr>
              <w:t>2.0%</w:t>
            </w:r>
          </w:p>
        </w:tc>
        <w:tc>
          <w:tcPr>
            <w:tcW w:w="860" w:type="dxa"/>
            <w:tcBorders>
              <w:top w:val="nil"/>
              <w:left w:val="nil"/>
              <w:bottom w:val="nil"/>
              <w:right w:val="nil"/>
            </w:tcBorders>
            <w:noWrap/>
            <w:vAlign w:val="bottom"/>
            <w:hideMark/>
          </w:tcPr>
          <w:p w14:paraId="2502AA17" w14:textId="77777777" w:rsidR="007A6A1A" w:rsidRPr="003A7C61" w:rsidRDefault="007A6A1A" w:rsidP="003A7C61">
            <w:pPr>
              <w:spacing w:after="0" w:line="240" w:lineRule="auto"/>
              <w:rPr>
                <w:sz w:val="20"/>
                <w:szCs w:val="20"/>
              </w:rPr>
            </w:pPr>
            <w:r w:rsidRPr="003A7C61">
              <w:rPr>
                <w:sz w:val="20"/>
                <w:szCs w:val="20"/>
              </w:rPr>
              <w:t>1.9%</w:t>
            </w:r>
          </w:p>
        </w:tc>
        <w:tc>
          <w:tcPr>
            <w:tcW w:w="1105" w:type="dxa"/>
            <w:tcBorders>
              <w:top w:val="nil"/>
              <w:left w:val="nil"/>
              <w:bottom w:val="nil"/>
              <w:right w:val="nil"/>
            </w:tcBorders>
            <w:noWrap/>
            <w:vAlign w:val="bottom"/>
            <w:hideMark/>
          </w:tcPr>
          <w:p w14:paraId="7244099F" w14:textId="77777777" w:rsidR="007A6A1A" w:rsidRPr="003A7C61" w:rsidRDefault="007A6A1A" w:rsidP="003A7C61">
            <w:pPr>
              <w:spacing w:after="0" w:line="240" w:lineRule="auto"/>
              <w:rPr>
                <w:sz w:val="20"/>
                <w:szCs w:val="20"/>
              </w:rPr>
            </w:pPr>
            <w:r w:rsidRPr="003A7C61">
              <w:rPr>
                <w:sz w:val="20"/>
                <w:szCs w:val="20"/>
              </w:rPr>
              <w:t>5.9%</w:t>
            </w:r>
          </w:p>
        </w:tc>
        <w:tc>
          <w:tcPr>
            <w:tcW w:w="1105" w:type="dxa"/>
            <w:tcBorders>
              <w:top w:val="nil"/>
              <w:left w:val="nil"/>
              <w:bottom w:val="nil"/>
              <w:right w:val="single" w:sz="4" w:space="0" w:color="auto"/>
            </w:tcBorders>
            <w:noWrap/>
            <w:vAlign w:val="bottom"/>
            <w:hideMark/>
          </w:tcPr>
          <w:p w14:paraId="37320DBA" w14:textId="77777777" w:rsidR="007A6A1A" w:rsidRPr="003A7C61" w:rsidRDefault="007A6A1A" w:rsidP="003A7C61">
            <w:pPr>
              <w:spacing w:after="0" w:line="240" w:lineRule="auto"/>
              <w:rPr>
                <w:sz w:val="20"/>
                <w:szCs w:val="20"/>
              </w:rPr>
            </w:pPr>
            <w:r w:rsidRPr="003A7C61">
              <w:rPr>
                <w:sz w:val="20"/>
                <w:szCs w:val="20"/>
              </w:rPr>
              <w:t>4.5%</w:t>
            </w:r>
          </w:p>
        </w:tc>
      </w:tr>
      <w:tr w:rsidR="007A6A1A" w:rsidRPr="00167CB8" w14:paraId="093D86AD" w14:textId="77777777" w:rsidTr="005E5342">
        <w:trPr>
          <w:trHeight w:val="343"/>
        </w:trPr>
        <w:tc>
          <w:tcPr>
            <w:tcW w:w="3397" w:type="dxa"/>
            <w:tcBorders>
              <w:top w:val="nil"/>
              <w:left w:val="single" w:sz="4" w:space="0" w:color="auto"/>
              <w:bottom w:val="nil"/>
              <w:right w:val="nil"/>
            </w:tcBorders>
            <w:noWrap/>
            <w:vAlign w:val="bottom"/>
            <w:hideMark/>
          </w:tcPr>
          <w:p w14:paraId="7EA25613" w14:textId="77777777" w:rsidR="007A6A1A" w:rsidRPr="003A7C61" w:rsidRDefault="007A6A1A" w:rsidP="003A7C61">
            <w:pPr>
              <w:spacing w:after="0" w:line="240" w:lineRule="auto"/>
              <w:rPr>
                <w:sz w:val="20"/>
                <w:szCs w:val="20"/>
              </w:rPr>
            </w:pPr>
            <w:r w:rsidRPr="003A7C61">
              <w:rPr>
                <w:sz w:val="20"/>
                <w:szCs w:val="20"/>
              </w:rPr>
              <w:t>Education and training</w:t>
            </w:r>
          </w:p>
        </w:tc>
        <w:tc>
          <w:tcPr>
            <w:tcW w:w="1033" w:type="dxa"/>
            <w:tcBorders>
              <w:top w:val="nil"/>
              <w:left w:val="nil"/>
              <w:bottom w:val="nil"/>
              <w:right w:val="nil"/>
            </w:tcBorders>
            <w:noWrap/>
            <w:vAlign w:val="bottom"/>
            <w:hideMark/>
          </w:tcPr>
          <w:p w14:paraId="34CD1BE7" w14:textId="77777777" w:rsidR="007A6A1A" w:rsidRPr="003A7C61" w:rsidRDefault="007A6A1A" w:rsidP="003A7C61">
            <w:pPr>
              <w:spacing w:after="0" w:line="240" w:lineRule="auto"/>
              <w:rPr>
                <w:sz w:val="20"/>
                <w:szCs w:val="20"/>
              </w:rPr>
            </w:pPr>
            <w:r w:rsidRPr="003A7C61">
              <w:rPr>
                <w:sz w:val="20"/>
                <w:szCs w:val="20"/>
              </w:rPr>
              <w:t>16.2%</w:t>
            </w:r>
          </w:p>
        </w:tc>
        <w:tc>
          <w:tcPr>
            <w:tcW w:w="928" w:type="dxa"/>
            <w:tcBorders>
              <w:top w:val="nil"/>
              <w:left w:val="nil"/>
              <w:bottom w:val="nil"/>
              <w:right w:val="nil"/>
            </w:tcBorders>
            <w:noWrap/>
            <w:vAlign w:val="bottom"/>
            <w:hideMark/>
          </w:tcPr>
          <w:p w14:paraId="3BB43047" w14:textId="77777777" w:rsidR="007A6A1A" w:rsidRPr="003A7C61" w:rsidRDefault="007A6A1A" w:rsidP="003A7C61">
            <w:pPr>
              <w:spacing w:after="0" w:line="240" w:lineRule="auto"/>
              <w:rPr>
                <w:sz w:val="20"/>
                <w:szCs w:val="20"/>
              </w:rPr>
            </w:pPr>
            <w:r w:rsidRPr="003A7C61">
              <w:rPr>
                <w:sz w:val="20"/>
                <w:szCs w:val="20"/>
              </w:rPr>
              <w:t>19.6%</w:t>
            </w:r>
          </w:p>
        </w:tc>
        <w:tc>
          <w:tcPr>
            <w:tcW w:w="860" w:type="dxa"/>
            <w:tcBorders>
              <w:top w:val="nil"/>
              <w:left w:val="nil"/>
              <w:bottom w:val="nil"/>
              <w:right w:val="nil"/>
            </w:tcBorders>
            <w:noWrap/>
            <w:vAlign w:val="bottom"/>
            <w:hideMark/>
          </w:tcPr>
          <w:p w14:paraId="0AACF8F3" w14:textId="77777777" w:rsidR="007A6A1A" w:rsidRPr="003A7C61" w:rsidRDefault="007A6A1A" w:rsidP="003A7C61">
            <w:pPr>
              <w:spacing w:after="0" w:line="240" w:lineRule="auto"/>
              <w:rPr>
                <w:sz w:val="20"/>
                <w:szCs w:val="20"/>
              </w:rPr>
            </w:pPr>
            <w:r w:rsidRPr="003A7C61">
              <w:rPr>
                <w:sz w:val="20"/>
                <w:szCs w:val="20"/>
              </w:rPr>
              <w:t>4.8%</w:t>
            </w:r>
          </w:p>
        </w:tc>
        <w:tc>
          <w:tcPr>
            <w:tcW w:w="860" w:type="dxa"/>
            <w:tcBorders>
              <w:top w:val="nil"/>
              <w:left w:val="nil"/>
              <w:bottom w:val="nil"/>
              <w:right w:val="nil"/>
            </w:tcBorders>
            <w:noWrap/>
            <w:vAlign w:val="bottom"/>
            <w:hideMark/>
          </w:tcPr>
          <w:p w14:paraId="28D73DFF" w14:textId="77777777" w:rsidR="007A6A1A" w:rsidRPr="003A7C61" w:rsidRDefault="007A6A1A" w:rsidP="003A7C61">
            <w:pPr>
              <w:spacing w:after="0" w:line="240" w:lineRule="auto"/>
              <w:rPr>
                <w:sz w:val="20"/>
                <w:szCs w:val="20"/>
              </w:rPr>
            </w:pPr>
            <w:r w:rsidRPr="003A7C61">
              <w:rPr>
                <w:sz w:val="20"/>
                <w:szCs w:val="20"/>
              </w:rPr>
              <w:t>5.1%</w:t>
            </w:r>
          </w:p>
        </w:tc>
        <w:tc>
          <w:tcPr>
            <w:tcW w:w="1105" w:type="dxa"/>
            <w:tcBorders>
              <w:top w:val="nil"/>
              <w:left w:val="nil"/>
              <w:bottom w:val="nil"/>
              <w:right w:val="nil"/>
            </w:tcBorders>
            <w:noWrap/>
            <w:vAlign w:val="bottom"/>
            <w:hideMark/>
          </w:tcPr>
          <w:p w14:paraId="6472308F" w14:textId="77777777" w:rsidR="007A6A1A" w:rsidRPr="003A7C61" w:rsidRDefault="007A6A1A" w:rsidP="003A7C61">
            <w:pPr>
              <w:spacing w:after="0" w:line="240" w:lineRule="auto"/>
              <w:rPr>
                <w:sz w:val="20"/>
                <w:szCs w:val="20"/>
              </w:rPr>
            </w:pPr>
            <w:r w:rsidRPr="003A7C61">
              <w:rPr>
                <w:sz w:val="20"/>
                <w:szCs w:val="20"/>
              </w:rPr>
              <w:t>11.6%</w:t>
            </w:r>
          </w:p>
        </w:tc>
        <w:tc>
          <w:tcPr>
            <w:tcW w:w="1105" w:type="dxa"/>
            <w:tcBorders>
              <w:top w:val="nil"/>
              <w:left w:val="nil"/>
              <w:bottom w:val="nil"/>
              <w:right w:val="single" w:sz="4" w:space="0" w:color="auto"/>
            </w:tcBorders>
            <w:noWrap/>
            <w:vAlign w:val="bottom"/>
            <w:hideMark/>
          </w:tcPr>
          <w:p w14:paraId="0BBDBE63" w14:textId="77777777" w:rsidR="007A6A1A" w:rsidRPr="003A7C61" w:rsidRDefault="007A6A1A" w:rsidP="003A7C61">
            <w:pPr>
              <w:spacing w:after="0" w:line="240" w:lineRule="auto"/>
              <w:rPr>
                <w:sz w:val="20"/>
                <w:szCs w:val="20"/>
              </w:rPr>
            </w:pPr>
            <w:r w:rsidRPr="003A7C61">
              <w:rPr>
                <w:sz w:val="20"/>
                <w:szCs w:val="20"/>
              </w:rPr>
              <w:t>9.8%</w:t>
            </w:r>
          </w:p>
        </w:tc>
      </w:tr>
      <w:tr w:rsidR="007A6A1A" w:rsidRPr="00167CB8" w14:paraId="199D4C26" w14:textId="77777777" w:rsidTr="005E5342">
        <w:trPr>
          <w:trHeight w:val="343"/>
        </w:trPr>
        <w:tc>
          <w:tcPr>
            <w:tcW w:w="3397" w:type="dxa"/>
            <w:tcBorders>
              <w:top w:val="nil"/>
              <w:left w:val="single" w:sz="4" w:space="0" w:color="auto"/>
              <w:bottom w:val="nil"/>
              <w:right w:val="nil"/>
            </w:tcBorders>
            <w:noWrap/>
            <w:vAlign w:val="bottom"/>
            <w:hideMark/>
          </w:tcPr>
          <w:p w14:paraId="186462DB" w14:textId="77777777" w:rsidR="007A6A1A" w:rsidRPr="003A7C61" w:rsidRDefault="007A6A1A" w:rsidP="003A7C61">
            <w:pPr>
              <w:spacing w:after="0" w:line="240" w:lineRule="auto"/>
              <w:rPr>
                <w:sz w:val="20"/>
                <w:szCs w:val="20"/>
              </w:rPr>
            </w:pPr>
            <w:r w:rsidRPr="003A7C61">
              <w:rPr>
                <w:sz w:val="20"/>
                <w:szCs w:val="20"/>
              </w:rPr>
              <w:t>Health care and social assistance</w:t>
            </w:r>
          </w:p>
        </w:tc>
        <w:tc>
          <w:tcPr>
            <w:tcW w:w="1033" w:type="dxa"/>
            <w:tcBorders>
              <w:top w:val="nil"/>
              <w:left w:val="nil"/>
              <w:bottom w:val="nil"/>
              <w:right w:val="nil"/>
            </w:tcBorders>
            <w:noWrap/>
            <w:vAlign w:val="bottom"/>
            <w:hideMark/>
          </w:tcPr>
          <w:p w14:paraId="5E313463" w14:textId="77777777" w:rsidR="007A6A1A" w:rsidRPr="003A7C61" w:rsidRDefault="007A6A1A" w:rsidP="003A7C61">
            <w:pPr>
              <w:spacing w:after="0" w:line="240" w:lineRule="auto"/>
              <w:rPr>
                <w:sz w:val="20"/>
                <w:szCs w:val="20"/>
              </w:rPr>
            </w:pPr>
            <w:r w:rsidRPr="003A7C61">
              <w:rPr>
                <w:sz w:val="20"/>
                <w:szCs w:val="20"/>
              </w:rPr>
              <w:t>18.5%</w:t>
            </w:r>
          </w:p>
        </w:tc>
        <w:tc>
          <w:tcPr>
            <w:tcW w:w="928" w:type="dxa"/>
            <w:tcBorders>
              <w:top w:val="nil"/>
              <w:left w:val="nil"/>
              <w:bottom w:val="nil"/>
              <w:right w:val="nil"/>
            </w:tcBorders>
            <w:noWrap/>
            <w:vAlign w:val="bottom"/>
            <w:hideMark/>
          </w:tcPr>
          <w:p w14:paraId="20B3A916" w14:textId="77777777" w:rsidR="007A6A1A" w:rsidRPr="003A7C61" w:rsidRDefault="007A6A1A" w:rsidP="003A7C61">
            <w:pPr>
              <w:spacing w:after="0" w:line="240" w:lineRule="auto"/>
              <w:rPr>
                <w:sz w:val="20"/>
                <w:szCs w:val="20"/>
              </w:rPr>
            </w:pPr>
            <w:r w:rsidRPr="003A7C61">
              <w:rPr>
                <w:sz w:val="20"/>
                <w:szCs w:val="20"/>
              </w:rPr>
              <w:t>22.0%</w:t>
            </w:r>
          </w:p>
        </w:tc>
        <w:tc>
          <w:tcPr>
            <w:tcW w:w="860" w:type="dxa"/>
            <w:tcBorders>
              <w:top w:val="nil"/>
              <w:left w:val="nil"/>
              <w:bottom w:val="nil"/>
              <w:right w:val="nil"/>
            </w:tcBorders>
            <w:noWrap/>
            <w:vAlign w:val="bottom"/>
            <w:hideMark/>
          </w:tcPr>
          <w:p w14:paraId="276A72C8" w14:textId="77777777" w:rsidR="007A6A1A" w:rsidRPr="003A7C61" w:rsidRDefault="007A6A1A" w:rsidP="003A7C61">
            <w:pPr>
              <w:spacing w:after="0" w:line="240" w:lineRule="auto"/>
              <w:rPr>
                <w:sz w:val="20"/>
                <w:szCs w:val="20"/>
              </w:rPr>
            </w:pPr>
            <w:r w:rsidRPr="003A7C61">
              <w:rPr>
                <w:sz w:val="20"/>
                <w:szCs w:val="20"/>
              </w:rPr>
              <w:t>8.1%</w:t>
            </w:r>
          </w:p>
        </w:tc>
        <w:tc>
          <w:tcPr>
            <w:tcW w:w="860" w:type="dxa"/>
            <w:tcBorders>
              <w:top w:val="nil"/>
              <w:left w:val="nil"/>
              <w:bottom w:val="nil"/>
              <w:right w:val="nil"/>
            </w:tcBorders>
            <w:noWrap/>
            <w:vAlign w:val="bottom"/>
            <w:hideMark/>
          </w:tcPr>
          <w:p w14:paraId="39C22891" w14:textId="77777777" w:rsidR="007A6A1A" w:rsidRPr="003A7C61" w:rsidRDefault="007A6A1A" w:rsidP="003A7C61">
            <w:pPr>
              <w:spacing w:after="0" w:line="240" w:lineRule="auto"/>
              <w:rPr>
                <w:sz w:val="20"/>
                <w:szCs w:val="20"/>
              </w:rPr>
            </w:pPr>
            <w:r w:rsidRPr="003A7C61">
              <w:rPr>
                <w:sz w:val="20"/>
                <w:szCs w:val="20"/>
              </w:rPr>
              <w:t>12.1%</w:t>
            </w:r>
          </w:p>
        </w:tc>
        <w:tc>
          <w:tcPr>
            <w:tcW w:w="1105" w:type="dxa"/>
            <w:tcBorders>
              <w:top w:val="nil"/>
              <w:left w:val="nil"/>
              <w:bottom w:val="nil"/>
              <w:right w:val="nil"/>
            </w:tcBorders>
            <w:noWrap/>
            <w:vAlign w:val="bottom"/>
            <w:hideMark/>
          </w:tcPr>
          <w:p w14:paraId="689B0835" w14:textId="77777777" w:rsidR="007A6A1A" w:rsidRPr="003A7C61" w:rsidRDefault="007A6A1A" w:rsidP="003A7C61">
            <w:pPr>
              <w:spacing w:after="0" w:line="240" w:lineRule="auto"/>
              <w:rPr>
                <w:sz w:val="20"/>
                <w:szCs w:val="20"/>
              </w:rPr>
            </w:pPr>
            <w:r w:rsidRPr="003A7C61">
              <w:rPr>
                <w:sz w:val="20"/>
                <w:szCs w:val="20"/>
              </w:rPr>
              <w:t>20.4%</w:t>
            </w:r>
          </w:p>
        </w:tc>
        <w:tc>
          <w:tcPr>
            <w:tcW w:w="1105" w:type="dxa"/>
            <w:tcBorders>
              <w:top w:val="nil"/>
              <w:left w:val="nil"/>
              <w:bottom w:val="nil"/>
              <w:right w:val="single" w:sz="4" w:space="0" w:color="auto"/>
            </w:tcBorders>
            <w:noWrap/>
            <w:vAlign w:val="bottom"/>
            <w:hideMark/>
          </w:tcPr>
          <w:p w14:paraId="1E96C8AD" w14:textId="77777777" w:rsidR="007A6A1A" w:rsidRPr="003A7C61" w:rsidRDefault="007A6A1A" w:rsidP="003A7C61">
            <w:pPr>
              <w:spacing w:after="0" w:line="240" w:lineRule="auto"/>
              <w:rPr>
                <w:sz w:val="20"/>
                <w:szCs w:val="20"/>
              </w:rPr>
            </w:pPr>
            <w:r w:rsidRPr="003A7C61">
              <w:rPr>
                <w:sz w:val="20"/>
                <w:szCs w:val="20"/>
              </w:rPr>
              <w:t>22.7%</w:t>
            </w:r>
          </w:p>
        </w:tc>
      </w:tr>
      <w:tr w:rsidR="007A6A1A" w:rsidRPr="00167CB8" w14:paraId="4B581050" w14:textId="77777777" w:rsidTr="005E5342">
        <w:trPr>
          <w:trHeight w:val="343"/>
        </w:trPr>
        <w:tc>
          <w:tcPr>
            <w:tcW w:w="3397" w:type="dxa"/>
            <w:tcBorders>
              <w:top w:val="nil"/>
              <w:left w:val="single" w:sz="4" w:space="0" w:color="auto"/>
              <w:bottom w:val="nil"/>
              <w:right w:val="nil"/>
            </w:tcBorders>
            <w:noWrap/>
            <w:vAlign w:val="bottom"/>
            <w:hideMark/>
          </w:tcPr>
          <w:p w14:paraId="427F033B" w14:textId="77777777" w:rsidR="007A6A1A" w:rsidRPr="003A7C61" w:rsidRDefault="007A6A1A" w:rsidP="003A7C61">
            <w:pPr>
              <w:spacing w:after="0" w:line="240" w:lineRule="auto"/>
              <w:rPr>
                <w:sz w:val="20"/>
                <w:szCs w:val="20"/>
              </w:rPr>
            </w:pPr>
            <w:r w:rsidRPr="003A7C61">
              <w:rPr>
                <w:sz w:val="20"/>
                <w:szCs w:val="20"/>
              </w:rPr>
              <w:t>Arts and recreation services</w:t>
            </w:r>
          </w:p>
        </w:tc>
        <w:tc>
          <w:tcPr>
            <w:tcW w:w="1033" w:type="dxa"/>
            <w:tcBorders>
              <w:top w:val="nil"/>
              <w:left w:val="nil"/>
              <w:bottom w:val="nil"/>
              <w:right w:val="nil"/>
            </w:tcBorders>
            <w:noWrap/>
            <w:vAlign w:val="bottom"/>
            <w:hideMark/>
          </w:tcPr>
          <w:p w14:paraId="1DABB578" w14:textId="77777777" w:rsidR="007A6A1A" w:rsidRPr="003A7C61" w:rsidRDefault="007A6A1A" w:rsidP="003A7C61">
            <w:pPr>
              <w:spacing w:after="0" w:line="240" w:lineRule="auto"/>
              <w:rPr>
                <w:sz w:val="20"/>
                <w:szCs w:val="20"/>
              </w:rPr>
            </w:pPr>
            <w:r w:rsidRPr="003A7C61">
              <w:rPr>
                <w:sz w:val="20"/>
                <w:szCs w:val="20"/>
              </w:rPr>
              <w:t>1.6%</w:t>
            </w:r>
          </w:p>
        </w:tc>
        <w:tc>
          <w:tcPr>
            <w:tcW w:w="928" w:type="dxa"/>
            <w:tcBorders>
              <w:top w:val="nil"/>
              <w:left w:val="nil"/>
              <w:bottom w:val="nil"/>
              <w:right w:val="nil"/>
            </w:tcBorders>
            <w:noWrap/>
            <w:vAlign w:val="bottom"/>
            <w:hideMark/>
          </w:tcPr>
          <w:p w14:paraId="5F5D7790" w14:textId="77777777" w:rsidR="007A6A1A" w:rsidRPr="003A7C61" w:rsidRDefault="007A6A1A" w:rsidP="003A7C61">
            <w:pPr>
              <w:spacing w:after="0" w:line="240" w:lineRule="auto"/>
              <w:rPr>
                <w:sz w:val="20"/>
                <w:szCs w:val="20"/>
              </w:rPr>
            </w:pPr>
            <w:r w:rsidRPr="003A7C61">
              <w:rPr>
                <w:sz w:val="20"/>
                <w:szCs w:val="20"/>
              </w:rPr>
              <w:t>1.6%</w:t>
            </w:r>
          </w:p>
        </w:tc>
        <w:tc>
          <w:tcPr>
            <w:tcW w:w="860" w:type="dxa"/>
            <w:tcBorders>
              <w:top w:val="nil"/>
              <w:left w:val="nil"/>
              <w:bottom w:val="nil"/>
              <w:right w:val="nil"/>
            </w:tcBorders>
            <w:noWrap/>
            <w:vAlign w:val="bottom"/>
            <w:hideMark/>
          </w:tcPr>
          <w:p w14:paraId="1FC0A748" w14:textId="77777777" w:rsidR="007A6A1A" w:rsidRPr="003A7C61" w:rsidRDefault="007A6A1A" w:rsidP="003A7C61">
            <w:pPr>
              <w:spacing w:after="0" w:line="240" w:lineRule="auto"/>
              <w:rPr>
                <w:sz w:val="20"/>
                <w:szCs w:val="20"/>
              </w:rPr>
            </w:pPr>
            <w:r w:rsidRPr="003A7C61">
              <w:rPr>
                <w:sz w:val="20"/>
                <w:szCs w:val="20"/>
              </w:rPr>
              <w:t>1.6%</w:t>
            </w:r>
          </w:p>
        </w:tc>
        <w:tc>
          <w:tcPr>
            <w:tcW w:w="860" w:type="dxa"/>
            <w:tcBorders>
              <w:top w:val="nil"/>
              <w:left w:val="nil"/>
              <w:bottom w:val="nil"/>
              <w:right w:val="nil"/>
            </w:tcBorders>
            <w:noWrap/>
            <w:vAlign w:val="bottom"/>
            <w:hideMark/>
          </w:tcPr>
          <w:p w14:paraId="3CDE3213" w14:textId="77777777" w:rsidR="007A6A1A" w:rsidRPr="003A7C61" w:rsidRDefault="007A6A1A" w:rsidP="003A7C61">
            <w:pPr>
              <w:spacing w:after="0" w:line="240" w:lineRule="auto"/>
              <w:rPr>
                <w:sz w:val="20"/>
                <w:szCs w:val="20"/>
              </w:rPr>
            </w:pPr>
            <w:r w:rsidRPr="003A7C61">
              <w:rPr>
                <w:sz w:val="20"/>
                <w:szCs w:val="20"/>
              </w:rPr>
              <w:t>2.1%</w:t>
            </w:r>
          </w:p>
        </w:tc>
        <w:tc>
          <w:tcPr>
            <w:tcW w:w="1105" w:type="dxa"/>
            <w:tcBorders>
              <w:top w:val="nil"/>
              <w:left w:val="nil"/>
              <w:bottom w:val="nil"/>
              <w:right w:val="nil"/>
            </w:tcBorders>
            <w:noWrap/>
            <w:vAlign w:val="bottom"/>
            <w:hideMark/>
          </w:tcPr>
          <w:p w14:paraId="3333D03B" w14:textId="77777777" w:rsidR="007A6A1A" w:rsidRPr="003A7C61" w:rsidRDefault="007A6A1A" w:rsidP="003A7C61">
            <w:pPr>
              <w:spacing w:after="0" w:line="240" w:lineRule="auto"/>
              <w:rPr>
                <w:sz w:val="20"/>
                <w:szCs w:val="20"/>
              </w:rPr>
            </w:pPr>
            <w:r w:rsidRPr="003A7C61">
              <w:rPr>
                <w:sz w:val="20"/>
                <w:szCs w:val="20"/>
              </w:rPr>
              <w:t>1.4%</w:t>
            </w:r>
          </w:p>
        </w:tc>
        <w:tc>
          <w:tcPr>
            <w:tcW w:w="1105" w:type="dxa"/>
            <w:tcBorders>
              <w:top w:val="nil"/>
              <w:left w:val="nil"/>
              <w:bottom w:val="nil"/>
              <w:right w:val="single" w:sz="4" w:space="0" w:color="auto"/>
            </w:tcBorders>
            <w:noWrap/>
            <w:vAlign w:val="bottom"/>
            <w:hideMark/>
          </w:tcPr>
          <w:p w14:paraId="65C82C4A" w14:textId="77777777" w:rsidR="007A6A1A" w:rsidRPr="003A7C61" w:rsidRDefault="007A6A1A" w:rsidP="003A7C61">
            <w:pPr>
              <w:spacing w:after="0" w:line="240" w:lineRule="auto"/>
              <w:rPr>
                <w:sz w:val="20"/>
                <w:szCs w:val="20"/>
              </w:rPr>
            </w:pPr>
            <w:r w:rsidRPr="003A7C61">
              <w:rPr>
                <w:sz w:val="20"/>
                <w:szCs w:val="20"/>
              </w:rPr>
              <w:t>1.8%</w:t>
            </w:r>
          </w:p>
        </w:tc>
      </w:tr>
      <w:tr w:rsidR="007A6A1A" w:rsidRPr="00167CB8" w14:paraId="67C21EBD" w14:textId="77777777" w:rsidTr="005E5342">
        <w:trPr>
          <w:trHeight w:val="343"/>
        </w:trPr>
        <w:tc>
          <w:tcPr>
            <w:tcW w:w="3397" w:type="dxa"/>
            <w:tcBorders>
              <w:top w:val="nil"/>
              <w:left w:val="single" w:sz="4" w:space="0" w:color="auto"/>
              <w:bottom w:val="nil"/>
              <w:right w:val="nil"/>
            </w:tcBorders>
            <w:noWrap/>
            <w:vAlign w:val="bottom"/>
            <w:hideMark/>
          </w:tcPr>
          <w:p w14:paraId="0C76A974" w14:textId="77777777" w:rsidR="007A6A1A" w:rsidRPr="003A7C61" w:rsidRDefault="007A6A1A" w:rsidP="003A7C61">
            <w:pPr>
              <w:spacing w:after="0" w:line="240" w:lineRule="auto"/>
              <w:rPr>
                <w:sz w:val="20"/>
                <w:szCs w:val="20"/>
              </w:rPr>
            </w:pPr>
            <w:r w:rsidRPr="003A7C61">
              <w:rPr>
                <w:sz w:val="20"/>
                <w:szCs w:val="20"/>
              </w:rPr>
              <w:t>Other services</w:t>
            </w:r>
          </w:p>
        </w:tc>
        <w:tc>
          <w:tcPr>
            <w:tcW w:w="1033" w:type="dxa"/>
            <w:tcBorders>
              <w:top w:val="nil"/>
              <w:left w:val="nil"/>
              <w:bottom w:val="nil"/>
              <w:right w:val="nil"/>
            </w:tcBorders>
            <w:noWrap/>
            <w:vAlign w:val="bottom"/>
            <w:hideMark/>
          </w:tcPr>
          <w:p w14:paraId="3F4F7931" w14:textId="77777777" w:rsidR="007A6A1A" w:rsidRPr="003A7C61" w:rsidRDefault="007A6A1A" w:rsidP="003A7C61">
            <w:pPr>
              <w:spacing w:after="0" w:line="240" w:lineRule="auto"/>
              <w:rPr>
                <w:sz w:val="20"/>
                <w:szCs w:val="20"/>
              </w:rPr>
            </w:pPr>
            <w:r w:rsidRPr="003A7C61">
              <w:rPr>
                <w:sz w:val="20"/>
                <w:szCs w:val="20"/>
              </w:rPr>
              <w:t>2.0%</w:t>
            </w:r>
          </w:p>
        </w:tc>
        <w:tc>
          <w:tcPr>
            <w:tcW w:w="928" w:type="dxa"/>
            <w:tcBorders>
              <w:top w:val="nil"/>
              <w:left w:val="nil"/>
              <w:bottom w:val="nil"/>
              <w:right w:val="nil"/>
            </w:tcBorders>
            <w:noWrap/>
            <w:vAlign w:val="bottom"/>
            <w:hideMark/>
          </w:tcPr>
          <w:p w14:paraId="66E93387" w14:textId="77777777" w:rsidR="007A6A1A" w:rsidRPr="003A7C61" w:rsidRDefault="007A6A1A" w:rsidP="003A7C61">
            <w:pPr>
              <w:spacing w:after="0" w:line="240" w:lineRule="auto"/>
              <w:rPr>
                <w:sz w:val="20"/>
                <w:szCs w:val="20"/>
              </w:rPr>
            </w:pPr>
            <w:r w:rsidRPr="003A7C61">
              <w:rPr>
                <w:sz w:val="20"/>
                <w:szCs w:val="20"/>
              </w:rPr>
              <w:t>2.0%</w:t>
            </w:r>
          </w:p>
        </w:tc>
        <w:tc>
          <w:tcPr>
            <w:tcW w:w="860" w:type="dxa"/>
            <w:tcBorders>
              <w:top w:val="nil"/>
              <w:left w:val="nil"/>
              <w:bottom w:val="nil"/>
              <w:right w:val="nil"/>
            </w:tcBorders>
            <w:noWrap/>
            <w:vAlign w:val="bottom"/>
            <w:hideMark/>
          </w:tcPr>
          <w:p w14:paraId="1B6A9D02" w14:textId="77777777" w:rsidR="007A6A1A" w:rsidRPr="003A7C61" w:rsidRDefault="007A6A1A" w:rsidP="003A7C61">
            <w:pPr>
              <w:spacing w:after="0" w:line="240" w:lineRule="auto"/>
              <w:rPr>
                <w:sz w:val="20"/>
                <w:szCs w:val="20"/>
              </w:rPr>
            </w:pPr>
            <w:r w:rsidRPr="003A7C61">
              <w:rPr>
                <w:sz w:val="20"/>
                <w:szCs w:val="20"/>
              </w:rPr>
              <w:t>4.1%</w:t>
            </w:r>
          </w:p>
        </w:tc>
        <w:tc>
          <w:tcPr>
            <w:tcW w:w="860" w:type="dxa"/>
            <w:tcBorders>
              <w:top w:val="nil"/>
              <w:left w:val="nil"/>
              <w:bottom w:val="nil"/>
              <w:right w:val="nil"/>
            </w:tcBorders>
            <w:noWrap/>
            <w:vAlign w:val="bottom"/>
            <w:hideMark/>
          </w:tcPr>
          <w:p w14:paraId="64161CD5" w14:textId="77777777" w:rsidR="007A6A1A" w:rsidRPr="003A7C61" w:rsidRDefault="007A6A1A" w:rsidP="003A7C61">
            <w:pPr>
              <w:spacing w:after="0" w:line="240" w:lineRule="auto"/>
              <w:rPr>
                <w:sz w:val="20"/>
                <w:szCs w:val="20"/>
              </w:rPr>
            </w:pPr>
            <w:r w:rsidRPr="003A7C61">
              <w:rPr>
                <w:sz w:val="20"/>
                <w:szCs w:val="20"/>
              </w:rPr>
              <w:t>4.0%</w:t>
            </w:r>
          </w:p>
        </w:tc>
        <w:tc>
          <w:tcPr>
            <w:tcW w:w="1105" w:type="dxa"/>
            <w:tcBorders>
              <w:top w:val="nil"/>
              <w:left w:val="nil"/>
              <w:bottom w:val="nil"/>
              <w:right w:val="nil"/>
            </w:tcBorders>
            <w:noWrap/>
            <w:vAlign w:val="bottom"/>
            <w:hideMark/>
          </w:tcPr>
          <w:p w14:paraId="3F5CFFAE" w14:textId="77777777" w:rsidR="007A6A1A" w:rsidRPr="003A7C61" w:rsidRDefault="007A6A1A" w:rsidP="003A7C61">
            <w:pPr>
              <w:spacing w:after="0" w:line="240" w:lineRule="auto"/>
              <w:rPr>
                <w:sz w:val="20"/>
                <w:szCs w:val="20"/>
              </w:rPr>
            </w:pPr>
            <w:r w:rsidRPr="003A7C61">
              <w:rPr>
                <w:sz w:val="20"/>
                <w:szCs w:val="20"/>
              </w:rPr>
              <w:t>3.7%</w:t>
            </w:r>
          </w:p>
        </w:tc>
        <w:tc>
          <w:tcPr>
            <w:tcW w:w="1105" w:type="dxa"/>
            <w:tcBorders>
              <w:top w:val="nil"/>
              <w:left w:val="nil"/>
              <w:bottom w:val="nil"/>
              <w:right w:val="single" w:sz="4" w:space="0" w:color="auto"/>
            </w:tcBorders>
            <w:noWrap/>
            <w:vAlign w:val="bottom"/>
            <w:hideMark/>
          </w:tcPr>
          <w:p w14:paraId="6DC98A0E" w14:textId="77777777" w:rsidR="007A6A1A" w:rsidRPr="003A7C61" w:rsidRDefault="007A6A1A" w:rsidP="003A7C61">
            <w:pPr>
              <w:spacing w:after="0" w:line="240" w:lineRule="auto"/>
              <w:rPr>
                <w:sz w:val="20"/>
                <w:szCs w:val="20"/>
              </w:rPr>
            </w:pPr>
            <w:r w:rsidRPr="003A7C61">
              <w:rPr>
                <w:sz w:val="20"/>
                <w:szCs w:val="20"/>
              </w:rPr>
              <w:t>3.0%</w:t>
            </w:r>
          </w:p>
        </w:tc>
      </w:tr>
      <w:tr w:rsidR="007A6A1A" w:rsidRPr="00167CB8" w14:paraId="77D59693" w14:textId="77777777" w:rsidTr="005E5342">
        <w:trPr>
          <w:trHeight w:val="343"/>
        </w:trPr>
        <w:tc>
          <w:tcPr>
            <w:tcW w:w="3397" w:type="dxa"/>
            <w:tcBorders>
              <w:top w:val="nil"/>
              <w:left w:val="single" w:sz="4" w:space="0" w:color="auto"/>
              <w:bottom w:val="single" w:sz="4" w:space="0" w:color="auto"/>
              <w:right w:val="nil"/>
            </w:tcBorders>
            <w:noWrap/>
            <w:vAlign w:val="bottom"/>
            <w:hideMark/>
          </w:tcPr>
          <w:p w14:paraId="1D2228FB" w14:textId="77777777" w:rsidR="007A6A1A" w:rsidRPr="003A7C61" w:rsidRDefault="007A6A1A" w:rsidP="003A7C61">
            <w:pPr>
              <w:spacing w:after="0" w:line="240" w:lineRule="auto"/>
              <w:rPr>
                <w:sz w:val="20"/>
                <w:szCs w:val="20"/>
              </w:rPr>
            </w:pPr>
            <w:r w:rsidRPr="003A7C61">
              <w:rPr>
                <w:sz w:val="20"/>
                <w:szCs w:val="20"/>
              </w:rPr>
              <w:t>Column total</w:t>
            </w:r>
          </w:p>
        </w:tc>
        <w:tc>
          <w:tcPr>
            <w:tcW w:w="1033" w:type="dxa"/>
            <w:tcBorders>
              <w:top w:val="nil"/>
              <w:left w:val="nil"/>
              <w:bottom w:val="single" w:sz="4" w:space="0" w:color="auto"/>
              <w:right w:val="nil"/>
            </w:tcBorders>
            <w:noWrap/>
            <w:vAlign w:val="bottom"/>
            <w:hideMark/>
          </w:tcPr>
          <w:p w14:paraId="428AE360" w14:textId="77777777" w:rsidR="007A6A1A" w:rsidRPr="003A7C61" w:rsidRDefault="007A6A1A" w:rsidP="003A7C61">
            <w:pPr>
              <w:spacing w:after="0" w:line="240" w:lineRule="auto"/>
              <w:rPr>
                <w:sz w:val="20"/>
                <w:szCs w:val="20"/>
              </w:rPr>
            </w:pPr>
            <w:r w:rsidRPr="003A7C61">
              <w:rPr>
                <w:sz w:val="20"/>
                <w:szCs w:val="20"/>
              </w:rPr>
              <w:t>100.0%</w:t>
            </w:r>
          </w:p>
        </w:tc>
        <w:tc>
          <w:tcPr>
            <w:tcW w:w="928" w:type="dxa"/>
            <w:tcBorders>
              <w:top w:val="nil"/>
              <w:left w:val="nil"/>
              <w:bottom w:val="single" w:sz="4" w:space="0" w:color="auto"/>
              <w:right w:val="nil"/>
            </w:tcBorders>
            <w:noWrap/>
            <w:vAlign w:val="bottom"/>
            <w:hideMark/>
          </w:tcPr>
          <w:p w14:paraId="6541AA92" w14:textId="77777777" w:rsidR="007A6A1A" w:rsidRPr="003A7C61" w:rsidRDefault="007A6A1A" w:rsidP="003A7C61">
            <w:pPr>
              <w:spacing w:after="0" w:line="240" w:lineRule="auto"/>
              <w:rPr>
                <w:sz w:val="20"/>
                <w:szCs w:val="20"/>
              </w:rPr>
            </w:pPr>
            <w:r w:rsidRPr="003A7C61">
              <w:rPr>
                <w:sz w:val="20"/>
                <w:szCs w:val="20"/>
              </w:rPr>
              <w:t>100.0%</w:t>
            </w:r>
          </w:p>
        </w:tc>
        <w:tc>
          <w:tcPr>
            <w:tcW w:w="860" w:type="dxa"/>
            <w:tcBorders>
              <w:top w:val="nil"/>
              <w:left w:val="nil"/>
              <w:bottom w:val="single" w:sz="4" w:space="0" w:color="auto"/>
              <w:right w:val="nil"/>
            </w:tcBorders>
            <w:noWrap/>
            <w:vAlign w:val="bottom"/>
            <w:hideMark/>
          </w:tcPr>
          <w:p w14:paraId="233994EF" w14:textId="77777777" w:rsidR="007A6A1A" w:rsidRPr="003A7C61" w:rsidRDefault="007A6A1A" w:rsidP="003A7C61">
            <w:pPr>
              <w:spacing w:after="0" w:line="240" w:lineRule="auto"/>
              <w:rPr>
                <w:sz w:val="20"/>
                <w:szCs w:val="20"/>
              </w:rPr>
            </w:pPr>
            <w:r w:rsidRPr="003A7C61">
              <w:rPr>
                <w:sz w:val="20"/>
                <w:szCs w:val="20"/>
              </w:rPr>
              <w:t>100.0%</w:t>
            </w:r>
          </w:p>
        </w:tc>
        <w:tc>
          <w:tcPr>
            <w:tcW w:w="860" w:type="dxa"/>
            <w:tcBorders>
              <w:top w:val="nil"/>
              <w:left w:val="nil"/>
              <w:bottom w:val="single" w:sz="4" w:space="0" w:color="auto"/>
              <w:right w:val="nil"/>
            </w:tcBorders>
            <w:noWrap/>
            <w:vAlign w:val="bottom"/>
            <w:hideMark/>
          </w:tcPr>
          <w:p w14:paraId="73134BE5" w14:textId="77777777" w:rsidR="007A6A1A" w:rsidRPr="003A7C61" w:rsidRDefault="007A6A1A" w:rsidP="003A7C61">
            <w:pPr>
              <w:spacing w:after="0" w:line="240" w:lineRule="auto"/>
              <w:rPr>
                <w:sz w:val="20"/>
                <w:szCs w:val="20"/>
              </w:rPr>
            </w:pPr>
            <w:r w:rsidRPr="003A7C61">
              <w:rPr>
                <w:sz w:val="20"/>
                <w:szCs w:val="20"/>
              </w:rPr>
              <w:t>100.0%</w:t>
            </w:r>
          </w:p>
        </w:tc>
        <w:tc>
          <w:tcPr>
            <w:tcW w:w="1105" w:type="dxa"/>
            <w:tcBorders>
              <w:top w:val="nil"/>
              <w:left w:val="nil"/>
              <w:bottom w:val="single" w:sz="4" w:space="0" w:color="auto"/>
              <w:right w:val="nil"/>
            </w:tcBorders>
            <w:noWrap/>
            <w:vAlign w:val="bottom"/>
            <w:hideMark/>
          </w:tcPr>
          <w:p w14:paraId="46537D70" w14:textId="77777777" w:rsidR="007A6A1A" w:rsidRPr="003A7C61" w:rsidRDefault="007A6A1A" w:rsidP="003A7C61">
            <w:pPr>
              <w:spacing w:after="0" w:line="240" w:lineRule="auto"/>
              <w:rPr>
                <w:sz w:val="20"/>
                <w:szCs w:val="20"/>
              </w:rPr>
            </w:pPr>
            <w:r w:rsidRPr="003A7C61">
              <w:rPr>
                <w:sz w:val="20"/>
                <w:szCs w:val="20"/>
              </w:rPr>
              <w:t>100.0%</w:t>
            </w:r>
          </w:p>
        </w:tc>
        <w:tc>
          <w:tcPr>
            <w:tcW w:w="1105" w:type="dxa"/>
            <w:tcBorders>
              <w:top w:val="nil"/>
              <w:left w:val="nil"/>
              <w:bottom w:val="single" w:sz="4" w:space="0" w:color="auto"/>
              <w:right w:val="single" w:sz="4" w:space="0" w:color="auto"/>
            </w:tcBorders>
            <w:noWrap/>
            <w:vAlign w:val="bottom"/>
            <w:hideMark/>
          </w:tcPr>
          <w:p w14:paraId="0C00053C" w14:textId="77777777" w:rsidR="007A6A1A" w:rsidRPr="003A7C61" w:rsidRDefault="007A6A1A" w:rsidP="003A7C61">
            <w:pPr>
              <w:spacing w:after="0" w:line="240" w:lineRule="auto"/>
              <w:rPr>
                <w:sz w:val="20"/>
                <w:szCs w:val="20"/>
              </w:rPr>
            </w:pPr>
            <w:r w:rsidRPr="003A7C61">
              <w:rPr>
                <w:sz w:val="20"/>
                <w:szCs w:val="20"/>
              </w:rPr>
              <w:t>100.0%</w:t>
            </w:r>
          </w:p>
        </w:tc>
      </w:tr>
      <w:tr w:rsidR="007A6A1A" w:rsidRPr="00167CB8" w14:paraId="7AFEC5CF" w14:textId="77777777" w:rsidTr="005E5342">
        <w:trPr>
          <w:trHeight w:val="343"/>
        </w:trPr>
        <w:tc>
          <w:tcPr>
            <w:tcW w:w="3397" w:type="dxa"/>
            <w:tcBorders>
              <w:top w:val="single" w:sz="4" w:space="0" w:color="auto"/>
              <w:left w:val="single" w:sz="4" w:space="0" w:color="auto"/>
              <w:bottom w:val="single" w:sz="4" w:space="0" w:color="auto"/>
              <w:right w:val="nil"/>
            </w:tcBorders>
            <w:noWrap/>
            <w:vAlign w:val="bottom"/>
            <w:hideMark/>
          </w:tcPr>
          <w:p w14:paraId="57FE860E" w14:textId="77777777" w:rsidR="007A6A1A" w:rsidRPr="003A7C61" w:rsidRDefault="007A6A1A" w:rsidP="003A7C61">
            <w:pPr>
              <w:spacing w:after="0" w:line="240" w:lineRule="auto"/>
              <w:rPr>
                <w:sz w:val="20"/>
                <w:szCs w:val="20"/>
              </w:rPr>
            </w:pPr>
            <w:r w:rsidRPr="003A7C61">
              <w:rPr>
                <w:sz w:val="20"/>
                <w:szCs w:val="20"/>
              </w:rPr>
              <w:t>Share of total employees covered by method of pay setting, by year</w:t>
            </w:r>
          </w:p>
        </w:tc>
        <w:tc>
          <w:tcPr>
            <w:tcW w:w="1033" w:type="dxa"/>
            <w:tcBorders>
              <w:top w:val="single" w:sz="4" w:space="0" w:color="auto"/>
              <w:left w:val="nil"/>
              <w:bottom w:val="single" w:sz="4" w:space="0" w:color="auto"/>
              <w:right w:val="nil"/>
            </w:tcBorders>
            <w:noWrap/>
            <w:vAlign w:val="bottom"/>
            <w:hideMark/>
          </w:tcPr>
          <w:p w14:paraId="5A699C47" w14:textId="77777777" w:rsidR="007A6A1A" w:rsidRPr="003A7C61" w:rsidRDefault="007A6A1A" w:rsidP="003A7C61">
            <w:pPr>
              <w:spacing w:after="0" w:line="240" w:lineRule="auto"/>
              <w:rPr>
                <w:sz w:val="20"/>
                <w:szCs w:val="20"/>
              </w:rPr>
            </w:pPr>
            <w:r w:rsidRPr="003A7C61">
              <w:rPr>
                <w:sz w:val="20"/>
                <w:szCs w:val="20"/>
              </w:rPr>
              <w:t>32.0%</w:t>
            </w:r>
          </w:p>
        </w:tc>
        <w:tc>
          <w:tcPr>
            <w:tcW w:w="928" w:type="dxa"/>
            <w:tcBorders>
              <w:top w:val="single" w:sz="4" w:space="0" w:color="auto"/>
              <w:left w:val="nil"/>
              <w:bottom w:val="single" w:sz="4" w:space="0" w:color="auto"/>
              <w:right w:val="nil"/>
            </w:tcBorders>
            <w:noWrap/>
            <w:vAlign w:val="bottom"/>
            <w:hideMark/>
          </w:tcPr>
          <w:p w14:paraId="209D3DCA" w14:textId="77777777" w:rsidR="007A6A1A" w:rsidRPr="003A7C61" w:rsidRDefault="007A6A1A" w:rsidP="003A7C61">
            <w:pPr>
              <w:spacing w:after="0" w:line="240" w:lineRule="auto"/>
              <w:rPr>
                <w:sz w:val="20"/>
                <w:szCs w:val="20"/>
              </w:rPr>
            </w:pPr>
            <w:r w:rsidRPr="003A7C61">
              <w:rPr>
                <w:sz w:val="20"/>
                <w:szCs w:val="20"/>
              </w:rPr>
              <w:t>31.6%</w:t>
            </w:r>
          </w:p>
        </w:tc>
        <w:tc>
          <w:tcPr>
            <w:tcW w:w="860" w:type="dxa"/>
            <w:tcBorders>
              <w:top w:val="single" w:sz="4" w:space="0" w:color="auto"/>
              <w:left w:val="nil"/>
              <w:bottom w:val="single" w:sz="4" w:space="0" w:color="auto"/>
              <w:right w:val="nil"/>
            </w:tcBorders>
            <w:noWrap/>
            <w:vAlign w:val="bottom"/>
            <w:hideMark/>
          </w:tcPr>
          <w:p w14:paraId="4B583ABC" w14:textId="77777777" w:rsidR="007A6A1A" w:rsidRPr="003A7C61" w:rsidRDefault="007A6A1A" w:rsidP="003A7C61">
            <w:pPr>
              <w:spacing w:after="0" w:line="240" w:lineRule="auto"/>
              <w:rPr>
                <w:sz w:val="20"/>
                <w:szCs w:val="20"/>
              </w:rPr>
            </w:pPr>
            <w:r w:rsidRPr="003A7C61">
              <w:rPr>
                <w:sz w:val="20"/>
                <w:szCs w:val="20"/>
              </w:rPr>
              <w:t>37.2%</w:t>
            </w:r>
          </w:p>
        </w:tc>
        <w:tc>
          <w:tcPr>
            <w:tcW w:w="860" w:type="dxa"/>
            <w:tcBorders>
              <w:top w:val="single" w:sz="4" w:space="0" w:color="auto"/>
              <w:left w:val="nil"/>
              <w:bottom w:val="single" w:sz="4" w:space="0" w:color="auto"/>
              <w:right w:val="nil"/>
            </w:tcBorders>
            <w:noWrap/>
            <w:vAlign w:val="bottom"/>
            <w:hideMark/>
          </w:tcPr>
          <w:p w14:paraId="12D21BA9" w14:textId="77777777" w:rsidR="007A6A1A" w:rsidRPr="003A7C61" w:rsidRDefault="007A6A1A" w:rsidP="003A7C61">
            <w:pPr>
              <w:spacing w:after="0" w:line="240" w:lineRule="auto"/>
              <w:rPr>
                <w:sz w:val="20"/>
                <w:szCs w:val="20"/>
              </w:rPr>
            </w:pPr>
            <w:r w:rsidRPr="003A7C61">
              <w:rPr>
                <w:sz w:val="20"/>
                <w:szCs w:val="20"/>
              </w:rPr>
              <w:t>38.7%</w:t>
            </w:r>
          </w:p>
        </w:tc>
        <w:tc>
          <w:tcPr>
            <w:tcW w:w="1105" w:type="dxa"/>
            <w:tcBorders>
              <w:top w:val="single" w:sz="4" w:space="0" w:color="auto"/>
              <w:left w:val="nil"/>
              <w:bottom w:val="single" w:sz="4" w:space="0" w:color="auto"/>
              <w:right w:val="nil"/>
            </w:tcBorders>
            <w:noWrap/>
            <w:vAlign w:val="bottom"/>
            <w:hideMark/>
          </w:tcPr>
          <w:p w14:paraId="217BE250" w14:textId="77777777" w:rsidR="007A6A1A" w:rsidRPr="003A7C61" w:rsidRDefault="007A6A1A" w:rsidP="003A7C61">
            <w:pPr>
              <w:spacing w:after="0" w:line="240" w:lineRule="auto"/>
              <w:rPr>
                <w:sz w:val="20"/>
                <w:szCs w:val="20"/>
              </w:rPr>
            </w:pPr>
            <w:r w:rsidRPr="003A7C61">
              <w:rPr>
                <w:sz w:val="20"/>
                <w:szCs w:val="20"/>
              </w:rPr>
              <w:t>26.2%</w:t>
            </w:r>
          </w:p>
        </w:tc>
        <w:tc>
          <w:tcPr>
            <w:tcW w:w="1105" w:type="dxa"/>
            <w:tcBorders>
              <w:top w:val="single" w:sz="4" w:space="0" w:color="auto"/>
              <w:left w:val="nil"/>
              <w:bottom w:val="single" w:sz="4" w:space="0" w:color="auto"/>
              <w:right w:val="single" w:sz="4" w:space="0" w:color="auto"/>
            </w:tcBorders>
            <w:noWrap/>
            <w:vAlign w:val="bottom"/>
            <w:hideMark/>
          </w:tcPr>
          <w:p w14:paraId="28A5C838" w14:textId="77777777" w:rsidR="007A6A1A" w:rsidRPr="003A7C61" w:rsidRDefault="007A6A1A" w:rsidP="003A7C61">
            <w:pPr>
              <w:spacing w:after="0" w:line="240" w:lineRule="auto"/>
              <w:rPr>
                <w:sz w:val="20"/>
                <w:szCs w:val="20"/>
              </w:rPr>
            </w:pPr>
            <w:r w:rsidRPr="003A7C61">
              <w:rPr>
                <w:sz w:val="20"/>
                <w:szCs w:val="20"/>
              </w:rPr>
              <w:t>24.8%</w:t>
            </w:r>
          </w:p>
        </w:tc>
      </w:tr>
    </w:tbl>
    <w:p w14:paraId="0F1E2E7A" w14:textId="77777777" w:rsidR="00C87E4A" w:rsidRPr="00167CB8" w:rsidRDefault="007A6A1A" w:rsidP="00C87E4A">
      <w:pPr>
        <w:pStyle w:val="Source"/>
        <w:rPr>
          <w:b/>
          <w:bCs/>
        </w:rPr>
      </w:pPr>
      <w:r w:rsidRPr="00167CB8">
        <w:rPr>
          <w:b/>
          <w:bCs/>
        </w:rPr>
        <w:t xml:space="preserve">Notes: </w:t>
      </w:r>
    </w:p>
    <w:p w14:paraId="327EB132" w14:textId="2D8A0BB5" w:rsidR="00C87E4A" w:rsidRPr="00167CB8" w:rsidRDefault="007A6A1A" w:rsidP="00C87E4A">
      <w:pPr>
        <w:pStyle w:val="Source"/>
      </w:pPr>
      <w:r w:rsidRPr="00167CB8">
        <w:t xml:space="preserve">1. </w:t>
      </w:r>
      <w:r w:rsidR="00C87E4A" w:rsidRPr="00167CB8">
        <w:t>S</w:t>
      </w:r>
      <w:r w:rsidRPr="00167CB8">
        <w:t>ample consists of all employees</w:t>
      </w:r>
      <w:r w:rsidR="00C87E4A" w:rsidRPr="00167CB8">
        <w:t>.</w:t>
      </w:r>
    </w:p>
    <w:p w14:paraId="0D3B8072" w14:textId="452B8AF5" w:rsidR="00C87E4A" w:rsidRPr="00167CB8" w:rsidRDefault="007A6A1A" w:rsidP="00C87E4A">
      <w:pPr>
        <w:pStyle w:val="Source"/>
      </w:pPr>
      <w:r w:rsidRPr="00167CB8">
        <w:t xml:space="preserve">2. Information concerning those paid by a combination of pay methods is not included. In 2012 and 2022 the shares of employees in the combined group were, respectively, 4.6% and 5.0%. </w:t>
      </w:r>
    </w:p>
    <w:p w14:paraId="1AF7A29E" w14:textId="107FADCE" w:rsidR="007A6A1A" w:rsidRPr="00167CB8" w:rsidRDefault="007A6A1A" w:rsidP="00C87E4A">
      <w:pPr>
        <w:pStyle w:val="Source"/>
      </w:pPr>
      <w:r w:rsidRPr="00167CB8">
        <w:rPr>
          <w:b/>
          <w:bCs/>
        </w:rPr>
        <w:t>Source:</w:t>
      </w:r>
      <w:r w:rsidRPr="00167CB8">
        <w:t xml:space="preserve"> HILDA waves 12 and 22. </w:t>
      </w:r>
    </w:p>
    <w:p w14:paraId="3CF7DAAA" w14:textId="09B247E6" w:rsidR="007A6A1A" w:rsidRPr="00167CB8" w:rsidRDefault="007A6A1A" w:rsidP="00C87E4A">
      <w:pPr>
        <w:pStyle w:val="Source"/>
      </w:pPr>
      <w:r w:rsidRPr="00167CB8">
        <w:rPr>
          <w:b/>
          <w:bCs/>
        </w:rPr>
        <w:t>Alt-text:</w:t>
      </w:r>
      <w:r w:rsidRPr="00167CB8">
        <w:t xml:space="preserve"> A table showing the industry distribution of employees by method of pay setting. Comparisons are made between 2012 and 2022. Focusing on award reliant workers. In 2012</w:t>
      </w:r>
      <w:r w:rsidR="00C87E4A" w:rsidRPr="00167CB8">
        <w:t>,</w:t>
      </w:r>
      <w:r w:rsidRPr="00167CB8">
        <w:t xml:space="preserve"> 20.4% of award</w:t>
      </w:r>
      <w:r w:rsidR="00C87E4A" w:rsidRPr="00167CB8">
        <w:t>-</w:t>
      </w:r>
      <w:r w:rsidRPr="00167CB8">
        <w:t xml:space="preserve">reliant workers were in the </w:t>
      </w:r>
      <w:r w:rsidR="00C87E4A" w:rsidRPr="00167CB8">
        <w:t>h</w:t>
      </w:r>
      <w:r w:rsidRPr="00167CB8">
        <w:t xml:space="preserve">ealth care and social assistance sector. By 2022 this share had increased to 22.7%. </w:t>
      </w:r>
    </w:p>
    <w:p w14:paraId="295B4B57" w14:textId="0BC5231F" w:rsidR="007A6A1A" w:rsidRPr="00167CB8" w:rsidRDefault="007A6A1A" w:rsidP="007A6A1A">
      <w:pPr>
        <w:spacing w:after="160"/>
      </w:pPr>
      <w:r w:rsidRPr="00167CB8">
        <w:lastRenderedPageBreak/>
        <w:t xml:space="preserve">Employees paid exactly by the </w:t>
      </w:r>
      <w:r w:rsidR="00C87E4A" w:rsidRPr="00167CB8">
        <w:t>a</w:t>
      </w:r>
      <w:r w:rsidRPr="00167CB8">
        <w:t xml:space="preserve">ward are typically found in the </w:t>
      </w:r>
      <w:r w:rsidR="00C87E4A" w:rsidRPr="00167CB8">
        <w:t>h</w:t>
      </w:r>
      <w:r w:rsidRPr="00167CB8">
        <w:t xml:space="preserve">ealth care and social assistance sector, </w:t>
      </w:r>
      <w:r w:rsidR="00C87E4A" w:rsidRPr="00167CB8">
        <w:t>r</w:t>
      </w:r>
      <w:r w:rsidRPr="00167CB8">
        <w:t xml:space="preserve">etail trade </w:t>
      </w:r>
      <w:r w:rsidR="00C87E4A" w:rsidRPr="00167CB8">
        <w:t xml:space="preserve">sector </w:t>
      </w:r>
      <w:r w:rsidRPr="00167CB8">
        <w:t xml:space="preserve">and </w:t>
      </w:r>
      <w:r w:rsidR="00C87E4A" w:rsidRPr="00167CB8">
        <w:t>a</w:t>
      </w:r>
      <w:r w:rsidRPr="00167CB8">
        <w:t>ccommodation and food services</w:t>
      </w:r>
      <w:r w:rsidR="00C87E4A" w:rsidRPr="00167CB8">
        <w:t xml:space="preserve"> sector</w:t>
      </w:r>
      <w:r w:rsidRPr="00167CB8">
        <w:t xml:space="preserve">. Indeed, estimates by the FWC suggest that award-reliant employees are found in </w:t>
      </w:r>
      <w:r w:rsidR="00C87E4A" w:rsidRPr="00167CB8">
        <w:t xml:space="preserve">4 </w:t>
      </w:r>
      <w:r w:rsidRPr="00167CB8">
        <w:t xml:space="preserve">main sectors: </w:t>
      </w:r>
      <w:r w:rsidR="00C87E4A" w:rsidRPr="00167CB8">
        <w:t>a</w:t>
      </w:r>
      <w:r w:rsidRPr="00167CB8">
        <w:t xml:space="preserve">ccommodation and food services, </w:t>
      </w:r>
      <w:r w:rsidR="00C87E4A" w:rsidRPr="00167CB8">
        <w:t>h</w:t>
      </w:r>
      <w:r w:rsidRPr="00167CB8">
        <w:t xml:space="preserve">ealth care and social assistance, </w:t>
      </w:r>
      <w:r w:rsidR="00C87E4A" w:rsidRPr="00167CB8">
        <w:t>r</w:t>
      </w:r>
      <w:r w:rsidRPr="00167CB8">
        <w:t>etail trade</w:t>
      </w:r>
      <w:r w:rsidR="00C87E4A" w:rsidRPr="00167CB8">
        <w:t>,</w:t>
      </w:r>
      <w:r w:rsidRPr="00167CB8">
        <w:t xml:space="preserve"> and </w:t>
      </w:r>
      <w:r w:rsidR="00C87E4A" w:rsidRPr="00167CB8">
        <w:t>a</w:t>
      </w:r>
      <w:r w:rsidRPr="00167CB8">
        <w:t xml:space="preserve">dministrative and support services. The </w:t>
      </w:r>
      <w:r w:rsidR="00C87E4A" w:rsidRPr="00167CB8">
        <w:t xml:space="preserve">4 </w:t>
      </w:r>
      <w:r w:rsidRPr="00167CB8">
        <w:t>sectors are said to account for over 65% of all modern award-reliant employees. The FWC also notes that over 63% of all modern award-reliant employees are covered by just 10 of the 121 modern awards that are currently in operation. In other words</w:t>
      </w:r>
      <w:r w:rsidR="00C87E4A" w:rsidRPr="00167CB8">
        <w:t>,</w:t>
      </w:r>
      <w:r w:rsidRPr="00167CB8">
        <w:t xml:space="preserve"> award-reliant employees are typically concentrated in just a few sectors and typically covered by just a few set of awards.</w:t>
      </w:r>
      <w:r w:rsidRPr="00167CB8">
        <w:rPr>
          <w:vertAlign w:val="superscript"/>
        </w:rPr>
        <w:footnoteReference w:id="1099"/>
      </w:r>
    </w:p>
    <w:p w14:paraId="2E661ED9" w14:textId="203FEDF6" w:rsidR="007A6A1A" w:rsidRPr="00167CB8" w:rsidRDefault="009D6BCA" w:rsidP="007A6A1A">
      <w:pPr>
        <w:spacing w:after="160"/>
      </w:pPr>
      <w:r w:rsidRPr="00167CB8">
        <w:t xml:space="preserve">Table </w:t>
      </w:r>
      <w:r w:rsidR="00776BA5">
        <w:t xml:space="preserve">51 </w:t>
      </w:r>
      <w:r w:rsidR="007A6A1A" w:rsidRPr="00167CB8">
        <w:t>draws on HILDA data from waves 12 to 22 and regression analysis to examine the association between method of pay setting and wages while controlling for a range of other factors known to affect wages. The sample is restricted to persons employed full-time in their main job and the dependent variable is the natural logarithm of weekly wages in the main job in 2022 prices. A prime reason for focusing only on employees working full-time in their main job is that it helps minimise some of the confounding effects that may be associated with underemployment.</w:t>
      </w:r>
      <w:r w:rsidR="007A6A1A" w:rsidRPr="00167CB8">
        <w:rPr>
          <w:vertAlign w:val="superscript"/>
        </w:rPr>
        <w:footnoteReference w:id="1100"/>
      </w:r>
      <w:r w:rsidR="007A6A1A" w:rsidRPr="00167CB8">
        <w:t xml:space="preserve"> </w:t>
      </w:r>
    </w:p>
    <w:p w14:paraId="1EBA474C" w14:textId="182DE099" w:rsidR="007A6A1A" w:rsidRPr="00167CB8" w:rsidRDefault="007A6A1A" w:rsidP="007A6A1A">
      <w:pPr>
        <w:spacing w:after="160"/>
      </w:pPr>
      <w:r w:rsidRPr="00167CB8">
        <w:t xml:space="preserve">In addition to controlling for method of pay setting, the wage regression controls for other characteristics known to affect wages (e.g. qualifications, trade union membership, geographic location, migrant status). The reference group consists of employees who hold a permanent appointment and who are paid exactly by the </w:t>
      </w:r>
      <w:r w:rsidR="00C87E4A" w:rsidRPr="00167CB8">
        <w:t>a</w:t>
      </w:r>
      <w:r w:rsidRPr="00167CB8">
        <w:t xml:space="preserve">ward. The coefficients on the ‘collective agreement’ variable in columns 1 and 2 show that, relative to those paid exactly according to the award, those covered by a collective agreement earn 13.9% more. The wage premium (or penalty) is given by a transformation of the coefficient as follows: [exp(coef)-1]*100. Those covered by an individual agreement or arrangement earn around 15% more than those paid exactly according to the award. </w:t>
      </w:r>
    </w:p>
    <w:p w14:paraId="26BBEE19" w14:textId="30BB5B9E" w:rsidR="007A6A1A" w:rsidRPr="00167CB8" w:rsidRDefault="007A6A1A" w:rsidP="007A6A1A">
      <w:pPr>
        <w:spacing w:after="160"/>
      </w:pPr>
      <w:r w:rsidRPr="00167CB8">
        <w:t>The estimates in column 1 also show that men on a fixed</w:t>
      </w:r>
      <w:r w:rsidR="00C87E4A" w:rsidRPr="00167CB8">
        <w:t>-</w:t>
      </w:r>
      <w:r w:rsidRPr="00167CB8">
        <w:t>term contract earn around 14% more per week than their permanent contracts and there is no significant difference in the earnings of men engaged on a permanent contract and those working on a casual arrangement.</w:t>
      </w:r>
      <w:r w:rsidRPr="00167CB8">
        <w:rPr>
          <w:vertAlign w:val="superscript"/>
        </w:rPr>
        <w:footnoteReference w:id="1101"/>
      </w:r>
      <w:r w:rsidRPr="00167CB8">
        <w:t xml:space="preserve"> Column 2 estimates for women employed full-time shows that those on a casual contract earn around 21% less (exp[-0.24)-1*100) than their counterparts on a permanent contract. </w:t>
      </w:r>
    </w:p>
    <w:p w14:paraId="12A9EA0F" w14:textId="0301DC00" w:rsidR="007A6A1A" w:rsidRPr="00167CB8" w:rsidRDefault="007A6A1A" w:rsidP="007A6A1A">
      <w:pPr>
        <w:spacing w:after="160"/>
      </w:pPr>
      <w:r w:rsidRPr="00167CB8">
        <w:t xml:space="preserve">Columns 3 and 4 of </w:t>
      </w:r>
      <w:r w:rsidR="006036F2">
        <w:t>Table 51</w:t>
      </w:r>
      <w:r w:rsidRPr="00167CB8">
        <w:t xml:space="preserve"> present the results using a panel estimator (fixed effects estimator). The advantage of this approach is that it controls for time invariant unobservable characteristics that may correlate with wages (e.g. ability and preferences regarding full-time work). The downside of this approach is that identification of the wage effect follows a transition from one characteristic to another. The lack of any statistical relationship between contract type and wages in columns 3 and 4 may reflect the fact that, within the sample of full-timers, those covered by a collective agreement tend to remain covered by a collective agreement from one year to the next (around 82% of men and 74% of women have no change in collective agreement status from one year to the next). </w:t>
      </w:r>
    </w:p>
    <w:p w14:paraId="1501C274" w14:textId="256964C2" w:rsidR="007A6A1A" w:rsidRPr="00167CB8" w:rsidRDefault="007A6A1A" w:rsidP="007A6A1A">
      <w:pPr>
        <w:spacing w:after="160"/>
        <w:rPr>
          <w:i/>
          <w:iCs/>
        </w:rPr>
      </w:pPr>
    </w:p>
    <w:p w14:paraId="7F8D87D2" w14:textId="43D43428" w:rsidR="007A6A1A" w:rsidRPr="00167CB8" w:rsidRDefault="007A6A1A" w:rsidP="00470AB9">
      <w:pPr>
        <w:pStyle w:val="Caption"/>
      </w:pPr>
      <w:bookmarkStart w:id="818" w:name="_Ref184405602"/>
      <w:bookmarkStart w:id="819" w:name="_Toc186991829"/>
      <w:bookmarkStart w:id="820" w:name="_Toc189310880"/>
      <w:r w:rsidRPr="00167CB8">
        <w:lastRenderedPageBreak/>
        <w:t xml:space="preserve">Table </w:t>
      </w:r>
      <w:r w:rsidR="00A7421B" w:rsidRPr="00167CB8">
        <w:t>51</w:t>
      </w:r>
      <w:bookmarkEnd w:id="818"/>
      <w:r w:rsidRPr="00167CB8">
        <w:t>: Correlates of real weekly wages, estimates from OLS and Fixed Effects regression</w:t>
      </w:r>
      <w:bookmarkEnd w:id="819"/>
      <w:bookmarkEnd w:id="820"/>
    </w:p>
    <w:tbl>
      <w:tblPr>
        <w:tblW w:w="8880" w:type="dxa"/>
        <w:tblLayout w:type="fixed"/>
        <w:tblLook w:val="04A0" w:firstRow="1" w:lastRow="0" w:firstColumn="1" w:lastColumn="0" w:noHBand="0" w:noVBand="1"/>
      </w:tblPr>
      <w:tblGrid>
        <w:gridCol w:w="2834"/>
        <w:gridCol w:w="1511"/>
        <w:gridCol w:w="1512"/>
        <w:gridCol w:w="1511"/>
        <w:gridCol w:w="1512"/>
      </w:tblGrid>
      <w:tr w:rsidR="007A6A1A" w:rsidRPr="00167CB8" w14:paraId="28D2C798" w14:textId="77777777" w:rsidTr="003A7C61">
        <w:trPr>
          <w:trHeight w:val="283"/>
        </w:trPr>
        <w:tc>
          <w:tcPr>
            <w:tcW w:w="2835" w:type="dxa"/>
            <w:tcBorders>
              <w:top w:val="single" w:sz="4" w:space="0" w:color="auto"/>
              <w:left w:val="single" w:sz="4" w:space="0" w:color="auto"/>
              <w:bottom w:val="nil"/>
              <w:right w:val="nil"/>
            </w:tcBorders>
            <w:noWrap/>
            <w:vAlign w:val="bottom"/>
            <w:hideMark/>
          </w:tcPr>
          <w:p w14:paraId="73A07F84" w14:textId="77777777" w:rsidR="007A6A1A" w:rsidRPr="003A7C61" w:rsidRDefault="007A6A1A" w:rsidP="003A7C61">
            <w:pPr>
              <w:spacing w:after="0" w:line="240" w:lineRule="auto"/>
              <w:rPr>
                <w:b/>
                <w:bCs/>
                <w:sz w:val="20"/>
                <w:szCs w:val="20"/>
              </w:rPr>
            </w:pPr>
          </w:p>
        </w:tc>
        <w:tc>
          <w:tcPr>
            <w:tcW w:w="1512" w:type="dxa"/>
            <w:tcBorders>
              <w:top w:val="single" w:sz="4" w:space="0" w:color="auto"/>
              <w:left w:val="nil"/>
              <w:bottom w:val="nil"/>
              <w:right w:val="nil"/>
            </w:tcBorders>
            <w:noWrap/>
            <w:vAlign w:val="bottom"/>
            <w:hideMark/>
          </w:tcPr>
          <w:p w14:paraId="6F48F172" w14:textId="77777777" w:rsidR="007A6A1A" w:rsidRPr="003A7C61" w:rsidRDefault="007A6A1A" w:rsidP="003A7C61">
            <w:pPr>
              <w:spacing w:after="0" w:line="240" w:lineRule="auto"/>
              <w:rPr>
                <w:b/>
                <w:bCs/>
                <w:sz w:val="20"/>
                <w:szCs w:val="20"/>
              </w:rPr>
            </w:pPr>
            <w:r w:rsidRPr="003A7C61">
              <w:rPr>
                <w:b/>
                <w:bCs/>
                <w:sz w:val="20"/>
                <w:szCs w:val="20"/>
              </w:rPr>
              <w:t>OLS</w:t>
            </w:r>
          </w:p>
        </w:tc>
        <w:tc>
          <w:tcPr>
            <w:tcW w:w="1513" w:type="dxa"/>
            <w:tcBorders>
              <w:top w:val="single" w:sz="4" w:space="0" w:color="auto"/>
              <w:left w:val="nil"/>
              <w:bottom w:val="nil"/>
              <w:right w:val="nil"/>
            </w:tcBorders>
            <w:noWrap/>
            <w:vAlign w:val="bottom"/>
            <w:hideMark/>
          </w:tcPr>
          <w:p w14:paraId="5C63A46A" w14:textId="77777777" w:rsidR="007A6A1A" w:rsidRPr="003A7C61" w:rsidRDefault="007A6A1A" w:rsidP="003A7C61">
            <w:pPr>
              <w:spacing w:after="0" w:line="240" w:lineRule="auto"/>
              <w:rPr>
                <w:b/>
                <w:bCs/>
                <w:sz w:val="20"/>
                <w:szCs w:val="20"/>
              </w:rPr>
            </w:pPr>
            <w:r w:rsidRPr="003A7C61">
              <w:rPr>
                <w:b/>
                <w:bCs/>
                <w:sz w:val="20"/>
                <w:szCs w:val="20"/>
              </w:rPr>
              <w:t>OLS</w:t>
            </w:r>
          </w:p>
        </w:tc>
        <w:tc>
          <w:tcPr>
            <w:tcW w:w="1512" w:type="dxa"/>
            <w:tcBorders>
              <w:top w:val="single" w:sz="4" w:space="0" w:color="auto"/>
              <w:left w:val="nil"/>
              <w:bottom w:val="nil"/>
              <w:right w:val="nil"/>
            </w:tcBorders>
            <w:noWrap/>
            <w:vAlign w:val="bottom"/>
            <w:hideMark/>
          </w:tcPr>
          <w:p w14:paraId="75A7560A" w14:textId="77777777" w:rsidR="007A6A1A" w:rsidRPr="003A7C61" w:rsidRDefault="007A6A1A" w:rsidP="003A7C61">
            <w:pPr>
              <w:spacing w:after="0" w:line="240" w:lineRule="auto"/>
              <w:rPr>
                <w:b/>
                <w:bCs/>
                <w:sz w:val="20"/>
                <w:szCs w:val="20"/>
              </w:rPr>
            </w:pPr>
            <w:r w:rsidRPr="003A7C61">
              <w:rPr>
                <w:b/>
                <w:bCs/>
                <w:sz w:val="20"/>
                <w:szCs w:val="20"/>
              </w:rPr>
              <w:t>FE</w:t>
            </w:r>
          </w:p>
        </w:tc>
        <w:tc>
          <w:tcPr>
            <w:tcW w:w="1513" w:type="dxa"/>
            <w:tcBorders>
              <w:top w:val="single" w:sz="4" w:space="0" w:color="auto"/>
              <w:left w:val="nil"/>
              <w:bottom w:val="nil"/>
              <w:right w:val="single" w:sz="4" w:space="0" w:color="auto"/>
            </w:tcBorders>
            <w:noWrap/>
            <w:vAlign w:val="bottom"/>
            <w:hideMark/>
          </w:tcPr>
          <w:p w14:paraId="2F9CAE2D" w14:textId="77777777" w:rsidR="007A6A1A" w:rsidRPr="003A7C61" w:rsidRDefault="007A6A1A" w:rsidP="003A7C61">
            <w:pPr>
              <w:spacing w:after="0" w:line="240" w:lineRule="auto"/>
              <w:rPr>
                <w:b/>
                <w:bCs/>
                <w:sz w:val="20"/>
                <w:szCs w:val="20"/>
              </w:rPr>
            </w:pPr>
            <w:r w:rsidRPr="003A7C61">
              <w:rPr>
                <w:b/>
                <w:bCs/>
                <w:sz w:val="20"/>
                <w:szCs w:val="20"/>
              </w:rPr>
              <w:t>FE</w:t>
            </w:r>
          </w:p>
        </w:tc>
      </w:tr>
      <w:tr w:rsidR="007A6A1A" w:rsidRPr="00167CB8" w14:paraId="7FBE1D56" w14:textId="77777777" w:rsidTr="003A7C61">
        <w:trPr>
          <w:trHeight w:val="283"/>
        </w:trPr>
        <w:tc>
          <w:tcPr>
            <w:tcW w:w="2835" w:type="dxa"/>
            <w:tcBorders>
              <w:top w:val="nil"/>
              <w:left w:val="single" w:sz="4" w:space="0" w:color="auto"/>
              <w:bottom w:val="nil"/>
              <w:right w:val="nil"/>
            </w:tcBorders>
            <w:noWrap/>
            <w:vAlign w:val="bottom"/>
            <w:hideMark/>
          </w:tcPr>
          <w:p w14:paraId="393FE47E" w14:textId="77777777" w:rsidR="007A6A1A" w:rsidRPr="003A7C61" w:rsidRDefault="007A6A1A" w:rsidP="003A7C61">
            <w:pPr>
              <w:spacing w:after="0" w:line="240" w:lineRule="auto"/>
              <w:rPr>
                <w:b/>
                <w:bCs/>
                <w:sz w:val="20"/>
                <w:szCs w:val="20"/>
              </w:rPr>
            </w:pPr>
            <w:r w:rsidRPr="003A7C61">
              <w:rPr>
                <w:b/>
                <w:bCs/>
                <w:sz w:val="20"/>
                <w:szCs w:val="20"/>
              </w:rPr>
              <w:t xml:space="preserve"> </w:t>
            </w:r>
          </w:p>
        </w:tc>
        <w:tc>
          <w:tcPr>
            <w:tcW w:w="1512" w:type="dxa"/>
            <w:hideMark/>
          </w:tcPr>
          <w:p w14:paraId="632D7A2E" w14:textId="77777777" w:rsidR="007A6A1A" w:rsidRPr="003A7C61" w:rsidRDefault="007A6A1A" w:rsidP="003A7C61">
            <w:pPr>
              <w:spacing w:after="0" w:line="240" w:lineRule="auto"/>
              <w:rPr>
                <w:b/>
                <w:bCs/>
                <w:sz w:val="20"/>
                <w:szCs w:val="20"/>
              </w:rPr>
            </w:pPr>
            <w:r w:rsidRPr="003A7C61">
              <w:rPr>
                <w:b/>
                <w:bCs/>
                <w:sz w:val="20"/>
                <w:szCs w:val="20"/>
              </w:rPr>
              <w:t>Men</w:t>
            </w:r>
          </w:p>
        </w:tc>
        <w:tc>
          <w:tcPr>
            <w:tcW w:w="1513" w:type="dxa"/>
            <w:hideMark/>
          </w:tcPr>
          <w:p w14:paraId="62B530B1" w14:textId="77777777" w:rsidR="007A6A1A" w:rsidRPr="003A7C61" w:rsidRDefault="007A6A1A" w:rsidP="003A7C61">
            <w:pPr>
              <w:spacing w:after="0" w:line="240" w:lineRule="auto"/>
              <w:rPr>
                <w:b/>
                <w:bCs/>
                <w:sz w:val="20"/>
                <w:szCs w:val="20"/>
              </w:rPr>
            </w:pPr>
            <w:r w:rsidRPr="003A7C61">
              <w:rPr>
                <w:b/>
                <w:bCs/>
                <w:sz w:val="20"/>
                <w:szCs w:val="20"/>
              </w:rPr>
              <w:t>Women</w:t>
            </w:r>
          </w:p>
        </w:tc>
        <w:tc>
          <w:tcPr>
            <w:tcW w:w="1512" w:type="dxa"/>
            <w:hideMark/>
          </w:tcPr>
          <w:p w14:paraId="5C19EB6A" w14:textId="77777777" w:rsidR="007A6A1A" w:rsidRPr="003A7C61" w:rsidRDefault="007A6A1A" w:rsidP="003A7C61">
            <w:pPr>
              <w:spacing w:after="0" w:line="240" w:lineRule="auto"/>
              <w:rPr>
                <w:b/>
                <w:bCs/>
                <w:sz w:val="20"/>
                <w:szCs w:val="20"/>
              </w:rPr>
            </w:pPr>
            <w:r w:rsidRPr="003A7C61">
              <w:rPr>
                <w:b/>
                <w:bCs/>
                <w:sz w:val="20"/>
                <w:szCs w:val="20"/>
              </w:rPr>
              <w:t>Men</w:t>
            </w:r>
          </w:p>
        </w:tc>
        <w:tc>
          <w:tcPr>
            <w:tcW w:w="1513" w:type="dxa"/>
            <w:tcBorders>
              <w:top w:val="nil"/>
              <w:left w:val="nil"/>
              <w:bottom w:val="nil"/>
              <w:right w:val="single" w:sz="4" w:space="0" w:color="auto"/>
            </w:tcBorders>
            <w:hideMark/>
          </w:tcPr>
          <w:p w14:paraId="696917AC" w14:textId="77777777" w:rsidR="007A6A1A" w:rsidRPr="003A7C61" w:rsidRDefault="007A6A1A" w:rsidP="003A7C61">
            <w:pPr>
              <w:spacing w:after="0" w:line="240" w:lineRule="auto"/>
              <w:rPr>
                <w:b/>
                <w:bCs/>
                <w:sz w:val="20"/>
                <w:szCs w:val="20"/>
              </w:rPr>
            </w:pPr>
            <w:r w:rsidRPr="003A7C61">
              <w:rPr>
                <w:b/>
                <w:bCs/>
                <w:sz w:val="20"/>
                <w:szCs w:val="20"/>
              </w:rPr>
              <w:t>Women</w:t>
            </w:r>
          </w:p>
        </w:tc>
      </w:tr>
      <w:tr w:rsidR="007A6A1A" w:rsidRPr="00167CB8" w14:paraId="7E7FC979" w14:textId="77777777" w:rsidTr="003A7C61">
        <w:trPr>
          <w:trHeight w:val="283"/>
        </w:trPr>
        <w:tc>
          <w:tcPr>
            <w:tcW w:w="2835" w:type="dxa"/>
            <w:tcBorders>
              <w:top w:val="nil"/>
              <w:left w:val="single" w:sz="4" w:space="0" w:color="auto"/>
              <w:bottom w:val="single" w:sz="4" w:space="0" w:color="auto"/>
              <w:right w:val="nil"/>
            </w:tcBorders>
            <w:noWrap/>
            <w:vAlign w:val="bottom"/>
          </w:tcPr>
          <w:p w14:paraId="3B78761C" w14:textId="77777777" w:rsidR="007A6A1A" w:rsidRPr="003A7C61" w:rsidRDefault="007A6A1A" w:rsidP="003A7C61">
            <w:pPr>
              <w:spacing w:after="0" w:line="240" w:lineRule="auto"/>
              <w:rPr>
                <w:b/>
                <w:bCs/>
                <w:sz w:val="20"/>
                <w:szCs w:val="20"/>
              </w:rPr>
            </w:pPr>
          </w:p>
        </w:tc>
        <w:tc>
          <w:tcPr>
            <w:tcW w:w="1512" w:type="dxa"/>
            <w:tcBorders>
              <w:top w:val="nil"/>
              <w:left w:val="nil"/>
              <w:bottom w:val="single" w:sz="4" w:space="0" w:color="auto"/>
              <w:right w:val="nil"/>
            </w:tcBorders>
            <w:noWrap/>
            <w:vAlign w:val="bottom"/>
            <w:hideMark/>
          </w:tcPr>
          <w:p w14:paraId="1757F268" w14:textId="77777777" w:rsidR="007A6A1A" w:rsidRPr="003A7C61" w:rsidRDefault="007A6A1A" w:rsidP="003A7C61">
            <w:pPr>
              <w:spacing w:after="0" w:line="240" w:lineRule="auto"/>
              <w:rPr>
                <w:b/>
                <w:bCs/>
                <w:sz w:val="20"/>
                <w:szCs w:val="20"/>
              </w:rPr>
            </w:pPr>
            <w:r w:rsidRPr="003A7C61">
              <w:rPr>
                <w:b/>
                <w:bCs/>
                <w:sz w:val="20"/>
                <w:szCs w:val="20"/>
              </w:rPr>
              <w:t>(1)</w:t>
            </w:r>
          </w:p>
        </w:tc>
        <w:tc>
          <w:tcPr>
            <w:tcW w:w="1513" w:type="dxa"/>
            <w:tcBorders>
              <w:top w:val="nil"/>
              <w:left w:val="nil"/>
              <w:bottom w:val="single" w:sz="4" w:space="0" w:color="auto"/>
              <w:right w:val="nil"/>
            </w:tcBorders>
            <w:noWrap/>
            <w:vAlign w:val="bottom"/>
            <w:hideMark/>
          </w:tcPr>
          <w:p w14:paraId="23FB3847" w14:textId="77777777" w:rsidR="007A6A1A" w:rsidRPr="003A7C61" w:rsidRDefault="007A6A1A" w:rsidP="003A7C61">
            <w:pPr>
              <w:spacing w:after="0" w:line="240" w:lineRule="auto"/>
              <w:rPr>
                <w:b/>
                <w:bCs/>
                <w:sz w:val="20"/>
                <w:szCs w:val="20"/>
              </w:rPr>
            </w:pPr>
            <w:r w:rsidRPr="003A7C61">
              <w:rPr>
                <w:b/>
                <w:bCs/>
                <w:sz w:val="20"/>
                <w:szCs w:val="20"/>
              </w:rPr>
              <w:t>(2)</w:t>
            </w:r>
          </w:p>
        </w:tc>
        <w:tc>
          <w:tcPr>
            <w:tcW w:w="1512" w:type="dxa"/>
            <w:tcBorders>
              <w:top w:val="nil"/>
              <w:left w:val="nil"/>
              <w:bottom w:val="single" w:sz="4" w:space="0" w:color="auto"/>
              <w:right w:val="nil"/>
            </w:tcBorders>
            <w:noWrap/>
            <w:vAlign w:val="bottom"/>
            <w:hideMark/>
          </w:tcPr>
          <w:p w14:paraId="77AAD3FB" w14:textId="77777777" w:rsidR="007A6A1A" w:rsidRPr="003A7C61" w:rsidRDefault="007A6A1A" w:rsidP="003A7C61">
            <w:pPr>
              <w:spacing w:after="0" w:line="240" w:lineRule="auto"/>
              <w:rPr>
                <w:b/>
                <w:bCs/>
                <w:sz w:val="20"/>
                <w:szCs w:val="20"/>
              </w:rPr>
            </w:pPr>
            <w:r w:rsidRPr="003A7C61">
              <w:rPr>
                <w:b/>
                <w:bCs/>
                <w:sz w:val="20"/>
                <w:szCs w:val="20"/>
              </w:rPr>
              <w:t>(3)</w:t>
            </w:r>
          </w:p>
        </w:tc>
        <w:tc>
          <w:tcPr>
            <w:tcW w:w="1513" w:type="dxa"/>
            <w:tcBorders>
              <w:top w:val="nil"/>
              <w:left w:val="nil"/>
              <w:bottom w:val="single" w:sz="4" w:space="0" w:color="auto"/>
              <w:right w:val="single" w:sz="4" w:space="0" w:color="auto"/>
            </w:tcBorders>
            <w:noWrap/>
            <w:vAlign w:val="bottom"/>
            <w:hideMark/>
          </w:tcPr>
          <w:p w14:paraId="6F933C5E" w14:textId="77777777" w:rsidR="007A6A1A" w:rsidRPr="003A7C61" w:rsidRDefault="007A6A1A" w:rsidP="003A7C61">
            <w:pPr>
              <w:spacing w:after="0" w:line="240" w:lineRule="auto"/>
              <w:rPr>
                <w:b/>
                <w:bCs/>
                <w:sz w:val="20"/>
                <w:szCs w:val="20"/>
              </w:rPr>
            </w:pPr>
            <w:r w:rsidRPr="003A7C61">
              <w:rPr>
                <w:b/>
                <w:bCs/>
                <w:sz w:val="20"/>
                <w:szCs w:val="20"/>
              </w:rPr>
              <w:t>(4)</w:t>
            </w:r>
          </w:p>
        </w:tc>
      </w:tr>
      <w:tr w:rsidR="007A6A1A" w:rsidRPr="00167CB8" w14:paraId="6F192A07" w14:textId="77777777" w:rsidTr="003A7C61">
        <w:trPr>
          <w:trHeight w:val="283"/>
        </w:trPr>
        <w:tc>
          <w:tcPr>
            <w:tcW w:w="2835" w:type="dxa"/>
            <w:tcBorders>
              <w:top w:val="single" w:sz="4" w:space="0" w:color="auto"/>
              <w:left w:val="single" w:sz="4" w:space="0" w:color="auto"/>
              <w:bottom w:val="nil"/>
              <w:right w:val="nil"/>
            </w:tcBorders>
            <w:noWrap/>
            <w:vAlign w:val="bottom"/>
            <w:hideMark/>
          </w:tcPr>
          <w:p w14:paraId="07611362" w14:textId="77777777" w:rsidR="007A6A1A" w:rsidRPr="003A7C61" w:rsidRDefault="007A6A1A" w:rsidP="003A7C61">
            <w:pPr>
              <w:spacing w:after="0" w:line="240" w:lineRule="auto"/>
              <w:rPr>
                <w:sz w:val="20"/>
                <w:szCs w:val="20"/>
              </w:rPr>
            </w:pPr>
            <w:r w:rsidRPr="003A7C61">
              <w:rPr>
                <w:sz w:val="20"/>
                <w:szCs w:val="20"/>
              </w:rPr>
              <w:t>Collective agreement</w:t>
            </w:r>
          </w:p>
        </w:tc>
        <w:tc>
          <w:tcPr>
            <w:tcW w:w="1512" w:type="dxa"/>
            <w:tcBorders>
              <w:top w:val="single" w:sz="4" w:space="0" w:color="auto"/>
              <w:left w:val="nil"/>
              <w:bottom w:val="nil"/>
              <w:right w:val="nil"/>
            </w:tcBorders>
            <w:noWrap/>
            <w:vAlign w:val="bottom"/>
            <w:hideMark/>
          </w:tcPr>
          <w:p w14:paraId="323143C9" w14:textId="77777777" w:rsidR="007A6A1A" w:rsidRPr="003A7C61" w:rsidRDefault="007A6A1A" w:rsidP="003A7C61">
            <w:pPr>
              <w:spacing w:after="0" w:line="240" w:lineRule="auto"/>
              <w:rPr>
                <w:sz w:val="20"/>
                <w:szCs w:val="20"/>
              </w:rPr>
            </w:pPr>
            <w:r w:rsidRPr="003A7C61">
              <w:rPr>
                <w:sz w:val="20"/>
                <w:szCs w:val="20"/>
              </w:rPr>
              <w:t>0.132***</w:t>
            </w:r>
          </w:p>
        </w:tc>
        <w:tc>
          <w:tcPr>
            <w:tcW w:w="1513" w:type="dxa"/>
            <w:tcBorders>
              <w:top w:val="single" w:sz="4" w:space="0" w:color="auto"/>
              <w:left w:val="nil"/>
              <w:bottom w:val="nil"/>
              <w:right w:val="nil"/>
            </w:tcBorders>
            <w:noWrap/>
            <w:vAlign w:val="bottom"/>
            <w:hideMark/>
          </w:tcPr>
          <w:p w14:paraId="27023DCD" w14:textId="77777777" w:rsidR="007A6A1A" w:rsidRPr="003A7C61" w:rsidRDefault="007A6A1A" w:rsidP="003A7C61">
            <w:pPr>
              <w:spacing w:after="0" w:line="240" w:lineRule="auto"/>
              <w:rPr>
                <w:sz w:val="20"/>
                <w:szCs w:val="20"/>
              </w:rPr>
            </w:pPr>
            <w:r w:rsidRPr="003A7C61">
              <w:rPr>
                <w:sz w:val="20"/>
                <w:szCs w:val="20"/>
              </w:rPr>
              <w:t>0.133***</w:t>
            </w:r>
          </w:p>
        </w:tc>
        <w:tc>
          <w:tcPr>
            <w:tcW w:w="1512" w:type="dxa"/>
            <w:tcBorders>
              <w:top w:val="single" w:sz="4" w:space="0" w:color="auto"/>
              <w:left w:val="nil"/>
              <w:bottom w:val="nil"/>
              <w:right w:val="nil"/>
            </w:tcBorders>
            <w:noWrap/>
            <w:vAlign w:val="bottom"/>
            <w:hideMark/>
          </w:tcPr>
          <w:p w14:paraId="1C09BBC4" w14:textId="77777777" w:rsidR="007A6A1A" w:rsidRPr="003A7C61" w:rsidRDefault="007A6A1A" w:rsidP="003A7C61">
            <w:pPr>
              <w:spacing w:after="0" w:line="240" w:lineRule="auto"/>
              <w:rPr>
                <w:sz w:val="20"/>
                <w:szCs w:val="20"/>
              </w:rPr>
            </w:pPr>
            <w:r w:rsidRPr="003A7C61">
              <w:rPr>
                <w:sz w:val="20"/>
                <w:szCs w:val="20"/>
              </w:rPr>
              <w:t>0.042</w:t>
            </w:r>
          </w:p>
        </w:tc>
        <w:tc>
          <w:tcPr>
            <w:tcW w:w="1513" w:type="dxa"/>
            <w:tcBorders>
              <w:top w:val="single" w:sz="4" w:space="0" w:color="auto"/>
              <w:left w:val="nil"/>
              <w:bottom w:val="nil"/>
              <w:right w:val="single" w:sz="4" w:space="0" w:color="auto"/>
            </w:tcBorders>
            <w:noWrap/>
            <w:vAlign w:val="bottom"/>
            <w:hideMark/>
          </w:tcPr>
          <w:p w14:paraId="3C74FCF5" w14:textId="77777777" w:rsidR="007A6A1A" w:rsidRPr="003A7C61" w:rsidRDefault="007A6A1A" w:rsidP="003A7C61">
            <w:pPr>
              <w:spacing w:after="0" w:line="240" w:lineRule="auto"/>
              <w:rPr>
                <w:sz w:val="20"/>
                <w:szCs w:val="20"/>
              </w:rPr>
            </w:pPr>
            <w:r w:rsidRPr="003A7C61">
              <w:rPr>
                <w:sz w:val="20"/>
                <w:szCs w:val="20"/>
              </w:rPr>
              <w:t>0.010</w:t>
            </w:r>
          </w:p>
        </w:tc>
      </w:tr>
      <w:tr w:rsidR="007A6A1A" w:rsidRPr="00167CB8" w14:paraId="34742343" w14:textId="77777777" w:rsidTr="003A7C61">
        <w:trPr>
          <w:trHeight w:val="283"/>
        </w:trPr>
        <w:tc>
          <w:tcPr>
            <w:tcW w:w="2835" w:type="dxa"/>
            <w:tcBorders>
              <w:top w:val="nil"/>
              <w:left w:val="single" w:sz="4" w:space="0" w:color="auto"/>
              <w:bottom w:val="nil"/>
              <w:right w:val="nil"/>
            </w:tcBorders>
            <w:noWrap/>
            <w:vAlign w:val="bottom"/>
            <w:hideMark/>
          </w:tcPr>
          <w:p w14:paraId="336E4561" w14:textId="77777777" w:rsidR="007A6A1A" w:rsidRPr="003A7C61" w:rsidRDefault="007A6A1A" w:rsidP="003A7C61">
            <w:pPr>
              <w:spacing w:after="0" w:line="240" w:lineRule="auto"/>
              <w:rPr>
                <w:sz w:val="20"/>
                <w:szCs w:val="20"/>
              </w:rPr>
            </w:pPr>
          </w:p>
        </w:tc>
        <w:tc>
          <w:tcPr>
            <w:tcW w:w="1512" w:type="dxa"/>
            <w:noWrap/>
            <w:vAlign w:val="bottom"/>
            <w:hideMark/>
          </w:tcPr>
          <w:p w14:paraId="28687760" w14:textId="77777777" w:rsidR="007A6A1A" w:rsidRPr="003A7C61" w:rsidRDefault="007A6A1A" w:rsidP="003A7C61">
            <w:pPr>
              <w:spacing w:after="0" w:line="240" w:lineRule="auto"/>
              <w:rPr>
                <w:sz w:val="20"/>
                <w:szCs w:val="20"/>
              </w:rPr>
            </w:pPr>
            <w:r w:rsidRPr="003A7C61">
              <w:rPr>
                <w:sz w:val="20"/>
                <w:szCs w:val="20"/>
              </w:rPr>
              <w:t>(0.042)</w:t>
            </w:r>
          </w:p>
        </w:tc>
        <w:tc>
          <w:tcPr>
            <w:tcW w:w="1513" w:type="dxa"/>
            <w:noWrap/>
            <w:vAlign w:val="bottom"/>
            <w:hideMark/>
          </w:tcPr>
          <w:p w14:paraId="4AB86F3F" w14:textId="77777777" w:rsidR="007A6A1A" w:rsidRPr="003A7C61" w:rsidRDefault="007A6A1A" w:rsidP="003A7C61">
            <w:pPr>
              <w:spacing w:after="0" w:line="240" w:lineRule="auto"/>
              <w:rPr>
                <w:sz w:val="20"/>
                <w:szCs w:val="20"/>
              </w:rPr>
            </w:pPr>
            <w:r w:rsidRPr="003A7C61">
              <w:rPr>
                <w:sz w:val="20"/>
                <w:szCs w:val="20"/>
              </w:rPr>
              <w:t>(0.048)</w:t>
            </w:r>
          </w:p>
        </w:tc>
        <w:tc>
          <w:tcPr>
            <w:tcW w:w="1512" w:type="dxa"/>
            <w:noWrap/>
            <w:vAlign w:val="bottom"/>
            <w:hideMark/>
          </w:tcPr>
          <w:p w14:paraId="2090A7C5" w14:textId="77777777" w:rsidR="007A6A1A" w:rsidRPr="003A7C61" w:rsidRDefault="007A6A1A" w:rsidP="003A7C61">
            <w:pPr>
              <w:spacing w:after="0" w:line="240" w:lineRule="auto"/>
              <w:rPr>
                <w:sz w:val="20"/>
                <w:szCs w:val="20"/>
              </w:rPr>
            </w:pPr>
            <w:r w:rsidRPr="003A7C61">
              <w:rPr>
                <w:sz w:val="20"/>
                <w:szCs w:val="20"/>
              </w:rPr>
              <w:t>(0.032)</w:t>
            </w:r>
          </w:p>
        </w:tc>
        <w:tc>
          <w:tcPr>
            <w:tcW w:w="1513" w:type="dxa"/>
            <w:tcBorders>
              <w:top w:val="nil"/>
              <w:left w:val="nil"/>
              <w:bottom w:val="nil"/>
              <w:right w:val="single" w:sz="4" w:space="0" w:color="auto"/>
            </w:tcBorders>
            <w:noWrap/>
            <w:vAlign w:val="bottom"/>
            <w:hideMark/>
          </w:tcPr>
          <w:p w14:paraId="6880E8E9" w14:textId="77777777" w:rsidR="007A6A1A" w:rsidRPr="003A7C61" w:rsidRDefault="007A6A1A" w:rsidP="003A7C61">
            <w:pPr>
              <w:spacing w:after="0" w:line="240" w:lineRule="auto"/>
              <w:rPr>
                <w:sz w:val="20"/>
                <w:szCs w:val="20"/>
              </w:rPr>
            </w:pPr>
            <w:r w:rsidRPr="003A7C61">
              <w:rPr>
                <w:sz w:val="20"/>
                <w:szCs w:val="20"/>
              </w:rPr>
              <w:t>(0.038)</w:t>
            </w:r>
          </w:p>
        </w:tc>
      </w:tr>
      <w:tr w:rsidR="007A6A1A" w:rsidRPr="00167CB8" w14:paraId="0A5D2F77" w14:textId="77777777" w:rsidTr="003A7C61">
        <w:trPr>
          <w:trHeight w:val="283"/>
        </w:trPr>
        <w:tc>
          <w:tcPr>
            <w:tcW w:w="2835" w:type="dxa"/>
            <w:tcBorders>
              <w:top w:val="nil"/>
              <w:left w:val="single" w:sz="4" w:space="0" w:color="auto"/>
              <w:bottom w:val="nil"/>
              <w:right w:val="nil"/>
            </w:tcBorders>
            <w:noWrap/>
            <w:vAlign w:val="bottom"/>
            <w:hideMark/>
          </w:tcPr>
          <w:p w14:paraId="66799B67" w14:textId="77777777" w:rsidR="007A6A1A" w:rsidRPr="003A7C61" w:rsidRDefault="007A6A1A" w:rsidP="003A7C61">
            <w:pPr>
              <w:spacing w:after="0" w:line="240" w:lineRule="auto"/>
              <w:rPr>
                <w:sz w:val="20"/>
                <w:szCs w:val="20"/>
              </w:rPr>
            </w:pPr>
            <w:r w:rsidRPr="003A7C61">
              <w:rPr>
                <w:sz w:val="20"/>
                <w:szCs w:val="20"/>
              </w:rPr>
              <w:t>Individual agreement</w:t>
            </w:r>
          </w:p>
        </w:tc>
        <w:tc>
          <w:tcPr>
            <w:tcW w:w="1512" w:type="dxa"/>
            <w:noWrap/>
            <w:vAlign w:val="bottom"/>
            <w:hideMark/>
          </w:tcPr>
          <w:p w14:paraId="624BA4FE" w14:textId="77777777" w:rsidR="007A6A1A" w:rsidRPr="003A7C61" w:rsidRDefault="007A6A1A" w:rsidP="003A7C61">
            <w:pPr>
              <w:spacing w:after="0" w:line="240" w:lineRule="auto"/>
              <w:rPr>
                <w:sz w:val="20"/>
                <w:szCs w:val="20"/>
              </w:rPr>
            </w:pPr>
            <w:r w:rsidRPr="003A7C61">
              <w:rPr>
                <w:sz w:val="20"/>
                <w:szCs w:val="20"/>
              </w:rPr>
              <w:t>0.146***</w:t>
            </w:r>
          </w:p>
        </w:tc>
        <w:tc>
          <w:tcPr>
            <w:tcW w:w="1513" w:type="dxa"/>
            <w:noWrap/>
            <w:vAlign w:val="bottom"/>
            <w:hideMark/>
          </w:tcPr>
          <w:p w14:paraId="0B0597AB" w14:textId="77777777" w:rsidR="007A6A1A" w:rsidRPr="003A7C61" w:rsidRDefault="007A6A1A" w:rsidP="003A7C61">
            <w:pPr>
              <w:spacing w:after="0" w:line="240" w:lineRule="auto"/>
              <w:rPr>
                <w:sz w:val="20"/>
                <w:szCs w:val="20"/>
              </w:rPr>
            </w:pPr>
            <w:r w:rsidRPr="003A7C61">
              <w:rPr>
                <w:sz w:val="20"/>
                <w:szCs w:val="20"/>
              </w:rPr>
              <w:t>0.149***</w:t>
            </w:r>
          </w:p>
        </w:tc>
        <w:tc>
          <w:tcPr>
            <w:tcW w:w="1512" w:type="dxa"/>
            <w:noWrap/>
            <w:vAlign w:val="bottom"/>
            <w:hideMark/>
          </w:tcPr>
          <w:p w14:paraId="7098241B" w14:textId="77777777" w:rsidR="007A6A1A" w:rsidRPr="003A7C61" w:rsidRDefault="007A6A1A" w:rsidP="003A7C61">
            <w:pPr>
              <w:spacing w:after="0" w:line="240" w:lineRule="auto"/>
              <w:rPr>
                <w:sz w:val="20"/>
                <w:szCs w:val="20"/>
              </w:rPr>
            </w:pPr>
            <w:r w:rsidRPr="003A7C61">
              <w:rPr>
                <w:sz w:val="20"/>
                <w:szCs w:val="20"/>
              </w:rPr>
              <w:t>0.051</w:t>
            </w:r>
          </w:p>
        </w:tc>
        <w:tc>
          <w:tcPr>
            <w:tcW w:w="1513" w:type="dxa"/>
            <w:tcBorders>
              <w:top w:val="nil"/>
              <w:left w:val="nil"/>
              <w:bottom w:val="nil"/>
              <w:right w:val="single" w:sz="4" w:space="0" w:color="auto"/>
            </w:tcBorders>
            <w:noWrap/>
            <w:vAlign w:val="bottom"/>
            <w:hideMark/>
          </w:tcPr>
          <w:p w14:paraId="17AE075D" w14:textId="77777777" w:rsidR="007A6A1A" w:rsidRPr="003A7C61" w:rsidRDefault="007A6A1A" w:rsidP="003A7C61">
            <w:pPr>
              <w:spacing w:after="0" w:line="240" w:lineRule="auto"/>
              <w:rPr>
                <w:sz w:val="20"/>
                <w:szCs w:val="20"/>
              </w:rPr>
            </w:pPr>
            <w:r w:rsidRPr="003A7C61">
              <w:rPr>
                <w:sz w:val="20"/>
                <w:szCs w:val="20"/>
              </w:rPr>
              <w:t>0.017</w:t>
            </w:r>
          </w:p>
        </w:tc>
      </w:tr>
      <w:tr w:rsidR="007A6A1A" w:rsidRPr="00167CB8" w14:paraId="029DFF44" w14:textId="77777777" w:rsidTr="003A7C61">
        <w:trPr>
          <w:trHeight w:val="283"/>
        </w:trPr>
        <w:tc>
          <w:tcPr>
            <w:tcW w:w="2835" w:type="dxa"/>
            <w:tcBorders>
              <w:top w:val="nil"/>
              <w:left w:val="single" w:sz="4" w:space="0" w:color="auto"/>
              <w:bottom w:val="nil"/>
              <w:right w:val="nil"/>
            </w:tcBorders>
            <w:noWrap/>
            <w:vAlign w:val="bottom"/>
            <w:hideMark/>
          </w:tcPr>
          <w:p w14:paraId="33F28FF2" w14:textId="77777777" w:rsidR="007A6A1A" w:rsidRPr="003A7C61" w:rsidRDefault="007A6A1A" w:rsidP="003A7C61">
            <w:pPr>
              <w:spacing w:after="0" w:line="240" w:lineRule="auto"/>
              <w:rPr>
                <w:sz w:val="20"/>
                <w:szCs w:val="20"/>
              </w:rPr>
            </w:pPr>
          </w:p>
        </w:tc>
        <w:tc>
          <w:tcPr>
            <w:tcW w:w="1512" w:type="dxa"/>
            <w:noWrap/>
            <w:vAlign w:val="bottom"/>
            <w:hideMark/>
          </w:tcPr>
          <w:p w14:paraId="7B88F4BA" w14:textId="77777777" w:rsidR="007A6A1A" w:rsidRPr="003A7C61" w:rsidRDefault="007A6A1A" w:rsidP="003A7C61">
            <w:pPr>
              <w:spacing w:after="0" w:line="240" w:lineRule="auto"/>
              <w:rPr>
                <w:sz w:val="20"/>
                <w:szCs w:val="20"/>
              </w:rPr>
            </w:pPr>
            <w:r w:rsidRPr="003A7C61">
              <w:rPr>
                <w:sz w:val="20"/>
                <w:szCs w:val="20"/>
              </w:rPr>
              <w:t>(0.042)</w:t>
            </w:r>
          </w:p>
        </w:tc>
        <w:tc>
          <w:tcPr>
            <w:tcW w:w="1513" w:type="dxa"/>
            <w:noWrap/>
            <w:vAlign w:val="bottom"/>
            <w:hideMark/>
          </w:tcPr>
          <w:p w14:paraId="50217E27" w14:textId="77777777" w:rsidR="007A6A1A" w:rsidRPr="003A7C61" w:rsidRDefault="007A6A1A" w:rsidP="003A7C61">
            <w:pPr>
              <w:spacing w:after="0" w:line="240" w:lineRule="auto"/>
              <w:rPr>
                <w:sz w:val="20"/>
                <w:szCs w:val="20"/>
              </w:rPr>
            </w:pPr>
            <w:r w:rsidRPr="003A7C61">
              <w:rPr>
                <w:sz w:val="20"/>
                <w:szCs w:val="20"/>
              </w:rPr>
              <w:t>(0.048)</w:t>
            </w:r>
          </w:p>
        </w:tc>
        <w:tc>
          <w:tcPr>
            <w:tcW w:w="1512" w:type="dxa"/>
            <w:noWrap/>
            <w:vAlign w:val="bottom"/>
            <w:hideMark/>
          </w:tcPr>
          <w:p w14:paraId="2FF17E4D" w14:textId="77777777" w:rsidR="007A6A1A" w:rsidRPr="003A7C61" w:rsidRDefault="007A6A1A" w:rsidP="003A7C61">
            <w:pPr>
              <w:spacing w:after="0" w:line="240" w:lineRule="auto"/>
              <w:rPr>
                <w:sz w:val="20"/>
                <w:szCs w:val="20"/>
              </w:rPr>
            </w:pPr>
            <w:r w:rsidRPr="003A7C61">
              <w:rPr>
                <w:sz w:val="20"/>
                <w:szCs w:val="20"/>
              </w:rPr>
              <w:t>(0.037)</w:t>
            </w:r>
          </w:p>
        </w:tc>
        <w:tc>
          <w:tcPr>
            <w:tcW w:w="1513" w:type="dxa"/>
            <w:tcBorders>
              <w:top w:val="nil"/>
              <w:left w:val="nil"/>
              <w:bottom w:val="nil"/>
              <w:right w:val="single" w:sz="4" w:space="0" w:color="auto"/>
            </w:tcBorders>
            <w:noWrap/>
            <w:vAlign w:val="bottom"/>
            <w:hideMark/>
          </w:tcPr>
          <w:p w14:paraId="5E872B89" w14:textId="77777777" w:rsidR="007A6A1A" w:rsidRPr="003A7C61" w:rsidRDefault="007A6A1A" w:rsidP="003A7C61">
            <w:pPr>
              <w:spacing w:after="0" w:line="240" w:lineRule="auto"/>
              <w:rPr>
                <w:sz w:val="20"/>
                <w:szCs w:val="20"/>
              </w:rPr>
            </w:pPr>
            <w:r w:rsidRPr="003A7C61">
              <w:rPr>
                <w:sz w:val="20"/>
                <w:szCs w:val="20"/>
              </w:rPr>
              <w:t>(0.036)</w:t>
            </w:r>
          </w:p>
        </w:tc>
      </w:tr>
      <w:tr w:rsidR="007A6A1A" w:rsidRPr="00167CB8" w14:paraId="3EF88A15" w14:textId="77777777" w:rsidTr="003A7C61">
        <w:trPr>
          <w:trHeight w:val="283"/>
        </w:trPr>
        <w:tc>
          <w:tcPr>
            <w:tcW w:w="2835" w:type="dxa"/>
            <w:tcBorders>
              <w:top w:val="nil"/>
              <w:left w:val="single" w:sz="4" w:space="0" w:color="auto"/>
              <w:bottom w:val="nil"/>
              <w:right w:val="nil"/>
            </w:tcBorders>
            <w:noWrap/>
            <w:vAlign w:val="bottom"/>
            <w:hideMark/>
          </w:tcPr>
          <w:p w14:paraId="025674AD" w14:textId="3E746F4C" w:rsidR="007A6A1A" w:rsidRPr="003A7C61" w:rsidRDefault="007A6A1A" w:rsidP="003A7C61">
            <w:pPr>
              <w:spacing w:after="0" w:line="240" w:lineRule="auto"/>
              <w:rPr>
                <w:sz w:val="20"/>
                <w:szCs w:val="20"/>
              </w:rPr>
            </w:pPr>
            <w:r w:rsidRPr="003A7C61">
              <w:rPr>
                <w:sz w:val="20"/>
                <w:szCs w:val="20"/>
              </w:rPr>
              <w:t>Other pay</w:t>
            </w:r>
            <w:r w:rsidR="00C87E4A" w:rsidRPr="003A7C61">
              <w:rPr>
                <w:sz w:val="20"/>
                <w:szCs w:val="20"/>
              </w:rPr>
              <w:t>-</w:t>
            </w:r>
            <w:r w:rsidRPr="003A7C61">
              <w:rPr>
                <w:sz w:val="20"/>
                <w:szCs w:val="20"/>
              </w:rPr>
              <w:t>setting arrangement</w:t>
            </w:r>
          </w:p>
        </w:tc>
        <w:tc>
          <w:tcPr>
            <w:tcW w:w="1512" w:type="dxa"/>
            <w:noWrap/>
            <w:vAlign w:val="bottom"/>
            <w:hideMark/>
          </w:tcPr>
          <w:p w14:paraId="49C6C154" w14:textId="77777777" w:rsidR="007A6A1A" w:rsidRPr="003A7C61" w:rsidRDefault="007A6A1A" w:rsidP="003A7C61">
            <w:pPr>
              <w:spacing w:after="0" w:line="240" w:lineRule="auto"/>
              <w:rPr>
                <w:sz w:val="20"/>
                <w:szCs w:val="20"/>
              </w:rPr>
            </w:pPr>
            <w:r w:rsidRPr="003A7C61">
              <w:rPr>
                <w:sz w:val="20"/>
                <w:szCs w:val="20"/>
              </w:rPr>
              <w:t>0.054</w:t>
            </w:r>
          </w:p>
        </w:tc>
        <w:tc>
          <w:tcPr>
            <w:tcW w:w="1513" w:type="dxa"/>
            <w:noWrap/>
            <w:vAlign w:val="bottom"/>
            <w:hideMark/>
          </w:tcPr>
          <w:p w14:paraId="68F391FE" w14:textId="77777777" w:rsidR="007A6A1A" w:rsidRPr="003A7C61" w:rsidRDefault="007A6A1A" w:rsidP="003A7C61">
            <w:pPr>
              <w:spacing w:after="0" w:line="240" w:lineRule="auto"/>
              <w:rPr>
                <w:sz w:val="20"/>
                <w:szCs w:val="20"/>
              </w:rPr>
            </w:pPr>
            <w:r w:rsidRPr="003A7C61">
              <w:rPr>
                <w:sz w:val="20"/>
                <w:szCs w:val="20"/>
              </w:rPr>
              <w:t>0.066</w:t>
            </w:r>
          </w:p>
        </w:tc>
        <w:tc>
          <w:tcPr>
            <w:tcW w:w="1512" w:type="dxa"/>
            <w:noWrap/>
            <w:vAlign w:val="bottom"/>
            <w:hideMark/>
          </w:tcPr>
          <w:p w14:paraId="6334B7B4" w14:textId="77777777" w:rsidR="007A6A1A" w:rsidRPr="003A7C61" w:rsidRDefault="007A6A1A" w:rsidP="003A7C61">
            <w:pPr>
              <w:spacing w:after="0" w:line="240" w:lineRule="auto"/>
              <w:rPr>
                <w:sz w:val="20"/>
                <w:szCs w:val="20"/>
              </w:rPr>
            </w:pPr>
            <w:r w:rsidRPr="003A7C61">
              <w:rPr>
                <w:sz w:val="20"/>
                <w:szCs w:val="20"/>
              </w:rPr>
              <w:t>0.075</w:t>
            </w:r>
          </w:p>
        </w:tc>
        <w:tc>
          <w:tcPr>
            <w:tcW w:w="1513" w:type="dxa"/>
            <w:tcBorders>
              <w:top w:val="nil"/>
              <w:left w:val="nil"/>
              <w:bottom w:val="nil"/>
              <w:right w:val="single" w:sz="4" w:space="0" w:color="auto"/>
            </w:tcBorders>
            <w:noWrap/>
            <w:vAlign w:val="bottom"/>
            <w:hideMark/>
          </w:tcPr>
          <w:p w14:paraId="78786CF2" w14:textId="77777777" w:rsidR="007A6A1A" w:rsidRPr="003A7C61" w:rsidRDefault="007A6A1A" w:rsidP="003A7C61">
            <w:pPr>
              <w:spacing w:after="0" w:line="240" w:lineRule="auto"/>
              <w:rPr>
                <w:sz w:val="20"/>
                <w:szCs w:val="20"/>
              </w:rPr>
            </w:pPr>
            <w:r w:rsidRPr="003A7C61">
              <w:rPr>
                <w:sz w:val="20"/>
                <w:szCs w:val="20"/>
              </w:rPr>
              <w:t>0.075</w:t>
            </w:r>
          </w:p>
        </w:tc>
      </w:tr>
      <w:tr w:rsidR="007A6A1A" w:rsidRPr="00167CB8" w14:paraId="238DBFB8" w14:textId="77777777" w:rsidTr="003A7C61">
        <w:trPr>
          <w:trHeight w:val="283"/>
        </w:trPr>
        <w:tc>
          <w:tcPr>
            <w:tcW w:w="2835" w:type="dxa"/>
            <w:tcBorders>
              <w:top w:val="nil"/>
              <w:left w:val="single" w:sz="4" w:space="0" w:color="auto"/>
              <w:bottom w:val="nil"/>
              <w:right w:val="nil"/>
            </w:tcBorders>
            <w:noWrap/>
            <w:vAlign w:val="bottom"/>
            <w:hideMark/>
          </w:tcPr>
          <w:p w14:paraId="5FD61F5E" w14:textId="77777777" w:rsidR="007A6A1A" w:rsidRPr="003A7C61" w:rsidRDefault="007A6A1A" w:rsidP="003A7C61">
            <w:pPr>
              <w:spacing w:after="0" w:line="240" w:lineRule="auto"/>
              <w:rPr>
                <w:sz w:val="20"/>
                <w:szCs w:val="20"/>
              </w:rPr>
            </w:pPr>
          </w:p>
        </w:tc>
        <w:tc>
          <w:tcPr>
            <w:tcW w:w="1512" w:type="dxa"/>
            <w:noWrap/>
            <w:vAlign w:val="bottom"/>
            <w:hideMark/>
          </w:tcPr>
          <w:p w14:paraId="347E4DE3" w14:textId="77777777" w:rsidR="007A6A1A" w:rsidRPr="003A7C61" w:rsidRDefault="007A6A1A" w:rsidP="003A7C61">
            <w:pPr>
              <w:spacing w:after="0" w:line="240" w:lineRule="auto"/>
              <w:rPr>
                <w:sz w:val="20"/>
                <w:szCs w:val="20"/>
              </w:rPr>
            </w:pPr>
            <w:r w:rsidRPr="003A7C61">
              <w:rPr>
                <w:sz w:val="20"/>
                <w:szCs w:val="20"/>
              </w:rPr>
              <w:t>(0.065)</w:t>
            </w:r>
          </w:p>
        </w:tc>
        <w:tc>
          <w:tcPr>
            <w:tcW w:w="1513" w:type="dxa"/>
            <w:noWrap/>
            <w:vAlign w:val="bottom"/>
            <w:hideMark/>
          </w:tcPr>
          <w:p w14:paraId="6C7ED727" w14:textId="77777777" w:rsidR="007A6A1A" w:rsidRPr="003A7C61" w:rsidRDefault="007A6A1A" w:rsidP="003A7C61">
            <w:pPr>
              <w:spacing w:after="0" w:line="240" w:lineRule="auto"/>
              <w:rPr>
                <w:sz w:val="20"/>
                <w:szCs w:val="20"/>
              </w:rPr>
            </w:pPr>
            <w:r w:rsidRPr="003A7C61">
              <w:rPr>
                <w:sz w:val="20"/>
                <w:szCs w:val="20"/>
              </w:rPr>
              <w:t>(0.079)</w:t>
            </w:r>
          </w:p>
        </w:tc>
        <w:tc>
          <w:tcPr>
            <w:tcW w:w="1512" w:type="dxa"/>
            <w:noWrap/>
            <w:vAlign w:val="bottom"/>
            <w:hideMark/>
          </w:tcPr>
          <w:p w14:paraId="5910DD44" w14:textId="77777777" w:rsidR="007A6A1A" w:rsidRPr="003A7C61" w:rsidRDefault="007A6A1A" w:rsidP="003A7C61">
            <w:pPr>
              <w:spacing w:after="0" w:line="240" w:lineRule="auto"/>
              <w:rPr>
                <w:sz w:val="20"/>
                <w:szCs w:val="20"/>
              </w:rPr>
            </w:pPr>
            <w:r w:rsidRPr="003A7C61">
              <w:rPr>
                <w:sz w:val="20"/>
                <w:szCs w:val="20"/>
              </w:rPr>
              <w:t>(0.046)</w:t>
            </w:r>
          </w:p>
        </w:tc>
        <w:tc>
          <w:tcPr>
            <w:tcW w:w="1513" w:type="dxa"/>
            <w:tcBorders>
              <w:top w:val="nil"/>
              <w:left w:val="nil"/>
              <w:bottom w:val="nil"/>
              <w:right w:val="single" w:sz="4" w:space="0" w:color="auto"/>
            </w:tcBorders>
            <w:noWrap/>
            <w:vAlign w:val="bottom"/>
            <w:hideMark/>
          </w:tcPr>
          <w:p w14:paraId="77055B55" w14:textId="77777777" w:rsidR="007A6A1A" w:rsidRPr="003A7C61" w:rsidRDefault="007A6A1A" w:rsidP="003A7C61">
            <w:pPr>
              <w:spacing w:after="0" w:line="240" w:lineRule="auto"/>
              <w:rPr>
                <w:sz w:val="20"/>
                <w:szCs w:val="20"/>
              </w:rPr>
            </w:pPr>
            <w:r w:rsidRPr="003A7C61">
              <w:rPr>
                <w:sz w:val="20"/>
                <w:szCs w:val="20"/>
              </w:rPr>
              <w:t>(0.065)</w:t>
            </w:r>
          </w:p>
        </w:tc>
      </w:tr>
      <w:tr w:rsidR="007A6A1A" w:rsidRPr="00167CB8" w14:paraId="59D2B2B3" w14:textId="77777777" w:rsidTr="003A7C61">
        <w:trPr>
          <w:trHeight w:val="283"/>
        </w:trPr>
        <w:tc>
          <w:tcPr>
            <w:tcW w:w="2835" w:type="dxa"/>
            <w:tcBorders>
              <w:top w:val="nil"/>
              <w:left w:val="single" w:sz="4" w:space="0" w:color="auto"/>
              <w:bottom w:val="nil"/>
              <w:right w:val="nil"/>
            </w:tcBorders>
            <w:noWrap/>
            <w:vAlign w:val="bottom"/>
            <w:hideMark/>
          </w:tcPr>
          <w:p w14:paraId="1000C8CB" w14:textId="13DE8776" w:rsidR="007A6A1A" w:rsidRPr="003A7C61" w:rsidRDefault="007A6A1A" w:rsidP="003A7C61">
            <w:pPr>
              <w:spacing w:after="0" w:line="240" w:lineRule="auto"/>
              <w:rPr>
                <w:sz w:val="20"/>
                <w:szCs w:val="20"/>
              </w:rPr>
            </w:pPr>
            <w:r w:rsidRPr="003A7C61">
              <w:rPr>
                <w:sz w:val="20"/>
                <w:szCs w:val="20"/>
              </w:rPr>
              <w:t>Fixed</w:t>
            </w:r>
            <w:r w:rsidR="00C87E4A" w:rsidRPr="003A7C61">
              <w:rPr>
                <w:sz w:val="20"/>
                <w:szCs w:val="20"/>
              </w:rPr>
              <w:t>-</w:t>
            </w:r>
            <w:r w:rsidRPr="003A7C61">
              <w:rPr>
                <w:sz w:val="20"/>
                <w:szCs w:val="20"/>
              </w:rPr>
              <w:t>term contract</w:t>
            </w:r>
          </w:p>
        </w:tc>
        <w:tc>
          <w:tcPr>
            <w:tcW w:w="1512" w:type="dxa"/>
            <w:noWrap/>
            <w:vAlign w:val="bottom"/>
            <w:hideMark/>
          </w:tcPr>
          <w:p w14:paraId="0923CA26" w14:textId="77777777" w:rsidR="007A6A1A" w:rsidRPr="003A7C61" w:rsidRDefault="007A6A1A" w:rsidP="003A7C61">
            <w:pPr>
              <w:spacing w:after="0" w:line="240" w:lineRule="auto"/>
              <w:rPr>
                <w:sz w:val="20"/>
                <w:szCs w:val="20"/>
              </w:rPr>
            </w:pPr>
            <w:r w:rsidRPr="003A7C61">
              <w:rPr>
                <w:sz w:val="20"/>
                <w:szCs w:val="20"/>
              </w:rPr>
              <w:t>0.132**</w:t>
            </w:r>
          </w:p>
        </w:tc>
        <w:tc>
          <w:tcPr>
            <w:tcW w:w="1513" w:type="dxa"/>
            <w:noWrap/>
            <w:vAlign w:val="bottom"/>
            <w:hideMark/>
          </w:tcPr>
          <w:p w14:paraId="3D0EC256" w14:textId="77777777" w:rsidR="007A6A1A" w:rsidRPr="003A7C61" w:rsidRDefault="007A6A1A" w:rsidP="003A7C61">
            <w:pPr>
              <w:spacing w:after="0" w:line="240" w:lineRule="auto"/>
              <w:rPr>
                <w:sz w:val="20"/>
                <w:szCs w:val="20"/>
              </w:rPr>
            </w:pPr>
            <w:r w:rsidRPr="003A7C61">
              <w:rPr>
                <w:sz w:val="20"/>
                <w:szCs w:val="20"/>
              </w:rPr>
              <w:t>0.054</w:t>
            </w:r>
          </w:p>
        </w:tc>
        <w:tc>
          <w:tcPr>
            <w:tcW w:w="1512" w:type="dxa"/>
            <w:noWrap/>
            <w:vAlign w:val="bottom"/>
            <w:hideMark/>
          </w:tcPr>
          <w:p w14:paraId="7A422F5C" w14:textId="77777777" w:rsidR="007A6A1A" w:rsidRPr="003A7C61" w:rsidRDefault="007A6A1A" w:rsidP="003A7C61">
            <w:pPr>
              <w:spacing w:after="0" w:line="240" w:lineRule="auto"/>
              <w:rPr>
                <w:sz w:val="20"/>
                <w:szCs w:val="20"/>
              </w:rPr>
            </w:pPr>
            <w:r w:rsidRPr="003A7C61">
              <w:rPr>
                <w:sz w:val="20"/>
                <w:szCs w:val="20"/>
              </w:rPr>
              <w:t>-0.013</w:t>
            </w:r>
          </w:p>
        </w:tc>
        <w:tc>
          <w:tcPr>
            <w:tcW w:w="1513" w:type="dxa"/>
            <w:tcBorders>
              <w:top w:val="nil"/>
              <w:left w:val="nil"/>
              <w:bottom w:val="nil"/>
              <w:right w:val="single" w:sz="4" w:space="0" w:color="auto"/>
            </w:tcBorders>
            <w:noWrap/>
            <w:vAlign w:val="bottom"/>
            <w:hideMark/>
          </w:tcPr>
          <w:p w14:paraId="581FDF9F" w14:textId="77777777" w:rsidR="007A6A1A" w:rsidRPr="003A7C61" w:rsidRDefault="007A6A1A" w:rsidP="003A7C61">
            <w:pPr>
              <w:spacing w:after="0" w:line="240" w:lineRule="auto"/>
              <w:rPr>
                <w:sz w:val="20"/>
                <w:szCs w:val="20"/>
              </w:rPr>
            </w:pPr>
            <w:r w:rsidRPr="003A7C61">
              <w:rPr>
                <w:sz w:val="20"/>
                <w:szCs w:val="20"/>
              </w:rPr>
              <w:t>-0.048</w:t>
            </w:r>
          </w:p>
        </w:tc>
      </w:tr>
      <w:tr w:rsidR="007A6A1A" w:rsidRPr="00167CB8" w14:paraId="4D9B680B" w14:textId="77777777" w:rsidTr="003A7C61">
        <w:trPr>
          <w:trHeight w:val="283"/>
        </w:trPr>
        <w:tc>
          <w:tcPr>
            <w:tcW w:w="2835" w:type="dxa"/>
            <w:tcBorders>
              <w:top w:val="nil"/>
              <w:left w:val="single" w:sz="4" w:space="0" w:color="auto"/>
              <w:bottom w:val="nil"/>
              <w:right w:val="nil"/>
            </w:tcBorders>
            <w:noWrap/>
            <w:vAlign w:val="bottom"/>
            <w:hideMark/>
          </w:tcPr>
          <w:p w14:paraId="031E5200" w14:textId="77777777" w:rsidR="007A6A1A" w:rsidRPr="003A7C61" w:rsidRDefault="007A6A1A" w:rsidP="003A7C61">
            <w:pPr>
              <w:spacing w:after="0" w:line="240" w:lineRule="auto"/>
              <w:rPr>
                <w:sz w:val="20"/>
                <w:szCs w:val="20"/>
              </w:rPr>
            </w:pPr>
          </w:p>
        </w:tc>
        <w:tc>
          <w:tcPr>
            <w:tcW w:w="1512" w:type="dxa"/>
            <w:noWrap/>
            <w:vAlign w:val="bottom"/>
            <w:hideMark/>
          </w:tcPr>
          <w:p w14:paraId="3D3C7CBA" w14:textId="77777777" w:rsidR="007A6A1A" w:rsidRPr="003A7C61" w:rsidRDefault="007A6A1A" w:rsidP="003A7C61">
            <w:pPr>
              <w:spacing w:after="0" w:line="240" w:lineRule="auto"/>
              <w:rPr>
                <w:sz w:val="20"/>
                <w:szCs w:val="20"/>
              </w:rPr>
            </w:pPr>
            <w:r w:rsidRPr="003A7C61">
              <w:rPr>
                <w:sz w:val="20"/>
                <w:szCs w:val="20"/>
              </w:rPr>
              <w:t>(0.054)</w:t>
            </w:r>
          </w:p>
        </w:tc>
        <w:tc>
          <w:tcPr>
            <w:tcW w:w="1513" w:type="dxa"/>
            <w:noWrap/>
            <w:vAlign w:val="bottom"/>
            <w:hideMark/>
          </w:tcPr>
          <w:p w14:paraId="5489C449" w14:textId="77777777" w:rsidR="007A6A1A" w:rsidRPr="003A7C61" w:rsidRDefault="007A6A1A" w:rsidP="003A7C61">
            <w:pPr>
              <w:spacing w:after="0" w:line="240" w:lineRule="auto"/>
              <w:rPr>
                <w:sz w:val="20"/>
                <w:szCs w:val="20"/>
              </w:rPr>
            </w:pPr>
            <w:r w:rsidRPr="003A7C61">
              <w:rPr>
                <w:sz w:val="20"/>
                <w:szCs w:val="20"/>
              </w:rPr>
              <w:t>(0.046)</w:t>
            </w:r>
          </w:p>
        </w:tc>
        <w:tc>
          <w:tcPr>
            <w:tcW w:w="1512" w:type="dxa"/>
            <w:noWrap/>
            <w:vAlign w:val="bottom"/>
            <w:hideMark/>
          </w:tcPr>
          <w:p w14:paraId="443C17C2" w14:textId="77777777" w:rsidR="007A6A1A" w:rsidRPr="003A7C61" w:rsidRDefault="007A6A1A" w:rsidP="003A7C61">
            <w:pPr>
              <w:spacing w:after="0" w:line="240" w:lineRule="auto"/>
              <w:rPr>
                <w:sz w:val="20"/>
                <w:szCs w:val="20"/>
              </w:rPr>
            </w:pPr>
            <w:r w:rsidRPr="003A7C61">
              <w:rPr>
                <w:sz w:val="20"/>
                <w:szCs w:val="20"/>
              </w:rPr>
              <w:t>(0.034)</w:t>
            </w:r>
          </w:p>
        </w:tc>
        <w:tc>
          <w:tcPr>
            <w:tcW w:w="1513" w:type="dxa"/>
            <w:tcBorders>
              <w:top w:val="nil"/>
              <w:left w:val="nil"/>
              <w:bottom w:val="nil"/>
              <w:right w:val="single" w:sz="4" w:space="0" w:color="auto"/>
            </w:tcBorders>
            <w:noWrap/>
            <w:vAlign w:val="bottom"/>
            <w:hideMark/>
          </w:tcPr>
          <w:p w14:paraId="50685540" w14:textId="77777777" w:rsidR="007A6A1A" w:rsidRPr="003A7C61" w:rsidRDefault="007A6A1A" w:rsidP="003A7C61">
            <w:pPr>
              <w:spacing w:after="0" w:line="240" w:lineRule="auto"/>
              <w:rPr>
                <w:sz w:val="20"/>
                <w:szCs w:val="20"/>
              </w:rPr>
            </w:pPr>
            <w:r w:rsidRPr="003A7C61">
              <w:rPr>
                <w:sz w:val="20"/>
                <w:szCs w:val="20"/>
              </w:rPr>
              <w:t>(0.037)</w:t>
            </w:r>
          </w:p>
        </w:tc>
      </w:tr>
      <w:tr w:rsidR="007A6A1A" w:rsidRPr="00167CB8" w14:paraId="4B63A9BF" w14:textId="77777777" w:rsidTr="003A7C61">
        <w:trPr>
          <w:trHeight w:val="283"/>
        </w:trPr>
        <w:tc>
          <w:tcPr>
            <w:tcW w:w="2835" w:type="dxa"/>
            <w:tcBorders>
              <w:top w:val="nil"/>
              <w:left w:val="single" w:sz="4" w:space="0" w:color="auto"/>
              <w:bottom w:val="nil"/>
              <w:right w:val="nil"/>
            </w:tcBorders>
            <w:noWrap/>
            <w:vAlign w:val="bottom"/>
            <w:hideMark/>
          </w:tcPr>
          <w:p w14:paraId="5DF34822" w14:textId="77777777" w:rsidR="007A6A1A" w:rsidRPr="003A7C61" w:rsidRDefault="007A6A1A" w:rsidP="003A7C61">
            <w:pPr>
              <w:spacing w:after="0" w:line="240" w:lineRule="auto"/>
              <w:rPr>
                <w:sz w:val="20"/>
                <w:szCs w:val="20"/>
              </w:rPr>
            </w:pPr>
            <w:r w:rsidRPr="003A7C61">
              <w:rPr>
                <w:sz w:val="20"/>
                <w:szCs w:val="20"/>
              </w:rPr>
              <w:t>Casual contract</w:t>
            </w:r>
          </w:p>
        </w:tc>
        <w:tc>
          <w:tcPr>
            <w:tcW w:w="1512" w:type="dxa"/>
            <w:noWrap/>
            <w:vAlign w:val="bottom"/>
            <w:hideMark/>
          </w:tcPr>
          <w:p w14:paraId="59232DE5" w14:textId="77777777" w:rsidR="007A6A1A" w:rsidRPr="003A7C61" w:rsidRDefault="007A6A1A" w:rsidP="003A7C61">
            <w:pPr>
              <w:spacing w:after="0" w:line="240" w:lineRule="auto"/>
              <w:rPr>
                <w:sz w:val="20"/>
                <w:szCs w:val="20"/>
              </w:rPr>
            </w:pPr>
            <w:r w:rsidRPr="003A7C61">
              <w:rPr>
                <w:sz w:val="20"/>
                <w:szCs w:val="20"/>
              </w:rPr>
              <w:t>-0.064</w:t>
            </w:r>
          </w:p>
        </w:tc>
        <w:tc>
          <w:tcPr>
            <w:tcW w:w="1513" w:type="dxa"/>
            <w:noWrap/>
            <w:vAlign w:val="bottom"/>
            <w:hideMark/>
          </w:tcPr>
          <w:p w14:paraId="35A49976" w14:textId="77777777" w:rsidR="007A6A1A" w:rsidRPr="003A7C61" w:rsidRDefault="007A6A1A" w:rsidP="003A7C61">
            <w:pPr>
              <w:spacing w:after="0" w:line="240" w:lineRule="auto"/>
              <w:rPr>
                <w:sz w:val="20"/>
                <w:szCs w:val="20"/>
              </w:rPr>
            </w:pPr>
            <w:r w:rsidRPr="003A7C61">
              <w:rPr>
                <w:sz w:val="20"/>
                <w:szCs w:val="20"/>
              </w:rPr>
              <w:t>-0.240*</w:t>
            </w:r>
          </w:p>
        </w:tc>
        <w:tc>
          <w:tcPr>
            <w:tcW w:w="1512" w:type="dxa"/>
            <w:noWrap/>
            <w:vAlign w:val="bottom"/>
            <w:hideMark/>
          </w:tcPr>
          <w:p w14:paraId="06A01398" w14:textId="77777777" w:rsidR="007A6A1A" w:rsidRPr="003A7C61" w:rsidRDefault="007A6A1A" w:rsidP="003A7C61">
            <w:pPr>
              <w:spacing w:after="0" w:line="240" w:lineRule="auto"/>
              <w:rPr>
                <w:sz w:val="20"/>
                <w:szCs w:val="20"/>
              </w:rPr>
            </w:pPr>
            <w:r w:rsidRPr="003A7C61">
              <w:rPr>
                <w:sz w:val="20"/>
                <w:szCs w:val="20"/>
              </w:rPr>
              <w:t>0.099*</w:t>
            </w:r>
          </w:p>
        </w:tc>
        <w:tc>
          <w:tcPr>
            <w:tcW w:w="1513" w:type="dxa"/>
            <w:tcBorders>
              <w:top w:val="nil"/>
              <w:left w:val="nil"/>
              <w:bottom w:val="nil"/>
              <w:right w:val="single" w:sz="4" w:space="0" w:color="auto"/>
            </w:tcBorders>
            <w:noWrap/>
            <w:vAlign w:val="bottom"/>
            <w:hideMark/>
          </w:tcPr>
          <w:p w14:paraId="461C6BE2" w14:textId="77777777" w:rsidR="007A6A1A" w:rsidRPr="003A7C61" w:rsidRDefault="007A6A1A" w:rsidP="003A7C61">
            <w:pPr>
              <w:spacing w:after="0" w:line="240" w:lineRule="auto"/>
              <w:rPr>
                <w:sz w:val="20"/>
                <w:szCs w:val="20"/>
              </w:rPr>
            </w:pPr>
            <w:r w:rsidRPr="003A7C61">
              <w:rPr>
                <w:sz w:val="20"/>
                <w:szCs w:val="20"/>
              </w:rPr>
              <w:t>-0.178***</w:t>
            </w:r>
          </w:p>
        </w:tc>
      </w:tr>
      <w:tr w:rsidR="007A6A1A" w:rsidRPr="00167CB8" w14:paraId="06046672" w14:textId="77777777" w:rsidTr="003A7C61">
        <w:trPr>
          <w:trHeight w:val="283"/>
        </w:trPr>
        <w:tc>
          <w:tcPr>
            <w:tcW w:w="2835" w:type="dxa"/>
            <w:tcBorders>
              <w:top w:val="nil"/>
              <w:left w:val="single" w:sz="4" w:space="0" w:color="auto"/>
              <w:bottom w:val="nil"/>
              <w:right w:val="nil"/>
            </w:tcBorders>
            <w:noWrap/>
            <w:vAlign w:val="bottom"/>
            <w:hideMark/>
          </w:tcPr>
          <w:p w14:paraId="4973ECC3" w14:textId="77777777" w:rsidR="007A6A1A" w:rsidRPr="003A7C61" w:rsidRDefault="007A6A1A" w:rsidP="003A7C61">
            <w:pPr>
              <w:spacing w:after="0" w:line="240" w:lineRule="auto"/>
              <w:rPr>
                <w:sz w:val="20"/>
                <w:szCs w:val="20"/>
              </w:rPr>
            </w:pPr>
          </w:p>
        </w:tc>
        <w:tc>
          <w:tcPr>
            <w:tcW w:w="1512" w:type="dxa"/>
            <w:noWrap/>
            <w:vAlign w:val="bottom"/>
            <w:hideMark/>
          </w:tcPr>
          <w:p w14:paraId="7F4ECFA6" w14:textId="77777777" w:rsidR="007A6A1A" w:rsidRPr="003A7C61" w:rsidRDefault="007A6A1A" w:rsidP="003A7C61">
            <w:pPr>
              <w:spacing w:after="0" w:line="240" w:lineRule="auto"/>
              <w:rPr>
                <w:sz w:val="20"/>
                <w:szCs w:val="20"/>
              </w:rPr>
            </w:pPr>
            <w:r w:rsidRPr="003A7C61">
              <w:rPr>
                <w:sz w:val="20"/>
                <w:szCs w:val="20"/>
              </w:rPr>
              <w:t>(0.050)</w:t>
            </w:r>
          </w:p>
        </w:tc>
        <w:tc>
          <w:tcPr>
            <w:tcW w:w="1513" w:type="dxa"/>
            <w:noWrap/>
            <w:vAlign w:val="bottom"/>
            <w:hideMark/>
          </w:tcPr>
          <w:p w14:paraId="0D811934" w14:textId="77777777" w:rsidR="007A6A1A" w:rsidRPr="003A7C61" w:rsidRDefault="007A6A1A" w:rsidP="003A7C61">
            <w:pPr>
              <w:spacing w:after="0" w:line="240" w:lineRule="auto"/>
              <w:rPr>
                <w:sz w:val="20"/>
                <w:szCs w:val="20"/>
              </w:rPr>
            </w:pPr>
            <w:r w:rsidRPr="003A7C61">
              <w:rPr>
                <w:sz w:val="20"/>
                <w:szCs w:val="20"/>
              </w:rPr>
              <w:t>(0.124)</w:t>
            </w:r>
          </w:p>
        </w:tc>
        <w:tc>
          <w:tcPr>
            <w:tcW w:w="1512" w:type="dxa"/>
            <w:noWrap/>
            <w:vAlign w:val="bottom"/>
            <w:hideMark/>
          </w:tcPr>
          <w:p w14:paraId="2CB0AA25" w14:textId="77777777" w:rsidR="007A6A1A" w:rsidRPr="003A7C61" w:rsidRDefault="007A6A1A" w:rsidP="003A7C61">
            <w:pPr>
              <w:spacing w:after="0" w:line="240" w:lineRule="auto"/>
              <w:rPr>
                <w:sz w:val="20"/>
                <w:szCs w:val="20"/>
              </w:rPr>
            </w:pPr>
            <w:r w:rsidRPr="003A7C61">
              <w:rPr>
                <w:sz w:val="20"/>
                <w:szCs w:val="20"/>
              </w:rPr>
              <w:t>(0.060)</w:t>
            </w:r>
          </w:p>
        </w:tc>
        <w:tc>
          <w:tcPr>
            <w:tcW w:w="1513" w:type="dxa"/>
            <w:tcBorders>
              <w:top w:val="nil"/>
              <w:left w:val="nil"/>
              <w:bottom w:val="nil"/>
              <w:right w:val="single" w:sz="4" w:space="0" w:color="auto"/>
            </w:tcBorders>
            <w:noWrap/>
            <w:vAlign w:val="bottom"/>
            <w:hideMark/>
          </w:tcPr>
          <w:p w14:paraId="107C2782" w14:textId="77777777" w:rsidR="007A6A1A" w:rsidRPr="003A7C61" w:rsidRDefault="007A6A1A" w:rsidP="003A7C61">
            <w:pPr>
              <w:spacing w:after="0" w:line="240" w:lineRule="auto"/>
              <w:rPr>
                <w:sz w:val="20"/>
                <w:szCs w:val="20"/>
              </w:rPr>
            </w:pPr>
            <w:r w:rsidRPr="003A7C61">
              <w:rPr>
                <w:sz w:val="20"/>
                <w:szCs w:val="20"/>
              </w:rPr>
              <w:t>(0.067)</w:t>
            </w:r>
          </w:p>
        </w:tc>
      </w:tr>
      <w:tr w:rsidR="007A6A1A" w:rsidRPr="00167CB8" w14:paraId="03005F2E" w14:textId="77777777" w:rsidTr="003A7C61">
        <w:trPr>
          <w:trHeight w:val="283"/>
        </w:trPr>
        <w:tc>
          <w:tcPr>
            <w:tcW w:w="2835" w:type="dxa"/>
            <w:tcBorders>
              <w:top w:val="single" w:sz="4" w:space="0" w:color="auto"/>
              <w:left w:val="single" w:sz="4" w:space="0" w:color="auto"/>
              <w:bottom w:val="single" w:sz="4" w:space="0" w:color="auto"/>
              <w:right w:val="nil"/>
            </w:tcBorders>
            <w:noWrap/>
            <w:vAlign w:val="bottom"/>
            <w:hideMark/>
          </w:tcPr>
          <w:p w14:paraId="71DACA13" w14:textId="77777777" w:rsidR="007A6A1A" w:rsidRPr="003A7C61" w:rsidRDefault="007A6A1A" w:rsidP="003A7C61">
            <w:pPr>
              <w:spacing w:after="0" w:line="240" w:lineRule="auto"/>
              <w:rPr>
                <w:sz w:val="20"/>
                <w:szCs w:val="20"/>
              </w:rPr>
            </w:pPr>
            <w:r w:rsidRPr="003A7C61">
              <w:rPr>
                <w:sz w:val="20"/>
                <w:szCs w:val="20"/>
              </w:rPr>
              <w:t>Observations</w:t>
            </w:r>
          </w:p>
        </w:tc>
        <w:tc>
          <w:tcPr>
            <w:tcW w:w="1512" w:type="dxa"/>
            <w:tcBorders>
              <w:top w:val="single" w:sz="4" w:space="0" w:color="auto"/>
              <w:left w:val="nil"/>
              <w:bottom w:val="single" w:sz="4" w:space="0" w:color="auto"/>
              <w:right w:val="nil"/>
            </w:tcBorders>
            <w:noWrap/>
            <w:vAlign w:val="bottom"/>
            <w:hideMark/>
          </w:tcPr>
          <w:p w14:paraId="7187309D" w14:textId="77777777" w:rsidR="007A6A1A" w:rsidRPr="003A7C61" w:rsidRDefault="007A6A1A" w:rsidP="003A7C61">
            <w:pPr>
              <w:spacing w:after="0" w:line="240" w:lineRule="auto"/>
              <w:rPr>
                <w:sz w:val="20"/>
                <w:szCs w:val="20"/>
              </w:rPr>
            </w:pPr>
            <w:r w:rsidRPr="003A7C61">
              <w:rPr>
                <w:sz w:val="20"/>
                <w:szCs w:val="20"/>
              </w:rPr>
              <w:t>1,566</w:t>
            </w:r>
          </w:p>
        </w:tc>
        <w:tc>
          <w:tcPr>
            <w:tcW w:w="1513" w:type="dxa"/>
            <w:tcBorders>
              <w:top w:val="single" w:sz="4" w:space="0" w:color="auto"/>
              <w:left w:val="nil"/>
              <w:bottom w:val="single" w:sz="4" w:space="0" w:color="auto"/>
              <w:right w:val="nil"/>
            </w:tcBorders>
            <w:noWrap/>
            <w:vAlign w:val="bottom"/>
            <w:hideMark/>
          </w:tcPr>
          <w:p w14:paraId="6A60DEA9" w14:textId="77777777" w:rsidR="007A6A1A" w:rsidRPr="003A7C61" w:rsidRDefault="007A6A1A" w:rsidP="003A7C61">
            <w:pPr>
              <w:spacing w:after="0" w:line="240" w:lineRule="auto"/>
              <w:rPr>
                <w:sz w:val="20"/>
                <w:szCs w:val="20"/>
              </w:rPr>
            </w:pPr>
            <w:r w:rsidRPr="003A7C61">
              <w:rPr>
                <w:sz w:val="20"/>
                <w:szCs w:val="20"/>
              </w:rPr>
              <w:t>980</w:t>
            </w:r>
          </w:p>
        </w:tc>
        <w:tc>
          <w:tcPr>
            <w:tcW w:w="1512" w:type="dxa"/>
            <w:tcBorders>
              <w:top w:val="single" w:sz="4" w:space="0" w:color="auto"/>
              <w:left w:val="nil"/>
              <w:bottom w:val="single" w:sz="4" w:space="0" w:color="auto"/>
              <w:right w:val="nil"/>
            </w:tcBorders>
            <w:noWrap/>
            <w:vAlign w:val="bottom"/>
            <w:hideMark/>
          </w:tcPr>
          <w:p w14:paraId="214ADB54" w14:textId="77777777" w:rsidR="007A6A1A" w:rsidRPr="003A7C61" w:rsidRDefault="007A6A1A" w:rsidP="003A7C61">
            <w:pPr>
              <w:spacing w:after="0" w:line="240" w:lineRule="auto"/>
              <w:rPr>
                <w:sz w:val="20"/>
                <w:szCs w:val="20"/>
              </w:rPr>
            </w:pPr>
            <w:r w:rsidRPr="003A7C61">
              <w:rPr>
                <w:sz w:val="20"/>
                <w:szCs w:val="20"/>
              </w:rPr>
              <w:t>1,566</w:t>
            </w:r>
          </w:p>
        </w:tc>
        <w:tc>
          <w:tcPr>
            <w:tcW w:w="1513" w:type="dxa"/>
            <w:tcBorders>
              <w:top w:val="single" w:sz="4" w:space="0" w:color="auto"/>
              <w:left w:val="nil"/>
              <w:bottom w:val="single" w:sz="4" w:space="0" w:color="auto"/>
              <w:right w:val="single" w:sz="4" w:space="0" w:color="auto"/>
            </w:tcBorders>
            <w:noWrap/>
            <w:vAlign w:val="bottom"/>
            <w:hideMark/>
          </w:tcPr>
          <w:p w14:paraId="4FCCE880" w14:textId="77777777" w:rsidR="007A6A1A" w:rsidRPr="003A7C61" w:rsidRDefault="007A6A1A" w:rsidP="003A7C61">
            <w:pPr>
              <w:spacing w:after="0" w:line="240" w:lineRule="auto"/>
              <w:rPr>
                <w:sz w:val="20"/>
                <w:szCs w:val="20"/>
              </w:rPr>
            </w:pPr>
            <w:r w:rsidRPr="003A7C61">
              <w:rPr>
                <w:sz w:val="20"/>
                <w:szCs w:val="20"/>
              </w:rPr>
              <w:t>980</w:t>
            </w:r>
          </w:p>
        </w:tc>
      </w:tr>
      <w:tr w:rsidR="007A6A1A" w:rsidRPr="00167CB8" w14:paraId="6FE55D92" w14:textId="77777777" w:rsidTr="003A7C61">
        <w:trPr>
          <w:trHeight w:val="283"/>
        </w:trPr>
        <w:tc>
          <w:tcPr>
            <w:tcW w:w="2835" w:type="dxa"/>
            <w:tcBorders>
              <w:top w:val="single" w:sz="4" w:space="0" w:color="auto"/>
              <w:left w:val="single" w:sz="4" w:space="0" w:color="auto"/>
              <w:bottom w:val="single" w:sz="4" w:space="0" w:color="auto"/>
              <w:right w:val="nil"/>
            </w:tcBorders>
            <w:noWrap/>
            <w:vAlign w:val="bottom"/>
            <w:hideMark/>
          </w:tcPr>
          <w:p w14:paraId="405011AC" w14:textId="77777777" w:rsidR="007A6A1A" w:rsidRPr="003A7C61" w:rsidRDefault="007A6A1A" w:rsidP="003A7C61">
            <w:pPr>
              <w:spacing w:after="0" w:line="240" w:lineRule="auto"/>
              <w:rPr>
                <w:sz w:val="20"/>
                <w:szCs w:val="20"/>
              </w:rPr>
            </w:pPr>
            <w:r w:rsidRPr="003A7C61">
              <w:rPr>
                <w:sz w:val="20"/>
                <w:szCs w:val="20"/>
              </w:rPr>
              <w:t xml:space="preserve">Unique individuals </w:t>
            </w:r>
          </w:p>
        </w:tc>
        <w:tc>
          <w:tcPr>
            <w:tcW w:w="1512" w:type="dxa"/>
            <w:tcBorders>
              <w:top w:val="single" w:sz="4" w:space="0" w:color="auto"/>
              <w:left w:val="nil"/>
              <w:bottom w:val="single" w:sz="4" w:space="0" w:color="auto"/>
              <w:right w:val="nil"/>
            </w:tcBorders>
            <w:noWrap/>
            <w:vAlign w:val="bottom"/>
          </w:tcPr>
          <w:p w14:paraId="5AC2C289" w14:textId="77777777" w:rsidR="007A6A1A" w:rsidRPr="003A7C61" w:rsidRDefault="007A6A1A" w:rsidP="003A7C61">
            <w:pPr>
              <w:spacing w:after="0" w:line="240" w:lineRule="auto"/>
              <w:rPr>
                <w:sz w:val="20"/>
                <w:szCs w:val="20"/>
              </w:rPr>
            </w:pPr>
          </w:p>
        </w:tc>
        <w:tc>
          <w:tcPr>
            <w:tcW w:w="1513" w:type="dxa"/>
            <w:tcBorders>
              <w:top w:val="single" w:sz="4" w:space="0" w:color="auto"/>
              <w:left w:val="nil"/>
              <w:bottom w:val="single" w:sz="4" w:space="0" w:color="auto"/>
              <w:right w:val="nil"/>
            </w:tcBorders>
            <w:noWrap/>
            <w:vAlign w:val="bottom"/>
          </w:tcPr>
          <w:p w14:paraId="7CADE472" w14:textId="77777777" w:rsidR="007A6A1A" w:rsidRPr="003A7C61" w:rsidRDefault="007A6A1A" w:rsidP="003A7C61">
            <w:pPr>
              <w:spacing w:after="0" w:line="240" w:lineRule="auto"/>
              <w:rPr>
                <w:sz w:val="20"/>
                <w:szCs w:val="20"/>
              </w:rPr>
            </w:pPr>
          </w:p>
        </w:tc>
        <w:tc>
          <w:tcPr>
            <w:tcW w:w="1512" w:type="dxa"/>
            <w:tcBorders>
              <w:top w:val="single" w:sz="4" w:space="0" w:color="auto"/>
              <w:left w:val="nil"/>
              <w:bottom w:val="single" w:sz="4" w:space="0" w:color="auto"/>
              <w:right w:val="nil"/>
            </w:tcBorders>
            <w:noWrap/>
            <w:vAlign w:val="bottom"/>
            <w:hideMark/>
          </w:tcPr>
          <w:p w14:paraId="3621F216" w14:textId="77777777" w:rsidR="007A6A1A" w:rsidRPr="003A7C61" w:rsidRDefault="007A6A1A" w:rsidP="003A7C61">
            <w:pPr>
              <w:spacing w:after="0" w:line="240" w:lineRule="auto"/>
              <w:rPr>
                <w:sz w:val="20"/>
                <w:szCs w:val="20"/>
              </w:rPr>
            </w:pPr>
            <w:r w:rsidRPr="003A7C61">
              <w:rPr>
                <w:sz w:val="20"/>
                <w:szCs w:val="20"/>
              </w:rPr>
              <w:t>769</w:t>
            </w:r>
          </w:p>
        </w:tc>
        <w:tc>
          <w:tcPr>
            <w:tcW w:w="1513" w:type="dxa"/>
            <w:tcBorders>
              <w:top w:val="single" w:sz="4" w:space="0" w:color="auto"/>
              <w:left w:val="nil"/>
              <w:bottom w:val="single" w:sz="4" w:space="0" w:color="auto"/>
              <w:right w:val="single" w:sz="4" w:space="0" w:color="auto"/>
            </w:tcBorders>
            <w:noWrap/>
            <w:vAlign w:val="bottom"/>
            <w:hideMark/>
          </w:tcPr>
          <w:p w14:paraId="4F50F575" w14:textId="77777777" w:rsidR="007A6A1A" w:rsidRPr="003A7C61" w:rsidRDefault="007A6A1A" w:rsidP="003A7C61">
            <w:pPr>
              <w:spacing w:after="0" w:line="240" w:lineRule="auto"/>
              <w:rPr>
                <w:sz w:val="20"/>
                <w:szCs w:val="20"/>
              </w:rPr>
            </w:pPr>
            <w:r w:rsidRPr="003A7C61">
              <w:rPr>
                <w:sz w:val="20"/>
                <w:szCs w:val="20"/>
              </w:rPr>
              <w:t>589</w:t>
            </w:r>
          </w:p>
        </w:tc>
      </w:tr>
    </w:tbl>
    <w:p w14:paraId="4D43A299" w14:textId="77777777" w:rsidR="007A6A1A" w:rsidRPr="00167CB8" w:rsidRDefault="007A6A1A" w:rsidP="00C87E4A">
      <w:pPr>
        <w:pStyle w:val="Source"/>
        <w:rPr>
          <w:b/>
          <w:bCs/>
        </w:rPr>
      </w:pPr>
      <w:r w:rsidRPr="00167CB8">
        <w:rPr>
          <w:b/>
          <w:bCs/>
        </w:rPr>
        <w:t xml:space="preserve">Notes: </w:t>
      </w:r>
    </w:p>
    <w:p w14:paraId="36C1AB76" w14:textId="348AC927" w:rsidR="007A6A1A" w:rsidRPr="00167CB8" w:rsidRDefault="00C87E4A" w:rsidP="00C87E4A">
      <w:pPr>
        <w:pStyle w:val="Source"/>
      </w:pPr>
      <w:r w:rsidRPr="00167CB8">
        <w:t xml:space="preserve">1. </w:t>
      </w:r>
      <w:r w:rsidR="007A6A1A" w:rsidRPr="00167CB8">
        <w:t xml:space="preserve">Sample consists of respondents aged 21 to 64 who are employees, have an observable wage and work more than 5 hours per week in their main job and fewer than 60 hours per week in their main job, and have observable data on method of pay setting. </w:t>
      </w:r>
    </w:p>
    <w:p w14:paraId="3EDBAC94" w14:textId="5D11076D" w:rsidR="007A6A1A" w:rsidRPr="00167CB8" w:rsidRDefault="00C87E4A" w:rsidP="00C87E4A">
      <w:pPr>
        <w:pStyle w:val="Source"/>
      </w:pPr>
      <w:r w:rsidRPr="00167CB8">
        <w:t xml:space="preserve">2. </w:t>
      </w:r>
      <w:r w:rsidR="007A6A1A" w:rsidRPr="00167CB8">
        <w:t>Dependent variable is the natural logarithm of main job weekly wages in 2022 prices.</w:t>
      </w:r>
    </w:p>
    <w:p w14:paraId="0C787406" w14:textId="5869365B" w:rsidR="007A6A1A" w:rsidRPr="00167CB8" w:rsidRDefault="00C87E4A" w:rsidP="00C87E4A">
      <w:pPr>
        <w:pStyle w:val="Source"/>
      </w:pPr>
      <w:r w:rsidRPr="00167CB8">
        <w:t xml:space="preserve">3. </w:t>
      </w:r>
      <w:r w:rsidR="007A6A1A" w:rsidRPr="00167CB8">
        <w:t>Columns 1 and 2 are based on ordinary least squares (OLS) while columns 3</w:t>
      </w:r>
      <w:r w:rsidRPr="00167CB8">
        <w:t xml:space="preserve"> </w:t>
      </w:r>
      <w:r w:rsidR="007A6A1A" w:rsidRPr="00167CB8">
        <w:t xml:space="preserve">and 4 present estimates using a fixed effects panel estimator. </w:t>
      </w:r>
    </w:p>
    <w:p w14:paraId="0407BDE2" w14:textId="100AF45F" w:rsidR="007A6A1A" w:rsidRPr="00167CB8" w:rsidRDefault="00C87E4A" w:rsidP="00C87E4A">
      <w:pPr>
        <w:pStyle w:val="Source"/>
      </w:pPr>
      <w:r w:rsidRPr="00167CB8">
        <w:t xml:space="preserve">4. </w:t>
      </w:r>
      <w:r w:rsidR="007A6A1A" w:rsidRPr="00167CB8">
        <w:t>OLS estimates weighted to reflect population values.</w:t>
      </w:r>
    </w:p>
    <w:p w14:paraId="380C4751" w14:textId="0191817D" w:rsidR="007A6A1A" w:rsidRPr="00167CB8" w:rsidRDefault="00C87E4A" w:rsidP="00C87E4A">
      <w:pPr>
        <w:pStyle w:val="Source"/>
      </w:pPr>
      <w:r w:rsidRPr="00167CB8">
        <w:t xml:space="preserve">5. </w:t>
      </w:r>
      <w:r w:rsidR="007A6A1A" w:rsidRPr="00167CB8">
        <w:t xml:space="preserve">Other controls in the regression include </w:t>
      </w:r>
      <w:r w:rsidRPr="00167CB8">
        <w:t xml:space="preserve">2 </w:t>
      </w:r>
      <w:r w:rsidR="007A6A1A" w:rsidRPr="00167CB8">
        <w:t>dummies for type of employment (fixed term or casual</w:t>
      </w:r>
      <w:r w:rsidRPr="00167CB8">
        <w:t>;</w:t>
      </w:r>
      <w:r w:rsidR="007A6A1A" w:rsidRPr="00167CB8">
        <w:t xml:space="preserve"> the reference group is permanent), </w:t>
      </w:r>
      <w:r w:rsidRPr="00167CB8">
        <w:t xml:space="preserve">3 </w:t>
      </w:r>
      <w:r w:rsidR="007A6A1A" w:rsidRPr="00167CB8">
        <w:t>dummies for highest education attained (the reference group is those with no post-school qualifications), age and its square, marital status, dependent children, country of birth (</w:t>
      </w:r>
      <w:r w:rsidRPr="00167CB8">
        <w:t xml:space="preserve">2 </w:t>
      </w:r>
      <w:r w:rsidR="007A6A1A" w:rsidRPr="00167CB8">
        <w:t>dummies), sector of employment, trade union membership, controls for geographic area of residence (urban, other urban and state fixed effects), the unemployment rate and year fixed effects.</w:t>
      </w:r>
    </w:p>
    <w:p w14:paraId="4A18BB74" w14:textId="0EDC1AD9" w:rsidR="007A6A1A" w:rsidRPr="00167CB8" w:rsidRDefault="00C87E4A" w:rsidP="00C87E4A">
      <w:pPr>
        <w:pStyle w:val="Source"/>
      </w:pPr>
      <w:r w:rsidRPr="00167CB8">
        <w:t xml:space="preserve">6. </w:t>
      </w:r>
      <w:r w:rsidR="007A6A1A" w:rsidRPr="00167CB8">
        <w:t>Robust standard errors in parentheses, significance given by: *** p&lt;0.01, ** p&lt;0.05, * p&lt;0.1.</w:t>
      </w:r>
    </w:p>
    <w:p w14:paraId="31DC207E" w14:textId="46214870" w:rsidR="007A6A1A" w:rsidRPr="00167CB8" w:rsidRDefault="007A6A1A" w:rsidP="00C87E4A">
      <w:pPr>
        <w:pStyle w:val="Source"/>
      </w:pPr>
      <w:r w:rsidRPr="00167CB8">
        <w:rPr>
          <w:b/>
          <w:bCs/>
        </w:rPr>
        <w:t xml:space="preserve">Source: </w:t>
      </w:r>
      <w:r w:rsidRPr="00167CB8">
        <w:t>HILDA, waves 12</w:t>
      </w:r>
      <w:r w:rsidR="00C87E4A" w:rsidRPr="00167CB8">
        <w:rPr>
          <w:rFonts w:ascii="Symbol" w:eastAsia="Symbol" w:hAnsi="Symbol" w:cs="Symbol"/>
        </w:rPr>
        <w:sym w:font="Symbol" w:char="F02D"/>
      </w:r>
      <w:r w:rsidRPr="00167CB8">
        <w:t xml:space="preserve">22. </w:t>
      </w:r>
    </w:p>
    <w:p w14:paraId="0F6D7C7A" w14:textId="4F665EAD" w:rsidR="007A6A1A" w:rsidRPr="00167CB8" w:rsidRDefault="007A6A1A" w:rsidP="00C87E4A">
      <w:pPr>
        <w:pStyle w:val="Source"/>
        <w:rPr>
          <w:i/>
          <w:iCs/>
        </w:rPr>
      </w:pPr>
      <w:r w:rsidRPr="00167CB8">
        <w:rPr>
          <w:b/>
          <w:bCs/>
        </w:rPr>
        <w:t>Alt-text:</w:t>
      </w:r>
      <w:r w:rsidRPr="00167CB8">
        <w:t xml:space="preserve"> A table of results from a multiple regression showing the effect or association of method of pay setting with the weekly wages of full-time employees in Australia. Columns 1 and 2 based on ordinary least squares shows that persons covered by a collective agreement earn significantly more than their counterpart paid exactly by the </w:t>
      </w:r>
      <w:r w:rsidR="00C87E4A" w:rsidRPr="00167CB8">
        <w:t>a</w:t>
      </w:r>
      <w:r w:rsidRPr="00167CB8">
        <w:t>ward.</w:t>
      </w:r>
      <w:r w:rsidRPr="00167CB8">
        <w:rPr>
          <w:i/>
          <w:iCs/>
        </w:rPr>
        <w:br w:type="page"/>
      </w:r>
    </w:p>
    <w:p w14:paraId="764D1521" w14:textId="77777777" w:rsidR="007A6A1A" w:rsidRPr="00167CB8" w:rsidRDefault="007A6A1A" w:rsidP="00650687">
      <w:pPr>
        <w:pStyle w:val="Heading5"/>
      </w:pPr>
      <w:r w:rsidRPr="00167CB8">
        <w:lastRenderedPageBreak/>
        <w:t>3.5.2 Gender wage gap</w:t>
      </w:r>
    </w:p>
    <w:p w14:paraId="4FB53F1E" w14:textId="77777777" w:rsidR="0019190D" w:rsidRDefault="007A6A1A" w:rsidP="007A6A1A">
      <w:pPr>
        <w:spacing w:after="160"/>
      </w:pPr>
      <w:r w:rsidRPr="00B35588">
        <w:t>Earlier</w:t>
      </w:r>
      <w:r w:rsidR="00B35588">
        <w:t xml:space="preserve"> it was noted that</w:t>
      </w:r>
      <w:r w:rsidR="00700C5C" w:rsidRPr="00167CB8">
        <w:t xml:space="preserve"> a large share of</w:t>
      </w:r>
      <w:r w:rsidR="0019190D">
        <w:t xml:space="preserve"> employed</w:t>
      </w:r>
      <w:r w:rsidR="00700C5C" w:rsidRPr="00167CB8">
        <w:t xml:space="preserve"> women (43%) work part-time.</w:t>
      </w:r>
      <w:r w:rsidR="0019190D">
        <w:t xml:space="preserve"> The </w:t>
      </w:r>
      <w:r w:rsidR="00B35588">
        <w:t xml:space="preserve">raw </w:t>
      </w:r>
      <w:r w:rsidRPr="00B35588">
        <w:t>GWG</w:t>
      </w:r>
      <w:r w:rsidR="0019190D">
        <w:t xml:space="preserve">, however, is typically </w:t>
      </w:r>
      <w:r w:rsidR="00B35588">
        <w:t>measured</w:t>
      </w:r>
      <w:r w:rsidRPr="00B35588">
        <w:t xml:space="preserve"> using AWOTE </w:t>
      </w:r>
      <w:r w:rsidR="0019190D">
        <w:t xml:space="preserve">and because the ABS series used to generate this gap does not publish hourly data the focus is restricted to </w:t>
      </w:r>
      <w:r w:rsidRPr="00B35588">
        <w:t xml:space="preserve">outcomes in the full-time labour </w:t>
      </w:r>
      <w:r w:rsidR="0019190D">
        <w:t>market.</w:t>
      </w:r>
      <w:r w:rsidRPr="00167CB8">
        <w:t xml:space="preserve"> </w:t>
      </w:r>
    </w:p>
    <w:p w14:paraId="063097C4" w14:textId="2EB99094" w:rsidR="007A6A1A" w:rsidRPr="00167CB8" w:rsidRDefault="0019190D" w:rsidP="007A6A1A">
      <w:pPr>
        <w:spacing w:after="160"/>
      </w:pPr>
      <w:r>
        <w:t xml:space="preserve">To </w:t>
      </w:r>
      <w:r w:rsidR="0003016F">
        <w:t xml:space="preserve">extend this analysis, </w:t>
      </w:r>
      <w:r w:rsidR="007A6A1A" w:rsidRPr="00167CB8">
        <w:t xml:space="preserve">Figure </w:t>
      </w:r>
      <w:r w:rsidR="00607908" w:rsidRPr="00167CB8">
        <w:t>45</w:t>
      </w:r>
      <w:r w:rsidR="007A6A1A" w:rsidRPr="00167CB8">
        <w:t xml:space="preserve"> compares the GWG using AWOTE (full-timers) with measures of the GWG using HILDA data. </w:t>
      </w:r>
      <w:r w:rsidR="0003016F">
        <w:t>The GWG generated using the HILDA data is based on hourly earnings and a sample that includes part-timers as well as full-timers.</w:t>
      </w:r>
    </w:p>
    <w:p w14:paraId="1BF986AE" w14:textId="77182241" w:rsidR="007A6A1A" w:rsidRPr="00167CB8" w:rsidRDefault="007A6A1A" w:rsidP="00470AB9">
      <w:pPr>
        <w:pStyle w:val="Caption"/>
      </w:pPr>
      <w:bookmarkStart w:id="821" w:name="_Toc186991800"/>
      <w:bookmarkStart w:id="822" w:name="_Toc189310833"/>
      <w:bookmarkStart w:id="823" w:name="_Ref184405540"/>
      <w:r w:rsidRPr="00167CB8">
        <w:t xml:space="preserve">Figure </w:t>
      </w:r>
      <w:r w:rsidR="00607908" w:rsidRPr="00167CB8">
        <w:t>45</w:t>
      </w:r>
      <w:r w:rsidRPr="00167CB8">
        <w:t>: Trends in the gender wage gap among full-timers and all employees</w:t>
      </w:r>
      <w:bookmarkEnd w:id="821"/>
      <w:bookmarkEnd w:id="822"/>
    </w:p>
    <w:p w14:paraId="4EB07FED" w14:textId="77777777" w:rsidR="007A6A1A" w:rsidRPr="00167CB8" w:rsidRDefault="007A6A1A" w:rsidP="007A6A1A">
      <w:pPr>
        <w:spacing w:after="160"/>
      </w:pPr>
      <w:r w:rsidRPr="00167CB8">
        <w:rPr>
          <w:noProof/>
        </w:rPr>
        <w:drawing>
          <wp:inline distT="0" distB="0" distL="0" distR="0" wp14:anchorId="4C74153B" wp14:editId="1C5F551F">
            <wp:extent cx="5731510" cy="3750945"/>
            <wp:effectExtent l="0" t="0" r="2540" b="1905"/>
            <wp:docPr id="1589538594" name="Picture 4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a number of people&#10;&#10;Description automatically generated with medium confidenc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2ADE59E2" w14:textId="6FD76112" w:rsidR="00C87E4A" w:rsidRPr="00167CB8" w:rsidRDefault="00C87E4A" w:rsidP="00C87E4A">
      <w:pPr>
        <w:pStyle w:val="Source"/>
        <w:rPr>
          <w:b/>
          <w:bCs/>
        </w:rPr>
      </w:pPr>
      <w:r w:rsidRPr="00167CB8">
        <w:rPr>
          <w:b/>
          <w:bCs/>
        </w:rPr>
        <w:t>Notes:</w:t>
      </w:r>
    </w:p>
    <w:p w14:paraId="64288235" w14:textId="7FC15651" w:rsidR="007A6A1A" w:rsidRPr="00167CB8" w:rsidRDefault="00C87E4A" w:rsidP="00C87E4A">
      <w:pPr>
        <w:pStyle w:val="Source"/>
      </w:pPr>
      <w:r w:rsidRPr="00167CB8">
        <w:t xml:space="preserve">1. </w:t>
      </w:r>
      <w:r w:rsidR="007A6A1A" w:rsidRPr="00167CB8">
        <w:t xml:space="preserve">Sample consists of employees aged 21 to 64 </w:t>
      </w:r>
    </w:p>
    <w:p w14:paraId="011826AA" w14:textId="639CFDAE" w:rsidR="007A6A1A" w:rsidRPr="00167CB8" w:rsidRDefault="00C87E4A" w:rsidP="00C87E4A">
      <w:pPr>
        <w:pStyle w:val="Source"/>
      </w:pPr>
      <w:r w:rsidRPr="00167CB8">
        <w:t xml:space="preserve">2. </w:t>
      </w:r>
      <w:r w:rsidR="007A6A1A" w:rsidRPr="00167CB8">
        <w:t xml:space="preserve">Estimates from the Household, Income and Labour Dynamics in Australia (HILDA) </w:t>
      </w:r>
      <w:r w:rsidRPr="00167CB8">
        <w:t>s</w:t>
      </w:r>
      <w:r w:rsidR="007A6A1A" w:rsidRPr="00167CB8">
        <w:t>urvey (for waves 8</w:t>
      </w:r>
      <w:r w:rsidRPr="00167CB8">
        <w:rPr>
          <w:rFonts w:ascii="Symbol" w:eastAsia="Symbol" w:hAnsi="Symbol" w:cs="Symbol"/>
        </w:rPr>
        <w:sym w:font="Symbol" w:char="F02D"/>
      </w:r>
      <w:r w:rsidR="007A6A1A" w:rsidRPr="00167CB8">
        <w:t>23) are weighted to reflect population totals and are based, separately, on hourly earnings (main job) among full-timers (persons who work 35 or more hours per week) and all employees.</w:t>
      </w:r>
    </w:p>
    <w:p w14:paraId="16900175" w14:textId="59CF1D23" w:rsidR="007A6A1A" w:rsidRPr="00167CB8" w:rsidRDefault="00C87E4A" w:rsidP="00C87E4A">
      <w:pPr>
        <w:pStyle w:val="Source"/>
      </w:pPr>
      <w:r w:rsidRPr="00167CB8">
        <w:t xml:space="preserve">3. </w:t>
      </w:r>
      <w:r w:rsidR="007A6A1A" w:rsidRPr="00167CB8">
        <w:t>The gender wage gap (GWG) using data from the Australian Bureau of Statistics average weekly ordinary time earnings (AWOTE) series for full-timers (only) is shown for comparison. This series is based on the November estimates of each year (the exception is 2024</w:t>
      </w:r>
      <w:r w:rsidRPr="00167CB8">
        <w:t>,</w:t>
      </w:r>
      <w:r w:rsidR="007A6A1A" w:rsidRPr="00167CB8">
        <w:t xml:space="preserve"> which uses the May estimates).</w:t>
      </w:r>
    </w:p>
    <w:bookmarkEnd w:id="823"/>
    <w:p w14:paraId="392F40C0" w14:textId="77777777" w:rsidR="007A6A1A" w:rsidRPr="00167CB8" w:rsidRDefault="007A6A1A" w:rsidP="00C87E4A">
      <w:pPr>
        <w:pStyle w:val="Source"/>
      </w:pPr>
      <w:r w:rsidRPr="00167CB8">
        <w:rPr>
          <w:b/>
          <w:bCs/>
        </w:rPr>
        <w:t>Alt-text:</w:t>
      </w:r>
      <w:r w:rsidRPr="00167CB8">
        <w:t xml:space="preserve"> A line chart comparing the gender wage gap (GWG) measured using ABS data and HILDA data. When part-timers are included the overall GWG is lower. </w:t>
      </w:r>
    </w:p>
    <w:p w14:paraId="2F5AD3D9" w14:textId="743459F1" w:rsidR="007A6A1A" w:rsidRPr="00167CB8" w:rsidRDefault="007A6A1A" w:rsidP="007A6A1A">
      <w:pPr>
        <w:spacing w:after="160"/>
      </w:pPr>
      <w:r w:rsidRPr="00167CB8">
        <w:t xml:space="preserve">The HILDA estimates </w:t>
      </w:r>
      <w:r w:rsidRPr="00451264">
        <w:t xml:space="preserve">reported in </w:t>
      </w:r>
      <w:r w:rsidR="0003016F" w:rsidRPr="00451264">
        <w:t>Figure 45</w:t>
      </w:r>
      <w:r w:rsidRPr="00451264">
        <w:t xml:space="preserve"> are</w:t>
      </w:r>
      <w:r w:rsidRPr="00167CB8">
        <w:t xml:space="preserve"> more volatile</w:t>
      </w:r>
      <w:r w:rsidR="0003016F">
        <w:t xml:space="preserve"> than the AWOTE</w:t>
      </w:r>
      <w:r w:rsidR="004610AF">
        <w:t xml:space="preserve"> estimates</w:t>
      </w:r>
      <w:r w:rsidRPr="00167CB8">
        <w:t xml:space="preserve">, reflecting the smaller sample size. </w:t>
      </w:r>
      <w:r w:rsidR="004610AF">
        <w:t xml:space="preserve">However, as shown, the trend across both series is similar. </w:t>
      </w:r>
      <w:r w:rsidRPr="00167CB8">
        <w:t xml:space="preserve">When part-timers are included the GWG tends to be less, consistent with a lower overall GWG in the part-time labour market. </w:t>
      </w:r>
    </w:p>
    <w:p w14:paraId="4A7DF603" w14:textId="0578B719" w:rsidR="007A6A1A" w:rsidRPr="00167CB8" w:rsidRDefault="007A6A1A" w:rsidP="007A6A1A">
      <w:pPr>
        <w:spacing w:after="160"/>
      </w:pPr>
      <w:r w:rsidRPr="00167CB8">
        <w:lastRenderedPageBreak/>
        <w:t xml:space="preserve">The GWG measured by comparing the average hourly wage of men and women is commonly also referred to as the ‘raw’ </w:t>
      </w:r>
      <w:r w:rsidR="00360545" w:rsidRPr="00167CB8">
        <w:t>GWG</w:t>
      </w:r>
      <w:r w:rsidRPr="00167CB8">
        <w:t>. It is ‘raw’ in the sense that it does not control for compositional effects.</w:t>
      </w:r>
    </w:p>
    <w:p w14:paraId="5D53A42F" w14:textId="26235095" w:rsidR="007A6A1A" w:rsidRPr="00167CB8" w:rsidRDefault="007A6A1A" w:rsidP="007A6A1A">
      <w:pPr>
        <w:spacing w:after="160"/>
      </w:pPr>
      <w:r w:rsidRPr="00167CB8">
        <w:t xml:space="preserve">Table </w:t>
      </w:r>
      <w:r w:rsidR="00FE1F1E" w:rsidRPr="00167CB8">
        <w:t>52</w:t>
      </w:r>
      <w:r w:rsidRPr="00167CB8">
        <w:t xml:space="preserve"> reports the results following the estimation of a wage equation. The dependent variable is the natural logarithm of hourly earnings in the main job. The </w:t>
      </w:r>
      <w:r w:rsidR="00360545" w:rsidRPr="00167CB8">
        <w:t>GWG</w:t>
      </w:r>
      <w:r w:rsidRPr="00167CB8">
        <w:t xml:space="preserve"> is given by the coefficient on a female dummy variable. In the OLS estimates the coefficient is equal to negative 0.114. This translates to a GWG of 10.8% (computed as: [exp(coef)-1]*100). The highly statistically significant positive coefficient on the variable ‘female*2023’ (which is the female dummy interacted with a dummy for 2023) shows that in 2023 the </w:t>
      </w:r>
      <w:r w:rsidR="00360545" w:rsidRPr="00167CB8">
        <w:t xml:space="preserve">GWG </w:t>
      </w:r>
      <w:r w:rsidRPr="00167CB8">
        <w:t xml:space="preserve">converged. The resultant 2023 </w:t>
      </w:r>
      <w:r w:rsidR="00360545" w:rsidRPr="00167CB8">
        <w:t xml:space="preserve">GWG </w:t>
      </w:r>
      <w:r w:rsidRPr="00167CB8">
        <w:t xml:space="preserve">is the sum of the first </w:t>
      </w:r>
      <w:r w:rsidR="00360545" w:rsidRPr="00167CB8">
        <w:t xml:space="preserve">2 </w:t>
      </w:r>
      <w:r w:rsidRPr="00167CB8">
        <w:t>coefficients (i.e. -0.114 + 0.047 = -0.067). After exponentiating (exp) this coefficient the resultant gender wage gap in 2023 is equal to -6.5%. In other words, OLS estimates show that</w:t>
      </w:r>
      <w:r w:rsidR="00360545" w:rsidRPr="00167CB8">
        <w:t>,</w:t>
      </w:r>
      <w:r w:rsidRPr="00167CB8">
        <w:t xml:space="preserve"> after controlling for factors known to correlate with wages such as education, experience, birthplace, marital status, children, part-time and casual status, union membership and method of pay setting, women, on average, earn 6.5% less than men.</w:t>
      </w:r>
    </w:p>
    <w:p w14:paraId="6CCE89C5" w14:textId="17368F9E" w:rsidR="007A6A1A" w:rsidRPr="00167CB8" w:rsidRDefault="007A6A1A" w:rsidP="007A6A1A">
      <w:pPr>
        <w:spacing w:after="160"/>
      </w:pPr>
      <w:r w:rsidRPr="00167CB8">
        <w:t>The column 3 results are estimated using a fixed effects regressor. The advantage of this approach is that it controls for time-invariant characteristics. If factors such as personality, ability and characteristics that correlate with preferences to be in the labour market or not are assumed to be time-invariant then the fixed effects estimates have the advantage of also controlling for selection effects. The coefficient estimates differ from OLS</w:t>
      </w:r>
      <w:r w:rsidR="00360545" w:rsidRPr="00167CB8">
        <w:t>,</w:t>
      </w:r>
      <w:r w:rsidRPr="00167CB8">
        <w:t xml:space="preserve"> as they are identified by changes in the observed characteristics. For example, the 0.025 coefficient on the union membership variable shows that becoming a union member is associated with a 2.5% increase in hourly wages. Similarly, the negative coefficient on </w:t>
      </w:r>
      <w:r w:rsidR="00360545" w:rsidRPr="00167CB8">
        <w:t>a</w:t>
      </w:r>
      <w:r w:rsidRPr="00167CB8">
        <w:t xml:space="preserve">ward shows that employees who become award reliant receive hourly wages which are, on average, 3.5% lower than counterparts who are paid according to an individual agreement. The coefficient on </w:t>
      </w:r>
      <w:r w:rsidR="00360545" w:rsidRPr="00167CB8">
        <w:t>‘f</w:t>
      </w:r>
      <w:r w:rsidRPr="00167CB8">
        <w:t>emale</w:t>
      </w:r>
      <w:r w:rsidR="00360545" w:rsidRPr="00167CB8">
        <w:t>’</w:t>
      </w:r>
      <w:r w:rsidRPr="00167CB8">
        <w:t xml:space="preserve"> is not estimated</w:t>
      </w:r>
      <w:r w:rsidR="00360545" w:rsidRPr="00167CB8">
        <w:t>,</w:t>
      </w:r>
      <w:r w:rsidRPr="00167CB8">
        <w:t xml:space="preserve"> as this is a stable characteristic, as i</w:t>
      </w:r>
      <w:r w:rsidR="00360545" w:rsidRPr="00167CB8">
        <w:t>s</w:t>
      </w:r>
      <w:r w:rsidRPr="00167CB8">
        <w:t xml:space="preserve"> birthplace. The </w:t>
      </w:r>
      <w:r w:rsidR="00360545" w:rsidRPr="00167CB8">
        <w:t>‘</w:t>
      </w:r>
      <w:r w:rsidRPr="00167CB8">
        <w:t>Female*2023</w:t>
      </w:r>
      <w:r w:rsidR="00360545" w:rsidRPr="00167CB8">
        <w:t>’</w:t>
      </w:r>
      <w:r w:rsidRPr="00167CB8">
        <w:t xml:space="preserve"> coefficient shows that in 2023 there was a </w:t>
      </w:r>
      <w:r w:rsidR="00360545" w:rsidRPr="00167CB8">
        <w:t xml:space="preserve">GWG </w:t>
      </w:r>
      <w:r w:rsidRPr="00167CB8">
        <w:t xml:space="preserve">and based on the fixed effects estimates it was equal to 2.4%. </w:t>
      </w:r>
    </w:p>
    <w:p w14:paraId="7A099676" w14:textId="77777777" w:rsidR="00E07D74" w:rsidRDefault="00E07D74">
      <w:pPr>
        <w:spacing w:after="160"/>
        <w:rPr>
          <w:rFonts w:cs="Calibri"/>
          <w:b/>
          <w:bCs/>
          <w:lang w:val="en-US"/>
        </w:rPr>
      </w:pPr>
      <w:bookmarkStart w:id="824" w:name="_Toc186991830"/>
      <w:bookmarkStart w:id="825" w:name="_Toc189310881"/>
      <w:r>
        <w:br w:type="page"/>
      </w:r>
    </w:p>
    <w:p w14:paraId="67AF5013" w14:textId="574B2CFC" w:rsidR="007A6A1A" w:rsidRPr="00167CB8" w:rsidRDefault="007A6A1A" w:rsidP="00E07D74">
      <w:pPr>
        <w:pStyle w:val="Caption"/>
        <w:ind w:left="0"/>
      </w:pPr>
      <w:r w:rsidRPr="00167CB8">
        <w:lastRenderedPageBreak/>
        <w:t xml:space="preserve">Table </w:t>
      </w:r>
      <w:r w:rsidR="00E160C6" w:rsidRPr="00167CB8">
        <w:t>52</w:t>
      </w:r>
      <w:r w:rsidRPr="00167CB8">
        <w:t>: The gender wage gap using regression analysis</w:t>
      </w:r>
      <w:bookmarkEnd w:id="824"/>
      <w:bookmarkEnd w:id="825"/>
    </w:p>
    <w:tbl>
      <w:tblPr>
        <w:tblW w:w="90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4"/>
        <w:gridCol w:w="1540"/>
        <w:gridCol w:w="1540"/>
        <w:gridCol w:w="1541"/>
      </w:tblGrid>
      <w:tr w:rsidR="007A6A1A" w:rsidRPr="00167CB8" w14:paraId="2E5D8D48" w14:textId="77777777">
        <w:trPr>
          <w:trHeight w:val="300"/>
        </w:trPr>
        <w:tc>
          <w:tcPr>
            <w:tcW w:w="4395" w:type="dxa"/>
            <w:tcBorders>
              <w:top w:val="single" w:sz="4" w:space="0" w:color="auto"/>
              <w:left w:val="single" w:sz="4" w:space="0" w:color="auto"/>
              <w:bottom w:val="nil"/>
              <w:right w:val="nil"/>
            </w:tcBorders>
            <w:noWrap/>
            <w:vAlign w:val="bottom"/>
            <w:hideMark/>
          </w:tcPr>
          <w:p w14:paraId="4B9FC5AA" w14:textId="77777777" w:rsidR="007A6A1A" w:rsidRPr="003A7C61" w:rsidRDefault="007A6A1A" w:rsidP="003A7C61">
            <w:pPr>
              <w:spacing w:after="0" w:line="240" w:lineRule="auto"/>
              <w:rPr>
                <w:sz w:val="20"/>
                <w:szCs w:val="20"/>
              </w:rPr>
            </w:pPr>
          </w:p>
        </w:tc>
        <w:tc>
          <w:tcPr>
            <w:tcW w:w="1540" w:type="dxa"/>
            <w:tcBorders>
              <w:top w:val="single" w:sz="4" w:space="0" w:color="auto"/>
              <w:left w:val="nil"/>
              <w:bottom w:val="nil"/>
              <w:right w:val="nil"/>
            </w:tcBorders>
            <w:noWrap/>
            <w:vAlign w:val="bottom"/>
            <w:hideMark/>
          </w:tcPr>
          <w:p w14:paraId="4B6EDFA7" w14:textId="77777777" w:rsidR="007A6A1A" w:rsidRPr="003A7C61" w:rsidRDefault="007A6A1A" w:rsidP="003A7C61">
            <w:pPr>
              <w:spacing w:after="0" w:line="240" w:lineRule="auto"/>
              <w:rPr>
                <w:sz w:val="20"/>
                <w:szCs w:val="20"/>
              </w:rPr>
            </w:pPr>
            <w:r w:rsidRPr="003A7C61">
              <w:rPr>
                <w:sz w:val="20"/>
                <w:szCs w:val="20"/>
              </w:rPr>
              <w:t>(1)</w:t>
            </w:r>
          </w:p>
        </w:tc>
        <w:tc>
          <w:tcPr>
            <w:tcW w:w="1540" w:type="dxa"/>
            <w:tcBorders>
              <w:top w:val="single" w:sz="4" w:space="0" w:color="auto"/>
              <w:left w:val="nil"/>
              <w:bottom w:val="nil"/>
              <w:right w:val="nil"/>
            </w:tcBorders>
            <w:noWrap/>
            <w:vAlign w:val="bottom"/>
            <w:hideMark/>
          </w:tcPr>
          <w:p w14:paraId="7786DBC9" w14:textId="77777777" w:rsidR="007A6A1A" w:rsidRPr="003A7C61" w:rsidRDefault="007A6A1A" w:rsidP="003A7C61">
            <w:pPr>
              <w:spacing w:after="0" w:line="240" w:lineRule="auto"/>
              <w:rPr>
                <w:sz w:val="20"/>
                <w:szCs w:val="20"/>
              </w:rPr>
            </w:pPr>
            <w:r w:rsidRPr="003A7C61">
              <w:rPr>
                <w:sz w:val="20"/>
                <w:szCs w:val="20"/>
              </w:rPr>
              <w:t>(2)</w:t>
            </w:r>
          </w:p>
        </w:tc>
        <w:tc>
          <w:tcPr>
            <w:tcW w:w="1541" w:type="dxa"/>
            <w:tcBorders>
              <w:top w:val="single" w:sz="4" w:space="0" w:color="auto"/>
              <w:left w:val="nil"/>
              <w:bottom w:val="nil"/>
              <w:right w:val="single" w:sz="4" w:space="0" w:color="auto"/>
            </w:tcBorders>
            <w:hideMark/>
          </w:tcPr>
          <w:p w14:paraId="0BAAB139" w14:textId="77777777" w:rsidR="007A6A1A" w:rsidRPr="003A7C61" w:rsidRDefault="007A6A1A" w:rsidP="003A7C61">
            <w:pPr>
              <w:spacing w:after="0" w:line="240" w:lineRule="auto"/>
              <w:rPr>
                <w:sz w:val="20"/>
                <w:szCs w:val="20"/>
              </w:rPr>
            </w:pPr>
            <w:r w:rsidRPr="003A7C61">
              <w:rPr>
                <w:sz w:val="20"/>
                <w:szCs w:val="20"/>
              </w:rPr>
              <w:t>(3)</w:t>
            </w:r>
          </w:p>
        </w:tc>
      </w:tr>
      <w:tr w:rsidR="007A6A1A" w:rsidRPr="00167CB8" w14:paraId="704DA4E5" w14:textId="77777777">
        <w:trPr>
          <w:trHeight w:val="300"/>
        </w:trPr>
        <w:tc>
          <w:tcPr>
            <w:tcW w:w="4395" w:type="dxa"/>
            <w:tcBorders>
              <w:top w:val="nil"/>
              <w:left w:val="single" w:sz="4" w:space="0" w:color="auto"/>
              <w:bottom w:val="single" w:sz="4" w:space="0" w:color="auto"/>
              <w:right w:val="nil"/>
            </w:tcBorders>
            <w:noWrap/>
            <w:vAlign w:val="bottom"/>
            <w:hideMark/>
          </w:tcPr>
          <w:p w14:paraId="5601D820" w14:textId="77777777" w:rsidR="007A6A1A" w:rsidRPr="003A7C61" w:rsidRDefault="007A6A1A" w:rsidP="003A7C61">
            <w:pPr>
              <w:spacing w:after="0" w:line="240" w:lineRule="auto"/>
              <w:rPr>
                <w:b/>
                <w:bCs/>
                <w:sz w:val="20"/>
                <w:szCs w:val="20"/>
              </w:rPr>
            </w:pPr>
            <w:r w:rsidRPr="003A7C61">
              <w:rPr>
                <w:b/>
                <w:bCs/>
                <w:sz w:val="20"/>
                <w:szCs w:val="20"/>
              </w:rPr>
              <w:t xml:space="preserve"> </w:t>
            </w:r>
          </w:p>
        </w:tc>
        <w:tc>
          <w:tcPr>
            <w:tcW w:w="1540" w:type="dxa"/>
            <w:tcBorders>
              <w:top w:val="nil"/>
              <w:left w:val="nil"/>
              <w:bottom w:val="single" w:sz="4" w:space="0" w:color="auto"/>
              <w:right w:val="nil"/>
            </w:tcBorders>
            <w:noWrap/>
            <w:vAlign w:val="bottom"/>
            <w:hideMark/>
          </w:tcPr>
          <w:p w14:paraId="1FCD1CB8" w14:textId="77777777" w:rsidR="007A6A1A" w:rsidRPr="003A7C61" w:rsidRDefault="007A6A1A" w:rsidP="003A7C61">
            <w:pPr>
              <w:spacing w:after="0" w:line="240" w:lineRule="auto"/>
              <w:rPr>
                <w:b/>
                <w:bCs/>
                <w:sz w:val="20"/>
                <w:szCs w:val="20"/>
              </w:rPr>
            </w:pPr>
            <w:r w:rsidRPr="003A7C61">
              <w:rPr>
                <w:b/>
                <w:bCs/>
                <w:sz w:val="20"/>
                <w:szCs w:val="20"/>
              </w:rPr>
              <w:t>OLS</w:t>
            </w:r>
          </w:p>
        </w:tc>
        <w:tc>
          <w:tcPr>
            <w:tcW w:w="1540" w:type="dxa"/>
            <w:tcBorders>
              <w:top w:val="nil"/>
              <w:left w:val="nil"/>
              <w:bottom w:val="single" w:sz="4" w:space="0" w:color="auto"/>
              <w:right w:val="nil"/>
            </w:tcBorders>
            <w:noWrap/>
            <w:vAlign w:val="bottom"/>
            <w:hideMark/>
          </w:tcPr>
          <w:p w14:paraId="1AD37133" w14:textId="77777777" w:rsidR="007A6A1A" w:rsidRPr="003A7C61" w:rsidRDefault="007A6A1A" w:rsidP="003A7C61">
            <w:pPr>
              <w:spacing w:after="0" w:line="240" w:lineRule="auto"/>
              <w:rPr>
                <w:b/>
                <w:bCs/>
                <w:sz w:val="20"/>
                <w:szCs w:val="20"/>
              </w:rPr>
            </w:pPr>
            <w:r w:rsidRPr="003A7C61">
              <w:rPr>
                <w:b/>
                <w:bCs/>
                <w:sz w:val="20"/>
                <w:szCs w:val="20"/>
              </w:rPr>
              <w:t>Random Effects</w:t>
            </w:r>
          </w:p>
        </w:tc>
        <w:tc>
          <w:tcPr>
            <w:tcW w:w="1541" w:type="dxa"/>
            <w:tcBorders>
              <w:top w:val="nil"/>
              <w:left w:val="nil"/>
              <w:bottom w:val="single" w:sz="4" w:space="0" w:color="auto"/>
              <w:right w:val="single" w:sz="4" w:space="0" w:color="auto"/>
            </w:tcBorders>
            <w:hideMark/>
          </w:tcPr>
          <w:p w14:paraId="3CAA6767" w14:textId="77777777" w:rsidR="007A6A1A" w:rsidRPr="003A7C61" w:rsidRDefault="007A6A1A" w:rsidP="003A7C61">
            <w:pPr>
              <w:spacing w:after="0" w:line="240" w:lineRule="auto"/>
              <w:rPr>
                <w:b/>
                <w:bCs/>
                <w:sz w:val="20"/>
                <w:szCs w:val="20"/>
              </w:rPr>
            </w:pPr>
            <w:r w:rsidRPr="003A7C61">
              <w:rPr>
                <w:b/>
                <w:bCs/>
                <w:sz w:val="20"/>
                <w:szCs w:val="20"/>
              </w:rPr>
              <w:t>Fixed Effects</w:t>
            </w:r>
          </w:p>
        </w:tc>
      </w:tr>
      <w:tr w:rsidR="007A6A1A" w:rsidRPr="00167CB8" w14:paraId="24377462" w14:textId="77777777">
        <w:trPr>
          <w:trHeight w:val="300"/>
        </w:trPr>
        <w:tc>
          <w:tcPr>
            <w:tcW w:w="4395" w:type="dxa"/>
            <w:tcBorders>
              <w:top w:val="single" w:sz="4" w:space="0" w:color="auto"/>
              <w:left w:val="single" w:sz="4" w:space="0" w:color="auto"/>
              <w:bottom w:val="nil"/>
              <w:right w:val="nil"/>
            </w:tcBorders>
            <w:noWrap/>
            <w:vAlign w:val="bottom"/>
            <w:hideMark/>
          </w:tcPr>
          <w:p w14:paraId="6DBBD428" w14:textId="77777777" w:rsidR="007A6A1A" w:rsidRPr="003A7C61" w:rsidRDefault="007A6A1A" w:rsidP="003A7C61">
            <w:pPr>
              <w:spacing w:after="0" w:line="240" w:lineRule="auto"/>
              <w:rPr>
                <w:sz w:val="20"/>
                <w:szCs w:val="20"/>
              </w:rPr>
            </w:pPr>
            <w:r w:rsidRPr="003A7C61">
              <w:rPr>
                <w:sz w:val="20"/>
                <w:szCs w:val="20"/>
              </w:rPr>
              <w:t>Female (GWG)</w:t>
            </w:r>
          </w:p>
        </w:tc>
        <w:tc>
          <w:tcPr>
            <w:tcW w:w="1540" w:type="dxa"/>
            <w:tcBorders>
              <w:top w:val="single" w:sz="4" w:space="0" w:color="auto"/>
              <w:left w:val="nil"/>
              <w:bottom w:val="nil"/>
              <w:right w:val="nil"/>
            </w:tcBorders>
            <w:noWrap/>
            <w:vAlign w:val="bottom"/>
            <w:hideMark/>
          </w:tcPr>
          <w:p w14:paraId="59C7032F" w14:textId="77777777" w:rsidR="007A6A1A" w:rsidRPr="003A7C61" w:rsidRDefault="007A6A1A" w:rsidP="003A7C61">
            <w:pPr>
              <w:spacing w:after="0" w:line="240" w:lineRule="auto"/>
              <w:rPr>
                <w:sz w:val="20"/>
                <w:szCs w:val="20"/>
              </w:rPr>
            </w:pPr>
            <w:r w:rsidRPr="003A7C61">
              <w:rPr>
                <w:sz w:val="20"/>
                <w:szCs w:val="20"/>
              </w:rPr>
              <w:t>-0.114***</w:t>
            </w:r>
          </w:p>
        </w:tc>
        <w:tc>
          <w:tcPr>
            <w:tcW w:w="1540" w:type="dxa"/>
            <w:tcBorders>
              <w:top w:val="single" w:sz="4" w:space="0" w:color="auto"/>
              <w:left w:val="nil"/>
              <w:bottom w:val="nil"/>
              <w:right w:val="nil"/>
            </w:tcBorders>
            <w:noWrap/>
            <w:vAlign w:val="bottom"/>
            <w:hideMark/>
          </w:tcPr>
          <w:p w14:paraId="42D1F745" w14:textId="77777777" w:rsidR="007A6A1A" w:rsidRPr="003A7C61" w:rsidRDefault="007A6A1A" w:rsidP="003A7C61">
            <w:pPr>
              <w:spacing w:after="0" w:line="240" w:lineRule="auto"/>
              <w:rPr>
                <w:sz w:val="20"/>
                <w:szCs w:val="20"/>
              </w:rPr>
            </w:pPr>
            <w:r w:rsidRPr="003A7C61">
              <w:rPr>
                <w:sz w:val="20"/>
                <w:szCs w:val="20"/>
              </w:rPr>
              <w:t>-0.136***</w:t>
            </w:r>
          </w:p>
        </w:tc>
        <w:tc>
          <w:tcPr>
            <w:tcW w:w="1541" w:type="dxa"/>
            <w:tcBorders>
              <w:top w:val="single" w:sz="4" w:space="0" w:color="auto"/>
              <w:left w:val="nil"/>
              <w:bottom w:val="nil"/>
              <w:right w:val="single" w:sz="4" w:space="0" w:color="auto"/>
            </w:tcBorders>
            <w:hideMark/>
          </w:tcPr>
          <w:p w14:paraId="0C07D9B4" w14:textId="77777777" w:rsidR="007A6A1A" w:rsidRPr="003A7C61" w:rsidRDefault="007A6A1A" w:rsidP="003A7C61">
            <w:pPr>
              <w:spacing w:after="0" w:line="240" w:lineRule="auto"/>
              <w:rPr>
                <w:sz w:val="20"/>
                <w:szCs w:val="20"/>
              </w:rPr>
            </w:pPr>
            <w:r w:rsidRPr="003A7C61">
              <w:rPr>
                <w:sz w:val="20"/>
                <w:szCs w:val="20"/>
              </w:rPr>
              <w:t>--</w:t>
            </w:r>
          </w:p>
        </w:tc>
      </w:tr>
      <w:tr w:rsidR="007A6A1A" w:rsidRPr="00167CB8" w14:paraId="51647621" w14:textId="77777777">
        <w:trPr>
          <w:trHeight w:val="300"/>
        </w:trPr>
        <w:tc>
          <w:tcPr>
            <w:tcW w:w="4395" w:type="dxa"/>
            <w:tcBorders>
              <w:top w:val="nil"/>
              <w:left w:val="single" w:sz="4" w:space="0" w:color="auto"/>
              <w:bottom w:val="nil"/>
              <w:right w:val="nil"/>
            </w:tcBorders>
            <w:noWrap/>
            <w:vAlign w:val="bottom"/>
            <w:hideMark/>
          </w:tcPr>
          <w:p w14:paraId="7E788A98"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7169F5DB" w14:textId="77777777" w:rsidR="007A6A1A" w:rsidRPr="003A7C61" w:rsidRDefault="007A6A1A" w:rsidP="003A7C61">
            <w:pPr>
              <w:spacing w:after="0" w:line="240" w:lineRule="auto"/>
              <w:rPr>
                <w:sz w:val="20"/>
                <w:szCs w:val="20"/>
              </w:rPr>
            </w:pPr>
            <w:r w:rsidRPr="003A7C61">
              <w:rPr>
                <w:sz w:val="20"/>
                <w:szCs w:val="20"/>
              </w:rPr>
              <w:t>(0.008)</w:t>
            </w:r>
          </w:p>
        </w:tc>
        <w:tc>
          <w:tcPr>
            <w:tcW w:w="1540" w:type="dxa"/>
            <w:tcBorders>
              <w:top w:val="nil"/>
              <w:left w:val="nil"/>
              <w:bottom w:val="nil"/>
              <w:right w:val="nil"/>
            </w:tcBorders>
            <w:noWrap/>
            <w:vAlign w:val="bottom"/>
            <w:hideMark/>
          </w:tcPr>
          <w:p w14:paraId="0909D084" w14:textId="77777777" w:rsidR="007A6A1A" w:rsidRPr="003A7C61" w:rsidRDefault="007A6A1A" w:rsidP="003A7C61">
            <w:pPr>
              <w:spacing w:after="0" w:line="240" w:lineRule="auto"/>
              <w:rPr>
                <w:sz w:val="20"/>
                <w:szCs w:val="20"/>
              </w:rPr>
            </w:pPr>
            <w:r w:rsidRPr="003A7C61">
              <w:rPr>
                <w:sz w:val="20"/>
                <w:szCs w:val="20"/>
              </w:rPr>
              <w:t>(0.006)</w:t>
            </w:r>
          </w:p>
        </w:tc>
        <w:tc>
          <w:tcPr>
            <w:tcW w:w="1541" w:type="dxa"/>
            <w:tcBorders>
              <w:top w:val="nil"/>
              <w:left w:val="nil"/>
              <w:bottom w:val="nil"/>
              <w:right w:val="single" w:sz="4" w:space="0" w:color="auto"/>
            </w:tcBorders>
          </w:tcPr>
          <w:p w14:paraId="58911877" w14:textId="77777777" w:rsidR="007A6A1A" w:rsidRPr="003A7C61" w:rsidRDefault="007A6A1A" w:rsidP="003A7C61">
            <w:pPr>
              <w:spacing w:after="0" w:line="240" w:lineRule="auto"/>
              <w:rPr>
                <w:sz w:val="20"/>
                <w:szCs w:val="20"/>
              </w:rPr>
            </w:pPr>
          </w:p>
        </w:tc>
      </w:tr>
      <w:tr w:rsidR="007A6A1A" w:rsidRPr="00167CB8" w14:paraId="6B8720DC" w14:textId="77777777">
        <w:trPr>
          <w:trHeight w:val="300"/>
        </w:trPr>
        <w:tc>
          <w:tcPr>
            <w:tcW w:w="4395" w:type="dxa"/>
            <w:tcBorders>
              <w:top w:val="nil"/>
              <w:left w:val="single" w:sz="4" w:space="0" w:color="auto"/>
              <w:bottom w:val="nil"/>
              <w:right w:val="nil"/>
            </w:tcBorders>
            <w:noWrap/>
            <w:vAlign w:val="bottom"/>
            <w:hideMark/>
          </w:tcPr>
          <w:p w14:paraId="1614B538" w14:textId="77777777" w:rsidR="007A6A1A" w:rsidRPr="003A7C61" w:rsidRDefault="007A6A1A" w:rsidP="003A7C61">
            <w:pPr>
              <w:spacing w:after="0" w:line="240" w:lineRule="auto"/>
              <w:rPr>
                <w:sz w:val="20"/>
                <w:szCs w:val="20"/>
              </w:rPr>
            </w:pPr>
            <w:r w:rsidRPr="003A7C61">
              <w:rPr>
                <w:sz w:val="20"/>
                <w:szCs w:val="20"/>
              </w:rPr>
              <w:t xml:space="preserve">Female*2023 </w:t>
            </w:r>
          </w:p>
        </w:tc>
        <w:tc>
          <w:tcPr>
            <w:tcW w:w="1540" w:type="dxa"/>
            <w:tcBorders>
              <w:top w:val="nil"/>
              <w:left w:val="nil"/>
              <w:bottom w:val="nil"/>
              <w:right w:val="nil"/>
            </w:tcBorders>
            <w:noWrap/>
            <w:vAlign w:val="bottom"/>
            <w:hideMark/>
          </w:tcPr>
          <w:p w14:paraId="3378E808" w14:textId="77777777" w:rsidR="007A6A1A" w:rsidRPr="003A7C61" w:rsidRDefault="007A6A1A" w:rsidP="003A7C61">
            <w:pPr>
              <w:spacing w:after="0" w:line="240" w:lineRule="auto"/>
              <w:rPr>
                <w:sz w:val="20"/>
                <w:szCs w:val="20"/>
              </w:rPr>
            </w:pPr>
            <w:r w:rsidRPr="003A7C61">
              <w:rPr>
                <w:sz w:val="20"/>
                <w:szCs w:val="20"/>
              </w:rPr>
              <w:t>0.047***</w:t>
            </w:r>
          </w:p>
        </w:tc>
        <w:tc>
          <w:tcPr>
            <w:tcW w:w="1540" w:type="dxa"/>
            <w:tcBorders>
              <w:top w:val="nil"/>
              <w:left w:val="nil"/>
              <w:bottom w:val="nil"/>
              <w:right w:val="nil"/>
            </w:tcBorders>
            <w:noWrap/>
            <w:vAlign w:val="bottom"/>
            <w:hideMark/>
          </w:tcPr>
          <w:p w14:paraId="406A47B5" w14:textId="77777777" w:rsidR="007A6A1A" w:rsidRPr="003A7C61" w:rsidRDefault="007A6A1A" w:rsidP="003A7C61">
            <w:pPr>
              <w:spacing w:after="0" w:line="240" w:lineRule="auto"/>
              <w:rPr>
                <w:sz w:val="20"/>
                <w:szCs w:val="20"/>
              </w:rPr>
            </w:pPr>
            <w:r w:rsidRPr="003A7C61">
              <w:rPr>
                <w:sz w:val="20"/>
                <w:szCs w:val="20"/>
              </w:rPr>
              <w:t>0.018***</w:t>
            </w:r>
          </w:p>
        </w:tc>
        <w:tc>
          <w:tcPr>
            <w:tcW w:w="1541" w:type="dxa"/>
            <w:tcBorders>
              <w:top w:val="nil"/>
              <w:left w:val="nil"/>
              <w:bottom w:val="nil"/>
              <w:right w:val="single" w:sz="4" w:space="0" w:color="auto"/>
            </w:tcBorders>
            <w:hideMark/>
          </w:tcPr>
          <w:p w14:paraId="484DCB90" w14:textId="77777777" w:rsidR="007A6A1A" w:rsidRPr="003A7C61" w:rsidRDefault="007A6A1A" w:rsidP="003A7C61">
            <w:pPr>
              <w:spacing w:after="0" w:line="240" w:lineRule="auto"/>
              <w:rPr>
                <w:sz w:val="20"/>
                <w:szCs w:val="20"/>
              </w:rPr>
            </w:pPr>
            <w:r w:rsidRPr="003A7C61">
              <w:rPr>
                <w:sz w:val="20"/>
                <w:szCs w:val="20"/>
              </w:rPr>
              <w:t>-0.024***</w:t>
            </w:r>
          </w:p>
        </w:tc>
      </w:tr>
      <w:tr w:rsidR="007A6A1A" w:rsidRPr="00167CB8" w14:paraId="6B4129EF" w14:textId="77777777">
        <w:trPr>
          <w:trHeight w:val="300"/>
        </w:trPr>
        <w:tc>
          <w:tcPr>
            <w:tcW w:w="4395" w:type="dxa"/>
            <w:tcBorders>
              <w:top w:val="nil"/>
              <w:left w:val="single" w:sz="4" w:space="0" w:color="auto"/>
              <w:bottom w:val="nil"/>
              <w:right w:val="nil"/>
            </w:tcBorders>
            <w:noWrap/>
            <w:vAlign w:val="bottom"/>
            <w:hideMark/>
          </w:tcPr>
          <w:p w14:paraId="3A04980D"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5D49F593" w14:textId="77777777" w:rsidR="007A6A1A" w:rsidRPr="003A7C61" w:rsidRDefault="007A6A1A" w:rsidP="003A7C61">
            <w:pPr>
              <w:spacing w:after="0" w:line="240" w:lineRule="auto"/>
              <w:rPr>
                <w:sz w:val="20"/>
                <w:szCs w:val="20"/>
              </w:rPr>
            </w:pPr>
            <w:r w:rsidRPr="003A7C61">
              <w:rPr>
                <w:sz w:val="20"/>
                <w:szCs w:val="20"/>
              </w:rPr>
              <w:t>(0.009)</w:t>
            </w:r>
          </w:p>
        </w:tc>
        <w:tc>
          <w:tcPr>
            <w:tcW w:w="1540" w:type="dxa"/>
            <w:tcBorders>
              <w:top w:val="nil"/>
              <w:left w:val="nil"/>
              <w:bottom w:val="nil"/>
              <w:right w:val="nil"/>
            </w:tcBorders>
            <w:noWrap/>
            <w:vAlign w:val="bottom"/>
            <w:hideMark/>
          </w:tcPr>
          <w:p w14:paraId="795EF3D9" w14:textId="77777777" w:rsidR="007A6A1A" w:rsidRPr="003A7C61" w:rsidRDefault="007A6A1A" w:rsidP="003A7C61">
            <w:pPr>
              <w:spacing w:after="0" w:line="240" w:lineRule="auto"/>
              <w:rPr>
                <w:sz w:val="20"/>
                <w:szCs w:val="20"/>
              </w:rPr>
            </w:pPr>
            <w:r w:rsidRPr="003A7C61">
              <w:rPr>
                <w:sz w:val="20"/>
                <w:szCs w:val="20"/>
              </w:rPr>
              <w:t>(0.005)</w:t>
            </w:r>
          </w:p>
        </w:tc>
        <w:tc>
          <w:tcPr>
            <w:tcW w:w="1541" w:type="dxa"/>
            <w:tcBorders>
              <w:top w:val="nil"/>
              <w:left w:val="nil"/>
              <w:bottom w:val="nil"/>
              <w:right w:val="single" w:sz="4" w:space="0" w:color="auto"/>
            </w:tcBorders>
            <w:hideMark/>
          </w:tcPr>
          <w:p w14:paraId="4ABDB7CE" w14:textId="77777777" w:rsidR="007A6A1A" w:rsidRPr="003A7C61" w:rsidRDefault="007A6A1A" w:rsidP="003A7C61">
            <w:pPr>
              <w:spacing w:after="0" w:line="240" w:lineRule="auto"/>
              <w:rPr>
                <w:sz w:val="20"/>
                <w:szCs w:val="20"/>
              </w:rPr>
            </w:pPr>
            <w:r w:rsidRPr="003A7C61">
              <w:rPr>
                <w:sz w:val="20"/>
                <w:szCs w:val="20"/>
              </w:rPr>
              <w:t>(0.006)</w:t>
            </w:r>
          </w:p>
        </w:tc>
      </w:tr>
      <w:tr w:rsidR="007A6A1A" w:rsidRPr="00167CB8" w14:paraId="5353DE54" w14:textId="77777777">
        <w:trPr>
          <w:trHeight w:val="300"/>
        </w:trPr>
        <w:tc>
          <w:tcPr>
            <w:tcW w:w="4395" w:type="dxa"/>
            <w:tcBorders>
              <w:top w:val="nil"/>
              <w:left w:val="single" w:sz="4" w:space="0" w:color="auto"/>
              <w:bottom w:val="nil"/>
              <w:right w:val="nil"/>
            </w:tcBorders>
            <w:noWrap/>
            <w:vAlign w:val="bottom"/>
            <w:hideMark/>
          </w:tcPr>
          <w:p w14:paraId="3DF29655" w14:textId="77777777" w:rsidR="007A6A1A" w:rsidRPr="003A7C61" w:rsidRDefault="007A6A1A" w:rsidP="003A7C61">
            <w:pPr>
              <w:spacing w:after="0" w:line="240" w:lineRule="auto"/>
              <w:rPr>
                <w:sz w:val="20"/>
                <w:szCs w:val="20"/>
              </w:rPr>
            </w:pPr>
            <w:r w:rsidRPr="003A7C61">
              <w:rPr>
                <w:sz w:val="20"/>
                <w:szCs w:val="20"/>
              </w:rPr>
              <w:t>Highest qualification – diploma or certificate</w:t>
            </w:r>
          </w:p>
        </w:tc>
        <w:tc>
          <w:tcPr>
            <w:tcW w:w="1540" w:type="dxa"/>
            <w:tcBorders>
              <w:top w:val="nil"/>
              <w:left w:val="nil"/>
              <w:bottom w:val="nil"/>
              <w:right w:val="nil"/>
            </w:tcBorders>
            <w:noWrap/>
            <w:vAlign w:val="bottom"/>
            <w:hideMark/>
          </w:tcPr>
          <w:p w14:paraId="1E7E12EC" w14:textId="77777777" w:rsidR="007A6A1A" w:rsidRPr="003A7C61" w:rsidRDefault="007A6A1A" w:rsidP="003A7C61">
            <w:pPr>
              <w:spacing w:after="0" w:line="240" w:lineRule="auto"/>
              <w:rPr>
                <w:sz w:val="20"/>
                <w:szCs w:val="20"/>
              </w:rPr>
            </w:pPr>
            <w:r w:rsidRPr="003A7C61">
              <w:rPr>
                <w:sz w:val="20"/>
                <w:szCs w:val="20"/>
              </w:rPr>
              <w:t>0.067***</w:t>
            </w:r>
          </w:p>
        </w:tc>
        <w:tc>
          <w:tcPr>
            <w:tcW w:w="1540" w:type="dxa"/>
            <w:tcBorders>
              <w:top w:val="nil"/>
              <w:left w:val="nil"/>
              <w:bottom w:val="nil"/>
              <w:right w:val="nil"/>
            </w:tcBorders>
            <w:noWrap/>
            <w:vAlign w:val="bottom"/>
            <w:hideMark/>
          </w:tcPr>
          <w:p w14:paraId="65A8AB9E" w14:textId="77777777" w:rsidR="007A6A1A" w:rsidRPr="003A7C61" w:rsidRDefault="007A6A1A" w:rsidP="003A7C61">
            <w:pPr>
              <w:spacing w:after="0" w:line="240" w:lineRule="auto"/>
              <w:rPr>
                <w:sz w:val="20"/>
                <w:szCs w:val="20"/>
              </w:rPr>
            </w:pPr>
            <w:r w:rsidRPr="003A7C61">
              <w:rPr>
                <w:sz w:val="20"/>
                <w:szCs w:val="20"/>
              </w:rPr>
              <w:t>0.057***</w:t>
            </w:r>
          </w:p>
        </w:tc>
        <w:tc>
          <w:tcPr>
            <w:tcW w:w="1541" w:type="dxa"/>
            <w:tcBorders>
              <w:top w:val="nil"/>
              <w:left w:val="nil"/>
              <w:bottom w:val="nil"/>
              <w:right w:val="single" w:sz="4" w:space="0" w:color="auto"/>
            </w:tcBorders>
            <w:hideMark/>
          </w:tcPr>
          <w:p w14:paraId="12CCBBF8" w14:textId="77777777" w:rsidR="007A6A1A" w:rsidRPr="003A7C61" w:rsidRDefault="007A6A1A" w:rsidP="003A7C61">
            <w:pPr>
              <w:spacing w:after="0" w:line="240" w:lineRule="auto"/>
              <w:rPr>
                <w:sz w:val="20"/>
                <w:szCs w:val="20"/>
              </w:rPr>
            </w:pPr>
            <w:r w:rsidRPr="003A7C61">
              <w:rPr>
                <w:sz w:val="20"/>
                <w:szCs w:val="20"/>
              </w:rPr>
              <w:t>0.037***</w:t>
            </w:r>
          </w:p>
        </w:tc>
      </w:tr>
      <w:tr w:rsidR="007A6A1A" w:rsidRPr="00167CB8" w14:paraId="301380FF" w14:textId="77777777">
        <w:trPr>
          <w:trHeight w:val="300"/>
        </w:trPr>
        <w:tc>
          <w:tcPr>
            <w:tcW w:w="4395" w:type="dxa"/>
            <w:tcBorders>
              <w:top w:val="nil"/>
              <w:left w:val="single" w:sz="4" w:space="0" w:color="auto"/>
              <w:bottom w:val="nil"/>
              <w:right w:val="nil"/>
            </w:tcBorders>
            <w:noWrap/>
            <w:vAlign w:val="bottom"/>
            <w:hideMark/>
          </w:tcPr>
          <w:p w14:paraId="5385100F"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32C5FD98" w14:textId="77777777" w:rsidR="007A6A1A" w:rsidRPr="003A7C61" w:rsidRDefault="007A6A1A" w:rsidP="003A7C61">
            <w:pPr>
              <w:spacing w:after="0" w:line="240" w:lineRule="auto"/>
              <w:rPr>
                <w:sz w:val="20"/>
                <w:szCs w:val="20"/>
              </w:rPr>
            </w:pPr>
            <w:r w:rsidRPr="003A7C61">
              <w:rPr>
                <w:sz w:val="20"/>
                <w:szCs w:val="20"/>
              </w:rPr>
              <w:t>(0.009)</w:t>
            </w:r>
          </w:p>
        </w:tc>
        <w:tc>
          <w:tcPr>
            <w:tcW w:w="1540" w:type="dxa"/>
            <w:tcBorders>
              <w:top w:val="nil"/>
              <w:left w:val="nil"/>
              <w:bottom w:val="nil"/>
              <w:right w:val="nil"/>
            </w:tcBorders>
            <w:noWrap/>
            <w:vAlign w:val="bottom"/>
            <w:hideMark/>
          </w:tcPr>
          <w:p w14:paraId="709E8A81" w14:textId="77777777" w:rsidR="007A6A1A" w:rsidRPr="003A7C61" w:rsidRDefault="007A6A1A" w:rsidP="003A7C61">
            <w:pPr>
              <w:spacing w:after="0" w:line="240" w:lineRule="auto"/>
              <w:rPr>
                <w:sz w:val="20"/>
                <w:szCs w:val="20"/>
              </w:rPr>
            </w:pPr>
            <w:r w:rsidRPr="003A7C61">
              <w:rPr>
                <w:sz w:val="20"/>
                <w:szCs w:val="20"/>
              </w:rPr>
              <w:t>(0.006)</w:t>
            </w:r>
          </w:p>
        </w:tc>
        <w:tc>
          <w:tcPr>
            <w:tcW w:w="1541" w:type="dxa"/>
            <w:tcBorders>
              <w:top w:val="nil"/>
              <w:left w:val="nil"/>
              <w:bottom w:val="nil"/>
              <w:right w:val="single" w:sz="4" w:space="0" w:color="auto"/>
            </w:tcBorders>
            <w:hideMark/>
          </w:tcPr>
          <w:p w14:paraId="0D347259" w14:textId="77777777" w:rsidR="007A6A1A" w:rsidRPr="003A7C61" w:rsidRDefault="007A6A1A" w:rsidP="003A7C61">
            <w:pPr>
              <w:spacing w:after="0" w:line="240" w:lineRule="auto"/>
              <w:rPr>
                <w:sz w:val="20"/>
                <w:szCs w:val="20"/>
              </w:rPr>
            </w:pPr>
            <w:r w:rsidRPr="003A7C61">
              <w:rPr>
                <w:sz w:val="20"/>
                <w:szCs w:val="20"/>
              </w:rPr>
              <w:t>(0.009)</w:t>
            </w:r>
          </w:p>
        </w:tc>
      </w:tr>
      <w:tr w:rsidR="007A6A1A" w:rsidRPr="00167CB8" w14:paraId="22B09911" w14:textId="77777777">
        <w:trPr>
          <w:trHeight w:val="300"/>
        </w:trPr>
        <w:tc>
          <w:tcPr>
            <w:tcW w:w="4395" w:type="dxa"/>
            <w:tcBorders>
              <w:top w:val="nil"/>
              <w:left w:val="single" w:sz="4" w:space="0" w:color="auto"/>
              <w:bottom w:val="nil"/>
              <w:right w:val="nil"/>
            </w:tcBorders>
            <w:noWrap/>
            <w:vAlign w:val="bottom"/>
            <w:hideMark/>
          </w:tcPr>
          <w:p w14:paraId="7748871B" w14:textId="77777777" w:rsidR="007A6A1A" w:rsidRPr="003A7C61" w:rsidRDefault="007A6A1A" w:rsidP="003A7C61">
            <w:pPr>
              <w:spacing w:after="0" w:line="240" w:lineRule="auto"/>
              <w:rPr>
                <w:sz w:val="20"/>
                <w:szCs w:val="20"/>
              </w:rPr>
            </w:pPr>
            <w:r w:rsidRPr="003A7C61">
              <w:rPr>
                <w:sz w:val="20"/>
                <w:szCs w:val="20"/>
              </w:rPr>
              <w:t>Highest qualification – bachelor degree or higher</w:t>
            </w:r>
          </w:p>
        </w:tc>
        <w:tc>
          <w:tcPr>
            <w:tcW w:w="1540" w:type="dxa"/>
            <w:tcBorders>
              <w:top w:val="nil"/>
              <w:left w:val="nil"/>
              <w:bottom w:val="nil"/>
              <w:right w:val="nil"/>
            </w:tcBorders>
            <w:noWrap/>
            <w:vAlign w:val="bottom"/>
            <w:hideMark/>
          </w:tcPr>
          <w:p w14:paraId="34741A29" w14:textId="77777777" w:rsidR="007A6A1A" w:rsidRPr="003A7C61" w:rsidRDefault="007A6A1A" w:rsidP="003A7C61">
            <w:pPr>
              <w:spacing w:after="0" w:line="240" w:lineRule="auto"/>
              <w:rPr>
                <w:sz w:val="20"/>
                <w:szCs w:val="20"/>
              </w:rPr>
            </w:pPr>
            <w:r w:rsidRPr="003A7C61">
              <w:rPr>
                <w:sz w:val="20"/>
                <w:szCs w:val="20"/>
              </w:rPr>
              <w:t>0.318***</w:t>
            </w:r>
          </w:p>
        </w:tc>
        <w:tc>
          <w:tcPr>
            <w:tcW w:w="1540" w:type="dxa"/>
            <w:tcBorders>
              <w:top w:val="nil"/>
              <w:left w:val="nil"/>
              <w:bottom w:val="nil"/>
              <w:right w:val="nil"/>
            </w:tcBorders>
            <w:noWrap/>
            <w:vAlign w:val="bottom"/>
            <w:hideMark/>
          </w:tcPr>
          <w:p w14:paraId="651C5A67" w14:textId="77777777" w:rsidR="007A6A1A" w:rsidRPr="003A7C61" w:rsidRDefault="007A6A1A" w:rsidP="003A7C61">
            <w:pPr>
              <w:spacing w:after="0" w:line="240" w:lineRule="auto"/>
              <w:rPr>
                <w:sz w:val="20"/>
                <w:szCs w:val="20"/>
              </w:rPr>
            </w:pPr>
            <w:r w:rsidRPr="003A7C61">
              <w:rPr>
                <w:sz w:val="20"/>
                <w:szCs w:val="20"/>
              </w:rPr>
              <w:t>0.278***</w:t>
            </w:r>
          </w:p>
        </w:tc>
        <w:tc>
          <w:tcPr>
            <w:tcW w:w="1541" w:type="dxa"/>
            <w:tcBorders>
              <w:top w:val="nil"/>
              <w:left w:val="nil"/>
              <w:bottom w:val="nil"/>
              <w:right w:val="single" w:sz="4" w:space="0" w:color="auto"/>
            </w:tcBorders>
            <w:hideMark/>
          </w:tcPr>
          <w:p w14:paraId="0BC51483" w14:textId="77777777" w:rsidR="007A6A1A" w:rsidRPr="003A7C61" w:rsidRDefault="007A6A1A" w:rsidP="003A7C61">
            <w:pPr>
              <w:spacing w:after="0" w:line="240" w:lineRule="auto"/>
              <w:rPr>
                <w:sz w:val="20"/>
                <w:szCs w:val="20"/>
              </w:rPr>
            </w:pPr>
            <w:r w:rsidRPr="003A7C61">
              <w:rPr>
                <w:sz w:val="20"/>
                <w:szCs w:val="20"/>
              </w:rPr>
              <w:t>0.130***</w:t>
            </w:r>
          </w:p>
        </w:tc>
      </w:tr>
      <w:tr w:rsidR="007A6A1A" w:rsidRPr="00167CB8" w14:paraId="74196F94" w14:textId="77777777">
        <w:trPr>
          <w:trHeight w:val="300"/>
        </w:trPr>
        <w:tc>
          <w:tcPr>
            <w:tcW w:w="4395" w:type="dxa"/>
            <w:tcBorders>
              <w:top w:val="nil"/>
              <w:left w:val="single" w:sz="4" w:space="0" w:color="auto"/>
              <w:bottom w:val="nil"/>
              <w:right w:val="nil"/>
            </w:tcBorders>
            <w:noWrap/>
            <w:vAlign w:val="bottom"/>
            <w:hideMark/>
          </w:tcPr>
          <w:p w14:paraId="6BECF2D8"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7C2D4838" w14:textId="77777777" w:rsidR="007A6A1A" w:rsidRPr="003A7C61" w:rsidRDefault="007A6A1A" w:rsidP="003A7C61">
            <w:pPr>
              <w:spacing w:after="0" w:line="240" w:lineRule="auto"/>
              <w:rPr>
                <w:sz w:val="20"/>
                <w:szCs w:val="20"/>
              </w:rPr>
            </w:pPr>
            <w:r w:rsidRPr="003A7C61">
              <w:rPr>
                <w:sz w:val="20"/>
                <w:szCs w:val="20"/>
              </w:rPr>
              <w:t>(0.010)</w:t>
            </w:r>
          </w:p>
        </w:tc>
        <w:tc>
          <w:tcPr>
            <w:tcW w:w="1540" w:type="dxa"/>
            <w:tcBorders>
              <w:top w:val="nil"/>
              <w:left w:val="nil"/>
              <w:bottom w:val="nil"/>
              <w:right w:val="nil"/>
            </w:tcBorders>
            <w:noWrap/>
            <w:vAlign w:val="bottom"/>
            <w:hideMark/>
          </w:tcPr>
          <w:p w14:paraId="70388101" w14:textId="77777777" w:rsidR="007A6A1A" w:rsidRPr="003A7C61" w:rsidRDefault="007A6A1A" w:rsidP="003A7C61">
            <w:pPr>
              <w:spacing w:after="0" w:line="240" w:lineRule="auto"/>
              <w:rPr>
                <w:sz w:val="20"/>
                <w:szCs w:val="20"/>
              </w:rPr>
            </w:pPr>
            <w:r w:rsidRPr="003A7C61">
              <w:rPr>
                <w:sz w:val="20"/>
                <w:szCs w:val="20"/>
              </w:rPr>
              <w:t>(0.007)</w:t>
            </w:r>
          </w:p>
        </w:tc>
        <w:tc>
          <w:tcPr>
            <w:tcW w:w="1541" w:type="dxa"/>
            <w:tcBorders>
              <w:top w:val="nil"/>
              <w:left w:val="nil"/>
              <w:bottom w:val="nil"/>
              <w:right w:val="single" w:sz="4" w:space="0" w:color="auto"/>
            </w:tcBorders>
            <w:hideMark/>
          </w:tcPr>
          <w:p w14:paraId="42B9FC86" w14:textId="77777777" w:rsidR="007A6A1A" w:rsidRPr="003A7C61" w:rsidRDefault="007A6A1A" w:rsidP="003A7C61">
            <w:pPr>
              <w:spacing w:after="0" w:line="240" w:lineRule="auto"/>
              <w:rPr>
                <w:sz w:val="20"/>
                <w:szCs w:val="20"/>
              </w:rPr>
            </w:pPr>
            <w:r w:rsidRPr="003A7C61">
              <w:rPr>
                <w:sz w:val="20"/>
                <w:szCs w:val="20"/>
              </w:rPr>
              <w:t>(0.012)</w:t>
            </w:r>
          </w:p>
        </w:tc>
      </w:tr>
      <w:tr w:rsidR="007A6A1A" w:rsidRPr="00167CB8" w14:paraId="5005A589" w14:textId="77777777">
        <w:trPr>
          <w:trHeight w:val="300"/>
        </w:trPr>
        <w:tc>
          <w:tcPr>
            <w:tcW w:w="4395" w:type="dxa"/>
            <w:tcBorders>
              <w:top w:val="nil"/>
              <w:left w:val="single" w:sz="4" w:space="0" w:color="auto"/>
              <w:bottom w:val="nil"/>
              <w:right w:val="nil"/>
            </w:tcBorders>
            <w:noWrap/>
            <w:vAlign w:val="bottom"/>
            <w:hideMark/>
          </w:tcPr>
          <w:p w14:paraId="0EDA64E0" w14:textId="77777777" w:rsidR="007A6A1A" w:rsidRPr="003A7C61" w:rsidRDefault="007A6A1A" w:rsidP="003A7C61">
            <w:pPr>
              <w:spacing w:after="0" w:line="240" w:lineRule="auto"/>
              <w:rPr>
                <w:sz w:val="20"/>
                <w:szCs w:val="20"/>
              </w:rPr>
            </w:pPr>
            <w:r w:rsidRPr="003A7C61">
              <w:rPr>
                <w:sz w:val="20"/>
                <w:szCs w:val="20"/>
              </w:rPr>
              <w:t>Actual experience</w:t>
            </w:r>
          </w:p>
        </w:tc>
        <w:tc>
          <w:tcPr>
            <w:tcW w:w="1540" w:type="dxa"/>
            <w:tcBorders>
              <w:top w:val="nil"/>
              <w:left w:val="nil"/>
              <w:bottom w:val="nil"/>
              <w:right w:val="nil"/>
            </w:tcBorders>
            <w:noWrap/>
            <w:vAlign w:val="bottom"/>
            <w:hideMark/>
          </w:tcPr>
          <w:p w14:paraId="6B5C8C43" w14:textId="77777777" w:rsidR="007A6A1A" w:rsidRPr="003A7C61" w:rsidRDefault="007A6A1A" w:rsidP="003A7C61">
            <w:pPr>
              <w:spacing w:after="0" w:line="240" w:lineRule="auto"/>
              <w:rPr>
                <w:sz w:val="20"/>
                <w:szCs w:val="20"/>
              </w:rPr>
            </w:pPr>
            <w:r w:rsidRPr="003A7C61">
              <w:rPr>
                <w:sz w:val="20"/>
                <w:szCs w:val="20"/>
              </w:rPr>
              <w:t>0.020***</w:t>
            </w:r>
          </w:p>
        </w:tc>
        <w:tc>
          <w:tcPr>
            <w:tcW w:w="1540" w:type="dxa"/>
            <w:tcBorders>
              <w:top w:val="nil"/>
              <w:left w:val="nil"/>
              <w:bottom w:val="nil"/>
              <w:right w:val="nil"/>
            </w:tcBorders>
            <w:noWrap/>
            <w:vAlign w:val="bottom"/>
            <w:hideMark/>
          </w:tcPr>
          <w:p w14:paraId="587DCA98" w14:textId="77777777" w:rsidR="007A6A1A" w:rsidRPr="003A7C61" w:rsidRDefault="007A6A1A" w:rsidP="003A7C61">
            <w:pPr>
              <w:spacing w:after="0" w:line="240" w:lineRule="auto"/>
              <w:rPr>
                <w:sz w:val="20"/>
                <w:szCs w:val="20"/>
              </w:rPr>
            </w:pPr>
            <w:r w:rsidRPr="003A7C61">
              <w:rPr>
                <w:sz w:val="20"/>
                <w:szCs w:val="20"/>
              </w:rPr>
              <w:t>0.029***</w:t>
            </w:r>
          </w:p>
        </w:tc>
        <w:tc>
          <w:tcPr>
            <w:tcW w:w="1541" w:type="dxa"/>
            <w:tcBorders>
              <w:top w:val="nil"/>
              <w:left w:val="nil"/>
              <w:bottom w:val="nil"/>
              <w:right w:val="single" w:sz="4" w:space="0" w:color="auto"/>
            </w:tcBorders>
            <w:hideMark/>
          </w:tcPr>
          <w:p w14:paraId="6CD2048E" w14:textId="77777777" w:rsidR="007A6A1A" w:rsidRPr="003A7C61" w:rsidRDefault="007A6A1A" w:rsidP="003A7C61">
            <w:pPr>
              <w:spacing w:after="0" w:line="240" w:lineRule="auto"/>
              <w:rPr>
                <w:sz w:val="20"/>
                <w:szCs w:val="20"/>
              </w:rPr>
            </w:pPr>
            <w:r w:rsidRPr="003A7C61">
              <w:rPr>
                <w:sz w:val="20"/>
                <w:szCs w:val="20"/>
              </w:rPr>
              <w:t>0.041***</w:t>
            </w:r>
          </w:p>
        </w:tc>
      </w:tr>
      <w:tr w:rsidR="007A6A1A" w:rsidRPr="00167CB8" w14:paraId="247D368A" w14:textId="77777777">
        <w:trPr>
          <w:trHeight w:val="300"/>
        </w:trPr>
        <w:tc>
          <w:tcPr>
            <w:tcW w:w="4395" w:type="dxa"/>
            <w:tcBorders>
              <w:top w:val="nil"/>
              <w:left w:val="single" w:sz="4" w:space="0" w:color="auto"/>
              <w:bottom w:val="nil"/>
              <w:right w:val="nil"/>
            </w:tcBorders>
            <w:noWrap/>
            <w:vAlign w:val="bottom"/>
            <w:hideMark/>
          </w:tcPr>
          <w:p w14:paraId="03AC4C9E"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040406B2" w14:textId="77777777" w:rsidR="007A6A1A" w:rsidRPr="003A7C61" w:rsidRDefault="007A6A1A" w:rsidP="003A7C61">
            <w:pPr>
              <w:spacing w:after="0" w:line="240" w:lineRule="auto"/>
              <w:rPr>
                <w:sz w:val="20"/>
                <w:szCs w:val="20"/>
              </w:rPr>
            </w:pPr>
            <w:r w:rsidRPr="003A7C61">
              <w:rPr>
                <w:sz w:val="20"/>
                <w:szCs w:val="20"/>
              </w:rPr>
              <w:t>(0.001)</w:t>
            </w:r>
          </w:p>
        </w:tc>
        <w:tc>
          <w:tcPr>
            <w:tcW w:w="1540" w:type="dxa"/>
            <w:tcBorders>
              <w:top w:val="nil"/>
              <w:left w:val="nil"/>
              <w:bottom w:val="nil"/>
              <w:right w:val="nil"/>
            </w:tcBorders>
            <w:noWrap/>
            <w:vAlign w:val="bottom"/>
            <w:hideMark/>
          </w:tcPr>
          <w:p w14:paraId="29817E1B" w14:textId="77777777" w:rsidR="007A6A1A" w:rsidRPr="003A7C61" w:rsidRDefault="007A6A1A" w:rsidP="003A7C61">
            <w:pPr>
              <w:spacing w:after="0" w:line="240" w:lineRule="auto"/>
              <w:rPr>
                <w:sz w:val="20"/>
                <w:szCs w:val="20"/>
              </w:rPr>
            </w:pPr>
            <w:r w:rsidRPr="003A7C61">
              <w:rPr>
                <w:sz w:val="20"/>
                <w:szCs w:val="20"/>
              </w:rPr>
              <w:t>(0.001)</w:t>
            </w:r>
          </w:p>
        </w:tc>
        <w:tc>
          <w:tcPr>
            <w:tcW w:w="1541" w:type="dxa"/>
            <w:tcBorders>
              <w:top w:val="nil"/>
              <w:left w:val="nil"/>
              <w:bottom w:val="nil"/>
              <w:right w:val="single" w:sz="4" w:space="0" w:color="auto"/>
            </w:tcBorders>
            <w:hideMark/>
          </w:tcPr>
          <w:p w14:paraId="67CFA86C" w14:textId="77777777" w:rsidR="007A6A1A" w:rsidRPr="003A7C61" w:rsidRDefault="007A6A1A" w:rsidP="003A7C61">
            <w:pPr>
              <w:spacing w:after="0" w:line="240" w:lineRule="auto"/>
              <w:rPr>
                <w:sz w:val="20"/>
                <w:szCs w:val="20"/>
              </w:rPr>
            </w:pPr>
            <w:r w:rsidRPr="003A7C61">
              <w:rPr>
                <w:sz w:val="20"/>
                <w:szCs w:val="20"/>
              </w:rPr>
              <w:t>(0.001)</w:t>
            </w:r>
          </w:p>
        </w:tc>
      </w:tr>
      <w:tr w:rsidR="007A6A1A" w:rsidRPr="00167CB8" w14:paraId="4199CEB5" w14:textId="77777777">
        <w:trPr>
          <w:trHeight w:val="300"/>
        </w:trPr>
        <w:tc>
          <w:tcPr>
            <w:tcW w:w="4395" w:type="dxa"/>
            <w:tcBorders>
              <w:top w:val="nil"/>
              <w:left w:val="single" w:sz="4" w:space="0" w:color="auto"/>
              <w:bottom w:val="nil"/>
              <w:right w:val="nil"/>
            </w:tcBorders>
            <w:noWrap/>
            <w:vAlign w:val="bottom"/>
            <w:hideMark/>
          </w:tcPr>
          <w:p w14:paraId="72A216E9" w14:textId="77777777" w:rsidR="007A6A1A" w:rsidRPr="003A7C61" w:rsidRDefault="007A6A1A" w:rsidP="003A7C61">
            <w:pPr>
              <w:spacing w:after="0" w:line="240" w:lineRule="auto"/>
              <w:rPr>
                <w:sz w:val="20"/>
                <w:szCs w:val="20"/>
              </w:rPr>
            </w:pPr>
            <w:r w:rsidRPr="003A7C61">
              <w:rPr>
                <w:sz w:val="20"/>
                <w:szCs w:val="20"/>
              </w:rPr>
              <w:t>Actual experience squared</w:t>
            </w:r>
          </w:p>
        </w:tc>
        <w:tc>
          <w:tcPr>
            <w:tcW w:w="1540" w:type="dxa"/>
            <w:tcBorders>
              <w:top w:val="nil"/>
              <w:left w:val="nil"/>
              <w:bottom w:val="nil"/>
              <w:right w:val="nil"/>
            </w:tcBorders>
            <w:noWrap/>
            <w:vAlign w:val="bottom"/>
            <w:hideMark/>
          </w:tcPr>
          <w:p w14:paraId="4F55CD1F" w14:textId="77777777" w:rsidR="007A6A1A" w:rsidRPr="003A7C61" w:rsidRDefault="007A6A1A" w:rsidP="003A7C61">
            <w:pPr>
              <w:spacing w:after="0" w:line="240" w:lineRule="auto"/>
              <w:rPr>
                <w:sz w:val="20"/>
                <w:szCs w:val="20"/>
              </w:rPr>
            </w:pPr>
            <w:r w:rsidRPr="003A7C61">
              <w:rPr>
                <w:sz w:val="20"/>
                <w:szCs w:val="20"/>
              </w:rPr>
              <w:t>-0.0003***</w:t>
            </w:r>
          </w:p>
        </w:tc>
        <w:tc>
          <w:tcPr>
            <w:tcW w:w="1540" w:type="dxa"/>
            <w:tcBorders>
              <w:top w:val="nil"/>
              <w:left w:val="nil"/>
              <w:bottom w:val="nil"/>
              <w:right w:val="nil"/>
            </w:tcBorders>
            <w:noWrap/>
            <w:vAlign w:val="bottom"/>
            <w:hideMark/>
          </w:tcPr>
          <w:p w14:paraId="29AB0E6E" w14:textId="77777777" w:rsidR="007A6A1A" w:rsidRPr="003A7C61" w:rsidRDefault="007A6A1A" w:rsidP="003A7C61">
            <w:pPr>
              <w:spacing w:after="0" w:line="240" w:lineRule="auto"/>
              <w:rPr>
                <w:sz w:val="20"/>
                <w:szCs w:val="20"/>
              </w:rPr>
            </w:pPr>
            <w:r w:rsidRPr="003A7C61">
              <w:rPr>
                <w:sz w:val="20"/>
                <w:szCs w:val="20"/>
              </w:rPr>
              <w:t>-0.0004***</w:t>
            </w:r>
          </w:p>
        </w:tc>
        <w:tc>
          <w:tcPr>
            <w:tcW w:w="1541" w:type="dxa"/>
            <w:tcBorders>
              <w:top w:val="nil"/>
              <w:left w:val="nil"/>
              <w:bottom w:val="nil"/>
              <w:right w:val="single" w:sz="4" w:space="0" w:color="auto"/>
            </w:tcBorders>
            <w:hideMark/>
          </w:tcPr>
          <w:p w14:paraId="22556895" w14:textId="77777777" w:rsidR="007A6A1A" w:rsidRPr="003A7C61" w:rsidRDefault="007A6A1A" w:rsidP="003A7C61">
            <w:pPr>
              <w:spacing w:after="0" w:line="240" w:lineRule="auto"/>
              <w:rPr>
                <w:sz w:val="20"/>
                <w:szCs w:val="20"/>
              </w:rPr>
            </w:pPr>
            <w:r w:rsidRPr="003A7C61">
              <w:rPr>
                <w:sz w:val="20"/>
                <w:szCs w:val="20"/>
              </w:rPr>
              <w:t>-0.001***</w:t>
            </w:r>
          </w:p>
        </w:tc>
      </w:tr>
      <w:tr w:rsidR="007A6A1A" w:rsidRPr="00167CB8" w14:paraId="1EC5D8A1" w14:textId="77777777">
        <w:trPr>
          <w:trHeight w:val="300"/>
        </w:trPr>
        <w:tc>
          <w:tcPr>
            <w:tcW w:w="4395" w:type="dxa"/>
            <w:tcBorders>
              <w:top w:val="nil"/>
              <w:left w:val="single" w:sz="4" w:space="0" w:color="auto"/>
              <w:bottom w:val="nil"/>
              <w:right w:val="nil"/>
            </w:tcBorders>
            <w:noWrap/>
            <w:vAlign w:val="bottom"/>
            <w:hideMark/>
          </w:tcPr>
          <w:p w14:paraId="449BC088"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263605E3" w14:textId="77777777" w:rsidR="007A6A1A" w:rsidRPr="003A7C61" w:rsidRDefault="007A6A1A" w:rsidP="003A7C61">
            <w:pPr>
              <w:spacing w:after="0" w:line="240" w:lineRule="auto"/>
              <w:rPr>
                <w:sz w:val="20"/>
                <w:szCs w:val="20"/>
              </w:rPr>
            </w:pPr>
            <w:r w:rsidRPr="003A7C61">
              <w:rPr>
                <w:sz w:val="20"/>
                <w:szCs w:val="20"/>
              </w:rPr>
              <w:t>(0.000)</w:t>
            </w:r>
          </w:p>
        </w:tc>
        <w:tc>
          <w:tcPr>
            <w:tcW w:w="1540" w:type="dxa"/>
            <w:tcBorders>
              <w:top w:val="nil"/>
              <w:left w:val="nil"/>
              <w:bottom w:val="nil"/>
              <w:right w:val="nil"/>
            </w:tcBorders>
            <w:noWrap/>
            <w:vAlign w:val="bottom"/>
            <w:hideMark/>
          </w:tcPr>
          <w:p w14:paraId="018C9F33" w14:textId="77777777" w:rsidR="007A6A1A" w:rsidRPr="003A7C61" w:rsidRDefault="007A6A1A" w:rsidP="003A7C61">
            <w:pPr>
              <w:spacing w:after="0" w:line="240" w:lineRule="auto"/>
              <w:rPr>
                <w:sz w:val="20"/>
                <w:szCs w:val="20"/>
              </w:rPr>
            </w:pPr>
            <w:r w:rsidRPr="003A7C61">
              <w:rPr>
                <w:sz w:val="20"/>
                <w:szCs w:val="20"/>
              </w:rPr>
              <w:t>(0.000)</w:t>
            </w:r>
          </w:p>
        </w:tc>
        <w:tc>
          <w:tcPr>
            <w:tcW w:w="1541" w:type="dxa"/>
            <w:tcBorders>
              <w:top w:val="nil"/>
              <w:left w:val="nil"/>
              <w:bottom w:val="nil"/>
              <w:right w:val="single" w:sz="4" w:space="0" w:color="auto"/>
            </w:tcBorders>
            <w:hideMark/>
          </w:tcPr>
          <w:p w14:paraId="0AC410D1" w14:textId="77777777" w:rsidR="007A6A1A" w:rsidRPr="003A7C61" w:rsidRDefault="007A6A1A" w:rsidP="003A7C61">
            <w:pPr>
              <w:spacing w:after="0" w:line="240" w:lineRule="auto"/>
              <w:rPr>
                <w:sz w:val="20"/>
                <w:szCs w:val="20"/>
              </w:rPr>
            </w:pPr>
            <w:r w:rsidRPr="003A7C61">
              <w:rPr>
                <w:sz w:val="20"/>
                <w:szCs w:val="20"/>
              </w:rPr>
              <w:t>(0.000)</w:t>
            </w:r>
          </w:p>
        </w:tc>
      </w:tr>
      <w:tr w:rsidR="007A6A1A" w:rsidRPr="00167CB8" w14:paraId="78DBF969" w14:textId="77777777">
        <w:trPr>
          <w:trHeight w:val="300"/>
        </w:trPr>
        <w:tc>
          <w:tcPr>
            <w:tcW w:w="4395" w:type="dxa"/>
            <w:tcBorders>
              <w:top w:val="nil"/>
              <w:left w:val="single" w:sz="4" w:space="0" w:color="auto"/>
              <w:bottom w:val="nil"/>
              <w:right w:val="nil"/>
            </w:tcBorders>
            <w:noWrap/>
            <w:vAlign w:val="bottom"/>
            <w:hideMark/>
          </w:tcPr>
          <w:p w14:paraId="27144808" w14:textId="77777777" w:rsidR="007A6A1A" w:rsidRPr="003A7C61" w:rsidRDefault="007A6A1A" w:rsidP="003A7C61">
            <w:pPr>
              <w:spacing w:after="0" w:line="240" w:lineRule="auto"/>
              <w:rPr>
                <w:sz w:val="20"/>
                <w:szCs w:val="20"/>
              </w:rPr>
            </w:pPr>
            <w:r w:rsidRPr="003A7C61">
              <w:rPr>
                <w:sz w:val="20"/>
                <w:szCs w:val="20"/>
              </w:rPr>
              <w:t>Migrant, born in a main English-speaking country</w:t>
            </w:r>
          </w:p>
        </w:tc>
        <w:tc>
          <w:tcPr>
            <w:tcW w:w="1540" w:type="dxa"/>
            <w:tcBorders>
              <w:top w:val="nil"/>
              <w:left w:val="nil"/>
              <w:bottom w:val="nil"/>
              <w:right w:val="nil"/>
            </w:tcBorders>
            <w:noWrap/>
            <w:vAlign w:val="bottom"/>
            <w:hideMark/>
          </w:tcPr>
          <w:p w14:paraId="501C2B31" w14:textId="77777777" w:rsidR="007A6A1A" w:rsidRPr="003A7C61" w:rsidRDefault="007A6A1A" w:rsidP="003A7C61">
            <w:pPr>
              <w:spacing w:after="0" w:line="240" w:lineRule="auto"/>
              <w:rPr>
                <w:sz w:val="20"/>
                <w:szCs w:val="20"/>
              </w:rPr>
            </w:pPr>
            <w:r w:rsidRPr="003A7C61">
              <w:rPr>
                <w:sz w:val="20"/>
                <w:szCs w:val="20"/>
              </w:rPr>
              <w:t>0.052***</w:t>
            </w:r>
          </w:p>
        </w:tc>
        <w:tc>
          <w:tcPr>
            <w:tcW w:w="1540" w:type="dxa"/>
            <w:tcBorders>
              <w:top w:val="nil"/>
              <w:left w:val="nil"/>
              <w:bottom w:val="nil"/>
              <w:right w:val="nil"/>
            </w:tcBorders>
            <w:noWrap/>
            <w:vAlign w:val="bottom"/>
            <w:hideMark/>
          </w:tcPr>
          <w:p w14:paraId="63B1D58C" w14:textId="77777777" w:rsidR="007A6A1A" w:rsidRPr="003A7C61" w:rsidRDefault="007A6A1A" w:rsidP="003A7C61">
            <w:pPr>
              <w:spacing w:after="0" w:line="240" w:lineRule="auto"/>
              <w:rPr>
                <w:sz w:val="20"/>
                <w:szCs w:val="20"/>
              </w:rPr>
            </w:pPr>
            <w:r w:rsidRPr="003A7C61">
              <w:rPr>
                <w:sz w:val="20"/>
                <w:szCs w:val="20"/>
              </w:rPr>
              <w:t>0.026**</w:t>
            </w:r>
          </w:p>
        </w:tc>
        <w:tc>
          <w:tcPr>
            <w:tcW w:w="1541" w:type="dxa"/>
            <w:tcBorders>
              <w:top w:val="nil"/>
              <w:left w:val="nil"/>
              <w:bottom w:val="nil"/>
              <w:right w:val="single" w:sz="4" w:space="0" w:color="auto"/>
            </w:tcBorders>
            <w:hideMark/>
          </w:tcPr>
          <w:p w14:paraId="385A3CD1" w14:textId="77777777" w:rsidR="007A6A1A" w:rsidRPr="003A7C61" w:rsidRDefault="007A6A1A" w:rsidP="003A7C61">
            <w:pPr>
              <w:spacing w:after="0" w:line="240" w:lineRule="auto"/>
              <w:rPr>
                <w:sz w:val="20"/>
                <w:szCs w:val="20"/>
              </w:rPr>
            </w:pPr>
            <w:r w:rsidRPr="003A7C61">
              <w:rPr>
                <w:sz w:val="20"/>
                <w:szCs w:val="20"/>
              </w:rPr>
              <w:t>--</w:t>
            </w:r>
          </w:p>
        </w:tc>
      </w:tr>
      <w:tr w:rsidR="007A6A1A" w:rsidRPr="00167CB8" w14:paraId="2EF60567" w14:textId="77777777">
        <w:trPr>
          <w:trHeight w:val="300"/>
        </w:trPr>
        <w:tc>
          <w:tcPr>
            <w:tcW w:w="4395" w:type="dxa"/>
            <w:tcBorders>
              <w:top w:val="nil"/>
              <w:left w:val="single" w:sz="4" w:space="0" w:color="auto"/>
              <w:bottom w:val="nil"/>
              <w:right w:val="nil"/>
            </w:tcBorders>
            <w:noWrap/>
            <w:vAlign w:val="bottom"/>
            <w:hideMark/>
          </w:tcPr>
          <w:p w14:paraId="29FC2908"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49BEE35C" w14:textId="77777777" w:rsidR="007A6A1A" w:rsidRPr="003A7C61" w:rsidRDefault="007A6A1A" w:rsidP="003A7C61">
            <w:pPr>
              <w:spacing w:after="0" w:line="240" w:lineRule="auto"/>
              <w:rPr>
                <w:sz w:val="20"/>
                <w:szCs w:val="20"/>
              </w:rPr>
            </w:pPr>
            <w:r w:rsidRPr="003A7C61">
              <w:rPr>
                <w:sz w:val="20"/>
                <w:szCs w:val="20"/>
              </w:rPr>
              <w:t>(0.013)</w:t>
            </w:r>
          </w:p>
        </w:tc>
        <w:tc>
          <w:tcPr>
            <w:tcW w:w="1540" w:type="dxa"/>
            <w:tcBorders>
              <w:top w:val="nil"/>
              <w:left w:val="nil"/>
              <w:bottom w:val="nil"/>
              <w:right w:val="nil"/>
            </w:tcBorders>
            <w:noWrap/>
            <w:vAlign w:val="bottom"/>
            <w:hideMark/>
          </w:tcPr>
          <w:p w14:paraId="3B2516E4" w14:textId="77777777" w:rsidR="007A6A1A" w:rsidRPr="003A7C61" w:rsidRDefault="007A6A1A" w:rsidP="003A7C61">
            <w:pPr>
              <w:spacing w:after="0" w:line="240" w:lineRule="auto"/>
              <w:rPr>
                <w:sz w:val="20"/>
                <w:szCs w:val="20"/>
              </w:rPr>
            </w:pPr>
            <w:r w:rsidRPr="003A7C61">
              <w:rPr>
                <w:sz w:val="20"/>
                <w:szCs w:val="20"/>
              </w:rPr>
              <w:t>(0.010)</w:t>
            </w:r>
          </w:p>
        </w:tc>
        <w:tc>
          <w:tcPr>
            <w:tcW w:w="1541" w:type="dxa"/>
            <w:tcBorders>
              <w:top w:val="nil"/>
              <w:left w:val="nil"/>
              <w:bottom w:val="nil"/>
              <w:right w:val="single" w:sz="4" w:space="0" w:color="auto"/>
            </w:tcBorders>
          </w:tcPr>
          <w:p w14:paraId="18EBF3D6" w14:textId="77777777" w:rsidR="007A6A1A" w:rsidRPr="003A7C61" w:rsidRDefault="007A6A1A" w:rsidP="003A7C61">
            <w:pPr>
              <w:spacing w:after="0" w:line="240" w:lineRule="auto"/>
              <w:rPr>
                <w:sz w:val="20"/>
                <w:szCs w:val="20"/>
              </w:rPr>
            </w:pPr>
          </w:p>
        </w:tc>
      </w:tr>
      <w:tr w:rsidR="007A6A1A" w:rsidRPr="00167CB8" w14:paraId="51D49C5D" w14:textId="77777777">
        <w:trPr>
          <w:trHeight w:val="300"/>
        </w:trPr>
        <w:tc>
          <w:tcPr>
            <w:tcW w:w="4395" w:type="dxa"/>
            <w:tcBorders>
              <w:top w:val="nil"/>
              <w:left w:val="single" w:sz="4" w:space="0" w:color="auto"/>
              <w:bottom w:val="nil"/>
              <w:right w:val="nil"/>
            </w:tcBorders>
            <w:noWrap/>
            <w:vAlign w:val="bottom"/>
            <w:hideMark/>
          </w:tcPr>
          <w:p w14:paraId="2F39FDC9" w14:textId="77777777" w:rsidR="007A6A1A" w:rsidRPr="003A7C61" w:rsidRDefault="007A6A1A" w:rsidP="003A7C61">
            <w:pPr>
              <w:spacing w:after="0" w:line="240" w:lineRule="auto"/>
              <w:rPr>
                <w:sz w:val="20"/>
                <w:szCs w:val="20"/>
              </w:rPr>
            </w:pPr>
            <w:r w:rsidRPr="003A7C61">
              <w:rPr>
                <w:sz w:val="20"/>
                <w:szCs w:val="20"/>
              </w:rPr>
              <w:t>Migrant, born in a non-English-speaking country</w:t>
            </w:r>
          </w:p>
        </w:tc>
        <w:tc>
          <w:tcPr>
            <w:tcW w:w="1540" w:type="dxa"/>
            <w:tcBorders>
              <w:top w:val="nil"/>
              <w:left w:val="nil"/>
              <w:bottom w:val="nil"/>
              <w:right w:val="nil"/>
            </w:tcBorders>
            <w:noWrap/>
            <w:vAlign w:val="bottom"/>
            <w:hideMark/>
          </w:tcPr>
          <w:p w14:paraId="5EC9D8CA" w14:textId="77777777" w:rsidR="007A6A1A" w:rsidRPr="003A7C61" w:rsidRDefault="007A6A1A" w:rsidP="003A7C61">
            <w:pPr>
              <w:spacing w:after="0" w:line="240" w:lineRule="auto"/>
              <w:rPr>
                <w:sz w:val="20"/>
                <w:szCs w:val="20"/>
              </w:rPr>
            </w:pPr>
            <w:r w:rsidRPr="003A7C61">
              <w:rPr>
                <w:sz w:val="20"/>
                <w:szCs w:val="20"/>
              </w:rPr>
              <w:t>-0.044***</w:t>
            </w:r>
          </w:p>
        </w:tc>
        <w:tc>
          <w:tcPr>
            <w:tcW w:w="1540" w:type="dxa"/>
            <w:tcBorders>
              <w:top w:val="nil"/>
              <w:left w:val="nil"/>
              <w:bottom w:val="nil"/>
              <w:right w:val="nil"/>
            </w:tcBorders>
            <w:noWrap/>
            <w:vAlign w:val="bottom"/>
            <w:hideMark/>
          </w:tcPr>
          <w:p w14:paraId="008EB63F" w14:textId="77777777" w:rsidR="007A6A1A" w:rsidRPr="003A7C61" w:rsidRDefault="007A6A1A" w:rsidP="003A7C61">
            <w:pPr>
              <w:spacing w:after="0" w:line="240" w:lineRule="auto"/>
              <w:rPr>
                <w:sz w:val="20"/>
                <w:szCs w:val="20"/>
              </w:rPr>
            </w:pPr>
            <w:r w:rsidRPr="003A7C61">
              <w:rPr>
                <w:sz w:val="20"/>
                <w:szCs w:val="20"/>
              </w:rPr>
              <w:t>-0.050***</w:t>
            </w:r>
          </w:p>
        </w:tc>
        <w:tc>
          <w:tcPr>
            <w:tcW w:w="1541" w:type="dxa"/>
            <w:tcBorders>
              <w:top w:val="nil"/>
              <w:left w:val="nil"/>
              <w:bottom w:val="nil"/>
              <w:right w:val="single" w:sz="4" w:space="0" w:color="auto"/>
            </w:tcBorders>
            <w:hideMark/>
          </w:tcPr>
          <w:p w14:paraId="7DF241D6" w14:textId="77777777" w:rsidR="007A6A1A" w:rsidRPr="003A7C61" w:rsidRDefault="007A6A1A" w:rsidP="003A7C61">
            <w:pPr>
              <w:spacing w:after="0" w:line="240" w:lineRule="auto"/>
              <w:rPr>
                <w:sz w:val="20"/>
                <w:szCs w:val="20"/>
              </w:rPr>
            </w:pPr>
            <w:r w:rsidRPr="003A7C61">
              <w:rPr>
                <w:sz w:val="20"/>
                <w:szCs w:val="20"/>
              </w:rPr>
              <w:t>--</w:t>
            </w:r>
          </w:p>
        </w:tc>
      </w:tr>
      <w:tr w:rsidR="007A6A1A" w:rsidRPr="00167CB8" w14:paraId="0A893872" w14:textId="77777777">
        <w:trPr>
          <w:trHeight w:val="300"/>
        </w:trPr>
        <w:tc>
          <w:tcPr>
            <w:tcW w:w="4395" w:type="dxa"/>
            <w:tcBorders>
              <w:top w:val="nil"/>
              <w:left w:val="single" w:sz="4" w:space="0" w:color="auto"/>
              <w:bottom w:val="nil"/>
              <w:right w:val="nil"/>
            </w:tcBorders>
            <w:noWrap/>
            <w:vAlign w:val="bottom"/>
            <w:hideMark/>
          </w:tcPr>
          <w:p w14:paraId="647F7745"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090F89F5" w14:textId="77777777" w:rsidR="007A6A1A" w:rsidRPr="003A7C61" w:rsidRDefault="007A6A1A" w:rsidP="003A7C61">
            <w:pPr>
              <w:spacing w:after="0" w:line="240" w:lineRule="auto"/>
              <w:rPr>
                <w:sz w:val="20"/>
                <w:szCs w:val="20"/>
              </w:rPr>
            </w:pPr>
            <w:r w:rsidRPr="003A7C61">
              <w:rPr>
                <w:sz w:val="20"/>
                <w:szCs w:val="20"/>
              </w:rPr>
              <w:t>(0.012)</w:t>
            </w:r>
          </w:p>
        </w:tc>
        <w:tc>
          <w:tcPr>
            <w:tcW w:w="1540" w:type="dxa"/>
            <w:tcBorders>
              <w:top w:val="nil"/>
              <w:left w:val="nil"/>
              <w:bottom w:val="nil"/>
              <w:right w:val="nil"/>
            </w:tcBorders>
            <w:noWrap/>
            <w:vAlign w:val="bottom"/>
            <w:hideMark/>
          </w:tcPr>
          <w:p w14:paraId="342C2118" w14:textId="77777777" w:rsidR="007A6A1A" w:rsidRPr="003A7C61" w:rsidRDefault="007A6A1A" w:rsidP="003A7C61">
            <w:pPr>
              <w:spacing w:after="0" w:line="240" w:lineRule="auto"/>
              <w:rPr>
                <w:sz w:val="20"/>
                <w:szCs w:val="20"/>
              </w:rPr>
            </w:pPr>
            <w:r w:rsidRPr="003A7C61">
              <w:rPr>
                <w:sz w:val="20"/>
                <w:szCs w:val="20"/>
              </w:rPr>
              <w:t>(0.009)</w:t>
            </w:r>
          </w:p>
        </w:tc>
        <w:tc>
          <w:tcPr>
            <w:tcW w:w="1541" w:type="dxa"/>
            <w:tcBorders>
              <w:top w:val="nil"/>
              <w:left w:val="nil"/>
              <w:bottom w:val="nil"/>
              <w:right w:val="single" w:sz="4" w:space="0" w:color="auto"/>
            </w:tcBorders>
          </w:tcPr>
          <w:p w14:paraId="1BFE6C30" w14:textId="77777777" w:rsidR="007A6A1A" w:rsidRPr="003A7C61" w:rsidRDefault="007A6A1A" w:rsidP="003A7C61">
            <w:pPr>
              <w:spacing w:after="0" w:line="240" w:lineRule="auto"/>
              <w:rPr>
                <w:sz w:val="20"/>
                <w:szCs w:val="20"/>
              </w:rPr>
            </w:pPr>
          </w:p>
        </w:tc>
      </w:tr>
      <w:tr w:rsidR="007A6A1A" w:rsidRPr="00167CB8" w14:paraId="68F55642" w14:textId="77777777">
        <w:trPr>
          <w:trHeight w:val="300"/>
        </w:trPr>
        <w:tc>
          <w:tcPr>
            <w:tcW w:w="4395" w:type="dxa"/>
            <w:tcBorders>
              <w:top w:val="nil"/>
              <w:left w:val="single" w:sz="4" w:space="0" w:color="auto"/>
              <w:bottom w:val="nil"/>
              <w:right w:val="nil"/>
            </w:tcBorders>
            <w:noWrap/>
            <w:vAlign w:val="bottom"/>
            <w:hideMark/>
          </w:tcPr>
          <w:p w14:paraId="4D471A12" w14:textId="77777777" w:rsidR="007A6A1A" w:rsidRPr="003A7C61" w:rsidRDefault="007A6A1A" w:rsidP="003A7C61">
            <w:pPr>
              <w:spacing w:after="0" w:line="240" w:lineRule="auto"/>
              <w:rPr>
                <w:sz w:val="20"/>
                <w:szCs w:val="20"/>
              </w:rPr>
            </w:pPr>
            <w:r w:rsidRPr="003A7C61">
              <w:rPr>
                <w:sz w:val="20"/>
                <w:szCs w:val="20"/>
              </w:rPr>
              <w:t>Married or living as de facto</w:t>
            </w:r>
          </w:p>
        </w:tc>
        <w:tc>
          <w:tcPr>
            <w:tcW w:w="1540" w:type="dxa"/>
            <w:tcBorders>
              <w:top w:val="nil"/>
              <w:left w:val="nil"/>
              <w:bottom w:val="nil"/>
              <w:right w:val="nil"/>
            </w:tcBorders>
            <w:noWrap/>
            <w:vAlign w:val="bottom"/>
            <w:hideMark/>
          </w:tcPr>
          <w:p w14:paraId="3BC00845" w14:textId="77777777" w:rsidR="007A6A1A" w:rsidRPr="003A7C61" w:rsidRDefault="007A6A1A" w:rsidP="003A7C61">
            <w:pPr>
              <w:spacing w:after="0" w:line="240" w:lineRule="auto"/>
              <w:rPr>
                <w:sz w:val="20"/>
                <w:szCs w:val="20"/>
              </w:rPr>
            </w:pPr>
            <w:r w:rsidRPr="003A7C61">
              <w:rPr>
                <w:sz w:val="20"/>
                <w:szCs w:val="20"/>
              </w:rPr>
              <w:t>0.058***</w:t>
            </w:r>
          </w:p>
        </w:tc>
        <w:tc>
          <w:tcPr>
            <w:tcW w:w="1540" w:type="dxa"/>
            <w:tcBorders>
              <w:top w:val="nil"/>
              <w:left w:val="nil"/>
              <w:bottom w:val="nil"/>
              <w:right w:val="nil"/>
            </w:tcBorders>
            <w:noWrap/>
            <w:vAlign w:val="bottom"/>
            <w:hideMark/>
          </w:tcPr>
          <w:p w14:paraId="510A0FD7" w14:textId="77777777" w:rsidR="007A6A1A" w:rsidRPr="003A7C61" w:rsidRDefault="007A6A1A" w:rsidP="003A7C61">
            <w:pPr>
              <w:spacing w:after="0" w:line="240" w:lineRule="auto"/>
              <w:rPr>
                <w:sz w:val="20"/>
                <w:szCs w:val="20"/>
              </w:rPr>
            </w:pPr>
            <w:r w:rsidRPr="003A7C61">
              <w:rPr>
                <w:sz w:val="20"/>
                <w:szCs w:val="20"/>
              </w:rPr>
              <w:t>0.043***</w:t>
            </w:r>
          </w:p>
        </w:tc>
        <w:tc>
          <w:tcPr>
            <w:tcW w:w="1541" w:type="dxa"/>
            <w:tcBorders>
              <w:top w:val="nil"/>
              <w:left w:val="nil"/>
              <w:bottom w:val="nil"/>
              <w:right w:val="single" w:sz="4" w:space="0" w:color="auto"/>
            </w:tcBorders>
            <w:hideMark/>
          </w:tcPr>
          <w:p w14:paraId="0A0E7D9B" w14:textId="77777777" w:rsidR="007A6A1A" w:rsidRPr="003A7C61" w:rsidRDefault="007A6A1A" w:rsidP="003A7C61">
            <w:pPr>
              <w:spacing w:after="0" w:line="240" w:lineRule="auto"/>
              <w:rPr>
                <w:sz w:val="20"/>
                <w:szCs w:val="20"/>
              </w:rPr>
            </w:pPr>
            <w:r w:rsidRPr="003A7C61">
              <w:rPr>
                <w:sz w:val="20"/>
                <w:szCs w:val="20"/>
              </w:rPr>
              <w:t>0.036***</w:t>
            </w:r>
          </w:p>
        </w:tc>
      </w:tr>
      <w:tr w:rsidR="007A6A1A" w:rsidRPr="00167CB8" w14:paraId="3F0B14BE" w14:textId="77777777">
        <w:trPr>
          <w:trHeight w:val="300"/>
        </w:trPr>
        <w:tc>
          <w:tcPr>
            <w:tcW w:w="4395" w:type="dxa"/>
            <w:tcBorders>
              <w:top w:val="nil"/>
              <w:left w:val="single" w:sz="4" w:space="0" w:color="auto"/>
              <w:bottom w:val="nil"/>
              <w:right w:val="nil"/>
            </w:tcBorders>
            <w:noWrap/>
            <w:vAlign w:val="bottom"/>
            <w:hideMark/>
          </w:tcPr>
          <w:p w14:paraId="26FB0F99"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08923076" w14:textId="77777777" w:rsidR="007A6A1A" w:rsidRPr="003A7C61" w:rsidRDefault="007A6A1A" w:rsidP="003A7C61">
            <w:pPr>
              <w:spacing w:after="0" w:line="240" w:lineRule="auto"/>
              <w:rPr>
                <w:sz w:val="20"/>
                <w:szCs w:val="20"/>
              </w:rPr>
            </w:pPr>
            <w:r w:rsidRPr="003A7C61">
              <w:rPr>
                <w:sz w:val="20"/>
                <w:szCs w:val="20"/>
              </w:rPr>
              <w:t>(0.008)</w:t>
            </w:r>
          </w:p>
        </w:tc>
        <w:tc>
          <w:tcPr>
            <w:tcW w:w="1540" w:type="dxa"/>
            <w:tcBorders>
              <w:top w:val="nil"/>
              <w:left w:val="nil"/>
              <w:bottom w:val="nil"/>
              <w:right w:val="nil"/>
            </w:tcBorders>
            <w:noWrap/>
            <w:vAlign w:val="bottom"/>
            <w:hideMark/>
          </w:tcPr>
          <w:p w14:paraId="6B59C41B"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6DC52436" w14:textId="77777777" w:rsidR="007A6A1A" w:rsidRPr="003A7C61" w:rsidRDefault="007A6A1A" w:rsidP="003A7C61">
            <w:pPr>
              <w:spacing w:after="0" w:line="240" w:lineRule="auto"/>
              <w:rPr>
                <w:sz w:val="20"/>
                <w:szCs w:val="20"/>
              </w:rPr>
            </w:pPr>
            <w:r w:rsidRPr="003A7C61">
              <w:rPr>
                <w:sz w:val="20"/>
                <w:szCs w:val="20"/>
              </w:rPr>
              <w:t>(0.005)</w:t>
            </w:r>
          </w:p>
        </w:tc>
      </w:tr>
      <w:tr w:rsidR="007A6A1A" w:rsidRPr="00167CB8" w14:paraId="7536169A" w14:textId="77777777">
        <w:trPr>
          <w:trHeight w:val="300"/>
        </w:trPr>
        <w:tc>
          <w:tcPr>
            <w:tcW w:w="4395" w:type="dxa"/>
            <w:tcBorders>
              <w:top w:val="nil"/>
              <w:left w:val="single" w:sz="4" w:space="0" w:color="auto"/>
              <w:bottom w:val="nil"/>
              <w:right w:val="nil"/>
            </w:tcBorders>
            <w:noWrap/>
            <w:vAlign w:val="bottom"/>
            <w:hideMark/>
          </w:tcPr>
          <w:p w14:paraId="272790DF" w14:textId="77777777" w:rsidR="007A6A1A" w:rsidRPr="003A7C61" w:rsidRDefault="007A6A1A" w:rsidP="003A7C61">
            <w:pPr>
              <w:spacing w:after="0" w:line="240" w:lineRule="auto"/>
              <w:rPr>
                <w:sz w:val="20"/>
                <w:szCs w:val="20"/>
              </w:rPr>
            </w:pPr>
            <w:r w:rsidRPr="003A7C61">
              <w:rPr>
                <w:sz w:val="20"/>
                <w:szCs w:val="20"/>
              </w:rPr>
              <w:t>Has dependent child</w:t>
            </w:r>
          </w:p>
        </w:tc>
        <w:tc>
          <w:tcPr>
            <w:tcW w:w="1540" w:type="dxa"/>
            <w:tcBorders>
              <w:top w:val="nil"/>
              <w:left w:val="nil"/>
              <w:bottom w:val="nil"/>
              <w:right w:val="nil"/>
            </w:tcBorders>
            <w:noWrap/>
            <w:vAlign w:val="bottom"/>
            <w:hideMark/>
          </w:tcPr>
          <w:p w14:paraId="33ED784E" w14:textId="77777777" w:rsidR="007A6A1A" w:rsidRPr="003A7C61" w:rsidRDefault="007A6A1A" w:rsidP="003A7C61">
            <w:pPr>
              <w:spacing w:after="0" w:line="240" w:lineRule="auto"/>
              <w:rPr>
                <w:sz w:val="20"/>
                <w:szCs w:val="20"/>
              </w:rPr>
            </w:pPr>
            <w:r w:rsidRPr="003A7C61">
              <w:rPr>
                <w:sz w:val="20"/>
                <w:szCs w:val="20"/>
              </w:rPr>
              <w:t>0.061***</w:t>
            </w:r>
          </w:p>
        </w:tc>
        <w:tc>
          <w:tcPr>
            <w:tcW w:w="1540" w:type="dxa"/>
            <w:tcBorders>
              <w:top w:val="nil"/>
              <w:left w:val="nil"/>
              <w:bottom w:val="nil"/>
              <w:right w:val="nil"/>
            </w:tcBorders>
            <w:noWrap/>
            <w:vAlign w:val="bottom"/>
            <w:hideMark/>
          </w:tcPr>
          <w:p w14:paraId="382D1224" w14:textId="77777777" w:rsidR="007A6A1A" w:rsidRPr="003A7C61" w:rsidRDefault="007A6A1A" w:rsidP="003A7C61">
            <w:pPr>
              <w:spacing w:after="0" w:line="240" w:lineRule="auto"/>
              <w:rPr>
                <w:sz w:val="20"/>
                <w:szCs w:val="20"/>
              </w:rPr>
            </w:pPr>
            <w:r w:rsidRPr="003A7C61">
              <w:rPr>
                <w:sz w:val="20"/>
                <w:szCs w:val="20"/>
              </w:rPr>
              <w:t>0.020***</w:t>
            </w:r>
          </w:p>
        </w:tc>
        <w:tc>
          <w:tcPr>
            <w:tcW w:w="1541" w:type="dxa"/>
            <w:tcBorders>
              <w:top w:val="nil"/>
              <w:left w:val="nil"/>
              <w:bottom w:val="nil"/>
              <w:right w:val="single" w:sz="4" w:space="0" w:color="auto"/>
            </w:tcBorders>
            <w:hideMark/>
          </w:tcPr>
          <w:p w14:paraId="341DC5B2" w14:textId="77777777" w:rsidR="007A6A1A" w:rsidRPr="003A7C61" w:rsidRDefault="007A6A1A" w:rsidP="003A7C61">
            <w:pPr>
              <w:spacing w:after="0" w:line="240" w:lineRule="auto"/>
              <w:rPr>
                <w:sz w:val="20"/>
                <w:szCs w:val="20"/>
              </w:rPr>
            </w:pPr>
            <w:r w:rsidRPr="003A7C61">
              <w:rPr>
                <w:sz w:val="20"/>
                <w:szCs w:val="20"/>
              </w:rPr>
              <w:t>0.004</w:t>
            </w:r>
          </w:p>
        </w:tc>
      </w:tr>
      <w:tr w:rsidR="007A6A1A" w:rsidRPr="00167CB8" w14:paraId="762DF0F5" w14:textId="77777777">
        <w:trPr>
          <w:trHeight w:val="300"/>
        </w:trPr>
        <w:tc>
          <w:tcPr>
            <w:tcW w:w="4395" w:type="dxa"/>
            <w:tcBorders>
              <w:top w:val="nil"/>
              <w:left w:val="single" w:sz="4" w:space="0" w:color="auto"/>
              <w:bottom w:val="nil"/>
              <w:right w:val="nil"/>
            </w:tcBorders>
            <w:noWrap/>
            <w:vAlign w:val="bottom"/>
            <w:hideMark/>
          </w:tcPr>
          <w:p w14:paraId="370E0317"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2F99479F" w14:textId="77777777" w:rsidR="007A6A1A" w:rsidRPr="003A7C61" w:rsidRDefault="007A6A1A" w:rsidP="003A7C61">
            <w:pPr>
              <w:spacing w:after="0" w:line="240" w:lineRule="auto"/>
              <w:rPr>
                <w:sz w:val="20"/>
                <w:szCs w:val="20"/>
              </w:rPr>
            </w:pPr>
            <w:r w:rsidRPr="003A7C61">
              <w:rPr>
                <w:sz w:val="20"/>
                <w:szCs w:val="20"/>
              </w:rPr>
              <w:t>(0.007)</w:t>
            </w:r>
          </w:p>
        </w:tc>
        <w:tc>
          <w:tcPr>
            <w:tcW w:w="1540" w:type="dxa"/>
            <w:tcBorders>
              <w:top w:val="nil"/>
              <w:left w:val="nil"/>
              <w:bottom w:val="nil"/>
              <w:right w:val="nil"/>
            </w:tcBorders>
            <w:noWrap/>
            <w:vAlign w:val="bottom"/>
            <w:hideMark/>
          </w:tcPr>
          <w:p w14:paraId="265D766E"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6A95215E" w14:textId="77777777" w:rsidR="007A6A1A" w:rsidRPr="003A7C61" w:rsidRDefault="007A6A1A" w:rsidP="003A7C61">
            <w:pPr>
              <w:spacing w:after="0" w:line="240" w:lineRule="auto"/>
              <w:rPr>
                <w:sz w:val="20"/>
                <w:szCs w:val="20"/>
              </w:rPr>
            </w:pPr>
            <w:r w:rsidRPr="003A7C61">
              <w:rPr>
                <w:sz w:val="20"/>
                <w:szCs w:val="20"/>
              </w:rPr>
              <w:t>(0.004)</w:t>
            </w:r>
          </w:p>
        </w:tc>
      </w:tr>
      <w:tr w:rsidR="007A6A1A" w:rsidRPr="00167CB8" w14:paraId="51585178" w14:textId="77777777">
        <w:trPr>
          <w:trHeight w:val="300"/>
        </w:trPr>
        <w:tc>
          <w:tcPr>
            <w:tcW w:w="4395" w:type="dxa"/>
            <w:tcBorders>
              <w:top w:val="nil"/>
              <w:left w:val="single" w:sz="4" w:space="0" w:color="auto"/>
              <w:bottom w:val="nil"/>
              <w:right w:val="nil"/>
            </w:tcBorders>
            <w:noWrap/>
            <w:vAlign w:val="bottom"/>
            <w:hideMark/>
          </w:tcPr>
          <w:p w14:paraId="5B81D0BA" w14:textId="77777777" w:rsidR="007A6A1A" w:rsidRPr="003A7C61" w:rsidRDefault="007A6A1A" w:rsidP="003A7C61">
            <w:pPr>
              <w:spacing w:after="0" w:line="240" w:lineRule="auto"/>
              <w:rPr>
                <w:sz w:val="20"/>
                <w:szCs w:val="20"/>
              </w:rPr>
            </w:pPr>
            <w:r w:rsidRPr="003A7C61">
              <w:rPr>
                <w:sz w:val="20"/>
                <w:szCs w:val="20"/>
              </w:rPr>
              <w:t>Employed in the public sector (main job)</w:t>
            </w:r>
          </w:p>
        </w:tc>
        <w:tc>
          <w:tcPr>
            <w:tcW w:w="1540" w:type="dxa"/>
            <w:tcBorders>
              <w:top w:val="nil"/>
              <w:left w:val="nil"/>
              <w:bottom w:val="nil"/>
              <w:right w:val="nil"/>
            </w:tcBorders>
            <w:noWrap/>
            <w:vAlign w:val="bottom"/>
            <w:hideMark/>
          </w:tcPr>
          <w:p w14:paraId="1E3154CD" w14:textId="77777777" w:rsidR="007A6A1A" w:rsidRPr="003A7C61" w:rsidRDefault="007A6A1A" w:rsidP="003A7C61">
            <w:pPr>
              <w:spacing w:after="0" w:line="240" w:lineRule="auto"/>
              <w:rPr>
                <w:sz w:val="20"/>
                <w:szCs w:val="20"/>
              </w:rPr>
            </w:pPr>
            <w:r w:rsidRPr="003A7C61">
              <w:rPr>
                <w:sz w:val="20"/>
                <w:szCs w:val="20"/>
              </w:rPr>
              <w:t>0.105***</w:t>
            </w:r>
          </w:p>
        </w:tc>
        <w:tc>
          <w:tcPr>
            <w:tcW w:w="1540" w:type="dxa"/>
            <w:tcBorders>
              <w:top w:val="nil"/>
              <w:left w:val="nil"/>
              <w:bottom w:val="nil"/>
              <w:right w:val="nil"/>
            </w:tcBorders>
            <w:noWrap/>
            <w:vAlign w:val="bottom"/>
            <w:hideMark/>
          </w:tcPr>
          <w:p w14:paraId="658EFF28" w14:textId="77777777" w:rsidR="007A6A1A" w:rsidRPr="003A7C61" w:rsidRDefault="007A6A1A" w:rsidP="003A7C61">
            <w:pPr>
              <w:spacing w:after="0" w:line="240" w:lineRule="auto"/>
              <w:rPr>
                <w:sz w:val="20"/>
                <w:szCs w:val="20"/>
              </w:rPr>
            </w:pPr>
            <w:r w:rsidRPr="003A7C61">
              <w:rPr>
                <w:sz w:val="20"/>
                <w:szCs w:val="20"/>
              </w:rPr>
              <w:t>0.068***</w:t>
            </w:r>
          </w:p>
        </w:tc>
        <w:tc>
          <w:tcPr>
            <w:tcW w:w="1541" w:type="dxa"/>
            <w:tcBorders>
              <w:top w:val="nil"/>
              <w:left w:val="nil"/>
              <w:bottom w:val="nil"/>
              <w:right w:val="single" w:sz="4" w:space="0" w:color="auto"/>
            </w:tcBorders>
            <w:hideMark/>
          </w:tcPr>
          <w:p w14:paraId="39DF94B2" w14:textId="77777777" w:rsidR="007A6A1A" w:rsidRPr="003A7C61" w:rsidRDefault="007A6A1A" w:rsidP="003A7C61">
            <w:pPr>
              <w:spacing w:after="0" w:line="240" w:lineRule="auto"/>
              <w:rPr>
                <w:sz w:val="20"/>
                <w:szCs w:val="20"/>
              </w:rPr>
            </w:pPr>
            <w:r w:rsidRPr="003A7C61">
              <w:rPr>
                <w:sz w:val="20"/>
                <w:szCs w:val="20"/>
              </w:rPr>
              <w:t>0.052***</w:t>
            </w:r>
          </w:p>
        </w:tc>
      </w:tr>
      <w:tr w:rsidR="007A6A1A" w:rsidRPr="00167CB8" w14:paraId="34A3F8BB" w14:textId="77777777">
        <w:trPr>
          <w:trHeight w:val="300"/>
        </w:trPr>
        <w:tc>
          <w:tcPr>
            <w:tcW w:w="4395" w:type="dxa"/>
            <w:tcBorders>
              <w:top w:val="nil"/>
              <w:left w:val="single" w:sz="4" w:space="0" w:color="auto"/>
              <w:bottom w:val="nil"/>
              <w:right w:val="nil"/>
            </w:tcBorders>
            <w:noWrap/>
            <w:vAlign w:val="bottom"/>
            <w:hideMark/>
          </w:tcPr>
          <w:p w14:paraId="443A5C82"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0DFBC0FE" w14:textId="77777777" w:rsidR="007A6A1A" w:rsidRPr="003A7C61" w:rsidRDefault="007A6A1A" w:rsidP="003A7C61">
            <w:pPr>
              <w:spacing w:after="0" w:line="240" w:lineRule="auto"/>
              <w:rPr>
                <w:sz w:val="20"/>
                <w:szCs w:val="20"/>
              </w:rPr>
            </w:pPr>
            <w:r w:rsidRPr="003A7C61">
              <w:rPr>
                <w:sz w:val="20"/>
                <w:szCs w:val="20"/>
              </w:rPr>
              <w:t>(0.009)</w:t>
            </w:r>
          </w:p>
        </w:tc>
        <w:tc>
          <w:tcPr>
            <w:tcW w:w="1540" w:type="dxa"/>
            <w:tcBorders>
              <w:top w:val="nil"/>
              <w:left w:val="nil"/>
              <w:bottom w:val="nil"/>
              <w:right w:val="nil"/>
            </w:tcBorders>
            <w:noWrap/>
            <w:vAlign w:val="bottom"/>
            <w:hideMark/>
          </w:tcPr>
          <w:p w14:paraId="0E279AFB" w14:textId="77777777" w:rsidR="007A6A1A" w:rsidRPr="003A7C61" w:rsidRDefault="007A6A1A" w:rsidP="003A7C61">
            <w:pPr>
              <w:spacing w:after="0" w:line="240" w:lineRule="auto"/>
              <w:rPr>
                <w:sz w:val="20"/>
                <w:szCs w:val="20"/>
              </w:rPr>
            </w:pPr>
            <w:r w:rsidRPr="003A7C61">
              <w:rPr>
                <w:sz w:val="20"/>
                <w:szCs w:val="20"/>
              </w:rPr>
              <w:t>(0.005)</w:t>
            </w:r>
          </w:p>
        </w:tc>
        <w:tc>
          <w:tcPr>
            <w:tcW w:w="1541" w:type="dxa"/>
            <w:tcBorders>
              <w:top w:val="nil"/>
              <w:left w:val="nil"/>
              <w:bottom w:val="nil"/>
              <w:right w:val="single" w:sz="4" w:space="0" w:color="auto"/>
            </w:tcBorders>
            <w:hideMark/>
          </w:tcPr>
          <w:p w14:paraId="20714655" w14:textId="77777777" w:rsidR="007A6A1A" w:rsidRPr="003A7C61" w:rsidRDefault="007A6A1A" w:rsidP="003A7C61">
            <w:pPr>
              <w:spacing w:after="0" w:line="240" w:lineRule="auto"/>
              <w:rPr>
                <w:sz w:val="20"/>
                <w:szCs w:val="20"/>
              </w:rPr>
            </w:pPr>
            <w:r w:rsidRPr="003A7C61">
              <w:rPr>
                <w:sz w:val="20"/>
                <w:szCs w:val="20"/>
              </w:rPr>
              <w:t>(0.006)</w:t>
            </w:r>
          </w:p>
        </w:tc>
      </w:tr>
      <w:tr w:rsidR="007A6A1A" w:rsidRPr="00167CB8" w14:paraId="39D1A265" w14:textId="77777777">
        <w:trPr>
          <w:trHeight w:val="300"/>
        </w:trPr>
        <w:tc>
          <w:tcPr>
            <w:tcW w:w="4395" w:type="dxa"/>
            <w:tcBorders>
              <w:top w:val="nil"/>
              <w:left w:val="single" w:sz="4" w:space="0" w:color="auto"/>
              <w:bottom w:val="nil"/>
              <w:right w:val="nil"/>
            </w:tcBorders>
            <w:noWrap/>
            <w:vAlign w:val="bottom"/>
            <w:hideMark/>
          </w:tcPr>
          <w:p w14:paraId="1189ED36" w14:textId="77777777" w:rsidR="007A6A1A" w:rsidRPr="003A7C61" w:rsidRDefault="007A6A1A" w:rsidP="003A7C61">
            <w:pPr>
              <w:spacing w:after="0" w:line="240" w:lineRule="auto"/>
              <w:rPr>
                <w:sz w:val="20"/>
                <w:szCs w:val="20"/>
              </w:rPr>
            </w:pPr>
            <w:r w:rsidRPr="003A7C61">
              <w:rPr>
                <w:sz w:val="20"/>
                <w:szCs w:val="20"/>
              </w:rPr>
              <w:t>Works part-time in main job</w:t>
            </w:r>
          </w:p>
        </w:tc>
        <w:tc>
          <w:tcPr>
            <w:tcW w:w="1540" w:type="dxa"/>
            <w:tcBorders>
              <w:top w:val="nil"/>
              <w:left w:val="nil"/>
              <w:bottom w:val="nil"/>
              <w:right w:val="nil"/>
            </w:tcBorders>
            <w:noWrap/>
            <w:vAlign w:val="bottom"/>
            <w:hideMark/>
          </w:tcPr>
          <w:p w14:paraId="735DEAD5" w14:textId="77777777" w:rsidR="007A6A1A" w:rsidRPr="003A7C61" w:rsidRDefault="007A6A1A" w:rsidP="003A7C61">
            <w:pPr>
              <w:spacing w:after="0" w:line="240" w:lineRule="auto"/>
              <w:rPr>
                <w:sz w:val="20"/>
                <w:szCs w:val="20"/>
              </w:rPr>
            </w:pPr>
            <w:r w:rsidRPr="003A7C61">
              <w:rPr>
                <w:sz w:val="20"/>
                <w:szCs w:val="20"/>
              </w:rPr>
              <w:t>-0.033***</w:t>
            </w:r>
          </w:p>
        </w:tc>
        <w:tc>
          <w:tcPr>
            <w:tcW w:w="1540" w:type="dxa"/>
            <w:tcBorders>
              <w:top w:val="nil"/>
              <w:left w:val="nil"/>
              <w:bottom w:val="nil"/>
              <w:right w:val="nil"/>
            </w:tcBorders>
            <w:noWrap/>
            <w:vAlign w:val="bottom"/>
            <w:hideMark/>
          </w:tcPr>
          <w:p w14:paraId="7506F2C0" w14:textId="77777777" w:rsidR="007A6A1A" w:rsidRPr="003A7C61" w:rsidRDefault="007A6A1A" w:rsidP="003A7C61">
            <w:pPr>
              <w:spacing w:after="0" w:line="240" w:lineRule="auto"/>
              <w:rPr>
                <w:sz w:val="20"/>
                <w:szCs w:val="20"/>
              </w:rPr>
            </w:pPr>
            <w:r w:rsidRPr="003A7C61">
              <w:rPr>
                <w:sz w:val="20"/>
                <w:szCs w:val="20"/>
              </w:rPr>
              <w:t>0.087***</w:t>
            </w:r>
          </w:p>
        </w:tc>
        <w:tc>
          <w:tcPr>
            <w:tcW w:w="1541" w:type="dxa"/>
            <w:tcBorders>
              <w:top w:val="nil"/>
              <w:left w:val="nil"/>
              <w:bottom w:val="nil"/>
              <w:right w:val="single" w:sz="4" w:space="0" w:color="auto"/>
            </w:tcBorders>
            <w:hideMark/>
          </w:tcPr>
          <w:p w14:paraId="269B95E1" w14:textId="77777777" w:rsidR="007A6A1A" w:rsidRPr="003A7C61" w:rsidRDefault="007A6A1A" w:rsidP="003A7C61">
            <w:pPr>
              <w:spacing w:after="0" w:line="240" w:lineRule="auto"/>
              <w:rPr>
                <w:sz w:val="20"/>
                <w:szCs w:val="20"/>
              </w:rPr>
            </w:pPr>
            <w:r w:rsidRPr="003A7C61">
              <w:rPr>
                <w:sz w:val="20"/>
                <w:szCs w:val="20"/>
              </w:rPr>
              <w:t>0.108***</w:t>
            </w:r>
          </w:p>
        </w:tc>
      </w:tr>
      <w:tr w:rsidR="007A6A1A" w:rsidRPr="00167CB8" w14:paraId="41F2843B" w14:textId="77777777">
        <w:trPr>
          <w:trHeight w:val="300"/>
        </w:trPr>
        <w:tc>
          <w:tcPr>
            <w:tcW w:w="4395" w:type="dxa"/>
            <w:tcBorders>
              <w:top w:val="nil"/>
              <w:left w:val="single" w:sz="4" w:space="0" w:color="auto"/>
              <w:bottom w:val="nil"/>
              <w:right w:val="nil"/>
            </w:tcBorders>
            <w:noWrap/>
            <w:vAlign w:val="bottom"/>
            <w:hideMark/>
          </w:tcPr>
          <w:p w14:paraId="3A4FC55F"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2153AEB2" w14:textId="77777777" w:rsidR="007A6A1A" w:rsidRPr="003A7C61" w:rsidRDefault="007A6A1A" w:rsidP="003A7C61">
            <w:pPr>
              <w:spacing w:after="0" w:line="240" w:lineRule="auto"/>
              <w:rPr>
                <w:sz w:val="20"/>
                <w:szCs w:val="20"/>
              </w:rPr>
            </w:pPr>
            <w:r w:rsidRPr="003A7C61">
              <w:rPr>
                <w:sz w:val="20"/>
                <w:szCs w:val="20"/>
              </w:rPr>
              <w:t>(0.010)</w:t>
            </w:r>
          </w:p>
        </w:tc>
        <w:tc>
          <w:tcPr>
            <w:tcW w:w="1540" w:type="dxa"/>
            <w:tcBorders>
              <w:top w:val="nil"/>
              <w:left w:val="nil"/>
              <w:bottom w:val="nil"/>
              <w:right w:val="nil"/>
            </w:tcBorders>
            <w:noWrap/>
            <w:vAlign w:val="bottom"/>
            <w:hideMark/>
          </w:tcPr>
          <w:p w14:paraId="2261ACB2"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182AEDD3" w14:textId="77777777" w:rsidR="007A6A1A" w:rsidRPr="003A7C61" w:rsidRDefault="007A6A1A" w:rsidP="003A7C61">
            <w:pPr>
              <w:spacing w:after="0" w:line="240" w:lineRule="auto"/>
              <w:rPr>
                <w:sz w:val="20"/>
                <w:szCs w:val="20"/>
              </w:rPr>
            </w:pPr>
            <w:r w:rsidRPr="003A7C61">
              <w:rPr>
                <w:sz w:val="20"/>
                <w:szCs w:val="20"/>
              </w:rPr>
              <w:t>(0.005)</w:t>
            </w:r>
          </w:p>
        </w:tc>
      </w:tr>
      <w:tr w:rsidR="007A6A1A" w:rsidRPr="00167CB8" w14:paraId="60B7CC15" w14:textId="77777777">
        <w:trPr>
          <w:trHeight w:val="300"/>
        </w:trPr>
        <w:tc>
          <w:tcPr>
            <w:tcW w:w="4395" w:type="dxa"/>
            <w:tcBorders>
              <w:top w:val="nil"/>
              <w:left w:val="single" w:sz="4" w:space="0" w:color="auto"/>
              <w:bottom w:val="nil"/>
              <w:right w:val="nil"/>
            </w:tcBorders>
            <w:noWrap/>
            <w:vAlign w:val="bottom"/>
            <w:hideMark/>
          </w:tcPr>
          <w:p w14:paraId="0FC79757" w14:textId="77777777" w:rsidR="007A6A1A" w:rsidRPr="003A7C61" w:rsidRDefault="007A6A1A" w:rsidP="003A7C61">
            <w:pPr>
              <w:spacing w:after="0" w:line="240" w:lineRule="auto"/>
              <w:rPr>
                <w:sz w:val="20"/>
                <w:szCs w:val="20"/>
              </w:rPr>
            </w:pPr>
            <w:r w:rsidRPr="003A7C61">
              <w:rPr>
                <w:sz w:val="20"/>
                <w:szCs w:val="20"/>
              </w:rPr>
              <w:t>Employed under a casual contract, main job</w:t>
            </w:r>
          </w:p>
        </w:tc>
        <w:tc>
          <w:tcPr>
            <w:tcW w:w="1540" w:type="dxa"/>
            <w:tcBorders>
              <w:top w:val="nil"/>
              <w:left w:val="nil"/>
              <w:bottom w:val="nil"/>
              <w:right w:val="nil"/>
            </w:tcBorders>
            <w:noWrap/>
            <w:vAlign w:val="bottom"/>
            <w:hideMark/>
          </w:tcPr>
          <w:p w14:paraId="77059827" w14:textId="77777777" w:rsidR="007A6A1A" w:rsidRPr="003A7C61" w:rsidRDefault="007A6A1A" w:rsidP="003A7C61">
            <w:pPr>
              <w:spacing w:after="0" w:line="240" w:lineRule="auto"/>
              <w:rPr>
                <w:sz w:val="20"/>
                <w:szCs w:val="20"/>
              </w:rPr>
            </w:pPr>
            <w:r w:rsidRPr="003A7C61">
              <w:rPr>
                <w:sz w:val="20"/>
                <w:szCs w:val="20"/>
              </w:rPr>
              <w:t>-0.101***</w:t>
            </w:r>
          </w:p>
        </w:tc>
        <w:tc>
          <w:tcPr>
            <w:tcW w:w="1540" w:type="dxa"/>
            <w:tcBorders>
              <w:top w:val="nil"/>
              <w:left w:val="nil"/>
              <w:bottom w:val="nil"/>
              <w:right w:val="nil"/>
            </w:tcBorders>
            <w:noWrap/>
            <w:vAlign w:val="bottom"/>
            <w:hideMark/>
          </w:tcPr>
          <w:p w14:paraId="2CAB0F2C" w14:textId="77777777" w:rsidR="007A6A1A" w:rsidRPr="003A7C61" w:rsidRDefault="007A6A1A" w:rsidP="003A7C61">
            <w:pPr>
              <w:spacing w:after="0" w:line="240" w:lineRule="auto"/>
              <w:rPr>
                <w:sz w:val="20"/>
                <w:szCs w:val="20"/>
              </w:rPr>
            </w:pPr>
            <w:r w:rsidRPr="003A7C61">
              <w:rPr>
                <w:sz w:val="20"/>
                <w:szCs w:val="20"/>
              </w:rPr>
              <w:t>-0.021***</w:t>
            </w:r>
          </w:p>
        </w:tc>
        <w:tc>
          <w:tcPr>
            <w:tcW w:w="1541" w:type="dxa"/>
            <w:tcBorders>
              <w:top w:val="nil"/>
              <w:left w:val="nil"/>
              <w:bottom w:val="nil"/>
              <w:right w:val="single" w:sz="4" w:space="0" w:color="auto"/>
            </w:tcBorders>
            <w:hideMark/>
          </w:tcPr>
          <w:p w14:paraId="3971E054" w14:textId="77777777" w:rsidR="007A6A1A" w:rsidRPr="003A7C61" w:rsidRDefault="007A6A1A" w:rsidP="003A7C61">
            <w:pPr>
              <w:spacing w:after="0" w:line="240" w:lineRule="auto"/>
              <w:rPr>
                <w:sz w:val="20"/>
                <w:szCs w:val="20"/>
              </w:rPr>
            </w:pPr>
            <w:r w:rsidRPr="003A7C61">
              <w:rPr>
                <w:sz w:val="20"/>
                <w:szCs w:val="20"/>
              </w:rPr>
              <w:t>-0.000</w:t>
            </w:r>
          </w:p>
        </w:tc>
      </w:tr>
      <w:tr w:rsidR="007A6A1A" w:rsidRPr="00167CB8" w14:paraId="7E9FC795" w14:textId="77777777">
        <w:trPr>
          <w:trHeight w:val="300"/>
        </w:trPr>
        <w:tc>
          <w:tcPr>
            <w:tcW w:w="4395" w:type="dxa"/>
            <w:tcBorders>
              <w:top w:val="nil"/>
              <w:left w:val="single" w:sz="4" w:space="0" w:color="auto"/>
              <w:bottom w:val="nil"/>
              <w:right w:val="nil"/>
            </w:tcBorders>
            <w:noWrap/>
            <w:vAlign w:val="bottom"/>
            <w:hideMark/>
          </w:tcPr>
          <w:p w14:paraId="061D2C1B"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2831BF8F" w14:textId="77777777" w:rsidR="007A6A1A" w:rsidRPr="003A7C61" w:rsidRDefault="007A6A1A" w:rsidP="003A7C61">
            <w:pPr>
              <w:spacing w:after="0" w:line="240" w:lineRule="auto"/>
              <w:rPr>
                <w:sz w:val="20"/>
                <w:szCs w:val="20"/>
              </w:rPr>
            </w:pPr>
            <w:r w:rsidRPr="003A7C61">
              <w:rPr>
                <w:sz w:val="20"/>
                <w:szCs w:val="20"/>
              </w:rPr>
              <w:t>(0.012)</w:t>
            </w:r>
          </w:p>
        </w:tc>
        <w:tc>
          <w:tcPr>
            <w:tcW w:w="1540" w:type="dxa"/>
            <w:tcBorders>
              <w:top w:val="nil"/>
              <w:left w:val="nil"/>
              <w:bottom w:val="nil"/>
              <w:right w:val="nil"/>
            </w:tcBorders>
            <w:noWrap/>
            <w:vAlign w:val="bottom"/>
            <w:hideMark/>
          </w:tcPr>
          <w:p w14:paraId="178E89D3" w14:textId="77777777" w:rsidR="007A6A1A" w:rsidRPr="003A7C61" w:rsidRDefault="007A6A1A" w:rsidP="003A7C61">
            <w:pPr>
              <w:spacing w:after="0" w:line="240" w:lineRule="auto"/>
              <w:rPr>
                <w:sz w:val="20"/>
                <w:szCs w:val="20"/>
              </w:rPr>
            </w:pPr>
            <w:r w:rsidRPr="003A7C61">
              <w:rPr>
                <w:sz w:val="20"/>
                <w:szCs w:val="20"/>
              </w:rPr>
              <w:t>(0.006)</w:t>
            </w:r>
          </w:p>
        </w:tc>
        <w:tc>
          <w:tcPr>
            <w:tcW w:w="1541" w:type="dxa"/>
            <w:tcBorders>
              <w:top w:val="nil"/>
              <w:left w:val="nil"/>
              <w:bottom w:val="nil"/>
              <w:right w:val="single" w:sz="4" w:space="0" w:color="auto"/>
            </w:tcBorders>
            <w:hideMark/>
          </w:tcPr>
          <w:p w14:paraId="524A11F5" w14:textId="77777777" w:rsidR="007A6A1A" w:rsidRPr="003A7C61" w:rsidRDefault="007A6A1A" w:rsidP="003A7C61">
            <w:pPr>
              <w:spacing w:after="0" w:line="240" w:lineRule="auto"/>
              <w:rPr>
                <w:sz w:val="20"/>
                <w:szCs w:val="20"/>
              </w:rPr>
            </w:pPr>
            <w:r w:rsidRPr="003A7C61">
              <w:rPr>
                <w:sz w:val="20"/>
                <w:szCs w:val="20"/>
              </w:rPr>
              <w:t>(0.007)</w:t>
            </w:r>
          </w:p>
        </w:tc>
      </w:tr>
      <w:tr w:rsidR="007A6A1A" w:rsidRPr="00167CB8" w14:paraId="0B674FD0" w14:textId="77777777">
        <w:trPr>
          <w:trHeight w:val="300"/>
        </w:trPr>
        <w:tc>
          <w:tcPr>
            <w:tcW w:w="4395" w:type="dxa"/>
            <w:tcBorders>
              <w:top w:val="nil"/>
              <w:left w:val="single" w:sz="4" w:space="0" w:color="auto"/>
              <w:bottom w:val="nil"/>
              <w:right w:val="nil"/>
            </w:tcBorders>
            <w:noWrap/>
            <w:vAlign w:val="bottom"/>
            <w:hideMark/>
          </w:tcPr>
          <w:p w14:paraId="52B88854" w14:textId="27FE56CC" w:rsidR="007A6A1A" w:rsidRPr="003A7C61" w:rsidRDefault="007A6A1A" w:rsidP="003A7C61">
            <w:pPr>
              <w:spacing w:after="0" w:line="240" w:lineRule="auto"/>
              <w:rPr>
                <w:sz w:val="20"/>
                <w:szCs w:val="20"/>
              </w:rPr>
            </w:pPr>
            <w:r w:rsidRPr="003A7C61">
              <w:rPr>
                <w:sz w:val="20"/>
                <w:szCs w:val="20"/>
              </w:rPr>
              <w:t>Part-time*</w:t>
            </w:r>
            <w:r w:rsidR="00360545" w:rsidRPr="003A7C61">
              <w:rPr>
                <w:sz w:val="20"/>
                <w:szCs w:val="20"/>
              </w:rPr>
              <w:t xml:space="preserve"> </w:t>
            </w:r>
            <w:r w:rsidRPr="003A7C61">
              <w:rPr>
                <w:sz w:val="20"/>
                <w:szCs w:val="20"/>
              </w:rPr>
              <w:t>casual interaction</w:t>
            </w:r>
          </w:p>
        </w:tc>
        <w:tc>
          <w:tcPr>
            <w:tcW w:w="1540" w:type="dxa"/>
            <w:tcBorders>
              <w:top w:val="nil"/>
              <w:left w:val="nil"/>
              <w:bottom w:val="nil"/>
              <w:right w:val="nil"/>
            </w:tcBorders>
            <w:noWrap/>
            <w:vAlign w:val="bottom"/>
            <w:hideMark/>
          </w:tcPr>
          <w:p w14:paraId="0C52D942" w14:textId="77777777" w:rsidR="007A6A1A" w:rsidRPr="003A7C61" w:rsidRDefault="007A6A1A" w:rsidP="003A7C61">
            <w:pPr>
              <w:spacing w:after="0" w:line="240" w:lineRule="auto"/>
              <w:rPr>
                <w:sz w:val="20"/>
                <w:szCs w:val="20"/>
              </w:rPr>
            </w:pPr>
            <w:r w:rsidRPr="003A7C61">
              <w:rPr>
                <w:sz w:val="20"/>
                <w:szCs w:val="20"/>
              </w:rPr>
              <w:t>0.075***</w:t>
            </w:r>
          </w:p>
        </w:tc>
        <w:tc>
          <w:tcPr>
            <w:tcW w:w="1540" w:type="dxa"/>
            <w:tcBorders>
              <w:top w:val="nil"/>
              <w:left w:val="nil"/>
              <w:bottom w:val="nil"/>
              <w:right w:val="nil"/>
            </w:tcBorders>
            <w:noWrap/>
            <w:vAlign w:val="bottom"/>
            <w:hideMark/>
          </w:tcPr>
          <w:p w14:paraId="61656B2D" w14:textId="77777777" w:rsidR="007A6A1A" w:rsidRPr="003A7C61" w:rsidRDefault="007A6A1A" w:rsidP="003A7C61">
            <w:pPr>
              <w:spacing w:after="0" w:line="240" w:lineRule="auto"/>
              <w:rPr>
                <w:sz w:val="20"/>
                <w:szCs w:val="20"/>
              </w:rPr>
            </w:pPr>
            <w:r w:rsidRPr="003A7C61">
              <w:rPr>
                <w:sz w:val="20"/>
                <w:szCs w:val="20"/>
              </w:rPr>
              <w:t>0.018**</w:t>
            </w:r>
          </w:p>
        </w:tc>
        <w:tc>
          <w:tcPr>
            <w:tcW w:w="1541" w:type="dxa"/>
            <w:tcBorders>
              <w:top w:val="nil"/>
              <w:left w:val="nil"/>
              <w:bottom w:val="nil"/>
              <w:right w:val="single" w:sz="4" w:space="0" w:color="auto"/>
            </w:tcBorders>
            <w:hideMark/>
          </w:tcPr>
          <w:p w14:paraId="0ACD9204" w14:textId="77777777" w:rsidR="007A6A1A" w:rsidRPr="003A7C61" w:rsidRDefault="007A6A1A" w:rsidP="003A7C61">
            <w:pPr>
              <w:spacing w:after="0" w:line="240" w:lineRule="auto"/>
              <w:rPr>
                <w:sz w:val="20"/>
                <w:szCs w:val="20"/>
              </w:rPr>
            </w:pPr>
            <w:r w:rsidRPr="003A7C61">
              <w:rPr>
                <w:sz w:val="20"/>
                <w:szCs w:val="20"/>
              </w:rPr>
              <w:t>0.010</w:t>
            </w:r>
          </w:p>
        </w:tc>
      </w:tr>
      <w:tr w:rsidR="007A6A1A" w:rsidRPr="00167CB8" w14:paraId="75AF633A" w14:textId="77777777">
        <w:trPr>
          <w:trHeight w:val="300"/>
        </w:trPr>
        <w:tc>
          <w:tcPr>
            <w:tcW w:w="4395" w:type="dxa"/>
            <w:tcBorders>
              <w:top w:val="nil"/>
              <w:left w:val="single" w:sz="4" w:space="0" w:color="auto"/>
              <w:bottom w:val="nil"/>
              <w:right w:val="nil"/>
            </w:tcBorders>
            <w:noWrap/>
            <w:vAlign w:val="bottom"/>
            <w:hideMark/>
          </w:tcPr>
          <w:p w14:paraId="156DA66C"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2A963821" w14:textId="77777777" w:rsidR="007A6A1A" w:rsidRPr="003A7C61" w:rsidRDefault="007A6A1A" w:rsidP="003A7C61">
            <w:pPr>
              <w:spacing w:after="0" w:line="240" w:lineRule="auto"/>
              <w:rPr>
                <w:sz w:val="20"/>
                <w:szCs w:val="20"/>
              </w:rPr>
            </w:pPr>
            <w:r w:rsidRPr="003A7C61">
              <w:rPr>
                <w:sz w:val="20"/>
                <w:szCs w:val="20"/>
              </w:rPr>
              <w:t>(0.015)</w:t>
            </w:r>
          </w:p>
        </w:tc>
        <w:tc>
          <w:tcPr>
            <w:tcW w:w="1540" w:type="dxa"/>
            <w:tcBorders>
              <w:top w:val="nil"/>
              <w:left w:val="nil"/>
              <w:bottom w:val="nil"/>
              <w:right w:val="nil"/>
            </w:tcBorders>
            <w:noWrap/>
            <w:vAlign w:val="bottom"/>
            <w:hideMark/>
          </w:tcPr>
          <w:p w14:paraId="5FF41AFC" w14:textId="77777777" w:rsidR="007A6A1A" w:rsidRPr="003A7C61" w:rsidRDefault="007A6A1A" w:rsidP="003A7C61">
            <w:pPr>
              <w:spacing w:after="0" w:line="240" w:lineRule="auto"/>
              <w:rPr>
                <w:sz w:val="20"/>
                <w:szCs w:val="20"/>
              </w:rPr>
            </w:pPr>
            <w:r w:rsidRPr="003A7C61">
              <w:rPr>
                <w:sz w:val="20"/>
                <w:szCs w:val="20"/>
              </w:rPr>
              <w:t>(0.008)</w:t>
            </w:r>
          </w:p>
        </w:tc>
        <w:tc>
          <w:tcPr>
            <w:tcW w:w="1541" w:type="dxa"/>
            <w:tcBorders>
              <w:top w:val="nil"/>
              <w:left w:val="nil"/>
              <w:bottom w:val="nil"/>
              <w:right w:val="single" w:sz="4" w:space="0" w:color="auto"/>
            </w:tcBorders>
            <w:hideMark/>
          </w:tcPr>
          <w:p w14:paraId="32BC1CF3" w14:textId="77777777" w:rsidR="007A6A1A" w:rsidRPr="003A7C61" w:rsidRDefault="007A6A1A" w:rsidP="003A7C61">
            <w:pPr>
              <w:spacing w:after="0" w:line="240" w:lineRule="auto"/>
              <w:rPr>
                <w:sz w:val="20"/>
                <w:szCs w:val="20"/>
              </w:rPr>
            </w:pPr>
            <w:r w:rsidRPr="003A7C61">
              <w:rPr>
                <w:sz w:val="20"/>
                <w:szCs w:val="20"/>
              </w:rPr>
              <w:t>(0.009)</w:t>
            </w:r>
          </w:p>
        </w:tc>
      </w:tr>
      <w:tr w:rsidR="007A6A1A" w:rsidRPr="00167CB8" w14:paraId="5B647546" w14:textId="77777777">
        <w:trPr>
          <w:trHeight w:val="300"/>
        </w:trPr>
        <w:tc>
          <w:tcPr>
            <w:tcW w:w="4395" w:type="dxa"/>
            <w:tcBorders>
              <w:top w:val="nil"/>
              <w:left w:val="single" w:sz="4" w:space="0" w:color="auto"/>
              <w:bottom w:val="nil"/>
              <w:right w:val="nil"/>
            </w:tcBorders>
            <w:noWrap/>
            <w:vAlign w:val="bottom"/>
            <w:hideMark/>
          </w:tcPr>
          <w:p w14:paraId="647E96D0" w14:textId="01256170" w:rsidR="007A6A1A" w:rsidRPr="003A7C61" w:rsidRDefault="007A6A1A" w:rsidP="003A7C61">
            <w:pPr>
              <w:spacing w:after="0" w:line="240" w:lineRule="auto"/>
              <w:rPr>
                <w:sz w:val="20"/>
                <w:szCs w:val="20"/>
              </w:rPr>
            </w:pPr>
            <w:r w:rsidRPr="003A7C61">
              <w:rPr>
                <w:sz w:val="20"/>
                <w:szCs w:val="20"/>
              </w:rPr>
              <w:t>Employed under a fixed</w:t>
            </w:r>
            <w:r w:rsidR="00360545" w:rsidRPr="003A7C61">
              <w:rPr>
                <w:sz w:val="20"/>
                <w:szCs w:val="20"/>
              </w:rPr>
              <w:t>-</w:t>
            </w:r>
            <w:r w:rsidRPr="003A7C61">
              <w:rPr>
                <w:sz w:val="20"/>
                <w:szCs w:val="20"/>
              </w:rPr>
              <w:t>term contract</w:t>
            </w:r>
          </w:p>
        </w:tc>
        <w:tc>
          <w:tcPr>
            <w:tcW w:w="1540" w:type="dxa"/>
            <w:tcBorders>
              <w:top w:val="nil"/>
              <w:left w:val="nil"/>
              <w:bottom w:val="nil"/>
              <w:right w:val="nil"/>
            </w:tcBorders>
            <w:noWrap/>
            <w:vAlign w:val="bottom"/>
            <w:hideMark/>
          </w:tcPr>
          <w:p w14:paraId="676C9562" w14:textId="77777777" w:rsidR="007A6A1A" w:rsidRPr="003A7C61" w:rsidRDefault="007A6A1A" w:rsidP="003A7C61">
            <w:pPr>
              <w:spacing w:after="0" w:line="240" w:lineRule="auto"/>
              <w:rPr>
                <w:sz w:val="20"/>
                <w:szCs w:val="20"/>
              </w:rPr>
            </w:pPr>
            <w:r w:rsidRPr="003A7C61">
              <w:rPr>
                <w:sz w:val="20"/>
                <w:szCs w:val="20"/>
              </w:rPr>
              <w:t>0.019**</w:t>
            </w:r>
          </w:p>
        </w:tc>
        <w:tc>
          <w:tcPr>
            <w:tcW w:w="1540" w:type="dxa"/>
            <w:tcBorders>
              <w:top w:val="nil"/>
              <w:left w:val="nil"/>
              <w:bottom w:val="nil"/>
              <w:right w:val="nil"/>
            </w:tcBorders>
            <w:noWrap/>
            <w:vAlign w:val="bottom"/>
            <w:hideMark/>
          </w:tcPr>
          <w:p w14:paraId="4BABB90D" w14:textId="77777777" w:rsidR="007A6A1A" w:rsidRPr="003A7C61" w:rsidRDefault="007A6A1A" w:rsidP="003A7C61">
            <w:pPr>
              <w:spacing w:after="0" w:line="240" w:lineRule="auto"/>
              <w:rPr>
                <w:sz w:val="20"/>
                <w:szCs w:val="20"/>
              </w:rPr>
            </w:pPr>
            <w:r w:rsidRPr="003A7C61">
              <w:rPr>
                <w:sz w:val="20"/>
                <w:szCs w:val="20"/>
              </w:rPr>
              <w:t>0.001</w:t>
            </w:r>
          </w:p>
        </w:tc>
        <w:tc>
          <w:tcPr>
            <w:tcW w:w="1541" w:type="dxa"/>
            <w:tcBorders>
              <w:top w:val="nil"/>
              <w:left w:val="nil"/>
              <w:bottom w:val="nil"/>
              <w:right w:val="single" w:sz="4" w:space="0" w:color="auto"/>
            </w:tcBorders>
            <w:hideMark/>
          </w:tcPr>
          <w:p w14:paraId="15E70982" w14:textId="77777777" w:rsidR="007A6A1A" w:rsidRPr="003A7C61" w:rsidRDefault="007A6A1A" w:rsidP="003A7C61">
            <w:pPr>
              <w:spacing w:after="0" w:line="240" w:lineRule="auto"/>
              <w:rPr>
                <w:sz w:val="20"/>
                <w:szCs w:val="20"/>
              </w:rPr>
            </w:pPr>
            <w:r w:rsidRPr="003A7C61">
              <w:rPr>
                <w:sz w:val="20"/>
                <w:szCs w:val="20"/>
              </w:rPr>
              <w:t>0.004</w:t>
            </w:r>
          </w:p>
        </w:tc>
      </w:tr>
      <w:tr w:rsidR="007A6A1A" w:rsidRPr="00167CB8" w14:paraId="070EBFAF" w14:textId="77777777">
        <w:trPr>
          <w:trHeight w:val="300"/>
        </w:trPr>
        <w:tc>
          <w:tcPr>
            <w:tcW w:w="4395" w:type="dxa"/>
            <w:tcBorders>
              <w:top w:val="nil"/>
              <w:left w:val="single" w:sz="4" w:space="0" w:color="auto"/>
              <w:bottom w:val="nil"/>
              <w:right w:val="nil"/>
            </w:tcBorders>
            <w:noWrap/>
            <w:vAlign w:val="bottom"/>
            <w:hideMark/>
          </w:tcPr>
          <w:p w14:paraId="37F3EF59"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2431F8E8" w14:textId="77777777" w:rsidR="007A6A1A" w:rsidRPr="003A7C61" w:rsidRDefault="007A6A1A" w:rsidP="003A7C61">
            <w:pPr>
              <w:spacing w:after="0" w:line="240" w:lineRule="auto"/>
              <w:rPr>
                <w:sz w:val="20"/>
                <w:szCs w:val="20"/>
              </w:rPr>
            </w:pPr>
            <w:r w:rsidRPr="003A7C61">
              <w:rPr>
                <w:sz w:val="20"/>
                <w:szCs w:val="20"/>
              </w:rPr>
              <w:t>(0.009)</w:t>
            </w:r>
          </w:p>
        </w:tc>
        <w:tc>
          <w:tcPr>
            <w:tcW w:w="1540" w:type="dxa"/>
            <w:tcBorders>
              <w:top w:val="nil"/>
              <w:left w:val="nil"/>
              <w:bottom w:val="nil"/>
              <w:right w:val="nil"/>
            </w:tcBorders>
            <w:noWrap/>
            <w:vAlign w:val="bottom"/>
            <w:hideMark/>
          </w:tcPr>
          <w:p w14:paraId="2C26B260"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6395DB66" w14:textId="77777777" w:rsidR="007A6A1A" w:rsidRPr="003A7C61" w:rsidRDefault="007A6A1A" w:rsidP="003A7C61">
            <w:pPr>
              <w:spacing w:after="0" w:line="240" w:lineRule="auto"/>
              <w:rPr>
                <w:sz w:val="20"/>
                <w:szCs w:val="20"/>
              </w:rPr>
            </w:pPr>
            <w:r w:rsidRPr="003A7C61">
              <w:rPr>
                <w:sz w:val="20"/>
                <w:szCs w:val="20"/>
              </w:rPr>
              <w:t>(0.004)</w:t>
            </w:r>
          </w:p>
        </w:tc>
      </w:tr>
      <w:tr w:rsidR="007A6A1A" w:rsidRPr="00167CB8" w14:paraId="48C0E8CB" w14:textId="77777777">
        <w:trPr>
          <w:trHeight w:val="300"/>
        </w:trPr>
        <w:tc>
          <w:tcPr>
            <w:tcW w:w="4395" w:type="dxa"/>
            <w:tcBorders>
              <w:top w:val="nil"/>
              <w:left w:val="single" w:sz="4" w:space="0" w:color="auto"/>
              <w:bottom w:val="nil"/>
              <w:right w:val="nil"/>
            </w:tcBorders>
            <w:noWrap/>
            <w:vAlign w:val="bottom"/>
            <w:hideMark/>
          </w:tcPr>
          <w:p w14:paraId="5BDC5811" w14:textId="77777777" w:rsidR="007A6A1A" w:rsidRPr="003A7C61" w:rsidRDefault="007A6A1A" w:rsidP="003A7C61">
            <w:pPr>
              <w:spacing w:after="0" w:line="240" w:lineRule="auto"/>
              <w:rPr>
                <w:sz w:val="20"/>
                <w:szCs w:val="20"/>
              </w:rPr>
            </w:pPr>
            <w:r w:rsidRPr="003A7C61">
              <w:rPr>
                <w:sz w:val="20"/>
                <w:szCs w:val="20"/>
              </w:rPr>
              <w:t>Union member</w:t>
            </w:r>
          </w:p>
        </w:tc>
        <w:tc>
          <w:tcPr>
            <w:tcW w:w="1540" w:type="dxa"/>
            <w:tcBorders>
              <w:top w:val="nil"/>
              <w:left w:val="nil"/>
              <w:bottom w:val="nil"/>
              <w:right w:val="nil"/>
            </w:tcBorders>
            <w:noWrap/>
            <w:vAlign w:val="bottom"/>
            <w:hideMark/>
          </w:tcPr>
          <w:p w14:paraId="2F2B668F" w14:textId="77777777" w:rsidR="007A6A1A" w:rsidRPr="003A7C61" w:rsidRDefault="007A6A1A" w:rsidP="003A7C61">
            <w:pPr>
              <w:spacing w:after="0" w:line="240" w:lineRule="auto"/>
              <w:rPr>
                <w:sz w:val="20"/>
                <w:szCs w:val="20"/>
              </w:rPr>
            </w:pPr>
            <w:r w:rsidRPr="003A7C61">
              <w:rPr>
                <w:sz w:val="20"/>
                <w:szCs w:val="20"/>
              </w:rPr>
              <w:t>0.053***</w:t>
            </w:r>
          </w:p>
        </w:tc>
        <w:tc>
          <w:tcPr>
            <w:tcW w:w="1540" w:type="dxa"/>
            <w:tcBorders>
              <w:top w:val="nil"/>
              <w:left w:val="nil"/>
              <w:bottom w:val="nil"/>
              <w:right w:val="nil"/>
            </w:tcBorders>
            <w:noWrap/>
            <w:vAlign w:val="bottom"/>
            <w:hideMark/>
          </w:tcPr>
          <w:p w14:paraId="2F0A4262" w14:textId="77777777" w:rsidR="007A6A1A" w:rsidRPr="003A7C61" w:rsidRDefault="007A6A1A" w:rsidP="003A7C61">
            <w:pPr>
              <w:spacing w:after="0" w:line="240" w:lineRule="auto"/>
              <w:rPr>
                <w:sz w:val="20"/>
                <w:szCs w:val="20"/>
              </w:rPr>
            </w:pPr>
            <w:r w:rsidRPr="003A7C61">
              <w:rPr>
                <w:sz w:val="20"/>
                <w:szCs w:val="20"/>
              </w:rPr>
              <w:t>0.031***</w:t>
            </w:r>
          </w:p>
        </w:tc>
        <w:tc>
          <w:tcPr>
            <w:tcW w:w="1541" w:type="dxa"/>
            <w:tcBorders>
              <w:top w:val="nil"/>
              <w:left w:val="nil"/>
              <w:bottom w:val="nil"/>
              <w:right w:val="single" w:sz="4" w:space="0" w:color="auto"/>
            </w:tcBorders>
            <w:hideMark/>
          </w:tcPr>
          <w:p w14:paraId="37A1798D" w14:textId="77777777" w:rsidR="007A6A1A" w:rsidRPr="003A7C61" w:rsidRDefault="007A6A1A" w:rsidP="003A7C61">
            <w:pPr>
              <w:spacing w:after="0" w:line="240" w:lineRule="auto"/>
              <w:rPr>
                <w:sz w:val="20"/>
                <w:szCs w:val="20"/>
              </w:rPr>
            </w:pPr>
            <w:r w:rsidRPr="003A7C61">
              <w:rPr>
                <w:sz w:val="20"/>
                <w:szCs w:val="20"/>
              </w:rPr>
              <w:t>0.025***</w:t>
            </w:r>
          </w:p>
        </w:tc>
      </w:tr>
      <w:tr w:rsidR="007A6A1A" w:rsidRPr="00167CB8" w14:paraId="346699E5" w14:textId="77777777">
        <w:trPr>
          <w:trHeight w:val="300"/>
        </w:trPr>
        <w:tc>
          <w:tcPr>
            <w:tcW w:w="4395" w:type="dxa"/>
            <w:tcBorders>
              <w:top w:val="nil"/>
              <w:left w:val="single" w:sz="4" w:space="0" w:color="auto"/>
              <w:bottom w:val="nil"/>
              <w:right w:val="nil"/>
            </w:tcBorders>
            <w:noWrap/>
            <w:vAlign w:val="bottom"/>
            <w:hideMark/>
          </w:tcPr>
          <w:p w14:paraId="2BAF9408"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09CEBA0C" w14:textId="77777777" w:rsidR="007A6A1A" w:rsidRPr="003A7C61" w:rsidRDefault="007A6A1A" w:rsidP="003A7C61">
            <w:pPr>
              <w:spacing w:after="0" w:line="240" w:lineRule="auto"/>
              <w:rPr>
                <w:sz w:val="20"/>
                <w:szCs w:val="20"/>
              </w:rPr>
            </w:pPr>
            <w:r w:rsidRPr="003A7C61">
              <w:rPr>
                <w:sz w:val="20"/>
                <w:szCs w:val="20"/>
              </w:rPr>
              <w:t>(0.008)</w:t>
            </w:r>
          </w:p>
        </w:tc>
        <w:tc>
          <w:tcPr>
            <w:tcW w:w="1540" w:type="dxa"/>
            <w:tcBorders>
              <w:top w:val="nil"/>
              <w:left w:val="nil"/>
              <w:bottom w:val="nil"/>
              <w:right w:val="nil"/>
            </w:tcBorders>
            <w:noWrap/>
            <w:vAlign w:val="bottom"/>
            <w:hideMark/>
          </w:tcPr>
          <w:p w14:paraId="5AC4083E"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2D7D20F8" w14:textId="77777777" w:rsidR="007A6A1A" w:rsidRPr="003A7C61" w:rsidRDefault="007A6A1A" w:rsidP="003A7C61">
            <w:pPr>
              <w:spacing w:after="0" w:line="240" w:lineRule="auto"/>
              <w:rPr>
                <w:sz w:val="20"/>
                <w:szCs w:val="20"/>
              </w:rPr>
            </w:pPr>
            <w:r w:rsidRPr="003A7C61">
              <w:rPr>
                <w:sz w:val="20"/>
                <w:szCs w:val="20"/>
              </w:rPr>
              <w:t>(0.005)</w:t>
            </w:r>
          </w:p>
        </w:tc>
      </w:tr>
      <w:tr w:rsidR="007A6A1A" w:rsidRPr="00167CB8" w14:paraId="76B04ECE" w14:textId="77777777">
        <w:trPr>
          <w:trHeight w:val="300"/>
        </w:trPr>
        <w:tc>
          <w:tcPr>
            <w:tcW w:w="4395" w:type="dxa"/>
            <w:tcBorders>
              <w:top w:val="nil"/>
              <w:left w:val="single" w:sz="4" w:space="0" w:color="auto"/>
              <w:bottom w:val="nil"/>
              <w:right w:val="nil"/>
            </w:tcBorders>
            <w:noWrap/>
            <w:vAlign w:val="bottom"/>
            <w:hideMark/>
          </w:tcPr>
          <w:p w14:paraId="5F2AAAD3" w14:textId="77777777" w:rsidR="007A6A1A" w:rsidRPr="003A7C61" w:rsidRDefault="007A6A1A" w:rsidP="003A7C61">
            <w:pPr>
              <w:spacing w:after="0" w:line="240" w:lineRule="auto"/>
              <w:rPr>
                <w:sz w:val="20"/>
                <w:szCs w:val="20"/>
              </w:rPr>
            </w:pPr>
            <w:r w:rsidRPr="003A7C61">
              <w:rPr>
                <w:sz w:val="20"/>
                <w:szCs w:val="20"/>
              </w:rPr>
              <w:t>Award reliant</w:t>
            </w:r>
          </w:p>
        </w:tc>
        <w:tc>
          <w:tcPr>
            <w:tcW w:w="1540" w:type="dxa"/>
            <w:tcBorders>
              <w:top w:val="nil"/>
              <w:left w:val="nil"/>
              <w:bottom w:val="nil"/>
              <w:right w:val="nil"/>
            </w:tcBorders>
            <w:noWrap/>
            <w:vAlign w:val="bottom"/>
            <w:hideMark/>
          </w:tcPr>
          <w:p w14:paraId="02E8492E" w14:textId="77777777" w:rsidR="007A6A1A" w:rsidRPr="003A7C61" w:rsidRDefault="007A6A1A" w:rsidP="003A7C61">
            <w:pPr>
              <w:spacing w:after="0" w:line="240" w:lineRule="auto"/>
              <w:rPr>
                <w:sz w:val="20"/>
                <w:szCs w:val="20"/>
              </w:rPr>
            </w:pPr>
            <w:r w:rsidRPr="003A7C61">
              <w:rPr>
                <w:sz w:val="20"/>
                <w:szCs w:val="20"/>
              </w:rPr>
              <w:t>-0.175***</w:t>
            </w:r>
          </w:p>
        </w:tc>
        <w:tc>
          <w:tcPr>
            <w:tcW w:w="1540" w:type="dxa"/>
            <w:tcBorders>
              <w:top w:val="nil"/>
              <w:left w:val="nil"/>
              <w:bottom w:val="nil"/>
              <w:right w:val="nil"/>
            </w:tcBorders>
            <w:noWrap/>
            <w:vAlign w:val="bottom"/>
            <w:hideMark/>
          </w:tcPr>
          <w:p w14:paraId="244C2C19" w14:textId="77777777" w:rsidR="007A6A1A" w:rsidRPr="003A7C61" w:rsidRDefault="007A6A1A" w:rsidP="003A7C61">
            <w:pPr>
              <w:spacing w:after="0" w:line="240" w:lineRule="auto"/>
              <w:rPr>
                <w:sz w:val="20"/>
                <w:szCs w:val="20"/>
              </w:rPr>
            </w:pPr>
            <w:r w:rsidRPr="003A7C61">
              <w:rPr>
                <w:sz w:val="20"/>
                <w:szCs w:val="20"/>
              </w:rPr>
              <w:t>-0.061***</w:t>
            </w:r>
          </w:p>
        </w:tc>
        <w:tc>
          <w:tcPr>
            <w:tcW w:w="1541" w:type="dxa"/>
            <w:tcBorders>
              <w:top w:val="nil"/>
              <w:left w:val="nil"/>
              <w:bottom w:val="nil"/>
              <w:right w:val="single" w:sz="4" w:space="0" w:color="auto"/>
            </w:tcBorders>
            <w:hideMark/>
          </w:tcPr>
          <w:p w14:paraId="19449261" w14:textId="77777777" w:rsidR="007A6A1A" w:rsidRPr="003A7C61" w:rsidRDefault="007A6A1A" w:rsidP="003A7C61">
            <w:pPr>
              <w:spacing w:after="0" w:line="240" w:lineRule="auto"/>
              <w:rPr>
                <w:sz w:val="20"/>
                <w:szCs w:val="20"/>
              </w:rPr>
            </w:pPr>
            <w:r w:rsidRPr="003A7C61">
              <w:rPr>
                <w:sz w:val="20"/>
                <w:szCs w:val="20"/>
              </w:rPr>
              <w:t>-0.035***</w:t>
            </w:r>
          </w:p>
        </w:tc>
      </w:tr>
      <w:tr w:rsidR="007A6A1A" w:rsidRPr="00167CB8" w14:paraId="4B9AAAB9" w14:textId="77777777">
        <w:trPr>
          <w:trHeight w:val="300"/>
        </w:trPr>
        <w:tc>
          <w:tcPr>
            <w:tcW w:w="4395" w:type="dxa"/>
            <w:tcBorders>
              <w:top w:val="nil"/>
              <w:left w:val="single" w:sz="4" w:space="0" w:color="auto"/>
              <w:bottom w:val="nil"/>
              <w:right w:val="nil"/>
            </w:tcBorders>
            <w:noWrap/>
            <w:vAlign w:val="bottom"/>
            <w:hideMark/>
          </w:tcPr>
          <w:p w14:paraId="64CC1E2F"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05AED9E7" w14:textId="77777777" w:rsidR="007A6A1A" w:rsidRPr="003A7C61" w:rsidRDefault="007A6A1A" w:rsidP="003A7C61">
            <w:pPr>
              <w:spacing w:after="0" w:line="240" w:lineRule="auto"/>
              <w:rPr>
                <w:sz w:val="20"/>
                <w:szCs w:val="20"/>
              </w:rPr>
            </w:pPr>
            <w:r w:rsidRPr="003A7C61">
              <w:rPr>
                <w:sz w:val="20"/>
                <w:szCs w:val="20"/>
              </w:rPr>
              <w:t>(0.008)</w:t>
            </w:r>
          </w:p>
        </w:tc>
        <w:tc>
          <w:tcPr>
            <w:tcW w:w="1540" w:type="dxa"/>
            <w:tcBorders>
              <w:top w:val="nil"/>
              <w:left w:val="nil"/>
              <w:bottom w:val="nil"/>
              <w:right w:val="nil"/>
            </w:tcBorders>
            <w:noWrap/>
            <w:vAlign w:val="bottom"/>
            <w:hideMark/>
          </w:tcPr>
          <w:p w14:paraId="1FEA2AD1"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75795ABB" w14:textId="77777777" w:rsidR="007A6A1A" w:rsidRPr="003A7C61" w:rsidRDefault="007A6A1A" w:rsidP="003A7C61">
            <w:pPr>
              <w:spacing w:after="0" w:line="240" w:lineRule="auto"/>
              <w:rPr>
                <w:sz w:val="20"/>
                <w:szCs w:val="20"/>
              </w:rPr>
            </w:pPr>
            <w:r w:rsidRPr="003A7C61">
              <w:rPr>
                <w:sz w:val="20"/>
                <w:szCs w:val="20"/>
              </w:rPr>
              <w:t>(0.004)</w:t>
            </w:r>
          </w:p>
        </w:tc>
      </w:tr>
      <w:tr w:rsidR="007A6A1A" w:rsidRPr="00167CB8" w14:paraId="661B5927" w14:textId="77777777">
        <w:trPr>
          <w:trHeight w:val="300"/>
        </w:trPr>
        <w:tc>
          <w:tcPr>
            <w:tcW w:w="4395" w:type="dxa"/>
            <w:tcBorders>
              <w:top w:val="nil"/>
              <w:left w:val="single" w:sz="4" w:space="0" w:color="auto"/>
              <w:bottom w:val="nil"/>
              <w:right w:val="nil"/>
            </w:tcBorders>
            <w:noWrap/>
            <w:vAlign w:val="bottom"/>
            <w:hideMark/>
          </w:tcPr>
          <w:p w14:paraId="07945F8A" w14:textId="77777777" w:rsidR="007A6A1A" w:rsidRPr="003A7C61" w:rsidRDefault="007A6A1A" w:rsidP="003A7C61">
            <w:pPr>
              <w:spacing w:after="0" w:line="240" w:lineRule="auto"/>
              <w:rPr>
                <w:sz w:val="20"/>
                <w:szCs w:val="20"/>
              </w:rPr>
            </w:pPr>
            <w:r w:rsidRPr="003A7C61">
              <w:rPr>
                <w:sz w:val="20"/>
                <w:szCs w:val="20"/>
              </w:rPr>
              <w:t>Paid according to a collective agreement</w:t>
            </w:r>
          </w:p>
        </w:tc>
        <w:tc>
          <w:tcPr>
            <w:tcW w:w="1540" w:type="dxa"/>
            <w:tcBorders>
              <w:top w:val="nil"/>
              <w:left w:val="nil"/>
              <w:bottom w:val="nil"/>
              <w:right w:val="nil"/>
            </w:tcBorders>
            <w:noWrap/>
            <w:vAlign w:val="bottom"/>
            <w:hideMark/>
          </w:tcPr>
          <w:p w14:paraId="6221ECED" w14:textId="77777777" w:rsidR="007A6A1A" w:rsidRPr="003A7C61" w:rsidRDefault="007A6A1A" w:rsidP="003A7C61">
            <w:pPr>
              <w:spacing w:after="0" w:line="240" w:lineRule="auto"/>
              <w:rPr>
                <w:sz w:val="20"/>
                <w:szCs w:val="20"/>
              </w:rPr>
            </w:pPr>
            <w:r w:rsidRPr="003A7C61">
              <w:rPr>
                <w:sz w:val="20"/>
                <w:szCs w:val="20"/>
              </w:rPr>
              <w:t>-0.061***</w:t>
            </w:r>
          </w:p>
        </w:tc>
        <w:tc>
          <w:tcPr>
            <w:tcW w:w="1540" w:type="dxa"/>
            <w:tcBorders>
              <w:top w:val="nil"/>
              <w:left w:val="nil"/>
              <w:bottom w:val="nil"/>
              <w:right w:val="nil"/>
            </w:tcBorders>
            <w:noWrap/>
            <w:vAlign w:val="bottom"/>
            <w:hideMark/>
          </w:tcPr>
          <w:p w14:paraId="4A8B17FD" w14:textId="77777777" w:rsidR="007A6A1A" w:rsidRPr="003A7C61" w:rsidRDefault="007A6A1A" w:rsidP="003A7C61">
            <w:pPr>
              <w:spacing w:after="0" w:line="240" w:lineRule="auto"/>
              <w:rPr>
                <w:sz w:val="20"/>
                <w:szCs w:val="20"/>
              </w:rPr>
            </w:pPr>
            <w:r w:rsidRPr="003A7C61">
              <w:rPr>
                <w:sz w:val="20"/>
                <w:szCs w:val="20"/>
              </w:rPr>
              <w:t>-0.012***</w:t>
            </w:r>
          </w:p>
        </w:tc>
        <w:tc>
          <w:tcPr>
            <w:tcW w:w="1541" w:type="dxa"/>
            <w:tcBorders>
              <w:top w:val="nil"/>
              <w:left w:val="nil"/>
              <w:bottom w:val="nil"/>
              <w:right w:val="single" w:sz="4" w:space="0" w:color="auto"/>
            </w:tcBorders>
            <w:hideMark/>
          </w:tcPr>
          <w:p w14:paraId="55242139" w14:textId="77777777" w:rsidR="007A6A1A" w:rsidRPr="003A7C61" w:rsidRDefault="007A6A1A" w:rsidP="003A7C61">
            <w:pPr>
              <w:spacing w:after="0" w:line="240" w:lineRule="auto"/>
              <w:rPr>
                <w:sz w:val="20"/>
                <w:szCs w:val="20"/>
              </w:rPr>
            </w:pPr>
            <w:r w:rsidRPr="003A7C61">
              <w:rPr>
                <w:sz w:val="20"/>
                <w:szCs w:val="20"/>
              </w:rPr>
              <w:t>-0.006*</w:t>
            </w:r>
          </w:p>
        </w:tc>
      </w:tr>
      <w:tr w:rsidR="007A6A1A" w:rsidRPr="00167CB8" w14:paraId="2CC2CE18" w14:textId="77777777">
        <w:trPr>
          <w:trHeight w:val="300"/>
        </w:trPr>
        <w:tc>
          <w:tcPr>
            <w:tcW w:w="4395" w:type="dxa"/>
            <w:tcBorders>
              <w:top w:val="nil"/>
              <w:left w:val="single" w:sz="4" w:space="0" w:color="auto"/>
              <w:bottom w:val="nil"/>
              <w:right w:val="nil"/>
            </w:tcBorders>
            <w:noWrap/>
            <w:vAlign w:val="bottom"/>
            <w:hideMark/>
          </w:tcPr>
          <w:p w14:paraId="42381804" w14:textId="77777777" w:rsidR="007A6A1A" w:rsidRPr="003A7C61" w:rsidRDefault="007A6A1A" w:rsidP="003A7C61">
            <w:pPr>
              <w:spacing w:after="0" w:line="240" w:lineRule="auto"/>
              <w:rPr>
                <w:sz w:val="20"/>
                <w:szCs w:val="20"/>
              </w:rPr>
            </w:pPr>
          </w:p>
        </w:tc>
        <w:tc>
          <w:tcPr>
            <w:tcW w:w="1540" w:type="dxa"/>
            <w:tcBorders>
              <w:top w:val="nil"/>
              <w:left w:val="nil"/>
              <w:bottom w:val="nil"/>
              <w:right w:val="nil"/>
            </w:tcBorders>
            <w:noWrap/>
            <w:vAlign w:val="bottom"/>
            <w:hideMark/>
          </w:tcPr>
          <w:p w14:paraId="7CFE2C0A" w14:textId="77777777" w:rsidR="007A6A1A" w:rsidRPr="003A7C61" w:rsidRDefault="007A6A1A" w:rsidP="003A7C61">
            <w:pPr>
              <w:spacing w:after="0" w:line="240" w:lineRule="auto"/>
              <w:rPr>
                <w:sz w:val="20"/>
                <w:szCs w:val="20"/>
              </w:rPr>
            </w:pPr>
            <w:r w:rsidRPr="003A7C61">
              <w:rPr>
                <w:sz w:val="20"/>
                <w:szCs w:val="20"/>
              </w:rPr>
              <w:t>(0.007)</w:t>
            </w:r>
          </w:p>
        </w:tc>
        <w:tc>
          <w:tcPr>
            <w:tcW w:w="1540" w:type="dxa"/>
            <w:tcBorders>
              <w:top w:val="nil"/>
              <w:left w:val="nil"/>
              <w:bottom w:val="nil"/>
              <w:right w:val="nil"/>
            </w:tcBorders>
            <w:noWrap/>
            <w:vAlign w:val="bottom"/>
            <w:hideMark/>
          </w:tcPr>
          <w:p w14:paraId="3DEC6CA0" w14:textId="77777777" w:rsidR="007A6A1A" w:rsidRPr="003A7C61" w:rsidRDefault="007A6A1A" w:rsidP="003A7C61">
            <w:pPr>
              <w:spacing w:after="0" w:line="240" w:lineRule="auto"/>
              <w:rPr>
                <w:sz w:val="20"/>
                <w:szCs w:val="20"/>
              </w:rPr>
            </w:pPr>
            <w:r w:rsidRPr="003A7C61">
              <w:rPr>
                <w:sz w:val="20"/>
                <w:szCs w:val="20"/>
              </w:rPr>
              <w:t>(0.004)</w:t>
            </w:r>
          </w:p>
        </w:tc>
        <w:tc>
          <w:tcPr>
            <w:tcW w:w="1541" w:type="dxa"/>
            <w:tcBorders>
              <w:top w:val="nil"/>
              <w:left w:val="nil"/>
              <w:bottom w:val="nil"/>
              <w:right w:val="single" w:sz="4" w:space="0" w:color="auto"/>
            </w:tcBorders>
            <w:hideMark/>
          </w:tcPr>
          <w:p w14:paraId="32100CAB" w14:textId="77777777" w:rsidR="007A6A1A" w:rsidRPr="003A7C61" w:rsidRDefault="007A6A1A" w:rsidP="003A7C61">
            <w:pPr>
              <w:spacing w:after="0" w:line="240" w:lineRule="auto"/>
              <w:rPr>
                <w:sz w:val="20"/>
                <w:szCs w:val="20"/>
              </w:rPr>
            </w:pPr>
            <w:r w:rsidRPr="003A7C61">
              <w:rPr>
                <w:sz w:val="20"/>
                <w:szCs w:val="20"/>
              </w:rPr>
              <w:t>(0.004)</w:t>
            </w:r>
          </w:p>
        </w:tc>
      </w:tr>
      <w:tr w:rsidR="007A6A1A" w:rsidRPr="00167CB8" w14:paraId="141F40B9" w14:textId="77777777">
        <w:trPr>
          <w:trHeight w:val="300"/>
        </w:trPr>
        <w:tc>
          <w:tcPr>
            <w:tcW w:w="4395" w:type="dxa"/>
            <w:tcBorders>
              <w:top w:val="nil"/>
              <w:left w:val="single" w:sz="4" w:space="0" w:color="auto"/>
              <w:bottom w:val="nil"/>
              <w:right w:val="nil"/>
            </w:tcBorders>
            <w:noWrap/>
            <w:vAlign w:val="bottom"/>
            <w:hideMark/>
          </w:tcPr>
          <w:p w14:paraId="48693D9E" w14:textId="77777777" w:rsidR="007A6A1A" w:rsidRPr="003A7C61" w:rsidRDefault="007A6A1A" w:rsidP="003A7C61">
            <w:pPr>
              <w:spacing w:after="0" w:line="240" w:lineRule="auto"/>
              <w:rPr>
                <w:sz w:val="20"/>
                <w:szCs w:val="20"/>
              </w:rPr>
            </w:pPr>
            <w:r w:rsidRPr="003A7C61">
              <w:rPr>
                <w:sz w:val="20"/>
                <w:szCs w:val="20"/>
              </w:rPr>
              <w:t>Constant</w:t>
            </w:r>
          </w:p>
        </w:tc>
        <w:tc>
          <w:tcPr>
            <w:tcW w:w="1540" w:type="dxa"/>
            <w:tcBorders>
              <w:top w:val="nil"/>
              <w:left w:val="nil"/>
              <w:bottom w:val="nil"/>
              <w:right w:val="nil"/>
            </w:tcBorders>
            <w:noWrap/>
            <w:vAlign w:val="bottom"/>
            <w:hideMark/>
          </w:tcPr>
          <w:p w14:paraId="086DBA82" w14:textId="77777777" w:rsidR="007A6A1A" w:rsidRPr="003A7C61" w:rsidRDefault="007A6A1A" w:rsidP="003A7C61">
            <w:pPr>
              <w:spacing w:after="0" w:line="240" w:lineRule="auto"/>
              <w:rPr>
                <w:sz w:val="20"/>
                <w:szCs w:val="20"/>
              </w:rPr>
            </w:pPr>
            <w:r w:rsidRPr="003A7C61">
              <w:rPr>
                <w:sz w:val="20"/>
                <w:szCs w:val="20"/>
              </w:rPr>
              <w:t>3.328***</w:t>
            </w:r>
          </w:p>
        </w:tc>
        <w:tc>
          <w:tcPr>
            <w:tcW w:w="1540" w:type="dxa"/>
            <w:tcBorders>
              <w:top w:val="nil"/>
              <w:left w:val="nil"/>
              <w:bottom w:val="nil"/>
              <w:right w:val="nil"/>
            </w:tcBorders>
            <w:noWrap/>
            <w:vAlign w:val="bottom"/>
            <w:hideMark/>
          </w:tcPr>
          <w:p w14:paraId="7498B41D" w14:textId="77777777" w:rsidR="007A6A1A" w:rsidRPr="003A7C61" w:rsidRDefault="007A6A1A" w:rsidP="003A7C61">
            <w:pPr>
              <w:spacing w:after="0" w:line="240" w:lineRule="auto"/>
              <w:rPr>
                <w:sz w:val="20"/>
                <w:szCs w:val="20"/>
              </w:rPr>
            </w:pPr>
            <w:r w:rsidRPr="003A7C61">
              <w:rPr>
                <w:sz w:val="20"/>
                <w:szCs w:val="20"/>
              </w:rPr>
              <w:t>3.188***</w:t>
            </w:r>
          </w:p>
        </w:tc>
        <w:tc>
          <w:tcPr>
            <w:tcW w:w="1541" w:type="dxa"/>
            <w:tcBorders>
              <w:top w:val="nil"/>
              <w:left w:val="nil"/>
              <w:bottom w:val="nil"/>
              <w:right w:val="single" w:sz="4" w:space="0" w:color="auto"/>
            </w:tcBorders>
            <w:hideMark/>
          </w:tcPr>
          <w:p w14:paraId="2142A0CB" w14:textId="77777777" w:rsidR="007A6A1A" w:rsidRPr="003A7C61" w:rsidRDefault="007A6A1A" w:rsidP="003A7C61">
            <w:pPr>
              <w:spacing w:after="0" w:line="240" w:lineRule="auto"/>
              <w:rPr>
                <w:sz w:val="20"/>
                <w:szCs w:val="20"/>
              </w:rPr>
            </w:pPr>
            <w:r w:rsidRPr="003A7C61">
              <w:rPr>
                <w:sz w:val="20"/>
                <w:szCs w:val="20"/>
              </w:rPr>
              <w:t>3.008***</w:t>
            </w:r>
          </w:p>
        </w:tc>
      </w:tr>
      <w:tr w:rsidR="007A6A1A" w:rsidRPr="00167CB8" w14:paraId="0A7292E8" w14:textId="77777777">
        <w:trPr>
          <w:trHeight w:val="300"/>
        </w:trPr>
        <w:tc>
          <w:tcPr>
            <w:tcW w:w="4395" w:type="dxa"/>
            <w:tcBorders>
              <w:top w:val="nil"/>
              <w:left w:val="single" w:sz="4" w:space="0" w:color="auto"/>
              <w:bottom w:val="single" w:sz="4" w:space="0" w:color="auto"/>
              <w:right w:val="nil"/>
            </w:tcBorders>
            <w:noWrap/>
            <w:vAlign w:val="bottom"/>
            <w:hideMark/>
          </w:tcPr>
          <w:p w14:paraId="0E02BCCC" w14:textId="77777777" w:rsidR="007A6A1A" w:rsidRPr="003A7C61" w:rsidRDefault="007A6A1A" w:rsidP="003A7C61">
            <w:pPr>
              <w:spacing w:after="0" w:line="240" w:lineRule="auto"/>
              <w:rPr>
                <w:sz w:val="20"/>
                <w:szCs w:val="20"/>
              </w:rPr>
            </w:pPr>
          </w:p>
        </w:tc>
        <w:tc>
          <w:tcPr>
            <w:tcW w:w="1540" w:type="dxa"/>
            <w:tcBorders>
              <w:top w:val="nil"/>
              <w:left w:val="nil"/>
              <w:bottom w:val="single" w:sz="4" w:space="0" w:color="auto"/>
              <w:right w:val="nil"/>
            </w:tcBorders>
            <w:noWrap/>
            <w:vAlign w:val="bottom"/>
            <w:hideMark/>
          </w:tcPr>
          <w:p w14:paraId="1A118B72" w14:textId="77777777" w:rsidR="007A6A1A" w:rsidRPr="003A7C61" w:rsidRDefault="007A6A1A" w:rsidP="003A7C61">
            <w:pPr>
              <w:spacing w:after="0" w:line="240" w:lineRule="auto"/>
              <w:rPr>
                <w:sz w:val="20"/>
                <w:szCs w:val="20"/>
              </w:rPr>
            </w:pPr>
            <w:r w:rsidRPr="003A7C61">
              <w:rPr>
                <w:sz w:val="20"/>
                <w:szCs w:val="20"/>
              </w:rPr>
              <w:t>(0.012)</w:t>
            </w:r>
          </w:p>
        </w:tc>
        <w:tc>
          <w:tcPr>
            <w:tcW w:w="1540" w:type="dxa"/>
            <w:tcBorders>
              <w:top w:val="nil"/>
              <w:left w:val="nil"/>
              <w:bottom w:val="single" w:sz="4" w:space="0" w:color="auto"/>
              <w:right w:val="nil"/>
            </w:tcBorders>
            <w:noWrap/>
            <w:vAlign w:val="bottom"/>
            <w:hideMark/>
          </w:tcPr>
          <w:p w14:paraId="2E1F43C5" w14:textId="77777777" w:rsidR="007A6A1A" w:rsidRPr="003A7C61" w:rsidRDefault="007A6A1A" w:rsidP="003A7C61">
            <w:pPr>
              <w:spacing w:after="0" w:line="240" w:lineRule="auto"/>
              <w:rPr>
                <w:sz w:val="20"/>
                <w:szCs w:val="20"/>
              </w:rPr>
            </w:pPr>
            <w:r w:rsidRPr="003A7C61">
              <w:rPr>
                <w:sz w:val="20"/>
                <w:szCs w:val="20"/>
              </w:rPr>
              <w:t>(0.008)</w:t>
            </w:r>
          </w:p>
        </w:tc>
        <w:tc>
          <w:tcPr>
            <w:tcW w:w="1541" w:type="dxa"/>
            <w:tcBorders>
              <w:top w:val="nil"/>
              <w:left w:val="nil"/>
              <w:bottom w:val="single" w:sz="4" w:space="0" w:color="auto"/>
              <w:right w:val="single" w:sz="4" w:space="0" w:color="auto"/>
            </w:tcBorders>
            <w:hideMark/>
          </w:tcPr>
          <w:p w14:paraId="0077AE9E" w14:textId="77777777" w:rsidR="007A6A1A" w:rsidRPr="003A7C61" w:rsidRDefault="007A6A1A" w:rsidP="003A7C61">
            <w:pPr>
              <w:spacing w:after="0" w:line="240" w:lineRule="auto"/>
              <w:rPr>
                <w:sz w:val="20"/>
                <w:szCs w:val="20"/>
              </w:rPr>
            </w:pPr>
            <w:r w:rsidRPr="003A7C61">
              <w:rPr>
                <w:sz w:val="20"/>
                <w:szCs w:val="20"/>
              </w:rPr>
              <w:t>(0.011)</w:t>
            </w:r>
          </w:p>
        </w:tc>
      </w:tr>
      <w:tr w:rsidR="007A6A1A" w:rsidRPr="00167CB8" w14:paraId="22712A85" w14:textId="77777777">
        <w:trPr>
          <w:trHeight w:val="300"/>
        </w:trPr>
        <w:tc>
          <w:tcPr>
            <w:tcW w:w="4395" w:type="dxa"/>
            <w:tcBorders>
              <w:top w:val="single" w:sz="4" w:space="0" w:color="auto"/>
              <w:left w:val="single" w:sz="4" w:space="0" w:color="auto"/>
              <w:bottom w:val="nil"/>
              <w:right w:val="nil"/>
            </w:tcBorders>
            <w:noWrap/>
            <w:vAlign w:val="bottom"/>
            <w:hideMark/>
          </w:tcPr>
          <w:p w14:paraId="687A87E6" w14:textId="77777777" w:rsidR="007A6A1A" w:rsidRPr="003A7C61" w:rsidRDefault="007A6A1A" w:rsidP="003A7C61">
            <w:pPr>
              <w:spacing w:after="0" w:line="240" w:lineRule="auto"/>
              <w:rPr>
                <w:sz w:val="20"/>
                <w:szCs w:val="20"/>
              </w:rPr>
            </w:pPr>
            <w:r w:rsidRPr="003A7C61">
              <w:rPr>
                <w:sz w:val="20"/>
                <w:szCs w:val="20"/>
              </w:rPr>
              <w:t>Observations</w:t>
            </w:r>
          </w:p>
        </w:tc>
        <w:tc>
          <w:tcPr>
            <w:tcW w:w="1540" w:type="dxa"/>
            <w:tcBorders>
              <w:top w:val="single" w:sz="4" w:space="0" w:color="auto"/>
              <w:left w:val="nil"/>
              <w:bottom w:val="nil"/>
              <w:right w:val="nil"/>
            </w:tcBorders>
            <w:noWrap/>
            <w:vAlign w:val="bottom"/>
            <w:hideMark/>
          </w:tcPr>
          <w:p w14:paraId="3FBC820C" w14:textId="77777777" w:rsidR="007A6A1A" w:rsidRPr="003A7C61" w:rsidRDefault="007A6A1A" w:rsidP="003A7C61">
            <w:pPr>
              <w:spacing w:after="0" w:line="240" w:lineRule="auto"/>
              <w:rPr>
                <w:sz w:val="20"/>
                <w:szCs w:val="20"/>
              </w:rPr>
            </w:pPr>
            <w:r w:rsidRPr="003A7C61">
              <w:rPr>
                <w:sz w:val="20"/>
                <w:szCs w:val="20"/>
              </w:rPr>
              <w:t>113,199</w:t>
            </w:r>
          </w:p>
        </w:tc>
        <w:tc>
          <w:tcPr>
            <w:tcW w:w="1540" w:type="dxa"/>
            <w:tcBorders>
              <w:top w:val="single" w:sz="4" w:space="0" w:color="auto"/>
              <w:left w:val="nil"/>
              <w:bottom w:val="nil"/>
              <w:right w:val="nil"/>
            </w:tcBorders>
            <w:noWrap/>
            <w:vAlign w:val="bottom"/>
            <w:hideMark/>
          </w:tcPr>
          <w:p w14:paraId="3DD5CF57" w14:textId="77777777" w:rsidR="007A6A1A" w:rsidRPr="003A7C61" w:rsidRDefault="007A6A1A" w:rsidP="003A7C61">
            <w:pPr>
              <w:spacing w:after="0" w:line="240" w:lineRule="auto"/>
              <w:rPr>
                <w:sz w:val="20"/>
                <w:szCs w:val="20"/>
              </w:rPr>
            </w:pPr>
            <w:r w:rsidRPr="003A7C61">
              <w:rPr>
                <w:sz w:val="20"/>
                <w:szCs w:val="20"/>
              </w:rPr>
              <w:t>113,199</w:t>
            </w:r>
          </w:p>
        </w:tc>
        <w:tc>
          <w:tcPr>
            <w:tcW w:w="1541" w:type="dxa"/>
            <w:tcBorders>
              <w:top w:val="single" w:sz="4" w:space="0" w:color="auto"/>
              <w:left w:val="nil"/>
              <w:bottom w:val="nil"/>
              <w:right w:val="single" w:sz="4" w:space="0" w:color="auto"/>
            </w:tcBorders>
            <w:hideMark/>
          </w:tcPr>
          <w:p w14:paraId="4E80134C" w14:textId="77777777" w:rsidR="007A6A1A" w:rsidRPr="003A7C61" w:rsidRDefault="007A6A1A" w:rsidP="003A7C61">
            <w:pPr>
              <w:spacing w:after="0" w:line="240" w:lineRule="auto"/>
              <w:rPr>
                <w:sz w:val="20"/>
                <w:szCs w:val="20"/>
              </w:rPr>
            </w:pPr>
            <w:r w:rsidRPr="003A7C61">
              <w:rPr>
                <w:sz w:val="20"/>
                <w:szCs w:val="20"/>
              </w:rPr>
              <w:t>113,199</w:t>
            </w:r>
          </w:p>
        </w:tc>
      </w:tr>
      <w:tr w:rsidR="007A6A1A" w:rsidRPr="00167CB8" w14:paraId="386452E4" w14:textId="77777777">
        <w:trPr>
          <w:trHeight w:val="300"/>
        </w:trPr>
        <w:tc>
          <w:tcPr>
            <w:tcW w:w="4395" w:type="dxa"/>
            <w:tcBorders>
              <w:top w:val="nil"/>
              <w:left w:val="single" w:sz="4" w:space="0" w:color="auto"/>
              <w:bottom w:val="nil"/>
              <w:right w:val="nil"/>
            </w:tcBorders>
            <w:noWrap/>
            <w:vAlign w:val="bottom"/>
            <w:hideMark/>
          </w:tcPr>
          <w:p w14:paraId="6A78F6F9" w14:textId="77777777" w:rsidR="007A6A1A" w:rsidRPr="003A7C61" w:rsidRDefault="007A6A1A" w:rsidP="003A7C61">
            <w:pPr>
              <w:spacing w:after="0" w:line="240" w:lineRule="auto"/>
              <w:rPr>
                <w:sz w:val="20"/>
                <w:szCs w:val="20"/>
              </w:rPr>
            </w:pPr>
            <w:r w:rsidRPr="003A7C61">
              <w:rPr>
                <w:sz w:val="20"/>
                <w:szCs w:val="20"/>
              </w:rPr>
              <w:t>R-squared (%)</w:t>
            </w:r>
          </w:p>
        </w:tc>
        <w:tc>
          <w:tcPr>
            <w:tcW w:w="1540" w:type="dxa"/>
            <w:tcBorders>
              <w:top w:val="nil"/>
              <w:left w:val="nil"/>
              <w:bottom w:val="nil"/>
              <w:right w:val="nil"/>
            </w:tcBorders>
            <w:noWrap/>
            <w:vAlign w:val="bottom"/>
            <w:hideMark/>
          </w:tcPr>
          <w:p w14:paraId="3DA79350" w14:textId="77777777" w:rsidR="007A6A1A" w:rsidRPr="003A7C61" w:rsidRDefault="007A6A1A" w:rsidP="003A7C61">
            <w:pPr>
              <w:spacing w:after="0" w:line="240" w:lineRule="auto"/>
              <w:rPr>
                <w:sz w:val="20"/>
                <w:szCs w:val="20"/>
              </w:rPr>
            </w:pPr>
            <w:r w:rsidRPr="003A7C61">
              <w:rPr>
                <w:sz w:val="20"/>
                <w:szCs w:val="20"/>
              </w:rPr>
              <w:t>25.0%</w:t>
            </w:r>
          </w:p>
        </w:tc>
        <w:tc>
          <w:tcPr>
            <w:tcW w:w="1540" w:type="dxa"/>
            <w:tcBorders>
              <w:top w:val="nil"/>
              <w:left w:val="nil"/>
              <w:bottom w:val="nil"/>
              <w:right w:val="nil"/>
            </w:tcBorders>
            <w:noWrap/>
            <w:vAlign w:val="bottom"/>
            <w:hideMark/>
          </w:tcPr>
          <w:p w14:paraId="60CB2A45" w14:textId="77777777" w:rsidR="007A6A1A" w:rsidRPr="003A7C61" w:rsidRDefault="007A6A1A" w:rsidP="003A7C61">
            <w:pPr>
              <w:spacing w:after="0" w:line="240" w:lineRule="auto"/>
              <w:rPr>
                <w:sz w:val="20"/>
                <w:szCs w:val="20"/>
              </w:rPr>
            </w:pPr>
            <w:r w:rsidRPr="003A7C61">
              <w:rPr>
                <w:sz w:val="20"/>
                <w:szCs w:val="20"/>
              </w:rPr>
              <w:t>21.2%</w:t>
            </w:r>
          </w:p>
        </w:tc>
        <w:tc>
          <w:tcPr>
            <w:tcW w:w="1541" w:type="dxa"/>
            <w:tcBorders>
              <w:top w:val="nil"/>
              <w:left w:val="nil"/>
              <w:bottom w:val="nil"/>
              <w:right w:val="single" w:sz="4" w:space="0" w:color="auto"/>
            </w:tcBorders>
            <w:hideMark/>
          </w:tcPr>
          <w:p w14:paraId="6D217A79" w14:textId="77777777" w:rsidR="007A6A1A" w:rsidRPr="003A7C61" w:rsidRDefault="007A6A1A" w:rsidP="003A7C61">
            <w:pPr>
              <w:spacing w:after="0" w:line="240" w:lineRule="auto"/>
              <w:rPr>
                <w:sz w:val="20"/>
                <w:szCs w:val="20"/>
              </w:rPr>
            </w:pPr>
            <w:r w:rsidRPr="003A7C61">
              <w:rPr>
                <w:sz w:val="20"/>
                <w:szCs w:val="20"/>
              </w:rPr>
              <w:t>10.5%</w:t>
            </w:r>
          </w:p>
        </w:tc>
      </w:tr>
      <w:tr w:rsidR="007A6A1A" w:rsidRPr="00167CB8" w14:paraId="065C1B87" w14:textId="77777777">
        <w:trPr>
          <w:trHeight w:val="300"/>
        </w:trPr>
        <w:tc>
          <w:tcPr>
            <w:tcW w:w="4395" w:type="dxa"/>
            <w:tcBorders>
              <w:top w:val="nil"/>
              <w:left w:val="single" w:sz="4" w:space="0" w:color="auto"/>
              <w:bottom w:val="single" w:sz="4" w:space="0" w:color="auto"/>
              <w:right w:val="nil"/>
            </w:tcBorders>
            <w:noWrap/>
            <w:vAlign w:val="bottom"/>
            <w:hideMark/>
          </w:tcPr>
          <w:p w14:paraId="7BCCD40F" w14:textId="77777777" w:rsidR="007A6A1A" w:rsidRPr="003A7C61" w:rsidRDefault="007A6A1A" w:rsidP="003A7C61">
            <w:pPr>
              <w:spacing w:after="0" w:line="240" w:lineRule="auto"/>
              <w:rPr>
                <w:sz w:val="20"/>
                <w:szCs w:val="20"/>
              </w:rPr>
            </w:pPr>
            <w:r w:rsidRPr="003A7C61">
              <w:rPr>
                <w:sz w:val="20"/>
                <w:szCs w:val="20"/>
              </w:rPr>
              <w:t>Number of unique individuals</w:t>
            </w:r>
          </w:p>
        </w:tc>
        <w:tc>
          <w:tcPr>
            <w:tcW w:w="1540" w:type="dxa"/>
            <w:tcBorders>
              <w:top w:val="nil"/>
              <w:left w:val="nil"/>
              <w:bottom w:val="single" w:sz="4" w:space="0" w:color="auto"/>
              <w:right w:val="nil"/>
            </w:tcBorders>
            <w:noWrap/>
            <w:vAlign w:val="bottom"/>
            <w:hideMark/>
          </w:tcPr>
          <w:p w14:paraId="7BF03E7A" w14:textId="77777777" w:rsidR="007A6A1A" w:rsidRPr="003A7C61" w:rsidRDefault="007A6A1A" w:rsidP="003A7C61">
            <w:pPr>
              <w:spacing w:after="0" w:line="240" w:lineRule="auto"/>
              <w:rPr>
                <w:sz w:val="20"/>
                <w:szCs w:val="20"/>
              </w:rPr>
            </w:pPr>
            <w:r w:rsidRPr="003A7C61">
              <w:rPr>
                <w:sz w:val="20"/>
                <w:szCs w:val="20"/>
              </w:rPr>
              <w:t xml:space="preserve"> </w:t>
            </w:r>
          </w:p>
        </w:tc>
        <w:tc>
          <w:tcPr>
            <w:tcW w:w="1540" w:type="dxa"/>
            <w:tcBorders>
              <w:top w:val="nil"/>
              <w:left w:val="nil"/>
              <w:bottom w:val="single" w:sz="4" w:space="0" w:color="auto"/>
              <w:right w:val="nil"/>
            </w:tcBorders>
            <w:noWrap/>
            <w:vAlign w:val="bottom"/>
            <w:hideMark/>
          </w:tcPr>
          <w:p w14:paraId="4A99D86A" w14:textId="77777777" w:rsidR="007A6A1A" w:rsidRPr="003A7C61" w:rsidRDefault="007A6A1A" w:rsidP="003A7C61">
            <w:pPr>
              <w:spacing w:after="0" w:line="240" w:lineRule="auto"/>
              <w:rPr>
                <w:sz w:val="20"/>
                <w:szCs w:val="20"/>
              </w:rPr>
            </w:pPr>
            <w:r w:rsidRPr="003A7C61">
              <w:rPr>
                <w:sz w:val="20"/>
                <w:szCs w:val="20"/>
              </w:rPr>
              <w:t>17,494</w:t>
            </w:r>
          </w:p>
        </w:tc>
        <w:tc>
          <w:tcPr>
            <w:tcW w:w="1541" w:type="dxa"/>
            <w:tcBorders>
              <w:top w:val="nil"/>
              <w:left w:val="nil"/>
              <w:bottom w:val="single" w:sz="4" w:space="0" w:color="auto"/>
              <w:right w:val="single" w:sz="4" w:space="0" w:color="auto"/>
            </w:tcBorders>
            <w:hideMark/>
          </w:tcPr>
          <w:p w14:paraId="0B102B5C" w14:textId="77777777" w:rsidR="007A6A1A" w:rsidRPr="003A7C61" w:rsidRDefault="007A6A1A" w:rsidP="003A7C61">
            <w:pPr>
              <w:spacing w:after="0" w:line="240" w:lineRule="auto"/>
              <w:rPr>
                <w:sz w:val="20"/>
                <w:szCs w:val="20"/>
              </w:rPr>
            </w:pPr>
            <w:r w:rsidRPr="003A7C61">
              <w:rPr>
                <w:sz w:val="20"/>
                <w:szCs w:val="20"/>
              </w:rPr>
              <w:t>17,494</w:t>
            </w:r>
          </w:p>
        </w:tc>
      </w:tr>
    </w:tbl>
    <w:p w14:paraId="1698B8E0" w14:textId="77777777" w:rsidR="007A6A1A" w:rsidRPr="00E07D74" w:rsidRDefault="007A6A1A" w:rsidP="00360545">
      <w:pPr>
        <w:pStyle w:val="Source"/>
        <w:rPr>
          <w:b/>
          <w:bCs/>
        </w:rPr>
      </w:pPr>
      <w:r w:rsidRPr="00E07D74">
        <w:rPr>
          <w:b/>
          <w:bCs/>
        </w:rPr>
        <w:t>Notes:</w:t>
      </w:r>
    </w:p>
    <w:p w14:paraId="7BF93101" w14:textId="439AE9F2" w:rsidR="007A6A1A" w:rsidRPr="00167CB8" w:rsidRDefault="00360545" w:rsidP="00360545">
      <w:pPr>
        <w:pStyle w:val="Source"/>
      </w:pPr>
      <w:r w:rsidRPr="00167CB8">
        <w:lastRenderedPageBreak/>
        <w:t xml:space="preserve">1. </w:t>
      </w:r>
      <w:r w:rsidR="007A6A1A" w:rsidRPr="00167CB8">
        <w:t>Dependent variable is the natural logarithm of hourly earnings in main job in 2023 prices.</w:t>
      </w:r>
    </w:p>
    <w:p w14:paraId="21D9E615" w14:textId="55CAB26F" w:rsidR="007A6A1A" w:rsidRPr="00167CB8" w:rsidRDefault="00360545" w:rsidP="00360545">
      <w:pPr>
        <w:pStyle w:val="Source"/>
      </w:pPr>
      <w:r w:rsidRPr="00167CB8">
        <w:t xml:space="preserve">2. </w:t>
      </w:r>
      <w:r w:rsidR="007A6A1A" w:rsidRPr="00167CB8">
        <w:t>Sample: employees aged 21 to 64.</w:t>
      </w:r>
    </w:p>
    <w:p w14:paraId="3F5C6AB4" w14:textId="1A8AF766" w:rsidR="007A6A1A" w:rsidRPr="00167CB8" w:rsidRDefault="00360545" w:rsidP="00360545">
      <w:pPr>
        <w:pStyle w:val="Source"/>
      </w:pPr>
      <w:r w:rsidRPr="00167CB8">
        <w:t xml:space="preserve">3. </w:t>
      </w:r>
      <w:r w:rsidR="007A6A1A" w:rsidRPr="00167CB8">
        <w:t>Time period covered: 2008 to 2023</w:t>
      </w:r>
      <w:r w:rsidRPr="00167CB8">
        <w:t>.</w:t>
      </w:r>
      <w:r w:rsidR="007A6A1A" w:rsidRPr="00167CB8">
        <w:t xml:space="preserve"> </w:t>
      </w:r>
    </w:p>
    <w:p w14:paraId="57764246" w14:textId="16731119" w:rsidR="007A6A1A" w:rsidRPr="00167CB8" w:rsidRDefault="00360545" w:rsidP="00360545">
      <w:pPr>
        <w:pStyle w:val="Source"/>
      </w:pPr>
      <w:r w:rsidRPr="00167CB8">
        <w:t xml:space="preserve">4. </w:t>
      </w:r>
      <w:r w:rsidR="007A6A1A" w:rsidRPr="00167CB8">
        <w:t xml:space="preserve">Column 1 shows OLS estimates for pooled sample. Column 2 shows panel estimates using a random effects regressor. Column 3 shows estimates generated using a fixed effects estimator. </w:t>
      </w:r>
    </w:p>
    <w:p w14:paraId="6ED94AD3" w14:textId="2513709D" w:rsidR="007A6A1A" w:rsidRPr="00167CB8" w:rsidRDefault="00360545" w:rsidP="00360545">
      <w:pPr>
        <w:pStyle w:val="Source"/>
      </w:pPr>
      <w:r w:rsidRPr="00167CB8">
        <w:t xml:space="preserve">5. </w:t>
      </w:r>
      <w:r w:rsidR="007A6A1A" w:rsidRPr="00167CB8">
        <w:t xml:space="preserve">The reference group </w:t>
      </w:r>
      <w:r w:rsidRPr="00167CB8">
        <w:t>is</w:t>
      </w:r>
      <w:r w:rsidR="007A6A1A" w:rsidRPr="00167CB8">
        <w:t xml:space="preserve"> men who completed no post-school qualifications, </w:t>
      </w:r>
      <w:r w:rsidRPr="00167CB8">
        <w:t xml:space="preserve">are </w:t>
      </w:r>
      <w:r w:rsidR="007A6A1A" w:rsidRPr="00167CB8">
        <w:t>not partnered, ha</w:t>
      </w:r>
      <w:r w:rsidRPr="00167CB8">
        <w:t>ve</w:t>
      </w:r>
      <w:r w:rsidR="007A6A1A" w:rsidRPr="00167CB8">
        <w:t xml:space="preserve"> no dependent children, </w:t>
      </w:r>
      <w:r w:rsidRPr="00167CB8">
        <w:t xml:space="preserve">are </w:t>
      </w:r>
      <w:r w:rsidR="007A6A1A" w:rsidRPr="00167CB8">
        <w:t xml:space="preserve">Australian born, work in the private sector, </w:t>
      </w:r>
      <w:r w:rsidRPr="00167CB8">
        <w:t xml:space="preserve">are </w:t>
      </w:r>
      <w:r w:rsidR="007A6A1A" w:rsidRPr="00167CB8">
        <w:t xml:space="preserve">employed full-time, hold a permanent position, </w:t>
      </w:r>
      <w:r w:rsidRPr="00167CB8">
        <w:t xml:space="preserve">are </w:t>
      </w:r>
      <w:r w:rsidR="007A6A1A" w:rsidRPr="00167CB8">
        <w:t>not union member</w:t>
      </w:r>
      <w:r w:rsidRPr="00167CB8">
        <w:t>s</w:t>
      </w:r>
      <w:r w:rsidR="007A6A1A" w:rsidRPr="00167CB8">
        <w:t xml:space="preserve"> and </w:t>
      </w:r>
      <w:r w:rsidRPr="00167CB8">
        <w:t xml:space="preserve">are </w:t>
      </w:r>
      <w:r w:rsidR="007A6A1A" w:rsidRPr="00167CB8">
        <w:t xml:space="preserve">paid according to an individual agreement. </w:t>
      </w:r>
    </w:p>
    <w:p w14:paraId="03C663EF" w14:textId="77777777" w:rsidR="007A6A1A" w:rsidRPr="00167CB8" w:rsidRDefault="007A6A1A" w:rsidP="007A6A1A">
      <w:pPr>
        <w:spacing w:after="160"/>
        <w:rPr>
          <w:rFonts w:eastAsiaTheme="majorEastAsia" w:cstheme="majorBidi"/>
          <w:b/>
          <w:color w:val="009B9F" w:themeColor="background2"/>
          <w:sz w:val="44"/>
          <w:szCs w:val="26"/>
        </w:rPr>
      </w:pPr>
      <w:r w:rsidRPr="00167CB8">
        <w:br w:type="page"/>
      </w:r>
    </w:p>
    <w:p w14:paraId="6CF47AB3" w14:textId="11538F51" w:rsidR="007A6A1A" w:rsidRPr="00167CB8" w:rsidRDefault="007A6A1A" w:rsidP="00650687">
      <w:pPr>
        <w:pStyle w:val="Heading2"/>
      </w:pPr>
      <w:bookmarkStart w:id="826" w:name="_Toc188278057"/>
      <w:bookmarkStart w:id="827" w:name="_Toc189260185"/>
      <w:bookmarkStart w:id="828" w:name="_Toc189393675"/>
      <w:r w:rsidRPr="00650687">
        <w:lastRenderedPageBreak/>
        <w:t>Appendix</w:t>
      </w:r>
      <w:r w:rsidRPr="00167CB8">
        <w:t xml:space="preserve"> 2 – Federal Workplace Agreements Database</w:t>
      </w:r>
      <w:bookmarkEnd w:id="826"/>
      <w:bookmarkEnd w:id="827"/>
      <w:bookmarkEnd w:id="828"/>
    </w:p>
    <w:p w14:paraId="7A140BAD" w14:textId="63A4F4AB" w:rsidR="007A6A1A" w:rsidRPr="00167CB8" w:rsidRDefault="007A6A1A" w:rsidP="007A6A1A">
      <w:pPr>
        <w:spacing w:after="160"/>
        <w:rPr>
          <w:b/>
          <w:bCs/>
        </w:rPr>
      </w:pPr>
      <w:r w:rsidRPr="00167CB8">
        <w:t xml:space="preserve">The </w:t>
      </w:r>
      <w:r w:rsidR="000D5139" w:rsidRPr="00167CB8">
        <w:t>f</w:t>
      </w:r>
      <w:r w:rsidRPr="00167CB8">
        <w:t xml:space="preserve">ederal Workplace Agreements Database (WAD) tracks information on enterprise agreements made under the </w:t>
      </w:r>
      <w:r w:rsidRPr="00167CB8">
        <w:rPr>
          <w:i/>
          <w:iCs/>
        </w:rPr>
        <w:t>Fair Work Act 2009</w:t>
      </w:r>
      <w:r w:rsidR="000D5139" w:rsidRPr="00167CB8">
        <w:t xml:space="preserve"> (Cth)</w:t>
      </w:r>
      <w:r w:rsidRPr="00167CB8">
        <w:t xml:space="preserve">. The WAD contains detailed information on average annualised wage increases (AAWI) in enterprise agreements, agreement duration and how wage increases are distributed over the term of the agreement. Information may be disaggregated by industry, sector and agreement type (e.g. single enterprise agreement, multi-employer agreement). At the time of writing the most recent period covered was </w:t>
      </w:r>
      <w:r w:rsidR="000D5139" w:rsidRPr="00167CB8">
        <w:t xml:space="preserve">the </w:t>
      </w:r>
      <w:r w:rsidRPr="00167CB8">
        <w:t xml:space="preserve">September quarter </w:t>
      </w:r>
      <w:r w:rsidR="000D5139" w:rsidRPr="00167CB8">
        <w:t xml:space="preserve">of </w:t>
      </w:r>
      <w:r w:rsidRPr="00167CB8">
        <w:t xml:space="preserve">2024 (released 12 December 2024). </w:t>
      </w:r>
    </w:p>
    <w:p w14:paraId="6E10E65A" w14:textId="57766ACF" w:rsidR="007A6A1A" w:rsidRPr="00167CB8" w:rsidRDefault="00874CF2" w:rsidP="007A6A1A">
      <w:pPr>
        <w:spacing w:after="160"/>
      </w:pPr>
      <w:r w:rsidRPr="00167CB8">
        <w:t xml:space="preserve">Table </w:t>
      </w:r>
      <w:r w:rsidR="00177CA8">
        <w:t>53</w:t>
      </w:r>
      <w:r w:rsidR="007A6A1A" w:rsidRPr="00167CB8">
        <w:t xml:space="preserve"> shows trends in number of new approved agreements (column 2) and new approved non-union agreements (column 1). The difference between the columns is the number of new approved union agreements. As a proportion of all agreements, the share of non-union agreements being approved is around one-quarter. Non-union new approved agreements cover around 6% of employees, although the share varies across the years. In 2022 the share was 3.7%. </w:t>
      </w:r>
    </w:p>
    <w:p w14:paraId="19620A4D" w14:textId="74EC5BF1" w:rsidR="007A6A1A" w:rsidRPr="00167CB8" w:rsidRDefault="007A6A1A" w:rsidP="00470AB9">
      <w:pPr>
        <w:pStyle w:val="Caption"/>
      </w:pPr>
      <w:bookmarkStart w:id="829" w:name="_Ref184404935"/>
      <w:bookmarkStart w:id="830" w:name="_Ref186906815"/>
      <w:bookmarkStart w:id="831" w:name="_Toc186906077"/>
      <w:bookmarkStart w:id="832" w:name="_Toc187514213"/>
      <w:bookmarkStart w:id="833" w:name="_Toc189310882"/>
      <w:r w:rsidRPr="00167CB8">
        <w:t xml:space="preserve">Table </w:t>
      </w:r>
      <w:r w:rsidR="00832307" w:rsidRPr="00167CB8">
        <w:t>53</w:t>
      </w:r>
      <w:bookmarkEnd w:id="829"/>
      <w:bookmarkEnd w:id="830"/>
      <w:r w:rsidRPr="00167CB8">
        <w:t>: Number and coverage of new non-union agreements, 2012 to 2024</w:t>
      </w:r>
      <w:bookmarkEnd w:id="831"/>
      <w:bookmarkEnd w:id="832"/>
      <w:bookmarkEnd w:id="833"/>
    </w:p>
    <w:tbl>
      <w:tblPr>
        <w:tblW w:w="5000" w:type="pct"/>
        <w:tblLayout w:type="fixed"/>
        <w:tblLook w:val="04A0" w:firstRow="1" w:lastRow="0" w:firstColumn="1" w:lastColumn="0" w:noHBand="0" w:noVBand="1"/>
      </w:tblPr>
      <w:tblGrid>
        <w:gridCol w:w="1304"/>
        <w:gridCol w:w="1329"/>
        <w:gridCol w:w="1329"/>
        <w:gridCol w:w="1329"/>
        <w:gridCol w:w="1329"/>
        <w:gridCol w:w="1329"/>
        <w:gridCol w:w="1329"/>
      </w:tblGrid>
      <w:tr w:rsidR="007A6A1A" w:rsidRPr="00167CB8" w14:paraId="384D7760" w14:textId="77777777" w:rsidTr="003A7C61">
        <w:trPr>
          <w:cantSplit/>
          <w:trHeight w:val="1505"/>
        </w:trPr>
        <w:tc>
          <w:tcPr>
            <w:tcW w:w="703" w:type="pct"/>
            <w:tcBorders>
              <w:top w:val="single" w:sz="8" w:space="0" w:color="auto"/>
              <w:left w:val="single" w:sz="8" w:space="0" w:color="auto"/>
              <w:bottom w:val="single" w:sz="8" w:space="0" w:color="auto"/>
              <w:right w:val="nil"/>
            </w:tcBorders>
            <w:shd w:val="clear" w:color="000000" w:fill="FFFFFF"/>
            <w:hideMark/>
          </w:tcPr>
          <w:p w14:paraId="6131EC56"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 </w:t>
            </w:r>
          </w:p>
        </w:tc>
        <w:tc>
          <w:tcPr>
            <w:tcW w:w="716" w:type="pct"/>
            <w:tcBorders>
              <w:top w:val="single" w:sz="8" w:space="0" w:color="auto"/>
              <w:left w:val="nil"/>
              <w:bottom w:val="single" w:sz="8" w:space="0" w:color="auto"/>
              <w:right w:val="nil"/>
            </w:tcBorders>
            <w:shd w:val="clear" w:color="000000" w:fill="FFFFFF"/>
            <w:hideMark/>
          </w:tcPr>
          <w:p w14:paraId="53447A34" w14:textId="683CFB57" w:rsidR="007A6A1A" w:rsidRPr="00167CB8" w:rsidRDefault="000D5139"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No</w:t>
            </w:r>
            <w:r w:rsidR="007A6A1A" w:rsidRPr="00167CB8">
              <w:rPr>
                <w:rFonts w:eastAsia="Times New Roman" w:cs="Calibri"/>
                <w:color w:val="000000"/>
                <w:sz w:val="20"/>
                <w:szCs w:val="20"/>
                <w:lang w:eastAsia="en-AU"/>
              </w:rPr>
              <w:t xml:space="preserve"> of approved non-union agreements (annual)</w:t>
            </w:r>
          </w:p>
        </w:tc>
        <w:tc>
          <w:tcPr>
            <w:tcW w:w="716" w:type="pct"/>
            <w:tcBorders>
              <w:top w:val="single" w:sz="8" w:space="0" w:color="auto"/>
              <w:left w:val="nil"/>
              <w:bottom w:val="single" w:sz="8" w:space="0" w:color="auto"/>
              <w:right w:val="nil"/>
            </w:tcBorders>
            <w:shd w:val="clear" w:color="000000" w:fill="FFFFFF"/>
            <w:hideMark/>
          </w:tcPr>
          <w:p w14:paraId="05110A5D" w14:textId="068321E2" w:rsidR="007A6A1A" w:rsidRPr="00167CB8" w:rsidRDefault="000D5139"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No</w:t>
            </w:r>
            <w:r w:rsidR="007A6A1A" w:rsidRPr="00167CB8">
              <w:rPr>
                <w:rFonts w:eastAsia="Times New Roman" w:cs="Calibri"/>
                <w:color w:val="000000"/>
                <w:sz w:val="20"/>
                <w:szCs w:val="20"/>
                <w:lang w:eastAsia="en-AU"/>
              </w:rPr>
              <w:t xml:space="preserve"> of all approved agreements (annual)</w:t>
            </w:r>
          </w:p>
        </w:tc>
        <w:tc>
          <w:tcPr>
            <w:tcW w:w="716" w:type="pct"/>
            <w:tcBorders>
              <w:top w:val="single" w:sz="8" w:space="0" w:color="auto"/>
              <w:left w:val="nil"/>
              <w:bottom w:val="single" w:sz="8" w:space="0" w:color="auto"/>
              <w:right w:val="nil"/>
            </w:tcBorders>
            <w:shd w:val="clear" w:color="000000" w:fill="FFFFFF"/>
            <w:hideMark/>
          </w:tcPr>
          <w:p w14:paraId="79C753B8" w14:textId="68C46BA9"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 xml:space="preserve">% </w:t>
            </w:r>
            <w:r w:rsidR="000D5139" w:rsidRPr="00167CB8">
              <w:rPr>
                <w:rFonts w:eastAsia="Times New Roman" w:cs="Calibri"/>
                <w:color w:val="000000"/>
                <w:sz w:val="20"/>
                <w:szCs w:val="20"/>
                <w:lang w:eastAsia="en-AU"/>
              </w:rPr>
              <w:t xml:space="preserve">of </w:t>
            </w:r>
            <w:r w:rsidRPr="00167CB8">
              <w:rPr>
                <w:rFonts w:eastAsia="Times New Roman" w:cs="Calibri"/>
                <w:color w:val="000000"/>
                <w:sz w:val="20"/>
                <w:szCs w:val="20"/>
                <w:lang w:eastAsia="en-AU"/>
              </w:rPr>
              <w:t>non-union vs all approved agreements</w:t>
            </w:r>
          </w:p>
        </w:tc>
        <w:tc>
          <w:tcPr>
            <w:tcW w:w="716" w:type="pct"/>
            <w:tcBorders>
              <w:top w:val="single" w:sz="8" w:space="0" w:color="auto"/>
              <w:left w:val="nil"/>
              <w:bottom w:val="single" w:sz="8" w:space="0" w:color="auto"/>
              <w:right w:val="nil"/>
            </w:tcBorders>
            <w:shd w:val="clear" w:color="000000" w:fill="FFFFFF"/>
            <w:hideMark/>
          </w:tcPr>
          <w:p w14:paraId="6EE3B40D" w14:textId="711367DB" w:rsidR="007A6A1A" w:rsidRPr="00167CB8" w:rsidRDefault="000D5139"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No of</w:t>
            </w:r>
            <w:r w:rsidR="007A6A1A" w:rsidRPr="00167CB8">
              <w:rPr>
                <w:rFonts w:eastAsia="Times New Roman" w:cs="Calibri"/>
                <w:color w:val="000000"/>
                <w:sz w:val="20"/>
                <w:szCs w:val="20"/>
                <w:lang w:eastAsia="en-AU"/>
              </w:rPr>
              <w:t xml:space="preserve"> employees covered by approved non-union agreements</w:t>
            </w:r>
          </w:p>
        </w:tc>
        <w:tc>
          <w:tcPr>
            <w:tcW w:w="716" w:type="pct"/>
            <w:tcBorders>
              <w:top w:val="single" w:sz="8" w:space="0" w:color="auto"/>
              <w:left w:val="nil"/>
              <w:bottom w:val="single" w:sz="8" w:space="0" w:color="auto"/>
              <w:right w:val="nil"/>
            </w:tcBorders>
            <w:shd w:val="clear" w:color="000000" w:fill="FFFFFF"/>
            <w:hideMark/>
          </w:tcPr>
          <w:p w14:paraId="307F3A74" w14:textId="108431AD" w:rsidR="007A6A1A" w:rsidRPr="00167CB8" w:rsidRDefault="000D5139"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No of</w:t>
            </w:r>
            <w:r w:rsidR="007A6A1A" w:rsidRPr="00167CB8">
              <w:rPr>
                <w:rFonts w:eastAsia="Times New Roman" w:cs="Calibri"/>
                <w:color w:val="000000"/>
                <w:sz w:val="20"/>
                <w:szCs w:val="20"/>
                <w:lang w:eastAsia="en-AU"/>
              </w:rPr>
              <w:t xml:space="preserve"> employees covered by all approved agreements</w:t>
            </w:r>
          </w:p>
        </w:tc>
        <w:tc>
          <w:tcPr>
            <w:tcW w:w="716" w:type="pct"/>
            <w:tcBorders>
              <w:top w:val="single" w:sz="8" w:space="0" w:color="auto"/>
              <w:left w:val="nil"/>
              <w:bottom w:val="single" w:sz="8" w:space="0" w:color="auto"/>
              <w:right w:val="single" w:sz="8" w:space="0" w:color="auto"/>
            </w:tcBorders>
            <w:shd w:val="clear" w:color="000000" w:fill="FFFFFF"/>
            <w:hideMark/>
          </w:tcPr>
          <w:p w14:paraId="1BF244FE"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 of employees covered by approved non-union agreements</w:t>
            </w:r>
          </w:p>
        </w:tc>
      </w:tr>
      <w:tr w:rsidR="007A6A1A" w:rsidRPr="00167CB8" w14:paraId="0A030114" w14:textId="77777777">
        <w:trPr>
          <w:cantSplit/>
          <w:trHeight w:val="300"/>
        </w:trPr>
        <w:tc>
          <w:tcPr>
            <w:tcW w:w="703" w:type="pct"/>
            <w:tcBorders>
              <w:top w:val="nil"/>
              <w:left w:val="single" w:sz="8" w:space="0" w:color="auto"/>
              <w:bottom w:val="nil"/>
              <w:right w:val="nil"/>
            </w:tcBorders>
            <w:shd w:val="clear" w:color="C0E6F5" w:fill="FFFFFF"/>
            <w:noWrap/>
          </w:tcPr>
          <w:p w14:paraId="0EE97312" w14:textId="77777777" w:rsidR="007A6A1A" w:rsidRPr="00167CB8" w:rsidRDefault="007A6A1A" w:rsidP="007A6A1A">
            <w:pPr>
              <w:keepNext/>
              <w:spacing w:after="0" w:line="240" w:lineRule="auto"/>
              <w:rPr>
                <w:rFonts w:eastAsia="Times New Roman" w:cs="Calibri"/>
                <w:color w:val="000000"/>
                <w:sz w:val="20"/>
                <w:szCs w:val="20"/>
                <w:lang w:eastAsia="en-AU"/>
              </w:rPr>
            </w:pPr>
          </w:p>
        </w:tc>
        <w:tc>
          <w:tcPr>
            <w:tcW w:w="716" w:type="pct"/>
            <w:tcBorders>
              <w:top w:val="nil"/>
              <w:left w:val="nil"/>
              <w:bottom w:val="nil"/>
              <w:right w:val="nil"/>
            </w:tcBorders>
            <w:shd w:val="clear" w:color="000000" w:fill="FFFFFF"/>
            <w:noWrap/>
            <w:vAlign w:val="bottom"/>
          </w:tcPr>
          <w:p w14:paraId="2CF0412C" w14:textId="77777777" w:rsidR="007A6A1A" w:rsidRPr="00167CB8" w:rsidRDefault="007A6A1A" w:rsidP="007A6A1A">
            <w:pPr>
              <w:keepNext/>
              <w:spacing w:after="0" w:line="240" w:lineRule="auto"/>
              <w:jc w:val="center"/>
              <w:rPr>
                <w:rFonts w:eastAsia="Times New Roman" w:cs="Calibri"/>
                <w:color w:val="000000"/>
                <w:sz w:val="20"/>
                <w:szCs w:val="20"/>
                <w:lang w:eastAsia="en-AU"/>
              </w:rPr>
            </w:pPr>
            <w:r w:rsidRPr="00167CB8">
              <w:rPr>
                <w:rFonts w:eastAsia="Times New Roman" w:cs="Calibri"/>
                <w:color w:val="000000"/>
                <w:sz w:val="20"/>
                <w:szCs w:val="20"/>
                <w:lang w:eastAsia="en-AU"/>
              </w:rPr>
              <w:t>(1)</w:t>
            </w:r>
          </w:p>
        </w:tc>
        <w:tc>
          <w:tcPr>
            <w:tcW w:w="716" w:type="pct"/>
            <w:tcBorders>
              <w:top w:val="nil"/>
              <w:left w:val="nil"/>
              <w:bottom w:val="nil"/>
              <w:right w:val="nil"/>
            </w:tcBorders>
            <w:shd w:val="clear" w:color="000000" w:fill="FFFFFF"/>
            <w:noWrap/>
            <w:vAlign w:val="bottom"/>
          </w:tcPr>
          <w:p w14:paraId="18010157" w14:textId="77777777" w:rsidR="007A6A1A" w:rsidRPr="00167CB8" w:rsidRDefault="007A6A1A" w:rsidP="007A6A1A">
            <w:pPr>
              <w:keepNext/>
              <w:spacing w:after="0" w:line="240" w:lineRule="auto"/>
              <w:jc w:val="center"/>
              <w:rPr>
                <w:rFonts w:eastAsia="Times New Roman" w:cs="Calibri"/>
                <w:color w:val="000000"/>
                <w:sz w:val="20"/>
                <w:szCs w:val="20"/>
                <w:lang w:eastAsia="en-AU"/>
              </w:rPr>
            </w:pPr>
            <w:r w:rsidRPr="00167CB8">
              <w:rPr>
                <w:rFonts w:eastAsia="Times New Roman" w:cs="Calibri"/>
                <w:color w:val="000000"/>
                <w:sz w:val="20"/>
                <w:szCs w:val="20"/>
                <w:lang w:eastAsia="en-AU"/>
              </w:rPr>
              <w:t>(2)</w:t>
            </w:r>
          </w:p>
        </w:tc>
        <w:tc>
          <w:tcPr>
            <w:tcW w:w="716" w:type="pct"/>
            <w:tcBorders>
              <w:top w:val="nil"/>
              <w:left w:val="nil"/>
              <w:bottom w:val="nil"/>
              <w:right w:val="nil"/>
            </w:tcBorders>
            <w:shd w:val="clear" w:color="000000" w:fill="FFFFFF"/>
            <w:noWrap/>
            <w:vAlign w:val="bottom"/>
          </w:tcPr>
          <w:p w14:paraId="799D1D9A" w14:textId="77777777" w:rsidR="007A6A1A" w:rsidRPr="00167CB8" w:rsidRDefault="007A6A1A" w:rsidP="007A6A1A">
            <w:pPr>
              <w:keepNext/>
              <w:spacing w:after="0" w:line="240" w:lineRule="auto"/>
              <w:jc w:val="center"/>
              <w:rPr>
                <w:rFonts w:eastAsia="Times New Roman" w:cs="Calibri"/>
                <w:color w:val="000000"/>
                <w:sz w:val="20"/>
                <w:szCs w:val="20"/>
                <w:lang w:eastAsia="en-AU"/>
              </w:rPr>
            </w:pPr>
            <w:r w:rsidRPr="00167CB8">
              <w:rPr>
                <w:rFonts w:eastAsia="Times New Roman" w:cs="Calibri"/>
                <w:color w:val="000000"/>
                <w:sz w:val="20"/>
                <w:szCs w:val="20"/>
                <w:lang w:eastAsia="en-AU"/>
              </w:rPr>
              <w:t>(3)</w:t>
            </w:r>
          </w:p>
        </w:tc>
        <w:tc>
          <w:tcPr>
            <w:tcW w:w="716" w:type="pct"/>
            <w:tcBorders>
              <w:top w:val="nil"/>
              <w:left w:val="nil"/>
              <w:bottom w:val="nil"/>
              <w:right w:val="nil"/>
            </w:tcBorders>
            <w:shd w:val="clear" w:color="000000" w:fill="FFFFFF"/>
            <w:noWrap/>
            <w:vAlign w:val="bottom"/>
          </w:tcPr>
          <w:p w14:paraId="1B85833A" w14:textId="77777777" w:rsidR="007A6A1A" w:rsidRPr="00167CB8" w:rsidRDefault="007A6A1A" w:rsidP="007A6A1A">
            <w:pPr>
              <w:keepNext/>
              <w:spacing w:after="0" w:line="240" w:lineRule="auto"/>
              <w:jc w:val="center"/>
              <w:rPr>
                <w:rFonts w:eastAsia="Times New Roman" w:cs="Calibri"/>
                <w:color w:val="000000"/>
                <w:sz w:val="20"/>
                <w:szCs w:val="20"/>
                <w:lang w:eastAsia="en-AU"/>
              </w:rPr>
            </w:pPr>
            <w:r w:rsidRPr="00167CB8">
              <w:rPr>
                <w:rFonts w:eastAsia="Times New Roman" w:cs="Calibri"/>
                <w:color w:val="000000"/>
                <w:sz w:val="20"/>
                <w:szCs w:val="20"/>
                <w:lang w:eastAsia="en-AU"/>
              </w:rPr>
              <w:t>(4)</w:t>
            </w:r>
          </w:p>
        </w:tc>
        <w:tc>
          <w:tcPr>
            <w:tcW w:w="716" w:type="pct"/>
            <w:tcBorders>
              <w:top w:val="nil"/>
              <w:left w:val="nil"/>
              <w:bottom w:val="nil"/>
              <w:right w:val="nil"/>
            </w:tcBorders>
            <w:shd w:val="clear" w:color="000000" w:fill="FFFFFF"/>
            <w:noWrap/>
            <w:vAlign w:val="bottom"/>
          </w:tcPr>
          <w:p w14:paraId="6C07F94C" w14:textId="77777777" w:rsidR="007A6A1A" w:rsidRPr="00167CB8" w:rsidRDefault="007A6A1A" w:rsidP="007A6A1A">
            <w:pPr>
              <w:keepNext/>
              <w:spacing w:after="0" w:line="240" w:lineRule="auto"/>
              <w:jc w:val="center"/>
              <w:rPr>
                <w:rFonts w:eastAsia="Times New Roman" w:cs="Calibri"/>
                <w:color w:val="000000"/>
                <w:sz w:val="20"/>
                <w:szCs w:val="20"/>
                <w:lang w:eastAsia="en-AU"/>
              </w:rPr>
            </w:pPr>
            <w:r w:rsidRPr="00167CB8">
              <w:rPr>
                <w:rFonts w:eastAsia="Times New Roman" w:cs="Calibri"/>
                <w:color w:val="000000"/>
                <w:sz w:val="20"/>
                <w:szCs w:val="20"/>
                <w:lang w:eastAsia="en-AU"/>
              </w:rPr>
              <w:t>(5)</w:t>
            </w:r>
          </w:p>
        </w:tc>
        <w:tc>
          <w:tcPr>
            <w:tcW w:w="716" w:type="pct"/>
            <w:tcBorders>
              <w:top w:val="nil"/>
              <w:left w:val="nil"/>
              <w:bottom w:val="nil"/>
              <w:right w:val="single" w:sz="8" w:space="0" w:color="auto"/>
            </w:tcBorders>
            <w:shd w:val="clear" w:color="000000" w:fill="FFFFFF"/>
            <w:noWrap/>
            <w:vAlign w:val="bottom"/>
          </w:tcPr>
          <w:p w14:paraId="08F3BF6A" w14:textId="77777777" w:rsidR="007A6A1A" w:rsidRPr="00167CB8" w:rsidRDefault="007A6A1A" w:rsidP="007A6A1A">
            <w:pPr>
              <w:keepNext/>
              <w:spacing w:after="0" w:line="240" w:lineRule="auto"/>
              <w:jc w:val="center"/>
              <w:rPr>
                <w:rFonts w:eastAsia="Times New Roman" w:cs="Calibri"/>
                <w:color w:val="000000"/>
                <w:sz w:val="20"/>
                <w:szCs w:val="20"/>
                <w:lang w:eastAsia="en-AU"/>
              </w:rPr>
            </w:pPr>
            <w:r w:rsidRPr="00167CB8">
              <w:rPr>
                <w:rFonts w:eastAsia="Times New Roman" w:cs="Calibri"/>
                <w:color w:val="000000"/>
                <w:sz w:val="20"/>
                <w:szCs w:val="20"/>
                <w:lang w:eastAsia="en-AU"/>
              </w:rPr>
              <w:t>(6)</w:t>
            </w:r>
          </w:p>
        </w:tc>
      </w:tr>
      <w:tr w:rsidR="007A6A1A" w:rsidRPr="00167CB8" w14:paraId="16CAED14" w14:textId="77777777">
        <w:trPr>
          <w:cantSplit/>
          <w:trHeight w:val="300"/>
        </w:trPr>
        <w:tc>
          <w:tcPr>
            <w:tcW w:w="703" w:type="pct"/>
            <w:tcBorders>
              <w:top w:val="nil"/>
              <w:left w:val="single" w:sz="8" w:space="0" w:color="auto"/>
              <w:bottom w:val="nil"/>
              <w:right w:val="nil"/>
            </w:tcBorders>
            <w:shd w:val="clear" w:color="C0E6F5" w:fill="FFFFFF"/>
            <w:noWrap/>
            <w:hideMark/>
          </w:tcPr>
          <w:p w14:paraId="304D1F41"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2012</w:t>
            </w:r>
          </w:p>
        </w:tc>
        <w:tc>
          <w:tcPr>
            <w:tcW w:w="716" w:type="pct"/>
            <w:tcBorders>
              <w:top w:val="nil"/>
              <w:left w:val="nil"/>
              <w:bottom w:val="nil"/>
              <w:right w:val="nil"/>
            </w:tcBorders>
            <w:shd w:val="clear" w:color="000000" w:fill="FFFFFF"/>
            <w:noWrap/>
            <w:vAlign w:val="bottom"/>
            <w:hideMark/>
          </w:tcPr>
          <w:p w14:paraId="19B4C2ED"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1,854</w:t>
            </w:r>
          </w:p>
        </w:tc>
        <w:tc>
          <w:tcPr>
            <w:tcW w:w="716" w:type="pct"/>
            <w:tcBorders>
              <w:top w:val="nil"/>
              <w:left w:val="nil"/>
              <w:bottom w:val="nil"/>
              <w:right w:val="nil"/>
            </w:tcBorders>
            <w:shd w:val="clear" w:color="000000" w:fill="FFFFFF"/>
            <w:noWrap/>
            <w:vAlign w:val="bottom"/>
            <w:hideMark/>
          </w:tcPr>
          <w:p w14:paraId="46A6CE6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8,229</w:t>
            </w:r>
          </w:p>
        </w:tc>
        <w:tc>
          <w:tcPr>
            <w:tcW w:w="716" w:type="pct"/>
            <w:tcBorders>
              <w:top w:val="nil"/>
              <w:left w:val="nil"/>
              <w:bottom w:val="nil"/>
              <w:right w:val="nil"/>
            </w:tcBorders>
            <w:shd w:val="clear" w:color="000000" w:fill="FFFFFF"/>
            <w:noWrap/>
            <w:vAlign w:val="bottom"/>
            <w:hideMark/>
          </w:tcPr>
          <w:p w14:paraId="0849D44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22.5%</w:t>
            </w:r>
          </w:p>
        </w:tc>
        <w:tc>
          <w:tcPr>
            <w:tcW w:w="716" w:type="pct"/>
            <w:tcBorders>
              <w:top w:val="nil"/>
              <w:left w:val="nil"/>
              <w:bottom w:val="nil"/>
              <w:right w:val="nil"/>
            </w:tcBorders>
            <w:shd w:val="clear" w:color="000000" w:fill="FFFFFF"/>
            <w:noWrap/>
            <w:vAlign w:val="bottom"/>
            <w:hideMark/>
          </w:tcPr>
          <w:p w14:paraId="1361C03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57,858</w:t>
            </w:r>
          </w:p>
        </w:tc>
        <w:tc>
          <w:tcPr>
            <w:tcW w:w="716" w:type="pct"/>
            <w:tcBorders>
              <w:top w:val="nil"/>
              <w:left w:val="nil"/>
              <w:bottom w:val="nil"/>
              <w:right w:val="nil"/>
            </w:tcBorders>
            <w:shd w:val="clear" w:color="000000" w:fill="FFFFFF"/>
            <w:noWrap/>
            <w:vAlign w:val="bottom"/>
            <w:hideMark/>
          </w:tcPr>
          <w:p w14:paraId="2817298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1,026,007</w:t>
            </w:r>
          </w:p>
        </w:tc>
        <w:tc>
          <w:tcPr>
            <w:tcW w:w="716" w:type="pct"/>
            <w:tcBorders>
              <w:top w:val="nil"/>
              <w:left w:val="nil"/>
              <w:bottom w:val="nil"/>
              <w:right w:val="single" w:sz="8" w:space="0" w:color="auto"/>
            </w:tcBorders>
            <w:shd w:val="clear" w:color="000000" w:fill="FFFFFF"/>
            <w:noWrap/>
            <w:vAlign w:val="bottom"/>
            <w:hideMark/>
          </w:tcPr>
          <w:p w14:paraId="1BA151C7"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5.6%</w:t>
            </w:r>
          </w:p>
        </w:tc>
      </w:tr>
      <w:tr w:rsidR="007A6A1A" w:rsidRPr="00167CB8" w14:paraId="794EB7F6" w14:textId="77777777">
        <w:trPr>
          <w:cantSplit/>
          <w:trHeight w:val="300"/>
        </w:trPr>
        <w:tc>
          <w:tcPr>
            <w:tcW w:w="703" w:type="pct"/>
            <w:tcBorders>
              <w:top w:val="nil"/>
              <w:left w:val="single" w:sz="8" w:space="0" w:color="auto"/>
              <w:bottom w:val="nil"/>
              <w:right w:val="nil"/>
            </w:tcBorders>
            <w:shd w:val="clear" w:color="C0E6F5" w:fill="FFFFFF"/>
            <w:noWrap/>
            <w:hideMark/>
          </w:tcPr>
          <w:p w14:paraId="01F5CB12"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2013</w:t>
            </w:r>
          </w:p>
        </w:tc>
        <w:tc>
          <w:tcPr>
            <w:tcW w:w="716" w:type="pct"/>
            <w:tcBorders>
              <w:top w:val="nil"/>
              <w:left w:val="nil"/>
              <w:bottom w:val="nil"/>
              <w:right w:val="nil"/>
            </w:tcBorders>
            <w:shd w:val="clear" w:color="000000" w:fill="FFFFFF"/>
            <w:noWrap/>
            <w:vAlign w:val="bottom"/>
            <w:hideMark/>
          </w:tcPr>
          <w:p w14:paraId="4D7C2AD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1,874</w:t>
            </w:r>
          </w:p>
        </w:tc>
        <w:tc>
          <w:tcPr>
            <w:tcW w:w="716" w:type="pct"/>
            <w:tcBorders>
              <w:top w:val="nil"/>
              <w:left w:val="nil"/>
              <w:bottom w:val="nil"/>
              <w:right w:val="nil"/>
            </w:tcBorders>
            <w:shd w:val="clear" w:color="000000" w:fill="FFFFFF"/>
            <w:noWrap/>
            <w:vAlign w:val="bottom"/>
            <w:hideMark/>
          </w:tcPr>
          <w:p w14:paraId="2F85120B"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6,697</w:t>
            </w:r>
          </w:p>
        </w:tc>
        <w:tc>
          <w:tcPr>
            <w:tcW w:w="716" w:type="pct"/>
            <w:tcBorders>
              <w:top w:val="nil"/>
              <w:left w:val="nil"/>
              <w:bottom w:val="nil"/>
              <w:right w:val="nil"/>
            </w:tcBorders>
            <w:shd w:val="clear" w:color="000000" w:fill="FFFFFF"/>
            <w:noWrap/>
            <w:vAlign w:val="bottom"/>
            <w:hideMark/>
          </w:tcPr>
          <w:p w14:paraId="1F11EB7E"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28.0%</w:t>
            </w:r>
          </w:p>
        </w:tc>
        <w:tc>
          <w:tcPr>
            <w:tcW w:w="716" w:type="pct"/>
            <w:tcBorders>
              <w:top w:val="nil"/>
              <w:left w:val="nil"/>
              <w:bottom w:val="nil"/>
              <w:right w:val="nil"/>
            </w:tcBorders>
            <w:shd w:val="clear" w:color="000000" w:fill="FFFFFF"/>
            <w:noWrap/>
            <w:vAlign w:val="bottom"/>
            <w:hideMark/>
          </w:tcPr>
          <w:p w14:paraId="0D83FCCB"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61,819</w:t>
            </w:r>
          </w:p>
        </w:tc>
        <w:tc>
          <w:tcPr>
            <w:tcW w:w="716" w:type="pct"/>
            <w:tcBorders>
              <w:top w:val="nil"/>
              <w:left w:val="nil"/>
              <w:bottom w:val="nil"/>
              <w:right w:val="nil"/>
            </w:tcBorders>
            <w:shd w:val="clear" w:color="000000" w:fill="FFFFFF"/>
            <w:noWrap/>
            <w:vAlign w:val="bottom"/>
            <w:hideMark/>
          </w:tcPr>
          <w:p w14:paraId="1B85BE2E"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914,029</w:t>
            </w:r>
          </w:p>
        </w:tc>
        <w:tc>
          <w:tcPr>
            <w:tcW w:w="716" w:type="pct"/>
            <w:tcBorders>
              <w:top w:val="nil"/>
              <w:left w:val="nil"/>
              <w:bottom w:val="nil"/>
              <w:right w:val="single" w:sz="8" w:space="0" w:color="auto"/>
            </w:tcBorders>
            <w:shd w:val="clear" w:color="000000" w:fill="FFFFFF"/>
            <w:noWrap/>
            <w:vAlign w:val="bottom"/>
            <w:hideMark/>
          </w:tcPr>
          <w:p w14:paraId="74DDBAA8"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6.8%</w:t>
            </w:r>
          </w:p>
        </w:tc>
      </w:tr>
      <w:tr w:rsidR="007A6A1A" w:rsidRPr="00167CB8" w14:paraId="3FC8B0C5" w14:textId="77777777">
        <w:trPr>
          <w:cantSplit/>
          <w:trHeight w:val="300"/>
        </w:trPr>
        <w:tc>
          <w:tcPr>
            <w:tcW w:w="703" w:type="pct"/>
            <w:tcBorders>
              <w:top w:val="nil"/>
              <w:left w:val="single" w:sz="8" w:space="0" w:color="auto"/>
              <w:bottom w:val="nil"/>
              <w:right w:val="nil"/>
            </w:tcBorders>
            <w:shd w:val="clear" w:color="C0E6F5" w:fill="FFFFFF"/>
            <w:noWrap/>
            <w:hideMark/>
          </w:tcPr>
          <w:p w14:paraId="5BF45F29"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2014</w:t>
            </w:r>
          </w:p>
        </w:tc>
        <w:tc>
          <w:tcPr>
            <w:tcW w:w="716" w:type="pct"/>
            <w:tcBorders>
              <w:top w:val="nil"/>
              <w:left w:val="nil"/>
              <w:bottom w:val="nil"/>
              <w:right w:val="nil"/>
            </w:tcBorders>
            <w:shd w:val="clear" w:color="000000" w:fill="FFFFFF"/>
            <w:noWrap/>
            <w:vAlign w:val="bottom"/>
            <w:hideMark/>
          </w:tcPr>
          <w:p w14:paraId="48F39F68"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1,763</w:t>
            </w:r>
          </w:p>
        </w:tc>
        <w:tc>
          <w:tcPr>
            <w:tcW w:w="716" w:type="pct"/>
            <w:tcBorders>
              <w:top w:val="nil"/>
              <w:left w:val="nil"/>
              <w:bottom w:val="nil"/>
              <w:right w:val="nil"/>
            </w:tcBorders>
            <w:shd w:val="clear" w:color="000000" w:fill="FFFFFF"/>
            <w:noWrap/>
            <w:vAlign w:val="bottom"/>
            <w:hideMark/>
          </w:tcPr>
          <w:p w14:paraId="453727C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5,671</w:t>
            </w:r>
          </w:p>
        </w:tc>
        <w:tc>
          <w:tcPr>
            <w:tcW w:w="716" w:type="pct"/>
            <w:tcBorders>
              <w:top w:val="nil"/>
              <w:left w:val="nil"/>
              <w:bottom w:val="nil"/>
              <w:right w:val="nil"/>
            </w:tcBorders>
            <w:shd w:val="clear" w:color="000000" w:fill="FFFFFF"/>
            <w:noWrap/>
            <w:vAlign w:val="bottom"/>
            <w:hideMark/>
          </w:tcPr>
          <w:p w14:paraId="6FFD022F"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31.1%</w:t>
            </w:r>
          </w:p>
        </w:tc>
        <w:tc>
          <w:tcPr>
            <w:tcW w:w="716" w:type="pct"/>
            <w:tcBorders>
              <w:top w:val="nil"/>
              <w:left w:val="nil"/>
              <w:bottom w:val="nil"/>
              <w:right w:val="nil"/>
            </w:tcBorders>
            <w:shd w:val="clear" w:color="000000" w:fill="FFFFFF"/>
            <w:noWrap/>
            <w:vAlign w:val="bottom"/>
            <w:hideMark/>
          </w:tcPr>
          <w:p w14:paraId="5849B49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69,356</w:t>
            </w:r>
          </w:p>
        </w:tc>
        <w:tc>
          <w:tcPr>
            <w:tcW w:w="716" w:type="pct"/>
            <w:tcBorders>
              <w:top w:val="nil"/>
              <w:left w:val="nil"/>
              <w:bottom w:val="nil"/>
              <w:right w:val="nil"/>
            </w:tcBorders>
            <w:shd w:val="clear" w:color="000000" w:fill="FFFFFF"/>
            <w:noWrap/>
            <w:vAlign w:val="bottom"/>
            <w:hideMark/>
          </w:tcPr>
          <w:p w14:paraId="1EA1034F"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803,224</w:t>
            </w:r>
          </w:p>
        </w:tc>
        <w:tc>
          <w:tcPr>
            <w:tcW w:w="716" w:type="pct"/>
            <w:tcBorders>
              <w:top w:val="nil"/>
              <w:left w:val="nil"/>
              <w:bottom w:val="nil"/>
              <w:right w:val="single" w:sz="8" w:space="0" w:color="auto"/>
            </w:tcBorders>
            <w:shd w:val="clear" w:color="000000" w:fill="FFFFFF"/>
            <w:noWrap/>
            <w:vAlign w:val="bottom"/>
            <w:hideMark/>
          </w:tcPr>
          <w:p w14:paraId="22089F0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8.6%</w:t>
            </w:r>
          </w:p>
        </w:tc>
      </w:tr>
      <w:tr w:rsidR="007A6A1A" w:rsidRPr="00167CB8" w14:paraId="2FD095DD" w14:textId="77777777">
        <w:trPr>
          <w:cantSplit/>
          <w:trHeight w:val="300"/>
        </w:trPr>
        <w:tc>
          <w:tcPr>
            <w:tcW w:w="703" w:type="pct"/>
            <w:tcBorders>
              <w:top w:val="nil"/>
              <w:left w:val="single" w:sz="8" w:space="0" w:color="auto"/>
              <w:bottom w:val="nil"/>
              <w:right w:val="nil"/>
            </w:tcBorders>
            <w:shd w:val="clear" w:color="C0E6F5" w:fill="FFFFFF"/>
            <w:noWrap/>
            <w:hideMark/>
          </w:tcPr>
          <w:p w14:paraId="11325361"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2015</w:t>
            </w:r>
          </w:p>
        </w:tc>
        <w:tc>
          <w:tcPr>
            <w:tcW w:w="716" w:type="pct"/>
            <w:tcBorders>
              <w:top w:val="nil"/>
              <w:left w:val="nil"/>
              <w:bottom w:val="nil"/>
              <w:right w:val="nil"/>
            </w:tcBorders>
            <w:shd w:val="clear" w:color="000000" w:fill="FFFFFF"/>
            <w:noWrap/>
            <w:vAlign w:val="bottom"/>
            <w:hideMark/>
          </w:tcPr>
          <w:p w14:paraId="52B5739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1,622</w:t>
            </w:r>
          </w:p>
        </w:tc>
        <w:tc>
          <w:tcPr>
            <w:tcW w:w="716" w:type="pct"/>
            <w:tcBorders>
              <w:top w:val="nil"/>
              <w:left w:val="nil"/>
              <w:bottom w:val="nil"/>
              <w:right w:val="nil"/>
            </w:tcBorders>
            <w:shd w:val="clear" w:color="000000" w:fill="FFFFFF"/>
            <w:noWrap/>
            <w:vAlign w:val="bottom"/>
            <w:hideMark/>
          </w:tcPr>
          <w:p w14:paraId="162099BD"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4,998</w:t>
            </w:r>
          </w:p>
        </w:tc>
        <w:tc>
          <w:tcPr>
            <w:tcW w:w="716" w:type="pct"/>
            <w:tcBorders>
              <w:top w:val="nil"/>
              <w:left w:val="nil"/>
              <w:bottom w:val="nil"/>
              <w:right w:val="nil"/>
            </w:tcBorders>
            <w:shd w:val="clear" w:color="000000" w:fill="FFFFFF"/>
            <w:noWrap/>
            <w:vAlign w:val="bottom"/>
            <w:hideMark/>
          </w:tcPr>
          <w:p w14:paraId="7BB6A360"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32.5%</w:t>
            </w:r>
          </w:p>
        </w:tc>
        <w:tc>
          <w:tcPr>
            <w:tcW w:w="716" w:type="pct"/>
            <w:tcBorders>
              <w:top w:val="nil"/>
              <w:left w:val="nil"/>
              <w:bottom w:val="nil"/>
              <w:right w:val="nil"/>
            </w:tcBorders>
            <w:shd w:val="clear" w:color="000000" w:fill="FFFFFF"/>
            <w:noWrap/>
            <w:vAlign w:val="bottom"/>
            <w:hideMark/>
          </w:tcPr>
          <w:p w14:paraId="28A6912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64,671</w:t>
            </w:r>
          </w:p>
        </w:tc>
        <w:tc>
          <w:tcPr>
            <w:tcW w:w="716" w:type="pct"/>
            <w:tcBorders>
              <w:top w:val="nil"/>
              <w:left w:val="nil"/>
              <w:bottom w:val="nil"/>
              <w:right w:val="nil"/>
            </w:tcBorders>
            <w:shd w:val="clear" w:color="000000" w:fill="FFFFFF"/>
            <w:noWrap/>
            <w:vAlign w:val="bottom"/>
            <w:hideMark/>
          </w:tcPr>
          <w:p w14:paraId="191BB254"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643,785</w:t>
            </w:r>
          </w:p>
        </w:tc>
        <w:tc>
          <w:tcPr>
            <w:tcW w:w="716" w:type="pct"/>
            <w:tcBorders>
              <w:top w:val="nil"/>
              <w:left w:val="nil"/>
              <w:bottom w:val="nil"/>
              <w:right w:val="single" w:sz="8" w:space="0" w:color="auto"/>
            </w:tcBorders>
            <w:shd w:val="clear" w:color="000000" w:fill="FFFFFF"/>
            <w:noWrap/>
            <w:vAlign w:val="bottom"/>
            <w:hideMark/>
          </w:tcPr>
          <w:p w14:paraId="56951196"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10.0%</w:t>
            </w:r>
          </w:p>
        </w:tc>
      </w:tr>
      <w:tr w:rsidR="007A6A1A" w:rsidRPr="00167CB8" w14:paraId="6DDAB58A" w14:textId="77777777">
        <w:trPr>
          <w:cantSplit/>
          <w:trHeight w:val="300"/>
        </w:trPr>
        <w:tc>
          <w:tcPr>
            <w:tcW w:w="703" w:type="pct"/>
            <w:tcBorders>
              <w:top w:val="nil"/>
              <w:left w:val="single" w:sz="8" w:space="0" w:color="auto"/>
              <w:bottom w:val="nil"/>
              <w:right w:val="nil"/>
            </w:tcBorders>
            <w:shd w:val="clear" w:color="C0E6F5" w:fill="FFFFFF"/>
            <w:noWrap/>
            <w:hideMark/>
          </w:tcPr>
          <w:p w14:paraId="7012081D"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2016</w:t>
            </w:r>
          </w:p>
        </w:tc>
        <w:tc>
          <w:tcPr>
            <w:tcW w:w="716" w:type="pct"/>
            <w:tcBorders>
              <w:top w:val="nil"/>
              <w:left w:val="nil"/>
              <w:bottom w:val="nil"/>
              <w:right w:val="nil"/>
            </w:tcBorders>
            <w:shd w:val="clear" w:color="000000" w:fill="FFFFFF"/>
            <w:noWrap/>
            <w:vAlign w:val="bottom"/>
            <w:hideMark/>
          </w:tcPr>
          <w:p w14:paraId="7ECE2FA6"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1,389</w:t>
            </w:r>
          </w:p>
        </w:tc>
        <w:tc>
          <w:tcPr>
            <w:tcW w:w="716" w:type="pct"/>
            <w:tcBorders>
              <w:top w:val="nil"/>
              <w:left w:val="nil"/>
              <w:bottom w:val="nil"/>
              <w:right w:val="nil"/>
            </w:tcBorders>
            <w:shd w:val="clear" w:color="000000" w:fill="FFFFFF"/>
            <w:noWrap/>
            <w:vAlign w:val="bottom"/>
            <w:hideMark/>
          </w:tcPr>
          <w:p w14:paraId="470701E5"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5,196</w:t>
            </w:r>
          </w:p>
        </w:tc>
        <w:tc>
          <w:tcPr>
            <w:tcW w:w="716" w:type="pct"/>
            <w:tcBorders>
              <w:top w:val="nil"/>
              <w:left w:val="nil"/>
              <w:bottom w:val="nil"/>
              <w:right w:val="nil"/>
            </w:tcBorders>
            <w:shd w:val="clear" w:color="000000" w:fill="FFFFFF"/>
            <w:noWrap/>
            <w:vAlign w:val="bottom"/>
            <w:hideMark/>
          </w:tcPr>
          <w:p w14:paraId="72E07B24"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26.7%</w:t>
            </w:r>
          </w:p>
        </w:tc>
        <w:tc>
          <w:tcPr>
            <w:tcW w:w="716" w:type="pct"/>
            <w:tcBorders>
              <w:top w:val="nil"/>
              <w:left w:val="nil"/>
              <w:bottom w:val="nil"/>
              <w:right w:val="nil"/>
            </w:tcBorders>
            <w:shd w:val="clear" w:color="000000" w:fill="FFFFFF"/>
            <w:noWrap/>
            <w:vAlign w:val="bottom"/>
            <w:hideMark/>
          </w:tcPr>
          <w:p w14:paraId="28E102D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43,658</w:t>
            </w:r>
          </w:p>
        </w:tc>
        <w:tc>
          <w:tcPr>
            <w:tcW w:w="716" w:type="pct"/>
            <w:tcBorders>
              <w:top w:val="nil"/>
              <w:left w:val="nil"/>
              <w:bottom w:val="nil"/>
              <w:right w:val="nil"/>
            </w:tcBorders>
            <w:shd w:val="clear" w:color="000000" w:fill="FFFFFF"/>
            <w:noWrap/>
            <w:vAlign w:val="bottom"/>
            <w:hideMark/>
          </w:tcPr>
          <w:p w14:paraId="5B361E1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663,126</w:t>
            </w:r>
          </w:p>
        </w:tc>
        <w:tc>
          <w:tcPr>
            <w:tcW w:w="716" w:type="pct"/>
            <w:tcBorders>
              <w:top w:val="nil"/>
              <w:left w:val="nil"/>
              <w:bottom w:val="nil"/>
              <w:right w:val="single" w:sz="8" w:space="0" w:color="auto"/>
            </w:tcBorders>
            <w:shd w:val="clear" w:color="000000" w:fill="FFFFFF"/>
            <w:noWrap/>
            <w:vAlign w:val="bottom"/>
            <w:hideMark/>
          </w:tcPr>
          <w:p w14:paraId="462E009F"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6.6%</w:t>
            </w:r>
          </w:p>
        </w:tc>
      </w:tr>
      <w:tr w:rsidR="007A6A1A" w:rsidRPr="00167CB8" w14:paraId="5B525632" w14:textId="77777777">
        <w:trPr>
          <w:cantSplit/>
          <w:trHeight w:val="300"/>
        </w:trPr>
        <w:tc>
          <w:tcPr>
            <w:tcW w:w="703" w:type="pct"/>
            <w:tcBorders>
              <w:top w:val="nil"/>
              <w:left w:val="single" w:sz="8" w:space="0" w:color="auto"/>
              <w:bottom w:val="nil"/>
              <w:right w:val="nil"/>
            </w:tcBorders>
            <w:shd w:val="clear" w:color="C0E6F5" w:fill="FFFFFF"/>
            <w:noWrap/>
            <w:hideMark/>
          </w:tcPr>
          <w:p w14:paraId="7A7370E8"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2017</w:t>
            </w:r>
          </w:p>
        </w:tc>
        <w:tc>
          <w:tcPr>
            <w:tcW w:w="716" w:type="pct"/>
            <w:tcBorders>
              <w:top w:val="nil"/>
              <w:left w:val="nil"/>
              <w:bottom w:val="nil"/>
              <w:right w:val="nil"/>
            </w:tcBorders>
            <w:shd w:val="clear" w:color="000000" w:fill="FFFFFF"/>
            <w:noWrap/>
            <w:vAlign w:val="bottom"/>
            <w:hideMark/>
          </w:tcPr>
          <w:p w14:paraId="39BF653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975</w:t>
            </w:r>
          </w:p>
        </w:tc>
        <w:tc>
          <w:tcPr>
            <w:tcW w:w="716" w:type="pct"/>
            <w:tcBorders>
              <w:top w:val="nil"/>
              <w:left w:val="nil"/>
              <w:bottom w:val="nil"/>
              <w:right w:val="nil"/>
            </w:tcBorders>
            <w:shd w:val="clear" w:color="000000" w:fill="FFFFFF"/>
            <w:noWrap/>
            <w:vAlign w:val="bottom"/>
            <w:hideMark/>
          </w:tcPr>
          <w:p w14:paraId="7E9A252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3,542</w:t>
            </w:r>
          </w:p>
        </w:tc>
        <w:tc>
          <w:tcPr>
            <w:tcW w:w="716" w:type="pct"/>
            <w:tcBorders>
              <w:top w:val="nil"/>
              <w:left w:val="nil"/>
              <w:bottom w:val="nil"/>
              <w:right w:val="nil"/>
            </w:tcBorders>
            <w:shd w:val="clear" w:color="000000" w:fill="FFFFFF"/>
            <w:noWrap/>
            <w:vAlign w:val="bottom"/>
            <w:hideMark/>
          </w:tcPr>
          <w:p w14:paraId="7A910C68"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27.5%</w:t>
            </w:r>
          </w:p>
        </w:tc>
        <w:tc>
          <w:tcPr>
            <w:tcW w:w="716" w:type="pct"/>
            <w:tcBorders>
              <w:top w:val="nil"/>
              <w:left w:val="nil"/>
              <w:bottom w:val="nil"/>
              <w:right w:val="nil"/>
            </w:tcBorders>
            <w:shd w:val="clear" w:color="000000" w:fill="FFFFFF"/>
            <w:noWrap/>
            <w:vAlign w:val="bottom"/>
            <w:hideMark/>
          </w:tcPr>
          <w:p w14:paraId="2995E2B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32,413</w:t>
            </w:r>
          </w:p>
        </w:tc>
        <w:tc>
          <w:tcPr>
            <w:tcW w:w="716" w:type="pct"/>
            <w:tcBorders>
              <w:top w:val="nil"/>
              <w:left w:val="nil"/>
              <w:bottom w:val="nil"/>
              <w:right w:val="nil"/>
            </w:tcBorders>
            <w:shd w:val="clear" w:color="000000" w:fill="FFFFFF"/>
            <w:noWrap/>
            <w:vAlign w:val="bottom"/>
            <w:hideMark/>
          </w:tcPr>
          <w:p w14:paraId="7626BCA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652,206</w:t>
            </w:r>
          </w:p>
        </w:tc>
        <w:tc>
          <w:tcPr>
            <w:tcW w:w="716" w:type="pct"/>
            <w:tcBorders>
              <w:top w:val="nil"/>
              <w:left w:val="nil"/>
              <w:bottom w:val="nil"/>
              <w:right w:val="single" w:sz="8" w:space="0" w:color="auto"/>
            </w:tcBorders>
            <w:shd w:val="clear" w:color="000000" w:fill="FFFFFF"/>
            <w:noWrap/>
            <w:vAlign w:val="bottom"/>
            <w:hideMark/>
          </w:tcPr>
          <w:p w14:paraId="472115E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5.0%</w:t>
            </w:r>
          </w:p>
        </w:tc>
      </w:tr>
      <w:tr w:rsidR="007A6A1A" w:rsidRPr="00167CB8" w14:paraId="7FA963E4" w14:textId="77777777">
        <w:trPr>
          <w:cantSplit/>
          <w:trHeight w:val="300"/>
        </w:trPr>
        <w:tc>
          <w:tcPr>
            <w:tcW w:w="703" w:type="pct"/>
            <w:tcBorders>
              <w:top w:val="nil"/>
              <w:left w:val="single" w:sz="8" w:space="0" w:color="auto"/>
              <w:bottom w:val="nil"/>
              <w:right w:val="nil"/>
            </w:tcBorders>
            <w:shd w:val="clear" w:color="C0E6F5" w:fill="FFFFFF"/>
            <w:noWrap/>
            <w:hideMark/>
          </w:tcPr>
          <w:p w14:paraId="00C1B21B"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2018</w:t>
            </w:r>
          </w:p>
        </w:tc>
        <w:tc>
          <w:tcPr>
            <w:tcW w:w="716" w:type="pct"/>
            <w:tcBorders>
              <w:top w:val="nil"/>
              <w:left w:val="nil"/>
              <w:bottom w:val="nil"/>
              <w:right w:val="nil"/>
            </w:tcBorders>
            <w:shd w:val="clear" w:color="000000" w:fill="FFFFFF"/>
            <w:noWrap/>
            <w:vAlign w:val="bottom"/>
            <w:hideMark/>
          </w:tcPr>
          <w:p w14:paraId="21DA658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865</w:t>
            </w:r>
          </w:p>
        </w:tc>
        <w:tc>
          <w:tcPr>
            <w:tcW w:w="716" w:type="pct"/>
            <w:tcBorders>
              <w:top w:val="nil"/>
              <w:left w:val="nil"/>
              <w:bottom w:val="nil"/>
              <w:right w:val="nil"/>
            </w:tcBorders>
            <w:shd w:val="clear" w:color="000000" w:fill="FFFFFF"/>
            <w:noWrap/>
            <w:vAlign w:val="bottom"/>
            <w:hideMark/>
          </w:tcPr>
          <w:p w14:paraId="52762DA8"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3,864</w:t>
            </w:r>
          </w:p>
        </w:tc>
        <w:tc>
          <w:tcPr>
            <w:tcW w:w="716" w:type="pct"/>
            <w:tcBorders>
              <w:top w:val="nil"/>
              <w:left w:val="nil"/>
              <w:bottom w:val="nil"/>
              <w:right w:val="nil"/>
            </w:tcBorders>
            <w:shd w:val="clear" w:color="000000" w:fill="FFFFFF"/>
            <w:noWrap/>
            <w:vAlign w:val="bottom"/>
            <w:hideMark/>
          </w:tcPr>
          <w:p w14:paraId="1AC2792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22.4%</w:t>
            </w:r>
          </w:p>
        </w:tc>
        <w:tc>
          <w:tcPr>
            <w:tcW w:w="716" w:type="pct"/>
            <w:tcBorders>
              <w:top w:val="nil"/>
              <w:left w:val="nil"/>
              <w:bottom w:val="nil"/>
              <w:right w:val="nil"/>
            </w:tcBorders>
            <w:shd w:val="clear" w:color="000000" w:fill="FFFFFF"/>
            <w:noWrap/>
            <w:vAlign w:val="bottom"/>
            <w:hideMark/>
          </w:tcPr>
          <w:p w14:paraId="31AEE41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25,547</w:t>
            </w:r>
          </w:p>
        </w:tc>
        <w:tc>
          <w:tcPr>
            <w:tcW w:w="716" w:type="pct"/>
            <w:tcBorders>
              <w:top w:val="nil"/>
              <w:left w:val="nil"/>
              <w:bottom w:val="nil"/>
              <w:right w:val="nil"/>
            </w:tcBorders>
            <w:shd w:val="clear" w:color="000000" w:fill="FFFFFF"/>
            <w:noWrap/>
            <w:vAlign w:val="bottom"/>
            <w:hideMark/>
          </w:tcPr>
          <w:p w14:paraId="1D708000"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669,010</w:t>
            </w:r>
          </w:p>
        </w:tc>
        <w:tc>
          <w:tcPr>
            <w:tcW w:w="716" w:type="pct"/>
            <w:tcBorders>
              <w:top w:val="nil"/>
              <w:left w:val="nil"/>
              <w:bottom w:val="nil"/>
              <w:right w:val="single" w:sz="8" w:space="0" w:color="auto"/>
            </w:tcBorders>
            <w:shd w:val="clear" w:color="000000" w:fill="FFFFFF"/>
            <w:noWrap/>
            <w:vAlign w:val="bottom"/>
            <w:hideMark/>
          </w:tcPr>
          <w:p w14:paraId="7FEB4455"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3.8%</w:t>
            </w:r>
          </w:p>
        </w:tc>
      </w:tr>
      <w:tr w:rsidR="007A6A1A" w:rsidRPr="00167CB8" w14:paraId="109AEB3D" w14:textId="77777777">
        <w:trPr>
          <w:cantSplit/>
          <w:trHeight w:val="300"/>
        </w:trPr>
        <w:tc>
          <w:tcPr>
            <w:tcW w:w="703" w:type="pct"/>
            <w:tcBorders>
              <w:top w:val="nil"/>
              <w:left w:val="single" w:sz="8" w:space="0" w:color="auto"/>
              <w:bottom w:val="nil"/>
              <w:right w:val="nil"/>
            </w:tcBorders>
            <w:shd w:val="clear" w:color="C0E6F5" w:fill="FFFFFF"/>
            <w:noWrap/>
            <w:hideMark/>
          </w:tcPr>
          <w:p w14:paraId="206A1B24"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2019</w:t>
            </w:r>
          </w:p>
        </w:tc>
        <w:tc>
          <w:tcPr>
            <w:tcW w:w="716" w:type="pct"/>
            <w:tcBorders>
              <w:top w:val="nil"/>
              <w:left w:val="nil"/>
              <w:bottom w:val="nil"/>
              <w:right w:val="nil"/>
            </w:tcBorders>
            <w:shd w:val="clear" w:color="000000" w:fill="FFFFFF"/>
            <w:noWrap/>
            <w:vAlign w:val="bottom"/>
            <w:hideMark/>
          </w:tcPr>
          <w:p w14:paraId="219FEA8E"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1,439</w:t>
            </w:r>
          </w:p>
        </w:tc>
        <w:tc>
          <w:tcPr>
            <w:tcW w:w="716" w:type="pct"/>
            <w:tcBorders>
              <w:top w:val="nil"/>
              <w:left w:val="nil"/>
              <w:bottom w:val="nil"/>
              <w:right w:val="nil"/>
            </w:tcBorders>
            <w:shd w:val="clear" w:color="000000" w:fill="FFFFFF"/>
            <w:noWrap/>
            <w:vAlign w:val="bottom"/>
            <w:hideMark/>
          </w:tcPr>
          <w:p w14:paraId="0EF5FF17"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5,283</w:t>
            </w:r>
          </w:p>
        </w:tc>
        <w:tc>
          <w:tcPr>
            <w:tcW w:w="716" w:type="pct"/>
            <w:tcBorders>
              <w:top w:val="nil"/>
              <w:left w:val="nil"/>
              <w:bottom w:val="nil"/>
              <w:right w:val="nil"/>
            </w:tcBorders>
            <w:shd w:val="clear" w:color="000000" w:fill="FFFFFF"/>
            <w:noWrap/>
            <w:vAlign w:val="bottom"/>
            <w:hideMark/>
          </w:tcPr>
          <w:p w14:paraId="0E47BCFF"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27.2%</w:t>
            </w:r>
          </w:p>
        </w:tc>
        <w:tc>
          <w:tcPr>
            <w:tcW w:w="716" w:type="pct"/>
            <w:tcBorders>
              <w:top w:val="nil"/>
              <w:left w:val="nil"/>
              <w:bottom w:val="nil"/>
              <w:right w:val="nil"/>
            </w:tcBorders>
            <w:shd w:val="clear" w:color="000000" w:fill="FFFFFF"/>
            <w:noWrap/>
            <w:vAlign w:val="bottom"/>
            <w:hideMark/>
          </w:tcPr>
          <w:p w14:paraId="712A397B"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48,641</w:t>
            </w:r>
          </w:p>
        </w:tc>
        <w:tc>
          <w:tcPr>
            <w:tcW w:w="716" w:type="pct"/>
            <w:tcBorders>
              <w:top w:val="nil"/>
              <w:left w:val="nil"/>
              <w:bottom w:val="nil"/>
              <w:right w:val="nil"/>
            </w:tcBorders>
            <w:shd w:val="clear" w:color="000000" w:fill="FFFFFF"/>
            <w:noWrap/>
            <w:vAlign w:val="bottom"/>
            <w:hideMark/>
          </w:tcPr>
          <w:p w14:paraId="7BEC2262"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933,338</w:t>
            </w:r>
          </w:p>
        </w:tc>
        <w:tc>
          <w:tcPr>
            <w:tcW w:w="716" w:type="pct"/>
            <w:tcBorders>
              <w:top w:val="nil"/>
              <w:left w:val="nil"/>
              <w:bottom w:val="nil"/>
              <w:right w:val="single" w:sz="8" w:space="0" w:color="auto"/>
            </w:tcBorders>
            <w:shd w:val="clear" w:color="000000" w:fill="FFFFFF"/>
            <w:noWrap/>
            <w:vAlign w:val="bottom"/>
            <w:hideMark/>
          </w:tcPr>
          <w:p w14:paraId="2CF00FCD"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5.2%</w:t>
            </w:r>
          </w:p>
        </w:tc>
      </w:tr>
      <w:tr w:rsidR="007A6A1A" w:rsidRPr="00167CB8" w14:paraId="168C3A18" w14:textId="77777777">
        <w:trPr>
          <w:cantSplit/>
          <w:trHeight w:val="300"/>
        </w:trPr>
        <w:tc>
          <w:tcPr>
            <w:tcW w:w="703" w:type="pct"/>
            <w:tcBorders>
              <w:top w:val="nil"/>
              <w:left w:val="single" w:sz="8" w:space="0" w:color="auto"/>
              <w:bottom w:val="nil"/>
              <w:right w:val="nil"/>
            </w:tcBorders>
            <w:shd w:val="clear" w:color="C0E6F5" w:fill="FFFFFF"/>
            <w:noWrap/>
            <w:hideMark/>
          </w:tcPr>
          <w:p w14:paraId="223F4CBE"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2020</w:t>
            </w:r>
          </w:p>
        </w:tc>
        <w:tc>
          <w:tcPr>
            <w:tcW w:w="716" w:type="pct"/>
            <w:tcBorders>
              <w:top w:val="nil"/>
              <w:left w:val="nil"/>
              <w:bottom w:val="nil"/>
              <w:right w:val="nil"/>
            </w:tcBorders>
            <w:shd w:val="clear" w:color="000000" w:fill="FFFFFF"/>
            <w:noWrap/>
            <w:vAlign w:val="bottom"/>
            <w:hideMark/>
          </w:tcPr>
          <w:p w14:paraId="716FD6B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734</w:t>
            </w:r>
          </w:p>
        </w:tc>
        <w:tc>
          <w:tcPr>
            <w:tcW w:w="716" w:type="pct"/>
            <w:tcBorders>
              <w:top w:val="nil"/>
              <w:left w:val="nil"/>
              <w:bottom w:val="nil"/>
              <w:right w:val="nil"/>
            </w:tcBorders>
            <w:shd w:val="clear" w:color="000000" w:fill="FFFFFF"/>
            <w:noWrap/>
            <w:vAlign w:val="bottom"/>
            <w:hideMark/>
          </w:tcPr>
          <w:p w14:paraId="6A8DCF9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3,281</w:t>
            </w:r>
          </w:p>
        </w:tc>
        <w:tc>
          <w:tcPr>
            <w:tcW w:w="716" w:type="pct"/>
            <w:tcBorders>
              <w:top w:val="nil"/>
              <w:left w:val="nil"/>
              <w:bottom w:val="nil"/>
              <w:right w:val="nil"/>
            </w:tcBorders>
            <w:shd w:val="clear" w:color="000000" w:fill="FFFFFF"/>
            <w:noWrap/>
            <w:vAlign w:val="bottom"/>
            <w:hideMark/>
          </w:tcPr>
          <w:p w14:paraId="5D62109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22.4%</w:t>
            </w:r>
          </w:p>
        </w:tc>
        <w:tc>
          <w:tcPr>
            <w:tcW w:w="716" w:type="pct"/>
            <w:tcBorders>
              <w:top w:val="nil"/>
              <w:left w:val="nil"/>
              <w:bottom w:val="nil"/>
              <w:right w:val="nil"/>
            </w:tcBorders>
            <w:shd w:val="clear" w:color="000000" w:fill="FFFFFF"/>
            <w:noWrap/>
            <w:vAlign w:val="bottom"/>
            <w:hideMark/>
          </w:tcPr>
          <w:p w14:paraId="1623ACA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23,159</w:t>
            </w:r>
          </w:p>
        </w:tc>
        <w:tc>
          <w:tcPr>
            <w:tcW w:w="716" w:type="pct"/>
            <w:tcBorders>
              <w:top w:val="nil"/>
              <w:left w:val="nil"/>
              <w:bottom w:val="nil"/>
              <w:right w:val="nil"/>
            </w:tcBorders>
            <w:shd w:val="clear" w:color="000000" w:fill="FFFFFF"/>
            <w:noWrap/>
            <w:vAlign w:val="bottom"/>
            <w:hideMark/>
          </w:tcPr>
          <w:p w14:paraId="71A2574E"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521,559</w:t>
            </w:r>
          </w:p>
        </w:tc>
        <w:tc>
          <w:tcPr>
            <w:tcW w:w="716" w:type="pct"/>
            <w:tcBorders>
              <w:top w:val="nil"/>
              <w:left w:val="nil"/>
              <w:bottom w:val="nil"/>
              <w:right w:val="single" w:sz="8" w:space="0" w:color="auto"/>
            </w:tcBorders>
            <w:shd w:val="clear" w:color="000000" w:fill="FFFFFF"/>
            <w:noWrap/>
            <w:vAlign w:val="bottom"/>
            <w:hideMark/>
          </w:tcPr>
          <w:p w14:paraId="7BFC3BB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4.4%</w:t>
            </w:r>
          </w:p>
        </w:tc>
      </w:tr>
      <w:tr w:rsidR="007A6A1A" w:rsidRPr="00167CB8" w14:paraId="627D4BAB" w14:textId="77777777">
        <w:trPr>
          <w:cantSplit/>
          <w:trHeight w:val="300"/>
        </w:trPr>
        <w:tc>
          <w:tcPr>
            <w:tcW w:w="703" w:type="pct"/>
            <w:tcBorders>
              <w:top w:val="nil"/>
              <w:left w:val="single" w:sz="8" w:space="0" w:color="auto"/>
              <w:bottom w:val="nil"/>
              <w:right w:val="nil"/>
            </w:tcBorders>
            <w:shd w:val="clear" w:color="C0E6F5" w:fill="FFFFFF"/>
            <w:noWrap/>
            <w:hideMark/>
          </w:tcPr>
          <w:p w14:paraId="1C9D775F"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2021</w:t>
            </w:r>
          </w:p>
        </w:tc>
        <w:tc>
          <w:tcPr>
            <w:tcW w:w="716" w:type="pct"/>
            <w:tcBorders>
              <w:top w:val="nil"/>
              <w:left w:val="nil"/>
              <w:bottom w:val="nil"/>
              <w:right w:val="nil"/>
            </w:tcBorders>
            <w:shd w:val="clear" w:color="000000" w:fill="FFFFFF"/>
            <w:noWrap/>
            <w:vAlign w:val="bottom"/>
            <w:hideMark/>
          </w:tcPr>
          <w:p w14:paraId="5FF94A6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793</w:t>
            </w:r>
          </w:p>
        </w:tc>
        <w:tc>
          <w:tcPr>
            <w:tcW w:w="716" w:type="pct"/>
            <w:tcBorders>
              <w:top w:val="nil"/>
              <w:left w:val="nil"/>
              <w:bottom w:val="nil"/>
              <w:right w:val="nil"/>
            </w:tcBorders>
            <w:shd w:val="clear" w:color="000000" w:fill="FFFFFF"/>
            <w:noWrap/>
            <w:vAlign w:val="bottom"/>
            <w:hideMark/>
          </w:tcPr>
          <w:p w14:paraId="79A76764"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4,363</w:t>
            </w:r>
          </w:p>
        </w:tc>
        <w:tc>
          <w:tcPr>
            <w:tcW w:w="716" w:type="pct"/>
            <w:tcBorders>
              <w:top w:val="nil"/>
              <w:left w:val="nil"/>
              <w:bottom w:val="nil"/>
              <w:right w:val="nil"/>
            </w:tcBorders>
            <w:shd w:val="clear" w:color="000000" w:fill="FFFFFF"/>
            <w:noWrap/>
            <w:vAlign w:val="bottom"/>
            <w:hideMark/>
          </w:tcPr>
          <w:p w14:paraId="263666B5"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18.2%</w:t>
            </w:r>
          </w:p>
        </w:tc>
        <w:tc>
          <w:tcPr>
            <w:tcW w:w="716" w:type="pct"/>
            <w:tcBorders>
              <w:top w:val="nil"/>
              <w:left w:val="nil"/>
              <w:bottom w:val="nil"/>
              <w:right w:val="nil"/>
            </w:tcBorders>
            <w:shd w:val="clear" w:color="000000" w:fill="FFFFFF"/>
            <w:noWrap/>
            <w:vAlign w:val="bottom"/>
            <w:hideMark/>
          </w:tcPr>
          <w:p w14:paraId="100EFF8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29,944</w:t>
            </w:r>
          </w:p>
        </w:tc>
        <w:tc>
          <w:tcPr>
            <w:tcW w:w="716" w:type="pct"/>
            <w:tcBorders>
              <w:top w:val="nil"/>
              <w:left w:val="nil"/>
              <w:bottom w:val="nil"/>
              <w:right w:val="nil"/>
            </w:tcBorders>
            <w:shd w:val="clear" w:color="000000" w:fill="FFFFFF"/>
            <w:noWrap/>
            <w:vAlign w:val="bottom"/>
            <w:hideMark/>
          </w:tcPr>
          <w:p w14:paraId="2A6CB1DC"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546,472</w:t>
            </w:r>
          </w:p>
        </w:tc>
        <w:tc>
          <w:tcPr>
            <w:tcW w:w="716" w:type="pct"/>
            <w:tcBorders>
              <w:top w:val="nil"/>
              <w:left w:val="nil"/>
              <w:bottom w:val="nil"/>
              <w:right w:val="single" w:sz="8" w:space="0" w:color="auto"/>
            </w:tcBorders>
            <w:shd w:val="clear" w:color="000000" w:fill="FFFFFF"/>
            <w:noWrap/>
            <w:vAlign w:val="bottom"/>
            <w:hideMark/>
          </w:tcPr>
          <w:p w14:paraId="26F00F07"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5.5%</w:t>
            </w:r>
          </w:p>
        </w:tc>
      </w:tr>
      <w:tr w:rsidR="007A6A1A" w:rsidRPr="00167CB8" w14:paraId="4061C33D" w14:textId="77777777">
        <w:trPr>
          <w:cantSplit/>
          <w:trHeight w:val="300"/>
        </w:trPr>
        <w:tc>
          <w:tcPr>
            <w:tcW w:w="703" w:type="pct"/>
            <w:tcBorders>
              <w:top w:val="nil"/>
              <w:left w:val="single" w:sz="8" w:space="0" w:color="auto"/>
              <w:bottom w:val="nil"/>
              <w:right w:val="nil"/>
            </w:tcBorders>
            <w:shd w:val="clear" w:color="C0E6F5" w:fill="FFFFFF"/>
            <w:noWrap/>
            <w:hideMark/>
          </w:tcPr>
          <w:p w14:paraId="7BCCCDF0"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2022</w:t>
            </w:r>
          </w:p>
        </w:tc>
        <w:tc>
          <w:tcPr>
            <w:tcW w:w="716" w:type="pct"/>
            <w:tcBorders>
              <w:top w:val="nil"/>
              <w:left w:val="nil"/>
              <w:bottom w:val="nil"/>
              <w:right w:val="nil"/>
            </w:tcBorders>
            <w:shd w:val="clear" w:color="000000" w:fill="FFFFFF"/>
            <w:noWrap/>
            <w:vAlign w:val="bottom"/>
            <w:hideMark/>
          </w:tcPr>
          <w:p w14:paraId="7B0562D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797</w:t>
            </w:r>
          </w:p>
        </w:tc>
        <w:tc>
          <w:tcPr>
            <w:tcW w:w="716" w:type="pct"/>
            <w:tcBorders>
              <w:top w:val="nil"/>
              <w:left w:val="nil"/>
              <w:bottom w:val="nil"/>
              <w:right w:val="nil"/>
            </w:tcBorders>
            <w:shd w:val="clear" w:color="000000" w:fill="FFFFFF"/>
            <w:noWrap/>
            <w:vAlign w:val="bottom"/>
            <w:hideMark/>
          </w:tcPr>
          <w:p w14:paraId="18AD358F"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4,166</w:t>
            </w:r>
          </w:p>
        </w:tc>
        <w:tc>
          <w:tcPr>
            <w:tcW w:w="716" w:type="pct"/>
            <w:tcBorders>
              <w:top w:val="nil"/>
              <w:left w:val="nil"/>
              <w:bottom w:val="nil"/>
              <w:right w:val="nil"/>
            </w:tcBorders>
            <w:shd w:val="clear" w:color="000000" w:fill="FFFFFF"/>
            <w:noWrap/>
            <w:vAlign w:val="bottom"/>
            <w:hideMark/>
          </w:tcPr>
          <w:p w14:paraId="47EC80FF"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19.1%</w:t>
            </w:r>
          </w:p>
        </w:tc>
        <w:tc>
          <w:tcPr>
            <w:tcW w:w="716" w:type="pct"/>
            <w:tcBorders>
              <w:top w:val="nil"/>
              <w:left w:val="nil"/>
              <w:bottom w:val="nil"/>
              <w:right w:val="nil"/>
            </w:tcBorders>
            <w:shd w:val="clear" w:color="000000" w:fill="FFFFFF"/>
            <w:noWrap/>
            <w:vAlign w:val="bottom"/>
            <w:hideMark/>
          </w:tcPr>
          <w:p w14:paraId="571D8C8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30,913</w:t>
            </w:r>
          </w:p>
        </w:tc>
        <w:tc>
          <w:tcPr>
            <w:tcW w:w="716" w:type="pct"/>
            <w:tcBorders>
              <w:top w:val="nil"/>
              <w:left w:val="nil"/>
              <w:bottom w:val="nil"/>
              <w:right w:val="nil"/>
            </w:tcBorders>
            <w:shd w:val="clear" w:color="000000" w:fill="FFFFFF"/>
            <w:noWrap/>
            <w:vAlign w:val="bottom"/>
            <w:hideMark/>
          </w:tcPr>
          <w:p w14:paraId="23A410D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837,696</w:t>
            </w:r>
          </w:p>
        </w:tc>
        <w:tc>
          <w:tcPr>
            <w:tcW w:w="716" w:type="pct"/>
            <w:tcBorders>
              <w:top w:val="nil"/>
              <w:left w:val="nil"/>
              <w:bottom w:val="nil"/>
              <w:right w:val="single" w:sz="8" w:space="0" w:color="auto"/>
            </w:tcBorders>
            <w:shd w:val="clear" w:color="000000" w:fill="FFFFFF"/>
            <w:noWrap/>
            <w:vAlign w:val="bottom"/>
            <w:hideMark/>
          </w:tcPr>
          <w:p w14:paraId="68272275"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3.7%</w:t>
            </w:r>
          </w:p>
        </w:tc>
      </w:tr>
      <w:tr w:rsidR="007A6A1A" w:rsidRPr="00167CB8" w14:paraId="3C87C4B3" w14:textId="77777777">
        <w:trPr>
          <w:cantSplit/>
          <w:trHeight w:val="300"/>
        </w:trPr>
        <w:tc>
          <w:tcPr>
            <w:tcW w:w="703" w:type="pct"/>
            <w:tcBorders>
              <w:top w:val="nil"/>
              <w:left w:val="single" w:sz="8" w:space="0" w:color="auto"/>
              <w:bottom w:val="nil"/>
              <w:right w:val="nil"/>
            </w:tcBorders>
            <w:shd w:val="clear" w:color="C0E6F5" w:fill="FFFFFF"/>
            <w:noWrap/>
            <w:hideMark/>
          </w:tcPr>
          <w:p w14:paraId="018BC1BF"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2023</w:t>
            </w:r>
          </w:p>
        </w:tc>
        <w:tc>
          <w:tcPr>
            <w:tcW w:w="716" w:type="pct"/>
            <w:tcBorders>
              <w:top w:val="nil"/>
              <w:left w:val="nil"/>
              <w:bottom w:val="nil"/>
              <w:right w:val="nil"/>
            </w:tcBorders>
            <w:shd w:val="clear" w:color="000000" w:fill="FFFFFF"/>
            <w:noWrap/>
            <w:vAlign w:val="bottom"/>
            <w:hideMark/>
          </w:tcPr>
          <w:p w14:paraId="699473E8"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919</w:t>
            </w:r>
          </w:p>
        </w:tc>
        <w:tc>
          <w:tcPr>
            <w:tcW w:w="716" w:type="pct"/>
            <w:tcBorders>
              <w:top w:val="nil"/>
              <w:left w:val="nil"/>
              <w:bottom w:val="nil"/>
              <w:right w:val="nil"/>
            </w:tcBorders>
            <w:shd w:val="clear" w:color="000000" w:fill="FFFFFF"/>
            <w:noWrap/>
            <w:vAlign w:val="bottom"/>
            <w:hideMark/>
          </w:tcPr>
          <w:p w14:paraId="7F2F7BF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4,111</w:t>
            </w:r>
          </w:p>
        </w:tc>
        <w:tc>
          <w:tcPr>
            <w:tcW w:w="716" w:type="pct"/>
            <w:tcBorders>
              <w:top w:val="nil"/>
              <w:left w:val="nil"/>
              <w:bottom w:val="nil"/>
              <w:right w:val="nil"/>
            </w:tcBorders>
            <w:shd w:val="clear" w:color="000000" w:fill="FFFFFF"/>
            <w:noWrap/>
            <w:vAlign w:val="bottom"/>
            <w:hideMark/>
          </w:tcPr>
          <w:p w14:paraId="5BB3EBF4"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22.4%</w:t>
            </w:r>
          </w:p>
        </w:tc>
        <w:tc>
          <w:tcPr>
            <w:tcW w:w="716" w:type="pct"/>
            <w:tcBorders>
              <w:top w:val="nil"/>
              <w:left w:val="nil"/>
              <w:bottom w:val="nil"/>
              <w:right w:val="nil"/>
            </w:tcBorders>
            <w:shd w:val="clear" w:color="000000" w:fill="FFFFFF"/>
            <w:noWrap/>
            <w:vAlign w:val="bottom"/>
            <w:hideMark/>
          </w:tcPr>
          <w:p w14:paraId="206FCA15"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50,629</w:t>
            </w:r>
          </w:p>
        </w:tc>
        <w:tc>
          <w:tcPr>
            <w:tcW w:w="716" w:type="pct"/>
            <w:tcBorders>
              <w:top w:val="nil"/>
              <w:left w:val="nil"/>
              <w:bottom w:val="nil"/>
              <w:right w:val="nil"/>
            </w:tcBorders>
            <w:shd w:val="clear" w:color="000000" w:fill="FFFFFF"/>
            <w:noWrap/>
            <w:vAlign w:val="bottom"/>
            <w:hideMark/>
          </w:tcPr>
          <w:p w14:paraId="7BA8445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843,182</w:t>
            </w:r>
          </w:p>
        </w:tc>
        <w:tc>
          <w:tcPr>
            <w:tcW w:w="716" w:type="pct"/>
            <w:tcBorders>
              <w:top w:val="nil"/>
              <w:left w:val="nil"/>
              <w:bottom w:val="nil"/>
              <w:right w:val="single" w:sz="8" w:space="0" w:color="auto"/>
            </w:tcBorders>
            <w:shd w:val="clear" w:color="000000" w:fill="FFFFFF"/>
            <w:noWrap/>
            <w:vAlign w:val="bottom"/>
            <w:hideMark/>
          </w:tcPr>
          <w:p w14:paraId="0151DC94"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6.0%</w:t>
            </w:r>
          </w:p>
        </w:tc>
      </w:tr>
      <w:tr w:rsidR="007A6A1A" w:rsidRPr="00167CB8" w14:paraId="2735AB19" w14:textId="77777777">
        <w:trPr>
          <w:cantSplit/>
          <w:trHeight w:val="315"/>
        </w:trPr>
        <w:tc>
          <w:tcPr>
            <w:tcW w:w="703" w:type="pct"/>
            <w:tcBorders>
              <w:top w:val="nil"/>
              <w:left w:val="single" w:sz="8" w:space="0" w:color="auto"/>
              <w:bottom w:val="nil"/>
              <w:right w:val="nil"/>
            </w:tcBorders>
            <w:shd w:val="clear" w:color="C0E6F5" w:fill="FFFFFF"/>
            <w:noWrap/>
            <w:hideMark/>
          </w:tcPr>
          <w:p w14:paraId="3F91E3F1" w14:textId="77777777"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2024 (to Q3)</w:t>
            </w:r>
          </w:p>
        </w:tc>
        <w:tc>
          <w:tcPr>
            <w:tcW w:w="716" w:type="pct"/>
            <w:tcBorders>
              <w:top w:val="nil"/>
              <w:left w:val="nil"/>
              <w:bottom w:val="nil"/>
              <w:right w:val="nil"/>
            </w:tcBorders>
            <w:shd w:val="clear" w:color="000000" w:fill="FFFFFF"/>
            <w:noWrap/>
            <w:vAlign w:val="bottom"/>
            <w:hideMark/>
          </w:tcPr>
          <w:p w14:paraId="5AE25C7B"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610</w:t>
            </w:r>
          </w:p>
        </w:tc>
        <w:tc>
          <w:tcPr>
            <w:tcW w:w="716" w:type="pct"/>
            <w:tcBorders>
              <w:top w:val="nil"/>
              <w:left w:val="nil"/>
              <w:bottom w:val="nil"/>
              <w:right w:val="nil"/>
            </w:tcBorders>
            <w:shd w:val="clear" w:color="000000" w:fill="FFFFFF"/>
            <w:noWrap/>
            <w:vAlign w:val="bottom"/>
            <w:hideMark/>
          </w:tcPr>
          <w:p w14:paraId="3902C2E9"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3,158</w:t>
            </w:r>
          </w:p>
        </w:tc>
        <w:tc>
          <w:tcPr>
            <w:tcW w:w="716" w:type="pct"/>
            <w:tcBorders>
              <w:top w:val="nil"/>
              <w:left w:val="nil"/>
              <w:bottom w:val="nil"/>
              <w:right w:val="nil"/>
            </w:tcBorders>
            <w:shd w:val="clear" w:color="000000" w:fill="FFFFFF"/>
            <w:noWrap/>
            <w:vAlign w:val="bottom"/>
            <w:hideMark/>
          </w:tcPr>
          <w:p w14:paraId="39FC3186"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19.3%</w:t>
            </w:r>
          </w:p>
        </w:tc>
        <w:tc>
          <w:tcPr>
            <w:tcW w:w="716" w:type="pct"/>
            <w:tcBorders>
              <w:top w:val="nil"/>
              <w:left w:val="nil"/>
              <w:bottom w:val="nil"/>
              <w:right w:val="nil"/>
            </w:tcBorders>
            <w:shd w:val="clear" w:color="000000" w:fill="FFFFFF"/>
            <w:noWrap/>
            <w:vAlign w:val="bottom"/>
            <w:hideMark/>
          </w:tcPr>
          <w:p w14:paraId="1B04A318"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25,701</w:t>
            </w:r>
          </w:p>
        </w:tc>
        <w:tc>
          <w:tcPr>
            <w:tcW w:w="716" w:type="pct"/>
            <w:tcBorders>
              <w:top w:val="nil"/>
              <w:left w:val="nil"/>
              <w:bottom w:val="nil"/>
              <w:right w:val="nil"/>
            </w:tcBorders>
            <w:shd w:val="clear" w:color="000000" w:fill="FFFFFF"/>
            <w:noWrap/>
            <w:vAlign w:val="bottom"/>
            <w:hideMark/>
          </w:tcPr>
          <w:p w14:paraId="1BF19927"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981,437</w:t>
            </w:r>
          </w:p>
        </w:tc>
        <w:tc>
          <w:tcPr>
            <w:tcW w:w="716" w:type="pct"/>
            <w:tcBorders>
              <w:top w:val="nil"/>
              <w:left w:val="nil"/>
              <w:bottom w:val="nil"/>
              <w:right w:val="single" w:sz="8" w:space="0" w:color="auto"/>
            </w:tcBorders>
            <w:shd w:val="clear" w:color="000000" w:fill="FFFFFF"/>
            <w:noWrap/>
            <w:vAlign w:val="bottom"/>
            <w:hideMark/>
          </w:tcPr>
          <w:p w14:paraId="1E8D20F2"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2.6%</w:t>
            </w:r>
          </w:p>
        </w:tc>
      </w:tr>
      <w:tr w:rsidR="007A6A1A" w:rsidRPr="00167CB8" w14:paraId="1568AB55" w14:textId="77777777">
        <w:trPr>
          <w:cantSplit/>
          <w:trHeight w:val="300"/>
        </w:trPr>
        <w:tc>
          <w:tcPr>
            <w:tcW w:w="703" w:type="pct"/>
            <w:tcBorders>
              <w:top w:val="single" w:sz="8" w:space="0" w:color="auto"/>
              <w:left w:val="single" w:sz="8" w:space="0" w:color="auto"/>
              <w:bottom w:val="nil"/>
              <w:right w:val="nil"/>
            </w:tcBorders>
            <w:shd w:val="clear" w:color="000000" w:fill="FFFFFF"/>
            <w:noWrap/>
            <w:hideMark/>
          </w:tcPr>
          <w:p w14:paraId="50F1A6FD" w14:textId="3A7269BA"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Total 2012</w:t>
            </w:r>
            <w:r w:rsidR="000D5139"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2023</w:t>
            </w:r>
          </w:p>
        </w:tc>
        <w:tc>
          <w:tcPr>
            <w:tcW w:w="716" w:type="pct"/>
            <w:tcBorders>
              <w:top w:val="single" w:sz="8" w:space="0" w:color="auto"/>
              <w:left w:val="nil"/>
              <w:bottom w:val="nil"/>
              <w:right w:val="nil"/>
            </w:tcBorders>
            <w:shd w:val="clear" w:color="000000" w:fill="FFFFFF"/>
            <w:noWrap/>
            <w:vAlign w:val="bottom"/>
            <w:hideMark/>
          </w:tcPr>
          <w:p w14:paraId="61A007A2"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15,450</w:t>
            </w:r>
          </w:p>
        </w:tc>
        <w:tc>
          <w:tcPr>
            <w:tcW w:w="716" w:type="pct"/>
            <w:tcBorders>
              <w:top w:val="single" w:sz="8" w:space="0" w:color="auto"/>
              <w:left w:val="nil"/>
              <w:bottom w:val="nil"/>
              <w:right w:val="nil"/>
            </w:tcBorders>
            <w:shd w:val="clear" w:color="000000" w:fill="FFFFFF"/>
            <w:noWrap/>
            <w:vAlign w:val="bottom"/>
            <w:hideMark/>
          </w:tcPr>
          <w:p w14:paraId="5351B5E1"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61,626</w:t>
            </w:r>
          </w:p>
        </w:tc>
        <w:tc>
          <w:tcPr>
            <w:tcW w:w="716" w:type="pct"/>
            <w:tcBorders>
              <w:top w:val="single" w:sz="8" w:space="0" w:color="auto"/>
              <w:left w:val="nil"/>
              <w:bottom w:val="nil"/>
              <w:right w:val="nil"/>
            </w:tcBorders>
            <w:shd w:val="clear" w:color="000000" w:fill="FFFFFF"/>
            <w:noWrap/>
            <w:vAlign w:val="bottom"/>
            <w:hideMark/>
          </w:tcPr>
          <w:p w14:paraId="00BB656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25.1%</w:t>
            </w:r>
          </w:p>
        </w:tc>
        <w:tc>
          <w:tcPr>
            <w:tcW w:w="716" w:type="pct"/>
            <w:tcBorders>
              <w:top w:val="single" w:sz="8" w:space="0" w:color="auto"/>
              <w:left w:val="nil"/>
              <w:bottom w:val="nil"/>
              <w:right w:val="nil"/>
            </w:tcBorders>
            <w:shd w:val="clear" w:color="000000" w:fill="FFFFFF"/>
            <w:noWrap/>
            <w:vAlign w:val="bottom"/>
            <w:hideMark/>
          </w:tcPr>
          <w:p w14:paraId="302D48F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555,763</w:t>
            </w:r>
          </w:p>
        </w:tc>
        <w:tc>
          <w:tcPr>
            <w:tcW w:w="716" w:type="pct"/>
            <w:tcBorders>
              <w:top w:val="single" w:sz="8" w:space="0" w:color="auto"/>
              <w:left w:val="nil"/>
              <w:bottom w:val="nil"/>
              <w:right w:val="nil"/>
            </w:tcBorders>
            <w:shd w:val="clear" w:color="000000" w:fill="FFFFFF"/>
            <w:noWrap/>
            <w:vAlign w:val="bottom"/>
            <w:hideMark/>
          </w:tcPr>
          <w:p w14:paraId="545579A2"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9,694,035</w:t>
            </w:r>
          </w:p>
        </w:tc>
        <w:tc>
          <w:tcPr>
            <w:tcW w:w="716" w:type="pct"/>
            <w:tcBorders>
              <w:top w:val="single" w:sz="8" w:space="0" w:color="auto"/>
              <w:left w:val="nil"/>
              <w:bottom w:val="nil"/>
              <w:right w:val="single" w:sz="8" w:space="0" w:color="auto"/>
            </w:tcBorders>
            <w:shd w:val="clear" w:color="000000" w:fill="FFFFFF"/>
            <w:noWrap/>
            <w:vAlign w:val="bottom"/>
            <w:hideMark/>
          </w:tcPr>
          <w:p w14:paraId="6E2826E2"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5.7%</w:t>
            </w:r>
          </w:p>
        </w:tc>
      </w:tr>
      <w:tr w:rsidR="007A6A1A" w:rsidRPr="00167CB8" w14:paraId="799325C3" w14:textId="77777777">
        <w:trPr>
          <w:cantSplit/>
          <w:trHeight w:val="315"/>
        </w:trPr>
        <w:tc>
          <w:tcPr>
            <w:tcW w:w="703" w:type="pct"/>
            <w:tcBorders>
              <w:top w:val="nil"/>
              <w:left w:val="single" w:sz="8" w:space="0" w:color="auto"/>
              <w:bottom w:val="single" w:sz="8" w:space="0" w:color="auto"/>
              <w:right w:val="nil"/>
            </w:tcBorders>
            <w:shd w:val="clear" w:color="000000" w:fill="FFFFFF"/>
            <w:noWrap/>
            <w:hideMark/>
          </w:tcPr>
          <w:p w14:paraId="6B819FD6" w14:textId="524EE108" w:rsidR="007A6A1A" w:rsidRPr="00167CB8" w:rsidRDefault="007A6A1A" w:rsidP="007A6A1A">
            <w:pPr>
              <w:keepNext/>
              <w:spacing w:after="0" w:line="240" w:lineRule="auto"/>
              <w:rPr>
                <w:rFonts w:eastAsia="Times New Roman" w:cs="Calibri"/>
                <w:color w:val="000000"/>
                <w:sz w:val="20"/>
                <w:szCs w:val="20"/>
                <w:lang w:eastAsia="en-AU"/>
              </w:rPr>
            </w:pPr>
            <w:r w:rsidRPr="00167CB8">
              <w:rPr>
                <w:rFonts w:eastAsia="Times New Roman" w:cs="Calibri"/>
                <w:color w:val="000000"/>
                <w:sz w:val="20"/>
                <w:szCs w:val="20"/>
                <w:lang w:eastAsia="en-AU"/>
              </w:rPr>
              <w:t>Average 2012</w:t>
            </w:r>
            <w:r w:rsidR="000D5139" w:rsidRPr="00167CB8">
              <w:rPr>
                <w:rFonts w:ascii="Symbol" w:eastAsia="Symbol" w:hAnsi="Symbol" w:cs="Symbol"/>
                <w:color w:val="000000"/>
                <w:sz w:val="20"/>
                <w:szCs w:val="20"/>
                <w:lang w:eastAsia="en-AU"/>
              </w:rPr>
              <w:sym w:font="Symbol" w:char="F02D"/>
            </w:r>
            <w:r w:rsidRPr="00167CB8">
              <w:rPr>
                <w:rFonts w:eastAsia="Times New Roman" w:cs="Calibri"/>
                <w:color w:val="000000"/>
                <w:sz w:val="20"/>
                <w:szCs w:val="20"/>
                <w:lang w:eastAsia="en-AU"/>
              </w:rPr>
              <w:t>2023</w:t>
            </w:r>
          </w:p>
        </w:tc>
        <w:tc>
          <w:tcPr>
            <w:tcW w:w="716" w:type="pct"/>
            <w:tcBorders>
              <w:top w:val="nil"/>
              <w:left w:val="nil"/>
              <w:bottom w:val="single" w:sz="8" w:space="0" w:color="auto"/>
              <w:right w:val="nil"/>
            </w:tcBorders>
            <w:shd w:val="clear" w:color="000000" w:fill="FFFFFF"/>
            <w:noWrap/>
            <w:vAlign w:val="bottom"/>
            <w:hideMark/>
          </w:tcPr>
          <w:p w14:paraId="66DDCB47"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1,252</w:t>
            </w:r>
          </w:p>
        </w:tc>
        <w:tc>
          <w:tcPr>
            <w:tcW w:w="716" w:type="pct"/>
            <w:tcBorders>
              <w:top w:val="nil"/>
              <w:left w:val="nil"/>
              <w:bottom w:val="single" w:sz="8" w:space="0" w:color="auto"/>
              <w:right w:val="nil"/>
            </w:tcBorders>
            <w:shd w:val="clear" w:color="000000" w:fill="FFFFFF"/>
            <w:noWrap/>
            <w:vAlign w:val="bottom"/>
            <w:hideMark/>
          </w:tcPr>
          <w:p w14:paraId="65CC4A6B"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4,950</w:t>
            </w:r>
          </w:p>
        </w:tc>
        <w:tc>
          <w:tcPr>
            <w:tcW w:w="716" w:type="pct"/>
            <w:tcBorders>
              <w:top w:val="nil"/>
              <w:left w:val="nil"/>
              <w:bottom w:val="single" w:sz="8" w:space="0" w:color="auto"/>
              <w:right w:val="nil"/>
            </w:tcBorders>
            <w:shd w:val="clear" w:color="000000" w:fill="FFFFFF"/>
            <w:noWrap/>
            <w:vAlign w:val="bottom"/>
            <w:hideMark/>
          </w:tcPr>
          <w:p w14:paraId="694FCCB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25.3%</w:t>
            </w:r>
          </w:p>
        </w:tc>
        <w:tc>
          <w:tcPr>
            <w:tcW w:w="716" w:type="pct"/>
            <w:tcBorders>
              <w:top w:val="nil"/>
              <w:left w:val="nil"/>
              <w:bottom w:val="single" w:sz="8" w:space="0" w:color="auto"/>
              <w:right w:val="nil"/>
            </w:tcBorders>
            <w:shd w:val="clear" w:color="000000" w:fill="FFFFFF"/>
            <w:noWrap/>
            <w:vAlign w:val="bottom"/>
            <w:hideMark/>
          </w:tcPr>
          <w:p w14:paraId="356DDDF4"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44,884</w:t>
            </w:r>
          </w:p>
        </w:tc>
        <w:tc>
          <w:tcPr>
            <w:tcW w:w="716" w:type="pct"/>
            <w:tcBorders>
              <w:top w:val="nil"/>
              <w:left w:val="nil"/>
              <w:bottom w:val="single" w:sz="8" w:space="0" w:color="auto"/>
              <w:right w:val="nil"/>
            </w:tcBorders>
            <w:shd w:val="clear" w:color="000000" w:fill="FFFFFF"/>
            <w:noWrap/>
            <w:vAlign w:val="bottom"/>
            <w:hideMark/>
          </w:tcPr>
          <w:p w14:paraId="52E8A013"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754,470</w:t>
            </w:r>
          </w:p>
        </w:tc>
        <w:tc>
          <w:tcPr>
            <w:tcW w:w="716" w:type="pct"/>
            <w:tcBorders>
              <w:top w:val="nil"/>
              <w:left w:val="nil"/>
              <w:bottom w:val="single" w:sz="8" w:space="0" w:color="auto"/>
              <w:right w:val="single" w:sz="8" w:space="0" w:color="auto"/>
            </w:tcBorders>
            <w:shd w:val="clear" w:color="000000" w:fill="FFFFFF"/>
            <w:noWrap/>
            <w:vAlign w:val="bottom"/>
            <w:hideMark/>
          </w:tcPr>
          <w:p w14:paraId="4151C8DA" w14:textId="77777777" w:rsidR="007A6A1A" w:rsidRPr="00167CB8" w:rsidRDefault="007A6A1A" w:rsidP="007A6A1A">
            <w:pPr>
              <w:keepNext/>
              <w:spacing w:after="0" w:line="240" w:lineRule="auto"/>
              <w:jc w:val="right"/>
              <w:rPr>
                <w:rFonts w:eastAsia="Times New Roman" w:cs="Calibri"/>
                <w:color w:val="000000"/>
                <w:sz w:val="20"/>
                <w:szCs w:val="20"/>
                <w:lang w:eastAsia="en-AU"/>
              </w:rPr>
            </w:pPr>
            <w:r w:rsidRPr="00167CB8">
              <w:rPr>
                <w:rFonts w:eastAsia="Times New Roman" w:cs="Calibri"/>
                <w:color w:val="000000"/>
                <w:sz w:val="20"/>
                <w:szCs w:val="20"/>
                <w:lang w:eastAsia="en-AU"/>
              </w:rPr>
              <w:t>5.9%</w:t>
            </w:r>
          </w:p>
        </w:tc>
      </w:tr>
    </w:tbl>
    <w:p w14:paraId="70AB6E9E" w14:textId="00D07452" w:rsidR="007A6A1A" w:rsidRPr="00167CB8" w:rsidRDefault="007A6A1A" w:rsidP="000D5139">
      <w:pPr>
        <w:pStyle w:val="Source"/>
      </w:pPr>
      <w:r w:rsidRPr="00167CB8">
        <w:rPr>
          <w:b/>
          <w:bCs/>
        </w:rPr>
        <w:t>Note:</w:t>
      </w:r>
      <w:r w:rsidRPr="00167CB8">
        <w:t xml:space="preserve"> Only three</w:t>
      </w:r>
      <w:r w:rsidR="000D5139" w:rsidRPr="00167CB8">
        <w:t>-</w:t>
      </w:r>
      <w:r w:rsidRPr="00167CB8">
        <w:t xml:space="preserve">quarters of data are available for 2024. </w:t>
      </w:r>
    </w:p>
    <w:p w14:paraId="26CC6CAF" w14:textId="3D5FB702" w:rsidR="000D5139" w:rsidRPr="00167CB8" w:rsidRDefault="000D5139" w:rsidP="000D5139">
      <w:pPr>
        <w:pStyle w:val="Source"/>
      </w:pPr>
      <w:r w:rsidRPr="00167CB8">
        <w:rPr>
          <w:b/>
          <w:bCs/>
        </w:rPr>
        <w:t>Source:</w:t>
      </w:r>
      <w:r w:rsidRPr="00167CB8">
        <w:t xml:space="preserve"> DEWR Workplace Agreements Database.</w:t>
      </w:r>
    </w:p>
    <w:p w14:paraId="018F8126" w14:textId="634679CA" w:rsidR="007A6A1A" w:rsidRPr="00167CB8" w:rsidRDefault="00177CA8" w:rsidP="007A6A1A">
      <w:pPr>
        <w:spacing w:after="160"/>
      </w:pPr>
      <w:r w:rsidRPr="001811FA">
        <w:lastRenderedPageBreak/>
        <w:t>Table 54</w:t>
      </w:r>
      <w:r w:rsidR="00314FDE" w:rsidRPr="001811FA">
        <w:t xml:space="preserve"> </w:t>
      </w:r>
      <w:r w:rsidR="007A6A1A" w:rsidRPr="001811FA">
        <w:t xml:space="preserve"> shows the coverage of ‘current’ (includes non-expired agreements). Around one-third of all current agreements are non-union. The latter cover around 7% of employees currently covered by a collective agreement.</w:t>
      </w:r>
      <w:r w:rsidR="007A6A1A" w:rsidRPr="00167CB8">
        <w:t xml:space="preserve"> </w:t>
      </w:r>
      <w:bookmarkStart w:id="834" w:name="_Ref184404954"/>
      <w:bookmarkStart w:id="835" w:name="_Toc186906078"/>
    </w:p>
    <w:p w14:paraId="795A38B0" w14:textId="21BB1EA4" w:rsidR="007A6A1A" w:rsidRPr="00167CB8" w:rsidRDefault="007A6A1A" w:rsidP="00470AB9">
      <w:pPr>
        <w:pStyle w:val="Caption"/>
      </w:pPr>
      <w:bookmarkStart w:id="836" w:name="_Toc187514214"/>
      <w:bookmarkStart w:id="837" w:name="_Toc189310883"/>
      <w:r w:rsidRPr="00167CB8">
        <w:t xml:space="preserve">Table </w:t>
      </w:r>
      <w:r w:rsidR="00EA1AD9" w:rsidRPr="00167CB8">
        <w:t>54</w:t>
      </w:r>
      <w:bookmarkEnd w:id="834"/>
      <w:r w:rsidRPr="00167CB8">
        <w:t>: Number and coverage of current non-union collective agreements, December of each year</w:t>
      </w:r>
      <w:bookmarkEnd w:id="835"/>
      <w:bookmarkEnd w:id="836"/>
      <w:bookmarkEnd w:id="837"/>
    </w:p>
    <w:tbl>
      <w:tblPr>
        <w:tblW w:w="9006" w:type="dxa"/>
        <w:tblLayout w:type="fixed"/>
        <w:tblCellMar>
          <w:left w:w="57" w:type="dxa"/>
          <w:right w:w="57" w:type="dxa"/>
        </w:tblCellMar>
        <w:tblLook w:val="04A0" w:firstRow="1" w:lastRow="0" w:firstColumn="1" w:lastColumn="0" w:noHBand="0" w:noVBand="1"/>
      </w:tblPr>
      <w:tblGrid>
        <w:gridCol w:w="983"/>
        <w:gridCol w:w="1337"/>
        <w:gridCol w:w="1337"/>
        <w:gridCol w:w="1337"/>
        <w:gridCol w:w="1337"/>
        <w:gridCol w:w="1337"/>
        <w:gridCol w:w="1338"/>
      </w:tblGrid>
      <w:tr w:rsidR="007A6A1A" w:rsidRPr="00167CB8" w14:paraId="140D941C" w14:textId="77777777">
        <w:trPr>
          <w:trHeight w:val="1560"/>
        </w:trPr>
        <w:tc>
          <w:tcPr>
            <w:tcW w:w="983" w:type="dxa"/>
            <w:tcBorders>
              <w:top w:val="single" w:sz="8" w:space="0" w:color="auto"/>
              <w:left w:val="single" w:sz="8" w:space="0" w:color="auto"/>
              <w:bottom w:val="single" w:sz="8" w:space="0" w:color="auto"/>
              <w:right w:val="nil"/>
            </w:tcBorders>
            <w:shd w:val="clear" w:color="000000" w:fill="FFFFFF"/>
            <w:hideMark/>
          </w:tcPr>
          <w:p w14:paraId="153DA663" w14:textId="77777777" w:rsidR="007A6A1A" w:rsidRPr="00167CB8" w:rsidRDefault="007A6A1A" w:rsidP="007A6A1A">
            <w:pPr>
              <w:spacing w:after="60"/>
              <w:rPr>
                <w:lang w:eastAsia="en-AU"/>
              </w:rPr>
            </w:pPr>
            <w:r w:rsidRPr="00167CB8">
              <w:rPr>
                <w:lang w:eastAsia="en-AU"/>
              </w:rPr>
              <w:t> </w:t>
            </w:r>
          </w:p>
        </w:tc>
        <w:tc>
          <w:tcPr>
            <w:tcW w:w="1337" w:type="dxa"/>
            <w:tcBorders>
              <w:top w:val="single" w:sz="8" w:space="0" w:color="auto"/>
              <w:left w:val="nil"/>
              <w:bottom w:val="single" w:sz="8" w:space="0" w:color="auto"/>
              <w:right w:val="nil"/>
            </w:tcBorders>
            <w:shd w:val="clear" w:color="000000" w:fill="FFFFFF"/>
            <w:hideMark/>
          </w:tcPr>
          <w:p w14:paraId="7924D8F0" w14:textId="430436BC" w:rsidR="007A6A1A" w:rsidRPr="00167CB8" w:rsidRDefault="000D5139" w:rsidP="007A6A1A">
            <w:pPr>
              <w:spacing w:after="60"/>
              <w:rPr>
                <w:lang w:eastAsia="en-AU"/>
              </w:rPr>
            </w:pPr>
            <w:r w:rsidRPr="00167CB8">
              <w:rPr>
                <w:lang w:eastAsia="en-AU"/>
              </w:rPr>
              <w:t>No</w:t>
            </w:r>
            <w:r w:rsidR="007A6A1A" w:rsidRPr="00167CB8">
              <w:rPr>
                <w:lang w:eastAsia="en-AU"/>
              </w:rPr>
              <w:t xml:space="preserve"> of current non-union agreements </w:t>
            </w:r>
          </w:p>
        </w:tc>
        <w:tc>
          <w:tcPr>
            <w:tcW w:w="1337" w:type="dxa"/>
            <w:tcBorders>
              <w:top w:val="single" w:sz="8" w:space="0" w:color="auto"/>
              <w:left w:val="nil"/>
              <w:bottom w:val="single" w:sz="8" w:space="0" w:color="auto"/>
              <w:right w:val="nil"/>
            </w:tcBorders>
            <w:shd w:val="clear" w:color="000000" w:fill="FFFFFF"/>
            <w:hideMark/>
          </w:tcPr>
          <w:p w14:paraId="15A35924" w14:textId="13B492E8" w:rsidR="007A6A1A" w:rsidRPr="00167CB8" w:rsidRDefault="000D5139" w:rsidP="007A6A1A">
            <w:pPr>
              <w:spacing w:after="60"/>
              <w:rPr>
                <w:lang w:eastAsia="en-AU"/>
              </w:rPr>
            </w:pPr>
            <w:r w:rsidRPr="00167CB8">
              <w:rPr>
                <w:lang w:eastAsia="en-AU"/>
              </w:rPr>
              <w:t>No</w:t>
            </w:r>
            <w:r w:rsidR="007A6A1A" w:rsidRPr="00167CB8">
              <w:rPr>
                <w:lang w:eastAsia="en-AU"/>
              </w:rPr>
              <w:t xml:space="preserve"> of all current agreements</w:t>
            </w:r>
          </w:p>
        </w:tc>
        <w:tc>
          <w:tcPr>
            <w:tcW w:w="1337" w:type="dxa"/>
            <w:tcBorders>
              <w:top w:val="single" w:sz="8" w:space="0" w:color="auto"/>
              <w:left w:val="nil"/>
              <w:bottom w:val="single" w:sz="8" w:space="0" w:color="auto"/>
              <w:right w:val="nil"/>
            </w:tcBorders>
            <w:shd w:val="clear" w:color="000000" w:fill="FFFFFF"/>
            <w:hideMark/>
          </w:tcPr>
          <w:p w14:paraId="369F678F" w14:textId="6FE544F6" w:rsidR="007A6A1A" w:rsidRPr="00167CB8" w:rsidRDefault="007A6A1A" w:rsidP="007A6A1A">
            <w:pPr>
              <w:spacing w:after="60"/>
              <w:rPr>
                <w:lang w:eastAsia="en-AU"/>
              </w:rPr>
            </w:pPr>
            <w:r w:rsidRPr="00167CB8">
              <w:rPr>
                <w:lang w:eastAsia="en-AU"/>
              </w:rPr>
              <w:t xml:space="preserve">% </w:t>
            </w:r>
            <w:r w:rsidR="000D5139" w:rsidRPr="00167CB8">
              <w:rPr>
                <w:lang w:eastAsia="en-AU"/>
              </w:rPr>
              <w:t xml:space="preserve">of </w:t>
            </w:r>
            <w:r w:rsidRPr="00167CB8">
              <w:rPr>
                <w:lang w:eastAsia="en-AU"/>
              </w:rPr>
              <w:t>non-union vs all current agreements</w:t>
            </w:r>
          </w:p>
        </w:tc>
        <w:tc>
          <w:tcPr>
            <w:tcW w:w="1337" w:type="dxa"/>
            <w:tcBorders>
              <w:top w:val="single" w:sz="8" w:space="0" w:color="auto"/>
              <w:left w:val="nil"/>
              <w:bottom w:val="single" w:sz="8" w:space="0" w:color="auto"/>
              <w:right w:val="nil"/>
            </w:tcBorders>
            <w:shd w:val="clear" w:color="000000" w:fill="FFFFFF"/>
            <w:hideMark/>
          </w:tcPr>
          <w:p w14:paraId="1C54BC9B" w14:textId="11748223" w:rsidR="007A6A1A" w:rsidRPr="00167CB8" w:rsidRDefault="000D5139" w:rsidP="007A6A1A">
            <w:pPr>
              <w:spacing w:after="60"/>
              <w:rPr>
                <w:lang w:eastAsia="en-AU"/>
              </w:rPr>
            </w:pPr>
            <w:r w:rsidRPr="00167CB8">
              <w:rPr>
                <w:lang w:eastAsia="en-AU"/>
              </w:rPr>
              <w:t>No</w:t>
            </w:r>
            <w:r w:rsidR="007A6A1A" w:rsidRPr="00167CB8">
              <w:rPr>
                <w:lang w:eastAsia="en-AU"/>
              </w:rPr>
              <w:t xml:space="preserve"> of employees covered by non-union agreements ('000)</w:t>
            </w:r>
          </w:p>
        </w:tc>
        <w:tc>
          <w:tcPr>
            <w:tcW w:w="1337" w:type="dxa"/>
            <w:tcBorders>
              <w:top w:val="single" w:sz="8" w:space="0" w:color="auto"/>
              <w:left w:val="nil"/>
              <w:bottom w:val="single" w:sz="8" w:space="0" w:color="auto"/>
              <w:right w:val="nil"/>
            </w:tcBorders>
            <w:shd w:val="clear" w:color="000000" w:fill="FFFFFF"/>
            <w:hideMark/>
          </w:tcPr>
          <w:p w14:paraId="79D4501C" w14:textId="3DB12081" w:rsidR="007A6A1A" w:rsidRPr="00167CB8" w:rsidRDefault="000D5139" w:rsidP="007A6A1A">
            <w:pPr>
              <w:spacing w:after="60"/>
              <w:rPr>
                <w:lang w:eastAsia="en-AU"/>
              </w:rPr>
            </w:pPr>
            <w:r w:rsidRPr="00167CB8">
              <w:rPr>
                <w:lang w:eastAsia="en-AU"/>
              </w:rPr>
              <w:t>No</w:t>
            </w:r>
            <w:r w:rsidR="007A6A1A" w:rsidRPr="00167CB8">
              <w:rPr>
                <w:lang w:eastAsia="en-AU"/>
              </w:rPr>
              <w:t xml:space="preserve"> of all employees covered by current agreements ('000)</w:t>
            </w:r>
          </w:p>
        </w:tc>
        <w:tc>
          <w:tcPr>
            <w:tcW w:w="1338" w:type="dxa"/>
            <w:tcBorders>
              <w:top w:val="single" w:sz="8" w:space="0" w:color="auto"/>
              <w:left w:val="nil"/>
              <w:bottom w:val="single" w:sz="8" w:space="0" w:color="auto"/>
              <w:right w:val="single" w:sz="8" w:space="0" w:color="auto"/>
            </w:tcBorders>
            <w:shd w:val="clear" w:color="000000" w:fill="FFFFFF"/>
            <w:hideMark/>
          </w:tcPr>
          <w:p w14:paraId="61123F27" w14:textId="77777777" w:rsidR="007A6A1A" w:rsidRPr="00167CB8" w:rsidRDefault="007A6A1A" w:rsidP="007A6A1A">
            <w:pPr>
              <w:spacing w:after="60"/>
              <w:rPr>
                <w:lang w:eastAsia="en-AU"/>
              </w:rPr>
            </w:pPr>
            <w:r w:rsidRPr="00167CB8">
              <w:rPr>
                <w:lang w:eastAsia="en-AU"/>
              </w:rPr>
              <w:t>% of employees covered by non-union agreements</w:t>
            </w:r>
          </w:p>
        </w:tc>
      </w:tr>
      <w:tr w:rsidR="007A6A1A" w:rsidRPr="00167CB8" w14:paraId="443338E4" w14:textId="77777777">
        <w:trPr>
          <w:trHeight w:val="300"/>
        </w:trPr>
        <w:tc>
          <w:tcPr>
            <w:tcW w:w="983" w:type="dxa"/>
            <w:tcBorders>
              <w:top w:val="nil"/>
              <w:left w:val="single" w:sz="8" w:space="0" w:color="auto"/>
              <w:bottom w:val="nil"/>
              <w:right w:val="nil"/>
            </w:tcBorders>
            <w:shd w:val="clear" w:color="C0E6F5" w:fill="FFFFFF"/>
            <w:noWrap/>
            <w:hideMark/>
          </w:tcPr>
          <w:p w14:paraId="67F7C0F3" w14:textId="77777777" w:rsidR="007A6A1A" w:rsidRPr="00167CB8" w:rsidRDefault="007A6A1A" w:rsidP="007A6A1A">
            <w:pPr>
              <w:spacing w:after="60"/>
              <w:rPr>
                <w:lang w:eastAsia="en-AU"/>
              </w:rPr>
            </w:pPr>
            <w:r w:rsidRPr="00167CB8">
              <w:rPr>
                <w:lang w:eastAsia="en-AU"/>
              </w:rPr>
              <w:t>2012</w:t>
            </w:r>
          </w:p>
        </w:tc>
        <w:tc>
          <w:tcPr>
            <w:tcW w:w="1337" w:type="dxa"/>
            <w:tcBorders>
              <w:top w:val="nil"/>
              <w:left w:val="nil"/>
              <w:bottom w:val="nil"/>
              <w:right w:val="nil"/>
            </w:tcBorders>
            <w:shd w:val="clear" w:color="000000" w:fill="FFFFFF"/>
            <w:noWrap/>
            <w:vAlign w:val="bottom"/>
            <w:hideMark/>
          </w:tcPr>
          <w:p w14:paraId="26B20EC2" w14:textId="77777777" w:rsidR="007A6A1A" w:rsidRPr="00167CB8" w:rsidRDefault="007A6A1A" w:rsidP="007A6A1A">
            <w:pPr>
              <w:spacing w:after="60"/>
              <w:jc w:val="right"/>
              <w:rPr>
                <w:lang w:eastAsia="en-AU"/>
              </w:rPr>
            </w:pPr>
            <w:r w:rsidRPr="00167CB8">
              <w:rPr>
                <w:lang w:eastAsia="en-AU"/>
              </w:rPr>
              <w:t>6,126</w:t>
            </w:r>
          </w:p>
        </w:tc>
        <w:tc>
          <w:tcPr>
            <w:tcW w:w="1337" w:type="dxa"/>
            <w:tcBorders>
              <w:top w:val="nil"/>
              <w:left w:val="nil"/>
              <w:bottom w:val="nil"/>
              <w:right w:val="nil"/>
            </w:tcBorders>
            <w:shd w:val="clear" w:color="000000" w:fill="FFFFFF"/>
            <w:noWrap/>
            <w:vAlign w:val="bottom"/>
            <w:hideMark/>
          </w:tcPr>
          <w:p w14:paraId="17ECF235" w14:textId="77777777" w:rsidR="007A6A1A" w:rsidRPr="00167CB8" w:rsidRDefault="007A6A1A" w:rsidP="007A6A1A">
            <w:pPr>
              <w:spacing w:after="60"/>
              <w:jc w:val="right"/>
              <w:rPr>
                <w:lang w:eastAsia="en-AU"/>
              </w:rPr>
            </w:pPr>
            <w:r w:rsidRPr="00167CB8">
              <w:rPr>
                <w:lang w:eastAsia="en-AU"/>
              </w:rPr>
              <w:t>23,605</w:t>
            </w:r>
          </w:p>
        </w:tc>
        <w:tc>
          <w:tcPr>
            <w:tcW w:w="1337" w:type="dxa"/>
            <w:tcBorders>
              <w:top w:val="nil"/>
              <w:left w:val="nil"/>
              <w:bottom w:val="nil"/>
              <w:right w:val="nil"/>
            </w:tcBorders>
            <w:shd w:val="clear" w:color="000000" w:fill="FFFFFF"/>
            <w:noWrap/>
            <w:vAlign w:val="bottom"/>
            <w:hideMark/>
          </w:tcPr>
          <w:p w14:paraId="7814AAE6" w14:textId="77777777" w:rsidR="007A6A1A" w:rsidRPr="00167CB8" w:rsidRDefault="007A6A1A" w:rsidP="007A6A1A">
            <w:pPr>
              <w:spacing w:after="60"/>
              <w:jc w:val="right"/>
              <w:rPr>
                <w:lang w:eastAsia="en-AU"/>
              </w:rPr>
            </w:pPr>
            <w:r w:rsidRPr="00167CB8">
              <w:rPr>
                <w:lang w:eastAsia="en-AU"/>
              </w:rPr>
              <w:t>26.0%</w:t>
            </w:r>
          </w:p>
        </w:tc>
        <w:tc>
          <w:tcPr>
            <w:tcW w:w="1337" w:type="dxa"/>
            <w:tcBorders>
              <w:top w:val="nil"/>
              <w:left w:val="nil"/>
              <w:bottom w:val="nil"/>
              <w:right w:val="nil"/>
            </w:tcBorders>
            <w:shd w:val="clear" w:color="000000" w:fill="FFFFFF"/>
            <w:noWrap/>
            <w:vAlign w:val="bottom"/>
            <w:hideMark/>
          </w:tcPr>
          <w:p w14:paraId="4BED3CFB" w14:textId="77777777" w:rsidR="007A6A1A" w:rsidRPr="00167CB8" w:rsidRDefault="007A6A1A" w:rsidP="007A6A1A">
            <w:pPr>
              <w:spacing w:after="60"/>
              <w:jc w:val="right"/>
              <w:rPr>
                <w:lang w:eastAsia="en-AU"/>
              </w:rPr>
            </w:pPr>
            <w:r w:rsidRPr="00167CB8">
              <w:rPr>
                <w:lang w:eastAsia="en-AU"/>
              </w:rPr>
              <w:t>181</w:t>
            </w:r>
          </w:p>
        </w:tc>
        <w:tc>
          <w:tcPr>
            <w:tcW w:w="1337" w:type="dxa"/>
            <w:tcBorders>
              <w:top w:val="nil"/>
              <w:left w:val="nil"/>
              <w:bottom w:val="nil"/>
              <w:right w:val="nil"/>
            </w:tcBorders>
            <w:shd w:val="clear" w:color="000000" w:fill="FFFFFF"/>
            <w:noWrap/>
            <w:vAlign w:val="bottom"/>
            <w:hideMark/>
          </w:tcPr>
          <w:p w14:paraId="674933BC" w14:textId="77777777" w:rsidR="007A6A1A" w:rsidRPr="00167CB8" w:rsidRDefault="007A6A1A" w:rsidP="007A6A1A">
            <w:pPr>
              <w:spacing w:after="60"/>
              <w:jc w:val="right"/>
              <w:rPr>
                <w:lang w:eastAsia="en-AU"/>
              </w:rPr>
            </w:pPr>
            <w:r w:rsidRPr="00167CB8">
              <w:rPr>
                <w:lang w:eastAsia="en-AU"/>
              </w:rPr>
              <w:t>2,532</w:t>
            </w:r>
          </w:p>
        </w:tc>
        <w:tc>
          <w:tcPr>
            <w:tcW w:w="1338" w:type="dxa"/>
            <w:tcBorders>
              <w:top w:val="nil"/>
              <w:left w:val="nil"/>
              <w:bottom w:val="nil"/>
              <w:right w:val="single" w:sz="8" w:space="0" w:color="auto"/>
            </w:tcBorders>
            <w:shd w:val="clear" w:color="000000" w:fill="FFFFFF"/>
            <w:noWrap/>
            <w:vAlign w:val="bottom"/>
            <w:hideMark/>
          </w:tcPr>
          <w:p w14:paraId="7E52A93B" w14:textId="77777777" w:rsidR="007A6A1A" w:rsidRPr="00167CB8" w:rsidRDefault="007A6A1A" w:rsidP="007A6A1A">
            <w:pPr>
              <w:spacing w:after="60"/>
              <w:jc w:val="right"/>
              <w:rPr>
                <w:lang w:eastAsia="en-AU"/>
              </w:rPr>
            </w:pPr>
            <w:r w:rsidRPr="00167CB8">
              <w:rPr>
                <w:lang w:eastAsia="en-AU"/>
              </w:rPr>
              <w:t>7.2%</w:t>
            </w:r>
          </w:p>
        </w:tc>
      </w:tr>
      <w:tr w:rsidR="007A6A1A" w:rsidRPr="00167CB8" w14:paraId="680339F7" w14:textId="77777777">
        <w:trPr>
          <w:trHeight w:val="300"/>
        </w:trPr>
        <w:tc>
          <w:tcPr>
            <w:tcW w:w="983" w:type="dxa"/>
            <w:tcBorders>
              <w:top w:val="nil"/>
              <w:left w:val="single" w:sz="8" w:space="0" w:color="auto"/>
              <w:bottom w:val="nil"/>
              <w:right w:val="nil"/>
            </w:tcBorders>
            <w:shd w:val="clear" w:color="C0E6F5" w:fill="FFFFFF"/>
            <w:noWrap/>
            <w:hideMark/>
          </w:tcPr>
          <w:p w14:paraId="7C1A516D" w14:textId="77777777" w:rsidR="007A6A1A" w:rsidRPr="00167CB8" w:rsidRDefault="007A6A1A" w:rsidP="007A6A1A">
            <w:pPr>
              <w:spacing w:after="60"/>
              <w:rPr>
                <w:lang w:eastAsia="en-AU"/>
              </w:rPr>
            </w:pPr>
            <w:r w:rsidRPr="00167CB8">
              <w:rPr>
                <w:lang w:eastAsia="en-AU"/>
              </w:rPr>
              <w:t>2013</w:t>
            </w:r>
          </w:p>
        </w:tc>
        <w:tc>
          <w:tcPr>
            <w:tcW w:w="1337" w:type="dxa"/>
            <w:tcBorders>
              <w:top w:val="nil"/>
              <w:left w:val="nil"/>
              <w:bottom w:val="nil"/>
              <w:right w:val="nil"/>
            </w:tcBorders>
            <w:shd w:val="clear" w:color="000000" w:fill="FFFFFF"/>
            <w:noWrap/>
            <w:vAlign w:val="bottom"/>
            <w:hideMark/>
          </w:tcPr>
          <w:p w14:paraId="18B2B132" w14:textId="77777777" w:rsidR="007A6A1A" w:rsidRPr="00167CB8" w:rsidRDefault="007A6A1A" w:rsidP="007A6A1A">
            <w:pPr>
              <w:spacing w:after="60"/>
              <w:jc w:val="right"/>
              <w:rPr>
                <w:lang w:eastAsia="en-AU"/>
              </w:rPr>
            </w:pPr>
            <w:r w:rsidRPr="00167CB8">
              <w:rPr>
                <w:lang w:eastAsia="en-AU"/>
              </w:rPr>
              <w:t>6,594</w:t>
            </w:r>
          </w:p>
        </w:tc>
        <w:tc>
          <w:tcPr>
            <w:tcW w:w="1337" w:type="dxa"/>
            <w:tcBorders>
              <w:top w:val="nil"/>
              <w:left w:val="nil"/>
              <w:bottom w:val="nil"/>
              <w:right w:val="nil"/>
            </w:tcBorders>
            <w:shd w:val="clear" w:color="000000" w:fill="FFFFFF"/>
            <w:noWrap/>
            <w:vAlign w:val="bottom"/>
            <w:hideMark/>
          </w:tcPr>
          <w:p w14:paraId="1A44828A" w14:textId="77777777" w:rsidR="007A6A1A" w:rsidRPr="00167CB8" w:rsidRDefault="007A6A1A" w:rsidP="007A6A1A">
            <w:pPr>
              <w:spacing w:after="60"/>
              <w:jc w:val="right"/>
              <w:rPr>
                <w:lang w:eastAsia="en-AU"/>
              </w:rPr>
            </w:pPr>
            <w:r w:rsidRPr="00167CB8">
              <w:rPr>
                <w:lang w:eastAsia="en-AU"/>
              </w:rPr>
              <w:t>23,292</w:t>
            </w:r>
          </w:p>
        </w:tc>
        <w:tc>
          <w:tcPr>
            <w:tcW w:w="1337" w:type="dxa"/>
            <w:tcBorders>
              <w:top w:val="nil"/>
              <w:left w:val="nil"/>
              <w:bottom w:val="nil"/>
              <w:right w:val="nil"/>
            </w:tcBorders>
            <w:shd w:val="clear" w:color="000000" w:fill="FFFFFF"/>
            <w:noWrap/>
            <w:vAlign w:val="bottom"/>
            <w:hideMark/>
          </w:tcPr>
          <w:p w14:paraId="5150A486" w14:textId="77777777" w:rsidR="007A6A1A" w:rsidRPr="00167CB8" w:rsidRDefault="007A6A1A" w:rsidP="007A6A1A">
            <w:pPr>
              <w:spacing w:after="60"/>
              <w:jc w:val="right"/>
              <w:rPr>
                <w:lang w:eastAsia="en-AU"/>
              </w:rPr>
            </w:pPr>
            <w:r w:rsidRPr="00167CB8">
              <w:rPr>
                <w:lang w:eastAsia="en-AU"/>
              </w:rPr>
              <w:t>28.3%</w:t>
            </w:r>
          </w:p>
        </w:tc>
        <w:tc>
          <w:tcPr>
            <w:tcW w:w="1337" w:type="dxa"/>
            <w:tcBorders>
              <w:top w:val="nil"/>
              <w:left w:val="nil"/>
              <w:bottom w:val="nil"/>
              <w:right w:val="nil"/>
            </w:tcBorders>
            <w:shd w:val="clear" w:color="000000" w:fill="FFFFFF"/>
            <w:noWrap/>
            <w:vAlign w:val="bottom"/>
            <w:hideMark/>
          </w:tcPr>
          <w:p w14:paraId="1DC491F5" w14:textId="77777777" w:rsidR="007A6A1A" w:rsidRPr="00167CB8" w:rsidRDefault="007A6A1A" w:rsidP="007A6A1A">
            <w:pPr>
              <w:spacing w:after="60"/>
              <w:jc w:val="right"/>
              <w:rPr>
                <w:lang w:eastAsia="en-AU"/>
              </w:rPr>
            </w:pPr>
            <w:r w:rsidRPr="00167CB8">
              <w:rPr>
                <w:lang w:eastAsia="en-AU"/>
              </w:rPr>
              <w:t>201</w:t>
            </w:r>
          </w:p>
        </w:tc>
        <w:tc>
          <w:tcPr>
            <w:tcW w:w="1337" w:type="dxa"/>
            <w:tcBorders>
              <w:top w:val="nil"/>
              <w:left w:val="nil"/>
              <w:bottom w:val="nil"/>
              <w:right w:val="nil"/>
            </w:tcBorders>
            <w:shd w:val="clear" w:color="000000" w:fill="FFFFFF"/>
            <w:noWrap/>
            <w:vAlign w:val="bottom"/>
            <w:hideMark/>
          </w:tcPr>
          <w:p w14:paraId="19201F5A" w14:textId="77777777" w:rsidR="007A6A1A" w:rsidRPr="00167CB8" w:rsidRDefault="007A6A1A" w:rsidP="007A6A1A">
            <w:pPr>
              <w:spacing w:after="60"/>
              <w:jc w:val="right"/>
              <w:rPr>
                <w:lang w:eastAsia="en-AU"/>
              </w:rPr>
            </w:pPr>
            <w:r w:rsidRPr="00167CB8">
              <w:rPr>
                <w:lang w:eastAsia="en-AU"/>
              </w:rPr>
              <w:t>2,620</w:t>
            </w:r>
          </w:p>
        </w:tc>
        <w:tc>
          <w:tcPr>
            <w:tcW w:w="1338" w:type="dxa"/>
            <w:tcBorders>
              <w:top w:val="nil"/>
              <w:left w:val="nil"/>
              <w:bottom w:val="nil"/>
              <w:right w:val="single" w:sz="8" w:space="0" w:color="auto"/>
            </w:tcBorders>
            <w:shd w:val="clear" w:color="000000" w:fill="FFFFFF"/>
            <w:noWrap/>
            <w:vAlign w:val="bottom"/>
            <w:hideMark/>
          </w:tcPr>
          <w:p w14:paraId="005F6DC8" w14:textId="77777777" w:rsidR="007A6A1A" w:rsidRPr="00167CB8" w:rsidRDefault="007A6A1A" w:rsidP="007A6A1A">
            <w:pPr>
              <w:spacing w:after="60"/>
              <w:jc w:val="right"/>
              <w:rPr>
                <w:lang w:eastAsia="en-AU"/>
              </w:rPr>
            </w:pPr>
            <w:r w:rsidRPr="00167CB8">
              <w:rPr>
                <w:lang w:eastAsia="en-AU"/>
              </w:rPr>
              <w:t>7.7%</w:t>
            </w:r>
          </w:p>
        </w:tc>
      </w:tr>
      <w:tr w:rsidR="007A6A1A" w:rsidRPr="00167CB8" w14:paraId="695F23F4" w14:textId="77777777">
        <w:trPr>
          <w:trHeight w:val="300"/>
        </w:trPr>
        <w:tc>
          <w:tcPr>
            <w:tcW w:w="983" w:type="dxa"/>
            <w:tcBorders>
              <w:top w:val="nil"/>
              <w:left w:val="single" w:sz="8" w:space="0" w:color="auto"/>
              <w:bottom w:val="nil"/>
              <w:right w:val="nil"/>
            </w:tcBorders>
            <w:shd w:val="clear" w:color="C0E6F5" w:fill="FFFFFF"/>
            <w:noWrap/>
            <w:hideMark/>
          </w:tcPr>
          <w:p w14:paraId="5ED3AE4B" w14:textId="77777777" w:rsidR="007A6A1A" w:rsidRPr="00167CB8" w:rsidRDefault="007A6A1A" w:rsidP="007A6A1A">
            <w:pPr>
              <w:spacing w:after="60"/>
              <w:rPr>
                <w:lang w:eastAsia="en-AU"/>
              </w:rPr>
            </w:pPr>
            <w:r w:rsidRPr="00167CB8">
              <w:rPr>
                <w:lang w:eastAsia="en-AU"/>
              </w:rPr>
              <w:t>2014</w:t>
            </w:r>
          </w:p>
        </w:tc>
        <w:tc>
          <w:tcPr>
            <w:tcW w:w="1337" w:type="dxa"/>
            <w:tcBorders>
              <w:top w:val="nil"/>
              <w:left w:val="nil"/>
              <w:bottom w:val="nil"/>
              <w:right w:val="nil"/>
            </w:tcBorders>
            <w:shd w:val="clear" w:color="000000" w:fill="FFFFFF"/>
            <w:noWrap/>
            <w:vAlign w:val="bottom"/>
            <w:hideMark/>
          </w:tcPr>
          <w:p w14:paraId="79D25B3E" w14:textId="77777777" w:rsidR="007A6A1A" w:rsidRPr="00167CB8" w:rsidRDefault="007A6A1A" w:rsidP="007A6A1A">
            <w:pPr>
              <w:spacing w:after="60"/>
              <w:jc w:val="right"/>
              <w:rPr>
                <w:lang w:eastAsia="en-AU"/>
              </w:rPr>
            </w:pPr>
            <w:r w:rsidRPr="00167CB8">
              <w:rPr>
                <w:lang w:eastAsia="en-AU"/>
              </w:rPr>
              <w:t>5,705</w:t>
            </w:r>
          </w:p>
        </w:tc>
        <w:tc>
          <w:tcPr>
            <w:tcW w:w="1337" w:type="dxa"/>
            <w:tcBorders>
              <w:top w:val="nil"/>
              <w:left w:val="nil"/>
              <w:bottom w:val="nil"/>
              <w:right w:val="nil"/>
            </w:tcBorders>
            <w:shd w:val="clear" w:color="000000" w:fill="FFFFFF"/>
            <w:noWrap/>
            <w:vAlign w:val="bottom"/>
            <w:hideMark/>
          </w:tcPr>
          <w:p w14:paraId="16035E39" w14:textId="77777777" w:rsidR="007A6A1A" w:rsidRPr="00167CB8" w:rsidRDefault="007A6A1A" w:rsidP="007A6A1A">
            <w:pPr>
              <w:spacing w:after="60"/>
              <w:jc w:val="right"/>
              <w:rPr>
                <w:lang w:eastAsia="en-AU"/>
              </w:rPr>
            </w:pPr>
            <w:r w:rsidRPr="00167CB8">
              <w:rPr>
                <w:lang w:eastAsia="en-AU"/>
              </w:rPr>
              <w:t>19,031</w:t>
            </w:r>
          </w:p>
        </w:tc>
        <w:tc>
          <w:tcPr>
            <w:tcW w:w="1337" w:type="dxa"/>
            <w:tcBorders>
              <w:top w:val="nil"/>
              <w:left w:val="nil"/>
              <w:bottom w:val="nil"/>
              <w:right w:val="nil"/>
            </w:tcBorders>
            <w:shd w:val="clear" w:color="000000" w:fill="FFFFFF"/>
            <w:noWrap/>
            <w:vAlign w:val="bottom"/>
            <w:hideMark/>
          </w:tcPr>
          <w:p w14:paraId="1A427E8F" w14:textId="77777777" w:rsidR="007A6A1A" w:rsidRPr="00167CB8" w:rsidRDefault="007A6A1A" w:rsidP="007A6A1A">
            <w:pPr>
              <w:spacing w:after="60"/>
              <w:jc w:val="right"/>
              <w:rPr>
                <w:lang w:eastAsia="en-AU"/>
              </w:rPr>
            </w:pPr>
            <w:r w:rsidRPr="00167CB8">
              <w:rPr>
                <w:lang w:eastAsia="en-AU"/>
              </w:rPr>
              <w:t>30.0%</w:t>
            </w:r>
          </w:p>
        </w:tc>
        <w:tc>
          <w:tcPr>
            <w:tcW w:w="1337" w:type="dxa"/>
            <w:tcBorders>
              <w:top w:val="nil"/>
              <w:left w:val="nil"/>
              <w:bottom w:val="nil"/>
              <w:right w:val="nil"/>
            </w:tcBorders>
            <w:shd w:val="clear" w:color="000000" w:fill="FFFFFF"/>
            <w:noWrap/>
            <w:vAlign w:val="bottom"/>
            <w:hideMark/>
          </w:tcPr>
          <w:p w14:paraId="03FE033A" w14:textId="77777777" w:rsidR="007A6A1A" w:rsidRPr="00167CB8" w:rsidRDefault="007A6A1A" w:rsidP="007A6A1A">
            <w:pPr>
              <w:spacing w:after="60"/>
              <w:jc w:val="right"/>
              <w:rPr>
                <w:lang w:eastAsia="en-AU"/>
              </w:rPr>
            </w:pPr>
            <w:r w:rsidRPr="00167CB8">
              <w:rPr>
                <w:lang w:eastAsia="en-AU"/>
              </w:rPr>
              <w:t>197</w:t>
            </w:r>
          </w:p>
        </w:tc>
        <w:tc>
          <w:tcPr>
            <w:tcW w:w="1337" w:type="dxa"/>
            <w:tcBorders>
              <w:top w:val="nil"/>
              <w:left w:val="nil"/>
              <w:bottom w:val="nil"/>
              <w:right w:val="nil"/>
            </w:tcBorders>
            <w:shd w:val="clear" w:color="000000" w:fill="FFFFFF"/>
            <w:noWrap/>
            <w:vAlign w:val="bottom"/>
            <w:hideMark/>
          </w:tcPr>
          <w:p w14:paraId="42CE824A" w14:textId="77777777" w:rsidR="007A6A1A" w:rsidRPr="00167CB8" w:rsidRDefault="007A6A1A" w:rsidP="007A6A1A">
            <w:pPr>
              <w:spacing w:after="60"/>
              <w:jc w:val="right"/>
              <w:rPr>
                <w:lang w:eastAsia="en-AU"/>
              </w:rPr>
            </w:pPr>
            <w:r w:rsidRPr="00167CB8">
              <w:rPr>
                <w:lang w:eastAsia="en-AU"/>
              </w:rPr>
              <w:t>2,411</w:t>
            </w:r>
          </w:p>
        </w:tc>
        <w:tc>
          <w:tcPr>
            <w:tcW w:w="1338" w:type="dxa"/>
            <w:tcBorders>
              <w:top w:val="nil"/>
              <w:left w:val="nil"/>
              <w:bottom w:val="nil"/>
              <w:right w:val="single" w:sz="8" w:space="0" w:color="auto"/>
            </w:tcBorders>
            <w:shd w:val="clear" w:color="000000" w:fill="FFFFFF"/>
            <w:noWrap/>
            <w:vAlign w:val="bottom"/>
            <w:hideMark/>
          </w:tcPr>
          <w:p w14:paraId="07692FE5" w14:textId="77777777" w:rsidR="007A6A1A" w:rsidRPr="00167CB8" w:rsidRDefault="007A6A1A" w:rsidP="007A6A1A">
            <w:pPr>
              <w:spacing w:after="60"/>
              <w:jc w:val="right"/>
              <w:rPr>
                <w:lang w:eastAsia="en-AU"/>
              </w:rPr>
            </w:pPr>
            <w:r w:rsidRPr="00167CB8">
              <w:rPr>
                <w:lang w:eastAsia="en-AU"/>
              </w:rPr>
              <w:t>8.2%</w:t>
            </w:r>
          </w:p>
        </w:tc>
      </w:tr>
      <w:tr w:rsidR="007A6A1A" w:rsidRPr="00167CB8" w14:paraId="5AEFD5FB" w14:textId="77777777">
        <w:trPr>
          <w:trHeight w:val="300"/>
        </w:trPr>
        <w:tc>
          <w:tcPr>
            <w:tcW w:w="983" w:type="dxa"/>
            <w:tcBorders>
              <w:top w:val="nil"/>
              <w:left w:val="single" w:sz="8" w:space="0" w:color="auto"/>
              <w:bottom w:val="nil"/>
              <w:right w:val="nil"/>
            </w:tcBorders>
            <w:shd w:val="clear" w:color="C0E6F5" w:fill="FFFFFF"/>
            <w:noWrap/>
            <w:hideMark/>
          </w:tcPr>
          <w:p w14:paraId="01F33796" w14:textId="77777777" w:rsidR="007A6A1A" w:rsidRPr="00167CB8" w:rsidRDefault="007A6A1A" w:rsidP="007A6A1A">
            <w:pPr>
              <w:spacing w:after="60"/>
              <w:rPr>
                <w:lang w:eastAsia="en-AU"/>
              </w:rPr>
            </w:pPr>
            <w:r w:rsidRPr="00167CB8">
              <w:rPr>
                <w:lang w:eastAsia="en-AU"/>
              </w:rPr>
              <w:t>2015</w:t>
            </w:r>
          </w:p>
        </w:tc>
        <w:tc>
          <w:tcPr>
            <w:tcW w:w="1337" w:type="dxa"/>
            <w:tcBorders>
              <w:top w:val="nil"/>
              <w:left w:val="nil"/>
              <w:bottom w:val="nil"/>
              <w:right w:val="nil"/>
            </w:tcBorders>
            <w:shd w:val="clear" w:color="000000" w:fill="FFFFFF"/>
            <w:noWrap/>
            <w:vAlign w:val="bottom"/>
            <w:hideMark/>
          </w:tcPr>
          <w:p w14:paraId="6AA83734" w14:textId="77777777" w:rsidR="007A6A1A" w:rsidRPr="00167CB8" w:rsidRDefault="007A6A1A" w:rsidP="007A6A1A">
            <w:pPr>
              <w:spacing w:after="60"/>
              <w:jc w:val="right"/>
              <w:rPr>
                <w:lang w:eastAsia="en-AU"/>
              </w:rPr>
            </w:pPr>
            <w:r w:rsidRPr="00167CB8">
              <w:rPr>
                <w:lang w:eastAsia="en-AU"/>
              </w:rPr>
              <w:t>5,554</w:t>
            </w:r>
          </w:p>
        </w:tc>
        <w:tc>
          <w:tcPr>
            <w:tcW w:w="1337" w:type="dxa"/>
            <w:tcBorders>
              <w:top w:val="nil"/>
              <w:left w:val="nil"/>
              <w:bottom w:val="nil"/>
              <w:right w:val="nil"/>
            </w:tcBorders>
            <w:shd w:val="clear" w:color="000000" w:fill="FFFFFF"/>
            <w:noWrap/>
            <w:vAlign w:val="bottom"/>
            <w:hideMark/>
          </w:tcPr>
          <w:p w14:paraId="525AAB32" w14:textId="77777777" w:rsidR="007A6A1A" w:rsidRPr="00167CB8" w:rsidRDefault="007A6A1A" w:rsidP="007A6A1A">
            <w:pPr>
              <w:spacing w:after="60"/>
              <w:jc w:val="right"/>
              <w:rPr>
                <w:lang w:eastAsia="en-AU"/>
              </w:rPr>
            </w:pPr>
            <w:r w:rsidRPr="00167CB8">
              <w:rPr>
                <w:lang w:eastAsia="en-AU"/>
              </w:rPr>
              <w:t>14,666</w:t>
            </w:r>
          </w:p>
        </w:tc>
        <w:tc>
          <w:tcPr>
            <w:tcW w:w="1337" w:type="dxa"/>
            <w:tcBorders>
              <w:top w:val="nil"/>
              <w:left w:val="nil"/>
              <w:bottom w:val="nil"/>
              <w:right w:val="nil"/>
            </w:tcBorders>
            <w:shd w:val="clear" w:color="000000" w:fill="FFFFFF"/>
            <w:noWrap/>
            <w:vAlign w:val="bottom"/>
            <w:hideMark/>
          </w:tcPr>
          <w:p w14:paraId="7B667DD1" w14:textId="77777777" w:rsidR="007A6A1A" w:rsidRPr="00167CB8" w:rsidRDefault="007A6A1A" w:rsidP="007A6A1A">
            <w:pPr>
              <w:spacing w:after="60"/>
              <w:jc w:val="right"/>
              <w:rPr>
                <w:lang w:eastAsia="en-AU"/>
              </w:rPr>
            </w:pPr>
            <w:r w:rsidRPr="00167CB8">
              <w:rPr>
                <w:lang w:eastAsia="en-AU"/>
              </w:rPr>
              <w:t>37.9%</w:t>
            </w:r>
          </w:p>
        </w:tc>
        <w:tc>
          <w:tcPr>
            <w:tcW w:w="1337" w:type="dxa"/>
            <w:tcBorders>
              <w:top w:val="nil"/>
              <w:left w:val="nil"/>
              <w:bottom w:val="nil"/>
              <w:right w:val="nil"/>
            </w:tcBorders>
            <w:shd w:val="clear" w:color="000000" w:fill="FFFFFF"/>
            <w:noWrap/>
            <w:vAlign w:val="bottom"/>
            <w:hideMark/>
          </w:tcPr>
          <w:p w14:paraId="25F5C745" w14:textId="77777777" w:rsidR="007A6A1A" w:rsidRPr="00167CB8" w:rsidRDefault="007A6A1A" w:rsidP="007A6A1A">
            <w:pPr>
              <w:spacing w:after="60"/>
              <w:jc w:val="right"/>
              <w:rPr>
                <w:lang w:eastAsia="en-AU"/>
              </w:rPr>
            </w:pPr>
            <w:r w:rsidRPr="00167CB8">
              <w:rPr>
                <w:lang w:eastAsia="en-AU"/>
              </w:rPr>
              <w:t>206</w:t>
            </w:r>
          </w:p>
        </w:tc>
        <w:tc>
          <w:tcPr>
            <w:tcW w:w="1337" w:type="dxa"/>
            <w:tcBorders>
              <w:top w:val="nil"/>
              <w:left w:val="nil"/>
              <w:bottom w:val="nil"/>
              <w:right w:val="nil"/>
            </w:tcBorders>
            <w:shd w:val="clear" w:color="000000" w:fill="FFFFFF"/>
            <w:noWrap/>
            <w:vAlign w:val="bottom"/>
            <w:hideMark/>
          </w:tcPr>
          <w:p w14:paraId="60EA5DC8" w14:textId="77777777" w:rsidR="007A6A1A" w:rsidRPr="00167CB8" w:rsidRDefault="007A6A1A" w:rsidP="007A6A1A">
            <w:pPr>
              <w:spacing w:after="60"/>
              <w:jc w:val="right"/>
              <w:rPr>
                <w:lang w:eastAsia="en-AU"/>
              </w:rPr>
            </w:pPr>
            <w:r w:rsidRPr="00167CB8">
              <w:rPr>
                <w:lang w:eastAsia="en-AU"/>
              </w:rPr>
              <w:t>2,244</w:t>
            </w:r>
          </w:p>
        </w:tc>
        <w:tc>
          <w:tcPr>
            <w:tcW w:w="1338" w:type="dxa"/>
            <w:tcBorders>
              <w:top w:val="nil"/>
              <w:left w:val="nil"/>
              <w:bottom w:val="nil"/>
              <w:right w:val="single" w:sz="8" w:space="0" w:color="auto"/>
            </w:tcBorders>
            <w:shd w:val="clear" w:color="000000" w:fill="FFFFFF"/>
            <w:noWrap/>
            <w:vAlign w:val="bottom"/>
            <w:hideMark/>
          </w:tcPr>
          <w:p w14:paraId="1A1CB8F2" w14:textId="77777777" w:rsidR="007A6A1A" w:rsidRPr="00167CB8" w:rsidRDefault="007A6A1A" w:rsidP="007A6A1A">
            <w:pPr>
              <w:spacing w:after="60"/>
              <w:jc w:val="right"/>
              <w:rPr>
                <w:lang w:eastAsia="en-AU"/>
              </w:rPr>
            </w:pPr>
            <w:r w:rsidRPr="00167CB8">
              <w:rPr>
                <w:lang w:eastAsia="en-AU"/>
              </w:rPr>
              <w:t>9.2%</w:t>
            </w:r>
          </w:p>
        </w:tc>
      </w:tr>
      <w:tr w:rsidR="007A6A1A" w:rsidRPr="00167CB8" w14:paraId="0B8B9087" w14:textId="77777777">
        <w:trPr>
          <w:trHeight w:val="300"/>
        </w:trPr>
        <w:tc>
          <w:tcPr>
            <w:tcW w:w="983" w:type="dxa"/>
            <w:tcBorders>
              <w:top w:val="nil"/>
              <w:left w:val="single" w:sz="8" w:space="0" w:color="auto"/>
              <w:bottom w:val="nil"/>
              <w:right w:val="nil"/>
            </w:tcBorders>
            <w:shd w:val="clear" w:color="C0E6F5" w:fill="FFFFFF"/>
            <w:noWrap/>
            <w:hideMark/>
          </w:tcPr>
          <w:p w14:paraId="3DF0F59F" w14:textId="77777777" w:rsidR="007A6A1A" w:rsidRPr="00167CB8" w:rsidRDefault="007A6A1A" w:rsidP="007A6A1A">
            <w:pPr>
              <w:spacing w:after="60"/>
              <w:rPr>
                <w:lang w:eastAsia="en-AU"/>
              </w:rPr>
            </w:pPr>
            <w:r w:rsidRPr="00167CB8">
              <w:rPr>
                <w:lang w:eastAsia="en-AU"/>
              </w:rPr>
              <w:t>2016</w:t>
            </w:r>
          </w:p>
        </w:tc>
        <w:tc>
          <w:tcPr>
            <w:tcW w:w="1337" w:type="dxa"/>
            <w:tcBorders>
              <w:top w:val="nil"/>
              <w:left w:val="nil"/>
              <w:bottom w:val="nil"/>
              <w:right w:val="nil"/>
            </w:tcBorders>
            <w:shd w:val="clear" w:color="000000" w:fill="FFFFFF"/>
            <w:noWrap/>
            <w:vAlign w:val="bottom"/>
            <w:hideMark/>
          </w:tcPr>
          <w:p w14:paraId="600B9CC4" w14:textId="77777777" w:rsidR="007A6A1A" w:rsidRPr="00167CB8" w:rsidRDefault="007A6A1A" w:rsidP="007A6A1A">
            <w:pPr>
              <w:spacing w:after="60"/>
              <w:jc w:val="right"/>
              <w:rPr>
                <w:lang w:eastAsia="en-AU"/>
              </w:rPr>
            </w:pPr>
            <w:r w:rsidRPr="00167CB8">
              <w:rPr>
                <w:lang w:eastAsia="en-AU"/>
              </w:rPr>
              <w:t>5,272</w:t>
            </w:r>
          </w:p>
        </w:tc>
        <w:tc>
          <w:tcPr>
            <w:tcW w:w="1337" w:type="dxa"/>
            <w:tcBorders>
              <w:top w:val="nil"/>
              <w:left w:val="nil"/>
              <w:bottom w:val="nil"/>
              <w:right w:val="nil"/>
            </w:tcBorders>
            <w:shd w:val="clear" w:color="000000" w:fill="FFFFFF"/>
            <w:noWrap/>
            <w:vAlign w:val="bottom"/>
            <w:hideMark/>
          </w:tcPr>
          <w:p w14:paraId="3889FA66" w14:textId="77777777" w:rsidR="007A6A1A" w:rsidRPr="00167CB8" w:rsidRDefault="007A6A1A" w:rsidP="007A6A1A">
            <w:pPr>
              <w:spacing w:after="60"/>
              <w:jc w:val="right"/>
              <w:rPr>
                <w:lang w:eastAsia="en-AU"/>
              </w:rPr>
            </w:pPr>
            <w:r w:rsidRPr="00167CB8">
              <w:rPr>
                <w:lang w:eastAsia="en-AU"/>
              </w:rPr>
              <w:t>14,752</w:t>
            </w:r>
          </w:p>
        </w:tc>
        <w:tc>
          <w:tcPr>
            <w:tcW w:w="1337" w:type="dxa"/>
            <w:tcBorders>
              <w:top w:val="nil"/>
              <w:left w:val="nil"/>
              <w:bottom w:val="nil"/>
              <w:right w:val="nil"/>
            </w:tcBorders>
            <w:shd w:val="clear" w:color="000000" w:fill="FFFFFF"/>
            <w:noWrap/>
            <w:vAlign w:val="bottom"/>
            <w:hideMark/>
          </w:tcPr>
          <w:p w14:paraId="2057E3D0" w14:textId="77777777" w:rsidR="007A6A1A" w:rsidRPr="00167CB8" w:rsidRDefault="007A6A1A" w:rsidP="007A6A1A">
            <w:pPr>
              <w:spacing w:after="60"/>
              <w:jc w:val="right"/>
              <w:rPr>
                <w:lang w:eastAsia="en-AU"/>
              </w:rPr>
            </w:pPr>
            <w:r w:rsidRPr="00167CB8">
              <w:rPr>
                <w:lang w:eastAsia="en-AU"/>
              </w:rPr>
              <w:t>37.9%</w:t>
            </w:r>
          </w:p>
        </w:tc>
        <w:tc>
          <w:tcPr>
            <w:tcW w:w="1337" w:type="dxa"/>
            <w:tcBorders>
              <w:top w:val="nil"/>
              <w:left w:val="nil"/>
              <w:bottom w:val="nil"/>
              <w:right w:val="nil"/>
            </w:tcBorders>
            <w:shd w:val="clear" w:color="000000" w:fill="FFFFFF"/>
            <w:noWrap/>
            <w:vAlign w:val="bottom"/>
            <w:hideMark/>
          </w:tcPr>
          <w:p w14:paraId="66CB6459" w14:textId="77777777" w:rsidR="007A6A1A" w:rsidRPr="00167CB8" w:rsidRDefault="007A6A1A" w:rsidP="007A6A1A">
            <w:pPr>
              <w:spacing w:after="60"/>
              <w:jc w:val="right"/>
              <w:rPr>
                <w:lang w:eastAsia="en-AU"/>
              </w:rPr>
            </w:pPr>
            <w:r w:rsidRPr="00167CB8">
              <w:rPr>
                <w:lang w:eastAsia="en-AU"/>
              </w:rPr>
              <w:t>194</w:t>
            </w:r>
          </w:p>
        </w:tc>
        <w:tc>
          <w:tcPr>
            <w:tcW w:w="1337" w:type="dxa"/>
            <w:tcBorders>
              <w:top w:val="nil"/>
              <w:left w:val="nil"/>
              <w:bottom w:val="nil"/>
              <w:right w:val="nil"/>
            </w:tcBorders>
            <w:shd w:val="clear" w:color="000000" w:fill="FFFFFF"/>
            <w:noWrap/>
            <w:vAlign w:val="bottom"/>
            <w:hideMark/>
          </w:tcPr>
          <w:p w14:paraId="23D5969B" w14:textId="77777777" w:rsidR="007A6A1A" w:rsidRPr="00167CB8" w:rsidRDefault="007A6A1A" w:rsidP="007A6A1A">
            <w:pPr>
              <w:spacing w:after="60"/>
              <w:jc w:val="right"/>
              <w:rPr>
                <w:lang w:eastAsia="en-AU"/>
              </w:rPr>
            </w:pPr>
            <w:r w:rsidRPr="00167CB8">
              <w:rPr>
                <w:lang w:eastAsia="en-AU"/>
              </w:rPr>
              <w:t>2,070</w:t>
            </w:r>
          </w:p>
        </w:tc>
        <w:tc>
          <w:tcPr>
            <w:tcW w:w="1338" w:type="dxa"/>
            <w:tcBorders>
              <w:top w:val="nil"/>
              <w:left w:val="nil"/>
              <w:bottom w:val="nil"/>
              <w:right w:val="single" w:sz="8" w:space="0" w:color="auto"/>
            </w:tcBorders>
            <w:shd w:val="clear" w:color="000000" w:fill="FFFFFF"/>
            <w:noWrap/>
            <w:vAlign w:val="bottom"/>
            <w:hideMark/>
          </w:tcPr>
          <w:p w14:paraId="53FF7DD7" w14:textId="77777777" w:rsidR="007A6A1A" w:rsidRPr="00167CB8" w:rsidRDefault="007A6A1A" w:rsidP="007A6A1A">
            <w:pPr>
              <w:spacing w:after="60"/>
              <w:jc w:val="right"/>
              <w:rPr>
                <w:lang w:eastAsia="en-AU"/>
              </w:rPr>
            </w:pPr>
            <w:r w:rsidRPr="00167CB8">
              <w:rPr>
                <w:lang w:eastAsia="en-AU"/>
              </w:rPr>
              <w:t>9.4%</w:t>
            </w:r>
          </w:p>
        </w:tc>
      </w:tr>
      <w:tr w:rsidR="007A6A1A" w:rsidRPr="00167CB8" w14:paraId="5875DC56" w14:textId="77777777">
        <w:trPr>
          <w:trHeight w:val="300"/>
        </w:trPr>
        <w:tc>
          <w:tcPr>
            <w:tcW w:w="983" w:type="dxa"/>
            <w:tcBorders>
              <w:top w:val="nil"/>
              <w:left w:val="single" w:sz="8" w:space="0" w:color="auto"/>
              <w:bottom w:val="nil"/>
              <w:right w:val="nil"/>
            </w:tcBorders>
            <w:shd w:val="clear" w:color="C0E6F5" w:fill="FFFFFF"/>
            <w:noWrap/>
            <w:hideMark/>
          </w:tcPr>
          <w:p w14:paraId="04344258" w14:textId="77777777" w:rsidR="007A6A1A" w:rsidRPr="00167CB8" w:rsidRDefault="007A6A1A" w:rsidP="007A6A1A">
            <w:pPr>
              <w:spacing w:after="60"/>
              <w:rPr>
                <w:lang w:eastAsia="en-AU"/>
              </w:rPr>
            </w:pPr>
            <w:r w:rsidRPr="00167CB8">
              <w:rPr>
                <w:lang w:eastAsia="en-AU"/>
              </w:rPr>
              <w:t>2017</w:t>
            </w:r>
          </w:p>
        </w:tc>
        <w:tc>
          <w:tcPr>
            <w:tcW w:w="1337" w:type="dxa"/>
            <w:tcBorders>
              <w:top w:val="nil"/>
              <w:left w:val="nil"/>
              <w:bottom w:val="nil"/>
              <w:right w:val="nil"/>
            </w:tcBorders>
            <w:shd w:val="clear" w:color="000000" w:fill="FFFFFF"/>
            <w:noWrap/>
            <w:vAlign w:val="bottom"/>
            <w:hideMark/>
          </w:tcPr>
          <w:p w14:paraId="63E1DF64" w14:textId="77777777" w:rsidR="007A6A1A" w:rsidRPr="00167CB8" w:rsidRDefault="007A6A1A" w:rsidP="007A6A1A">
            <w:pPr>
              <w:spacing w:after="60"/>
              <w:jc w:val="right"/>
              <w:rPr>
                <w:lang w:eastAsia="en-AU"/>
              </w:rPr>
            </w:pPr>
            <w:r w:rsidRPr="00167CB8">
              <w:rPr>
                <w:lang w:eastAsia="en-AU"/>
              </w:rPr>
              <w:t>4,637</w:t>
            </w:r>
          </w:p>
        </w:tc>
        <w:tc>
          <w:tcPr>
            <w:tcW w:w="1337" w:type="dxa"/>
            <w:tcBorders>
              <w:top w:val="nil"/>
              <w:left w:val="nil"/>
              <w:bottom w:val="nil"/>
              <w:right w:val="nil"/>
            </w:tcBorders>
            <w:shd w:val="clear" w:color="000000" w:fill="FFFFFF"/>
            <w:noWrap/>
            <w:vAlign w:val="bottom"/>
            <w:hideMark/>
          </w:tcPr>
          <w:p w14:paraId="6B43ECB9" w14:textId="77777777" w:rsidR="007A6A1A" w:rsidRPr="00167CB8" w:rsidRDefault="007A6A1A" w:rsidP="007A6A1A">
            <w:pPr>
              <w:spacing w:after="60"/>
              <w:jc w:val="right"/>
              <w:rPr>
                <w:lang w:eastAsia="en-AU"/>
              </w:rPr>
            </w:pPr>
            <w:r w:rsidRPr="00167CB8">
              <w:rPr>
                <w:lang w:eastAsia="en-AU"/>
              </w:rPr>
              <w:t>13,072</w:t>
            </w:r>
          </w:p>
        </w:tc>
        <w:tc>
          <w:tcPr>
            <w:tcW w:w="1337" w:type="dxa"/>
            <w:tcBorders>
              <w:top w:val="nil"/>
              <w:left w:val="nil"/>
              <w:bottom w:val="nil"/>
              <w:right w:val="nil"/>
            </w:tcBorders>
            <w:shd w:val="clear" w:color="000000" w:fill="FFFFFF"/>
            <w:noWrap/>
            <w:vAlign w:val="bottom"/>
            <w:hideMark/>
          </w:tcPr>
          <w:p w14:paraId="27DD568A" w14:textId="77777777" w:rsidR="007A6A1A" w:rsidRPr="00167CB8" w:rsidRDefault="007A6A1A" w:rsidP="007A6A1A">
            <w:pPr>
              <w:spacing w:after="60"/>
              <w:jc w:val="right"/>
              <w:rPr>
                <w:lang w:eastAsia="en-AU"/>
              </w:rPr>
            </w:pPr>
            <w:r w:rsidRPr="00167CB8">
              <w:rPr>
                <w:lang w:eastAsia="en-AU"/>
              </w:rPr>
              <w:t>35.5%</w:t>
            </w:r>
          </w:p>
        </w:tc>
        <w:tc>
          <w:tcPr>
            <w:tcW w:w="1337" w:type="dxa"/>
            <w:tcBorders>
              <w:top w:val="nil"/>
              <w:left w:val="nil"/>
              <w:bottom w:val="nil"/>
              <w:right w:val="nil"/>
            </w:tcBorders>
            <w:shd w:val="clear" w:color="000000" w:fill="FFFFFF"/>
            <w:noWrap/>
            <w:vAlign w:val="bottom"/>
            <w:hideMark/>
          </w:tcPr>
          <w:p w14:paraId="714DC42C" w14:textId="77777777" w:rsidR="007A6A1A" w:rsidRPr="00167CB8" w:rsidRDefault="007A6A1A" w:rsidP="007A6A1A">
            <w:pPr>
              <w:spacing w:after="60"/>
              <w:jc w:val="right"/>
              <w:rPr>
                <w:lang w:eastAsia="en-AU"/>
              </w:rPr>
            </w:pPr>
            <w:r w:rsidRPr="00167CB8">
              <w:rPr>
                <w:lang w:eastAsia="en-AU"/>
              </w:rPr>
              <w:t>169</w:t>
            </w:r>
          </w:p>
        </w:tc>
        <w:tc>
          <w:tcPr>
            <w:tcW w:w="1337" w:type="dxa"/>
            <w:tcBorders>
              <w:top w:val="nil"/>
              <w:left w:val="nil"/>
              <w:bottom w:val="nil"/>
              <w:right w:val="nil"/>
            </w:tcBorders>
            <w:shd w:val="clear" w:color="000000" w:fill="FFFFFF"/>
            <w:noWrap/>
            <w:vAlign w:val="bottom"/>
            <w:hideMark/>
          </w:tcPr>
          <w:p w14:paraId="4F6BB63B" w14:textId="77777777" w:rsidR="007A6A1A" w:rsidRPr="00167CB8" w:rsidRDefault="007A6A1A" w:rsidP="007A6A1A">
            <w:pPr>
              <w:spacing w:after="60"/>
              <w:jc w:val="right"/>
              <w:rPr>
                <w:lang w:eastAsia="en-AU"/>
              </w:rPr>
            </w:pPr>
            <w:r w:rsidRPr="00167CB8">
              <w:rPr>
                <w:lang w:eastAsia="en-AU"/>
              </w:rPr>
              <w:t>1,822</w:t>
            </w:r>
          </w:p>
        </w:tc>
        <w:tc>
          <w:tcPr>
            <w:tcW w:w="1338" w:type="dxa"/>
            <w:tcBorders>
              <w:top w:val="nil"/>
              <w:left w:val="nil"/>
              <w:bottom w:val="nil"/>
              <w:right w:val="single" w:sz="8" w:space="0" w:color="auto"/>
            </w:tcBorders>
            <w:shd w:val="clear" w:color="000000" w:fill="FFFFFF"/>
            <w:noWrap/>
            <w:vAlign w:val="bottom"/>
            <w:hideMark/>
          </w:tcPr>
          <w:p w14:paraId="723AE526" w14:textId="77777777" w:rsidR="007A6A1A" w:rsidRPr="00167CB8" w:rsidRDefault="007A6A1A" w:rsidP="007A6A1A">
            <w:pPr>
              <w:spacing w:after="60"/>
              <w:jc w:val="right"/>
              <w:rPr>
                <w:lang w:eastAsia="en-AU"/>
              </w:rPr>
            </w:pPr>
            <w:r w:rsidRPr="00167CB8">
              <w:rPr>
                <w:lang w:eastAsia="en-AU"/>
              </w:rPr>
              <w:t>9.3%</w:t>
            </w:r>
          </w:p>
        </w:tc>
      </w:tr>
      <w:tr w:rsidR="007A6A1A" w:rsidRPr="00167CB8" w14:paraId="4F3DAE85" w14:textId="77777777">
        <w:trPr>
          <w:trHeight w:val="300"/>
        </w:trPr>
        <w:tc>
          <w:tcPr>
            <w:tcW w:w="983" w:type="dxa"/>
            <w:tcBorders>
              <w:top w:val="nil"/>
              <w:left w:val="single" w:sz="8" w:space="0" w:color="auto"/>
              <w:bottom w:val="nil"/>
              <w:right w:val="nil"/>
            </w:tcBorders>
            <w:shd w:val="clear" w:color="C0E6F5" w:fill="FFFFFF"/>
            <w:noWrap/>
            <w:hideMark/>
          </w:tcPr>
          <w:p w14:paraId="3C92C10F" w14:textId="77777777" w:rsidR="007A6A1A" w:rsidRPr="00167CB8" w:rsidRDefault="007A6A1A" w:rsidP="007A6A1A">
            <w:pPr>
              <w:spacing w:after="60"/>
              <w:rPr>
                <w:lang w:eastAsia="en-AU"/>
              </w:rPr>
            </w:pPr>
            <w:r w:rsidRPr="00167CB8">
              <w:rPr>
                <w:lang w:eastAsia="en-AU"/>
              </w:rPr>
              <w:t>2018</w:t>
            </w:r>
          </w:p>
        </w:tc>
        <w:tc>
          <w:tcPr>
            <w:tcW w:w="1337" w:type="dxa"/>
            <w:tcBorders>
              <w:top w:val="nil"/>
              <w:left w:val="nil"/>
              <w:bottom w:val="nil"/>
              <w:right w:val="nil"/>
            </w:tcBorders>
            <w:shd w:val="clear" w:color="000000" w:fill="FFFFFF"/>
            <w:noWrap/>
            <w:vAlign w:val="bottom"/>
            <w:hideMark/>
          </w:tcPr>
          <w:p w14:paraId="650532EA" w14:textId="77777777" w:rsidR="007A6A1A" w:rsidRPr="00167CB8" w:rsidRDefault="007A6A1A" w:rsidP="007A6A1A">
            <w:pPr>
              <w:spacing w:after="60"/>
              <w:jc w:val="right"/>
              <w:rPr>
                <w:lang w:eastAsia="en-AU"/>
              </w:rPr>
            </w:pPr>
            <w:r w:rsidRPr="00167CB8">
              <w:rPr>
                <w:lang w:eastAsia="en-AU"/>
              </w:rPr>
              <w:t>3,824</w:t>
            </w:r>
          </w:p>
        </w:tc>
        <w:tc>
          <w:tcPr>
            <w:tcW w:w="1337" w:type="dxa"/>
            <w:tcBorders>
              <w:top w:val="nil"/>
              <w:left w:val="nil"/>
              <w:bottom w:val="nil"/>
              <w:right w:val="nil"/>
            </w:tcBorders>
            <w:shd w:val="clear" w:color="000000" w:fill="FFFFFF"/>
            <w:noWrap/>
            <w:vAlign w:val="bottom"/>
            <w:hideMark/>
          </w:tcPr>
          <w:p w14:paraId="137F2C61" w14:textId="77777777" w:rsidR="007A6A1A" w:rsidRPr="00167CB8" w:rsidRDefault="007A6A1A" w:rsidP="007A6A1A">
            <w:pPr>
              <w:spacing w:after="60"/>
              <w:jc w:val="right"/>
              <w:rPr>
                <w:lang w:eastAsia="en-AU"/>
              </w:rPr>
            </w:pPr>
            <w:r w:rsidRPr="00167CB8">
              <w:rPr>
                <w:lang w:eastAsia="en-AU"/>
              </w:rPr>
              <w:t>10,994</w:t>
            </w:r>
          </w:p>
        </w:tc>
        <w:tc>
          <w:tcPr>
            <w:tcW w:w="1337" w:type="dxa"/>
            <w:tcBorders>
              <w:top w:val="nil"/>
              <w:left w:val="nil"/>
              <w:bottom w:val="nil"/>
              <w:right w:val="nil"/>
            </w:tcBorders>
            <w:shd w:val="clear" w:color="000000" w:fill="FFFFFF"/>
            <w:noWrap/>
            <w:vAlign w:val="bottom"/>
            <w:hideMark/>
          </w:tcPr>
          <w:p w14:paraId="10D631E6" w14:textId="77777777" w:rsidR="007A6A1A" w:rsidRPr="00167CB8" w:rsidRDefault="007A6A1A" w:rsidP="007A6A1A">
            <w:pPr>
              <w:spacing w:after="60"/>
              <w:jc w:val="right"/>
              <w:rPr>
                <w:lang w:eastAsia="en-AU"/>
              </w:rPr>
            </w:pPr>
            <w:r w:rsidRPr="00167CB8">
              <w:rPr>
                <w:lang w:eastAsia="en-AU"/>
              </w:rPr>
              <w:t>34.8%</w:t>
            </w:r>
          </w:p>
        </w:tc>
        <w:tc>
          <w:tcPr>
            <w:tcW w:w="1337" w:type="dxa"/>
            <w:tcBorders>
              <w:top w:val="nil"/>
              <w:left w:val="nil"/>
              <w:bottom w:val="nil"/>
              <w:right w:val="nil"/>
            </w:tcBorders>
            <w:shd w:val="clear" w:color="000000" w:fill="FFFFFF"/>
            <w:noWrap/>
            <w:vAlign w:val="bottom"/>
            <w:hideMark/>
          </w:tcPr>
          <w:p w14:paraId="044501ED" w14:textId="77777777" w:rsidR="007A6A1A" w:rsidRPr="00167CB8" w:rsidRDefault="007A6A1A" w:rsidP="007A6A1A">
            <w:pPr>
              <w:spacing w:after="60"/>
              <w:jc w:val="right"/>
              <w:rPr>
                <w:lang w:eastAsia="en-AU"/>
              </w:rPr>
            </w:pPr>
            <w:r w:rsidRPr="00167CB8">
              <w:rPr>
                <w:lang w:eastAsia="en-AU"/>
              </w:rPr>
              <w:t>121</w:t>
            </w:r>
          </w:p>
        </w:tc>
        <w:tc>
          <w:tcPr>
            <w:tcW w:w="1337" w:type="dxa"/>
            <w:tcBorders>
              <w:top w:val="nil"/>
              <w:left w:val="nil"/>
              <w:bottom w:val="nil"/>
              <w:right w:val="nil"/>
            </w:tcBorders>
            <w:shd w:val="clear" w:color="000000" w:fill="FFFFFF"/>
            <w:noWrap/>
            <w:vAlign w:val="bottom"/>
            <w:hideMark/>
          </w:tcPr>
          <w:p w14:paraId="66678B81" w14:textId="77777777" w:rsidR="007A6A1A" w:rsidRPr="00167CB8" w:rsidRDefault="007A6A1A" w:rsidP="007A6A1A">
            <w:pPr>
              <w:spacing w:after="60"/>
              <w:jc w:val="right"/>
              <w:rPr>
                <w:lang w:eastAsia="en-AU"/>
              </w:rPr>
            </w:pPr>
            <w:r w:rsidRPr="00167CB8">
              <w:rPr>
                <w:lang w:eastAsia="en-AU"/>
              </w:rPr>
              <w:t>1,893</w:t>
            </w:r>
          </w:p>
        </w:tc>
        <w:tc>
          <w:tcPr>
            <w:tcW w:w="1338" w:type="dxa"/>
            <w:tcBorders>
              <w:top w:val="nil"/>
              <w:left w:val="nil"/>
              <w:bottom w:val="nil"/>
              <w:right w:val="single" w:sz="8" w:space="0" w:color="auto"/>
            </w:tcBorders>
            <w:shd w:val="clear" w:color="000000" w:fill="FFFFFF"/>
            <w:noWrap/>
            <w:vAlign w:val="bottom"/>
            <w:hideMark/>
          </w:tcPr>
          <w:p w14:paraId="2D5FCCB9" w14:textId="77777777" w:rsidR="007A6A1A" w:rsidRPr="00167CB8" w:rsidRDefault="007A6A1A" w:rsidP="007A6A1A">
            <w:pPr>
              <w:spacing w:after="60"/>
              <w:jc w:val="right"/>
              <w:rPr>
                <w:lang w:eastAsia="en-AU"/>
              </w:rPr>
            </w:pPr>
            <w:r w:rsidRPr="00167CB8">
              <w:rPr>
                <w:lang w:eastAsia="en-AU"/>
              </w:rPr>
              <w:t>6.4%</w:t>
            </w:r>
          </w:p>
        </w:tc>
      </w:tr>
      <w:tr w:rsidR="007A6A1A" w:rsidRPr="00167CB8" w14:paraId="62701C46" w14:textId="77777777">
        <w:trPr>
          <w:trHeight w:val="300"/>
        </w:trPr>
        <w:tc>
          <w:tcPr>
            <w:tcW w:w="983" w:type="dxa"/>
            <w:tcBorders>
              <w:top w:val="nil"/>
              <w:left w:val="single" w:sz="8" w:space="0" w:color="auto"/>
              <w:bottom w:val="nil"/>
              <w:right w:val="nil"/>
            </w:tcBorders>
            <w:shd w:val="clear" w:color="C0E6F5" w:fill="FFFFFF"/>
            <w:noWrap/>
            <w:hideMark/>
          </w:tcPr>
          <w:p w14:paraId="0C5D11F1" w14:textId="77777777" w:rsidR="007A6A1A" w:rsidRPr="00167CB8" w:rsidRDefault="007A6A1A" w:rsidP="007A6A1A">
            <w:pPr>
              <w:spacing w:after="60"/>
              <w:rPr>
                <w:lang w:eastAsia="en-AU"/>
              </w:rPr>
            </w:pPr>
            <w:r w:rsidRPr="00167CB8">
              <w:rPr>
                <w:lang w:eastAsia="en-AU"/>
              </w:rPr>
              <w:t>2019</w:t>
            </w:r>
          </w:p>
        </w:tc>
        <w:tc>
          <w:tcPr>
            <w:tcW w:w="1337" w:type="dxa"/>
            <w:tcBorders>
              <w:top w:val="nil"/>
              <w:left w:val="nil"/>
              <w:bottom w:val="nil"/>
              <w:right w:val="nil"/>
            </w:tcBorders>
            <w:shd w:val="clear" w:color="000000" w:fill="FFFFFF"/>
            <w:noWrap/>
            <w:vAlign w:val="bottom"/>
            <w:hideMark/>
          </w:tcPr>
          <w:p w14:paraId="6985F40F" w14:textId="77777777" w:rsidR="007A6A1A" w:rsidRPr="00167CB8" w:rsidRDefault="007A6A1A" w:rsidP="007A6A1A">
            <w:pPr>
              <w:spacing w:after="60"/>
              <w:jc w:val="right"/>
              <w:rPr>
                <w:lang w:eastAsia="en-AU"/>
              </w:rPr>
            </w:pPr>
            <w:r w:rsidRPr="00167CB8">
              <w:rPr>
                <w:lang w:eastAsia="en-AU"/>
              </w:rPr>
              <w:t>3,795</w:t>
            </w:r>
          </w:p>
        </w:tc>
        <w:tc>
          <w:tcPr>
            <w:tcW w:w="1337" w:type="dxa"/>
            <w:tcBorders>
              <w:top w:val="nil"/>
              <w:left w:val="nil"/>
              <w:bottom w:val="nil"/>
              <w:right w:val="nil"/>
            </w:tcBorders>
            <w:shd w:val="clear" w:color="000000" w:fill="FFFFFF"/>
            <w:noWrap/>
            <w:vAlign w:val="bottom"/>
            <w:hideMark/>
          </w:tcPr>
          <w:p w14:paraId="52F0D56A" w14:textId="77777777" w:rsidR="007A6A1A" w:rsidRPr="00167CB8" w:rsidRDefault="007A6A1A" w:rsidP="007A6A1A">
            <w:pPr>
              <w:spacing w:after="60"/>
              <w:jc w:val="right"/>
              <w:rPr>
                <w:lang w:eastAsia="en-AU"/>
              </w:rPr>
            </w:pPr>
            <w:r w:rsidRPr="00167CB8">
              <w:rPr>
                <w:lang w:eastAsia="en-AU"/>
              </w:rPr>
              <w:t>10,831</w:t>
            </w:r>
          </w:p>
        </w:tc>
        <w:tc>
          <w:tcPr>
            <w:tcW w:w="1337" w:type="dxa"/>
            <w:tcBorders>
              <w:top w:val="nil"/>
              <w:left w:val="nil"/>
              <w:bottom w:val="nil"/>
              <w:right w:val="nil"/>
            </w:tcBorders>
            <w:shd w:val="clear" w:color="000000" w:fill="FFFFFF"/>
            <w:noWrap/>
            <w:vAlign w:val="bottom"/>
            <w:hideMark/>
          </w:tcPr>
          <w:p w14:paraId="7C3827E9" w14:textId="77777777" w:rsidR="007A6A1A" w:rsidRPr="00167CB8" w:rsidRDefault="007A6A1A" w:rsidP="007A6A1A">
            <w:pPr>
              <w:spacing w:after="60"/>
              <w:jc w:val="right"/>
              <w:rPr>
                <w:lang w:eastAsia="en-AU"/>
              </w:rPr>
            </w:pPr>
            <w:r w:rsidRPr="00167CB8">
              <w:rPr>
                <w:lang w:eastAsia="en-AU"/>
              </w:rPr>
              <w:t>35.0%</w:t>
            </w:r>
          </w:p>
        </w:tc>
        <w:tc>
          <w:tcPr>
            <w:tcW w:w="1337" w:type="dxa"/>
            <w:tcBorders>
              <w:top w:val="nil"/>
              <w:left w:val="nil"/>
              <w:bottom w:val="nil"/>
              <w:right w:val="nil"/>
            </w:tcBorders>
            <w:shd w:val="clear" w:color="000000" w:fill="FFFFFF"/>
            <w:noWrap/>
            <w:vAlign w:val="bottom"/>
            <w:hideMark/>
          </w:tcPr>
          <w:p w14:paraId="115FFEC6" w14:textId="77777777" w:rsidR="007A6A1A" w:rsidRPr="00167CB8" w:rsidRDefault="007A6A1A" w:rsidP="007A6A1A">
            <w:pPr>
              <w:spacing w:after="60"/>
              <w:jc w:val="right"/>
              <w:rPr>
                <w:lang w:eastAsia="en-AU"/>
              </w:rPr>
            </w:pPr>
            <w:r w:rsidRPr="00167CB8">
              <w:rPr>
                <w:lang w:eastAsia="en-AU"/>
              </w:rPr>
              <w:t>120</w:t>
            </w:r>
          </w:p>
        </w:tc>
        <w:tc>
          <w:tcPr>
            <w:tcW w:w="1337" w:type="dxa"/>
            <w:tcBorders>
              <w:top w:val="nil"/>
              <w:left w:val="nil"/>
              <w:bottom w:val="nil"/>
              <w:right w:val="nil"/>
            </w:tcBorders>
            <w:shd w:val="clear" w:color="000000" w:fill="FFFFFF"/>
            <w:noWrap/>
            <w:vAlign w:val="bottom"/>
            <w:hideMark/>
          </w:tcPr>
          <w:p w14:paraId="2ABD9F6A" w14:textId="77777777" w:rsidR="007A6A1A" w:rsidRPr="00167CB8" w:rsidRDefault="007A6A1A" w:rsidP="007A6A1A">
            <w:pPr>
              <w:spacing w:after="60"/>
              <w:jc w:val="right"/>
              <w:rPr>
                <w:lang w:eastAsia="en-AU"/>
              </w:rPr>
            </w:pPr>
            <w:r w:rsidRPr="00167CB8">
              <w:rPr>
                <w:lang w:eastAsia="en-AU"/>
              </w:rPr>
              <w:t>2,255</w:t>
            </w:r>
          </w:p>
        </w:tc>
        <w:tc>
          <w:tcPr>
            <w:tcW w:w="1338" w:type="dxa"/>
            <w:tcBorders>
              <w:top w:val="nil"/>
              <w:left w:val="nil"/>
              <w:bottom w:val="nil"/>
              <w:right w:val="single" w:sz="8" w:space="0" w:color="auto"/>
            </w:tcBorders>
            <w:shd w:val="clear" w:color="000000" w:fill="FFFFFF"/>
            <w:noWrap/>
            <w:vAlign w:val="bottom"/>
            <w:hideMark/>
          </w:tcPr>
          <w:p w14:paraId="479962CD" w14:textId="77777777" w:rsidR="007A6A1A" w:rsidRPr="00167CB8" w:rsidRDefault="007A6A1A" w:rsidP="007A6A1A">
            <w:pPr>
              <w:spacing w:after="60"/>
              <w:jc w:val="right"/>
              <w:rPr>
                <w:lang w:eastAsia="en-AU"/>
              </w:rPr>
            </w:pPr>
            <w:r w:rsidRPr="00167CB8">
              <w:rPr>
                <w:lang w:eastAsia="en-AU"/>
              </w:rPr>
              <w:t>5.3%</w:t>
            </w:r>
          </w:p>
        </w:tc>
      </w:tr>
      <w:tr w:rsidR="007A6A1A" w:rsidRPr="00167CB8" w14:paraId="29045049" w14:textId="77777777">
        <w:trPr>
          <w:trHeight w:val="300"/>
        </w:trPr>
        <w:tc>
          <w:tcPr>
            <w:tcW w:w="983" w:type="dxa"/>
            <w:tcBorders>
              <w:top w:val="nil"/>
              <w:left w:val="single" w:sz="8" w:space="0" w:color="auto"/>
              <w:bottom w:val="nil"/>
              <w:right w:val="nil"/>
            </w:tcBorders>
            <w:shd w:val="clear" w:color="C0E6F5" w:fill="FFFFFF"/>
            <w:noWrap/>
            <w:hideMark/>
          </w:tcPr>
          <w:p w14:paraId="01F9A66A" w14:textId="77777777" w:rsidR="007A6A1A" w:rsidRPr="00167CB8" w:rsidRDefault="007A6A1A" w:rsidP="007A6A1A">
            <w:pPr>
              <w:spacing w:after="60"/>
              <w:rPr>
                <w:lang w:eastAsia="en-AU"/>
              </w:rPr>
            </w:pPr>
            <w:r w:rsidRPr="00167CB8">
              <w:rPr>
                <w:lang w:eastAsia="en-AU"/>
              </w:rPr>
              <w:t>2020</w:t>
            </w:r>
          </w:p>
        </w:tc>
        <w:tc>
          <w:tcPr>
            <w:tcW w:w="1337" w:type="dxa"/>
            <w:tcBorders>
              <w:top w:val="nil"/>
              <w:left w:val="nil"/>
              <w:bottom w:val="nil"/>
              <w:right w:val="nil"/>
            </w:tcBorders>
            <w:shd w:val="clear" w:color="000000" w:fill="FFFFFF"/>
            <w:noWrap/>
            <w:vAlign w:val="bottom"/>
            <w:hideMark/>
          </w:tcPr>
          <w:p w14:paraId="6171E315" w14:textId="77777777" w:rsidR="007A6A1A" w:rsidRPr="00167CB8" w:rsidRDefault="007A6A1A" w:rsidP="007A6A1A">
            <w:pPr>
              <w:spacing w:after="60"/>
              <w:jc w:val="right"/>
              <w:rPr>
                <w:lang w:eastAsia="en-AU"/>
              </w:rPr>
            </w:pPr>
            <w:r w:rsidRPr="00167CB8">
              <w:rPr>
                <w:lang w:eastAsia="en-AU"/>
              </w:rPr>
              <w:t>3,335</w:t>
            </w:r>
          </w:p>
        </w:tc>
        <w:tc>
          <w:tcPr>
            <w:tcW w:w="1337" w:type="dxa"/>
            <w:tcBorders>
              <w:top w:val="nil"/>
              <w:left w:val="nil"/>
              <w:bottom w:val="nil"/>
              <w:right w:val="nil"/>
            </w:tcBorders>
            <w:shd w:val="clear" w:color="000000" w:fill="FFFFFF"/>
            <w:noWrap/>
            <w:vAlign w:val="bottom"/>
            <w:hideMark/>
          </w:tcPr>
          <w:p w14:paraId="69218DC5" w14:textId="77777777" w:rsidR="007A6A1A" w:rsidRPr="00167CB8" w:rsidRDefault="007A6A1A" w:rsidP="007A6A1A">
            <w:pPr>
              <w:spacing w:after="60"/>
              <w:jc w:val="right"/>
              <w:rPr>
                <w:lang w:eastAsia="en-AU"/>
              </w:rPr>
            </w:pPr>
            <w:r w:rsidRPr="00167CB8">
              <w:rPr>
                <w:lang w:eastAsia="en-AU"/>
              </w:rPr>
              <w:t>10,084</w:t>
            </w:r>
          </w:p>
        </w:tc>
        <w:tc>
          <w:tcPr>
            <w:tcW w:w="1337" w:type="dxa"/>
            <w:tcBorders>
              <w:top w:val="nil"/>
              <w:left w:val="nil"/>
              <w:bottom w:val="nil"/>
              <w:right w:val="nil"/>
            </w:tcBorders>
            <w:shd w:val="clear" w:color="000000" w:fill="FFFFFF"/>
            <w:noWrap/>
            <w:vAlign w:val="bottom"/>
            <w:hideMark/>
          </w:tcPr>
          <w:p w14:paraId="4748BA0C" w14:textId="77777777" w:rsidR="007A6A1A" w:rsidRPr="00167CB8" w:rsidRDefault="007A6A1A" w:rsidP="007A6A1A">
            <w:pPr>
              <w:spacing w:after="60"/>
              <w:jc w:val="right"/>
              <w:rPr>
                <w:lang w:eastAsia="en-AU"/>
              </w:rPr>
            </w:pPr>
            <w:r w:rsidRPr="00167CB8">
              <w:rPr>
                <w:lang w:eastAsia="en-AU"/>
              </w:rPr>
              <w:t>33.1%</w:t>
            </w:r>
          </w:p>
        </w:tc>
        <w:tc>
          <w:tcPr>
            <w:tcW w:w="1337" w:type="dxa"/>
            <w:tcBorders>
              <w:top w:val="nil"/>
              <w:left w:val="nil"/>
              <w:bottom w:val="nil"/>
              <w:right w:val="nil"/>
            </w:tcBorders>
            <w:shd w:val="clear" w:color="000000" w:fill="FFFFFF"/>
            <w:noWrap/>
            <w:vAlign w:val="bottom"/>
            <w:hideMark/>
          </w:tcPr>
          <w:p w14:paraId="4C164563" w14:textId="77777777" w:rsidR="007A6A1A" w:rsidRPr="00167CB8" w:rsidRDefault="007A6A1A" w:rsidP="007A6A1A">
            <w:pPr>
              <w:spacing w:after="60"/>
              <w:jc w:val="right"/>
              <w:rPr>
                <w:lang w:eastAsia="en-AU"/>
              </w:rPr>
            </w:pPr>
            <w:r w:rsidRPr="00167CB8">
              <w:rPr>
                <w:lang w:eastAsia="en-AU"/>
              </w:rPr>
              <w:t>110</w:t>
            </w:r>
          </w:p>
        </w:tc>
        <w:tc>
          <w:tcPr>
            <w:tcW w:w="1337" w:type="dxa"/>
            <w:tcBorders>
              <w:top w:val="nil"/>
              <w:left w:val="nil"/>
              <w:bottom w:val="nil"/>
              <w:right w:val="nil"/>
            </w:tcBorders>
            <w:shd w:val="clear" w:color="000000" w:fill="FFFFFF"/>
            <w:noWrap/>
            <w:vAlign w:val="bottom"/>
            <w:hideMark/>
          </w:tcPr>
          <w:p w14:paraId="0D70B771" w14:textId="77777777" w:rsidR="007A6A1A" w:rsidRPr="00167CB8" w:rsidRDefault="007A6A1A" w:rsidP="007A6A1A">
            <w:pPr>
              <w:spacing w:after="60"/>
              <w:jc w:val="right"/>
              <w:rPr>
                <w:lang w:eastAsia="en-AU"/>
              </w:rPr>
            </w:pPr>
            <w:r w:rsidRPr="00167CB8">
              <w:rPr>
                <w:lang w:eastAsia="en-AU"/>
              </w:rPr>
              <w:t>1,910</w:t>
            </w:r>
          </w:p>
        </w:tc>
        <w:tc>
          <w:tcPr>
            <w:tcW w:w="1338" w:type="dxa"/>
            <w:tcBorders>
              <w:top w:val="nil"/>
              <w:left w:val="nil"/>
              <w:bottom w:val="nil"/>
              <w:right w:val="single" w:sz="8" w:space="0" w:color="auto"/>
            </w:tcBorders>
            <w:shd w:val="clear" w:color="000000" w:fill="FFFFFF"/>
            <w:noWrap/>
            <w:vAlign w:val="bottom"/>
            <w:hideMark/>
          </w:tcPr>
          <w:p w14:paraId="383A20AD" w14:textId="77777777" w:rsidR="007A6A1A" w:rsidRPr="00167CB8" w:rsidRDefault="007A6A1A" w:rsidP="007A6A1A">
            <w:pPr>
              <w:spacing w:after="60"/>
              <w:jc w:val="right"/>
              <w:rPr>
                <w:lang w:eastAsia="en-AU"/>
              </w:rPr>
            </w:pPr>
            <w:r w:rsidRPr="00167CB8">
              <w:rPr>
                <w:lang w:eastAsia="en-AU"/>
              </w:rPr>
              <w:t>5.8%</w:t>
            </w:r>
          </w:p>
        </w:tc>
      </w:tr>
      <w:tr w:rsidR="007A6A1A" w:rsidRPr="00167CB8" w14:paraId="7F29334D" w14:textId="77777777">
        <w:trPr>
          <w:trHeight w:val="300"/>
        </w:trPr>
        <w:tc>
          <w:tcPr>
            <w:tcW w:w="983" w:type="dxa"/>
            <w:tcBorders>
              <w:top w:val="nil"/>
              <w:left w:val="single" w:sz="8" w:space="0" w:color="auto"/>
              <w:bottom w:val="nil"/>
              <w:right w:val="nil"/>
            </w:tcBorders>
            <w:shd w:val="clear" w:color="C0E6F5" w:fill="FFFFFF"/>
            <w:noWrap/>
            <w:hideMark/>
          </w:tcPr>
          <w:p w14:paraId="2588C648" w14:textId="77777777" w:rsidR="007A6A1A" w:rsidRPr="00167CB8" w:rsidRDefault="007A6A1A" w:rsidP="007A6A1A">
            <w:pPr>
              <w:spacing w:after="60"/>
              <w:rPr>
                <w:lang w:eastAsia="en-AU"/>
              </w:rPr>
            </w:pPr>
            <w:r w:rsidRPr="00167CB8">
              <w:rPr>
                <w:lang w:eastAsia="en-AU"/>
              </w:rPr>
              <w:t>2021</w:t>
            </w:r>
          </w:p>
        </w:tc>
        <w:tc>
          <w:tcPr>
            <w:tcW w:w="1337" w:type="dxa"/>
            <w:tcBorders>
              <w:top w:val="nil"/>
              <w:left w:val="nil"/>
              <w:bottom w:val="nil"/>
              <w:right w:val="nil"/>
            </w:tcBorders>
            <w:shd w:val="clear" w:color="000000" w:fill="FFFFFF"/>
            <w:noWrap/>
            <w:vAlign w:val="bottom"/>
            <w:hideMark/>
          </w:tcPr>
          <w:p w14:paraId="0B2B6FC2" w14:textId="77777777" w:rsidR="007A6A1A" w:rsidRPr="00167CB8" w:rsidRDefault="007A6A1A" w:rsidP="007A6A1A">
            <w:pPr>
              <w:spacing w:after="60"/>
              <w:jc w:val="right"/>
              <w:rPr>
                <w:lang w:eastAsia="en-AU"/>
              </w:rPr>
            </w:pPr>
            <w:r w:rsidRPr="00167CB8">
              <w:rPr>
                <w:lang w:eastAsia="en-AU"/>
              </w:rPr>
              <w:t>3,091</w:t>
            </w:r>
          </w:p>
        </w:tc>
        <w:tc>
          <w:tcPr>
            <w:tcW w:w="1337" w:type="dxa"/>
            <w:tcBorders>
              <w:top w:val="nil"/>
              <w:left w:val="nil"/>
              <w:bottom w:val="nil"/>
              <w:right w:val="nil"/>
            </w:tcBorders>
            <w:shd w:val="clear" w:color="000000" w:fill="FFFFFF"/>
            <w:noWrap/>
            <w:vAlign w:val="bottom"/>
            <w:hideMark/>
          </w:tcPr>
          <w:p w14:paraId="1C6B106A" w14:textId="77777777" w:rsidR="007A6A1A" w:rsidRPr="00167CB8" w:rsidRDefault="007A6A1A" w:rsidP="007A6A1A">
            <w:pPr>
              <w:spacing w:after="60"/>
              <w:jc w:val="right"/>
              <w:rPr>
                <w:lang w:eastAsia="en-AU"/>
              </w:rPr>
            </w:pPr>
            <w:r w:rsidRPr="00167CB8">
              <w:rPr>
                <w:lang w:eastAsia="en-AU"/>
              </w:rPr>
              <w:t>10,741</w:t>
            </w:r>
          </w:p>
        </w:tc>
        <w:tc>
          <w:tcPr>
            <w:tcW w:w="1337" w:type="dxa"/>
            <w:tcBorders>
              <w:top w:val="nil"/>
              <w:left w:val="nil"/>
              <w:bottom w:val="nil"/>
              <w:right w:val="nil"/>
            </w:tcBorders>
            <w:shd w:val="clear" w:color="000000" w:fill="FFFFFF"/>
            <w:noWrap/>
            <w:vAlign w:val="bottom"/>
            <w:hideMark/>
          </w:tcPr>
          <w:p w14:paraId="5261690E" w14:textId="77777777" w:rsidR="007A6A1A" w:rsidRPr="00167CB8" w:rsidRDefault="007A6A1A" w:rsidP="007A6A1A">
            <w:pPr>
              <w:spacing w:after="60"/>
              <w:jc w:val="right"/>
              <w:rPr>
                <w:lang w:eastAsia="en-AU"/>
              </w:rPr>
            </w:pPr>
            <w:r w:rsidRPr="00167CB8">
              <w:rPr>
                <w:lang w:eastAsia="en-AU"/>
              </w:rPr>
              <w:t>28.8%</w:t>
            </w:r>
          </w:p>
        </w:tc>
        <w:tc>
          <w:tcPr>
            <w:tcW w:w="1337" w:type="dxa"/>
            <w:tcBorders>
              <w:top w:val="nil"/>
              <w:left w:val="nil"/>
              <w:bottom w:val="nil"/>
              <w:right w:val="nil"/>
            </w:tcBorders>
            <w:shd w:val="clear" w:color="000000" w:fill="FFFFFF"/>
            <w:noWrap/>
            <w:vAlign w:val="bottom"/>
            <w:hideMark/>
          </w:tcPr>
          <w:p w14:paraId="7E0820EA" w14:textId="77777777" w:rsidR="007A6A1A" w:rsidRPr="00167CB8" w:rsidRDefault="007A6A1A" w:rsidP="007A6A1A">
            <w:pPr>
              <w:spacing w:after="60"/>
              <w:jc w:val="right"/>
              <w:rPr>
                <w:lang w:eastAsia="en-AU"/>
              </w:rPr>
            </w:pPr>
            <w:r w:rsidRPr="00167CB8">
              <w:rPr>
                <w:lang w:eastAsia="en-AU"/>
              </w:rPr>
              <w:t>107</w:t>
            </w:r>
          </w:p>
        </w:tc>
        <w:tc>
          <w:tcPr>
            <w:tcW w:w="1337" w:type="dxa"/>
            <w:tcBorders>
              <w:top w:val="nil"/>
              <w:left w:val="nil"/>
              <w:bottom w:val="nil"/>
              <w:right w:val="nil"/>
            </w:tcBorders>
            <w:shd w:val="clear" w:color="000000" w:fill="FFFFFF"/>
            <w:noWrap/>
            <w:vAlign w:val="bottom"/>
            <w:hideMark/>
          </w:tcPr>
          <w:p w14:paraId="18E3A141" w14:textId="77777777" w:rsidR="007A6A1A" w:rsidRPr="00167CB8" w:rsidRDefault="007A6A1A" w:rsidP="007A6A1A">
            <w:pPr>
              <w:spacing w:after="60"/>
              <w:jc w:val="right"/>
              <w:rPr>
                <w:lang w:eastAsia="en-AU"/>
              </w:rPr>
            </w:pPr>
            <w:r w:rsidRPr="00167CB8">
              <w:rPr>
                <w:lang w:eastAsia="en-AU"/>
              </w:rPr>
              <w:t>1,662</w:t>
            </w:r>
          </w:p>
        </w:tc>
        <w:tc>
          <w:tcPr>
            <w:tcW w:w="1338" w:type="dxa"/>
            <w:tcBorders>
              <w:top w:val="nil"/>
              <w:left w:val="nil"/>
              <w:bottom w:val="nil"/>
              <w:right w:val="single" w:sz="8" w:space="0" w:color="auto"/>
            </w:tcBorders>
            <w:shd w:val="clear" w:color="000000" w:fill="FFFFFF"/>
            <w:noWrap/>
            <w:vAlign w:val="bottom"/>
            <w:hideMark/>
          </w:tcPr>
          <w:p w14:paraId="6FADF1FC" w14:textId="77777777" w:rsidR="007A6A1A" w:rsidRPr="00167CB8" w:rsidRDefault="007A6A1A" w:rsidP="007A6A1A">
            <w:pPr>
              <w:spacing w:after="60"/>
              <w:jc w:val="right"/>
              <w:rPr>
                <w:lang w:eastAsia="en-AU"/>
              </w:rPr>
            </w:pPr>
            <w:r w:rsidRPr="00167CB8">
              <w:rPr>
                <w:lang w:eastAsia="en-AU"/>
              </w:rPr>
              <w:t>6.4%</w:t>
            </w:r>
          </w:p>
        </w:tc>
      </w:tr>
      <w:tr w:rsidR="007A6A1A" w:rsidRPr="00167CB8" w14:paraId="43CC30D5" w14:textId="77777777">
        <w:trPr>
          <w:trHeight w:val="300"/>
        </w:trPr>
        <w:tc>
          <w:tcPr>
            <w:tcW w:w="983" w:type="dxa"/>
            <w:tcBorders>
              <w:top w:val="nil"/>
              <w:left w:val="single" w:sz="8" w:space="0" w:color="auto"/>
              <w:bottom w:val="nil"/>
              <w:right w:val="nil"/>
            </w:tcBorders>
            <w:shd w:val="clear" w:color="C0E6F5" w:fill="FFFFFF"/>
            <w:noWrap/>
            <w:hideMark/>
          </w:tcPr>
          <w:p w14:paraId="6AA1FA65" w14:textId="77777777" w:rsidR="007A6A1A" w:rsidRPr="00167CB8" w:rsidRDefault="007A6A1A" w:rsidP="007A6A1A">
            <w:pPr>
              <w:spacing w:after="60"/>
              <w:rPr>
                <w:lang w:eastAsia="en-AU"/>
              </w:rPr>
            </w:pPr>
            <w:r w:rsidRPr="00167CB8">
              <w:rPr>
                <w:lang w:eastAsia="en-AU"/>
              </w:rPr>
              <w:t>2022</w:t>
            </w:r>
          </w:p>
        </w:tc>
        <w:tc>
          <w:tcPr>
            <w:tcW w:w="1337" w:type="dxa"/>
            <w:tcBorders>
              <w:top w:val="nil"/>
              <w:left w:val="nil"/>
              <w:bottom w:val="nil"/>
              <w:right w:val="nil"/>
            </w:tcBorders>
            <w:shd w:val="clear" w:color="000000" w:fill="FFFFFF"/>
            <w:noWrap/>
            <w:vAlign w:val="bottom"/>
            <w:hideMark/>
          </w:tcPr>
          <w:p w14:paraId="630FE468" w14:textId="77777777" w:rsidR="007A6A1A" w:rsidRPr="00167CB8" w:rsidRDefault="007A6A1A" w:rsidP="007A6A1A">
            <w:pPr>
              <w:spacing w:after="60"/>
              <w:jc w:val="right"/>
              <w:rPr>
                <w:lang w:eastAsia="en-AU"/>
              </w:rPr>
            </w:pPr>
            <w:r w:rsidRPr="00167CB8">
              <w:rPr>
                <w:lang w:eastAsia="en-AU"/>
              </w:rPr>
              <w:t>2,953</w:t>
            </w:r>
          </w:p>
        </w:tc>
        <w:tc>
          <w:tcPr>
            <w:tcW w:w="1337" w:type="dxa"/>
            <w:tcBorders>
              <w:top w:val="nil"/>
              <w:left w:val="nil"/>
              <w:bottom w:val="nil"/>
              <w:right w:val="nil"/>
            </w:tcBorders>
            <w:shd w:val="clear" w:color="000000" w:fill="FFFFFF"/>
            <w:noWrap/>
            <w:vAlign w:val="bottom"/>
            <w:hideMark/>
          </w:tcPr>
          <w:p w14:paraId="73BA6350" w14:textId="77777777" w:rsidR="007A6A1A" w:rsidRPr="00167CB8" w:rsidRDefault="007A6A1A" w:rsidP="007A6A1A">
            <w:pPr>
              <w:spacing w:after="60"/>
              <w:jc w:val="right"/>
              <w:rPr>
                <w:lang w:eastAsia="en-AU"/>
              </w:rPr>
            </w:pPr>
            <w:r w:rsidRPr="00167CB8">
              <w:rPr>
                <w:lang w:eastAsia="en-AU"/>
              </w:rPr>
              <w:t>11,318</w:t>
            </w:r>
          </w:p>
        </w:tc>
        <w:tc>
          <w:tcPr>
            <w:tcW w:w="1337" w:type="dxa"/>
            <w:tcBorders>
              <w:top w:val="nil"/>
              <w:left w:val="nil"/>
              <w:bottom w:val="nil"/>
              <w:right w:val="nil"/>
            </w:tcBorders>
            <w:shd w:val="clear" w:color="000000" w:fill="FFFFFF"/>
            <w:noWrap/>
            <w:vAlign w:val="bottom"/>
            <w:hideMark/>
          </w:tcPr>
          <w:p w14:paraId="5080E5BA" w14:textId="77777777" w:rsidR="007A6A1A" w:rsidRPr="00167CB8" w:rsidRDefault="007A6A1A" w:rsidP="007A6A1A">
            <w:pPr>
              <w:spacing w:after="60"/>
              <w:jc w:val="right"/>
              <w:rPr>
                <w:lang w:eastAsia="en-AU"/>
              </w:rPr>
            </w:pPr>
            <w:r w:rsidRPr="00167CB8">
              <w:rPr>
                <w:lang w:eastAsia="en-AU"/>
              </w:rPr>
              <w:t>26.1%</w:t>
            </w:r>
          </w:p>
        </w:tc>
        <w:tc>
          <w:tcPr>
            <w:tcW w:w="1337" w:type="dxa"/>
            <w:tcBorders>
              <w:top w:val="nil"/>
              <w:left w:val="nil"/>
              <w:bottom w:val="nil"/>
              <w:right w:val="nil"/>
            </w:tcBorders>
            <w:shd w:val="clear" w:color="000000" w:fill="FFFFFF"/>
            <w:noWrap/>
            <w:vAlign w:val="bottom"/>
            <w:hideMark/>
          </w:tcPr>
          <w:p w14:paraId="7BF9FF89" w14:textId="77777777" w:rsidR="007A6A1A" w:rsidRPr="00167CB8" w:rsidRDefault="007A6A1A" w:rsidP="007A6A1A">
            <w:pPr>
              <w:spacing w:after="60"/>
              <w:jc w:val="right"/>
              <w:rPr>
                <w:lang w:eastAsia="en-AU"/>
              </w:rPr>
            </w:pPr>
            <w:r w:rsidRPr="00167CB8">
              <w:rPr>
                <w:lang w:eastAsia="en-AU"/>
              </w:rPr>
              <w:t>105</w:t>
            </w:r>
          </w:p>
        </w:tc>
        <w:tc>
          <w:tcPr>
            <w:tcW w:w="1337" w:type="dxa"/>
            <w:tcBorders>
              <w:top w:val="nil"/>
              <w:left w:val="nil"/>
              <w:bottom w:val="nil"/>
              <w:right w:val="nil"/>
            </w:tcBorders>
            <w:shd w:val="clear" w:color="000000" w:fill="FFFFFF"/>
            <w:noWrap/>
            <w:vAlign w:val="bottom"/>
            <w:hideMark/>
          </w:tcPr>
          <w:p w14:paraId="40CD2B59" w14:textId="77777777" w:rsidR="007A6A1A" w:rsidRPr="00167CB8" w:rsidRDefault="007A6A1A" w:rsidP="007A6A1A">
            <w:pPr>
              <w:spacing w:after="60"/>
              <w:jc w:val="right"/>
              <w:rPr>
                <w:lang w:eastAsia="en-AU"/>
              </w:rPr>
            </w:pPr>
            <w:r w:rsidRPr="00167CB8">
              <w:rPr>
                <w:lang w:eastAsia="en-AU"/>
              </w:rPr>
              <w:t>1,800</w:t>
            </w:r>
          </w:p>
        </w:tc>
        <w:tc>
          <w:tcPr>
            <w:tcW w:w="1338" w:type="dxa"/>
            <w:tcBorders>
              <w:top w:val="nil"/>
              <w:left w:val="nil"/>
              <w:bottom w:val="nil"/>
              <w:right w:val="single" w:sz="8" w:space="0" w:color="auto"/>
            </w:tcBorders>
            <w:shd w:val="clear" w:color="000000" w:fill="FFFFFF"/>
            <w:noWrap/>
            <w:vAlign w:val="bottom"/>
            <w:hideMark/>
          </w:tcPr>
          <w:p w14:paraId="1A04C37C" w14:textId="77777777" w:rsidR="007A6A1A" w:rsidRPr="00167CB8" w:rsidRDefault="007A6A1A" w:rsidP="007A6A1A">
            <w:pPr>
              <w:spacing w:after="60"/>
              <w:jc w:val="right"/>
              <w:rPr>
                <w:lang w:eastAsia="en-AU"/>
              </w:rPr>
            </w:pPr>
            <w:r w:rsidRPr="00167CB8">
              <w:rPr>
                <w:lang w:eastAsia="en-AU"/>
              </w:rPr>
              <w:t>5.8%</w:t>
            </w:r>
          </w:p>
        </w:tc>
      </w:tr>
      <w:tr w:rsidR="007A6A1A" w:rsidRPr="00167CB8" w14:paraId="776D02FE" w14:textId="77777777">
        <w:trPr>
          <w:trHeight w:val="300"/>
        </w:trPr>
        <w:tc>
          <w:tcPr>
            <w:tcW w:w="983" w:type="dxa"/>
            <w:tcBorders>
              <w:top w:val="nil"/>
              <w:left w:val="single" w:sz="8" w:space="0" w:color="auto"/>
              <w:bottom w:val="nil"/>
              <w:right w:val="nil"/>
            </w:tcBorders>
            <w:shd w:val="clear" w:color="C0E6F5" w:fill="FFFFFF"/>
            <w:noWrap/>
            <w:hideMark/>
          </w:tcPr>
          <w:p w14:paraId="0B7A2B7B" w14:textId="77777777" w:rsidR="007A6A1A" w:rsidRPr="00167CB8" w:rsidRDefault="007A6A1A" w:rsidP="007A6A1A">
            <w:pPr>
              <w:spacing w:after="60"/>
              <w:rPr>
                <w:lang w:eastAsia="en-AU"/>
              </w:rPr>
            </w:pPr>
            <w:r w:rsidRPr="00167CB8">
              <w:rPr>
                <w:lang w:eastAsia="en-AU"/>
              </w:rPr>
              <w:t>2023</w:t>
            </w:r>
          </w:p>
        </w:tc>
        <w:tc>
          <w:tcPr>
            <w:tcW w:w="1337" w:type="dxa"/>
            <w:tcBorders>
              <w:top w:val="nil"/>
              <w:left w:val="nil"/>
              <w:bottom w:val="nil"/>
              <w:right w:val="nil"/>
            </w:tcBorders>
            <w:shd w:val="clear" w:color="000000" w:fill="FFFFFF"/>
            <w:noWrap/>
            <w:vAlign w:val="bottom"/>
            <w:hideMark/>
          </w:tcPr>
          <w:p w14:paraId="68E2C7D3" w14:textId="77777777" w:rsidR="007A6A1A" w:rsidRPr="00167CB8" w:rsidRDefault="007A6A1A" w:rsidP="007A6A1A">
            <w:pPr>
              <w:spacing w:after="60"/>
              <w:jc w:val="right"/>
              <w:rPr>
                <w:lang w:eastAsia="en-AU"/>
              </w:rPr>
            </w:pPr>
            <w:r w:rsidRPr="00167CB8">
              <w:rPr>
                <w:lang w:eastAsia="en-AU"/>
              </w:rPr>
              <w:t>2,775</w:t>
            </w:r>
          </w:p>
        </w:tc>
        <w:tc>
          <w:tcPr>
            <w:tcW w:w="1337" w:type="dxa"/>
            <w:tcBorders>
              <w:top w:val="nil"/>
              <w:left w:val="nil"/>
              <w:bottom w:val="nil"/>
              <w:right w:val="nil"/>
            </w:tcBorders>
            <w:shd w:val="clear" w:color="000000" w:fill="FFFFFF"/>
            <w:noWrap/>
            <w:vAlign w:val="bottom"/>
            <w:hideMark/>
          </w:tcPr>
          <w:p w14:paraId="5F18E80E" w14:textId="77777777" w:rsidR="007A6A1A" w:rsidRPr="00167CB8" w:rsidRDefault="007A6A1A" w:rsidP="007A6A1A">
            <w:pPr>
              <w:spacing w:after="60"/>
              <w:jc w:val="right"/>
              <w:rPr>
                <w:lang w:eastAsia="en-AU"/>
              </w:rPr>
            </w:pPr>
            <w:r w:rsidRPr="00167CB8">
              <w:rPr>
                <w:lang w:eastAsia="en-AU"/>
              </w:rPr>
              <w:t>10,266</w:t>
            </w:r>
          </w:p>
        </w:tc>
        <w:tc>
          <w:tcPr>
            <w:tcW w:w="1337" w:type="dxa"/>
            <w:tcBorders>
              <w:top w:val="nil"/>
              <w:left w:val="nil"/>
              <w:bottom w:val="nil"/>
              <w:right w:val="nil"/>
            </w:tcBorders>
            <w:shd w:val="clear" w:color="000000" w:fill="FFFFFF"/>
            <w:noWrap/>
            <w:vAlign w:val="bottom"/>
            <w:hideMark/>
          </w:tcPr>
          <w:p w14:paraId="598B4B55" w14:textId="77777777" w:rsidR="007A6A1A" w:rsidRPr="00167CB8" w:rsidRDefault="007A6A1A" w:rsidP="007A6A1A">
            <w:pPr>
              <w:spacing w:after="60"/>
              <w:jc w:val="right"/>
              <w:rPr>
                <w:lang w:eastAsia="en-AU"/>
              </w:rPr>
            </w:pPr>
            <w:r w:rsidRPr="00167CB8">
              <w:rPr>
                <w:lang w:eastAsia="en-AU"/>
              </w:rPr>
              <w:t>27.0%</w:t>
            </w:r>
          </w:p>
        </w:tc>
        <w:tc>
          <w:tcPr>
            <w:tcW w:w="1337" w:type="dxa"/>
            <w:tcBorders>
              <w:top w:val="nil"/>
              <w:left w:val="nil"/>
              <w:bottom w:val="nil"/>
              <w:right w:val="nil"/>
            </w:tcBorders>
            <w:shd w:val="clear" w:color="000000" w:fill="FFFFFF"/>
            <w:noWrap/>
            <w:vAlign w:val="bottom"/>
            <w:hideMark/>
          </w:tcPr>
          <w:p w14:paraId="4FD5EB72" w14:textId="77777777" w:rsidR="007A6A1A" w:rsidRPr="00167CB8" w:rsidRDefault="007A6A1A" w:rsidP="007A6A1A">
            <w:pPr>
              <w:spacing w:after="60"/>
              <w:jc w:val="right"/>
              <w:rPr>
                <w:lang w:eastAsia="en-AU"/>
              </w:rPr>
            </w:pPr>
            <w:r w:rsidRPr="00167CB8">
              <w:rPr>
                <w:lang w:eastAsia="en-AU"/>
              </w:rPr>
              <w:t>105</w:t>
            </w:r>
          </w:p>
        </w:tc>
        <w:tc>
          <w:tcPr>
            <w:tcW w:w="1337" w:type="dxa"/>
            <w:tcBorders>
              <w:top w:val="nil"/>
              <w:left w:val="nil"/>
              <w:bottom w:val="nil"/>
              <w:right w:val="nil"/>
            </w:tcBorders>
            <w:shd w:val="clear" w:color="000000" w:fill="FFFFFF"/>
            <w:noWrap/>
            <w:vAlign w:val="bottom"/>
            <w:hideMark/>
          </w:tcPr>
          <w:p w14:paraId="5CB66002" w14:textId="77777777" w:rsidR="007A6A1A" w:rsidRPr="00167CB8" w:rsidRDefault="007A6A1A" w:rsidP="007A6A1A">
            <w:pPr>
              <w:spacing w:after="60"/>
              <w:jc w:val="right"/>
              <w:rPr>
                <w:lang w:eastAsia="en-AU"/>
              </w:rPr>
            </w:pPr>
            <w:r w:rsidRPr="00167CB8">
              <w:rPr>
                <w:lang w:eastAsia="en-AU"/>
              </w:rPr>
              <w:t>2,034</w:t>
            </w:r>
          </w:p>
        </w:tc>
        <w:tc>
          <w:tcPr>
            <w:tcW w:w="1338" w:type="dxa"/>
            <w:tcBorders>
              <w:top w:val="nil"/>
              <w:left w:val="nil"/>
              <w:bottom w:val="nil"/>
              <w:right w:val="single" w:sz="8" w:space="0" w:color="auto"/>
            </w:tcBorders>
            <w:shd w:val="clear" w:color="000000" w:fill="FFFFFF"/>
            <w:noWrap/>
            <w:vAlign w:val="bottom"/>
            <w:hideMark/>
          </w:tcPr>
          <w:p w14:paraId="5B8E26A2" w14:textId="77777777" w:rsidR="007A6A1A" w:rsidRPr="00167CB8" w:rsidRDefault="007A6A1A" w:rsidP="007A6A1A">
            <w:pPr>
              <w:spacing w:after="60"/>
              <w:jc w:val="right"/>
              <w:rPr>
                <w:lang w:eastAsia="en-AU"/>
              </w:rPr>
            </w:pPr>
            <w:r w:rsidRPr="00167CB8">
              <w:rPr>
                <w:lang w:eastAsia="en-AU"/>
              </w:rPr>
              <w:t>5.9%</w:t>
            </w:r>
          </w:p>
        </w:tc>
      </w:tr>
      <w:tr w:rsidR="007A6A1A" w:rsidRPr="00167CB8" w14:paraId="22E73D1C" w14:textId="77777777">
        <w:trPr>
          <w:trHeight w:val="315"/>
        </w:trPr>
        <w:tc>
          <w:tcPr>
            <w:tcW w:w="983" w:type="dxa"/>
            <w:tcBorders>
              <w:top w:val="nil"/>
              <w:left w:val="single" w:sz="8" w:space="0" w:color="auto"/>
              <w:bottom w:val="nil"/>
              <w:right w:val="nil"/>
            </w:tcBorders>
            <w:shd w:val="clear" w:color="C0E6F5" w:fill="FFFFFF"/>
            <w:noWrap/>
            <w:hideMark/>
          </w:tcPr>
          <w:p w14:paraId="2C18CAED" w14:textId="77777777" w:rsidR="007A6A1A" w:rsidRPr="00167CB8" w:rsidRDefault="007A6A1A" w:rsidP="007A6A1A">
            <w:pPr>
              <w:spacing w:after="60"/>
              <w:rPr>
                <w:lang w:eastAsia="en-AU"/>
              </w:rPr>
            </w:pPr>
            <w:r w:rsidRPr="00167CB8">
              <w:rPr>
                <w:lang w:eastAsia="en-AU"/>
              </w:rPr>
              <w:t>2024(to Q3)</w:t>
            </w:r>
          </w:p>
        </w:tc>
        <w:tc>
          <w:tcPr>
            <w:tcW w:w="1337" w:type="dxa"/>
            <w:tcBorders>
              <w:top w:val="nil"/>
              <w:left w:val="nil"/>
              <w:bottom w:val="nil"/>
              <w:right w:val="nil"/>
            </w:tcBorders>
            <w:shd w:val="clear" w:color="000000" w:fill="FFFFFF"/>
            <w:noWrap/>
            <w:vAlign w:val="bottom"/>
            <w:hideMark/>
          </w:tcPr>
          <w:p w14:paraId="4E2DBB4A" w14:textId="77777777" w:rsidR="007A6A1A" w:rsidRPr="00167CB8" w:rsidRDefault="007A6A1A" w:rsidP="007A6A1A">
            <w:pPr>
              <w:spacing w:after="60"/>
              <w:jc w:val="right"/>
              <w:rPr>
                <w:lang w:eastAsia="en-AU"/>
              </w:rPr>
            </w:pPr>
            <w:r w:rsidRPr="00167CB8">
              <w:rPr>
                <w:lang w:eastAsia="en-AU"/>
              </w:rPr>
              <w:t>2,813</w:t>
            </w:r>
          </w:p>
        </w:tc>
        <w:tc>
          <w:tcPr>
            <w:tcW w:w="1337" w:type="dxa"/>
            <w:tcBorders>
              <w:top w:val="nil"/>
              <w:left w:val="nil"/>
              <w:bottom w:val="nil"/>
              <w:right w:val="nil"/>
            </w:tcBorders>
            <w:shd w:val="clear" w:color="000000" w:fill="FFFFFF"/>
            <w:noWrap/>
            <w:vAlign w:val="bottom"/>
            <w:hideMark/>
          </w:tcPr>
          <w:p w14:paraId="4B76F3E1" w14:textId="77777777" w:rsidR="007A6A1A" w:rsidRPr="00167CB8" w:rsidRDefault="007A6A1A" w:rsidP="007A6A1A">
            <w:pPr>
              <w:spacing w:after="60"/>
              <w:jc w:val="right"/>
              <w:rPr>
                <w:lang w:eastAsia="en-AU"/>
              </w:rPr>
            </w:pPr>
            <w:r w:rsidRPr="00167CB8">
              <w:rPr>
                <w:lang w:eastAsia="en-AU"/>
              </w:rPr>
              <w:t>10,113</w:t>
            </w:r>
          </w:p>
        </w:tc>
        <w:tc>
          <w:tcPr>
            <w:tcW w:w="1337" w:type="dxa"/>
            <w:tcBorders>
              <w:top w:val="nil"/>
              <w:left w:val="nil"/>
              <w:bottom w:val="nil"/>
              <w:right w:val="nil"/>
            </w:tcBorders>
            <w:shd w:val="clear" w:color="000000" w:fill="FFFFFF"/>
            <w:noWrap/>
            <w:vAlign w:val="bottom"/>
            <w:hideMark/>
          </w:tcPr>
          <w:p w14:paraId="2D76CB17" w14:textId="77777777" w:rsidR="007A6A1A" w:rsidRPr="00167CB8" w:rsidRDefault="007A6A1A" w:rsidP="007A6A1A">
            <w:pPr>
              <w:spacing w:after="60"/>
              <w:jc w:val="right"/>
              <w:rPr>
                <w:lang w:eastAsia="en-AU"/>
              </w:rPr>
            </w:pPr>
            <w:r w:rsidRPr="00167CB8">
              <w:rPr>
                <w:lang w:eastAsia="en-AU"/>
              </w:rPr>
              <w:t>27.8%</w:t>
            </w:r>
          </w:p>
        </w:tc>
        <w:tc>
          <w:tcPr>
            <w:tcW w:w="1337" w:type="dxa"/>
            <w:tcBorders>
              <w:top w:val="nil"/>
              <w:left w:val="nil"/>
              <w:bottom w:val="nil"/>
              <w:right w:val="nil"/>
            </w:tcBorders>
            <w:shd w:val="clear" w:color="000000" w:fill="FFFFFF"/>
            <w:noWrap/>
            <w:vAlign w:val="bottom"/>
            <w:hideMark/>
          </w:tcPr>
          <w:p w14:paraId="415A0EB7" w14:textId="77777777" w:rsidR="007A6A1A" w:rsidRPr="00167CB8" w:rsidRDefault="007A6A1A" w:rsidP="007A6A1A">
            <w:pPr>
              <w:spacing w:after="60"/>
              <w:jc w:val="right"/>
              <w:rPr>
                <w:lang w:eastAsia="en-AU"/>
              </w:rPr>
            </w:pPr>
            <w:r w:rsidRPr="00167CB8">
              <w:rPr>
                <w:lang w:eastAsia="en-AU"/>
              </w:rPr>
              <w:t>124</w:t>
            </w:r>
          </w:p>
        </w:tc>
        <w:tc>
          <w:tcPr>
            <w:tcW w:w="1337" w:type="dxa"/>
            <w:tcBorders>
              <w:top w:val="nil"/>
              <w:left w:val="nil"/>
              <w:bottom w:val="nil"/>
              <w:right w:val="nil"/>
            </w:tcBorders>
            <w:shd w:val="clear" w:color="000000" w:fill="FFFFFF"/>
            <w:noWrap/>
            <w:vAlign w:val="bottom"/>
            <w:hideMark/>
          </w:tcPr>
          <w:p w14:paraId="36F368C2" w14:textId="77777777" w:rsidR="007A6A1A" w:rsidRPr="00167CB8" w:rsidRDefault="007A6A1A" w:rsidP="007A6A1A">
            <w:pPr>
              <w:spacing w:after="60"/>
              <w:jc w:val="right"/>
              <w:rPr>
                <w:lang w:eastAsia="en-AU"/>
              </w:rPr>
            </w:pPr>
            <w:r w:rsidRPr="00167CB8">
              <w:rPr>
                <w:lang w:eastAsia="en-AU"/>
              </w:rPr>
              <w:t>2,206</w:t>
            </w:r>
          </w:p>
        </w:tc>
        <w:tc>
          <w:tcPr>
            <w:tcW w:w="1338" w:type="dxa"/>
            <w:tcBorders>
              <w:top w:val="nil"/>
              <w:left w:val="nil"/>
              <w:bottom w:val="nil"/>
              <w:right w:val="single" w:sz="8" w:space="0" w:color="auto"/>
            </w:tcBorders>
            <w:shd w:val="clear" w:color="000000" w:fill="FFFFFF"/>
            <w:noWrap/>
            <w:vAlign w:val="bottom"/>
            <w:hideMark/>
          </w:tcPr>
          <w:p w14:paraId="3306B1FE" w14:textId="77777777" w:rsidR="007A6A1A" w:rsidRPr="00167CB8" w:rsidRDefault="007A6A1A" w:rsidP="007A6A1A">
            <w:pPr>
              <w:spacing w:after="60"/>
              <w:jc w:val="right"/>
              <w:rPr>
                <w:lang w:eastAsia="en-AU"/>
              </w:rPr>
            </w:pPr>
            <w:r w:rsidRPr="00167CB8">
              <w:rPr>
                <w:lang w:eastAsia="en-AU"/>
              </w:rPr>
              <w:t>5.6%</w:t>
            </w:r>
          </w:p>
        </w:tc>
      </w:tr>
      <w:tr w:rsidR="007A6A1A" w:rsidRPr="00167CB8" w14:paraId="4463C56F" w14:textId="77777777">
        <w:trPr>
          <w:trHeight w:val="300"/>
        </w:trPr>
        <w:tc>
          <w:tcPr>
            <w:tcW w:w="983" w:type="dxa"/>
            <w:tcBorders>
              <w:top w:val="single" w:sz="8" w:space="0" w:color="auto"/>
              <w:left w:val="single" w:sz="8" w:space="0" w:color="auto"/>
              <w:bottom w:val="nil"/>
              <w:right w:val="nil"/>
            </w:tcBorders>
            <w:shd w:val="clear" w:color="000000" w:fill="FFFFFF"/>
            <w:noWrap/>
            <w:hideMark/>
          </w:tcPr>
          <w:p w14:paraId="1C201ADD" w14:textId="4F38B9A6" w:rsidR="007A6A1A" w:rsidRPr="00167CB8" w:rsidRDefault="007A6A1A" w:rsidP="007A6A1A">
            <w:pPr>
              <w:spacing w:after="60"/>
              <w:rPr>
                <w:lang w:eastAsia="en-AU"/>
              </w:rPr>
            </w:pPr>
            <w:r w:rsidRPr="00167CB8">
              <w:rPr>
                <w:lang w:eastAsia="en-AU"/>
              </w:rPr>
              <w:t>Total 2012</w:t>
            </w:r>
            <w:r w:rsidR="000D5139" w:rsidRPr="00167CB8">
              <w:rPr>
                <w:rFonts w:ascii="Symbol" w:eastAsia="Symbol" w:hAnsi="Symbol" w:cs="Symbol"/>
                <w:lang w:eastAsia="en-AU"/>
              </w:rPr>
              <w:sym w:font="Symbol" w:char="F02D"/>
            </w:r>
            <w:r w:rsidRPr="00167CB8">
              <w:rPr>
                <w:lang w:eastAsia="en-AU"/>
              </w:rPr>
              <w:t>2023</w:t>
            </w:r>
          </w:p>
        </w:tc>
        <w:tc>
          <w:tcPr>
            <w:tcW w:w="1337" w:type="dxa"/>
            <w:tcBorders>
              <w:top w:val="single" w:sz="8" w:space="0" w:color="auto"/>
              <w:left w:val="nil"/>
              <w:bottom w:val="nil"/>
              <w:right w:val="nil"/>
            </w:tcBorders>
            <w:shd w:val="clear" w:color="000000" w:fill="FFFFFF"/>
            <w:noWrap/>
            <w:vAlign w:val="bottom"/>
            <w:hideMark/>
          </w:tcPr>
          <w:p w14:paraId="16B352E6" w14:textId="77777777" w:rsidR="007A6A1A" w:rsidRPr="00167CB8" w:rsidRDefault="007A6A1A" w:rsidP="007A6A1A">
            <w:pPr>
              <w:spacing w:after="60"/>
              <w:jc w:val="right"/>
              <w:rPr>
                <w:lang w:eastAsia="en-AU"/>
              </w:rPr>
            </w:pPr>
            <w:r w:rsidRPr="00167CB8">
              <w:rPr>
                <w:lang w:eastAsia="en-AU"/>
              </w:rPr>
              <w:t>53,661</w:t>
            </w:r>
          </w:p>
        </w:tc>
        <w:tc>
          <w:tcPr>
            <w:tcW w:w="1337" w:type="dxa"/>
            <w:tcBorders>
              <w:top w:val="single" w:sz="8" w:space="0" w:color="auto"/>
              <w:left w:val="nil"/>
              <w:bottom w:val="nil"/>
              <w:right w:val="nil"/>
            </w:tcBorders>
            <w:shd w:val="clear" w:color="000000" w:fill="FFFFFF"/>
            <w:noWrap/>
            <w:vAlign w:val="bottom"/>
            <w:hideMark/>
          </w:tcPr>
          <w:p w14:paraId="78800762" w14:textId="77777777" w:rsidR="007A6A1A" w:rsidRPr="00167CB8" w:rsidRDefault="007A6A1A" w:rsidP="007A6A1A">
            <w:pPr>
              <w:spacing w:after="60"/>
              <w:jc w:val="right"/>
              <w:rPr>
                <w:lang w:eastAsia="en-AU"/>
              </w:rPr>
            </w:pPr>
            <w:r w:rsidRPr="00167CB8">
              <w:rPr>
                <w:lang w:eastAsia="en-AU"/>
              </w:rPr>
              <w:t>172,652</w:t>
            </w:r>
          </w:p>
        </w:tc>
        <w:tc>
          <w:tcPr>
            <w:tcW w:w="1337" w:type="dxa"/>
            <w:tcBorders>
              <w:top w:val="single" w:sz="8" w:space="0" w:color="auto"/>
              <w:left w:val="nil"/>
              <w:bottom w:val="nil"/>
              <w:right w:val="nil"/>
            </w:tcBorders>
            <w:shd w:val="clear" w:color="000000" w:fill="FFFFFF"/>
            <w:noWrap/>
            <w:vAlign w:val="bottom"/>
            <w:hideMark/>
          </w:tcPr>
          <w:p w14:paraId="62A845E4" w14:textId="77777777" w:rsidR="007A6A1A" w:rsidRPr="00167CB8" w:rsidRDefault="007A6A1A" w:rsidP="007A6A1A">
            <w:pPr>
              <w:spacing w:after="60"/>
              <w:jc w:val="right"/>
              <w:rPr>
                <w:lang w:eastAsia="en-AU"/>
              </w:rPr>
            </w:pPr>
            <w:r w:rsidRPr="00167CB8">
              <w:rPr>
                <w:lang w:eastAsia="en-AU"/>
              </w:rPr>
              <w:t>31.0%</w:t>
            </w:r>
          </w:p>
        </w:tc>
        <w:tc>
          <w:tcPr>
            <w:tcW w:w="1337" w:type="dxa"/>
            <w:tcBorders>
              <w:top w:val="single" w:sz="8" w:space="0" w:color="auto"/>
              <w:left w:val="nil"/>
              <w:bottom w:val="nil"/>
              <w:right w:val="nil"/>
            </w:tcBorders>
            <w:shd w:val="clear" w:color="000000" w:fill="FFFFFF"/>
            <w:noWrap/>
            <w:vAlign w:val="bottom"/>
            <w:hideMark/>
          </w:tcPr>
          <w:p w14:paraId="6C8E2F71" w14:textId="77777777" w:rsidR="007A6A1A" w:rsidRPr="00167CB8" w:rsidRDefault="007A6A1A" w:rsidP="007A6A1A">
            <w:pPr>
              <w:spacing w:after="60"/>
              <w:jc w:val="right"/>
              <w:rPr>
                <w:lang w:eastAsia="en-AU"/>
              </w:rPr>
            </w:pPr>
            <w:r w:rsidRPr="00167CB8">
              <w:rPr>
                <w:lang w:eastAsia="en-AU"/>
              </w:rPr>
              <w:t>1,830</w:t>
            </w:r>
          </w:p>
        </w:tc>
        <w:tc>
          <w:tcPr>
            <w:tcW w:w="1337" w:type="dxa"/>
            <w:tcBorders>
              <w:top w:val="single" w:sz="8" w:space="0" w:color="auto"/>
              <w:left w:val="nil"/>
              <w:bottom w:val="nil"/>
              <w:right w:val="nil"/>
            </w:tcBorders>
            <w:shd w:val="clear" w:color="000000" w:fill="FFFFFF"/>
            <w:noWrap/>
            <w:vAlign w:val="bottom"/>
            <w:hideMark/>
          </w:tcPr>
          <w:p w14:paraId="25BEE64F" w14:textId="77777777" w:rsidR="007A6A1A" w:rsidRPr="00167CB8" w:rsidRDefault="007A6A1A" w:rsidP="007A6A1A">
            <w:pPr>
              <w:spacing w:after="60"/>
              <w:jc w:val="right"/>
              <w:rPr>
                <w:lang w:eastAsia="en-AU"/>
              </w:rPr>
            </w:pPr>
            <w:r w:rsidRPr="00167CB8">
              <w:rPr>
                <w:lang w:eastAsia="en-AU"/>
              </w:rPr>
              <w:t>25,255</w:t>
            </w:r>
          </w:p>
        </w:tc>
        <w:tc>
          <w:tcPr>
            <w:tcW w:w="1338" w:type="dxa"/>
            <w:tcBorders>
              <w:top w:val="single" w:sz="8" w:space="0" w:color="auto"/>
              <w:left w:val="nil"/>
              <w:bottom w:val="nil"/>
              <w:right w:val="single" w:sz="8" w:space="0" w:color="auto"/>
            </w:tcBorders>
            <w:shd w:val="clear" w:color="000000" w:fill="FFFFFF"/>
            <w:noWrap/>
            <w:vAlign w:val="bottom"/>
            <w:hideMark/>
          </w:tcPr>
          <w:p w14:paraId="279619AD" w14:textId="77777777" w:rsidR="007A6A1A" w:rsidRPr="00167CB8" w:rsidRDefault="007A6A1A" w:rsidP="007A6A1A">
            <w:pPr>
              <w:spacing w:after="60"/>
              <w:jc w:val="right"/>
              <w:rPr>
                <w:lang w:eastAsia="en-AU"/>
              </w:rPr>
            </w:pPr>
            <w:r w:rsidRPr="00167CB8">
              <w:rPr>
                <w:lang w:eastAsia="en-AU"/>
              </w:rPr>
              <w:t>7.2%</w:t>
            </w:r>
          </w:p>
        </w:tc>
      </w:tr>
      <w:tr w:rsidR="007A6A1A" w:rsidRPr="00167CB8" w14:paraId="1E9DD429" w14:textId="77777777">
        <w:trPr>
          <w:trHeight w:val="315"/>
        </w:trPr>
        <w:tc>
          <w:tcPr>
            <w:tcW w:w="983" w:type="dxa"/>
            <w:tcBorders>
              <w:top w:val="nil"/>
              <w:left w:val="single" w:sz="8" w:space="0" w:color="auto"/>
              <w:bottom w:val="single" w:sz="8" w:space="0" w:color="auto"/>
              <w:right w:val="nil"/>
            </w:tcBorders>
            <w:shd w:val="clear" w:color="000000" w:fill="FFFFFF"/>
            <w:noWrap/>
            <w:hideMark/>
          </w:tcPr>
          <w:p w14:paraId="429A0705" w14:textId="4E36E567" w:rsidR="007A6A1A" w:rsidRPr="00167CB8" w:rsidRDefault="007A6A1A" w:rsidP="007A6A1A">
            <w:pPr>
              <w:spacing w:after="60"/>
              <w:rPr>
                <w:lang w:eastAsia="en-AU"/>
              </w:rPr>
            </w:pPr>
            <w:r w:rsidRPr="00167CB8">
              <w:rPr>
                <w:lang w:eastAsia="en-AU"/>
              </w:rPr>
              <w:t>Average 2012</w:t>
            </w:r>
            <w:r w:rsidR="000D5139" w:rsidRPr="00167CB8">
              <w:rPr>
                <w:rFonts w:ascii="Symbol" w:eastAsia="Symbol" w:hAnsi="Symbol" w:cs="Symbol"/>
                <w:lang w:eastAsia="en-AU"/>
              </w:rPr>
              <w:sym w:font="Symbol" w:char="F02D"/>
            </w:r>
            <w:r w:rsidRPr="00167CB8">
              <w:rPr>
                <w:lang w:eastAsia="en-AU"/>
              </w:rPr>
              <w:t>2023</w:t>
            </w:r>
          </w:p>
        </w:tc>
        <w:tc>
          <w:tcPr>
            <w:tcW w:w="1337" w:type="dxa"/>
            <w:tcBorders>
              <w:top w:val="nil"/>
              <w:left w:val="nil"/>
              <w:bottom w:val="single" w:sz="8" w:space="0" w:color="auto"/>
              <w:right w:val="nil"/>
            </w:tcBorders>
            <w:shd w:val="clear" w:color="000000" w:fill="FFFFFF"/>
            <w:noWrap/>
            <w:vAlign w:val="bottom"/>
            <w:hideMark/>
          </w:tcPr>
          <w:p w14:paraId="2A0C2089" w14:textId="77777777" w:rsidR="007A6A1A" w:rsidRPr="00167CB8" w:rsidRDefault="007A6A1A" w:rsidP="007A6A1A">
            <w:pPr>
              <w:spacing w:after="60"/>
              <w:jc w:val="right"/>
              <w:rPr>
                <w:lang w:eastAsia="en-AU"/>
              </w:rPr>
            </w:pPr>
            <w:r w:rsidRPr="00167CB8">
              <w:rPr>
                <w:lang w:eastAsia="en-AU"/>
              </w:rPr>
              <w:t>4,472</w:t>
            </w:r>
          </w:p>
        </w:tc>
        <w:tc>
          <w:tcPr>
            <w:tcW w:w="1337" w:type="dxa"/>
            <w:tcBorders>
              <w:top w:val="nil"/>
              <w:left w:val="nil"/>
              <w:bottom w:val="single" w:sz="8" w:space="0" w:color="auto"/>
              <w:right w:val="nil"/>
            </w:tcBorders>
            <w:shd w:val="clear" w:color="000000" w:fill="FFFFFF"/>
            <w:noWrap/>
            <w:vAlign w:val="bottom"/>
            <w:hideMark/>
          </w:tcPr>
          <w:p w14:paraId="2E48F9D1" w14:textId="77777777" w:rsidR="007A6A1A" w:rsidRPr="00167CB8" w:rsidRDefault="007A6A1A" w:rsidP="007A6A1A">
            <w:pPr>
              <w:spacing w:after="60"/>
              <w:jc w:val="right"/>
              <w:rPr>
                <w:lang w:eastAsia="en-AU"/>
              </w:rPr>
            </w:pPr>
            <w:r w:rsidRPr="00167CB8">
              <w:rPr>
                <w:lang w:eastAsia="en-AU"/>
              </w:rPr>
              <w:t>14,388</w:t>
            </w:r>
          </w:p>
        </w:tc>
        <w:tc>
          <w:tcPr>
            <w:tcW w:w="1337" w:type="dxa"/>
            <w:tcBorders>
              <w:top w:val="nil"/>
              <w:left w:val="nil"/>
              <w:bottom w:val="single" w:sz="8" w:space="0" w:color="auto"/>
              <w:right w:val="nil"/>
            </w:tcBorders>
            <w:shd w:val="clear" w:color="000000" w:fill="FFFFFF"/>
            <w:noWrap/>
            <w:vAlign w:val="bottom"/>
            <w:hideMark/>
          </w:tcPr>
          <w:p w14:paraId="40A49CCB" w14:textId="77777777" w:rsidR="007A6A1A" w:rsidRPr="00167CB8" w:rsidRDefault="007A6A1A" w:rsidP="007A6A1A">
            <w:pPr>
              <w:spacing w:after="60"/>
              <w:jc w:val="right"/>
              <w:rPr>
                <w:lang w:eastAsia="en-AU"/>
              </w:rPr>
            </w:pPr>
            <w:r w:rsidRPr="00167CB8">
              <w:rPr>
                <w:lang w:eastAsia="en-AU"/>
              </w:rPr>
              <w:t>31.1%</w:t>
            </w:r>
          </w:p>
        </w:tc>
        <w:tc>
          <w:tcPr>
            <w:tcW w:w="1337" w:type="dxa"/>
            <w:tcBorders>
              <w:top w:val="nil"/>
              <w:left w:val="nil"/>
              <w:bottom w:val="single" w:sz="8" w:space="0" w:color="auto"/>
              <w:right w:val="nil"/>
            </w:tcBorders>
            <w:shd w:val="clear" w:color="000000" w:fill="FFFFFF"/>
            <w:noWrap/>
            <w:vAlign w:val="bottom"/>
            <w:hideMark/>
          </w:tcPr>
          <w:p w14:paraId="061FF7BC" w14:textId="77777777" w:rsidR="007A6A1A" w:rsidRPr="00167CB8" w:rsidRDefault="007A6A1A" w:rsidP="007A6A1A">
            <w:pPr>
              <w:spacing w:after="60"/>
              <w:jc w:val="right"/>
              <w:rPr>
                <w:lang w:eastAsia="en-AU"/>
              </w:rPr>
            </w:pPr>
            <w:r w:rsidRPr="00167CB8">
              <w:rPr>
                <w:lang w:eastAsia="en-AU"/>
              </w:rPr>
              <w:t>153</w:t>
            </w:r>
          </w:p>
        </w:tc>
        <w:tc>
          <w:tcPr>
            <w:tcW w:w="1337" w:type="dxa"/>
            <w:tcBorders>
              <w:top w:val="nil"/>
              <w:left w:val="nil"/>
              <w:bottom w:val="single" w:sz="8" w:space="0" w:color="auto"/>
              <w:right w:val="nil"/>
            </w:tcBorders>
            <w:shd w:val="clear" w:color="000000" w:fill="FFFFFF"/>
            <w:noWrap/>
            <w:vAlign w:val="bottom"/>
            <w:hideMark/>
          </w:tcPr>
          <w:p w14:paraId="136F8E90" w14:textId="77777777" w:rsidR="007A6A1A" w:rsidRPr="00167CB8" w:rsidRDefault="007A6A1A" w:rsidP="007A6A1A">
            <w:pPr>
              <w:spacing w:after="60"/>
              <w:jc w:val="right"/>
              <w:rPr>
                <w:lang w:eastAsia="en-AU"/>
              </w:rPr>
            </w:pPr>
            <w:r w:rsidRPr="00167CB8">
              <w:rPr>
                <w:lang w:eastAsia="en-AU"/>
              </w:rPr>
              <w:t>2,105</w:t>
            </w:r>
          </w:p>
        </w:tc>
        <w:tc>
          <w:tcPr>
            <w:tcW w:w="1338" w:type="dxa"/>
            <w:tcBorders>
              <w:top w:val="nil"/>
              <w:left w:val="nil"/>
              <w:bottom w:val="single" w:sz="8" w:space="0" w:color="auto"/>
              <w:right w:val="single" w:sz="8" w:space="0" w:color="auto"/>
            </w:tcBorders>
            <w:shd w:val="clear" w:color="000000" w:fill="FFFFFF"/>
            <w:noWrap/>
            <w:vAlign w:val="bottom"/>
            <w:hideMark/>
          </w:tcPr>
          <w:p w14:paraId="39BCE4AF" w14:textId="77777777" w:rsidR="007A6A1A" w:rsidRPr="00167CB8" w:rsidRDefault="007A6A1A" w:rsidP="007A6A1A">
            <w:pPr>
              <w:spacing w:after="60"/>
              <w:jc w:val="right"/>
              <w:rPr>
                <w:lang w:eastAsia="en-AU"/>
              </w:rPr>
            </w:pPr>
            <w:r w:rsidRPr="00167CB8">
              <w:rPr>
                <w:lang w:eastAsia="en-AU"/>
              </w:rPr>
              <w:t>7.2%</w:t>
            </w:r>
          </w:p>
        </w:tc>
      </w:tr>
    </w:tbl>
    <w:p w14:paraId="17C645D5" w14:textId="77777777" w:rsidR="000D5139" w:rsidRPr="00167CB8" w:rsidRDefault="007A6A1A" w:rsidP="000D5139">
      <w:pPr>
        <w:pStyle w:val="Source"/>
      </w:pPr>
      <w:r w:rsidRPr="00167CB8">
        <w:rPr>
          <w:b/>
          <w:bCs/>
        </w:rPr>
        <w:t>Note:</w:t>
      </w:r>
      <w:r w:rsidRPr="00167CB8">
        <w:t xml:space="preserve"> Only 3 quarters of data have are available for 2024.</w:t>
      </w:r>
    </w:p>
    <w:p w14:paraId="7B6EC7C5" w14:textId="58D3787F" w:rsidR="000D5139" w:rsidRPr="00167CB8" w:rsidRDefault="000D5139" w:rsidP="000D5139">
      <w:pPr>
        <w:pStyle w:val="Source"/>
      </w:pPr>
      <w:r w:rsidRPr="00167CB8">
        <w:rPr>
          <w:b/>
          <w:bCs/>
        </w:rPr>
        <w:t xml:space="preserve">Source: </w:t>
      </w:r>
      <w:r w:rsidRPr="00167CB8">
        <w:t>DEWR Workplace Agreements Database.</w:t>
      </w:r>
    </w:p>
    <w:p w14:paraId="790E3332" w14:textId="427AF78D" w:rsidR="007A6A1A" w:rsidRPr="00167CB8" w:rsidRDefault="007A6A1A" w:rsidP="000D5139">
      <w:pPr>
        <w:pStyle w:val="Source"/>
        <w:rPr>
          <w:rFonts w:cs="Calibri"/>
          <w:sz w:val="24"/>
          <w:szCs w:val="24"/>
        </w:rPr>
      </w:pPr>
      <w:r w:rsidRPr="00167CB8">
        <w:rPr>
          <w:rFonts w:cs="Calibri"/>
        </w:rPr>
        <w:br w:type="page"/>
      </w:r>
    </w:p>
    <w:p w14:paraId="30CF0C90" w14:textId="7D16ECCE" w:rsidR="007A6A1A" w:rsidRPr="00167CB8" w:rsidRDefault="007A6A1A" w:rsidP="007A6A1A">
      <w:pPr>
        <w:rPr>
          <w:rFonts w:cs="Calibri"/>
          <w:sz w:val="24"/>
          <w:szCs w:val="24"/>
        </w:rPr>
      </w:pPr>
      <w:r w:rsidRPr="00956AF6">
        <w:rPr>
          <w:rFonts w:cs="Calibri"/>
          <w:sz w:val="24"/>
          <w:szCs w:val="24"/>
        </w:rPr>
        <w:lastRenderedPageBreak/>
        <w:t xml:space="preserve">Figure </w:t>
      </w:r>
      <w:r w:rsidR="007B6CD7" w:rsidRPr="00956AF6">
        <w:rPr>
          <w:rFonts w:cs="Calibri"/>
          <w:sz w:val="24"/>
          <w:szCs w:val="24"/>
        </w:rPr>
        <w:t>46</w:t>
      </w:r>
      <w:r w:rsidRPr="00956AF6">
        <w:rPr>
          <w:rFonts w:cs="Calibri"/>
          <w:sz w:val="24"/>
          <w:szCs w:val="24"/>
        </w:rPr>
        <w:t xml:space="preserve"> shows that</w:t>
      </w:r>
      <w:r w:rsidR="000D5139" w:rsidRPr="00167CB8">
        <w:rPr>
          <w:rFonts w:cs="Calibri"/>
          <w:sz w:val="24"/>
          <w:szCs w:val="24"/>
        </w:rPr>
        <w:t>,</w:t>
      </w:r>
      <w:r w:rsidRPr="00167CB8">
        <w:rPr>
          <w:rFonts w:cs="Calibri"/>
          <w:sz w:val="24"/>
          <w:szCs w:val="24"/>
        </w:rPr>
        <w:t xml:space="preserve"> although the number of enterprise agreements being approved has declined since 2010, the number of workers covered by new enterprise agreements has not fallen at the same rate. Indeed, while the number of enterprise agreements approved in the years to September 2023 and 2024 appears relatively static, the number of employees covered by those enterprise agreements has increased. In the year to September 2024 the total number of employees covered by new agreements was equal to over 1.25 million. This pattern (of rising employee coverage notwithstanding slow growth in agreement coverage) stems from a growth in new union agreements and the fact that they cover a greater proportion of employees.  </w:t>
      </w:r>
    </w:p>
    <w:p w14:paraId="30E2BF0E" w14:textId="22932E68" w:rsidR="007A6A1A" w:rsidRDefault="007A6A1A" w:rsidP="00470AB9">
      <w:pPr>
        <w:pStyle w:val="Caption"/>
      </w:pPr>
      <w:bookmarkStart w:id="838" w:name="_Ref184405384"/>
      <w:bookmarkStart w:id="839" w:name="_Toc186906042"/>
      <w:bookmarkStart w:id="840" w:name="_Toc187514220"/>
      <w:bookmarkStart w:id="841" w:name="_Toc189310834"/>
      <w:r w:rsidRPr="00167CB8">
        <w:t xml:space="preserve">Figure </w:t>
      </w:r>
      <w:r w:rsidR="007B6CD7" w:rsidRPr="00167CB8">
        <w:t>46</w:t>
      </w:r>
      <w:bookmarkEnd w:id="838"/>
      <w:r w:rsidRPr="00167CB8">
        <w:t>: Number of new agreements approved and employees covered, year to September quarter</w:t>
      </w:r>
      <w:bookmarkEnd w:id="839"/>
      <w:bookmarkEnd w:id="840"/>
      <w:bookmarkEnd w:id="841"/>
    </w:p>
    <w:p w14:paraId="367B7565" w14:textId="118A9C0F" w:rsidR="00956AF6" w:rsidRPr="00956AF6" w:rsidRDefault="00956AF6" w:rsidP="00956AF6">
      <w:pPr>
        <w:rPr>
          <w:lang w:val="en-US"/>
        </w:rPr>
      </w:pPr>
      <w:r w:rsidRPr="00956AF6">
        <w:rPr>
          <w:noProof/>
        </w:rPr>
        <w:drawing>
          <wp:inline distT="0" distB="0" distL="0" distR="0" wp14:anchorId="0D919E41" wp14:editId="64D3C2D3">
            <wp:extent cx="5800000" cy="3485714"/>
            <wp:effectExtent l="0" t="0" r="0" b="635"/>
            <wp:docPr id="634112255" name="Picture 1" descr="A graph with blue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12255" name="Picture 1" descr="A graph with blue and green lines&#10;&#10;AI-generated content may be incorrect."/>
                    <pic:cNvPicPr/>
                  </pic:nvPicPr>
                  <pic:blipFill>
                    <a:blip r:embed="rId83"/>
                    <a:stretch>
                      <a:fillRect/>
                    </a:stretch>
                  </pic:blipFill>
                  <pic:spPr>
                    <a:xfrm>
                      <a:off x="0" y="0"/>
                      <a:ext cx="5800000" cy="3485714"/>
                    </a:xfrm>
                    <a:prstGeom prst="rect">
                      <a:avLst/>
                    </a:prstGeom>
                  </pic:spPr>
                </pic:pic>
              </a:graphicData>
            </a:graphic>
          </wp:inline>
        </w:drawing>
      </w:r>
    </w:p>
    <w:p w14:paraId="6EDD9610" w14:textId="49E0CEE1" w:rsidR="007A6A1A" w:rsidRPr="00167CB8" w:rsidRDefault="007A6A1A" w:rsidP="000D5139">
      <w:pPr>
        <w:pStyle w:val="Source"/>
      </w:pPr>
      <w:r w:rsidRPr="00167CB8">
        <w:rPr>
          <w:b/>
          <w:bCs/>
        </w:rPr>
        <w:t xml:space="preserve">Source: </w:t>
      </w:r>
      <w:r w:rsidRPr="00167CB8">
        <w:t>DEWR Workplace Agreements Database</w:t>
      </w:r>
      <w:r w:rsidR="000D5139" w:rsidRPr="00167CB8">
        <w:t>.</w:t>
      </w:r>
    </w:p>
    <w:p w14:paraId="466B403C" w14:textId="46A98243" w:rsidR="007A6A1A" w:rsidRPr="00167CB8" w:rsidRDefault="007A6A1A" w:rsidP="000D5139">
      <w:pPr>
        <w:pStyle w:val="Source"/>
      </w:pPr>
      <w:r w:rsidRPr="00167CB8">
        <w:rPr>
          <w:b/>
        </w:rPr>
        <w:t>Alt-text:</w:t>
      </w:r>
      <w:r w:rsidRPr="00167CB8">
        <w:t xml:space="preserve"> A combination chart. The bars show the number of new approved agreements between 2009 and September quarter (Q3) of 2024 and the line shows number of employees covered by these new agreements. For calendar year 2023 a total of 4,111 new agreements were approved across all sectors (LHS axis) covering 843,182 employees. In the year to September 2024 a total of 3,158 new agreements had been approved covering 981,000 employees. </w:t>
      </w:r>
    </w:p>
    <w:p w14:paraId="6DCCA770" w14:textId="77777777" w:rsidR="007A6A1A" w:rsidRPr="00167CB8" w:rsidRDefault="007A6A1A" w:rsidP="007A6A1A">
      <w:pPr>
        <w:spacing w:after="160"/>
        <w:rPr>
          <w:kern w:val="2"/>
          <w14:ligatures w14:val="standardContextual"/>
        </w:rPr>
      </w:pPr>
      <w:r w:rsidRPr="00167CB8">
        <w:t xml:space="preserve"> </w:t>
      </w:r>
      <w:r w:rsidRPr="00167CB8">
        <w:br w:type="page"/>
      </w:r>
    </w:p>
    <w:p w14:paraId="5F4077B6" w14:textId="68253DDB" w:rsidR="007A6A1A" w:rsidRPr="00167CB8" w:rsidRDefault="007A6A1A" w:rsidP="000D5139">
      <w:r w:rsidRPr="00167CB8">
        <w:lastRenderedPageBreak/>
        <w:t xml:space="preserve">Figure </w:t>
      </w:r>
      <w:r w:rsidR="00872E04" w:rsidRPr="00167CB8">
        <w:t>47</w:t>
      </w:r>
      <w:r w:rsidRPr="00167CB8">
        <w:t xml:space="preserve"> shows the number of new agreements approved in the quarter and number of employees covered.</w:t>
      </w:r>
    </w:p>
    <w:p w14:paraId="1827B70F" w14:textId="0368016F" w:rsidR="007A6A1A" w:rsidRDefault="007A6A1A" w:rsidP="00470AB9">
      <w:pPr>
        <w:pStyle w:val="Caption"/>
      </w:pPr>
      <w:bookmarkStart w:id="842" w:name="_Toc186906043"/>
      <w:bookmarkStart w:id="843" w:name="_Toc187514221"/>
      <w:bookmarkStart w:id="844" w:name="_Toc189310835"/>
      <w:r w:rsidRPr="00167CB8">
        <w:t xml:space="preserve">Figure </w:t>
      </w:r>
      <w:r w:rsidR="00872E04" w:rsidRPr="00167CB8">
        <w:t>47</w:t>
      </w:r>
      <w:r w:rsidRPr="00167CB8">
        <w:t>: Number of new agreements approved by the quarter and number of employees</w:t>
      </w:r>
      <w:bookmarkEnd w:id="842"/>
      <w:bookmarkEnd w:id="843"/>
      <w:r w:rsidR="000D5139" w:rsidRPr="00167CB8">
        <w:t>, June 2021 to September 2024</w:t>
      </w:r>
      <w:bookmarkEnd w:id="844"/>
    </w:p>
    <w:p w14:paraId="076B1439" w14:textId="415519F3" w:rsidR="0090213E" w:rsidRPr="0090213E" w:rsidRDefault="0090213E" w:rsidP="0090213E">
      <w:pPr>
        <w:rPr>
          <w:lang w:val="en-US"/>
        </w:rPr>
      </w:pPr>
      <w:r>
        <w:rPr>
          <w:noProof/>
          <w:lang w:val="en-US"/>
        </w:rPr>
        <w:drawing>
          <wp:inline distT="0" distB="0" distL="0" distR="0" wp14:anchorId="2383B561" wp14:editId="3995C28B">
            <wp:extent cx="5715000" cy="3238500"/>
            <wp:effectExtent l="0" t="0" r="0" b="0"/>
            <wp:docPr id="151680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5000" cy="3238500"/>
                    </a:xfrm>
                    <a:prstGeom prst="rect">
                      <a:avLst/>
                    </a:prstGeom>
                    <a:noFill/>
                  </pic:spPr>
                </pic:pic>
              </a:graphicData>
            </a:graphic>
          </wp:inline>
        </w:drawing>
      </w:r>
    </w:p>
    <w:p w14:paraId="46A66D2D" w14:textId="78D155BE" w:rsidR="007A6A1A" w:rsidRPr="00167CB8" w:rsidRDefault="007A6A1A" w:rsidP="007A6A1A">
      <w:pPr>
        <w:spacing w:after="0" w:line="240" w:lineRule="auto"/>
        <w:rPr>
          <w:rFonts w:cs="Calibri"/>
          <w:sz w:val="20"/>
          <w:szCs w:val="20"/>
        </w:rPr>
      </w:pPr>
    </w:p>
    <w:p w14:paraId="49083486" w14:textId="5BD736B9" w:rsidR="000D5139" w:rsidRPr="00167CB8" w:rsidRDefault="000D5139" w:rsidP="000D5139">
      <w:pPr>
        <w:pStyle w:val="Source"/>
      </w:pPr>
      <w:r w:rsidRPr="00167CB8">
        <w:rPr>
          <w:b/>
          <w:bCs/>
        </w:rPr>
        <w:t>Source:</w:t>
      </w:r>
      <w:r w:rsidRPr="00167CB8">
        <w:t xml:space="preserve"> DEWR Workplace Agreements Database.</w:t>
      </w:r>
    </w:p>
    <w:p w14:paraId="7C87923D" w14:textId="21229A09" w:rsidR="007A6A1A" w:rsidRPr="00167CB8" w:rsidRDefault="007A6A1A" w:rsidP="000D5139">
      <w:pPr>
        <w:pStyle w:val="Source"/>
      </w:pPr>
      <w:r w:rsidRPr="00167CB8">
        <w:rPr>
          <w:b/>
        </w:rPr>
        <w:t>Alt-text:</w:t>
      </w:r>
      <w:r w:rsidRPr="00167CB8">
        <w:t xml:space="preserve"> A combination chart. The bars show the number of new approved agreements approved in each quarter (covering the period June quarter (Q2) 2021 to September quarter (Q3) of 2024 (LHS)). The line shows the number of employees covered by these new approved agreements in each quarter (RHS). A total of 341,00 employees were covered by agreements approved in the September 2024 quarter. </w:t>
      </w:r>
    </w:p>
    <w:p w14:paraId="7802231F" w14:textId="480BB4E6" w:rsidR="007A6A1A" w:rsidRDefault="007A6A1A" w:rsidP="00470AB9">
      <w:pPr>
        <w:pStyle w:val="Caption"/>
      </w:pPr>
      <w:bookmarkStart w:id="845" w:name="_Toc187514222"/>
      <w:bookmarkStart w:id="846" w:name="_Toc189310836"/>
      <w:r w:rsidRPr="00167CB8">
        <w:lastRenderedPageBreak/>
        <w:t xml:space="preserve">Figure </w:t>
      </w:r>
      <w:r w:rsidR="00A0031D" w:rsidRPr="00167CB8">
        <w:t>48</w:t>
      </w:r>
      <w:r w:rsidRPr="00167CB8">
        <w:t>: Trends in approval of new agreements and their coverage (by single and multi-employer), year to September quarter</w:t>
      </w:r>
      <w:bookmarkEnd w:id="845"/>
      <w:bookmarkEnd w:id="846"/>
    </w:p>
    <w:p w14:paraId="2CDDE276" w14:textId="479D71BD" w:rsidR="0090213E" w:rsidRPr="0090213E" w:rsidRDefault="0090213E" w:rsidP="0090213E">
      <w:pPr>
        <w:rPr>
          <w:lang w:val="en-US"/>
        </w:rPr>
      </w:pPr>
      <w:r>
        <w:rPr>
          <w:noProof/>
          <w:lang w:val="en-US"/>
        </w:rPr>
        <w:drawing>
          <wp:inline distT="0" distB="0" distL="0" distR="0" wp14:anchorId="2277AE59" wp14:editId="26F8CBBC">
            <wp:extent cx="5756744" cy="3544146"/>
            <wp:effectExtent l="0" t="0" r="0" b="0"/>
            <wp:docPr id="7374909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70124" cy="3552383"/>
                    </a:xfrm>
                    <a:prstGeom prst="rect">
                      <a:avLst/>
                    </a:prstGeom>
                    <a:noFill/>
                  </pic:spPr>
                </pic:pic>
              </a:graphicData>
            </a:graphic>
          </wp:inline>
        </w:drawing>
      </w:r>
    </w:p>
    <w:p w14:paraId="050A4AEF" w14:textId="17B7EA1F" w:rsidR="007A6A1A" w:rsidRPr="00167CB8" w:rsidRDefault="007A6A1A" w:rsidP="007A6A1A">
      <w:pPr>
        <w:jc w:val="center"/>
      </w:pPr>
    </w:p>
    <w:p w14:paraId="76E9713D" w14:textId="2A2CE41A" w:rsidR="007A6A1A" w:rsidRPr="00167CB8" w:rsidRDefault="007A6A1A" w:rsidP="000D5139">
      <w:pPr>
        <w:pStyle w:val="Source"/>
      </w:pPr>
      <w:r w:rsidRPr="00167CB8">
        <w:rPr>
          <w:b/>
          <w:bCs/>
        </w:rPr>
        <w:t>Source:</w:t>
      </w:r>
      <w:r w:rsidRPr="00167CB8">
        <w:t xml:space="preserve"> DEWR Workplace Agreement Database</w:t>
      </w:r>
      <w:r w:rsidR="000D5139" w:rsidRPr="00167CB8">
        <w:t>.</w:t>
      </w:r>
    </w:p>
    <w:p w14:paraId="74AA16C3" w14:textId="77777777" w:rsidR="007A6A1A" w:rsidRPr="00167CB8" w:rsidRDefault="007A6A1A" w:rsidP="000D5139">
      <w:pPr>
        <w:pStyle w:val="Source"/>
      </w:pPr>
      <w:r w:rsidRPr="00167CB8">
        <w:rPr>
          <w:b/>
          <w:bCs/>
        </w:rPr>
        <w:t xml:space="preserve">Alt text: </w:t>
      </w:r>
      <w:r w:rsidRPr="00167CB8">
        <w:t>A combination chart showing the number of new agreements approved in the year to the September quarters from 2010 to 2024, and the coverage of those agreements by whether they were single or multi-employer agreements. The left hand side axis (columns) shows the number of new agreements approved. The right hand side axis (lines) shows the number of employees covered by the single and multi-employer agreements approved. In the year to the September 2024 quarter 4,417 agreements were approved, with 1,210,202 employees covered by single enterprise agreements and 48,120 covered by multi-employer agreements.</w:t>
      </w:r>
    </w:p>
    <w:p w14:paraId="3C381C5E" w14:textId="77777777" w:rsidR="007A6A1A" w:rsidRPr="00167CB8" w:rsidRDefault="007A6A1A" w:rsidP="007A6A1A">
      <w:pPr>
        <w:spacing w:after="160"/>
        <w:rPr>
          <w:b/>
          <w:iCs/>
          <w:color w:val="404246" w:themeColor="text2"/>
          <w:szCs w:val="18"/>
        </w:rPr>
      </w:pPr>
      <w:r w:rsidRPr="00167CB8">
        <w:br w:type="page"/>
      </w:r>
    </w:p>
    <w:p w14:paraId="4FA520C8" w14:textId="0427B087" w:rsidR="007A6A1A" w:rsidRPr="00167CB8" w:rsidRDefault="007A6A1A" w:rsidP="00470AB9">
      <w:pPr>
        <w:pStyle w:val="Caption"/>
      </w:pPr>
      <w:bookmarkStart w:id="847" w:name="_Toc189310884"/>
      <w:r w:rsidRPr="00167CB8">
        <w:lastRenderedPageBreak/>
        <w:t xml:space="preserve">Table </w:t>
      </w:r>
      <w:r w:rsidR="00CF253B" w:rsidRPr="00167CB8">
        <w:t>55</w:t>
      </w:r>
      <w:r w:rsidRPr="00167CB8">
        <w:t>: New approved agreements by calendar year, September 2009 to September 2024</w:t>
      </w:r>
      <w:bookmarkEnd w:id="847"/>
    </w:p>
    <w:tbl>
      <w:tblPr>
        <w:tblW w:w="9026"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1418"/>
        <w:gridCol w:w="1282"/>
        <w:gridCol w:w="1235"/>
        <w:gridCol w:w="1314"/>
        <w:gridCol w:w="1314"/>
        <w:gridCol w:w="1235"/>
        <w:gridCol w:w="1228"/>
      </w:tblGrid>
      <w:tr w:rsidR="007A6A1A" w:rsidRPr="00167CB8" w14:paraId="72B8CADD" w14:textId="77777777">
        <w:trPr>
          <w:trHeight w:val="622"/>
        </w:trPr>
        <w:tc>
          <w:tcPr>
            <w:tcW w:w="1418" w:type="dxa"/>
            <w:vMerge w:val="restart"/>
            <w:tcBorders>
              <w:right w:val="single" w:sz="4" w:space="0" w:color="auto"/>
            </w:tcBorders>
            <w:shd w:val="clear" w:color="auto" w:fill="auto"/>
            <w:vAlign w:val="center"/>
            <w:hideMark/>
          </w:tcPr>
          <w:p w14:paraId="0CE7824F" w14:textId="77777777" w:rsidR="007A6A1A" w:rsidRPr="00167CB8" w:rsidRDefault="007A6A1A" w:rsidP="007A6A1A">
            <w:pPr>
              <w:spacing w:after="0" w:line="240" w:lineRule="auto"/>
              <w:rPr>
                <w:rFonts w:eastAsia="Times New Roman" w:cs="Times New Roman"/>
                <w:b/>
                <w:bCs/>
                <w:sz w:val="24"/>
                <w:szCs w:val="24"/>
                <w:lang w:eastAsia="en-AU"/>
              </w:rPr>
            </w:pPr>
          </w:p>
        </w:tc>
        <w:tc>
          <w:tcPr>
            <w:tcW w:w="25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7EC886" w14:textId="77777777"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New approved single enterprise agreements</w:t>
            </w:r>
          </w:p>
        </w:tc>
        <w:tc>
          <w:tcPr>
            <w:tcW w:w="5091" w:type="dxa"/>
            <w:gridSpan w:val="4"/>
            <w:tcBorders>
              <w:top w:val="single" w:sz="4" w:space="0" w:color="auto"/>
              <w:left w:val="single" w:sz="4" w:space="0" w:color="auto"/>
              <w:bottom w:val="single" w:sz="4" w:space="0" w:color="auto"/>
            </w:tcBorders>
            <w:shd w:val="clear" w:color="auto" w:fill="auto"/>
            <w:vAlign w:val="center"/>
            <w:hideMark/>
          </w:tcPr>
          <w:p w14:paraId="22DF7C85" w14:textId="77777777"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New approved multi-employer agreements</w:t>
            </w:r>
          </w:p>
        </w:tc>
      </w:tr>
      <w:tr w:rsidR="007A6A1A" w:rsidRPr="00167CB8" w14:paraId="4A5C22F5" w14:textId="77777777">
        <w:trPr>
          <w:trHeight w:val="600"/>
        </w:trPr>
        <w:tc>
          <w:tcPr>
            <w:tcW w:w="1418" w:type="dxa"/>
            <w:vMerge/>
            <w:tcBorders>
              <w:bottom w:val="single" w:sz="4" w:space="0" w:color="auto"/>
              <w:right w:val="single" w:sz="4" w:space="0" w:color="auto"/>
            </w:tcBorders>
            <w:vAlign w:val="center"/>
            <w:hideMark/>
          </w:tcPr>
          <w:p w14:paraId="364B643E" w14:textId="77777777" w:rsidR="007A6A1A" w:rsidRPr="00167CB8" w:rsidRDefault="007A6A1A" w:rsidP="007A6A1A">
            <w:pPr>
              <w:spacing w:after="0" w:line="240" w:lineRule="auto"/>
              <w:rPr>
                <w:rFonts w:eastAsia="Times New Roman" w:cs="Times New Roman"/>
                <w:b/>
                <w:bCs/>
                <w:sz w:val="24"/>
                <w:szCs w:val="24"/>
                <w:lang w:eastAsia="en-AU"/>
              </w:rPr>
            </w:pP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15DFE" w14:textId="477C105A"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N</w:t>
            </w:r>
            <w:r w:rsidR="000D5139" w:rsidRPr="00167CB8">
              <w:rPr>
                <w:rFonts w:eastAsia="Times New Roman" w:cs="Times New Roman"/>
                <w:b/>
                <w:bCs/>
                <w:color w:val="000000"/>
                <w:lang w:eastAsia="en-AU"/>
              </w:rPr>
              <w:t>o</w:t>
            </w:r>
            <w:r w:rsidRPr="00167CB8">
              <w:rPr>
                <w:rFonts w:eastAsia="Times New Roman" w:cs="Times New Roman"/>
                <w:b/>
                <w:bCs/>
                <w:color w:val="000000"/>
                <w:lang w:eastAsia="en-AU"/>
              </w:rPr>
              <w:t xml:space="preserve"> of agreements</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F86FB" w14:textId="77777777"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Employees covered</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A1D62" w14:textId="7D8C38AA"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N</w:t>
            </w:r>
            <w:r w:rsidR="000D5139" w:rsidRPr="00167CB8">
              <w:rPr>
                <w:rFonts w:eastAsia="Times New Roman" w:cs="Times New Roman"/>
                <w:b/>
                <w:bCs/>
                <w:color w:val="000000"/>
                <w:lang w:eastAsia="en-AU"/>
              </w:rPr>
              <w:t>o</w:t>
            </w:r>
            <w:r w:rsidRPr="00167CB8">
              <w:rPr>
                <w:rFonts w:eastAsia="Times New Roman" w:cs="Times New Roman"/>
                <w:b/>
                <w:bCs/>
                <w:color w:val="000000"/>
                <w:lang w:eastAsia="en-AU"/>
              </w:rPr>
              <w:t xml:space="preserve"> of agreements</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5F60C" w14:textId="77777777"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 of agreements</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CDBBD" w14:textId="77777777"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Employees covered</w:t>
            </w:r>
          </w:p>
        </w:tc>
        <w:tc>
          <w:tcPr>
            <w:tcW w:w="1228" w:type="dxa"/>
            <w:tcBorders>
              <w:top w:val="single" w:sz="4" w:space="0" w:color="auto"/>
              <w:left w:val="single" w:sz="4" w:space="0" w:color="auto"/>
              <w:bottom w:val="single" w:sz="4" w:space="0" w:color="auto"/>
            </w:tcBorders>
            <w:shd w:val="clear" w:color="auto" w:fill="auto"/>
            <w:vAlign w:val="center"/>
            <w:hideMark/>
          </w:tcPr>
          <w:p w14:paraId="7DC6B008" w14:textId="77777777" w:rsidR="007A6A1A" w:rsidRPr="00167CB8" w:rsidRDefault="007A6A1A" w:rsidP="007A6A1A">
            <w:pPr>
              <w:spacing w:after="0" w:line="240" w:lineRule="auto"/>
              <w:jc w:val="center"/>
              <w:rPr>
                <w:rFonts w:eastAsia="Times New Roman" w:cs="Times New Roman"/>
                <w:b/>
                <w:bCs/>
                <w:color w:val="000000"/>
                <w:lang w:eastAsia="en-AU"/>
              </w:rPr>
            </w:pPr>
            <w:r w:rsidRPr="00167CB8">
              <w:rPr>
                <w:rFonts w:eastAsia="Times New Roman" w:cs="Times New Roman"/>
                <w:b/>
                <w:bCs/>
                <w:color w:val="000000"/>
                <w:lang w:eastAsia="en-AU"/>
              </w:rPr>
              <w:t>% of employees</w:t>
            </w:r>
          </w:p>
        </w:tc>
      </w:tr>
      <w:tr w:rsidR="007A6A1A" w:rsidRPr="00167CB8" w14:paraId="178D64A9"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4BB5FB2D" w14:textId="0766C826"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2009 (Q3</w:t>
            </w:r>
            <w:r w:rsidR="000D5139" w:rsidRPr="00167CB8">
              <w:rPr>
                <w:rFonts w:ascii="Symbol" w:eastAsia="Symbol" w:hAnsi="Symbol" w:cs="Symbol"/>
                <w:color w:val="000000"/>
                <w:lang w:eastAsia="en-AU"/>
              </w:rPr>
              <w:sym w:font="Symbol" w:char="F02D"/>
            </w:r>
            <w:r w:rsidRPr="00167CB8">
              <w:rPr>
                <w:rFonts w:eastAsia="Times New Roman" w:cs="Times New Roman"/>
                <w:color w:val="000000"/>
                <w:lang w:eastAsia="en-AU"/>
              </w:rPr>
              <w:t>Q4)</w:t>
            </w:r>
          </w:p>
        </w:tc>
        <w:tc>
          <w:tcPr>
            <w:tcW w:w="1282" w:type="dxa"/>
            <w:tcBorders>
              <w:top w:val="single" w:sz="4" w:space="0" w:color="auto"/>
              <w:left w:val="single" w:sz="4" w:space="0" w:color="auto"/>
            </w:tcBorders>
            <w:shd w:val="clear" w:color="auto" w:fill="auto"/>
            <w:vAlign w:val="center"/>
            <w:hideMark/>
          </w:tcPr>
          <w:p w14:paraId="1F71D5F3"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1,343</w:t>
            </w:r>
          </w:p>
        </w:tc>
        <w:tc>
          <w:tcPr>
            <w:tcW w:w="1235" w:type="dxa"/>
            <w:tcBorders>
              <w:top w:val="single" w:sz="4" w:space="0" w:color="auto"/>
              <w:right w:val="single" w:sz="4" w:space="0" w:color="auto"/>
            </w:tcBorders>
            <w:shd w:val="clear" w:color="auto" w:fill="auto"/>
            <w:vAlign w:val="center"/>
            <w:hideMark/>
          </w:tcPr>
          <w:p w14:paraId="6D2994A1"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211,728</w:t>
            </w:r>
          </w:p>
        </w:tc>
        <w:tc>
          <w:tcPr>
            <w:tcW w:w="1314" w:type="dxa"/>
            <w:tcBorders>
              <w:top w:val="single" w:sz="4" w:space="0" w:color="auto"/>
              <w:left w:val="single" w:sz="4" w:space="0" w:color="auto"/>
            </w:tcBorders>
            <w:shd w:val="clear" w:color="auto" w:fill="auto"/>
            <w:vAlign w:val="center"/>
            <w:hideMark/>
          </w:tcPr>
          <w:p w14:paraId="6F37DE0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w:t>
            </w:r>
          </w:p>
        </w:tc>
        <w:tc>
          <w:tcPr>
            <w:tcW w:w="1314" w:type="dxa"/>
            <w:tcBorders>
              <w:top w:val="single" w:sz="4" w:space="0" w:color="auto"/>
            </w:tcBorders>
            <w:shd w:val="clear" w:color="auto" w:fill="auto"/>
            <w:vAlign w:val="center"/>
            <w:hideMark/>
          </w:tcPr>
          <w:p w14:paraId="4D4D57A2"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0.2%</w:t>
            </w:r>
          </w:p>
        </w:tc>
        <w:tc>
          <w:tcPr>
            <w:tcW w:w="1235" w:type="dxa"/>
            <w:tcBorders>
              <w:top w:val="single" w:sz="4" w:space="0" w:color="auto"/>
            </w:tcBorders>
            <w:shd w:val="clear" w:color="auto" w:fill="auto"/>
            <w:vAlign w:val="center"/>
            <w:hideMark/>
          </w:tcPr>
          <w:p w14:paraId="2B27B86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6,810</w:t>
            </w:r>
          </w:p>
        </w:tc>
        <w:tc>
          <w:tcPr>
            <w:tcW w:w="1228" w:type="dxa"/>
            <w:tcBorders>
              <w:top w:val="single" w:sz="4" w:space="0" w:color="auto"/>
            </w:tcBorders>
            <w:shd w:val="clear" w:color="auto" w:fill="auto"/>
            <w:vAlign w:val="center"/>
            <w:hideMark/>
          </w:tcPr>
          <w:p w14:paraId="2DD9CCA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3.1%</w:t>
            </w:r>
          </w:p>
        </w:tc>
      </w:tr>
      <w:tr w:rsidR="007A6A1A" w:rsidRPr="00167CB8" w14:paraId="025FDD0A"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265B6523"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2010</w:t>
            </w:r>
          </w:p>
        </w:tc>
        <w:tc>
          <w:tcPr>
            <w:tcW w:w="1282" w:type="dxa"/>
            <w:tcBorders>
              <w:left w:val="single" w:sz="4" w:space="0" w:color="auto"/>
            </w:tcBorders>
            <w:shd w:val="clear" w:color="auto" w:fill="auto"/>
            <w:vAlign w:val="center"/>
            <w:hideMark/>
          </w:tcPr>
          <w:p w14:paraId="1B43BCF8"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7,946</w:t>
            </w:r>
          </w:p>
        </w:tc>
        <w:tc>
          <w:tcPr>
            <w:tcW w:w="1235" w:type="dxa"/>
            <w:tcBorders>
              <w:right w:val="single" w:sz="4" w:space="0" w:color="auto"/>
            </w:tcBorders>
            <w:shd w:val="clear" w:color="auto" w:fill="auto"/>
            <w:vAlign w:val="center"/>
            <w:hideMark/>
          </w:tcPr>
          <w:p w14:paraId="10B533F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1,106,781</w:t>
            </w:r>
          </w:p>
        </w:tc>
        <w:tc>
          <w:tcPr>
            <w:tcW w:w="1314" w:type="dxa"/>
            <w:tcBorders>
              <w:left w:val="single" w:sz="4" w:space="0" w:color="auto"/>
            </w:tcBorders>
            <w:shd w:val="clear" w:color="auto" w:fill="auto"/>
            <w:vAlign w:val="center"/>
            <w:hideMark/>
          </w:tcPr>
          <w:p w14:paraId="129825B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53</w:t>
            </w:r>
          </w:p>
        </w:tc>
        <w:tc>
          <w:tcPr>
            <w:tcW w:w="1314" w:type="dxa"/>
            <w:shd w:val="clear" w:color="auto" w:fill="auto"/>
            <w:vAlign w:val="center"/>
            <w:hideMark/>
          </w:tcPr>
          <w:p w14:paraId="71EC794E"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0.7%</w:t>
            </w:r>
          </w:p>
        </w:tc>
        <w:tc>
          <w:tcPr>
            <w:tcW w:w="1235" w:type="dxa"/>
            <w:shd w:val="clear" w:color="auto" w:fill="auto"/>
            <w:vAlign w:val="center"/>
            <w:hideMark/>
          </w:tcPr>
          <w:p w14:paraId="17F6A7A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49,561</w:t>
            </w:r>
          </w:p>
        </w:tc>
        <w:tc>
          <w:tcPr>
            <w:tcW w:w="1228" w:type="dxa"/>
            <w:shd w:val="clear" w:color="auto" w:fill="auto"/>
            <w:vAlign w:val="center"/>
            <w:hideMark/>
          </w:tcPr>
          <w:p w14:paraId="6C89ED42"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4.3%</w:t>
            </w:r>
          </w:p>
        </w:tc>
      </w:tr>
      <w:tr w:rsidR="007A6A1A" w:rsidRPr="00167CB8" w14:paraId="161A4D36"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32AF7704"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2011</w:t>
            </w:r>
          </w:p>
        </w:tc>
        <w:tc>
          <w:tcPr>
            <w:tcW w:w="1282" w:type="dxa"/>
            <w:tcBorders>
              <w:left w:val="single" w:sz="4" w:space="0" w:color="auto"/>
            </w:tcBorders>
            <w:shd w:val="clear" w:color="auto" w:fill="auto"/>
            <w:vAlign w:val="center"/>
            <w:hideMark/>
          </w:tcPr>
          <w:p w14:paraId="107598A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6,839</w:t>
            </w:r>
          </w:p>
        </w:tc>
        <w:tc>
          <w:tcPr>
            <w:tcW w:w="1235" w:type="dxa"/>
            <w:tcBorders>
              <w:right w:val="single" w:sz="4" w:space="0" w:color="auto"/>
            </w:tcBorders>
            <w:shd w:val="clear" w:color="auto" w:fill="auto"/>
            <w:vAlign w:val="center"/>
            <w:hideMark/>
          </w:tcPr>
          <w:p w14:paraId="0A6DA14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845,004</w:t>
            </w:r>
          </w:p>
        </w:tc>
        <w:tc>
          <w:tcPr>
            <w:tcW w:w="1314" w:type="dxa"/>
            <w:tcBorders>
              <w:left w:val="single" w:sz="4" w:space="0" w:color="auto"/>
            </w:tcBorders>
            <w:shd w:val="clear" w:color="auto" w:fill="auto"/>
            <w:vAlign w:val="center"/>
            <w:hideMark/>
          </w:tcPr>
          <w:p w14:paraId="2AD1B2A8"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26</w:t>
            </w:r>
          </w:p>
        </w:tc>
        <w:tc>
          <w:tcPr>
            <w:tcW w:w="1314" w:type="dxa"/>
            <w:shd w:val="clear" w:color="auto" w:fill="auto"/>
            <w:vAlign w:val="center"/>
            <w:hideMark/>
          </w:tcPr>
          <w:p w14:paraId="49BFACE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0.4%</w:t>
            </w:r>
          </w:p>
        </w:tc>
        <w:tc>
          <w:tcPr>
            <w:tcW w:w="1235" w:type="dxa"/>
            <w:shd w:val="clear" w:color="auto" w:fill="auto"/>
            <w:vAlign w:val="center"/>
            <w:hideMark/>
          </w:tcPr>
          <w:p w14:paraId="5958D38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57,663</w:t>
            </w:r>
          </w:p>
        </w:tc>
        <w:tc>
          <w:tcPr>
            <w:tcW w:w="1228" w:type="dxa"/>
            <w:shd w:val="clear" w:color="auto" w:fill="auto"/>
            <w:vAlign w:val="center"/>
            <w:hideMark/>
          </w:tcPr>
          <w:p w14:paraId="3FB822C2"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6.4%</w:t>
            </w:r>
          </w:p>
        </w:tc>
      </w:tr>
      <w:tr w:rsidR="007A6A1A" w:rsidRPr="00167CB8" w14:paraId="0270F928"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0A10D734"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2012</w:t>
            </w:r>
          </w:p>
        </w:tc>
        <w:tc>
          <w:tcPr>
            <w:tcW w:w="1282" w:type="dxa"/>
            <w:tcBorders>
              <w:left w:val="single" w:sz="4" w:space="0" w:color="auto"/>
            </w:tcBorders>
            <w:shd w:val="clear" w:color="auto" w:fill="auto"/>
            <w:vAlign w:val="center"/>
            <w:hideMark/>
          </w:tcPr>
          <w:p w14:paraId="431C9D6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8,193</w:t>
            </w:r>
          </w:p>
        </w:tc>
        <w:tc>
          <w:tcPr>
            <w:tcW w:w="1235" w:type="dxa"/>
            <w:tcBorders>
              <w:right w:val="single" w:sz="4" w:space="0" w:color="auto"/>
            </w:tcBorders>
            <w:shd w:val="clear" w:color="auto" w:fill="auto"/>
            <w:vAlign w:val="center"/>
            <w:hideMark/>
          </w:tcPr>
          <w:p w14:paraId="3BCFB5D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957,955</w:t>
            </w:r>
          </w:p>
        </w:tc>
        <w:tc>
          <w:tcPr>
            <w:tcW w:w="1314" w:type="dxa"/>
            <w:tcBorders>
              <w:left w:val="single" w:sz="4" w:space="0" w:color="auto"/>
            </w:tcBorders>
            <w:shd w:val="clear" w:color="auto" w:fill="auto"/>
            <w:vAlign w:val="center"/>
            <w:hideMark/>
          </w:tcPr>
          <w:p w14:paraId="2A7FB3C7"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36</w:t>
            </w:r>
          </w:p>
        </w:tc>
        <w:tc>
          <w:tcPr>
            <w:tcW w:w="1314" w:type="dxa"/>
            <w:shd w:val="clear" w:color="auto" w:fill="auto"/>
            <w:vAlign w:val="center"/>
            <w:hideMark/>
          </w:tcPr>
          <w:p w14:paraId="0020956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0.4%</w:t>
            </w:r>
          </w:p>
        </w:tc>
        <w:tc>
          <w:tcPr>
            <w:tcW w:w="1235" w:type="dxa"/>
            <w:shd w:val="clear" w:color="auto" w:fill="auto"/>
            <w:vAlign w:val="center"/>
            <w:hideMark/>
          </w:tcPr>
          <w:p w14:paraId="7D0FC45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68,052</w:t>
            </w:r>
          </w:p>
        </w:tc>
        <w:tc>
          <w:tcPr>
            <w:tcW w:w="1228" w:type="dxa"/>
            <w:shd w:val="clear" w:color="auto" w:fill="auto"/>
            <w:vAlign w:val="center"/>
            <w:hideMark/>
          </w:tcPr>
          <w:p w14:paraId="60ED15F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6.6%</w:t>
            </w:r>
          </w:p>
        </w:tc>
      </w:tr>
      <w:tr w:rsidR="007A6A1A" w:rsidRPr="00167CB8" w14:paraId="454D732A"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43132522"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2013</w:t>
            </w:r>
          </w:p>
        </w:tc>
        <w:tc>
          <w:tcPr>
            <w:tcW w:w="1282" w:type="dxa"/>
            <w:tcBorders>
              <w:left w:val="single" w:sz="4" w:space="0" w:color="auto"/>
            </w:tcBorders>
            <w:shd w:val="clear" w:color="auto" w:fill="auto"/>
            <w:vAlign w:val="center"/>
            <w:hideMark/>
          </w:tcPr>
          <w:p w14:paraId="50846CA2"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6,673</w:t>
            </w:r>
          </w:p>
        </w:tc>
        <w:tc>
          <w:tcPr>
            <w:tcW w:w="1235" w:type="dxa"/>
            <w:tcBorders>
              <w:right w:val="single" w:sz="4" w:space="0" w:color="auto"/>
            </w:tcBorders>
            <w:shd w:val="clear" w:color="auto" w:fill="auto"/>
            <w:vAlign w:val="center"/>
            <w:hideMark/>
          </w:tcPr>
          <w:p w14:paraId="0348672F"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879,288</w:t>
            </w:r>
          </w:p>
        </w:tc>
        <w:tc>
          <w:tcPr>
            <w:tcW w:w="1314" w:type="dxa"/>
            <w:tcBorders>
              <w:left w:val="single" w:sz="4" w:space="0" w:color="auto"/>
            </w:tcBorders>
            <w:shd w:val="clear" w:color="auto" w:fill="auto"/>
            <w:vAlign w:val="center"/>
            <w:hideMark/>
          </w:tcPr>
          <w:p w14:paraId="0BAB31DF"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24</w:t>
            </w:r>
          </w:p>
        </w:tc>
        <w:tc>
          <w:tcPr>
            <w:tcW w:w="1314" w:type="dxa"/>
            <w:shd w:val="clear" w:color="auto" w:fill="auto"/>
            <w:vAlign w:val="center"/>
            <w:hideMark/>
          </w:tcPr>
          <w:p w14:paraId="41A4E98B"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0.4%</w:t>
            </w:r>
          </w:p>
        </w:tc>
        <w:tc>
          <w:tcPr>
            <w:tcW w:w="1235" w:type="dxa"/>
            <w:shd w:val="clear" w:color="auto" w:fill="auto"/>
            <w:vAlign w:val="center"/>
            <w:hideMark/>
          </w:tcPr>
          <w:p w14:paraId="6EA04670"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34,741</w:t>
            </w:r>
          </w:p>
        </w:tc>
        <w:tc>
          <w:tcPr>
            <w:tcW w:w="1228" w:type="dxa"/>
            <w:shd w:val="clear" w:color="auto" w:fill="auto"/>
            <w:vAlign w:val="center"/>
            <w:hideMark/>
          </w:tcPr>
          <w:p w14:paraId="15BB162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3.8%</w:t>
            </w:r>
          </w:p>
        </w:tc>
      </w:tr>
      <w:tr w:rsidR="007A6A1A" w:rsidRPr="00167CB8" w14:paraId="387141D9"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4747F769"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2014</w:t>
            </w:r>
          </w:p>
        </w:tc>
        <w:tc>
          <w:tcPr>
            <w:tcW w:w="1282" w:type="dxa"/>
            <w:tcBorders>
              <w:left w:val="single" w:sz="4" w:space="0" w:color="auto"/>
            </w:tcBorders>
            <w:shd w:val="clear" w:color="auto" w:fill="auto"/>
            <w:vAlign w:val="center"/>
            <w:hideMark/>
          </w:tcPr>
          <w:p w14:paraId="2EEB593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5,656</w:t>
            </w:r>
          </w:p>
        </w:tc>
        <w:tc>
          <w:tcPr>
            <w:tcW w:w="1235" w:type="dxa"/>
            <w:tcBorders>
              <w:right w:val="single" w:sz="4" w:space="0" w:color="auto"/>
            </w:tcBorders>
            <w:shd w:val="clear" w:color="auto" w:fill="auto"/>
            <w:vAlign w:val="center"/>
            <w:hideMark/>
          </w:tcPr>
          <w:p w14:paraId="15CAD6FF"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792,606</w:t>
            </w:r>
          </w:p>
        </w:tc>
        <w:tc>
          <w:tcPr>
            <w:tcW w:w="1314" w:type="dxa"/>
            <w:tcBorders>
              <w:left w:val="single" w:sz="4" w:space="0" w:color="auto"/>
            </w:tcBorders>
            <w:shd w:val="clear" w:color="auto" w:fill="auto"/>
            <w:vAlign w:val="center"/>
            <w:hideMark/>
          </w:tcPr>
          <w:p w14:paraId="21A6AEB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15</w:t>
            </w:r>
          </w:p>
        </w:tc>
        <w:tc>
          <w:tcPr>
            <w:tcW w:w="1314" w:type="dxa"/>
            <w:shd w:val="clear" w:color="auto" w:fill="auto"/>
            <w:vAlign w:val="center"/>
            <w:hideMark/>
          </w:tcPr>
          <w:p w14:paraId="128926D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0.3%</w:t>
            </w:r>
          </w:p>
        </w:tc>
        <w:tc>
          <w:tcPr>
            <w:tcW w:w="1235" w:type="dxa"/>
            <w:shd w:val="clear" w:color="auto" w:fill="auto"/>
            <w:vAlign w:val="center"/>
            <w:hideMark/>
          </w:tcPr>
          <w:p w14:paraId="32A35B0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10,618</w:t>
            </w:r>
          </w:p>
        </w:tc>
        <w:tc>
          <w:tcPr>
            <w:tcW w:w="1228" w:type="dxa"/>
            <w:shd w:val="clear" w:color="auto" w:fill="auto"/>
            <w:vAlign w:val="center"/>
            <w:hideMark/>
          </w:tcPr>
          <w:p w14:paraId="3FE7BE03"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1.3%</w:t>
            </w:r>
          </w:p>
        </w:tc>
      </w:tr>
      <w:tr w:rsidR="007A6A1A" w:rsidRPr="00167CB8" w14:paraId="47B0551B"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6BF7E39E"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2015</w:t>
            </w:r>
          </w:p>
        </w:tc>
        <w:tc>
          <w:tcPr>
            <w:tcW w:w="1282" w:type="dxa"/>
            <w:tcBorders>
              <w:left w:val="single" w:sz="4" w:space="0" w:color="auto"/>
            </w:tcBorders>
            <w:shd w:val="clear" w:color="auto" w:fill="auto"/>
            <w:vAlign w:val="center"/>
            <w:hideMark/>
          </w:tcPr>
          <w:p w14:paraId="1FE410AC"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4,967</w:t>
            </w:r>
          </w:p>
        </w:tc>
        <w:tc>
          <w:tcPr>
            <w:tcW w:w="1235" w:type="dxa"/>
            <w:tcBorders>
              <w:right w:val="single" w:sz="4" w:space="0" w:color="auto"/>
            </w:tcBorders>
            <w:shd w:val="clear" w:color="auto" w:fill="auto"/>
            <w:vAlign w:val="center"/>
            <w:hideMark/>
          </w:tcPr>
          <w:p w14:paraId="0B605C1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601,742</w:t>
            </w:r>
          </w:p>
        </w:tc>
        <w:tc>
          <w:tcPr>
            <w:tcW w:w="1314" w:type="dxa"/>
            <w:tcBorders>
              <w:left w:val="single" w:sz="4" w:space="0" w:color="auto"/>
            </w:tcBorders>
            <w:shd w:val="clear" w:color="auto" w:fill="auto"/>
            <w:vAlign w:val="center"/>
            <w:hideMark/>
          </w:tcPr>
          <w:p w14:paraId="0AB9D4BF"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31</w:t>
            </w:r>
          </w:p>
        </w:tc>
        <w:tc>
          <w:tcPr>
            <w:tcW w:w="1314" w:type="dxa"/>
            <w:shd w:val="clear" w:color="auto" w:fill="auto"/>
            <w:vAlign w:val="center"/>
            <w:hideMark/>
          </w:tcPr>
          <w:p w14:paraId="16235691"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0.6%</w:t>
            </w:r>
          </w:p>
        </w:tc>
        <w:tc>
          <w:tcPr>
            <w:tcW w:w="1235" w:type="dxa"/>
            <w:shd w:val="clear" w:color="auto" w:fill="auto"/>
            <w:vAlign w:val="center"/>
            <w:hideMark/>
          </w:tcPr>
          <w:p w14:paraId="64BCAE7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42,043</w:t>
            </w:r>
          </w:p>
        </w:tc>
        <w:tc>
          <w:tcPr>
            <w:tcW w:w="1228" w:type="dxa"/>
            <w:shd w:val="clear" w:color="auto" w:fill="auto"/>
            <w:vAlign w:val="center"/>
            <w:hideMark/>
          </w:tcPr>
          <w:p w14:paraId="357E41D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6.5%</w:t>
            </w:r>
          </w:p>
        </w:tc>
      </w:tr>
      <w:tr w:rsidR="007A6A1A" w:rsidRPr="00167CB8" w14:paraId="1CCEB31A"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52BDC6A6"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2016</w:t>
            </w:r>
          </w:p>
        </w:tc>
        <w:tc>
          <w:tcPr>
            <w:tcW w:w="1282" w:type="dxa"/>
            <w:tcBorders>
              <w:left w:val="single" w:sz="4" w:space="0" w:color="auto"/>
            </w:tcBorders>
            <w:shd w:val="clear" w:color="auto" w:fill="auto"/>
            <w:vAlign w:val="center"/>
            <w:hideMark/>
          </w:tcPr>
          <w:p w14:paraId="557A9FF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5,174</w:t>
            </w:r>
          </w:p>
        </w:tc>
        <w:tc>
          <w:tcPr>
            <w:tcW w:w="1235" w:type="dxa"/>
            <w:tcBorders>
              <w:right w:val="single" w:sz="4" w:space="0" w:color="auto"/>
            </w:tcBorders>
            <w:shd w:val="clear" w:color="auto" w:fill="auto"/>
            <w:vAlign w:val="center"/>
            <w:hideMark/>
          </w:tcPr>
          <w:p w14:paraId="5C58133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649,591</w:t>
            </w:r>
          </w:p>
        </w:tc>
        <w:tc>
          <w:tcPr>
            <w:tcW w:w="1314" w:type="dxa"/>
            <w:tcBorders>
              <w:left w:val="single" w:sz="4" w:space="0" w:color="auto"/>
            </w:tcBorders>
            <w:shd w:val="clear" w:color="auto" w:fill="auto"/>
            <w:vAlign w:val="center"/>
            <w:hideMark/>
          </w:tcPr>
          <w:p w14:paraId="39E5CCD8"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22</w:t>
            </w:r>
          </w:p>
        </w:tc>
        <w:tc>
          <w:tcPr>
            <w:tcW w:w="1314" w:type="dxa"/>
            <w:shd w:val="clear" w:color="auto" w:fill="auto"/>
            <w:vAlign w:val="center"/>
            <w:hideMark/>
          </w:tcPr>
          <w:p w14:paraId="3FF0463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0.4%</w:t>
            </w:r>
          </w:p>
        </w:tc>
        <w:tc>
          <w:tcPr>
            <w:tcW w:w="1235" w:type="dxa"/>
            <w:shd w:val="clear" w:color="auto" w:fill="auto"/>
            <w:vAlign w:val="center"/>
            <w:hideMark/>
          </w:tcPr>
          <w:p w14:paraId="7FC2C4AE"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13,535</w:t>
            </w:r>
          </w:p>
        </w:tc>
        <w:tc>
          <w:tcPr>
            <w:tcW w:w="1228" w:type="dxa"/>
            <w:shd w:val="clear" w:color="auto" w:fill="auto"/>
            <w:vAlign w:val="center"/>
            <w:hideMark/>
          </w:tcPr>
          <w:p w14:paraId="6E004E7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2.0%</w:t>
            </w:r>
          </w:p>
        </w:tc>
      </w:tr>
      <w:tr w:rsidR="007A6A1A" w:rsidRPr="00167CB8" w14:paraId="4CB6D54A"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40B9A2C5"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2017</w:t>
            </w:r>
          </w:p>
        </w:tc>
        <w:tc>
          <w:tcPr>
            <w:tcW w:w="1282" w:type="dxa"/>
            <w:tcBorders>
              <w:left w:val="single" w:sz="4" w:space="0" w:color="auto"/>
            </w:tcBorders>
            <w:shd w:val="clear" w:color="auto" w:fill="auto"/>
            <w:vAlign w:val="center"/>
            <w:hideMark/>
          </w:tcPr>
          <w:p w14:paraId="2CA62D7E"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3,522</w:t>
            </w:r>
          </w:p>
        </w:tc>
        <w:tc>
          <w:tcPr>
            <w:tcW w:w="1235" w:type="dxa"/>
            <w:tcBorders>
              <w:right w:val="single" w:sz="4" w:space="0" w:color="auto"/>
            </w:tcBorders>
            <w:shd w:val="clear" w:color="auto" w:fill="auto"/>
            <w:vAlign w:val="center"/>
            <w:hideMark/>
          </w:tcPr>
          <w:p w14:paraId="7E2C1103"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622,032</w:t>
            </w:r>
          </w:p>
        </w:tc>
        <w:tc>
          <w:tcPr>
            <w:tcW w:w="1314" w:type="dxa"/>
            <w:tcBorders>
              <w:left w:val="single" w:sz="4" w:space="0" w:color="auto"/>
            </w:tcBorders>
            <w:shd w:val="clear" w:color="auto" w:fill="auto"/>
            <w:vAlign w:val="center"/>
            <w:hideMark/>
          </w:tcPr>
          <w:p w14:paraId="7B95A2E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20</w:t>
            </w:r>
          </w:p>
        </w:tc>
        <w:tc>
          <w:tcPr>
            <w:tcW w:w="1314" w:type="dxa"/>
            <w:shd w:val="clear" w:color="auto" w:fill="auto"/>
            <w:vAlign w:val="center"/>
            <w:hideMark/>
          </w:tcPr>
          <w:p w14:paraId="3697CA8B"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0.6%</w:t>
            </w:r>
          </w:p>
        </w:tc>
        <w:tc>
          <w:tcPr>
            <w:tcW w:w="1235" w:type="dxa"/>
            <w:shd w:val="clear" w:color="auto" w:fill="auto"/>
            <w:vAlign w:val="center"/>
            <w:hideMark/>
          </w:tcPr>
          <w:p w14:paraId="784200BF"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29,904</w:t>
            </w:r>
          </w:p>
        </w:tc>
        <w:tc>
          <w:tcPr>
            <w:tcW w:w="1228" w:type="dxa"/>
            <w:shd w:val="clear" w:color="auto" w:fill="auto"/>
            <w:vAlign w:val="center"/>
            <w:hideMark/>
          </w:tcPr>
          <w:p w14:paraId="17239FD1"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4.6%</w:t>
            </w:r>
          </w:p>
        </w:tc>
      </w:tr>
      <w:tr w:rsidR="007A6A1A" w:rsidRPr="00167CB8" w14:paraId="694F1A6D"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1D2152D9"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2018</w:t>
            </w:r>
          </w:p>
        </w:tc>
        <w:tc>
          <w:tcPr>
            <w:tcW w:w="1282" w:type="dxa"/>
            <w:tcBorders>
              <w:left w:val="single" w:sz="4" w:space="0" w:color="auto"/>
            </w:tcBorders>
            <w:shd w:val="clear" w:color="auto" w:fill="auto"/>
            <w:vAlign w:val="center"/>
            <w:hideMark/>
          </w:tcPr>
          <w:p w14:paraId="227415F1"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3,843</w:t>
            </w:r>
          </w:p>
        </w:tc>
        <w:tc>
          <w:tcPr>
            <w:tcW w:w="1235" w:type="dxa"/>
            <w:tcBorders>
              <w:right w:val="single" w:sz="4" w:space="0" w:color="auto"/>
            </w:tcBorders>
            <w:shd w:val="clear" w:color="auto" w:fill="auto"/>
            <w:vAlign w:val="center"/>
            <w:hideMark/>
          </w:tcPr>
          <w:p w14:paraId="5A7A807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645,899</w:t>
            </w:r>
          </w:p>
        </w:tc>
        <w:tc>
          <w:tcPr>
            <w:tcW w:w="1314" w:type="dxa"/>
            <w:tcBorders>
              <w:left w:val="single" w:sz="4" w:space="0" w:color="auto"/>
            </w:tcBorders>
            <w:shd w:val="clear" w:color="auto" w:fill="auto"/>
            <w:vAlign w:val="center"/>
            <w:hideMark/>
          </w:tcPr>
          <w:p w14:paraId="28A00F42"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21</w:t>
            </w:r>
          </w:p>
        </w:tc>
        <w:tc>
          <w:tcPr>
            <w:tcW w:w="1314" w:type="dxa"/>
            <w:shd w:val="clear" w:color="auto" w:fill="auto"/>
            <w:vAlign w:val="center"/>
            <w:hideMark/>
          </w:tcPr>
          <w:p w14:paraId="1F76144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0.5%</w:t>
            </w:r>
          </w:p>
        </w:tc>
        <w:tc>
          <w:tcPr>
            <w:tcW w:w="1235" w:type="dxa"/>
            <w:shd w:val="clear" w:color="auto" w:fill="auto"/>
            <w:vAlign w:val="center"/>
            <w:hideMark/>
          </w:tcPr>
          <w:p w14:paraId="0FF464E0"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23,111</w:t>
            </w:r>
          </w:p>
        </w:tc>
        <w:tc>
          <w:tcPr>
            <w:tcW w:w="1228" w:type="dxa"/>
            <w:shd w:val="clear" w:color="auto" w:fill="auto"/>
            <w:vAlign w:val="center"/>
            <w:hideMark/>
          </w:tcPr>
          <w:p w14:paraId="2DCE95A1"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3.5%</w:t>
            </w:r>
          </w:p>
        </w:tc>
      </w:tr>
      <w:tr w:rsidR="007A6A1A" w:rsidRPr="00167CB8" w14:paraId="0EEFDCB4"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1AB5B8BE"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2019</w:t>
            </w:r>
          </w:p>
        </w:tc>
        <w:tc>
          <w:tcPr>
            <w:tcW w:w="1282" w:type="dxa"/>
            <w:tcBorders>
              <w:left w:val="single" w:sz="4" w:space="0" w:color="auto"/>
            </w:tcBorders>
            <w:shd w:val="clear" w:color="auto" w:fill="auto"/>
            <w:vAlign w:val="center"/>
            <w:hideMark/>
          </w:tcPr>
          <w:p w14:paraId="487D0F2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5,259</w:t>
            </w:r>
          </w:p>
        </w:tc>
        <w:tc>
          <w:tcPr>
            <w:tcW w:w="1235" w:type="dxa"/>
            <w:tcBorders>
              <w:right w:val="single" w:sz="4" w:space="0" w:color="auto"/>
            </w:tcBorders>
            <w:shd w:val="clear" w:color="auto" w:fill="auto"/>
            <w:vAlign w:val="center"/>
            <w:hideMark/>
          </w:tcPr>
          <w:p w14:paraId="00BAA1D0"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897,784</w:t>
            </w:r>
          </w:p>
        </w:tc>
        <w:tc>
          <w:tcPr>
            <w:tcW w:w="1314" w:type="dxa"/>
            <w:tcBorders>
              <w:left w:val="single" w:sz="4" w:space="0" w:color="auto"/>
            </w:tcBorders>
            <w:shd w:val="clear" w:color="auto" w:fill="auto"/>
            <w:vAlign w:val="center"/>
            <w:hideMark/>
          </w:tcPr>
          <w:p w14:paraId="12DE51D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24</w:t>
            </w:r>
          </w:p>
        </w:tc>
        <w:tc>
          <w:tcPr>
            <w:tcW w:w="1314" w:type="dxa"/>
            <w:shd w:val="clear" w:color="auto" w:fill="auto"/>
            <w:vAlign w:val="center"/>
            <w:hideMark/>
          </w:tcPr>
          <w:p w14:paraId="75F6CEE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0.5%</w:t>
            </w:r>
          </w:p>
        </w:tc>
        <w:tc>
          <w:tcPr>
            <w:tcW w:w="1235" w:type="dxa"/>
            <w:shd w:val="clear" w:color="auto" w:fill="auto"/>
            <w:vAlign w:val="center"/>
            <w:hideMark/>
          </w:tcPr>
          <w:p w14:paraId="186BFD1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35,554</w:t>
            </w:r>
          </w:p>
        </w:tc>
        <w:tc>
          <w:tcPr>
            <w:tcW w:w="1228" w:type="dxa"/>
            <w:shd w:val="clear" w:color="auto" w:fill="auto"/>
            <w:vAlign w:val="center"/>
            <w:hideMark/>
          </w:tcPr>
          <w:p w14:paraId="01D9787C"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3.8%</w:t>
            </w:r>
          </w:p>
        </w:tc>
      </w:tr>
      <w:tr w:rsidR="007A6A1A" w:rsidRPr="00167CB8" w14:paraId="404EB06D"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22F2ACF4"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2020</w:t>
            </w:r>
          </w:p>
        </w:tc>
        <w:tc>
          <w:tcPr>
            <w:tcW w:w="1282" w:type="dxa"/>
            <w:tcBorders>
              <w:left w:val="single" w:sz="4" w:space="0" w:color="auto"/>
            </w:tcBorders>
            <w:shd w:val="clear" w:color="auto" w:fill="auto"/>
            <w:vAlign w:val="center"/>
            <w:hideMark/>
          </w:tcPr>
          <w:p w14:paraId="52E1C2AA"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3,267</w:t>
            </w:r>
          </w:p>
        </w:tc>
        <w:tc>
          <w:tcPr>
            <w:tcW w:w="1235" w:type="dxa"/>
            <w:tcBorders>
              <w:right w:val="single" w:sz="4" w:space="0" w:color="auto"/>
            </w:tcBorders>
            <w:shd w:val="clear" w:color="auto" w:fill="auto"/>
            <w:vAlign w:val="center"/>
            <w:hideMark/>
          </w:tcPr>
          <w:p w14:paraId="39F5CC2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508,209</w:t>
            </w:r>
          </w:p>
        </w:tc>
        <w:tc>
          <w:tcPr>
            <w:tcW w:w="1314" w:type="dxa"/>
            <w:tcBorders>
              <w:left w:val="single" w:sz="4" w:space="0" w:color="auto"/>
            </w:tcBorders>
            <w:shd w:val="clear" w:color="auto" w:fill="auto"/>
            <w:vAlign w:val="center"/>
            <w:hideMark/>
          </w:tcPr>
          <w:p w14:paraId="25A69AB7"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14</w:t>
            </w:r>
          </w:p>
        </w:tc>
        <w:tc>
          <w:tcPr>
            <w:tcW w:w="1314" w:type="dxa"/>
            <w:shd w:val="clear" w:color="auto" w:fill="auto"/>
            <w:vAlign w:val="center"/>
            <w:hideMark/>
          </w:tcPr>
          <w:p w14:paraId="038A131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0.4%</w:t>
            </w:r>
          </w:p>
        </w:tc>
        <w:tc>
          <w:tcPr>
            <w:tcW w:w="1235" w:type="dxa"/>
            <w:shd w:val="clear" w:color="auto" w:fill="auto"/>
            <w:vAlign w:val="center"/>
            <w:hideMark/>
          </w:tcPr>
          <w:p w14:paraId="630AD3BC"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13,350</w:t>
            </w:r>
          </w:p>
        </w:tc>
        <w:tc>
          <w:tcPr>
            <w:tcW w:w="1228" w:type="dxa"/>
            <w:shd w:val="clear" w:color="auto" w:fill="auto"/>
            <w:vAlign w:val="center"/>
            <w:hideMark/>
          </w:tcPr>
          <w:p w14:paraId="3169BB9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2.6%</w:t>
            </w:r>
          </w:p>
        </w:tc>
      </w:tr>
      <w:tr w:rsidR="007A6A1A" w:rsidRPr="00167CB8" w14:paraId="2F4CDE77"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25D32941"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2021</w:t>
            </w:r>
          </w:p>
        </w:tc>
        <w:tc>
          <w:tcPr>
            <w:tcW w:w="1282" w:type="dxa"/>
            <w:tcBorders>
              <w:left w:val="single" w:sz="4" w:space="0" w:color="auto"/>
            </w:tcBorders>
            <w:shd w:val="clear" w:color="auto" w:fill="auto"/>
            <w:vAlign w:val="center"/>
            <w:hideMark/>
          </w:tcPr>
          <w:p w14:paraId="30E26C6B"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4,351</w:t>
            </w:r>
          </w:p>
        </w:tc>
        <w:tc>
          <w:tcPr>
            <w:tcW w:w="1235" w:type="dxa"/>
            <w:tcBorders>
              <w:right w:val="single" w:sz="4" w:space="0" w:color="auto"/>
            </w:tcBorders>
            <w:shd w:val="clear" w:color="auto" w:fill="auto"/>
            <w:vAlign w:val="center"/>
            <w:hideMark/>
          </w:tcPr>
          <w:p w14:paraId="79661B7C"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542,113</w:t>
            </w:r>
          </w:p>
        </w:tc>
        <w:tc>
          <w:tcPr>
            <w:tcW w:w="1314" w:type="dxa"/>
            <w:tcBorders>
              <w:left w:val="single" w:sz="4" w:space="0" w:color="auto"/>
            </w:tcBorders>
            <w:shd w:val="clear" w:color="auto" w:fill="auto"/>
            <w:vAlign w:val="center"/>
            <w:hideMark/>
          </w:tcPr>
          <w:p w14:paraId="5D39635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12</w:t>
            </w:r>
          </w:p>
        </w:tc>
        <w:tc>
          <w:tcPr>
            <w:tcW w:w="1314" w:type="dxa"/>
            <w:shd w:val="clear" w:color="auto" w:fill="auto"/>
            <w:vAlign w:val="center"/>
            <w:hideMark/>
          </w:tcPr>
          <w:p w14:paraId="7DA53E8C"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0.3%</w:t>
            </w:r>
          </w:p>
        </w:tc>
        <w:tc>
          <w:tcPr>
            <w:tcW w:w="1235" w:type="dxa"/>
            <w:shd w:val="clear" w:color="auto" w:fill="auto"/>
            <w:vAlign w:val="center"/>
            <w:hideMark/>
          </w:tcPr>
          <w:p w14:paraId="475D6C4E"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4,360</w:t>
            </w:r>
          </w:p>
        </w:tc>
        <w:tc>
          <w:tcPr>
            <w:tcW w:w="1228" w:type="dxa"/>
            <w:shd w:val="clear" w:color="auto" w:fill="auto"/>
            <w:vAlign w:val="center"/>
            <w:hideMark/>
          </w:tcPr>
          <w:p w14:paraId="6610D87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0.8%</w:t>
            </w:r>
          </w:p>
        </w:tc>
      </w:tr>
      <w:tr w:rsidR="007A6A1A" w:rsidRPr="00167CB8" w14:paraId="5227B4A6"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32FF4C87"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2022</w:t>
            </w:r>
          </w:p>
        </w:tc>
        <w:tc>
          <w:tcPr>
            <w:tcW w:w="1282" w:type="dxa"/>
            <w:tcBorders>
              <w:left w:val="single" w:sz="4" w:space="0" w:color="auto"/>
            </w:tcBorders>
            <w:shd w:val="clear" w:color="auto" w:fill="auto"/>
            <w:vAlign w:val="center"/>
            <w:hideMark/>
          </w:tcPr>
          <w:p w14:paraId="0727B3F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4,136</w:t>
            </w:r>
          </w:p>
        </w:tc>
        <w:tc>
          <w:tcPr>
            <w:tcW w:w="1235" w:type="dxa"/>
            <w:tcBorders>
              <w:right w:val="single" w:sz="4" w:space="0" w:color="auto"/>
            </w:tcBorders>
            <w:shd w:val="clear" w:color="auto" w:fill="auto"/>
            <w:vAlign w:val="center"/>
            <w:hideMark/>
          </w:tcPr>
          <w:p w14:paraId="192F7A79"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803,998</w:t>
            </w:r>
          </w:p>
        </w:tc>
        <w:tc>
          <w:tcPr>
            <w:tcW w:w="1314" w:type="dxa"/>
            <w:tcBorders>
              <w:left w:val="single" w:sz="4" w:space="0" w:color="auto"/>
            </w:tcBorders>
            <w:shd w:val="clear" w:color="auto" w:fill="auto"/>
            <w:vAlign w:val="center"/>
            <w:hideMark/>
          </w:tcPr>
          <w:p w14:paraId="4D7A3DD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30</w:t>
            </w:r>
          </w:p>
        </w:tc>
        <w:tc>
          <w:tcPr>
            <w:tcW w:w="1314" w:type="dxa"/>
            <w:shd w:val="clear" w:color="auto" w:fill="auto"/>
            <w:vAlign w:val="center"/>
            <w:hideMark/>
          </w:tcPr>
          <w:p w14:paraId="65A31853"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0.7%</w:t>
            </w:r>
          </w:p>
        </w:tc>
        <w:tc>
          <w:tcPr>
            <w:tcW w:w="1235" w:type="dxa"/>
            <w:shd w:val="clear" w:color="auto" w:fill="auto"/>
            <w:vAlign w:val="center"/>
            <w:hideMark/>
          </w:tcPr>
          <w:p w14:paraId="3CE9235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33,649</w:t>
            </w:r>
          </w:p>
        </w:tc>
        <w:tc>
          <w:tcPr>
            <w:tcW w:w="1228" w:type="dxa"/>
            <w:shd w:val="clear" w:color="auto" w:fill="auto"/>
            <w:vAlign w:val="center"/>
            <w:hideMark/>
          </w:tcPr>
          <w:p w14:paraId="56FD656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4.0%</w:t>
            </w:r>
          </w:p>
        </w:tc>
      </w:tr>
      <w:tr w:rsidR="007A6A1A" w:rsidRPr="00167CB8" w14:paraId="6A2AEDBF"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584A1FCA"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2023</w:t>
            </w:r>
          </w:p>
        </w:tc>
        <w:tc>
          <w:tcPr>
            <w:tcW w:w="1282" w:type="dxa"/>
            <w:tcBorders>
              <w:left w:val="single" w:sz="4" w:space="0" w:color="auto"/>
            </w:tcBorders>
            <w:shd w:val="clear" w:color="auto" w:fill="auto"/>
            <w:vAlign w:val="center"/>
            <w:hideMark/>
          </w:tcPr>
          <w:p w14:paraId="2EB2804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4,101</w:t>
            </w:r>
          </w:p>
        </w:tc>
        <w:tc>
          <w:tcPr>
            <w:tcW w:w="1235" w:type="dxa"/>
            <w:tcBorders>
              <w:right w:val="single" w:sz="4" w:space="0" w:color="auto"/>
            </w:tcBorders>
            <w:shd w:val="clear" w:color="auto" w:fill="auto"/>
            <w:vAlign w:val="center"/>
            <w:hideMark/>
          </w:tcPr>
          <w:p w14:paraId="10EFA28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805,607</w:t>
            </w:r>
          </w:p>
        </w:tc>
        <w:tc>
          <w:tcPr>
            <w:tcW w:w="1314" w:type="dxa"/>
            <w:tcBorders>
              <w:left w:val="single" w:sz="4" w:space="0" w:color="auto"/>
            </w:tcBorders>
            <w:shd w:val="clear" w:color="auto" w:fill="auto"/>
            <w:vAlign w:val="center"/>
            <w:hideMark/>
          </w:tcPr>
          <w:p w14:paraId="543A9EC8"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10</w:t>
            </w:r>
          </w:p>
        </w:tc>
        <w:tc>
          <w:tcPr>
            <w:tcW w:w="1314" w:type="dxa"/>
            <w:shd w:val="clear" w:color="auto" w:fill="auto"/>
            <w:vAlign w:val="center"/>
            <w:hideMark/>
          </w:tcPr>
          <w:p w14:paraId="67EA500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0.2%</w:t>
            </w:r>
          </w:p>
        </w:tc>
        <w:tc>
          <w:tcPr>
            <w:tcW w:w="1235" w:type="dxa"/>
            <w:shd w:val="clear" w:color="auto" w:fill="auto"/>
            <w:vAlign w:val="center"/>
            <w:hideMark/>
          </w:tcPr>
          <w:p w14:paraId="230CC93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37,575</w:t>
            </w:r>
          </w:p>
        </w:tc>
        <w:tc>
          <w:tcPr>
            <w:tcW w:w="1228" w:type="dxa"/>
            <w:shd w:val="clear" w:color="auto" w:fill="auto"/>
            <w:vAlign w:val="center"/>
            <w:hideMark/>
          </w:tcPr>
          <w:p w14:paraId="3C8F8D42"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4.5%</w:t>
            </w:r>
          </w:p>
        </w:tc>
      </w:tr>
      <w:tr w:rsidR="007A6A1A" w:rsidRPr="00167CB8" w14:paraId="0D10B855" w14:textId="77777777">
        <w:trPr>
          <w:trHeight w:val="300"/>
        </w:trPr>
        <w:tc>
          <w:tcPr>
            <w:tcW w:w="1418" w:type="dxa"/>
            <w:tcBorders>
              <w:top w:val="single" w:sz="4" w:space="0" w:color="auto"/>
              <w:bottom w:val="single" w:sz="4" w:space="0" w:color="auto"/>
              <w:right w:val="single" w:sz="4" w:space="0" w:color="auto"/>
            </w:tcBorders>
            <w:shd w:val="clear" w:color="auto" w:fill="auto"/>
            <w:vAlign w:val="center"/>
            <w:hideMark/>
          </w:tcPr>
          <w:p w14:paraId="0BEFB140" w14:textId="77777777" w:rsidR="007A6A1A" w:rsidRPr="00167CB8" w:rsidRDefault="007A6A1A" w:rsidP="007A6A1A">
            <w:pPr>
              <w:spacing w:after="0" w:line="240" w:lineRule="auto"/>
              <w:rPr>
                <w:rFonts w:eastAsia="Times New Roman" w:cs="Times New Roman"/>
                <w:color w:val="000000"/>
                <w:lang w:eastAsia="en-AU"/>
              </w:rPr>
            </w:pPr>
            <w:r w:rsidRPr="00167CB8">
              <w:rPr>
                <w:rFonts w:eastAsia="Times New Roman" w:cs="Times New Roman"/>
                <w:color w:val="000000"/>
                <w:lang w:eastAsia="en-AU"/>
              </w:rPr>
              <w:t>2024 (to Q3)</w:t>
            </w:r>
          </w:p>
        </w:tc>
        <w:tc>
          <w:tcPr>
            <w:tcW w:w="1282" w:type="dxa"/>
            <w:tcBorders>
              <w:left w:val="single" w:sz="4" w:space="0" w:color="auto"/>
              <w:bottom w:val="single" w:sz="4" w:space="0" w:color="auto"/>
            </w:tcBorders>
            <w:shd w:val="clear" w:color="auto" w:fill="auto"/>
            <w:vAlign w:val="center"/>
            <w:hideMark/>
          </w:tcPr>
          <w:p w14:paraId="056F973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3,138</w:t>
            </w:r>
          </w:p>
        </w:tc>
        <w:tc>
          <w:tcPr>
            <w:tcW w:w="1235" w:type="dxa"/>
            <w:tcBorders>
              <w:bottom w:val="single" w:sz="4" w:space="0" w:color="auto"/>
              <w:right w:val="single" w:sz="4" w:space="0" w:color="auto"/>
            </w:tcBorders>
            <w:shd w:val="clear" w:color="auto" w:fill="auto"/>
            <w:vAlign w:val="center"/>
            <w:hideMark/>
          </w:tcPr>
          <w:p w14:paraId="25086D26"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933,363</w:t>
            </w:r>
          </w:p>
        </w:tc>
        <w:tc>
          <w:tcPr>
            <w:tcW w:w="1314" w:type="dxa"/>
            <w:tcBorders>
              <w:left w:val="single" w:sz="4" w:space="0" w:color="auto"/>
              <w:bottom w:val="single" w:sz="4" w:space="0" w:color="auto"/>
            </w:tcBorders>
            <w:shd w:val="clear" w:color="auto" w:fill="auto"/>
            <w:vAlign w:val="center"/>
            <w:hideMark/>
          </w:tcPr>
          <w:p w14:paraId="4F501AAD"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20</w:t>
            </w:r>
          </w:p>
        </w:tc>
        <w:tc>
          <w:tcPr>
            <w:tcW w:w="1314" w:type="dxa"/>
            <w:tcBorders>
              <w:bottom w:val="single" w:sz="4" w:space="0" w:color="auto"/>
            </w:tcBorders>
            <w:shd w:val="clear" w:color="auto" w:fill="auto"/>
            <w:vAlign w:val="center"/>
            <w:hideMark/>
          </w:tcPr>
          <w:p w14:paraId="4F1C50D0"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0.6%</w:t>
            </w:r>
          </w:p>
        </w:tc>
        <w:tc>
          <w:tcPr>
            <w:tcW w:w="1235" w:type="dxa"/>
            <w:tcBorders>
              <w:bottom w:val="single" w:sz="4" w:space="0" w:color="auto"/>
            </w:tcBorders>
            <w:shd w:val="clear" w:color="auto" w:fill="auto"/>
            <w:vAlign w:val="center"/>
            <w:hideMark/>
          </w:tcPr>
          <w:p w14:paraId="0C551FF8"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48,074</w:t>
            </w:r>
          </w:p>
        </w:tc>
        <w:tc>
          <w:tcPr>
            <w:tcW w:w="1228" w:type="dxa"/>
            <w:tcBorders>
              <w:bottom w:val="single" w:sz="4" w:space="0" w:color="auto"/>
            </w:tcBorders>
            <w:shd w:val="clear" w:color="auto" w:fill="auto"/>
            <w:vAlign w:val="center"/>
            <w:hideMark/>
          </w:tcPr>
          <w:p w14:paraId="38B82FDB"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4.9%</w:t>
            </w:r>
          </w:p>
        </w:tc>
      </w:tr>
      <w:tr w:rsidR="007A6A1A" w:rsidRPr="00167CB8" w14:paraId="5BFA7A2C" w14:textId="77777777">
        <w:trPr>
          <w:trHeight w:val="780"/>
        </w:trPr>
        <w:tc>
          <w:tcPr>
            <w:tcW w:w="1418" w:type="dxa"/>
            <w:tcBorders>
              <w:top w:val="single" w:sz="4" w:space="0" w:color="auto"/>
              <w:bottom w:val="single" w:sz="4" w:space="0" w:color="auto"/>
              <w:right w:val="single" w:sz="4" w:space="0" w:color="auto"/>
            </w:tcBorders>
            <w:shd w:val="clear" w:color="000000" w:fill="E8E8E8"/>
            <w:vAlign w:val="center"/>
            <w:hideMark/>
          </w:tcPr>
          <w:p w14:paraId="557C4B33" w14:textId="77777777" w:rsidR="007A6A1A" w:rsidRPr="00167CB8" w:rsidRDefault="007A6A1A" w:rsidP="007A6A1A">
            <w:pPr>
              <w:spacing w:after="0" w:line="240" w:lineRule="auto"/>
              <w:rPr>
                <w:rFonts w:eastAsia="Times New Roman" w:cs="Times New Roman"/>
                <w:b/>
                <w:color w:val="000000"/>
                <w:lang w:eastAsia="en-AU"/>
              </w:rPr>
            </w:pPr>
            <w:r w:rsidRPr="00167CB8">
              <w:rPr>
                <w:rFonts w:eastAsia="Times New Roman" w:cs="Times New Roman"/>
                <w:b/>
                <w:color w:val="000000"/>
                <w:lang w:eastAsia="en-AU"/>
              </w:rPr>
              <w:t>Total</w:t>
            </w:r>
          </w:p>
          <w:p w14:paraId="1C5DD7D2" w14:textId="0D190CFC" w:rsidR="007A6A1A" w:rsidRPr="00167CB8" w:rsidRDefault="007A6A1A" w:rsidP="007A6A1A">
            <w:pPr>
              <w:spacing w:after="0" w:line="240" w:lineRule="auto"/>
              <w:rPr>
                <w:rFonts w:eastAsia="Times New Roman" w:cs="Times New Roman"/>
                <w:b/>
                <w:color w:val="000000"/>
                <w:lang w:eastAsia="en-AU"/>
              </w:rPr>
            </w:pPr>
            <w:r w:rsidRPr="00167CB8">
              <w:rPr>
                <w:rFonts w:eastAsia="Times New Roman" w:cs="Times New Roman"/>
                <w:b/>
                <w:color w:val="000000"/>
                <w:lang w:eastAsia="en-AU"/>
              </w:rPr>
              <w:t>2013</w:t>
            </w:r>
            <w:r w:rsidR="000D5139" w:rsidRPr="00167CB8">
              <w:rPr>
                <w:rFonts w:ascii="Symbol" w:eastAsia="Symbol" w:hAnsi="Symbol" w:cs="Symbol"/>
                <w:b/>
                <w:color w:val="000000"/>
                <w:lang w:eastAsia="en-AU"/>
              </w:rPr>
              <w:sym w:font="Symbol" w:char="F02D"/>
            </w:r>
            <w:r w:rsidRPr="00167CB8">
              <w:rPr>
                <w:rFonts w:eastAsia="Times New Roman" w:cs="Times New Roman"/>
                <w:b/>
                <w:color w:val="000000"/>
                <w:lang w:eastAsia="en-AU"/>
              </w:rPr>
              <w:t>2022</w:t>
            </w:r>
          </w:p>
        </w:tc>
        <w:tc>
          <w:tcPr>
            <w:tcW w:w="1282" w:type="dxa"/>
            <w:tcBorders>
              <w:top w:val="single" w:sz="4" w:space="0" w:color="auto"/>
              <w:left w:val="single" w:sz="4" w:space="0" w:color="auto"/>
              <w:bottom w:val="single" w:sz="4" w:space="0" w:color="auto"/>
            </w:tcBorders>
            <w:shd w:val="clear" w:color="000000" w:fill="E8E8E8"/>
            <w:noWrap/>
            <w:vAlign w:val="center"/>
            <w:hideMark/>
          </w:tcPr>
          <w:p w14:paraId="572D432B"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46,848</w:t>
            </w:r>
          </w:p>
        </w:tc>
        <w:tc>
          <w:tcPr>
            <w:tcW w:w="1235" w:type="dxa"/>
            <w:tcBorders>
              <w:top w:val="single" w:sz="4" w:space="0" w:color="auto"/>
              <w:bottom w:val="single" w:sz="4" w:space="0" w:color="auto"/>
              <w:right w:val="single" w:sz="4" w:space="0" w:color="auto"/>
            </w:tcBorders>
            <w:shd w:val="clear" w:color="000000" w:fill="E8E8E8"/>
            <w:noWrap/>
            <w:vAlign w:val="center"/>
            <w:hideMark/>
          </w:tcPr>
          <w:p w14:paraId="7E76A51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6,943,262</w:t>
            </w:r>
          </w:p>
        </w:tc>
        <w:tc>
          <w:tcPr>
            <w:tcW w:w="1314" w:type="dxa"/>
            <w:tcBorders>
              <w:top w:val="single" w:sz="4" w:space="0" w:color="auto"/>
              <w:left w:val="single" w:sz="4" w:space="0" w:color="auto"/>
              <w:bottom w:val="single" w:sz="4" w:space="0" w:color="auto"/>
            </w:tcBorders>
            <w:shd w:val="clear" w:color="000000" w:fill="E8E8E8"/>
            <w:noWrap/>
            <w:vAlign w:val="center"/>
            <w:hideMark/>
          </w:tcPr>
          <w:p w14:paraId="28A7F604"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213</w:t>
            </w:r>
          </w:p>
        </w:tc>
        <w:tc>
          <w:tcPr>
            <w:tcW w:w="1314" w:type="dxa"/>
            <w:tcBorders>
              <w:top w:val="single" w:sz="4" w:space="0" w:color="auto"/>
              <w:bottom w:val="single" w:sz="4" w:space="0" w:color="auto"/>
            </w:tcBorders>
            <w:shd w:val="clear" w:color="000000" w:fill="E8E8E8"/>
            <w:vAlign w:val="center"/>
            <w:hideMark/>
          </w:tcPr>
          <w:p w14:paraId="4E95B3C5"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0.5%</w:t>
            </w:r>
          </w:p>
        </w:tc>
        <w:tc>
          <w:tcPr>
            <w:tcW w:w="1235" w:type="dxa"/>
            <w:tcBorders>
              <w:top w:val="single" w:sz="4" w:space="0" w:color="auto"/>
              <w:bottom w:val="single" w:sz="4" w:space="0" w:color="auto"/>
            </w:tcBorders>
            <w:shd w:val="clear" w:color="000000" w:fill="E8E8E8"/>
            <w:noWrap/>
            <w:vAlign w:val="center"/>
            <w:hideMark/>
          </w:tcPr>
          <w:p w14:paraId="601E6EDF"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240,865</w:t>
            </w:r>
          </w:p>
        </w:tc>
        <w:tc>
          <w:tcPr>
            <w:tcW w:w="1228" w:type="dxa"/>
            <w:tcBorders>
              <w:top w:val="single" w:sz="4" w:space="0" w:color="auto"/>
              <w:bottom w:val="single" w:sz="4" w:space="0" w:color="auto"/>
            </w:tcBorders>
            <w:shd w:val="clear" w:color="000000" w:fill="E8E8E8"/>
            <w:vAlign w:val="center"/>
            <w:hideMark/>
          </w:tcPr>
          <w:p w14:paraId="0A9046D8" w14:textId="77777777" w:rsidR="007A6A1A" w:rsidRPr="00167CB8" w:rsidRDefault="007A6A1A" w:rsidP="007A6A1A">
            <w:pPr>
              <w:spacing w:after="0" w:line="240" w:lineRule="auto"/>
              <w:jc w:val="right"/>
              <w:rPr>
                <w:rFonts w:eastAsia="Times New Roman" w:cs="Times New Roman"/>
                <w:color w:val="000000"/>
                <w:lang w:eastAsia="en-AU"/>
              </w:rPr>
            </w:pPr>
            <w:r w:rsidRPr="00167CB8">
              <w:rPr>
                <w:rFonts w:eastAsia="Times New Roman" w:cs="Times New Roman"/>
                <w:color w:val="000000"/>
                <w:lang w:eastAsia="en-AU"/>
              </w:rPr>
              <w:t>3.4%</w:t>
            </w:r>
          </w:p>
        </w:tc>
      </w:tr>
    </w:tbl>
    <w:p w14:paraId="332DE28C" w14:textId="293946B4" w:rsidR="007A6A1A" w:rsidRPr="00167CB8" w:rsidRDefault="007A6A1A" w:rsidP="000D5139">
      <w:pPr>
        <w:pStyle w:val="Source"/>
      </w:pPr>
      <w:r w:rsidRPr="00167CB8">
        <w:rPr>
          <w:b/>
          <w:bCs/>
        </w:rPr>
        <w:t>Source:</w:t>
      </w:r>
      <w:r w:rsidRPr="00167CB8">
        <w:t xml:space="preserve"> DEWR Workplace Agreements Database</w:t>
      </w:r>
      <w:r w:rsidR="000D5139" w:rsidRPr="00167CB8">
        <w:t>.</w:t>
      </w:r>
    </w:p>
    <w:p w14:paraId="0258D24E" w14:textId="524CBEEB" w:rsidR="007A6A1A" w:rsidRPr="00167CB8" w:rsidRDefault="007A6A1A" w:rsidP="000D5139">
      <w:pPr>
        <w:pStyle w:val="Source"/>
      </w:pPr>
      <w:r w:rsidRPr="00167CB8">
        <w:rPr>
          <w:b/>
          <w:bCs/>
        </w:rPr>
        <w:t xml:space="preserve">Alt text: </w:t>
      </w:r>
      <w:r w:rsidRPr="00167CB8">
        <w:t>A table showing the number of approved single and multi-employer agreements in a calendar year, except for 2009</w:t>
      </w:r>
      <w:r w:rsidR="000D5139" w:rsidRPr="00167CB8">
        <w:t>,</w:t>
      </w:r>
      <w:r w:rsidRPr="00167CB8">
        <w:t xml:space="preserve"> which shows data for only the third and fourth quarters</w:t>
      </w:r>
      <w:r w:rsidR="000D5139" w:rsidRPr="00167CB8">
        <w:t>;</w:t>
      </w:r>
      <w:r w:rsidRPr="00167CB8">
        <w:t xml:space="preserve"> and 2024</w:t>
      </w:r>
      <w:r w:rsidR="000D5139" w:rsidRPr="00167CB8">
        <w:t>,</w:t>
      </w:r>
      <w:r w:rsidRPr="00167CB8">
        <w:t xml:space="preserve"> which excludes the fourth quarter. The table also shows the proportion of multi-employer agreements by number and coverage.</w:t>
      </w:r>
    </w:p>
    <w:p w14:paraId="2488ABB7" w14:textId="77777777" w:rsidR="007A6A1A" w:rsidRPr="00167CB8" w:rsidRDefault="007A6A1A" w:rsidP="007A6A1A">
      <w:pPr>
        <w:spacing w:after="160"/>
        <w:rPr>
          <w:b/>
          <w:iCs/>
          <w:color w:val="404246" w:themeColor="text2"/>
          <w:szCs w:val="18"/>
        </w:rPr>
      </w:pPr>
      <w:r w:rsidRPr="00167CB8">
        <w:br w:type="page"/>
      </w:r>
    </w:p>
    <w:p w14:paraId="2A3059DC" w14:textId="01ABDDC6" w:rsidR="007A6A1A" w:rsidRPr="00167CB8" w:rsidRDefault="007A6A1A" w:rsidP="00470AB9">
      <w:pPr>
        <w:pStyle w:val="Caption"/>
      </w:pPr>
      <w:bookmarkStart w:id="848" w:name="_Toc189310885"/>
      <w:r w:rsidRPr="00167CB8">
        <w:lastRenderedPageBreak/>
        <w:t xml:space="preserve">Table </w:t>
      </w:r>
      <w:r w:rsidR="00DE2862" w:rsidRPr="00167CB8">
        <w:t>56</w:t>
      </w:r>
      <w:r w:rsidRPr="00167CB8">
        <w:t>: Current single and multi-employer agreements as at September</w:t>
      </w:r>
      <w:r w:rsidR="000D5139" w:rsidRPr="00167CB8">
        <w:t>,</w:t>
      </w:r>
      <w:r w:rsidRPr="00167CB8">
        <w:t xml:space="preserve"> 2009</w:t>
      </w:r>
      <w:r w:rsidR="000D5139" w:rsidRPr="00167CB8">
        <w:rPr>
          <w:rFonts w:ascii="Symbol" w:eastAsia="Symbol" w:hAnsi="Symbol" w:cs="Symbol"/>
        </w:rPr>
        <w:t>-</w:t>
      </w:r>
      <w:r w:rsidRPr="00167CB8">
        <w:t>2024</w:t>
      </w:r>
      <w:bookmarkEnd w:id="848"/>
    </w:p>
    <w:tbl>
      <w:tblPr>
        <w:tblStyle w:val="TableGrid"/>
        <w:tblW w:w="0" w:type="auto"/>
        <w:tblLook w:val="04A0" w:firstRow="1" w:lastRow="0" w:firstColumn="1" w:lastColumn="0" w:noHBand="0" w:noVBand="1"/>
      </w:tblPr>
      <w:tblGrid>
        <w:gridCol w:w="1803"/>
        <w:gridCol w:w="1803"/>
        <w:gridCol w:w="1803"/>
        <w:gridCol w:w="1803"/>
        <w:gridCol w:w="1804"/>
      </w:tblGrid>
      <w:tr w:rsidR="007A6A1A" w:rsidRPr="00167CB8" w14:paraId="0C3E7B97" w14:textId="77777777">
        <w:trPr>
          <w:trHeight w:val="340"/>
        </w:trPr>
        <w:tc>
          <w:tcPr>
            <w:tcW w:w="1803" w:type="dxa"/>
            <w:vMerge w:val="restart"/>
          </w:tcPr>
          <w:p w14:paraId="1BF41741" w14:textId="77777777" w:rsidR="007A6A1A" w:rsidRPr="00167CB8" w:rsidRDefault="007A6A1A" w:rsidP="007A6A1A">
            <w:pPr>
              <w:spacing w:after="0"/>
              <w:rPr>
                <w:b/>
                <w:bCs/>
              </w:rPr>
            </w:pPr>
          </w:p>
        </w:tc>
        <w:tc>
          <w:tcPr>
            <w:tcW w:w="3606" w:type="dxa"/>
            <w:gridSpan w:val="2"/>
          </w:tcPr>
          <w:p w14:paraId="7E2CD347" w14:textId="77777777" w:rsidR="007A6A1A" w:rsidRPr="00167CB8" w:rsidRDefault="007A6A1A" w:rsidP="007A6A1A">
            <w:pPr>
              <w:spacing w:after="0"/>
              <w:jc w:val="center"/>
              <w:rPr>
                <w:b/>
                <w:bCs/>
              </w:rPr>
            </w:pPr>
            <w:r w:rsidRPr="00167CB8">
              <w:rPr>
                <w:b/>
                <w:bCs/>
              </w:rPr>
              <w:t>Current single enterprise agreements</w:t>
            </w:r>
          </w:p>
        </w:tc>
        <w:tc>
          <w:tcPr>
            <w:tcW w:w="3607" w:type="dxa"/>
            <w:gridSpan w:val="2"/>
          </w:tcPr>
          <w:p w14:paraId="18B2539D" w14:textId="77777777" w:rsidR="007A6A1A" w:rsidRPr="00167CB8" w:rsidRDefault="007A6A1A" w:rsidP="007A6A1A">
            <w:pPr>
              <w:spacing w:after="0"/>
              <w:jc w:val="center"/>
              <w:rPr>
                <w:b/>
                <w:bCs/>
              </w:rPr>
            </w:pPr>
            <w:r w:rsidRPr="00167CB8">
              <w:rPr>
                <w:b/>
                <w:bCs/>
              </w:rPr>
              <w:t>Current multi-employer agreements</w:t>
            </w:r>
          </w:p>
        </w:tc>
      </w:tr>
      <w:tr w:rsidR="007A6A1A" w:rsidRPr="00167CB8" w14:paraId="6A6933F0" w14:textId="77777777">
        <w:trPr>
          <w:trHeight w:val="340"/>
        </w:trPr>
        <w:tc>
          <w:tcPr>
            <w:tcW w:w="1803" w:type="dxa"/>
            <w:vMerge/>
          </w:tcPr>
          <w:p w14:paraId="54180341" w14:textId="77777777" w:rsidR="007A6A1A" w:rsidRPr="00167CB8" w:rsidRDefault="007A6A1A" w:rsidP="007A6A1A">
            <w:pPr>
              <w:spacing w:after="0"/>
              <w:rPr>
                <w:b/>
                <w:bCs/>
              </w:rPr>
            </w:pPr>
          </w:p>
        </w:tc>
        <w:tc>
          <w:tcPr>
            <w:tcW w:w="1803" w:type="dxa"/>
          </w:tcPr>
          <w:p w14:paraId="3841C5AE" w14:textId="77777777" w:rsidR="007A6A1A" w:rsidRPr="00167CB8" w:rsidRDefault="007A6A1A" w:rsidP="007A6A1A">
            <w:pPr>
              <w:spacing w:after="0"/>
              <w:rPr>
                <w:b/>
                <w:bCs/>
              </w:rPr>
            </w:pPr>
            <w:r w:rsidRPr="00167CB8">
              <w:rPr>
                <w:b/>
                <w:bCs/>
              </w:rPr>
              <w:t>Number of agreements</w:t>
            </w:r>
          </w:p>
        </w:tc>
        <w:tc>
          <w:tcPr>
            <w:tcW w:w="1803" w:type="dxa"/>
          </w:tcPr>
          <w:p w14:paraId="4E4981B9" w14:textId="77777777" w:rsidR="007A6A1A" w:rsidRPr="00167CB8" w:rsidRDefault="007A6A1A" w:rsidP="007A6A1A">
            <w:pPr>
              <w:spacing w:after="0"/>
              <w:rPr>
                <w:b/>
                <w:bCs/>
              </w:rPr>
            </w:pPr>
            <w:r w:rsidRPr="00167CB8">
              <w:rPr>
                <w:b/>
                <w:bCs/>
              </w:rPr>
              <w:t>Employees covered</w:t>
            </w:r>
          </w:p>
        </w:tc>
        <w:tc>
          <w:tcPr>
            <w:tcW w:w="1803" w:type="dxa"/>
          </w:tcPr>
          <w:p w14:paraId="7502640E" w14:textId="77777777" w:rsidR="007A6A1A" w:rsidRPr="00167CB8" w:rsidRDefault="007A6A1A" w:rsidP="007A6A1A">
            <w:pPr>
              <w:spacing w:after="0"/>
              <w:rPr>
                <w:b/>
                <w:bCs/>
              </w:rPr>
            </w:pPr>
            <w:r w:rsidRPr="00167CB8">
              <w:rPr>
                <w:b/>
                <w:bCs/>
              </w:rPr>
              <w:t>Number of agreements</w:t>
            </w:r>
          </w:p>
        </w:tc>
        <w:tc>
          <w:tcPr>
            <w:tcW w:w="1804" w:type="dxa"/>
          </w:tcPr>
          <w:p w14:paraId="77C562B8" w14:textId="77777777" w:rsidR="007A6A1A" w:rsidRPr="00167CB8" w:rsidRDefault="007A6A1A" w:rsidP="007A6A1A">
            <w:pPr>
              <w:spacing w:after="0"/>
              <w:rPr>
                <w:b/>
                <w:bCs/>
              </w:rPr>
            </w:pPr>
            <w:r w:rsidRPr="00167CB8">
              <w:rPr>
                <w:b/>
                <w:bCs/>
              </w:rPr>
              <w:t>Employees covered</w:t>
            </w:r>
          </w:p>
        </w:tc>
      </w:tr>
      <w:tr w:rsidR="007A6A1A" w:rsidRPr="00167CB8" w14:paraId="033BF7FC" w14:textId="77777777">
        <w:trPr>
          <w:trHeight w:val="340"/>
        </w:trPr>
        <w:tc>
          <w:tcPr>
            <w:tcW w:w="1803" w:type="dxa"/>
            <w:vAlign w:val="center"/>
          </w:tcPr>
          <w:p w14:paraId="60FA6B35" w14:textId="77777777" w:rsidR="007A6A1A" w:rsidRPr="00167CB8" w:rsidRDefault="007A6A1A" w:rsidP="007A6A1A">
            <w:pPr>
              <w:spacing w:after="0"/>
            </w:pPr>
            <w:r w:rsidRPr="00167CB8">
              <w:t>Sep-09</w:t>
            </w:r>
          </w:p>
        </w:tc>
        <w:tc>
          <w:tcPr>
            <w:tcW w:w="1803" w:type="dxa"/>
            <w:tcBorders>
              <w:top w:val="nil"/>
              <w:left w:val="nil"/>
              <w:bottom w:val="nil"/>
              <w:right w:val="nil"/>
            </w:tcBorders>
            <w:shd w:val="clear" w:color="auto" w:fill="auto"/>
            <w:vAlign w:val="center"/>
          </w:tcPr>
          <w:p w14:paraId="01EFB51D" w14:textId="77777777" w:rsidR="007A6A1A" w:rsidRPr="00167CB8" w:rsidRDefault="007A6A1A" w:rsidP="007A6A1A">
            <w:pPr>
              <w:spacing w:after="0"/>
              <w:jc w:val="right"/>
            </w:pPr>
            <w:r w:rsidRPr="00167CB8">
              <w:rPr>
                <w:color w:val="000000"/>
              </w:rPr>
              <w:t>165</w:t>
            </w:r>
          </w:p>
        </w:tc>
        <w:tc>
          <w:tcPr>
            <w:tcW w:w="1803" w:type="dxa"/>
            <w:tcBorders>
              <w:top w:val="nil"/>
              <w:left w:val="nil"/>
              <w:bottom w:val="nil"/>
              <w:right w:val="nil"/>
            </w:tcBorders>
            <w:shd w:val="clear" w:color="auto" w:fill="auto"/>
            <w:vAlign w:val="center"/>
          </w:tcPr>
          <w:p w14:paraId="6403B961" w14:textId="77777777" w:rsidR="007A6A1A" w:rsidRPr="00167CB8" w:rsidRDefault="007A6A1A" w:rsidP="007A6A1A">
            <w:pPr>
              <w:spacing w:after="0"/>
              <w:jc w:val="right"/>
            </w:pPr>
            <w:r w:rsidRPr="00167CB8">
              <w:rPr>
                <w:color w:val="000000"/>
              </w:rPr>
              <w:t>16,755</w:t>
            </w:r>
          </w:p>
        </w:tc>
        <w:tc>
          <w:tcPr>
            <w:tcW w:w="1803" w:type="dxa"/>
            <w:tcBorders>
              <w:top w:val="nil"/>
              <w:left w:val="nil"/>
              <w:bottom w:val="nil"/>
              <w:right w:val="nil"/>
            </w:tcBorders>
            <w:shd w:val="clear" w:color="auto" w:fill="auto"/>
            <w:vAlign w:val="center"/>
          </w:tcPr>
          <w:p w14:paraId="7DEB9FA5" w14:textId="77777777" w:rsidR="007A6A1A" w:rsidRPr="00167CB8" w:rsidRDefault="007A6A1A" w:rsidP="007A6A1A">
            <w:pPr>
              <w:spacing w:after="0"/>
              <w:jc w:val="right"/>
            </w:pPr>
            <w:r w:rsidRPr="00167CB8">
              <w:rPr>
                <w:color w:val="000000"/>
              </w:rPr>
              <w:t>1</w:t>
            </w:r>
          </w:p>
        </w:tc>
        <w:tc>
          <w:tcPr>
            <w:tcW w:w="1804" w:type="dxa"/>
            <w:tcBorders>
              <w:top w:val="nil"/>
              <w:left w:val="nil"/>
              <w:bottom w:val="nil"/>
              <w:right w:val="single" w:sz="4" w:space="0" w:color="auto"/>
            </w:tcBorders>
            <w:shd w:val="clear" w:color="auto" w:fill="auto"/>
            <w:vAlign w:val="center"/>
          </w:tcPr>
          <w:p w14:paraId="535872E1" w14:textId="77777777" w:rsidR="007A6A1A" w:rsidRPr="00167CB8" w:rsidRDefault="007A6A1A" w:rsidP="007A6A1A">
            <w:pPr>
              <w:spacing w:after="0"/>
              <w:jc w:val="right"/>
            </w:pPr>
            <w:r w:rsidRPr="00167CB8">
              <w:rPr>
                <w:color w:val="000000"/>
              </w:rPr>
              <w:t>5,836</w:t>
            </w:r>
          </w:p>
        </w:tc>
      </w:tr>
      <w:tr w:rsidR="007A6A1A" w:rsidRPr="00167CB8" w14:paraId="3DA0C047" w14:textId="77777777">
        <w:trPr>
          <w:trHeight w:val="340"/>
        </w:trPr>
        <w:tc>
          <w:tcPr>
            <w:tcW w:w="1803" w:type="dxa"/>
            <w:vAlign w:val="center"/>
          </w:tcPr>
          <w:p w14:paraId="2EA534A6" w14:textId="77777777" w:rsidR="007A6A1A" w:rsidRPr="00167CB8" w:rsidRDefault="007A6A1A" w:rsidP="007A6A1A">
            <w:pPr>
              <w:spacing w:after="0"/>
            </w:pPr>
            <w:r w:rsidRPr="00167CB8">
              <w:t>Sep-10</w:t>
            </w:r>
          </w:p>
        </w:tc>
        <w:tc>
          <w:tcPr>
            <w:tcW w:w="1803" w:type="dxa"/>
            <w:tcBorders>
              <w:top w:val="nil"/>
              <w:left w:val="nil"/>
              <w:bottom w:val="nil"/>
              <w:right w:val="nil"/>
            </w:tcBorders>
            <w:shd w:val="clear" w:color="auto" w:fill="auto"/>
            <w:vAlign w:val="center"/>
          </w:tcPr>
          <w:p w14:paraId="12E17D55" w14:textId="77777777" w:rsidR="007A6A1A" w:rsidRPr="00167CB8" w:rsidRDefault="007A6A1A" w:rsidP="007A6A1A">
            <w:pPr>
              <w:spacing w:after="0"/>
              <w:jc w:val="right"/>
            </w:pPr>
            <w:r w:rsidRPr="00167CB8">
              <w:rPr>
                <w:color w:val="000000"/>
              </w:rPr>
              <w:t>7,118</w:t>
            </w:r>
          </w:p>
        </w:tc>
        <w:tc>
          <w:tcPr>
            <w:tcW w:w="1803" w:type="dxa"/>
            <w:tcBorders>
              <w:top w:val="nil"/>
              <w:left w:val="nil"/>
              <w:bottom w:val="nil"/>
              <w:right w:val="nil"/>
            </w:tcBorders>
            <w:shd w:val="clear" w:color="auto" w:fill="auto"/>
            <w:vAlign w:val="center"/>
          </w:tcPr>
          <w:p w14:paraId="6F91D2C2" w14:textId="77777777" w:rsidR="007A6A1A" w:rsidRPr="00167CB8" w:rsidRDefault="007A6A1A" w:rsidP="007A6A1A">
            <w:pPr>
              <w:spacing w:after="0"/>
              <w:jc w:val="right"/>
            </w:pPr>
            <w:r w:rsidRPr="00167CB8">
              <w:rPr>
                <w:color w:val="000000"/>
              </w:rPr>
              <w:t>969,002</w:t>
            </w:r>
          </w:p>
        </w:tc>
        <w:tc>
          <w:tcPr>
            <w:tcW w:w="1803" w:type="dxa"/>
            <w:tcBorders>
              <w:top w:val="nil"/>
              <w:left w:val="nil"/>
              <w:bottom w:val="nil"/>
              <w:right w:val="nil"/>
            </w:tcBorders>
            <w:shd w:val="clear" w:color="auto" w:fill="auto"/>
            <w:vAlign w:val="center"/>
          </w:tcPr>
          <w:p w14:paraId="484F551C" w14:textId="77777777" w:rsidR="007A6A1A" w:rsidRPr="00167CB8" w:rsidRDefault="007A6A1A" w:rsidP="007A6A1A">
            <w:pPr>
              <w:spacing w:after="0"/>
              <w:jc w:val="right"/>
            </w:pPr>
            <w:r w:rsidRPr="00167CB8">
              <w:rPr>
                <w:color w:val="000000"/>
              </w:rPr>
              <w:t>40</w:t>
            </w:r>
          </w:p>
        </w:tc>
        <w:tc>
          <w:tcPr>
            <w:tcW w:w="1804" w:type="dxa"/>
            <w:tcBorders>
              <w:top w:val="nil"/>
              <w:left w:val="nil"/>
              <w:bottom w:val="nil"/>
              <w:right w:val="single" w:sz="4" w:space="0" w:color="auto"/>
            </w:tcBorders>
            <w:shd w:val="clear" w:color="auto" w:fill="auto"/>
            <w:vAlign w:val="center"/>
          </w:tcPr>
          <w:p w14:paraId="2680FE19" w14:textId="77777777" w:rsidR="007A6A1A" w:rsidRPr="00167CB8" w:rsidRDefault="007A6A1A" w:rsidP="007A6A1A">
            <w:pPr>
              <w:spacing w:after="0"/>
              <w:jc w:val="right"/>
            </w:pPr>
            <w:r w:rsidRPr="00167CB8">
              <w:rPr>
                <w:color w:val="000000"/>
              </w:rPr>
              <w:t>35,818</w:t>
            </w:r>
          </w:p>
        </w:tc>
      </w:tr>
      <w:tr w:rsidR="007A6A1A" w:rsidRPr="00167CB8" w14:paraId="221D8E1F" w14:textId="77777777">
        <w:trPr>
          <w:trHeight w:val="340"/>
        </w:trPr>
        <w:tc>
          <w:tcPr>
            <w:tcW w:w="1803" w:type="dxa"/>
            <w:vAlign w:val="center"/>
          </w:tcPr>
          <w:p w14:paraId="5AFD2A4D" w14:textId="77777777" w:rsidR="007A6A1A" w:rsidRPr="00167CB8" w:rsidRDefault="007A6A1A" w:rsidP="007A6A1A">
            <w:pPr>
              <w:spacing w:after="0"/>
            </w:pPr>
            <w:r w:rsidRPr="00167CB8">
              <w:t>Sep-11</w:t>
            </w:r>
          </w:p>
        </w:tc>
        <w:tc>
          <w:tcPr>
            <w:tcW w:w="1803" w:type="dxa"/>
            <w:tcBorders>
              <w:top w:val="nil"/>
              <w:left w:val="nil"/>
              <w:bottom w:val="nil"/>
              <w:right w:val="nil"/>
            </w:tcBorders>
            <w:shd w:val="clear" w:color="auto" w:fill="auto"/>
            <w:vAlign w:val="center"/>
          </w:tcPr>
          <w:p w14:paraId="3D4CA2E4" w14:textId="77777777" w:rsidR="007A6A1A" w:rsidRPr="00167CB8" w:rsidRDefault="007A6A1A" w:rsidP="007A6A1A">
            <w:pPr>
              <w:spacing w:after="0"/>
              <w:jc w:val="right"/>
            </w:pPr>
            <w:r w:rsidRPr="00167CB8">
              <w:rPr>
                <w:color w:val="000000"/>
              </w:rPr>
              <w:t>11,755</w:t>
            </w:r>
          </w:p>
        </w:tc>
        <w:tc>
          <w:tcPr>
            <w:tcW w:w="1803" w:type="dxa"/>
            <w:tcBorders>
              <w:top w:val="nil"/>
              <w:left w:val="nil"/>
              <w:bottom w:val="nil"/>
              <w:right w:val="nil"/>
            </w:tcBorders>
            <w:shd w:val="clear" w:color="auto" w:fill="auto"/>
            <w:vAlign w:val="center"/>
          </w:tcPr>
          <w:p w14:paraId="4011D347" w14:textId="77777777" w:rsidR="007A6A1A" w:rsidRPr="00167CB8" w:rsidRDefault="007A6A1A" w:rsidP="007A6A1A">
            <w:pPr>
              <w:spacing w:after="0"/>
              <w:jc w:val="right"/>
            </w:pPr>
            <w:r w:rsidRPr="00167CB8">
              <w:rPr>
                <w:color w:val="000000"/>
              </w:rPr>
              <w:t>1,689,953</w:t>
            </w:r>
          </w:p>
        </w:tc>
        <w:tc>
          <w:tcPr>
            <w:tcW w:w="1803" w:type="dxa"/>
            <w:tcBorders>
              <w:top w:val="nil"/>
              <w:left w:val="nil"/>
              <w:bottom w:val="nil"/>
              <w:right w:val="nil"/>
            </w:tcBorders>
            <w:shd w:val="clear" w:color="auto" w:fill="auto"/>
            <w:vAlign w:val="center"/>
          </w:tcPr>
          <w:p w14:paraId="06E32B74" w14:textId="77777777" w:rsidR="007A6A1A" w:rsidRPr="00167CB8" w:rsidRDefault="007A6A1A" w:rsidP="007A6A1A">
            <w:pPr>
              <w:spacing w:after="0"/>
              <w:jc w:val="right"/>
            </w:pPr>
            <w:r w:rsidRPr="00167CB8">
              <w:rPr>
                <w:color w:val="000000"/>
              </w:rPr>
              <w:t>58</w:t>
            </w:r>
          </w:p>
        </w:tc>
        <w:tc>
          <w:tcPr>
            <w:tcW w:w="1804" w:type="dxa"/>
            <w:tcBorders>
              <w:top w:val="nil"/>
              <w:left w:val="nil"/>
              <w:bottom w:val="nil"/>
              <w:right w:val="single" w:sz="4" w:space="0" w:color="auto"/>
            </w:tcBorders>
            <w:shd w:val="clear" w:color="auto" w:fill="auto"/>
            <w:vAlign w:val="center"/>
          </w:tcPr>
          <w:p w14:paraId="5406C0C1" w14:textId="77777777" w:rsidR="007A6A1A" w:rsidRPr="00167CB8" w:rsidRDefault="007A6A1A" w:rsidP="007A6A1A">
            <w:pPr>
              <w:spacing w:after="0"/>
              <w:jc w:val="right"/>
            </w:pPr>
            <w:r w:rsidRPr="00167CB8">
              <w:rPr>
                <w:color w:val="000000"/>
              </w:rPr>
              <w:t>49,713</w:t>
            </w:r>
          </w:p>
        </w:tc>
      </w:tr>
      <w:tr w:rsidR="007A6A1A" w:rsidRPr="00167CB8" w14:paraId="6D252DE8" w14:textId="77777777">
        <w:trPr>
          <w:trHeight w:val="340"/>
        </w:trPr>
        <w:tc>
          <w:tcPr>
            <w:tcW w:w="1803" w:type="dxa"/>
            <w:vAlign w:val="center"/>
          </w:tcPr>
          <w:p w14:paraId="62E20537" w14:textId="77777777" w:rsidR="007A6A1A" w:rsidRPr="00167CB8" w:rsidRDefault="007A6A1A" w:rsidP="007A6A1A">
            <w:pPr>
              <w:spacing w:after="0"/>
            </w:pPr>
            <w:r w:rsidRPr="00167CB8">
              <w:t>Sep-12</w:t>
            </w:r>
          </w:p>
        </w:tc>
        <w:tc>
          <w:tcPr>
            <w:tcW w:w="1803" w:type="dxa"/>
            <w:tcBorders>
              <w:top w:val="nil"/>
              <w:left w:val="nil"/>
              <w:bottom w:val="nil"/>
              <w:right w:val="nil"/>
            </w:tcBorders>
            <w:shd w:val="clear" w:color="auto" w:fill="auto"/>
            <w:vAlign w:val="center"/>
          </w:tcPr>
          <w:p w14:paraId="13EEF38A" w14:textId="77777777" w:rsidR="007A6A1A" w:rsidRPr="00167CB8" w:rsidRDefault="007A6A1A" w:rsidP="007A6A1A">
            <w:pPr>
              <w:spacing w:after="0"/>
              <w:jc w:val="right"/>
            </w:pPr>
            <w:r w:rsidRPr="00167CB8">
              <w:rPr>
                <w:color w:val="000000"/>
              </w:rPr>
              <w:t>17,338</w:t>
            </w:r>
          </w:p>
        </w:tc>
        <w:tc>
          <w:tcPr>
            <w:tcW w:w="1803" w:type="dxa"/>
            <w:tcBorders>
              <w:top w:val="nil"/>
              <w:left w:val="nil"/>
              <w:bottom w:val="nil"/>
              <w:right w:val="nil"/>
            </w:tcBorders>
            <w:shd w:val="clear" w:color="auto" w:fill="auto"/>
            <w:vAlign w:val="center"/>
          </w:tcPr>
          <w:p w14:paraId="51019F77" w14:textId="77777777" w:rsidR="007A6A1A" w:rsidRPr="00167CB8" w:rsidRDefault="007A6A1A" w:rsidP="007A6A1A">
            <w:pPr>
              <w:spacing w:after="0"/>
              <w:jc w:val="right"/>
            </w:pPr>
            <w:r w:rsidRPr="00167CB8">
              <w:rPr>
                <w:color w:val="000000"/>
              </w:rPr>
              <w:t>1,976,718</w:t>
            </w:r>
          </w:p>
        </w:tc>
        <w:tc>
          <w:tcPr>
            <w:tcW w:w="1803" w:type="dxa"/>
            <w:tcBorders>
              <w:top w:val="nil"/>
              <w:left w:val="nil"/>
              <w:bottom w:val="nil"/>
              <w:right w:val="nil"/>
            </w:tcBorders>
            <w:shd w:val="clear" w:color="auto" w:fill="auto"/>
            <w:vAlign w:val="center"/>
          </w:tcPr>
          <w:p w14:paraId="464F8A1F" w14:textId="77777777" w:rsidR="007A6A1A" w:rsidRPr="00167CB8" w:rsidRDefault="007A6A1A" w:rsidP="007A6A1A">
            <w:pPr>
              <w:spacing w:after="0"/>
              <w:jc w:val="right"/>
            </w:pPr>
            <w:r w:rsidRPr="00167CB8">
              <w:rPr>
                <w:color w:val="000000"/>
              </w:rPr>
              <w:t>82</w:t>
            </w:r>
          </w:p>
        </w:tc>
        <w:tc>
          <w:tcPr>
            <w:tcW w:w="1804" w:type="dxa"/>
            <w:tcBorders>
              <w:top w:val="nil"/>
              <w:left w:val="nil"/>
              <w:bottom w:val="nil"/>
              <w:right w:val="single" w:sz="4" w:space="0" w:color="auto"/>
            </w:tcBorders>
            <w:shd w:val="clear" w:color="auto" w:fill="auto"/>
            <w:vAlign w:val="center"/>
          </w:tcPr>
          <w:p w14:paraId="7472A4B2" w14:textId="77777777" w:rsidR="007A6A1A" w:rsidRPr="00167CB8" w:rsidRDefault="007A6A1A" w:rsidP="007A6A1A">
            <w:pPr>
              <w:spacing w:after="0"/>
              <w:jc w:val="right"/>
            </w:pPr>
            <w:r w:rsidRPr="00167CB8">
              <w:rPr>
                <w:color w:val="000000"/>
              </w:rPr>
              <w:t>107,282</w:t>
            </w:r>
          </w:p>
        </w:tc>
      </w:tr>
      <w:tr w:rsidR="007A6A1A" w:rsidRPr="00167CB8" w14:paraId="286C3408" w14:textId="77777777">
        <w:trPr>
          <w:trHeight w:val="340"/>
        </w:trPr>
        <w:tc>
          <w:tcPr>
            <w:tcW w:w="1803" w:type="dxa"/>
            <w:vAlign w:val="center"/>
          </w:tcPr>
          <w:p w14:paraId="465F1731" w14:textId="77777777" w:rsidR="007A6A1A" w:rsidRPr="00167CB8" w:rsidRDefault="007A6A1A" w:rsidP="007A6A1A">
            <w:pPr>
              <w:spacing w:after="0"/>
            </w:pPr>
            <w:r w:rsidRPr="00167CB8">
              <w:t>Sep-13</w:t>
            </w:r>
          </w:p>
        </w:tc>
        <w:tc>
          <w:tcPr>
            <w:tcW w:w="1803" w:type="dxa"/>
            <w:tcBorders>
              <w:top w:val="nil"/>
              <w:left w:val="nil"/>
              <w:bottom w:val="nil"/>
              <w:right w:val="nil"/>
            </w:tcBorders>
            <w:shd w:val="clear" w:color="auto" w:fill="auto"/>
            <w:vAlign w:val="center"/>
          </w:tcPr>
          <w:p w14:paraId="49097AA8" w14:textId="77777777" w:rsidR="007A6A1A" w:rsidRPr="00167CB8" w:rsidRDefault="007A6A1A" w:rsidP="007A6A1A">
            <w:pPr>
              <w:spacing w:after="0"/>
              <w:jc w:val="right"/>
            </w:pPr>
            <w:r w:rsidRPr="00167CB8">
              <w:rPr>
                <w:color w:val="000000"/>
              </w:rPr>
              <w:t>19,704</w:t>
            </w:r>
          </w:p>
        </w:tc>
        <w:tc>
          <w:tcPr>
            <w:tcW w:w="1803" w:type="dxa"/>
            <w:tcBorders>
              <w:top w:val="nil"/>
              <w:left w:val="nil"/>
              <w:bottom w:val="nil"/>
              <w:right w:val="nil"/>
            </w:tcBorders>
            <w:shd w:val="clear" w:color="auto" w:fill="auto"/>
            <w:vAlign w:val="center"/>
          </w:tcPr>
          <w:p w14:paraId="0BB3604B" w14:textId="77777777" w:rsidR="007A6A1A" w:rsidRPr="00167CB8" w:rsidRDefault="007A6A1A" w:rsidP="007A6A1A">
            <w:pPr>
              <w:spacing w:after="0"/>
              <w:jc w:val="right"/>
            </w:pPr>
            <w:r w:rsidRPr="00167CB8">
              <w:rPr>
                <w:color w:val="000000"/>
              </w:rPr>
              <w:t>2,269,648</w:t>
            </w:r>
          </w:p>
        </w:tc>
        <w:tc>
          <w:tcPr>
            <w:tcW w:w="1803" w:type="dxa"/>
            <w:tcBorders>
              <w:top w:val="nil"/>
              <w:left w:val="nil"/>
              <w:bottom w:val="nil"/>
              <w:right w:val="nil"/>
            </w:tcBorders>
            <w:shd w:val="clear" w:color="auto" w:fill="auto"/>
            <w:vAlign w:val="center"/>
          </w:tcPr>
          <w:p w14:paraId="7B81C7E1" w14:textId="77777777" w:rsidR="007A6A1A" w:rsidRPr="00167CB8" w:rsidRDefault="007A6A1A" w:rsidP="007A6A1A">
            <w:pPr>
              <w:spacing w:after="0"/>
              <w:jc w:val="right"/>
            </w:pPr>
            <w:r w:rsidRPr="00167CB8">
              <w:rPr>
                <w:color w:val="000000"/>
              </w:rPr>
              <w:t>79</w:t>
            </w:r>
          </w:p>
        </w:tc>
        <w:tc>
          <w:tcPr>
            <w:tcW w:w="1804" w:type="dxa"/>
            <w:tcBorders>
              <w:top w:val="nil"/>
              <w:left w:val="nil"/>
              <w:bottom w:val="nil"/>
              <w:right w:val="single" w:sz="4" w:space="0" w:color="auto"/>
            </w:tcBorders>
            <w:shd w:val="clear" w:color="auto" w:fill="auto"/>
            <w:vAlign w:val="center"/>
          </w:tcPr>
          <w:p w14:paraId="3CDDEA24" w14:textId="77777777" w:rsidR="007A6A1A" w:rsidRPr="00167CB8" w:rsidRDefault="007A6A1A" w:rsidP="007A6A1A">
            <w:pPr>
              <w:spacing w:after="0"/>
              <w:jc w:val="right"/>
            </w:pPr>
            <w:r w:rsidRPr="00167CB8">
              <w:rPr>
                <w:color w:val="000000"/>
              </w:rPr>
              <w:t>100,825</w:t>
            </w:r>
          </w:p>
        </w:tc>
      </w:tr>
      <w:tr w:rsidR="007A6A1A" w:rsidRPr="00167CB8" w14:paraId="5F4A4017" w14:textId="77777777">
        <w:trPr>
          <w:trHeight w:val="340"/>
        </w:trPr>
        <w:tc>
          <w:tcPr>
            <w:tcW w:w="1803" w:type="dxa"/>
            <w:vAlign w:val="center"/>
          </w:tcPr>
          <w:p w14:paraId="5A14DF49" w14:textId="77777777" w:rsidR="007A6A1A" w:rsidRPr="00167CB8" w:rsidRDefault="007A6A1A" w:rsidP="007A6A1A">
            <w:pPr>
              <w:spacing w:after="0"/>
            </w:pPr>
            <w:r w:rsidRPr="00167CB8">
              <w:t>Sep-14</w:t>
            </w:r>
          </w:p>
        </w:tc>
        <w:tc>
          <w:tcPr>
            <w:tcW w:w="1803" w:type="dxa"/>
            <w:tcBorders>
              <w:top w:val="nil"/>
              <w:left w:val="nil"/>
              <w:bottom w:val="nil"/>
              <w:right w:val="nil"/>
            </w:tcBorders>
            <w:shd w:val="clear" w:color="auto" w:fill="auto"/>
            <w:vAlign w:val="center"/>
          </w:tcPr>
          <w:p w14:paraId="6DC6DF30" w14:textId="77777777" w:rsidR="007A6A1A" w:rsidRPr="00167CB8" w:rsidRDefault="007A6A1A" w:rsidP="007A6A1A">
            <w:pPr>
              <w:spacing w:after="0"/>
              <w:jc w:val="right"/>
            </w:pPr>
            <w:r w:rsidRPr="00167CB8">
              <w:rPr>
                <w:color w:val="000000"/>
              </w:rPr>
              <w:t>18,884</w:t>
            </w:r>
          </w:p>
        </w:tc>
        <w:tc>
          <w:tcPr>
            <w:tcW w:w="1803" w:type="dxa"/>
            <w:tcBorders>
              <w:top w:val="nil"/>
              <w:left w:val="nil"/>
              <w:bottom w:val="nil"/>
              <w:right w:val="nil"/>
            </w:tcBorders>
            <w:shd w:val="clear" w:color="auto" w:fill="auto"/>
            <w:vAlign w:val="center"/>
          </w:tcPr>
          <w:p w14:paraId="016D3551" w14:textId="77777777" w:rsidR="007A6A1A" w:rsidRPr="00167CB8" w:rsidRDefault="007A6A1A" w:rsidP="007A6A1A">
            <w:pPr>
              <w:spacing w:after="0"/>
              <w:jc w:val="right"/>
            </w:pPr>
            <w:r w:rsidRPr="00167CB8">
              <w:rPr>
                <w:color w:val="000000"/>
              </w:rPr>
              <w:t>2,197,104</w:t>
            </w:r>
          </w:p>
        </w:tc>
        <w:tc>
          <w:tcPr>
            <w:tcW w:w="1803" w:type="dxa"/>
            <w:tcBorders>
              <w:top w:val="nil"/>
              <w:left w:val="nil"/>
              <w:bottom w:val="nil"/>
              <w:right w:val="nil"/>
            </w:tcBorders>
            <w:shd w:val="clear" w:color="auto" w:fill="auto"/>
            <w:vAlign w:val="center"/>
          </w:tcPr>
          <w:p w14:paraId="55A32816" w14:textId="77777777" w:rsidR="007A6A1A" w:rsidRPr="00167CB8" w:rsidRDefault="007A6A1A" w:rsidP="007A6A1A">
            <w:pPr>
              <w:spacing w:after="0"/>
              <w:jc w:val="right"/>
            </w:pPr>
            <w:r w:rsidRPr="00167CB8">
              <w:rPr>
                <w:color w:val="000000"/>
              </w:rPr>
              <w:t>61</w:t>
            </w:r>
          </w:p>
        </w:tc>
        <w:tc>
          <w:tcPr>
            <w:tcW w:w="1804" w:type="dxa"/>
            <w:tcBorders>
              <w:top w:val="nil"/>
              <w:left w:val="nil"/>
              <w:bottom w:val="nil"/>
              <w:right w:val="single" w:sz="4" w:space="0" w:color="auto"/>
            </w:tcBorders>
            <w:shd w:val="clear" w:color="auto" w:fill="auto"/>
            <w:vAlign w:val="center"/>
          </w:tcPr>
          <w:p w14:paraId="6F45AEA7" w14:textId="77777777" w:rsidR="007A6A1A" w:rsidRPr="00167CB8" w:rsidRDefault="007A6A1A" w:rsidP="007A6A1A">
            <w:pPr>
              <w:spacing w:after="0"/>
              <w:jc w:val="right"/>
            </w:pPr>
            <w:r w:rsidRPr="00167CB8">
              <w:rPr>
                <w:color w:val="000000"/>
              </w:rPr>
              <w:t>112,274</w:t>
            </w:r>
          </w:p>
        </w:tc>
      </w:tr>
      <w:tr w:rsidR="007A6A1A" w:rsidRPr="00167CB8" w14:paraId="5CABF67A" w14:textId="77777777">
        <w:trPr>
          <w:trHeight w:val="340"/>
        </w:trPr>
        <w:tc>
          <w:tcPr>
            <w:tcW w:w="1803" w:type="dxa"/>
            <w:vAlign w:val="center"/>
          </w:tcPr>
          <w:p w14:paraId="3E89A346" w14:textId="77777777" w:rsidR="007A6A1A" w:rsidRPr="00167CB8" w:rsidRDefault="007A6A1A" w:rsidP="007A6A1A">
            <w:pPr>
              <w:spacing w:after="0"/>
            </w:pPr>
            <w:r w:rsidRPr="00167CB8">
              <w:t>Sep-15</w:t>
            </w:r>
          </w:p>
        </w:tc>
        <w:tc>
          <w:tcPr>
            <w:tcW w:w="1803" w:type="dxa"/>
            <w:tcBorders>
              <w:top w:val="nil"/>
              <w:left w:val="nil"/>
              <w:bottom w:val="nil"/>
              <w:right w:val="nil"/>
            </w:tcBorders>
            <w:shd w:val="clear" w:color="auto" w:fill="auto"/>
            <w:vAlign w:val="center"/>
          </w:tcPr>
          <w:p w14:paraId="41498401" w14:textId="77777777" w:rsidR="007A6A1A" w:rsidRPr="00167CB8" w:rsidRDefault="007A6A1A" w:rsidP="007A6A1A">
            <w:pPr>
              <w:spacing w:after="0"/>
              <w:jc w:val="right"/>
            </w:pPr>
            <w:r w:rsidRPr="00167CB8">
              <w:rPr>
                <w:color w:val="000000"/>
              </w:rPr>
              <w:t>15,075</w:t>
            </w:r>
          </w:p>
        </w:tc>
        <w:tc>
          <w:tcPr>
            <w:tcW w:w="1803" w:type="dxa"/>
            <w:tcBorders>
              <w:top w:val="nil"/>
              <w:left w:val="nil"/>
              <w:bottom w:val="nil"/>
              <w:right w:val="nil"/>
            </w:tcBorders>
            <w:shd w:val="clear" w:color="auto" w:fill="auto"/>
            <w:vAlign w:val="center"/>
          </w:tcPr>
          <w:p w14:paraId="3C59F075" w14:textId="77777777" w:rsidR="007A6A1A" w:rsidRPr="00167CB8" w:rsidRDefault="007A6A1A" w:rsidP="007A6A1A">
            <w:pPr>
              <w:spacing w:after="0"/>
              <w:jc w:val="right"/>
            </w:pPr>
            <w:r w:rsidRPr="00167CB8">
              <w:rPr>
                <w:color w:val="000000"/>
              </w:rPr>
              <w:t>2,064,481</w:t>
            </w:r>
          </w:p>
        </w:tc>
        <w:tc>
          <w:tcPr>
            <w:tcW w:w="1803" w:type="dxa"/>
            <w:tcBorders>
              <w:top w:val="nil"/>
              <w:left w:val="nil"/>
              <w:bottom w:val="nil"/>
              <w:right w:val="nil"/>
            </w:tcBorders>
            <w:shd w:val="clear" w:color="auto" w:fill="auto"/>
            <w:vAlign w:val="center"/>
          </w:tcPr>
          <w:p w14:paraId="616A8707" w14:textId="77777777" w:rsidR="007A6A1A" w:rsidRPr="00167CB8" w:rsidRDefault="007A6A1A" w:rsidP="007A6A1A">
            <w:pPr>
              <w:spacing w:after="0"/>
              <w:jc w:val="right"/>
            </w:pPr>
            <w:r w:rsidRPr="00167CB8">
              <w:rPr>
                <w:color w:val="000000"/>
              </w:rPr>
              <w:t>65</w:t>
            </w:r>
          </w:p>
        </w:tc>
        <w:tc>
          <w:tcPr>
            <w:tcW w:w="1804" w:type="dxa"/>
            <w:tcBorders>
              <w:top w:val="nil"/>
              <w:left w:val="nil"/>
              <w:bottom w:val="nil"/>
              <w:right w:val="single" w:sz="4" w:space="0" w:color="auto"/>
            </w:tcBorders>
            <w:shd w:val="clear" w:color="auto" w:fill="auto"/>
            <w:vAlign w:val="center"/>
          </w:tcPr>
          <w:p w14:paraId="4ECAFF2B" w14:textId="77777777" w:rsidR="007A6A1A" w:rsidRPr="00167CB8" w:rsidRDefault="007A6A1A" w:rsidP="007A6A1A">
            <w:pPr>
              <w:spacing w:after="0"/>
              <w:jc w:val="right"/>
            </w:pPr>
            <w:r w:rsidRPr="00167CB8">
              <w:rPr>
                <w:color w:val="000000"/>
              </w:rPr>
              <w:t>108,174</w:t>
            </w:r>
          </w:p>
        </w:tc>
      </w:tr>
      <w:tr w:rsidR="007A6A1A" w:rsidRPr="00167CB8" w14:paraId="475D420A" w14:textId="77777777">
        <w:trPr>
          <w:trHeight w:val="340"/>
        </w:trPr>
        <w:tc>
          <w:tcPr>
            <w:tcW w:w="1803" w:type="dxa"/>
            <w:vAlign w:val="center"/>
          </w:tcPr>
          <w:p w14:paraId="4C1B88B3" w14:textId="77777777" w:rsidR="007A6A1A" w:rsidRPr="00167CB8" w:rsidRDefault="007A6A1A" w:rsidP="007A6A1A">
            <w:pPr>
              <w:spacing w:after="0"/>
            </w:pPr>
            <w:r w:rsidRPr="00167CB8">
              <w:t>Sep-16</w:t>
            </w:r>
          </w:p>
        </w:tc>
        <w:tc>
          <w:tcPr>
            <w:tcW w:w="1803" w:type="dxa"/>
            <w:tcBorders>
              <w:top w:val="nil"/>
              <w:left w:val="nil"/>
              <w:bottom w:val="nil"/>
              <w:right w:val="nil"/>
            </w:tcBorders>
            <w:shd w:val="clear" w:color="auto" w:fill="auto"/>
            <w:vAlign w:val="center"/>
          </w:tcPr>
          <w:p w14:paraId="575827D2" w14:textId="77777777" w:rsidR="007A6A1A" w:rsidRPr="00167CB8" w:rsidRDefault="007A6A1A" w:rsidP="007A6A1A">
            <w:pPr>
              <w:spacing w:after="0"/>
              <w:jc w:val="right"/>
            </w:pPr>
            <w:r w:rsidRPr="00167CB8">
              <w:rPr>
                <w:color w:val="000000"/>
              </w:rPr>
              <w:t>14,162</w:t>
            </w:r>
          </w:p>
        </w:tc>
        <w:tc>
          <w:tcPr>
            <w:tcW w:w="1803" w:type="dxa"/>
            <w:tcBorders>
              <w:top w:val="nil"/>
              <w:left w:val="nil"/>
              <w:bottom w:val="nil"/>
              <w:right w:val="nil"/>
            </w:tcBorders>
            <w:shd w:val="clear" w:color="auto" w:fill="auto"/>
            <w:vAlign w:val="center"/>
          </w:tcPr>
          <w:p w14:paraId="6BFC9999" w14:textId="77777777" w:rsidR="007A6A1A" w:rsidRPr="00167CB8" w:rsidRDefault="007A6A1A" w:rsidP="007A6A1A">
            <w:pPr>
              <w:spacing w:after="0"/>
              <w:jc w:val="right"/>
            </w:pPr>
            <w:r w:rsidRPr="00167CB8">
              <w:rPr>
                <w:color w:val="000000"/>
              </w:rPr>
              <w:t>1,913,136</w:t>
            </w:r>
          </w:p>
        </w:tc>
        <w:tc>
          <w:tcPr>
            <w:tcW w:w="1803" w:type="dxa"/>
            <w:tcBorders>
              <w:top w:val="nil"/>
              <w:left w:val="nil"/>
              <w:bottom w:val="nil"/>
              <w:right w:val="nil"/>
            </w:tcBorders>
            <w:shd w:val="clear" w:color="auto" w:fill="auto"/>
            <w:vAlign w:val="center"/>
          </w:tcPr>
          <w:p w14:paraId="549D7B84" w14:textId="77777777" w:rsidR="007A6A1A" w:rsidRPr="00167CB8" w:rsidRDefault="007A6A1A" w:rsidP="007A6A1A">
            <w:pPr>
              <w:spacing w:after="0"/>
              <w:jc w:val="right"/>
            </w:pPr>
            <w:r w:rsidRPr="00167CB8">
              <w:rPr>
                <w:color w:val="000000"/>
              </w:rPr>
              <w:t>65</w:t>
            </w:r>
          </w:p>
        </w:tc>
        <w:tc>
          <w:tcPr>
            <w:tcW w:w="1804" w:type="dxa"/>
            <w:tcBorders>
              <w:top w:val="nil"/>
              <w:left w:val="nil"/>
              <w:bottom w:val="nil"/>
              <w:right w:val="single" w:sz="4" w:space="0" w:color="auto"/>
            </w:tcBorders>
            <w:shd w:val="clear" w:color="auto" w:fill="auto"/>
            <w:vAlign w:val="center"/>
          </w:tcPr>
          <w:p w14:paraId="38985763" w14:textId="77777777" w:rsidR="007A6A1A" w:rsidRPr="00167CB8" w:rsidRDefault="007A6A1A" w:rsidP="007A6A1A">
            <w:pPr>
              <w:spacing w:after="0"/>
              <w:jc w:val="right"/>
            </w:pPr>
            <w:r w:rsidRPr="00167CB8">
              <w:rPr>
                <w:color w:val="000000"/>
              </w:rPr>
              <w:t>76,316</w:t>
            </w:r>
          </w:p>
        </w:tc>
      </w:tr>
      <w:tr w:rsidR="007A6A1A" w:rsidRPr="00167CB8" w14:paraId="3546A41C" w14:textId="77777777">
        <w:trPr>
          <w:trHeight w:val="340"/>
        </w:trPr>
        <w:tc>
          <w:tcPr>
            <w:tcW w:w="1803" w:type="dxa"/>
            <w:vAlign w:val="center"/>
          </w:tcPr>
          <w:p w14:paraId="5FBB41A3" w14:textId="77777777" w:rsidR="007A6A1A" w:rsidRPr="00167CB8" w:rsidRDefault="007A6A1A" w:rsidP="007A6A1A">
            <w:pPr>
              <w:spacing w:after="0"/>
            </w:pPr>
            <w:r w:rsidRPr="00167CB8">
              <w:t>Sep-17</w:t>
            </w:r>
          </w:p>
        </w:tc>
        <w:tc>
          <w:tcPr>
            <w:tcW w:w="1803" w:type="dxa"/>
            <w:tcBorders>
              <w:top w:val="nil"/>
              <w:left w:val="nil"/>
              <w:bottom w:val="nil"/>
              <w:right w:val="nil"/>
            </w:tcBorders>
            <w:shd w:val="clear" w:color="auto" w:fill="auto"/>
            <w:vAlign w:val="center"/>
          </w:tcPr>
          <w:p w14:paraId="2DD1F969" w14:textId="77777777" w:rsidR="007A6A1A" w:rsidRPr="00167CB8" w:rsidRDefault="007A6A1A" w:rsidP="007A6A1A">
            <w:pPr>
              <w:spacing w:after="0"/>
              <w:jc w:val="right"/>
            </w:pPr>
            <w:r w:rsidRPr="00167CB8">
              <w:rPr>
                <w:color w:val="000000"/>
              </w:rPr>
              <w:t>12,855</w:t>
            </w:r>
          </w:p>
        </w:tc>
        <w:tc>
          <w:tcPr>
            <w:tcW w:w="1803" w:type="dxa"/>
            <w:tcBorders>
              <w:top w:val="nil"/>
              <w:left w:val="nil"/>
              <w:bottom w:val="nil"/>
              <w:right w:val="nil"/>
            </w:tcBorders>
            <w:shd w:val="clear" w:color="auto" w:fill="auto"/>
            <w:vAlign w:val="center"/>
          </w:tcPr>
          <w:p w14:paraId="6B59F9E6" w14:textId="77777777" w:rsidR="007A6A1A" w:rsidRPr="00167CB8" w:rsidRDefault="007A6A1A" w:rsidP="007A6A1A">
            <w:pPr>
              <w:spacing w:after="0"/>
              <w:jc w:val="right"/>
            </w:pPr>
            <w:r w:rsidRPr="00167CB8">
              <w:rPr>
                <w:color w:val="000000"/>
              </w:rPr>
              <w:t>1,710,392</w:t>
            </w:r>
          </w:p>
        </w:tc>
        <w:tc>
          <w:tcPr>
            <w:tcW w:w="1803" w:type="dxa"/>
            <w:tcBorders>
              <w:top w:val="nil"/>
              <w:left w:val="nil"/>
              <w:bottom w:val="nil"/>
              <w:right w:val="nil"/>
            </w:tcBorders>
            <w:shd w:val="clear" w:color="auto" w:fill="auto"/>
            <w:vAlign w:val="center"/>
          </w:tcPr>
          <w:p w14:paraId="75D4D4B4" w14:textId="77777777" w:rsidR="007A6A1A" w:rsidRPr="00167CB8" w:rsidRDefault="007A6A1A" w:rsidP="007A6A1A">
            <w:pPr>
              <w:spacing w:after="0"/>
              <w:jc w:val="right"/>
            </w:pPr>
            <w:r w:rsidRPr="00167CB8">
              <w:rPr>
                <w:color w:val="000000"/>
              </w:rPr>
              <w:t>57</w:t>
            </w:r>
          </w:p>
        </w:tc>
        <w:tc>
          <w:tcPr>
            <w:tcW w:w="1804" w:type="dxa"/>
            <w:tcBorders>
              <w:top w:val="nil"/>
              <w:left w:val="nil"/>
              <w:bottom w:val="nil"/>
              <w:right w:val="single" w:sz="4" w:space="0" w:color="auto"/>
            </w:tcBorders>
            <w:shd w:val="clear" w:color="auto" w:fill="auto"/>
            <w:vAlign w:val="center"/>
          </w:tcPr>
          <w:p w14:paraId="00F0E9D1" w14:textId="77777777" w:rsidR="007A6A1A" w:rsidRPr="00167CB8" w:rsidRDefault="007A6A1A" w:rsidP="007A6A1A">
            <w:pPr>
              <w:spacing w:after="0"/>
              <w:jc w:val="right"/>
            </w:pPr>
            <w:r w:rsidRPr="00167CB8">
              <w:rPr>
                <w:color w:val="000000"/>
              </w:rPr>
              <w:t>50,442</w:t>
            </w:r>
          </w:p>
        </w:tc>
      </w:tr>
      <w:tr w:rsidR="007A6A1A" w:rsidRPr="00167CB8" w14:paraId="4144EAC6" w14:textId="77777777">
        <w:trPr>
          <w:trHeight w:val="340"/>
        </w:trPr>
        <w:tc>
          <w:tcPr>
            <w:tcW w:w="1803" w:type="dxa"/>
            <w:vAlign w:val="center"/>
          </w:tcPr>
          <w:p w14:paraId="72128DF4" w14:textId="77777777" w:rsidR="007A6A1A" w:rsidRPr="00167CB8" w:rsidRDefault="007A6A1A" w:rsidP="007A6A1A">
            <w:pPr>
              <w:spacing w:after="0"/>
            </w:pPr>
            <w:r w:rsidRPr="00167CB8">
              <w:t>Sep-18</w:t>
            </w:r>
          </w:p>
        </w:tc>
        <w:tc>
          <w:tcPr>
            <w:tcW w:w="1803" w:type="dxa"/>
            <w:tcBorders>
              <w:top w:val="nil"/>
              <w:left w:val="nil"/>
              <w:bottom w:val="nil"/>
              <w:right w:val="nil"/>
            </w:tcBorders>
            <w:shd w:val="clear" w:color="auto" w:fill="auto"/>
            <w:vAlign w:val="center"/>
          </w:tcPr>
          <w:p w14:paraId="4CDCAF6E" w14:textId="77777777" w:rsidR="007A6A1A" w:rsidRPr="00167CB8" w:rsidRDefault="007A6A1A" w:rsidP="007A6A1A">
            <w:pPr>
              <w:spacing w:after="0"/>
              <w:jc w:val="right"/>
            </w:pPr>
            <w:r w:rsidRPr="00167CB8">
              <w:rPr>
                <w:color w:val="000000"/>
              </w:rPr>
              <w:t>10,944</w:t>
            </w:r>
          </w:p>
        </w:tc>
        <w:tc>
          <w:tcPr>
            <w:tcW w:w="1803" w:type="dxa"/>
            <w:tcBorders>
              <w:top w:val="nil"/>
              <w:left w:val="nil"/>
              <w:bottom w:val="nil"/>
              <w:right w:val="nil"/>
            </w:tcBorders>
            <w:shd w:val="clear" w:color="auto" w:fill="auto"/>
            <w:vAlign w:val="center"/>
          </w:tcPr>
          <w:p w14:paraId="4942F2D7" w14:textId="77777777" w:rsidR="007A6A1A" w:rsidRPr="00167CB8" w:rsidRDefault="007A6A1A" w:rsidP="007A6A1A">
            <w:pPr>
              <w:spacing w:after="0"/>
              <w:jc w:val="right"/>
            </w:pPr>
            <w:r w:rsidRPr="00167CB8">
              <w:rPr>
                <w:color w:val="000000"/>
              </w:rPr>
              <w:t>1,849,443</w:t>
            </w:r>
          </w:p>
        </w:tc>
        <w:tc>
          <w:tcPr>
            <w:tcW w:w="1803" w:type="dxa"/>
            <w:tcBorders>
              <w:top w:val="nil"/>
              <w:left w:val="nil"/>
              <w:bottom w:val="nil"/>
              <w:right w:val="nil"/>
            </w:tcBorders>
            <w:shd w:val="clear" w:color="auto" w:fill="auto"/>
            <w:vAlign w:val="center"/>
          </w:tcPr>
          <w:p w14:paraId="286B00D1" w14:textId="77777777" w:rsidR="007A6A1A" w:rsidRPr="00167CB8" w:rsidRDefault="007A6A1A" w:rsidP="007A6A1A">
            <w:pPr>
              <w:spacing w:after="0"/>
              <w:jc w:val="right"/>
            </w:pPr>
            <w:r w:rsidRPr="00167CB8">
              <w:rPr>
                <w:color w:val="000000"/>
              </w:rPr>
              <w:t>57</w:t>
            </w:r>
          </w:p>
        </w:tc>
        <w:tc>
          <w:tcPr>
            <w:tcW w:w="1804" w:type="dxa"/>
            <w:tcBorders>
              <w:top w:val="nil"/>
              <w:left w:val="nil"/>
              <w:bottom w:val="nil"/>
              <w:right w:val="single" w:sz="4" w:space="0" w:color="auto"/>
            </w:tcBorders>
            <w:shd w:val="clear" w:color="auto" w:fill="auto"/>
            <w:vAlign w:val="center"/>
          </w:tcPr>
          <w:p w14:paraId="2C0B1C2E" w14:textId="77777777" w:rsidR="007A6A1A" w:rsidRPr="00167CB8" w:rsidRDefault="007A6A1A" w:rsidP="007A6A1A">
            <w:pPr>
              <w:spacing w:after="0"/>
              <w:jc w:val="right"/>
            </w:pPr>
            <w:r w:rsidRPr="00167CB8">
              <w:rPr>
                <w:color w:val="000000"/>
              </w:rPr>
              <w:t>49,248</w:t>
            </w:r>
          </w:p>
        </w:tc>
      </w:tr>
      <w:tr w:rsidR="007A6A1A" w:rsidRPr="00167CB8" w14:paraId="345A6C90" w14:textId="77777777">
        <w:trPr>
          <w:trHeight w:val="340"/>
        </w:trPr>
        <w:tc>
          <w:tcPr>
            <w:tcW w:w="1803" w:type="dxa"/>
            <w:vAlign w:val="center"/>
          </w:tcPr>
          <w:p w14:paraId="0BEF9483" w14:textId="77777777" w:rsidR="007A6A1A" w:rsidRPr="00167CB8" w:rsidRDefault="007A6A1A" w:rsidP="007A6A1A">
            <w:pPr>
              <w:spacing w:after="0"/>
            </w:pPr>
            <w:r w:rsidRPr="00167CB8">
              <w:t>Sep-19</w:t>
            </w:r>
          </w:p>
        </w:tc>
        <w:tc>
          <w:tcPr>
            <w:tcW w:w="1803" w:type="dxa"/>
            <w:tcBorders>
              <w:top w:val="nil"/>
              <w:left w:val="nil"/>
              <w:bottom w:val="nil"/>
              <w:right w:val="nil"/>
            </w:tcBorders>
            <w:shd w:val="clear" w:color="auto" w:fill="auto"/>
            <w:vAlign w:val="center"/>
          </w:tcPr>
          <w:p w14:paraId="01210C42" w14:textId="77777777" w:rsidR="007A6A1A" w:rsidRPr="00167CB8" w:rsidRDefault="007A6A1A" w:rsidP="007A6A1A">
            <w:pPr>
              <w:spacing w:after="0"/>
              <w:jc w:val="right"/>
            </w:pPr>
            <w:r w:rsidRPr="00167CB8">
              <w:rPr>
                <w:color w:val="000000"/>
              </w:rPr>
              <w:t>10,815</w:t>
            </w:r>
          </w:p>
        </w:tc>
        <w:tc>
          <w:tcPr>
            <w:tcW w:w="1803" w:type="dxa"/>
            <w:tcBorders>
              <w:top w:val="nil"/>
              <w:left w:val="nil"/>
              <w:bottom w:val="nil"/>
              <w:right w:val="nil"/>
            </w:tcBorders>
            <w:shd w:val="clear" w:color="auto" w:fill="auto"/>
            <w:vAlign w:val="center"/>
          </w:tcPr>
          <w:p w14:paraId="6BDFE8F6" w14:textId="77777777" w:rsidR="007A6A1A" w:rsidRPr="00167CB8" w:rsidRDefault="007A6A1A" w:rsidP="007A6A1A">
            <w:pPr>
              <w:spacing w:after="0"/>
              <w:jc w:val="right"/>
            </w:pPr>
            <w:r w:rsidRPr="00167CB8">
              <w:rPr>
                <w:color w:val="000000"/>
              </w:rPr>
              <w:t>2,082,241</w:t>
            </w:r>
          </w:p>
        </w:tc>
        <w:tc>
          <w:tcPr>
            <w:tcW w:w="1803" w:type="dxa"/>
            <w:tcBorders>
              <w:top w:val="nil"/>
              <w:left w:val="nil"/>
              <w:bottom w:val="nil"/>
              <w:right w:val="nil"/>
            </w:tcBorders>
            <w:shd w:val="clear" w:color="auto" w:fill="auto"/>
            <w:vAlign w:val="center"/>
          </w:tcPr>
          <w:p w14:paraId="07F90CEC" w14:textId="77777777" w:rsidR="007A6A1A" w:rsidRPr="00167CB8" w:rsidRDefault="007A6A1A" w:rsidP="007A6A1A">
            <w:pPr>
              <w:spacing w:after="0"/>
              <w:jc w:val="right"/>
            </w:pPr>
            <w:r w:rsidRPr="00167CB8">
              <w:rPr>
                <w:color w:val="000000"/>
              </w:rPr>
              <w:t>69</w:t>
            </w:r>
          </w:p>
        </w:tc>
        <w:tc>
          <w:tcPr>
            <w:tcW w:w="1804" w:type="dxa"/>
            <w:tcBorders>
              <w:top w:val="nil"/>
              <w:left w:val="nil"/>
              <w:bottom w:val="nil"/>
              <w:right w:val="single" w:sz="4" w:space="0" w:color="auto"/>
            </w:tcBorders>
            <w:shd w:val="clear" w:color="auto" w:fill="auto"/>
            <w:vAlign w:val="center"/>
          </w:tcPr>
          <w:p w14:paraId="787179CC" w14:textId="77777777" w:rsidR="007A6A1A" w:rsidRPr="00167CB8" w:rsidRDefault="007A6A1A" w:rsidP="007A6A1A">
            <w:pPr>
              <w:spacing w:after="0"/>
              <w:jc w:val="right"/>
            </w:pPr>
            <w:r w:rsidRPr="00167CB8">
              <w:rPr>
                <w:color w:val="000000"/>
              </w:rPr>
              <w:t>89,639</w:t>
            </w:r>
          </w:p>
        </w:tc>
      </w:tr>
      <w:tr w:rsidR="007A6A1A" w:rsidRPr="00167CB8" w14:paraId="537A4607" w14:textId="77777777">
        <w:trPr>
          <w:trHeight w:val="340"/>
        </w:trPr>
        <w:tc>
          <w:tcPr>
            <w:tcW w:w="1803" w:type="dxa"/>
            <w:vAlign w:val="center"/>
          </w:tcPr>
          <w:p w14:paraId="0C03A80F" w14:textId="77777777" w:rsidR="007A6A1A" w:rsidRPr="00167CB8" w:rsidRDefault="007A6A1A" w:rsidP="007A6A1A">
            <w:pPr>
              <w:spacing w:after="0"/>
            </w:pPr>
            <w:r w:rsidRPr="00167CB8">
              <w:t>Sep-20</w:t>
            </w:r>
          </w:p>
        </w:tc>
        <w:tc>
          <w:tcPr>
            <w:tcW w:w="1803" w:type="dxa"/>
            <w:tcBorders>
              <w:top w:val="nil"/>
              <w:left w:val="nil"/>
              <w:bottom w:val="nil"/>
              <w:right w:val="nil"/>
            </w:tcBorders>
            <w:shd w:val="clear" w:color="auto" w:fill="auto"/>
            <w:vAlign w:val="center"/>
          </w:tcPr>
          <w:p w14:paraId="0352EF77" w14:textId="77777777" w:rsidR="007A6A1A" w:rsidRPr="00167CB8" w:rsidRDefault="007A6A1A" w:rsidP="007A6A1A">
            <w:pPr>
              <w:spacing w:after="0"/>
              <w:jc w:val="right"/>
            </w:pPr>
            <w:r w:rsidRPr="00167CB8">
              <w:rPr>
                <w:color w:val="000000"/>
              </w:rPr>
              <w:t>9,771</w:t>
            </w:r>
          </w:p>
        </w:tc>
        <w:tc>
          <w:tcPr>
            <w:tcW w:w="1803" w:type="dxa"/>
            <w:tcBorders>
              <w:top w:val="nil"/>
              <w:left w:val="nil"/>
              <w:bottom w:val="nil"/>
              <w:right w:val="nil"/>
            </w:tcBorders>
            <w:shd w:val="clear" w:color="auto" w:fill="auto"/>
            <w:vAlign w:val="center"/>
          </w:tcPr>
          <w:p w14:paraId="1FB95B8F" w14:textId="77777777" w:rsidR="007A6A1A" w:rsidRPr="00167CB8" w:rsidRDefault="007A6A1A" w:rsidP="007A6A1A">
            <w:pPr>
              <w:spacing w:after="0"/>
              <w:jc w:val="right"/>
            </w:pPr>
            <w:r w:rsidRPr="00167CB8">
              <w:rPr>
                <w:color w:val="000000"/>
              </w:rPr>
              <w:t>1,811,580</w:t>
            </w:r>
          </w:p>
        </w:tc>
        <w:tc>
          <w:tcPr>
            <w:tcW w:w="1803" w:type="dxa"/>
            <w:tcBorders>
              <w:top w:val="nil"/>
              <w:left w:val="nil"/>
              <w:bottom w:val="nil"/>
              <w:right w:val="nil"/>
            </w:tcBorders>
            <w:shd w:val="clear" w:color="auto" w:fill="auto"/>
            <w:vAlign w:val="center"/>
          </w:tcPr>
          <w:p w14:paraId="24FA40B0" w14:textId="77777777" w:rsidR="007A6A1A" w:rsidRPr="00167CB8" w:rsidRDefault="007A6A1A" w:rsidP="007A6A1A">
            <w:pPr>
              <w:spacing w:after="0"/>
              <w:jc w:val="right"/>
            </w:pPr>
            <w:r w:rsidRPr="00167CB8">
              <w:rPr>
                <w:color w:val="000000"/>
              </w:rPr>
              <w:t>56</w:t>
            </w:r>
          </w:p>
        </w:tc>
        <w:tc>
          <w:tcPr>
            <w:tcW w:w="1804" w:type="dxa"/>
            <w:tcBorders>
              <w:top w:val="nil"/>
              <w:left w:val="nil"/>
              <w:bottom w:val="nil"/>
              <w:right w:val="single" w:sz="4" w:space="0" w:color="auto"/>
            </w:tcBorders>
            <w:shd w:val="clear" w:color="auto" w:fill="auto"/>
            <w:vAlign w:val="center"/>
          </w:tcPr>
          <w:p w14:paraId="2F907236" w14:textId="77777777" w:rsidR="007A6A1A" w:rsidRPr="00167CB8" w:rsidRDefault="007A6A1A" w:rsidP="007A6A1A">
            <w:pPr>
              <w:spacing w:after="0"/>
              <w:jc w:val="right"/>
            </w:pPr>
            <w:r w:rsidRPr="00167CB8">
              <w:rPr>
                <w:color w:val="000000"/>
              </w:rPr>
              <w:t>83,524</w:t>
            </w:r>
          </w:p>
        </w:tc>
      </w:tr>
      <w:tr w:rsidR="007A6A1A" w:rsidRPr="00167CB8" w14:paraId="7BAF5A7E" w14:textId="77777777">
        <w:trPr>
          <w:trHeight w:val="340"/>
        </w:trPr>
        <w:tc>
          <w:tcPr>
            <w:tcW w:w="1803" w:type="dxa"/>
            <w:vAlign w:val="center"/>
          </w:tcPr>
          <w:p w14:paraId="14DD4E2A" w14:textId="77777777" w:rsidR="007A6A1A" w:rsidRPr="00167CB8" w:rsidRDefault="007A6A1A" w:rsidP="007A6A1A">
            <w:pPr>
              <w:spacing w:after="0"/>
            </w:pPr>
            <w:r w:rsidRPr="00167CB8">
              <w:t>Sep-21</w:t>
            </w:r>
          </w:p>
        </w:tc>
        <w:tc>
          <w:tcPr>
            <w:tcW w:w="1803" w:type="dxa"/>
            <w:tcBorders>
              <w:top w:val="nil"/>
              <w:left w:val="nil"/>
              <w:bottom w:val="nil"/>
              <w:right w:val="nil"/>
            </w:tcBorders>
            <w:shd w:val="clear" w:color="auto" w:fill="auto"/>
            <w:vAlign w:val="center"/>
          </w:tcPr>
          <w:p w14:paraId="090C7003" w14:textId="77777777" w:rsidR="007A6A1A" w:rsidRPr="00167CB8" w:rsidRDefault="007A6A1A" w:rsidP="007A6A1A">
            <w:pPr>
              <w:spacing w:after="0"/>
              <w:jc w:val="right"/>
            </w:pPr>
            <w:r w:rsidRPr="00167CB8">
              <w:rPr>
                <w:color w:val="000000"/>
              </w:rPr>
              <w:t>10,080</w:t>
            </w:r>
          </w:p>
        </w:tc>
        <w:tc>
          <w:tcPr>
            <w:tcW w:w="1803" w:type="dxa"/>
            <w:tcBorders>
              <w:top w:val="nil"/>
              <w:left w:val="nil"/>
              <w:bottom w:val="nil"/>
              <w:right w:val="nil"/>
            </w:tcBorders>
            <w:shd w:val="clear" w:color="auto" w:fill="auto"/>
            <w:vAlign w:val="center"/>
          </w:tcPr>
          <w:p w14:paraId="3D31D2E5" w14:textId="77777777" w:rsidR="007A6A1A" w:rsidRPr="00167CB8" w:rsidRDefault="007A6A1A" w:rsidP="007A6A1A">
            <w:pPr>
              <w:spacing w:after="0"/>
              <w:jc w:val="right"/>
            </w:pPr>
            <w:r w:rsidRPr="00167CB8">
              <w:rPr>
                <w:color w:val="000000"/>
              </w:rPr>
              <w:t>1,620,224</w:t>
            </w:r>
          </w:p>
        </w:tc>
        <w:tc>
          <w:tcPr>
            <w:tcW w:w="1803" w:type="dxa"/>
            <w:tcBorders>
              <w:top w:val="nil"/>
              <w:left w:val="nil"/>
              <w:bottom w:val="nil"/>
              <w:right w:val="nil"/>
            </w:tcBorders>
            <w:shd w:val="clear" w:color="auto" w:fill="auto"/>
            <w:vAlign w:val="center"/>
          </w:tcPr>
          <w:p w14:paraId="3B7470AF" w14:textId="77777777" w:rsidR="007A6A1A" w:rsidRPr="00167CB8" w:rsidRDefault="007A6A1A" w:rsidP="007A6A1A">
            <w:pPr>
              <w:spacing w:after="0"/>
              <w:jc w:val="right"/>
            </w:pPr>
            <w:r w:rsidRPr="00167CB8">
              <w:rPr>
                <w:color w:val="000000"/>
              </w:rPr>
              <w:t>41</w:t>
            </w:r>
          </w:p>
        </w:tc>
        <w:tc>
          <w:tcPr>
            <w:tcW w:w="1804" w:type="dxa"/>
            <w:tcBorders>
              <w:top w:val="nil"/>
              <w:left w:val="nil"/>
              <w:bottom w:val="nil"/>
              <w:right w:val="single" w:sz="4" w:space="0" w:color="auto"/>
            </w:tcBorders>
            <w:shd w:val="clear" w:color="auto" w:fill="auto"/>
            <w:vAlign w:val="center"/>
          </w:tcPr>
          <w:p w14:paraId="7D13CD13" w14:textId="77777777" w:rsidR="007A6A1A" w:rsidRPr="00167CB8" w:rsidRDefault="007A6A1A" w:rsidP="007A6A1A">
            <w:pPr>
              <w:spacing w:after="0"/>
              <w:jc w:val="right"/>
            </w:pPr>
            <w:r w:rsidRPr="00167CB8">
              <w:rPr>
                <w:color w:val="000000"/>
              </w:rPr>
              <w:t>27,696</w:t>
            </w:r>
          </w:p>
        </w:tc>
      </w:tr>
      <w:tr w:rsidR="007A6A1A" w:rsidRPr="00167CB8" w14:paraId="06CA2876" w14:textId="77777777">
        <w:trPr>
          <w:trHeight w:val="340"/>
        </w:trPr>
        <w:tc>
          <w:tcPr>
            <w:tcW w:w="1803" w:type="dxa"/>
            <w:vAlign w:val="center"/>
          </w:tcPr>
          <w:p w14:paraId="112F9913" w14:textId="77777777" w:rsidR="007A6A1A" w:rsidRPr="00167CB8" w:rsidRDefault="007A6A1A" w:rsidP="007A6A1A">
            <w:pPr>
              <w:spacing w:after="0"/>
            </w:pPr>
            <w:r w:rsidRPr="00167CB8">
              <w:t>Sep-22</w:t>
            </w:r>
          </w:p>
        </w:tc>
        <w:tc>
          <w:tcPr>
            <w:tcW w:w="1803" w:type="dxa"/>
            <w:tcBorders>
              <w:top w:val="nil"/>
              <w:left w:val="nil"/>
              <w:bottom w:val="nil"/>
              <w:right w:val="nil"/>
            </w:tcBorders>
            <w:shd w:val="clear" w:color="auto" w:fill="auto"/>
            <w:vAlign w:val="center"/>
          </w:tcPr>
          <w:p w14:paraId="6A1026C5" w14:textId="77777777" w:rsidR="007A6A1A" w:rsidRPr="00167CB8" w:rsidRDefault="007A6A1A" w:rsidP="007A6A1A">
            <w:pPr>
              <w:spacing w:after="0"/>
              <w:jc w:val="right"/>
            </w:pPr>
            <w:r w:rsidRPr="00167CB8">
              <w:rPr>
                <w:color w:val="000000"/>
              </w:rPr>
              <w:t>10,919</w:t>
            </w:r>
          </w:p>
        </w:tc>
        <w:tc>
          <w:tcPr>
            <w:tcW w:w="1803" w:type="dxa"/>
            <w:tcBorders>
              <w:top w:val="nil"/>
              <w:left w:val="nil"/>
              <w:bottom w:val="nil"/>
              <w:right w:val="nil"/>
            </w:tcBorders>
            <w:shd w:val="clear" w:color="auto" w:fill="auto"/>
            <w:vAlign w:val="center"/>
          </w:tcPr>
          <w:p w14:paraId="08AC4E9A" w14:textId="77777777" w:rsidR="007A6A1A" w:rsidRPr="00167CB8" w:rsidRDefault="007A6A1A" w:rsidP="007A6A1A">
            <w:pPr>
              <w:spacing w:after="0"/>
              <w:jc w:val="right"/>
            </w:pPr>
            <w:r w:rsidRPr="00167CB8">
              <w:rPr>
                <w:color w:val="000000"/>
              </w:rPr>
              <w:t>1,673,274</w:t>
            </w:r>
          </w:p>
        </w:tc>
        <w:tc>
          <w:tcPr>
            <w:tcW w:w="1803" w:type="dxa"/>
            <w:tcBorders>
              <w:top w:val="nil"/>
              <w:left w:val="nil"/>
              <w:bottom w:val="nil"/>
              <w:right w:val="nil"/>
            </w:tcBorders>
            <w:shd w:val="clear" w:color="auto" w:fill="auto"/>
            <w:vAlign w:val="center"/>
          </w:tcPr>
          <w:p w14:paraId="55502729" w14:textId="77777777" w:rsidR="007A6A1A" w:rsidRPr="00167CB8" w:rsidRDefault="007A6A1A" w:rsidP="007A6A1A">
            <w:pPr>
              <w:spacing w:after="0"/>
              <w:jc w:val="right"/>
            </w:pPr>
            <w:r w:rsidRPr="00167CB8">
              <w:rPr>
                <w:color w:val="000000"/>
              </w:rPr>
              <w:t>50</w:t>
            </w:r>
          </w:p>
        </w:tc>
        <w:tc>
          <w:tcPr>
            <w:tcW w:w="1804" w:type="dxa"/>
            <w:tcBorders>
              <w:top w:val="nil"/>
              <w:left w:val="nil"/>
              <w:bottom w:val="nil"/>
              <w:right w:val="single" w:sz="4" w:space="0" w:color="auto"/>
            </w:tcBorders>
            <w:shd w:val="clear" w:color="auto" w:fill="auto"/>
            <w:vAlign w:val="center"/>
          </w:tcPr>
          <w:p w14:paraId="7EFB3917" w14:textId="77777777" w:rsidR="007A6A1A" w:rsidRPr="00167CB8" w:rsidRDefault="007A6A1A" w:rsidP="007A6A1A">
            <w:pPr>
              <w:spacing w:after="0"/>
              <w:jc w:val="right"/>
            </w:pPr>
            <w:r w:rsidRPr="00167CB8">
              <w:rPr>
                <w:color w:val="000000"/>
              </w:rPr>
              <w:t>50,780</w:t>
            </w:r>
          </w:p>
        </w:tc>
      </w:tr>
      <w:tr w:rsidR="007A6A1A" w:rsidRPr="00167CB8" w14:paraId="245F5A0C" w14:textId="77777777">
        <w:trPr>
          <w:trHeight w:val="340"/>
        </w:trPr>
        <w:tc>
          <w:tcPr>
            <w:tcW w:w="1803" w:type="dxa"/>
            <w:vAlign w:val="center"/>
          </w:tcPr>
          <w:p w14:paraId="147EE926" w14:textId="77777777" w:rsidR="007A6A1A" w:rsidRPr="00167CB8" w:rsidRDefault="007A6A1A" w:rsidP="007A6A1A">
            <w:pPr>
              <w:spacing w:after="0"/>
            </w:pPr>
            <w:r w:rsidRPr="00167CB8">
              <w:t>Sep-23</w:t>
            </w:r>
          </w:p>
        </w:tc>
        <w:tc>
          <w:tcPr>
            <w:tcW w:w="1803" w:type="dxa"/>
            <w:tcBorders>
              <w:top w:val="nil"/>
              <w:left w:val="nil"/>
              <w:bottom w:val="nil"/>
              <w:right w:val="nil"/>
            </w:tcBorders>
            <w:shd w:val="clear" w:color="auto" w:fill="auto"/>
            <w:vAlign w:val="center"/>
          </w:tcPr>
          <w:p w14:paraId="63C305B5" w14:textId="77777777" w:rsidR="007A6A1A" w:rsidRPr="00167CB8" w:rsidRDefault="007A6A1A" w:rsidP="007A6A1A">
            <w:pPr>
              <w:spacing w:after="0"/>
              <w:jc w:val="right"/>
            </w:pPr>
            <w:r w:rsidRPr="00167CB8">
              <w:rPr>
                <w:color w:val="000000"/>
              </w:rPr>
              <w:t>9,758</w:t>
            </w:r>
          </w:p>
        </w:tc>
        <w:tc>
          <w:tcPr>
            <w:tcW w:w="1803" w:type="dxa"/>
            <w:tcBorders>
              <w:top w:val="nil"/>
              <w:left w:val="nil"/>
              <w:bottom w:val="nil"/>
              <w:right w:val="nil"/>
            </w:tcBorders>
            <w:shd w:val="clear" w:color="auto" w:fill="auto"/>
            <w:vAlign w:val="center"/>
          </w:tcPr>
          <w:p w14:paraId="4BBEE5B7" w14:textId="77777777" w:rsidR="007A6A1A" w:rsidRPr="00167CB8" w:rsidRDefault="007A6A1A" w:rsidP="007A6A1A">
            <w:pPr>
              <w:spacing w:after="0"/>
              <w:jc w:val="right"/>
            </w:pPr>
            <w:r w:rsidRPr="00167CB8">
              <w:rPr>
                <w:color w:val="000000"/>
              </w:rPr>
              <w:t>1,729,536</w:t>
            </w:r>
          </w:p>
        </w:tc>
        <w:tc>
          <w:tcPr>
            <w:tcW w:w="1803" w:type="dxa"/>
            <w:tcBorders>
              <w:top w:val="nil"/>
              <w:left w:val="nil"/>
              <w:bottom w:val="nil"/>
              <w:right w:val="nil"/>
            </w:tcBorders>
            <w:shd w:val="clear" w:color="auto" w:fill="auto"/>
            <w:vAlign w:val="center"/>
          </w:tcPr>
          <w:p w14:paraId="757F8C12" w14:textId="77777777" w:rsidR="007A6A1A" w:rsidRPr="00167CB8" w:rsidRDefault="007A6A1A" w:rsidP="007A6A1A">
            <w:pPr>
              <w:spacing w:after="0"/>
              <w:jc w:val="right"/>
            </w:pPr>
            <w:r w:rsidRPr="00167CB8">
              <w:rPr>
                <w:color w:val="000000"/>
              </w:rPr>
              <w:t>46</w:t>
            </w:r>
          </w:p>
        </w:tc>
        <w:tc>
          <w:tcPr>
            <w:tcW w:w="1804" w:type="dxa"/>
            <w:tcBorders>
              <w:top w:val="nil"/>
              <w:left w:val="nil"/>
              <w:bottom w:val="nil"/>
              <w:right w:val="single" w:sz="4" w:space="0" w:color="auto"/>
            </w:tcBorders>
            <w:shd w:val="clear" w:color="auto" w:fill="auto"/>
            <w:vAlign w:val="center"/>
          </w:tcPr>
          <w:p w14:paraId="392D92A3" w14:textId="77777777" w:rsidR="007A6A1A" w:rsidRPr="00167CB8" w:rsidRDefault="007A6A1A" w:rsidP="007A6A1A">
            <w:pPr>
              <w:spacing w:after="0"/>
              <w:jc w:val="right"/>
            </w:pPr>
            <w:r w:rsidRPr="00167CB8">
              <w:rPr>
                <w:color w:val="000000"/>
              </w:rPr>
              <w:t>76,005</w:t>
            </w:r>
          </w:p>
        </w:tc>
      </w:tr>
      <w:tr w:rsidR="007A6A1A" w:rsidRPr="00167CB8" w14:paraId="2449B55A" w14:textId="77777777">
        <w:trPr>
          <w:trHeight w:val="340"/>
        </w:trPr>
        <w:tc>
          <w:tcPr>
            <w:tcW w:w="1803" w:type="dxa"/>
            <w:tcBorders>
              <w:bottom w:val="single" w:sz="4" w:space="0" w:color="auto"/>
            </w:tcBorders>
            <w:vAlign w:val="center"/>
          </w:tcPr>
          <w:p w14:paraId="790E483C" w14:textId="77777777" w:rsidR="007A6A1A" w:rsidRPr="00167CB8" w:rsidRDefault="007A6A1A" w:rsidP="007A6A1A">
            <w:pPr>
              <w:spacing w:after="0"/>
            </w:pPr>
            <w:r w:rsidRPr="00167CB8">
              <w:t>Sep-24</w:t>
            </w:r>
          </w:p>
        </w:tc>
        <w:tc>
          <w:tcPr>
            <w:tcW w:w="1803" w:type="dxa"/>
            <w:tcBorders>
              <w:top w:val="nil"/>
              <w:left w:val="nil"/>
              <w:bottom w:val="single" w:sz="4" w:space="0" w:color="auto"/>
              <w:right w:val="nil"/>
            </w:tcBorders>
            <w:shd w:val="clear" w:color="auto" w:fill="auto"/>
            <w:vAlign w:val="center"/>
          </w:tcPr>
          <w:p w14:paraId="33F629BF" w14:textId="77777777" w:rsidR="007A6A1A" w:rsidRPr="00167CB8" w:rsidRDefault="007A6A1A" w:rsidP="007A6A1A">
            <w:pPr>
              <w:spacing w:after="0"/>
              <w:jc w:val="right"/>
            </w:pPr>
            <w:r w:rsidRPr="00167CB8">
              <w:rPr>
                <w:color w:val="000000"/>
              </w:rPr>
              <w:t>10,023</w:t>
            </w:r>
          </w:p>
        </w:tc>
        <w:tc>
          <w:tcPr>
            <w:tcW w:w="1803" w:type="dxa"/>
            <w:tcBorders>
              <w:top w:val="nil"/>
              <w:left w:val="nil"/>
              <w:bottom w:val="single" w:sz="4" w:space="0" w:color="auto"/>
              <w:right w:val="nil"/>
            </w:tcBorders>
            <w:shd w:val="clear" w:color="auto" w:fill="auto"/>
            <w:vAlign w:val="center"/>
          </w:tcPr>
          <w:p w14:paraId="05AC5949" w14:textId="77777777" w:rsidR="007A6A1A" w:rsidRPr="00167CB8" w:rsidRDefault="007A6A1A" w:rsidP="007A6A1A">
            <w:pPr>
              <w:spacing w:after="0"/>
              <w:jc w:val="right"/>
            </w:pPr>
            <w:r w:rsidRPr="00167CB8">
              <w:rPr>
                <w:color w:val="000000"/>
              </w:rPr>
              <w:t>2,087,896</w:t>
            </w:r>
          </w:p>
        </w:tc>
        <w:tc>
          <w:tcPr>
            <w:tcW w:w="1803" w:type="dxa"/>
            <w:tcBorders>
              <w:top w:val="nil"/>
              <w:left w:val="nil"/>
              <w:bottom w:val="single" w:sz="4" w:space="0" w:color="auto"/>
              <w:right w:val="nil"/>
            </w:tcBorders>
            <w:shd w:val="clear" w:color="auto" w:fill="auto"/>
            <w:vAlign w:val="center"/>
          </w:tcPr>
          <w:p w14:paraId="3FE9F147" w14:textId="77777777" w:rsidR="007A6A1A" w:rsidRPr="00167CB8" w:rsidRDefault="007A6A1A" w:rsidP="007A6A1A">
            <w:pPr>
              <w:spacing w:after="0"/>
              <w:jc w:val="right"/>
            </w:pPr>
            <w:r w:rsidRPr="00167CB8">
              <w:rPr>
                <w:color w:val="000000"/>
              </w:rPr>
              <w:t>56</w:t>
            </w:r>
          </w:p>
        </w:tc>
        <w:tc>
          <w:tcPr>
            <w:tcW w:w="1804" w:type="dxa"/>
            <w:tcBorders>
              <w:top w:val="nil"/>
              <w:left w:val="nil"/>
              <w:bottom w:val="single" w:sz="4" w:space="0" w:color="auto"/>
              <w:right w:val="single" w:sz="4" w:space="0" w:color="auto"/>
            </w:tcBorders>
            <w:shd w:val="clear" w:color="auto" w:fill="auto"/>
            <w:vAlign w:val="center"/>
          </w:tcPr>
          <w:p w14:paraId="0CDA0DA2" w14:textId="1DEBDFDA" w:rsidR="007A6A1A" w:rsidRPr="00167CB8" w:rsidRDefault="007A6A1A" w:rsidP="007A6A1A">
            <w:pPr>
              <w:spacing w:after="0"/>
              <w:jc w:val="right"/>
            </w:pPr>
            <w:r w:rsidRPr="00167CB8">
              <w:rPr>
                <w:color w:val="000000"/>
              </w:rPr>
              <w:t>114,725</w:t>
            </w:r>
          </w:p>
        </w:tc>
      </w:tr>
    </w:tbl>
    <w:p w14:paraId="4C717575" w14:textId="77777777" w:rsidR="00B00150" w:rsidRPr="00167CB8" w:rsidRDefault="00B00150" w:rsidP="00B00150">
      <w:pPr>
        <w:pStyle w:val="Source"/>
      </w:pPr>
      <w:r w:rsidRPr="00167CB8">
        <w:rPr>
          <w:b/>
          <w:bCs/>
        </w:rPr>
        <w:t>Source:</w:t>
      </w:r>
      <w:r w:rsidRPr="00167CB8">
        <w:t xml:space="preserve"> DEWR Workplace Agreements Database.</w:t>
      </w:r>
    </w:p>
    <w:p w14:paraId="3ABF0BB2" w14:textId="77777777" w:rsidR="007A6A1A" w:rsidRPr="00167CB8" w:rsidRDefault="007A6A1A" w:rsidP="007A6A1A"/>
    <w:p w14:paraId="4E3088E0" w14:textId="77777777" w:rsidR="007A6A1A" w:rsidRPr="00167CB8" w:rsidRDefault="007A6A1A" w:rsidP="007A6A1A">
      <w:pPr>
        <w:rPr>
          <w:rFonts w:cs="Calibri"/>
          <w:i/>
          <w:color w:val="404246" w:themeColor="text2"/>
          <w:sz w:val="20"/>
          <w:szCs w:val="20"/>
        </w:rPr>
      </w:pPr>
      <w:bookmarkStart w:id="849" w:name="_Toc187514223"/>
      <w:r w:rsidRPr="00167CB8">
        <w:br w:type="page"/>
      </w:r>
    </w:p>
    <w:p w14:paraId="648F00DD" w14:textId="77777777" w:rsidR="0005239E" w:rsidRDefault="007A6A1A" w:rsidP="00177CA8">
      <w:pPr>
        <w:pStyle w:val="Caption"/>
      </w:pPr>
      <w:bookmarkStart w:id="850" w:name="_Toc189310837"/>
      <w:r w:rsidRPr="00167CB8">
        <w:lastRenderedPageBreak/>
        <w:t xml:space="preserve">Figure </w:t>
      </w:r>
      <w:r w:rsidR="007868E4" w:rsidRPr="00167CB8">
        <w:t>49</w:t>
      </w:r>
      <w:r w:rsidRPr="00167CB8">
        <w:t>: Trends in approval of union and non-union agreements</w:t>
      </w:r>
      <w:bookmarkEnd w:id="849"/>
      <w:r w:rsidRPr="00167CB8">
        <w:t>, year to September quarter</w:t>
      </w:r>
      <w:bookmarkEnd w:id="850"/>
    </w:p>
    <w:p w14:paraId="36F3DC1C" w14:textId="1F282331" w:rsidR="000D5139" w:rsidRPr="00177CA8" w:rsidRDefault="0005239E" w:rsidP="00177CA8">
      <w:pPr>
        <w:pStyle w:val="Caption"/>
      </w:pPr>
      <w:r w:rsidRPr="0005239E">
        <w:rPr>
          <w:noProof/>
        </w:rPr>
        <w:drawing>
          <wp:inline distT="0" distB="0" distL="0" distR="0" wp14:anchorId="1741EC15" wp14:editId="3C1F7DC1">
            <wp:extent cx="5904230" cy="4753610"/>
            <wp:effectExtent l="0" t="0" r="1270" b="8890"/>
            <wp:docPr id="1044939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39160" name=""/>
                    <pic:cNvPicPr/>
                  </pic:nvPicPr>
                  <pic:blipFill>
                    <a:blip r:embed="rId86"/>
                    <a:stretch>
                      <a:fillRect/>
                    </a:stretch>
                  </pic:blipFill>
                  <pic:spPr>
                    <a:xfrm>
                      <a:off x="0" y="0"/>
                      <a:ext cx="5904230" cy="4753610"/>
                    </a:xfrm>
                    <a:prstGeom prst="rect">
                      <a:avLst/>
                    </a:prstGeom>
                  </pic:spPr>
                </pic:pic>
              </a:graphicData>
            </a:graphic>
          </wp:inline>
        </w:drawing>
      </w:r>
    </w:p>
    <w:p w14:paraId="0F1D393E" w14:textId="75E5068C" w:rsidR="007A6A1A" w:rsidRPr="00167CB8" w:rsidRDefault="007A6A1A" w:rsidP="000D5139">
      <w:pPr>
        <w:pStyle w:val="Source"/>
      </w:pPr>
      <w:r w:rsidRPr="00167CB8">
        <w:rPr>
          <w:b/>
        </w:rPr>
        <w:t>Source:</w:t>
      </w:r>
      <w:r w:rsidRPr="00167CB8">
        <w:t xml:space="preserve"> DEWR Workplace Agreement Database</w:t>
      </w:r>
      <w:r w:rsidR="000D5139" w:rsidRPr="00167CB8">
        <w:t>.</w:t>
      </w:r>
    </w:p>
    <w:p w14:paraId="6F29B83E" w14:textId="77777777" w:rsidR="007A6A1A" w:rsidRPr="00167CB8" w:rsidRDefault="007A6A1A" w:rsidP="000D5139">
      <w:pPr>
        <w:pStyle w:val="Source"/>
      </w:pPr>
      <w:r w:rsidRPr="00167CB8">
        <w:rPr>
          <w:b/>
          <w:bCs/>
        </w:rPr>
        <w:t>Alt text:</w:t>
      </w:r>
      <w:r w:rsidRPr="00167CB8">
        <w:t xml:space="preserve"> A combination chart showing the number and coverage of new agreements approved in the year to the September quarters from 2010 to 2024, by union status. The left hand side axis (columns) shows the number of union and non-union agreements approved. The right hand side axis (lines) shows the number of employees covered by the union and non-union agreements approved. In the year to the September 2024 quarter 3,549 union agreements were approved, covering 1,218,842 employees. In that same period 868 non-union agreements were approved, covering 39,480 employees.</w:t>
      </w:r>
    </w:p>
    <w:p w14:paraId="05B3A8CC" w14:textId="77777777" w:rsidR="007A6A1A" w:rsidRPr="00167CB8" w:rsidRDefault="007A6A1A" w:rsidP="007A6A1A">
      <w:pPr>
        <w:spacing w:after="160"/>
        <w:rPr>
          <w:b/>
          <w:iCs/>
          <w:color w:val="404246" w:themeColor="text2"/>
          <w:szCs w:val="18"/>
        </w:rPr>
      </w:pPr>
      <w:r w:rsidRPr="00167CB8">
        <w:br w:type="page"/>
      </w:r>
    </w:p>
    <w:p w14:paraId="585F5587" w14:textId="0EBB0182" w:rsidR="007A6A1A" w:rsidRDefault="007A6A1A" w:rsidP="00470AB9">
      <w:pPr>
        <w:pStyle w:val="Caption"/>
      </w:pPr>
      <w:bookmarkStart w:id="851" w:name="_Toc189310838"/>
      <w:r w:rsidRPr="00167CB8">
        <w:lastRenderedPageBreak/>
        <w:t xml:space="preserve">Figure </w:t>
      </w:r>
      <w:r w:rsidR="0078443A" w:rsidRPr="00167CB8">
        <w:t>50</w:t>
      </w:r>
      <w:r w:rsidRPr="00167CB8">
        <w:t>: Trends in enterprise agreement approvals by industry</w:t>
      </w:r>
      <w:r w:rsidR="000D5139" w:rsidRPr="00167CB8">
        <w:t>, September 2009 to September 2024</w:t>
      </w:r>
      <w:bookmarkEnd w:id="851"/>
    </w:p>
    <w:p w14:paraId="20898703" w14:textId="22696A43" w:rsidR="0005239E" w:rsidRPr="0005239E" w:rsidRDefault="0005239E" w:rsidP="0005239E">
      <w:pPr>
        <w:rPr>
          <w:lang w:val="en-US"/>
        </w:rPr>
      </w:pPr>
      <w:r w:rsidRPr="0005239E">
        <w:rPr>
          <w:noProof/>
        </w:rPr>
        <w:drawing>
          <wp:inline distT="0" distB="0" distL="0" distR="0" wp14:anchorId="411E4283" wp14:editId="50C0CCAA">
            <wp:extent cx="5904230" cy="4312285"/>
            <wp:effectExtent l="0" t="0" r="1270" b="0"/>
            <wp:docPr id="103193303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33030" name="Picture 1" descr="A graph of different colored lines&#10;&#10;AI-generated content may be incorrect."/>
                    <pic:cNvPicPr/>
                  </pic:nvPicPr>
                  <pic:blipFill>
                    <a:blip r:embed="rId87"/>
                    <a:stretch>
                      <a:fillRect/>
                    </a:stretch>
                  </pic:blipFill>
                  <pic:spPr>
                    <a:xfrm>
                      <a:off x="0" y="0"/>
                      <a:ext cx="5904230" cy="4312285"/>
                    </a:xfrm>
                    <a:prstGeom prst="rect">
                      <a:avLst/>
                    </a:prstGeom>
                  </pic:spPr>
                </pic:pic>
              </a:graphicData>
            </a:graphic>
          </wp:inline>
        </w:drawing>
      </w:r>
    </w:p>
    <w:p w14:paraId="0F020E10" w14:textId="3FEAE257" w:rsidR="007A6A1A" w:rsidRPr="00167CB8" w:rsidRDefault="007A6A1A" w:rsidP="000D5139">
      <w:pPr>
        <w:pStyle w:val="Source"/>
      </w:pPr>
      <w:r w:rsidRPr="00167CB8">
        <w:rPr>
          <w:b/>
        </w:rPr>
        <w:t xml:space="preserve">Source: </w:t>
      </w:r>
      <w:r w:rsidRPr="00167CB8">
        <w:t>DEWR Workplace Agreement Database</w:t>
      </w:r>
      <w:r w:rsidR="000D5139" w:rsidRPr="00167CB8">
        <w:t>.</w:t>
      </w:r>
    </w:p>
    <w:p w14:paraId="5CE22506" w14:textId="3EF5E3BE" w:rsidR="007A6A1A" w:rsidRPr="00167CB8" w:rsidRDefault="007A6A1A" w:rsidP="000D5139">
      <w:pPr>
        <w:pStyle w:val="Source"/>
      </w:pPr>
      <w:r w:rsidRPr="00167CB8">
        <w:rPr>
          <w:b/>
        </w:rPr>
        <w:t>Alt text:</w:t>
      </w:r>
      <w:r w:rsidRPr="00167CB8">
        <w:t xml:space="preserve"> A line graph showing the number of new agreements approved in each quarter from the September 2009 quarter to the September 2024 quarter. The </w:t>
      </w:r>
      <w:r w:rsidR="00786B64" w:rsidRPr="00167CB8">
        <w:t>solid lines</w:t>
      </w:r>
      <w:r w:rsidR="004D06A8" w:rsidRPr="00167CB8">
        <w:t xml:space="preserve"> rep</w:t>
      </w:r>
      <w:r w:rsidR="00A908BA" w:rsidRPr="00167CB8">
        <w:t xml:space="preserve">resent the number of new agreements approved in each quarter in the </w:t>
      </w:r>
      <w:r w:rsidR="000D5139" w:rsidRPr="00167CB8">
        <w:t>c</w:t>
      </w:r>
      <w:r w:rsidR="00A908BA" w:rsidRPr="00167CB8">
        <w:t xml:space="preserve">onstruction, </w:t>
      </w:r>
      <w:r w:rsidR="000D5139" w:rsidRPr="00167CB8">
        <w:t>m</w:t>
      </w:r>
      <w:r w:rsidR="00A908BA" w:rsidRPr="00167CB8">
        <w:t>anufacturing</w:t>
      </w:r>
      <w:r w:rsidR="00A67E14" w:rsidRPr="00167CB8">
        <w:t xml:space="preserve">, and </w:t>
      </w:r>
      <w:r w:rsidR="000D5139" w:rsidRPr="00167CB8">
        <w:t>h</w:t>
      </w:r>
      <w:r w:rsidR="00A67E14" w:rsidRPr="00167CB8">
        <w:t>ealth care and social assistance</w:t>
      </w:r>
      <w:r w:rsidR="001B5599" w:rsidRPr="00167CB8">
        <w:t xml:space="preserve"> industries</w:t>
      </w:r>
      <w:r w:rsidR="00DC5B58" w:rsidRPr="00167CB8">
        <w:t>,</w:t>
      </w:r>
      <w:r w:rsidR="00FE4FC0" w:rsidRPr="00167CB8">
        <w:t xml:space="preserve"> while the dotted lines </w:t>
      </w:r>
      <w:r w:rsidR="001B5599" w:rsidRPr="00167CB8">
        <w:t>reflect the respective linear trends for each industry</w:t>
      </w:r>
      <w:r w:rsidR="00056272" w:rsidRPr="00167CB8">
        <w:t>.</w:t>
      </w:r>
      <w:r w:rsidRPr="00167CB8">
        <w:t xml:space="preserve"> In the September 2024 quarter a total of 937 enterprise agreements were approved, of which 397 were in the construction sector, 159 were in the manufacturing sector</w:t>
      </w:r>
      <w:r w:rsidR="00241BD9" w:rsidRPr="00167CB8">
        <w:t xml:space="preserve"> and </w:t>
      </w:r>
      <w:r w:rsidRPr="00167CB8">
        <w:t>76 were in the health care and social assistance sector.</w:t>
      </w:r>
    </w:p>
    <w:p w14:paraId="678D5AE4" w14:textId="2D9FF1B8" w:rsidR="007A6A1A" w:rsidRPr="00167CB8" w:rsidRDefault="007A6A1A" w:rsidP="007A6A1A">
      <w:pPr>
        <w:spacing w:after="160"/>
        <w:rPr>
          <w:b/>
          <w:iCs/>
          <w:color w:val="404246" w:themeColor="text2"/>
          <w:szCs w:val="18"/>
        </w:rPr>
      </w:pPr>
      <w:r w:rsidRPr="00167CB8">
        <w:br w:type="page"/>
      </w:r>
    </w:p>
    <w:p w14:paraId="34E4D457" w14:textId="37358004" w:rsidR="007A6A1A" w:rsidRDefault="007A6A1A" w:rsidP="00470AB9">
      <w:pPr>
        <w:pStyle w:val="Caption"/>
      </w:pPr>
      <w:bookmarkStart w:id="852" w:name="_Toc189310839"/>
      <w:r w:rsidRPr="00167CB8">
        <w:lastRenderedPageBreak/>
        <w:t xml:space="preserve">Figure </w:t>
      </w:r>
      <w:r w:rsidR="00C649C6" w:rsidRPr="00167CB8">
        <w:t>51</w:t>
      </w:r>
      <w:r w:rsidRPr="00167CB8">
        <w:t>: Trends in enterprise agreement approvals by cohort size</w:t>
      </w:r>
      <w:r w:rsidR="000D5139" w:rsidRPr="00167CB8">
        <w:t>, September 2009 to September 2024</w:t>
      </w:r>
      <w:bookmarkEnd w:id="852"/>
    </w:p>
    <w:p w14:paraId="74BC695C" w14:textId="0F9E73F4" w:rsidR="0005239E" w:rsidRPr="0005239E" w:rsidRDefault="0005239E" w:rsidP="0005239E">
      <w:pPr>
        <w:rPr>
          <w:lang w:val="en-US"/>
        </w:rPr>
      </w:pPr>
      <w:r w:rsidRPr="0005239E">
        <w:rPr>
          <w:noProof/>
        </w:rPr>
        <w:drawing>
          <wp:inline distT="0" distB="0" distL="0" distR="0" wp14:anchorId="4CD30D4A" wp14:editId="68CCCDEF">
            <wp:extent cx="5904230" cy="3971290"/>
            <wp:effectExtent l="0" t="0" r="1270" b="0"/>
            <wp:docPr id="63995597" name="Picture 1" descr="A graph of 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5597" name="Picture 1" descr="A graph of a graph of a number of people&#10;&#10;AI-generated content may be incorrect."/>
                    <pic:cNvPicPr/>
                  </pic:nvPicPr>
                  <pic:blipFill>
                    <a:blip r:embed="rId88"/>
                    <a:stretch>
                      <a:fillRect/>
                    </a:stretch>
                  </pic:blipFill>
                  <pic:spPr>
                    <a:xfrm>
                      <a:off x="0" y="0"/>
                      <a:ext cx="5904230" cy="3971290"/>
                    </a:xfrm>
                    <a:prstGeom prst="rect">
                      <a:avLst/>
                    </a:prstGeom>
                  </pic:spPr>
                </pic:pic>
              </a:graphicData>
            </a:graphic>
          </wp:inline>
        </w:drawing>
      </w:r>
    </w:p>
    <w:p w14:paraId="6DC504D6" w14:textId="479BA011" w:rsidR="007A6A1A" w:rsidRPr="00167CB8" w:rsidRDefault="007A6A1A" w:rsidP="000D5139">
      <w:pPr>
        <w:pStyle w:val="Source"/>
      </w:pPr>
      <w:r w:rsidRPr="00167CB8">
        <w:rPr>
          <w:b/>
        </w:rPr>
        <w:t>Source:</w:t>
      </w:r>
      <w:r w:rsidRPr="00167CB8">
        <w:t xml:space="preserve"> DEWR Workplace Agreements Database</w:t>
      </w:r>
      <w:r w:rsidR="000D5139" w:rsidRPr="00167CB8">
        <w:t>.</w:t>
      </w:r>
    </w:p>
    <w:p w14:paraId="4839636D" w14:textId="7BC463AC" w:rsidR="007A6A1A" w:rsidRPr="00167CB8" w:rsidRDefault="007A6A1A" w:rsidP="000D5139">
      <w:pPr>
        <w:pStyle w:val="Source"/>
      </w:pPr>
      <w:r w:rsidRPr="00167CB8">
        <w:rPr>
          <w:b/>
        </w:rPr>
        <w:t>Alt text:</w:t>
      </w:r>
      <w:r w:rsidRPr="00167CB8">
        <w:t xml:space="preserve"> A line chart showing the number of enterprise agreements approved in each quarter from September 2009 to September 2024, by the size of the employee cohort covered by the agreement. In the September quarter 2024 there were </w:t>
      </w:r>
      <w:r w:rsidR="007B7CEA" w:rsidRPr="00167CB8">
        <w:t>456</w:t>
      </w:r>
      <w:r w:rsidRPr="00167CB8">
        <w:t xml:space="preserve"> enterprise agreements approved that covered </w:t>
      </w:r>
      <w:r w:rsidR="007B7CEA" w:rsidRPr="00167CB8">
        <w:t>24 or fewer</w:t>
      </w:r>
      <w:r w:rsidRPr="00167CB8">
        <w:t xml:space="preserve"> employees, 161 that covered 25 to 49 employees and </w:t>
      </w:r>
      <w:r w:rsidR="007B7CEA" w:rsidRPr="00167CB8">
        <w:t>320</w:t>
      </w:r>
      <w:r w:rsidRPr="00167CB8">
        <w:t xml:space="preserve"> that covered more than </w:t>
      </w:r>
      <w:r w:rsidR="007B7CEA" w:rsidRPr="00167CB8">
        <w:t>5</w:t>
      </w:r>
      <w:r w:rsidRPr="00167CB8">
        <w:t>0 employees.</w:t>
      </w:r>
    </w:p>
    <w:p w14:paraId="00F49CDB" w14:textId="77777777" w:rsidR="007A6A1A" w:rsidRPr="00167CB8" w:rsidRDefault="007A6A1A" w:rsidP="007A6A1A">
      <w:pPr>
        <w:spacing w:after="160"/>
        <w:rPr>
          <w:b/>
          <w:color w:val="404246" w:themeColor="text2"/>
          <w:szCs w:val="18"/>
        </w:rPr>
      </w:pPr>
      <w:r w:rsidRPr="00167CB8">
        <w:t xml:space="preserve"> </w:t>
      </w:r>
      <w:r w:rsidRPr="00167CB8">
        <w:br w:type="page"/>
      </w:r>
    </w:p>
    <w:p w14:paraId="4332383A" w14:textId="1A7CDE3D" w:rsidR="007A6A1A" w:rsidRDefault="007A6A1A" w:rsidP="00470AB9">
      <w:pPr>
        <w:pStyle w:val="Caption"/>
      </w:pPr>
      <w:bookmarkStart w:id="853" w:name="_Toc186906044"/>
      <w:bookmarkStart w:id="854" w:name="_Toc187514224"/>
      <w:bookmarkStart w:id="855" w:name="_Toc189310840"/>
      <w:r w:rsidRPr="00167CB8">
        <w:lastRenderedPageBreak/>
        <w:t xml:space="preserve">Figure </w:t>
      </w:r>
      <w:r w:rsidR="009E4149" w:rsidRPr="00167CB8">
        <w:t>52</w:t>
      </w:r>
      <w:r w:rsidRPr="00167CB8">
        <w:t>: Number of current enterprise agreements and employees covered, September quarters 2009 to 2024</w:t>
      </w:r>
      <w:bookmarkEnd w:id="853"/>
      <w:bookmarkEnd w:id="854"/>
      <w:bookmarkEnd w:id="855"/>
    </w:p>
    <w:p w14:paraId="42B51B5E" w14:textId="58DD5648" w:rsidR="00E53331" w:rsidRPr="00E53331" w:rsidRDefault="00E53331" w:rsidP="00E53331">
      <w:pPr>
        <w:rPr>
          <w:lang w:val="en-US"/>
        </w:rPr>
      </w:pPr>
      <w:r>
        <w:rPr>
          <w:noProof/>
          <w:lang w:val="en-US"/>
        </w:rPr>
        <w:drawing>
          <wp:inline distT="0" distB="0" distL="0" distR="0" wp14:anchorId="2B383CDF" wp14:editId="5BE88C1A">
            <wp:extent cx="5633186" cy="3586038"/>
            <wp:effectExtent l="0" t="0" r="5715" b="0"/>
            <wp:docPr id="1466025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44673" cy="3593350"/>
                    </a:xfrm>
                    <a:prstGeom prst="rect">
                      <a:avLst/>
                    </a:prstGeom>
                    <a:noFill/>
                  </pic:spPr>
                </pic:pic>
              </a:graphicData>
            </a:graphic>
          </wp:inline>
        </w:drawing>
      </w:r>
    </w:p>
    <w:p w14:paraId="438F72E8" w14:textId="05475D7F" w:rsidR="007A6A1A" w:rsidRPr="00167CB8" w:rsidRDefault="007A6A1A" w:rsidP="000D5139">
      <w:pPr>
        <w:pStyle w:val="Source"/>
      </w:pPr>
      <w:r w:rsidRPr="00167CB8">
        <w:rPr>
          <w:b/>
          <w:bCs/>
        </w:rPr>
        <w:t>Source:</w:t>
      </w:r>
      <w:r w:rsidRPr="00167CB8">
        <w:t xml:space="preserve"> DEWR Workplace Agreements Database</w:t>
      </w:r>
      <w:r w:rsidR="000D5139" w:rsidRPr="00167CB8">
        <w:t>.</w:t>
      </w:r>
    </w:p>
    <w:p w14:paraId="1014C27C" w14:textId="77777777" w:rsidR="007A6A1A" w:rsidRPr="00167CB8" w:rsidRDefault="007A6A1A" w:rsidP="000D5139">
      <w:pPr>
        <w:pStyle w:val="Source"/>
      </w:pPr>
      <w:r w:rsidRPr="00167CB8">
        <w:rPr>
          <w:b/>
        </w:rPr>
        <w:t>Alt-text:</w:t>
      </w:r>
      <w:r w:rsidRPr="00167CB8">
        <w:t xml:space="preserve"> A combination chart. The bars shows the number of current agreements in the September quarters between 2009 and 2024 and the line shows number of employees covered by these agreements. Although the number of current agreements was lower in 2023 than in 2022 the number of employees covered by the agreements had increased. The data show that in the 2024 September quarter there are just over 10,000 agreements covering 2,206,000 workers. </w:t>
      </w:r>
    </w:p>
    <w:p w14:paraId="0A2361F3" w14:textId="77777777" w:rsidR="007A6A1A" w:rsidRPr="00167CB8" w:rsidRDefault="007A6A1A" w:rsidP="007A6A1A">
      <w:pPr>
        <w:spacing w:after="160"/>
      </w:pPr>
      <w:r w:rsidRPr="00167CB8">
        <w:br w:type="page"/>
      </w:r>
    </w:p>
    <w:p w14:paraId="0A714E9E" w14:textId="5EFE92F2" w:rsidR="007A6A1A" w:rsidRPr="00167CB8" w:rsidRDefault="00177CA8" w:rsidP="007A6A1A">
      <w:pPr>
        <w:spacing w:after="160"/>
      </w:pPr>
      <w:r>
        <w:lastRenderedPageBreak/>
        <w:t>Figure 53</w:t>
      </w:r>
      <w:r w:rsidR="007A6A1A" w:rsidRPr="00167CB8">
        <w:t xml:space="preserve"> trends in the AAWI of union and non-union approved enterprise agreements. Since December 2022 the AAWI in union agreements has exceeded the AAWI in non-union agreements. The differences may reflect, in part, differences between the </w:t>
      </w:r>
      <w:r w:rsidR="00A14864" w:rsidRPr="00167CB8">
        <w:t xml:space="preserve">2 </w:t>
      </w:r>
      <w:r w:rsidR="007A6A1A" w:rsidRPr="00167CB8">
        <w:t>groups in the timing and approval of new agreements.</w:t>
      </w:r>
    </w:p>
    <w:p w14:paraId="6B45491F" w14:textId="67583BE8" w:rsidR="007A6A1A" w:rsidRDefault="007A6A1A" w:rsidP="00470AB9">
      <w:pPr>
        <w:pStyle w:val="Caption"/>
      </w:pPr>
      <w:bookmarkStart w:id="856" w:name="_Ref184405137"/>
      <w:bookmarkStart w:id="857" w:name="_Toc186906045"/>
      <w:bookmarkStart w:id="858" w:name="_Toc187514225"/>
      <w:bookmarkStart w:id="859" w:name="_Toc189310841"/>
      <w:r w:rsidRPr="00167CB8">
        <w:t xml:space="preserve">Figure </w:t>
      </w:r>
      <w:r w:rsidR="001459A6" w:rsidRPr="00167CB8">
        <w:t>53</w:t>
      </w:r>
      <w:bookmarkEnd w:id="856"/>
      <w:r w:rsidRPr="00167CB8">
        <w:t>: Average annualised wage growth (AAWI) in union and non-union agreements</w:t>
      </w:r>
      <w:bookmarkEnd w:id="857"/>
      <w:bookmarkEnd w:id="858"/>
      <w:r w:rsidR="000D5139" w:rsidRPr="00167CB8">
        <w:t>, September 2021 to September 2024</w:t>
      </w:r>
      <w:bookmarkEnd w:id="859"/>
    </w:p>
    <w:p w14:paraId="200F857D" w14:textId="573580E1" w:rsidR="00106D09" w:rsidRPr="00106D09" w:rsidRDefault="00106D09" w:rsidP="00106D09">
      <w:pPr>
        <w:rPr>
          <w:lang w:val="en-US"/>
        </w:rPr>
      </w:pPr>
      <w:r w:rsidRPr="00106D09">
        <w:rPr>
          <w:noProof/>
        </w:rPr>
        <w:drawing>
          <wp:inline distT="0" distB="0" distL="0" distR="0" wp14:anchorId="3A9E1686" wp14:editId="6BB6CBC7">
            <wp:extent cx="5657143" cy="3457143"/>
            <wp:effectExtent l="0" t="0" r="1270" b="0"/>
            <wp:docPr id="760442156" name="Picture 1" descr="A graph of blue and green vertica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42156" name="Picture 1" descr="A graph of blue and green vertical lines&#10;&#10;AI-generated content may be incorrect."/>
                    <pic:cNvPicPr/>
                  </pic:nvPicPr>
                  <pic:blipFill>
                    <a:blip r:embed="rId90"/>
                    <a:stretch>
                      <a:fillRect/>
                    </a:stretch>
                  </pic:blipFill>
                  <pic:spPr>
                    <a:xfrm>
                      <a:off x="0" y="0"/>
                      <a:ext cx="5657143" cy="3457143"/>
                    </a:xfrm>
                    <a:prstGeom prst="rect">
                      <a:avLst/>
                    </a:prstGeom>
                  </pic:spPr>
                </pic:pic>
              </a:graphicData>
            </a:graphic>
          </wp:inline>
        </w:drawing>
      </w:r>
    </w:p>
    <w:p w14:paraId="613AC3A3" w14:textId="77777777" w:rsidR="007A6A1A" w:rsidRPr="00167CB8" w:rsidRDefault="007A6A1A" w:rsidP="000D5139">
      <w:pPr>
        <w:pStyle w:val="Source"/>
      </w:pPr>
      <w:r w:rsidRPr="00167CB8">
        <w:rPr>
          <w:b/>
          <w:bCs/>
        </w:rPr>
        <w:t>Source:</w:t>
      </w:r>
      <w:r w:rsidRPr="00167CB8">
        <w:t xml:space="preserve"> Trends in Federal Enterprise Bargaining, September quarter 2024, Chart 6.</w:t>
      </w:r>
    </w:p>
    <w:p w14:paraId="3651EFDA" w14:textId="77777777" w:rsidR="007A6A1A" w:rsidRPr="00167CB8" w:rsidRDefault="007A6A1A" w:rsidP="000D5139">
      <w:pPr>
        <w:pStyle w:val="Source"/>
      </w:pPr>
      <w:r w:rsidRPr="00167CB8">
        <w:rPr>
          <w:b/>
        </w:rPr>
        <w:t>Alt-text:</w:t>
      </w:r>
      <w:r w:rsidRPr="00167CB8">
        <w:t xml:space="preserve"> A bar chart showing the average annualised wage increases (AAWI) in union and non-union agreements at various quarters since September 2021. In the September 2024 quarter the AAWI in agreements that cover union(s) was 3.7% and, in the same quarter, the AAWI in agreements with no union(s) covered was 3.1%.</w:t>
      </w:r>
    </w:p>
    <w:p w14:paraId="3278F34B" w14:textId="77777777" w:rsidR="007A6A1A" w:rsidRPr="00167CB8" w:rsidRDefault="007A6A1A" w:rsidP="007A6A1A">
      <w:pPr>
        <w:spacing w:after="160"/>
      </w:pPr>
      <w:bookmarkStart w:id="860" w:name="_Ref184405154"/>
      <w:r w:rsidRPr="00167CB8">
        <w:br w:type="page"/>
      </w:r>
    </w:p>
    <w:p w14:paraId="651A5DB6" w14:textId="24F4A9D0" w:rsidR="007A6A1A" w:rsidRPr="00167CB8" w:rsidRDefault="00177CA8" w:rsidP="007A6A1A">
      <w:pPr>
        <w:spacing w:after="160"/>
      </w:pPr>
      <w:r>
        <w:lastRenderedPageBreak/>
        <w:t>Table 57</w:t>
      </w:r>
      <w:r w:rsidR="007A6A1A" w:rsidRPr="00167CB8">
        <w:t xml:space="preserve"> reports the number of employees in each quarter covered by a new approved agreement and a current agreement, with the information disaggregated by sector. In the September 2024 quarter, </w:t>
      </w:r>
      <w:r w:rsidR="00C62FB6" w:rsidRPr="00167CB8">
        <w:t>21</w:t>
      </w:r>
      <w:r w:rsidR="007A6A1A" w:rsidRPr="00167CB8">
        <w:t>.1% of all public sector employees were covered by a federal (current) enterprise agreement. The corresponding share of private sector employees covered by a current federal enterprise agreement was 1</w:t>
      </w:r>
      <w:r w:rsidR="00C62FB6" w:rsidRPr="00167CB8">
        <w:t>1</w:t>
      </w:r>
      <w:r w:rsidR="007A6A1A" w:rsidRPr="00167CB8">
        <w:t>.</w:t>
      </w:r>
      <w:r w:rsidR="00C62FB6" w:rsidRPr="00167CB8">
        <w:t>9</w:t>
      </w:r>
      <w:r w:rsidR="007A6A1A" w:rsidRPr="00167CB8">
        <w:t xml:space="preserve">%. </w:t>
      </w:r>
    </w:p>
    <w:p w14:paraId="3F89EFD0" w14:textId="11859EF3" w:rsidR="007A6A1A" w:rsidRPr="00167CB8" w:rsidRDefault="007A6A1A" w:rsidP="00470AB9">
      <w:pPr>
        <w:pStyle w:val="Caption"/>
      </w:pPr>
      <w:bookmarkStart w:id="861" w:name="_Ref184414086"/>
      <w:bookmarkStart w:id="862" w:name="_Toc186906079"/>
      <w:bookmarkStart w:id="863" w:name="_Toc187514217"/>
      <w:bookmarkStart w:id="864" w:name="_Toc189310886"/>
      <w:r w:rsidRPr="00167CB8">
        <w:t xml:space="preserve">Table </w:t>
      </w:r>
      <w:r w:rsidR="00504FC8" w:rsidRPr="00167CB8">
        <w:t>57</w:t>
      </w:r>
      <w:bookmarkEnd w:id="861"/>
      <w:r w:rsidRPr="00167CB8">
        <w:t>: New approved and current federal agreements by sector and number of employees</w:t>
      </w:r>
      <w:bookmarkEnd w:id="862"/>
      <w:bookmarkEnd w:id="863"/>
      <w:bookmarkEnd w:id="864"/>
    </w:p>
    <w:tbl>
      <w:tblPr>
        <w:tblW w:w="5000" w:type="pct"/>
        <w:tblLayout w:type="fixed"/>
        <w:tblLook w:val="04A0" w:firstRow="1" w:lastRow="0" w:firstColumn="1" w:lastColumn="0" w:noHBand="0" w:noVBand="1"/>
      </w:tblPr>
      <w:tblGrid>
        <w:gridCol w:w="868"/>
        <w:gridCol w:w="1051"/>
        <w:gridCol w:w="1053"/>
        <w:gridCol w:w="1050"/>
        <w:gridCol w:w="1052"/>
        <w:gridCol w:w="1050"/>
        <w:gridCol w:w="1052"/>
        <w:gridCol w:w="1050"/>
        <w:gridCol w:w="1052"/>
      </w:tblGrid>
      <w:tr w:rsidR="007A6A1A" w:rsidRPr="00167CB8" w14:paraId="52FB87A1" w14:textId="77777777">
        <w:trPr>
          <w:trHeight w:val="650"/>
        </w:trPr>
        <w:tc>
          <w:tcPr>
            <w:tcW w:w="467" w:type="pct"/>
            <w:tcBorders>
              <w:top w:val="single" w:sz="8" w:space="0" w:color="auto"/>
              <w:left w:val="single" w:sz="8" w:space="0" w:color="auto"/>
              <w:bottom w:val="nil"/>
              <w:right w:val="nil"/>
            </w:tcBorders>
            <w:noWrap/>
            <w:vAlign w:val="bottom"/>
            <w:hideMark/>
          </w:tcPr>
          <w:p w14:paraId="29C1D4E2" w14:textId="77777777" w:rsidR="007A6A1A" w:rsidRPr="00167CB8" w:rsidRDefault="007A6A1A" w:rsidP="007A6A1A">
            <w:pPr>
              <w:keepNext/>
              <w:spacing w:after="0" w:line="240" w:lineRule="auto"/>
              <w:rPr>
                <w:rFonts w:cs="Calibri"/>
                <w:sz w:val="20"/>
                <w:szCs w:val="20"/>
              </w:rPr>
            </w:pPr>
            <w:r w:rsidRPr="00167CB8">
              <w:rPr>
                <w:rFonts w:cs="Calibri"/>
                <w:sz w:val="20"/>
                <w:szCs w:val="20"/>
              </w:rPr>
              <w:t> </w:t>
            </w:r>
          </w:p>
        </w:tc>
        <w:tc>
          <w:tcPr>
            <w:tcW w:w="1133" w:type="pct"/>
            <w:gridSpan w:val="2"/>
            <w:tcBorders>
              <w:top w:val="single" w:sz="8" w:space="0" w:color="auto"/>
              <w:left w:val="nil"/>
              <w:bottom w:val="nil"/>
              <w:right w:val="nil"/>
            </w:tcBorders>
            <w:noWrap/>
            <w:vAlign w:val="center"/>
            <w:hideMark/>
          </w:tcPr>
          <w:p w14:paraId="0C109F2C" w14:textId="1F60056D" w:rsidR="007A6A1A" w:rsidRPr="00167CB8" w:rsidRDefault="007A6A1A" w:rsidP="007A6A1A">
            <w:pPr>
              <w:keepNext/>
              <w:spacing w:after="0" w:line="240" w:lineRule="auto"/>
              <w:rPr>
                <w:rFonts w:cs="Calibri"/>
                <w:b/>
                <w:bCs/>
                <w:sz w:val="20"/>
                <w:szCs w:val="20"/>
              </w:rPr>
            </w:pPr>
            <w:r w:rsidRPr="00167CB8">
              <w:rPr>
                <w:rFonts w:cs="Calibri"/>
                <w:b/>
                <w:bCs/>
                <w:sz w:val="20"/>
                <w:szCs w:val="20"/>
              </w:rPr>
              <w:t xml:space="preserve">New </w:t>
            </w:r>
            <w:r w:rsidR="000D5139" w:rsidRPr="00167CB8">
              <w:rPr>
                <w:rFonts w:cs="Calibri"/>
                <w:b/>
                <w:bCs/>
                <w:sz w:val="20"/>
                <w:szCs w:val="20"/>
              </w:rPr>
              <w:t>a</w:t>
            </w:r>
            <w:r w:rsidRPr="00167CB8">
              <w:rPr>
                <w:rFonts w:cs="Calibri"/>
                <w:b/>
                <w:bCs/>
                <w:sz w:val="20"/>
                <w:szCs w:val="20"/>
              </w:rPr>
              <w:t xml:space="preserve">pproved </w:t>
            </w:r>
            <w:r w:rsidR="000D5139" w:rsidRPr="00167CB8">
              <w:rPr>
                <w:rFonts w:cs="Calibri"/>
                <w:b/>
                <w:bCs/>
                <w:sz w:val="20"/>
                <w:szCs w:val="20"/>
              </w:rPr>
              <w:t>a</w:t>
            </w:r>
            <w:r w:rsidRPr="00167CB8">
              <w:rPr>
                <w:rFonts w:cs="Calibri"/>
                <w:b/>
                <w:bCs/>
                <w:sz w:val="20"/>
                <w:szCs w:val="20"/>
              </w:rPr>
              <w:t>greements</w:t>
            </w:r>
          </w:p>
        </w:tc>
        <w:tc>
          <w:tcPr>
            <w:tcW w:w="1133" w:type="pct"/>
            <w:gridSpan w:val="2"/>
            <w:tcBorders>
              <w:top w:val="single" w:sz="8" w:space="0" w:color="auto"/>
              <w:left w:val="nil"/>
              <w:bottom w:val="nil"/>
              <w:right w:val="nil"/>
            </w:tcBorders>
            <w:noWrap/>
            <w:vAlign w:val="center"/>
            <w:hideMark/>
          </w:tcPr>
          <w:p w14:paraId="74B70FE2" w14:textId="41BCE6F6" w:rsidR="007A6A1A" w:rsidRPr="00167CB8" w:rsidRDefault="007A6A1A" w:rsidP="007A6A1A">
            <w:pPr>
              <w:keepNext/>
              <w:spacing w:after="0" w:line="240" w:lineRule="auto"/>
              <w:rPr>
                <w:rFonts w:cs="Calibri"/>
                <w:b/>
                <w:bCs/>
                <w:sz w:val="20"/>
                <w:szCs w:val="20"/>
              </w:rPr>
            </w:pPr>
            <w:r w:rsidRPr="00167CB8">
              <w:rPr>
                <w:rFonts w:cs="Calibri"/>
                <w:b/>
                <w:bCs/>
                <w:sz w:val="20"/>
                <w:szCs w:val="20"/>
              </w:rPr>
              <w:t xml:space="preserve">Current </w:t>
            </w:r>
            <w:r w:rsidR="000D5139" w:rsidRPr="00167CB8">
              <w:rPr>
                <w:rFonts w:cs="Calibri"/>
                <w:b/>
                <w:bCs/>
                <w:sz w:val="20"/>
                <w:szCs w:val="20"/>
              </w:rPr>
              <w:t>a</w:t>
            </w:r>
            <w:r w:rsidRPr="00167CB8">
              <w:rPr>
                <w:rFonts w:cs="Calibri"/>
                <w:b/>
                <w:bCs/>
                <w:sz w:val="20"/>
                <w:szCs w:val="20"/>
              </w:rPr>
              <w:t>greements</w:t>
            </w:r>
          </w:p>
        </w:tc>
        <w:tc>
          <w:tcPr>
            <w:tcW w:w="1133" w:type="pct"/>
            <w:gridSpan w:val="2"/>
            <w:tcBorders>
              <w:top w:val="single" w:sz="8" w:space="0" w:color="auto"/>
              <w:left w:val="nil"/>
              <w:bottom w:val="nil"/>
              <w:right w:val="nil"/>
            </w:tcBorders>
            <w:noWrap/>
            <w:vAlign w:val="center"/>
            <w:hideMark/>
          </w:tcPr>
          <w:p w14:paraId="2DE93415" w14:textId="06F54655" w:rsidR="007A6A1A" w:rsidRPr="00167CB8" w:rsidRDefault="007A6A1A" w:rsidP="007A6A1A">
            <w:pPr>
              <w:keepNext/>
              <w:spacing w:after="0" w:line="240" w:lineRule="auto"/>
              <w:rPr>
                <w:rFonts w:cs="Calibri"/>
                <w:b/>
                <w:bCs/>
                <w:sz w:val="20"/>
                <w:szCs w:val="20"/>
              </w:rPr>
            </w:pPr>
            <w:r w:rsidRPr="00167CB8">
              <w:rPr>
                <w:rFonts w:cs="Calibri"/>
                <w:b/>
                <w:bCs/>
                <w:sz w:val="20"/>
                <w:szCs w:val="20"/>
              </w:rPr>
              <w:t xml:space="preserve">Total </w:t>
            </w:r>
            <w:r w:rsidR="000D5139" w:rsidRPr="00167CB8">
              <w:rPr>
                <w:rFonts w:cs="Calibri"/>
                <w:b/>
                <w:bCs/>
                <w:sz w:val="20"/>
                <w:szCs w:val="20"/>
              </w:rPr>
              <w:t>e</w:t>
            </w:r>
            <w:r w:rsidRPr="00167CB8">
              <w:rPr>
                <w:rFonts w:cs="Calibri"/>
                <w:b/>
                <w:bCs/>
                <w:sz w:val="20"/>
                <w:szCs w:val="20"/>
              </w:rPr>
              <w:t>mployees (labour force)</w:t>
            </w:r>
          </w:p>
        </w:tc>
        <w:tc>
          <w:tcPr>
            <w:tcW w:w="1133" w:type="pct"/>
            <w:gridSpan w:val="2"/>
            <w:tcBorders>
              <w:top w:val="single" w:sz="8" w:space="0" w:color="auto"/>
              <w:left w:val="nil"/>
              <w:bottom w:val="nil"/>
              <w:right w:val="single" w:sz="8" w:space="0" w:color="000000"/>
            </w:tcBorders>
            <w:vAlign w:val="center"/>
            <w:hideMark/>
          </w:tcPr>
          <w:p w14:paraId="667FE185" w14:textId="77777777" w:rsidR="007A6A1A" w:rsidRPr="00167CB8" w:rsidRDefault="007A6A1A" w:rsidP="007A6A1A">
            <w:pPr>
              <w:keepNext/>
              <w:spacing w:after="0" w:line="240" w:lineRule="auto"/>
              <w:rPr>
                <w:rFonts w:cs="Calibri"/>
                <w:b/>
                <w:bCs/>
                <w:sz w:val="20"/>
                <w:szCs w:val="20"/>
              </w:rPr>
            </w:pPr>
            <w:r w:rsidRPr="00167CB8">
              <w:rPr>
                <w:rFonts w:cs="Calibri"/>
                <w:b/>
                <w:bCs/>
                <w:sz w:val="20"/>
                <w:szCs w:val="20"/>
              </w:rPr>
              <w:t>% of total employees on current federal enterprise agreements</w:t>
            </w:r>
          </w:p>
        </w:tc>
      </w:tr>
      <w:tr w:rsidR="007A6A1A" w:rsidRPr="00167CB8" w14:paraId="17DDC095" w14:textId="77777777">
        <w:trPr>
          <w:trHeight w:val="1453"/>
        </w:trPr>
        <w:tc>
          <w:tcPr>
            <w:tcW w:w="467" w:type="pct"/>
            <w:tcBorders>
              <w:top w:val="nil"/>
              <w:left w:val="single" w:sz="8" w:space="0" w:color="auto"/>
              <w:bottom w:val="single" w:sz="8" w:space="0" w:color="000000"/>
              <w:right w:val="nil"/>
            </w:tcBorders>
            <w:noWrap/>
            <w:vAlign w:val="bottom"/>
            <w:hideMark/>
          </w:tcPr>
          <w:p w14:paraId="168EFCF0" w14:textId="77777777" w:rsidR="007A6A1A" w:rsidRPr="00167CB8" w:rsidRDefault="007A6A1A" w:rsidP="007A6A1A">
            <w:pPr>
              <w:keepNext/>
              <w:spacing w:after="0" w:line="240" w:lineRule="auto"/>
              <w:rPr>
                <w:rFonts w:cs="Calibri"/>
                <w:sz w:val="20"/>
                <w:szCs w:val="20"/>
              </w:rPr>
            </w:pPr>
            <w:r w:rsidRPr="00167CB8">
              <w:rPr>
                <w:rFonts w:cs="Calibri"/>
                <w:sz w:val="20"/>
                <w:szCs w:val="20"/>
              </w:rPr>
              <w:t> </w:t>
            </w:r>
          </w:p>
        </w:tc>
        <w:tc>
          <w:tcPr>
            <w:tcW w:w="566" w:type="pct"/>
            <w:tcBorders>
              <w:top w:val="nil"/>
              <w:left w:val="nil"/>
              <w:bottom w:val="single" w:sz="8" w:space="0" w:color="000000"/>
              <w:right w:val="nil"/>
            </w:tcBorders>
            <w:vAlign w:val="center"/>
            <w:hideMark/>
          </w:tcPr>
          <w:p w14:paraId="068A47AD" w14:textId="0A97F1FD" w:rsidR="007A6A1A" w:rsidRPr="00167CB8" w:rsidRDefault="007A6A1A" w:rsidP="007A6A1A">
            <w:pPr>
              <w:keepNext/>
              <w:spacing w:after="0" w:line="240" w:lineRule="auto"/>
              <w:rPr>
                <w:rFonts w:cs="Calibri"/>
                <w:b/>
                <w:sz w:val="20"/>
                <w:szCs w:val="20"/>
              </w:rPr>
            </w:pPr>
            <w:r w:rsidRPr="00167CB8">
              <w:rPr>
                <w:rFonts w:cs="Calibri"/>
                <w:b/>
                <w:sz w:val="20"/>
                <w:szCs w:val="20"/>
                <w:lang w:val="en-US"/>
              </w:rPr>
              <w:t>Public sector employees (</w:t>
            </w:r>
            <w:r w:rsidR="000D5139" w:rsidRPr="00167CB8">
              <w:rPr>
                <w:rFonts w:cs="Calibri"/>
                <w:b/>
                <w:sz w:val="20"/>
                <w:szCs w:val="20"/>
                <w:lang w:val="en-US"/>
              </w:rPr>
              <w:t>‘</w:t>
            </w:r>
            <w:r w:rsidRPr="00167CB8">
              <w:rPr>
                <w:rFonts w:cs="Calibri"/>
                <w:b/>
                <w:sz w:val="20"/>
                <w:szCs w:val="20"/>
                <w:lang w:val="en-US"/>
              </w:rPr>
              <w:t>000)</w:t>
            </w:r>
          </w:p>
        </w:tc>
        <w:tc>
          <w:tcPr>
            <w:tcW w:w="567" w:type="pct"/>
            <w:tcBorders>
              <w:top w:val="nil"/>
              <w:left w:val="nil"/>
              <w:bottom w:val="single" w:sz="8" w:space="0" w:color="000000"/>
              <w:right w:val="nil"/>
            </w:tcBorders>
            <w:vAlign w:val="center"/>
            <w:hideMark/>
          </w:tcPr>
          <w:p w14:paraId="01EC6C14" w14:textId="022B38DA" w:rsidR="007A6A1A" w:rsidRPr="00167CB8" w:rsidRDefault="007A6A1A" w:rsidP="007A6A1A">
            <w:pPr>
              <w:keepNext/>
              <w:spacing w:after="0" w:line="240" w:lineRule="auto"/>
              <w:rPr>
                <w:rFonts w:cs="Calibri"/>
                <w:b/>
                <w:sz w:val="20"/>
                <w:szCs w:val="20"/>
              </w:rPr>
            </w:pPr>
            <w:r w:rsidRPr="00167CB8">
              <w:rPr>
                <w:rFonts w:cs="Calibri"/>
                <w:b/>
                <w:sz w:val="20"/>
                <w:szCs w:val="20"/>
                <w:lang w:val="en-US"/>
              </w:rPr>
              <w:t>Private sector employees (</w:t>
            </w:r>
            <w:r w:rsidR="000D5139" w:rsidRPr="00167CB8">
              <w:rPr>
                <w:rFonts w:cs="Calibri"/>
                <w:b/>
                <w:sz w:val="20"/>
                <w:szCs w:val="20"/>
                <w:lang w:val="en-US"/>
              </w:rPr>
              <w:t>‘</w:t>
            </w:r>
            <w:r w:rsidRPr="00167CB8">
              <w:rPr>
                <w:rFonts w:cs="Calibri"/>
                <w:b/>
                <w:sz w:val="20"/>
                <w:szCs w:val="20"/>
                <w:lang w:val="en-US"/>
              </w:rPr>
              <w:t>000)</w:t>
            </w:r>
          </w:p>
        </w:tc>
        <w:tc>
          <w:tcPr>
            <w:tcW w:w="566" w:type="pct"/>
            <w:tcBorders>
              <w:top w:val="nil"/>
              <w:left w:val="nil"/>
              <w:bottom w:val="single" w:sz="8" w:space="0" w:color="000000"/>
              <w:right w:val="nil"/>
            </w:tcBorders>
            <w:vAlign w:val="center"/>
            <w:hideMark/>
          </w:tcPr>
          <w:p w14:paraId="65FADF87" w14:textId="4F30B0AD" w:rsidR="007A6A1A" w:rsidRPr="00167CB8" w:rsidRDefault="007A6A1A" w:rsidP="007A6A1A">
            <w:pPr>
              <w:keepNext/>
              <w:spacing w:after="0" w:line="240" w:lineRule="auto"/>
              <w:rPr>
                <w:rFonts w:cs="Calibri"/>
                <w:b/>
                <w:sz w:val="20"/>
                <w:szCs w:val="20"/>
              </w:rPr>
            </w:pPr>
            <w:r w:rsidRPr="00167CB8">
              <w:rPr>
                <w:rFonts w:cs="Calibri"/>
                <w:b/>
                <w:sz w:val="20"/>
                <w:szCs w:val="20"/>
                <w:lang w:val="en-US"/>
              </w:rPr>
              <w:t>Public sector employees (</w:t>
            </w:r>
            <w:r w:rsidR="000D5139" w:rsidRPr="00167CB8">
              <w:rPr>
                <w:rFonts w:cs="Calibri"/>
                <w:b/>
                <w:sz w:val="20"/>
                <w:szCs w:val="20"/>
                <w:lang w:val="en-US"/>
              </w:rPr>
              <w:t>‘</w:t>
            </w:r>
            <w:r w:rsidRPr="00167CB8">
              <w:rPr>
                <w:rFonts w:cs="Calibri"/>
                <w:b/>
                <w:sz w:val="20"/>
                <w:szCs w:val="20"/>
                <w:lang w:val="en-US"/>
              </w:rPr>
              <w:t>000)</w:t>
            </w:r>
          </w:p>
        </w:tc>
        <w:tc>
          <w:tcPr>
            <w:tcW w:w="567" w:type="pct"/>
            <w:tcBorders>
              <w:top w:val="nil"/>
              <w:left w:val="nil"/>
              <w:bottom w:val="single" w:sz="8" w:space="0" w:color="000000"/>
              <w:right w:val="nil"/>
            </w:tcBorders>
            <w:vAlign w:val="center"/>
            <w:hideMark/>
          </w:tcPr>
          <w:p w14:paraId="645E3AF3" w14:textId="19F6C082" w:rsidR="007A6A1A" w:rsidRPr="00167CB8" w:rsidRDefault="007A6A1A" w:rsidP="007A6A1A">
            <w:pPr>
              <w:keepNext/>
              <w:spacing w:after="0" w:line="240" w:lineRule="auto"/>
              <w:rPr>
                <w:rFonts w:cs="Calibri"/>
                <w:b/>
                <w:sz w:val="20"/>
                <w:szCs w:val="20"/>
              </w:rPr>
            </w:pPr>
            <w:r w:rsidRPr="00167CB8">
              <w:rPr>
                <w:rFonts w:cs="Calibri"/>
                <w:b/>
                <w:sz w:val="20"/>
                <w:szCs w:val="20"/>
                <w:lang w:val="en-US"/>
              </w:rPr>
              <w:t>Private sector employees (</w:t>
            </w:r>
            <w:r w:rsidR="000D5139" w:rsidRPr="00167CB8">
              <w:rPr>
                <w:rFonts w:cs="Calibri"/>
                <w:b/>
                <w:sz w:val="20"/>
                <w:szCs w:val="20"/>
                <w:lang w:val="en-US"/>
              </w:rPr>
              <w:t>‘</w:t>
            </w:r>
            <w:r w:rsidRPr="00167CB8">
              <w:rPr>
                <w:rFonts w:cs="Calibri"/>
                <w:b/>
                <w:sz w:val="20"/>
                <w:szCs w:val="20"/>
                <w:lang w:val="en-US"/>
              </w:rPr>
              <w:t>000)</w:t>
            </w:r>
          </w:p>
        </w:tc>
        <w:tc>
          <w:tcPr>
            <w:tcW w:w="566" w:type="pct"/>
            <w:tcBorders>
              <w:top w:val="nil"/>
              <w:left w:val="nil"/>
              <w:bottom w:val="single" w:sz="8" w:space="0" w:color="000000"/>
              <w:right w:val="nil"/>
            </w:tcBorders>
            <w:vAlign w:val="center"/>
            <w:hideMark/>
          </w:tcPr>
          <w:p w14:paraId="0E086541" w14:textId="2A43F5AC" w:rsidR="007A6A1A" w:rsidRPr="00167CB8" w:rsidRDefault="007A6A1A" w:rsidP="007A6A1A">
            <w:pPr>
              <w:keepNext/>
              <w:spacing w:after="0" w:line="240" w:lineRule="auto"/>
              <w:rPr>
                <w:rFonts w:cs="Calibri"/>
                <w:b/>
                <w:sz w:val="20"/>
                <w:szCs w:val="20"/>
              </w:rPr>
            </w:pPr>
            <w:r w:rsidRPr="00167CB8">
              <w:rPr>
                <w:rFonts w:cs="Calibri"/>
                <w:b/>
                <w:sz w:val="20"/>
                <w:szCs w:val="20"/>
                <w:lang w:val="en-US"/>
              </w:rPr>
              <w:t>Public sector (</w:t>
            </w:r>
            <w:r w:rsidR="000D5139" w:rsidRPr="00167CB8">
              <w:rPr>
                <w:rFonts w:cs="Calibri"/>
                <w:b/>
                <w:sz w:val="20"/>
                <w:szCs w:val="20"/>
                <w:lang w:val="en-US"/>
              </w:rPr>
              <w:t>‘</w:t>
            </w:r>
            <w:r w:rsidRPr="00167CB8">
              <w:rPr>
                <w:rFonts w:cs="Calibri"/>
                <w:b/>
                <w:sz w:val="20"/>
                <w:szCs w:val="20"/>
                <w:lang w:val="en-US"/>
              </w:rPr>
              <w:t>000)</w:t>
            </w:r>
          </w:p>
        </w:tc>
        <w:tc>
          <w:tcPr>
            <w:tcW w:w="567" w:type="pct"/>
            <w:tcBorders>
              <w:top w:val="nil"/>
              <w:left w:val="nil"/>
              <w:bottom w:val="single" w:sz="8" w:space="0" w:color="000000"/>
              <w:right w:val="nil"/>
            </w:tcBorders>
            <w:vAlign w:val="center"/>
            <w:hideMark/>
          </w:tcPr>
          <w:p w14:paraId="73213472" w14:textId="0C34950A" w:rsidR="007A6A1A" w:rsidRPr="00167CB8" w:rsidRDefault="007A6A1A" w:rsidP="007A6A1A">
            <w:pPr>
              <w:keepNext/>
              <w:spacing w:after="0" w:line="240" w:lineRule="auto"/>
              <w:rPr>
                <w:rFonts w:cs="Calibri"/>
                <w:b/>
                <w:sz w:val="20"/>
                <w:szCs w:val="20"/>
              </w:rPr>
            </w:pPr>
            <w:r w:rsidRPr="00167CB8">
              <w:rPr>
                <w:rFonts w:cs="Calibri"/>
                <w:b/>
                <w:sz w:val="20"/>
                <w:szCs w:val="20"/>
                <w:lang w:val="en-US"/>
              </w:rPr>
              <w:t>Private sector (</w:t>
            </w:r>
            <w:r w:rsidR="000D5139" w:rsidRPr="00167CB8">
              <w:rPr>
                <w:rFonts w:cs="Calibri"/>
                <w:b/>
                <w:sz w:val="20"/>
                <w:szCs w:val="20"/>
                <w:lang w:val="en-US"/>
              </w:rPr>
              <w:t>‘</w:t>
            </w:r>
            <w:r w:rsidRPr="00167CB8">
              <w:rPr>
                <w:rFonts w:cs="Calibri"/>
                <w:b/>
                <w:sz w:val="20"/>
                <w:szCs w:val="20"/>
                <w:lang w:val="en-US"/>
              </w:rPr>
              <w:t>000)</w:t>
            </w:r>
          </w:p>
        </w:tc>
        <w:tc>
          <w:tcPr>
            <w:tcW w:w="566" w:type="pct"/>
            <w:tcBorders>
              <w:bottom w:val="single" w:sz="4" w:space="0" w:color="auto"/>
            </w:tcBorders>
            <w:vAlign w:val="center"/>
            <w:hideMark/>
          </w:tcPr>
          <w:p w14:paraId="5BE5DE57" w14:textId="77777777" w:rsidR="007A6A1A" w:rsidRPr="00167CB8" w:rsidRDefault="007A6A1A" w:rsidP="007A6A1A">
            <w:pPr>
              <w:keepNext/>
              <w:spacing w:after="0" w:line="240" w:lineRule="auto"/>
              <w:rPr>
                <w:rFonts w:cs="Calibri"/>
                <w:b/>
                <w:sz w:val="20"/>
                <w:szCs w:val="20"/>
              </w:rPr>
            </w:pPr>
            <w:r w:rsidRPr="00167CB8">
              <w:rPr>
                <w:rFonts w:cs="Calibri"/>
                <w:b/>
                <w:sz w:val="20"/>
                <w:szCs w:val="20"/>
              </w:rPr>
              <w:t>Public sector</w:t>
            </w:r>
          </w:p>
          <w:p w14:paraId="1C8FA339" w14:textId="77777777" w:rsidR="007A6A1A" w:rsidRPr="00167CB8" w:rsidRDefault="007A6A1A" w:rsidP="007A6A1A">
            <w:pPr>
              <w:keepNext/>
              <w:spacing w:after="0" w:line="240" w:lineRule="auto"/>
              <w:rPr>
                <w:rFonts w:cs="Calibri"/>
                <w:b/>
                <w:sz w:val="20"/>
                <w:szCs w:val="20"/>
              </w:rPr>
            </w:pPr>
            <w:r w:rsidRPr="00167CB8">
              <w:rPr>
                <w:rFonts w:cs="Calibri"/>
                <w:b/>
                <w:sz w:val="20"/>
                <w:szCs w:val="20"/>
              </w:rPr>
              <w:t> </w:t>
            </w:r>
          </w:p>
        </w:tc>
        <w:tc>
          <w:tcPr>
            <w:tcW w:w="567" w:type="pct"/>
            <w:tcBorders>
              <w:top w:val="nil"/>
              <w:left w:val="nil"/>
              <w:bottom w:val="single" w:sz="4" w:space="0" w:color="auto"/>
              <w:right w:val="single" w:sz="8" w:space="0" w:color="auto"/>
            </w:tcBorders>
            <w:vAlign w:val="center"/>
            <w:hideMark/>
          </w:tcPr>
          <w:p w14:paraId="4D757F99" w14:textId="77777777" w:rsidR="007A6A1A" w:rsidRPr="00167CB8" w:rsidRDefault="007A6A1A" w:rsidP="007A6A1A">
            <w:pPr>
              <w:keepNext/>
              <w:spacing w:after="0" w:line="240" w:lineRule="auto"/>
              <w:rPr>
                <w:rFonts w:cs="Calibri"/>
                <w:b/>
                <w:sz w:val="20"/>
                <w:szCs w:val="20"/>
              </w:rPr>
            </w:pPr>
            <w:r w:rsidRPr="00167CB8">
              <w:rPr>
                <w:rFonts w:cs="Calibri"/>
                <w:b/>
                <w:sz w:val="20"/>
                <w:szCs w:val="20"/>
              </w:rPr>
              <w:t>Private sector</w:t>
            </w:r>
          </w:p>
          <w:p w14:paraId="2FACEBC5" w14:textId="77777777" w:rsidR="007A6A1A" w:rsidRPr="00167CB8" w:rsidRDefault="007A6A1A" w:rsidP="007A6A1A">
            <w:pPr>
              <w:keepNext/>
              <w:spacing w:after="0" w:line="240" w:lineRule="auto"/>
              <w:rPr>
                <w:rFonts w:cs="Calibri"/>
                <w:b/>
                <w:sz w:val="20"/>
                <w:szCs w:val="20"/>
              </w:rPr>
            </w:pPr>
            <w:r w:rsidRPr="00167CB8">
              <w:rPr>
                <w:rFonts w:cs="Calibri"/>
                <w:b/>
                <w:sz w:val="20"/>
                <w:szCs w:val="20"/>
              </w:rPr>
              <w:t> </w:t>
            </w:r>
          </w:p>
        </w:tc>
      </w:tr>
      <w:tr w:rsidR="007A6A1A" w:rsidRPr="00167CB8" w14:paraId="78E430AB" w14:textId="77777777">
        <w:trPr>
          <w:trHeight w:val="248"/>
        </w:trPr>
        <w:tc>
          <w:tcPr>
            <w:tcW w:w="467" w:type="pct"/>
            <w:tcBorders>
              <w:top w:val="single" w:sz="4" w:space="0" w:color="auto"/>
              <w:left w:val="single" w:sz="8" w:space="0" w:color="auto"/>
              <w:bottom w:val="single" w:sz="8" w:space="0" w:color="auto"/>
              <w:right w:val="nil"/>
            </w:tcBorders>
            <w:vAlign w:val="center"/>
            <w:hideMark/>
          </w:tcPr>
          <w:p w14:paraId="3131C9B4" w14:textId="77777777" w:rsidR="007A6A1A" w:rsidRPr="00167CB8" w:rsidRDefault="007A6A1A" w:rsidP="007A6A1A">
            <w:pPr>
              <w:keepNext/>
              <w:spacing w:after="0" w:line="240" w:lineRule="auto"/>
              <w:rPr>
                <w:rFonts w:cs="Calibri"/>
                <w:sz w:val="20"/>
                <w:szCs w:val="20"/>
              </w:rPr>
            </w:pPr>
            <w:r w:rsidRPr="00167CB8">
              <w:rPr>
                <w:rFonts w:cs="Calibri"/>
                <w:sz w:val="20"/>
                <w:szCs w:val="20"/>
                <w:lang w:val="en-US"/>
              </w:rPr>
              <w:t> </w:t>
            </w:r>
          </w:p>
        </w:tc>
        <w:tc>
          <w:tcPr>
            <w:tcW w:w="566" w:type="pct"/>
            <w:tcBorders>
              <w:top w:val="single" w:sz="4" w:space="0" w:color="auto"/>
              <w:left w:val="nil"/>
              <w:bottom w:val="single" w:sz="8" w:space="0" w:color="auto"/>
              <w:right w:val="nil"/>
            </w:tcBorders>
            <w:vAlign w:val="center"/>
            <w:hideMark/>
          </w:tcPr>
          <w:p w14:paraId="5E13D35C" w14:textId="58465408" w:rsidR="007A6A1A" w:rsidRPr="00167CB8" w:rsidRDefault="007A6A1A" w:rsidP="007A6A1A">
            <w:pPr>
              <w:keepNext/>
              <w:spacing w:after="0" w:line="240" w:lineRule="auto"/>
              <w:rPr>
                <w:rFonts w:cs="Calibri"/>
                <w:sz w:val="20"/>
                <w:szCs w:val="20"/>
              </w:rPr>
            </w:pPr>
            <w:r w:rsidRPr="00167CB8">
              <w:rPr>
                <w:rFonts w:cs="Calibri"/>
                <w:sz w:val="20"/>
                <w:szCs w:val="20"/>
                <w:lang w:val="en-US"/>
              </w:rPr>
              <w:t>(</w:t>
            </w:r>
            <w:r w:rsidR="000D5139" w:rsidRPr="00167CB8">
              <w:rPr>
                <w:rFonts w:cs="Calibri"/>
                <w:sz w:val="20"/>
                <w:szCs w:val="20"/>
                <w:lang w:val="en-US"/>
              </w:rPr>
              <w:t>1</w:t>
            </w:r>
            <w:r w:rsidRPr="00167CB8">
              <w:rPr>
                <w:rFonts w:cs="Calibri"/>
                <w:sz w:val="20"/>
                <w:szCs w:val="20"/>
                <w:lang w:val="en-US"/>
              </w:rPr>
              <w:t>)</w:t>
            </w:r>
          </w:p>
        </w:tc>
        <w:tc>
          <w:tcPr>
            <w:tcW w:w="567" w:type="pct"/>
            <w:tcBorders>
              <w:top w:val="single" w:sz="4" w:space="0" w:color="auto"/>
              <w:left w:val="nil"/>
              <w:bottom w:val="single" w:sz="8" w:space="0" w:color="auto"/>
              <w:right w:val="nil"/>
            </w:tcBorders>
            <w:vAlign w:val="center"/>
            <w:hideMark/>
          </w:tcPr>
          <w:p w14:paraId="39A04983" w14:textId="1D12A7FA" w:rsidR="007A6A1A" w:rsidRPr="00167CB8" w:rsidRDefault="007A6A1A" w:rsidP="007A6A1A">
            <w:pPr>
              <w:keepNext/>
              <w:spacing w:after="0" w:line="240" w:lineRule="auto"/>
              <w:rPr>
                <w:rFonts w:cs="Calibri"/>
                <w:sz w:val="20"/>
                <w:szCs w:val="20"/>
              </w:rPr>
            </w:pPr>
            <w:r w:rsidRPr="00167CB8">
              <w:rPr>
                <w:rFonts w:cs="Calibri"/>
                <w:sz w:val="20"/>
                <w:szCs w:val="20"/>
                <w:lang w:val="en-US"/>
              </w:rPr>
              <w:t>(</w:t>
            </w:r>
            <w:r w:rsidR="000D5139" w:rsidRPr="00167CB8">
              <w:rPr>
                <w:rFonts w:cs="Calibri"/>
                <w:sz w:val="20"/>
                <w:szCs w:val="20"/>
                <w:lang w:val="en-US"/>
              </w:rPr>
              <w:t>2</w:t>
            </w:r>
            <w:r w:rsidRPr="00167CB8">
              <w:rPr>
                <w:rFonts w:cs="Calibri"/>
                <w:sz w:val="20"/>
                <w:szCs w:val="20"/>
                <w:lang w:val="en-US"/>
              </w:rPr>
              <w:t>)</w:t>
            </w:r>
          </w:p>
        </w:tc>
        <w:tc>
          <w:tcPr>
            <w:tcW w:w="566" w:type="pct"/>
            <w:tcBorders>
              <w:top w:val="single" w:sz="4" w:space="0" w:color="auto"/>
              <w:left w:val="nil"/>
              <w:bottom w:val="single" w:sz="8" w:space="0" w:color="auto"/>
              <w:right w:val="nil"/>
            </w:tcBorders>
            <w:vAlign w:val="center"/>
            <w:hideMark/>
          </w:tcPr>
          <w:p w14:paraId="5530FF4E" w14:textId="6FC2D8F7" w:rsidR="007A6A1A" w:rsidRPr="00167CB8" w:rsidRDefault="007A6A1A" w:rsidP="007A6A1A">
            <w:pPr>
              <w:keepNext/>
              <w:spacing w:after="0" w:line="240" w:lineRule="auto"/>
              <w:rPr>
                <w:rFonts w:cs="Calibri"/>
                <w:sz w:val="20"/>
                <w:szCs w:val="20"/>
              </w:rPr>
            </w:pPr>
            <w:r w:rsidRPr="00167CB8">
              <w:rPr>
                <w:rFonts w:cs="Calibri"/>
                <w:sz w:val="20"/>
                <w:szCs w:val="20"/>
                <w:lang w:val="en-US"/>
              </w:rPr>
              <w:t>(</w:t>
            </w:r>
            <w:r w:rsidR="000D5139" w:rsidRPr="00167CB8">
              <w:rPr>
                <w:rFonts w:cs="Calibri"/>
                <w:sz w:val="20"/>
                <w:szCs w:val="20"/>
                <w:lang w:val="en-US"/>
              </w:rPr>
              <w:t>3</w:t>
            </w:r>
            <w:r w:rsidRPr="00167CB8">
              <w:rPr>
                <w:rFonts w:cs="Calibri"/>
                <w:sz w:val="20"/>
                <w:szCs w:val="20"/>
                <w:lang w:val="en-US"/>
              </w:rPr>
              <w:t>)</w:t>
            </w:r>
          </w:p>
        </w:tc>
        <w:tc>
          <w:tcPr>
            <w:tcW w:w="567" w:type="pct"/>
            <w:tcBorders>
              <w:top w:val="single" w:sz="4" w:space="0" w:color="auto"/>
              <w:left w:val="nil"/>
              <w:bottom w:val="single" w:sz="8" w:space="0" w:color="auto"/>
              <w:right w:val="nil"/>
            </w:tcBorders>
            <w:vAlign w:val="center"/>
            <w:hideMark/>
          </w:tcPr>
          <w:p w14:paraId="53BF2F92" w14:textId="210A6FF2" w:rsidR="007A6A1A" w:rsidRPr="00167CB8" w:rsidRDefault="007A6A1A" w:rsidP="007A6A1A">
            <w:pPr>
              <w:keepNext/>
              <w:spacing w:after="0" w:line="240" w:lineRule="auto"/>
              <w:rPr>
                <w:rFonts w:cs="Calibri"/>
                <w:sz w:val="20"/>
                <w:szCs w:val="20"/>
              </w:rPr>
            </w:pPr>
            <w:r w:rsidRPr="00167CB8">
              <w:rPr>
                <w:rFonts w:cs="Calibri"/>
                <w:sz w:val="20"/>
                <w:szCs w:val="20"/>
                <w:lang w:val="en-US"/>
              </w:rPr>
              <w:t>(</w:t>
            </w:r>
            <w:r w:rsidR="000D5139" w:rsidRPr="00167CB8">
              <w:rPr>
                <w:rFonts w:cs="Calibri"/>
                <w:sz w:val="20"/>
                <w:szCs w:val="20"/>
                <w:lang w:val="en-US"/>
              </w:rPr>
              <w:t>4</w:t>
            </w:r>
            <w:r w:rsidRPr="00167CB8">
              <w:rPr>
                <w:rFonts w:cs="Calibri"/>
                <w:sz w:val="20"/>
                <w:szCs w:val="20"/>
                <w:lang w:val="en-US"/>
              </w:rPr>
              <w:t>)</w:t>
            </w:r>
          </w:p>
        </w:tc>
        <w:tc>
          <w:tcPr>
            <w:tcW w:w="566" w:type="pct"/>
            <w:tcBorders>
              <w:top w:val="single" w:sz="4" w:space="0" w:color="auto"/>
              <w:left w:val="nil"/>
              <w:bottom w:val="single" w:sz="8" w:space="0" w:color="auto"/>
              <w:right w:val="nil"/>
            </w:tcBorders>
            <w:vAlign w:val="center"/>
            <w:hideMark/>
          </w:tcPr>
          <w:p w14:paraId="6890E4E1" w14:textId="28756644" w:rsidR="007A6A1A" w:rsidRPr="00167CB8" w:rsidRDefault="007A6A1A" w:rsidP="007A6A1A">
            <w:pPr>
              <w:keepNext/>
              <w:spacing w:after="0" w:line="240" w:lineRule="auto"/>
              <w:rPr>
                <w:rFonts w:cs="Calibri"/>
                <w:sz w:val="20"/>
                <w:szCs w:val="20"/>
              </w:rPr>
            </w:pPr>
            <w:r w:rsidRPr="00167CB8">
              <w:rPr>
                <w:rFonts w:cs="Calibri"/>
                <w:sz w:val="20"/>
                <w:szCs w:val="20"/>
              </w:rPr>
              <w:t>(</w:t>
            </w:r>
            <w:r w:rsidR="000D5139" w:rsidRPr="00167CB8">
              <w:rPr>
                <w:rFonts w:cs="Calibri"/>
                <w:sz w:val="20"/>
                <w:szCs w:val="20"/>
              </w:rPr>
              <w:t>5</w:t>
            </w:r>
            <w:r w:rsidRPr="00167CB8">
              <w:rPr>
                <w:rFonts w:cs="Calibri"/>
                <w:sz w:val="20"/>
                <w:szCs w:val="20"/>
              </w:rPr>
              <w:t>)</w:t>
            </w:r>
          </w:p>
        </w:tc>
        <w:tc>
          <w:tcPr>
            <w:tcW w:w="567" w:type="pct"/>
            <w:tcBorders>
              <w:top w:val="single" w:sz="4" w:space="0" w:color="auto"/>
              <w:left w:val="nil"/>
              <w:bottom w:val="single" w:sz="8" w:space="0" w:color="auto"/>
              <w:right w:val="nil"/>
            </w:tcBorders>
            <w:vAlign w:val="center"/>
            <w:hideMark/>
          </w:tcPr>
          <w:p w14:paraId="19A97AB6" w14:textId="3AE0FFE4" w:rsidR="007A6A1A" w:rsidRPr="00167CB8" w:rsidRDefault="007A6A1A" w:rsidP="007A6A1A">
            <w:pPr>
              <w:keepNext/>
              <w:spacing w:after="0" w:line="240" w:lineRule="auto"/>
              <w:rPr>
                <w:rFonts w:cs="Calibri"/>
                <w:sz w:val="20"/>
                <w:szCs w:val="20"/>
              </w:rPr>
            </w:pPr>
            <w:r w:rsidRPr="00167CB8">
              <w:rPr>
                <w:rFonts w:cs="Calibri"/>
                <w:sz w:val="20"/>
                <w:szCs w:val="20"/>
              </w:rPr>
              <w:t>(</w:t>
            </w:r>
            <w:r w:rsidR="000D5139" w:rsidRPr="00167CB8">
              <w:rPr>
                <w:rFonts w:cs="Calibri"/>
                <w:sz w:val="20"/>
                <w:szCs w:val="20"/>
              </w:rPr>
              <w:t>6</w:t>
            </w:r>
            <w:r w:rsidRPr="00167CB8">
              <w:rPr>
                <w:rFonts w:cs="Calibri"/>
                <w:sz w:val="20"/>
                <w:szCs w:val="20"/>
              </w:rPr>
              <w:t>)</w:t>
            </w:r>
          </w:p>
        </w:tc>
        <w:tc>
          <w:tcPr>
            <w:tcW w:w="566" w:type="pct"/>
            <w:tcBorders>
              <w:top w:val="single" w:sz="4" w:space="0" w:color="auto"/>
              <w:left w:val="nil"/>
              <w:bottom w:val="single" w:sz="8" w:space="0" w:color="auto"/>
              <w:right w:val="nil"/>
            </w:tcBorders>
            <w:vAlign w:val="center"/>
            <w:hideMark/>
          </w:tcPr>
          <w:p w14:paraId="15D54BF8" w14:textId="64C5A8B7" w:rsidR="007A6A1A" w:rsidRPr="00167CB8" w:rsidRDefault="007A6A1A" w:rsidP="007A6A1A">
            <w:pPr>
              <w:keepNext/>
              <w:spacing w:after="0" w:line="240" w:lineRule="auto"/>
              <w:rPr>
                <w:rFonts w:cs="Calibri"/>
                <w:sz w:val="20"/>
                <w:szCs w:val="20"/>
              </w:rPr>
            </w:pPr>
            <w:r w:rsidRPr="00167CB8">
              <w:rPr>
                <w:rFonts w:cs="Calibri"/>
                <w:sz w:val="20"/>
                <w:szCs w:val="20"/>
              </w:rPr>
              <w:t>(</w:t>
            </w:r>
            <w:r w:rsidR="000D5139" w:rsidRPr="00167CB8">
              <w:rPr>
                <w:rFonts w:cs="Calibri"/>
                <w:sz w:val="20"/>
                <w:szCs w:val="20"/>
              </w:rPr>
              <w:t>7</w:t>
            </w:r>
            <w:r w:rsidRPr="00167CB8">
              <w:rPr>
                <w:rFonts w:cs="Calibri"/>
                <w:sz w:val="20"/>
                <w:szCs w:val="20"/>
              </w:rPr>
              <w:t>)</w:t>
            </w:r>
          </w:p>
        </w:tc>
        <w:tc>
          <w:tcPr>
            <w:tcW w:w="567" w:type="pct"/>
            <w:tcBorders>
              <w:top w:val="single" w:sz="4" w:space="0" w:color="auto"/>
              <w:left w:val="nil"/>
              <w:bottom w:val="single" w:sz="8" w:space="0" w:color="auto"/>
              <w:right w:val="single" w:sz="8" w:space="0" w:color="auto"/>
            </w:tcBorders>
            <w:vAlign w:val="center"/>
            <w:hideMark/>
          </w:tcPr>
          <w:p w14:paraId="32D0373F" w14:textId="0DE65AFC" w:rsidR="007A6A1A" w:rsidRPr="00167CB8" w:rsidRDefault="007A6A1A" w:rsidP="007A6A1A">
            <w:pPr>
              <w:keepNext/>
              <w:spacing w:after="0" w:line="240" w:lineRule="auto"/>
              <w:rPr>
                <w:rFonts w:cs="Calibri"/>
                <w:sz w:val="20"/>
                <w:szCs w:val="20"/>
              </w:rPr>
            </w:pPr>
            <w:r w:rsidRPr="00167CB8">
              <w:rPr>
                <w:rFonts w:cs="Calibri"/>
                <w:sz w:val="20"/>
                <w:szCs w:val="20"/>
              </w:rPr>
              <w:t>(</w:t>
            </w:r>
            <w:r w:rsidR="000D5139" w:rsidRPr="00167CB8">
              <w:rPr>
                <w:rFonts w:cs="Calibri"/>
                <w:sz w:val="20"/>
                <w:szCs w:val="20"/>
              </w:rPr>
              <w:t>8</w:t>
            </w:r>
            <w:r w:rsidRPr="00167CB8">
              <w:rPr>
                <w:rFonts w:cs="Calibri"/>
                <w:sz w:val="20"/>
                <w:szCs w:val="20"/>
              </w:rPr>
              <w:t>)</w:t>
            </w:r>
          </w:p>
        </w:tc>
      </w:tr>
      <w:tr w:rsidR="007A6A1A" w:rsidRPr="00167CB8" w14:paraId="0DE3A533" w14:textId="77777777" w:rsidTr="003A7C61">
        <w:trPr>
          <w:trHeight w:val="340"/>
        </w:trPr>
        <w:tc>
          <w:tcPr>
            <w:tcW w:w="467" w:type="pct"/>
            <w:tcBorders>
              <w:top w:val="nil"/>
              <w:left w:val="single" w:sz="8" w:space="0" w:color="auto"/>
              <w:bottom w:val="nil"/>
              <w:right w:val="nil"/>
            </w:tcBorders>
            <w:vAlign w:val="center"/>
            <w:hideMark/>
          </w:tcPr>
          <w:p w14:paraId="652C0695"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Jun-21</w:t>
            </w:r>
          </w:p>
        </w:tc>
        <w:tc>
          <w:tcPr>
            <w:tcW w:w="566" w:type="pct"/>
            <w:vAlign w:val="center"/>
            <w:hideMark/>
          </w:tcPr>
          <w:p w14:paraId="650562B6"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27.7</w:t>
            </w:r>
          </w:p>
        </w:tc>
        <w:tc>
          <w:tcPr>
            <w:tcW w:w="567" w:type="pct"/>
            <w:tcBorders>
              <w:top w:val="single" w:sz="8" w:space="0" w:color="auto"/>
              <w:left w:val="nil"/>
              <w:bottom w:val="nil"/>
              <w:right w:val="nil"/>
            </w:tcBorders>
            <w:vAlign w:val="center"/>
            <w:hideMark/>
          </w:tcPr>
          <w:p w14:paraId="1AA8BF21"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72.4</w:t>
            </w:r>
          </w:p>
        </w:tc>
        <w:tc>
          <w:tcPr>
            <w:tcW w:w="566" w:type="pct"/>
            <w:vAlign w:val="center"/>
            <w:hideMark/>
          </w:tcPr>
          <w:p w14:paraId="56B914C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544</w:t>
            </w:r>
          </w:p>
        </w:tc>
        <w:tc>
          <w:tcPr>
            <w:tcW w:w="567" w:type="pct"/>
            <w:vAlign w:val="center"/>
            <w:hideMark/>
          </w:tcPr>
          <w:p w14:paraId="155DF9B2"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1,246</w:t>
            </w:r>
          </w:p>
        </w:tc>
        <w:tc>
          <w:tcPr>
            <w:tcW w:w="566" w:type="pct"/>
            <w:tcBorders>
              <w:top w:val="single" w:sz="8" w:space="0" w:color="auto"/>
              <w:left w:val="nil"/>
              <w:bottom w:val="nil"/>
              <w:right w:val="nil"/>
            </w:tcBorders>
            <w:vAlign w:val="center"/>
            <w:hideMark/>
          </w:tcPr>
          <w:p w14:paraId="5140E36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1846.5</w:t>
            </w:r>
          </w:p>
        </w:tc>
        <w:tc>
          <w:tcPr>
            <w:tcW w:w="567" w:type="pct"/>
            <w:tcBorders>
              <w:top w:val="single" w:sz="8" w:space="0" w:color="auto"/>
              <w:left w:val="nil"/>
              <w:bottom w:val="nil"/>
              <w:right w:val="nil"/>
            </w:tcBorders>
            <w:vAlign w:val="center"/>
            <w:hideMark/>
          </w:tcPr>
          <w:p w14:paraId="415FBF2E"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11277.2</w:t>
            </w:r>
          </w:p>
        </w:tc>
        <w:tc>
          <w:tcPr>
            <w:tcW w:w="566" w:type="pct"/>
            <w:vAlign w:val="center"/>
            <w:hideMark/>
          </w:tcPr>
          <w:p w14:paraId="1136115E" w14:textId="77777777" w:rsidR="007A6A1A" w:rsidRPr="00167CB8" w:rsidRDefault="007A6A1A" w:rsidP="003A7C61">
            <w:pPr>
              <w:keepNext/>
              <w:spacing w:after="0" w:line="240" w:lineRule="auto"/>
              <w:rPr>
                <w:rFonts w:cs="Calibri"/>
                <w:sz w:val="20"/>
                <w:szCs w:val="20"/>
              </w:rPr>
            </w:pPr>
            <w:r w:rsidRPr="00167CB8">
              <w:rPr>
                <w:rFonts w:cs="Calibri"/>
                <w:sz w:val="20"/>
                <w:szCs w:val="20"/>
              </w:rPr>
              <w:t>29.5%</w:t>
            </w:r>
          </w:p>
        </w:tc>
        <w:tc>
          <w:tcPr>
            <w:tcW w:w="567" w:type="pct"/>
            <w:tcBorders>
              <w:top w:val="nil"/>
              <w:left w:val="nil"/>
              <w:bottom w:val="nil"/>
              <w:right w:val="single" w:sz="8" w:space="0" w:color="auto"/>
            </w:tcBorders>
            <w:vAlign w:val="center"/>
            <w:hideMark/>
          </w:tcPr>
          <w:p w14:paraId="62450BD4" w14:textId="77777777" w:rsidR="007A6A1A" w:rsidRPr="00167CB8" w:rsidRDefault="007A6A1A" w:rsidP="003A7C61">
            <w:pPr>
              <w:keepNext/>
              <w:spacing w:after="0" w:line="240" w:lineRule="auto"/>
              <w:rPr>
                <w:rFonts w:cs="Calibri"/>
                <w:sz w:val="20"/>
                <w:szCs w:val="20"/>
              </w:rPr>
            </w:pPr>
            <w:r w:rsidRPr="00167CB8">
              <w:rPr>
                <w:rFonts w:cs="Calibri"/>
                <w:sz w:val="20"/>
                <w:szCs w:val="20"/>
              </w:rPr>
              <w:t>11.0%</w:t>
            </w:r>
          </w:p>
        </w:tc>
      </w:tr>
      <w:tr w:rsidR="007A6A1A" w:rsidRPr="00167CB8" w14:paraId="319B69EE" w14:textId="77777777" w:rsidTr="003A7C61">
        <w:trPr>
          <w:trHeight w:val="340"/>
        </w:trPr>
        <w:tc>
          <w:tcPr>
            <w:tcW w:w="467" w:type="pct"/>
            <w:tcBorders>
              <w:top w:val="nil"/>
              <w:left w:val="single" w:sz="8" w:space="0" w:color="auto"/>
              <w:bottom w:val="nil"/>
              <w:right w:val="nil"/>
            </w:tcBorders>
            <w:vAlign w:val="center"/>
            <w:hideMark/>
          </w:tcPr>
          <w:p w14:paraId="71455F8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Sep-21</w:t>
            </w:r>
          </w:p>
        </w:tc>
        <w:tc>
          <w:tcPr>
            <w:tcW w:w="566" w:type="pct"/>
            <w:vAlign w:val="center"/>
            <w:hideMark/>
          </w:tcPr>
          <w:p w14:paraId="0D6FB61D"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47.5</w:t>
            </w:r>
          </w:p>
        </w:tc>
        <w:tc>
          <w:tcPr>
            <w:tcW w:w="567" w:type="pct"/>
            <w:vAlign w:val="center"/>
            <w:hideMark/>
          </w:tcPr>
          <w:p w14:paraId="11AA1CD4"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133</w:t>
            </w:r>
          </w:p>
        </w:tc>
        <w:tc>
          <w:tcPr>
            <w:tcW w:w="566" w:type="pct"/>
            <w:vAlign w:val="center"/>
            <w:hideMark/>
          </w:tcPr>
          <w:p w14:paraId="46209D86"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426</w:t>
            </w:r>
          </w:p>
        </w:tc>
        <w:tc>
          <w:tcPr>
            <w:tcW w:w="567" w:type="pct"/>
            <w:vAlign w:val="center"/>
            <w:hideMark/>
          </w:tcPr>
          <w:p w14:paraId="6C47F37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1,229</w:t>
            </w:r>
          </w:p>
        </w:tc>
        <w:tc>
          <w:tcPr>
            <w:tcW w:w="566" w:type="pct"/>
            <w:vAlign w:val="center"/>
            <w:hideMark/>
          </w:tcPr>
          <w:p w14:paraId="1F5441F9"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1888.1</w:t>
            </w:r>
          </w:p>
        </w:tc>
        <w:tc>
          <w:tcPr>
            <w:tcW w:w="567" w:type="pct"/>
            <w:vAlign w:val="center"/>
            <w:hideMark/>
          </w:tcPr>
          <w:p w14:paraId="7E73BF33"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11007.1</w:t>
            </w:r>
          </w:p>
        </w:tc>
        <w:tc>
          <w:tcPr>
            <w:tcW w:w="566" w:type="pct"/>
            <w:vAlign w:val="center"/>
            <w:hideMark/>
          </w:tcPr>
          <w:p w14:paraId="397B0E40" w14:textId="77777777" w:rsidR="007A6A1A" w:rsidRPr="00167CB8" w:rsidRDefault="007A6A1A" w:rsidP="003A7C61">
            <w:pPr>
              <w:keepNext/>
              <w:spacing w:after="0" w:line="240" w:lineRule="auto"/>
              <w:rPr>
                <w:rFonts w:cs="Calibri"/>
                <w:sz w:val="20"/>
                <w:szCs w:val="20"/>
              </w:rPr>
            </w:pPr>
            <w:r w:rsidRPr="00167CB8">
              <w:rPr>
                <w:rFonts w:cs="Calibri"/>
                <w:sz w:val="20"/>
                <w:szCs w:val="20"/>
              </w:rPr>
              <w:t>22.6%</w:t>
            </w:r>
          </w:p>
        </w:tc>
        <w:tc>
          <w:tcPr>
            <w:tcW w:w="567" w:type="pct"/>
            <w:tcBorders>
              <w:top w:val="nil"/>
              <w:left w:val="nil"/>
              <w:bottom w:val="nil"/>
              <w:right w:val="single" w:sz="8" w:space="0" w:color="auto"/>
            </w:tcBorders>
            <w:vAlign w:val="center"/>
            <w:hideMark/>
          </w:tcPr>
          <w:p w14:paraId="40DE7781" w14:textId="77777777" w:rsidR="007A6A1A" w:rsidRPr="00167CB8" w:rsidRDefault="007A6A1A" w:rsidP="003A7C61">
            <w:pPr>
              <w:keepNext/>
              <w:spacing w:after="0" w:line="240" w:lineRule="auto"/>
              <w:rPr>
                <w:rFonts w:cs="Calibri"/>
                <w:sz w:val="20"/>
                <w:szCs w:val="20"/>
              </w:rPr>
            </w:pPr>
            <w:r w:rsidRPr="00167CB8">
              <w:rPr>
                <w:rFonts w:cs="Calibri"/>
                <w:sz w:val="20"/>
                <w:szCs w:val="20"/>
              </w:rPr>
              <w:t>11.2%</w:t>
            </w:r>
          </w:p>
        </w:tc>
      </w:tr>
      <w:tr w:rsidR="007A6A1A" w:rsidRPr="00167CB8" w14:paraId="1F374C6D" w14:textId="77777777" w:rsidTr="003A7C61">
        <w:trPr>
          <w:trHeight w:val="340"/>
        </w:trPr>
        <w:tc>
          <w:tcPr>
            <w:tcW w:w="467" w:type="pct"/>
            <w:tcBorders>
              <w:top w:val="nil"/>
              <w:left w:val="single" w:sz="8" w:space="0" w:color="auto"/>
              <w:bottom w:val="nil"/>
              <w:right w:val="nil"/>
            </w:tcBorders>
            <w:vAlign w:val="center"/>
            <w:hideMark/>
          </w:tcPr>
          <w:p w14:paraId="323B8FAD"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Dec-21</w:t>
            </w:r>
          </w:p>
        </w:tc>
        <w:tc>
          <w:tcPr>
            <w:tcW w:w="566" w:type="pct"/>
            <w:vAlign w:val="center"/>
            <w:hideMark/>
          </w:tcPr>
          <w:p w14:paraId="3203ACE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44.7</w:t>
            </w:r>
          </w:p>
        </w:tc>
        <w:tc>
          <w:tcPr>
            <w:tcW w:w="567" w:type="pct"/>
            <w:vAlign w:val="center"/>
            <w:hideMark/>
          </w:tcPr>
          <w:p w14:paraId="520BDCB9"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105.4</w:t>
            </w:r>
          </w:p>
        </w:tc>
        <w:tc>
          <w:tcPr>
            <w:tcW w:w="566" w:type="pct"/>
            <w:vAlign w:val="center"/>
            <w:hideMark/>
          </w:tcPr>
          <w:p w14:paraId="2C1F8CC2"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411</w:t>
            </w:r>
          </w:p>
        </w:tc>
        <w:tc>
          <w:tcPr>
            <w:tcW w:w="567" w:type="pct"/>
            <w:vAlign w:val="center"/>
            <w:hideMark/>
          </w:tcPr>
          <w:p w14:paraId="5167C95D"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1,249</w:t>
            </w:r>
          </w:p>
        </w:tc>
        <w:tc>
          <w:tcPr>
            <w:tcW w:w="566" w:type="pct"/>
            <w:vAlign w:val="center"/>
            <w:hideMark/>
          </w:tcPr>
          <w:p w14:paraId="15A4DB4A"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1951.9</w:t>
            </w:r>
          </w:p>
        </w:tc>
        <w:tc>
          <w:tcPr>
            <w:tcW w:w="567" w:type="pct"/>
            <w:vAlign w:val="center"/>
            <w:hideMark/>
          </w:tcPr>
          <w:p w14:paraId="707D6BF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11252.3</w:t>
            </w:r>
          </w:p>
        </w:tc>
        <w:tc>
          <w:tcPr>
            <w:tcW w:w="566" w:type="pct"/>
            <w:vAlign w:val="center"/>
            <w:hideMark/>
          </w:tcPr>
          <w:p w14:paraId="16A2D006" w14:textId="77777777" w:rsidR="007A6A1A" w:rsidRPr="00167CB8" w:rsidRDefault="007A6A1A" w:rsidP="003A7C61">
            <w:pPr>
              <w:keepNext/>
              <w:spacing w:after="0" w:line="240" w:lineRule="auto"/>
              <w:rPr>
                <w:rFonts w:cs="Calibri"/>
                <w:sz w:val="20"/>
                <w:szCs w:val="20"/>
              </w:rPr>
            </w:pPr>
            <w:r w:rsidRPr="00167CB8">
              <w:rPr>
                <w:rFonts w:cs="Calibri"/>
                <w:sz w:val="20"/>
                <w:szCs w:val="20"/>
              </w:rPr>
              <w:t>21.1%</w:t>
            </w:r>
          </w:p>
        </w:tc>
        <w:tc>
          <w:tcPr>
            <w:tcW w:w="567" w:type="pct"/>
            <w:tcBorders>
              <w:top w:val="nil"/>
              <w:left w:val="nil"/>
              <w:bottom w:val="nil"/>
              <w:right w:val="single" w:sz="8" w:space="0" w:color="auto"/>
            </w:tcBorders>
            <w:vAlign w:val="center"/>
            <w:hideMark/>
          </w:tcPr>
          <w:p w14:paraId="7F133724" w14:textId="77777777" w:rsidR="007A6A1A" w:rsidRPr="00167CB8" w:rsidRDefault="007A6A1A" w:rsidP="003A7C61">
            <w:pPr>
              <w:keepNext/>
              <w:spacing w:after="0" w:line="240" w:lineRule="auto"/>
              <w:rPr>
                <w:rFonts w:cs="Calibri"/>
                <w:sz w:val="20"/>
                <w:szCs w:val="20"/>
              </w:rPr>
            </w:pPr>
            <w:r w:rsidRPr="00167CB8">
              <w:rPr>
                <w:rFonts w:cs="Calibri"/>
                <w:sz w:val="20"/>
                <w:szCs w:val="20"/>
              </w:rPr>
              <w:t>11.1%</w:t>
            </w:r>
          </w:p>
        </w:tc>
      </w:tr>
      <w:tr w:rsidR="007A6A1A" w:rsidRPr="00167CB8" w14:paraId="17B24DEF" w14:textId="77777777" w:rsidTr="003A7C61">
        <w:trPr>
          <w:trHeight w:val="340"/>
        </w:trPr>
        <w:tc>
          <w:tcPr>
            <w:tcW w:w="467" w:type="pct"/>
            <w:tcBorders>
              <w:top w:val="nil"/>
              <w:left w:val="single" w:sz="8" w:space="0" w:color="auto"/>
              <w:bottom w:val="nil"/>
              <w:right w:val="nil"/>
            </w:tcBorders>
            <w:vAlign w:val="center"/>
            <w:hideMark/>
          </w:tcPr>
          <w:p w14:paraId="277BBE4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Mar-22</w:t>
            </w:r>
          </w:p>
        </w:tc>
        <w:tc>
          <w:tcPr>
            <w:tcW w:w="566" w:type="pct"/>
            <w:vAlign w:val="center"/>
            <w:hideMark/>
          </w:tcPr>
          <w:p w14:paraId="513E701F"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120.3</w:t>
            </w:r>
          </w:p>
        </w:tc>
        <w:tc>
          <w:tcPr>
            <w:tcW w:w="567" w:type="pct"/>
            <w:vAlign w:val="center"/>
            <w:hideMark/>
          </w:tcPr>
          <w:p w14:paraId="63602B0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126.7</w:t>
            </w:r>
          </w:p>
        </w:tc>
        <w:tc>
          <w:tcPr>
            <w:tcW w:w="566" w:type="pct"/>
            <w:vAlign w:val="center"/>
            <w:hideMark/>
          </w:tcPr>
          <w:p w14:paraId="7B609119"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438</w:t>
            </w:r>
          </w:p>
        </w:tc>
        <w:tc>
          <w:tcPr>
            <w:tcW w:w="567" w:type="pct"/>
            <w:vAlign w:val="center"/>
            <w:hideMark/>
          </w:tcPr>
          <w:p w14:paraId="42AB6431"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1,227</w:t>
            </w:r>
          </w:p>
        </w:tc>
        <w:tc>
          <w:tcPr>
            <w:tcW w:w="566" w:type="pct"/>
            <w:vAlign w:val="center"/>
            <w:hideMark/>
          </w:tcPr>
          <w:p w14:paraId="442F8C3C"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1985.1</w:t>
            </w:r>
          </w:p>
        </w:tc>
        <w:tc>
          <w:tcPr>
            <w:tcW w:w="567" w:type="pct"/>
            <w:vAlign w:val="center"/>
            <w:hideMark/>
          </w:tcPr>
          <w:p w14:paraId="6F23AADE"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11453.3</w:t>
            </w:r>
          </w:p>
        </w:tc>
        <w:tc>
          <w:tcPr>
            <w:tcW w:w="566" w:type="pct"/>
            <w:vAlign w:val="center"/>
            <w:hideMark/>
          </w:tcPr>
          <w:p w14:paraId="465EF505" w14:textId="77777777" w:rsidR="007A6A1A" w:rsidRPr="00167CB8" w:rsidRDefault="007A6A1A" w:rsidP="003A7C61">
            <w:pPr>
              <w:keepNext/>
              <w:spacing w:after="0" w:line="240" w:lineRule="auto"/>
              <w:rPr>
                <w:rFonts w:cs="Calibri"/>
                <w:sz w:val="20"/>
                <w:szCs w:val="20"/>
              </w:rPr>
            </w:pPr>
            <w:r w:rsidRPr="00167CB8">
              <w:rPr>
                <w:rFonts w:cs="Calibri"/>
                <w:sz w:val="20"/>
                <w:szCs w:val="20"/>
              </w:rPr>
              <w:t>22.1%</w:t>
            </w:r>
          </w:p>
        </w:tc>
        <w:tc>
          <w:tcPr>
            <w:tcW w:w="567" w:type="pct"/>
            <w:tcBorders>
              <w:top w:val="nil"/>
              <w:left w:val="nil"/>
              <w:bottom w:val="nil"/>
              <w:right w:val="single" w:sz="8" w:space="0" w:color="auto"/>
            </w:tcBorders>
            <w:vAlign w:val="center"/>
            <w:hideMark/>
          </w:tcPr>
          <w:p w14:paraId="43EA89B9" w14:textId="77777777" w:rsidR="007A6A1A" w:rsidRPr="00167CB8" w:rsidRDefault="007A6A1A" w:rsidP="003A7C61">
            <w:pPr>
              <w:keepNext/>
              <w:spacing w:after="0" w:line="240" w:lineRule="auto"/>
              <w:rPr>
                <w:rFonts w:cs="Calibri"/>
                <w:sz w:val="20"/>
                <w:szCs w:val="20"/>
              </w:rPr>
            </w:pPr>
            <w:r w:rsidRPr="00167CB8">
              <w:rPr>
                <w:rFonts w:cs="Calibri"/>
                <w:sz w:val="20"/>
                <w:szCs w:val="20"/>
              </w:rPr>
              <w:t>10.7%</w:t>
            </w:r>
          </w:p>
        </w:tc>
      </w:tr>
      <w:tr w:rsidR="007A6A1A" w:rsidRPr="00167CB8" w14:paraId="14017C56" w14:textId="77777777" w:rsidTr="003A7C61">
        <w:trPr>
          <w:trHeight w:val="340"/>
        </w:trPr>
        <w:tc>
          <w:tcPr>
            <w:tcW w:w="467" w:type="pct"/>
            <w:tcBorders>
              <w:top w:val="nil"/>
              <w:left w:val="single" w:sz="8" w:space="0" w:color="auto"/>
              <w:bottom w:val="nil"/>
              <w:right w:val="nil"/>
            </w:tcBorders>
            <w:vAlign w:val="center"/>
            <w:hideMark/>
          </w:tcPr>
          <w:p w14:paraId="2E64877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Jun-22</w:t>
            </w:r>
          </w:p>
        </w:tc>
        <w:tc>
          <w:tcPr>
            <w:tcW w:w="566" w:type="pct"/>
            <w:vAlign w:val="center"/>
            <w:hideMark/>
          </w:tcPr>
          <w:p w14:paraId="61AEB30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21.7</w:t>
            </w:r>
          </w:p>
        </w:tc>
        <w:tc>
          <w:tcPr>
            <w:tcW w:w="567" w:type="pct"/>
            <w:vAlign w:val="center"/>
            <w:hideMark/>
          </w:tcPr>
          <w:p w14:paraId="06180877"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133.1</w:t>
            </w:r>
          </w:p>
        </w:tc>
        <w:tc>
          <w:tcPr>
            <w:tcW w:w="566" w:type="pct"/>
            <w:vAlign w:val="center"/>
            <w:hideMark/>
          </w:tcPr>
          <w:p w14:paraId="630971A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466</w:t>
            </w:r>
          </w:p>
        </w:tc>
        <w:tc>
          <w:tcPr>
            <w:tcW w:w="567" w:type="pct"/>
            <w:vAlign w:val="center"/>
            <w:hideMark/>
          </w:tcPr>
          <w:p w14:paraId="7C5AFFB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1,286</w:t>
            </w:r>
          </w:p>
        </w:tc>
        <w:tc>
          <w:tcPr>
            <w:tcW w:w="566" w:type="pct"/>
            <w:vAlign w:val="center"/>
            <w:hideMark/>
          </w:tcPr>
          <w:p w14:paraId="4A120C91"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1967.0</w:t>
            </w:r>
          </w:p>
        </w:tc>
        <w:tc>
          <w:tcPr>
            <w:tcW w:w="567" w:type="pct"/>
            <w:vAlign w:val="center"/>
            <w:hideMark/>
          </w:tcPr>
          <w:p w14:paraId="3178E9EC"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11602.0</w:t>
            </w:r>
          </w:p>
        </w:tc>
        <w:tc>
          <w:tcPr>
            <w:tcW w:w="566" w:type="pct"/>
            <w:vAlign w:val="center"/>
            <w:hideMark/>
          </w:tcPr>
          <w:p w14:paraId="06B2D502" w14:textId="77777777" w:rsidR="007A6A1A" w:rsidRPr="00167CB8" w:rsidRDefault="007A6A1A" w:rsidP="003A7C61">
            <w:pPr>
              <w:keepNext/>
              <w:spacing w:after="0" w:line="240" w:lineRule="auto"/>
              <w:rPr>
                <w:rFonts w:cs="Calibri"/>
                <w:sz w:val="20"/>
                <w:szCs w:val="20"/>
              </w:rPr>
            </w:pPr>
            <w:r w:rsidRPr="00167CB8">
              <w:rPr>
                <w:rFonts w:cs="Calibri"/>
                <w:sz w:val="20"/>
                <w:szCs w:val="20"/>
              </w:rPr>
              <w:t>23.7%</w:t>
            </w:r>
          </w:p>
        </w:tc>
        <w:tc>
          <w:tcPr>
            <w:tcW w:w="567" w:type="pct"/>
            <w:tcBorders>
              <w:top w:val="nil"/>
              <w:left w:val="nil"/>
              <w:bottom w:val="nil"/>
              <w:right w:val="single" w:sz="8" w:space="0" w:color="auto"/>
            </w:tcBorders>
            <w:vAlign w:val="center"/>
            <w:hideMark/>
          </w:tcPr>
          <w:p w14:paraId="15A27224" w14:textId="77777777" w:rsidR="007A6A1A" w:rsidRPr="00167CB8" w:rsidRDefault="007A6A1A" w:rsidP="003A7C61">
            <w:pPr>
              <w:keepNext/>
              <w:spacing w:after="0" w:line="240" w:lineRule="auto"/>
              <w:rPr>
                <w:rFonts w:cs="Calibri"/>
                <w:sz w:val="20"/>
                <w:szCs w:val="20"/>
              </w:rPr>
            </w:pPr>
            <w:r w:rsidRPr="00167CB8">
              <w:rPr>
                <w:rFonts w:cs="Calibri"/>
                <w:sz w:val="20"/>
                <w:szCs w:val="20"/>
              </w:rPr>
              <w:t>11.1%</w:t>
            </w:r>
          </w:p>
        </w:tc>
      </w:tr>
      <w:tr w:rsidR="007A6A1A" w:rsidRPr="00167CB8" w14:paraId="3F1F2F76" w14:textId="77777777" w:rsidTr="003A7C61">
        <w:trPr>
          <w:trHeight w:val="340"/>
        </w:trPr>
        <w:tc>
          <w:tcPr>
            <w:tcW w:w="467" w:type="pct"/>
            <w:tcBorders>
              <w:top w:val="nil"/>
              <w:left w:val="single" w:sz="8" w:space="0" w:color="auto"/>
              <w:bottom w:val="nil"/>
              <w:right w:val="nil"/>
            </w:tcBorders>
            <w:vAlign w:val="center"/>
            <w:hideMark/>
          </w:tcPr>
          <w:p w14:paraId="180BBDFF"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Sep-22</w:t>
            </w:r>
          </w:p>
        </w:tc>
        <w:tc>
          <w:tcPr>
            <w:tcW w:w="566" w:type="pct"/>
            <w:vAlign w:val="center"/>
            <w:hideMark/>
          </w:tcPr>
          <w:p w14:paraId="15848F72"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103.2</w:t>
            </w:r>
          </w:p>
        </w:tc>
        <w:tc>
          <w:tcPr>
            <w:tcW w:w="567" w:type="pct"/>
            <w:vAlign w:val="center"/>
            <w:hideMark/>
          </w:tcPr>
          <w:p w14:paraId="197FB78C"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110.5</w:t>
            </w:r>
          </w:p>
        </w:tc>
        <w:tc>
          <w:tcPr>
            <w:tcW w:w="566" w:type="pct"/>
            <w:vAlign w:val="center"/>
            <w:hideMark/>
          </w:tcPr>
          <w:p w14:paraId="53B1330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481</w:t>
            </w:r>
          </w:p>
        </w:tc>
        <w:tc>
          <w:tcPr>
            <w:tcW w:w="567" w:type="pct"/>
            <w:vAlign w:val="center"/>
            <w:hideMark/>
          </w:tcPr>
          <w:p w14:paraId="4FFE693B"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1,251</w:t>
            </w:r>
          </w:p>
        </w:tc>
        <w:tc>
          <w:tcPr>
            <w:tcW w:w="566" w:type="pct"/>
            <w:vAlign w:val="center"/>
            <w:hideMark/>
          </w:tcPr>
          <w:p w14:paraId="6E17DB4A"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1918.3</w:t>
            </w:r>
          </w:p>
        </w:tc>
        <w:tc>
          <w:tcPr>
            <w:tcW w:w="567" w:type="pct"/>
            <w:vAlign w:val="center"/>
            <w:hideMark/>
          </w:tcPr>
          <w:p w14:paraId="2444A47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11676.4</w:t>
            </w:r>
          </w:p>
        </w:tc>
        <w:tc>
          <w:tcPr>
            <w:tcW w:w="566" w:type="pct"/>
            <w:vAlign w:val="center"/>
            <w:hideMark/>
          </w:tcPr>
          <w:p w14:paraId="78652E95" w14:textId="77777777" w:rsidR="007A6A1A" w:rsidRPr="00167CB8" w:rsidRDefault="007A6A1A" w:rsidP="003A7C61">
            <w:pPr>
              <w:keepNext/>
              <w:spacing w:after="0" w:line="240" w:lineRule="auto"/>
              <w:rPr>
                <w:rFonts w:cs="Calibri"/>
                <w:sz w:val="20"/>
                <w:szCs w:val="20"/>
              </w:rPr>
            </w:pPr>
            <w:r w:rsidRPr="00167CB8">
              <w:rPr>
                <w:rFonts w:cs="Calibri"/>
                <w:sz w:val="20"/>
                <w:szCs w:val="20"/>
              </w:rPr>
              <w:t>25.1%</w:t>
            </w:r>
          </w:p>
        </w:tc>
        <w:tc>
          <w:tcPr>
            <w:tcW w:w="567" w:type="pct"/>
            <w:tcBorders>
              <w:top w:val="nil"/>
              <w:left w:val="nil"/>
              <w:bottom w:val="nil"/>
              <w:right w:val="single" w:sz="8" w:space="0" w:color="auto"/>
            </w:tcBorders>
            <w:vAlign w:val="center"/>
            <w:hideMark/>
          </w:tcPr>
          <w:p w14:paraId="5CB8F86C" w14:textId="77777777" w:rsidR="007A6A1A" w:rsidRPr="00167CB8" w:rsidRDefault="007A6A1A" w:rsidP="003A7C61">
            <w:pPr>
              <w:keepNext/>
              <w:spacing w:after="0" w:line="240" w:lineRule="auto"/>
              <w:rPr>
                <w:rFonts w:cs="Calibri"/>
                <w:sz w:val="20"/>
                <w:szCs w:val="20"/>
              </w:rPr>
            </w:pPr>
            <w:r w:rsidRPr="00167CB8">
              <w:rPr>
                <w:rFonts w:cs="Calibri"/>
                <w:sz w:val="20"/>
                <w:szCs w:val="20"/>
              </w:rPr>
              <w:t>10.7%</w:t>
            </w:r>
          </w:p>
        </w:tc>
      </w:tr>
      <w:tr w:rsidR="007A6A1A" w:rsidRPr="00167CB8" w14:paraId="6B97BCE2" w14:textId="77777777" w:rsidTr="003A7C61">
        <w:trPr>
          <w:trHeight w:val="340"/>
        </w:trPr>
        <w:tc>
          <w:tcPr>
            <w:tcW w:w="467" w:type="pct"/>
            <w:tcBorders>
              <w:top w:val="nil"/>
              <w:left w:val="single" w:sz="8" w:space="0" w:color="auto"/>
              <w:bottom w:val="nil"/>
              <w:right w:val="nil"/>
            </w:tcBorders>
            <w:vAlign w:val="center"/>
            <w:hideMark/>
          </w:tcPr>
          <w:p w14:paraId="2A6C8EBF"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Dec-22</w:t>
            </w:r>
          </w:p>
        </w:tc>
        <w:tc>
          <w:tcPr>
            <w:tcW w:w="566" w:type="pct"/>
            <w:vAlign w:val="center"/>
            <w:hideMark/>
          </w:tcPr>
          <w:p w14:paraId="21ACF6CD"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70</w:t>
            </w:r>
          </w:p>
        </w:tc>
        <w:tc>
          <w:tcPr>
            <w:tcW w:w="567" w:type="pct"/>
            <w:vAlign w:val="center"/>
            <w:hideMark/>
          </w:tcPr>
          <w:p w14:paraId="0384DFE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152.1</w:t>
            </w:r>
          </w:p>
        </w:tc>
        <w:tc>
          <w:tcPr>
            <w:tcW w:w="566" w:type="pct"/>
            <w:vAlign w:val="center"/>
            <w:hideMark/>
          </w:tcPr>
          <w:p w14:paraId="1B8E7B0F"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507</w:t>
            </w:r>
          </w:p>
        </w:tc>
        <w:tc>
          <w:tcPr>
            <w:tcW w:w="567" w:type="pct"/>
            <w:vAlign w:val="center"/>
            <w:hideMark/>
          </w:tcPr>
          <w:p w14:paraId="4413B5A2"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1,292</w:t>
            </w:r>
          </w:p>
        </w:tc>
        <w:tc>
          <w:tcPr>
            <w:tcW w:w="566" w:type="pct"/>
            <w:vAlign w:val="center"/>
            <w:hideMark/>
          </w:tcPr>
          <w:p w14:paraId="432BD0C2"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1975.6</w:t>
            </w:r>
          </w:p>
        </w:tc>
        <w:tc>
          <w:tcPr>
            <w:tcW w:w="567" w:type="pct"/>
            <w:vAlign w:val="center"/>
            <w:hideMark/>
          </w:tcPr>
          <w:p w14:paraId="02F47234"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11862.9</w:t>
            </w:r>
          </w:p>
        </w:tc>
        <w:tc>
          <w:tcPr>
            <w:tcW w:w="566" w:type="pct"/>
            <w:vAlign w:val="center"/>
            <w:hideMark/>
          </w:tcPr>
          <w:p w14:paraId="76CDF28E" w14:textId="77777777" w:rsidR="007A6A1A" w:rsidRPr="00167CB8" w:rsidRDefault="007A6A1A" w:rsidP="003A7C61">
            <w:pPr>
              <w:keepNext/>
              <w:spacing w:after="0" w:line="240" w:lineRule="auto"/>
              <w:rPr>
                <w:rFonts w:cs="Calibri"/>
                <w:sz w:val="20"/>
                <w:szCs w:val="20"/>
              </w:rPr>
            </w:pPr>
            <w:r w:rsidRPr="00167CB8">
              <w:rPr>
                <w:rFonts w:cs="Calibri"/>
                <w:sz w:val="20"/>
                <w:szCs w:val="20"/>
              </w:rPr>
              <w:t>25.7%</w:t>
            </w:r>
          </w:p>
        </w:tc>
        <w:tc>
          <w:tcPr>
            <w:tcW w:w="567" w:type="pct"/>
            <w:tcBorders>
              <w:top w:val="nil"/>
              <w:left w:val="nil"/>
              <w:bottom w:val="nil"/>
              <w:right w:val="single" w:sz="8" w:space="0" w:color="auto"/>
            </w:tcBorders>
            <w:vAlign w:val="center"/>
            <w:hideMark/>
          </w:tcPr>
          <w:p w14:paraId="55DF1E3C" w14:textId="77777777" w:rsidR="007A6A1A" w:rsidRPr="00167CB8" w:rsidRDefault="007A6A1A" w:rsidP="003A7C61">
            <w:pPr>
              <w:keepNext/>
              <w:spacing w:after="0" w:line="240" w:lineRule="auto"/>
              <w:rPr>
                <w:rFonts w:cs="Calibri"/>
                <w:sz w:val="20"/>
                <w:szCs w:val="20"/>
              </w:rPr>
            </w:pPr>
            <w:r w:rsidRPr="00167CB8">
              <w:rPr>
                <w:rFonts w:cs="Calibri"/>
                <w:sz w:val="20"/>
                <w:szCs w:val="20"/>
              </w:rPr>
              <w:t>10.9%</w:t>
            </w:r>
          </w:p>
        </w:tc>
      </w:tr>
      <w:tr w:rsidR="007A6A1A" w:rsidRPr="00167CB8" w14:paraId="1CAB3181" w14:textId="77777777" w:rsidTr="003A7C61">
        <w:trPr>
          <w:trHeight w:val="340"/>
        </w:trPr>
        <w:tc>
          <w:tcPr>
            <w:tcW w:w="467" w:type="pct"/>
            <w:tcBorders>
              <w:top w:val="nil"/>
              <w:left w:val="single" w:sz="8" w:space="0" w:color="auto"/>
              <w:bottom w:val="nil"/>
              <w:right w:val="nil"/>
            </w:tcBorders>
            <w:vAlign w:val="center"/>
            <w:hideMark/>
          </w:tcPr>
          <w:p w14:paraId="3736292E"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Mar-23</w:t>
            </w:r>
          </w:p>
        </w:tc>
        <w:tc>
          <w:tcPr>
            <w:tcW w:w="566" w:type="pct"/>
            <w:vAlign w:val="center"/>
            <w:hideMark/>
          </w:tcPr>
          <w:p w14:paraId="33D6A5F3"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33.4</w:t>
            </w:r>
          </w:p>
        </w:tc>
        <w:tc>
          <w:tcPr>
            <w:tcW w:w="567" w:type="pct"/>
            <w:vAlign w:val="center"/>
            <w:hideMark/>
          </w:tcPr>
          <w:p w14:paraId="4CA925C1"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101</w:t>
            </w:r>
          </w:p>
        </w:tc>
        <w:tc>
          <w:tcPr>
            <w:tcW w:w="566" w:type="pct"/>
            <w:vAlign w:val="center"/>
            <w:hideMark/>
          </w:tcPr>
          <w:p w14:paraId="101A4C16"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522</w:t>
            </w:r>
          </w:p>
        </w:tc>
        <w:tc>
          <w:tcPr>
            <w:tcW w:w="567" w:type="pct"/>
            <w:vAlign w:val="center"/>
            <w:hideMark/>
          </w:tcPr>
          <w:p w14:paraId="5BE59BD7"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1,215</w:t>
            </w:r>
          </w:p>
        </w:tc>
        <w:tc>
          <w:tcPr>
            <w:tcW w:w="566" w:type="pct"/>
            <w:vAlign w:val="center"/>
            <w:hideMark/>
          </w:tcPr>
          <w:p w14:paraId="12987B9F"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1883.0</w:t>
            </w:r>
          </w:p>
        </w:tc>
        <w:tc>
          <w:tcPr>
            <w:tcW w:w="567" w:type="pct"/>
            <w:vAlign w:val="center"/>
            <w:hideMark/>
          </w:tcPr>
          <w:p w14:paraId="7ECB478B"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12032.8</w:t>
            </w:r>
          </w:p>
        </w:tc>
        <w:tc>
          <w:tcPr>
            <w:tcW w:w="566" w:type="pct"/>
            <w:vAlign w:val="center"/>
            <w:hideMark/>
          </w:tcPr>
          <w:p w14:paraId="578495F5" w14:textId="77777777" w:rsidR="007A6A1A" w:rsidRPr="00167CB8" w:rsidRDefault="007A6A1A" w:rsidP="003A7C61">
            <w:pPr>
              <w:keepNext/>
              <w:spacing w:after="0" w:line="240" w:lineRule="auto"/>
              <w:rPr>
                <w:rFonts w:cs="Calibri"/>
                <w:sz w:val="20"/>
                <w:szCs w:val="20"/>
              </w:rPr>
            </w:pPr>
            <w:r w:rsidRPr="00167CB8">
              <w:rPr>
                <w:rFonts w:cs="Calibri"/>
                <w:sz w:val="20"/>
                <w:szCs w:val="20"/>
              </w:rPr>
              <w:t>27.7%</w:t>
            </w:r>
          </w:p>
        </w:tc>
        <w:tc>
          <w:tcPr>
            <w:tcW w:w="567" w:type="pct"/>
            <w:tcBorders>
              <w:top w:val="nil"/>
              <w:left w:val="nil"/>
              <w:bottom w:val="nil"/>
              <w:right w:val="single" w:sz="8" w:space="0" w:color="auto"/>
            </w:tcBorders>
            <w:vAlign w:val="center"/>
            <w:hideMark/>
          </w:tcPr>
          <w:p w14:paraId="1479B897" w14:textId="77777777" w:rsidR="007A6A1A" w:rsidRPr="00167CB8" w:rsidRDefault="007A6A1A" w:rsidP="003A7C61">
            <w:pPr>
              <w:keepNext/>
              <w:spacing w:after="0" w:line="240" w:lineRule="auto"/>
              <w:rPr>
                <w:rFonts w:cs="Calibri"/>
                <w:sz w:val="20"/>
                <w:szCs w:val="20"/>
              </w:rPr>
            </w:pPr>
            <w:r w:rsidRPr="00167CB8">
              <w:rPr>
                <w:rFonts w:cs="Calibri"/>
                <w:sz w:val="20"/>
                <w:szCs w:val="20"/>
              </w:rPr>
              <w:t>10.1%</w:t>
            </w:r>
          </w:p>
        </w:tc>
      </w:tr>
      <w:tr w:rsidR="007A6A1A" w:rsidRPr="00167CB8" w14:paraId="565B7FF8" w14:textId="77777777" w:rsidTr="003A7C61">
        <w:trPr>
          <w:trHeight w:val="340"/>
        </w:trPr>
        <w:tc>
          <w:tcPr>
            <w:tcW w:w="467" w:type="pct"/>
            <w:tcBorders>
              <w:top w:val="nil"/>
              <w:left w:val="single" w:sz="8" w:space="0" w:color="auto"/>
              <w:bottom w:val="nil"/>
              <w:right w:val="nil"/>
            </w:tcBorders>
            <w:vAlign w:val="center"/>
            <w:hideMark/>
          </w:tcPr>
          <w:p w14:paraId="6E96E1A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Jun-23</w:t>
            </w:r>
          </w:p>
        </w:tc>
        <w:tc>
          <w:tcPr>
            <w:tcW w:w="566" w:type="pct"/>
            <w:vAlign w:val="center"/>
            <w:hideMark/>
          </w:tcPr>
          <w:p w14:paraId="2D5AA712"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33.5</w:t>
            </w:r>
          </w:p>
        </w:tc>
        <w:tc>
          <w:tcPr>
            <w:tcW w:w="567" w:type="pct"/>
            <w:vAlign w:val="center"/>
            <w:hideMark/>
          </w:tcPr>
          <w:p w14:paraId="09C81F6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102.7</w:t>
            </w:r>
          </w:p>
        </w:tc>
        <w:tc>
          <w:tcPr>
            <w:tcW w:w="566" w:type="pct"/>
            <w:vAlign w:val="center"/>
            <w:hideMark/>
          </w:tcPr>
          <w:p w14:paraId="5D697F4B"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547</w:t>
            </w:r>
          </w:p>
        </w:tc>
        <w:tc>
          <w:tcPr>
            <w:tcW w:w="567" w:type="pct"/>
            <w:vAlign w:val="center"/>
            <w:hideMark/>
          </w:tcPr>
          <w:p w14:paraId="33454806"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1,242</w:t>
            </w:r>
          </w:p>
        </w:tc>
        <w:tc>
          <w:tcPr>
            <w:tcW w:w="566" w:type="pct"/>
            <w:vAlign w:val="center"/>
            <w:hideMark/>
          </w:tcPr>
          <w:p w14:paraId="03E8D79D"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1969.8</w:t>
            </w:r>
          </w:p>
        </w:tc>
        <w:tc>
          <w:tcPr>
            <w:tcW w:w="567" w:type="pct"/>
            <w:vAlign w:val="center"/>
            <w:hideMark/>
          </w:tcPr>
          <w:p w14:paraId="16A455D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12126.1</w:t>
            </w:r>
          </w:p>
        </w:tc>
        <w:tc>
          <w:tcPr>
            <w:tcW w:w="566" w:type="pct"/>
            <w:vAlign w:val="center"/>
            <w:hideMark/>
          </w:tcPr>
          <w:p w14:paraId="397CD3BF" w14:textId="77777777" w:rsidR="007A6A1A" w:rsidRPr="00167CB8" w:rsidRDefault="007A6A1A" w:rsidP="003A7C61">
            <w:pPr>
              <w:keepNext/>
              <w:spacing w:after="0" w:line="240" w:lineRule="auto"/>
              <w:rPr>
                <w:rFonts w:cs="Calibri"/>
                <w:sz w:val="20"/>
                <w:szCs w:val="20"/>
              </w:rPr>
            </w:pPr>
            <w:r w:rsidRPr="00167CB8">
              <w:rPr>
                <w:rFonts w:cs="Calibri"/>
                <w:sz w:val="20"/>
                <w:szCs w:val="20"/>
              </w:rPr>
              <w:t>27.8%</w:t>
            </w:r>
          </w:p>
        </w:tc>
        <w:tc>
          <w:tcPr>
            <w:tcW w:w="567" w:type="pct"/>
            <w:tcBorders>
              <w:top w:val="nil"/>
              <w:left w:val="nil"/>
              <w:bottom w:val="nil"/>
              <w:right w:val="single" w:sz="8" w:space="0" w:color="auto"/>
            </w:tcBorders>
            <w:vAlign w:val="center"/>
            <w:hideMark/>
          </w:tcPr>
          <w:p w14:paraId="04D40F4C" w14:textId="77777777" w:rsidR="007A6A1A" w:rsidRPr="00167CB8" w:rsidRDefault="007A6A1A" w:rsidP="003A7C61">
            <w:pPr>
              <w:keepNext/>
              <w:spacing w:after="0" w:line="240" w:lineRule="auto"/>
              <w:rPr>
                <w:rFonts w:cs="Calibri"/>
                <w:sz w:val="20"/>
                <w:szCs w:val="20"/>
              </w:rPr>
            </w:pPr>
            <w:r w:rsidRPr="00167CB8">
              <w:rPr>
                <w:rFonts w:cs="Calibri"/>
                <w:sz w:val="20"/>
                <w:szCs w:val="20"/>
              </w:rPr>
              <w:t>10.2%</w:t>
            </w:r>
          </w:p>
        </w:tc>
      </w:tr>
      <w:tr w:rsidR="007A6A1A" w:rsidRPr="00167CB8" w14:paraId="373DE008" w14:textId="77777777" w:rsidTr="003A7C61">
        <w:trPr>
          <w:trHeight w:val="340"/>
        </w:trPr>
        <w:tc>
          <w:tcPr>
            <w:tcW w:w="467" w:type="pct"/>
            <w:tcBorders>
              <w:top w:val="nil"/>
              <w:left w:val="single" w:sz="8" w:space="0" w:color="auto"/>
              <w:bottom w:val="nil"/>
              <w:right w:val="nil"/>
            </w:tcBorders>
            <w:vAlign w:val="center"/>
            <w:hideMark/>
          </w:tcPr>
          <w:p w14:paraId="0F49312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Sep-23</w:t>
            </w:r>
          </w:p>
        </w:tc>
        <w:tc>
          <w:tcPr>
            <w:tcW w:w="566" w:type="pct"/>
            <w:vAlign w:val="center"/>
            <w:hideMark/>
          </w:tcPr>
          <w:p w14:paraId="05EE5EE9"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83.8</w:t>
            </w:r>
          </w:p>
        </w:tc>
        <w:tc>
          <w:tcPr>
            <w:tcW w:w="567" w:type="pct"/>
            <w:vAlign w:val="center"/>
            <w:hideMark/>
          </w:tcPr>
          <w:p w14:paraId="24BBD2A9"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211.9</w:t>
            </w:r>
          </w:p>
        </w:tc>
        <w:tc>
          <w:tcPr>
            <w:tcW w:w="566" w:type="pct"/>
            <w:vAlign w:val="center"/>
            <w:hideMark/>
          </w:tcPr>
          <w:p w14:paraId="548D51D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598</w:t>
            </w:r>
          </w:p>
        </w:tc>
        <w:tc>
          <w:tcPr>
            <w:tcW w:w="567" w:type="pct"/>
            <w:vAlign w:val="center"/>
            <w:hideMark/>
          </w:tcPr>
          <w:p w14:paraId="4C89AB00"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1,215</w:t>
            </w:r>
          </w:p>
        </w:tc>
        <w:tc>
          <w:tcPr>
            <w:tcW w:w="566" w:type="pct"/>
            <w:vAlign w:val="center"/>
            <w:hideMark/>
          </w:tcPr>
          <w:p w14:paraId="58720F8B"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1937.6</w:t>
            </w:r>
          </w:p>
        </w:tc>
        <w:tc>
          <w:tcPr>
            <w:tcW w:w="567" w:type="pct"/>
            <w:vAlign w:val="center"/>
            <w:hideMark/>
          </w:tcPr>
          <w:p w14:paraId="2ACB1A98"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12081.9</w:t>
            </w:r>
          </w:p>
        </w:tc>
        <w:tc>
          <w:tcPr>
            <w:tcW w:w="566" w:type="pct"/>
            <w:vAlign w:val="center"/>
            <w:hideMark/>
          </w:tcPr>
          <w:p w14:paraId="4CC7FD8E" w14:textId="77777777" w:rsidR="007A6A1A" w:rsidRPr="00167CB8" w:rsidRDefault="007A6A1A" w:rsidP="003A7C61">
            <w:pPr>
              <w:keepNext/>
              <w:spacing w:after="0" w:line="240" w:lineRule="auto"/>
              <w:rPr>
                <w:rFonts w:cs="Calibri"/>
                <w:sz w:val="20"/>
                <w:szCs w:val="20"/>
              </w:rPr>
            </w:pPr>
            <w:r w:rsidRPr="00167CB8">
              <w:rPr>
                <w:rFonts w:cs="Calibri"/>
                <w:sz w:val="20"/>
                <w:szCs w:val="20"/>
              </w:rPr>
              <w:t>30.9%</w:t>
            </w:r>
          </w:p>
        </w:tc>
        <w:tc>
          <w:tcPr>
            <w:tcW w:w="567" w:type="pct"/>
            <w:tcBorders>
              <w:top w:val="nil"/>
              <w:left w:val="nil"/>
              <w:bottom w:val="nil"/>
              <w:right w:val="single" w:sz="8" w:space="0" w:color="auto"/>
            </w:tcBorders>
            <w:vAlign w:val="center"/>
            <w:hideMark/>
          </w:tcPr>
          <w:p w14:paraId="2F56FD3D" w14:textId="77777777" w:rsidR="007A6A1A" w:rsidRPr="00167CB8" w:rsidRDefault="007A6A1A" w:rsidP="003A7C61">
            <w:pPr>
              <w:keepNext/>
              <w:spacing w:after="0" w:line="240" w:lineRule="auto"/>
              <w:rPr>
                <w:rFonts w:cs="Calibri"/>
                <w:sz w:val="20"/>
                <w:szCs w:val="20"/>
              </w:rPr>
            </w:pPr>
            <w:r w:rsidRPr="00167CB8">
              <w:rPr>
                <w:rFonts w:cs="Calibri"/>
                <w:sz w:val="20"/>
                <w:szCs w:val="20"/>
              </w:rPr>
              <w:t>10.1%</w:t>
            </w:r>
          </w:p>
        </w:tc>
      </w:tr>
      <w:tr w:rsidR="007A6A1A" w:rsidRPr="00167CB8" w14:paraId="42713A14" w14:textId="77777777" w:rsidTr="003A7C61">
        <w:trPr>
          <w:trHeight w:val="340"/>
        </w:trPr>
        <w:tc>
          <w:tcPr>
            <w:tcW w:w="467" w:type="pct"/>
            <w:tcBorders>
              <w:top w:val="nil"/>
              <w:left w:val="single" w:sz="8" w:space="0" w:color="auto"/>
              <w:bottom w:val="nil"/>
              <w:right w:val="nil"/>
            </w:tcBorders>
            <w:vAlign w:val="center"/>
            <w:hideMark/>
          </w:tcPr>
          <w:p w14:paraId="5BC868B3"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Dec-23</w:t>
            </w:r>
          </w:p>
        </w:tc>
        <w:tc>
          <w:tcPr>
            <w:tcW w:w="566" w:type="pct"/>
            <w:vAlign w:val="center"/>
            <w:hideMark/>
          </w:tcPr>
          <w:p w14:paraId="3265740B"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65.6</w:t>
            </w:r>
          </w:p>
        </w:tc>
        <w:tc>
          <w:tcPr>
            <w:tcW w:w="567" w:type="pct"/>
            <w:vAlign w:val="center"/>
            <w:hideMark/>
          </w:tcPr>
          <w:p w14:paraId="79219BBD"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211.3</w:t>
            </w:r>
          </w:p>
        </w:tc>
        <w:tc>
          <w:tcPr>
            <w:tcW w:w="566" w:type="pct"/>
            <w:vAlign w:val="center"/>
            <w:hideMark/>
          </w:tcPr>
          <w:p w14:paraId="1960A862"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635</w:t>
            </w:r>
          </w:p>
        </w:tc>
        <w:tc>
          <w:tcPr>
            <w:tcW w:w="567" w:type="pct"/>
            <w:vAlign w:val="center"/>
            <w:hideMark/>
          </w:tcPr>
          <w:p w14:paraId="2C2881DB"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1,398</w:t>
            </w:r>
          </w:p>
        </w:tc>
        <w:tc>
          <w:tcPr>
            <w:tcW w:w="566" w:type="pct"/>
            <w:vAlign w:val="center"/>
            <w:hideMark/>
          </w:tcPr>
          <w:p w14:paraId="290A88A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1980.2</w:t>
            </w:r>
          </w:p>
        </w:tc>
        <w:tc>
          <w:tcPr>
            <w:tcW w:w="567" w:type="pct"/>
            <w:vAlign w:val="center"/>
            <w:hideMark/>
          </w:tcPr>
          <w:p w14:paraId="14282257"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12283.6</w:t>
            </w:r>
          </w:p>
        </w:tc>
        <w:tc>
          <w:tcPr>
            <w:tcW w:w="566" w:type="pct"/>
            <w:vAlign w:val="center"/>
            <w:hideMark/>
          </w:tcPr>
          <w:p w14:paraId="62BA30A1" w14:textId="77777777" w:rsidR="007A6A1A" w:rsidRPr="00167CB8" w:rsidRDefault="007A6A1A" w:rsidP="003A7C61">
            <w:pPr>
              <w:keepNext/>
              <w:spacing w:after="0" w:line="240" w:lineRule="auto"/>
              <w:rPr>
                <w:rFonts w:cs="Calibri"/>
                <w:sz w:val="20"/>
                <w:szCs w:val="20"/>
              </w:rPr>
            </w:pPr>
            <w:r w:rsidRPr="00167CB8">
              <w:rPr>
                <w:rFonts w:cs="Calibri"/>
                <w:sz w:val="20"/>
                <w:szCs w:val="20"/>
              </w:rPr>
              <w:t>32.1%</w:t>
            </w:r>
          </w:p>
        </w:tc>
        <w:tc>
          <w:tcPr>
            <w:tcW w:w="567" w:type="pct"/>
            <w:tcBorders>
              <w:top w:val="nil"/>
              <w:left w:val="nil"/>
              <w:bottom w:val="nil"/>
              <w:right w:val="single" w:sz="8" w:space="0" w:color="auto"/>
            </w:tcBorders>
            <w:vAlign w:val="center"/>
            <w:hideMark/>
          </w:tcPr>
          <w:p w14:paraId="1BE88634" w14:textId="77777777" w:rsidR="007A6A1A" w:rsidRPr="00167CB8" w:rsidRDefault="007A6A1A" w:rsidP="003A7C61">
            <w:pPr>
              <w:keepNext/>
              <w:spacing w:after="0" w:line="240" w:lineRule="auto"/>
              <w:rPr>
                <w:rFonts w:cs="Calibri"/>
                <w:sz w:val="20"/>
                <w:szCs w:val="20"/>
              </w:rPr>
            </w:pPr>
            <w:r w:rsidRPr="00167CB8">
              <w:rPr>
                <w:rFonts w:cs="Calibri"/>
                <w:sz w:val="20"/>
                <w:szCs w:val="20"/>
              </w:rPr>
              <w:t>11.4%</w:t>
            </w:r>
          </w:p>
        </w:tc>
      </w:tr>
      <w:tr w:rsidR="007A6A1A" w:rsidRPr="00167CB8" w14:paraId="19B05798" w14:textId="77777777" w:rsidTr="003A7C61">
        <w:trPr>
          <w:trHeight w:val="340"/>
        </w:trPr>
        <w:tc>
          <w:tcPr>
            <w:tcW w:w="467" w:type="pct"/>
            <w:tcBorders>
              <w:top w:val="nil"/>
              <w:left w:val="single" w:sz="8" w:space="0" w:color="auto"/>
              <w:bottom w:val="nil"/>
              <w:right w:val="nil"/>
            </w:tcBorders>
            <w:vAlign w:val="center"/>
            <w:hideMark/>
          </w:tcPr>
          <w:p w14:paraId="0CCDEC2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Mar-24</w:t>
            </w:r>
          </w:p>
        </w:tc>
        <w:tc>
          <w:tcPr>
            <w:tcW w:w="566" w:type="pct"/>
            <w:vAlign w:val="center"/>
            <w:hideMark/>
          </w:tcPr>
          <w:p w14:paraId="52E97AAB"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201.9</w:t>
            </w:r>
          </w:p>
        </w:tc>
        <w:tc>
          <w:tcPr>
            <w:tcW w:w="567" w:type="pct"/>
            <w:vAlign w:val="center"/>
            <w:hideMark/>
          </w:tcPr>
          <w:p w14:paraId="6213DE8A"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163.1</w:t>
            </w:r>
          </w:p>
        </w:tc>
        <w:tc>
          <w:tcPr>
            <w:tcW w:w="566" w:type="pct"/>
            <w:vAlign w:val="center"/>
            <w:hideMark/>
          </w:tcPr>
          <w:p w14:paraId="2F4D4DF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692</w:t>
            </w:r>
          </w:p>
        </w:tc>
        <w:tc>
          <w:tcPr>
            <w:tcW w:w="567" w:type="pct"/>
            <w:vAlign w:val="center"/>
            <w:hideMark/>
          </w:tcPr>
          <w:p w14:paraId="43B4E3E8"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1,445</w:t>
            </w:r>
          </w:p>
        </w:tc>
        <w:tc>
          <w:tcPr>
            <w:tcW w:w="566" w:type="pct"/>
            <w:vAlign w:val="center"/>
            <w:hideMark/>
          </w:tcPr>
          <w:p w14:paraId="0D9819B2"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1994.0</w:t>
            </w:r>
          </w:p>
        </w:tc>
        <w:tc>
          <w:tcPr>
            <w:tcW w:w="567" w:type="pct"/>
            <w:vAlign w:val="center"/>
            <w:hideMark/>
          </w:tcPr>
          <w:p w14:paraId="1F1E700C"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12339.9</w:t>
            </w:r>
          </w:p>
        </w:tc>
        <w:tc>
          <w:tcPr>
            <w:tcW w:w="566" w:type="pct"/>
            <w:vAlign w:val="center"/>
            <w:hideMark/>
          </w:tcPr>
          <w:p w14:paraId="6DBD408B" w14:textId="77777777" w:rsidR="007A6A1A" w:rsidRPr="00167CB8" w:rsidRDefault="007A6A1A" w:rsidP="003A7C61">
            <w:pPr>
              <w:keepNext/>
              <w:spacing w:after="0" w:line="240" w:lineRule="auto"/>
              <w:rPr>
                <w:rFonts w:cs="Calibri"/>
                <w:sz w:val="20"/>
                <w:szCs w:val="20"/>
              </w:rPr>
            </w:pPr>
            <w:r w:rsidRPr="00167CB8">
              <w:rPr>
                <w:rFonts w:cs="Calibri"/>
                <w:sz w:val="20"/>
                <w:szCs w:val="20"/>
              </w:rPr>
              <w:t>34.7%</w:t>
            </w:r>
          </w:p>
        </w:tc>
        <w:tc>
          <w:tcPr>
            <w:tcW w:w="567" w:type="pct"/>
            <w:tcBorders>
              <w:top w:val="nil"/>
              <w:left w:val="nil"/>
              <w:bottom w:val="nil"/>
              <w:right w:val="single" w:sz="8" w:space="0" w:color="auto"/>
            </w:tcBorders>
            <w:vAlign w:val="center"/>
            <w:hideMark/>
          </w:tcPr>
          <w:p w14:paraId="1061F994" w14:textId="77777777" w:rsidR="007A6A1A" w:rsidRPr="00167CB8" w:rsidRDefault="007A6A1A" w:rsidP="003A7C61">
            <w:pPr>
              <w:keepNext/>
              <w:spacing w:after="0" w:line="240" w:lineRule="auto"/>
              <w:rPr>
                <w:rFonts w:cs="Calibri"/>
                <w:sz w:val="20"/>
                <w:szCs w:val="20"/>
              </w:rPr>
            </w:pPr>
            <w:r w:rsidRPr="00167CB8">
              <w:rPr>
                <w:rFonts w:cs="Calibri"/>
                <w:sz w:val="20"/>
                <w:szCs w:val="20"/>
              </w:rPr>
              <w:t>11.7%</w:t>
            </w:r>
          </w:p>
        </w:tc>
      </w:tr>
      <w:tr w:rsidR="007A6A1A" w:rsidRPr="00167CB8" w14:paraId="5CF1F469" w14:textId="77777777" w:rsidTr="003A7C61">
        <w:trPr>
          <w:trHeight w:val="340"/>
        </w:trPr>
        <w:tc>
          <w:tcPr>
            <w:tcW w:w="467" w:type="pct"/>
            <w:tcBorders>
              <w:top w:val="nil"/>
              <w:left w:val="single" w:sz="8" w:space="0" w:color="auto"/>
              <w:bottom w:val="nil"/>
              <w:right w:val="nil"/>
            </w:tcBorders>
            <w:vAlign w:val="center"/>
            <w:hideMark/>
          </w:tcPr>
          <w:p w14:paraId="1D1D17DF"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Jun-24</w:t>
            </w:r>
          </w:p>
        </w:tc>
        <w:tc>
          <w:tcPr>
            <w:tcW w:w="566" w:type="pct"/>
            <w:tcBorders>
              <w:top w:val="nil"/>
              <w:left w:val="nil"/>
              <w:bottom w:val="nil"/>
              <w:right w:val="nil"/>
            </w:tcBorders>
            <w:vAlign w:val="center"/>
            <w:hideMark/>
          </w:tcPr>
          <w:p w14:paraId="00297B97"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61.8</w:t>
            </w:r>
          </w:p>
        </w:tc>
        <w:tc>
          <w:tcPr>
            <w:tcW w:w="567" w:type="pct"/>
            <w:tcBorders>
              <w:top w:val="nil"/>
              <w:left w:val="nil"/>
              <w:bottom w:val="nil"/>
              <w:right w:val="nil"/>
            </w:tcBorders>
            <w:vAlign w:val="center"/>
            <w:hideMark/>
          </w:tcPr>
          <w:p w14:paraId="5276FE76"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213.6</w:t>
            </w:r>
          </w:p>
        </w:tc>
        <w:tc>
          <w:tcPr>
            <w:tcW w:w="566" w:type="pct"/>
            <w:tcBorders>
              <w:top w:val="nil"/>
              <w:left w:val="nil"/>
              <w:bottom w:val="nil"/>
              <w:right w:val="nil"/>
            </w:tcBorders>
            <w:vAlign w:val="center"/>
            <w:hideMark/>
          </w:tcPr>
          <w:p w14:paraId="3A0CCDF6"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730</w:t>
            </w:r>
          </w:p>
        </w:tc>
        <w:tc>
          <w:tcPr>
            <w:tcW w:w="567" w:type="pct"/>
            <w:tcBorders>
              <w:top w:val="nil"/>
              <w:left w:val="nil"/>
              <w:bottom w:val="nil"/>
              <w:right w:val="nil"/>
            </w:tcBorders>
            <w:vAlign w:val="center"/>
            <w:hideMark/>
          </w:tcPr>
          <w:p w14:paraId="1846171C" w14:textId="77777777" w:rsidR="007A6A1A" w:rsidRPr="00167CB8" w:rsidRDefault="007A6A1A" w:rsidP="003A7C61">
            <w:pPr>
              <w:keepNext/>
              <w:spacing w:after="0" w:line="240" w:lineRule="auto"/>
              <w:rPr>
                <w:rFonts w:cs="Calibri"/>
                <w:sz w:val="20"/>
                <w:szCs w:val="20"/>
              </w:rPr>
            </w:pPr>
            <w:r w:rsidRPr="00167CB8">
              <w:rPr>
                <w:rFonts w:cs="Calibri"/>
                <w:sz w:val="20"/>
                <w:szCs w:val="20"/>
                <w:lang w:val="en-US"/>
              </w:rPr>
              <w:t>1,480</w:t>
            </w:r>
          </w:p>
        </w:tc>
        <w:tc>
          <w:tcPr>
            <w:tcW w:w="566" w:type="pct"/>
            <w:tcBorders>
              <w:top w:val="nil"/>
              <w:left w:val="nil"/>
              <w:bottom w:val="nil"/>
              <w:right w:val="nil"/>
            </w:tcBorders>
            <w:vAlign w:val="center"/>
            <w:hideMark/>
          </w:tcPr>
          <w:p w14:paraId="53F13E4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2074.9</w:t>
            </w:r>
          </w:p>
        </w:tc>
        <w:tc>
          <w:tcPr>
            <w:tcW w:w="567" w:type="pct"/>
            <w:tcBorders>
              <w:top w:val="nil"/>
              <w:left w:val="nil"/>
              <w:bottom w:val="nil"/>
              <w:right w:val="nil"/>
            </w:tcBorders>
            <w:vAlign w:val="center"/>
            <w:hideMark/>
          </w:tcPr>
          <w:p w14:paraId="68EDF61D"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12313.8</w:t>
            </w:r>
          </w:p>
        </w:tc>
        <w:tc>
          <w:tcPr>
            <w:tcW w:w="566" w:type="pct"/>
            <w:tcBorders>
              <w:top w:val="nil"/>
              <w:left w:val="nil"/>
              <w:bottom w:val="nil"/>
              <w:right w:val="nil"/>
            </w:tcBorders>
            <w:vAlign w:val="center"/>
            <w:hideMark/>
          </w:tcPr>
          <w:p w14:paraId="0C07A0B6" w14:textId="77777777" w:rsidR="007A6A1A" w:rsidRPr="00167CB8" w:rsidRDefault="007A6A1A" w:rsidP="003A7C61">
            <w:pPr>
              <w:keepNext/>
              <w:spacing w:after="0" w:line="240" w:lineRule="auto"/>
              <w:rPr>
                <w:rFonts w:cs="Calibri"/>
                <w:sz w:val="20"/>
                <w:szCs w:val="20"/>
              </w:rPr>
            </w:pPr>
            <w:r w:rsidRPr="00167CB8">
              <w:rPr>
                <w:rFonts w:cs="Calibri"/>
                <w:sz w:val="20"/>
                <w:szCs w:val="20"/>
              </w:rPr>
              <w:t>35.1%</w:t>
            </w:r>
          </w:p>
        </w:tc>
        <w:tc>
          <w:tcPr>
            <w:tcW w:w="567" w:type="pct"/>
            <w:tcBorders>
              <w:top w:val="nil"/>
              <w:left w:val="nil"/>
              <w:bottom w:val="nil"/>
              <w:right w:val="single" w:sz="8" w:space="0" w:color="auto"/>
            </w:tcBorders>
            <w:vAlign w:val="center"/>
            <w:hideMark/>
          </w:tcPr>
          <w:p w14:paraId="1BAD285B" w14:textId="77777777" w:rsidR="007A6A1A" w:rsidRPr="00167CB8" w:rsidRDefault="007A6A1A" w:rsidP="003A7C61">
            <w:pPr>
              <w:keepNext/>
              <w:spacing w:after="0" w:line="240" w:lineRule="auto"/>
              <w:rPr>
                <w:rFonts w:cs="Calibri"/>
                <w:sz w:val="20"/>
                <w:szCs w:val="20"/>
              </w:rPr>
            </w:pPr>
            <w:r w:rsidRPr="00167CB8">
              <w:rPr>
                <w:rFonts w:cs="Calibri"/>
                <w:sz w:val="20"/>
                <w:szCs w:val="20"/>
              </w:rPr>
              <w:t>12.0%</w:t>
            </w:r>
          </w:p>
        </w:tc>
      </w:tr>
      <w:tr w:rsidR="007A6A1A" w:rsidRPr="00167CB8" w14:paraId="590001B1" w14:textId="77777777" w:rsidTr="003A7C61">
        <w:trPr>
          <w:trHeight w:val="340"/>
        </w:trPr>
        <w:tc>
          <w:tcPr>
            <w:tcW w:w="467" w:type="pct"/>
            <w:tcBorders>
              <w:top w:val="nil"/>
              <w:left w:val="single" w:sz="8" w:space="0" w:color="auto"/>
              <w:bottom w:val="single" w:sz="8" w:space="0" w:color="auto"/>
              <w:right w:val="nil"/>
            </w:tcBorders>
            <w:vAlign w:val="center"/>
          </w:tcPr>
          <w:p w14:paraId="493A59AE"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Sep-24</w:t>
            </w:r>
          </w:p>
        </w:tc>
        <w:tc>
          <w:tcPr>
            <w:tcW w:w="566" w:type="pct"/>
            <w:tcBorders>
              <w:top w:val="nil"/>
              <w:left w:val="nil"/>
              <w:bottom w:val="single" w:sz="8" w:space="0" w:color="auto"/>
              <w:right w:val="nil"/>
            </w:tcBorders>
            <w:vAlign w:val="center"/>
          </w:tcPr>
          <w:p w14:paraId="5E8F3383"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112.8</w:t>
            </w:r>
          </w:p>
        </w:tc>
        <w:tc>
          <w:tcPr>
            <w:tcW w:w="567" w:type="pct"/>
            <w:tcBorders>
              <w:top w:val="nil"/>
              <w:left w:val="nil"/>
              <w:bottom w:val="single" w:sz="8" w:space="0" w:color="auto"/>
              <w:right w:val="nil"/>
            </w:tcBorders>
            <w:vAlign w:val="center"/>
          </w:tcPr>
          <w:p w14:paraId="36B8177C"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228.3</w:t>
            </w:r>
          </w:p>
        </w:tc>
        <w:tc>
          <w:tcPr>
            <w:tcW w:w="566" w:type="pct"/>
            <w:tcBorders>
              <w:top w:val="nil"/>
              <w:left w:val="nil"/>
              <w:bottom w:val="single" w:sz="8" w:space="0" w:color="auto"/>
              <w:right w:val="nil"/>
            </w:tcBorders>
            <w:vAlign w:val="center"/>
          </w:tcPr>
          <w:p w14:paraId="4F69C34B"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801</w:t>
            </w:r>
          </w:p>
        </w:tc>
        <w:tc>
          <w:tcPr>
            <w:tcW w:w="567" w:type="pct"/>
            <w:tcBorders>
              <w:top w:val="nil"/>
              <w:left w:val="nil"/>
              <w:bottom w:val="single" w:sz="8" w:space="0" w:color="auto"/>
              <w:right w:val="nil"/>
            </w:tcBorders>
            <w:vAlign w:val="center"/>
          </w:tcPr>
          <w:p w14:paraId="2775E685"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1405</w:t>
            </w:r>
          </w:p>
        </w:tc>
        <w:tc>
          <w:tcPr>
            <w:tcW w:w="566" w:type="pct"/>
            <w:tcBorders>
              <w:top w:val="nil"/>
              <w:left w:val="nil"/>
              <w:bottom w:val="single" w:sz="8" w:space="0" w:color="auto"/>
              <w:right w:val="nil"/>
            </w:tcBorders>
            <w:vAlign w:val="center"/>
          </w:tcPr>
          <w:p w14:paraId="711940B9"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2572.0</w:t>
            </w:r>
          </w:p>
        </w:tc>
        <w:tc>
          <w:tcPr>
            <w:tcW w:w="567" w:type="pct"/>
            <w:tcBorders>
              <w:top w:val="nil"/>
              <w:left w:val="nil"/>
              <w:bottom w:val="single" w:sz="8" w:space="0" w:color="auto"/>
              <w:right w:val="nil"/>
            </w:tcBorders>
            <w:vAlign w:val="center"/>
          </w:tcPr>
          <w:p w14:paraId="70D4F330" w14:textId="77777777" w:rsidR="007A6A1A" w:rsidRPr="00167CB8" w:rsidRDefault="007A6A1A" w:rsidP="003A7C61">
            <w:pPr>
              <w:keepNext/>
              <w:spacing w:after="0" w:line="240" w:lineRule="auto"/>
              <w:rPr>
                <w:rFonts w:cs="Calibri"/>
                <w:sz w:val="20"/>
                <w:szCs w:val="20"/>
                <w:lang w:val="en-US"/>
              </w:rPr>
            </w:pPr>
            <w:r w:rsidRPr="00167CB8">
              <w:rPr>
                <w:rFonts w:cs="Calibri"/>
                <w:sz w:val="20"/>
                <w:szCs w:val="20"/>
                <w:lang w:val="en-US"/>
              </w:rPr>
              <w:t>11791.1</w:t>
            </w:r>
          </w:p>
        </w:tc>
        <w:tc>
          <w:tcPr>
            <w:tcW w:w="566" w:type="pct"/>
            <w:tcBorders>
              <w:top w:val="nil"/>
              <w:left w:val="nil"/>
              <w:bottom w:val="single" w:sz="8" w:space="0" w:color="auto"/>
              <w:right w:val="nil"/>
            </w:tcBorders>
            <w:vAlign w:val="center"/>
          </w:tcPr>
          <w:p w14:paraId="34826D8D" w14:textId="77777777" w:rsidR="007A6A1A" w:rsidRPr="00167CB8" w:rsidRDefault="007A6A1A" w:rsidP="003A7C61">
            <w:pPr>
              <w:keepNext/>
              <w:spacing w:after="0" w:line="240" w:lineRule="auto"/>
              <w:rPr>
                <w:rFonts w:cs="Calibri"/>
                <w:sz w:val="20"/>
                <w:szCs w:val="20"/>
              </w:rPr>
            </w:pPr>
            <w:r w:rsidRPr="00167CB8">
              <w:rPr>
                <w:rFonts w:cs="Calibri"/>
                <w:sz w:val="20"/>
                <w:szCs w:val="20"/>
              </w:rPr>
              <w:t>21.1%</w:t>
            </w:r>
          </w:p>
        </w:tc>
        <w:tc>
          <w:tcPr>
            <w:tcW w:w="567" w:type="pct"/>
            <w:tcBorders>
              <w:top w:val="nil"/>
              <w:left w:val="nil"/>
              <w:bottom w:val="single" w:sz="8" w:space="0" w:color="auto"/>
              <w:right w:val="single" w:sz="8" w:space="0" w:color="auto"/>
            </w:tcBorders>
            <w:vAlign w:val="center"/>
          </w:tcPr>
          <w:p w14:paraId="0AB19078" w14:textId="77777777" w:rsidR="007A6A1A" w:rsidRPr="00167CB8" w:rsidRDefault="007A6A1A" w:rsidP="003A7C61">
            <w:pPr>
              <w:keepNext/>
              <w:spacing w:after="0" w:line="240" w:lineRule="auto"/>
              <w:rPr>
                <w:rFonts w:cs="Calibri"/>
                <w:sz w:val="20"/>
                <w:szCs w:val="20"/>
              </w:rPr>
            </w:pPr>
            <w:r w:rsidRPr="00167CB8">
              <w:rPr>
                <w:rFonts w:cs="Calibri"/>
                <w:sz w:val="20"/>
                <w:szCs w:val="20"/>
              </w:rPr>
              <w:t>11.9%</w:t>
            </w:r>
          </w:p>
        </w:tc>
      </w:tr>
    </w:tbl>
    <w:p w14:paraId="11BAA68F" w14:textId="1BD3C579" w:rsidR="000D5139" w:rsidRPr="00167CB8" w:rsidRDefault="000D5139" w:rsidP="000D5139">
      <w:pPr>
        <w:pStyle w:val="Source"/>
        <w:rPr>
          <w:b/>
          <w:bCs/>
        </w:rPr>
      </w:pPr>
      <w:r w:rsidRPr="00167CB8">
        <w:rPr>
          <w:b/>
          <w:bCs/>
        </w:rPr>
        <w:t xml:space="preserve">Note: </w:t>
      </w:r>
      <w:r w:rsidRPr="00167CB8">
        <w:t>The quarterly labour force data are for May, August, November and February. The WAD data are for the quarters reported in the table.</w:t>
      </w:r>
    </w:p>
    <w:p w14:paraId="704DC2AF" w14:textId="593D3B9B" w:rsidR="007A6A1A" w:rsidRPr="00167CB8" w:rsidRDefault="007A6A1A" w:rsidP="000D5139">
      <w:pPr>
        <w:pStyle w:val="Source"/>
      </w:pPr>
      <w:r w:rsidRPr="00167CB8">
        <w:rPr>
          <w:b/>
          <w:bCs/>
        </w:rPr>
        <w:t>Source:</w:t>
      </w:r>
      <w:r w:rsidRPr="00167CB8">
        <w:t xml:space="preserve"> Federal, Workplace Agreements Database and ABS Labour Force Survey, Detailed, Table 26a.</w:t>
      </w:r>
    </w:p>
    <w:p w14:paraId="4C313C62" w14:textId="59235CC3" w:rsidR="007A6A1A" w:rsidRPr="00167CB8" w:rsidRDefault="007A6A1A" w:rsidP="00C62FB6">
      <w:pPr>
        <w:spacing w:after="160"/>
        <w:rPr>
          <w:rFonts w:cs="Calibri"/>
          <w:sz w:val="24"/>
          <w:szCs w:val="24"/>
        </w:rPr>
      </w:pPr>
      <w:r w:rsidRPr="00167CB8">
        <w:rPr>
          <w:rFonts w:cs="Calibri"/>
          <w:sz w:val="24"/>
          <w:szCs w:val="24"/>
        </w:rPr>
        <w:br w:type="page"/>
      </w:r>
      <w:r w:rsidR="00177CA8">
        <w:lastRenderedPageBreak/>
        <w:t>Table 58</w:t>
      </w:r>
      <w:r w:rsidRPr="00167CB8">
        <w:t xml:space="preserve"> shows that agreements approved in periods since December 2022 contain larger AAWIs than agreements that were current (not expired or terminated). In the September quarter 2024 the AAWI for agreements approved was 3.6% compared to 3.5% for current agreements. Public sector agreements approved in the September quarter were the exception to the trend</w:t>
      </w:r>
      <w:r w:rsidR="000D5139" w:rsidRPr="00167CB8">
        <w:t>.</w:t>
      </w:r>
    </w:p>
    <w:p w14:paraId="7A88404C" w14:textId="0784E148" w:rsidR="007A6A1A" w:rsidRPr="00167CB8" w:rsidRDefault="007A6A1A" w:rsidP="00470AB9">
      <w:pPr>
        <w:pStyle w:val="Caption"/>
      </w:pPr>
      <w:bookmarkStart w:id="865" w:name="_Ref184414234"/>
      <w:bookmarkStart w:id="866" w:name="_Toc186906080"/>
      <w:bookmarkStart w:id="867" w:name="_Ref187514134"/>
      <w:bookmarkStart w:id="868" w:name="_Toc187514218"/>
      <w:bookmarkStart w:id="869" w:name="_Toc189310887"/>
      <w:r w:rsidRPr="00167CB8">
        <w:t xml:space="preserve">Table </w:t>
      </w:r>
      <w:r w:rsidR="00BF1A37" w:rsidRPr="00167CB8">
        <w:t>58</w:t>
      </w:r>
      <w:bookmarkEnd w:id="860"/>
      <w:bookmarkEnd w:id="865"/>
      <w:r w:rsidRPr="00167CB8">
        <w:t>: Average annualised wage increases by sector</w:t>
      </w:r>
      <w:bookmarkEnd w:id="866"/>
      <w:bookmarkEnd w:id="867"/>
      <w:bookmarkEnd w:id="868"/>
      <w:bookmarkEnd w:id="869"/>
    </w:p>
    <w:tbl>
      <w:tblPr>
        <w:tblStyle w:val="TableGrid"/>
        <w:tblW w:w="0" w:type="auto"/>
        <w:tblLook w:val="04A0" w:firstRow="1" w:lastRow="0" w:firstColumn="1" w:lastColumn="0" w:noHBand="0" w:noVBand="1"/>
      </w:tblPr>
      <w:tblGrid>
        <w:gridCol w:w="960"/>
        <w:gridCol w:w="1304"/>
        <w:gridCol w:w="1404"/>
        <w:gridCol w:w="1405"/>
        <w:gridCol w:w="1405"/>
        <w:gridCol w:w="1405"/>
        <w:gridCol w:w="1405"/>
      </w:tblGrid>
      <w:tr w:rsidR="007A6A1A" w:rsidRPr="00167CB8" w14:paraId="605671FA" w14:textId="77777777" w:rsidTr="00177CA8">
        <w:tc>
          <w:tcPr>
            <w:tcW w:w="988" w:type="dxa"/>
          </w:tcPr>
          <w:p w14:paraId="58179C65" w14:textId="77777777" w:rsidR="007A6A1A" w:rsidRPr="003A7C61" w:rsidRDefault="007A6A1A" w:rsidP="007A6A1A">
            <w:pPr>
              <w:spacing w:after="60"/>
              <w:rPr>
                <w:b/>
                <w:bCs/>
                <w:sz w:val="20"/>
                <w:szCs w:val="20"/>
              </w:rPr>
            </w:pPr>
          </w:p>
        </w:tc>
        <w:tc>
          <w:tcPr>
            <w:tcW w:w="2648" w:type="dxa"/>
            <w:gridSpan w:val="2"/>
          </w:tcPr>
          <w:p w14:paraId="1CD7A10A" w14:textId="77777777" w:rsidR="007A6A1A" w:rsidRPr="003A7C61" w:rsidRDefault="007A6A1A" w:rsidP="007A6A1A">
            <w:pPr>
              <w:spacing w:after="60"/>
              <w:rPr>
                <w:b/>
                <w:bCs/>
                <w:sz w:val="20"/>
                <w:szCs w:val="20"/>
              </w:rPr>
            </w:pPr>
            <w:r w:rsidRPr="003A7C61">
              <w:rPr>
                <w:b/>
                <w:bCs/>
                <w:sz w:val="20"/>
                <w:szCs w:val="20"/>
              </w:rPr>
              <w:t>All sectors</w:t>
            </w:r>
          </w:p>
        </w:tc>
        <w:tc>
          <w:tcPr>
            <w:tcW w:w="2826" w:type="dxa"/>
            <w:gridSpan w:val="2"/>
          </w:tcPr>
          <w:p w14:paraId="1749C803" w14:textId="77777777" w:rsidR="007A6A1A" w:rsidRPr="003A7C61" w:rsidRDefault="007A6A1A" w:rsidP="007A6A1A">
            <w:pPr>
              <w:spacing w:after="60"/>
              <w:rPr>
                <w:b/>
                <w:bCs/>
                <w:sz w:val="20"/>
                <w:szCs w:val="20"/>
              </w:rPr>
            </w:pPr>
            <w:r w:rsidRPr="003A7C61">
              <w:rPr>
                <w:b/>
                <w:bCs/>
                <w:sz w:val="20"/>
                <w:szCs w:val="20"/>
              </w:rPr>
              <w:t>Public sector</w:t>
            </w:r>
          </w:p>
        </w:tc>
        <w:tc>
          <w:tcPr>
            <w:tcW w:w="2826" w:type="dxa"/>
            <w:gridSpan w:val="2"/>
          </w:tcPr>
          <w:p w14:paraId="048AEA98" w14:textId="77777777" w:rsidR="007A6A1A" w:rsidRPr="003A7C61" w:rsidRDefault="007A6A1A" w:rsidP="007A6A1A">
            <w:pPr>
              <w:spacing w:after="60"/>
              <w:rPr>
                <w:b/>
                <w:bCs/>
                <w:sz w:val="20"/>
                <w:szCs w:val="20"/>
              </w:rPr>
            </w:pPr>
            <w:r w:rsidRPr="003A7C61">
              <w:rPr>
                <w:b/>
                <w:bCs/>
                <w:sz w:val="20"/>
                <w:szCs w:val="20"/>
              </w:rPr>
              <w:t>Private sector</w:t>
            </w:r>
          </w:p>
        </w:tc>
      </w:tr>
      <w:tr w:rsidR="007A6A1A" w:rsidRPr="00167CB8" w14:paraId="48B8D2DB" w14:textId="77777777" w:rsidTr="00177CA8">
        <w:tc>
          <w:tcPr>
            <w:tcW w:w="988" w:type="dxa"/>
          </w:tcPr>
          <w:p w14:paraId="6F5F7CD4" w14:textId="77777777" w:rsidR="007A6A1A" w:rsidRPr="003A7C61" w:rsidRDefault="007A6A1A" w:rsidP="007A6A1A">
            <w:pPr>
              <w:spacing w:after="60"/>
              <w:rPr>
                <w:b/>
                <w:bCs/>
                <w:sz w:val="20"/>
                <w:szCs w:val="20"/>
              </w:rPr>
            </w:pPr>
          </w:p>
        </w:tc>
        <w:tc>
          <w:tcPr>
            <w:tcW w:w="1235" w:type="dxa"/>
          </w:tcPr>
          <w:p w14:paraId="3D44B844" w14:textId="77777777" w:rsidR="007A6A1A" w:rsidRPr="003A7C61" w:rsidRDefault="007A6A1A" w:rsidP="007A6A1A">
            <w:pPr>
              <w:spacing w:after="60"/>
              <w:rPr>
                <w:b/>
                <w:bCs/>
                <w:sz w:val="20"/>
                <w:szCs w:val="20"/>
              </w:rPr>
            </w:pPr>
            <w:r w:rsidRPr="003A7C61">
              <w:rPr>
                <w:b/>
                <w:bCs/>
                <w:sz w:val="20"/>
                <w:szCs w:val="20"/>
              </w:rPr>
              <w:t>Approved agreements</w:t>
            </w:r>
          </w:p>
        </w:tc>
        <w:tc>
          <w:tcPr>
            <w:tcW w:w="1413" w:type="dxa"/>
          </w:tcPr>
          <w:p w14:paraId="105DEE3C" w14:textId="77777777" w:rsidR="007A6A1A" w:rsidRPr="003A7C61" w:rsidRDefault="007A6A1A" w:rsidP="007A6A1A">
            <w:pPr>
              <w:spacing w:after="60"/>
              <w:rPr>
                <w:b/>
                <w:bCs/>
                <w:sz w:val="20"/>
                <w:szCs w:val="20"/>
              </w:rPr>
            </w:pPr>
            <w:r w:rsidRPr="003A7C61">
              <w:rPr>
                <w:b/>
                <w:bCs/>
                <w:sz w:val="20"/>
                <w:szCs w:val="20"/>
              </w:rPr>
              <w:t>Current agreements</w:t>
            </w:r>
          </w:p>
        </w:tc>
        <w:tc>
          <w:tcPr>
            <w:tcW w:w="1413" w:type="dxa"/>
          </w:tcPr>
          <w:p w14:paraId="7E892BFD" w14:textId="77777777" w:rsidR="007A6A1A" w:rsidRPr="003A7C61" w:rsidRDefault="007A6A1A" w:rsidP="007A6A1A">
            <w:pPr>
              <w:spacing w:after="60"/>
              <w:rPr>
                <w:b/>
                <w:bCs/>
                <w:sz w:val="20"/>
                <w:szCs w:val="20"/>
              </w:rPr>
            </w:pPr>
            <w:r w:rsidRPr="003A7C61">
              <w:rPr>
                <w:b/>
                <w:bCs/>
                <w:sz w:val="20"/>
                <w:szCs w:val="20"/>
              </w:rPr>
              <w:t>Approved agreements</w:t>
            </w:r>
          </w:p>
        </w:tc>
        <w:tc>
          <w:tcPr>
            <w:tcW w:w="1413" w:type="dxa"/>
          </w:tcPr>
          <w:p w14:paraId="6F6991F4" w14:textId="77777777" w:rsidR="007A6A1A" w:rsidRPr="003A7C61" w:rsidRDefault="007A6A1A" w:rsidP="007A6A1A">
            <w:pPr>
              <w:spacing w:after="60"/>
              <w:rPr>
                <w:b/>
                <w:bCs/>
                <w:sz w:val="20"/>
                <w:szCs w:val="20"/>
              </w:rPr>
            </w:pPr>
            <w:r w:rsidRPr="003A7C61">
              <w:rPr>
                <w:b/>
                <w:bCs/>
                <w:sz w:val="20"/>
                <w:szCs w:val="20"/>
              </w:rPr>
              <w:t>Current agreements</w:t>
            </w:r>
          </w:p>
        </w:tc>
        <w:tc>
          <w:tcPr>
            <w:tcW w:w="1413" w:type="dxa"/>
          </w:tcPr>
          <w:p w14:paraId="40112006" w14:textId="77777777" w:rsidR="007A6A1A" w:rsidRPr="003A7C61" w:rsidRDefault="007A6A1A" w:rsidP="007A6A1A">
            <w:pPr>
              <w:spacing w:after="60"/>
              <w:rPr>
                <w:b/>
                <w:bCs/>
                <w:sz w:val="20"/>
                <w:szCs w:val="20"/>
              </w:rPr>
            </w:pPr>
            <w:r w:rsidRPr="003A7C61">
              <w:rPr>
                <w:b/>
                <w:bCs/>
                <w:sz w:val="20"/>
                <w:szCs w:val="20"/>
              </w:rPr>
              <w:t>Approved agreements</w:t>
            </w:r>
          </w:p>
        </w:tc>
        <w:tc>
          <w:tcPr>
            <w:tcW w:w="1413" w:type="dxa"/>
          </w:tcPr>
          <w:p w14:paraId="6C064CAF" w14:textId="77777777" w:rsidR="007A6A1A" w:rsidRPr="003A7C61" w:rsidRDefault="007A6A1A" w:rsidP="007A6A1A">
            <w:pPr>
              <w:spacing w:after="60"/>
              <w:rPr>
                <w:b/>
                <w:bCs/>
                <w:sz w:val="20"/>
                <w:szCs w:val="20"/>
              </w:rPr>
            </w:pPr>
            <w:r w:rsidRPr="003A7C61">
              <w:rPr>
                <w:b/>
                <w:bCs/>
                <w:sz w:val="20"/>
                <w:szCs w:val="20"/>
              </w:rPr>
              <w:t>Current agreements</w:t>
            </w:r>
          </w:p>
        </w:tc>
      </w:tr>
      <w:tr w:rsidR="007A6A1A" w:rsidRPr="00167CB8" w14:paraId="6B1E79A4" w14:textId="77777777" w:rsidTr="00177CA8">
        <w:tc>
          <w:tcPr>
            <w:tcW w:w="988" w:type="dxa"/>
          </w:tcPr>
          <w:p w14:paraId="757DEA01" w14:textId="77777777" w:rsidR="007A6A1A" w:rsidRPr="003A7C61" w:rsidRDefault="007A6A1A" w:rsidP="007A6A1A">
            <w:pPr>
              <w:spacing w:after="60"/>
              <w:rPr>
                <w:sz w:val="20"/>
                <w:szCs w:val="20"/>
              </w:rPr>
            </w:pPr>
          </w:p>
        </w:tc>
        <w:tc>
          <w:tcPr>
            <w:tcW w:w="1235" w:type="dxa"/>
          </w:tcPr>
          <w:p w14:paraId="7A872F61" w14:textId="77777777" w:rsidR="007A6A1A" w:rsidRPr="003A7C61" w:rsidRDefault="007A6A1A" w:rsidP="007A6A1A">
            <w:pPr>
              <w:spacing w:after="60"/>
              <w:rPr>
                <w:sz w:val="20"/>
                <w:szCs w:val="20"/>
              </w:rPr>
            </w:pPr>
            <w:r w:rsidRPr="003A7C61">
              <w:rPr>
                <w:sz w:val="20"/>
                <w:szCs w:val="20"/>
              </w:rPr>
              <w:t>%</w:t>
            </w:r>
          </w:p>
        </w:tc>
        <w:tc>
          <w:tcPr>
            <w:tcW w:w="1413" w:type="dxa"/>
          </w:tcPr>
          <w:p w14:paraId="2F31A8BB" w14:textId="77777777" w:rsidR="007A6A1A" w:rsidRPr="003A7C61" w:rsidRDefault="007A6A1A" w:rsidP="007A6A1A">
            <w:pPr>
              <w:spacing w:after="60"/>
              <w:rPr>
                <w:sz w:val="20"/>
                <w:szCs w:val="20"/>
              </w:rPr>
            </w:pPr>
            <w:r w:rsidRPr="003A7C61">
              <w:rPr>
                <w:sz w:val="20"/>
                <w:szCs w:val="20"/>
              </w:rPr>
              <w:t>%</w:t>
            </w:r>
          </w:p>
        </w:tc>
        <w:tc>
          <w:tcPr>
            <w:tcW w:w="1413" w:type="dxa"/>
          </w:tcPr>
          <w:p w14:paraId="1F22D797" w14:textId="77777777" w:rsidR="007A6A1A" w:rsidRPr="003A7C61" w:rsidRDefault="007A6A1A" w:rsidP="007A6A1A">
            <w:pPr>
              <w:spacing w:after="60"/>
              <w:rPr>
                <w:sz w:val="20"/>
                <w:szCs w:val="20"/>
              </w:rPr>
            </w:pPr>
            <w:r w:rsidRPr="003A7C61">
              <w:rPr>
                <w:sz w:val="20"/>
                <w:szCs w:val="20"/>
              </w:rPr>
              <w:t>%</w:t>
            </w:r>
          </w:p>
        </w:tc>
        <w:tc>
          <w:tcPr>
            <w:tcW w:w="1413" w:type="dxa"/>
          </w:tcPr>
          <w:p w14:paraId="16B5848A" w14:textId="77777777" w:rsidR="007A6A1A" w:rsidRPr="003A7C61" w:rsidRDefault="007A6A1A" w:rsidP="007A6A1A">
            <w:pPr>
              <w:spacing w:after="60"/>
              <w:rPr>
                <w:sz w:val="20"/>
                <w:szCs w:val="20"/>
              </w:rPr>
            </w:pPr>
            <w:r w:rsidRPr="003A7C61">
              <w:rPr>
                <w:sz w:val="20"/>
                <w:szCs w:val="20"/>
              </w:rPr>
              <w:t>%</w:t>
            </w:r>
          </w:p>
        </w:tc>
        <w:tc>
          <w:tcPr>
            <w:tcW w:w="1413" w:type="dxa"/>
          </w:tcPr>
          <w:p w14:paraId="4CAA5CF3" w14:textId="77777777" w:rsidR="007A6A1A" w:rsidRPr="003A7C61" w:rsidRDefault="007A6A1A" w:rsidP="007A6A1A">
            <w:pPr>
              <w:spacing w:after="60"/>
              <w:rPr>
                <w:sz w:val="20"/>
                <w:szCs w:val="20"/>
              </w:rPr>
            </w:pPr>
            <w:r w:rsidRPr="003A7C61">
              <w:rPr>
                <w:sz w:val="20"/>
                <w:szCs w:val="20"/>
              </w:rPr>
              <w:t>%</w:t>
            </w:r>
          </w:p>
        </w:tc>
        <w:tc>
          <w:tcPr>
            <w:tcW w:w="1413" w:type="dxa"/>
          </w:tcPr>
          <w:p w14:paraId="3EBCC6AC" w14:textId="77777777" w:rsidR="007A6A1A" w:rsidRPr="003A7C61" w:rsidRDefault="007A6A1A" w:rsidP="007A6A1A">
            <w:pPr>
              <w:spacing w:after="60"/>
              <w:rPr>
                <w:sz w:val="20"/>
                <w:szCs w:val="20"/>
              </w:rPr>
            </w:pPr>
            <w:r w:rsidRPr="003A7C61">
              <w:rPr>
                <w:sz w:val="20"/>
                <w:szCs w:val="20"/>
              </w:rPr>
              <w:t>%</w:t>
            </w:r>
          </w:p>
        </w:tc>
      </w:tr>
      <w:tr w:rsidR="007A6A1A" w:rsidRPr="00167CB8" w14:paraId="5EC30DAC" w14:textId="77777777" w:rsidTr="00177CA8">
        <w:tc>
          <w:tcPr>
            <w:tcW w:w="988" w:type="dxa"/>
          </w:tcPr>
          <w:p w14:paraId="0B2D7B86" w14:textId="77777777" w:rsidR="007A6A1A" w:rsidRPr="003A7C61" w:rsidRDefault="007A6A1A" w:rsidP="007A6A1A">
            <w:pPr>
              <w:spacing w:after="60"/>
              <w:rPr>
                <w:sz w:val="20"/>
                <w:szCs w:val="20"/>
              </w:rPr>
            </w:pPr>
            <w:r w:rsidRPr="003A7C61">
              <w:rPr>
                <w:sz w:val="20"/>
                <w:szCs w:val="20"/>
              </w:rPr>
              <w:t>Dec-22</w:t>
            </w:r>
          </w:p>
        </w:tc>
        <w:tc>
          <w:tcPr>
            <w:tcW w:w="1235" w:type="dxa"/>
          </w:tcPr>
          <w:p w14:paraId="6AE8695E" w14:textId="77777777" w:rsidR="007A6A1A" w:rsidRPr="003A7C61" w:rsidRDefault="007A6A1A" w:rsidP="007A6A1A">
            <w:pPr>
              <w:spacing w:after="60"/>
              <w:rPr>
                <w:sz w:val="20"/>
                <w:szCs w:val="20"/>
              </w:rPr>
            </w:pPr>
            <w:r w:rsidRPr="003A7C61">
              <w:rPr>
                <w:sz w:val="20"/>
                <w:szCs w:val="20"/>
              </w:rPr>
              <w:t>3.0</w:t>
            </w:r>
          </w:p>
        </w:tc>
        <w:tc>
          <w:tcPr>
            <w:tcW w:w="1413" w:type="dxa"/>
          </w:tcPr>
          <w:p w14:paraId="711F22FF" w14:textId="77777777" w:rsidR="007A6A1A" w:rsidRPr="003A7C61" w:rsidRDefault="007A6A1A" w:rsidP="007A6A1A">
            <w:pPr>
              <w:spacing w:after="60"/>
              <w:rPr>
                <w:sz w:val="20"/>
                <w:szCs w:val="20"/>
              </w:rPr>
            </w:pPr>
            <w:r w:rsidRPr="003A7C61">
              <w:rPr>
                <w:sz w:val="20"/>
                <w:szCs w:val="20"/>
              </w:rPr>
              <w:t>2.6</w:t>
            </w:r>
          </w:p>
        </w:tc>
        <w:tc>
          <w:tcPr>
            <w:tcW w:w="1413" w:type="dxa"/>
          </w:tcPr>
          <w:p w14:paraId="528E878C" w14:textId="77777777" w:rsidR="007A6A1A" w:rsidRPr="003A7C61" w:rsidRDefault="007A6A1A" w:rsidP="007A6A1A">
            <w:pPr>
              <w:spacing w:after="60"/>
              <w:rPr>
                <w:sz w:val="20"/>
                <w:szCs w:val="20"/>
              </w:rPr>
            </w:pPr>
            <w:r w:rsidRPr="003A7C61">
              <w:rPr>
                <w:sz w:val="20"/>
                <w:szCs w:val="20"/>
              </w:rPr>
              <w:t>2.3</w:t>
            </w:r>
          </w:p>
        </w:tc>
        <w:tc>
          <w:tcPr>
            <w:tcW w:w="1413" w:type="dxa"/>
          </w:tcPr>
          <w:p w14:paraId="40F2E9E4" w14:textId="77777777" w:rsidR="007A6A1A" w:rsidRPr="003A7C61" w:rsidRDefault="007A6A1A" w:rsidP="007A6A1A">
            <w:pPr>
              <w:spacing w:after="60"/>
              <w:rPr>
                <w:sz w:val="20"/>
                <w:szCs w:val="20"/>
              </w:rPr>
            </w:pPr>
            <w:r w:rsidRPr="003A7C61">
              <w:rPr>
                <w:sz w:val="20"/>
                <w:szCs w:val="20"/>
              </w:rPr>
              <w:t>2.3</w:t>
            </w:r>
          </w:p>
        </w:tc>
        <w:tc>
          <w:tcPr>
            <w:tcW w:w="1413" w:type="dxa"/>
          </w:tcPr>
          <w:p w14:paraId="4203961C" w14:textId="77777777" w:rsidR="007A6A1A" w:rsidRPr="003A7C61" w:rsidRDefault="007A6A1A" w:rsidP="007A6A1A">
            <w:pPr>
              <w:spacing w:after="60"/>
              <w:rPr>
                <w:sz w:val="20"/>
                <w:szCs w:val="20"/>
              </w:rPr>
            </w:pPr>
            <w:r w:rsidRPr="003A7C61">
              <w:rPr>
                <w:sz w:val="20"/>
                <w:szCs w:val="20"/>
              </w:rPr>
              <w:t>3.5</w:t>
            </w:r>
          </w:p>
        </w:tc>
        <w:tc>
          <w:tcPr>
            <w:tcW w:w="1413" w:type="dxa"/>
          </w:tcPr>
          <w:p w14:paraId="1EA2988D" w14:textId="77777777" w:rsidR="007A6A1A" w:rsidRPr="003A7C61" w:rsidRDefault="007A6A1A" w:rsidP="007A6A1A">
            <w:pPr>
              <w:spacing w:after="60"/>
              <w:rPr>
                <w:sz w:val="20"/>
                <w:szCs w:val="20"/>
              </w:rPr>
            </w:pPr>
            <w:r w:rsidRPr="003A7C61">
              <w:rPr>
                <w:sz w:val="20"/>
                <w:szCs w:val="20"/>
              </w:rPr>
              <w:t>2.8</w:t>
            </w:r>
          </w:p>
        </w:tc>
      </w:tr>
      <w:tr w:rsidR="007A6A1A" w:rsidRPr="00167CB8" w14:paraId="7E2BFA41" w14:textId="77777777" w:rsidTr="00177CA8">
        <w:tc>
          <w:tcPr>
            <w:tcW w:w="988" w:type="dxa"/>
          </w:tcPr>
          <w:p w14:paraId="7BF05F04" w14:textId="77777777" w:rsidR="007A6A1A" w:rsidRPr="003A7C61" w:rsidRDefault="007A6A1A" w:rsidP="007A6A1A">
            <w:pPr>
              <w:spacing w:after="60"/>
              <w:rPr>
                <w:sz w:val="20"/>
                <w:szCs w:val="20"/>
              </w:rPr>
            </w:pPr>
            <w:r w:rsidRPr="003A7C61">
              <w:rPr>
                <w:sz w:val="20"/>
                <w:szCs w:val="20"/>
              </w:rPr>
              <w:t>Mar-23</w:t>
            </w:r>
          </w:p>
        </w:tc>
        <w:tc>
          <w:tcPr>
            <w:tcW w:w="1235" w:type="dxa"/>
          </w:tcPr>
          <w:p w14:paraId="4F7A0CFF" w14:textId="77777777" w:rsidR="007A6A1A" w:rsidRPr="003A7C61" w:rsidRDefault="007A6A1A" w:rsidP="007A6A1A">
            <w:pPr>
              <w:spacing w:after="60"/>
              <w:rPr>
                <w:sz w:val="20"/>
                <w:szCs w:val="20"/>
              </w:rPr>
            </w:pPr>
            <w:r w:rsidRPr="003A7C61">
              <w:rPr>
                <w:sz w:val="20"/>
                <w:szCs w:val="20"/>
              </w:rPr>
              <w:t>3.7</w:t>
            </w:r>
          </w:p>
        </w:tc>
        <w:tc>
          <w:tcPr>
            <w:tcW w:w="1413" w:type="dxa"/>
          </w:tcPr>
          <w:p w14:paraId="185165E3" w14:textId="77777777" w:rsidR="007A6A1A" w:rsidRPr="003A7C61" w:rsidRDefault="007A6A1A" w:rsidP="007A6A1A">
            <w:pPr>
              <w:spacing w:after="60"/>
              <w:rPr>
                <w:sz w:val="20"/>
                <w:szCs w:val="20"/>
              </w:rPr>
            </w:pPr>
            <w:r w:rsidRPr="003A7C61">
              <w:rPr>
                <w:sz w:val="20"/>
                <w:szCs w:val="20"/>
              </w:rPr>
              <w:t>2.7</w:t>
            </w:r>
          </w:p>
        </w:tc>
        <w:tc>
          <w:tcPr>
            <w:tcW w:w="1413" w:type="dxa"/>
          </w:tcPr>
          <w:p w14:paraId="05BE6160" w14:textId="77777777" w:rsidR="007A6A1A" w:rsidRPr="003A7C61" w:rsidRDefault="007A6A1A" w:rsidP="007A6A1A">
            <w:pPr>
              <w:spacing w:after="60"/>
              <w:rPr>
                <w:sz w:val="20"/>
                <w:szCs w:val="20"/>
              </w:rPr>
            </w:pPr>
            <w:r w:rsidRPr="003A7C61">
              <w:rPr>
                <w:sz w:val="20"/>
                <w:szCs w:val="20"/>
              </w:rPr>
              <w:t>3.2</w:t>
            </w:r>
          </w:p>
        </w:tc>
        <w:tc>
          <w:tcPr>
            <w:tcW w:w="1413" w:type="dxa"/>
          </w:tcPr>
          <w:p w14:paraId="73AA6448" w14:textId="77777777" w:rsidR="007A6A1A" w:rsidRPr="003A7C61" w:rsidRDefault="007A6A1A" w:rsidP="007A6A1A">
            <w:pPr>
              <w:spacing w:after="60"/>
              <w:rPr>
                <w:sz w:val="20"/>
                <w:szCs w:val="20"/>
              </w:rPr>
            </w:pPr>
            <w:r w:rsidRPr="003A7C61">
              <w:rPr>
                <w:sz w:val="20"/>
                <w:szCs w:val="20"/>
              </w:rPr>
              <w:t>2.4</w:t>
            </w:r>
          </w:p>
        </w:tc>
        <w:tc>
          <w:tcPr>
            <w:tcW w:w="1413" w:type="dxa"/>
          </w:tcPr>
          <w:p w14:paraId="6AD61823" w14:textId="77777777" w:rsidR="007A6A1A" w:rsidRPr="003A7C61" w:rsidRDefault="007A6A1A" w:rsidP="007A6A1A">
            <w:pPr>
              <w:spacing w:after="60"/>
              <w:rPr>
                <w:sz w:val="20"/>
                <w:szCs w:val="20"/>
              </w:rPr>
            </w:pPr>
            <w:r w:rsidRPr="003A7C61">
              <w:rPr>
                <w:sz w:val="20"/>
                <w:szCs w:val="20"/>
              </w:rPr>
              <w:t>3.9</w:t>
            </w:r>
          </w:p>
        </w:tc>
        <w:tc>
          <w:tcPr>
            <w:tcW w:w="1413" w:type="dxa"/>
          </w:tcPr>
          <w:p w14:paraId="3268EBD4" w14:textId="77777777" w:rsidR="007A6A1A" w:rsidRPr="003A7C61" w:rsidRDefault="007A6A1A" w:rsidP="007A6A1A">
            <w:pPr>
              <w:spacing w:after="60"/>
              <w:rPr>
                <w:sz w:val="20"/>
                <w:szCs w:val="20"/>
              </w:rPr>
            </w:pPr>
            <w:r w:rsidRPr="003A7C61">
              <w:rPr>
                <w:sz w:val="20"/>
                <w:szCs w:val="20"/>
              </w:rPr>
              <w:t>2.9</w:t>
            </w:r>
          </w:p>
        </w:tc>
      </w:tr>
      <w:tr w:rsidR="007A6A1A" w:rsidRPr="00167CB8" w14:paraId="592DF713" w14:textId="77777777" w:rsidTr="00177CA8">
        <w:tc>
          <w:tcPr>
            <w:tcW w:w="988" w:type="dxa"/>
          </w:tcPr>
          <w:p w14:paraId="782C926F" w14:textId="77777777" w:rsidR="007A6A1A" w:rsidRPr="003A7C61" w:rsidRDefault="007A6A1A" w:rsidP="007A6A1A">
            <w:pPr>
              <w:spacing w:after="60"/>
              <w:rPr>
                <w:sz w:val="20"/>
                <w:szCs w:val="20"/>
              </w:rPr>
            </w:pPr>
            <w:r w:rsidRPr="003A7C61">
              <w:rPr>
                <w:sz w:val="20"/>
                <w:szCs w:val="20"/>
              </w:rPr>
              <w:t>Jun-23</w:t>
            </w:r>
          </w:p>
        </w:tc>
        <w:tc>
          <w:tcPr>
            <w:tcW w:w="1235" w:type="dxa"/>
          </w:tcPr>
          <w:p w14:paraId="60FAB238" w14:textId="77777777" w:rsidR="007A6A1A" w:rsidRPr="003A7C61" w:rsidRDefault="007A6A1A" w:rsidP="007A6A1A">
            <w:pPr>
              <w:spacing w:after="60"/>
              <w:rPr>
                <w:sz w:val="20"/>
                <w:szCs w:val="20"/>
              </w:rPr>
            </w:pPr>
            <w:r w:rsidRPr="003A7C61">
              <w:rPr>
                <w:sz w:val="20"/>
                <w:szCs w:val="20"/>
              </w:rPr>
              <w:t>3.8</w:t>
            </w:r>
          </w:p>
        </w:tc>
        <w:tc>
          <w:tcPr>
            <w:tcW w:w="1413" w:type="dxa"/>
          </w:tcPr>
          <w:p w14:paraId="0C93FEF7" w14:textId="77777777" w:rsidR="007A6A1A" w:rsidRPr="003A7C61" w:rsidRDefault="007A6A1A" w:rsidP="007A6A1A">
            <w:pPr>
              <w:spacing w:after="60"/>
              <w:rPr>
                <w:sz w:val="20"/>
                <w:szCs w:val="20"/>
              </w:rPr>
            </w:pPr>
            <w:r w:rsidRPr="003A7C61">
              <w:rPr>
                <w:sz w:val="20"/>
                <w:szCs w:val="20"/>
              </w:rPr>
              <w:t>2.8</w:t>
            </w:r>
          </w:p>
        </w:tc>
        <w:tc>
          <w:tcPr>
            <w:tcW w:w="1413" w:type="dxa"/>
          </w:tcPr>
          <w:p w14:paraId="24A8FD6F" w14:textId="77777777" w:rsidR="007A6A1A" w:rsidRPr="003A7C61" w:rsidRDefault="007A6A1A" w:rsidP="007A6A1A">
            <w:pPr>
              <w:spacing w:after="60"/>
              <w:rPr>
                <w:sz w:val="20"/>
                <w:szCs w:val="20"/>
              </w:rPr>
            </w:pPr>
            <w:r w:rsidRPr="003A7C61">
              <w:rPr>
                <w:sz w:val="20"/>
                <w:szCs w:val="20"/>
              </w:rPr>
              <w:t>3.6</w:t>
            </w:r>
          </w:p>
        </w:tc>
        <w:tc>
          <w:tcPr>
            <w:tcW w:w="1413" w:type="dxa"/>
          </w:tcPr>
          <w:p w14:paraId="020F4B8B" w14:textId="77777777" w:rsidR="007A6A1A" w:rsidRPr="003A7C61" w:rsidRDefault="007A6A1A" w:rsidP="007A6A1A">
            <w:pPr>
              <w:spacing w:after="60"/>
              <w:rPr>
                <w:sz w:val="20"/>
                <w:szCs w:val="20"/>
              </w:rPr>
            </w:pPr>
            <w:r w:rsidRPr="003A7C61">
              <w:rPr>
                <w:sz w:val="20"/>
                <w:szCs w:val="20"/>
              </w:rPr>
              <w:t>2.5</w:t>
            </w:r>
          </w:p>
        </w:tc>
        <w:tc>
          <w:tcPr>
            <w:tcW w:w="1413" w:type="dxa"/>
          </w:tcPr>
          <w:p w14:paraId="1FD1BA29" w14:textId="77777777" w:rsidR="007A6A1A" w:rsidRPr="003A7C61" w:rsidRDefault="007A6A1A" w:rsidP="007A6A1A">
            <w:pPr>
              <w:spacing w:after="60"/>
              <w:rPr>
                <w:sz w:val="20"/>
                <w:szCs w:val="20"/>
              </w:rPr>
            </w:pPr>
            <w:r w:rsidRPr="003A7C61">
              <w:rPr>
                <w:sz w:val="20"/>
                <w:szCs w:val="20"/>
              </w:rPr>
              <w:t>3.9</w:t>
            </w:r>
          </w:p>
        </w:tc>
        <w:tc>
          <w:tcPr>
            <w:tcW w:w="1413" w:type="dxa"/>
          </w:tcPr>
          <w:p w14:paraId="4BDF863F" w14:textId="77777777" w:rsidR="007A6A1A" w:rsidRPr="003A7C61" w:rsidRDefault="007A6A1A" w:rsidP="007A6A1A">
            <w:pPr>
              <w:spacing w:after="60"/>
              <w:rPr>
                <w:sz w:val="20"/>
                <w:szCs w:val="20"/>
              </w:rPr>
            </w:pPr>
            <w:r w:rsidRPr="003A7C61">
              <w:rPr>
                <w:sz w:val="20"/>
                <w:szCs w:val="20"/>
              </w:rPr>
              <w:t>3.0</w:t>
            </w:r>
          </w:p>
        </w:tc>
      </w:tr>
      <w:tr w:rsidR="007A6A1A" w:rsidRPr="00167CB8" w14:paraId="37CBB20D" w14:textId="77777777" w:rsidTr="00177CA8">
        <w:tc>
          <w:tcPr>
            <w:tcW w:w="988" w:type="dxa"/>
          </w:tcPr>
          <w:p w14:paraId="536C8C16" w14:textId="77777777" w:rsidR="007A6A1A" w:rsidRPr="003A7C61" w:rsidRDefault="007A6A1A" w:rsidP="007A6A1A">
            <w:pPr>
              <w:spacing w:after="60"/>
              <w:rPr>
                <w:sz w:val="20"/>
                <w:szCs w:val="20"/>
              </w:rPr>
            </w:pPr>
            <w:r w:rsidRPr="003A7C61">
              <w:rPr>
                <w:sz w:val="20"/>
                <w:szCs w:val="20"/>
              </w:rPr>
              <w:t>Sep-23</w:t>
            </w:r>
          </w:p>
        </w:tc>
        <w:tc>
          <w:tcPr>
            <w:tcW w:w="1235" w:type="dxa"/>
          </w:tcPr>
          <w:p w14:paraId="06470F52" w14:textId="77777777" w:rsidR="007A6A1A" w:rsidRPr="003A7C61" w:rsidRDefault="007A6A1A" w:rsidP="007A6A1A">
            <w:pPr>
              <w:spacing w:after="60"/>
              <w:rPr>
                <w:sz w:val="20"/>
                <w:szCs w:val="20"/>
              </w:rPr>
            </w:pPr>
            <w:r w:rsidRPr="003A7C61">
              <w:rPr>
                <w:sz w:val="20"/>
                <w:szCs w:val="20"/>
              </w:rPr>
              <w:t>4.1</w:t>
            </w:r>
          </w:p>
        </w:tc>
        <w:tc>
          <w:tcPr>
            <w:tcW w:w="1413" w:type="dxa"/>
          </w:tcPr>
          <w:p w14:paraId="6F2382C5" w14:textId="77777777" w:rsidR="007A6A1A" w:rsidRPr="003A7C61" w:rsidRDefault="007A6A1A" w:rsidP="007A6A1A">
            <w:pPr>
              <w:spacing w:after="60"/>
              <w:rPr>
                <w:sz w:val="20"/>
                <w:szCs w:val="20"/>
              </w:rPr>
            </w:pPr>
            <w:r w:rsidRPr="003A7C61">
              <w:rPr>
                <w:sz w:val="20"/>
                <w:szCs w:val="20"/>
              </w:rPr>
              <w:t>2.9</w:t>
            </w:r>
          </w:p>
        </w:tc>
        <w:tc>
          <w:tcPr>
            <w:tcW w:w="1413" w:type="dxa"/>
          </w:tcPr>
          <w:p w14:paraId="405CB26F" w14:textId="77777777" w:rsidR="007A6A1A" w:rsidRPr="003A7C61" w:rsidRDefault="007A6A1A" w:rsidP="007A6A1A">
            <w:pPr>
              <w:spacing w:after="60"/>
              <w:rPr>
                <w:sz w:val="20"/>
                <w:szCs w:val="20"/>
              </w:rPr>
            </w:pPr>
            <w:r w:rsidRPr="003A7C61">
              <w:rPr>
                <w:sz w:val="20"/>
                <w:szCs w:val="20"/>
              </w:rPr>
              <w:t>4.4</w:t>
            </w:r>
          </w:p>
        </w:tc>
        <w:tc>
          <w:tcPr>
            <w:tcW w:w="1413" w:type="dxa"/>
          </w:tcPr>
          <w:p w14:paraId="3F361155" w14:textId="77777777" w:rsidR="007A6A1A" w:rsidRPr="003A7C61" w:rsidRDefault="007A6A1A" w:rsidP="007A6A1A">
            <w:pPr>
              <w:spacing w:after="60"/>
              <w:rPr>
                <w:sz w:val="20"/>
                <w:szCs w:val="20"/>
              </w:rPr>
            </w:pPr>
            <w:r w:rsidRPr="003A7C61">
              <w:rPr>
                <w:sz w:val="20"/>
                <w:szCs w:val="20"/>
              </w:rPr>
              <w:t>2.8</w:t>
            </w:r>
          </w:p>
        </w:tc>
        <w:tc>
          <w:tcPr>
            <w:tcW w:w="1413" w:type="dxa"/>
          </w:tcPr>
          <w:p w14:paraId="1843CEE3" w14:textId="77777777" w:rsidR="007A6A1A" w:rsidRPr="003A7C61" w:rsidRDefault="007A6A1A" w:rsidP="007A6A1A">
            <w:pPr>
              <w:spacing w:after="60"/>
              <w:rPr>
                <w:sz w:val="20"/>
                <w:szCs w:val="20"/>
              </w:rPr>
            </w:pPr>
            <w:r w:rsidRPr="003A7C61">
              <w:rPr>
                <w:sz w:val="20"/>
                <w:szCs w:val="20"/>
              </w:rPr>
              <w:t>3.9</w:t>
            </w:r>
          </w:p>
        </w:tc>
        <w:tc>
          <w:tcPr>
            <w:tcW w:w="1413" w:type="dxa"/>
          </w:tcPr>
          <w:p w14:paraId="7C64883E" w14:textId="77777777" w:rsidR="007A6A1A" w:rsidRPr="003A7C61" w:rsidRDefault="007A6A1A" w:rsidP="007A6A1A">
            <w:pPr>
              <w:spacing w:after="60"/>
              <w:rPr>
                <w:sz w:val="20"/>
                <w:szCs w:val="20"/>
              </w:rPr>
            </w:pPr>
            <w:r w:rsidRPr="003A7C61">
              <w:rPr>
                <w:sz w:val="20"/>
                <w:szCs w:val="20"/>
              </w:rPr>
              <w:t>3.1</w:t>
            </w:r>
          </w:p>
        </w:tc>
      </w:tr>
      <w:tr w:rsidR="007A6A1A" w:rsidRPr="00167CB8" w14:paraId="47786124" w14:textId="77777777" w:rsidTr="00177CA8">
        <w:tc>
          <w:tcPr>
            <w:tcW w:w="988" w:type="dxa"/>
          </w:tcPr>
          <w:p w14:paraId="1C7A7C8F" w14:textId="77777777" w:rsidR="007A6A1A" w:rsidRPr="003A7C61" w:rsidRDefault="007A6A1A" w:rsidP="007A6A1A">
            <w:pPr>
              <w:spacing w:after="60"/>
              <w:rPr>
                <w:sz w:val="20"/>
                <w:szCs w:val="20"/>
              </w:rPr>
            </w:pPr>
            <w:r w:rsidRPr="003A7C61">
              <w:rPr>
                <w:sz w:val="20"/>
                <w:szCs w:val="20"/>
              </w:rPr>
              <w:t>Dec-23</w:t>
            </w:r>
          </w:p>
        </w:tc>
        <w:tc>
          <w:tcPr>
            <w:tcW w:w="1235" w:type="dxa"/>
          </w:tcPr>
          <w:p w14:paraId="220939A4" w14:textId="77777777" w:rsidR="007A6A1A" w:rsidRPr="003A7C61" w:rsidRDefault="007A6A1A" w:rsidP="007A6A1A">
            <w:pPr>
              <w:spacing w:after="60"/>
              <w:rPr>
                <w:sz w:val="20"/>
                <w:szCs w:val="20"/>
              </w:rPr>
            </w:pPr>
            <w:r w:rsidRPr="003A7C61">
              <w:rPr>
                <w:sz w:val="20"/>
                <w:szCs w:val="20"/>
              </w:rPr>
              <w:t>4.4</w:t>
            </w:r>
          </w:p>
        </w:tc>
        <w:tc>
          <w:tcPr>
            <w:tcW w:w="1413" w:type="dxa"/>
          </w:tcPr>
          <w:p w14:paraId="56F50B30" w14:textId="77777777" w:rsidR="007A6A1A" w:rsidRPr="003A7C61" w:rsidRDefault="007A6A1A" w:rsidP="007A6A1A">
            <w:pPr>
              <w:spacing w:after="60"/>
              <w:rPr>
                <w:sz w:val="20"/>
                <w:szCs w:val="20"/>
              </w:rPr>
            </w:pPr>
            <w:r w:rsidRPr="003A7C61">
              <w:rPr>
                <w:sz w:val="20"/>
                <w:szCs w:val="20"/>
              </w:rPr>
              <w:t>3.1</w:t>
            </w:r>
          </w:p>
        </w:tc>
        <w:tc>
          <w:tcPr>
            <w:tcW w:w="1413" w:type="dxa"/>
          </w:tcPr>
          <w:p w14:paraId="11BB1CA3" w14:textId="77777777" w:rsidR="007A6A1A" w:rsidRPr="003A7C61" w:rsidRDefault="007A6A1A" w:rsidP="007A6A1A">
            <w:pPr>
              <w:spacing w:after="60"/>
              <w:rPr>
                <w:sz w:val="20"/>
                <w:szCs w:val="20"/>
              </w:rPr>
            </w:pPr>
            <w:r w:rsidRPr="003A7C61">
              <w:rPr>
                <w:sz w:val="20"/>
                <w:szCs w:val="20"/>
              </w:rPr>
              <w:t>5.2</w:t>
            </w:r>
          </w:p>
        </w:tc>
        <w:tc>
          <w:tcPr>
            <w:tcW w:w="1413" w:type="dxa"/>
          </w:tcPr>
          <w:p w14:paraId="524657C7" w14:textId="77777777" w:rsidR="007A6A1A" w:rsidRPr="003A7C61" w:rsidRDefault="007A6A1A" w:rsidP="007A6A1A">
            <w:pPr>
              <w:spacing w:after="60"/>
              <w:rPr>
                <w:sz w:val="20"/>
                <w:szCs w:val="20"/>
              </w:rPr>
            </w:pPr>
            <w:r w:rsidRPr="003A7C61">
              <w:rPr>
                <w:sz w:val="20"/>
                <w:szCs w:val="20"/>
              </w:rPr>
              <w:t>3.0</w:t>
            </w:r>
          </w:p>
        </w:tc>
        <w:tc>
          <w:tcPr>
            <w:tcW w:w="1413" w:type="dxa"/>
          </w:tcPr>
          <w:p w14:paraId="6FA260D4" w14:textId="77777777" w:rsidR="007A6A1A" w:rsidRPr="003A7C61" w:rsidRDefault="007A6A1A" w:rsidP="007A6A1A">
            <w:pPr>
              <w:spacing w:after="60"/>
              <w:rPr>
                <w:sz w:val="20"/>
                <w:szCs w:val="20"/>
              </w:rPr>
            </w:pPr>
            <w:r w:rsidRPr="003A7C61">
              <w:rPr>
                <w:sz w:val="20"/>
                <w:szCs w:val="20"/>
              </w:rPr>
              <w:t>3.9</w:t>
            </w:r>
          </w:p>
        </w:tc>
        <w:tc>
          <w:tcPr>
            <w:tcW w:w="1413" w:type="dxa"/>
          </w:tcPr>
          <w:p w14:paraId="4369A8AA" w14:textId="77777777" w:rsidR="007A6A1A" w:rsidRPr="003A7C61" w:rsidRDefault="007A6A1A" w:rsidP="007A6A1A">
            <w:pPr>
              <w:spacing w:after="60"/>
              <w:rPr>
                <w:sz w:val="20"/>
                <w:szCs w:val="20"/>
              </w:rPr>
            </w:pPr>
            <w:r w:rsidRPr="003A7C61">
              <w:rPr>
                <w:sz w:val="20"/>
                <w:szCs w:val="20"/>
              </w:rPr>
              <w:t>3.2</w:t>
            </w:r>
          </w:p>
        </w:tc>
      </w:tr>
      <w:tr w:rsidR="007A6A1A" w:rsidRPr="00167CB8" w14:paraId="20772798" w14:textId="77777777" w:rsidTr="00177CA8">
        <w:tc>
          <w:tcPr>
            <w:tcW w:w="988" w:type="dxa"/>
          </w:tcPr>
          <w:p w14:paraId="703384AE" w14:textId="77777777" w:rsidR="007A6A1A" w:rsidRPr="003A7C61" w:rsidRDefault="007A6A1A" w:rsidP="007A6A1A">
            <w:pPr>
              <w:spacing w:after="60"/>
              <w:rPr>
                <w:sz w:val="20"/>
                <w:szCs w:val="20"/>
              </w:rPr>
            </w:pPr>
            <w:r w:rsidRPr="003A7C61">
              <w:rPr>
                <w:sz w:val="20"/>
                <w:szCs w:val="20"/>
              </w:rPr>
              <w:t>Mar-24</w:t>
            </w:r>
          </w:p>
        </w:tc>
        <w:tc>
          <w:tcPr>
            <w:tcW w:w="1235" w:type="dxa"/>
          </w:tcPr>
          <w:p w14:paraId="037608EA" w14:textId="77777777" w:rsidR="007A6A1A" w:rsidRPr="003A7C61" w:rsidRDefault="007A6A1A" w:rsidP="007A6A1A">
            <w:pPr>
              <w:spacing w:after="60"/>
              <w:rPr>
                <w:sz w:val="20"/>
                <w:szCs w:val="20"/>
              </w:rPr>
            </w:pPr>
            <w:r w:rsidRPr="003A7C61">
              <w:rPr>
                <w:sz w:val="20"/>
                <w:szCs w:val="20"/>
              </w:rPr>
              <w:t>3.9</w:t>
            </w:r>
          </w:p>
        </w:tc>
        <w:tc>
          <w:tcPr>
            <w:tcW w:w="1413" w:type="dxa"/>
          </w:tcPr>
          <w:p w14:paraId="6240BCAB" w14:textId="77777777" w:rsidR="007A6A1A" w:rsidRPr="003A7C61" w:rsidRDefault="007A6A1A" w:rsidP="007A6A1A">
            <w:pPr>
              <w:spacing w:after="60"/>
              <w:rPr>
                <w:sz w:val="20"/>
                <w:szCs w:val="20"/>
              </w:rPr>
            </w:pPr>
            <w:r w:rsidRPr="003A7C61">
              <w:rPr>
                <w:sz w:val="20"/>
                <w:szCs w:val="20"/>
              </w:rPr>
              <w:t>3.3</w:t>
            </w:r>
          </w:p>
        </w:tc>
        <w:tc>
          <w:tcPr>
            <w:tcW w:w="1413" w:type="dxa"/>
          </w:tcPr>
          <w:p w14:paraId="6892C6C8" w14:textId="77777777" w:rsidR="007A6A1A" w:rsidRPr="003A7C61" w:rsidRDefault="007A6A1A" w:rsidP="007A6A1A">
            <w:pPr>
              <w:spacing w:after="60"/>
              <w:rPr>
                <w:sz w:val="20"/>
                <w:szCs w:val="20"/>
              </w:rPr>
            </w:pPr>
            <w:r w:rsidRPr="003A7C61">
              <w:rPr>
                <w:sz w:val="20"/>
                <w:szCs w:val="20"/>
              </w:rPr>
              <w:t>4.0</w:t>
            </w:r>
          </w:p>
        </w:tc>
        <w:tc>
          <w:tcPr>
            <w:tcW w:w="1413" w:type="dxa"/>
          </w:tcPr>
          <w:p w14:paraId="61E0DE9D" w14:textId="77777777" w:rsidR="007A6A1A" w:rsidRPr="003A7C61" w:rsidRDefault="007A6A1A" w:rsidP="007A6A1A">
            <w:pPr>
              <w:spacing w:after="60"/>
              <w:rPr>
                <w:sz w:val="20"/>
                <w:szCs w:val="20"/>
              </w:rPr>
            </w:pPr>
            <w:r w:rsidRPr="003A7C61">
              <w:rPr>
                <w:sz w:val="20"/>
                <w:szCs w:val="20"/>
              </w:rPr>
              <w:t>3.4</w:t>
            </w:r>
          </w:p>
        </w:tc>
        <w:tc>
          <w:tcPr>
            <w:tcW w:w="1413" w:type="dxa"/>
          </w:tcPr>
          <w:p w14:paraId="0AC925D3" w14:textId="77777777" w:rsidR="007A6A1A" w:rsidRPr="003A7C61" w:rsidRDefault="007A6A1A" w:rsidP="007A6A1A">
            <w:pPr>
              <w:spacing w:after="60"/>
              <w:rPr>
                <w:sz w:val="20"/>
                <w:szCs w:val="20"/>
              </w:rPr>
            </w:pPr>
            <w:r w:rsidRPr="003A7C61">
              <w:rPr>
                <w:sz w:val="20"/>
                <w:szCs w:val="20"/>
              </w:rPr>
              <w:t>3.6</w:t>
            </w:r>
          </w:p>
        </w:tc>
        <w:tc>
          <w:tcPr>
            <w:tcW w:w="1413" w:type="dxa"/>
          </w:tcPr>
          <w:p w14:paraId="61BCBBA2" w14:textId="77777777" w:rsidR="007A6A1A" w:rsidRPr="003A7C61" w:rsidRDefault="007A6A1A" w:rsidP="007A6A1A">
            <w:pPr>
              <w:spacing w:after="60"/>
              <w:rPr>
                <w:sz w:val="20"/>
                <w:szCs w:val="20"/>
              </w:rPr>
            </w:pPr>
            <w:r w:rsidRPr="003A7C61">
              <w:rPr>
                <w:sz w:val="20"/>
                <w:szCs w:val="20"/>
              </w:rPr>
              <w:t>3.2</w:t>
            </w:r>
          </w:p>
        </w:tc>
      </w:tr>
      <w:tr w:rsidR="007A6A1A" w:rsidRPr="00167CB8" w14:paraId="0D745440" w14:textId="77777777" w:rsidTr="00177CA8">
        <w:tc>
          <w:tcPr>
            <w:tcW w:w="988" w:type="dxa"/>
          </w:tcPr>
          <w:p w14:paraId="1636C1B8" w14:textId="77777777" w:rsidR="007A6A1A" w:rsidRPr="003A7C61" w:rsidRDefault="007A6A1A" w:rsidP="007A6A1A">
            <w:pPr>
              <w:spacing w:after="60"/>
              <w:rPr>
                <w:sz w:val="20"/>
                <w:szCs w:val="20"/>
              </w:rPr>
            </w:pPr>
            <w:r w:rsidRPr="003A7C61">
              <w:rPr>
                <w:sz w:val="20"/>
                <w:szCs w:val="20"/>
              </w:rPr>
              <w:t>Jun-24</w:t>
            </w:r>
          </w:p>
        </w:tc>
        <w:tc>
          <w:tcPr>
            <w:tcW w:w="1235" w:type="dxa"/>
          </w:tcPr>
          <w:p w14:paraId="4DB27EF8" w14:textId="77777777" w:rsidR="007A6A1A" w:rsidRPr="003A7C61" w:rsidRDefault="007A6A1A" w:rsidP="007A6A1A">
            <w:pPr>
              <w:spacing w:after="60"/>
              <w:rPr>
                <w:sz w:val="20"/>
                <w:szCs w:val="20"/>
              </w:rPr>
            </w:pPr>
            <w:r w:rsidRPr="003A7C61">
              <w:rPr>
                <w:sz w:val="20"/>
                <w:szCs w:val="20"/>
              </w:rPr>
              <w:t>4.0</w:t>
            </w:r>
          </w:p>
        </w:tc>
        <w:tc>
          <w:tcPr>
            <w:tcW w:w="1413" w:type="dxa"/>
          </w:tcPr>
          <w:p w14:paraId="53BDC2BD" w14:textId="77777777" w:rsidR="007A6A1A" w:rsidRPr="003A7C61" w:rsidRDefault="007A6A1A" w:rsidP="007A6A1A">
            <w:pPr>
              <w:spacing w:after="60"/>
              <w:rPr>
                <w:sz w:val="20"/>
                <w:szCs w:val="20"/>
              </w:rPr>
            </w:pPr>
            <w:r w:rsidRPr="003A7C61">
              <w:rPr>
                <w:sz w:val="20"/>
                <w:szCs w:val="20"/>
              </w:rPr>
              <w:t>3.4</w:t>
            </w:r>
          </w:p>
        </w:tc>
        <w:tc>
          <w:tcPr>
            <w:tcW w:w="1413" w:type="dxa"/>
          </w:tcPr>
          <w:p w14:paraId="31E4B3EA" w14:textId="77777777" w:rsidR="007A6A1A" w:rsidRPr="003A7C61" w:rsidRDefault="007A6A1A" w:rsidP="007A6A1A">
            <w:pPr>
              <w:spacing w:after="60"/>
              <w:rPr>
                <w:sz w:val="20"/>
                <w:szCs w:val="20"/>
              </w:rPr>
            </w:pPr>
            <w:r w:rsidRPr="003A7C61">
              <w:rPr>
                <w:sz w:val="20"/>
                <w:szCs w:val="20"/>
              </w:rPr>
              <w:t>3.9</w:t>
            </w:r>
          </w:p>
        </w:tc>
        <w:tc>
          <w:tcPr>
            <w:tcW w:w="1413" w:type="dxa"/>
          </w:tcPr>
          <w:p w14:paraId="2DD6D706" w14:textId="77777777" w:rsidR="007A6A1A" w:rsidRPr="003A7C61" w:rsidRDefault="007A6A1A" w:rsidP="007A6A1A">
            <w:pPr>
              <w:spacing w:after="60"/>
              <w:rPr>
                <w:sz w:val="20"/>
                <w:szCs w:val="20"/>
              </w:rPr>
            </w:pPr>
            <w:r w:rsidRPr="003A7C61">
              <w:rPr>
                <w:sz w:val="20"/>
                <w:szCs w:val="20"/>
              </w:rPr>
              <w:t>3.6</w:t>
            </w:r>
          </w:p>
        </w:tc>
        <w:tc>
          <w:tcPr>
            <w:tcW w:w="1413" w:type="dxa"/>
          </w:tcPr>
          <w:p w14:paraId="2603D1CE" w14:textId="77777777" w:rsidR="007A6A1A" w:rsidRPr="003A7C61" w:rsidRDefault="007A6A1A" w:rsidP="007A6A1A">
            <w:pPr>
              <w:spacing w:after="60"/>
              <w:rPr>
                <w:sz w:val="20"/>
                <w:szCs w:val="20"/>
              </w:rPr>
            </w:pPr>
            <w:r w:rsidRPr="003A7C61">
              <w:rPr>
                <w:sz w:val="20"/>
                <w:szCs w:val="20"/>
              </w:rPr>
              <w:t>4.0</w:t>
            </w:r>
          </w:p>
        </w:tc>
        <w:tc>
          <w:tcPr>
            <w:tcW w:w="1413" w:type="dxa"/>
          </w:tcPr>
          <w:p w14:paraId="7B949064" w14:textId="77777777" w:rsidR="007A6A1A" w:rsidRPr="003A7C61" w:rsidRDefault="007A6A1A" w:rsidP="007A6A1A">
            <w:pPr>
              <w:spacing w:after="60"/>
              <w:rPr>
                <w:sz w:val="20"/>
                <w:szCs w:val="20"/>
              </w:rPr>
            </w:pPr>
            <w:r w:rsidRPr="003A7C61">
              <w:rPr>
                <w:sz w:val="20"/>
                <w:szCs w:val="20"/>
              </w:rPr>
              <w:t>3.3</w:t>
            </w:r>
          </w:p>
        </w:tc>
      </w:tr>
      <w:tr w:rsidR="007A6A1A" w:rsidRPr="00167CB8" w14:paraId="7B8F34B7" w14:textId="77777777" w:rsidTr="00177CA8">
        <w:tc>
          <w:tcPr>
            <w:tcW w:w="988" w:type="dxa"/>
          </w:tcPr>
          <w:p w14:paraId="42D0E1E8" w14:textId="77777777" w:rsidR="007A6A1A" w:rsidRPr="003A7C61" w:rsidRDefault="007A6A1A" w:rsidP="007A6A1A">
            <w:pPr>
              <w:spacing w:after="60"/>
              <w:rPr>
                <w:sz w:val="20"/>
                <w:szCs w:val="20"/>
              </w:rPr>
            </w:pPr>
            <w:r w:rsidRPr="003A7C61">
              <w:rPr>
                <w:sz w:val="20"/>
                <w:szCs w:val="20"/>
              </w:rPr>
              <w:t>Sep-24</w:t>
            </w:r>
          </w:p>
        </w:tc>
        <w:tc>
          <w:tcPr>
            <w:tcW w:w="1235" w:type="dxa"/>
          </w:tcPr>
          <w:p w14:paraId="62776622" w14:textId="77777777" w:rsidR="007A6A1A" w:rsidRPr="003A7C61" w:rsidRDefault="007A6A1A" w:rsidP="007A6A1A">
            <w:pPr>
              <w:spacing w:after="60"/>
              <w:rPr>
                <w:sz w:val="20"/>
                <w:szCs w:val="20"/>
              </w:rPr>
            </w:pPr>
            <w:r w:rsidRPr="003A7C61">
              <w:rPr>
                <w:sz w:val="20"/>
                <w:szCs w:val="20"/>
              </w:rPr>
              <w:t>3.6</w:t>
            </w:r>
          </w:p>
        </w:tc>
        <w:tc>
          <w:tcPr>
            <w:tcW w:w="1413" w:type="dxa"/>
          </w:tcPr>
          <w:p w14:paraId="199612ED" w14:textId="77777777" w:rsidR="007A6A1A" w:rsidRPr="003A7C61" w:rsidRDefault="007A6A1A" w:rsidP="007A6A1A">
            <w:pPr>
              <w:spacing w:after="60"/>
              <w:rPr>
                <w:sz w:val="20"/>
                <w:szCs w:val="20"/>
              </w:rPr>
            </w:pPr>
            <w:r w:rsidRPr="003A7C61">
              <w:rPr>
                <w:sz w:val="20"/>
                <w:szCs w:val="20"/>
              </w:rPr>
              <w:t>3.5</w:t>
            </w:r>
          </w:p>
        </w:tc>
        <w:tc>
          <w:tcPr>
            <w:tcW w:w="1413" w:type="dxa"/>
          </w:tcPr>
          <w:p w14:paraId="2D60C925" w14:textId="77777777" w:rsidR="007A6A1A" w:rsidRPr="003A7C61" w:rsidRDefault="007A6A1A" w:rsidP="007A6A1A">
            <w:pPr>
              <w:spacing w:after="60"/>
              <w:rPr>
                <w:sz w:val="20"/>
                <w:szCs w:val="20"/>
              </w:rPr>
            </w:pPr>
            <w:r w:rsidRPr="003A7C61">
              <w:rPr>
                <w:sz w:val="20"/>
                <w:szCs w:val="20"/>
              </w:rPr>
              <w:t>3.5</w:t>
            </w:r>
          </w:p>
        </w:tc>
        <w:tc>
          <w:tcPr>
            <w:tcW w:w="1413" w:type="dxa"/>
          </w:tcPr>
          <w:p w14:paraId="75114902" w14:textId="77777777" w:rsidR="007A6A1A" w:rsidRPr="003A7C61" w:rsidRDefault="007A6A1A" w:rsidP="007A6A1A">
            <w:pPr>
              <w:spacing w:after="60"/>
              <w:rPr>
                <w:sz w:val="20"/>
                <w:szCs w:val="20"/>
              </w:rPr>
            </w:pPr>
            <w:r w:rsidRPr="003A7C61">
              <w:rPr>
                <w:sz w:val="20"/>
                <w:szCs w:val="20"/>
              </w:rPr>
              <w:t>3.6</w:t>
            </w:r>
          </w:p>
        </w:tc>
        <w:tc>
          <w:tcPr>
            <w:tcW w:w="1413" w:type="dxa"/>
          </w:tcPr>
          <w:p w14:paraId="332AD740" w14:textId="77777777" w:rsidR="007A6A1A" w:rsidRPr="003A7C61" w:rsidRDefault="007A6A1A" w:rsidP="007A6A1A">
            <w:pPr>
              <w:spacing w:after="60"/>
              <w:rPr>
                <w:sz w:val="20"/>
                <w:szCs w:val="20"/>
              </w:rPr>
            </w:pPr>
            <w:r w:rsidRPr="003A7C61">
              <w:rPr>
                <w:sz w:val="20"/>
                <w:szCs w:val="20"/>
              </w:rPr>
              <w:t>3.9</w:t>
            </w:r>
          </w:p>
        </w:tc>
        <w:tc>
          <w:tcPr>
            <w:tcW w:w="1413" w:type="dxa"/>
          </w:tcPr>
          <w:p w14:paraId="0D90801B" w14:textId="77777777" w:rsidR="007A6A1A" w:rsidRPr="003A7C61" w:rsidRDefault="007A6A1A" w:rsidP="007A6A1A">
            <w:pPr>
              <w:spacing w:after="60"/>
              <w:rPr>
                <w:sz w:val="20"/>
                <w:szCs w:val="20"/>
              </w:rPr>
            </w:pPr>
            <w:r w:rsidRPr="003A7C61">
              <w:rPr>
                <w:sz w:val="20"/>
                <w:szCs w:val="20"/>
              </w:rPr>
              <w:t>3.4</w:t>
            </w:r>
          </w:p>
        </w:tc>
      </w:tr>
    </w:tbl>
    <w:p w14:paraId="3FE6576D" w14:textId="77777777" w:rsidR="007A6A1A" w:rsidRPr="00167CB8" w:rsidRDefault="007A6A1A" w:rsidP="000D5139">
      <w:pPr>
        <w:pStyle w:val="Source"/>
      </w:pPr>
      <w:r w:rsidRPr="00167CB8">
        <w:rPr>
          <w:b/>
          <w:bCs/>
        </w:rPr>
        <w:t>Source:</w:t>
      </w:r>
      <w:r w:rsidRPr="00167CB8">
        <w:t xml:space="preserve"> Trends in Federal Enterprise Bargaining, September quarter 2024, Tables 3 and 4.</w:t>
      </w:r>
    </w:p>
    <w:p w14:paraId="6D90334E" w14:textId="77777777" w:rsidR="007A6A1A" w:rsidRPr="00167CB8" w:rsidRDefault="007A6A1A" w:rsidP="000D5139">
      <w:pPr>
        <w:pStyle w:val="Source"/>
      </w:pPr>
      <w:r w:rsidRPr="00167CB8">
        <w:rPr>
          <w:b/>
          <w:bCs/>
        </w:rPr>
        <w:t>Alt-text:</w:t>
      </w:r>
      <w:r w:rsidRPr="00167CB8">
        <w:t xml:space="preserve"> A table showing average annualised wage increases (AAWI) by sector disaggregated by agreements approved in the quarter and current agreements. Across all sectors, in the September 2024 quarter, the AAWI was equal to 3.6% in agreements approved in that quarter and 3.5% in current agreements (agreements that had not expired or had not been terminated).</w:t>
      </w:r>
    </w:p>
    <w:p w14:paraId="230AB4FD" w14:textId="77777777" w:rsidR="007A6A1A" w:rsidRPr="00167CB8" w:rsidRDefault="007A6A1A" w:rsidP="007A6A1A">
      <w:pPr>
        <w:spacing w:after="160"/>
        <w:rPr>
          <w:rFonts w:cs="Calibri"/>
          <w:sz w:val="24"/>
          <w:szCs w:val="24"/>
        </w:rPr>
      </w:pPr>
      <w:r w:rsidRPr="00167CB8">
        <w:rPr>
          <w:rFonts w:cs="Calibri"/>
          <w:sz w:val="24"/>
          <w:szCs w:val="24"/>
        </w:rPr>
        <w:br w:type="page"/>
      </w:r>
    </w:p>
    <w:p w14:paraId="6CCE0042" w14:textId="3CAA9AA1" w:rsidR="007A6A1A" w:rsidRPr="00167CB8" w:rsidRDefault="00177CA8" w:rsidP="000D5139">
      <w:r>
        <w:lastRenderedPageBreak/>
        <w:t>Table 59</w:t>
      </w:r>
      <w:r w:rsidR="007B2F02" w:rsidRPr="00167CB8">
        <w:t xml:space="preserve"> </w:t>
      </w:r>
      <w:r w:rsidR="007A6A1A" w:rsidRPr="00167CB8">
        <w:t xml:space="preserve">documents trends in the approval of single and multi-employer agreements (excluding </w:t>
      </w:r>
      <w:r w:rsidR="000D5139" w:rsidRPr="00167CB8">
        <w:t>g</w:t>
      </w:r>
      <w:r w:rsidR="007A6A1A" w:rsidRPr="00167CB8">
        <w:t>reenfields agreements) by quarter (since September 2021). Information on the AAWI (%), the duration of the agreement and the number of employees covered is also provided. In the September 2024 quarter a total of 862 single enterprise agreements were approved with an AAWI of 3.6%. The number of employees covered was the largest recorded since December 2022</w:t>
      </w:r>
      <w:r w:rsidR="000D5139" w:rsidRPr="00167CB8">
        <w:t>,</w:t>
      </w:r>
      <w:r w:rsidR="007A6A1A" w:rsidRPr="00167CB8">
        <w:t xml:space="preserve"> when the </w:t>
      </w:r>
      <w:r w:rsidR="000D5139" w:rsidRPr="00167CB8">
        <w:t xml:space="preserve">Secure Jobs, Better Pay </w:t>
      </w:r>
      <w:r w:rsidR="007A6A1A" w:rsidRPr="00167CB8">
        <w:t>reforms came into effect.</w:t>
      </w:r>
    </w:p>
    <w:p w14:paraId="5C568651" w14:textId="77777777" w:rsidR="007A6A1A" w:rsidRPr="00167CB8" w:rsidRDefault="007A6A1A" w:rsidP="000D5139">
      <w:r w:rsidRPr="00167CB8">
        <w:t xml:space="preserve">In the March 2024 quarter the FWC approved 16 multi-employer agreements. The AAWI was equal to 2.5% and the number of employees covered equal to 44,300. </w:t>
      </w:r>
    </w:p>
    <w:p w14:paraId="07CC10E2" w14:textId="7875D924" w:rsidR="007A6A1A" w:rsidRPr="00167CB8" w:rsidRDefault="007A6A1A" w:rsidP="00470AB9">
      <w:pPr>
        <w:pStyle w:val="Caption"/>
      </w:pPr>
      <w:bookmarkStart w:id="870" w:name="_Ref184405443"/>
      <w:bookmarkStart w:id="871" w:name="_Toc186906081"/>
      <w:bookmarkStart w:id="872" w:name="_Toc187514219"/>
      <w:bookmarkStart w:id="873" w:name="_Toc189310888"/>
      <w:r w:rsidRPr="00167CB8">
        <w:t>Table</w:t>
      </w:r>
      <w:r w:rsidR="00BB1782" w:rsidRPr="00167CB8">
        <w:t xml:space="preserve"> 59</w:t>
      </w:r>
      <w:bookmarkEnd w:id="870"/>
      <w:r w:rsidRPr="00167CB8">
        <w:t>: Agreements approved in the quarter by agreement type (non-</w:t>
      </w:r>
      <w:r w:rsidR="003632CC" w:rsidRPr="00167CB8">
        <w:t>g</w:t>
      </w:r>
      <w:r w:rsidRPr="00167CB8">
        <w:t>reenfields agreements)</w:t>
      </w:r>
      <w:bookmarkEnd w:id="871"/>
      <w:bookmarkEnd w:id="872"/>
      <w:bookmarkEnd w:id="873"/>
    </w:p>
    <w:tbl>
      <w:tblPr>
        <w:tblW w:w="9029"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846"/>
        <w:gridCol w:w="875"/>
        <w:gridCol w:w="1029"/>
        <w:gridCol w:w="1027"/>
        <w:gridCol w:w="1029"/>
        <w:gridCol w:w="1028"/>
        <w:gridCol w:w="1028"/>
        <w:gridCol w:w="1029"/>
        <w:gridCol w:w="1138"/>
      </w:tblGrid>
      <w:tr w:rsidR="007A6A1A" w:rsidRPr="00167CB8" w14:paraId="361FC514" w14:textId="77777777" w:rsidTr="00CE1856">
        <w:trPr>
          <w:trHeight w:val="340"/>
        </w:trPr>
        <w:tc>
          <w:tcPr>
            <w:tcW w:w="846" w:type="dxa"/>
            <w:tcBorders>
              <w:top w:val="single" w:sz="4" w:space="0" w:color="auto"/>
              <w:bottom w:val="nil"/>
              <w:right w:val="single" w:sz="4" w:space="0" w:color="auto"/>
            </w:tcBorders>
            <w:shd w:val="clear" w:color="auto" w:fill="auto"/>
            <w:noWrap/>
            <w:vAlign w:val="bottom"/>
          </w:tcPr>
          <w:p w14:paraId="3AB05657" w14:textId="77777777" w:rsidR="007A6A1A" w:rsidRPr="003A7C61" w:rsidRDefault="007A6A1A" w:rsidP="007A6A1A">
            <w:pPr>
              <w:spacing w:after="0" w:line="240" w:lineRule="auto"/>
              <w:rPr>
                <w:rFonts w:eastAsia="Times New Roman" w:cs="Times New Roman"/>
                <w:b/>
                <w:bCs/>
                <w:color w:val="000000"/>
                <w:sz w:val="20"/>
                <w:szCs w:val="20"/>
                <w:lang w:eastAsia="en-AU"/>
              </w:rPr>
            </w:pPr>
          </w:p>
        </w:tc>
        <w:tc>
          <w:tcPr>
            <w:tcW w:w="3960" w:type="dxa"/>
            <w:gridSpan w:val="4"/>
            <w:tcBorders>
              <w:top w:val="single" w:sz="4" w:space="0" w:color="auto"/>
              <w:left w:val="single" w:sz="4" w:space="0" w:color="auto"/>
              <w:bottom w:val="nil"/>
              <w:right w:val="single" w:sz="4" w:space="0" w:color="auto"/>
            </w:tcBorders>
            <w:shd w:val="clear" w:color="000000" w:fill="FFFFFF"/>
            <w:vAlign w:val="center"/>
          </w:tcPr>
          <w:p w14:paraId="19ED0FD7" w14:textId="77777777" w:rsidR="007A6A1A" w:rsidRPr="003A7C61" w:rsidRDefault="007A6A1A" w:rsidP="007A6A1A">
            <w:pPr>
              <w:spacing w:after="0" w:line="240" w:lineRule="auto"/>
              <w:rPr>
                <w:rFonts w:eastAsia="Times New Roman" w:cs="Calibri"/>
                <w:b/>
                <w:bCs/>
                <w:color w:val="000000"/>
                <w:sz w:val="20"/>
                <w:szCs w:val="20"/>
                <w:lang w:val="en-US" w:eastAsia="en-AU"/>
              </w:rPr>
            </w:pPr>
            <w:r w:rsidRPr="003A7C61">
              <w:rPr>
                <w:rFonts w:eastAsia="Times New Roman" w:cs="Calibri"/>
                <w:b/>
                <w:bCs/>
                <w:color w:val="000000"/>
                <w:sz w:val="20"/>
                <w:szCs w:val="20"/>
                <w:lang w:val="en-US" w:eastAsia="en-AU"/>
              </w:rPr>
              <w:t>Single enterprise agreements</w:t>
            </w:r>
          </w:p>
        </w:tc>
        <w:tc>
          <w:tcPr>
            <w:tcW w:w="4223" w:type="dxa"/>
            <w:gridSpan w:val="4"/>
            <w:tcBorders>
              <w:top w:val="single" w:sz="4" w:space="0" w:color="auto"/>
              <w:left w:val="single" w:sz="4" w:space="0" w:color="auto"/>
              <w:bottom w:val="nil"/>
            </w:tcBorders>
            <w:shd w:val="clear" w:color="000000" w:fill="FFFFFF"/>
            <w:vAlign w:val="center"/>
          </w:tcPr>
          <w:p w14:paraId="3685627A" w14:textId="77777777" w:rsidR="007A6A1A" w:rsidRPr="003A7C61" w:rsidRDefault="007A6A1A" w:rsidP="007A6A1A">
            <w:pPr>
              <w:spacing w:after="0" w:line="240" w:lineRule="auto"/>
              <w:rPr>
                <w:rFonts w:eastAsia="Times New Roman" w:cs="Calibri"/>
                <w:b/>
                <w:bCs/>
                <w:color w:val="000000"/>
                <w:sz w:val="20"/>
                <w:szCs w:val="20"/>
                <w:lang w:val="en-US" w:eastAsia="en-AU"/>
              </w:rPr>
            </w:pPr>
            <w:r w:rsidRPr="003A7C61">
              <w:rPr>
                <w:rFonts w:eastAsia="Times New Roman" w:cs="Calibri"/>
                <w:b/>
                <w:bCs/>
                <w:color w:val="000000"/>
                <w:sz w:val="20"/>
                <w:szCs w:val="20"/>
                <w:lang w:val="en-US" w:eastAsia="en-AU"/>
              </w:rPr>
              <w:t>Multi-employer agreements</w:t>
            </w:r>
          </w:p>
        </w:tc>
      </w:tr>
      <w:tr w:rsidR="007A6A1A" w:rsidRPr="00167CB8" w14:paraId="6F78C275" w14:textId="77777777" w:rsidTr="00CE1856">
        <w:trPr>
          <w:trHeight w:val="340"/>
        </w:trPr>
        <w:tc>
          <w:tcPr>
            <w:tcW w:w="846" w:type="dxa"/>
            <w:tcBorders>
              <w:top w:val="nil"/>
              <w:bottom w:val="single" w:sz="4" w:space="0" w:color="auto"/>
              <w:right w:val="single" w:sz="4" w:space="0" w:color="auto"/>
            </w:tcBorders>
            <w:shd w:val="clear" w:color="auto" w:fill="auto"/>
            <w:noWrap/>
            <w:vAlign w:val="bottom"/>
            <w:hideMark/>
          </w:tcPr>
          <w:p w14:paraId="7BD8532C" w14:textId="77777777" w:rsidR="007A6A1A" w:rsidRPr="003A7C61" w:rsidRDefault="007A6A1A" w:rsidP="007A6A1A">
            <w:pPr>
              <w:spacing w:after="0" w:line="240" w:lineRule="auto"/>
              <w:rPr>
                <w:rFonts w:eastAsia="Times New Roman" w:cs="Times New Roman"/>
                <w:b/>
                <w:bCs/>
                <w:color w:val="000000"/>
                <w:sz w:val="20"/>
                <w:szCs w:val="20"/>
                <w:lang w:eastAsia="en-AU"/>
              </w:rPr>
            </w:pPr>
            <w:r w:rsidRPr="003A7C61">
              <w:rPr>
                <w:rFonts w:eastAsia="Times New Roman" w:cs="Times New Roman"/>
                <w:b/>
                <w:bCs/>
                <w:color w:val="000000"/>
                <w:sz w:val="20"/>
                <w:szCs w:val="20"/>
                <w:lang w:eastAsia="en-AU"/>
              </w:rPr>
              <w:t> </w:t>
            </w:r>
          </w:p>
        </w:tc>
        <w:tc>
          <w:tcPr>
            <w:tcW w:w="875" w:type="dxa"/>
            <w:tcBorders>
              <w:top w:val="nil"/>
              <w:left w:val="single" w:sz="4" w:space="0" w:color="auto"/>
              <w:bottom w:val="single" w:sz="4" w:space="0" w:color="auto"/>
            </w:tcBorders>
            <w:shd w:val="clear" w:color="000000" w:fill="FFFFFF"/>
            <w:vAlign w:val="center"/>
            <w:hideMark/>
          </w:tcPr>
          <w:p w14:paraId="34FBC70E" w14:textId="47FD8484" w:rsidR="007A6A1A" w:rsidRPr="00CE1856" w:rsidRDefault="000D5139"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No</w:t>
            </w:r>
            <w:r w:rsidR="007A6A1A" w:rsidRPr="00CE1856">
              <w:rPr>
                <w:rFonts w:eastAsia="Times New Roman" w:cs="Calibri"/>
                <w:b/>
                <w:bCs/>
                <w:color w:val="000000"/>
                <w:sz w:val="18"/>
                <w:szCs w:val="18"/>
                <w:lang w:val="en-US" w:eastAsia="en-AU"/>
              </w:rPr>
              <w:t xml:space="preserve"> of agreements</w:t>
            </w:r>
          </w:p>
        </w:tc>
        <w:tc>
          <w:tcPr>
            <w:tcW w:w="1029" w:type="dxa"/>
            <w:tcBorders>
              <w:top w:val="nil"/>
              <w:bottom w:val="single" w:sz="4" w:space="0" w:color="auto"/>
            </w:tcBorders>
            <w:shd w:val="clear" w:color="000000" w:fill="FFFFFF"/>
            <w:vAlign w:val="center"/>
            <w:hideMark/>
          </w:tcPr>
          <w:p w14:paraId="3A103888" w14:textId="77777777" w:rsidR="007A6A1A" w:rsidRPr="00CE1856" w:rsidRDefault="007A6A1A"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AAWI (%)</w:t>
            </w:r>
          </w:p>
        </w:tc>
        <w:tc>
          <w:tcPr>
            <w:tcW w:w="1027" w:type="dxa"/>
            <w:tcBorders>
              <w:top w:val="nil"/>
              <w:bottom w:val="single" w:sz="4" w:space="0" w:color="auto"/>
            </w:tcBorders>
            <w:shd w:val="clear" w:color="000000" w:fill="FFFFFF"/>
            <w:vAlign w:val="center"/>
            <w:hideMark/>
          </w:tcPr>
          <w:p w14:paraId="1B558815" w14:textId="63D18C33" w:rsidR="007A6A1A" w:rsidRPr="00CE1856" w:rsidRDefault="007A6A1A"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Duration (yrs)</w:t>
            </w:r>
          </w:p>
        </w:tc>
        <w:tc>
          <w:tcPr>
            <w:tcW w:w="1029" w:type="dxa"/>
            <w:tcBorders>
              <w:top w:val="nil"/>
              <w:bottom w:val="single" w:sz="4" w:space="0" w:color="auto"/>
              <w:right w:val="single" w:sz="4" w:space="0" w:color="auto"/>
            </w:tcBorders>
            <w:shd w:val="clear" w:color="000000" w:fill="FFFFFF"/>
            <w:vAlign w:val="center"/>
            <w:hideMark/>
          </w:tcPr>
          <w:p w14:paraId="3B525CD4" w14:textId="78FC6EF8" w:rsidR="007A6A1A" w:rsidRPr="00CE1856" w:rsidRDefault="007A6A1A"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Employees (</w:t>
            </w:r>
            <w:r w:rsidR="000D5139" w:rsidRPr="00CE1856">
              <w:rPr>
                <w:rFonts w:eastAsia="Times New Roman" w:cs="Calibri"/>
                <w:b/>
                <w:bCs/>
                <w:color w:val="000000"/>
                <w:sz w:val="18"/>
                <w:szCs w:val="18"/>
                <w:lang w:val="en-US" w:eastAsia="en-AU"/>
              </w:rPr>
              <w:t>‘</w:t>
            </w:r>
            <w:r w:rsidRPr="00CE1856">
              <w:rPr>
                <w:rFonts w:eastAsia="Times New Roman" w:cs="Calibri"/>
                <w:b/>
                <w:bCs/>
                <w:color w:val="000000"/>
                <w:sz w:val="18"/>
                <w:szCs w:val="18"/>
                <w:lang w:val="en-US" w:eastAsia="en-AU"/>
              </w:rPr>
              <w:t>000)</w:t>
            </w:r>
          </w:p>
        </w:tc>
        <w:tc>
          <w:tcPr>
            <w:tcW w:w="1028" w:type="dxa"/>
            <w:tcBorders>
              <w:top w:val="nil"/>
              <w:left w:val="single" w:sz="4" w:space="0" w:color="auto"/>
              <w:bottom w:val="single" w:sz="4" w:space="0" w:color="auto"/>
            </w:tcBorders>
            <w:shd w:val="clear" w:color="000000" w:fill="FFFFFF"/>
            <w:vAlign w:val="center"/>
            <w:hideMark/>
          </w:tcPr>
          <w:p w14:paraId="61C00AA1" w14:textId="073A1642" w:rsidR="007A6A1A" w:rsidRPr="00CE1856" w:rsidRDefault="000D5139"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No</w:t>
            </w:r>
            <w:r w:rsidR="007A6A1A" w:rsidRPr="00CE1856">
              <w:rPr>
                <w:rFonts w:eastAsia="Times New Roman" w:cs="Calibri"/>
                <w:b/>
                <w:bCs/>
                <w:color w:val="000000"/>
                <w:sz w:val="18"/>
                <w:szCs w:val="18"/>
                <w:lang w:val="en-US" w:eastAsia="en-AU"/>
              </w:rPr>
              <w:t xml:space="preserve"> of agreements</w:t>
            </w:r>
          </w:p>
        </w:tc>
        <w:tc>
          <w:tcPr>
            <w:tcW w:w="1028" w:type="dxa"/>
            <w:tcBorders>
              <w:top w:val="nil"/>
              <w:bottom w:val="single" w:sz="4" w:space="0" w:color="auto"/>
            </w:tcBorders>
            <w:shd w:val="clear" w:color="000000" w:fill="FFFFFF"/>
            <w:vAlign w:val="center"/>
            <w:hideMark/>
          </w:tcPr>
          <w:p w14:paraId="1F64A59F" w14:textId="77777777" w:rsidR="007A6A1A" w:rsidRPr="00CE1856" w:rsidRDefault="007A6A1A"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AAWI (%)</w:t>
            </w:r>
          </w:p>
        </w:tc>
        <w:tc>
          <w:tcPr>
            <w:tcW w:w="1029" w:type="dxa"/>
            <w:tcBorders>
              <w:top w:val="nil"/>
              <w:bottom w:val="single" w:sz="4" w:space="0" w:color="auto"/>
            </w:tcBorders>
            <w:shd w:val="clear" w:color="000000" w:fill="FFFFFF"/>
            <w:vAlign w:val="center"/>
            <w:hideMark/>
          </w:tcPr>
          <w:p w14:paraId="73328426" w14:textId="5A74A6AF" w:rsidR="007A6A1A" w:rsidRPr="00CE1856" w:rsidRDefault="007A6A1A"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Duration (yrs)</w:t>
            </w:r>
          </w:p>
        </w:tc>
        <w:tc>
          <w:tcPr>
            <w:tcW w:w="1138" w:type="dxa"/>
            <w:tcBorders>
              <w:top w:val="nil"/>
              <w:bottom w:val="single" w:sz="4" w:space="0" w:color="auto"/>
            </w:tcBorders>
            <w:shd w:val="clear" w:color="000000" w:fill="FFFFFF"/>
            <w:vAlign w:val="center"/>
            <w:hideMark/>
          </w:tcPr>
          <w:p w14:paraId="74049944" w14:textId="482B7711" w:rsidR="007A6A1A" w:rsidRPr="00CE1856" w:rsidRDefault="007A6A1A" w:rsidP="007A6A1A">
            <w:pPr>
              <w:spacing w:after="0" w:line="240" w:lineRule="auto"/>
              <w:rPr>
                <w:rFonts w:eastAsia="Times New Roman" w:cs="Calibri"/>
                <w:b/>
                <w:bCs/>
                <w:color w:val="000000"/>
                <w:sz w:val="18"/>
                <w:szCs w:val="18"/>
                <w:lang w:eastAsia="en-AU"/>
              </w:rPr>
            </w:pPr>
            <w:r w:rsidRPr="00CE1856">
              <w:rPr>
                <w:rFonts w:eastAsia="Times New Roman" w:cs="Calibri"/>
                <w:b/>
                <w:bCs/>
                <w:color w:val="000000"/>
                <w:sz w:val="18"/>
                <w:szCs w:val="18"/>
                <w:lang w:val="en-US" w:eastAsia="en-AU"/>
              </w:rPr>
              <w:t>Employees (</w:t>
            </w:r>
            <w:r w:rsidR="000D5139" w:rsidRPr="00CE1856">
              <w:rPr>
                <w:rFonts w:eastAsia="Times New Roman" w:cs="Calibri"/>
                <w:b/>
                <w:bCs/>
                <w:color w:val="000000"/>
                <w:sz w:val="18"/>
                <w:szCs w:val="18"/>
                <w:lang w:val="en-US" w:eastAsia="en-AU"/>
              </w:rPr>
              <w:t>‘</w:t>
            </w:r>
            <w:r w:rsidRPr="00CE1856">
              <w:rPr>
                <w:rFonts w:eastAsia="Times New Roman" w:cs="Calibri"/>
                <w:b/>
                <w:bCs/>
                <w:color w:val="000000"/>
                <w:sz w:val="18"/>
                <w:szCs w:val="18"/>
                <w:lang w:val="en-US" w:eastAsia="en-AU"/>
              </w:rPr>
              <w:t>000)</w:t>
            </w:r>
          </w:p>
        </w:tc>
      </w:tr>
      <w:tr w:rsidR="007A6A1A" w:rsidRPr="00167CB8" w14:paraId="510811B9" w14:textId="77777777" w:rsidTr="00CE1856">
        <w:trPr>
          <w:trHeight w:val="340"/>
        </w:trPr>
        <w:tc>
          <w:tcPr>
            <w:tcW w:w="846" w:type="dxa"/>
            <w:tcBorders>
              <w:top w:val="single" w:sz="4" w:space="0" w:color="auto"/>
              <w:right w:val="single" w:sz="4" w:space="0" w:color="auto"/>
            </w:tcBorders>
            <w:shd w:val="clear" w:color="auto" w:fill="auto"/>
            <w:noWrap/>
            <w:vAlign w:val="center"/>
            <w:hideMark/>
          </w:tcPr>
          <w:p w14:paraId="06C8ECFB"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Sep-21</w:t>
            </w:r>
          </w:p>
        </w:tc>
        <w:tc>
          <w:tcPr>
            <w:tcW w:w="875" w:type="dxa"/>
            <w:tcBorders>
              <w:top w:val="single" w:sz="4" w:space="0" w:color="auto"/>
              <w:left w:val="single" w:sz="4" w:space="0" w:color="auto"/>
            </w:tcBorders>
            <w:shd w:val="clear" w:color="000000" w:fill="FFFFFF"/>
            <w:vAlign w:val="center"/>
            <w:hideMark/>
          </w:tcPr>
          <w:p w14:paraId="6538110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1,174</w:t>
            </w:r>
          </w:p>
        </w:tc>
        <w:tc>
          <w:tcPr>
            <w:tcW w:w="1029" w:type="dxa"/>
            <w:tcBorders>
              <w:top w:val="single" w:sz="4" w:space="0" w:color="auto"/>
            </w:tcBorders>
            <w:shd w:val="clear" w:color="000000" w:fill="FFFFFF"/>
            <w:vAlign w:val="center"/>
            <w:hideMark/>
          </w:tcPr>
          <w:p w14:paraId="32F1399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w:t>
            </w:r>
          </w:p>
        </w:tc>
        <w:tc>
          <w:tcPr>
            <w:tcW w:w="1027" w:type="dxa"/>
            <w:tcBorders>
              <w:top w:val="single" w:sz="4" w:space="0" w:color="auto"/>
            </w:tcBorders>
            <w:shd w:val="clear" w:color="000000" w:fill="FFFFFF"/>
            <w:vAlign w:val="center"/>
            <w:hideMark/>
          </w:tcPr>
          <w:p w14:paraId="6B3A4039"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2.3</w:t>
            </w:r>
          </w:p>
        </w:tc>
        <w:tc>
          <w:tcPr>
            <w:tcW w:w="1029" w:type="dxa"/>
            <w:tcBorders>
              <w:top w:val="single" w:sz="4" w:space="0" w:color="auto"/>
              <w:right w:val="single" w:sz="4" w:space="0" w:color="auto"/>
            </w:tcBorders>
            <w:shd w:val="clear" w:color="000000" w:fill="FFFFFF"/>
            <w:vAlign w:val="center"/>
            <w:hideMark/>
          </w:tcPr>
          <w:p w14:paraId="34BEAEAA"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178.4</w:t>
            </w:r>
          </w:p>
        </w:tc>
        <w:tc>
          <w:tcPr>
            <w:tcW w:w="1028" w:type="dxa"/>
            <w:tcBorders>
              <w:top w:val="single" w:sz="4" w:space="0" w:color="auto"/>
              <w:left w:val="single" w:sz="4" w:space="0" w:color="auto"/>
            </w:tcBorders>
            <w:shd w:val="clear" w:color="000000" w:fill="FFFFFF"/>
            <w:vAlign w:val="center"/>
            <w:hideMark/>
          </w:tcPr>
          <w:p w14:paraId="123F6F3A"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w:t>
            </w:r>
          </w:p>
        </w:tc>
        <w:tc>
          <w:tcPr>
            <w:tcW w:w="1028" w:type="dxa"/>
            <w:tcBorders>
              <w:top w:val="single" w:sz="4" w:space="0" w:color="auto"/>
            </w:tcBorders>
            <w:shd w:val="clear" w:color="000000" w:fill="FFFFFF"/>
            <w:vAlign w:val="center"/>
            <w:hideMark/>
          </w:tcPr>
          <w:p w14:paraId="269AB1C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w:t>
            </w:r>
          </w:p>
        </w:tc>
        <w:tc>
          <w:tcPr>
            <w:tcW w:w="1029" w:type="dxa"/>
            <w:tcBorders>
              <w:top w:val="single" w:sz="4" w:space="0" w:color="auto"/>
            </w:tcBorders>
            <w:shd w:val="clear" w:color="000000" w:fill="FFFFFF"/>
            <w:vAlign w:val="center"/>
            <w:hideMark/>
          </w:tcPr>
          <w:p w14:paraId="17A2F17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w:t>
            </w:r>
          </w:p>
        </w:tc>
        <w:tc>
          <w:tcPr>
            <w:tcW w:w="1138" w:type="dxa"/>
            <w:tcBorders>
              <w:top w:val="single" w:sz="4" w:space="0" w:color="auto"/>
            </w:tcBorders>
            <w:shd w:val="clear" w:color="000000" w:fill="FFFFFF"/>
            <w:vAlign w:val="center"/>
            <w:hideMark/>
          </w:tcPr>
          <w:p w14:paraId="61172C3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w:t>
            </w:r>
          </w:p>
        </w:tc>
      </w:tr>
      <w:tr w:rsidR="007A6A1A" w:rsidRPr="00167CB8" w14:paraId="5CD605CC" w14:textId="77777777" w:rsidTr="00CE1856">
        <w:trPr>
          <w:trHeight w:val="340"/>
        </w:trPr>
        <w:tc>
          <w:tcPr>
            <w:tcW w:w="846" w:type="dxa"/>
            <w:tcBorders>
              <w:right w:val="single" w:sz="4" w:space="0" w:color="auto"/>
            </w:tcBorders>
            <w:shd w:val="clear" w:color="auto" w:fill="auto"/>
            <w:noWrap/>
            <w:vAlign w:val="center"/>
            <w:hideMark/>
          </w:tcPr>
          <w:p w14:paraId="3D9CB495"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Dec-21</w:t>
            </w:r>
          </w:p>
        </w:tc>
        <w:tc>
          <w:tcPr>
            <w:tcW w:w="875" w:type="dxa"/>
            <w:tcBorders>
              <w:left w:val="single" w:sz="4" w:space="0" w:color="auto"/>
            </w:tcBorders>
            <w:shd w:val="clear" w:color="000000" w:fill="FFFFFF"/>
            <w:vAlign w:val="center"/>
            <w:hideMark/>
          </w:tcPr>
          <w:p w14:paraId="3FC891D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1,050</w:t>
            </w:r>
          </w:p>
        </w:tc>
        <w:tc>
          <w:tcPr>
            <w:tcW w:w="1029" w:type="dxa"/>
            <w:shd w:val="clear" w:color="000000" w:fill="FFFFFF"/>
            <w:vAlign w:val="center"/>
            <w:hideMark/>
          </w:tcPr>
          <w:p w14:paraId="0C8EE90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027" w:type="dxa"/>
            <w:shd w:val="clear" w:color="000000" w:fill="FFFFFF"/>
            <w:vAlign w:val="center"/>
            <w:hideMark/>
          </w:tcPr>
          <w:p w14:paraId="618E6CC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2.3</w:t>
            </w:r>
          </w:p>
        </w:tc>
        <w:tc>
          <w:tcPr>
            <w:tcW w:w="1029" w:type="dxa"/>
            <w:tcBorders>
              <w:right w:val="single" w:sz="4" w:space="0" w:color="auto"/>
            </w:tcBorders>
            <w:shd w:val="clear" w:color="000000" w:fill="FFFFFF"/>
            <w:vAlign w:val="center"/>
            <w:hideMark/>
          </w:tcPr>
          <w:p w14:paraId="2FF1350A"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144.1</w:t>
            </w:r>
          </w:p>
        </w:tc>
        <w:tc>
          <w:tcPr>
            <w:tcW w:w="1028" w:type="dxa"/>
            <w:tcBorders>
              <w:left w:val="single" w:sz="4" w:space="0" w:color="auto"/>
            </w:tcBorders>
            <w:shd w:val="clear" w:color="000000" w:fill="FFFFFF"/>
            <w:vAlign w:val="center"/>
            <w:hideMark/>
          </w:tcPr>
          <w:p w14:paraId="538C936D"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7</w:t>
            </w:r>
          </w:p>
        </w:tc>
        <w:tc>
          <w:tcPr>
            <w:tcW w:w="1028" w:type="dxa"/>
            <w:shd w:val="clear" w:color="000000" w:fill="FFFFFF"/>
            <w:vAlign w:val="center"/>
            <w:hideMark/>
          </w:tcPr>
          <w:p w14:paraId="5300B1C9"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3.7</w:t>
            </w:r>
          </w:p>
        </w:tc>
        <w:tc>
          <w:tcPr>
            <w:tcW w:w="1029" w:type="dxa"/>
            <w:shd w:val="clear" w:color="000000" w:fill="FFFFFF"/>
            <w:vAlign w:val="center"/>
            <w:hideMark/>
          </w:tcPr>
          <w:p w14:paraId="5CB1492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138" w:type="dxa"/>
            <w:shd w:val="clear" w:color="000000" w:fill="FFFFFF"/>
            <w:vAlign w:val="center"/>
            <w:hideMark/>
          </w:tcPr>
          <w:p w14:paraId="185054E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w:t>
            </w:r>
          </w:p>
        </w:tc>
      </w:tr>
      <w:tr w:rsidR="007A6A1A" w:rsidRPr="00167CB8" w14:paraId="3C714A3B" w14:textId="77777777" w:rsidTr="00CE1856">
        <w:trPr>
          <w:trHeight w:val="340"/>
        </w:trPr>
        <w:tc>
          <w:tcPr>
            <w:tcW w:w="846" w:type="dxa"/>
            <w:tcBorders>
              <w:right w:val="single" w:sz="4" w:space="0" w:color="auto"/>
            </w:tcBorders>
            <w:shd w:val="clear" w:color="auto" w:fill="auto"/>
            <w:noWrap/>
            <w:vAlign w:val="center"/>
            <w:hideMark/>
          </w:tcPr>
          <w:p w14:paraId="19A941D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Mar-22</w:t>
            </w:r>
          </w:p>
        </w:tc>
        <w:tc>
          <w:tcPr>
            <w:tcW w:w="875" w:type="dxa"/>
            <w:tcBorders>
              <w:left w:val="single" w:sz="4" w:space="0" w:color="auto"/>
            </w:tcBorders>
            <w:shd w:val="clear" w:color="000000" w:fill="FFFFFF"/>
            <w:vAlign w:val="center"/>
            <w:hideMark/>
          </w:tcPr>
          <w:p w14:paraId="0D4EDF8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908</w:t>
            </w:r>
          </w:p>
        </w:tc>
        <w:tc>
          <w:tcPr>
            <w:tcW w:w="1029" w:type="dxa"/>
            <w:shd w:val="clear" w:color="000000" w:fill="FFFFFF"/>
            <w:vAlign w:val="center"/>
            <w:hideMark/>
          </w:tcPr>
          <w:p w14:paraId="25E2B19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w:t>
            </w:r>
          </w:p>
        </w:tc>
        <w:tc>
          <w:tcPr>
            <w:tcW w:w="1027" w:type="dxa"/>
            <w:shd w:val="clear" w:color="000000" w:fill="FFFFFF"/>
            <w:vAlign w:val="center"/>
            <w:hideMark/>
          </w:tcPr>
          <w:p w14:paraId="04C2A18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2.4</w:t>
            </w:r>
          </w:p>
        </w:tc>
        <w:tc>
          <w:tcPr>
            <w:tcW w:w="1029" w:type="dxa"/>
            <w:tcBorders>
              <w:right w:val="single" w:sz="4" w:space="0" w:color="auto"/>
            </w:tcBorders>
            <w:shd w:val="clear" w:color="000000" w:fill="FFFFFF"/>
            <w:vAlign w:val="center"/>
            <w:hideMark/>
          </w:tcPr>
          <w:p w14:paraId="39BB851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217.3</w:t>
            </w:r>
          </w:p>
        </w:tc>
        <w:tc>
          <w:tcPr>
            <w:tcW w:w="1028" w:type="dxa"/>
            <w:tcBorders>
              <w:left w:val="single" w:sz="4" w:space="0" w:color="auto"/>
            </w:tcBorders>
            <w:shd w:val="clear" w:color="000000" w:fill="FFFFFF"/>
            <w:vAlign w:val="center"/>
            <w:hideMark/>
          </w:tcPr>
          <w:p w14:paraId="69ECD2E3"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12</w:t>
            </w:r>
          </w:p>
        </w:tc>
        <w:tc>
          <w:tcPr>
            <w:tcW w:w="1028" w:type="dxa"/>
            <w:shd w:val="clear" w:color="000000" w:fill="FFFFFF"/>
            <w:vAlign w:val="center"/>
            <w:hideMark/>
          </w:tcPr>
          <w:p w14:paraId="3D63360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2.7</w:t>
            </w:r>
          </w:p>
        </w:tc>
        <w:tc>
          <w:tcPr>
            <w:tcW w:w="1029" w:type="dxa"/>
            <w:shd w:val="clear" w:color="000000" w:fill="FFFFFF"/>
            <w:vAlign w:val="center"/>
            <w:hideMark/>
          </w:tcPr>
          <w:p w14:paraId="221C125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2.9</w:t>
            </w:r>
          </w:p>
        </w:tc>
        <w:tc>
          <w:tcPr>
            <w:tcW w:w="1138" w:type="dxa"/>
            <w:shd w:val="clear" w:color="000000" w:fill="FFFFFF"/>
            <w:vAlign w:val="center"/>
            <w:hideMark/>
          </w:tcPr>
          <w:p w14:paraId="29F87A1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26.4</w:t>
            </w:r>
          </w:p>
        </w:tc>
      </w:tr>
      <w:tr w:rsidR="007A6A1A" w:rsidRPr="00167CB8" w14:paraId="4D33E972" w14:textId="77777777" w:rsidTr="00CE1856">
        <w:trPr>
          <w:trHeight w:val="340"/>
        </w:trPr>
        <w:tc>
          <w:tcPr>
            <w:tcW w:w="846" w:type="dxa"/>
            <w:tcBorders>
              <w:right w:val="single" w:sz="4" w:space="0" w:color="auto"/>
            </w:tcBorders>
            <w:shd w:val="clear" w:color="auto" w:fill="auto"/>
            <w:noWrap/>
            <w:vAlign w:val="center"/>
            <w:hideMark/>
          </w:tcPr>
          <w:p w14:paraId="61398CE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Jun-22</w:t>
            </w:r>
          </w:p>
        </w:tc>
        <w:tc>
          <w:tcPr>
            <w:tcW w:w="875" w:type="dxa"/>
            <w:tcBorders>
              <w:left w:val="single" w:sz="4" w:space="0" w:color="auto"/>
            </w:tcBorders>
            <w:shd w:val="clear" w:color="000000" w:fill="FFFFFF"/>
            <w:vAlign w:val="center"/>
            <w:hideMark/>
          </w:tcPr>
          <w:p w14:paraId="77DF611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832</w:t>
            </w:r>
          </w:p>
        </w:tc>
        <w:tc>
          <w:tcPr>
            <w:tcW w:w="1029" w:type="dxa"/>
            <w:shd w:val="clear" w:color="000000" w:fill="FFFFFF"/>
            <w:vAlign w:val="center"/>
            <w:hideMark/>
          </w:tcPr>
          <w:p w14:paraId="4F9CB42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2.8</w:t>
            </w:r>
          </w:p>
        </w:tc>
        <w:tc>
          <w:tcPr>
            <w:tcW w:w="1027" w:type="dxa"/>
            <w:shd w:val="clear" w:color="000000" w:fill="FFFFFF"/>
            <w:vAlign w:val="center"/>
            <w:hideMark/>
          </w:tcPr>
          <w:p w14:paraId="49B72ABB"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2.7</w:t>
            </w:r>
          </w:p>
        </w:tc>
        <w:tc>
          <w:tcPr>
            <w:tcW w:w="1029" w:type="dxa"/>
            <w:tcBorders>
              <w:right w:val="single" w:sz="4" w:space="0" w:color="auto"/>
            </w:tcBorders>
            <w:shd w:val="clear" w:color="000000" w:fill="FFFFFF"/>
            <w:vAlign w:val="center"/>
            <w:hideMark/>
          </w:tcPr>
          <w:p w14:paraId="12EF327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150.6</w:t>
            </w:r>
          </w:p>
        </w:tc>
        <w:tc>
          <w:tcPr>
            <w:tcW w:w="1028" w:type="dxa"/>
            <w:tcBorders>
              <w:left w:val="single" w:sz="4" w:space="0" w:color="auto"/>
            </w:tcBorders>
            <w:shd w:val="clear" w:color="000000" w:fill="FFFFFF"/>
            <w:vAlign w:val="center"/>
            <w:hideMark/>
          </w:tcPr>
          <w:p w14:paraId="7D707DC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7</w:t>
            </w:r>
          </w:p>
        </w:tc>
        <w:tc>
          <w:tcPr>
            <w:tcW w:w="1028" w:type="dxa"/>
            <w:shd w:val="clear" w:color="000000" w:fill="FFFFFF"/>
            <w:vAlign w:val="center"/>
            <w:hideMark/>
          </w:tcPr>
          <w:p w14:paraId="5F957CF3"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029" w:type="dxa"/>
            <w:shd w:val="clear" w:color="000000" w:fill="FFFFFF"/>
            <w:vAlign w:val="center"/>
            <w:hideMark/>
          </w:tcPr>
          <w:p w14:paraId="04E771B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2.7</w:t>
            </w:r>
          </w:p>
        </w:tc>
        <w:tc>
          <w:tcPr>
            <w:tcW w:w="1138" w:type="dxa"/>
            <w:shd w:val="clear" w:color="000000" w:fill="FFFFFF"/>
            <w:vAlign w:val="center"/>
            <w:hideMark/>
          </w:tcPr>
          <w:p w14:paraId="3E0126A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0.9</w:t>
            </w:r>
          </w:p>
        </w:tc>
      </w:tr>
      <w:tr w:rsidR="007A6A1A" w:rsidRPr="00167CB8" w14:paraId="5A8FDE01" w14:textId="77777777" w:rsidTr="00CE1856">
        <w:trPr>
          <w:trHeight w:val="340"/>
        </w:trPr>
        <w:tc>
          <w:tcPr>
            <w:tcW w:w="846" w:type="dxa"/>
            <w:tcBorders>
              <w:right w:val="single" w:sz="4" w:space="0" w:color="auto"/>
            </w:tcBorders>
            <w:shd w:val="clear" w:color="auto" w:fill="auto"/>
            <w:noWrap/>
            <w:vAlign w:val="center"/>
            <w:hideMark/>
          </w:tcPr>
          <w:p w14:paraId="5B8F9706"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Sep-22</w:t>
            </w:r>
          </w:p>
        </w:tc>
        <w:tc>
          <w:tcPr>
            <w:tcW w:w="875" w:type="dxa"/>
            <w:tcBorders>
              <w:left w:val="single" w:sz="4" w:space="0" w:color="auto"/>
            </w:tcBorders>
            <w:shd w:val="clear" w:color="000000" w:fill="FFFFFF"/>
            <w:vAlign w:val="center"/>
            <w:hideMark/>
          </w:tcPr>
          <w:p w14:paraId="2EA1AE8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1,016</w:t>
            </w:r>
          </w:p>
        </w:tc>
        <w:tc>
          <w:tcPr>
            <w:tcW w:w="1029" w:type="dxa"/>
            <w:shd w:val="clear" w:color="000000" w:fill="FFFFFF"/>
            <w:vAlign w:val="center"/>
            <w:hideMark/>
          </w:tcPr>
          <w:p w14:paraId="0BB03ED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w:t>
            </w:r>
          </w:p>
        </w:tc>
        <w:tc>
          <w:tcPr>
            <w:tcW w:w="1027" w:type="dxa"/>
            <w:shd w:val="clear" w:color="000000" w:fill="FFFFFF"/>
            <w:vAlign w:val="center"/>
            <w:hideMark/>
          </w:tcPr>
          <w:p w14:paraId="0368806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w:t>
            </w:r>
          </w:p>
        </w:tc>
        <w:tc>
          <w:tcPr>
            <w:tcW w:w="1029" w:type="dxa"/>
            <w:tcBorders>
              <w:right w:val="single" w:sz="4" w:space="0" w:color="auto"/>
            </w:tcBorders>
            <w:shd w:val="clear" w:color="000000" w:fill="FFFFFF"/>
            <w:vAlign w:val="center"/>
            <w:hideMark/>
          </w:tcPr>
          <w:p w14:paraId="5B119F6A"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208.5</w:t>
            </w:r>
          </w:p>
        </w:tc>
        <w:tc>
          <w:tcPr>
            <w:tcW w:w="1028" w:type="dxa"/>
            <w:tcBorders>
              <w:left w:val="single" w:sz="4" w:space="0" w:color="auto"/>
            </w:tcBorders>
            <w:shd w:val="clear" w:color="000000" w:fill="FFFFFF"/>
            <w:vAlign w:val="center"/>
            <w:hideMark/>
          </w:tcPr>
          <w:p w14:paraId="4E1D9CB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7</w:t>
            </w:r>
          </w:p>
        </w:tc>
        <w:tc>
          <w:tcPr>
            <w:tcW w:w="1028" w:type="dxa"/>
            <w:shd w:val="clear" w:color="000000" w:fill="FFFFFF"/>
            <w:vAlign w:val="center"/>
            <w:hideMark/>
          </w:tcPr>
          <w:p w14:paraId="6112184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3.4</w:t>
            </w:r>
          </w:p>
        </w:tc>
        <w:tc>
          <w:tcPr>
            <w:tcW w:w="1029" w:type="dxa"/>
            <w:shd w:val="clear" w:color="000000" w:fill="FFFFFF"/>
            <w:vAlign w:val="center"/>
            <w:hideMark/>
          </w:tcPr>
          <w:p w14:paraId="0E3B63E5"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1.5</w:t>
            </w:r>
          </w:p>
        </w:tc>
        <w:tc>
          <w:tcPr>
            <w:tcW w:w="1138" w:type="dxa"/>
            <w:shd w:val="clear" w:color="000000" w:fill="FFFFFF"/>
            <w:vAlign w:val="center"/>
            <w:hideMark/>
          </w:tcPr>
          <w:p w14:paraId="17740FD3"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3.7</w:t>
            </w:r>
          </w:p>
        </w:tc>
      </w:tr>
      <w:tr w:rsidR="007A6A1A" w:rsidRPr="00167CB8" w14:paraId="72E8E668" w14:textId="77777777" w:rsidTr="00CE1856">
        <w:trPr>
          <w:trHeight w:val="340"/>
        </w:trPr>
        <w:tc>
          <w:tcPr>
            <w:tcW w:w="846" w:type="dxa"/>
            <w:tcBorders>
              <w:right w:val="single" w:sz="4" w:space="0" w:color="auto"/>
            </w:tcBorders>
            <w:shd w:val="clear" w:color="auto" w:fill="auto"/>
            <w:noWrap/>
            <w:vAlign w:val="center"/>
            <w:hideMark/>
          </w:tcPr>
          <w:p w14:paraId="5C44A9B9"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Dec-22</w:t>
            </w:r>
          </w:p>
        </w:tc>
        <w:tc>
          <w:tcPr>
            <w:tcW w:w="875" w:type="dxa"/>
            <w:tcBorders>
              <w:left w:val="single" w:sz="4" w:space="0" w:color="auto"/>
            </w:tcBorders>
            <w:shd w:val="clear" w:color="000000" w:fill="FFFFFF"/>
            <w:vAlign w:val="center"/>
            <w:hideMark/>
          </w:tcPr>
          <w:p w14:paraId="5130047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1,061</w:t>
            </w:r>
          </w:p>
        </w:tc>
        <w:tc>
          <w:tcPr>
            <w:tcW w:w="1029" w:type="dxa"/>
            <w:shd w:val="clear" w:color="000000" w:fill="FFFFFF"/>
            <w:vAlign w:val="center"/>
            <w:hideMark/>
          </w:tcPr>
          <w:p w14:paraId="3A28E09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w:t>
            </w:r>
          </w:p>
        </w:tc>
        <w:tc>
          <w:tcPr>
            <w:tcW w:w="1027" w:type="dxa"/>
            <w:shd w:val="clear" w:color="000000" w:fill="FFFFFF"/>
            <w:vAlign w:val="center"/>
            <w:hideMark/>
          </w:tcPr>
          <w:p w14:paraId="4D3BD425"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029" w:type="dxa"/>
            <w:tcBorders>
              <w:right w:val="single" w:sz="4" w:space="0" w:color="auto"/>
            </w:tcBorders>
            <w:shd w:val="clear" w:color="000000" w:fill="FFFFFF"/>
            <w:vAlign w:val="center"/>
            <w:hideMark/>
          </w:tcPr>
          <w:p w14:paraId="0B46757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216.5</w:t>
            </w:r>
          </w:p>
        </w:tc>
        <w:tc>
          <w:tcPr>
            <w:tcW w:w="1028" w:type="dxa"/>
            <w:tcBorders>
              <w:left w:val="single" w:sz="4" w:space="0" w:color="auto"/>
            </w:tcBorders>
            <w:shd w:val="clear" w:color="000000" w:fill="FFFFFF"/>
            <w:vAlign w:val="center"/>
            <w:hideMark/>
          </w:tcPr>
          <w:p w14:paraId="29164BC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w:t>
            </w:r>
          </w:p>
        </w:tc>
        <w:tc>
          <w:tcPr>
            <w:tcW w:w="1028" w:type="dxa"/>
            <w:shd w:val="clear" w:color="000000" w:fill="FFFFFF"/>
            <w:vAlign w:val="center"/>
            <w:hideMark/>
          </w:tcPr>
          <w:p w14:paraId="5764CA95"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3.4</w:t>
            </w:r>
          </w:p>
        </w:tc>
        <w:tc>
          <w:tcPr>
            <w:tcW w:w="1029" w:type="dxa"/>
            <w:shd w:val="clear" w:color="000000" w:fill="FFFFFF"/>
            <w:vAlign w:val="center"/>
            <w:hideMark/>
          </w:tcPr>
          <w:p w14:paraId="50BC9B0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138" w:type="dxa"/>
            <w:shd w:val="clear" w:color="000000" w:fill="FFFFFF"/>
            <w:vAlign w:val="center"/>
            <w:hideMark/>
          </w:tcPr>
          <w:p w14:paraId="6E955B9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w:t>
            </w:r>
          </w:p>
        </w:tc>
      </w:tr>
      <w:tr w:rsidR="007A6A1A" w:rsidRPr="00167CB8" w14:paraId="6EDAD4B9" w14:textId="77777777" w:rsidTr="00CE1856">
        <w:trPr>
          <w:trHeight w:val="340"/>
        </w:trPr>
        <w:tc>
          <w:tcPr>
            <w:tcW w:w="846" w:type="dxa"/>
            <w:tcBorders>
              <w:right w:val="single" w:sz="4" w:space="0" w:color="auto"/>
            </w:tcBorders>
            <w:shd w:val="clear" w:color="auto" w:fill="auto"/>
            <w:noWrap/>
            <w:vAlign w:val="center"/>
            <w:hideMark/>
          </w:tcPr>
          <w:p w14:paraId="6BDC298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Mar-23</w:t>
            </w:r>
          </w:p>
        </w:tc>
        <w:tc>
          <w:tcPr>
            <w:tcW w:w="875" w:type="dxa"/>
            <w:tcBorders>
              <w:left w:val="single" w:sz="4" w:space="0" w:color="auto"/>
            </w:tcBorders>
            <w:shd w:val="clear" w:color="000000" w:fill="FFFFFF"/>
            <w:vAlign w:val="center"/>
            <w:hideMark/>
          </w:tcPr>
          <w:p w14:paraId="783202B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781</w:t>
            </w:r>
          </w:p>
        </w:tc>
        <w:tc>
          <w:tcPr>
            <w:tcW w:w="1029" w:type="dxa"/>
            <w:shd w:val="clear" w:color="000000" w:fill="FFFFFF"/>
            <w:vAlign w:val="center"/>
            <w:hideMark/>
          </w:tcPr>
          <w:p w14:paraId="319F559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3.7</w:t>
            </w:r>
          </w:p>
        </w:tc>
        <w:tc>
          <w:tcPr>
            <w:tcW w:w="1027" w:type="dxa"/>
            <w:shd w:val="clear" w:color="000000" w:fill="FFFFFF"/>
            <w:vAlign w:val="center"/>
            <w:hideMark/>
          </w:tcPr>
          <w:p w14:paraId="48A3485D"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2.3</w:t>
            </w:r>
          </w:p>
        </w:tc>
        <w:tc>
          <w:tcPr>
            <w:tcW w:w="1029" w:type="dxa"/>
            <w:tcBorders>
              <w:right w:val="single" w:sz="4" w:space="0" w:color="auto"/>
            </w:tcBorders>
            <w:shd w:val="clear" w:color="000000" w:fill="FFFFFF"/>
            <w:vAlign w:val="center"/>
            <w:hideMark/>
          </w:tcPr>
          <w:p w14:paraId="3B1BEEB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131.4</w:t>
            </w:r>
          </w:p>
        </w:tc>
        <w:tc>
          <w:tcPr>
            <w:tcW w:w="1028" w:type="dxa"/>
            <w:tcBorders>
              <w:left w:val="single" w:sz="4" w:space="0" w:color="auto"/>
            </w:tcBorders>
            <w:shd w:val="clear" w:color="000000" w:fill="FFFFFF"/>
            <w:vAlign w:val="center"/>
            <w:hideMark/>
          </w:tcPr>
          <w:p w14:paraId="39A13DD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w:t>
            </w:r>
          </w:p>
        </w:tc>
        <w:tc>
          <w:tcPr>
            <w:tcW w:w="1028" w:type="dxa"/>
            <w:shd w:val="clear" w:color="000000" w:fill="FFFFFF"/>
            <w:vAlign w:val="center"/>
            <w:hideMark/>
          </w:tcPr>
          <w:p w14:paraId="79CE41C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w:t>
            </w:r>
          </w:p>
        </w:tc>
        <w:tc>
          <w:tcPr>
            <w:tcW w:w="1029" w:type="dxa"/>
            <w:shd w:val="clear" w:color="000000" w:fill="FFFFFF"/>
            <w:vAlign w:val="center"/>
            <w:hideMark/>
          </w:tcPr>
          <w:p w14:paraId="78BDBBD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w:t>
            </w:r>
          </w:p>
        </w:tc>
        <w:tc>
          <w:tcPr>
            <w:tcW w:w="1138" w:type="dxa"/>
            <w:shd w:val="clear" w:color="000000" w:fill="FFFFFF"/>
            <w:vAlign w:val="center"/>
            <w:hideMark/>
          </w:tcPr>
          <w:p w14:paraId="21DB2302"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0.7</w:t>
            </w:r>
          </w:p>
        </w:tc>
      </w:tr>
      <w:tr w:rsidR="007A6A1A" w:rsidRPr="00167CB8" w14:paraId="3825C796" w14:textId="77777777" w:rsidTr="00CE1856">
        <w:trPr>
          <w:trHeight w:val="340"/>
        </w:trPr>
        <w:tc>
          <w:tcPr>
            <w:tcW w:w="846" w:type="dxa"/>
            <w:tcBorders>
              <w:right w:val="single" w:sz="4" w:space="0" w:color="auto"/>
            </w:tcBorders>
            <w:shd w:val="clear" w:color="auto" w:fill="auto"/>
            <w:noWrap/>
            <w:vAlign w:val="center"/>
            <w:hideMark/>
          </w:tcPr>
          <w:p w14:paraId="5C1FA49B"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Jun-23</w:t>
            </w:r>
          </w:p>
        </w:tc>
        <w:tc>
          <w:tcPr>
            <w:tcW w:w="875" w:type="dxa"/>
            <w:tcBorders>
              <w:left w:val="single" w:sz="4" w:space="0" w:color="auto"/>
            </w:tcBorders>
            <w:shd w:val="clear" w:color="000000" w:fill="FFFFFF"/>
            <w:vAlign w:val="center"/>
            <w:hideMark/>
          </w:tcPr>
          <w:p w14:paraId="44FAC1A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868</w:t>
            </w:r>
          </w:p>
        </w:tc>
        <w:tc>
          <w:tcPr>
            <w:tcW w:w="1029" w:type="dxa"/>
            <w:shd w:val="clear" w:color="000000" w:fill="FFFFFF"/>
            <w:vAlign w:val="center"/>
            <w:hideMark/>
          </w:tcPr>
          <w:p w14:paraId="62E2DF8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3.8</w:t>
            </w:r>
          </w:p>
        </w:tc>
        <w:tc>
          <w:tcPr>
            <w:tcW w:w="1027" w:type="dxa"/>
            <w:shd w:val="clear" w:color="000000" w:fill="FFFFFF"/>
            <w:vAlign w:val="center"/>
            <w:hideMark/>
          </w:tcPr>
          <w:p w14:paraId="34A54389"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2.4</w:t>
            </w:r>
          </w:p>
        </w:tc>
        <w:tc>
          <w:tcPr>
            <w:tcW w:w="1029" w:type="dxa"/>
            <w:tcBorders>
              <w:right w:val="single" w:sz="4" w:space="0" w:color="auto"/>
            </w:tcBorders>
            <w:shd w:val="clear" w:color="000000" w:fill="FFFFFF"/>
            <w:vAlign w:val="center"/>
            <w:hideMark/>
          </w:tcPr>
          <w:p w14:paraId="431CB94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133.3</w:t>
            </w:r>
          </w:p>
        </w:tc>
        <w:tc>
          <w:tcPr>
            <w:tcW w:w="1028" w:type="dxa"/>
            <w:tcBorders>
              <w:left w:val="single" w:sz="4" w:space="0" w:color="auto"/>
            </w:tcBorders>
            <w:shd w:val="clear" w:color="000000" w:fill="FFFFFF"/>
            <w:vAlign w:val="center"/>
            <w:hideMark/>
          </w:tcPr>
          <w:p w14:paraId="3FFCE92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w:t>
            </w:r>
          </w:p>
        </w:tc>
        <w:tc>
          <w:tcPr>
            <w:tcW w:w="1028" w:type="dxa"/>
            <w:shd w:val="clear" w:color="000000" w:fill="FFFFFF"/>
            <w:vAlign w:val="center"/>
            <w:hideMark/>
          </w:tcPr>
          <w:p w14:paraId="648A645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w:t>
            </w:r>
          </w:p>
        </w:tc>
        <w:tc>
          <w:tcPr>
            <w:tcW w:w="1029" w:type="dxa"/>
            <w:shd w:val="clear" w:color="000000" w:fill="FFFFFF"/>
            <w:vAlign w:val="center"/>
            <w:hideMark/>
          </w:tcPr>
          <w:p w14:paraId="2C398879"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2.9</w:t>
            </w:r>
          </w:p>
        </w:tc>
        <w:tc>
          <w:tcPr>
            <w:tcW w:w="1138" w:type="dxa"/>
            <w:shd w:val="clear" w:color="000000" w:fill="FFFFFF"/>
            <w:vAlign w:val="center"/>
            <w:hideMark/>
          </w:tcPr>
          <w:p w14:paraId="36355C6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0.4</w:t>
            </w:r>
          </w:p>
        </w:tc>
      </w:tr>
      <w:tr w:rsidR="007A6A1A" w:rsidRPr="00167CB8" w14:paraId="3786716D" w14:textId="77777777" w:rsidTr="00CE1856">
        <w:trPr>
          <w:trHeight w:val="340"/>
        </w:trPr>
        <w:tc>
          <w:tcPr>
            <w:tcW w:w="846" w:type="dxa"/>
            <w:tcBorders>
              <w:right w:val="single" w:sz="4" w:space="0" w:color="auto"/>
            </w:tcBorders>
            <w:shd w:val="clear" w:color="auto" w:fill="auto"/>
            <w:noWrap/>
            <w:vAlign w:val="center"/>
            <w:hideMark/>
          </w:tcPr>
          <w:p w14:paraId="1C6690D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Sep-23</w:t>
            </w:r>
          </w:p>
        </w:tc>
        <w:tc>
          <w:tcPr>
            <w:tcW w:w="875" w:type="dxa"/>
            <w:tcBorders>
              <w:left w:val="single" w:sz="4" w:space="0" w:color="auto"/>
            </w:tcBorders>
            <w:shd w:val="clear" w:color="000000" w:fill="FFFFFF"/>
            <w:vAlign w:val="center"/>
            <w:hideMark/>
          </w:tcPr>
          <w:p w14:paraId="25D08A83"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1,003</w:t>
            </w:r>
          </w:p>
        </w:tc>
        <w:tc>
          <w:tcPr>
            <w:tcW w:w="1029" w:type="dxa"/>
            <w:shd w:val="clear" w:color="000000" w:fill="FFFFFF"/>
            <w:vAlign w:val="center"/>
            <w:hideMark/>
          </w:tcPr>
          <w:p w14:paraId="4C5E92B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4.3</w:t>
            </w:r>
          </w:p>
        </w:tc>
        <w:tc>
          <w:tcPr>
            <w:tcW w:w="1027" w:type="dxa"/>
            <w:shd w:val="clear" w:color="000000" w:fill="FFFFFF"/>
            <w:vAlign w:val="center"/>
            <w:hideMark/>
          </w:tcPr>
          <w:p w14:paraId="632F492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2.7</w:t>
            </w:r>
          </w:p>
        </w:tc>
        <w:tc>
          <w:tcPr>
            <w:tcW w:w="1029" w:type="dxa"/>
            <w:tcBorders>
              <w:right w:val="single" w:sz="4" w:space="0" w:color="auto"/>
            </w:tcBorders>
            <w:shd w:val="clear" w:color="000000" w:fill="FFFFFF"/>
            <w:vAlign w:val="center"/>
            <w:hideMark/>
          </w:tcPr>
          <w:p w14:paraId="281537E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257</w:t>
            </w:r>
          </w:p>
        </w:tc>
        <w:tc>
          <w:tcPr>
            <w:tcW w:w="1028" w:type="dxa"/>
            <w:tcBorders>
              <w:left w:val="single" w:sz="4" w:space="0" w:color="auto"/>
            </w:tcBorders>
            <w:shd w:val="clear" w:color="000000" w:fill="FFFFFF"/>
            <w:vAlign w:val="center"/>
            <w:hideMark/>
          </w:tcPr>
          <w:p w14:paraId="510D71C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5</w:t>
            </w:r>
          </w:p>
        </w:tc>
        <w:tc>
          <w:tcPr>
            <w:tcW w:w="1028" w:type="dxa"/>
            <w:shd w:val="clear" w:color="000000" w:fill="FFFFFF"/>
            <w:vAlign w:val="center"/>
            <w:hideMark/>
          </w:tcPr>
          <w:p w14:paraId="0BD1C9BD"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3.4</w:t>
            </w:r>
          </w:p>
        </w:tc>
        <w:tc>
          <w:tcPr>
            <w:tcW w:w="1029" w:type="dxa"/>
            <w:shd w:val="clear" w:color="000000" w:fill="FFFFFF"/>
            <w:vAlign w:val="center"/>
            <w:hideMark/>
          </w:tcPr>
          <w:p w14:paraId="0A351C39"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2.3</w:t>
            </w:r>
          </w:p>
        </w:tc>
        <w:tc>
          <w:tcPr>
            <w:tcW w:w="1138" w:type="dxa"/>
            <w:shd w:val="clear" w:color="000000" w:fill="FFFFFF"/>
            <w:vAlign w:val="center"/>
            <w:hideMark/>
          </w:tcPr>
          <w:p w14:paraId="328871E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36.5</w:t>
            </w:r>
          </w:p>
        </w:tc>
      </w:tr>
      <w:tr w:rsidR="007A6A1A" w:rsidRPr="00167CB8" w14:paraId="486DB148" w14:textId="77777777" w:rsidTr="00CE1856">
        <w:trPr>
          <w:trHeight w:val="340"/>
        </w:trPr>
        <w:tc>
          <w:tcPr>
            <w:tcW w:w="846" w:type="dxa"/>
            <w:tcBorders>
              <w:right w:val="single" w:sz="4" w:space="0" w:color="auto"/>
            </w:tcBorders>
            <w:shd w:val="clear" w:color="auto" w:fill="auto"/>
            <w:noWrap/>
            <w:vAlign w:val="center"/>
            <w:hideMark/>
          </w:tcPr>
          <w:p w14:paraId="3BBA398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Dec-23</w:t>
            </w:r>
          </w:p>
        </w:tc>
        <w:tc>
          <w:tcPr>
            <w:tcW w:w="875" w:type="dxa"/>
            <w:tcBorders>
              <w:left w:val="single" w:sz="4" w:space="0" w:color="auto"/>
            </w:tcBorders>
            <w:shd w:val="clear" w:color="000000" w:fill="FFFFFF"/>
            <w:vAlign w:val="center"/>
            <w:hideMark/>
          </w:tcPr>
          <w:p w14:paraId="723D4B66"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1,194</w:t>
            </w:r>
          </w:p>
        </w:tc>
        <w:tc>
          <w:tcPr>
            <w:tcW w:w="1029" w:type="dxa"/>
            <w:shd w:val="clear" w:color="000000" w:fill="FFFFFF"/>
            <w:vAlign w:val="center"/>
            <w:hideMark/>
          </w:tcPr>
          <w:p w14:paraId="34828F1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4.4</w:t>
            </w:r>
          </w:p>
        </w:tc>
        <w:tc>
          <w:tcPr>
            <w:tcW w:w="1027" w:type="dxa"/>
            <w:shd w:val="clear" w:color="000000" w:fill="FFFFFF"/>
            <w:vAlign w:val="center"/>
            <w:hideMark/>
          </w:tcPr>
          <w:p w14:paraId="0FB7B208"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029" w:type="dxa"/>
            <w:tcBorders>
              <w:right w:val="single" w:sz="4" w:space="0" w:color="auto"/>
            </w:tcBorders>
            <w:shd w:val="clear" w:color="000000" w:fill="FFFFFF"/>
            <w:vAlign w:val="center"/>
            <w:hideMark/>
          </w:tcPr>
          <w:p w14:paraId="1535A67D"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275.1</w:t>
            </w:r>
          </w:p>
        </w:tc>
        <w:tc>
          <w:tcPr>
            <w:tcW w:w="1028" w:type="dxa"/>
            <w:tcBorders>
              <w:left w:val="single" w:sz="4" w:space="0" w:color="auto"/>
            </w:tcBorders>
            <w:shd w:val="clear" w:color="000000" w:fill="FFFFFF"/>
            <w:vAlign w:val="center"/>
            <w:hideMark/>
          </w:tcPr>
          <w:p w14:paraId="4640CB1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w:t>
            </w:r>
          </w:p>
        </w:tc>
        <w:tc>
          <w:tcPr>
            <w:tcW w:w="1028" w:type="dxa"/>
            <w:shd w:val="clear" w:color="000000" w:fill="FFFFFF"/>
            <w:vAlign w:val="center"/>
            <w:hideMark/>
          </w:tcPr>
          <w:p w14:paraId="3EBD499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3.8</w:t>
            </w:r>
          </w:p>
        </w:tc>
        <w:tc>
          <w:tcPr>
            <w:tcW w:w="1029" w:type="dxa"/>
            <w:shd w:val="clear" w:color="000000" w:fill="FFFFFF"/>
            <w:vAlign w:val="center"/>
            <w:hideMark/>
          </w:tcPr>
          <w:p w14:paraId="7EBC095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w:t>
            </w:r>
          </w:p>
        </w:tc>
        <w:tc>
          <w:tcPr>
            <w:tcW w:w="1138" w:type="dxa"/>
            <w:shd w:val="clear" w:color="000000" w:fill="FFFFFF"/>
            <w:vAlign w:val="center"/>
            <w:hideMark/>
          </w:tcPr>
          <w:p w14:paraId="0EBECA9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w:t>
            </w:r>
          </w:p>
        </w:tc>
      </w:tr>
      <w:tr w:rsidR="007A6A1A" w:rsidRPr="00167CB8" w14:paraId="3313C182" w14:textId="77777777" w:rsidTr="00CE1856">
        <w:trPr>
          <w:trHeight w:val="340"/>
        </w:trPr>
        <w:tc>
          <w:tcPr>
            <w:tcW w:w="846" w:type="dxa"/>
            <w:tcBorders>
              <w:right w:val="single" w:sz="4" w:space="0" w:color="auto"/>
            </w:tcBorders>
            <w:shd w:val="clear" w:color="auto" w:fill="auto"/>
            <w:noWrap/>
            <w:vAlign w:val="center"/>
            <w:hideMark/>
          </w:tcPr>
          <w:p w14:paraId="3336EF2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Mar-24</w:t>
            </w:r>
          </w:p>
        </w:tc>
        <w:tc>
          <w:tcPr>
            <w:tcW w:w="875" w:type="dxa"/>
            <w:tcBorders>
              <w:left w:val="single" w:sz="4" w:space="0" w:color="auto"/>
            </w:tcBorders>
            <w:shd w:val="clear" w:color="000000" w:fill="FFFFFF"/>
            <w:vAlign w:val="center"/>
            <w:hideMark/>
          </w:tcPr>
          <w:p w14:paraId="5D805B8A"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955</w:t>
            </w:r>
          </w:p>
        </w:tc>
        <w:tc>
          <w:tcPr>
            <w:tcW w:w="1029" w:type="dxa"/>
            <w:shd w:val="clear" w:color="000000" w:fill="FFFFFF"/>
            <w:vAlign w:val="center"/>
            <w:hideMark/>
          </w:tcPr>
          <w:p w14:paraId="2044B0D3"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3.9</w:t>
            </w:r>
          </w:p>
        </w:tc>
        <w:tc>
          <w:tcPr>
            <w:tcW w:w="1027" w:type="dxa"/>
            <w:shd w:val="clear" w:color="000000" w:fill="FFFFFF"/>
            <w:vAlign w:val="center"/>
            <w:hideMark/>
          </w:tcPr>
          <w:p w14:paraId="0640538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2.7</w:t>
            </w:r>
          </w:p>
        </w:tc>
        <w:tc>
          <w:tcPr>
            <w:tcW w:w="1029" w:type="dxa"/>
            <w:tcBorders>
              <w:right w:val="single" w:sz="4" w:space="0" w:color="auto"/>
            </w:tcBorders>
            <w:shd w:val="clear" w:color="000000" w:fill="FFFFFF"/>
            <w:vAlign w:val="center"/>
            <w:hideMark/>
          </w:tcPr>
          <w:p w14:paraId="6CD09FA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319</w:t>
            </w:r>
          </w:p>
        </w:tc>
        <w:tc>
          <w:tcPr>
            <w:tcW w:w="1028" w:type="dxa"/>
            <w:tcBorders>
              <w:left w:val="single" w:sz="4" w:space="0" w:color="auto"/>
            </w:tcBorders>
            <w:shd w:val="clear" w:color="000000" w:fill="FFFFFF"/>
            <w:vAlign w:val="center"/>
            <w:hideMark/>
          </w:tcPr>
          <w:p w14:paraId="1A89CC6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16</w:t>
            </w:r>
          </w:p>
        </w:tc>
        <w:tc>
          <w:tcPr>
            <w:tcW w:w="1028" w:type="dxa"/>
            <w:shd w:val="clear" w:color="000000" w:fill="FFFFFF"/>
            <w:vAlign w:val="center"/>
            <w:hideMark/>
          </w:tcPr>
          <w:p w14:paraId="3373FD5D"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2.5</w:t>
            </w:r>
          </w:p>
        </w:tc>
        <w:tc>
          <w:tcPr>
            <w:tcW w:w="1029" w:type="dxa"/>
            <w:shd w:val="clear" w:color="000000" w:fill="FFFFFF"/>
            <w:vAlign w:val="center"/>
            <w:hideMark/>
          </w:tcPr>
          <w:p w14:paraId="03CBA01F"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w:t>
            </w:r>
          </w:p>
        </w:tc>
        <w:tc>
          <w:tcPr>
            <w:tcW w:w="1138" w:type="dxa"/>
            <w:shd w:val="clear" w:color="000000" w:fill="FFFFFF"/>
            <w:vAlign w:val="center"/>
            <w:hideMark/>
          </w:tcPr>
          <w:p w14:paraId="35CA75B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44.3</w:t>
            </w:r>
          </w:p>
        </w:tc>
      </w:tr>
      <w:tr w:rsidR="007A6A1A" w:rsidRPr="00167CB8" w14:paraId="5F088921" w14:textId="77777777" w:rsidTr="00CE1856">
        <w:trPr>
          <w:trHeight w:val="340"/>
        </w:trPr>
        <w:tc>
          <w:tcPr>
            <w:tcW w:w="846" w:type="dxa"/>
            <w:tcBorders>
              <w:right w:val="single" w:sz="4" w:space="0" w:color="auto"/>
            </w:tcBorders>
            <w:shd w:val="clear" w:color="auto" w:fill="auto"/>
            <w:noWrap/>
            <w:vAlign w:val="center"/>
            <w:hideMark/>
          </w:tcPr>
          <w:p w14:paraId="17F356A5"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Jun-24</w:t>
            </w:r>
          </w:p>
        </w:tc>
        <w:tc>
          <w:tcPr>
            <w:tcW w:w="875" w:type="dxa"/>
            <w:tcBorders>
              <w:left w:val="single" w:sz="4" w:space="0" w:color="auto"/>
            </w:tcBorders>
            <w:shd w:val="clear" w:color="000000" w:fill="FFFFFF"/>
            <w:vAlign w:val="center"/>
            <w:hideMark/>
          </w:tcPr>
          <w:p w14:paraId="6D4FB72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1,092</w:t>
            </w:r>
          </w:p>
        </w:tc>
        <w:tc>
          <w:tcPr>
            <w:tcW w:w="1029" w:type="dxa"/>
            <w:shd w:val="clear" w:color="000000" w:fill="FFFFFF"/>
            <w:vAlign w:val="center"/>
            <w:hideMark/>
          </w:tcPr>
          <w:p w14:paraId="2633453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w:t>
            </w:r>
          </w:p>
        </w:tc>
        <w:tc>
          <w:tcPr>
            <w:tcW w:w="1027" w:type="dxa"/>
            <w:shd w:val="clear" w:color="000000" w:fill="FFFFFF"/>
            <w:vAlign w:val="center"/>
            <w:hideMark/>
          </w:tcPr>
          <w:p w14:paraId="17F413C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w:t>
            </w:r>
          </w:p>
        </w:tc>
        <w:tc>
          <w:tcPr>
            <w:tcW w:w="1029" w:type="dxa"/>
            <w:tcBorders>
              <w:right w:val="single" w:sz="4" w:space="0" w:color="auto"/>
            </w:tcBorders>
            <w:shd w:val="clear" w:color="000000" w:fill="FFFFFF"/>
            <w:vAlign w:val="center"/>
            <w:hideMark/>
          </w:tcPr>
          <w:p w14:paraId="09A83C66"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269.3</w:t>
            </w:r>
          </w:p>
        </w:tc>
        <w:tc>
          <w:tcPr>
            <w:tcW w:w="1028" w:type="dxa"/>
            <w:tcBorders>
              <w:left w:val="single" w:sz="4" w:space="0" w:color="auto"/>
            </w:tcBorders>
            <w:shd w:val="clear" w:color="000000" w:fill="FFFFFF"/>
            <w:vAlign w:val="center"/>
            <w:hideMark/>
          </w:tcPr>
          <w:p w14:paraId="1621CCE1"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4</w:t>
            </w:r>
          </w:p>
        </w:tc>
        <w:tc>
          <w:tcPr>
            <w:tcW w:w="1028" w:type="dxa"/>
            <w:shd w:val="clear" w:color="000000" w:fill="FFFFFF"/>
            <w:vAlign w:val="center"/>
            <w:hideMark/>
          </w:tcPr>
          <w:p w14:paraId="29BD9394"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6.6</w:t>
            </w:r>
          </w:p>
        </w:tc>
        <w:tc>
          <w:tcPr>
            <w:tcW w:w="1029" w:type="dxa"/>
            <w:shd w:val="clear" w:color="000000" w:fill="FFFFFF"/>
            <w:vAlign w:val="center"/>
            <w:hideMark/>
          </w:tcPr>
          <w:p w14:paraId="68D36550"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2.2</w:t>
            </w:r>
          </w:p>
        </w:tc>
        <w:tc>
          <w:tcPr>
            <w:tcW w:w="1138" w:type="dxa"/>
            <w:shd w:val="clear" w:color="000000" w:fill="FFFFFF"/>
            <w:vAlign w:val="center"/>
            <w:hideMark/>
          </w:tcPr>
          <w:p w14:paraId="10E29205"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3.7</w:t>
            </w:r>
          </w:p>
        </w:tc>
      </w:tr>
      <w:tr w:rsidR="007A6A1A" w:rsidRPr="00167CB8" w14:paraId="1C921EC6" w14:textId="77777777" w:rsidTr="00CE1856">
        <w:trPr>
          <w:trHeight w:val="340"/>
        </w:trPr>
        <w:tc>
          <w:tcPr>
            <w:tcW w:w="846" w:type="dxa"/>
            <w:tcBorders>
              <w:right w:val="single" w:sz="4" w:space="0" w:color="auto"/>
            </w:tcBorders>
            <w:shd w:val="clear" w:color="auto" w:fill="auto"/>
            <w:vAlign w:val="center"/>
            <w:hideMark/>
          </w:tcPr>
          <w:p w14:paraId="6581A37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eastAsia="en-AU"/>
              </w:rPr>
              <w:t>Sep-24</w:t>
            </w:r>
          </w:p>
        </w:tc>
        <w:tc>
          <w:tcPr>
            <w:tcW w:w="875" w:type="dxa"/>
            <w:tcBorders>
              <w:left w:val="single" w:sz="4" w:space="0" w:color="auto"/>
              <w:bottom w:val="single" w:sz="4" w:space="0" w:color="auto"/>
            </w:tcBorders>
            <w:shd w:val="clear" w:color="000000" w:fill="FFFFFF"/>
            <w:vAlign w:val="center"/>
            <w:hideMark/>
          </w:tcPr>
          <w:p w14:paraId="3969A67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862</w:t>
            </w:r>
          </w:p>
        </w:tc>
        <w:tc>
          <w:tcPr>
            <w:tcW w:w="1029" w:type="dxa"/>
            <w:tcBorders>
              <w:bottom w:val="single" w:sz="4" w:space="0" w:color="auto"/>
            </w:tcBorders>
            <w:shd w:val="clear" w:color="000000" w:fill="FFFFFF"/>
            <w:vAlign w:val="center"/>
            <w:hideMark/>
          </w:tcPr>
          <w:p w14:paraId="2524C61B"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3.6</w:t>
            </w:r>
          </w:p>
        </w:tc>
        <w:tc>
          <w:tcPr>
            <w:tcW w:w="1027" w:type="dxa"/>
            <w:tcBorders>
              <w:bottom w:val="single" w:sz="4" w:space="0" w:color="auto"/>
            </w:tcBorders>
            <w:shd w:val="clear" w:color="000000" w:fill="FFFFFF"/>
            <w:vAlign w:val="center"/>
            <w:hideMark/>
          </w:tcPr>
          <w:p w14:paraId="0ED0B23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3.1</w:t>
            </w:r>
          </w:p>
        </w:tc>
        <w:tc>
          <w:tcPr>
            <w:tcW w:w="1029" w:type="dxa"/>
            <w:tcBorders>
              <w:bottom w:val="single" w:sz="4" w:space="0" w:color="auto"/>
              <w:right w:val="single" w:sz="4" w:space="0" w:color="auto"/>
            </w:tcBorders>
            <w:shd w:val="clear" w:color="000000" w:fill="FFFFFF"/>
            <w:vAlign w:val="center"/>
            <w:hideMark/>
          </w:tcPr>
          <w:p w14:paraId="775252A7"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338.6</w:t>
            </w:r>
          </w:p>
        </w:tc>
        <w:tc>
          <w:tcPr>
            <w:tcW w:w="1028" w:type="dxa"/>
            <w:tcBorders>
              <w:left w:val="single" w:sz="4" w:space="0" w:color="auto"/>
              <w:bottom w:val="single" w:sz="4" w:space="0" w:color="auto"/>
            </w:tcBorders>
            <w:shd w:val="clear" w:color="000000" w:fill="FFFFFF"/>
            <w:vAlign w:val="center"/>
            <w:hideMark/>
          </w:tcPr>
          <w:p w14:paraId="2C39CCFA"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w:t>
            </w:r>
          </w:p>
        </w:tc>
        <w:tc>
          <w:tcPr>
            <w:tcW w:w="1028" w:type="dxa"/>
            <w:tcBorders>
              <w:bottom w:val="single" w:sz="4" w:space="0" w:color="auto"/>
            </w:tcBorders>
            <w:shd w:val="clear" w:color="000000" w:fill="FFFFFF"/>
            <w:vAlign w:val="center"/>
            <w:hideMark/>
          </w:tcPr>
          <w:p w14:paraId="4079537C"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w:t>
            </w:r>
          </w:p>
        </w:tc>
        <w:tc>
          <w:tcPr>
            <w:tcW w:w="1029" w:type="dxa"/>
            <w:tcBorders>
              <w:bottom w:val="single" w:sz="4" w:space="0" w:color="auto"/>
            </w:tcBorders>
            <w:shd w:val="clear" w:color="000000" w:fill="FFFFFF"/>
            <w:vAlign w:val="center"/>
            <w:hideMark/>
          </w:tcPr>
          <w:p w14:paraId="09848C86"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w:t>
            </w:r>
          </w:p>
        </w:tc>
        <w:tc>
          <w:tcPr>
            <w:tcW w:w="1138" w:type="dxa"/>
            <w:tcBorders>
              <w:bottom w:val="single" w:sz="4" w:space="0" w:color="auto"/>
            </w:tcBorders>
            <w:shd w:val="clear" w:color="000000" w:fill="FFFFFF"/>
            <w:vAlign w:val="center"/>
            <w:hideMark/>
          </w:tcPr>
          <w:p w14:paraId="3D0FA74E" w14:textId="77777777" w:rsidR="007A6A1A" w:rsidRPr="003A7C61" w:rsidRDefault="007A6A1A" w:rsidP="007A6A1A">
            <w:pPr>
              <w:spacing w:after="0" w:line="240" w:lineRule="auto"/>
              <w:jc w:val="center"/>
              <w:rPr>
                <w:rFonts w:eastAsia="Times New Roman" w:cs="Calibri"/>
                <w:color w:val="000000"/>
                <w:sz w:val="20"/>
                <w:szCs w:val="20"/>
                <w:lang w:eastAsia="en-AU"/>
              </w:rPr>
            </w:pPr>
            <w:r w:rsidRPr="003A7C61">
              <w:rPr>
                <w:rFonts w:eastAsia="Times New Roman" w:cs="Calibri"/>
                <w:color w:val="000000"/>
                <w:sz w:val="20"/>
                <w:szCs w:val="20"/>
                <w:lang w:val="en-US" w:eastAsia="en-AU"/>
              </w:rPr>
              <w:t>0</w:t>
            </w:r>
          </w:p>
        </w:tc>
      </w:tr>
    </w:tbl>
    <w:p w14:paraId="2CB357B0" w14:textId="77777777" w:rsidR="007A6A1A" w:rsidRPr="00167CB8" w:rsidRDefault="007A6A1A" w:rsidP="000D5139">
      <w:pPr>
        <w:pStyle w:val="Source"/>
      </w:pPr>
      <w:r w:rsidRPr="00167CB8">
        <w:rPr>
          <w:b/>
          <w:bCs/>
        </w:rPr>
        <w:t>Note:</w:t>
      </w:r>
      <w:r w:rsidRPr="00167CB8">
        <w:t xml:space="preserve"> *indicates not available.</w:t>
      </w:r>
    </w:p>
    <w:p w14:paraId="7737D8E5" w14:textId="2313A318" w:rsidR="007A6A1A" w:rsidRPr="00167CB8" w:rsidRDefault="007A6A1A" w:rsidP="000D5139">
      <w:pPr>
        <w:pStyle w:val="Source"/>
      </w:pPr>
      <w:r w:rsidRPr="00167CB8">
        <w:rPr>
          <w:b/>
          <w:bCs/>
        </w:rPr>
        <w:t>Source:</w:t>
      </w:r>
      <w:r w:rsidRPr="00167CB8">
        <w:t xml:space="preserve"> Trends in Federal Enterprise Bargaining, September quarter 2024, Table 5</w:t>
      </w:r>
      <w:r w:rsidR="000D5139" w:rsidRPr="00167CB8">
        <w:t>.</w:t>
      </w:r>
    </w:p>
    <w:p w14:paraId="7D5B482E" w14:textId="77777777" w:rsidR="007A6A1A" w:rsidRPr="00167CB8" w:rsidRDefault="007A6A1A" w:rsidP="007A6A1A">
      <w:pPr>
        <w:rPr>
          <w:rFonts w:eastAsiaTheme="majorEastAsia" w:cstheme="majorBidi"/>
          <w:color w:val="009B9F" w:themeColor="background2"/>
          <w:sz w:val="44"/>
          <w:szCs w:val="26"/>
        </w:rPr>
      </w:pPr>
      <w:r w:rsidRPr="00167CB8">
        <w:br w:type="page"/>
      </w:r>
    </w:p>
    <w:p w14:paraId="31ECF683" w14:textId="1EA57D46" w:rsidR="007A6A1A" w:rsidRPr="00167CB8" w:rsidRDefault="007A6A1A" w:rsidP="00650687">
      <w:pPr>
        <w:pStyle w:val="Heading2"/>
      </w:pPr>
      <w:bookmarkStart w:id="874" w:name="_Toc188278058"/>
      <w:bookmarkStart w:id="875" w:name="_Toc189260186"/>
      <w:bookmarkStart w:id="876" w:name="_Toc189393676"/>
      <w:r w:rsidRPr="00167CB8">
        <w:lastRenderedPageBreak/>
        <w:t xml:space="preserve">Appendix 3 – Fair Work Commission </w:t>
      </w:r>
      <w:r w:rsidR="000D5139" w:rsidRPr="00167CB8">
        <w:t>d</w:t>
      </w:r>
      <w:r w:rsidRPr="00167CB8">
        <w:t>ata</w:t>
      </w:r>
      <w:bookmarkEnd w:id="874"/>
      <w:bookmarkEnd w:id="875"/>
      <w:bookmarkEnd w:id="876"/>
    </w:p>
    <w:p w14:paraId="6AB9C559" w14:textId="6BA3CC77" w:rsidR="007A6A1A" w:rsidRPr="00167CB8" w:rsidRDefault="00650687" w:rsidP="00650687">
      <w:pPr>
        <w:pStyle w:val="Heading3"/>
      </w:pPr>
      <w:bookmarkStart w:id="877" w:name="_Toc189393677"/>
      <w:r>
        <w:t xml:space="preserve">1. </w:t>
      </w:r>
      <w:bookmarkStart w:id="878" w:name="_Toc188278059"/>
      <w:r w:rsidR="007A6A1A" w:rsidRPr="00167CB8">
        <w:t xml:space="preserve">Enterprise </w:t>
      </w:r>
      <w:r w:rsidR="000D5139" w:rsidRPr="00167CB8">
        <w:t>a</w:t>
      </w:r>
      <w:r w:rsidR="007A6A1A" w:rsidRPr="00167CB8">
        <w:t xml:space="preserve">greement </w:t>
      </w:r>
      <w:r w:rsidR="000D5139" w:rsidRPr="00167CB8">
        <w:t>a</w:t>
      </w:r>
      <w:r w:rsidR="007A6A1A" w:rsidRPr="00167CB8">
        <w:t>pplications</w:t>
      </w:r>
      <w:bookmarkEnd w:id="878"/>
      <w:bookmarkEnd w:id="877"/>
    </w:p>
    <w:p w14:paraId="44A19F8B" w14:textId="77FADAA4" w:rsidR="007A6A1A" w:rsidRPr="00167CB8" w:rsidRDefault="007A6A1A" w:rsidP="007A6A1A">
      <w:r w:rsidRPr="00167CB8">
        <w:t xml:space="preserve">Between July 2021 and June 2024, the Fair Work Commission </w:t>
      </w:r>
      <w:r w:rsidR="004208E4" w:rsidRPr="00167CB8">
        <w:t xml:space="preserve">(FWC) </w:t>
      </w:r>
      <w:r w:rsidRPr="00167CB8">
        <w:t xml:space="preserve">received 13,478 applications for approval of an enterprise agreement. </w:t>
      </w:r>
      <w:r w:rsidR="00177CA8">
        <w:t>Table 60</w:t>
      </w:r>
      <w:r w:rsidR="003038E0" w:rsidRPr="00167CB8">
        <w:t xml:space="preserve"> </w:t>
      </w:r>
      <w:r w:rsidRPr="00167CB8">
        <w:t>demonstrate</w:t>
      </w:r>
      <w:r w:rsidR="00AB7064" w:rsidRPr="00167CB8">
        <w:t>s</w:t>
      </w:r>
      <w:r w:rsidRPr="00167CB8">
        <w:t xml:space="preserve"> that</w:t>
      </w:r>
      <w:r w:rsidR="000D5139" w:rsidRPr="00167CB8">
        <w:t>,</w:t>
      </w:r>
      <w:r w:rsidRPr="00167CB8">
        <w:t xml:space="preserve"> despite monthly variations, the overall trend of applications for this period remains stable.</w:t>
      </w:r>
    </w:p>
    <w:p w14:paraId="0772747C" w14:textId="44634E7A" w:rsidR="007A6A1A" w:rsidRPr="00167CB8" w:rsidRDefault="007A6A1A" w:rsidP="00470AB9">
      <w:pPr>
        <w:pStyle w:val="Caption"/>
      </w:pPr>
      <w:bookmarkStart w:id="879" w:name="_Ref187164776"/>
      <w:bookmarkStart w:id="880" w:name="_Toc187688536"/>
      <w:bookmarkStart w:id="881" w:name="_Toc189310889"/>
      <w:r w:rsidRPr="00167CB8">
        <w:t xml:space="preserve">Table </w:t>
      </w:r>
      <w:r w:rsidR="0066739D" w:rsidRPr="00167CB8">
        <w:t>60</w:t>
      </w:r>
      <w:bookmarkEnd w:id="879"/>
      <w:r w:rsidRPr="00167CB8">
        <w:t>: Monthly enterprise agreement applications</w:t>
      </w:r>
      <w:bookmarkEnd w:id="880"/>
      <w:bookmarkEnd w:id="881"/>
    </w:p>
    <w:tbl>
      <w:tblPr>
        <w:tblStyle w:val="TableGrid"/>
        <w:tblW w:w="8955" w:type="dxa"/>
        <w:tblLayout w:type="fixed"/>
        <w:tblLook w:val="04A0" w:firstRow="1" w:lastRow="0" w:firstColumn="1" w:lastColumn="0" w:noHBand="0" w:noVBand="1"/>
      </w:tblPr>
      <w:tblGrid>
        <w:gridCol w:w="1124"/>
        <w:gridCol w:w="1957"/>
        <w:gridCol w:w="1958"/>
        <w:gridCol w:w="1958"/>
        <w:gridCol w:w="1958"/>
      </w:tblGrid>
      <w:tr w:rsidR="007A6A1A" w:rsidRPr="00167CB8" w14:paraId="7EE34C57"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CEB7C7B" w14:textId="77777777" w:rsidR="007A6A1A" w:rsidRPr="00BC091A" w:rsidRDefault="007A6A1A" w:rsidP="00BC091A">
            <w:pPr>
              <w:spacing w:after="0"/>
              <w:rPr>
                <w:sz w:val="20"/>
                <w:szCs w:val="20"/>
              </w:rPr>
            </w:pP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11366CF" w14:textId="77777777" w:rsidR="007A6A1A" w:rsidRPr="00BC091A" w:rsidRDefault="007A6A1A" w:rsidP="00BC091A">
            <w:pPr>
              <w:spacing w:after="0"/>
              <w:jc w:val="center"/>
              <w:rPr>
                <w:b/>
                <w:bCs/>
                <w:sz w:val="20"/>
                <w:szCs w:val="20"/>
              </w:rPr>
            </w:pPr>
            <w:r w:rsidRPr="00BC091A">
              <w:rPr>
                <w:b/>
                <w:bCs/>
                <w:sz w:val="20"/>
                <w:szCs w:val="20"/>
              </w:rPr>
              <w:t>Greenfields agreement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05BCACB" w14:textId="77777777" w:rsidR="007A6A1A" w:rsidRPr="00BC091A" w:rsidRDefault="007A6A1A" w:rsidP="00BC091A">
            <w:pPr>
              <w:spacing w:after="0"/>
              <w:jc w:val="center"/>
              <w:rPr>
                <w:b/>
                <w:bCs/>
                <w:sz w:val="20"/>
                <w:szCs w:val="20"/>
              </w:rPr>
            </w:pPr>
            <w:r w:rsidRPr="00BC091A">
              <w:rPr>
                <w:b/>
                <w:bCs/>
                <w:sz w:val="20"/>
                <w:szCs w:val="20"/>
              </w:rPr>
              <w:t>Multi-employer agreement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C7FC569" w14:textId="77777777" w:rsidR="007A6A1A" w:rsidRPr="00BC091A" w:rsidRDefault="007A6A1A" w:rsidP="00BC091A">
            <w:pPr>
              <w:spacing w:after="0"/>
              <w:jc w:val="center"/>
              <w:rPr>
                <w:b/>
                <w:bCs/>
                <w:sz w:val="20"/>
                <w:szCs w:val="20"/>
              </w:rPr>
            </w:pPr>
            <w:r w:rsidRPr="00BC091A">
              <w:rPr>
                <w:b/>
                <w:bCs/>
                <w:sz w:val="20"/>
                <w:szCs w:val="20"/>
              </w:rPr>
              <w:t>Single-enterprise agreement</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50F29" w14:textId="77777777" w:rsidR="007A6A1A" w:rsidRPr="00BC091A" w:rsidRDefault="007A6A1A" w:rsidP="00BC091A">
            <w:pPr>
              <w:spacing w:after="0"/>
              <w:jc w:val="center"/>
              <w:rPr>
                <w:b/>
                <w:bCs/>
                <w:sz w:val="20"/>
                <w:szCs w:val="20"/>
              </w:rPr>
            </w:pPr>
            <w:r w:rsidRPr="00BC091A">
              <w:rPr>
                <w:b/>
                <w:bCs/>
                <w:sz w:val="20"/>
                <w:szCs w:val="20"/>
              </w:rPr>
              <w:t>Total</w:t>
            </w:r>
          </w:p>
        </w:tc>
      </w:tr>
      <w:tr w:rsidR="007A6A1A" w:rsidRPr="00167CB8" w14:paraId="51DEE824"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0F4AB80" w14:textId="77777777" w:rsidR="007A6A1A" w:rsidRPr="00BC091A" w:rsidRDefault="007A6A1A" w:rsidP="00BC091A">
            <w:pPr>
              <w:spacing w:after="0"/>
              <w:rPr>
                <w:sz w:val="18"/>
                <w:szCs w:val="18"/>
              </w:rPr>
            </w:pPr>
            <w:r w:rsidRPr="00BC091A">
              <w:rPr>
                <w:sz w:val="18"/>
                <w:szCs w:val="18"/>
              </w:rPr>
              <w:t>Jul-21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5643E1D" w14:textId="77777777" w:rsidR="007A6A1A" w:rsidRPr="00BC091A" w:rsidRDefault="007A6A1A" w:rsidP="00BC091A">
            <w:pPr>
              <w:spacing w:after="0"/>
              <w:jc w:val="center"/>
              <w:rPr>
                <w:sz w:val="18"/>
                <w:szCs w:val="18"/>
              </w:rPr>
            </w:pPr>
            <w:r w:rsidRPr="00BC091A">
              <w:rPr>
                <w:sz w:val="18"/>
                <w:szCs w:val="18"/>
              </w:rPr>
              <w:t>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1AFDF0A"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30C49E3" w14:textId="77777777" w:rsidR="007A6A1A" w:rsidRPr="00BC091A" w:rsidRDefault="007A6A1A" w:rsidP="00BC091A">
            <w:pPr>
              <w:spacing w:after="0"/>
              <w:jc w:val="center"/>
              <w:rPr>
                <w:sz w:val="18"/>
                <w:szCs w:val="18"/>
              </w:rPr>
            </w:pPr>
            <w:r w:rsidRPr="00BC091A">
              <w:rPr>
                <w:sz w:val="18"/>
                <w:szCs w:val="18"/>
              </w:rPr>
              <w:t>435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B7FB4" w14:textId="77777777" w:rsidR="007A6A1A" w:rsidRPr="00BC091A" w:rsidRDefault="007A6A1A" w:rsidP="00BC091A">
            <w:pPr>
              <w:spacing w:after="0"/>
              <w:jc w:val="center"/>
              <w:rPr>
                <w:sz w:val="18"/>
                <w:szCs w:val="18"/>
              </w:rPr>
            </w:pPr>
            <w:r w:rsidRPr="00BC091A">
              <w:rPr>
                <w:sz w:val="18"/>
                <w:szCs w:val="18"/>
              </w:rPr>
              <w:t>469</w:t>
            </w:r>
          </w:p>
        </w:tc>
      </w:tr>
      <w:tr w:rsidR="007A6A1A" w:rsidRPr="00167CB8" w14:paraId="635F372C"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6F7C9F6B" w14:textId="77777777" w:rsidR="007A6A1A" w:rsidRPr="00BC091A" w:rsidRDefault="007A6A1A" w:rsidP="00BC091A">
            <w:pPr>
              <w:spacing w:after="0"/>
              <w:rPr>
                <w:sz w:val="18"/>
                <w:szCs w:val="18"/>
              </w:rPr>
            </w:pPr>
            <w:r w:rsidRPr="00BC091A">
              <w:rPr>
                <w:sz w:val="18"/>
                <w:szCs w:val="18"/>
              </w:rPr>
              <w:t>Aug-21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AFCACC2" w14:textId="77777777" w:rsidR="007A6A1A" w:rsidRPr="00BC091A" w:rsidRDefault="007A6A1A" w:rsidP="00BC091A">
            <w:pPr>
              <w:spacing w:after="0"/>
              <w:jc w:val="center"/>
              <w:rPr>
                <w:sz w:val="18"/>
                <w:szCs w:val="18"/>
              </w:rPr>
            </w:pPr>
            <w:r w:rsidRPr="00BC091A">
              <w:rPr>
                <w:sz w:val="18"/>
                <w:szCs w:val="18"/>
              </w:rPr>
              <w:t>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A7C3CB4"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B31C85E" w14:textId="77777777" w:rsidR="007A6A1A" w:rsidRPr="00BC091A" w:rsidRDefault="007A6A1A" w:rsidP="00BC091A">
            <w:pPr>
              <w:spacing w:after="0"/>
              <w:jc w:val="center"/>
              <w:rPr>
                <w:sz w:val="18"/>
                <w:szCs w:val="18"/>
              </w:rPr>
            </w:pPr>
            <w:r w:rsidRPr="00BC091A">
              <w:rPr>
                <w:sz w:val="18"/>
                <w:szCs w:val="18"/>
              </w:rPr>
              <w:t>380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0851A" w14:textId="77777777" w:rsidR="007A6A1A" w:rsidRPr="00BC091A" w:rsidRDefault="007A6A1A" w:rsidP="00BC091A">
            <w:pPr>
              <w:spacing w:after="0"/>
              <w:jc w:val="center"/>
              <w:rPr>
                <w:sz w:val="18"/>
                <w:szCs w:val="18"/>
              </w:rPr>
            </w:pPr>
            <w:r w:rsidRPr="00BC091A">
              <w:rPr>
                <w:sz w:val="18"/>
                <w:szCs w:val="18"/>
              </w:rPr>
              <w:t>403</w:t>
            </w:r>
          </w:p>
        </w:tc>
      </w:tr>
      <w:tr w:rsidR="007A6A1A" w:rsidRPr="00167CB8" w14:paraId="5722056D"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6D46F38" w14:textId="77777777" w:rsidR="007A6A1A" w:rsidRPr="00BC091A" w:rsidRDefault="007A6A1A" w:rsidP="00BC091A">
            <w:pPr>
              <w:spacing w:after="0"/>
              <w:rPr>
                <w:sz w:val="18"/>
                <w:szCs w:val="18"/>
              </w:rPr>
            </w:pPr>
            <w:r w:rsidRPr="00BC091A">
              <w:rPr>
                <w:sz w:val="18"/>
                <w:szCs w:val="18"/>
              </w:rPr>
              <w:t>Sep-21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EBBA830" w14:textId="77777777" w:rsidR="007A6A1A" w:rsidRPr="00BC091A" w:rsidRDefault="007A6A1A" w:rsidP="00BC091A">
            <w:pPr>
              <w:spacing w:after="0"/>
              <w:jc w:val="center"/>
              <w:rPr>
                <w:sz w:val="18"/>
                <w:szCs w:val="18"/>
              </w:rPr>
            </w:pPr>
            <w:r w:rsidRPr="00BC091A">
              <w:rPr>
                <w:sz w:val="18"/>
                <w:szCs w:val="18"/>
              </w:rPr>
              <w:t>35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030020A"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CCB3A35" w14:textId="77777777" w:rsidR="007A6A1A" w:rsidRPr="00BC091A" w:rsidRDefault="007A6A1A" w:rsidP="00BC091A">
            <w:pPr>
              <w:spacing w:after="0"/>
              <w:jc w:val="center"/>
              <w:rPr>
                <w:sz w:val="18"/>
                <w:szCs w:val="18"/>
              </w:rPr>
            </w:pPr>
            <w:r w:rsidRPr="00BC091A">
              <w:rPr>
                <w:sz w:val="18"/>
                <w:szCs w:val="18"/>
              </w:rPr>
              <w:t>378</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4F7C5" w14:textId="77777777" w:rsidR="007A6A1A" w:rsidRPr="00BC091A" w:rsidRDefault="007A6A1A" w:rsidP="00BC091A">
            <w:pPr>
              <w:spacing w:after="0"/>
              <w:jc w:val="center"/>
              <w:rPr>
                <w:sz w:val="18"/>
                <w:szCs w:val="18"/>
              </w:rPr>
            </w:pPr>
            <w:r w:rsidRPr="00BC091A">
              <w:rPr>
                <w:sz w:val="18"/>
                <w:szCs w:val="18"/>
              </w:rPr>
              <w:t>414</w:t>
            </w:r>
          </w:p>
        </w:tc>
      </w:tr>
      <w:tr w:rsidR="007A6A1A" w:rsidRPr="00167CB8" w14:paraId="5CF1F14D"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F36FDAA" w14:textId="77777777" w:rsidR="007A6A1A" w:rsidRPr="00BC091A" w:rsidRDefault="007A6A1A" w:rsidP="00BC091A">
            <w:pPr>
              <w:spacing w:after="0"/>
              <w:rPr>
                <w:sz w:val="18"/>
                <w:szCs w:val="18"/>
              </w:rPr>
            </w:pPr>
            <w:r w:rsidRPr="00BC091A">
              <w:rPr>
                <w:sz w:val="18"/>
                <w:szCs w:val="18"/>
              </w:rPr>
              <w:t>Oct-21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BAE3F26" w14:textId="77777777" w:rsidR="007A6A1A" w:rsidRPr="00BC091A" w:rsidRDefault="007A6A1A" w:rsidP="00BC091A">
            <w:pPr>
              <w:spacing w:after="0"/>
              <w:jc w:val="center"/>
              <w:rPr>
                <w:sz w:val="18"/>
                <w:szCs w:val="18"/>
              </w:rPr>
            </w:pPr>
            <w:r w:rsidRPr="00BC091A">
              <w:rPr>
                <w:sz w:val="18"/>
                <w:szCs w:val="18"/>
              </w:rPr>
              <w:t>36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6B946DC"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CE02648" w14:textId="77777777" w:rsidR="007A6A1A" w:rsidRPr="00BC091A" w:rsidRDefault="007A6A1A" w:rsidP="00BC091A">
            <w:pPr>
              <w:spacing w:after="0"/>
              <w:jc w:val="center"/>
              <w:rPr>
                <w:sz w:val="18"/>
                <w:szCs w:val="18"/>
              </w:rPr>
            </w:pPr>
            <w:r w:rsidRPr="00BC091A">
              <w:rPr>
                <w:sz w:val="18"/>
                <w:szCs w:val="18"/>
              </w:rPr>
              <w:t>333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9997C" w14:textId="77777777" w:rsidR="007A6A1A" w:rsidRPr="00BC091A" w:rsidRDefault="007A6A1A" w:rsidP="00BC091A">
            <w:pPr>
              <w:spacing w:after="0"/>
              <w:jc w:val="center"/>
              <w:rPr>
                <w:sz w:val="18"/>
                <w:szCs w:val="18"/>
              </w:rPr>
            </w:pPr>
            <w:r w:rsidRPr="00BC091A">
              <w:rPr>
                <w:sz w:val="18"/>
                <w:szCs w:val="18"/>
              </w:rPr>
              <w:t>371</w:t>
            </w:r>
          </w:p>
        </w:tc>
      </w:tr>
      <w:tr w:rsidR="007A6A1A" w:rsidRPr="00167CB8" w14:paraId="0F72B31D"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8C30D36" w14:textId="77777777" w:rsidR="007A6A1A" w:rsidRPr="00BC091A" w:rsidRDefault="007A6A1A" w:rsidP="00BC091A">
            <w:pPr>
              <w:spacing w:after="0"/>
              <w:rPr>
                <w:sz w:val="18"/>
                <w:szCs w:val="18"/>
              </w:rPr>
            </w:pPr>
            <w:r w:rsidRPr="00BC091A">
              <w:rPr>
                <w:sz w:val="18"/>
                <w:szCs w:val="18"/>
              </w:rPr>
              <w:t>Nov-21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DDE9C37" w14:textId="77777777" w:rsidR="007A6A1A" w:rsidRPr="00BC091A" w:rsidRDefault="007A6A1A" w:rsidP="00BC091A">
            <w:pPr>
              <w:spacing w:after="0"/>
              <w:jc w:val="center"/>
              <w:rPr>
                <w:sz w:val="18"/>
                <w:szCs w:val="18"/>
              </w:rPr>
            </w:pPr>
            <w:r w:rsidRPr="00BC091A">
              <w:rPr>
                <w:sz w:val="18"/>
                <w:szCs w:val="18"/>
              </w:rPr>
              <w:t>34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01BF4BF" w14:textId="77777777" w:rsidR="007A6A1A" w:rsidRPr="00BC091A" w:rsidRDefault="007A6A1A" w:rsidP="00BC091A">
            <w:pPr>
              <w:spacing w:after="0"/>
              <w:jc w:val="center"/>
              <w:rPr>
                <w:sz w:val="18"/>
                <w:szCs w:val="18"/>
              </w:rPr>
            </w:pPr>
            <w:r w:rsidRPr="00BC091A">
              <w:rPr>
                <w:sz w:val="18"/>
                <w:szCs w:val="18"/>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B892C83" w14:textId="77777777" w:rsidR="007A6A1A" w:rsidRPr="00BC091A" w:rsidRDefault="007A6A1A" w:rsidP="00BC091A">
            <w:pPr>
              <w:spacing w:after="0"/>
              <w:jc w:val="center"/>
              <w:rPr>
                <w:sz w:val="18"/>
                <w:szCs w:val="18"/>
              </w:rPr>
            </w:pPr>
            <w:r w:rsidRPr="00BC091A">
              <w:rPr>
                <w:sz w:val="18"/>
                <w:szCs w:val="18"/>
              </w:rPr>
              <w:t>394</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D715C" w14:textId="77777777" w:rsidR="007A6A1A" w:rsidRPr="00BC091A" w:rsidRDefault="007A6A1A" w:rsidP="00BC091A">
            <w:pPr>
              <w:spacing w:after="0"/>
              <w:jc w:val="center"/>
              <w:rPr>
                <w:sz w:val="18"/>
                <w:szCs w:val="18"/>
              </w:rPr>
            </w:pPr>
            <w:r w:rsidRPr="00BC091A">
              <w:rPr>
                <w:sz w:val="18"/>
                <w:szCs w:val="18"/>
              </w:rPr>
              <w:t>433</w:t>
            </w:r>
          </w:p>
        </w:tc>
      </w:tr>
      <w:tr w:rsidR="007A6A1A" w:rsidRPr="00167CB8" w14:paraId="192034A9"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E4E0719" w14:textId="77777777" w:rsidR="007A6A1A" w:rsidRPr="00BC091A" w:rsidRDefault="007A6A1A" w:rsidP="00BC091A">
            <w:pPr>
              <w:spacing w:after="0"/>
              <w:rPr>
                <w:sz w:val="18"/>
                <w:szCs w:val="18"/>
              </w:rPr>
            </w:pPr>
            <w:r w:rsidRPr="00BC091A">
              <w:rPr>
                <w:sz w:val="18"/>
                <w:szCs w:val="18"/>
              </w:rPr>
              <w:t>Dec-21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2732053" w14:textId="77777777" w:rsidR="007A6A1A" w:rsidRPr="00BC091A" w:rsidRDefault="007A6A1A" w:rsidP="00BC091A">
            <w:pPr>
              <w:spacing w:after="0"/>
              <w:jc w:val="center"/>
              <w:rPr>
                <w:sz w:val="18"/>
                <w:szCs w:val="18"/>
              </w:rPr>
            </w:pPr>
            <w:r w:rsidRPr="00BC091A">
              <w:rPr>
                <w:sz w:val="18"/>
                <w:szCs w:val="18"/>
              </w:rPr>
              <w:t>41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5ABEC9E" w14:textId="77777777" w:rsidR="007A6A1A" w:rsidRPr="00BC091A" w:rsidRDefault="007A6A1A" w:rsidP="00BC091A">
            <w:pPr>
              <w:spacing w:after="0"/>
              <w:jc w:val="center"/>
              <w:rPr>
                <w:sz w:val="18"/>
                <w:szCs w:val="18"/>
              </w:rPr>
            </w:pPr>
            <w:r w:rsidRPr="00BC091A">
              <w:rPr>
                <w:sz w:val="18"/>
                <w:szCs w:val="18"/>
              </w:rPr>
              <w:t>14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FA1226B" w14:textId="77777777" w:rsidR="007A6A1A" w:rsidRPr="00BC091A" w:rsidRDefault="007A6A1A" w:rsidP="00BC091A">
            <w:pPr>
              <w:spacing w:after="0"/>
              <w:jc w:val="center"/>
              <w:rPr>
                <w:sz w:val="18"/>
                <w:szCs w:val="18"/>
              </w:rPr>
            </w:pPr>
            <w:r w:rsidRPr="00BC091A">
              <w:rPr>
                <w:sz w:val="18"/>
                <w:szCs w:val="18"/>
              </w:rPr>
              <w:t>608</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24579" w14:textId="77777777" w:rsidR="007A6A1A" w:rsidRPr="00BC091A" w:rsidRDefault="007A6A1A" w:rsidP="00BC091A">
            <w:pPr>
              <w:spacing w:after="0"/>
              <w:jc w:val="center"/>
              <w:rPr>
                <w:sz w:val="18"/>
                <w:szCs w:val="18"/>
              </w:rPr>
            </w:pPr>
            <w:r w:rsidRPr="00BC091A">
              <w:rPr>
                <w:sz w:val="18"/>
                <w:szCs w:val="18"/>
              </w:rPr>
              <w:t>663</w:t>
            </w:r>
          </w:p>
        </w:tc>
      </w:tr>
      <w:tr w:rsidR="007A6A1A" w:rsidRPr="00167CB8" w14:paraId="5E220722"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390FB0F" w14:textId="77777777" w:rsidR="007A6A1A" w:rsidRPr="00BC091A" w:rsidRDefault="007A6A1A" w:rsidP="00BC091A">
            <w:pPr>
              <w:spacing w:after="0"/>
              <w:rPr>
                <w:sz w:val="18"/>
                <w:szCs w:val="18"/>
              </w:rPr>
            </w:pPr>
            <w:r w:rsidRPr="00BC091A">
              <w:rPr>
                <w:sz w:val="18"/>
                <w:szCs w:val="18"/>
              </w:rPr>
              <w:t>Jan-22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BFC22BF" w14:textId="77777777" w:rsidR="007A6A1A" w:rsidRPr="00BC091A" w:rsidRDefault="007A6A1A" w:rsidP="00BC091A">
            <w:pPr>
              <w:spacing w:after="0"/>
              <w:jc w:val="center"/>
              <w:rPr>
                <w:sz w:val="18"/>
                <w:szCs w:val="18"/>
              </w:rPr>
            </w:pPr>
            <w:r w:rsidRPr="00BC091A">
              <w:rPr>
                <w:sz w:val="18"/>
                <w:szCs w:val="18"/>
              </w:rPr>
              <w:t>16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2CDF159"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1B0B5D3" w14:textId="77777777" w:rsidR="007A6A1A" w:rsidRPr="00BC091A" w:rsidRDefault="007A6A1A" w:rsidP="00BC091A">
            <w:pPr>
              <w:spacing w:after="0"/>
              <w:jc w:val="center"/>
              <w:rPr>
                <w:sz w:val="18"/>
                <w:szCs w:val="18"/>
              </w:rPr>
            </w:pPr>
            <w:r w:rsidRPr="00BC091A">
              <w:rPr>
                <w:sz w:val="18"/>
                <w:szCs w:val="18"/>
              </w:rPr>
              <w:t>112</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C5F55" w14:textId="77777777" w:rsidR="007A6A1A" w:rsidRPr="00BC091A" w:rsidRDefault="007A6A1A" w:rsidP="00BC091A">
            <w:pPr>
              <w:spacing w:after="0"/>
              <w:jc w:val="center"/>
              <w:rPr>
                <w:sz w:val="18"/>
                <w:szCs w:val="18"/>
              </w:rPr>
            </w:pPr>
            <w:r w:rsidRPr="00BC091A">
              <w:rPr>
                <w:sz w:val="18"/>
                <w:szCs w:val="18"/>
              </w:rPr>
              <w:t>129</w:t>
            </w:r>
          </w:p>
        </w:tc>
      </w:tr>
      <w:tr w:rsidR="007A6A1A" w:rsidRPr="00167CB8" w14:paraId="528DC4C7"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A789996" w14:textId="77777777" w:rsidR="007A6A1A" w:rsidRPr="00BC091A" w:rsidRDefault="007A6A1A" w:rsidP="00BC091A">
            <w:pPr>
              <w:spacing w:after="0"/>
              <w:rPr>
                <w:sz w:val="18"/>
                <w:szCs w:val="18"/>
              </w:rPr>
            </w:pPr>
            <w:r w:rsidRPr="00BC091A">
              <w:rPr>
                <w:sz w:val="18"/>
                <w:szCs w:val="18"/>
              </w:rPr>
              <w:t>Feb-22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FA90175" w14:textId="77777777" w:rsidR="007A6A1A" w:rsidRPr="00BC091A" w:rsidRDefault="007A6A1A" w:rsidP="00BC091A">
            <w:pPr>
              <w:spacing w:after="0"/>
              <w:jc w:val="center"/>
              <w:rPr>
                <w:sz w:val="18"/>
                <w:szCs w:val="18"/>
              </w:rPr>
            </w:pPr>
            <w:r w:rsidRPr="00BC091A">
              <w:rPr>
                <w:sz w:val="18"/>
                <w:szCs w:val="18"/>
              </w:rPr>
              <w:t>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1A9C9E8"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9B3B269" w14:textId="77777777" w:rsidR="007A6A1A" w:rsidRPr="00BC091A" w:rsidRDefault="007A6A1A" w:rsidP="00BC091A">
            <w:pPr>
              <w:spacing w:after="0"/>
              <w:jc w:val="center"/>
              <w:rPr>
                <w:sz w:val="18"/>
                <w:szCs w:val="18"/>
              </w:rPr>
            </w:pPr>
            <w:r w:rsidRPr="00BC091A">
              <w:rPr>
                <w:sz w:val="18"/>
                <w:szCs w:val="18"/>
              </w:rPr>
              <w:t>209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013A1" w14:textId="77777777" w:rsidR="007A6A1A" w:rsidRPr="00BC091A" w:rsidRDefault="007A6A1A" w:rsidP="00BC091A">
            <w:pPr>
              <w:spacing w:after="0"/>
              <w:jc w:val="center"/>
              <w:rPr>
                <w:sz w:val="18"/>
                <w:szCs w:val="18"/>
              </w:rPr>
            </w:pPr>
            <w:r w:rsidRPr="00BC091A">
              <w:rPr>
                <w:sz w:val="18"/>
                <w:szCs w:val="18"/>
              </w:rPr>
              <w:t>243</w:t>
            </w:r>
          </w:p>
        </w:tc>
      </w:tr>
      <w:tr w:rsidR="007A6A1A" w:rsidRPr="00167CB8" w14:paraId="55844EAD"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3C2F676" w14:textId="77777777" w:rsidR="007A6A1A" w:rsidRPr="00BC091A" w:rsidRDefault="007A6A1A" w:rsidP="00BC091A">
            <w:pPr>
              <w:spacing w:after="0"/>
              <w:rPr>
                <w:sz w:val="18"/>
                <w:szCs w:val="18"/>
              </w:rPr>
            </w:pPr>
            <w:r w:rsidRPr="00BC091A">
              <w:rPr>
                <w:sz w:val="18"/>
                <w:szCs w:val="18"/>
              </w:rPr>
              <w:t>Mar-22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975E37D" w14:textId="77777777" w:rsidR="007A6A1A" w:rsidRPr="00BC091A" w:rsidRDefault="007A6A1A" w:rsidP="00BC091A">
            <w:pPr>
              <w:spacing w:after="0"/>
              <w:jc w:val="center"/>
              <w:rPr>
                <w:sz w:val="18"/>
                <w:szCs w:val="18"/>
              </w:rPr>
            </w:pPr>
            <w:r w:rsidRPr="00BC091A">
              <w:rPr>
                <w:sz w:val="18"/>
                <w:szCs w:val="18"/>
              </w:rPr>
              <w:t>41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AA4E4FE"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2F188B0" w14:textId="77777777" w:rsidR="007A6A1A" w:rsidRPr="00BC091A" w:rsidRDefault="007A6A1A" w:rsidP="00BC091A">
            <w:pPr>
              <w:spacing w:after="0"/>
              <w:jc w:val="center"/>
              <w:rPr>
                <w:sz w:val="18"/>
                <w:szCs w:val="18"/>
              </w:rPr>
            </w:pPr>
            <w:r w:rsidRPr="00BC091A">
              <w:rPr>
                <w:sz w:val="18"/>
                <w:szCs w:val="18"/>
              </w:rPr>
              <w:t>319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5AC6B" w14:textId="77777777" w:rsidR="007A6A1A" w:rsidRPr="00BC091A" w:rsidRDefault="007A6A1A" w:rsidP="00BC091A">
            <w:pPr>
              <w:spacing w:after="0"/>
              <w:jc w:val="center"/>
              <w:rPr>
                <w:sz w:val="18"/>
                <w:szCs w:val="18"/>
              </w:rPr>
            </w:pPr>
            <w:r w:rsidRPr="00BC091A">
              <w:rPr>
                <w:sz w:val="18"/>
                <w:szCs w:val="18"/>
              </w:rPr>
              <w:t>362</w:t>
            </w:r>
          </w:p>
        </w:tc>
      </w:tr>
      <w:tr w:rsidR="007A6A1A" w:rsidRPr="00167CB8" w14:paraId="6BE986F6"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FCB1977" w14:textId="77777777" w:rsidR="007A6A1A" w:rsidRPr="00BC091A" w:rsidRDefault="007A6A1A" w:rsidP="00BC091A">
            <w:pPr>
              <w:spacing w:after="0"/>
              <w:rPr>
                <w:sz w:val="18"/>
                <w:szCs w:val="18"/>
              </w:rPr>
            </w:pPr>
            <w:r w:rsidRPr="00BC091A">
              <w:rPr>
                <w:sz w:val="18"/>
                <w:szCs w:val="18"/>
              </w:rPr>
              <w:t>Apr-22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D9CC32C" w14:textId="77777777" w:rsidR="007A6A1A" w:rsidRPr="00BC091A" w:rsidRDefault="007A6A1A" w:rsidP="00BC091A">
            <w:pPr>
              <w:spacing w:after="0"/>
              <w:jc w:val="center"/>
              <w:rPr>
                <w:sz w:val="18"/>
                <w:szCs w:val="18"/>
              </w:rPr>
            </w:pPr>
            <w:r w:rsidRPr="00BC091A">
              <w:rPr>
                <w:sz w:val="18"/>
                <w:szCs w:val="18"/>
              </w:rPr>
              <w:t>17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1F839C3" w14:textId="77777777" w:rsidR="007A6A1A" w:rsidRPr="00BC091A" w:rsidRDefault="007A6A1A" w:rsidP="00BC091A">
            <w:pPr>
              <w:spacing w:after="0"/>
              <w:jc w:val="center"/>
              <w:rPr>
                <w:sz w:val="18"/>
                <w:szCs w:val="18"/>
              </w:rPr>
            </w:pPr>
            <w:r w:rsidRPr="00BC091A">
              <w:rPr>
                <w:sz w:val="18"/>
                <w:szCs w:val="18"/>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ACCD251" w14:textId="77777777" w:rsidR="007A6A1A" w:rsidRPr="00BC091A" w:rsidRDefault="007A6A1A" w:rsidP="00BC091A">
            <w:pPr>
              <w:spacing w:after="0"/>
              <w:jc w:val="center"/>
              <w:rPr>
                <w:sz w:val="18"/>
                <w:szCs w:val="18"/>
              </w:rPr>
            </w:pPr>
            <w:r w:rsidRPr="00BC091A">
              <w:rPr>
                <w:sz w:val="18"/>
                <w:szCs w:val="18"/>
              </w:rPr>
              <w:t>238</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D5D85" w14:textId="77777777" w:rsidR="007A6A1A" w:rsidRPr="00BC091A" w:rsidRDefault="007A6A1A" w:rsidP="00BC091A">
            <w:pPr>
              <w:spacing w:after="0"/>
              <w:jc w:val="center"/>
              <w:rPr>
                <w:sz w:val="18"/>
                <w:szCs w:val="18"/>
              </w:rPr>
            </w:pPr>
            <w:r w:rsidRPr="00BC091A">
              <w:rPr>
                <w:sz w:val="18"/>
                <w:szCs w:val="18"/>
              </w:rPr>
              <w:t>260</w:t>
            </w:r>
          </w:p>
        </w:tc>
      </w:tr>
      <w:tr w:rsidR="007A6A1A" w:rsidRPr="00167CB8" w14:paraId="612908FA"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8EB8ECA" w14:textId="77777777" w:rsidR="007A6A1A" w:rsidRPr="00BC091A" w:rsidRDefault="007A6A1A" w:rsidP="00BC091A">
            <w:pPr>
              <w:spacing w:after="0"/>
              <w:rPr>
                <w:sz w:val="18"/>
                <w:szCs w:val="18"/>
              </w:rPr>
            </w:pPr>
            <w:r w:rsidRPr="00BC091A">
              <w:rPr>
                <w:sz w:val="18"/>
                <w:szCs w:val="18"/>
              </w:rPr>
              <w:t>May-22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FD1CC4C" w14:textId="77777777" w:rsidR="007A6A1A" w:rsidRPr="00BC091A" w:rsidRDefault="007A6A1A" w:rsidP="00BC091A">
            <w:pPr>
              <w:spacing w:after="0"/>
              <w:jc w:val="center"/>
              <w:rPr>
                <w:sz w:val="18"/>
                <w:szCs w:val="18"/>
              </w:rPr>
            </w:pPr>
            <w:r w:rsidRPr="00BC091A">
              <w:rPr>
                <w:sz w:val="18"/>
                <w:szCs w:val="18"/>
              </w:rPr>
              <w:t>40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E97759F"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38831E7" w14:textId="77777777" w:rsidR="007A6A1A" w:rsidRPr="00BC091A" w:rsidRDefault="007A6A1A" w:rsidP="00BC091A">
            <w:pPr>
              <w:spacing w:after="0"/>
              <w:jc w:val="center"/>
              <w:rPr>
                <w:sz w:val="18"/>
                <w:szCs w:val="18"/>
              </w:rPr>
            </w:pPr>
            <w:r w:rsidRPr="00BC091A">
              <w:rPr>
                <w:sz w:val="18"/>
                <w:szCs w:val="18"/>
              </w:rPr>
              <w:t>285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F15EE" w14:textId="77777777" w:rsidR="007A6A1A" w:rsidRPr="00BC091A" w:rsidRDefault="007A6A1A" w:rsidP="00BC091A">
            <w:pPr>
              <w:spacing w:after="0"/>
              <w:jc w:val="center"/>
              <w:rPr>
                <w:sz w:val="18"/>
                <w:szCs w:val="18"/>
              </w:rPr>
            </w:pPr>
            <w:r w:rsidRPr="00BC091A">
              <w:rPr>
                <w:sz w:val="18"/>
                <w:szCs w:val="18"/>
              </w:rPr>
              <w:t>327</w:t>
            </w:r>
          </w:p>
        </w:tc>
      </w:tr>
      <w:tr w:rsidR="007A6A1A" w:rsidRPr="00167CB8" w14:paraId="1C879ECC"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E4A3D87" w14:textId="77777777" w:rsidR="007A6A1A" w:rsidRPr="00BC091A" w:rsidRDefault="007A6A1A" w:rsidP="00BC091A">
            <w:pPr>
              <w:spacing w:after="0"/>
              <w:rPr>
                <w:sz w:val="18"/>
                <w:szCs w:val="18"/>
              </w:rPr>
            </w:pPr>
            <w:r w:rsidRPr="00BC091A">
              <w:rPr>
                <w:sz w:val="18"/>
                <w:szCs w:val="18"/>
              </w:rPr>
              <w:t>Jun-22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12754AA" w14:textId="77777777" w:rsidR="007A6A1A" w:rsidRPr="00BC091A" w:rsidRDefault="007A6A1A" w:rsidP="00BC091A">
            <w:pPr>
              <w:spacing w:after="0"/>
              <w:jc w:val="center"/>
              <w:rPr>
                <w:sz w:val="18"/>
                <w:szCs w:val="18"/>
              </w:rPr>
            </w:pPr>
            <w:r w:rsidRPr="00BC091A">
              <w:rPr>
                <w:sz w:val="18"/>
                <w:szCs w:val="18"/>
              </w:rPr>
              <w:t>46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CE7B188" w14:textId="77777777" w:rsidR="007A6A1A" w:rsidRPr="00BC091A" w:rsidRDefault="007A6A1A" w:rsidP="00BC091A">
            <w:pPr>
              <w:spacing w:after="0"/>
              <w:jc w:val="center"/>
              <w:rPr>
                <w:sz w:val="18"/>
                <w:szCs w:val="18"/>
              </w:rPr>
            </w:pPr>
            <w:r w:rsidRPr="00BC091A">
              <w:rPr>
                <w:sz w:val="18"/>
                <w:szCs w:val="18"/>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F929BF4" w14:textId="77777777" w:rsidR="007A6A1A" w:rsidRPr="00BC091A" w:rsidRDefault="007A6A1A" w:rsidP="00BC091A">
            <w:pPr>
              <w:spacing w:after="0"/>
              <w:jc w:val="center"/>
              <w:rPr>
                <w:sz w:val="18"/>
                <w:szCs w:val="18"/>
              </w:rPr>
            </w:pPr>
            <w:r w:rsidRPr="00BC091A">
              <w:rPr>
                <w:sz w:val="18"/>
                <w:szCs w:val="18"/>
              </w:rPr>
              <w:t>391</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5B402" w14:textId="77777777" w:rsidR="007A6A1A" w:rsidRPr="00BC091A" w:rsidRDefault="007A6A1A" w:rsidP="00BC091A">
            <w:pPr>
              <w:spacing w:after="0"/>
              <w:jc w:val="center"/>
              <w:rPr>
                <w:sz w:val="18"/>
                <w:szCs w:val="18"/>
              </w:rPr>
            </w:pPr>
            <w:r w:rsidRPr="00BC091A">
              <w:rPr>
                <w:sz w:val="18"/>
                <w:szCs w:val="18"/>
              </w:rPr>
              <w:t>442</w:t>
            </w:r>
          </w:p>
        </w:tc>
      </w:tr>
      <w:tr w:rsidR="007A6A1A" w:rsidRPr="00167CB8" w14:paraId="37434D04"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9E3CB82" w14:textId="77777777" w:rsidR="007A6A1A" w:rsidRPr="00BC091A" w:rsidRDefault="007A6A1A" w:rsidP="00BC091A">
            <w:pPr>
              <w:spacing w:after="0"/>
              <w:rPr>
                <w:sz w:val="18"/>
                <w:szCs w:val="18"/>
              </w:rPr>
            </w:pPr>
            <w:r w:rsidRPr="00BC091A">
              <w:rPr>
                <w:sz w:val="18"/>
                <w:szCs w:val="18"/>
              </w:rPr>
              <w:t>Jul-22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302F412" w14:textId="77777777" w:rsidR="007A6A1A" w:rsidRPr="00BC091A" w:rsidRDefault="007A6A1A" w:rsidP="00BC091A">
            <w:pPr>
              <w:spacing w:after="0"/>
              <w:jc w:val="center"/>
              <w:rPr>
                <w:sz w:val="18"/>
                <w:szCs w:val="18"/>
              </w:rPr>
            </w:pPr>
            <w:r w:rsidRPr="00BC091A">
              <w:rPr>
                <w:sz w:val="18"/>
                <w:szCs w:val="18"/>
              </w:rPr>
              <w:t>25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35A3912"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74C3BE9" w14:textId="77777777" w:rsidR="007A6A1A" w:rsidRPr="00BC091A" w:rsidRDefault="007A6A1A" w:rsidP="00BC091A">
            <w:pPr>
              <w:spacing w:after="0"/>
              <w:jc w:val="center"/>
              <w:rPr>
                <w:sz w:val="18"/>
                <w:szCs w:val="18"/>
              </w:rPr>
            </w:pPr>
            <w:r w:rsidRPr="00BC091A">
              <w:rPr>
                <w:sz w:val="18"/>
                <w:szCs w:val="18"/>
              </w:rPr>
              <w:t>311</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3215A" w14:textId="77777777" w:rsidR="007A6A1A" w:rsidRPr="00BC091A" w:rsidRDefault="007A6A1A" w:rsidP="00BC091A">
            <w:pPr>
              <w:spacing w:after="0"/>
              <w:jc w:val="center"/>
              <w:rPr>
                <w:sz w:val="18"/>
                <w:szCs w:val="18"/>
              </w:rPr>
            </w:pPr>
            <w:r w:rsidRPr="00BC091A">
              <w:rPr>
                <w:sz w:val="18"/>
                <w:szCs w:val="18"/>
              </w:rPr>
              <w:t>338</w:t>
            </w:r>
          </w:p>
        </w:tc>
      </w:tr>
      <w:tr w:rsidR="007A6A1A" w:rsidRPr="00167CB8" w14:paraId="71AB9D13"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BEE6BB2" w14:textId="77777777" w:rsidR="007A6A1A" w:rsidRPr="00BC091A" w:rsidRDefault="007A6A1A" w:rsidP="00BC091A">
            <w:pPr>
              <w:spacing w:after="0"/>
              <w:rPr>
                <w:sz w:val="18"/>
                <w:szCs w:val="18"/>
              </w:rPr>
            </w:pPr>
            <w:r w:rsidRPr="00BC091A">
              <w:rPr>
                <w:sz w:val="18"/>
                <w:szCs w:val="18"/>
              </w:rPr>
              <w:t>Aug-22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4A64BF3" w14:textId="77777777" w:rsidR="007A6A1A" w:rsidRPr="00BC091A" w:rsidRDefault="007A6A1A" w:rsidP="00BC091A">
            <w:pPr>
              <w:spacing w:after="0"/>
              <w:jc w:val="center"/>
              <w:rPr>
                <w:sz w:val="18"/>
                <w:szCs w:val="18"/>
              </w:rPr>
            </w:pPr>
            <w:r w:rsidRPr="00BC091A">
              <w:rPr>
                <w:sz w:val="18"/>
                <w:szCs w:val="18"/>
              </w:rPr>
              <w:t>17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ABCA3A3"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1DE6F85" w14:textId="77777777" w:rsidR="007A6A1A" w:rsidRPr="00BC091A" w:rsidRDefault="007A6A1A" w:rsidP="00BC091A">
            <w:pPr>
              <w:spacing w:after="0"/>
              <w:jc w:val="center"/>
              <w:rPr>
                <w:sz w:val="18"/>
                <w:szCs w:val="18"/>
              </w:rPr>
            </w:pPr>
            <w:r w:rsidRPr="00BC091A">
              <w:rPr>
                <w:sz w:val="18"/>
                <w:szCs w:val="18"/>
              </w:rPr>
              <w:t>387</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909D8" w14:textId="77777777" w:rsidR="007A6A1A" w:rsidRPr="00BC091A" w:rsidRDefault="007A6A1A" w:rsidP="00BC091A">
            <w:pPr>
              <w:spacing w:after="0"/>
              <w:jc w:val="center"/>
              <w:rPr>
                <w:sz w:val="18"/>
                <w:szCs w:val="18"/>
              </w:rPr>
            </w:pPr>
            <w:r w:rsidRPr="00BC091A">
              <w:rPr>
                <w:sz w:val="18"/>
                <w:szCs w:val="18"/>
              </w:rPr>
              <w:t>405</w:t>
            </w:r>
          </w:p>
        </w:tc>
      </w:tr>
      <w:tr w:rsidR="007A6A1A" w:rsidRPr="00167CB8" w14:paraId="52D2D0BA"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FB5DA9C" w14:textId="77777777" w:rsidR="007A6A1A" w:rsidRPr="00BC091A" w:rsidRDefault="007A6A1A" w:rsidP="00BC091A">
            <w:pPr>
              <w:spacing w:after="0"/>
              <w:rPr>
                <w:sz w:val="18"/>
                <w:szCs w:val="18"/>
              </w:rPr>
            </w:pPr>
            <w:r w:rsidRPr="00BC091A">
              <w:rPr>
                <w:sz w:val="18"/>
                <w:szCs w:val="18"/>
              </w:rPr>
              <w:t>Sep-22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E90847D" w14:textId="77777777" w:rsidR="007A6A1A" w:rsidRPr="00BC091A" w:rsidRDefault="007A6A1A" w:rsidP="00BC091A">
            <w:pPr>
              <w:spacing w:after="0"/>
              <w:jc w:val="center"/>
              <w:rPr>
                <w:sz w:val="18"/>
                <w:szCs w:val="18"/>
              </w:rPr>
            </w:pPr>
            <w:r w:rsidRPr="00BC091A">
              <w:rPr>
                <w:sz w:val="18"/>
                <w:szCs w:val="18"/>
              </w:rPr>
              <w:t>25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93785E0"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217D3BF" w14:textId="77777777" w:rsidR="007A6A1A" w:rsidRPr="00BC091A" w:rsidRDefault="007A6A1A" w:rsidP="00BC091A">
            <w:pPr>
              <w:spacing w:after="0"/>
              <w:jc w:val="center"/>
              <w:rPr>
                <w:sz w:val="18"/>
                <w:szCs w:val="18"/>
              </w:rPr>
            </w:pPr>
            <w:r w:rsidRPr="00BC091A">
              <w:rPr>
                <w:sz w:val="18"/>
                <w:szCs w:val="18"/>
              </w:rPr>
              <w:t>369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2F30B" w14:textId="77777777" w:rsidR="007A6A1A" w:rsidRPr="00BC091A" w:rsidRDefault="007A6A1A" w:rsidP="00BC091A">
            <w:pPr>
              <w:spacing w:after="0"/>
              <w:jc w:val="center"/>
              <w:rPr>
                <w:sz w:val="18"/>
                <w:szCs w:val="18"/>
              </w:rPr>
            </w:pPr>
            <w:r w:rsidRPr="00BC091A">
              <w:rPr>
                <w:sz w:val="18"/>
                <w:szCs w:val="18"/>
              </w:rPr>
              <w:t>395</w:t>
            </w:r>
          </w:p>
        </w:tc>
      </w:tr>
      <w:tr w:rsidR="007A6A1A" w:rsidRPr="00167CB8" w14:paraId="5323B7BC"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C9E4057" w14:textId="77777777" w:rsidR="007A6A1A" w:rsidRPr="00BC091A" w:rsidRDefault="007A6A1A" w:rsidP="00BC091A">
            <w:pPr>
              <w:spacing w:after="0"/>
              <w:rPr>
                <w:sz w:val="18"/>
                <w:szCs w:val="18"/>
              </w:rPr>
            </w:pPr>
            <w:r w:rsidRPr="00BC091A">
              <w:rPr>
                <w:sz w:val="18"/>
                <w:szCs w:val="18"/>
              </w:rPr>
              <w:t>Oct-22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E174277" w14:textId="77777777" w:rsidR="007A6A1A" w:rsidRPr="00BC091A" w:rsidRDefault="007A6A1A" w:rsidP="00BC091A">
            <w:pPr>
              <w:spacing w:after="0"/>
              <w:jc w:val="center"/>
              <w:rPr>
                <w:sz w:val="18"/>
                <w:szCs w:val="18"/>
              </w:rPr>
            </w:pPr>
            <w:r w:rsidRPr="00BC091A">
              <w:rPr>
                <w:sz w:val="18"/>
                <w:szCs w:val="18"/>
              </w:rPr>
              <w:t>18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D5DA89F" w14:textId="77777777" w:rsidR="007A6A1A" w:rsidRPr="00BC091A" w:rsidRDefault="007A6A1A" w:rsidP="00BC091A">
            <w:pPr>
              <w:spacing w:after="0"/>
              <w:jc w:val="center"/>
              <w:rPr>
                <w:sz w:val="18"/>
                <w:szCs w:val="18"/>
              </w:rPr>
            </w:pPr>
            <w:r w:rsidRPr="00BC091A">
              <w:rPr>
                <w:sz w:val="18"/>
                <w:szCs w:val="18"/>
              </w:rPr>
              <w:t>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D1AA9FD" w14:textId="77777777" w:rsidR="007A6A1A" w:rsidRPr="00BC091A" w:rsidRDefault="007A6A1A" w:rsidP="00BC091A">
            <w:pPr>
              <w:spacing w:after="0"/>
              <w:jc w:val="center"/>
              <w:rPr>
                <w:sz w:val="18"/>
                <w:szCs w:val="18"/>
              </w:rPr>
            </w:pPr>
            <w:r w:rsidRPr="00BC091A">
              <w:rPr>
                <w:sz w:val="18"/>
                <w:szCs w:val="18"/>
              </w:rPr>
              <w:t>333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81AAA" w14:textId="77777777" w:rsidR="007A6A1A" w:rsidRPr="00BC091A" w:rsidRDefault="007A6A1A" w:rsidP="00BC091A">
            <w:pPr>
              <w:spacing w:after="0"/>
              <w:jc w:val="center"/>
              <w:rPr>
                <w:sz w:val="18"/>
                <w:szCs w:val="18"/>
              </w:rPr>
            </w:pPr>
            <w:r w:rsidRPr="00BC091A">
              <w:rPr>
                <w:sz w:val="18"/>
                <w:szCs w:val="18"/>
              </w:rPr>
              <w:t>354</w:t>
            </w:r>
          </w:p>
        </w:tc>
      </w:tr>
      <w:tr w:rsidR="007A6A1A" w:rsidRPr="00167CB8" w14:paraId="7D5BC7AF"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C4C882F" w14:textId="77777777" w:rsidR="007A6A1A" w:rsidRPr="00BC091A" w:rsidRDefault="007A6A1A" w:rsidP="00BC091A">
            <w:pPr>
              <w:spacing w:after="0"/>
              <w:rPr>
                <w:sz w:val="18"/>
                <w:szCs w:val="18"/>
              </w:rPr>
            </w:pPr>
            <w:r w:rsidRPr="00BC091A">
              <w:rPr>
                <w:sz w:val="18"/>
                <w:szCs w:val="18"/>
              </w:rPr>
              <w:t>Nov-22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F11213B" w14:textId="77777777" w:rsidR="007A6A1A" w:rsidRPr="00BC091A" w:rsidRDefault="007A6A1A" w:rsidP="00BC091A">
            <w:pPr>
              <w:spacing w:after="0"/>
              <w:jc w:val="center"/>
              <w:rPr>
                <w:sz w:val="18"/>
                <w:szCs w:val="18"/>
              </w:rPr>
            </w:pPr>
            <w:r w:rsidRPr="00BC091A">
              <w:rPr>
                <w:sz w:val="18"/>
                <w:szCs w:val="18"/>
              </w:rPr>
              <w:t>27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F34AA14" w14:textId="77777777" w:rsidR="007A6A1A" w:rsidRPr="00BC091A" w:rsidRDefault="007A6A1A" w:rsidP="00BC091A">
            <w:pPr>
              <w:spacing w:after="0"/>
              <w:jc w:val="center"/>
              <w:rPr>
                <w:sz w:val="18"/>
                <w:szCs w:val="18"/>
              </w:rPr>
            </w:pPr>
            <w:r w:rsidRPr="00BC091A">
              <w:rPr>
                <w:sz w:val="18"/>
                <w:szCs w:val="18"/>
              </w:rPr>
              <w:t>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26D8C57" w14:textId="77777777" w:rsidR="007A6A1A" w:rsidRPr="00BC091A" w:rsidRDefault="007A6A1A" w:rsidP="00BC091A">
            <w:pPr>
              <w:spacing w:after="0"/>
              <w:jc w:val="center"/>
              <w:rPr>
                <w:sz w:val="18"/>
                <w:szCs w:val="18"/>
              </w:rPr>
            </w:pPr>
            <w:r w:rsidRPr="00BC091A">
              <w:rPr>
                <w:sz w:val="18"/>
                <w:szCs w:val="18"/>
              </w:rPr>
              <w:t>355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DE5F4" w14:textId="77777777" w:rsidR="007A6A1A" w:rsidRPr="00BC091A" w:rsidRDefault="007A6A1A" w:rsidP="00BC091A">
            <w:pPr>
              <w:spacing w:after="0"/>
              <w:jc w:val="center"/>
              <w:rPr>
                <w:sz w:val="18"/>
                <w:szCs w:val="18"/>
              </w:rPr>
            </w:pPr>
            <w:r w:rsidRPr="00BC091A">
              <w:rPr>
                <w:sz w:val="18"/>
                <w:szCs w:val="18"/>
              </w:rPr>
              <w:t>386</w:t>
            </w:r>
          </w:p>
        </w:tc>
      </w:tr>
      <w:tr w:rsidR="007A6A1A" w:rsidRPr="00167CB8" w14:paraId="1BDA1CAA"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5088321" w14:textId="77777777" w:rsidR="007A6A1A" w:rsidRPr="00BC091A" w:rsidRDefault="007A6A1A" w:rsidP="00BC091A">
            <w:pPr>
              <w:spacing w:after="0"/>
              <w:rPr>
                <w:sz w:val="18"/>
                <w:szCs w:val="18"/>
              </w:rPr>
            </w:pPr>
            <w:r w:rsidRPr="00BC091A">
              <w:rPr>
                <w:sz w:val="18"/>
                <w:szCs w:val="18"/>
              </w:rPr>
              <w:t>Dec-22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29B5AE2" w14:textId="77777777" w:rsidR="007A6A1A" w:rsidRPr="00BC091A" w:rsidRDefault="007A6A1A" w:rsidP="00BC091A">
            <w:pPr>
              <w:spacing w:after="0"/>
              <w:jc w:val="center"/>
              <w:rPr>
                <w:sz w:val="18"/>
                <w:szCs w:val="18"/>
              </w:rPr>
            </w:pPr>
            <w:r w:rsidRPr="00BC091A">
              <w:rPr>
                <w:sz w:val="18"/>
                <w:szCs w:val="18"/>
              </w:rPr>
              <w:t>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CFA7E65"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0CFD0EB" w14:textId="77777777" w:rsidR="007A6A1A" w:rsidRPr="00BC091A" w:rsidRDefault="007A6A1A" w:rsidP="00BC091A">
            <w:pPr>
              <w:spacing w:after="0"/>
              <w:jc w:val="center"/>
              <w:rPr>
                <w:sz w:val="18"/>
                <w:szCs w:val="18"/>
              </w:rPr>
            </w:pPr>
            <w:r w:rsidRPr="00BC091A">
              <w:rPr>
                <w:sz w:val="18"/>
                <w:szCs w:val="18"/>
              </w:rPr>
              <w:t>499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E943E" w14:textId="77777777" w:rsidR="007A6A1A" w:rsidRPr="00BC091A" w:rsidRDefault="007A6A1A" w:rsidP="00BC091A">
            <w:pPr>
              <w:spacing w:after="0"/>
              <w:jc w:val="center"/>
              <w:rPr>
                <w:sz w:val="18"/>
                <w:szCs w:val="18"/>
              </w:rPr>
            </w:pPr>
            <w:r w:rsidRPr="00BC091A">
              <w:rPr>
                <w:sz w:val="18"/>
                <w:szCs w:val="18"/>
              </w:rPr>
              <w:t>525</w:t>
            </w:r>
          </w:p>
        </w:tc>
      </w:tr>
      <w:tr w:rsidR="007A6A1A" w:rsidRPr="00167CB8" w14:paraId="127AC1CF"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98A6F44" w14:textId="77777777" w:rsidR="007A6A1A" w:rsidRPr="00BC091A" w:rsidRDefault="007A6A1A" w:rsidP="00BC091A">
            <w:pPr>
              <w:spacing w:after="0"/>
              <w:rPr>
                <w:sz w:val="18"/>
                <w:szCs w:val="18"/>
              </w:rPr>
            </w:pPr>
            <w:r w:rsidRPr="00BC091A">
              <w:rPr>
                <w:sz w:val="18"/>
                <w:szCs w:val="18"/>
              </w:rPr>
              <w:t>Jan-23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EDB3E72" w14:textId="77777777" w:rsidR="007A6A1A" w:rsidRPr="00BC091A" w:rsidRDefault="007A6A1A" w:rsidP="00BC091A">
            <w:pPr>
              <w:spacing w:after="0"/>
              <w:jc w:val="center"/>
              <w:rPr>
                <w:sz w:val="18"/>
                <w:szCs w:val="18"/>
              </w:rPr>
            </w:pPr>
            <w:r w:rsidRPr="00BC091A">
              <w:rPr>
                <w:sz w:val="18"/>
                <w:szCs w:val="18"/>
              </w:rPr>
              <w:t>11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BF784D6"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1AFF577" w14:textId="77777777" w:rsidR="007A6A1A" w:rsidRPr="00BC091A" w:rsidRDefault="007A6A1A" w:rsidP="00BC091A">
            <w:pPr>
              <w:spacing w:after="0"/>
              <w:jc w:val="center"/>
              <w:rPr>
                <w:sz w:val="18"/>
                <w:szCs w:val="18"/>
              </w:rPr>
            </w:pPr>
            <w:r w:rsidRPr="00BC091A">
              <w:rPr>
                <w:sz w:val="18"/>
                <w:szCs w:val="18"/>
              </w:rPr>
              <w:t>129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8831D" w14:textId="77777777" w:rsidR="007A6A1A" w:rsidRPr="00BC091A" w:rsidRDefault="007A6A1A" w:rsidP="00BC091A">
            <w:pPr>
              <w:spacing w:after="0"/>
              <w:jc w:val="center"/>
              <w:rPr>
                <w:sz w:val="18"/>
                <w:szCs w:val="18"/>
              </w:rPr>
            </w:pPr>
            <w:r w:rsidRPr="00BC091A">
              <w:rPr>
                <w:sz w:val="18"/>
                <w:szCs w:val="18"/>
              </w:rPr>
              <w:t>141</w:t>
            </w:r>
          </w:p>
        </w:tc>
      </w:tr>
      <w:tr w:rsidR="007A6A1A" w:rsidRPr="00167CB8" w14:paraId="4D1EE305"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A69E69D" w14:textId="77777777" w:rsidR="007A6A1A" w:rsidRPr="00BC091A" w:rsidRDefault="007A6A1A" w:rsidP="00BC091A">
            <w:pPr>
              <w:spacing w:after="0"/>
              <w:rPr>
                <w:sz w:val="18"/>
                <w:szCs w:val="18"/>
              </w:rPr>
            </w:pPr>
            <w:r w:rsidRPr="00BC091A">
              <w:rPr>
                <w:sz w:val="18"/>
                <w:szCs w:val="18"/>
              </w:rPr>
              <w:t>Feb-23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BC0C24B" w14:textId="77777777" w:rsidR="007A6A1A" w:rsidRPr="00BC091A" w:rsidRDefault="007A6A1A" w:rsidP="00BC091A">
            <w:pPr>
              <w:spacing w:after="0"/>
              <w:jc w:val="center"/>
              <w:rPr>
                <w:sz w:val="18"/>
                <w:szCs w:val="18"/>
              </w:rPr>
            </w:pPr>
            <w:r w:rsidRPr="00BC091A">
              <w:rPr>
                <w:sz w:val="18"/>
                <w:szCs w:val="18"/>
              </w:rPr>
              <w:t>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CEA85FF" w14:textId="77777777" w:rsidR="007A6A1A" w:rsidRPr="00BC091A" w:rsidRDefault="007A6A1A" w:rsidP="00BC091A">
            <w:pPr>
              <w:spacing w:after="0"/>
              <w:jc w:val="center"/>
              <w:rPr>
                <w:sz w:val="18"/>
                <w:szCs w:val="18"/>
              </w:rPr>
            </w:pPr>
            <w:r w:rsidRPr="00BC091A">
              <w:rPr>
                <w:sz w:val="18"/>
                <w:szCs w:val="18"/>
              </w:rPr>
              <w:t>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C235DCE" w14:textId="77777777" w:rsidR="007A6A1A" w:rsidRPr="00BC091A" w:rsidRDefault="007A6A1A" w:rsidP="00BC091A">
            <w:pPr>
              <w:spacing w:after="0"/>
              <w:jc w:val="center"/>
              <w:rPr>
                <w:sz w:val="18"/>
                <w:szCs w:val="18"/>
              </w:rPr>
            </w:pPr>
            <w:r w:rsidRPr="00BC091A">
              <w:rPr>
                <w:sz w:val="18"/>
                <w:szCs w:val="18"/>
              </w:rPr>
              <w:t>222</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27D54" w14:textId="77777777" w:rsidR="007A6A1A" w:rsidRPr="00BC091A" w:rsidRDefault="007A6A1A" w:rsidP="00BC091A">
            <w:pPr>
              <w:spacing w:after="0"/>
              <w:jc w:val="center"/>
              <w:rPr>
                <w:sz w:val="18"/>
                <w:szCs w:val="18"/>
              </w:rPr>
            </w:pPr>
            <w:r w:rsidRPr="00BC091A">
              <w:rPr>
                <w:sz w:val="18"/>
                <w:szCs w:val="18"/>
              </w:rPr>
              <w:t>247</w:t>
            </w:r>
          </w:p>
        </w:tc>
      </w:tr>
      <w:tr w:rsidR="007A6A1A" w:rsidRPr="00167CB8" w14:paraId="3A2C060F"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4F8190C" w14:textId="77777777" w:rsidR="007A6A1A" w:rsidRPr="00BC091A" w:rsidRDefault="007A6A1A" w:rsidP="00BC091A">
            <w:pPr>
              <w:spacing w:after="0"/>
              <w:rPr>
                <w:sz w:val="18"/>
                <w:szCs w:val="18"/>
              </w:rPr>
            </w:pPr>
            <w:r w:rsidRPr="00BC091A">
              <w:rPr>
                <w:sz w:val="18"/>
                <w:szCs w:val="18"/>
              </w:rPr>
              <w:t>Mar-23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CE5C038" w14:textId="77777777" w:rsidR="007A6A1A" w:rsidRPr="00BC091A" w:rsidRDefault="007A6A1A" w:rsidP="00BC091A">
            <w:pPr>
              <w:spacing w:after="0"/>
              <w:jc w:val="center"/>
              <w:rPr>
                <w:sz w:val="18"/>
                <w:szCs w:val="18"/>
              </w:rPr>
            </w:pPr>
            <w:r w:rsidRPr="00BC091A">
              <w:rPr>
                <w:sz w:val="18"/>
                <w:szCs w:val="18"/>
              </w:rPr>
              <w:t>34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50BFC8A"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7E3E598" w14:textId="77777777" w:rsidR="007A6A1A" w:rsidRPr="00BC091A" w:rsidRDefault="007A6A1A" w:rsidP="00BC091A">
            <w:pPr>
              <w:spacing w:after="0"/>
              <w:jc w:val="center"/>
              <w:rPr>
                <w:sz w:val="18"/>
                <w:szCs w:val="18"/>
              </w:rPr>
            </w:pPr>
            <w:r w:rsidRPr="00BC091A">
              <w:rPr>
                <w:sz w:val="18"/>
                <w:szCs w:val="18"/>
              </w:rPr>
              <w:t>273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BB92F" w14:textId="77777777" w:rsidR="007A6A1A" w:rsidRPr="00BC091A" w:rsidRDefault="007A6A1A" w:rsidP="00BC091A">
            <w:pPr>
              <w:spacing w:after="0"/>
              <w:jc w:val="center"/>
              <w:rPr>
                <w:sz w:val="18"/>
                <w:szCs w:val="18"/>
              </w:rPr>
            </w:pPr>
            <w:r w:rsidRPr="00BC091A">
              <w:rPr>
                <w:sz w:val="18"/>
                <w:szCs w:val="18"/>
              </w:rPr>
              <w:t>309</w:t>
            </w:r>
          </w:p>
        </w:tc>
      </w:tr>
      <w:tr w:rsidR="007A6A1A" w:rsidRPr="00167CB8" w14:paraId="3546C72B"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5F139F3" w14:textId="77777777" w:rsidR="007A6A1A" w:rsidRPr="00BC091A" w:rsidRDefault="007A6A1A" w:rsidP="00BC091A">
            <w:pPr>
              <w:spacing w:after="0"/>
              <w:rPr>
                <w:sz w:val="18"/>
                <w:szCs w:val="18"/>
              </w:rPr>
            </w:pPr>
            <w:r w:rsidRPr="00BC091A">
              <w:rPr>
                <w:sz w:val="18"/>
                <w:szCs w:val="18"/>
              </w:rPr>
              <w:t>Apr-22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2490A93" w14:textId="77777777" w:rsidR="007A6A1A" w:rsidRPr="00BC091A" w:rsidRDefault="007A6A1A" w:rsidP="00BC091A">
            <w:pPr>
              <w:spacing w:after="0"/>
              <w:jc w:val="center"/>
              <w:rPr>
                <w:sz w:val="18"/>
                <w:szCs w:val="18"/>
              </w:rPr>
            </w:pPr>
            <w:r w:rsidRPr="00BC091A">
              <w:rPr>
                <w:sz w:val="18"/>
                <w:szCs w:val="18"/>
              </w:rPr>
              <w:t>20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7278770"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283ABF5" w14:textId="77777777" w:rsidR="007A6A1A" w:rsidRPr="00BC091A" w:rsidRDefault="007A6A1A" w:rsidP="00BC091A">
            <w:pPr>
              <w:spacing w:after="0"/>
              <w:jc w:val="center"/>
              <w:rPr>
                <w:sz w:val="18"/>
                <w:szCs w:val="18"/>
              </w:rPr>
            </w:pPr>
            <w:r w:rsidRPr="00BC091A">
              <w:rPr>
                <w:sz w:val="18"/>
                <w:szCs w:val="18"/>
              </w:rPr>
              <w:t>245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8886F" w14:textId="77777777" w:rsidR="007A6A1A" w:rsidRPr="00BC091A" w:rsidRDefault="007A6A1A" w:rsidP="00BC091A">
            <w:pPr>
              <w:spacing w:after="0"/>
              <w:jc w:val="center"/>
              <w:rPr>
                <w:sz w:val="18"/>
                <w:szCs w:val="18"/>
              </w:rPr>
            </w:pPr>
            <w:r w:rsidRPr="00BC091A">
              <w:rPr>
                <w:sz w:val="18"/>
                <w:szCs w:val="18"/>
              </w:rPr>
              <w:t>266</w:t>
            </w:r>
          </w:p>
        </w:tc>
      </w:tr>
      <w:tr w:rsidR="007A6A1A" w:rsidRPr="00167CB8" w14:paraId="712D94FA"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75382FA" w14:textId="77777777" w:rsidR="007A6A1A" w:rsidRPr="00BC091A" w:rsidRDefault="007A6A1A" w:rsidP="00BC091A">
            <w:pPr>
              <w:spacing w:after="0"/>
              <w:rPr>
                <w:sz w:val="18"/>
                <w:szCs w:val="18"/>
              </w:rPr>
            </w:pPr>
            <w:r w:rsidRPr="00BC091A">
              <w:rPr>
                <w:sz w:val="18"/>
                <w:szCs w:val="18"/>
              </w:rPr>
              <w:t>May-23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9D4A02A" w14:textId="77777777" w:rsidR="007A6A1A" w:rsidRPr="00BC091A" w:rsidRDefault="007A6A1A" w:rsidP="00BC091A">
            <w:pPr>
              <w:spacing w:after="0"/>
              <w:jc w:val="center"/>
              <w:rPr>
                <w:sz w:val="18"/>
                <w:szCs w:val="18"/>
              </w:rPr>
            </w:pPr>
            <w:r w:rsidRPr="00BC091A">
              <w:rPr>
                <w:sz w:val="18"/>
                <w:szCs w:val="18"/>
              </w:rPr>
              <w:t>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D114219" w14:textId="77777777" w:rsidR="007A6A1A" w:rsidRPr="00BC091A" w:rsidRDefault="007A6A1A" w:rsidP="00BC091A">
            <w:pPr>
              <w:spacing w:after="0"/>
              <w:jc w:val="center"/>
              <w:rPr>
                <w:sz w:val="18"/>
                <w:szCs w:val="18"/>
              </w:rPr>
            </w:pPr>
            <w:r w:rsidRPr="00BC091A">
              <w:rPr>
                <w:sz w:val="18"/>
                <w:szCs w:val="18"/>
              </w:rPr>
              <w:t>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A21A6EE" w14:textId="77777777" w:rsidR="007A6A1A" w:rsidRPr="00BC091A" w:rsidRDefault="007A6A1A" w:rsidP="00BC091A">
            <w:pPr>
              <w:spacing w:after="0"/>
              <w:jc w:val="center"/>
              <w:rPr>
                <w:sz w:val="18"/>
                <w:szCs w:val="18"/>
              </w:rPr>
            </w:pPr>
            <w:r w:rsidRPr="00BC091A">
              <w:rPr>
                <w:sz w:val="18"/>
                <w:szCs w:val="18"/>
              </w:rPr>
              <w:t>340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DB6E0" w14:textId="77777777" w:rsidR="007A6A1A" w:rsidRPr="00BC091A" w:rsidRDefault="007A6A1A" w:rsidP="00BC091A">
            <w:pPr>
              <w:spacing w:after="0"/>
              <w:jc w:val="center"/>
              <w:rPr>
                <w:sz w:val="18"/>
                <w:szCs w:val="18"/>
              </w:rPr>
            </w:pPr>
            <w:r w:rsidRPr="00BC091A">
              <w:rPr>
                <w:sz w:val="18"/>
                <w:szCs w:val="18"/>
              </w:rPr>
              <w:t>369</w:t>
            </w:r>
          </w:p>
        </w:tc>
      </w:tr>
      <w:tr w:rsidR="007A6A1A" w:rsidRPr="00167CB8" w14:paraId="5BFC1E70"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CB92058" w14:textId="77777777" w:rsidR="007A6A1A" w:rsidRPr="00BC091A" w:rsidRDefault="007A6A1A" w:rsidP="00BC091A">
            <w:pPr>
              <w:spacing w:after="0"/>
              <w:rPr>
                <w:sz w:val="18"/>
                <w:szCs w:val="18"/>
              </w:rPr>
            </w:pPr>
            <w:r w:rsidRPr="00BC091A">
              <w:rPr>
                <w:sz w:val="18"/>
                <w:szCs w:val="18"/>
              </w:rPr>
              <w:t>Jun-23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51AD4F7" w14:textId="77777777" w:rsidR="007A6A1A" w:rsidRPr="00BC091A" w:rsidRDefault="007A6A1A" w:rsidP="00BC091A">
            <w:pPr>
              <w:spacing w:after="0"/>
              <w:jc w:val="center"/>
              <w:rPr>
                <w:sz w:val="18"/>
                <w:szCs w:val="18"/>
              </w:rPr>
            </w:pPr>
            <w:r w:rsidRPr="00BC091A">
              <w:rPr>
                <w:sz w:val="18"/>
                <w:szCs w:val="18"/>
              </w:rPr>
              <w:t>37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168F174" w14:textId="77777777" w:rsidR="007A6A1A" w:rsidRPr="00BC091A" w:rsidRDefault="007A6A1A" w:rsidP="00BC091A">
            <w:pPr>
              <w:spacing w:after="0"/>
              <w:jc w:val="center"/>
              <w:rPr>
                <w:sz w:val="18"/>
                <w:szCs w:val="18"/>
              </w:rPr>
            </w:pPr>
            <w:r w:rsidRPr="00BC091A">
              <w:rPr>
                <w:sz w:val="18"/>
                <w:szCs w:val="18"/>
              </w:rPr>
              <w:t>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203D44B" w14:textId="77777777" w:rsidR="007A6A1A" w:rsidRPr="00BC091A" w:rsidRDefault="007A6A1A" w:rsidP="00BC091A">
            <w:pPr>
              <w:spacing w:after="0"/>
              <w:jc w:val="center"/>
              <w:rPr>
                <w:sz w:val="18"/>
                <w:szCs w:val="18"/>
              </w:rPr>
            </w:pPr>
            <w:r w:rsidRPr="00BC091A">
              <w:rPr>
                <w:sz w:val="18"/>
                <w:szCs w:val="18"/>
              </w:rPr>
              <w:t>394</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42354" w14:textId="77777777" w:rsidR="007A6A1A" w:rsidRPr="00BC091A" w:rsidRDefault="007A6A1A" w:rsidP="00BC091A">
            <w:pPr>
              <w:spacing w:after="0"/>
              <w:jc w:val="center"/>
              <w:rPr>
                <w:sz w:val="18"/>
                <w:szCs w:val="18"/>
              </w:rPr>
            </w:pPr>
            <w:r w:rsidRPr="00BC091A">
              <w:rPr>
                <w:sz w:val="18"/>
                <w:szCs w:val="18"/>
              </w:rPr>
              <w:t>437</w:t>
            </w:r>
          </w:p>
        </w:tc>
      </w:tr>
      <w:tr w:rsidR="007A6A1A" w:rsidRPr="00167CB8" w14:paraId="4DA71E28"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2288F1E" w14:textId="77777777" w:rsidR="007A6A1A" w:rsidRPr="00BC091A" w:rsidRDefault="007A6A1A" w:rsidP="00BC091A">
            <w:pPr>
              <w:spacing w:after="0"/>
              <w:rPr>
                <w:sz w:val="18"/>
                <w:szCs w:val="18"/>
              </w:rPr>
            </w:pPr>
            <w:r w:rsidRPr="00BC091A">
              <w:rPr>
                <w:sz w:val="18"/>
                <w:szCs w:val="18"/>
              </w:rPr>
              <w:t>Jul-23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9076956" w14:textId="77777777" w:rsidR="007A6A1A" w:rsidRPr="00BC091A" w:rsidRDefault="007A6A1A" w:rsidP="00BC091A">
            <w:pPr>
              <w:spacing w:after="0"/>
              <w:jc w:val="center"/>
              <w:rPr>
                <w:sz w:val="18"/>
                <w:szCs w:val="18"/>
              </w:rPr>
            </w:pPr>
            <w:r w:rsidRPr="00BC091A">
              <w:rPr>
                <w:sz w:val="18"/>
                <w:szCs w:val="18"/>
              </w:rPr>
              <w:t>20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C60D066"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927AFD3" w14:textId="77777777" w:rsidR="007A6A1A" w:rsidRPr="00BC091A" w:rsidRDefault="007A6A1A" w:rsidP="00BC091A">
            <w:pPr>
              <w:spacing w:after="0"/>
              <w:jc w:val="center"/>
              <w:rPr>
                <w:sz w:val="18"/>
                <w:szCs w:val="18"/>
              </w:rPr>
            </w:pPr>
            <w:r w:rsidRPr="00BC091A">
              <w:rPr>
                <w:sz w:val="18"/>
                <w:szCs w:val="18"/>
              </w:rPr>
              <w:t>299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0F22A" w14:textId="77777777" w:rsidR="007A6A1A" w:rsidRPr="00BC091A" w:rsidRDefault="007A6A1A" w:rsidP="00BC091A">
            <w:pPr>
              <w:spacing w:after="0"/>
              <w:jc w:val="center"/>
              <w:rPr>
                <w:sz w:val="18"/>
                <w:szCs w:val="18"/>
              </w:rPr>
            </w:pPr>
            <w:r w:rsidRPr="00BC091A">
              <w:rPr>
                <w:sz w:val="18"/>
                <w:szCs w:val="18"/>
              </w:rPr>
              <w:t>321</w:t>
            </w:r>
          </w:p>
        </w:tc>
      </w:tr>
      <w:tr w:rsidR="007A6A1A" w:rsidRPr="00167CB8" w14:paraId="52F61A9F"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F3CC9C3" w14:textId="77777777" w:rsidR="007A6A1A" w:rsidRPr="00BC091A" w:rsidRDefault="007A6A1A" w:rsidP="00BC091A">
            <w:pPr>
              <w:spacing w:after="0"/>
              <w:rPr>
                <w:sz w:val="18"/>
                <w:szCs w:val="18"/>
              </w:rPr>
            </w:pPr>
            <w:r w:rsidRPr="00BC091A">
              <w:rPr>
                <w:sz w:val="18"/>
                <w:szCs w:val="18"/>
              </w:rPr>
              <w:t>Aug-23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A150086" w14:textId="77777777" w:rsidR="007A6A1A" w:rsidRPr="00BC091A" w:rsidRDefault="007A6A1A" w:rsidP="00BC091A">
            <w:pPr>
              <w:spacing w:after="0"/>
              <w:jc w:val="center"/>
              <w:rPr>
                <w:sz w:val="18"/>
                <w:szCs w:val="18"/>
              </w:rPr>
            </w:pPr>
            <w:r w:rsidRPr="00BC091A">
              <w:rPr>
                <w:sz w:val="18"/>
                <w:szCs w:val="18"/>
              </w:rPr>
              <w:t>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2C207D9"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8B3CA5A" w14:textId="77777777" w:rsidR="007A6A1A" w:rsidRPr="00BC091A" w:rsidRDefault="007A6A1A" w:rsidP="00BC091A">
            <w:pPr>
              <w:spacing w:after="0"/>
              <w:jc w:val="center"/>
              <w:rPr>
                <w:sz w:val="18"/>
                <w:szCs w:val="18"/>
              </w:rPr>
            </w:pPr>
            <w:r w:rsidRPr="00BC091A">
              <w:rPr>
                <w:sz w:val="18"/>
                <w:szCs w:val="18"/>
              </w:rPr>
              <w:t>385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6B336" w14:textId="77777777" w:rsidR="007A6A1A" w:rsidRPr="00BC091A" w:rsidRDefault="007A6A1A" w:rsidP="00BC091A">
            <w:pPr>
              <w:spacing w:after="0"/>
              <w:jc w:val="center"/>
              <w:rPr>
                <w:sz w:val="18"/>
                <w:szCs w:val="18"/>
              </w:rPr>
            </w:pPr>
            <w:r w:rsidRPr="00BC091A">
              <w:rPr>
                <w:sz w:val="18"/>
                <w:szCs w:val="18"/>
              </w:rPr>
              <w:t>405</w:t>
            </w:r>
          </w:p>
        </w:tc>
      </w:tr>
      <w:tr w:rsidR="007A6A1A" w:rsidRPr="00167CB8" w14:paraId="2D76A21B"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6683734" w14:textId="77777777" w:rsidR="007A6A1A" w:rsidRPr="00BC091A" w:rsidRDefault="007A6A1A" w:rsidP="00BC091A">
            <w:pPr>
              <w:spacing w:after="0"/>
              <w:rPr>
                <w:sz w:val="18"/>
                <w:szCs w:val="18"/>
              </w:rPr>
            </w:pPr>
            <w:r w:rsidRPr="00BC091A">
              <w:rPr>
                <w:sz w:val="18"/>
                <w:szCs w:val="18"/>
              </w:rPr>
              <w:t>Sep-23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71A9FE2" w14:textId="77777777" w:rsidR="007A6A1A" w:rsidRPr="00BC091A" w:rsidRDefault="007A6A1A" w:rsidP="00BC091A">
            <w:pPr>
              <w:spacing w:after="0"/>
              <w:jc w:val="center"/>
              <w:rPr>
                <w:sz w:val="18"/>
                <w:szCs w:val="18"/>
              </w:rPr>
            </w:pPr>
            <w:r w:rsidRPr="00BC091A">
              <w:rPr>
                <w:sz w:val="18"/>
                <w:szCs w:val="18"/>
              </w:rPr>
              <w:t>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3745A59"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1BAD97A" w14:textId="77777777" w:rsidR="007A6A1A" w:rsidRPr="00BC091A" w:rsidRDefault="007A6A1A" w:rsidP="00BC091A">
            <w:pPr>
              <w:spacing w:after="0"/>
              <w:jc w:val="center"/>
              <w:rPr>
                <w:sz w:val="18"/>
                <w:szCs w:val="18"/>
              </w:rPr>
            </w:pPr>
            <w:r w:rsidRPr="00BC091A">
              <w:rPr>
                <w:sz w:val="18"/>
                <w:szCs w:val="18"/>
              </w:rPr>
              <w:t>385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612A8" w14:textId="77777777" w:rsidR="007A6A1A" w:rsidRPr="00BC091A" w:rsidRDefault="007A6A1A" w:rsidP="00BC091A">
            <w:pPr>
              <w:spacing w:after="0"/>
              <w:jc w:val="center"/>
              <w:rPr>
                <w:sz w:val="18"/>
                <w:szCs w:val="18"/>
              </w:rPr>
            </w:pPr>
            <w:r w:rsidRPr="00BC091A">
              <w:rPr>
                <w:sz w:val="18"/>
                <w:szCs w:val="18"/>
              </w:rPr>
              <w:t>406</w:t>
            </w:r>
          </w:p>
        </w:tc>
      </w:tr>
      <w:tr w:rsidR="007A6A1A" w:rsidRPr="00167CB8" w14:paraId="7E9C018B"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B35AEF0" w14:textId="77777777" w:rsidR="007A6A1A" w:rsidRPr="00BC091A" w:rsidRDefault="007A6A1A" w:rsidP="00BC091A">
            <w:pPr>
              <w:spacing w:after="0"/>
              <w:rPr>
                <w:sz w:val="18"/>
                <w:szCs w:val="18"/>
              </w:rPr>
            </w:pPr>
            <w:r w:rsidRPr="00BC091A">
              <w:rPr>
                <w:sz w:val="18"/>
                <w:szCs w:val="18"/>
              </w:rPr>
              <w:t>Oct-23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58511D2" w14:textId="77777777" w:rsidR="007A6A1A" w:rsidRPr="00BC091A" w:rsidRDefault="007A6A1A" w:rsidP="00BC091A">
            <w:pPr>
              <w:spacing w:after="0"/>
              <w:jc w:val="center"/>
              <w:rPr>
                <w:sz w:val="18"/>
                <w:szCs w:val="18"/>
              </w:rPr>
            </w:pPr>
            <w:r w:rsidRPr="00BC091A">
              <w:rPr>
                <w:sz w:val="18"/>
                <w:szCs w:val="18"/>
              </w:rPr>
              <w:t>20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D095698" w14:textId="77777777" w:rsidR="007A6A1A" w:rsidRPr="00BC091A" w:rsidRDefault="007A6A1A" w:rsidP="00BC091A">
            <w:pPr>
              <w:spacing w:after="0"/>
              <w:jc w:val="center"/>
              <w:rPr>
                <w:sz w:val="18"/>
                <w:szCs w:val="18"/>
              </w:rPr>
            </w:pPr>
            <w:r w:rsidRPr="00BC091A">
              <w:rPr>
                <w:sz w:val="18"/>
                <w:szCs w:val="18"/>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A4BCCA0" w14:textId="77777777" w:rsidR="007A6A1A" w:rsidRPr="00BC091A" w:rsidRDefault="007A6A1A" w:rsidP="00BC091A">
            <w:pPr>
              <w:spacing w:after="0"/>
              <w:jc w:val="center"/>
              <w:rPr>
                <w:sz w:val="18"/>
                <w:szCs w:val="18"/>
              </w:rPr>
            </w:pPr>
            <w:r w:rsidRPr="00BC091A">
              <w:rPr>
                <w:sz w:val="18"/>
                <w:szCs w:val="18"/>
              </w:rPr>
              <w:t>385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5F3F0" w14:textId="77777777" w:rsidR="007A6A1A" w:rsidRPr="00BC091A" w:rsidRDefault="007A6A1A" w:rsidP="00BC091A">
            <w:pPr>
              <w:spacing w:after="0"/>
              <w:jc w:val="center"/>
              <w:rPr>
                <w:sz w:val="18"/>
                <w:szCs w:val="18"/>
              </w:rPr>
            </w:pPr>
            <w:r w:rsidRPr="00BC091A">
              <w:rPr>
                <w:sz w:val="18"/>
                <w:szCs w:val="18"/>
              </w:rPr>
              <w:t>410</w:t>
            </w:r>
          </w:p>
        </w:tc>
      </w:tr>
      <w:tr w:rsidR="007A6A1A" w:rsidRPr="00167CB8" w14:paraId="3D2A9155"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1F43D03" w14:textId="77777777" w:rsidR="007A6A1A" w:rsidRPr="00BC091A" w:rsidRDefault="007A6A1A" w:rsidP="00BC091A">
            <w:pPr>
              <w:spacing w:after="0"/>
              <w:rPr>
                <w:sz w:val="18"/>
                <w:szCs w:val="18"/>
              </w:rPr>
            </w:pPr>
            <w:r w:rsidRPr="00BC091A">
              <w:rPr>
                <w:sz w:val="18"/>
                <w:szCs w:val="18"/>
              </w:rPr>
              <w:t>Nov-23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1D57E52" w14:textId="77777777" w:rsidR="007A6A1A" w:rsidRPr="00BC091A" w:rsidRDefault="007A6A1A" w:rsidP="00BC091A">
            <w:pPr>
              <w:spacing w:after="0"/>
              <w:jc w:val="center"/>
              <w:rPr>
                <w:sz w:val="18"/>
                <w:szCs w:val="18"/>
              </w:rPr>
            </w:pPr>
            <w:r w:rsidRPr="00BC091A">
              <w:rPr>
                <w:sz w:val="18"/>
                <w:szCs w:val="18"/>
              </w:rPr>
              <w:t>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65BEEA7" w14:textId="77777777" w:rsidR="007A6A1A" w:rsidRPr="00BC091A" w:rsidRDefault="007A6A1A" w:rsidP="00BC091A">
            <w:pPr>
              <w:spacing w:after="0"/>
              <w:jc w:val="center"/>
              <w:rPr>
                <w:sz w:val="18"/>
                <w:szCs w:val="18"/>
              </w:rPr>
            </w:pPr>
            <w:r w:rsidRPr="00BC091A">
              <w:rPr>
                <w:sz w:val="18"/>
                <w:szCs w:val="18"/>
              </w:rPr>
              <w:t>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FDF2E80" w14:textId="77777777" w:rsidR="007A6A1A" w:rsidRPr="00BC091A" w:rsidRDefault="007A6A1A" w:rsidP="00BC091A">
            <w:pPr>
              <w:spacing w:after="0"/>
              <w:jc w:val="center"/>
              <w:rPr>
                <w:sz w:val="18"/>
                <w:szCs w:val="18"/>
              </w:rPr>
            </w:pPr>
            <w:r w:rsidRPr="00BC091A">
              <w:rPr>
                <w:sz w:val="18"/>
                <w:szCs w:val="18"/>
              </w:rPr>
              <w:t>485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78FF6" w14:textId="77777777" w:rsidR="007A6A1A" w:rsidRPr="00BC091A" w:rsidRDefault="007A6A1A" w:rsidP="00BC091A">
            <w:pPr>
              <w:spacing w:after="0"/>
              <w:jc w:val="center"/>
              <w:rPr>
                <w:sz w:val="18"/>
                <w:szCs w:val="18"/>
              </w:rPr>
            </w:pPr>
            <w:r w:rsidRPr="00BC091A">
              <w:rPr>
                <w:sz w:val="18"/>
                <w:szCs w:val="18"/>
              </w:rPr>
              <w:t>511</w:t>
            </w:r>
          </w:p>
        </w:tc>
      </w:tr>
      <w:tr w:rsidR="007A6A1A" w:rsidRPr="00167CB8" w14:paraId="1041A14D"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5162FDE" w14:textId="77777777" w:rsidR="007A6A1A" w:rsidRPr="00BC091A" w:rsidRDefault="007A6A1A" w:rsidP="00BC091A">
            <w:pPr>
              <w:spacing w:after="0"/>
              <w:rPr>
                <w:sz w:val="18"/>
                <w:szCs w:val="18"/>
              </w:rPr>
            </w:pPr>
            <w:r w:rsidRPr="00BC091A">
              <w:rPr>
                <w:sz w:val="18"/>
                <w:szCs w:val="18"/>
              </w:rPr>
              <w:t>Dec-23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F370B6C" w14:textId="77777777" w:rsidR="007A6A1A" w:rsidRPr="00BC091A" w:rsidRDefault="007A6A1A" w:rsidP="00BC091A">
            <w:pPr>
              <w:spacing w:after="0"/>
              <w:jc w:val="center"/>
              <w:rPr>
                <w:sz w:val="18"/>
                <w:szCs w:val="18"/>
              </w:rPr>
            </w:pPr>
            <w:r w:rsidRPr="00BC091A">
              <w:rPr>
                <w:sz w:val="18"/>
                <w:szCs w:val="18"/>
              </w:rPr>
              <w:t>30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DBE1BC7" w14:textId="77777777" w:rsidR="007A6A1A" w:rsidRPr="00BC091A" w:rsidRDefault="007A6A1A" w:rsidP="00BC091A">
            <w:pPr>
              <w:spacing w:after="0"/>
              <w:jc w:val="center"/>
              <w:rPr>
                <w:sz w:val="18"/>
                <w:szCs w:val="18"/>
              </w:rPr>
            </w:pPr>
            <w:r w:rsidRPr="00BC091A">
              <w:rPr>
                <w:sz w:val="18"/>
                <w:szCs w:val="18"/>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13C908F" w14:textId="77777777" w:rsidR="007A6A1A" w:rsidRPr="00BC091A" w:rsidRDefault="007A6A1A" w:rsidP="00BC091A">
            <w:pPr>
              <w:spacing w:after="0"/>
              <w:jc w:val="center"/>
              <w:rPr>
                <w:sz w:val="18"/>
                <w:szCs w:val="18"/>
              </w:rPr>
            </w:pPr>
            <w:r w:rsidRPr="00BC091A">
              <w:rPr>
                <w:sz w:val="18"/>
                <w:szCs w:val="18"/>
              </w:rPr>
              <w:t>587</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2B409" w14:textId="77777777" w:rsidR="007A6A1A" w:rsidRPr="00BC091A" w:rsidRDefault="007A6A1A" w:rsidP="00BC091A">
            <w:pPr>
              <w:spacing w:after="0"/>
              <w:jc w:val="center"/>
              <w:rPr>
                <w:sz w:val="18"/>
                <w:szCs w:val="18"/>
              </w:rPr>
            </w:pPr>
            <w:r w:rsidRPr="00BC091A">
              <w:rPr>
                <w:sz w:val="18"/>
                <w:szCs w:val="18"/>
              </w:rPr>
              <w:t>622</w:t>
            </w:r>
          </w:p>
        </w:tc>
      </w:tr>
      <w:tr w:rsidR="007A6A1A" w:rsidRPr="00167CB8" w14:paraId="09F9E1E5"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0D5CD55" w14:textId="77777777" w:rsidR="007A6A1A" w:rsidRPr="00BC091A" w:rsidRDefault="007A6A1A" w:rsidP="00BC091A">
            <w:pPr>
              <w:spacing w:after="0"/>
              <w:rPr>
                <w:sz w:val="18"/>
                <w:szCs w:val="18"/>
              </w:rPr>
            </w:pPr>
            <w:r w:rsidRPr="00BC091A">
              <w:rPr>
                <w:sz w:val="18"/>
                <w:szCs w:val="18"/>
              </w:rPr>
              <w:t>Jan-24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532FEDB" w14:textId="77777777" w:rsidR="007A6A1A" w:rsidRPr="00BC091A" w:rsidRDefault="007A6A1A" w:rsidP="00BC091A">
            <w:pPr>
              <w:spacing w:after="0"/>
              <w:jc w:val="center"/>
              <w:rPr>
                <w:sz w:val="18"/>
                <w:szCs w:val="18"/>
              </w:rPr>
            </w:pPr>
            <w:r w:rsidRPr="00BC091A">
              <w:rPr>
                <w:sz w:val="18"/>
                <w:szCs w:val="18"/>
              </w:rPr>
              <w:t>10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068149C" w14:textId="77777777" w:rsidR="007A6A1A" w:rsidRPr="00BC091A" w:rsidRDefault="007A6A1A" w:rsidP="00BC091A">
            <w:pPr>
              <w:spacing w:after="0"/>
              <w:jc w:val="center"/>
              <w:rPr>
                <w:sz w:val="18"/>
                <w:szCs w:val="18"/>
              </w:rPr>
            </w:pPr>
            <w:r w:rsidRPr="00BC091A">
              <w:rPr>
                <w:sz w:val="18"/>
                <w:szCs w:val="18"/>
              </w:rPr>
              <w:t>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3EBAAF1" w14:textId="77777777" w:rsidR="007A6A1A" w:rsidRPr="00BC091A" w:rsidRDefault="007A6A1A" w:rsidP="00BC091A">
            <w:pPr>
              <w:spacing w:after="0"/>
              <w:jc w:val="center"/>
              <w:rPr>
                <w:sz w:val="18"/>
                <w:szCs w:val="18"/>
              </w:rPr>
            </w:pPr>
            <w:r w:rsidRPr="00BC091A">
              <w:rPr>
                <w:sz w:val="18"/>
                <w:szCs w:val="18"/>
              </w:rPr>
              <w:t>154</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9CC92" w14:textId="77777777" w:rsidR="007A6A1A" w:rsidRPr="00BC091A" w:rsidRDefault="007A6A1A" w:rsidP="00BC091A">
            <w:pPr>
              <w:spacing w:after="0"/>
              <w:jc w:val="center"/>
              <w:rPr>
                <w:sz w:val="18"/>
                <w:szCs w:val="18"/>
              </w:rPr>
            </w:pPr>
            <w:r w:rsidRPr="00BC091A">
              <w:rPr>
                <w:sz w:val="18"/>
                <w:szCs w:val="18"/>
              </w:rPr>
              <w:t>164</w:t>
            </w:r>
          </w:p>
        </w:tc>
      </w:tr>
      <w:tr w:rsidR="007A6A1A" w:rsidRPr="00167CB8" w14:paraId="3F9F2B00"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25BD466" w14:textId="77777777" w:rsidR="007A6A1A" w:rsidRPr="00BC091A" w:rsidRDefault="007A6A1A" w:rsidP="00BC091A">
            <w:pPr>
              <w:spacing w:after="0"/>
              <w:rPr>
                <w:sz w:val="18"/>
                <w:szCs w:val="18"/>
              </w:rPr>
            </w:pPr>
            <w:r w:rsidRPr="00BC091A">
              <w:rPr>
                <w:sz w:val="18"/>
                <w:szCs w:val="18"/>
              </w:rPr>
              <w:t>Feb-24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7F02E77" w14:textId="77777777" w:rsidR="007A6A1A" w:rsidRPr="00BC091A" w:rsidRDefault="007A6A1A" w:rsidP="00BC091A">
            <w:pPr>
              <w:spacing w:after="0"/>
              <w:jc w:val="center"/>
              <w:rPr>
                <w:sz w:val="18"/>
                <w:szCs w:val="18"/>
              </w:rPr>
            </w:pPr>
            <w:r w:rsidRPr="00BC091A">
              <w:rPr>
                <w:sz w:val="18"/>
                <w:szCs w:val="18"/>
              </w:rPr>
              <w:t>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43343CD" w14:textId="77777777" w:rsidR="007A6A1A" w:rsidRPr="00BC091A" w:rsidRDefault="007A6A1A" w:rsidP="00BC091A">
            <w:pPr>
              <w:spacing w:after="0"/>
              <w:jc w:val="center"/>
              <w:rPr>
                <w:sz w:val="18"/>
                <w:szCs w:val="18"/>
              </w:rPr>
            </w:pPr>
            <w:r w:rsidRPr="00BC091A">
              <w:rPr>
                <w:sz w:val="18"/>
                <w:szCs w:val="18"/>
              </w:rPr>
              <w:t>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DBCEEA1" w14:textId="77777777" w:rsidR="007A6A1A" w:rsidRPr="00BC091A" w:rsidRDefault="007A6A1A" w:rsidP="00BC091A">
            <w:pPr>
              <w:spacing w:after="0"/>
              <w:jc w:val="center"/>
              <w:rPr>
                <w:sz w:val="18"/>
                <w:szCs w:val="18"/>
              </w:rPr>
            </w:pPr>
            <w:r w:rsidRPr="00BC091A">
              <w:rPr>
                <w:sz w:val="18"/>
                <w:szCs w:val="18"/>
              </w:rPr>
              <w:t>268</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B8A8D" w14:textId="77777777" w:rsidR="007A6A1A" w:rsidRPr="00BC091A" w:rsidRDefault="007A6A1A" w:rsidP="00BC091A">
            <w:pPr>
              <w:spacing w:after="0"/>
              <w:jc w:val="center"/>
              <w:rPr>
                <w:sz w:val="18"/>
                <w:szCs w:val="18"/>
              </w:rPr>
            </w:pPr>
            <w:r w:rsidRPr="00BC091A">
              <w:rPr>
                <w:sz w:val="18"/>
                <w:szCs w:val="18"/>
              </w:rPr>
              <w:t>295</w:t>
            </w:r>
          </w:p>
        </w:tc>
      </w:tr>
      <w:tr w:rsidR="007A6A1A" w:rsidRPr="00167CB8" w14:paraId="70605B68"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841686E" w14:textId="77777777" w:rsidR="007A6A1A" w:rsidRPr="00BC091A" w:rsidRDefault="007A6A1A" w:rsidP="00BC091A">
            <w:pPr>
              <w:spacing w:after="0"/>
              <w:rPr>
                <w:sz w:val="18"/>
                <w:szCs w:val="18"/>
              </w:rPr>
            </w:pPr>
            <w:r w:rsidRPr="00BC091A">
              <w:rPr>
                <w:sz w:val="18"/>
                <w:szCs w:val="18"/>
              </w:rPr>
              <w:t>Mar-24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0501E19" w14:textId="77777777" w:rsidR="007A6A1A" w:rsidRPr="00BC091A" w:rsidRDefault="007A6A1A" w:rsidP="00BC091A">
            <w:pPr>
              <w:spacing w:after="0"/>
              <w:jc w:val="center"/>
              <w:rPr>
                <w:sz w:val="18"/>
                <w:szCs w:val="18"/>
              </w:rPr>
            </w:pPr>
            <w:r w:rsidRPr="00BC091A">
              <w:rPr>
                <w:sz w:val="18"/>
                <w:szCs w:val="18"/>
              </w:rPr>
              <w:t>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C9F92A0"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0C8F366" w14:textId="77777777" w:rsidR="007A6A1A" w:rsidRPr="00BC091A" w:rsidRDefault="007A6A1A" w:rsidP="00BC091A">
            <w:pPr>
              <w:spacing w:after="0"/>
              <w:jc w:val="center"/>
              <w:rPr>
                <w:sz w:val="18"/>
                <w:szCs w:val="18"/>
              </w:rPr>
            </w:pPr>
            <w:r w:rsidRPr="00BC091A">
              <w:rPr>
                <w:sz w:val="18"/>
                <w:szCs w:val="18"/>
              </w:rPr>
              <w:t>426</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E397E" w14:textId="77777777" w:rsidR="007A6A1A" w:rsidRPr="00BC091A" w:rsidRDefault="007A6A1A" w:rsidP="00BC091A">
            <w:pPr>
              <w:spacing w:after="0"/>
              <w:jc w:val="center"/>
              <w:rPr>
                <w:sz w:val="18"/>
                <w:szCs w:val="18"/>
              </w:rPr>
            </w:pPr>
            <w:r w:rsidRPr="00BC091A">
              <w:rPr>
                <w:sz w:val="18"/>
                <w:szCs w:val="18"/>
              </w:rPr>
              <w:t>454</w:t>
            </w:r>
          </w:p>
        </w:tc>
      </w:tr>
      <w:tr w:rsidR="007A6A1A" w:rsidRPr="00167CB8" w14:paraId="718BD704"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B9F8D4F" w14:textId="77777777" w:rsidR="007A6A1A" w:rsidRPr="00BC091A" w:rsidRDefault="007A6A1A" w:rsidP="00BC091A">
            <w:pPr>
              <w:spacing w:after="0"/>
              <w:rPr>
                <w:sz w:val="18"/>
                <w:szCs w:val="18"/>
              </w:rPr>
            </w:pPr>
            <w:r w:rsidRPr="00BC091A">
              <w:rPr>
                <w:sz w:val="18"/>
                <w:szCs w:val="18"/>
              </w:rPr>
              <w:t>Apr-24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2FCD228" w14:textId="77777777" w:rsidR="007A6A1A" w:rsidRPr="00BC091A" w:rsidRDefault="007A6A1A" w:rsidP="00BC091A">
            <w:pPr>
              <w:spacing w:after="0"/>
              <w:jc w:val="center"/>
              <w:rPr>
                <w:sz w:val="18"/>
                <w:szCs w:val="18"/>
              </w:rPr>
            </w:pPr>
            <w:r w:rsidRPr="00BC091A">
              <w:rPr>
                <w:sz w:val="18"/>
                <w:szCs w:val="18"/>
              </w:rPr>
              <w:t>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8174D27"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0F7BE7D" w14:textId="77777777" w:rsidR="007A6A1A" w:rsidRPr="00BC091A" w:rsidRDefault="007A6A1A" w:rsidP="00BC091A">
            <w:pPr>
              <w:spacing w:after="0"/>
              <w:jc w:val="center"/>
              <w:rPr>
                <w:sz w:val="18"/>
                <w:szCs w:val="18"/>
              </w:rPr>
            </w:pPr>
            <w:r w:rsidRPr="00BC091A">
              <w:rPr>
                <w:sz w:val="18"/>
                <w:szCs w:val="18"/>
              </w:rPr>
              <w:t>332</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39BC7" w14:textId="77777777" w:rsidR="007A6A1A" w:rsidRPr="00BC091A" w:rsidRDefault="007A6A1A" w:rsidP="00BC091A">
            <w:pPr>
              <w:spacing w:after="0"/>
              <w:jc w:val="center"/>
              <w:rPr>
                <w:sz w:val="18"/>
                <w:szCs w:val="18"/>
              </w:rPr>
            </w:pPr>
            <w:r w:rsidRPr="00BC091A">
              <w:rPr>
                <w:sz w:val="18"/>
                <w:szCs w:val="18"/>
              </w:rPr>
              <w:t>360</w:t>
            </w:r>
          </w:p>
        </w:tc>
      </w:tr>
      <w:tr w:rsidR="007A6A1A" w:rsidRPr="00167CB8" w14:paraId="5222641E"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CC4975C" w14:textId="77777777" w:rsidR="007A6A1A" w:rsidRPr="00BC091A" w:rsidRDefault="007A6A1A" w:rsidP="00BC091A">
            <w:pPr>
              <w:spacing w:after="0"/>
              <w:rPr>
                <w:sz w:val="18"/>
                <w:szCs w:val="18"/>
              </w:rPr>
            </w:pPr>
            <w:r w:rsidRPr="00BC091A">
              <w:rPr>
                <w:sz w:val="18"/>
                <w:szCs w:val="18"/>
              </w:rPr>
              <w:t>May-24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CEF7545" w14:textId="77777777" w:rsidR="007A6A1A" w:rsidRPr="00BC091A" w:rsidRDefault="007A6A1A" w:rsidP="00BC091A">
            <w:pPr>
              <w:spacing w:after="0"/>
              <w:jc w:val="center"/>
              <w:rPr>
                <w:sz w:val="18"/>
                <w:szCs w:val="18"/>
              </w:rPr>
            </w:pPr>
            <w:r w:rsidRPr="00BC091A">
              <w:rPr>
                <w:sz w:val="18"/>
                <w:szCs w:val="18"/>
              </w:rPr>
              <w:t>51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972B188" w14:textId="77777777" w:rsidR="007A6A1A" w:rsidRPr="00BC091A" w:rsidRDefault="007A6A1A" w:rsidP="00BC091A">
            <w:pPr>
              <w:spacing w:after="0"/>
              <w:jc w:val="center"/>
              <w:rPr>
                <w:sz w:val="18"/>
                <w:szCs w:val="18"/>
              </w:rPr>
            </w:pPr>
            <w:r w:rsidRPr="00BC091A">
              <w:rPr>
                <w:sz w:val="18"/>
                <w:szCs w:val="18"/>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0118399" w14:textId="77777777" w:rsidR="007A6A1A" w:rsidRPr="00BC091A" w:rsidRDefault="007A6A1A" w:rsidP="00BC091A">
            <w:pPr>
              <w:spacing w:after="0"/>
              <w:jc w:val="center"/>
              <w:rPr>
                <w:sz w:val="18"/>
                <w:szCs w:val="18"/>
              </w:rPr>
            </w:pPr>
            <w:r w:rsidRPr="00BC091A">
              <w:rPr>
                <w:sz w:val="18"/>
                <w:szCs w:val="18"/>
              </w:rPr>
              <w:t>375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27294" w14:textId="77777777" w:rsidR="007A6A1A" w:rsidRPr="00BC091A" w:rsidRDefault="007A6A1A" w:rsidP="00BC091A">
            <w:pPr>
              <w:spacing w:after="0"/>
              <w:jc w:val="center"/>
              <w:rPr>
                <w:sz w:val="18"/>
                <w:szCs w:val="18"/>
              </w:rPr>
            </w:pPr>
            <w:r w:rsidRPr="00BC091A">
              <w:rPr>
                <w:sz w:val="18"/>
                <w:szCs w:val="18"/>
              </w:rPr>
              <w:t>428</w:t>
            </w:r>
          </w:p>
        </w:tc>
      </w:tr>
      <w:tr w:rsidR="007A6A1A" w:rsidRPr="00167CB8" w14:paraId="2E2B8089"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C67B043" w14:textId="77777777" w:rsidR="007A6A1A" w:rsidRPr="00BC091A" w:rsidRDefault="007A6A1A" w:rsidP="00BC091A">
            <w:pPr>
              <w:spacing w:after="0"/>
              <w:rPr>
                <w:sz w:val="18"/>
                <w:szCs w:val="18"/>
              </w:rPr>
            </w:pPr>
            <w:r w:rsidRPr="00BC091A">
              <w:rPr>
                <w:sz w:val="18"/>
                <w:szCs w:val="18"/>
              </w:rPr>
              <w:t>Jun-24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0E1BA42" w14:textId="77777777" w:rsidR="007A6A1A" w:rsidRPr="00BC091A" w:rsidRDefault="007A6A1A" w:rsidP="00BC091A">
            <w:pPr>
              <w:spacing w:after="0"/>
              <w:jc w:val="center"/>
              <w:rPr>
                <w:sz w:val="18"/>
                <w:szCs w:val="18"/>
              </w:rPr>
            </w:pPr>
            <w:r w:rsidRPr="00BC091A">
              <w:rPr>
                <w:sz w:val="18"/>
                <w:szCs w:val="18"/>
              </w:rPr>
              <w:t>30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EB32721" w14:textId="77777777" w:rsidR="007A6A1A" w:rsidRPr="00BC091A" w:rsidRDefault="007A6A1A" w:rsidP="00BC091A">
            <w:pPr>
              <w:spacing w:after="0"/>
              <w:jc w:val="center"/>
              <w:rPr>
                <w:sz w:val="18"/>
                <w:szCs w:val="18"/>
              </w:rPr>
            </w:pPr>
            <w:r w:rsidRPr="00BC091A">
              <w:rPr>
                <w:sz w:val="18"/>
                <w:szCs w:val="18"/>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9F0FCD2" w14:textId="77777777" w:rsidR="007A6A1A" w:rsidRPr="00BC091A" w:rsidRDefault="007A6A1A" w:rsidP="00BC091A">
            <w:pPr>
              <w:spacing w:after="0"/>
              <w:jc w:val="center"/>
              <w:rPr>
                <w:sz w:val="18"/>
                <w:szCs w:val="18"/>
              </w:rPr>
            </w:pPr>
            <w:r w:rsidRPr="00BC091A">
              <w:rPr>
                <w:sz w:val="18"/>
                <w:szCs w:val="18"/>
              </w:rPr>
              <w:t>383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FF5F4" w14:textId="77777777" w:rsidR="007A6A1A" w:rsidRPr="00BC091A" w:rsidRDefault="007A6A1A" w:rsidP="00BC091A">
            <w:pPr>
              <w:spacing w:after="0"/>
              <w:jc w:val="center"/>
              <w:rPr>
                <w:sz w:val="18"/>
                <w:szCs w:val="18"/>
              </w:rPr>
            </w:pPr>
            <w:r w:rsidRPr="00BC091A">
              <w:rPr>
                <w:sz w:val="18"/>
                <w:szCs w:val="18"/>
              </w:rPr>
              <w:t>414</w:t>
            </w:r>
          </w:p>
        </w:tc>
      </w:tr>
      <w:tr w:rsidR="007A6A1A" w:rsidRPr="00167CB8" w14:paraId="6A1262A8" w14:textId="77777777" w:rsidTr="00BC091A">
        <w:trPr>
          <w:trHeight w:val="227"/>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EDB04" w14:textId="77777777" w:rsidR="007A6A1A" w:rsidRPr="00BC091A" w:rsidRDefault="007A6A1A" w:rsidP="00BC091A">
            <w:pPr>
              <w:spacing w:after="0"/>
              <w:rPr>
                <w:sz w:val="18"/>
                <w:szCs w:val="18"/>
              </w:rPr>
            </w:pPr>
            <w:r w:rsidRPr="00BC091A">
              <w:rPr>
                <w:sz w:val="18"/>
                <w:szCs w:val="18"/>
              </w:rPr>
              <w:t>Total</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FAB9" w14:textId="77777777" w:rsidR="007A6A1A" w:rsidRPr="00BC091A" w:rsidRDefault="007A6A1A" w:rsidP="00BC091A">
            <w:pPr>
              <w:spacing w:after="0"/>
              <w:jc w:val="center"/>
              <w:rPr>
                <w:sz w:val="18"/>
                <w:szCs w:val="18"/>
              </w:rPr>
            </w:pPr>
            <w:r w:rsidRPr="00BC091A">
              <w:rPr>
                <w:sz w:val="18"/>
                <w:szCs w:val="18"/>
              </w:rPr>
              <w:t>970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375FB" w14:textId="77777777" w:rsidR="007A6A1A" w:rsidRPr="00BC091A" w:rsidRDefault="007A6A1A" w:rsidP="00BC091A">
            <w:pPr>
              <w:spacing w:after="0"/>
              <w:jc w:val="center"/>
              <w:rPr>
                <w:sz w:val="18"/>
                <w:szCs w:val="18"/>
              </w:rPr>
            </w:pPr>
            <w:r w:rsidRPr="00BC091A">
              <w:rPr>
                <w:sz w:val="18"/>
                <w:szCs w:val="18"/>
              </w:rPr>
              <w:t>105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1F1CE" w14:textId="77777777" w:rsidR="007A6A1A" w:rsidRPr="00BC091A" w:rsidRDefault="007A6A1A" w:rsidP="00BC091A">
            <w:pPr>
              <w:spacing w:after="0"/>
              <w:jc w:val="center"/>
              <w:rPr>
                <w:sz w:val="18"/>
                <w:szCs w:val="18"/>
              </w:rPr>
            </w:pPr>
            <w:r w:rsidRPr="00BC091A">
              <w:rPr>
                <w:sz w:val="18"/>
                <w:szCs w:val="18"/>
              </w:rPr>
              <w:t>12403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63A96" w14:textId="77777777" w:rsidR="007A6A1A" w:rsidRPr="00BC091A" w:rsidRDefault="007A6A1A" w:rsidP="00BC091A">
            <w:pPr>
              <w:spacing w:after="0"/>
              <w:jc w:val="center"/>
              <w:rPr>
                <w:sz w:val="18"/>
                <w:szCs w:val="18"/>
              </w:rPr>
            </w:pPr>
            <w:r w:rsidRPr="00BC091A">
              <w:rPr>
                <w:sz w:val="18"/>
                <w:szCs w:val="18"/>
              </w:rPr>
              <w:t>13478</w:t>
            </w:r>
          </w:p>
        </w:tc>
      </w:tr>
    </w:tbl>
    <w:p w14:paraId="5E5FC2E3" w14:textId="359D7DCC" w:rsidR="007A6A1A" w:rsidRPr="00167CB8" w:rsidRDefault="007A6A1A" w:rsidP="000D5139">
      <w:pPr>
        <w:pStyle w:val="Source"/>
      </w:pPr>
      <w:r w:rsidRPr="00167CB8">
        <w:rPr>
          <w:b/>
          <w:bCs/>
        </w:rPr>
        <w:t xml:space="preserve">Source: </w:t>
      </w:r>
      <w:r w:rsidRPr="00167CB8">
        <w:t>Review analysis of data provided by the FWC, July 2021 – June 2024</w:t>
      </w:r>
      <w:r w:rsidR="000D5139" w:rsidRPr="00167CB8">
        <w:t>.</w:t>
      </w:r>
    </w:p>
    <w:p w14:paraId="6EF43C82" w14:textId="77777777" w:rsidR="002B3628" w:rsidRDefault="002B3628">
      <w:pPr>
        <w:spacing w:after="160"/>
        <w:rPr>
          <w:rFonts w:cs="Calibri"/>
          <w:b/>
          <w:bCs/>
          <w:lang w:val="en-US"/>
        </w:rPr>
      </w:pPr>
      <w:bookmarkStart w:id="882" w:name="_Ref187164803"/>
      <w:bookmarkStart w:id="883" w:name="_Toc187688540"/>
      <w:bookmarkStart w:id="884" w:name="_Toc189310842"/>
      <w:r>
        <w:br w:type="page"/>
      </w:r>
    </w:p>
    <w:p w14:paraId="7AEF4952" w14:textId="019291E9" w:rsidR="007A6A1A" w:rsidRDefault="007A6A1A" w:rsidP="00470AB9">
      <w:pPr>
        <w:pStyle w:val="Caption"/>
      </w:pPr>
      <w:r w:rsidRPr="00167CB8">
        <w:lastRenderedPageBreak/>
        <w:t xml:space="preserve">Figure </w:t>
      </w:r>
      <w:r w:rsidR="00F46A31" w:rsidRPr="00167CB8">
        <w:t>54</w:t>
      </w:r>
      <w:bookmarkEnd w:id="882"/>
      <w:r w:rsidRPr="00167CB8">
        <w:t>: Monthly enterprise agreement approval applications</w:t>
      </w:r>
      <w:bookmarkEnd w:id="883"/>
      <w:r w:rsidR="000D5139" w:rsidRPr="00167CB8">
        <w:t>, July 2021 to May 2024</w:t>
      </w:r>
      <w:bookmarkEnd w:id="884"/>
    </w:p>
    <w:p w14:paraId="48DCD403" w14:textId="77777777" w:rsidR="007A6A1A" w:rsidRPr="00167CB8" w:rsidRDefault="007A6A1A" w:rsidP="007A6A1A">
      <w:pPr>
        <w:rPr>
          <w:b/>
          <w:bCs/>
        </w:rPr>
      </w:pPr>
      <w:r w:rsidRPr="00167CB8">
        <w:rPr>
          <w:b/>
          <w:noProof/>
        </w:rPr>
        <w:drawing>
          <wp:inline distT="0" distB="0" distL="0" distR="0" wp14:anchorId="2F1A9F43" wp14:editId="2B5C9E0A">
            <wp:extent cx="5791200" cy="4057650"/>
            <wp:effectExtent l="0" t="0" r="0" b="0"/>
            <wp:docPr id="351715235"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ABE4F6E" w14:textId="63C86C0D" w:rsidR="007A6A1A" w:rsidRPr="00167CB8" w:rsidRDefault="007A6A1A" w:rsidP="000D5139">
      <w:pPr>
        <w:pStyle w:val="Source"/>
      </w:pPr>
      <w:r w:rsidRPr="00167CB8">
        <w:rPr>
          <w:b/>
          <w:bCs/>
        </w:rPr>
        <w:t xml:space="preserve">Source: </w:t>
      </w:r>
      <w:r w:rsidRPr="00167CB8">
        <w:t>Review analysis of data provided by the FWC, July 2021 – June 2024</w:t>
      </w:r>
      <w:r w:rsidR="000D5139" w:rsidRPr="00167CB8">
        <w:t>.</w:t>
      </w:r>
    </w:p>
    <w:p w14:paraId="51FA0EB8" w14:textId="09859831" w:rsidR="007A6A1A" w:rsidRPr="00167CB8" w:rsidRDefault="007A6A1A" w:rsidP="000D5139">
      <w:pPr>
        <w:pStyle w:val="Source"/>
      </w:pPr>
      <w:r w:rsidRPr="00167CB8">
        <w:rPr>
          <w:b/>
          <w:bCs/>
        </w:rPr>
        <w:t>Alt text:</w:t>
      </w:r>
      <w:r w:rsidRPr="00167CB8">
        <w:t xml:space="preserve"> A line graph showing the number of enterprise agreement approval applications, by agreement</w:t>
      </w:r>
      <w:r w:rsidR="000D5139" w:rsidRPr="00167CB8">
        <w:t>,</w:t>
      </w:r>
      <w:r w:rsidRPr="00167CB8">
        <w:t xml:space="preserve"> on a monthly basis</w:t>
      </w:r>
      <w:r w:rsidR="000D5139" w:rsidRPr="00167CB8">
        <w:t>,</w:t>
      </w:r>
      <w:r w:rsidRPr="00167CB8">
        <w:t xml:space="preserve"> July 2021 to May 2024.</w:t>
      </w:r>
    </w:p>
    <w:p w14:paraId="011387EF" w14:textId="77777777" w:rsidR="007A6A1A" w:rsidRPr="00167CB8" w:rsidRDefault="007A6A1A" w:rsidP="007A6A1A">
      <w:r w:rsidRPr="00167CB8">
        <w:br w:type="page"/>
      </w:r>
    </w:p>
    <w:p w14:paraId="65527C31" w14:textId="4A920714" w:rsidR="007A6A1A" w:rsidRPr="00167CB8" w:rsidRDefault="00650687" w:rsidP="00650687">
      <w:pPr>
        <w:pStyle w:val="Heading3"/>
      </w:pPr>
      <w:bookmarkStart w:id="885" w:name="_Toc188278060"/>
      <w:bookmarkStart w:id="886" w:name="_Toc189393678"/>
      <w:r>
        <w:lastRenderedPageBreak/>
        <w:t xml:space="preserve">2. </w:t>
      </w:r>
      <w:r w:rsidR="007A6A1A" w:rsidRPr="00167CB8">
        <w:t>Outcomes of enterprise agreement applications</w:t>
      </w:r>
      <w:bookmarkEnd w:id="885"/>
      <w:bookmarkEnd w:id="886"/>
    </w:p>
    <w:p w14:paraId="28734FA0" w14:textId="6DA2C2B5" w:rsidR="007A6A1A" w:rsidRPr="00167CB8" w:rsidRDefault="007A6A1A" w:rsidP="007A6A1A">
      <w:r w:rsidRPr="00167CB8">
        <w:t xml:space="preserve">Applications for agreement approval are largely successful, either as they are drafted or as the result of FWC amendments or employer undertakings. </w:t>
      </w:r>
      <w:r w:rsidR="007C6B72" w:rsidRPr="00167CB8">
        <w:t>Table 61</w:t>
      </w:r>
      <w:r w:rsidR="00407D86" w:rsidRPr="00167CB8">
        <w:t xml:space="preserve"> </w:t>
      </w:r>
      <w:r w:rsidRPr="00167CB8">
        <w:t>outlines the outcomes of applications for approval.</w:t>
      </w:r>
    </w:p>
    <w:p w14:paraId="6AC27AAC" w14:textId="4B441450" w:rsidR="007A6A1A" w:rsidRPr="00167CB8" w:rsidRDefault="007A6A1A" w:rsidP="00470AB9">
      <w:pPr>
        <w:pStyle w:val="Caption"/>
      </w:pPr>
      <w:bookmarkStart w:id="887" w:name="_Ref187335224"/>
      <w:bookmarkStart w:id="888" w:name="_Toc187688537"/>
      <w:bookmarkStart w:id="889" w:name="_Toc189310890"/>
      <w:r w:rsidRPr="00167CB8">
        <w:t xml:space="preserve">Table </w:t>
      </w:r>
      <w:r w:rsidR="00E64BA2" w:rsidRPr="00167CB8">
        <w:t>61</w:t>
      </w:r>
      <w:bookmarkEnd w:id="887"/>
      <w:r w:rsidRPr="00167CB8">
        <w:t>: Outcomes of enterprise agreement approval</w:t>
      </w:r>
      <w:bookmarkEnd w:id="888"/>
      <w:r w:rsidRPr="00167CB8">
        <w:t xml:space="preserve"> applications, by type of agreement</w:t>
      </w:r>
      <w:bookmarkEnd w:id="889"/>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921"/>
        <w:gridCol w:w="921"/>
        <w:gridCol w:w="921"/>
        <w:gridCol w:w="922"/>
        <w:gridCol w:w="921"/>
        <w:gridCol w:w="921"/>
        <w:gridCol w:w="921"/>
        <w:gridCol w:w="922"/>
      </w:tblGrid>
      <w:tr w:rsidR="007A6A1A" w:rsidRPr="00167CB8" w14:paraId="3F82CD09"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41E9189D" w14:textId="77777777" w:rsidR="007A6A1A" w:rsidRPr="00167CB8" w:rsidRDefault="007A6A1A" w:rsidP="007A6A1A">
            <w:pPr>
              <w:spacing w:after="0"/>
              <w:rPr>
                <w:b/>
                <w:bCs/>
              </w:rPr>
            </w:pPr>
            <w:r w:rsidRPr="00167CB8">
              <w:rPr>
                <w:b/>
                <w:bCs/>
              </w:rPr>
              <w:t> </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266209BE" w14:textId="77777777" w:rsidR="007A6A1A" w:rsidRPr="00167CB8" w:rsidRDefault="007A6A1A" w:rsidP="007A6A1A">
            <w:pPr>
              <w:spacing w:after="0"/>
              <w:rPr>
                <w:b/>
                <w:bCs/>
              </w:rPr>
            </w:pPr>
            <w:r w:rsidRPr="00167CB8">
              <w:rPr>
                <w:b/>
                <w:bCs/>
              </w:rPr>
              <w:t>Greenfields agreement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A1C752C" w14:textId="77777777" w:rsidR="007A6A1A" w:rsidRPr="00167CB8" w:rsidRDefault="007A6A1A" w:rsidP="007A6A1A">
            <w:pPr>
              <w:spacing w:after="0"/>
              <w:rPr>
                <w:b/>
                <w:bCs/>
              </w:rPr>
            </w:pPr>
            <w:r w:rsidRPr="00167CB8">
              <w:rPr>
                <w:b/>
                <w:bCs/>
              </w:rPr>
              <w:t>Multi-employer agreement</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50C7E6D6" w14:textId="77777777" w:rsidR="007A6A1A" w:rsidRPr="00167CB8" w:rsidRDefault="007A6A1A" w:rsidP="007A6A1A">
            <w:pPr>
              <w:spacing w:after="0"/>
              <w:rPr>
                <w:b/>
                <w:bCs/>
              </w:rPr>
            </w:pPr>
            <w:r w:rsidRPr="00167CB8">
              <w:rPr>
                <w:b/>
                <w:bCs/>
              </w:rPr>
              <w:t>Single enterprise agreement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FEF6F05" w14:textId="77777777" w:rsidR="007A6A1A" w:rsidRPr="00167CB8" w:rsidRDefault="007A6A1A" w:rsidP="007A6A1A">
            <w:pPr>
              <w:spacing w:after="0"/>
              <w:rPr>
                <w:b/>
                <w:bCs/>
              </w:rPr>
            </w:pPr>
            <w:r w:rsidRPr="00167CB8">
              <w:rPr>
                <w:b/>
                <w:bCs/>
              </w:rPr>
              <w:t>Total</w:t>
            </w:r>
          </w:p>
        </w:tc>
      </w:tr>
      <w:tr w:rsidR="007A6A1A" w:rsidRPr="00167CB8" w14:paraId="268AEBAA"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1800B148" w14:textId="77777777" w:rsidR="007A6A1A" w:rsidRPr="00167CB8" w:rsidRDefault="007A6A1A" w:rsidP="007A6A1A">
            <w:pPr>
              <w:spacing w:after="0"/>
              <w:rPr>
                <w:b/>
                <w:bCs/>
              </w:rPr>
            </w:pPr>
            <w:r w:rsidRPr="00167CB8">
              <w:rPr>
                <w:b/>
                <w:bCs/>
              </w:rPr>
              <w:t>Result</w:t>
            </w:r>
          </w:p>
        </w:tc>
        <w:tc>
          <w:tcPr>
            <w:tcW w:w="921" w:type="dxa"/>
            <w:tcBorders>
              <w:top w:val="single" w:sz="4" w:space="0" w:color="auto"/>
              <w:left w:val="single" w:sz="4" w:space="0" w:color="auto"/>
              <w:bottom w:val="single" w:sz="4" w:space="0" w:color="auto"/>
              <w:right w:val="single" w:sz="4" w:space="0" w:color="auto"/>
            </w:tcBorders>
            <w:vAlign w:val="center"/>
            <w:hideMark/>
          </w:tcPr>
          <w:p w14:paraId="6D9DD6EB" w14:textId="77777777" w:rsidR="007A6A1A" w:rsidRPr="00167CB8" w:rsidRDefault="007A6A1A" w:rsidP="007A6A1A">
            <w:pPr>
              <w:spacing w:after="0"/>
              <w:rPr>
                <w:b/>
                <w:bCs/>
              </w:rPr>
            </w:pPr>
            <w:r w:rsidRPr="00167CB8">
              <w:rPr>
                <w:b/>
                <w:bCs/>
              </w:rPr>
              <w:t>Count</w:t>
            </w:r>
          </w:p>
        </w:tc>
        <w:tc>
          <w:tcPr>
            <w:tcW w:w="921" w:type="dxa"/>
            <w:tcBorders>
              <w:top w:val="single" w:sz="4" w:space="0" w:color="auto"/>
              <w:left w:val="single" w:sz="4" w:space="0" w:color="auto"/>
              <w:bottom w:val="single" w:sz="4" w:space="0" w:color="auto"/>
              <w:right w:val="single" w:sz="4" w:space="0" w:color="auto"/>
            </w:tcBorders>
            <w:vAlign w:val="center"/>
            <w:hideMark/>
          </w:tcPr>
          <w:p w14:paraId="5B4AE550" w14:textId="77777777" w:rsidR="007A6A1A" w:rsidRPr="00167CB8" w:rsidRDefault="007A6A1A" w:rsidP="007A6A1A">
            <w:pPr>
              <w:spacing w:after="0"/>
              <w:rPr>
                <w:b/>
                <w:bCs/>
              </w:rPr>
            </w:pPr>
            <w:r w:rsidRPr="00167CB8">
              <w:rPr>
                <w:b/>
                <w:bCs/>
              </w:rPr>
              <w:t>%</w:t>
            </w:r>
          </w:p>
        </w:tc>
        <w:tc>
          <w:tcPr>
            <w:tcW w:w="921" w:type="dxa"/>
            <w:tcBorders>
              <w:top w:val="single" w:sz="4" w:space="0" w:color="auto"/>
              <w:left w:val="single" w:sz="4" w:space="0" w:color="auto"/>
              <w:bottom w:val="single" w:sz="4" w:space="0" w:color="auto"/>
              <w:right w:val="single" w:sz="4" w:space="0" w:color="auto"/>
            </w:tcBorders>
            <w:vAlign w:val="center"/>
            <w:hideMark/>
          </w:tcPr>
          <w:p w14:paraId="634C1649" w14:textId="77777777" w:rsidR="007A6A1A" w:rsidRPr="00167CB8" w:rsidRDefault="007A6A1A" w:rsidP="007A6A1A">
            <w:pPr>
              <w:spacing w:after="0"/>
              <w:rPr>
                <w:b/>
                <w:bCs/>
              </w:rPr>
            </w:pPr>
            <w:r w:rsidRPr="00167CB8">
              <w:rPr>
                <w:b/>
                <w:bCs/>
              </w:rPr>
              <w:t>Count</w:t>
            </w:r>
          </w:p>
        </w:tc>
        <w:tc>
          <w:tcPr>
            <w:tcW w:w="922" w:type="dxa"/>
            <w:tcBorders>
              <w:top w:val="single" w:sz="4" w:space="0" w:color="auto"/>
              <w:left w:val="single" w:sz="4" w:space="0" w:color="auto"/>
              <w:bottom w:val="single" w:sz="4" w:space="0" w:color="auto"/>
              <w:right w:val="single" w:sz="4" w:space="0" w:color="auto"/>
            </w:tcBorders>
            <w:vAlign w:val="center"/>
            <w:hideMark/>
          </w:tcPr>
          <w:p w14:paraId="78FFE1C2" w14:textId="77777777" w:rsidR="007A6A1A" w:rsidRPr="00167CB8" w:rsidRDefault="007A6A1A" w:rsidP="007A6A1A">
            <w:pPr>
              <w:spacing w:after="0"/>
              <w:rPr>
                <w:b/>
                <w:bCs/>
              </w:rPr>
            </w:pPr>
            <w:r w:rsidRPr="00167CB8">
              <w:rPr>
                <w:b/>
                <w:bCs/>
              </w:rPr>
              <w:t>%</w:t>
            </w:r>
          </w:p>
        </w:tc>
        <w:tc>
          <w:tcPr>
            <w:tcW w:w="921" w:type="dxa"/>
            <w:tcBorders>
              <w:top w:val="single" w:sz="4" w:space="0" w:color="auto"/>
              <w:left w:val="single" w:sz="4" w:space="0" w:color="auto"/>
              <w:bottom w:val="single" w:sz="4" w:space="0" w:color="auto"/>
              <w:right w:val="single" w:sz="4" w:space="0" w:color="auto"/>
            </w:tcBorders>
            <w:vAlign w:val="center"/>
            <w:hideMark/>
          </w:tcPr>
          <w:p w14:paraId="0B84B741" w14:textId="77777777" w:rsidR="007A6A1A" w:rsidRPr="00167CB8" w:rsidRDefault="007A6A1A" w:rsidP="007A6A1A">
            <w:pPr>
              <w:spacing w:after="0"/>
              <w:rPr>
                <w:b/>
                <w:bCs/>
              </w:rPr>
            </w:pPr>
            <w:r w:rsidRPr="00167CB8">
              <w:rPr>
                <w:b/>
                <w:bCs/>
              </w:rPr>
              <w:t>Count</w:t>
            </w:r>
          </w:p>
        </w:tc>
        <w:tc>
          <w:tcPr>
            <w:tcW w:w="921" w:type="dxa"/>
            <w:tcBorders>
              <w:top w:val="single" w:sz="4" w:space="0" w:color="auto"/>
              <w:left w:val="single" w:sz="4" w:space="0" w:color="auto"/>
              <w:bottom w:val="single" w:sz="4" w:space="0" w:color="auto"/>
              <w:right w:val="single" w:sz="4" w:space="0" w:color="auto"/>
            </w:tcBorders>
            <w:vAlign w:val="center"/>
            <w:hideMark/>
          </w:tcPr>
          <w:p w14:paraId="7D77021D" w14:textId="77777777" w:rsidR="007A6A1A" w:rsidRPr="00167CB8" w:rsidRDefault="007A6A1A" w:rsidP="007A6A1A">
            <w:pPr>
              <w:spacing w:after="0"/>
              <w:rPr>
                <w:b/>
                <w:bCs/>
              </w:rPr>
            </w:pPr>
            <w:r w:rsidRPr="00167CB8">
              <w:rPr>
                <w:b/>
                <w:bCs/>
              </w:rPr>
              <w:t>%</w:t>
            </w:r>
          </w:p>
        </w:tc>
        <w:tc>
          <w:tcPr>
            <w:tcW w:w="921" w:type="dxa"/>
            <w:tcBorders>
              <w:top w:val="single" w:sz="4" w:space="0" w:color="auto"/>
              <w:left w:val="single" w:sz="4" w:space="0" w:color="auto"/>
              <w:bottom w:val="single" w:sz="4" w:space="0" w:color="auto"/>
              <w:right w:val="single" w:sz="4" w:space="0" w:color="auto"/>
            </w:tcBorders>
            <w:vAlign w:val="center"/>
            <w:hideMark/>
          </w:tcPr>
          <w:p w14:paraId="59991A01" w14:textId="77777777" w:rsidR="007A6A1A" w:rsidRPr="00167CB8" w:rsidRDefault="007A6A1A" w:rsidP="007A6A1A">
            <w:pPr>
              <w:spacing w:after="0"/>
              <w:rPr>
                <w:b/>
                <w:bCs/>
              </w:rPr>
            </w:pPr>
            <w:r w:rsidRPr="00167CB8">
              <w:rPr>
                <w:b/>
                <w:bCs/>
              </w:rPr>
              <w:t>Count</w:t>
            </w:r>
          </w:p>
        </w:tc>
        <w:tc>
          <w:tcPr>
            <w:tcW w:w="922" w:type="dxa"/>
            <w:tcBorders>
              <w:top w:val="single" w:sz="4" w:space="0" w:color="auto"/>
              <w:left w:val="single" w:sz="4" w:space="0" w:color="auto"/>
              <w:bottom w:val="single" w:sz="4" w:space="0" w:color="auto"/>
              <w:right w:val="single" w:sz="4" w:space="0" w:color="auto"/>
            </w:tcBorders>
            <w:vAlign w:val="center"/>
            <w:hideMark/>
          </w:tcPr>
          <w:p w14:paraId="618781C9" w14:textId="77777777" w:rsidR="007A6A1A" w:rsidRPr="00167CB8" w:rsidRDefault="007A6A1A" w:rsidP="007A6A1A">
            <w:pPr>
              <w:spacing w:after="0"/>
              <w:rPr>
                <w:b/>
                <w:bCs/>
              </w:rPr>
            </w:pPr>
            <w:r w:rsidRPr="00167CB8">
              <w:rPr>
                <w:b/>
                <w:bCs/>
              </w:rPr>
              <w:t>%</w:t>
            </w:r>
          </w:p>
        </w:tc>
      </w:tr>
      <w:tr w:rsidR="007A6A1A" w:rsidRPr="00167CB8" w14:paraId="429302EF"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3A7FA4F6" w14:textId="77777777" w:rsidR="007A6A1A" w:rsidRPr="00BC091A" w:rsidRDefault="007A6A1A" w:rsidP="007A6A1A">
            <w:pPr>
              <w:spacing w:after="0"/>
              <w:rPr>
                <w:sz w:val="20"/>
                <w:szCs w:val="20"/>
              </w:rPr>
            </w:pPr>
            <w:r w:rsidRPr="00BC091A">
              <w:rPr>
                <w:sz w:val="20"/>
                <w:szCs w:val="20"/>
              </w:rPr>
              <w:t>Approved</w:t>
            </w:r>
          </w:p>
        </w:tc>
        <w:tc>
          <w:tcPr>
            <w:tcW w:w="921" w:type="dxa"/>
            <w:tcBorders>
              <w:top w:val="single" w:sz="4" w:space="0" w:color="auto"/>
              <w:left w:val="single" w:sz="4" w:space="0" w:color="auto"/>
              <w:bottom w:val="single" w:sz="4" w:space="0" w:color="auto"/>
              <w:right w:val="single" w:sz="4" w:space="0" w:color="auto"/>
            </w:tcBorders>
            <w:vAlign w:val="center"/>
            <w:hideMark/>
          </w:tcPr>
          <w:p w14:paraId="4DE840CA" w14:textId="77777777" w:rsidR="007A6A1A" w:rsidRPr="00BC091A" w:rsidRDefault="007A6A1A" w:rsidP="007A6A1A">
            <w:pPr>
              <w:spacing w:after="0"/>
              <w:jc w:val="right"/>
              <w:rPr>
                <w:sz w:val="20"/>
                <w:szCs w:val="20"/>
              </w:rPr>
            </w:pPr>
            <w:r w:rsidRPr="00BC091A">
              <w:rPr>
                <w:sz w:val="20"/>
                <w:szCs w:val="20"/>
              </w:rPr>
              <w:t>743</w:t>
            </w:r>
          </w:p>
        </w:tc>
        <w:tc>
          <w:tcPr>
            <w:tcW w:w="921" w:type="dxa"/>
            <w:tcBorders>
              <w:top w:val="single" w:sz="4" w:space="0" w:color="auto"/>
              <w:left w:val="single" w:sz="4" w:space="0" w:color="auto"/>
              <w:bottom w:val="single" w:sz="4" w:space="0" w:color="auto"/>
              <w:right w:val="single" w:sz="4" w:space="0" w:color="auto"/>
            </w:tcBorders>
            <w:vAlign w:val="center"/>
            <w:hideMark/>
          </w:tcPr>
          <w:p w14:paraId="620A73E6" w14:textId="77777777" w:rsidR="007A6A1A" w:rsidRPr="00BC091A" w:rsidRDefault="007A6A1A" w:rsidP="007A6A1A">
            <w:pPr>
              <w:spacing w:after="0"/>
              <w:jc w:val="right"/>
              <w:rPr>
                <w:sz w:val="20"/>
                <w:szCs w:val="20"/>
              </w:rPr>
            </w:pPr>
            <w:r w:rsidRPr="00BC091A">
              <w:rPr>
                <w:sz w:val="20"/>
                <w:szCs w:val="20"/>
              </w:rPr>
              <w:t>76.6%</w:t>
            </w:r>
          </w:p>
        </w:tc>
        <w:tc>
          <w:tcPr>
            <w:tcW w:w="921" w:type="dxa"/>
            <w:tcBorders>
              <w:top w:val="single" w:sz="4" w:space="0" w:color="auto"/>
              <w:left w:val="single" w:sz="4" w:space="0" w:color="auto"/>
              <w:bottom w:val="single" w:sz="4" w:space="0" w:color="auto"/>
              <w:right w:val="single" w:sz="4" w:space="0" w:color="auto"/>
            </w:tcBorders>
            <w:vAlign w:val="center"/>
            <w:hideMark/>
          </w:tcPr>
          <w:p w14:paraId="460D3BAF" w14:textId="77777777" w:rsidR="007A6A1A" w:rsidRPr="00BC091A" w:rsidRDefault="007A6A1A" w:rsidP="007A6A1A">
            <w:pPr>
              <w:spacing w:after="0"/>
              <w:jc w:val="right"/>
              <w:rPr>
                <w:sz w:val="20"/>
                <w:szCs w:val="20"/>
              </w:rPr>
            </w:pPr>
            <w:r w:rsidRPr="00BC091A">
              <w:rPr>
                <w:sz w:val="20"/>
                <w:szCs w:val="20"/>
              </w:rPr>
              <w:t>32</w:t>
            </w:r>
          </w:p>
        </w:tc>
        <w:tc>
          <w:tcPr>
            <w:tcW w:w="922" w:type="dxa"/>
            <w:tcBorders>
              <w:top w:val="single" w:sz="4" w:space="0" w:color="auto"/>
              <w:left w:val="single" w:sz="4" w:space="0" w:color="auto"/>
              <w:bottom w:val="single" w:sz="4" w:space="0" w:color="auto"/>
              <w:right w:val="single" w:sz="4" w:space="0" w:color="auto"/>
            </w:tcBorders>
            <w:vAlign w:val="center"/>
            <w:hideMark/>
          </w:tcPr>
          <w:p w14:paraId="04B78F74" w14:textId="77777777" w:rsidR="007A6A1A" w:rsidRPr="00BC091A" w:rsidRDefault="007A6A1A" w:rsidP="007A6A1A">
            <w:pPr>
              <w:spacing w:after="0"/>
              <w:jc w:val="right"/>
              <w:rPr>
                <w:sz w:val="20"/>
                <w:szCs w:val="20"/>
              </w:rPr>
            </w:pPr>
            <w:r w:rsidRPr="00BC091A">
              <w:rPr>
                <w:sz w:val="20"/>
                <w:szCs w:val="20"/>
              </w:rPr>
              <w:t>30.5%</w:t>
            </w:r>
          </w:p>
        </w:tc>
        <w:tc>
          <w:tcPr>
            <w:tcW w:w="921" w:type="dxa"/>
            <w:tcBorders>
              <w:top w:val="single" w:sz="4" w:space="0" w:color="auto"/>
              <w:left w:val="single" w:sz="4" w:space="0" w:color="auto"/>
              <w:bottom w:val="single" w:sz="4" w:space="0" w:color="auto"/>
              <w:right w:val="single" w:sz="4" w:space="0" w:color="auto"/>
            </w:tcBorders>
            <w:vAlign w:val="center"/>
            <w:hideMark/>
          </w:tcPr>
          <w:p w14:paraId="110717AE" w14:textId="77777777" w:rsidR="007A6A1A" w:rsidRPr="00BC091A" w:rsidRDefault="007A6A1A" w:rsidP="007A6A1A">
            <w:pPr>
              <w:spacing w:after="0"/>
              <w:jc w:val="right"/>
              <w:rPr>
                <w:sz w:val="20"/>
                <w:szCs w:val="20"/>
              </w:rPr>
            </w:pPr>
            <w:r w:rsidRPr="00BC091A">
              <w:rPr>
                <w:sz w:val="20"/>
                <w:szCs w:val="20"/>
              </w:rPr>
              <w:t>5861</w:t>
            </w:r>
          </w:p>
        </w:tc>
        <w:tc>
          <w:tcPr>
            <w:tcW w:w="921" w:type="dxa"/>
            <w:tcBorders>
              <w:top w:val="single" w:sz="4" w:space="0" w:color="auto"/>
              <w:left w:val="single" w:sz="4" w:space="0" w:color="auto"/>
              <w:bottom w:val="single" w:sz="4" w:space="0" w:color="auto"/>
              <w:right w:val="single" w:sz="4" w:space="0" w:color="auto"/>
            </w:tcBorders>
            <w:vAlign w:val="center"/>
            <w:hideMark/>
          </w:tcPr>
          <w:p w14:paraId="58242D13" w14:textId="77777777" w:rsidR="007A6A1A" w:rsidRPr="00BC091A" w:rsidRDefault="007A6A1A" w:rsidP="007A6A1A">
            <w:pPr>
              <w:spacing w:after="0"/>
              <w:jc w:val="right"/>
              <w:rPr>
                <w:sz w:val="20"/>
                <w:szCs w:val="20"/>
              </w:rPr>
            </w:pPr>
            <w:r w:rsidRPr="00BC091A">
              <w:rPr>
                <w:sz w:val="20"/>
                <w:szCs w:val="20"/>
              </w:rPr>
              <w:t>47.3%</w:t>
            </w:r>
          </w:p>
        </w:tc>
        <w:tc>
          <w:tcPr>
            <w:tcW w:w="921" w:type="dxa"/>
            <w:tcBorders>
              <w:top w:val="single" w:sz="4" w:space="0" w:color="auto"/>
              <w:left w:val="single" w:sz="4" w:space="0" w:color="auto"/>
              <w:bottom w:val="single" w:sz="4" w:space="0" w:color="auto"/>
              <w:right w:val="single" w:sz="4" w:space="0" w:color="auto"/>
            </w:tcBorders>
            <w:vAlign w:val="center"/>
            <w:hideMark/>
          </w:tcPr>
          <w:p w14:paraId="7EE21AF3" w14:textId="77777777" w:rsidR="007A6A1A" w:rsidRPr="00BC091A" w:rsidRDefault="007A6A1A" w:rsidP="007A6A1A">
            <w:pPr>
              <w:spacing w:after="0"/>
              <w:jc w:val="right"/>
              <w:rPr>
                <w:sz w:val="20"/>
                <w:szCs w:val="20"/>
              </w:rPr>
            </w:pPr>
            <w:r w:rsidRPr="00BC091A">
              <w:rPr>
                <w:sz w:val="20"/>
                <w:szCs w:val="20"/>
              </w:rPr>
              <w:t>6636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330CF71" w14:textId="77777777" w:rsidR="007A6A1A" w:rsidRPr="00BC091A" w:rsidRDefault="007A6A1A" w:rsidP="007A6A1A">
            <w:pPr>
              <w:spacing w:after="0"/>
              <w:jc w:val="right"/>
              <w:rPr>
                <w:sz w:val="20"/>
                <w:szCs w:val="20"/>
              </w:rPr>
            </w:pPr>
            <w:r w:rsidRPr="00BC091A">
              <w:rPr>
                <w:sz w:val="20"/>
                <w:szCs w:val="20"/>
              </w:rPr>
              <w:t>49.2%</w:t>
            </w:r>
          </w:p>
        </w:tc>
      </w:tr>
      <w:tr w:rsidR="007A6A1A" w:rsidRPr="00167CB8" w14:paraId="355926F3"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1CE45F59" w14:textId="77777777" w:rsidR="007A6A1A" w:rsidRPr="00BC091A" w:rsidRDefault="007A6A1A" w:rsidP="007A6A1A">
            <w:pPr>
              <w:spacing w:after="0"/>
              <w:rPr>
                <w:sz w:val="20"/>
                <w:szCs w:val="20"/>
              </w:rPr>
            </w:pPr>
            <w:r w:rsidRPr="00BC091A">
              <w:rPr>
                <w:sz w:val="20"/>
                <w:szCs w:val="20"/>
              </w:rPr>
              <w:t>Approved with amendments</w:t>
            </w:r>
          </w:p>
        </w:tc>
        <w:tc>
          <w:tcPr>
            <w:tcW w:w="921" w:type="dxa"/>
            <w:tcBorders>
              <w:top w:val="single" w:sz="4" w:space="0" w:color="auto"/>
              <w:left w:val="single" w:sz="4" w:space="0" w:color="auto"/>
              <w:bottom w:val="single" w:sz="4" w:space="0" w:color="auto"/>
              <w:right w:val="single" w:sz="4" w:space="0" w:color="auto"/>
            </w:tcBorders>
            <w:vAlign w:val="center"/>
            <w:hideMark/>
          </w:tcPr>
          <w:p w14:paraId="002A889E" w14:textId="77777777" w:rsidR="007A6A1A" w:rsidRPr="00BC091A" w:rsidRDefault="007A6A1A" w:rsidP="007A6A1A">
            <w:pPr>
              <w:spacing w:after="0"/>
              <w:jc w:val="right"/>
              <w:rPr>
                <w:sz w:val="20"/>
                <w:szCs w:val="20"/>
              </w:rPr>
            </w:pPr>
            <w:r w:rsidRPr="00BC091A">
              <w:rPr>
                <w:sz w:val="20"/>
                <w:szCs w:val="20"/>
              </w:rPr>
              <w:t>1</w:t>
            </w:r>
          </w:p>
        </w:tc>
        <w:tc>
          <w:tcPr>
            <w:tcW w:w="921" w:type="dxa"/>
            <w:tcBorders>
              <w:top w:val="single" w:sz="4" w:space="0" w:color="auto"/>
              <w:left w:val="single" w:sz="4" w:space="0" w:color="auto"/>
              <w:bottom w:val="single" w:sz="4" w:space="0" w:color="auto"/>
              <w:right w:val="single" w:sz="4" w:space="0" w:color="auto"/>
            </w:tcBorders>
            <w:vAlign w:val="center"/>
            <w:hideMark/>
          </w:tcPr>
          <w:p w14:paraId="7AC7BA1C" w14:textId="77777777" w:rsidR="007A6A1A" w:rsidRPr="00BC091A" w:rsidRDefault="007A6A1A" w:rsidP="007A6A1A">
            <w:pPr>
              <w:spacing w:after="0"/>
              <w:jc w:val="right"/>
              <w:rPr>
                <w:sz w:val="20"/>
                <w:szCs w:val="20"/>
              </w:rPr>
            </w:pPr>
            <w:r w:rsidRPr="00BC091A">
              <w:rPr>
                <w:sz w:val="20"/>
                <w:szCs w:val="20"/>
              </w:rPr>
              <w:t>0.1%</w:t>
            </w:r>
          </w:p>
        </w:tc>
        <w:tc>
          <w:tcPr>
            <w:tcW w:w="921" w:type="dxa"/>
            <w:tcBorders>
              <w:top w:val="single" w:sz="4" w:space="0" w:color="auto"/>
              <w:left w:val="single" w:sz="4" w:space="0" w:color="auto"/>
              <w:bottom w:val="single" w:sz="4" w:space="0" w:color="auto"/>
              <w:right w:val="single" w:sz="4" w:space="0" w:color="auto"/>
            </w:tcBorders>
            <w:vAlign w:val="center"/>
            <w:hideMark/>
          </w:tcPr>
          <w:p w14:paraId="5B3BC486" w14:textId="77777777" w:rsidR="007A6A1A" w:rsidRPr="00BC091A" w:rsidRDefault="007A6A1A" w:rsidP="007A6A1A">
            <w:pPr>
              <w:spacing w:after="0"/>
              <w:jc w:val="right"/>
              <w:rPr>
                <w:sz w:val="20"/>
                <w:szCs w:val="20"/>
              </w:rPr>
            </w:pPr>
            <w:r w:rsidRPr="00BC091A">
              <w:rPr>
                <w:sz w:val="20"/>
                <w:szCs w:val="20"/>
              </w:rPr>
              <w:t>0</w:t>
            </w:r>
          </w:p>
        </w:tc>
        <w:tc>
          <w:tcPr>
            <w:tcW w:w="922" w:type="dxa"/>
            <w:tcBorders>
              <w:top w:val="single" w:sz="4" w:space="0" w:color="auto"/>
              <w:left w:val="single" w:sz="4" w:space="0" w:color="auto"/>
              <w:bottom w:val="single" w:sz="4" w:space="0" w:color="auto"/>
              <w:right w:val="single" w:sz="4" w:space="0" w:color="auto"/>
            </w:tcBorders>
            <w:vAlign w:val="center"/>
            <w:hideMark/>
          </w:tcPr>
          <w:p w14:paraId="1EEF36C0" w14:textId="77777777" w:rsidR="007A6A1A" w:rsidRPr="00BC091A" w:rsidRDefault="007A6A1A" w:rsidP="007A6A1A">
            <w:pPr>
              <w:spacing w:after="0"/>
              <w:jc w:val="right"/>
              <w:rPr>
                <w:sz w:val="20"/>
                <w:szCs w:val="20"/>
              </w:rPr>
            </w:pPr>
            <w:r w:rsidRPr="00BC091A">
              <w:rPr>
                <w:sz w:val="20"/>
                <w:szCs w:val="20"/>
              </w:rPr>
              <w:t>0.0%</w:t>
            </w:r>
          </w:p>
        </w:tc>
        <w:tc>
          <w:tcPr>
            <w:tcW w:w="921" w:type="dxa"/>
            <w:tcBorders>
              <w:top w:val="single" w:sz="4" w:space="0" w:color="auto"/>
              <w:left w:val="single" w:sz="4" w:space="0" w:color="auto"/>
              <w:bottom w:val="single" w:sz="4" w:space="0" w:color="auto"/>
              <w:right w:val="single" w:sz="4" w:space="0" w:color="auto"/>
            </w:tcBorders>
            <w:vAlign w:val="center"/>
            <w:hideMark/>
          </w:tcPr>
          <w:p w14:paraId="5A143712" w14:textId="77777777" w:rsidR="007A6A1A" w:rsidRPr="00BC091A" w:rsidRDefault="007A6A1A" w:rsidP="007A6A1A">
            <w:pPr>
              <w:spacing w:after="0"/>
              <w:jc w:val="right"/>
              <w:rPr>
                <w:sz w:val="20"/>
                <w:szCs w:val="20"/>
              </w:rPr>
            </w:pPr>
            <w:r w:rsidRPr="00BC091A">
              <w:rPr>
                <w:sz w:val="20"/>
                <w:szCs w:val="20"/>
              </w:rPr>
              <w:t>19</w:t>
            </w:r>
          </w:p>
        </w:tc>
        <w:tc>
          <w:tcPr>
            <w:tcW w:w="921" w:type="dxa"/>
            <w:tcBorders>
              <w:top w:val="single" w:sz="4" w:space="0" w:color="auto"/>
              <w:left w:val="single" w:sz="4" w:space="0" w:color="auto"/>
              <w:bottom w:val="single" w:sz="4" w:space="0" w:color="auto"/>
              <w:right w:val="single" w:sz="4" w:space="0" w:color="auto"/>
            </w:tcBorders>
            <w:vAlign w:val="center"/>
            <w:hideMark/>
          </w:tcPr>
          <w:p w14:paraId="549186C7" w14:textId="77777777" w:rsidR="007A6A1A" w:rsidRPr="00BC091A" w:rsidRDefault="007A6A1A" w:rsidP="007A6A1A">
            <w:pPr>
              <w:spacing w:after="0"/>
              <w:jc w:val="right"/>
              <w:rPr>
                <w:sz w:val="20"/>
                <w:szCs w:val="20"/>
              </w:rPr>
            </w:pPr>
            <w:r w:rsidRPr="00BC091A">
              <w:rPr>
                <w:sz w:val="20"/>
                <w:szCs w:val="20"/>
              </w:rPr>
              <w:t>0.2%</w:t>
            </w:r>
          </w:p>
        </w:tc>
        <w:tc>
          <w:tcPr>
            <w:tcW w:w="921" w:type="dxa"/>
            <w:tcBorders>
              <w:top w:val="single" w:sz="4" w:space="0" w:color="auto"/>
              <w:left w:val="single" w:sz="4" w:space="0" w:color="auto"/>
              <w:bottom w:val="single" w:sz="4" w:space="0" w:color="auto"/>
              <w:right w:val="single" w:sz="4" w:space="0" w:color="auto"/>
            </w:tcBorders>
            <w:vAlign w:val="center"/>
            <w:hideMark/>
          </w:tcPr>
          <w:p w14:paraId="6DEC66F1" w14:textId="77777777" w:rsidR="007A6A1A" w:rsidRPr="00BC091A" w:rsidRDefault="007A6A1A" w:rsidP="007A6A1A">
            <w:pPr>
              <w:spacing w:after="0"/>
              <w:jc w:val="right"/>
              <w:rPr>
                <w:sz w:val="20"/>
                <w:szCs w:val="20"/>
              </w:rPr>
            </w:pPr>
            <w:r w:rsidRPr="00BC091A">
              <w:rPr>
                <w:sz w:val="20"/>
                <w:szCs w:val="20"/>
              </w:rPr>
              <w:t>20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13625E9" w14:textId="77777777" w:rsidR="007A6A1A" w:rsidRPr="00BC091A" w:rsidRDefault="007A6A1A" w:rsidP="007A6A1A">
            <w:pPr>
              <w:spacing w:after="0"/>
              <w:jc w:val="right"/>
              <w:rPr>
                <w:sz w:val="20"/>
                <w:szCs w:val="20"/>
              </w:rPr>
            </w:pPr>
            <w:r w:rsidRPr="00BC091A">
              <w:rPr>
                <w:sz w:val="20"/>
                <w:szCs w:val="20"/>
              </w:rPr>
              <w:t>0.1%</w:t>
            </w:r>
          </w:p>
        </w:tc>
      </w:tr>
      <w:tr w:rsidR="007A6A1A" w:rsidRPr="00167CB8" w14:paraId="651BBE69"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383800CF" w14:textId="77777777" w:rsidR="007A6A1A" w:rsidRPr="00BC091A" w:rsidRDefault="007A6A1A" w:rsidP="007A6A1A">
            <w:pPr>
              <w:spacing w:after="0"/>
              <w:rPr>
                <w:sz w:val="20"/>
                <w:szCs w:val="20"/>
              </w:rPr>
            </w:pPr>
            <w:r w:rsidRPr="00BC091A">
              <w:rPr>
                <w:sz w:val="20"/>
                <w:szCs w:val="20"/>
              </w:rPr>
              <w:t>Approved with undertakings</w:t>
            </w:r>
          </w:p>
        </w:tc>
        <w:tc>
          <w:tcPr>
            <w:tcW w:w="921" w:type="dxa"/>
            <w:tcBorders>
              <w:top w:val="single" w:sz="4" w:space="0" w:color="auto"/>
              <w:left w:val="single" w:sz="4" w:space="0" w:color="auto"/>
              <w:bottom w:val="single" w:sz="4" w:space="0" w:color="auto"/>
              <w:right w:val="single" w:sz="4" w:space="0" w:color="auto"/>
            </w:tcBorders>
            <w:vAlign w:val="center"/>
            <w:hideMark/>
          </w:tcPr>
          <w:p w14:paraId="5783D872" w14:textId="77777777" w:rsidR="007A6A1A" w:rsidRPr="00BC091A" w:rsidRDefault="007A6A1A" w:rsidP="007A6A1A">
            <w:pPr>
              <w:spacing w:after="0"/>
              <w:jc w:val="right"/>
              <w:rPr>
                <w:sz w:val="20"/>
                <w:szCs w:val="20"/>
              </w:rPr>
            </w:pPr>
            <w:r w:rsidRPr="00BC091A">
              <w:rPr>
                <w:sz w:val="20"/>
                <w:szCs w:val="20"/>
              </w:rPr>
              <w:t>178</w:t>
            </w:r>
          </w:p>
        </w:tc>
        <w:tc>
          <w:tcPr>
            <w:tcW w:w="921" w:type="dxa"/>
            <w:tcBorders>
              <w:top w:val="single" w:sz="4" w:space="0" w:color="auto"/>
              <w:left w:val="single" w:sz="4" w:space="0" w:color="auto"/>
              <w:bottom w:val="single" w:sz="4" w:space="0" w:color="auto"/>
              <w:right w:val="single" w:sz="4" w:space="0" w:color="auto"/>
            </w:tcBorders>
            <w:vAlign w:val="center"/>
            <w:hideMark/>
          </w:tcPr>
          <w:p w14:paraId="78135FAF" w14:textId="77777777" w:rsidR="007A6A1A" w:rsidRPr="00BC091A" w:rsidRDefault="007A6A1A" w:rsidP="007A6A1A">
            <w:pPr>
              <w:spacing w:after="0"/>
              <w:jc w:val="right"/>
              <w:rPr>
                <w:sz w:val="20"/>
                <w:szCs w:val="20"/>
              </w:rPr>
            </w:pPr>
            <w:r w:rsidRPr="00BC091A">
              <w:rPr>
                <w:sz w:val="20"/>
                <w:szCs w:val="20"/>
              </w:rPr>
              <w:t>18.4%</w:t>
            </w:r>
          </w:p>
        </w:tc>
        <w:tc>
          <w:tcPr>
            <w:tcW w:w="921" w:type="dxa"/>
            <w:tcBorders>
              <w:top w:val="single" w:sz="4" w:space="0" w:color="auto"/>
              <w:left w:val="single" w:sz="4" w:space="0" w:color="auto"/>
              <w:bottom w:val="single" w:sz="4" w:space="0" w:color="auto"/>
              <w:right w:val="single" w:sz="4" w:space="0" w:color="auto"/>
            </w:tcBorders>
            <w:vAlign w:val="center"/>
            <w:hideMark/>
          </w:tcPr>
          <w:p w14:paraId="1A4AA75A" w14:textId="77777777" w:rsidR="007A6A1A" w:rsidRPr="00BC091A" w:rsidRDefault="007A6A1A" w:rsidP="007A6A1A">
            <w:pPr>
              <w:spacing w:after="0"/>
              <w:jc w:val="right"/>
              <w:rPr>
                <w:sz w:val="20"/>
                <w:szCs w:val="20"/>
              </w:rPr>
            </w:pPr>
            <w:r w:rsidRPr="00BC091A">
              <w:rPr>
                <w:sz w:val="20"/>
                <w:szCs w:val="20"/>
              </w:rPr>
              <w:t>60</w:t>
            </w:r>
          </w:p>
        </w:tc>
        <w:tc>
          <w:tcPr>
            <w:tcW w:w="922" w:type="dxa"/>
            <w:tcBorders>
              <w:top w:val="single" w:sz="4" w:space="0" w:color="auto"/>
              <w:left w:val="single" w:sz="4" w:space="0" w:color="auto"/>
              <w:bottom w:val="single" w:sz="4" w:space="0" w:color="auto"/>
              <w:right w:val="single" w:sz="4" w:space="0" w:color="auto"/>
            </w:tcBorders>
            <w:vAlign w:val="center"/>
            <w:hideMark/>
          </w:tcPr>
          <w:p w14:paraId="3D02D507" w14:textId="77777777" w:rsidR="007A6A1A" w:rsidRPr="00BC091A" w:rsidRDefault="007A6A1A" w:rsidP="007A6A1A">
            <w:pPr>
              <w:spacing w:after="0"/>
              <w:jc w:val="right"/>
              <w:rPr>
                <w:sz w:val="20"/>
                <w:szCs w:val="20"/>
              </w:rPr>
            </w:pPr>
            <w:r w:rsidRPr="00BC091A">
              <w:rPr>
                <w:sz w:val="20"/>
                <w:szCs w:val="20"/>
              </w:rPr>
              <w:t>57.1%</w:t>
            </w:r>
          </w:p>
        </w:tc>
        <w:tc>
          <w:tcPr>
            <w:tcW w:w="921" w:type="dxa"/>
            <w:tcBorders>
              <w:top w:val="single" w:sz="4" w:space="0" w:color="auto"/>
              <w:left w:val="single" w:sz="4" w:space="0" w:color="auto"/>
              <w:bottom w:val="single" w:sz="4" w:space="0" w:color="auto"/>
              <w:right w:val="single" w:sz="4" w:space="0" w:color="auto"/>
            </w:tcBorders>
            <w:vAlign w:val="center"/>
            <w:hideMark/>
          </w:tcPr>
          <w:p w14:paraId="30B34343" w14:textId="77777777" w:rsidR="007A6A1A" w:rsidRPr="00BC091A" w:rsidRDefault="007A6A1A" w:rsidP="007A6A1A">
            <w:pPr>
              <w:spacing w:after="0"/>
              <w:jc w:val="right"/>
              <w:rPr>
                <w:sz w:val="20"/>
                <w:szCs w:val="20"/>
              </w:rPr>
            </w:pPr>
            <w:r w:rsidRPr="00BC091A">
              <w:rPr>
                <w:sz w:val="20"/>
                <w:szCs w:val="20"/>
              </w:rPr>
              <w:t>6034</w:t>
            </w:r>
          </w:p>
        </w:tc>
        <w:tc>
          <w:tcPr>
            <w:tcW w:w="921" w:type="dxa"/>
            <w:tcBorders>
              <w:top w:val="single" w:sz="4" w:space="0" w:color="auto"/>
              <w:left w:val="single" w:sz="4" w:space="0" w:color="auto"/>
              <w:bottom w:val="single" w:sz="4" w:space="0" w:color="auto"/>
              <w:right w:val="single" w:sz="4" w:space="0" w:color="auto"/>
            </w:tcBorders>
            <w:vAlign w:val="center"/>
            <w:hideMark/>
          </w:tcPr>
          <w:p w14:paraId="68283362" w14:textId="77777777" w:rsidR="007A6A1A" w:rsidRPr="00BC091A" w:rsidRDefault="007A6A1A" w:rsidP="007A6A1A">
            <w:pPr>
              <w:spacing w:after="0"/>
              <w:jc w:val="right"/>
              <w:rPr>
                <w:sz w:val="20"/>
                <w:szCs w:val="20"/>
              </w:rPr>
            </w:pPr>
            <w:r w:rsidRPr="00BC091A">
              <w:rPr>
                <w:sz w:val="20"/>
                <w:szCs w:val="20"/>
              </w:rPr>
              <w:t>48.6%</w:t>
            </w:r>
          </w:p>
        </w:tc>
        <w:tc>
          <w:tcPr>
            <w:tcW w:w="921" w:type="dxa"/>
            <w:tcBorders>
              <w:top w:val="single" w:sz="4" w:space="0" w:color="auto"/>
              <w:left w:val="single" w:sz="4" w:space="0" w:color="auto"/>
              <w:bottom w:val="single" w:sz="4" w:space="0" w:color="auto"/>
              <w:right w:val="single" w:sz="4" w:space="0" w:color="auto"/>
            </w:tcBorders>
            <w:vAlign w:val="center"/>
            <w:hideMark/>
          </w:tcPr>
          <w:p w14:paraId="694832D5" w14:textId="77777777" w:rsidR="007A6A1A" w:rsidRPr="00BC091A" w:rsidRDefault="007A6A1A" w:rsidP="007A6A1A">
            <w:pPr>
              <w:spacing w:after="0"/>
              <w:jc w:val="right"/>
              <w:rPr>
                <w:sz w:val="20"/>
                <w:szCs w:val="20"/>
              </w:rPr>
            </w:pPr>
            <w:r w:rsidRPr="00BC091A">
              <w:rPr>
                <w:sz w:val="20"/>
                <w:szCs w:val="20"/>
              </w:rPr>
              <w:t>6272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1D2F55D" w14:textId="77777777" w:rsidR="007A6A1A" w:rsidRPr="00BC091A" w:rsidRDefault="007A6A1A" w:rsidP="007A6A1A">
            <w:pPr>
              <w:spacing w:after="0"/>
              <w:jc w:val="right"/>
              <w:rPr>
                <w:sz w:val="20"/>
                <w:szCs w:val="20"/>
              </w:rPr>
            </w:pPr>
            <w:r w:rsidRPr="00BC091A">
              <w:rPr>
                <w:sz w:val="20"/>
                <w:szCs w:val="20"/>
              </w:rPr>
              <w:t>46.5%</w:t>
            </w:r>
          </w:p>
        </w:tc>
      </w:tr>
      <w:tr w:rsidR="007A6A1A" w:rsidRPr="00167CB8" w14:paraId="1D321A87"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7464A2E0" w14:textId="77777777" w:rsidR="007A6A1A" w:rsidRPr="00BC091A" w:rsidRDefault="007A6A1A" w:rsidP="007A6A1A">
            <w:pPr>
              <w:spacing w:after="0"/>
              <w:rPr>
                <w:sz w:val="20"/>
                <w:szCs w:val="20"/>
              </w:rPr>
            </w:pPr>
            <w:r w:rsidRPr="00BC091A">
              <w:rPr>
                <w:sz w:val="20"/>
                <w:szCs w:val="20"/>
              </w:rPr>
              <w:t>Approved with undertakings and amendments</w:t>
            </w:r>
          </w:p>
        </w:tc>
        <w:tc>
          <w:tcPr>
            <w:tcW w:w="921" w:type="dxa"/>
            <w:tcBorders>
              <w:top w:val="single" w:sz="4" w:space="0" w:color="auto"/>
              <w:left w:val="single" w:sz="4" w:space="0" w:color="auto"/>
              <w:bottom w:val="single" w:sz="4" w:space="0" w:color="auto"/>
              <w:right w:val="single" w:sz="4" w:space="0" w:color="auto"/>
            </w:tcBorders>
            <w:vAlign w:val="center"/>
            <w:hideMark/>
          </w:tcPr>
          <w:p w14:paraId="53C95852" w14:textId="77777777" w:rsidR="007A6A1A" w:rsidRPr="00BC091A" w:rsidRDefault="007A6A1A" w:rsidP="007A6A1A">
            <w:pPr>
              <w:spacing w:after="0"/>
              <w:jc w:val="right"/>
              <w:rPr>
                <w:sz w:val="20"/>
                <w:szCs w:val="20"/>
              </w:rPr>
            </w:pPr>
            <w:r w:rsidRPr="00BC091A">
              <w:rPr>
                <w:sz w:val="20"/>
                <w:szCs w:val="20"/>
              </w:rPr>
              <w:t>1</w:t>
            </w:r>
          </w:p>
        </w:tc>
        <w:tc>
          <w:tcPr>
            <w:tcW w:w="921" w:type="dxa"/>
            <w:tcBorders>
              <w:top w:val="single" w:sz="4" w:space="0" w:color="auto"/>
              <w:left w:val="single" w:sz="4" w:space="0" w:color="auto"/>
              <w:bottom w:val="single" w:sz="4" w:space="0" w:color="auto"/>
              <w:right w:val="single" w:sz="4" w:space="0" w:color="auto"/>
            </w:tcBorders>
            <w:vAlign w:val="center"/>
            <w:hideMark/>
          </w:tcPr>
          <w:p w14:paraId="6E4E1FD2" w14:textId="77777777" w:rsidR="007A6A1A" w:rsidRPr="00BC091A" w:rsidRDefault="007A6A1A" w:rsidP="007A6A1A">
            <w:pPr>
              <w:spacing w:after="0"/>
              <w:jc w:val="right"/>
              <w:rPr>
                <w:sz w:val="20"/>
                <w:szCs w:val="20"/>
              </w:rPr>
            </w:pPr>
            <w:r w:rsidRPr="00BC091A">
              <w:rPr>
                <w:sz w:val="20"/>
                <w:szCs w:val="20"/>
              </w:rPr>
              <w:t>0.1%</w:t>
            </w:r>
          </w:p>
        </w:tc>
        <w:tc>
          <w:tcPr>
            <w:tcW w:w="921" w:type="dxa"/>
            <w:tcBorders>
              <w:top w:val="single" w:sz="4" w:space="0" w:color="auto"/>
              <w:left w:val="single" w:sz="4" w:space="0" w:color="auto"/>
              <w:bottom w:val="single" w:sz="4" w:space="0" w:color="auto"/>
              <w:right w:val="single" w:sz="4" w:space="0" w:color="auto"/>
            </w:tcBorders>
            <w:vAlign w:val="center"/>
            <w:hideMark/>
          </w:tcPr>
          <w:p w14:paraId="4627B9EB" w14:textId="77777777" w:rsidR="007A6A1A" w:rsidRPr="00BC091A" w:rsidRDefault="007A6A1A" w:rsidP="007A6A1A">
            <w:pPr>
              <w:spacing w:after="0"/>
              <w:jc w:val="right"/>
              <w:rPr>
                <w:sz w:val="20"/>
                <w:szCs w:val="20"/>
              </w:rPr>
            </w:pPr>
            <w:r w:rsidRPr="00BC091A">
              <w:rPr>
                <w:sz w:val="20"/>
                <w:szCs w:val="20"/>
              </w:rPr>
              <w:t>0</w:t>
            </w:r>
          </w:p>
        </w:tc>
        <w:tc>
          <w:tcPr>
            <w:tcW w:w="922" w:type="dxa"/>
            <w:tcBorders>
              <w:top w:val="single" w:sz="4" w:space="0" w:color="auto"/>
              <w:left w:val="single" w:sz="4" w:space="0" w:color="auto"/>
              <w:bottom w:val="single" w:sz="4" w:space="0" w:color="auto"/>
              <w:right w:val="single" w:sz="4" w:space="0" w:color="auto"/>
            </w:tcBorders>
            <w:vAlign w:val="center"/>
            <w:hideMark/>
          </w:tcPr>
          <w:p w14:paraId="7D14454F" w14:textId="77777777" w:rsidR="007A6A1A" w:rsidRPr="00BC091A" w:rsidRDefault="007A6A1A" w:rsidP="007A6A1A">
            <w:pPr>
              <w:spacing w:after="0"/>
              <w:jc w:val="right"/>
              <w:rPr>
                <w:sz w:val="20"/>
                <w:szCs w:val="20"/>
              </w:rPr>
            </w:pPr>
            <w:r w:rsidRPr="00BC091A">
              <w:rPr>
                <w:sz w:val="20"/>
                <w:szCs w:val="20"/>
              </w:rPr>
              <w:t>0.0%</w:t>
            </w:r>
          </w:p>
        </w:tc>
        <w:tc>
          <w:tcPr>
            <w:tcW w:w="921" w:type="dxa"/>
            <w:tcBorders>
              <w:top w:val="single" w:sz="4" w:space="0" w:color="auto"/>
              <w:left w:val="single" w:sz="4" w:space="0" w:color="auto"/>
              <w:bottom w:val="single" w:sz="4" w:space="0" w:color="auto"/>
              <w:right w:val="single" w:sz="4" w:space="0" w:color="auto"/>
            </w:tcBorders>
            <w:vAlign w:val="center"/>
            <w:hideMark/>
          </w:tcPr>
          <w:p w14:paraId="0DB3D8D8" w14:textId="77777777" w:rsidR="007A6A1A" w:rsidRPr="00BC091A" w:rsidRDefault="007A6A1A" w:rsidP="007A6A1A">
            <w:pPr>
              <w:spacing w:after="0"/>
              <w:jc w:val="right"/>
              <w:rPr>
                <w:sz w:val="20"/>
                <w:szCs w:val="20"/>
              </w:rPr>
            </w:pPr>
            <w:r w:rsidRPr="00BC091A">
              <w:rPr>
                <w:sz w:val="20"/>
                <w:szCs w:val="20"/>
              </w:rPr>
              <w:t>19</w:t>
            </w:r>
          </w:p>
        </w:tc>
        <w:tc>
          <w:tcPr>
            <w:tcW w:w="921" w:type="dxa"/>
            <w:tcBorders>
              <w:top w:val="single" w:sz="4" w:space="0" w:color="auto"/>
              <w:left w:val="single" w:sz="4" w:space="0" w:color="auto"/>
              <w:bottom w:val="single" w:sz="4" w:space="0" w:color="auto"/>
              <w:right w:val="single" w:sz="4" w:space="0" w:color="auto"/>
            </w:tcBorders>
            <w:vAlign w:val="center"/>
            <w:hideMark/>
          </w:tcPr>
          <w:p w14:paraId="479294BC" w14:textId="77777777" w:rsidR="007A6A1A" w:rsidRPr="00BC091A" w:rsidRDefault="007A6A1A" w:rsidP="007A6A1A">
            <w:pPr>
              <w:spacing w:after="0"/>
              <w:jc w:val="right"/>
              <w:rPr>
                <w:sz w:val="20"/>
                <w:szCs w:val="20"/>
              </w:rPr>
            </w:pPr>
            <w:r w:rsidRPr="00BC091A">
              <w:rPr>
                <w:sz w:val="20"/>
                <w:szCs w:val="20"/>
              </w:rPr>
              <w:t>0.2%</w:t>
            </w:r>
          </w:p>
        </w:tc>
        <w:tc>
          <w:tcPr>
            <w:tcW w:w="921" w:type="dxa"/>
            <w:tcBorders>
              <w:top w:val="single" w:sz="4" w:space="0" w:color="auto"/>
              <w:left w:val="single" w:sz="4" w:space="0" w:color="auto"/>
              <w:bottom w:val="single" w:sz="4" w:space="0" w:color="auto"/>
              <w:right w:val="single" w:sz="4" w:space="0" w:color="auto"/>
            </w:tcBorders>
            <w:vAlign w:val="center"/>
            <w:hideMark/>
          </w:tcPr>
          <w:p w14:paraId="5D60C7F6" w14:textId="77777777" w:rsidR="007A6A1A" w:rsidRPr="00BC091A" w:rsidRDefault="007A6A1A" w:rsidP="007A6A1A">
            <w:pPr>
              <w:spacing w:after="0"/>
              <w:jc w:val="right"/>
              <w:rPr>
                <w:sz w:val="20"/>
                <w:szCs w:val="20"/>
              </w:rPr>
            </w:pPr>
            <w:r w:rsidRPr="00BC091A">
              <w:rPr>
                <w:sz w:val="20"/>
                <w:szCs w:val="20"/>
              </w:rPr>
              <w:t>20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4E41623" w14:textId="77777777" w:rsidR="007A6A1A" w:rsidRPr="00BC091A" w:rsidRDefault="007A6A1A" w:rsidP="007A6A1A">
            <w:pPr>
              <w:spacing w:after="0"/>
              <w:jc w:val="right"/>
              <w:rPr>
                <w:sz w:val="20"/>
                <w:szCs w:val="20"/>
              </w:rPr>
            </w:pPr>
            <w:r w:rsidRPr="00BC091A">
              <w:rPr>
                <w:sz w:val="20"/>
                <w:szCs w:val="20"/>
              </w:rPr>
              <w:t>0.1%</w:t>
            </w:r>
          </w:p>
        </w:tc>
      </w:tr>
      <w:tr w:rsidR="007A6A1A" w:rsidRPr="00167CB8" w14:paraId="6588C267"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26307068" w14:textId="77777777" w:rsidR="007A6A1A" w:rsidRPr="00BC091A" w:rsidRDefault="007A6A1A" w:rsidP="007A6A1A">
            <w:pPr>
              <w:spacing w:after="0"/>
              <w:rPr>
                <w:sz w:val="20"/>
                <w:szCs w:val="20"/>
              </w:rPr>
            </w:pPr>
            <w:r w:rsidRPr="00BC091A">
              <w:rPr>
                <w:sz w:val="20"/>
                <w:szCs w:val="20"/>
              </w:rPr>
              <w:t>Not approved</w:t>
            </w:r>
          </w:p>
        </w:tc>
        <w:tc>
          <w:tcPr>
            <w:tcW w:w="921" w:type="dxa"/>
            <w:tcBorders>
              <w:top w:val="single" w:sz="4" w:space="0" w:color="auto"/>
              <w:left w:val="single" w:sz="4" w:space="0" w:color="auto"/>
              <w:bottom w:val="single" w:sz="4" w:space="0" w:color="auto"/>
              <w:right w:val="single" w:sz="4" w:space="0" w:color="auto"/>
            </w:tcBorders>
            <w:vAlign w:val="center"/>
            <w:hideMark/>
          </w:tcPr>
          <w:p w14:paraId="2B550493" w14:textId="77777777" w:rsidR="007A6A1A" w:rsidRPr="00BC091A" w:rsidRDefault="007A6A1A" w:rsidP="007A6A1A">
            <w:pPr>
              <w:spacing w:after="0"/>
              <w:jc w:val="right"/>
              <w:rPr>
                <w:sz w:val="20"/>
                <w:szCs w:val="20"/>
              </w:rPr>
            </w:pPr>
            <w:r w:rsidRPr="00BC091A">
              <w:rPr>
                <w:sz w:val="20"/>
                <w:szCs w:val="20"/>
              </w:rPr>
              <w:t>4</w:t>
            </w:r>
          </w:p>
        </w:tc>
        <w:tc>
          <w:tcPr>
            <w:tcW w:w="921" w:type="dxa"/>
            <w:tcBorders>
              <w:top w:val="single" w:sz="4" w:space="0" w:color="auto"/>
              <w:left w:val="single" w:sz="4" w:space="0" w:color="auto"/>
              <w:bottom w:val="single" w:sz="4" w:space="0" w:color="auto"/>
              <w:right w:val="single" w:sz="4" w:space="0" w:color="auto"/>
            </w:tcBorders>
            <w:vAlign w:val="center"/>
            <w:hideMark/>
          </w:tcPr>
          <w:p w14:paraId="779D371E" w14:textId="77777777" w:rsidR="007A6A1A" w:rsidRPr="00BC091A" w:rsidRDefault="007A6A1A" w:rsidP="007A6A1A">
            <w:pPr>
              <w:spacing w:after="0"/>
              <w:jc w:val="right"/>
              <w:rPr>
                <w:sz w:val="20"/>
                <w:szCs w:val="20"/>
              </w:rPr>
            </w:pPr>
            <w:r w:rsidRPr="00BC091A">
              <w:rPr>
                <w:sz w:val="20"/>
                <w:szCs w:val="20"/>
              </w:rPr>
              <w:t>0.4%</w:t>
            </w:r>
          </w:p>
        </w:tc>
        <w:tc>
          <w:tcPr>
            <w:tcW w:w="921" w:type="dxa"/>
            <w:tcBorders>
              <w:top w:val="single" w:sz="4" w:space="0" w:color="auto"/>
              <w:left w:val="single" w:sz="4" w:space="0" w:color="auto"/>
              <w:bottom w:val="single" w:sz="4" w:space="0" w:color="auto"/>
              <w:right w:val="single" w:sz="4" w:space="0" w:color="auto"/>
            </w:tcBorders>
            <w:vAlign w:val="center"/>
            <w:hideMark/>
          </w:tcPr>
          <w:p w14:paraId="6558712F" w14:textId="77777777" w:rsidR="007A6A1A" w:rsidRPr="00BC091A" w:rsidRDefault="007A6A1A" w:rsidP="007A6A1A">
            <w:pPr>
              <w:spacing w:after="0"/>
              <w:jc w:val="right"/>
              <w:rPr>
                <w:sz w:val="20"/>
                <w:szCs w:val="20"/>
              </w:rPr>
            </w:pPr>
            <w:r w:rsidRPr="00BC091A">
              <w:rPr>
                <w:sz w:val="20"/>
                <w:szCs w:val="20"/>
              </w:rPr>
              <w:t>1</w:t>
            </w:r>
          </w:p>
        </w:tc>
        <w:tc>
          <w:tcPr>
            <w:tcW w:w="922" w:type="dxa"/>
            <w:tcBorders>
              <w:top w:val="single" w:sz="4" w:space="0" w:color="auto"/>
              <w:left w:val="single" w:sz="4" w:space="0" w:color="auto"/>
              <w:bottom w:val="single" w:sz="4" w:space="0" w:color="auto"/>
              <w:right w:val="single" w:sz="4" w:space="0" w:color="auto"/>
            </w:tcBorders>
            <w:vAlign w:val="center"/>
            <w:hideMark/>
          </w:tcPr>
          <w:p w14:paraId="0CFAF883" w14:textId="77777777" w:rsidR="007A6A1A" w:rsidRPr="00BC091A" w:rsidRDefault="007A6A1A" w:rsidP="007A6A1A">
            <w:pPr>
              <w:spacing w:after="0"/>
              <w:jc w:val="right"/>
              <w:rPr>
                <w:sz w:val="20"/>
                <w:szCs w:val="20"/>
              </w:rPr>
            </w:pPr>
            <w:r w:rsidRPr="00BC091A">
              <w:rPr>
                <w:sz w:val="20"/>
                <w:szCs w:val="20"/>
              </w:rPr>
              <w:t>1.0%</w:t>
            </w:r>
          </w:p>
        </w:tc>
        <w:tc>
          <w:tcPr>
            <w:tcW w:w="921" w:type="dxa"/>
            <w:tcBorders>
              <w:top w:val="single" w:sz="4" w:space="0" w:color="auto"/>
              <w:left w:val="single" w:sz="4" w:space="0" w:color="auto"/>
              <w:bottom w:val="single" w:sz="4" w:space="0" w:color="auto"/>
              <w:right w:val="single" w:sz="4" w:space="0" w:color="auto"/>
            </w:tcBorders>
            <w:vAlign w:val="center"/>
            <w:hideMark/>
          </w:tcPr>
          <w:p w14:paraId="131C644D" w14:textId="77777777" w:rsidR="007A6A1A" w:rsidRPr="00BC091A" w:rsidRDefault="007A6A1A" w:rsidP="007A6A1A">
            <w:pPr>
              <w:spacing w:after="0"/>
              <w:jc w:val="right"/>
              <w:rPr>
                <w:sz w:val="20"/>
                <w:szCs w:val="20"/>
              </w:rPr>
            </w:pPr>
            <w:r w:rsidRPr="00BC091A">
              <w:rPr>
                <w:sz w:val="20"/>
                <w:szCs w:val="20"/>
              </w:rPr>
              <w:t>63</w:t>
            </w:r>
          </w:p>
        </w:tc>
        <w:tc>
          <w:tcPr>
            <w:tcW w:w="921" w:type="dxa"/>
            <w:tcBorders>
              <w:top w:val="single" w:sz="4" w:space="0" w:color="auto"/>
              <w:left w:val="single" w:sz="4" w:space="0" w:color="auto"/>
              <w:bottom w:val="single" w:sz="4" w:space="0" w:color="auto"/>
              <w:right w:val="single" w:sz="4" w:space="0" w:color="auto"/>
            </w:tcBorders>
            <w:vAlign w:val="center"/>
            <w:hideMark/>
          </w:tcPr>
          <w:p w14:paraId="4340A5FB" w14:textId="77777777" w:rsidR="007A6A1A" w:rsidRPr="00BC091A" w:rsidRDefault="007A6A1A" w:rsidP="007A6A1A">
            <w:pPr>
              <w:spacing w:after="0"/>
              <w:jc w:val="right"/>
              <w:rPr>
                <w:sz w:val="20"/>
                <w:szCs w:val="20"/>
              </w:rPr>
            </w:pPr>
            <w:r w:rsidRPr="00BC091A">
              <w:rPr>
                <w:sz w:val="20"/>
                <w:szCs w:val="20"/>
              </w:rPr>
              <w:t>0.5%</w:t>
            </w:r>
          </w:p>
        </w:tc>
        <w:tc>
          <w:tcPr>
            <w:tcW w:w="921" w:type="dxa"/>
            <w:tcBorders>
              <w:top w:val="single" w:sz="4" w:space="0" w:color="auto"/>
              <w:left w:val="single" w:sz="4" w:space="0" w:color="auto"/>
              <w:bottom w:val="single" w:sz="4" w:space="0" w:color="auto"/>
              <w:right w:val="single" w:sz="4" w:space="0" w:color="auto"/>
            </w:tcBorders>
            <w:vAlign w:val="center"/>
            <w:hideMark/>
          </w:tcPr>
          <w:p w14:paraId="222C5704" w14:textId="77777777" w:rsidR="007A6A1A" w:rsidRPr="00BC091A" w:rsidRDefault="007A6A1A" w:rsidP="007A6A1A">
            <w:pPr>
              <w:spacing w:after="0"/>
              <w:jc w:val="right"/>
              <w:rPr>
                <w:sz w:val="20"/>
                <w:szCs w:val="20"/>
              </w:rPr>
            </w:pPr>
            <w:r w:rsidRPr="00BC091A">
              <w:rPr>
                <w:sz w:val="20"/>
                <w:szCs w:val="20"/>
              </w:rPr>
              <w:t>68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A12FD36" w14:textId="77777777" w:rsidR="007A6A1A" w:rsidRPr="00BC091A" w:rsidRDefault="007A6A1A" w:rsidP="007A6A1A">
            <w:pPr>
              <w:spacing w:after="0"/>
              <w:jc w:val="right"/>
              <w:rPr>
                <w:sz w:val="20"/>
                <w:szCs w:val="20"/>
              </w:rPr>
            </w:pPr>
            <w:r w:rsidRPr="00BC091A">
              <w:rPr>
                <w:sz w:val="20"/>
                <w:szCs w:val="20"/>
              </w:rPr>
              <w:t>0.5%</w:t>
            </w:r>
          </w:p>
        </w:tc>
      </w:tr>
      <w:tr w:rsidR="007A6A1A" w:rsidRPr="00167CB8" w14:paraId="1A3758DB"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4A96D5B0" w14:textId="77777777" w:rsidR="007A6A1A" w:rsidRPr="00BC091A" w:rsidRDefault="007A6A1A" w:rsidP="007A6A1A">
            <w:pPr>
              <w:spacing w:after="0"/>
              <w:rPr>
                <w:sz w:val="20"/>
                <w:szCs w:val="20"/>
              </w:rPr>
            </w:pPr>
            <w:r w:rsidRPr="00BC091A">
              <w:rPr>
                <w:sz w:val="20"/>
                <w:szCs w:val="20"/>
              </w:rPr>
              <w:t>Other (includes dismissed and withdrawn)</w:t>
            </w:r>
          </w:p>
        </w:tc>
        <w:tc>
          <w:tcPr>
            <w:tcW w:w="921" w:type="dxa"/>
            <w:tcBorders>
              <w:top w:val="single" w:sz="4" w:space="0" w:color="auto"/>
              <w:left w:val="single" w:sz="4" w:space="0" w:color="auto"/>
              <w:bottom w:val="single" w:sz="4" w:space="0" w:color="auto"/>
              <w:right w:val="single" w:sz="4" w:space="0" w:color="auto"/>
            </w:tcBorders>
            <w:vAlign w:val="center"/>
            <w:hideMark/>
          </w:tcPr>
          <w:p w14:paraId="1790ACD6" w14:textId="77777777" w:rsidR="007A6A1A" w:rsidRPr="00BC091A" w:rsidRDefault="007A6A1A" w:rsidP="007A6A1A">
            <w:pPr>
              <w:spacing w:after="0"/>
              <w:jc w:val="right"/>
              <w:rPr>
                <w:sz w:val="20"/>
                <w:szCs w:val="20"/>
              </w:rPr>
            </w:pPr>
            <w:r w:rsidRPr="00BC091A">
              <w:rPr>
                <w:sz w:val="20"/>
                <w:szCs w:val="20"/>
              </w:rPr>
              <w:t>43</w:t>
            </w:r>
          </w:p>
        </w:tc>
        <w:tc>
          <w:tcPr>
            <w:tcW w:w="921" w:type="dxa"/>
            <w:tcBorders>
              <w:top w:val="single" w:sz="4" w:space="0" w:color="auto"/>
              <w:left w:val="single" w:sz="4" w:space="0" w:color="auto"/>
              <w:bottom w:val="single" w:sz="4" w:space="0" w:color="auto"/>
              <w:right w:val="single" w:sz="4" w:space="0" w:color="auto"/>
            </w:tcBorders>
            <w:vAlign w:val="center"/>
            <w:hideMark/>
          </w:tcPr>
          <w:p w14:paraId="244356CD" w14:textId="77777777" w:rsidR="007A6A1A" w:rsidRPr="00BC091A" w:rsidRDefault="007A6A1A" w:rsidP="007A6A1A">
            <w:pPr>
              <w:spacing w:after="0"/>
              <w:jc w:val="right"/>
              <w:rPr>
                <w:sz w:val="20"/>
                <w:szCs w:val="20"/>
              </w:rPr>
            </w:pPr>
            <w:r w:rsidRPr="00BC091A">
              <w:rPr>
                <w:sz w:val="20"/>
                <w:szCs w:val="20"/>
              </w:rPr>
              <w:t>4.4%</w:t>
            </w:r>
          </w:p>
        </w:tc>
        <w:tc>
          <w:tcPr>
            <w:tcW w:w="921" w:type="dxa"/>
            <w:tcBorders>
              <w:top w:val="single" w:sz="4" w:space="0" w:color="auto"/>
              <w:left w:val="single" w:sz="4" w:space="0" w:color="auto"/>
              <w:bottom w:val="single" w:sz="4" w:space="0" w:color="auto"/>
              <w:right w:val="single" w:sz="4" w:space="0" w:color="auto"/>
            </w:tcBorders>
            <w:vAlign w:val="center"/>
            <w:hideMark/>
          </w:tcPr>
          <w:p w14:paraId="4665ADC5" w14:textId="77777777" w:rsidR="007A6A1A" w:rsidRPr="00BC091A" w:rsidRDefault="007A6A1A" w:rsidP="007A6A1A">
            <w:pPr>
              <w:spacing w:after="0"/>
              <w:jc w:val="right"/>
              <w:rPr>
                <w:sz w:val="20"/>
                <w:szCs w:val="20"/>
              </w:rPr>
            </w:pPr>
            <w:r w:rsidRPr="00BC091A">
              <w:rPr>
                <w:sz w:val="20"/>
                <w:szCs w:val="20"/>
              </w:rPr>
              <w:t>12</w:t>
            </w:r>
          </w:p>
        </w:tc>
        <w:tc>
          <w:tcPr>
            <w:tcW w:w="922" w:type="dxa"/>
            <w:tcBorders>
              <w:top w:val="single" w:sz="4" w:space="0" w:color="auto"/>
              <w:left w:val="single" w:sz="4" w:space="0" w:color="auto"/>
              <w:bottom w:val="single" w:sz="4" w:space="0" w:color="auto"/>
              <w:right w:val="single" w:sz="4" w:space="0" w:color="auto"/>
            </w:tcBorders>
            <w:vAlign w:val="center"/>
            <w:hideMark/>
          </w:tcPr>
          <w:p w14:paraId="45C83A5B" w14:textId="77777777" w:rsidR="007A6A1A" w:rsidRPr="00BC091A" w:rsidRDefault="007A6A1A" w:rsidP="007A6A1A">
            <w:pPr>
              <w:spacing w:after="0"/>
              <w:jc w:val="right"/>
              <w:rPr>
                <w:sz w:val="20"/>
                <w:szCs w:val="20"/>
              </w:rPr>
            </w:pPr>
            <w:r w:rsidRPr="00BC091A">
              <w:rPr>
                <w:sz w:val="20"/>
                <w:szCs w:val="20"/>
              </w:rPr>
              <w:t>11.4%</w:t>
            </w:r>
          </w:p>
        </w:tc>
        <w:tc>
          <w:tcPr>
            <w:tcW w:w="921" w:type="dxa"/>
            <w:tcBorders>
              <w:top w:val="single" w:sz="4" w:space="0" w:color="auto"/>
              <w:left w:val="single" w:sz="4" w:space="0" w:color="auto"/>
              <w:bottom w:val="single" w:sz="4" w:space="0" w:color="auto"/>
              <w:right w:val="single" w:sz="4" w:space="0" w:color="auto"/>
            </w:tcBorders>
            <w:vAlign w:val="center"/>
            <w:hideMark/>
          </w:tcPr>
          <w:p w14:paraId="2D737C18" w14:textId="77777777" w:rsidR="007A6A1A" w:rsidRPr="00BC091A" w:rsidRDefault="007A6A1A" w:rsidP="007A6A1A">
            <w:pPr>
              <w:spacing w:after="0"/>
              <w:jc w:val="right"/>
              <w:rPr>
                <w:sz w:val="20"/>
                <w:szCs w:val="20"/>
              </w:rPr>
            </w:pPr>
            <w:r w:rsidRPr="00BC091A">
              <w:rPr>
                <w:sz w:val="20"/>
                <w:szCs w:val="20"/>
              </w:rPr>
              <w:t>407</w:t>
            </w:r>
          </w:p>
        </w:tc>
        <w:tc>
          <w:tcPr>
            <w:tcW w:w="921" w:type="dxa"/>
            <w:tcBorders>
              <w:top w:val="single" w:sz="4" w:space="0" w:color="auto"/>
              <w:left w:val="single" w:sz="4" w:space="0" w:color="auto"/>
              <w:bottom w:val="single" w:sz="4" w:space="0" w:color="auto"/>
              <w:right w:val="single" w:sz="4" w:space="0" w:color="auto"/>
            </w:tcBorders>
            <w:vAlign w:val="center"/>
            <w:hideMark/>
          </w:tcPr>
          <w:p w14:paraId="426C5FB0" w14:textId="77777777" w:rsidR="007A6A1A" w:rsidRPr="00BC091A" w:rsidRDefault="007A6A1A" w:rsidP="007A6A1A">
            <w:pPr>
              <w:spacing w:after="0"/>
              <w:jc w:val="right"/>
              <w:rPr>
                <w:sz w:val="20"/>
                <w:szCs w:val="20"/>
              </w:rPr>
            </w:pPr>
            <w:r w:rsidRPr="00BC091A">
              <w:rPr>
                <w:sz w:val="20"/>
                <w:szCs w:val="20"/>
              </w:rPr>
              <w:t>3.3%</w:t>
            </w:r>
          </w:p>
        </w:tc>
        <w:tc>
          <w:tcPr>
            <w:tcW w:w="921" w:type="dxa"/>
            <w:tcBorders>
              <w:top w:val="single" w:sz="4" w:space="0" w:color="auto"/>
              <w:left w:val="single" w:sz="4" w:space="0" w:color="auto"/>
              <w:bottom w:val="single" w:sz="4" w:space="0" w:color="auto"/>
              <w:right w:val="single" w:sz="4" w:space="0" w:color="auto"/>
            </w:tcBorders>
            <w:vAlign w:val="center"/>
            <w:hideMark/>
          </w:tcPr>
          <w:p w14:paraId="529FBAE7" w14:textId="77777777" w:rsidR="007A6A1A" w:rsidRPr="00BC091A" w:rsidRDefault="007A6A1A" w:rsidP="007A6A1A">
            <w:pPr>
              <w:spacing w:after="0"/>
              <w:jc w:val="right"/>
              <w:rPr>
                <w:sz w:val="20"/>
                <w:szCs w:val="20"/>
              </w:rPr>
            </w:pPr>
            <w:r w:rsidRPr="00BC091A">
              <w:rPr>
                <w:sz w:val="20"/>
                <w:szCs w:val="20"/>
              </w:rPr>
              <w:t>462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4D21332" w14:textId="77777777" w:rsidR="007A6A1A" w:rsidRPr="00BC091A" w:rsidRDefault="007A6A1A" w:rsidP="007A6A1A">
            <w:pPr>
              <w:spacing w:after="0"/>
              <w:jc w:val="right"/>
              <w:rPr>
                <w:sz w:val="20"/>
                <w:szCs w:val="20"/>
              </w:rPr>
            </w:pPr>
            <w:r w:rsidRPr="00BC091A">
              <w:rPr>
                <w:sz w:val="20"/>
                <w:szCs w:val="20"/>
              </w:rPr>
              <w:t>3.4%</w:t>
            </w:r>
          </w:p>
        </w:tc>
      </w:tr>
      <w:tr w:rsidR="007A6A1A" w:rsidRPr="00167CB8" w14:paraId="01E5085F" w14:textId="77777777">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58588E6B" w14:textId="77777777" w:rsidR="007A6A1A" w:rsidRPr="00BC091A" w:rsidRDefault="007A6A1A" w:rsidP="007A6A1A">
            <w:pPr>
              <w:spacing w:after="0"/>
              <w:rPr>
                <w:sz w:val="20"/>
                <w:szCs w:val="20"/>
              </w:rPr>
            </w:pPr>
            <w:r w:rsidRPr="00BC091A">
              <w:rPr>
                <w:sz w:val="20"/>
                <w:szCs w:val="20"/>
              </w:rPr>
              <w:t>Total</w:t>
            </w:r>
          </w:p>
        </w:tc>
        <w:tc>
          <w:tcPr>
            <w:tcW w:w="921" w:type="dxa"/>
            <w:tcBorders>
              <w:top w:val="single" w:sz="4" w:space="0" w:color="auto"/>
              <w:left w:val="single" w:sz="4" w:space="0" w:color="auto"/>
              <w:bottom w:val="single" w:sz="4" w:space="0" w:color="auto"/>
              <w:right w:val="single" w:sz="4" w:space="0" w:color="auto"/>
            </w:tcBorders>
            <w:vAlign w:val="center"/>
            <w:hideMark/>
          </w:tcPr>
          <w:p w14:paraId="585C75F0" w14:textId="77777777" w:rsidR="007A6A1A" w:rsidRPr="00BC091A" w:rsidRDefault="007A6A1A" w:rsidP="007A6A1A">
            <w:pPr>
              <w:spacing w:after="0"/>
              <w:jc w:val="right"/>
              <w:rPr>
                <w:sz w:val="20"/>
                <w:szCs w:val="20"/>
              </w:rPr>
            </w:pPr>
            <w:r w:rsidRPr="00BC091A">
              <w:rPr>
                <w:sz w:val="20"/>
                <w:szCs w:val="20"/>
              </w:rPr>
              <w:t>970</w:t>
            </w:r>
          </w:p>
        </w:tc>
        <w:tc>
          <w:tcPr>
            <w:tcW w:w="921" w:type="dxa"/>
            <w:tcBorders>
              <w:top w:val="single" w:sz="4" w:space="0" w:color="auto"/>
              <w:left w:val="single" w:sz="4" w:space="0" w:color="auto"/>
              <w:bottom w:val="single" w:sz="4" w:space="0" w:color="auto"/>
              <w:right w:val="single" w:sz="4" w:space="0" w:color="auto"/>
            </w:tcBorders>
            <w:vAlign w:val="center"/>
            <w:hideMark/>
          </w:tcPr>
          <w:p w14:paraId="6E255492" w14:textId="77777777" w:rsidR="007A6A1A" w:rsidRPr="00BC091A" w:rsidRDefault="007A6A1A" w:rsidP="007A6A1A">
            <w:pPr>
              <w:spacing w:after="0"/>
              <w:jc w:val="right"/>
              <w:rPr>
                <w:sz w:val="20"/>
                <w:szCs w:val="20"/>
              </w:rPr>
            </w:pPr>
            <w:r w:rsidRPr="00BC091A">
              <w:rPr>
                <w:sz w:val="20"/>
                <w:szCs w:val="20"/>
              </w:rPr>
              <w:t>100%</w:t>
            </w:r>
          </w:p>
        </w:tc>
        <w:tc>
          <w:tcPr>
            <w:tcW w:w="921" w:type="dxa"/>
            <w:tcBorders>
              <w:top w:val="single" w:sz="4" w:space="0" w:color="auto"/>
              <w:left w:val="single" w:sz="4" w:space="0" w:color="auto"/>
              <w:bottom w:val="single" w:sz="4" w:space="0" w:color="auto"/>
              <w:right w:val="single" w:sz="4" w:space="0" w:color="auto"/>
            </w:tcBorders>
            <w:vAlign w:val="center"/>
            <w:hideMark/>
          </w:tcPr>
          <w:p w14:paraId="292A63D2" w14:textId="77777777" w:rsidR="007A6A1A" w:rsidRPr="00BC091A" w:rsidRDefault="007A6A1A" w:rsidP="007A6A1A">
            <w:pPr>
              <w:spacing w:after="0"/>
              <w:jc w:val="right"/>
              <w:rPr>
                <w:sz w:val="20"/>
                <w:szCs w:val="20"/>
              </w:rPr>
            </w:pPr>
            <w:r w:rsidRPr="00BC091A">
              <w:rPr>
                <w:sz w:val="20"/>
                <w:szCs w:val="20"/>
              </w:rPr>
              <w:t>105</w:t>
            </w:r>
          </w:p>
        </w:tc>
        <w:tc>
          <w:tcPr>
            <w:tcW w:w="922" w:type="dxa"/>
            <w:tcBorders>
              <w:top w:val="single" w:sz="4" w:space="0" w:color="auto"/>
              <w:left w:val="single" w:sz="4" w:space="0" w:color="auto"/>
              <w:bottom w:val="single" w:sz="4" w:space="0" w:color="auto"/>
              <w:right w:val="single" w:sz="4" w:space="0" w:color="auto"/>
            </w:tcBorders>
            <w:vAlign w:val="center"/>
            <w:hideMark/>
          </w:tcPr>
          <w:p w14:paraId="5A442FA7" w14:textId="77777777" w:rsidR="007A6A1A" w:rsidRPr="00BC091A" w:rsidRDefault="007A6A1A" w:rsidP="007A6A1A">
            <w:pPr>
              <w:spacing w:after="0"/>
              <w:jc w:val="right"/>
              <w:rPr>
                <w:sz w:val="20"/>
                <w:szCs w:val="20"/>
              </w:rPr>
            </w:pPr>
            <w:r w:rsidRPr="00BC091A">
              <w:rPr>
                <w:sz w:val="20"/>
                <w:szCs w:val="20"/>
              </w:rPr>
              <w:t>100%</w:t>
            </w:r>
          </w:p>
        </w:tc>
        <w:tc>
          <w:tcPr>
            <w:tcW w:w="921" w:type="dxa"/>
            <w:tcBorders>
              <w:top w:val="single" w:sz="4" w:space="0" w:color="auto"/>
              <w:left w:val="single" w:sz="4" w:space="0" w:color="auto"/>
              <w:bottom w:val="single" w:sz="4" w:space="0" w:color="auto"/>
              <w:right w:val="single" w:sz="4" w:space="0" w:color="auto"/>
            </w:tcBorders>
            <w:vAlign w:val="center"/>
            <w:hideMark/>
          </w:tcPr>
          <w:p w14:paraId="04E4F4A3" w14:textId="77777777" w:rsidR="007A6A1A" w:rsidRPr="00BC091A" w:rsidRDefault="007A6A1A" w:rsidP="007A6A1A">
            <w:pPr>
              <w:spacing w:after="0"/>
              <w:jc w:val="right"/>
              <w:rPr>
                <w:sz w:val="20"/>
                <w:szCs w:val="20"/>
              </w:rPr>
            </w:pPr>
            <w:r w:rsidRPr="00BC091A">
              <w:rPr>
                <w:sz w:val="20"/>
                <w:szCs w:val="20"/>
              </w:rPr>
              <w:t>12403</w:t>
            </w:r>
          </w:p>
        </w:tc>
        <w:tc>
          <w:tcPr>
            <w:tcW w:w="921" w:type="dxa"/>
            <w:tcBorders>
              <w:top w:val="single" w:sz="4" w:space="0" w:color="auto"/>
              <w:left w:val="single" w:sz="4" w:space="0" w:color="auto"/>
              <w:bottom w:val="single" w:sz="4" w:space="0" w:color="auto"/>
              <w:right w:val="single" w:sz="4" w:space="0" w:color="auto"/>
            </w:tcBorders>
            <w:vAlign w:val="center"/>
            <w:hideMark/>
          </w:tcPr>
          <w:p w14:paraId="5E89B1F5" w14:textId="77777777" w:rsidR="007A6A1A" w:rsidRPr="00BC091A" w:rsidRDefault="007A6A1A" w:rsidP="007A6A1A">
            <w:pPr>
              <w:spacing w:after="0"/>
              <w:jc w:val="right"/>
              <w:rPr>
                <w:sz w:val="20"/>
                <w:szCs w:val="20"/>
              </w:rPr>
            </w:pPr>
            <w:r w:rsidRPr="00BC091A">
              <w:rPr>
                <w:sz w:val="20"/>
                <w:szCs w:val="20"/>
              </w:rPr>
              <w:t>100%</w:t>
            </w:r>
          </w:p>
        </w:tc>
        <w:tc>
          <w:tcPr>
            <w:tcW w:w="921" w:type="dxa"/>
            <w:tcBorders>
              <w:top w:val="single" w:sz="4" w:space="0" w:color="auto"/>
              <w:left w:val="single" w:sz="4" w:space="0" w:color="auto"/>
              <w:bottom w:val="single" w:sz="4" w:space="0" w:color="auto"/>
              <w:right w:val="single" w:sz="4" w:space="0" w:color="auto"/>
            </w:tcBorders>
            <w:vAlign w:val="center"/>
            <w:hideMark/>
          </w:tcPr>
          <w:p w14:paraId="637CEC4D" w14:textId="77777777" w:rsidR="007A6A1A" w:rsidRPr="00BC091A" w:rsidRDefault="007A6A1A" w:rsidP="007A6A1A">
            <w:pPr>
              <w:spacing w:after="0"/>
              <w:jc w:val="right"/>
              <w:rPr>
                <w:sz w:val="20"/>
                <w:szCs w:val="20"/>
              </w:rPr>
            </w:pPr>
            <w:r w:rsidRPr="00BC091A">
              <w:rPr>
                <w:sz w:val="20"/>
                <w:szCs w:val="20"/>
              </w:rPr>
              <w:t>13478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4A82402E" w14:textId="77777777" w:rsidR="007A6A1A" w:rsidRPr="00BC091A" w:rsidRDefault="007A6A1A" w:rsidP="007A6A1A">
            <w:pPr>
              <w:spacing w:after="0"/>
              <w:jc w:val="right"/>
              <w:rPr>
                <w:sz w:val="20"/>
                <w:szCs w:val="20"/>
              </w:rPr>
            </w:pPr>
            <w:r w:rsidRPr="00BC091A">
              <w:rPr>
                <w:sz w:val="20"/>
                <w:szCs w:val="20"/>
              </w:rPr>
              <w:t>100%</w:t>
            </w:r>
          </w:p>
        </w:tc>
      </w:tr>
    </w:tbl>
    <w:p w14:paraId="4A7EC7F4" w14:textId="5F8A3D85" w:rsidR="007A6A1A" w:rsidRPr="00167CB8" w:rsidRDefault="007A6A1A" w:rsidP="004208E4">
      <w:pPr>
        <w:pStyle w:val="Source"/>
      </w:pPr>
      <w:r w:rsidRPr="00167CB8">
        <w:rPr>
          <w:b/>
          <w:bCs/>
        </w:rPr>
        <w:t xml:space="preserve">Source: </w:t>
      </w:r>
      <w:r w:rsidRPr="00167CB8">
        <w:t>Review analysis of data provided by the FWC, July 2021 – June 2024</w:t>
      </w:r>
      <w:r w:rsidR="004208E4" w:rsidRPr="00167CB8">
        <w:t>.</w:t>
      </w:r>
    </w:p>
    <w:p w14:paraId="7CC9B242" w14:textId="56AEC544" w:rsidR="007A6A1A" w:rsidRPr="00167CB8" w:rsidRDefault="007A6A1A" w:rsidP="004208E4">
      <w:pPr>
        <w:pStyle w:val="Source"/>
      </w:pPr>
      <w:r w:rsidRPr="00167CB8">
        <w:rPr>
          <w:b/>
          <w:bCs/>
        </w:rPr>
        <w:t xml:space="preserve">Alt-text: </w:t>
      </w:r>
      <w:r w:rsidRPr="00167CB8">
        <w:t>A table showing the outcomes of applications for approval of enterprise agreements in total, and by whether they were greenfields, single</w:t>
      </w:r>
      <w:r w:rsidR="004208E4" w:rsidRPr="00167CB8">
        <w:t>-</w:t>
      </w:r>
      <w:r w:rsidRPr="00167CB8">
        <w:t>enterprise and multi-employer agreements. The table shows that 49.2% of agreements were approved without undertakings or amendments, while 46.5% were approved with undertakings. Multi-employer agreements had the higher rate of undertakings, with 57.1% of agreements requiring undertakings.</w:t>
      </w:r>
    </w:p>
    <w:p w14:paraId="0693889A" w14:textId="77777777" w:rsidR="007A6A1A" w:rsidRPr="00167CB8" w:rsidRDefault="007A6A1A" w:rsidP="007A6A1A">
      <w:pPr>
        <w:spacing w:after="160"/>
        <w:rPr>
          <w:b/>
          <w:iCs/>
          <w:color w:val="404246" w:themeColor="text2"/>
          <w:szCs w:val="18"/>
        </w:rPr>
      </w:pPr>
      <w:r w:rsidRPr="00167CB8">
        <w:br w:type="page"/>
      </w:r>
    </w:p>
    <w:p w14:paraId="64EC2275" w14:textId="6B3C358F" w:rsidR="007A6A1A" w:rsidRPr="00167CB8" w:rsidRDefault="007A6A1A" w:rsidP="00470AB9">
      <w:pPr>
        <w:pStyle w:val="Caption"/>
      </w:pPr>
      <w:bookmarkStart w:id="890" w:name="_Toc189310891"/>
      <w:r w:rsidRPr="00167CB8">
        <w:lastRenderedPageBreak/>
        <w:t xml:space="preserve">Table </w:t>
      </w:r>
      <w:r w:rsidR="003E5D58" w:rsidRPr="00167CB8">
        <w:t>62</w:t>
      </w:r>
      <w:r w:rsidRPr="00167CB8">
        <w:t>: Outcomes of enterprise agreement approval application, by financial year</w:t>
      </w:r>
      <w:r w:rsidR="004208E4" w:rsidRPr="00167CB8">
        <w:t>, 2021 to 2024</w:t>
      </w:r>
      <w:bookmarkEnd w:id="890"/>
    </w:p>
    <w:tbl>
      <w:tblPr>
        <w:tblStyle w:val="TableGrid1"/>
        <w:tblW w:w="0" w:type="auto"/>
        <w:tblLook w:val="04A0" w:firstRow="1" w:lastRow="0" w:firstColumn="1" w:lastColumn="0" w:noHBand="0" w:noVBand="1"/>
      </w:tblPr>
      <w:tblGrid>
        <w:gridCol w:w="1980"/>
        <w:gridCol w:w="1218"/>
        <w:gridCol w:w="1218"/>
        <w:gridCol w:w="1218"/>
        <w:gridCol w:w="1218"/>
        <w:gridCol w:w="1218"/>
        <w:gridCol w:w="1218"/>
      </w:tblGrid>
      <w:tr w:rsidR="007A6A1A" w:rsidRPr="00167CB8" w14:paraId="7923F52C" w14:textId="77777777">
        <w:trPr>
          <w:cnfStyle w:val="100000000000" w:firstRow="1" w:lastRow="0" w:firstColumn="0" w:lastColumn="0" w:oddVBand="0" w:evenVBand="0" w:oddHBand="0" w:evenHBand="0" w:firstRowFirstColumn="0" w:firstRowLastColumn="0" w:lastRowFirstColumn="0" w:lastRowLastColumn="0"/>
        </w:trPr>
        <w:tc>
          <w:tcPr>
            <w:tcW w:w="1980" w:type="dxa"/>
            <w:vMerge w:val="restart"/>
          </w:tcPr>
          <w:p w14:paraId="51F2CA47" w14:textId="77777777" w:rsidR="007A6A1A" w:rsidRPr="00167CB8" w:rsidRDefault="007A6A1A" w:rsidP="007A6A1A">
            <w:pPr>
              <w:spacing w:after="0"/>
              <w:rPr>
                <w:b/>
                <w:bCs/>
              </w:rPr>
            </w:pPr>
            <w:r w:rsidRPr="00167CB8">
              <w:rPr>
                <w:b/>
                <w:bCs/>
              </w:rPr>
              <w:t>Result</w:t>
            </w:r>
          </w:p>
        </w:tc>
        <w:tc>
          <w:tcPr>
            <w:tcW w:w="2436" w:type="dxa"/>
            <w:gridSpan w:val="2"/>
          </w:tcPr>
          <w:p w14:paraId="6A46F595" w14:textId="561EA339" w:rsidR="007A6A1A" w:rsidRPr="00167CB8" w:rsidRDefault="007A6A1A" w:rsidP="007A6A1A">
            <w:pPr>
              <w:spacing w:after="0"/>
              <w:rPr>
                <w:b/>
                <w:bCs/>
              </w:rPr>
            </w:pPr>
            <w:r w:rsidRPr="00167CB8">
              <w:rPr>
                <w:b/>
                <w:bCs/>
              </w:rPr>
              <w:t>2021</w:t>
            </w:r>
            <w:r w:rsidR="004208E4" w:rsidRPr="00167CB8">
              <w:rPr>
                <w:rFonts w:ascii="Symbol" w:eastAsia="Symbol" w:hAnsi="Symbol" w:cs="Symbol"/>
                <w:b/>
              </w:rPr>
              <w:sym w:font="Symbol" w:char="F02D"/>
            </w:r>
            <w:r w:rsidRPr="00167CB8">
              <w:rPr>
                <w:b/>
                <w:bCs/>
              </w:rPr>
              <w:t>22</w:t>
            </w:r>
          </w:p>
        </w:tc>
        <w:tc>
          <w:tcPr>
            <w:tcW w:w="2436" w:type="dxa"/>
            <w:gridSpan w:val="2"/>
          </w:tcPr>
          <w:p w14:paraId="3F4855A2" w14:textId="70689F24" w:rsidR="007A6A1A" w:rsidRPr="00167CB8" w:rsidRDefault="007A6A1A" w:rsidP="007A6A1A">
            <w:pPr>
              <w:spacing w:after="0"/>
              <w:rPr>
                <w:b/>
                <w:bCs/>
              </w:rPr>
            </w:pPr>
            <w:r w:rsidRPr="00167CB8">
              <w:rPr>
                <w:b/>
                <w:bCs/>
              </w:rPr>
              <w:t>2022</w:t>
            </w:r>
            <w:r w:rsidR="004208E4" w:rsidRPr="00167CB8">
              <w:rPr>
                <w:rFonts w:ascii="Symbol" w:eastAsia="Symbol" w:hAnsi="Symbol" w:cs="Symbol"/>
                <w:b/>
              </w:rPr>
              <w:sym w:font="Symbol" w:char="F02D"/>
            </w:r>
            <w:r w:rsidRPr="00167CB8">
              <w:rPr>
                <w:b/>
                <w:bCs/>
              </w:rPr>
              <w:t>23</w:t>
            </w:r>
          </w:p>
        </w:tc>
        <w:tc>
          <w:tcPr>
            <w:tcW w:w="2436" w:type="dxa"/>
            <w:gridSpan w:val="2"/>
          </w:tcPr>
          <w:p w14:paraId="5509EF08" w14:textId="78AE1552" w:rsidR="007A6A1A" w:rsidRPr="00167CB8" w:rsidRDefault="007A6A1A" w:rsidP="007A6A1A">
            <w:pPr>
              <w:spacing w:after="0"/>
              <w:rPr>
                <w:b/>
                <w:bCs/>
              </w:rPr>
            </w:pPr>
            <w:r w:rsidRPr="00167CB8">
              <w:rPr>
                <w:b/>
                <w:bCs/>
              </w:rPr>
              <w:t>2023</w:t>
            </w:r>
            <w:r w:rsidR="004208E4" w:rsidRPr="00167CB8">
              <w:rPr>
                <w:rFonts w:ascii="Symbol" w:eastAsia="Symbol" w:hAnsi="Symbol" w:cs="Symbol"/>
                <w:b/>
              </w:rPr>
              <w:sym w:font="Symbol" w:char="F02D"/>
            </w:r>
            <w:r w:rsidRPr="00167CB8">
              <w:rPr>
                <w:b/>
                <w:bCs/>
              </w:rPr>
              <w:t>24</w:t>
            </w:r>
          </w:p>
        </w:tc>
      </w:tr>
      <w:tr w:rsidR="007A6A1A" w:rsidRPr="00167CB8" w14:paraId="4CF9A0A1" w14:textId="77777777">
        <w:tc>
          <w:tcPr>
            <w:tcW w:w="1980" w:type="dxa"/>
            <w:vMerge/>
          </w:tcPr>
          <w:p w14:paraId="73818F12" w14:textId="77777777" w:rsidR="007A6A1A" w:rsidRPr="00167CB8" w:rsidRDefault="007A6A1A" w:rsidP="007A6A1A">
            <w:pPr>
              <w:spacing w:after="0"/>
              <w:rPr>
                <w:b/>
                <w:bCs/>
              </w:rPr>
            </w:pPr>
          </w:p>
        </w:tc>
        <w:tc>
          <w:tcPr>
            <w:tcW w:w="1218" w:type="dxa"/>
          </w:tcPr>
          <w:p w14:paraId="4C5A8991" w14:textId="77777777" w:rsidR="007A6A1A" w:rsidRPr="00167CB8" w:rsidRDefault="007A6A1A" w:rsidP="007A6A1A">
            <w:pPr>
              <w:spacing w:after="0"/>
              <w:rPr>
                <w:b/>
                <w:bCs/>
              </w:rPr>
            </w:pPr>
            <w:r w:rsidRPr="00167CB8">
              <w:rPr>
                <w:b/>
                <w:bCs/>
              </w:rPr>
              <w:t>Count</w:t>
            </w:r>
          </w:p>
        </w:tc>
        <w:tc>
          <w:tcPr>
            <w:tcW w:w="1218" w:type="dxa"/>
          </w:tcPr>
          <w:p w14:paraId="485C6C66" w14:textId="77777777" w:rsidR="007A6A1A" w:rsidRPr="00167CB8" w:rsidRDefault="007A6A1A" w:rsidP="007A6A1A">
            <w:pPr>
              <w:spacing w:after="0"/>
              <w:rPr>
                <w:b/>
                <w:bCs/>
              </w:rPr>
            </w:pPr>
            <w:r w:rsidRPr="00167CB8">
              <w:rPr>
                <w:b/>
                <w:bCs/>
              </w:rPr>
              <w:t>%</w:t>
            </w:r>
          </w:p>
        </w:tc>
        <w:tc>
          <w:tcPr>
            <w:tcW w:w="1218" w:type="dxa"/>
          </w:tcPr>
          <w:p w14:paraId="1CB74E0A" w14:textId="77777777" w:rsidR="007A6A1A" w:rsidRPr="00167CB8" w:rsidRDefault="007A6A1A" w:rsidP="007A6A1A">
            <w:pPr>
              <w:spacing w:after="0"/>
              <w:rPr>
                <w:b/>
                <w:bCs/>
              </w:rPr>
            </w:pPr>
            <w:r w:rsidRPr="00167CB8">
              <w:rPr>
                <w:b/>
                <w:bCs/>
              </w:rPr>
              <w:t>Count</w:t>
            </w:r>
          </w:p>
        </w:tc>
        <w:tc>
          <w:tcPr>
            <w:tcW w:w="1218" w:type="dxa"/>
          </w:tcPr>
          <w:p w14:paraId="3F3985F6" w14:textId="77777777" w:rsidR="007A6A1A" w:rsidRPr="00167CB8" w:rsidRDefault="007A6A1A" w:rsidP="007A6A1A">
            <w:pPr>
              <w:spacing w:after="0"/>
              <w:rPr>
                <w:b/>
                <w:bCs/>
              </w:rPr>
            </w:pPr>
            <w:r w:rsidRPr="00167CB8">
              <w:rPr>
                <w:b/>
                <w:bCs/>
              </w:rPr>
              <w:t>%</w:t>
            </w:r>
          </w:p>
        </w:tc>
        <w:tc>
          <w:tcPr>
            <w:tcW w:w="1218" w:type="dxa"/>
          </w:tcPr>
          <w:p w14:paraId="1CD50E47" w14:textId="77777777" w:rsidR="007A6A1A" w:rsidRPr="00167CB8" w:rsidRDefault="007A6A1A" w:rsidP="007A6A1A">
            <w:pPr>
              <w:spacing w:after="0"/>
              <w:rPr>
                <w:b/>
                <w:bCs/>
              </w:rPr>
            </w:pPr>
            <w:r w:rsidRPr="00167CB8">
              <w:rPr>
                <w:b/>
                <w:bCs/>
              </w:rPr>
              <w:t>Count</w:t>
            </w:r>
          </w:p>
        </w:tc>
        <w:tc>
          <w:tcPr>
            <w:tcW w:w="1218" w:type="dxa"/>
          </w:tcPr>
          <w:p w14:paraId="34918074" w14:textId="77777777" w:rsidR="007A6A1A" w:rsidRPr="00167CB8" w:rsidRDefault="007A6A1A" w:rsidP="007A6A1A">
            <w:pPr>
              <w:spacing w:after="0"/>
              <w:rPr>
                <w:b/>
                <w:bCs/>
              </w:rPr>
            </w:pPr>
            <w:r w:rsidRPr="00167CB8">
              <w:rPr>
                <w:b/>
                <w:bCs/>
              </w:rPr>
              <w:t>%</w:t>
            </w:r>
          </w:p>
        </w:tc>
      </w:tr>
      <w:tr w:rsidR="007A6A1A" w:rsidRPr="00167CB8" w14:paraId="171DC17B" w14:textId="77777777">
        <w:tc>
          <w:tcPr>
            <w:tcW w:w="1980" w:type="dxa"/>
          </w:tcPr>
          <w:p w14:paraId="1F942D10" w14:textId="77777777" w:rsidR="007A6A1A" w:rsidRPr="00BC091A" w:rsidRDefault="007A6A1A" w:rsidP="007A6A1A">
            <w:pPr>
              <w:spacing w:after="0"/>
              <w:rPr>
                <w:sz w:val="20"/>
                <w:szCs w:val="20"/>
              </w:rPr>
            </w:pPr>
            <w:r w:rsidRPr="00BC091A">
              <w:rPr>
                <w:sz w:val="20"/>
                <w:szCs w:val="20"/>
              </w:rPr>
              <w:t>Approved without undertakings or amendments</w:t>
            </w:r>
          </w:p>
        </w:tc>
        <w:tc>
          <w:tcPr>
            <w:tcW w:w="1218" w:type="dxa"/>
          </w:tcPr>
          <w:p w14:paraId="129179DC" w14:textId="799758B2" w:rsidR="007A6A1A" w:rsidRPr="00BC091A" w:rsidRDefault="007A6A1A" w:rsidP="007A6A1A">
            <w:pPr>
              <w:spacing w:after="0"/>
              <w:jc w:val="right"/>
              <w:rPr>
                <w:sz w:val="20"/>
                <w:szCs w:val="20"/>
              </w:rPr>
            </w:pPr>
            <w:r w:rsidRPr="00BC091A">
              <w:rPr>
                <w:sz w:val="20"/>
                <w:szCs w:val="20"/>
              </w:rPr>
              <w:t>2</w:t>
            </w:r>
            <w:r w:rsidR="004208E4" w:rsidRPr="00BC091A">
              <w:rPr>
                <w:sz w:val="20"/>
                <w:szCs w:val="20"/>
              </w:rPr>
              <w:t>,</w:t>
            </w:r>
            <w:r w:rsidRPr="00BC091A">
              <w:rPr>
                <w:sz w:val="20"/>
                <w:szCs w:val="20"/>
              </w:rPr>
              <w:t>253</w:t>
            </w:r>
          </w:p>
        </w:tc>
        <w:tc>
          <w:tcPr>
            <w:tcW w:w="1218" w:type="dxa"/>
          </w:tcPr>
          <w:p w14:paraId="71FCA57D"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49.9%</w:t>
            </w:r>
          </w:p>
        </w:tc>
        <w:tc>
          <w:tcPr>
            <w:tcW w:w="1218" w:type="dxa"/>
          </w:tcPr>
          <w:p w14:paraId="0465B1F0" w14:textId="71702239" w:rsidR="007A6A1A" w:rsidRPr="00BC091A" w:rsidRDefault="007A6A1A" w:rsidP="007A6A1A">
            <w:pPr>
              <w:spacing w:after="0"/>
              <w:jc w:val="right"/>
              <w:rPr>
                <w:sz w:val="20"/>
                <w:szCs w:val="20"/>
              </w:rPr>
            </w:pPr>
            <w:r w:rsidRPr="00BC091A">
              <w:rPr>
                <w:sz w:val="20"/>
                <w:szCs w:val="20"/>
              </w:rPr>
              <w:t>1</w:t>
            </w:r>
            <w:r w:rsidR="004208E4" w:rsidRPr="00BC091A">
              <w:rPr>
                <w:sz w:val="20"/>
                <w:szCs w:val="20"/>
              </w:rPr>
              <w:t>,</w:t>
            </w:r>
            <w:r w:rsidRPr="00BC091A">
              <w:rPr>
                <w:sz w:val="20"/>
                <w:szCs w:val="20"/>
              </w:rPr>
              <w:t>885</w:t>
            </w:r>
          </w:p>
        </w:tc>
        <w:tc>
          <w:tcPr>
            <w:tcW w:w="1218" w:type="dxa"/>
          </w:tcPr>
          <w:p w14:paraId="4C67EBAD"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45.2%</w:t>
            </w:r>
          </w:p>
        </w:tc>
        <w:tc>
          <w:tcPr>
            <w:tcW w:w="1218" w:type="dxa"/>
          </w:tcPr>
          <w:p w14:paraId="49C91B1F" w14:textId="2124826B" w:rsidR="007A6A1A" w:rsidRPr="00BC091A" w:rsidRDefault="007A6A1A" w:rsidP="007A6A1A">
            <w:pPr>
              <w:spacing w:after="0"/>
              <w:jc w:val="right"/>
              <w:rPr>
                <w:sz w:val="20"/>
                <w:szCs w:val="20"/>
              </w:rPr>
            </w:pPr>
            <w:r w:rsidRPr="00BC091A">
              <w:rPr>
                <w:sz w:val="20"/>
                <w:szCs w:val="20"/>
              </w:rPr>
              <w:t>2</w:t>
            </w:r>
            <w:r w:rsidR="004208E4" w:rsidRPr="00BC091A">
              <w:rPr>
                <w:sz w:val="20"/>
                <w:szCs w:val="20"/>
              </w:rPr>
              <w:t>,</w:t>
            </w:r>
            <w:r w:rsidRPr="00BC091A">
              <w:rPr>
                <w:sz w:val="20"/>
                <w:szCs w:val="20"/>
              </w:rPr>
              <w:t>503</w:t>
            </w:r>
          </w:p>
        </w:tc>
        <w:tc>
          <w:tcPr>
            <w:tcW w:w="1218" w:type="dxa"/>
          </w:tcPr>
          <w:p w14:paraId="432254D8"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52.3%</w:t>
            </w:r>
          </w:p>
        </w:tc>
      </w:tr>
      <w:tr w:rsidR="007A6A1A" w:rsidRPr="00167CB8" w14:paraId="38EE4FF9" w14:textId="77777777">
        <w:tc>
          <w:tcPr>
            <w:tcW w:w="1980" w:type="dxa"/>
          </w:tcPr>
          <w:p w14:paraId="6B944B72" w14:textId="77777777" w:rsidR="007A6A1A" w:rsidRPr="00BC091A" w:rsidRDefault="007A6A1A" w:rsidP="007A6A1A">
            <w:pPr>
              <w:spacing w:after="0"/>
              <w:rPr>
                <w:sz w:val="20"/>
                <w:szCs w:val="20"/>
              </w:rPr>
            </w:pPr>
            <w:r w:rsidRPr="00BC091A">
              <w:rPr>
                <w:sz w:val="20"/>
                <w:szCs w:val="20"/>
              </w:rPr>
              <w:t>Approved with amendments</w:t>
            </w:r>
          </w:p>
        </w:tc>
        <w:tc>
          <w:tcPr>
            <w:tcW w:w="1218" w:type="dxa"/>
          </w:tcPr>
          <w:p w14:paraId="331F445C" w14:textId="77777777" w:rsidR="007A6A1A" w:rsidRPr="00BC091A" w:rsidRDefault="007A6A1A" w:rsidP="007A6A1A">
            <w:pPr>
              <w:spacing w:after="0"/>
              <w:jc w:val="right"/>
              <w:rPr>
                <w:sz w:val="20"/>
                <w:szCs w:val="20"/>
              </w:rPr>
            </w:pPr>
            <w:r w:rsidRPr="00BC091A">
              <w:rPr>
                <w:sz w:val="20"/>
                <w:szCs w:val="20"/>
              </w:rPr>
              <w:t>0</w:t>
            </w:r>
          </w:p>
        </w:tc>
        <w:tc>
          <w:tcPr>
            <w:tcW w:w="1218" w:type="dxa"/>
          </w:tcPr>
          <w:p w14:paraId="518E3F48"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0.0%</w:t>
            </w:r>
          </w:p>
        </w:tc>
        <w:tc>
          <w:tcPr>
            <w:tcW w:w="1218" w:type="dxa"/>
          </w:tcPr>
          <w:p w14:paraId="591EA065" w14:textId="77777777" w:rsidR="007A6A1A" w:rsidRPr="00BC091A" w:rsidRDefault="007A6A1A" w:rsidP="007A6A1A">
            <w:pPr>
              <w:spacing w:after="0"/>
              <w:jc w:val="right"/>
              <w:rPr>
                <w:sz w:val="20"/>
                <w:szCs w:val="20"/>
              </w:rPr>
            </w:pPr>
            <w:r w:rsidRPr="00BC091A">
              <w:rPr>
                <w:sz w:val="20"/>
                <w:szCs w:val="20"/>
              </w:rPr>
              <w:t>0</w:t>
            </w:r>
          </w:p>
        </w:tc>
        <w:tc>
          <w:tcPr>
            <w:tcW w:w="1218" w:type="dxa"/>
          </w:tcPr>
          <w:p w14:paraId="06FC2A79"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0.0%</w:t>
            </w:r>
          </w:p>
        </w:tc>
        <w:tc>
          <w:tcPr>
            <w:tcW w:w="1218" w:type="dxa"/>
          </w:tcPr>
          <w:p w14:paraId="12F60707" w14:textId="77777777" w:rsidR="007A6A1A" w:rsidRPr="00BC091A" w:rsidRDefault="007A6A1A" w:rsidP="007A6A1A">
            <w:pPr>
              <w:spacing w:after="0"/>
              <w:jc w:val="right"/>
              <w:rPr>
                <w:sz w:val="20"/>
                <w:szCs w:val="20"/>
              </w:rPr>
            </w:pPr>
            <w:r w:rsidRPr="00BC091A">
              <w:rPr>
                <w:sz w:val="20"/>
                <w:szCs w:val="20"/>
              </w:rPr>
              <w:t>20</w:t>
            </w:r>
          </w:p>
        </w:tc>
        <w:tc>
          <w:tcPr>
            <w:tcW w:w="1218" w:type="dxa"/>
          </w:tcPr>
          <w:p w14:paraId="03784B53"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0.4%</w:t>
            </w:r>
          </w:p>
        </w:tc>
      </w:tr>
      <w:tr w:rsidR="007A6A1A" w:rsidRPr="00167CB8" w14:paraId="6E680F0A" w14:textId="77777777">
        <w:tc>
          <w:tcPr>
            <w:tcW w:w="1980" w:type="dxa"/>
          </w:tcPr>
          <w:p w14:paraId="297ECC5D" w14:textId="77777777" w:rsidR="007A6A1A" w:rsidRPr="00BC091A" w:rsidRDefault="007A6A1A" w:rsidP="007A6A1A">
            <w:pPr>
              <w:spacing w:after="0"/>
              <w:rPr>
                <w:sz w:val="20"/>
                <w:szCs w:val="20"/>
              </w:rPr>
            </w:pPr>
            <w:r w:rsidRPr="00BC091A">
              <w:rPr>
                <w:sz w:val="20"/>
                <w:szCs w:val="20"/>
              </w:rPr>
              <w:t>Approved with undertakings</w:t>
            </w:r>
          </w:p>
        </w:tc>
        <w:tc>
          <w:tcPr>
            <w:tcW w:w="1218" w:type="dxa"/>
          </w:tcPr>
          <w:p w14:paraId="0072DB83" w14:textId="3E328B64" w:rsidR="007A6A1A" w:rsidRPr="00BC091A" w:rsidRDefault="007A6A1A" w:rsidP="007A6A1A">
            <w:pPr>
              <w:spacing w:after="0"/>
              <w:jc w:val="right"/>
              <w:rPr>
                <w:sz w:val="20"/>
                <w:szCs w:val="20"/>
              </w:rPr>
            </w:pPr>
            <w:r w:rsidRPr="00BC091A">
              <w:rPr>
                <w:sz w:val="20"/>
                <w:szCs w:val="20"/>
              </w:rPr>
              <w:t>2</w:t>
            </w:r>
            <w:r w:rsidR="004208E4" w:rsidRPr="00BC091A">
              <w:rPr>
                <w:sz w:val="20"/>
                <w:szCs w:val="20"/>
              </w:rPr>
              <w:t>,</w:t>
            </w:r>
            <w:r w:rsidRPr="00BC091A">
              <w:rPr>
                <w:sz w:val="20"/>
                <w:szCs w:val="20"/>
              </w:rPr>
              <w:t>108</w:t>
            </w:r>
          </w:p>
        </w:tc>
        <w:tc>
          <w:tcPr>
            <w:tcW w:w="1218" w:type="dxa"/>
          </w:tcPr>
          <w:p w14:paraId="515BEE41"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46.7%</w:t>
            </w:r>
          </w:p>
        </w:tc>
        <w:tc>
          <w:tcPr>
            <w:tcW w:w="1218" w:type="dxa"/>
          </w:tcPr>
          <w:p w14:paraId="4ED02043" w14:textId="75DDC8E2" w:rsidR="007A6A1A" w:rsidRPr="00BC091A" w:rsidRDefault="007A6A1A" w:rsidP="007A6A1A">
            <w:pPr>
              <w:spacing w:after="0"/>
              <w:jc w:val="right"/>
              <w:rPr>
                <w:sz w:val="20"/>
                <w:szCs w:val="20"/>
              </w:rPr>
            </w:pPr>
            <w:r w:rsidRPr="00BC091A">
              <w:rPr>
                <w:sz w:val="20"/>
                <w:szCs w:val="20"/>
              </w:rPr>
              <w:t>2</w:t>
            </w:r>
            <w:r w:rsidR="004208E4" w:rsidRPr="00BC091A">
              <w:rPr>
                <w:sz w:val="20"/>
                <w:szCs w:val="20"/>
              </w:rPr>
              <w:t>,</w:t>
            </w:r>
            <w:r w:rsidRPr="00BC091A">
              <w:rPr>
                <w:sz w:val="20"/>
                <w:szCs w:val="20"/>
              </w:rPr>
              <w:t>133</w:t>
            </w:r>
          </w:p>
        </w:tc>
        <w:tc>
          <w:tcPr>
            <w:tcW w:w="1218" w:type="dxa"/>
          </w:tcPr>
          <w:p w14:paraId="217277D1"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51.1%</w:t>
            </w:r>
          </w:p>
        </w:tc>
        <w:tc>
          <w:tcPr>
            <w:tcW w:w="1218" w:type="dxa"/>
          </w:tcPr>
          <w:p w14:paraId="3F6B5FB9" w14:textId="10AC0B7B" w:rsidR="007A6A1A" w:rsidRPr="00BC091A" w:rsidRDefault="007A6A1A" w:rsidP="007A6A1A">
            <w:pPr>
              <w:spacing w:after="0"/>
              <w:jc w:val="right"/>
              <w:rPr>
                <w:sz w:val="20"/>
                <w:szCs w:val="20"/>
              </w:rPr>
            </w:pPr>
            <w:r w:rsidRPr="00BC091A">
              <w:rPr>
                <w:sz w:val="20"/>
                <w:szCs w:val="20"/>
              </w:rPr>
              <w:t>2</w:t>
            </w:r>
            <w:r w:rsidR="004208E4" w:rsidRPr="00BC091A">
              <w:rPr>
                <w:sz w:val="20"/>
                <w:szCs w:val="20"/>
              </w:rPr>
              <w:t>,</w:t>
            </w:r>
            <w:r w:rsidRPr="00BC091A">
              <w:rPr>
                <w:sz w:val="20"/>
                <w:szCs w:val="20"/>
              </w:rPr>
              <w:t>038</w:t>
            </w:r>
          </w:p>
        </w:tc>
        <w:tc>
          <w:tcPr>
            <w:tcW w:w="1218" w:type="dxa"/>
          </w:tcPr>
          <w:p w14:paraId="15440B09"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42.5%</w:t>
            </w:r>
          </w:p>
        </w:tc>
      </w:tr>
      <w:tr w:rsidR="007A6A1A" w:rsidRPr="00167CB8" w14:paraId="07379F2B" w14:textId="77777777">
        <w:tc>
          <w:tcPr>
            <w:tcW w:w="1980" w:type="dxa"/>
          </w:tcPr>
          <w:p w14:paraId="2915EA5F" w14:textId="77777777" w:rsidR="007A6A1A" w:rsidRPr="00BC091A" w:rsidRDefault="007A6A1A" w:rsidP="007A6A1A">
            <w:pPr>
              <w:spacing w:after="0"/>
              <w:rPr>
                <w:sz w:val="20"/>
                <w:szCs w:val="20"/>
              </w:rPr>
            </w:pPr>
            <w:r w:rsidRPr="00BC091A">
              <w:rPr>
                <w:sz w:val="20"/>
                <w:szCs w:val="20"/>
              </w:rPr>
              <w:t>Approved with undertakings and amendments</w:t>
            </w:r>
          </w:p>
        </w:tc>
        <w:tc>
          <w:tcPr>
            <w:tcW w:w="1218" w:type="dxa"/>
          </w:tcPr>
          <w:p w14:paraId="48CCFC2D" w14:textId="77777777" w:rsidR="007A6A1A" w:rsidRPr="00BC091A" w:rsidRDefault="007A6A1A" w:rsidP="007A6A1A">
            <w:pPr>
              <w:spacing w:after="0"/>
              <w:jc w:val="right"/>
              <w:rPr>
                <w:sz w:val="20"/>
                <w:szCs w:val="20"/>
              </w:rPr>
            </w:pPr>
            <w:r w:rsidRPr="00BC091A">
              <w:rPr>
                <w:sz w:val="20"/>
                <w:szCs w:val="20"/>
              </w:rPr>
              <w:t>0</w:t>
            </w:r>
          </w:p>
        </w:tc>
        <w:tc>
          <w:tcPr>
            <w:tcW w:w="1218" w:type="dxa"/>
          </w:tcPr>
          <w:p w14:paraId="7AF336FE"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0.0%</w:t>
            </w:r>
          </w:p>
        </w:tc>
        <w:tc>
          <w:tcPr>
            <w:tcW w:w="1218" w:type="dxa"/>
          </w:tcPr>
          <w:p w14:paraId="5F9196A6" w14:textId="77777777" w:rsidR="007A6A1A" w:rsidRPr="00BC091A" w:rsidRDefault="007A6A1A" w:rsidP="007A6A1A">
            <w:pPr>
              <w:spacing w:after="0"/>
              <w:jc w:val="right"/>
              <w:rPr>
                <w:sz w:val="20"/>
                <w:szCs w:val="20"/>
              </w:rPr>
            </w:pPr>
            <w:r w:rsidRPr="00BC091A">
              <w:rPr>
                <w:sz w:val="20"/>
                <w:szCs w:val="20"/>
              </w:rPr>
              <w:t>1</w:t>
            </w:r>
          </w:p>
        </w:tc>
        <w:tc>
          <w:tcPr>
            <w:tcW w:w="1218" w:type="dxa"/>
          </w:tcPr>
          <w:p w14:paraId="6F4D3931"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0.0%</w:t>
            </w:r>
          </w:p>
        </w:tc>
        <w:tc>
          <w:tcPr>
            <w:tcW w:w="1218" w:type="dxa"/>
          </w:tcPr>
          <w:p w14:paraId="0097F34F" w14:textId="77777777" w:rsidR="007A6A1A" w:rsidRPr="00BC091A" w:rsidRDefault="007A6A1A" w:rsidP="007A6A1A">
            <w:pPr>
              <w:spacing w:after="0"/>
              <w:jc w:val="right"/>
              <w:rPr>
                <w:sz w:val="20"/>
                <w:szCs w:val="20"/>
              </w:rPr>
            </w:pPr>
            <w:r w:rsidRPr="00BC091A">
              <w:rPr>
                <w:sz w:val="20"/>
                <w:szCs w:val="20"/>
              </w:rPr>
              <w:t>18</w:t>
            </w:r>
          </w:p>
        </w:tc>
        <w:tc>
          <w:tcPr>
            <w:tcW w:w="1218" w:type="dxa"/>
          </w:tcPr>
          <w:p w14:paraId="605DBD64"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0.4%</w:t>
            </w:r>
          </w:p>
        </w:tc>
      </w:tr>
      <w:tr w:rsidR="007A6A1A" w:rsidRPr="00167CB8" w14:paraId="7DE8EE47" w14:textId="77777777">
        <w:tc>
          <w:tcPr>
            <w:tcW w:w="1980" w:type="dxa"/>
          </w:tcPr>
          <w:p w14:paraId="7BE1DA88" w14:textId="77777777" w:rsidR="007A6A1A" w:rsidRPr="00BC091A" w:rsidRDefault="007A6A1A" w:rsidP="007A6A1A">
            <w:pPr>
              <w:spacing w:after="0"/>
              <w:rPr>
                <w:sz w:val="20"/>
                <w:szCs w:val="20"/>
              </w:rPr>
            </w:pPr>
            <w:r w:rsidRPr="00BC091A">
              <w:rPr>
                <w:sz w:val="20"/>
                <w:szCs w:val="20"/>
              </w:rPr>
              <w:t>Not approved</w:t>
            </w:r>
          </w:p>
        </w:tc>
        <w:tc>
          <w:tcPr>
            <w:tcW w:w="1218" w:type="dxa"/>
          </w:tcPr>
          <w:p w14:paraId="2289902A" w14:textId="77777777" w:rsidR="007A6A1A" w:rsidRPr="00BC091A" w:rsidRDefault="007A6A1A" w:rsidP="007A6A1A">
            <w:pPr>
              <w:spacing w:after="0"/>
              <w:jc w:val="right"/>
              <w:rPr>
                <w:sz w:val="20"/>
                <w:szCs w:val="20"/>
              </w:rPr>
            </w:pPr>
            <w:r w:rsidRPr="00BC091A">
              <w:rPr>
                <w:sz w:val="20"/>
                <w:szCs w:val="20"/>
              </w:rPr>
              <w:t>24</w:t>
            </w:r>
          </w:p>
        </w:tc>
        <w:tc>
          <w:tcPr>
            <w:tcW w:w="1218" w:type="dxa"/>
          </w:tcPr>
          <w:p w14:paraId="126C5F5F"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0.5%</w:t>
            </w:r>
          </w:p>
        </w:tc>
        <w:tc>
          <w:tcPr>
            <w:tcW w:w="1218" w:type="dxa"/>
          </w:tcPr>
          <w:p w14:paraId="62937742" w14:textId="77777777" w:rsidR="007A6A1A" w:rsidRPr="00BC091A" w:rsidRDefault="007A6A1A" w:rsidP="007A6A1A">
            <w:pPr>
              <w:spacing w:after="0"/>
              <w:jc w:val="right"/>
              <w:rPr>
                <w:sz w:val="20"/>
                <w:szCs w:val="20"/>
              </w:rPr>
            </w:pPr>
            <w:r w:rsidRPr="00BC091A">
              <w:rPr>
                <w:sz w:val="20"/>
                <w:szCs w:val="20"/>
              </w:rPr>
              <w:t>13</w:t>
            </w:r>
          </w:p>
        </w:tc>
        <w:tc>
          <w:tcPr>
            <w:tcW w:w="1218" w:type="dxa"/>
          </w:tcPr>
          <w:p w14:paraId="4E52FE36"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0.3%</w:t>
            </w:r>
          </w:p>
        </w:tc>
        <w:tc>
          <w:tcPr>
            <w:tcW w:w="1218" w:type="dxa"/>
          </w:tcPr>
          <w:p w14:paraId="60EF3249" w14:textId="77777777" w:rsidR="007A6A1A" w:rsidRPr="00BC091A" w:rsidRDefault="007A6A1A" w:rsidP="007A6A1A">
            <w:pPr>
              <w:spacing w:after="0"/>
              <w:jc w:val="right"/>
              <w:rPr>
                <w:sz w:val="20"/>
                <w:szCs w:val="20"/>
              </w:rPr>
            </w:pPr>
            <w:r w:rsidRPr="00BC091A">
              <w:rPr>
                <w:sz w:val="20"/>
                <w:szCs w:val="20"/>
              </w:rPr>
              <w:t>34</w:t>
            </w:r>
          </w:p>
        </w:tc>
        <w:tc>
          <w:tcPr>
            <w:tcW w:w="1218" w:type="dxa"/>
          </w:tcPr>
          <w:p w14:paraId="5368FE19"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0.7%</w:t>
            </w:r>
          </w:p>
        </w:tc>
      </w:tr>
      <w:tr w:rsidR="007A6A1A" w:rsidRPr="00167CB8" w14:paraId="73811E76" w14:textId="77777777">
        <w:tc>
          <w:tcPr>
            <w:tcW w:w="1980" w:type="dxa"/>
          </w:tcPr>
          <w:p w14:paraId="6C0A1AE4" w14:textId="77777777" w:rsidR="007A6A1A" w:rsidRPr="00BC091A" w:rsidRDefault="007A6A1A" w:rsidP="007A6A1A">
            <w:pPr>
              <w:spacing w:after="0"/>
              <w:rPr>
                <w:sz w:val="20"/>
                <w:szCs w:val="20"/>
              </w:rPr>
            </w:pPr>
            <w:r w:rsidRPr="00BC091A">
              <w:rPr>
                <w:sz w:val="20"/>
                <w:szCs w:val="20"/>
              </w:rPr>
              <w:t>Other (includes dismissed and withdrawn)</w:t>
            </w:r>
          </w:p>
        </w:tc>
        <w:tc>
          <w:tcPr>
            <w:tcW w:w="1218" w:type="dxa"/>
          </w:tcPr>
          <w:p w14:paraId="5AB69BD5" w14:textId="77777777" w:rsidR="007A6A1A" w:rsidRPr="00BC091A" w:rsidRDefault="007A6A1A" w:rsidP="007A6A1A">
            <w:pPr>
              <w:spacing w:after="0"/>
              <w:jc w:val="right"/>
              <w:rPr>
                <w:sz w:val="20"/>
                <w:szCs w:val="20"/>
              </w:rPr>
            </w:pPr>
            <w:r w:rsidRPr="00BC091A">
              <w:rPr>
                <w:sz w:val="20"/>
                <w:szCs w:val="20"/>
              </w:rPr>
              <w:t>131</w:t>
            </w:r>
          </w:p>
        </w:tc>
        <w:tc>
          <w:tcPr>
            <w:tcW w:w="1218" w:type="dxa"/>
          </w:tcPr>
          <w:p w14:paraId="2A850FB9"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2.9%</w:t>
            </w:r>
          </w:p>
        </w:tc>
        <w:tc>
          <w:tcPr>
            <w:tcW w:w="1218" w:type="dxa"/>
          </w:tcPr>
          <w:p w14:paraId="4DB901C6" w14:textId="77777777" w:rsidR="007A6A1A" w:rsidRPr="00BC091A" w:rsidRDefault="007A6A1A" w:rsidP="007A6A1A">
            <w:pPr>
              <w:spacing w:after="0"/>
              <w:jc w:val="right"/>
              <w:rPr>
                <w:sz w:val="20"/>
                <w:szCs w:val="20"/>
              </w:rPr>
            </w:pPr>
            <w:r w:rsidRPr="00BC091A">
              <w:rPr>
                <w:sz w:val="20"/>
                <w:szCs w:val="20"/>
              </w:rPr>
              <w:t>140</w:t>
            </w:r>
          </w:p>
        </w:tc>
        <w:tc>
          <w:tcPr>
            <w:tcW w:w="1218" w:type="dxa"/>
          </w:tcPr>
          <w:p w14:paraId="4D85F367"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3.4%</w:t>
            </w:r>
          </w:p>
        </w:tc>
        <w:tc>
          <w:tcPr>
            <w:tcW w:w="1218" w:type="dxa"/>
          </w:tcPr>
          <w:p w14:paraId="26D79488" w14:textId="77777777" w:rsidR="007A6A1A" w:rsidRPr="00BC091A" w:rsidRDefault="007A6A1A" w:rsidP="007A6A1A">
            <w:pPr>
              <w:spacing w:after="0"/>
              <w:jc w:val="right"/>
              <w:rPr>
                <w:sz w:val="20"/>
                <w:szCs w:val="20"/>
              </w:rPr>
            </w:pPr>
            <w:r w:rsidRPr="00BC091A">
              <w:rPr>
                <w:sz w:val="20"/>
                <w:szCs w:val="20"/>
              </w:rPr>
              <w:t>177</w:t>
            </w:r>
          </w:p>
        </w:tc>
        <w:tc>
          <w:tcPr>
            <w:tcW w:w="1218" w:type="dxa"/>
          </w:tcPr>
          <w:p w14:paraId="3769DE47"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3.7%</w:t>
            </w:r>
          </w:p>
        </w:tc>
      </w:tr>
      <w:tr w:rsidR="007A6A1A" w:rsidRPr="00167CB8" w14:paraId="503F6110" w14:textId="77777777">
        <w:tc>
          <w:tcPr>
            <w:tcW w:w="1980" w:type="dxa"/>
          </w:tcPr>
          <w:p w14:paraId="3B7A7873" w14:textId="77777777" w:rsidR="007A6A1A" w:rsidRPr="00BC091A" w:rsidRDefault="007A6A1A" w:rsidP="007A6A1A">
            <w:pPr>
              <w:spacing w:after="0"/>
              <w:rPr>
                <w:sz w:val="20"/>
                <w:szCs w:val="20"/>
              </w:rPr>
            </w:pPr>
            <w:r w:rsidRPr="00BC091A">
              <w:rPr>
                <w:sz w:val="20"/>
                <w:szCs w:val="20"/>
              </w:rPr>
              <w:t>Total</w:t>
            </w:r>
          </w:p>
        </w:tc>
        <w:tc>
          <w:tcPr>
            <w:tcW w:w="1218" w:type="dxa"/>
          </w:tcPr>
          <w:p w14:paraId="646B96B0" w14:textId="341A565E" w:rsidR="007A6A1A" w:rsidRPr="00BC091A" w:rsidRDefault="007A6A1A" w:rsidP="007A6A1A">
            <w:pPr>
              <w:spacing w:after="0"/>
              <w:jc w:val="right"/>
              <w:rPr>
                <w:sz w:val="20"/>
                <w:szCs w:val="20"/>
              </w:rPr>
            </w:pPr>
            <w:r w:rsidRPr="00BC091A">
              <w:rPr>
                <w:sz w:val="20"/>
                <w:szCs w:val="20"/>
              </w:rPr>
              <w:t>4</w:t>
            </w:r>
            <w:r w:rsidR="004208E4" w:rsidRPr="00BC091A">
              <w:rPr>
                <w:sz w:val="20"/>
                <w:szCs w:val="20"/>
              </w:rPr>
              <w:t>,</w:t>
            </w:r>
            <w:r w:rsidRPr="00BC091A">
              <w:rPr>
                <w:sz w:val="20"/>
                <w:szCs w:val="20"/>
              </w:rPr>
              <w:t>516</w:t>
            </w:r>
          </w:p>
        </w:tc>
        <w:tc>
          <w:tcPr>
            <w:tcW w:w="1218" w:type="dxa"/>
          </w:tcPr>
          <w:p w14:paraId="0E80BFA6"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100.0%</w:t>
            </w:r>
          </w:p>
        </w:tc>
        <w:tc>
          <w:tcPr>
            <w:tcW w:w="1218" w:type="dxa"/>
          </w:tcPr>
          <w:p w14:paraId="7C44F162" w14:textId="486D38B0" w:rsidR="007A6A1A" w:rsidRPr="00BC091A" w:rsidRDefault="007A6A1A" w:rsidP="007A6A1A">
            <w:pPr>
              <w:spacing w:after="0"/>
              <w:jc w:val="right"/>
              <w:rPr>
                <w:sz w:val="20"/>
                <w:szCs w:val="20"/>
              </w:rPr>
            </w:pPr>
            <w:r w:rsidRPr="00BC091A">
              <w:rPr>
                <w:sz w:val="20"/>
                <w:szCs w:val="20"/>
              </w:rPr>
              <w:t>4</w:t>
            </w:r>
            <w:r w:rsidR="004208E4" w:rsidRPr="00BC091A">
              <w:rPr>
                <w:sz w:val="20"/>
                <w:szCs w:val="20"/>
              </w:rPr>
              <w:t>,</w:t>
            </w:r>
            <w:r w:rsidRPr="00BC091A">
              <w:rPr>
                <w:sz w:val="20"/>
                <w:szCs w:val="20"/>
              </w:rPr>
              <w:t>172</w:t>
            </w:r>
          </w:p>
        </w:tc>
        <w:tc>
          <w:tcPr>
            <w:tcW w:w="1218" w:type="dxa"/>
          </w:tcPr>
          <w:p w14:paraId="7BED31A3"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100.0%</w:t>
            </w:r>
          </w:p>
        </w:tc>
        <w:tc>
          <w:tcPr>
            <w:tcW w:w="1218" w:type="dxa"/>
          </w:tcPr>
          <w:p w14:paraId="55962FED" w14:textId="3D1B5F93" w:rsidR="007A6A1A" w:rsidRPr="00BC091A" w:rsidRDefault="007A6A1A" w:rsidP="007A6A1A">
            <w:pPr>
              <w:spacing w:after="0"/>
              <w:jc w:val="right"/>
              <w:rPr>
                <w:sz w:val="20"/>
                <w:szCs w:val="20"/>
              </w:rPr>
            </w:pPr>
            <w:r w:rsidRPr="00BC091A">
              <w:rPr>
                <w:sz w:val="20"/>
                <w:szCs w:val="20"/>
              </w:rPr>
              <w:t>4</w:t>
            </w:r>
            <w:r w:rsidR="004208E4" w:rsidRPr="00BC091A">
              <w:rPr>
                <w:sz w:val="20"/>
                <w:szCs w:val="20"/>
              </w:rPr>
              <w:t>,</w:t>
            </w:r>
            <w:r w:rsidRPr="00BC091A">
              <w:rPr>
                <w:sz w:val="20"/>
                <w:szCs w:val="20"/>
              </w:rPr>
              <w:t>790</w:t>
            </w:r>
          </w:p>
        </w:tc>
        <w:tc>
          <w:tcPr>
            <w:tcW w:w="1218" w:type="dxa"/>
          </w:tcPr>
          <w:p w14:paraId="7DB97EB8" w14:textId="77777777" w:rsidR="007A6A1A" w:rsidRPr="00BC091A" w:rsidRDefault="007A6A1A" w:rsidP="007A6A1A">
            <w:pPr>
              <w:spacing w:after="0"/>
              <w:jc w:val="right"/>
              <w:rPr>
                <w:sz w:val="20"/>
                <w:szCs w:val="20"/>
              </w:rPr>
            </w:pPr>
            <w:r w:rsidRPr="00BC091A">
              <w:rPr>
                <w:rFonts w:ascii="Aptos" w:hAnsi="Aptos" w:cs="Calibri"/>
                <w:color w:val="000000"/>
                <w:sz w:val="20"/>
                <w:szCs w:val="20"/>
              </w:rPr>
              <w:t>100.0%</w:t>
            </w:r>
          </w:p>
        </w:tc>
      </w:tr>
    </w:tbl>
    <w:p w14:paraId="2A7B8558" w14:textId="67708029" w:rsidR="007A6A1A" w:rsidRPr="00167CB8" w:rsidRDefault="007A6A1A" w:rsidP="004208E4">
      <w:pPr>
        <w:pStyle w:val="Source"/>
      </w:pPr>
      <w:r w:rsidRPr="00167CB8">
        <w:rPr>
          <w:b/>
          <w:bCs/>
        </w:rPr>
        <w:t>Source:</w:t>
      </w:r>
      <w:r w:rsidRPr="00167CB8">
        <w:t xml:space="preserve"> Review analysis of data provided by the FWC, July 2021 – June 2024</w:t>
      </w:r>
      <w:r w:rsidR="004208E4" w:rsidRPr="00167CB8">
        <w:t>.</w:t>
      </w:r>
    </w:p>
    <w:p w14:paraId="5FB75556" w14:textId="4974E4B2" w:rsidR="007A6A1A" w:rsidRPr="00167CB8" w:rsidRDefault="007A6A1A" w:rsidP="004208E4">
      <w:pPr>
        <w:pStyle w:val="Source"/>
      </w:pPr>
      <w:r w:rsidRPr="00167CB8">
        <w:rPr>
          <w:b/>
          <w:bCs/>
        </w:rPr>
        <w:t>Alt text:</w:t>
      </w:r>
      <w:r w:rsidRPr="00167CB8">
        <w:t xml:space="preserve"> A table showing the outcomes of applications for approval of enterprise agreements by the financial year in which the application was lodged. The table shows that in the 2023</w:t>
      </w:r>
      <w:r w:rsidR="004208E4" w:rsidRPr="00167CB8">
        <w:rPr>
          <w:rFonts w:ascii="Symbol" w:eastAsia="Symbol" w:hAnsi="Symbol" w:cs="Symbol"/>
        </w:rPr>
        <w:sym w:font="Symbol" w:char="F02D"/>
      </w:r>
      <w:r w:rsidRPr="00167CB8">
        <w:t>34 financial year 2,503 (52.3%) applications were approved without variation, 20 (0.4%) were approved with amendments, 2,038 (42.5%) were approved with undertakings and 18 (0.4%) were approved with both undertakings and amendments.</w:t>
      </w:r>
    </w:p>
    <w:p w14:paraId="1751B251" w14:textId="77777777" w:rsidR="007A6A1A" w:rsidRPr="00167CB8" w:rsidRDefault="007A6A1A" w:rsidP="007A6A1A">
      <w:r w:rsidRPr="00167CB8">
        <w:br w:type="page"/>
      </w:r>
    </w:p>
    <w:p w14:paraId="34327A62" w14:textId="1C1BCADD" w:rsidR="007A6A1A" w:rsidRPr="00167CB8" w:rsidRDefault="00650687" w:rsidP="00650687">
      <w:pPr>
        <w:pStyle w:val="Heading3"/>
      </w:pPr>
      <w:bookmarkStart w:id="891" w:name="_Toc188278061"/>
      <w:bookmarkStart w:id="892" w:name="_Toc189393679"/>
      <w:r>
        <w:lastRenderedPageBreak/>
        <w:t xml:space="preserve">3. </w:t>
      </w:r>
      <w:r w:rsidR="007A6A1A" w:rsidRPr="00167CB8">
        <w:t>Timeliness of enterprise agreement approvals</w:t>
      </w:r>
      <w:bookmarkEnd w:id="891"/>
      <w:bookmarkEnd w:id="892"/>
    </w:p>
    <w:p w14:paraId="0F8DDAD8" w14:textId="58FE996C" w:rsidR="007A6A1A" w:rsidRPr="00167CB8" w:rsidRDefault="007A6A1A" w:rsidP="007A6A1A">
      <w:r w:rsidRPr="00167CB8">
        <w:t xml:space="preserve">The time taken by the FWC to approve agreements has remained stable over the last </w:t>
      </w:r>
      <w:r w:rsidR="004208E4" w:rsidRPr="00167CB8">
        <w:t xml:space="preserve">3 </w:t>
      </w:r>
      <w:r w:rsidRPr="00167CB8">
        <w:t xml:space="preserve">financial years. As shown in </w:t>
      </w:r>
      <w:r w:rsidR="009D0016" w:rsidRPr="00167CB8">
        <w:t xml:space="preserve">Table </w:t>
      </w:r>
      <w:r w:rsidR="00177CA8">
        <w:t>63</w:t>
      </w:r>
      <w:r w:rsidRPr="00167CB8">
        <w:t xml:space="preserve">, the median time taken to approve an enterprise agreement is largely dependent on whether undertakings from the employer or amendments by the FWC itself are required. </w:t>
      </w:r>
      <w:r w:rsidR="003E5D58" w:rsidRPr="00167CB8">
        <w:t>Figure 55</w:t>
      </w:r>
      <w:r w:rsidRPr="00167CB8">
        <w:t xml:space="preserve"> shows the spread of all approval decisions in each financial year.</w:t>
      </w:r>
    </w:p>
    <w:p w14:paraId="501150C2" w14:textId="7FDFAF13" w:rsidR="007A6A1A" w:rsidRPr="00167CB8" w:rsidRDefault="007A6A1A" w:rsidP="00470AB9">
      <w:pPr>
        <w:pStyle w:val="Caption"/>
      </w:pPr>
      <w:bookmarkStart w:id="893" w:name="_Ref187684069"/>
      <w:bookmarkStart w:id="894" w:name="_Ref187684062"/>
      <w:bookmarkStart w:id="895" w:name="_Toc187688538"/>
      <w:bookmarkStart w:id="896" w:name="_Toc189310892"/>
      <w:r w:rsidRPr="00167CB8">
        <w:t xml:space="preserve">Table </w:t>
      </w:r>
      <w:r w:rsidR="003E5D58" w:rsidRPr="00167CB8">
        <w:t>63</w:t>
      </w:r>
      <w:bookmarkEnd w:id="893"/>
      <w:r w:rsidRPr="00167CB8">
        <w:t>: Median calendar days to approval decision</w:t>
      </w:r>
      <w:bookmarkEnd w:id="894"/>
      <w:bookmarkEnd w:id="895"/>
      <w:r w:rsidR="004208E4" w:rsidRPr="00167CB8">
        <w:t>, 2021</w:t>
      </w:r>
      <w:r w:rsidR="004208E4" w:rsidRPr="00167CB8">
        <w:rPr>
          <w:rFonts w:ascii="Symbol" w:eastAsia="Symbol" w:hAnsi="Symbol" w:cs="Symbol"/>
        </w:rPr>
        <w:sym w:font="Symbol" w:char="F02D"/>
      </w:r>
      <w:r w:rsidR="004208E4" w:rsidRPr="00167CB8">
        <w:t>22 to 2023</w:t>
      </w:r>
      <w:r w:rsidR="004208E4" w:rsidRPr="00167CB8">
        <w:rPr>
          <w:rFonts w:ascii="Symbol" w:eastAsia="Symbol" w:hAnsi="Symbol" w:cs="Symbol"/>
        </w:rPr>
        <w:sym w:font="Symbol" w:char="F02D"/>
      </w:r>
      <w:r w:rsidR="004208E4" w:rsidRPr="00167CB8">
        <w:t>24</w:t>
      </w:r>
      <w:bookmarkEnd w:id="8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1481"/>
        <w:gridCol w:w="1481"/>
        <w:gridCol w:w="1479"/>
      </w:tblGrid>
      <w:tr w:rsidR="007A6A1A" w:rsidRPr="00167CB8" w14:paraId="28084532" w14:textId="77777777">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353F679" w14:textId="77777777" w:rsidR="007A6A1A" w:rsidRPr="00167CB8" w:rsidRDefault="007A6A1A" w:rsidP="007A6A1A">
            <w:pPr>
              <w:rPr>
                <w:b/>
                <w:bCs/>
              </w:rPr>
            </w:pP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07234B30" w14:textId="6E88B55B" w:rsidR="007A6A1A" w:rsidRPr="00167CB8" w:rsidRDefault="007A6A1A" w:rsidP="007A6A1A">
            <w:pPr>
              <w:rPr>
                <w:b/>
                <w:bCs/>
              </w:rPr>
            </w:pPr>
            <w:r w:rsidRPr="00167CB8">
              <w:rPr>
                <w:b/>
                <w:bCs/>
              </w:rPr>
              <w:t>2021</w:t>
            </w:r>
            <w:r w:rsidR="004208E4" w:rsidRPr="00167CB8">
              <w:rPr>
                <w:rFonts w:ascii="Symbol" w:eastAsia="Symbol" w:hAnsi="Symbol" w:cs="Symbol"/>
                <w:b/>
              </w:rPr>
              <w:sym w:font="Symbol" w:char="F02D"/>
            </w:r>
            <w:r w:rsidRPr="00167CB8">
              <w:rPr>
                <w:b/>
                <w:bCs/>
              </w:rPr>
              <w:t>22</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700831FF" w14:textId="0DA25B6C" w:rsidR="007A6A1A" w:rsidRPr="00167CB8" w:rsidRDefault="007A6A1A" w:rsidP="007A6A1A">
            <w:pPr>
              <w:rPr>
                <w:b/>
                <w:bCs/>
              </w:rPr>
            </w:pPr>
            <w:r w:rsidRPr="00167CB8">
              <w:rPr>
                <w:b/>
                <w:bCs/>
              </w:rPr>
              <w:t>2022</w:t>
            </w:r>
            <w:r w:rsidR="004208E4" w:rsidRPr="00167CB8">
              <w:rPr>
                <w:rFonts w:ascii="Symbol" w:eastAsia="Symbol" w:hAnsi="Symbol" w:cs="Symbol"/>
                <w:b/>
              </w:rPr>
              <w:sym w:font="Symbol" w:char="F02D"/>
            </w:r>
            <w:r w:rsidRPr="00167CB8">
              <w:rPr>
                <w:b/>
                <w:bCs/>
              </w:rPr>
              <w:t>23</w:t>
            </w:r>
          </w:p>
        </w:tc>
        <w:tc>
          <w:tcPr>
            <w:tcW w:w="806" w:type="pct"/>
            <w:tcBorders>
              <w:top w:val="single" w:sz="4" w:space="0" w:color="auto"/>
              <w:left w:val="single" w:sz="4" w:space="0" w:color="auto"/>
              <w:bottom w:val="single" w:sz="4" w:space="0" w:color="auto"/>
              <w:right w:val="single" w:sz="4" w:space="0" w:color="auto"/>
            </w:tcBorders>
            <w:noWrap/>
            <w:vAlign w:val="bottom"/>
            <w:hideMark/>
          </w:tcPr>
          <w:p w14:paraId="0573015F" w14:textId="2899FF59" w:rsidR="007A6A1A" w:rsidRPr="00167CB8" w:rsidRDefault="007A6A1A" w:rsidP="007A6A1A">
            <w:pPr>
              <w:rPr>
                <w:b/>
                <w:bCs/>
              </w:rPr>
            </w:pPr>
            <w:r w:rsidRPr="00167CB8">
              <w:rPr>
                <w:b/>
                <w:bCs/>
              </w:rPr>
              <w:t>2023</w:t>
            </w:r>
            <w:r w:rsidR="004208E4" w:rsidRPr="00167CB8">
              <w:rPr>
                <w:rFonts w:ascii="Symbol" w:eastAsia="Symbol" w:hAnsi="Symbol" w:cs="Symbol"/>
                <w:b/>
              </w:rPr>
              <w:sym w:font="Symbol" w:char="F02D"/>
            </w:r>
            <w:r w:rsidRPr="00167CB8">
              <w:rPr>
                <w:b/>
                <w:bCs/>
              </w:rPr>
              <w:t>24</w:t>
            </w:r>
          </w:p>
        </w:tc>
      </w:tr>
      <w:tr w:rsidR="007A6A1A" w:rsidRPr="00167CB8" w14:paraId="2CFFD8F5" w14:textId="77777777">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0536508" w14:textId="77777777" w:rsidR="007A6A1A" w:rsidRPr="00167CB8" w:rsidRDefault="007A6A1A" w:rsidP="007A6A1A">
            <w:r w:rsidRPr="00167CB8">
              <w:t>All agreement approvals</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7A57C3E3" w14:textId="77777777" w:rsidR="007A6A1A" w:rsidRPr="00167CB8" w:rsidRDefault="007A6A1A" w:rsidP="007A6A1A">
            <w:r w:rsidRPr="00167CB8">
              <w:t>15</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1402CF75" w14:textId="77777777" w:rsidR="007A6A1A" w:rsidRPr="00167CB8" w:rsidRDefault="007A6A1A" w:rsidP="007A6A1A">
            <w:r w:rsidRPr="00167CB8">
              <w:t>17</w:t>
            </w:r>
          </w:p>
        </w:tc>
        <w:tc>
          <w:tcPr>
            <w:tcW w:w="806" w:type="pct"/>
            <w:tcBorders>
              <w:top w:val="single" w:sz="4" w:space="0" w:color="auto"/>
              <w:left w:val="single" w:sz="4" w:space="0" w:color="auto"/>
              <w:bottom w:val="single" w:sz="4" w:space="0" w:color="auto"/>
              <w:right w:val="single" w:sz="4" w:space="0" w:color="auto"/>
            </w:tcBorders>
            <w:noWrap/>
            <w:vAlign w:val="bottom"/>
            <w:hideMark/>
          </w:tcPr>
          <w:p w14:paraId="4ADD75DF" w14:textId="77777777" w:rsidR="007A6A1A" w:rsidRPr="00167CB8" w:rsidRDefault="007A6A1A" w:rsidP="007A6A1A">
            <w:r w:rsidRPr="00167CB8">
              <w:t>16</w:t>
            </w:r>
          </w:p>
        </w:tc>
      </w:tr>
      <w:tr w:rsidR="007A6A1A" w:rsidRPr="00167CB8" w14:paraId="4D7ADCF8" w14:textId="77777777">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E330CE3" w14:textId="77777777" w:rsidR="007A6A1A" w:rsidRPr="00167CB8" w:rsidRDefault="007A6A1A" w:rsidP="007A6A1A">
            <w:r w:rsidRPr="00167CB8">
              <w:t>Approved with undertakings and/or amendments</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37825128" w14:textId="77777777" w:rsidR="007A6A1A" w:rsidRPr="00167CB8" w:rsidRDefault="007A6A1A" w:rsidP="007A6A1A">
            <w:r w:rsidRPr="00167CB8">
              <w:t>22</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1D704C91" w14:textId="77777777" w:rsidR="007A6A1A" w:rsidRPr="00167CB8" w:rsidRDefault="007A6A1A" w:rsidP="007A6A1A">
            <w:r w:rsidRPr="00167CB8">
              <w:t>22</w:t>
            </w:r>
          </w:p>
        </w:tc>
        <w:tc>
          <w:tcPr>
            <w:tcW w:w="806" w:type="pct"/>
            <w:tcBorders>
              <w:top w:val="single" w:sz="4" w:space="0" w:color="auto"/>
              <w:left w:val="single" w:sz="4" w:space="0" w:color="auto"/>
              <w:bottom w:val="single" w:sz="4" w:space="0" w:color="auto"/>
              <w:right w:val="single" w:sz="4" w:space="0" w:color="auto"/>
            </w:tcBorders>
            <w:noWrap/>
            <w:vAlign w:val="bottom"/>
            <w:hideMark/>
          </w:tcPr>
          <w:p w14:paraId="783612C4" w14:textId="77777777" w:rsidR="007A6A1A" w:rsidRPr="00167CB8" w:rsidRDefault="007A6A1A" w:rsidP="007A6A1A">
            <w:r w:rsidRPr="00167CB8">
              <w:t>23</w:t>
            </w:r>
          </w:p>
        </w:tc>
      </w:tr>
      <w:tr w:rsidR="007A6A1A" w:rsidRPr="00167CB8" w14:paraId="7C8FDF55" w14:textId="77777777">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D7BE1FE" w14:textId="77777777" w:rsidR="007A6A1A" w:rsidRPr="00167CB8" w:rsidRDefault="007A6A1A" w:rsidP="007A6A1A">
            <w:r w:rsidRPr="00167CB8">
              <w:t>Approved without undertakings or amendments</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1499CD8E" w14:textId="77777777" w:rsidR="007A6A1A" w:rsidRPr="00167CB8" w:rsidRDefault="007A6A1A" w:rsidP="007A6A1A">
            <w:r w:rsidRPr="00167CB8">
              <w:t>12</w:t>
            </w:r>
          </w:p>
        </w:tc>
        <w:tc>
          <w:tcPr>
            <w:tcW w:w="807" w:type="pct"/>
            <w:tcBorders>
              <w:top w:val="single" w:sz="4" w:space="0" w:color="auto"/>
              <w:left w:val="single" w:sz="4" w:space="0" w:color="auto"/>
              <w:bottom w:val="single" w:sz="4" w:space="0" w:color="auto"/>
              <w:right w:val="single" w:sz="4" w:space="0" w:color="auto"/>
            </w:tcBorders>
            <w:noWrap/>
            <w:vAlign w:val="bottom"/>
            <w:hideMark/>
          </w:tcPr>
          <w:p w14:paraId="6B6F72DC" w14:textId="77777777" w:rsidR="007A6A1A" w:rsidRPr="00167CB8" w:rsidRDefault="007A6A1A" w:rsidP="007A6A1A">
            <w:r w:rsidRPr="00167CB8">
              <w:t>12</w:t>
            </w:r>
          </w:p>
        </w:tc>
        <w:tc>
          <w:tcPr>
            <w:tcW w:w="806" w:type="pct"/>
            <w:tcBorders>
              <w:top w:val="single" w:sz="4" w:space="0" w:color="auto"/>
              <w:left w:val="single" w:sz="4" w:space="0" w:color="auto"/>
              <w:bottom w:val="single" w:sz="4" w:space="0" w:color="auto"/>
              <w:right w:val="single" w:sz="4" w:space="0" w:color="auto"/>
            </w:tcBorders>
            <w:noWrap/>
            <w:vAlign w:val="bottom"/>
            <w:hideMark/>
          </w:tcPr>
          <w:p w14:paraId="2D965D8E" w14:textId="77777777" w:rsidR="007A6A1A" w:rsidRPr="00167CB8" w:rsidRDefault="007A6A1A" w:rsidP="007A6A1A">
            <w:r w:rsidRPr="00167CB8">
              <w:t>12</w:t>
            </w:r>
          </w:p>
        </w:tc>
      </w:tr>
    </w:tbl>
    <w:p w14:paraId="3677BC69" w14:textId="05F4249D" w:rsidR="007A6A1A" w:rsidRPr="00167CB8" w:rsidRDefault="007A6A1A" w:rsidP="004208E4">
      <w:pPr>
        <w:pStyle w:val="Source"/>
      </w:pPr>
      <w:r w:rsidRPr="00167CB8">
        <w:rPr>
          <w:b/>
          <w:bCs/>
        </w:rPr>
        <w:t xml:space="preserve">Source: </w:t>
      </w:r>
      <w:r w:rsidRPr="00167CB8">
        <w:t>Review analysis of data provided by the FWC, July 2021 – June 2024</w:t>
      </w:r>
      <w:r w:rsidR="004208E4" w:rsidRPr="00167CB8">
        <w:t>.</w:t>
      </w:r>
    </w:p>
    <w:p w14:paraId="7CD4DDDA" w14:textId="14093178" w:rsidR="007A6A1A" w:rsidRDefault="007A6A1A" w:rsidP="00470AB9">
      <w:pPr>
        <w:pStyle w:val="Caption"/>
      </w:pPr>
      <w:bookmarkStart w:id="897" w:name="_Ref187684168"/>
      <w:bookmarkStart w:id="898" w:name="_Ref187684161"/>
      <w:bookmarkStart w:id="899" w:name="_Toc187688541"/>
      <w:bookmarkStart w:id="900" w:name="_Toc189310843"/>
      <w:r w:rsidRPr="00167CB8">
        <w:t>Figure</w:t>
      </w:r>
      <w:r w:rsidR="003E5D58" w:rsidRPr="00167CB8">
        <w:t xml:space="preserve"> 55</w:t>
      </w:r>
      <w:bookmarkEnd w:id="897"/>
      <w:r w:rsidRPr="00167CB8">
        <w:t xml:space="preserve">: Approval decisions plot by </w:t>
      </w:r>
      <w:r w:rsidR="004208E4" w:rsidRPr="00167CB8">
        <w:t>f</w:t>
      </w:r>
      <w:r w:rsidRPr="00167CB8">
        <w:t xml:space="preserve">inancial </w:t>
      </w:r>
      <w:r w:rsidR="004208E4" w:rsidRPr="00167CB8">
        <w:t>y</w:t>
      </w:r>
      <w:r w:rsidRPr="00167CB8">
        <w:t>ear</w:t>
      </w:r>
      <w:bookmarkEnd w:id="898"/>
      <w:bookmarkEnd w:id="899"/>
      <w:r w:rsidR="004208E4" w:rsidRPr="00167CB8">
        <w:t>, 2021 to 2024</w:t>
      </w:r>
      <w:bookmarkEnd w:id="900"/>
    </w:p>
    <w:p w14:paraId="0D4FFA2C" w14:textId="2688D418" w:rsidR="007A6A1A" w:rsidRPr="004B3E2D" w:rsidRDefault="004B3E2D" w:rsidP="007A6A1A">
      <w:pPr>
        <w:rPr>
          <w:lang w:val="en-US"/>
        </w:rPr>
      </w:pPr>
      <w:r w:rsidRPr="004B3E2D">
        <w:rPr>
          <w:noProof/>
        </w:rPr>
        <w:drawing>
          <wp:inline distT="0" distB="0" distL="0" distR="0" wp14:anchorId="1D3E0DFF" wp14:editId="7072461A">
            <wp:extent cx="5723809" cy="3742857"/>
            <wp:effectExtent l="0" t="0" r="0" b="0"/>
            <wp:docPr id="2034310513" name="Picture 1" descr="A graph with blue squar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10513" name="Picture 1" descr="A graph with blue squares and numbers&#10;&#10;AI-generated content may be incorrect."/>
                    <pic:cNvPicPr/>
                  </pic:nvPicPr>
                  <pic:blipFill>
                    <a:blip r:embed="rId92"/>
                    <a:stretch>
                      <a:fillRect/>
                    </a:stretch>
                  </pic:blipFill>
                  <pic:spPr>
                    <a:xfrm>
                      <a:off x="0" y="0"/>
                      <a:ext cx="5723809" cy="3742857"/>
                    </a:xfrm>
                    <a:prstGeom prst="rect">
                      <a:avLst/>
                    </a:prstGeom>
                  </pic:spPr>
                </pic:pic>
              </a:graphicData>
            </a:graphic>
          </wp:inline>
        </w:drawing>
      </w:r>
    </w:p>
    <w:p w14:paraId="503D14C5" w14:textId="096229A1" w:rsidR="007A6A1A" w:rsidRPr="00167CB8" w:rsidRDefault="007A6A1A" w:rsidP="004208E4">
      <w:pPr>
        <w:pStyle w:val="Source"/>
      </w:pPr>
      <w:r w:rsidRPr="00167CB8">
        <w:rPr>
          <w:b/>
          <w:bCs/>
        </w:rPr>
        <w:t xml:space="preserve">Source: </w:t>
      </w:r>
      <w:r w:rsidRPr="00167CB8">
        <w:t>Review analysis of data provided by the FWC, July 2021 – June 2024</w:t>
      </w:r>
      <w:r w:rsidR="004208E4" w:rsidRPr="00167CB8">
        <w:t>.</w:t>
      </w:r>
    </w:p>
    <w:p w14:paraId="5252988A" w14:textId="2CB79C74" w:rsidR="007A6A1A" w:rsidRPr="00167CB8" w:rsidRDefault="007A6A1A" w:rsidP="004208E4">
      <w:pPr>
        <w:pStyle w:val="Source"/>
      </w:pPr>
      <w:r w:rsidRPr="00167CB8">
        <w:rPr>
          <w:b/>
          <w:bCs/>
        </w:rPr>
        <w:t>Alt text:</w:t>
      </w:r>
      <w:r w:rsidRPr="00167CB8">
        <w:t xml:space="preserve"> A box and whisker plot showing the distribution of calendar days taken for the FWC to approve an enterprise agreement once an application for approval is lodged. It shows a relatively consistent spread over the financial years compared, with the median days for all approvals being 15 in 2021</w:t>
      </w:r>
      <w:r w:rsidR="004208E4" w:rsidRPr="00167CB8">
        <w:rPr>
          <w:rFonts w:ascii="Symbol" w:eastAsia="Symbol" w:hAnsi="Symbol" w:cs="Symbol"/>
        </w:rPr>
        <w:sym w:font="Symbol" w:char="F02D"/>
      </w:r>
      <w:r w:rsidRPr="00167CB8">
        <w:t>22, 17 in 2022</w:t>
      </w:r>
      <w:r w:rsidR="004208E4" w:rsidRPr="00167CB8">
        <w:rPr>
          <w:rFonts w:ascii="Symbol" w:eastAsia="Symbol" w:hAnsi="Symbol" w:cs="Symbol"/>
        </w:rPr>
        <w:sym w:font="Symbol" w:char="F02D"/>
      </w:r>
      <w:r w:rsidRPr="00167CB8">
        <w:t>23, and 16 in 2023</w:t>
      </w:r>
      <w:r w:rsidR="004208E4" w:rsidRPr="00167CB8">
        <w:rPr>
          <w:rFonts w:ascii="Symbol" w:eastAsia="Symbol" w:hAnsi="Symbol" w:cs="Symbol"/>
        </w:rPr>
        <w:sym w:font="Symbol" w:char="F02D"/>
      </w:r>
      <w:r w:rsidRPr="00167CB8">
        <w:t>24.</w:t>
      </w:r>
      <w:r w:rsidRPr="00167CB8">
        <w:br w:type="page"/>
      </w:r>
    </w:p>
    <w:p w14:paraId="45B2D135" w14:textId="02BE327E" w:rsidR="007A6A1A" w:rsidRPr="00167CB8" w:rsidRDefault="00650687" w:rsidP="00650687">
      <w:pPr>
        <w:pStyle w:val="Heading3"/>
      </w:pPr>
      <w:bookmarkStart w:id="901" w:name="_Toc189393680"/>
      <w:r>
        <w:lastRenderedPageBreak/>
        <w:t xml:space="preserve">4. </w:t>
      </w:r>
      <w:bookmarkStart w:id="902" w:name="_Toc188278062"/>
      <w:r w:rsidR="007A6A1A" w:rsidRPr="00167CB8">
        <w:t xml:space="preserve">Majority </w:t>
      </w:r>
      <w:r w:rsidR="004208E4" w:rsidRPr="00167CB8">
        <w:t>s</w:t>
      </w:r>
      <w:r w:rsidR="007A6A1A" w:rsidRPr="00167CB8">
        <w:t xml:space="preserve">upport </w:t>
      </w:r>
      <w:r w:rsidR="004208E4" w:rsidRPr="00167CB8">
        <w:t>d</w:t>
      </w:r>
      <w:r w:rsidR="007A6A1A" w:rsidRPr="00167CB8">
        <w:t>etermination applications</w:t>
      </w:r>
      <w:bookmarkEnd w:id="902"/>
      <w:bookmarkEnd w:id="901"/>
    </w:p>
    <w:p w14:paraId="7810A761" w14:textId="2310599D" w:rsidR="007A6A1A" w:rsidRPr="00167CB8" w:rsidRDefault="007A6A1A" w:rsidP="007A6A1A">
      <w:r w:rsidRPr="00167CB8">
        <w:t xml:space="preserve">The </w:t>
      </w:r>
      <w:r w:rsidR="004208E4" w:rsidRPr="00167CB8">
        <w:t xml:space="preserve">Secure Jobs, Better Pay </w:t>
      </w:r>
      <w:r w:rsidRPr="00167CB8">
        <w:t xml:space="preserve">amendments provided an additional avenue for employees to commence bargaining to replace a nominally expired agreement, enabling a bargaining representative to commence bargaining without the need for a majority support determination. </w:t>
      </w:r>
    </w:p>
    <w:p w14:paraId="31F23F3B" w14:textId="26767CF2" w:rsidR="007A6A1A" w:rsidRPr="00167CB8" w:rsidRDefault="007A6A1A" w:rsidP="007A6A1A">
      <w:r w:rsidRPr="00167CB8">
        <w:t>The removal of the requirement for a majority support determination to commence bargaining in these circumstances has not resulted in a notable decrease in their use. As</w:t>
      </w:r>
      <w:r w:rsidR="007C6E85" w:rsidRPr="00167CB8">
        <w:t xml:space="preserve"> </w:t>
      </w:r>
      <w:r w:rsidR="00177CA8">
        <w:t>Figure 56</w:t>
      </w:r>
      <w:r w:rsidRPr="00167CB8">
        <w:t xml:space="preserve"> shows, while applications in total have decreased, so has the rate of withdrawal and dismissal.</w:t>
      </w:r>
    </w:p>
    <w:p w14:paraId="3570922D" w14:textId="2AA41586" w:rsidR="007A6A1A" w:rsidRPr="00167CB8" w:rsidRDefault="007A6A1A" w:rsidP="00470AB9">
      <w:pPr>
        <w:pStyle w:val="Caption"/>
      </w:pPr>
      <w:bookmarkStart w:id="903" w:name="_Ref187487947"/>
      <w:bookmarkStart w:id="904" w:name="_Ref187487942"/>
      <w:bookmarkStart w:id="905" w:name="_Toc187688542"/>
      <w:bookmarkStart w:id="906" w:name="_Toc189310844"/>
      <w:r w:rsidRPr="00167CB8">
        <w:t xml:space="preserve">Figure </w:t>
      </w:r>
      <w:r w:rsidR="003E5D58" w:rsidRPr="00167CB8">
        <w:t>56</w:t>
      </w:r>
      <w:bookmarkEnd w:id="903"/>
      <w:r w:rsidRPr="00167CB8">
        <w:t>: Outcomes of majority support determination (s</w:t>
      </w:r>
      <w:r w:rsidR="004208E4" w:rsidRPr="00167CB8">
        <w:t> </w:t>
      </w:r>
      <w:r w:rsidRPr="00167CB8">
        <w:t>236)</w:t>
      </w:r>
      <w:bookmarkEnd w:id="904"/>
      <w:bookmarkEnd w:id="905"/>
      <w:r w:rsidRPr="00167CB8">
        <w:t xml:space="preserve"> applications</w:t>
      </w:r>
      <w:r w:rsidR="004208E4" w:rsidRPr="00167CB8">
        <w:t>, 2021</w:t>
      </w:r>
      <w:r w:rsidR="004208E4" w:rsidRPr="00167CB8">
        <w:rPr>
          <w:rFonts w:ascii="Symbol" w:eastAsia="Symbol" w:hAnsi="Symbol" w:cs="Symbol"/>
        </w:rPr>
        <w:sym w:font="Symbol" w:char="F02D"/>
      </w:r>
      <w:r w:rsidR="004208E4" w:rsidRPr="00167CB8">
        <w:t>22 to 2023</w:t>
      </w:r>
      <w:r w:rsidR="004208E4" w:rsidRPr="00167CB8">
        <w:rPr>
          <w:rFonts w:ascii="Symbol" w:eastAsia="Symbol" w:hAnsi="Symbol" w:cs="Symbol"/>
        </w:rPr>
        <w:sym w:font="Symbol" w:char="F02D"/>
      </w:r>
      <w:r w:rsidR="004208E4" w:rsidRPr="00167CB8">
        <w:t>24</w:t>
      </w:r>
      <w:bookmarkEnd w:id="906"/>
    </w:p>
    <w:p w14:paraId="3AA496B9" w14:textId="24FA2606" w:rsidR="007A6A1A" w:rsidRPr="00167CB8" w:rsidRDefault="007A6A1A" w:rsidP="007A6A1A">
      <w:r w:rsidRPr="00167CB8">
        <w:rPr>
          <w:noProof/>
        </w:rPr>
        <w:drawing>
          <wp:inline distT="0" distB="0" distL="0" distR="0" wp14:anchorId="722436C2" wp14:editId="55B28336">
            <wp:extent cx="5781675" cy="3733800"/>
            <wp:effectExtent l="0" t="0" r="0" b="0"/>
            <wp:docPr id="26799697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73710E5" w14:textId="6797E995" w:rsidR="007A6A1A" w:rsidRPr="00167CB8" w:rsidRDefault="007A6A1A" w:rsidP="004208E4">
      <w:pPr>
        <w:pStyle w:val="Source"/>
      </w:pPr>
      <w:r w:rsidRPr="00167CB8">
        <w:rPr>
          <w:b/>
          <w:bCs/>
        </w:rPr>
        <w:t xml:space="preserve">Source: </w:t>
      </w:r>
      <w:r w:rsidRPr="00167CB8">
        <w:t>Review analysis of data provided by the FWC, July 2021 – June 2024</w:t>
      </w:r>
      <w:r w:rsidR="004208E4" w:rsidRPr="00167CB8">
        <w:t>.</w:t>
      </w:r>
    </w:p>
    <w:p w14:paraId="76900B49" w14:textId="61601ACB" w:rsidR="007A6A1A" w:rsidRPr="00167CB8" w:rsidRDefault="007A6A1A" w:rsidP="004208E4">
      <w:pPr>
        <w:pStyle w:val="Source"/>
      </w:pPr>
      <w:r w:rsidRPr="00167CB8">
        <w:rPr>
          <w:b/>
          <w:bCs/>
        </w:rPr>
        <w:t>Alt text:</w:t>
      </w:r>
      <w:r w:rsidRPr="00167CB8">
        <w:t xml:space="preserve"> A clustered column chart showing the outcomes from majority support determination (MSD) applications for the 2021</w:t>
      </w:r>
      <w:r w:rsidR="004208E4" w:rsidRPr="00167CB8">
        <w:rPr>
          <w:rFonts w:ascii="Symbol" w:eastAsia="Symbol" w:hAnsi="Symbol" w:cs="Symbol"/>
        </w:rPr>
        <w:sym w:font="Symbol" w:char="F02D"/>
      </w:r>
      <w:r w:rsidRPr="00167CB8">
        <w:t>22, 2022</w:t>
      </w:r>
      <w:r w:rsidR="004208E4" w:rsidRPr="00167CB8">
        <w:rPr>
          <w:rFonts w:ascii="Symbol" w:eastAsia="Symbol" w:hAnsi="Symbol" w:cs="Symbol"/>
        </w:rPr>
        <w:sym w:font="Symbol" w:char="F02D"/>
      </w:r>
      <w:r w:rsidRPr="00167CB8">
        <w:t>23 and 2203</w:t>
      </w:r>
      <w:r w:rsidR="004208E4" w:rsidRPr="00167CB8">
        <w:rPr>
          <w:rFonts w:ascii="Symbol" w:eastAsia="Symbol" w:hAnsi="Symbol" w:cs="Symbol"/>
        </w:rPr>
        <w:sym w:font="Symbol" w:char="F02D"/>
      </w:r>
      <w:r w:rsidRPr="00167CB8">
        <w:t>34 financial years. In 2023</w:t>
      </w:r>
      <w:r w:rsidR="004208E4" w:rsidRPr="00167CB8">
        <w:rPr>
          <w:rFonts w:ascii="Symbol" w:eastAsia="Symbol" w:hAnsi="Symbol" w:cs="Symbol"/>
        </w:rPr>
        <w:sym w:font="Symbol" w:char="F02D"/>
      </w:r>
      <w:r w:rsidRPr="00167CB8">
        <w:t>24 total MSD applications received was equal to 72. This compares with 98 in 2022</w:t>
      </w:r>
      <w:r w:rsidR="004208E4" w:rsidRPr="00167CB8">
        <w:rPr>
          <w:rFonts w:ascii="Symbol" w:eastAsia="Symbol" w:hAnsi="Symbol" w:cs="Symbol"/>
        </w:rPr>
        <w:sym w:font="Symbol" w:char="F02D"/>
      </w:r>
      <w:r w:rsidRPr="00167CB8">
        <w:t>23 and 97 in 2021</w:t>
      </w:r>
      <w:r w:rsidR="004208E4" w:rsidRPr="00167CB8">
        <w:rPr>
          <w:rFonts w:ascii="Symbol" w:eastAsia="Symbol" w:hAnsi="Symbol" w:cs="Symbol"/>
        </w:rPr>
        <w:sym w:font="Symbol" w:char="F02D"/>
      </w:r>
      <w:r w:rsidRPr="00167CB8">
        <w:t xml:space="preserve">22. The number of MSDs issued is constant across the financial years. </w:t>
      </w:r>
    </w:p>
    <w:p w14:paraId="0F0DF785" w14:textId="77777777" w:rsidR="007A6A1A" w:rsidRPr="00167CB8" w:rsidRDefault="007A6A1A" w:rsidP="007A6A1A">
      <w:r w:rsidRPr="00167CB8">
        <w:br w:type="page"/>
      </w:r>
    </w:p>
    <w:p w14:paraId="25DD5081" w14:textId="69543941" w:rsidR="007A6A1A" w:rsidRPr="00167CB8" w:rsidRDefault="00650687" w:rsidP="00650687">
      <w:pPr>
        <w:pStyle w:val="Heading3"/>
      </w:pPr>
      <w:bookmarkStart w:id="907" w:name="_Toc189393681"/>
      <w:r>
        <w:lastRenderedPageBreak/>
        <w:t xml:space="preserve">5. </w:t>
      </w:r>
      <w:bookmarkStart w:id="908" w:name="_Toc188278063"/>
      <w:r w:rsidR="007A6A1A" w:rsidRPr="00167CB8">
        <w:t>Industrial action</w:t>
      </w:r>
      <w:bookmarkEnd w:id="908"/>
      <w:bookmarkEnd w:id="907"/>
    </w:p>
    <w:p w14:paraId="36663EA1" w14:textId="621A6B43" w:rsidR="007A6A1A" w:rsidRPr="00167CB8" w:rsidRDefault="007A6A1A" w:rsidP="007A6A1A">
      <w:r w:rsidRPr="00167CB8">
        <w:t xml:space="preserve">The incidence of applications for protected action ballot orders, and thus protected industrial action, has not significantly increased since the commencement of the provisions as shown in </w:t>
      </w:r>
      <w:r w:rsidR="00177CA8">
        <w:t>Figure 57</w:t>
      </w:r>
      <w:r w:rsidR="005D599B" w:rsidRPr="00167CB8">
        <w:t>.</w:t>
      </w:r>
    </w:p>
    <w:p w14:paraId="0B7D7132" w14:textId="2A91C162" w:rsidR="007A6A1A" w:rsidRDefault="007A6A1A" w:rsidP="00470AB9">
      <w:pPr>
        <w:pStyle w:val="Caption"/>
      </w:pPr>
      <w:bookmarkStart w:id="909" w:name="_Ref187686663"/>
      <w:bookmarkStart w:id="910" w:name="_Toc187688543"/>
      <w:bookmarkStart w:id="911" w:name="_Toc189310845"/>
      <w:r w:rsidRPr="00167CB8">
        <w:t xml:space="preserve">Figure </w:t>
      </w:r>
      <w:r w:rsidR="003E5D58" w:rsidRPr="00167CB8">
        <w:t>57</w:t>
      </w:r>
      <w:bookmarkEnd w:id="909"/>
      <w:r w:rsidRPr="00167CB8">
        <w:t>: Monthly applications for a protected action ballot order (s</w:t>
      </w:r>
      <w:r w:rsidR="004208E4" w:rsidRPr="00167CB8">
        <w:t> </w:t>
      </w:r>
      <w:r w:rsidRPr="00167CB8">
        <w:t>437)</w:t>
      </w:r>
      <w:bookmarkEnd w:id="910"/>
      <w:r w:rsidR="004208E4" w:rsidRPr="00167CB8">
        <w:t>, 2021 to 2024</w:t>
      </w:r>
      <w:bookmarkEnd w:id="911"/>
    </w:p>
    <w:p w14:paraId="296CCE49" w14:textId="51A5C1D8" w:rsidR="00521995" w:rsidRPr="00521995" w:rsidRDefault="00521995" w:rsidP="00521995">
      <w:pPr>
        <w:rPr>
          <w:lang w:val="en-US"/>
        </w:rPr>
      </w:pPr>
      <w:r w:rsidRPr="00521995">
        <w:rPr>
          <w:noProof/>
        </w:rPr>
        <w:drawing>
          <wp:inline distT="0" distB="0" distL="0" distR="0" wp14:anchorId="5F0A62A5" wp14:editId="0A0E23F1">
            <wp:extent cx="5618480" cy="2862469"/>
            <wp:effectExtent l="0" t="0" r="1270" b="0"/>
            <wp:docPr id="1519869344" name="Picture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69344" name="Picture 1" descr="A graph with a line&#10;&#10;AI-generated content may be incorrect."/>
                    <pic:cNvPicPr/>
                  </pic:nvPicPr>
                  <pic:blipFill>
                    <a:blip r:embed="rId94"/>
                    <a:stretch>
                      <a:fillRect/>
                    </a:stretch>
                  </pic:blipFill>
                  <pic:spPr>
                    <a:xfrm>
                      <a:off x="0" y="0"/>
                      <a:ext cx="5630361" cy="2868522"/>
                    </a:xfrm>
                    <a:prstGeom prst="rect">
                      <a:avLst/>
                    </a:prstGeom>
                  </pic:spPr>
                </pic:pic>
              </a:graphicData>
            </a:graphic>
          </wp:inline>
        </w:drawing>
      </w:r>
    </w:p>
    <w:p w14:paraId="666C424F" w14:textId="0457E55C" w:rsidR="007A6A1A" w:rsidRPr="00167CB8" w:rsidRDefault="007A6A1A" w:rsidP="007A6A1A"/>
    <w:p w14:paraId="6238C4E9" w14:textId="29FDB9CA" w:rsidR="007A6A1A" w:rsidRPr="00167CB8" w:rsidRDefault="007A6A1A" w:rsidP="004208E4">
      <w:pPr>
        <w:pStyle w:val="Source"/>
        <w:rPr>
          <w:b/>
          <w:bCs/>
        </w:rPr>
      </w:pPr>
      <w:r w:rsidRPr="00167CB8">
        <w:rPr>
          <w:b/>
          <w:bCs/>
        </w:rPr>
        <w:t xml:space="preserve">Source: </w:t>
      </w:r>
      <w:r w:rsidRPr="00167CB8">
        <w:t>Review analysis of data provided by the FWC, July 2021 – June 2024</w:t>
      </w:r>
      <w:r w:rsidR="004208E4" w:rsidRPr="00167CB8">
        <w:t>.</w:t>
      </w:r>
    </w:p>
    <w:p w14:paraId="36E71448" w14:textId="77777777" w:rsidR="007A6A1A" w:rsidRPr="00167CB8" w:rsidRDefault="007A6A1A" w:rsidP="004208E4">
      <w:pPr>
        <w:pStyle w:val="Source"/>
      </w:pPr>
      <w:r w:rsidRPr="00167CB8">
        <w:rPr>
          <w:b/>
          <w:bCs/>
        </w:rPr>
        <w:t>Alt text:</w:t>
      </w:r>
      <w:r w:rsidRPr="00167CB8">
        <w:t xml:space="preserve"> A line graph of the monthly applications for a protected action ballot order from July 2021 to June 2024, plus a trend line. The graph shows the number of applications has varied significantly by month in the reference period. The trend line slopes slightly upwards.</w:t>
      </w:r>
    </w:p>
    <w:p w14:paraId="5A01EEBD" w14:textId="77777777" w:rsidR="007A6A1A" w:rsidRPr="00167CB8" w:rsidRDefault="007A6A1A" w:rsidP="007A6A1A">
      <w:r w:rsidRPr="00167CB8">
        <w:br w:type="page"/>
      </w:r>
    </w:p>
    <w:p w14:paraId="1730A7AC" w14:textId="039355D0" w:rsidR="007A6A1A" w:rsidRPr="00167CB8" w:rsidRDefault="00177CA8" w:rsidP="007A6A1A">
      <w:r>
        <w:lastRenderedPageBreak/>
        <w:t xml:space="preserve">Figure 58 </w:t>
      </w:r>
      <w:r w:rsidR="007A6A1A" w:rsidRPr="00167CB8">
        <w:t xml:space="preserve">provides greater historical context to </w:t>
      </w:r>
      <w:r w:rsidR="003E5D58" w:rsidRPr="00167CB8">
        <w:fldChar w:fldCharType="begin"/>
      </w:r>
      <w:r w:rsidR="003E5D58" w:rsidRPr="00167CB8">
        <w:instrText xml:space="preserve"> REF _Ref187686663 \h  \* MERGEFORMAT </w:instrText>
      </w:r>
      <w:r w:rsidR="003E5D58" w:rsidRPr="00167CB8">
        <w:fldChar w:fldCharType="separate"/>
      </w:r>
      <w:r w:rsidR="003F0101" w:rsidRPr="00167CB8">
        <w:t>Figure 57</w:t>
      </w:r>
      <w:r w:rsidR="003E5D58" w:rsidRPr="00167CB8">
        <w:fldChar w:fldCharType="end"/>
      </w:r>
      <w:r w:rsidR="007A6A1A" w:rsidRPr="00167CB8">
        <w:t>, demonstrating the relatively low incidence of industrial disputes and impact on the workforce in the last decade.</w:t>
      </w:r>
    </w:p>
    <w:p w14:paraId="409D3140" w14:textId="5F5128D6" w:rsidR="007A6A1A" w:rsidRDefault="007A6A1A" w:rsidP="00470AB9">
      <w:pPr>
        <w:pStyle w:val="Caption"/>
      </w:pPr>
      <w:bookmarkStart w:id="912" w:name="_Ref187686716"/>
      <w:bookmarkStart w:id="913" w:name="_Toc187688544"/>
      <w:bookmarkStart w:id="914" w:name="_Toc189310846"/>
      <w:r w:rsidRPr="00167CB8">
        <w:t>Figure</w:t>
      </w:r>
      <w:bookmarkEnd w:id="912"/>
      <w:r w:rsidR="00177CA8">
        <w:t xml:space="preserve"> 58</w:t>
      </w:r>
      <w:r w:rsidRPr="00167CB8">
        <w:t>: Historical industrial disputes, quarterly</w:t>
      </w:r>
      <w:bookmarkEnd w:id="913"/>
      <w:r w:rsidR="004208E4" w:rsidRPr="00167CB8">
        <w:t>, 1985 to 2023</w:t>
      </w:r>
      <w:bookmarkEnd w:id="914"/>
    </w:p>
    <w:p w14:paraId="6C2140C6" w14:textId="12F70FAD" w:rsidR="00521995" w:rsidRPr="00521995" w:rsidRDefault="00521995" w:rsidP="00521995">
      <w:pPr>
        <w:rPr>
          <w:lang w:val="en-US"/>
        </w:rPr>
      </w:pPr>
      <w:r w:rsidRPr="00521995">
        <w:rPr>
          <w:noProof/>
        </w:rPr>
        <w:drawing>
          <wp:inline distT="0" distB="0" distL="0" distR="0" wp14:anchorId="2B2112BA" wp14:editId="4F27A7E5">
            <wp:extent cx="5780405" cy="3601941"/>
            <wp:effectExtent l="0" t="0" r="0" b="0"/>
            <wp:docPr id="2051603724" name="Picture 1" descr="A graph of a number of employ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03724" name="Picture 1" descr="A graph of a number of employees&#10;&#10;AI-generated content may be incorrect."/>
                    <pic:cNvPicPr/>
                  </pic:nvPicPr>
                  <pic:blipFill>
                    <a:blip r:embed="rId95"/>
                    <a:stretch>
                      <a:fillRect/>
                    </a:stretch>
                  </pic:blipFill>
                  <pic:spPr>
                    <a:xfrm>
                      <a:off x="0" y="0"/>
                      <a:ext cx="5784428" cy="3604448"/>
                    </a:xfrm>
                    <a:prstGeom prst="rect">
                      <a:avLst/>
                    </a:prstGeom>
                  </pic:spPr>
                </pic:pic>
              </a:graphicData>
            </a:graphic>
          </wp:inline>
        </w:drawing>
      </w:r>
    </w:p>
    <w:p w14:paraId="69772DD4" w14:textId="2B5BF13B" w:rsidR="007A6A1A" w:rsidRPr="00167CB8" w:rsidRDefault="007A6A1A" w:rsidP="007A6A1A"/>
    <w:p w14:paraId="1C260618" w14:textId="04AD660F" w:rsidR="007A6A1A" w:rsidRPr="00167CB8" w:rsidRDefault="007A6A1A" w:rsidP="004208E4">
      <w:pPr>
        <w:pStyle w:val="Source"/>
      </w:pPr>
      <w:r w:rsidRPr="00167CB8">
        <w:rPr>
          <w:b/>
          <w:bCs/>
        </w:rPr>
        <w:t>Source:</w:t>
      </w:r>
      <w:r w:rsidRPr="00167CB8">
        <w:t xml:space="preserve"> ABS Industrial Disputes, Table 1: Industrial Disputes which occurred during the period, 2024</w:t>
      </w:r>
      <w:r w:rsidR="004208E4" w:rsidRPr="00167CB8">
        <w:t>.</w:t>
      </w:r>
    </w:p>
    <w:p w14:paraId="79C485A8" w14:textId="77777777" w:rsidR="007A6A1A" w:rsidRPr="00167CB8" w:rsidRDefault="007A6A1A" w:rsidP="004208E4">
      <w:pPr>
        <w:pStyle w:val="Source"/>
      </w:pPr>
      <w:r w:rsidRPr="00167CB8">
        <w:rPr>
          <w:b/>
          <w:bCs/>
        </w:rPr>
        <w:t xml:space="preserve">Alt text: </w:t>
      </w:r>
      <w:r w:rsidRPr="00167CB8">
        <w:t>A line graph showing the number of new disputes, the employees involved in those disputes and the working days lost to those disputes on a monthly basis from the March quarter 1985 to the September quarter 2024. The number of new disputes peaked at 581 in the September quarter 1985, compared to 54 in the September quarter 2024. The number of employees involved and working days lost peaked in the December quarter 1992 with 694,300 employees and 669,200 working days, compared to 30,900 employees and 46,600 working days in the September quarter 2024.</w:t>
      </w:r>
    </w:p>
    <w:p w14:paraId="03486E0E" w14:textId="77777777" w:rsidR="007A6A1A" w:rsidRPr="00167CB8" w:rsidRDefault="007A6A1A" w:rsidP="007A6A1A">
      <w:pPr>
        <w:rPr>
          <w:b/>
          <w:bCs/>
        </w:rPr>
      </w:pPr>
      <w:r w:rsidRPr="00167CB8">
        <w:rPr>
          <w:b/>
          <w:bCs/>
        </w:rPr>
        <w:br w:type="page"/>
      </w:r>
    </w:p>
    <w:p w14:paraId="0CB2B17B" w14:textId="2CC34FCA" w:rsidR="007A6A1A" w:rsidRPr="00167CB8" w:rsidRDefault="00650687" w:rsidP="00650687">
      <w:pPr>
        <w:pStyle w:val="Heading3"/>
      </w:pPr>
      <w:bookmarkStart w:id="915" w:name="_Toc189393682"/>
      <w:r>
        <w:lastRenderedPageBreak/>
        <w:t xml:space="preserve">6. </w:t>
      </w:r>
      <w:bookmarkStart w:id="916" w:name="_Toc188278064"/>
      <w:r w:rsidR="007A6A1A" w:rsidRPr="00167CB8">
        <w:t>Sexual harassment</w:t>
      </w:r>
      <w:bookmarkEnd w:id="916"/>
      <w:bookmarkEnd w:id="915"/>
      <w:r w:rsidR="007A6A1A" w:rsidRPr="00167CB8">
        <w:t xml:space="preserve"> </w:t>
      </w:r>
    </w:p>
    <w:p w14:paraId="1DF2BA09" w14:textId="5FDC0481" w:rsidR="00FF1A1F" w:rsidRPr="00167CB8" w:rsidRDefault="007A6A1A" w:rsidP="00FF1A1F">
      <w:r w:rsidRPr="00167CB8">
        <w:t>Data from the FWC indicates that</w:t>
      </w:r>
      <w:r w:rsidR="004208E4" w:rsidRPr="00167CB8">
        <w:t>,</w:t>
      </w:r>
      <w:r w:rsidRPr="00167CB8">
        <w:t xml:space="preserve"> while there has been use of the sexual harassment provisions, its uptake has been limited as shown in </w:t>
      </w:r>
      <w:r w:rsidR="00BC091A">
        <w:t>Table 64</w:t>
      </w:r>
      <w:r w:rsidR="00FF1A1F" w:rsidRPr="00167CB8">
        <w:t xml:space="preserve"> shows that between 6 March 2023 and 30 June 2023</w:t>
      </w:r>
      <w:r w:rsidR="004208E4" w:rsidRPr="00167CB8">
        <w:t>,</w:t>
      </w:r>
      <w:r w:rsidR="00FF1A1F" w:rsidRPr="00167CB8" w:rsidDel="009338BF">
        <w:t xml:space="preserve"> </w:t>
      </w:r>
      <w:r w:rsidR="00FF1A1F" w:rsidRPr="00167CB8">
        <w:t>11 applications to deal with sexual harassment disputes had been lodged under s</w:t>
      </w:r>
      <w:r w:rsidR="004208E4" w:rsidRPr="00167CB8">
        <w:t> </w:t>
      </w:r>
      <w:r w:rsidR="00FF1A1F" w:rsidRPr="00167CB8">
        <w:t>527F.</w:t>
      </w:r>
      <w:r w:rsidR="00FF1A1F" w:rsidRPr="00167CB8">
        <w:rPr>
          <w:rStyle w:val="FootnoteReference"/>
        </w:rPr>
        <w:footnoteReference w:id="1102"/>
      </w:r>
      <w:r w:rsidR="00FF1A1F" w:rsidRPr="00167CB8">
        <w:t xml:space="preserve"> In 2023</w:t>
      </w:r>
      <w:r w:rsidR="004208E4" w:rsidRPr="00167CB8">
        <w:rPr>
          <w:rFonts w:ascii="Symbol" w:eastAsia="Symbol" w:hAnsi="Symbol" w:cs="Symbol"/>
        </w:rPr>
        <w:t>-</w:t>
      </w:r>
      <w:r w:rsidR="00FF1A1F" w:rsidRPr="00167CB8">
        <w:t>24, the FWC reported 95 applications under s</w:t>
      </w:r>
      <w:r w:rsidR="004208E4" w:rsidRPr="00167CB8">
        <w:t> </w:t>
      </w:r>
      <w:r w:rsidR="00FF1A1F" w:rsidRPr="00167CB8">
        <w:t>527F.</w:t>
      </w:r>
      <w:r w:rsidR="00FF1A1F" w:rsidRPr="00167CB8">
        <w:rPr>
          <w:rStyle w:val="FootnoteReference"/>
        </w:rPr>
        <w:footnoteReference w:id="1103"/>
      </w:r>
      <w:r w:rsidR="00FF1A1F" w:rsidRPr="00167CB8">
        <w:t xml:space="preserve"> For context</w:t>
      </w:r>
      <w:r w:rsidR="004208E4" w:rsidRPr="00167CB8">
        <w:t>,</w:t>
      </w:r>
      <w:r w:rsidR="00FF1A1F" w:rsidRPr="00167CB8">
        <w:t xml:space="preserve"> prior to the Secure Jobs, Better Pay amendments, Table </w:t>
      </w:r>
      <w:r w:rsidR="00336233" w:rsidRPr="00167CB8">
        <w:t xml:space="preserve">64 </w:t>
      </w:r>
      <w:r w:rsidR="00FF1A1F" w:rsidRPr="00167CB8">
        <w:t>also notes applications under s</w:t>
      </w:r>
      <w:r w:rsidR="004208E4" w:rsidRPr="00167CB8">
        <w:t> </w:t>
      </w:r>
      <w:r w:rsidR="00FF1A1F" w:rsidRPr="00167CB8">
        <w:t>789FC.</w:t>
      </w:r>
    </w:p>
    <w:p w14:paraId="0A8D67DD" w14:textId="0AA9AECB" w:rsidR="007A6A1A" w:rsidRPr="00167CB8" w:rsidRDefault="007A6A1A" w:rsidP="00470AB9">
      <w:pPr>
        <w:pStyle w:val="Caption"/>
      </w:pPr>
      <w:bookmarkStart w:id="917" w:name="_Ref188197223"/>
      <w:bookmarkStart w:id="918" w:name="_Ref187688163"/>
      <w:bookmarkStart w:id="919" w:name="_Toc187688539"/>
      <w:bookmarkStart w:id="920" w:name="_Toc189310893"/>
      <w:r w:rsidRPr="00167CB8">
        <w:t xml:space="preserve">Table </w:t>
      </w:r>
      <w:r w:rsidR="00336233" w:rsidRPr="00167CB8">
        <w:t>64</w:t>
      </w:r>
      <w:bookmarkEnd w:id="917"/>
      <w:r w:rsidRPr="00167CB8">
        <w:t>: Applications to the FWC in relation to sexual harassment</w:t>
      </w:r>
      <w:bookmarkEnd w:id="918"/>
      <w:bookmarkEnd w:id="919"/>
      <w:r w:rsidR="004208E4" w:rsidRPr="00167CB8">
        <w:t>, 2021 to 2024</w:t>
      </w:r>
      <w:bookmarkEnd w:id="920"/>
    </w:p>
    <w:tbl>
      <w:tblPr>
        <w:tblStyle w:val="TableGrid"/>
        <w:tblW w:w="9345" w:type="dxa"/>
        <w:tblLayout w:type="fixed"/>
        <w:tblLook w:val="04A0" w:firstRow="1" w:lastRow="0" w:firstColumn="1" w:lastColumn="0" w:noHBand="0" w:noVBand="1"/>
      </w:tblPr>
      <w:tblGrid>
        <w:gridCol w:w="1271"/>
        <w:gridCol w:w="1444"/>
        <w:gridCol w:w="1445"/>
        <w:gridCol w:w="1361"/>
        <w:gridCol w:w="1487"/>
        <w:gridCol w:w="1487"/>
        <w:gridCol w:w="850"/>
      </w:tblGrid>
      <w:tr w:rsidR="007A6A1A" w:rsidRPr="00167CB8" w14:paraId="705487AE" w14:textId="77777777" w:rsidTr="004208E4">
        <w:trPr>
          <w:trHeight w:val="290"/>
        </w:trPr>
        <w:tc>
          <w:tcPr>
            <w:tcW w:w="1271" w:type="dxa"/>
            <w:vMerge w:val="restart"/>
            <w:tcBorders>
              <w:top w:val="single" w:sz="4" w:space="0" w:color="auto"/>
              <w:left w:val="single" w:sz="4" w:space="0" w:color="auto"/>
              <w:bottom w:val="single" w:sz="4" w:space="0" w:color="auto"/>
              <w:right w:val="single" w:sz="4" w:space="0" w:color="auto"/>
            </w:tcBorders>
            <w:noWrap/>
          </w:tcPr>
          <w:p w14:paraId="6DD63677" w14:textId="77777777" w:rsidR="007A6A1A" w:rsidRPr="00167CB8" w:rsidRDefault="007A6A1A" w:rsidP="007A6A1A">
            <w:pPr>
              <w:spacing w:after="0" w:line="259" w:lineRule="auto"/>
              <w:rPr>
                <w:b/>
                <w:bCs/>
              </w:rPr>
            </w:pPr>
          </w:p>
        </w:tc>
        <w:tc>
          <w:tcPr>
            <w:tcW w:w="4250" w:type="dxa"/>
            <w:gridSpan w:val="3"/>
            <w:tcBorders>
              <w:top w:val="single" w:sz="4" w:space="0" w:color="auto"/>
              <w:left w:val="single" w:sz="4" w:space="0" w:color="auto"/>
              <w:bottom w:val="single" w:sz="4" w:space="0" w:color="auto"/>
              <w:right w:val="single" w:sz="4" w:space="0" w:color="auto"/>
            </w:tcBorders>
            <w:noWrap/>
            <w:vAlign w:val="bottom"/>
            <w:hideMark/>
          </w:tcPr>
          <w:p w14:paraId="4DF46160" w14:textId="53834820" w:rsidR="007A6A1A" w:rsidRPr="00167CB8" w:rsidRDefault="007A6A1A" w:rsidP="007A6A1A">
            <w:pPr>
              <w:spacing w:after="0" w:line="259" w:lineRule="auto"/>
              <w:rPr>
                <w:b/>
                <w:bCs/>
              </w:rPr>
            </w:pPr>
            <w:r w:rsidRPr="00167CB8">
              <w:rPr>
                <w:b/>
                <w:bCs/>
              </w:rPr>
              <w:t>Applications under s</w:t>
            </w:r>
            <w:r w:rsidR="004208E4" w:rsidRPr="00167CB8">
              <w:rPr>
                <w:b/>
                <w:bCs/>
              </w:rPr>
              <w:t> </w:t>
            </w:r>
            <w:r w:rsidRPr="00167CB8">
              <w:rPr>
                <w:b/>
                <w:bCs/>
              </w:rPr>
              <w:t>527F</w:t>
            </w:r>
          </w:p>
        </w:tc>
        <w:tc>
          <w:tcPr>
            <w:tcW w:w="2974" w:type="dxa"/>
            <w:gridSpan w:val="2"/>
            <w:tcBorders>
              <w:top w:val="single" w:sz="4" w:space="0" w:color="auto"/>
              <w:left w:val="single" w:sz="4" w:space="0" w:color="auto"/>
              <w:bottom w:val="single" w:sz="4" w:space="0" w:color="auto"/>
              <w:right w:val="single" w:sz="4" w:space="0" w:color="auto"/>
            </w:tcBorders>
            <w:noWrap/>
            <w:vAlign w:val="bottom"/>
            <w:hideMark/>
          </w:tcPr>
          <w:p w14:paraId="33487A51" w14:textId="6E72E597" w:rsidR="007A6A1A" w:rsidRPr="00167CB8" w:rsidRDefault="007A6A1A" w:rsidP="007A6A1A">
            <w:pPr>
              <w:spacing w:after="0" w:line="259" w:lineRule="auto"/>
              <w:rPr>
                <w:b/>
                <w:bCs/>
              </w:rPr>
            </w:pPr>
            <w:r w:rsidRPr="00167CB8">
              <w:rPr>
                <w:b/>
                <w:bCs/>
              </w:rPr>
              <w:t>Applications under s</w:t>
            </w:r>
            <w:r w:rsidR="004208E4" w:rsidRPr="00167CB8">
              <w:rPr>
                <w:b/>
                <w:bCs/>
              </w:rPr>
              <w:t> </w:t>
            </w:r>
            <w:r w:rsidRPr="00167CB8">
              <w:rPr>
                <w:b/>
                <w:bCs/>
              </w:rPr>
              <w:t>789FC</w:t>
            </w:r>
          </w:p>
        </w:tc>
        <w:tc>
          <w:tcPr>
            <w:tcW w:w="850" w:type="dxa"/>
            <w:vMerge w:val="restart"/>
            <w:tcBorders>
              <w:top w:val="single" w:sz="4" w:space="0" w:color="auto"/>
              <w:left w:val="single" w:sz="4" w:space="0" w:color="auto"/>
              <w:bottom w:val="single" w:sz="4" w:space="0" w:color="auto"/>
              <w:right w:val="single" w:sz="4" w:space="0" w:color="auto"/>
            </w:tcBorders>
            <w:vAlign w:val="bottom"/>
            <w:hideMark/>
          </w:tcPr>
          <w:p w14:paraId="7E89321D" w14:textId="77777777" w:rsidR="007A6A1A" w:rsidRPr="00167CB8" w:rsidRDefault="007A6A1A" w:rsidP="007A6A1A">
            <w:pPr>
              <w:spacing w:after="0" w:line="259" w:lineRule="auto"/>
              <w:rPr>
                <w:b/>
                <w:bCs/>
              </w:rPr>
            </w:pPr>
            <w:r w:rsidRPr="00167CB8">
              <w:rPr>
                <w:b/>
                <w:bCs/>
              </w:rPr>
              <w:t>Total</w:t>
            </w:r>
          </w:p>
        </w:tc>
      </w:tr>
      <w:tr w:rsidR="007A6A1A" w:rsidRPr="00167CB8" w14:paraId="7CF9CDD1" w14:textId="77777777" w:rsidTr="004208E4">
        <w:trPr>
          <w:trHeight w:val="29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75E615DE" w14:textId="77777777" w:rsidR="007A6A1A" w:rsidRPr="00167CB8" w:rsidRDefault="007A6A1A" w:rsidP="007A6A1A">
            <w:pPr>
              <w:spacing w:after="0" w:line="259" w:lineRule="auto"/>
              <w:rPr>
                <w:b/>
                <w:bCs/>
              </w:rPr>
            </w:pPr>
          </w:p>
        </w:tc>
        <w:tc>
          <w:tcPr>
            <w:tcW w:w="1444" w:type="dxa"/>
            <w:tcBorders>
              <w:top w:val="single" w:sz="4" w:space="0" w:color="auto"/>
              <w:left w:val="single" w:sz="4" w:space="0" w:color="auto"/>
              <w:bottom w:val="single" w:sz="4" w:space="0" w:color="auto"/>
              <w:right w:val="single" w:sz="4" w:space="0" w:color="auto"/>
            </w:tcBorders>
            <w:noWrap/>
            <w:vAlign w:val="bottom"/>
            <w:hideMark/>
          </w:tcPr>
          <w:p w14:paraId="16E1E900" w14:textId="77777777" w:rsidR="007A6A1A" w:rsidRPr="00167CB8" w:rsidRDefault="007A6A1A" w:rsidP="007A6A1A">
            <w:pPr>
              <w:spacing w:after="0" w:line="259" w:lineRule="auto"/>
              <w:rPr>
                <w:b/>
                <w:bCs/>
              </w:rPr>
            </w:pPr>
            <w:r w:rsidRPr="00167CB8">
              <w:rPr>
                <w:b/>
                <w:bCs/>
              </w:rPr>
              <w:t>Order to stop and deal with a sexual harassment dispute</w:t>
            </w:r>
          </w:p>
        </w:tc>
        <w:tc>
          <w:tcPr>
            <w:tcW w:w="1445" w:type="dxa"/>
            <w:tcBorders>
              <w:top w:val="single" w:sz="4" w:space="0" w:color="auto"/>
              <w:left w:val="single" w:sz="4" w:space="0" w:color="auto"/>
              <w:bottom w:val="single" w:sz="4" w:space="0" w:color="auto"/>
              <w:right w:val="single" w:sz="4" w:space="0" w:color="auto"/>
            </w:tcBorders>
            <w:noWrap/>
            <w:vAlign w:val="bottom"/>
            <w:hideMark/>
          </w:tcPr>
          <w:p w14:paraId="73B46882" w14:textId="77777777" w:rsidR="007A6A1A" w:rsidRPr="00167CB8" w:rsidRDefault="007A6A1A" w:rsidP="007A6A1A">
            <w:pPr>
              <w:spacing w:after="0" w:line="259" w:lineRule="auto"/>
              <w:rPr>
                <w:b/>
                <w:bCs/>
              </w:rPr>
            </w:pPr>
            <w:r w:rsidRPr="00167CB8">
              <w:rPr>
                <w:b/>
                <w:bCs/>
              </w:rPr>
              <w:t>Order to stop sexual harassment</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6B1A3650" w14:textId="7FCD89FE" w:rsidR="007A6A1A" w:rsidRPr="00167CB8" w:rsidRDefault="007A6A1A" w:rsidP="007A6A1A">
            <w:pPr>
              <w:spacing w:after="0" w:line="259" w:lineRule="auto"/>
              <w:rPr>
                <w:b/>
                <w:bCs/>
              </w:rPr>
            </w:pPr>
            <w:r w:rsidRPr="00167CB8">
              <w:rPr>
                <w:b/>
                <w:bCs/>
              </w:rPr>
              <w:t>Deal with a sexual harassment dispute</w:t>
            </w:r>
          </w:p>
        </w:tc>
        <w:tc>
          <w:tcPr>
            <w:tcW w:w="1487" w:type="dxa"/>
            <w:tcBorders>
              <w:top w:val="single" w:sz="4" w:space="0" w:color="auto"/>
              <w:left w:val="single" w:sz="4" w:space="0" w:color="auto"/>
              <w:bottom w:val="single" w:sz="4" w:space="0" w:color="auto"/>
              <w:right w:val="single" w:sz="4" w:space="0" w:color="auto"/>
            </w:tcBorders>
            <w:noWrap/>
            <w:vAlign w:val="bottom"/>
            <w:hideMark/>
          </w:tcPr>
          <w:p w14:paraId="67A29B43" w14:textId="77777777" w:rsidR="007A6A1A" w:rsidRPr="00167CB8" w:rsidRDefault="007A6A1A" w:rsidP="007A6A1A">
            <w:pPr>
              <w:spacing w:after="0" w:line="259" w:lineRule="auto"/>
              <w:rPr>
                <w:b/>
                <w:bCs/>
              </w:rPr>
            </w:pPr>
            <w:r w:rsidRPr="00167CB8">
              <w:rPr>
                <w:b/>
                <w:bCs/>
              </w:rPr>
              <w:t>Order to stop bullying and sexual harassment</w:t>
            </w:r>
          </w:p>
        </w:tc>
        <w:tc>
          <w:tcPr>
            <w:tcW w:w="1487" w:type="dxa"/>
            <w:tcBorders>
              <w:top w:val="single" w:sz="4" w:space="0" w:color="auto"/>
              <w:left w:val="single" w:sz="4" w:space="0" w:color="auto"/>
              <w:bottom w:val="single" w:sz="4" w:space="0" w:color="auto"/>
              <w:right w:val="single" w:sz="4" w:space="0" w:color="auto"/>
            </w:tcBorders>
            <w:noWrap/>
            <w:vAlign w:val="bottom"/>
            <w:hideMark/>
          </w:tcPr>
          <w:p w14:paraId="642B5173" w14:textId="77777777" w:rsidR="007A6A1A" w:rsidRPr="00167CB8" w:rsidRDefault="007A6A1A" w:rsidP="007A6A1A">
            <w:pPr>
              <w:spacing w:after="0" w:line="259" w:lineRule="auto"/>
              <w:rPr>
                <w:b/>
                <w:bCs/>
              </w:rPr>
            </w:pPr>
            <w:r w:rsidRPr="00167CB8">
              <w:rPr>
                <w:b/>
                <w:bCs/>
              </w:rPr>
              <w:t>Order to stop sexual harassment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E08922" w14:textId="77777777" w:rsidR="007A6A1A" w:rsidRPr="00167CB8" w:rsidRDefault="007A6A1A" w:rsidP="007A6A1A">
            <w:pPr>
              <w:spacing w:after="0" w:line="259" w:lineRule="auto"/>
              <w:rPr>
                <w:b/>
                <w:bCs/>
              </w:rPr>
            </w:pPr>
          </w:p>
        </w:tc>
      </w:tr>
      <w:tr w:rsidR="007A6A1A" w:rsidRPr="00167CB8" w14:paraId="4DFF9081"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1659BD7E" w14:textId="77777777" w:rsidR="007A6A1A" w:rsidRPr="00167CB8" w:rsidRDefault="007A6A1A" w:rsidP="007A6A1A">
            <w:pPr>
              <w:spacing w:after="0" w:line="259" w:lineRule="auto"/>
            </w:pPr>
            <w:r w:rsidRPr="00167CB8">
              <w:t>Sep-21</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0BC75A47" w14:textId="77777777" w:rsidR="007A6A1A" w:rsidRPr="00167CB8" w:rsidRDefault="007A6A1A" w:rsidP="007A6A1A">
            <w:pPr>
              <w:spacing w:after="0" w:line="259" w:lineRule="auto"/>
            </w:pPr>
            <w:r w:rsidRPr="00167CB8">
              <w:t>0</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79DEFE8D"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7AD8603B"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9F09EC2"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F0764E5" w14:textId="77777777" w:rsidR="007A6A1A" w:rsidRPr="00167CB8" w:rsidRDefault="007A6A1A" w:rsidP="007A6A1A">
            <w:pPr>
              <w:spacing w:after="0" w:line="259" w:lineRule="auto"/>
            </w:pPr>
            <w:r w:rsidRPr="00167CB8">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B69F06" w14:textId="77777777" w:rsidR="007A6A1A" w:rsidRPr="00167CB8" w:rsidRDefault="007A6A1A" w:rsidP="007A6A1A">
            <w:pPr>
              <w:spacing w:after="0" w:line="259" w:lineRule="auto"/>
            </w:pPr>
            <w:r w:rsidRPr="00167CB8">
              <w:t>0</w:t>
            </w:r>
          </w:p>
        </w:tc>
      </w:tr>
      <w:tr w:rsidR="007A6A1A" w:rsidRPr="00167CB8" w14:paraId="5B59D61F"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60579135" w14:textId="77777777" w:rsidR="007A6A1A" w:rsidRPr="00167CB8" w:rsidRDefault="007A6A1A" w:rsidP="007A6A1A">
            <w:pPr>
              <w:spacing w:after="0" w:line="259" w:lineRule="auto"/>
            </w:pPr>
            <w:r w:rsidRPr="00167CB8">
              <w:t>Dec-21</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1A6A911F" w14:textId="77777777" w:rsidR="007A6A1A" w:rsidRPr="00167CB8" w:rsidRDefault="007A6A1A" w:rsidP="007A6A1A">
            <w:pPr>
              <w:spacing w:after="0" w:line="259" w:lineRule="auto"/>
            </w:pPr>
            <w:r w:rsidRPr="00167CB8">
              <w:t>0</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054E1733"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1FDCB734"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16CF7CA" w14:textId="77777777" w:rsidR="007A6A1A" w:rsidRPr="00167CB8" w:rsidRDefault="007A6A1A" w:rsidP="007A6A1A">
            <w:pPr>
              <w:spacing w:after="0" w:line="259" w:lineRule="auto"/>
            </w:pPr>
            <w:r w:rsidRPr="00167CB8">
              <w:t>9</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C6AFF88" w14:textId="77777777" w:rsidR="007A6A1A" w:rsidRPr="00167CB8" w:rsidRDefault="007A6A1A" w:rsidP="007A6A1A">
            <w:pPr>
              <w:spacing w:after="0" w:line="259" w:lineRule="auto"/>
            </w:pPr>
            <w:r w:rsidRPr="00167CB8">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DA0E0D" w14:textId="77777777" w:rsidR="007A6A1A" w:rsidRPr="00167CB8" w:rsidRDefault="007A6A1A" w:rsidP="007A6A1A">
            <w:pPr>
              <w:spacing w:after="0" w:line="259" w:lineRule="auto"/>
            </w:pPr>
            <w:r w:rsidRPr="00167CB8">
              <w:t>10</w:t>
            </w:r>
          </w:p>
        </w:tc>
      </w:tr>
      <w:tr w:rsidR="007A6A1A" w:rsidRPr="00167CB8" w14:paraId="208EBE8D"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20785574" w14:textId="77777777" w:rsidR="007A6A1A" w:rsidRPr="00167CB8" w:rsidRDefault="007A6A1A" w:rsidP="007A6A1A">
            <w:pPr>
              <w:spacing w:after="0" w:line="259" w:lineRule="auto"/>
            </w:pPr>
            <w:r w:rsidRPr="00167CB8">
              <w:t>Mar-22</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43731616" w14:textId="77777777" w:rsidR="007A6A1A" w:rsidRPr="00167CB8" w:rsidRDefault="007A6A1A" w:rsidP="007A6A1A">
            <w:pPr>
              <w:spacing w:after="0" w:line="259" w:lineRule="auto"/>
            </w:pPr>
            <w:r w:rsidRPr="00167CB8">
              <w:t>0</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312326C1"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2C928F02"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D8511DA" w14:textId="77777777" w:rsidR="007A6A1A" w:rsidRPr="00167CB8" w:rsidRDefault="007A6A1A" w:rsidP="007A6A1A">
            <w:pPr>
              <w:spacing w:after="0" w:line="259" w:lineRule="auto"/>
            </w:pPr>
            <w:r w:rsidRPr="00167CB8">
              <w:t>10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450A8EAB" w14:textId="77777777" w:rsidR="007A6A1A" w:rsidRPr="00167CB8" w:rsidRDefault="007A6A1A" w:rsidP="007A6A1A">
            <w:pPr>
              <w:spacing w:after="0" w:line="259" w:lineRule="auto"/>
            </w:pPr>
            <w:r w:rsidRPr="00167CB8">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1011FC" w14:textId="77777777" w:rsidR="007A6A1A" w:rsidRPr="00167CB8" w:rsidRDefault="007A6A1A" w:rsidP="007A6A1A">
            <w:pPr>
              <w:spacing w:after="0" w:line="259" w:lineRule="auto"/>
            </w:pPr>
            <w:r w:rsidRPr="00167CB8">
              <w:t>12</w:t>
            </w:r>
          </w:p>
        </w:tc>
      </w:tr>
      <w:tr w:rsidR="007A6A1A" w:rsidRPr="00167CB8" w14:paraId="35FD10E8"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1F30DE13" w14:textId="77777777" w:rsidR="007A6A1A" w:rsidRPr="00167CB8" w:rsidRDefault="007A6A1A" w:rsidP="007A6A1A">
            <w:pPr>
              <w:spacing w:after="0" w:line="259" w:lineRule="auto"/>
            </w:pPr>
            <w:r w:rsidRPr="00167CB8">
              <w:t>Jun-22</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30C430E1" w14:textId="77777777" w:rsidR="007A6A1A" w:rsidRPr="00167CB8" w:rsidRDefault="007A6A1A" w:rsidP="007A6A1A">
            <w:pPr>
              <w:spacing w:after="0" w:line="259" w:lineRule="auto"/>
            </w:pPr>
            <w:r w:rsidRPr="00167CB8">
              <w:t>0</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7194077E"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56F07238"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615ABB83" w14:textId="77777777" w:rsidR="007A6A1A" w:rsidRPr="00167CB8" w:rsidRDefault="007A6A1A" w:rsidP="007A6A1A">
            <w:pPr>
              <w:spacing w:after="0" w:line="259" w:lineRule="auto"/>
            </w:pPr>
            <w:r w:rsidRPr="00167CB8">
              <w:t>4</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0D88361" w14:textId="77777777" w:rsidR="007A6A1A" w:rsidRPr="00167CB8" w:rsidRDefault="007A6A1A" w:rsidP="007A6A1A">
            <w:pPr>
              <w:spacing w:after="0" w:line="259" w:lineRule="auto"/>
            </w:pPr>
            <w:r w:rsidRPr="00167CB8">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350491" w14:textId="77777777" w:rsidR="007A6A1A" w:rsidRPr="00167CB8" w:rsidRDefault="007A6A1A" w:rsidP="007A6A1A">
            <w:pPr>
              <w:spacing w:after="0" w:line="259" w:lineRule="auto"/>
            </w:pPr>
            <w:r w:rsidRPr="00167CB8">
              <w:t>6</w:t>
            </w:r>
          </w:p>
        </w:tc>
      </w:tr>
      <w:tr w:rsidR="007A6A1A" w:rsidRPr="00167CB8" w14:paraId="7BE508CB"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487E7324" w14:textId="77777777" w:rsidR="007A6A1A" w:rsidRPr="00167CB8" w:rsidRDefault="007A6A1A" w:rsidP="007A6A1A">
            <w:pPr>
              <w:spacing w:after="0" w:line="259" w:lineRule="auto"/>
            </w:pPr>
            <w:r w:rsidRPr="00167CB8">
              <w:t>Sep-22</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36140445" w14:textId="77777777" w:rsidR="007A6A1A" w:rsidRPr="00167CB8" w:rsidRDefault="007A6A1A" w:rsidP="007A6A1A">
            <w:pPr>
              <w:spacing w:after="0" w:line="259" w:lineRule="auto"/>
            </w:pPr>
            <w:r w:rsidRPr="00167CB8">
              <w:t>0</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38F49CE4"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1B3397CB"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25530CBB" w14:textId="77777777" w:rsidR="007A6A1A" w:rsidRPr="00167CB8" w:rsidRDefault="007A6A1A" w:rsidP="007A6A1A">
            <w:pPr>
              <w:spacing w:after="0" w:line="259" w:lineRule="auto"/>
            </w:pPr>
            <w:r w:rsidRPr="00167CB8">
              <w:t>13</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E1C2E6F" w14:textId="77777777" w:rsidR="007A6A1A" w:rsidRPr="00167CB8" w:rsidRDefault="007A6A1A" w:rsidP="007A6A1A">
            <w:pPr>
              <w:spacing w:after="0" w:line="259" w:lineRule="auto"/>
            </w:pPr>
            <w:r w:rsidRPr="00167CB8">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2E43A0" w14:textId="77777777" w:rsidR="007A6A1A" w:rsidRPr="00167CB8" w:rsidRDefault="007A6A1A" w:rsidP="007A6A1A">
            <w:pPr>
              <w:spacing w:after="0" w:line="259" w:lineRule="auto"/>
            </w:pPr>
            <w:r w:rsidRPr="00167CB8">
              <w:t>14</w:t>
            </w:r>
          </w:p>
        </w:tc>
      </w:tr>
      <w:tr w:rsidR="007A6A1A" w:rsidRPr="00167CB8" w14:paraId="1EFA5E6A"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1C8F5261" w14:textId="77777777" w:rsidR="007A6A1A" w:rsidRPr="00167CB8" w:rsidRDefault="007A6A1A" w:rsidP="007A6A1A">
            <w:pPr>
              <w:spacing w:after="0" w:line="259" w:lineRule="auto"/>
            </w:pPr>
            <w:r w:rsidRPr="00167CB8">
              <w:t>Dec-22</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415805D1" w14:textId="77777777" w:rsidR="007A6A1A" w:rsidRPr="00167CB8" w:rsidRDefault="007A6A1A" w:rsidP="007A6A1A">
            <w:pPr>
              <w:spacing w:after="0" w:line="259" w:lineRule="auto"/>
            </w:pPr>
            <w:r w:rsidRPr="00167CB8">
              <w:t>0</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68E3EDB4"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0B22F6DF"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76592BD" w14:textId="77777777" w:rsidR="007A6A1A" w:rsidRPr="00167CB8" w:rsidRDefault="007A6A1A" w:rsidP="007A6A1A">
            <w:pPr>
              <w:spacing w:after="0" w:line="259" w:lineRule="auto"/>
            </w:pPr>
            <w:r w:rsidRPr="00167CB8">
              <w:t>6</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6EBB52AB" w14:textId="77777777" w:rsidR="007A6A1A" w:rsidRPr="00167CB8" w:rsidRDefault="007A6A1A" w:rsidP="007A6A1A">
            <w:pPr>
              <w:spacing w:after="0" w:line="259" w:lineRule="auto"/>
            </w:pPr>
            <w:r w:rsidRPr="00167CB8">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5F6D8C" w14:textId="77777777" w:rsidR="007A6A1A" w:rsidRPr="00167CB8" w:rsidRDefault="007A6A1A" w:rsidP="007A6A1A">
            <w:pPr>
              <w:spacing w:after="0" w:line="259" w:lineRule="auto"/>
            </w:pPr>
            <w:r w:rsidRPr="00167CB8">
              <w:t>8</w:t>
            </w:r>
          </w:p>
        </w:tc>
      </w:tr>
      <w:tr w:rsidR="007A6A1A" w:rsidRPr="00167CB8" w14:paraId="10D0D97E"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0604D816" w14:textId="77777777" w:rsidR="007A6A1A" w:rsidRPr="00167CB8" w:rsidRDefault="007A6A1A" w:rsidP="007A6A1A">
            <w:pPr>
              <w:spacing w:after="0" w:line="259" w:lineRule="auto"/>
            </w:pPr>
            <w:r w:rsidRPr="00167CB8">
              <w:t>Mar-23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02E273BA" w14:textId="77777777" w:rsidR="007A6A1A" w:rsidRPr="00167CB8" w:rsidRDefault="007A6A1A" w:rsidP="007A6A1A">
            <w:pPr>
              <w:spacing w:after="0" w:line="259" w:lineRule="auto"/>
            </w:pPr>
            <w:r w:rsidRPr="00167CB8">
              <w:t>1</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447E4EBB"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3C9F4390"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44EFBDCF" w14:textId="77777777" w:rsidR="007A6A1A" w:rsidRPr="00167CB8" w:rsidRDefault="007A6A1A" w:rsidP="007A6A1A">
            <w:pPr>
              <w:spacing w:after="0" w:line="259" w:lineRule="auto"/>
            </w:pPr>
            <w:r w:rsidRPr="00167CB8">
              <w:t>8</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3C518784" w14:textId="77777777" w:rsidR="007A6A1A" w:rsidRPr="00167CB8" w:rsidRDefault="007A6A1A" w:rsidP="007A6A1A">
            <w:pPr>
              <w:spacing w:after="0" w:line="259" w:lineRule="auto"/>
            </w:pPr>
            <w:r w:rsidRPr="00167CB8">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C89A36" w14:textId="77777777" w:rsidR="007A6A1A" w:rsidRPr="00167CB8" w:rsidRDefault="007A6A1A" w:rsidP="007A6A1A">
            <w:pPr>
              <w:spacing w:after="0" w:line="259" w:lineRule="auto"/>
            </w:pPr>
            <w:r w:rsidRPr="00167CB8">
              <w:t>14</w:t>
            </w:r>
          </w:p>
        </w:tc>
      </w:tr>
      <w:tr w:rsidR="007A6A1A" w:rsidRPr="00167CB8" w14:paraId="5E5EFD43"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37348260" w14:textId="77777777" w:rsidR="007A6A1A" w:rsidRPr="00167CB8" w:rsidRDefault="007A6A1A" w:rsidP="007A6A1A">
            <w:pPr>
              <w:spacing w:after="0" w:line="259" w:lineRule="auto"/>
            </w:pPr>
            <w:r w:rsidRPr="00167CB8">
              <w:t>Jun-23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747A8147" w14:textId="77777777" w:rsidR="007A6A1A" w:rsidRPr="00167CB8" w:rsidRDefault="007A6A1A" w:rsidP="007A6A1A">
            <w:pPr>
              <w:spacing w:after="0" w:line="259" w:lineRule="auto"/>
            </w:pPr>
            <w:r w:rsidRPr="00167CB8">
              <w:t>4</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1ABE69EC"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15F23038" w14:textId="77777777" w:rsidR="007A6A1A" w:rsidRPr="00167CB8" w:rsidRDefault="007A6A1A" w:rsidP="007A6A1A">
            <w:pPr>
              <w:spacing w:after="0" w:line="259" w:lineRule="auto"/>
            </w:pPr>
            <w:r w:rsidRPr="00167CB8">
              <w:t>6</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73091A4"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6D4FE404" w14:textId="77777777" w:rsidR="007A6A1A" w:rsidRPr="00167CB8" w:rsidRDefault="007A6A1A" w:rsidP="007A6A1A">
            <w:pPr>
              <w:spacing w:after="0" w:line="259" w:lineRule="auto"/>
            </w:pPr>
            <w:r w:rsidRPr="00167CB8">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EB6A6F" w14:textId="77777777" w:rsidR="007A6A1A" w:rsidRPr="00167CB8" w:rsidRDefault="007A6A1A" w:rsidP="007A6A1A">
            <w:pPr>
              <w:spacing w:after="0" w:line="259" w:lineRule="auto"/>
            </w:pPr>
            <w:r w:rsidRPr="00167CB8">
              <w:t>13</w:t>
            </w:r>
          </w:p>
        </w:tc>
      </w:tr>
      <w:tr w:rsidR="007A6A1A" w:rsidRPr="00167CB8" w14:paraId="04E749EB"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7D26E47A" w14:textId="77777777" w:rsidR="007A6A1A" w:rsidRPr="00167CB8" w:rsidRDefault="007A6A1A" w:rsidP="007A6A1A">
            <w:pPr>
              <w:spacing w:after="0" w:line="259" w:lineRule="auto"/>
            </w:pPr>
            <w:r w:rsidRPr="00167CB8">
              <w:t>Sep-23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58182729" w14:textId="77777777" w:rsidR="007A6A1A" w:rsidRPr="00167CB8" w:rsidRDefault="007A6A1A" w:rsidP="007A6A1A">
            <w:pPr>
              <w:spacing w:after="0" w:line="259" w:lineRule="auto"/>
            </w:pPr>
            <w:r w:rsidRPr="00167CB8">
              <w:t>6</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31A34010"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5EDD7C6E" w14:textId="77777777" w:rsidR="007A6A1A" w:rsidRPr="00167CB8" w:rsidRDefault="007A6A1A" w:rsidP="007A6A1A">
            <w:pPr>
              <w:spacing w:after="0" w:line="259" w:lineRule="auto"/>
            </w:pPr>
            <w:r w:rsidRPr="00167CB8">
              <w:t>10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1FB60E6"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3C148B2" w14:textId="77777777" w:rsidR="007A6A1A" w:rsidRPr="00167CB8" w:rsidRDefault="007A6A1A" w:rsidP="007A6A1A">
            <w:pPr>
              <w:spacing w:after="0" w:line="259" w:lineRule="auto"/>
            </w:pPr>
            <w:r w:rsidRPr="00167CB8">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0EB94B" w14:textId="77777777" w:rsidR="007A6A1A" w:rsidRPr="00167CB8" w:rsidRDefault="007A6A1A" w:rsidP="007A6A1A">
            <w:pPr>
              <w:spacing w:after="0" w:line="259" w:lineRule="auto"/>
            </w:pPr>
            <w:r w:rsidRPr="00167CB8">
              <w:t>19</w:t>
            </w:r>
          </w:p>
        </w:tc>
      </w:tr>
      <w:tr w:rsidR="007A6A1A" w:rsidRPr="00167CB8" w14:paraId="260B3468"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380B5D6A" w14:textId="77777777" w:rsidR="007A6A1A" w:rsidRPr="00167CB8" w:rsidRDefault="007A6A1A" w:rsidP="007A6A1A">
            <w:pPr>
              <w:spacing w:after="0" w:line="259" w:lineRule="auto"/>
            </w:pPr>
            <w:r w:rsidRPr="00167CB8">
              <w:t>Dec-23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270B8952" w14:textId="77777777" w:rsidR="007A6A1A" w:rsidRPr="00167CB8" w:rsidRDefault="007A6A1A" w:rsidP="007A6A1A">
            <w:pPr>
              <w:spacing w:after="0" w:line="259" w:lineRule="auto"/>
            </w:pPr>
            <w:r w:rsidRPr="00167CB8">
              <w:t>8</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009FD227" w14:textId="77777777" w:rsidR="007A6A1A" w:rsidRPr="00167CB8" w:rsidRDefault="007A6A1A" w:rsidP="007A6A1A">
            <w:pPr>
              <w:spacing w:after="0" w:line="259" w:lineRule="auto"/>
            </w:pPr>
            <w:r w:rsidRPr="00167CB8">
              <w:t>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0E4DE0F6" w14:textId="77777777" w:rsidR="007A6A1A" w:rsidRPr="00167CB8" w:rsidRDefault="007A6A1A" w:rsidP="007A6A1A">
            <w:pPr>
              <w:spacing w:after="0" w:line="259" w:lineRule="auto"/>
            </w:pPr>
            <w:r w:rsidRPr="00167CB8">
              <w:t>15</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CBBF916"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324F9D6B" w14:textId="77777777" w:rsidR="007A6A1A" w:rsidRPr="00167CB8" w:rsidRDefault="007A6A1A" w:rsidP="007A6A1A">
            <w:pPr>
              <w:spacing w:after="0" w:line="259" w:lineRule="auto"/>
            </w:pPr>
            <w:r w:rsidRPr="00167CB8">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56DA8D" w14:textId="77777777" w:rsidR="007A6A1A" w:rsidRPr="00167CB8" w:rsidRDefault="007A6A1A" w:rsidP="007A6A1A">
            <w:pPr>
              <w:spacing w:after="0" w:line="259" w:lineRule="auto"/>
            </w:pPr>
            <w:r w:rsidRPr="00167CB8">
              <w:t>31</w:t>
            </w:r>
          </w:p>
        </w:tc>
      </w:tr>
      <w:tr w:rsidR="007A6A1A" w:rsidRPr="00167CB8" w14:paraId="3A83E3E1"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16E643D0" w14:textId="77777777" w:rsidR="007A6A1A" w:rsidRPr="00167CB8" w:rsidRDefault="007A6A1A" w:rsidP="007A6A1A">
            <w:pPr>
              <w:spacing w:after="0" w:line="259" w:lineRule="auto"/>
            </w:pPr>
            <w:r w:rsidRPr="00167CB8">
              <w:t>Mar-24</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1AC447B9" w14:textId="77777777" w:rsidR="007A6A1A" w:rsidRPr="00167CB8" w:rsidRDefault="007A6A1A" w:rsidP="007A6A1A">
            <w:pPr>
              <w:spacing w:after="0" w:line="259" w:lineRule="auto"/>
            </w:pPr>
            <w:r w:rsidRPr="00167CB8">
              <w:t>4</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770050C8" w14:textId="77777777" w:rsidR="007A6A1A" w:rsidRPr="00167CB8" w:rsidRDefault="007A6A1A" w:rsidP="007A6A1A">
            <w:pPr>
              <w:spacing w:after="0" w:line="259" w:lineRule="auto"/>
            </w:pPr>
            <w:r w:rsidRPr="00167CB8">
              <w:t>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6227FAEC" w14:textId="77777777" w:rsidR="007A6A1A" w:rsidRPr="00167CB8" w:rsidRDefault="007A6A1A" w:rsidP="007A6A1A">
            <w:pPr>
              <w:spacing w:after="0" w:line="259" w:lineRule="auto"/>
            </w:pPr>
            <w:r w:rsidRPr="00167CB8">
              <w:t>12</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32D209B9"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3ECBDDD1" w14:textId="77777777" w:rsidR="007A6A1A" w:rsidRPr="00167CB8" w:rsidRDefault="007A6A1A" w:rsidP="007A6A1A">
            <w:pPr>
              <w:spacing w:after="0" w:line="259" w:lineRule="auto"/>
            </w:pPr>
            <w:r w:rsidRPr="00167CB8">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096C13" w14:textId="77777777" w:rsidR="007A6A1A" w:rsidRPr="00167CB8" w:rsidRDefault="007A6A1A" w:rsidP="007A6A1A">
            <w:pPr>
              <w:spacing w:after="0" w:line="259" w:lineRule="auto"/>
            </w:pPr>
            <w:r w:rsidRPr="00167CB8">
              <w:t>21</w:t>
            </w:r>
          </w:p>
        </w:tc>
      </w:tr>
      <w:tr w:rsidR="007A6A1A" w:rsidRPr="00167CB8" w14:paraId="41E4113B" w14:textId="77777777" w:rsidTr="004208E4">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70C9F372" w14:textId="77777777" w:rsidR="007A6A1A" w:rsidRPr="00167CB8" w:rsidRDefault="007A6A1A" w:rsidP="007A6A1A">
            <w:pPr>
              <w:spacing w:after="0" w:line="259" w:lineRule="auto"/>
            </w:pPr>
            <w:r w:rsidRPr="00167CB8">
              <w:t>Jun-24</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0E8D4BE9" w14:textId="77777777" w:rsidR="007A6A1A" w:rsidRPr="00167CB8" w:rsidRDefault="007A6A1A" w:rsidP="007A6A1A">
            <w:pPr>
              <w:spacing w:after="0" w:line="259" w:lineRule="auto"/>
            </w:pPr>
            <w:r w:rsidRPr="00167CB8">
              <w:t>11</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5DA5E7E9" w14:textId="77777777" w:rsidR="007A6A1A" w:rsidRPr="00167CB8" w:rsidRDefault="007A6A1A" w:rsidP="007A6A1A">
            <w:pPr>
              <w:spacing w:after="0" w:line="259" w:lineRule="auto"/>
            </w:pPr>
            <w:r w:rsidRPr="00167CB8">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40BEAD50" w14:textId="77777777" w:rsidR="007A6A1A" w:rsidRPr="00167CB8" w:rsidRDefault="007A6A1A" w:rsidP="007A6A1A">
            <w:pPr>
              <w:spacing w:after="0" w:line="259" w:lineRule="auto"/>
            </w:pPr>
            <w:r w:rsidRPr="00167CB8">
              <w:t>21</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6E0B9D77" w14:textId="77777777" w:rsidR="007A6A1A" w:rsidRPr="00167CB8" w:rsidRDefault="007A6A1A" w:rsidP="007A6A1A">
            <w:pPr>
              <w:spacing w:after="0" w:line="259" w:lineRule="auto"/>
            </w:pPr>
            <w:r w:rsidRPr="00167CB8">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4EA4E267" w14:textId="77777777" w:rsidR="007A6A1A" w:rsidRPr="00167CB8" w:rsidRDefault="007A6A1A" w:rsidP="007A6A1A">
            <w:pPr>
              <w:spacing w:after="0" w:line="259" w:lineRule="auto"/>
            </w:pPr>
            <w:r w:rsidRPr="00167CB8">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8E7325" w14:textId="77777777" w:rsidR="007A6A1A" w:rsidRPr="00167CB8" w:rsidRDefault="007A6A1A" w:rsidP="007A6A1A">
            <w:pPr>
              <w:spacing w:after="0" w:line="259" w:lineRule="auto"/>
            </w:pPr>
            <w:r w:rsidRPr="00167CB8">
              <w:t>33</w:t>
            </w:r>
          </w:p>
        </w:tc>
      </w:tr>
    </w:tbl>
    <w:p w14:paraId="6575E683" w14:textId="0A4F52B1" w:rsidR="007A6A1A" w:rsidRPr="00167CB8" w:rsidRDefault="007A6A1A" w:rsidP="004208E4">
      <w:pPr>
        <w:pStyle w:val="Source"/>
      </w:pPr>
      <w:r w:rsidRPr="00167CB8">
        <w:rPr>
          <w:b/>
          <w:bCs/>
        </w:rPr>
        <w:t xml:space="preserve">Source: </w:t>
      </w:r>
      <w:r w:rsidRPr="00167CB8">
        <w:t>Review analysis of data provided by the FWC, July 2021 – June 2024</w:t>
      </w:r>
      <w:r w:rsidR="004208E4" w:rsidRPr="00167CB8">
        <w:t>.</w:t>
      </w:r>
    </w:p>
    <w:p w14:paraId="36DC5A4F" w14:textId="77777777" w:rsidR="007A6A1A" w:rsidRPr="00167CB8" w:rsidRDefault="007A6A1A" w:rsidP="007A6A1A">
      <w:pPr>
        <w:spacing w:after="160"/>
        <w:rPr>
          <w:rFonts w:eastAsiaTheme="majorEastAsia" w:cstheme="majorBidi"/>
          <w:b/>
          <w:color w:val="009B9F" w:themeColor="background2"/>
          <w:sz w:val="44"/>
          <w:szCs w:val="26"/>
        </w:rPr>
      </w:pPr>
      <w:r w:rsidRPr="00167CB8">
        <w:br w:type="page"/>
      </w:r>
    </w:p>
    <w:p w14:paraId="3E814D69" w14:textId="4D318844" w:rsidR="007A6A1A" w:rsidRPr="00167CB8" w:rsidRDefault="007A6A1A" w:rsidP="00650687">
      <w:pPr>
        <w:pStyle w:val="Heading2"/>
      </w:pPr>
      <w:bookmarkStart w:id="921" w:name="_Toc189260187"/>
      <w:bookmarkStart w:id="922" w:name="_Toc189393683"/>
      <w:r w:rsidRPr="00167CB8">
        <w:lastRenderedPageBreak/>
        <w:t xml:space="preserve">Appendix 4 – Productivity and </w:t>
      </w:r>
      <w:r w:rsidR="004208E4" w:rsidRPr="00167CB8">
        <w:t>i</w:t>
      </w:r>
      <w:r w:rsidRPr="00167CB8">
        <w:t xml:space="preserve">ndustrial </w:t>
      </w:r>
      <w:r w:rsidR="004208E4" w:rsidRPr="00167CB8">
        <w:t>r</w:t>
      </w:r>
      <w:r w:rsidRPr="00167CB8">
        <w:t xml:space="preserve">elations: </w:t>
      </w:r>
      <w:r w:rsidR="004208E4" w:rsidRPr="00167CB8">
        <w:t>c</w:t>
      </w:r>
      <w:r w:rsidRPr="00167CB8">
        <w:t xml:space="preserve">ompeting </w:t>
      </w:r>
      <w:r w:rsidR="004208E4" w:rsidRPr="00167CB8">
        <w:t>p</w:t>
      </w:r>
      <w:r w:rsidRPr="00167CB8">
        <w:t xml:space="preserve">erspectives, </w:t>
      </w:r>
      <w:r w:rsidR="004208E4" w:rsidRPr="00167CB8">
        <w:t>t</w:t>
      </w:r>
      <w:r w:rsidRPr="00167CB8">
        <w:t xml:space="preserve">rends and </w:t>
      </w:r>
      <w:r w:rsidR="004208E4" w:rsidRPr="00167CB8">
        <w:t>e</w:t>
      </w:r>
      <w:r w:rsidRPr="00167CB8">
        <w:t xml:space="preserve">volving </w:t>
      </w:r>
      <w:r w:rsidR="004208E4" w:rsidRPr="00167CB8">
        <w:t>c</w:t>
      </w:r>
      <w:r w:rsidRPr="00167CB8">
        <w:t>hallenges</w:t>
      </w:r>
      <w:bookmarkEnd w:id="921"/>
      <w:bookmarkEnd w:id="922"/>
    </w:p>
    <w:p w14:paraId="5A7BDB40" w14:textId="38A2D248" w:rsidR="003A5F70" w:rsidRPr="00167CB8" w:rsidRDefault="00DB793E" w:rsidP="00650687">
      <w:pPr>
        <w:pStyle w:val="Heading3"/>
        <w:rPr>
          <w:lang w:val="en-US"/>
        </w:rPr>
      </w:pPr>
      <w:bookmarkStart w:id="923" w:name="_Toc189260344"/>
      <w:bookmarkStart w:id="924" w:name="_Toc189393684"/>
      <w:r w:rsidRPr="00167CB8">
        <w:rPr>
          <w:lang w:val="en-US"/>
        </w:rPr>
        <w:t xml:space="preserve">1. </w:t>
      </w:r>
      <w:r w:rsidR="003A5F70" w:rsidRPr="00650687">
        <w:t>Introduction</w:t>
      </w:r>
      <w:bookmarkEnd w:id="923"/>
      <w:bookmarkEnd w:id="924"/>
    </w:p>
    <w:p w14:paraId="5C970123" w14:textId="1045E560" w:rsidR="003A5F70" w:rsidRPr="00167CB8" w:rsidRDefault="003A5F70" w:rsidP="00011008">
      <w:r w:rsidRPr="00167CB8">
        <w:t xml:space="preserve">Productivity is a very important topic, especially as Australia, like most developed countries, has seen low productivity growth over recent years. The Australian debate over productivity and its links to industrial relations, however, has mostly been unsophisticated and too often self-interested. This appendix aims to provoke further discussion of productivity, in the hope that a more sophisticated conversation emerges. It focuses on a limited number of issues, including the definition of productivity and its measurement, the causes of productivity growth and the most appropriate methods to create and distribute productivity growth. It also considers the relevance of productivity to issues highlighted in the Review, such as gender equality and collective bargaining. This appendix does not examine the relationship between job security and productivity, nor does it </w:t>
      </w:r>
      <w:r w:rsidR="00D43014">
        <w:t xml:space="preserve">directly </w:t>
      </w:r>
      <w:r w:rsidRPr="00167CB8">
        <w:t>address the impact of changes in institutional arrangements on productivity. Likewise, it does not explore in detail the potential interactions between various factors such as gender equality, collective bargaining, and productivity. The omission of these topics is not due to their lack of importance but</w:t>
      </w:r>
      <w:r w:rsidR="004208E4" w:rsidRPr="00167CB8">
        <w:t>,</w:t>
      </w:r>
      <w:r w:rsidRPr="00167CB8">
        <w:t xml:space="preserve"> rather</w:t>
      </w:r>
      <w:r w:rsidR="004208E4" w:rsidRPr="00167CB8">
        <w:t>,</w:t>
      </w:r>
      <w:r w:rsidRPr="00167CB8">
        <w:t xml:space="preserve"> to time constraints.   </w:t>
      </w:r>
    </w:p>
    <w:p w14:paraId="28138238" w14:textId="07F6EC43" w:rsidR="003A5F70" w:rsidRPr="00167CB8" w:rsidRDefault="00DB793E" w:rsidP="00650687">
      <w:pPr>
        <w:pStyle w:val="Heading3"/>
        <w:rPr>
          <w:lang w:val="en-US"/>
        </w:rPr>
      </w:pPr>
      <w:bookmarkStart w:id="925" w:name="_Toc189260345"/>
      <w:bookmarkStart w:id="926" w:name="_Toc189393685"/>
      <w:r w:rsidRPr="00167CB8">
        <w:rPr>
          <w:lang w:val="en-US"/>
        </w:rPr>
        <w:t xml:space="preserve">2. </w:t>
      </w:r>
      <w:r w:rsidR="003A5F70" w:rsidRPr="00167CB8">
        <w:rPr>
          <w:lang w:val="en-US"/>
        </w:rPr>
        <w:t xml:space="preserve">Different (and often </w:t>
      </w:r>
      <w:r w:rsidR="003A5F70" w:rsidRPr="00650687">
        <w:t>competing</w:t>
      </w:r>
      <w:r w:rsidR="003A5F70" w:rsidRPr="00167CB8">
        <w:rPr>
          <w:lang w:val="en-US"/>
        </w:rPr>
        <w:t>) perspectives on productivity</w:t>
      </w:r>
      <w:bookmarkEnd w:id="925"/>
      <w:bookmarkEnd w:id="926"/>
    </w:p>
    <w:p w14:paraId="0F776468" w14:textId="5A15D425" w:rsidR="003A5F70" w:rsidRPr="00167CB8" w:rsidRDefault="003A5F70" w:rsidP="00011008">
      <w:r w:rsidRPr="00167CB8">
        <w:t>There is common agreement that ‘a well-functioning labour market is a key condition for achieving inclusive growth’.</w:t>
      </w:r>
      <w:r w:rsidRPr="00167CB8">
        <w:rPr>
          <w:vertAlign w:val="superscript"/>
        </w:rPr>
        <w:footnoteReference w:id="1104"/>
      </w:r>
      <w:r w:rsidRPr="00167CB8">
        <w:t xml:space="preserve"> There is, however, less agreement about what a well-functioning labour market means in practice. Likewise, there is a divergence of views about how the industrial relations system – and, more specifically, the </w:t>
      </w:r>
      <w:r w:rsidR="004208E4" w:rsidRPr="00167CB8">
        <w:t xml:space="preserve">Secure Jobs, Better Pay </w:t>
      </w:r>
      <w:r w:rsidRPr="00167CB8">
        <w:t>amendments – can contribute to productivity outcomes.</w:t>
      </w:r>
      <w:r w:rsidRPr="00167CB8">
        <w:rPr>
          <w:vertAlign w:val="superscript"/>
        </w:rPr>
        <w:footnoteReference w:id="1105"/>
      </w:r>
    </w:p>
    <w:p w14:paraId="725396E3" w14:textId="631FA6E7" w:rsidR="003A5F70" w:rsidRPr="00167CB8" w:rsidRDefault="003A5F70" w:rsidP="00011008">
      <w:r w:rsidRPr="00167CB8">
        <w:t>In submissions to this Review</w:t>
      </w:r>
      <w:r w:rsidR="004208E4" w:rsidRPr="00167CB8">
        <w:t>,</w:t>
      </w:r>
      <w:r w:rsidRPr="00167CB8">
        <w:t xml:space="preserve"> the divergence of views about the industrial relations system and its relationship with productivity was particularly stark. Employers generally viewed productivity through the lens of flexibility, competition and cost-efficiency (similar to the Productivity Commission in its recent reports).</w:t>
      </w:r>
      <w:r w:rsidRPr="00167CB8">
        <w:rPr>
          <w:vertAlign w:val="superscript"/>
        </w:rPr>
        <w:footnoteReference w:id="1106"/>
      </w:r>
      <w:r w:rsidRPr="00167CB8">
        <w:t xml:space="preserve"> They (employers) emphasised the importance of enterprise-specific solutions that are designed by managers (unilaterally or through consultation with employees but not unions). More specifically, they argued that the </w:t>
      </w:r>
      <w:r w:rsidR="004208E4" w:rsidRPr="00167CB8">
        <w:t xml:space="preserve">Secure Jobs, Better Pay </w:t>
      </w:r>
      <w:r w:rsidRPr="00167CB8">
        <w:t xml:space="preserve">amendments, such as multi-employer bargaining, would introduce rigidities, increase costs and stifle innovation. For them, productivity is tightly linked to reducing regulatory burdens and fostering an environment that encourages tailored workplace agreements and business-specific strategies. Rarely did they address the productivity consequences of the amendments focused on reducing job insecurity or gender inequality. To the extent that they did comment on these issues, </w:t>
      </w:r>
      <w:r w:rsidRPr="00167CB8">
        <w:lastRenderedPageBreak/>
        <w:t>it was to assert that measures such as flexible working arrangements would ‘likely result in a significant loss in efficiency or productivity’.</w:t>
      </w:r>
      <w:r w:rsidRPr="00167CB8">
        <w:rPr>
          <w:vertAlign w:val="superscript"/>
        </w:rPr>
        <w:footnoteReference w:id="1107"/>
      </w:r>
      <w:r w:rsidRPr="00167CB8">
        <w:t xml:space="preserve"> </w:t>
      </w:r>
    </w:p>
    <w:p w14:paraId="0BD069A5" w14:textId="23D55AAC" w:rsidR="003A5F70" w:rsidRPr="00167CB8" w:rsidRDefault="003A5F70" w:rsidP="00011008">
      <w:r w:rsidRPr="00167CB8">
        <w:t xml:space="preserve">Unions, on the other hand, focused on systemic issues such as wage stagnation, insecure work and inequality, arguing that these are the primary barriers to productivity growth (similar to the OECD in its latest </w:t>
      </w:r>
      <w:r w:rsidR="004208E4" w:rsidRPr="00167CB8">
        <w:t>j</w:t>
      </w:r>
      <w:r w:rsidRPr="00167CB8">
        <w:t xml:space="preserve">obs </w:t>
      </w:r>
      <w:r w:rsidR="004208E4" w:rsidRPr="00167CB8">
        <w:t>s</w:t>
      </w:r>
      <w:r w:rsidRPr="00167CB8">
        <w:t>trategy report).</w:t>
      </w:r>
      <w:r w:rsidRPr="00167CB8">
        <w:rPr>
          <w:vertAlign w:val="superscript"/>
        </w:rPr>
        <w:footnoteReference w:id="1108"/>
      </w:r>
      <w:r w:rsidRPr="00167CB8">
        <w:t xml:space="preserve"> They (unions) see serious social and economic consequences arising from these issues, including reduced wellbeing, restricted opportunities for skill development and weakened social cohesion. Accordingly, they welcome the recent legislative amendments and focus on facilitating multi-employer bargaining as well as other changes, such as the strengthening of the right to request flexible work and changes to the way the Fair Work Commission (FWC) is required to consider equal remuneration and work value cases. Unions focused mostly on the distribution of productivity gains and rarely explored their own attitudes and behaviours towards the creation of productivity improvement.</w:t>
      </w:r>
    </w:p>
    <w:p w14:paraId="55719710" w14:textId="7D4A892E" w:rsidR="003A5F70" w:rsidRPr="00167CB8" w:rsidRDefault="003A5F70" w:rsidP="00011008">
      <w:r w:rsidRPr="00167CB8">
        <w:t>These divergent views reflect deeper philosophical differences – a point previously noted by the Productivity Commission.</w:t>
      </w:r>
      <w:r w:rsidRPr="00167CB8">
        <w:rPr>
          <w:vertAlign w:val="superscript"/>
        </w:rPr>
        <w:footnoteReference w:id="1109"/>
      </w:r>
      <w:r w:rsidRPr="00167CB8">
        <w:t xml:space="preserve"> Indeed, these differences are typical of the adversarialism of Australian industrial relations and politics. One way of identifying more clearly the philosophical differences between the parties is to focus on their respective ‘frames of reference’.</w:t>
      </w:r>
      <w:r w:rsidRPr="00167CB8">
        <w:rPr>
          <w:vertAlign w:val="superscript"/>
        </w:rPr>
        <w:footnoteReference w:id="1110"/>
      </w:r>
      <w:r w:rsidRPr="00167CB8">
        <w:t xml:space="preserve"> Australian employers demonstrate a preoccupation with ‘unitarist’ frames, which emphasise causes of weak productivity growth in external factors, like the legislative framework or the unhelpful contributions of unions. At the same time, they emphasise solutions to the ‘productivity problem’ in the unilateral actions of managers (i.e. ‘autocratic unitarism’) or actions resulting from managers working with their employees but never with unions (i.e. ‘consultative unitarism’).</w:t>
      </w:r>
    </w:p>
    <w:p w14:paraId="01BD1C87" w14:textId="77777777" w:rsidR="003A5F70" w:rsidRPr="00167CB8" w:rsidRDefault="003A5F70" w:rsidP="00011008">
      <w:r w:rsidRPr="00167CB8">
        <w:t xml:space="preserve">Unions, on the other hand, display attitudes towards productivity more consistent with ‘radical’ or ‘adversarial pluralist’ frames. They see the causes of ‘the problem’ in the actions of managers and they focus mostly on the distribution of productivity gains while effectively ignoring the generation of productivity growth. It is rare to see Australian unions adopt more ‘collaborative pluralist’ frames, which accept some responsibility for the creation of productivity improvement. </w:t>
      </w:r>
    </w:p>
    <w:p w14:paraId="4EFC271B" w14:textId="77777777" w:rsidR="003A5F70" w:rsidRPr="00167CB8" w:rsidRDefault="003A5F70" w:rsidP="00011008">
      <w:r w:rsidRPr="00167CB8">
        <w:t>Consistent with these divergent philosophical positions, there was little on either side in the way of evidence in support of much of the productivity assertions.</w:t>
      </w:r>
    </w:p>
    <w:p w14:paraId="3A751C44" w14:textId="42AA12B2" w:rsidR="003A5F70" w:rsidRPr="00167CB8" w:rsidRDefault="00650687" w:rsidP="00650687">
      <w:pPr>
        <w:pStyle w:val="Heading3"/>
      </w:pPr>
      <w:bookmarkStart w:id="927" w:name="_Toc189260346"/>
      <w:bookmarkStart w:id="928" w:name="_Toc189393686"/>
      <w:r>
        <w:rPr>
          <w:lang w:val="en-US"/>
        </w:rPr>
        <w:t xml:space="preserve">3. </w:t>
      </w:r>
      <w:r w:rsidR="003A5F70" w:rsidRPr="00167CB8">
        <w:rPr>
          <w:lang w:val="en-US"/>
        </w:rPr>
        <w:t>The definition and measurement of productivity</w:t>
      </w:r>
      <w:bookmarkEnd w:id="927"/>
      <w:bookmarkEnd w:id="928"/>
    </w:p>
    <w:p w14:paraId="39CA24EF" w14:textId="4E797F83" w:rsidR="003A5F70" w:rsidRPr="00167CB8" w:rsidRDefault="003A5F70" w:rsidP="00011008">
      <w:r w:rsidRPr="00167CB8">
        <w:t>There is general agreement – particularly among economists – that productivity growth is important for improved living standards. There is, however, little agreement on what productivity actually is.</w:t>
      </w:r>
      <w:r w:rsidRPr="00167CB8">
        <w:rPr>
          <w:vertAlign w:val="superscript"/>
        </w:rPr>
        <w:footnoteReference w:id="1111"/>
      </w:r>
      <w:r w:rsidRPr="00167CB8">
        <w:t xml:space="preserve"> It has been suggested that ‘To some people productivity growth comes from working harder and longer (unpaid) hours, to others it is the return from investing more in capital (such as </w:t>
      </w:r>
      <w:r w:rsidRPr="00167CB8">
        <w:lastRenderedPageBreak/>
        <w:t xml:space="preserve">infrastructure and education investment). Productivity has also been equated to </w:t>
      </w:r>
      <w:r w:rsidR="004208E4" w:rsidRPr="00167CB8">
        <w:t>“</w:t>
      </w:r>
      <w:r w:rsidRPr="00167CB8">
        <w:t>working smarter</w:t>
      </w:r>
      <w:r w:rsidR="004208E4" w:rsidRPr="00167CB8">
        <w:t>”</w:t>
      </w:r>
      <w:r w:rsidRPr="00167CB8">
        <w:t>, but exactly what this implies is rarely defined</w:t>
      </w:r>
      <w:r w:rsidR="004208E4" w:rsidRPr="00167CB8">
        <w:t>’</w:t>
      </w:r>
      <w:r w:rsidRPr="00167CB8">
        <w:t>.</w:t>
      </w:r>
      <w:r w:rsidRPr="00167CB8">
        <w:rPr>
          <w:vertAlign w:val="superscript"/>
        </w:rPr>
        <w:footnoteReference w:id="1112"/>
      </w:r>
      <w:r w:rsidRPr="00167CB8">
        <w:t xml:space="preserve"> </w:t>
      </w:r>
    </w:p>
    <w:p w14:paraId="1AF7C290" w14:textId="659D4934" w:rsidR="003A5F70" w:rsidRPr="00167CB8" w:rsidRDefault="003A5F70" w:rsidP="00011008">
      <w:r w:rsidRPr="00167CB8">
        <w:t>At a basic level ‘productivity is a measure of the rate at which output of goods and services are produced per unit of input (labour, capital, raw materials, etc.)’.</w:t>
      </w:r>
      <w:r w:rsidRPr="00167CB8">
        <w:rPr>
          <w:vertAlign w:val="superscript"/>
        </w:rPr>
        <w:footnoteReference w:id="1113"/>
      </w:r>
      <w:r w:rsidRPr="00167CB8">
        <w:t xml:space="preserve"> Put differently, improving productivity is ‘the process by which people get more from less: more and better products to meet human needs produced with fewer hours of work and fewer resources</w:t>
      </w:r>
      <w:r w:rsidR="00AA5547">
        <w:t>.</w:t>
      </w:r>
      <w:r w:rsidRPr="00167CB8">
        <w:t>’</w:t>
      </w:r>
      <w:r w:rsidRPr="00167CB8">
        <w:rPr>
          <w:vertAlign w:val="superscript"/>
        </w:rPr>
        <w:footnoteReference w:id="1114"/>
      </w:r>
      <w:r w:rsidRPr="00167CB8">
        <w:t xml:space="preserve"> </w:t>
      </w:r>
    </w:p>
    <w:p w14:paraId="2DEFCAB5" w14:textId="5CDAA283" w:rsidR="003A5F70" w:rsidRPr="00167CB8" w:rsidRDefault="003A5F70" w:rsidP="00011008">
      <w:r w:rsidRPr="00167CB8">
        <w:t xml:space="preserve">That aside, it is important to distinguish between the definition and measurement of productivity at </w:t>
      </w:r>
      <w:r w:rsidR="004208E4" w:rsidRPr="00167CB8">
        <w:t xml:space="preserve">3 </w:t>
      </w:r>
      <w:r w:rsidRPr="00167CB8">
        <w:t>levels: national, industry/sectoral and enterprise/organisational. Most contributions to this Review, and to the debate over productivity and industrial relations more generally (in Australia and elsewhere), either conflate these levels or fail to even acknowledge them and the different analyses they require.</w:t>
      </w:r>
    </w:p>
    <w:p w14:paraId="33970F77" w14:textId="77777777" w:rsidR="003A5F70" w:rsidRPr="00167CB8" w:rsidRDefault="003A5F70" w:rsidP="007D3016">
      <w:pPr>
        <w:pStyle w:val="Heading4"/>
        <w:rPr>
          <w:iCs w:val="0"/>
        </w:rPr>
      </w:pPr>
      <w:bookmarkStart w:id="929" w:name="_Toc189260347"/>
      <w:bookmarkStart w:id="930" w:name="_Toc189393687"/>
      <w:r w:rsidRPr="00167CB8">
        <w:rPr>
          <w:iCs w:val="0"/>
        </w:rPr>
        <w:t xml:space="preserve">3.1 </w:t>
      </w:r>
      <w:r w:rsidRPr="00167CB8">
        <w:rPr>
          <w:iCs w:val="0"/>
        </w:rPr>
        <w:tab/>
        <w:t>Productivity at the national level</w:t>
      </w:r>
      <w:bookmarkEnd w:id="929"/>
      <w:bookmarkEnd w:id="930"/>
    </w:p>
    <w:p w14:paraId="45391CAD" w14:textId="61F04B68" w:rsidR="003A5F70" w:rsidRPr="00167CB8" w:rsidRDefault="003A5F70" w:rsidP="00011008">
      <w:r w:rsidRPr="00167CB8">
        <w:t>Measuring productivity at the national level is not a straightforward activity. For example, one measure of labour productivity is to divide output (</w:t>
      </w:r>
      <w:r w:rsidR="004208E4" w:rsidRPr="00167CB8">
        <w:t>g</w:t>
      </w:r>
      <w:r w:rsidRPr="00167CB8">
        <w:t xml:space="preserve">ross </w:t>
      </w:r>
      <w:r w:rsidR="004208E4" w:rsidRPr="00167CB8">
        <w:t>d</w:t>
      </w:r>
      <w:r w:rsidRPr="00167CB8">
        <w:t xml:space="preserve">omestic </w:t>
      </w:r>
      <w:r w:rsidR="004208E4" w:rsidRPr="00167CB8">
        <w:t>p</w:t>
      </w:r>
      <w:r w:rsidRPr="00167CB8">
        <w:t>roduct (GDP)) by the number of hours worked. Another approach is to adjust for changes in the composition of the workforce (e.g. more skilled and experienced workers) in recognition that not all hours contribute equally to output. The denominator then becomes ‘quality adjusted hours worked’. When dividing through by hours that are adjusted for quality, this effectively increases the total measured hours (the denominator). The more the denominator is adjusted for quality</w:t>
      </w:r>
      <w:r w:rsidR="002C1FB7">
        <w:t>,</w:t>
      </w:r>
      <w:r w:rsidRPr="00167CB8">
        <w:t xml:space="preserve"> the greater the divergence between a non-adjusted productivity measure and the adjusted measure.</w:t>
      </w:r>
      <w:r w:rsidRPr="00167CB8">
        <w:rPr>
          <w:vertAlign w:val="superscript"/>
        </w:rPr>
        <w:footnoteReference w:id="1115"/>
      </w:r>
      <w:r w:rsidRPr="00167CB8">
        <w:t xml:space="preserve"> </w:t>
      </w:r>
    </w:p>
    <w:p w14:paraId="3B0DE786" w14:textId="76B87B84" w:rsidR="003A5F70" w:rsidRPr="00167CB8" w:rsidRDefault="003A5F70" w:rsidP="00011008">
      <w:r w:rsidRPr="00167CB8">
        <w:t>Another challenge when measuring national productivity is that it is difficult to measure in the service sector (e.g. aged care, child</w:t>
      </w:r>
      <w:r w:rsidR="004208E4" w:rsidRPr="00167CB8">
        <w:t xml:space="preserve"> </w:t>
      </w:r>
      <w:r w:rsidRPr="00167CB8">
        <w:t>care, education, health, public administration) where the ‘output’ is not easily quantified. These sectors typically produce intangible benefits (e.g. improved wellbeing). Many service providers are in the ‘non-market sector’, meaning their services are subsidised or produced by governments and their ‘value’ is, therefore, not necessarily reflected in market prices.</w:t>
      </w:r>
      <w:r w:rsidRPr="00167CB8">
        <w:rPr>
          <w:vertAlign w:val="superscript"/>
        </w:rPr>
        <w:footnoteReference w:id="1116"/>
      </w:r>
      <w:r w:rsidRPr="00167CB8">
        <w:t xml:space="preserve"> </w:t>
      </w:r>
    </w:p>
    <w:p w14:paraId="1F77CEE2" w14:textId="77777777" w:rsidR="003A5F70" w:rsidRPr="00167CB8" w:rsidRDefault="003A5F70" w:rsidP="00011008">
      <w:r w:rsidRPr="00167CB8">
        <w:t xml:space="preserve">One way around the challenge of measuring productivity in the service sector is to simply focus on the market sector. The limitation of this approach, however, is that it overlooks developments in the non-market sector – a sector which has seen significant employment growth in recent </w:t>
      </w:r>
      <w:r w:rsidRPr="00167CB8">
        <w:lastRenderedPageBreak/>
        <w:t>years,</w:t>
      </w:r>
      <w:r w:rsidRPr="00167CB8">
        <w:rPr>
          <w:vertAlign w:val="superscript"/>
        </w:rPr>
        <w:footnoteReference w:id="1117"/>
      </w:r>
      <w:r w:rsidRPr="00167CB8">
        <w:t xml:space="preserve"> particularly among women. Indeed, it is worth emphasising that women dominate employment in the non-market sector.</w:t>
      </w:r>
    </w:p>
    <w:p w14:paraId="5248675A" w14:textId="02A952F1" w:rsidR="003A5F70" w:rsidRPr="00167CB8" w:rsidRDefault="003A5F70" w:rsidP="00011008">
      <w:r w:rsidRPr="00167CB8">
        <w:t xml:space="preserve">In the market sector, national productivity may be measured through </w:t>
      </w:r>
      <w:r w:rsidR="00A14864" w:rsidRPr="00167CB8">
        <w:t xml:space="preserve">3 </w:t>
      </w:r>
      <w:r w:rsidRPr="00167CB8">
        <w:t>main indexes: labour productivity, capital productivity and multifactor productivity (MFP). Each is defined and measured as follows:</w:t>
      </w:r>
    </w:p>
    <w:p w14:paraId="3EB1CAD3" w14:textId="5181DD42" w:rsidR="003A5F70" w:rsidRPr="00167CB8" w:rsidRDefault="003A5F70" w:rsidP="00011008">
      <m:oMathPara>
        <m:oMath>
          <m:r>
            <w:rPr>
              <w:rFonts w:ascii="Cambria Math" w:hAnsi="Cambria Math"/>
            </w:rPr>
            <m:t xml:space="preserve">Labour productivity </m:t>
          </m:r>
          <m:r>
            <m:rPr>
              <m:sty m:val="p"/>
            </m:rPr>
            <w:rPr>
              <w:rFonts w:ascii="Cambria Math" w:hAnsi="Cambria Math"/>
            </w:rPr>
            <m:t>=</m:t>
          </m:r>
          <m:f>
            <m:fPr>
              <m:ctrlPr>
                <w:rPr>
                  <w:rFonts w:ascii="Cambria Math" w:hAnsi="Cambria Math"/>
                </w:rPr>
              </m:ctrlPr>
            </m:fPr>
            <m:num>
              <m:r>
                <m:rPr>
                  <m:sty m:val="p"/>
                </m:rPr>
                <w:rPr>
                  <w:rFonts w:ascii="Cambria Math" w:hAnsi="Cambria Math"/>
                </w:rPr>
                <m:t>Output (GDP)</m:t>
              </m:r>
            </m:num>
            <m:den>
              <m:r>
                <m:rPr>
                  <m:sty m:val="p"/>
                </m:rPr>
                <w:rPr>
                  <w:rFonts w:ascii="Cambria Math" w:hAnsi="Cambria Math"/>
                </w:rPr>
                <m:t>Labour input (hours worked or total employment)</m:t>
              </m:r>
            </m:den>
          </m:f>
        </m:oMath>
      </m:oMathPara>
    </w:p>
    <w:p w14:paraId="45BEE668" w14:textId="30E64602" w:rsidR="003A5F70" w:rsidRPr="00167CB8" w:rsidRDefault="003A5F70" w:rsidP="00011008">
      <m:oMathPara>
        <m:oMath>
          <m:r>
            <w:rPr>
              <w:rFonts w:ascii="Cambria Math" w:hAnsi="Cambria Math"/>
            </w:rPr>
            <m:t>Capital productivity</m:t>
          </m:r>
          <m:r>
            <m:rPr>
              <m:sty m:val="p"/>
            </m:rPr>
            <w:rPr>
              <w:rFonts w:ascii="Cambria Math" w:hAnsi="Cambria Math"/>
            </w:rPr>
            <m:t>=</m:t>
          </m:r>
          <m:f>
            <m:fPr>
              <m:ctrlPr>
                <w:rPr>
                  <w:rFonts w:ascii="Cambria Math" w:hAnsi="Cambria Math"/>
                </w:rPr>
              </m:ctrlPr>
            </m:fPr>
            <m:num>
              <m:r>
                <m:rPr>
                  <m:sty m:val="p"/>
                </m:rPr>
                <w:rPr>
                  <w:rFonts w:ascii="Cambria Math" w:hAnsi="Cambria Math"/>
                </w:rPr>
                <m:t>Output (GDP)</m:t>
              </m:r>
            </m:num>
            <m:den>
              <m:r>
                <m:rPr>
                  <m:sty m:val="p"/>
                </m:rPr>
                <w:rPr>
                  <w:rFonts w:ascii="Cambria Math" w:hAnsi="Cambria Math"/>
                </w:rPr>
                <m:t>Capital input (capital services or stock)</m:t>
              </m:r>
            </m:den>
          </m:f>
        </m:oMath>
      </m:oMathPara>
    </w:p>
    <w:p w14:paraId="4799F0E2" w14:textId="0DBF255B" w:rsidR="003A5F70" w:rsidRPr="00167CB8" w:rsidRDefault="003A5F70" w:rsidP="00011008">
      <m:oMathPara>
        <m:oMath>
          <m:r>
            <w:rPr>
              <w:rFonts w:ascii="Cambria Math" w:hAnsi="Cambria Math"/>
            </w:rPr>
            <m:t>Multifactor productivity (MFP)</m:t>
          </m:r>
          <m:r>
            <m:rPr>
              <m:sty m:val="p"/>
            </m:rPr>
            <w:rPr>
              <w:rFonts w:ascii="Cambria Math" w:hAnsi="Cambria Math"/>
            </w:rPr>
            <m:t>=</m:t>
          </m:r>
          <m:f>
            <m:fPr>
              <m:ctrlPr>
                <w:rPr>
                  <w:rFonts w:ascii="Cambria Math" w:hAnsi="Cambria Math"/>
                </w:rPr>
              </m:ctrlPr>
            </m:fPr>
            <m:num>
              <m:r>
                <m:rPr>
                  <m:sty m:val="p"/>
                </m:rPr>
                <w:rPr>
                  <w:rFonts w:ascii="Cambria Math" w:hAnsi="Cambria Math"/>
                </w:rPr>
                <m:t>Output (GDP)</m:t>
              </m:r>
            </m:num>
            <m:den>
              <m:r>
                <m:rPr>
                  <m:sty m:val="p"/>
                </m:rPr>
                <w:rPr>
                  <w:rFonts w:ascii="Cambria Math" w:hAnsi="Cambria Math"/>
                </w:rPr>
                <m:t>Combined input (weighted labour and capital inputs)</m:t>
              </m:r>
            </m:den>
          </m:f>
        </m:oMath>
      </m:oMathPara>
    </w:p>
    <w:p w14:paraId="77BAE46A" w14:textId="34DF97F5" w:rsidR="003A5F70" w:rsidRPr="00167CB8" w:rsidRDefault="003A5F70" w:rsidP="00011008">
      <w:r w:rsidRPr="00167CB8">
        <w:t xml:space="preserve">The MFP indicator provides a broader measure of productivity, incorporating the interplay between labour and capital. At an industry level the numerator becomes gross value added (GVA). </w:t>
      </w:r>
    </w:p>
    <w:p w14:paraId="57D9C04D" w14:textId="5696E19E" w:rsidR="003A5F70" w:rsidRPr="00167CB8" w:rsidRDefault="003A5F70" w:rsidP="00011008">
      <w:r w:rsidRPr="00167CB8">
        <w:t xml:space="preserve">Figure </w:t>
      </w:r>
      <w:r w:rsidR="00336233" w:rsidRPr="00167CB8">
        <w:t>59</w:t>
      </w:r>
      <w:r w:rsidRPr="00167CB8">
        <w:t xml:space="preserve"> shows productivity in the market sector between 1995 and 2024. As shown, </w:t>
      </w:r>
      <w:r w:rsidRPr="00167CB8">
        <w:rPr>
          <w:i/>
          <w:iCs/>
        </w:rPr>
        <w:t>capital productivity</w:t>
      </w:r>
      <w:r w:rsidRPr="00167CB8">
        <w:t xml:space="preserve"> has been declining steadily since 2004, with this becoming more pronounced after the 2007/8 </w:t>
      </w:r>
      <w:r w:rsidR="004208E4" w:rsidRPr="00167CB8">
        <w:t>G</w:t>
      </w:r>
      <w:r w:rsidRPr="00167CB8">
        <w:t xml:space="preserve">lobal </w:t>
      </w:r>
      <w:r w:rsidR="004208E4" w:rsidRPr="00167CB8">
        <w:t>F</w:t>
      </w:r>
      <w:r w:rsidRPr="00167CB8">
        <w:t xml:space="preserve">inancial </w:t>
      </w:r>
      <w:r w:rsidR="004208E4" w:rsidRPr="00167CB8">
        <w:t>C</w:t>
      </w:r>
      <w:r w:rsidRPr="00167CB8">
        <w:t>risis</w:t>
      </w:r>
      <w:r w:rsidR="004208E4" w:rsidRPr="00167CB8">
        <w:t xml:space="preserve"> (GFC)</w:t>
      </w:r>
      <w:r w:rsidRPr="00167CB8">
        <w:t xml:space="preserve">. When compared to June 2009, capital productivity is down by 5.7%. One significant contributor to the observed decline in capital productivity is the substantial increase in capital investment in sectors such as mining, where the returns are slower to materialise. </w:t>
      </w:r>
    </w:p>
    <w:p w14:paraId="57B3254F" w14:textId="6D5E964E" w:rsidR="003A5F70" w:rsidRPr="00167CB8" w:rsidRDefault="003A5F70" w:rsidP="00011008">
      <w:r w:rsidRPr="00167CB8">
        <w:t xml:space="preserve">Two measures of </w:t>
      </w:r>
      <w:r w:rsidRPr="00167CB8">
        <w:rPr>
          <w:i/>
          <w:iCs/>
        </w:rPr>
        <w:t>labour productivity</w:t>
      </w:r>
      <w:r w:rsidRPr="00167CB8">
        <w:t xml:space="preserve"> in Australia are shown in Figure</w:t>
      </w:r>
      <w:r w:rsidR="00042F7F">
        <w:t xml:space="preserve"> </w:t>
      </w:r>
      <w:r w:rsidR="00336233" w:rsidRPr="00167CB8">
        <w:t>59</w:t>
      </w:r>
      <w:r w:rsidRPr="00167CB8">
        <w:t xml:space="preserve"> – one that simply divides by the hours worked and another that uses the quality adjusted measure of hours. The quality adjusted measure lies below the non-adjusted measure. This indicates that the shift in hours worked has been towards higher quality hours (more skilled labour).</w:t>
      </w:r>
      <w:r w:rsidRPr="00167CB8">
        <w:rPr>
          <w:vertAlign w:val="superscript"/>
        </w:rPr>
        <w:footnoteReference w:id="1118"/>
      </w:r>
      <w:r w:rsidRPr="00167CB8">
        <w:t xml:space="preserve"> The estimates show a steady increase in labour productivity in the market sector up until 2022. Between 2022 and 2024 labour productivity in the market sector fell by 3.4%. </w:t>
      </w:r>
    </w:p>
    <w:p w14:paraId="0EAB31A7" w14:textId="3176153C" w:rsidR="003A5F70" w:rsidRPr="00167CB8" w:rsidRDefault="003A5F70" w:rsidP="00011008">
      <w:r w:rsidRPr="00167CB8">
        <w:t>There are several possible reasons for the recent fall in labour productivity in the market sector. First, it could be the result of labour shortages (and low unemployment) and businesses having to hire less experienced or otherwise less productive workers. It is also consistent with a greater share of recent migrants entering the workforce and perhaps needing time to integrate and upskill, moving into low paid jobs in the meantime.</w:t>
      </w:r>
      <w:r w:rsidRPr="00167CB8">
        <w:rPr>
          <w:vertAlign w:val="superscript"/>
        </w:rPr>
        <w:footnoteReference w:id="1119"/>
      </w:r>
      <w:r w:rsidRPr="00167CB8">
        <w:t xml:space="preserve"> It could be that, after COVID-19, businesses are meeting the demand for output by hiring more workers instead of investing in productivity-</w:t>
      </w:r>
      <w:r w:rsidRPr="00167CB8">
        <w:lastRenderedPageBreak/>
        <w:t>enhancing capital (e.g. technology or automatic), which means the productivity per worker will decline. A related explanation is that firms may be hoarding labour, given the difficulties and cost of recruiting skilled workers in a tight labour market. Non-compete agreements, designed to prevent turnover, could be contributing to this labour hoarding.</w:t>
      </w:r>
      <w:r w:rsidRPr="00167CB8">
        <w:rPr>
          <w:vertAlign w:val="superscript"/>
        </w:rPr>
        <w:footnoteReference w:id="1120"/>
      </w:r>
      <w:r w:rsidRPr="00167CB8">
        <w:t xml:space="preserve"> Another potential explanation is that workers are burning out (tiring) and/or perhaps becoming less efficient if facing financial stress because their wages are not keeping up with inflation.</w:t>
      </w:r>
    </w:p>
    <w:p w14:paraId="589C8100" w14:textId="733B5E25" w:rsidR="003A5F70" w:rsidRPr="00167CB8" w:rsidRDefault="003A5F70" w:rsidP="00011008">
      <w:r w:rsidRPr="00167CB8">
        <w:t xml:space="preserve">The third measure of national productivity presented in Figure </w:t>
      </w:r>
      <w:r w:rsidR="00336233" w:rsidRPr="00167CB8">
        <w:t xml:space="preserve">59 </w:t>
      </w:r>
      <w:r w:rsidRPr="00167CB8">
        <w:t>is MFP. Between 2009 and 2024 MFP increased by 8.5%, while quality-adjusted MFP increased by 4.1%. Overall, however, both these measures show that there have been long-term improvements in the interaction between capital and labour. The dip after 2022 could be the product of a labour-intensive recovery. Other potential contributory factors might include economic pressures such as inflation, rising input costs and increased uncertainty, making it hard for businesses to plan investments.</w:t>
      </w:r>
    </w:p>
    <w:p w14:paraId="338E0EE4" w14:textId="2AA3591F" w:rsidR="003A5F70" w:rsidRPr="00167CB8" w:rsidRDefault="003A5F70" w:rsidP="00470AB9">
      <w:pPr>
        <w:pStyle w:val="Caption"/>
      </w:pPr>
      <w:bookmarkStart w:id="931" w:name="_Toc189310847"/>
      <w:r w:rsidRPr="00167CB8">
        <w:t xml:space="preserve">Figure </w:t>
      </w:r>
      <w:r w:rsidR="00336233" w:rsidRPr="00167CB8">
        <w:t>59</w:t>
      </w:r>
      <w:r w:rsidRPr="00167CB8">
        <w:t>: Productivity in the market sector, 1995 to 2024</w:t>
      </w:r>
      <w:bookmarkEnd w:id="931"/>
    </w:p>
    <w:p w14:paraId="6BDE16B2" w14:textId="51BDC58C" w:rsidR="003A5F70" w:rsidRPr="00167CB8" w:rsidRDefault="003A5F70" w:rsidP="00011008">
      <w:r w:rsidRPr="00167CB8">
        <w:rPr>
          <w:noProof/>
        </w:rPr>
        <w:drawing>
          <wp:inline distT="0" distB="0" distL="0" distR="0" wp14:anchorId="02796746" wp14:editId="0EDD100F">
            <wp:extent cx="5734050" cy="3752850"/>
            <wp:effectExtent l="0" t="0" r="0" b="0"/>
            <wp:docPr id="734040595" name="Picture 1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aph of different colored lines&#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4050" cy="3752850"/>
                    </a:xfrm>
                    <a:prstGeom prst="rect">
                      <a:avLst/>
                    </a:prstGeom>
                    <a:noFill/>
                    <a:ln>
                      <a:noFill/>
                    </a:ln>
                  </pic:spPr>
                </pic:pic>
              </a:graphicData>
            </a:graphic>
          </wp:inline>
        </w:drawing>
      </w:r>
    </w:p>
    <w:p w14:paraId="42198AA6" w14:textId="77777777" w:rsidR="003A5F70" w:rsidRPr="00167CB8" w:rsidRDefault="003A5F70" w:rsidP="004208E4">
      <w:pPr>
        <w:pStyle w:val="Source"/>
        <w:rPr>
          <w:b/>
          <w:bCs/>
        </w:rPr>
      </w:pPr>
      <w:r w:rsidRPr="00167CB8">
        <w:rPr>
          <w:b/>
          <w:bCs/>
        </w:rPr>
        <w:t>Notes:</w:t>
      </w:r>
    </w:p>
    <w:p w14:paraId="68E8D001" w14:textId="0CE35E70" w:rsidR="003A5F70" w:rsidRPr="00167CB8" w:rsidRDefault="004208E4" w:rsidP="004208E4">
      <w:pPr>
        <w:pStyle w:val="Source"/>
      </w:pPr>
      <w:r w:rsidRPr="00167CB8">
        <w:t xml:space="preserve">1. </w:t>
      </w:r>
      <w:r w:rsidR="003A5F70" w:rsidRPr="00167CB8">
        <w:t>Annual estimates of productivity at June of each year.</w:t>
      </w:r>
    </w:p>
    <w:p w14:paraId="46809E10" w14:textId="06EE663C" w:rsidR="003A5F70" w:rsidRPr="00167CB8" w:rsidRDefault="004208E4" w:rsidP="004208E4">
      <w:pPr>
        <w:pStyle w:val="Source"/>
      </w:pPr>
      <w:r w:rsidRPr="00167CB8">
        <w:t xml:space="preserve">2. </w:t>
      </w:r>
      <w:r w:rsidR="003A5F70" w:rsidRPr="00167CB8">
        <w:t>Data indexed to 1995.</w:t>
      </w:r>
    </w:p>
    <w:p w14:paraId="4F3CB4A3" w14:textId="77777777" w:rsidR="003A5F70" w:rsidRPr="00167CB8" w:rsidRDefault="003A5F70" w:rsidP="004208E4">
      <w:pPr>
        <w:pStyle w:val="Source"/>
      </w:pPr>
      <w:r w:rsidRPr="00167CB8">
        <w:rPr>
          <w:b/>
          <w:bCs/>
        </w:rPr>
        <w:t>Source:</w:t>
      </w:r>
      <w:r w:rsidRPr="00167CB8">
        <w:t xml:space="preserve"> ABS 5204.0 Australian System of National Accounts, Table 13.</w:t>
      </w:r>
    </w:p>
    <w:p w14:paraId="66EAAF79" w14:textId="77777777" w:rsidR="003A5F70" w:rsidRPr="00167CB8" w:rsidRDefault="003A5F70" w:rsidP="004208E4">
      <w:pPr>
        <w:pStyle w:val="Source"/>
      </w:pPr>
      <w:r w:rsidRPr="00167CB8">
        <w:t>Series IDs used: A2421358T, A2421359V, A2421360C, A2421361F, A2421362J.</w:t>
      </w:r>
    </w:p>
    <w:p w14:paraId="1585FED7" w14:textId="579EB6A7" w:rsidR="003A5F70" w:rsidRPr="00167CB8" w:rsidRDefault="003A5F70" w:rsidP="00011008">
      <w:r w:rsidRPr="00167CB8">
        <w:lastRenderedPageBreak/>
        <w:t xml:space="preserve">Figure </w:t>
      </w:r>
      <w:r w:rsidR="00336233" w:rsidRPr="00167CB8">
        <w:t>59</w:t>
      </w:r>
      <w:r w:rsidR="00177CA8">
        <w:t xml:space="preserve"> </w:t>
      </w:r>
      <w:r w:rsidRPr="00167CB8">
        <w:t>also shows where there were significant changes to the industrial relations system. Four points are highlighted, via the vertical lines in Figure 1: (a) Workplace Relations Act, first passed in 1996</w:t>
      </w:r>
      <w:r w:rsidR="004208E4" w:rsidRPr="00167CB8">
        <w:t>;</w:t>
      </w:r>
      <w:r w:rsidRPr="00167CB8">
        <w:t xml:space="preserve"> (b) the </w:t>
      </w:r>
      <w:r w:rsidRPr="00167CB8">
        <w:rPr>
          <w:i/>
          <w:iCs/>
        </w:rPr>
        <w:t>Workplace Relations Amendment (Work Choices) Act 2005</w:t>
      </w:r>
      <w:r w:rsidR="004208E4" w:rsidRPr="00167CB8">
        <w:t xml:space="preserve"> (Cth)</w:t>
      </w:r>
      <w:r w:rsidRPr="00167CB8">
        <w:t>, which came into effect in 2006</w:t>
      </w:r>
      <w:r w:rsidR="004208E4" w:rsidRPr="00167CB8">
        <w:t>;</w:t>
      </w:r>
      <w:r w:rsidRPr="00167CB8">
        <w:t xml:space="preserve"> (c) the adoption of the Fair Work Act in 2009</w:t>
      </w:r>
      <w:r w:rsidR="004208E4" w:rsidRPr="00167CB8">
        <w:t>;</w:t>
      </w:r>
      <w:r w:rsidRPr="00167CB8">
        <w:t xml:space="preserve"> and (d) the </w:t>
      </w:r>
      <w:r w:rsidR="004208E4" w:rsidRPr="00167CB8">
        <w:t xml:space="preserve">Secure Jobs, Better Pay </w:t>
      </w:r>
      <w:r w:rsidRPr="00167CB8">
        <w:t>amendments. Echoing Hancock, the aggregate productivity data does not indicate any significant break in any of the series following the introduction of any of these legislative changes.</w:t>
      </w:r>
      <w:r w:rsidRPr="00167CB8">
        <w:rPr>
          <w:vertAlign w:val="superscript"/>
        </w:rPr>
        <w:footnoteReference w:id="1121"/>
      </w:r>
      <w:r w:rsidRPr="00167CB8">
        <w:t xml:space="preserve"> It is, therefore, difficult to argue that </w:t>
      </w:r>
      <w:r w:rsidR="004208E4" w:rsidRPr="00167CB8">
        <w:t xml:space="preserve">industrial relations </w:t>
      </w:r>
      <w:r w:rsidRPr="00167CB8">
        <w:t>systems have a significant, dominant effect on national productivity outcomes or</w:t>
      </w:r>
      <w:r w:rsidR="004208E4" w:rsidRPr="00167CB8">
        <w:t>,</w:t>
      </w:r>
      <w:r w:rsidRPr="00167CB8">
        <w:t xml:space="preserve"> at the very least, it requires a more nuanced analysis; this theme will be explored below. </w:t>
      </w:r>
    </w:p>
    <w:p w14:paraId="7B500471" w14:textId="77777777" w:rsidR="003A5F70" w:rsidRPr="00167CB8" w:rsidRDefault="003A5F70" w:rsidP="00650687">
      <w:pPr>
        <w:pStyle w:val="Heading4"/>
      </w:pPr>
      <w:bookmarkStart w:id="932" w:name="_Toc189260348"/>
      <w:bookmarkStart w:id="933" w:name="_Toc189393688"/>
      <w:r w:rsidRPr="00167CB8">
        <w:t>3.2</w:t>
      </w:r>
      <w:r w:rsidRPr="00167CB8">
        <w:tab/>
        <w:t>Productivity at the industry level</w:t>
      </w:r>
      <w:bookmarkEnd w:id="932"/>
      <w:bookmarkEnd w:id="933"/>
    </w:p>
    <w:p w14:paraId="47C765BA" w14:textId="60B92F10" w:rsidR="003A5F70" w:rsidRPr="00167CB8" w:rsidRDefault="003A5F70" w:rsidP="00011008">
      <w:r w:rsidRPr="00167CB8">
        <w:t>Figure</w:t>
      </w:r>
      <w:r w:rsidR="004B52D4">
        <w:t xml:space="preserve"> </w:t>
      </w:r>
      <w:r w:rsidR="00336233" w:rsidRPr="00167CB8">
        <w:t>60</w:t>
      </w:r>
      <w:r w:rsidRPr="00167CB8">
        <w:t xml:space="preserve"> shows trends in labour productivity at the industry level. For each industry the numerator is gross value added (GVA) and the denominator hours worked. No adjustment is made for quality hours worked. For convenience, only a select set of industries are shown (as space precludes showing trends for all industries). The set includes industries from the market as well as the non-market sector. Selection of industry is based primarily on size (in terms of employment at August 2024). The sectors profiled include </w:t>
      </w:r>
      <w:r w:rsidR="004208E4" w:rsidRPr="00167CB8">
        <w:t>h</w:t>
      </w:r>
      <w:r w:rsidRPr="00167CB8">
        <w:t>ealth care and social assistance</w:t>
      </w:r>
      <w:r w:rsidR="004208E4" w:rsidRPr="00167CB8">
        <w:t>;</w:t>
      </w:r>
      <w:r w:rsidRPr="00167CB8">
        <w:t xml:space="preserve"> </w:t>
      </w:r>
      <w:r w:rsidR="004208E4" w:rsidRPr="00167CB8">
        <w:t>r</w:t>
      </w:r>
      <w:r w:rsidRPr="00167CB8">
        <w:t>etail trade</w:t>
      </w:r>
      <w:r w:rsidR="004208E4" w:rsidRPr="00167CB8">
        <w:t>;</w:t>
      </w:r>
      <w:r w:rsidRPr="00167CB8">
        <w:t xml:space="preserve"> </w:t>
      </w:r>
      <w:r w:rsidR="004208E4" w:rsidRPr="00167CB8">
        <w:t>c</w:t>
      </w:r>
      <w:r w:rsidRPr="00167CB8">
        <w:t>onstruction</w:t>
      </w:r>
      <w:r w:rsidR="004208E4" w:rsidRPr="00167CB8">
        <w:t>;</w:t>
      </w:r>
      <w:r w:rsidRPr="00167CB8">
        <w:t xml:space="preserve"> </w:t>
      </w:r>
      <w:r w:rsidR="004208E4" w:rsidRPr="00167CB8">
        <w:t>p</w:t>
      </w:r>
      <w:r w:rsidRPr="00167CB8">
        <w:t>rofessional, scientific and technical services</w:t>
      </w:r>
      <w:r w:rsidR="004208E4" w:rsidRPr="00167CB8">
        <w:t>;</w:t>
      </w:r>
      <w:r w:rsidRPr="00167CB8">
        <w:t xml:space="preserve"> </w:t>
      </w:r>
      <w:r w:rsidR="004208E4" w:rsidRPr="00167CB8">
        <w:t>e</w:t>
      </w:r>
      <w:r w:rsidRPr="00167CB8">
        <w:t>ducation and training</w:t>
      </w:r>
      <w:r w:rsidR="004208E4" w:rsidRPr="00167CB8">
        <w:t>;</w:t>
      </w:r>
      <w:r w:rsidRPr="00167CB8">
        <w:t xml:space="preserve"> </w:t>
      </w:r>
      <w:r w:rsidR="004208E4" w:rsidRPr="00167CB8">
        <w:t>m</w:t>
      </w:r>
      <w:r w:rsidRPr="00167CB8">
        <w:t>ining</w:t>
      </w:r>
      <w:r w:rsidR="004208E4" w:rsidRPr="00167CB8">
        <w:t>;</w:t>
      </w:r>
      <w:r w:rsidRPr="00167CB8">
        <w:t xml:space="preserve"> and </w:t>
      </w:r>
      <w:r w:rsidR="004208E4" w:rsidRPr="00167CB8">
        <w:t>m</w:t>
      </w:r>
      <w:r w:rsidRPr="00167CB8">
        <w:t>anufacturing. Mining has been included because it has a disproportionate effect on measures of Australia’s national productivity</w:t>
      </w:r>
      <w:r w:rsidR="004208E4" w:rsidRPr="00167CB8">
        <w:t>;</w:t>
      </w:r>
      <w:r w:rsidRPr="00167CB8">
        <w:t xml:space="preserve"> and </w:t>
      </w:r>
      <w:r w:rsidR="004208E4" w:rsidRPr="00167CB8">
        <w:t>m</w:t>
      </w:r>
      <w:r w:rsidRPr="00167CB8">
        <w:t xml:space="preserve">anufacturing has been included because of its historical importance in the Australian economy. </w:t>
      </w:r>
    </w:p>
    <w:p w14:paraId="47966204" w14:textId="77777777" w:rsidR="003A5F70" w:rsidRPr="00167CB8" w:rsidRDefault="003A5F70" w:rsidP="00011008">
      <w:r w:rsidRPr="00167CB8">
        <w:t>An initial observation is that trends in labour productivity growth varies enormously by industry, suggesting that national productivity debates need to be more nuanced and sensitive to industry differences.</w:t>
      </w:r>
    </w:p>
    <w:p w14:paraId="6F3B1E4C" w14:textId="23ABA8B2" w:rsidR="003A5F70" w:rsidRPr="00167CB8" w:rsidRDefault="003A5F70" w:rsidP="00011008">
      <w:r w:rsidRPr="00167CB8">
        <w:t xml:space="preserve">Vertical lines have been introduced into Figure </w:t>
      </w:r>
      <w:r w:rsidR="00336233" w:rsidRPr="00167CB8">
        <w:t>60</w:t>
      </w:r>
      <w:r w:rsidRPr="00167CB8">
        <w:t xml:space="preserve"> to recognise </w:t>
      </w:r>
      <w:r w:rsidR="004208E4" w:rsidRPr="00167CB8">
        <w:t xml:space="preserve">5 </w:t>
      </w:r>
      <w:r w:rsidRPr="00167CB8">
        <w:t>‘productivity growth cycles’ between 1998</w:t>
      </w:r>
      <w:r w:rsidR="004208E4" w:rsidRPr="00167CB8">
        <w:rPr>
          <w:rFonts w:ascii="Symbol" w:eastAsia="Symbol" w:hAnsi="Symbol" w:cs="Symbol"/>
        </w:rPr>
        <w:sym w:font="Symbol" w:char="F02D"/>
      </w:r>
      <w:r w:rsidRPr="00167CB8">
        <w:t>99 and 2021</w:t>
      </w:r>
      <w:r w:rsidR="004208E4" w:rsidRPr="00167CB8">
        <w:rPr>
          <w:rFonts w:ascii="Symbol" w:eastAsia="Symbol" w:hAnsi="Symbol" w:cs="Symbol"/>
        </w:rPr>
        <w:sym w:font="Symbol" w:char="F02D"/>
      </w:r>
      <w:r w:rsidRPr="00167CB8">
        <w:t xml:space="preserve">22. These productivity growth cycles, identified by the </w:t>
      </w:r>
      <w:r w:rsidR="004208E4" w:rsidRPr="00167CB8">
        <w:t>Australian Bureau of Statistics (ABS)</w:t>
      </w:r>
      <w:r w:rsidRPr="00167CB8">
        <w:t>, provide a long-term perspective on productivity trends, recognising that annual or short-term fluctuations in MFP may not accurately reflect underlying changes in the economy’s productivity. Growth cycles vary in length, with each cycle endeavouring to capture peaks in productivity. As David Peetz notes, the trouble with growth cycles is that ‘the end point is not easy to pick’</w:t>
      </w:r>
      <w:r w:rsidR="004208E4" w:rsidRPr="00167CB8">
        <w:t>.</w:t>
      </w:r>
      <w:r w:rsidRPr="00167CB8">
        <w:rPr>
          <w:vertAlign w:val="superscript"/>
        </w:rPr>
        <w:footnoteReference w:id="1122"/>
      </w:r>
      <w:r w:rsidRPr="00167CB8">
        <w:t xml:space="preserve"> ABS estimates for the latest growth cycle (2017</w:t>
      </w:r>
      <w:r w:rsidR="004208E4" w:rsidRPr="00167CB8">
        <w:rPr>
          <w:rFonts w:ascii="Symbol" w:eastAsia="Symbol" w:hAnsi="Symbol" w:cs="Symbol"/>
        </w:rPr>
        <w:sym w:font="Symbol" w:char="F02D"/>
      </w:r>
      <w:r w:rsidRPr="00167CB8">
        <w:t>18 to 2021</w:t>
      </w:r>
      <w:r w:rsidR="004208E4" w:rsidRPr="00167CB8">
        <w:rPr>
          <w:rFonts w:ascii="Symbol" w:eastAsia="Symbol" w:hAnsi="Symbol" w:cs="Symbol"/>
        </w:rPr>
        <w:sym w:font="Symbol" w:char="F02D"/>
      </w:r>
      <w:r w:rsidRPr="00167CB8">
        <w:t>22) show that GVA growth (i.e. output) in the market sector was relatively subdued, averaging 1.6% per year. This compares to 2.8% in the 2009</w:t>
      </w:r>
      <w:r w:rsidR="004208E4" w:rsidRPr="00167CB8">
        <w:rPr>
          <w:rFonts w:ascii="Symbol" w:eastAsia="Symbol" w:hAnsi="Symbol" w:cs="Symbol"/>
        </w:rPr>
        <w:sym w:font="Symbol" w:char="F02D"/>
      </w:r>
      <w:r w:rsidRPr="00167CB8">
        <w:t>10 to 2017</w:t>
      </w:r>
      <w:r w:rsidR="004208E4" w:rsidRPr="00167CB8">
        <w:rPr>
          <w:rFonts w:ascii="Symbol" w:eastAsia="Symbol" w:hAnsi="Symbol" w:cs="Symbol"/>
        </w:rPr>
        <w:sym w:font="Symbol" w:char="F02D"/>
      </w:r>
      <w:r w:rsidRPr="00167CB8">
        <w:t>18 growth cycle.</w:t>
      </w:r>
      <w:r w:rsidRPr="00167CB8">
        <w:rPr>
          <w:vertAlign w:val="superscript"/>
        </w:rPr>
        <w:footnoteReference w:id="1123"/>
      </w:r>
      <w:r w:rsidR="004208E4" w:rsidRPr="00167CB8">
        <w:rPr>
          <w:vertAlign w:val="superscript"/>
        </w:rPr>
        <w:t xml:space="preserve"> </w:t>
      </w:r>
      <w:r w:rsidRPr="00167CB8">
        <w:rPr>
          <w:vertAlign w:val="superscript"/>
        </w:rPr>
        <w:footnoteReference w:id="1124"/>
      </w:r>
      <w:r w:rsidRPr="00167CB8">
        <w:rPr>
          <w:vertAlign w:val="superscript"/>
        </w:rPr>
        <w:t xml:space="preserve"> </w:t>
      </w:r>
      <w:r w:rsidRPr="00167CB8">
        <w:t xml:space="preserve"> Low/slowing productivity is not unique to Australia. KPMG reports that Australia, Canada and the U</w:t>
      </w:r>
      <w:r w:rsidR="004208E4" w:rsidRPr="00167CB8">
        <w:t xml:space="preserve">nited </w:t>
      </w:r>
      <w:r w:rsidRPr="00167CB8">
        <w:t>S</w:t>
      </w:r>
      <w:r w:rsidR="004208E4" w:rsidRPr="00167CB8">
        <w:t>tates</w:t>
      </w:r>
      <w:r w:rsidRPr="00167CB8">
        <w:t xml:space="preserve"> exhibit similar patterns in terms of high and low growth periods.</w:t>
      </w:r>
      <w:r w:rsidRPr="00167CB8">
        <w:rPr>
          <w:vertAlign w:val="superscript"/>
        </w:rPr>
        <w:footnoteReference w:id="1125"/>
      </w:r>
    </w:p>
    <w:p w14:paraId="4A064A90" w14:textId="7ED20DF0" w:rsidR="003A5F70" w:rsidRPr="00167CB8" w:rsidRDefault="003A5F70" w:rsidP="00470AB9">
      <w:pPr>
        <w:pStyle w:val="Caption"/>
      </w:pPr>
      <w:bookmarkStart w:id="934" w:name="_Toc189310848"/>
      <w:r w:rsidRPr="00167CB8">
        <w:lastRenderedPageBreak/>
        <w:t>Figure</w:t>
      </w:r>
      <w:r w:rsidR="00336233" w:rsidRPr="00167CB8">
        <w:t xml:space="preserve"> 60</w:t>
      </w:r>
      <w:r w:rsidRPr="00167CB8">
        <w:t xml:space="preserve">: Estimates of </w:t>
      </w:r>
      <w:r w:rsidR="004208E4" w:rsidRPr="00167CB8">
        <w:t>l</w:t>
      </w:r>
      <w:r w:rsidRPr="00167CB8">
        <w:t xml:space="preserve">abour </w:t>
      </w:r>
      <w:r w:rsidR="004208E4" w:rsidRPr="00167CB8">
        <w:t>p</w:t>
      </w:r>
      <w:r w:rsidRPr="00167CB8">
        <w:t xml:space="preserve">roductivity </w:t>
      </w:r>
      <w:r w:rsidR="004208E4" w:rsidRPr="00167CB8">
        <w:t>g</w:t>
      </w:r>
      <w:r w:rsidRPr="00167CB8">
        <w:t xml:space="preserve">rowth for </w:t>
      </w:r>
      <w:r w:rsidR="004208E4" w:rsidRPr="00167CB8">
        <w:t>s</w:t>
      </w:r>
      <w:r w:rsidRPr="00167CB8">
        <w:t xml:space="preserve">elect </w:t>
      </w:r>
      <w:r w:rsidR="004208E4" w:rsidRPr="00167CB8">
        <w:t>i</w:t>
      </w:r>
      <w:r w:rsidRPr="00167CB8">
        <w:t>ndustries, Australia</w:t>
      </w:r>
      <w:r w:rsidR="004208E4" w:rsidRPr="00167CB8">
        <w:t>, 1995 to 2024</w:t>
      </w:r>
      <w:bookmarkEnd w:id="934"/>
    </w:p>
    <w:p w14:paraId="6E674103" w14:textId="4ADB3A4E" w:rsidR="003A5F70" w:rsidRPr="00167CB8" w:rsidRDefault="003A5F70" w:rsidP="00011008">
      <w:r w:rsidRPr="00167CB8">
        <w:rPr>
          <w:noProof/>
        </w:rPr>
        <w:drawing>
          <wp:inline distT="0" distB="0" distL="0" distR="0" wp14:anchorId="067B8727" wp14:editId="1FF66707">
            <wp:extent cx="5734050" cy="3752850"/>
            <wp:effectExtent l="0" t="0" r="0" b="0"/>
            <wp:docPr id="1235535350" name="Picture 1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different colored lines&#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4050" cy="3752850"/>
                    </a:xfrm>
                    <a:prstGeom prst="rect">
                      <a:avLst/>
                    </a:prstGeom>
                    <a:noFill/>
                    <a:ln>
                      <a:noFill/>
                    </a:ln>
                  </pic:spPr>
                </pic:pic>
              </a:graphicData>
            </a:graphic>
          </wp:inline>
        </w:drawing>
      </w:r>
    </w:p>
    <w:p w14:paraId="0A3613F8" w14:textId="77777777" w:rsidR="003A5F70" w:rsidRPr="00167CB8" w:rsidRDefault="003A5F70" w:rsidP="004208E4">
      <w:pPr>
        <w:pStyle w:val="Source"/>
        <w:rPr>
          <w:b/>
          <w:bCs/>
        </w:rPr>
      </w:pPr>
      <w:r w:rsidRPr="00167CB8">
        <w:rPr>
          <w:b/>
          <w:bCs/>
        </w:rPr>
        <w:t>Notes:</w:t>
      </w:r>
    </w:p>
    <w:p w14:paraId="57A8B894" w14:textId="25086DBB" w:rsidR="003A5F70" w:rsidRPr="00167CB8" w:rsidRDefault="004208E4" w:rsidP="004208E4">
      <w:pPr>
        <w:pStyle w:val="Source"/>
      </w:pPr>
      <w:r w:rsidRPr="00167CB8">
        <w:t xml:space="preserve">1. </w:t>
      </w:r>
      <w:r w:rsidR="003A5F70" w:rsidRPr="00167CB8">
        <w:t>Data indexed to 1995/96.</w:t>
      </w:r>
    </w:p>
    <w:p w14:paraId="362AE598" w14:textId="3EBF3C0A" w:rsidR="004208E4" w:rsidRPr="00167CB8" w:rsidRDefault="004208E4" w:rsidP="004208E4">
      <w:pPr>
        <w:pStyle w:val="Source"/>
      </w:pPr>
      <w:r w:rsidRPr="00167CB8">
        <w:t>2. The vertical lines show the productivity growth cycles as identified by the ABS. These are: 2003</w:t>
      </w:r>
      <w:r w:rsidRPr="00167CB8">
        <w:rPr>
          <w:rFonts w:ascii="Symbol" w:eastAsia="Symbol" w:hAnsi="Symbol" w:cs="Symbol"/>
        </w:rPr>
        <w:sym w:font="Symbol" w:char="F02D"/>
      </w:r>
      <w:r w:rsidRPr="00167CB8">
        <w:t>04 to 2009</w:t>
      </w:r>
      <w:r w:rsidRPr="00167CB8">
        <w:rPr>
          <w:rFonts w:ascii="Symbol" w:eastAsia="Symbol" w:hAnsi="Symbol" w:cs="Symbol"/>
        </w:rPr>
        <w:sym w:font="Symbol" w:char="F02D"/>
      </w:r>
      <w:r w:rsidRPr="00167CB8">
        <w:t>10, 2009</w:t>
      </w:r>
      <w:r w:rsidRPr="00167CB8">
        <w:rPr>
          <w:rFonts w:ascii="Symbol" w:eastAsia="Symbol" w:hAnsi="Symbol" w:cs="Symbol"/>
        </w:rPr>
        <w:sym w:font="Symbol" w:char="F02D"/>
      </w:r>
      <w:r w:rsidRPr="00167CB8">
        <w:t>10 to 2017</w:t>
      </w:r>
      <w:r w:rsidRPr="00167CB8">
        <w:rPr>
          <w:rFonts w:ascii="Symbol" w:eastAsia="Symbol" w:hAnsi="Symbol" w:cs="Symbol"/>
        </w:rPr>
        <w:sym w:font="Symbol" w:char="F02D"/>
      </w:r>
      <w:r w:rsidRPr="00167CB8">
        <w:t>18, 2017</w:t>
      </w:r>
      <w:r w:rsidRPr="00167CB8">
        <w:rPr>
          <w:rFonts w:ascii="Symbol" w:eastAsia="Symbol" w:hAnsi="Symbol" w:cs="Symbol"/>
        </w:rPr>
        <w:sym w:font="Symbol" w:char="F02D"/>
      </w:r>
      <w:r w:rsidRPr="00167CB8">
        <w:t>18 to 2021</w:t>
      </w:r>
      <w:r w:rsidRPr="00167CB8">
        <w:rPr>
          <w:rFonts w:ascii="Symbol" w:eastAsia="Symbol" w:hAnsi="Symbol" w:cs="Symbol"/>
        </w:rPr>
        <w:sym w:font="Symbol" w:char="F02D"/>
      </w:r>
      <w:r w:rsidRPr="00167CB8">
        <w:t>22.</w:t>
      </w:r>
    </w:p>
    <w:p w14:paraId="7EBDFB66" w14:textId="427FCBFB" w:rsidR="003A5F70" w:rsidRPr="00167CB8" w:rsidRDefault="003A5F70" w:rsidP="004208E4">
      <w:pPr>
        <w:pStyle w:val="Source"/>
      </w:pPr>
      <w:r w:rsidRPr="00167CB8">
        <w:rPr>
          <w:b/>
          <w:bCs/>
        </w:rPr>
        <w:t>Source:</w:t>
      </w:r>
      <w:r w:rsidRPr="00167CB8">
        <w:t xml:space="preserve"> ABS 5204.0, Australian system of National Accounts, Table 15. </w:t>
      </w:r>
    </w:p>
    <w:p w14:paraId="7EEFCCB9" w14:textId="68B0993E" w:rsidR="003A5F70" w:rsidRPr="00167CB8" w:rsidRDefault="003A5F70" w:rsidP="00011008">
      <w:r w:rsidRPr="00167CB8">
        <w:t>The growth cycle 2002</w:t>
      </w:r>
      <w:r w:rsidR="004208E4" w:rsidRPr="00167CB8">
        <w:rPr>
          <w:rFonts w:ascii="Symbol" w:eastAsia="Symbol" w:hAnsi="Symbol" w:cs="Symbol"/>
        </w:rPr>
        <w:sym w:font="Symbol" w:char="F02D"/>
      </w:r>
      <w:r w:rsidR="004208E4" w:rsidRPr="00167CB8">
        <w:t>0</w:t>
      </w:r>
      <w:r w:rsidRPr="00167CB8">
        <w:t>3 to 2009</w:t>
      </w:r>
      <w:r w:rsidR="004208E4" w:rsidRPr="00167CB8">
        <w:rPr>
          <w:rFonts w:ascii="Symbol" w:eastAsia="Symbol" w:hAnsi="Symbol" w:cs="Symbol"/>
        </w:rPr>
        <w:sym w:font="Symbol" w:char="F02D"/>
      </w:r>
      <w:r w:rsidRPr="00167CB8">
        <w:t xml:space="preserve">10 in Figure </w:t>
      </w:r>
      <w:r w:rsidR="00336233" w:rsidRPr="00167CB8">
        <w:t>60</w:t>
      </w:r>
      <w:r w:rsidRPr="00167CB8">
        <w:t xml:space="preserve"> shows a sharp fall in labour productivity in mining. This was during the mining boom and a period of significant investment in new infrastructure (capital) during the construction phase (also known as ‘capital deepening’). Further declines at the peak of the mining boom (around 2012) are consistent with incentives to mine lower</w:t>
      </w:r>
      <w:r w:rsidR="004208E4" w:rsidRPr="00167CB8">
        <w:t xml:space="preserve"> </w:t>
      </w:r>
      <w:r w:rsidRPr="00167CB8">
        <w:t>quality resources at that time.</w:t>
      </w:r>
      <w:r w:rsidRPr="00167CB8">
        <w:rPr>
          <w:vertAlign w:val="superscript"/>
        </w:rPr>
        <w:footnoteReference w:id="1126"/>
      </w:r>
      <w:r w:rsidRPr="00167CB8">
        <w:t xml:space="preserve">  </w:t>
      </w:r>
    </w:p>
    <w:p w14:paraId="508DC107" w14:textId="07D636C4" w:rsidR="003A5F70" w:rsidRPr="00167CB8" w:rsidRDefault="003A5F70" w:rsidP="00011008">
      <w:r w:rsidRPr="00167CB8">
        <w:t>In the 2009</w:t>
      </w:r>
      <w:r w:rsidR="004208E4" w:rsidRPr="00167CB8">
        <w:rPr>
          <w:rFonts w:ascii="Symbol" w:eastAsia="Symbol" w:hAnsi="Symbol" w:cs="Symbol"/>
        </w:rPr>
        <w:sym w:font="Symbol" w:char="F02D"/>
      </w:r>
      <w:r w:rsidRPr="00167CB8">
        <w:t>10 to 2017</w:t>
      </w:r>
      <w:r w:rsidR="004208E4" w:rsidRPr="00167CB8">
        <w:rPr>
          <w:rFonts w:ascii="Symbol" w:eastAsia="Symbol" w:hAnsi="Symbol" w:cs="Symbol"/>
        </w:rPr>
        <w:sym w:font="Symbol" w:char="F02D"/>
      </w:r>
      <w:r w:rsidRPr="00167CB8">
        <w:t>18 growth cycle, labour productivity in mining grew (on the back of the investments in the previous growth cycle). It has been declining since 2020. This reflects a combination of factors, including weaker iron ore prices and increases in hours worked. The ABS notes that mining recorded its fourth consecutive annual decline in MFP in 2023</w:t>
      </w:r>
      <w:r w:rsidR="004208E4" w:rsidRPr="00167CB8">
        <w:rPr>
          <w:rFonts w:ascii="Symbol" w:eastAsia="Symbol" w:hAnsi="Symbol" w:cs="Symbol"/>
        </w:rPr>
        <w:sym w:font="Symbol" w:char="F02D"/>
      </w:r>
      <w:r w:rsidRPr="00167CB8">
        <w:t xml:space="preserve">24. It attributes </w:t>
      </w:r>
      <w:r w:rsidRPr="00167CB8">
        <w:lastRenderedPageBreak/>
        <w:t>the latest decline, in part, to a growth in hours worked on account of weather disruptions and unplanned maintenance.</w:t>
      </w:r>
      <w:r w:rsidRPr="00167CB8">
        <w:rPr>
          <w:vertAlign w:val="superscript"/>
        </w:rPr>
        <w:footnoteReference w:id="1127"/>
      </w:r>
    </w:p>
    <w:p w14:paraId="69331211" w14:textId="3FFFA6B7" w:rsidR="003A5F70" w:rsidRPr="00167CB8" w:rsidRDefault="003A5F70" w:rsidP="00011008">
      <w:r w:rsidRPr="00167CB8">
        <w:t xml:space="preserve">Retail trade has shown strong growth in labour productivity, peaking in 2022. Growth in this sector likely reflects technological advancements (e.g. e-commerce, self-service checkouts, online shopping etc.). </w:t>
      </w:r>
    </w:p>
    <w:p w14:paraId="6748FEEC" w14:textId="6AEE37A4" w:rsidR="003A5F70" w:rsidRPr="00167CB8" w:rsidRDefault="003A5F70" w:rsidP="00011008">
      <w:r w:rsidRPr="00167CB8">
        <w:t>Labour productivity in manufacturing was also strong over most of the period shown, although there was some stalling after around 2016. Australian manufacturers have faced substantially increased competition since the Button Plans of the late 1980s, which progressively reduced tariffs on significant industries. But resultant increases in efficiency had their limits, with the dramatic reductions in, or total disappearance of, some industry sectors.</w:t>
      </w:r>
      <w:r w:rsidRPr="00167CB8">
        <w:rPr>
          <w:vertAlign w:val="superscript"/>
        </w:rPr>
        <w:footnoteReference w:id="1128"/>
      </w:r>
      <w:r w:rsidRPr="00167CB8">
        <w:t xml:space="preserve"> Ford, for example, stopped manufacturing in Australia in 2016. Rising energy costs would also affect production costs, and therefore productivity</w:t>
      </w:r>
      <w:r w:rsidR="004208E4" w:rsidRPr="00167CB8">
        <w:t>,</w:t>
      </w:r>
      <w:r w:rsidRPr="00167CB8">
        <w:t xml:space="preserve"> in this sector.</w:t>
      </w:r>
    </w:p>
    <w:p w14:paraId="7668A163" w14:textId="09F58B8A" w:rsidR="003A5F70" w:rsidRPr="00167CB8" w:rsidRDefault="003A5F70" w:rsidP="00011008">
      <w:r w:rsidRPr="00167CB8">
        <w:t xml:space="preserve">In the </w:t>
      </w:r>
      <w:r w:rsidR="004208E4" w:rsidRPr="00167CB8">
        <w:t>p</w:t>
      </w:r>
      <w:r w:rsidRPr="00167CB8">
        <w:t>rofessional, scientific and technical services sector labour productivity was weak (negative) until around 2009. Between 2009 and 2023 it exhibited strong growth, on the back of technological advancements such as cloud computing, data analytics etc.). Between 2022</w:t>
      </w:r>
      <w:r w:rsidR="004208E4" w:rsidRPr="00167CB8">
        <w:rPr>
          <w:rFonts w:ascii="Symbol" w:eastAsia="Symbol" w:hAnsi="Symbol" w:cs="Symbol"/>
        </w:rPr>
        <w:sym w:font="Symbol" w:char="F02D"/>
      </w:r>
      <w:r w:rsidRPr="00167CB8">
        <w:t>23 and 2023</w:t>
      </w:r>
      <w:r w:rsidR="004208E4" w:rsidRPr="00167CB8">
        <w:rPr>
          <w:rFonts w:ascii="Symbol" w:eastAsia="Symbol" w:hAnsi="Symbol" w:cs="Symbol"/>
        </w:rPr>
        <w:sym w:font="Symbol" w:char="F02D"/>
      </w:r>
      <w:r w:rsidRPr="00167CB8">
        <w:t>24 labour productivity growth slowed. The cause would appear to be a fall in the GVA in relative to the growth in hours ‘as demand for business services softened’ alongside a growth in hours worked.</w:t>
      </w:r>
      <w:r w:rsidRPr="00167CB8">
        <w:rPr>
          <w:vertAlign w:val="superscript"/>
        </w:rPr>
        <w:footnoteReference w:id="1129"/>
      </w:r>
      <w:r w:rsidRPr="00167CB8">
        <w:t xml:space="preserve"> </w:t>
      </w:r>
    </w:p>
    <w:p w14:paraId="27044442" w14:textId="59F3D96E" w:rsidR="003A5F70" w:rsidRPr="00167CB8" w:rsidRDefault="003A5F70" w:rsidP="00011008">
      <w:r w:rsidRPr="00CA2AA4">
        <w:t xml:space="preserve">Included in Figure </w:t>
      </w:r>
      <w:r w:rsidR="00EB6FEC" w:rsidRPr="00CA2AA4">
        <w:t>60</w:t>
      </w:r>
      <w:r w:rsidRPr="00CA2AA4">
        <w:t xml:space="preserve"> are estimates for the</w:t>
      </w:r>
      <w:r w:rsidRPr="00167CB8">
        <w:t xml:space="preserve"> </w:t>
      </w:r>
      <w:r w:rsidR="004208E4" w:rsidRPr="00167CB8">
        <w:t>e</w:t>
      </w:r>
      <w:r w:rsidRPr="00167CB8">
        <w:t xml:space="preserve">ducation and training sector and the </w:t>
      </w:r>
      <w:r w:rsidR="004208E4" w:rsidRPr="00167CB8">
        <w:t>h</w:t>
      </w:r>
      <w:r w:rsidRPr="00167CB8">
        <w:t xml:space="preserve">ealth and social assistance sector. Much of the activity in these sectors is in the non-market sector, which means measuring the GVA is challenging (see earlier discussion). The ABS, nevertheless, produces estimates of GVA per hour worked for these </w:t>
      </w:r>
      <w:r w:rsidR="004208E4" w:rsidRPr="00167CB8">
        <w:t xml:space="preserve">2 </w:t>
      </w:r>
      <w:r w:rsidRPr="00167CB8">
        <w:t xml:space="preserve">industries and given their importance in the economy they are included here. </w:t>
      </w:r>
    </w:p>
    <w:p w14:paraId="69BB6407" w14:textId="1C965EEC" w:rsidR="003A5F70" w:rsidRPr="00167CB8" w:rsidRDefault="003A5F70" w:rsidP="00011008">
      <w:r w:rsidRPr="00167CB8">
        <w:t xml:space="preserve">In </w:t>
      </w:r>
      <w:r w:rsidR="004208E4" w:rsidRPr="00167CB8">
        <w:t>e</w:t>
      </w:r>
      <w:r w:rsidRPr="00167CB8">
        <w:t>ducation and training there is evidence of a growth in labour productivity up until the GFC. This would be consistent, for example, with increased class sizes. There was little in the way of productivity growth between 2010 and 2022, other than a surge in 2021. This may have been on the back of COVID-19 and large investments in technology. In 2021, the ABS published new experimental MFP estimates for education and health, in recognition of the importance of non-market sector industries to the Australian economy.</w:t>
      </w:r>
      <w:r w:rsidRPr="00167CB8">
        <w:rPr>
          <w:vertAlign w:val="superscript"/>
        </w:rPr>
        <w:footnoteReference w:id="1130"/>
      </w:r>
      <w:r w:rsidRPr="00167CB8">
        <w:t xml:space="preserve"> In describing the higher education trends, the ABS notes that between 2008</w:t>
      </w:r>
      <w:r w:rsidR="004208E4" w:rsidRPr="00167CB8">
        <w:rPr>
          <w:rFonts w:ascii="Symbol" w:eastAsia="Symbol" w:hAnsi="Symbol" w:cs="Symbol"/>
        </w:rPr>
        <w:sym w:font="Symbol" w:char="F02D"/>
      </w:r>
      <w:r w:rsidR="004208E4" w:rsidRPr="00167CB8">
        <w:t>0</w:t>
      </w:r>
      <w:r w:rsidRPr="00167CB8">
        <w:t>9 and 2018</w:t>
      </w:r>
      <w:r w:rsidR="004208E4" w:rsidRPr="00167CB8">
        <w:rPr>
          <w:rFonts w:ascii="Symbol" w:eastAsia="Symbol" w:hAnsi="Symbol" w:cs="Symbol"/>
        </w:rPr>
        <w:sym w:font="Symbol" w:char="F02D"/>
      </w:r>
      <w:r w:rsidRPr="00167CB8">
        <w:t xml:space="preserve">19 labour productivity in this sector grew by an average of 1.2% per annum, similar to the average for the market sector industries. </w:t>
      </w:r>
    </w:p>
    <w:p w14:paraId="54F94865" w14:textId="56C10EEF" w:rsidR="003A5F70" w:rsidRPr="00167CB8" w:rsidRDefault="003A5F70" w:rsidP="00011008">
      <w:r w:rsidRPr="00167CB8">
        <w:t xml:space="preserve">The labour productivity estimates for the </w:t>
      </w:r>
      <w:r w:rsidR="004208E4" w:rsidRPr="00167CB8">
        <w:t>h</w:t>
      </w:r>
      <w:r w:rsidRPr="00167CB8">
        <w:t>ealth care and social assistance sector show that over the period 2010 to 2022 labour productivity increased by 6% but has been declining since. ABS commentary concerning hospitals notes that</w:t>
      </w:r>
      <w:r w:rsidR="004208E4" w:rsidRPr="00167CB8">
        <w:t>,</w:t>
      </w:r>
      <w:r w:rsidRPr="00167CB8">
        <w:t xml:space="preserve"> between 2008</w:t>
      </w:r>
      <w:r w:rsidR="004208E4" w:rsidRPr="00167CB8">
        <w:rPr>
          <w:rFonts w:ascii="Symbol" w:eastAsia="Symbol" w:hAnsi="Symbol" w:cs="Symbol"/>
        </w:rPr>
        <w:sym w:font="Symbol" w:char="F02D"/>
      </w:r>
      <w:r w:rsidRPr="00167CB8">
        <w:t>09 and 2018</w:t>
      </w:r>
      <w:r w:rsidR="004208E4" w:rsidRPr="00167CB8">
        <w:rPr>
          <w:rFonts w:ascii="Symbol" w:eastAsia="Symbol" w:hAnsi="Symbol" w:cs="Symbol"/>
        </w:rPr>
        <w:sym w:font="Symbol" w:char="F02D"/>
      </w:r>
      <w:r w:rsidRPr="00167CB8">
        <w:t xml:space="preserve">19, labour input was the main driver of output growth, consistent with the labour-intensive nature of hospitals. Labour productivity increased by 5% over this period. In a recent (2024) report on productivity in the care </w:t>
      </w:r>
      <w:r w:rsidRPr="00167CB8">
        <w:lastRenderedPageBreak/>
        <w:t>sector, the e61 Institute notes that</w:t>
      </w:r>
      <w:r w:rsidR="004208E4" w:rsidRPr="00167CB8">
        <w:t>,</w:t>
      </w:r>
      <w:r w:rsidRPr="00167CB8">
        <w:t xml:space="preserve"> over the decade to 2022, 20% of new care workers were migrants and around 20% came from outside the labour force.</w:t>
      </w:r>
      <w:r w:rsidRPr="00167CB8">
        <w:rPr>
          <w:vertAlign w:val="superscript"/>
        </w:rPr>
        <w:footnoteReference w:id="1131"/>
      </w:r>
    </w:p>
    <w:p w14:paraId="7A5B1B16" w14:textId="7AE93F1A" w:rsidR="003A5F70" w:rsidRPr="00167CB8" w:rsidRDefault="003A5F70" w:rsidP="00011008">
      <w:r w:rsidRPr="00167CB8">
        <w:t xml:space="preserve">The main conclusions here are that industries vary significantly according to measures of productivity growth. Further analysis of these different trends is necessary and evidence-based industry variations should be part of future industrial relations debates. Indeed, the causes of productivity trends at the industry level and the most appropriate ways to generate and distribute growth would be logical and desirable topics on the agenda of industry councils, whose establishment is recommended in </w:t>
      </w:r>
      <w:r w:rsidR="001F0284" w:rsidRPr="00167CB8">
        <w:t xml:space="preserve">Chapter </w:t>
      </w:r>
      <w:r w:rsidR="00361F39" w:rsidRPr="00167CB8">
        <w:t>5</w:t>
      </w:r>
      <w:r w:rsidRPr="00167CB8">
        <w:t xml:space="preserve">. </w:t>
      </w:r>
    </w:p>
    <w:p w14:paraId="142B1760" w14:textId="77777777" w:rsidR="003A5F70" w:rsidRPr="00167CB8" w:rsidRDefault="003A5F70" w:rsidP="00650687">
      <w:pPr>
        <w:pStyle w:val="Heading4"/>
      </w:pPr>
      <w:bookmarkStart w:id="935" w:name="_Toc189260349"/>
      <w:bookmarkStart w:id="936" w:name="_Toc189393689"/>
      <w:r w:rsidRPr="00167CB8">
        <w:t>3.3</w:t>
      </w:r>
      <w:r w:rsidRPr="00167CB8">
        <w:tab/>
        <w:t>Enterprise productivity</w:t>
      </w:r>
      <w:bookmarkEnd w:id="935"/>
      <w:bookmarkEnd w:id="936"/>
    </w:p>
    <w:p w14:paraId="542C856E" w14:textId="77777777" w:rsidR="003A5F70" w:rsidRPr="00167CB8" w:rsidRDefault="003A5F70" w:rsidP="00011008">
      <w:r w:rsidRPr="00167CB8">
        <w:t xml:space="preserve">The definition and measurement of productivity at enterprise level is rarely discussed or systematically analysed in the Australian debate, particularly when compared to national or sectoral productivity analysis. This neglect, which unfortunately must be continued here, is the result of various factors. For example, it is partly because data for monitoring at the industry and national level are systematically collected and reported by institutions such as the ABS and the Productivity Commission. Their focus is on industry-level trends, regulatory settings, labour market conditions, competition and technology rather than on enterprise-specific productivity measures. </w:t>
      </w:r>
    </w:p>
    <w:p w14:paraId="4B07B8B5" w14:textId="13352D73" w:rsidR="003A5F70" w:rsidRPr="00167CB8" w:rsidRDefault="003A5F70" w:rsidP="00011008">
      <w:r w:rsidRPr="00167CB8">
        <w:t xml:space="preserve">At the enterprise </w:t>
      </w:r>
      <w:r w:rsidR="0090782F" w:rsidRPr="00167CB8">
        <w:t>level</w:t>
      </w:r>
      <w:r w:rsidRPr="00167CB8">
        <w:t xml:space="preserve"> measuring productivity can be complex and resource intensive. It is unclear how many enterprises develop a systematic approach to the definition and measurement of productivity. The neglect at the enterprise level may also arise from so much variety in how it is measured from enterprise to enterprise. Businesses are also often reluctant to disclose or share detailed performance metrics because managers fear that information will be used to their disadvantage by either competitor enterprises or unions. As a result, there is limited public data available to support enterprise-level productivity analysis.</w:t>
      </w:r>
    </w:p>
    <w:p w14:paraId="0245D93D" w14:textId="323F9317" w:rsidR="003A5F70" w:rsidRPr="00167CB8" w:rsidRDefault="003A5F70" w:rsidP="00011008">
      <w:r w:rsidRPr="00167CB8">
        <w:t>That said, there has been growing interest in enterprise-level productivity in recent years. Recent examples include Deloitte’s 2024 report on generative AI</w:t>
      </w:r>
      <w:r w:rsidR="001F0284" w:rsidRPr="00167CB8">
        <w:t>,</w:t>
      </w:r>
      <w:r w:rsidRPr="00167CB8">
        <w:rPr>
          <w:vertAlign w:val="superscript"/>
        </w:rPr>
        <w:footnoteReference w:id="1132"/>
      </w:r>
      <w:r w:rsidRPr="00167CB8">
        <w:t xml:space="preserve"> Consult Australia’s 2020</w:t>
      </w:r>
      <w:r w:rsidRPr="00167CB8">
        <w:rPr>
          <w:vertAlign w:val="superscript"/>
        </w:rPr>
        <w:footnoteReference w:id="1133"/>
      </w:r>
      <w:r w:rsidRPr="00167CB8">
        <w:t xml:space="preserve"> report on procurement and productivity, e61 Institute</w:t>
      </w:r>
      <w:r w:rsidR="001F0284" w:rsidRPr="00167CB8">
        <w:t>’s</w:t>
      </w:r>
      <w:r w:rsidRPr="00167CB8">
        <w:t xml:space="preserve"> 2023</w:t>
      </w:r>
      <w:r w:rsidRPr="00167CB8">
        <w:rPr>
          <w:vertAlign w:val="superscript"/>
        </w:rPr>
        <w:footnoteReference w:id="1134"/>
      </w:r>
      <w:r w:rsidRPr="00167CB8">
        <w:t xml:space="preserve"> report on job switching (noting that non-compete clauses are a barrier to job mobility and are hampering productivity), a Treasury report on productivity performance and business dynamism</w:t>
      </w:r>
      <w:r w:rsidRPr="00167CB8">
        <w:rPr>
          <w:vertAlign w:val="superscript"/>
        </w:rPr>
        <w:footnoteReference w:id="1135"/>
      </w:r>
      <w:r w:rsidRPr="00167CB8">
        <w:t xml:space="preserve"> and the Productivity Commission’s 2023 </w:t>
      </w:r>
      <w:r w:rsidR="001F0284" w:rsidRPr="00167CB8">
        <w:lastRenderedPageBreak/>
        <w:t>i</w:t>
      </w:r>
      <w:r w:rsidRPr="00167CB8">
        <w:t>nquiry report on productivity and the labour market.</w:t>
      </w:r>
      <w:r w:rsidRPr="00167CB8">
        <w:rPr>
          <w:vertAlign w:val="superscript"/>
        </w:rPr>
        <w:footnoteReference w:id="1136"/>
      </w:r>
      <w:r w:rsidRPr="00167CB8">
        <w:t xml:space="preserve"> With the exception of the </w:t>
      </w:r>
      <w:r w:rsidR="001F0284" w:rsidRPr="00167CB8">
        <w:t xml:space="preserve">Productivity Commission </w:t>
      </w:r>
      <w:r w:rsidRPr="00167CB8">
        <w:t>report, none of the other reports mentioned here would appear to have an explicit focus on industrial relations.</w:t>
      </w:r>
      <w:r w:rsidR="00166FAD">
        <w:t xml:space="preserve"> </w:t>
      </w:r>
    </w:p>
    <w:p w14:paraId="4CABB8B3" w14:textId="6126C918" w:rsidR="003A5F70" w:rsidRPr="00167CB8" w:rsidRDefault="003A5F70" w:rsidP="00650687">
      <w:pPr>
        <w:pStyle w:val="Heading3"/>
        <w:rPr>
          <w:lang w:val="en-US"/>
        </w:rPr>
      </w:pPr>
      <w:bookmarkStart w:id="937" w:name="_Toc189260350"/>
      <w:bookmarkStart w:id="938" w:name="_Toc189393690"/>
      <w:r w:rsidRPr="00167CB8">
        <w:rPr>
          <w:lang w:val="en-US"/>
        </w:rPr>
        <w:t>4</w:t>
      </w:r>
      <w:r w:rsidR="00677F70" w:rsidRPr="00167CB8">
        <w:rPr>
          <w:lang w:val="en-US"/>
        </w:rPr>
        <w:t>.</w:t>
      </w:r>
      <w:r w:rsidRPr="00167CB8">
        <w:rPr>
          <w:lang w:val="en-US"/>
        </w:rPr>
        <w:tab/>
        <w:t>The causes of productivity growth</w:t>
      </w:r>
      <w:bookmarkEnd w:id="937"/>
      <w:bookmarkEnd w:id="938"/>
    </w:p>
    <w:p w14:paraId="72D98611" w14:textId="3E6FB0BE" w:rsidR="003A5F70" w:rsidRPr="00167CB8" w:rsidRDefault="003A5F70" w:rsidP="00011008">
      <w:r w:rsidRPr="00167CB8">
        <w:t xml:space="preserve">Apart from explanations of the causes of productivity trends derived from different philosophical positions (discussed above), different parties have also emphasised different factors as causes of productivity growth. Consistent with the argument above that levels are important in productivity debates, the discussion here focuses on the causes of productivity growth at </w:t>
      </w:r>
      <w:r w:rsidR="00A14864" w:rsidRPr="00167CB8">
        <w:t xml:space="preserve">2 </w:t>
      </w:r>
      <w:r w:rsidRPr="00167CB8">
        <w:t>levels: first, the national level, where most attention has so far been focused; and second, the enterprise level, which is less well and less</w:t>
      </w:r>
      <w:r w:rsidR="001F0284" w:rsidRPr="00167CB8">
        <w:t xml:space="preserve"> </w:t>
      </w:r>
      <w:r w:rsidRPr="00167CB8">
        <w:t xml:space="preserve">systematically discussed. </w:t>
      </w:r>
    </w:p>
    <w:p w14:paraId="1DF91F42" w14:textId="5DDC45C8" w:rsidR="003A5F70" w:rsidRPr="00167CB8" w:rsidRDefault="003A5F70" w:rsidP="00011008">
      <w:r w:rsidRPr="00167CB8">
        <w:t xml:space="preserve">The separation of these </w:t>
      </w:r>
      <w:r w:rsidR="001F0284" w:rsidRPr="00167CB8">
        <w:t xml:space="preserve">2 </w:t>
      </w:r>
      <w:r w:rsidRPr="00167CB8">
        <w:t>levels has recently been a central theme of research about multi-employer bargaining. One recent international paper on this topic, for example, concluded that there are very different causes of productivity growth at the ‘macro’ and ‘micro’ levels:</w:t>
      </w:r>
      <w:r w:rsidR="001F0284" w:rsidRPr="00167CB8">
        <w:rPr>
          <w:vertAlign w:val="superscript"/>
        </w:rPr>
        <w:footnoteReference w:id="1137"/>
      </w:r>
    </w:p>
    <w:p w14:paraId="7930DBCC" w14:textId="65A365D9" w:rsidR="003A5F70" w:rsidRPr="00167CB8" w:rsidRDefault="003A5F70" w:rsidP="001F0284">
      <w:pPr>
        <w:pStyle w:val="Quote"/>
      </w:pPr>
      <w:r w:rsidRPr="00167CB8">
        <w:t>Today, there is near consensus that bargaining systems have limited influence on macroeconomic performance (compared to capital investment and systems for innovation and skill development, say), but positive effects on firm and sectoral performance, including productivity and innovation</w:t>
      </w:r>
      <w:r w:rsidR="001F0284" w:rsidRPr="00167CB8">
        <w:t xml:space="preserve"> </w:t>
      </w:r>
      <w:r w:rsidRPr="00167CB8">
        <w:t>…</w:t>
      </w:r>
    </w:p>
    <w:p w14:paraId="626D237C" w14:textId="48873489" w:rsidR="003A5F70" w:rsidRPr="00167CB8" w:rsidRDefault="003A5F70" w:rsidP="00011008">
      <w:r w:rsidRPr="00167CB8">
        <w:t>These conclusions justify a similarly</w:t>
      </w:r>
      <w:r w:rsidR="001F0284" w:rsidRPr="00167CB8">
        <w:t xml:space="preserve"> </w:t>
      </w:r>
      <w:r w:rsidRPr="00167CB8">
        <w:t xml:space="preserve">bifurcated discussion beyond bargaining systems. </w:t>
      </w:r>
    </w:p>
    <w:p w14:paraId="0FF727FD" w14:textId="77777777" w:rsidR="003A5F70" w:rsidRPr="00167CB8" w:rsidRDefault="003A5F70" w:rsidP="00650687">
      <w:pPr>
        <w:pStyle w:val="Heading4"/>
      </w:pPr>
      <w:bookmarkStart w:id="939" w:name="_Toc189260351"/>
      <w:bookmarkStart w:id="940" w:name="_Toc189393691"/>
      <w:r w:rsidRPr="00167CB8">
        <w:t>4.1</w:t>
      </w:r>
      <w:r w:rsidRPr="00167CB8">
        <w:tab/>
      </w:r>
      <w:r w:rsidRPr="00650687">
        <w:t>The</w:t>
      </w:r>
      <w:r w:rsidRPr="00167CB8">
        <w:t xml:space="preserve"> factors influencing national productivity growth</w:t>
      </w:r>
      <w:bookmarkEnd w:id="939"/>
      <w:bookmarkEnd w:id="940"/>
      <w:r w:rsidRPr="00167CB8">
        <w:t xml:space="preserve"> </w:t>
      </w:r>
    </w:p>
    <w:p w14:paraId="17C5C385" w14:textId="77777777" w:rsidR="003A5F70" w:rsidRPr="00167CB8" w:rsidRDefault="003A5F70" w:rsidP="00011008">
      <w:r w:rsidRPr="00167CB8">
        <w:t>Most studies of national productivity growth conclude that it is caused by several factors, none of which is the national system of industrial relations. Primary drivers of national productivity include advancements in technology, improvements in workforce skills, and investment in infrastructure and innovation.</w:t>
      </w:r>
      <w:r w:rsidRPr="00167CB8">
        <w:rPr>
          <w:vertAlign w:val="superscript"/>
        </w:rPr>
        <w:footnoteReference w:id="1138"/>
      </w:r>
      <w:r w:rsidRPr="00167CB8">
        <w:t xml:space="preserve"> </w:t>
      </w:r>
    </w:p>
    <w:p w14:paraId="18EA780C" w14:textId="05F74B88" w:rsidR="003A5F70" w:rsidRPr="00167CB8" w:rsidRDefault="003A5F70" w:rsidP="00011008">
      <w:r w:rsidRPr="00167CB8">
        <w:t>In this section consideration is given to less commonly discussed factors, which are central to this review</w:t>
      </w:r>
      <w:r w:rsidR="001F0284" w:rsidRPr="00167CB8">
        <w:t xml:space="preserve"> </w:t>
      </w:r>
      <w:r w:rsidR="001F0284" w:rsidRPr="00167CB8">
        <w:rPr>
          <w:rFonts w:ascii="Symbol" w:eastAsia="Symbol" w:hAnsi="Symbol" w:cs="Symbol"/>
        </w:rPr>
        <w:sym w:font="Symbol" w:char="F02D"/>
      </w:r>
      <w:r w:rsidR="001F0284" w:rsidRPr="00167CB8">
        <w:t xml:space="preserve"> </w:t>
      </w:r>
      <w:r w:rsidRPr="00167CB8">
        <w:t>namely</w:t>
      </w:r>
      <w:r w:rsidR="001F0284" w:rsidRPr="00167CB8">
        <w:t>,</w:t>
      </w:r>
      <w:r w:rsidRPr="00167CB8">
        <w:t xml:space="preserve"> gender equality, collective bargaining and wages.</w:t>
      </w:r>
    </w:p>
    <w:p w14:paraId="760C16B5" w14:textId="77777777" w:rsidR="003A5F70" w:rsidRPr="00167CB8" w:rsidRDefault="003A5F70" w:rsidP="00650687">
      <w:pPr>
        <w:pStyle w:val="Heading5"/>
      </w:pPr>
      <w:r w:rsidRPr="00167CB8">
        <w:t xml:space="preserve"> 4.1.1 </w:t>
      </w:r>
      <w:r w:rsidRPr="00650687">
        <w:t>Gender</w:t>
      </w:r>
      <w:r w:rsidRPr="00167CB8">
        <w:t xml:space="preserve"> equality</w:t>
      </w:r>
    </w:p>
    <w:p w14:paraId="48D0205B" w14:textId="29585D36" w:rsidR="003A5F70" w:rsidRPr="00167CB8" w:rsidRDefault="003A5F70" w:rsidP="00011008">
      <w:r w:rsidRPr="00167CB8">
        <w:t>Gender equality is both a fundamental human right and a critical national productivity issue. Despite numerous reports from organisations such as the World Economic Forum (WEF),</w:t>
      </w:r>
      <w:r w:rsidRPr="00167CB8">
        <w:rPr>
          <w:vertAlign w:val="superscript"/>
        </w:rPr>
        <w:footnoteReference w:id="1139"/>
      </w:r>
      <w:r w:rsidRPr="00167CB8">
        <w:t xml:space="preserve"> the Workplace Gender Equality Agency (WGEA)</w:t>
      </w:r>
      <w:r w:rsidRPr="00167CB8">
        <w:rPr>
          <w:vertAlign w:val="superscript"/>
        </w:rPr>
        <w:footnoteReference w:id="1140"/>
      </w:r>
      <w:r w:rsidRPr="00167CB8">
        <w:t xml:space="preserve"> and the Women’s Economic Equality Taskforce</w:t>
      </w:r>
      <w:r w:rsidRPr="00167CB8">
        <w:rPr>
          <w:vertAlign w:val="superscript"/>
        </w:rPr>
        <w:footnoteReference w:id="1141"/>
      </w:r>
      <w:r w:rsidRPr="00167CB8">
        <w:t xml:space="preserve"> </w:t>
      </w:r>
      <w:r w:rsidRPr="00167CB8">
        <w:lastRenderedPageBreak/>
        <w:t>emphasising the ‘business case’ for gender equality, it remains largely absent from national productivity analyses.</w:t>
      </w:r>
    </w:p>
    <w:p w14:paraId="73760D9C" w14:textId="68B80B67" w:rsidR="003A5F70" w:rsidRPr="00167CB8" w:rsidRDefault="003A5F70" w:rsidP="00011008">
      <w:r w:rsidRPr="00167CB8">
        <w:t xml:space="preserve">For example, the Productivity Commission’s 2023 report </w:t>
      </w:r>
      <w:r w:rsidRPr="00167CB8">
        <w:rPr>
          <w:i/>
          <w:iCs/>
        </w:rPr>
        <w:t>A More Productive Labour Market</w:t>
      </w:r>
      <w:r w:rsidRPr="00167CB8">
        <w:t xml:space="preserve"> makes only </w:t>
      </w:r>
      <w:r w:rsidR="001F0284" w:rsidRPr="00167CB8">
        <w:t xml:space="preserve">4 </w:t>
      </w:r>
      <w:r w:rsidRPr="00167CB8">
        <w:t xml:space="preserve">references to gender and </w:t>
      </w:r>
      <w:r w:rsidR="001F0284" w:rsidRPr="00167CB8">
        <w:t xml:space="preserve">2 </w:t>
      </w:r>
      <w:r w:rsidRPr="00167CB8">
        <w:t>to women. This is despite the fact that women, on average, are now more highly educated than men and a critical source of skilled labour</w:t>
      </w:r>
      <w:r w:rsidR="001F0284" w:rsidRPr="00167CB8">
        <w:t>;</w:t>
      </w:r>
      <w:r w:rsidRPr="00167CB8">
        <w:rPr>
          <w:vertAlign w:val="superscript"/>
        </w:rPr>
        <w:footnoteReference w:id="1142"/>
      </w:r>
      <w:r w:rsidRPr="00167CB8">
        <w:t xml:space="preserve"> and account for 48% of total employment. Of the 3.2 million new jobs created since 2012, 55% of have gone to women.</w:t>
      </w:r>
    </w:p>
    <w:p w14:paraId="12F50F9D" w14:textId="6587BECE" w:rsidR="003A5F70" w:rsidRPr="00167CB8" w:rsidRDefault="003A5F70" w:rsidP="00011008">
      <w:r w:rsidRPr="00167CB8">
        <w:t xml:space="preserve">Indeed, not only does the </w:t>
      </w:r>
      <w:r w:rsidR="001F0284" w:rsidRPr="00167CB8">
        <w:t xml:space="preserve">Productivity Commission </w:t>
      </w:r>
      <w:r w:rsidRPr="00167CB8">
        <w:t xml:space="preserve">report largely overlook gender equality but </w:t>
      </w:r>
      <w:r w:rsidR="001F0284" w:rsidRPr="00167CB8">
        <w:t xml:space="preserve">also, </w:t>
      </w:r>
      <w:r w:rsidRPr="00167CB8">
        <w:t xml:space="preserve">where it does address the issue, it reflects a limited understanding of the relationship between gender equality and productivity. A particularly concerning example is the </w:t>
      </w:r>
      <w:r w:rsidR="001F0284" w:rsidRPr="00167CB8">
        <w:t>c</w:t>
      </w:r>
      <w:r w:rsidRPr="00167CB8">
        <w:t>ommission’s assertion that ‘work value is largely a social goal and does not necessarily relate to the desirable outcomes of efficient labour markets</w:t>
      </w:r>
      <w:r w:rsidR="001F0284" w:rsidRPr="00167CB8">
        <w:t>’</w:t>
      </w:r>
      <w:r w:rsidRPr="00167CB8">
        <w:t>.</w:t>
      </w:r>
      <w:r w:rsidRPr="00167CB8">
        <w:rPr>
          <w:vertAlign w:val="superscript"/>
        </w:rPr>
        <w:footnoteReference w:id="1143"/>
      </w:r>
      <w:r w:rsidRPr="00167CB8">
        <w:t xml:space="preserve"> This perspective fails to acknowledge that appropriately valuing work can significantly drive productivity by enhancing employee effort, motivation and job satisfaction while reducing turnover. Recognising work value is also essential for addressing labour shortages and mitigating the adverse effects of wage stagnation and inequality on national economic performance.</w:t>
      </w:r>
    </w:p>
    <w:p w14:paraId="5E64A9EA" w14:textId="2C5D1D0E" w:rsidR="003A5F70" w:rsidRPr="00167CB8" w:rsidRDefault="003A5F70" w:rsidP="00011008">
      <w:r w:rsidRPr="00167CB8">
        <w:t>There are, of course, multiple perspectives on the gender equality debate. Advocates focusing on labour market participation and productivity highlight factors such as increased labour supply, human capital utilisation and the fiscal benefits of higher female workforce participation, including greater tax contributions (e.g. WEF, OECD and the Women’s Economic Equality Taskforce). According to a recent Deloitte Access Economics report, the opportunity cost of barriers preventing women from achieving full and equal participation in economic activity is estimated at $128 billion annually.</w:t>
      </w:r>
      <w:r w:rsidRPr="00167CB8">
        <w:rPr>
          <w:vertAlign w:val="superscript"/>
        </w:rPr>
        <w:footnoteReference w:id="1144"/>
      </w:r>
    </w:p>
    <w:p w14:paraId="56D75278" w14:textId="78444F56" w:rsidR="003A5F70" w:rsidRPr="00167CB8" w:rsidRDefault="003A5F70" w:rsidP="00011008">
      <w:r w:rsidRPr="00167CB8">
        <w:t>On the other hand, some argue that framing gender equality solely as an economic issue can be detrimental, as it risks overlooking fundamental aspects of decent work conditions, such as job security, work</w:t>
      </w:r>
      <w:r w:rsidR="001F0284" w:rsidRPr="00167CB8">
        <w:rPr>
          <w:rFonts w:ascii="Symbol" w:eastAsia="Symbol" w:hAnsi="Symbol" w:cs="Symbol"/>
        </w:rPr>
        <w:sym w:font="Symbol" w:char="F02D"/>
      </w:r>
      <w:r w:rsidRPr="00167CB8">
        <w:t xml:space="preserve">life balance and remuneration (pay equity). This broader perspective underscores the crucial role of industrial relations in driving both gender equality and productivity. In this context, legislative reforms such as the </w:t>
      </w:r>
      <w:r w:rsidR="001F0284" w:rsidRPr="00167CB8">
        <w:t xml:space="preserve">Secure Jobs, Better Pay </w:t>
      </w:r>
      <w:r w:rsidRPr="00167CB8">
        <w:t>amendments are directly aimed at addressing gender-based disparities in the workplace. These amendments seek to improve flexibility and wage equality and create a more inclusive labour market where workers</w:t>
      </w:r>
      <w:r w:rsidR="001F0284" w:rsidRPr="00167CB8">
        <w:t xml:space="preserve"> </w:t>
      </w:r>
      <w:r w:rsidR="001F0284" w:rsidRPr="00167CB8">
        <w:rPr>
          <w:rFonts w:ascii="Symbol" w:eastAsia="Symbol" w:hAnsi="Symbol" w:cs="Symbol"/>
        </w:rPr>
        <w:sym w:font="Symbol" w:char="F02D"/>
      </w:r>
      <w:r w:rsidR="001F0284" w:rsidRPr="00167CB8">
        <w:t xml:space="preserve"> </w:t>
      </w:r>
      <w:r w:rsidRPr="00167CB8">
        <w:t>regardless of gender</w:t>
      </w:r>
      <w:r w:rsidR="001F0284" w:rsidRPr="00167CB8">
        <w:t xml:space="preserve"> </w:t>
      </w:r>
      <w:r w:rsidR="001F0284" w:rsidRPr="00167CB8">
        <w:rPr>
          <w:rFonts w:ascii="Symbol" w:eastAsia="Symbol" w:hAnsi="Symbol" w:cs="Symbol"/>
        </w:rPr>
        <w:sym w:font="Symbol" w:char="F02D"/>
      </w:r>
      <w:r w:rsidR="001F0284" w:rsidRPr="00167CB8">
        <w:t xml:space="preserve"> </w:t>
      </w:r>
      <w:r w:rsidRPr="00167CB8">
        <w:t>can balance work and care responsibilities without penalty, discrimination and harassment.</w:t>
      </w:r>
      <w:r w:rsidRPr="00167CB8">
        <w:rPr>
          <w:vertAlign w:val="superscript"/>
        </w:rPr>
        <w:footnoteReference w:id="1145"/>
      </w:r>
    </w:p>
    <w:p w14:paraId="2E0D49F0" w14:textId="77777777" w:rsidR="003A5F70" w:rsidRPr="00167CB8" w:rsidRDefault="003A5F70" w:rsidP="00650687">
      <w:pPr>
        <w:pStyle w:val="Heading5"/>
      </w:pPr>
      <w:r w:rsidRPr="00167CB8">
        <w:lastRenderedPageBreak/>
        <w:t>4.1.2 Collective bargaining</w:t>
      </w:r>
    </w:p>
    <w:p w14:paraId="4EDA3FC6" w14:textId="221B4D56" w:rsidR="003A5F70" w:rsidRPr="00167CB8" w:rsidRDefault="003A5F70" w:rsidP="00011008">
      <w:r w:rsidRPr="00167CB8">
        <w:t xml:space="preserve">Australian studies of the link between bargaining systems and national productivity have largely confirmed the conclusion reached by international studies that this relationship is weak. Jeff Borland, for example, shows that the Howard </w:t>
      </w:r>
      <w:r w:rsidR="001F0284" w:rsidRPr="00167CB8">
        <w:t>g</w:t>
      </w:r>
      <w:r w:rsidRPr="00167CB8">
        <w:t>overnment</w:t>
      </w:r>
      <w:r w:rsidR="001F0284" w:rsidRPr="00167CB8">
        <w:t>’</w:t>
      </w:r>
      <w:r w:rsidRPr="00167CB8">
        <w:t>s 2005 Work</w:t>
      </w:r>
      <w:r w:rsidR="001F0284" w:rsidRPr="00167CB8">
        <w:t xml:space="preserve"> </w:t>
      </w:r>
      <w:r w:rsidRPr="00167CB8">
        <w:t xml:space="preserve">Choices framework, which privileged employers, had minimal effects on productivity. Similarly, he also shows that the Rudd </w:t>
      </w:r>
      <w:r w:rsidR="001F0284" w:rsidRPr="00167CB8">
        <w:t>g</w:t>
      </w:r>
      <w:r w:rsidRPr="00167CB8">
        <w:t>overnment</w:t>
      </w:r>
      <w:r w:rsidR="001F0284" w:rsidRPr="00167CB8">
        <w:t>’</w:t>
      </w:r>
      <w:r w:rsidRPr="00167CB8">
        <w:t>s 2009 reforms, which aimed to restore some bargaining power to workers and strengthen minimum wages and conditions, also had no significant overall impact on productivity.</w:t>
      </w:r>
      <w:r w:rsidRPr="00167CB8">
        <w:rPr>
          <w:vertAlign w:val="superscript"/>
        </w:rPr>
        <w:footnoteReference w:id="1146"/>
      </w:r>
      <w:r w:rsidRPr="00167CB8">
        <w:rPr>
          <w:vertAlign w:val="superscript"/>
        </w:rPr>
        <w:t xml:space="preserve"> </w:t>
      </w:r>
      <w:r w:rsidRPr="00167CB8">
        <w:t xml:space="preserve"> Research by Keith Hancock similarly observed no obvious effect of particular bargaining arrangements on productivity</w:t>
      </w:r>
      <w:r w:rsidR="001F0284" w:rsidRPr="00167CB8">
        <w:t>:</w:t>
      </w:r>
      <w:r w:rsidRPr="00167CB8">
        <w:t xml:space="preserve"> ‘There can be no certainty about the productivity effects of enterprise bargaining, because the counterfactual situation is and will remain unknown</w:t>
      </w:r>
      <w:r w:rsidR="001F0284" w:rsidRPr="00167CB8">
        <w:t>’</w:t>
      </w:r>
      <w:r w:rsidRPr="00167CB8">
        <w:t>.</w:t>
      </w:r>
      <w:r w:rsidRPr="00167CB8">
        <w:rPr>
          <w:vertAlign w:val="superscript"/>
        </w:rPr>
        <w:footnoteReference w:id="1147"/>
      </w:r>
      <w:r w:rsidRPr="00167CB8">
        <w:t xml:space="preserve"> His particular point was that the industrial relations system is just one of a range of factors that are important for productivity. Others include technology and innovation, health, education, industry concentration, economic shocks (e.g. COVID-19), capital markets, monetary and fiscal policies, trade</w:t>
      </w:r>
      <w:r w:rsidR="001F0284" w:rsidRPr="00167CB8">
        <w:t xml:space="preserve"> and </w:t>
      </w:r>
      <w:r w:rsidRPr="00167CB8">
        <w:t>globalisation (</w:t>
      </w:r>
      <w:r w:rsidR="001F0284" w:rsidRPr="00167CB8">
        <w:t xml:space="preserve">and </w:t>
      </w:r>
      <w:r w:rsidRPr="00167CB8">
        <w:t>the list goes on).</w:t>
      </w:r>
      <w:r w:rsidRPr="00167CB8">
        <w:rPr>
          <w:vertAlign w:val="superscript"/>
        </w:rPr>
        <w:footnoteReference w:id="1148"/>
      </w:r>
      <w:r w:rsidRPr="00167CB8">
        <w:t xml:space="preserve">  </w:t>
      </w:r>
    </w:p>
    <w:p w14:paraId="25CD62A0" w14:textId="24D4B6ED" w:rsidR="003A5F70" w:rsidRPr="00167CB8" w:rsidRDefault="003A5F70" w:rsidP="00011008">
      <w:r w:rsidRPr="00167CB8">
        <w:t xml:space="preserve">The importance of these non-industrial relations factors must be acknowledged, but so too must the potential impact of collective bargaining at the national level. In particular, the emerging (or ongoing) debate raised by this </w:t>
      </w:r>
      <w:r w:rsidR="001F0284" w:rsidRPr="00167CB8">
        <w:t>R</w:t>
      </w:r>
      <w:r w:rsidRPr="00167CB8">
        <w:t>eview must consider how national collective bargaining systems and the laws regulating them can contribute to both the generation of productivity growth and the distribution of productivity gains.</w:t>
      </w:r>
    </w:p>
    <w:p w14:paraId="534D69D8" w14:textId="2B28DC27" w:rsidR="003A5F70" w:rsidRPr="00167CB8" w:rsidRDefault="003A5F70" w:rsidP="00650687">
      <w:pPr>
        <w:pStyle w:val="Heading5"/>
      </w:pPr>
      <w:r w:rsidRPr="00167CB8">
        <w:t>4.1.3 Wages</w:t>
      </w:r>
    </w:p>
    <w:p w14:paraId="5BE25584" w14:textId="30AFFEC6" w:rsidR="003A5F70" w:rsidRPr="00167CB8" w:rsidRDefault="003A5F70" w:rsidP="00011008">
      <w:r w:rsidRPr="00167CB8">
        <w:t xml:space="preserve">One aspect of industrial relations that has received some attention in debates is the relationship between productivity and wages, although </w:t>
      </w:r>
      <w:r w:rsidR="001F0284" w:rsidRPr="00167CB8">
        <w:t xml:space="preserve">it </w:t>
      </w:r>
      <w:r w:rsidRPr="00167CB8">
        <w:t xml:space="preserve">is often unclear whether this considers the generation of productivity growth or the distribution of gains through productivity growth. With respect to the former (i.e. whether wages are important in explaining the generation of productivity growth), David Peetz notes </w:t>
      </w:r>
      <w:r w:rsidR="001F0284" w:rsidRPr="00167CB8">
        <w:t xml:space="preserve">that </w:t>
      </w:r>
      <w:r w:rsidRPr="00167CB8">
        <w:t>‘Productivity measures the rate at which output of goods and services are produced per unit of input …</w:t>
      </w:r>
      <w:r w:rsidR="001F0284" w:rsidRPr="00167CB8">
        <w:t xml:space="preserve"> </w:t>
      </w:r>
      <w:r w:rsidRPr="00167CB8">
        <w:t xml:space="preserve">if someone says </w:t>
      </w:r>
      <w:r w:rsidR="001F0284" w:rsidRPr="00167CB8">
        <w:t>“</w:t>
      </w:r>
      <w:r w:rsidRPr="00167CB8">
        <w:t>higher wages means lower productivity</w:t>
      </w:r>
      <w:r w:rsidR="001F0284" w:rsidRPr="00167CB8">
        <w:t>”</w:t>
      </w:r>
      <w:r w:rsidRPr="00167CB8">
        <w:t xml:space="preserve"> they don’t know what they are talking about</w:t>
      </w:r>
      <w:r w:rsidR="001F0284" w:rsidRPr="00167CB8">
        <w:t>’</w:t>
      </w:r>
      <w:r w:rsidRPr="00167CB8">
        <w:t>.</w:t>
      </w:r>
      <w:r w:rsidRPr="00167CB8">
        <w:rPr>
          <w:vertAlign w:val="superscript"/>
        </w:rPr>
        <w:footnoteReference w:id="1149"/>
      </w:r>
    </w:p>
    <w:p w14:paraId="14F77ED3" w14:textId="122DC0F9" w:rsidR="003A5F70" w:rsidRPr="00167CB8" w:rsidRDefault="003A5F70" w:rsidP="00011008">
      <w:r w:rsidRPr="00167CB8">
        <w:t xml:space="preserve">With respect to the latter (i.e. whether productivity is important is determining wages), there was (historically) a strong relationship between productivity growth and real wage growth. As productivity grew, Australian firms shared the benefits via higher wages. In recent years (since around 2012), however, this relationship has changed. In technical terms, there has been a ‘decoupling’ in the relationship (see Figure </w:t>
      </w:r>
      <w:r w:rsidR="00361F39" w:rsidRPr="00167CB8">
        <w:t>61</w:t>
      </w:r>
      <w:r w:rsidRPr="00167CB8">
        <w:t xml:space="preserve">). Real wages are now growing at a slower pace than labour productivity. The ABS refers to the gap (i.e. the difference between labour productivity </w:t>
      </w:r>
      <w:r w:rsidRPr="00167CB8">
        <w:lastRenderedPageBreak/>
        <w:t>growth and real compensation) as ‘net decoupling’.</w:t>
      </w:r>
      <w:r w:rsidRPr="00167CB8">
        <w:rPr>
          <w:vertAlign w:val="superscript"/>
        </w:rPr>
        <w:footnoteReference w:id="1150"/>
      </w:r>
      <w:r w:rsidRPr="00167CB8">
        <w:t xml:space="preserve"> Real wage decoupling is not unique to Australia. It has occurred in most OECD countries over recent years.</w:t>
      </w:r>
      <w:r w:rsidRPr="00167CB8">
        <w:rPr>
          <w:vertAlign w:val="superscript"/>
        </w:rPr>
        <w:footnoteReference w:id="1151"/>
      </w:r>
      <w:r w:rsidRPr="00167CB8">
        <w:t xml:space="preserve">  </w:t>
      </w:r>
    </w:p>
    <w:p w14:paraId="3F9B310E" w14:textId="5B6DB842" w:rsidR="003A5F70" w:rsidRPr="00167CB8" w:rsidRDefault="003A5F70" w:rsidP="00470AB9">
      <w:pPr>
        <w:pStyle w:val="Caption"/>
      </w:pPr>
      <w:bookmarkStart w:id="941" w:name="_Toc189310849"/>
      <w:r w:rsidRPr="00167CB8">
        <w:t xml:space="preserve">Figure </w:t>
      </w:r>
      <w:r w:rsidR="00361F39" w:rsidRPr="00167CB8">
        <w:t>61</w:t>
      </w:r>
      <w:r w:rsidRPr="00167CB8">
        <w:t>: Labour productivity and real wages (composition adjusted)</w:t>
      </w:r>
      <w:r w:rsidR="001F0284" w:rsidRPr="00167CB8">
        <w:t>, 2012 to 2024</w:t>
      </w:r>
      <w:bookmarkEnd w:id="941"/>
    </w:p>
    <w:p w14:paraId="3FB5C6D2" w14:textId="32F6F013" w:rsidR="003A5F70" w:rsidRPr="00167CB8" w:rsidRDefault="003A5F70" w:rsidP="001F0284">
      <w:pPr>
        <w:pStyle w:val="Source"/>
      </w:pPr>
      <w:r w:rsidRPr="00167CB8">
        <w:rPr>
          <w:noProof/>
        </w:rPr>
        <w:drawing>
          <wp:inline distT="0" distB="0" distL="0" distR="0" wp14:anchorId="4BFCA8C7" wp14:editId="5F2F41AA">
            <wp:extent cx="5537200" cy="3670300"/>
            <wp:effectExtent l="0" t="0" r="6350" b="6350"/>
            <wp:docPr id="500838190" name="Picture 14"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of a line graph&#10;&#10;Description automatically generated with medium confidenc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37200" cy="3670300"/>
                    </a:xfrm>
                    <a:prstGeom prst="rect">
                      <a:avLst/>
                    </a:prstGeom>
                    <a:noFill/>
                    <a:ln>
                      <a:noFill/>
                    </a:ln>
                  </pic:spPr>
                </pic:pic>
              </a:graphicData>
            </a:graphic>
          </wp:inline>
        </w:drawing>
      </w:r>
      <w:r w:rsidRPr="00167CB8">
        <w:t xml:space="preserve"> Notes: </w:t>
      </w:r>
    </w:p>
    <w:p w14:paraId="56844E75" w14:textId="0471EA40" w:rsidR="001F0284" w:rsidRPr="00167CB8" w:rsidRDefault="001F0284" w:rsidP="001F0284">
      <w:pPr>
        <w:pStyle w:val="Source"/>
        <w:rPr>
          <w:b/>
          <w:bCs/>
        </w:rPr>
      </w:pPr>
      <w:r w:rsidRPr="00167CB8">
        <w:rPr>
          <w:b/>
          <w:bCs/>
        </w:rPr>
        <w:t>Notes:</w:t>
      </w:r>
    </w:p>
    <w:p w14:paraId="3B992CDF" w14:textId="5D893FE2" w:rsidR="003A5F70" w:rsidRPr="00167CB8" w:rsidRDefault="001F0284" w:rsidP="001F0284">
      <w:pPr>
        <w:pStyle w:val="Source"/>
      </w:pPr>
      <w:r w:rsidRPr="00167CB8">
        <w:t xml:space="preserve">1. </w:t>
      </w:r>
      <w:r w:rsidR="003A5F70" w:rsidRPr="00167CB8">
        <w:t>Indexed to March 2012.</w:t>
      </w:r>
    </w:p>
    <w:p w14:paraId="7E5B44E5" w14:textId="13A8E540" w:rsidR="003A5F70" w:rsidRPr="00167CB8" w:rsidRDefault="001F0284" w:rsidP="001F0284">
      <w:pPr>
        <w:pStyle w:val="Source"/>
      </w:pPr>
      <w:r w:rsidRPr="00167CB8">
        <w:t xml:space="preserve">2. </w:t>
      </w:r>
      <w:r w:rsidR="003A5F70" w:rsidRPr="00167CB8">
        <w:t xml:space="preserve">Labour productivity measures GDP per unit labour input. It is derived by dividing seasonally adjusted GDP chain volume measures (National Accounts, ABS Cat No 5206.0, Table 1, series A2304402X) with information on seasonally adjusted total hours actually worked in all jobs from the Labour Account (ABS 6150.0.55.003, Table 1, series A85389483J). </w:t>
      </w:r>
    </w:p>
    <w:p w14:paraId="0E6EF5E3" w14:textId="37ED0993" w:rsidR="003A5F70" w:rsidRPr="00167CB8" w:rsidRDefault="001F0284" w:rsidP="001F0284">
      <w:pPr>
        <w:pStyle w:val="Source"/>
      </w:pPr>
      <w:r w:rsidRPr="00167CB8">
        <w:t xml:space="preserve">3. </w:t>
      </w:r>
      <w:r w:rsidR="003A5F70" w:rsidRPr="00167CB8">
        <w:t xml:space="preserve">Real wages are derived by dividing the wage price index (WPI) by the consumer price index (CPI). The source of the WPI and CPI are given below.  </w:t>
      </w:r>
    </w:p>
    <w:p w14:paraId="7666BACE" w14:textId="47D6574B" w:rsidR="003A5F70" w:rsidRPr="00167CB8" w:rsidRDefault="001F0284" w:rsidP="001F0284">
      <w:pPr>
        <w:pStyle w:val="Source"/>
      </w:pPr>
      <w:r w:rsidRPr="00167CB8">
        <w:rPr>
          <w:b/>
          <w:bCs/>
        </w:rPr>
        <w:t>S</w:t>
      </w:r>
      <w:r w:rsidR="003A5F70" w:rsidRPr="00167CB8">
        <w:rPr>
          <w:b/>
          <w:bCs/>
        </w:rPr>
        <w:t>ource:</w:t>
      </w:r>
      <w:r w:rsidR="003A5F70" w:rsidRPr="00167CB8">
        <w:t xml:space="preserve"> </w:t>
      </w:r>
      <w:r w:rsidRPr="00167CB8">
        <w:t xml:space="preserve">WPI data: </w:t>
      </w:r>
      <w:r w:rsidR="003A5F70" w:rsidRPr="00167CB8">
        <w:t>ABS 6345.0 Wage Price Index, Australia. Table 1, Total hourly rates of pay excluding bonuses, original.</w:t>
      </w:r>
      <w:r w:rsidRPr="00167CB8">
        <w:t xml:space="preserve"> </w:t>
      </w:r>
      <w:r w:rsidR="003A5F70" w:rsidRPr="00167CB8">
        <w:t>CPI data: ABS 6401.0 Consumer Price Index, Australia. Tables 1 and 2, All groups CPI Australia, original.</w:t>
      </w:r>
    </w:p>
    <w:p w14:paraId="5115568B" w14:textId="77777777" w:rsidR="00BB1DE5" w:rsidRDefault="00BB1DE5">
      <w:pPr>
        <w:spacing w:after="160"/>
      </w:pPr>
      <w:r>
        <w:br w:type="page"/>
      </w:r>
    </w:p>
    <w:p w14:paraId="2F677AA0" w14:textId="5F2DD8A0" w:rsidR="0049763F" w:rsidRPr="0049763F" w:rsidRDefault="0049763F" w:rsidP="0049763F">
      <w:r w:rsidRPr="0049763F">
        <w:lastRenderedPageBreak/>
        <w:t>Some commentators prefer to make comparisons using productivity and wage data from the National Accounts, i.e, the same series. For comparative purposes</w:t>
      </w:r>
      <w:r w:rsidR="00A65ADB">
        <w:t xml:space="preserve"> data from the national accounts are used to replicate</w:t>
      </w:r>
      <w:r w:rsidRPr="0049763F">
        <w:t xml:space="preserve"> Figure </w:t>
      </w:r>
      <w:r>
        <w:t>6</w:t>
      </w:r>
      <w:r w:rsidR="00A65ADB">
        <w:t>1</w:t>
      </w:r>
      <w:r w:rsidRPr="0049763F">
        <w:t xml:space="preserve"> </w:t>
      </w:r>
      <w:r w:rsidR="00A65ADB">
        <w:t xml:space="preserve">– the result is given in Figure 62. </w:t>
      </w:r>
      <w:r w:rsidR="006C0BF5">
        <w:t>In Figure 62 the</w:t>
      </w:r>
      <w:r w:rsidRPr="0049763F">
        <w:t xml:space="preserve"> </w:t>
      </w:r>
      <w:r w:rsidR="00A827CA">
        <w:t xml:space="preserve">wage estimates </w:t>
      </w:r>
      <w:r w:rsidRPr="0049763F">
        <w:t xml:space="preserve">are not adjusted for compositional effects.  Two wage indictors are used, one that measures total wages and salaries paid, and the other that includes social contributions (e.g., superannuation).  </w:t>
      </w:r>
      <w:r w:rsidR="004B0F3B">
        <w:t>The surge in employee compensation during COVID-19 (supported by government subsidies) is reflected in the 2020 peak</w:t>
      </w:r>
      <w:r w:rsidRPr="0049763F">
        <w:t xml:space="preserve">.  The main take-away from </w:t>
      </w:r>
      <w:r w:rsidR="006C0BF5">
        <w:t>both figures</w:t>
      </w:r>
      <w:r w:rsidR="00045598">
        <w:t xml:space="preserve"> </w:t>
      </w:r>
      <w:r w:rsidRPr="0049763F">
        <w:t>is th</w:t>
      </w:r>
      <w:r w:rsidR="00045598">
        <w:t xml:space="preserve">at pattern of </w:t>
      </w:r>
      <w:r w:rsidRPr="0049763F">
        <w:t xml:space="preserve">wage-productivity decoupling </w:t>
      </w:r>
      <w:r w:rsidR="00917180">
        <w:t>is similar</w:t>
      </w:r>
      <w:r w:rsidRPr="0049763F">
        <w:t>.</w:t>
      </w:r>
    </w:p>
    <w:p w14:paraId="2FD807EB" w14:textId="1DEFE921" w:rsidR="0049763F" w:rsidRPr="007270D1" w:rsidRDefault="0049763F" w:rsidP="0049763F">
      <w:pPr>
        <w:pStyle w:val="Caption"/>
        <w:rPr>
          <w:sz w:val="24"/>
          <w:szCs w:val="24"/>
        </w:rPr>
      </w:pPr>
      <w:r w:rsidRPr="007270D1">
        <w:rPr>
          <w:sz w:val="24"/>
          <w:szCs w:val="24"/>
        </w:rPr>
        <w:t xml:space="preserve">Figure </w:t>
      </w:r>
      <w:r>
        <w:rPr>
          <w:sz w:val="24"/>
          <w:szCs w:val="24"/>
        </w:rPr>
        <w:t xml:space="preserve">62: </w:t>
      </w:r>
      <w:r w:rsidRPr="007270D1">
        <w:rPr>
          <w:sz w:val="24"/>
          <w:szCs w:val="24"/>
        </w:rPr>
        <w:t xml:space="preserve">Labour </w:t>
      </w:r>
      <w:r>
        <w:rPr>
          <w:sz w:val="24"/>
          <w:szCs w:val="24"/>
        </w:rPr>
        <w:t>productivity and wages (not adjusted for compositional effects)</w:t>
      </w:r>
    </w:p>
    <w:p w14:paraId="0DB49A44" w14:textId="6B5FFEC8" w:rsidR="0049763F" w:rsidRDefault="003A31CE" w:rsidP="0049763F">
      <w:pPr>
        <w:spacing w:after="0" w:line="240" w:lineRule="auto"/>
      </w:pPr>
      <w:r w:rsidRPr="003A31CE">
        <w:rPr>
          <w:noProof/>
        </w:rPr>
        <w:drawing>
          <wp:inline distT="0" distB="0" distL="0" distR="0" wp14:anchorId="5CBE1F50" wp14:editId="37CAE4EF">
            <wp:extent cx="5904230" cy="3861435"/>
            <wp:effectExtent l="0" t="0" r="1270" b="5715"/>
            <wp:docPr id="1556120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20923" name=""/>
                    <pic:cNvPicPr/>
                  </pic:nvPicPr>
                  <pic:blipFill>
                    <a:blip r:embed="rId99"/>
                    <a:stretch>
                      <a:fillRect/>
                    </a:stretch>
                  </pic:blipFill>
                  <pic:spPr>
                    <a:xfrm>
                      <a:off x="0" y="0"/>
                      <a:ext cx="5904230" cy="3861435"/>
                    </a:xfrm>
                    <a:prstGeom prst="rect">
                      <a:avLst/>
                    </a:prstGeom>
                  </pic:spPr>
                </pic:pic>
              </a:graphicData>
            </a:graphic>
          </wp:inline>
        </w:drawing>
      </w:r>
    </w:p>
    <w:p w14:paraId="1E9C9454" w14:textId="77777777" w:rsidR="003A31CE" w:rsidRDefault="003A31CE" w:rsidP="003A31CE">
      <w:pPr>
        <w:pStyle w:val="Source"/>
        <w:rPr>
          <w:b/>
          <w:bCs/>
        </w:rPr>
      </w:pPr>
      <w:r w:rsidRPr="00167CB8">
        <w:rPr>
          <w:b/>
          <w:bCs/>
        </w:rPr>
        <w:t>Notes:</w:t>
      </w:r>
    </w:p>
    <w:p w14:paraId="584A5B4C" w14:textId="77777777" w:rsidR="003A31CE" w:rsidRPr="00167CB8" w:rsidRDefault="003A31CE" w:rsidP="003A31CE">
      <w:pPr>
        <w:pStyle w:val="Source"/>
      </w:pPr>
      <w:r w:rsidRPr="00167CB8">
        <w:t>1. Indexed to March 2012.</w:t>
      </w:r>
    </w:p>
    <w:p w14:paraId="379D622E" w14:textId="7341B2D8" w:rsidR="003A31CE" w:rsidRPr="00167CB8" w:rsidRDefault="003A31CE" w:rsidP="003A31CE">
      <w:pPr>
        <w:pStyle w:val="Source"/>
      </w:pPr>
      <w:r w:rsidRPr="00167CB8">
        <w:t xml:space="preserve">2. </w:t>
      </w:r>
      <w:r>
        <w:t>See notes to Figure 61 for calculation of labour productivity.</w:t>
      </w:r>
    </w:p>
    <w:p w14:paraId="17EA1919" w14:textId="77777777" w:rsidR="003A31CE" w:rsidRDefault="003A31CE" w:rsidP="003A31CE">
      <w:pPr>
        <w:pStyle w:val="Source"/>
      </w:pPr>
      <w:r w:rsidRPr="00167CB8">
        <w:t xml:space="preserve">3. Real </w:t>
      </w:r>
      <w:r>
        <w:t xml:space="preserve">wages </w:t>
      </w:r>
      <w:r w:rsidRPr="003A31CE">
        <w:t>and salaries are estimated by dividing seasonally adjusted compensation of employees (wages and salaries) from Table 7 of ABS 5206.0 National accounts (series A2303355A) with information on seasonally adjusted total hours actually worked from Table 1 of the ABS Labour Account (series A85389483J). As this information is in current prices it is deflated using the CPI (all groups).</w:t>
      </w:r>
    </w:p>
    <w:p w14:paraId="010BB132" w14:textId="2ECBCE6B" w:rsidR="0049763F" w:rsidRPr="003A31CE" w:rsidRDefault="00A01C9F" w:rsidP="003A31CE">
      <w:pPr>
        <w:pStyle w:val="Source"/>
      </w:pPr>
      <w:r>
        <w:t xml:space="preserve">4. </w:t>
      </w:r>
      <w:r w:rsidR="0049763F" w:rsidRPr="003A31CE">
        <w:t>Real compensation measures wage and salaries plus employer’s social contributions. As with the above it is then divided by total hours actually worked and deflated using the CPI.</w:t>
      </w:r>
    </w:p>
    <w:p w14:paraId="2181ED32" w14:textId="77777777" w:rsidR="0049763F" w:rsidRDefault="0049763F" w:rsidP="00011008"/>
    <w:p w14:paraId="0F3533DA" w14:textId="6418ABC1" w:rsidR="003A5F70" w:rsidRPr="00167CB8" w:rsidRDefault="003A5F70" w:rsidP="00011008">
      <w:r w:rsidRPr="00167CB8">
        <w:t xml:space="preserve">This divergence between productivity and wages has sparked extensive debate among economists, policymakers and industrial relations experts. Several factors have been proposed to explain this decoupling. One key consideration is the declining bargaining power of workers, influenced by changes such as declining union membership, the rise of precarious and gig work </w:t>
      </w:r>
      <w:r w:rsidRPr="00167CB8">
        <w:lastRenderedPageBreak/>
        <w:t>and the fall in collective bargaining. These changes have weakened workers' ability to negotiate wages that keep pace with productivity gains. Another explanation points to technological advancements and capital deepening, where firms invest more in capital which enhances productivity and profits but does not necessarily translate into wage increases for employees. Instead, a larger share of productivity gains is captured by capital owners and shareholders, contributing to growing income inequality. Related issues include the rising power and concentration of firms and the retention of productivity gains as profits rather than passing on gains as higher wages.</w:t>
      </w:r>
      <w:r w:rsidRPr="00167CB8">
        <w:rPr>
          <w:vertAlign w:val="superscript"/>
        </w:rPr>
        <w:footnoteReference w:id="1152"/>
      </w:r>
      <w:r w:rsidRPr="00167CB8">
        <w:t xml:space="preserve"> This is reflected in the declining share of GDP going to labour – see Figure </w:t>
      </w:r>
      <w:r w:rsidR="00361F39" w:rsidRPr="00167CB8">
        <w:t>62</w:t>
      </w:r>
      <w:r w:rsidRPr="00167CB8">
        <w:t>.</w:t>
      </w:r>
    </w:p>
    <w:p w14:paraId="7B04A906" w14:textId="35683A46" w:rsidR="003A5F70" w:rsidRPr="00167CB8" w:rsidRDefault="003A5F70" w:rsidP="00470AB9">
      <w:pPr>
        <w:pStyle w:val="Caption"/>
      </w:pPr>
      <w:r w:rsidRPr="00167CB8">
        <w:t xml:space="preserve">Figure </w:t>
      </w:r>
      <w:r w:rsidR="00361F39" w:rsidRPr="00167CB8">
        <w:t>62</w:t>
      </w:r>
      <w:r w:rsidRPr="00167CB8">
        <w:t>: Labour share of GDP</w:t>
      </w:r>
      <w:r w:rsidR="001F0284" w:rsidRPr="00167CB8">
        <w:t>, 1959 to 2024</w:t>
      </w:r>
    </w:p>
    <w:p w14:paraId="7CD546CF" w14:textId="1007CF82" w:rsidR="003A5F70" w:rsidRPr="00167CB8" w:rsidRDefault="003A5F70" w:rsidP="00011008">
      <w:r w:rsidRPr="00167CB8">
        <w:rPr>
          <w:noProof/>
        </w:rPr>
        <w:drawing>
          <wp:inline distT="0" distB="0" distL="0" distR="0" wp14:anchorId="36E3C150" wp14:editId="1B9DCE80">
            <wp:extent cx="5734050" cy="3752850"/>
            <wp:effectExtent l="0" t="0" r="0" b="0"/>
            <wp:docPr id="469391279" name="Picture 13" descr="A graph showing the growth of the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showing the growth of the stock market&#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4050" cy="3752850"/>
                    </a:xfrm>
                    <a:prstGeom prst="rect">
                      <a:avLst/>
                    </a:prstGeom>
                    <a:noFill/>
                    <a:ln>
                      <a:noFill/>
                    </a:ln>
                  </pic:spPr>
                </pic:pic>
              </a:graphicData>
            </a:graphic>
          </wp:inline>
        </w:drawing>
      </w:r>
    </w:p>
    <w:p w14:paraId="1D0A6851" w14:textId="77777777" w:rsidR="003A5F70" w:rsidRPr="00167CB8" w:rsidRDefault="003A5F70" w:rsidP="001F0284">
      <w:pPr>
        <w:pStyle w:val="Source"/>
      </w:pPr>
      <w:r w:rsidRPr="00167CB8">
        <w:rPr>
          <w:b/>
          <w:bCs/>
        </w:rPr>
        <w:t>Source:</w:t>
      </w:r>
      <w:r w:rsidRPr="00167CB8">
        <w:t xml:space="preserve"> ABS 6206.0, Table 7. Compensation of employees and GDP.</w:t>
      </w:r>
    </w:p>
    <w:p w14:paraId="3662DBCC" w14:textId="48B1A3F4" w:rsidR="003A5F70" w:rsidRPr="00167CB8" w:rsidRDefault="003A5F70" w:rsidP="00011008">
      <w:r w:rsidRPr="00167CB8">
        <w:t>The decoupling of productivity growth and real wages has significant implications for the issues examined in this Review, particularly in relation to gender equality and collective bargaining. The stagnation of real wages, despite productivity gains, raises concerns about the equitable distribution of economic growth, which disproportionately affects women and other vulnerable groups in the workforce. The stagnation and decoupling also underscore the need for interventions that strengthen workers</w:t>
      </w:r>
      <w:r w:rsidR="001F0284" w:rsidRPr="00167CB8">
        <w:t>’</w:t>
      </w:r>
      <w:r w:rsidRPr="00167CB8">
        <w:t xml:space="preserve"> bargaining power and distribution of productivity gains through collective bargaining.</w:t>
      </w:r>
    </w:p>
    <w:p w14:paraId="0997007F" w14:textId="4A1158FC" w:rsidR="003A5F70" w:rsidRPr="00167CB8" w:rsidRDefault="003A5F70" w:rsidP="00650687">
      <w:pPr>
        <w:pStyle w:val="Heading4"/>
      </w:pPr>
      <w:bookmarkStart w:id="942" w:name="_Toc189260352"/>
      <w:bookmarkStart w:id="943" w:name="_Toc189393692"/>
      <w:r w:rsidRPr="00167CB8">
        <w:t>4.2 The causes of enterprise-level productivity growth</w:t>
      </w:r>
      <w:bookmarkEnd w:id="942"/>
      <w:bookmarkEnd w:id="943"/>
    </w:p>
    <w:p w14:paraId="00FAC462" w14:textId="7192586C" w:rsidR="003A5F70" w:rsidRPr="00167CB8" w:rsidRDefault="003A5F70" w:rsidP="00011008">
      <w:r w:rsidRPr="00167CB8">
        <w:t xml:space="preserve">Industrial relations are more important in explaining productivity growth at this level. This is not to say that other factors are unimportant. Certainly, the impact of factors like technology, skills </w:t>
      </w:r>
      <w:r w:rsidRPr="00167CB8">
        <w:lastRenderedPageBreak/>
        <w:t xml:space="preserve">formation and utilisation and especially management competencies on productivity enhancement is widely confirmed. Rather, there is greater potential than at national or macro level for industrial relations arrangements to impact productivity – and productivity to impact industrial relations – at the ‘micro’ or organisational level. </w:t>
      </w:r>
      <w:r w:rsidR="00B77BA4">
        <w:t xml:space="preserve">The key question is how? </w:t>
      </w:r>
      <w:r w:rsidR="00B77BA4" w:rsidRPr="00167CB8">
        <w:t>In other words, what are the key mechanisms that promote organisational productivity growth?</w:t>
      </w:r>
    </w:p>
    <w:p w14:paraId="2F4C9894" w14:textId="77777777" w:rsidR="003A5F70" w:rsidRPr="00167CB8" w:rsidRDefault="003A5F70" w:rsidP="00650687">
      <w:pPr>
        <w:pStyle w:val="Heading5"/>
      </w:pPr>
      <w:r w:rsidRPr="00167CB8">
        <w:t xml:space="preserve">4.2.1 </w:t>
      </w:r>
      <w:r w:rsidRPr="00650687">
        <w:t>Gender</w:t>
      </w:r>
      <w:r w:rsidRPr="00167CB8">
        <w:t xml:space="preserve"> equality</w:t>
      </w:r>
    </w:p>
    <w:p w14:paraId="2886295B" w14:textId="7A905B2E" w:rsidR="003A5F70" w:rsidRPr="00167CB8" w:rsidRDefault="003A5F70" w:rsidP="00011008">
      <w:r w:rsidRPr="00167CB8">
        <w:t xml:space="preserve">Many of the gender equality factors discussed above (see section </w:t>
      </w:r>
      <w:r w:rsidR="00361F39" w:rsidRPr="00167CB8">
        <w:t>4</w:t>
      </w:r>
      <w:r w:rsidRPr="00167CB8">
        <w:t>.1.1) can be translated (again, in</w:t>
      </w:r>
      <w:r w:rsidR="001F0284" w:rsidRPr="00167CB8">
        <w:t xml:space="preserve"> </w:t>
      </w:r>
      <w:r w:rsidRPr="00167CB8">
        <w:t>principle) to the enterprise/organisational level. This translation comes through mechanisms that make better use of and advance women’s skills and experience; that reduce inflexibilities affecting women’s full participation at work; that reduce discrimination or harm in the workplace; that improve women’s share of benefits of increased productivity; and</w:t>
      </w:r>
      <w:r w:rsidR="001F0284" w:rsidRPr="00167CB8">
        <w:t>,</w:t>
      </w:r>
      <w:r w:rsidRPr="00167CB8">
        <w:t xml:space="preserve"> overall, that improve the recruitment, experience and retention of women within the organisation. The importance of these mechanisms for enterprise productivity is well established.</w:t>
      </w:r>
    </w:p>
    <w:p w14:paraId="3DED40E4" w14:textId="77777777" w:rsidR="003A5F70" w:rsidRPr="00167CB8" w:rsidRDefault="003A5F70" w:rsidP="00011008">
      <w:r w:rsidRPr="00167CB8">
        <w:t xml:space="preserve">One issue with a profound effect on organisational or enterprise productivity is workplace sexual harassment. It is easy to see how sexual harassment at work could adversely affect productivity through proxy measures such as: </w:t>
      </w:r>
    </w:p>
    <w:p w14:paraId="51DF4F32" w14:textId="264E6C7D" w:rsidR="003A5F70" w:rsidRPr="00167CB8" w:rsidRDefault="003A5F70" w:rsidP="001F0284">
      <w:pPr>
        <w:pStyle w:val="ListBullet"/>
      </w:pPr>
      <w:r w:rsidRPr="00167CB8">
        <w:t>working in less productive ways as a direct or indirect result of harassment (i.e. avoidance of certain tasks, people, places, circumstances; increased conflict)</w:t>
      </w:r>
    </w:p>
    <w:p w14:paraId="7EEE0395" w14:textId="29A4C03E" w:rsidR="003A5F70" w:rsidRPr="00167CB8" w:rsidRDefault="003A5F70" w:rsidP="001F0284">
      <w:pPr>
        <w:pStyle w:val="ListBullet"/>
      </w:pPr>
      <w:r w:rsidRPr="00167CB8">
        <w:t>increased absences from work and higher staff turnover</w:t>
      </w:r>
    </w:p>
    <w:p w14:paraId="0C0C63D8" w14:textId="4D0932F1" w:rsidR="003A5F70" w:rsidRPr="00167CB8" w:rsidRDefault="003A5F70" w:rsidP="001F0284">
      <w:pPr>
        <w:pStyle w:val="ListBullet"/>
      </w:pPr>
      <w:r w:rsidRPr="00167CB8">
        <w:t>time taken in related processes, such as complaints, adjustments, investigations and hearings</w:t>
      </w:r>
    </w:p>
    <w:p w14:paraId="525EFA8F" w14:textId="77777777" w:rsidR="003A5F70" w:rsidRPr="00167CB8" w:rsidRDefault="003A5F70" w:rsidP="001F0284">
      <w:pPr>
        <w:pStyle w:val="ListBullet"/>
      </w:pPr>
      <w:r w:rsidRPr="00167CB8">
        <w:t>additional time spent in remedial (as opposed to preventative) training, policy communication, ‘culture change’ programs.</w:t>
      </w:r>
      <w:r w:rsidRPr="00167CB8">
        <w:rPr>
          <w:vertAlign w:val="superscript"/>
        </w:rPr>
        <w:footnoteReference w:id="1153"/>
      </w:r>
      <w:r w:rsidRPr="00167CB8">
        <w:t xml:space="preserve"> </w:t>
      </w:r>
    </w:p>
    <w:p w14:paraId="20BF166B" w14:textId="74F433D2" w:rsidR="003A5F70" w:rsidRPr="00167CB8" w:rsidRDefault="003A5F70" w:rsidP="00011008">
      <w:r w:rsidRPr="00167CB8">
        <w:t>Moreover, experiences of workplace sexual harassment are higher for some workers, some types of work and in some industries. Insecure work can have a compounding effect. Women, including young women and migrant women, are disproportionately represented in insecure work and in incidents of sexual harassment.</w:t>
      </w:r>
      <w:r w:rsidRPr="00167CB8">
        <w:rPr>
          <w:vertAlign w:val="superscript"/>
        </w:rPr>
        <w:footnoteReference w:id="1154"/>
      </w:r>
    </w:p>
    <w:p w14:paraId="5DCBD1DF" w14:textId="7221C21C" w:rsidR="003A5F70" w:rsidRPr="00167CB8" w:rsidRDefault="003A5F70" w:rsidP="00011008">
      <w:r w:rsidRPr="00167CB8">
        <w:t>Another gender equality issue with an important effect on organisational or enterprise productivity is parental leave.</w:t>
      </w:r>
      <w:r w:rsidRPr="00167CB8">
        <w:rPr>
          <w:vertAlign w:val="superscript"/>
        </w:rPr>
        <w:footnoteReference w:id="1155"/>
      </w:r>
      <w:r w:rsidRPr="00167CB8">
        <w:t xml:space="preserve"> This is an area in which the economic, or ‘business case’ arguments, are well</w:t>
      </w:r>
      <w:r w:rsidR="001F0284" w:rsidRPr="00167CB8">
        <w:t xml:space="preserve"> </w:t>
      </w:r>
      <w:r w:rsidRPr="00167CB8">
        <w:t>established. The disagreement seems to be about where and by whom costs and benefits are accrued. At the level of organisations, the productivity benefits of increased uptake of parental leave would be captured in measures such as the number of, and speed at which, workers return to work and all of the associated benefits of skilled worker retention (e</w:t>
      </w:r>
      <w:r w:rsidR="001F0284" w:rsidRPr="00167CB8">
        <w:t>.</w:t>
      </w:r>
      <w:r w:rsidRPr="00167CB8">
        <w:t>g. reduced recruitment, training cost, retained knowledge).</w:t>
      </w:r>
      <w:r w:rsidRPr="00167CB8">
        <w:rPr>
          <w:vertAlign w:val="superscript"/>
        </w:rPr>
        <w:footnoteReference w:id="1156"/>
      </w:r>
    </w:p>
    <w:p w14:paraId="6F3F5165" w14:textId="6566E59B" w:rsidR="003A5F70" w:rsidRPr="00167CB8" w:rsidRDefault="003A5F70" w:rsidP="00011008">
      <w:r w:rsidRPr="00167CB8">
        <w:t xml:space="preserve">The key to understanding the potential productivity benefits of many of the </w:t>
      </w:r>
      <w:r w:rsidR="001F0284" w:rsidRPr="00167CB8">
        <w:t xml:space="preserve">Secure Jobs, Better Pay </w:t>
      </w:r>
      <w:r w:rsidRPr="00167CB8">
        <w:t xml:space="preserve">amendments lies in the way they use national laws to change harmful gendered attitudes, </w:t>
      </w:r>
      <w:r w:rsidRPr="00167CB8">
        <w:lastRenderedPageBreak/>
        <w:t>motivations and behaviours.</w:t>
      </w:r>
      <w:r w:rsidRPr="00167CB8">
        <w:rPr>
          <w:vertAlign w:val="superscript"/>
        </w:rPr>
        <w:footnoteReference w:id="1157"/>
      </w:r>
      <w:r w:rsidRPr="00167CB8">
        <w:t xml:space="preserve"> These can be seen in the </w:t>
      </w:r>
      <w:r w:rsidR="001F0284" w:rsidRPr="00167CB8">
        <w:t>c</w:t>
      </w:r>
      <w:r w:rsidRPr="00167CB8">
        <w:t xml:space="preserve">hapters of the </w:t>
      </w:r>
      <w:r w:rsidR="001F0284" w:rsidRPr="00167CB8">
        <w:t>r</w:t>
      </w:r>
      <w:r w:rsidRPr="00167CB8">
        <w:t xml:space="preserve">eport on </w:t>
      </w:r>
      <w:r w:rsidR="001F0284" w:rsidRPr="00167CB8">
        <w:t>p</w:t>
      </w:r>
      <w:r w:rsidRPr="00167CB8">
        <w:t>aid family and domestic violence leave</w:t>
      </w:r>
      <w:r w:rsidR="00954DC2" w:rsidRPr="00167CB8">
        <w:t xml:space="preserve"> (Chapter 23)</w:t>
      </w:r>
      <w:r w:rsidRPr="00167CB8">
        <w:t xml:space="preserve">, </w:t>
      </w:r>
      <w:r w:rsidR="001F0284" w:rsidRPr="00167CB8">
        <w:t>e</w:t>
      </w:r>
      <w:r w:rsidRPr="00167CB8">
        <w:t>qual remuneration</w:t>
      </w:r>
      <w:r w:rsidR="00954DC2" w:rsidRPr="00167CB8">
        <w:t xml:space="preserve"> (Chapter 25)</w:t>
      </w:r>
      <w:r w:rsidRPr="00167CB8">
        <w:t xml:space="preserve">, </w:t>
      </w:r>
      <w:r w:rsidR="001F0284" w:rsidRPr="00167CB8">
        <w:t>p</w:t>
      </w:r>
      <w:r w:rsidRPr="00167CB8">
        <w:t>rohibiting pay secrecy</w:t>
      </w:r>
      <w:r w:rsidR="00954DC2" w:rsidRPr="00167CB8">
        <w:t xml:space="preserve"> (Chapter 27)</w:t>
      </w:r>
      <w:r w:rsidRPr="00167CB8">
        <w:t xml:space="preserve">, </w:t>
      </w:r>
      <w:r w:rsidR="001F0284" w:rsidRPr="00167CB8">
        <w:t>p</w:t>
      </w:r>
      <w:r w:rsidRPr="00167CB8">
        <w:t>rohibiting sexual harassment in connection with work</w:t>
      </w:r>
      <w:r w:rsidR="00954DC2" w:rsidRPr="00167CB8">
        <w:t xml:space="preserve"> (Chapter 28)</w:t>
      </w:r>
      <w:r w:rsidRPr="00167CB8">
        <w:t xml:space="preserve">, </w:t>
      </w:r>
      <w:r w:rsidR="001F0284" w:rsidRPr="00167CB8">
        <w:t>a</w:t>
      </w:r>
      <w:r w:rsidRPr="00167CB8">
        <w:t>nti-discrimination and special measures</w:t>
      </w:r>
      <w:r w:rsidR="00954DC2" w:rsidRPr="00167CB8">
        <w:t xml:space="preserve"> (Chapter 29)</w:t>
      </w:r>
      <w:r w:rsidRPr="00167CB8">
        <w:t xml:space="preserve">, </w:t>
      </w:r>
      <w:r w:rsidR="001F0284" w:rsidRPr="00167CB8">
        <w:t>f</w:t>
      </w:r>
      <w:r w:rsidRPr="00167CB8">
        <w:t xml:space="preserve">lexible work </w:t>
      </w:r>
      <w:r w:rsidR="00954DC2" w:rsidRPr="00167CB8">
        <w:t>(Chapter 31)</w:t>
      </w:r>
      <w:r w:rsidRPr="00167CB8">
        <w:t xml:space="preserve"> and </w:t>
      </w:r>
      <w:r w:rsidR="001F0284" w:rsidRPr="00167CB8">
        <w:t>u</w:t>
      </w:r>
      <w:r w:rsidRPr="00167CB8">
        <w:t>npaid parental leave</w:t>
      </w:r>
      <w:r w:rsidR="00954DC2" w:rsidRPr="00167CB8">
        <w:t xml:space="preserve"> (Chapter 32)</w:t>
      </w:r>
      <w:r w:rsidRPr="00167CB8">
        <w:t>.</w:t>
      </w:r>
    </w:p>
    <w:p w14:paraId="6B22736B" w14:textId="77777777" w:rsidR="003A5F70" w:rsidRPr="00167CB8" w:rsidRDefault="003A5F70" w:rsidP="00650687">
      <w:pPr>
        <w:pStyle w:val="Heading5"/>
      </w:pPr>
      <w:r w:rsidRPr="00167CB8">
        <w:t xml:space="preserve">4.2.2 Collective </w:t>
      </w:r>
      <w:r w:rsidRPr="00650687">
        <w:t>bargaining</w:t>
      </w:r>
    </w:p>
    <w:p w14:paraId="23B2C716" w14:textId="5B9FC5A6" w:rsidR="003A5F70" w:rsidRPr="00167CB8" w:rsidRDefault="003A5F70" w:rsidP="00011008">
      <w:r w:rsidRPr="00167CB8">
        <w:t xml:space="preserve">Much research attention has focused on the effects of the presence of unions and/or collective bargaining within the organisation on productivity. The conclusions vary, but the first lesson is that neither unions nor collective bargaining are antithetical to good productivity outcomes. Not all unions or all instances of collective bargaining lead to good </w:t>
      </w:r>
      <w:r w:rsidR="00B470D6" w:rsidRPr="00167CB8">
        <w:t xml:space="preserve">or bad </w:t>
      </w:r>
      <w:r w:rsidRPr="00167CB8">
        <w:t>productivity performance. As a classic source said</w:t>
      </w:r>
      <w:r w:rsidR="00BA517C" w:rsidRPr="00167CB8">
        <w:t>,</w:t>
      </w:r>
      <w:r w:rsidRPr="00167CB8">
        <w:t xml:space="preserve"> ‘unionism per se is neither a plus nor a minus to productivity</w:t>
      </w:r>
      <w:r w:rsidR="00BA517C" w:rsidRPr="00167CB8">
        <w:t>’</w:t>
      </w:r>
      <w:r w:rsidRPr="00167CB8">
        <w:t>.</w:t>
      </w:r>
      <w:r w:rsidRPr="00167CB8">
        <w:rPr>
          <w:vertAlign w:val="superscript"/>
        </w:rPr>
        <w:footnoteReference w:id="1158"/>
      </w:r>
      <w:r w:rsidRPr="00167CB8">
        <w:t xml:space="preserve"> Unions and collective bargaining are frequently found to be correlated with good productivity, but there are no guarantees. </w:t>
      </w:r>
    </w:p>
    <w:p w14:paraId="1C8C4A2C" w14:textId="6460434A" w:rsidR="003A5F70" w:rsidRPr="00167CB8" w:rsidRDefault="003A5F70" w:rsidP="00011008">
      <w:r w:rsidRPr="00167CB8">
        <w:t>Instead of universal definitive prescriptions for productivity growth, this kind of research focuses attention on the specific aspects of unions and/or collective bargaining that contribute to good productivity growth within organisations</w:t>
      </w:r>
      <w:r w:rsidR="00B77BA4">
        <w:t>.</w:t>
      </w:r>
    </w:p>
    <w:p w14:paraId="4D062FC8" w14:textId="0ABC1286" w:rsidR="003A5F70" w:rsidRPr="00167CB8" w:rsidRDefault="003A5F70" w:rsidP="00011008">
      <w:r w:rsidRPr="00167CB8">
        <w:t>Some of the answers may lie with collective bargaining itself, although it begs the question of what aspects of bargaining lead to productivity growth within the enterprise</w:t>
      </w:r>
      <w:r w:rsidR="00BA517C" w:rsidRPr="00167CB8">
        <w:t>.</w:t>
      </w:r>
      <w:r w:rsidRPr="00167CB8">
        <w:t xml:space="preserve"> Is it, for example, the negotiated provisions within the final agreement that are most important for productivity? Is it the provisions about wages or working hours or shift arrangements or flexibility or disputes procedures? The FWC explored this question in a valuable (and much neglected) research paper which argued</w:t>
      </w:r>
      <w:r w:rsidR="00BA517C" w:rsidRPr="00167CB8">
        <w:t>,</w:t>
      </w:r>
      <w:r w:rsidRPr="00167CB8">
        <w:t xml:space="preserve"> first</w:t>
      </w:r>
      <w:r w:rsidR="00BA517C" w:rsidRPr="00167CB8">
        <w:t>,</w:t>
      </w:r>
      <w:r w:rsidRPr="00167CB8">
        <w:t xml:space="preserve"> that there are limited quantitative data on the relationship between enterprise bargaining and productivity:</w:t>
      </w:r>
      <w:r w:rsidR="00BA517C" w:rsidRPr="00167CB8">
        <w:rPr>
          <w:vertAlign w:val="superscript"/>
        </w:rPr>
        <w:footnoteReference w:id="1159"/>
      </w:r>
    </w:p>
    <w:p w14:paraId="0163F589" w14:textId="1BF3F726" w:rsidR="003A5F70" w:rsidRPr="00167CB8" w:rsidRDefault="003A5F70" w:rsidP="00BA517C">
      <w:pPr>
        <w:pStyle w:val="Quote"/>
      </w:pPr>
      <w:r w:rsidRPr="00167CB8">
        <w:t xml:space="preserve">At the time of publication, there were limited Australian data on businesses available that could be used to shed detailed light on the link between enterprise agreements that contain clauses or measures to improve productivity and the effect of such clauses or measures (if any) on firms’ productivity levels. </w:t>
      </w:r>
    </w:p>
    <w:p w14:paraId="11500532" w14:textId="410C565C" w:rsidR="003A5F70" w:rsidRPr="00167CB8" w:rsidRDefault="003A5F70" w:rsidP="00011008">
      <w:r w:rsidRPr="00167CB8">
        <w:t>The research paper’s summation of the research literature was ambiguous, reporting that there was</w:t>
      </w:r>
      <w:r w:rsidR="00BA517C" w:rsidRPr="00167CB8">
        <w:t xml:space="preserve"> </w:t>
      </w:r>
      <w:r w:rsidRPr="00167CB8">
        <w:t>‘a variety of findings in regards to the relationship between productivity and enterprise bargaining, with some studies suggesting some form of positive association may exist and others concluding that there is little or no connection between them</w:t>
      </w:r>
      <w:r w:rsidR="00BA517C" w:rsidRPr="00167CB8">
        <w:t>’</w:t>
      </w:r>
      <w:r w:rsidRPr="00167CB8">
        <w:t>.</w:t>
      </w:r>
      <w:r w:rsidRPr="00167CB8">
        <w:rPr>
          <w:vertAlign w:val="superscript"/>
        </w:rPr>
        <w:footnoteReference w:id="1160"/>
      </w:r>
      <w:r w:rsidRPr="00167CB8">
        <w:t xml:space="preserve"> </w:t>
      </w:r>
    </w:p>
    <w:p w14:paraId="57CA594D" w14:textId="05164269" w:rsidR="003A5F70" w:rsidRPr="00167CB8" w:rsidRDefault="003A5F70" w:rsidP="00BA517C">
      <w:r w:rsidRPr="00167CB8">
        <w:t xml:space="preserve">The research paper went on to examine, by way of case studies, the effectiveness of 26 different clauses of enterprise agreements that were nominated by the parties to those agreements as promoting productivity growth within the enterprise. These clauses fell into </w:t>
      </w:r>
      <w:r w:rsidR="002D2410">
        <w:t>three</w:t>
      </w:r>
      <w:r w:rsidR="00BA517C" w:rsidRPr="00167CB8">
        <w:t xml:space="preserve"> </w:t>
      </w:r>
      <w:r w:rsidRPr="00167CB8">
        <w:t xml:space="preserve">broad categories: flexibility and leave; skills; and incentives and engagement. As the researchers observed, many of these enterprise agreement clauses corresponded with major causes or </w:t>
      </w:r>
      <w:r w:rsidRPr="00167CB8">
        <w:lastRenderedPageBreak/>
        <w:t>determinants of productivity growth mentioned above:</w:t>
      </w:r>
      <w:r w:rsidR="00BA517C" w:rsidRPr="00167CB8">
        <w:t xml:space="preserve"> </w:t>
      </w:r>
      <w:r w:rsidRPr="00167CB8">
        <w:t>‘productivity or innovation, including: change in work arrangements, competitiveness, changes in organisational or managerial processes, engagement, targets and incentives for employees, training and human resource planning</w:t>
      </w:r>
      <w:r w:rsidR="00BA517C" w:rsidRPr="00167CB8">
        <w:t>’</w:t>
      </w:r>
      <w:r w:rsidRPr="00167CB8">
        <w:t>.</w:t>
      </w:r>
      <w:r w:rsidRPr="00167CB8">
        <w:rPr>
          <w:vertAlign w:val="superscript"/>
        </w:rPr>
        <w:footnoteReference w:id="1161"/>
      </w:r>
      <w:r w:rsidRPr="00167CB8">
        <w:t xml:space="preserve"> </w:t>
      </w:r>
    </w:p>
    <w:p w14:paraId="08D0BA9D" w14:textId="503D5088" w:rsidR="003A5F70" w:rsidRPr="00167CB8" w:rsidRDefault="003A5F70" w:rsidP="00011008">
      <w:r w:rsidRPr="00167CB8">
        <w:t>Moreover, the success of these clauses was found to be closely affected by the organisational context:</w:t>
      </w:r>
      <w:r w:rsidR="00BA517C" w:rsidRPr="00167CB8">
        <w:rPr>
          <w:vertAlign w:val="superscript"/>
        </w:rPr>
        <w:footnoteReference w:id="1162"/>
      </w:r>
    </w:p>
    <w:p w14:paraId="4A93D221" w14:textId="490D6EFC" w:rsidR="003A5F70" w:rsidRPr="00167CB8" w:rsidRDefault="003A5F70" w:rsidP="00BA517C">
      <w:pPr>
        <w:pStyle w:val="Quote"/>
      </w:pPr>
      <w:r w:rsidRPr="00167CB8">
        <w:t>The case studies also highlight the complex issues associated with any exploration of enterprise agreements and productivity. In particular, in each case the operation and effect of the clauses discussed was highly dependent on organisational context and shaped by the policies or practices and particular work or operations to which they relate.</w:t>
      </w:r>
    </w:p>
    <w:p w14:paraId="23F12590" w14:textId="077871D2" w:rsidR="003A5F70" w:rsidRPr="00167CB8" w:rsidRDefault="003A5F70" w:rsidP="00011008">
      <w:r w:rsidRPr="00167CB8">
        <w:t>Alternatively, the promotion of productivity growth may not lie in collective bargaining itself, whether that bargaining by single-enterprise or multi-employer. Research amongst employer associations, for example, found that the more profound workplace changes emanated from outside the bargaining framework:</w:t>
      </w:r>
      <w:r w:rsidR="00BA517C" w:rsidRPr="00167CB8">
        <w:rPr>
          <w:vertAlign w:val="superscript"/>
        </w:rPr>
        <w:footnoteReference w:id="1163"/>
      </w:r>
      <w:r w:rsidR="00BA517C" w:rsidRPr="00167CB8">
        <w:t xml:space="preserve"> </w:t>
      </w:r>
      <w:r w:rsidRPr="00167CB8">
        <w:t xml:space="preserve"> </w:t>
      </w:r>
    </w:p>
    <w:p w14:paraId="753ADC87" w14:textId="33425817" w:rsidR="003A5F70" w:rsidRPr="00167CB8" w:rsidRDefault="003A5F70" w:rsidP="00BA517C">
      <w:pPr>
        <w:pStyle w:val="Quote"/>
      </w:pPr>
      <w:r w:rsidRPr="00167CB8">
        <w:t xml:space="preserve">according to leading employer association officials we interviewed, many of the employers who 'lived the enterprise bargaining dream' of improvements to productivity and organisational culture, now consider the role of enterprise agreements and the bargaining processes that generate them to be of fairly minor significance. Having greatly reduced their expectations of what enterprise bargaining can deliver, they no longer see enterprise bargaining as </w:t>
      </w:r>
      <w:r w:rsidR="00BA517C" w:rsidRPr="00167CB8">
        <w:t>‘</w:t>
      </w:r>
      <w:r w:rsidRPr="00167CB8">
        <w:t>the be all and end all</w:t>
      </w:r>
      <w:r w:rsidR="00BA517C" w:rsidRPr="00167CB8">
        <w:t>’</w:t>
      </w:r>
      <w:r w:rsidRPr="00167CB8">
        <w:t xml:space="preserve"> for gaining improvements in workplace relationships, flexibility or productivity. Rather, of those still interested in those goals, most tend now to pursue them outside formal enterprise bargaining processes through such avenues as employee engagement programs.</w:t>
      </w:r>
    </w:p>
    <w:p w14:paraId="6E2B115D" w14:textId="0F06F471" w:rsidR="003A5F70" w:rsidRPr="00167CB8" w:rsidRDefault="003A5F70" w:rsidP="00011008">
      <w:r w:rsidRPr="00167CB8">
        <w:t>Consistent with this notion of productivity growth being effectively advanced outside enterprise</w:t>
      </w:r>
      <w:r w:rsidR="007B1ACE" w:rsidRPr="00167CB8">
        <w:t xml:space="preserve"> bargaining</w:t>
      </w:r>
      <w:r w:rsidRPr="00167CB8">
        <w:t xml:space="preserve"> were </w:t>
      </w:r>
      <w:r w:rsidR="00BA517C" w:rsidRPr="00167CB8">
        <w:t xml:space="preserve">5 </w:t>
      </w:r>
      <w:r w:rsidRPr="00167CB8">
        <w:t>extended Australian case studies of cooperation between managers and union representatives, facilitated by tribunal members.</w:t>
      </w:r>
      <w:r w:rsidRPr="00167CB8">
        <w:rPr>
          <w:vertAlign w:val="superscript"/>
        </w:rPr>
        <w:footnoteReference w:id="1164"/>
      </w:r>
      <w:r w:rsidRPr="00167CB8">
        <w:t xml:space="preserve"> In all </w:t>
      </w:r>
      <w:r w:rsidR="00BA517C" w:rsidRPr="00167CB8">
        <w:t xml:space="preserve">5 </w:t>
      </w:r>
      <w:r w:rsidRPr="00167CB8">
        <w:t xml:space="preserve">cases, greater cooperation in the workplace led to enhanced productivity growth, even though it was not necessarily the main motivation for change and it came in very different ways. Just as relevantly, in </w:t>
      </w:r>
      <w:r w:rsidR="00BA517C" w:rsidRPr="00167CB8">
        <w:t xml:space="preserve">2 </w:t>
      </w:r>
      <w:r w:rsidRPr="00167CB8">
        <w:t xml:space="preserve">of the </w:t>
      </w:r>
      <w:r w:rsidR="00BA517C" w:rsidRPr="00167CB8">
        <w:t xml:space="preserve">5 </w:t>
      </w:r>
      <w:r w:rsidRPr="00167CB8">
        <w:t xml:space="preserve">cases, enterprise bargaining was largely irrelevant to the successful cooperative relationships. In the other </w:t>
      </w:r>
      <w:r w:rsidR="00BA517C" w:rsidRPr="00167CB8">
        <w:t xml:space="preserve">3 </w:t>
      </w:r>
      <w:r w:rsidRPr="00167CB8">
        <w:t>cases, cooperation involved the bargaining rounds</w:t>
      </w:r>
      <w:r w:rsidR="00BA517C" w:rsidRPr="00167CB8">
        <w:t>,</w:t>
      </w:r>
      <w:r w:rsidRPr="00167CB8">
        <w:t xml:space="preserve"> but they were never the ‘main game’.  </w:t>
      </w:r>
    </w:p>
    <w:p w14:paraId="05461367" w14:textId="37192CDC" w:rsidR="003A5F70" w:rsidRPr="00167CB8" w:rsidRDefault="003A5F70" w:rsidP="00011008">
      <w:r w:rsidRPr="00167CB8">
        <w:t xml:space="preserve">Finally, an important point in most instances of successful productivity growth at organisational level is that the bargaining process itself. In other words, bargaining at least forces the parties </w:t>
      </w:r>
      <w:r w:rsidRPr="00167CB8">
        <w:lastRenderedPageBreak/>
        <w:t>(usually managers and union representatives) to talk to each other. Only by initiating conversations and compromises</w:t>
      </w:r>
      <w:r w:rsidR="005D683A">
        <w:t>, motivated by the</w:t>
      </w:r>
      <w:r w:rsidR="00AD5DAD">
        <w:t xml:space="preserve"> desire to ‘do things differently’</w:t>
      </w:r>
      <w:r w:rsidRPr="00167CB8">
        <w:t xml:space="preserve"> can cooperati</w:t>
      </w:r>
      <w:r w:rsidR="00AD5DAD">
        <w:t>ve relationships be developed</w:t>
      </w:r>
      <w:r w:rsidR="00D2401B">
        <w:t>. Then the parties can cooperatively address</w:t>
      </w:r>
      <w:r w:rsidRPr="00167CB8">
        <w:t xml:space="preserve"> productivity </w:t>
      </w:r>
      <w:r w:rsidR="00D2401B">
        <w:t>issues</w:t>
      </w:r>
      <w:r w:rsidRPr="00167CB8">
        <w:t>.</w:t>
      </w:r>
    </w:p>
    <w:p w14:paraId="6C62F835" w14:textId="50D23FD4" w:rsidR="003A5F70" w:rsidRPr="00167CB8" w:rsidRDefault="003A5F70" w:rsidP="00011008">
      <w:r w:rsidRPr="00167CB8">
        <w:t>So, research both overseas and in Australia, suggests that the industrial relations mechanism by which greater productivity growth is achieved is not necessarily the collective agreement itself but</w:t>
      </w:r>
      <w:r w:rsidR="00BA517C" w:rsidRPr="00167CB8">
        <w:t>,</w:t>
      </w:r>
      <w:r w:rsidRPr="00167CB8">
        <w:t xml:space="preserve"> rather</w:t>
      </w:r>
      <w:r w:rsidR="00BA517C" w:rsidRPr="00167CB8">
        <w:t>,</w:t>
      </w:r>
      <w:r w:rsidRPr="00167CB8">
        <w:t xml:space="preserve"> the relationships within the enterprise between managers, workers and unions. Certainly, collective bargaining can be used to achieve productivity growth – sometimes this is single-enterprise bargaining, but increasingly it is argued that multi-employer bargaining can also promote productivity growth.</w:t>
      </w:r>
      <w:r w:rsidRPr="00167CB8">
        <w:rPr>
          <w:vertAlign w:val="superscript"/>
        </w:rPr>
        <w:footnoteReference w:id="1165"/>
      </w:r>
      <w:r w:rsidRPr="00167CB8">
        <w:t xml:space="preserve"> But this goal can often be achieved outside the formal collective bargaining rounds. </w:t>
      </w:r>
    </w:p>
    <w:p w14:paraId="2BD90663" w14:textId="7FE25B1D" w:rsidR="003A5F70" w:rsidRPr="00167CB8" w:rsidRDefault="003A5F70" w:rsidP="00011008">
      <w:r w:rsidRPr="00167CB8">
        <w:t xml:space="preserve">Discussions about the potential contributions of unions and collective bargaining to productivity growth at an enterprise level are directly relevant to the intentions – if not the effectiveness – of the </w:t>
      </w:r>
      <w:r w:rsidR="00BA517C" w:rsidRPr="00167CB8">
        <w:t xml:space="preserve">Secure Jobs, Better Pay </w:t>
      </w:r>
      <w:r w:rsidRPr="00167CB8">
        <w:t xml:space="preserve">amendments and this Review. In particular, they were raised by stakeholders in feedback about the amendments concerning the integration of institutions (Part </w:t>
      </w:r>
      <w:r w:rsidR="001C05CE" w:rsidRPr="00167CB8">
        <w:t>1</w:t>
      </w:r>
      <w:r w:rsidRPr="00167CB8">
        <w:t xml:space="preserve"> of the </w:t>
      </w:r>
      <w:r w:rsidR="00856E20" w:rsidRPr="00167CB8">
        <w:t xml:space="preserve">Draft </w:t>
      </w:r>
      <w:r w:rsidRPr="00167CB8">
        <w:t>Re</w:t>
      </w:r>
      <w:r w:rsidR="001C05CE" w:rsidRPr="00167CB8">
        <w:t>port</w:t>
      </w:r>
      <w:r w:rsidRPr="00167CB8">
        <w:t xml:space="preserve">) and those concerning bargaining and agreement making (Part </w:t>
      </w:r>
      <w:r w:rsidR="001C05CE" w:rsidRPr="00167CB8">
        <w:t>2</w:t>
      </w:r>
      <w:r w:rsidRPr="00167CB8">
        <w:t xml:space="preserve"> of the </w:t>
      </w:r>
      <w:r w:rsidR="00856E20" w:rsidRPr="00167CB8">
        <w:t xml:space="preserve">Draft </w:t>
      </w:r>
      <w:r w:rsidRPr="00167CB8">
        <w:t>Re</w:t>
      </w:r>
      <w:r w:rsidR="001C05CE" w:rsidRPr="00167CB8">
        <w:t>port</w:t>
      </w:r>
      <w:r w:rsidRPr="00167CB8">
        <w:t>).</w:t>
      </w:r>
    </w:p>
    <w:p w14:paraId="2D4224F6" w14:textId="77777777" w:rsidR="003A5F70" w:rsidRPr="00167CB8" w:rsidRDefault="003A5F70" w:rsidP="00650687">
      <w:pPr>
        <w:pStyle w:val="Heading3"/>
        <w:rPr>
          <w:lang w:val="en-US"/>
        </w:rPr>
      </w:pPr>
      <w:bookmarkStart w:id="944" w:name="_Toc189260353"/>
      <w:bookmarkStart w:id="945" w:name="_Toc189393693"/>
      <w:r w:rsidRPr="00167CB8">
        <w:rPr>
          <w:lang w:val="en-US"/>
        </w:rPr>
        <w:t>5.</w:t>
      </w:r>
      <w:r w:rsidRPr="00167CB8">
        <w:rPr>
          <w:lang w:val="en-US"/>
        </w:rPr>
        <w:tab/>
        <w:t xml:space="preserve">Summary and </w:t>
      </w:r>
      <w:r w:rsidRPr="00650687">
        <w:t>conclusion</w:t>
      </w:r>
      <w:bookmarkEnd w:id="944"/>
      <w:bookmarkEnd w:id="945"/>
    </w:p>
    <w:p w14:paraId="5D90CE5A" w14:textId="0F9FCEF0" w:rsidR="003A5F70" w:rsidRPr="00167CB8" w:rsidRDefault="003A5F70" w:rsidP="00011008">
      <w:r w:rsidRPr="00167CB8">
        <w:t xml:space="preserve">This appendix is </w:t>
      </w:r>
      <w:r w:rsidR="00BA517C" w:rsidRPr="00167CB8">
        <w:t xml:space="preserve">not </w:t>
      </w:r>
      <w:r w:rsidRPr="00167CB8">
        <w:t>designed as a comprehensive account of productivity and its relationships with industrial relations</w:t>
      </w:r>
      <w:r w:rsidR="00BA517C" w:rsidRPr="00167CB8">
        <w:t>. R</w:t>
      </w:r>
      <w:r w:rsidRPr="00167CB8">
        <w:t>ather, it aims to identify some key aspects of the debate and provoke discussion of them. The key points are:</w:t>
      </w:r>
    </w:p>
    <w:p w14:paraId="17493C7F" w14:textId="77777777" w:rsidR="003A5F70" w:rsidRPr="00167CB8" w:rsidRDefault="003A5F70" w:rsidP="00BA517C">
      <w:pPr>
        <w:pStyle w:val="ListBullet"/>
      </w:pPr>
      <w:r w:rsidRPr="00167CB8">
        <w:t xml:space="preserve">It must not be assumed that productivity is a universal concept: in particular, interpretations of its causes and solutions are deeply affected by the </w:t>
      </w:r>
      <w:r w:rsidRPr="00167CB8">
        <w:rPr>
          <w:i/>
          <w:iCs/>
        </w:rPr>
        <w:t>values/frames of reference</w:t>
      </w:r>
      <w:r w:rsidRPr="00167CB8">
        <w:t xml:space="preserve"> of the parties.</w:t>
      </w:r>
    </w:p>
    <w:p w14:paraId="6FA299E4" w14:textId="350E3176" w:rsidR="003A5F70" w:rsidRPr="00167CB8" w:rsidRDefault="003A5F70" w:rsidP="00BA517C">
      <w:pPr>
        <w:pStyle w:val="ListBullet"/>
      </w:pPr>
      <w:r w:rsidRPr="00167CB8">
        <w:t xml:space="preserve">Productivity is </w:t>
      </w:r>
      <w:r w:rsidRPr="00167CB8">
        <w:rPr>
          <w:i/>
          <w:iCs/>
        </w:rPr>
        <w:t>defined</w:t>
      </w:r>
      <w:r w:rsidRPr="00167CB8">
        <w:t xml:space="preserve"> and </w:t>
      </w:r>
      <w:r w:rsidRPr="00167CB8">
        <w:rPr>
          <w:i/>
          <w:iCs/>
        </w:rPr>
        <w:t>measured</w:t>
      </w:r>
      <w:r w:rsidRPr="00167CB8">
        <w:t xml:space="preserve"> differently according to the ‘level’ in question</w:t>
      </w:r>
      <w:r w:rsidR="00BA517C" w:rsidRPr="00167CB8">
        <w:t>.</w:t>
      </w:r>
      <w:r w:rsidRPr="00167CB8">
        <w:t xml:space="preserve"> </w:t>
      </w:r>
      <w:r w:rsidR="00BA517C" w:rsidRPr="00167CB8">
        <w:t>I</w:t>
      </w:r>
      <w:r w:rsidRPr="00167CB8">
        <w:t xml:space="preserve">n particular, </w:t>
      </w:r>
      <w:r w:rsidR="00BA517C" w:rsidRPr="00167CB8">
        <w:t xml:space="preserve">3 </w:t>
      </w:r>
      <w:r w:rsidRPr="00167CB8">
        <w:t>levels are important and should be considered separately: the nation, the industry and the enterprise.</w:t>
      </w:r>
    </w:p>
    <w:p w14:paraId="4BF6C427" w14:textId="77777777" w:rsidR="00F95011" w:rsidRPr="00167CB8" w:rsidRDefault="003A5F70" w:rsidP="00316AB0">
      <w:pPr>
        <w:pStyle w:val="ListBullet"/>
      </w:pPr>
      <w:r w:rsidRPr="00167CB8">
        <w:t xml:space="preserve">Productivity growth is </w:t>
      </w:r>
      <w:r w:rsidRPr="00167CB8">
        <w:rPr>
          <w:i/>
          <w:iCs/>
        </w:rPr>
        <w:t>generated</w:t>
      </w:r>
      <w:r w:rsidRPr="00167CB8">
        <w:t xml:space="preserve"> by many factors, only one of which is industrial relations:</w:t>
      </w:r>
    </w:p>
    <w:p w14:paraId="54CFDD9D" w14:textId="6CC01653" w:rsidR="003A5F70" w:rsidRPr="00167CB8" w:rsidRDefault="00842087" w:rsidP="00567FCA">
      <w:pPr>
        <w:pStyle w:val="ListBullet"/>
        <w:numPr>
          <w:ilvl w:val="0"/>
          <w:numId w:val="39"/>
        </w:numPr>
      </w:pPr>
      <w:r>
        <w:t xml:space="preserve">at national level, </w:t>
      </w:r>
      <w:r w:rsidR="003A5F70" w:rsidRPr="00167CB8">
        <w:t>industrial relations are widely accepted as less important than other factors, like technological innovation and skills</w:t>
      </w:r>
      <w:r w:rsidR="007E1C10">
        <w:t>;</w:t>
      </w:r>
    </w:p>
    <w:p w14:paraId="4575BAE2" w14:textId="0D677D12" w:rsidR="003A5F70" w:rsidRPr="00167CB8" w:rsidRDefault="007E1C10" w:rsidP="00567FCA">
      <w:pPr>
        <w:pStyle w:val="ListBullet"/>
        <w:numPr>
          <w:ilvl w:val="0"/>
          <w:numId w:val="39"/>
        </w:numPr>
      </w:pPr>
      <w:r>
        <w:t xml:space="preserve">at enterprise level, </w:t>
      </w:r>
      <w:r w:rsidR="003A5F70" w:rsidRPr="00167CB8">
        <w:t xml:space="preserve">industrial relations are more important, </w:t>
      </w:r>
      <w:r w:rsidR="002267B0">
        <w:t xml:space="preserve">especially </w:t>
      </w:r>
      <w:r w:rsidR="003A5F70" w:rsidRPr="00167CB8">
        <w:t xml:space="preserve">where the presence of unions or collective bargaining are found to be less important than the nature of the relationships between the parties. </w:t>
      </w:r>
    </w:p>
    <w:p w14:paraId="508F4AB0" w14:textId="53452B9D" w:rsidR="003A5F70" w:rsidRPr="00167CB8" w:rsidRDefault="003A5F70" w:rsidP="00BA517C">
      <w:pPr>
        <w:pStyle w:val="ListBullet"/>
      </w:pPr>
      <w:r w:rsidRPr="00167CB8">
        <w:t xml:space="preserve">The </w:t>
      </w:r>
      <w:r w:rsidRPr="00167CB8">
        <w:rPr>
          <w:i/>
          <w:iCs/>
        </w:rPr>
        <w:t>distribution</w:t>
      </w:r>
      <w:r w:rsidRPr="00167CB8">
        <w:t xml:space="preserve"> of gains generated by productivity growth – especially through wages</w:t>
      </w:r>
      <w:r w:rsidR="00EE5F12">
        <w:t xml:space="preserve"> and gender equality</w:t>
      </w:r>
      <w:r w:rsidRPr="00167CB8">
        <w:t xml:space="preserve"> – is vital and it is not just determined by market forces; rather, the balance of power between the parties and the impact of institutional arrangements (like collective bargaining) are important.</w:t>
      </w:r>
    </w:p>
    <w:p w14:paraId="5CB3FB5B" w14:textId="2CCB13FB" w:rsidR="001F0284" w:rsidRPr="0023137B" w:rsidRDefault="00324093" w:rsidP="00B92C80">
      <w:pPr>
        <w:pStyle w:val="ListBullet"/>
        <w:spacing w:after="160"/>
        <w:rPr>
          <w:lang w:val="en-US"/>
        </w:rPr>
      </w:pPr>
      <w:r w:rsidRPr="00167CB8">
        <w:t>The key message i</w:t>
      </w:r>
      <w:r w:rsidR="00EE5F12">
        <w:t>s</w:t>
      </w:r>
      <w:r w:rsidRPr="00167CB8">
        <w:t xml:space="preserve"> that collective bargaining should focus on both the generation of productivity growth and the distribution of productivity growth, in combination. One without the other will not be effective.</w:t>
      </w:r>
      <w:r w:rsidR="001F0284" w:rsidRPr="0023137B">
        <w:rPr>
          <w:lang w:val="en-US"/>
        </w:rPr>
        <w:br w:type="page"/>
      </w:r>
    </w:p>
    <w:p w14:paraId="2590F1A5" w14:textId="2B918D7F" w:rsidR="007A6A1A" w:rsidRPr="00167CB8" w:rsidRDefault="007A6A1A" w:rsidP="00650687">
      <w:pPr>
        <w:pStyle w:val="Heading2"/>
      </w:pPr>
      <w:bookmarkStart w:id="946" w:name="_Toc189260188"/>
      <w:bookmarkStart w:id="947" w:name="_Toc189393694"/>
      <w:r w:rsidRPr="00167CB8">
        <w:lastRenderedPageBreak/>
        <w:t>Appendix 5 – Additional tables</w:t>
      </w:r>
      <w:bookmarkEnd w:id="946"/>
      <w:bookmarkEnd w:id="947"/>
    </w:p>
    <w:p w14:paraId="4492FFF6" w14:textId="1B42906C" w:rsidR="007A6A1A" w:rsidRPr="00167CB8" w:rsidRDefault="007A6A1A" w:rsidP="00470AB9">
      <w:pPr>
        <w:pStyle w:val="Caption"/>
      </w:pPr>
      <w:bookmarkStart w:id="948" w:name="_Toc189310894"/>
      <w:r w:rsidRPr="00167CB8">
        <w:t>Table</w:t>
      </w:r>
      <w:r w:rsidR="00856E20" w:rsidRPr="00167CB8">
        <w:t xml:space="preserve"> 65</w:t>
      </w:r>
      <w:r w:rsidRPr="00167CB8">
        <w:t>: Federal Court proceedings commenced by the regulator</w:t>
      </w:r>
      <w:bookmarkEnd w:id="948"/>
    </w:p>
    <w:tbl>
      <w:tblPr>
        <w:tblW w:w="5000" w:type="pct"/>
        <w:tblLook w:val="04A0" w:firstRow="1" w:lastRow="0" w:firstColumn="1" w:lastColumn="0" w:noHBand="0" w:noVBand="1"/>
      </w:tblPr>
      <w:tblGrid>
        <w:gridCol w:w="1552"/>
        <w:gridCol w:w="3656"/>
        <w:gridCol w:w="4080"/>
      </w:tblGrid>
      <w:tr w:rsidR="007A6A1A" w:rsidRPr="00167CB8" w14:paraId="34720E83" w14:textId="77777777">
        <w:trPr>
          <w:trHeight w:val="290"/>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262F9" w14:textId="5B780CB8"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r w:rsidR="00C079ED" w:rsidRPr="00167CB8">
              <w:rPr>
                <w:rFonts w:eastAsia="Times New Roman" w:cs="Times New Roman"/>
                <w:color w:val="000000"/>
                <w:sz w:val="16"/>
                <w:szCs w:val="16"/>
                <w:lang w:eastAsia="en-AU"/>
              </w:rPr>
              <w:t>c</w:t>
            </w:r>
            <w:r w:rsidRPr="00167CB8">
              <w:rPr>
                <w:rFonts w:eastAsia="Times New Roman" w:cs="Times New Roman"/>
                <w:color w:val="000000"/>
                <w:sz w:val="16"/>
                <w:szCs w:val="16"/>
                <w:lang w:eastAsia="en-AU"/>
              </w:rPr>
              <w:t>urrent</w:t>
            </w:r>
          </w:p>
        </w:tc>
        <w:tc>
          <w:tcPr>
            <w:tcW w:w="2012" w:type="pct"/>
            <w:tcBorders>
              <w:top w:val="single" w:sz="4" w:space="0" w:color="auto"/>
              <w:left w:val="nil"/>
              <w:bottom w:val="single" w:sz="4" w:space="0" w:color="auto"/>
              <w:right w:val="single" w:sz="4" w:space="0" w:color="auto"/>
            </w:tcBorders>
            <w:shd w:val="clear" w:color="auto" w:fill="auto"/>
            <w:noWrap/>
            <w:vAlign w:val="bottom"/>
            <w:hideMark/>
          </w:tcPr>
          <w:p w14:paraId="7D4BC5CB"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 </w:t>
            </w:r>
          </w:p>
        </w:tc>
        <w:tc>
          <w:tcPr>
            <w:tcW w:w="2109" w:type="pct"/>
            <w:tcBorders>
              <w:top w:val="single" w:sz="4" w:space="0" w:color="auto"/>
              <w:left w:val="nil"/>
              <w:bottom w:val="single" w:sz="4" w:space="0" w:color="auto"/>
              <w:right w:val="single" w:sz="4" w:space="0" w:color="auto"/>
            </w:tcBorders>
            <w:shd w:val="clear" w:color="auto" w:fill="auto"/>
            <w:noWrap/>
            <w:vAlign w:val="bottom"/>
            <w:hideMark/>
          </w:tcPr>
          <w:p w14:paraId="5EEFE6B1"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Initiated by FWC (and FWA) / ROC</w:t>
            </w:r>
          </w:p>
        </w:tc>
      </w:tr>
      <w:tr w:rsidR="007A6A1A" w:rsidRPr="00167CB8" w14:paraId="2E13A57F" w14:textId="77777777" w:rsidTr="00C038EA">
        <w:trPr>
          <w:trHeight w:val="29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16A374E2"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Current</w:t>
            </w:r>
          </w:p>
        </w:tc>
        <w:tc>
          <w:tcPr>
            <w:tcW w:w="2012" w:type="pct"/>
            <w:tcBorders>
              <w:top w:val="nil"/>
              <w:left w:val="nil"/>
              <w:bottom w:val="single" w:sz="4" w:space="0" w:color="auto"/>
              <w:right w:val="single" w:sz="4" w:space="0" w:color="auto"/>
            </w:tcBorders>
            <w:shd w:val="clear" w:color="auto" w:fill="auto"/>
            <w:vAlign w:val="center"/>
            <w:hideMark/>
          </w:tcPr>
          <w:p w14:paraId="17C7CBE9" w14:textId="77777777" w:rsidR="007A6A1A" w:rsidRPr="00167CB8" w:rsidRDefault="007A6A1A" w:rsidP="007A6A1A">
            <w:pPr>
              <w:spacing w:after="0"/>
              <w:rPr>
                <w:rFonts w:eastAsia="Times New Roman" w:cs="Times New Roman"/>
                <w:i/>
                <w:iCs/>
                <w:sz w:val="16"/>
                <w:szCs w:val="16"/>
                <w:lang w:eastAsia="en-AU"/>
              </w:rPr>
            </w:pPr>
            <w:r w:rsidRPr="00167CB8">
              <w:rPr>
                <w:rFonts w:eastAsia="Times New Roman" w:cs="Times New Roman"/>
                <w:i/>
                <w:iCs/>
                <w:sz w:val="16"/>
                <w:szCs w:val="16"/>
                <w:lang w:eastAsia="en-AU"/>
              </w:rPr>
              <w:t>General Manager of the Fair Work Commission v Diana Asmar and Others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66E659E5"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4DE7B1BA"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42C0C3EA"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7828CC7C"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General Manager of the Fair Work Commission v Construction Forestry and Maritime Employees Union &amp; Ors</w:t>
            </w:r>
            <w:r w:rsidRPr="00167CB8">
              <w:rPr>
                <w:rFonts w:eastAsia="Times New Roman" w:cs="Times New Roman"/>
                <w:sz w:val="16"/>
                <w:szCs w:val="16"/>
                <w:lang w:eastAsia="en-AU"/>
              </w:rPr>
              <w:t> – commenced 2 August 2024, concluded 4 September 2024</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5039A124"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6C8DDC5E"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4C9A09A1"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4C705641"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General Manager of the Fair Work Commission v Stephen Smyth [QUD411/2021]</w:t>
            </w:r>
            <w:r w:rsidRPr="00167CB8">
              <w:rPr>
                <w:rFonts w:eastAsia="Times New Roman" w:cs="Times New Roman"/>
                <w:sz w:val="16"/>
                <w:szCs w:val="16"/>
                <w:lang w:eastAsia="en-AU"/>
              </w:rPr>
              <w:t xml:space="preserve"> – commenced 30 November 2021; judgment delivered 28 March 2024</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0CA9E39E"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 (commenced between 1 May 2017 &amp; 6 March 2023)</w:t>
            </w:r>
          </w:p>
        </w:tc>
      </w:tr>
      <w:tr w:rsidR="007A6A1A" w:rsidRPr="00167CB8" w14:paraId="283BFA7F"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194BF64A"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12343D57"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General Manager of the Fair Work Commission v The Australian Workers’ Union</w:t>
            </w:r>
            <w:r w:rsidRPr="00167CB8">
              <w:rPr>
                <w:rFonts w:eastAsia="Times New Roman" w:cs="Times New Roman"/>
                <w:sz w:val="16"/>
                <w:szCs w:val="16"/>
                <w:lang w:eastAsia="en-AU"/>
              </w:rPr>
              <w:t> [NSD992/2022] – commenced 17 November 2022; judgment delivered 21 December 2023</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7921FEE1"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 (commenced between 1 May 2017 &amp; 6 March 2023)</w:t>
            </w:r>
          </w:p>
        </w:tc>
      </w:tr>
      <w:tr w:rsidR="007A6A1A" w:rsidRPr="00167CB8" w14:paraId="3D8034AE" w14:textId="77777777" w:rsidTr="00C038EA">
        <w:trPr>
          <w:trHeight w:val="115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20059E40"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1294B500"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Registered Organisations Commissioner v Communications, Electrical, Electronic, Energy, Information, Postal, Plumbing and Allied Services Union of Australia</w:t>
            </w:r>
            <w:r w:rsidRPr="00167CB8">
              <w:rPr>
                <w:rFonts w:eastAsia="Times New Roman" w:cs="Times New Roman"/>
                <w:sz w:val="16"/>
                <w:szCs w:val="16"/>
                <w:lang w:eastAsia="en-AU"/>
              </w:rPr>
              <w:t> </w:t>
            </w:r>
            <w:r w:rsidRPr="00167CB8">
              <w:rPr>
                <w:rFonts w:eastAsia="Times New Roman" w:cs="Arial"/>
                <w:sz w:val="16"/>
                <w:szCs w:val="16"/>
                <w:lang w:eastAsia="en-AU"/>
              </w:rPr>
              <w:t> [NSD802/2018] – commenced 10 May 2018; judgment delivered 11 February 2020. Appeal: </w:t>
            </w:r>
            <w:r w:rsidRPr="00167CB8">
              <w:rPr>
                <w:rFonts w:eastAsia="Times New Roman" w:cs="Times New Roman"/>
                <w:i/>
                <w:iCs/>
                <w:sz w:val="16"/>
                <w:szCs w:val="16"/>
                <w:lang w:eastAsia="en-AU"/>
              </w:rPr>
              <w:t>Communications, Electrical, Electronic, Energy, Information, Postal, Plumbing and Allied Services Union of Australia v Registered Organisations Commissioner</w:t>
            </w:r>
            <w:r w:rsidRPr="00167CB8">
              <w:rPr>
                <w:rFonts w:eastAsia="Times New Roman" w:cs="Arial"/>
                <w:i/>
                <w:iCs/>
                <w:sz w:val="16"/>
                <w:szCs w:val="16"/>
                <w:lang w:eastAsia="en-AU"/>
              </w:rPr>
              <w:t> </w:t>
            </w:r>
            <w:r w:rsidRPr="00167CB8">
              <w:rPr>
                <w:rFonts w:eastAsia="Times New Roman" w:cs="Arial"/>
                <w:sz w:val="16"/>
                <w:szCs w:val="16"/>
                <w:lang w:eastAsia="en-AU"/>
              </w:rPr>
              <w:t>[NSD338/2020] – commenced 23 March 2020; judgment delivered 22 December 2020</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6DF079DE"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 (commenced between 1 May 2017 &amp; 6 March 2023)</w:t>
            </w:r>
          </w:p>
        </w:tc>
      </w:tr>
      <w:tr w:rsidR="007A6A1A" w:rsidRPr="00167CB8" w14:paraId="42CE9370" w14:textId="77777777" w:rsidTr="00C038EA">
        <w:trPr>
          <w:trHeight w:val="87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7A71DAF0"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7CE92052" w14:textId="278CD02D"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Registered Organisations Commissioner v The Australian Workers</w:t>
            </w:r>
            <w:r w:rsidR="00C079ED" w:rsidRPr="00167CB8">
              <w:rPr>
                <w:rFonts w:eastAsia="Times New Roman" w:cs="Times New Roman"/>
                <w:i/>
                <w:iCs/>
                <w:sz w:val="16"/>
                <w:szCs w:val="16"/>
                <w:lang w:eastAsia="en-AU"/>
              </w:rPr>
              <w:t>’</w:t>
            </w:r>
            <w:r w:rsidRPr="00167CB8">
              <w:rPr>
                <w:rFonts w:eastAsia="Times New Roman" w:cs="Times New Roman"/>
                <w:i/>
                <w:iCs/>
                <w:sz w:val="16"/>
                <w:szCs w:val="16"/>
                <w:lang w:eastAsia="en-AU"/>
              </w:rPr>
              <w:t xml:space="preserve"> Union &amp; Anor</w:t>
            </w:r>
            <w:r w:rsidRPr="00167CB8">
              <w:rPr>
                <w:rFonts w:eastAsia="Times New Roman" w:cs="Times New Roman"/>
                <w:sz w:val="16"/>
                <w:szCs w:val="16"/>
                <w:lang w:eastAsia="en-AU"/>
              </w:rPr>
              <w:t> [VID583/2018] – commenced 16 May 2018; judgment delivered against first respondent on 12 August 2020 and second respondent 12 November 2019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1689E2CD"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 (commenced between 1 May 2017 &amp; 6 March 2023)</w:t>
            </w:r>
          </w:p>
        </w:tc>
      </w:tr>
      <w:tr w:rsidR="007A6A1A" w:rsidRPr="00167CB8" w14:paraId="6BCBDD80"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09FAF5AD"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7BAF93FC"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Registered Organisations Commissioner v Australian Hotels Association</w:t>
            </w:r>
            <w:r w:rsidRPr="00167CB8">
              <w:rPr>
                <w:rFonts w:eastAsia="Times New Roman" w:cs="Times New Roman"/>
                <w:sz w:val="16"/>
                <w:szCs w:val="16"/>
                <w:lang w:eastAsia="en-AU"/>
              </w:rPr>
              <w:t> [VIC1442/2018] – commenced 13 November 2018; judgment delivered 17 September 2019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19CD15D9"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ROC (commenced between 1 May 2017 &amp; 6 March 2023)</w:t>
            </w:r>
          </w:p>
        </w:tc>
      </w:tr>
      <w:tr w:rsidR="007A6A1A" w:rsidRPr="00167CB8" w14:paraId="2F4B71A4" w14:textId="77777777" w:rsidTr="00C038EA">
        <w:trPr>
          <w:trHeight w:val="87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06FD7622"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44A9A8EE"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Registered Organisations Commissioner v Australian Nursing and Midwifery Federation &amp; Anor</w:t>
            </w:r>
            <w:r w:rsidRPr="00167CB8">
              <w:rPr>
                <w:rFonts w:eastAsia="Times New Roman" w:cs="Times New Roman"/>
                <w:sz w:val="16"/>
                <w:szCs w:val="16"/>
                <w:lang w:eastAsia="en-AU"/>
              </w:rPr>
              <w:t> [WAD470/2015] – commenced 21 August 2015; judgment delivered on liability on 13 November 2018 and penalty on 14 December 2018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3BC27D3D"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208EBBF8" w14:textId="77777777" w:rsidTr="00C038EA">
        <w:trPr>
          <w:trHeight w:val="69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7C536A4E"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2722285A"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Registered Organisations Commissioner v Transport Workers Union</w:t>
            </w:r>
            <w:r w:rsidRPr="00167CB8">
              <w:rPr>
                <w:rFonts w:eastAsia="Times New Roman" w:cs="Arial"/>
                <w:sz w:val="16"/>
                <w:szCs w:val="16"/>
                <w:lang w:eastAsia="en-AU"/>
              </w:rPr>
              <w:t> [NSD2041/2016] – commenced 25 November 2016; judgment delivered 2 February 2018. Appeal: </w:t>
            </w:r>
            <w:r w:rsidRPr="00167CB8">
              <w:rPr>
                <w:rFonts w:eastAsia="Times New Roman" w:cs="Times New Roman"/>
                <w:i/>
                <w:iCs/>
                <w:sz w:val="16"/>
                <w:szCs w:val="16"/>
                <w:lang w:eastAsia="en-AU"/>
              </w:rPr>
              <w:t>Transport Workers Union of Australia v Registered Organisations Commissioner</w:t>
            </w:r>
            <w:r w:rsidRPr="00167CB8">
              <w:rPr>
                <w:rFonts w:eastAsia="Times New Roman" w:cs="Times New Roman"/>
                <w:sz w:val="16"/>
                <w:szCs w:val="16"/>
                <w:lang w:eastAsia="en-AU"/>
              </w:rPr>
              <w:t> </w:t>
            </w:r>
            <w:r w:rsidRPr="00167CB8">
              <w:rPr>
                <w:rFonts w:eastAsia="Times New Roman" w:cs="Arial"/>
                <w:sz w:val="16"/>
                <w:szCs w:val="16"/>
                <w:lang w:eastAsia="en-AU"/>
              </w:rPr>
              <w:t>[NSD232/2018] – judgment delivered 21 November 2018</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6472BB77"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664C459F"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1ECDD69D"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59AEFD61"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Registered Organisations Commissioner v Michael Mijatov </w:t>
            </w:r>
            <w:r w:rsidRPr="00167CB8">
              <w:rPr>
                <w:rFonts w:eastAsia="Times New Roman" w:cs="Times New Roman"/>
                <w:sz w:val="16"/>
                <w:szCs w:val="16"/>
                <w:lang w:eastAsia="en-AU"/>
              </w:rPr>
              <w:t>[NSD2181/2016] – commenced 19 December 2016 and concluded on 22 June 2018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293B62DB"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58278714"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1717CB57"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06E095A3"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General Manager of the Fair Work Commission v James McGiveron and Richard Burton</w:t>
            </w:r>
            <w:r w:rsidRPr="00167CB8">
              <w:rPr>
                <w:rFonts w:eastAsia="Times New Roman" w:cs="Times New Roman"/>
                <w:sz w:val="16"/>
                <w:szCs w:val="16"/>
                <w:lang w:eastAsia="en-AU"/>
              </w:rPr>
              <w:t> [WAD 363 of 2016] – commenced on 8 August 2016 and concluded on 21 April 2017</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70D93733"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68BB8B1C"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7F75E54D"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68EAAF69"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 xml:space="preserve">General Manager of Fair Work Australia v Musicians’ Union of Australia &amp; </w:t>
            </w:r>
            <w:r w:rsidRPr="00167CB8">
              <w:rPr>
                <w:rFonts w:eastAsia="Times New Roman" w:cs="Times New Roman"/>
                <w:i/>
                <w:iCs/>
                <w:sz w:val="16"/>
                <w:szCs w:val="16"/>
                <w:lang w:eastAsia="en-AU"/>
              </w:rPr>
              <w:lastRenderedPageBreak/>
              <w:t>Anor </w:t>
            </w:r>
            <w:r w:rsidRPr="00167CB8">
              <w:rPr>
                <w:rFonts w:eastAsia="Times New Roman" w:cs="Times New Roman"/>
                <w:sz w:val="16"/>
                <w:szCs w:val="16"/>
                <w:lang w:eastAsia="en-AU"/>
              </w:rPr>
              <w:t>[VID620/2014] – commenced 21 October 2014 and concluded on 30 March 2016</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0E58337A"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lastRenderedPageBreak/>
              <w:t>FWC</w:t>
            </w:r>
          </w:p>
        </w:tc>
      </w:tr>
      <w:tr w:rsidR="007A6A1A" w:rsidRPr="00167CB8" w14:paraId="52478D34"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7DD4AF6C"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635AC4E8"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i/>
                <w:iCs/>
                <w:sz w:val="16"/>
                <w:szCs w:val="16"/>
                <w:lang w:eastAsia="en-AU"/>
              </w:rPr>
              <w:t>General Manager of Fair Work Australia v Craig Thomson External</w:t>
            </w:r>
            <w:r w:rsidRPr="00167CB8">
              <w:rPr>
                <w:rFonts w:eastAsia="Times New Roman" w:cs="Times New Roman"/>
                <w:sz w:val="16"/>
                <w:szCs w:val="16"/>
                <w:lang w:eastAsia="en-AU"/>
              </w:rPr>
              <w:t> [VID 798/2012] – commenced 15 October 2012 and concluded on 15 December 2015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2C40F018"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3F87CA48" w14:textId="77777777" w:rsidTr="00C038EA">
        <w:trPr>
          <w:trHeight w:val="58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1E00DE7B"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2263DF50" w14:textId="77777777" w:rsidR="007A6A1A" w:rsidRPr="00167CB8" w:rsidRDefault="007A6A1A" w:rsidP="007A6A1A">
            <w:pPr>
              <w:spacing w:after="0"/>
              <w:rPr>
                <w:rFonts w:eastAsia="Times New Roman" w:cs="Times New Roman"/>
                <w:sz w:val="16"/>
                <w:szCs w:val="16"/>
                <w:lang w:eastAsia="en-AU"/>
              </w:rPr>
            </w:pPr>
            <w:r w:rsidRPr="00167CB8">
              <w:rPr>
                <w:rFonts w:eastAsia="Times New Roman" w:cs="Times New Roman"/>
                <w:sz w:val="16"/>
                <w:szCs w:val="16"/>
                <w:lang w:eastAsia="en-AU"/>
              </w:rPr>
              <w:t>G</w:t>
            </w:r>
            <w:r w:rsidRPr="00167CB8">
              <w:rPr>
                <w:rFonts w:eastAsia="Times New Roman" w:cs="Times New Roman"/>
                <w:i/>
                <w:iCs/>
                <w:sz w:val="16"/>
                <w:szCs w:val="16"/>
                <w:lang w:eastAsia="en-AU"/>
              </w:rPr>
              <w:t>eneral Manager of Fair Work Australia v Health Services Union &amp; Ors</w:t>
            </w:r>
            <w:r w:rsidRPr="00167CB8">
              <w:rPr>
                <w:rFonts w:eastAsia="Times New Roman" w:cs="Times New Roman"/>
                <w:sz w:val="16"/>
                <w:szCs w:val="16"/>
                <w:lang w:eastAsia="en-AU"/>
              </w:rPr>
              <w:t> [VID 380/2012] – commenced 23 May 2012 and concluded on 10 September 2014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6C7AD69A"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r w:rsidR="007A6A1A" w:rsidRPr="00167CB8" w14:paraId="5A247462" w14:textId="77777777" w:rsidTr="00C038EA">
        <w:trPr>
          <w:trHeight w:val="460"/>
        </w:trPr>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5767FB34"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Completed</w:t>
            </w:r>
          </w:p>
        </w:tc>
        <w:tc>
          <w:tcPr>
            <w:tcW w:w="2012" w:type="pct"/>
            <w:tcBorders>
              <w:top w:val="nil"/>
              <w:left w:val="nil"/>
              <w:bottom w:val="single" w:sz="4" w:space="0" w:color="auto"/>
              <w:right w:val="single" w:sz="4" w:space="0" w:color="auto"/>
            </w:tcBorders>
            <w:shd w:val="clear" w:color="auto" w:fill="auto"/>
            <w:vAlign w:val="center"/>
            <w:hideMark/>
          </w:tcPr>
          <w:p w14:paraId="4B1CEBEE" w14:textId="77777777" w:rsidR="007A6A1A" w:rsidRPr="00167CB8" w:rsidRDefault="007A6A1A" w:rsidP="007A6A1A">
            <w:pPr>
              <w:spacing w:after="0"/>
              <w:rPr>
                <w:rFonts w:eastAsia="Times New Roman" w:cs="Arial"/>
                <w:color w:val="000000"/>
                <w:sz w:val="16"/>
                <w:szCs w:val="16"/>
                <w:lang w:eastAsia="en-AU"/>
              </w:rPr>
            </w:pPr>
            <w:r w:rsidRPr="00167CB8">
              <w:rPr>
                <w:rFonts w:eastAsia="Times New Roman" w:cs="Arial"/>
                <w:i/>
                <w:iCs/>
                <w:color w:val="000000"/>
                <w:sz w:val="16"/>
                <w:szCs w:val="16"/>
                <w:lang w:eastAsia="en-AU"/>
              </w:rPr>
              <w:t>General Manager of Fair Work Australia v Health Services Union</w:t>
            </w:r>
            <w:r w:rsidRPr="00167CB8">
              <w:rPr>
                <w:rFonts w:eastAsia="Times New Roman" w:cs="Arial"/>
                <w:color w:val="000000"/>
                <w:sz w:val="16"/>
                <w:szCs w:val="16"/>
                <w:lang w:eastAsia="en-AU"/>
              </w:rPr>
              <w:t xml:space="preserve"> [VID1128/2012] – commenced 21 December 2012 and concluded 4 December 2013 </w:t>
            </w:r>
          </w:p>
        </w:tc>
        <w:tc>
          <w:tcPr>
            <w:tcW w:w="2109" w:type="pct"/>
            <w:tcBorders>
              <w:top w:val="nil"/>
              <w:left w:val="nil"/>
              <w:bottom w:val="single" w:sz="4" w:space="0" w:color="auto"/>
              <w:right w:val="single" w:sz="4" w:space="0" w:color="auto"/>
            </w:tcBorders>
            <w:shd w:val="clear" w:color="auto" w:fill="F2F2F2" w:themeFill="background1" w:themeFillShade="F2"/>
            <w:noWrap/>
            <w:vAlign w:val="bottom"/>
            <w:hideMark/>
          </w:tcPr>
          <w:p w14:paraId="2F93F4D6" w14:textId="77777777" w:rsidR="007A6A1A" w:rsidRPr="00167CB8" w:rsidRDefault="007A6A1A" w:rsidP="007A6A1A">
            <w:pPr>
              <w:spacing w:after="0"/>
              <w:rPr>
                <w:rFonts w:eastAsia="Times New Roman" w:cs="Times New Roman"/>
                <w:color w:val="000000"/>
                <w:sz w:val="16"/>
                <w:szCs w:val="16"/>
                <w:lang w:eastAsia="en-AU"/>
              </w:rPr>
            </w:pPr>
            <w:r w:rsidRPr="00167CB8">
              <w:rPr>
                <w:rFonts w:eastAsia="Times New Roman" w:cs="Times New Roman"/>
                <w:color w:val="000000"/>
                <w:sz w:val="16"/>
                <w:szCs w:val="16"/>
                <w:lang w:eastAsia="en-AU"/>
              </w:rPr>
              <w:t>FWC</w:t>
            </w:r>
          </w:p>
        </w:tc>
      </w:tr>
    </w:tbl>
    <w:p w14:paraId="35DD9DDB" w14:textId="1712CC64" w:rsidR="00C079ED" w:rsidRPr="00167CB8" w:rsidRDefault="00C079ED" w:rsidP="00C079ED">
      <w:pPr>
        <w:pStyle w:val="Source"/>
        <w:rPr>
          <w:b/>
          <w:bCs/>
        </w:rPr>
      </w:pPr>
      <w:r w:rsidRPr="00167CB8">
        <w:rPr>
          <w:b/>
          <w:bCs/>
        </w:rPr>
        <w:t xml:space="preserve">Note: </w:t>
      </w:r>
      <w:r w:rsidRPr="00167CB8">
        <w:t>FWC: Fair Work Commission; ROC: Registered Organisations Commission.</w:t>
      </w:r>
    </w:p>
    <w:p w14:paraId="45DD238D" w14:textId="69F5380B" w:rsidR="007A6A1A" w:rsidRPr="00167CB8" w:rsidRDefault="00DA1FB3" w:rsidP="007A6A1A">
      <w:r w:rsidRPr="00167CB8">
        <w:rPr>
          <w:b/>
          <w:bCs/>
          <w:sz w:val="18"/>
        </w:rPr>
        <w:t xml:space="preserve">Source: </w:t>
      </w:r>
      <w:r w:rsidRPr="00167CB8">
        <w:rPr>
          <w:sz w:val="18"/>
        </w:rPr>
        <w:t>Table prepared using data from FWC website.</w:t>
      </w:r>
      <w:r w:rsidR="007A6A1A" w:rsidRPr="00167CB8">
        <w:br w:type="page"/>
      </w:r>
    </w:p>
    <w:p w14:paraId="4FA9B7E8" w14:textId="4D830162" w:rsidR="007A6A1A" w:rsidRPr="00167CB8" w:rsidRDefault="007A6A1A" w:rsidP="00650687">
      <w:pPr>
        <w:pStyle w:val="Heading2"/>
      </w:pPr>
      <w:bookmarkStart w:id="949" w:name="_Toc189260189"/>
      <w:bookmarkStart w:id="950" w:name="_Toc189393695"/>
      <w:r w:rsidRPr="00167CB8">
        <w:lastRenderedPageBreak/>
        <w:t>Appendix 6 – Acronyms and abbreviations</w:t>
      </w:r>
      <w:bookmarkEnd w:id="949"/>
      <w:bookmarkEnd w:id="950"/>
    </w:p>
    <w:tbl>
      <w:tblPr>
        <w:tblStyle w:val="Glossary"/>
        <w:tblW w:w="9204" w:type="dxa"/>
        <w:tblLook w:val="0420" w:firstRow="1" w:lastRow="0" w:firstColumn="0" w:lastColumn="0" w:noHBand="0" w:noVBand="1"/>
      </w:tblPr>
      <w:tblGrid>
        <w:gridCol w:w="2040"/>
        <w:gridCol w:w="7164"/>
      </w:tblGrid>
      <w:tr w:rsidR="007A6A1A" w:rsidRPr="00167CB8" w14:paraId="7C0AA5BA" w14:textId="77777777">
        <w:trPr>
          <w:cnfStyle w:val="100000000000" w:firstRow="1" w:lastRow="0" w:firstColumn="0" w:lastColumn="0" w:oddVBand="0" w:evenVBand="0" w:oddHBand="0" w:evenHBand="0" w:firstRowFirstColumn="0" w:firstRowLastColumn="0" w:lastRowFirstColumn="0" w:lastRowLastColumn="0"/>
          <w:trHeight w:val="439"/>
        </w:trPr>
        <w:tc>
          <w:tcPr>
            <w:tcW w:w="2040" w:type="dxa"/>
            <w:shd w:val="clear" w:color="auto" w:fill="0D2C6C" w:themeFill="text1"/>
          </w:tcPr>
          <w:p w14:paraId="3D011766" w14:textId="3FA05CE8" w:rsidR="007A6A1A" w:rsidRPr="00167CB8" w:rsidRDefault="007A6A1A" w:rsidP="007A6A1A">
            <w:pPr>
              <w:spacing w:before="12" w:after="0" w:line="259" w:lineRule="auto"/>
              <w:rPr>
                <w:szCs w:val="18"/>
              </w:rPr>
            </w:pPr>
            <w:r w:rsidRPr="00167CB8">
              <w:rPr>
                <w:szCs w:val="18"/>
              </w:rPr>
              <w:t>Term</w:t>
            </w:r>
          </w:p>
        </w:tc>
        <w:tc>
          <w:tcPr>
            <w:tcW w:w="7164" w:type="dxa"/>
            <w:shd w:val="clear" w:color="auto" w:fill="0D2C6C" w:themeFill="text1"/>
          </w:tcPr>
          <w:p w14:paraId="6DEB6EE8" w14:textId="77777777" w:rsidR="007A6A1A" w:rsidRPr="00167CB8" w:rsidRDefault="007A6A1A" w:rsidP="007A6A1A">
            <w:pPr>
              <w:spacing w:before="12" w:after="0" w:line="259" w:lineRule="auto"/>
              <w:rPr>
                <w:szCs w:val="18"/>
              </w:rPr>
            </w:pPr>
            <w:r w:rsidRPr="00167CB8">
              <w:rPr>
                <w:szCs w:val="18"/>
              </w:rPr>
              <w:t>Definition</w:t>
            </w:r>
          </w:p>
        </w:tc>
      </w:tr>
      <w:tr w:rsidR="007A6A1A" w:rsidRPr="00167CB8" w14:paraId="7344AB81" w14:textId="77777777">
        <w:trPr>
          <w:trHeight w:val="506"/>
        </w:trPr>
        <w:tc>
          <w:tcPr>
            <w:tcW w:w="2040" w:type="dxa"/>
          </w:tcPr>
          <w:p w14:paraId="3F84BCB1" w14:textId="42E17894" w:rsidR="007A6A1A" w:rsidRPr="00167CB8" w:rsidRDefault="002B01F5" w:rsidP="007A6A1A">
            <w:pPr>
              <w:spacing w:after="160" w:line="259" w:lineRule="auto"/>
              <w:rPr>
                <w:bCs/>
                <w:iCs/>
                <w:szCs w:val="18"/>
              </w:rPr>
            </w:pPr>
            <w:r w:rsidRPr="00167CB8">
              <w:rPr>
                <w:bCs/>
                <w:iCs/>
                <w:szCs w:val="18"/>
              </w:rPr>
              <w:t>Fair Work Act</w:t>
            </w:r>
          </w:p>
        </w:tc>
        <w:tc>
          <w:tcPr>
            <w:tcW w:w="7164" w:type="dxa"/>
          </w:tcPr>
          <w:p w14:paraId="6247B056" w14:textId="0497E869" w:rsidR="007A6A1A" w:rsidRPr="00167CB8" w:rsidRDefault="002B01F5" w:rsidP="007A6A1A">
            <w:pPr>
              <w:spacing w:after="160" w:line="259" w:lineRule="auto"/>
              <w:rPr>
                <w:szCs w:val="18"/>
              </w:rPr>
            </w:pPr>
            <w:r w:rsidRPr="00167CB8">
              <w:rPr>
                <w:i/>
                <w:szCs w:val="18"/>
              </w:rPr>
              <w:t xml:space="preserve">Fair Work Act 2009 </w:t>
            </w:r>
            <w:r w:rsidRPr="00167CB8">
              <w:rPr>
                <w:szCs w:val="18"/>
              </w:rPr>
              <w:t>(Cth)</w:t>
            </w:r>
          </w:p>
        </w:tc>
      </w:tr>
      <w:tr w:rsidR="007A6A1A" w:rsidRPr="00167CB8" w14:paraId="1CCC50A0" w14:textId="77777777">
        <w:tc>
          <w:tcPr>
            <w:tcW w:w="2040" w:type="dxa"/>
          </w:tcPr>
          <w:p w14:paraId="2C747305" w14:textId="042D4576" w:rsidR="007A6A1A" w:rsidRPr="00167CB8" w:rsidRDefault="002B01F5" w:rsidP="007A6A1A">
            <w:pPr>
              <w:spacing w:after="160" w:line="259" w:lineRule="auto"/>
              <w:rPr>
                <w:bCs/>
                <w:iCs/>
                <w:szCs w:val="18"/>
              </w:rPr>
            </w:pPr>
            <w:r w:rsidRPr="00167CB8">
              <w:rPr>
                <w:bCs/>
                <w:iCs/>
                <w:szCs w:val="18"/>
              </w:rPr>
              <w:t>Secure Jobs, Better Pay amendments</w:t>
            </w:r>
          </w:p>
        </w:tc>
        <w:tc>
          <w:tcPr>
            <w:tcW w:w="7164" w:type="dxa"/>
          </w:tcPr>
          <w:p w14:paraId="0A6D43BD" w14:textId="24DB5ABF" w:rsidR="007A6A1A" w:rsidRPr="00167CB8" w:rsidRDefault="002B01F5" w:rsidP="007A6A1A">
            <w:pPr>
              <w:spacing w:after="160" w:line="259" w:lineRule="auto"/>
            </w:pPr>
            <w:r w:rsidRPr="00167CB8">
              <w:rPr>
                <w:i/>
                <w:iCs/>
              </w:rPr>
              <w:t xml:space="preserve">Fair Work Legislation Amendment (Secure Jobs, Better Pay) Act 2022 </w:t>
            </w:r>
            <w:r w:rsidRPr="00167CB8">
              <w:t>(Cth)</w:t>
            </w:r>
          </w:p>
        </w:tc>
      </w:tr>
      <w:tr w:rsidR="007A6A1A" w:rsidRPr="00167CB8" w14:paraId="4FFF136C" w14:textId="77777777">
        <w:tc>
          <w:tcPr>
            <w:tcW w:w="2040" w:type="dxa"/>
          </w:tcPr>
          <w:p w14:paraId="653DCEFB" w14:textId="0ACD68CA" w:rsidR="007A6A1A" w:rsidRPr="00167CB8" w:rsidRDefault="002B01F5" w:rsidP="007A6A1A">
            <w:pPr>
              <w:spacing w:after="160" w:line="259" w:lineRule="auto"/>
              <w:rPr>
                <w:bCs/>
                <w:iCs/>
                <w:szCs w:val="18"/>
              </w:rPr>
            </w:pPr>
            <w:r w:rsidRPr="00167CB8">
              <w:rPr>
                <w:bCs/>
                <w:iCs/>
                <w:szCs w:val="18"/>
              </w:rPr>
              <w:t>Secure Jobs, Better Pay Act</w:t>
            </w:r>
          </w:p>
        </w:tc>
        <w:tc>
          <w:tcPr>
            <w:tcW w:w="7164" w:type="dxa"/>
          </w:tcPr>
          <w:p w14:paraId="0F3A709E" w14:textId="38C82A3E" w:rsidR="007A6A1A" w:rsidRPr="00167CB8" w:rsidRDefault="002B01F5" w:rsidP="007A6A1A">
            <w:pPr>
              <w:spacing w:after="160" w:line="259" w:lineRule="auto"/>
            </w:pPr>
            <w:r w:rsidRPr="00167CB8">
              <w:rPr>
                <w:i/>
                <w:iCs/>
              </w:rPr>
              <w:t xml:space="preserve">Fair Work Legislation Amendment (Secure Jobs, Better Pay) Act 2022 </w:t>
            </w:r>
            <w:r w:rsidRPr="00167CB8">
              <w:t>(Cth)</w:t>
            </w:r>
          </w:p>
        </w:tc>
      </w:tr>
      <w:tr w:rsidR="007A6A1A" w:rsidRPr="00167CB8" w14:paraId="041A36E0" w14:textId="77777777">
        <w:tc>
          <w:tcPr>
            <w:tcW w:w="2040" w:type="dxa"/>
          </w:tcPr>
          <w:p w14:paraId="0798EEA7" w14:textId="1AD32C3A" w:rsidR="007A6A1A" w:rsidRPr="00167CB8" w:rsidRDefault="002B01F5" w:rsidP="007A6A1A">
            <w:pPr>
              <w:spacing w:after="160" w:line="259" w:lineRule="auto"/>
              <w:rPr>
                <w:bCs/>
                <w:iCs/>
                <w:szCs w:val="18"/>
              </w:rPr>
            </w:pPr>
            <w:r w:rsidRPr="00167CB8">
              <w:rPr>
                <w:bCs/>
                <w:iCs/>
                <w:szCs w:val="18"/>
              </w:rPr>
              <w:t>Secure Jobs, Better Pay Bill</w:t>
            </w:r>
          </w:p>
        </w:tc>
        <w:tc>
          <w:tcPr>
            <w:tcW w:w="7164" w:type="dxa"/>
          </w:tcPr>
          <w:p w14:paraId="11083D09" w14:textId="69A85A51" w:rsidR="007A6A1A" w:rsidRPr="00167CB8" w:rsidRDefault="006979FE" w:rsidP="007A6A1A">
            <w:pPr>
              <w:spacing w:after="160" w:line="259" w:lineRule="auto"/>
            </w:pPr>
            <w:r w:rsidRPr="00167CB8">
              <w:rPr>
                <w:i/>
                <w:iCs/>
              </w:rPr>
              <w:t xml:space="preserve">Fair Work Legislation Amendment (Secure Jobs, Better Pay) Bill 2022 </w:t>
            </w:r>
            <w:r w:rsidRPr="00167CB8">
              <w:t>(Cth)</w:t>
            </w:r>
          </w:p>
        </w:tc>
      </w:tr>
      <w:tr w:rsidR="007A6A1A" w:rsidRPr="00167CB8" w14:paraId="5693335F" w14:textId="77777777">
        <w:tc>
          <w:tcPr>
            <w:tcW w:w="2040" w:type="dxa"/>
          </w:tcPr>
          <w:p w14:paraId="7CB7D01E" w14:textId="7DFE7F55" w:rsidR="007A6A1A" w:rsidRPr="00167CB8" w:rsidRDefault="006979FE" w:rsidP="007A6A1A">
            <w:pPr>
              <w:spacing w:after="160" w:line="259" w:lineRule="auto"/>
              <w:rPr>
                <w:iCs/>
              </w:rPr>
            </w:pPr>
            <w:r w:rsidRPr="00167CB8">
              <w:rPr>
                <w:iCs/>
              </w:rPr>
              <w:t>Closing Loopholes Act</w:t>
            </w:r>
          </w:p>
        </w:tc>
        <w:tc>
          <w:tcPr>
            <w:tcW w:w="7164" w:type="dxa"/>
          </w:tcPr>
          <w:p w14:paraId="32B7F733" w14:textId="52043C64" w:rsidR="007A6A1A" w:rsidRPr="00167CB8" w:rsidRDefault="006979FE" w:rsidP="007A6A1A">
            <w:pPr>
              <w:spacing w:after="160" w:line="259" w:lineRule="auto"/>
              <w:rPr>
                <w:i/>
              </w:rPr>
            </w:pPr>
            <w:r w:rsidRPr="00167CB8">
              <w:rPr>
                <w:i/>
              </w:rPr>
              <w:t>F</w:t>
            </w:r>
            <w:r w:rsidR="00226531" w:rsidRPr="00167CB8">
              <w:rPr>
                <w:i/>
              </w:rPr>
              <w:t>air Work Legislation Amendment (Closing Loopholes) Act 2023</w:t>
            </w:r>
          </w:p>
        </w:tc>
      </w:tr>
      <w:tr w:rsidR="007A6A1A" w:rsidRPr="00167CB8" w14:paraId="347FBA37" w14:textId="77777777">
        <w:trPr>
          <w:trHeight w:val="492"/>
        </w:trPr>
        <w:tc>
          <w:tcPr>
            <w:tcW w:w="2040" w:type="dxa"/>
          </w:tcPr>
          <w:p w14:paraId="6826A72A" w14:textId="6830ADA7" w:rsidR="007A6A1A" w:rsidRPr="00167CB8" w:rsidRDefault="00C34FB2" w:rsidP="007A6A1A">
            <w:pPr>
              <w:spacing w:after="160" w:line="259" w:lineRule="auto"/>
              <w:rPr>
                <w:iCs/>
              </w:rPr>
            </w:pPr>
            <w:r w:rsidRPr="00167CB8">
              <w:rPr>
                <w:iCs/>
              </w:rPr>
              <w:t>Closing Loopholes No. 2 Act</w:t>
            </w:r>
          </w:p>
        </w:tc>
        <w:tc>
          <w:tcPr>
            <w:tcW w:w="7164" w:type="dxa"/>
          </w:tcPr>
          <w:p w14:paraId="2DE7E66D" w14:textId="7453D462" w:rsidR="007A6A1A" w:rsidRPr="00167CB8" w:rsidRDefault="00C34FB2" w:rsidP="007A6A1A">
            <w:pPr>
              <w:spacing w:after="160" w:line="259" w:lineRule="auto"/>
            </w:pPr>
            <w:r w:rsidRPr="00167CB8">
              <w:rPr>
                <w:i/>
              </w:rPr>
              <w:t>Fair Work Legislation Amendment (Closing Loopholes No. 2) Act 2023</w:t>
            </w:r>
          </w:p>
        </w:tc>
      </w:tr>
      <w:tr w:rsidR="007A6A1A" w:rsidRPr="00167CB8" w14:paraId="7E29F611" w14:textId="77777777">
        <w:tc>
          <w:tcPr>
            <w:tcW w:w="2040" w:type="dxa"/>
          </w:tcPr>
          <w:p w14:paraId="2317A8EC" w14:textId="40145A97" w:rsidR="007A6A1A" w:rsidRPr="00167CB8" w:rsidRDefault="006F0D17" w:rsidP="007A6A1A">
            <w:pPr>
              <w:spacing w:after="160" w:line="259" w:lineRule="auto"/>
              <w:rPr>
                <w:bCs/>
                <w:iCs/>
                <w:szCs w:val="18"/>
              </w:rPr>
            </w:pPr>
            <w:r w:rsidRPr="00167CB8">
              <w:rPr>
                <w:bCs/>
                <w:iCs/>
                <w:szCs w:val="18"/>
              </w:rPr>
              <w:t>BCIIP Act</w:t>
            </w:r>
          </w:p>
        </w:tc>
        <w:tc>
          <w:tcPr>
            <w:tcW w:w="7164" w:type="dxa"/>
          </w:tcPr>
          <w:p w14:paraId="5DB83083" w14:textId="10634ED5" w:rsidR="007A6A1A" w:rsidRPr="00167CB8" w:rsidRDefault="00E61621" w:rsidP="007A6A1A">
            <w:pPr>
              <w:spacing w:after="160" w:line="259" w:lineRule="auto"/>
            </w:pPr>
            <w:r w:rsidRPr="00167CB8">
              <w:t> </w:t>
            </w:r>
            <w:r w:rsidRPr="00167CB8">
              <w:rPr>
                <w:i/>
                <w:iCs/>
              </w:rPr>
              <w:t>Building and Construction Industry (Improving Productivity) Act 2016</w:t>
            </w:r>
            <w:r w:rsidRPr="00167CB8">
              <w:t xml:space="preserve"> (Cth)</w:t>
            </w:r>
          </w:p>
        </w:tc>
      </w:tr>
      <w:tr w:rsidR="007A6A1A" w:rsidRPr="00167CB8" w14:paraId="14EB418B" w14:textId="77777777">
        <w:tc>
          <w:tcPr>
            <w:tcW w:w="2040" w:type="dxa"/>
          </w:tcPr>
          <w:p w14:paraId="2AD1DA45" w14:textId="0234122A" w:rsidR="007A6A1A" w:rsidRPr="00167CB8" w:rsidRDefault="006F0D17" w:rsidP="007A6A1A">
            <w:pPr>
              <w:spacing w:after="160" w:line="259" w:lineRule="auto"/>
              <w:rPr>
                <w:bCs/>
                <w:iCs/>
                <w:szCs w:val="18"/>
              </w:rPr>
            </w:pPr>
            <w:r w:rsidRPr="00167CB8">
              <w:rPr>
                <w:bCs/>
                <w:iCs/>
                <w:szCs w:val="18"/>
              </w:rPr>
              <w:t>FWC</w:t>
            </w:r>
          </w:p>
        </w:tc>
        <w:tc>
          <w:tcPr>
            <w:tcW w:w="7164" w:type="dxa"/>
          </w:tcPr>
          <w:p w14:paraId="4FAF58B7" w14:textId="3B71A4C2" w:rsidR="007A6A1A" w:rsidRPr="00167CB8" w:rsidRDefault="006F0D17" w:rsidP="007A6A1A">
            <w:pPr>
              <w:spacing w:after="160" w:line="259" w:lineRule="auto"/>
              <w:rPr>
                <w:bCs/>
                <w:iCs/>
                <w:szCs w:val="18"/>
              </w:rPr>
            </w:pPr>
            <w:r w:rsidRPr="00167CB8">
              <w:rPr>
                <w:bCs/>
                <w:iCs/>
                <w:szCs w:val="18"/>
              </w:rPr>
              <w:t>Fair Work Commission</w:t>
            </w:r>
          </w:p>
        </w:tc>
      </w:tr>
      <w:tr w:rsidR="007A6A1A" w:rsidRPr="00167CB8" w14:paraId="4ADCFBEC" w14:textId="77777777">
        <w:trPr>
          <w:trHeight w:val="33"/>
        </w:trPr>
        <w:tc>
          <w:tcPr>
            <w:tcW w:w="2040" w:type="dxa"/>
          </w:tcPr>
          <w:p w14:paraId="203E3BE7" w14:textId="59943576" w:rsidR="007A6A1A" w:rsidRPr="00167CB8" w:rsidRDefault="006F0D17" w:rsidP="007A6A1A">
            <w:pPr>
              <w:spacing w:after="160" w:line="259" w:lineRule="auto"/>
              <w:rPr>
                <w:bCs/>
                <w:iCs/>
                <w:szCs w:val="18"/>
              </w:rPr>
            </w:pPr>
            <w:r w:rsidRPr="00167CB8">
              <w:rPr>
                <w:bCs/>
                <w:iCs/>
                <w:szCs w:val="18"/>
              </w:rPr>
              <w:t>FWO</w:t>
            </w:r>
          </w:p>
        </w:tc>
        <w:tc>
          <w:tcPr>
            <w:tcW w:w="7164" w:type="dxa"/>
          </w:tcPr>
          <w:p w14:paraId="0E8CCE8F" w14:textId="113A4489" w:rsidR="007A6A1A" w:rsidRPr="00167CB8" w:rsidRDefault="006F0D17" w:rsidP="007A6A1A">
            <w:pPr>
              <w:spacing w:after="160" w:line="259" w:lineRule="auto"/>
              <w:rPr>
                <w:bCs/>
                <w:iCs/>
                <w:szCs w:val="18"/>
              </w:rPr>
            </w:pPr>
            <w:r w:rsidRPr="00167CB8">
              <w:rPr>
                <w:bCs/>
                <w:iCs/>
                <w:szCs w:val="18"/>
              </w:rPr>
              <w:t>Fair Work Ombudsman</w:t>
            </w:r>
          </w:p>
        </w:tc>
      </w:tr>
      <w:tr w:rsidR="007A6A1A" w:rsidRPr="00167CB8" w14:paraId="3E8504E5" w14:textId="77777777">
        <w:tc>
          <w:tcPr>
            <w:tcW w:w="2040" w:type="dxa"/>
          </w:tcPr>
          <w:p w14:paraId="1AB95A83" w14:textId="0CAED598" w:rsidR="007A6A1A" w:rsidRPr="00167CB8" w:rsidRDefault="006F0D17" w:rsidP="007A6A1A">
            <w:pPr>
              <w:spacing w:after="160" w:line="259" w:lineRule="auto"/>
              <w:rPr>
                <w:iCs/>
              </w:rPr>
            </w:pPr>
            <w:r w:rsidRPr="00167CB8">
              <w:rPr>
                <w:iCs/>
              </w:rPr>
              <w:t>ABCC</w:t>
            </w:r>
          </w:p>
        </w:tc>
        <w:tc>
          <w:tcPr>
            <w:tcW w:w="7164" w:type="dxa"/>
          </w:tcPr>
          <w:p w14:paraId="53D21BE5" w14:textId="576E652B" w:rsidR="007A6A1A" w:rsidRPr="00167CB8" w:rsidRDefault="006F0D17" w:rsidP="007A6A1A">
            <w:pPr>
              <w:spacing w:after="160" w:line="259" w:lineRule="auto"/>
            </w:pPr>
            <w:r w:rsidRPr="00167CB8">
              <w:t>Australian Building and Construction Commission</w:t>
            </w:r>
          </w:p>
        </w:tc>
      </w:tr>
      <w:tr w:rsidR="007A6A1A" w:rsidRPr="00167CB8" w14:paraId="44EDCB28" w14:textId="77777777">
        <w:tc>
          <w:tcPr>
            <w:tcW w:w="2040" w:type="dxa"/>
          </w:tcPr>
          <w:p w14:paraId="1019A3D4" w14:textId="6541E120" w:rsidR="007A6A1A" w:rsidRPr="00167CB8" w:rsidRDefault="006F0D17" w:rsidP="007A6A1A">
            <w:pPr>
              <w:spacing w:after="160" w:line="259" w:lineRule="auto"/>
              <w:rPr>
                <w:iCs/>
              </w:rPr>
            </w:pPr>
            <w:r w:rsidRPr="00167CB8">
              <w:rPr>
                <w:iCs/>
              </w:rPr>
              <w:t>ROC</w:t>
            </w:r>
          </w:p>
        </w:tc>
        <w:tc>
          <w:tcPr>
            <w:tcW w:w="7164" w:type="dxa"/>
          </w:tcPr>
          <w:p w14:paraId="42AEBF4D" w14:textId="665D2057" w:rsidR="007A6A1A" w:rsidRPr="00167CB8" w:rsidRDefault="006F0D17" w:rsidP="007A6A1A">
            <w:pPr>
              <w:spacing w:after="160" w:line="259" w:lineRule="auto"/>
            </w:pPr>
            <w:r w:rsidRPr="00167CB8">
              <w:t>Registered Organisations Commission</w:t>
            </w:r>
          </w:p>
        </w:tc>
      </w:tr>
      <w:tr w:rsidR="007A6A1A" w:rsidRPr="00167CB8" w14:paraId="4EDEC97F" w14:textId="77777777">
        <w:tc>
          <w:tcPr>
            <w:tcW w:w="2040" w:type="dxa"/>
          </w:tcPr>
          <w:p w14:paraId="7197A3BB" w14:textId="3730E3E2" w:rsidR="007A6A1A" w:rsidRPr="00167CB8" w:rsidRDefault="006F0D17" w:rsidP="007A6A1A">
            <w:pPr>
              <w:spacing w:after="160" w:line="259" w:lineRule="auto"/>
              <w:rPr>
                <w:iCs/>
              </w:rPr>
            </w:pPr>
            <w:r w:rsidRPr="00167CB8">
              <w:rPr>
                <w:iCs/>
              </w:rPr>
              <w:t>ACTU</w:t>
            </w:r>
          </w:p>
        </w:tc>
        <w:tc>
          <w:tcPr>
            <w:tcW w:w="7164" w:type="dxa"/>
          </w:tcPr>
          <w:p w14:paraId="617133D8" w14:textId="5CBF7FC4" w:rsidR="007A6A1A" w:rsidRPr="00167CB8" w:rsidRDefault="006F0D17" w:rsidP="007A6A1A">
            <w:pPr>
              <w:spacing w:after="160" w:line="259" w:lineRule="auto"/>
              <w:rPr>
                <w:iCs/>
              </w:rPr>
            </w:pPr>
            <w:r w:rsidRPr="00167CB8">
              <w:rPr>
                <w:iCs/>
              </w:rPr>
              <w:t>Australian Council of Trade Unions</w:t>
            </w:r>
          </w:p>
        </w:tc>
      </w:tr>
      <w:tr w:rsidR="007A6A1A" w:rsidRPr="00167CB8" w14:paraId="08A44BB9" w14:textId="77777777">
        <w:tc>
          <w:tcPr>
            <w:tcW w:w="2040" w:type="dxa"/>
          </w:tcPr>
          <w:p w14:paraId="53E4F9C8" w14:textId="7213759C" w:rsidR="007A6A1A" w:rsidRPr="00167CB8" w:rsidRDefault="006F0D17" w:rsidP="007A6A1A">
            <w:pPr>
              <w:spacing w:after="160" w:line="259" w:lineRule="auto"/>
              <w:rPr>
                <w:iCs/>
              </w:rPr>
            </w:pPr>
            <w:r w:rsidRPr="00167CB8">
              <w:rPr>
                <w:iCs/>
              </w:rPr>
              <w:t>MCA</w:t>
            </w:r>
          </w:p>
        </w:tc>
        <w:tc>
          <w:tcPr>
            <w:tcW w:w="7164" w:type="dxa"/>
          </w:tcPr>
          <w:p w14:paraId="124F5609" w14:textId="67BEF507" w:rsidR="007A6A1A" w:rsidRPr="00167CB8" w:rsidRDefault="00E61621" w:rsidP="007A6A1A">
            <w:pPr>
              <w:spacing w:after="160" w:line="259" w:lineRule="auto"/>
              <w:rPr>
                <w:rFonts w:cstheme="minorHAnsi"/>
              </w:rPr>
            </w:pPr>
            <w:r w:rsidRPr="00167CB8">
              <w:rPr>
                <w:rFonts w:cstheme="minorHAnsi"/>
              </w:rPr>
              <w:t>Minerals Council of Australia</w:t>
            </w:r>
          </w:p>
        </w:tc>
      </w:tr>
      <w:tr w:rsidR="007A6A1A" w:rsidRPr="00167CB8" w14:paraId="1614FBF8" w14:textId="77777777">
        <w:tc>
          <w:tcPr>
            <w:tcW w:w="2040" w:type="dxa"/>
          </w:tcPr>
          <w:p w14:paraId="21F9B161" w14:textId="2D90CD4D" w:rsidR="007A6A1A" w:rsidRPr="00167CB8" w:rsidRDefault="006F0D17" w:rsidP="007A6A1A">
            <w:pPr>
              <w:spacing w:after="160" w:line="259" w:lineRule="auto"/>
              <w:rPr>
                <w:iCs/>
              </w:rPr>
            </w:pPr>
            <w:r w:rsidRPr="00167CB8">
              <w:rPr>
                <w:iCs/>
              </w:rPr>
              <w:t>CCIWA</w:t>
            </w:r>
          </w:p>
        </w:tc>
        <w:tc>
          <w:tcPr>
            <w:tcW w:w="7164" w:type="dxa"/>
          </w:tcPr>
          <w:p w14:paraId="0316A06C" w14:textId="74E00819" w:rsidR="007A6A1A" w:rsidRPr="00167CB8" w:rsidRDefault="00C7676D" w:rsidP="007A6A1A">
            <w:pPr>
              <w:spacing w:after="160" w:line="259" w:lineRule="auto"/>
              <w:rPr>
                <w:rFonts w:cstheme="minorHAnsi"/>
              </w:rPr>
            </w:pPr>
            <w:r w:rsidRPr="00167CB8">
              <w:rPr>
                <w:rFonts w:cstheme="minorHAnsi"/>
              </w:rPr>
              <w:t>Chamber of Commerce and Industry of Western Australia</w:t>
            </w:r>
          </w:p>
        </w:tc>
      </w:tr>
      <w:tr w:rsidR="007A6A1A" w:rsidRPr="00167CB8" w14:paraId="4D54BF34" w14:textId="77777777">
        <w:tc>
          <w:tcPr>
            <w:tcW w:w="2040" w:type="dxa"/>
          </w:tcPr>
          <w:p w14:paraId="3E131D6E" w14:textId="09B2CF52" w:rsidR="007A6A1A" w:rsidRPr="00167CB8" w:rsidRDefault="006F0D17" w:rsidP="007A6A1A">
            <w:pPr>
              <w:spacing w:after="160" w:line="259" w:lineRule="auto"/>
              <w:rPr>
                <w:bCs/>
                <w:iCs/>
                <w:szCs w:val="18"/>
              </w:rPr>
            </w:pPr>
            <w:r w:rsidRPr="00167CB8">
              <w:rPr>
                <w:bCs/>
                <w:iCs/>
                <w:szCs w:val="18"/>
              </w:rPr>
              <w:t>COSBOA</w:t>
            </w:r>
          </w:p>
        </w:tc>
        <w:tc>
          <w:tcPr>
            <w:tcW w:w="7164" w:type="dxa"/>
          </w:tcPr>
          <w:p w14:paraId="7E5CE89D" w14:textId="21CFB8F7" w:rsidR="007A6A1A" w:rsidRPr="00167CB8" w:rsidRDefault="00C7676D" w:rsidP="007A6A1A">
            <w:pPr>
              <w:spacing w:after="160" w:line="259" w:lineRule="auto"/>
              <w:rPr>
                <w:iCs/>
              </w:rPr>
            </w:pPr>
            <w:r w:rsidRPr="00167CB8">
              <w:rPr>
                <w:iCs/>
              </w:rPr>
              <w:t>Council of Small Business Organisations Australia</w:t>
            </w:r>
          </w:p>
        </w:tc>
      </w:tr>
      <w:tr w:rsidR="007A6A1A" w:rsidRPr="00167CB8" w14:paraId="727F4E4A" w14:textId="77777777">
        <w:tc>
          <w:tcPr>
            <w:tcW w:w="2040" w:type="dxa"/>
          </w:tcPr>
          <w:p w14:paraId="47380495" w14:textId="0EA24FE2" w:rsidR="007A6A1A" w:rsidRPr="00167CB8" w:rsidRDefault="006F0D17" w:rsidP="007A6A1A">
            <w:pPr>
              <w:spacing w:after="160" w:line="259" w:lineRule="auto"/>
              <w:rPr>
                <w:bCs/>
                <w:iCs/>
                <w:szCs w:val="18"/>
              </w:rPr>
            </w:pPr>
            <w:r w:rsidRPr="00167CB8">
              <w:rPr>
                <w:bCs/>
                <w:iCs/>
                <w:szCs w:val="18"/>
              </w:rPr>
              <w:t>CME WA</w:t>
            </w:r>
          </w:p>
        </w:tc>
        <w:tc>
          <w:tcPr>
            <w:tcW w:w="7164" w:type="dxa"/>
          </w:tcPr>
          <w:p w14:paraId="4B14A809" w14:textId="2357CA43" w:rsidR="007A6A1A" w:rsidRPr="00167CB8" w:rsidRDefault="00C7676D" w:rsidP="007A6A1A">
            <w:pPr>
              <w:spacing w:after="160" w:line="259" w:lineRule="auto"/>
            </w:pPr>
            <w:r w:rsidRPr="00167CB8">
              <w:t>Chamber of Minerals and Energy of Western Australia</w:t>
            </w:r>
          </w:p>
        </w:tc>
      </w:tr>
      <w:tr w:rsidR="007A6A1A" w:rsidRPr="00167CB8" w14:paraId="4D4136CC" w14:textId="77777777">
        <w:tc>
          <w:tcPr>
            <w:tcW w:w="2040" w:type="dxa"/>
          </w:tcPr>
          <w:p w14:paraId="18EB51BD" w14:textId="158758BD" w:rsidR="007A6A1A" w:rsidRPr="00167CB8" w:rsidRDefault="006F0D17" w:rsidP="007A6A1A">
            <w:pPr>
              <w:spacing w:after="160" w:line="259" w:lineRule="auto"/>
              <w:rPr>
                <w:iCs/>
              </w:rPr>
            </w:pPr>
            <w:r w:rsidRPr="00167CB8">
              <w:rPr>
                <w:iCs/>
              </w:rPr>
              <w:t>MIA ltd.</w:t>
            </w:r>
          </w:p>
        </w:tc>
        <w:tc>
          <w:tcPr>
            <w:tcW w:w="7164" w:type="dxa"/>
          </w:tcPr>
          <w:p w14:paraId="16AB8605" w14:textId="3D8A30E5" w:rsidR="007A6A1A" w:rsidRPr="00167CB8" w:rsidRDefault="00C7676D" w:rsidP="007A6A1A">
            <w:pPr>
              <w:spacing w:after="160" w:line="259" w:lineRule="auto"/>
              <w:rPr>
                <w:iCs/>
              </w:rPr>
            </w:pPr>
            <w:r w:rsidRPr="00167CB8">
              <w:rPr>
                <w:iCs/>
              </w:rPr>
              <w:t>Maritime Industry Australia Ltd</w:t>
            </w:r>
          </w:p>
        </w:tc>
      </w:tr>
      <w:tr w:rsidR="007A6A1A" w:rsidRPr="00167CB8" w14:paraId="61D46442" w14:textId="77777777">
        <w:tc>
          <w:tcPr>
            <w:tcW w:w="2040" w:type="dxa"/>
          </w:tcPr>
          <w:p w14:paraId="59E006CD" w14:textId="024879F3" w:rsidR="007A6A1A" w:rsidRPr="00167CB8" w:rsidRDefault="006F0D17" w:rsidP="007A6A1A">
            <w:pPr>
              <w:spacing w:after="160" w:line="259" w:lineRule="auto"/>
              <w:rPr>
                <w:iCs/>
              </w:rPr>
            </w:pPr>
            <w:r w:rsidRPr="00167CB8">
              <w:rPr>
                <w:iCs/>
              </w:rPr>
              <w:t>ARA</w:t>
            </w:r>
          </w:p>
        </w:tc>
        <w:tc>
          <w:tcPr>
            <w:tcW w:w="7164" w:type="dxa"/>
          </w:tcPr>
          <w:p w14:paraId="0271C663" w14:textId="565D7BF9" w:rsidR="007A6A1A" w:rsidRPr="00167CB8" w:rsidRDefault="006B29B8" w:rsidP="007A6A1A">
            <w:pPr>
              <w:spacing w:after="160" w:line="259" w:lineRule="auto"/>
              <w:rPr>
                <w:rFonts w:cstheme="minorHAnsi"/>
              </w:rPr>
            </w:pPr>
            <w:r w:rsidRPr="00167CB8">
              <w:rPr>
                <w:bCs/>
                <w:iCs/>
                <w:szCs w:val="18"/>
              </w:rPr>
              <w:t>Australian Retailers Association</w:t>
            </w:r>
          </w:p>
        </w:tc>
      </w:tr>
      <w:tr w:rsidR="007A6A1A" w:rsidRPr="00167CB8" w14:paraId="31E91D32" w14:textId="77777777">
        <w:tc>
          <w:tcPr>
            <w:tcW w:w="2040" w:type="dxa"/>
          </w:tcPr>
          <w:p w14:paraId="2C171CD5" w14:textId="2D58BA7F" w:rsidR="007A6A1A" w:rsidRPr="00167CB8" w:rsidRDefault="006F0D17" w:rsidP="007A6A1A">
            <w:pPr>
              <w:spacing w:after="160" w:line="259" w:lineRule="auto"/>
              <w:rPr>
                <w:bCs/>
                <w:iCs/>
                <w:szCs w:val="18"/>
              </w:rPr>
            </w:pPr>
            <w:r w:rsidRPr="00167CB8">
              <w:rPr>
                <w:bCs/>
                <w:iCs/>
                <w:szCs w:val="18"/>
              </w:rPr>
              <w:lastRenderedPageBreak/>
              <w:t>AREEA</w:t>
            </w:r>
          </w:p>
        </w:tc>
        <w:tc>
          <w:tcPr>
            <w:tcW w:w="7164" w:type="dxa"/>
          </w:tcPr>
          <w:p w14:paraId="0DB9F498" w14:textId="169838A8" w:rsidR="007A6A1A" w:rsidRPr="00167CB8" w:rsidRDefault="00EA504D" w:rsidP="007A6A1A">
            <w:pPr>
              <w:spacing w:after="160" w:line="259" w:lineRule="auto"/>
              <w:rPr>
                <w:szCs w:val="18"/>
              </w:rPr>
            </w:pPr>
            <w:r w:rsidRPr="00167CB8">
              <w:rPr>
                <w:bCs/>
                <w:iCs/>
                <w:szCs w:val="18"/>
              </w:rPr>
              <w:t>Australian Resources &amp; Energy Employer Association</w:t>
            </w:r>
          </w:p>
        </w:tc>
      </w:tr>
      <w:tr w:rsidR="007A6A1A" w:rsidRPr="00167CB8" w14:paraId="5275A105" w14:textId="77777777">
        <w:tc>
          <w:tcPr>
            <w:tcW w:w="2040" w:type="dxa"/>
          </w:tcPr>
          <w:p w14:paraId="5711E6EC" w14:textId="206EA303" w:rsidR="007A6A1A" w:rsidRPr="00167CB8" w:rsidRDefault="006F0D17" w:rsidP="007A6A1A">
            <w:pPr>
              <w:spacing w:after="160" w:line="259" w:lineRule="auto"/>
              <w:rPr>
                <w:bCs/>
                <w:iCs/>
                <w:szCs w:val="18"/>
              </w:rPr>
            </w:pPr>
            <w:r w:rsidRPr="00167CB8">
              <w:rPr>
                <w:bCs/>
                <w:iCs/>
                <w:szCs w:val="18"/>
              </w:rPr>
              <w:t>ANMF</w:t>
            </w:r>
          </w:p>
        </w:tc>
        <w:tc>
          <w:tcPr>
            <w:tcW w:w="7164" w:type="dxa"/>
          </w:tcPr>
          <w:p w14:paraId="64D4CAD1" w14:textId="74F5971B" w:rsidR="007A6A1A" w:rsidRPr="00167CB8" w:rsidRDefault="003405DC" w:rsidP="007A6A1A">
            <w:pPr>
              <w:spacing w:after="160" w:line="259" w:lineRule="auto"/>
              <w:rPr>
                <w:szCs w:val="18"/>
              </w:rPr>
            </w:pPr>
            <w:r w:rsidRPr="00167CB8">
              <w:rPr>
                <w:bCs/>
                <w:iCs/>
                <w:szCs w:val="18"/>
              </w:rPr>
              <w:t>Australian Nursing and Midwifery Federation</w:t>
            </w:r>
          </w:p>
        </w:tc>
      </w:tr>
      <w:tr w:rsidR="007A6A1A" w:rsidRPr="00167CB8" w14:paraId="2162A48B" w14:textId="77777777">
        <w:trPr>
          <w:trHeight w:val="626"/>
        </w:trPr>
        <w:tc>
          <w:tcPr>
            <w:tcW w:w="2040" w:type="dxa"/>
          </w:tcPr>
          <w:p w14:paraId="05AF28A4" w14:textId="6C484787" w:rsidR="007A6A1A" w:rsidRPr="00167CB8" w:rsidRDefault="006F0D17" w:rsidP="007A6A1A">
            <w:pPr>
              <w:spacing w:after="160" w:line="259" w:lineRule="auto"/>
              <w:rPr>
                <w:bCs/>
                <w:iCs/>
                <w:szCs w:val="18"/>
              </w:rPr>
            </w:pPr>
            <w:r w:rsidRPr="00167CB8">
              <w:rPr>
                <w:bCs/>
                <w:iCs/>
                <w:szCs w:val="18"/>
              </w:rPr>
              <w:t>UWU</w:t>
            </w:r>
          </w:p>
        </w:tc>
        <w:tc>
          <w:tcPr>
            <w:tcW w:w="7164" w:type="dxa"/>
          </w:tcPr>
          <w:p w14:paraId="2BB6DDAB" w14:textId="44A70BE8" w:rsidR="007A6A1A" w:rsidRPr="00167CB8" w:rsidRDefault="003405DC" w:rsidP="007A6A1A">
            <w:pPr>
              <w:spacing w:after="160" w:line="259" w:lineRule="auto"/>
              <w:rPr>
                <w:szCs w:val="18"/>
                <w:lang w:val="en-US"/>
              </w:rPr>
            </w:pPr>
            <w:r w:rsidRPr="00167CB8">
              <w:rPr>
                <w:iCs/>
                <w:szCs w:val="18"/>
                <w:lang w:val="en-US"/>
              </w:rPr>
              <w:t>United Workers Union</w:t>
            </w:r>
          </w:p>
        </w:tc>
      </w:tr>
      <w:tr w:rsidR="00723824" w:rsidRPr="00167CB8" w14:paraId="391B43D7" w14:textId="77777777">
        <w:trPr>
          <w:trHeight w:val="626"/>
        </w:trPr>
        <w:tc>
          <w:tcPr>
            <w:tcW w:w="2040" w:type="dxa"/>
          </w:tcPr>
          <w:p w14:paraId="19A06664" w14:textId="091E90C0" w:rsidR="00723824" w:rsidRPr="00167CB8" w:rsidRDefault="005C0713" w:rsidP="007A6A1A">
            <w:pPr>
              <w:spacing w:after="160"/>
              <w:rPr>
                <w:bCs/>
                <w:iCs/>
                <w:szCs w:val="18"/>
              </w:rPr>
            </w:pPr>
            <w:r w:rsidRPr="00167CB8">
              <w:rPr>
                <w:bCs/>
                <w:iCs/>
                <w:szCs w:val="18"/>
              </w:rPr>
              <w:t>ERO</w:t>
            </w:r>
          </w:p>
        </w:tc>
        <w:tc>
          <w:tcPr>
            <w:tcW w:w="7164" w:type="dxa"/>
          </w:tcPr>
          <w:p w14:paraId="3984DCE6" w14:textId="0289D355" w:rsidR="00723824" w:rsidRPr="00167CB8" w:rsidRDefault="005C0713" w:rsidP="007A6A1A">
            <w:pPr>
              <w:spacing w:after="160"/>
              <w:rPr>
                <w:iCs/>
                <w:szCs w:val="18"/>
                <w:lang w:val="en-US"/>
              </w:rPr>
            </w:pPr>
            <w:r w:rsidRPr="00167CB8">
              <w:rPr>
                <w:iCs/>
                <w:szCs w:val="18"/>
                <w:lang w:val="en-US"/>
              </w:rPr>
              <w:t>Equal Remuneration Order</w:t>
            </w:r>
          </w:p>
        </w:tc>
      </w:tr>
      <w:tr w:rsidR="00DF166F" w:rsidRPr="00167CB8" w14:paraId="2D3B254F" w14:textId="77777777">
        <w:trPr>
          <w:trHeight w:val="626"/>
        </w:trPr>
        <w:tc>
          <w:tcPr>
            <w:tcW w:w="2040" w:type="dxa"/>
          </w:tcPr>
          <w:p w14:paraId="78AEC0BF" w14:textId="1DCC1C17" w:rsidR="00DF166F" w:rsidRPr="00167CB8" w:rsidRDefault="00DF166F" w:rsidP="007A6A1A">
            <w:pPr>
              <w:spacing w:after="160"/>
              <w:rPr>
                <w:bCs/>
                <w:iCs/>
                <w:szCs w:val="18"/>
              </w:rPr>
            </w:pPr>
            <w:r w:rsidRPr="00167CB8">
              <w:rPr>
                <w:bCs/>
                <w:iCs/>
                <w:szCs w:val="18"/>
              </w:rPr>
              <w:t>AEC</w:t>
            </w:r>
          </w:p>
        </w:tc>
        <w:tc>
          <w:tcPr>
            <w:tcW w:w="7164" w:type="dxa"/>
          </w:tcPr>
          <w:p w14:paraId="63256907" w14:textId="622CC811" w:rsidR="00DF166F" w:rsidRPr="00167CB8" w:rsidRDefault="00DF166F" w:rsidP="007A6A1A">
            <w:pPr>
              <w:spacing w:after="160"/>
              <w:rPr>
                <w:iCs/>
                <w:szCs w:val="18"/>
                <w:lang w:val="en-US"/>
              </w:rPr>
            </w:pPr>
            <w:r w:rsidRPr="00167CB8">
              <w:rPr>
                <w:iCs/>
                <w:szCs w:val="18"/>
                <w:lang w:val="en-US"/>
              </w:rPr>
              <w:t>Australian Electoral Commission</w:t>
            </w:r>
          </w:p>
        </w:tc>
      </w:tr>
    </w:tbl>
    <w:p w14:paraId="604F1D8B" w14:textId="77777777" w:rsidR="007A6A1A" w:rsidRPr="00167CB8" w:rsidRDefault="007A6A1A" w:rsidP="007A6A1A">
      <w:pPr>
        <w:spacing w:after="160"/>
      </w:pPr>
      <w:r w:rsidRPr="00167CB8">
        <w:br w:type="page"/>
      </w:r>
    </w:p>
    <w:p w14:paraId="562D4E69" w14:textId="02670CB7" w:rsidR="007A6A1A" w:rsidRPr="00167CB8" w:rsidRDefault="007A6A1A" w:rsidP="00650687">
      <w:pPr>
        <w:pStyle w:val="Heading2"/>
      </w:pPr>
      <w:bookmarkStart w:id="951" w:name="_Toc188278065"/>
      <w:bookmarkStart w:id="952" w:name="_Toc189260190"/>
      <w:bookmarkStart w:id="953" w:name="_Toc189393696"/>
      <w:r w:rsidRPr="00167CB8">
        <w:lastRenderedPageBreak/>
        <w:t>Appendix 7 – Terms of Reference</w:t>
      </w:r>
      <w:bookmarkEnd w:id="951"/>
      <w:bookmarkEnd w:id="952"/>
      <w:bookmarkEnd w:id="953"/>
    </w:p>
    <w:p w14:paraId="23260815" w14:textId="77777777" w:rsidR="007A6A1A" w:rsidRPr="00167CB8" w:rsidRDefault="007A6A1A" w:rsidP="007A6A1A">
      <w:r w:rsidRPr="00167CB8">
        <w:t>As issued by Minister Watt on 1 November 2024.</w:t>
      </w:r>
    </w:p>
    <w:p w14:paraId="0510E3BA" w14:textId="77777777" w:rsidR="007A6A1A" w:rsidRPr="00167CB8" w:rsidRDefault="007A6A1A" w:rsidP="00650687">
      <w:pPr>
        <w:pStyle w:val="Heading3"/>
      </w:pPr>
      <w:bookmarkStart w:id="954" w:name="_Toc188278066"/>
      <w:bookmarkStart w:id="955" w:name="_Toc189393697"/>
      <w:r w:rsidRPr="00167CB8">
        <w:t>Terms of Reference</w:t>
      </w:r>
      <w:bookmarkEnd w:id="954"/>
      <w:bookmarkEnd w:id="955"/>
    </w:p>
    <w:p w14:paraId="73FCFEBB" w14:textId="77777777" w:rsidR="007A6A1A" w:rsidRPr="00167CB8" w:rsidRDefault="007A6A1A" w:rsidP="007A6A1A">
      <w:r w:rsidRPr="00167CB8">
        <w:t xml:space="preserve">The Review Panel are conducting a joint review of the operation of </w:t>
      </w:r>
      <w:r w:rsidRPr="00167CB8">
        <w:rPr>
          <w:i/>
          <w:iCs/>
        </w:rPr>
        <w:t>the Fair Work Legislation Amendment (Secure Jobs, Better Pay) Act 2022</w:t>
      </w:r>
      <w:r w:rsidRPr="00167CB8">
        <w:t xml:space="preserve"> (Secure Jobs, Better Pay Act) and of the amendments made by Part 16A of Schedule 1 of the </w:t>
      </w:r>
      <w:r w:rsidRPr="00167CB8">
        <w:rPr>
          <w:i/>
          <w:iCs/>
        </w:rPr>
        <w:t>Fair Work Legislation Amendment (Closing Loopholes) Act 2023</w:t>
      </w:r>
      <w:r w:rsidRPr="00167CB8">
        <w:t xml:space="preserve"> (Closing Loopholes Act) (the Secure Jobs, Better Pay Review).  </w:t>
      </w:r>
    </w:p>
    <w:p w14:paraId="4BC5338F" w14:textId="77777777" w:rsidR="007A6A1A" w:rsidRPr="00167CB8" w:rsidRDefault="007A6A1A" w:rsidP="00650687">
      <w:pPr>
        <w:pStyle w:val="Heading4"/>
      </w:pPr>
      <w:bookmarkStart w:id="956" w:name="_Toc188278067"/>
      <w:bookmarkStart w:id="957" w:name="_Toc189393698"/>
      <w:r w:rsidRPr="00167CB8">
        <w:t>Scope of the Review</w:t>
      </w:r>
      <w:bookmarkEnd w:id="956"/>
      <w:bookmarkEnd w:id="957"/>
    </w:p>
    <w:p w14:paraId="6757D6E1" w14:textId="77777777" w:rsidR="007A6A1A" w:rsidRPr="00167CB8" w:rsidRDefault="007A6A1A" w:rsidP="007A6A1A">
      <w:bookmarkStart w:id="958" w:name="_Toc30065224"/>
      <w:r w:rsidRPr="00167CB8">
        <w:t>The requirement for the Secure Jobs, Better Pay Review is outlined in the respective Acts:</w:t>
      </w:r>
    </w:p>
    <w:p w14:paraId="2FDB5F17" w14:textId="77777777" w:rsidR="007A6A1A" w:rsidRPr="00167CB8" w:rsidRDefault="007A6A1A" w:rsidP="00567FCA">
      <w:pPr>
        <w:numPr>
          <w:ilvl w:val="0"/>
          <w:numId w:val="18"/>
        </w:numPr>
      </w:pPr>
      <w:r w:rsidRPr="00167CB8">
        <w:t>Secure Jobs, Better Pay Act: Section 4 of the Secure Jobs, Better Pay Act requires the Minister for Employment and Workplace Relations (the Minister) to cause a review of the amendments made by the Act to be conducted.</w:t>
      </w:r>
    </w:p>
    <w:p w14:paraId="0DDBB7AC" w14:textId="77777777" w:rsidR="007A6A1A" w:rsidRPr="00167CB8" w:rsidRDefault="007A6A1A" w:rsidP="00567FCA">
      <w:pPr>
        <w:numPr>
          <w:ilvl w:val="0"/>
          <w:numId w:val="18"/>
        </w:numPr>
      </w:pPr>
      <w:r w:rsidRPr="00167CB8">
        <w:t xml:space="preserve">Closing Loopholes Act: Section 4A of the Act requires the Minister to cause a review of the operation of the amendments made by Part 16A of Schedule 1 of the Closing Loopholes Act to be conducted. </w:t>
      </w:r>
    </w:p>
    <w:p w14:paraId="4121EB72" w14:textId="77777777" w:rsidR="007A6A1A" w:rsidRPr="00167CB8" w:rsidRDefault="007A6A1A" w:rsidP="007A6A1A">
      <w:r w:rsidRPr="00167CB8">
        <w:t>Both Acts require that the:</w:t>
      </w:r>
    </w:p>
    <w:p w14:paraId="4D524377" w14:textId="77777777" w:rsidR="007A6A1A" w:rsidRPr="00167CB8" w:rsidRDefault="007A6A1A" w:rsidP="00567FCA">
      <w:pPr>
        <w:numPr>
          <w:ilvl w:val="0"/>
          <w:numId w:val="19"/>
        </w:numPr>
      </w:pPr>
      <w:r w:rsidRPr="00167CB8">
        <w:t>persons who conduct the review must give the Minister a written report of the review within 6 months of the commencement of the review</w:t>
      </w:r>
    </w:p>
    <w:p w14:paraId="67F2F7E8" w14:textId="77777777" w:rsidR="007A6A1A" w:rsidRPr="00167CB8" w:rsidRDefault="007A6A1A" w:rsidP="00567FCA">
      <w:pPr>
        <w:numPr>
          <w:ilvl w:val="0"/>
          <w:numId w:val="19"/>
        </w:numPr>
      </w:pPr>
      <w:r w:rsidRPr="00167CB8">
        <w:t>Minister must cause a copy of the report or the review to be tabled in each House of the Parliament within 15 sitting days after the Minister receives it.</w:t>
      </w:r>
    </w:p>
    <w:p w14:paraId="6F1D6AA7" w14:textId="77777777" w:rsidR="007A6A1A" w:rsidRPr="00167CB8" w:rsidRDefault="007A6A1A" w:rsidP="007A6A1A">
      <w:r w:rsidRPr="00167CB8">
        <w:t>The Secure Jobs, Better Pay Review commenced on 2 October 2024. A draft Report must be provided to the department on or before Friday, 31 January 2025. The draft Report is to include preliminary findings and draft recommendations and is to be published for stakeholder comment.</w:t>
      </w:r>
    </w:p>
    <w:p w14:paraId="56916DAC" w14:textId="77777777" w:rsidR="007A6A1A" w:rsidRPr="00167CB8" w:rsidRDefault="007A6A1A" w:rsidP="007A6A1A">
      <w:r w:rsidRPr="00167CB8">
        <w:t>A final Report is to be delivered to the Minister on or before 31 March 2025.</w:t>
      </w:r>
    </w:p>
    <w:p w14:paraId="242933A2" w14:textId="77777777" w:rsidR="007A6A1A" w:rsidRPr="00167CB8" w:rsidRDefault="007A6A1A" w:rsidP="007A6A1A">
      <w:r w:rsidRPr="00167CB8">
        <w:t>Without limiting the matters that may be considered when conducting the review of the Secure Jobs, Better Pay Act and Part 16A of the Closing Loopholes Act, the review must:</w:t>
      </w:r>
    </w:p>
    <w:p w14:paraId="5BAE80A7" w14:textId="77777777" w:rsidR="007A6A1A" w:rsidRPr="00167CB8" w:rsidRDefault="007A6A1A" w:rsidP="00567FCA">
      <w:pPr>
        <w:numPr>
          <w:ilvl w:val="0"/>
          <w:numId w:val="20"/>
        </w:numPr>
      </w:pPr>
      <w:r w:rsidRPr="00167CB8">
        <w:t xml:space="preserve">consider whether the operation of the amendments are appropriate and effective    </w:t>
      </w:r>
    </w:p>
    <w:p w14:paraId="508A665A" w14:textId="77777777" w:rsidR="007A6A1A" w:rsidRPr="00167CB8" w:rsidRDefault="007A6A1A" w:rsidP="00567FCA">
      <w:pPr>
        <w:numPr>
          <w:ilvl w:val="0"/>
          <w:numId w:val="20"/>
        </w:numPr>
      </w:pPr>
      <w:r w:rsidRPr="00167CB8">
        <w:t xml:space="preserve">identify any unintended consequences of the amendments </w:t>
      </w:r>
    </w:p>
    <w:p w14:paraId="688562CF" w14:textId="77777777" w:rsidR="007A6A1A" w:rsidRPr="00167CB8" w:rsidRDefault="007A6A1A" w:rsidP="00567FCA">
      <w:pPr>
        <w:numPr>
          <w:ilvl w:val="0"/>
          <w:numId w:val="20"/>
        </w:numPr>
      </w:pPr>
      <w:r w:rsidRPr="00167CB8">
        <w:t>consider whether further amendments to the Fair Work Act 2009, or any other legislation, are necessary to: improve the operation of the amendments or rectify any unintended consequences that are identified.</w:t>
      </w:r>
    </w:p>
    <w:bookmarkEnd w:id="958"/>
    <w:p w14:paraId="602C906A" w14:textId="77777777" w:rsidR="007A6A1A" w:rsidRPr="00167CB8" w:rsidRDefault="007A6A1A" w:rsidP="00650687">
      <w:pPr>
        <w:pStyle w:val="Heading5"/>
      </w:pPr>
      <w:r w:rsidRPr="00167CB8">
        <w:t>Secure Jobs, Better Pay Act</w:t>
      </w:r>
    </w:p>
    <w:p w14:paraId="28AD1DF5" w14:textId="77777777" w:rsidR="007A6A1A" w:rsidRPr="00167CB8" w:rsidRDefault="007A6A1A" w:rsidP="007A6A1A">
      <w:r w:rsidRPr="00167CB8">
        <w:t>The Act is the first of a series of workplace relations reforms introduced by the Australian Government and includes reforms in the following areas:</w:t>
      </w:r>
    </w:p>
    <w:p w14:paraId="1463059E" w14:textId="77777777" w:rsidR="007A6A1A" w:rsidRPr="00167CB8" w:rsidRDefault="007A6A1A" w:rsidP="00567FCA">
      <w:pPr>
        <w:numPr>
          <w:ilvl w:val="0"/>
          <w:numId w:val="21"/>
        </w:numPr>
      </w:pPr>
      <w:r w:rsidRPr="00167CB8">
        <w:lastRenderedPageBreak/>
        <w:t xml:space="preserve">Enterprise bargaining </w:t>
      </w:r>
    </w:p>
    <w:p w14:paraId="35DB280F" w14:textId="77777777" w:rsidR="007A6A1A" w:rsidRPr="00167CB8" w:rsidRDefault="007A6A1A" w:rsidP="00567FCA">
      <w:pPr>
        <w:numPr>
          <w:ilvl w:val="0"/>
          <w:numId w:val="21"/>
        </w:numPr>
      </w:pPr>
      <w:r w:rsidRPr="00167CB8">
        <w:t>Job security and gender equality</w:t>
      </w:r>
    </w:p>
    <w:p w14:paraId="339CA0FD" w14:textId="77777777" w:rsidR="007A6A1A" w:rsidRPr="00167CB8" w:rsidRDefault="007A6A1A" w:rsidP="00567FCA">
      <w:pPr>
        <w:numPr>
          <w:ilvl w:val="0"/>
          <w:numId w:val="21"/>
        </w:numPr>
      </w:pPr>
      <w:r w:rsidRPr="00167CB8">
        <w:t>Compliance and enforcement</w:t>
      </w:r>
    </w:p>
    <w:p w14:paraId="1AD8E613" w14:textId="77777777" w:rsidR="007A6A1A" w:rsidRPr="00167CB8" w:rsidRDefault="007A6A1A" w:rsidP="00567FCA">
      <w:pPr>
        <w:numPr>
          <w:ilvl w:val="0"/>
          <w:numId w:val="21"/>
        </w:numPr>
      </w:pPr>
      <w:r w:rsidRPr="00167CB8">
        <w:t>Workplace conditions and protections</w:t>
      </w:r>
    </w:p>
    <w:p w14:paraId="0DFF2A6B" w14:textId="77777777" w:rsidR="007A6A1A" w:rsidRPr="00167CB8" w:rsidRDefault="007A6A1A" w:rsidP="00567FCA">
      <w:pPr>
        <w:numPr>
          <w:ilvl w:val="0"/>
          <w:numId w:val="21"/>
        </w:numPr>
      </w:pPr>
      <w:r w:rsidRPr="00167CB8">
        <w:t>Workplace relations institutions</w:t>
      </w:r>
    </w:p>
    <w:p w14:paraId="110AF13D" w14:textId="77777777" w:rsidR="007A6A1A" w:rsidRPr="00167CB8" w:rsidRDefault="007A6A1A" w:rsidP="00567FCA">
      <w:pPr>
        <w:numPr>
          <w:ilvl w:val="0"/>
          <w:numId w:val="21"/>
        </w:numPr>
      </w:pPr>
      <w:r w:rsidRPr="00167CB8">
        <w:t>Workers’ compensation.</w:t>
      </w:r>
    </w:p>
    <w:p w14:paraId="6BD564A2" w14:textId="77777777" w:rsidR="007A6A1A" w:rsidRPr="00167CB8" w:rsidRDefault="007A6A1A" w:rsidP="007A6A1A">
      <w:r w:rsidRPr="00167CB8">
        <w:t xml:space="preserve">Further information is available at </w:t>
      </w:r>
      <w:hyperlink r:id="rId101" w:history="1">
        <w:r w:rsidRPr="00167CB8">
          <w:rPr>
            <w:color w:val="0D2C6C" w:themeColor="text1"/>
            <w:u w:val="single"/>
          </w:rPr>
          <w:t>https://www.dewr.gov.au/secure-jobs-better-pay</w:t>
        </w:r>
      </w:hyperlink>
      <w:r w:rsidRPr="00167CB8">
        <w:t xml:space="preserve">. </w:t>
      </w:r>
    </w:p>
    <w:p w14:paraId="748292E2" w14:textId="77777777" w:rsidR="007A6A1A" w:rsidRPr="00167CB8" w:rsidRDefault="007A6A1A" w:rsidP="00650687">
      <w:pPr>
        <w:pStyle w:val="Heading5"/>
      </w:pPr>
      <w:r w:rsidRPr="00167CB8">
        <w:t>Part 16A of the Closing Loopholes Act</w:t>
      </w:r>
    </w:p>
    <w:p w14:paraId="5049E801" w14:textId="77777777" w:rsidR="007A6A1A" w:rsidRPr="00167CB8" w:rsidRDefault="007A6A1A" w:rsidP="007A6A1A">
      <w:r w:rsidRPr="00167CB8">
        <w:t xml:space="preserve">Part 16A of the Closing Loopholes Act amends section 494 of the </w:t>
      </w:r>
      <w:r w:rsidRPr="00167CB8">
        <w:rPr>
          <w:i/>
          <w:iCs/>
        </w:rPr>
        <w:t>Fair Work Act 2009</w:t>
      </w:r>
      <w:r w:rsidRPr="00167CB8">
        <w:t xml:space="preserve"> (Fair Work Act) to give effect to ‘Recommendation 8: Workplace entry of union officials when providing assistance to an HSR’ of the ‘2018 Review of the model WHS laws’ conducted by Marie Boland and published on 20 March 2020. Recommendation 8 provided that Safe Work Australia work with relevant agencies to consider how to achieve the policy intention that a union official accessing a workplace to provide assistance to a health and safety representative is not required to hold an entry permit under the Fair Work Act or another industrial law, taking into account the interaction between Commonwealth, state and territory laws. </w:t>
      </w:r>
    </w:p>
    <w:p w14:paraId="3E564A9A" w14:textId="77777777" w:rsidR="007A6A1A" w:rsidRPr="00167CB8" w:rsidRDefault="007A6A1A" w:rsidP="007A6A1A">
      <w:r w:rsidRPr="00167CB8">
        <w:t xml:space="preserve">For further information about the Closing Loopholes Act is available at </w:t>
      </w:r>
      <w:hyperlink r:id="rId102" w:history="1">
        <w:r w:rsidRPr="00167CB8">
          <w:rPr>
            <w:color w:val="0D2C6C" w:themeColor="text1"/>
            <w:u w:val="single"/>
          </w:rPr>
          <w:t>https://www.dewr.gov.au/closing-loopholes</w:t>
        </w:r>
      </w:hyperlink>
      <w:r w:rsidRPr="00167CB8">
        <w:t xml:space="preserve">. </w:t>
      </w:r>
    </w:p>
    <w:p w14:paraId="0F78C06D" w14:textId="77777777" w:rsidR="007A6A1A" w:rsidRPr="00167CB8" w:rsidRDefault="007A6A1A" w:rsidP="007A6A1A">
      <w:r w:rsidRPr="00167CB8">
        <w:t xml:space="preserve">Further information about the Review of the model WHS laws is available at </w:t>
      </w:r>
      <w:hyperlink r:id="rId103" w:history="1">
        <w:r w:rsidRPr="00167CB8">
          <w:rPr>
            <w:color w:val="0D2C6C" w:themeColor="text1"/>
            <w:u w:val="single"/>
          </w:rPr>
          <w:t>https://www.safeworkaustralia.gov.au/doc/review-model-whs-laws-final-report</w:t>
        </w:r>
      </w:hyperlink>
      <w:r w:rsidRPr="00167CB8">
        <w:t xml:space="preserve">. </w:t>
      </w:r>
    </w:p>
    <w:p w14:paraId="267ADE34" w14:textId="77777777" w:rsidR="007A6A1A" w:rsidRPr="00167CB8" w:rsidRDefault="007A6A1A" w:rsidP="00650687">
      <w:pPr>
        <w:pStyle w:val="Heading4"/>
      </w:pPr>
      <w:bookmarkStart w:id="959" w:name="_Toc188278068"/>
      <w:bookmarkStart w:id="960" w:name="_Toc189393699"/>
      <w:r w:rsidRPr="00167CB8">
        <w:t>Conduct of the review</w:t>
      </w:r>
      <w:bookmarkEnd w:id="959"/>
      <w:bookmarkEnd w:id="960"/>
    </w:p>
    <w:p w14:paraId="52AB4B1A" w14:textId="77777777" w:rsidR="007A6A1A" w:rsidRPr="00167CB8" w:rsidRDefault="007A6A1A" w:rsidP="007A6A1A">
      <w:r w:rsidRPr="00167CB8">
        <w:t xml:space="preserve">In conducting the Secure Jobs, Better Pay Review, the Review Panel will consider available qualitative and quantitative research. </w:t>
      </w:r>
    </w:p>
    <w:p w14:paraId="106D18F6" w14:textId="77777777" w:rsidR="007A6A1A" w:rsidRPr="00167CB8" w:rsidRDefault="007A6A1A" w:rsidP="007A6A1A">
      <w:r w:rsidRPr="00167CB8">
        <w:t xml:space="preserve">The review must be informed by stakeholder perspectives and stakeholders must be given an opportunity to provide submissions and evidence on the matters to be considered by the review. </w:t>
      </w:r>
    </w:p>
    <w:p w14:paraId="44635A27" w14:textId="77777777" w:rsidR="007A6A1A" w:rsidRPr="00167CB8" w:rsidRDefault="007A6A1A" w:rsidP="007A6A1A">
      <w:r w:rsidRPr="00167CB8">
        <w:t>Stakeholders must be given an opportunity to provide submissions in response to the draft Report.</w:t>
      </w:r>
    </w:p>
    <w:p w14:paraId="32865A44" w14:textId="77777777" w:rsidR="007A6A1A" w:rsidRPr="00167CB8" w:rsidRDefault="007A6A1A" w:rsidP="007A6A1A">
      <w:r w:rsidRPr="00167CB8">
        <w:t>All submissions and evidence received must be published and be publicly accessible, where appropriate.</w:t>
      </w:r>
    </w:p>
    <w:p w14:paraId="6741C335" w14:textId="77777777" w:rsidR="007A6A1A" w:rsidRPr="00167CB8" w:rsidRDefault="007A6A1A" w:rsidP="007A6A1A">
      <w:r w:rsidRPr="00167CB8">
        <w:t>The final Report must detail the Review Panel’s findings and recommendations about each of the matters to be considered by the review.</w:t>
      </w:r>
    </w:p>
    <w:p w14:paraId="60EAC6A8" w14:textId="77777777" w:rsidR="007A6A1A" w:rsidRPr="00167CB8" w:rsidRDefault="007A6A1A" w:rsidP="00650687">
      <w:pPr>
        <w:pStyle w:val="Heading4"/>
      </w:pPr>
      <w:bookmarkStart w:id="961" w:name="_Toc188278069"/>
      <w:bookmarkStart w:id="962" w:name="_Toc189393700"/>
      <w:r w:rsidRPr="00167CB8">
        <w:t>Publication</w:t>
      </w:r>
      <w:bookmarkEnd w:id="961"/>
      <w:bookmarkEnd w:id="962"/>
    </w:p>
    <w:p w14:paraId="29D40548" w14:textId="77777777" w:rsidR="007A6A1A" w:rsidRPr="00167CB8" w:rsidRDefault="007A6A1A" w:rsidP="007A6A1A">
      <w:r w:rsidRPr="00167CB8">
        <w:t>The final Report must be presented to the Minister in a high-quality standard. This includes ensuring that the final Report is cohesive and written in plain English. After provision to the Minister the Report must be professionally copy edited and proof-read to support publication and tabling in Parliament.</w:t>
      </w:r>
    </w:p>
    <w:p w14:paraId="45DB645C" w14:textId="77777777" w:rsidR="007A6A1A" w:rsidRPr="00167CB8" w:rsidRDefault="007A6A1A" w:rsidP="007A6A1A">
      <w:r w:rsidRPr="00167CB8">
        <w:lastRenderedPageBreak/>
        <w:t xml:space="preserve">The final Report and any website or associated material must comply with Web Content Accessibility Guidelines. For more information please visit: </w:t>
      </w:r>
      <w:hyperlink r:id="rId104" w:history="1">
        <w:r w:rsidRPr="00167CB8">
          <w:rPr>
            <w:color w:val="0D2C6C" w:themeColor="text1"/>
            <w:u w:val="single"/>
          </w:rPr>
          <w:t>https://www.stylemanual.gov.au/accessible-and-inclusive-content/make-content-accessible</w:t>
        </w:r>
      </w:hyperlink>
      <w:r w:rsidRPr="00167CB8">
        <w:t>.</w:t>
      </w:r>
    </w:p>
    <w:p w14:paraId="0CA60906" w14:textId="77777777" w:rsidR="007A6A1A" w:rsidRPr="00167CB8" w:rsidRDefault="007A6A1A" w:rsidP="007A6A1A"/>
    <w:p w14:paraId="58B4D85C" w14:textId="77777777" w:rsidR="007A6A1A" w:rsidRPr="00167CB8" w:rsidRDefault="007A6A1A" w:rsidP="007A6A1A">
      <w:pPr>
        <w:spacing w:after="160"/>
        <w:rPr>
          <w:rFonts w:eastAsiaTheme="majorEastAsia" w:cstheme="majorBidi"/>
          <w:b/>
          <w:color w:val="009B9F" w:themeColor="background2"/>
          <w:sz w:val="44"/>
          <w:szCs w:val="26"/>
        </w:rPr>
      </w:pPr>
      <w:r w:rsidRPr="00167CB8">
        <w:br w:type="page"/>
      </w:r>
    </w:p>
    <w:p w14:paraId="2CDD2F91" w14:textId="77777777" w:rsidR="007A6A1A" w:rsidRPr="00167CB8" w:rsidRDefault="007A6A1A" w:rsidP="00650687">
      <w:pPr>
        <w:pStyle w:val="Heading2"/>
      </w:pPr>
      <w:bookmarkStart w:id="963" w:name="_Toc188278070"/>
      <w:bookmarkStart w:id="964" w:name="_Toc189260191"/>
      <w:bookmarkStart w:id="965" w:name="_Toc189393701"/>
      <w:r w:rsidRPr="00167CB8">
        <w:lastRenderedPageBreak/>
        <w:t>Appendix 8 – Stakeholder input</w:t>
      </w:r>
      <w:bookmarkEnd w:id="963"/>
      <w:bookmarkEnd w:id="964"/>
      <w:bookmarkEnd w:id="965"/>
    </w:p>
    <w:p w14:paraId="3C76A7F7" w14:textId="77777777" w:rsidR="007A6A1A" w:rsidRPr="00167CB8" w:rsidRDefault="007A6A1A" w:rsidP="00650687">
      <w:pPr>
        <w:pStyle w:val="Heading4"/>
      </w:pPr>
      <w:bookmarkStart w:id="966" w:name="_Toc188278071"/>
      <w:bookmarkStart w:id="967" w:name="_Toc189393702"/>
      <w:r w:rsidRPr="00167CB8">
        <w:t>Written submissions received</w:t>
      </w:r>
      <w:bookmarkEnd w:id="966"/>
      <w:bookmarkEnd w:id="967"/>
    </w:p>
    <w:p w14:paraId="2F1683DA" w14:textId="77777777" w:rsidR="007A6A1A" w:rsidRPr="00167CB8" w:rsidRDefault="007A6A1A" w:rsidP="00567FCA">
      <w:pPr>
        <w:numPr>
          <w:ilvl w:val="0"/>
          <w:numId w:val="16"/>
        </w:numPr>
        <w:spacing w:after="120" w:line="360" w:lineRule="auto"/>
        <w:contextualSpacing/>
      </w:pPr>
      <w:r w:rsidRPr="00167CB8">
        <w:t>Dr Amanda Selvarajah – Monash University</w:t>
      </w:r>
    </w:p>
    <w:p w14:paraId="0DCD02DD" w14:textId="77777777" w:rsidR="007A6A1A" w:rsidRPr="00167CB8" w:rsidRDefault="007A6A1A" w:rsidP="00433295">
      <w:pPr>
        <w:numPr>
          <w:ilvl w:val="0"/>
          <w:numId w:val="2"/>
        </w:numPr>
        <w:spacing w:after="120" w:line="360" w:lineRule="auto"/>
        <w:contextualSpacing/>
      </w:pPr>
      <w:r w:rsidRPr="00167CB8">
        <w:t>Associate Professor Alysia Blackham – University of Melbourne</w:t>
      </w:r>
    </w:p>
    <w:p w14:paraId="0CF38266" w14:textId="77777777" w:rsidR="007A6A1A" w:rsidRPr="00167CB8" w:rsidRDefault="007A6A1A" w:rsidP="00433295">
      <w:pPr>
        <w:numPr>
          <w:ilvl w:val="0"/>
          <w:numId w:val="2"/>
        </w:numPr>
        <w:spacing w:after="120" w:line="360" w:lineRule="auto"/>
        <w:contextualSpacing/>
      </w:pPr>
      <w:r w:rsidRPr="00167CB8">
        <w:t>Association of Australian Medical Research Institutes</w:t>
      </w:r>
    </w:p>
    <w:p w14:paraId="74DE39AD" w14:textId="77777777" w:rsidR="007A6A1A" w:rsidRPr="00167CB8" w:rsidRDefault="007A6A1A" w:rsidP="00433295">
      <w:pPr>
        <w:numPr>
          <w:ilvl w:val="0"/>
          <w:numId w:val="2"/>
        </w:numPr>
        <w:spacing w:after="120" w:line="360" w:lineRule="auto"/>
        <w:contextualSpacing/>
      </w:pPr>
      <w:r w:rsidRPr="00167CB8">
        <w:t>Housing Industry Association</w:t>
      </w:r>
    </w:p>
    <w:p w14:paraId="0C578BA6" w14:textId="77777777" w:rsidR="007A6A1A" w:rsidRPr="00167CB8" w:rsidRDefault="007A6A1A" w:rsidP="00433295">
      <w:pPr>
        <w:numPr>
          <w:ilvl w:val="0"/>
          <w:numId w:val="2"/>
        </w:numPr>
        <w:spacing w:after="120" w:line="360" w:lineRule="auto"/>
        <w:contextualSpacing/>
      </w:pPr>
      <w:r w:rsidRPr="00167CB8">
        <w:t>Community Public Sector Union (PSU Group)</w:t>
      </w:r>
    </w:p>
    <w:p w14:paraId="15952511" w14:textId="77777777" w:rsidR="007A6A1A" w:rsidRPr="00167CB8" w:rsidRDefault="007A6A1A" w:rsidP="00433295">
      <w:pPr>
        <w:numPr>
          <w:ilvl w:val="0"/>
          <w:numId w:val="2"/>
        </w:numPr>
        <w:spacing w:after="120" w:line="360" w:lineRule="auto"/>
        <w:contextualSpacing/>
      </w:pPr>
      <w:r w:rsidRPr="00167CB8">
        <w:t>Master Electricians Australia</w:t>
      </w:r>
    </w:p>
    <w:p w14:paraId="15BBB4C7" w14:textId="77777777" w:rsidR="007A6A1A" w:rsidRPr="00167CB8" w:rsidRDefault="007A6A1A" w:rsidP="00433295">
      <w:pPr>
        <w:numPr>
          <w:ilvl w:val="0"/>
          <w:numId w:val="2"/>
        </w:numPr>
        <w:spacing w:after="120" w:line="360" w:lineRule="auto"/>
        <w:contextualSpacing/>
      </w:pPr>
      <w:r w:rsidRPr="00167CB8">
        <w:t>Shop, Distributive and Allied Employees’ Association</w:t>
      </w:r>
    </w:p>
    <w:p w14:paraId="5D12E13A" w14:textId="77777777" w:rsidR="007A6A1A" w:rsidRPr="00167CB8" w:rsidRDefault="007A6A1A" w:rsidP="00433295">
      <w:pPr>
        <w:numPr>
          <w:ilvl w:val="0"/>
          <w:numId w:val="2"/>
        </w:numPr>
        <w:spacing w:after="120" w:line="360" w:lineRule="auto"/>
        <w:contextualSpacing/>
      </w:pPr>
      <w:r w:rsidRPr="00167CB8">
        <w:t>Whitehaven Coal</w:t>
      </w:r>
    </w:p>
    <w:p w14:paraId="38574AFB" w14:textId="77777777" w:rsidR="007A6A1A" w:rsidRPr="00167CB8" w:rsidRDefault="007A6A1A" w:rsidP="00433295">
      <w:pPr>
        <w:numPr>
          <w:ilvl w:val="0"/>
          <w:numId w:val="2"/>
        </w:numPr>
        <w:spacing w:after="120" w:line="360" w:lineRule="auto"/>
        <w:contextualSpacing/>
      </w:pPr>
      <w:r w:rsidRPr="00167CB8">
        <w:t>Finance Sector Union</w:t>
      </w:r>
    </w:p>
    <w:p w14:paraId="07E46205" w14:textId="77777777" w:rsidR="007A6A1A" w:rsidRPr="00167CB8" w:rsidRDefault="007A6A1A" w:rsidP="00433295">
      <w:pPr>
        <w:numPr>
          <w:ilvl w:val="0"/>
          <w:numId w:val="2"/>
        </w:numPr>
        <w:spacing w:after="120" w:line="360" w:lineRule="auto"/>
        <w:contextualSpacing/>
      </w:pPr>
      <w:r w:rsidRPr="00167CB8">
        <w:t>Mining and Energy Union</w:t>
      </w:r>
    </w:p>
    <w:p w14:paraId="5F90FD55" w14:textId="77777777" w:rsidR="007A6A1A" w:rsidRPr="00167CB8" w:rsidRDefault="007A6A1A" w:rsidP="00433295">
      <w:pPr>
        <w:numPr>
          <w:ilvl w:val="0"/>
          <w:numId w:val="2"/>
        </w:numPr>
        <w:spacing w:after="120" w:line="360" w:lineRule="auto"/>
        <w:contextualSpacing/>
      </w:pPr>
      <w:r w:rsidRPr="00167CB8">
        <w:t>Maritime Industry Australia Ltd</w:t>
      </w:r>
    </w:p>
    <w:p w14:paraId="58538377" w14:textId="77777777" w:rsidR="007A6A1A" w:rsidRPr="00167CB8" w:rsidRDefault="007A6A1A" w:rsidP="00433295">
      <w:pPr>
        <w:numPr>
          <w:ilvl w:val="0"/>
          <w:numId w:val="2"/>
        </w:numPr>
        <w:spacing w:after="120" w:line="360" w:lineRule="auto"/>
        <w:contextualSpacing/>
      </w:pPr>
      <w:r w:rsidRPr="00167CB8">
        <w:t>Recruitment, Consulting &amp; Staffing Association</w:t>
      </w:r>
    </w:p>
    <w:p w14:paraId="16E7410D" w14:textId="77777777" w:rsidR="007A6A1A" w:rsidRPr="00167CB8" w:rsidRDefault="007A6A1A" w:rsidP="00433295">
      <w:pPr>
        <w:numPr>
          <w:ilvl w:val="0"/>
          <w:numId w:val="2"/>
        </w:numPr>
        <w:spacing w:after="120" w:line="360" w:lineRule="auto"/>
        <w:contextualSpacing/>
      </w:pPr>
      <w:r w:rsidRPr="00167CB8">
        <w:t>Council of Small Business Organisations of Australia</w:t>
      </w:r>
    </w:p>
    <w:p w14:paraId="40B75AE0" w14:textId="77777777" w:rsidR="007A6A1A" w:rsidRPr="00167CB8" w:rsidRDefault="007A6A1A" w:rsidP="00433295">
      <w:pPr>
        <w:numPr>
          <w:ilvl w:val="0"/>
          <w:numId w:val="2"/>
        </w:numPr>
        <w:spacing w:after="120" w:line="360" w:lineRule="auto"/>
        <w:contextualSpacing/>
      </w:pPr>
      <w:r w:rsidRPr="00167CB8">
        <w:t>Clubs Australia</w:t>
      </w:r>
    </w:p>
    <w:p w14:paraId="55262455" w14:textId="77777777" w:rsidR="007A6A1A" w:rsidRPr="00167CB8" w:rsidRDefault="007A6A1A" w:rsidP="00433295">
      <w:pPr>
        <w:numPr>
          <w:ilvl w:val="0"/>
          <w:numId w:val="2"/>
        </w:numPr>
        <w:spacing w:after="120" w:line="360" w:lineRule="auto"/>
        <w:contextualSpacing/>
      </w:pPr>
      <w:r w:rsidRPr="00167CB8">
        <w:t>Employment Rights Legal Service (Inner City Legal Centre, Redfern Legal Centre and Kingsford Legal Centre)</w:t>
      </w:r>
    </w:p>
    <w:p w14:paraId="334CAC5E" w14:textId="77777777" w:rsidR="007A6A1A" w:rsidRPr="00167CB8" w:rsidRDefault="007A6A1A" w:rsidP="00433295">
      <w:pPr>
        <w:numPr>
          <w:ilvl w:val="0"/>
          <w:numId w:val="2"/>
        </w:numPr>
        <w:spacing w:after="120" w:line="360" w:lineRule="auto"/>
        <w:contextualSpacing/>
      </w:pPr>
      <w:r w:rsidRPr="00167CB8">
        <w:t>Master Grocers Australia</w:t>
      </w:r>
    </w:p>
    <w:p w14:paraId="1F7D63AC" w14:textId="77777777" w:rsidR="007A6A1A" w:rsidRPr="00167CB8" w:rsidRDefault="007A6A1A" w:rsidP="00433295">
      <w:pPr>
        <w:numPr>
          <w:ilvl w:val="0"/>
          <w:numId w:val="2"/>
        </w:numPr>
        <w:spacing w:after="120" w:line="360" w:lineRule="auto"/>
        <w:contextualSpacing/>
      </w:pPr>
      <w:r w:rsidRPr="00167CB8">
        <w:t>Construction Forestry and Maritime Employees Union (Construction and General Division)</w:t>
      </w:r>
    </w:p>
    <w:p w14:paraId="286588F0" w14:textId="77777777" w:rsidR="007A6A1A" w:rsidRPr="00167CB8" w:rsidRDefault="007A6A1A" w:rsidP="00433295">
      <w:pPr>
        <w:numPr>
          <w:ilvl w:val="0"/>
          <w:numId w:val="2"/>
        </w:numPr>
        <w:spacing w:after="120" w:line="360" w:lineRule="auto"/>
        <w:contextualSpacing/>
      </w:pPr>
      <w:r w:rsidRPr="00167CB8">
        <w:t>Business Council of Australia</w:t>
      </w:r>
    </w:p>
    <w:p w14:paraId="5A4335A7" w14:textId="77777777" w:rsidR="007A6A1A" w:rsidRPr="00167CB8" w:rsidRDefault="007A6A1A" w:rsidP="00433295">
      <w:pPr>
        <w:numPr>
          <w:ilvl w:val="0"/>
          <w:numId w:val="2"/>
        </w:numPr>
        <w:spacing w:after="120" w:line="360" w:lineRule="auto"/>
        <w:contextualSpacing/>
      </w:pPr>
      <w:r w:rsidRPr="00167CB8">
        <w:t>Australian Retailers Association</w:t>
      </w:r>
    </w:p>
    <w:p w14:paraId="5F6E3908" w14:textId="77777777" w:rsidR="007A6A1A" w:rsidRPr="00167CB8" w:rsidRDefault="007A6A1A" w:rsidP="00433295">
      <w:pPr>
        <w:numPr>
          <w:ilvl w:val="0"/>
          <w:numId w:val="2"/>
        </w:numPr>
        <w:spacing w:after="120" w:line="360" w:lineRule="auto"/>
        <w:contextualSpacing/>
      </w:pPr>
      <w:r w:rsidRPr="00167CB8">
        <w:t>Australian Council of Trade Unions</w:t>
      </w:r>
    </w:p>
    <w:p w14:paraId="228EE14B" w14:textId="77777777" w:rsidR="007A6A1A" w:rsidRPr="00167CB8" w:rsidRDefault="007A6A1A" w:rsidP="00433295">
      <w:pPr>
        <w:numPr>
          <w:ilvl w:val="0"/>
          <w:numId w:val="2"/>
        </w:numPr>
        <w:spacing w:after="120" w:line="360" w:lineRule="auto"/>
        <w:contextualSpacing/>
      </w:pPr>
      <w:r w:rsidRPr="00167CB8">
        <w:t>Community Council for Australia</w:t>
      </w:r>
    </w:p>
    <w:p w14:paraId="5E65B79C" w14:textId="77777777" w:rsidR="007A6A1A" w:rsidRPr="00167CB8" w:rsidRDefault="007A6A1A" w:rsidP="00433295">
      <w:pPr>
        <w:numPr>
          <w:ilvl w:val="0"/>
          <w:numId w:val="2"/>
        </w:numPr>
        <w:spacing w:after="120" w:line="360" w:lineRule="auto"/>
        <w:contextualSpacing/>
      </w:pPr>
      <w:r w:rsidRPr="00167CB8">
        <w:t>Australian Higher Education Industrial Association</w:t>
      </w:r>
    </w:p>
    <w:p w14:paraId="7F41D2CE" w14:textId="77777777" w:rsidR="007A6A1A" w:rsidRPr="00167CB8" w:rsidRDefault="007A6A1A" w:rsidP="00433295">
      <w:pPr>
        <w:numPr>
          <w:ilvl w:val="0"/>
          <w:numId w:val="2"/>
        </w:numPr>
        <w:spacing w:after="120" w:line="360" w:lineRule="auto"/>
        <w:contextualSpacing/>
      </w:pPr>
      <w:r w:rsidRPr="00167CB8">
        <w:t>Chamber of Commerce and Industry WA</w:t>
      </w:r>
    </w:p>
    <w:p w14:paraId="1B4121B3" w14:textId="77777777" w:rsidR="007A6A1A" w:rsidRPr="00167CB8" w:rsidRDefault="007A6A1A" w:rsidP="00433295">
      <w:pPr>
        <w:numPr>
          <w:ilvl w:val="0"/>
          <w:numId w:val="2"/>
        </w:numPr>
        <w:spacing w:after="120" w:line="360" w:lineRule="auto"/>
        <w:contextualSpacing/>
      </w:pPr>
      <w:r w:rsidRPr="00167CB8">
        <w:t>Australian Nursing and Midwifery Federation</w:t>
      </w:r>
    </w:p>
    <w:p w14:paraId="2CB6830E" w14:textId="77777777" w:rsidR="007A6A1A" w:rsidRPr="00167CB8" w:rsidRDefault="007A6A1A" w:rsidP="00433295">
      <w:pPr>
        <w:numPr>
          <w:ilvl w:val="0"/>
          <w:numId w:val="2"/>
        </w:numPr>
        <w:spacing w:after="120" w:line="360" w:lineRule="auto"/>
        <w:contextualSpacing/>
      </w:pPr>
      <w:r w:rsidRPr="00167CB8">
        <w:t>Office of the Commissioner for Public Employment (NT)</w:t>
      </w:r>
    </w:p>
    <w:p w14:paraId="70CE7E4F" w14:textId="77777777" w:rsidR="007A6A1A" w:rsidRPr="00167CB8" w:rsidRDefault="007A6A1A" w:rsidP="00433295">
      <w:pPr>
        <w:numPr>
          <w:ilvl w:val="0"/>
          <w:numId w:val="2"/>
        </w:numPr>
        <w:spacing w:after="120" w:line="360" w:lineRule="auto"/>
        <w:contextualSpacing/>
      </w:pPr>
      <w:r w:rsidRPr="00167CB8">
        <w:t>Honorary Associate Professor Anne Junor</w:t>
      </w:r>
    </w:p>
    <w:p w14:paraId="3CD08ED1" w14:textId="77777777" w:rsidR="007A6A1A" w:rsidRPr="00167CB8" w:rsidRDefault="007A6A1A" w:rsidP="00433295">
      <w:pPr>
        <w:numPr>
          <w:ilvl w:val="0"/>
          <w:numId w:val="2"/>
        </w:numPr>
        <w:spacing w:after="120" w:line="360" w:lineRule="auto"/>
        <w:contextualSpacing/>
      </w:pPr>
      <w:r w:rsidRPr="00167CB8">
        <w:t>Australian Resources and Energy Employer Association</w:t>
      </w:r>
    </w:p>
    <w:p w14:paraId="2803B3FB" w14:textId="77777777" w:rsidR="007A6A1A" w:rsidRPr="00167CB8" w:rsidRDefault="007A6A1A" w:rsidP="00433295">
      <w:pPr>
        <w:numPr>
          <w:ilvl w:val="0"/>
          <w:numId w:val="2"/>
        </w:numPr>
        <w:spacing w:after="120" w:line="360" w:lineRule="auto"/>
        <w:contextualSpacing/>
      </w:pPr>
      <w:r w:rsidRPr="00167CB8">
        <w:t>National Tertiary Education Union</w:t>
      </w:r>
    </w:p>
    <w:p w14:paraId="311C65AC" w14:textId="77777777" w:rsidR="007A6A1A" w:rsidRPr="00167CB8" w:rsidRDefault="007A6A1A" w:rsidP="00433295">
      <w:pPr>
        <w:numPr>
          <w:ilvl w:val="0"/>
          <w:numId w:val="2"/>
        </w:numPr>
        <w:spacing w:after="120" w:line="360" w:lineRule="auto"/>
        <w:contextualSpacing/>
      </w:pPr>
      <w:r w:rsidRPr="00167CB8">
        <w:t>Electrical Trades Union of Australia</w:t>
      </w:r>
    </w:p>
    <w:p w14:paraId="297547E2" w14:textId="77777777" w:rsidR="007A6A1A" w:rsidRPr="00167CB8" w:rsidRDefault="007A6A1A" w:rsidP="00433295">
      <w:pPr>
        <w:numPr>
          <w:ilvl w:val="0"/>
          <w:numId w:val="2"/>
        </w:numPr>
        <w:spacing w:after="120" w:line="360" w:lineRule="auto"/>
        <w:contextualSpacing/>
      </w:pPr>
      <w:r w:rsidRPr="00167CB8">
        <w:t>Chamber of Minerals &amp; Energy of Western Australia</w:t>
      </w:r>
    </w:p>
    <w:p w14:paraId="13537F1F" w14:textId="77777777" w:rsidR="007A6A1A" w:rsidRPr="00167CB8" w:rsidRDefault="007A6A1A" w:rsidP="00433295">
      <w:pPr>
        <w:numPr>
          <w:ilvl w:val="0"/>
          <w:numId w:val="2"/>
        </w:numPr>
        <w:spacing w:after="120" w:line="360" w:lineRule="auto"/>
        <w:contextualSpacing/>
      </w:pPr>
      <w:r w:rsidRPr="00167CB8">
        <w:lastRenderedPageBreak/>
        <w:t>Circle Green Community Legal</w:t>
      </w:r>
    </w:p>
    <w:p w14:paraId="05408FD2" w14:textId="77777777" w:rsidR="007A6A1A" w:rsidRPr="00167CB8" w:rsidRDefault="007A6A1A" w:rsidP="00433295">
      <w:pPr>
        <w:numPr>
          <w:ilvl w:val="0"/>
          <w:numId w:val="2"/>
        </w:numPr>
        <w:spacing w:after="120" w:line="360" w:lineRule="auto"/>
        <w:contextualSpacing/>
      </w:pPr>
      <w:r w:rsidRPr="00167CB8">
        <w:t>Minerals Council of Australia</w:t>
      </w:r>
    </w:p>
    <w:p w14:paraId="18DA30AD" w14:textId="77777777" w:rsidR="007A6A1A" w:rsidRPr="00167CB8" w:rsidRDefault="007A6A1A" w:rsidP="00433295">
      <w:pPr>
        <w:numPr>
          <w:ilvl w:val="0"/>
          <w:numId w:val="2"/>
        </w:numPr>
        <w:spacing w:after="120" w:line="360" w:lineRule="auto"/>
        <w:contextualSpacing/>
      </w:pPr>
      <w:r w:rsidRPr="00167CB8">
        <w:t>Pharmacy Guild of Australia</w:t>
      </w:r>
    </w:p>
    <w:p w14:paraId="058A17F8" w14:textId="77777777" w:rsidR="007A6A1A" w:rsidRPr="00167CB8" w:rsidRDefault="007A6A1A" w:rsidP="00433295">
      <w:pPr>
        <w:numPr>
          <w:ilvl w:val="0"/>
          <w:numId w:val="2"/>
        </w:numPr>
        <w:spacing w:after="120" w:line="360" w:lineRule="auto"/>
        <w:contextualSpacing/>
      </w:pPr>
      <w:r w:rsidRPr="00167CB8">
        <w:t>Master Builders Australia</w:t>
      </w:r>
    </w:p>
    <w:p w14:paraId="1DC644A3" w14:textId="77777777" w:rsidR="007A6A1A" w:rsidRPr="00167CB8" w:rsidRDefault="007A6A1A" w:rsidP="00433295">
      <w:pPr>
        <w:numPr>
          <w:ilvl w:val="0"/>
          <w:numId w:val="2"/>
        </w:numPr>
        <w:spacing w:after="120" w:line="360" w:lineRule="auto"/>
        <w:contextualSpacing/>
      </w:pPr>
      <w:r w:rsidRPr="00167CB8">
        <w:t>United Workers Union</w:t>
      </w:r>
    </w:p>
    <w:p w14:paraId="5A43D5E3" w14:textId="77777777" w:rsidR="007A6A1A" w:rsidRPr="00167CB8" w:rsidRDefault="007A6A1A" w:rsidP="00433295">
      <w:pPr>
        <w:numPr>
          <w:ilvl w:val="0"/>
          <w:numId w:val="2"/>
        </w:numPr>
        <w:spacing w:after="120" w:line="360" w:lineRule="auto"/>
        <w:contextualSpacing/>
      </w:pPr>
      <w:r w:rsidRPr="00167CB8">
        <w:t>Professor Rae Cooper AO, FASSA</w:t>
      </w:r>
    </w:p>
    <w:p w14:paraId="777159E6" w14:textId="77777777" w:rsidR="007A6A1A" w:rsidRPr="00167CB8" w:rsidRDefault="007A6A1A" w:rsidP="00433295">
      <w:pPr>
        <w:numPr>
          <w:ilvl w:val="0"/>
          <w:numId w:val="2"/>
        </w:numPr>
        <w:spacing w:after="120" w:line="360" w:lineRule="auto"/>
        <w:contextualSpacing/>
      </w:pPr>
      <w:r w:rsidRPr="00167CB8">
        <w:t>Centre for Future Work</w:t>
      </w:r>
    </w:p>
    <w:p w14:paraId="5292D719" w14:textId="77777777" w:rsidR="007A6A1A" w:rsidRPr="00167CB8" w:rsidRDefault="007A6A1A" w:rsidP="00433295">
      <w:pPr>
        <w:numPr>
          <w:ilvl w:val="0"/>
          <w:numId w:val="2"/>
        </w:numPr>
        <w:spacing w:after="120" w:line="360" w:lineRule="auto"/>
        <w:contextualSpacing/>
      </w:pPr>
      <w:r w:rsidRPr="00167CB8">
        <w:t>Australian Services Union</w:t>
      </w:r>
    </w:p>
    <w:p w14:paraId="6652AE60" w14:textId="77777777" w:rsidR="007A6A1A" w:rsidRPr="00167CB8" w:rsidRDefault="007A6A1A" w:rsidP="00433295">
      <w:pPr>
        <w:numPr>
          <w:ilvl w:val="0"/>
          <w:numId w:val="2"/>
        </w:numPr>
        <w:spacing w:after="120" w:line="360" w:lineRule="auto"/>
        <w:contextualSpacing/>
      </w:pPr>
      <w:r w:rsidRPr="00167CB8">
        <w:t>Australian Chamber of Commerce and Industry</w:t>
      </w:r>
    </w:p>
    <w:p w14:paraId="0CF87FFB" w14:textId="77777777" w:rsidR="007A6A1A" w:rsidRPr="00167CB8" w:rsidRDefault="007A6A1A" w:rsidP="00433295">
      <w:pPr>
        <w:numPr>
          <w:ilvl w:val="0"/>
          <w:numId w:val="2"/>
        </w:numPr>
        <w:spacing w:after="120" w:line="360" w:lineRule="auto"/>
        <w:contextualSpacing/>
      </w:pPr>
      <w:r w:rsidRPr="00167CB8">
        <w:t>Ai Group</w:t>
      </w:r>
    </w:p>
    <w:p w14:paraId="34527143" w14:textId="601B2650" w:rsidR="007A6A1A" w:rsidRPr="00167CB8" w:rsidRDefault="007A6A1A" w:rsidP="00433295">
      <w:pPr>
        <w:numPr>
          <w:ilvl w:val="0"/>
          <w:numId w:val="2"/>
        </w:numPr>
        <w:spacing w:after="120" w:line="360" w:lineRule="auto"/>
        <w:contextualSpacing/>
      </w:pPr>
      <w:r w:rsidRPr="00167CB8">
        <w:t>Associate Professor Chris F Wright</w:t>
      </w:r>
    </w:p>
    <w:p w14:paraId="59CFF034" w14:textId="77777777" w:rsidR="007A6A1A" w:rsidRPr="00167CB8" w:rsidRDefault="007A6A1A" w:rsidP="00433295">
      <w:pPr>
        <w:numPr>
          <w:ilvl w:val="0"/>
          <w:numId w:val="2"/>
        </w:numPr>
        <w:spacing w:after="120" w:line="360" w:lineRule="auto"/>
        <w:contextualSpacing/>
      </w:pPr>
      <w:r w:rsidRPr="00167CB8">
        <w:t>Independent Education Union</w:t>
      </w:r>
    </w:p>
    <w:p w14:paraId="193EE511" w14:textId="77777777" w:rsidR="007A6A1A" w:rsidRPr="00167CB8" w:rsidRDefault="007A6A1A" w:rsidP="00433295">
      <w:pPr>
        <w:numPr>
          <w:ilvl w:val="0"/>
          <w:numId w:val="2"/>
        </w:numPr>
        <w:spacing w:after="120" w:line="360" w:lineRule="auto"/>
        <w:contextualSpacing/>
      </w:pPr>
      <w:r w:rsidRPr="00167CB8">
        <w:t>Live Performance Australia</w:t>
      </w:r>
    </w:p>
    <w:p w14:paraId="1CE67F6A" w14:textId="77777777" w:rsidR="007A6A1A" w:rsidRPr="00167CB8" w:rsidRDefault="007A6A1A" w:rsidP="00433295">
      <w:pPr>
        <w:numPr>
          <w:ilvl w:val="0"/>
          <w:numId w:val="2"/>
        </w:numPr>
        <w:spacing w:after="120" w:line="360" w:lineRule="auto"/>
        <w:contextualSpacing/>
      </w:pPr>
      <w:r w:rsidRPr="00167CB8">
        <w:t>Australian Workers’ Union</w:t>
      </w:r>
    </w:p>
    <w:p w14:paraId="51B2CEDD" w14:textId="77777777" w:rsidR="007A6A1A" w:rsidRPr="00167CB8" w:rsidRDefault="007A6A1A" w:rsidP="00433295">
      <w:pPr>
        <w:numPr>
          <w:ilvl w:val="0"/>
          <w:numId w:val="2"/>
        </w:numPr>
        <w:spacing w:after="120" w:line="360" w:lineRule="auto"/>
        <w:contextualSpacing/>
      </w:pPr>
      <w:r w:rsidRPr="00167CB8">
        <w:t>Professor Emeritus David Peetz</w:t>
      </w:r>
    </w:p>
    <w:p w14:paraId="53B6C774" w14:textId="77777777" w:rsidR="007A6A1A" w:rsidRPr="00167CB8" w:rsidRDefault="007A6A1A" w:rsidP="00433295">
      <w:pPr>
        <w:numPr>
          <w:ilvl w:val="0"/>
          <w:numId w:val="2"/>
        </w:numPr>
        <w:spacing w:after="120" w:line="360" w:lineRule="auto"/>
        <w:contextualSpacing/>
      </w:pPr>
      <w:r w:rsidRPr="00167CB8">
        <w:t xml:space="preserve">Private submission </w:t>
      </w:r>
    </w:p>
    <w:p w14:paraId="260E9ECF" w14:textId="77777777" w:rsidR="007A6A1A" w:rsidRPr="00167CB8" w:rsidRDefault="007A6A1A" w:rsidP="00433295">
      <w:pPr>
        <w:numPr>
          <w:ilvl w:val="0"/>
          <w:numId w:val="2"/>
        </w:numPr>
        <w:spacing w:after="120" w:line="360" w:lineRule="auto"/>
        <w:contextualSpacing/>
      </w:pPr>
      <w:r w:rsidRPr="00167CB8">
        <w:t>Law Council of Australia</w:t>
      </w:r>
    </w:p>
    <w:p w14:paraId="19EF33BC" w14:textId="77777777" w:rsidR="007A6A1A" w:rsidRPr="00167CB8" w:rsidRDefault="007A6A1A" w:rsidP="007A6A1A">
      <w:pPr>
        <w:spacing w:after="160"/>
        <w:rPr>
          <w:rFonts w:eastAsiaTheme="majorEastAsia" w:cstheme="majorBidi"/>
          <w:b/>
          <w:color w:val="404246" w:themeColor="text2"/>
          <w:sz w:val="28"/>
        </w:rPr>
      </w:pPr>
      <w:r w:rsidRPr="00167CB8">
        <w:br w:type="page"/>
      </w:r>
    </w:p>
    <w:p w14:paraId="08A0602F" w14:textId="77777777" w:rsidR="007A6A1A" w:rsidRPr="00167CB8" w:rsidRDefault="007A6A1A" w:rsidP="00650687">
      <w:pPr>
        <w:pStyle w:val="Heading4"/>
      </w:pPr>
      <w:bookmarkStart w:id="968" w:name="_Toc188278072"/>
      <w:bookmarkStart w:id="969" w:name="_Toc189393703"/>
      <w:r w:rsidRPr="00167CB8">
        <w:lastRenderedPageBreak/>
        <w:t>Roundtables</w:t>
      </w:r>
      <w:bookmarkEnd w:id="968"/>
      <w:bookmarkEnd w:id="969"/>
    </w:p>
    <w:p w14:paraId="0B9696FC" w14:textId="36A9C0BA" w:rsidR="007A6A1A" w:rsidRPr="00167CB8" w:rsidRDefault="00C079ED" w:rsidP="007A6A1A">
      <w:r w:rsidRPr="00167CB8">
        <w:t>The lists below show t</w:t>
      </w:r>
      <w:r w:rsidR="007A6A1A" w:rsidRPr="00167CB8">
        <w:t xml:space="preserve">he stakeholders </w:t>
      </w:r>
      <w:r w:rsidRPr="00167CB8">
        <w:t xml:space="preserve">that were </w:t>
      </w:r>
      <w:r w:rsidR="007A6A1A" w:rsidRPr="00167CB8">
        <w:t xml:space="preserve">invited to each roundtable. </w:t>
      </w:r>
      <w:r w:rsidRPr="00167CB8">
        <w:t>The u</w:t>
      </w:r>
      <w:r w:rsidR="007A6A1A" w:rsidRPr="00167CB8">
        <w:t>nderlin</w:t>
      </w:r>
      <w:r w:rsidRPr="00167CB8">
        <w:t>ing shows the</w:t>
      </w:r>
      <w:r w:rsidR="007A6A1A" w:rsidRPr="00167CB8">
        <w:t xml:space="preserve"> stakeholders </w:t>
      </w:r>
      <w:r w:rsidRPr="00167CB8">
        <w:t xml:space="preserve">that </w:t>
      </w:r>
      <w:r w:rsidR="007A6A1A" w:rsidRPr="00167CB8">
        <w:t xml:space="preserve">attended </w:t>
      </w:r>
      <w:r w:rsidRPr="00167CB8">
        <w:t xml:space="preserve">that </w:t>
      </w:r>
      <w:r w:rsidR="007A6A1A" w:rsidRPr="00167CB8">
        <w:t>roundtable.</w:t>
      </w:r>
    </w:p>
    <w:p w14:paraId="2B2B05F5" w14:textId="29537AE9" w:rsidR="007A6A1A" w:rsidRPr="00167CB8" w:rsidRDefault="007A6A1A" w:rsidP="00650687">
      <w:pPr>
        <w:pStyle w:val="Heading5"/>
      </w:pPr>
      <w:r w:rsidRPr="00167CB8">
        <w:t xml:space="preserve">Employer </w:t>
      </w:r>
      <w:r w:rsidR="00C079ED" w:rsidRPr="00167CB8">
        <w:t>g</w:t>
      </w:r>
      <w:r w:rsidRPr="00167CB8">
        <w:t>roups (30 October)</w:t>
      </w:r>
    </w:p>
    <w:p w14:paraId="2C905BA0" w14:textId="77777777" w:rsidR="007A6A1A" w:rsidRPr="00167CB8" w:rsidRDefault="007A6A1A" w:rsidP="00433295">
      <w:pPr>
        <w:spacing w:after="120" w:line="360" w:lineRule="auto"/>
        <w:contextualSpacing/>
        <w:rPr>
          <w:u w:val="single"/>
        </w:rPr>
      </w:pPr>
      <w:r w:rsidRPr="00167CB8">
        <w:rPr>
          <w:u w:val="single"/>
        </w:rPr>
        <w:t>Housing Industry Association</w:t>
      </w:r>
    </w:p>
    <w:p w14:paraId="3917D7E0" w14:textId="77777777" w:rsidR="007A6A1A" w:rsidRPr="00167CB8" w:rsidRDefault="007A6A1A" w:rsidP="00433295">
      <w:pPr>
        <w:spacing w:after="120" w:line="360" w:lineRule="auto"/>
        <w:contextualSpacing/>
        <w:rPr>
          <w:u w:val="single"/>
        </w:rPr>
      </w:pPr>
      <w:r w:rsidRPr="00167CB8">
        <w:rPr>
          <w:u w:val="single"/>
        </w:rPr>
        <w:t>Australian Resources and Energy Employer Association (formerly AMMA)</w:t>
      </w:r>
    </w:p>
    <w:p w14:paraId="62C1828A" w14:textId="77777777" w:rsidR="007A6A1A" w:rsidRPr="00167CB8" w:rsidRDefault="007A6A1A" w:rsidP="00433295">
      <w:pPr>
        <w:spacing w:after="120" w:line="360" w:lineRule="auto"/>
        <w:contextualSpacing/>
        <w:rPr>
          <w:u w:val="single"/>
        </w:rPr>
      </w:pPr>
      <w:r w:rsidRPr="00167CB8">
        <w:rPr>
          <w:u w:val="single"/>
        </w:rPr>
        <w:t>Australian Chamber of Commerce and Industry</w:t>
      </w:r>
    </w:p>
    <w:p w14:paraId="34B9E3FE" w14:textId="77777777" w:rsidR="007A6A1A" w:rsidRPr="00167CB8" w:rsidRDefault="007A6A1A" w:rsidP="00433295">
      <w:pPr>
        <w:spacing w:after="120" w:line="360" w:lineRule="auto"/>
        <w:contextualSpacing/>
        <w:rPr>
          <w:u w:val="single"/>
        </w:rPr>
      </w:pPr>
      <w:r w:rsidRPr="00167CB8">
        <w:rPr>
          <w:u w:val="single"/>
        </w:rPr>
        <w:t>Business Council of Australia</w:t>
      </w:r>
    </w:p>
    <w:p w14:paraId="5A6C446A" w14:textId="77777777" w:rsidR="007A6A1A" w:rsidRPr="00167CB8" w:rsidRDefault="007A6A1A" w:rsidP="00433295">
      <w:pPr>
        <w:spacing w:after="120" w:line="360" w:lineRule="auto"/>
        <w:contextualSpacing/>
        <w:rPr>
          <w:u w:val="single"/>
        </w:rPr>
      </w:pPr>
      <w:r w:rsidRPr="00167CB8">
        <w:rPr>
          <w:u w:val="single"/>
        </w:rPr>
        <w:t>National Farmers’ Federation</w:t>
      </w:r>
    </w:p>
    <w:p w14:paraId="068978BE" w14:textId="77777777" w:rsidR="007A6A1A" w:rsidRPr="00167CB8" w:rsidRDefault="007A6A1A" w:rsidP="00433295">
      <w:pPr>
        <w:spacing w:after="120" w:line="360" w:lineRule="auto"/>
        <w:contextualSpacing/>
      </w:pPr>
      <w:r w:rsidRPr="00167CB8">
        <w:t>Master Builders Australia</w:t>
      </w:r>
    </w:p>
    <w:p w14:paraId="62E9C984" w14:textId="77777777" w:rsidR="007A6A1A" w:rsidRPr="00167CB8" w:rsidRDefault="007A6A1A" w:rsidP="00433295">
      <w:pPr>
        <w:spacing w:after="120" w:line="360" w:lineRule="auto"/>
        <w:contextualSpacing/>
        <w:rPr>
          <w:u w:val="single"/>
        </w:rPr>
      </w:pPr>
      <w:r w:rsidRPr="00167CB8">
        <w:rPr>
          <w:u w:val="single"/>
        </w:rPr>
        <w:t>Australian Industry Group</w:t>
      </w:r>
    </w:p>
    <w:p w14:paraId="3DE4CB82" w14:textId="77777777" w:rsidR="007A6A1A" w:rsidRPr="00167CB8" w:rsidRDefault="007A6A1A" w:rsidP="00433295">
      <w:pPr>
        <w:spacing w:after="120" w:line="360" w:lineRule="auto"/>
        <w:contextualSpacing/>
        <w:rPr>
          <w:u w:val="single"/>
        </w:rPr>
      </w:pPr>
      <w:r w:rsidRPr="00167CB8">
        <w:rPr>
          <w:u w:val="single"/>
        </w:rPr>
        <w:t>Council of Small Business Organisations of Australia</w:t>
      </w:r>
    </w:p>
    <w:p w14:paraId="0D600C0D" w14:textId="77777777" w:rsidR="007A6A1A" w:rsidRPr="00167CB8" w:rsidRDefault="007A6A1A" w:rsidP="00433295">
      <w:pPr>
        <w:spacing w:after="120" w:line="360" w:lineRule="auto"/>
        <w:contextualSpacing/>
        <w:rPr>
          <w:u w:val="single"/>
        </w:rPr>
      </w:pPr>
      <w:r w:rsidRPr="00167CB8">
        <w:rPr>
          <w:u w:val="single"/>
        </w:rPr>
        <w:t>Minerals Council of Australia</w:t>
      </w:r>
    </w:p>
    <w:p w14:paraId="2AC785BC" w14:textId="77777777" w:rsidR="00705F56" w:rsidRPr="00167CB8" w:rsidRDefault="00705F56" w:rsidP="007A6A1A">
      <w:pPr>
        <w:spacing w:after="200"/>
        <w:contextualSpacing/>
        <w:rPr>
          <w:u w:val="single"/>
        </w:rPr>
      </w:pPr>
    </w:p>
    <w:p w14:paraId="38BB0FB0" w14:textId="029F003C" w:rsidR="007A6A1A" w:rsidRPr="00167CB8" w:rsidRDefault="007A6A1A" w:rsidP="00650687">
      <w:pPr>
        <w:pStyle w:val="Heading5"/>
      </w:pPr>
      <w:r w:rsidRPr="00167CB8">
        <w:t xml:space="preserve">Employee </w:t>
      </w:r>
      <w:r w:rsidR="00C079ED" w:rsidRPr="00167CB8">
        <w:t>r</w:t>
      </w:r>
      <w:r w:rsidRPr="00167CB8">
        <w:t>epresentatives (31 October)</w:t>
      </w:r>
    </w:p>
    <w:p w14:paraId="7B5598EB" w14:textId="77777777" w:rsidR="007A6A1A" w:rsidRPr="00167CB8" w:rsidRDefault="007A6A1A" w:rsidP="00433295">
      <w:pPr>
        <w:spacing w:after="120" w:line="360" w:lineRule="auto"/>
        <w:contextualSpacing/>
        <w:rPr>
          <w:u w:val="single"/>
        </w:rPr>
      </w:pPr>
      <w:r w:rsidRPr="00167CB8">
        <w:rPr>
          <w:u w:val="single"/>
        </w:rPr>
        <w:t>Australian Council of Trade Unions</w:t>
      </w:r>
    </w:p>
    <w:p w14:paraId="1DD8623D" w14:textId="77777777" w:rsidR="007A6A1A" w:rsidRPr="00167CB8" w:rsidRDefault="007A6A1A" w:rsidP="00433295">
      <w:pPr>
        <w:spacing w:after="120" w:line="360" w:lineRule="auto"/>
        <w:contextualSpacing/>
      </w:pPr>
      <w:r w:rsidRPr="00167CB8">
        <w:t xml:space="preserve">Australian Institute of Marine and Power Engineers </w:t>
      </w:r>
    </w:p>
    <w:p w14:paraId="113D832C" w14:textId="77777777" w:rsidR="007A6A1A" w:rsidRPr="00167CB8" w:rsidRDefault="007A6A1A" w:rsidP="00433295">
      <w:pPr>
        <w:spacing w:after="120" w:line="360" w:lineRule="auto"/>
        <w:contextualSpacing/>
        <w:rPr>
          <w:u w:val="single"/>
        </w:rPr>
      </w:pPr>
      <w:r w:rsidRPr="00167CB8">
        <w:rPr>
          <w:u w:val="single"/>
        </w:rPr>
        <w:t xml:space="preserve">Australasian Meat Industry Employees Union </w:t>
      </w:r>
    </w:p>
    <w:p w14:paraId="7FDDED9F" w14:textId="77777777" w:rsidR="007A6A1A" w:rsidRPr="00167CB8" w:rsidRDefault="007A6A1A" w:rsidP="00433295">
      <w:pPr>
        <w:spacing w:after="120" w:line="360" w:lineRule="auto"/>
        <w:contextualSpacing/>
      </w:pPr>
      <w:r w:rsidRPr="00167CB8">
        <w:t xml:space="preserve">Australian Education Union </w:t>
      </w:r>
    </w:p>
    <w:p w14:paraId="7FF1E744" w14:textId="28D8AB21" w:rsidR="007A6A1A" w:rsidRPr="00167CB8" w:rsidRDefault="007A6A1A" w:rsidP="00433295">
      <w:pPr>
        <w:spacing w:after="120" w:line="360" w:lineRule="auto"/>
        <w:contextualSpacing/>
        <w:rPr>
          <w:u w:val="single"/>
        </w:rPr>
      </w:pPr>
      <w:r w:rsidRPr="00167CB8">
        <w:rPr>
          <w:u w:val="single"/>
        </w:rPr>
        <w:t>Australian Manufacturing Workers</w:t>
      </w:r>
      <w:r w:rsidR="00C079ED" w:rsidRPr="00167CB8">
        <w:rPr>
          <w:u w:val="single"/>
        </w:rPr>
        <w:t>’</w:t>
      </w:r>
      <w:r w:rsidRPr="00167CB8">
        <w:rPr>
          <w:u w:val="single"/>
        </w:rPr>
        <w:t xml:space="preserve"> Union </w:t>
      </w:r>
    </w:p>
    <w:p w14:paraId="7E421B4D" w14:textId="77777777" w:rsidR="007A6A1A" w:rsidRPr="00167CB8" w:rsidRDefault="007A6A1A" w:rsidP="00433295">
      <w:pPr>
        <w:spacing w:after="120" w:line="360" w:lineRule="auto"/>
        <w:contextualSpacing/>
      </w:pPr>
      <w:r w:rsidRPr="00167CB8">
        <w:t xml:space="preserve">Australian Maritime Officers Union </w:t>
      </w:r>
    </w:p>
    <w:p w14:paraId="491E6610" w14:textId="77777777" w:rsidR="007A6A1A" w:rsidRPr="00167CB8" w:rsidRDefault="007A6A1A" w:rsidP="00433295">
      <w:pPr>
        <w:spacing w:after="120" w:line="360" w:lineRule="auto"/>
        <w:contextualSpacing/>
        <w:rPr>
          <w:u w:val="single"/>
        </w:rPr>
      </w:pPr>
      <w:r w:rsidRPr="00167CB8">
        <w:rPr>
          <w:u w:val="single"/>
        </w:rPr>
        <w:t xml:space="preserve">Australian Nursing and Midwifery Federation </w:t>
      </w:r>
    </w:p>
    <w:p w14:paraId="2E3E4EDA" w14:textId="77777777" w:rsidR="007A6A1A" w:rsidRPr="00167CB8" w:rsidRDefault="007A6A1A" w:rsidP="00433295">
      <w:pPr>
        <w:spacing w:after="120" w:line="360" w:lineRule="auto"/>
        <w:contextualSpacing/>
        <w:rPr>
          <w:u w:val="single"/>
        </w:rPr>
      </w:pPr>
      <w:r w:rsidRPr="00167CB8">
        <w:rPr>
          <w:u w:val="single"/>
        </w:rPr>
        <w:t xml:space="preserve">Australian Services Union </w:t>
      </w:r>
    </w:p>
    <w:p w14:paraId="2763CF46" w14:textId="77777777" w:rsidR="007A6A1A" w:rsidRPr="00167CB8" w:rsidRDefault="007A6A1A" w:rsidP="00433295">
      <w:pPr>
        <w:spacing w:after="120" w:line="360" w:lineRule="auto"/>
        <w:contextualSpacing/>
      </w:pPr>
      <w:r w:rsidRPr="00167CB8">
        <w:t xml:space="preserve">Australian Workers Union </w:t>
      </w:r>
    </w:p>
    <w:p w14:paraId="3B136E3F" w14:textId="77777777" w:rsidR="007A6A1A" w:rsidRPr="00167CB8" w:rsidRDefault="007A6A1A" w:rsidP="00433295">
      <w:pPr>
        <w:spacing w:after="120" w:line="360" w:lineRule="auto"/>
        <w:contextualSpacing/>
      </w:pPr>
      <w:r w:rsidRPr="00167CB8">
        <w:t>CFMEU (Manufacturing Division)</w:t>
      </w:r>
    </w:p>
    <w:p w14:paraId="73793B1A" w14:textId="77777777" w:rsidR="007A6A1A" w:rsidRPr="00167CB8" w:rsidRDefault="007A6A1A" w:rsidP="00433295">
      <w:pPr>
        <w:spacing w:after="120" w:line="360" w:lineRule="auto"/>
        <w:contextualSpacing/>
        <w:rPr>
          <w:u w:val="single"/>
        </w:rPr>
      </w:pPr>
      <w:r w:rsidRPr="00167CB8">
        <w:rPr>
          <w:u w:val="single"/>
        </w:rPr>
        <w:t>Community and Public Sector Union (Public Sector Union Group)</w:t>
      </w:r>
    </w:p>
    <w:p w14:paraId="0CDD5AF2" w14:textId="77777777" w:rsidR="007A6A1A" w:rsidRPr="00167CB8" w:rsidRDefault="007A6A1A" w:rsidP="00433295">
      <w:pPr>
        <w:spacing w:after="120" w:line="360" w:lineRule="auto"/>
        <w:contextualSpacing/>
        <w:rPr>
          <w:u w:val="single"/>
        </w:rPr>
      </w:pPr>
      <w:r w:rsidRPr="00167CB8">
        <w:rPr>
          <w:u w:val="single"/>
        </w:rPr>
        <w:t>Community and Public Sector Union (SPSF Group)</w:t>
      </w:r>
    </w:p>
    <w:p w14:paraId="22F6AB31" w14:textId="77777777" w:rsidR="007A6A1A" w:rsidRPr="00167CB8" w:rsidRDefault="007A6A1A" w:rsidP="00433295">
      <w:pPr>
        <w:spacing w:after="120" w:line="360" w:lineRule="auto"/>
        <w:contextualSpacing/>
      </w:pPr>
      <w:r w:rsidRPr="00167CB8">
        <w:t xml:space="preserve">Financial Services Union    </w:t>
      </w:r>
    </w:p>
    <w:p w14:paraId="6C122FE5" w14:textId="1B29E6B6" w:rsidR="007A6A1A" w:rsidRPr="00167CB8" w:rsidRDefault="007A6A1A" w:rsidP="00433295">
      <w:pPr>
        <w:spacing w:after="120" w:line="360" w:lineRule="auto"/>
        <w:contextualSpacing/>
      </w:pPr>
      <w:r w:rsidRPr="00167CB8">
        <w:t>Flight Attendants</w:t>
      </w:r>
      <w:r w:rsidR="00C079ED" w:rsidRPr="00167CB8">
        <w:t>’</w:t>
      </w:r>
      <w:r w:rsidRPr="00167CB8">
        <w:t xml:space="preserve"> Association of Australia </w:t>
      </w:r>
    </w:p>
    <w:p w14:paraId="10C44DC5" w14:textId="77777777" w:rsidR="007A6A1A" w:rsidRPr="00167CB8" w:rsidRDefault="007A6A1A" w:rsidP="00433295">
      <w:pPr>
        <w:spacing w:after="120" w:line="360" w:lineRule="auto"/>
        <w:contextualSpacing/>
      </w:pPr>
      <w:r w:rsidRPr="00167CB8">
        <w:t xml:space="preserve">Health Services Union </w:t>
      </w:r>
    </w:p>
    <w:p w14:paraId="55E82F7E" w14:textId="77777777" w:rsidR="007A6A1A" w:rsidRPr="00167CB8" w:rsidRDefault="007A6A1A" w:rsidP="00433295">
      <w:pPr>
        <w:spacing w:after="120" w:line="360" w:lineRule="auto"/>
        <w:contextualSpacing/>
        <w:rPr>
          <w:u w:val="single"/>
        </w:rPr>
      </w:pPr>
      <w:r w:rsidRPr="00167CB8">
        <w:rPr>
          <w:u w:val="single"/>
        </w:rPr>
        <w:t xml:space="preserve">Independent Education Union </w:t>
      </w:r>
    </w:p>
    <w:p w14:paraId="4772E611" w14:textId="77777777" w:rsidR="007A6A1A" w:rsidRPr="00167CB8" w:rsidRDefault="007A6A1A" w:rsidP="00433295">
      <w:pPr>
        <w:spacing w:after="120" w:line="360" w:lineRule="auto"/>
        <w:contextualSpacing/>
      </w:pPr>
      <w:r w:rsidRPr="00167CB8">
        <w:t xml:space="preserve">Maritime Union of Australia </w:t>
      </w:r>
    </w:p>
    <w:p w14:paraId="1DF0E63B" w14:textId="77777777" w:rsidR="007A6A1A" w:rsidRPr="00167CB8" w:rsidRDefault="007A6A1A" w:rsidP="00433295">
      <w:pPr>
        <w:spacing w:after="120" w:line="360" w:lineRule="auto"/>
        <w:contextualSpacing/>
        <w:rPr>
          <w:u w:val="single"/>
        </w:rPr>
      </w:pPr>
      <w:r w:rsidRPr="00167CB8">
        <w:rPr>
          <w:u w:val="single"/>
        </w:rPr>
        <w:t xml:space="preserve">Media, Entertainment and Arts Alliance </w:t>
      </w:r>
    </w:p>
    <w:p w14:paraId="3DBD26EC" w14:textId="77777777" w:rsidR="007A6A1A" w:rsidRPr="00167CB8" w:rsidRDefault="007A6A1A" w:rsidP="00433295">
      <w:pPr>
        <w:spacing w:after="120" w:line="360" w:lineRule="auto"/>
        <w:contextualSpacing/>
      </w:pPr>
      <w:r w:rsidRPr="00167CB8">
        <w:t>Mining and Energy Union</w:t>
      </w:r>
    </w:p>
    <w:p w14:paraId="1C8AFC23" w14:textId="77777777" w:rsidR="007A6A1A" w:rsidRPr="00167CB8" w:rsidRDefault="007A6A1A" w:rsidP="00433295">
      <w:pPr>
        <w:spacing w:after="120" w:line="360" w:lineRule="auto"/>
        <w:contextualSpacing/>
        <w:rPr>
          <w:u w:val="single"/>
        </w:rPr>
      </w:pPr>
      <w:r w:rsidRPr="00167CB8">
        <w:rPr>
          <w:u w:val="single"/>
        </w:rPr>
        <w:t>National Tertiary Education Union</w:t>
      </w:r>
    </w:p>
    <w:p w14:paraId="1AF77A5F" w14:textId="77777777" w:rsidR="007A6A1A" w:rsidRPr="00167CB8" w:rsidRDefault="007A6A1A" w:rsidP="00433295">
      <w:pPr>
        <w:spacing w:after="120" w:line="360" w:lineRule="auto"/>
        <w:contextualSpacing/>
        <w:rPr>
          <w:u w:val="single"/>
        </w:rPr>
      </w:pPr>
      <w:r w:rsidRPr="00167CB8">
        <w:rPr>
          <w:u w:val="single"/>
        </w:rPr>
        <w:lastRenderedPageBreak/>
        <w:t>Professionals Australia</w:t>
      </w:r>
    </w:p>
    <w:p w14:paraId="231E5612" w14:textId="77777777" w:rsidR="007A6A1A" w:rsidRPr="00167CB8" w:rsidRDefault="007A6A1A" w:rsidP="00433295">
      <w:pPr>
        <w:spacing w:after="120" w:line="360" w:lineRule="auto"/>
        <w:contextualSpacing/>
      </w:pPr>
      <w:r w:rsidRPr="00167CB8">
        <w:t>Rail, Tram and Bus Union</w:t>
      </w:r>
    </w:p>
    <w:p w14:paraId="5DD8B5EC" w14:textId="77777777" w:rsidR="007A6A1A" w:rsidRPr="00167CB8" w:rsidRDefault="007A6A1A" w:rsidP="00433295">
      <w:pPr>
        <w:spacing w:after="120" w:line="360" w:lineRule="auto"/>
        <w:contextualSpacing/>
        <w:rPr>
          <w:u w:val="single"/>
        </w:rPr>
      </w:pPr>
      <w:r w:rsidRPr="00167CB8">
        <w:rPr>
          <w:u w:val="single"/>
        </w:rPr>
        <w:t>Shop, Distributive and Allied Employees Association</w:t>
      </w:r>
    </w:p>
    <w:p w14:paraId="5DC80037" w14:textId="77777777" w:rsidR="007A6A1A" w:rsidRPr="00167CB8" w:rsidRDefault="007A6A1A" w:rsidP="00433295">
      <w:pPr>
        <w:spacing w:after="120" w:line="360" w:lineRule="auto"/>
        <w:contextualSpacing/>
        <w:rPr>
          <w:u w:val="single"/>
        </w:rPr>
      </w:pPr>
      <w:r w:rsidRPr="00167CB8">
        <w:rPr>
          <w:u w:val="single"/>
        </w:rPr>
        <w:t>Transport Workers Union</w:t>
      </w:r>
    </w:p>
    <w:p w14:paraId="5CBD23E2" w14:textId="77777777" w:rsidR="007A6A1A" w:rsidRPr="00167CB8" w:rsidRDefault="007A6A1A" w:rsidP="00433295">
      <w:pPr>
        <w:spacing w:after="120" w:line="360" w:lineRule="auto"/>
        <w:contextualSpacing/>
        <w:rPr>
          <w:u w:val="single"/>
        </w:rPr>
      </w:pPr>
      <w:r w:rsidRPr="00167CB8">
        <w:rPr>
          <w:u w:val="single"/>
        </w:rPr>
        <w:t>United Firefighters Union Victoria</w:t>
      </w:r>
    </w:p>
    <w:p w14:paraId="5F167023" w14:textId="77777777" w:rsidR="007A6A1A" w:rsidRPr="00167CB8" w:rsidRDefault="007A6A1A" w:rsidP="00433295">
      <w:pPr>
        <w:spacing w:after="120" w:line="360" w:lineRule="auto"/>
        <w:contextualSpacing/>
        <w:rPr>
          <w:u w:val="single"/>
        </w:rPr>
      </w:pPr>
      <w:r w:rsidRPr="00167CB8">
        <w:rPr>
          <w:u w:val="single"/>
        </w:rPr>
        <w:t>United Workers Union</w:t>
      </w:r>
    </w:p>
    <w:p w14:paraId="021F2525" w14:textId="77777777" w:rsidR="00705F56" w:rsidRPr="00167CB8" w:rsidRDefault="00705F56" w:rsidP="00433295">
      <w:pPr>
        <w:spacing w:after="120" w:line="360" w:lineRule="auto"/>
        <w:contextualSpacing/>
        <w:rPr>
          <w:u w:val="single"/>
        </w:rPr>
      </w:pPr>
    </w:p>
    <w:p w14:paraId="7AD8E326" w14:textId="77777777" w:rsidR="007A6A1A" w:rsidRPr="00167CB8" w:rsidRDefault="007A6A1A" w:rsidP="00650687">
      <w:pPr>
        <w:pStyle w:val="Heading5"/>
      </w:pPr>
      <w:r w:rsidRPr="00167CB8">
        <w:t>Academics (1 November)</w:t>
      </w:r>
    </w:p>
    <w:p w14:paraId="6D8F3358" w14:textId="318496CE" w:rsidR="007A6A1A" w:rsidRPr="00167CB8" w:rsidRDefault="007A6A1A" w:rsidP="00433295">
      <w:pPr>
        <w:spacing w:after="120" w:line="360" w:lineRule="auto"/>
        <w:contextualSpacing/>
        <w:rPr>
          <w:u w:val="single"/>
        </w:rPr>
      </w:pPr>
      <w:r w:rsidRPr="00167CB8">
        <w:rPr>
          <w:u w:val="single"/>
        </w:rPr>
        <w:t>Associate Professor Chris F Wright</w:t>
      </w:r>
    </w:p>
    <w:p w14:paraId="29B1B1A1" w14:textId="77777777" w:rsidR="007A6A1A" w:rsidRPr="00167CB8" w:rsidRDefault="007A6A1A" w:rsidP="00433295">
      <w:pPr>
        <w:spacing w:after="120" w:line="360" w:lineRule="auto"/>
        <w:contextualSpacing/>
        <w:rPr>
          <w:u w:val="single"/>
        </w:rPr>
      </w:pPr>
      <w:r w:rsidRPr="00167CB8">
        <w:rPr>
          <w:u w:val="single"/>
        </w:rPr>
        <w:t>Professor Rae Cooper AO</w:t>
      </w:r>
    </w:p>
    <w:p w14:paraId="20F82E4E" w14:textId="77777777" w:rsidR="007A6A1A" w:rsidRPr="00167CB8" w:rsidRDefault="007A6A1A" w:rsidP="00433295">
      <w:pPr>
        <w:spacing w:after="120" w:line="360" w:lineRule="auto"/>
        <w:contextualSpacing/>
      </w:pPr>
      <w:r w:rsidRPr="00167CB8">
        <w:t>Professor Graeme Orr</w:t>
      </w:r>
    </w:p>
    <w:p w14:paraId="6C151E61" w14:textId="77777777" w:rsidR="007A6A1A" w:rsidRPr="00167CB8" w:rsidRDefault="007A6A1A" w:rsidP="00433295">
      <w:pPr>
        <w:spacing w:after="120" w:line="360" w:lineRule="auto"/>
        <w:contextualSpacing/>
      </w:pPr>
      <w:r w:rsidRPr="00167CB8">
        <w:t>Professor Marilyn Pittard</w:t>
      </w:r>
    </w:p>
    <w:p w14:paraId="013B6A5A" w14:textId="77777777" w:rsidR="007A6A1A" w:rsidRPr="00167CB8" w:rsidRDefault="007A6A1A" w:rsidP="00433295">
      <w:pPr>
        <w:spacing w:after="120" w:line="360" w:lineRule="auto"/>
        <w:contextualSpacing/>
        <w:rPr>
          <w:u w:val="single"/>
        </w:rPr>
      </w:pPr>
      <w:r w:rsidRPr="00167CB8">
        <w:rPr>
          <w:u w:val="single"/>
        </w:rPr>
        <w:t>Professor Andrew Stewart</w:t>
      </w:r>
    </w:p>
    <w:p w14:paraId="5F6B9C97" w14:textId="77777777" w:rsidR="007A6A1A" w:rsidRPr="00167CB8" w:rsidRDefault="007A6A1A" w:rsidP="00433295">
      <w:pPr>
        <w:spacing w:after="120" w:line="360" w:lineRule="auto"/>
        <w:contextualSpacing/>
      </w:pPr>
      <w:r w:rsidRPr="00167CB8">
        <w:t xml:space="preserve">Distinguished Professor Anthony Forsyth </w:t>
      </w:r>
    </w:p>
    <w:p w14:paraId="3E6338E7" w14:textId="77777777" w:rsidR="007A6A1A" w:rsidRPr="00167CB8" w:rsidRDefault="007A6A1A" w:rsidP="00433295">
      <w:pPr>
        <w:spacing w:after="120" w:line="360" w:lineRule="auto"/>
        <w:contextualSpacing/>
        <w:rPr>
          <w:u w:val="single"/>
        </w:rPr>
      </w:pPr>
      <w:r w:rsidRPr="00167CB8">
        <w:rPr>
          <w:u w:val="single"/>
        </w:rPr>
        <w:t xml:space="preserve">Professor Shae McCrystal </w:t>
      </w:r>
    </w:p>
    <w:p w14:paraId="7F8AD85F" w14:textId="77777777" w:rsidR="007A6A1A" w:rsidRPr="00167CB8" w:rsidRDefault="007A6A1A" w:rsidP="00433295">
      <w:pPr>
        <w:spacing w:after="120" w:line="360" w:lineRule="auto"/>
        <w:contextualSpacing/>
        <w:rPr>
          <w:u w:val="single"/>
        </w:rPr>
      </w:pPr>
      <w:r w:rsidRPr="00167CB8">
        <w:rPr>
          <w:u w:val="single"/>
        </w:rPr>
        <w:t xml:space="preserve">Dr Alex Veen </w:t>
      </w:r>
    </w:p>
    <w:p w14:paraId="0C9BA848" w14:textId="77777777" w:rsidR="007A6A1A" w:rsidRPr="00167CB8" w:rsidRDefault="007A6A1A" w:rsidP="00433295">
      <w:pPr>
        <w:spacing w:after="120" w:line="360" w:lineRule="auto"/>
        <w:contextualSpacing/>
      </w:pPr>
      <w:r w:rsidRPr="00167CB8">
        <w:t xml:space="preserve">Associate Professor Stephen Clibborn </w:t>
      </w:r>
    </w:p>
    <w:p w14:paraId="4A9377B2" w14:textId="77777777" w:rsidR="007A6A1A" w:rsidRPr="00167CB8" w:rsidRDefault="007A6A1A" w:rsidP="00433295">
      <w:pPr>
        <w:spacing w:after="120" w:line="360" w:lineRule="auto"/>
        <w:contextualSpacing/>
        <w:rPr>
          <w:u w:val="single"/>
        </w:rPr>
      </w:pPr>
      <w:r w:rsidRPr="00167CB8">
        <w:rPr>
          <w:u w:val="single"/>
        </w:rPr>
        <w:t xml:space="preserve">Professor Meg Smith </w:t>
      </w:r>
    </w:p>
    <w:p w14:paraId="1663C195" w14:textId="77777777" w:rsidR="007A6A1A" w:rsidRPr="00167CB8" w:rsidRDefault="007A6A1A" w:rsidP="00433295">
      <w:pPr>
        <w:spacing w:after="120" w:line="360" w:lineRule="auto"/>
        <w:contextualSpacing/>
      </w:pPr>
      <w:r w:rsidRPr="00167CB8">
        <w:t xml:space="preserve">Dr Michael Lyons </w:t>
      </w:r>
    </w:p>
    <w:p w14:paraId="0C062369" w14:textId="77777777" w:rsidR="007A6A1A" w:rsidRPr="00167CB8" w:rsidRDefault="007A6A1A" w:rsidP="00433295">
      <w:pPr>
        <w:spacing w:after="120" w:line="360" w:lineRule="auto"/>
        <w:contextualSpacing/>
      </w:pPr>
      <w:r w:rsidRPr="00167CB8">
        <w:t>Dr Adriana Orifici</w:t>
      </w:r>
    </w:p>
    <w:p w14:paraId="6289220C" w14:textId="77777777" w:rsidR="007A6A1A" w:rsidRPr="00167CB8" w:rsidRDefault="007A6A1A" w:rsidP="00433295">
      <w:pPr>
        <w:spacing w:after="120" w:line="360" w:lineRule="auto"/>
        <w:contextualSpacing/>
        <w:rPr>
          <w:u w:val="single"/>
        </w:rPr>
      </w:pPr>
      <w:r w:rsidRPr="00167CB8">
        <w:rPr>
          <w:u w:val="single"/>
        </w:rPr>
        <w:t xml:space="preserve">Dr Fiona McDonald </w:t>
      </w:r>
    </w:p>
    <w:p w14:paraId="41EC1B53" w14:textId="77777777" w:rsidR="007A6A1A" w:rsidRPr="00167CB8" w:rsidRDefault="007A6A1A" w:rsidP="00433295">
      <w:pPr>
        <w:spacing w:after="120" w:line="360" w:lineRule="auto"/>
        <w:contextualSpacing/>
        <w:rPr>
          <w:u w:val="single"/>
        </w:rPr>
      </w:pPr>
      <w:r w:rsidRPr="00167CB8">
        <w:rPr>
          <w:u w:val="single"/>
        </w:rPr>
        <w:t xml:space="preserve">Dr Jim Stanford </w:t>
      </w:r>
    </w:p>
    <w:p w14:paraId="19E10763" w14:textId="77777777" w:rsidR="007A6A1A" w:rsidRPr="00167CB8" w:rsidRDefault="007A6A1A" w:rsidP="00433295">
      <w:pPr>
        <w:spacing w:after="120" w:line="360" w:lineRule="auto"/>
        <w:contextualSpacing/>
        <w:rPr>
          <w:u w:val="single"/>
        </w:rPr>
      </w:pPr>
      <w:r w:rsidRPr="00167CB8">
        <w:rPr>
          <w:u w:val="single"/>
        </w:rPr>
        <w:t xml:space="preserve">Adjunct Associate Professor Anne Junor </w:t>
      </w:r>
    </w:p>
    <w:p w14:paraId="68E51856" w14:textId="77777777" w:rsidR="007A6A1A" w:rsidRPr="00167CB8" w:rsidRDefault="007A6A1A" w:rsidP="00433295">
      <w:pPr>
        <w:spacing w:after="120" w:line="360" w:lineRule="auto"/>
        <w:contextualSpacing/>
        <w:rPr>
          <w:u w:val="single"/>
        </w:rPr>
      </w:pPr>
      <w:r w:rsidRPr="00167CB8">
        <w:rPr>
          <w:u w:val="single"/>
        </w:rPr>
        <w:t xml:space="preserve">Professor David Peetz </w:t>
      </w:r>
    </w:p>
    <w:p w14:paraId="37E37E00" w14:textId="77777777" w:rsidR="007A6A1A" w:rsidRPr="00167CB8" w:rsidRDefault="007A6A1A" w:rsidP="00433295">
      <w:pPr>
        <w:spacing w:after="120" w:line="360" w:lineRule="auto"/>
        <w:contextualSpacing/>
        <w:rPr>
          <w:u w:val="single"/>
        </w:rPr>
      </w:pPr>
      <w:r w:rsidRPr="00167CB8">
        <w:rPr>
          <w:u w:val="single"/>
        </w:rPr>
        <w:t xml:space="preserve">Emeritus Professor Sara Charlesworth </w:t>
      </w:r>
    </w:p>
    <w:p w14:paraId="2D6588EA" w14:textId="77777777" w:rsidR="007A6A1A" w:rsidRPr="00167CB8" w:rsidRDefault="007A6A1A" w:rsidP="00433295">
      <w:pPr>
        <w:spacing w:after="120" w:line="360" w:lineRule="auto"/>
        <w:contextualSpacing/>
      </w:pPr>
      <w:r w:rsidRPr="00167CB8">
        <w:t xml:space="preserve">Associate Professor Tess Hardy </w:t>
      </w:r>
    </w:p>
    <w:p w14:paraId="2B42345A" w14:textId="77777777" w:rsidR="007A6A1A" w:rsidRPr="00167CB8" w:rsidRDefault="007A6A1A" w:rsidP="00433295">
      <w:pPr>
        <w:spacing w:after="120" w:line="360" w:lineRule="auto"/>
        <w:contextualSpacing/>
      </w:pPr>
      <w:r w:rsidRPr="00167CB8">
        <w:t xml:space="preserve">Dr Iain Campbell </w:t>
      </w:r>
    </w:p>
    <w:p w14:paraId="25DF3524" w14:textId="77777777" w:rsidR="007A6A1A" w:rsidRPr="00167CB8" w:rsidRDefault="007A6A1A" w:rsidP="00433295">
      <w:pPr>
        <w:spacing w:after="120" w:line="360" w:lineRule="auto"/>
        <w:contextualSpacing/>
      </w:pPr>
      <w:r w:rsidRPr="00167CB8">
        <w:t xml:space="preserve">Dr Phillip Toner </w:t>
      </w:r>
    </w:p>
    <w:p w14:paraId="7F0674C0" w14:textId="77777777" w:rsidR="007A6A1A" w:rsidRPr="00167CB8" w:rsidRDefault="007A6A1A" w:rsidP="00433295">
      <w:pPr>
        <w:spacing w:after="120" w:line="360" w:lineRule="auto"/>
        <w:contextualSpacing/>
      </w:pPr>
      <w:r w:rsidRPr="00167CB8">
        <w:t>Emeritus Professor Glenda Strachan</w:t>
      </w:r>
    </w:p>
    <w:p w14:paraId="35B9DF50" w14:textId="77777777" w:rsidR="007A6A1A" w:rsidRPr="00167CB8" w:rsidRDefault="007A6A1A" w:rsidP="00433295">
      <w:pPr>
        <w:spacing w:after="120" w:line="360" w:lineRule="auto"/>
        <w:contextualSpacing/>
      </w:pPr>
      <w:r w:rsidRPr="00167CB8">
        <w:t>Professor Gabrielle Meagher</w:t>
      </w:r>
    </w:p>
    <w:p w14:paraId="36B8D9C1" w14:textId="77777777" w:rsidR="007A6A1A" w:rsidRPr="00167CB8" w:rsidRDefault="007A6A1A" w:rsidP="00433295">
      <w:pPr>
        <w:spacing w:after="120" w:line="360" w:lineRule="auto"/>
        <w:contextualSpacing/>
      </w:pPr>
      <w:r w:rsidRPr="00167CB8">
        <w:t>Professor Paula McDonald</w:t>
      </w:r>
    </w:p>
    <w:p w14:paraId="2B9E8B7C" w14:textId="77777777" w:rsidR="00B63F8D" w:rsidRPr="00167CB8" w:rsidRDefault="00B63F8D" w:rsidP="00433295">
      <w:pPr>
        <w:spacing w:after="120" w:line="360" w:lineRule="auto"/>
      </w:pPr>
      <w:r w:rsidRPr="00167CB8">
        <w:br w:type="page"/>
      </w:r>
    </w:p>
    <w:p w14:paraId="00D08718" w14:textId="3044AE8D" w:rsidR="007A6A1A" w:rsidRPr="00167CB8" w:rsidRDefault="00B63F8D" w:rsidP="00650687">
      <w:pPr>
        <w:pStyle w:val="Heading2"/>
      </w:pPr>
      <w:bookmarkStart w:id="970" w:name="_Toc189260192"/>
      <w:bookmarkStart w:id="971" w:name="_Toc189260354"/>
      <w:bookmarkStart w:id="972" w:name="_Toc189393704"/>
      <w:r w:rsidRPr="00167CB8">
        <w:lastRenderedPageBreak/>
        <w:t xml:space="preserve">Appendix 9 – </w:t>
      </w:r>
      <w:r w:rsidRPr="00650687">
        <w:t>The</w:t>
      </w:r>
      <w:r w:rsidRPr="00167CB8">
        <w:t xml:space="preserve"> FWC and pay </w:t>
      </w:r>
      <w:r w:rsidRPr="00650687">
        <w:t>equity</w:t>
      </w:r>
      <w:bookmarkEnd w:id="970"/>
      <w:bookmarkEnd w:id="971"/>
      <w:bookmarkEnd w:id="972"/>
    </w:p>
    <w:p w14:paraId="70E273BC" w14:textId="79155443" w:rsidR="001C3EC7" w:rsidRPr="00167CB8" w:rsidRDefault="001C3EC7" w:rsidP="00747FEC">
      <w:pPr>
        <w:rPr>
          <w:rFonts w:cs="Calibri"/>
        </w:rPr>
      </w:pPr>
      <w:r w:rsidRPr="00167CB8">
        <w:rPr>
          <w:rFonts w:cs="Calibri"/>
        </w:rPr>
        <w:t xml:space="preserve">This appendix provides an introduction and summary to the significant and impactful work that the </w:t>
      </w:r>
      <w:r w:rsidR="00C079ED" w:rsidRPr="00167CB8">
        <w:rPr>
          <w:rFonts w:cs="Calibri"/>
        </w:rPr>
        <w:t>Fair Work Commission (</w:t>
      </w:r>
      <w:r w:rsidRPr="00167CB8">
        <w:rPr>
          <w:rFonts w:cs="Calibri"/>
        </w:rPr>
        <w:t>FWC</w:t>
      </w:r>
      <w:r w:rsidR="00C079ED" w:rsidRPr="00167CB8">
        <w:rPr>
          <w:rFonts w:cs="Calibri"/>
        </w:rPr>
        <w:t>)</w:t>
      </w:r>
      <w:r w:rsidRPr="00167CB8">
        <w:rPr>
          <w:rFonts w:cs="Calibri"/>
        </w:rPr>
        <w:t xml:space="preserve"> has and is doing in to address gender equality. The first section summarises the Aged Care Work Value </w:t>
      </w:r>
      <w:r w:rsidR="00C079ED" w:rsidRPr="00167CB8">
        <w:rPr>
          <w:rFonts w:cs="Calibri"/>
        </w:rPr>
        <w:t>c</w:t>
      </w:r>
      <w:r w:rsidRPr="00167CB8">
        <w:rPr>
          <w:rFonts w:cs="Calibri"/>
        </w:rPr>
        <w:t>ase (2020) explaining outcomes across various staged decisions. The second section summarises the work being undertaken as part of the FWC Gender Pay Equity Research Project</w:t>
      </w:r>
      <w:r w:rsidR="00C079ED" w:rsidRPr="00167CB8">
        <w:rPr>
          <w:rFonts w:cs="Calibri"/>
        </w:rPr>
        <w:t>.</w:t>
      </w:r>
      <w:r w:rsidRPr="00167CB8">
        <w:rPr>
          <w:rFonts w:cs="Calibri"/>
        </w:rPr>
        <w:t xml:space="preserve"> </w:t>
      </w:r>
      <w:r w:rsidR="00C079ED" w:rsidRPr="00167CB8">
        <w:rPr>
          <w:rFonts w:cs="Calibri"/>
        </w:rPr>
        <w:t>T</w:t>
      </w:r>
      <w:r w:rsidRPr="00167CB8">
        <w:rPr>
          <w:rFonts w:cs="Calibri"/>
        </w:rPr>
        <w:t xml:space="preserve">he </w:t>
      </w:r>
      <w:r w:rsidR="00500A06" w:rsidRPr="00167CB8">
        <w:rPr>
          <w:rFonts w:cs="Calibri"/>
        </w:rPr>
        <w:t xml:space="preserve">third </w:t>
      </w:r>
      <w:r w:rsidRPr="00167CB8">
        <w:rPr>
          <w:rFonts w:cs="Calibri"/>
        </w:rPr>
        <w:t>section summarises the 2023</w:t>
      </w:r>
      <w:r w:rsidR="00C079ED" w:rsidRPr="00167CB8">
        <w:rPr>
          <w:rFonts w:ascii="Symbol" w:eastAsia="Symbol" w:hAnsi="Symbol" w:cs="Symbol"/>
        </w:rPr>
        <w:sym w:font="Symbol" w:char="F02D"/>
      </w:r>
      <w:r w:rsidRPr="00167CB8">
        <w:rPr>
          <w:rFonts w:cs="Calibri"/>
        </w:rPr>
        <w:t>24 Modern Awards Review</w:t>
      </w:r>
      <w:r w:rsidR="00C079ED" w:rsidRPr="00167CB8">
        <w:rPr>
          <w:rFonts w:cs="Calibri"/>
        </w:rPr>
        <w:t>.</w:t>
      </w:r>
      <w:r w:rsidR="00500A06" w:rsidRPr="00167CB8">
        <w:rPr>
          <w:rFonts w:cs="Calibri"/>
        </w:rPr>
        <w:t xml:space="preserve"> </w:t>
      </w:r>
      <w:r w:rsidR="00C079ED" w:rsidRPr="00167CB8">
        <w:rPr>
          <w:rFonts w:cs="Calibri"/>
        </w:rPr>
        <w:t>T</w:t>
      </w:r>
      <w:r w:rsidR="00500A06" w:rsidRPr="00167CB8">
        <w:rPr>
          <w:rFonts w:cs="Calibri"/>
        </w:rPr>
        <w:t xml:space="preserve">he </w:t>
      </w:r>
      <w:r w:rsidR="00694617" w:rsidRPr="00167CB8">
        <w:rPr>
          <w:rFonts w:cs="Calibri"/>
        </w:rPr>
        <w:t>final section summarises recent annual wage review decisions</w:t>
      </w:r>
      <w:r w:rsidRPr="00167CB8">
        <w:rPr>
          <w:rFonts w:cs="Calibri"/>
        </w:rPr>
        <w:t>.</w:t>
      </w:r>
    </w:p>
    <w:p w14:paraId="34221DBB" w14:textId="424E83FA" w:rsidR="001C3EC7" w:rsidRPr="00167CB8" w:rsidRDefault="00AC09A1" w:rsidP="00650687">
      <w:pPr>
        <w:pStyle w:val="Heading3"/>
      </w:pPr>
      <w:bookmarkStart w:id="973" w:name="_Toc189260355"/>
      <w:bookmarkStart w:id="974" w:name="_Toc189393705"/>
      <w:r w:rsidRPr="00167CB8">
        <w:t xml:space="preserve">1. </w:t>
      </w:r>
      <w:r w:rsidR="001C3EC7" w:rsidRPr="00167CB8">
        <w:t xml:space="preserve">The Aged Care Work Value </w:t>
      </w:r>
      <w:r w:rsidR="00C079ED" w:rsidRPr="00167CB8">
        <w:t>c</w:t>
      </w:r>
      <w:r w:rsidR="001C3EC7" w:rsidRPr="00167CB8">
        <w:t>ase</w:t>
      </w:r>
      <w:bookmarkEnd w:id="973"/>
      <w:bookmarkEnd w:id="974"/>
    </w:p>
    <w:p w14:paraId="1BDB6E65" w14:textId="0D284382" w:rsidR="001C3EC7" w:rsidRPr="00167CB8" w:rsidRDefault="001C3EC7" w:rsidP="00747FEC">
      <w:pPr>
        <w:rPr>
          <w:rFonts w:cs="Calibri"/>
        </w:rPr>
      </w:pPr>
      <w:r w:rsidRPr="00167CB8">
        <w:rPr>
          <w:rFonts w:cs="Calibri"/>
        </w:rPr>
        <w:t xml:space="preserve">In November 2020 the Health Services Union lodged an Aged Care Work Value </w:t>
      </w:r>
      <w:r w:rsidR="00C079ED" w:rsidRPr="00167CB8">
        <w:rPr>
          <w:rFonts w:cs="Calibri"/>
        </w:rPr>
        <w:t>c</w:t>
      </w:r>
      <w:r w:rsidRPr="00167CB8">
        <w:rPr>
          <w:rFonts w:cs="Calibri"/>
        </w:rPr>
        <w:t>ase with the FWC. The union was seeking a 25% wage increase for all workers due to the work being historically undervalued.</w:t>
      </w:r>
    </w:p>
    <w:p w14:paraId="4C26DBE7" w14:textId="4B2CD49E" w:rsidR="001C3EC7" w:rsidRPr="00167CB8" w:rsidRDefault="001C3EC7" w:rsidP="00747FEC">
      <w:pPr>
        <w:rPr>
          <w:rFonts w:cs="Calibri"/>
        </w:rPr>
      </w:pPr>
      <w:r w:rsidRPr="00167CB8">
        <w:rPr>
          <w:rFonts w:cs="Calibri"/>
        </w:rPr>
        <w:t xml:space="preserve">In the 2022 </w:t>
      </w:r>
      <w:r w:rsidR="00C079ED" w:rsidRPr="00167CB8">
        <w:rPr>
          <w:rFonts w:cs="Calibri"/>
        </w:rPr>
        <w:t>f</w:t>
      </w:r>
      <w:r w:rsidRPr="00167CB8">
        <w:rPr>
          <w:rFonts w:cs="Calibri"/>
        </w:rPr>
        <w:t xml:space="preserve">ederal </w:t>
      </w:r>
      <w:r w:rsidR="00C079ED" w:rsidRPr="00167CB8">
        <w:rPr>
          <w:rFonts w:cs="Calibri"/>
        </w:rPr>
        <w:t>e</w:t>
      </w:r>
      <w:r w:rsidRPr="00167CB8">
        <w:rPr>
          <w:rFonts w:cs="Calibri"/>
        </w:rPr>
        <w:t>lection campaign</w:t>
      </w:r>
      <w:r w:rsidR="00C079ED" w:rsidRPr="00167CB8">
        <w:rPr>
          <w:rFonts w:cs="Calibri"/>
        </w:rPr>
        <w:t>, the Hon</w:t>
      </w:r>
      <w:r w:rsidRPr="00167CB8">
        <w:rPr>
          <w:rFonts w:cs="Calibri"/>
        </w:rPr>
        <w:t xml:space="preserve"> Anthony Albanese pledged to increase funding for aged care and improve the pay and conditions for aged care workers if elected.</w:t>
      </w:r>
      <w:r w:rsidRPr="00167CB8">
        <w:rPr>
          <w:rStyle w:val="FootnoteReference"/>
          <w:rFonts w:cs="Calibri"/>
        </w:rPr>
        <w:footnoteReference w:id="1166"/>
      </w:r>
      <w:r w:rsidRPr="00167CB8">
        <w:rPr>
          <w:rFonts w:cs="Calibri"/>
        </w:rPr>
        <w:t xml:space="preserve"> </w:t>
      </w:r>
    </w:p>
    <w:p w14:paraId="09CF0423" w14:textId="2451AED0" w:rsidR="001C3EC7" w:rsidRPr="00167CB8" w:rsidRDefault="001C3EC7" w:rsidP="00747FEC">
      <w:pPr>
        <w:rPr>
          <w:rFonts w:cs="Calibri"/>
        </w:rPr>
      </w:pPr>
      <w:r w:rsidRPr="00167CB8">
        <w:rPr>
          <w:rFonts w:cs="Calibri"/>
        </w:rPr>
        <w:t xml:space="preserve">Decisions on Aged Care Work Value case were handed down in </w:t>
      </w:r>
      <w:r w:rsidR="00C079ED" w:rsidRPr="00167CB8">
        <w:rPr>
          <w:rFonts w:cs="Calibri"/>
        </w:rPr>
        <w:t xml:space="preserve">3 </w:t>
      </w:r>
      <w:r w:rsidRPr="00167CB8">
        <w:rPr>
          <w:rFonts w:cs="Calibri"/>
        </w:rPr>
        <w:t>stages. In Stage 1 (</w:t>
      </w:r>
      <w:r w:rsidR="00161AC4" w:rsidRPr="00167CB8">
        <w:rPr>
          <w:rFonts w:cs="Calibri"/>
        </w:rPr>
        <w:t>4 </w:t>
      </w:r>
      <w:r w:rsidRPr="00167CB8">
        <w:rPr>
          <w:rFonts w:cs="Calibri"/>
        </w:rPr>
        <w:t>November 2022) the</w:t>
      </w:r>
      <w:r w:rsidR="007B2222" w:rsidRPr="00167CB8">
        <w:rPr>
          <w:rFonts w:cs="Calibri"/>
        </w:rPr>
        <w:t xml:space="preserve"> Full Bench of the</w:t>
      </w:r>
      <w:r w:rsidRPr="00167CB8">
        <w:rPr>
          <w:rFonts w:cs="Calibri"/>
        </w:rPr>
        <w:t xml:space="preserve"> FWC accepted expert evidence – particularly that provided by Associate Professor Anne Junor </w:t>
      </w:r>
      <w:r w:rsidR="00C079ED" w:rsidRPr="00167CB8">
        <w:rPr>
          <w:rFonts w:ascii="Symbol" w:eastAsia="Symbol" w:hAnsi="Symbol" w:cs="Symbol"/>
        </w:rPr>
        <w:sym w:font="Symbol" w:char="F02D"/>
      </w:r>
      <w:r w:rsidR="00F767DB" w:rsidRPr="00167CB8">
        <w:rPr>
          <w:rFonts w:cs="Calibri"/>
        </w:rPr>
        <w:t xml:space="preserve"> that</w:t>
      </w:r>
      <w:r w:rsidRPr="00167CB8">
        <w:rPr>
          <w:rFonts w:cs="Calibri"/>
        </w:rPr>
        <w:t>, as a general proposition, work in feminised industries (including care work) suffered from historic</w:t>
      </w:r>
      <w:r w:rsidR="00C079ED" w:rsidRPr="00167CB8">
        <w:rPr>
          <w:rFonts w:cs="Calibri"/>
        </w:rPr>
        <w:t>al</w:t>
      </w:r>
      <w:r w:rsidRPr="00167CB8">
        <w:rPr>
          <w:rFonts w:cs="Calibri"/>
        </w:rPr>
        <w:t xml:space="preserve"> gender-based undervaluation.</w:t>
      </w:r>
      <w:r w:rsidRPr="00167CB8">
        <w:rPr>
          <w:rStyle w:val="FootnoteReference"/>
          <w:rFonts w:cs="Calibri"/>
        </w:rPr>
        <w:footnoteReference w:id="1167"/>
      </w:r>
      <w:r w:rsidRPr="00167CB8">
        <w:rPr>
          <w:rFonts w:cs="Calibri"/>
        </w:rPr>
        <w:t xml:space="preserve">  </w:t>
      </w:r>
    </w:p>
    <w:p w14:paraId="65DE76AC" w14:textId="48631ABA" w:rsidR="001C3EC7" w:rsidRPr="00167CB8" w:rsidRDefault="001C3EC7" w:rsidP="00747FEC">
      <w:pPr>
        <w:rPr>
          <w:rFonts w:cs="Calibri"/>
        </w:rPr>
      </w:pPr>
      <w:r w:rsidRPr="00167CB8">
        <w:rPr>
          <w:rFonts w:cs="Calibri"/>
        </w:rPr>
        <w:t xml:space="preserve">The then FWC President </w:t>
      </w:r>
      <w:r w:rsidR="00E07101" w:rsidRPr="00167CB8">
        <w:rPr>
          <w:rFonts w:cs="Calibri"/>
        </w:rPr>
        <w:t xml:space="preserve">(Justice Ross) </w:t>
      </w:r>
      <w:r w:rsidRPr="00167CB8">
        <w:rPr>
          <w:rFonts w:cs="Calibri"/>
        </w:rPr>
        <w:t>also issued a statement on ‘Occupational Segregation and Gender Undervaluation’,</w:t>
      </w:r>
      <w:r w:rsidRPr="00167CB8">
        <w:rPr>
          <w:rStyle w:val="FootnoteReference"/>
          <w:rFonts w:cs="Calibri"/>
        </w:rPr>
        <w:t xml:space="preserve"> </w:t>
      </w:r>
      <w:r w:rsidR="00F65253" w:rsidRPr="00167CB8">
        <w:rPr>
          <w:rFonts w:cs="Calibri"/>
        </w:rPr>
        <w:t xml:space="preserve">and referred to the Aged Care Work Value Case in which His Honour noted </w:t>
      </w:r>
      <w:r w:rsidRPr="00167CB8">
        <w:rPr>
          <w:rFonts w:cs="Calibri"/>
        </w:rPr>
        <w:t>the causes of gender-based undervaluation and the barriers to properly assessing work value in female-dominated occupations and industries.</w:t>
      </w:r>
      <w:r w:rsidRPr="00167CB8">
        <w:rPr>
          <w:rStyle w:val="FootnoteReference"/>
          <w:rFonts w:cs="Calibri"/>
        </w:rPr>
        <w:footnoteReference w:id="1168"/>
      </w:r>
      <w:r w:rsidRPr="00167CB8">
        <w:rPr>
          <w:rFonts w:cs="Calibri"/>
        </w:rPr>
        <w:t xml:space="preserve"> In the statement </w:t>
      </w:r>
      <w:r w:rsidR="00E770F5" w:rsidRPr="00167CB8">
        <w:rPr>
          <w:rFonts w:cs="Calibri"/>
        </w:rPr>
        <w:t xml:space="preserve">His Honour </w:t>
      </w:r>
      <w:r w:rsidRPr="00167CB8">
        <w:rPr>
          <w:rFonts w:cs="Calibri"/>
        </w:rPr>
        <w:t xml:space="preserve">noted that </w:t>
      </w:r>
      <w:r w:rsidR="00C079ED" w:rsidRPr="00167CB8">
        <w:rPr>
          <w:rFonts w:cs="Calibri"/>
        </w:rPr>
        <w:t>‘</w:t>
      </w:r>
      <w:r w:rsidRPr="00167CB8">
        <w:rPr>
          <w:rFonts w:cs="Calibri"/>
        </w:rPr>
        <w:t>Although the Commission can vary a modern award on its own motion pursuant to s.157, it is apparent from the Aged Care case that cases of this type require significant evidence from those with experience in relevant industries, supported by appropriate experts</w:t>
      </w:r>
      <w:r w:rsidR="00C079ED" w:rsidRPr="00167CB8">
        <w:rPr>
          <w:rFonts w:cs="Calibri"/>
        </w:rPr>
        <w:t>’</w:t>
      </w:r>
      <w:r w:rsidRPr="00167CB8">
        <w:rPr>
          <w:rFonts w:cs="Calibri"/>
        </w:rPr>
        <w:t>.</w:t>
      </w:r>
      <w:r w:rsidR="00B02E78" w:rsidRPr="00167CB8">
        <w:rPr>
          <w:rStyle w:val="FootnoteReference"/>
          <w:rFonts w:cs="Calibri"/>
        </w:rPr>
        <w:t xml:space="preserve"> </w:t>
      </w:r>
      <w:r w:rsidR="00B02E78" w:rsidRPr="00167CB8">
        <w:rPr>
          <w:rStyle w:val="FootnoteReference"/>
          <w:rFonts w:cs="Calibri"/>
        </w:rPr>
        <w:footnoteReference w:id="1169"/>
      </w:r>
    </w:p>
    <w:p w14:paraId="227B9B06" w14:textId="1DA1B9F5" w:rsidR="001C3EC7" w:rsidRPr="00167CB8" w:rsidRDefault="001C3EC7" w:rsidP="00747FEC">
      <w:pPr>
        <w:rPr>
          <w:rFonts w:cs="Calibri"/>
        </w:rPr>
      </w:pPr>
      <w:r w:rsidRPr="00167CB8">
        <w:rPr>
          <w:rFonts w:cs="Calibri"/>
        </w:rPr>
        <w:t>In Stage 2 (</w:t>
      </w:r>
      <w:r w:rsidR="00731997" w:rsidRPr="00167CB8">
        <w:rPr>
          <w:rFonts w:cs="Calibri"/>
        </w:rPr>
        <w:t>21 </w:t>
      </w:r>
      <w:r w:rsidRPr="00167CB8">
        <w:rPr>
          <w:rFonts w:cs="Calibri"/>
        </w:rPr>
        <w:t>February 2023)</w:t>
      </w:r>
      <w:r w:rsidR="00931B74" w:rsidRPr="00167CB8">
        <w:rPr>
          <w:rFonts w:cs="Calibri"/>
        </w:rPr>
        <w:t>,</w:t>
      </w:r>
      <w:r w:rsidRPr="00167CB8">
        <w:rPr>
          <w:rFonts w:cs="Calibri"/>
        </w:rPr>
        <w:t xml:space="preserve"> </w:t>
      </w:r>
      <w:r w:rsidR="005A64B7" w:rsidRPr="00167CB8">
        <w:rPr>
          <w:rFonts w:cs="Calibri"/>
        </w:rPr>
        <w:t xml:space="preserve">a differently constituted Full Bench of </w:t>
      </w:r>
      <w:r w:rsidRPr="00167CB8">
        <w:rPr>
          <w:rFonts w:cs="Calibri"/>
        </w:rPr>
        <w:t>the FWC awarded a 15% interim pay increase for direct care workers, effective from 30 June 2023.</w:t>
      </w:r>
      <w:r w:rsidRPr="00167CB8">
        <w:rPr>
          <w:rStyle w:val="FootnoteReference"/>
          <w:rFonts w:cs="Calibri"/>
        </w:rPr>
        <w:footnoteReference w:id="1170"/>
      </w:r>
      <w:r w:rsidRPr="00167CB8">
        <w:rPr>
          <w:rFonts w:cs="Calibri"/>
        </w:rPr>
        <w:t xml:space="preserve"> The 15% pay increase was also extended to certain other groups (e.g. cooks, </w:t>
      </w:r>
      <w:r w:rsidR="005A64B7" w:rsidRPr="00167CB8">
        <w:rPr>
          <w:rFonts w:cs="Calibri"/>
        </w:rPr>
        <w:t xml:space="preserve">head </w:t>
      </w:r>
      <w:r w:rsidRPr="00167CB8">
        <w:rPr>
          <w:rFonts w:cs="Calibri"/>
        </w:rPr>
        <w:t xml:space="preserve">chefs and recreational activities officers). </w:t>
      </w:r>
    </w:p>
    <w:p w14:paraId="7AF6F64A" w14:textId="689EC0FD" w:rsidR="001C3EC7" w:rsidRPr="00167CB8" w:rsidRDefault="001C3EC7" w:rsidP="00747FEC">
      <w:pPr>
        <w:rPr>
          <w:rFonts w:cs="Calibri"/>
        </w:rPr>
      </w:pPr>
      <w:r w:rsidRPr="00167CB8">
        <w:rPr>
          <w:rFonts w:cs="Calibri"/>
        </w:rPr>
        <w:t>In Stage 3 (</w:t>
      </w:r>
      <w:r w:rsidR="005A64B7" w:rsidRPr="00167CB8">
        <w:rPr>
          <w:rFonts w:cs="Calibri"/>
        </w:rPr>
        <w:t>15 </w:t>
      </w:r>
      <w:r w:rsidRPr="00167CB8">
        <w:rPr>
          <w:rFonts w:cs="Calibri"/>
        </w:rPr>
        <w:t>March 2024)</w:t>
      </w:r>
      <w:r w:rsidR="00931B74" w:rsidRPr="00167CB8">
        <w:rPr>
          <w:rFonts w:cs="Calibri"/>
        </w:rPr>
        <w:t>,</w:t>
      </w:r>
      <w:r w:rsidRPr="00167CB8">
        <w:rPr>
          <w:rFonts w:cs="Calibri"/>
        </w:rPr>
        <w:t xml:space="preserve"> the FWC introduced new classification definitions and structures into the Aged Care Award and new benchmark wage rates for direct care workers. Final wage increases </w:t>
      </w:r>
      <w:r w:rsidRPr="00167CB8">
        <w:rPr>
          <w:rFonts w:cs="Calibri"/>
        </w:rPr>
        <w:lastRenderedPageBreak/>
        <w:t>of up to 28.5% (depending on job and level), inclusive of the initial 15%, were also awarded in the Stage 3 decision.</w:t>
      </w:r>
      <w:r w:rsidRPr="00167CB8">
        <w:rPr>
          <w:rStyle w:val="FootnoteReference"/>
          <w:rFonts w:cs="Calibri"/>
        </w:rPr>
        <w:footnoteReference w:id="1171"/>
      </w:r>
      <w:r w:rsidRPr="00167CB8">
        <w:rPr>
          <w:rFonts w:cs="Calibri"/>
        </w:rPr>
        <w:t xml:space="preserve">  </w:t>
      </w:r>
    </w:p>
    <w:p w14:paraId="6F536F2A" w14:textId="1861A70B" w:rsidR="001C3EC7" w:rsidRPr="00167CB8" w:rsidRDefault="001C3EC7" w:rsidP="00747FEC">
      <w:pPr>
        <w:rPr>
          <w:rFonts w:cs="Calibri"/>
        </w:rPr>
      </w:pPr>
      <w:r w:rsidRPr="00167CB8">
        <w:rPr>
          <w:rFonts w:cs="Calibri"/>
        </w:rPr>
        <w:t>In September 2024 the FWC issued its determinations varying the relevant modern awards (Aged Care Award 2010, Nurses Award 2020, Social,</w:t>
      </w:r>
      <w:r w:rsidRPr="00167CB8">
        <w:rPr>
          <w:rFonts w:eastAsia="Times New Roman" w:cs="Calibri"/>
          <w:color w:val="000000"/>
          <w:lang w:eastAsia="en-AU"/>
        </w:rPr>
        <w:t xml:space="preserve"> Community, Home Care and Disability Services (SCHADS) Industry Award 2010</w:t>
      </w:r>
      <w:r w:rsidRPr="00167CB8">
        <w:rPr>
          <w:rFonts w:cs="Calibri"/>
        </w:rPr>
        <w:t>) from 1 January 2025 and noted that this ‘generally concluded the aged care work value proceedings’.</w:t>
      </w:r>
      <w:r w:rsidRPr="00167CB8">
        <w:rPr>
          <w:rStyle w:val="FootnoteReference"/>
          <w:rFonts w:cs="Calibri"/>
        </w:rPr>
        <w:footnoteReference w:id="1172"/>
      </w:r>
      <w:r w:rsidRPr="00167CB8">
        <w:rPr>
          <w:rFonts w:cs="Calibri"/>
        </w:rPr>
        <w:t xml:space="preserve"> Some outstanding aspects relating to nurses in the aged care sector are being considered as part of the Nurses and Midwives Work Value </w:t>
      </w:r>
      <w:r w:rsidR="00C079ED" w:rsidRPr="00167CB8">
        <w:rPr>
          <w:rFonts w:cs="Calibri"/>
        </w:rPr>
        <w:t>c</w:t>
      </w:r>
      <w:r w:rsidRPr="00167CB8">
        <w:rPr>
          <w:rFonts w:cs="Calibri"/>
        </w:rPr>
        <w:t>ase.</w:t>
      </w:r>
      <w:r w:rsidRPr="00167CB8">
        <w:rPr>
          <w:rStyle w:val="FootnoteReference"/>
          <w:rFonts w:cs="Calibri"/>
        </w:rPr>
        <w:footnoteReference w:id="1173"/>
      </w:r>
    </w:p>
    <w:p w14:paraId="1D7C0BDD" w14:textId="76DEC827" w:rsidR="001C3EC7" w:rsidRPr="00167CB8" w:rsidRDefault="001C3EC7" w:rsidP="00747FEC">
      <w:pPr>
        <w:rPr>
          <w:rFonts w:ascii="Calibri" w:hAnsi="Calibri" w:cs="Calibri"/>
          <w:sz w:val="24"/>
          <w:szCs w:val="24"/>
        </w:rPr>
      </w:pPr>
      <w:r w:rsidRPr="00167CB8">
        <w:rPr>
          <w:rFonts w:cs="Calibri"/>
        </w:rPr>
        <w:t xml:space="preserve">These key decisions have clearly played an important role in narrowing the </w:t>
      </w:r>
      <w:r w:rsidR="00C079ED" w:rsidRPr="00167CB8">
        <w:rPr>
          <w:rFonts w:cs="Calibri"/>
        </w:rPr>
        <w:t>gender wage gap (</w:t>
      </w:r>
      <w:r w:rsidRPr="00167CB8">
        <w:rPr>
          <w:rFonts w:cs="Calibri"/>
        </w:rPr>
        <w:t>GWG</w:t>
      </w:r>
      <w:r w:rsidR="00C079ED" w:rsidRPr="00167CB8">
        <w:rPr>
          <w:rFonts w:cs="Calibri"/>
        </w:rPr>
        <w:t>)</w:t>
      </w:r>
      <w:r w:rsidRPr="00167CB8">
        <w:rPr>
          <w:rFonts w:cs="Calibri"/>
        </w:rPr>
        <w:t xml:space="preserve"> since 2022. As noted, this arises, in part, because the awards in question cover a significant portion of the award-reliant workforce. For example, the SCHADS Industry Award covers 10.5% of award-reliant workers, and two-thirds of all award-reliant workers are covered by just 10 modern awards.</w:t>
      </w:r>
      <w:r w:rsidRPr="00167CB8">
        <w:rPr>
          <w:rStyle w:val="FootnoteReference"/>
          <w:rFonts w:cs="Calibri"/>
        </w:rPr>
        <w:footnoteReference w:id="1174"/>
      </w:r>
      <w:r w:rsidRPr="00167CB8">
        <w:rPr>
          <w:rFonts w:cs="Calibri"/>
        </w:rPr>
        <w:t xml:space="preserve">  </w:t>
      </w:r>
    </w:p>
    <w:p w14:paraId="3ADFD4F5" w14:textId="4C29D293" w:rsidR="001C3EC7" w:rsidRPr="00167CB8" w:rsidRDefault="004C782B" w:rsidP="00650687">
      <w:pPr>
        <w:pStyle w:val="Heading3"/>
      </w:pPr>
      <w:bookmarkStart w:id="975" w:name="_Toc189260356"/>
      <w:bookmarkStart w:id="976" w:name="_Toc189393706"/>
      <w:r w:rsidRPr="00167CB8">
        <w:t xml:space="preserve">2. </w:t>
      </w:r>
      <w:r w:rsidR="001C3EC7" w:rsidRPr="00167CB8">
        <w:t xml:space="preserve">FWC </w:t>
      </w:r>
      <w:r w:rsidR="00C079ED" w:rsidRPr="00167CB8">
        <w:t>g</w:t>
      </w:r>
      <w:r w:rsidR="001C3EC7" w:rsidRPr="00167CB8">
        <w:t xml:space="preserve">ender </w:t>
      </w:r>
      <w:r w:rsidR="00C079ED" w:rsidRPr="00167CB8">
        <w:t>p</w:t>
      </w:r>
      <w:r w:rsidR="001C3EC7" w:rsidRPr="00167CB8">
        <w:t xml:space="preserve">ay </w:t>
      </w:r>
      <w:r w:rsidR="00C079ED" w:rsidRPr="00167CB8">
        <w:t>e</w:t>
      </w:r>
      <w:r w:rsidR="001C3EC7" w:rsidRPr="00167CB8">
        <w:t xml:space="preserve">quity </w:t>
      </w:r>
      <w:r w:rsidR="00C079ED" w:rsidRPr="00167CB8">
        <w:t>r</w:t>
      </w:r>
      <w:r w:rsidR="001C3EC7" w:rsidRPr="00167CB8">
        <w:t xml:space="preserve">esearch </w:t>
      </w:r>
      <w:r w:rsidR="00C079ED" w:rsidRPr="00167CB8">
        <w:t>p</w:t>
      </w:r>
      <w:r w:rsidR="001C3EC7" w:rsidRPr="00167CB8">
        <w:t>roject</w:t>
      </w:r>
      <w:bookmarkEnd w:id="975"/>
      <w:bookmarkEnd w:id="976"/>
    </w:p>
    <w:p w14:paraId="37F99345" w14:textId="7B801C67" w:rsidR="001C3EC7" w:rsidRPr="00167CB8" w:rsidRDefault="001C3EC7" w:rsidP="00747FEC">
      <w:pPr>
        <w:rPr>
          <w:rFonts w:cs="Calibri"/>
        </w:rPr>
      </w:pPr>
      <w:r w:rsidRPr="00167CB8">
        <w:rPr>
          <w:rFonts w:cs="Calibri"/>
        </w:rPr>
        <w:t xml:space="preserve">Following the passage of the </w:t>
      </w:r>
      <w:r w:rsidR="00886395" w:rsidRPr="00167CB8">
        <w:rPr>
          <w:rFonts w:cs="Calibri"/>
        </w:rPr>
        <w:t>Secure Jobs, Better Pay</w:t>
      </w:r>
      <w:r w:rsidRPr="00167CB8">
        <w:rPr>
          <w:rFonts w:cs="Calibri"/>
        </w:rPr>
        <w:t xml:space="preserve"> Bill</w:t>
      </w:r>
      <w:r w:rsidR="00A415B8" w:rsidRPr="00167CB8">
        <w:rPr>
          <w:rFonts w:cs="Calibri"/>
        </w:rPr>
        <w:t xml:space="preserve"> in 2022</w:t>
      </w:r>
      <w:r w:rsidRPr="00167CB8">
        <w:rPr>
          <w:rFonts w:cs="Calibri"/>
        </w:rPr>
        <w:t xml:space="preserve">, on 3 February 2023 the new FWC President (Justice Hatcher) announced a </w:t>
      </w:r>
      <w:r w:rsidR="00C079ED" w:rsidRPr="00167CB8">
        <w:rPr>
          <w:rFonts w:cs="Calibri"/>
        </w:rPr>
        <w:t>2</w:t>
      </w:r>
      <w:r w:rsidRPr="00167CB8">
        <w:rPr>
          <w:rFonts w:cs="Calibri"/>
        </w:rPr>
        <w:t>-stage gender pay equity research project.</w:t>
      </w:r>
      <w:r w:rsidRPr="00167CB8">
        <w:rPr>
          <w:rStyle w:val="FootnoteReference"/>
          <w:rFonts w:cs="Calibri"/>
        </w:rPr>
        <w:footnoteReference w:id="1175"/>
      </w:r>
      <w:r w:rsidRPr="00167CB8">
        <w:rPr>
          <w:rFonts w:cs="Calibri"/>
        </w:rPr>
        <w:t xml:space="preserve"> The aim of the Stage 1 report from this project was to identify sectors where gender-based occupational segregation was prevalent and whether there were any common characteristics in the relevant occupations and industries (including prevalence of casual and non-ongoing employment).</w:t>
      </w:r>
      <w:r w:rsidRPr="00167CB8">
        <w:rPr>
          <w:rStyle w:val="FootnoteReference"/>
          <w:rFonts w:cs="Calibri"/>
        </w:rPr>
        <w:footnoteReference w:id="1176"/>
      </w:r>
      <w:r w:rsidRPr="00167CB8">
        <w:rPr>
          <w:rFonts w:cs="Calibri"/>
        </w:rPr>
        <w:t xml:space="preserve">   </w:t>
      </w:r>
    </w:p>
    <w:p w14:paraId="7C9396DA" w14:textId="77777777" w:rsidR="001C3EC7" w:rsidRPr="00167CB8" w:rsidRDefault="001C3EC7" w:rsidP="00747FEC">
      <w:pPr>
        <w:rPr>
          <w:rFonts w:cs="Calibri"/>
        </w:rPr>
      </w:pPr>
      <w:r w:rsidRPr="00167CB8">
        <w:rPr>
          <w:rFonts w:cs="Calibri"/>
        </w:rPr>
        <w:t>The Stage 2 report was prepared by staff in the FWC and involved an examination of the history of wage fixing and work value assessments in 12 awards.</w:t>
      </w:r>
      <w:r w:rsidRPr="00167CB8">
        <w:rPr>
          <w:rStyle w:val="FootnoteReference"/>
          <w:rFonts w:cs="Calibri"/>
        </w:rPr>
        <w:footnoteReference w:id="1177"/>
      </w:r>
      <w:r w:rsidRPr="00167CB8">
        <w:rPr>
          <w:rFonts w:cs="Calibri"/>
        </w:rPr>
        <w:t xml:space="preserve">  </w:t>
      </w:r>
    </w:p>
    <w:p w14:paraId="450F32C3" w14:textId="3BB9DB20" w:rsidR="001C3EC7" w:rsidRPr="00167CB8" w:rsidRDefault="001C3EC7" w:rsidP="00747FEC">
      <w:pPr>
        <w:rPr>
          <w:rFonts w:cs="Calibri"/>
        </w:rPr>
      </w:pPr>
      <w:r w:rsidRPr="00167CB8">
        <w:rPr>
          <w:rFonts w:cs="Calibri"/>
        </w:rPr>
        <w:t xml:space="preserve">On 7 June 2024 the FWC announced that an </w:t>
      </w:r>
      <w:r w:rsidR="00C079ED" w:rsidRPr="00167CB8">
        <w:rPr>
          <w:rFonts w:cs="Calibri"/>
        </w:rPr>
        <w:t>e</w:t>
      </w:r>
      <w:r w:rsidRPr="00167CB8">
        <w:rPr>
          <w:rFonts w:cs="Calibri"/>
        </w:rPr>
        <w:t xml:space="preserve">xpert </w:t>
      </w:r>
      <w:r w:rsidR="00C079ED" w:rsidRPr="00167CB8">
        <w:rPr>
          <w:rFonts w:cs="Calibri"/>
        </w:rPr>
        <w:t>p</w:t>
      </w:r>
      <w:r w:rsidRPr="00167CB8">
        <w:rPr>
          <w:rFonts w:cs="Calibri"/>
        </w:rPr>
        <w:t xml:space="preserve">anel would be established to review gender undervaluation in </w:t>
      </w:r>
      <w:r w:rsidR="00C079ED" w:rsidRPr="00167CB8">
        <w:rPr>
          <w:rFonts w:cs="Calibri"/>
        </w:rPr>
        <w:t xml:space="preserve">5 </w:t>
      </w:r>
      <w:r w:rsidRPr="00167CB8">
        <w:rPr>
          <w:rFonts w:cs="Calibri"/>
        </w:rPr>
        <w:t xml:space="preserve">priority modern awards in the care and community sector. At the time of writing the review is ongoing. The </w:t>
      </w:r>
      <w:r w:rsidR="00C079ED" w:rsidRPr="00167CB8">
        <w:rPr>
          <w:rFonts w:cs="Calibri"/>
        </w:rPr>
        <w:t xml:space="preserve">5 </w:t>
      </w:r>
      <w:r w:rsidRPr="00167CB8">
        <w:rPr>
          <w:rFonts w:cs="Calibri"/>
        </w:rPr>
        <w:t xml:space="preserve">awards being considered are: </w:t>
      </w:r>
    </w:p>
    <w:p w14:paraId="731B4F8F" w14:textId="77777777" w:rsidR="001C3EC7" w:rsidRPr="00167CB8" w:rsidRDefault="001C3EC7" w:rsidP="00C079ED">
      <w:pPr>
        <w:pStyle w:val="ListBullet"/>
      </w:pPr>
      <w:r w:rsidRPr="00167CB8">
        <w:t xml:space="preserve">Aboriginal and Torres Strait Islander Health Workers and Practitioners and Aboriginal Community Controlled Health Services Award 2020 </w:t>
      </w:r>
    </w:p>
    <w:p w14:paraId="79C8104A" w14:textId="77777777" w:rsidR="001C3EC7" w:rsidRPr="00167CB8" w:rsidRDefault="001C3EC7" w:rsidP="00C079ED">
      <w:pPr>
        <w:pStyle w:val="ListBullet"/>
      </w:pPr>
      <w:r w:rsidRPr="00167CB8">
        <w:t>Children’s Services Award 2010</w:t>
      </w:r>
    </w:p>
    <w:p w14:paraId="0B25E417" w14:textId="77777777" w:rsidR="001C3EC7" w:rsidRPr="00167CB8" w:rsidRDefault="001C3EC7" w:rsidP="00C079ED">
      <w:pPr>
        <w:pStyle w:val="ListBullet"/>
      </w:pPr>
      <w:r w:rsidRPr="00167CB8">
        <w:t>Health Professionals and Support Services Award 2020</w:t>
      </w:r>
    </w:p>
    <w:p w14:paraId="47AC0DE9" w14:textId="77777777" w:rsidR="001C3EC7" w:rsidRPr="00167CB8" w:rsidRDefault="001C3EC7" w:rsidP="00C079ED">
      <w:pPr>
        <w:pStyle w:val="ListBullet"/>
      </w:pPr>
      <w:r w:rsidRPr="00167CB8">
        <w:t>Pharmacy Industry Award 2020</w:t>
      </w:r>
    </w:p>
    <w:p w14:paraId="722A7B19" w14:textId="24D152F0" w:rsidR="001C3EC7" w:rsidRPr="00167CB8" w:rsidRDefault="001C3EC7" w:rsidP="00C079ED">
      <w:pPr>
        <w:pStyle w:val="ListBullet"/>
        <w:rPr>
          <w:i/>
          <w:iCs/>
          <w:sz w:val="24"/>
          <w:szCs w:val="24"/>
        </w:rPr>
      </w:pPr>
      <w:r w:rsidRPr="00167CB8">
        <w:t>Social, Community, Home Care and Disability Services Industry Award 2010</w:t>
      </w:r>
      <w:r w:rsidR="00C079ED" w:rsidRPr="00167CB8">
        <w:t>.</w:t>
      </w:r>
      <w:bookmarkStart w:id="977" w:name="_Toc188459041"/>
    </w:p>
    <w:p w14:paraId="62C16F7B" w14:textId="0D6783CD" w:rsidR="001C3EC7" w:rsidRPr="00167CB8" w:rsidRDefault="004C782B" w:rsidP="00650687">
      <w:pPr>
        <w:pStyle w:val="Heading3"/>
      </w:pPr>
      <w:bookmarkStart w:id="978" w:name="_Toc189260357"/>
      <w:bookmarkStart w:id="979" w:name="_Toc189393707"/>
      <w:r w:rsidRPr="00167CB8">
        <w:lastRenderedPageBreak/>
        <w:t xml:space="preserve">3. </w:t>
      </w:r>
      <w:r w:rsidR="001C3EC7" w:rsidRPr="00167CB8">
        <w:t>FWC 2023</w:t>
      </w:r>
      <w:r w:rsidR="00C079ED" w:rsidRPr="00167CB8">
        <w:rPr>
          <w:rFonts w:ascii="Symbol" w:eastAsia="Symbol" w:hAnsi="Symbol" w:cs="Symbol"/>
        </w:rPr>
        <w:sym w:font="Symbol" w:char="F02D"/>
      </w:r>
      <w:r w:rsidR="001C3EC7" w:rsidRPr="00167CB8">
        <w:t>24 Modern Awards Review</w:t>
      </w:r>
      <w:bookmarkEnd w:id="977"/>
      <w:bookmarkEnd w:id="978"/>
      <w:bookmarkEnd w:id="979"/>
    </w:p>
    <w:p w14:paraId="73639E81" w14:textId="1BB4C404" w:rsidR="00D06290" w:rsidRPr="00167CB8" w:rsidRDefault="00D06290" w:rsidP="00747FEC">
      <w:pPr>
        <w:rPr>
          <w:rFonts w:cstheme="minorHAnsi"/>
        </w:rPr>
      </w:pPr>
      <w:r w:rsidRPr="00167CB8">
        <w:rPr>
          <w:rFonts w:cstheme="minorHAnsi"/>
        </w:rPr>
        <w:t xml:space="preserve">On 15 September 2023 the FWC also announced the commencement of the </w:t>
      </w:r>
      <w:r w:rsidR="00767E3B" w:rsidRPr="00167CB8">
        <w:t>Modern Awards Review 2023</w:t>
      </w:r>
      <w:r w:rsidR="00767E3B" w:rsidRPr="00167CB8">
        <w:rPr>
          <w:rFonts w:ascii="Symbol" w:eastAsia="Symbol" w:hAnsi="Symbol" w:cs="Symbol"/>
        </w:rPr>
        <w:sym w:font="Symbol" w:char="F02D"/>
      </w:r>
      <w:r w:rsidR="00767E3B" w:rsidRPr="00167CB8">
        <w:t>24</w:t>
      </w:r>
      <w:r w:rsidRPr="00167CB8">
        <w:rPr>
          <w:rFonts w:cstheme="minorHAnsi"/>
        </w:rPr>
        <w:t xml:space="preserve"> looking at 4 priority topics: </w:t>
      </w:r>
    </w:p>
    <w:p w14:paraId="4FC4A689" w14:textId="0ED7F640" w:rsidR="00D06290" w:rsidRPr="00167CB8" w:rsidRDefault="00D06290" w:rsidP="00C079ED">
      <w:pPr>
        <w:pStyle w:val="ListBullet"/>
      </w:pPr>
      <w:r w:rsidRPr="00167CB8">
        <w:t xml:space="preserve">Arts and </w:t>
      </w:r>
      <w:r w:rsidR="00C079ED" w:rsidRPr="00167CB8">
        <w:t>c</w:t>
      </w:r>
      <w:r w:rsidRPr="00167CB8">
        <w:t xml:space="preserve">ulture </w:t>
      </w:r>
      <w:r w:rsidR="00C079ED" w:rsidRPr="00167CB8">
        <w:t>s</w:t>
      </w:r>
      <w:r w:rsidRPr="00167CB8">
        <w:t>ector (to consider minimum standards and awards coverage in the arts and culture sector)</w:t>
      </w:r>
    </w:p>
    <w:p w14:paraId="4635B05C" w14:textId="0E0EB4A5" w:rsidR="00D06290" w:rsidRPr="00167CB8" w:rsidRDefault="00D06290" w:rsidP="00C079ED">
      <w:pPr>
        <w:pStyle w:val="ListBullet"/>
      </w:pPr>
      <w:r w:rsidRPr="00167CB8">
        <w:t xml:space="preserve">Job </w:t>
      </w:r>
      <w:r w:rsidR="00C079ED" w:rsidRPr="00167CB8">
        <w:t>s</w:t>
      </w:r>
      <w:r w:rsidRPr="00167CB8">
        <w:t>ecurity (to consider how provisions in modern awards support the objectives of job security and secure work)</w:t>
      </w:r>
    </w:p>
    <w:p w14:paraId="14BB840E" w14:textId="7A180CF8" w:rsidR="00D06290" w:rsidRPr="00167CB8" w:rsidRDefault="00D06290" w:rsidP="00C079ED">
      <w:pPr>
        <w:pStyle w:val="ListBullet"/>
      </w:pPr>
      <w:r w:rsidRPr="00167CB8">
        <w:t xml:space="preserve">Work and </w:t>
      </w:r>
      <w:r w:rsidR="00C079ED" w:rsidRPr="00167CB8">
        <w:t>c</w:t>
      </w:r>
      <w:r w:rsidRPr="00167CB8">
        <w:t>are (to consider the impacts of award terms on workers with caring responsibilities)</w:t>
      </w:r>
      <w:r w:rsidR="0055760F" w:rsidRPr="00167CB8">
        <w:rPr>
          <w:rFonts w:cstheme="minorHAnsi"/>
          <w:vertAlign w:val="superscript"/>
        </w:rPr>
        <w:footnoteReference w:id="1178"/>
      </w:r>
    </w:p>
    <w:p w14:paraId="78C5BD43" w14:textId="77777777" w:rsidR="00D06290" w:rsidRPr="00167CB8" w:rsidRDefault="00D06290" w:rsidP="00C079ED">
      <w:pPr>
        <w:pStyle w:val="ListBullet"/>
      </w:pPr>
      <w:r w:rsidRPr="00167CB8">
        <w:t>Making awards easier to use (to consider options without reducing workers’ entitlements).</w:t>
      </w:r>
    </w:p>
    <w:p w14:paraId="54FAABAC" w14:textId="2DE86D9D" w:rsidR="00D06290" w:rsidRPr="00167CB8" w:rsidRDefault="00D06290" w:rsidP="00747FEC">
      <w:pPr>
        <w:rPr>
          <w:rFonts w:cs="Calibri"/>
        </w:rPr>
      </w:pPr>
      <w:r w:rsidRPr="00167CB8">
        <w:rPr>
          <w:rFonts w:cs="Calibri"/>
        </w:rPr>
        <w:t>Th</w:t>
      </w:r>
      <w:r w:rsidR="00BC319C" w:rsidRPr="00167CB8">
        <w:rPr>
          <w:rFonts w:cs="Calibri"/>
        </w:rPr>
        <w:t>e FWC commenced th</w:t>
      </w:r>
      <w:r w:rsidR="00F21E5C" w:rsidRPr="00167CB8">
        <w:rPr>
          <w:rFonts w:cs="Calibri"/>
        </w:rPr>
        <w:t>is</w:t>
      </w:r>
      <w:r w:rsidR="00BC319C" w:rsidRPr="00167CB8">
        <w:rPr>
          <w:rFonts w:cs="Calibri"/>
        </w:rPr>
        <w:t xml:space="preserve"> Modern Awards Review in response to </w:t>
      </w:r>
      <w:r w:rsidRPr="00167CB8">
        <w:rPr>
          <w:rFonts w:cs="Calibri"/>
        </w:rPr>
        <w:t xml:space="preserve">a request from the </w:t>
      </w:r>
      <w:r w:rsidR="00F2788C" w:rsidRPr="00167CB8">
        <w:rPr>
          <w:rFonts w:cs="Calibri"/>
        </w:rPr>
        <w:t xml:space="preserve">then </w:t>
      </w:r>
      <w:r w:rsidRPr="00167CB8">
        <w:rPr>
          <w:rFonts w:cs="Calibri"/>
        </w:rPr>
        <w:t>Minister for Employment and Workplace Relations</w:t>
      </w:r>
      <w:r w:rsidR="00F2788C" w:rsidRPr="00167CB8">
        <w:rPr>
          <w:rFonts w:cs="Calibri"/>
        </w:rPr>
        <w:t xml:space="preserve">, </w:t>
      </w:r>
      <w:r w:rsidR="00F2788C" w:rsidRPr="00167CB8">
        <w:t>the Hon Tony Burke MP</w:t>
      </w:r>
      <w:r w:rsidRPr="00167CB8">
        <w:rPr>
          <w:rFonts w:cs="Calibri"/>
        </w:rPr>
        <w:t>.</w:t>
      </w:r>
      <w:r w:rsidR="00BC319C" w:rsidRPr="00167CB8">
        <w:rPr>
          <w:rStyle w:val="FootnoteReference"/>
          <w:rFonts w:cs="Calibri"/>
        </w:rPr>
        <w:footnoteReference w:id="1179"/>
      </w:r>
    </w:p>
    <w:p w14:paraId="6E59F0E5" w14:textId="5EBD44C8" w:rsidR="00B12F67" w:rsidRPr="00167CB8" w:rsidRDefault="001C3EC7" w:rsidP="00C079ED">
      <w:pPr>
        <w:rPr>
          <w:rFonts w:cs="Calibri"/>
        </w:rPr>
      </w:pPr>
      <w:r w:rsidRPr="00167CB8">
        <w:rPr>
          <w:rFonts w:cs="Calibri"/>
        </w:rPr>
        <w:t>The Modern Awards Review 2023</w:t>
      </w:r>
      <w:r w:rsidR="00C079ED" w:rsidRPr="00167CB8">
        <w:rPr>
          <w:rFonts w:ascii="Symbol" w:eastAsia="Symbol" w:hAnsi="Symbol" w:cs="Symbol"/>
        </w:rPr>
        <w:sym w:font="Symbol" w:char="F02D"/>
      </w:r>
      <w:r w:rsidRPr="00167CB8">
        <w:rPr>
          <w:rFonts w:cs="Calibri"/>
        </w:rPr>
        <w:t xml:space="preserve">24 </w:t>
      </w:r>
      <w:r w:rsidR="00C079ED" w:rsidRPr="00167CB8">
        <w:rPr>
          <w:rFonts w:cs="Calibri"/>
        </w:rPr>
        <w:t>r</w:t>
      </w:r>
      <w:r w:rsidRPr="00167CB8">
        <w:rPr>
          <w:rFonts w:cs="Calibri"/>
        </w:rPr>
        <w:t>eport by the FWC was released on 18 July 2024.</w:t>
      </w:r>
      <w:r w:rsidRPr="00167CB8">
        <w:rPr>
          <w:rStyle w:val="FootnoteReference"/>
          <w:rFonts w:cs="Calibri"/>
        </w:rPr>
        <w:footnoteReference w:id="1180"/>
      </w:r>
      <w:r w:rsidRPr="00167CB8">
        <w:rPr>
          <w:rFonts w:cs="Calibri"/>
        </w:rPr>
        <w:t xml:space="preserve"> Among other things, the </w:t>
      </w:r>
      <w:r w:rsidR="002E3067" w:rsidRPr="00167CB8">
        <w:rPr>
          <w:rFonts w:cs="Calibri"/>
        </w:rPr>
        <w:t xml:space="preserve">FWC </w:t>
      </w:r>
      <w:r w:rsidRPr="00167CB8">
        <w:rPr>
          <w:rFonts w:cs="Calibri"/>
        </w:rPr>
        <w:t xml:space="preserve">found that there were gender differences in entitlements in modern awards, particularly regards those relevant to balancing work and care responsibilities. In the report the FWC noted that </w:t>
      </w:r>
      <w:r w:rsidR="00C079ED" w:rsidRPr="00167CB8">
        <w:rPr>
          <w:rFonts w:cs="Calibri"/>
        </w:rPr>
        <w:t>‘</w:t>
      </w:r>
      <w:r w:rsidRPr="00167CB8">
        <w:rPr>
          <w:rFonts w:cs="Calibri"/>
        </w:rPr>
        <w:t>some conditions that are more generous to employees are more likely found in male-dominated awards than in female dominated awards, and vice versa</w:t>
      </w:r>
      <w:r w:rsidR="00C079ED" w:rsidRPr="00167CB8">
        <w:rPr>
          <w:rFonts w:cs="Calibri"/>
        </w:rPr>
        <w:t>’</w:t>
      </w:r>
      <w:r w:rsidRPr="00167CB8">
        <w:rPr>
          <w:rFonts w:cs="Calibri"/>
        </w:rPr>
        <w:t>.</w:t>
      </w:r>
      <w:r w:rsidRPr="00167CB8">
        <w:rPr>
          <w:rStyle w:val="FootnoteReference"/>
          <w:rFonts w:cs="Calibri"/>
        </w:rPr>
        <w:footnoteReference w:id="1181"/>
      </w:r>
      <w:r w:rsidRPr="00167CB8">
        <w:rPr>
          <w:rFonts w:cs="Calibri"/>
        </w:rPr>
        <w:t xml:space="preserve"> From a gender equality perspective, this was yet another highly important review and report. Going forward there is potential to further advance gender equality by addressing disparities in award entitlements and working conditions across male and female dominated industries. </w:t>
      </w:r>
    </w:p>
    <w:p w14:paraId="2463D5D6" w14:textId="6BB3A71D" w:rsidR="000B63A7" w:rsidRPr="00167CB8" w:rsidRDefault="00650687" w:rsidP="00650687">
      <w:pPr>
        <w:pStyle w:val="Heading3"/>
      </w:pPr>
      <w:bookmarkStart w:id="980" w:name="_Toc189260358"/>
      <w:bookmarkStart w:id="981" w:name="_Toc189393708"/>
      <w:r>
        <w:t xml:space="preserve">4. </w:t>
      </w:r>
      <w:r w:rsidR="000B63A7" w:rsidRPr="00167CB8">
        <w:t xml:space="preserve">Annual </w:t>
      </w:r>
      <w:r w:rsidR="00C079ED" w:rsidRPr="00167CB8">
        <w:t>w</w:t>
      </w:r>
      <w:r w:rsidR="000B63A7" w:rsidRPr="00167CB8">
        <w:t xml:space="preserve">age </w:t>
      </w:r>
      <w:r w:rsidR="00C079ED" w:rsidRPr="00167CB8">
        <w:t>r</w:t>
      </w:r>
      <w:r w:rsidR="000B63A7" w:rsidRPr="00167CB8">
        <w:t>eviews</w:t>
      </w:r>
      <w:bookmarkEnd w:id="980"/>
      <w:bookmarkEnd w:id="981"/>
    </w:p>
    <w:p w14:paraId="76876542" w14:textId="4CB8532B" w:rsidR="00651958" w:rsidRPr="00167CB8" w:rsidRDefault="00651958" w:rsidP="00747FEC">
      <w:pPr>
        <w:spacing w:after="160"/>
      </w:pPr>
      <w:r w:rsidRPr="00167CB8">
        <w:t xml:space="preserve">Alongside its other work, the FWC has also taken steps to </w:t>
      </w:r>
      <w:r w:rsidR="00FD1630" w:rsidRPr="00167CB8">
        <w:t xml:space="preserve">address gender equality and provided commentary about its approach through its </w:t>
      </w:r>
      <w:r w:rsidR="00C079ED" w:rsidRPr="00167CB8">
        <w:t>a</w:t>
      </w:r>
      <w:r w:rsidR="00FD1630" w:rsidRPr="00167CB8">
        <w:t xml:space="preserve">nnual </w:t>
      </w:r>
      <w:r w:rsidR="00C079ED" w:rsidRPr="00167CB8">
        <w:t>w</w:t>
      </w:r>
      <w:r w:rsidR="00FD1630" w:rsidRPr="00167CB8">
        <w:t xml:space="preserve">age </w:t>
      </w:r>
      <w:r w:rsidR="00C079ED" w:rsidRPr="00167CB8">
        <w:t>r</w:t>
      </w:r>
      <w:r w:rsidR="00FD1630" w:rsidRPr="00167CB8">
        <w:t>eview decisions.</w:t>
      </w:r>
    </w:p>
    <w:p w14:paraId="5379F57A" w14:textId="77777777" w:rsidR="00FD1630" w:rsidRPr="00167CB8" w:rsidRDefault="001E7DC8" w:rsidP="00747FEC">
      <w:pPr>
        <w:spacing w:after="160"/>
      </w:pPr>
      <w:r w:rsidRPr="00167CB8">
        <w:t>In the Annual Wage Review 2022–23, the FWC</w:t>
      </w:r>
      <w:r w:rsidR="00FD1630" w:rsidRPr="00167CB8">
        <w:t>:</w:t>
      </w:r>
    </w:p>
    <w:p w14:paraId="54409B3B" w14:textId="10900485" w:rsidR="00FD1630" w:rsidRPr="00167CB8" w:rsidRDefault="001E7DC8" w:rsidP="00C079ED">
      <w:pPr>
        <w:pStyle w:val="ListBullet"/>
      </w:pPr>
      <w:r w:rsidRPr="00167CB8">
        <w:t xml:space="preserve">decided </w:t>
      </w:r>
      <w:r w:rsidR="00C079ED" w:rsidRPr="00167CB8">
        <w:t>‘</w:t>
      </w:r>
      <w:r w:rsidRPr="00167CB8">
        <w:t>All modern award minimum wage rates will be increased by 5.75 per cent effective from 1 July 2023</w:t>
      </w:r>
      <w:r w:rsidR="00C079ED" w:rsidRPr="00167CB8">
        <w:t>’</w:t>
      </w:r>
    </w:p>
    <w:p w14:paraId="456B5C1E" w14:textId="000A2562" w:rsidR="00FD1630" w:rsidRPr="00167CB8" w:rsidRDefault="001E7DC8" w:rsidP="00C079ED">
      <w:pPr>
        <w:pStyle w:val="ListBullet"/>
      </w:pPr>
      <w:r w:rsidRPr="00167CB8">
        <w:t xml:space="preserve">made clear that the addition of gender equality to the Fair Work Act minimum wages and modern awards objectives weighed significantly in favour of the wage </w:t>
      </w:r>
      <w:r w:rsidR="002A09CE" w:rsidRPr="00167CB8">
        <w:t>rise</w:t>
      </w:r>
      <w:r w:rsidRPr="00167CB8">
        <w:t xml:space="preserve"> </w:t>
      </w:r>
    </w:p>
    <w:p w14:paraId="23B6E58C" w14:textId="3C47BFC7" w:rsidR="001E7DC8" w:rsidRPr="00167CB8" w:rsidRDefault="001E7DC8" w:rsidP="00C079ED">
      <w:pPr>
        <w:pStyle w:val="ListBullet"/>
      </w:pPr>
      <w:r w:rsidRPr="00167CB8">
        <w:t xml:space="preserve">noted that significant issues concerning the potential gender undervaluation of work and qualifications in the modern award minimum wage rates applying to female-dominated </w:t>
      </w:r>
      <w:r w:rsidRPr="00167CB8">
        <w:lastRenderedPageBreak/>
        <w:t xml:space="preserve">industries and occupations would need to be resolved in future annual wage reviews and proceedings.  </w:t>
      </w:r>
    </w:p>
    <w:p w14:paraId="3A90DE70" w14:textId="13133939" w:rsidR="001E7DC8" w:rsidRPr="00167CB8" w:rsidRDefault="001E7DC8" w:rsidP="00747FEC">
      <w:pPr>
        <w:spacing w:after="160"/>
      </w:pPr>
      <w:r w:rsidRPr="00167CB8">
        <w:t xml:space="preserve">In the Annual Wage Review 2023–24, the FWC </w:t>
      </w:r>
      <w:r w:rsidR="00C079ED" w:rsidRPr="00167CB8">
        <w:t>‘</w:t>
      </w:r>
      <w:r w:rsidRPr="00167CB8">
        <w:t>decided to increase the National Minimum Wage and all modern award minimum wage rates by 3.75 per cent, effective from 1 July 2024</w:t>
      </w:r>
      <w:r w:rsidR="00C079ED" w:rsidRPr="00167CB8">
        <w:t>,</w:t>
      </w:r>
      <w:r w:rsidRPr="00167CB8">
        <w:t xml:space="preserve"> noting that it had considered a number of </w:t>
      </w:r>
      <w:r w:rsidR="00886395" w:rsidRPr="00167CB8">
        <w:t>Fair Work Act</w:t>
      </w:r>
      <w:r w:rsidRPr="00167CB8">
        <w:t xml:space="preserve"> requirements</w:t>
      </w:r>
      <w:r w:rsidR="00C079ED" w:rsidRPr="00167CB8">
        <w:t>,</w:t>
      </w:r>
      <w:r w:rsidRPr="00167CB8">
        <w:t xml:space="preserve"> including the need to achieve gender equality</w:t>
      </w:r>
      <w:r w:rsidR="00C079ED" w:rsidRPr="00167CB8">
        <w:t>,</w:t>
      </w:r>
      <w:r w:rsidRPr="00167CB8">
        <w:t xml:space="preserve"> and set out its program for </w:t>
      </w:r>
      <w:r w:rsidR="00C079ED" w:rsidRPr="00167CB8">
        <w:t>‘</w:t>
      </w:r>
      <w:r w:rsidRPr="00167CB8">
        <w:t>the timely resolution of gender undervaluation issues arising in respect of certain modern awards</w:t>
      </w:r>
      <w:r w:rsidR="00C079ED" w:rsidRPr="00167CB8">
        <w:t>’</w:t>
      </w:r>
      <w:r w:rsidRPr="00167CB8">
        <w:t xml:space="preserve">. </w:t>
      </w:r>
    </w:p>
    <w:p w14:paraId="015CB43B" w14:textId="37DB2D62" w:rsidR="00FD1630" w:rsidRPr="00167CB8" w:rsidRDefault="001E7DC8" w:rsidP="00747FEC">
      <w:pPr>
        <w:spacing w:after="160"/>
      </w:pPr>
      <w:r w:rsidRPr="00167CB8">
        <w:t xml:space="preserve">In addition to this determination of priority areas for consideration, the FWC’s Annual Wage Review 2023–24 decision included a section </w:t>
      </w:r>
      <w:r w:rsidR="00C079ED" w:rsidRPr="00167CB8">
        <w:t>en</w:t>
      </w:r>
      <w:r w:rsidRPr="00167CB8">
        <w:t xml:space="preserve">titled </w:t>
      </w:r>
      <w:r w:rsidR="00C079ED" w:rsidRPr="00167CB8">
        <w:t>‘</w:t>
      </w:r>
      <w:r w:rsidRPr="00167CB8">
        <w:t>8.4 The gender equality agenda</w:t>
      </w:r>
      <w:r w:rsidR="00C079ED" w:rsidRPr="00167CB8">
        <w:t>’</w:t>
      </w:r>
      <w:r w:rsidRPr="00167CB8">
        <w:t xml:space="preserve"> considering the next steps from its gender pay equity research. Here, the FWC</w:t>
      </w:r>
      <w:r w:rsidR="00FD1630" w:rsidRPr="00167CB8">
        <w:t>:</w:t>
      </w:r>
    </w:p>
    <w:p w14:paraId="49D747BB" w14:textId="6E68CBE2" w:rsidR="00FD1630" w:rsidRPr="00167CB8" w:rsidRDefault="001E7DC8" w:rsidP="00C079ED">
      <w:pPr>
        <w:pStyle w:val="ListBullet"/>
      </w:pPr>
      <w:r w:rsidRPr="00167CB8">
        <w:t>did not award interim wage increases to address gender undervaluation (at that time)</w:t>
      </w:r>
    </w:p>
    <w:p w14:paraId="140C1FFD" w14:textId="4562A1A6" w:rsidR="00FD1630" w:rsidRPr="00167CB8" w:rsidRDefault="001E7DC8" w:rsidP="00C079ED">
      <w:pPr>
        <w:pStyle w:val="ListBullet"/>
      </w:pPr>
      <w:r w:rsidRPr="00167CB8">
        <w:t xml:space="preserve">noted comments from employer </w:t>
      </w:r>
      <w:r w:rsidR="00CD4451" w:rsidRPr="00167CB8">
        <w:t xml:space="preserve">associations </w:t>
      </w:r>
      <w:r w:rsidRPr="00167CB8">
        <w:t xml:space="preserve">about the need for separate proceedings to consider the issues relevant to each modern award </w:t>
      </w:r>
    </w:p>
    <w:p w14:paraId="62B23977" w14:textId="286DB6D7" w:rsidR="001E7DC8" w:rsidRPr="00167CB8" w:rsidRDefault="001E7DC8" w:rsidP="00C079ED">
      <w:pPr>
        <w:pStyle w:val="ListBullet"/>
      </w:pPr>
      <w:r w:rsidRPr="00167CB8">
        <w:t xml:space="preserve">indicated its intent to complete the gender undervaluation priority awards review before the Annual Wage Review 2024–25. </w:t>
      </w:r>
    </w:p>
    <w:p w14:paraId="6C8684D9" w14:textId="38D9D3C7" w:rsidR="007A6A1A" w:rsidRPr="00167CB8" w:rsidRDefault="001E7DC8" w:rsidP="00747FEC">
      <w:pPr>
        <w:spacing w:after="160"/>
      </w:pPr>
      <w:r w:rsidRPr="00167CB8">
        <w:t>The FWC did not award interim wage increases to address gender undervaluation in the Annual Wage Review 2023–24</w:t>
      </w:r>
      <w:r w:rsidR="00C079ED" w:rsidRPr="00167CB8">
        <w:t>,</w:t>
      </w:r>
      <w:r w:rsidRPr="00167CB8">
        <w:t xml:space="preserve"> noting that there had not been sufficient time to </w:t>
      </w:r>
      <w:r w:rsidR="00C079ED" w:rsidRPr="00167CB8">
        <w:t>‘</w:t>
      </w:r>
      <w:r w:rsidRPr="00167CB8">
        <w:t>afford procedural fairness and to proceed on a sound evidentiary foundation</w:t>
      </w:r>
      <w:r w:rsidR="00C079ED" w:rsidRPr="00167CB8">
        <w:t>’</w:t>
      </w:r>
      <w:r w:rsidRPr="00167CB8">
        <w:t xml:space="preserve"> since publication of its Stage 2 Gender Pay Equity Research. It also noted that the FWC could not commit to phased wage increases over future annual wage reviews (but can in proceedings to vary modern awards)</w:t>
      </w:r>
      <w:r w:rsidR="00C079ED" w:rsidRPr="00167CB8">
        <w:t>,</w:t>
      </w:r>
      <w:r w:rsidRPr="00167CB8">
        <w:t xml:space="preserve"> as the </w:t>
      </w:r>
      <w:r w:rsidR="00886395" w:rsidRPr="00167CB8">
        <w:t>Fair Work Act</w:t>
      </w:r>
      <w:r w:rsidRPr="00167CB8">
        <w:t xml:space="preserve"> requires consideration of the modern awards and the minimum wages objectives in the context of the circumstances applying at the time. </w:t>
      </w:r>
      <w:r w:rsidR="002F4848" w:rsidRPr="00167CB8">
        <w:br w:type="page"/>
      </w:r>
    </w:p>
    <w:p w14:paraId="555B9396" w14:textId="179E390F" w:rsidR="007A6A1A" w:rsidRPr="00167CB8" w:rsidRDefault="002F4848" w:rsidP="00650687">
      <w:pPr>
        <w:pStyle w:val="Heading2"/>
      </w:pPr>
      <w:bookmarkStart w:id="982" w:name="_Toc189260193"/>
      <w:bookmarkStart w:id="983" w:name="_Toc189260359"/>
      <w:bookmarkStart w:id="984" w:name="_Toc189393709"/>
      <w:r w:rsidRPr="00167CB8">
        <w:lastRenderedPageBreak/>
        <w:t xml:space="preserve">Appendix 10 – The Fair Work </w:t>
      </w:r>
      <w:r w:rsidR="00C079ED" w:rsidRPr="00167CB8">
        <w:t>f</w:t>
      </w:r>
      <w:r w:rsidRPr="00167CB8">
        <w:t>ramework</w:t>
      </w:r>
      <w:bookmarkEnd w:id="982"/>
      <w:bookmarkEnd w:id="983"/>
      <w:bookmarkEnd w:id="984"/>
    </w:p>
    <w:p w14:paraId="04583A57" w14:textId="2BFFBE08" w:rsidR="00B4125F" w:rsidRPr="00167CB8" w:rsidRDefault="00B4125F" w:rsidP="002B4648">
      <w:r w:rsidRPr="00167CB8">
        <w:t xml:space="preserve">The Fair Work Act establishes a safety net of statutory minimum entitlements through the National Employment Standards (NES), </w:t>
      </w:r>
      <w:r w:rsidRPr="00167CB8">
        <w:rPr>
          <w:lang w:val="en-GB"/>
        </w:rPr>
        <w:t xml:space="preserve">national minimum wage and modern awards. </w:t>
      </w:r>
      <w:r w:rsidRPr="00167CB8">
        <w:t xml:space="preserve">It also establishes and sets out the functions of Australia’s workplace relations tribunal, the </w:t>
      </w:r>
      <w:r w:rsidR="00C079ED" w:rsidRPr="00167CB8">
        <w:t>Fair Work Commission (</w:t>
      </w:r>
      <w:r w:rsidRPr="00167CB8">
        <w:t>FWC</w:t>
      </w:r>
      <w:r w:rsidR="00C079ED" w:rsidRPr="00167CB8">
        <w:t>)</w:t>
      </w:r>
      <w:r w:rsidRPr="00167CB8">
        <w:t xml:space="preserve">, and Australia’s workplace relations regulator, the </w:t>
      </w:r>
      <w:r w:rsidR="00C079ED" w:rsidRPr="00167CB8">
        <w:t>Fair Work Ombudsman (</w:t>
      </w:r>
      <w:r w:rsidRPr="00167CB8">
        <w:t>FWO</w:t>
      </w:r>
      <w:r w:rsidR="00C079ED" w:rsidRPr="00167CB8">
        <w:t>)</w:t>
      </w:r>
      <w:r w:rsidRPr="00167CB8">
        <w:t>.</w:t>
      </w:r>
    </w:p>
    <w:p w14:paraId="15F13CED" w14:textId="3178C002" w:rsidR="00B4125F" w:rsidRPr="00167CB8" w:rsidRDefault="00B4125F" w:rsidP="002B4648">
      <w:r w:rsidRPr="00167CB8">
        <w:t>The NES are the minimum terms and conditions of employment that have to be provided to all national system employees</w:t>
      </w:r>
      <w:r w:rsidR="00552775" w:rsidRPr="00167CB8">
        <w:t>.</w:t>
      </w:r>
      <w:r w:rsidR="0053143A" w:rsidRPr="00167CB8">
        <w:rPr>
          <w:rStyle w:val="FootnoteReference"/>
        </w:rPr>
        <w:footnoteReference w:id="1182"/>
      </w:r>
      <w:r w:rsidR="0053143A" w:rsidRPr="00167CB8">
        <w:rPr>
          <w:rStyle w:val="CommentReference"/>
          <w:rFonts w:eastAsiaTheme="minorEastAsia"/>
          <w:lang w:eastAsia="ja-JP"/>
        </w:rPr>
        <w:t xml:space="preserve"> </w:t>
      </w:r>
      <w:r w:rsidRPr="00167CB8">
        <w:t xml:space="preserve"> These minimum standards relate to maximum weekly hours, requests for flexible working arrangements, casual employment, parental leave and related entitlements, annual leave, personal/carer’s leave, compassionate leave and paid family and domestic violence leave, community service leave, long service leave, public holidays, superannuation contributions, notice of termination and redundancy pay, the Fair Work Information Statement, and the Casual Employment Information Statement.</w:t>
      </w:r>
      <w:r w:rsidR="00A27934" w:rsidRPr="00167CB8">
        <w:rPr>
          <w:rStyle w:val="FootnoteReference"/>
        </w:rPr>
        <w:footnoteReference w:id="1183"/>
      </w:r>
    </w:p>
    <w:p w14:paraId="3E2591D0" w14:textId="77777777" w:rsidR="00B4125F" w:rsidRPr="00167CB8" w:rsidRDefault="00B4125F" w:rsidP="002B4648">
      <w:r w:rsidRPr="00167CB8">
        <w:t xml:space="preserve">Modern awards apply at the industry or occupation level and set out minimum wages and terms and conditions of employment, on top of the NES. Modern awards set out conditions such as arrangements for when work is performed, overtime and penalty rates, leave arrangements, allowances, and industry-specific redundancy schemes. </w:t>
      </w:r>
    </w:p>
    <w:p w14:paraId="388974EB" w14:textId="77777777" w:rsidR="00B4125F" w:rsidRPr="00167CB8" w:rsidRDefault="00B4125F" w:rsidP="002B4648">
      <w:r w:rsidRPr="00167CB8">
        <w:t xml:space="preserve">Employees and employers can also agree to tailored terms and conditions of employment for their enterprise through other workplace instruments, such as enterprise agreements and individual arrangements. </w:t>
      </w:r>
    </w:p>
    <w:p w14:paraId="09816035" w14:textId="09BF10FD" w:rsidR="00B4125F" w:rsidRPr="00167CB8" w:rsidRDefault="00B4125F" w:rsidP="002B4648">
      <w:r w:rsidRPr="00167CB8">
        <w:t>Modern awards, enterprise agreements, and employment contracts cannot exclude or provide less beneficial conditions than the NES.</w:t>
      </w:r>
      <w:r w:rsidR="00A27934" w:rsidRPr="00167CB8">
        <w:rPr>
          <w:rStyle w:val="FootnoteReference"/>
        </w:rPr>
        <w:footnoteReference w:id="1184"/>
      </w:r>
    </w:p>
    <w:p w14:paraId="1A35E579" w14:textId="3814F00A" w:rsidR="00B4125F" w:rsidRPr="00167CB8" w:rsidRDefault="00B4125F" w:rsidP="002B4648">
      <w:pPr>
        <w:rPr>
          <w:lang w:val="en-GB"/>
        </w:rPr>
      </w:pPr>
      <w:r w:rsidRPr="00167CB8">
        <w:rPr>
          <w:lang w:val="en-GB"/>
        </w:rPr>
        <w:t>The FWC has a role in promoting cooperative and productive workplace relations and preventing disputes.</w:t>
      </w:r>
      <w:r w:rsidR="00A27934" w:rsidRPr="00167CB8">
        <w:rPr>
          <w:rStyle w:val="FootnoteReference"/>
          <w:lang w:val="en-GB"/>
        </w:rPr>
        <w:footnoteReference w:id="1185"/>
      </w:r>
      <w:r w:rsidR="00A27934" w:rsidRPr="00167CB8">
        <w:rPr>
          <w:lang w:val="en-GB"/>
        </w:rPr>
        <w:t xml:space="preserve"> </w:t>
      </w:r>
      <w:r w:rsidRPr="00167CB8">
        <w:rPr>
          <w:lang w:val="en-GB"/>
        </w:rPr>
        <w:t>The FWC, amongst other things, sets and maintains the terms and conditions in modern awards, including hearing applications to vary modern awards</w:t>
      </w:r>
      <w:r w:rsidR="00C079ED" w:rsidRPr="00167CB8">
        <w:rPr>
          <w:lang w:val="en-GB"/>
        </w:rPr>
        <w:t>;</w:t>
      </w:r>
      <w:r w:rsidRPr="00167CB8">
        <w:rPr>
          <w:lang w:val="en-GB"/>
        </w:rPr>
        <w:t xml:space="preserve"> deals with workplace disputes</w:t>
      </w:r>
      <w:r w:rsidR="00C079ED" w:rsidRPr="00167CB8">
        <w:rPr>
          <w:lang w:val="en-GB"/>
        </w:rPr>
        <w:t>;</w:t>
      </w:r>
      <w:r w:rsidRPr="00167CB8">
        <w:rPr>
          <w:lang w:val="en-GB"/>
        </w:rPr>
        <w:t xml:space="preserve"> approves, varies and terminates enterprise agreements</w:t>
      </w:r>
      <w:r w:rsidR="00C079ED" w:rsidRPr="00167CB8">
        <w:rPr>
          <w:lang w:val="en-GB"/>
        </w:rPr>
        <w:t>;</w:t>
      </w:r>
      <w:r w:rsidRPr="00167CB8">
        <w:rPr>
          <w:lang w:val="en-GB"/>
        </w:rPr>
        <w:t xml:space="preserve"> and issues entry permits and regulates registered organisations. </w:t>
      </w:r>
      <w:r w:rsidRPr="00167CB8">
        <w:t>The FWC can also undertake or commission research to inform itself in relation to a matter before it.</w:t>
      </w:r>
    </w:p>
    <w:p w14:paraId="7E88C41F" w14:textId="454B5B2A" w:rsidR="001E735D" w:rsidRPr="001E735D" w:rsidRDefault="00B4125F" w:rsidP="002B4648">
      <w:r w:rsidRPr="00167CB8">
        <w:t>The FWO promotes harmonious, productive, cooperative and compliant workplace relations, as well as monitoring, inquiring into, investigating and enforcing compliance with Australia’s workplace laws.</w:t>
      </w:r>
      <w:r w:rsidR="00A27934" w:rsidRPr="00167CB8">
        <w:rPr>
          <w:rStyle w:val="FootnoteReference"/>
        </w:rPr>
        <w:footnoteReference w:id="1186"/>
      </w:r>
      <w:r w:rsidR="00A27934" w:rsidRPr="00167CB8">
        <w:t xml:space="preserve"> </w:t>
      </w:r>
      <w:r w:rsidRPr="00167CB8">
        <w:t>The FWO provides information and advice to employees and employers about workplace rights and entitlements. The FWO also enforces workplace laws (through the courts or the FWC) and seeks penalties for breaches of workplace laws.</w:t>
      </w:r>
    </w:p>
    <w:sectPr w:rsidR="001E735D" w:rsidRPr="001E735D" w:rsidSect="00155F5B">
      <w:footerReference w:type="default" r:id="rId105"/>
      <w:pgSz w:w="11906" w:h="16838"/>
      <w:pgMar w:top="1440" w:right="1304" w:bottom="1440" w:left="1304" w:header="709" w:footer="73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F6EC1" w14:textId="77777777" w:rsidR="00920952" w:rsidRDefault="00920952" w:rsidP="000A6228">
      <w:pPr>
        <w:spacing w:after="0" w:line="240" w:lineRule="auto"/>
      </w:pPr>
      <w:r>
        <w:separator/>
      </w:r>
    </w:p>
  </w:endnote>
  <w:endnote w:type="continuationSeparator" w:id="0">
    <w:p w14:paraId="6D0E98DE" w14:textId="77777777" w:rsidR="00920952" w:rsidRDefault="00920952" w:rsidP="000A6228">
      <w:pPr>
        <w:spacing w:after="0" w:line="240" w:lineRule="auto"/>
      </w:pPr>
      <w:r>
        <w:continuationSeparator/>
      </w:r>
    </w:p>
  </w:endnote>
  <w:endnote w:type="continuationNotice" w:id="1">
    <w:p w14:paraId="25F2BDD7" w14:textId="77777777" w:rsidR="00920952" w:rsidRDefault="00920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tka Small Semibold">
    <w:panose1 w:val="00000000000000000000"/>
    <w:charset w:val="00"/>
    <w:family w:val="auto"/>
    <w:pitch w:val="variable"/>
    <w:sig w:usb0="A00002EF" w:usb1="4000204B" w:usb2="00000000" w:usb3="00000000" w:csb0="0000019F" w:csb1="00000000"/>
  </w:font>
  <w:font w:name="Lato">
    <w:charset w:val="00"/>
    <w:family w:val="swiss"/>
    <w:pitch w:val="variable"/>
    <w:sig w:usb0="E10002FF" w:usb1="5000ECFF" w:usb2="00000021"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764266"/>
      <w:docPartObj>
        <w:docPartGallery w:val="Page Numbers (Bottom of Page)"/>
        <w:docPartUnique/>
      </w:docPartObj>
    </w:sdtPr>
    <w:sdtEndPr>
      <w:rPr>
        <w:noProof/>
      </w:rPr>
    </w:sdtEndPr>
    <w:sdtContent>
      <w:p w14:paraId="41D161BB" w14:textId="01B728E3" w:rsidR="00C01504" w:rsidRDefault="00824995" w:rsidP="006000ED">
        <w:pPr>
          <w:pStyle w:val="Footer"/>
          <w:ind w:right="95"/>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A8EF" w14:textId="4B7386AF" w:rsidR="00221D8F" w:rsidRDefault="00221D8F" w:rsidP="00487732">
    <w:pPr>
      <w:pStyle w:val="Footer"/>
      <w:ind w:right="84"/>
    </w:pPr>
    <w:r w:rsidRPr="00AF1F18">
      <w:fldChar w:fldCharType="begin"/>
    </w:r>
    <w:r w:rsidRPr="00AF1F18">
      <w:instrText xml:space="preserve"> PAGE   \* MERGEFORMAT </w:instrText>
    </w:r>
    <w:r w:rsidRPr="00AF1F18">
      <w:fldChar w:fldCharType="separate"/>
    </w:r>
    <w:r w:rsidRPr="00AF1F18">
      <w:t>1</w:t>
    </w:r>
    <w:r w:rsidRPr="00AF1F18">
      <w:fldChar w:fldCharType="end"/>
    </w:r>
  </w:p>
  <w:p w14:paraId="4793D942" w14:textId="77777777" w:rsidR="00221D8F" w:rsidRDefault="00221D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6711C" w14:textId="77777777" w:rsidR="00920952" w:rsidRDefault="00920952" w:rsidP="000A6228">
      <w:pPr>
        <w:spacing w:after="0" w:line="240" w:lineRule="auto"/>
      </w:pPr>
      <w:r>
        <w:separator/>
      </w:r>
    </w:p>
  </w:footnote>
  <w:footnote w:type="continuationSeparator" w:id="0">
    <w:p w14:paraId="72B30C0D" w14:textId="77777777" w:rsidR="00920952" w:rsidRDefault="00920952" w:rsidP="000A6228">
      <w:pPr>
        <w:spacing w:after="0" w:line="240" w:lineRule="auto"/>
      </w:pPr>
      <w:r>
        <w:continuationSeparator/>
      </w:r>
    </w:p>
  </w:footnote>
  <w:footnote w:type="continuationNotice" w:id="1">
    <w:p w14:paraId="57B0463A" w14:textId="77777777" w:rsidR="00920952" w:rsidRDefault="00920952">
      <w:pPr>
        <w:spacing w:after="0" w:line="240" w:lineRule="auto"/>
      </w:pPr>
    </w:p>
  </w:footnote>
  <w:footnote w:id="2">
    <w:p w14:paraId="10B5F668" w14:textId="77777777" w:rsidR="00535D26" w:rsidRPr="00A03B67" w:rsidRDefault="00535D26" w:rsidP="00535D26">
      <w:pPr>
        <w:pStyle w:val="FootnoteText"/>
      </w:pPr>
      <w:r w:rsidRPr="00A03B67">
        <w:rPr>
          <w:rStyle w:val="FootnoteReference"/>
        </w:rPr>
        <w:footnoteRef/>
      </w:r>
      <w:r w:rsidRPr="00A03B67">
        <w:t xml:space="preserve"> A detailed recent history of the workplace relations settings that led to the Labor government’s introduction of the Fair Work Act in 2009 is set out in M Bray and A Stewart, ‘What is Distinctive about the Fair Work Regime?’ (2013) 26(1) </w:t>
      </w:r>
      <w:r w:rsidRPr="00A03B67">
        <w:rPr>
          <w:i/>
          <w:iCs/>
        </w:rPr>
        <w:t>Australian Journal of Labour Law</w:t>
      </w:r>
      <w:r w:rsidRPr="00A03B67">
        <w:t xml:space="preserve"> 21.</w:t>
      </w:r>
    </w:p>
  </w:footnote>
  <w:footnote w:id="3">
    <w:p w14:paraId="2FBABFC3" w14:textId="39FEAE0F" w:rsidR="00535D26" w:rsidRPr="00A03B67" w:rsidRDefault="00535D26" w:rsidP="002D08C4">
      <w:pPr>
        <w:pStyle w:val="FootnoteText"/>
      </w:pPr>
      <w:r w:rsidRPr="00A03B67">
        <w:rPr>
          <w:rStyle w:val="FootnoteReference"/>
        </w:rPr>
        <w:footnoteRef/>
      </w:r>
      <w:r w:rsidRPr="00A03B67">
        <w:t xml:space="preserve"> </w:t>
      </w:r>
      <w:r w:rsidR="002D08C4" w:rsidRPr="00A03B67">
        <w:t xml:space="preserve"> R McCallum</w:t>
      </w:r>
      <w:r w:rsidR="00816631" w:rsidRPr="00A03B67">
        <w:t>, M Moore and J Edwards, ‘</w:t>
      </w:r>
      <w:r w:rsidR="002D08C4" w:rsidRPr="00A03B67">
        <w:t>Towards more productive and equitable workplaces: An evaluation of the Fair Work legislation</w:t>
      </w:r>
      <w:r w:rsidR="00816631" w:rsidRPr="00A03B67">
        <w:t>’ 2012 &lt; https://oia.pmc.gov.au/sites/default/files/posts/2012/08/03-Final-Fair-Work-PIR-for-publication-20120802.pdf&gt;</w:t>
      </w:r>
      <w:r w:rsidRPr="00A03B67">
        <w:t>.</w:t>
      </w:r>
    </w:p>
  </w:footnote>
  <w:footnote w:id="4">
    <w:p w14:paraId="2A5B565C" w14:textId="77777777" w:rsidR="00535D26" w:rsidRPr="00A03B67" w:rsidRDefault="00535D26" w:rsidP="00535D26">
      <w:pPr>
        <w:pStyle w:val="FootnoteText"/>
      </w:pPr>
      <w:r w:rsidRPr="00A03B67">
        <w:rPr>
          <w:rStyle w:val="FootnoteReference"/>
        </w:rPr>
        <w:footnoteRef/>
      </w:r>
      <w:r w:rsidRPr="00A03B67">
        <w:t xml:space="preserve"> Australian Council of Trade Unions submission, 4.</w:t>
      </w:r>
    </w:p>
  </w:footnote>
  <w:footnote w:id="5">
    <w:p w14:paraId="0D0CDBF2" w14:textId="77777777" w:rsidR="00535D26" w:rsidRPr="00A03B67" w:rsidRDefault="00535D26" w:rsidP="00535D26">
      <w:pPr>
        <w:pStyle w:val="FootnoteText"/>
      </w:pPr>
      <w:r w:rsidRPr="00A03B67">
        <w:rPr>
          <w:rStyle w:val="FootnoteReference"/>
        </w:rPr>
        <w:footnoteRef/>
      </w:r>
      <w:r w:rsidRPr="00A03B67">
        <w:t xml:space="preserve"> Australian Council of Social Service submission, 2.</w:t>
      </w:r>
    </w:p>
  </w:footnote>
  <w:footnote w:id="6">
    <w:p w14:paraId="415E8232" w14:textId="77777777" w:rsidR="00535D26" w:rsidRPr="00A03B67" w:rsidRDefault="00535D26" w:rsidP="00535D26">
      <w:pPr>
        <w:pStyle w:val="FootnoteText"/>
      </w:pPr>
      <w:r w:rsidRPr="00A03B67">
        <w:rPr>
          <w:rStyle w:val="FootnoteReference"/>
        </w:rPr>
        <w:footnoteRef/>
      </w:r>
      <w:r w:rsidRPr="00A03B67">
        <w:t xml:space="preserve"> Minerals Council of Australia submission, 2.</w:t>
      </w:r>
    </w:p>
  </w:footnote>
  <w:footnote w:id="7">
    <w:p w14:paraId="61B5833E" w14:textId="77777777" w:rsidR="00535D26" w:rsidRPr="00A03B67" w:rsidRDefault="00535D26" w:rsidP="00535D26">
      <w:pPr>
        <w:pStyle w:val="FootnoteText"/>
      </w:pPr>
      <w:r w:rsidRPr="00A03B67">
        <w:rPr>
          <w:rStyle w:val="FootnoteReference"/>
        </w:rPr>
        <w:footnoteRef/>
      </w:r>
      <w:r w:rsidRPr="00A03B67">
        <w:t xml:space="preserve"> </w:t>
      </w:r>
      <w:r w:rsidRPr="00A03B67">
        <w:rPr>
          <w:i/>
          <w:iCs/>
        </w:rPr>
        <w:t>Fair Work Legislation Amendment (Secure Jobs, Better Pay) Act 2022</w:t>
      </w:r>
      <w:r w:rsidRPr="00A03B67">
        <w:t xml:space="preserve"> (Cth) s 2.</w:t>
      </w:r>
    </w:p>
  </w:footnote>
  <w:footnote w:id="8">
    <w:p w14:paraId="30D477EA" w14:textId="21C8526B" w:rsidR="00957689" w:rsidRPr="00A03B67" w:rsidRDefault="00957689">
      <w:pPr>
        <w:pStyle w:val="FootnoteText"/>
      </w:pPr>
      <w:r w:rsidRPr="00A03B67">
        <w:rPr>
          <w:rStyle w:val="FootnoteReference"/>
        </w:rPr>
        <w:footnoteRef/>
      </w:r>
      <w:r w:rsidRPr="00A03B67">
        <w:t xml:space="preserve"> </w:t>
      </w:r>
      <w:r w:rsidR="00C361AB" w:rsidRPr="00A03B67">
        <w:t xml:space="preserve">KJ Hancock, </w:t>
      </w:r>
      <w:r w:rsidR="00C361AB" w:rsidRPr="00A03B67">
        <w:rPr>
          <w:i/>
          <w:iCs/>
        </w:rPr>
        <w:t xml:space="preserve">Australian Industrial Relations Law </w:t>
      </w:r>
      <w:r w:rsidR="00D62721">
        <w:rPr>
          <w:i/>
          <w:iCs/>
        </w:rPr>
        <w:t>a</w:t>
      </w:r>
      <w:r w:rsidR="00C361AB" w:rsidRPr="00A03B67">
        <w:rPr>
          <w:i/>
          <w:iCs/>
        </w:rPr>
        <w:t>nd Systems: Report of the Committee of Review</w:t>
      </w:r>
      <w:r w:rsidR="00C361AB" w:rsidRPr="00A03B67">
        <w:t xml:space="preserve"> (AGPS, Canberra, 1985) </w:t>
      </w:r>
      <w:r w:rsidRPr="00A03B67">
        <w:t>414</w:t>
      </w:r>
      <w:r w:rsidR="00C361AB" w:rsidRPr="00A03B67">
        <w:rPr>
          <w:rFonts w:ascii="Symbol" w:eastAsia="Symbol" w:hAnsi="Symbol" w:cs="Symbol"/>
        </w:rPr>
        <w:t>-</w:t>
      </w:r>
      <w:r w:rsidRPr="00A03B67">
        <w:t xml:space="preserve">439; see also </w:t>
      </w:r>
      <w:r w:rsidR="00D65007" w:rsidRPr="00A03B67">
        <w:t xml:space="preserve">J </w:t>
      </w:r>
      <w:r w:rsidRPr="00A03B67">
        <w:t>Romeyn</w:t>
      </w:r>
      <w:r w:rsidR="00D65007" w:rsidRPr="00A03B67">
        <w:t>,</w:t>
      </w:r>
      <w:r w:rsidRPr="00A03B67">
        <w:t xml:space="preserve"> </w:t>
      </w:r>
      <w:r w:rsidR="00D65007" w:rsidRPr="00A03B67">
        <w:t xml:space="preserve">‘The Role of Specialist Tribunals’ (1986) 28(1) </w:t>
      </w:r>
      <w:r w:rsidR="00D65007" w:rsidRPr="00A03B67">
        <w:rPr>
          <w:i/>
          <w:iCs/>
        </w:rPr>
        <w:t>Journal of Industrial Relations</w:t>
      </w:r>
      <w:r w:rsidR="00D65007" w:rsidRPr="00A03B67">
        <w:t xml:space="preserve"> 3</w:t>
      </w:r>
      <w:r w:rsidR="00D65007" w:rsidRPr="00A03B67">
        <w:rPr>
          <w:rFonts w:ascii="Symbol" w:eastAsia="Symbol" w:hAnsi="Symbol" w:cs="Symbol"/>
        </w:rPr>
        <w:t>-</w:t>
      </w:r>
      <w:r w:rsidR="00D65007" w:rsidRPr="00A03B67">
        <w:t>23</w:t>
      </w:r>
      <w:r w:rsidR="00C361AB" w:rsidRPr="00A03B67">
        <w:t>.</w:t>
      </w:r>
    </w:p>
  </w:footnote>
  <w:footnote w:id="9">
    <w:p w14:paraId="59F38A66" w14:textId="12881869" w:rsidR="00957689" w:rsidRPr="00A03B67" w:rsidRDefault="00957689">
      <w:pPr>
        <w:pStyle w:val="FootnoteText"/>
      </w:pPr>
      <w:r w:rsidRPr="00A03B67">
        <w:rPr>
          <w:rStyle w:val="FootnoteReference"/>
        </w:rPr>
        <w:footnoteRef/>
      </w:r>
      <w:r w:rsidRPr="00A03B67">
        <w:t xml:space="preserve"> </w:t>
      </w:r>
      <w:r w:rsidR="00814C5B" w:rsidRPr="00A03B67">
        <w:t>S</w:t>
      </w:r>
      <w:r w:rsidRPr="00A03B67">
        <w:t xml:space="preserve">ee </w:t>
      </w:r>
      <w:r w:rsidR="00712EBC" w:rsidRPr="00A03B67">
        <w:t xml:space="preserve">Forsyth, A., Gostencnik, V., Ross, I. </w:t>
      </w:r>
      <w:r w:rsidR="00D62721">
        <w:t>and</w:t>
      </w:r>
      <w:r w:rsidR="00712EBC" w:rsidRPr="00A03B67">
        <w:t xml:space="preserve"> Sharard, T. </w:t>
      </w:r>
      <w:r w:rsidR="00712EBC" w:rsidRPr="00772590">
        <w:rPr>
          <w:i/>
          <w:iCs/>
        </w:rPr>
        <w:t>Workplace relations in the building and construction industry</w:t>
      </w:r>
      <w:r w:rsidR="00712EBC" w:rsidRPr="00A03B67">
        <w:t>, LexisNexis Butterworths</w:t>
      </w:r>
      <w:r w:rsidR="00772590">
        <w:t xml:space="preserve"> </w:t>
      </w:r>
      <w:r w:rsidR="00772590" w:rsidRPr="00A03B67">
        <w:t>(2007)</w:t>
      </w:r>
      <w:r w:rsidR="00712EBC" w:rsidRPr="00A03B67">
        <w:t>, Chatswood, N.S.W</w:t>
      </w:r>
      <w:r w:rsidR="00814C5B" w:rsidRPr="00A03B67">
        <w:t>.</w:t>
      </w:r>
    </w:p>
  </w:footnote>
  <w:footnote w:id="10">
    <w:p w14:paraId="29237D8E" w14:textId="61C790CC" w:rsidR="00957689" w:rsidRPr="00A03B67" w:rsidRDefault="00957689">
      <w:pPr>
        <w:pStyle w:val="FootnoteText"/>
      </w:pPr>
      <w:r w:rsidRPr="00A03B67">
        <w:rPr>
          <w:rStyle w:val="FootnoteReference"/>
        </w:rPr>
        <w:footnoteRef/>
      </w:r>
      <w:r w:rsidRPr="00A03B67">
        <w:t xml:space="preserve"> </w:t>
      </w:r>
      <w:r w:rsidR="00364619" w:rsidRPr="00A03B67">
        <w:t>Australian Government ‘Work Choices: Employee collective agreements’</w:t>
      </w:r>
      <w:r w:rsidR="00772590">
        <w:t xml:space="preserve"> </w:t>
      </w:r>
      <w:r w:rsidR="00772590" w:rsidRPr="00A03B67">
        <w:t>(2025)</w:t>
      </w:r>
      <w:r w:rsidR="00364619" w:rsidRPr="00A03B67">
        <w:t>: &lt;https://www.aph.gov.au/~/media/Estimates/Live/eet_ctte/estimates/bud_0607/dewr/w098-07att8.ashx&gt;.</w:t>
      </w:r>
    </w:p>
  </w:footnote>
  <w:footnote w:id="11">
    <w:p w14:paraId="3E522567" w14:textId="108577C0" w:rsidR="00957689" w:rsidRPr="00A03B67" w:rsidRDefault="00957689">
      <w:pPr>
        <w:pStyle w:val="FootnoteText"/>
      </w:pPr>
      <w:r w:rsidRPr="00A03B67">
        <w:rPr>
          <w:rStyle w:val="FootnoteReference"/>
        </w:rPr>
        <w:footnoteRef/>
      </w:r>
      <w:r w:rsidRPr="00A03B67">
        <w:t xml:space="preserve"> </w:t>
      </w:r>
      <w:r w:rsidR="00E90160" w:rsidRPr="00A03B67">
        <w:t xml:space="preserve">Waring, P., de Ruyter, A., </w:t>
      </w:r>
      <w:r w:rsidR="00772590">
        <w:t>and</w:t>
      </w:r>
      <w:r w:rsidR="00E90160" w:rsidRPr="00A03B67">
        <w:t xml:space="preserve"> Burgess, J. ‘The Australian Fair Pay Commission: Rationale, Operation, Antecedents and Implications’, </w:t>
      </w:r>
      <w:r w:rsidR="001110F6" w:rsidRPr="00A03B67">
        <w:t>(2006</w:t>
      </w:r>
      <w:r w:rsidR="001110F6">
        <w:t xml:space="preserve">) </w:t>
      </w:r>
      <w:r w:rsidR="001110F6" w:rsidRPr="00A03B67">
        <w:t>16(2)</w:t>
      </w:r>
      <w:r w:rsidR="001110F6">
        <w:t xml:space="preserve"> </w:t>
      </w:r>
      <w:r w:rsidR="00E90160" w:rsidRPr="001110F6">
        <w:rPr>
          <w:i/>
          <w:iCs/>
        </w:rPr>
        <w:t>The Economic and Labour Relations Review</w:t>
      </w:r>
      <w:r w:rsidR="00E90160" w:rsidRPr="00A03B67">
        <w:t>, 127-146</w:t>
      </w:r>
      <w:r w:rsidR="00814C5B" w:rsidRPr="00A03B67">
        <w:t>.</w:t>
      </w:r>
    </w:p>
  </w:footnote>
  <w:footnote w:id="12">
    <w:p w14:paraId="21717448" w14:textId="6101AFF9" w:rsidR="00957689" w:rsidRPr="00A03B67" w:rsidRDefault="00957689">
      <w:pPr>
        <w:pStyle w:val="FootnoteText"/>
      </w:pPr>
      <w:r w:rsidRPr="00A03B67">
        <w:rPr>
          <w:rStyle w:val="FootnoteReference"/>
        </w:rPr>
        <w:footnoteRef/>
      </w:r>
      <w:r w:rsidRPr="00A03B67">
        <w:t xml:space="preserve"> </w:t>
      </w:r>
      <w:r w:rsidR="00D65007" w:rsidRPr="00A03B67">
        <w:t xml:space="preserve">J Romeyn, ‘The Role of Specialist Tribunals’ (1986) 28(1) </w:t>
      </w:r>
      <w:r w:rsidR="00D65007" w:rsidRPr="00A03B67">
        <w:rPr>
          <w:i/>
          <w:iCs/>
        </w:rPr>
        <w:t>Journal of Industrial Relations</w:t>
      </w:r>
      <w:r w:rsidR="00D65007" w:rsidRPr="00A03B67">
        <w:t xml:space="preserve"> 3</w:t>
      </w:r>
      <w:r w:rsidR="00D65007" w:rsidRPr="00A03B67">
        <w:rPr>
          <w:rFonts w:ascii="Symbol" w:eastAsia="Symbol" w:hAnsi="Symbol" w:cs="Symbol"/>
        </w:rPr>
        <w:t>-</w:t>
      </w:r>
      <w:r w:rsidR="00D65007" w:rsidRPr="00A03B67">
        <w:t>23.</w:t>
      </w:r>
    </w:p>
  </w:footnote>
  <w:footnote w:id="13">
    <w:p w14:paraId="3986A68D" w14:textId="6C6E5EFB" w:rsidR="00957689" w:rsidRPr="00A03B67" w:rsidRDefault="00957689">
      <w:pPr>
        <w:pStyle w:val="FootnoteText"/>
      </w:pPr>
      <w:r w:rsidRPr="00A03B67">
        <w:rPr>
          <w:rStyle w:val="FootnoteReference"/>
        </w:rPr>
        <w:footnoteRef/>
      </w:r>
      <w:r w:rsidRPr="00A03B67">
        <w:t xml:space="preserve"> </w:t>
      </w:r>
      <w:r w:rsidR="00C361AB" w:rsidRPr="00A03B67">
        <w:t xml:space="preserve">KJ Hancock, </w:t>
      </w:r>
      <w:r w:rsidR="00C361AB" w:rsidRPr="00A03B67">
        <w:rPr>
          <w:i/>
          <w:iCs/>
        </w:rPr>
        <w:t xml:space="preserve">Australian Industrial Relations Law </w:t>
      </w:r>
      <w:r w:rsidR="00082AE5">
        <w:rPr>
          <w:i/>
          <w:iCs/>
        </w:rPr>
        <w:t>a</w:t>
      </w:r>
      <w:r w:rsidR="00C361AB" w:rsidRPr="00A03B67">
        <w:rPr>
          <w:i/>
          <w:iCs/>
        </w:rPr>
        <w:t>nd Systems: Report of the Committee of Review</w:t>
      </w:r>
      <w:r w:rsidR="00C361AB" w:rsidRPr="00A03B67">
        <w:t xml:space="preserve"> (AGPS, Canberra, 1985).</w:t>
      </w:r>
    </w:p>
  </w:footnote>
  <w:footnote w:id="14">
    <w:p w14:paraId="051E16E1" w14:textId="3D3F9CB7" w:rsidR="00957689" w:rsidRPr="00A03B67" w:rsidRDefault="00957689">
      <w:pPr>
        <w:pStyle w:val="FootnoteText"/>
      </w:pPr>
      <w:r w:rsidRPr="00A03B67">
        <w:rPr>
          <w:rStyle w:val="FootnoteReference"/>
        </w:rPr>
        <w:footnoteRef/>
      </w:r>
      <w:r w:rsidRPr="00A03B67">
        <w:t xml:space="preserve"> </w:t>
      </w:r>
      <w:r w:rsidR="00C361AB" w:rsidRPr="00A03B67">
        <w:t xml:space="preserve">KJ Hancock, </w:t>
      </w:r>
      <w:r w:rsidR="00C361AB" w:rsidRPr="00A03B67">
        <w:rPr>
          <w:i/>
          <w:iCs/>
        </w:rPr>
        <w:t xml:space="preserve">Australian Industrial Relations Law </w:t>
      </w:r>
      <w:r w:rsidR="00082AE5">
        <w:rPr>
          <w:i/>
          <w:iCs/>
        </w:rPr>
        <w:t>a</w:t>
      </w:r>
      <w:r w:rsidR="00C361AB" w:rsidRPr="00A03B67">
        <w:rPr>
          <w:i/>
          <w:iCs/>
        </w:rPr>
        <w:t>nd Systems: Report of the Committee of Review</w:t>
      </w:r>
      <w:r w:rsidR="00C361AB" w:rsidRPr="00A03B67">
        <w:t xml:space="preserve"> (AGPS, Canberra, 1985) </w:t>
      </w:r>
      <w:r w:rsidRPr="00A03B67">
        <w:t>416</w:t>
      </w:r>
      <w:r w:rsidR="00C361AB" w:rsidRPr="00A03B67">
        <w:rPr>
          <w:rFonts w:ascii="Symbol" w:eastAsia="Symbol" w:hAnsi="Symbol" w:cs="Symbol"/>
        </w:rPr>
        <w:t>-</w:t>
      </w:r>
      <w:r w:rsidRPr="00A03B67">
        <w:t>417</w:t>
      </w:r>
      <w:r w:rsidR="00C361AB" w:rsidRPr="00A03B67">
        <w:t>.</w:t>
      </w:r>
    </w:p>
  </w:footnote>
  <w:footnote w:id="15">
    <w:p w14:paraId="454C106E" w14:textId="407D34E1" w:rsidR="00957689" w:rsidRPr="00A03B67" w:rsidRDefault="00957689">
      <w:pPr>
        <w:pStyle w:val="FootnoteText"/>
      </w:pPr>
      <w:r w:rsidRPr="00A03B67">
        <w:rPr>
          <w:rStyle w:val="FootnoteReference"/>
        </w:rPr>
        <w:footnoteRef/>
      </w:r>
      <w:r w:rsidRPr="00A03B67">
        <w:t xml:space="preserve"> </w:t>
      </w:r>
      <w:r w:rsidR="00D65007" w:rsidRPr="00A03B67">
        <w:t xml:space="preserve">N Gunningham, ‘Enforcement and Compliance Strategies’ in R Baldwin, M Cave and M Lodge (eds), </w:t>
      </w:r>
      <w:r w:rsidR="00D65007" w:rsidRPr="00A03B67">
        <w:rPr>
          <w:i/>
          <w:iCs/>
        </w:rPr>
        <w:t>The Oxford Handbook of Regulation</w:t>
      </w:r>
      <w:r w:rsidR="00D65007" w:rsidRPr="00A03B67">
        <w:t xml:space="preserve"> (Oxford University Press, 2011) 120</w:t>
      </w:r>
      <w:r w:rsidR="00D65007" w:rsidRPr="00A03B67">
        <w:rPr>
          <w:rFonts w:ascii="Symbol" w:eastAsia="Symbol" w:hAnsi="Symbol" w:cs="Symbol"/>
        </w:rPr>
        <w:t>-</w:t>
      </w:r>
      <w:r w:rsidR="00D65007" w:rsidRPr="00A03B67">
        <w:t>145.</w:t>
      </w:r>
    </w:p>
  </w:footnote>
  <w:footnote w:id="16">
    <w:p w14:paraId="27B54213" w14:textId="2FC21E31" w:rsidR="00957689" w:rsidRPr="00A03B67" w:rsidRDefault="00957689">
      <w:pPr>
        <w:pStyle w:val="FootnoteText"/>
      </w:pPr>
      <w:r w:rsidRPr="00A03B67">
        <w:rPr>
          <w:rStyle w:val="FootnoteReference"/>
        </w:rPr>
        <w:footnoteRef/>
      </w:r>
      <w:r w:rsidRPr="00A03B67">
        <w:t xml:space="preserve"> </w:t>
      </w:r>
      <w:r w:rsidR="00D65007" w:rsidRPr="00A03B67">
        <w:t xml:space="preserve">N Gunningham, ‘Enforcement and Compliance Strategies’ in R Baldwin, M Cave and M Lodge (eds), </w:t>
      </w:r>
      <w:r w:rsidR="00D65007" w:rsidRPr="00A03B67">
        <w:rPr>
          <w:i/>
          <w:iCs/>
        </w:rPr>
        <w:t>The Oxford Handbook of Regulation</w:t>
      </w:r>
      <w:r w:rsidR="00D65007" w:rsidRPr="00A03B67">
        <w:t xml:space="preserve"> (Oxford University Press, 2011) </w:t>
      </w:r>
      <w:r w:rsidRPr="00A03B67">
        <w:t>121</w:t>
      </w:r>
      <w:r w:rsidR="00C361AB" w:rsidRPr="00A03B67">
        <w:t>.</w:t>
      </w:r>
    </w:p>
  </w:footnote>
  <w:footnote w:id="17">
    <w:p w14:paraId="79B1BFAA" w14:textId="03F7A6F3" w:rsidR="00957689" w:rsidRPr="00A03B67" w:rsidRDefault="00957689">
      <w:pPr>
        <w:pStyle w:val="FootnoteText"/>
      </w:pPr>
      <w:r w:rsidRPr="00A03B67">
        <w:rPr>
          <w:rStyle w:val="FootnoteReference"/>
        </w:rPr>
        <w:footnoteRef/>
      </w:r>
      <w:r w:rsidRPr="00A03B67">
        <w:t xml:space="preserve"> </w:t>
      </w:r>
      <w:r w:rsidR="00D65007" w:rsidRPr="00A03B67">
        <w:t xml:space="preserve">N Gunningham, ‘Enforcement and Compliance Strategies’ in R Baldwin, M Cave and M Lodge (eds), </w:t>
      </w:r>
      <w:r w:rsidR="00D65007" w:rsidRPr="00A03B67">
        <w:rPr>
          <w:i/>
          <w:iCs/>
        </w:rPr>
        <w:t>The Oxford Handbook of Regulation</w:t>
      </w:r>
      <w:r w:rsidR="00D65007" w:rsidRPr="00A03B67">
        <w:t xml:space="preserve"> (Oxford University Press, 2011) </w:t>
      </w:r>
      <w:r w:rsidRPr="00A03B67">
        <w:t>121</w:t>
      </w:r>
      <w:r w:rsidR="00C361AB" w:rsidRPr="00A03B67">
        <w:t>.</w:t>
      </w:r>
    </w:p>
  </w:footnote>
  <w:footnote w:id="18">
    <w:p w14:paraId="147126DB" w14:textId="7AFAB538" w:rsidR="00957689" w:rsidRPr="00A03B67" w:rsidRDefault="00957689">
      <w:pPr>
        <w:pStyle w:val="FootnoteText"/>
      </w:pPr>
      <w:r w:rsidRPr="00A03B67">
        <w:rPr>
          <w:rStyle w:val="FootnoteReference"/>
        </w:rPr>
        <w:footnoteRef/>
      </w:r>
      <w:r w:rsidRPr="00A03B67">
        <w:t xml:space="preserve"> </w:t>
      </w:r>
      <w:r w:rsidR="00C361AB" w:rsidRPr="00A03B67">
        <w:t xml:space="preserve">I Ayres and J Braithwaite, </w:t>
      </w:r>
      <w:r w:rsidR="00C361AB" w:rsidRPr="00A03B67">
        <w:rPr>
          <w:i/>
          <w:iCs/>
        </w:rPr>
        <w:t>Responsive Regulation: Transcending the Deregulation Debate</w:t>
      </w:r>
      <w:r w:rsidR="00C361AB" w:rsidRPr="00A03B67">
        <w:t xml:space="preserve"> (Oxford University Press, 1992).</w:t>
      </w:r>
    </w:p>
  </w:footnote>
  <w:footnote w:id="19">
    <w:p w14:paraId="01013D30" w14:textId="403C0570" w:rsidR="00957689" w:rsidRPr="00A03B67" w:rsidRDefault="00957689">
      <w:pPr>
        <w:pStyle w:val="FootnoteText"/>
      </w:pPr>
      <w:r w:rsidRPr="00A03B67">
        <w:rPr>
          <w:rStyle w:val="FootnoteReference"/>
        </w:rPr>
        <w:footnoteRef/>
      </w:r>
      <w:r w:rsidRPr="00A03B67">
        <w:t xml:space="preserve"> </w:t>
      </w:r>
      <w:r w:rsidR="00C361AB" w:rsidRPr="00A03B67">
        <w:t xml:space="preserve">I Ayres and J Braithwaite, </w:t>
      </w:r>
      <w:r w:rsidR="00C361AB" w:rsidRPr="00A03B67">
        <w:rPr>
          <w:i/>
          <w:iCs/>
        </w:rPr>
        <w:t>Responsive Regulation: Transcending the Deregulation Debate</w:t>
      </w:r>
      <w:r w:rsidR="00C361AB" w:rsidRPr="00A03B67">
        <w:t xml:space="preserve"> (Oxford University Press, 1992) </w:t>
      </w:r>
      <w:r w:rsidRPr="00A03B67">
        <w:t>35</w:t>
      </w:r>
      <w:r w:rsidR="00C361AB" w:rsidRPr="00A03B67">
        <w:t>.</w:t>
      </w:r>
    </w:p>
  </w:footnote>
  <w:footnote w:id="20">
    <w:p w14:paraId="5ACC1DB4" w14:textId="374B79DD" w:rsidR="00685010" w:rsidRPr="00A03B67" w:rsidRDefault="00685010" w:rsidP="00685010">
      <w:pPr>
        <w:pStyle w:val="FootnoteText"/>
      </w:pPr>
      <w:r w:rsidRPr="00A03B67">
        <w:rPr>
          <w:rStyle w:val="FootnoteReference"/>
        </w:rPr>
        <w:footnoteRef/>
      </w:r>
      <w:r w:rsidRPr="00A03B67">
        <w:t xml:space="preserve"> Fair Work Amendment (Secure Jobs, Better Pay) Bill 2023</w:t>
      </w:r>
      <w:r w:rsidR="00C361AB" w:rsidRPr="00A03B67">
        <w:t>,</w:t>
      </w:r>
      <w:r w:rsidRPr="00A03B67">
        <w:t xml:space="preserve"> </w:t>
      </w:r>
      <w:r w:rsidR="00C361AB" w:rsidRPr="00A03B67">
        <w:t xml:space="preserve">Statement of Compatibility with Human Rights, </w:t>
      </w:r>
      <w:r w:rsidRPr="00A03B67">
        <w:t>p</w:t>
      </w:r>
      <w:r w:rsidR="00C361AB" w:rsidRPr="00A03B67">
        <w:t>p</w:t>
      </w:r>
      <w:r w:rsidRPr="00A03B67">
        <w:t xml:space="preserve"> vi and vii</w:t>
      </w:r>
      <w:r w:rsidR="00C361AB" w:rsidRPr="00A03B67">
        <w:t>.</w:t>
      </w:r>
    </w:p>
  </w:footnote>
  <w:footnote w:id="21">
    <w:p w14:paraId="327D9155" w14:textId="37179734" w:rsidR="00A148FE" w:rsidRPr="00A03B67" w:rsidRDefault="00A148FE" w:rsidP="00A148FE">
      <w:pPr>
        <w:pStyle w:val="FootnoteText"/>
      </w:pPr>
      <w:r w:rsidRPr="00A03B67">
        <w:rPr>
          <w:rStyle w:val="FootnoteReference"/>
        </w:rPr>
        <w:footnoteRef/>
      </w:r>
      <w:r w:rsidRPr="00A03B67">
        <w:t xml:space="preserve"> </w:t>
      </w:r>
      <w:r w:rsidR="0029038D" w:rsidRPr="00A03B67">
        <w:t>Fair Work Amendment (Secure Jobs, Better Pay) Bill 2023</w:t>
      </w:r>
      <w:r w:rsidR="00C361AB" w:rsidRPr="00A03B67">
        <w:t xml:space="preserve">, Statement of Compatibility with Human Rights, </w:t>
      </w:r>
      <w:r w:rsidRPr="00A03B67">
        <w:t>p vii</w:t>
      </w:r>
      <w:r w:rsidR="00A016F9" w:rsidRPr="00A03B67">
        <w:t>.</w:t>
      </w:r>
    </w:p>
  </w:footnote>
  <w:footnote w:id="22">
    <w:p w14:paraId="163D27D9" w14:textId="6FE89577" w:rsidR="00A148FE" w:rsidRPr="00A03B67" w:rsidRDefault="00A148FE" w:rsidP="00A148FE">
      <w:pPr>
        <w:pStyle w:val="FootnoteText"/>
      </w:pPr>
      <w:r w:rsidRPr="00A03B67">
        <w:rPr>
          <w:rStyle w:val="FootnoteReference"/>
        </w:rPr>
        <w:footnoteRef/>
      </w:r>
      <w:r w:rsidRPr="00A03B67">
        <w:t xml:space="preserve"> </w:t>
      </w:r>
      <w:r w:rsidRPr="00A03B67">
        <w:rPr>
          <w:i/>
          <w:iCs/>
        </w:rPr>
        <w:t>Fair Work Act</w:t>
      </w:r>
      <w:r w:rsidR="00101E50" w:rsidRPr="00A03B67">
        <w:rPr>
          <w:i/>
          <w:iCs/>
        </w:rPr>
        <w:t xml:space="preserve"> 2009</w:t>
      </w:r>
      <w:r w:rsidR="00101E50" w:rsidRPr="00A03B67">
        <w:t xml:space="preserve"> (Cth)</w:t>
      </w:r>
      <w:r w:rsidRPr="00A03B67">
        <w:t xml:space="preserve"> s 712AA (2)</w:t>
      </w:r>
      <w:r w:rsidR="00A016F9" w:rsidRPr="00A03B67">
        <w:t>.</w:t>
      </w:r>
    </w:p>
  </w:footnote>
  <w:footnote w:id="23">
    <w:p w14:paraId="432E6BA0" w14:textId="6233E1A3" w:rsidR="00A148FE" w:rsidRPr="00A03B67" w:rsidRDefault="00A148FE" w:rsidP="00A148FE">
      <w:pPr>
        <w:pStyle w:val="FootnoteText"/>
      </w:pPr>
      <w:r w:rsidRPr="00A03B67">
        <w:rPr>
          <w:rStyle w:val="FootnoteReference"/>
        </w:rPr>
        <w:footnoteRef/>
      </w:r>
      <w:r w:rsidRPr="00A03B67" w:rsidDel="008F24EF">
        <w:t xml:space="preserve"> </w:t>
      </w:r>
      <w:r w:rsidR="008F24EF" w:rsidRPr="00A03B67">
        <w:rPr>
          <w:i/>
          <w:iCs/>
        </w:rPr>
        <w:t xml:space="preserve">Building and Construction (Improving </w:t>
      </w:r>
      <w:r w:rsidR="007277C2" w:rsidRPr="00A03B67">
        <w:rPr>
          <w:i/>
          <w:iCs/>
        </w:rPr>
        <w:t>Productivity</w:t>
      </w:r>
      <w:r w:rsidR="008F24EF" w:rsidRPr="00A03B67">
        <w:rPr>
          <w:i/>
          <w:iCs/>
        </w:rPr>
        <w:t xml:space="preserve">) </w:t>
      </w:r>
      <w:r w:rsidRPr="00A03B67">
        <w:rPr>
          <w:i/>
          <w:iCs/>
        </w:rPr>
        <w:t>Act</w:t>
      </w:r>
      <w:r w:rsidR="007277C2" w:rsidRPr="00A03B67">
        <w:rPr>
          <w:i/>
          <w:iCs/>
        </w:rPr>
        <w:t xml:space="preserve"> 2016</w:t>
      </w:r>
      <w:r w:rsidR="007277C2" w:rsidRPr="00A03B67">
        <w:t xml:space="preserve"> (Cth)</w:t>
      </w:r>
      <w:r w:rsidRPr="00A03B67">
        <w:t xml:space="preserve"> s 61</w:t>
      </w:r>
      <w:r w:rsidR="00D05D45" w:rsidRPr="00A03B67">
        <w:t>B</w:t>
      </w:r>
      <w:r w:rsidR="00A016F9" w:rsidRPr="00A03B67">
        <w:t>.</w:t>
      </w:r>
    </w:p>
  </w:footnote>
  <w:footnote w:id="24">
    <w:p w14:paraId="66E3B104" w14:textId="5582ABCE" w:rsidR="00A148FE" w:rsidRPr="00A03B67" w:rsidRDefault="00A148FE" w:rsidP="00A148FE">
      <w:pPr>
        <w:pStyle w:val="FootnoteText"/>
      </w:pPr>
      <w:r w:rsidRPr="00A03B67">
        <w:rPr>
          <w:rStyle w:val="FootnoteReference"/>
        </w:rPr>
        <w:footnoteRef/>
      </w:r>
      <w:r w:rsidRPr="00A03B67">
        <w:t xml:space="preserve"> </w:t>
      </w:r>
      <w:r w:rsidRPr="00A03B67">
        <w:rPr>
          <w:i/>
          <w:iCs/>
        </w:rPr>
        <w:t xml:space="preserve">Fair </w:t>
      </w:r>
      <w:r w:rsidR="00C361AB" w:rsidRPr="00A03B67">
        <w:rPr>
          <w:i/>
          <w:iCs/>
        </w:rPr>
        <w:t>W</w:t>
      </w:r>
      <w:r w:rsidRPr="00A03B67">
        <w:rPr>
          <w:i/>
          <w:iCs/>
        </w:rPr>
        <w:t>ork Act</w:t>
      </w:r>
      <w:r w:rsidR="00496889" w:rsidRPr="00A03B67">
        <w:rPr>
          <w:i/>
          <w:iCs/>
        </w:rPr>
        <w:t xml:space="preserve"> 2009</w:t>
      </w:r>
      <w:r w:rsidR="00496889" w:rsidRPr="00A03B67">
        <w:t xml:space="preserve"> (Cth)</w:t>
      </w:r>
      <w:r w:rsidRPr="00A03B67">
        <w:t xml:space="preserve"> s 712AA</w:t>
      </w:r>
      <w:r w:rsidR="00A016F9" w:rsidRPr="00A03B67">
        <w:t>.</w:t>
      </w:r>
    </w:p>
  </w:footnote>
  <w:footnote w:id="25">
    <w:p w14:paraId="480AC2C4" w14:textId="0E8816E1" w:rsidR="00A148FE" w:rsidRPr="00A03B67" w:rsidRDefault="00A148FE" w:rsidP="00A148FE">
      <w:pPr>
        <w:pStyle w:val="FootnoteText"/>
      </w:pPr>
      <w:r w:rsidRPr="00A03B67">
        <w:rPr>
          <w:rStyle w:val="FootnoteReference"/>
        </w:rPr>
        <w:footnoteRef/>
      </w:r>
      <w:r w:rsidRPr="00A03B67">
        <w:t xml:space="preserve"> </w:t>
      </w:r>
      <w:r w:rsidR="00694D93" w:rsidRPr="00A03B67">
        <w:rPr>
          <w:i/>
          <w:iCs/>
        </w:rPr>
        <w:t>Building and Construction (Improving Productivity) Act 2016</w:t>
      </w:r>
      <w:r w:rsidR="00694D93" w:rsidRPr="00A03B67">
        <w:t xml:space="preserve"> (Cth)</w:t>
      </w:r>
      <w:r w:rsidRPr="00A03B67">
        <w:t xml:space="preserve"> s 61B</w:t>
      </w:r>
      <w:r w:rsidR="00A016F9" w:rsidRPr="00A03B67">
        <w:t>.</w:t>
      </w:r>
    </w:p>
  </w:footnote>
  <w:footnote w:id="26">
    <w:p w14:paraId="5FDEAAA6" w14:textId="15E26698" w:rsidR="00A148FE" w:rsidRPr="00A03B67" w:rsidRDefault="00A148FE" w:rsidP="00A148FE">
      <w:pPr>
        <w:pStyle w:val="FootnoteText"/>
      </w:pPr>
      <w:r w:rsidRPr="00A03B67">
        <w:rPr>
          <w:rStyle w:val="FootnoteReference"/>
        </w:rPr>
        <w:footnoteRef/>
      </w:r>
      <w:r w:rsidRPr="00A03B67">
        <w:t xml:space="preserve"> </w:t>
      </w:r>
      <w:r w:rsidRPr="00A03B67">
        <w:rPr>
          <w:i/>
          <w:iCs/>
        </w:rPr>
        <w:t>Fair Work Act</w:t>
      </w:r>
      <w:r w:rsidR="007F6BAA" w:rsidRPr="00A03B67">
        <w:rPr>
          <w:i/>
          <w:iCs/>
        </w:rPr>
        <w:t xml:space="preserve"> 2009</w:t>
      </w:r>
      <w:r w:rsidR="007F6BAA" w:rsidRPr="00A03B67">
        <w:t xml:space="preserve"> (Cth)</w:t>
      </w:r>
      <w:r w:rsidRPr="00A03B67">
        <w:t xml:space="preserve"> s 716</w:t>
      </w:r>
      <w:r w:rsidR="00BE6D2C" w:rsidRPr="00A03B67">
        <w:t>(1)</w:t>
      </w:r>
      <w:r w:rsidR="00A016F9" w:rsidRPr="00A03B67">
        <w:t>.</w:t>
      </w:r>
    </w:p>
  </w:footnote>
  <w:footnote w:id="27">
    <w:p w14:paraId="7C458D26" w14:textId="2986992E" w:rsidR="00A148FE" w:rsidRPr="00A03B67" w:rsidRDefault="00A148FE" w:rsidP="00A148FE">
      <w:pPr>
        <w:pStyle w:val="FootnoteText"/>
      </w:pPr>
      <w:r w:rsidRPr="00A03B67">
        <w:rPr>
          <w:rStyle w:val="FootnoteReference"/>
        </w:rPr>
        <w:footnoteRef/>
      </w:r>
      <w:r w:rsidRPr="00A03B67">
        <w:t xml:space="preserve"> </w:t>
      </w:r>
      <w:r w:rsidR="00694D93" w:rsidRPr="00A03B67">
        <w:rPr>
          <w:i/>
          <w:iCs/>
        </w:rPr>
        <w:t>Building and Construction (Improving Productivity) Act 2016</w:t>
      </w:r>
      <w:r w:rsidR="00694D93" w:rsidRPr="00A03B67">
        <w:t xml:space="preserve"> (Cth)</w:t>
      </w:r>
      <w:r w:rsidRPr="00A03B67">
        <w:t xml:space="preserve"> s 99</w:t>
      </w:r>
      <w:r w:rsidR="00A016F9" w:rsidRPr="00A03B67">
        <w:t>.</w:t>
      </w:r>
    </w:p>
  </w:footnote>
  <w:footnote w:id="28">
    <w:p w14:paraId="5D04FF4D" w14:textId="5E72CACB" w:rsidR="00726156" w:rsidRPr="00A03B67" w:rsidRDefault="00726156">
      <w:pPr>
        <w:pStyle w:val="FootnoteText"/>
      </w:pPr>
      <w:r w:rsidRPr="00A03B67">
        <w:rPr>
          <w:rStyle w:val="FootnoteReference"/>
        </w:rPr>
        <w:footnoteRef/>
      </w:r>
      <w:r w:rsidRPr="00A03B67">
        <w:t xml:space="preserve"> </w:t>
      </w:r>
      <w:r w:rsidRPr="00A03B67">
        <w:rPr>
          <w:i/>
          <w:iCs/>
        </w:rPr>
        <w:t>Fair Work Act 2009</w:t>
      </w:r>
      <w:r w:rsidRPr="00A03B67">
        <w:t xml:space="preserve"> (Cth), s 708.</w:t>
      </w:r>
    </w:p>
  </w:footnote>
  <w:footnote w:id="29">
    <w:p w14:paraId="4FB03964" w14:textId="77777777" w:rsidR="00C52174" w:rsidRPr="00A03B67" w:rsidRDefault="00C52174" w:rsidP="00C52174">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72.</w:t>
      </w:r>
    </w:p>
  </w:footnote>
  <w:footnote w:id="30">
    <w:p w14:paraId="56153C2E" w14:textId="2BAF49E3" w:rsidR="00A148FE" w:rsidRPr="00A03B67" w:rsidRDefault="00A148FE" w:rsidP="00A148FE">
      <w:pPr>
        <w:pStyle w:val="FootnoteText"/>
      </w:pPr>
      <w:r w:rsidRPr="00A03B67">
        <w:rPr>
          <w:rStyle w:val="FootnoteReference"/>
        </w:rPr>
        <w:footnoteRef/>
      </w:r>
      <w:r w:rsidRPr="00A03B67" w:rsidDel="00694D93">
        <w:t xml:space="preserve"> </w:t>
      </w:r>
      <w:r w:rsidR="00694D93" w:rsidRPr="00A03B67">
        <w:rPr>
          <w:i/>
          <w:iCs/>
        </w:rPr>
        <w:t>Building and Construction (Improving Productivity) Act 2016</w:t>
      </w:r>
      <w:r w:rsidR="00694D93" w:rsidRPr="00A03B67">
        <w:t xml:space="preserve"> (Cth) </w:t>
      </w:r>
      <w:r w:rsidRPr="00A03B67">
        <w:t>s 109</w:t>
      </w:r>
      <w:r w:rsidR="00A016F9" w:rsidRPr="00A03B67">
        <w:t>.</w:t>
      </w:r>
    </w:p>
  </w:footnote>
  <w:footnote w:id="31">
    <w:p w14:paraId="07B28E3A" w14:textId="18E3E3B0" w:rsidR="00A148FE" w:rsidRPr="00A03B67" w:rsidRDefault="00A148FE" w:rsidP="00A148FE">
      <w:pPr>
        <w:pStyle w:val="FootnoteText"/>
      </w:pPr>
      <w:r w:rsidRPr="00A03B67">
        <w:rPr>
          <w:rStyle w:val="FootnoteReference"/>
        </w:rPr>
        <w:footnoteRef/>
      </w:r>
      <w:r w:rsidRPr="00A03B67" w:rsidDel="00694D93">
        <w:t xml:space="preserve"> </w:t>
      </w:r>
      <w:r w:rsidR="00694D93" w:rsidRPr="00A03B67">
        <w:rPr>
          <w:i/>
          <w:iCs/>
        </w:rPr>
        <w:t>Building and Construction (Improving Productivity) Act 2016</w:t>
      </w:r>
      <w:r w:rsidR="00694D93" w:rsidRPr="00A03B67">
        <w:t xml:space="preserve"> (Cth) </w:t>
      </w:r>
      <w:r w:rsidRPr="00A03B67">
        <w:t>s 1</w:t>
      </w:r>
      <w:r w:rsidR="00720B56" w:rsidRPr="00A03B67">
        <w:t>1</w:t>
      </w:r>
      <w:r w:rsidRPr="00A03B67">
        <w:t>0</w:t>
      </w:r>
      <w:r w:rsidR="007D2299" w:rsidRPr="00A03B67">
        <w:t>(1)</w:t>
      </w:r>
      <w:r w:rsidR="00A016F9" w:rsidRPr="00A03B67">
        <w:t>.</w:t>
      </w:r>
    </w:p>
  </w:footnote>
  <w:footnote w:id="32">
    <w:p w14:paraId="6806EE8E" w14:textId="79A29B32" w:rsidR="00A148FE" w:rsidRPr="00A03B67" w:rsidRDefault="00A148FE" w:rsidP="00A148FE">
      <w:pPr>
        <w:pStyle w:val="FootnoteText"/>
      </w:pPr>
      <w:r w:rsidRPr="00A03B67">
        <w:rPr>
          <w:rStyle w:val="FootnoteReference"/>
        </w:rPr>
        <w:footnoteRef/>
      </w:r>
      <w:r w:rsidRPr="00A03B67">
        <w:t xml:space="preserve"> </w:t>
      </w:r>
      <w:r w:rsidRPr="00A03B67">
        <w:rPr>
          <w:i/>
          <w:iCs/>
        </w:rPr>
        <w:t>Fair Work Act</w:t>
      </w:r>
      <w:r w:rsidR="007F6BAA" w:rsidRPr="00A03B67">
        <w:rPr>
          <w:i/>
          <w:iCs/>
        </w:rPr>
        <w:t xml:space="preserve"> 2009</w:t>
      </w:r>
      <w:r w:rsidR="007F6BAA" w:rsidRPr="00A03B67">
        <w:t xml:space="preserve"> (Cth)</w:t>
      </w:r>
      <w:r w:rsidRPr="00A03B67">
        <w:t xml:space="preserve"> s 569</w:t>
      </w:r>
      <w:r w:rsidR="00A016F9" w:rsidRPr="00A03B67">
        <w:t>.</w:t>
      </w:r>
    </w:p>
  </w:footnote>
  <w:footnote w:id="33">
    <w:p w14:paraId="5EB24520" w14:textId="2490BAB5" w:rsidR="001E2CD0" w:rsidRPr="00A03B67" w:rsidRDefault="001E2C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108</w:t>
      </w:r>
      <w:r w:rsidR="00A016F9" w:rsidRPr="00A03B67">
        <w:t>.</w:t>
      </w:r>
    </w:p>
  </w:footnote>
  <w:footnote w:id="34">
    <w:p w14:paraId="098FB55F" w14:textId="6A6D3616" w:rsidR="00A148FE" w:rsidRPr="00A03B67" w:rsidRDefault="00A148FE" w:rsidP="00A148FE">
      <w:pPr>
        <w:pStyle w:val="FootnoteText"/>
      </w:pPr>
      <w:r w:rsidRPr="00A03B67">
        <w:rPr>
          <w:rStyle w:val="FootnoteReference"/>
        </w:rPr>
        <w:footnoteRef/>
      </w:r>
      <w:r w:rsidRPr="00A03B67">
        <w:t xml:space="preserve"> </w:t>
      </w:r>
      <w:r w:rsidR="00694D93" w:rsidRPr="00A03B67">
        <w:rPr>
          <w:i/>
          <w:iCs/>
        </w:rPr>
        <w:t>Building and Construction (Improving Productivity) Act 2016</w:t>
      </w:r>
      <w:r w:rsidR="00694D93" w:rsidRPr="00A03B67">
        <w:t xml:space="preserve"> (Cth)</w:t>
      </w:r>
      <w:r w:rsidRPr="00A03B67">
        <w:t xml:space="preserve"> s 102</w:t>
      </w:r>
      <w:r w:rsidR="00C361AB" w:rsidRPr="00A03B67">
        <w:t>;</w:t>
      </w:r>
      <w:r w:rsidRPr="00A03B67">
        <w:t xml:space="preserve"> </w:t>
      </w:r>
      <w:r w:rsidRPr="00A03B67">
        <w:rPr>
          <w:i/>
          <w:iCs/>
        </w:rPr>
        <w:t>Fair Work Act</w:t>
      </w:r>
      <w:r w:rsidR="00C361AB" w:rsidRPr="00A03B67">
        <w:rPr>
          <w:i/>
          <w:iCs/>
        </w:rPr>
        <w:t xml:space="preserve"> 2009</w:t>
      </w:r>
      <w:r w:rsidR="00C361AB" w:rsidRPr="00A03B67">
        <w:t xml:space="preserve"> (Cth) </w:t>
      </w:r>
      <w:r w:rsidRPr="00A03B67">
        <w:t>s 713</w:t>
      </w:r>
      <w:r w:rsidR="00A016F9" w:rsidRPr="00A03B67">
        <w:t>.</w:t>
      </w:r>
    </w:p>
  </w:footnote>
  <w:footnote w:id="35">
    <w:p w14:paraId="53BF5FF7" w14:textId="6C68C691" w:rsidR="00A148FE" w:rsidRPr="00A03B67" w:rsidRDefault="00A148FE" w:rsidP="00A148FE">
      <w:pPr>
        <w:pStyle w:val="FootnoteText"/>
      </w:pPr>
      <w:r w:rsidRPr="00A03B67">
        <w:rPr>
          <w:rStyle w:val="FootnoteReference"/>
        </w:rPr>
        <w:footnoteRef/>
      </w:r>
      <w:r w:rsidRPr="00A03B67">
        <w:t xml:space="preserve"> </w:t>
      </w:r>
      <w:r w:rsidR="00DB2E43" w:rsidRPr="00A03B67">
        <w:rPr>
          <w:i/>
          <w:iCs/>
        </w:rPr>
        <w:t>Building and Construction (Improving Productivity) Act 2016</w:t>
      </w:r>
      <w:r w:rsidR="00DB2E43" w:rsidRPr="00A03B67">
        <w:t xml:space="preserve"> (Cth) </w:t>
      </w:r>
      <w:r w:rsidRPr="00A03B67">
        <w:t>s 52</w:t>
      </w:r>
      <w:r w:rsidR="00C361AB" w:rsidRPr="00A03B67">
        <w:t>;</w:t>
      </w:r>
      <w:r w:rsidRPr="00A03B67">
        <w:t xml:space="preserve"> </w:t>
      </w:r>
      <w:r w:rsidRPr="00A03B67">
        <w:rPr>
          <w:i/>
          <w:iCs/>
        </w:rPr>
        <w:t>Fair Work Act</w:t>
      </w:r>
      <w:r w:rsidR="00DB2E43" w:rsidRPr="00A03B67">
        <w:rPr>
          <w:i/>
          <w:iCs/>
        </w:rPr>
        <w:t xml:space="preserve"> 2009</w:t>
      </w:r>
      <w:r w:rsidR="00DB2E43" w:rsidRPr="00A03B67">
        <w:t xml:space="preserve"> (Cth)</w:t>
      </w:r>
      <w:r w:rsidRPr="00A03B67">
        <w:t xml:space="preserve"> s 355</w:t>
      </w:r>
      <w:r w:rsidR="00A016F9" w:rsidRPr="00A03B67">
        <w:t>.</w:t>
      </w:r>
    </w:p>
  </w:footnote>
  <w:footnote w:id="36">
    <w:p w14:paraId="6FD173D3" w14:textId="0A969CF8" w:rsidR="00A148FE" w:rsidRPr="00A03B67" w:rsidRDefault="00A148FE" w:rsidP="00A148FE">
      <w:pPr>
        <w:pStyle w:val="FootnoteText"/>
      </w:pPr>
      <w:r w:rsidRPr="00A03B67">
        <w:rPr>
          <w:rStyle w:val="FootnoteReference"/>
        </w:rPr>
        <w:footnoteRef/>
      </w:r>
      <w:r w:rsidRPr="00A03B67" w:rsidDel="00DB2E43">
        <w:t xml:space="preserve"> </w:t>
      </w:r>
      <w:r w:rsidR="00DB2E43" w:rsidRPr="00A03B67">
        <w:rPr>
          <w:i/>
          <w:iCs/>
        </w:rPr>
        <w:t>Building and Construction (Improving Productivity) Act 2016</w:t>
      </w:r>
      <w:r w:rsidR="00DB2E43" w:rsidRPr="00A03B67">
        <w:t xml:space="preserve"> (Cth) </w:t>
      </w:r>
      <w:r w:rsidRPr="00A03B67">
        <w:t>s 54</w:t>
      </w:r>
      <w:r w:rsidR="00C361AB" w:rsidRPr="00A03B67">
        <w:t>;</w:t>
      </w:r>
      <w:r w:rsidRPr="00A03B67">
        <w:t xml:space="preserve"> </w:t>
      </w:r>
      <w:r w:rsidRPr="00A03B67">
        <w:rPr>
          <w:i/>
          <w:iCs/>
        </w:rPr>
        <w:t>Fair Work Act</w:t>
      </w:r>
      <w:r w:rsidR="00DB2E43" w:rsidRPr="00A03B67">
        <w:rPr>
          <w:i/>
          <w:iCs/>
        </w:rPr>
        <w:t xml:space="preserve"> 2009</w:t>
      </w:r>
      <w:r w:rsidR="00DB2E43" w:rsidRPr="00A03B67">
        <w:t xml:space="preserve"> (Cth)</w:t>
      </w:r>
      <w:r w:rsidRPr="00A03B67">
        <w:t xml:space="preserve"> s 343(1)</w:t>
      </w:r>
      <w:r w:rsidR="00A016F9" w:rsidRPr="00A03B67">
        <w:t>.</w:t>
      </w:r>
    </w:p>
  </w:footnote>
  <w:footnote w:id="37">
    <w:p w14:paraId="51555179" w14:textId="47F07DEB" w:rsidR="00A148FE" w:rsidRPr="00A03B67" w:rsidRDefault="00A148FE" w:rsidP="00A148FE">
      <w:pPr>
        <w:pStyle w:val="FootnoteText"/>
      </w:pPr>
      <w:r w:rsidRPr="00A03B67">
        <w:rPr>
          <w:rStyle w:val="FootnoteReference"/>
        </w:rPr>
        <w:footnoteRef/>
      </w:r>
      <w:r w:rsidRPr="00A03B67">
        <w:t xml:space="preserve"> </w:t>
      </w:r>
      <w:r w:rsidR="00DB2E43" w:rsidRPr="00A03B67">
        <w:rPr>
          <w:i/>
          <w:iCs/>
        </w:rPr>
        <w:t>Building and Construction (Improving Productivity) Act 2016</w:t>
      </w:r>
      <w:r w:rsidR="00DB2E43" w:rsidRPr="00A03B67">
        <w:t xml:space="preserve"> (Cth)</w:t>
      </w:r>
      <w:r w:rsidRPr="00A03B67">
        <w:t xml:space="preserve"> s 55</w:t>
      </w:r>
      <w:r w:rsidR="00C361AB" w:rsidRPr="00A03B67">
        <w:t>;</w:t>
      </w:r>
      <w:r w:rsidRPr="00A03B67">
        <w:t xml:space="preserve"> </w:t>
      </w:r>
      <w:r w:rsidRPr="00A03B67">
        <w:rPr>
          <w:i/>
          <w:iCs/>
        </w:rPr>
        <w:t>Fair Work Act</w:t>
      </w:r>
      <w:r w:rsidR="00DB2E43" w:rsidRPr="00A03B67">
        <w:rPr>
          <w:i/>
          <w:iCs/>
        </w:rPr>
        <w:t xml:space="preserve"> 2009</w:t>
      </w:r>
      <w:r w:rsidR="00DB2E43" w:rsidRPr="00A03B67">
        <w:t xml:space="preserve"> (Cth)</w:t>
      </w:r>
      <w:r w:rsidRPr="00A03B67">
        <w:t xml:space="preserve"> s</w:t>
      </w:r>
      <w:r w:rsidR="00C361AB" w:rsidRPr="00A03B67">
        <w:t xml:space="preserve"> </w:t>
      </w:r>
      <w:r w:rsidRPr="00A03B67">
        <w:t>354(1)</w:t>
      </w:r>
      <w:r w:rsidR="00A016F9" w:rsidRPr="00A03B67">
        <w:t>.</w:t>
      </w:r>
    </w:p>
  </w:footnote>
  <w:footnote w:id="38">
    <w:p w14:paraId="5123777B" w14:textId="6A00F1B7" w:rsidR="00A148FE" w:rsidRPr="00A03B67" w:rsidRDefault="00A148FE" w:rsidP="00A148FE">
      <w:pPr>
        <w:pStyle w:val="FootnoteText"/>
      </w:pPr>
      <w:r w:rsidRPr="00A03B67">
        <w:rPr>
          <w:rStyle w:val="FootnoteReference"/>
        </w:rPr>
        <w:footnoteRef/>
      </w:r>
      <w:r w:rsidRPr="00A03B67">
        <w:t xml:space="preserve"> </w:t>
      </w:r>
      <w:r w:rsidR="00DB2E43" w:rsidRPr="00A03B67">
        <w:rPr>
          <w:i/>
          <w:iCs/>
        </w:rPr>
        <w:t>Building and Construction (Improving Productivity) Act 2016</w:t>
      </w:r>
      <w:r w:rsidR="00DB2E43" w:rsidRPr="00A03B67">
        <w:t xml:space="preserve"> (Cth)</w:t>
      </w:r>
      <w:r w:rsidRPr="00A03B67" w:rsidDel="00DB2E43">
        <w:t xml:space="preserve"> </w:t>
      </w:r>
      <w:r w:rsidRPr="00A03B67">
        <w:t>s 78</w:t>
      </w:r>
      <w:r w:rsidR="00C361AB" w:rsidRPr="00A03B67">
        <w:t>;</w:t>
      </w:r>
      <w:r w:rsidRPr="00A03B67">
        <w:t xml:space="preserve"> </w:t>
      </w:r>
      <w:r w:rsidRPr="00A03B67">
        <w:rPr>
          <w:i/>
          <w:iCs/>
        </w:rPr>
        <w:t>Fair Work Act</w:t>
      </w:r>
      <w:r w:rsidR="00DB2E43" w:rsidRPr="00A03B67">
        <w:rPr>
          <w:i/>
          <w:iCs/>
        </w:rPr>
        <w:t xml:space="preserve"> 2009</w:t>
      </w:r>
      <w:r w:rsidR="00DB2E43" w:rsidRPr="00A03B67">
        <w:t xml:space="preserve"> (Cth)</w:t>
      </w:r>
      <w:r w:rsidRPr="00A03B67">
        <w:t xml:space="preserve"> s 707A</w:t>
      </w:r>
      <w:r w:rsidR="00A016F9" w:rsidRPr="00A03B67">
        <w:t>.</w:t>
      </w:r>
    </w:p>
  </w:footnote>
  <w:footnote w:id="39">
    <w:p w14:paraId="491D839E" w14:textId="4F230CB4" w:rsidR="00A148FE" w:rsidRPr="00A03B67" w:rsidRDefault="00A148FE" w:rsidP="00A148FE">
      <w:pPr>
        <w:pStyle w:val="FootnoteText"/>
      </w:pPr>
      <w:r w:rsidRPr="00A03B67">
        <w:rPr>
          <w:rStyle w:val="FootnoteReference"/>
        </w:rPr>
        <w:footnoteRef/>
      </w:r>
      <w:r w:rsidR="00DB2E43" w:rsidRPr="00A03B67">
        <w:t xml:space="preserve"> </w:t>
      </w:r>
      <w:r w:rsidR="00DB2E43" w:rsidRPr="00A03B67">
        <w:rPr>
          <w:i/>
          <w:iCs/>
        </w:rPr>
        <w:t>Building and Construction (Improving Productivity) Act 2016</w:t>
      </w:r>
      <w:r w:rsidR="00DB2E43" w:rsidRPr="00A03B67">
        <w:t xml:space="preserve"> (Cth)</w:t>
      </w:r>
      <w:r w:rsidRPr="00A03B67">
        <w:t xml:space="preserve"> </w:t>
      </w:r>
      <w:r w:rsidR="00C361AB" w:rsidRPr="00A03B67">
        <w:t>s</w:t>
      </w:r>
      <w:r w:rsidRPr="00A03B67">
        <w:t xml:space="preserve">s </w:t>
      </w:r>
      <w:r w:rsidR="00261E7A" w:rsidRPr="00A03B67">
        <w:t xml:space="preserve">46, </w:t>
      </w:r>
      <w:r w:rsidR="00C361AB" w:rsidRPr="00A03B67">
        <w:t>47</w:t>
      </w:r>
      <w:r w:rsidR="00A016F9" w:rsidRPr="00A03B67">
        <w:t>.</w:t>
      </w:r>
    </w:p>
  </w:footnote>
  <w:footnote w:id="40">
    <w:p w14:paraId="5DAD2FF2" w14:textId="08CF1814" w:rsidR="004C1CFF" w:rsidRPr="00A03B67" w:rsidRDefault="004C1CFF">
      <w:pPr>
        <w:pStyle w:val="FootnoteText"/>
      </w:pPr>
      <w:r w:rsidRPr="00A03B67">
        <w:rPr>
          <w:rStyle w:val="FootnoteReference"/>
        </w:rPr>
        <w:footnoteRef/>
      </w:r>
      <w:r w:rsidRPr="00A03B67">
        <w:t xml:space="preserve"> </w:t>
      </w:r>
      <w:r w:rsidR="00124E40" w:rsidRPr="00A03B67">
        <w:rPr>
          <w:i/>
          <w:iCs/>
        </w:rPr>
        <w:t>Fair Work Act 2009</w:t>
      </w:r>
      <w:r w:rsidR="00124E40" w:rsidRPr="00A03B67">
        <w:t xml:space="preserve"> (Cth) s 712B</w:t>
      </w:r>
      <w:r w:rsidR="00A016F9" w:rsidRPr="00A03B67">
        <w:t>.</w:t>
      </w:r>
    </w:p>
  </w:footnote>
  <w:footnote w:id="41">
    <w:p w14:paraId="0C4F0F55" w14:textId="3B244626" w:rsidR="00A148FE" w:rsidRPr="00A03B67" w:rsidRDefault="00A148FE" w:rsidP="00A148FE">
      <w:pPr>
        <w:pStyle w:val="FootnoteText"/>
      </w:pPr>
      <w:r w:rsidRPr="00A03B67">
        <w:rPr>
          <w:rStyle w:val="FootnoteReference"/>
        </w:rPr>
        <w:footnoteRef/>
      </w:r>
      <w:r w:rsidRPr="00A03B67">
        <w:t xml:space="preserve"> </w:t>
      </w:r>
      <w:r w:rsidR="00DB2E43" w:rsidRPr="00A03B67">
        <w:rPr>
          <w:i/>
          <w:iCs/>
        </w:rPr>
        <w:t>Building and Construction (Improving Productivity) Act 2016</w:t>
      </w:r>
      <w:r w:rsidR="00DB2E43" w:rsidRPr="00A03B67">
        <w:t xml:space="preserve"> (Cth)</w:t>
      </w:r>
      <w:r w:rsidRPr="00A03B67">
        <w:t xml:space="preserve"> s 62</w:t>
      </w:r>
      <w:r w:rsidR="00A016F9" w:rsidRPr="00A03B67">
        <w:t>.</w:t>
      </w:r>
    </w:p>
  </w:footnote>
  <w:footnote w:id="42">
    <w:p w14:paraId="710D0386" w14:textId="49C08A86" w:rsidR="00A148FE" w:rsidRPr="00A03B67" w:rsidRDefault="00A148FE" w:rsidP="00A148FE">
      <w:pPr>
        <w:pStyle w:val="FootnoteText"/>
      </w:pPr>
      <w:r w:rsidRPr="00A03B67">
        <w:rPr>
          <w:rStyle w:val="FootnoteReference"/>
        </w:rPr>
        <w:footnoteRef/>
      </w:r>
      <w:r w:rsidRPr="00A03B67">
        <w:t xml:space="preserve"> </w:t>
      </w:r>
      <w:r w:rsidR="00D65007" w:rsidRPr="00A03B67">
        <w:t>The Hon Tony Burke MP, Minister for Employment and Workplace Relations</w:t>
      </w:r>
      <w:r w:rsidR="00E54D7A" w:rsidRPr="00A03B67">
        <w:t>, ‘</w:t>
      </w:r>
      <w:r w:rsidRPr="00A03B67">
        <w:t xml:space="preserve">Restoring </w:t>
      </w:r>
      <w:r w:rsidR="00C361AB" w:rsidRPr="00A03B67">
        <w:t>E</w:t>
      </w:r>
      <w:r w:rsidRPr="00A03B67">
        <w:t xml:space="preserve">qual </w:t>
      </w:r>
      <w:r w:rsidR="00C361AB" w:rsidRPr="00A03B67">
        <w:t>R</w:t>
      </w:r>
      <w:r w:rsidRPr="00A03B67">
        <w:t xml:space="preserve">ights for </w:t>
      </w:r>
      <w:r w:rsidR="00C361AB" w:rsidRPr="00A03B67">
        <w:t>C</w:t>
      </w:r>
      <w:r w:rsidRPr="00A03B67">
        <w:t xml:space="preserve">onstruction </w:t>
      </w:r>
      <w:r w:rsidR="00C361AB" w:rsidRPr="00A03B67">
        <w:t>W</w:t>
      </w:r>
      <w:r w:rsidRPr="00A03B67">
        <w:t>orkers</w:t>
      </w:r>
      <w:r w:rsidR="00E54D7A" w:rsidRPr="00A03B67">
        <w:t>’ (</w:t>
      </w:r>
      <w:r w:rsidRPr="00A03B67">
        <w:t>Media Release, 24 July 2024</w:t>
      </w:r>
      <w:r w:rsidR="00E54D7A" w:rsidRPr="00A03B67">
        <w:t xml:space="preserve">) </w:t>
      </w:r>
      <w:r w:rsidR="00562A93" w:rsidRPr="00A03B67">
        <w:t>&lt;https://ministers.dewr.gov.au/burke/restoring-equal-rights-construction-workers</w:t>
      </w:r>
      <w:r w:rsidR="00C361AB" w:rsidRPr="00A03B67">
        <w:t>&gt;</w:t>
      </w:r>
      <w:r w:rsidR="00A016F9" w:rsidRPr="00A03B67">
        <w:t>.</w:t>
      </w:r>
      <w:r w:rsidRPr="00A03B67">
        <w:rPr>
          <w:lang w:val="en-US"/>
        </w:rPr>
        <w:t xml:space="preserve"> </w:t>
      </w:r>
    </w:p>
  </w:footnote>
  <w:footnote w:id="43">
    <w:p w14:paraId="2EF3264D" w14:textId="741687E3" w:rsidR="00A7310F" w:rsidRPr="00A03B67" w:rsidRDefault="00A7310F" w:rsidP="00A7310F">
      <w:pPr>
        <w:pStyle w:val="FootnoteText"/>
      </w:pPr>
      <w:r w:rsidRPr="00A03B67">
        <w:rPr>
          <w:rStyle w:val="FootnoteReference"/>
        </w:rPr>
        <w:footnoteRef/>
      </w:r>
      <w:r w:rsidRPr="00A03B67">
        <w:t xml:space="preserve"> </w:t>
      </w:r>
      <w:r w:rsidR="00132A55" w:rsidRPr="00A03B67">
        <w:t xml:space="preserve">Senate Education and Employment Legislation Committee, Parliament of Australia, </w:t>
      </w:r>
      <w:r w:rsidRPr="00A03B67">
        <w:rPr>
          <w:i/>
          <w:iCs/>
        </w:rPr>
        <w:t>Fair Work Legislation Amendment (Secure Jobs, Better Pay) Bill 2022</w:t>
      </w:r>
      <w:r w:rsidR="00132A55" w:rsidRPr="00A03B67">
        <w:rPr>
          <w:i/>
          <w:iCs/>
        </w:rPr>
        <w:t xml:space="preserve"> [Provisions]</w:t>
      </w:r>
      <w:r w:rsidR="00132A55" w:rsidRPr="00A03B67">
        <w:t xml:space="preserve"> (Report, 2022)</w:t>
      </w:r>
      <w:r w:rsidRPr="00A03B67">
        <w:t xml:space="preserve"> 82</w:t>
      </w:r>
      <w:r w:rsidR="00A016F9" w:rsidRPr="00A03B67">
        <w:t>.</w:t>
      </w:r>
    </w:p>
  </w:footnote>
  <w:footnote w:id="44">
    <w:p w14:paraId="1B4D2272" w14:textId="61EBFAAA" w:rsidR="00A148FE" w:rsidRPr="00A03B67" w:rsidRDefault="00A148FE" w:rsidP="00A148FE">
      <w:pPr>
        <w:pStyle w:val="FootnoteText"/>
      </w:pPr>
      <w:r w:rsidRPr="00A03B67">
        <w:rPr>
          <w:rStyle w:val="FootnoteReference"/>
        </w:rPr>
        <w:footnoteRef/>
      </w:r>
      <w:r w:rsidRPr="00A03B67">
        <w:t xml:space="preserve"> </w:t>
      </w:r>
      <w:r w:rsidR="00132A55" w:rsidRPr="00A03B67">
        <w:t xml:space="preserve">Senate Education and Employment Legislation Committee, Parliament of Australia, </w:t>
      </w:r>
      <w:r w:rsidR="00132A55" w:rsidRPr="00A03B67">
        <w:rPr>
          <w:i/>
          <w:iCs/>
        </w:rPr>
        <w:t>Fair Work Legislation Amendment (Secure Jobs, Better Pay) Bill 2022 [Provisions]</w:t>
      </w:r>
      <w:r w:rsidR="00132A55" w:rsidRPr="00A03B67">
        <w:t xml:space="preserve"> (Report, 2022) 82.</w:t>
      </w:r>
    </w:p>
  </w:footnote>
  <w:footnote w:id="45">
    <w:p w14:paraId="792F1F24" w14:textId="4C5D00A9" w:rsidR="00A148FE" w:rsidRPr="00A03B67" w:rsidRDefault="00A148FE" w:rsidP="00A148FE">
      <w:pPr>
        <w:pStyle w:val="FootnoteText"/>
      </w:pPr>
      <w:r w:rsidRPr="00A03B67">
        <w:rPr>
          <w:rStyle w:val="FootnoteReference"/>
        </w:rPr>
        <w:footnoteRef/>
      </w:r>
      <w:r w:rsidRPr="00A03B67">
        <w:t xml:space="preserve"> </w:t>
      </w:r>
      <w:r w:rsidR="00132A55" w:rsidRPr="00A03B67">
        <w:t xml:space="preserve">Senate Education and Employment Legislation Committee, Parliament of Australia, </w:t>
      </w:r>
      <w:r w:rsidR="00132A55" w:rsidRPr="00A03B67">
        <w:rPr>
          <w:i/>
          <w:iCs/>
        </w:rPr>
        <w:t>Fair Work Legislation Amendment (Secure Jobs, Better Pay) Bill 2022 [Provisions]</w:t>
      </w:r>
      <w:r w:rsidR="00132A55" w:rsidRPr="00A03B67">
        <w:t xml:space="preserve"> (Report, 2022) 82.</w:t>
      </w:r>
    </w:p>
  </w:footnote>
  <w:footnote w:id="46">
    <w:p w14:paraId="1FCA9CF8" w14:textId="474D9884" w:rsidR="00A148FE" w:rsidRPr="00A03B67" w:rsidRDefault="00A148FE" w:rsidP="00A148FE">
      <w:pPr>
        <w:pStyle w:val="FootnoteText"/>
      </w:pPr>
      <w:r w:rsidRPr="00A03B67">
        <w:rPr>
          <w:rStyle w:val="FootnoteReference"/>
        </w:rPr>
        <w:footnoteRef/>
      </w:r>
      <w:r w:rsidRPr="00A03B67">
        <w:t xml:space="preserve"> See for example, submissions by </w:t>
      </w:r>
      <w:r w:rsidR="00132A55" w:rsidRPr="00A03B67">
        <w:t>Housing Industry Association (</w:t>
      </w:r>
      <w:r w:rsidRPr="00A03B67">
        <w:t>HIA</w:t>
      </w:r>
      <w:r w:rsidR="00132A55" w:rsidRPr="00A03B67">
        <w:t>)</w:t>
      </w:r>
      <w:r w:rsidR="00072D39" w:rsidRPr="00A03B67">
        <w:t xml:space="preserve"> 3</w:t>
      </w:r>
      <w:r w:rsidRPr="00A03B67">
        <w:t xml:space="preserve">, </w:t>
      </w:r>
      <w:r w:rsidR="007F2B81" w:rsidRPr="00A03B67">
        <w:t>Business Council of Australia (</w:t>
      </w:r>
      <w:r w:rsidRPr="00A03B67">
        <w:t>BCA</w:t>
      </w:r>
      <w:r w:rsidR="007F2B81" w:rsidRPr="00A03B67">
        <w:t>)</w:t>
      </w:r>
      <w:r w:rsidR="00072D39" w:rsidRPr="00A03B67">
        <w:t xml:space="preserve"> 16</w:t>
      </w:r>
      <w:r w:rsidRPr="00A03B67">
        <w:t xml:space="preserve">, </w:t>
      </w:r>
      <w:r w:rsidR="007F2B81" w:rsidRPr="00A03B67">
        <w:t>Australian Resources &amp; Energy Employer Association (</w:t>
      </w:r>
      <w:r w:rsidRPr="00A03B67">
        <w:t>AREEA</w:t>
      </w:r>
      <w:r w:rsidR="007F2B81" w:rsidRPr="00A03B67">
        <w:t>)</w:t>
      </w:r>
      <w:r w:rsidRPr="00A03B67">
        <w:t xml:space="preserve">, </w:t>
      </w:r>
      <w:r w:rsidR="007F2B81" w:rsidRPr="00A03B67">
        <w:t>Minerals Council of Australia (</w:t>
      </w:r>
      <w:r w:rsidRPr="00A03B67">
        <w:t>MCA</w:t>
      </w:r>
      <w:r w:rsidR="007F2B81" w:rsidRPr="00A03B67">
        <w:t>)</w:t>
      </w:r>
      <w:r w:rsidR="00CD2BF4" w:rsidRPr="00A03B67">
        <w:t xml:space="preserve"> 26</w:t>
      </w:r>
      <w:r w:rsidRPr="00A03B67">
        <w:t xml:space="preserve">, </w:t>
      </w:r>
      <w:r w:rsidR="007F2B81" w:rsidRPr="00A03B67">
        <w:t>Master Builders Australia (</w:t>
      </w:r>
      <w:r w:rsidRPr="00A03B67">
        <w:t>MBA</w:t>
      </w:r>
      <w:r w:rsidR="007F2B81" w:rsidRPr="00A03B67">
        <w:t>)</w:t>
      </w:r>
      <w:r w:rsidRPr="00A03B67">
        <w:t xml:space="preserve"> </w:t>
      </w:r>
      <w:r w:rsidR="00CD2BF4" w:rsidRPr="00A03B67">
        <w:t xml:space="preserve">6, 8 </w:t>
      </w:r>
      <w:r w:rsidRPr="00A03B67">
        <w:t>and Ai</w:t>
      </w:r>
      <w:r w:rsidR="00132A55" w:rsidRPr="00A03B67">
        <w:t xml:space="preserve"> </w:t>
      </w:r>
      <w:r w:rsidRPr="00A03B67">
        <w:t>Group</w:t>
      </w:r>
      <w:r w:rsidR="00CD2BF4" w:rsidRPr="00A03B67">
        <w:t xml:space="preserve"> 122, 124</w:t>
      </w:r>
      <w:r w:rsidRPr="00A03B67">
        <w:t xml:space="preserve">.  </w:t>
      </w:r>
    </w:p>
  </w:footnote>
  <w:footnote w:id="47">
    <w:p w14:paraId="3AF4975B" w14:textId="457153BC" w:rsidR="00A148FE" w:rsidRPr="00A03B67" w:rsidRDefault="00A148FE" w:rsidP="00A148FE">
      <w:pPr>
        <w:pStyle w:val="FootnoteText"/>
      </w:pPr>
      <w:r w:rsidRPr="00A03B67">
        <w:rPr>
          <w:rStyle w:val="FootnoteReference"/>
        </w:rPr>
        <w:footnoteRef/>
      </w:r>
      <w:r w:rsidRPr="00A03B67">
        <w:t xml:space="preserve"> </w:t>
      </w:r>
      <w:r w:rsidR="00132A55" w:rsidRPr="00A03B67">
        <w:t xml:space="preserve">Commonwealth, </w:t>
      </w:r>
      <w:r w:rsidR="00132A55" w:rsidRPr="00A03B67">
        <w:rPr>
          <w:i/>
          <w:iCs/>
        </w:rPr>
        <w:t>Parliamentary Debates</w:t>
      </w:r>
      <w:r w:rsidR="00132A55" w:rsidRPr="00A03B67">
        <w:t xml:space="preserve">, House of Representatives, 25 October 2022 (Tony </w:t>
      </w:r>
      <w:r w:rsidRPr="00A03B67">
        <w:t xml:space="preserve">Burke, </w:t>
      </w:r>
      <w:r w:rsidR="00132A55" w:rsidRPr="00A03B67">
        <w:t>Minister for Employment and Workplace Relations)</w:t>
      </w:r>
      <w:r w:rsidR="00F30FC8" w:rsidRPr="00A03B67">
        <w:t xml:space="preserve"> </w:t>
      </w:r>
      <w:r w:rsidR="001C2C50" w:rsidRPr="00A03B67">
        <w:t>2183</w:t>
      </w:r>
      <w:r w:rsidR="00132A55" w:rsidRPr="00A03B67">
        <w:t>.</w:t>
      </w:r>
    </w:p>
  </w:footnote>
  <w:footnote w:id="48">
    <w:p w14:paraId="545F5FEA" w14:textId="2662BDC1" w:rsidR="00A148FE" w:rsidRPr="00A03B67" w:rsidRDefault="00A148FE" w:rsidP="00A148FE">
      <w:pPr>
        <w:pStyle w:val="FootnoteText"/>
      </w:pPr>
      <w:r w:rsidRPr="00A03B67">
        <w:rPr>
          <w:rStyle w:val="FootnoteReference"/>
        </w:rPr>
        <w:footnoteRef/>
      </w:r>
      <w:r w:rsidRPr="00A03B67">
        <w:t xml:space="preserve"> </w:t>
      </w:r>
      <w:r w:rsidR="00D65007" w:rsidRPr="00A03B67">
        <w:t xml:space="preserve">The Hon Tony Burke MP, Minister for Employment and Workplace Relations, ‘Restoring Equal Rights for Construction Workers’ (Media Release, 24 July 2024) </w:t>
      </w:r>
      <w:r w:rsidR="00F30FC8" w:rsidRPr="00E16801">
        <w:t>https://ministers.dewr.gov.au/burke/restoring-equal-rights-construction-workers</w:t>
      </w:r>
      <w:r w:rsidR="00D65007" w:rsidRPr="00A03B67">
        <w:t>.</w:t>
      </w:r>
      <w:r w:rsidR="00D65007" w:rsidRPr="00A03B67">
        <w:rPr>
          <w:lang w:val="en-US"/>
        </w:rPr>
        <w:t xml:space="preserve"> </w:t>
      </w:r>
    </w:p>
  </w:footnote>
  <w:footnote w:id="49">
    <w:p w14:paraId="229DA0C3" w14:textId="0E153EC0" w:rsidR="00A148FE" w:rsidRPr="00A03B67" w:rsidRDefault="00A148FE" w:rsidP="00A148FE">
      <w:pPr>
        <w:pStyle w:val="FootnoteText"/>
      </w:pPr>
      <w:r w:rsidRPr="00A03B67">
        <w:rPr>
          <w:rStyle w:val="FootnoteReference"/>
        </w:rPr>
        <w:footnoteRef/>
      </w:r>
      <w:r w:rsidRPr="00A03B67">
        <w:t xml:space="preserve"> </w:t>
      </w:r>
      <w:r w:rsidR="00132A55" w:rsidRPr="00A03B67">
        <w:t>Fair Work Ombudsman (</w:t>
      </w:r>
      <w:r w:rsidRPr="00A03B67">
        <w:t>FWO</w:t>
      </w:r>
      <w:r w:rsidR="00132A55" w:rsidRPr="00A03B67">
        <w:t>)</w:t>
      </w:r>
      <w:r w:rsidRPr="00A03B67">
        <w:t xml:space="preserve"> submission</w:t>
      </w:r>
      <w:r w:rsidR="00132A55" w:rsidRPr="00A03B67">
        <w:t xml:space="preserve">, </w:t>
      </w:r>
      <w:r w:rsidR="00641A96" w:rsidRPr="00A03B67">
        <w:t xml:space="preserve">Senate Education and Employment Legislation Committee, Parliament of Australia, Inquiry into Fair Work Legislation Amendment (Secure Jobs, Better Pay) Bill 2022 [Provisions] </w:t>
      </w:r>
      <w:r w:rsidR="00132A55" w:rsidRPr="00A03B67">
        <w:t>p 3</w:t>
      </w:r>
      <w:r w:rsidRPr="00A03B67">
        <w:t xml:space="preserve"> </w:t>
      </w:r>
      <w:r w:rsidR="005035A4" w:rsidRPr="00A03B67">
        <w:t>&lt;</w:t>
      </w:r>
      <w:r w:rsidR="0014076F" w:rsidRPr="00A03B67">
        <w:t>https://www.fairwork.gov.au/sites/default/files/2022-11/fwo-submission-secure-jobs-better-pay-november-2022.pdf</w:t>
      </w:r>
      <w:r w:rsidR="005035A4" w:rsidRPr="00A03B67">
        <w:t>&gt;</w:t>
      </w:r>
      <w:r w:rsidR="00132A55" w:rsidRPr="00A03B67">
        <w:t>.</w:t>
      </w:r>
    </w:p>
  </w:footnote>
  <w:footnote w:id="50">
    <w:p w14:paraId="142D28CB" w14:textId="102ABA5E" w:rsidR="00A148FE" w:rsidRPr="00A03B67" w:rsidRDefault="00A148FE" w:rsidP="00A148FE">
      <w:pPr>
        <w:pStyle w:val="FootnoteText"/>
      </w:pPr>
      <w:r w:rsidRPr="00A03B67">
        <w:rPr>
          <w:rStyle w:val="FootnoteReference"/>
        </w:rPr>
        <w:footnoteRef/>
      </w:r>
      <w:r w:rsidRPr="00A03B67">
        <w:t xml:space="preserve"> </w:t>
      </w:r>
      <w:r w:rsidRPr="00A03B67">
        <w:rPr>
          <w:i/>
          <w:iCs/>
        </w:rPr>
        <w:t>Fair Work Act 2009</w:t>
      </w:r>
      <w:r w:rsidR="00834CB5" w:rsidRPr="00A03B67">
        <w:t xml:space="preserve"> (Cth) s 682</w:t>
      </w:r>
      <w:r w:rsidR="00641A96" w:rsidRPr="00A03B67">
        <w:t>.</w:t>
      </w:r>
    </w:p>
  </w:footnote>
  <w:footnote w:id="51">
    <w:p w14:paraId="23829FF5" w14:textId="0EEDB495" w:rsidR="00A148FE" w:rsidRPr="00A03B67" w:rsidRDefault="00A148FE" w:rsidP="00A148FE">
      <w:pPr>
        <w:pStyle w:val="FootnoteText"/>
      </w:pPr>
      <w:r w:rsidRPr="00A03B67">
        <w:rPr>
          <w:rStyle w:val="FootnoteReference"/>
        </w:rPr>
        <w:footnoteRef/>
      </w:r>
      <w:r w:rsidRPr="00A03B67">
        <w:t xml:space="preserve"> Employment and Workplace Relations Portfolio, </w:t>
      </w:r>
      <w:r w:rsidRPr="00A03B67">
        <w:rPr>
          <w:i/>
          <w:iCs/>
        </w:rPr>
        <w:t>Portfolio Budget Statements 2022</w:t>
      </w:r>
      <w:r w:rsidR="00D65007" w:rsidRPr="00A03B67">
        <w:rPr>
          <w:rFonts w:ascii="Symbol" w:eastAsia="Symbol" w:hAnsi="Symbol" w:cs="Symbol"/>
          <w:i/>
          <w:iCs/>
        </w:rPr>
        <w:t>-</w:t>
      </w:r>
      <w:r w:rsidRPr="00A03B67">
        <w:rPr>
          <w:i/>
          <w:iCs/>
        </w:rPr>
        <w:t>23</w:t>
      </w:r>
      <w:r w:rsidR="00D65007" w:rsidRPr="00A03B67">
        <w:t xml:space="preserve"> (Budget Related Paper No 1.6, 2022) </w:t>
      </w:r>
      <w:r w:rsidRPr="00A03B67">
        <w:t>188</w:t>
      </w:r>
      <w:r w:rsidR="00D65007" w:rsidRPr="00A03B67">
        <w:rPr>
          <w:lang w:val="en-US"/>
        </w:rPr>
        <w:t>.</w:t>
      </w:r>
    </w:p>
  </w:footnote>
  <w:footnote w:id="52">
    <w:p w14:paraId="653F33EC" w14:textId="39CB62E5" w:rsidR="00A148FE" w:rsidRPr="00A03B67" w:rsidRDefault="00A148FE" w:rsidP="00A148FE">
      <w:pPr>
        <w:pStyle w:val="FootnoteText"/>
      </w:pPr>
      <w:r w:rsidRPr="00A03B67">
        <w:rPr>
          <w:rStyle w:val="FootnoteReference"/>
        </w:rPr>
        <w:footnoteRef/>
      </w:r>
      <w:r w:rsidRPr="00A03B67">
        <w:t xml:space="preserve"> KPMG</w:t>
      </w:r>
      <w:r w:rsidR="00641A96" w:rsidRPr="00A03B67">
        <w:t>,</w:t>
      </w:r>
      <w:r w:rsidRPr="00A03B67">
        <w:t xml:space="preserve"> </w:t>
      </w:r>
      <w:r w:rsidR="00F31A8E" w:rsidRPr="00A03B67">
        <w:rPr>
          <w:i/>
          <w:iCs/>
        </w:rPr>
        <w:t xml:space="preserve">Review of the Office of the </w:t>
      </w:r>
      <w:r w:rsidRPr="00A03B67">
        <w:rPr>
          <w:i/>
          <w:iCs/>
        </w:rPr>
        <w:t>F</w:t>
      </w:r>
      <w:r w:rsidR="00F31A8E" w:rsidRPr="00A03B67">
        <w:rPr>
          <w:i/>
          <w:iCs/>
        </w:rPr>
        <w:t xml:space="preserve">air </w:t>
      </w:r>
      <w:r w:rsidRPr="00A03B67">
        <w:rPr>
          <w:i/>
          <w:iCs/>
        </w:rPr>
        <w:t>W</w:t>
      </w:r>
      <w:r w:rsidR="00F31A8E" w:rsidRPr="00A03B67">
        <w:rPr>
          <w:i/>
          <w:iCs/>
        </w:rPr>
        <w:t xml:space="preserve">ork </w:t>
      </w:r>
      <w:r w:rsidRPr="00A03B67">
        <w:rPr>
          <w:i/>
          <w:iCs/>
        </w:rPr>
        <w:t>O</w:t>
      </w:r>
      <w:r w:rsidR="00F31A8E" w:rsidRPr="00A03B67">
        <w:rPr>
          <w:i/>
          <w:iCs/>
        </w:rPr>
        <w:t>mbudsman</w:t>
      </w:r>
      <w:r w:rsidR="00641A96" w:rsidRPr="00A03B67">
        <w:t xml:space="preserve"> (R</w:t>
      </w:r>
      <w:r w:rsidR="00CC7C19" w:rsidRPr="00A03B67">
        <w:t>eport</w:t>
      </w:r>
      <w:r w:rsidR="00641A96" w:rsidRPr="00A03B67">
        <w:t>, 2023) 26</w:t>
      </w:r>
      <w:r w:rsidRPr="00A03B67">
        <w:t xml:space="preserve"> </w:t>
      </w:r>
      <w:r w:rsidR="003D6A1B" w:rsidRPr="00A03B67">
        <w:t>&lt;</w:t>
      </w:r>
      <w:r w:rsidR="005939B1" w:rsidRPr="00A03B67">
        <w:t>https://www.dewr.gov.au/workplace-relations-australia/resources/review-office-fair-work-ombudsman</w:t>
      </w:r>
      <w:r w:rsidR="003D6A1B" w:rsidRPr="00A03B67">
        <w:t>&gt;</w:t>
      </w:r>
      <w:r w:rsidR="00641A96" w:rsidRPr="00A03B67">
        <w:t>.</w:t>
      </w:r>
    </w:p>
  </w:footnote>
  <w:footnote w:id="53">
    <w:p w14:paraId="44B7CE3C" w14:textId="3608307A" w:rsidR="00A148FE" w:rsidRPr="00A03B67" w:rsidRDefault="00A148FE" w:rsidP="00A148FE">
      <w:pPr>
        <w:pStyle w:val="FootnoteText"/>
      </w:pPr>
      <w:r w:rsidRPr="00A03B67">
        <w:rPr>
          <w:rStyle w:val="FootnoteReference"/>
        </w:rPr>
        <w:footnoteRef/>
      </w:r>
      <w:r w:rsidRPr="00A03B67">
        <w:t xml:space="preserve"> </w:t>
      </w:r>
      <w:r w:rsidR="00641A96" w:rsidRPr="00A03B67">
        <w:t>Fair Work Commission</w:t>
      </w:r>
      <w:r w:rsidR="00F640C5" w:rsidRPr="00A03B67">
        <w:t xml:space="preserve">, </w:t>
      </w:r>
      <w:r w:rsidRPr="006C0D5D">
        <w:rPr>
          <w:i/>
          <w:iCs/>
        </w:rPr>
        <w:t>General</w:t>
      </w:r>
      <w:r w:rsidRPr="00A03B67">
        <w:rPr>
          <w:i/>
          <w:iCs/>
        </w:rPr>
        <w:t xml:space="preserve"> Manager’s Statement</w:t>
      </w:r>
      <w:r w:rsidR="00641A96" w:rsidRPr="00A03B67">
        <w:rPr>
          <w:i/>
          <w:iCs/>
        </w:rPr>
        <w:t>:</w:t>
      </w:r>
      <w:r w:rsidRPr="00A03B67">
        <w:rPr>
          <w:i/>
          <w:iCs/>
        </w:rPr>
        <w:t xml:space="preserve"> Administration of the CFMEU Construction and General Division</w:t>
      </w:r>
      <w:r w:rsidRPr="00A03B67">
        <w:t xml:space="preserve"> </w:t>
      </w:r>
      <w:r w:rsidR="00AA4FC0" w:rsidRPr="00A03B67">
        <w:t>(3 October 2024) &lt;https://www.</w:t>
      </w:r>
      <w:r w:rsidR="00B2048B" w:rsidRPr="00A03B67">
        <w:t>fwc</w:t>
      </w:r>
      <w:r w:rsidR="00AA4FC0" w:rsidRPr="00A03B67">
        <w:t>.gov.au/</w:t>
      </w:r>
      <w:r w:rsidR="00B2048B" w:rsidRPr="00A03B67">
        <w:t>documents/consultation/gm-statement-cfmeu-2024-10-03.pdf</w:t>
      </w:r>
      <w:r w:rsidR="00AA4FC0" w:rsidRPr="00A03B67">
        <w:t>&gt;</w:t>
      </w:r>
      <w:r w:rsidR="00641A96" w:rsidRPr="00A03B67">
        <w:t>;</w:t>
      </w:r>
      <w:r w:rsidRPr="00A03B67">
        <w:rPr>
          <w:rStyle w:val="Hyperlink"/>
          <w:lang w:val="en-US"/>
        </w:rPr>
        <w:t xml:space="preserve"> </w:t>
      </w:r>
      <w:r w:rsidR="006431D8" w:rsidRPr="00A03B67">
        <w:t>The Hon Tony Burke MP, Minister for Employment and Workplace Relations</w:t>
      </w:r>
      <w:r w:rsidR="00D75D5D" w:rsidRPr="00A03B67">
        <w:t xml:space="preserve">, ‘Taking </w:t>
      </w:r>
      <w:r w:rsidR="00641A96" w:rsidRPr="00A03B67">
        <w:t>A</w:t>
      </w:r>
      <w:r w:rsidR="00D75D5D" w:rsidRPr="00A03B67">
        <w:t xml:space="preserve">ction to </w:t>
      </w:r>
      <w:r w:rsidR="00641A96" w:rsidRPr="00A03B67">
        <w:t>C</w:t>
      </w:r>
      <w:r w:rsidR="00D75D5D" w:rsidRPr="00A03B67">
        <w:t xml:space="preserve">lean </w:t>
      </w:r>
      <w:r w:rsidR="00641A96" w:rsidRPr="00A03B67">
        <w:t>U</w:t>
      </w:r>
      <w:r w:rsidR="00D75D5D" w:rsidRPr="00A03B67">
        <w:t xml:space="preserve">p the </w:t>
      </w:r>
      <w:r w:rsidR="00641A96" w:rsidRPr="00A03B67">
        <w:t>C</w:t>
      </w:r>
      <w:r w:rsidR="00D75D5D" w:rsidRPr="00A03B67">
        <w:t xml:space="preserve">onstruction </w:t>
      </w:r>
      <w:r w:rsidR="00641A96" w:rsidRPr="00A03B67">
        <w:t>I</w:t>
      </w:r>
      <w:r w:rsidR="00D75D5D" w:rsidRPr="00A03B67">
        <w:t xml:space="preserve">ndustry’ (Media Release, </w:t>
      </w:r>
      <w:r w:rsidR="0070076E" w:rsidRPr="00A03B67">
        <w:t xml:space="preserve">17 July 2024) </w:t>
      </w:r>
      <w:r w:rsidR="002B4CB2" w:rsidRPr="00A03B67">
        <w:t>&lt;https://ministers.dewr.gov.au/burke/taking-action-clean-construction-industry&gt;</w:t>
      </w:r>
      <w:r w:rsidR="00641A96" w:rsidRPr="00A03B67">
        <w:t>;</w:t>
      </w:r>
      <w:r w:rsidR="00552E12" w:rsidRPr="00A03B67">
        <w:t xml:space="preserve"> </w:t>
      </w:r>
      <w:r w:rsidR="00641A96" w:rsidRPr="00A03B67">
        <w:t>Fair Work Ombudsman</w:t>
      </w:r>
      <w:r w:rsidR="005D7242" w:rsidRPr="00A03B67">
        <w:t>, Role</w:t>
      </w:r>
      <w:r w:rsidR="005D7242" w:rsidRPr="00A03B67">
        <w:rPr>
          <w:i/>
          <w:iCs/>
        </w:rPr>
        <w:t xml:space="preserve"> of CFMEU </w:t>
      </w:r>
      <w:r w:rsidR="00641A96" w:rsidRPr="00A03B67">
        <w:rPr>
          <w:i/>
          <w:iCs/>
        </w:rPr>
        <w:t>A</w:t>
      </w:r>
      <w:r w:rsidR="005D7242" w:rsidRPr="00A03B67">
        <w:rPr>
          <w:i/>
          <w:iCs/>
        </w:rPr>
        <w:t>dministrator</w:t>
      </w:r>
      <w:r w:rsidR="005D7242" w:rsidRPr="00A03B67">
        <w:rPr>
          <w:lang w:val="en-US"/>
        </w:rPr>
        <w:t xml:space="preserve"> (3 October 2024) &lt;</w:t>
      </w:r>
      <w:r w:rsidR="0092623B" w:rsidRPr="00A03B67">
        <w:rPr>
          <w:lang w:val="en-US"/>
        </w:rPr>
        <w:t>https://www.fairwork.gov.au/newsroom/news/role-of-cfmeu-administrator</w:t>
      </w:r>
      <w:r w:rsidR="005D7242" w:rsidRPr="00A03B67">
        <w:rPr>
          <w:lang w:val="en-US"/>
        </w:rPr>
        <w:t>&gt;</w:t>
      </w:r>
      <w:r w:rsidR="00641A96" w:rsidRPr="00A03B67">
        <w:rPr>
          <w:lang w:val="en-US"/>
        </w:rPr>
        <w:t>.</w:t>
      </w:r>
    </w:p>
  </w:footnote>
  <w:footnote w:id="54">
    <w:p w14:paraId="3B6C434D" w14:textId="3DA27B10" w:rsidR="00F60001" w:rsidRPr="00A03B67" w:rsidRDefault="00F60001" w:rsidP="00F60001">
      <w:pPr>
        <w:pStyle w:val="FootnoteText"/>
      </w:pPr>
      <w:r w:rsidRPr="00A03B67">
        <w:rPr>
          <w:rStyle w:val="FootnoteReference"/>
        </w:rPr>
        <w:footnoteRef/>
      </w:r>
      <w:r w:rsidRPr="00A03B67">
        <w:t xml:space="preserve"> Information provided to the Review by the </w:t>
      </w:r>
      <w:r w:rsidR="00641A96" w:rsidRPr="00A03B67">
        <w:t>Fair Work Ombudsman (FWO);</w:t>
      </w:r>
      <w:r w:rsidRPr="00A03B67">
        <w:t xml:space="preserve"> data sourced by the FWO from Australi</w:t>
      </w:r>
      <w:r w:rsidR="00641A96" w:rsidRPr="00A03B67">
        <w:t>a</w:t>
      </w:r>
      <w:r w:rsidRPr="00A03B67">
        <w:t>n Bureau of Statistics.</w:t>
      </w:r>
    </w:p>
  </w:footnote>
  <w:footnote w:id="55">
    <w:p w14:paraId="07F52872" w14:textId="1E5CCC43" w:rsidR="00A148FE" w:rsidRPr="00A03B67" w:rsidRDefault="00A148FE" w:rsidP="00A148FE">
      <w:pPr>
        <w:pStyle w:val="FootnoteText"/>
      </w:pPr>
      <w:r w:rsidRPr="00A03B67">
        <w:rPr>
          <w:rStyle w:val="FootnoteReference"/>
        </w:rPr>
        <w:footnoteRef/>
      </w:r>
      <w:r w:rsidRPr="00A03B67">
        <w:t xml:space="preserve"> Data provided by the FWO to the</w:t>
      </w:r>
      <w:r w:rsidR="00641A96" w:rsidRPr="00A03B67">
        <w:t xml:space="preserve"> Review.</w:t>
      </w:r>
      <w:r w:rsidRPr="00A03B67">
        <w:t xml:space="preserve"> </w:t>
      </w:r>
    </w:p>
  </w:footnote>
  <w:footnote w:id="56">
    <w:p w14:paraId="631D46D9" w14:textId="108FB80E" w:rsidR="00A148FE" w:rsidRPr="00A03B67" w:rsidRDefault="00A148FE" w:rsidP="00A148FE">
      <w:pPr>
        <w:pStyle w:val="FootnoteText"/>
      </w:pPr>
      <w:r w:rsidRPr="00A03B67">
        <w:rPr>
          <w:rStyle w:val="FootnoteReference"/>
        </w:rPr>
        <w:footnoteRef/>
      </w:r>
      <w:r w:rsidRPr="00A03B67">
        <w:t xml:space="preserve"> FWO</w:t>
      </w:r>
      <w:r w:rsidR="00641A96" w:rsidRPr="00A03B67">
        <w:t>,</w:t>
      </w:r>
      <w:r w:rsidRPr="00A03B67">
        <w:t xml:space="preserve"> </w:t>
      </w:r>
      <w:r w:rsidRPr="00A03B67">
        <w:rPr>
          <w:i/>
          <w:iCs/>
        </w:rPr>
        <w:t>Annual Report 2023</w:t>
      </w:r>
      <w:r w:rsidR="00641A96" w:rsidRPr="00A03B67">
        <w:rPr>
          <w:rFonts w:ascii="Symbol" w:eastAsia="Symbol" w:hAnsi="Symbol" w:cs="Symbol"/>
          <w:i/>
          <w:iCs/>
        </w:rPr>
        <w:t>-</w:t>
      </w:r>
      <w:r w:rsidRPr="00A03B67">
        <w:rPr>
          <w:i/>
          <w:iCs/>
        </w:rPr>
        <w:t>24</w:t>
      </w:r>
      <w:r w:rsidR="00641A96" w:rsidRPr="00A03B67">
        <w:t xml:space="preserve"> (Report, 2024) </w:t>
      </w:r>
      <w:r w:rsidRPr="00A03B67">
        <w:t>32</w:t>
      </w:r>
      <w:r w:rsidR="00641A96" w:rsidRPr="00A03B67">
        <w:t>.</w:t>
      </w:r>
      <w:r w:rsidRPr="00A03B67">
        <w:t xml:space="preserve"> </w:t>
      </w:r>
    </w:p>
  </w:footnote>
  <w:footnote w:id="57">
    <w:p w14:paraId="7533DDD4" w14:textId="4948F818" w:rsidR="00A148FE" w:rsidRPr="00A03B67" w:rsidRDefault="00A148FE" w:rsidP="00A148FE">
      <w:pPr>
        <w:pStyle w:val="FootnoteText"/>
      </w:pPr>
      <w:r w:rsidRPr="00A03B67">
        <w:rPr>
          <w:rStyle w:val="FootnoteReference"/>
        </w:rPr>
        <w:footnoteRef/>
      </w:r>
      <w:r w:rsidRPr="00A03B67">
        <w:t xml:space="preserve"> </w:t>
      </w:r>
      <w:r w:rsidR="00594C64" w:rsidRPr="00A03B67">
        <w:t xml:space="preserve">Australian Building and Construction Commission, </w:t>
      </w:r>
      <w:r w:rsidRPr="00A03B67">
        <w:rPr>
          <w:i/>
          <w:iCs/>
        </w:rPr>
        <w:t>Annual Report 2021</w:t>
      </w:r>
      <w:r w:rsidR="00594C64" w:rsidRPr="00A03B67">
        <w:rPr>
          <w:rFonts w:ascii="Symbol" w:eastAsia="Symbol" w:hAnsi="Symbol" w:cs="Symbol"/>
          <w:i/>
          <w:iCs/>
        </w:rPr>
        <w:t>-</w:t>
      </w:r>
      <w:r w:rsidRPr="00A03B67">
        <w:rPr>
          <w:i/>
          <w:iCs/>
        </w:rPr>
        <w:t>22</w:t>
      </w:r>
      <w:r w:rsidR="00594C64" w:rsidRPr="00A03B67">
        <w:t xml:space="preserve"> (Report, 2022), Message from the Commissioner &lt;https://www.transparency.gov.au/publications/attorney-general-s/australian-building-and-construction-commission/australian-building-and-construction-commission-annual-report-2021-22/introduction/message-from-the-commissioner&gt;.</w:t>
      </w:r>
      <w:r w:rsidR="00594C64" w:rsidRPr="00A03B67" w:rsidDel="00594C64">
        <w:t xml:space="preserve"> </w:t>
      </w:r>
    </w:p>
  </w:footnote>
  <w:footnote w:id="58">
    <w:p w14:paraId="4EEBF4F5" w14:textId="2A204B73" w:rsidR="00A148FE" w:rsidRPr="00A03B67" w:rsidRDefault="00A148FE" w:rsidP="00A148FE">
      <w:pPr>
        <w:pStyle w:val="FootnoteText"/>
      </w:pPr>
      <w:r w:rsidRPr="00A03B67">
        <w:rPr>
          <w:rStyle w:val="FootnoteReference"/>
        </w:rPr>
        <w:footnoteRef/>
      </w:r>
      <w:r w:rsidRPr="00A03B67">
        <w:t xml:space="preserve"> </w:t>
      </w:r>
      <w:r w:rsidR="00594C64" w:rsidRPr="00A03B67">
        <w:t>Fair Work Ombudsman</w:t>
      </w:r>
      <w:r w:rsidR="00486346" w:rsidRPr="00A03B67">
        <w:t>,</w:t>
      </w:r>
      <w:r w:rsidRPr="00A03B67">
        <w:t xml:space="preserve"> </w:t>
      </w:r>
      <w:r w:rsidRPr="00A03B67">
        <w:rPr>
          <w:i/>
          <w:iCs/>
        </w:rPr>
        <w:t>Compliance and Enforcement Policy</w:t>
      </w:r>
      <w:r w:rsidRPr="00A03B67">
        <w:t xml:space="preserve"> (2025)</w:t>
      </w:r>
      <w:r w:rsidR="00594C64" w:rsidRPr="00A03B67">
        <w:t xml:space="preserve"> 15</w:t>
      </w:r>
      <w:r w:rsidR="00824F35" w:rsidRPr="00A03B67">
        <w:t xml:space="preserve"> &lt;https://www.fairwork.gov.au/sites/default/files/migration/725/compliance-and-enforcement-policy.pdf&gt;</w:t>
      </w:r>
      <w:r w:rsidR="00594C64" w:rsidRPr="00A03B67">
        <w:t>.</w:t>
      </w:r>
    </w:p>
  </w:footnote>
  <w:footnote w:id="59">
    <w:p w14:paraId="4D213943" w14:textId="4A85931B" w:rsidR="00A148FE" w:rsidRPr="00A03B67" w:rsidRDefault="00A148FE" w:rsidP="00A148FE">
      <w:pPr>
        <w:pStyle w:val="FootnoteText"/>
      </w:pPr>
      <w:r w:rsidRPr="00A03B67">
        <w:rPr>
          <w:rStyle w:val="FootnoteReference"/>
        </w:rPr>
        <w:footnoteRef/>
      </w:r>
      <w:r w:rsidRPr="00A03B67">
        <w:t xml:space="preserve"> </w:t>
      </w:r>
      <w:r w:rsidR="00594C64" w:rsidRPr="00A03B67">
        <w:t xml:space="preserve">Australian Building and Construction Commission, </w:t>
      </w:r>
      <w:r w:rsidR="00594C64" w:rsidRPr="00A03B67">
        <w:rPr>
          <w:i/>
          <w:iCs/>
        </w:rPr>
        <w:t>Annual Report 2021</w:t>
      </w:r>
      <w:r w:rsidR="00594C64" w:rsidRPr="00A03B67">
        <w:rPr>
          <w:rFonts w:ascii="Symbol" w:eastAsia="Symbol" w:hAnsi="Symbol" w:cs="Symbol"/>
          <w:i/>
          <w:iCs/>
        </w:rPr>
        <w:t>-</w:t>
      </w:r>
      <w:r w:rsidR="00594C64" w:rsidRPr="00A03B67">
        <w:rPr>
          <w:i/>
          <w:iCs/>
        </w:rPr>
        <w:t>22</w:t>
      </w:r>
      <w:r w:rsidR="00594C64" w:rsidRPr="00A03B67">
        <w:t xml:space="preserve"> (Report, 2022) </w:t>
      </w:r>
      <w:r w:rsidRPr="00A03B67">
        <w:t>vii</w:t>
      </w:r>
      <w:r w:rsidR="00594C64" w:rsidRPr="00A03B67">
        <w:t>,</w:t>
      </w:r>
      <w:r w:rsidRPr="00A03B67">
        <w:t xml:space="preserve"> viii</w:t>
      </w:r>
      <w:r w:rsidR="00594C64" w:rsidRPr="00A03B67">
        <w:t>.</w:t>
      </w:r>
    </w:p>
  </w:footnote>
  <w:footnote w:id="60">
    <w:p w14:paraId="0E9EAC84" w14:textId="1F08F659" w:rsidR="00A148FE" w:rsidRPr="00A03B67" w:rsidRDefault="00A148FE" w:rsidP="00A148FE">
      <w:pPr>
        <w:pStyle w:val="FootnoteText"/>
      </w:pPr>
      <w:r w:rsidRPr="00A03B67">
        <w:rPr>
          <w:rStyle w:val="FootnoteReference"/>
        </w:rPr>
        <w:footnoteRef/>
      </w:r>
      <w:r w:rsidRPr="00A03B67">
        <w:t xml:space="preserve"> </w:t>
      </w:r>
      <w:r w:rsidR="00594C64" w:rsidRPr="00A03B67">
        <w:t xml:space="preserve">Fair Work Ombudsman, </w:t>
      </w:r>
      <w:r w:rsidRPr="00A03B67">
        <w:rPr>
          <w:i/>
          <w:iCs/>
        </w:rPr>
        <w:t>Annual Report 2022</w:t>
      </w:r>
      <w:r w:rsidR="00594C64" w:rsidRPr="00A03B67">
        <w:rPr>
          <w:rFonts w:ascii="Symbol" w:eastAsia="Symbol" w:hAnsi="Symbol" w:cs="Symbol"/>
          <w:i/>
          <w:iCs/>
        </w:rPr>
        <w:t>-</w:t>
      </w:r>
      <w:r w:rsidRPr="00A03B67">
        <w:rPr>
          <w:i/>
          <w:iCs/>
        </w:rPr>
        <w:t>23</w:t>
      </w:r>
      <w:r w:rsidR="00594C64" w:rsidRPr="00A03B67">
        <w:t xml:space="preserve"> (Report, 2023) </w:t>
      </w:r>
      <w:r w:rsidRPr="00A03B67">
        <w:t>72</w:t>
      </w:r>
      <w:r w:rsidR="00594C64" w:rsidRPr="00A03B67">
        <w:t>.</w:t>
      </w:r>
    </w:p>
  </w:footnote>
  <w:footnote w:id="61">
    <w:p w14:paraId="784CEA03" w14:textId="35DF64BD" w:rsidR="00A148FE" w:rsidRPr="00A03B67" w:rsidRDefault="00A148FE" w:rsidP="00A148FE">
      <w:pPr>
        <w:pStyle w:val="FootnoteText"/>
      </w:pPr>
      <w:r w:rsidRPr="00A03B67">
        <w:rPr>
          <w:rStyle w:val="FootnoteReference"/>
        </w:rPr>
        <w:footnoteRef/>
      </w:r>
      <w:r w:rsidRPr="00A03B67">
        <w:t xml:space="preserve"> </w:t>
      </w:r>
      <w:r w:rsidR="00594C64" w:rsidRPr="00A03B67">
        <w:t xml:space="preserve">Australian Building and Construction Commission, </w:t>
      </w:r>
      <w:r w:rsidR="00594C64" w:rsidRPr="00A03B67">
        <w:rPr>
          <w:i/>
          <w:iCs/>
        </w:rPr>
        <w:t>Annual Report 2021</w:t>
      </w:r>
      <w:r w:rsidR="00594C64" w:rsidRPr="00A03B67">
        <w:rPr>
          <w:rFonts w:ascii="Symbol" w:eastAsia="Symbol" w:hAnsi="Symbol" w:cs="Symbol"/>
          <w:i/>
          <w:iCs/>
        </w:rPr>
        <w:t>-</w:t>
      </w:r>
      <w:r w:rsidR="00594C64" w:rsidRPr="00A03B67">
        <w:rPr>
          <w:i/>
          <w:iCs/>
        </w:rPr>
        <w:t>22</w:t>
      </w:r>
      <w:r w:rsidR="00594C64" w:rsidRPr="00A03B67">
        <w:t xml:space="preserve"> (Report, 2022) </w:t>
      </w:r>
      <w:r w:rsidRPr="00A03B67">
        <w:t>11</w:t>
      </w:r>
      <w:r w:rsidR="00594C64" w:rsidRPr="00A03B67">
        <w:t>.</w:t>
      </w:r>
    </w:p>
  </w:footnote>
  <w:footnote w:id="62">
    <w:p w14:paraId="39BA7FC8" w14:textId="3819D991" w:rsidR="00A148FE" w:rsidRPr="00A03B67" w:rsidRDefault="00A148FE" w:rsidP="00A148FE">
      <w:pPr>
        <w:pStyle w:val="FootnoteText"/>
      </w:pPr>
      <w:r w:rsidRPr="00A03B67">
        <w:rPr>
          <w:rStyle w:val="FootnoteReference"/>
        </w:rPr>
        <w:footnoteRef/>
      </w:r>
      <w:r w:rsidRPr="00A03B67">
        <w:t xml:space="preserve"> </w:t>
      </w:r>
      <w:r w:rsidR="00594C64" w:rsidRPr="00A03B67">
        <w:t xml:space="preserve">Australian Building and Construction Commission, </w:t>
      </w:r>
      <w:r w:rsidR="00594C64" w:rsidRPr="00A03B67">
        <w:rPr>
          <w:i/>
          <w:iCs/>
        </w:rPr>
        <w:t>Annual Report 2021</w:t>
      </w:r>
      <w:r w:rsidR="00594C64" w:rsidRPr="00A03B67">
        <w:rPr>
          <w:rFonts w:ascii="Symbol" w:eastAsia="Symbol" w:hAnsi="Symbol" w:cs="Symbol"/>
          <w:i/>
          <w:iCs/>
        </w:rPr>
        <w:t>-</w:t>
      </w:r>
      <w:r w:rsidR="00594C64" w:rsidRPr="00A03B67">
        <w:rPr>
          <w:i/>
          <w:iCs/>
        </w:rPr>
        <w:t>22</w:t>
      </w:r>
      <w:r w:rsidR="00594C64" w:rsidRPr="00A03B67">
        <w:t xml:space="preserve"> (Report, 2022) </w:t>
      </w:r>
      <w:r w:rsidR="006F4732" w:rsidRPr="00A03B67">
        <w:t>‘R</w:t>
      </w:r>
      <w:r w:rsidRPr="00A03B67">
        <w:t>esults</w:t>
      </w:r>
      <w:r w:rsidR="006F4732" w:rsidRPr="00A03B67">
        <w:t>’</w:t>
      </w:r>
      <w:r w:rsidR="006F4732" w:rsidRPr="00A03B67" w:rsidDel="006F4732">
        <w:t xml:space="preserve"> </w:t>
      </w:r>
      <w:r w:rsidR="006F4732" w:rsidRPr="00A03B67">
        <w:t>&lt;https://www.transparency.gov.au/publications/attorney-general-s/australian-building-and-construction-commission/australian-building-and-construction-commission-annual-report-2020-21/part-2-%E2%80%93-annual-performance-statement/results&gt;.</w:t>
      </w:r>
    </w:p>
  </w:footnote>
  <w:footnote w:id="63">
    <w:p w14:paraId="42C4FDE3" w14:textId="1F349521" w:rsidR="00A148FE" w:rsidRPr="00A03B67" w:rsidRDefault="00A148FE" w:rsidP="00A148FE">
      <w:pPr>
        <w:pStyle w:val="FootnoteText"/>
        <w:rPr>
          <w:b/>
          <w:bCs/>
        </w:rPr>
      </w:pPr>
      <w:r w:rsidRPr="00A03B67">
        <w:rPr>
          <w:rStyle w:val="FootnoteReference"/>
        </w:rPr>
        <w:footnoteRef/>
      </w:r>
      <w:r w:rsidRPr="00A03B67">
        <w:t xml:space="preserve"> </w:t>
      </w:r>
      <w:r w:rsidR="006F4732" w:rsidRPr="00A03B67">
        <w:t xml:space="preserve">Australian Building and Construction Commission, </w:t>
      </w:r>
      <w:r w:rsidR="006F4732" w:rsidRPr="00A03B67">
        <w:rPr>
          <w:i/>
          <w:iCs/>
        </w:rPr>
        <w:t>Annual Report 2019</w:t>
      </w:r>
      <w:r w:rsidR="006F4732" w:rsidRPr="00A03B67">
        <w:rPr>
          <w:rFonts w:ascii="Symbol" w:eastAsia="Symbol" w:hAnsi="Symbol" w:cs="Symbol"/>
          <w:i/>
          <w:iCs/>
        </w:rPr>
        <w:t>-</w:t>
      </w:r>
      <w:r w:rsidR="006F4732" w:rsidRPr="00A03B67">
        <w:rPr>
          <w:i/>
          <w:iCs/>
        </w:rPr>
        <w:t>20</w:t>
      </w:r>
      <w:r w:rsidR="006F4732" w:rsidRPr="00A03B67">
        <w:t xml:space="preserve"> (Report, 2020) ‘Results’ &lt;https://www.transparency.gov.au/publications/attorney-general-s/australian-building-and-construction-commission/australian-building-and-construction-commission-annual-report-2019-20/part-2---annual-performance-statement/results&gt;.</w:t>
      </w:r>
    </w:p>
  </w:footnote>
  <w:footnote w:id="64">
    <w:p w14:paraId="1A4CCC54" w14:textId="4BC82D42"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Australian Building and Construction Commission, </w:t>
      </w:r>
      <w:r w:rsidR="006F4732" w:rsidRPr="00A03B67">
        <w:rPr>
          <w:i/>
          <w:iCs/>
        </w:rPr>
        <w:t>Annual Report 2018</w:t>
      </w:r>
      <w:r w:rsidR="006F4732" w:rsidRPr="00A03B67">
        <w:rPr>
          <w:rFonts w:ascii="Symbol" w:eastAsia="Symbol" w:hAnsi="Symbol" w:cs="Symbol"/>
          <w:i/>
          <w:iCs/>
        </w:rPr>
        <w:t>-</w:t>
      </w:r>
      <w:r w:rsidR="006F4732" w:rsidRPr="00A03B67">
        <w:rPr>
          <w:i/>
          <w:iCs/>
        </w:rPr>
        <w:t>19</w:t>
      </w:r>
      <w:r w:rsidR="006F4732" w:rsidRPr="00A03B67">
        <w:t xml:space="preserve"> (Report, 2019) ‘Results’</w:t>
      </w:r>
      <w:r w:rsidR="006F4732" w:rsidRPr="00A03B67" w:rsidDel="006F4732">
        <w:t xml:space="preserve"> </w:t>
      </w:r>
      <w:r w:rsidR="006F4732" w:rsidRPr="00A03B67">
        <w:t>&lt;https://www.transparency.gov.au/publications/attorney-general-s/australian-building-and-construction-commission/australian-building-and-construction-commission-annual-report-2018-19/part-2---annual-performance-statement/results&gt;.</w:t>
      </w:r>
      <w:r w:rsidR="006F4732" w:rsidRPr="00A03B67" w:rsidDel="006F4732">
        <w:t xml:space="preserve"> </w:t>
      </w:r>
    </w:p>
  </w:footnote>
  <w:footnote w:id="65">
    <w:p w14:paraId="0F476459" w14:textId="294D089E"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Pr="00A03B67">
        <w:rPr>
          <w:i/>
          <w:iCs/>
        </w:rPr>
        <w:t>Annual Report 2023</w:t>
      </w:r>
      <w:r w:rsidR="006F4732" w:rsidRPr="00A03B67">
        <w:rPr>
          <w:rFonts w:ascii="Symbol" w:eastAsia="Symbol" w:hAnsi="Symbol" w:cs="Symbol"/>
          <w:i/>
          <w:iCs/>
        </w:rPr>
        <w:t>-</w:t>
      </w:r>
      <w:r w:rsidRPr="00A03B67">
        <w:rPr>
          <w:i/>
          <w:iCs/>
        </w:rPr>
        <w:t>24</w:t>
      </w:r>
      <w:r w:rsidR="006F4732" w:rsidRPr="00A03B67">
        <w:t xml:space="preserve"> (Report, 2024) </w:t>
      </w:r>
      <w:r w:rsidRPr="00A03B67">
        <w:t>45</w:t>
      </w:r>
      <w:r w:rsidR="006F4732" w:rsidRPr="00A03B67">
        <w:t>.</w:t>
      </w:r>
    </w:p>
  </w:footnote>
  <w:footnote w:id="66">
    <w:p w14:paraId="1FA50DB6" w14:textId="0121DA3A"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1 &lt;https://www.fairwork.gov.au/sites/default/files/migration/725/compliance-and-enforcement-policy.pdf&gt;.</w:t>
      </w:r>
    </w:p>
  </w:footnote>
  <w:footnote w:id="67">
    <w:p w14:paraId="129B293B" w14:textId="77637BA1" w:rsidR="00465C1C" w:rsidRPr="00A03B67" w:rsidRDefault="00465C1C" w:rsidP="00465C1C">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7 &lt;https://www.fairwork.gov.au/sites/default/files/migration/725/compliance-and-enforcement-policy.pdf&gt;.</w:t>
      </w:r>
    </w:p>
  </w:footnote>
  <w:footnote w:id="68">
    <w:p w14:paraId="509542F2" w14:textId="5866EB6C"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8 &lt;https://www.fairwork.gov.au/sites/default/files/migration/725/compliance-and-enforcement-policy.pdf&gt;.</w:t>
      </w:r>
    </w:p>
  </w:footnote>
  <w:footnote w:id="69">
    <w:p w14:paraId="09362937" w14:textId="437A612C"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8 &lt;https://www.fairwork.gov.au/sites/default/files/migration/725/compliance-and-enforcement-policy.pdf&gt;.</w:t>
      </w:r>
    </w:p>
  </w:footnote>
  <w:footnote w:id="70">
    <w:p w14:paraId="7DD7DAA6" w14:textId="1E5DA495"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9 &lt;https://www.fairwork.gov.au/sites/default/files/migration/725/compliance-and-enforcement-policy.pdf&gt;.</w:t>
      </w:r>
    </w:p>
  </w:footnote>
  <w:footnote w:id="71">
    <w:p w14:paraId="5CEC10EF" w14:textId="565FDF53"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9 &lt;https://www.fairwork.gov.au/sites/default/files/migration/725/compliance-and-enforcement-policy.pdf&gt;.</w:t>
      </w:r>
    </w:p>
  </w:footnote>
  <w:footnote w:id="72">
    <w:p w14:paraId="675279C3" w14:textId="020B04E1"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006F4732" w:rsidRPr="00A03B67">
        <w:rPr>
          <w:i/>
          <w:iCs/>
        </w:rPr>
        <w:t>Compliance and Enforcement Policy</w:t>
      </w:r>
      <w:r w:rsidR="006F4732" w:rsidRPr="00A03B67">
        <w:t xml:space="preserve"> (2025) 10 &lt;https://www.fairwork.gov.au/sites/default/files/migration/725/compliance-and-enforcement-policy.pdf&gt;.</w:t>
      </w:r>
    </w:p>
  </w:footnote>
  <w:footnote w:id="73">
    <w:p w14:paraId="62161EFB" w14:textId="531F8B92" w:rsidR="00A148FE" w:rsidRPr="00A03B67" w:rsidDel="007E36B6" w:rsidRDefault="00A148FE" w:rsidP="00A148FE">
      <w:pPr>
        <w:pStyle w:val="FootnoteText"/>
      </w:pPr>
      <w:r w:rsidRPr="00A03B67" w:rsidDel="007E36B6">
        <w:rPr>
          <w:rStyle w:val="FootnoteReference"/>
        </w:rPr>
        <w:footnoteRef/>
      </w:r>
      <w:r w:rsidRPr="00A03B67" w:rsidDel="007E36B6">
        <w:t xml:space="preserve"> </w:t>
      </w:r>
      <w:r w:rsidR="006F4732" w:rsidRPr="00A03B67">
        <w:t xml:space="preserve">Fair Work Ombudsman, </w:t>
      </w:r>
      <w:r w:rsidRPr="00A03B67" w:rsidDel="007E36B6">
        <w:rPr>
          <w:i/>
          <w:iCs/>
        </w:rPr>
        <w:t>Annual Report 2022</w:t>
      </w:r>
      <w:r w:rsidR="006F4732" w:rsidRPr="00A03B67">
        <w:rPr>
          <w:rFonts w:ascii="Symbol" w:eastAsia="Symbol" w:hAnsi="Symbol" w:cs="Symbol"/>
          <w:i/>
          <w:iCs/>
        </w:rPr>
        <w:t>-</w:t>
      </w:r>
      <w:r w:rsidRPr="00A03B67" w:rsidDel="007E36B6">
        <w:rPr>
          <w:i/>
          <w:iCs/>
        </w:rPr>
        <w:t>23</w:t>
      </w:r>
      <w:r w:rsidR="006F4732" w:rsidRPr="00A03B67">
        <w:t xml:space="preserve"> (Report, 2023) </w:t>
      </w:r>
      <w:r w:rsidRPr="00A03B67" w:rsidDel="007E36B6">
        <w:t>38</w:t>
      </w:r>
      <w:r w:rsidR="006F4732" w:rsidRPr="00A03B67">
        <w:t>.</w:t>
      </w:r>
    </w:p>
  </w:footnote>
  <w:footnote w:id="74">
    <w:p w14:paraId="05AF67AB" w14:textId="22995ECE" w:rsidR="00A148FE" w:rsidRPr="00A03B67" w:rsidDel="007E36B6" w:rsidRDefault="00A148FE" w:rsidP="00A148FE">
      <w:pPr>
        <w:pStyle w:val="FootnoteText"/>
      </w:pPr>
      <w:r w:rsidRPr="00A03B67" w:rsidDel="007E36B6">
        <w:rPr>
          <w:rStyle w:val="FootnoteReference"/>
        </w:rPr>
        <w:footnoteRef/>
      </w:r>
      <w:r w:rsidRPr="00A03B67" w:rsidDel="007E36B6">
        <w:t xml:space="preserve"> </w:t>
      </w:r>
      <w:r w:rsidR="006F4732" w:rsidRPr="00A03B67">
        <w:t xml:space="preserve">Fair Work Ombudsman, </w:t>
      </w:r>
      <w:r w:rsidRPr="00A03B67" w:rsidDel="007E36B6">
        <w:rPr>
          <w:i/>
          <w:iCs/>
        </w:rPr>
        <w:t>Annual Report 2022</w:t>
      </w:r>
      <w:r w:rsidR="006F4732" w:rsidRPr="00A03B67">
        <w:rPr>
          <w:rFonts w:ascii="Symbol" w:eastAsia="Symbol" w:hAnsi="Symbol" w:cs="Symbol"/>
          <w:i/>
          <w:iCs/>
        </w:rPr>
        <w:t>-</w:t>
      </w:r>
      <w:r w:rsidRPr="00A03B67" w:rsidDel="007E36B6">
        <w:rPr>
          <w:i/>
          <w:iCs/>
        </w:rPr>
        <w:t>23</w:t>
      </w:r>
      <w:r w:rsidR="006F4732" w:rsidRPr="00A03B67">
        <w:t xml:space="preserve"> (Report, 2023) </w:t>
      </w:r>
      <w:r w:rsidRPr="00A03B67" w:rsidDel="007E36B6">
        <w:t>38</w:t>
      </w:r>
      <w:r w:rsidR="006F4732" w:rsidRPr="00A03B67">
        <w:t>.</w:t>
      </w:r>
    </w:p>
  </w:footnote>
  <w:footnote w:id="75">
    <w:p w14:paraId="3528AE7D" w14:textId="2279B814" w:rsidR="00A148FE" w:rsidRPr="00A03B67" w:rsidDel="007E36B6" w:rsidRDefault="00A148FE" w:rsidP="00A148FE">
      <w:pPr>
        <w:pStyle w:val="FootnoteText"/>
      </w:pPr>
      <w:r w:rsidRPr="00A03B67" w:rsidDel="007E36B6">
        <w:rPr>
          <w:rStyle w:val="FootnoteReference"/>
        </w:rPr>
        <w:footnoteRef/>
      </w:r>
      <w:r w:rsidRPr="00A03B67" w:rsidDel="007E36B6">
        <w:t xml:space="preserve"> </w:t>
      </w:r>
      <w:r w:rsidR="006F4732" w:rsidRPr="00A03B67">
        <w:t xml:space="preserve">Fair Work Ombudsman, </w:t>
      </w:r>
      <w:r w:rsidRPr="00A03B67" w:rsidDel="007E36B6">
        <w:rPr>
          <w:i/>
          <w:iCs/>
        </w:rPr>
        <w:t>Annual Report 2023</w:t>
      </w:r>
      <w:r w:rsidR="006F4732" w:rsidRPr="00A03B67">
        <w:rPr>
          <w:rFonts w:ascii="Symbol" w:eastAsia="Symbol" w:hAnsi="Symbol" w:cs="Symbol"/>
          <w:i/>
          <w:iCs/>
        </w:rPr>
        <w:t>-</w:t>
      </w:r>
      <w:r w:rsidRPr="00A03B67" w:rsidDel="007E36B6">
        <w:rPr>
          <w:i/>
          <w:iCs/>
        </w:rPr>
        <w:t>24</w:t>
      </w:r>
      <w:r w:rsidR="006F4732" w:rsidRPr="00A03B67">
        <w:t xml:space="preserve"> (Report, 2024) </w:t>
      </w:r>
      <w:r w:rsidRPr="00A03B67" w:rsidDel="007E36B6">
        <w:t>32</w:t>
      </w:r>
      <w:r w:rsidR="006F4732" w:rsidRPr="00A03B67">
        <w:t>.</w:t>
      </w:r>
    </w:p>
  </w:footnote>
  <w:footnote w:id="76">
    <w:p w14:paraId="74BAC10E" w14:textId="77EA4842" w:rsidR="00A148FE" w:rsidRPr="00A03B67" w:rsidDel="007E36B6" w:rsidRDefault="00A148FE" w:rsidP="00A148FE">
      <w:pPr>
        <w:pStyle w:val="FootnoteText"/>
      </w:pPr>
      <w:r w:rsidRPr="00A03B67" w:rsidDel="007E36B6">
        <w:rPr>
          <w:rStyle w:val="FootnoteReference"/>
        </w:rPr>
        <w:footnoteRef/>
      </w:r>
      <w:r w:rsidRPr="00A03B67" w:rsidDel="007E36B6">
        <w:t xml:space="preserve"> </w:t>
      </w:r>
      <w:r w:rsidR="006F4732" w:rsidRPr="00A03B67">
        <w:t xml:space="preserve">Fair Work Ombudsman, </w:t>
      </w:r>
      <w:r w:rsidRPr="00A03B67" w:rsidDel="007E36B6">
        <w:rPr>
          <w:i/>
          <w:iCs/>
        </w:rPr>
        <w:t>Annual Report 2023</w:t>
      </w:r>
      <w:r w:rsidR="006F4732" w:rsidRPr="00A03B67">
        <w:rPr>
          <w:rFonts w:ascii="Symbol" w:eastAsia="Symbol" w:hAnsi="Symbol" w:cs="Symbol"/>
          <w:i/>
          <w:iCs/>
        </w:rPr>
        <w:t>-</w:t>
      </w:r>
      <w:r w:rsidRPr="00A03B67" w:rsidDel="007E36B6">
        <w:rPr>
          <w:i/>
          <w:iCs/>
        </w:rPr>
        <w:t>24</w:t>
      </w:r>
      <w:r w:rsidR="006F4732" w:rsidRPr="00A03B67">
        <w:t xml:space="preserve"> (Report, 2024) </w:t>
      </w:r>
      <w:r w:rsidRPr="00A03B67" w:rsidDel="007E36B6">
        <w:t>33</w:t>
      </w:r>
      <w:r w:rsidR="006F4732" w:rsidRPr="00A03B67">
        <w:t>.</w:t>
      </w:r>
    </w:p>
  </w:footnote>
  <w:footnote w:id="77">
    <w:p w14:paraId="3B8D3983" w14:textId="050D1E7A"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Pr="00A03B67">
        <w:rPr>
          <w:i/>
          <w:iCs/>
        </w:rPr>
        <w:t>Annual Report 2023</w:t>
      </w:r>
      <w:r w:rsidR="006F4732" w:rsidRPr="00A03B67">
        <w:rPr>
          <w:rFonts w:ascii="Symbol" w:eastAsia="Symbol" w:hAnsi="Symbol" w:cs="Symbol"/>
          <w:i/>
          <w:iCs/>
        </w:rPr>
        <w:t>-</w:t>
      </w:r>
      <w:r w:rsidRPr="00A03B67">
        <w:rPr>
          <w:i/>
          <w:iCs/>
        </w:rPr>
        <w:t>24</w:t>
      </w:r>
      <w:r w:rsidR="006F4732" w:rsidRPr="00A03B67">
        <w:t xml:space="preserve"> (Report, 2024) </w:t>
      </w:r>
      <w:r w:rsidRPr="00A03B67">
        <w:t>45</w:t>
      </w:r>
      <w:r w:rsidR="006F4732" w:rsidRPr="00A03B67">
        <w:t>.</w:t>
      </w:r>
    </w:p>
  </w:footnote>
  <w:footnote w:id="78">
    <w:p w14:paraId="33E42125" w14:textId="19F222A1" w:rsidR="00A148FE" w:rsidRPr="00A03B67" w:rsidRDefault="00A148FE" w:rsidP="00A148FE">
      <w:pPr>
        <w:pStyle w:val="FootnoteText"/>
      </w:pPr>
      <w:r w:rsidRPr="00A03B67">
        <w:rPr>
          <w:rStyle w:val="FootnoteReference"/>
        </w:rPr>
        <w:footnoteRef/>
      </w:r>
      <w:r w:rsidRPr="00A03B67">
        <w:t xml:space="preserve"> </w:t>
      </w:r>
      <w:r w:rsidR="006F4732" w:rsidRPr="00A03B67">
        <w:t>Fair Work Ombudsman</w:t>
      </w:r>
      <w:r w:rsidR="00912A37" w:rsidRPr="00A03B67">
        <w:t>,</w:t>
      </w:r>
      <w:r w:rsidRPr="00A03B67">
        <w:t xml:space="preserve"> </w:t>
      </w:r>
      <w:r w:rsidRPr="00A03B67">
        <w:rPr>
          <w:i/>
          <w:iCs/>
        </w:rPr>
        <w:t>Statement of Intent</w:t>
      </w:r>
      <w:r w:rsidRPr="00A03B67">
        <w:t xml:space="preserve"> </w:t>
      </w:r>
      <w:r w:rsidR="006F4732" w:rsidRPr="00A03B67">
        <w:t>(</w:t>
      </w:r>
      <w:r w:rsidRPr="00A03B67">
        <w:t>2023</w:t>
      </w:r>
      <w:r w:rsidR="006F4732" w:rsidRPr="00A03B67">
        <w:t>)1, 4</w:t>
      </w:r>
      <w:r w:rsidR="004A6AA2" w:rsidRPr="00A03B67">
        <w:t xml:space="preserve"> &lt;https://www.fairwork.gov.au/sites/default/files/</w:t>
      </w:r>
      <w:r w:rsidRPr="00A03B67">
        <w:t>2023</w:t>
      </w:r>
      <w:r w:rsidR="004A6AA2" w:rsidRPr="00A03B67">
        <w:t>-12/fwo-regulator-statement-of-intent-2023.pdf&gt;</w:t>
      </w:r>
      <w:r w:rsidR="006F4732" w:rsidRPr="00A03B67">
        <w:t>.</w:t>
      </w:r>
      <w:r w:rsidRPr="00A03B67">
        <w:t xml:space="preserve"> </w:t>
      </w:r>
    </w:p>
  </w:footnote>
  <w:footnote w:id="79">
    <w:p w14:paraId="238B2588" w14:textId="70A4FCAF" w:rsidR="00C05B43" w:rsidRPr="00A03B67" w:rsidRDefault="00C05B43">
      <w:pPr>
        <w:pStyle w:val="FootnoteText"/>
      </w:pPr>
      <w:r w:rsidRPr="00A03B67">
        <w:rPr>
          <w:rStyle w:val="FootnoteReference"/>
        </w:rPr>
        <w:footnoteRef/>
      </w:r>
      <w:r w:rsidRPr="00A03B67">
        <w:t xml:space="preserve"> The Statement of Intent outlines how the </w:t>
      </w:r>
      <w:r w:rsidR="006F4732" w:rsidRPr="00A03B67">
        <w:t xml:space="preserve">Fair Work Ombudsman (FWO) </w:t>
      </w:r>
      <w:r w:rsidRPr="00A03B67">
        <w:t>will meet expectation</w:t>
      </w:r>
      <w:r w:rsidR="007B76C2" w:rsidRPr="00A03B67">
        <w:t>s</w:t>
      </w:r>
      <w:r w:rsidRPr="00A03B67">
        <w:t xml:space="preserve"> in the Fair Work Act and Ministerial Statement of Expectations to the </w:t>
      </w:r>
      <w:r w:rsidR="006F4732" w:rsidRPr="00A03B67">
        <w:t xml:space="preserve">FWO </w:t>
      </w:r>
      <w:r w:rsidRPr="00A03B67">
        <w:t>(24 October 2023). The Statement of Expectations also outlined the FWO should embrace tripartism, collaboration and engagement.</w:t>
      </w:r>
    </w:p>
  </w:footnote>
  <w:footnote w:id="80">
    <w:p w14:paraId="51D85804" w14:textId="298BC1AA" w:rsidR="00A148FE" w:rsidRPr="00A03B67" w:rsidRDefault="00A148FE" w:rsidP="00A148FE">
      <w:pPr>
        <w:pStyle w:val="FootnoteText"/>
      </w:pPr>
      <w:r w:rsidRPr="00A03B67">
        <w:rPr>
          <w:rStyle w:val="FootnoteReference"/>
        </w:rPr>
        <w:footnoteRef/>
      </w:r>
      <w:r w:rsidRPr="00A03B67">
        <w:t xml:space="preserve"> </w:t>
      </w:r>
      <w:r w:rsidR="006F4732" w:rsidRPr="00A03B67">
        <w:t xml:space="preserve">Fair Work Ombudsman, </w:t>
      </w:r>
      <w:r w:rsidRPr="00A03B67">
        <w:rPr>
          <w:i/>
          <w:iCs/>
        </w:rPr>
        <w:t>Annual Report 2023</w:t>
      </w:r>
      <w:r w:rsidR="006F4732" w:rsidRPr="00A03B67">
        <w:rPr>
          <w:rFonts w:ascii="Symbol" w:eastAsia="Symbol" w:hAnsi="Symbol" w:cs="Symbol"/>
          <w:i/>
          <w:iCs/>
        </w:rPr>
        <w:t>-</w:t>
      </w:r>
      <w:r w:rsidRPr="00A03B67">
        <w:rPr>
          <w:i/>
          <w:iCs/>
        </w:rPr>
        <w:t>24</w:t>
      </w:r>
      <w:r w:rsidR="006F4732" w:rsidRPr="00A03B67">
        <w:t xml:space="preserve"> (Report, 2024) </w:t>
      </w:r>
      <w:r w:rsidRPr="00A03B67">
        <w:t>18</w:t>
      </w:r>
      <w:r w:rsidR="006F4732" w:rsidRPr="00A03B67">
        <w:t>.</w:t>
      </w:r>
    </w:p>
  </w:footnote>
  <w:footnote w:id="81">
    <w:p w14:paraId="72D18D6D" w14:textId="6640D068" w:rsidR="00654243" w:rsidRPr="00A03B67" w:rsidRDefault="00654243">
      <w:pPr>
        <w:pStyle w:val="FootnoteText"/>
      </w:pPr>
      <w:r w:rsidRPr="00A03B67">
        <w:rPr>
          <w:rStyle w:val="FootnoteReference"/>
        </w:rPr>
        <w:footnoteRef/>
      </w:r>
      <w:r w:rsidRPr="00A03B67">
        <w:t xml:space="preserve"> Fair Work Ombudsman, </w:t>
      </w:r>
      <w:r w:rsidRPr="00A03B67">
        <w:rPr>
          <w:i/>
          <w:iCs/>
        </w:rPr>
        <w:t xml:space="preserve">Engagement and </w:t>
      </w:r>
      <w:r w:rsidR="006F4732" w:rsidRPr="00A03B67">
        <w:rPr>
          <w:i/>
          <w:iCs/>
        </w:rPr>
        <w:t>C</w:t>
      </w:r>
      <w:r w:rsidRPr="00A03B67">
        <w:rPr>
          <w:i/>
          <w:iCs/>
        </w:rPr>
        <w:t>ollaboration</w:t>
      </w:r>
      <w:r w:rsidR="009007BF" w:rsidRPr="00A03B67">
        <w:t xml:space="preserve"> (Web Page, n.d.)</w:t>
      </w:r>
      <w:r w:rsidR="00B9511E" w:rsidRPr="00A03B67">
        <w:t xml:space="preserve"> &lt;</w:t>
      </w:r>
      <w:r w:rsidR="00251DAD" w:rsidRPr="00A03B67">
        <w:t xml:space="preserve"> https://www.fairwork.gov.au/about-us/engagement-and-collaboration&gt;</w:t>
      </w:r>
      <w:r w:rsidR="009007BF" w:rsidRPr="00A03B67">
        <w:t>.</w:t>
      </w:r>
    </w:p>
  </w:footnote>
  <w:footnote w:id="82">
    <w:p w14:paraId="11523463" w14:textId="5D48F52F" w:rsidR="00A148FE" w:rsidRPr="00A03B67" w:rsidRDefault="00A148FE" w:rsidP="00FB0D3E">
      <w:pPr>
        <w:pStyle w:val="FootnoteText"/>
      </w:pPr>
      <w:r w:rsidRPr="00A03B67">
        <w:rPr>
          <w:rStyle w:val="FootnoteReference"/>
        </w:rPr>
        <w:footnoteRef/>
      </w:r>
      <w:r w:rsidRPr="00A03B67">
        <w:t xml:space="preserve"> See </w:t>
      </w:r>
      <w:r w:rsidR="00FB0D3E" w:rsidRPr="00A03B67">
        <w:t>e.g.</w:t>
      </w:r>
      <w:r w:rsidRPr="00A03B67">
        <w:t xml:space="preserve"> ‘Building Bad’, </w:t>
      </w:r>
      <w:r w:rsidR="00AE691B" w:rsidRPr="00A03B67">
        <w:rPr>
          <w:i/>
          <w:iCs/>
        </w:rPr>
        <w:t xml:space="preserve">AFR </w:t>
      </w:r>
      <w:r w:rsidR="00FB0D3E" w:rsidRPr="00A03B67">
        <w:t xml:space="preserve">(online, </w:t>
      </w:r>
      <w:r w:rsidRPr="00A03B67">
        <w:t>17 July 2024</w:t>
      </w:r>
      <w:r w:rsidR="00FB0D3E" w:rsidRPr="00A03B67">
        <w:t>)</w:t>
      </w:r>
      <w:r w:rsidRPr="00A03B67">
        <w:t xml:space="preserve"> </w:t>
      </w:r>
      <w:r w:rsidR="00E70B50" w:rsidRPr="00A03B67">
        <w:t>&lt;</w:t>
      </w:r>
      <w:r w:rsidR="00E70B50" w:rsidRPr="006C0D5D">
        <w:rPr>
          <w:lang w:val="en-US"/>
        </w:rPr>
        <w:t>https://www.afr.com/topic/building-bad-6gug</w:t>
      </w:r>
      <w:r w:rsidR="00E70B50" w:rsidRPr="00A03B67">
        <w:t>&gt;</w:t>
      </w:r>
      <w:r w:rsidR="00FB0D3E" w:rsidRPr="00A03B67">
        <w:rPr>
          <w:lang w:val="en-US"/>
        </w:rPr>
        <w:t>;</w:t>
      </w:r>
      <w:r w:rsidRPr="00A03B67">
        <w:rPr>
          <w:lang w:val="en-US"/>
        </w:rPr>
        <w:t xml:space="preserve"> </w:t>
      </w:r>
      <w:r w:rsidR="00FB0D3E" w:rsidRPr="00A03B67">
        <w:rPr>
          <w:lang w:val="en-US"/>
        </w:rPr>
        <w:t xml:space="preserve">N McKenzie, D Marin-Guzman and B Schneiders, </w:t>
      </w:r>
      <w:r w:rsidRPr="00A03B67">
        <w:rPr>
          <w:lang w:val="en-US"/>
        </w:rPr>
        <w:t xml:space="preserve">‘Bikies, </w:t>
      </w:r>
      <w:r w:rsidR="00FB0D3E" w:rsidRPr="00A03B67">
        <w:rPr>
          <w:lang w:val="en-US"/>
        </w:rPr>
        <w:t>U</w:t>
      </w:r>
      <w:r w:rsidRPr="00A03B67">
        <w:rPr>
          <w:lang w:val="en-US"/>
        </w:rPr>
        <w:t xml:space="preserve">nderworld </w:t>
      </w:r>
      <w:r w:rsidR="00FB0D3E" w:rsidRPr="00A03B67">
        <w:rPr>
          <w:lang w:val="en-US"/>
        </w:rPr>
        <w:t>F</w:t>
      </w:r>
      <w:r w:rsidRPr="00A03B67">
        <w:rPr>
          <w:lang w:val="en-US"/>
        </w:rPr>
        <w:t xml:space="preserve">igures and the CFMEU </w:t>
      </w:r>
      <w:r w:rsidR="00FB0D3E" w:rsidRPr="00A03B67">
        <w:rPr>
          <w:lang w:val="en-US"/>
        </w:rPr>
        <w:t>T</w:t>
      </w:r>
      <w:r w:rsidR="009424DA" w:rsidRPr="00A03B67">
        <w:rPr>
          <w:lang w:val="en-US"/>
        </w:rPr>
        <w:t>akeover</w:t>
      </w:r>
      <w:r w:rsidRPr="00A03B67">
        <w:rPr>
          <w:lang w:val="en-US"/>
        </w:rPr>
        <w:t xml:space="preserve"> of </w:t>
      </w:r>
      <w:r w:rsidR="00FB0D3E" w:rsidRPr="00A03B67">
        <w:rPr>
          <w:lang w:val="en-US"/>
        </w:rPr>
        <w:t>C</w:t>
      </w:r>
      <w:r w:rsidRPr="00A03B67">
        <w:rPr>
          <w:lang w:val="en-US"/>
        </w:rPr>
        <w:t xml:space="preserve">onstruction”, </w:t>
      </w:r>
      <w:r w:rsidRPr="00A03B67">
        <w:rPr>
          <w:i/>
          <w:iCs/>
          <w:lang w:val="en-US"/>
        </w:rPr>
        <w:t>AFR</w:t>
      </w:r>
      <w:r w:rsidR="00FB0D3E" w:rsidRPr="00A03B67">
        <w:rPr>
          <w:lang w:val="en-US"/>
        </w:rPr>
        <w:t xml:space="preserve"> (online, </w:t>
      </w:r>
      <w:r w:rsidRPr="00A03B67">
        <w:rPr>
          <w:lang w:val="en-US"/>
        </w:rPr>
        <w:t>13 July 2024</w:t>
      </w:r>
      <w:r w:rsidR="00FB0D3E" w:rsidRPr="00A03B67">
        <w:rPr>
          <w:lang w:val="en-US"/>
        </w:rPr>
        <w:t>)</w:t>
      </w:r>
      <w:r w:rsidRPr="00A03B67">
        <w:rPr>
          <w:lang w:val="en-US"/>
        </w:rPr>
        <w:t>.</w:t>
      </w:r>
    </w:p>
  </w:footnote>
  <w:footnote w:id="83">
    <w:p w14:paraId="19B07B3B" w14:textId="344C8D8B" w:rsidR="00A148FE" w:rsidRPr="00A03B67" w:rsidRDefault="00A148FE" w:rsidP="00A148FE">
      <w:pPr>
        <w:pStyle w:val="FootnoteText"/>
      </w:pPr>
      <w:r w:rsidRPr="00A03B67">
        <w:rPr>
          <w:rStyle w:val="FootnoteReference"/>
        </w:rPr>
        <w:footnoteRef/>
      </w:r>
      <w:r w:rsidRPr="00A03B67">
        <w:t xml:space="preserve"> </w:t>
      </w:r>
      <w:r w:rsidR="00FB0D3E" w:rsidRPr="00A03B67">
        <w:t>The Hon Tony Burke MP, Minister for Employment and Workplace Relations</w:t>
      </w:r>
      <w:r w:rsidR="0065371F" w:rsidRPr="00A03B67">
        <w:t>,</w:t>
      </w:r>
      <w:r w:rsidRPr="00A03B67">
        <w:t xml:space="preserve"> </w:t>
      </w:r>
      <w:r w:rsidR="0065371F" w:rsidRPr="00A03B67">
        <w:t xml:space="preserve">’Taking </w:t>
      </w:r>
      <w:r w:rsidR="00FB0D3E" w:rsidRPr="00A03B67">
        <w:t>A</w:t>
      </w:r>
      <w:r w:rsidR="0065371F" w:rsidRPr="00A03B67">
        <w:t xml:space="preserve">ction to </w:t>
      </w:r>
      <w:r w:rsidR="00FB0D3E" w:rsidRPr="00A03B67">
        <w:t>C</w:t>
      </w:r>
      <w:r w:rsidR="0065371F" w:rsidRPr="00A03B67">
        <w:t xml:space="preserve">lean </w:t>
      </w:r>
      <w:r w:rsidR="00FB0D3E" w:rsidRPr="00A03B67">
        <w:t>U</w:t>
      </w:r>
      <w:r w:rsidR="0065371F" w:rsidRPr="00A03B67">
        <w:t xml:space="preserve">p the </w:t>
      </w:r>
      <w:r w:rsidR="00FB0D3E" w:rsidRPr="00A03B67">
        <w:t>C</w:t>
      </w:r>
      <w:r w:rsidR="0065371F" w:rsidRPr="00A03B67">
        <w:t xml:space="preserve">onstruction </w:t>
      </w:r>
      <w:r w:rsidR="00FB0D3E" w:rsidRPr="00A03B67">
        <w:t>I</w:t>
      </w:r>
      <w:r w:rsidR="0065371F" w:rsidRPr="00A03B67">
        <w:t>ndustry</w:t>
      </w:r>
      <w:r w:rsidR="0065371F" w:rsidRPr="00A03B67">
        <w:rPr>
          <w:lang w:val="en-US"/>
        </w:rPr>
        <w:t>’</w:t>
      </w:r>
      <w:r w:rsidR="00422F45" w:rsidRPr="00A03B67">
        <w:rPr>
          <w:lang w:val="en-US"/>
        </w:rPr>
        <w:t xml:space="preserve"> </w:t>
      </w:r>
      <w:r w:rsidR="00FB0D3E" w:rsidRPr="00A03B67">
        <w:rPr>
          <w:lang w:val="en-US"/>
        </w:rPr>
        <w:t xml:space="preserve">(Media Release, 17 July 2024) </w:t>
      </w:r>
      <w:r w:rsidR="00422F45" w:rsidRPr="00A03B67">
        <w:rPr>
          <w:lang w:val="en-US"/>
        </w:rPr>
        <w:t>&lt;https://ministers.dewr.gov.au/burke/taking-action-clean-construction-industry#:~:text=The%20number%20one%20job%20of,these%20issues%20and%20we%20are&gt;</w:t>
      </w:r>
      <w:r w:rsidR="00FB0D3E" w:rsidRPr="00A03B67">
        <w:rPr>
          <w:lang w:val="en-US"/>
        </w:rPr>
        <w:t>.</w:t>
      </w:r>
    </w:p>
  </w:footnote>
  <w:footnote w:id="84">
    <w:p w14:paraId="227441EE" w14:textId="3EAF0122" w:rsidR="00A148FE" w:rsidRPr="00A03B67" w:rsidRDefault="00A148FE" w:rsidP="00A148FE">
      <w:pPr>
        <w:pStyle w:val="FootnoteText"/>
      </w:pPr>
      <w:r w:rsidRPr="00A03B67">
        <w:rPr>
          <w:rStyle w:val="FootnoteReference"/>
        </w:rPr>
        <w:footnoteRef/>
      </w:r>
      <w:r w:rsidRPr="00A03B67">
        <w:rPr>
          <w:lang w:val="en-US"/>
        </w:rPr>
        <w:t xml:space="preserve"> </w:t>
      </w:r>
      <w:r w:rsidRPr="00A03B67">
        <w:rPr>
          <w:i/>
          <w:iCs/>
          <w:lang w:val="en-US"/>
        </w:rPr>
        <w:t>Fair Work (Registered Organisations) Amendment (Administration) Act 2024</w:t>
      </w:r>
      <w:r w:rsidR="008A5646" w:rsidRPr="00A03B67">
        <w:rPr>
          <w:lang w:val="en-US"/>
        </w:rPr>
        <w:t xml:space="preserve"> (Cth)</w:t>
      </w:r>
      <w:r w:rsidR="00FB0D3E" w:rsidRPr="00A03B67">
        <w:t>;</w:t>
      </w:r>
      <w:r w:rsidRPr="00A03B67">
        <w:t xml:space="preserve"> </w:t>
      </w:r>
      <w:r w:rsidR="00FB0D3E" w:rsidRPr="00A03B67">
        <w:t xml:space="preserve">Fair Work Commission, </w:t>
      </w:r>
      <w:hyperlink r:id="rId1" w:anchor=":~:text=Mark%20Irving%20KC%20has%20been,General%20Division%20Administration)%20Determination%202024%20." w:history="1">
        <w:r w:rsidRPr="00A03B67">
          <w:rPr>
            <w:rStyle w:val="Hyperlink"/>
            <w:i/>
            <w:iCs/>
          </w:rPr>
          <w:t>General</w:t>
        </w:r>
      </w:hyperlink>
      <w:r w:rsidR="00231B99" w:rsidRPr="00A03B67">
        <w:rPr>
          <w:i/>
          <w:iCs/>
        </w:rPr>
        <w:t xml:space="preserve"> Manager’s Statement – Administration of the CFMEU Construction and General Division</w:t>
      </w:r>
      <w:r w:rsidR="00231B99" w:rsidRPr="00A03B67">
        <w:t xml:space="preserve"> (3 October 2024) </w:t>
      </w:r>
      <w:r w:rsidR="00FB0D3E" w:rsidRPr="00A03B67">
        <w:t>&lt;</w:t>
      </w:r>
      <w:r w:rsidR="00FB0D3E" w:rsidRPr="006C0D5D">
        <w:t>https://www.fwc.gov.au/documents/consultation/gm-statement-cfmeu-2024-10-03.pdf</w:t>
      </w:r>
      <w:r w:rsidR="00FB0D3E" w:rsidRPr="00A03B67">
        <w:t>&gt;;</w:t>
      </w:r>
      <w:r w:rsidR="00231B99" w:rsidRPr="00A03B67">
        <w:t xml:space="preserve"> </w:t>
      </w:r>
      <w:r w:rsidR="00FB0D3E" w:rsidRPr="00A03B67">
        <w:t xml:space="preserve">The Hon Tony Burke MP, </w:t>
      </w:r>
      <w:r w:rsidR="006431D8" w:rsidRPr="00A03B67">
        <w:t>The Hon Tony Burke MP, Minister for Employment and Workplace Relations, ’Taking Action to Clean Up the Construction Industry</w:t>
      </w:r>
      <w:r w:rsidR="006431D8" w:rsidRPr="00A03B67">
        <w:rPr>
          <w:lang w:val="en-US"/>
        </w:rPr>
        <w:t>’ (Media Release, 17 July 2024) &lt;https://ministers.dewr.gov.au/burke/taking-action-clean-construction-industry#:~:text=The%20number%20one%20job%20of,these%20issues%20and%20we%20are&gt;</w:t>
      </w:r>
      <w:r w:rsidR="00FB0D3E" w:rsidRPr="00A03B67">
        <w:rPr>
          <w:lang w:val="en-US"/>
        </w:rPr>
        <w:t xml:space="preserve">; </w:t>
      </w:r>
      <w:r w:rsidR="00FB0D3E" w:rsidRPr="00A03B67">
        <w:t>Fair Work Ombudsman</w:t>
      </w:r>
      <w:r w:rsidR="00231B99" w:rsidRPr="00A03B67">
        <w:rPr>
          <w:lang w:val="en-US"/>
        </w:rPr>
        <w:t xml:space="preserve">, </w:t>
      </w:r>
      <w:r w:rsidR="00231B99" w:rsidRPr="00A03B67">
        <w:rPr>
          <w:i/>
          <w:iCs/>
          <w:lang w:val="en-US"/>
        </w:rPr>
        <w:t xml:space="preserve">Role of CFMEU </w:t>
      </w:r>
      <w:r w:rsidR="00FB0D3E" w:rsidRPr="00A03B67">
        <w:rPr>
          <w:i/>
          <w:iCs/>
          <w:lang w:val="en-US"/>
        </w:rPr>
        <w:t>A</w:t>
      </w:r>
      <w:r w:rsidR="00231B99" w:rsidRPr="00A03B67">
        <w:rPr>
          <w:i/>
          <w:iCs/>
          <w:lang w:val="en-US"/>
        </w:rPr>
        <w:t>dministrator</w:t>
      </w:r>
      <w:r w:rsidR="00231B99" w:rsidRPr="00A03B67">
        <w:rPr>
          <w:lang w:val="en-US"/>
        </w:rPr>
        <w:t xml:space="preserve"> (</w:t>
      </w:r>
      <w:r w:rsidR="00FB0D3E" w:rsidRPr="00A03B67">
        <w:rPr>
          <w:lang w:val="en-US"/>
        </w:rPr>
        <w:t xml:space="preserve">Web Page, </w:t>
      </w:r>
      <w:r w:rsidR="00231B99" w:rsidRPr="00A03B67">
        <w:rPr>
          <w:lang w:val="en-US"/>
        </w:rPr>
        <w:t>3 October 2024) &lt;https://www.fairwork.gov.au/newsroom/news/role-of-cfmeu-administrator&gt;</w:t>
      </w:r>
      <w:r w:rsidR="00FB0D3E" w:rsidRPr="00A03B67">
        <w:t>.</w:t>
      </w:r>
    </w:p>
  </w:footnote>
  <w:footnote w:id="85">
    <w:p w14:paraId="6112037A" w14:textId="78B6AE60" w:rsidR="00A148FE" w:rsidRPr="00A03B67" w:rsidRDefault="00A148FE" w:rsidP="00A148FE">
      <w:pPr>
        <w:pStyle w:val="FootnoteText"/>
      </w:pPr>
      <w:r w:rsidRPr="00A03B67">
        <w:rPr>
          <w:rStyle w:val="FootnoteReference"/>
        </w:rPr>
        <w:footnoteRef/>
      </w:r>
      <w:r w:rsidRPr="00A03B67">
        <w:t xml:space="preserve"> </w:t>
      </w:r>
      <w:r w:rsidR="00FB0D3E" w:rsidRPr="00A03B67">
        <w:t xml:space="preserve">Fair Work Commission, </w:t>
      </w:r>
      <w:r w:rsidR="00FB0D3E" w:rsidRPr="006C0D5D">
        <w:rPr>
          <w:i/>
          <w:iCs/>
        </w:rPr>
        <w:t>General</w:t>
      </w:r>
      <w:r w:rsidR="00FB0D3E" w:rsidRPr="00A03B67">
        <w:rPr>
          <w:i/>
          <w:iCs/>
        </w:rPr>
        <w:t xml:space="preserve"> Manager’s Statement – Administration of the CFMEU Construction and General Division</w:t>
      </w:r>
      <w:r w:rsidR="00FB0D3E" w:rsidRPr="00A03B67">
        <w:t xml:space="preserve"> (3 October 2024) &lt;</w:t>
      </w:r>
      <w:r w:rsidR="00FB0D3E" w:rsidRPr="006C0D5D">
        <w:t>https://www.fwc.gov.au/documents/consultation/gm-statement-cfmeu-2024-10-03.pdf</w:t>
      </w:r>
      <w:r w:rsidR="00FB0D3E" w:rsidRPr="00A03B67">
        <w:t>&gt;.</w:t>
      </w:r>
    </w:p>
  </w:footnote>
  <w:footnote w:id="86">
    <w:p w14:paraId="0B1C4C1F" w14:textId="7AC1FB38" w:rsidR="00A148FE" w:rsidRPr="00A03B67" w:rsidRDefault="00A148FE" w:rsidP="00A148FE">
      <w:pPr>
        <w:pStyle w:val="FootnoteText"/>
      </w:pPr>
      <w:r w:rsidRPr="00A03B67">
        <w:rPr>
          <w:rStyle w:val="FootnoteReference"/>
        </w:rPr>
        <w:footnoteRef/>
      </w:r>
      <w:r w:rsidRPr="00A03B67">
        <w:t xml:space="preserve"> </w:t>
      </w:r>
      <w:r w:rsidR="00FB0D3E" w:rsidRPr="00A03B67">
        <w:t>Fair Work Ombudsman</w:t>
      </w:r>
      <w:r w:rsidR="003A2AE7" w:rsidRPr="00A03B67">
        <w:t>,</w:t>
      </w:r>
      <w:r w:rsidRPr="00A03B67">
        <w:t xml:space="preserve"> </w:t>
      </w:r>
      <w:r w:rsidR="003A2AE7" w:rsidRPr="00A03B67">
        <w:rPr>
          <w:i/>
          <w:iCs/>
        </w:rPr>
        <w:t>Fair Work Ombudsman Statement on the CFMEU</w:t>
      </w:r>
      <w:r w:rsidR="003A2AE7" w:rsidRPr="00A03B67">
        <w:t xml:space="preserve"> (</w:t>
      </w:r>
      <w:r w:rsidR="00FB0D3E" w:rsidRPr="00A03B67">
        <w:t xml:space="preserve">Media Release, </w:t>
      </w:r>
      <w:r w:rsidR="003A2AE7" w:rsidRPr="00A03B67">
        <w:t xml:space="preserve">18 July 2024) </w:t>
      </w:r>
      <w:r w:rsidR="00FB0D3E" w:rsidRPr="00A03B67">
        <w:t>&lt;</w:t>
      </w:r>
      <w:r w:rsidR="00FB0D3E" w:rsidRPr="006C0D5D">
        <w:t>https://www.fairwork.gov.au/newsroom/media-releases/2024-media-releases/july-2024/20240718/FWO-statement-on-CFMEU-media-release</w:t>
      </w:r>
      <w:r w:rsidR="00FB0D3E" w:rsidRPr="00A03B67">
        <w:t>&gt;.</w:t>
      </w:r>
    </w:p>
  </w:footnote>
  <w:footnote w:id="87">
    <w:p w14:paraId="57A0EAD9" w14:textId="58579A7D" w:rsidR="00A148FE" w:rsidRPr="00A03B67" w:rsidRDefault="00A148FE" w:rsidP="00A148FE">
      <w:pPr>
        <w:pStyle w:val="FootnoteText"/>
      </w:pPr>
      <w:r w:rsidRPr="00A03B67">
        <w:rPr>
          <w:rStyle w:val="FootnoteReference"/>
        </w:rPr>
        <w:footnoteRef/>
      </w:r>
      <w:r w:rsidRPr="00A03B67">
        <w:t xml:space="preserve"> </w:t>
      </w:r>
      <w:r w:rsidR="00FB0D3E" w:rsidRPr="00A03B67">
        <w:t>The Hon Tony Burke MP, Minister for Employment and Workplace Relations, ’Taking Action to Clean Up the Construction Industry</w:t>
      </w:r>
      <w:r w:rsidR="00FB0D3E" w:rsidRPr="00A03B67">
        <w:rPr>
          <w:lang w:val="en-US"/>
        </w:rPr>
        <w:t>’ (Media Release, 17 July 2024) &lt;https://ministers.dewr.gov.au/burke/taking-action-clean-construction-industry#:~:text=The%20number%20one%20job%20of,these%20issues%20and%20we%20are&gt;.</w:t>
      </w:r>
    </w:p>
  </w:footnote>
  <w:footnote w:id="88">
    <w:p w14:paraId="535E5967" w14:textId="043C6B89" w:rsidR="00A148FE" w:rsidRPr="00A03B67" w:rsidRDefault="00A148FE" w:rsidP="00A148FE">
      <w:pPr>
        <w:pStyle w:val="FootnoteText"/>
      </w:pPr>
      <w:r w:rsidRPr="00A03B67">
        <w:rPr>
          <w:rStyle w:val="FootnoteReference"/>
        </w:rPr>
        <w:footnoteRef/>
      </w:r>
      <w:r w:rsidRPr="00A03B67">
        <w:t xml:space="preserve"> </w:t>
      </w:r>
      <w:r w:rsidR="00FB0D3E" w:rsidRPr="00A03B67">
        <w:t>Australian Council of Trade Unions (</w:t>
      </w:r>
      <w:r w:rsidRPr="00A03B67">
        <w:t>ACTU</w:t>
      </w:r>
      <w:r w:rsidR="00FB0D3E" w:rsidRPr="00A03B67">
        <w:t>)</w:t>
      </w:r>
      <w:r w:rsidRPr="00A03B67">
        <w:t xml:space="preserve"> submission, 6</w:t>
      </w:r>
      <w:r w:rsidR="00FB0D3E" w:rsidRPr="00A03B67">
        <w:t>.</w:t>
      </w:r>
    </w:p>
  </w:footnote>
  <w:footnote w:id="89">
    <w:p w14:paraId="6598A4B3" w14:textId="1CF60AF6" w:rsidR="00A148FE" w:rsidRPr="00A03B67" w:rsidRDefault="00A148FE" w:rsidP="00A148FE">
      <w:pPr>
        <w:pStyle w:val="FootnoteText"/>
      </w:pPr>
      <w:r w:rsidRPr="00A03B67">
        <w:rPr>
          <w:rStyle w:val="FootnoteReference"/>
        </w:rPr>
        <w:footnoteRef/>
      </w:r>
      <w:r w:rsidRPr="00A03B67">
        <w:t xml:space="preserve"> CFMEU </w:t>
      </w:r>
      <w:r w:rsidR="00FB0D3E" w:rsidRPr="00A03B67">
        <w:t>C</w:t>
      </w:r>
      <w:r w:rsidRPr="00A03B67">
        <w:t xml:space="preserve">onstruction </w:t>
      </w:r>
      <w:r w:rsidR="00FB0D3E" w:rsidRPr="00A03B67">
        <w:t xml:space="preserve">and </w:t>
      </w:r>
      <w:r w:rsidRPr="00A03B67">
        <w:t>General Division submission, 2</w:t>
      </w:r>
      <w:r w:rsidR="00FB0D3E" w:rsidRPr="00A03B67">
        <w:rPr>
          <w:rFonts w:ascii="Symbol" w:eastAsia="Symbol" w:hAnsi="Symbol" w:cs="Symbol"/>
        </w:rPr>
        <w:t>-</w:t>
      </w:r>
      <w:r w:rsidRPr="00A03B67">
        <w:t>3</w:t>
      </w:r>
      <w:r w:rsidR="00FB0D3E" w:rsidRPr="00A03B67">
        <w:t>.</w:t>
      </w:r>
    </w:p>
  </w:footnote>
  <w:footnote w:id="90">
    <w:p w14:paraId="2BF35087" w14:textId="260F4EF1" w:rsidR="00A148FE" w:rsidRPr="00A03B67" w:rsidRDefault="00A148FE" w:rsidP="00A148FE">
      <w:pPr>
        <w:pStyle w:val="FootnoteText"/>
      </w:pPr>
      <w:r w:rsidRPr="00A03B67">
        <w:rPr>
          <w:rStyle w:val="FootnoteReference"/>
        </w:rPr>
        <w:footnoteRef/>
      </w:r>
      <w:r w:rsidRPr="00A03B67">
        <w:t xml:space="preserve"> CFMEU </w:t>
      </w:r>
      <w:r w:rsidR="00FB0D3E" w:rsidRPr="00A03B67">
        <w:t>C</w:t>
      </w:r>
      <w:r w:rsidRPr="00A03B67">
        <w:t xml:space="preserve">onstruction </w:t>
      </w:r>
      <w:r w:rsidR="00FB0D3E" w:rsidRPr="00A03B67">
        <w:t xml:space="preserve">and </w:t>
      </w:r>
      <w:r w:rsidRPr="00A03B67">
        <w:t>General Division submission, 3</w:t>
      </w:r>
      <w:r w:rsidR="00FB0D3E" w:rsidRPr="00A03B67">
        <w:t>.</w:t>
      </w:r>
    </w:p>
  </w:footnote>
  <w:footnote w:id="91">
    <w:p w14:paraId="30651B4B" w14:textId="696EB108" w:rsidR="00A148FE" w:rsidRPr="00A03B67" w:rsidRDefault="00A148FE" w:rsidP="00A148FE">
      <w:pPr>
        <w:pStyle w:val="FootnoteText"/>
      </w:pPr>
      <w:r w:rsidRPr="00A03B67">
        <w:rPr>
          <w:rStyle w:val="FootnoteReference"/>
        </w:rPr>
        <w:footnoteRef/>
      </w:r>
      <w:r w:rsidRPr="00A03B67">
        <w:t xml:space="preserve"> CFMEU </w:t>
      </w:r>
      <w:r w:rsidR="00FB0D3E" w:rsidRPr="00A03B67">
        <w:t>C</w:t>
      </w:r>
      <w:r w:rsidRPr="00A03B67">
        <w:t xml:space="preserve">onstruction </w:t>
      </w:r>
      <w:r w:rsidR="00FB0D3E" w:rsidRPr="00A03B67">
        <w:t xml:space="preserve">and </w:t>
      </w:r>
      <w:r w:rsidRPr="00A03B67">
        <w:t>General Division submission, 3</w:t>
      </w:r>
      <w:r w:rsidR="00FB0D3E" w:rsidRPr="00A03B67">
        <w:rPr>
          <w:rFonts w:ascii="Symbol" w:eastAsia="Symbol" w:hAnsi="Symbol" w:cs="Symbol"/>
        </w:rPr>
        <w:t>-</w:t>
      </w:r>
      <w:r w:rsidRPr="00A03B67">
        <w:t>4</w:t>
      </w:r>
      <w:r w:rsidR="00FB0D3E" w:rsidRPr="00A03B67">
        <w:t>.</w:t>
      </w:r>
    </w:p>
  </w:footnote>
  <w:footnote w:id="92">
    <w:p w14:paraId="31D4D454" w14:textId="187E9993" w:rsidR="00A148FE" w:rsidRPr="00A03B67" w:rsidRDefault="00A148FE" w:rsidP="00A148FE">
      <w:pPr>
        <w:pStyle w:val="FootnoteText"/>
      </w:pPr>
      <w:r w:rsidRPr="00A03B67">
        <w:rPr>
          <w:rStyle w:val="FootnoteReference"/>
        </w:rPr>
        <w:footnoteRef/>
      </w:r>
      <w:r w:rsidRPr="00A03B67">
        <w:t xml:space="preserve"> CFMEU </w:t>
      </w:r>
      <w:r w:rsidR="00FB0D3E" w:rsidRPr="00A03B67">
        <w:t>C</w:t>
      </w:r>
      <w:r w:rsidRPr="00A03B67">
        <w:t xml:space="preserve">onstruction </w:t>
      </w:r>
      <w:r w:rsidR="00FB0D3E" w:rsidRPr="00A03B67">
        <w:t xml:space="preserve">and </w:t>
      </w:r>
      <w:r w:rsidRPr="00A03B67">
        <w:t xml:space="preserve">General Division submission, 3, citing </w:t>
      </w:r>
      <w:r w:rsidRPr="00A03B67">
        <w:rPr>
          <w:lang w:val="en-US"/>
        </w:rPr>
        <w:t xml:space="preserve">Fair Work Ombudsman, </w:t>
      </w:r>
      <w:r w:rsidRPr="00A03B67">
        <w:rPr>
          <w:i/>
          <w:iCs/>
          <w:lang w:val="en-US"/>
        </w:rPr>
        <w:t>National Building and Construction Industry Campaign 2014/15</w:t>
      </w:r>
      <w:r w:rsidRPr="00A03B67">
        <w:rPr>
          <w:lang w:val="en-US"/>
        </w:rPr>
        <w:t xml:space="preserve"> </w:t>
      </w:r>
      <w:r w:rsidR="003114A2" w:rsidRPr="00A03B67">
        <w:rPr>
          <w:lang w:val="en-US"/>
        </w:rPr>
        <w:t>(</w:t>
      </w:r>
      <w:r w:rsidRPr="00A03B67">
        <w:rPr>
          <w:lang w:val="en-US"/>
        </w:rPr>
        <w:t>Report</w:t>
      </w:r>
      <w:r w:rsidR="003114A2" w:rsidRPr="00A03B67">
        <w:rPr>
          <w:lang w:val="en-US"/>
        </w:rPr>
        <w:t>,</w:t>
      </w:r>
      <w:r w:rsidRPr="00A03B67">
        <w:rPr>
          <w:lang w:val="en-US"/>
        </w:rPr>
        <w:t xml:space="preserve"> 2015</w:t>
      </w:r>
      <w:r w:rsidR="00DF67F4" w:rsidRPr="00A03B67">
        <w:rPr>
          <w:lang w:val="en-US"/>
        </w:rPr>
        <w:t>)</w:t>
      </w:r>
      <w:r w:rsidR="003114A2" w:rsidRPr="00A03B67">
        <w:rPr>
          <w:lang w:val="en-US"/>
        </w:rPr>
        <w:t>.</w:t>
      </w:r>
    </w:p>
  </w:footnote>
  <w:footnote w:id="93">
    <w:p w14:paraId="4CE26A50" w14:textId="77F6FA14" w:rsidR="00A148FE" w:rsidRPr="00A03B67" w:rsidRDefault="00A148FE" w:rsidP="00A148FE">
      <w:pPr>
        <w:pStyle w:val="FootnoteText"/>
      </w:pPr>
      <w:r w:rsidRPr="00A03B67">
        <w:rPr>
          <w:rStyle w:val="FootnoteReference"/>
        </w:rPr>
        <w:footnoteRef/>
      </w:r>
      <w:r w:rsidRPr="00A03B67">
        <w:t xml:space="preserve"> Ai Group submission, 123</w:t>
      </w:r>
      <w:r w:rsidR="003114A2" w:rsidRPr="00A03B67">
        <w:t>.</w:t>
      </w:r>
    </w:p>
  </w:footnote>
  <w:footnote w:id="94">
    <w:p w14:paraId="25156A10" w14:textId="5D9536B8" w:rsidR="00A148FE" w:rsidRPr="00A03B67" w:rsidRDefault="00A148FE" w:rsidP="00A148FE">
      <w:pPr>
        <w:pStyle w:val="FootnoteText"/>
      </w:pPr>
      <w:r w:rsidRPr="00A03B67">
        <w:rPr>
          <w:rStyle w:val="FootnoteReference"/>
        </w:rPr>
        <w:footnoteRef/>
      </w:r>
      <w:r w:rsidRPr="00A03B67">
        <w:t xml:space="preserve"> </w:t>
      </w:r>
      <w:r w:rsidR="00DD0D96" w:rsidRPr="00A03B67">
        <w:t>Business Council of Australia (</w:t>
      </w:r>
      <w:r w:rsidRPr="00A03B67">
        <w:t>BCA</w:t>
      </w:r>
      <w:r w:rsidR="00DD0D96" w:rsidRPr="00A03B67">
        <w:t>)</w:t>
      </w:r>
      <w:r w:rsidRPr="00A03B67">
        <w:t xml:space="preserve"> submission, 16</w:t>
      </w:r>
      <w:r w:rsidR="003114A2" w:rsidRPr="00A03B67">
        <w:t>.</w:t>
      </w:r>
    </w:p>
  </w:footnote>
  <w:footnote w:id="95">
    <w:p w14:paraId="4192A9F9" w14:textId="7ECF8B60" w:rsidR="00A148FE" w:rsidRPr="00A03B67" w:rsidRDefault="00A148FE" w:rsidP="00A148FE">
      <w:pPr>
        <w:pStyle w:val="FootnoteText"/>
      </w:pPr>
      <w:r w:rsidRPr="00A03B67">
        <w:rPr>
          <w:rStyle w:val="FootnoteReference"/>
        </w:rPr>
        <w:footnoteRef/>
      </w:r>
      <w:r w:rsidRPr="00A03B67">
        <w:t xml:space="preserve"> </w:t>
      </w:r>
      <w:r w:rsidR="00DD0D96" w:rsidRPr="00A03B67">
        <w:t>Housing Industry Association (</w:t>
      </w:r>
      <w:r w:rsidRPr="00A03B67">
        <w:t>HIA</w:t>
      </w:r>
      <w:r w:rsidR="00DD0D96" w:rsidRPr="00A03B67">
        <w:t>)</w:t>
      </w:r>
      <w:r w:rsidRPr="00A03B67">
        <w:t xml:space="preserve"> submission, 1</w:t>
      </w:r>
      <w:r w:rsidR="003114A2" w:rsidRPr="00A03B67">
        <w:t>.</w:t>
      </w:r>
    </w:p>
  </w:footnote>
  <w:footnote w:id="96">
    <w:p w14:paraId="328F9E35" w14:textId="2B4E7834" w:rsidR="00A148FE" w:rsidRPr="00A03B67" w:rsidRDefault="00A148FE" w:rsidP="00A148FE">
      <w:pPr>
        <w:pStyle w:val="FootnoteText"/>
      </w:pPr>
      <w:r w:rsidRPr="00A03B67">
        <w:rPr>
          <w:rStyle w:val="FootnoteReference"/>
        </w:rPr>
        <w:footnoteRef/>
      </w:r>
      <w:r w:rsidRPr="00A03B67">
        <w:t xml:space="preserve"> </w:t>
      </w:r>
      <w:r w:rsidR="00DD0D96" w:rsidRPr="00A03B67">
        <w:t>Minerals Council of Australia (</w:t>
      </w:r>
      <w:r w:rsidRPr="00A03B67">
        <w:t>MCA</w:t>
      </w:r>
      <w:r w:rsidR="00DD0D96" w:rsidRPr="00A03B67">
        <w:t>)</w:t>
      </w:r>
      <w:r w:rsidRPr="00A03B67">
        <w:t xml:space="preserve"> submission, 7</w:t>
      </w:r>
      <w:r w:rsidR="003114A2" w:rsidRPr="00A03B67">
        <w:t>.</w:t>
      </w:r>
    </w:p>
  </w:footnote>
  <w:footnote w:id="97">
    <w:p w14:paraId="4AB52E8C" w14:textId="76604431" w:rsidR="00A148FE" w:rsidRPr="00A03B67" w:rsidRDefault="00A148FE" w:rsidP="00A148FE">
      <w:pPr>
        <w:pStyle w:val="FootnoteText"/>
      </w:pPr>
      <w:r w:rsidRPr="00A03B67">
        <w:rPr>
          <w:rStyle w:val="FootnoteReference"/>
        </w:rPr>
        <w:footnoteRef/>
      </w:r>
      <w:r w:rsidRPr="00A03B67">
        <w:t xml:space="preserve"> </w:t>
      </w:r>
      <w:r w:rsidR="00DD0D96" w:rsidRPr="00A03B67">
        <w:t>Master Builders Australia (</w:t>
      </w:r>
      <w:r w:rsidRPr="00A03B67">
        <w:t>MBA</w:t>
      </w:r>
      <w:r w:rsidR="00DD0D96" w:rsidRPr="00A03B67">
        <w:t>)</w:t>
      </w:r>
      <w:r w:rsidRPr="00A03B67">
        <w:t xml:space="preserve"> submission, 9</w:t>
      </w:r>
      <w:r w:rsidR="003114A2" w:rsidRPr="00A03B67">
        <w:t>.</w:t>
      </w:r>
    </w:p>
  </w:footnote>
  <w:footnote w:id="98">
    <w:p w14:paraId="23C77BCA" w14:textId="36A64FF9" w:rsidR="00A148FE" w:rsidRPr="00A03B67" w:rsidRDefault="00A148FE" w:rsidP="00A148FE">
      <w:pPr>
        <w:pStyle w:val="FootnoteText"/>
      </w:pPr>
      <w:r w:rsidRPr="00A03B67">
        <w:rPr>
          <w:rStyle w:val="FootnoteReference"/>
        </w:rPr>
        <w:footnoteRef/>
      </w:r>
      <w:r w:rsidRPr="00A03B67">
        <w:t xml:space="preserve"> </w:t>
      </w:r>
      <w:r w:rsidR="00DD0D96" w:rsidRPr="00A03B67">
        <w:t>Australian Resources &amp; Energy Employer Association (</w:t>
      </w:r>
      <w:r w:rsidRPr="00A03B67">
        <w:t>AREEA</w:t>
      </w:r>
      <w:r w:rsidR="00DD0D96" w:rsidRPr="00A03B67">
        <w:t>)</w:t>
      </w:r>
      <w:r w:rsidRPr="00A03B67">
        <w:t xml:space="preserve"> submission, 20</w:t>
      </w:r>
      <w:r w:rsidR="003114A2" w:rsidRPr="00A03B67">
        <w:t>.</w:t>
      </w:r>
    </w:p>
  </w:footnote>
  <w:footnote w:id="99">
    <w:p w14:paraId="36E4C070" w14:textId="7B22E1C6" w:rsidR="00A148FE" w:rsidRPr="00A03B67" w:rsidRDefault="00A148FE" w:rsidP="00A148FE">
      <w:pPr>
        <w:pStyle w:val="FootnoteText"/>
      </w:pPr>
      <w:r w:rsidRPr="00A03B67">
        <w:rPr>
          <w:rStyle w:val="FootnoteReference"/>
        </w:rPr>
        <w:footnoteRef/>
      </w:r>
      <w:r w:rsidRPr="00A03B67">
        <w:t xml:space="preserve"> </w:t>
      </w:r>
      <w:r w:rsidR="00DD0D96" w:rsidRPr="00A03B67">
        <w:t>Mining and Energy Union (</w:t>
      </w:r>
      <w:r w:rsidRPr="00A03B67">
        <w:t>MEA</w:t>
      </w:r>
      <w:r w:rsidR="00DD0D96" w:rsidRPr="00A03B67">
        <w:t>)</w:t>
      </w:r>
      <w:r w:rsidRPr="00A03B67">
        <w:t xml:space="preserve"> submission, 1</w:t>
      </w:r>
      <w:r w:rsidR="003114A2" w:rsidRPr="00A03B67">
        <w:rPr>
          <w:rFonts w:ascii="Symbol" w:eastAsia="Symbol" w:hAnsi="Symbol" w:cs="Symbol"/>
        </w:rPr>
        <w:t>-</w:t>
      </w:r>
      <w:r w:rsidRPr="00A03B67">
        <w:t>2</w:t>
      </w:r>
      <w:r w:rsidR="003114A2" w:rsidRPr="00A03B67">
        <w:t>.</w:t>
      </w:r>
    </w:p>
  </w:footnote>
  <w:footnote w:id="100">
    <w:p w14:paraId="00B74A2E" w14:textId="4DA5632E" w:rsidR="00A148FE" w:rsidRPr="00A03B67" w:rsidRDefault="00A148FE" w:rsidP="00A148FE">
      <w:pPr>
        <w:pStyle w:val="FootnoteText"/>
      </w:pPr>
      <w:r w:rsidRPr="00A03B67">
        <w:rPr>
          <w:rStyle w:val="FootnoteReference"/>
        </w:rPr>
        <w:footnoteRef/>
      </w:r>
      <w:r w:rsidRPr="00A03B67">
        <w:t xml:space="preserve"> </w:t>
      </w:r>
      <w:r w:rsidR="00DD0D96" w:rsidRPr="00A03B67">
        <w:t>Master Builders Australia (</w:t>
      </w:r>
      <w:r w:rsidRPr="00A03B67">
        <w:t>MBA</w:t>
      </w:r>
      <w:r w:rsidR="00DD0D96" w:rsidRPr="00A03B67">
        <w:t>)</w:t>
      </w:r>
      <w:r w:rsidRPr="00A03B67">
        <w:t xml:space="preserve"> submission, 8</w:t>
      </w:r>
      <w:r w:rsidR="00DD0D96" w:rsidRPr="00A03B67">
        <w:t>.</w:t>
      </w:r>
    </w:p>
  </w:footnote>
  <w:footnote w:id="101">
    <w:p w14:paraId="12A570C0" w14:textId="4C8DC9B4" w:rsidR="00A148FE" w:rsidRPr="00A03B67" w:rsidRDefault="00A148FE" w:rsidP="00A148FE">
      <w:pPr>
        <w:pStyle w:val="FootnoteText"/>
      </w:pPr>
      <w:r w:rsidRPr="00A03B67">
        <w:rPr>
          <w:rStyle w:val="FootnoteReference"/>
        </w:rPr>
        <w:footnoteRef/>
      </w:r>
      <w:r w:rsidRPr="00A03B67">
        <w:t xml:space="preserve"> </w:t>
      </w:r>
      <w:r w:rsidR="00DD0D96" w:rsidRPr="00A03B67">
        <w:t xml:space="preserve">Master Builders Australia (MBA) </w:t>
      </w:r>
      <w:r w:rsidRPr="00A03B67">
        <w:t>submission, 6</w:t>
      </w:r>
      <w:r w:rsidR="00DD0D96" w:rsidRPr="00A03B67">
        <w:t>.</w:t>
      </w:r>
    </w:p>
  </w:footnote>
  <w:footnote w:id="102">
    <w:p w14:paraId="781ED9D6" w14:textId="77777777" w:rsidR="00A148FE" w:rsidRPr="00A03B67" w:rsidRDefault="00A148FE" w:rsidP="00A148FE">
      <w:pPr>
        <w:pStyle w:val="FootnoteText"/>
      </w:pPr>
      <w:r w:rsidRPr="00A03B67">
        <w:rPr>
          <w:rStyle w:val="FootnoteReference"/>
        </w:rPr>
        <w:footnoteRef/>
      </w:r>
      <w:r w:rsidRPr="00A03B67">
        <w:t xml:space="preserve"> </w:t>
      </w:r>
      <w:r w:rsidRPr="00A03B67">
        <w:rPr>
          <w:i/>
          <w:iCs/>
          <w:lang w:val="en-US"/>
        </w:rPr>
        <w:t>Fair Work Ombudsman v Construction, Forestry and Maritime Employees Union (M1 Yatala Exit 41 Case)</w:t>
      </w:r>
      <w:r w:rsidRPr="00A03B67">
        <w:rPr>
          <w:lang w:val="en-US"/>
        </w:rPr>
        <w:t xml:space="preserve"> [2024] FedCFamC2G 340, 126.</w:t>
      </w:r>
    </w:p>
  </w:footnote>
  <w:footnote w:id="103">
    <w:p w14:paraId="5297E140" w14:textId="23BC2868" w:rsidR="00A148FE" w:rsidRPr="00A03B67" w:rsidRDefault="00A148FE" w:rsidP="00A148FE">
      <w:pPr>
        <w:pStyle w:val="FootnoteText"/>
      </w:pPr>
      <w:r w:rsidRPr="00A03B67">
        <w:rPr>
          <w:rStyle w:val="FootnoteReference"/>
        </w:rPr>
        <w:footnoteRef/>
      </w:r>
      <w:r w:rsidRPr="00A03B67">
        <w:t xml:space="preserve"> </w:t>
      </w:r>
      <w:r w:rsidR="00DD0D96" w:rsidRPr="00A03B67">
        <w:t>Australian Chamber of Commerce and Industry (</w:t>
      </w:r>
      <w:r w:rsidRPr="00A03B67">
        <w:t>ACCI</w:t>
      </w:r>
      <w:r w:rsidR="00DD0D96" w:rsidRPr="00A03B67">
        <w:t>)</w:t>
      </w:r>
      <w:r w:rsidRPr="00A03B67">
        <w:t xml:space="preserve"> submission, 58</w:t>
      </w:r>
      <w:r w:rsidR="00DD0D96" w:rsidRPr="00A03B67">
        <w:t>.</w:t>
      </w:r>
    </w:p>
  </w:footnote>
  <w:footnote w:id="104">
    <w:p w14:paraId="27A92D7E" w14:textId="510375DB" w:rsidR="00A148FE" w:rsidRPr="00A03B67" w:rsidRDefault="00A148FE" w:rsidP="00A148FE">
      <w:pPr>
        <w:pStyle w:val="FootnoteText"/>
      </w:pPr>
      <w:r w:rsidRPr="00A03B67">
        <w:rPr>
          <w:rStyle w:val="FootnoteReference"/>
        </w:rPr>
        <w:footnoteRef/>
      </w:r>
      <w:r w:rsidRPr="00A03B67">
        <w:t xml:space="preserve"> </w:t>
      </w:r>
      <w:r w:rsidR="00DD0D96" w:rsidRPr="00A03B67">
        <w:t>Master Builders Australia (MBA)</w:t>
      </w:r>
      <w:r w:rsidRPr="00A03B67">
        <w:t xml:space="preserve"> submission, 7</w:t>
      </w:r>
      <w:r w:rsidR="00DD0D96" w:rsidRPr="00A03B67">
        <w:rPr>
          <w:rFonts w:ascii="Symbol" w:eastAsia="Symbol" w:hAnsi="Symbol" w:cs="Symbol"/>
        </w:rPr>
        <w:t>-</w:t>
      </w:r>
      <w:r w:rsidRPr="00A03B67">
        <w:t>8</w:t>
      </w:r>
      <w:r w:rsidR="00DD0D96" w:rsidRPr="00A03B67">
        <w:t>.</w:t>
      </w:r>
    </w:p>
  </w:footnote>
  <w:footnote w:id="105">
    <w:p w14:paraId="44A668CF" w14:textId="4BEE4AD1" w:rsidR="00A148FE" w:rsidRPr="00A03B67" w:rsidRDefault="00A148FE" w:rsidP="00A148FE">
      <w:pPr>
        <w:pStyle w:val="FootnoteText"/>
      </w:pPr>
      <w:r w:rsidRPr="00A03B67">
        <w:rPr>
          <w:rStyle w:val="FootnoteReference"/>
        </w:rPr>
        <w:footnoteRef/>
      </w:r>
      <w:r w:rsidRPr="00A03B67">
        <w:t xml:space="preserve"> </w:t>
      </w:r>
      <w:r w:rsidR="00DD0D96" w:rsidRPr="00A03B67">
        <w:t xml:space="preserve">D Marin-Guzman, </w:t>
      </w:r>
      <w:r w:rsidR="00A16BC6" w:rsidRPr="00A03B67">
        <w:t>‘</w:t>
      </w:r>
      <w:r w:rsidRPr="00A03B67">
        <w:rPr>
          <w:lang w:val="en-US"/>
        </w:rPr>
        <w:t xml:space="preserve">CFMEU </w:t>
      </w:r>
      <w:r w:rsidR="00DD0D96" w:rsidRPr="00A03B67">
        <w:rPr>
          <w:lang w:val="en-US"/>
        </w:rPr>
        <w:t>D</w:t>
      </w:r>
      <w:r w:rsidRPr="00A03B67">
        <w:rPr>
          <w:lang w:val="en-US"/>
        </w:rPr>
        <w:t xml:space="preserve">eal </w:t>
      </w:r>
      <w:r w:rsidR="00DD0D96" w:rsidRPr="00A03B67">
        <w:rPr>
          <w:lang w:val="en-US"/>
        </w:rPr>
        <w:t>H</w:t>
      </w:r>
      <w:r w:rsidRPr="00A03B67">
        <w:rPr>
          <w:lang w:val="en-US"/>
        </w:rPr>
        <w:t xml:space="preserve">elps </w:t>
      </w:r>
      <w:r w:rsidR="00DD0D96" w:rsidRPr="00A03B67">
        <w:rPr>
          <w:lang w:val="en-US"/>
        </w:rPr>
        <w:t>A</w:t>
      </w:r>
      <w:r w:rsidRPr="00A03B67">
        <w:rPr>
          <w:lang w:val="en-US"/>
        </w:rPr>
        <w:t xml:space="preserve">dd 10pc to </w:t>
      </w:r>
      <w:r w:rsidR="00DD0D96" w:rsidRPr="00A03B67">
        <w:rPr>
          <w:lang w:val="en-US"/>
        </w:rPr>
        <w:t>A</w:t>
      </w:r>
      <w:r w:rsidRPr="00A03B67">
        <w:rPr>
          <w:lang w:val="en-US"/>
        </w:rPr>
        <w:t xml:space="preserve">partment </w:t>
      </w:r>
      <w:r w:rsidR="00DD0D96" w:rsidRPr="00A03B67">
        <w:rPr>
          <w:lang w:val="en-US"/>
        </w:rPr>
        <w:t>C</w:t>
      </w:r>
      <w:r w:rsidRPr="00A03B67">
        <w:rPr>
          <w:lang w:val="en-US"/>
        </w:rPr>
        <w:t>osts</w:t>
      </w:r>
      <w:r w:rsidR="00A16BC6" w:rsidRPr="00A03B67">
        <w:rPr>
          <w:lang w:val="en-US"/>
        </w:rPr>
        <w:t>’,</w:t>
      </w:r>
      <w:r w:rsidRPr="00A03B67">
        <w:rPr>
          <w:lang w:val="en-US"/>
        </w:rPr>
        <w:t xml:space="preserve"> </w:t>
      </w:r>
      <w:r w:rsidR="00DD0D96" w:rsidRPr="00A03B67">
        <w:rPr>
          <w:i/>
          <w:iCs/>
          <w:lang w:val="en-US"/>
        </w:rPr>
        <w:t>AFR</w:t>
      </w:r>
      <w:r w:rsidR="00DD0D96" w:rsidRPr="00A03B67">
        <w:rPr>
          <w:lang w:val="en-US"/>
        </w:rPr>
        <w:t xml:space="preserve"> (online, </w:t>
      </w:r>
      <w:r w:rsidRPr="00A03B67">
        <w:rPr>
          <w:lang w:val="en-US"/>
        </w:rPr>
        <w:t>10 July 2024</w:t>
      </w:r>
      <w:r w:rsidR="00DD0D96" w:rsidRPr="00A03B67">
        <w:rPr>
          <w:lang w:val="en-US"/>
        </w:rPr>
        <w:t>);</w:t>
      </w:r>
      <w:r w:rsidRPr="00A03B67">
        <w:rPr>
          <w:lang w:val="en-US"/>
        </w:rPr>
        <w:t xml:space="preserve"> </w:t>
      </w:r>
      <w:r w:rsidR="0046370D" w:rsidRPr="00A03B67">
        <w:rPr>
          <w:lang w:val="en-US"/>
        </w:rPr>
        <w:t>M Bleby, ‘</w:t>
      </w:r>
      <w:r w:rsidRPr="00A03B67">
        <w:rPr>
          <w:lang w:val="en-US"/>
        </w:rPr>
        <w:t xml:space="preserve">New </w:t>
      </w:r>
      <w:r w:rsidR="0046370D" w:rsidRPr="00A03B67">
        <w:rPr>
          <w:lang w:val="en-US"/>
        </w:rPr>
        <w:t>U</w:t>
      </w:r>
      <w:r w:rsidRPr="00A03B67">
        <w:rPr>
          <w:lang w:val="en-US"/>
        </w:rPr>
        <w:t xml:space="preserve">nion </w:t>
      </w:r>
      <w:r w:rsidR="0046370D" w:rsidRPr="00A03B67">
        <w:rPr>
          <w:lang w:val="en-US"/>
        </w:rPr>
        <w:t>W</w:t>
      </w:r>
      <w:r w:rsidRPr="00A03B67">
        <w:rPr>
          <w:lang w:val="en-US"/>
        </w:rPr>
        <w:t xml:space="preserve">age </w:t>
      </w:r>
      <w:r w:rsidR="0046370D" w:rsidRPr="00A03B67">
        <w:rPr>
          <w:lang w:val="en-US"/>
        </w:rPr>
        <w:t>A</w:t>
      </w:r>
      <w:r w:rsidRPr="00A03B67">
        <w:rPr>
          <w:lang w:val="en-US"/>
        </w:rPr>
        <w:t xml:space="preserve">greements to </w:t>
      </w:r>
      <w:r w:rsidR="0046370D" w:rsidRPr="00A03B67">
        <w:rPr>
          <w:lang w:val="en-US"/>
        </w:rPr>
        <w:t>D</w:t>
      </w:r>
      <w:r w:rsidRPr="00A03B67">
        <w:rPr>
          <w:lang w:val="en-US"/>
        </w:rPr>
        <w:t xml:space="preserve">rive </w:t>
      </w:r>
      <w:r w:rsidR="0046370D" w:rsidRPr="00A03B67">
        <w:rPr>
          <w:lang w:val="en-US"/>
        </w:rPr>
        <w:t>C</w:t>
      </w:r>
      <w:r w:rsidRPr="00A03B67">
        <w:rPr>
          <w:lang w:val="en-US"/>
        </w:rPr>
        <w:t xml:space="preserve">onstruction </w:t>
      </w:r>
      <w:r w:rsidR="0046370D" w:rsidRPr="00A03B67">
        <w:rPr>
          <w:lang w:val="en-US"/>
        </w:rPr>
        <w:t>C</w:t>
      </w:r>
      <w:r w:rsidRPr="00A03B67">
        <w:rPr>
          <w:lang w:val="en-US"/>
        </w:rPr>
        <w:t xml:space="preserve">osts </w:t>
      </w:r>
      <w:r w:rsidR="0046370D" w:rsidRPr="00A03B67">
        <w:rPr>
          <w:lang w:val="en-US"/>
        </w:rPr>
        <w:t>H</w:t>
      </w:r>
      <w:r w:rsidRPr="00A03B67">
        <w:rPr>
          <w:lang w:val="en-US"/>
        </w:rPr>
        <w:t>igher, RLB says</w:t>
      </w:r>
      <w:r w:rsidR="0046370D" w:rsidRPr="00A03B67">
        <w:rPr>
          <w:lang w:val="en-US"/>
        </w:rPr>
        <w:t>’</w:t>
      </w:r>
      <w:r w:rsidR="006960E4" w:rsidRPr="00A03B67">
        <w:rPr>
          <w:lang w:val="en-US"/>
        </w:rPr>
        <w:t>,</w:t>
      </w:r>
      <w:r w:rsidRPr="00A03B67">
        <w:rPr>
          <w:lang w:val="en-US"/>
        </w:rPr>
        <w:t xml:space="preserve"> </w:t>
      </w:r>
      <w:r w:rsidR="0046370D" w:rsidRPr="00A03B67">
        <w:rPr>
          <w:i/>
          <w:iCs/>
          <w:lang w:val="en-US"/>
        </w:rPr>
        <w:t>AFR</w:t>
      </w:r>
      <w:r w:rsidR="0046370D" w:rsidRPr="00A03B67">
        <w:rPr>
          <w:lang w:val="en-US"/>
        </w:rPr>
        <w:t xml:space="preserve"> (online</w:t>
      </w:r>
      <w:r w:rsidR="006960E4" w:rsidRPr="00A03B67">
        <w:rPr>
          <w:lang w:val="en-US"/>
        </w:rPr>
        <w:t xml:space="preserve">, </w:t>
      </w:r>
      <w:r w:rsidRPr="00A03B67">
        <w:rPr>
          <w:lang w:val="en-US"/>
        </w:rPr>
        <w:t>6 February 2024</w:t>
      </w:r>
      <w:r w:rsidR="0046370D" w:rsidRPr="00A03B67">
        <w:rPr>
          <w:lang w:val="en-US"/>
        </w:rPr>
        <w:t xml:space="preserve">); </w:t>
      </w:r>
      <w:r w:rsidR="0046370D" w:rsidRPr="00A03B67">
        <w:t>D Marin-Guzman, ‘</w:t>
      </w:r>
      <w:r w:rsidRPr="00A03B67">
        <w:rPr>
          <w:lang w:val="en-US"/>
        </w:rPr>
        <w:t xml:space="preserve">Secret </w:t>
      </w:r>
      <w:r w:rsidR="0046370D" w:rsidRPr="00A03B67">
        <w:rPr>
          <w:lang w:val="en-US"/>
        </w:rPr>
        <w:t>U</w:t>
      </w:r>
      <w:r w:rsidRPr="00A03B67">
        <w:rPr>
          <w:lang w:val="en-US"/>
        </w:rPr>
        <w:t xml:space="preserve">nion </w:t>
      </w:r>
      <w:r w:rsidR="0046370D" w:rsidRPr="00A03B67">
        <w:rPr>
          <w:lang w:val="en-US"/>
        </w:rPr>
        <w:t>P</w:t>
      </w:r>
      <w:r w:rsidRPr="00A03B67">
        <w:rPr>
          <w:lang w:val="en-US"/>
        </w:rPr>
        <w:t xml:space="preserve">ush for 26pc </w:t>
      </w:r>
      <w:r w:rsidR="0046370D" w:rsidRPr="00A03B67">
        <w:rPr>
          <w:lang w:val="en-US"/>
        </w:rPr>
        <w:t>P</w:t>
      </w:r>
      <w:r w:rsidRPr="00A03B67">
        <w:rPr>
          <w:lang w:val="en-US"/>
        </w:rPr>
        <w:t xml:space="preserve">ay </w:t>
      </w:r>
      <w:r w:rsidR="0046370D" w:rsidRPr="00A03B67">
        <w:rPr>
          <w:lang w:val="en-US"/>
        </w:rPr>
        <w:t>R</w:t>
      </w:r>
      <w:r w:rsidRPr="00A03B67">
        <w:rPr>
          <w:lang w:val="en-US"/>
        </w:rPr>
        <w:t xml:space="preserve">ise to </w:t>
      </w:r>
      <w:r w:rsidR="0046370D" w:rsidRPr="00A03B67">
        <w:rPr>
          <w:lang w:val="en-US"/>
        </w:rPr>
        <w:t>S</w:t>
      </w:r>
      <w:r w:rsidRPr="00A03B67">
        <w:rPr>
          <w:lang w:val="en-US"/>
        </w:rPr>
        <w:t xml:space="preserve">pike </w:t>
      </w:r>
      <w:r w:rsidR="0046370D" w:rsidRPr="00A03B67">
        <w:rPr>
          <w:lang w:val="en-US"/>
        </w:rPr>
        <w:t>B</w:t>
      </w:r>
      <w:r w:rsidRPr="00A03B67">
        <w:rPr>
          <w:lang w:val="en-US"/>
        </w:rPr>
        <w:t xml:space="preserve">uilding </w:t>
      </w:r>
      <w:r w:rsidR="0046370D" w:rsidRPr="00A03B67">
        <w:rPr>
          <w:lang w:val="en-US"/>
        </w:rPr>
        <w:t>C</w:t>
      </w:r>
      <w:r w:rsidRPr="00A03B67">
        <w:rPr>
          <w:lang w:val="en-US"/>
        </w:rPr>
        <w:t>osts</w:t>
      </w:r>
      <w:r w:rsidR="0046370D" w:rsidRPr="00A03B67">
        <w:rPr>
          <w:lang w:val="en-US"/>
        </w:rPr>
        <w:t>’</w:t>
      </w:r>
      <w:r w:rsidR="006960E4" w:rsidRPr="00A03B67">
        <w:rPr>
          <w:lang w:val="en-US"/>
        </w:rPr>
        <w:t>,</w:t>
      </w:r>
      <w:r w:rsidR="006B272C" w:rsidRPr="00A03B67">
        <w:rPr>
          <w:lang w:val="en-US"/>
        </w:rPr>
        <w:t xml:space="preserve"> </w:t>
      </w:r>
      <w:r w:rsidR="0046370D" w:rsidRPr="00A03B67">
        <w:rPr>
          <w:i/>
          <w:iCs/>
          <w:lang w:val="en-US"/>
        </w:rPr>
        <w:t>AFR</w:t>
      </w:r>
      <w:r w:rsidR="0046370D" w:rsidRPr="00A03B67">
        <w:rPr>
          <w:lang w:val="en-US"/>
        </w:rPr>
        <w:t xml:space="preserve"> (online, </w:t>
      </w:r>
      <w:r w:rsidRPr="00A03B67">
        <w:rPr>
          <w:lang w:val="en-US"/>
        </w:rPr>
        <w:t>8 March 2024</w:t>
      </w:r>
      <w:r w:rsidR="0046370D" w:rsidRPr="00A03B67">
        <w:rPr>
          <w:lang w:val="en-US"/>
        </w:rPr>
        <w:t>).</w:t>
      </w:r>
    </w:p>
  </w:footnote>
  <w:footnote w:id="106">
    <w:p w14:paraId="7BE9CF1F" w14:textId="6F34B308" w:rsidR="00B72070" w:rsidRPr="00A03B67" w:rsidRDefault="00B72070" w:rsidP="00A148FE">
      <w:pPr>
        <w:pStyle w:val="FootnoteText"/>
      </w:pPr>
      <w:r w:rsidRPr="00A03B67">
        <w:rPr>
          <w:rStyle w:val="FootnoteReference"/>
        </w:rPr>
        <w:footnoteRef/>
      </w:r>
      <w:r w:rsidRPr="00A03B67">
        <w:t xml:space="preserve"> Ai Group submission, 127</w:t>
      </w:r>
      <w:r w:rsidR="0046370D" w:rsidRPr="00A03B67">
        <w:t>.</w:t>
      </w:r>
    </w:p>
  </w:footnote>
  <w:footnote w:id="107">
    <w:p w14:paraId="54577586" w14:textId="4E05D081" w:rsidR="00A148FE" w:rsidRPr="00A03B67" w:rsidRDefault="00A148FE" w:rsidP="00A148FE">
      <w:pPr>
        <w:pStyle w:val="FootnoteText"/>
      </w:pPr>
      <w:r w:rsidRPr="00A03B67">
        <w:rPr>
          <w:rStyle w:val="FootnoteReference"/>
        </w:rPr>
        <w:footnoteRef/>
      </w:r>
      <w:r w:rsidRPr="00A03B67">
        <w:t xml:space="preserve"> </w:t>
      </w:r>
      <w:r w:rsidR="0046370D" w:rsidRPr="00A03B67">
        <w:t>Housing Industry Association (</w:t>
      </w:r>
      <w:r w:rsidRPr="00A03B67">
        <w:t>HIA</w:t>
      </w:r>
      <w:r w:rsidR="0046370D" w:rsidRPr="00A03B67">
        <w:t>)</w:t>
      </w:r>
      <w:r w:rsidRPr="00A03B67">
        <w:t xml:space="preserve"> submission, 3</w:t>
      </w:r>
      <w:r w:rsidR="0046370D" w:rsidRPr="00A03B67">
        <w:t>.</w:t>
      </w:r>
    </w:p>
  </w:footnote>
  <w:footnote w:id="108">
    <w:p w14:paraId="3A446D0C" w14:textId="3CD5A9F7" w:rsidR="00A148FE" w:rsidRPr="00A03B67" w:rsidRDefault="00A148FE" w:rsidP="00A148FE">
      <w:pPr>
        <w:pStyle w:val="FootnoteText"/>
      </w:pPr>
      <w:r w:rsidRPr="00A03B67">
        <w:rPr>
          <w:rStyle w:val="FootnoteReference"/>
        </w:rPr>
        <w:footnoteRef/>
      </w:r>
      <w:r w:rsidR="009F3988" w:rsidRPr="00A03B67">
        <w:t xml:space="preserve"> </w:t>
      </w:r>
      <w:r w:rsidR="004076A9" w:rsidRPr="00A03B67">
        <w:t xml:space="preserve">Fair Work Ombudsman, </w:t>
      </w:r>
      <w:r w:rsidR="004076A9" w:rsidRPr="00A03B67">
        <w:rPr>
          <w:i/>
          <w:iCs/>
        </w:rPr>
        <w:t>Compliance and Enforcement Policy</w:t>
      </w:r>
      <w:r w:rsidR="004076A9" w:rsidRPr="00A03B67">
        <w:t xml:space="preserve"> (2025) 12 </w:t>
      </w:r>
      <w:r w:rsidR="009F3988" w:rsidRPr="00A03B67">
        <w:t>&lt;https://www.fairwork.gov.au/sites/default/files/migration/725/compliance-and-enforcement-policy.pdf&gt;</w:t>
      </w:r>
      <w:r w:rsidR="004076A9" w:rsidRPr="00A03B67">
        <w:t>.</w:t>
      </w:r>
    </w:p>
  </w:footnote>
  <w:footnote w:id="109">
    <w:p w14:paraId="6E183741" w14:textId="3993A354" w:rsidR="00A148FE" w:rsidRPr="00A03B67" w:rsidRDefault="00A148FE" w:rsidP="00A148FE">
      <w:pPr>
        <w:pStyle w:val="FootnoteText"/>
      </w:pPr>
      <w:r w:rsidRPr="00A03B67">
        <w:rPr>
          <w:rStyle w:val="FootnoteReference"/>
        </w:rPr>
        <w:footnoteRef/>
      </w:r>
      <w:r w:rsidRPr="00A03B67">
        <w:t xml:space="preserve"> </w:t>
      </w:r>
      <w:r w:rsidR="004076A9" w:rsidRPr="00A03B67">
        <w:t xml:space="preserve">Fair Work Ombudsman, </w:t>
      </w:r>
      <w:r w:rsidR="004076A9" w:rsidRPr="00A03B67">
        <w:rPr>
          <w:i/>
          <w:iCs/>
        </w:rPr>
        <w:t>Compliance and Enforcement Policy</w:t>
      </w:r>
      <w:r w:rsidR="004076A9" w:rsidRPr="00A03B67">
        <w:t xml:space="preserve"> (2025) 13 &lt;https://www.fairwork.gov.au/sites/default/files/migration/725/compliance-and-enforcement-policy.pdf&gt;.</w:t>
      </w:r>
    </w:p>
  </w:footnote>
  <w:footnote w:id="110">
    <w:p w14:paraId="320CA6E9" w14:textId="0CCD346B" w:rsidR="00A148FE" w:rsidRPr="00A03B67" w:rsidRDefault="00A148FE" w:rsidP="00A148FE">
      <w:pPr>
        <w:pStyle w:val="FootnoteText"/>
      </w:pPr>
      <w:r w:rsidRPr="00A03B67">
        <w:rPr>
          <w:rStyle w:val="FootnoteReference"/>
        </w:rPr>
        <w:footnoteRef/>
      </w:r>
      <w:r w:rsidRPr="00A03B67">
        <w:t xml:space="preserve"> </w:t>
      </w:r>
      <w:r w:rsidR="004076A9" w:rsidRPr="00A03B67">
        <w:t>Housing Industry Association (</w:t>
      </w:r>
      <w:r w:rsidRPr="00A03B67">
        <w:t>HIA</w:t>
      </w:r>
      <w:r w:rsidR="004076A9" w:rsidRPr="00A03B67">
        <w:t>)</w:t>
      </w:r>
      <w:r w:rsidRPr="00A03B67">
        <w:t xml:space="preserve"> submission, 7</w:t>
      </w:r>
      <w:r w:rsidR="004076A9" w:rsidRPr="00A03B67">
        <w:t>.</w:t>
      </w:r>
    </w:p>
  </w:footnote>
  <w:footnote w:id="111">
    <w:p w14:paraId="2A6BFA82" w14:textId="76556D14" w:rsidR="00A148FE" w:rsidRPr="00A03B67" w:rsidRDefault="00A148FE" w:rsidP="00A148FE">
      <w:pPr>
        <w:pStyle w:val="FootnoteText"/>
      </w:pPr>
      <w:r w:rsidRPr="00A03B67">
        <w:rPr>
          <w:rStyle w:val="FootnoteReference"/>
        </w:rPr>
        <w:footnoteRef/>
      </w:r>
      <w:r w:rsidRPr="00A03B67">
        <w:t xml:space="preserve"> </w:t>
      </w:r>
      <w:r w:rsidRPr="00A03B67">
        <w:rPr>
          <w:i/>
          <w:iCs/>
          <w:lang w:val="en-US"/>
        </w:rPr>
        <w:t>Fair Work (Registered Organisations) Amendment (Administration) Act 2024</w:t>
      </w:r>
      <w:r w:rsidRPr="00A03B67">
        <w:rPr>
          <w:lang w:val="en-US"/>
        </w:rPr>
        <w:t xml:space="preserve"> </w:t>
      </w:r>
      <w:r w:rsidR="00C455A8" w:rsidRPr="00A03B67">
        <w:rPr>
          <w:lang w:val="en-US"/>
        </w:rPr>
        <w:t xml:space="preserve">(Cth) </w:t>
      </w:r>
      <w:r w:rsidR="00C30558" w:rsidRPr="00A03B67">
        <w:rPr>
          <w:lang w:val="en-US"/>
        </w:rPr>
        <w:t>inserted s.323B</w:t>
      </w:r>
      <w:r w:rsidR="00792E76" w:rsidRPr="00A03B67">
        <w:rPr>
          <w:lang w:val="en-US"/>
        </w:rPr>
        <w:t xml:space="preserve"> into the </w:t>
      </w:r>
      <w:r w:rsidR="00AE53C9" w:rsidRPr="00A03B67">
        <w:rPr>
          <w:i/>
          <w:iCs/>
        </w:rPr>
        <w:t>Fair Work (Registered Organisations) Act 2009</w:t>
      </w:r>
      <w:r w:rsidR="00AE53C9" w:rsidRPr="00A03B67">
        <w:t xml:space="preserve"> (Cth)</w:t>
      </w:r>
      <w:r w:rsidR="00D1288D" w:rsidRPr="00A03B67">
        <w:rPr>
          <w:lang w:val="en-US"/>
        </w:rPr>
        <w:t>.</w:t>
      </w:r>
    </w:p>
  </w:footnote>
  <w:footnote w:id="112">
    <w:p w14:paraId="0B761A1B" w14:textId="3576CE40" w:rsidR="00A148FE" w:rsidRPr="00A03B67" w:rsidRDefault="00A148FE" w:rsidP="00A148FE">
      <w:pPr>
        <w:pStyle w:val="FootnoteText"/>
      </w:pPr>
      <w:r w:rsidRPr="00A03B67">
        <w:rPr>
          <w:rStyle w:val="FootnoteReference"/>
        </w:rPr>
        <w:footnoteRef/>
      </w:r>
      <w:r w:rsidRPr="00A03B67">
        <w:t xml:space="preserve"> </w:t>
      </w:r>
      <w:r w:rsidR="004076A9" w:rsidRPr="00A03B67">
        <w:t>The Hon Tony Burke MP, Minister for Employment and Workplace Relations</w:t>
      </w:r>
      <w:r w:rsidR="006D3044" w:rsidRPr="00A03B67">
        <w:t>, ‘</w:t>
      </w:r>
      <w:r w:rsidRPr="00A03B67">
        <w:t>Appointments to the National Construction Industry Forum</w:t>
      </w:r>
      <w:r w:rsidR="006D3044" w:rsidRPr="00A03B67">
        <w:t>’ (</w:t>
      </w:r>
      <w:r w:rsidRPr="00A03B67">
        <w:t>Media Release, 23 July 2023</w:t>
      </w:r>
      <w:r w:rsidR="006D3044" w:rsidRPr="00A03B67">
        <w:t>) &lt;</w:t>
      </w:r>
      <w:r w:rsidR="00EB7655" w:rsidRPr="00A03B67">
        <w:t>https://ministers.dewr.gov.au/burke/appointments-national-construction-industry-forum</w:t>
      </w:r>
      <w:r w:rsidR="006D3044" w:rsidRPr="00A03B67">
        <w:t>&gt;</w:t>
      </w:r>
      <w:r w:rsidR="004076A9" w:rsidRPr="00A03B67">
        <w:t>.</w:t>
      </w:r>
      <w:r w:rsidRPr="00A03B67">
        <w:t xml:space="preserve"> </w:t>
      </w:r>
    </w:p>
  </w:footnote>
  <w:footnote w:id="113">
    <w:p w14:paraId="4CD43F38" w14:textId="29FEE7A8" w:rsidR="00A148FE" w:rsidRPr="00A03B67" w:rsidRDefault="00A148FE" w:rsidP="00A148FE">
      <w:pPr>
        <w:pStyle w:val="FootnoteText"/>
      </w:pPr>
      <w:r w:rsidRPr="00A03B67">
        <w:rPr>
          <w:rStyle w:val="FootnoteReference"/>
        </w:rPr>
        <w:footnoteRef/>
      </w:r>
      <w:r w:rsidRPr="00A03B67">
        <w:t xml:space="preserve"> </w:t>
      </w:r>
      <w:r w:rsidR="004076A9" w:rsidRPr="00A03B67">
        <w:t xml:space="preserve">The Hon Tony Burke MP, Minister for Employment and Workplace Relations, </w:t>
      </w:r>
      <w:r w:rsidR="00F7753B" w:rsidRPr="00A03B67">
        <w:t>‘Appointments to the National Construction Industry Forum’ (Media Release, 23 July 2023) &lt;https://ministers.dewr.gov.au/burke/appointments-national-construction-industry-forum&gt;</w:t>
      </w:r>
      <w:r w:rsidR="004076A9" w:rsidRPr="00A03B67">
        <w:t>.</w:t>
      </w:r>
    </w:p>
  </w:footnote>
  <w:footnote w:id="114">
    <w:p w14:paraId="058A3724" w14:textId="1ECA729C" w:rsidR="00A148FE" w:rsidRPr="00A03B67" w:rsidRDefault="00A148FE" w:rsidP="00A148FE">
      <w:pPr>
        <w:pStyle w:val="FootnoteText"/>
      </w:pPr>
      <w:r w:rsidRPr="00A03B67">
        <w:rPr>
          <w:rStyle w:val="FootnoteReference"/>
        </w:rPr>
        <w:footnoteRef/>
      </w:r>
      <w:r w:rsidRPr="00A03B67">
        <w:t xml:space="preserve"> </w:t>
      </w:r>
      <w:r w:rsidR="004076A9" w:rsidRPr="00A03B67">
        <w:t xml:space="preserve">The Hon Tony Burke MP, Minister for Employment and Workplace Relations, </w:t>
      </w:r>
      <w:r w:rsidR="00F7753B" w:rsidRPr="00A03B67">
        <w:t>‘Appointments to the National Construction Industry Forum’ (Media Release, 23 July 2023) &lt;https://ministers.dewr.gov.au/burke/appointments-national-construction-industry-forum&gt;</w:t>
      </w:r>
      <w:r w:rsidR="004076A9" w:rsidRPr="00A03B67">
        <w:t>.</w:t>
      </w:r>
    </w:p>
  </w:footnote>
  <w:footnote w:id="115">
    <w:p w14:paraId="227213DB" w14:textId="51A2FE84" w:rsidR="00A148FE" w:rsidRPr="00A03B67" w:rsidRDefault="00A148FE" w:rsidP="00A148FE">
      <w:pPr>
        <w:pStyle w:val="FootnoteText"/>
      </w:pPr>
      <w:r w:rsidRPr="00A03B67">
        <w:rPr>
          <w:rStyle w:val="FootnoteReference"/>
        </w:rPr>
        <w:footnoteRef/>
      </w:r>
      <w:r w:rsidRPr="00A03B67">
        <w:t xml:space="preserve"> </w:t>
      </w:r>
      <w:r w:rsidRPr="00A03B67">
        <w:rPr>
          <w:i/>
          <w:iCs/>
        </w:rPr>
        <w:t>F</w:t>
      </w:r>
      <w:r w:rsidR="001F2005" w:rsidRPr="00A03B67">
        <w:rPr>
          <w:i/>
          <w:iCs/>
        </w:rPr>
        <w:t xml:space="preserve">air </w:t>
      </w:r>
      <w:r w:rsidRPr="00A03B67">
        <w:rPr>
          <w:i/>
          <w:iCs/>
        </w:rPr>
        <w:t>W</w:t>
      </w:r>
      <w:r w:rsidR="001F2005" w:rsidRPr="00A03B67">
        <w:rPr>
          <w:i/>
          <w:iCs/>
        </w:rPr>
        <w:t>ork</w:t>
      </w:r>
      <w:r w:rsidRPr="00A03B67">
        <w:rPr>
          <w:i/>
          <w:iCs/>
        </w:rPr>
        <w:t xml:space="preserve"> Act</w:t>
      </w:r>
      <w:r w:rsidR="001F2005" w:rsidRPr="00A03B67">
        <w:rPr>
          <w:i/>
          <w:iCs/>
        </w:rPr>
        <w:t xml:space="preserve"> 2009</w:t>
      </w:r>
      <w:r w:rsidR="001F2005" w:rsidRPr="00A03B67">
        <w:t xml:space="preserve"> (Cth)</w:t>
      </w:r>
      <w:r w:rsidRPr="00A03B67">
        <w:t xml:space="preserve"> Part 6-4D</w:t>
      </w:r>
      <w:r w:rsidR="004076A9" w:rsidRPr="00A03B67">
        <w:t>.</w:t>
      </w:r>
    </w:p>
  </w:footnote>
  <w:footnote w:id="116">
    <w:p w14:paraId="0D707FBE" w14:textId="579B8D82"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0D1630" w:rsidRPr="00A03B67">
        <w:rPr>
          <w:i/>
          <w:iCs/>
        </w:rPr>
        <w:t xml:space="preserve"> 2009</w:t>
      </w:r>
      <w:r w:rsidR="000D1630" w:rsidRPr="00A03B67">
        <w:t xml:space="preserve"> (Cth)</w:t>
      </w:r>
      <w:r w:rsidRPr="00A03B67">
        <w:t xml:space="preserve"> s 789GZG</w:t>
      </w:r>
      <w:r w:rsidR="004076A9" w:rsidRPr="00A03B67">
        <w:t>.</w:t>
      </w:r>
    </w:p>
  </w:footnote>
  <w:footnote w:id="117">
    <w:p w14:paraId="2FE164EE" w14:textId="05908EF8"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0D1630" w:rsidRPr="00A03B67">
        <w:rPr>
          <w:i/>
          <w:iCs/>
        </w:rPr>
        <w:t xml:space="preserve"> 2009</w:t>
      </w:r>
      <w:r w:rsidR="000D1630" w:rsidRPr="00A03B67">
        <w:t xml:space="preserve"> (Cth)</w:t>
      </w:r>
      <w:r w:rsidRPr="00A03B67">
        <w:t xml:space="preserve"> s 789GZH</w:t>
      </w:r>
      <w:r w:rsidR="004076A9" w:rsidRPr="00A03B67">
        <w:t>.</w:t>
      </w:r>
    </w:p>
  </w:footnote>
  <w:footnote w:id="118">
    <w:p w14:paraId="74E9CE2F" w14:textId="15C9724C"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0D1630" w:rsidRPr="00A03B67">
        <w:rPr>
          <w:i/>
          <w:iCs/>
        </w:rPr>
        <w:t xml:space="preserve"> 2009</w:t>
      </w:r>
      <w:r w:rsidR="000D1630" w:rsidRPr="00A03B67">
        <w:t xml:space="preserve"> (Cth)</w:t>
      </w:r>
      <w:r w:rsidRPr="00A03B67">
        <w:t xml:space="preserve"> s 789GZJ</w:t>
      </w:r>
      <w:r w:rsidR="004076A9" w:rsidRPr="00A03B67">
        <w:t>.</w:t>
      </w:r>
    </w:p>
  </w:footnote>
  <w:footnote w:id="119">
    <w:p w14:paraId="4897C51A" w14:textId="6C329BE8"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0D1630" w:rsidRPr="00A03B67">
        <w:rPr>
          <w:i/>
          <w:iCs/>
        </w:rPr>
        <w:t xml:space="preserve"> 2009</w:t>
      </w:r>
      <w:r w:rsidR="000D1630" w:rsidRPr="00A03B67">
        <w:t xml:space="preserve"> (Cth)</w:t>
      </w:r>
      <w:r w:rsidRPr="00A03B67">
        <w:t xml:space="preserve"> s 789GZM</w:t>
      </w:r>
      <w:r w:rsidR="004076A9" w:rsidRPr="00A03B67">
        <w:t>.</w:t>
      </w:r>
    </w:p>
  </w:footnote>
  <w:footnote w:id="120">
    <w:p w14:paraId="0171632C" w14:textId="6C940C5D"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0D1630" w:rsidRPr="00A03B67">
        <w:rPr>
          <w:i/>
          <w:iCs/>
        </w:rPr>
        <w:t xml:space="preserve"> 2009</w:t>
      </w:r>
      <w:r w:rsidR="000D1630" w:rsidRPr="00A03B67">
        <w:t xml:space="preserve"> (Cth)</w:t>
      </w:r>
      <w:r w:rsidRPr="00A03B67">
        <w:t xml:space="preserve"> s 789GZK</w:t>
      </w:r>
      <w:r w:rsidR="004076A9" w:rsidRPr="00A03B67">
        <w:t>.</w:t>
      </w:r>
    </w:p>
  </w:footnote>
  <w:footnote w:id="121">
    <w:p w14:paraId="75F63199" w14:textId="06AB3A02"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0D1630" w:rsidRPr="00A03B67">
        <w:rPr>
          <w:i/>
          <w:iCs/>
        </w:rPr>
        <w:t xml:space="preserve"> 2</w:t>
      </w:r>
      <w:r w:rsidR="004076A9" w:rsidRPr="00A03B67">
        <w:rPr>
          <w:i/>
          <w:iCs/>
        </w:rPr>
        <w:t>0</w:t>
      </w:r>
      <w:r w:rsidR="000D1630" w:rsidRPr="00A03B67">
        <w:rPr>
          <w:i/>
          <w:iCs/>
        </w:rPr>
        <w:t>09</w:t>
      </w:r>
      <w:r w:rsidR="000D1630" w:rsidRPr="00A03B67">
        <w:t xml:space="preserve"> (Cth)</w:t>
      </w:r>
      <w:r w:rsidRPr="00A03B67">
        <w:t xml:space="preserve"> s 789GZN</w:t>
      </w:r>
      <w:r w:rsidR="004076A9" w:rsidRPr="00A03B67">
        <w:t>.</w:t>
      </w:r>
    </w:p>
  </w:footnote>
  <w:footnote w:id="122">
    <w:p w14:paraId="00D9B7A5" w14:textId="71DD19B1" w:rsidR="00A148FE" w:rsidRPr="00A03B67" w:rsidRDefault="00A148FE" w:rsidP="00A148FE">
      <w:pPr>
        <w:pStyle w:val="FootnoteText"/>
      </w:pPr>
      <w:r w:rsidRPr="00A03B67">
        <w:rPr>
          <w:rStyle w:val="FootnoteReference"/>
        </w:rPr>
        <w:footnoteRef/>
      </w:r>
      <w:r w:rsidRPr="00A03B67">
        <w:t xml:space="preserve"> </w:t>
      </w:r>
      <w:r w:rsidR="004076A9" w:rsidRPr="00A03B67">
        <w:rPr>
          <w:i/>
          <w:iCs/>
        </w:rPr>
        <w:t xml:space="preserve">Fair Work </w:t>
      </w:r>
      <w:r w:rsidRPr="00A03B67">
        <w:rPr>
          <w:i/>
          <w:iCs/>
        </w:rPr>
        <w:t>Act</w:t>
      </w:r>
      <w:r w:rsidR="008F58BD" w:rsidRPr="00A03B67">
        <w:rPr>
          <w:i/>
          <w:iCs/>
        </w:rPr>
        <w:t xml:space="preserve"> 2009</w:t>
      </w:r>
      <w:r w:rsidR="008F58BD" w:rsidRPr="00A03B67">
        <w:t xml:space="preserve"> (Cth)</w:t>
      </w:r>
      <w:r w:rsidRPr="00A03B67">
        <w:t xml:space="preserve"> s 789GZQ</w:t>
      </w:r>
      <w:r w:rsidR="004076A9" w:rsidRPr="00A03B67">
        <w:t>.</w:t>
      </w:r>
    </w:p>
  </w:footnote>
  <w:footnote w:id="123">
    <w:p w14:paraId="3B66D3BD" w14:textId="1F2598EC" w:rsidR="00A148FE" w:rsidRPr="00A03B67" w:rsidRDefault="00A148FE" w:rsidP="00A148FE">
      <w:pPr>
        <w:pStyle w:val="FootnoteText"/>
      </w:pPr>
      <w:r w:rsidRPr="00A03B67">
        <w:rPr>
          <w:rStyle w:val="FootnoteReference"/>
        </w:rPr>
        <w:footnoteRef/>
      </w:r>
      <w:r w:rsidRPr="00A03B67">
        <w:t xml:space="preserve"> </w:t>
      </w:r>
      <w:r w:rsidR="002E51C3" w:rsidRPr="00A03B67">
        <w:t>R</w:t>
      </w:r>
      <w:r w:rsidRPr="00A03B67">
        <w:t xml:space="preserve">evised </w:t>
      </w:r>
      <w:r w:rsidR="002E51C3" w:rsidRPr="00A03B67">
        <w:t>E</w:t>
      </w:r>
      <w:r w:rsidRPr="00A03B67">
        <w:t xml:space="preserve">xplanatory </w:t>
      </w:r>
      <w:r w:rsidR="002E51C3" w:rsidRPr="00A03B67">
        <w:t>M</w:t>
      </w:r>
      <w:r w:rsidRPr="00A03B67">
        <w:t>emorandum,</w:t>
      </w:r>
      <w:r w:rsidR="002E51C3" w:rsidRPr="00A03B67">
        <w:t xml:space="preserve"> Fair Work </w:t>
      </w:r>
      <w:r w:rsidR="00AE691B" w:rsidRPr="00A03B67">
        <w:t xml:space="preserve">Legislation Amendment </w:t>
      </w:r>
      <w:r w:rsidR="002E51C3" w:rsidRPr="00A03B67">
        <w:t>(Secure Jobs, Better Pay) Bill 202</w:t>
      </w:r>
      <w:r w:rsidR="00AE691B" w:rsidRPr="00A03B67">
        <w:t>2</w:t>
      </w:r>
      <w:r w:rsidR="001C602A" w:rsidRPr="00A03B67">
        <w:t>,</w:t>
      </w:r>
      <w:r w:rsidRPr="00A03B67">
        <w:t xml:space="preserve"> p xliv</w:t>
      </w:r>
      <w:r w:rsidR="001C602A" w:rsidRPr="00A03B67">
        <w:t>.</w:t>
      </w:r>
    </w:p>
  </w:footnote>
  <w:footnote w:id="124">
    <w:p w14:paraId="72D5C63C" w14:textId="60C5DD4E" w:rsidR="00A148FE" w:rsidRPr="00A03B67" w:rsidRDefault="00A148FE" w:rsidP="00A148FE">
      <w:pPr>
        <w:pStyle w:val="FootnoteText"/>
      </w:pPr>
      <w:r w:rsidRPr="00A03B67">
        <w:rPr>
          <w:rStyle w:val="FootnoteReference"/>
        </w:rPr>
        <w:footnoteRef/>
      </w:r>
      <w:r w:rsidRPr="00A03B67">
        <w:t xml:space="preserve"> </w:t>
      </w:r>
      <w:r w:rsidR="001C602A" w:rsidRPr="00A03B67">
        <w:t>Australian Government</w:t>
      </w:r>
      <w:r w:rsidR="006370F4" w:rsidRPr="00A03B67">
        <w:t xml:space="preserve">, </w:t>
      </w:r>
      <w:r w:rsidRPr="00A03B67">
        <w:rPr>
          <w:i/>
          <w:iCs/>
        </w:rPr>
        <w:t>Jobs and Skills Summit</w:t>
      </w:r>
      <w:r w:rsidR="001C602A" w:rsidRPr="00A03B67">
        <w:rPr>
          <w:i/>
          <w:iCs/>
        </w:rPr>
        <w:t>:</w:t>
      </w:r>
      <w:r w:rsidRPr="00A03B67">
        <w:rPr>
          <w:i/>
          <w:iCs/>
        </w:rPr>
        <w:t xml:space="preserve"> Outcomes</w:t>
      </w:r>
      <w:r w:rsidR="006370F4" w:rsidRPr="00A03B67">
        <w:t xml:space="preserve"> (September</w:t>
      </w:r>
      <w:r w:rsidR="001C602A" w:rsidRPr="00A03B67">
        <w:t xml:space="preserve"> 2022</w:t>
      </w:r>
      <w:r w:rsidR="006370F4" w:rsidRPr="00A03B67">
        <w:t>)</w:t>
      </w:r>
      <w:r w:rsidR="001C602A" w:rsidRPr="00A03B67">
        <w:t xml:space="preserve"> 6</w:t>
      </w:r>
      <w:r w:rsidRPr="00A03B67">
        <w:t xml:space="preserve"> </w:t>
      </w:r>
      <w:r w:rsidR="002C5A56" w:rsidRPr="00A03B67">
        <w:t>&lt;https://treasury.gov.au/sites/default/files/inline-files/Jobs-and-Skills-Summit-</w:t>
      </w:r>
      <w:r w:rsidRPr="00A03B67">
        <w:t>Outcomes</w:t>
      </w:r>
      <w:r w:rsidR="002C5A56" w:rsidRPr="00A03B67">
        <w:t>-Document.pdf&gt;</w:t>
      </w:r>
      <w:r w:rsidR="001C602A" w:rsidRPr="00A03B67">
        <w:t>.</w:t>
      </w:r>
    </w:p>
  </w:footnote>
  <w:footnote w:id="125">
    <w:p w14:paraId="0E22E988" w14:textId="16485B9B" w:rsidR="00A148FE" w:rsidRPr="00A03B67" w:rsidRDefault="00A148FE" w:rsidP="00A148FE">
      <w:pPr>
        <w:pStyle w:val="FootnoteText"/>
      </w:pPr>
      <w:r w:rsidRPr="00A03B67">
        <w:rPr>
          <w:rStyle w:val="FootnoteReference"/>
        </w:rPr>
        <w:footnoteRef/>
      </w:r>
      <w:r w:rsidR="000E64FF" w:rsidRPr="00A03B67">
        <w:t xml:space="preserve"> </w:t>
      </w:r>
      <w:r w:rsidR="001C602A" w:rsidRPr="00A03B67">
        <w:t>The Hon Tony Burke MP, Minister for Employment and Workplace Relations, ‘Appointments to the National Construction Industry Forum’ (Media Release, 23 July 2023) &lt;https://ministers.dewr.gov.au/burke/appointments-national-construction-industry-forum&gt;;</w:t>
      </w:r>
      <w:r w:rsidRPr="00A03B67">
        <w:t xml:space="preserve"> </w:t>
      </w:r>
      <w:r w:rsidR="001C602A" w:rsidRPr="00A03B67">
        <w:t>The Hon Tony Burke MP, Minister for Employment and Workplace Relations</w:t>
      </w:r>
      <w:r w:rsidR="00782B0E" w:rsidRPr="00A03B67">
        <w:t xml:space="preserve">, </w:t>
      </w:r>
      <w:r w:rsidR="001C602A" w:rsidRPr="00A03B67">
        <w:t>‘</w:t>
      </w:r>
      <w:r w:rsidR="00782B0E" w:rsidRPr="00A03B67">
        <w:t xml:space="preserve">Blueprint for the </w:t>
      </w:r>
      <w:r w:rsidR="001C602A" w:rsidRPr="00A03B67">
        <w:t>F</w:t>
      </w:r>
      <w:r w:rsidR="00782B0E" w:rsidRPr="00A03B67">
        <w:t xml:space="preserve">uture: </w:t>
      </w:r>
      <w:r w:rsidR="001C602A" w:rsidRPr="00A03B67">
        <w:t>A</w:t>
      </w:r>
      <w:r w:rsidR="00782B0E" w:rsidRPr="00A03B67">
        <w:t xml:space="preserve"> </w:t>
      </w:r>
      <w:r w:rsidR="001C602A" w:rsidRPr="00A03B67">
        <w:t>B</w:t>
      </w:r>
      <w:r w:rsidR="00782B0E" w:rsidRPr="00A03B67">
        <w:t xml:space="preserve">uilding and </w:t>
      </w:r>
      <w:r w:rsidR="001C602A" w:rsidRPr="00A03B67">
        <w:t>C</w:t>
      </w:r>
      <w:r w:rsidR="00782B0E" w:rsidRPr="00A03B67">
        <w:t xml:space="preserve">onstruction </w:t>
      </w:r>
      <w:r w:rsidR="001C602A" w:rsidRPr="00A03B67">
        <w:t>I</w:t>
      </w:r>
      <w:r w:rsidR="00782B0E" w:rsidRPr="00A03B67">
        <w:t xml:space="preserve">ndustry that </w:t>
      </w:r>
      <w:r w:rsidR="001C602A" w:rsidRPr="00A03B67">
        <w:t>W</w:t>
      </w:r>
      <w:r w:rsidR="00782B0E" w:rsidRPr="00A03B67">
        <w:t xml:space="preserve">orks for </w:t>
      </w:r>
      <w:r w:rsidR="001C602A" w:rsidRPr="00A03B67">
        <w:t>E</w:t>
      </w:r>
      <w:r w:rsidR="00782B0E" w:rsidRPr="00A03B67">
        <w:t>veryone</w:t>
      </w:r>
      <w:r w:rsidR="00782B0E" w:rsidRPr="00A03B67">
        <w:rPr>
          <w:lang w:val="en-US"/>
        </w:rPr>
        <w:t>’</w:t>
      </w:r>
      <w:r w:rsidR="006C23B9" w:rsidRPr="00A03B67">
        <w:rPr>
          <w:lang w:val="en-US"/>
        </w:rPr>
        <w:t xml:space="preserve"> (Media Release, </w:t>
      </w:r>
      <w:r w:rsidR="00806F69" w:rsidRPr="00A03B67">
        <w:rPr>
          <w:lang w:val="en-US"/>
        </w:rPr>
        <w:t>23 July 2024</w:t>
      </w:r>
      <w:r w:rsidR="006C23B9" w:rsidRPr="00A03B67">
        <w:rPr>
          <w:lang w:val="en-US"/>
        </w:rPr>
        <w:t>)</w:t>
      </w:r>
      <w:r w:rsidR="00CD200B" w:rsidRPr="00A03B67">
        <w:t xml:space="preserve"> </w:t>
      </w:r>
      <w:r w:rsidR="00D11D7A" w:rsidRPr="00A03B67">
        <w:t>&lt;</w:t>
      </w:r>
      <w:r w:rsidR="00CD200B" w:rsidRPr="00A03B67">
        <w:rPr>
          <w:lang w:val="en-US"/>
        </w:rPr>
        <w:t>https://ministers.dewr.gov.au/burke/appointments-national-construction-industry-forum</w:t>
      </w:r>
      <w:r w:rsidR="00D11D7A" w:rsidRPr="00A03B67">
        <w:rPr>
          <w:lang w:val="en-US"/>
        </w:rPr>
        <w:t>&gt;</w:t>
      </w:r>
      <w:r w:rsidR="001C602A" w:rsidRPr="00A03B67">
        <w:rPr>
          <w:lang w:val="en-US"/>
        </w:rPr>
        <w:t>.</w:t>
      </w:r>
    </w:p>
  </w:footnote>
  <w:footnote w:id="126">
    <w:p w14:paraId="7DFF56B8" w14:textId="0FBCCB58" w:rsidR="00A21A9D" w:rsidRPr="00A03B67" w:rsidRDefault="00A21A9D" w:rsidP="00A21A9D">
      <w:pPr>
        <w:pStyle w:val="FootnoteText"/>
      </w:pPr>
      <w:r w:rsidRPr="00A03B67">
        <w:rPr>
          <w:rStyle w:val="FootnoteReference"/>
        </w:rPr>
        <w:footnoteRef/>
      </w:r>
      <w:r w:rsidRPr="00A03B67">
        <w:t xml:space="preserve"> Department of Employment and Workplace Relations, </w:t>
      </w:r>
      <w:r w:rsidRPr="00A03B67">
        <w:rPr>
          <w:i/>
          <w:iCs/>
        </w:rPr>
        <w:t>National Construction Industry Forum</w:t>
      </w:r>
      <w:r w:rsidRPr="00A03B67">
        <w:t xml:space="preserve"> </w:t>
      </w:r>
      <w:r w:rsidR="001C602A" w:rsidRPr="00A03B67">
        <w:t xml:space="preserve">(Web Page, n.d.) </w:t>
      </w:r>
      <w:r w:rsidRPr="00A03B67">
        <w:t>&lt;https://www.dewr.gov.au/australian-building-and-construction-industry/national-construction-industry-forum</w:t>
      </w:r>
      <w:r w:rsidR="001C602A" w:rsidRPr="00A03B67">
        <w:t>&gt;.</w:t>
      </w:r>
      <w:r w:rsidRPr="00A03B67">
        <w:t xml:space="preserve"> </w:t>
      </w:r>
    </w:p>
  </w:footnote>
  <w:footnote w:id="127">
    <w:p w14:paraId="0495C5D4" w14:textId="1E92BDAD" w:rsidR="00A148FE" w:rsidRPr="00A03B67" w:rsidRDefault="00A148FE" w:rsidP="00A148FE">
      <w:pPr>
        <w:pStyle w:val="FootnoteText"/>
      </w:pPr>
      <w:r w:rsidRPr="00A03B67">
        <w:rPr>
          <w:rStyle w:val="FootnoteReference"/>
        </w:rPr>
        <w:footnoteRef/>
      </w:r>
      <w:r w:rsidRPr="00A03B67">
        <w:t xml:space="preserve"> </w:t>
      </w:r>
      <w:r w:rsidR="001C602A" w:rsidRPr="00A03B67">
        <w:t>The Hon Tony Burke MP, Minister for Employment and Workplace Relations, ‘Appointments to the National Construction Industry Forum’ (Media Release, 23 July 2023) &lt;https://ministers.dewr.gov.au/burke/appointments-national-construction-industry-forum&gt;.</w:t>
      </w:r>
    </w:p>
  </w:footnote>
  <w:footnote w:id="128">
    <w:p w14:paraId="58F254D7" w14:textId="7E8345B9" w:rsidR="00A148FE" w:rsidRPr="00A03B67" w:rsidRDefault="00A148FE" w:rsidP="00A148FE">
      <w:pPr>
        <w:pStyle w:val="FootnoteText"/>
      </w:pPr>
      <w:r w:rsidRPr="00A03B67">
        <w:rPr>
          <w:rStyle w:val="FootnoteReference"/>
        </w:rPr>
        <w:footnoteRef/>
      </w:r>
      <w:r w:rsidRPr="00A03B67">
        <w:t xml:space="preserve"> </w:t>
      </w:r>
      <w:r w:rsidR="003630E4" w:rsidRPr="00A03B67">
        <w:t>Department of Employment and Workplace Relations, ‘</w:t>
      </w:r>
      <w:r w:rsidRPr="00A03B67">
        <w:t>National Construction Industry Forum Meeting</w:t>
      </w:r>
      <w:r w:rsidR="003630E4" w:rsidRPr="00A03B67">
        <w:t>’ (</w:t>
      </w:r>
      <w:r w:rsidRPr="00A03B67">
        <w:t>Communiqué, 23 February 2024</w:t>
      </w:r>
      <w:r w:rsidR="003630E4" w:rsidRPr="00A03B67">
        <w:t>) &lt;</w:t>
      </w:r>
      <w:r w:rsidR="00561A1B" w:rsidRPr="00A03B67">
        <w:t>https://www.dewr.gov.au/download/16165/national-construction-industry-forum-meeting-communique-23-february-2024/36568/national-construction-industry-forum-meeting-communique-23-february-2024/pdf</w:t>
      </w:r>
      <w:r w:rsidR="003630E4" w:rsidRPr="00A03B67">
        <w:t>&gt;</w:t>
      </w:r>
      <w:r w:rsidR="001C602A" w:rsidRPr="00A03B67">
        <w:t>.</w:t>
      </w:r>
    </w:p>
  </w:footnote>
  <w:footnote w:id="129">
    <w:p w14:paraId="63AD97AA" w14:textId="1526383C" w:rsidR="00A148FE" w:rsidRPr="00A03B67" w:rsidRDefault="00A148FE" w:rsidP="00A148FE">
      <w:pPr>
        <w:pStyle w:val="FootnoteText"/>
      </w:pPr>
      <w:r w:rsidRPr="00A03B67">
        <w:rPr>
          <w:rStyle w:val="FootnoteReference"/>
        </w:rPr>
        <w:footnoteRef/>
      </w:r>
      <w:r w:rsidRPr="00A03B67">
        <w:t xml:space="preserve"> </w:t>
      </w:r>
      <w:r w:rsidR="00561A1B" w:rsidRPr="00A03B67">
        <w:t xml:space="preserve">Department of Employment and Workplace Relations, </w:t>
      </w:r>
      <w:r w:rsidR="00561A1B" w:rsidRPr="00A03B67">
        <w:rPr>
          <w:i/>
          <w:iCs/>
        </w:rPr>
        <w:t>Terms of Reference for the National Construction Industry Forum</w:t>
      </w:r>
      <w:r w:rsidR="00561A1B" w:rsidRPr="00A03B67">
        <w:t xml:space="preserve"> (</w:t>
      </w:r>
      <w:r w:rsidR="001C602A" w:rsidRPr="00A03B67">
        <w:t xml:space="preserve">Web Page, </w:t>
      </w:r>
      <w:r w:rsidR="00561A1B" w:rsidRPr="00A03B67">
        <w:t>8 November 2023)</w:t>
      </w:r>
      <w:r w:rsidR="00770904" w:rsidRPr="00A03B67">
        <w:t xml:space="preserve"> &lt;https://www.dewr.gov.au/australian-building-and-construction-industry/resources/terms-reference-national-construction-industry-forum&gt;</w:t>
      </w:r>
      <w:r w:rsidR="001C602A" w:rsidRPr="00A03B67">
        <w:t>.</w:t>
      </w:r>
    </w:p>
  </w:footnote>
  <w:footnote w:id="130">
    <w:p w14:paraId="15A0539D" w14:textId="76480287" w:rsidR="00A148FE" w:rsidRPr="00A03B67" w:rsidRDefault="00A148FE" w:rsidP="00A148FE">
      <w:pPr>
        <w:pStyle w:val="FootnoteText"/>
      </w:pPr>
      <w:r w:rsidRPr="00A03B67">
        <w:rPr>
          <w:rStyle w:val="FootnoteReference"/>
        </w:rPr>
        <w:footnoteRef/>
      </w:r>
      <w:r w:rsidRPr="00A03B67">
        <w:t xml:space="preserve"> </w:t>
      </w:r>
      <w:r w:rsidR="001C602A" w:rsidRPr="00A03B67">
        <w:t xml:space="preserve">Senator the Hon Murray Watt, </w:t>
      </w:r>
      <w:r w:rsidR="004B4C43" w:rsidRPr="00A03B67">
        <w:t xml:space="preserve">Minister for Employment and Workplace </w:t>
      </w:r>
      <w:r w:rsidR="00945D76" w:rsidRPr="00A03B67">
        <w:t>Relations</w:t>
      </w:r>
      <w:r w:rsidR="004B4C43" w:rsidRPr="00A03B67">
        <w:t>, ‘</w:t>
      </w:r>
      <w:r w:rsidRPr="00A03B67">
        <w:t>Address to the National Press Club</w:t>
      </w:r>
      <w:r w:rsidR="004B4C43" w:rsidRPr="00A03B67">
        <w:t xml:space="preserve">’ (Speech, </w:t>
      </w:r>
      <w:r w:rsidR="001C602A" w:rsidRPr="00A03B67">
        <w:t xml:space="preserve">National Press Club, </w:t>
      </w:r>
      <w:r w:rsidRPr="00A03B67">
        <w:t>18 September 2024</w:t>
      </w:r>
      <w:r w:rsidR="004B4C43" w:rsidRPr="00A03B67">
        <w:t>)</w:t>
      </w:r>
      <w:r w:rsidR="003447BE" w:rsidRPr="00A03B67">
        <w:t xml:space="preserve"> &lt;https://ministers.dewr.gov.au/watt/address-national-press-club&gt;</w:t>
      </w:r>
      <w:r w:rsidR="001C602A" w:rsidRPr="00A03B67">
        <w:t>.</w:t>
      </w:r>
    </w:p>
  </w:footnote>
  <w:footnote w:id="131">
    <w:p w14:paraId="42B4755E" w14:textId="19263D7C" w:rsidR="00A148FE" w:rsidRPr="00A03B67" w:rsidRDefault="00A148FE" w:rsidP="00A148FE">
      <w:pPr>
        <w:pStyle w:val="FootnoteText"/>
      </w:pPr>
      <w:r w:rsidRPr="00A03B67">
        <w:rPr>
          <w:rStyle w:val="FootnoteReference"/>
        </w:rPr>
        <w:footnoteRef/>
      </w:r>
      <w:r w:rsidRPr="00A03B67">
        <w:t xml:space="preserve"> </w:t>
      </w:r>
      <w:r w:rsidR="001C602A" w:rsidRPr="00A03B67">
        <w:t xml:space="preserve">Senator the Hon Murray Watt, </w:t>
      </w:r>
      <w:r w:rsidR="00290E5C" w:rsidRPr="00A03B67">
        <w:t xml:space="preserve">Minister for Employment and Workplace </w:t>
      </w:r>
      <w:r w:rsidR="00945D76" w:rsidRPr="00A03B67">
        <w:t>Relations</w:t>
      </w:r>
      <w:r w:rsidR="00290E5C" w:rsidRPr="00A03B67">
        <w:t xml:space="preserve">, ‘Address to the National Press Club’ (Speech, </w:t>
      </w:r>
      <w:r w:rsidR="001C602A" w:rsidRPr="00A03B67">
        <w:t xml:space="preserve">National Press Club, </w:t>
      </w:r>
      <w:r w:rsidR="00290E5C" w:rsidRPr="00A03B67">
        <w:t>18 September 2024) &lt;https://ministers.dewr.gov.au/watt/address-national-press-club&gt;</w:t>
      </w:r>
      <w:r w:rsidR="001C602A" w:rsidRPr="00A03B67">
        <w:t>.</w:t>
      </w:r>
    </w:p>
  </w:footnote>
  <w:footnote w:id="132">
    <w:p w14:paraId="20076DFE" w14:textId="30B1E7B8" w:rsidR="00A148FE" w:rsidRPr="00A03B67" w:rsidRDefault="00A148FE" w:rsidP="00A148FE">
      <w:pPr>
        <w:pStyle w:val="FootnoteText"/>
      </w:pPr>
      <w:r w:rsidRPr="00A03B67">
        <w:rPr>
          <w:rStyle w:val="FootnoteReference"/>
        </w:rPr>
        <w:footnoteRef/>
      </w:r>
      <w:r w:rsidRPr="00A03B67">
        <w:t xml:space="preserve"> </w:t>
      </w:r>
      <w:r w:rsidR="00566EAD" w:rsidRPr="00A03B67">
        <w:t>Civil Contractors Federation, ‘CCF</w:t>
      </w:r>
      <w:r w:rsidR="00F82ACD" w:rsidRPr="00A03B67">
        <w:t xml:space="preserve"> </w:t>
      </w:r>
      <w:r w:rsidR="001C602A" w:rsidRPr="00A03B67">
        <w:t>A</w:t>
      </w:r>
      <w:r w:rsidRPr="00A03B67">
        <w:t>ppointment to the National Construction Industry Forum</w:t>
      </w:r>
      <w:r w:rsidR="00566EAD" w:rsidRPr="00A03B67">
        <w:t>’ (</w:t>
      </w:r>
      <w:r w:rsidRPr="00A03B67">
        <w:t>Media Release, 19 September 2024</w:t>
      </w:r>
      <w:r w:rsidR="00566EAD" w:rsidRPr="00A03B67">
        <w:t>) &lt;</w:t>
      </w:r>
      <w:r w:rsidR="00F80016" w:rsidRPr="00A03B67">
        <w:t>https://www.civilcontractors.com/ccf-appointment-to-national-construction-industry-forum/&gt;</w:t>
      </w:r>
      <w:r w:rsidR="001C602A" w:rsidRPr="00A03B67">
        <w:t>.</w:t>
      </w:r>
    </w:p>
  </w:footnote>
  <w:footnote w:id="133">
    <w:p w14:paraId="581370C1" w14:textId="4C790F1D" w:rsidR="00A148FE" w:rsidRPr="00A03B67" w:rsidRDefault="00A148FE" w:rsidP="00A148FE">
      <w:pPr>
        <w:pStyle w:val="FootnoteText"/>
      </w:pPr>
      <w:r w:rsidRPr="00A03B67">
        <w:rPr>
          <w:rStyle w:val="FootnoteReference"/>
        </w:rPr>
        <w:footnoteRef/>
      </w:r>
      <w:r w:rsidRPr="00A03B67">
        <w:t xml:space="preserve"> </w:t>
      </w:r>
      <w:r w:rsidR="001C56A3" w:rsidRPr="00A03B67">
        <w:t>Master Builders Australia, ‘</w:t>
      </w:r>
      <w:r w:rsidRPr="00A03B67">
        <w:t>Appointment to the National Construction Industry Forum</w:t>
      </w:r>
      <w:r w:rsidR="001C56A3" w:rsidRPr="00A03B67">
        <w:t>’ (Media Release,</w:t>
      </w:r>
      <w:r w:rsidRPr="00A03B67">
        <w:t>18 September 2024</w:t>
      </w:r>
      <w:r w:rsidR="001C56A3" w:rsidRPr="00A03B67">
        <w:t>)</w:t>
      </w:r>
      <w:r w:rsidR="00A303CD" w:rsidRPr="00A03B67">
        <w:t xml:space="preserve"> &lt;https://masterbuilders.com.au/appointment-to-national-construction-industry-forum/&gt;</w:t>
      </w:r>
      <w:r w:rsidR="001C602A" w:rsidRPr="00A03B67">
        <w:t>.</w:t>
      </w:r>
    </w:p>
  </w:footnote>
  <w:footnote w:id="134">
    <w:p w14:paraId="7CD980E3" w14:textId="0A088912" w:rsidR="00A148FE" w:rsidRPr="00A03B67" w:rsidRDefault="00A148FE" w:rsidP="00A148FE">
      <w:pPr>
        <w:pStyle w:val="FootnoteText"/>
        <w:rPr>
          <w:b/>
        </w:rPr>
      </w:pPr>
      <w:r w:rsidRPr="00A03B67">
        <w:rPr>
          <w:rStyle w:val="FootnoteReference"/>
        </w:rPr>
        <w:footnoteRef/>
      </w:r>
      <w:r w:rsidRPr="00A03B67">
        <w:t xml:space="preserve"> </w:t>
      </w:r>
      <w:r w:rsidR="009F60ED" w:rsidRPr="00A03B67">
        <w:t>Department of Employment and Workplace Relations, ‘National Construction Industry Forum Meeting</w:t>
      </w:r>
      <w:r w:rsidR="00474607" w:rsidRPr="00A03B67">
        <w:t>:</w:t>
      </w:r>
      <w:r w:rsidR="009F60ED" w:rsidRPr="00A03B67">
        <w:t xml:space="preserve"> </w:t>
      </w:r>
      <w:r w:rsidRPr="00A03B67">
        <w:t xml:space="preserve">Blueprint for the Future – </w:t>
      </w:r>
      <w:r w:rsidR="00474607" w:rsidRPr="00A03B67">
        <w:t>A</w:t>
      </w:r>
      <w:r w:rsidRPr="00A03B67">
        <w:t xml:space="preserve"> Building and Construction Industry that </w:t>
      </w:r>
      <w:r w:rsidR="00474607" w:rsidRPr="00A03B67">
        <w:t>W</w:t>
      </w:r>
      <w:r w:rsidRPr="00A03B67">
        <w:t>ork</w:t>
      </w:r>
      <w:r w:rsidR="00474607" w:rsidRPr="00A03B67">
        <w:t>s</w:t>
      </w:r>
      <w:r w:rsidRPr="00A03B67">
        <w:t xml:space="preserve"> for </w:t>
      </w:r>
      <w:r w:rsidR="00474607" w:rsidRPr="00A03B67">
        <w:t>E</w:t>
      </w:r>
      <w:r w:rsidRPr="00A03B67">
        <w:t>veryone</w:t>
      </w:r>
      <w:r w:rsidR="00474607" w:rsidRPr="00A03B67">
        <w:t>’</w:t>
      </w:r>
      <w:r w:rsidRPr="00A03B67">
        <w:t xml:space="preserve"> </w:t>
      </w:r>
      <w:r w:rsidR="00A30E4D" w:rsidRPr="00A03B67">
        <w:t>(</w:t>
      </w:r>
      <w:r w:rsidR="00474607" w:rsidRPr="00A03B67">
        <w:t xml:space="preserve">Communiqué, </w:t>
      </w:r>
      <w:r w:rsidRPr="00A03B67">
        <w:t>16 October 2024</w:t>
      </w:r>
      <w:r w:rsidR="00A30E4D" w:rsidRPr="00A03B67">
        <w:t>)</w:t>
      </w:r>
      <w:r w:rsidR="002E6AAD" w:rsidRPr="00A03B67">
        <w:t xml:space="preserve"> &lt;https://www.dewr.gov.au/download/16552/national-construction-industry-forum-meeting-communique-16-october-2024/38397/national-construction-industry-forum-meeting-communique-16-october-2024/pdf&gt;</w:t>
      </w:r>
      <w:r w:rsidR="00474607" w:rsidRPr="00A03B67">
        <w:t>.</w:t>
      </w:r>
    </w:p>
  </w:footnote>
  <w:footnote w:id="135">
    <w:p w14:paraId="3F32906E" w14:textId="5B3EE583" w:rsidR="00A148FE" w:rsidRPr="00A03B67" w:rsidRDefault="00A148FE" w:rsidP="00A148FE">
      <w:pPr>
        <w:pStyle w:val="FootnoteText"/>
      </w:pPr>
      <w:r w:rsidRPr="00A03B67">
        <w:rPr>
          <w:rStyle w:val="FootnoteReference"/>
        </w:rPr>
        <w:footnoteRef/>
      </w:r>
      <w:r w:rsidRPr="00A03B67">
        <w:t xml:space="preserve"> </w:t>
      </w:r>
      <w:r w:rsidR="004C5C4E" w:rsidRPr="00A03B67">
        <w:t>Department of Employment and Workplace Relations, ‘National Construction Industry Forum Meeting</w:t>
      </w:r>
      <w:r w:rsidR="00474607" w:rsidRPr="00A03B67">
        <w:t>:</w:t>
      </w:r>
      <w:r w:rsidR="004C5C4E" w:rsidRPr="00A03B67">
        <w:t xml:space="preserve"> </w:t>
      </w:r>
      <w:r w:rsidRPr="00A03B67">
        <w:t xml:space="preserve">Blueprint for the Future – </w:t>
      </w:r>
      <w:r w:rsidR="00474607" w:rsidRPr="00A03B67">
        <w:t>A</w:t>
      </w:r>
      <w:r w:rsidRPr="00A03B67">
        <w:t xml:space="preserve"> Building and Construction Industry that </w:t>
      </w:r>
      <w:r w:rsidR="00474607" w:rsidRPr="00A03B67">
        <w:t>W</w:t>
      </w:r>
      <w:r w:rsidRPr="00A03B67">
        <w:t>ork</w:t>
      </w:r>
      <w:r w:rsidR="00474607" w:rsidRPr="00A03B67">
        <w:t>s</w:t>
      </w:r>
      <w:r w:rsidRPr="00A03B67">
        <w:t xml:space="preserve"> for </w:t>
      </w:r>
      <w:r w:rsidR="00474607" w:rsidRPr="00A03B67">
        <w:t>E</w:t>
      </w:r>
      <w:r w:rsidRPr="00A03B67">
        <w:t>veryone</w:t>
      </w:r>
      <w:r w:rsidR="004C5C4E" w:rsidRPr="00A03B67">
        <w:t xml:space="preserve"> (</w:t>
      </w:r>
      <w:r w:rsidR="00474607" w:rsidRPr="00A03B67">
        <w:t xml:space="preserve">Communiqué, </w:t>
      </w:r>
      <w:r w:rsidR="004C5C4E" w:rsidRPr="00A03B67">
        <w:t>16 October 2024) &lt;https://www.dewr.gov.au/download/16552/national-construction-industry-forum-meeting-communique-16-october-2024/38397/national-construction-industry-forum-meeting-communique-16-october-2024/pdf&gt;</w:t>
      </w:r>
      <w:r w:rsidR="00474607" w:rsidRPr="00A03B67">
        <w:t>.</w:t>
      </w:r>
    </w:p>
  </w:footnote>
  <w:footnote w:id="136">
    <w:p w14:paraId="11DBB17E" w14:textId="4EA24F33" w:rsidR="00A148FE" w:rsidRPr="00A03B67" w:rsidRDefault="00A148FE" w:rsidP="00A148FE">
      <w:pPr>
        <w:pStyle w:val="FootnoteText"/>
      </w:pPr>
      <w:r w:rsidRPr="00A03B67">
        <w:rPr>
          <w:rStyle w:val="FootnoteReference"/>
        </w:rPr>
        <w:footnoteRef/>
      </w:r>
      <w:r w:rsidRPr="00A03B67">
        <w:t xml:space="preserve"> </w:t>
      </w:r>
      <w:r w:rsidR="00474607" w:rsidRPr="00A03B67">
        <w:t xml:space="preserve">Senator the Hon Murray Watt, Minister for </w:t>
      </w:r>
      <w:r w:rsidR="00B2638B" w:rsidRPr="00A03B67">
        <w:t>Employment and Workplace Relations, ‘</w:t>
      </w:r>
      <w:r w:rsidRPr="00A03B67">
        <w:t xml:space="preserve">IR </w:t>
      </w:r>
      <w:r w:rsidR="00474607" w:rsidRPr="00A03B67">
        <w:t>E</w:t>
      </w:r>
      <w:r w:rsidRPr="00A03B67">
        <w:t xml:space="preserve">xpert </w:t>
      </w:r>
      <w:r w:rsidR="00474607" w:rsidRPr="00A03B67">
        <w:t>A</w:t>
      </w:r>
      <w:r w:rsidRPr="00A03B67">
        <w:t xml:space="preserve">ppointed to </w:t>
      </w:r>
      <w:r w:rsidR="00474607" w:rsidRPr="00A03B67">
        <w:t>D</w:t>
      </w:r>
      <w:r w:rsidRPr="00A03B67">
        <w:t xml:space="preserve">eliver </w:t>
      </w:r>
      <w:r w:rsidR="00474607" w:rsidRPr="00A03B67">
        <w:t>C</w:t>
      </w:r>
      <w:r w:rsidRPr="00A03B67">
        <w:t xml:space="preserve">onstruction </w:t>
      </w:r>
      <w:r w:rsidR="00474607" w:rsidRPr="00A03B67">
        <w:t>I</w:t>
      </w:r>
      <w:r w:rsidRPr="00A03B67">
        <w:t xml:space="preserve">ndustry </w:t>
      </w:r>
      <w:r w:rsidR="00474607" w:rsidRPr="00A03B67">
        <w:t>B</w:t>
      </w:r>
      <w:r w:rsidRPr="00A03B67">
        <w:t>lueprint</w:t>
      </w:r>
      <w:r w:rsidR="00B2638B" w:rsidRPr="00A03B67">
        <w:t>’</w:t>
      </w:r>
      <w:r w:rsidRPr="00A03B67">
        <w:t xml:space="preserve"> </w:t>
      </w:r>
      <w:r w:rsidR="00B2638B" w:rsidRPr="00A03B67">
        <w:t>(Media Release</w:t>
      </w:r>
      <w:r w:rsidR="00474607" w:rsidRPr="00A03B67">
        <w:t>,</w:t>
      </w:r>
      <w:r w:rsidRPr="00A03B67">
        <w:t xml:space="preserve"> 21 November 2024</w:t>
      </w:r>
      <w:r w:rsidR="00B2638B" w:rsidRPr="00A03B67">
        <w:t>) &lt;</w:t>
      </w:r>
      <w:r w:rsidR="00372284" w:rsidRPr="00A03B67">
        <w:t>https://ministers.dewr.gov.au/watt/ir-expert-appointed-deliver-construction-industry-blueprint</w:t>
      </w:r>
      <w:r w:rsidR="00B2638B" w:rsidRPr="00A03B67">
        <w:t>&gt;</w:t>
      </w:r>
      <w:r w:rsidR="00474607" w:rsidRPr="00A03B67">
        <w:t>.</w:t>
      </w:r>
    </w:p>
  </w:footnote>
  <w:footnote w:id="137">
    <w:p w14:paraId="3434E6F9" w14:textId="6DDC7083" w:rsidR="00A148FE" w:rsidRPr="00A03B67" w:rsidRDefault="00A148FE" w:rsidP="00A148FE">
      <w:pPr>
        <w:pStyle w:val="FootnoteText"/>
      </w:pPr>
      <w:r w:rsidRPr="00A03B67">
        <w:rPr>
          <w:rStyle w:val="FootnoteReference"/>
        </w:rPr>
        <w:footnoteRef/>
      </w:r>
      <w:r w:rsidRPr="00A03B67">
        <w:t xml:space="preserve"> </w:t>
      </w:r>
      <w:r w:rsidR="00A31044" w:rsidRPr="00A03B67">
        <w:t>Ministers for Employment and Workplace Relations Portfolio, ‘</w:t>
      </w:r>
      <w:r w:rsidRPr="00A03B67">
        <w:t xml:space="preserve">Blueprint for the </w:t>
      </w:r>
      <w:r w:rsidR="00474607" w:rsidRPr="00A03B67">
        <w:t>F</w:t>
      </w:r>
      <w:r w:rsidRPr="00A03B67">
        <w:t>uture</w:t>
      </w:r>
      <w:r w:rsidR="00474607" w:rsidRPr="00A03B67">
        <w:t>:</w:t>
      </w:r>
      <w:r w:rsidRPr="00A03B67">
        <w:t xml:space="preserve"> </w:t>
      </w:r>
      <w:r w:rsidR="00474607" w:rsidRPr="00A03B67">
        <w:t>A</w:t>
      </w:r>
      <w:r w:rsidRPr="00A03B67">
        <w:t xml:space="preserve"> </w:t>
      </w:r>
      <w:r w:rsidR="00474607" w:rsidRPr="00A03B67">
        <w:t>B</w:t>
      </w:r>
      <w:r w:rsidRPr="00A03B67">
        <w:t xml:space="preserve">uilding and </w:t>
      </w:r>
      <w:r w:rsidR="00474607" w:rsidRPr="00A03B67">
        <w:t>C</w:t>
      </w:r>
      <w:r w:rsidRPr="00A03B67">
        <w:t xml:space="preserve">onstruction </w:t>
      </w:r>
      <w:r w:rsidR="00474607" w:rsidRPr="00A03B67">
        <w:t>I</w:t>
      </w:r>
      <w:r w:rsidRPr="00A03B67">
        <w:t xml:space="preserve">ndustry that </w:t>
      </w:r>
      <w:r w:rsidR="00474607" w:rsidRPr="00A03B67">
        <w:t>W</w:t>
      </w:r>
      <w:r w:rsidRPr="00A03B67">
        <w:t xml:space="preserve">orks for </w:t>
      </w:r>
      <w:r w:rsidR="00474607" w:rsidRPr="00A03B67">
        <w:t>E</w:t>
      </w:r>
      <w:r w:rsidRPr="00A03B67">
        <w:t>veryone</w:t>
      </w:r>
      <w:r w:rsidR="00A31044" w:rsidRPr="00A03B67">
        <w:t>’(J</w:t>
      </w:r>
      <w:r w:rsidRPr="00A03B67">
        <w:t xml:space="preserve">oint </w:t>
      </w:r>
      <w:r w:rsidR="00474607" w:rsidRPr="00A03B67">
        <w:t>M</w:t>
      </w:r>
      <w:r w:rsidRPr="00A03B67">
        <w:t xml:space="preserve">edia </w:t>
      </w:r>
      <w:r w:rsidR="00474607" w:rsidRPr="00A03B67">
        <w:t>R</w:t>
      </w:r>
      <w:r w:rsidRPr="00A03B67">
        <w:t>elease, 16 October 2024</w:t>
      </w:r>
      <w:r w:rsidR="00A31044" w:rsidRPr="00A03B67">
        <w:t>) &lt;</w:t>
      </w:r>
      <w:r w:rsidR="007515AD" w:rsidRPr="00A03B67">
        <w:t>https://ministers.dewr.gov.au/watt/blueprint-future-building-and-construction-industry-works-everyone</w:t>
      </w:r>
      <w:r w:rsidR="00A31044" w:rsidRPr="00A03B67">
        <w:t>&gt;</w:t>
      </w:r>
      <w:r w:rsidR="00474607" w:rsidRPr="00A03B67">
        <w:t>.</w:t>
      </w:r>
    </w:p>
  </w:footnote>
  <w:footnote w:id="138">
    <w:p w14:paraId="6C8D9AC6" w14:textId="269B5B88" w:rsidR="00A148FE" w:rsidRPr="00A03B67" w:rsidRDefault="00A148FE" w:rsidP="00A148FE">
      <w:pPr>
        <w:pStyle w:val="FootnoteText"/>
      </w:pPr>
      <w:r w:rsidRPr="00A03B67">
        <w:rPr>
          <w:rStyle w:val="FootnoteReference"/>
        </w:rPr>
        <w:footnoteRef/>
      </w:r>
      <w:r w:rsidRPr="00A03B67">
        <w:t xml:space="preserve"> </w:t>
      </w:r>
      <w:r w:rsidR="00437979" w:rsidRPr="00A03B67">
        <w:t xml:space="preserve">Ministers for Employment and Workplace Relations Portfolio, ‘Blueprint for the </w:t>
      </w:r>
      <w:r w:rsidR="00474607" w:rsidRPr="00A03B67">
        <w:t>F</w:t>
      </w:r>
      <w:r w:rsidR="00437979" w:rsidRPr="00A03B67">
        <w:t>uture</w:t>
      </w:r>
      <w:r w:rsidR="00474607" w:rsidRPr="00A03B67">
        <w:t>:</w:t>
      </w:r>
      <w:r w:rsidR="00437979" w:rsidRPr="00A03B67">
        <w:t xml:space="preserve"> </w:t>
      </w:r>
      <w:r w:rsidR="00474607" w:rsidRPr="00A03B67">
        <w:t>A</w:t>
      </w:r>
      <w:r w:rsidR="00437979" w:rsidRPr="00A03B67">
        <w:t xml:space="preserve"> </w:t>
      </w:r>
      <w:r w:rsidR="00474607" w:rsidRPr="00A03B67">
        <w:t>B</w:t>
      </w:r>
      <w:r w:rsidR="00437979" w:rsidRPr="00A03B67">
        <w:t xml:space="preserve">uilding and </w:t>
      </w:r>
      <w:r w:rsidR="00474607" w:rsidRPr="00A03B67">
        <w:t>C</w:t>
      </w:r>
      <w:r w:rsidR="00437979" w:rsidRPr="00A03B67">
        <w:t xml:space="preserve">onstruction </w:t>
      </w:r>
      <w:r w:rsidR="00474607" w:rsidRPr="00A03B67">
        <w:t>I</w:t>
      </w:r>
      <w:r w:rsidR="00437979" w:rsidRPr="00A03B67">
        <w:t xml:space="preserve">ndustry that </w:t>
      </w:r>
      <w:r w:rsidR="00474607" w:rsidRPr="00A03B67">
        <w:t>W</w:t>
      </w:r>
      <w:r w:rsidR="00437979" w:rsidRPr="00A03B67">
        <w:t xml:space="preserve">orks for </w:t>
      </w:r>
      <w:r w:rsidR="00474607" w:rsidRPr="00A03B67">
        <w:t>E</w:t>
      </w:r>
      <w:r w:rsidR="00437979" w:rsidRPr="00A03B67">
        <w:t xml:space="preserve">veryone’(Joint </w:t>
      </w:r>
      <w:r w:rsidR="00474607" w:rsidRPr="00A03B67">
        <w:t>M</w:t>
      </w:r>
      <w:r w:rsidR="00437979" w:rsidRPr="00A03B67">
        <w:t xml:space="preserve">edia </w:t>
      </w:r>
      <w:r w:rsidR="00474607" w:rsidRPr="00A03B67">
        <w:t>R</w:t>
      </w:r>
      <w:r w:rsidR="00437979" w:rsidRPr="00A03B67">
        <w:t>elease, 16 October 2024) &lt;https://ministers.dewr.gov.au/watt/blueprint-future-building-and-construction-industry-works-everyone&gt;</w:t>
      </w:r>
      <w:r w:rsidR="00474607" w:rsidRPr="00A03B67">
        <w:t>.</w:t>
      </w:r>
    </w:p>
  </w:footnote>
  <w:footnote w:id="139">
    <w:p w14:paraId="0F77803D" w14:textId="551ED4DF" w:rsidR="00A148FE" w:rsidRPr="00A03B67" w:rsidRDefault="00A148FE" w:rsidP="00A148FE">
      <w:pPr>
        <w:pStyle w:val="FootnoteText"/>
      </w:pPr>
      <w:r w:rsidRPr="00A03B67">
        <w:rPr>
          <w:rStyle w:val="FootnoteReference"/>
        </w:rPr>
        <w:footnoteRef/>
      </w:r>
      <w:r w:rsidRPr="00A03B67">
        <w:t xml:space="preserve"> M Bray, J Macneil </w:t>
      </w:r>
      <w:r w:rsidR="00474607" w:rsidRPr="00A03B67">
        <w:t xml:space="preserve">and </w:t>
      </w:r>
      <w:r w:rsidRPr="00A03B67">
        <w:t xml:space="preserve">A Stewart, </w:t>
      </w:r>
      <w:r w:rsidRPr="00A03B67">
        <w:rPr>
          <w:i/>
          <w:iCs/>
        </w:rPr>
        <w:t>Cooperation at Work: How Tribunals Can Help Transform Workplaces</w:t>
      </w:r>
      <w:r w:rsidRPr="00A03B67">
        <w:t xml:space="preserve"> </w:t>
      </w:r>
      <w:r w:rsidR="00474607" w:rsidRPr="00A03B67">
        <w:t>(</w:t>
      </w:r>
      <w:r w:rsidRPr="00A03B67">
        <w:t>Federation Press, 2017</w:t>
      </w:r>
      <w:r w:rsidR="00474607" w:rsidRPr="00A03B67">
        <w:t>) Ch 7</w:t>
      </w:r>
      <w:r w:rsidRPr="00A03B67">
        <w:t>.</w:t>
      </w:r>
    </w:p>
  </w:footnote>
  <w:footnote w:id="140">
    <w:p w14:paraId="767F639F" w14:textId="21F28A59" w:rsidR="00A148FE" w:rsidRPr="00A03B67" w:rsidRDefault="00A148FE" w:rsidP="00A148FE">
      <w:pPr>
        <w:pStyle w:val="FootnoteText"/>
      </w:pPr>
      <w:r w:rsidRPr="00A03B67">
        <w:rPr>
          <w:rStyle w:val="FootnoteReference"/>
        </w:rPr>
        <w:footnoteRef/>
      </w:r>
      <w:r w:rsidRPr="00A03B67">
        <w:t xml:space="preserve"> Housing Industry Association </w:t>
      </w:r>
      <w:r w:rsidR="00474607" w:rsidRPr="00A03B67">
        <w:t xml:space="preserve">(HIA) </w:t>
      </w:r>
      <w:r w:rsidRPr="00A03B67">
        <w:t>submission, 7</w:t>
      </w:r>
      <w:r w:rsidR="00474607" w:rsidRPr="00A03B67">
        <w:rPr>
          <w:rFonts w:ascii="Symbol" w:eastAsia="Symbol" w:hAnsi="Symbol" w:cs="Symbol"/>
        </w:rPr>
        <w:t>-</w:t>
      </w:r>
      <w:r w:rsidRPr="00A03B67">
        <w:t>8</w:t>
      </w:r>
      <w:r w:rsidR="00474607" w:rsidRPr="00A03B67">
        <w:t>.</w:t>
      </w:r>
    </w:p>
  </w:footnote>
  <w:footnote w:id="141">
    <w:p w14:paraId="101DC533" w14:textId="7EB790D3" w:rsidR="00A148FE" w:rsidRPr="00A03B67" w:rsidRDefault="00A148FE" w:rsidP="00A148FE">
      <w:pPr>
        <w:pStyle w:val="FootnoteText"/>
      </w:pPr>
      <w:r w:rsidRPr="00A03B67">
        <w:rPr>
          <w:rStyle w:val="FootnoteReference"/>
        </w:rPr>
        <w:footnoteRef/>
      </w:r>
      <w:r w:rsidRPr="00A03B67">
        <w:t xml:space="preserve"> </w:t>
      </w:r>
      <w:r w:rsidR="00474607" w:rsidRPr="00A03B67">
        <w:t>Australian Chamber of Commerce and Industry (</w:t>
      </w:r>
      <w:r w:rsidRPr="00A03B67">
        <w:t>ACCI</w:t>
      </w:r>
      <w:r w:rsidR="00474607" w:rsidRPr="00A03B67">
        <w:t>)</w:t>
      </w:r>
      <w:r w:rsidRPr="00A03B67">
        <w:t xml:space="preserve"> submission, 98</w:t>
      </w:r>
      <w:r w:rsidR="00474607" w:rsidRPr="00A03B67">
        <w:t>.</w:t>
      </w:r>
    </w:p>
  </w:footnote>
  <w:footnote w:id="142">
    <w:p w14:paraId="6122E182" w14:textId="323EA75D" w:rsidR="00A148FE" w:rsidRPr="00A03B67" w:rsidRDefault="00A148FE" w:rsidP="00A148FE">
      <w:pPr>
        <w:pStyle w:val="FootnoteText"/>
      </w:pPr>
      <w:r w:rsidRPr="00A03B67">
        <w:rPr>
          <w:rStyle w:val="FootnoteReference"/>
        </w:rPr>
        <w:footnoteRef/>
      </w:r>
      <w:r w:rsidRPr="00A03B67">
        <w:t xml:space="preserve"> Ai Group submission, p 114</w:t>
      </w:r>
      <w:r w:rsidR="00474607" w:rsidRPr="00A03B67">
        <w:t>.</w:t>
      </w:r>
    </w:p>
  </w:footnote>
  <w:footnote w:id="143">
    <w:p w14:paraId="123229F9" w14:textId="376C1B40" w:rsidR="00A148FE" w:rsidRPr="00A03B67" w:rsidRDefault="00A148FE" w:rsidP="00A148FE">
      <w:pPr>
        <w:pStyle w:val="FootnoteText"/>
      </w:pPr>
      <w:r w:rsidRPr="00A03B67">
        <w:rPr>
          <w:rStyle w:val="FootnoteReference"/>
        </w:rPr>
        <w:footnoteRef/>
      </w:r>
      <w:r w:rsidRPr="00A03B67">
        <w:t xml:space="preserve"> Ai Group submission, p 115</w:t>
      </w:r>
      <w:r w:rsidR="00474607" w:rsidRPr="00A03B67">
        <w:t>.</w:t>
      </w:r>
    </w:p>
  </w:footnote>
  <w:footnote w:id="144">
    <w:p w14:paraId="2980DE98" w14:textId="40463E99" w:rsidR="00A148FE" w:rsidRPr="00A03B67" w:rsidRDefault="00A148FE" w:rsidP="00A148FE">
      <w:pPr>
        <w:pStyle w:val="FootnoteText"/>
      </w:pPr>
      <w:r w:rsidRPr="00A03B67">
        <w:rPr>
          <w:rStyle w:val="FootnoteReference"/>
        </w:rPr>
        <w:footnoteRef/>
      </w:r>
      <w:r w:rsidRPr="00A03B67">
        <w:t xml:space="preserve"> </w:t>
      </w:r>
      <w:r w:rsidR="00474607" w:rsidRPr="00A03B67">
        <w:t>Master Builders Australia (</w:t>
      </w:r>
      <w:r w:rsidR="006B1002" w:rsidRPr="00A03B67">
        <w:t>MBA</w:t>
      </w:r>
      <w:r w:rsidR="00474607" w:rsidRPr="00A03B67">
        <w:t>)</w:t>
      </w:r>
      <w:r w:rsidR="006B1002" w:rsidRPr="00A03B67">
        <w:t xml:space="preserve"> </w:t>
      </w:r>
      <w:r w:rsidRPr="00A03B67">
        <w:t>submission, p 3</w:t>
      </w:r>
      <w:r w:rsidR="00474607" w:rsidRPr="00A03B67">
        <w:t>.</w:t>
      </w:r>
    </w:p>
  </w:footnote>
  <w:footnote w:id="145">
    <w:p w14:paraId="4FE83C58" w14:textId="58909C90" w:rsidR="00A148FE" w:rsidRPr="00A03B67" w:rsidRDefault="00A148FE" w:rsidP="00A148FE">
      <w:pPr>
        <w:pStyle w:val="FootnoteText"/>
      </w:pPr>
      <w:r w:rsidRPr="00A03B67">
        <w:rPr>
          <w:rStyle w:val="FootnoteReference"/>
        </w:rPr>
        <w:footnoteRef/>
      </w:r>
      <w:r w:rsidRPr="00A03B67">
        <w:t xml:space="preserve"> </w:t>
      </w:r>
      <w:r w:rsidR="00474607" w:rsidRPr="00A03B67">
        <w:t>Master Builders Australia (</w:t>
      </w:r>
      <w:r w:rsidRPr="00A03B67">
        <w:t>MBA</w:t>
      </w:r>
      <w:r w:rsidR="00474607" w:rsidRPr="00A03B67">
        <w:t>)</w:t>
      </w:r>
      <w:r w:rsidRPr="00A03B67">
        <w:t xml:space="preserve"> submission, p 20</w:t>
      </w:r>
      <w:r w:rsidR="00474607" w:rsidRPr="00A03B67">
        <w:t>.</w:t>
      </w:r>
    </w:p>
  </w:footnote>
  <w:footnote w:id="146">
    <w:p w14:paraId="1B5FCE9E" w14:textId="3DE22EEA" w:rsidR="00A148FE" w:rsidRPr="00A03B67" w:rsidRDefault="00A148FE" w:rsidP="00A148FE">
      <w:pPr>
        <w:pStyle w:val="FootnoteText"/>
      </w:pPr>
      <w:r w:rsidRPr="00A03B67">
        <w:rPr>
          <w:rStyle w:val="FootnoteReference"/>
        </w:rPr>
        <w:footnoteRef/>
      </w:r>
      <w:r w:rsidR="000B3747" w:rsidRPr="00A03B67">
        <w:t xml:space="preserve"> Ministers for Employment and Workplace Relations Portfolio, ‘Blueprint for the </w:t>
      </w:r>
      <w:r w:rsidR="00474607" w:rsidRPr="00A03B67">
        <w:t>F</w:t>
      </w:r>
      <w:r w:rsidR="000B3747" w:rsidRPr="00A03B67">
        <w:t>uture</w:t>
      </w:r>
      <w:r w:rsidR="00474607" w:rsidRPr="00A03B67">
        <w:t>:</w:t>
      </w:r>
      <w:r w:rsidR="000B3747" w:rsidRPr="00A03B67">
        <w:t xml:space="preserve"> </w:t>
      </w:r>
      <w:r w:rsidR="00474607" w:rsidRPr="00A03B67">
        <w:t>A</w:t>
      </w:r>
      <w:r w:rsidR="000B3747" w:rsidRPr="00A03B67">
        <w:t xml:space="preserve"> </w:t>
      </w:r>
      <w:r w:rsidR="00474607" w:rsidRPr="00A03B67">
        <w:t>B</w:t>
      </w:r>
      <w:r w:rsidR="000B3747" w:rsidRPr="00A03B67">
        <w:t xml:space="preserve">uilding and </w:t>
      </w:r>
      <w:r w:rsidR="00474607" w:rsidRPr="00A03B67">
        <w:t>C</w:t>
      </w:r>
      <w:r w:rsidR="000B3747" w:rsidRPr="00A03B67">
        <w:t xml:space="preserve">onstruction </w:t>
      </w:r>
      <w:r w:rsidR="00474607" w:rsidRPr="00A03B67">
        <w:t>I</w:t>
      </w:r>
      <w:r w:rsidR="000B3747" w:rsidRPr="00A03B67">
        <w:t xml:space="preserve">ndustry that </w:t>
      </w:r>
      <w:r w:rsidR="00474607" w:rsidRPr="00A03B67">
        <w:t>W</w:t>
      </w:r>
      <w:r w:rsidR="000B3747" w:rsidRPr="00A03B67">
        <w:t xml:space="preserve">orks for </w:t>
      </w:r>
      <w:r w:rsidR="00474607" w:rsidRPr="00A03B67">
        <w:t>E</w:t>
      </w:r>
      <w:r w:rsidR="000B3747" w:rsidRPr="00A03B67">
        <w:t>veryone’</w:t>
      </w:r>
      <w:r w:rsidR="00D55035">
        <w:t xml:space="preserve"> </w:t>
      </w:r>
      <w:r w:rsidR="000B3747" w:rsidRPr="00A03B67">
        <w:t xml:space="preserve">(Joint </w:t>
      </w:r>
      <w:r w:rsidR="00474607" w:rsidRPr="00A03B67">
        <w:t>M</w:t>
      </w:r>
      <w:r w:rsidR="000B3747" w:rsidRPr="00A03B67">
        <w:t xml:space="preserve">edia </w:t>
      </w:r>
      <w:r w:rsidR="00474607" w:rsidRPr="00A03B67">
        <w:t>R</w:t>
      </w:r>
      <w:r w:rsidR="000B3747" w:rsidRPr="00A03B67">
        <w:t>elease, 16 October 2024) &lt;https://ministers.dewr.gov.au/watt/blueprint-future-building-and-construction-industry-works-everyone&gt;</w:t>
      </w:r>
      <w:r w:rsidRPr="00A03B67">
        <w:t>.</w:t>
      </w:r>
    </w:p>
  </w:footnote>
  <w:footnote w:id="147">
    <w:p w14:paraId="45864449" w14:textId="292EA412" w:rsidR="00A148FE" w:rsidRPr="00A03B67" w:rsidRDefault="00A148FE" w:rsidP="00A148FE">
      <w:pPr>
        <w:pStyle w:val="FootnoteText"/>
      </w:pPr>
      <w:r w:rsidRPr="00A03B67">
        <w:rPr>
          <w:rStyle w:val="FootnoteReference"/>
        </w:rPr>
        <w:footnoteRef/>
      </w:r>
      <w:r w:rsidRPr="00A03B67">
        <w:t xml:space="preserve"> </w:t>
      </w:r>
      <w:r w:rsidR="00474607" w:rsidRPr="00A03B67">
        <w:t xml:space="preserve">Commonwealth, </w:t>
      </w:r>
      <w:r w:rsidR="00474607" w:rsidRPr="00A03B67">
        <w:rPr>
          <w:i/>
          <w:iCs/>
        </w:rPr>
        <w:t>Parliamentary Debates</w:t>
      </w:r>
      <w:r w:rsidR="00474607" w:rsidRPr="00A03B67">
        <w:t xml:space="preserve">, House of Representatives, 27 October 2022, 2183 (Tony Burke, </w:t>
      </w:r>
      <w:r w:rsidR="00266C6B" w:rsidRPr="00A03B67">
        <w:t xml:space="preserve">Minister </w:t>
      </w:r>
      <w:r w:rsidR="00474607" w:rsidRPr="00A03B67">
        <w:t>for Employment and Workplace Relations)</w:t>
      </w:r>
      <w:r w:rsidRPr="00A03B67">
        <w:t>.</w:t>
      </w:r>
    </w:p>
  </w:footnote>
  <w:footnote w:id="148">
    <w:p w14:paraId="4AF689E6" w14:textId="7D5910F0" w:rsidR="00A148FE" w:rsidRPr="00A03B67" w:rsidRDefault="00A148FE" w:rsidP="00A148FE">
      <w:pPr>
        <w:pStyle w:val="FootnoteText"/>
      </w:pPr>
      <w:r w:rsidRPr="00A03B67">
        <w:rPr>
          <w:rStyle w:val="FootnoteReference"/>
        </w:rPr>
        <w:footnoteRef/>
      </w:r>
      <w:r w:rsidRPr="00A03B67">
        <w:t xml:space="preserve"> </w:t>
      </w:r>
      <w:r w:rsidR="00474607" w:rsidRPr="00A03B67">
        <w:t xml:space="preserve">Commonwealth, </w:t>
      </w:r>
      <w:r w:rsidR="00474607" w:rsidRPr="00A03B67">
        <w:rPr>
          <w:i/>
          <w:iCs/>
        </w:rPr>
        <w:t>Parliamentary Debates</w:t>
      </w:r>
      <w:r w:rsidR="00474607" w:rsidRPr="00A03B67">
        <w:t>, House of Representatives, 27 October 2022, 2183 (Tony Burke, Minister for Employment and Workplace Relations).</w:t>
      </w:r>
    </w:p>
  </w:footnote>
  <w:footnote w:id="149">
    <w:p w14:paraId="6F150D2D" w14:textId="2F521C35" w:rsidR="00A148FE" w:rsidRPr="00A03B67" w:rsidRDefault="00A148FE" w:rsidP="00A148FE">
      <w:pPr>
        <w:pStyle w:val="FootnoteText"/>
      </w:pPr>
      <w:r w:rsidRPr="00A03B67">
        <w:rPr>
          <w:rStyle w:val="FootnoteReference"/>
        </w:rPr>
        <w:footnoteRef/>
      </w:r>
      <w:r w:rsidRPr="00A03B67">
        <w:t xml:space="preserve"> </w:t>
      </w:r>
      <w:r w:rsidR="00AE691B" w:rsidRPr="00A03B67">
        <w:t>Revised Explanatory Memorandum, Fair Work Legislation Amendment (Secure Jobs, Better Pay) Bill 2022</w:t>
      </w:r>
      <w:r w:rsidR="00474607" w:rsidRPr="00A03B67">
        <w:t xml:space="preserve">, para </w:t>
      </w:r>
      <w:r w:rsidRPr="00A03B67">
        <w:t xml:space="preserve">18. </w:t>
      </w:r>
    </w:p>
  </w:footnote>
  <w:footnote w:id="150">
    <w:p w14:paraId="15A76246" w14:textId="5349033A"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Revised Explanatory Memorandum, Fair Work Legislation Amendment (Secure Jobs, Better Pay) Bill 2022, </w:t>
      </w:r>
      <w:r w:rsidR="00FC55B5" w:rsidRPr="00A03B67">
        <w:t xml:space="preserve">Outline, </w:t>
      </w:r>
      <w:r w:rsidRPr="00A03B67">
        <w:t>p iii.</w:t>
      </w:r>
    </w:p>
  </w:footnote>
  <w:footnote w:id="151">
    <w:p w14:paraId="16ACEA82" w14:textId="747D1A12"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266C6B" w:rsidRPr="00A03B67">
        <w:rPr>
          <w:i/>
          <w:iCs/>
        </w:rPr>
        <w:t>Annual Report 2022</w:t>
      </w:r>
      <w:r w:rsidR="00AE691B" w:rsidRPr="00A03B67">
        <w:rPr>
          <w:rFonts w:ascii="Symbol" w:eastAsia="Symbol" w:hAnsi="Symbol" w:cs="Symbol"/>
          <w:i/>
          <w:iCs/>
        </w:rPr>
        <w:t>-</w:t>
      </w:r>
      <w:r w:rsidR="00266C6B" w:rsidRPr="00A03B67">
        <w:rPr>
          <w:i/>
          <w:iCs/>
        </w:rPr>
        <w:t>23</w:t>
      </w:r>
      <w:r w:rsidR="00AE691B" w:rsidRPr="00A03B67">
        <w:t xml:space="preserve"> (Report, 2023) </w:t>
      </w:r>
      <w:r w:rsidRPr="00A03B67">
        <w:t>22.</w:t>
      </w:r>
    </w:p>
  </w:footnote>
  <w:footnote w:id="152">
    <w:p w14:paraId="02AD29AA" w14:textId="46767523"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266C6B" w:rsidRPr="00A03B67">
        <w:rPr>
          <w:i/>
          <w:iCs/>
        </w:rPr>
        <w:t>Annual Report 2021</w:t>
      </w:r>
      <w:r w:rsidR="00AE691B" w:rsidRPr="00A03B67">
        <w:rPr>
          <w:rFonts w:ascii="Symbol" w:eastAsia="Symbol" w:hAnsi="Symbol" w:cs="Symbol"/>
          <w:i/>
          <w:iCs/>
        </w:rPr>
        <w:t>-</w:t>
      </w:r>
      <w:r w:rsidR="00266C6B" w:rsidRPr="00A03B67">
        <w:rPr>
          <w:i/>
          <w:iCs/>
        </w:rPr>
        <w:t>22</w:t>
      </w:r>
      <w:r w:rsidR="00AE691B" w:rsidRPr="00A03B67">
        <w:t xml:space="preserve"> (Report, 2022) </w:t>
      </w:r>
      <w:r w:rsidR="003C6A90" w:rsidRPr="00A03B67">
        <w:t>Table C1</w:t>
      </w:r>
      <w:r w:rsidR="00A77492" w:rsidRPr="00A03B67">
        <w:t xml:space="preserve">, </w:t>
      </w:r>
      <w:r w:rsidR="00266C6B" w:rsidRPr="00A03B67">
        <w:t>60.</w:t>
      </w:r>
    </w:p>
  </w:footnote>
  <w:footnote w:id="153">
    <w:p w14:paraId="754AAA7F" w14:textId="7E180FD5" w:rsidR="00D24E65" w:rsidRPr="00A03B67" w:rsidRDefault="00D24E65">
      <w:pPr>
        <w:pStyle w:val="FootnoteText"/>
      </w:pPr>
      <w:r w:rsidRPr="00A03B67">
        <w:rPr>
          <w:rStyle w:val="FootnoteReference"/>
        </w:rPr>
        <w:footnoteRef/>
      </w:r>
      <w:r w:rsidRPr="00A03B67">
        <w:t xml:space="preserve"> </w:t>
      </w:r>
      <w:r w:rsidR="00AE691B" w:rsidRPr="00A03B67">
        <w:t xml:space="preserve">Fair Work Commission, </w:t>
      </w:r>
      <w:r w:rsidRPr="00A03B67">
        <w:rPr>
          <w:i/>
          <w:iCs/>
        </w:rPr>
        <w:t>Annual Report 2022</w:t>
      </w:r>
      <w:r w:rsidR="00AE691B" w:rsidRPr="00A03B67">
        <w:rPr>
          <w:rFonts w:ascii="Symbol" w:eastAsia="Symbol" w:hAnsi="Symbol" w:cs="Symbol"/>
          <w:i/>
          <w:iCs/>
        </w:rPr>
        <w:t>-</w:t>
      </w:r>
      <w:r w:rsidRPr="00A03B67">
        <w:rPr>
          <w:i/>
          <w:iCs/>
        </w:rPr>
        <w:t>23</w:t>
      </w:r>
      <w:r w:rsidR="00AE691B" w:rsidRPr="00A03B67">
        <w:t xml:space="preserve"> (Report, 2023) </w:t>
      </w:r>
      <w:r w:rsidRPr="00A03B67">
        <w:t>Table C1, 66.</w:t>
      </w:r>
    </w:p>
  </w:footnote>
  <w:footnote w:id="154">
    <w:p w14:paraId="48240738" w14:textId="2998591F"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AE691B" w:rsidRPr="00A03B67">
        <w:rPr>
          <w:i/>
          <w:iCs/>
        </w:rPr>
        <w:t>Annual Report 2022</w:t>
      </w:r>
      <w:r w:rsidR="00AE691B" w:rsidRPr="00A03B67">
        <w:rPr>
          <w:rFonts w:ascii="Symbol" w:eastAsia="Symbol" w:hAnsi="Symbol" w:cs="Symbol"/>
          <w:i/>
          <w:iCs/>
        </w:rPr>
        <w:t>-</w:t>
      </w:r>
      <w:r w:rsidR="00AE691B" w:rsidRPr="00A03B67">
        <w:rPr>
          <w:i/>
          <w:iCs/>
        </w:rPr>
        <w:t>23</w:t>
      </w:r>
      <w:r w:rsidR="00AE691B" w:rsidRPr="00A03B67">
        <w:t xml:space="preserve"> (Report, 2023) </w:t>
      </w:r>
      <w:r w:rsidRPr="00A03B67">
        <w:t>70.</w:t>
      </w:r>
    </w:p>
  </w:footnote>
  <w:footnote w:id="155">
    <w:p w14:paraId="2935CC7C" w14:textId="2039D12A"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266C6B" w:rsidRPr="00A03B67">
        <w:rPr>
          <w:i/>
          <w:iCs/>
        </w:rPr>
        <w:t>Annual Report 2023</w:t>
      </w:r>
      <w:r w:rsidR="00AE691B" w:rsidRPr="00A03B67">
        <w:rPr>
          <w:rFonts w:ascii="Symbol" w:eastAsia="Symbol" w:hAnsi="Symbol" w:cs="Symbol"/>
          <w:i/>
          <w:iCs/>
        </w:rPr>
        <w:t>-</w:t>
      </w:r>
      <w:r w:rsidR="00266C6B" w:rsidRPr="00A03B67">
        <w:rPr>
          <w:i/>
          <w:iCs/>
        </w:rPr>
        <w:t>24</w:t>
      </w:r>
      <w:r w:rsidR="00AE691B" w:rsidRPr="00A03B67">
        <w:t xml:space="preserve"> (Report, 2024) </w:t>
      </w:r>
      <w:r w:rsidR="00E376EC" w:rsidRPr="00A03B67">
        <w:t xml:space="preserve">Table </w:t>
      </w:r>
      <w:r w:rsidR="003C6A90" w:rsidRPr="00A03B67">
        <w:t>C1</w:t>
      </w:r>
      <w:r w:rsidR="00EB128B" w:rsidRPr="00A03B67">
        <w:t xml:space="preserve">, </w:t>
      </w:r>
      <w:r w:rsidRPr="00A03B67">
        <w:t>65.</w:t>
      </w:r>
    </w:p>
  </w:footnote>
  <w:footnote w:id="156">
    <w:p w14:paraId="73021ADB" w14:textId="66AE8FFD" w:rsidR="002E01B2" w:rsidRPr="00A03B67" w:rsidRDefault="002E01B2" w:rsidP="002E01B2">
      <w:pPr>
        <w:pStyle w:val="FootnoteText"/>
      </w:pPr>
      <w:r w:rsidRPr="00A03B67">
        <w:rPr>
          <w:rStyle w:val="FootnoteReference"/>
        </w:rPr>
        <w:footnoteRef/>
      </w:r>
      <w:r w:rsidRPr="00A03B67">
        <w:t xml:space="preserve"> </w:t>
      </w:r>
      <w:r w:rsidR="00AE691B" w:rsidRPr="00A03B67">
        <w:t xml:space="preserve">Fair Work Commission, </w:t>
      </w:r>
      <w:r w:rsidR="00AE691B" w:rsidRPr="00A03B67">
        <w:rPr>
          <w:i/>
          <w:iCs/>
        </w:rPr>
        <w:t>Annual Report 2023</w:t>
      </w:r>
      <w:r w:rsidR="00AE691B" w:rsidRPr="00A03B67">
        <w:rPr>
          <w:rFonts w:ascii="Symbol" w:eastAsia="Symbol" w:hAnsi="Symbol" w:cs="Symbol"/>
          <w:i/>
          <w:iCs/>
        </w:rPr>
        <w:t>-</w:t>
      </w:r>
      <w:r w:rsidR="00AE691B" w:rsidRPr="00A03B67">
        <w:rPr>
          <w:i/>
          <w:iCs/>
        </w:rPr>
        <w:t>24</w:t>
      </w:r>
      <w:r w:rsidR="00AE691B" w:rsidRPr="00A03B67">
        <w:t xml:space="preserve"> (Report, 2024) Table C1, 65.</w:t>
      </w:r>
    </w:p>
  </w:footnote>
  <w:footnote w:id="157">
    <w:p w14:paraId="0FF27310" w14:textId="1350F049" w:rsidR="00A148FE" w:rsidRPr="00A03B67" w:rsidRDefault="00A148FE" w:rsidP="00A148FE">
      <w:pPr>
        <w:pStyle w:val="FootnoteText"/>
      </w:pPr>
      <w:r w:rsidRPr="00A03B67">
        <w:rPr>
          <w:rStyle w:val="FootnoteReference"/>
        </w:rPr>
        <w:footnoteRef/>
      </w:r>
      <w:r w:rsidRPr="00A03B67">
        <w:t xml:space="preserve"> </w:t>
      </w:r>
      <w:r w:rsidR="00AE691B" w:rsidRPr="00A03B67">
        <w:t>Fair Work Commission</w:t>
      </w:r>
      <w:r w:rsidR="00713777" w:rsidRPr="00A03B67">
        <w:t>,</w:t>
      </w:r>
      <w:r w:rsidRPr="00A03B67">
        <w:t xml:space="preserve"> </w:t>
      </w:r>
      <w:r w:rsidR="00266C6B" w:rsidRPr="00A03B67">
        <w:rPr>
          <w:i/>
          <w:iCs/>
        </w:rPr>
        <w:t xml:space="preserve">Inquiries, </w:t>
      </w:r>
      <w:r w:rsidR="00AE691B" w:rsidRPr="00A03B67">
        <w:rPr>
          <w:i/>
          <w:iCs/>
        </w:rPr>
        <w:t>I</w:t>
      </w:r>
      <w:r w:rsidR="00266C6B" w:rsidRPr="00A03B67">
        <w:rPr>
          <w:i/>
          <w:iCs/>
        </w:rPr>
        <w:t xml:space="preserve">nvestigations and </w:t>
      </w:r>
      <w:r w:rsidR="00AE691B" w:rsidRPr="00A03B67">
        <w:rPr>
          <w:i/>
          <w:iCs/>
        </w:rPr>
        <w:t>L</w:t>
      </w:r>
      <w:r w:rsidR="00266C6B" w:rsidRPr="00A03B67">
        <w:rPr>
          <w:i/>
          <w:iCs/>
        </w:rPr>
        <w:t>itigation</w:t>
      </w:r>
      <w:r w:rsidR="00AE691B" w:rsidRPr="00A03B67">
        <w:t xml:space="preserve"> (Web Page, n.d.).</w:t>
      </w:r>
    </w:p>
  </w:footnote>
  <w:footnote w:id="158">
    <w:p w14:paraId="6334E143" w14:textId="5EFDB0DA"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AE691B" w:rsidRPr="00A03B67">
        <w:rPr>
          <w:i/>
          <w:iCs/>
        </w:rPr>
        <w:t>Inquiries, Investigations and Litigation</w:t>
      </w:r>
      <w:r w:rsidR="00AE691B" w:rsidRPr="00A03B67">
        <w:t xml:space="preserve"> (Web Page, n.d.).</w:t>
      </w:r>
    </w:p>
  </w:footnote>
  <w:footnote w:id="159">
    <w:p w14:paraId="7EB2A6DF" w14:textId="26CE5382"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AE691B" w:rsidRPr="00A03B67">
        <w:rPr>
          <w:i/>
          <w:iCs/>
        </w:rPr>
        <w:t>Inquiries, Investigations and Litigation</w:t>
      </w:r>
      <w:r w:rsidR="00AE691B" w:rsidRPr="00A03B67">
        <w:t xml:space="preserve"> (Web Page, n.d.).</w:t>
      </w:r>
    </w:p>
  </w:footnote>
  <w:footnote w:id="160">
    <w:p w14:paraId="26B8A98E" w14:textId="2A114AA0"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Fair Work Commission, </w:t>
      </w:r>
      <w:r w:rsidR="00AE691B" w:rsidRPr="00A03B67">
        <w:rPr>
          <w:i/>
          <w:iCs/>
        </w:rPr>
        <w:t>Inquiries, Investigations and Litigation</w:t>
      </w:r>
      <w:r w:rsidR="00AE691B" w:rsidRPr="00A03B67">
        <w:t xml:space="preserve"> (Web Page, n.d.).</w:t>
      </w:r>
    </w:p>
  </w:footnote>
  <w:footnote w:id="161">
    <w:p w14:paraId="592DE0A6" w14:textId="7468AAF2" w:rsidR="00A148FE" w:rsidRPr="00A03B67" w:rsidRDefault="00A148FE" w:rsidP="00A148FE">
      <w:pPr>
        <w:pStyle w:val="FootnoteText"/>
      </w:pPr>
      <w:r w:rsidRPr="00A03B67">
        <w:rPr>
          <w:rStyle w:val="FootnoteReference"/>
        </w:rPr>
        <w:footnoteRef/>
      </w:r>
      <w:r w:rsidRPr="00A03B67">
        <w:t xml:space="preserve"> </w:t>
      </w:r>
      <w:r w:rsidR="008E369F" w:rsidRPr="00A03B67">
        <w:rPr>
          <w:i/>
          <w:iCs/>
        </w:rPr>
        <w:t>General Manager of the Fair Work Commission v Australian Workers</w:t>
      </w:r>
      <w:r w:rsidR="00AE691B" w:rsidRPr="00A03B67">
        <w:rPr>
          <w:i/>
          <w:iCs/>
        </w:rPr>
        <w:t>’</w:t>
      </w:r>
      <w:r w:rsidR="008E369F" w:rsidRPr="00A03B67">
        <w:rPr>
          <w:i/>
          <w:iCs/>
        </w:rPr>
        <w:t xml:space="preserve"> Union</w:t>
      </w:r>
      <w:r w:rsidR="008E369F" w:rsidRPr="00A03B67">
        <w:t xml:space="preserve"> [2023] FCA 1642</w:t>
      </w:r>
      <w:r w:rsidRPr="00A03B67">
        <w:t>.</w:t>
      </w:r>
    </w:p>
  </w:footnote>
  <w:footnote w:id="162">
    <w:p w14:paraId="50102B14" w14:textId="6E730969" w:rsidR="00A148FE" w:rsidRPr="00A03B67" w:rsidRDefault="00A148FE" w:rsidP="00A148FE">
      <w:pPr>
        <w:pStyle w:val="FootnoteText"/>
      </w:pPr>
      <w:r w:rsidRPr="00A03B67">
        <w:rPr>
          <w:rStyle w:val="FootnoteReference"/>
        </w:rPr>
        <w:footnoteRef/>
      </w:r>
      <w:r w:rsidRPr="00A03B67">
        <w:t xml:space="preserve"> </w:t>
      </w:r>
      <w:r w:rsidR="008E369F" w:rsidRPr="00A03B67">
        <w:rPr>
          <w:i/>
          <w:iCs/>
        </w:rPr>
        <w:t>General Manager of the Fair Work Commission v Australian Workers</w:t>
      </w:r>
      <w:r w:rsidR="00AE691B" w:rsidRPr="00A03B67">
        <w:rPr>
          <w:i/>
          <w:iCs/>
        </w:rPr>
        <w:t>’</w:t>
      </w:r>
      <w:r w:rsidR="008E369F" w:rsidRPr="00A03B67">
        <w:rPr>
          <w:i/>
          <w:iCs/>
        </w:rPr>
        <w:t xml:space="preserve"> Union</w:t>
      </w:r>
      <w:r w:rsidR="008E369F" w:rsidRPr="00A03B67">
        <w:t xml:space="preserve"> [2023] FCA 1642</w:t>
      </w:r>
      <w:r w:rsidRPr="00A03B67">
        <w:t>.</w:t>
      </w:r>
    </w:p>
  </w:footnote>
  <w:footnote w:id="163">
    <w:p w14:paraId="506CB3BD" w14:textId="6DCA97D5" w:rsidR="00C06D45" w:rsidRPr="00A03B67" w:rsidRDefault="00C06D45">
      <w:pPr>
        <w:pStyle w:val="FootnoteText"/>
      </w:pPr>
      <w:r w:rsidRPr="00A03B67">
        <w:rPr>
          <w:rStyle w:val="FootnoteReference"/>
        </w:rPr>
        <w:footnoteRef/>
      </w:r>
      <w:r w:rsidRPr="00A03B67">
        <w:t xml:space="preserve"> </w:t>
      </w:r>
      <w:r w:rsidR="008C3F19" w:rsidRPr="00A03B67">
        <w:rPr>
          <w:i/>
          <w:iCs/>
        </w:rPr>
        <w:t>Fair Work Commission v Smyth</w:t>
      </w:r>
      <w:r w:rsidR="008C3F19" w:rsidRPr="00A03B67">
        <w:t xml:space="preserve"> </w:t>
      </w:r>
      <w:r w:rsidRPr="00A03B67">
        <w:t>[2024] FCA 304</w:t>
      </w:r>
      <w:r w:rsidR="00AE691B" w:rsidRPr="00A03B67">
        <w:t>.</w:t>
      </w:r>
    </w:p>
  </w:footnote>
  <w:footnote w:id="164">
    <w:p w14:paraId="7F759E38" w14:textId="72894BB0" w:rsidR="00BD7A1A" w:rsidRPr="00A03B67" w:rsidRDefault="00BD7A1A" w:rsidP="00BD7A1A">
      <w:pPr>
        <w:pStyle w:val="FootnoteText"/>
      </w:pPr>
      <w:r w:rsidRPr="00A03B67">
        <w:rPr>
          <w:rStyle w:val="FootnoteReference"/>
        </w:rPr>
        <w:footnoteRef/>
      </w:r>
      <w:r w:rsidRPr="00A03B67">
        <w:t xml:space="preserve"> </w:t>
      </w:r>
      <w:r w:rsidRPr="00A03B67">
        <w:rPr>
          <w:i/>
          <w:iCs/>
        </w:rPr>
        <w:t xml:space="preserve">General Manager of the Fair Work Commission v Smyth </w:t>
      </w:r>
      <w:r w:rsidRPr="00A03B67">
        <w:t>[2024] FCA 304.</w:t>
      </w:r>
    </w:p>
  </w:footnote>
  <w:footnote w:id="165">
    <w:p w14:paraId="175171E3" w14:textId="4E3CF8F4" w:rsidR="00A148FE" w:rsidRPr="00A03B67" w:rsidRDefault="00A148FE" w:rsidP="00A148FE">
      <w:pPr>
        <w:pStyle w:val="FootnoteText"/>
      </w:pPr>
      <w:r w:rsidRPr="00A03B67">
        <w:rPr>
          <w:rStyle w:val="FootnoteReference"/>
        </w:rPr>
        <w:footnoteRef/>
      </w:r>
      <w:r w:rsidRPr="00A03B67">
        <w:t xml:space="preserve"> </w:t>
      </w:r>
      <w:r w:rsidR="008E369F" w:rsidRPr="00A03B67">
        <w:rPr>
          <w:i/>
          <w:lang w:val="en-US"/>
        </w:rPr>
        <w:t xml:space="preserve">General Manager of The Fair Work Commission </w:t>
      </w:r>
      <w:r w:rsidR="00AE691B" w:rsidRPr="00A03B67">
        <w:rPr>
          <w:i/>
          <w:lang w:val="en-US"/>
        </w:rPr>
        <w:t>v</w:t>
      </w:r>
      <w:r w:rsidR="008E369F" w:rsidRPr="00A03B67">
        <w:rPr>
          <w:i/>
          <w:lang w:val="en-US"/>
        </w:rPr>
        <w:t xml:space="preserve"> Diana Asmar &amp; Ors,</w:t>
      </w:r>
      <w:r w:rsidR="004E76F2" w:rsidRPr="00A03B67">
        <w:rPr>
          <w:i/>
          <w:lang w:val="en-US"/>
        </w:rPr>
        <w:t xml:space="preserve"> </w:t>
      </w:r>
      <w:r w:rsidR="004E76F2" w:rsidRPr="00A03B67">
        <w:t>VID835/2024</w:t>
      </w:r>
      <w:r w:rsidRPr="00A03B67">
        <w:t>.</w:t>
      </w:r>
    </w:p>
  </w:footnote>
  <w:footnote w:id="166">
    <w:p w14:paraId="2A8AE037" w14:textId="7635223E" w:rsidR="00A148FE" w:rsidRPr="00A03B67" w:rsidRDefault="00A148FE" w:rsidP="00A148FE">
      <w:pPr>
        <w:pStyle w:val="FootnoteText"/>
      </w:pPr>
      <w:r w:rsidRPr="00A03B67">
        <w:rPr>
          <w:rStyle w:val="FootnoteReference"/>
        </w:rPr>
        <w:footnoteRef/>
      </w:r>
      <w:r w:rsidRPr="00A03B67">
        <w:t xml:space="preserve"> </w:t>
      </w:r>
      <w:r w:rsidR="00AE691B" w:rsidRPr="00A03B67">
        <w:t xml:space="preserve">‘Building Bad’, </w:t>
      </w:r>
      <w:r w:rsidR="00AE691B" w:rsidRPr="00A03B67">
        <w:rPr>
          <w:i/>
          <w:iCs/>
        </w:rPr>
        <w:t xml:space="preserve">AFR </w:t>
      </w:r>
      <w:r w:rsidR="00AE691B" w:rsidRPr="00A03B67">
        <w:t>(online, 17 July 2024).</w:t>
      </w:r>
    </w:p>
  </w:footnote>
  <w:footnote w:id="167">
    <w:p w14:paraId="2BC673F0" w14:textId="4E33F8B8" w:rsidR="00D95AE5" w:rsidRPr="00A03B67" w:rsidRDefault="00D95AE5" w:rsidP="00D95AE5">
      <w:pPr>
        <w:pStyle w:val="FootnoteText"/>
      </w:pPr>
      <w:r w:rsidRPr="00A03B67">
        <w:rPr>
          <w:rStyle w:val="FootnoteReference"/>
        </w:rPr>
        <w:footnoteRef/>
      </w:r>
      <w:r w:rsidRPr="00A03B67">
        <w:t xml:space="preserve"> Fair Work Commission, Application for </w:t>
      </w:r>
      <w:r w:rsidR="00AE691B" w:rsidRPr="00A03B67">
        <w:t>A</w:t>
      </w:r>
      <w:r w:rsidRPr="00A03B67">
        <w:t xml:space="preserve">ppointment of </w:t>
      </w:r>
      <w:r w:rsidR="00AE691B" w:rsidRPr="00A03B67">
        <w:t>I</w:t>
      </w:r>
      <w:r w:rsidRPr="00A03B67">
        <w:t xml:space="preserve">ndependent </w:t>
      </w:r>
      <w:r w:rsidR="00AE691B" w:rsidRPr="00A03B67">
        <w:t>A</w:t>
      </w:r>
      <w:r w:rsidRPr="00A03B67">
        <w:t>dministrator for CFMEU</w:t>
      </w:r>
      <w:r w:rsidR="00AE691B" w:rsidRPr="00A03B67">
        <w:t xml:space="preserve"> (Media Release, </w:t>
      </w:r>
      <w:r w:rsidRPr="00A03B67">
        <w:t>2 August 2024</w:t>
      </w:r>
      <w:r w:rsidR="00AE691B" w:rsidRPr="00A03B67">
        <w:t>)</w:t>
      </w:r>
      <w:r w:rsidRPr="00A03B67">
        <w:t xml:space="preserve">. </w:t>
      </w:r>
    </w:p>
  </w:footnote>
  <w:footnote w:id="168">
    <w:p w14:paraId="1470540F" w14:textId="77777777" w:rsidR="00BC2DDB" w:rsidRPr="00A03B67" w:rsidRDefault="00BC2DDB" w:rsidP="00BC2DDB">
      <w:pPr>
        <w:pStyle w:val="FootnoteText"/>
      </w:pPr>
      <w:r w:rsidRPr="00A03B67">
        <w:rPr>
          <w:rStyle w:val="FootnoteReference"/>
        </w:rPr>
        <w:footnoteRef/>
      </w:r>
      <w:r w:rsidRPr="00A03B67">
        <w:t xml:space="preserve"> </w:t>
      </w:r>
      <w:r w:rsidRPr="00A03B67">
        <w:rPr>
          <w:lang w:val="en-US"/>
        </w:rPr>
        <w:t xml:space="preserve">Also listed on the </w:t>
      </w:r>
      <w:r w:rsidRPr="00A03B67">
        <w:t xml:space="preserve">FWC Website, </w:t>
      </w:r>
      <w:r w:rsidRPr="00A03B67">
        <w:rPr>
          <w:lang w:val="en-US"/>
        </w:rPr>
        <w:t xml:space="preserve">FWC litigation page </w:t>
      </w:r>
      <w:r w:rsidRPr="00A03B67">
        <w:t>Inquiries, investigations and litigation.</w:t>
      </w:r>
    </w:p>
  </w:footnote>
  <w:footnote w:id="169">
    <w:p w14:paraId="211CAB4D" w14:textId="02C77282" w:rsidR="00A148FE" w:rsidRPr="00A03B67" w:rsidRDefault="00A148FE" w:rsidP="00A148FE">
      <w:pPr>
        <w:pStyle w:val="FootnoteText"/>
      </w:pPr>
      <w:r w:rsidRPr="00A03B67">
        <w:rPr>
          <w:rStyle w:val="FootnoteReference"/>
        </w:rPr>
        <w:footnoteRef/>
      </w:r>
      <w:r w:rsidRPr="00A03B67">
        <w:t xml:space="preserve"> Fair Work Ombudsman, </w:t>
      </w:r>
      <w:r w:rsidRPr="00A03B67">
        <w:rPr>
          <w:i/>
          <w:iCs/>
        </w:rPr>
        <w:t xml:space="preserve">Role of CFMEU </w:t>
      </w:r>
      <w:r w:rsidR="00AE691B" w:rsidRPr="00A03B67">
        <w:rPr>
          <w:i/>
          <w:iCs/>
        </w:rPr>
        <w:t>A</w:t>
      </w:r>
      <w:r w:rsidRPr="00A03B67">
        <w:rPr>
          <w:i/>
          <w:iCs/>
        </w:rPr>
        <w:t>dministrator</w:t>
      </w:r>
      <w:r w:rsidRPr="00A03B67">
        <w:t xml:space="preserve"> (</w:t>
      </w:r>
      <w:r w:rsidR="00A62F4B" w:rsidRPr="00A03B67">
        <w:t>Web Page, 16 January 2025</w:t>
      </w:r>
      <w:r w:rsidRPr="00A03B67">
        <w:t>)</w:t>
      </w:r>
      <w:r w:rsidR="00A62F4B" w:rsidRPr="00A03B67">
        <w:t>.</w:t>
      </w:r>
    </w:p>
  </w:footnote>
  <w:footnote w:id="170">
    <w:p w14:paraId="63E4661D" w14:textId="0ADD7076" w:rsidR="00A148FE" w:rsidRPr="00A03B67" w:rsidRDefault="00A148FE" w:rsidP="00A148FE">
      <w:pPr>
        <w:pStyle w:val="FootnoteText"/>
      </w:pPr>
      <w:r w:rsidRPr="00A03B67">
        <w:rPr>
          <w:rStyle w:val="FootnoteReference"/>
        </w:rPr>
        <w:footnoteRef/>
      </w:r>
      <w:r w:rsidRPr="00A03B67">
        <w:t xml:space="preserve"> </w:t>
      </w:r>
      <w:r w:rsidR="000E7358" w:rsidRPr="00A03B67">
        <w:t>F</w:t>
      </w:r>
      <w:r w:rsidR="00666F34" w:rsidRPr="00A03B67">
        <w:t>air Work Commission</w:t>
      </w:r>
      <w:r w:rsidR="000E7358" w:rsidRPr="00A03B67">
        <w:t>,</w:t>
      </w:r>
      <w:r w:rsidRPr="00A03B67">
        <w:t xml:space="preserve"> </w:t>
      </w:r>
      <w:r w:rsidR="00666F34" w:rsidRPr="00A03B67">
        <w:t xml:space="preserve">Appointment of Independent Administrator, CFMEU (Construction and General Division), </w:t>
      </w:r>
      <w:r w:rsidRPr="00A03B67">
        <w:t>23 August 2024</w:t>
      </w:r>
      <w:r w:rsidR="00666F34" w:rsidRPr="00A03B67">
        <w:t xml:space="preserve"> &lt; https://www.fwc.gov.au/appointment-independent-administrator-cfmeu-construction-and-general-division&gt;</w:t>
      </w:r>
      <w:r w:rsidRPr="00A03B67">
        <w:t xml:space="preserve">. </w:t>
      </w:r>
    </w:p>
  </w:footnote>
  <w:footnote w:id="171">
    <w:p w14:paraId="26AA6610" w14:textId="2D70AF8D"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Pr="00A03B67">
        <w:t xml:space="preserve">, </w:t>
      </w:r>
      <w:r w:rsidR="00E44885" w:rsidRPr="00A03B67">
        <w:rPr>
          <w:i/>
          <w:iCs/>
        </w:rPr>
        <w:t>Compliance and Enforcement Policy</w:t>
      </w:r>
      <w:r w:rsidR="00A62F4B" w:rsidRPr="00A03B67">
        <w:t xml:space="preserve"> (</w:t>
      </w:r>
      <w:r w:rsidRPr="00A03B67">
        <w:t>2024</w:t>
      </w:r>
      <w:r w:rsidR="00A62F4B" w:rsidRPr="00A03B67">
        <w:t>)</w:t>
      </w:r>
      <w:r w:rsidRPr="00A03B67">
        <w:t xml:space="preserve"> 4. </w:t>
      </w:r>
    </w:p>
  </w:footnote>
  <w:footnote w:id="172">
    <w:p w14:paraId="721A4C00" w14:textId="721E6E6E"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D052AA" w:rsidRPr="00A03B67">
        <w:t>,</w:t>
      </w:r>
      <w:r w:rsidRPr="00A03B67">
        <w:t xml:space="preserve"> </w:t>
      </w:r>
      <w:r w:rsidR="00E44885" w:rsidRPr="00A03B67">
        <w:rPr>
          <w:i/>
          <w:iCs/>
        </w:rPr>
        <w:t>Compliance and Enforcement Policy</w:t>
      </w:r>
      <w:r w:rsidR="00A62F4B" w:rsidRPr="00A03B67">
        <w:t xml:space="preserve"> (</w:t>
      </w:r>
      <w:r w:rsidRPr="00A03B67">
        <w:t>2024</w:t>
      </w:r>
      <w:r w:rsidR="00A62F4B" w:rsidRPr="00A03B67">
        <w:t xml:space="preserve">) </w:t>
      </w:r>
      <w:r w:rsidRPr="00A03B67">
        <w:t>5.</w:t>
      </w:r>
    </w:p>
  </w:footnote>
  <w:footnote w:id="173">
    <w:p w14:paraId="75E2942F" w14:textId="01010421"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D052AA" w:rsidRPr="00A03B67">
        <w:t>,</w:t>
      </w:r>
      <w:r w:rsidRPr="00A03B67">
        <w:t xml:space="preserve"> </w:t>
      </w:r>
      <w:r w:rsidR="00E44885" w:rsidRPr="00A03B67">
        <w:rPr>
          <w:i/>
          <w:iCs/>
        </w:rPr>
        <w:t>General Manager Response to External Review</w:t>
      </w:r>
      <w:r w:rsidR="00E44885" w:rsidRPr="00A03B67">
        <w:t xml:space="preserve"> </w:t>
      </w:r>
      <w:r w:rsidR="00A62F4B" w:rsidRPr="00A03B67">
        <w:t>(</w:t>
      </w:r>
      <w:r w:rsidR="00E44885" w:rsidRPr="00A03B67">
        <w:t>Report</w:t>
      </w:r>
      <w:r w:rsidR="00A62F4B" w:rsidRPr="00A03B67">
        <w:t xml:space="preserve">) </w:t>
      </w:r>
      <w:r w:rsidRPr="00A03B67">
        <w:t>1</w:t>
      </w:r>
      <w:r w:rsidR="00230164" w:rsidRPr="00A03B67">
        <w:t>. See: &lt; https://www.fwc.gov.au/about-us/news-and-media/news/registered-organisations-governance-compliance-external-review-final&gt;</w:t>
      </w:r>
      <w:r w:rsidRPr="00A03B67">
        <w:t xml:space="preserve">. </w:t>
      </w:r>
    </w:p>
  </w:footnote>
  <w:footnote w:id="174">
    <w:p w14:paraId="105BB667" w14:textId="19FFFD25" w:rsidR="00A148FE" w:rsidRPr="00A03B67" w:rsidRDefault="00A148FE" w:rsidP="00A148FE">
      <w:pPr>
        <w:pStyle w:val="FootnoteText"/>
      </w:pPr>
      <w:r w:rsidRPr="00A03B67">
        <w:rPr>
          <w:rStyle w:val="FootnoteReference"/>
        </w:rPr>
        <w:footnoteRef/>
      </w:r>
      <w:r w:rsidRPr="00A03B67">
        <w:t xml:space="preserve"> Fair Work Commission</w:t>
      </w:r>
      <w:r w:rsidR="00A62F4B" w:rsidRPr="00A03B67">
        <w:t xml:space="preserve">, </w:t>
      </w:r>
      <w:r w:rsidR="00E44885" w:rsidRPr="00A03B67">
        <w:rPr>
          <w:i/>
          <w:iCs/>
        </w:rPr>
        <w:t>Terms of Reference – Registered Organisations Governance and Compliance External Review</w:t>
      </w:r>
      <w:r w:rsidR="00A62F4B" w:rsidRPr="00A03B67">
        <w:t xml:space="preserve"> (n.d.)</w:t>
      </w:r>
    </w:p>
  </w:footnote>
  <w:footnote w:id="175">
    <w:p w14:paraId="2971537A" w14:textId="6DA29F2C" w:rsidR="00A148FE" w:rsidRPr="00A03B67" w:rsidRDefault="00A148FE" w:rsidP="00A148FE">
      <w:pPr>
        <w:pStyle w:val="FootnoteText"/>
      </w:pPr>
      <w:r w:rsidRPr="00A03B67">
        <w:rPr>
          <w:rStyle w:val="FootnoteReference"/>
        </w:rPr>
        <w:footnoteRef/>
      </w:r>
      <w:r w:rsidRPr="00A03B67">
        <w:t xml:space="preserve"> Jonathan Hamberger and Anna Booth</w:t>
      </w:r>
      <w:r w:rsidR="00A62F4B" w:rsidRPr="00A03B67">
        <w:t>,</w:t>
      </w:r>
      <w:r w:rsidRPr="00A03B67">
        <w:t xml:space="preserve"> </w:t>
      </w:r>
      <w:r w:rsidR="00E44885" w:rsidRPr="00A03B67">
        <w:rPr>
          <w:i/>
          <w:iCs/>
        </w:rPr>
        <w:t>Registered Organisations Review Report</w:t>
      </w:r>
      <w:r w:rsidR="00A62F4B" w:rsidRPr="00A03B67">
        <w:t xml:space="preserve"> (Report, </w:t>
      </w:r>
      <w:r w:rsidRPr="00A03B67">
        <w:t>2023</w:t>
      </w:r>
      <w:r w:rsidR="00A62F4B" w:rsidRPr="00A03B67">
        <w:t>)</w:t>
      </w:r>
      <w:r w:rsidRPr="00A03B67">
        <w:t>.</w:t>
      </w:r>
    </w:p>
  </w:footnote>
  <w:footnote w:id="176">
    <w:p w14:paraId="7B9C42CA" w14:textId="3244891E"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D052AA" w:rsidRPr="00A03B67">
        <w:t>,</w:t>
      </w:r>
      <w:r w:rsidRPr="00A03B67">
        <w:t xml:space="preserve"> </w:t>
      </w:r>
      <w:r w:rsidR="00E44885" w:rsidRPr="00A03B67">
        <w:t>General Manager Response to External Review Report</w:t>
      </w:r>
      <w:r w:rsidR="00A62F4B" w:rsidRPr="00A03B67">
        <w:t xml:space="preserve"> (Report)</w:t>
      </w:r>
      <w:r w:rsidRPr="00A03B67">
        <w:t>.</w:t>
      </w:r>
      <w:r w:rsidR="00A62F4B" w:rsidRPr="00A03B67">
        <w:t xml:space="preserve"> </w:t>
      </w:r>
      <w:r w:rsidR="00230164" w:rsidRPr="00A03B67">
        <w:t>See: &lt; https://www.fwc.gov.au/about-us/news-and-media/news/registered-organisations-governance-compliance-external-review-final&gt;.</w:t>
      </w:r>
    </w:p>
  </w:footnote>
  <w:footnote w:id="177">
    <w:p w14:paraId="34BB268F" w14:textId="49D2B068"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D052AA" w:rsidRPr="00A03B67">
        <w:t>,</w:t>
      </w:r>
      <w:r w:rsidRPr="00A03B67">
        <w:t xml:space="preserve"> </w:t>
      </w:r>
      <w:r w:rsidR="00BE719A" w:rsidRPr="00A03B67">
        <w:t>General Manager Response to External Review Report</w:t>
      </w:r>
      <w:r w:rsidR="00A62F4B" w:rsidRPr="00A03B67">
        <w:t xml:space="preserve"> (Report) </w:t>
      </w:r>
      <w:r w:rsidRPr="00A03B67">
        <w:t>3.</w:t>
      </w:r>
      <w:r w:rsidR="00A62F4B" w:rsidRPr="00A03B67">
        <w:t xml:space="preserve"> </w:t>
      </w:r>
      <w:r w:rsidR="00230164" w:rsidRPr="00A03B67">
        <w:t>See: &lt; https://www.fwc.gov.au/about-us/news-and-media/news/registered-organisations-governance-compliance-external-review-final&gt;.</w:t>
      </w:r>
    </w:p>
  </w:footnote>
  <w:footnote w:id="178">
    <w:p w14:paraId="0AC31A70" w14:textId="3713D733"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C10965" w:rsidRPr="00A03B67">
        <w:t>,</w:t>
      </w:r>
      <w:r w:rsidRPr="00A03B67">
        <w:t xml:space="preserve"> </w:t>
      </w:r>
      <w:r w:rsidR="00BE719A" w:rsidRPr="00A03B67">
        <w:rPr>
          <w:i/>
          <w:iCs/>
        </w:rPr>
        <w:t>Compliance Practitioners Reference Group</w:t>
      </w:r>
      <w:r w:rsidR="00D663C0" w:rsidRPr="00A03B67">
        <w:t xml:space="preserve"> (Web Page, n.d.)</w:t>
      </w:r>
      <w:r w:rsidR="00E75542" w:rsidRPr="00A03B67">
        <w:t>.</w:t>
      </w:r>
    </w:p>
  </w:footnote>
  <w:footnote w:id="179">
    <w:p w14:paraId="79D9F009" w14:textId="3A85F879"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D663C0" w:rsidRPr="00A03B67">
        <w:t xml:space="preserve">, </w:t>
      </w:r>
      <w:r w:rsidR="00D663C0" w:rsidRPr="00A03B67">
        <w:rPr>
          <w:i/>
          <w:iCs/>
        </w:rPr>
        <w:t>Compliance Practitioners Reference Group</w:t>
      </w:r>
      <w:r w:rsidR="00D663C0" w:rsidRPr="00A03B67">
        <w:t xml:space="preserve"> (Web Page, n.d.).</w:t>
      </w:r>
    </w:p>
  </w:footnote>
  <w:footnote w:id="180">
    <w:p w14:paraId="38DA6FB3" w14:textId="0909B649"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C10965" w:rsidRPr="00A03B67">
        <w:t>,</w:t>
      </w:r>
      <w:r w:rsidRPr="00A03B67">
        <w:t xml:space="preserve"> </w:t>
      </w:r>
      <w:r w:rsidR="00BE719A" w:rsidRPr="00A03B67">
        <w:rPr>
          <w:i/>
          <w:iCs/>
        </w:rPr>
        <w:t xml:space="preserve">Our Listen and Learn </w:t>
      </w:r>
      <w:r w:rsidR="00A62F4B" w:rsidRPr="00A03B67">
        <w:rPr>
          <w:i/>
          <w:iCs/>
        </w:rPr>
        <w:t>P</w:t>
      </w:r>
      <w:r w:rsidR="00BE719A" w:rsidRPr="00A03B67">
        <w:rPr>
          <w:i/>
          <w:iCs/>
        </w:rPr>
        <w:t>rogram</w:t>
      </w:r>
      <w:r w:rsidR="00A62F4B" w:rsidRPr="00A03B67">
        <w:t xml:space="preserve"> (Web Page, n.d.)</w:t>
      </w:r>
    </w:p>
  </w:footnote>
  <w:footnote w:id="181">
    <w:p w14:paraId="2EFBE531" w14:textId="69C857BC"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C10965" w:rsidRPr="00A03B67">
        <w:t>,</w:t>
      </w:r>
      <w:r w:rsidRPr="00A03B67">
        <w:t xml:space="preserve"> </w:t>
      </w:r>
      <w:r w:rsidR="00BE719A" w:rsidRPr="00A03B67">
        <w:rPr>
          <w:i/>
          <w:iCs/>
        </w:rPr>
        <w:t xml:space="preserve">Our Listen and Learn </w:t>
      </w:r>
      <w:r w:rsidR="00A62F4B" w:rsidRPr="00A03B67">
        <w:rPr>
          <w:i/>
          <w:iCs/>
        </w:rPr>
        <w:t>P</w:t>
      </w:r>
      <w:r w:rsidR="00BE719A" w:rsidRPr="00A03B67">
        <w:rPr>
          <w:i/>
          <w:iCs/>
        </w:rPr>
        <w:t>rogram</w:t>
      </w:r>
      <w:r w:rsidR="00A62F4B" w:rsidRPr="00A03B67">
        <w:t xml:space="preserve"> (Web Page, n.d.).</w:t>
      </w:r>
    </w:p>
  </w:footnote>
  <w:footnote w:id="182">
    <w:p w14:paraId="284E171B" w14:textId="71D73131"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C10965" w:rsidRPr="00A03B67">
        <w:t>,</w:t>
      </w:r>
      <w:r w:rsidRPr="00A03B67">
        <w:t xml:space="preserve"> </w:t>
      </w:r>
      <w:r w:rsidR="00D37C4B" w:rsidRPr="00A03B67">
        <w:rPr>
          <w:i/>
          <w:iCs/>
        </w:rPr>
        <w:t>Interim Registered Organisations Engagement and Education Strategy, July – September 2023</w:t>
      </w:r>
      <w:r w:rsidR="00A62F4B" w:rsidRPr="00A03B67">
        <w:t xml:space="preserve"> (2023)</w:t>
      </w:r>
      <w:r w:rsidRPr="00A03B67">
        <w:t>.</w:t>
      </w:r>
    </w:p>
  </w:footnote>
  <w:footnote w:id="183">
    <w:p w14:paraId="56D922C0" w14:textId="41813796" w:rsidR="00A148FE" w:rsidRPr="00A03B67" w:rsidRDefault="00A148FE" w:rsidP="00A148FE">
      <w:pPr>
        <w:pStyle w:val="FootnoteText"/>
      </w:pPr>
      <w:r w:rsidRPr="00A03B67">
        <w:rPr>
          <w:rStyle w:val="FootnoteReference"/>
        </w:rPr>
        <w:footnoteRef/>
      </w:r>
      <w:r w:rsidRPr="00A03B67">
        <w:t xml:space="preserve"> </w:t>
      </w:r>
      <w:r w:rsidR="00A62F4B" w:rsidRPr="00A03B67">
        <w:t>Fair Work Commission</w:t>
      </w:r>
      <w:r w:rsidR="00C10965" w:rsidRPr="00A03B67">
        <w:t>,</w:t>
      </w:r>
      <w:r w:rsidRPr="00A03B67">
        <w:t xml:space="preserve"> </w:t>
      </w:r>
      <w:r w:rsidR="00D37C4B" w:rsidRPr="00A03B67">
        <w:rPr>
          <w:i/>
          <w:iCs/>
        </w:rPr>
        <w:t>Interim Registered Organisations Engagement and Education Strategy, July – September 2023</w:t>
      </w:r>
      <w:r w:rsidR="00A62F4B" w:rsidRPr="00A03B67">
        <w:t xml:space="preserve"> (2023)</w:t>
      </w:r>
      <w:r w:rsidRPr="00A03B67">
        <w:t>.</w:t>
      </w:r>
    </w:p>
  </w:footnote>
  <w:footnote w:id="184">
    <w:p w14:paraId="63170593" w14:textId="4A9A13F1" w:rsidR="00A148FE" w:rsidRPr="00A03B67" w:rsidRDefault="00A148FE" w:rsidP="00A148FE">
      <w:pPr>
        <w:spacing w:after="0"/>
        <w:rPr>
          <w:sz w:val="20"/>
          <w:szCs w:val="20"/>
        </w:rPr>
      </w:pPr>
      <w:r w:rsidRPr="00A03B67">
        <w:rPr>
          <w:rStyle w:val="FootnoteReference"/>
          <w:sz w:val="20"/>
          <w:szCs w:val="20"/>
        </w:rPr>
        <w:footnoteRef/>
      </w:r>
      <w:r w:rsidRPr="00A03B67">
        <w:rPr>
          <w:sz w:val="20"/>
          <w:szCs w:val="20"/>
        </w:rPr>
        <w:t xml:space="preserve"> </w:t>
      </w:r>
      <w:r w:rsidR="00A62F4B" w:rsidRPr="00A03B67">
        <w:rPr>
          <w:sz w:val="18"/>
          <w:szCs w:val="20"/>
        </w:rPr>
        <w:t xml:space="preserve">Fair Work Commission, </w:t>
      </w:r>
      <w:r w:rsidR="00764912" w:rsidRPr="00A03B67">
        <w:rPr>
          <w:i/>
          <w:iCs/>
          <w:sz w:val="18"/>
          <w:szCs w:val="20"/>
        </w:rPr>
        <w:t xml:space="preserve">Registered </w:t>
      </w:r>
      <w:r w:rsidR="00330F6F" w:rsidRPr="00A03B67">
        <w:rPr>
          <w:i/>
          <w:iCs/>
          <w:sz w:val="18"/>
          <w:szCs w:val="20"/>
        </w:rPr>
        <w:t>O</w:t>
      </w:r>
      <w:r w:rsidR="00764912" w:rsidRPr="00A03B67">
        <w:rPr>
          <w:i/>
          <w:iCs/>
          <w:sz w:val="18"/>
          <w:szCs w:val="20"/>
        </w:rPr>
        <w:t xml:space="preserve">rganisations </w:t>
      </w:r>
      <w:r w:rsidR="00330F6F" w:rsidRPr="00A03B67">
        <w:rPr>
          <w:i/>
          <w:iCs/>
          <w:sz w:val="18"/>
          <w:szCs w:val="20"/>
        </w:rPr>
        <w:t>F</w:t>
      </w:r>
      <w:r w:rsidR="00764912" w:rsidRPr="00A03B67">
        <w:rPr>
          <w:i/>
          <w:iCs/>
          <w:sz w:val="18"/>
          <w:szCs w:val="20"/>
        </w:rPr>
        <w:t xml:space="preserve">unctions: 12 </w:t>
      </w:r>
      <w:r w:rsidR="00330F6F" w:rsidRPr="00A03B67">
        <w:rPr>
          <w:i/>
          <w:iCs/>
          <w:sz w:val="18"/>
          <w:szCs w:val="20"/>
        </w:rPr>
        <w:t>M</w:t>
      </w:r>
      <w:r w:rsidR="00764912" w:rsidRPr="00A03B67">
        <w:rPr>
          <w:i/>
          <w:iCs/>
          <w:sz w:val="18"/>
          <w:szCs w:val="20"/>
        </w:rPr>
        <w:t xml:space="preserve">onth </w:t>
      </w:r>
      <w:r w:rsidR="00330F6F" w:rsidRPr="00A03B67">
        <w:rPr>
          <w:i/>
          <w:iCs/>
          <w:sz w:val="18"/>
          <w:szCs w:val="20"/>
        </w:rPr>
        <w:t>R</w:t>
      </w:r>
      <w:r w:rsidR="00764912" w:rsidRPr="00A03B67">
        <w:rPr>
          <w:i/>
          <w:iCs/>
          <w:sz w:val="18"/>
          <w:szCs w:val="20"/>
        </w:rPr>
        <w:t>eview</w:t>
      </w:r>
      <w:r w:rsidR="00330F6F" w:rsidRPr="00A03B67">
        <w:rPr>
          <w:sz w:val="18"/>
          <w:szCs w:val="20"/>
        </w:rPr>
        <w:t xml:space="preserve"> (Report, </w:t>
      </w:r>
      <w:r w:rsidRPr="00A03B67">
        <w:rPr>
          <w:sz w:val="18"/>
          <w:szCs w:val="20"/>
        </w:rPr>
        <w:t>2024</w:t>
      </w:r>
      <w:r w:rsidR="00330F6F" w:rsidRPr="00A03B67">
        <w:rPr>
          <w:sz w:val="18"/>
          <w:szCs w:val="20"/>
        </w:rPr>
        <w:t>)</w:t>
      </w:r>
      <w:r w:rsidRPr="00A03B67">
        <w:rPr>
          <w:sz w:val="18"/>
          <w:szCs w:val="20"/>
        </w:rPr>
        <w:t xml:space="preserve">. </w:t>
      </w:r>
    </w:p>
  </w:footnote>
  <w:footnote w:id="185">
    <w:p w14:paraId="053DD2D7" w14:textId="69CF390A" w:rsidR="00A148FE" w:rsidRPr="00654CA3" w:rsidRDefault="00A148FE" w:rsidP="00A148FE">
      <w:pPr>
        <w:spacing w:after="0"/>
        <w:rPr>
          <w:sz w:val="18"/>
          <w:szCs w:val="18"/>
        </w:rPr>
      </w:pPr>
      <w:r w:rsidRPr="00654CA3">
        <w:rPr>
          <w:rStyle w:val="FootnoteReference"/>
          <w:sz w:val="18"/>
          <w:szCs w:val="18"/>
        </w:rPr>
        <w:footnoteRef/>
      </w:r>
      <w:r w:rsidRPr="00654CA3">
        <w:rPr>
          <w:sz w:val="18"/>
          <w:szCs w:val="18"/>
        </w:rPr>
        <w:t xml:space="preserve"> </w:t>
      </w:r>
      <w:r w:rsidR="00330F6F" w:rsidRPr="00654CA3">
        <w:rPr>
          <w:sz w:val="18"/>
          <w:szCs w:val="18"/>
        </w:rPr>
        <w:t xml:space="preserve">Fair Work Commission, </w:t>
      </w:r>
      <w:r w:rsidR="00764912" w:rsidRPr="00654CA3">
        <w:rPr>
          <w:i/>
          <w:iCs/>
          <w:sz w:val="18"/>
          <w:szCs w:val="18"/>
        </w:rPr>
        <w:t xml:space="preserve">Registered </w:t>
      </w:r>
      <w:r w:rsidR="00330F6F" w:rsidRPr="00654CA3">
        <w:rPr>
          <w:i/>
          <w:iCs/>
          <w:sz w:val="18"/>
          <w:szCs w:val="18"/>
        </w:rPr>
        <w:t>O</w:t>
      </w:r>
      <w:r w:rsidR="00764912" w:rsidRPr="00654CA3">
        <w:rPr>
          <w:i/>
          <w:iCs/>
          <w:sz w:val="18"/>
          <w:szCs w:val="18"/>
        </w:rPr>
        <w:t xml:space="preserve">rganisations </w:t>
      </w:r>
      <w:r w:rsidR="00330F6F" w:rsidRPr="00654CA3">
        <w:rPr>
          <w:i/>
          <w:iCs/>
          <w:sz w:val="18"/>
          <w:szCs w:val="18"/>
        </w:rPr>
        <w:t>F</w:t>
      </w:r>
      <w:r w:rsidR="00764912" w:rsidRPr="00654CA3">
        <w:rPr>
          <w:i/>
          <w:iCs/>
          <w:sz w:val="18"/>
          <w:szCs w:val="18"/>
        </w:rPr>
        <w:t xml:space="preserve">unctions: 12 </w:t>
      </w:r>
      <w:r w:rsidR="00330F6F" w:rsidRPr="00654CA3">
        <w:rPr>
          <w:i/>
          <w:iCs/>
          <w:sz w:val="18"/>
          <w:szCs w:val="18"/>
        </w:rPr>
        <w:t>M</w:t>
      </w:r>
      <w:r w:rsidR="00764912" w:rsidRPr="00654CA3">
        <w:rPr>
          <w:i/>
          <w:iCs/>
          <w:sz w:val="18"/>
          <w:szCs w:val="18"/>
        </w:rPr>
        <w:t xml:space="preserve">onth </w:t>
      </w:r>
      <w:r w:rsidR="00330F6F" w:rsidRPr="00654CA3">
        <w:rPr>
          <w:i/>
          <w:iCs/>
          <w:sz w:val="18"/>
          <w:szCs w:val="18"/>
        </w:rPr>
        <w:t>R</w:t>
      </w:r>
      <w:r w:rsidR="00764912" w:rsidRPr="00654CA3">
        <w:rPr>
          <w:i/>
          <w:iCs/>
          <w:sz w:val="18"/>
          <w:szCs w:val="18"/>
        </w:rPr>
        <w:t>eview</w:t>
      </w:r>
      <w:r w:rsidR="00330F6F" w:rsidRPr="00654CA3">
        <w:rPr>
          <w:sz w:val="18"/>
          <w:szCs w:val="18"/>
        </w:rPr>
        <w:t xml:space="preserve"> (Report, </w:t>
      </w:r>
      <w:r w:rsidRPr="00654CA3">
        <w:rPr>
          <w:sz w:val="18"/>
          <w:szCs w:val="18"/>
        </w:rPr>
        <w:t>2024</w:t>
      </w:r>
      <w:r w:rsidR="00330F6F" w:rsidRPr="00654CA3">
        <w:rPr>
          <w:sz w:val="18"/>
          <w:szCs w:val="18"/>
        </w:rPr>
        <w:t xml:space="preserve">) </w:t>
      </w:r>
      <w:r w:rsidRPr="00654CA3">
        <w:rPr>
          <w:sz w:val="18"/>
          <w:szCs w:val="18"/>
        </w:rPr>
        <w:t>2.</w:t>
      </w:r>
    </w:p>
  </w:footnote>
  <w:footnote w:id="186">
    <w:p w14:paraId="2FCE2DF1" w14:textId="33F2828C" w:rsidR="00A148FE" w:rsidRPr="00A03B67" w:rsidRDefault="00A148FE" w:rsidP="00A148FE">
      <w:pPr>
        <w:spacing w:after="0"/>
      </w:pPr>
      <w:r w:rsidRPr="00654CA3">
        <w:rPr>
          <w:rStyle w:val="FootnoteReference"/>
          <w:sz w:val="18"/>
          <w:szCs w:val="18"/>
        </w:rPr>
        <w:footnoteRef/>
      </w:r>
      <w:r w:rsidRPr="00654CA3">
        <w:rPr>
          <w:sz w:val="18"/>
          <w:szCs w:val="18"/>
        </w:rPr>
        <w:t xml:space="preserve"> </w:t>
      </w:r>
      <w:r w:rsidR="00330F6F" w:rsidRPr="00654CA3">
        <w:rPr>
          <w:sz w:val="18"/>
          <w:szCs w:val="18"/>
        </w:rPr>
        <w:t xml:space="preserve">Fair Work Commission, </w:t>
      </w:r>
      <w:r w:rsidR="00764912" w:rsidRPr="00654CA3">
        <w:rPr>
          <w:i/>
          <w:iCs/>
          <w:sz w:val="18"/>
          <w:szCs w:val="18"/>
        </w:rPr>
        <w:t xml:space="preserve">Registered </w:t>
      </w:r>
      <w:r w:rsidR="00330F6F" w:rsidRPr="00654CA3">
        <w:rPr>
          <w:i/>
          <w:iCs/>
          <w:sz w:val="18"/>
          <w:szCs w:val="18"/>
        </w:rPr>
        <w:t>o</w:t>
      </w:r>
      <w:r w:rsidR="00764912" w:rsidRPr="00654CA3">
        <w:rPr>
          <w:i/>
          <w:iCs/>
          <w:sz w:val="18"/>
          <w:szCs w:val="18"/>
        </w:rPr>
        <w:t xml:space="preserve">rganisations </w:t>
      </w:r>
      <w:r w:rsidR="00330F6F" w:rsidRPr="00654CA3">
        <w:rPr>
          <w:i/>
          <w:iCs/>
          <w:sz w:val="18"/>
          <w:szCs w:val="18"/>
        </w:rPr>
        <w:t>F</w:t>
      </w:r>
      <w:r w:rsidR="00764912" w:rsidRPr="00654CA3">
        <w:rPr>
          <w:i/>
          <w:iCs/>
          <w:sz w:val="18"/>
          <w:szCs w:val="18"/>
        </w:rPr>
        <w:t xml:space="preserve">unctions: 12 </w:t>
      </w:r>
      <w:r w:rsidR="00330F6F" w:rsidRPr="00654CA3">
        <w:rPr>
          <w:i/>
          <w:iCs/>
          <w:sz w:val="18"/>
          <w:szCs w:val="18"/>
        </w:rPr>
        <w:t>M</w:t>
      </w:r>
      <w:r w:rsidR="00764912" w:rsidRPr="00654CA3">
        <w:rPr>
          <w:i/>
          <w:iCs/>
          <w:sz w:val="18"/>
          <w:szCs w:val="18"/>
        </w:rPr>
        <w:t xml:space="preserve">onth </w:t>
      </w:r>
      <w:r w:rsidR="00330F6F" w:rsidRPr="00654CA3">
        <w:rPr>
          <w:i/>
          <w:iCs/>
          <w:sz w:val="18"/>
          <w:szCs w:val="18"/>
        </w:rPr>
        <w:t>R</w:t>
      </w:r>
      <w:r w:rsidR="00764912" w:rsidRPr="00654CA3">
        <w:rPr>
          <w:i/>
          <w:iCs/>
          <w:sz w:val="18"/>
          <w:szCs w:val="18"/>
        </w:rPr>
        <w:t>eview</w:t>
      </w:r>
      <w:r w:rsidR="00330F6F" w:rsidRPr="00654CA3">
        <w:rPr>
          <w:sz w:val="18"/>
          <w:szCs w:val="18"/>
        </w:rPr>
        <w:t xml:space="preserve"> (Report, </w:t>
      </w:r>
      <w:r w:rsidRPr="00654CA3">
        <w:rPr>
          <w:sz w:val="18"/>
          <w:szCs w:val="18"/>
        </w:rPr>
        <w:t>2024</w:t>
      </w:r>
      <w:r w:rsidR="00330F6F" w:rsidRPr="00654CA3">
        <w:rPr>
          <w:sz w:val="18"/>
          <w:szCs w:val="18"/>
        </w:rPr>
        <w:t xml:space="preserve">) </w:t>
      </w:r>
      <w:r w:rsidRPr="00654CA3">
        <w:rPr>
          <w:sz w:val="18"/>
          <w:szCs w:val="18"/>
        </w:rPr>
        <w:t>4.</w:t>
      </w:r>
      <w:r w:rsidRPr="00A03B67">
        <w:rPr>
          <w:sz w:val="20"/>
          <w:szCs w:val="20"/>
        </w:rPr>
        <w:t xml:space="preserve"> </w:t>
      </w:r>
    </w:p>
  </w:footnote>
  <w:footnote w:id="187">
    <w:p w14:paraId="41FF072C" w14:textId="528BFB74" w:rsidR="00E54DE0" w:rsidRPr="00A03B67" w:rsidRDefault="00E54DE0" w:rsidP="00E54DE0">
      <w:pPr>
        <w:pStyle w:val="FootnoteText"/>
      </w:pPr>
      <w:r w:rsidRPr="00A03B67">
        <w:rPr>
          <w:rStyle w:val="FootnoteReference"/>
        </w:rPr>
        <w:footnoteRef/>
      </w:r>
      <w:r w:rsidRPr="00A03B67">
        <w:t xml:space="preserve"> </w:t>
      </w:r>
      <w:r w:rsidR="00330F6F" w:rsidRPr="00A03B67">
        <w:t>United Workers Union (</w:t>
      </w:r>
      <w:r w:rsidRPr="00A03B67">
        <w:t>UWU</w:t>
      </w:r>
      <w:r w:rsidR="00330F6F" w:rsidRPr="00A03B67">
        <w:t>)</w:t>
      </w:r>
      <w:r w:rsidRPr="00A03B67">
        <w:t xml:space="preserve"> </w:t>
      </w:r>
      <w:r w:rsidR="00330F6F" w:rsidRPr="00A03B67">
        <w:t>s</w:t>
      </w:r>
      <w:r w:rsidRPr="00A03B67">
        <w:t>ubmission, p 42</w:t>
      </w:r>
      <w:r w:rsidR="00330F6F" w:rsidRPr="00A03B67">
        <w:t>.</w:t>
      </w:r>
    </w:p>
  </w:footnote>
  <w:footnote w:id="188">
    <w:p w14:paraId="0FA5AF64" w14:textId="00E96B6F" w:rsidR="00E54DE0" w:rsidRPr="00A03B67" w:rsidRDefault="00E54DE0" w:rsidP="00E54DE0">
      <w:pPr>
        <w:pStyle w:val="FootnoteText"/>
      </w:pPr>
      <w:r w:rsidRPr="00A03B67">
        <w:rPr>
          <w:rStyle w:val="FootnoteReference"/>
        </w:rPr>
        <w:footnoteRef/>
      </w:r>
      <w:r w:rsidRPr="00A03B67">
        <w:t xml:space="preserve"> </w:t>
      </w:r>
      <w:r w:rsidR="00330F6F" w:rsidRPr="00A03B67">
        <w:t>Australian Council of Trade Unions (</w:t>
      </w:r>
      <w:r w:rsidRPr="00A03B67">
        <w:t>ACTU</w:t>
      </w:r>
      <w:r w:rsidR="00330F6F" w:rsidRPr="00A03B67">
        <w:t>)</w:t>
      </w:r>
      <w:r w:rsidRPr="00A03B67">
        <w:t xml:space="preserve"> </w:t>
      </w:r>
      <w:r w:rsidR="00330F6F" w:rsidRPr="00A03B67">
        <w:t>s</w:t>
      </w:r>
      <w:r w:rsidRPr="00A03B67">
        <w:t>ubmission, p</w:t>
      </w:r>
      <w:r w:rsidR="00330F6F" w:rsidRPr="00A03B67">
        <w:t xml:space="preserve"> </w:t>
      </w:r>
      <w:r w:rsidRPr="00A03B67">
        <w:t>31.</w:t>
      </w:r>
    </w:p>
  </w:footnote>
  <w:footnote w:id="189">
    <w:p w14:paraId="7547495C" w14:textId="03DF2EA7" w:rsidR="0013448A" w:rsidRPr="00A03B67" w:rsidRDefault="0013448A">
      <w:pPr>
        <w:pStyle w:val="FootnoteText"/>
      </w:pPr>
      <w:r w:rsidRPr="00A03B67">
        <w:rPr>
          <w:rStyle w:val="FootnoteReference"/>
        </w:rPr>
        <w:footnoteRef/>
      </w:r>
      <w:r w:rsidRPr="00A03B67">
        <w:t xml:space="preserve"> Law Council of Australia </w:t>
      </w:r>
      <w:r w:rsidR="00330F6F" w:rsidRPr="00A03B67">
        <w:t>s</w:t>
      </w:r>
      <w:r w:rsidRPr="00A03B67">
        <w:t>ubmission</w:t>
      </w:r>
      <w:r w:rsidR="00EE5D76" w:rsidRPr="00A03B67">
        <w:t xml:space="preserve">, </w:t>
      </w:r>
      <w:r w:rsidR="00330F6F" w:rsidRPr="00A03B67">
        <w:t xml:space="preserve">p </w:t>
      </w:r>
      <w:r w:rsidR="00EE5D76" w:rsidRPr="00A03B67">
        <w:t>1</w:t>
      </w:r>
      <w:r w:rsidRPr="00A03B67">
        <w:t>.</w:t>
      </w:r>
    </w:p>
  </w:footnote>
  <w:footnote w:id="190">
    <w:p w14:paraId="1EDB33D4" w14:textId="5A6DC923" w:rsidR="00E54DE0" w:rsidRPr="00A03B67" w:rsidRDefault="00E54DE0" w:rsidP="00E54DE0">
      <w:pPr>
        <w:pStyle w:val="FootnoteText"/>
      </w:pPr>
      <w:r w:rsidRPr="00A03B67">
        <w:rPr>
          <w:rStyle w:val="FootnoteReference"/>
        </w:rPr>
        <w:footnoteRef/>
      </w:r>
      <w:r w:rsidRPr="00A03B67">
        <w:t xml:space="preserve"> </w:t>
      </w:r>
      <w:r w:rsidR="00330F6F" w:rsidRPr="00A03B67">
        <w:t>Australian Resources &amp; Energy Employer Association (</w:t>
      </w:r>
      <w:r w:rsidRPr="00A03B67">
        <w:t>AREEA</w:t>
      </w:r>
      <w:r w:rsidR="00330F6F" w:rsidRPr="00A03B67">
        <w:t>)</w:t>
      </w:r>
      <w:r w:rsidRPr="00A03B67">
        <w:t xml:space="preserve"> </w:t>
      </w:r>
      <w:r w:rsidR="00330F6F" w:rsidRPr="00A03B67">
        <w:t>s</w:t>
      </w:r>
      <w:r w:rsidRPr="00A03B67">
        <w:t>ubmission, p 20.</w:t>
      </w:r>
    </w:p>
  </w:footnote>
  <w:footnote w:id="191">
    <w:p w14:paraId="24C4A766" w14:textId="61D8BFBF" w:rsidR="00E54DE0" w:rsidRPr="00A03B67" w:rsidRDefault="00E54DE0" w:rsidP="00E54DE0">
      <w:pPr>
        <w:pStyle w:val="FootnoteText"/>
      </w:pPr>
      <w:r w:rsidRPr="00A03B67">
        <w:rPr>
          <w:rStyle w:val="FootnoteReference"/>
        </w:rPr>
        <w:footnoteRef/>
      </w:r>
      <w:r w:rsidRPr="00A03B67">
        <w:t xml:space="preserve"> </w:t>
      </w:r>
      <w:r w:rsidR="00330F6F" w:rsidRPr="00A03B67">
        <w:t>Australian Resources &amp; Energy Employer Association (</w:t>
      </w:r>
      <w:r w:rsidRPr="00A03B67">
        <w:t>AREEA</w:t>
      </w:r>
      <w:r w:rsidR="00330F6F" w:rsidRPr="00A03B67">
        <w:t>)</w:t>
      </w:r>
      <w:r w:rsidRPr="00A03B67">
        <w:t xml:space="preserve"> </w:t>
      </w:r>
      <w:r w:rsidR="00330F6F" w:rsidRPr="00A03B67">
        <w:t>s</w:t>
      </w:r>
      <w:r w:rsidRPr="00A03B67">
        <w:t>ubmission, p 20.</w:t>
      </w:r>
    </w:p>
  </w:footnote>
  <w:footnote w:id="192">
    <w:p w14:paraId="10153E9F" w14:textId="61D29C55" w:rsidR="00D54EE4" w:rsidRPr="00A03B67" w:rsidRDefault="00D54EE4">
      <w:pPr>
        <w:pStyle w:val="FootnoteText"/>
      </w:pPr>
      <w:r w:rsidRPr="00A03B67">
        <w:rPr>
          <w:rStyle w:val="FootnoteReference"/>
        </w:rPr>
        <w:footnoteRef/>
      </w:r>
      <w:r w:rsidRPr="00A03B67">
        <w:t xml:space="preserve"> HIA submission, </w:t>
      </w:r>
      <w:r w:rsidR="00654CA3">
        <w:t xml:space="preserve">p </w:t>
      </w:r>
      <w:r w:rsidRPr="00A03B67">
        <w:t>3.</w:t>
      </w:r>
    </w:p>
  </w:footnote>
  <w:footnote w:id="193">
    <w:p w14:paraId="72BC7F9F" w14:textId="7BFC41AB" w:rsidR="00A148FE" w:rsidRPr="00A03B67" w:rsidRDefault="00A148FE" w:rsidP="00A148FE">
      <w:pPr>
        <w:pStyle w:val="FootnoteText"/>
      </w:pPr>
      <w:r w:rsidRPr="00A03B67">
        <w:rPr>
          <w:rStyle w:val="FootnoteReference"/>
        </w:rPr>
        <w:footnoteRef/>
      </w:r>
      <w:r w:rsidRPr="00A03B67">
        <w:t xml:space="preserve"> </w:t>
      </w:r>
      <w:r w:rsidR="00330F6F" w:rsidRPr="00A03B67">
        <w:rPr>
          <w:i/>
          <w:iCs/>
        </w:rPr>
        <w:t>Fair Work (Registered Organisations) Act 2009</w:t>
      </w:r>
      <w:r w:rsidR="00330F6F" w:rsidRPr="00A03B67">
        <w:t xml:space="preserve"> (Cth) s 330.</w:t>
      </w:r>
    </w:p>
  </w:footnote>
  <w:footnote w:id="194">
    <w:p w14:paraId="4478E7D4" w14:textId="49C7B57C" w:rsidR="00A148FE" w:rsidRPr="00A03B67" w:rsidRDefault="00A148FE" w:rsidP="00A148FE">
      <w:pPr>
        <w:pStyle w:val="FootnoteText"/>
      </w:pPr>
      <w:r w:rsidRPr="00A03B67">
        <w:rPr>
          <w:rStyle w:val="FootnoteReference"/>
        </w:rPr>
        <w:footnoteRef/>
      </w:r>
      <w:r w:rsidRPr="00A03B67">
        <w:t xml:space="preserve"> </w:t>
      </w:r>
      <w:r w:rsidR="00330F6F" w:rsidRPr="00A03B67">
        <w:rPr>
          <w:i/>
          <w:iCs/>
        </w:rPr>
        <w:t>Fair Work (Registered Organisations) Act 2009</w:t>
      </w:r>
      <w:r w:rsidR="00330F6F" w:rsidRPr="00A03B67">
        <w:t xml:space="preserve"> (Cth) s </w:t>
      </w:r>
      <w:r w:rsidRPr="00A03B67">
        <w:t xml:space="preserve">331 and also protected disclosure investigations under Part 4A of the Act. </w:t>
      </w:r>
    </w:p>
  </w:footnote>
  <w:footnote w:id="195">
    <w:p w14:paraId="6D628D99" w14:textId="0ADFF7AE" w:rsidR="00A148FE" w:rsidRPr="00A03B67" w:rsidRDefault="00A148FE" w:rsidP="00A148FE">
      <w:pPr>
        <w:pStyle w:val="FootnoteText"/>
      </w:pPr>
      <w:r w:rsidRPr="00A03B67">
        <w:rPr>
          <w:rStyle w:val="FootnoteReference"/>
        </w:rPr>
        <w:footnoteRef/>
      </w:r>
      <w:r w:rsidRPr="00A03B67">
        <w:t xml:space="preserve"> </w:t>
      </w:r>
      <w:r w:rsidR="00330F6F" w:rsidRPr="00A03B67">
        <w:rPr>
          <w:i/>
          <w:iCs/>
        </w:rPr>
        <w:t>Fair Work (Registered Organisations) Act 2009</w:t>
      </w:r>
      <w:r w:rsidR="00330F6F" w:rsidRPr="00A03B67">
        <w:t xml:space="preserve"> (Cth) Ch </w:t>
      </w:r>
      <w:r w:rsidRPr="00A03B67">
        <w:t>10</w:t>
      </w:r>
      <w:r w:rsidR="00330F6F" w:rsidRPr="00A03B67">
        <w:t>, Pt 2</w:t>
      </w:r>
      <w:r w:rsidRPr="00A03B67">
        <w:t xml:space="preserve">. </w:t>
      </w:r>
    </w:p>
  </w:footnote>
  <w:footnote w:id="196">
    <w:p w14:paraId="78DF21C3" w14:textId="68A0CE68" w:rsidR="00A148FE" w:rsidRPr="00A03B67" w:rsidRDefault="00A148FE" w:rsidP="00A148FE">
      <w:pPr>
        <w:pStyle w:val="FootnoteText"/>
      </w:pPr>
      <w:r w:rsidRPr="00A03B67">
        <w:rPr>
          <w:rStyle w:val="FootnoteReference"/>
        </w:rPr>
        <w:footnoteRef/>
      </w:r>
      <w:r w:rsidRPr="00A03B67">
        <w:t xml:space="preserve"> </w:t>
      </w:r>
      <w:r w:rsidR="00330F6F" w:rsidRPr="00A03B67">
        <w:rPr>
          <w:i/>
          <w:iCs/>
        </w:rPr>
        <w:t>Fair Work (Registered Organisations) Act 2009</w:t>
      </w:r>
      <w:r w:rsidR="00330F6F" w:rsidRPr="00A03B67">
        <w:t xml:space="preserve"> (Cth) s </w:t>
      </w:r>
      <w:r w:rsidRPr="00A03B67">
        <w:t xml:space="preserve">316A. </w:t>
      </w:r>
    </w:p>
  </w:footnote>
  <w:footnote w:id="197">
    <w:p w14:paraId="231F275C" w14:textId="721A7A56" w:rsidR="00A148FE" w:rsidRPr="00A03B67" w:rsidRDefault="00A148FE" w:rsidP="00A148FE">
      <w:pPr>
        <w:pStyle w:val="FootnoteText"/>
      </w:pPr>
      <w:r w:rsidRPr="00A03B67">
        <w:rPr>
          <w:rStyle w:val="FootnoteReference"/>
        </w:rPr>
        <w:footnoteRef/>
      </w:r>
      <w:r w:rsidRPr="00A03B67">
        <w:t xml:space="preserve"> </w:t>
      </w:r>
      <w:r w:rsidR="00004D4B" w:rsidRPr="00A03B67">
        <w:t>Attorney-General</w:t>
      </w:r>
      <w:r w:rsidR="00330F6F" w:rsidRPr="00A03B67">
        <w:t>’</w:t>
      </w:r>
      <w:r w:rsidR="00004D4B" w:rsidRPr="00A03B67">
        <w:t>s Department</w:t>
      </w:r>
      <w:r w:rsidR="00330F6F" w:rsidRPr="00A03B67">
        <w:t>,</w:t>
      </w:r>
      <w:r w:rsidR="005D5383" w:rsidRPr="00A03B67">
        <w:t xml:space="preserve"> </w:t>
      </w:r>
      <w:r w:rsidR="00330F6F" w:rsidRPr="00A03B67">
        <w:rPr>
          <w:i/>
          <w:iCs/>
        </w:rPr>
        <w:t>Infringement Notices</w:t>
      </w:r>
      <w:r w:rsidR="00330F6F" w:rsidRPr="00A03B67">
        <w:t xml:space="preserve"> (Web Page, n.d.)</w:t>
      </w:r>
      <w:r w:rsidRPr="00A03B67">
        <w:t>.</w:t>
      </w:r>
    </w:p>
  </w:footnote>
  <w:footnote w:id="198">
    <w:p w14:paraId="7D35AF16" w14:textId="7C450F15" w:rsidR="00A148FE" w:rsidRPr="00A03B67" w:rsidRDefault="00A148FE" w:rsidP="00A148FE">
      <w:pPr>
        <w:pStyle w:val="FootnoteText"/>
      </w:pPr>
      <w:r w:rsidRPr="00A03B67">
        <w:rPr>
          <w:rStyle w:val="FootnoteReference"/>
        </w:rPr>
        <w:footnoteRef/>
      </w:r>
      <w:r w:rsidRPr="00A03B67">
        <w:t xml:space="preserve"> </w:t>
      </w:r>
      <w:r w:rsidR="00330F6F" w:rsidRPr="00A03B67">
        <w:t xml:space="preserve">Revised Explanatory Memorandum, </w:t>
      </w:r>
      <w:r w:rsidRPr="00A03B67">
        <w:t>Fair Work Legislation Amendment (Secure Jobs, Better Pay) Bill 2022, p</w:t>
      </w:r>
      <w:r w:rsidR="00330F6F" w:rsidRPr="00A03B67">
        <w:t xml:space="preserve"> </w:t>
      </w:r>
      <w:r w:rsidRPr="00A03B67">
        <w:t>21</w:t>
      </w:r>
      <w:r w:rsidR="00A172AE" w:rsidRPr="00A03B67">
        <w:t xml:space="preserve">, </w:t>
      </w:r>
      <w:r w:rsidR="00330F6F" w:rsidRPr="00A03B67">
        <w:t xml:space="preserve">para </w:t>
      </w:r>
      <w:r w:rsidR="00A172AE" w:rsidRPr="00A03B67">
        <w:t>89</w:t>
      </w:r>
      <w:r w:rsidRPr="00A03B67">
        <w:t>.</w:t>
      </w:r>
    </w:p>
  </w:footnote>
  <w:footnote w:id="199">
    <w:p w14:paraId="0F8AE7D1" w14:textId="3FED6C07" w:rsidR="00A148FE" w:rsidRPr="00A03B67" w:rsidRDefault="00A148FE" w:rsidP="00A148FE">
      <w:pPr>
        <w:pStyle w:val="FootnoteText"/>
      </w:pPr>
      <w:r w:rsidRPr="00A03B67">
        <w:rPr>
          <w:rStyle w:val="FootnoteReference"/>
        </w:rPr>
        <w:footnoteRef/>
      </w:r>
      <w:r w:rsidRPr="00A03B67">
        <w:t xml:space="preserve"> </w:t>
      </w:r>
      <w:r w:rsidR="00330F6F" w:rsidRPr="00A03B67">
        <w:t xml:space="preserve">Revised Explanatory Memorandum, </w:t>
      </w:r>
      <w:r w:rsidRPr="00A03B67">
        <w:t>Fair Work Legislation Amendment (Secure Jobs, Better Pay) Bill 2022, p</w:t>
      </w:r>
      <w:r w:rsidR="00330F6F" w:rsidRPr="00A03B67">
        <w:t xml:space="preserve"> </w:t>
      </w:r>
      <w:r w:rsidRPr="00A03B67">
        <w:t>21</w:t>
      </w:r>
      <w:r w:rsidR="00A172AE" w:rsidRPr="00A03B67">
        <w:t xml:space="preserve">, </w:t>
      </w:r>
      <w:r w:rsidR="00330F6F" w:rsidRPr="00A03B67">
        <w:t xml:space="preserve">para </w:t>
      </w:r>
      <w:r w:rsidR="00A172AE" w:rsidRPr="00A03B67">
        <w:t>89</w:t>
      </w:r>
      <w:r w:rsidRPr="00A03B67">
        <w:t>.</w:t>
      </w:r>
    </w:p>
  </w:footnote>
  <w:footnote w:id="200">
    <w:p w14:paraId="5EEBE41D" w14:textId="05B5C07A" w:rsidR="00A148FE" w:rsidRPr="00A03B67" w:rsidRDefault="00A148FE" w:rsidP="00A148FE">
      <w:pPr>
        <w:pStyle w:val="FootnoteText"/>
      </w:pPr>
      <w:r w:rsidRPr="00A03B67">
        <w:rPr>
          <w:rStyle w:val="FootnoteReference"/>
        </w:rPr>
        <w:footnoteRef/>
      </w:r>
      <w:r w:rsidRPr="00A03B67">
        <w:t xml:space="preserve"> </w:t>
      </w:r>
      <w:r w:rsidR="00330F6F" w:rsidRPr="00A03B67">
        <w:t xml:space="preserve">Revised Explanatory Memorandum, </w:t>
      </w:r>
      <w:r w:rsidRPr="00A03B67">
        <w:t>Fair Work Legislation Amendment (Secure Jobs, Better Pay) Bill 2022, p</w:t>
      </w:r>
      <w:r w:rsidR="00330F6F" w:rsidRPr="00A03B67">
        <w:t xml:space="preserve"> </w:t>
      </w:r>
      <w:r w:rsidRPr="00A03B67">
        <w:t>21</w:t>
      </w:r>
      <w:r w:rsidR="00944062" w:rsidRPr="00A03B67">
        <w:t xml:space="preserve">, </w:t>
      </w:r>
      <w:r w:rsidR="00330F6F" w:rsidRPr="00A03B67">
        <w:t xml:space="preserve">para </w:t>
      </w:r>
      <w:r w:rsidR="00944062" w:rsidRPr="00A03B67">
        <w:t>89</w:t>
      </w:r>
      <w:r w:rsidRPr="00A03B67">
        <w:t>.</w:t>
      </w:r>
    </w:p>
  </w:footnote>
  <w:footnote w:id="201">
    <w:p w14:paraId="1A9B064D" w14:textId="79A68CD4" w:rsidR="00A148FE" w:rsidRPr="00A03B67" w:rsidRDefault="00A148FE" w:rsidP="00A148FE">
      <w:pPr>
        <w:pStyle w:val="FootnoteText"/>
      </w:pPr>
      <w:r w:rsidRPr="00A03B67">
        <w:rPr>
          <w:rStyle w:val="FootnoteReference"/>
        </w:rPr>
        <w:footnoteRef/>
      </w:r>
      <w:r w:rsidRPr="00A03B67">
        <w:t xml:space="preserve"> </w:t>
      </w:r>
      <w:r w:rsidR="00944062" w:rsidRPr="00A03B67">
        <w:t>Attorney-General's Department</w:t>
      </w:r>
      <w:r w:rsidR="00330F6F" w:rsidRPr="00A03B67">
        <w:t>,</w:t>
      </w:r>
      <w:r w:rsidR="00944062" w:rsidRPr="00A03B67">
        <w:t xml:space="preserve"> </w:t>
      </w:r>
      <w:r w:rsidR="00330F6F" w:rsidRPr="00A03B67">
        <w:rPr>
          <w:i/>
          <w:iCs/>
        </w:rPr>
        <w:t>Infringement Notices</w:t>
      </w:r>
      <w:r w:rsidR="00330F6F" w:rsidRPr="00A03B67">
        <w:t xml:space="preserve"> (Web Page, n.d.)</w:t>
      </w:r>
      <w:r w:rsidRPr="00A03B67">
        <w:t>.</w:t>
      </w:r>
    </w:p>
  </w:footnote>
  <w:footnote w:id="202">
    <w:p w14:paraId="484D82AD" w14:textId="2E9B4717" w:rsidR="00A148FE" w:rsidRPr="00A03B67" w:rsidRDefault="00A148FE" w:rsidP="00A148FE">
      <w:pPr>
        <w:pStyle w:val="FootnoteText"/>
      </w:pPr>
      <w:r w:rsidRPr="00A03B67">
        <w:rPr>
          <w:rStyle w:val="FootnoteReference"/>
        </w:rPr>
        <w:footnoteRef/>
      </w:r>
      <w:r w:rsidRPr="00A03B67">
        <w:t xml:space="preserve"> </w:t>
      </w:r>
      <w:r w:rsidR="00330F6F" w:rsidRPr="00A03B67">
        <w:t xml:space="preserve">Attorney-General's Department, </w:t>
      </w:r>
      <w:r w:rsidR="00330F6F" w:rsidRPr="00A03B67">
        <w:rPr>
          <w:i/>
          <w:iCs/>
        </w:rPr>
        <w:t>Infringement Notices</w:t>
      </w:r>
      <w:r w:rsidR="00330F6F" w:rsidRPr="00A03B67">
        <w:t xml:space="preserve"> (Web Page, n.d.).</w:t>
      </w:r>
    </w:p>
  </w:footnote>
  <w:footnote w:id="203">
    <w:p w14:paraId="609B045B" w14:textId="7BBD8D53" w:rsidR="00A148FE" w:rsidRPr="00A03B67" w:rsidRDefault="00A148FE" w:rsidP="00A148FE">
      <w:pPr>
        <w:pStyle w:val="FootnoteText"/>
      </w:pPr>
      <w:r w:rsidRPr="00A03B67">
        <w:rPr>
          <w:rStyle w:val="FootnoteReference"/>
        </w:rPr>
        <w:footnoteRef/>
      </w:r>
      <w:r w:rsidRPr="00A03B67">
        <w:t xml:space="preserve"> </w:t>
      </w:r>
      <w:r w:rsidR="00330F6F" w:rsidRPr="00A03B67">
        <w:t xml:space="preserve">Transport Workers Union, </w:t>
      </w:r>
      <w:r w:rsidR="00944062" w:rsidRPr="00A03B67">
        <w:rPr>
          <w:i/>
          <w:iCs/>
        </w:rPr>
        <w:t>Undertaking to the General Manager of the Fair Work Commission</w:t>
      </w:r>
      <w:r w:rsidR="00330F6F" w:rsidRPr="00A03B67">
        <w:t xml:space="preserve"> (September 2024)</w:t>
      </w:r>
      <w:r w:rsidRPr="00A03B67">
        <w:t>.</w:t>
      </w:r>
    </w:p>
  </w:footnote>
  <w:footnote w:id="204">
    <w:p w14:paraId="36030B46" w14:textId="421D2152" w:rsidR="00A148FE" w:rsidRPr="00A03B67" w:rsidRDefault="00A148FE" w:rsidP="00A148FE">
      <w:pPr>
        <w:pStyle w:val="FootnoteText"/>
      </w:pPr>
      <w:r w:rsidRPr="00A03B67">
        <w:rPr>
          <w:rStyle w:val="FootnoteReference"/>
        </w:rPr>
        <w:footnoteRef/>
      </w:r>
      <w:r w:rsidRPr="00A03B67">
        <w:t xml:space="preserve"> </w:t>
      </w:r>
      <w:r w:rsidR="00330F6F" w:rsidRPr="00A03B67">
        <w:t xml:space="preserve">Transport Workers Union, </w:t>
      </w:r>
      <w:r w:rsidR="00330F6F" w:rsidRPr="00A03B67">
        <w:rPr>
          <w:i/>
          <w:iCs/>
        </w:rPr>
        <w:t>Undertaking to the General Manager of the Fair Work Commission</w:t>
      </w:r>
      <w:r w:rsidR="00330F6F" w:rsidRPr="00A03B67">
        <w:t xml:space="preserve"> (September 2024).</w:t>
      </w:r>
    </w:p>
  </w:footnote>
  <w:footnote w:id="205">
    <w:p w14:paraId="2DD44BB5" w14:textId="1C787D20" w:rsidR="00A148FE" w:rsidRPr="00A03B67" w:rsidRDefault="00A148FE" w:rsidP="00A148FE">
      <w:pPr>
        <w:pStyle w:val="FootnoteText"/>
      </w:pPr>
      <w:r w:rsidRPr="00A03B67">
        <w:rPr>
          <w:rStyle w:val="FootnoteReference"/>
        </w:rPr>
        <w:footnoteRef/>
      </w:r>
      <w:r w:rsidRPr="00A03B67">
        <w:t xml:space="preserve"> </w:t>
      </w:r>
      <w:r w:rsidR="001676AE" w:rsidRPr="00A03B67">
        <w:t>Community and Public Sector Union</w:t>
      </w:r>
      <w:r w:rsidRPr="00A03B67">
        <w:t xml:space="preserve">, </w:t>
      </w:r>
      <w:r w:rsidR="00944062" w:rsidRPr="00A03B67">
        <w:rPr>
          <w:i/>
          <w:iCs/>
        </w:rPr>
        <w:t>Undertaking to the General Manager of the Fair Work Commission</w:t>
      </w:r>
      <w:r w:rsidR="001676AE" w:rsidRPr="00A03B67">
        <w:t xml:space="preserve"> (December 2023)</w:t>
      </w:r>
      <w:r w:rsidRPr="00A03B67">
        <w:t>.</w:t>
      </w:r>
    </w:p>
  </w:footnote>
  <w:footnote w:id="206">
    <w:p w14:paraId="446918F9" w14:textId="0F26BA71" w:rsidR="00A148FE" w:rsidRPr="00A03B67" w:rsidRDefault="00A148FE" w:rsidP="00A148FE">
      <w:pPr>
        <w:pStyle w:val="FootnoteText"/>
      </w:pPr>
      <w:r w:rsidRPr="00A03B67">
        <w:rPr>
          <w:rStyle w:val="FootnoteReference"/>
        </w:rPr>
        <w:footnoteRef/>
      </w:r>
      <w:r w:rsidRPr="00A03B67">
        <w:t xml:space="preserve"> </w:t>
      </w:r>
      <w:r w:rsidR="001676AE" w:rsidRPr="00A03B67">
        <w:t xml:space="preserve">Fair Work Commission, </w:t>
      </w:r>
      <w:r w:rsidR="00944062" w:rsidRPr="00A03B67">
        <w:t xml:space="preserve">New Compliance and Enforcement Policy for </w:t>
      </w:r>
      <w:r w:rsidR="00820484" w:rsidRPr="00A03B67">
        <w:t>R</w:t>
      </w:r>
      <w:r w:rsidR="00944062" w:rsidRPr="00A03B67">
        <w:t xml:space="preserve">egistered </w:t>
      </w:r>
      <w:r w:rsidR="00820484" w:rsidRPr="00A03B67">
        <w:t>O</w:t>
      </w:r>
      <w:r w:rsidR="00944062" w:rsidRPr="00A03B67">
        <w:t xml:space="preserve">rganisations </w:t>
      </w:r>
      <w:r w:rsidR="00820484" w:rsidRPr="00A03B67">
        <w:t>P</w:t>
      </w:r>
      <w:r w:rsidR="00944062" w:rsidRPr="00A03B67">
        <w:t xml:space="preserve">ublished </w:t>
      </w:r>
      <w:r w:rsidR="00820484" w:rsidRPr="00A03B67">
        <w:t xml:space="preserve">(Media Release, </w:t>
      </w:r>
      <w:r w:rsidRPr="00A03B67">
        <w:t>22 May 2024</w:t>
      </w:r>
      <w:r w:rsidR="00820484" w:rsidRPr="00A03B67">
        <w:t>)</w:t>
      </w:r>
      <w:r w:rsidRPr="00A03B67">
        <w:t xml:space="preserve">. </w:t>
      </w:r>
    </w:p>
  </w:footnote>
  <w:footnote w:id="207">
    <w:p w14:paraId="0EEFE778" w14:textId="328099E6" w:rsidR="00A148FE" w:rsidRPr="00A03B67" w:rsidRDefault="00A148FE" w:rsidP="00A148FE">
      <w:pPr>
        <w:pStyle w:val="FootnoteText"/>
      </w:pPr>
      <w:r w:rsidRPr="00A03B67">
        <w:rPr>
          <w:rStyle w:val="FootnoteReference"/>
        </w:rPr>
        <w:footnoteRef/>
      </w:r>
      <w:r w:rsidRPr="00A03B67">
        <w:t xml:space="preserve"> </w:t>
      </w:r>
      <w:r w:rsidR="00820484" w:rsidRPr="00A03B67">
        <w:t>Fair Work Commission,</w:t>
      </w:r>
      <w:r w:rsidRPr="00A03B67">
        <w:t xml:space="preserve"> </w:t>
      </w:r>
      <w:r w:rsidR="00820484" w:rsidRPr="00A03B67">
        <w:rPr>
          <w:i/>
          <w:iCs/>
        </w:rPr>
        <w:t>Infringement Notices</w:t>
      </w:r>
      <w:r w:rsidR="00820484" w:rsidRPr="00A03B67">
        <w:t xml:space="preserve"> (G</w:t>
      </w:r>
      <w:r w:rsidRPr="00A03B67">
        <w:t xml:space="preserve">uidance </w:t>
      </w:r>
      <w:r w:rsidR="00820484" w:rsidRPr="00A03B67">
        <w:t>N</w:t>
      </w:r>
      <w:r w:rsidRPr="00A03B67">
        <w:t>ote</w:t>
      </w:r>
      <w:r w:rsidR="00820484" w:rsidRPr="00A03B67">
        <w:t xml:space="preserve"> GN 056, 17 November 2023); Fair Work Commission, </w:t>
      </w:r>
      <w:r w:rsidR="00820484" w:rsidRPr="00A03B67">
        <w:rPr>
          <w:i/>
          <w:iCs/>
        </w:rPr>
        <w:t>E</w:t>
      </w:r>
      <w:r w:rsidRPr="00A03B67">
        <w:rPr>
          <w:i/>
          <w:iCs/>
        </w:rPr>
        <w:t xml:space="preserve">nforceable </w:t>
      </w:r>
      <w:r w:rsidR="00820484" w:rsidRPr="00A03B67">
        <w:rPr>
          <w:i/>
          <w:iCs/>
        </w:rPr>
        <w:t>U</w:t>
      </w:r>
      <w:r w:rsidRPr="00A03B67">
        <w:rPr>
          <w:i/>
          <w:iCs/>
        </w:rPr>
        <w:t>ndertakings</w:t>
      </w:r>
      <w:r w:rsidRPr="00A03B67">
        <w:t xml:space="preserve"> </w:t>
      </w:r>
      <w:r w:rsidR="00820484" w:rsidRPr="00A03B67">
        <w:t xml:space="preserve">(Guidance Note GN 055, 17 November 2023); Fair Work Commission, </w:t>
      </w:r>
      <w:r w:rsidR="00795E25" w:rsidRPr="00A03B67">
        <w:rPr>
          <w:i/>
          <w:iCs/>
        </w:rPr>
        <w:t>Compliance and Enforcement Policy</w:t>
      </w:r>
      <w:r w:rsidRPr="00A03B67">
        <w:t xml:space="preserve"> </w:t>
      </w:r>
      <w:r w:rsidR="006140AB" w:rsidRPr="00A03B67">
        <w:t>15</w:t>
      </w:r>
      <w:r w:rsidR="00820484" w:rsidRPr="00A03B67">
        <w:rPr>
          <w:rFonts w:ascii="Symbol" w:eastAsia="Symbol" w:hAnsi="Symbol" w:cs="Symbol"/>
        </w:rPr>
        <w:t>-</w:t>
      </w:r>
      <w:r w:rsidR="006140AB" w:rsidRPr="00A03B67">
        <w:t>17.</w:t>
      </w:r>
    </w:p>
  </w:footnote>
  <w:footnote w:id="208">
    <w:p w14:paraId="7A1A4E5B" w14:textId="7840FE68" w:rsidR="00A13399" w:rsidRPr="00A03B67" w:rsidRDefault="00A13399">
      <w:pPr>
        <w:pStyle w:val="FootnoteText"/>
      </w:pPr>
      <w:r w:rsidRPr="00A03B67">
        <w:rPr>
          <w:rStyle w:val="FootnoteReference"/>
        </w:rPr>
        <w:footnoteRef/>
      </w:r>
      <w:r w:rsidRPr="00A03B67">
        <w:t xml:space="preserve"> </w:t>
      </w:r>
      <w:r w:rsidR="00815F64" w:rsidRPr="00A03B67">
        <w:t>Minerals Council of Australia (MCA) s</w:t>
      </w:r>
      <w:r w:rsidRPr="00A03B67">
        <w:t>ubmission, 7.</w:t>
      </w:r>
    </w:p>
  </w:footnote>
  <w:footnote w:id="209">
    <w:p w14:paraId="53290A34" w14:textId="7A7C8360" w:rsidR="00A13399" w:rsidRPr="00A03B67" w:rsidRDefault="00A13399">
      <w:pPr>
        <w:pStyle w:val="FootnoteText"/>
      </w:pPr>
      <w:r w:rsidRPr="00A03B67">
        <w:rPr>
          <w:rStyle w:val="FootnoteReference"/>
        </w:rPr>
        <w:footnoteRef/>
      </w:r>
      <w:r w:rsidRPr="00A03B67">
        <w:t xml:space="preserve"> </w:t>
      </w:r>
      <w:r w:rsidR="00602694" w:rsidRPr="00A03B67">
        <w:t>United Workers Union (UWU) submission, p 42.</w:t>
      </w:r>
    </w:p>
  </w:footnote>
  <w:footnote w:id="210">
    <w:p w14:paraId="248FA65C" w14:textId="1E1EAA60" w:rsidR="00A148FE" w:rsidRPr="00A03B67" w:rsidRDefault="00A148FE" w:rsidP="00A148FE">
      <w:pPr>
        <w:pStyle w:val="FootnoteText"/>
      </w:pPr>
      <w:r w:rsidRPr="00A03B67">
        <w:rPr>
          <w:rStyle w:val="FootnoteReference"/>
        </w:rPr>
        <w:footnoteRef/>
      </w:r>
      <w:r w:rsidRPr="00A03B67">
        <w:t xml:space="preserve"> </w:t>
      </w:r>
      <w:r w:rsidR="00B244E4" w:rsidRPr="00A03B67">
        <w:t>Australian Council of Trade Unions (</w:t>
      </w:r>
      <w:r w:rsidRPr="00A03B67">
        <w:t>ACTU</w:t>
      </w:r>
      <w:r w:rsidR="00B244E4" w:rsidRPr="00A03B67">
        <w:t>)</w:t>
      </w:r>
      <w:r w:rsidRPr="00A03B67">
        <w:t xml:space="preserve"> </w:t>
      </w:r>
      <w:r w:rsidR="00B244E4" w:rsidRPr="00A03B67">
        <w:t>s</w:t>
      </w:r>
      <w:r w:rsidRPr="00A03B67">
        <w:t xml:space="preserve">ubmission, </w:t>
      </w:r>
      <w:r w:rsidR="00B244E4" w:rsidRPr="00A03B67">
        <w:t xml:space="preserve">p </w:t>
      </w:r>
      <w:r w:rsidRPr="00A03B67">
        <w:t>33</w:t>
      </w:r>
      <w:r w:rsidR="00B244E4" w:rsidRPr="00A03B67">
        <w:t>.</w:t>
      </w:r>
    </w:p>
  </w:footnote>
  <w:footnote w:id="211">
    <w:p w14:paraId="1A3247BE" w14:textId="319B0FC0" w:rsidR="00093B40" w:rsidRPr="00A03B67" w:rsidRDefault="00093B40">
      <w:pPr>
        <w:pStyle w:val="FootnoteText"/>
      </w:pPr>
      <w:r w:rsidRPr="00A03B67">
        <w:rPr>
          <w:rStyle w:val="FootnoteReference"/>
        </w:rPr>
        <w:footnoteRef/>
      </w:r>
      <w:r w:rsidRPr="00A03B67">
        <w:t xml:space="preserve"> </w:t>
      </w:r>
      <w:r w:rsidR="00A86A1F" w:rsidRPr="00A03B67">
        <w:t xml:space="preserve">K Walpole, ‘The Fair Work Act: Encouraging Collective Agreement-making But Leaving Collective Bargaining to Choice’ (2015) 25(3) </w:t>
      </w:r>
      <w:r w:rsidR="00A86A1F" w:rsidRPr="00A03B67">
        <w:rPr>
          <w:i/>
          <w:iCs/>
        </w:rPr>
        <w:t>Labour and Industry</w:t>
      </w:r>
      <w:r w:rsidR="00A86A1F" w:rsidRPr="00A03B67">
        <w:t xml:space="preserve"> 205</w:t>
      </w:r>
      <w:r w:rsidR="00A86A1F" w:rsidRPr="00A03B67">
        <w:rPr>
          <w:rFonts w:ascii="Symbol" w:eastAsia="Symbol" w:hAnsi="Symbol" w:cs="Symbol"/>
        </w:rPr>
        <w:t>-</w:t>
      </w:r>
      <w:r w:rsidR="00A86A1F" w:rsidRPr="00A03B67">
        <w:t xml:space="preserve">218; M Bray, P Waring, R Cooper and J Macneil, </w:t>
      </w:r>
      <w:r w:rsidR="00A86A1F" w:rsidRPr="00A03B67">
        <w:rPr>
          <w:i/>
          <w:iCs/>
        </w:rPr>
        <w:t>Employment Relations: Theory and Practice</w:t>
      </w:r>
      <w:r w:rsidR="00A86A1F" w:rsidRPr="00A03B67">
        <w:t xml:space="preserve"> (4th ed, McGraw-Hill, 2018) </w:t>
      </w:r>
      <w:r w:rsidRPr="00A03B67">
        <w:t>380</w:t>
      </w:r>
      <w:r w:rsidR="00A86A1F" w:rsidRPr="00A03B67">
        <w:rPr>
          <w:rFonts w:ascii="Symbol" w:eastAsia="Symbol" w:hAnsi="Symbol" w:cs="Symbol"/>
        </w:rPr>
        <w:t>-</w:t>
      </w:r>
      <w:r w:rsidRPr="00A03B67">
        <w:t>381</w:t>
      </w:r>
      <w:r w:rsidR="00A86A1F" w:rsidRPr="00A03B67">
        <w:t>.</w:t>
      </w:r>
    </w:p>
  </w:footnote>
  <w:footnote w:id="212">
    <w:p w14:paraId="67A2F63D" w14:textId="6AFAC56E" w:rsidR="00173F8E" w:rsidRPr="00A03B67" w:rsidRDefault="00173F8E" w:rsidP="00173F8E">
      <w:pPr>
        <w:pStyle w:val="FootnoteText"/>
      </w:pPr>
      <w:r w:rsidRPr="00A03B67">
        <w:rPr>
          <w:rStyle w:val="FootnoteReference"/>
        </w:rPr>
        <w:footnoteRef/>
      </w:r>
      <w:r w:rsidRPr="00A03B67">
        <w:t xml:space="preserve"> There are several additional dimensions of collective bargaining that are widely acknowledged in the literature (e</w:t>
      </w:r>
      <w:r w:rsidR="006B272C" w:rsidRPr="00A03B67">
        <w:t>.</w:t>
      </w:r>
      <w:r w:rsidRPr="00A03B67">
        <w:t xml:space="preserve">g. the ‘structure’ and ‘scope’ of bargaining; see </w:t>
      </w:r>
      <w:r w:rsidR="00A86A1F" w:rsidRPr="00A03B67">
        <w:t xml:space="preserve">M Bray, P Waring, R Cooper and J Macneil, </w:t>
      </w:r>
      <w:r w:rsidR="00A86A1F" w:rsidRPr="00A03B67">
        <w:rPr>
          <w:i/>
          <w:iCs/>
        </w:rPr>
        <w:t>Employment Relations: Theory and Practice</w:t>
      </w:r>
      <w:r w:rsidR="00A86A1F" w:rsidRPr="00A03B67">
        <w:t xml:space="preserve"> (4th ed, McGraw-Hill, 2018) </w:t>
      </w:r>
      <w:r w:rsidRPr="00A03B67">
        <w:t>381</w:t>
      </w:r>
      <w:r w:rsidR="00A86A1F" w:rsidRPr="00A03B67">
        <w:rPr>
          <w:rFonts w:ascii="Symbol" w:eastAsia="Symbol" w:hAnsi="Symbol" w:cs="Symbol"/>
        </w:rPr>
        <w:t>-</w:t>
      </w:r>
      <w:r w:rsidR="00A86A1F" w:rsidRPr="00A03B67">
        <w:t>38</w:t>
      </w:r>
      <w:r w:rsidRPr="00A03B67">
        <w:t xml:space="preserve">2), but these are not discussed here because they have no direct linkage with the </w:t>
      </w:r>
      <w:r w:rsidR="00A86A1F" w:rsidRPr="00A03B67">
        <w:t xml:space="preserve">Secure Jobs, Better Pay </w:t>
      </w:r>
      <w:r w:rsidRPr="00A03B67">
        <w:t>amendments.</w:t>
      </w:r>
    </w:p>
  </w:footnote>
  <w:footnote w:id="213">
    <w:p w14:paraId="71CD5E2B" w14:textId="3174FEC7" w:rsidR="00173F8E" w:rsidRPr="00A03B67" w:rsidRDefault="00173F8E" w:rsidP="00173F8E">
      <w:pPr>
        <w:pStyle w:val="FootnoteText"/>
      </w:pPr>
      <w:r w:rsidRPr="00A03B67">
        <w:rPr>
          <w:rStyle w:val="FootnoteReference"/>
        </w:rPr>
        <w:footnoteRef/>
      </w:r>
      <w:r w:rsidRPr="00A03B67">
        <w:t xml:space="preserve"> The following historical account draws heavily on </w:t>
      </w:r>
      <w:r w:rsidR="00A86A1F" w:rsidRPr="00A03B67">
        <w:t xml:space="preserve">M Bray and J Macneil, ‘Reforming Collective Bargaining’ in K Hancock and R Lansbury (eds), </w:t>
      </w:r>
      <w:r w:rsidR="00A86A1F" w:rsidRPr="00A03B67">
        <w:rPr>
          <w:i/>
          <w:iCs/>
        </w:rPr>
        <w:t>Industrial Relations Reform: Looking to the Future</w:t>
      </w:r>
      <w:r w:rsidR="00A86A1F" w:rsidRPr="00A03B67">
        <w:t xml:space="preserve"> (Federation Press, 2016) 105</w:t>
      </w:r>
      <w:r w:rsidR="00A86A1F" w:rsidRPr="00A03B67">
        <w:rPr>
          <w:rFonts w:ascii="Symbol" w:eastAsia="Symbol" w:hAnsi="Symbol" w:cs="Symbol"/>
        </w:rPr>
        <w:t>-</w:t>
      </w:r>
      <w:r w:rsidR="00A86A1F" w:rsidRPr="00A03B67">
        <w:t>131</w:t>
      </w:r>
      <w:r w:rsidRPr="00A03B67">
        <w:t>.</w:t>
      </w:r>
    </w:p>
  </w:footnote>
  <w:footnote w:id="214">
    <w:p w14:paraId="40B34212" w14:textId="61CB70CE" w:rsidR="00093B40" w:rsidRPr="00A03B67" w:rsidRDefault="00093B40">
      <w:pPr>
        <w:pStyle w:val="FootnoteText"/>
      </w:pPr>
      <w:r w:rsidRPr="00A03B67">
        <w:rPr>
          <w:rStyle w:val="FootnoteReference"/>
        </w:rPr>
        <w:footnoteRef/>
      </w:r>
      <w:r w:rsidRPr="00A03B67">
        <w:t xml:space="preserve"> </w:t>
      </w:r>
      <w:r w:rsidR="00A86A1F" w:rsidRPr="00A03B67">
        <w:t>S</w:t>
      </w:r>
      <w:r w:rsidRPr="00A03B67">
        <w:t xml:space="preserve">ee </w:t>
      </w:r>
      <w:r w:rsidR="00A86A1F" w:rsidRPr="00A03B67">
        <w:t xml:space="preserve">D Yerbury and J Isaac, ‘Recent Trends in Collective Bargaining in Australia’ (1971) </w:t>
      </w:r>
      <w:r w:rsidR="00472F90" w:rsidRPr="00A03B67">
        <w:t xml:space="preserve">103(5) </w:t>
      </w:r>
      <w:r w:rsidR="00A86A1F" w:rsidRPr="00A03B67">
        <w:rPr>
          <w:i/>
          <w:iCs/>
        </w:rPr>
        <w:t>International Labour Review</w:t>
      </w:r>
      <w:r w:rsidR="00A86A1F" w:rsidRPr="00A03B67">
        <w:t xml:space="preserve"> 431</w:t>
      </w:r>
      <w:r w:rsidR="00A86A1F" w:rsidRPr="00A03B67">
        <w:rPr>
          <w:rFonts w:ascii="Symbol" w:eastAsia="Symbol" w:hAnsi="Symbol" w:cs="Symbol"/>
        </w:rPr>
        <w:t>-</w:t>
      </w:r>
      <w:r w:rsidR="00A86A1F" w:rsidRPr="00A03B67">
        <w:t>452.</w:t>
      </w:r>
    </w:p>
  </w:footnote>
  <w:footnote w:id="215">
    <w:p w14:paraId="6B770FFA" w14:textId="345E7C41" w:rsidR="00093B40" w:rsidRPr="00A03B67" w:rsidRDefault="00093B40">
      <w:pPr>
        <w:pStyle w:val="FootnoteText"/>
      </w:pPr>
      <w:r w:rsidRPr="00A03B67">
        <w:rPr>
          <w:rStyle w:val="FootnoteReference"/>
        </w:rPr>
        <w:footnoteRef/>
      </w:r>
      <w:r w:rsidRPr="00A03B67">
        <w:t xml:space="preserve"> </w:t>
      </w:r>
      <w:r w:rsidR="00472F90" w:rsidRPr="00A03B67">
        <w:t xml:space="preserve">K Hancock, </w:t>
      </w:r>
      <w:r w:rsidR="00472F90" w:rsidRPr="00A03B67">
        <w:rPr>
          <w:i/>
          <w:iCs/>
        </w:rPr>
        <w:t>Committee of Review into Australian Industrial Relations Law and Systems, Report</w:t>
      </w:r>
      <w:r w:rsidR="00472F90" w:rsidRPr="00A03B67">
        <w:t xml:space="preserve"> (AGPS, 1985); K Hancock, ‘Reforming Industrial Relations: Revisiting the 1980s and 1990s’ in K Hancock and R Lansbury (eds), </w:t>
      </w:r>
      <w:r w:rsidR="00472F90" w:rsidRPr="00A03B67">
        <w:rPr>
          <w:i/>
          <w:iCs/>
        </w:rPr>
        <w:t>Industrial Relations Reform: Looking to the Future</w:t>
      </w:r>
      <w:r w:rsidR="00472F90" w:rsidRPr="00A03B67">
        <w:t xml:space="preserve"> (Federation Press, 2016) 16</w:t>
      </w:r>
      <w:r w:rsidR="00472F90" w:rsidRPr="00A03B67">
        <w:rPr>
          <w:rFonts w:ascii="Symbol" w:eastAsia="Symbol" w:hAnsi="Symbol" w:cs="Symbol"/>
        </w:rPr>
        <w:t>-</w:t>
      </w:r>
      <w:r w:rsidR="00472F90" w:rsidRPr="00A03B67">
        <w:t>39.</w:t>
      </w:r>
    </w:p>
  </w:footnote>
  <w:footnote w:id="216">
    <w:p w14:paraId="6BCD1128" w14:textId="4E0EAB59" w:rsidR="00093B40" w:rsidRPr="00A03B67" w:rsidRDefault="00093B40">
      <w:pPr>
        <w:pStyle w:val="FootnoteText"/>
      </w:pPr>
      <w:r w:rsidRPr="00A03B67">
        <w:rPr>
          <w:rStyle w:val="FootnoteReference"/>
        </w:rPr>
        <w:footnoteRef/>
      </w:r>
      <w:r w:rsidRPr="00A03B67">
        <w:t xml:space="preserve"> </w:t>
      </w:r>
      <w:r w:rsidR="007E26D6" w:rsidRPr="00A03B67">
        <w:t xml:space="preserve">S McCrystal and M Bray, ‘Non-Union Agreement-Making in Australia in Comparative and Historical Context’ (2021) 41(3) </w:t>
      </w:r>
      <w:r w:rsidR="007E26D6" w:rsidRPr="00A03B67">
        <w:rPr>
          <w:i/>
          <w:iCs/>
        </w:rPr>
        <w:t xml:space="preserve">Comparative Labor Law and Policy Journal </w:t>
      </w:r>
      <w:r w:rsidR="007E26D6" w:rsidRPr="00A03B67">
        <w:t>753</w:t>
      </w:r>
      <w:r w:rsidR="007E26D6" w:rsidRPr="00A03B67">
        <w:rPr>
          <w:rFonts w:ascii="Symbol" w:eastAsia="Symbol" w:hAnsi="Symbol" w:cs="Symbol"/>
        </w:rPr>
        <w:t>-</w:t>
      </w:r>
      <w:r w:rsidR="007E26D6" w:rsidRPr="00A03B67">
        <w:t>788.</w:t>
      </w:r>
    </w:p>
  </w:footnote>
  <w:footnote w:id="217">
    <w:p w14:paraId="6EA299EB" w14:textId="4F6B7A00" w:rsidR="00173F8E" w:rsidRPr="00A03B67" w:rsidRDefault="00173F8E" w:rsidP="00173F8E">
      <w:pPr>
        <w:pStyle w:val="FootnoteText"/>
      </w:pPr>
      <w:r w:rsidRPr="00A03B67">
        <w:rPr>
          <w:rStyle w:val="FootnoteReference"/>
        </w:rPr>
        <w:footnoteRef/>
      </w:r>
      <w:r w:rsidRPr="00A03B67">
        <w:t xml:space="preserve"> Central to the relationship between agreements (collective and individual) and awards was another uniquely Australian institution: the no-disadvantage test. First introduced in 1992 and subsequently modified many times, it was supposed to ensure that agreements did not take wages and conditions below those contained in minimum standards (see</w:t>
      </w:r>
      <w:r w:rsidR="007E26D6" w:rsidRPr="00A03B67">
        <w:t xml:space="preserve"> e.g. C Sutherland, ‘Making the “BOOT” Fit: Reforms to Agreement-Making from Work Choices to Fair Work’ in A Forsyth and A Stewart (eds), </w:t>
      </w:r>
      <w:r w:rsidR="007E26D6" w:rsidRPr="00A03B67">
        <w:rPr>
          <w:i/>
          <w:iCs/>
        </w:rPr>
        <w:t>Fair Work: The New Workplace Laws and the Work Choices Legacy</w:t>
      </w:r>
      <w:r w:rsidR="007E26D6" w:rsidRPr="00A03B67">
        <w:t>, (Federation Press, 2009) 99</w:t>
      </w:r>
      <w:r w:rsidR="007E26D6" w:rsidRPr="00A03B67">
        <w:rPr>
          <w:rFonts w:ascii="Symbol" w:eastAsia="Symbol" w:hAnsi="Symbol" w:cs="Symbol"/>
        </w:rPr>
        <w:t>-</w:t>
      </w:r>
      <w:r w:rsidR="007E26D6" w:rsidRPr="00A03B67">
        <w:t>119</w:t>
      </w:r>
      <w:r w:rsidRPr="00A03B67">
        <w:t xml:space="preserve">; </w:t>
      </w:r>
      <w:r w:rsidR="007E26D6" w:rsidRPr="00A03B67">
        <w:t xml:space="preserve">M Bray, P Waring. R Cooper and J Macneil, </w:t>
      </w:r>
      <w:r w:rsidR="007E26D6" w:rsidRPr="00A03B67">
        <w:rPr>
          <w:i/>
          <w:iCs/>
        </w:rPr>
        <w:t>Employment Relations: Theory and Practice</w:t>
      </w:r>
      <w:r w:rsidR="007E26D6" w:rsidRPr="00A03B67">
        <w:t xml:space="preserve"> (4th ed, McGraw-Hill, 2018) </w:t>
      </w:r>
      <w:r w:rsidRPr="00A03B67">
        <w:t>360</w:t>
      </w:r>
      <w:r w:rsidR="007E26D6" w:rsidRPr="00A03B67">
        <w:rPr>
          <w:rFonts w:ascii="Symbol" w:eastAsia="Symbol" w:hAnsi="Symbol" w:cs="Symbol"/>
        </w:rPr>
        <w:t>-</w:t>
      </w:r>
      <w:r w:rsidRPr="00A03B67">
        <w:t>362.</w:t>
      </w:r>
    </w:p>
  </w:footnote>
  <w:footnote w:id="218">
    <w:p w14:paraId="4EFC551D" w14:textId="4FB8DE8F" w:rsidR="00093B40" w:rsidRPr="00A03B67" w:rsidRDefault="00093B40">
      <w:pPr>
        <w:pStyle w:val="FootnoteText"/>
      </w:pPr>
      <w:r w:rsidRPr="00A03B67">
        <w:rPr>
          <w:rStyle w:val="FootnoteReference"/>
        </w:rPr>
        <w:footnoteRef/>
      </w:r>
      <w:r w:rsidRPr="00A03B67">
        <w:t xml:space="preserve"> </w:t>
      </w:r>
      <w:r w:rsidR="00BA114C" w:rsidRPr="00A03B67">
        <w:t>S</w:t>
      </w:r>
      <w:r w:rsidRPr="00A03B67">
        <w:t xml:space="preserve">ee </w:t>
      </w:r>
      <w:r w:rsidR="00BA114C" w:rsidRPr="00A03B67">
        <w:t xml:space="preserve">CF Wright and C McLaughlin, ‘Trade Union Legitimacy and Legitimation Politics in Australia and New Zealand’ (2021) 60(3) </w:t>
      </w:r>
      <w:r w:rsidR="00BA114C" w:rsidRPr="00A03B67">
        <w:rPr>
          <w:i/>
          <w:iCs/>
        </w:rPr>
        <w:t>Industrial Relations</w:t>
      </w:r>
      <w:r w:rsidR="00BA114C" w:rsidRPr="00A03B67">
        <w:t xml:space="preserve"> 338–369.</w:t>
      </w:r>
    </w:p>
  </w:footnote>
  <w:footnote w:id="219">
    <w:p w14:paraId="74DFE69A" w14:textId="723FB37A" w:rsidR="00093B40" w:rsidRPr="00A03B67" w:rsidRDefault="00093B40">
      <w:pPr>
        <w:pStyle w:val="FootnoteText"/>
      </w:pPr>
      <w:r w:rsidRPr="00A03B67">
        <w:rPr>
          <w:rStyle w:val="FootnoteReference"/>
        </w:rPr>
        <w:footnoteRef/>
      </w:r>
      <w:r w:rsidRPr="00A03B67">
        <w:t xml:space="preserve"> </w:t>
      </w:r>
      <w:r w:rsidR="00BA114C" w:rsidRPr="00A03B67">
        <w:t xml:space="preserve">M Bray and A Stewart, ‘What is Distinctive About the Fair Work Regime?’ (2013) 26(1) </w:t>
      </w:r>
      <w:r w:rsidR="00BA114C" w:rsidRPr="00A03B67">
        <w:rPr>
          <w:i/>
          <w:iCs/>
        </w:rPr>
        <w:t>Australian Journal of Labour Law</w:t>
      </w:r>
      <w:r w:rsidR="00BA114C" w:rsidRPr="00A03B67">
        <w:t xml:space="preserve"> 20</w:t>
      </w:r>
      <w:r w:rsidR="00BA114C" w:rsidRPr="00A03B67">
        <w:rPr>
          <w:rFonts w:ascii="Symbol" w:eastAsia="Symbol" w:hAnsi="Symbol" w:cs="Symbol"/>
        </w:rPr>
        <w:t>-</w:t>
      </w:r>
      <w:r w:rsidR="00BA114C" w:rsidRPr="00A03B67">
        <w:t>49.</w:t>
      </w:r>
    </w:p>
  </w:footnote>
  <w:footnote w:id="220">
    <w:p w14:paraId="66C05809" w14:textId="47EB76BD" w:rsidR="00093B40" w:rsidRPr="00A03B67" w:rsidRDefault="00093B40">
      <w:pPr>
        <w:pStyle w:val="FootnoteText"/>
      </w:pPr>
      <w:r w:rsidRPr="00A03B67">
        <w:rPr>
          <w:rStyle w:val="FootnoteReference"/>
        </w:rPr>
        <w:footnoteRef/>
      </w:r>
      <w:r w:rsidRPr="00A03B67">
        <w:t xml:space="preserve"> </w:t>
      </w:r>
      <w:r w:rsidR="00BA114C" w:rsidRPr="00A03B67">
        <w:t xml:space="preserve">M Bray and A Stewart, ‘What is Distinctive About the Fair Work Regime?’ (2013) 26(1) </w:t>
      </w:r>
      <w:r w:rsidR="00BA114C" w:rsidRPr="00A03B67">
        <w:rPr>
          <w:i/>
          <w:iCs/>
        </w:rPr>
        <w:t>Australian Journal of Labour Law</w:t>
      </w:r>
      <w:r w:rsidR="00BA114C" w:rsidRPr="00A03B67">
        <w:t xml:space="preserve"> 20</w:t>
      </w:r>
      <w:r w:rsidR="00BA114C" w:rsidRPr="00A03B67">
        <w:rPr>
          <w:rFonts w:ascii="Symbol" w:eastAsia="Symbol" w:hAnsi="Symbol" w:cs="Symbol"/>
        </w:rPr>
        <w:t>-</w:t>
      </w:r>
      <w:r w:rsidR="00BA114C" w:rsidRPr="00A03B67">
        <w:t>49.</w:t>
      </w:r>
    </w:p>
  </w:footnote>
  <w:footnote w:id="221">
    <w:p w14:paraId="713F5A74" w14:textId="7BFCFCDB" w:rsidR="00093B40" w:rsidRPr="00A03B67" w:rsidRDefault="00093B40">
      <w:pPr>
        <w:pStyle w:val="FootnoteText"/>
      </w:pPr>
      <w:r w:rsidRPr="00A03B67">
        <w:rPr>
          <w:rStyle w:val="FootnoteReference"/>
        </w:rPr>
        <w:footnoteRef/>
      </w:r>
      <w:r w:rsidRPr="00A03B67">
        <w:t xml:space="preserve"> </w:t>
      </w:r>
      <w:r w:rsidR="008C5379">
        <w:t xml:space="preserve">A </w:t>
      </w:r>
      <w:r w:rsidRPr="00A03B67">
        <w:t xml:space="preserve">Stewart </w:t>
      </w:r>
      <w:r w:rsidR="008C5379">
        <w:t>and</w:t>
      </w:r>
      <w:r w:rsidRPr="00A03B67">
        <w:t xml:space="preserve"> </w:t>
      </w:r>
      <w:r w:rsidR="008C5379">
        <w:t xml:space="preserve">A </w:t>
      </w:r>
      <w:r w:rsidRPr="00A03B67">
        <w:t>Forsyth</w:t>
      </w:r>
      <w:r w:rsidR="00273481">
        <w:t>, ‘The Journey from Workchoices to Fair Work</w:t>
      </w:r>
      <w:r w:rsidR="00D12979">
        <w:t xml:space="preserve">’, in </w:t>
      </w:r>
      <w:r w:rsidR="00D12979" w:rsidRPr="00A03B67">
        <w:t xml:space="preserve">A Forsyth and A Stewart (eds), </w:t>
      </w:r>
      <w:r w:rsidR="00D12979" w:rsidRPr="00A03B67">
        <w:rPr>
          <w:i/>
          <w:iCs/>
        </w:rPr>
        <w:t>Fair Work: The New Workplace Laws and the Work Choices Legacy</w:t>
      </w:r>
      <w:r w:rsidR="00D12979" w:rsidRPr="00A03B67">
        <w:t>, (Federation Press, 2009)</w:t>
      </w:r>
      <w:r w:rsidR="00D12979">
        <w:t>1-19</w:t>
      </w:r>
      <w:r w:rsidR="00FD1A72" w:rsidRPr="00A03B67">
        <w:t>.</w:t>
      </w:r>
    </w:p>
  </w:footnote>
  <w:footnote w:id="222">
    <w:p w14:paraId="73DBCCEA" w14:textId="1FC30FCA" w:rsidR="00093B40" w:rsidRPr="00A03B67" w:rsidRDefault="00093B40">
      <w:pPr>
        <w:pStyle w:val="FootnoteText"/>
      </w:pPr>
      <w:r w:rsidRPr="00A03B67">
        <w:rPr>
          <w:rStyle w:val="FootnoteReference"/>
        </w:rPr>
        <w:footnoteRef/>
      </w:r>
      <w:r w:rsidRPr="00A03B67">
        <w:t xml:space="preserve"> </w:t>
      </w:r>
      <w:r w:rsidR="00044C67">
        <w:t xml:space="preserve">R </w:t>
      </w:r>
      <w:r w:rsidR="00044C67" w:rsidRPr="00044C67">
        <w:t>Cooper,</w:t>
      </w:r>
      <w:r w:rsidR="00044C67">
        <w:t xml:space="preserve"> and </w:t>
      </w:r>
      <w:r w:rsidR="00455349">
        <w:t>B</w:t>
      </w:r>
      <w:r w:rsidR="00044C67" w:rsidRPr="00044C67">
        <w:t xml:space="preserve"> Ellem</w:t>
      </w:r>
      <w:r w:rsidR="00455349">
        <w:t>,</w:t>
      </w:r>
      <w:r w:rsidR="00044C67" w:rsidRPr="00044C67">
        <w:t xml:space="preserve"> ‘Fair Work and the re-regulation of collective bargaining’,</w:t>
      </w:r>
      <w:r w:rsidR="00455349">
        <w:t xml:space="preserve"> </w:t>
      </w:r>
      <w:r w:rsidR="00455349" w:rsidRPr="00044C67">
        <w:t>(2009)</w:t>
      </w:r>
      <w:r w:rsidR="00455349">
        <w:t xml:space="preserve"> 22(3)</w:t>
      </w:r>
      <w:r w:rsidR="00455349" w:rsidRPr="00044C67">
        <w:t xml:space="preserve"> </w:t>
      </w:r>
      <w:r w:rsidR="00044C67" w:rsidRPr="00044C67">
        <w:t xml:space="preserve"> </w:t>
      </w:r>
      <w:r w:rsidR="00044C67" w:rsidRPr="00455349">
        <w:rPr>
          <w:i/>
          <w:iCs/>
        </w:rPr>
        <w:t>Australian Journal of Labour Law</w:t>
      </w:r>
      <w:r w:rsidR="00044C67" w:rsidRPr="00044C67">
        <w:t>, 284-305.</w:t>
      </w:r>
    </w:p>
  </w:footnote>
  <w:footnote w:id="223">
    <w:p w14:paraId="15CA3EA9" w14:textId="28F442B9" w:rsidR="00093B40" w:rsidRPr="001E318E" w:rsidRDefault="00093B40">
      <w:pPr>
        <w:pStyle w:val="FootnoteText"/>
        <w:rPr>
          <w:lang w:val="en-GB"/>
        </w:rPr>
      </w:pPr>
      <w:r w:rsidRPr="00A03B67">
        <w:rPr>
          <w:rStyle w:val="FootnoteReference"/>
        </w:rPr>
        <w:footnoteRef/>
      </w:r>
      <w:r w:rsidRPr="00A03B67">
        <w:t xml:space="preserve"> </w:t>
      </w:r>
      <w:r w:rsidR="00BA114C" w:rsidRPr="00A03B67">
        <w:t>S</w:t>
      </w:r>
      <w:r w:rsidRPr="00A03B67">
        <w:t>ee</w:t>
      </w:r>
      <w:r w:rsidR="001E318E">
        <w:t xml:space="preserve"> R </w:t>
      </w:r>
      <w:r w:rsidR="001E318E" w:rsidRPr="001E318E">
        <w:rPr>
          <w:lang w:val="en-GB"/>
        </w:rPr>
        <w:t xml:space="preserve">McCallum, </w:t>
      </w:r>
      <w:r w:rsidR="001E318E">
        <w:rPr>
          <w:lang w:val="en-GB"/>
        </w:rPr>
        <w:t xml:space="preserve">E </w:t>
      </w:r>
      <w:r w:rsidR="001E318E" w:rsidRPr="001E318E">
        <w:rPr>
          <w:lang w:val="en-GB"/>
        </w:rPr>
        <w:t>Moore,</w:t>
      </w:r>
      <w:r w:rsidR="001E318E">
        <w:rPr>
          <w:lang w:val="en-GB"/>
        </w:rPr>
        <w:t xml:space="preserve"> and J </w:t>
      </w:r>
      <w:r w:rsidR="001E318E" w:rsidRPr="001E318E">
        <w:rPr>
          <w:lang w:val="en-GB"/>
        </w:rPr>
        <w:t xml:space="preserve">Edwards, </w:t>
      </w:r>
      <w:r w:rsidR="001E318E" w:rsidRPr="001E318E">
        <w:rPr>
          <w:i/>
          <w:iCs/>
          <w:lang w:val="en-GB"/>
        </w:rPr>
        <w:t>Towards More Productive and Equitable Workplaces: An Evaluation of the Fair Work Legislation</w:t>
      </w:r>
      <w:r w:rsidR="001E318E" w:rsidRPr="001E318E">
        <w:rPr>
          <w:lang w:val="en-GB"/>
        </w:rPr>
        <w:t>, Australian Government, Canberra</w:t>
      </w:r>
      <w:r w:rsidR="001E318E">
        <w:rPr>
          <w:lang w:val="en-GB"/>
        </w:rPr>
        <w:t xml:space="preserve"> (2012)</w:t>
      </w:r>
      <w:r w:rsidR="00BA114C" w:rsidRPr="00A03B67">
        <w:t>.</w:t>
      </w:r>
    </w:p>
  </w:footnote>
  <w:footnote w:id="224">
    <w:p w14:paraId="0F62699E" w14:textId="48EFFA21" w:rsidR="00093B40" w:rsidRPr="00A03B67" w:rsidRDefault="00093B40">
      <w:pPr>
        <w:pStyle w:val="FootnoteText"/>
      </w:pPr>
      <w:r w:rsidRPr="00A03B67">
        <w:rPr>
          <w:rStyle w:val="FootnoteReference"/>
        </w:rPr>
        <w:footnoteRef/>
      </w:r>
      <w:r w:rsidRPr="00A03B67">
        <w:t xml:space="preserve"> </w:t>
      </w:r>
      <w:r w:rsidR="00BA114C" w:rsidRPr="00A03B67">
        <w:t xml:space="preserve">S McCrystal, ‘Why Is It So Hard to Take Lawful Strike Action in Australia?’ (2019) 61(1) </w:t>
      </w:r>
      <w:r w:rsidR="00BA114C" w:rsidRPr="00A03B67">
        <w:rPr>
          <w:i/>
          <w:iCs/>
        </w:rPr>
        <w:t>Journal of Industrial Relations</w:t>
      </w:r>
      <w:r w:rsidR="00BA114C" w:rsidRPr="00A03B67">
        <w:t xml:space="preserve"> 129</w:t>
      </w:r>
      <w:r w:rsidR="00BA114C" w:rsidRPr="00A03B67">
        <w:rPr>
          <w:rFonts w:ascii="Symbol" w:eastAsia="Symbol" w:hAnsi="Symbol" w:cs="Symbol"/>
        </w:rPr>
        <w:t>-</w:t>
      </w:r>
      <w:r w:rsidR="00BA114C" w:rsidRPr="00A03B67">
        <w:t>144.</w:t>
      </w:r>
    </w:p>
  </w:footnote>
  <w:footnote w:id="225">
    <w:p w14:paraId="525453D5" w14:textId="0CFE4B18" w:rsidR="00093B40" w:rsidRPr="00A03B67" w:rsidRDefault="00093B40">
      <w:pPr>
        <w:pStyle w:val="FootnoteText"/>
      </w:pPr>
      <w:r w:rsidRPr="00A03B67">
        <w:rPr>
          <w:rStyle w:val="FootnoteReference"/>
        </w:rPr>
        <w:footnoteRef/>
      </w:r>
      <w:r w:rsidRPr="00A03B67">
        <w:t xml:space="preserve"> </w:t>
      </w:r>
      <w:r w:rsidR="00BA114C" w:rsidRPr="00A03B67">
        <w:t xml:space="preserve">D Pohler, ‘Collective Bargaining’ in A Wilkinson et al. (eds), </w:t>
      </w:r>
      <w:r w:rsidR="00BA114C" w:rsidRPr="00A03B67">
        <w:rPr>
          <w:i/>
          <w:iCs/>
        </w:rPr>
        <w:t xml:space="preserve">The Routledge Companion to Employment Relations </w:t>
      </w:r>
      <w:r w:rsidR="00BA114C" w:rsidRPr="00A03B67">
        <w:t>(Routledge, 2018) 235</w:t>
      </w:r>
      <w:r w:rsidR="00BA114C" w:rsidRPr="00A03B67">
        <w:rPr>
          <w:rFonts w:ascii="Symbol" w:eastAsia="Symbol" w:hAnsi="Symbol" w:cs="Symbol"/>
        </w:rPr>
        <w:t>-</w:t>
      </w:r>
      <w:r w:rsidR="00BA114C" w:rsidRPr="00A03B67">
        <w:t>250.</w:t>
      </w:r>
    </w:p>
  </w:footnote>
  <w:footnote w:id="226">
    <w:p w14:paraId="1907D198" w14:textId="5A90A19C" w:rsidR="00093B40" w:rsidRPr="00A03B67" w:rsidRDefault="00093B40">
      <w:pPr>
        <w:pStyle w:val="FootnoteText"/>
      </w:pPr>
      <w:r w:rsidRPr="00A03B67">
        <w:rPr>
          <w:rStyle w:val="FootnoteReference"/>
        </w:rPr>
        <w:footnoteRef/>
      </w:r>
      <w:r w:rsidRPr="00A03B67">
        <w:t xml:space="preserve"> </w:t>
      </w:r>
      <w:r w:rsidR="00BA114C" w:rsidRPr="00A03B67">
        <w:t>S</w:t>
      </w:r>
      <w:r w:rsidRPr="00A03B67">
        <w:t>ee</w:t>
      </w:r>
      <w:r w:rsidR="00BA114C" w:rsidRPr="00A03B67">
        <w:t xml:space="preserve"> e.g. </w:t>
      </w:r>
      <w:r w:rsidRPr="00A03B67">
        <w:t xml:space="preserve">Forsyth et al. 2012; </w:t>
      </w:r>
      <w:r w:rsidR="00BA114C" w:rsidRPr="00A03B67">
        <w:t xml:space="preserve">A Pekarek, I Landau, P Gahan, A Forsyth and J Howe, ‘Old Game, New Rules? The Dynamics of Enterprise Bargaining under the Fair Work Act’ (2017) 59(1) </w:t>
      </w:r>
      <w:r w:rsidR="00BA114C" w:rsidRPr="00A03B67">
        <w:rPr>
          <w:i/>
          <w:iCs/>
        </w:rPr>
        <w:t xml:space="preserve">Journal of Industrial Relations </w:t>
      </w:r>
      <w:r w:rsidR="00BA114C" w:rsidRPr="00A03B67">
        <w:t>44</w:t>
      </w:r>
      <w:r w:rsidR="00BA114C" w:rsidRPr="00A03B67">
        <w:rPr>
          <w:rFonts w:ascii="Symbol" w:eastAsia="Symbol" w:hAnsi="Symbol" w:cs="Symbol"/>
        </w:rPr>
        <w:t>-</w:t>
      </w:r>
      <w:r w:rsidR="00BA114C" w:rsidRPr="00A03B67">
        <w:t xml:space="preserve">64; B Creighton, C Denvir, R Johnstone, S McCrystal and A Orchiston, </w:t>
      </w:r>
      <w:r w:rsidR="00BA114C" w:rsidRPr="00A03B67">
        <w:rPr>
          <w:i/>
          <w:iCs/>
        </w:rPr>
        <w:t>Strike Ballots, Democracy, and the Law</w:t>
      </w:r>
      <w:r w:rsidR="00BA114C" w:rsidRPr="00A03B67">
        <w:t xml:space="preserve"> (Oxford University Press, 2020</w:t>
      </w:r>
      <w:r w:rsidRPr="00A03B67">
        <w:t>)</w:t>
      </w:r>
      <w:r w:rsidR="00BA114C" w:rsidRPr="00A03B67">
        <w:t xml:space="preserve">. </w:t>
      </w:r>
    </w:p>
  </w:footnote>
  <w:footnote w:id="227">
    <w:p w14:paraId="00D94500" w14:textId="7994C4FF" w:rsidR="00093B40" w:rsidRPr="00A03B67" w:rsidRDefault="00093B40">
      <w:pPr>
        <w:pStyle w:val="FootnoteText"/>
      </w:pPr>
      <w:r w:rsidRPr="00A03B67">
        <w:rPr>
          <w:rStyle w:val="FootnoteReference"/>
        </w:rPr>
        <w:footnoteRef/>
      </w:r>
      <w:r w:rsidRPr="00A03B67">
        <w:t xml:space="preserve"> </w:t>
      </w:r>
      <w:r w:rsidR="00BA114C" w:rsidRPr="00A03B67">
        <w:t>See e</w:t>
      </w:r>
      <w:r w:rsidRPr="00A03B67">
        <w:t xml:space="preserve">.g. Forsyth 2021; </w:t>
      </w:r>
      <w:r w:rsidR="00BA114C" w:rsidRPr="00A03B67">
        <w:t xml:space="preserve">P Sheldon and L Thornthwaite, ‘Employers’ Associations in Australia’ in L Gooberman and M Hauptmeier (eds), </w:t>
      </w:r>
      <w:r w:rsidR="00BA114C" w:rsidRPr="00A03B67">
        <w:rPr>
          <w:i/>
          <w:iCs/>
        </w:rPr>
        <w:t>Contemporary Employer’ Organisations: Adaptation and Resilience</w:t>
      </w:r>
      <w:r w:rsidR="00BA114C" w:rsidRPr="00A03B67">
        <w:t xml:space="preserve"> (Routledge, 2022) 139</w:t>
      </w:r>
      <w:r w:rsidR="00BA114C" w:rsidRPr="00A03B67">
        <w:rPr>
          <w:rFonts w:ascii="Symbol" w:eastAsia="Symbol" w:hAnsi="Symbol" w:cs="Symbol"/>
        </w:rPr>
        <w:t>-</w:t>
      </w:r>
      <w:r w:rsidR="00BA114C" w:rsidRPr="00A03B67">
        <w:t>158.</w:t>
      </w:r>
    </w:p>
  </w:footnote>
  <w:footnote w:id="228">
    <w:p w14:paraId="121333A8" w14:textId="5B5656FB" w:rsidR="00093B40" w:rsidRPr="00A03B67" w:rsidRDefault="00093B40">
      <w:pPr>
        <w:pStyle w:val="FootnoteText"/>
      </w:pPr>
      <w:r w:rsidRPr="00A03B67">
        <w:rPr>
          <w:rStyle w:val="FootnoteReference"/>
        </w:rPr>
        <w:footnoteRef/>
      </w:r>
      <w:r w:rsidRPr="00A03B67">
        <w:t xml:space="preserve"> </w:t>
      </w:r>
      <w:r w:rsidR="00BA114C" w:rsidRPr="00A03B67">
        <w:t xml:space="preserve">See e.g. A Forsyth, ‘Ten Years of the Fair Work Act: (More) Testing Times for Australia’s Unions’ (2020) 33(1) </w:t>
      </w:r>
      <w:r w:rsidR="00BA114C" w:rsidRPr="00A03B67">
        <w:rPr>
          <w:i/>
          <w:iCs/>
        </w:rPr>
        <w:t xml:space="preserve">Australian Journal of Labour Law </w:t>
      </w:r>
      <w:r w:rsidR="00BA114C" w:rsidRPr="00A03B67">
        <w:t>122</w:t>
      </w:r>
      <w:r w:rsidR="00BA114C" w:rsidRPr="00A03B67">
        <w:rPr>
          <w:rFonts w:ascii="Symbol" w:eastAsia="Symbol" w:hAnsi="Symbol" w:cs="Symbol"/>
        </w:rPr>
        <w:t>-</w:t>
      </w:r>
      <w:r w:rsidR="00BA114C" w:rsidRPr="00A03B67">
        <w:t>138</w:t>
      </w:r>
      <w:r w:rsidRPr="00A03B67">
        <w:t>; Forsyth &amp; McCrystal 2023</w:t>
      </w:r>
      <w:r w:rsidR="00BA114C" w:rsidRPr="00A03B67">
        <w:t>.</w:t>
      </w:r>
    </w:p>
  </w:footnote>
  <w:footnote w:id="229">
    <w:p w14:paraId="4442560D" w14:textId="4336CB21" w:rsidR="00093B40" w:rsidRPr="00A03B67" w:rsidRDefault="00093B40">
      <w:pPr>
        <w:pStyle w:val="FootnoteText"/>
      </w:pPr>
      <w:r w:rsidRPr="00A03B67">
        <w:rPr>
          <w:rStyle w:val="FootnoteReference"/>
        </w:rPr>
        <w:footnoteRef/>
      </w:r>
      <w:r w:rsidRPr="00A03B67">
        <w:t xml:space="preserve"> </w:t>
      </w:r>
      <w:r w:rsidR="00BA114C" w:rsidRPr="00A03B67">
        <w:t>S</w:t>
      </w:r>
      <w:r w:rsidRPr="00A03B67">
        <w:t>ee</w:t>
      </w:r>
      <w:r w:rsidR="00BA114C" w:rsidRPr="00A03B67">
        <w:t xml:space="preserve"> e.g. A Flanders, ‘The Tradition of Voluntarism’ (1974) 12(3) </w:t>
      </w:r>
      <w:r w:rsidR="00BA114C" w:rsidRPr="00A03B67">
        <w:rPr>
          <w:i/>
          <w:iCs/>
        </w:rPr>
        <w:t>British Journal of Industrial Relations</w:t>
      </w:r>
      <w:r w:rsidR="00BA114C" w:rsidRPr="00A03B67">
        <w:t xml:space="preserve"> 352</w:t>
      </w:r>
      <w:r w:rsidR="00BA114C" w:rsidRPr="00A03B67">
        <w:rPr>
          <w:rFonts w:ascii="Symbol" w:eastAsia="Symbol" w:hAnsi="Symbol" w:cs="Symbol"/>
        </w:rPr>
        <w:t>-</w:t>
      </w:r>
      <w:r w:rsidR="00BA114C" w:rsidRPr="00A03B67">
        <w:t>370.</w:t>
      </w:r>
    </w:p>
  </w:footnote>
  <w:footnote w:id="230">
    <w:p w14:paraId="5E760730" w14:textId="1A53CE33" w:rsidR="00093B40" w:rsidRPr="00A03B67" w:rsidRDefault="00093B40">
      <w:pPr>
        <w:pStyle w:val="FootnoteText"/>
      </w:pPr>
      <w:r w:rsidRPr="00A03B67">
        <w:rPr>
          <w:rStyle w:val="FootnoteReference"/>
        </w:rPr>
        <w:footnoteRef/>
      </w:r>
      <w:r w:rsidRPr="00A03B67">
        <w:t xml:space="preserve"> Andersen 2024</w:t>
      </w:r>
      <w:r w:rsidR="002830D1" w:rsidRPr="00A03B67">
        <w:t>.</w:t>
      </w:r>
    </w:p>
  </w:footnote>
  <w:footnote w:id="231">
    <w:p w14:paraId="25FBB999" w14:textId="6456BDB6" w:rsidR="00093B40" w:rsidRPr="00A03B67" w:rsidRDefault="00093B40">
      <w:pPr>
        <w:pStyle w:val="FootnoteText"/>
      </w:pPr>
      <w:r w:rsidRPr="00A03B67">
        <w:rPr>
          <w:rStyle w:val="FootnoteReference"/>
        </w:rPr>
        <w:footnoteRef/>
      </w:r>
      <w:r w:rsidRPr="00A03B67">
        <w:t xml:space="preserve"> </w:t>
      </w:r>
      <w:r w:rsidR="00EC7A4E" w:rsidRPr="00A03B67">
        <w:t xml:space="preserve">E Rasmussen, M Bray and A Stewart ‘What Is Distinctive About New Zealand’s Employment Relations Act 2000?’ (2019) 29(1) </w:t>
      </w:r>
      <w:r w:rsidR="00EC7A4E" w:rsidRPr="00A03B67">
        <w:rPr>
          <w:i/>
          <w:iCs/>
        </w:rPr>
        <w:t xml:space="preserve">Labour &amp; Industry </w:t>
      </w:r>
      <w:r w:rsidR="00EC7A4E" w:rsidRPr="00A03B67">
        <w:t>52–73.</w:t>
      </w:r>
    </w:p>
  </w:footnote>
  <w:footnote w:id="232">
    <w:p w14:paraId="756B94F1" w14:textId="033642FA" w:rsidR="00093B40" w:rsidRPr="00A03B67" w:rsidRDefault="00093B40">
      <w:pPr>
        <w:pStyle w:val="FootnoteText"/>
      </w:pPr>
      <w:r w:rsidRPr="00A03B67">
        <w:rPr>
          <w:rStyle w:val="FootnoteReference"/>
        </w:rPr>
        <w:footnoteRef/>
      </w:r>
      <w:r w:rsidRPr="00A03B67">
        <w:t xml:space="preserve"> </w:t>
      </w:r>
      <w:r w:rsidR="00EC7A4E" w:rsidRPr="00A03B67">
        <w:t xml:space="preserve">W Roche and T Gormley ‘The Durability of Coordinated Bargaining: Crisis, Recovery and Pay Fixing in Ireland’ (2020) 41(2) </w:t>
      </w:r>
      <w:r w:rsidR="00EC7A4E" w:rsidRPr="00A03B67">
        <w:rPr>
          <w:i/>
          <w:iCs/>
        </w:rPr>
        <w:t>Economic and Industrial Democracy</w:t>
      </w:r>
      <w:r w:rsidR="00EC7A4E" w:rsidRPr="00A03B67">
        <w:t xml:space="preserve"> 481</w:t>
      </w:r>
      <w:r w:rsidR="00EC7A4E" w:rsidRPr="00A03B67">
        <w:rPr>
          <w:rFonts w:ascii="Symbol" w:eastAsia="Symbol" w:hAnsi="Symbol" w:cs="Symbol"/>
        </w:rPr>
        <w:t>-</w:t>
      </w:r>
      <w:r w:rsidR="00EC7A4E" w:rsidRPr="00A03B67">
        <w:t>505.</w:t>
      </w:r>
    </w:p>
  </w:footnote>
  <w:footnote w:id="233">
    <w:p w14:paraId="0B3A9213" w14:textId="20EC1039" w:rsidR="00093B40" w:rsidRPr="00A03B67" w:rsidRDefault="00093B40">
      <w:pPr>
        <w:pStyle w:val="FootnoteText"/>
      </w:pPr>
      <w:r w:rsidRPr="00A03B67">
        <w:rPr>
          <w:rStyle w:val="FootnoteReference"/>
        </w:rPr>
        <w:footnoteRef/>
      </w:r>
      <w:r w:rsidRPr="00A03B67">
        <w:t xml:space="preserve"> </w:t>
      </w:r>
      <w:r w:rsidR="00EC7A4E" w:rsidRPr="00A03B67">
        <w:t xml:space="preserve">M Bray and A Stewart, ‘What is Distinctive about the Fair Work Regime?’ (2013) 26(1) </w:t>
      </w:r>
      <w:r w:rsidR="00EC7A4E" w:rsidRPr="00A03B67">
        <w:rPr>
          <w:i/>
          <w:iCs/>
        </w:rPr>
        <w:t>Australian Journal of Labour Law</w:t>
      </w:r>
      <w:r w:rsidR="00EC7A4E" w:rsidRPr="00A03B67">
        <w:t xml:space="preserve"> 21.</w:t>
      </w:r>
    </w:p>
  </w:footnote>
  <w:footnote w:id="234">
    <w:p w14:paraId="17630C5E" w14:textId="38146E5E" w:rsidR="00093B40" w:rsidRPr="00A03B67" w:rsidRDefault="00093B40">
      <w:pPr>
        <w:pStyle w:val="FootnoteText"/>
      </w:pPr>
      <w:r w:rsidRPr="001E7EB2">
        <w:rPr>
          <w:rStyle w:val="FootnoteReference"/>
        </w:rPr>
        <w:footnoteRef/>
      </w:r>
      <w:r w:rsidRPr="001E7EB2">
        <w:t xml:space="preserve"> </w:t>
      </w:r>
      <w:r w:rsidR="00BD6157">
        <w:t xml:space="preserve">S </w:t>
      </w:r>
      <w:r w:rsidR="001E7EB2" w:rsidRPr="001E7EB2">
        <w:t>Bell</w:t>
      </w:r>
      <w:r w:rsidR="00BD6157">
        <w:t xml:space="preserve"> and B </w:t>
      </w:r>
      <w:r w:rsidR="001E7EB2" w:rsidRPr="001E7EB2">
        <w:t xml:space="preserve">Head ‘Australia’s Political Economy: Critical Themes and Issues’ in S. Bell &amp; B. Head (eds), </w:t>
      </w:r>
      <w:r w:rsidR="001E7EB2" w:rsidRPr="00BD6157">
        <w:rPr>
          <w:i/>
          <w:iCs/>
        </w:rPr>
        <w:t>State, Economy and Public Policy in Australia</w:t>
      </w:r>
      <w:r w:rsidR="001E7EB2" w:rsidRPr="001E7EB2">
        <w:t>, Oxford University Press</w:t>
      </w:r>
      <w:r w:rsidR="00BD6157">
        <w:t xml:space="preserve"> (</w:t>
      </w:r>
      <w:r w:rsidR="00BD6157" w:rsidRPr="001E7EB2">
        <w:t>1994</w:t>
      </w:r>
      <w:r w:rsidR="00BD6157">
        <w:t>)</w:t>
      </w:r>
      <w:r w:rsidR="001E7EB2" w:rsidRPr="001E7EB2">
        <w:t>, Melbourne: 1-24.</w:t>
      </w:r>
    </w:p>
  </w:footnote>
  <w:footnote w:id="235">
    <w:p w14:paraId="5B31AEAF" w14:textId="646644AB" w:rsidR="00093B40" w:rsidRPr="00A03B67" w:rsidRDefault="00093B40">
      <w:pPr>
        <w:pStyle w:val="FootnoteText"/>
      </w:pPr>
      <w:r w:rsidRPr="00A03B67">
        <w:rPr>
          <w:rStyle w:val="FootnoteReference"/>
        </w:rPr>
        <w:footnoteRef/>
      </w:r>
      <w:r w:rsidRPr="00A03B67">
        <w:t xml:space="preserve"> </w:t>
      </w:r>
      <w:r w:rsidR="00EC7A4E" w:rsidRPr="00A03B67">
        <w:t xml:space="preserve">See </w:t>
      </w:r>
      <w:r w:rsidRPr="00A03B67">
        <w:t xml:space="preserve">e.g. </w:t>
      </w:r>
      <w:r w:rsidR="00EC7A4E" w:rsidRPr="00A03B67">
        <w:t xml:space="preserve">CF Wright and C McLaughlin, ‘Trade Union Legitimacy and Legitimation Politics in Australia and New Zealand’ (2021) 60(3) </w:t>
      </w:r>
      <w:r w:rsidR="00EC7A4E" w:rsidRPr="00A03B67">
        <w:rPr>
          <w:i/>
          <w:iCs/>
        </w:rPr>
        <w:t>Industrial Relations</w:t>
      </w:r>
      <w:r w:rsidR="00EC7A4E" w:rsidRPr="00A03B67">
        <w:t xml:space="preserve"> 338–369.</w:t>
      </w:r>
    </w:p>
  </w:footnote>
  <w:footnote w:id="236">
    <w:p w14:paraId="010D8576" w14:textId="4AF8785A" w:rsidR="00093B40" w:rsidRPr="00A03B67" w:rsidRDefault="00093B40">
      <w:pPr>
        <w:pStyle w:val="FootnoteText"/>
      </w:pPr>
      <w:r w:rsidRPr="00A03B67">
        <w:rPr>
          <w:rStyle w:val="FootnoteReference"/>
        </w:rPr>
        <w:footnoteRef/>
      </w:r>
      <w:r w:rsidRPr="00A03B67">
        <w:t xml:space="preserve"> </w:t>
      </w:r>
      <w:r w:rsidR="00EC7A4E" w:rsidRPr="00A03B67">
        <w:t xml:space="preserve">S McCrystal, ‘Why is it So Hard to Take Lawful Strike Action in Australia?’ (2019) 61(1) </w:t>
      </w:r>
      <w:r w:rsidR="00EC7A4E" w:rsidRPr="00A03B67">
        <w:rPr>
          <w:i/>
          <w:iCs/>
        </w:rPr>
        <w:t>Journal of Industrial Relations</w:t>
      </w:r>
      <w:r w:rsidR="00EC7A4E" w:rsidRPr="00A03B67">
        <w:t xml:space="preserve"> </w:t>
      </w:r>
      <w:r w:rsidRPr="00A03B67">
        <w:t xml:space="preserve">132; see also </w:t>
      </w:r>
      <w:r w:rsidRPr="00A03B67">
        <w:rPr>
          <w:i/>
          <w:iCs/>
        </w:rPr>
        <w:t>F</w:t>
      </w:r>
      <w:r w:rsidR="00EC7A4E" w:rsidRPr="00A03B67">
        <w:rPr>
          <w:i/>
          <w:iCs/>
        </w:rPr>
        <w:t xml:space="preserve">air </w:t>
      </w:r>
      <w:r w:rsidRPr="00A03B67">
        <w:rPr>
          <w:i/>
          <w:iCs/>
        </w:rPr>
        <w:t>W</w:t>
      </w:r>
      <w:r w:rsidR="00EC7A4E" w:rsidRPr="00A03B67">
        <w:rPr>
          <w:i/>
          <w:iCs/>
        </w:rPr>
        <w:t>ork</w:t>
      </w:r>
      <w:r w:rsidRPr="00A03B67">
        <w:rPr>
          <w:i/>
          <w:iCs/>
        </w:rPr>
        <w:t xml:space="preserve"> Act </w:t>
      </w:r>
      <w:r w:rsidR="00EC7A4E" w:rsidRPr="00A03B67">
        <w:rPr>
          <w:i/>
          <w:iCs/>
        </w:rPr>
        <w:t>2009</w:t>
      </w:r>
      <w:r w:rsidR="00EC7A4E" w:rsidRPr="00A03B67">
        <w:t xml:space="preserve"> (Cth) </w:t>
      </w:r>
      <w:r w:rsidRPr="00A03B67">
        <w:t>s 409(1)</w:t>
      </w:r>
      <w:r w:rsidR="00EC7A4E" w:rsidRPr="00A03B67">
        <w:t>.</w:t>
      </w:r>
    </w:p>
  </w:footnote>
  <w:footnote w:id="237">
    <w:p w14:paraId="6EF7C7C7" w14:textId="381817D9" w:rsidR="00173F8E" w:rsidRPr="00A03B67" w:rsidRDefault="00173F8E" w:rsidP="00173F8E">
      <w:pPr>
        <w:pStyle w:val="FootnoteText"/>
      </w:pPr>
      <w:r w:rsidRPr="00A03B67">
        <w:rPr>
          <w:rStyle w:val="FootnoteReference"/>
        </w:rPr>
        <w:footnoteRef/>
      </w:r>
      <w:r w:rsidRPr="00A03B67">
        <w:t xml:space="preserve"> </w:t>
      </w:r>
      <w:r w:rsidR="00846EE8" w:rsidRPr="00A03B67">
        <w:t xml:space="preserve">Regulation </w:t>
      </w:r>
      <w:r w:rsidRPr="00A03B67">
        <w:t xml:space="preserve">Impact Statement, </w:t>
      </w:r>
      <w:r w:rsidR="00EC7A4E" w:rsidRPr="00A03B67">
        <w:rPr>
          <w:i/>
          <w:iCs/>
        </w:rPr>
        <w:t>Fair Work Legislation Amendment (Secure Jobs, Better Pay) Act 2022</w:t>
      </w:r>
      <w:r w:rsidR="00EC7A4E" w:rsidRPr="00A03B67">
        <w:t xml:space="preserve"> (Cth), </w:t>
      </w:r>
      <w:r w:rsidRPr="00A03B67">
        <w:t>16.</w:t>
      </w:r>
    </w:p>
  </w:footnote>
  <w:footnote w:id="238">
    <w:p w14:paraId="085BC9BC" w14:textId="2D3B7B1D" w:rsidR="00093B40" w:rsidRPr="00A03B67" w:rsidRDefault="00093B40">
      <w:pPr>
        <w:pStyle w:val="FootnoteText"/>
      </w:pPr>
      <w:r w:rsidRPr="00A03B67">
        <w:rPr>
          <w:rStyle w:val="FootnoteReference"/>
        </w:rPr>
        <w:footnoteRef/>
      </w:r>
      <w:r w:rsidRPr="00A03B67">
        <w:t xml:space="preserve"> </w:t>
      </w:r>
      <w:r w:rsidR="00534C9C">
        <w:t xml:space="preserve">F </w:t>
      </w:r>
      <w:r w:rsidRPr="00A03B67">
        <w:t>McDonald</w:t>
      </w:r>
      <w:r w:rsidR="00534C9C">
        <w:t xml:space="preserve">, S </w:t>
      </w:r>
      <w:r w:rsidR="00534C9C" w:rsidRPr="00534C9C">
        <w:t>Charlesworth</w:t>
      </w:r>
      <w:r w:rsidR="00534C9C">
        <w:t xml:space="preserve"> and C</w:t>
      </w:r>
      <w:r w:rsidR="00534C9C" w:rsidRPr="00534C9C">
        <w:t xml:space="preserve"> Brigden, C. ‘Access to Collective Bargaining for Low-Paid Workers’ in S. McCrystal, B. Creighton &amp; A. Forsyth (eds), </w:t>
      </w:r>
      <w:r w:rsidR="00534C9C" w:rsidRPr="00534C9C">
        <w:rPr>
          <w:i/>
          <w:iCs/>
        </w:rPr>
        <w:t>Collective Bargaining under the Fair Work Act</w:t>
      </w:r>
      <w:r w:rsidR="00534C9C" w:rsidRPr="00534C9C">
        <w:t>, Federation Press, Sydney</w:t>
      </w:r>
      <w:r w:rsidR="00534C9C">
        <w:t xml:space="preserve"> </w:t>
      </w:r>
      <w:r w:rsidR="00534C9C" w:rsidRPr="00534C9C">
        <w:t>(2018): 206-227.</w:t>
      </w:r>
    </w:p>
  </w:footnote>
  <w:footnote w:id="239">
    <w:p w14:paraId="0FE2D426" w14:textId="663EDFB5" w:rsidR="00093B40" w:rsidRPr="00A03B67" w:rsidRDefault="00093B40">
      <w:pPr>
        <w:pStyle w:val="FootnoteText"/>
      </w:pPr>
      <w:r w:rsidRPr="00A03B67">
        <w:rPr>
          <w:rStyle w:val="FootnoteReference"/>
        </w:rPr>
        <w:footnoteRef/>
      </w:r>
      <w:r w:rsidRPr="00A03B67">
        <w:t xml:space="preserve"> </w:t>
      </w:r>
      <w:r w:rsidR="00B13A03">
        <w:t xml:space="preserve">S </w:t>
      </w:r>
      <w:r w:rsidR="00B13A03" w:rsidRPr="00B13A03">
        <w:t>McCrystal ‘Avoiding collective bargaining under the Fair Work Act 2009 (Cth): making collective agreements without unions and the impact of recent</w:t>
      </w:r>
      <w:r w:rsidR="00B13A03">
        <w:t xml:space="preserve"> </w:t>
      </w:r>
      <w:r w:rsidR="00B13A03" w:rsidRPr="00B13A03">
        <w:t>Reforms’,</w:t>
      </w:r>
      <w:r w:rsidR="00B13A03">
        <w:t xml:space="preserve"> </w:t>
      </w:r>
      <w:r w:rsidR="00B13A03" w:rsidRPr="00B13A03">
        <w:t xml:space="preserve">(2024) </w:t>
      </w:r>
      <w:r w:rsidR="00B13A03" w:rsidRPr="00B13A03">
        <w:rPr>
          <w:i/>
          <w:iCs/>
        </w:rPr>
        <w:t>Labour and Industry</w:t>
      </w:r>
      <w:r w:rsidR="00B13A03" w:rsidRPr="00B13A03">
        <w:t xml:space="preserve">, </w:t>
      </w:r>
      <w:r w:rsidR="00B13A03">
        <w:t>p4 &lt;</w:t>
      </w:r>
      <w:r w:rsidR="00B13A03" w:rsidRPr="00B13A03">
        <w:t>DOI: 10.1080/10301763.2024.2439108</w:t>
      </w:r>
      <w:r w:rsidR="00B13A03">
        <w:t>&gt;.</w:t>
      </w:r>
    </w:p>
  </w:footnote>
  <w:footnote w:id="240">
    <w:p w14:paraId="2D0837D0" w14:textId="7BD3523D" w:rsidR="00093B40" w:rsidRPr="00A03B67" w:rsidRDefault="00093B40">
      <w:pPr>
        <w:pStyle w:val="FootnoteText"/>
      </w:pPr>
      <w:r w:rsidRPr="00A03B67">
        <w:rPr>
          <w:rStyle w:val="FootnoteReference"/>
        </w:rPr>
        <w:footnoteRef/>
      </w:r>
      <w:r w:rsidRPr="00A03B67">
        <w:t xml:space="preserve"> </w:t>
      </w:r>
      <w:r w:rsidR="00EC7A4E" w:rsidRPr="00A03B67">
        <w:t xml:space="preserve">K Grace Kelly, ‘The IR System Isn’t Broken, So it Doesn’t Need to be “Fixed”’, </w:t>
      </w:r>
      <w:r w:rsidR="00EC7A4E" w:rsidRPr="00A03B67">
        <w:rPr>
          <w:i/>
          <w:iCs/>
        </w:rPr>
        <w:t>The Australian</w:t>
      </w:r>
      <w:r w:rsidR="00EC7A4E" w:rsidRPr="00A03B67">
        <w:t>, 13</w:t>
      </w:r>
      <w:r w:rsidR="00EC7A4E" w:rsidRPr="00A03B67">
        <w:rPr>
          <w:rFonts w:ascii="Symbol" w:eastAsia="Symbol" w:hAnsi="Symbol" w:cs="Symbol"/>
        </w:rPr>
        <w:t>-</w:t>
      </w:r>
      <w:r w:rsidR="00EC7A4E" w:rsidRPr="00A03B67">
        <w:t>14 July, 22.</w:t>
      </w:r>
    </w:p>
  </w:footnote>
  <w:footnote w:id="241">
    <w:p w14:paraId="3931710A" w14:textId="10BDD05B" w:rsidR="00093B40" w:rsidRPr="00A03B67" w:rsidRDefault="00093B40">
      <w:pPr>
        <w:pStyle w:val="FootnoteText"/>
      </w:pPr>
      <w:r w:rsidRPr="00A03B67">
        <w:rPr>
          <w:rStyle w:val="FootnoteReference"/>
        </w:rPr>
        <w:footnoteRef/>
      </w:r>
      <w:r w:rsidRPr="00A03B67">
        <w:t xml:space="preserve"> </w:t>
      </w:r>
      <w:r w:rsidR="00EC7A4E" w:rsidRPr="00A03B67">
        <w:t xml:space="preserve">A Forsyth, ‘Ten Years of the Fair Work Act: (More) Testing Times for Australia’s Unions’ (2020) 33(1) </w:t>
      </w:r>
      <w:r w:rsidR="00EC7A4E" w:rsidRPr="00A03B67">
        <w:rPr>
          <w:i/>
          <w:iCs/>
        </w:rPr>
        <w:t xml:space="preserve">Australian Journal of Labour Law </w:t>
      </w:r>
      <w:r w:rsidR="00EC7A4E" w:rsidRPr="00A03B67">
        <w:t>122</w:t>
      </w:r>
      <w:r w:rsidR="00EC7A4E" w:rsidRPr="00A03B67">
        <w:rPr>
          <w:rFonts w:ascii="Symbol" w:eastAsia="Symbol" w:hAnsi="Symbol" w:cs="Symbol"/>
        </w:rPr>
        <w:t>-</w:t>
      </w:r>
      <w:r w:rsidR="00EC7A4E" w:rsidRPr="00A03B67">
        <w:t>138.</w:t>
      </w:r>
    </w:p>
  </w:footnote>
  <w:footnote w:id="242">
    <w:p w14:paraId="35160758" w14:textId="69942F35" w:rsidR="00093B40" w:rsidRPr="00A03B67" w:rsidRDefault="00093B40">
      <w:pPr>
        <w:pStyle w:val="FootnoteText"/>
      </w:pPr>
      <w:r w:rsidRPr="00A03B67">
        <w:rPr>
          <w:rStyle w:val="FootnoteReference"/>
        </w:rPr>
        <w:footnoteRef/>
      </w:r>
      <w:r w:rsidRPr="00A03B67">
        <w:t xml:space="preserve"> </w:t>
      </w:r>
      <w:r w:rsidR="00C07DFE" w:rsidRPr="00C07DFE">
        <w:t xml:space="preserve">M. Bray, J. Macneil </w:t>
      </w:r>
      <w:r w:rsidR="00C07DFE">
        <w:t>and</w:t>
      </w:r>
      <w:r w:rsidR="00C07DFE" w:rsidRPr="00C07DFE">
        <w:t xml:space="preserve"> L. Spiess ‘Annual Review of Unions and Collective Bargaining 2018’, (2019)</w:t>
      </w:r>
      <w:r w:rsidR="00C07DFE">
        <w:t xml:space="preserve"> 61(3) </w:t>
      </w:r>
      <w:r w:rsidR="00C07DFE" w:rsidRPr="00C07DFE">
        <w:rPr>
          <w:i/>
          <w:iCs/>
        </w:rPr>
        <w:t>Journal of Industrial Relations</w:t>
      </w:r>
      <w:r w:rsidR="00C07DFE" w:rsidRPr="00C07DFE">
        <w:t xml:space="preserve">, 357-81; J. Macneil, M. Bray </w:t>
      </w:r>
      <w:r w:rsidR="00C07DFE">
        <w:t xml:space="preserve">and </w:t>
      </w:r>
      <w:r w:rsidR="00C07DFE" w:rsidRPr="00C07DFE">
        <w:t>L. Spiess ‘Unions and Collective Bargaining in 2019’,</w:t>
      </w:r>
      <w:r w:rsidR="00C07DFE">
        <w:t xml:space="preserve"> </w:t>
      </w:r>
      <w:r w:rsidR="00C07DFE" w:rsidRPr="00C07DFE">
        <w:t xml:space="preserve">(2020) </w:t>
      </w:r>
      <w:r w:rsidR="00C07DFE">
        <w:t>62(3)</w:t>
      </w:r>
      <w:r w:rsidR="00C07DFE" w:rsidRPr="00C07DFE">
        <w:t xml:space="preserve"> </w:t>
      </w:r>
      <w:r w:rsidR="00C07DFE" w:rsidRPr="00C07DFE">
        <w:rPr>
          <w:i/>
          <w:iCs/>
        </w:rPr>
        <w:t>Journal of Industrial Relations</w:t>
      </w:r>
      <w:r w:rsidR="00C07DFE" w:rsidRPr="00C07DFE">
        <w:t>, 380–402.</w:t>
      </w:r>
    </w:p>
  </w:footnote>
  <w:footnote w:id="243">
    <w:p w14:paraId="32B7FD6D" w14:textId="0C307630" w:rsidR="00173F8E" w:rsidRPr="00A03B67" w:rsidRDefault="00173F8E" w:rsidP="00BA114C">
      <w:pPr>
        <w:spacing w:after="0"/>
      </w:pPr>
      <w:r w:rsidRPr="00A03B67">
        <w:rPr>
          <w:rStyle w:val="FootnoteReference"/>
        </w:rPr>
        <w:footnoteRef/>
      </w:r>
      <w:r w:rsidRPr="00A03B67">
        <w:t xml:space="preserve"> </w:t>
      </w:r>
      <w:r w:rsidRPr="00A03B67">
        <w:rPr>
          <w:sz w:val="18"/>
          <w:szCs w:val="20"/>
        </w:rPr>
        <w:t>The comparison of collective agreement making and its outcomes between Australia’s highly</w:t>
      </w:r>
      <w:r w:rsidR="00EC7A4E" w:rsidRPr="00A03B67">
        <w:rPr>
          <w:sz w:val="18"/>
          <w:szCs w:val="20"/>
        </w:rPr>
        <w:t xml:space="preserve"> </w:t>
      </w:r>
      <w:r w:rsidRPr="00A03B67">
        <w:rPr>
          <w:sz w:val="18"/>
          <w:szCs w:val="20"/>
        </w:rPr>
        <w:t xml:space="preserve">decentralised bargaining system and the many other countries with more centralised systems is, of course, complicated. The point at present is that multi-employer bargaining is </w:t>
      </w:r>
      <w:r w:rsidR="00EC7A4E" w:rsidRPr="00A03B67">
        <w:rPr>
          <w:sz w:val="18"/>
          <w:szCs w:val="20"/>
        </w:rPr>
        <w:t xml:space="preserve">not </w:t>
      </w:r>
      <w:r w:rsidRPr="00A03B67">
        <w:rPr>
          <w:sz w:val="18"/>
          <w:szCs w:val="20"/>
        </w:rPr>
        <w:t>uncommon in other countries and it often leads to better (rather than worse) performance outcomes</w:t>
      </w:r>
      <w:r w:rsidR="00EC7A4E" w:rsidRPr="00A03B67">
        <w:rPr>
          <w:sz w:val="18"/>
          <w:szCs w:val="20"/>
        </w:rPr>
        <w:t>:</w:t>
      </w:r>
      <w:r w:rsidRPr="00A03B67">
        <w:rPr>
          <w:sz w:val="18"/>
          <w:szCs w:val="20"/>
        </w:rPr>
        <w:t xml:space="preserve"> see</w:t>
      </w:r>
      <w:r w:rsidR="00EC7A4E" w:rsidRPr="00A03B67">
        <w:rPr>
          <w:sz w:val="18"/>
          <w:szCs w:val="20"/>
        </w:rPr>
        <w:t xml:space="preserve"> e.g. </w:t>
      </w:r>
      <w:r w:rsidRPr="00A03B67">
        <w:rPr>
          <w:sz w:val="18"/>
          <w:szCs w:val="20"/>
        </w:rPr>
        <w:t>Grimshaw et al. 2024.</w:t>
      </w:r>
    </w:p>
  </w:footnote>
  <w:footnote w:id="244">
    <w:p w14:paraId="64242DEB" w14:textId="74E3E7C1" w:rsidR="00B94F62" w:rsidRPr="00B94F62" w:rsidRDefault="00093B40" w:rsidP="00B94F62">
      <w:pPr>
        <w:pStyle w:val="FootnoteText"/>
      </w:pPr>
      <w:r w:rsidRPr="00A03B67">
        <w:rPr>
          <w:rStyle w:val="FootnoteReference"/>
        </w:rPr>
        <w:footnoteRef/>
      </w:r>
      <w:r w:rsidRPr="00A03B67">
        <w:t xml:space="preserve"> </w:t>
      </w:r>
      <w:r w:rsidR="00B94F62" w:rsidRPr="00B94F62">
        <w:t xml:space="preserve">OECD </w:t>
      </w:r>
      <w:r w:rsidR="00B94F62" w:rsidRPr="00B94F62">
        <w:rPr>
          <w:i/>
          <w:iCs/>
        </w:rPr>
        <w:t>Negotiating our Way Up: Collective Bargaining in a Changing World of Work</w:t>
      </w:r>
      <w:r w:rsidR="00B94F62" w:rsidRPr="00B94F62">
        <w:t>, OECD</w:t>
      </w:r>
      <w:r w:rsidR="00B94F62">
        <w:t xml:space="preserve"> (2019)</w:t>
      </w:r>
      <w:r w:rsidR="00B94F62" w:rsidRPr="00B94F62">
        <w:t xml:space="preserve">, Paris; </w:t>
      </w:r>
      <w:r w:rsidR="00B94F62">
        <w:t xml:space="preserve">G </w:t>
      </w:r>
      <w:r w:rsidR="00B94F62" w:rsidRPr="00B94F62">
        <w:t>Hutchens</w:t>
      </w:r>
      <w:r w:rsidR="00B94F62">
        <w:t xml:space="preserve"> </w:t>
      </w:r>
      <w:r w:rsidR="00B94F62" w:rsidRPr="00B94F62">
        <w:t xml:space="preserve">‘The world is shifting to multi-employer bargaining. Will Australia fail to follow?’, </w:t>
      </w:r>
      <w:r w:rsidR="00B94F62" w:rsidRPr="00B94F62">
        <w:rPr>
          <w:u w:val="single"/>
        </w:rPr>
        <w:t>ABC News</w:t>
      </w:r>
      <w:r w:rsidR="00B94F62" w:rsidRPr="00B94F62">
        <w:t>, 13 November</w:t>
      </w:r>
      <w:r w:rsidR="00B94F62">
        <w:t xml:space="preserve"> 2022</w:t>
      </w:r>
      <w:r w:rsidR="00B94F62" w:rsidRPr="00B94F62">
        <w:t xml:space="preserve">: </w:t>
      </w:r>
    </w:p>
    <w:p w14:paraId="5B027214" w14:textId="5E6C608E" w:rsidR="00B94F62" w:rsidRPr="00B94F62" w:rsidRDefault="00B94F62" w:rsidP="00B94F62">
      <w:pPr>
        <w:pStyle w:val="FootnoteText"/>
      </w:pPr>
      <w:r w:rsidRPr="00D55035">
        <w:t>www.abc.net.au/news/world-is-shifting-to-multi-employer-bargaining-will-australia/101646706</w:t>
      </w:r>
      <w:r w:rsidRPr="00B94F62">
        <w:t>.</w:t>
      </w:r>
    </w:p>
    <w:p w14:paraId="44FE5E2B" w14:textId="07DF3DB7" w:rsidR="00093B40" w:rsidRPr="00A03B67" w:rsidRDefault="00093B40">
      <w:pPr>
        <w:pStyle w:val="FootnoteText"/>
      </w:pPr>
    </w:p>
  </w:footnote>
  <w:footnote w:id="245">
    <w:p w14:paraId="6D99C4E1" w14:textId="40704945" w:rsidR="00093B40" w:rsidRPr="00A03B67" w:rsidRDefault="00093B40">
      <w:pPr>
        <w:pStyle w:val="FootnoteText"/>
      </w:pPr>
      <w:r w:rsidRPr="00A03B67">
        <w:rPr>
          <w:rStyle w:val="FootnoteReference"/>
        </w:rPr>
        <w:footnoteRef/>
      </w:r>
      <w:r w:rsidRPr="00A03B67">
        <w:t xml:space="preserve"> </w:t>
      </w:r>
      <w:r w:rsidR="001509F3" w:rsidRPr="00A03B67">
        <w:t xml:space="preserve">See e.g. R Cooper and B Ellem, ‘“Less Than Zero”: Union Recognition and Bargaining Rights in Australia 1996–2007’ (2011) 52(1) </w:t>
      </w:r>
      <w:r w:rsidR="001509F3" w:rsidRPr="00A03B67">
        <w:rPr>
          <w:i/>
          <w:iCs/>
        </w:rPr>
        <w:t>Labour History</w:t>
      </w:r>
      <w:r w:rsidR="001509F3" w:rsidRPr="00A03B67">
        <w:t xml:space="preserve"> 49</w:t>
      </w:r>
      <w:r w:rsidR="001509F3" w:rsidRPr="00A03B67">
        <w:rPr>
          <w:rFonts w:ascii="Symbol" w:eastAsia="Symbol" w:hAnsi="Symbol" w:cs="Symbol"/>
        </w:rPr>
        <w:t>-</w:t>
      </w:r>
      <w:r w:rsidR="001509F3" w:rsidRPr="00A03B67">
        <w:t>69.</w:t>
      </w:r>
    </w:p>
  </w:footnote>
  <w:footnote w:id="246">
    <w:p w14:paraId="1C70EF77" w14:textId="60ADC880" w:rsidR="00093B40" w:rsidRPr="00A03B67" w:rsidRDefault="00093B40">
      <w:pPr>
        <w:pStyle w:val="FootnoteText"/>
      </w:pPr>
      <w:r w:rsidRPr="00A03B67">
        <w:rPr>
          <w:rStyle w:val="FootnoteReference"/>
        </w:rPr>
        <w:footnoteRef/>
      </w:r>
      <w:r w:rsidRPr="00A03B67">
        <w:t xml:space="preserve"> </w:t>
      </w:r>
      <w:r w:rsidR="00EC7A4E" w:rsidRPr="00A03B67">
        <w:t xml:space="preserve">A Forsyth, J Howe, P Gahan and I Landau, ‘Establishing the Right to Bargain Collectively in Australia and the UK: Are Majority Support Determinations under Australia’s Fair Work Act a More Effective Form of Union Recognition?’ (2017) 46(3) </w:t>
      </w:r>
      <w:r w:rsidR="00EC7A4E" w:rsidRPr="00A03B67">
        <w:rPr>
          <w:i/>
          <w:iCs/>
        </w:rPr>
        <w:t>Industrial Law Journal</w:t>
      </w:r>
      <w:r w:rsidR="00EC7A4E" w:rsidRPr="00A03B67">
        <w:t xml:space="preserve"> 335</w:t>
      </w:r>
      <w:r w:rsidR="00EC7A4E" w:rsidRPr="00A03B67">
        <w:rPr>
          <w:rFonts w:ascii="Symbol" w:eastAsia="Symbol" w:hAnsi="Symbol" w:cs="Symbol"/>
        </w:rPr>
        <w:t>-</w:t>
      </w:r>
      <w:r w:rsidR="00EC7A4E" w:rsidRPr="00A03B67">
        <w:t>365.</w:t>
      </w:r>
    </w:p>
  </w:footnote>
  <w:footnote w:id="247">
    <w:p w14:paraId="583AC44B" w14:textId="6E04ED68" w:rsidR="00093B40" w:rsidRPr="00A03B67" w:rsidRDefault="00093B40">
      <w:pPr>
        <w:pStyle w:val="FootnoteText"/>
      </w:pPr>
      <w:r w:rsidRPr="00A03B67">
        <w:rPr>
          <w:rStyle w:val="FootnoteReference"/>
        </w:rPr>
        <w:footnoteRef/>
      </w:r>
      <w:r w:rsidRPr="00A03B67">
        <w:t xml:space="preserve"> </w:t>
      </w:r>
      <w:r w:rsidR="00EC7A4E" w:rsidRPr="00A03B67">
        <w:t xml:space="preserve">R Read, ‘The Role of Trade Unions and Individual Bargaining Representatives: Who Pays for the Work of Bargaining?’ in S McCrystal et al. (eds), </w:t>
      </w:r>
      <w:r w:rsidR="00EC7A4E" w:rsidRPr="00A03B67">
        <w:rPr>
          <w:i/>
          <w:iCs/>
        </w:rPr>
        <w:t>Collective Bargaining under the Fair Work Act</w:t>
      </w:r>
      <w:r w:rsidR="00EC7A4E" w:rsidRPr="00A03B67">
        <w:t xml:space="preserve"> (Federation Press, 2018) 69</w:t>
      </w:r>
      <w:r w:rsidR="00EC7A4E" w:rsidRPr="00A03B67">
        <w:rPr>
          <w:rFonts w:ascii="Symbol" w:eastAsia="Symbol" w:hAnsi="Symbol" w:cs="Symbol"/>
        </w:rPr>
        <w:t>-</w:t>
      </w:r>
      <w:r w:rsidR="00EC7A4E" w:rsidRPr="00A03B67">
        <w:t>92</w:t>
      </w:r>
      <w:r w:rsidRPr="00A03B67">
        <w:t xml:space="preserve">; </w:t>
      </w:r>
      <w:r w:rsidR="00EC7A4E" w:rsidRPr="00A03B67">
        <w:t xml:space="preserve">K Walpole, ‘The Fair Work Act: Encouraging Collective Agreement-making But Leaving Collective Bargaining to Choice’ (2015) 25(3) </w:t>
      </w:r>
      <w:r w:rsidR="00EC7A4E" w:rsidRPr="00A03B67">
        <w:rPr>
          <w:i/>
          <w:iCs/>
        </w:rPr>
        <w:t>Labour and Industry</w:t>
      </w:r>
      <w:r w:rsidR="00EC7A4E" w:rsidRPr="00A03B67">
        <w:t xml:space="preserve"> 205</w:t>
      </w:r>
      <w:r w:rsidR="00EC7A4E" w:rsidRPr="00A03B67">
        <w:rPr>
          <w:rFonts w:ascii="Symbol" w:eastAsia="Symbol" w:hAnsi="Symbol" w:cs="Symbol"/>
        </w:rPr>
        <w:t>-</w:t>
      </w:r>
      <w:r w:rsidR="00EC7A4E" w:rsidRPr="00A03B67">
        <w:t>218.</w:t>
      </w:r>
    </w:p>
  </w:footnote>
  <w:footnote w:id="248">
    <w:p w14:paraId="4CC9DE09" w14:textId="55F855A1" w:rsidR="00093B40" w:rsidRPr="00A03B67" w:rsidRDefault="00093B40">
      <w:pPr>
        <w:pStyle w:val="FootnoteText"/>
      </w:pPr>
      <w:r w:rsidRPr="00A03B67">
        <w:rPr>
          <w:rStyle w:val="FootnoteReference"/>
        </w:rPr>
        <w:footnoteRef/>
      </w:r>
      <w:r w:rsidRPr="00A03B67">
        <w:t xml:space="preserve"> </w:t>
      </w:r>
      <w:r w:rsidR="00EC7A4E" w:rsidRPr="00A03B67">
        <w:t xml:space="preserve">S McCrystal and M Bray, ‘Non-Union Agreement-Making in Australia in Comparative and Historical Context’ (2021) 41(3) </w:t>
      </w:r>
      <w:r w:rsidR="00EC7A4E" w:rsidRPr="00A03B67">
        <w:rPr>
          <w:i/>
          <w:iCs/>
        </w:rPr>
        <w:t>Comparative Labor Law and Policy Journal</w:t>
      </w:r>
      <w:r w:rsidR="00EC7A4E" w:rsidRPr="00A03B67">
        <w:t xml:space="preserve"> 753</w:t>
      </w:r>
      <w:r w:rsidR="00EC7A4E" w:rsidRPr="00A03B67">
        <w:rPr>
          <w:rFonts w:ascii="Symbol" w:eastAsia="Symbol" w:hAnsi="Symbol" w:cs="Symbol"/>
        </w:rPr>
        <w:t>-</w:t>
      </w:r>
      <w:r w:rsidR="00EC7A4E" w:rsidRPr="00A03B67">
        <w:t>788.</w:t>
      </w:r>
    </w:p>
  </w:footnote>
  <w:footnote w:id="249">
    <w:p w14:paraId="57821A3C" w14:textId="59C3436C"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Fair Work Act 2009 </w:t>
      </w:r>
      <w:r w:rsidR="000454B7" w:rsidRPr="00A03B67">
        <w:t xml:space="preserve">(Cth) </w:t>
      </w:r>
      <w:r w:rsidRPr="00A03B67">
        <w:t>ss172(2) and 172(3).</w:t>
      </w:r>
    </w:p>
  </w:footnote>
  <w:footnote w:id="250">
    <w:p w14:paraId="101E9300" w14:textId="7B629C18" w:rsidR="00093B40" w:rsidRPr="00A03B67" w:rsidRDefault="00093B40">
      <w:pPr>
        <w:pStyle w:val="FootnoteText"/>
      </w:pPr>
      <w:r w:rsidRPr="00A03B67">
        <w:rPr>
          <w:rStyle w:val="FootnoteReference"/>
        </w:rPr>
        <w:footnoteRef/>
      </w:r>
      <w:r w:rsidRPr="00A03B67">
        <w:t xml:space="preserve"> </w:t>
      </w:r>
      <w:r w:rsidR="00EC7A4E" w:rsidRPr="00A03B67">
        <w:t>M Bray and J Macneil, ‘Still Central: Change and Continuity in Australia’s Major Industrial Tribunal’, (2023) 54(4</w:t>
      </w:r>
      <w:r w:rsidR="00EC7A4E" w:rsidRPr="00A03B67">
        <w:rPr>
          <w:rFonts w:ascii="Symbol" w:eastAsia="Symbol" w:hAnsi="Symbol" w:cs="Symbol"/>
        </w:rPr>
        <w:t>-</w:t>
      </w:r>
      <w:r w:rsidR="00EC7A4E" w:rsidRPr="00A03B67">
        <w:t xml:space="preserve">5) </w:t>
      </w:r>
      <w:r w:rsidR="00EC7A4E" w:rsidRPr="00A03B67">
        <w:rPr>
          <w:i/>
          <w:iCs/>
        </w:rPr>
        <w:t>Industrial Relations Journal</w:t>
      </w:r>
      <w:r w:rsidR="00EC7A4E" w:rsidRPr="00A03B67">
        <w:t xml:space="preserve"> 359</w:t>
      </w:r>
      <w:r w:rsidR="00EC7A4E" w:rsidRPr="00A03B67">
        <w:rPr>
          <w:rFonts w:ascii="Symbol" w:eastAsia="Symbol" w:hAnsi="Symbol" w:cs="Symbol"/>
        </w:rPr>
        <w:t>-</w:t>
      </w:r>
      <w:r w:rsidR="00EC7A4E" w:rsidRPr="00A03B67">
        <w:t>376.</w:t>
      </w:r>
    </w:p>
  </w:footnote>
  <w:footnote w:id="251">
    <w:p w14:paraId="5E5C8078" w14:textId="55637D38" w:rsidR="00B244E4" w:rsidRPr="00A03B67" w:rsidRDefault="00B244E4">
      <w:pPr>
        <w:pStyle w:val="FootnoteText"/>
      </w:pPr>
      <w:r w:rsidRPr="00A03B67">
        <w:rPr>
          <w:rStyle w:val="FootnoteReference"/>
        </w:rPr>
        <w:footnoteRef/>
      </w:r>
      <w:r w:rsidRPr="00A03B67">
        <w:t xml:space="preserve"> </w:t>
      </w:r>
      <w:r w:rsidR="00EC7A4E" w:rsidRPr="00A03B67">
        <w:t xml:space="preserve">S McCrystal, ‘Why Is It So Hard to Take Lawful Strike Action in Australia?’ (2019) 61(1) </w:t>
      </w:r>
      <w:r w:rsidR="00EC7A4E" w:rsidRPr="00A03B67">
        <w:rPr>
          <w:i/>
          <w:iCs/>
        </w:rPr>
        <w:t>Journal of Industrial Relations</w:t>
      </w:r>
      <w:r w:rsidR="00EC7A4E" w:rsidRPr="00A03B67">
        <w:t xml:space="preserve"> 129</w:t>
      </w:r>
      <w:r w:rsidR="00EC7A4E" w:rsidRPr="00A03B67">
        <w:rPr>
          <w:rFonts w:ascii="Symbol" w:eastAsia="Symbol" w:hAnsi="Symbol" w:cs="Symbol"/>
        </w:rPr>
        <w:t>-</w:t>
      </w:r>
      <w:r w:rsidR="00EC7A4E" w:rsidRPr="00A03B67">
        <w:t>144.</w:t>
      </w:r>
    </w:p>
  </w:footnote>
  <w:footnote w:id="252">
    <w:p w14:paraId="104A22DB" w14:textId="18468DCC" w:rsidR="00093B40" w:rsidRPr="00A03B67" w:rsidRDefault="00093B40">
      <w:pPr>
        <w:pStyle w:val="FootnoteText"/>
      </w:pPr>
      <w:r w:rsidRPr="00A03B67">
        <w:rPr>
          <w:rStyle w:val="FootnoteReference"/>
        </w:rPr>
        <w:footnoteRef/>
      </w:r>
      <w:r w:rsidRPr="00A03B67">
        <w:t xml:space="preserve"> </w:t>
      </w:r>
      <w:r w:rsidR="00EC7A4E" w:rsidRPr="00A03B67">
        <w:t>M Bray and J Macneil, ‘Still Central: Change and Continuity in Australia’s Major Industrial Tribunal’, (2023) 54(4</w:t>
      </w:r>
      <w:r w:rsidR="00EC7A4E" w:rsidRPr="00A03B67">
        <w:rPr>
          <w:rFonts w:ascii="Symbol" w:eastAsia="Symbol" w:hAnsi="Symbol" w:cs="Symbol"/>
        </w:rPr>
        <w:t>-</w:t>
      </w:r>
      <w:r w:rsidR="00EC7A4E" w:rsidRPr="00A03B67">
        <w:t xml:space="preserve">5) </w:t>
      </w:r>
      <w:r w:rsidR="00EC7A4E" w:rsidRPr="00A03B67">
        <w:rPr>
          <w:i/>
          <w:iCs/>
        </w:rPr>
        <w:t>Industrial Relations Journal</w:t>
      </w:r>
      <w:r w:rsidR="00EC7A4E" w:rsidRPr="00A03B67">
        <w:t xml:space="preserve"> 359</w:t>
      </w:r>
      <w:r w:rsidR="00EC7A4E" w:rsidRPr="00A03B67">
        <w:rPr>
          <w:rFonts w:ascii="Symbol" w:eastAsia="Symbol" w:hAnsi="Symbol" w:cs="Symbol"/>
        </w:rPr>
        <w:t>-</w:t>
      </w:r>
      <w:r w:rsidR="00EC7A4E" w:rsidRPr="00A03B67">
        <w:t>376</w:t>
      </w:r>
      <w:r w:rsidR="00251CBC" w:rsidRPr="00A03B67">
        <w:t>.</w:t>
      </w:r>
    </w:p>
  </w:footnote>
  <w:footnote w:id="253">
    <w:p w14:paraId="7713FA1D" w14:textId="151901B1" w:rsidR="00093B40" w:rsidRPr="00A03B67" w:rsidRDefault="00093B40">
      <w:pPr>
        <w:pStyle w:val="FootnoteText"/>
      </w:pPr>
      <w:r w:rsidRPr="00A03B67">
        <w:rPr>
          <w:rStyle w:val="FootnoteReference"/>
        </w:rPr>
        <w:footnoteRef/>
      </w:r>
      <w:r w:rsidRPr="00A03B67">
        <w:t xml:space="preserve"> </w:t>
      </w:r>
      <w:r w:rsidR="00EC7A4E" w:rsidRPr="00A03B67">
        <w:t xml:space="preserve">See </w:t>
      </w:r>
      <w:r w:rsidRPr="00A03B67">
        <w:t xml:space="preserve">e.g. </w:t>
      </w:r>
      <w:r w:rsidR="00EC7A4E" w:rsidRPr="00A03B67">
        <w:t>M Bray and J Macneil, ‘Still Central: Change and Continuity in Australia’s Major Industrial Tribunal’, (2023) 54(4</w:t>
      </w:r>
      <w:r w:rsidR="00EC7A4E" w:rsidRPr="00A03B67">
        <w:rPr>
          <w:rFonts w:ascii="Symbol" w:eastAsia="Symbol" w:hAnsi="Symbol" w:cs="Symbol"/>
        </w:rPr>
        <w:t>-</w:t>
      </w:r>
      <w:r w:rsidR="00EC7A4E" w:rsidRPr="00A03B67">
        <w:t xml:space="preserve">5) </w:t>
      </w:r>
      <w:r w:rsidR="00EC7A4E" w:rsidRPr="00A03B67">
        <w:rPr>
          <w:i/>
          <w:iCs/>
        </w:rPr>
        <w:t>Industrial Relations Journal</w:t>
      </w:r>
      <w:r w:rsidR="00EC7A4E" w:rsidRPr="00A03B67">
        <w:t xml:space="preserve"> 359</w:t>
      </w:r>
      <w:r w:rsidR="00EC7A4E" w:rsidRPr="00A03B67">
        <w:rPr>
          <w:rFonts w:ascii="Symbol" w:eastAsia="Symbol" w:hAnsi="Symbol" w:cs="Symbol"/>
        </w:rPr>
        <w:t>-</w:t>
      </w:r>
      <w:r w:rsidR="00EC7A4E" w:rsidRPr="00A03B67">
        <w:t>376</w:t>
      </w:r>
      <w:r w:rsidRPr="00A03B67">
        <w:t>; Todd 2011</w:t>
      </w:r>
      <w:r w:rsidR="002830D1" w:rsidRPr="00A03B67">
        <w:t>.</w:t>
      </w:r>
    </w:p>
  </w:footnote>
  <w:footnote w:id="254">
    <w:p w14:paraId="138E0C00" w14:textId="4D75E74C" w:rsidR="00093B40" w:rsidRPr="00A03B67" w:rsidRDefault="00093B40">
      <w:pPr>
        <w:pStyle w:val="FootnoteText"/>
      </w:pPr>
      <w:r w:rsidRPr="00A03B67">
        <w:rPr>
          <w:rStyle w:val="FootnoteReference"/>
        </w:rPr>
        <w:footnoteRef/>
      </w:r>
      <w:r w:rsidRPr="00A03B67">
        <w:t xml:space="preserve"> </w:t>
      </w:r>
      <w:r w:rsidR="00EC7A4E" w:rsidRPr="00A03B67">
        <w:t xml:space="preserve">M Bray and J Macneil, ‘Reforming Collective Bargaining’ in K Hancock and R Lansbury (eds), </w:t>
      </w:r>
      <w:r w:rsidR="00EC7A4E" w:rsidRPr="00A03B67">
        <w:rPr>
          <w:i/>
          <w:iCs/>
        </w:rPr>
        <w:t>Industrial Relations Reform: Looking to the Future</w:t>
      </w:r>
      <w:r w:rsidR="00EC7A4E" w:rsidRPr="00A03B67">
        <w:t xml:space="preserve"> (Federation Press, 2016) </w:t>
      </w:r>
      <w:r w:rsidRPr="00A03B67">
        <w:t>108</w:t>
      </w:r>
      <w:r w:rsidR="00EC7A4E" w:rsidRPr="00A03B67">
        <w:rPr>
          <w:rFonts w:ascii="Symbol" w:eastAsia="Symbol" w:hAnsi="Symbol" w:cs="Symbol"/>
        </w:rPr>
        <w:t>-</w:t>
      </w:r>
      <w:r w:rsidRPr="00A03B67">
        <w:t>110</w:t>
      </w:r>
      <w:r w:rsidR="00EC7A4E" w:rsidRPr="00A03B67">
        <w:t>.</w:t>
      </w:r>
    </w:p>
  </w:footnote>
  <w:footnote w:id="255">
    <w:p w14:paraId="0774EF2D" w14:textId="65BA9403" w:rsidR="00093B40" w:rsidRPr="00A03B67" w:rsidRDefault="00093B40">
      <w:pPr>
        <w:pStyle w:val="FootnoteText"/>
      </w:pPr>
      <w:r w:rsidRPr="00A03B67">
        <w:rPr>
          <w:rStyle w:val="FootnoteReference"/>
        </w:rPr>
        <w:footnoteRef/>
      </w:r>
      <w:r w:rsidRPr="00A03B67">
        <w:t xml:space="preserve"> </w:t>
      </w:r>
      <w:r w:rsidR="00EC7A4E" w:rsidRPr="00A03B67">
        <w:t xml:space="preserve">M Bray and J Macneil, ‘Reforming Collective Bargaining’ in K Hancock and R Lansbury (eds), </w:t>
      </w:r>
      <w:r w:rsidR="00EC7A4E" w:rsidRPr="00A03B67">
        <w:rPr>
          <w:i/>
          <w:iCs/>
        </w:rPr>
        <w:t>Industrial Relations Reform: Looking to the Future</w:t>
      </w:r>
      <w:r w:rsidR="00EC7A4E" w:rsidRPr="00A03B67">
        <w:t xml:space="preserve"> (Federation Press, 2016) </w:t>
      </w:r>
      <w:r w:rsidRPr="00A03B67">
        <w:t>111</w:t>
      </w:r>
      <w:r w:rsidR="00EC7A4E" w:rsidRPr="00A03B67">
        <w:rPr>
          <w:rFonts w:ascii="Symbol" w:eastAsia="Symbol" w:hAnsi="Symbol" w:cs="Symbol"/>
        </w:rPr>
        <w:t>-</w:t>
      </w:r>
      <w:r w:rsidRPr="00A03B67">
        <w:t>112</w:t>
      </w:r>
      <w:r w:rsidR="00EC7A4E" w:rsidRPr="00A03B67">
        <w:t>.</w:t>
      </w:r>
    </w:p>
  </w:footnote>
  <w:footnote w:id="256">
    <w:p w14:paraId="35354F42" w14:textId="6AB3CFEB" w:rsidR="00173F8E" w:rsidRPr="00A03B67" w:rsidRDefault="00173F8E" w:rsidP="00173F8E">
      <w:pPr>
        <w:pStyle w:val="FootnoteText"/>
        <w:rPr>
          <w:lang w:val="en-US"/>
        </w:rPr>
      </w:pPr>
      <w:r w:rsidRPr="00A03B67">
        <w:rPr>
          <w:rStyle w:val="FootnoteReference"/>
        </w:rPr>
        <w:footnoteRef/>
      </w:r>
      <w:r w:rsidRPr="00A03B67">
        <w:t xml:space="preserve"> </w:t>
      </w:r>
      <w:r w:rsidRPr="00A03B67">
        <w:rPr>
          <w:lang w:val="en-US"/>
        </w:rPr>
        <w:t>Note only data as at the last day of September in each year has been compared</w:t>
      </w:r>
      <w:r w:rsidR="00EC7A4E" w:rsidRPr="00A03B67">
        <w:rPr>
          <w:lang w:val="en-US"/>
        </w:rPr>
        <w:t>.</w:t>
      </w:r>
      <w:r w:rsidRPr="00A03B67">
        <w:rPr>
          <w:lang w:val="en-US"/>
        </w:rPr>
        <w:t xml:space="preserve"> </w:t>
      </w:r>
    </w:p>
  </w:footnote>
  <w:footnote w:id="257">
    <w:p w14:paraId="1CD9EC30" w14:textId="56C20E5C" w:rsidR="00D73E6B" w:rsidRPr="00A03B67" w:rsidRDefault="00D73E6B">
      <w:pPr>
        <w:pStyle w:val="FootnoteText"/>
      </w:pPr>
      <w:r w:rsidRPr="00A03B67">
        <w:rPr>
          <w:rStyle w:val="FootnoteReference"/>
        </w:rPr>
        <w:footnoteRef/>
      </w:r>
      <w:r w:rsidRPr="00A03B67">
        <w:t xml:space="preserve"> cited in Bray &amp; Macneil: 109</w:t>
      </w:r>
      <w:r w:rsidR="002830D1" w:rsidRPr="00A03B67">
        <w:t>.</w:t>
      </w:r>
    </w:p>
  </w:footnote>
  <w:footnote w:id="258">
    <w:p w14:paraId="383CA758" w14:textId="6FC7E363" w:rsidR="00D73E6B" w:rsidRPr="00A03B67" w:rsidRDefault="00D73E6B">
      <w:pPr>
        <w:pStyle w:val="FootnoteText"/>
      </w:pPr>
      <w:r w:rsidRPr="00A03B67">
        <w:rPr>
          <w:rStyle w:val="FootnoteReference"/>
        </w:rPr>
        <w:footnoteRef/>
      </w:r>
      <w:r w:rsidRPr="00A03B67">
        <w:t xml:space="preserve"> </w:t>
      </w:r>
      <w:r w:rsidR="00EC7A4E" w:rsidRPr="00A03B67">
        <w:t xml:space="preserve">A Pennington, </w:t>
      </w:r>
      <w:r w:rsidR="00EC7A4E" w:rsidRPr="00A03B67">
        <w:rPr>
          <w:i/>
          <w:iCs/>
        </w:rPr>
        <w:t>On the Brink: The Erosion of Enterprise Agreement Coverage in Australia’s Private Sector</w:t>
      </w:r>
      <w:r w:rsidR="00EC7A4E" w:rsidRPr="00A03B67">
        <w:t xml:space="preserve"> (Centre for Future Work, Australia Institute, 2018) </w:t>
      </w:r>
      <w:r w:rsidR="00AF0EC4" w:rsidRPr="00A03B67">
        <w:t>&lt;</w:t>
      </w:r>
      <w:r w:rsidR="00EC7A4E" w:rsidRPr="00A03B67">
        <w:t>https://australiainstitute.org.au/wp-content/uploads/2020/12/Collective-Bargaining-On-the-Brink-WEB.pdf</w:t>
      </w:r>
      <w:r w:rsidR="00AF0EC4" w:rsidRPr="00A03B67">
        <w:t>&gt;</w:t>
      </w:r>
      <w:r w:rsidRPr="00A03B67">
        <w:t>; BCA 2021</w:t>
      </w:r>
      <w:r w:rsidR="002830D1" w:rsidRPr="00A03B67">
        <w:t>.</w:t>
      </w:r>
    </w:p>
  </w:footnote>
  <w:footnote w:id="259">
    <w:p w14:paraId="212F94D2" w14:textId="586CC292" w:rsidR="00D73E6B" w:rsidRPr="00A03B67" w:rsidRDefault="00D73E6B">
      <w:pPr>
        <w:pStyle w:val="FootnoteText"/>
      </w:pPr>
      <w:r w:rsidRPr="00A03B67">
        <w:rPr>
          <w:rStyle w:val="FootnoteReference"/>
        </w:rPr>
        <w:footnoteRef/>
      </w:r>
      <w:r w:rsidRPr="00A03B67">
        <w:t xml:space="preserve"> </w:t>
      </w:r>
      <w:r w:rsidR="00AF0EC4" w:rsidRPr="00A03B67">
        <w:t xml:space="preserve">M Bray, S McCrystal and L Spiess, ‘Why Doesn’t Anyone Talk About Non-union Collective Agreements?’ (2020) 62(5) </w:t>
      </w:r>
      <w:r w:rsidR="00AF0EC4" w:rsidRPr="00A03B67">
        <w:rPr>
          <w:i/>
          <w:iCs/>
        </w:rPr>
        <w:t>Journal of Industrial Relations</w:t>
      </w:r>
      <w:r w:rsidR="00AF0EC4" w:rsidRPr="00A03B67">
        <w:t xml:space="preserve"> 784</w:t>
      </w:r>
      <w:r w:rsidR="00AF0EC4" w:rsidRPr="00A03B67">
        <w:rPr>
          <w:rFonts w:ascii="Symbol" w:eastAsia="Symbol" w:hAnsi="Symbol" w:cs="Symbol"/>
        </w:rPr>
        <w:t>-</w:t>
      </w:r>
      <w:r w:rsidR="00AF0EC4" w:rsidRPr="00A03B67">
        <w:t>807.</w:t>
      </w:r>
    </w:p>
  </w:footnote>
  <w:footnote w:id="260">
    <w:p w14:paraId="73FC4EFE" w14:textId="626B4E97" w:rsidR="00D73E6B" w:rsidRPr="00A03B67" w:rsidRDefault="00D73E6B">
      <w:pPr>
        <w:pStyle w:val="FootnoteText"/>
      </w:pPr>
      <w:r w:rsidRPr="00A03B67">
        <w:rPr>
          <w:rStyle w:val="FootnoteReference"/>
        </w:rPr>
        <w:footnoteRef/>
      </w:r>
      <w:r w:rsidRPr="00A03B67">
        <w:t xml:space="preserve"> BCA 2021</w:t>
      </w:r>
      <w:r w:rsidR="00BF2C49" w:rsidRPr="00A03B67">
        <w:t>.</w:t>
      </w:r>
    </w:p>
  </w:footnote>
  <w:footnote w:id="261">
    <w:p w14:paraId="592E5A30" w14:textId="77777777" w:rsidR="00173F8E" w:rsidRPr="00A03B67" w:rsidRDefault="00173F8E" w:rsidP="00173F8E">
      <w:pPr>
        <w:pStyle w:val="FootnoteText"/>
      </w:pPr>
      <w:r w:rsidRPr="00A03B67">
        <w:rPr>
          <w:rStyle w:val="FootnoteReference"/>
        </w:rPr>
        <w:footnoteRef/>
      </w:r>
      <w:r w:rsidRPr="00A03B67">
        <w:t xml:space="preserve"> Note that the WAD measures only the number of employees covered by collective agreements (agreement size) and not the size (in terms of employment) of the enterprise covered by the agreement.</w:t>
      </w:r>
    </w:p>
  </w:footnote>
  <w:footnote w:id="262">
    <w:p w14:paraId="6246BAA7" w14:textId="5F714E34" w:rsidR="00173F8E" w:rsidRPr="00A03B67" w:rsidRDefault="00173F8E" w:rsidP="00173F8E">
      <w:pPr>
        <w:pStyle w:val="FootnoteText"/>
        <w:rPr>
          <w:lang w:val="en-US"/>
        </w:rPr>
      </w:pPr>
      <w:r w:rsidRPr="00A03B67">
        <w:rPr>
          <w:rStyle w:val="FootnoteReference"/>
        </w:rPr>
        <w:footnoteRef/>
      </w:r>
      <w:r w:rsidRPr="00A03B67">
        <w:t xml:space="preserve"> </w:t>
      </w:r>
      <w:r w:rsidRPr="00A03B67">
        <w:rPr>
          <w:lang w:val="en-US"/>
        </w:rPr>
        <w:t xml:space="preserve">For a more detailed discussion of labour compensation as a share of GDP see </w:t>
      </w:r>
      <w:r w:rsidR="00AF0EC4" w:rsidRPr="00A03B67">
        <w:rPr>
          <w:lang w:val="en-US"/>
        </w:rPr>
        <w:t xml:space="preserve">J Stanford, ‘The Declining Labour Share in Australia: Definition, Measurement, and International Comparisons’ (2018) 81 </w:t>
      </w:r>
      <w:r w:rsidR="00AF0EC4" w:rsidRPr="00A03B67">
        <w:rPr>
          <w:i/>
          <w:iCs/>
          <w:lang w:val="en-US"/>
        </w:rPr>
        <w:t>Journal of Australian Political Economy</w:t>
      </w:r>
      <w:r w:rsidR="00AF0EC4" w:rsidRPr="00A03B67">
        <w:rPr>
          <w:lang w:val="en-US"/>
        </w:rPr>
        <w:t xml:space="preserve"> 11</w:t>
      </w:r>
      <w:r w:rsidR="00AF0EC4" w:rsidRPr="00A03B67">
        <w:rPr>
          <w:rFonts w:ascii="Symbol" w:eastAsia="Symbol" w:hAnsi="Symbol" w:cs="Symbol"/>
          <w:lang w:val="en-US"/>
        </w:rPr>
        <w:t>-</w:t>
      </w:r>
      <w:r w:rsidR="00AF0EC4" w:rsidRPr="00A03B67">
        <w:rPr>
          <w:lang w:val="en-US"/>
        </w:rPr>
        <w:t>32.</w:t>
      </w:r>
    </w:p>
  </w:footnote>
  <w:footnote w:id="263">
    <w:p w14:paraId="4E7382FE" w14:textId="20480C09" w:rsidR="00173F8E" w:rsidRPr="00A03B67" w:rsidRDefault="00173F8E" w:rsidP="00173F8E">
      <w:pPr>
        <w:pStyle w:val="FootnoteText"/>
        <w:rPr>
          <w:lang w:val="en-US"/>
        </w:rPr>
      </w:pPr>
      <w:r w:rsidRPr="00A03B67">
        <w:rPr>
          <w:rStyle w:val="FootnoteReference"/>
        </w:rPr>
        <w:footnoteRef/>
      </w:r>
      <w:r w:rsidRPr="00A03B67">
        <w:t xml:space="preserve"> </w:t>
      </w:r>
      <w:r w:rsidRPr="00A03B67">
        <w:rPr>
          <w:lang w:val="en-US"/>
        </w:rPr>
        <w:t>D</w:t>
      </w:r>
      <w:r w:rsidR="00AF0EC4" w:rsidRPr="00A03B67">
        <w:rPr>
          <w:lang w:val="en-US"/>
        </w:rPr>
        <w:t xml:space="preserve"> </w:t>
      </w:r>
      <w:r w:rsidRPr="00A03B67">
        <w:rPr>
          <w:lang w:val="en-US"/>
        </w:rPr>
        <w:t>Shubhdeep, J Eechout, P Aseem and W Lawrence</w:t>
      </w:r>
      <w:r w:rsidR="00AF0EC4" w:rsidRPr="00A03B67">
        <w:rPr>
          <w:lang w:val="en-US"/>
        </w:rPr>
        <w:t>,</w:t>
      </w:r>
      <w:r w:rsidRPr="00A03B67">
        <w:rPr>
          <w:lang w:val="en-US"/>
        </w:rPr>
        <w:t xml:space="preserve"> </w:t>
      </w:r>
      <w:r w:rsidR="00AF0EC4" w:rsidRPr="00A03B67">
        <w:rPr>
          <w:lang w:val="en-US"/>
        </w:rPr>
        <w:t>‘</w:t>
      </w:r>
      <w:r w:rsidRPr="00A03B67">
        <w:rPr>
          <w:lang w:val="en-US"/>
        </w:rPr>
        <w:t xml:space="preserve">What </w:t>
      </w:r>
      <w:r w:rsidR="00AF0EC4" w:rsidRPr="00A03B67">
        <w:rPr>
          <w:lang w:val="en-US"/>
        </w:rPr>
        <w:t>D</w:t>
      </w:r>
      <w:r w:rsidRPr="00A03B67">
        <w:rPr>
          <w:lang w:val="en-US"/>
        </w:rPr>
        <w:t xml:space="preserve">rives </w:t>
      </w:r>
      <w:r w:rsidR="00AF0EC4" w:rsidRPr="00A03B67">
        <w:rPr>
          <w:lang w:val="en-US"/>
        </w:rPr>
        <w:t>W</w:t>
      </w:r>
      <w:r w:rsidRPr="00A03B67">
        <w:rPr>
          <w:lang w:val="en-US"/>
        </w:rPr>
        <w:t xml:space="preserve">age </w:t>
      </w:r>
      <w:r w:rsidR="00AF0EC4" w:rsidRPr="00A03B67">
        <w:rPr>
          <w:lang w:val="en-US"/>
        </w:rPr>
        <w:t>S</w:t>
      </w:r>
      <w:r w:rsidRPr="00A03B67">
        <w:rPr>
          <w:lang w:val="en-US"/>
        </w:rPr>
        <w:t xml:space="preserve">tagnation: </w:t>
      </w:r>
      <w:r w:rsidR="00AF0EC4" w:rsidRPr="00A03B67">
        <w:rPr>
          <w:lang w:val="en-US"/>
        </w:rPr>
        <w:t>M</w:t>
      </w:r>
      <w:r w:rsidRPr="00A03B67">
        <w:rPr>
          <w:lang w:val="en-US"/>
        </w:rPr>
        <w:t xml:space="preserve">onopsony or </w:t>
      </w:r>
      <w:r w:rsidR="00AF0EC4" w:rsidRPr="00A03B67">
        <w:rPr>
          <w:lang w:val="en-US"/>
        </w:rPr>
        <w:t>M</w:t>
      </w:r>
      <w:r w:rsidRPr="00A03B67">
        <w:rPr>
          <w:lang w:val="en-US"/>
        </w:rPr>
        <w:t>onopoly?</w:t>
      </w:r>
      <w:r w:rsidR="00AF0EC4" w:rsidRPr="00A03B67">
        <w:rPr>
          <w:lang w:val="en-US"/>
        </w:rPr>
        <w:t>’</w:t>
      </w:r>
      <w:r w:rsidRPr="00A03B67">
        <w:rPr>
          <w:lang w:val="en-US"/>
        </w:rPr>
        <w:t xml:space="preserve"> </w:t>
      </w:r>
      <w:r w:rsidR="00AF0EC4" w:rsidRPr="00A03B67">
        <w:rPr>
          <w:lang w:val="en-US"/>
        </w:rPr>
        <w:t xml:space="preserve">(2022) 20(6) </w:t>
      </w:r>
      <w:r w:rsidRPr="00A03B67">
        <w:rPr>
          <w:i/>
          <w:iCs/>
          <w:lang w:val="en-US"/>
        </w:rPr>
        <w:t>Journal of the European Economic Association</w:t>
      </w:r>
      <w:r w:rsidR="00AF0EC4" w:rsidRPr="00A03B67">
        <w:rPr>
          <w:lang w:val="en-US"/>
        </w:rPr>
        <w:t xml:space="preserve"> </w:t>
      </w:r>
      <w:r w:rsidRPr="00A03B67">
        <w:rPr>
          <w:lang w:val="en-US"/>
        </w:rPr>
        <w:t>2181</w:t>
      </w:r>
      <w:r w:rsidR="00AF0EC4" w:rsidRPr="00A03B67">
        <w:rPr>
          <w:rFonts w:ascii="Symbol" w:eastAsia="Symbol" w:hAnsi="Symbol" w:cs="Symbol"/>
          <w:lang w:val="en-US"/>
        </w:rPr>
        <w:t>-</w:t>
      </w:r>
      <w:r w:rsidRPr="00A03B67">
        <w:rPr>
          <w:lang w:val="en-US"/>
        </w:rPr>
        <w:t>2225.</w:t>
      </w:r>
    </w:p>
  </w:footnote>
  <w:footnote w:id="264">
    <w:p w14:paraId="25624DA5" w14:textId="49B2D9FC" w:rsidR="00D73E6B" w:rsidRPr="00A03B67" w:rsidRDefault="00D73E6B">
      <w:pPr>
        <w:pStyle w:val="FootnoteText"/>
      </w:pPr>
      <w:r w:rsidRPr="00A03B67">
        <w:rPr>
          <w:rStyle w:val="FootnoteReference"/>
        </w:rPr>
        <w:footnoteRef/>
      </w:r>
      <w:r w:rsidRPr="00A03B67">
        <w:t xml:space="preserve"> </w:t>
      </w:r>
      <w:r w:rsidR="00AF0EC4" w:rsidRPr="00A03B67">
        <w:t>See e.</w:t>
      </w:r>
      <w:r w:rsidRPr="00A03B67">
        <w:t>g. Isaac 2018</w:t>
      </w:r>
      <w:r w:rsidR="00AF0EC4" w:rsidRPr="00A03B67">
        <w:t>;</w:t>
      </w:r>
      <w:r w:rsidRPr="00A03B67">
        <w:t xml:space="preserve"> </w:t>
      </w:r>
      <w:r w:rsidR="00AF0EC4" w:rsidRPr="00A03B67">
        <w:t xml:space="preserve">A Stewart, J Stanford and T Harding (eds) </w:t>
      </w:r>
      <w:r w:rsidR="00AF0EC4" w:rsidRPr="00A03B67">
        <w:rPr>
          <w:i/>
          <w:iCs/>
        </w:rPr>
        <w:t>The Wages Crisis in Australia</w:t>
      </w:r>
      <w:r w:rsidR="00AF0EC4" w:rsidRPr="00A03B67">
        <w:t xml:space="preserve"> (University of Adelaide Press, 2018) &lt;https://www.adelaide.edu.au/press/ua/media/621/uap-wages-crisis-ebook.pdf&gt;; BCA, </w:t>
      </w:r>
      <w:r w:rsidR="00AF0EC4" w:rsidRPr="00A03B67">
        <w:rPr>
          <w:i/>
          <w:iCs/>
        </w:rPr>
        <w:t>The State of Enterprise Bargaining in Australia</w:t>
      </w:r>
      <w:r w:rsidR="00AF0EC4" w:rsidRPr="00A03B67">
        <w:t xml:space="preserve"> (Business Council of Australia, 2019) &lt;https://www.bca.com.au/the_state_of_enterprise_bargaining_in_australia&gt;; </w:t>
      </w:r>
      <w:r w:rsidRPr="00A03B67">
        <w:t>Stanford et al. 2021</w:t>
      </w:r>
      <w:r w:rsidR="00BF2C49" w:rsidRPr="00A03B67">
        <w:t>.</w:t>
      </w:r>
    </w:p>
  </w:footnote>
  <w:footnote w:id="265">
    <w:p w14:paraId="40751A72" w14:textId="6BDFFE42" w:rsidR="00173F8E" w:rsidRPr="00A03B67" w:rsidRDefault="00173F8E" w:rsidP="00173F8E">
      <w:pPr>
        <w:pStyle w:val="FootnoteText"/>
      </w:pPr>
      <w:r w:rsidRPr="00A03B67">
        <w:rPr>
          <w:rStyle w:val="FootnoteReference"/>
        </w:rPr>
        <w:footnoteRef/>
      </w:r>
      <w:r w:rsidRPr="00A03B67">
        <w:t xml:space="preserve"> It should also be noted that the issue of </w:t>
      </w:r>
      <w:r w:rsidR="00AF0EC4" w:rsidRPr="00A03B67">
        <w:t>‘</w:t>
      </w:r>
      <w:r w:rsidRPr="00A03B67">
        <w:t>productivity</w:t>
      </w:r>
      <w:r w:rsidR="00AF0EC4" w:rsidRPr="00A03B67">
        <w:t>’</w:t>
      </w:r>
      <w:r w:rsidRPr="00A03B67">
        <w:t xml:space="preserve"> is treated separately in an Appendix.</w:t>
      </w:r>
    </w:p>
  </w:footnote>
  <w:footnote w:id="266">
    <w:p w14:paraId="499AAE81" w14:textId="6D617E4C" w:rsidR="006D7CA0" w:rsidRPr="00A03B67" w:rsidRDefault="006D7CA0">
      <w:pPr>
        <w:pStyle w:val="FootnoteText"/>
      </w:pPr>
      <w:r w:rsidRPr="00A03B67">
        <w:rPr>
          <w:rStyle w:val="FootnoteReference"/>
        </w:rPr>
        <w:footnoteRef/>
      </w:r>
      <w:r w:rsidRPr="00A03B67">
        <w:t xml:space="preserve"> </w:t>
      </w:r>
      <w:r w:rsidR="00AF0EC4" w:rsidRPr="00A03B67">
        <w:t>S</w:t>
      </w:r>
      <w:r w:rsidRPr="00A03B67">
        <w:t>ee</w:t>
      </w:r>
      <w:r w:rsidR="00AF0EC4" w:rsidRPr="00A03B67">
        <w:t xml:space="preserve"> e.g. </w:t>
      </w:r>
      <w:r w:rsidRPr="00A03B67">
        <w:t xml:space="preserve">OECD 2019; Sisson 2024; Grimshaw et al. 2024; </w:t>
      </w:r>
      <w:r w:rsidR="00AF0EC4" w:rsidRPr="00A03B67">
        <w:t xml:space="preserve">A Kent, ‘New Zealand’s Fair Pay Agreements: A New Direction in Sectoral and Occupational Bargaining’ (2021) 31(3) </w:t>
      </w:r>
      <w:r w:rsidR="00AF0EC4" w:rsidRPr="00A03B67">
        <w:rPr>
          <w:i/>
          <w:iCs/>
        </w:rPr>
        <w:t>Labour &amp; Industry</w:t>
      </w:r>
      <w:r w:rsidR="00AF0EC4" w:rsidRPr="00A03B67">
        <w:t xml:space="preserve"> 235</w:t>
      </w:r>
      <w:r w:rsidR="00AF0EC4" w:rsidRPr="00A03B67">
        <w:rPr>
          <w:rFonts w:ascii="Symbol" w:eastAsia="Symbol" w:hAnsi="Symbol" w:cs="Symbol"/>
        </w:rPr>
        <w:t>-</w:t>
      </w:r>
      <w:r w:rsidR="00AF0EC4" w:rsidRPr="00A03B67">
        <w:t>254.</w:t>
      </w:r>
    </w:p>
  </w:footnote>
  <w:footnote w:id="267">
    <w:p w14:paraId="65EC0700" w14:textId="50371D13" w:rsidR="006D7CA0" w:rsidRPr="00A03B67" w:rsidRDefault="006D7CA0">
      <w:pPr>
        <w:pStyle w:val="FootnoteText"/>
      </w:pPr>
      <w:r w:rsidRPr="00A03B67">
        <w:rPr>
          <w:rStyle w:val="FootnoteReference"/>
        </w:rPr>
        <w:footnoteRef/>
      </w:r>
      <w:r w:rsidRPr="00A03B67">
        <w:t xml:space="preserve"> </w:t>
      </w:r>
      <w:r w:rsidR="00AF0EC4" w:rsidRPr="00A03B67">
        <w:t>S</w:t>
      </w:r>
      <w:r w:rsidRPr="00A03B67">
        <w:t>ee McCrystal 2024</w:t>
      </w:r>
      <w:r w:rsidR="00BF2C49" w:rsidRPr="00A03B67">
        <w:t>.</w:t>
      </w:r>
    </w:p>
  </w:footnote>
  <w:footnote w:id="268">
    <w:p w14:paraId="67846EE3"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w:t>
      </w:r>
      <w:r w:rsidRPr="00A03B67">
        <w:rPr>
          <w:i/>
        </w:rPr>
        <w:t xml:space="preserve"> Act </w:t>
      </w:r>
      <w:r w:rsidRPr="00A03B67">
        <w:rPr>
          <w:i/>
          <w:iCs/>
        </w:rPr>
        <w:t>2009</w:t>
      </w:r>
      <w:r w:rsidRPr="00A03B67">
        <w:t xml:space="preserve"> (Cth) s 173(1).</w:t>
      </w:r>
    </w:p>
  </w:footnote>
  <w:footnote w:id="269">
    <w:p w14:paraId="5E9EF4BF"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173(3).</w:t>
      </w:r>
    </w:p>
  </w:footnote>
  <w:footnote w:id="270">
    <w:p w14:paraId="13202E03" w14:textId="28E53749" w:rsidR="00173F8E" w:rsidRPr="00A03B67" w:rsidRDefault="00173F8E" w:rsidP="00173F8E">
      <w:pPr>
        <w:pStyle w:val="FootnoteText"/>
        <w:rPr>
          <w:lang w:val="en-US"/>
        </w:rPr>
      </w:pPr>
      <w:r w:rsidRPr="00A03B67">
        <w:rPr>
          <w:rStyle w:val="FootnoteReference"/>
        </w:rPr>
        <w:footnoteRef/>
      </w:r>
      <w:r w:rsidRPr="00A03B67">
        <w:t xml:space="preserve"> </w:t>
      </w:r>
      <w:r w:rsidRPr="00A03B67">
        <w:rPr>
          <w:lang w:val="en-US"/>
        </w:rPr>
        <w:t xml:space="preserve">See also </w:t>
      </w:r>
      <w:r w:rsidR="00BA114C" w:rsidRPr="00A03B67">
        <w:rPr>
          <w:lang w:val="en-US"/>
        </w:rPr>
        <w:t xml:space="preserve">S </w:t>
      </w:r>
      <w:r w:rsidRPr="00A03B67">
        <w:rPr>
          <w:lang w:val="en-US"/>
        </w:rPr>
        <w:t xml:space="preserve">McCrystal, ‘Avoiding </w:t>
      </w:r>
      <w:r w:rsidR="00BA114C" w:rsidRPr="00A03B67">
        <w:rPr>
          <w:lang w:val="en-US"/>
        </w:rPr>
        <w:t>C</w:t>
      </w:r>
      <w:r w:rsidRPr="00A03B67">
        <w:rPr>
          <w:lang w:val="en-US"/>
        </w:rPr>
        <w:t xml:space="preserve">ollective </w:t>
      </w:r>
      <w:r w:rsidR="00BA114C" w:rsidRPr="00A03B67">
        <w:rPr>
          <w:lang w:val="en-US"/>
        </w:rPr>
        <w:t>B</w:t>
      </w:r>
      <w:r w:rsidRPr="00A03B67">
        <w:rPr>
          <w:lang w:val="en-US"/>
        </w:rPr>
        <w:t xml:space="preserve">argaining under the </w:t>
      </w:r>
      <w:r w:rsidRPr="00A03B67">
        <w:rPr>
          <w:i/>
          <w:lang w:val="en-US"/>
        </w:rPr>
        <w:t xml:space="preserve">Fair Work </w:t>
      </w:r>
      <w:r w:rsidRPr="00A03B67">
        <w:rPr>
          <w:i/>
          <w:iCs/>
          <w:lang w:val="en-US"/>
        </w:rPr>
        <w:t>Act</w:t>
      </w:r>
      <w:r w:rsidRPr="00A03B67">
        <w:rPr>
          <w:i/>
          <w:lang w:val="en-US"/>
        </w:rPr>
        <w:t xml:space="preserve"> 2009</w:t>
      </w:r>
      <w:r w:rsidRPr="00A03B67">
        <w:rPr>
          <w:lang w:val="en-US"/>
        </w:rPr>
        <w:t xml:space="preserve"> (Cth): </w:t>
      </w:r>
      <w:r w:rsidR="00BA114C" w:rsidRPr="00A03B67">
        <w:rPr>
          <w:lang w:val="en-US"/>
        </w:rPr>
        <w:t>M</w:t>
      </w:r>
      <w:r w:rsidRPr="00A03B67">
        <w:rPr>
          <w:lang w:val="en-US"/>
        </w:rPr>
        <w:t xml:space="preserve">aking </w:t>
      </w:r>
      <w:r w:rsidR="00BA114C" w:rsidRPr="00A03B67">
        <w:rPr>
          <w:lang w:val="en-US"/>
        </w:rPr>
        <w:t>C</w:t>
      </w:r>
      <w:r w:rsidRPr="00A03B67">
        <w:rPr>
          <w:lang w:val="en-US"/>
        </w:rPr>
        <w:t xml:space="preserve">ollective </w:t>
      </w:r>
      <w:r w:rsidR="00BA114C" w:rsidRPr="00A03B67">
        <w:rPr>
          <w:lang w:val="en-US"/>
        </w:rPr>
        <w:t>A</w:t>
      </w:r>
      <w:r w:rsidRPr="00A03B67">
        <w:rPr>
          <w:lang w:val="en-US"/>
        </w:rPr>
        <w:t xml:space="preserve">greements </w:t>
      </w:r>
      <w:r w:rsidR="00BA114C" w:rsidRPr="00A03B67">
        <w:rPr>
          <w:lang w:val="en-US"/>
        </w:rPr>
        <w:t>W</w:t>
      </w:r>
      <w:r w:rsidRPr="00A03B67">
        <w:rPr>
          <w:lang w:val="en-US"/>
        </w:rPr>
        <w:t xml:space="preserve">ithout </w:t>
      </w:r>
      <w:r w:rsidR="00BA114C" w:rsidRPr="00A03B67">
        <w:rPr>
          <w:lang w:val="en-US"/>
        </w:rPr>
        <w:t>U</w:t>
      </w:r>
      <w:r w:rsidRPr="00A03B67">
        <w:rPr>
          <w:lang w:val="en-US"/>
        </w:rPr>
        <w:t xml:space="preserve">nions and the </w:t>
      </w:r>
      <w:r w:rsidR="00BA114C" w:rsidRPr="00A03B67">
        <w:rPr>
          <w:lang w:val="en-US"/>
        </w:rPr>
        <w:t>I</w:t>
      </w:r>
      <w:r w:rsidRPr="00A03B67">
        <w:rPr>
          <w:lang w:val="en-US"/>
        </w:rPr>
        <w:t xml:space="preserve">mpact of </w:t>
      </w:r>
      <w:r w:rsidR="00BA114C" w:rsidRPr="00A03B67">
        <w:rPr>
          <w:lang w:val="en-US"/>
        </w:rPr>
        <w:t>R</w:t>
      </w:r>
      <w:r w:rsidRPr="00A03B67">
        <w:rPr>
          <w:lang w:val="en-US"/>
        </w:rPr>
        <w:t xml:space="preserve">ecent </w:t>
      </w:r>
      <w:r w:rsidR="00BA114C" w:rsidRPr="00A03B67">
        <w:rPr>
          <w:lang w:val="en-US"/>
        </w:rPr>
        <w:t>R</w:t>
      </w:r>
      <w:r w:rsidRPr="00A03B67">
        <w:rPr>
          <w:lang w:val="en-US"/>
        </w:rPr>
        <w:t xml:space="preserve">eforms’ </w:t>
      </w:r>
      <w:r w:rsidR="00BA114C" w:rsidRPr="00A03B67">
        <w:rPr>
          <w:lang w:val="en-US"/>
        </w:rPr>
        <w:t>(</w:t>
      </w:r>
      <w:r w:rsidRPr="00A03B67">
        <w:rPr>
          <w:lang w:val="en-US"/>
        </w:rPr>
        <w:t>2024</w:t>
      </w:r>
      <w:r w:rsidR="00BA114C" w:rsidRPr="00A03B67">
        <w:rPr>
          <w:lang w:val="en-US"/>
        </w:rPr>
        <w:t>)</w:t>
      </w:r>
      <w:r w:rsidRPr="00A03B67">
        <w:rPr>
          <w:lang w:val="en-US"/>
        </w:rPr>
        <w:t xml:space="preserve"> </w:t>
      </w:r>
      <w:r w:rsidRPr="00A03B67">
        <w:rPr>
          <w:i/>
          <w:iCs/>
          <w:lang w:val="en-US"/>
        </w:rPr>
        <w:t>Labour and Industry</w:t>
      </w:r>
      <w:r w:rsidRPr="00A03B67">
        <w:rPr>
          <w:lang w:val="en-US"/>
        </w:rPr>
        <w:t xml:space="preserve"> doi: 10.1080/10301763.2024.2439108; </w:t>
      </w:r>
      <w:r w:rsidR="00AF0EC4" w:rsidRPr="00A03B67">
        <w:rPr>
          <w:lang w:val="en-US"/>
        </w:rPr>
        <w:t xml:space="preserve">U </w:t>
      </w:r>
      <w:r w:rsidRPr="00A03B67">
        <w:rPr>
          <w:lang w:val="en-US"/>
        </w:rPr>
        <w:t>Chaudhuri</w:t>
      </w:r>
      <w:r w:rsidR="00AF0EC4" w:rsidRPr="00A03B67">
        <w:rPr>
          <w:lang w:val="en-US"/>
        </w:rPr>
        <w:t xml:space="preserve"> and T</w:t>
      </w:r>
      <w:r w:rsidRPr="00A03B67">
        <w:rPr>
          <w:lang w:val="en-US"/>
        </w:rPr>
        <w:t xml:space="preserve"> Sarina, ‘Employer-Controlled Agreement-Making: Thwarting Collective Bargaining Under the Fair Work Act’ [2018] ELECD 1756; </w:t>
      </w:r>
      <w:r w:rsidR="00BA114C" w:rsidRPr="00A03B67">
        <w:rPr>
          <w:lang w:val="en-US"/>
        </w:rPr>
        <w:t xml:space="preserve">S </w:t>
      </w:r>
      <w:r w:rsidRPr="00A03B67">
        <w:rPr>
          <w:lang w:val="en-US"/>
        </w:rPr>
        <w:t xml:space="preserve">McCrystal, </w:t>
      </w:r>
      <w:r w:rsidR="00BA114C" w:rsidRPr="00A03B67">
        <w:rPr>
          <w:lang w:val="en-US"/>
        </w:rPr>
        <w:t xml:space="preserve">B </w:t>
      </w:r>
      <w:r w:rsidRPr="00A03B67">
        <w:rPr>
          <w:lang w:val="en-US"/>
        </w:rPr>
        <w:t>Creighton</w:t>
      </w:r>
      <w:r w:rsidR="00BA114C" w:rsidRPr="00A03B67">
        <w:rPr>
          <w:lang w:val="en-US"/>
        </w:rPr>
        <w:t xml:space="preserve"> and A </w:t>
      </w:r>
      <w:r w:rsidRPr="00A03B67">
        <w:rPr>
          <w:lang w:val="en-US"/>
        </w:rPr>
        <w:t>Forsyth</w:t>
      </w:r>
      <w:r w:rsidR="00BA114C" w:rsidRPr="00A03B67">
        <w:rPr>
          <w:lang w:val="en-US"/>
        </w:rPr>
        <w:t xml:space="preserve"> </w:t>
      </w:r>
      <w:r w:rsidRPr="00A03B67">
        <w:rPr>
          <w:lang w:val="en-US"/>
        </w:rPr>
        <w:t xml:space="preserve">(eds), </w:t>
      </w:r>
      <w:r w:rsidRPr="00A03B67">
        <w:rPr>
          <w:i/>
          <w:iCs/>
          <w:lang w:val="en-US"/>
        </w:rPr>
        <w:t>Collective Bargaining under the Fair Work Act</w:t>
      </w:r>
      <w:r w:rsidRPr="00A03B67">
        <w:rPr>
          <w:lang w:val="en-US"/>
        </w:rPr>
        <w:t xml:space="preserve"> (Federation Press, 2018) 138.</w:t>
      </w:r>
    </w:p>
  </w:footnote>
  <w:footnote w:id="271">
    <w:p w14:paraId="7D81F8EB" w14:textId="59C2BB3B" w:rsidR="00173F8E" w:rsidRPr="00A03B67" w:rsidRDefault="00173F8E" w:rsidP="00AF0EC4">
      <w:pPr>
        <w:pStyle w:val="FootnoteText"/>
      </w:pPr>
      <w:r w:rsidRPr="00A03B67">
        <w:rPr>
          <w:rStyle w:val="FootnoteReference"/>
        </w:rPr>
        <w:footnoteRef/>
      </w:r>
      <w:r w:rsidRPr="00A03B67">
        <w:t xml:space="preserve"> </w:t>
      </w:r>
      <w:r w:rsidR="00BA114C" w:rsidRPr="00A03B67">
        <w:t xml:space="preserve">A </w:t>
      </w:r>
      <w:r w:rsidRPr="00A03B67">
        <w:t xml:space="preserve">Forsyth </w:t>
      </w:r>
      <w:r w:rsidR="00BA114C" w:rsidRPr="00A03B67">
        <w:t xml:space="preserve">and S </w:t>
      </w:r>
      <w:r w:rsidRPr="00A03B67">
        <w:t xml:space="preserve">McCrystal, </w:t>
      </w:r>
      <w:r w:rsidRPr="00A03B67">
        <w:rPr>
          <w:i/>
          <w:iCs/>
        </w:rPr>
        <w:t>Reforming Australian Bargaining and Strike Laws to Maximise Worker Power</w:t>
      </w:r>
      <w:r w:rsidR="00AF0EC4" w:rsidRPr="00A03B67">
        <w:rPr>
          <w:i/>
          <w:iCs/>
        </w:rPr>
        <w:t xml:space="preserve"> </w:t>
      </w:r>
      <w:r w:rsidR="00AF0EC4" w:rsidRPr="00A03B67">
        <w:t>(2023)</w:t>
      </w:r>
      <w:r w:rsidR="00AF0EC4" w:rsidRPr="00A03B67">
        <w:rPr>
          <w:i/>
          <w:iCs/>
        </w:rPr>
        <w:t xml:space="preserve"> </w:t>
      </w:r>
      <w:r w:rsidRPr="00A03B67">
        <w:t>1110</w:t>
      </w:r>
      <w:r w:rsidRPr="00A03B67">
        <w:rPr>
          <w:i/>
          <w:iCs/>
        </w:rPr>
        <w:t>.</w:t>
      </w:r>
      <w:r w:rsidRPr="00A03B67">
        <w:rPr>
          <w:b/>
          <w:bCs/>
          <w:i/>
          <w:iCs/>
        </w:rPr>
        <w:t xml:space="preserve"> </w:t>
      </w:r>
    </w:p>
  </w:footnote>
  <w:footnote w:id="272">
    <w:p w14:paraId="7E374B26" w14:textId="261027E6" w:rsidR="00173F8E" w:rsidRPr="00A03B67" w:rsidRDefault="00173F8E" w:rsidP="00173F8E">
      <w:pPr>
        <w:pStyle w:val="FootnoteText"/>
        <w:rPr>
          <w:lang w:val="en-US"/>
        </w:rPr>
      </w:pPr>
      <w:r w:rsidRPr="00A03B67">
        <w:rPr>
          <w:rStyle w:val="FootnoteReference"/>
        </w:rPr>
        <w:footnoteRef/>
      </w:r>
      <w:r w:rsidRPr="00A03B67">
        <w:t xml:space="preserve"> </w:t>
      </w:r>
      <w:r w:rsidR="00BA114C" w:rsidRPr="00A03B67">
        <w:t xml:space="preserve">S </w:t>
      </w:r>
      <w:r w:rsidRPr="00A03B67">
        <w:t xml:space="preserve">McCrystal, ‘Avoiding </w:t>
      </w:r>
      <w:r w:rsidR="00BA114C" w:rsidRPr="00A03B67">
        <w:t>C</w:t>
      </w:r>
      <w:r w:rsidRPr="00A03B67">
        <w:t xml:space="preserve">ollective </w:t>
      </w:r>
      <w:r w:rsidR="00BA114C" w:rsidRPr="00A03B67">
        <w:t>B</w:t>
      </w:r>
      <w:r w:rsidRPr="00A03B67">
        <w:t xml:space="preserve">argaining under the </w:t>
      </w:r>
      <w:r w:rsidRPr="00A03B67">
        <w:rPr>
          <w:i/>
          <w:iCs/>
        </w:rPr>
        <w:t>Fair Work Act 2009</w:t>
      </w:r>
      <w:r w:rsidRPr="00A03B67">
        <w:t xml:space="preserve"> (Cth): </w:t>
      </w:r>
      <w:r w:rsidR="00BA114C" w:rsidRPr="00A03B67">
        <w:t>M</w:t>
      </w:r>
      <w:r w:rsidRPr="00A03B67">
        <w:t xml:space="preserve">aking </w:t>
      </w:r>
      <w:r w:rsidR="00BA114C" w:rsidRPr="00A03B67">
        <w:t>C</w:t>
      </w:r>
      <w:r w:rsidRPr="00A03B67">
        <w:t xml:space="preserve">ollective </w:t>
      </w:r>
      <w:r w:rsidR="00BA114C" w:rsidRPr="00A03B67">
        <w:t>A</w:t>
      </w:r>
      <w:r w:rsidRPr="00A03B67">
        <w:t xml:space="preserve">greements </w:t>
      </w:r>
      <w:r w:rsidR="00BA114C" w:rsidRPr="00A03B67">
        <w:t>W</w:t>
      </w:r>
      <w:r w:rsidRPr="00A03B67">
        <w:t xml:space="preserve">ithout </w:t>
      </w:r>
      <w:r w:rsidR="00BA114C" w:rsidRPr="00A03B67">
        <w:t>U</w:t>
      </w:r>
      <w:r w:rsidRPr="00A03B67">
        <w:t xml:space="preserve">nions and the </w:t>
      </w:r>
      <w:r w:rsidR="00BA114C" w:rsidRPr="00A03B67">
        <w:t>I</w:t>
      </w:r>
      <w:r w:rsidRPr="00A03B67">
        <w:t xml:space="preserve">mpact of </w:t>
      </w:r>
      <w:r w:rsidR="00BA114C" w:rsidRPr="00A03B67">
        <w:t>R</w:t>
      </w:r>
      <w:r w:rsidRPr="00A03B67">
        <w:t xml:space="preserve">ecent </w:t>
      </w:r>
      <w:r w:rsidR="00BA114C" w:rsidRPr="00A03B67">
        <w:t>R</w:t>
      </w:r>
      <w:r w:rsidRPr="00A03B67">
        <w:t xml:space="preserve">eforms’ </w:t>
      </w:r>
      <w:r w:rsidR="00BA114C" w:rsidRPr="00A03B67">
        <w:t>(</w:t>
      </w:r>
      <w:r w:rsidRPr="00A03B67">
        <w:t>2024</w:t>
      </w:r>
      <w:r w:rsidR="00BA114C" w:rsidRPr="00A03B67">
        <w:t>)</w:t>
      </w:r>
      <w:r w:rsidRPr="00A03B67">
        <w:t xml:space="preserve"> </w:t>
      </w:r>
      <w:r w:rsidRPr="00A03B67">
        <w:rPr>
          <w:i/>
        </w:rPr>
        <w:t>Labour and Industry</w:t>
      </w:r>
      <w:r w:rsidRPr="00A03B67">
        <w:rPr>
          <w:lang w:val="en-US"/>
        </w:rPr>
        <w:t xml:space="preserve"> </w:t>
      </w:r>
      <w:r w:rsidR="00466710" w:rsidRPr="00A03B67">
        <w:rPr>
          <w:lang w:val="en-US"/>
        </w:rPr>
        <w:t xml:space="preserve">doi: 10.1080/10301763.2024.2439108; </w:t>
      </w:r>
      <w:r w:rsidRPr="00A03B67">
        <w:rPr>
          <w:i/>
          <w:lang w:val="en-US"/>
        </w:rPr>
        <w:t>Awx Pty Ltd &amp; Aws Staff Pty Ltd</w:t>
      </w:r>
      <w:r w:rsidRPr="00A03B67">
        <w:rPr>
          <w:lang w:val="en-US"/>
        </w:rPr>
        <w:t xml:space="preserve"> [2023] FWCFB 262.</w:t>
      </w:r>
    </w:p>
  </w:footnote>
  <w:footnote w:id="273">
    <w:p w14:paraId="2A4AF3B5" w14:textId="6470B711" w:rsidR="00173F8E" w:rsidRPr="00A03B67" w:rsidRDefault="00173F8E" w:rsidP="00173F8E">
      <w:pPr>
        <w:pStyle w:val="FootnoteText"/>
        <w:rPr>
          <w:lang w:val="en-US"/>
        </w:rPr>
      </w:pPr>
      <w:r w:rsidRPr="00A03B67">
        <w:rPr>
          <w:rStyle w:val="FootnoteReference"/>
        </w:rPr>
        <w:footnoteRef/>
      </w:r>
      <w:r w:rsidRPr="00A03B67">
        <w:t xml:space="preserve"> </w:t>
      </w:r>
      <w:r w:rsidRPr="00A03B67">
        <w:rPr>
          <w:lang w:val="en-US"/>
        </w:rPr>
        <w:t xml:space="preserve">Business Council of Australia, </w:t>
      </w:r>
      <w:r w:rsidRPr="00A03B67">
        <w:rPr>
          <w:i/>
          <w:iCs/>
          <w:lang w:val="en-US"/>
        </w:rPr>
        <w:t xml:space="preserve">The </w:t>
      </w:r>
      <w:r w:rsidR="00466710" w:rsidRPr="00A03B67">
        <w:rPr>
          <w:i/>
          <w:iCs/>
          <w:lang w:val="en-US"/>
        </w:rPr>
        <w:t>S</w:t>
      </w:r>
      <w:r w:rsidRPr="00A03B67">
        <w:rPr>
          <w:i/>
          <w:iCs/>
          <w:lang w:val="en-US"/>
        </w:rPr>
        <w:t xml:space="preserve">tate of </w:t>
      </w:r>
      <w:r w:rsidR="00466710" w:rsidRPr="00A03B67">
        <w:rPr>
          <w:i/>
          <w:iCs/>
          <w:lang w:val="en-US"/>
        </w:rPr>
        <w:t>E</w:t>
      </w:r>
      <w:r w:rsidRPr="00A03B67">
        <w:rPr>
          <w:i/>
          <w:iCs/>
          <w:lang w:val="en-US"/>
        </w:rPr>
        <w:t xml:space="preserve">nterprise </w:t>
      </w:r>
      <w:r w:rsidR="00466710" w:rsidRPr="00A03B67">
        <w:rPr>
          <w:i/>
          <w:iCs/>
          <w:lang w:val="en-US"/>
        </w:rPr>
        <w:t>B</w:t>
      </w:r>
      <w:r w:rsidRPr="00A03B67">
        <w:rPr>
          <w:i/>
          <w:iCs/>
          <w:lang w:val="en-US"/>
        </w:rPr>
        <w:t xml:space="preserve">argaining in Australia </w:t>
      </w:r>
      <w:r w:rsidR="00466710" w:rsidRPr="00A03B67">
        <w:rPr>
          <w:lang w:val="en-US"/>
        </w:rPr>
        <w:t>(</w:t>
      </w:r>
      <w:r w:rsidRPr="00A03B67">
        <w:rPr>
          <w:lang w:val="en-US"/>
        </w:rPr>
        <w:t>2021</w:t>
      </w:r>
      <w:r w:rsidR="00466710" w:rsidRPr="00A03B67">
        <w:rPr>
          <w:lang w:val="en-US"/>
        </w:rPr>
        <w:t xml:space="preserve">) </w:t>
      </w:r>
      <w:r w:rsidRPr="00A03B67">
        <w:rPr>
          <w:lang w:val="en-US"/>
        </w:rPr>
        <w:t>7</w:t>
      </w:r>
      <w:r w:rsidR="00466710" w:rsidRPr="00A03B67">
        <w:rPr>
          <w:lang w:val="en-US"/>
        </w:rPr>
        <w:t>.</w:t>
      </w:r>
    </w:p>
  </w:footnote>
  <w:footnote w:id="274">
    <w:p w14:paraId="187426D2" w14:textId="532BE25D"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[752]134.</w:t>
      </w:r>
    </w:p>
  </w:footnote>
  <w:footnote w:id="275">
    <w:p w14:paraId="3B020561" w14:textId="1F7D6455" w:rsidR="00173F8E" w:rsidRPr="00A03B67" w:rsidRDefault="00173F8E" w:rsidP="00173F8E">
      <w:pPr>
        <w:pStyle w:val="FootnoteText"/>
        <w:rPr>
          <w:lang w:val="en-US"/>
        </w:rPr>
      </w:pPr>
      <w:r w:rsidRPr="00A03B67">
        <w:rPr>
          <w:rStyle w:val="FootnoteReference"/>
        </w:rPr>
        <w:footnoteRef/>
      </w:r>
      <w:r w:rsidRPr="00A03B67">
        <w:t xml:space="preserve"> </w:t>
      </w:r>
      <w:r w:rsidR="00466710" w:rsidRPr="00A03B67">
        <w:t xml:space="preserve">Revised Explanatory Memorandum, Fair Work Legislation Amendment (Secure Jobs, Better Pay) Bill 2022 </w:t>
      </w:r>
      <w:r w:rsidRPr="00A03B67">
        <w:rPr>
          <w:lang w:val="en-US"/>
        </w:rPr>
        <w:t>[221] xlii.</w:t>
      </w:r>
    </w:p>
  </w:footnote>
  <w:footnote w:id="276">
    <w:p w14:paraId="579531D4" w14:textId="2B168DDA" w:rsidR="00173F8E" w:rsidRPr="00A03B67" w:rsidRDefault="00173F8E" w:rsidP="00173F8E">
      <w:pPr>
        <w:pStyle w:val="FootnoteText"/>
      </w:pPr>
      <w:r w:rsidRPr="00A03B67">
        <w:rPr>
          <w:rStyle w:val="FootnoteReference"/>
        </w:rPr>
        <w:footnoteRef/>
      </w:r>
      <w:r w:rsidRPr="00A03B67">
        <w:t xml:space="preserve"> </w:t>
      </w:r>
      <w:r w:rsidR="00FC2D23" w:rsidRPr="00A03B67">
        <w:t>Data from</w:t>
      </w:r>
      <w:r w:rsidR="00D90923" w:rsidRPr="00A03B67">
        <w:t xml:space="preserve"> the </w:t>
      </w:r>
      <w:r w:rsidR="00A46F0C" w:rsidRPr="00A03B67">
        <w:t xml:space="preserve">Workplace Agreements Database, </w:t>
      </w:r>
      <w:r w:rsidR="00D90923" w:rsidRPr="00A03B67">
        <w:t>Department of Employment and Workplace Relations</w:t>
      </w:r>
      <w:r w:rsidRPr="00A03B67">
        <w:t>; for agreements with a notification time on or after 7 December 2022.</w:t>
      </w:r>
    </w:p>
  </w:footnote>
  <w:footnote w:id="277">
    <w:p w14:paraId="11A578D2" w14:textId="492D405B"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w:t>
      </w:r>
      <w:r w:rsidRPr="00A03B67">
        <w:rPr>
          <w:i/>
          <w:lang w:val="en-US"/>
        </w:rPr>
        <w:t>Coles Supermarkets Australia Pty Ltd</w:t>
      </w:r>
      <w:r w:rsidRPr="00A03B67">
        <w:rPr>
          <w:lang w:val="en-US"/>
        </w:rPr>
        <w:t xml:space="preserve"> (2024) FWCFB 250</w:t>
      </w:r>
      <w:r w:rsidRPr="00A03B67">
        <w:t xml:space="preserve">; </w:t>
      </w:r>
      <w:r w:rsidR="00466710" w:rsidRPr="00A03B67">
        <w:t xml:space="preserve">A </w:t>
      </w:r>
      <w:r w:rsidRPr="00A03B67">
        <w:t xml:space="preserve">Thompson, ‘Supermarket </w:t>
      </w:r>
      <w:r w:rsidR="00466710" w:rsidRPr="00A03B67">
        <w:t>G</w:t>
      </w:r>
      <w:r w:rsidRPr="00A03B67">
        <w:t xml:space="preserve">iant Coles </w:t>
      </w:r>
      <w:r w:rsidR="00466710" w:rsidRPr="00A03B67">
        <w:t>F</w:t>
      </w:r>
      <w:r w:rsidRPr="00A03B67">
        <w:t xml:space="preserve">orced to </w:t>
      </w:r>
      <w:r w:rsidR="00466710" w:rsidRPr="00A03B67">
        <w:t>B</w:t>
      </w:r>
      <w:r w:rsidRPr="00A03B67">
        <w:t xml:space="preserve">argaining </w:t>
      </w:r>
      <w:r w:rsidR="00466710" w:rsidRPr="00A03B67">
        <w:t>T</w:t>
      </w:r>
      <w:r w:rsidRPr="00A03B67">
        <w:t xml:space="preserve">able </w:t>
      </w:r>
      <w:r w:rsidR="00466710" w:rsidRPr="00A03B67">
        <w:t>U</w:t>
      </w:r>
      <w:r w:rsidRPr="00A03B67">
        <w:t xml:space="preserve">nder </w:t>
      </w:r>
      <w:r w:rsidR="00466710" w:rsidRPr="00A03B67">
        <w:t>N</w:t>
      </w:r>
      <w:r w:rsidRPr="00A03B67">
        <w:t xml:space="preserve">ew IR </w:t>
      </w:r>
      <w:r w:rsidR="00466710" w:rsidRPr="00A03B67">
        <w:t>L</w:t>
      </w:r>
      <w:r w:rsidRPr="00A03B67">
        <w:t xml:space="preserve">aws’ </w:t>
      </w:r>
      <w:r w:rsidRPr="00A03B67">
        <w:rPr>
          <w:i/>
          <w:iCs/>
        </w:rPr>
        <w:t>Sydney Morning Herald</w:t>
      </w:r>
      <w:r w:rsidRPr="00A03B67">
        <w:t xml:space="preserve"> (</w:t>
      </w:r>
      <w:r w:rsidR="00466710" w:rsidRPr="00A03B67">
        <w:t>online</w:t>
      </w:r>
      <w:r w:rsidRPr="00A03B67">
        <w:t xml:space="preserve">, 6 January 2023) </w:t>
      </w:r>
      <w:r w:rsidR="00466710" w:rsidRPr="00A03B67">
        <w:t>&lt;</w:t>
      </w:r>
      <w:hyperlink r:id="rId2" w:history="1">
        <w:r w:rsidR="00466710" w:rsidRPr="00A03B67">
          <w:rPr>
            <w:rStyle w:val="Hyperlink"/>
          </w:rPr>
          <w:t>https://www.smh.com.au/politics/federal/supermarket-giant-coles-forced-to-bargaining-table-under-new-ir-laws-20230105-p5cah6.html</w:t>
        </w:r>
      </w:hyperlink>
      <w:r w:rsidR="00466710" w:rsidRPr="00A03B67">
        <w:t>&gt;.</w:t>
      </w:r>
    </w:p>
  </w:footnote>
  <w:footnote w:id="278">
    <w:p w14:paraId="1418CBDC" w14:textId="0E355994" w:rsidR="00173F8E" w:rsidRPr="00A03B67" w:rsidRDefault="00173F8E" w:rsidP="00173F8E">
      <w:pPr>
        <w:pStyle w:val="FootnoteText"/>
      </w:pPr>
      <w:r w:rsidRPr="00A03B67">
        <w:rPr>
          <w:rStyle w:val="FootnoteReference"/>
        </w:rPr>
        <w:footnoteRef/>
      </w:r>
      <w:r w:rsidRPr="00A03B67">
        <w:t xml:space="preserve"> </w:t>
      </w:r>
      <w:r w:rsidRPr="00A03B67">
        <w:rPr>
          <w:i/>
          <w:lang w:val="en-US"/>
        </w:rPr>
        <w:t>Application by Australian and New Zealand Banking Group Limited</w:t>
      </w:r>
      <w:r w:rsidRPr="00A03B67">
        <w:rPr>
          <w:lang w:val="en-US"/>
        </w:rPr>
        <w:t xml:space="preserve"> (2023) FWCA 3477</w:t>
      </w:r>
      <w:r w:rsidRPr="00A03B67">
        <w:t xml:space="preserve">; </w:t>
      </w:r>
      <w:r w:rsidR="00466710" w:rsidRPr="00A03B67">
        <w:t xml:space="preserve">D </w:t>
      </w:r>
      <w:r w:rsidRPr="00A03B67">
        <w:t xml:space="preserve">Marin-Guzman, ‘ANZ </w:t>
      </w:r>
      <w:r w:rsidR="00466710" w:rsidRPr="00A03B67">
        <w:t>R</w:t>
      </w:r>
      <w:r w:rsidRPr="00A03B67">
        <w:t xml:space="preserve">eturns to </w:t>
      </w:r>
      <w:r w:rsidR="00466710" w:rsidRPr="00A03B67">
        <w:t>B</w:t>
      </w:r>
      <w:r w:rsidRPr="00A03B67">
        <w:t xml:space="preserve">argaining </w:t>
      </w:r>
      <w:r w:rsidR="00466710" w:rsidRPr="00A03B67">
        <w:t>O</w:t>
      </w:r>
      <w:r w:rsidRPr="00A03B67">
        <w:t xml:space="preserve">ver </w:t>
      </w:r>
      <w:r w:rsidR="00466710" w:rsidRPr="00A03B67">
        <w:t>P</w:t>
      </w:r>
      <w:r w:rsidRPr="00A03B67">
        <w:t xml:space="preserve">ay for the </w:t>
      </w:r>
      <w:r w:rsidR="00466710" w:rsidRPr="00A03B67">
        <w:t>F</w:t>
      </w:r>
      <w:r w:rsidRPr="00A03B67">
        <w:t xml:space="preserve">irst </w:t>
      </w:r>
      <w:r w:rsidR="00466710" w:rsidRPr="00A03B67">
        <w:t>T</w:t>
      </w:r>
      <w:r w:rsidRPr="00A03B67">
        <w:t xml:space="preserve">ime in </w:t>
      </w:r>
      <w:r w:rsidR="00466710" w:rsidRPr="00A03B67">
        <w:t>S</w:t>
      </w:r>
      <w:r w:rsidRPr="00A03B67">
        <w:t xml:space="preserve">even </w:t>
      </w:r>
      <w:r w:rsidR="00466710" w:rsidRPr="00A03B67">
        <w:t>Y</w:t>
      </w:r>
      <w:r w:rsidRPr="00A03B67">
        <w:t xml:space="preserve">ears’ </w:t>
      </w:r>
      <w:r w:rsidR="00466710" w:rsidRPr="00A03B67">
        <w:rPr>
          <w:i/>
          <w:iCs/>
        </w:rPr>
        <w:t xml:space="preserve">AFR </w:t>
      </w:r>
      <w:r w:rsidRPr="00A03B67">
        <w:t>(</w:t>
      </w:r>
      <w:r w:rsidR="00466710" w:rsidRPr="00A03B67">
        <w:t xml:space="preserve">online, </w:t>
      </w:r>
      <w:r w:rsidRPr="00A03B67">
        <w:t xml:space="preserve">6 February 2023) </w:t>
      </w:r>
      <w:r w:rsidR="00466710" w:rsidRPr="00A03B67">
        <w:t>&lt;</w:t>
      </w:r>
      <w:hyperlink r:id="rId3" w:history="1">
        <w:r w:rsidR="00466710" w:rsidRPr="00A03B67">
          <w:rPr>
            <w:rStyle w:val="Hyperlink"/>
          </w:rPr>
          <w:t>https://www.afr.com/work-and-careers/workplace/anz-returns-to-bargaining-over-pay-for-the-first-time-in-seven-years-20230206-p5ci6q</w:t>
        </w:r>
      </w:hyperlink>
      <w:r w:rsidR="00466710" w:rsidRPr="00A03B67">
        <w:t>&gt;.</w:t>
      </w:r>
    </w:p>
  </w:footnote>
  <w:footnote w:id="279">
    <w:p w14:paraId="165179E9" w14:textId="678B41C5" w:rsidR="00173F8E" w:rsidRPr="00A03B67" w:rsidRDefault="00173F8E" w:rsidP="00173F8E">
      <w:pPr>
        <w:pStyle w:val="FootnoteText"/>
      </w:pPr>
      <w:r w:rsidRPr="00A03B67">
        <w:rPr>
          <w:rStyle w:val="FootnoteReference"/>
        </w:rPr>
        <w:footnoteRef/>
      </w:r>
      <w:r w:rsidRPr="00A03B67">
        <w:t xml:space="preserve"> ‘Secure Jobs </w:t>
      </w:r>
      <w:r w:rsidR="00466710" w:rsidRPr="00A03B67">
        <w:t>M</w:t>
      </w:r>
      <w:r w:rsidRPr="00A03B67">
        <w:t xml:space="preserve">ade ANZ </w:t>
      </w:r>
      <w:r w:rsidR="00466710" w:rsidRPr="00A03B67">
        <w:t>D</w:t>
      </w:r>
      <w:r w:rsidRPr="00A03B67">
        <w:t xml:space="preserve">eal </w:t>
      </w:r>
      <w:r w:rsidR="00466710" w:rsidRPr="00A03B67">
        <w:t>P</w:t>
      </w:r>
      <w:r w:rsidRPr="00A03B67">
        <w:t xml:space="preserve">ossible: FSU’ </w:t>
      </w:r>
      <w:r w:rsidRPr="00A03B67">
        <w:rPr>
          <w:i/>
          <w:iCs/>
        </w:rPr>
        <w:t>Workplace Express</w:t>
      </w:r>
      <w:r w:rsidRPr="00A03B67">
        <w:t xml:space="preserve"> (</w:t>
      </w:r>
      <w:r w:rsidR="00466710" w:rsidRPr="00A03B67">
        <w:t xml:space="preserve">online, </w:t>
      </w:r>
      <w:r w:rsidRPr="00A03B67">
        <w:t xml:space="preserve">28 July 2023) </w:t>
      </w:r>
      <w:r w:rsidR="00466710" w:rsidRPr="00A03B67">
        <w:t>&lt;</w:t>
      </w:r>
      <w:r w:rsidR="00466710" w:rsidRPr="00D55035">
        <w:t>https://www.workplaceexpress.com.au/news/secure-jobs-made-anz-deal-possible-union-62535</w:t>
      </w:r>
      <w:r w:rsidR="00466710" w:rsidRPr="00A03B67">
        <w:t>&gt;.</w:t>
      </w:r>
    </w:p>
    <w:p w14:paraId="4EBEA1F5" w14:textId="5FAE5F47" w:rsidR="00173F8E" w:rsidRPr="00A03B67" w:rsidRDefault="00173F8E" w:rsidP="00173F8E">
      <w:pPr>
        <w:pStyle w:val="FootnoteText"/>
      </w:pPr>
      <w:r w:rsidRPr="00A03B67">
        <w:t xml:space="preserve">A Thompson, ‘Supermarket </w:t>
      </w:r>
      <w:r w:rsidR="00466710" w:rsidRPr="00A03B67">
        <w:t>G</w:t>
      </w:r>
      <w:r w:rsidRPr="00A03B67">
        <w:t xml:space="preserve">iant Coles </w:t>
      </w:r>
      <w:r w:rsidR="00466710" w:rsidRPr="00A03B67">
        <w:t>F</w:t>
      </w:r>
      <w:r w:rsidRPr="00A03B67">
        <w:t xml:space="preserve">orced to </w:t>
      </w:r>
      <w:r w:rsidR="00466710" w:rsidRPr="00A03B67">
        <w:t>B</w:t>
      </w:r>
      <w:r w:rsidRPr="00A03B67">
        <w:t xml:space="preserve">argaining </w:t>
      </w:r>
      <w:r w:rsidR="00466710" w:rsidRPr="00A03B67">
        <w:t>T</w:t>
      </w:r>
      <w:r w:rsidRPr="00A03B67">
        <w:t xml:space="preserve">able </w:t>
      </w:r>
      <w:r w:rsidR="00466710" w:rsidRPr="00A03B67">
        <w:t>U</w:t>
      </w:r>
      <w:r w:rsidRPr="00A03B67">
        <w:t xml:space="preserve">nder </w:t>
      </w:r>
      <w:r w:rsidR="00466710" w:rsidRPr="00A03B67">
        <w:t>N</w:t>
      </w:r>
      <w:r w:rsidRPr="00A03B67">
        <w:t xml:space="preserve">ew IR </w:t>
      </w:r>
      <w:r w:rsidR="00466710" w:rsidRPr="00A03B67">
        <w:t>L</w:t>
      </w:r>
      <w:r w:rsidRPr="00A03B67">
        <w:t xml:space="preserve">aws’ </w:t>
      </w:r>
      <w:r w:rsidRPr="00A03B67">
        <w:rPr>
          <w:i/>
          <w:iCs/>
        </w:rPr>
        <w:t>Sydney Morning Herald</w:t>
      </w:r>
      <w:r w:rsidRPr="00A03B67">
        <w:t xml:space="preserve"> (</w:t>
      </w:r>
      <w:r w:rsidR="00466710" w:rsidRPr="00A03B67">
        <w:t>online</w:t>
      </w:r>
      <w:r w:rsidRPr="00A03B67">
        <w:t>, 6 January 2023)</w:t>
      </w:r>
      <w:r w:rsidR="00466710" w:rsidRPr="00A03B67">
        <w:t xml:space="preserve"> &lt;</w:t>
      </w:r>
      <w:r w:rsidR="00466710" w:rsidRPr="00D55035">
        <w:t>https://www.smh.com.au/politics/federal/supermarket-giant-coles-forced-to-bargaining-table-under-new-ir-laws-20230105-p5cah6.html</w:t>
      </w:r>
      <w:r w:rsidR="00466710" w:rsidRPr="00A03B67">
        <w:t>&gt;.</w:t>
      </w:r>
    </w:p>
  </w:footnote>
  <w:footnote w:id="280">
    <w:p w14:paraId="0258045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Shop, Distributive and Allied Employees Association</w:t>
      </w:r>
      <w:r w:rsidRPr="00A03B67">
        <w:t xml:space="preserve"> [2024] FWC 1225 [11].</w:t>
      </w:r>
    </w:p>
  </w:footnote>
  <w:footnote w:id="281">
    <w:p w14:paraId="05AAD992"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Shop, Distributive and Allied Employees Association</w:t>
      </w:r>
      <w:r w:rsidRPr="00A03B67">
        <w:t xml:space="preserve"> [2024] FWC 1225 [15].</w:t>
      </w:r>
    </w:p>
  </w:footnote>
  <w:footnote w:id="282">
    <w:p w14:paraId="06695B5C"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Shop, Distributive and Allied Employees Association</w:t>
      </w:r>
      <w:r w:rsidRPr="00A03B67">
        <w:t xml:space="preserve"> [2024] FWC 1225 [16].</w:t>
      </w:r>
    </w:p>
  </w:footnote>
  <w:footnote w:id="283">
    <w:p w14:paraId="12E28E10" w14:textId="112BFD94" w:rsidR="00173F8E" w:rsidRPr="00A03B67" w:rsidRDefault="00173F8E" w:rsidP="00173F8E">
      <w:pPr>
        <w:pStyle w:val="FootnoteText"/>
      </w:pPr>
      <w:r w:rsidRPr="00A03B67">
        <w:rPr>
          <w:rStyle w:val="FootnoteReference"/>
        </w:rPr>
        <w:footnoteRef/>
      </w:r>
      <w:r w:rsidRPr="00A03B67">
        <w:t xml:space="preserve"> Chamber of Commerce and Industry, Western Australia (CCIWA) </w:t>
      </w:r>
      <w:r w:rsidR="00466710" w:rsidRPr="00A03B67">
        <w:t>s</w:t>
      </w:r>
      <w:r w:rsidRPr="00A03B67">
        <w:t>ubmission</w:t>
      </w:r>
      <w:r w:rsidR="00466710" w:rsidRPr="00A03B67">
        <w:t>,</w:t>
      </w:r>
      <w:r w:rsidRPr="00A03B67">
        <w:t xml:space="preserve"> 12.</w:t>
      </w:r>
    </w:p>
  </w:footnote>
  <w:footnote w:id="284">
    <w:p w14:paraId="1870C87F" w14:textId="67A93C0B" w:rsidR="00173F8E" w:rsidRPr="00A03B67" w:rsidRDefault="00173F8E" w:rsidP="00173F8E">
      <w:pPr>
        <w:pStyle w:val="FootnoteText"/>
      </w:pPr>
      <w:r w:rsidRPr="00A03B67">
        <w:rPr>
          <w:rStyle w:val="FootnoteReference"/>
        </w:rPr>
        <w:footnoteRef/>
      </w:r>
      <w:r w:rsidRPr="00A03B67">
        <w:t xml:space="preserve"> Chamber of Minerals &amp; Energy of Western Australia </w:t>
      </w:r>
      <w:r w:rsidR="00466710" w:rsidRPr="00A03B67">
        <w:t>s</w:t>
      </w:r>
      <w:r w:rsidRPr="00A03B67">
        <w:t>ubmission</w:t>
      </w:r>
      <w:r w:rsidR="00466710" w:rsidRPr="00A03B67">
        <w:t xml:space="preserve">, </w:t>
      </w:r>
      <w:r w:rsidRPr="00A03B67">
        <w:t>1.</w:t>
      </w:r>
    </w:p>
  </w:footnote>
  <w:footnote w:id="285">
    <w:p w14:paraId="39C86410" w14:textId="568785AC" w:rsidR="00173F8E" w:rsidRPr="00A03B67" w:rsidRDefault="00173F8E" w:rsidP="00173F8E">
      <w:pPr>
        <w:pStyle w:val="FootnoteText"/>
      </w:pPr>
      <w:r w:rsidRPr="00A03B67">
        <w:rPr>
          <w:rStyle w:val="FootnoteReference"/>
        </w:rPr>
        <w:footnoteRef/>
      </w:r>
      <w:r w:rsidRPr="00A03B67">
        <w:t xml:space="preserve"> Australian Resources and Energy Employer Association </w:t>
      </w:r>
      <w:r w:rsidR="00466710" w:rsidRPr="00A03B67">
        <w:t>s</w:t>
      </w:r>
      <w:r w:rsidRPr="00A03B67">
        <w:t>ubmission</w:t>
      </w:r>
      <w:r w:rsidR="00466710" w:rsidRPr="00A03B67">
        <w:t xml:space="preserve">, </w:t>
      </w:r>
      <w:r w:rsidRPr="00A03B67">
        <w:t>8.</w:t>
      </w:r>
    </w:p>
  </w:footnote>
  <w:footnote w:id="286">
    <w:p w14:paraId="57B38EEE" w14:textId="4D4A900C" w:rsidR="00173F8E" w:rsidRPr="00A03B67" w:rsidRDefault="00173F8E" w:rsidP="00173F8E">
      <w:pPr>
        <w:pStyle w:val="FootnoteText"/>
      </w:pPr>
      <w:r w:rsidRPr="00A03B67">
        <w:rPr>
          <w:rStyle w:val="FootnoteReference"/>
        </w:rPr>
        <w:footnoteRef/>
      </w:r>
      <w:r w:rsidRPr="00A03B67">
        <w:t xml:space="preserve"> Minerals Council of Australia </w:t>
      </w:r>
      <w:r w:rsidR="00466710" w:rsidRPr="00A03B67">
        <w:t>s</w:t>
      </w:r>
      <w:r w:rsidRPr="00A03B67">
        <w:t>ubmission</w:t>
      </w:r>
      <w:r w:rsidR="00466710" w:rsidRPr="00A03B67">
        <w:t xml:space="preserve">, </w:t>
      </w:r>
      <w:r w:rsidRPr="00A03B67">
        <w:t>6.</w:t>
      </w:r>
    </w:p>
  </w:footnote>
  <w:footnote w:id="287">
    <w:p w14:paraId="1E7F277D" w14:textId="76528EAF" w:rsidR="00173F8E" w:rsidRPr="00A03B67" w:rsidRDefault="00173F8E" w:rsidP="00173F8E">
      <w:pPr>
        <w:pStyle w:val="FootnoteText"/>
      </w:pPr>
      <w:r w:rsidRPr="00A03B67">
        <w:rPr>
          <w:rStyle w:val="FootnoteReference"/>
        </w:rPr>
        <w:footnoteRef/>
      </w:r>
      <w:r w:rsidRPr="00A03B67">
        <w:t xml:space="preserve"> Australian Chamber of Commerce and Industry </w:t>
      </w:r>
      <w:r w:rsidR="00466710" w:rsidRPr="00A03B67">
        <w:t>s</w:t>
      </w:r>
      <w:r w:rsidRPr="00A03B67">
        <w:t>ubmission, 20.</w:t>
      </w:r>
    </w:p>
  </w:footnote>
  <w:footnote w:id="288">
    <w:p w14:paraId="0F1AB6E3" w14:textId="3F43D5C5" w:rsidR="00173F8E" w:rsidRPr="00A03B67" w:rsidRDefault="00173F8E" w:rsidP="00173F8E">
      <w:pPr>
        <w:pStyle w:val="FootnoteText"/>
      </w:pPr>
      <w:r w:rsidRPr="00A03B67">
        <w:rPr>
          <w:rStyle w:val="FootnoteReference"/>
        </w:rPr>
        <w:footnoteRef/>
      </w:r>
      <w:r w:rsidRPr="00A03B67">
        <w:t xml:space="preserve"> Clubs Australia </w:t>
      </w:r>
      <w:r w:rsidR="00466710" w:rsidRPr="00A03B67">
        <w:t>s</w:t>
      </w:r>
      <w:r w:rsidRPr="00A03B67">
        <w:t>ubmission, 3.</w:t>
      </w:r>
    </w:p>
  </w:footnote>
  <w:footnote w:id="289">
    <w:p w14:paraId="0EE6D917" w14:textId="00A91769" w:rsidR="00173F8E" w:rsidRPr="00A03B67" w:rsidRDefault="00173F8E" w:rsidP="00173F8E">
      <w:pPr>
        <w:pStyle w:val="FootnoteText"/>
      </w:pPr>
      <w:r w:rsidRPr="00A03B67">
        <w:rPr>
          <w:rStyle w:val="FootnoteReference"/>
        </w:rPr>
        <w:footnoteRef/>
      </w:r>
      <w:r w:rsidRPr="00A03B67">
        <w:t xml:space="preserve"> </w:t>
      </w:r>
      <w:r w:rsidRPr="00A03B67">
        <w:rPr>
          <w:lang w:val="en-US"/>
        </w:rPr>
        <w:t xml:space="preserve">Maritime Industry Australia Ltd </w:t>
      </w:r>
      <w:r w:rsidR="00466710" w:rsidRPr="00A03B67">
        <w:t>s</w:t>
      </w:r>
      <w:r w:rsidRPr="00A03B67">
        <w:t>ubmission, 12.</w:t>
      </w:r>
    </w:p>
  </w:footnote>
  <w:footnote w:id="290">
    <w:p w14:paraId="49230ACA" w14:textId="011AD378" w:rsidR="00173F8E" w:rsidRPr="00A03B67" w:rsidRDefault="00173F8E" w:rsidP="00173F8E">
      <w:pPr>
        <w:pStyle w:val="FootnoteText"/>
      </w:pPr>
      <w:r w:rsidRPr="00A03B67">
        <w:rPr>
          <w:rStyle w:val="FootnoteReference"/>
        </w:rPr>
        <w:footnoteRef/>
      </w:r>
      <w:r w:rsidRPr="00A03B67">
        <w:t xml:space="preserve"> Business Council of Australia </w:t>
      </w:r>
      <w:r w:rsidR="00466710" w:rsidRPr="00A03B67">
        <w:t>s</w:t>
      </w:r>
      <w:r w:rsidRPr="00A03B67">
        <w:t>ubmission, 12.</w:t>
      </w:r>
    </w:p>
  </w:footnote>
  <w:footnote w:id="291">
    <w:p w14:paraId="015955D1" w14:textId="1A56E532" w:rsidR="00EF3397" w:rsidRPr="00A03B67" w:rsidRDefault="00EF3397" w:rsidP="00EF3397">
      <w:pPr>
        <w:pStyle w:val="FootnoteText"/>
      </w:pPr>
      <w:r w:rsidRPr="00A03B67">
        <w:rPr>
          <w:rStyle w:val="FootnoteReference"/>
        </w:rPr>
        <w:footnoteRef/>
      </w:r>
      <w:r w:rsidRPr="00A03B67">
        <w:t xml:space="preserve"> Master Builders Association </w:t>
      </w:r>
      <w:r w:rsidR="00466710" w:rsidRPr="00A03B67">
        <w:t>s</w:t>
      </w:r>
      <w:r w:rsidRPr="00A03B67">
        <w:t>ubmission, 19.</w:t>
      </w:r>
    </w:p>
  </w:footnote>
  <w:footnote w:id="292">
    <w:p w14:paraId="383878F3" w14:textId="10E45CDC" w:rsidR="00EF3397" w:rsidRPr="00A03B67" w:rsidRDefault="00EF3397" w:rsidP="00EF3397">
      <w:pPr>
        <w:pStyle w:val="FootnoteText"/>
      </w:pPr>
      <w:r w:rsidRPr="00A03B67">
        <w:rPr>
          <w:rStyle w:val="FootnoteReference"/>
        </w:rPr>
        <w:footnoteRef/>
      </w:r>
      <w:r w:rsidRPr="00A03B67">
        <w:t xml:space="preserve"> Business Council of Australia </w:t>
      </w:r>
      <w:r w:rsidR="00466710" w:rsidRPr="00A03B67">
        <w:t>s</w:t>
      </w:r>
      <w:r w:rsidRPr="00A03B67">
        <w:t>ubmission, 13.</w:t>
      </w:r>
    </w:p>
  </w:footnote>
  <w:footnote w:id="293">
    <w:p w14:paraId="0FE044F4" w14:textId="478632EF" w:rsidR="00173F8E" w:rsidRPr="00A03B67" w:rsidRDefault="00173F8E" w:rsidP="00173F8E">
      <w:pPr>
        <w:pStyle w:val="FootnoteText"/>
      </w:pPr>
      <w:r w:rsidRPr="00A03B67">
        <w:rPr>
          <w:rStyle w:val="FootnoteReference"/>
        </w:rPr>
        <w:footnoteRef/>
      </w:r>
      <w:r w:rsidRPr="00A03B67">
        <w:t xml:space="preserve"> COSBOA </w:t>
      </w:r>
      <w:r w:rsidR="00466710" w:rsidRPr="00A03B67">
        <w:t>s</w:t>
      </w:r>
      <w:r w:rsidRPr="00A03B67">
        <w:t>ubmission, 4.</w:t>
      </w:r>
    </w:p>
  </w:footnote>
  <w:footnote w:id="294">
    <w:p w14:paraId="61947B8D" w14:textId="28650029" w:rsidR="00EF3397" w:rsidRPr="00A03B67" w:rsidRDefault="00EF3397" w:rsidP="00EF3397">
      <w:pPr>
        <w:pStyle w:val="FootnoteText"/>
      </w:pPr>
      <w:r w:rsidRPr="00A03B67">
        <w:rPr>
          <w:rStyle w:val="FootnoteReference"/>
        </w:rPr>
        <w:footnoteRef/>
      </w:r>
      <w:r w:rsidRPr="00A03B67">
        <w:t xml:space="preserve"> Business Council of Australia </w:t>
      </w:r>
      <w:r w:rsidR="00466710" w:rsidRPr="00A03B67">
        <w:t>s</w:t>
      </w:r>
      <w:r w:rsidRPr="00A03B67">
        <w:t>ubmission, 13.</w:t>
      </w:r>
    </w:p>
  </w:footnote>
  <w:footnote w:id="295">
    <w:p w14:paraId="11CE4345" w14:textId="06EB93B2" w:rsidR="00173F8E" w:rsidRPr="00A03B67" w:rsidRDefault="00173F8E" w:rsidP="00173F8E">
      <w:pPr>
        <w:pStyle w:val="FootnoteText"/>
      </w:pPr>
      <w:r w:rsidRPr="00A03B67">
        <w:rPr>
          <w:rStyle w:val="FootnoteReference"/>
        </w:rPr>
        <w:footnoteRef/>
      </w:r>
      <w:r w:rsidRPr="00A03B67">
        <w:t xml:space="preserve"> Australian Industry Group Submission, 15.</w:t>
      </w:r>
    </w:p>
  </w:footnote>
  <w:footnote w:id="296">
    <w:p w14:paraId="30F777F2" w14:textId="387E7B06" w:rsidR="00173F8E" w:rsidRPr="00A03B67" w:rsidRDefault="00173F8E" w:rsidP="00173F8E">
      <w:pPr>
        <w:pStyle w:val="FootnoteText"/>
        <w:rPr>
          <w:color w:val="009B9F" w:themeColor="hyperlink"/>
          <w:u w:val="single"/>
        </w:rPr>
      </w:pPr>
      <w:r w:rsidRPr="00A03B67">
        <w:rPr>
          <w:rStyle w:val="FootnoteReference"/>
        </w:rPr>
        <w:footnoteRef/>
      </w:r>
      <w:r w:rsidRPr="00A03B67">
        <w:t xml:space="preserve"> United Workers Union </w:t>
      </w:r>
      <w:r w:rsidR="00466710" w:rsidRPr="00A03B67">
        <w:t>s</w:t>
      </w:r>
      <w:r w:rsidRPr="00A03B67">
        <w:t>ubmission, 32.</w:t>
      </w:r>
    </w:p>
  </w:footnote>
  <w:footnote w:id="297">
    <w:p w14:paraId="4834563D" w14:textId="5707D634" w:rsidR="00403630" w:rsidRPr="00A03B67" w:rsidRDefault="00403630" w:rsidP="00403630">
      <w:pPr>
        <w:pStyle w:val="FootnoteText"/>
      </w:pPr>
      <w:r w:rsidRPr="00A03B67">
        <w:rPr>
          <w:rStyle w:val="FootnoteReference"/>
        </w:rPr>
        <w:footnoteRef/>
      </w:r>
      <w:r w:rsidRPr="00A03B67">
        <w:t xml:space="preserve"> Australian Workers Union </w:t>
      </w:r>
      <w:r w:rsidR="00466710" w:rsidRPr="00A03B67">
        <w:t>s</w:t>
      </w:r>
      <w:r w:rsidRPr="00A03B67">
        <w:t>ubmission, 1.</w:t>
      </w:r>
    </w:p>
  </w:footnote>
  <w:footnote w:id="298">
    <w:p w14:paraId="52E967F1" w14:textId="396CDEDD" w:rsidR="00173F8E" w:rsidRPr="00A03B67" w:rsidRDefault="00173F8E" w:rsidP="00173F8E">
      <w:pPr>
        <w:pStyle w:val="FootnoteText"/>
      </w:pPr>
      <w:r w:rsidRPr="00A03B67">
        <w:rPr>
          <w:rStyle w:val="FootnoteReference"/>
        </w:rPr>
        <w:footnoteRef/>
      </w:r>
      <w:r w:rsidRPr="00A03B67">
        <w:t xml:space="preserve"> Mining and Energy Union </w:t>
      </w:r>
      <w:r w:rsidR="00466710" w:rsidRPr="00A03B67">
        <w:t>s</w:t>
      </w:r>
      <w:r w:rsidRPr="00A03B67">
        <w:t>ubmission, 8.</w:t>
      </w:r>
    </w:p>
  </w:footnote>
  <w:footnote w:id="299">
    <w:p w14:paraId="5F456982" w14:textId="2556D65F" w:rsidR="00173F8E" w:rsidRPr="00A03B67" w:rsidRDefault="00173F8E" w:rsidP="00173F8E">
      <w:pPr>
        <w:pStyle w:val="FootnoteText"/>
      </w:pPr>
      <w:r w:rsidRPr="00A03B67">
        <w:rPr>
          <w:rStyle w:val="FootnoteReference"/>
        </w:rPr>
        <w:footnoteRef/>
      </w:r>
      <w:r w:rsidRPr="00A03B67">
        <w:t xml:space="preserve"> </w:t>
      </w:r>
      <w:r w:rsidRPr="00A03B67">
        <w:rPr>
          <w:lang w:val="en-US"/>
        </w:rPr>
        <w:t xml:space="preserve">Community and Public Sector Union </w:t>
      </w:r>
      <w:r w:rsidR="00466710" w:rsidRPr="00A03B67">
        <w:t>s</w:t>
      </w:r>
      <w:r w:rsidRPr="00A03B67">
        <w:t>ubmission, 7.</w:t>
      </w:r>
    </w:p>
  </w:footnote>
  <w:footnote w:id="300">
    <w:p w14:paraId="04ED7BB8" w14:textId="71C7F058" w:rsidR="00173F8E" w:rsidRPr="00A03B67" w:rsidRDefault="00173F8E" w:rsidP="00173F8E">
      <w:pPr>
        <w:pStyle w:val="FootnoteText"/>
      </w:pPr>
      <w:r w:rsidRPr="00A03B67">
        <w:rPr>
          <w:rStyle w:val="FootnoteReference"/>
        </w:rPr>
        <w:footnoteRef/>
      </w:r>
      <w:r w:rsidRPr="00A03B67">
        <w:t xml:space="preserve"> United Workers Union </w:t>
      </w:r>
      <w:r w:rsidR="00466710" w:rsidRPr="00A03B67">
        <w:t>s</w:t>
      </w:r>
      <w:r w:rsidRPr="00A03B67">
        <w:t>ubmission, 32.</w:t>
      </w:r>
    </w:p>
  </w:footnote>
  <w:footnote w:id="301">
    <w:p w14:paraId="25AFED01" w14:textId="2D734863" w:rsidR="00173F8E" w:rsidRPr="00A03B67" w:rsidRDefault="00173F8E" w:rsidP="00173F8E">
      <w:pPr>
        <w:pStyle w:val="FootnoteText"/>
      </w:pPr>
      <w:r w:rsidRPr="00A03B67">
        <w:rPr>
          <w:rStyle w:val="FootnoteReference"/>
        </w:rPr>
        <w:footnoteRef/>
      </w:r>
      <w:r w:rsidRPr="00A03B67">
        <w:t xml:space="preserve"> Australian Council of Trade Unions </w:t>
      </w:r>
      <w:r w:rsidR="00466710" w:rsidRPr="00A03B67">
        <w:t>s</w:t>
      </w:r>
      <w:r w:rsidRPr="00A03B67">
        <w:t>ubmission, 81.</w:t>
      </w:r>
    </w:p>
  </w:footnote>
  <w:footnote w:id="302">
    <w:p w14:paraId="69240AD0" w14:textId="0C0B880C" w:rsidR="00173F8E" w:rsidRPr="00A03B67" w:rsidRDefault="00173F8E" w:rsidP="00173F8E">
      <w:pPr>
        <w:pStyle w:val="FootnoteText"/>
      </w:pPr>
      <w:r w:rsidRPr="00A03B67">
        <w:rPr>
          <w:rStyle w:val="FootnoteReference"/>
        </w:rPr>
        <w:footnoteRef/>
      </w:r>
      <w:r w:rsidRPr="00A03B67">
        <w:t xml:space="preserve"> Australian Council of Trade Unions </w:t>
      </w:r>
      <w:r w:rsidR="00466710" w:rsidRPr="00A03B67">
        <w:t>s</w:t>
      </w:r>
      <w:r w:rsidRPr="00A03B67">
        <w:t>ubmission, 96.</w:t>
      </w:r>
    </w:p>
  </w:footnote>
  <w:footnote w:id="303">
    <w:p w14:paraId="26BFCA65" w14:textId="316EEDE8" w:rsidR="00173F8E" w:rsidRPr="00A03B67" w:rsidRDefault="00173F8E" w:rsidP="00173F8E">
      <w:pPr>
        <w:pStyle w:val="FootnoteText"/>
      </w:pPr>
      <w:r w:rsidRPr="00A03B67">
        <w:rPr>
          <w:rStyle w:val="FootnoteReference"/>
        </w:rPr>
        <w:footnoteRef/>
      </w:r>
      <w:r w:rsidRPr="00A03B67">
        <w:t xml:space="preserve"> </w:t>
      </w:r>
      <w:r w:rsidRPr="00A03B67">
        <w:rPr>
          <w:i/>
          <w:iCs/>
        </w:rPr>
        <w:t>Fair Work</w:t>
      </w:r>
      <w:r w:rsidRPr="00A03B67">
        <w:rPr>
          <w:i/>
        </w:rPr>
        <w:t xml:space="preserve"> Act </w:t>
      </w:r>
      <w:r w:rsidRPr="00A03B67">
        <w:rPr>
          <w:i/>
          <w:iCs/>
        </w:rPr>
        <w:t>2009</w:t>
      </w:r>
      <w:r w:rsidRPr="00A03B67">
        <w:rPr>
          <w:i/>
        </w:rPr>
        <w:t xml:space="preserve"> </w:t>
      </w:r>
      <w:r w:rsidRPr="00A03B67">
        <w:t>(Cth) s</w:t>
      </w:r>
      <w:r w:rsidR="00466710" w:rsidRPr="00A03B67">
        <w:t xml:space="preserve"> </w:t>
      </w:r>
      <w:r w:rsidRPr="00A03B67">
        <w:t>12.</w:t>
      </w:r>
    </w:p>
  </w:footnote>
  <w:footnote w:id="304">
    <w:p w14:paraId="26C44FB2" w14:textId="7AC35EB5" w:rsidR="00173F8E" w:rsidRPr="00A03B67" w:rsidRDefault="00173F8E" w:rsidP="00173F8E">
      <w:pPr>
        <w:pStyle w:val="FootnoteText"/>
      </w:pPr>
      <w:r w:rsidRPr="00A03B67">
        <w:rPr>
          <w:rStyle w:val="FootnoteReference"/>
        </w:rPr>
        <w:footnoteRef/>
      </w:r>
      <w:r w:rsidRPr="00A03B67">
        <w:t xml:space="preserve"> </w:t>
      </w:r>
      <w:r w:rsidRPr="00A03B67">
        <w:rPr>
          <w:i/>
          <w:iCs/>
        </w:rPr>
        <w:t>Fair Work</w:t>
      </w:r>
      <w:r w:rsidRPr="00A03B67">
        <w:rPr>
          <w:i/>
        </w:rPr>
        <w:t xml:space="preserve"> Act </w:t>
      </w:r>
      <w:r w:rsidRPr="00A03B67">
        <w:rPr>
          <w:i/>
          <w:iCs/>
        </w:rPr>
        <w:t>2009</w:t>
      </w:r>
      <w:r w:rsidRPr="00A03B67">
        <w:t xml:space="preserve"> (Cth) s 437(2)(b)</w:t>
      </w:r>
      <w:r w:rsidR="00466710" w:rsidRPr="00A03B67">
        <w:t>.</w:t>
      </w:r>
    </w:p>
  </w:footnote>
  <w:footnote w:id="305">
    <w:p w14:paraId="543232AF" w14:textId="07A9A3F1" w:rsidR="00173F8E" w:rsidRPr="00A03B67" w:rsidRDefault="00173F8E" w:rsidP="00173F8E">
      <w:pPr>
        <w:pStyle w:val="FootnoteText"/>
        <w:spacing w:line="276" w:lineRule="auto"/>
      </w:pPr>
      <w:r w:rsidRPr="00A03B67">
        <w:rPr>
          <w:rStyle w:val="FootnoteReference"/>
        </w:rPr>
        <w:footnoteRef/>
      </w:r>
      <w:r w:rsidRPr="00A03B67">
        <w:t xml:space="preserve"> </w:t>
      </w:r>
      <w:r w:rsidRPr="00A03B67">
        <w:rPr>
          <w:i/>
          <w:iCs/>
        </w:rPr>
        <w:t>Fair Work</w:t>
      </w:r>
      <w:r w:rsidRPr="00A03B67">
        <w:rPr>
          <w:i/>
        </w:rPr>
        <w:t xml:space="preserve"> Act</w:t>
      </w:r>
      <w:r w:rsidRPr="00A03B67">
        <w:rPr>
          <w:i/>
          <w:iCs/>
        </w:rPr>
        <w:t xml:space="preserve"> 2009</w:t>
      </w:r>
      <w:r w:rsidRPr="00A03B67">
        <w:rPr>
          <w:i/>
        </w:rPr>
        <w:t xml:space="preserve"> </w:t>
      </w:r>
      <w:r w:rsidRPr="00A03B67">
        <w:t>(Cth) s 240(3)</w:t>
      </w:r>
      <w:r w:rsidR="00466710" w:rsidRPr="00A03B67">
        <w:rPr>
          <w:rFonts w:ascii="Symbol" w:eastAsia="Symbol" w:hAnsi="Symbol" w:cs="Symbol"/>
        </w:rPr>
        <w:t>-</w:t>
      </w:r>
      <w:r w:rsidRPr="00A03B67">
        <w:t>(4).</w:t>
      </w:r>
    </w:p>
  </w:footnote>
  <w:footnote w:id="306">
    <w:p w14:paraId="4EFA6E97" w14:textId="77777777" w:rsidR="00403630" w:rsidRPr="00A03B67" w:rsidRDefault="00403630" w:rsidP="00403630">
      <w:pPr>
        <w:pStyle w:val="FootnoteText"/>
      </w:pPr>
      <w:r w:rsidRPr="00A03B67">
        <w:rPr>
          <w:rStyle w:val="FootnoteReference"/>
        </w:rPr>
        <w:footnoteRef/>
      </w:r>
      <w:r w:rsidRPr="00A03B67">
        <w:t xml:space="preserve"> </w:t>
      </w:r>
      <w:r w:rsidRPr="00A03B67">
        <w:rPr>
          <w:i/>
        </w:rPr>
        <w:t>Fair Work Act 2009</w:t>
      </w:r>
      <w:r w:rsidRPr="00A03B67">
        <w:t xml:space="preserve"> (Cth) s 186(2A).</w:t>
      </w:r>
    </w:p>
  </w:footnote>
  <w:footnote w:id="307">
    <w:p w14:paraId="3EEF4C1C" w14:textId="77777777" w:rsidR="00173F8E" w:rsidRPr="00A03B67" w:rsidRDefault="00173F8E" w:rsidP="00173F8E">
      <w:pPr>
        <w:pStyle w:val="FootnoteText"/>
      </w:pPr>
      <w:r w:rsidRPr="00A03B67">
        <w:rPr>
          <w:rStyle w:val="FootnoteReference"/>
        </w:rPr>
        <w:footnoteRef/>
      </w:r>
      <w:r w:rsidRPr="00A03B67">
        <w:t xml:space="preserve"> </w:t>
      </w:r>
      <w:r w:rsidRPr="00A03B67">
        <w:rPr>
          <w:i/>
        </w:rPr>
        <w:t>Fair Work Act 2009</w:t>
      </w:r>
      <w:r w:rsidRPr="00A03B67">
        <w:t xml:space="preserve"> (Cth) s 180A.</w:t>
      </w:r>
    </w:p>
  </w:footnote>
  <w:footnote w:id="308">
    <w:p w14:paraId="7D47A0AA" w14:textId="1203130B" w:rsidR="00173F8E" w:rsidRPr="00A03B67" w:rsidRDefault="00173F8E" w:rsidP="00173F8E">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p>
  </w:footnote>
  <w:footnote w:id="309">
    <w:p w14:paraId="3FEB9970" w14:textId="6D63384B" w:rsidR="00173F8E" w:rsidRPr="00A03B67" w:rsidRDefault="00173F8E" w:rsidP="00173F8E">
      <w:pPr>
        <w:pStyle w:val="FootnoteText"/>
      </w:pPr>
      <w:r w:rsidRPr="00A03B67">
        <w:rPr>
          <w:rStyle w:val="FootnoteReference"/>
        </w:rPr>
        <w:footnoteRef/>
      </w:r>
      <w:r w:rsidRPr="00A03B67">
        <w:t xml:space="preserve"> Regulat</w:t>
      </w:r>
      <w:r w:rsidR="00846EE8" w:rsidRPr="00A03B67">
        <w:t>ion</w:t>
      </w:r>
      <w:r w:rsidRPr="00A03B67">
        <w:t xml:space="preserve"> Impact Statement, Fair Work Legislation Amendment (Secure Jobs, Better Pay) Bill 2022, 33.</w:t>
      </w:r>
    </w:p>
  </w:footnote>
  <w:footnote w:id="310">
    <w:p w14:paraId="4C6A24F2" w14:textId="29CAD34D" w:rsidR="00173F8E" w:rsidRPr="00A03B67" w:rsidRDefault="00173F8E" w:rsidP="00173F8E">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r w:rsidR="00466710" w:rsidRPr="00A03B67">
        <w:t>.</w:t>
      </w:r>
    </w:p>
  </w:footnote>
  <w:footnote w:id="311">
    <w:p w14:paraId="7CBB3BFB" w14:textId="002A4AAE" w:rsidR="00173F8E" w:rsidRPr="00A03B67" w:rsidRDefault="00173F8E" w:rsidP="00466710">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r w:rsidRPr="00A03B67" w:rsidDel="005A6A41">
        <w:t>.</w:t>
      </w:r>
    </w:p>
  </w:footnote>
  <w:footnote w:id="312">
    <w:p w14:paraId="2FF25167" w14:textId="3AA009E4" w:rsidR="00173F8E" w:rsidRPr="00A03B67" w:rsidRDefault="00173F8E" w:rsidP="00173F8E">
      <w:pPr>
        <w:pStyle w:val="FootnoteText"/>
      </w:pPr>
      <w:r w:rsidRPr="00A03B67">
        <w:rPr>
          <w:rStyle w:val="FootnoteReference"/>
        </w:rPr>
        <w:footnoteRef/>
      </w:r>
      <w:r w:rsidR="00466710" w:rsidRPr="00A03B67">
        <w:t xml:space="preserve"> DEWR </w:t>
      </w:r>
      <w:r w:rsidRPr="00A03B67">
        <w:t>WAD data to 30 September 2024.</w:t>
      </w:r>
    </w:p>
  </w:footnote>
  <w:footnote w:id="313">
    <w:p w14:paraId="7E29B02F" w14:textId="4F00E3DB" w:rsidR="00173F8E" w:rsidRPr="00A03B67" w:rsidRDefault="00173F8E" w:rsidP="00173F8E">
      <w:pPr>
        <w:pStyle w:val="FootnoteText"/>
      </w:pPr>
      <w:r w:rsidRPr="00A03B67">
        <w:rPr>
          <w:rStyle w:val="FootnoteReference"/>
        </w:rPr>
        <w:footnoteRef/>
      </w:r>
      <w:r w:rsidRPr="00A03B67">
        <w:t xml:space="preserve"> </w:t>
      </w:r>
      <w:r w:rsidR="00466710" w:rsidRPr="00A03B67">
        <w:t xml:space="preserve">DEWR </w:t>
      </w:r>
      <w:r w:rsidRPr="00A03B67">
        <w:t>WAD data to 30 September 2024.</w:t>
      </w:r>
    </w:p>
  </w:footnote>
  <w:footnote w:id="314">
    <w:p w14:paraId="2058FE20"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Inner West Community Enterprises Limited T/A Seddon Community Bank </w:t>
      </w:r>
      <w:r w:rsidRPr="00A03B67">
        <w:t xml:space="preserve">[2024] FWCA 2835; </w:t>
      </w:r>
      <w:r w:rsidRPr="00A03B67">
        <w:rPr>
          <w:i/>
          <w:iCs/>
        </w:rPr>
        <w:t xml:space="preserve">Application by Break O’Day Community Financial Services Ltd &amp; Cardwell &amp; District Community Enterprises Limited and Others </w:t>
      </w:r>
      <w:r w:rsidRPr="00A03B67">
        <w:t xml:space="preserve">[2024] FWCA 3687; </w:t>
      </w:r>
      <w:r w:rsidRPr="00A03B67">
        <w:rPr>
          <w:i/>
        </w:rPr>
        <w:t>Application by our Lady of Sion College Ltd T/A Our Lady of Sion College</w:t>
      </w:r>
      <w:r w:rsidRPr="00A03B67">
        <w:t xml:space="preserve"> [2024] FWCA 1690.</w:t>
      </w:r>
    </w:p>
  </w:footnote>
  <w:footnote w:id="315">
    <w:p w14:paraId="3A652B55" w14:textId="50575166" w:rsidR="009B478B" w:rsidRPr="00A03B67" w:rsidRDefault="009B478B">
      <w:pPr>
        <w:pStyle w:val="FootnoteText"/>
      </w:pPr>
      <w:r w:rsidRPr="00A03B67">
        <w:rPr>
          <w:rStyle w:val="FootnoteReference"/>
        </w:rPr>
        <w:footnoteRef/>
      </w:r>
      <w:r w:rsidR="002B23C7" w:rsidRPr="00A03B67">
        <w:t xml:space="preserve"> </w:t>
      </w:r>
      <w:r w:rsidR="002B23C7" w:rsidRPr="00A03B67">
        <w:rPr>
          <w:rFonts w:eastAsia="Times New Roman" w:cs="Times New Roman"/>
          <w:i/>
          <w:iCs/>
        </w:rPr>
        <w:t>Application by Inner West Community Enterprises Limited T/A Seddon Community Bank (Seddon Community Bank</w:t>
      </w:r>
      <w:r w:rsidRPr="00A03B67">
        <w:t xml:space="preserve"> [2024] FWCA 2835</w:t>
      </w:r>
      <w:r w:rsidR="00466710" w:rsidRPr="00A03B67">
        <w:t>.</w:t>
      </w:r>
    </w:p>
  </w:footnote>
  <w:footnote w:id="316">
    <w:p w14:paraId="0104E633" w14:textId="0B2C5816" w:rsidR="009B478B" w:rsidRPr="00A03B67" w:rsidRDefault="009B478B">
      <w:pPr>
        <w:pStyle w:val="FootnoteText"/>
      </w:pPr>
      <w:r w:rsidRPr="00A03B67">
        <w:rPr>
          <w:rStyle w:val="FootnoteReference"/>
        </w:rPr>
        <w:footnoteRef/>
      </w:r>
      <w:r w:rsidRPr="00A03B67">
        <w:t xml:space="preserve"> </w:t>
      </w:r>
      <w:r w:rsidR="002B23C7" w:rsidRPr="00A03B67">
        <w:rPr>
          <w:rFonts w:eastAsia="Times New Roman" w:cs="Times New Roman"/>
          <w:i/>
          <w:iCs/>
        </w:rPr>
        <w:t>Application by Break O'Day Community Financial Services Ltd &amp; Cardwell &amp; District Community Enterprises Limited and Others</w:t>
      </w:r>
      <w:r w:rsidR="002B23C7" w:rsidRPr="00A03B67">
        <w:t xml:space="preserve"> </w:t>
      </w:r>
      <w:r w:rsidRPr="00A03B67">
        <w:t>[2024] FWCA 3687</w:t>
      </w:r>
      <w:r w:rsidR="00466710" w:rsidRPr="00A03B67">
        <w:t>.</w:t>
      </w:r>
    </w:p>
  </w:footnote>
  <w:footnote w:id="317">
    <w:p w14:paraId="1119DFA1" w14:textId="68246512" w:rsidR="00173F8E" w:rsidRPr="00A03B67" w:rsidRDefault="00173F8E" w:rsidP="00173F8E">
      <w:pPr>
        <w:pStyle w:val="FootnoteText"/>
      </w:pPr>
      <w:r w:rsidRPr="00A03B67">
        <w:rPr>
          <w:rStyle w:val="FootnoteReference"/>
        </w:rPr>
        <w:footnoteRef/>
      </w:r>
      <w:r w:rsidRPr="00A03B67">
        <w:t xml:space="preserve"> </w:t>
      </w:r>
      <w:r w:rsidRPr="00A03B67">
        <w:rPr>
          <w:i/>
          <w:iCs/>
        </w:rPr>
        <w:t>Application</w:t>
      </w:r>
      <w:r w:rsidRPr="00A03B67">
        <w:rPr>
          <w:rFonts w:ascii="Calibri" w:hAnsi="Calibri" w:cs="Calibri"/>
          <w:i/>
        </w:rPr>
        <w:t xml:space="preserve"> by Inner West Community Enterprises Limited T/A Seddon Community Bank (Seddon Community Bank) </w:t>
      </w:r>
      <w:hyperlink r:id="rId4" w:tgtFrame="_blank" w:history="1">
        <w:r w:rsidRPr="00A03B67">
          <w:rPr>
            <w:rFonts w:ascii="Calibri" w:hAnsi="Calibri" w:cs="Calibri"/>
          </w:rPr>
          <w:t>[2024] FWCA 2835</w:t>
        </w:r>
      </w:hyperlink>
      <w:r w:rsidRPr="00A03B67">
        <w:rPr>
          <w:rFonts w:ascii="Calibri" w:hAnsi="Calibri" w:cs="Calibri"/>
        </w:rPr>
        <w:t xml:space="preserve"> [1]</w:t>
      </w:r>
      <w:r w:rsidR="00552F90" w:rsidRPr="00A03B67">
        <w:rPr>
          <w:rFonts w:ascii="Calibri" w:hAnsi="Calibri" w:cs="Calibri"/>
        </w:rPr>
        <w:t>;</w:t>
      </w:r>
      <w:r w:rsidRPr="00A03B67">
        <w:rPr>
          <w:rFonts w:ascii="Calibri" w:hAnsi="Calibri" w:cs="Calibri"/>
        </w:rPr>
        <w:t xml:space="preserve"> </w:t>
      </w:r>
      <w:r w:rsidRPr="00A03B67">
        <w:rPr>
          <w:rFonts w:ascii="Calibri" w:hAnsi="Calibri" w:cs="Calibri"/>
          <w:i/>
        </w:rPr>
        <w:t xml:space="preserve">Application by Break </w:t>
      </w:r>
      <w:r w:rsidRPr="00A03B67">
        <w:rPr>
          <w:i/>
          <w:iCs/>
        </w:rPr>
        <w:t>O</w:t>
      </w:r>
      <w:r w:rsidR="00466710" w:rsidRPr="00A03B67">
        <w:rPr>
          <w:i/>
          <w:iCs/>
        </w:rPr>
        <w:t>’</w:t>
      </w:r>
      <w:r w:rsidRPr="00A03B67">
        <w:rPr>
          <w:i/>
          <w:iCs/>
        </w:rPr>
        <w:t>Day</w:t>
      </w:r>
      <w:r w:rsidRPr="00A03B67">
        <w:rPr>
          <w:rFonts w:ascii="Calibri" w:hAnsi="Calibri" w:cs="Calibri"/>
          <w:i/>
        </w:rPr>
        <w:t xml:space="preserve"> Community Financial Services Ltd &amp; Cardwell &amp; District Community Enterprises Limited and Others</w:t>
      </w:r>
      <w:r w:rsidRPr="00A03B67">
        <w:rPr>
          <w:rFonts w:ascii="Calibri" w:hAnsi="Calibri" w:cs="Calibri"/>
        </w:rPr>
        <w:t xml:space="preserve"> [2024] FWCA 3687 [3].</w:t>
      </w:r>
    </w:p>
  </w:footnote>
  <w:footnote w:id="318">
    <w:p w14:paraId="28A4DA56" w14:textId="3426428F" w:rsidR="00173F8E" w:rsidRPr="00A03B67" w:rsidRDefault="00173F8E" w:rsidP="00173F8E">
      <w:pPr>
        <w:pStyle w:val="FootnoteText"/>
      </w:pPr>
      <w:r w:rsidRPr="00A03B67">
        <w:rPr>
          <w:rStyle w:val="FootnoteReference"/>
        </w:rPr>
        <w:footnoteRef/>
      </w:r>
      <w:r w:rsidRPr="00A03B67">
        <w:t xml:space="preserve"> </w:t>
      </w:r>
      <w:r w:rsidRPr="00A03B67">
        <w:rPr>
          <w:i/>
          <w:iCs/>
        </w:rPr>
        <w:t>Application</w:t>
      </w:r>
      <w:r w:rsidRPr="00A03B67">
        <w:rPr>
          <w:rFonts w:ascii="Calibri" w:hAnsi="Calibri" w:cs="Calibri"/>
          <w:i/>
        </w:rPr>
        <w:t xml:space="preserve"> by Inner West Community Enterprises Limited T/A Seddon Community Bank (Seddon Community Bank)</w:t>
      </w:r>
      <w:r w:rsidRPr="00A03B67">
        <w:rPr>
          <w:rFonts w:ascii="Calibri" w:hAnsi="Calibri" w:cs="Calibri"/>
        </w:rPr>
        <w:t xml:space="preserve"> </w:t>
      </w:r>
      <w:hyperlink r:id="rId5" w:tgtFrame="_blank" w:history="1">
        <w:r w:rsidRPr="00A03B67">
          <w:rPr>
            <w:rFonts w:ascii="Calibri" w:hAnsi="Calibri" w:cs="Calibri"/>
          </w:rPr>
          <w:t>[2024] FWCA 2835</w:t>
        </w:r>
      </w:hyperlink>
      <w:r w:rsidRPr="00A03B67">
        <w:rPr>
          <w:rFonts w:ascii="Calibri" w:hAnsi="Calibri" w:cs="Calibri"/>
        </w:rPr>
        <w:t xml:space="preserve"> [13</w:t>
      </w:r>
      <w:r w:rsidRPr="00A03B67">
        <w:rPr>
          <w:rFonts w:ascii="Calibri" w:hAnsi="Calibri" w:cs="Calibri"/>
          <w:iCs/>
        </w:rPr>
        <w:t>]</w:t>
      </w:r>
      <w:r w:rsidR="00466710" w:rsidRPr="00A03B67">
        <w:rPr>
          <w:rFonts w:ascii="Calibri" w:hAnsi="Calibri" w:cs="Calibri"/>
          <w:iCs/>
        </w:rPr>
        <w:t>;</w:t>
      </w:r>
      <w:r w:rsidRPr="00A03B67">
        <w:rPr>
          <w:rFonts w:ascii="Calibri" w:hAnsi="Calibri" w:cs="Calibri"/>
          <w:i/>
        </w:rPr>
        <w:t xml:space="preserve"> Application by Break </w:t>
      </w:r>
      <w:r w:rsidRPr="00A03B67">
        <w:rPr>
          <w:i/>
          <w:iCs/>
        </w:rPr>
        <w:t>O</w:t>
      </w:r>
      <w:r w:rsidR="00466710" w:rsidRPr="00A03B67">
        <w:rPr>
          <w:i/>
          <w:iCs/>
        </w:rPr>
        <w:t>’</w:t>
      </w:r>
      <w:r w:rsidRPr="00A03B67">
        <w:rPr>
          <w:i/>
          <w:iCs/>
        </w:rPr>
        <w:t>Day</w:t>
      </w:r>
      <w:r w:rsidRPr="00A03B67">
        <w:rPr>
          <w:rFonts w:ascii="Calibri" w:hAnsi="Calibri" w:cs="Calibri"/>
          <w:i/>
        </w:rPr>
        <w:t xml:space="preserve"> Community Financial Services Ltd &amp; Cardwell &amp; District Community Enterprises Limited and Others</w:t>
      </w:r>
      <w:r w:rsidRPr="00A03B67">
        <w:rPr>
          <w:rFonts w:ascii="Calibri" w:hAnsi="Calibri" w:cs="Calibri"/>
        </w:rPr>
        <w:t xml:space="preserve"> [2024] FWCA 3687 [18].</w:t>
      </w:r>
    </w:p>
  </w:footnote>
  <w:footnote w:id="319">
    <w:p w14:paraId="5758ED95" w14:textId="62E62EFE" w:rsidR="00173F8E" w:rsidRPr="00A03B67" w:rsidRDefault="00173F8E" w:rsidP="00173F8E">
      <w:pPr>
        <w:pStyle w:val="FootnoteText"/>
      </w:pPr>
      <w:r w:rsidRPr="00A03B67">
        <w:rPr>
          <w:rStyle w:val="FootnoteReference"/>
        </w:rPr>
        <w:footnoteRef/>
      </w:r>
      <w:r w:rsidRPr="00A03B67">
        <w:t xml:space="preserve"> </w:t>
      </w:r>
      <w:r w:rsidRPr="00A03B67">
        <w:rPr>
          <w:i/>
          <w:iCs/>
        </w:rPr>
        <w:t>Application</w:t>
      </w:r>
      <w:r w:rsidRPr="00A03B67">
        <w:rPr>
          <w:rFonts w:ascii="Calibri" w:hAnsi="Calibri" w:cs="Calibri"/>
          <w:i/>
          <w:iCs/>
        </w:rPr>
        <w:t xml:space="preserve"> by Inner West Community Enterprises Limited T/A Seddon Community Bank (Seddon Community Bank)</w:t>
      </w:r>
      <w:r w:rsidRPr="00A03B67">
        <w:rPr>
          <w:rFonts w:ascii="Calibri" w:hAnsi="Calibri" w:cs="Calibri"/>
        </w:rPr>
        <w:t xml:space="preserve"> </w:t>
      </w:r>
      <w:hyperlink r:id="rId6" w:tgtFrame="_blank" w:history="1">
        <w:r w:rsidRPr="00A03B67">
          <w:rPr>
            <w:rFonts w:ascii="Calibri" w:hAnsi="Calibri" w:cs="Calibri"/>
          </w:rPr>
          <w:t>[2024] FWCA 2835</w:t>
        </w:r>
      </w:hyperlink>
      <w:r w:rsidRPr="00A03B67">
        <w:rPr>
          <w:rFonts w:ascii="Calibri" w:hAnsi="Calibri" w:cs="Calibri"/>
        </w:rPr>
        <w:t xml:space="preserve"> [14]</w:t>
      </w:r>
      <w:r w:rsidR="00552F90" w:rsidRPr="00A03B67">
        <w:rPr>
          <w:rFonts w:ascii="Calibri" w:hAnsi="Calibri" w:cs="Calibri"/>
        </w:rPr>
        <w:t>;</w:t>
      </w:r>
      <w:r w:rsidRPr="00A03B67">
        <w:rPr>
          <w:rFonts w:ascii="Calibri" w:hAnsi="Calibri" w:cs="Calibri"/>
        </w:rPr>
        <w:t xml:space="preserve"> </w:t>
      </w:r>
      <w:r w:rsidRPr="00A03B67">
        <w:rPr>
          <w:rFonts w:ascii="Calibri" w:hAnsi="Calibri" w:cs="Calibri"/>
          <w:i/>
        </w:rPr>
        <w:t xml:space="preserve">Application by Break </w:t>
      </w:r>
      <w:r w:rsidRPr="00A03B67">
        <w:rPr>
          <w:i/>
          <w:iCs/>
        </w:rPr>
        <w:t>O</w:t>
      </w:r>
      <w:r w:rsidR="00466710" w:rsidRPr="00A03B67">
        <w:rPr>
          <w:i/>
          <w:iCs/>
        </w:rPr>
        <w:t>’</w:t>
      </w:r>
      <w:r w:rsidRPr="00A03B67">
        <w:rPr>
          <w:i/>
          <w:iCs/>
        </w:rPr>
        <w:t>Day</w:t>
      </w:r>
      <w:r w:rsidRPr="00A03B67">
        <w:rPr>
          <w:rFonts w:ascii="Calibri" w:hAnsi="Calibri" w:cs="Calibri"/>
          <w:i/>
        </w:rPr>
        <w:t xml:space="preserve"> Community Financial Services Ltd &amp; Cardwell &amp; District Community Enterprises Limited and Others</w:t>
      </w:r>
      <w:r w:rsidRPr="00A03B67">
        <w:rPr>
          <w:rFonts w:ascii="Calibri" w:hAnsi="Calibri" w:cs="Calibri"/>
        </w:rPr>
        <w:t xml:space="preserve"> [2024] FWCA 3687 [19].</w:t>
      </w:r>
    </w:p>
  </w:footnote>
  <w:footnote w:id="320">
    <w:p w14:paraId="099F4CE4" w14:textId="2E545427" w:rsidR="00173F8E" w:rsidRPr="00A03B67" w:rsidRDefault="00173F8E" w:rsidP="00173F8E">
      <w:pPr>
        <w:pStyle w:val="FootnoteText"/>
        <w:rPr>
          <w:rFonts w:ascii="Calibri" w:hAnsi="Calibri" w:cs="Calibri"/>
        </w:rPr>
      </w:pPr>
      <w:r w:rsidRPr="00A03B67">
        <w:rPr>
          <w:rStyle w:val="FootnoteReference"/>
        </w:rPr>
        <w:footnoteRef/>
      </w:r>
      <w:r w:rsidRPr="00A03B67">
        <w:t xml:space="preserve"> </w:t>
      </w:r>
      <w:r w:rsidRPr="00A03B67">
        <w:rPr>
          <w:i/>
          <w:iCs/>
        </w:rPr>
        <w:t>Application</w:t>
      </w:r>
      <w:r w:rsidRPr="00A03B67">
        <w:rPr>
          <w:rFonts w:ascii="Calibri" w:hAnsi="Calibri" w:cs="Calibri"/>
        </w:rPr>
        <w:t xml:space="preserve"> </w:t>
      </w:r>
      <w:r w:rsidRPr="00A03B67">
        <w:rPr>
          <w:rFonts w:ascii="Calibri" w:hAnsi="Calibri" w:cs="Calibri"/>
          <w:i/>
          <w:iCs/>
        </w:rPr>
        <w:t>by Inner West Community Enterprises Limited T/A Seddon Community Bank (Seddon Community Bank)</w:t>
      </w:r>
      <w:r w:rsidRPr="00A03B67">
        <w:rPr>
          <w:rFonts w:ascii="Calibri" w:hAnsi="Calibri" w:cs="Calibri"/>
        </w:rPr>
        <w:t xml:space="preserve"> </w:t>
      </w:r>
      <w:hyperlink r:id="rId7" w:tgtFrame="_blank" w:history="1">
        <w:r w:rsidRPr="00A03B67">
          <w:rPr>
            <w:rFonts w:ascii="Calibri" w:hAnsi="Calibri" w:cs="Calibri"/>
          </w:rPr>
          <w:t>[2024] FWCA 2835</w:t>
        </w:r>
      </w:hyperlink>
      <w:r w:rsidRPr="00A03B67">
        <w:rPr>
          <w:rFonts w:ascii="Calibri" w:hAnsi="Calibri" w:cs="Calibri"/>
        </w:rPr>
        <w:t xml:space="preserve"> [16]</w:t>
      </w:r>
      <w:r w:rsidR="00466710" w:rsidRPr="00A03B67">
        <w:rPr>
          <w:rFonts w:ascii="Calibri" w:hAnsi="Calibri" w:cs="Calibri"/>
        </w:rPr>
        <w:t>;</w:t>
      </w:r>
      <w:r w:rsidRPr="00A03B67">
        <w:rPr>
          <w:rFonts w:ascii="Calibri" w:hAnsi="Calibri" w:cs="Calibri"/>
        </w:rPr>
        <w:t xml:space="preserve"> </w:t>
      </w:r>
      <w:r w:rsidRPr="00A03B67">
        <w:rPr>
          <w:rFonts w:ascii="Calibri" w:hAnsi="Calibri" w:cs="Calibri"/>
          <w:i/>
        </w:rPr>
        <w:t>Application</w:t>
      </w:r>
      <w:r w:rsidRPr="00A03B67">
        <w:rPr>
          <w:rFonts w:ascii="Calibri" w:hAnsi="Calibri" w:cs="Calibri"/>
        </w:rPr>
        <w:t xml:space="preserve"> by </w:t>
      </w:r>
      <w:r w:rsidRPr="00A03B67">
        <w:rPr>
          <w:rFonts w:ascii="Calibri" w:hAnsi="Calibri" w:cs="Calibri"/>
          <w:i/>
          <w:iCs/>
        </w:rPr>
        <w:t>Break</w:t>
      </w:r>
      <w:r w:rsidRPr="00A03B67">
        <w:rPr>
          <w:rFonts w:ascii="Calibri" w:hAnsi="Calibri" w:cs="Calibri"/>
        </w:rPr>
        <w:t xml:space="preserve"> </w:t>
      </w:r>
      <w:r w:rsidRPr="00A03B67">
        <w:rPr>
          <w:i/>
          <w:iCs/>
        </w:rPr>
        <w:t>O</w:t>
      </w:r>
      <w:r w:rsidR="00466710" w:rsidRPr="00A03B67">
        <w:rPr>
          <w:i/>
          <w:iCs/>
        </w:rPr>
        <w:t>’</w:t>
      </w:r>
      <w:r w:rsidRPr="00A03B67">
        <w:rPr>
          <w:i/>
          <w:iCs/>
        </w:rPr>
        <w:t>Day</w:t>
      </w:r>
      <w:r w:rsidRPr="00A03B67">
        <w:rPr>
          <w:rFonts w:ascii="Calibri" w:hAnsi="Calibri" w:cs="Calibri"/>
        </w:rPr>
        <w:t xml:space="preserve"> </w:t>
      </w:r>
      <w:r w:rsidRPr="00A03B67">
        <w:rPr>
          <w:rFonts w:ascii="Calibri" w:hAnsi="Calibri" w:cs="Calibri"/>
          <w:i/>
          <w:iCs/>
        </w:rPr>
        <w:t>Community Financial Services Ltd &amp; Cardwell &amp; District Community</w:t>
      </w:r>
      <w:r w:rsidRPr="00A03B67">
        <w:rPr>
          <w:rFonts w:ascii="Calibri" w:hAnsi="Calibri" w:cs="Calibri"/>
        </w:rPr>
        <w:t xml:space="preserve"> </w:t>
      </w:r>
      <w:r w:rsidRPr="00A03B67">
        <w:rPr>
          <w:rFonts w:ascii="Calibri" w:hAnsi="Calibri" w:cs="Calibri"/>
          <w:i/>
          <w:iCs/>
        </w:rPr>
        <w:t>Enterprises Limited and Others</w:t>
      </w:r>
      <w:r w:rsidRPr="00A03B67">
        <w:rPr>
          <w:rFonts w:ascii="Calibri" w:hAnsi="Calibri" w:cs="Calibri"/>
        </w:rPr>
        <w:t xml:space="preserve"> [2024] FWCA 3687 [21]-[22].</w:t>
      </w:r>
    </w:p>
  </w:footnote>
  <w:footnote w:id="321">
    <w:p w14:paraId="284AA13B" w14:textId="5599B590" w:rsidR="009B478B" w:rsidRPr="00A03B67" w:rsidRDefault="009B478B">
      <w:pPr>
        <w:pStyle w:val="FootnoteText"/>
      </w:pPr>
      <w:r w:rsidRPr="00A03B67">
        <w:rPr>
          <w:rStyle w:val="FootnoteReference"/>
        </w:rPr>
        <w:footnoteRef/>
      </w:r>
      <w:r w:rsidR="002B23C7" w:rsidRPr="00A03B67">
        <w:rPr>
          <w:rFonts w:eastAsia="Times New Roman" w:cs="Times New Roman"/>
          <w:i/>
          <w:iCs/>
        </w:rPr>
        <w:t>Application by Our Lady Of Sion College Ltd T/A Our Lady Of Sion College</w:t>
      </w:r>
      <w:r w:rsidRPr="00A03B67">
        <w:t xml:space="preserve"> [2024] FWCA 1690</w:t>
      </w:r>
      <w:r w:rsidR="00552F90" w:rsidRPr="00A03B67">
        <w:t>.</w:t>
      </w:r>
    </w:p>
  </w:footnote>
  <w:footnote w:id="322">
    <w:p w14:paraId="3F557F8D" w14:textId="77777777" w:rsidR="00173F8E" w:rsidRPr="00A03B67" w:rsidRDefault="00173F8E" w:rsidP="00173F8E">
      <w:pPr>
        <w:pStyle w:val="FootnoteText"/>
        <w:rPr>
          <w:rFonts w:ascii="Calibri" w:hAnsi="Calibri" w:cs="Calibri"/>
        </w:rPr>
      </w:pPr>
      <w:r w:rsidRPr="00A03B67">
        <w:rPr>
          <w:rStyle w:val="FootnoteReference"/>
        </w:rPr>
        <w:footnoteRef/>
      </w:r>
      <w:r w:rsidRPr="00A03B67">
        <w:t xml:space="preserve"> </w:t>
      </w:r>
      <w:r w:rsidRPr="00A03B67">
        <w:rPr>
          <w:rFonts w:ascii="Calibri" w:hAnsi="Calibri" w:cs="Calibri"/>
          <w:i/>
        </w:rPr>
        <w:t>Application by Our Lady Of Sion College Ltd T/A Our Lady Of Sion College</w:t>
      </w:r>
      <w:r w:rsidRPr="00A03B67">
        <w:rPr>
          <w:rFonts w:ascii="Calibri" w:hAnsi="Calibri" w:cs="Calibri"/>
        </w:rPr>
        <w:t xml:space="preserve"> </w:t>
      </w:r>
      <w:hyperlink r:id="rId8" w:tgtFrame="_blank" w:history="1">
        <w:r w:rsidRPr="00A03B67">
          <w:rPr>
            <w:rFonts w:ascii="Calibri" w:hAnsi="Calibri" w:cs="Calibri"/>
          </w:rPr>
          <w:t>[2024] FWCA 1690</w:t>
        </w:r>
      </w:hyperlink>
      <w:r w:rsidRPr="00A03B67">
        <w:rPr>
          <w:rFonts w:ascii="Calibri" w:hAnsi="Calibri" w:cs="Calibri"/>
        </w:rPr>
        <w:t xml:space="preserve"> [5]–[6].</w:t>
      </w:r>
    </w:p>
  </w:footnote>
  <w:footnote w:id="323">
    <w:p w14:paraId="4E0B0AF4" w14:textId="77777777"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i/>
        </w:rPr>
        <w:t>Application by Our Lady Of Sion College Ltd T/A Our Lady Of Sion College</w:t>
      </w:r>
      <w:r w:rsidRPr="00A03B67">
        <w:rPr>
          <w:rFonts w:ascii="Calibri" w:hAnsi="Calibri" w:cs="Calibri"/>
        </w:rPr>
        <w:t xml:space="preserve"> </w:t>
      </w:r>
      <w:hyperlink r:id="rId9" w:tgtFrame="_blank" w:history="1">
        <w:r w:rsidRPr="00A03B67">
          <w:rPr>
            <w:rFonts w:ascii="Calibri" w:hAnsi="Calibri" w:cs="Calibri"/>
          </w:rPr>
          <w:t>[2024] FWCA 1690</w:t>
        </w:r>
      </w:hyperlink>
      <w:r w:rsidRPr="00A03B67">
        <w:rPr>
          <w:rFonts w:ascii="Calibri" w:hAnsi="Calibri" w:cs="Calibri"/>
        </w:rPr>
        <w:t xml:space="preserve"> [13].</w:t>
      </w:r>
    </w:p>
  </w:footnote>
  <w:footnote w:id="324">
    <w:p w14:paraId="18B01E77" w14:textId="1AC768EE" w:rsidR="00173F8E" w:rsidRPr="00A03B67" w:rsidRDefault="00173F8E" w:rsidP="00173F8E">
      <w:pPr>
        <w:pStyle w:val="FootnoteText"/>
      </w:pPr>
      <w:r w:rsidRPr="00A03B67">
        <w:rPr>
          <w:rStyle w:val="FootnoteReference"/>
        </w:rPr>
        <w:footnoteRef/>
      </w:r>
      <w:r w:rsidRPr="00A03B67">
        <w:t xml:space="preserve"> United Workers Union </w:t>
      </w:r>
      <w:r w:rsidR="00552F90" w:rsidRPr="00A03B67">
        <w:t>s</w:t>
      </w:r>
      <w:r w:rsidRPr="00A03B67">
        <w:t>ubmission, 41</w:t>
      </w:r>
      <w:r w:rsidR="00552F90" w:rsidRPr="00A03B67">
        <w:rPr>
          <w:rFonts w:ascii="Symbol" w:eastAsia="Symbol" w:hAnsi="Symbol" w:cs="Symbol"/>
        </w:rPr>
        <w:t>-</w:t>
      </w:r>
      <w:r w:rsidRPr="00A03B67">
        <w:t>42.</w:t>
      </w:r>
    </w:p>
  </w:footnote>
  <w:footnote w:id="325">
    <w:p w14:paraId="378D7D51" w14:textId="26C30C1B" w:rsidR="00173F8E" w:rsidRPr="00A03B67" w:rsidRDefault="00173F8E" w:rsidP="00173F8E">
      <w:pPr>
        <w:pStyle w:val="FootnoteText"/>
      </w:pPr>
      <w:r w:rsidRPr="00A03B67">
        <w:rPr>
          <w:rStyle w:val="FootnoteReference"/>
        </w:rPr>
        <w:footnoteRef/>
      </w:r>
      <w:r w:rsidRPr="00A03B67">
        <w:t xml:space="preserve"> ACTU </w:t>
      </w:r>
      <w:r w:rsidR="00552F90" w:rsidRPr="00A03B67">
        <w:t>s</w:t>
      </w:r>
      <w:r w:rsidRPr="00A03B67">
        <w:t>ubmission, 100.</w:t>
      </w:r>
    </w:p>
  </w:footnote>
  <w:footnote w:id="326">
    <w:p w14:paraId="4A0D6E35" w14:textId="0E4C7D82" w:rsidR="00173F8E" w:rsidRPr="00A03B67" w:rsidRDefault="00173F8E" w:rsidP="00173F8E">
      <w:pPr>
        <w:pStyle w:val="FootnoteText"/>
      </w:pPr>
      <w:r w:rsidRPr="00A03B67">
        <w:rPr>
          <w:rStyle w:val="FootnoteReference"/>
        </w:rPr>
        <w:footnoteRef/>
      </w:r>
      <w:r w:rsidRPr="00A03B67">
        <w:t xml:space="preserve"> ACTU </w:t>
      </w:r>
      <w:r w:rsidR="00552F90" w:rsidRPr="00A03B67">
        <w:t>s</w:t>
      </w:r>
      <w:r w:rsidRPr="00A03B67">
        <w:t>ubmission, 100.</w:t>
      </w:r>
    </w:p>
  </w:footnote>
  <w:footnote w:id="327">
    <w:p w14:paraId="0049C2AC" w14:textId="231E8454" w:rsidR="00173F8E" w:rsidRPr="00A03B67" w:rsidRDefault="00173F8E" w:rsidP="00173F8E">
      <w:pPr>
        <w:pStyle w:val="FootnoteText"/>
      </w:pPr>
      <w:r w:rsidRPr="00A03B67">
        <w:rPr>
          <w:rStyle w:val="FootnoteReference"/>
        </w:rPr>
        <w:footnoteRef/>
      </w:r>
      <w:r w:rsidRPr="00A03B67">
        <w:t xml:space="preserve"> AI Group </w:t>
      </w:r>
      <w:r w:rsidR="00552F90" w:rsidRPr="00A03B67">
        <w:t>s</w:t>
      </w:r>
      <w:r w:rsidRPr="00A03B67">
        <w:t xml:space="preserve">ubmission, 72. </w:t>
      </w:r>
    </w:p>
  </w:footnote>
  <w:footnote w:id="328">
    <w:p w14:paraId="28BDE4AD" w14:textId="40C40E52" w:rsidR="00173F8E" w:rsidRPr="00A03B67" w:rsidRDefault="00173F8E" w:rsidP="00173F8E">
      <w:pPr>
        <w:pStyle w:val="FootnoteText"/>
      </w:pPr>
      <w:r w:rsidRPr="00A03B67">
        <w:rPr>
          <w:rStyle w:val="FootnoteReference"/>
        </w:rPr>
        <w:footnoteRef/>
      </w:r>
      <w:r w:rsidRPr="00A03B67">
        <w:t xml:space="preserve"> ARA </w:t>
      </w:r>
      <w:r w:rsidR="00552F90" w:rsidRPr="00A03B67">
        <w:t>s</w:t>
      </w:r>
      <w:r w:rsidRPr="00A03B67">
        <w:t>ubmission, 8.</w:t>
      </w:r>
    </w:p>
  </w:footnote>
  <w:footnote w:id="329">
    <w:p w14:paraId="17FA906D" w14:textId="3C663C67"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(Cth) [921] 160.</w:t>
      </w:r>
    </w:p>
  </w:footnote>
  <w:footnote w:id="330">
    <w:p w14:paraId="028363B8" w14:textId="12737FA6"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[20].</w:t>
      </w:r>
    </w:p>
  </w:footnote>
  <w:footnote w:id="331">
    <w:p w14:paraId="05952D37"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Fair Work Act 2009 </w:t>
      </w:r>
      <w:r w:rsidRPr="00A03B67">
        <w:t>(Cth) s 243(1)(b).</w:t>
      </w:r>
    </w:p>
  </w:footnote>
  <w:footnote w:id="332">
    <w:p w14:paraId="3223C684" w14:textId="77777777" w:rsidR="00823EC8" w:rsidRPr="00A03B67" w:rsidRDefault="00823EC8" w:rsidP="00823EC8">
      <w:pPr>
        <w:pStyle w:val="FootnoteText"/>
      </w:pPr>
      <w:r w:rsidRPr="00A03B67">
        <w:rPr>
          <w:rStyle w:val="FootnoteReference"/>
        </w:rPr>
        <w:footnoteRef/>
      </w:r>
      <w:r w:rsidRPr="00A03B67">
        <w:t xml:space="preserve"> </w:t>
      </w:r>
      <w:r w:rsidRPr="00A03B67">
        <w:rPr>
          <w:i/>
          <w:iCs/>
        </w:rPr>
        <w:t xml:space="preserve">Fair Work Act 2009 </w:t>
      </w:r>
      <w:r w:rsidRPr="00A03B67">
        <w:t>(Cth) s 243(1)(b).</w:t>
      </w:r>
    </w:p>
  </w:footnote>
  <w:footnote w:id="333">
    <w:p w14:paraId="235264C2"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Fair Work Act 2009 </w:t>
      </w:r>
      <w:r w:rsidRPr="00A03B67">
        <w:t>(Cth) s 243(1)(c).</w:t>
      </w:r>
    </w:p>
  </w:footnote>
  <w:footnote w:id="334">
    <w:p w14:paraId="3D919EE4" w14:textId="77777777" w:rsidR="00823EC8" w:rsidRPr="00A03B67" w:rsidRDefault="00823EC8" w:rsidP="00823EC8">
      <w:pPr>
        <w:pStyle w:val="FootnoteText"/>
      </w:pPr>
      <w:r w:rsidRPr="00A03B67">
        <w:rPr>
          <w:rStyle w:val="FootnoteReference"/>
        </w:rPr>
        <w:footnoteRef/>
      </w:r>
      <w:r w:rsidRPr="00A03B67">
        <w:t xml:space="preserve"> </w:t>
      </w:r>
      <w:r w:rsidRPr="00A03B67">
        <w:rPr>
          <w:i/>
          <w:iCs/>
        </w:rPr>
        <w:t xml:space="preserve">Fair Work Act 2009 </w:t>
      </w:r>
      <w:r w:rsidRPr="00A03B67">
        <w:t>(Cth) s 243(2).</w:t>
      </w:r>
    </w:p>
  </w:footnote>
  <w:footnote w:id="335">
    <w:p w14:paraId="5DA9978E"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243(2A).</w:t>
      </w:r>
    </w:p>
  </w:footnote>
  <w:footnote w:id="336">
    <w:p w14:paraId="4E27FD8C" w14:textId="6E484090"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w:t>
      </w:r>
      <w:r w:rsidR="00552F90" w:rsidRPr="00A03B67">
        <w:t xml:space="preserve">(Cth) </w:t>
      </w:r>
      <w:r w:rsidRPr="00A03B67">
        <w:t>243A(1).</w:t>
      </w:r>
    </w:p>
  </w:footnote>
  <w:footnote w:id="337">
    <w:p w14:paraId="6F36D154" w14:textId="635CF43C"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w:t>
      </w:r>
      <w:r w:rsidR="00552F90" w:rsidRPr="00A03B67">
        <w:t xml:space="preserve">(Cth) </w:t>
      </w:r>
      <w:r w:rsidRPr="00A03B67">
        <w:t>243A(4)</w:t>
      </w:r>
      <w:r w:rsidR="0014225E" w:rsidRPr="00A03B67">
        <w:t>.</w:t>
      </w:r>
    </w:p>
  </w:footnote>
  <w:footnote w:id="338">
    <w:p w14:paraId="25096BD1"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Fair Work Act 2009 </w:t>
      </w:r>
      <w:r w:rsidRPr="00A03B67">
        <w:t>(Cth) s 246.</w:t>
      </w:r>
    </w:p>
  </w:footnote>
  <w:footnote w:id="339">
    <w:p w14:paraId="43066746" w14:textId="77777777" w:rsidR="00823EC8" w:rsidRPr="00A03B67" w:rsidRDefault="00823EC8" w:rsidP="00823EC8">
      <w:pPr>
        <w:pStyle w:val="FootnoteText"/>
      </w:pPr>
      <w:r w:rsidRPr="00A03B67">
        <w:rPr>
          <w:rStyle w:val="FootnoteReference"/>
        </w:rPr>
        <w:footnoteRef/>
      </w:r>
      <w:r w:rsidRPr="00A03B67">
        <w:t xml:space="preserve"> </w:t>
      </w:r>
      <w:r w:rsidRPr="00A03B67">
        <w:rPr>
          <w:i/>
          <w:iCs/>
        </w:rPr>
        <w:t xml:space="preserve">Fair Work Act 2009 </w:t>
      </w:r>
      <w:r w:rsidRPr="00A03B67">
        <w:t>(Cth) s 246.</w:t>
      </w:r>
    </w:p>
  </w:footnote>
  <w:footnote w:id="340">
    <w:p w14:paraId="6515DD38" w14:textId="39280260" w:rsidR="00173F8E" w:rsidRPr="00A03B67" w:rsidRDefault="00173F8E" w:rsidP="00173F8E">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p>
  </w:footnote>
  <w:footnote w:id="341">
    <w:p w14:paraId="01B140F4" w14:textId="73F4B415" w:rsidR="00173F8E" w:rsidRPr="00A03B67" w:rsidRDefault="00173F8E" w:rsidP="00173F8E">
      <w:pPr>
        <w:pStyle w:val="FootnoteText"/>
      </w:pPr>
      <w:r w:rsidRPr="00A03B67">
        <w:rPr>
          <w:rStyle w:val="FootnoteReference"/>
        </w:rPr>
        <w:footnoteRef/>
      </w:r>
      <w:r w:rsidR="00A456DB" w:rsidRPr="00A03B67">
        <w:t>Revised Explanatory Memorandum</w:t>
      </w:r>
      <w:r w:rsidRPr="00A03B67">
        <w:t>, Fair Work Legislation Amendment (Secure Jobs, Better Pay) Bill 2022 [922] 160.</w:t>
      </w:r>
    </w:p>
  </w:footnote>
  <w:footnote w:id="342">
    <w:p w14:paraId="08157AFB" w14:textId="375A9A06" w:rsidR="00173F8E" w:rsidRPr="00A03B67" w:rsidRDefault="00173F8E" w:rsidP="00173F8E">
      <w:pPr>
        <w:pStyle w:val="FootnoteText"/>
      </w:pPr>
      <w:r w:rsidRPr="00A03B67">
        <w:rPr>
          <w:rStyle w:val="FootnoteReference"/>
        </w:rPr>
        <w:footnoteRef/>
      </w:r>
      <w:r w:rsidRPr="00A03B67">
        <w:t xml:space="preserve"> See</w:t>
      </w:r>
      <w:r w:rsidR="00552F90" w:rsidRPr="00A03B67">
        <w:t xml:space="preserve"> </w:t>
      </w:r>
      <w:r w:rsidRPr="00A03B67">
        <w:t>e</w:t>
      </w:r>
      <w:r w:rsidR="00552F90" w:rsidRPr="00A03B67">
        <w:t>.</w:t>
      </w:r>
      <w:r w:rsidRPr="00A03B67">
        <w:t>g</w:t>
      </w:r>
      <w:r w:rsidR="00552F90" w:rsidRPr="00A03B67">
        <w:t xml:space="preserve">. </w:t>
      </w:r>
      <w:r w:rsidRPr="00A03B67">
        <w:t xml:space="preserve">F Macdonald, S Charlesworth and C Brigden, ‘Access to </w:t>
      </w:r>
      <w:r w:rsidR="00552F90" w:rsidRPr="00A03B67">
        <w:t>C</w:t>
      </w:r>
      <w:r w:rsidRPr="00A03B67">
        <w:t>ollective Bargaining for Low-Paid Workers’ in S McCrystal, B Creighton and A Forsyth (</w:t>
      </w:r>
      <w:r w:rsidR="00552F90" w:rsidRPr="00A03B67">
        <w:t>e</w:t>
      </w:r>
      <w:r w:rsidRPr="00A03B67">
        <w:t xml:space="preserve">ds), </w:t>
      </w:r>
      <w:r w:rsidRPr="00A03B67">
        <w:rPr>
          <w:i/>
          <w:iCs/>
        </w:rPr>
        <w:t>Collective Bargaining under the Fair Work Act</w:t>
      </w:r>
      <w:r w:rsidRPr="00A03B67">
        <w:t xml:space="preserve"> </w:t>
      </w:r>
      <w:r w:rsidR="00552F90" w:rsidRPr="00A03B67">
        <w:t>(</w:t>
      </w:r>
      <w:r w:rsidRPr="00A03B67">
        <w:t>Federation Press, 2018</w:t>
      </w:r>
      <w:r w:rsidR="00552F90" w:rsidRPr="00A03B67">
        <w:t>)</w:t>
      </w:r>
      <w:r w:rsidRPr="00A03B67">
        <w:t xml:space="preserve"> 206.</w:t>
      </w:r>
    </w:p>
  </w:footnote>
  <w:footnote w:id="343">
    <w:p w14:paraId="3B1B945A"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&amp; Australian Workers’ Union of Employees, Queensland </w:t>
      </w:r>
      <w:r w:rsidRPr="00A03B67">
        <w:t>[2011] FWAFB 2633.</w:t>
      </w:r>
    </w:p>
  </w:footnote>
  <w:footnote w:id="344">
    <w:p w14:paraId="2C170EC3"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Voice </w:t>
      </w:r>
      <w:r w:rsidRPr="00A03B67">
        <w:t>[2014] FWC 6441.</w:t>
      </w:r>
    </w:p>
  </w:footnote>
  <w:footnote w:id="345">
    <w:p w14:paraId="0B9E23BD" w14:textId="29D397DF" w:rsidR="00173F8E" w:rsidRPr="00A03B67" w:rsidRDefault="00173F8E" w:rsidP="00173F8E">
      <w:pPr>
        <w:pStyle w:val="FootnoteText"/>
      </w:pPr>
      <w:r w:rsidRPr="00A03B67">
        <w:rPr>
          <w:rStyle w:val="FootnoteReference"/>
        </w:rPr>
        <w:footnoteRef/>
      </w:r>
      <w:r w:rsidRPr="00A03B67">
        <w:t xml:space="preserve"> See </w:t>
      </w:r>
      <w:r w:rsidR="00552F90" w:rsidRPr="00A03B67">
        <w:t xml:space="preserve">e.g. </w:t>
      </w:r>
      <w:r w:rsidRPr="00A03B67">
        <w:rPr>
          <w:i/>
          <w:iCs/>
        </w:rPr>
        <w:t xml:space="preserve">United Voice </w:t>
      </w:r>
      <w:r w:rsidRPr="00A03B67">
        <w:t xml:space="preserve">[2014] FWC 6441 and </w:t>
      </w:r>
      <w:r w:rsidRPr="00A03B67">
        <w:rPr>
          <w:i/>
          <w:iCs/>
        </w:rPr>
        <w:t xml:space="preserve">Australian Nursing and Midwifery Federation v IPN Medical Centres Pty Limited and Ors </w:t>
      </w:r>
      <w:r w:rsidRPr="00A03B67">
        <w:t>[2013] FWC 511.</w:t>
      </w:r>
    </w:p>
  </w:footnote>
  <w:footnote w:id="346">
    <w:p w14:paraId="4CCDB56B" w14:textId="77777777"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[20].</w:t>
      </w:r>
    </w:p>
  </w:footnote>
  <w:footnote w:id="347">
    <w:p w14:paraId="0AB5A6B6" w14:textId="357608A0" w:rsidR="00173F8E" w:rsidRPr="00A03B67" w:rsidRDefault="00173F8E" w:rsidP="00173F8E">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r w:rsidR="00552F90" w:rsidRPr="00A03B67">
        <w:t>).</w:t>
      </w:r>
      <w:r w:rsidRPr="00A03B67" w:rsidDel="00D51918">
        <w:t xml:space="preserve"> </w:t>
      </w:r>
    </w:p>
  </w:footnote>
  <w:footnote w:id="348">
    <w:p w14:paraId="75C9499D" w14:textId="0C35A7F6"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[921] 160.</w:t>
      </w:r>
    </w:p>
  </w:footnote>
  <w:footnote w:id="349">
    <w:p w14:paraId="461A0066" w14:textId="017946F0"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[921] 160.</w:t>
      </w:r>
    </w:p>
  </w:footnote>
  <w:footnote w:id="350">
    <w:p w14:paraId="65B30AA5" w14:textId="24A30C01"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Australian Education Union and Independent Education Union of Australia </w:t>
      </w:r>
      <w:r w:rsidRPr="00A03B67">
        <w:t>[2023] FWCFB 176</w:t>
      </w:r>
      <w:r w:rsidR="00552F90" w:rsidRPr="00A03B67">
        <w:t>.</w:t>
      </w:r>
    </w:p>
  </w:footnote>
  <w:footnote w:id="351">
    <w:p w14:paraId="20AC3B67"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455.</w:t>
      </w:r>
    </w:p>
  </w:footnote>
  <w:footnote w:id="352">
    <w:p w14:paraId="0E4B9193" w14:textId="77777777" w:rsidR="003F5D62" w:rsidRPr="00A03B67" w:rsidRDefault="003F5D62" w:rsidP="003F5D62">
      <w:pPr>
        <w:pStyle w:val="FootnoteText"/>
      </w:pPr>
      <w:r w:rsidRPr="00A03B67">
        <w:rPr>
          <w:rStyle w:val="FootnoteReference"/>
        </w:rPr>
        <w:footnoteRef/>
      </w:r>
      <w:r w:rsidRPr="00A03B67">
        <w:t xml:space="preserve"> </w:t>
      </w:r>
      <w:r w:rsidRPr="00A03B67">
        <w:rPr>
          <w:i/>
          <w:iCs/>
        </w:rPr>
        <w:t>Application by Nest Employee Services Pty Ltd T/A Nido Early School</w:t>
      </w:r>
      <w:r w:rsidRPr="00A03B67">
        <w:t xml:space="preserve"> [2025] FWCA 282.</w:t>
      </w:r>
    </w:p>
  </w:footnote>
  <w:footnote w:id="353">
    <w:p w14:paraId="0A6FA1A2" w14:textId="0DAD6CFD"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7E699B" w:rsidRPr="00A03B67">
        <w:rPr>
          <w:lang w:val="en-US"/>
        </w:rPr>
        <w:t>[2023] FWCFB 176</w:t>
      </w:r>
      <w:r w:rsidRPr="00A03B67">
        <w:t>.</w:t>
      </w:r>
    </w:p>
  </w:footnote>
  <w:footnote w:id="354">
    <w:p w14:paraId="779874B4" w14:textId="513AD3FE" w:rsidR="00173F8E" w:rsidRPr="00A03B67" w:rsidRDefault="00173F8E" w:rsidP="00173F8E">
      <w:pPr>
        <w:pStyle w:val="FootnoteText"/>
        <w:rPr>
          <w:b/>
          <w:bCs/>
        </w:rPr>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[20].</w:t>
      </w:r>
    </w:p>
  </w:footnote>
  <w:footnote w:id="355">
    <w:p w14:paraId="2EC207B7" w14:textId="58E385F2"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[20].</w:t>
      </w:r>
    </w:p>
  </w:footnote>
  <w:footnote w:id="356">
    <w:p w14:paraId="64AEC7BA" w14:textId="2B968A7A"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[40].</w:t>
      </w:r>
    </w:p>
  </w:footnote>
  <w:footnote w:id="357">
    <w:p w14:paraId="20311904" w14:textId="494B43EF"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[31].</w:t>
      </w:r>
    </w:p>
  </w:footnote>
  <w:footnote w:id="358">
    <w:p w14:paraId="16997E41" w14:textId="677A0AF4"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[31].</w:t>
      </w:r>
    </w:p>
  </w:footnote>
  <w:footnote w:id="359">
    <w:p w14:paraId="198D4840" w14:textId="50031865"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[34].</w:t>
      </w:r>
    </w:p>
  </w:footnote>
  <w:footnote w:id="360">
    <w:p w14:paraId="5C198169" w14:textId="21CBA7CB"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[34].</w:t>
      </w:r>
    </w:p>
  </w:footnote>
  <w:footnote w:id="361">
    <w:p w14:paraId="598681E5" w14:textId="1CF0ED11"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[36].</w:t>
      </w:r>
    </w:p>
  </w:footnote>
  <w:footnote w:id="362">
    <w:p w14:paraId="1832057C" w14:textId="61C3623E"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[36].</w:t>
      </w:r>
    </w:p>
  </w:footnote>
  <w:footnote w:id="363">
    <w:p w14:paraId="520930F9" w14:textId="1F9CBFCA"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[36].</w:t>
      </w:r>
    </w:p>
  </w:footnote>
  <w:footnote w:id="364">
    <w:p w14:paraId="45A8B2DF" w14:textId="5B766500"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[55].</w:t>
      </w:r>
    </w:p>
  </w:footnote>
  <w:footnote w:id="365">
    <w:p w14:paraId="73E2FCDC" w14:textId="680D88D0"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00A456DB" w:rsidRPr="00A03B67">
        <w:rPr>
          <w:lang w:val="en-US"/>
        </w:rPr>
        <w:t>[2023] FWCFB 176</w:t>
      </w:r>
      <w:r w:rsidRPr="00A03B67">
        <w:t xml:space="preserve"> [56].</w:t>
      </w:r>
    </w:p>
  </w:footnote>
  <w:footnote w:id="366">
    <w:p w14:paraId="660B7AAE"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455.</w:t>
      </w:r>
    </w:p>
  </w:footnote>
  <w:footnote w:id="367">
    <w:p w14:paraId="616E61AA"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w:t>
      </w:r>
    </w:p>
  </w:footnote>
  <w:footnote w:id="368">
    <w:p w14:paraId="62A5ABA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[18].</w:t>
      </w:r>
    </w:p>
  </w:footnote>
  <w:footnote w:id="369">
    <w:p w14:paraId="08B6C092"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[21].</w:t>
      </w:r>
    </w:p>
  </w:footnote>
  <w:footnote w:id="370">
    <w:p w14:paraId="66065C88"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[20].</w:t>
      </w:r>
    </w:p>
  </w:footnote>
  <w:footnote w:id="371">
    <w:p w14:paraId="1D18AFCA"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[21].</w:t>
      </w:r>
    </w:p>
  </w:footnote>
  <w:footnote w:id="372">
    <w:p w14:paraId="5D66B693" w14:textId="77777777" w:rsidR="00A375F4" w:rsidRPr="00A03B67" w:rsidRDefault="00A375F4" w:rsidP="00A375F4">
      <w:pPr>
        <w:pStyle w:val="FootnoteText"/>
      </w:pPr>
      <w:r w:rsidRPr="00A03B67">
        <w:rPr>
          <w:rStyle w:val="FootnoteReference"/>
        </w:rPr>
        <w:footnoteRef/>
      </w:r>
      <w:r w:rsidRPr="00A03B67">
        <w:t xml:space="preserve"> </w:t>
      </w:r>
      <w:r w:rsidRPr="00A03B67">
        <w:rPr>
          <w:i/>
          <w:iCs/>
        </w:rPr>
        <w:t>Application by Nest Employee Services Pty Ltd T/A Nido Early School</w:t>
      </w:r>
      <w:r w:rsidRPr="00A03B67">
        <w:t xml:space="preserve"> [2025] FWCA 282.</w:t>
      </w:r>
    </w:p>
  </w:footnote>
  <w:footnote w:id="373">
    <w:p w14:paraId="487708FB" w14:textId="77777777" w:rsidR="00A375F4" w:rsidRPr="00A03B67" w:rsidRDefault="00A375F4" w:rsidP="00A375F4">
      <w:pPr>
        <w:pStyle w:val="FootnoteText"/>
      </w:pPr>
      <w:r w:rsidRPr="00A03B67">
        <w:rPr>
          <w:rStyle w:val="FootnoteReference"/>
        </w:rPr>
        <w:footnoteRef/>
      </w:r>
      <w:r w:rsidRPr="00A03B67">
        <w:t xml:space="preserve"> </w:t>
      </w:r>
      <w:r w:rsidRPr="00A03B67">
        <w:rPr>
          <w:i/>
          <w:iCs/>
        </w:rPr>
        <w:t>Application by Nest Employee Services Pty Ltd T/A Nido Early School</w:t>
      </w:r>
      <w:r w:rsidRPr="00A03B67">
        <w:t xml:space="preserve"> [2025] FWCA 282 [10].</w:t>
      </w:r>
    </w:p>
  </w:footnote>
  <w:footnote w:id="374">
    <w:p w14:paraId="19A06E63" w14:textId="1DEEC6DB" w:rsidR="00A375F4" w:rsidRPr="00A03B67" w:rsidRDefault="00A375F4" w:rsidP="00A375F4">
      <w:pPr>
        <w:pStyle w:val="FootnoteText"/>
      </w:pPr>
      <w:r w:rsidRPr="00A03B67">
        <w:rPr>
          <w:rStyle w:val="FootnoteReference"/>
        </w:rPr>
        <w:footnoteRef/>
      </w:r>
      <w:r w:rsidRPr="00A03B67">
        <w:t xml:space="preserve"> Workplace Express, ‘Swift approval for expanded multi-employer deal’ (29 January 2025).</w:t>
      </w:r>
    </w:p>
  </w:footnote>
  <w:footnote w:id="375">
    <w:p w14:paraId="000587E1" w14:textId="0B545A2D" w:rsidR="00173F8E" w:rsidRPr="00A03B67" w:rsidRDefault="00173F8E" w:rsidP="00173F8E">
      <w:pPr>
        <w:pStyle w:val="FootnoteText"/>
      </w:pPr>
      <w:r w:rsidRPr="00A03B67">
        <w:rPr>
          <w:rStyle w:val="FootnoteReference"/>
        </w:rPr>
        <w:footnoteRef/>
      </w:r>
      <w:r w:rsidRPr="00A03B67">
        <w:t xml:space="preserve"> Form F82 submitted by Shop, Distributive and Allied Employees Association, filed 5 August 2024</w:t>
      </w:r>
      <w:r w:rsidR="00E0020B" w:rsidRPr="00A03B67">
        <w:t>.</w:t>
      </w:r>
    </w:p>
  </w:footnote>
  <w:footnote w:id="376">
    <w:p w14:paraId="6F3A6EF2" w14:textId="1E10394A" w:rsidR="00173F8E" w:rsidRPr="00A03B67" w:rsidRDefault="00173F8E" w:rsidP="00173F8E">
      <w:pPr>
        <w:pStyle w:val="FootnoteText"/>
      </w:pPr>
      <w:r w:rsidRPr="00A03B67">
        <w:rPr>
          <w:rStyle w:val="FootnoteReference"/>
        </w:rPr>
        <w:footnoteRef/>
      </w:r>
      <w:r w:rsidRPr="00A03B67">
        <w:t xml:space="preserve"> McDonald’s Outline of Submissions, </w:t>
      </w:r>
      <w:r w:rsidR="00A14864" w:rsidRPr="00A03B67">
        <w:t xml:space="preserve">p </w:t>
      </w:r>
      <w:r w:rsidRPr="00A03B67">
        <w:t>3, filed on 15 November 2024, Matter Number B2024/992.</w:t>
      </w:r>
    </w:p>
  </w:footnote>
  <w:footnote w:id="377">
    <w:p w14:paraId="2FBF1A33" w14:textId="6AC6DE21" w:rsidR="00173F8E" w:rsidRPr="00A03B67" w:rsidRDefault="00173F8E" w:rsidP="00173F8E">
      <w:pPr>
        <w:pStyle w:val="FootnoteText"/>
      </w:pPr>
      <w:r w:rsidRPr="00A03B67">
        <w:rPr>
          <w:rStyle w:val="FootnoteReference"/>
        </w:rPr>
        <w:footnoteRef/>
      </w:r>
      <w:r w:rsidRPr="00A03B67">
        <w:t xml:space="preserve"> ACTU </w:t>
      </w:r>
      <w:r w:rsidR="00E0020B" w:rsidRPr="00A03B67">
        <w:t>s</w:t>
      </w:r>
      <w:r w:rsidRPr="00A03B67">
        <w:t>ubmission, 92.</w:t>
      </w:r>
    </w:p>
  </w:footnote>
  <w:footnote w:id="378">
    <w:p w14:paraId="515CE786" w14:textId="00185E25" w:rsidR="00173F8E" w:rsidRPr="00A03B67" w:rsidRDefault="00173F8E" w:rsidP="00173F8E">
      <w:pPr>
        <w:pStyle w:val="FootnoteText"/>
      </w:pPr>
      <w:r w:rsidRPr="00A03B67">
        <w:rPr>
          <w:rStyle w:val="FootnoteReference"/>
        </w:rPr>
        <w:footnoteRef/>
      </w:r>
      <w:r w:rsidRPr="00A03B67">
        <w:t xml:space="preserve"> UWU </w:t>
      </w:r>
      <w:r w:rsidR="00E0020B" w:rsidRPr="00A03B67">
        <w:t>s</w:t>
      </w:r>
      <w:r w:rsidRPr="00A03B67">
        <w:t>ubmission, 36.</w:t>
      </w:r>
    </w:p>
  </w:footnote>
  <w:footnote w:id="379">
    <w:p w14:paraId="742AE714" w14:textId="3FC9F6AB" w:rsidR="00173F8E" w:rsidRPr="00A03B67" w:rsidRDefault="00173F8E" w:rsidP="00173F8E">
      <w:pPr>
        <w:pStyle w:val="FootnoteText"/>
      </w:pPr>
      <w:r w:rsidRPr="00A03B67">
        <w:rPr>
          <w:rStyle w:val="FootnoteReference"/>
        </w:rPr>
        <w:footnoteRef/>
      </w:r>
      <w:r w:rsidRPr="00A03B67">
        <w:t xml:space="preserve"> IEU </w:t>
      </w:r>
      <w:r w:rsidR="00E0020B" w:rsidRPr="00A03B67">
        <w:t>s</w:t>
      </w:r>
      <w:r w:rsidRPr="00A03B67">
        <w:t>ubmission, 6.</w:t>
      </w:r>
    </w:p>
  </w:footnote>
  <w:footnote w:id="380">
    <w:p w14:paraId="2CEFDD95" w14:textId="587383CF" w:rsidR="00173F8E" w:rsidRPr="00A03B67" w:rsidRDefault="00173F8E" w:rsidP="00173F8E">
      <w:pPr>
        <w:pStyle w:val="FootnoteText"/>
      </w:pPr>
      <w:r w:rsidRPr="00A03B67">
        <w:rPr>
          <w:rStyle w:val="FootnoteReference"/>
        </w:rPr>
        <w:footnoteRef/>
      </w:r>
      <w:r w:rsidRPr="00A03B67">
        <w:t xml:space="preserve"> ACTU </w:t>
      </w:r>
      <w:r w:rsidR="00E0020B" w:rsidRPr="00A03B67">
        <w:t>s</w:t>
      </w:r>
      <w:r w:rsidRPr="00A03B67">
        <w:t>ubmission, 92</w:t>
      </w:r>
      <w:r w:rsidR="00E0020B" w:rsidRPr="00A03B67">
        <w:rPr>
          <w:rFonts w:ascii="Symbol" w:eastAsia="Symbol" w:hAnsi="Symbol" w:cs="Symbol"/>
        </w:rPr>
        <w:t>-</w:t>
      </w:r>
      <w:r w:rsidRPr="00A03B67">
        <w:t xml:space="preserve">93; UWU </w:t>
      </w:r>
      <w:r w:rsidR="00E0020B" w:rsidRPr="00A03B67">
        <w:t>s</w:t>
      </w:r>
      <w:r w:rsidRPr="00A03B67">
        <w:t>ubmission</w:t>
      </w:r>
      <w:r w:rsidR="00E0020B" w:rsidRPr="00A03B67">
        <w:t xml:space="preserve">, </w:t>
      </w:r>
      <w:r w:rsidRPr="00A03B67">
        <w:t>39</w:t>
      </w:r>
      <w:r w:rsidR="00E0020B" w:rsidRPr="00A03B67">
        <w:rPr>
          <w:rFonts w:ascii="Symbol" w:eastAsia="Symbol" w:hAnsi="Symbol" w:cs="Symbol"/>
        </w:rPr>
        <w:t>-</w:t>
      </w:r>
      <w:r w:rsidRPr="00A03B67">
        <w:t>40.</w:t>
      </w:r>
    </w:p>
  </w:footnote>
  <w:footnote w:id="381">
    <w:p w14:paraId="09146597" w14:textId="6B888696" w:rsidR="00173F8E" w:rsidRPr="00A03B67" w:rsidRDefault="00173F8E" w:rsidP="00173F8E">
      <w:pPr>
        <w:pStyle w:val="FootnoteText"/>
      </w:pPr>
      <w:r w:rsidRPr="00A03B67">
        <w:rPr>
          <w:rStyle w:val="FootnoteReference"/>
        </w:rPr>
        <w:footnoteRef/>
      </w:r>
      <w:r w:rsidRPr="00A03B67">
        <w:t xml:space="preserve"> ACTU </w:t>
      </w:r>
      <w:r w:rsidR="00E0020B" w:rsidRPr="00A03B67">
        <w:t>s</w:t>
      </w:r>
      <w:r w:rsidRPr="00A03B67">
        <w:t>ubmission, 93.</w:t>
      </w:r>
    </w:p>
  </w:footnote>
  <w:footnote w:id="382">
    <w:p w14:paraId="6E89F7C4" w14:textId="03B54A35" w:rsidR="00173F8E" w:rsidRPr="00A03B67" w:rsidRDefault="00173F8E" w:rsidP="00173F8E">
      <w:pPr>
        <w:pStyle w:val="FootnoteText"/>
      </w:pPr>
      <w:r w:rsidRPr="00A03B67">
        <w:rPr>
          <w:rStyle w:val="FootnoteReference"/>
        </w:rPr>
        <w:footnoteRef/>
      </w:r>
      <w:r w:rsidRPr="00A03B67">
        <w:t xml:space="preserve"> ACTU </w:t>
      </w:r>
      <w:r w:rsidR="00E0020B" w:rsidRPr="00A03B67">
        <w:t>s</w:t>
      </w:r>
      <w:r w:rsidRPr="00A03B67">
        <w:t>ubmission</w:t>
      </w:r>
      <w:r w:rsidR="00E0020B" w:rsidRPr="00A03B67">
        <w:t xml:space="preserve">, </w:t>
      </w:r>
      <w:r w:rsidRPr="00A03B67">
        <w:t>93.</w:t>
      </w:r>
    </w:p>
  </w:footnote>
  <w:footnote w:id="383">
    <w:p w14:paraId="3DF316F6" w14:textId="2940FACF" w:rsidR="00173F8E" w:rsidRPr="00A03B67" w:rsidRDefault="00173F8E" w:rsidP="00173F8E">
      <w:pPr>
        <w:pStyle w:val="FootnoteText"/>
      </w:pPr>
      <w:r w:rsidRPr="00A03B67">
        <w:rPr>
          <w:rStyle w:val="FootnoteReference"/>
        </w:rPr>
        <w:footnoteRef/>
      </w:r>
      <w:r w:rsidRPr="00A03B67">
        <w:t xml:space="preserve"> UWU </w:t>
      </w:r>
      <w:r w:rsidR="00E0020B" w:rsidRPr="00A03B67">
        <w:t>s</w:t>
      </w:r>
      <w:r w:rsidRPr="00A03B67">
        <w:t>ubmission</w:t>
      </w:r>
      <w:r w:rsidR="00E0020B" w:rsidRPr="00A03B67">
        <w:t>,</w:t>
      </w:r>
      <w:r w:rsidRPr="00A03B67">
        <w:t xml:space="preserve"> 38</w:t>
      </w:r>
    </w:p>
  </w:footnote>
  <w:footnote w:id="384">
    <w:p w14:paraId="31C49F7A" w14:textId="7C5B42D2" w:rsidR="00173F8E" w:rsidRPr="00A03B67" w:rsidRDefault="00173F8E" w:rsidP="00173F8E">
      <w:pPr>
        <w:pStyle w:val="FootnoteText"/>
      </w:pPr>
      <w:r w:rsidRPr="00A03B67">
        <w:rPr>
          <w:rStyle w:val="FootnoteReference"/>
        </w:rPr>
        <w:footnoteRef/>
      </w:r>
      <w:r w:rsidRPr="00A03B67">
        <w:t xml:space="preserve"> BCA </w:t>
      </w:r>
      <w:r w:rsidR="00E0020B" w:rsidRPr="00A03B67">
        <w:t>s</w:t>
      </w:r>
      <w:r w:rsidRPr="00A03B67">
        <w:t>ubmission</w:t>
      </w:r>
      <w:r w:rsidR="00E0020B" w:rsidRPr="00A03B67">
        <w:t>,</w:t>
      </w:r>
      <w:r w:rsidRPr="00A03B67">
        <w:t xml:space="preserve"> 11.</w:t>
      </w:r>
    </w:p>
  </w:footnote>
  <w:footnote w:id="385">
    <w:p w14:paraId="5F26E96E" w14:textId="77F9A627" w:rsidR="00173F8E" w:rsidRPr="00A03B67" w:rsidRDefault="00173F8E" w:rsidP="00173F8E">
      <w:pPr>
        <w:pStyle w:val="FootnoteText"/>
      </w:pPr>
      <w:r w:rsidRPr="00A03B67">
        <w:rPr>
          <w:rStyle w:val="FootnoteReference"/>
        </w:rPr>
        <w:footnoteRef/>
      </w:r>
      <w:r w:rsidRPr="00A03B67">
        <w:t xml:space="preserve"> ARA </w:t>
      </w:r>
      <w:r w:rsidR="00E0020B" w:rsidRPr="00A03B67">
        <w:t>s</w:t>
      </w:r>
      <w:r w:rsidRPr="00A03B67">
        <w:t>ubmission</w:t>
      </w:r>
      <w:r w:rsidR="00E0020B" w:rsidRPr="00A03B67">
        <w:t>,</w:t>
      </w:r>
      <w:r w:rsidRPr="00A03B67">
        <w:t xml:space="preserve"> 9.</w:t>
      </w:r>
    </w:p>
  </w:footnote>
  <w:footnote w:id="386">
    <w:p w14:paraId="72D60031" w14:textId="79470699" w:rsidR="00173F8E" w:rsidRPr="00A03B67" w:rsidRDefault="00173F8E" w:rsidP="00173F8E">
      <w:pPr>
        <w:pStyle w:val="FootnoteText"/>
      </w:pPr>
      <w:r w:rsidRPr="00A03B67">
        <w:rPr>
          <w:rStyle w:val="FootnoteReference"/>
        </w:rPr>
        <w:footnoteRef/>
      </w:r>
      <w:r w:rsidRPr="00A03B67">
        <w:t xml:space="preserve"> MCA </w:t>
      </w:r>
      <w:r w:rsidR="00E0020B" w:rsidRPr="00A03B67">
        <w:t>s</w:t>
      </w:r>
      <w:r w:rsidRPr="00A03B67">
        <w:t>ubmission</w:t>
      </w:r>
      <w:r w:rsidR="00E0020B" w:rsidRPr="00A03B67">
        <w:t>,</w:t>
      </w:r>
      <w:r w:rsidRPr="00A03B67">
        <w:t xml:space="preserve"> 6.</w:t>
      </w:r>
    </w:p>
  </w:footnote>
  <w:footnote w:id="387">
    <w:p w14:paraId="16D252D6" w14:textId="44EBD70C" w:rsidR="00173F8E" w:rsidRPr="00A03B67" w:rsidRDefault="00173F8E" w:rsidP="00173F8E">
      <w:pPr>
        <w:pStyle w:val="FootnoteText"/>
      </w:pPr>
      <w:r w:rsidRPr="00A03B67">
        <w:rPr>
          <w:rStyle w:val="FootnoteReference"/>
        </w:rPr>
        <w:footnoteRef/>
      </w:r>
      <w:r w:rsidRPr="00A03B67">
        <w:t xml:space="preserve"> ACCI </w:t>
      </w:r>
      <w:r w:rsidR="00E0020B" w:rsidRPr="00A03B67">
        <w:t>s</w:t>
      </w:r>
      <w:r w:rsidRPr="00A03B67">
        <w:t>ubmission</w:t>
      </w:r>
      <w:r w:rsidR="00E0020B" w:rsidRPr="00A03B67">
        <w:t xml:space="preserve">, </w:t>
      </w:r>
      <w:r w:rsidRPr="00A03B67">
        <w:t>44.</w:t>
      </w:r>
    </w:p>
  </w:footnote>
  <w:footnote w:id="388">
    <w:p w14:paraId="1DC0991C" w14:textId="6861826D" w:rsidR="00173F8E" w:rsidRPr="00A03B67" w:rsidRDefault="00173F8E" w:rsidP="00173F8E">
      <w:pPr>
        <w:pStyle w:val="FootnoteText"/>
      </w:pPr>
      <w:r w:rsidRPr="00A03B67">
        <w:rPr>
          <w:rStyle w:val="FootnoteReference"/>
        </w:rPr>
        <w:footnoteRef/>
      </w:r>
      <w:r w:rsidRPr="00A03B67">
        <w:t xml:space="preserve"> </w:t>
      </w:r>
      <w:r w:rsidR="00E0020B" w:rsidRPr="00A03B67">
        <w:t xml:space="preserve">R </w:t>
      </w:r>
      <w:r w:rsidRPr="00A03B67">
        <w:t xml:space="preserve">Cooper </w:t>
      </w:r>
      <w:r w:rsidR="00E0020B" w:rsidRPr="00A03B67">
        <w:t>s</w:t>
      </w:r>
      <w:r w:rsidRPr="00A03B67">
        <w:t>ubmission</w:t>
      </w:r>
      <w:r w:rsidR="00E0020B" w:rsidRPr="00A03B67">
        <w:t xml:space="preserve">, </w:t>
      </w:r>
      <w:r w:rsidRPr="00A03B67">
        <w:t>2.</w:t>
      </w:r>
    </w:p>
  </w:footnote>
  <w:footnote w:id="389">
    <w:p w14:paraId="00BE97F3" w14:textId="77777777" w:rsidR="00173F8E" w:rsidRPr="00A03B67" w:rsidRDefault="00173F8E" w:rsidP="00173F8E">
      <w:pPr>
        <w:pStyle w:val="FootnoteText"/>
      </w:pPr>
      <w:r w:rsidRPr="00A03B67">
        <w:rPr>
          <w:rStyle w:val="FootnoteReference"/>
        </w:rPr>
        <w:footnoteRef/>
      </w:r>
      <w:r w:rsidRPr="00A03B67">
        <w:t xml:space="preserve"> Revised Explanatory Memorandum, Fair Work Amendment (Secure Jobs, Better Pay) Bill 2023 xii.</w:t>
      </w:r>
    </w:p>
  </w:footnote>
  <w:footnote w:id="390">
    <w:p w14:paraId="2AD7F169" w14:textId="3EE65E0D" w:rsidR="00173F8E" w:rsidRPr="00A03B67" w:rsidRDefault="00173F8E" w:rsidP="00173F8E">
      <w:pPr>
        <w:pStyle w:val="FootnoteText"/>
      </w:pPr>
      <w:r w:rsidRPr="00A03B67">
        <w:rPr>
          <w:rStyle w:val="FootnoteReference"/>
        </w:rPr>
        <w:footnoteRef/>
      </w:r>
      <w:r w:rsidRPr="00A03B67">
        <w:t xml:space="preserve"> </w:t>
      </w:r>
      <w:r w:rsidRPr="00A03B67">
        <w:rPr>
          <w:i/>
        </w:rPr>
        <w:t>Fair Work Act 2009</w:t>
      </w:r>
      <w:r w:rsidRPr="00A03B67">
        <w:t xml:space="preserve"> (Cth) s 247 (6 December 2022), later amended by </w:t>
      </w:r>
      <w:r w:rsidRPr="00A03B67">
        <w:rPr>
          <w:i/>
        </w:rPr>
        <w:t>Fair Work Legislation Amendment (Secure Jobs, Better Pay) Act 2022</w:t>
      </w:r>
      <w:r w:rsidR="00E0020B" w:rsidRPr="00A03B67">
        <w:rPr>
          <w:i/>
        </w:rPr>
        <w:t>.</w:t>
      </w:r>
    </w:p>
  </w:footnote>
  <w:footnote w:id="391">
    <w:p w14:paraId="39552276" w14:textId="26B2E8AC" w:rsidR="00173F8E" w:rsidRPr="00A03B67" w:rsidRDefault="00173F8E" w:rsidP="00173F8E">
      <w:pPr>
        <w:pStyle w:val="FootnoteText"/>
      </w:pPr>
      <w:r w:rsidRPr="00A03B67">
        <w:rPr>
          <w:rStyle w:val="FootnoteReference"/>
        </w:rPr>
        <w:footnoteRef/>
      </w:r>
      <w:r w:rsidRPr="00A03B67">
        <w:t xml:space="preserve"> Revised Explanatory Memorandum, Fair Work Amendment (Secure Jobs, Better Pay) Bill 2023 [1006] 173.</w:t>
      </w:r>
    </w:p>
  </w:footnote>
  <w:footnote w:id="392">
    <w:p w14:paraId="1217DBA1" w14:textId="77777777" w:rsidR="00173F8E" w:rsidRPr="00A03B67" w:rsidRDefault="00173F8E" w:rsidP="00173F8E">
      <w:pPr>
        <w:pStyle w:val="FootnoteText"/>
      </w:pPr>
      <w:r w:rsidRPr="00A03B67">
        <w:rPr>
          <w:rStyle w:val="FootnoteReference"/>
        </w:rPr>
        <w:footnoteRef/>
      </w:r>
      <w:r w:rsidRPr="00A03B67">
        <w:t xml:space="preserve"> </w:t>
      </w:r>
      <w:r w:rsidRPr="00A03B67">
        <w:rPr>
          <w:i/>
        </w:rPr>
        <w:t>Fair Work Act</w:t>
      </w:r>
      <w:r w:rsidRPr="00A03B67">
        <w:rPr>
          <w:i/>
          <w:iCs/>
        </w:rPr>
        <w:t xml:space="preserve"> 2009</w:t>
      </w:r>
      <w:r w:rsidRPr="00A03B67">
        <w:t xml:space="preserve"> (Cth) s 248.</w:t>
      </w:r>
    </w:p>
  </w:footnote>
  <w:footnote w:id="393">
    <w:p w14:paraId="385167AF" w14:textId="3F8A0979"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216DB.</w:t>
      </w:r>
    </w:p>
  </w:footnote>
  <w:footnote w:id="394">
    <w:p w14:paraId="26038742" w14:textId="2D9A4944"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216DC.</w:t>
      </w:r>
    </w:p>
  </w:footnote>
  <w:footnote w:id="395">
    <w:p w14:paraId="7068AAEB" w14:textId="7D215330"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Fair Work Act 2009 </w:t>
      </w:r>
      <w:r w:rsidRPr="00A03B67">
        <w:t>(Cth) ss 172(3), 172(3A), 172(5A)</w:t>
      </w:r>
      <w:r w:rsidR="00E0020B" w:rsidRPr="00A03B67">
        <w:t>.</w:t>
      </w:r>
      <w:r w:rsidRPr="00A03B67">
        <w:t xml:space="preserve"> </w:t>
      </w:r>
    </w:p>
  </w:footnote>
  <w:footnote w:id="396">
    <w:p w14:paraId="7A71DF32" w14:textId="77777777" w:rsidR="00173F8E" w:rsidRPr="00A03B67" w:rsidRDefault="00173F8E" w:rsidP="00173F8E">
      <w:pPr>
        <w:pStyle w:val="FootnoteText"/>
        <w:spacing w:line="276" w:lineRule="auto"/>
      </w:pPr>
      <w:r w:rsidRPr="00A03B67">
        <w:rPr>
          <w:rStyle w:val="FootnoteReference"/>
        </w:rPr>
        <w:footnoteRef/>
      </w:r>
      <w:r w:rsidRPr="00A03B67">
        <w:t xml:space="preserve"> </w:t>
      </w:r>
      <w:r w:rsidRPr="00A03B67">
        <w:rPr>
          <w:i/>
        </w:rPr>
        <w:t>Fair Work Act</w:t>
      </w:r>
      <w:r w:rsidRPr="00A03B67">
        <w:rPr>
          <w:i/>
          <w:iCs/>
        </w:rPr>
        <w:t xml:space="preserve"> 2009</w:t>
      </w:r>
      <w:r w:rsidRPr="00A03B67">
        <w:t xml:space="preserve"> (Cth) ss 58(4)-58(5).</w:t>
      </w:r>
    </w:p>
  </w:footnote>
  <w:footnote w:id="397">
    <w:p w14:paraId="7D8C7BAB" w14:textId="24AFC2DD" w:rsidR="00173F8E" w:rsidRPr="00A03B67" w:rsidRDefault="00173F8E" w:rsidP="00173F8E">
      <w:pPr>
        <w:pStyle w:val="FootnoteText"/>
        <w:spacing w:line="276" w:lineRule="auto"/>
      </w:pPr>
      <w:r w:rsidRPr="00A03B67">
        <w:rPr>
          <w:rStyle w:val="FootnoteReference"/>
        </w:rPr>
        <w:footnoteRef/>
      </w:r>
      <w:r w:rsidR="00E0020B" w:rsidRPr="00A03B67">
        <w:rPr>
          <w:i/>
          <w:iCs/>
        </w:rPr>
        <w:t xml:space="preserve"> </w:t>
      </w:r>
      <w:r w:rsidRPr="00A03B67">
        <w:rPr>
          <w:i/>
          <w:iCs/>
        </w:rPr>
        <w:t>Fair Work Act 2009</w:t>
      </w:r>
      <w:r w:rsidRPr="00A03B67">
        <w:t xml:space="preserve"> (Cth) ss 193(1)(b),193(1A).</w:t>
      </w:r>
    </w:p>
  </w:footnote>
  <w:footnote w:id="398">
    <w:p w14:paraId="11714EBA" w14:textId="6A468F44" w:rsidR="00173F8E" w:rsidRPr="00A03B67" w:rsidRDefault="00173F8E" w:rsidP="00173F8E">
      <w:pPr>
        <w:pStyle w:val="FootnoteText"/>
      </w:pPr>
      <w:r w:rsidRPr="00A03B67">
        <w:rPr>
          <w:rStyle w:val="FootnoteReference"/>
        </w:rPr>
        <w:footnoteRef/>
      </w:r>
      <w:r w:rsidRPr="00A03B67">
        <w:t xml:space="preserve"> Regulat</w:t>
      </w:r>
      <w:r w:rsidR="00846EE8" w:rsidRPr="00A03B67">
        <w:t>ion</w:t>
      </w:r>
      <w:r w:rsidRPr="00A03B67">
        <w:t xml:space="preserve"> Impact Statement, Revised Explanatory Memorandum, Fair Work Legislation Amendment (Secure Jobs, Better Pay) Bill 2022</w:t>
      </w:r>
      <w:r w:rsidR="00E0020B" w:rsidRPr="00A03B67">
        <w:t xml:space="preserve"> </w:t>
      </w:r>
      <w:r w:rsidRPr="00A03B67">
        <w:t>16.</w:t>
      </w:r>
    </w:p>
  </w:footnote>
  <w:footnote w:id="399">
    <w:p w14:paraId="42E5F5EF" w14:textId="12F9752C" w:rsidR="00173F8E" w:rsidRPr="00A03B67" w:rsidRDefault="00173F8E" w:rsidP="00173F8E">
      <w:pPr>
        <w:pStyle w:val="FootnoteText"/>
      </w:pPr>
      <w:r w:rsidRPr="00A03B67">
        <w:rPr>
          <w:rStyle w:val="FootnoteReference"/>
        </w:rPr>
        <w:footnoteRef/>
      </w:r>
      <w:r w:rsidRPr="00A03B67">
        <w:t xml:space="preserve"> </w:t>
      </w:r>
      <w:r w:rsidR="00C025A1" w:rsidRPr="00A03B67">
        <w:t xml:space="preserve">Commonwealth, </w:t>
      </w:r>
      <w:r w:rsidR="00C025A1" w:rsidRPr="00A03B67">
        <w:rPr>
          <w:i/>
          <w:iCs/>
        </w:rPr>
        <w:t>Parliamentary Debates</w:t>
      </w:r>
      <w:r w:rsidR="00C025A1" w:rsidRPr="00A03B67">
        <w:t>, House of Representatives, 27 October 2022, 2183 (Tony Burke, Minister for Employment and Workplace Relations).</w:t>
      </w:r>
    </w:p>
  </w:footnote>
  <w:footnote w:id="400">
    <w:p w14:paraId="0B18ACCA" w14:textId="2FF31FA3" w:rsidR="00173F8E" w:rsidRPr="00A03B67" w:rsidRDefault="00173F8E" w:rsidP="00173F8E">
      <w:pPr>
        <w:pStyle w:val="FootnoteText"/>
      </w:pPr>
      <w:r w:rsidRPr="00A03B67">
        <w:rPr>
          <w:rStyle w:val="FootnoteReference"/>
        </w:rPr>
        <w:footnoteRef/>
      </w:r>
      <w:r w:rsidR="00E0020B" w:rsidRPr="00A03B67">
        <w:t xml:space="preserve"> </w:t>
      </w:r>
      <w:r w:rsidR="00975159" w:rsidRPr="00A03B67">
        <w:t xml:space="preserve">Regulation </w:t>
      </w:r>
      <w:r w:rsidRPr="00A03B67">
        <w:t>Impact Statemen</w:t>
      </w:r>
      <w:r w:rsidR="00E0020B" w:rsidRPr="00A03B67">
        <w:t>t</w:t>
      </w:r>
      <w:r w:rsidRPr="00A03B67">
        <w:t>, Revised Explanatory Memorandum, Fair Work Legislation Amendment (Secure Jobs, Better Pay) Bill 2022 16.</w:t>
      </w:r>
    </w:p>
  </w:footnote>
  <w:footnote w:id="401">
    <w:p w14:paraId="4CA9887D" w14:textId="1D117454" w:rsidR="00173F8E" w:rsidRPr="00A03B67" w:rsidRDefault="00173F8E" w:rsidP="00173F8E">
      <w:pPr>
        <w:pStyle w:val="FootnoteText"/>
      </w:pPr>
      <w:r w:rsidRPr="00A03B67">
        <w:rPr>
          <w:rStyle w:val="FootnoteReference"/>
        </w:rPr>
        <w:footnoteRef/>
      </w:r>
      <w:r w:rsidRPr="00A03B67">
        <w:t xml:space="preserve"> Regulat</w:t>
      </w:r>
      <w:r w:rsidR="005C0452" w:rsidRPr="00A03B67">
        <w:t>ion</w:t>
      </w:r>
      <w:r w:rsidRPr="00A03B67">
        <w:t xml:space="preserve"> Impact Statement, Revised Explanatory Memorandum, Fair Work Legislation Amendment (Secure Jobs, Better Pay) Bill 2022 16. </w:t>
      </w:r>
    </w:p>
  </w:footnote>
  <w:footnote w:id="402">
    <w:p w14:paraId="08D0023F" w14:textId="01D6C4CC" w:rsidR="002A0E63" w:rsidRPr="00A03B67" w:rsidRDefault="002A0E63" w:rsidP="002A0E63">
      <w:pPr>
        <w:pStyle w:val="FootnoteText"/>
      </w:pPr>
      <w:r w:rsidRPr="00A03B67">
        <w:rPr>
          <w:rStyle w:val="FootnoteReference"/>
        </w:rPr>
        <w:footnoteRef/>
      </w:r>
      <w:r w:rsidRPr="00A03B67">
        <w:t xml:space="preserve"> Commonwealth, </w:t>
      </w:r>
      <w:r w:rsidRPr="00A03B67">
        <w:rPr>
          <w:i/>
          <w:iCs/>
        </w:rPr>
        <w:t>Parliamentary Debates</w:t>
      </w:r>
      <w:r w:rsidRPr="00A03B67">
        <w:t xml:space="preserve">, House of Representatives, </w:t>
      </w:r>
      <w:r w:rsidR="00E0020B" w:rsidRPr="00A03B67">
        <w:t xml:space="preserve">27 October 2022, 2181 </w:t>
      </w:r>
      <w:r w:rsidRPr="00A03B67">
        <w:t xml:space="preserve">(Tony Burke, Minister for Employment and Workplace Relations). </w:t>
      </w:r>
    </w:p>
  </w:footnote>
  <w:footnote w:id="403">
    <w:p w14:paraId="3A367906" w14:textId="56166406" w:rsidR="00173F8E" w:rsidRPr="00A03B67" w:rsidRDefault="00173F8E" w:rsidP="00173F8E">
      <w:pPr>
        <w:pStyle w:val="FootnoteText"/>
      </w:pPr>
      <w:r w:rsidRPr="00A03B67">
        <w:rPr>
          <w:rStyle w:val="FootnoteReference"/>
        </w:rPr>
        <w:footnoteRef/>
      </w:r>
      <w:r w:rsidRPr="00A03B67">
        <w:t xml:space="preserve"> </w:t>
      </w:r>
      <w:r w:rsidRPr="00A03B67">
        <w:rPr>
          <w:i/>
          <w:iCs/>
        </w:rPr>
        <w:t>Nurses and Midwives (Victorian Public Sector) Single Interest Employer Agreement 2024</w:t>
      </w:r>
      <w:r w:rsidR="00E0020B" w:rsidRPr="00A03B67">
        <w:rPr>
          <w:rFonts w:ascii="Symbol" w:eastAsia="Symbol" w:hAnsi="Symbol" w:cs="Symbol"/>
          <w:i/>
          <w:iCs/>
        </w:rPr>
        <w:t>-</w:t>
      </w:r>
      <w:r w:rsidRPr="00A03B67">
        <w:rPr>
          <w:i/>
          <w:iCs/>
        </w:rPr>
        <w:t>2028</w:t>
      </w:r>
      <w:r w:rsidR="00E0020B" w:rsidRPr="00A03B67">
        <w:t>;</w:t>
      </w:r>
      <w:r w:rsidRPr="00A03B67">
        <w:rPr>
          <w:i/>
          <w:iCs/>
        </w:rPr>
        <w:t xml:space="preserve">  AMWU On-Site Construction HVAC Workers NSW Enterprise Agreement 2023</w:t>
      </w:r>
      <w:r w:rsidR="00E0020B" w:rsidRPr="00A03B67">
        <w:rPr>
          <w:rFonts w:ascii="Symbol" w:eastAsia="Symbol" w:hAnsi="Symbol" w:cs="Symbol"/>
          <w:i/>
          <w:iCs/>
        </w:rPr>
        <w:t>-</w:t>
      </w:r>
      <w:r w:rsidRPr="00A03B67">
        <w:rPr>
          <w:i/>
          <w:iCs/>
        </w:rPr>
        <w:t>2027.</w:t>
      </w:r>
    </w:p>
  </w:footnote>
  <w:footnote w:id="404">
    <w:p w14:paraId="56CDA522" w14:textId="77777777" w:rsidR="00173F8E" w:rsidRPr="00A03B67" w:rsidRDefault="00173F8E" w:rsidP="00173F8E">
      <w:pPr>
        <w:pStyle w:val="FootnoteText"/>
      </w:pPr>
      <w:r w:rsidRPr="00A03B67">
        <w:rPr>
          <w:rStyle w:val="FootnoteReference"/>
        </w:rPr>
        <w:footnoteRef/>
      </w:r>
      <w:r w:rsidRPr="00A03B67">
        <w:t xml:space="preserve"> </w:t>
      </w:r>
      <w:hyperlink r:id="rId10" w:history="1">
        <w:r w:rsidRPr="00A03B67">
          <w:rPr>
            <w:rStyle w:val="Hyperlink"/>
          </w:rPr>
          <w:t>[2024] FWCA 4601</w:t>
        </w:r>
      </w:hyperlink>
      <w:r w:rsidRPr="00A03B67">
        <w:t>.</w:t>
      </w:r>
    </w:p>
  </w:footnote>
  <w:footnote w:id="405">
    <w:p w14:paraId="718A41B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[2023] FWCFB 177</w:t>
      </w:r>
      <w:r w:rsidRPr="00A03B67">
        <w:rPr>
          <w:b/>
          <w:i/>
        </w:rPr>
        <w:t>.</w:t>
      </w:r>
    </w:p>
  </w:footnote>
  <w:footnote w:id="406">
    <w:p w14:paraId="6007C08D" w14:textId="0DD99528"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 xml:space="preserve">[2023] FWCFB 177 [30]: </w:t>
      </w:r>
      <w:r w:rsidR="003F62D1" w:rsidRPr="00A03B67">
        <w:t>t</w:t>
      </w:r>
      <w:r w:rsidRPr="00A03B67">
        <w:t>he schools operate in Western Australia.</w:t>
      </w:r>
    </w:p>
  </w:footnote>
  <w:footnote w:id="407">
    <w:p w14:paraId="2472CE8C" w14:textId="68E54E4F"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[2023] FWCFB 177 [30]:</w:t>
      </w:r>
      <w:r w:rsidR="003F62D1" w:rsidRPr="00A03B67">
        <w:t xml:space="preserve"> t</w:t>
      </w:r>
      <w:r w:rsidRPr="00A03B67">
        <w:t xml:space="preserve">he operators of the schools are registered under the </w:t>
      </w:r>
      <w:r w:rsidRPr="00A03B67">
        <w:rPr>
          <w:i/>
          <w:iCs/>
        </w:rPr>
        <w:t xml:space="preserve">School Education Act 1999 </w:t>
      </w:r>
      <w:r w:rsidRPr="00A03B67">
        <w:t xml:space="preserve">(WA).  </w:t>
      </w:r>
    </w:p>
  </w:footnote>
  <w:footnote w:id="408">
    <w:p w14:paraId="636A84DC" w14:textId="7A155D0C"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 xml:space="preserve">[2023] FWCFB 177 [30]: </w:t>
      </w:r>
      <w:r w:rsidR="003F62D1" w:rsidRPr="00A03B67">
        <w:t>t</w:t>
      </w:r>
      <w:r w:rsidRPr="00A03B67">
        <w:t xml:space="preserve">he employer of one or more employees to whom the </w:t>
      </w:r>
      <w:r w:rsidRPr="00A03B67">
        <w:rPr>
          <w:i/>
          <w:iCs/>
        </w:rPr>
        <w:t>Education Services Schools) General Staff Award 2020</w:t>
      </w:r>
      <w:r w:rsidRPr="00A03B67">
        <w:t xml:space="preserve"> applies. </w:t>
      </w:r>
    </w:p>
  </w:footnote>
  <w:footnote w:id="409">
    <w:p w14:paraId="0877C803" w14:textId="37720669" w:rsidR="00173F8E" w:rsidRPr="00A03B67" w:rsidRDefault="00173F8E" w:rsidP="00173F8E">
      <w:pPr>
        <w:pStyle w:val="FootnoteText"/>
      </w:pPr>
      <w:r w:rsidRPr="00A03B67">
        <w:rPr>
          <w:rStyle w:val="FootnoteReference"/>
        </w:rPr>
        <w:footnoteRef/>
      </w:r>
      <w:r w:rsidRPr="00A03B67">
        <w:t xml:space="preserve"> Independent Education Union of Australia Order </w:t>
      </w:r>
      <w:r w:rsidRPr="00E16801">
        <w:t>PR778679</w:t>
      </w:r>
      <w:r w:rsidRPr="00A03B67">
        <w:t>, 29 August 2024.</w:t>
      </w:r>
    </w:p>
  </w:footnote>
  <w:footnote w:id="410">
    <w:p w14:paraId="7640D7A1" w14:textId="209F8202"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Association of Professional Engineers, Scientists and Managers Australia v Great Southern Energy Pty Ltd </w:t>
      </w:r>
      <w:r w:rsidR="003F62D1" w:rsidRPr="00A03B67">
        <w:rPr>
          <w:i/>
        </w:rPr>
        <w:t xml:space="preserve">t/as </w:t>
      </w:r>
      <w:r w:rsidRPr="00A03B67">
        <w:rPr>
          <w:i/>
        </w:rPr>
        <w:t>Delta Coal, Whitehaven Coal Mining Ltd, Peabody Energy Australia Coal Pty Ltd, Ulan Coal Mines Ltd</w:t>
      </w:r>
      <w:r w:rsidRPr="00A03B67">
        <w:t xml:space="preserve"> [2024] FWCFB 253.</w:t>
      </w:r>
    </w:p>
  </w:footnote>
  <w:footnote w:id="411">
    <w:p w14:paraId="309D32B3" w14:textId="224B48E4"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Association of Professional Engineers, Scientists and Managers Australia v Great Southern Energy Pty Ltd </w:t>
      </w:r>
      <w:r w:rsidR="003F62D1" w:rsidRPr="00A03B67">
        <w:rPr>
          <w:i/>
        </w:rPr>
        <w:t xml:space="preserve">t/as </w:t>
      </w:r>
      <w:r w:rsidRPr="00A03B67">
        <w:rPr>
          <w:i/>
        </w:rPr>
        <w:t>Delta Coal, Whitehaven Coal Mining Ltd, Peabody Energy Australia Coal Pty Ltd, Ulan Coal Mines Ltd</w:t>
      </w:r>
      <w:r w:rsidRPr="00A03B67">
        <w:t xml:space="preserve"> [2024] FWCFB 253 [671].</w:t>
      </w:r>
    </w:p>
  </w:footnote>
  <w:footnote w:id="412">
    <w:p w14:paraId="19AED692" w14:textId="3D381537"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Association of Professional Engineers, Scientists and Managers Australia v Great Southern Energy Pty Ltd </w:t>
      </w:r>
      <w:r w:rsidR="003F62D1" w:rsidRPr="00A03B67">
        <w:rPr>
          <w:i/>
        </w:rPr>
        <w:t xml:space="preserve">t/as </w:t>
      </w:r>
      <w:r w:rsidRPr="00A03B67">
        <w:rPr>
          <w:i/>
        </w:rPr>
        <w:t>Delta Coal, Whitehaven Coal Mining Ltd, Peabody Energy Australia Coal Pty Ltd, Ulan Coal Mines Ltd</w:t>
      </w:r>
      <w:r w:rsidRPr="00A03B67">
        <w:t xml:space="preserve"> [2024] FWCFB 253 [12].</w:t>
      </w:r>
    </w:p>
  </w:footnote>
  <w:footnote w:id="413">
    <w:p w14:paraId="636A54D6" w14:textId="2B92B646"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Association of Professional Engineers, Scientists and Managers Australia v Great Southern Energy Pty Ltd </w:t>
      </w:r>
      <w:r w:rsidR="003F62D1" w:rsidRPr="00A03B67">
        <w:rPr>
          <w:i/>
        </w:rPr>
        <w:t xml:space="preserve">t/as </w:t>
      </w:r>
      <w:r w:rsidRPr="00A03B67">
        <w:rPr>
          <w:i/>
        </w:rPr>
        <w:t>Delta Coal, Whitehaven Coal Mining Ltd, Peabody Energy Australia Coal Pty Ltd, Ulan Coal Mines Ltd</w:t>
      </w:r>
      <w:r w:rsidRPr="00A03B67">
        <w:t xml:space="preserve"> [2024] FWCFB 253 [59].</w:t>
      </w:r>
    </w:p>
  </w:footnote>
  <w:footnote w:id="414">
    <w:p w14:paraId="01457F9F" w14:textId="3667665C"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Association of Professional Engineers, Scientists and Managers Australia v Great Southern Energy Pty Ltd </w:t>
      </w:r>
      <w:r w:rsidR="003F62D1" w:rsidRPr="00A03B67">
        <w:rPr>
          <w:i/>
        </w:rPr>
        <w:t xml:space="preserve">t/as </w:t>
      </w:r>
      <w:r w:rsidRPr="00A03B67">
        <w:rPr>
          <w:i/>
        </w:rPr>
        <w:t>Delta Coal, Whitehaven Coal Mining Ltd, Peabody Energy Australia Coal Pty Ltd, Ulan Coal Mines Ltd</w:t>
      </w:r>
      <w:r w:rsidRPr="00A03B67">
        <w:t xml:space="preserve"> [2024] FWCFB 253 [492].</w:t>
      </w:r>
    </w:p>
  </w:footnote>
  <w:footnote w:id="415">
    <w:p w14:paraId="623D9D20" w14:textId="22D42A9F" w:rsidR="00173F8E" w:rsidRPr="00A03B67" w:rsidRDefault="00173F8E" w:rsidP="00173F8E">
      <w:pPr>
        <w:pStyle w:val="FootnoteText"/>
      </w:pPr>
      <w:r w:rsidRPr="00A03B67">
        <w:rPr>
          <w:rStyle w:val="FootnoteReference"/>
        </w:rPr>
        <w:footnoteRef/>
      </w:r>
      <w:r w:rsidRPr="00A03B67">
        <w:t xml:space="preserve"> </w:t>
      </w:r>
      <w:r w:rsidRPr="00A03B67">
        <w:rPr>
          <w:i/>
          <w:iCs/>
        </w:rPr>
        <w:t>Peabody Energy Australia Coal Pty Ltd v Association of Professional Engineers, Scientists and Managers, Australia &amp; Ors</w:t>
      </w:r>
      <w:r w:rsidRPr="00A03B67">
        <w:t>, 20 September 2024 [NSD1320/2024]</w:t>
      </w:r>
      <w:r w:rsidR="003F62D1" w:rsidRPr="00A03B67">
        <w:t>.</w:t>
      </w:r>
    </w:p>
  </w:footnote>
  <w:footnote w:id="416">
    <w:p w14:paraId="70C1AE76" w14:textId="0D6240D0" w:rsidR="00173F8E" w:rsidRPr="00A03B67" w:rsidRDefault="00173F8E" w:rsidP="00173F8E">
      <w:pPr>
        <w:pStyle w:val="FootnoteText"/>
      </w:pPr>
      <w:r w:rsidRPr="00A03B67">
        <w:rPr>
          <w:rStyle w:val="FootnoteReference"/>
        </w:rPr>
        <w:footnoteRef/>
      </w:r>
      <w:r w:rsidRPr="00A03B67">
        <w:t xml:space="preserve"> </w:t>
      </w:r>
      <w:r w:rsidRPr="00A03B67">
        <w:rPr>
          <w:i/>
        </w:rPr>
        <w:t>Automotive, Food, Metals, Engineering, Printing and Kindred Industries Union known as the Australian Manufacturing Workers’ Union (AMWU)</w:t>
      </w:r>
      <w:r w:rsidRPr="00A03B67">
        <w:t xml:space="preserve"> [2024] FWC 395 [17].</w:t>
      </w:r>
    </w:p>
  </w:footnote>
  <w:footnote w:id="417">
    <w:p w14:paraId="514EE85E" w14:textId="47126499" w:rsidR="00173F8E" w:rsidRPr="00A03B67" w:rsidRDefault="00173F8E" w:rsidP="00173F8E">
      <w:pPr>
        <w:pStyle w:val="FootnoteText"/>
        <w:rPr>
          <w:i/>
          <w:iCs/>
        </w:rPr>
      </w:pPr>
      <w:r w:rsidRPr="00A03B67">
        <w:rPr>
          <w:rStyle w:val="FootnoteReference"/>
        </w:rPr>
        <w:footnoteRef/>
      </w:r>
      <w:r w:rsidRPr="00A03B67">
        <w:t xml:space="preserve"> </w:t>
      </w:r>
      <w:r w:rsidRPr="00A03B67">
        <w:rPr>
          <w:i/>
        </w:rPr>
        <w:t>Automotive, Food, Metals, Engineering, Printing and Kindred Industries Union known as the Australian Manufacturing Workers’ Union (AMWU)</w:t>
      </w:r>
      <w:r w:rsidRPr="00A03B67">
        <w:t xml:space="preserve"> [2024] FWC 395 [1] and [49].</w:t>
      </w:r>
    </w:p>
  </w:footnote>
  <w:footnote w:id="418">
    <w:p w14:paraId="5B352F98" w14:textId="46ED2D3F"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Automotive, Food, Metals, Engineering, Printing and Kindred Industries Union known as the Australian Manufacturing Workers’ Union (AMWU) </w:t>
      </w:r>
      <w:r w:rsidRPr="00A03B67">
        <w:t>[2024] FWC 395 [48]</w:t>
      </w:r>
      <w:r w:rsidR="003F62D1" w:rsidRPr="00A03B67">
        <w:t>.</w:t>
      </w:r>
    </w:p>
  </w:footnote>
  <w:footnote w:id="419">
    <w:p w14:paraId="226FC512" w14:textId="77777777" w:rsidR="00173F8E" w:rsidRPr="00A03B67" w:rsidRDefault="00173F8E" w:rsidP="00173F8E">
      <w:pPr>
        <w:pStyle w:val="FootnoteText"/>
      </w:pPr>
      <w:r w:rsidRPr="00A03B67">
        <w:rPr>
          <w:rStyle w:val="FootnoteReference"/>
        </w:rPr>
        <w:footnoteRef/>
      </w:r>
      <w:r w:rsidRPr="00A03B67">
        <w:t xml:space="preserve"> </w:t>
      </w:r>
      <w:r w:rsidRPr="00A03B67">
        <w:rPr>
          <w:bCs/>
          <w:i/>
        </w:rPr>
        <w:t>Independent Education Union of Australia v Catholic Education Western Australia Ltd</w:t>
      </w:r>
      <w:r w:rsidRPr="00A03B67">
        <w:rPr>
          <w:bCs/>
        </w:rPr>
        <w:t xml:space="preserve"> [2023] FWCFB 177</w:t>
      </w:r>
      <w:r w:rsidRPr="00A03B67">
        <w:rPr>
          <w:rStyle w:val="Hyperlink"/>
          <w:bCs/>
          <w:u w:val="none"/>
        </w:rPr>
        <w:t>.</w:t>
      </w:r>
    </w:p>
  </w:footnote>
  <w:footnote w:id="420">
    <w:p w14:paraId="34E7F7C4" w14:textId="271E9CC3" w:rsidR="00173F8E" w:rsidRPr="00A03B67" w:rsidRDefault="00173F8E" w:rsidP="00173F8E">
      <w:pPr>
        <w:pStyle w:val="FootnoteText"/>
      </w:pPr>
      <w:r w:rsidRPr="00A03B67">
        <w:rPr>
          <w:rStyle w:val="FootnoteReference"/>
        </w:rPr>
        <w:footnoteRef/>
      </w:r>
      <w:r w:rsidRPr="00A03B67">
        <w:t xml:space="preserve"> </w:t>
      </w:r>
      <w:r w:rsidRPr="00A03B67">
        <w:rPr>
          <w:i/>
        </w:rPr>
        <w:t xml:space="preserve">Automotive, Food, Metals, Engineering, Printing and Kindred Industries Union known as the Australian Manufacturing Workers’ Union (AMWU) </w:t>
      </w:r>
      <w:r w:rsidRPr="00A03B67">
        <w:t>[2024] FWC 395 [34]</w:t>
      </w:r>
      <w:r w:rsidR="003F62D1" w:rsidRPr="00A03B67">
        <w:rPr>
          <w:rFonts w:ascii="Symbol" w:eastAsia="Symbol" w:hAnsi="Symbol" w:cs="Symbol"/>
        </w:rPr>
        <w:t>-</w:t>
      </w:r>
      <w:r w:rsidRPr="00A03B67">
        <w:t>[35].</w:t>
      </w:r>
    </w:p>
  </w:footnote>
  <w:footnote w:id="421">
    <w:p w14:paraId="4218E4D5" w14:textId="04F5B52B"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 xml:space="preserve">, </w:t>
      </w:r>
      <w:r w:rsidRPr="00A03B67">
        <w:t>24.</w:t>
      </w:r>
    </w:p>
  </w:footnote>
  <w:footnote w:id="422">
    <w:p w14:paraId="500F95EC" w14:textId="1D5A9199"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 xml:space="preserve">, </w:t>
      </w:r>
      <w:r w:rsidRPr="00A03B67">
        <w:t>95.</w:t>
      </w:r>
    </w:p>
  </w:footnote>
  <w:footnote w:id="423">
    <w:p w14:paraId="00F750B6" w14:textId="34A6E5D1"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 xml:space="preserve">, </w:t>
      </w:r>
      <w:r w:rsidRPr="00A03B67">
        <w:t>95</w:t>
      </w:r>
      <w:r w:rsidR="003F62D1" w:rsidRPr="00A03B67">
        <w:rPr>
          <w:rFonts w:ascii="Symbol" w:eastAsia="Symbol" w:hAnsi="Symbol" w:cs="Symbol"/>
        </w:rPr>
        <w:t>-</w:t>
      </w:r>
      <w:r w:rsidRPr="00A03B67">
        <w:t>96.</w:t>
      </w:r>
    </w:p>
  </w:footnote>
  <w:footnote w:id="424">
    <w:p w14:paraId="2ADFFEA8" w14:textId="34A24F94"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 xml:space="preserve">, </w:t>
      </w:r>
      <w:r w:rsidRPr="00A03B67">
        <w:t>95</w:t>
      </w:r>
      <w:r w:rsidR="003F62D1" w:rsidRPr="00A03B67">
        <w:rPr>
          <w:rFonts w:ascii="Symbol" w:eastAsia="Symbol" w:hAnsi="Symbol" w:cs="Symbol"/>
        </w:rPr>
        <w:t>-</w:t>
      </w:r>
      <w:r w:rsidRPr="00A03B67">
        <w:t>96.</w:t>
      </w:r>
    </w:p>
  </w:footnote>
  <w:footnote w:id="425">
    <w:p w14:paraId="6E3930C5" w14:textId="69E771AC" w:rsidR="00173F8E" w:rsidRPr="00A03B67" w:rsidRDefault="00173F8E" w:rsidP="00173F8E">
      <w:pPr>
        <w:pStyle w:val="FootnoteText"/>
      </w:pPr>
      <w:r w:rsidRPr="00A03B67">
        <w:rPr>
          <w:rStyle w:val="FootnoteReference"/>
        </w:rPr>
        <w:footnoteRef/>
      </w:r>
      <w:r w:rsidRPr="00A03B67">
        <w:t xml:space="preserve"> UWU </w:t>
      </w:r>
      <w:r w:rsidR="003F62D1" w:rsidRPr="00A03B67">
        <w:t>s</w:t>
      </w:r>
      <w:r w:rsidRPr="00A03B67">
        <w:t>ubmission</w:t>
      </w:r>
      <w:r w:rsidR="003F62D1" w:rsidRPr="00A03B67">
        <w:t xml:space="preserve">, </w:t>
      </w:r>
      <w:r w:rsidRPr="00A03B67">
        <w:t>40</w:t>
      </w:r>
      <w:r w:rsidR="003F62D1" w:rsidRPr="00A03B67">
        <w:rPr>
          <w:rFonts w:ascii="Symbol" w:eastAsia="Symbol" w:hAnsi="Symbol" w:cs="Symbol"/>
        </w:rPr>
        <w:t>-</w:t>
      </w:r>
      <w:r w:rsidRPr="00A03B67">
        <w:t>41.</w:t>
      </w:r>
    </w:p>
  </w:footnote>
  <w:footnote w:id="426">
    <w:p w14:paraId="2310F4AF" w14:textId="57BA5667"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 xml:space="preserve">, </w:t>
      </w:r>
      <w:r w:rsidRPr="00A03B67">
        <w:t>96.</w:t>
      </w:r>
    </w:p>
  </w:footnote>
  <w:footnote w:id="427">
    <w:p w14:paraId="5C87AA39" w14:textId="19939BBA" w:rsidR="00173F8E" w:rsidRPr="00A03B67" w:rsidRDefault="00173F8E" w:rsidP="00173F8E">
      <w:pPr>
        <w:pStyle w:val="FootnoteText"/>
      </w:pPr>
      <w:r w:rsidRPr="00A03B67">
        <w:rPr>
          <w:rStyle w:val="FootnoteReference"/>
        </w:rPr>
        <w:footnoteRef/>
      </w:r>
      <w:r w:rsidRPr="00A03B67">
        <w:t xml:space="preserve"> UWU </w:t>
      </w:r>
      <w:r w:rsidR="003F62D1" w:rsidRPr="00A03B67">
        <w:t>s</w:t>
      </w:r>
      <w:r w:rsidRPr="00A03B67">
        <w:t>ubmission</w:t>
      </w:r>
      <w:r w:rsidR="003F62D1" w:rsidRPr="00A03B67">
        <w:t xml:space="preserve">, </w:t>
      </w:r>
      <w:r w:rsidRPr="00A03B67">
        <w:t>40.</w:t>
      </w:r>
    </w:p>
  </w:footnote>
  <w:footnote w:id="428">
    <w:p w14:paraId="5B9A45F1" w14:textId="7484450F" w:rsidR="00173F8E" w:rsidRPr="00A03B67" w:rsidRDefault="00173F8E" w:rsidP="00173F8E">
      <w:pPr>
        <w:pStyle w:val="FootnoteText"/>
      </w:pPr>
      <w:r w:rsidRPr="00A03B67">
        <w:rPr>
          <w:rStyle w:val="FootnoteReference"/>
        </w:rPr>
        <w:footnoteRef/>
      </w:r>
      <w:r w:rsidRPr="00A03B67">
        <w:t xml:space="preserve"> IEU </w:t>
      </w:r>
      <w:r w:rsidR="003F62D1" w:rsidRPr="00A03B67">
        <w:t>s</w:t>
      </w:r>
      <w:r w:rsidRPr="00A03B67">
        <w:t>ubmission</w:t>
      </w:r>
      <w:r w:rsidR="003F62D1" w:rsidRPr="00A03B67">
        <w:t xml:space="preserve">, </w:t>
      </w:r>
      <w:r w:rsidRPr="00A03B67">
        <w:t>7.</w:t>
      </w:r>
    </w:p>
  </w:footnote>
  <w:footnote w:id="429">
    <w:p w14:paraId="487A0458" w14:textId="2B8E7CD9" w:rsidR="00173F8E" w:rsidRPr="00A03B67" w:rsidRDefault="00173F8E" w:rsidP="00173F8E">
      <w:pPr>
        <w:pStyle w:val="FootnoteText"/>
      </w:pPr>
      <w:r w:rsidRPr="00A03B67">
        <w:rPr>
          <w:rStyle w:val="FootnoteReference"/>
        </w:rPr>
        <w:footnoteRef/>
      </w:r>
      <w:r w:rsidRPr="00A03B67">
        <w:t xml:space="preserve"> IEU </w:t>
      </w:r>
      <w:r w:rsidR="003F62D1" w:rsidRPr="00A03B67">
        <w:t>s</w:t>
      </w:r>
      <w:r w:rsidRPr="00A03B67">
        <w:t>ubmission</w:t>
      </w:r>
      <w:r w:rsidR="003F62D1" w:rsidRPr="00A03B67">
        <w:t>,</w:t>
      </w:r>
      <w:r w:rsidRPr="00A03B67">
        <w:t xml:space="preserve"> 7.</w:t>
      </w:r>
    </w:p>
  </w:footnote>
  <w:footnote w:id="430">
    <w:p w14:paraId="0C057CFD" w14:textId="232427F2" w:rsidR="00173F8E" w:rsidRPr="00A03B67" w:rsidRDefault="00173F8E" w:rsidP="00173F8E">
      <w:pPr>
        <w:pStyle w:val="FootnoteText"/>
      </w:pPr>
      <w:r w:rsidRPr="00A03B67">
        <w:rPr>
          <w:rStyle w:val="FootnoteReference"/>
        </w:rPr>
        <w:footnoteRef/>
      </w:r>
      <w:r w:rsidRPr="00A03B67">
        <w:t xml:space="preserve"> IEU </w:t>
      </w:r>
      <w:r w:rsidR="003F62D1" w:rsidRPr="00A03B67">
        <w:t>s</w:t>
      </w:r>
      <w:r w:rsidRPr="00A03B67">
        <w:t>ubmission</w:t>
      </w:r>
      <w:r w:rsidR="003F62D1" w:rsidRPr="00A03B67">
        <w:t>,</w:t>
      </w:r>
      <w:r w:rsidRPr="00A03B67">
        <w:t xml:space="preserve"> 7.</w:t>
      </w:r>
    </w:p>
  </w:footnote>
  <w:footnote w:id="431">
    <w:p w14:paraId="4998A14B" w14:textId="7B86C879"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 xml:space="preserve">, </w:t>
      </w:r>
      <w:r w:rsidRPr="00A03B67">
        <w:t>2.</w:t>
      </w:r>
    </w:p>
  </w:footnote>
  <w:footnote w:id="432">
    <w:p w14:paraId="7F709A9A" w14:textId="267F069E" w:rsidR="00173F8E" w:rsidRPr="00A03B67" w:rsidRDefault="00173F8E" w:rsidP="00173F8E">
      <w:pPr>
        <w:pStyle w:val="FootnoteText"/>
      </w:pPr>
      <w:r w:rsidRPr="00A03B67">
        <w:rPr>
          <w:rStyle w:val="FootnoteReference"/>
        </w:rPr>
        <w:footnoteRef/>
      </w:r>
      <w:r w:rsidRPr="00A03B67">
        <w:t xml:space="preserve"> ACCI </w:t>
      </w:r>
      <w:r w:rsidR="003F62D1" w:rsidRPr="00A03B67">
        <w:t>s</w:t>
      </w:r>
      <w:r w:rsidRPr="00A03B67">
        <w:t>ubmission</w:t>
      </w:r>
      <w:r w:rsidR="003F62D1" w:rsidRPr="00A03B67">
        <w:t xml:space="preserve">, </w:t>
      </w:r>
      <w:r w:rsidRPr="00A03B67">
        <w:t xml:space="preserve">49. </w:t>
      </w:r>
    </w:p>
  </w:footnote>
  <w:footnote w:id="433">
    <w:p w14:paraId="1DE7F66A" w14:textId="16D61043" w:rsidR="00173F8E" w:rsidRPr="00A03B67" w:rsidRDefault="00173F8E" w:rsidP="00173F8E">
      <w:pPr>
        <w:pStyle w:val="FootnoteText"/>
      </w:pPr>
      <w:r w:rsidRPr="00A03B67">
        <w:rPr>
          <w:rStyle w:val="FootnoteReference"/>
        </w:rPr>
        <w:footnoteRef/>
      </w:r>
      <w:r w:rsidRPr="00A03B67">
        <w:t xml:space="preserve"> AREEA </w:t>
      </w:r>
      <w:r w:rsidR="003F62D1" w:rsidRPr="00A03B67">
        <w:t>s</w:t>
      </w:r>
      <w:r w:rsidRPr="00A03B67">
        <w:t>ubmission</w:t>
      </w:r>
      <w:r w:rsidR="003F62D1" w:rsidRPr="00A03B67">
        <w:t xml:space="preserve">, </w:t>
      </w:r>
      <w:r w:rsidRPr="00A03B67">
        <w:t xml:space="preserve">2.  </w:t>
      </w:r>
    </w:p>
  </w:footnote>
  <w:footnote w:id="434">
    <w:p w14:paraId="66E50CB5" w14:textId="6D584C00"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 xml:space="preserve">, </w:t>
      </w:r>
      <w:r w:rsidRPr="00A03B67">
        <w:t>2.</w:t>
      </w:r>
    </w:p>
  </w:footnote>
  <w:footnote w:id="435">
    <w:p w14:paraId="7C25718A" w14:textId="499EDAC8" w:rsidR="00173F8E" w:rsidRPr="00A03B67" w:rsidRDefault="00173F8E" w:rsidP="00173F8E">
      <w:pPr>
        <w:pStyle w:val="FootnoteText"/>
      </w:pPr>
      <w:r w:rsidRPr="00A03B67">
        <w:rPr>
          <w:rStyle w:val="FootnoteReference"/>
        </w:rPr>
        <w:footnoteRef/>
      </w:r>
      <w:r w:rsidRPr="00A03B67">
        <w:t xml:space="preserve"> ACCI </w:t>
      </w:r>
      <w:r w:rsidR="003F62D1" w:rsidRPr="00A03B67">
        <w:t>s</w:t>
      </w:r>
      <w:r w:rsidRPr="00A03B67">
        <w:t>ubmission</w:t>
      </w:r>
      <w:r w:rsidR="003F62D1" w:rsidRPr="00A03B67">
        <w:t>,</w:t>
      </w:r>
      <w:r w:rsidRPr="00A03B67">
        <w:t xml:space="preserve"> 49. </w:t>
      </w:r>
    </w:p>
  </w:footnote>
  <w:footnote w:id="436">
    <w:p w14:paraId="4381A9A7" w14:textId="0B341A42" w:rsidR="00173F8E" w:rsidRPr="00A03B67" w:rsidRDefault="00173F8E" w:rsidP="00173F8E">
      <w:pPr>
        <w:pStyle w:val="FootnoteText"/>
      </w:pPr>
      <w:r w:rsidRPr="00A03B67">
        <w:rPr>
          <w:rStyle w:val="FootnoteReference"/>
        </w:rPr>
        <w:footnoteRef/>
      </w:r>
      <w:r w:rsidRPr="00A03B67">
        <w:t xml:space="preserve"> AREEA </w:t>
      </w:r>
      <w:r w:rsidR="003F62D1" w:rsidRPr="00A03B67">
        <w:t>s</w:t>
      </w:r>
      <w:r w:rsidRPr="00A03B67">
        <w:t>ubmission</w:t>
      </w:r>
      <w:r w:rsidR="003F62D1" w:rsidRPr="00A03B67">
        <w:t>,</w:t>
      </w:r>
      <w:r w:rsidRPr="00A03B67">
        <w:t xml:space="preserve"> 2.  </w:t>
      </w:r>
    </w:p>
  </w:footnote>
  <w:footnote w:id="437">
    <w:p w14:paraId="60564282" w14:textId="1F08A1B1" w:rsidR="00173F8E" w:rsidRPr="00A03B67" w:rsidRDefault="00173F8E" w:rsidP="00173F8E">
      <w:pPr>
        <w:pStyle w:val="FootnoteText"/>
      </w:pPr>
      <w:r w:rsidRPr="00A03B67">
        <w:rPr>
          <w:rStyle w:val="FootnoteReference"/>
        </w:rPr>
        <w:footnoteRef/>
      </w:r>
      <w:r w:rsidRPr="00A03B67">
        <w:t xml:space="preserve"> CCI WA </w:t>
      </w:r>
      <w:r w:rsidR="003F62D1" w:rsidRPr="00A03B67">
        <w:t>s</w:t>
      </w:r>
      <w:r w:rsidRPr="00A03B67">
        <w:t>ubmission</w:t>
      </w:r>
      <w:r w:rsidR="003F62D1" w:rsidRPr="00A03B67">
        <w:t xml:space="preserve">, </w:t>
      </w:r>
      <w:r w:rsidRPr="00A03B67">
        <w:t>9.</w:t>
      </w:r>
    </w:p>
  </w:footnote>
  <w:footnote w:id="438">
    <w:p w14:paraId="68426312" w14:textId="1DD52E7B" w:rsidR="00173F8E" w:rsidRPr="00A03B67" w:rsidRDefault="00173F8E" w:rsidP="00173F8E">
      <w:pPr>
        <w:pStyle w:val="FootnoteText"/>
      </w:pPr>
      <w:r w:rsidRPr="00A03B67">
        <w:rPr>
          <w:rStyle w:val="FootnoteReference"/>
        </w:rPr>
        <w:footnoteRef/>
      </w:r>
      <w:r w:rsidRPr="00A03B67">
        <w:t xml:space="preserve"> Pharmacy Guild Submission</w:t>
      </w:r>
      <w:r w:rsidR="003F62D1" w:rsidRPr="00A03B67">
        <w:t>,</w:t>
      </w:r>
      <w:r w:rsidRPr="00A03B67">
        <w:t xml:space="preserve"> 4.</w:t>
      </w:r>
    </w:p>
  </w:footnote>
  <w:footnote w:id="439">
    <w:p w14:paraId="55DF8E51" w14:textId="09023AD6" w:rsidR="00173F8E" w:rsidRPr="00A03B67" w:rsidRDefault="00173F8E" w:rsidP="00173F8E">
      <w:pPr>
        <w:pStyle w:val="FootnoteText"/>
      </w:pPr>
      <w:r w:rsidRPr="00A03B67">
        <w:rPr>
          <w:rStyle w:val="FootnoteReference"/>
        </w:rPr>
        <w:footnoteRef/>
      </w:r>
      <w:r w:rsidRPr="00A03B67">
        <w:t xml:space="preserve"> Pharmacy Guild Submission</w:t>
      </w:r>
      <w:r w:rsidR="003F62D1" w:rsidRPr="00A03B67">
        <w:t>,</w:t>
      </w:r>
      <w:r w:rsidRPr="00A03B67">
        <w:t xml:space="preserve"> 3.</w:t>
      </w:r>
    </w:p>
  </w:footnote>
  <w:footnote w:id="440">
    <w:p w14:paraId="7C639F06" w14:textId="779EB6F9" w:rsidR="00173F8E" w:rsidRPr="00A03B67" w:rsidRDefault="00173F8E" w:rsidP="00173F8E">
      <w:pPr>
        <w:pStyle w:val="FootnoteText"/>
      </w:pPr>
      <w:r w:rsidRPr="00A03B67">
        <w:rPr>
          <w:rStyle w:val="FootnoteReference"/>
        </w:rPr>
        <w:footnoteRef/>
      </w:r>
      <w:r w:rsidRPr="00A03B67">
        <w:t xml:space="preserve"> BCA </w:t>
      </w:r>
      <w:r w:rsidR="003F62D1" w:rsidRPr="00A03B67">
        <w:t>s</w:t>
      </w:r>
      <w:r w:rsidRPr="00A03B67">
        <w:t>ubmission</w:t>
      </w:r>
      <w:r w:rsidR="003F62D1" w:rsidRPr="00A03B67">
        <w:t>,</w:t>
      </w:r>
      <w:r w:rsidRPr="00A03B67">
        <w:t xml:space="preserve"> 7.</w:t>
      </w:r>
    </w:p>
  </w:footnote>
  <w:footnote w:id="441">
    <w:p w14:paraId="14D8B513" w14:textId="132D114F" w:rsidR="00173F8E" w:rsidRPr="00A03B67" w:rsidRDefault="00173F8E" w:rsidP="00173F8E">
      <w:pPr>
        <w:pStyle w:val="FootnoteText"/>
      </w:pPr>
      <w:r w:rsidRPr="00A03B67">
        <w:rPr>
          <w:rStyle w:val="FootnoteReference"/>
        </w:rPr>
        <w:footnoteRef/>
      </w:r>
      <w:r w:rsidRPr="00A03B67">
        <w:t xml:space="preserve"> COSBOA </w:t>
      </w:r>
      <w:r w:rsidR="003F62D1" w:rsidRPr="00A03B67">
        <w:t>s</w:t>
      </w:r>
      <w:r w:rsidRPr="00A03B67">
        <w:t>ubmission</w:t>
      </w:r>
      <w:r w:rsidR="003F62D1" w:rsidRPr="00A03B67">
        <w:t xml:space="preserve">, </w:t>
      </w:r>
      <w:r w:rsidRPr="00A03B67">
        <w:t>1.</w:t>
      </w:r>
    </w:p>
  </w:footnote>
  <w:footnote w:id="442">
    <w:p w14:paraId="58A7522C" w14:textId="61AB2DCD" w:rsidR="00173F8E" w:rsidRPr="00A03B67" w:rsidRDefault="00173F8E" w:rsidP="00173F8E">
      <w:pPr>
        <w:pStyle w:val="FootnoteText"/>
      </w:pPr>
      <w:r w:rsidRPr="00A03B67">
        <w:rPr>
          <w:rStyle w:val="FootnoteReference"/>
        </w:rPr>
        <w:footnoteRef/>
      </w:r>
      <w:r w:rsidRPr="00A03B67">
        <w:t xml:space="preserve"> COSBOA </w:t>
      </w:r>
      <w:r w:rsidR="003F62D1" w:rsidRPr="00A03B67">
        <w:t>s</w:t>
      </w:r>
      <w:r w:rsidRPr="00A03B67">
        <w:t>ubmission</w:t>
      </w:r>
      <w:r w:rsidR="003F62D1" w:rsidRPr="00A03B67">
        <w:t>,</w:t>
      </w:r>
      <w:r w:rsidRPr="00A03B67">
        <w:t xml:space="preserve"> 5.</w:t>
      </w:r>
    </w:p>
  </w:footnote>
  <w:footnote w:id="443">
    <w:p w14:paraId="26084BA3" w14:textId="5A5CA16F" w:rsidR="00173F8E" w:rsidRPr="00A03B67" w:rsidRDefault="00173F8E" w:rsidP="00173F8E">
      <w:pPr>
        <w:pStyle w:val="FootnoteText"/>
      </w:pPr>
      <w:r w:rsidRPr="00A03B67">
        <w:rPr>
          <w:rStyle w:val="FootnoteReference"/>
        </w:rPr>
        <w:footnoteRef/>
      </w:r>
      <w:r w:rsidRPr="00A03B67">
        <w:t xml:space="preserve"> MCA </w:t>
      </w:r>
      <w:r w:rsidR="003F62D1" w:rsidRPr="00A03B67">
        <w:t>s</w:t>
      </w:r>
      <w:r w:rsidRPr="00A03B67">
        <w:t>ubmission</w:t>
      </w:r>
      <w:r w:rsidR="003F62D1" w:rsidRPr="00A03B67">
        <w:t>,</w:t>
      </w:r>
      <w:r w:rsidRPr="00A03B67">
        <w:t xml:space="preserve"> 5.</w:t>
      </w:r>
    </w:p>
  </w:footnote>
  <w:footnote w:id="444">
    <w:p w14:paraId="274A640A" w14:textId="4A905FB9" w:rsidR="00173F8E" w:rsidRPr="00A03B67" w:rsidRDefault="00173F8E" w:rsidP="00173F8E">
      <w:pPr>
        <w:pStyle w:val="FootnoteText"/>
      </w:pPr>
      <w:r w:rsidRPr="00A03B67">
        <w:rPr>
          <w:rStyle w:val="FootnoteReference"/>
        </w:rPr>
        <w:footnoteRef/>
      </w:r>
      <w:r w:rsidRPr="00A03B67">
        <w:t xml:space="preserve">  Whitehaven Coal </w:t>
      </w:r>
      <w:r w:rsidR="003F62D1" w:rsidRPr="00A03B67">
        <w:t>s</w:t>
      </w:r>
      <w:r w:rsidRPr="00A03B67">
        <w:t>ubmission</w:t>
      </w:r>
      <w:r w:rsidR="003F62D1" w:rsidRPr="00A03B67">
        <w:t>,</w:t>
      </w:r>
      <w:r w:rsidRPr="00A03B67">
        <w:t xml:space="preserve"> 7.</w:t>
      </w:r>
    </w:p>
  </w:footnote>
  <w:footnote w:id="445">
    <w:p w14:paraId="6BEC9378" w14:textId="26DD99BE" w:rsidR="00173F8E" w:rsidRPr="00A03B67" w:rsidRDefault="00173F8E" w:rsidP="00173F8E">
      <w:pPr>
        <w:pStyle w:val="FootnoteText"/>
      </w:pPr>
      <w:r w:rsidRPr="00A03B67">
        <w:rPr>
          <w:rStyle w:val="FootnoteReference"/>
        </w:rPr>
        <w:footnoteRef/>
      </w:r>
      <w:r w:rsidRPr="00A03B67">
        <w:t xml:space="preserve"> CME WA </w:t>
      </w:r>
      <w:r w:rsidR="003F62D1" w:rsidRPr="00A03B67">
        <w:t>s</w:t>
      </w:r>
      <w:r w:rsidRPr="00A03B67">
        <w:t>ubmission</w:t>
      </w:r>
      <w:r w:rsidR="003F62D1" w:rsidRPr="00A03B67">
        <w:t>,</w:t>
      </w:r>
      <w:r w:rsidRPr="00A03B67">
        <w:t xml:space="preserve"> 1. Note</w:t>
      </w:r>
      <w:r w:rsidR="003F62D1" w:rsidRPr="00A03B67">
        <w:t>:</w:t>
      </w:r>
      <w:r w:rsidRPr="00A03B67">
        <w:t xml:space="preserve"> if not abolished, the CME WA proposed the single interest stream remain for low</w:t>
      </w:r>
      <w:r w:rsidR="003F62D1" w:rsidRPr="00A03B67">
        <w:t>-</w:t>
      </w:r>
      <w:r w:rsidRPr="00A03B67">
        <w:t>paid industries.</w:t>
      </w:r>
    </w:p>
  </w:footnote>
  <w:footnote w:id="446">
    <w:p w14:paraId="6DE25981" w14:textId="61EBFD71" w:rsidR="00173F8E" w:rsidRPr="00A03B67" w:rsidRDefault="00173F8E" w:rsidP="00173F8E">
      <w:pPr>
        <w:pStyle w:val="FootnoteText"/>
        <w:tabs>
          <w:tab w:val="left" w:pos="1311"/>
          <w:tab w:val="left" w:pos="2579"/>
        </w:tabs>
      </w:pPr>
      <w:r w:rsidRPr="00A03B67">
        <w:rPr>
          <w:rStyle w:val="FootnoteReference"/>
        </w:rPr>
        <w:footnoteRef/>
      </w:r>
      <w:r w:rsidRPr="00A03B67">
        <w:t xml:space="preserve"> MCA </w:t>
      </w:r>
      <w:r w:rsidR="003F62D1" w:rsidRPr="00A03B67">
        <w:t>s</w:t>
      </w:r>
      <w:r w:rsidRPr="00A03B67">
        <w:t>ubmission</w:t>
      </w:r>
      <w:r w:rsidR="003F62D1" w:rsidRPr="00A03B67">
        <w:t xml:space="preserve">, </w:t>
      </w:r>
      <w:r w:rsidRPr="00A03B67">
        <w:t>6</w:t>
      </w:r>
    </w:p>
  </w:footnote>
  <w:footnote w:id="447">
    <w:p w14:paraId="1F908DE5" w14:textId="18A0FFFD" w:rsidR="00173F8E" w:rsidRPr="00A03B67" w:rsidRDefault="00173F8E" w:rsidP="00173F8E">
      <w:pPr>
        <w:pStyle w:val="FootnoteText"/>
      </w:pPr>
      <w:r w:rsidRPr="00A03B67">
        <w:rPr>
          <w:rStyle w:val="FootnoteReference"/>
        </w:rPr>
        <w:footnoteRef/>
      </w:r>
      <w:r w:rsidRPr="00A03B67">
        <w:t xml:space="preserve"> MCA </w:t>
      </w:r>
      <w:r w:rsidR="003F62D1" w:rsidRPr="00A03B67">
        <w:t>s</w:t>
      </w:r>
      <w:r w:rsidRPr="00A03B67">
        <w:t>ubmission</w:t>
      </w:r>
      <w:r w:rsidR="003F62D1" w:rsidRPr="00A03B67">
        <w:t xml:space="preserve">, </w:t>
      </w:r>
      <w:r w:rsidRPr="00A03B67">
        <w:t>5</w:t>
      </w:r>
    </w:p>
  </w:footnote>
  <w:footnote w:id="448">
    <w:p w14:paraId="07A0508E" w14:textId="110C4E0E" w:rsidR="00173F8E" w:rsidRPr="00A03B67" w:rsidRDefault="00173F8E" w:rsidP="00173F8E">
      <w:pPr>
        <w:pStyle w:val="FootnoteText"/>
      </w:pPr>
      <w:r w:rsidRPr="00A03B67">
        <w:rPr>
          <w:rStyle w:val="FootnoteReference"/>
        </w:rPr>
        <w:footnoteRef/>
      </w:r>
      <w:r w:rsidRPr="00A03B67">
        <w:t xml:space="preserve"> Whitehaven Coal </w:t>
      </w:r>
      <w:r w:rsidR="003F62D1" w:rsidRPr="00A03B67">
        <w:t>s</w:t>
      </w:r>
      <w:r w:rsidRPr="00A03B67">
        <w:t>ubmission</w:t>
      </w:r>
      <w:r w:rsidR="003F62D1" w:rsidRPr="00A03B67">
        <w:t xml:space="preserve">, </w:t>
      </w:r>
      <w:r w:rsidRPr="00A03B67">
        <w:t>7.</w:t>
      </w:r>
    </w:p>
  </w:footnote>
  <w:footnote w:id="449">
    <w:p w14:paraId="2C3EFA34" w14:textId="44CA0E7A" w:rsidR="00173F8E" w:rsidRPr="00A03B67" w:rsidRDefault="00173F8E" w:rsidP="00173F8E">
      <w:pPr>
        <w:pStyle w:val="FootnoteText"/>
      </w:pPr>
      <w:r w:rsidRPr="00A03B67">
        <w:rPr>
          <w:rStyle w:val="FootnoteReference"/>
        </w:rPr>
        <w:footnoteRef/>
      </w:r>
      <w:r w:rsidRPr="00A03B67">
        <w:t xml:space="preserve"> Whitehaven Coal </w:t>
      </w:r>
      <w:r w:rsidR="003F62D1" w:rsidRPr="00A03B67">
        <w:t>s</w:t>
      </w:r>
      <w:r w:rsidRPr="00A03B67">
        <w:t>ubmission</w:t>
      </w:r>
      <w:r w:rsidR="003F62D1" w:rsidRPr="00A03B67">
        <w:t>,</w:t>
      </w:r>
      <w:r w:rsidRPr="00A03B67">
        <w:t xml:space="preserve"> 8.</w:t>
      </w:r>
    </w:p>
  </w:footnote>
  <w:footnote w:id="450">
    <w:p w14:paraId="07117396" w14:textId="55D459FC" w:rsidR="00173F8E" w:rsidRPr="00A03B67" w:rsidRDefault="00173F8E" w:rsidP="00173F8E">
      <w:pPr>
        <w:pStyle w:val="FootnoteText"/>
      </w:pPr>
      <w:r w:rsidRPr="00A03B67">
        <w:rPr>
          <w:rStyle w:val="FootnoteReference"/>
        </w:rPr>
        <w:footnoteRef/>
      </w:r>
      <w:r w:rsidRPr="00A03B67">
        <w:t xml:space="preserve"> CME WA </w:t>
      </w:r>
      <w:r w:rsidR="003F62D1" w:rsidRPr="00A03B67">
        <w:t>s</w:t>
      </w:r>
      <w:r w:rsidRPr="00A03B67">
        <w:t>ubmission</w:t>
      </w:r>
      <w:r w:rsidR="003F62D1" w:rsidRPr="00A03B67">
        <w:t>,</w:t>
      </w:r>
      <w:r w:rsidRPr="00A03B67">
        <w:t xml:space="preserve"> 1.</w:t>
      </w:r>
    </w:p>
  </w:footnote>
  <w:footnote w:id="451">
    <w:p w14:paraId="438BFB0A" w14:textId="4B551CA0" w:rsidR="00173F8E" w:rsidRPr="00A03B67" w:rsidRDefault="00173F8E" w:rsidP="00173F8E">
      <w:pPr>
        <w:pStyle w:val="FootnoteText"/>
        <w:rPr>
          <w:i/>
          <w:iCs/>
        </w:rPr>
      </w:pPr>
      <w:r w:rsidRPr="00A03B67">
        <w:rPr>
          <w:rStyle w:val="FootnoteReference"/>
        </w:rPr>
        <w:footnoteRef/>
      </w:r>
      <w:r w:rsidRPr="00A03B67">
        <w:t xml:space="preserve"> Ai Group submission</w:t>
      </w:r>
      <w:r w:rsidR="003F62D1" w:rsidRPr="00A03B67">
        <w:t>,</w:t>
      </w:r>
      <w:r w:rsidRPr="00A03B67">
        <w:t xml:space="preserve"> 36</w:t>
      </w:r>
    </w:p>
  </w:footnote>
  <w:footnote w:id="452">
    <w:p w14:paraId="6C2A754A" w14:textId="500125FC"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w:t>
      </w:r>
      <w:r w:rsidRPr="00A03B67">
        <w:t xml:space="preserve"> 69</w:t>
      </w:r>
      <w:r w:rsidR="003F62D1" w:rsidRPr="00A03B67">
        <w:rPr>
          <w:rFonts w:ascii="Symbol" w:eastAsia="Symbol" w:hAnsi="Symbol" w:cs="Symbol"/>
        </w:rPr>
        <w:t>-</w:t>
      </w:r>
      <w:r w:rsidRPr="00A03B67">
        <w:t>70.</w:t>
      </w:r>
    </w:p>
  </w:footnote>
  <w:footnote w:id="453">
    <w:p w14:paraId="33E27CBD" w14:textId="1B41D9F4" w:rsidR="00173F8E" w:rsidRPr="00A03B67" w:rsidRDefault="00173F8E" w:rsidP="00173F8E">
      <w:pPr>
        <w:pStyle w:val="FootnoteText"/>
      </w:pPr>
      <w:r w:rsidRPr="00A03B67">
        <w:rPr>
          <w:rStyle w:val="FootnoteReference"/>
        </w:rPr>
        <w:footnoteRef/>
      </w:r>
      <w:r w:rsidR="003F62D1" w:rsidRPr="00A03B67">
        <w:t xml:space="preserve"> </w:t>
      </w:r>
      <w:r w:rsidRPr="00A03B67">
        <w:t xml:space="preserve">MIA Ltd </w:t>
      </w:r>
      <w:r w:rsidR="003F62D1" w:rsidRPr="00A03B67">
        <w:t>s</w:t>
      </w:r>
      <w:r w:rsidRPr="00A03B67">
        <w:t>ubmission</w:t>
      </w:r>
      <w:r w:rsidR="003F62D1" w:rsidRPr="00A03B67">
        <w:t>,</w:t>
      </w:r>
      <w:r w:rsidRPr="00A03B67">
        <w:t xml:space="preserve"> 8.</w:t>
      </w:r>
    </w:p>
  </w:footnote>
  <w:footnote w:id="454">
    <w:p w14:paraId="12D82505" w14:textId="014C4ADE" w:rsidR="00173F8E" w:rsidRPr="00A03B67" w:rsidRDefault="00173F8E" w:rsidP="00173F8E">
      <w:pPr>
        <w:pStyle w:val="FootnoteText"/>
      </w:pPr>
      <w:r w:rsidRPr="00A03B67">
        <w:rPr>
          <w:rStyle w:val="FootnoteReference"/>
        </w:rPr>
        <w:footnoteRef/>
      </w:r>
      <w:r w:rsidRPr="00A03B67">
        <w:t xml:space="preserve"> MIA Ltd </w:t>
      </w:r>
      <w:r w:rsidR="003F62D1" w:rsidRPr="00A03B67">
        <w:t>s</w:t>
      </w:r>
      <w:r w:rsidRPr="00A03B67">
        <w:t>ubmission</w:t>
      </w:r>
      <w:r w:rsidR="003F62D1" w:rsidRPr="00A03B67">
        <w:t>,</w:t>
      </w:r>
      <w:r w:rsidRPr="00A03B67">
        <w:t xml:space="preserve"> 9.</w:t>
      </w:r>
    </w:p>
  </w:footnote>
  <w:footnote w:id="455">
    <w:p w14:paraId="0910F9CD" w14:textId="05239DE4" w:rsidR="00173F8E" w:rsidRPr="00A03B67" w:rsidRDefault="00173F8E" w:rsidP="00173F8E">
      <w:pPr>
        <w:pStyle w:val="FootnoteText"/>
      </w:pPr>
      <w:r w:rsidRPr="00A03B67">
        <w:rPr>
          <w:rStyle w:val="FootnoteReference"/>
        </w:rPr>
        <w:footnoteRef/>
      </w:r>
      <w:r w:rsidRPr="00A03B67">
        <w:t xml:space="preserve"> ARA </w:t>
      </w:r>
      <w:r w:rsidR="003F62D1" w:rsidRPr="00A03B67">
        <w:t>s</w:t>
      </w:r>
      <w:r w:rsidRPr="00A03B67">
        <w:t>ubmission</w:t>
      </w:r>
      <w:r w:rsidR="003F62D1" w:rsidRPr="00A03B67">
        <w:t>,</w:t>
      </w:r>
      <w:r w:rsidRPr="00A03B67">
        <w:t xml:space="preserve"> 8.</w:t>
      </w:r>
    </w:p>
  </w:footnote>
  <w:footnote w:id="456">
    <w:p w14:paraId="6B4BDDCD" w14:textId="3C310CBF" w:rsidR="00173F8E" w:rsidRPr="00A03B67" w:rsidRDefault="00173F8E" w:rsidP="00173F8E">
      <w:pPr>
        <w:pStyle w:val="FootnoteText"/>
      </w:pPr>
      <w:r w:rsidRPr="00A03B67">
        <w:rPr>
          <w:rStyle w:val="FootnoteReference"/>
        </w:rPr>
        <w:footnoteRef/>
      </w:r>
      <w:r w:rsidRPr="00A03B67">
        <w:t xml:space="preserve"> Professor </w:t>
      </w:r>
      <w:r w:rsidR="003F62D1" w:rsidRPr="00A03B67">
        <w:t xml:space="preserve">D </w:t>
      </w:r>
      <w:r w:rsidRPr="00A03B67">
        <w:t xml:space="preserve">Peetz </w:t>
      </w:r>
      <w:r w:rsidR="003F62D1" w:rsidRPr="00A03B67">
        <w:t>s</w:t>
      </w:r>
      <w:r w:rsidRPr="00A03B67">
        <w:t>ubmission</w:t>
      </w:r>
      <w:r w:rsidR="003F62D1" w:rsidRPr="00A03B67">
        <w:t>,</w:t>
      </w:r>
      <w:r w:rsidRPr="00A03B67">
        <w:t xml:space="preserve"> 6.</w:t>
      </w:r>
    </w:p>
  </w:footnote>
  <w:footnote w:id="457">
    <w:p w14:paraId="5888E161" w14:textId="01C90557" w:rsidR="00173F8E" w:rsidRPr="00A03B67" w:rsidRDefault="00173F8E" w:rsidP="00173F8E">
      <w:pPr>
        <w:pStyle w:val="FootnoteText"/>
      </w:pPr>
      <w:r w:rsidRPr="00A03B67">
        <w:rPr>
          <w:rStyle w:val="FootnoteReference"/>
        </w:rPr>
        <w:footnoteRef/>
      </w:r>
      <w:r w:rsidRPr="00A03B67">
        <w:t xml:space="preserve"> Professor </w:t>
      </w:r>
      <w:r w:rsidR="003F62D1" w:rsidRPr="00A03B67">
        <w:t xml:space="preserve">D </w:t>
      </w:r>
      <w:r w:rsidRPr="00A03B67">
        <w:t xml:space="preserve">Peetz </w:t>
      </w:r>
      <w:r w:rsidR="003F62D1" w:rsidRPr="00A03B67">
        <w:t>s</w:t>
      </w:r>
      <w:r w:rsidRPr="00A03B67">
        <w:t>ubmission</w:t>
      </w:r>
      <w:r w:rsidR="003F62D1" w:rsidRPr="00A03B67">
        <w:t>,</w:t>
      </w:r>
      <w:r w:rsidRPr="00A03B67">
        <w:t xml:space="preserve"> 6.</w:t>
      </w:r>
    </w:p>
  </w:footnote>
  <w:footnote w:id="458">
    <w:p w14:paraId="163B3343"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s186(2B).</w:t>
      </w:r>
    </w:p>
  </w:footnote>
  <w:footnote w:id="459">
    <w:p w14:paraId="782A4FD4"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s186, 211(3A).</w:t>
      </w:r>
    </w:p>
  </w:footnote>
  <w:footnote w:id="460">
    <w:p w14:paraId="0A456497"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23B.</w:t>
      </w:r>
    </w:p>
  </w:footnote>
  <w:footnote w:id="461">
    <w:p w14:paraId="2330AFFA"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23B(1)(a).</w:t>
      </w:r>
    </w:p>
  </w:footnote>
  <w:footnote w:id="462">
    <w:p w14:paraId="1DDBC95D"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23B(1)(b).</w:t>
      </w:r>
    </w:p>
  </w:footnote>
  <w:footnote w:id="463">
    <w:p w14:paraId="13C8A976"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243A(4).</w:t>
      </w:r>
    </w:p>
  </w:footnote>
  <w:footnote w:id="464">
    <w:p w14:paraId="1419E1F2"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244(4).</w:t>
      </w:r>
    </w:p>
  </w:footnote>
  <w:footnote w:id="465">
    <w:p w14:paraId="3FFDBEBB"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216AB(2).</w:t>
      </w:r>
    </w:p>
  </w:footnote>
  <w:footnote w:id="466">
    <w:p w14:paraId="048AE028"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216DC(4).</w:t>
      </w:r>
    </w:p>
  </w:footnote>
  <w:footnote w:id="467">
    <w:p w14:paraId="5EC6184D"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216CB(2).</w:t>
      </w:r>
    </w:p>
  </w:footnote>
  <w:footnote w:id="468">
    <w:p w14:paraId="709F1D88" w14:textId="77777777" w:rsidR="00173F8E" w:rsidRPr="00A03B67" w:rsidRDefault="00173F8E" w:rsidP="003F62D1">
      <w:pPr>
        <w:spacing w:after="0" w:line="240" w:lineRule="auto"/>
        <w:rPr>
          <w:i/>
          <w:iCs/>
          <w:sz w:val="18"/>
          <w:szCs w:val="20"/>
        </w:rPr>
      </w:pPr>
      <w:r w:rsidRPr="00A03B67">
        <w:rPr>
          <w:rStyle w:val="FootnoteReference"/>
        </w:rPr>
        <w:footnoteRef/>
      </w:r>
      <w:r w:rsidRPr="00A03B67">
        <w:t xml:space="preserve"> </w:t>
      </w:r>
      <w:r w:rsidRPr="00A03B67">
        <w:rPr>
          <w:i/>
          <w:iCs/>
          <w:sz w:val="18"/>
          <w:szCs w:val="20"/>
        </w:rPr>
        <w:t xml:space="preserve">Fair Work Act 2009 </w:t>
      </w:r>
      <w:r w:rsidRPr="00A03B67">
        <w:rPr>
          <w:sz w:val="18"/>
          <w:szCs w:val="20"/>
        </w:rPr>
        <w:t>(Cth)</w:t>
      </w:r>
      <w:r w:rsidRPr="00A03B67" w:rsidDel="0070631F">
        <w:rPr>
          <w:sz w:val="18"/>
          <w:szCs w:val="20"/>
        </w:rPr>
        <w:t xml:space="preserve"> </w:t>
      </w:r>
      <w:r w:rsidRPr="00A03B67">
        <w:rPr>
          <w:sz w:val="18"/>
          <w:szCs w:val="20"/>
        </w:rPr>
        <w:t>s 249A</w:t>
      </w:r>
      <w:r w:rsidRPr="00A03B67">
        <w:rPr>
          <w:i/>
          <w:iCs/>
          <w:sz w:val="18"/>
          <w:szCs w:val="20"/>
        </w:rPr>
        <w:t>.</w:t>
      </w:r>
    </w:p>
  </w:footnote>
  <w:footnote w:id="469">
    <w:p w14:paraId="233CE943" w14:textId="77777777" w:rsidR="00173F8E" w:rsidRPr="00A03B67" w:rsidRDefault="00173F8E" w:rsidP="003F62D1">
      <w:pPr>
        <w:spacing w:after="0" w:line="240" w:lineRule="auto"/>
        <w:rPr>
          <w:i/>
          <w:iCs/>
          <w:sz w:val="18"/>
          <w:szCs w:val="20"/>
        </w:rPr>
      </w:pPr>
      <w:r w:rsidRPr="00A03B67">
        <w:rPr>
          <w:rStyle w:val="FootnoteReference"/>
        </w:rPr>
        <w:footnoteRef/>
      </w:r>
      <w:r w:rsidRPr="00A03B67">
        <w:t xml:space="preserve"> </w:t>
      </w:r>
      <w:r w:rsidRPr="00A03B67">
        <w:rPr>
          <w:i/>
          <w:iCs/>
          <w:sz w:val="18"/>
          <w:szCs w:val="20"/>
        </w:rPr>
        <w:t xml:space="preserve">Fair Work Act 2009 </w:t>
      </w:r>
      <w:r w:rsidRPr="00A03B67">
        <w:rPr>
          <w:sz w:val="18"/>
          <w:szCs w:val="20"/>
        </w:rPr>
        <w:t>(Cth)</w:t>
      </w:r>
      <w:r w:rsidRPr="00A03B67" w:rsidDel="0070631F">
        <w:rPr>
          <w:sz w:val="18"/>
          <w:szCs w:val="20"/>
        </w:rPr>
        <w:t xml:space="preserve"> </w:t>
      </w:r>
      <w:r w:rsidRPr="00A03B67">
        <w:rPr>
          <w:sz w:val="18"/>
          <w:szCs w:val="20"/>
        </w:rPr>
        <w:t>s 251A</w:t>
      </w:r>
      <w:r w:rsidRPr="00A03B67">
        <w:rPr>
          <w:i/>
          <w:iCs/>
          <w:sz w:val="18"/>
          <w:szCs w:val="20"/>
        </w:rPr>
        <w:t>.</w:t>
      </w:r>
    </w:p>
  </w:footnote>
  <w:footnote w:id="470">
    <w:p w14:paraId="72CD76BE" w14:textId="41A87243" w:rsidR="00173F8E" w:rsidRPr="00A03B67" w:rsidRDefault="00173F8E" w:rsidP="00173F8E">
      <w:pPr>
        <w:pStyle w:val="FootnoteText"/>
      </w:pPr>
      <w:r w:rsidRPr="00A03B67">
        <w:rPr>
          <w:rStyle w:val="FootnoteReference"/>
        </w:rPr>
        <w:footnoteRef/>
      </w:r>
      <w:r w:rsidRPr="00A03B67">
        <w:t xml:space="preserve"> </w:t>
      </w:r>
      <w:r w:rsidR="005C0452" w:rsidRPr="00A03B67">
        <w:t xml:space="preserve">Regulation </w:t>
      </w:r>
      <w:r w:rsidRPr="00A03B67">
        <w:t>Impact Statemen</w:t>
      </w:r>
      <w:r w:rsidR="003F62D1" w:rsidRPr="00A03B67">
        <w:t>t</w:t>
      </w:r>
      <w:r w:rsidRPr="00A03B67">
        <w:t>, Revised Explanatory Memorandum, Fair Work Legislation Amendment (Secure Jobs, Better Pay) Bill 2022 [1097].</w:t>
      </w:r>
    </w:p>
  </w:footnote>
  <w:footnote w:id="471">
    <w:p w14:paraId="4F515B32" w14:textId="0FA25821" w:rsidR="00173F8E" w:rsidRPr="00A03B67" w:rsidRDefault="00173F8E" w:rsidP="00173F8E">
      <w:pPr>
        <w:pStyle w:val="FootnoteText"/>
      </w:pPr>
      <w:r w:rsidRPr="00A03B67">
        <w:rPr>
          <w:rStyle w:val="FootnoteReference"/>
        </w:rPr>
        <w:footnoteRef/>
      </w:r>
      <w:r w:rsidRPr="00A03B67">
        <w:t xml:space="preserve"> Commonwealth, </w:t>
      </w:r>
      <w:r w:rsidRPr="00A03B67">
        <w:rPr>
          <w:i/>
          <w:iCs/>
        </w:rPr>
        <w:t>Parliamentary Debates</w:t>
      </w:r>
      <w:r w:rsidRPr="00A03B67">
        <w:t xml:space="preserve">, House of Representatives, </w:t>
      </w:r>
      <w:r w:rsidR="003F62D1" w:rsidRPr="00A03B67">
        <w:t xml:space="preserve">27 October 2022, 2181 </w:t>
      </w:r>
      <w:r w:rsidRPr="00A03B67">
        <w:t>(Tony Burke, Minister for Employment and Workplace Relations).</w:t>
      </w:r>
    </w:p>
  </w:footnote>
  <w:footnote w:id="472">
    <w:p w14:paraId="4FBCD837" w14:textId="76345392" w:rsidR="000C0AD5" w:rsidRPr="00A03B67" w:rsidRDefault="000C0AD5" w:rsidP="000C0AD5">
      <w:pPr>
        <w:pStyle w:val="FootnoteText"/>
      </w:pPr>
      <w:r w:rsidRPr="00A03B67">
        <w:rPr>
          <w:rStyle w:val="FootnoteReference"/>
        </w:rPr>
        <w:footnoteRef/>
      </w:r>
      <w:r w:rsidRPr="00A03B67">
        <w:t xml:space="preserve"> </w:t>
      </w:r>
      <w:r w:rsidR="005C0452" w:rsidRPr="00A03B67">
        <w:t xml:space="preserve">Regulation </w:t>
      </w:r>
      <w:r w:rsidRPr="00A03B67">
        <w:t>Impact Statement, Revised Explanatory Memorandum, Fair Work Legislation Amendment (Secure Jobs, Better Pay) Bill 2022 [232] xliv.</w:t>
      </w:r>
    </w:p>
  </w:footnote>
  <w:footnote w:id="473">
    <w:p w14:paraId="34F1C79E" w14:textId="28E4FDBD" w:rsidR="00173F8E" w:rsidRPr="00A03B67" w:rsidRDefault="00173F8E" w:rsidP="00173F8E">
      <w:pPr>
        <w:pStyle w:val="FootnoteText"/>
      </w:pPr>
      <w:r w:rsidRPr="00A03B67">
        <w:rPr>
          <w:rStyle w:val="FootnoteReference"/>
        </w:rPr>
        <w:footnoteRef/>
      </w:r>
      <w:r w:rsidRPr="00A03B67">
        <w:t xml:space="preserve"> </w:t>
      </w:r>
      <w:r w:rsidR="0081141A" w:rsidRPr="00A03B67">
        <w:rPr>
          <w:i/>
        </w:rPr>
        <w:t>CPSU, the Community and Public Sector Union</w:t>
      </w:r>
      <w:r w:rsidR="0081141A" w:rsidRPr="00A03B67">
        <w:t xml:space="preserve"> </w:t>
      </w:r>
      <w:r w:rsidRPr="00A03B67">
        <w:t>[2024] FWC 1402.</w:t>
      </w:r>
    </w:p>
  </w:footnote>
  <w:footnote w:id="474">
    <w:p w14:paraId="3A83DAA1" w14:textId="1AC3E9F2" w:rsidR="00173F8E" w:rsidRPr="00A03B67" w:rsidRDefault="00173F8E" w:rsidP="00173F8E">
      <w:pPr>
        <w:pStyle w:val="FootnoteText"/>
      </w:pPr>
      <w:r w:rsidRPr="00A03B67">
        <w:rPr>
          <w:rStyle w:val="FootnoteReference"/>
        </w:rPr>
        <w:footnoteRef/>
      </w:r>
      <w:r w:rsidRPr="00A03B67">
        <w:t xml:space="preserve"> </w:t>
      </w:r>
      <w:r w:rsidRPr="00A03B67">
        <w:rPr>
          <w:i/>
        </w:rPr>
        <w:t>CPSU, the Community and Public Sector Union</w:t>
      </w:r>
      <w:r w:rsidRPr="00A03B67">
        <w:t xml:space="preserve"> [2024] FWC 1402 [30]–[31]: </w:t>
      </w:r>
      <w:r w:rsidR="003F62D1" w:rsidRPr="00A03B67">
        <w:t>t</w:t>
      </w:r>
      <w:r w:rsidRPr="00A03B67">
        <w:t xml:space="preserve">he employees concerned were employed as carpenters, painters, electricians, plumbers and exhibition craftspersons. </w:t>
      </w:r>
    </w:p>
  </w:footnote>
  <w:footnote w:id="475">
    <w:p w14:paraId="6F673158" w14:textId="3920DC6F" w:rsidR="00173F8E" w:rsidRPr="00A03B67" w:rsidRDefault="00173F8E" w:rsidP="00173F8E">
      <w:pPr>
        <w:pStyle w:val="FootnoteText"/>
      </w:pPr>
      <w:r w:rsidRPr="00A03B67">
        <w:rPr>
          <w:rStyle w:val="FootnoteReference"/>
        </w:rPr>
        <w:footnoteRef/>
      </w:r>
      <w:r w:rsidRPr="00A03B67">
        <w:t xml:space="preserve"> </w:t>
      </w:r>
      <w:r w:rsidR="0081141A" w:rsidRPr="00A03B67">
        <w:rPr>
          <w:i/>
        </w:rPr>
        <w:t>CPSU, the Community and Public Sector Union</w:t>
      </w:r>
      <w:r w:rsidR="0081141A" w:rsidRPr="00A03B67">
        <w:t xml:space="preserve"> </w:t>
      </w:r>
      <w:r w:rsidRPr="00A03B67">
        <w:t>[2024] FWC 1402 [1].</w:t>
      </w:r>
    </w:p>
  </w:footnote>
  <w:footnote w:id="476">
    <w:p w14:paraId="64DCFB85" w14:textId="01B26E77" w:rsidR="00173F8E" w:rsidRPr="00A03B67" w:rsidRDefault="00173F8E" w:rsidP="00173F8E">
      <w:pPr>
        <w:pStyle w:val="FootnoteText"/>
      </w:pPr>
      <w:r w:rsidRPr="00A03B67">
        <w:rPr>
          <w:rStyle w:val="FootnoteReference"/>
        </w:rPr>
        <w:footnoteRef/>
      </w:r>
      <w:r w:rsidRPr="00A03B67">
        <w:t xml:space="preserve"> </w:t>
      </w:r>
      <w:r w:rsidR="0081141A" w:rsidRPr="00A03B67">
        <w:rPr>
          <w:i/>
        </w:rPr>
        <w:t>CPSU, the Community and Public Sector Union</w:t>
      </w:r>
      <w:r w:rsidR="0081141A" w:rsidRPr="00A03B67">
        <w:t xml:space="preserve"> </w:t>
      </w:r>
      <w:r w:rsidR="001C471C" w:rsidRPr="00A03B67">
        <w:t>[</w:t>
      </w:r>
      <w:r w:rsidRPr="00A03B67">
        <w:t>2024] FWC 1402 [36].</w:t>
      </w:r>
    </w:p>
  </w:footnote>
  <w:footnote w:id="477">
    <w:p w14:paraId="0CAA1594" w14:textId="192EF27F"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 xml:space="preserve">, </w:t>
      </w:r>
      <w:r w:rsidRPr="00A03B67">
        <w:t>74.</w:t>
      </w:r>
    </w:p>
  </w:footnote>
  <w:footnote w:id="478">
    <w:p w14:paraId="740A96B2" w14:textId="1DEE435B" w:rsidR="00173F8E" w:rsidRPr="00A03B67" w:rsidRDefault="00173F8E" w:rsidP="00173F8E">
      <w:pPr>
        <w:pStyle w:val="FootnoteText"/>
      </w:pPr>
      <w:r w:rsidRPr="00A03B67">
        <w:rPr>
          <w:rStyle w:val="FootnoteReference"/>
        </w:rPr>
        <w:footnoteRef/>
      </w:r>
      <w:r w:rsidRPr="00A03B67">
        <w:t xml:space="preserve"> MBA </w:t>
      </w:r>
      <w:r w:rsidR="003F62D1" w:rsidRPr="00A03B67">
        <w:t>s</w:t>
      </w:r>
      <w:r w:rsidRPr="00A03B67">
        <w:t>ubmission</w:t>
      </w:r>
      <w:r w:rsidR="003F62D1" w:rsidRPr="00A03B67">
        <w:t xml:space="preserve">, </w:t>
      </w:r>
      <w:r w:rsidRPr="00A03B67">
        <w:t>3.</w:t>
      </w:r>
    </w:p>
  </w:footnote>
  <w:footnote w:id="479">
    <w:p w14:paraId="554412E3" w14:textId="77777777" w:rsidR="00173F8E" w:rsidRPr="00A03B67" w:rsidRDefault="00173F8E" w:rsidP="00173F8E">
      <w:pPr>
        <w:pStyle w:val="FootnoteText"/>
      </w:pPr>
      <w:r w:rsidRPr="00A03B67">
        <w:rPr>
          <w:rStyle w:val="FootnoteReference"/>
        </w:rPr>
        <w:footnoteRef/>
      </w:r>
      <w:r w:rsidRPr="00A03B67">
        <w:t xml:space="preserve"> Senate Education and Employment Committee, Parliament of Australia, Inquiry into the Fair Work Legislation Amendment (Secure Jobs, Better Pay) Bill 2022, Submission of the Department of Employment and Workplace Relations, Fair Work Legislation Amendment (Secure Jobs, Better Pay) Bill 2022 [Provisions] Submission No. 49, (November 2022) 18. </w:t>
      </w:r>
    </w:p>
  </w:footnote>
  <w:footnote w:id="480">
    <w:p w14:paraId="2F9581C8" w14:textId="77777777" w:rsidR="00173F8E" w:rsidRPr="00A03B67" w:rsidRDefault="00173F8E" w:rsidP="00173F8E">
      <w:pPr>
        <w:pStyle w:val="FootnoteText"/>
      </w:pPr>
      <w:r w:rsidRPr="00A03B67">
        <w:rPr>
          <w:rStyle w:val="FootnoteReference"/>
        </w:rPr>
        <w:footnoteRef/>
      </w:r>
      <w:r w:rsidRPr="00A03B67">
        <w:t xml:space="preserve"> Senate Education and Employment Committee, Parliament of Australia, Inquiry into the Fair Work Legislation Amendment (Secure Jobs, Better Pay) Bill 2022, Submission of the Department of Employment and Workplace Relations, Fair Work Legislation Amendment (Secure Jobs, Better Pay) Bill 2022 [Provisions] Submission No. 49, (November 2022) 18. </w:t>
      </w:r>
    </w:p>
  </w:footnote>
  <w:footnote w:id="481">
    <w:p w14:paraId="15A09E0A" w14:textId="77777777" w:rsidR="00173F8E" w:rsidRPr="00A03B67" w:rsidRDefault="00173F8E" w:rsidP="00173F8E">
      <w:pPr>
        <w:pStyle w:val="FootnoteText"/>
      </w:pPr>
      <w:r w:rsidRPr="00A03B67">
        <w:rPr>
          <w:rStyle w:val="FootnoteReference"/>
        </w:rPr>
        <w:footnoteRef/>
      </w:r>
      <w:r w:rsidRPr="00A03B67">
        <w:t xml:space="preserve"> See </w:t>
      </w:r>
      <w:r w:rsidRPr="00A03B67">
        <w:rPr>
          <w:i/>
          <w:iCs/>
        </w:rPr>
        <w:t>Fair Work Act 2009</w:t>
      </w:r>
      <w:r w:rsidRPr="00A03B67">
        <w:t xml:space="preserve"> (Cth) s 240.</w:t>
      </w:r>
    </w:p>
  </w:footnote>
  <w:footnote w:id="482">
    <w:p w14:paraId="4DDBAAF1" w14:textId="589ABFD1" w:rsidR="00173F8E" w:rsidRPr="00A03B67" w:rsidRDefault="00173F8E" w:rsidP="00173F8E">
      <w:pPr>
        <w:pStyle w:val="FootnoteText"/>
      </w:pPr>
      <w:r w:rsidRPr="00A03B67">
        <w:rPr>
          <w:rStyle w:val="FootnoteReference"/>
        </w:rPr>
        <w:footnoteRef/>
      </w:r>
      <w:r w:rsidRPr="00A03B67">
        <w:t xml:space="preserve"> See also the FWC’s power to make industrial action related workplace determinations: </w:t>
      </w:r>
      <w:r w:rsidRPr="00A03B67">
        <w:rPr>
          <w:i/>
          <w:iCs/>
        </w:rPr>
        <w:t>Fair Work Act 2009</w:t>
      </w:r>
      <w:r w:rsidRPr="00A03B67">
        <w:t xml:space="preserve"> (Cth) s</w:t>
      </w:r>
      <w:r w:rsidR="003F62D1" w:rsidRPr="00A03B67">
        <w:t> </w:t>
      </w:r>
      <w:r w:rsidRPr="00A03B67">
        <w:t>266.</w:t>
      </w:r>
    </w:p>
  </w:footnote>
  <w:footnote w:id="483">
    <w:p w14:paraId="7F39BA10" w14:textId="5AB8DFC3"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w:t>
      </w:r>
      <w:r w:rsidR="003F62D1" w:rsidRPr="00A03B67">
        <w:t>[</w:t>
      </w:r>
      <w:r w:rsidRPr="00A03B67">
        <w:t>826</w:t>
      </w:r>
      <w:r w:rsidR="003F62D1" w:rsidRPr="00A03B67">
        <w:t>]</w:t>
      </w:r>
      <w:r w:rsidRPr="00A03B67">
        <w:t>.</w:t>
      </w:r>
    </w:p>
  </w:footnote>
  <w:footnote w:id="484">
    <w:p w14:paraId="64A3E1D6"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234(2).</w:t>
      </w:r>
    </w:p>
  </w:footnote>
  <w:footnote w:id="485">
    <w:p w14:paraId="7E1BA97A"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235(1).</w:t>
      </w:r>
    </w:p>
  </w:footnote>
  <w:footnote w:id="486">
    <w:p w14:paraId="0641AC41" w14:textId="77777777" w:rsidR="00173F8E" w:rsidRPr="00A03B67" w:rsidRDefault="00173F8E" w:rsidP="00173F8E">
      <w:pPr>
        <w:pStyle w:val="FootnoteText"/>
        <w:tabs>
          <w:tab w:val="left" w:pos="1134"/>
        </w:tabs>
      </w:pPr>
      <w:r w:rsidRPr="00A03B67">
        <w:rPr>
          <w:rStyle w:val="FootnoteReference"/>
        </w:rPr>
        <w:footnoteRef/>
      </w:r>
      <w:r w:rsidRPr="00A03B67">
        <w:t xml:space="preserve"> </w:t>
      </w:r>
      <w:r w:rsidRPr="00A03B67">
        <w:rPr>
          <w:i/>
          <w:iCs/>
        </w:rPr>
        <w:t>Fair Work Act 2009</w:t>
      </w:r>
      <w:r w:rsidRPr="00A03B67">
        <w:t xml:space="preserve"> (Cth) s 235(5).</w:t>
      </w:r>
    </w:p>
  </w:footnote>
  <w:footnote w:id="487">
    <w:p w14:paraId="2079E1B4"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235(6).</w:t>
      </w:r>
    </w:p>
  </w:footnote>
  <w:footnote w:id="488">
    <w:p w14:paraId="5E1F451B" w14:textId="77777777" w:rsidR="000348D3" w:rsidRPr="00A03B67" w:rsidRDefault="000348D3" w:rsidP="000348D3">
      <w:pPr>
        <w:pStyle w:val="FootnoteText"/>
      </w:pPr>
      <w:r w:rsidRPr="00A03B67">
        <w:rPr>
          <w:rStyle w:val="FootnoteReference"/>
        </w:rPr>
        <w:footnoteRef/>
      </w:r>
      <w:r w:rsidRPr="00A03B67">
        <w:t xml:space="preserve"> </w:t>
      </w:r>
      <w:r w:rsidRPr="00A03B67">
        <w:rPr>
          <w:i/>
          <w:iCs/>
        </w:rPr>
        <w:t>Fair Work Act 2009</w:t>
      </w:r>
      <w:r w:rsidRPr="00A03B67">
        <w:t xml:space="preserve"> (Cth) s 235(2).</w:t>
      </w:r>
    </w:p>
  </w:footnote>
  <w:footnote w:id="489">
    <w:p w14:paraId="36F3CF8D"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235A.</w:t>
      </w:r>
    </w:p>
  </w:footnote>
  <w:footnote w:id="490">
    <w:p w14:paraId="426E364E"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Note to s 235A(1).</w:t>
      </w:r>
    </w:p>
  </w:footnote>
  <w:footnote w:id="491">
    <w:p w14:paraId="19261F43"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235A(2).</w:t>
      </w:r>
    </w:p>
  </w:footnote>
  <w:footnote w:id="492">
    <w:p w14:paraId="668A0768"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269.</w:t>
      </w:r>
    </w:p>
  </w:footnote>
  <w:footnote w:id="493">
    <w:p w14:paraId="584B1837"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F6E1E">
        <w:t xml:space="preserve"> </w:t>
      </w:r>
      <w:r w:rsidRPr="00A03B67">
        <w:t>s 616(4).</w:t>
      </w:r>
    </w:p>
  </w:footnote>
  <w:footnote w:id="494">
    <w:p w14:paraId="53ECE459"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ss 270-274.</w:t>
      </w:r>
    </w:p>
  </w:footnote>
  <w:footnote w:id="495">
    <w:p w14:paraId="5425B8B0" w14:textId="77777777" w:rsidR="000348D3" w:rsidRPr="00A03B67" w:rsidRDefault="000348D3" w:rsidP="000348D3">
      <w:pPr>
        <w:pStyle w:val="FootnoteText"/>
      </w:pPr>
      <w:r w:rsidRPr="00A03B67">
        <w:rPr>
          <w:rStyle w:val="FootnoteReference"/>
        </w:rPr>
        <w:footnoteRef/>
      </w:r>
      <w:r w:rsidRPr="00A03B67">
        <w:t xml:space="preserve"> </w:t>
      </w:r>
      <w:r w:rsidRPr="00A03B67">
        <w:rPr>
          <w:i/>
          <w:iCs/>
        </w:rPr>
        <w:t>Fair Work Act 2009</w:t>
      </w:r>
      <w:r w:rsidRPr="00A03B67">
        <w:t xml:space="preserve"> (Cth) s 270(3).</w:t>
      </w:r>
    </w:p>
  </w:footnote>
  <w:footnote w:id="496">
    <w:p w14:paraId="3C10720B" w14:textId="77777777" w:rsidR="000348D3" w:rsidRPr="00A03B67" w:rsidRDefault="000348D3" w:rsidP="000348D3">
      <w:pPr>
        <w:pStyle w:val="FootnoteText"/>
      </w:pPr>
      <w:r w:rsidRPr="00A03B67">
        <w:rPr>
          <w:rStyle w:val="FootnoteReference"/>
        </w:rPr>
        <w:footnoteRef/>
      </w:r>
      <w:r w:rsidRPr="00A03B67">
        <w:t xml:space="preserve"> </w:t>
      </w:r>
      <w:r w:rsidRPr="00A03B67">
        <w:rPr>
          <w:i/>
          <w:iCs/>
        </w:rPr>
        <w:t>Fair Work Act 2009</w:t>
      </w:r>
      <w:r w:rsidRPr="00A03B67">
        <w:t xml:space="preserve"> (Cth) s</w:t>
      </w:r>
      <w:r w:rsidRPr="00A03B67" w:rsidDel="006E73A2">
        <w:t xml:space="preserve"> </w:t>
      </w:r>
      <w:r w:rsidRPr="00A03B67">
        <w:t>270A.</w:t>
      </w:r>
    </w:p>
  </w:footnote>
  <w:footnote w:id="497">
    <w:p w14:paraId="72B6BC39" w14:textId="77777777" w:rsidR="000348D3" w:rsidRPr="00A03B67" w:rsidRDefault="000348D3" w:rsidP="000348D3">
      <w:pPr>
        <w:pStyle w:val="FootnoteText"/>
      </w:pPr>
      <w:r w:rsidRPr="00A03B67">
        <w:rPr>
          <w:rStyle w:val="FootnoteReference"/>
        </w:rPr>
        <w:footnoteRef/>
      </w:r>
      <w:r w:rsidRPr="00A03B67">
        <w:t xml:space="preserve"> </w:t>
      </w:r>
      <w:r w:rsidRPr="00A03B67">
        <w:rPr>
          <w:i/>
          <w:iCs/>
        </w:rPr>
        <w:t>Fair Work Act 2009</w:t>
      </w:r>
      <w:r w:rsidRPr="00A03B67">
        <w:t xml:space="preserve"> (Cth) s 274(3). </w:t>
      </w:r>
    </w:p>
  </w:footnote>
  <w:footnote w:id="498">
    <w:p w14:paraId="17ADFA40" w14:textId="61359217"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[790] 143, </w:t>
      </w:r>
      <w:r w:rsidR="003F62D1" w:rsidRPr="00A03B67">
        <w:t>[</w:t>
      </w:r>
      <w:r w:rsidRPr="00A03B67">
        <w:t>827</w:t>
      </w:r>
      <w:r w:rsidR="003F62D1" w:rsidRPr="00A03B67">
        <w:t>]</w:t>
      </w:r>
      <w:r w:rsidRPr="00A03B67">
        <w:t>.</w:t>
      </w:r>
    </w:p>
  </w:footnote>
  <w:footnote w:id="499">
    <w:p w14:paraId="603C01C2" w14:textId="713C7585" w:rsidR="000348D3" w:rsidRPr="00A03B67" w:rsidRDefault="000348D3" w:rsidP="003F62D1">
      <w:pPr>
        <w:pStyle w:val="FootnoteText"/>
      </w:pPr>
      <w:r w:rsidRPr="00A03B67">
        <w:rPr>
          <w:rStyle w:val="FootnoteReference"/>
        </w:rPr>
        <w:footnoteRef/>
      </w:r>
      <w:r w:rsidRPr="00A03B67">
        <w:t xml:space="preserve"> Commonwealth, </w:t>
      </w:r>
      <w:r w:rsidRPr="00A03B67">
        <w:rPr>
          <w:i/>
          <w:iCs/>
        </w:rPr>
        <w:t>Parliamentary Debates</w:t>
      </w:r>
      <w:r w:rsidRPr="00A03B67">
        <w:t xml:space="preserve">, House of Representatives, </w:t>
      </w:r>
      <w:r w:rsidR="003F62D1" w:rsidRPr="00A03B67">
        <w:t xml:space="preserve">27 October 2022, 2180 </w:t>
      </w:r>
      <w:r w:rsidRPr="00A03B67">
        <w:t>(Tony Burke, Minister for Employment and Workplace Relations).</w:t>
      </w:r>
    </w:p>
  </w:footnote>
  <w:footnote w:id="500">
    <w:p w14:paraId="46C29C19" w14:textId="48FF1A1C" w:rsidR="00173F8E" w:rsidRPr="00A03B67" w:rsidRDefault="00173F8E" w:rsidP="003F62D1">
      <w:pPr>
        <w:pStyle w:val="FootnoteText"/>
      </w:pPr>
      <w:r w:rsidRPr="00A03B67">
        <w:rPr>
          <w:rStyle w:val="FootnoteReference"/>
        </w:rPr>
        <w:footnoteRef/>
      </w:r>
      <w:r w:rsidRPr="00A03B67">
        <w:t xml:space="preserve"> </w:t>
      </w:r>
      <w:r w:rsidR="003F62D1" w:rsidRPr="00A03B67">
        <w:t xml:space="preserve">Commonwealth, </w:t>
      </w:r>
      <w:r w:rsidR="003F62D1" w:rsidRPr="00A03B67">
        <w:rPr>
          <w:i/>
          <w:iCs/>
        </w:rPr>
        <w:t>Parliamentary Debates</w:t>
      </w:r>
      <w:r w:rsidR="003F62D1" w:rsidRPr="00A03B67">
        <w:t>, House of Representatives, 27 October 2022, 2180 (Tony Burke, Minister for Employment and Workplace Relations).</w:t>
      </w:r>
    </w:p>
  </w:footnote>
  <w:footnote w:id="501">
    <w:p w14:paraId="32EB587A" w14:textId="7D9987E6" w:rsidR="00173F8E" w:rsidRPr="00A03B67" w:rsidRDefault="00173F8E" w:rsidP="00173F8E">
      <w:pPr>
        <w:spacing w:after="0"/>
        <w:rPr>
          <w:sz w:val="18"/>
          <w:szCs w:val="18"/>
        </w:rPr>
      </w:pPr>
      <w:r w:rsidRPr="00A03B67">
        <w:rPr>
          <w:rStyle w:val="FootnoteReference"/>
        </w:rPr>
        <w:footnoteRef/>
      </w:r>
      <w:r w:rsidRPr="00A03B67">
        <w:t xml:space="preserve"> </w:t>
      </w:r>
      <w:r w:rsidR="003F62D1" w:rsidRPr="00A03B67">
        <w:rPr>
          <w:sz w:val="18"/>
          <w:szCs w:val="18"/>
        </w:rPr>
        <w:t>Commonwealth, Parliamentary Debates, House of Representatives, 27 October 2022, 2180 (Tony Burke, Minister for Employment and Workplace Relations).</w:t>
      </w:r>
    </w:p>
  </w:footnote>
  <w:footnote w:id="502">
    <w:p w14:paraId="09AE21A8" w14:textId="77777777" w:rsidR="00173F8E" w:rsidRPr="00A03B67" w:rsidRDefault="00173F8E" w:rsidP="003F62D1">
      <w:pPr>
        <w:spacing w:after="0" w:line="240" w:lineRule="auto"/>
        <w:rPr>
          <w:sz w:val="18"/>
          <w:szCs w:val="18"/>
        </w:rPr>
      </w:pPr>
      <w:r w:rsidRPr="00A03B67">
        <w:rPr>
          <w:rStyle w:val="FootnoteReference"/>
        </w:rPr>
        <w:footnoteRef/>
      </w:r>
      <w:r w:rsidRPr="00A03B67">
        <w:rPr>
          <w:sz w:val="18"/>
          <w:szCs w:val="20"/>
        </w:rPr>
        <w:t xml:space="preserve"> </w:t>
      </w:r>
      <w:r w:rsidRPr="00A03B67">
        <w:rPr>
          <w:sz w:val="18"/>
          <w:szCs w:val="18"/>
        </w:rPr>
        <w:t xml:space="preserve">Commonwealth, </w:t>
      </w:r>
      <w:r w:rsidRPr="00A03B67">
        <w:rPr>
          <w:i/>
          <w:iCs/>
          <w:sz w:val="18"/>
          <w:szCs w:val="18"/>
        </w:rPr>
        <w:t>Parliamentary Debates</w:t>
      </w:r>
      <w:r w:rsidRPr="00A03B67">
        <w:rPr>
          <w:sz w:val="18"/>
          <w:szCs w:val="18"/>
        </w:rPr>
        <w:t xml:space="preserve">, House of Representatives, 28 November 2023, 8711 (Adam Bandt).  </w:t>
      </w:r>
    </w:p>
  </w:footnote>
  <w:footnote w:id="503">
    <w:p w14:paraId="784DDBA1" w14:textId="77777777" w:rsidR="00173F8E" w:rsidRPr="00A03B67" w:rsidRDefault="00173F8E" w:rsidP="00173F8E">
      <w:pPr>
        <w:pStyle w:val="FootnoteText"/>
        <w:rPr>
          <w:szCs w:val="18"/>
        </w:rPr>
      </w:pPr>
      <w:r w:rsidRPr="00A03B67">
        <w:rPr>
          <w:rStyle w:val="FootnoteReference"/>
        </w:rPr>
        <w:footnoteRef/>
      </w:r>
      <w:r w:rsidRPr="00A03B67">
        <w:t xml:space="preserve"> </w:t>
      </w:r>
      <w:r w:rsidRPr="00A03B67">
        <w:rPr>
          <w:szCs w:val="18"/>
        </w:rPr>
        <w:t xml:space="preserve">Commonwealth, </w:t>
      </w:r>
      <w:r w:rsidRPr="00A03B67">
        <w:rPr>
          <w:i/>
          <w:iCs/>
          <w:szCs w:val="18"/>
        </w:rPr>
        <w:t>Parliamentary Debates</w:t>
      </w:r>
      <w:r w:rsidRPr="00A03B67">
        <w:rPr>
          <w:szCs w:val="18"/>
        </w:rPr>
        <w:t xml:space="preserve">, House of Representatives, 28 November 2023, 8711 (Adam Bandt).  </w:t>
      </w:r>
    </w:p>
  </w:footnote>
  <w:footnote w:id="504">
    <w:p w14:paraId="5DEFB921" w14:textId="6877242A" w:rsidR="00173F8E" w:rsidRPr="00A03B67" w:rsidRDefault="00173F8E" w:rsidP="00173F8E">
      <w:pPr>
        <w:pStyle w:val="FootnoteText"/>
      </w:pPr>
      <w:r w:rsidRPr="00A03B67">
        <w:rPr>
          <w:rStyle w:val="FootnoteReference"/>
        </w:rPr>
        <w:footnoteRef/>
      </w:r>
      <w:r w:rsidRPr="00A03B67">
        <w:t xml:space="preserve"> Fair Work Commission, </w:t>
      </w:r>
      <w:r w:rsidRPr="00A03B67">
        <w:rPr>
          <w:i/>
          <w:iCs/>
        </w:rPr>
        <w:t>Annual Report</w:t>
      </w:r>
      <w:r w:rsidRPr="00A03B67">
        <w:t xml:space="preserve"> </w:t>
      </w:r>
      <w:r w:rsidRPr="00A03B67">
        <w:rPr>
          <w:i/>
          <w:iCs/>
        </w:rPr>
        <w:t>2022–23</w:t>
      </w:r>
      <w:r w:rsidRPr="00A03B67">
        <w:t xml:space="preserve"> </w:t>
      </w:r>
      <w:r w:rsidR="003F62D1" w:rsidRPr="00A03B67">
        <w:t xml:space="preserve">(Report, 2023) </w:t>
      </w:r>
      <w:r w:rsidRPr="00A03B67">
        <w:t>28.</w:t>
      </w:r>
    </w:p>
  </w:footnote>
  <w:footnote w:id="505">
    <w:p w14:paraId="509E1AC0" w14:textId="05B689AB" w:rsidR="00173F8E" w:rsidRPr="00A03B67" w:rsidRDefault="00173F8E" w:rsidP="00173F8E">
      <w:pPr>
        <w:pStyle w:val="FootnoteText"/>
      </w:pPr>
      <w:r w:rsidRPr="00A03B67">
        <w:rPr>
          <w:rStyle w:val="FootnoteReference"/>
        </w:rPr>
        <w:footnoteRef/>
      </w:r>
      <w:r w:rsidRPr="00A03B67">
        <w:t xml:space="preserve"> Fair Work Commission, </w:t>
      </w:r>
      <w:r w:rsidRPr="00A03B67">
        <w:rPr>
          <w:i/>
          <w:iCs/>
        </w:rPr>
        <w:t>Annual Report</w:t>
      </w:r>
      <w:r w:rsidRPr="00A03B67">
        <w:t xml:space="preserve"> </w:t>
      </w:r>
      <w:r w:rsidRPr="00A03B67">
        <w:rPr>
          <w:i/>
          <w:iCs/>
        </w:rPr>
        <w:t>2023</w:t>
      </w:r>
      <w:r w:rsidR="003F62D1" w:rsidRPr="00A03B67">
        <w:rPr>
          <w:rFonts w:ascii="Symbol" w:eastAsia="Symbol" w:hAnsi="Symbol" w:cs="Symbol"/>
          <w:i/>
          <w:iCs/>
        </w:rPr>
        <w:t>-</w:t>
      </w:r>
      <w:r w:rsidRPr="00A03B67">
        <w:rPr>
          <w:i/>
          <w:iCs/>
        </w:rPr>
        <w:t>2024</w:t>
      </w:r>
      <w:r w:rsidR="003F62D1" w:rsidRPr="00A03B67">
        <w:t xml:space="preserve"> (Report, 2024) 63, </w:t>
      </w:r>
      <w:r w:rsidRPr="00A03B67">
        <w:t>table C1.</w:t>
      </w:r>
    </w:p>
  </w:footnote>
  <w:footnote w:id="506">
    <w:p w14:paraId="5C7529F0" w14:textId="77777777" w:rsidR="00173F8E" w:rsidRPr="00A03B67" w:rsidRDefault="00173F8E" w:rsidP="00173F8E">
      <w:pPr>
        <w:pStyle w:val="FootnoteText"/>
      </w:pPr>
      <w:r w:rsidRPr="00A03B67">
        <w:rPr>
          <w:rStyle w:val="FootnoteReference"/>
        </w:rPr>
        <w:footnoteRef/>
      </w:r>
      <w:r w:rsidRPr="00A03B67">
        <w:t xml:space="preserve"> </w:t>
      </w:r>
      <w:r w:rsidRPr="00A03B67">
        <w:rPr>
          <w:i/>
        </w:rPr>
        <w:t>United Firefighters’ Union of Australia v Fire Rescue Victoria T/A FRV</w:t>
      </w:r>
      <w:r w:rsidRPr="00A03B67">
        <w:t xml:space="preserve"> [2024] FWCFB 43 [3].</w:t>
      </w:r>
    </w:p>
  </w:footnote>
  <w:footnote w:id="507">
    <w:p w14:paraId="15D6D580"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[4], [19].</w:t>
      </w:r>
    </w:p>
  </w:footnote>
  <w:footnote w:id="508">
    <w:p w14:paraId="6DC945E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[141].</w:t>
      </w:r>
    </w:p>
  </w:footnote>
  <w:footnote w:id="509">
    <w:p w14:paraId="5D8B5D72"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[139], [141].</w:t>
      </w:r>
    </w:p>
  </w:footnote>
  <w:footnote w:id="510">
    <w:p w14:paraId="468CD6F9"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[147]-[148].</w:t>
      </w:r>
    </w:p>
  </w:footnote>
  <w:footnote w:id="511">
    <w:p w14:paraId="241FF243"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[167]-[168].</w:t>
      </w:r>
    </w:p>
  </w:footnote>
  <w:footnote w:id="512">
    <w:p w14:paraId="789DCC14" w14:textId="2C28A5DB" w:rsidR="00173F8E" w:rsidRPr="00A03B67" w:rsidRDefault="00173F8E" w:rsidP="00173F8E">
      <w:pPr>
        <w:pStyle w:val="FootnoteText"/>
      </w:pPr>
      <w:r w:rsidRPr="00A03B67">
        <w:rPr>
          <w:rStyle w:val="FootnoteReference"/>
        </w:rPr>
        <w:footnoteRef/>
      </w:r>
      <w:r w:rsidRPr="00A03B67">
        <w:t xml:space="preserve"> </w:t>
      </w:r>
      <w:r w:rsidR="00881629" w:rsidRPr="00A03B67">
        <w:rPr>
          <w:i/>
          <w:iCs/>
        </w:rPr>
        <w:t xml:space="preserve">Transport Workers’ Union of Australia v Cleanaway Operations Pty Ltd t/as Cleanaway Operations Pty Ltd (Erskine Park) </w:t>
      </w:r>
      <w:r w:rsidRPr="00A03B67">
        <w:t>[2025] FWC 1.</w:t>
      </w:r>
    </w:p>
  </w:footnote>
  <w:footnote w:id="513">
    <w:p w14:paraId="58AB1001" w14:textId="2299CEEA"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Application by Chief Commissioner of Victoria Police </w:t>
      </w:r>
      <w:r w:rsidR="003F62D1" w:rsidRPr="00A03B67">
        <w:rPr>
          <w:i/>
          <w:iCs/>
        </w:rPr>
        <w:t>t/as</w:t>
      </w:r>
      <w:r w:rsidRPr="00A03B67">
        <w:rPr>
          <w:i/>
          <w:iCs/>
        </w:rPr>
        <w:t xml:space="preserve"> Victoria Police </w:t>
      </w:r>
      <w:r w:rsidRPr="00A03B67">
        <w:t>[2025] FWC [86].</w:t>
      </w:r>
    </w:p>
  </w:footnote>
  <w:footnote w:id="514">
    <w:p w14:paraId="3DD57008" w14:textId="7EAB2DDA" w:rsidR="00F154F4" w:rsidRPr="00A03B67" w:rsidRDefault="00F154F4">
      <w:pPr>
        <w:pStyle w:val="FootnoteText"/>
      </w:pPr>
      <w:r w:rsidRPr="00A03B67">
        <w:rPr>
          <w:rStyle w:val="FootnoteReference"/>
        </w:rPr>
        <w:footnoteRef/>
      </w:r>
      <w:r w:rsidRPr="00A03B67">
        <w:t xml:space="preserve"> [2024] FWCFB 287.</w:t>
      </w:r>
    </w:p>
  </w:footnote>
  <w:footnote w:id="515">
    <w:p w14:paraId="3591D034" w14:textId="01A3AFC4" w:rsidR="00173F8E" w:rsidRPr="00A03B67" w:rsidRDefault="00173F8E" w:rsidP="00173F8E">
      <w:pPr>
        <w:pStyle w:val="FootnoteText"/>
      </w:pPr>
      <w:r w:rsidRPr="00A03B67">
        <w:rPr>
          <w:rStyle w:val="FootnoteReference"/>
        </w:rPr>
        <w:footnoteRef/>
      </w:r>
      <w:r w:rsidRPr="00A03B67">
        <w:t xml:space="preserve"> </w:t>
      </w:r>
      <w:r w:rsidRPr="00A03B67">
        <w:rPr>
          <w:i/>
        </w:rPr>
        <w:t>Transport Workers</w:t>
      </w:r>
      <w:r w:rsidR="003F62D1" w:rsidRPr="00A03B67">
        <w:rPr>
          <w:i/>
        </w:rPr>
        <w:t>’</w:t>
      </w:r>
      <w:r w:rsidRPr="00A03B67">
        <w:rPr>
          <w:i/>
        </w:rPr>
        <w:t xml:space="preserve"> Union of Australia</w:t>
      </w:r>
      <w:r w:rsidRPr="00A03B67">
        <w:rPr>
          <w:i/>
          <w:iCs/>
        </w:rPr>
        <w:t xml:space="preserve"> </w:t>
      </w:r>
      <w:r w:rsidRPr="00A03B67">
        <w:rPr>
          <w:i/>
        </w:rPr>
        <w:t>v</w:t>
      </w:r>
      <w:r w:rsidRPr="00A03B67">
        <w:rPr>
          <w:i/>
          <w:iCs/>
        </w:rPr>
        <w:t xml:space="preserve"> </w:t>
      </w:r>
      <w:r w:rsidRPr="00A03B67">
        <w:rPr>
          <w:i/>
        </w:rPr>
        <w:t>Cleanaway Operations Pty Ltd</w:t>
      </w:r>
      <w:r w:rsidRPr="00A03B67">
        <w:t xml:space="preserve"> [2024] FWC 91.</w:t>
      </w:r>
    </w:p>
  </w:footnote>
  <w:footnote w:id="516">
    <w:p w14:paraId="35ED2C90" w14:textId="7BED2538"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(Erksine) </w:t>
      </w:r>
      <w:r w:rsidRPr="00A03B67">
        <w:t>[2024] FWCFB 287</w:t>
      </w:r>
      <w:r w:rsidRPr="00A03B67">
        <w:rPr>
          <w:lang w:val="en-US"/>
        </w:rPr>
        <w:t xml:space="preserve"> [22].</w:t>
      </w:r>
      <w:r w:rsidRPr="00A03B67">
        <w:rPr>
          <w:b/>
          <w:bCs/>
          <w:lang w:val="en-US"/>
        </w:rPr>
        <w:t> </w:t>
      </w:r>
    </w:p>
  </w:footnote>
  <w:footnote w:id="517">
    <w:p w14:paraId="66D369B3" w14:textId="19A4403B"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287</w:t>
      </w:r>
      <w:r w:rsidRPr="00A03B67">
        <w:rPr>
          <w:b/>
          <w:bCs/>
          <w:lang w:val="en-US"/>
        </w:rPr>
        <w:t xml:space="preserve"> </w:t>
      </w:r>
      <w:r w:rsidRPr="00A03B67">
        <w:rPr>
          <w:lang w:val="en-US"/>
        </w:rPr>
        <w:t>[170].</w:t>
      </w:r>
      <w:r w:rsidRPr="00A03B67">
        <w:rPr>
          <w:b/>
          <w:bCs/>
          <w:lang w:val="en-US"/>
        </w:rPr>
        <w:t xml:space="preserve"> </w:t>
      </w:r>
    </w:p>
  </w:footnote>
  <w:footnote w:id="518">
    <w:p w14:paraId="578AEC9D" w14:textId="4D611407"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287</w:t>
      </w:r>
      <w:r w:rsidRPr="00A03B67">
        <w:rPr>
          <w:b/>
          <w:bCs/>
          <w:lang w:val="en-US"/>
        </w:rPr>
        <w:t xml:space="preserve"> </w:t>
      </w:r>
      <w:r w:rsidRPr="00A03B67">
        <w:rPr>
          <w:lang w:val="en-US"/>
        </w:rPr>
        <w:t>[206].</w:t>
      </w:r>
      <w:r w:rsidRPr="00A03B67">
        <w:rPr>
          <w:b/>
          <w:bCs/>
          <w:lang w:val="en-US"/>
        </w:rPr>
        <w:t xml:space="preserve"> </w:t>
      </w:r>
    </w:p>
  </w:footnote>
  <w:footnote w:id="519">
    <w:p w14:paraId="07A43528" w14:textId="577CAC74"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287</w:t>
      </w:r>
      <w:r w:rsidRPr="00A03B67">
        <w:rPr>
          <w:b/>
          <w:bCs/>
          <w:lang w:val="en-US"/>
        </w:rPr>
        <w:t xml:space="preserve"> </w:t>
      </w:r>
      <w:r w:rsidRPr="00A03B67">
        <w:rPr>
          <w:lang w:val="en-US"/>
        </w:rPr>
        <w:t>[236].</w:t>
      </w:r>
      <w:r w:rsidRPr="00A03B67">
        <w:rPr>
          <w:b/>
          <w:bCs/>
          <w:lang w:val="en-US"/>
        </w:rPr>
        <w:t xml:space="preserve"> </w:t>
      </w:r>
    </w:p>
  </w:footnote>
  <w:footnote w:id="520">
    <w:p w14:paraId="4197E52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Application by Transport Workers' Union of Australia</w:t>
      </w:r>
      <w:r w:rsidRPr="00A03B67">
        <w:rPr>
          <w:lang w:val="en-US"/>
        </w:rPr>
        <w:t xml:space="preserve"> (179V) [2024] FWCFB 287, [205].</w:t>
      </w:r>
    </w:p>
  </w:footnote>
  <w:footnote w:id="521">
    <w:p w14:paraId="220545C5" w14:textId="334C66D2" w:rsidR="00F154F4" w:rsidRPr="00A03B67" w:rsidRDefault="00F154F4">
      <w:pPr>
        <w:pStyle w:val="FootnoteText"/>
      </w:pPr>
      <w:r w:rsidRPr="00A03B67">
        <w:rPr>
          <w:rStyle w:val="FootnoteReference"/>
        </w:rPr>
        <w:footnoteRef/>
      </w:r>
      <w:r w:rsidRPr="00A03B67">
        <w:t xml:space="preserve"> [2024] FWCFB 305.</w:t>
      </w:r>
    </w:p>
  </w:footnote>
  <w:footnote w:id="522">
    <w:p w14:paraId="7B3E9D52" w14:textId="64F0CF95"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[9].</w:t>
      </w:r>
      <w:r w:rsidRPr="00A03B67">
        <w:rPr>
          <w:b/>
          <w:bCs/>
          <w:lang w:val="en-US"/>
        </w:rPr>
        <w:t> </w:t>
      </w:r>
    </w:p>
  </w:footnote>
  <w:footnote w:id="523">
    <w:p w14:paraId="2C264DAC" w14:textId="0558611F"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[137].</w:t>
      </w:r>
      <w:r w:rsidRPr="00A03B67">
        <w:rPr>
          <w:b/>
          <w:bCs/>
          <w:lang w:val="en-US"/>
        </w:rPr>
        <w:t> </w:t>
      </w:r>
    </w:p>
  </w:footnote>
  <w:footnote w:id="524">
    <w:p w14:paraId="547E9520" w14:textId="2A929B82"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[139].</w:t>
      </w:r>
      <w:r w:rsidRPr="00A03B67">
        <w:rPr>
          <w:b/>
          <w:bCs/>
          <w:lang w:val="en-US"/>
        </w:rPr>
        <w:t> </w:t>
      </w:r>
    </w:p>
  </w:footnote>
  <w:footnote w:id="525">
    <w:p w14:paraId="172BDE12" w14:textId="55649B5F" w:rsidR="00173F8E" w:rsidRPr="00A03B67" w:rsidRDefault="00173F8E" w:rsidP="00173F8E">
      <w:pPr>
        <w:pStyle w:val="FootnoteText"/>
      </w:pPr>
      <w:r w:rsidRPr="00A03B67">
        <w:rPr>
          <w:rStyle w:val="FootnoteReference"/>
        </w:rPr>
        <w:footnoteRef/>
      </w:r>
      <w:r w:rsidRPr="00A03B67">
        <w:t xml:space="preserve"> </w:t>
      </w:r>
      <w:r w:rsidRPr="00A03B67">
        <w:rPr>
          <w:i/>
          <w:iCs/>
          <w:lang w:val="en-US"/>
        </w:rPr>
        <w:t>Transport Workers</w:t>
      </w:r>
      <w:r w:rsidR="003F62D1" w:rsidRPr="00A03B67">
        <w:rPr>
          <w:i/>
          <w:iCs/>
          <w:lang w:val="en-US"/>
        </w:rPr>
        <w:t>’</w:t>
      </w:r>
      <w:r w:rsidRPr="00A03B67">
        <w:rPr>
          <w:i/>
          <w:iCs/>
          <w:lang w:val="en-US"/>
        </w:rPr>
        <w:t xml:space="preserve">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[175].</w:t>
      </w:r>
      <w:r w:rsidRPr="00A03B67">
        <w:rPr>
          <w:b/>
          <w:bCs/>
          <w:lang w:val="en-US"/>
        </w:rPr>
        <w:t> </w:t>
      </w:r>
    </w:p>
  </w:footnote>
  <w:footnote w:id="526">
    <w:p w14:paraId="08F30C2B" w14:textId="74C0EFE7" w:rsidR="00173F8E" w:rsidRPr="00A03B67" w:rsidRDefault="00173F8E" w:rsidP="00173F8E">
      <w:pPr>
        <w:pStyle w:val="FootnoteText"/>
      </w:pPr>
      <w:r w:rsidRPr="00A03B67">
        <w:rPr>
          <w:rStyle w:val="FootnoteReference"/>
        </w:rPr>
        <w:footnoteRef/>
      </w:r>
      <w:r w:rsidRPr="00A03B67">
        <w:t xml:space="preserve"> Application by Virgin Australia Regional Airlines Pty Lt</w:t>
      </w:r>
      <w:r w:rsidR="006B272C" w:rsidRPr="00A03B67">
        <w:t>d</w:t>
      </w:r>
      <w:r w:rsidRPr="00A03B67">
        <w:t xml:space="preserve"> </w:t>
      </w:r>
      <w:r w:rsidR="003F62D1" w:rsidRPr="00A03B67">
        <w:t xml:space="preserve">t/as </w:t>
      </w:r>
      <w:r w:rsidRPr="00A03B67">
        <w:t>Virgin Australia Regional Airlines (VARA). VARA Outline of Submissions, [4], [14].</w:t>
      </w:r>
    </w:p>
  </w:footnote>
  <w:footnote w:id="527">
    <w:p w14:paraId="6F2686DD" w14:textId="77777777" w:rsidR="00173F8E" w:rsidRPr="00A03B67" w:rsidRDefault="00173F8E" w:rsidP="00173F8E">
      <w:pPr>
        <w:pStyle w:val="FootnoteText"/>
      </w:pPr>
      <w:r w:rsidRPr="00A03B67">
        <w:rPr>
          <w:rStyle w:val="FootnoteReference"/>
        </w:rPr>
        <w:footnoteRef/>
      </w:r>
      <w:r w:rsidRPr="00A03B67">
        <w:t xml:space="preserve"> Virgin Australia Regional Airlines – application for an intractable bargaining declaration (B2023/543). ALAEA Outline of Submissions, [8].</w:t>
      </w:r>
    </w:p>
  </w:footnote>
  <w:footnote w:id="528">
    <w:p w14:paraId="3410C3CC" w14:textId="77777777" w:rsidR="00173F8E" w:rsidRPr="00A03B67" w:rsidRDefault="00173F8E" w:rsidP="00173F8E">
      <w:pPr>
        <w:pStyle w:val="FootnoteText"/>
      </w:pPr>
      <w:r w:rsidRPr="00A03B67">
        <w:rPr>
          <w:rStyle w:val="FootnoteReference"/>
        </w:rPr>
        <w:footnoteRef/>
      </w:r>
      <w:r w:rsidRPr="00A03B67">
        <w:t xml:space="preserve"> Virgin Australia Regional Airlines – application for an intractable bargaining declaration (B2023/543), Correspondence – discontinuance and Commission’s reply 20 July 2023.</w:t>
      </w:r>
    </w:p>
  </w:footnote>
  <w:footnote w:id="529">
    <w:p w14:paraId="0234382A" w14:textId="77777777" w:rsidR="00173F8E" w:rsidRPr="00A03B67" w:rsidRDefault="00173F8E" w:rsidP="00173F8E">
      <w:pPr>
        <w:pStyle w:val="FootnoteText"/>
      </w:pPr>
      <w:r w:rsidRPr="00A03B67">
        <w:rPr>
          <w:rStyle w:val="FootnoteReference"/>
        </w:rPr>
        <w:footnoteRef/>
      </w:r>
      <w:r w:rsidRPr="00A03B67">
        <w:t xml:space="preserve"> Virgin Australia Regional Airlines – application for an intractable bargaining declaration (B2023/543), Notice of listing – hearing cancelled 20 July 2023.</w:t>
      </w:r>
    </w:p>
  </w:footnote>
  <w:footnote w:id="530">
    <w:p w14:paraId="285B4893" w14:textId="5B2B69D1" w:rsidR="00173F8E" w:rsidRPr="00A03B67" w:rsidRDefault="00173F8E" w:rsidP="00173F8E">
      <w:pPr>
        <w:pStyle w:val="FootnoteText"/>
      </w:pPr>
      <w:r w:rsidRPr="00A03B67">
        <w:rPr>
          <w:rStyle w:val="FootnoteReference"/>
        </w:rPr>
        <w:footnoteRef/>
      </w:r>
      <w:r w:rsidRPr="00A03B67">
        <w:t xml:space="preserve"> </w:t>
      </w:r>
      <w:r w:rsidRPr="00A03B67">
        <w:rPr>
          <w:i/>
          <w:iCs/>
        </w:rPr>
        <w:t>Virgin</w:t>
      </w:r>
      <w:r w:rsidR="003F62D1" w:rsidRPr="00A03B67">
        <w:rPr>
          <w:i/>
          <w:iCs/>
        </w:rPr>
        <w:t xml:space="preserve"> </w:t>
      </w:r>
      <w:r w:rsidRPr="00A03B67">
        <w:rPr>
          <w:i/>
          <w:iCs/>
        </w:rPr>
        <w:t>Australia Regional Airlines Aircraft Engineers (Western Australia) Enterprise Agreement 2023</w:t>
      </w:r>
      <w:r w:rsidRPr="00A03B67">
        <w:t>, [2023] FWCA 2946</w:t>
      </w:r>
      <w:r w:rsidR="003F62D1" w:rsidRPr="00A03B67">
        <w:t>.</w:t>
      </w:r>
    </w:p>
  </w:footnote>
  <w:footnote w:id="531">
    <w:p w14:paraId="50FBF46A" w14:textId="6F9A2B69"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 xml:space="preserve">, </w:t>
      </w:r>
      <w:r w:rsidRPr="00A03B67">
        <w:t>86.</w:t>
      </w:r>
    </w:p>
  </w:footnote>
  <w:footnote w:id="532">
    <w:p w14:paraId="0184EB54" w14:textId="0735379D" w:rsidR="00293C6C" w:rsidRPr="00A03B67" w:rsidRDefault="00293C6C" w:rsidP="00293C6C">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w:t>
      </w:r>
      <w:r w:rsidRPr="00A03B67">
        <w:t xml:space="preserve"> 86.</w:t>
      </w:r>
    </w:p>
  </w:footnote>
  <w:footnote w:id="533">
    <w:p w14:paraId="5CC80F3F" w14:textId="4748B534" w:rsidR="00173F8E" w:rsidRPr="00A03B67" w:rsidRDefault="00173F8E" w:rsidP="00173F8E">
      <w:pPr>
        <w:pStyle w:val="FootnoteText"/>
      </w:pPr>
      <w:r w:rsidRPr="00A03B67">
        <w:rPr>
          <w:rStyle w:val="FootnoteReference"/>
        </w:rPr>
        <w:footnoteRef/>
      </w:r>
      <w:r w:rsidRPr="00A03B67">
        <w:t xml:space="preserve"> IEU </w:t>
      </w:r>
      <w:r w:rsidR="003F62D1" w:rsidRPr="00A03B67">
        <w:t>s</w:t>
      </w:r>
      <w:r w:rsidRPr="00A03B67">
        <w:t>ubmission</w:t>
      </w:r>
      <w:r w:rsidR="003F62D1" w:rsidRPr="00A03B67">
        <w:t>,</w:t>
      </w:r>
      <w:r w:rsidRPr="00A03B67">
        <w:t xml:space="preserve"> 5.</w:t>
      </w:r>
    </w:p>
  </w:footnote>
  <w:footnote w:id="534">
    <w:p w14:paraId="01FDBE08" w14:textId="5B0BB4AD" w:rsidR="00173F8E" w:rsidRPr="00A03B67" w:rsidRDefault="00173F8E" w:rsidP="00173F8E">
      <w:pPr>
        <w:pStyle w:val="FootnoteText"/>
      </w:pPr>
      <w:r w:rsidRPr="00A03B67">
        <w:rPr>
          <w:rStyle w:val="FootnoteReference"/>
        </w:rPr>
        <w:footnoteRef/>
      </w:r>
      <w:r w:rsidRPr="00A03B67">
        <w:t xml:space="preserve"> CPSU </w:t>
      </w:r>
      <w:r w:rsidR="003F62D1" w:rsidRPr="00A03B67">
        <w:t>s</w:t>
      </w:r>
      <w:r w:rsidRPr="00A03B67">
        <w:t>ubmission</w:t>
      </w:r>
      <w:r w:rsidR="003F62D1" w:rsidRPr="00A03B67">
        <w:t>,</w:t>
      </w:r>
      <w:r w:rsidRPr="00A03B67">
        <w:t xml:space="preserve"> 8.</w:t>
      </w:r>
    </w:p>
  </w:footnote>
  <w:footnote w:id="535">
    <w:p w14:paraId="7E6FD9B9" w14:textId="7C1B1CF1" w:rsidR="00173F8E" w:rsidRPr="00A03B67" w:rsidRDefault="00173F8E" w:rsidP="00173F8E">
      <w:pPr>
        <w:pStyle w:val="FootnoteText"/>
      </w:pPr>
      <w:r w:rsidRPr="00A03B67">
        <w:rPr>
          <w:rStyle w:val="FootnoteReference"/>
        </w:rPr>
        <w:footnoteRef/>
      </w:r>
      <w:r w:rsidRPr="00A03B67">
        <w:t xml:space="preserve"> ANMF </w:t>
      </w:r>
      <w:r w:rsidR="003F62D1" w:rsidRPr="00A03B67">
        <w:t>s</w:t>
      </w:r>
      <w:r w:rsidRPr="00A03B67">
        <w:t>ubmission</w:t>
      </w:r>
      <w:r w:rsidR="003F62D1" w:rsidRPr="00A03B67">
        <w:t>,</w:t>
      </w:r>
      <w:r w:rsidRPr="00A03B67">
        <w:t xml:space="preserve"> 9.</w:t>
      </w:r>
    </w:p>
  </w:footnote>
  <w:footnote w:id="536">
    <w:p w14:paraId="24007D7B" w14:textId="606A74EE" w:rsidR="00173F8E" w:rsidRPr="00A03B67" w:rsidRDefault="00173F8E" w:rsidP="00173F8E">
      <w:pPr>
        <w:pStyle w:val="FootnoteText"/>
      </w:pPr>
      <w:r w:rsidRPr="00A03B67">
        <w:rPr>
          <w:rStyle w:val="FootnoteReference"/>
        </w:rPr>
        <w:footnoteRef/>
      </w:r>
      <w:r w:rsidRPr="00A03B67">
        <w:t xml:space="preserve"> UWU </w:t>
      </w:r>
      <w:r w:rsidR="003F62D1" w:rsidRPr="00A03B67">
        <w:t>s</w:t>
      </w:r>
      <w:r w:rsidRPr="00A03B67">
        <w:t>ubmission</w:t>
      </w:r>
      <w:r w:rsidR="003F62D1" w:rsidRPr="00A03B67">
        <w:t>,</w:t>
      </w:r>
      <w:r w:rsidRPr="00A03B67">
        <w:t xml:space="preserve"> 33.</w:t>
      </w:r>
    </w:p>
  </w:footnote>
  <w:footnote w:id="537">
    <w:p w14:paraId="41DA980C" w14:textId="1CAC680C" w:rsidR="00173F8E" w:rsidRPr="00A03B67" w:rsidRDefault="00173F8E" w:rsidP="00173F8E">
      <w:pPr>
        <w:pStyle w:val="FootnoteText"/>
      </w:pPr>
      <w:r w:rsidRPr="00A03B67">
        <w:rPr>
          <w:rStyle w:val="FootnoteReference"/>
        </w:rPr>
        <w:footnoteRef/>
      </w:r>
      <w:r w:rsidRPr="00A03B67">
        <w:t xml:space="preserve"> ETU </w:t>
      </w:r>
      <w:r w:rsidR="003F62D1" w:rsidRPr="00A03B67">
        <w:t>s</w:t>
      </w:r>
      <w:r w:rsidRPr="00A03B67">
        <w:t>ubmission</w:t>
      </w:r>
      <w:r w:rsidR="003F62D1" w:rsidRPr="00A03B67">
        <w:t>,</w:t>
      </w:r>
      <w:r w:rsidRPr="00A03B67">
        <w:t xml:space="preserve"> </w:t>
      </w:r>
      <w:r w:rsidR="003F62D1" w:rsidRPr="00A03B67">
        <w:t>[</w:t>
      </w:r>
      <w:r w:rsidRPr="00A03B67">
        <w:t>7</w:t>
      </w:r>
      <w:r w:rsidR="003F62D1" w:rsidRPr="00A03B67">
        <w:t>]</w:t>
      </w:r>
      <w:r w:rsidRPr="00A03B67">
        <w:t>.</w:t>
      </w:r>
    </w:p>
  </w:footnote>
  <w:footnote w:id="538">
    <w:p w14:paraId="7A07DF52" w14:textId="7083169C" w:rsidR="00173F8E" w:rsidRPr="00A03B67" w:rsidRDefault="00173F8E" w:rsidP="00173F8E">
      <w:pPr>
        <w:pStyle w:val="FootnoteText"/>
      </w:pPr>
      <w:r w:rsidRPr="00A03B67">
        <w:rPr>
          <w:rStyle w:val="FootnoteReference"/>
        </w:rPr>
        <w:footnoteRef/>
      </w:r>
      <w:r w:rsidRPr="00A03B67">
        <w:t xml:space="preserve"> Chamber of Minerals &amp; Energy of Western Australia </w:t>
      </w:r>
      <w:r w:rsidR="003F62D1" w:rsidRPr="00A03B67">
        <w:t>s</w:t>
      </w:r>
      <w:r w:rsidRPr="00A03B67">
        <w:t>ubmission</w:t>
      </w:r>
      <w:r w:rsidR="003F62D1" w:rsidRPr="00A03B67">
        <w:t>,</w:t>
      </w:r>
      <w:r w:rsidRPr="00A03B67">
        <w:t xml:space="preserve"> 4</w:t>
      </w:r>
      <w:r w:rsidR="003F62D1" w:rsidRPr="00A03B67">
        <w:t>;</w:t>
      </w:r>
      <w:r w:rsidRPr="00A03B67">
        <w:t xml:space="preserve"> MBA </w:t>
      </w:r>
      <w:r w:rsidR="003F62D1" w:rsidRPr="00A03B67">
        <w:t>s</w:t>
      </w:r>
      <w:r w:rsidRPr="00A03B67">
        <w:t>ubmission</w:t>
      </w:r>
      <w:r w:rsidR="003F62D1" w:rsidRPr="00A03B67">
        <w:t xml:space="preserve">, </w:t>
      </w:r>
      <w:r w:rsidRPr="00A03B67">
        <w:t>19</w:t>
      </w:r>
      <w:r w:rsidR="003F62D1" w:rsidRPr="00A03B67">
        <w:rPr>
          <w:rFonts w:ascii="Symbol" w:eastAsia="Symbol" w:hAnsi="Symbol" w:cs="Symbol"/>
        </w:rPr>
        <w:t>-</w:t>
      </w:r>
      <w:r w:rsidRPr="00A03B67">
        <w:t xml:space="preserve">20; Whitehaven Coal </w:t>
      </w:r>
      <w:r w:rsidR="003F62D1" w:rsidRPr="00A03B67">
        <w:t>s</w:t>
      </w:r>
      <w:r w:rsidRPr="00A03B67">
        <w:t>ubmission</w:t>
      </w:r>
      <w:r w:rsidR="003F62D1" w:rsidRPr="00A03B67">
        <w:t>,</w:t>
      </w:r>
      <w:r w:rsidRPr="00A03B67">
        <w:t xml:space="preserve"> 7.</w:t>
      </w:r>
    </w:p>
  </w:footnote>
  <w:footnote w:id="539">
    <w:p w14:paraId="1B0F3A43" w14:textId="421D0EA1" w:rsidR="00173F8E" w:rsidRPr="00A03B67" w:rsidRDefault="00173F8E" w:rsidP="00173F8E">
      <w:pPr>
        <w:pStyle w:val="FootnoteText"/>
      </w:pPr>
      <w:r w:rsidRPr="00A03B67">
        <w:rPr>
          <w:rStyle w:val="FootnoteReference"/>
        </w:rPr>
        <w:footnoteRef/>
      </w:r>
      <w:r w:rsidRPr="00A03B67">
        <w:t xml:space="preserve"> ACCI </w:t>
      </w:r>
      <w:r w:rsidR="003F62D1" w:rsidRPr="00A03B67">
        <w:t>s</w:t>
      </w:r>
      <w:r w:rsidRPr="00A03B67">
        <w:t>ubmission</w:t>
      </w:r>
      <w:r w:rsidR="003F62D1" w:rsidRPr="00A03B67">
        <w:t>,</w:t>
      </w:r>
      <w:r w:rsidRPr="00A03B67">
        <w:t xml:space="preserve"> 34.</w:t>
      </w:r>
    </w:p>
  </w:footnote>
  <w:footnote w:id="540">
    <w:p w14:paraId="323ADE5A" w14:textId="1BCEE79A"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w:t>
      </w:r>
      <w:r w:rsidRPr="00A03B67">
        <w:t xml:space="preserve"> 31.</w:t>
      </w:r>
    </w:p>
  </w:footnote>
  <w:footnote w:id="541">
    <w:p w14:paraId="1770FD83" w14:textId="68639AF8" w:rsidR="00173F8E" w:rsidRPr="00A03B67" w:rsidRDefault="00173F8E" w:rsidP="00173F8E">
      <w:pPr>
        <w:pStyle w:val="FootnoteText"/>
      </w:pPr>
      <w:r w:rsidRPr="00A03B67">
        <w:rPr>
          <w:rStyle w:val="FootnoteReference"/>
        </w:rPr>
        <w:footnoteRef/>
      </w:r>
      <w:r w:rsidRPr="00A03B67">
        <w:t xml:space="preserve"> BCA </w:t>
      </w:r>
      <w:r w:rsidR="003F62D1" w:rsidRPr="00A03B67">
        <w:t>s</w:t>
      </w:r>
      <w:r w:rsidRPr="00A03B67">
        <w:t>ubmission</w:t>
      </w:r>
      <w:r w:rsidR="003F62D1" w:rsidRPr="00A03B67">
        <w:t>,</w:t>
      </w:r>
      <w:r w:rsidRPr="00A03B67">
        <w:t xml:space="preserve"> 13.</w:t>
      </w:r>
    </w:p>
  </w:footnote>
  <w:footnote w:id="542">
    <w:p w14:paraId="64BA43C2" w14:textId="447275F8" w:rsidR="00173F8E" w:rsidRPr="00A03B67" w:rsidRDefault="00173F8E" w:rsidP="00173F8E">
      <w:pPr>
        <w:pStyle w:val="FootnoteText"/>
      </w:pPr>
      <w:r w:rsidRPr="00A03B67">
        <w:rPr>
          <w:rStyle w:val="FootnoteReference"/>
        </w:rPr>
        <w:footnoteRef/>
      </w:r>
      <w:r w:rsidRPr="00A03B67">
        <w:t xml:space="preserve"> CCIWA </w:t>
      </w:r>
      <w:r w:rsidR="003F62D1" w:rsidRPr="00A03B67">
        <w:t>s</w:t>
      </w:r>
      <w:r w:rsidRPr="00A03B67">
        <w:t>ubmission</w:t>
      </w:r>
      <w:r w:rsidR="003F62D1" w:rsidRPr="00A03B67">
        <w:t>,</w:t>
      </w:r>
      <w:r w:rsidRPr="00A03B67">
        <w:t xml:space="preserve"> 10.</w:t>
      </w:r>
    </w:p>
  </w:footnote>
  <w:footnote w:id="543">
    <w:p w14:paraId="58C65A05" w14:textId="12B6AE60" w:rsidR="00173F8E" w:rsidRPr="00A03B67" w:rsidRDefault="00173F8E" w:rsidP="00173F8E">
      <w:pPr>
        <w:pStyle w:val="FootnoteText"/>
      </w:pPr>
      <w:r w:rsidRPr="00A03B67">
        <w:rPr>
          <w:rStyle w:val="FootnoteReference"/>
        </w:rPr>
        <w:footnoteRef/>
      </w:r>
      <w:r w:rsidRPr="00A03B67">
        <w:t xml:space="preserve"> AREEA </w:t>
      </w:r>
      <w:r w:rsidR="003F62D1" w:rsidRPr="00A03B67">
        <w:t>s</w:t>
      </w:r>
      <w:r w:rsidRPr="00A03B67">
        <w:t>ubmission</w:t>
      </w:r>
      <w:r w:rsidR="003F62D1" w:rsidRPr="00A03B67">
        <w:t>,</w:t>
      </w:r>
      <w:r w:rsidRPr="00A03B67">
        <w:t xml:space="preserve"> 11.</w:t>
      </w:r>
    </w:p>
  </w:footnote>
  <w:footnote w:id="544">
    <w:p w14:paraId="4C7844E9" w14:textId="03B26E9E" w:rsidR="00173F8E" w:rsidRPr="00A03B67" w:rsidRDefault="00173F8E" w:rsidP="00173F8E">
      <w:pPr>
        <w:pStyle w:val="FootnoteText"/>
      </w:pPr>
      <w:r w:rsidRPr="00A03B67">
        <w:rPr>
          <w:rStyle w:val="FootnoteReference"/>
        </w:rPr>
        <w:footnoteRef/>
      </w:r>
      <w:r w:rsidRPr="00A03B67">
        <w:t xml:space="preserve"> AHEIA </w:t>
      </w:r>
      <w:r w:rsidR="003F62D1" w:rsidRPr="00A03B67">
        <w:t>s</w:t>
      </w:r>
      <w:r w:rsidRPr="00A03B67">
        <w:t>ubmission</w:t>
      </w:r>
      <w:r w:rsidR="003F62D1" w:rsidRPr="00A03B67">
        <w:t>,</w:t>
      </w:r>
      <w:r w:rsidRPr="00A03B67">
        <w:t xml:space="preserve"> 13. </w:t>
      </w:r>
    </w:p>
  </w:footnote>
  <w:footnote w:id="545">
    <w:p w14:paraId="3CF88958" w14:textId="0F10E249" w:rsidR="00173F8E" w:rsidRPr="00A03B67" w:rsidRDefault="00173F8E" w:rsidP="00173F8E">
      <w:pPr>
        <w:pStyle w:val="FootnoteText"/>
      </w:pPr>
      <w:r w:rsidRPr="00A03B67">
        <w:rPr>
          <w:rStyle w:val="FootnoteReference"/>
        </w:rPr>
        <w:footnoteRef/>
      </w:r>
      <w:r w:rsidRPr="00A03B67">
        <w:t xml:space="preserve"> ARA </w:t>
      </w:r>
      <w:r w:rsidR="003F62D1" w:rsidRPr="00A03B67">
        <w:t>s</w:t>
      </w:r>
      <w:r w:rsidRPr="00A03B67">
        <w:t>ubmission</w:t>
      </w:r>
      <w:r w:rsidR="003F62D1" w:rsidRPr="00A03B67">
        <w:t>,</w:t>
      </w:r>
      <w:r w:rsidRPr="00A03B67">
        <w:t xml:space="preserve"> 6. </w:t>
      </w:r>
    </w:p>
  </w:footnote>
  <w:footnote w:id="546">
    <w:p w14:paraId="25B9C19F" w14:textId="3DDE07A1" w:rsidR="00173F8E" w:rsidRPr="00A03B67" w:rsidRDefault="00173F8E" w:rsidP="00173F8E">
      <w:pPr>
        <w:pStyle w:val="FootnoteText"/>
      </w:pPr>
      <w:r w:rsidRPr="00A03B67">
        <w:rPr>
          <w:rStyle w:val="FootnoteReference"/>
        </w:rPr>
        <w:footnoteRef/>
      </w:r>
      <w:r w:rsidRPr="00A03B67">
        <w:t xml:space="preserve"> Clubs Australia </w:t>
      </w:r>
      <w:r w:rsidR="003F62D1" w:rsidRPr="00A03B67">
        <w:t>s</w:t>
      </w:r>
      <w:r w:rsidRPr="00A03B67">
        <w:t>ubmission</w:t>
      </w:r>
      <w:r w:rsidR="003F62D1" w:rsidRPr="00A03B67">
        <w:t>,</w:t>
      </w:r>
      <w:r w:rsidRPr="00A03B67">
        <w:t xml:space="preserve"> 2.</w:t>
      </w:r>
    </w:p>
  </w:footnote>
  <w:footnote w:id="547">
    <w:p w14:paraId="6245C3A1"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468A.</w:t>
      </w:r>
    </w:p>
  </w:footnote>
  <w:footnote w:id="548">
    <w:p w14:paraId="296EF3A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468A(2).</w:t>
      </w:r>
    </w:p>
  </w:footnote>
  <w:footnote w:id="549">
    <w:p w14:paraId="2085D9F5"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448A(1).</w:t>
      </w:r>
    </w:p>
  </w:footnote>
  <w:footnote w:id="550">
    <w:p w14:paraId="4A075DC0"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 448A(2).</w:t>
      </w:r>
    </w:p>
  </w:footnote>
  <w:footnote w:id="551">
    <w:p w14:paraId="17A46F1C"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ss</w:t>
      </w:r>
      <w:r w:rsidRPr="00A03B67" w:rsidDel="005A523B">
        <w:t xml:space="preserve"> </w:t>
      </w:r>
      <w:r w:rsidRPr="00A03B67">
        <w:t>408(a), 408(c).</w:t>
      </w:r>
    </w:p>
  </w:footnote>
  <w:footnote w:id="552">
    <w:p w14:paraId="1A474F47" w14:textId="2987D731"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(Closing Loopholes) Bill 2022 1069</w:t>
      </w:r>
      <w:r w:rsidR="003F62D1" w:rsidRPr="00A03B67">
        <w:rPr>
          <w:rFonts w:ascii="Symbol" w:eastAsia="Symbol" w:hAnsi="Symbol" w:cs="Symbol"/>
        </w:rPr>
        <w:t>-</w:t>
      </w:r>
      <w:r w:rsidRPr="00A03B67">
        <w:t>1070.</w:t>
      </w:r>
    </w:p>
  </w:footnote>
  <w:footnote w:id="553">
    <w:p w14:paraId="3CB922EC" w14:textId="3E9FC733" w:rsidR="00173F8E" w:rsidRPr="00A03B67" w:rsidRDefault="00173F8E" w:rsidP="00173F8E">
      <w:pPr>
        <w:pStyle w:val="FootnoteText"/>
      </w:pPr>
      <w:r w:rsidRPr="00A03B67">
        <w:rPr>
          <w:rStyle w:val="FootnoteReference"/>
        </w:rPr>
        <w:footnoteRef/>
      </w:r>
      <w:r w:rsidRPr="00A03B67">
        <w:t xml:space="preserve"> </w:t>
      </w:r>
      <w:r w:rsidRPr="00A03B67">
        <w:rPr>
          <w:i/>
        </w:rPr>
        <w:t>Fair Work Legislation Amendment (Secure Jobs, Better Pay) Act 2023 (Cth)</w:t>
      </w:r>
      <w:r w:rsidRPr="00A03B67">
        <w:t xml:space="preserve"> Div 4, Pt 19 to </w:t>
      </w:r>
      <w:r w:rsidR="003F62D1" w:rsidRPr="00A03B67">
        <w:t xml:space="preserve">Sch </w:t>
      </w:r>
      <w:r w:rsidRPr="00A03B67">
        <w:t>1.</w:t>
      </w:r>
    </w:p>
  </w:footnote>
  <w:footnote w:id="554">
    <w:p w14:paraId="257D8031" w14:textId="12A9C6AC"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(Secure Jobs, Better Pay) Bill 2022 xi.</w:t>
      </w:r>
    </w:p>
  </w:footnote>
  <w:footnote w:id="555">
    <w:p w14:paraId="5AABA414" w14:textId="1637717B"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CEPU v Nilsen (NSW) Pty Ltd </w:t>
      </w:r>
      <w:r w:rsidRPr="00A03B67">
        <w:t>[2023] FWCFB 134 [30].</w:t>
      </w:r>
    </w:p>
  </w:footnote>
  <w:footnote w:id="556">
    <w:p w14:paraId="05C269A9" w14:textId="77777777"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CEPU v Nilsen (NSW) Pty Ltd </w:t>
      </w:r>
      <w:r w:rsidRPr="00A03B67">
        <w:t>[2023] FWCFB 134 [68].</w:t>
      </w:r>
    </w:p>
  </w:footnote>
  <w:footnote w:id="557">
    <w:p w14:paraId="0E5C3C6F" w14:textId="6809299D" w:rsidR="00173F8E" w:rsidRPr="00A03B67" w:rsidRDefault="00173F8E" w:rsidP="00173F8E">
      <w:pPr>
        <w:pStyle w:val="FootnoteText"/>
      </w:pPr>
      <w:r w:rsidRPr="00A03B67">
        <w:rPr>
          <w:rStyle w:val="FootnoteReference"/>
        </w:rPr>
        <w:footnoteRef/>
      </w:r>
      <w:r w:rsidRPr="00A03B67">
        <w:t xml:space="preserve"> Revised Explanatory Memorandum, Fair Work Legislation Amendment (Closing Loopholes No.1) Bill 2022 1069</w:t>
      </w:r>
      <w:r w:rsidR="003F62D1" w:rsidRPr="00A03B67">
        <w:rPr>
          <w:rFonts w:ascii="Symbol" w:eastAsia="Symbol" w:hAnsi="Symbol" w:cs="Symbol"/>
        </w:rPr>
        <w:t>-</w:t>
      </w:r>
      <w:r w:rsidRPr="00A03B67">
        <w:t>1070.</w:t>
      </w:r>
    </w:p>
  </w:footnote>
  <w:footnote w:id="558">
    <w:p w14:paraId="03871F1B" w14:textId="28EF0CDE"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w:t>
      </w:r>
      <w:r w:rsidRPr="00A03B67">
        <w:t xml:space="preserve"> 148.</w:t>
      </w:r>
    </w:p>
  </w:footnote>
  <w:footnote w:id="559">
    <w:p w14:paraId="71C10BCC" w14:textId="6D05780A"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w:t>
      </w:r>
      <w:r w:rsidRPr="00A03B67">
        <w:t xml:space="preserve"> 148.</w:t>
      </w:r>
    </w:p>
  </w:footnote>
  <w:footnote w:id="560">
    <w:p w14:paraId="15EE8BC5" w14:textId="0A7AB2AF" w:rsidR="00173F8E" w:rsidRPr="00A03B67" w:rsidRDefault="00173F8E" w:rsidP="00173F8E">
      <w:pPr>
        <w:pStyle w:val="FootnoteText"/>
      </w:pPr>
      <w:r w:rsidRPr="00A03B67">
        <w:rPr>
          <w:rStyle w:val="FootnoteReference"/>
        </w:rPr>
        <w:footnoteRef/>
      </w:r>
      <w:r w:rsidRPr="00A03B67">
        <w:t xml:space="preserve"> ACCI </w:t>
      </w:r>
      <w:r w:rsidR="003F62D1" w:rsidRPr="00A03B67">
        <w:t>s</w:t>
      </w:r>
      <w:r w:rsidRPr="00A03B67">
        <w:t>ubmission</w:t>
      </w:r>
      <w:r w:rsidR="003F62D1" w:rsidRPr="00A03B67">
        <w:t>,</w:t>
      </w:r>
      <w:r w:rsidRPr="00A03B67">
        <w:t xml:space="preserve"> 88.</w:t>
      </w:r>
    </w:p>
  </w:footnote>
  <w:footnote w:id="561">
    <w:p w14:paraId="7B74C560" w14:textId="72F3748B"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w:t>
      </w:r>
      <w:r w:rsidR="003F62D1" w:rsidRPr="00A03B67">
        <w:t>,</w:t>
      </w:r>
      <w:r w:rsidRPr="00A03B67">
        <w:t xml:space="preserve"> 149; ACCI </w:t>
      </w:r>
      <w:r w:rsidR="003F62D1" w:rsidRPr="00A03B67">
        <w:t>s</w:t>
      </w:r>
      <w:r w:rsidRPr="00A03B67">
        <w:t>ubmission</w:t>
      </w:r>
      <w:r w:rsidR="003F62D1" w:rsidRPr="00A03B67">
        <w:t>,</w:t>
      </w:r>
      <w:r w:rsidRPr="00A03B67">
        <w:t xml:space="preserve"> 88.</w:t>
      </w:r>
    </w:p>
  </w:footnote>
  <w:footnote w:id="562">
    <w:p w14:paraId="49C4F8A6" w14:textId="00CAEDFD" w:rsidR="00173F8E" w:rsidRPr="00A03B67" w:rsidRDefault="00173F8E" w:rsidP="00173F8E">
      <w:pPr>
        <w:pStyle w:val="FootnoteText"/>
      </w:pPr>
      <w:r w:rsidRPr="00A03B67">
        <w:rPr>
          <w:rStyle w:val="FootnoteReference"/>
        </w:rPr>
        <w:footnoteRef/>
      </w:r>
      <w:r w:rsidRPr="00A03B67">
        <w:t xml:space="preserve"> AREEA submission, </w:t>
      </w:r>
      <w:r w:rsidR="003F62D1" w:rsidRPr="00A03B67">
        <w:t>[</w:t>
      </w:r>
      <w:r w:rsidRPr="00A03B67">
        <w:t>98</w:t>
      </w:r>
      <w:r w:rsidR="003F62D1" w:rsidRPr="00A03B67">
        <w:t>]</w:t>
      </w:r>
      <w:r w:rsidRPr="00A03B67">
        <w:t>.</w:t>
      </w:r>
    </w:p>
  </w:footnote>
  <w:footnote w:id="563">
    <w:p w14:paraId="2483CD0D" w14:textId="0418AF32" w:rsidR="00173F8E" w:rsidRPr="00A03B67" w:rsidRDefault="00173F8E" w:rsidP="00173F8E">
      <w:pPr>
        <w:pStyle w:val="FootnoteText"/>
      </w:pPr>
      <w:r w:rsidRPr="00A03B67">
        <w:rPr>
          <w:rStyle w:val="FootnoteReference"/>
        </w:rPr>
        <w:footnoteRef/>
      </w:r>
      <w:r w:rsidRPr="00A03B67">
        <w:t xml:space="preserve"> AREEA submission, </w:t>
      </w:r>
      <w:r w:rsidR="003F62D1" w:rsidRPr="00A03B67">
        <w:t>[</w:t>
      </w:r>
      <w:r w:rsidRPr="00A03B67">
        <w:t>98</w:t>
      </w:r>
      <w:r w:rsidR="003F62D1" w:rsidRPr="00A03B67">
        <w:t>]</w:t>
      </w:r>
      <w:r w:rsidRPr="00A03B67">
        <w:t>.</w:t>
      </w:r>
    </w:p>
  </w:footnote>
  <w:footnote w:id="564">
    <w:p w14:paraId="6F5E2FE8" w14:textId="74582D98" w:rsidR="00173F8E" w:rsidRPr="00A03B67" w:rsidRDefault="00173F8E" w:rsidP="00173F8E">
      <w:pPr>
        <w:pStyle w:val="FootnoteText"/>
      </w:pPr>
      <w:r w:rsidRPr="00A03B67">
        <w:rPr>
          <w:rStyle w:val="FootnoteReference"/>
        </w:rPr>
        <w:footnoteRef/>
      </w:r>
      <w:r w:rsidRPr="00A03B67">
        <w:t xml:space="preserve"> ANMF submission, </w:t>
      </w:r>
      <w:r w:rsidR="003F62D1" w:rsidRPr="00A03B67">
        <w:t>[</w:t>
      </w:r>
      <w:r w:rsidRPr="00A03B67">
        <w:t>24</w:t>
      </w:r>
      <w:r w:rsidR="003F62D1" w:rsidRPr="00A03B67">
        <w:t>]</w:t>
      </w:r>
      <w:r w:rsidRPr="00A03B67">
        <w:t>; UWU submission, 33.</w:t>
      </w:r>
    </w:p>
  </w:footnote>
  <w:footnote w:id="565">
    <w:p w14:paraId="0B60BC5D" w14:textId="75DA1E3F" w:rsidR="00173F8E" w:rsidRPr="00A03B67" w:rsidRDefault="00173F8E" w:rsidP="00173F8E">
      <w:pPr>
        <w:pStyle w:val="FootnoteText"/>
      </w:pPr>
      <w:r w:rsidRPr="00A03B67">
        <w:rPr>
          <w:rStyle w:val="FootnoteReference"/>
        </w:rPr>
        <w:footnoteRef/>
      </w:r>
      <w:r w:rsidRPr="00A03B67">
        <w:t xml:space="preserve"> ANMF submission, </w:t>
      </w:r>
      <w:r w:rsidR="003F62D1" w:rsidRPr="00A03B67">
        <w:t>[</w:t>
      </w:r>
      <w:r w:rsidRPr="00A03B67">
        <w:t>24</w:t>
      </w:r>
      <w:r w:rsidR="003F62D1" w:rsidRPr="00A03B67">
        <w:t>]</w:t>
      </w:r>
      <w:r w:rsidRPr="00A03B67">
        <w:t>.</w:t>
      </w:r>
    </w:p>
  </w:footnote>
  <w:footnote w:id="566">
    <w:p w14:paraId="1926F09D" w14:textId="4BC744CE" w:rsidR="00173F8E" w:rsidRPr="00A03B67" w:rsidRDefault="00173F8E" w:rsidP="00173F8E">
      <w:pPr>
        <w:pStyle w:val="FootnoteText"/>
      </w:pPr>
      <w:r w:rsidRPr="00A03B67">
        <w:rPr>
          <w:rStyle w:val="FootnoteReference"/>
        </w:rPr>
        <w:footnoteRef/>
      </w:r>
      <w:r w:rsidRPr="00A03B67">
        <w:t xml:space="preserve"> UWU submission, 33.</w:t>
      </w:r>
    </w:p>
  </w:footnote>
  <w:footnote w:id="567">
    <w:p w14:paraId="05E96CB0" w14:textId="36A77EA9" w:rsidR="00173F8E" w:rsidRPr="00A03B67" w:rsidRDefault="00173F8E" w:rsidP="00173F8E">
      <w:pPr>
        <w:pStyle w:val="FootnoteText"/>
      </w:pPr>
      <w:r w:rsidRPr="00A03B67">
        <w:rPr>
          <w:rStyle w:val="FootnoteReference"/>
        </w:rPr>
        <w:footnoteRef/>
      </w:r>
      <w:r w:rsidRPr="00A03B67">
        <w:t xml:space="preserve"> UWU submission, 34.</w:t>
      </w:r>
    </w:p>
  </w:footnote>
  <w:footnote w:id="568">
    <w:p w14:paraId="66FB5182" w14:textId="7A7BB3A4" w:rsidR="00173F8E" w:rsidRPr="00A03B67" w:rsidRDefault="00173F8E" w:rsidP="00173F8E">
      <w:pPr>
        <w:pStyle w:val="FootnoteText"/>
      </w:pPr>
      <w:r w:rsidRPr="00A03B67">
        <w:rPr>
          <w:rStyle w:val="FootnoteReference"/>
        </w:rPr>
        <w:footnoteRef/>
      </w:r>
      <w:r w:rsidRPr="00A03B67">
        <w:t xml:space="preserve"> AWU submission</w:t>
      </w:r>
      <w:r w:rsidR="003F62D1" w:rsidRPr="00A03B67">
        <w:t>,</w:t>
      </w:r>
      <w:r w:rsidRPr="00A03B67">
        <w:t xml:space="preserve"> 5</w:t>
      </w:r>
    </w:p>
  </w:footnote>
  <w:footnote w:id="569">
    <w:p w14:paraId="5272E38F" w14:textId="149F56CA"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A </w:t>
      </w:r>
      <w:r w:rsidRPr="00A03B67">
        <w:t xml:space="preserve">Forsyth and </w:t>
      </w:r>
      <w:r w:rsidR="003F62D1" w:rsidRPr="00A03B67">
        <w:t xml:space="preserve">S </w:t>
      </w:r>
      <w:r w:rsidRPr="00A03B67">
        <w:t>McCrystal, ‘Reforming Australian Bargaining and Strike Laws to Maximise Worker Power’, page 1125.</w:t>
      </w:r>
    </w:p>
  </w:footnote>
  <w:footnote w:id="570">
    <w:p w14:paraId="1C90BE0B" w14:textId="58B0E1E7" w:rsidR="00173F8E" w:rsidRPr="00A03B67" w:rsidRDefault="00173F8E" w:rsidP="00173F8E">
      <w:pPr>
        <w:pStyle w:val="FootnoteText"/>
      </w:pPr>
      <w:r w:rsidRPr="00A03B67">
        <w:rPr>
          <w:rStyle w:val="FootnoteReference"/>
        </w:rPr>
        <w:footnoteRef/>
      </w:r>
      <w:r w:rsidRPr="00A03B67">
        <w:t xml:space="preserve"> ACCI submission, 37 – </w:t>
      </w:r>
      <w:r w:rsidR="003F62D1" w:rsidRPr="00A03B67">
        <w:t>r</w:t>
      </w:r>
      <w:r w:rsidRPr="00A03B67">
        <w:t>ecommendation 1.</w:t>
      </w:r>
    </w:p>
  </w:footnote>
  <w:footnote w:id="571">
    <w:p w14:paraId="77D75E58" w14:textId="2D70CE90"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A </w:t>
      </w:r>
      <w:r w:rsidRPr="00A03B67">
        <w:t xml:space="preserve">Forsyth and </w:t>
      </w:r>
      <w:r w:rsidR="003F62D1" w:rsidRPr="00A03B67">
        <w:t xml:space="preserve">S </w:t>
      </w:r>
      <w:r w:rsidRPr="00A03B67">
        <w:t>McCrystal, ‘Reforming Australian Bargaining and Strike Laws to Maximise Worker Power’</w:t>
      </w:r>
      <w:r w:rsidR="003F62D1" w:rsidRPr="00A03B67">
        <w:t xml:space="preserve"> (2023) 46(4) </w:t>
      </w:r>
      <w:r w:rsidR="003F62D1" w:rsidRPr="00A03B67">
        <w:rPr>
          <w:i/>
          <w:iCs/>
        </w:rPr>
        <w:t>UNSW Law Journal</w:t>
      </w:r>
      <w:r w:rsidR="003F62D1" w:rsidRPr="00A03B67">
        <w:t xml:space="preserve"> </w:t>
      </w:r>
      <w:r w:rsidRPr="00A03B67">
        <w:t>1125.</w:t>
      </w:r>
    </w:p>
  </w:footnote>
  <w:footnote w:id="572">
    <w:p w14:paraId="4C23E6DB" w14:textId="77C43EA1" w:rsidR="00293C6C" w:rsidRPr="00A03B67" w:rsidRDefault="00293C6C" w:rsidP="00293C6C">
      <w:pPr>
        <w:pStyle w:val="FootnoteText"/>
      </w:pPr>
      <w:r w:rsidRPr="00A03B67">
        <w:rPr>
          <w:rStyle w:val="FootnoteReference"/>
        </w:rPr>
        <w:footnoteRef/>
      </w:r>
      <w:r w:rsidRPr="00A03B67">
        <w:t xml:space="preserve"> S</w:t>
      </w:r>
      <w:r w:rsidR="003F62D1" w:rsidRPr="00A03B67">
        <w:t xml:space="preserve"> </w:t>
      </w:r>
      <w:r w:rsidRPr="00A03B67">
        <w:t xml:space="preserve">McCrystal, ‘Why Is It So Hard to Take Lawful Strike Action in Australia?’ (2019) 61(1) </w:t>
      </w:r>
      <w:r w:rsidRPr="00A03B67">
        <w:rPr>
          <w:i/>
          <w:iCs/>
        </w:rPr>
        <w:t>Journal of Industrial Relations</w:t>
      </w:r>
      <w:r w:rsidRPr="00A03B67">
        <w:t xml:space="preserve"> 129, 130. </w:t>
      </w:r>
    </w:p>
  </w:footnote>
  <w:footnote w:id="573">
    <w:p w14:paraId="1191A399" w14:textId="0035D4ED"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A Forsyth and S McCrystal, ‘Reforming Australian Bargaining and Strike Laws to Maximise Worker Power’ (2023) 46(4) </w:t>
      </w:r>
      <w:r w:rsidR="003F62D1" w:rsidRPr="00A03B67">
        <w:rPr>
          <w:i/>
          <w:iCs/>
        </w:rPr>
        <w:t>UNSW Law Journal</w:t>
      </w:r>
      <w:r w:rsidR="003F62D1" w:rsidRPr="00A03B67">
        <w:t xml:space="preserve"> </w:t>
      </w:r>
      <w:r w:rsidRPr="00A03B67">
        <w:t>1129.</w:t>
      </w:r>
    </w:p>
  </w:footnote>
  <w:footnote w:id="574">
    <w:p w14:paraId="1B3DCDCC" w14:textId="504D193F"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A </w:t>
      </w:r>
      <w:r w:rsidRPr="00A03B67">
        <w:t xml:space="preserve">Forsyth and </w:t>
      </w:r>
      <w:r w:rsidR="003F62D1" w:rsidRPr="00A03B67">
        <w:t xml:space="preserve">S </w:t>
      </w:r>
      <w:r w:rsidRPr="00A03B67">
        <w:t xml:space="preserve">McCrystal, ‘Reforming Australian Bargaining and Strike Laws to Maximise Worker Power’ </w:t>
      </w:r>
      <w:r w:rsidR="003F62D1" w:rsidRPr="00A03B67">
        <w:t xml:space="preserve">(2023) 46(4) </w:t>
      </w:r>
      <w:r w:rsidR="003F62D1" w:rsidRPr="00A03B67">
        <w:rPr>
          <w:i/>
          <w:iCs/>
        </w:rPr>
        <w:t>UNSW Law Journal</w:t>
      </w:r>
      <w:r w:rsidR="003F62D1" w:rsidRPr="00A03B67">
        <w:t xml:space="preserve"> </w:t>
      </w:r>
      <w:r w:rsidRPr="00A03B67">
        <w:t>1129.</w:t>
      </w:r>
    </w:p>
  </w:footnote>
  <w:footnote w:id="575">
    <w:p w14:paraId="2D0CBAD7" w14:textId="18DD0DF6"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ubmission,157.</w:t>
      </w:r>
    </w:p>
  </w:footnote>
  <w:footnote w:id="576">
    <w:p w14:paraId="5C6898A1" w14:textId="5F77B906" w:rsidR="00173F8E" w:rsidRPr="00A03B67" w:rsidRDefault="00173F8E" w:rsidP="00173F8E">
      <w:pPr>
        <w:pStyle w:val="FootnoteText"/>
      </w:pPr>
      <w:r w:rsidRPr="00A03B67">
        <w:rPr>
          <w:rStyle w:val="FootnoteReference"/>
        </w:rPr>
        <w:footnoteRef/>
      </w:r>
      <w:r w:rsidRPr="00A03B67">
        <w:t xml:space="preserve"> Ai Group </w:t>
      </w:r>
      <w:r w:rsidR="003F62D1" w:rsidRPr="00A03B67">
        <w:t>s</w:t>
      </w:r>
      <w:r w:rsidRPr="00A03B67">
        <w:t>ubmission,157.</w:t>
      </w:r>
    </w:p>
  </w:footnote>
  <w:footnote w:id="577">
    <w:p w14:paraId="33B4401D" w14:textId="3065A87A" w:rsidR="00173F8E" w:rsidRPr="00A03B67" w:rsidRDefault="00173F8E" w:rsidP="00173F8E">
      <w:pPr>
        <w:pStyle w:val="FootnoteText"/>
      </w:pPr>
      <w:r w:rsidRPr="00A03B67">
        <w:rPr>
          <w:rStyle w:val="FootnoteReference"/>
        </w:rPr>
        <w:footnoteRef/>
      </w:r>
      <w:r w:rsidRPr="00A03B67">
        <w:t xml:space="preserve"> ACTU Ai Group </w:t>
      </w:r>
      <w:r w:rsidR="003F62D1" w:rsidRPr="00A03B67">
        <w:t>s</w:t>
      </w:r>
      <w:r w:rsidRPr="00A03B67">
        <w:t>ubmission</w:t>
      </w:r>
      <w:r w:rsidR="003F62D1" w:rsidRPr="00A03B67">
        <w:t xml:space="preserve">, </w:t>
      </w:r>
      <w:r w:rsidRPr="00A03B67">
        <w:t xml:space="preserve">recommendation 25; UWU </w:t>
      </w:r>
      <w:r w:rsidR="003F62D1" w:rsidRPr="00A03B67">
        <w:t>s</w:t>
      </w:r>
      <w:r w:rsidRPr="00A03B67">
        <w:t>ubmission</w:t>
      </w:r>
      <w:r w:rsidR="003F62D1" w:rsidRPr="00A03B67">
        <w:t xml:space="preserve">, </w:t>
      </w:r>
      <w:r w:rsidRPr="00A03B67">
        <w:t xml:space="preserve">recommendation 23; CFMEU </w:t>
      </w:r>
      <w:r w:rsidR="003F62D1" w:rsidRPr="00A03B67">
        <w:t>s</w:t>
      </w:r>
      <w:r w:rsidRPr="00A03B67">
        <w:t>ubmission</w:t>
      </w:r>
      <w:r w:rsidR="003F62D1" w:rsidRPr="00A03B67">
        <w:t xml:space="preserve">, </w:t>
      </w:r>
      <w:r w:rsidRPr="00A03B67">
        <w:t>recommendation 3.</w:t>
      </w:r>
    </w:p>
  </w:footnote>
  <w:footnote w:id="578">
    <w:p w14:paraId="250C7A65" w14:textId="604972C0" w:rsidR="00173F8E" w:rsidRPr="00A03B67" w:rsidRDefault="00173F8E" w:rsidP="00173F8E">
      <w:pPr>
        <w:pStyle w:val="FootnoteText"/>
      </w:pPr>
      <w:r w:rsidRPr="00A03B67">
        <w:rPr>
          <w:rStyle w:val="FootnoteReference"/>
        </w:rPr>
        <w:footnoteRef/>
      </w:r>
      <w:r w:rsidRPr="00A03B67">
        <w:t xml:space="preserve"> ACTU </w:t>
      </w:r>
      <w:r w:rsidR="003F62D1" w:rsidRPr="00A03B67">
        <w:t>s</w:t>
      </w:r>
      <w:r w:rsidRPr="00A03B67">
        <w:t>ubmission</w:t>
      </w:r>
      <w:r w:rsidR="003F62D1" w:rsidRPr="00A03B67">
        <w:t>,</w:t>
      </w:r>
      <w:r w:rsidRPr="00A03B67">
        <w:t xml:space="preserve"> 90.</w:t>
      </w:r>
    </w:p>
  </w:footnote>
  <w:footnote w:id="579">
    <w:p w14:paraId="6AC030B5" w14:textId="0A6764B2"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w:t>
      </w:r>
      <w:r w:rsidR="003F62D1" w:rsidRPr="00A03B67">
        <w:t xml:space="preserve">(Cth) s </w:t>
      </w:r>
      <w:r w:rsidRPr="00A03B67">
        <w:t>188(1)</w:t>
      </w:r>
      <w:r w:rsidR="003F62D1" w:rsidRPr="00A03B67">
        <w:rPr>
          <w:rFonts w:ascii="Symbol" w:eastAsia="Symbol" w:hAnsi="Symbol" w:cs="Symbol"/>
        </w:rPr>
        <w:t>-</w:t>
      </w:r>
      <w:r w:rsidRPr="00A03B67">
        <w:t xml:space="preserve">(2); </w:t>
      </w:r>
      <w:r w:rsidR="003F62D1" w:rsidRPr="00A03B67">
        <w:t xml:space="preserve">s </w:t>
      </w:r>
      <w:r w:rsidRPr="00A03B67">
        <w:t>188B(1)</w:t>
      </w:r>
      <w:r w:rsidR="003F62D1" w:rsidRPr="00A03B67">
        <w:rPr>
          <w:rFonts w:ascii="Symbol" w:eastAsia="Symbol" w:hAnsi="Symbol" w:cs="Symbol"/>
        </w:rPr>
        <w:t>-</w:t>
      </w:r>
      <w:r w:rsidRPr="00A03B67">
        <w:t>(2).</w:t>
      </w:r>
    </w:p>
  </w:footnote>
  <w:footnote w:id="580">
    <w:p w14:paraId="639D8E5A" w14:textId="3862DA83" w:rsidR="00060EFE" w:rsidRPr="00A03B67" w:rsidRDefault="00060EFE" w:rsidP="00060EFE">
      <w:pPr>
        <w:pStyle w:val="FootnoteText"/>
      </w:pPr>
      <w:r w:rsidRPr="00A03B67">
        <w:rPr>
          <w:rStyle w:val="FootnoteReference"/>
        </w:rPr>
        <w:footnoteRef/>
      </w:r>
      <w:r w:rsidRPr="00A03B67">
        <w:t xml:space="preserve"> </w:t>
      </w:r>
      <w:r w:rsidRPr="00A03B67">
        <w:rPr>
          <w:i/>
          <w:iCs/>
        </w:rPr>
        <w:t>Fair Work Act 2009</w:t>
      </w:r>
      <w:r w:rsidR="003F62D1" w:rsidRPr="00A03B67">
        <w:t xml:space="preserve"> (Cth) </w:t>
      </w:r>
      <w:r w:rsidRPr="00A03B67">
        <w:t>s188(2).</w:t>
      </w:r>
    </w:p>
  </w:footnote>
  <w:footnote w:id="581">
    <w:p w14:paraId="7D81D327" w14:textId="77777777" w:rsidR="009B4514" w:rsidRPr="00A03B67" w:rsidRDefault="009B4514" w:rsidP="009B4514">
      <w:pPr>
        <w:pStyle w:val="FootnoteText"/>
      </w:pPr>
      <w:r w:rsidRPr="00A03B67">
        <w:rPr>
          <w:rStyle w:val="FootnoteReference"/>
        </w:rPr>
        <w:footnoteRef/>
      </w:r>
      <w:r w:rsidRPr="00A03B67">
        <w:t xml:space="preserve"> </w:t>
      </w:r>
      <w:r w:rsidRPr="00A03B67">
        <w:rPr>
          <w:i/>
          <w:iCs/>
        </w:rPr>
        <w:t xml:space="preserve">Fair Work Act 2009, </w:t>
      </w:r>
      <w:r w:rsidRPr="00A03B67">
        <w:t>s.180(5).</w:t>
      </w:r>
    </w:p>
  </w:footnote>
  <w:footnote w:id="582">
    <w:p w14:paraId="788E776D" w14:textId="77777777" w:rsidR="009B4514" w:rsidRPr="00A03B67" w:rsidRDefault="009B4514" w:rsidP="009B4514">
      <w:pPr>
        <w:pStyle w:val="FootnoteText"/>
      </w:pPr>
      <w:r w:rsidRPr="00A03B67">
        <w:rPr>
          <w:rStyle w:val="FootnoteReference"/>
        </w:rPr>
        <w:footnoteRef/>
      </w:r>
      <w:r w:rsidRPr="00A03B67">
        <w:t xml:space="preserve"> </w:t>
      </w:r>
      <w:r w:rsidRPr="00A03B67">
        <w:rPr>
          <w:i/>
          <w:iCs/>
        </w:rPr>
        <w:t>Fair Work Act 2009</w:t>
      </w:r>
      <w:r w:rsidRPr="00A03B67">
        <w:t>, s.188(4A).</w:t>
      </w:r>
    </w:p>
  </w:footnote>
  <w:footnote w:id="583">
    <w:p w14:paraId="6ECBFD2B" w14:textId="12344144"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3F62D1" w:rsidRPr="00A03B67">
        <w:t xml:space="preserve"> (Cth) </w:t>
      </w:r>
      <w:r w:rsidRPr="00A03B67">
        <w:t>s188(5).</w:t>
      </w:r>
    </w:p>
  </w:footnote>
  <w:footnote w:id="584">
    <w:p w14:paraId="3C8A60E9" w14:textId="50770312" w:rsidR="00803555" w:rsidRPr="00A03B67" w:rsidRDefault="00803555" w:rsidP="00803555">
      <w:pPr>
        <w:pStyle w:val="FootnoteText"/>
      </w:pPr>
      <w:r w:rsidRPr="00A03B67">
        <w:rPr>
          <w:rStyle w:val="FootnoteReference"/>
        </w:rPr>
        <w:footnoteRef/>
      </w:r>
      <w:r w:rsidRPr="00A03B67">
        <w:t xml:space="preserve"> </w:t>
      </w:r>
      <w:r w:rsidR="0025485D" w:rsidRPr="00A03B67">
        <w:t>Senate Education and Employment Committee, Parliament of Australia, Inquiry into the Fair Work Legislation Amendment (Secure Jobs, Better Pay) Bill 2022, Submission of the Department of Employment and Workplace Relations</w:t>
      </w:r>
      <w:r w:rsidRPr="00A03B67">
        <w:t>, Fair Work Legislation Amendment (Secure Jobs, Better Pay) Bill 2022 [Provisions] Submission 49, November 2022</w:t>
      </w:r>
      <w:r w:rsidR="003F62D1" w:rsidRPr="00A03B67">
        <w:t>,</w:t>
      </w:r>
      <w:r w:rsidRPr="00A03B67">
        <w:t xml:space="preserve"> </w:t>
      </w:r>
      <w:r w:rsidR="003F62D1" w:rsidRPr="00A03B67">
        <w:t>20.</w:t>
      </w:r>
    </w:p>
  </w:footnote>
  <w:footnote w:id="585">
    <w:p w14:paraId="6845CF02" w14:textId="3643A3F9" w:rsidR="00803555" w:rsidRPr="00A03B67" w:rsidRDefault="00803555" w:rsidP="00803555">
      <w:pPr>
        <w:pStyle w:val="FootnoteText"/>
      </w:pPr>
      <w:r w:rsidRPr="00A03B67">
        <w:rPr>
          <w:rStyle w:val="FootnoteReference"/>
        </w:rPr>
        <w:footnoteRef/>
      </w:r>
      <w:r w:rsidRPr="00A03B67">
        <w:t xml:space="preserve"> Senate Education and Employment Committee</w:t>
      </w:r>
      <w:r w:rsidR="003F62D1" w:rsidRPr="00A03B67">
        <w:t>, Parliament of Australia,</w:t>
      </w:r>
      <w:r w:rsidRPr="00A03B67">
        <w:t xml:space="preserve"> Inquiry into the Fair Work Legislation Amendment (Secure Jobs, Better Pay) Bill 2022, Submission of the Department of Employment and Workplace</w:t>
      </w:r>
      <w:r w:rsidR="003F62D1" w:rsidRPr="00A03B67">
        <w:t xml:space="preserve"> </w:t>
      </w:r>
      <w:r w:rsidRPr="00A03B67">
        <w:t>Relations, Fair Work Legislation Amendment (Secure Jobs, Better Pay) Bill 2022 [Provisions] Submission 49, November 2022</w:t>
      </w:r>
      <w:r w:rsidR="003F62D1" w:rsidRPr="00A03B67">
        <w:t>,</w:t>
      </w:r>
      <w:r w:rsidRPr="00A03B67">
        <w:t xml:space="preserve"> 20</w:t>
      </w:r>
      <w:r w:rsidR="003F62D1" w:rsidRPr="00A03B67">
        <w:rPr>
          <w:rFonts w:ascii="Symbol" w:eastAsia="Symbol" w:hAnsi="Symbol" w:cs="Symbol"/>
        </w:rPr>
        <w:t>-</w:t>
      </w:r>
      <w:r w:rsidRPr="00A03B67">
        <w:t>21</w:t>
      </w:r>
      <w:r w:rsidR="003F62D1" w:rsidRPr="00A03B67">
        <w:t>.</w:t>
      </w:r>
    </w:p>
  </w:footnote>
  <w:footnote w:id="586">
    <w:p w14:paraId="448A43E4" w14:textId="1F39FEBB"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Explanatory Memorandum, </w:t>
      </w:r>
      <w:r w:rsidRPr="00A03B67">
        <w:t>Fair Work Legislation Amendment (Secure Jobs, Better Pay) Bill 2022</w:t>
      </w:r>
      <w:r w:rsidR="003F62D1" w:rsidRPr="00A03B67">
        <w:t>,</w:t>
      </w:r>
      <w:r w:rsidRPr="00A03B67">
        <w:t xml:space="preserve"> 129 [705].</w:t>
      </w:r>
    </w:p>
  </w:footnote>
  <w:footnote w:id="587">
    <w:p w14:paraId="075B49D7" w14:textId="36C2BACC"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Explanatory Memorandum, </w:t>
      </w:r>
      <w:r w:rsidRPr="00A03B67">
        <w:t>Fair Work Legislation Amendment (Secure Jobs, Better Pay) Bill 2022</w:t>
      </w:r>
      <w:r w:rsidR="003F62D1" w:rsidRPr="00A03B67">
        <w:t>,</w:t>
      </w:r>
      <w:r w:rsidRPr="00A03B67">
        <w:t xml:space="preserve"> 129 [705].</w:t>
      </w:r>
    </w:p>
  </w:footnote>
  <w:footnote w:id="588">
    <w:p w14:paraId="28775F09" w14:textId="332C253D" w:rsidR="00060EFE" w:rsidRPr="00A03B67" w:rsidRDefault="00060EFE">
      <w:pPr>
        <w:pStyle w:val="FootnoteText"/>
      </w:pPr>
      <w:r w:rsidRPr="00A03B67">
        <w:rPr>
          <w:rStyle w:val="FootnoteReference"/>
        </w:rPr>
        <w:footnoteRef/>
      </w:r>
      <w:r w:rsidR="000B74A0" w:rsidRPr="00A03B67">
        <w:rPr>
          <w:i/>
          <w:iCs/>
        </w:rPr>
        <w:t>The</w:t>
      </w:r>
      <w:r w:rsidR="000B74A0" w:rsidRPr="00A03B67">
        <w:rPr>
          <w:i/>
        </w:rPr>
        <w:t xml:space="preserve"> </w:t>
      </w:r>
      <w:r w:rsidR="000B74A0" w:rsidRPr="00A03B67">
        <w:rPr>
          <w:i/>
          <w:iCs/>
        </w:rPr>
        <w:t>Australian Workers’ Union v Altrad APTS Pty Ltd t/as Altrad</w:t>
      </w:r>
      <w:r w:rsidRPr="00A03B67">
        <w:t xml:space="preserve"> [2024] FWCFB 21.</w:t>
      </w:r>
    </w:p>
  </w:footnote>
  <w:footnote w:id="589">
    <w:p w14:paraId="542C5F92" w14:textId="6B46A793" w:rsidR="00173F8E" w:rsidRPr="00A03B67" w:rsidRDefault="00173F8E" w:rsidP="00173F8E">
      <w:pPr>
        <w:pStyle w:val="FootnoteText"/>
      </w:pPr>
      <w:r w:rsidRPr="00A03B67">
        <w:rPr>
          <w:rStyle w:val="FootnoteReference"/>
        </w:rPr>
        <w:footnoteRef/>
      </w:r>
      <w:r w:rsidRPr="00A03B67">
        <w:t xml:space="preserve"> </w:t>
      </w:r>
      <w:r w:rsidRPr="00A03B67">
        <w:rPr>
          <w:i/>
          <w:iCs/>
        </w:rPr>
        <w:t>The</w:t>
      </w:r>
      <w:r w:rsidRPr="00A03B67">
        <w:rPr>
          <w:i/>
        </w:rPr>
        <w:t xml:space="preserve"> </w:t>
      </w:r>
      <w:r w:rsidRPr="00A03B67">
        <w:rPr>
          <w:i/>
          <w:iCs/>
        </w:rPr>
        <w:t xml:space="preserve">Australian Workers’ Union v Altrad APTS Pty Ltd </w:t>
      </w:r>
      <w:r w:rsidR="003F62D1" w:rsidRPr="00A03B67">
        <w:rPr>
          <w:i/>
          <w:iCs/>
        </w:rPr>
        <w:t xml:space="preserve">t/as </w:t>
      </w:r>
      <w:r w:rsidRPr="00A03B67">
        <w:rPr>
          <w:i/>
          <w:iCs/>
        </w:rPr>
        <w:t xml:space="preserve">Altrad </w:t>
      </w:r>
      <w:r w:rsidRPr="00A03B67">
        <w:t>[2024] FWCFB 21 [77].</w:t>
      </w:r>
    </w:p>
  </w:footnote>
  <w:footnote w:id="590">
    <w:p w14:paraId="61FED319" w14:textId="55A4C9A8" w:rsidR="00060EFE" w:rsidRPr="00A03B67" w:rsidRDefault="00060EFE">
      <w:pPr>
        <w:pStyle w:val="FootnoteText"/>
      </w:pPr>
      <w:r w:rsidRPr="00A03B67">
        <w:rPr>
          <w:rStyle w:val="FootnoteReference"/>
        </w:rPr>
        <w:footnoteRef/>
      </w:r>
      <w:r w:rsidRPr="00A03B67">
        <w:t xml:space="preserve"> </w:t>
      </w:r>
      <w:r w:rsidR="00CE5CB7" w:rsidRPr="00A03B67">
        <w:rPr>
          <w:rFonts w:cs="Calibri"/>
          <w:i/>
        </w:rPr>
        <w:t>Shop, Distributive and Allied Employees Association v Allen Family Pty Ltd</w:t>
      </w:r>
      <w:r w:rsidR="00CE5CB7" w:rsidRPr="00A03B67">
        <w:rPr>
          <w:rFonts w:cs="Calibri"/>
        </w:rPr>
        <w:t xml:space="preserve"> </w:t>
      </w:r>
      <w:r w:rsidRPr="00A03B67">
        <w:t>[2024] FWCFB 48.</w:t>
      </w:r>
    </w:p>
  </w:footnote>
  <w:footnote w:id="591">
    <w:p w14:paraId="6FDB56D0" w14:textId="556BAC4D" w:rsidR="00BD0B1C" w:rsidRPr="00A03B67" w:rsidRDefault="00BD0B1C" w:rsidP="00BD0B1C">
      <w:pPr>
        <w:pStyle w:val="FootnoteText"/>
      </w:pPr>
      <w:r w:rsidRPr="00A03B67">
        <w:rPr>
          <w:rStyle w:val="FootnoteReference"/>
        </w:rPr>
        <w:footnoteRef/>
      </w:r>
      <w:r w:rsidRPr="00A03B67">
        <w:t xml:space="preserve"> </w:t>
      </w:r>
      <w:r w:rsidRPr="00A03B67">
        <w:rPr>
          <w:i/>
          <w:iCs/>
        </w:rPr>
        <w:t xml:space="preserve">Shop, Distributive and Allied Employees Association v Allen Family Pty Ltd </w:t>
      </w:r>
      <w:r w:rsidRPr="00A03B67">
        <w:t>[2024] FWCFB 48</w:t>
      </w:r>
      <w:r w:rsidR="003F62D1" w:rsidRPr="00A03B67">
        <w:t xml:space="preserve"> [</w:t>
      </w:r>
      <w:r w:rsidRPr="00A03B67">
        <w:t>76</w:t>
      </w:r>
      <w:r w:rsidR="003F62D1" w:rsidRPr="00A03B67">
        <w:t>]</w:t>
      </w:r>
      <w:r w:rsidRPr="00A03B67">
        <w:t>.</w:t>
      </w:r>
    </w:p>
  </w:footnote>
  <w:footnote w:id="592">
    <w:p w14:paraId="2E693295" w14:textId="2C2117A7" w:rsidR="00173F8E" w:rsidRPr="00A03B67" w:rsidRDefault="00173F8E" w:rsidP="00173F8E">
      <w:pPr>
        <w:pStyle w:val="FootnoteText"/>
        <w:rPr>
          <w:color w:val="777778" w:themeColor="accent5"/>
        </w:rPr>
      </w:pPr>
      <w:r w:rsidRPr="00A03B67">
        <w:rPr>
          <w:rStyle w:val="FootnoteReference"/>
        </w:rPr>
        <w:footnoteRef/>
      </w:r>
      <w:r w:rsidRPr="00A03B67">
        <w:t xml:space="preserve"> </w:t>
      </w:r>
      <w:r w:rsidRPr="00A03B67">
        <w:rPr>
          <w:rFonts w:ascii="Aptos" w:eastAsia="Aptos" w:hAnsi="Aptos" w:cs="Aptos"/>
          <w:i/>
          <w:iCs/>
        </w:rPr>
        <w:t xml:space="preserve">Application by Geocon Constructors (ACT) Pty Ltd </w:t>
      </w:r>
      <w:r w:rsidR="003F62D1" w:rsidRPr="00A03B67">
        <w:rPr>
          <w:rFonts w:ascii="Aptos" w:eastAsia="Aptos" w:hAnsi="Aptos" w:cs="Aptos"/>
          <w:i/>
          <w:iCs/>
        </w:rPr>
        <w:t xml:space="preserve">t/as </w:t>
      </w:r>
      <w:r w:rsidRPr="00A03B67">
        <w:rPr>
          <w:rFonts w:ascii="Aptos" w:eastAsia="Aptos" w:hAnsi="Aptos" w:cs="Aptos"/>
          <w:i/>
          <w:iCs/>
        </w:rPr>
        <w:t>Geocon</w:t>
      </w:r>
      <w:r w:rsidRPr="00A03B67">
        <w:rPr>
          <w:rFonts w:ascii="Aptos" w:eastAsia="Aptos" w:hAnsi="Aptos" w:cs="Aptos"/>
        </w:rPr>
        <w:t xml:space="preserve"> [2023] FWC 2676.</w:t>
      </w:r>
      <w:r w:rsidRPr="00A03B67">
        <w:rPr>
          <w:rStyle w:val="CommentReference"/>
        </w:rPr>
        <w:t xml:space="preserve"> </w:t>
      </w:r>
    </w:p>
  </w:footnote>
  <w:footnote w:id="593">
    <w:p w14:paraId="14C64730" w14:textId="5D42A747" w:rsidR="00173F8E" w:rsidRPr="00A03B67" w:rsidRDefault="00173F8E" w:rsidP="00173F8E">
      <w:pPr>
        <w:pStyle w:val="FootnoteText"/>
        <w:rPr>
          <w:color w:val="777778" w:themeColor="accent5"/>
        </w:rPr>
      </w:pPr>
      <w:r w:rsidRPr="00A03B67">
        <w:rPr>
          <w:rStyle w:val="FootnoteReference"/>
        </w:rPr>
        <w:footnoteRef/>
      </w:r>
      <w:r w:rsidRPr="00A03B67">
        <w:t xml:space="preserve"> </w:t>
      </w:r>
      <w:r w:rsidRPr="00A03B67">
        <w:rPr>
          <w:rFonts w:ascii="Aptos" w:eastAsia="Aptos" w:hAnsi="Aptos" w:cs="Aptos"/>
          <w:i/>
          <w:iCs/>
        </w:rPr>
        <w:t xml:space="preserve">Application by Geocon Constructors (ACT) Pty Ltd </w:t>
      </w:r>
      <w:r w:rsidR="003F62D1" w:rsidRPr="00A03B67">
        <w:rPr>
          <w:rFonts w:ascii="Aptos" w:eastAsia="Aptos" w:hAnsi="Aptos" w:cs="Aptos"/>
          <w:i/>
          <w:iCs/>
        </w:rPr>
        <w:t xml:space="preserve">t/as </w:t>
      </w:r>
      <w:r w:rsidRPr="00A03B67">
        <w:rPr>
          <w:rFonts w:ascii="Aptos" w:eastAsia="Aptos" w:hAnsi="Aptos" w:cs="Aptos"/>
          <w:i/>
          <w:iCs/>
        </w:rPr>
        <w:t>Geocon</w:t>
      </w:r>
      <w:r w:rsidRPr="00A03B67">
        <w:rPr>
          <w:rFonts w:ascii="Aptos" w:eastAsia="Aptos" w:hAnsi="Aptos" w:cs="Aptos"/>
        </w:rPr>
        <w:t xml:space="preserve"> [2023] FWC 2676 [31]</w:t>
      </w:r>
      <w:r w:rsidR="003F62D1" w:rsidRPr="00A03B67">
        <w:rPr>
          <w:rFonts w:ascii="Symbol" w:eastAsia="Symbol" w:hAnsi="Symbol" w:cs="Symbol"/>
        </w:rPr>
        <w:t>-</w:t>
      </w:r>
      <w:r w:rsidRPr="00A03B67">
        <w:rPr>
          <w:rFonts w:ascii="Aptos" w:eastAsia="Aptos" w:hAnsi="Aptos" w:cs="Aptos"/>
        </w:rPr>
        <w:t>[33].</w:t>
      </w:r>
    </w:p>
  </w:footnote>
  <w:footnote w:id="594">
    <w:p w14:paraId="15A5B3BD" w14:textId="77777777"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w:t>
      </w:r>
      <w:r w:rsidRPr="00A03B67">
        <w:t>.</w:t>
      </w:r>
    </w:p>
  </w:footnote>
  <w:footnote w:id="595">
    <w:p w14:paraId="10ED0F16" w14:textId="77777777"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[30].</w:t>
      </w:r>
    </w:p>
  </w:footnote>
  <w:footnote w:id="596">
    <w:p w14:paraId="71688606" w14:textId="77777777"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[33].</w:t>
      </w:r>
    </w:p>
  </w:footnote>
  <w:footnote w:id="597">
    <w:p w14:paraId="51EA7583" w14:textId="77777777"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[32].</w:t>
      </w:r>
    </w:p>
  </w:footnote>
  <w:footnote w:id="598">
    <w:p w14:paraId="2AAAFAA2" w14:textId="77777777"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[34].</w:t>
      </w:r>
    </w:p>
  </w:footnote>
  <w:footnote w:id="599">
    <w:p w14:paraId="7C5DDCBC" w14:textId="762F2848" w:rsidR="00173F8E" w:rsidRPr="00A03B67" w:rsidRDefault="00173F8E" w:rsidP="00173F8E">
      <w:pPr>
        <w:pStyle w:val="FootnoteText"/>
      </w:pPr>
      <w:r w:rsidRPr="00A03B67">
        <w:rPr>
          <w:rStyle w:val="FootnoteReference"/>
        </w:rPr>
        <w:footnoteRef/>
      </w:r>
      <w:r w:rsidRPr="00A03B67">
        <w:t xml:space="preserve"> AREEA sub</w:t>
      </w:r>
      <w:r w:rsidR="003F62D1" w:rsidRPr="00A03B67">
        <w:t>mission</w:t>
      </w:r>
      <w:r w:rsidRPr="00A03B67">
        <w:t xml:space="preserve">, </w:t>
      </w:r>
      <w:r w:rsidR="003F62D1" w:rsidRPr="00A03B67">
        <w:t>[</w:t>
      </w:r>
      <w:r w:rsidRPr="00A03B67">
        <w:t>124</w:t>
      </w:r>
      <w:r w:rsidR="003F62D1" w:rsidRPr="00A03B67">
        <w:t>]</w:t>
      </w:r>
      <w:r w:rsidRPr="00A03B67">
        <w:t>.</w:t>
      </w:r>
    </w:p>
  </w:footnote>
  <w:footnote w:id="600">
    <w:p w14:paraId="37EA07DE" w14:textId="6B07CAAC" w:rsidR="00173F8E" w:rsidRPr="00A03B67" w:rsidRDefault="00173F8E" w:rsidP="00173F8E">
      <w:pPr>
        <w:pStyle w:val="FootnoteText"/>
      </w:pPr>
      <w:r w:rsidRPr="00A03B67">
        <w:rPr>
          <w:rStyle w:val="FootnoteReference"/>
        </w:rPr>
        <w:footnoteRef/>
      </w:r>
      <w:r w:rsidRPr="00A03B67">
        <w:t xml:space="preserve"> AREEA sub</w:t>
      </w:r>
      <w:r w:rsidR="003F62D1" w:rsidRPr="00A03B67">
        <w:t>mission</w:t>
      </w:r>
      <w:r w:rsidRPr="00A03B67">
        <w:t xml:space="preserve">, </w:t>
      </w:r>
      <w:r w:rsidR="003F62D1" w:rsidRPr="00A03B67">
        <w:t>[</w:t>
      </w:r>
      <w:r w:rsidRPr="00A03B67">
        <w:t>125</w:t>
      </w:r>
      <w:r w:rsidR="003F62D1" w:rsidRPr="00A03B67">
        <w:t>]</w:t>
      </w:r>
      <w:r w:rsidRPr="00A03B67">
        <w:t>.</w:t>
      </w:r>
    </w:p>
  </w:footnote>
  <w:footnote w:id="601">
    <w:p w14:paraId="283C94F5" w14:textId="34FB467D" w:rsidR="00173F8E" w:rsidRPr="00A03B67" w:rsidRDefault="00173F8E" w:rsidP="00173F8E">
      <w:pPr>
        <w:pStyle w:val="FootnoteText"/>
      </w:pPr>
      <w:r w:rsidRPr="00A03B67">
        <w:rPr>
          <w:rStyle w:val="FootnoteReference"/>
        </w:rPr>
        <w:footnoteRef/>
      </w:r>
      <w:r w:rsidRPr="00A03B67">
        <w:t xml:space="preserve"> Ai Group sub</w:t>
      </w:r>
      <w:r w:rsidR="003F62D1" w:rsidRPr="00A03B67">
        <w:t>mission</w:t>
      </w:r>
      <w:r w:rsidRPr="00A03B67">
        <w:t xml:space="preserve">, </w:t>
      </w:r>
      <w:r w:rsidR="003F62D1" w:rsidRPr="00A03B67">
        <w:t>[</w:t>
      </w:r>
      <w:r w:rsidRPr="00A03B67">
        <w:t>56</w:t>
      </w:r>
      <w:r w:rsidR="003F62D1" w:rsidRPr="00A03B67">
        <w:t>]</w:t>
      </w:r>
      <w:r w:rsidRPr="00A03B67">
        <w:t>.</w:t>
      </w:r>
    </w:p>
  </w:footnote>
  <w:footnote w:id="602">
    <w:p w14:paraId="372B5585" w14:textId="7769D0AD" w:rsidR="00173F8E" w:rsidRPr="00A03B67" w:rsidRDefault="00173F8E" w:rsidP="00173F8E">
      <w:pPr>
        <w:pStyle w:val="FootnoteText"/>
      </w:pPr>
      <w:r w:rsidRPr="00A03B67">
        <w:rPr>
          <w:rStyle w:val="FootnoteReference"/>
        </w:rPr>
        <w:footnoteRef/>
      </w:r>
      <w:r w:rsidRPr="00A03B67">
        <w:t xml:space="preserve"> AREEA sub</w:t>
      </w:r>
      <w:r w:rsidR="003F62D1" w:rsidRPr="00A03B67">
        <w:t>mission</w:t>
      </w:r>
      <w:r w:rsidRPr="00A03B67">
        <w:t xml:space="preserve">, </w:t>
      </w:r>
      <w:r w:rsidR="003F62D1" w:rsidRPr="00A03B67">
        <w:t>[</w:t>
      </w:r>
      <w:r w:rsidRPr="00A03B67">
        <w:t>125</w:t>
      </w:r>
      <w:r w:rsidR="003F62D1" w:rsidRPr="00A03B67">
        <w:t>]</w:t>
      </w:r>
      <w:r w:rsidRPr="00A03B67">
        <w:t>.</w:t>
      </w:r>
    </w:p>
  </w:footnote>
  <w:footnote w:id="603">
    <w:p w14:paraId="147C92FB" w14:textId="4D112F68" w:rsidR="00173F8E" w:rsidRPr="00A03B67" w:rsidRDefault="00173F8E" w:rsidP="00173F8E">
      <w:pPr>
        <w:pStyle w:val="FootnoteText"/>
      </w:pPr>
      <w:r w:rsidRPr="00A03B67">
        <w:rPr>
          <w:rStyle w:val="FootnoteReference"/>
        </w:rPr>
        <w:footnoteRef/>
      </w:r>
      <w:r w:rsidRPr="00A03B67">
        <w:t xml:space="preserve"> AREEA sub</w:t>
      </w:r>
      <w:r w:rsidR="003F62D1" w:rsidRPr="00A03B67">
        <w:t>mission</w:t>
      </w:r>
      <w:r w:rsidRPr="00A03B67">
        <w:t xml:space="preserve">, </w:t>
      </w:r>
      <w:r w:rsidR="003F62D1" w:rsidRPr="00A03B67">
        <w:t>[</w:t>
      </w:r>
      <w:r w:rsidRPr="00A03B67">
        <w:t>127</w:t>
      </w:r>
      <w:r w:rsidR="003F62D1" w:rsidRPr="00A03B67">
        <w:t>]</w:t>
      </w:r>
      <w:r w:rsidRPr="00A03B67">
        <w:t>.</w:t>
      </w:r>
    </w:p>
  </w:footnote>
  <w:footnote w:id="604">
    <w:p w14:paraId="0A1F5B7D" w14:textId="71856F86" w:rsidR="00173F8E" w:rsidRPr="00A03B67" w:rsidRDefault="00173F8E" w:rsidP="00173F8E">
      <w:pPr>
        <w:pStyle w:val="FootnoteText"/>
      </w:pPr>
      <w:r w:rsidRPr="00A03B67">
        <w:rPr>
          <w:rStyle w:val="FootnoteReference"/>
        </w:rPr>
        <w:footnoteRef/>
      </w:r>
      <w:r w:rsidRPr="00A03B67">
        <w:t xml:space="preserve"> MEU sub</w:t>
      </w:r>
      <w:r w:rsidR="003F62D1" w:rsidRPr="00A03B67">
        <w:t>mission</w:t>
      </w:r>
      <w:r w:rsidRPr="00A03B67">
        <w:t xml:space="preserve">, </w:t>
      </w:r>
      <w:r w:rsidR="003F62D1" w:rsidRPr="00A03B67">
        <w:t>[</w:t>
      </w:r>
      <w:r w:rsidRPr="00A03B67">
        <w:t>10</w:t>
      </w:r>
      <w:r w:rsidR="003F62D1" w:rsidRPr="00A03B67">
        <w:t>]</w:t>
      </w:r>
      <w:r w:rsidRPr="00A03B67">
        <w:t>.</w:t>
      </w:r>
    </w:p>
  </w:footnote>
  <w:footnote w:id="605">
    <w:p w14:paraId="700575A4" w14:textId="539789A5" w:rsidR="00173F8E" w:rsidRPr="00A03B67" w:rsidRDefault="00173F8E" w:rsidP="00173F8E">
      <w:pPr>
        <w:pStyle w:val="FootnoteText"/>
      </w:pPr>
      <w:r w:rsidRPr="00A03B67">
        <w:rPr>
          <w:rStyle w:val="FootnoteReference"/>
        </w:rPr>
        <w:footnoteRef/>
      </w:r>
      <w:r w:rsidRPr="00A03B67">
        <w:t xml:space="preserve"> MEU sub</w:t>
      </w:r>
      <w:r w:rsidR="003F62D1" w:rsidRPr="00A03B67">
        <w:t>mission</w:t>
      </w:r>
      <w:r w:rsidRPr="00A03B67">
        <w:t xml:space="preserve">, </w:t>
      </w:r>
      <w:r w:rsidR="003F62D1" w:rsidRPr="00A03B67">
        <w:t>[</w:t>
      </w:r>
      <w:r w:rsidRPr="00A03B67">
        <w:t>16</w:t>
      </w:r>
      <w:r w:rsidR="003F62D1" w:rsidRPr="00A03B67">
        <w:t>]</w:t>
      </w:r>
      <w:r w:rsidRPr="00A03B67">
        <w:t>.</w:t>
      </w:r>
    </w:p>
  </w:footnote>
  <w:footnote w:id="606">
    <w:p w14:paraId="1C7F0D5D" w14:textId="46B9CBB2" w:rsidR="00173F8E" w:rsidRPr="00A03B67" w:rsidRDefault="00173F8E" w:rsidP="00173F8E">
      <w:pPr>
        <w:pStyle w:val="FootnoteText"/>
      </w:pPr>
      <w:r w:rsidRPr="00A03B67">
        <w:rPr>
          <w:rStyle w:val="FootnoteReference"/>
        </w:rPr>
        <w:footnoteRef/>
      </w:r>
      <w:r w:rsidRPr="00A03B67">
        <w:t xml:space="preserve"> AWU sub</w:t>
      </w:r>
      <w:r w:rsidR="003F62D1" w:rsidRPr="00A03B67">
        <w:t>mission</w:t>
      </w:r>
      <w:r w:rsidRPr="00A03B67">
        <w:t>, 4.</w:t>
      </w:r>
    </w:p>
  </w:footnote>
  <w:footnote w:id="607">
    <w:p w14:paraId="51307B21" w14:textId="7F38EADC" w:rsidR="00173F8E" w:rsidRPr="00A03B67" w:rsidRDefault="00173F8E" w:rsidP="00173F8E">
      <w:pPr>
        <w:pStyle w:val="FootnoteText"/>
      </w:pPr>
      <w:r w:rsidRPr="00A03B67">
        <w:rPr>
          <w:rStyle w:val="FootnoteReference"/>
        </w:rPr>
        <w:footnoteRef/>
      </w:r>
      <w:r w:rsidRPr="00A03B67">
        <w:t xml:space="preserve"> ARA sub</w:t>
      </w:r>
      <w:r w:rsidR="003F62D1" w:rsidRPr="00A03B67">
        <w:t>mission.</w:t>
      </w:r>
    </w:p>
  </w:footnote>
  <w:footnote w:id="608">
    <w:p w14:paraId="4BF092BB" w14:textId="4A01460C" w:rsidR="00173F8E" w:rsidRPr="00A03B67" w:rsidRDefault="00173F8E" w:rsidP="00173F8E">
      <w:pPr>
        <w:pStyle w:val="FootnoteText"/>
      </w:pPr>
      <w:r w:rsidRPr="00A03B67">
        <w:rPr>
          <w:rStyle w:val="FootnoteReference"/>
        </w:rPr>
        <w:footnoteRef/>
      </w:r>
      <w:r w:rsidRPr="00A03B67">
        <w:t xml:space="preserve"> CPSU sub</w:t>
      </w:r>
      <w:r w:rsidR="003F62D1" w:rsidRPr="00A03B67">
        <w:t xml:space="preserve">mission, </w:t>
      </w:r>
      <w:r w:rsidRPr="00A03B67">
        <w:t>9.</w:t>
      </w:r>
    </w:p>
  </w:footnote>
  <w:footnote w:id="609">
    <w:p w14:paraId="6739DF6E" w14:textId="611D812E" w:rsidR="00173F8E" w:rsidRPr="00A03B67" w:rsidRDefault="00173F8E" w:rsidP="00173F8E">
      <w:pPr>
        <w:pStyle w:val="FootnoteText"/>
      </w:pPr>
      <w:r w:rsidRPr="00A03B67">
        <w:rPr>
          <w:rStyle w:val="FootnoteReference"/>
        </w:rPr>
        <w:footnoteRef/>
      </w:r>
      <w:r w:rsidRPr="00A03B67">
        <w:t xml:space="preserve"> UWU sub</w:t>
      </w:r>
      <w:r w:rsidR="003F62D1" w:rsidRPr="00A03B67">
        <w:t>mission</w:t>
      </w:r>
      <w:r w:rsidRPr="00A03B67">
        <w:t>, 23.</w:t>
      </w:r>
    </w:p>
  </w:footnote>
  <w:footnote w:id="610">
    <w:p w14:paraId="323D7473" w14:textId="7110FF45" w:rsidR="00173F8E" w:rsidRPr="00A03B67" w:rsidRDefault="00173F8E" w:rsidP="00173F8E">
      <w:pPr>
        <w:pStyle w:val="FootnoteText"/>
      </w:pPr>
      <w:r w:rsidRPr="00A03B67">
        <w:rPr>
          <w:rStyle w:val="FootnoteReference"/>
        </w:rPr>
        <w:footnoteRef/>
      </w:r>
      <w:r w:rsidRPr="00A03B67">
        <w:t xml:space="preserve"> ACCI sub</w:t>
      </w:r>
      <w:r w:rsidR="003F62D1" w:rsidRPr="00A03B67">
        <w:t>mission,</w:t>
      </w:r>
      <w:r w:rsidRPr="00A03B67">
        <w:t xml:space="preserve"> </w:t>
      </w:r>
      <w:r w:rsidR="003F62D1" w:rsidRPr="00A03B67">
        <w:t>[</w:t>
      </w:r>
      <w:r w:rsidRPr="00A03B67">
        <w:t>29</w:t>
      </w:r>
      <w:r w:rsidR="003F62D1" w:rsidRPr="00A03B67">
        <w:t>]</w:t>
      </w:r>
      <w:r w:rsidRPr="00A03B67">
        <w:t xml:space="preserve"> 13</w:t>
      </w:r>
      <w:r w:rsidR="003F62D1" w:rsidRPr="00A03B67">
        <w:t>.</w:t>
      </w:r>
    </w:p>
  </w:footnote>
  <w:footnote w:id="611">
    <w:p w14:paraId="7AA9326C" w14:textId="7A7C18D0" w:rsidR="00173F8E" w:rsidRPr="00A03B67" w:rsidRDefault="00173F8E" w:rsidP="00173F8E">
      <w:pPr>
        <w:pStyle w:val="FootnoteText"/>
      </w:pPr>
      <w:r w:rsidRPr="00A03B67">
        <w:rPr>
          <w:rStyle w:val="FootnoteReference"/>
        </w:rPr>
        <w:footnoteRef/>
      </w:r>
      <w:r w:rsidRPr="00A03B67">
        <w:t xml:space="preserve"> MEA sub</w:t>
      </w:r>
      <w:r w:rsidR="003F62D1" w:rsidRPr="00A03B67">
        <w:t>mission</w:t>
      </w:r>
      <w:r w:rsidRPr="00A03B67">
        <w:t>, 2.</w:t>
      </w:r>
    </w:p>
  </w:footnote>
  <w:footnote w:id="612">
    <w:p w14:paraId="4800407C" w14:textId="212E465F" w:rsidR="00173F8E" w:rsidRPr="00A03B67" w:rsidRDefault="00173F8E" w:rsidP="00173F8E">
      <w:pPr>
        <w:pStyle w:val="FootnoteText"/>
      </w:pPr>
      <w:r w:rsidRPr="00A03B67">
        <w:rPr>
          <w:rStyle w:val="FootnoteReference"/>
        </w:rPr>
        <w:footnoteRef/>
      </w:r>
      <w:r w:rsidRPr="00A03B67">
        <w:t xml:space="preserve"> MBA sub</w:t>
      </w:r>
      <w:r w:rsidR="003F62D1" w:rsidRPr="00A03B67">
        <w:t>mission,</w:t>
      </w:r>
      <w:r w:rsidRPr="00A03B67">
        <w:t xml:space="preserve"> 18.</w:t>
      </w:r>
    </w:p>
  </w:footnote>
  <w:footnote w:id="613">
    <w:p w14:paraId="4CB6BA93" w14:textId="64224876" w:rsidR="00173F8E" w:rsidRPr="00A03B67" w:rsidRDefault="00173F8E" w:rsidP="00173F8E">
      <w:pPr>
        <w:pStyle w:val="FootnoteText"/>
      </w:pPr>
      <w:r w:rsidRPr="00A03B67">
        <w:rPr>
          <w:rStyle w:val="FootnoteReference"/>
        </w:rPr>
        <w:footnoteRef/>
      </w:r>
      <w:r w:rsidRPr="00A03B67">
        <w:t xml:space="preserve"> ACTU sub</w:t>
      </w:r>
      <w:r w:rsidR="003F62D1" w:rsidRPr="00A03B67">
        <w:t>mission</w:t>
      </w:r>
      <w:r w:rsidRPr="00A03B67">
        <w:t>, 77.</w:t>
      </w:r>
    </w:p>
  </w:footnote>
  <w:footnote w:id="614">
    <w:p w14:paraId="192077F7" w14:textId="00BDAD46" w:rsidR="00173F8E" w:rsidRPr="00A03B67" w:rsidRDefault="00173F8E" w:rsidP="00173F8E">
      <w:pPr>
        <w:pStyle w:val="FootnoteText"/>
      </w:pPr>
      <w:r w:rsidRPr="00A03B67">
        <w:rPr>
          <w:rStyle w:val="FootnoteReference"/>
        </w:rPr>
        <w:footnoteRef/>
      </w:r>
      <w:r w:rsidR="0025485D" w:rsidRPr="00A03B67">
        <w:t>Jobs and Skills Summit September 2022 – Outcomes</w:t>
      </w:r>
      <w:r w:rsidRPr="00A03B67">
        <w:t>, 7.</w:t>
      </w:r>
    </w:p>
  </w:footnote>
  <w:footnote w:id="615">
    <w:p w14:paraId="50329C7E" w14:textId="162F36C5" w:rsidR="002120CF" w:rsidRPr="00A03B67" w:rsidRDefault="002120CF" w:rsidP="002120CF">
      <w:pPr>
        <w:pStyle w:val="FootnoteText"/>
      </w:pPr>
      <w:r w:rsidRPr="00A03B67">
        <w:rPr>
          <w:rStyle w:val="FootnoteReference"/>
        </w:rPr>
        <w:footnoteRef/>
      </w:r>
      <w:r w:rsidRPr="00A03B67">
        <w:t xml:space="preserve"> </w:t>
      </w:r>
      <w:r w:rsidRPr="00A03B67">
        <w:rPr>
          <w:i/>
          <w:iCs/>
        </w:rPr>
        <w:t>F</w:t>
      </w:r>
      <w:r w:rsidR="003F62D1" w:rsidRPr="00A03B67">
        <w:rPr>
          <w:i/>
          <w:iCs/>
        </w:rPr>
        <w:t xml:space="preserve">air </w:t>
      </w:r>
      <w:r w:rsidRPr="00A03B67">
        <w:rPr>
          <w:i/>
          <w:iCs/>
        </w:rPr>
        <w:t>W</w:t>
      </w:r>
      <w:r w:rsidR="003F62D1" w:rsidRPr="00A03B67">
        <w:rPr>
          <w:i/>
          <w:iCs/>
        </w:rPr>
        <w:t xml:space="preserve">ork </w:t>
      </w:r>
      <w:r w:rsidRPr="00A03B67">
        <w:rPr>
          <w:i/>
          <w:iCs/>
        </w:rPr>
        <w:t xml:space="preserve">Act </w:t>
      </w:r>
      <w:r w:rsidR="003F62D1" w:rsidRPr="00A03B67">
        <w:rPr>
          <w:i/>
          <w:iCs/>
        </w:rPr>
        <w:t>2009</w:t>
      </w:r>
      <w:r w:rsidR="003F62D1" w:rsidRPr="00A03B67">
        <w:t xml:space="preserve"> (Cth) </w:t>
      </w:r>
      <w:r w:rsidRPr="00A03B67">
        <w:t>s</w:t>
      </w:r>
      <w:r w:rsidR="003F62D1" w:rsidRPr="00A03B67">
        <w:t xml:space="preserve"> </w:t>
      </w:r>
      <w:r w:rsidRPr="00A03B67">
        <w:t>193(1) (as at 11 September 2021 </w:t>
      </w:r>
      <w:r w:rsidR="003F62D1" w:rsidRPr="00A03B67">
        <w:rPr>
          <w:rFonts w:ascii="Symbol" w:eastAsia="Symbol" w:hAnsi="Symbol" w:cs="Symbol"/>
        </w:rPr>
        <w:t>-</w:t>
      </w:r>
      <w:r w:rsidRPr="00A03B67">
        <w:t> 06 December 2022).</w:t>
      </w:r>
    </w:p>
  </w:footnote>
  <w:footnote w:id="616">
    <w:p w14:paraId="3809B3FE" w14:textId="04AFE9C2" w:rsidR="002120CF" w:rsidRPr="00A03B67" w:rsidRDefault="002120CF" w:rsidP="002120CF">
      <w:pPr>
        <w:pStyle w:val="FootnoteText"/>
      </w:pPr>
      <w:r w:rsidRPr="00A03B67">
        <w:rPr>
          <w:rStyle w:val="FootnoteReference"/>
        </w:rPr>
        <w:footnoteRef/>
      </w:r>
      <w:r w:rsidRPr="00A03B67">
        <w:t xml:space="preserve"> </w:t>
      </w:r>
      <w:r w:rsidRPr="00A03B67">
        <w:rPr>
          <w:i/>
          <w:iCs/>
        </w:rPr>
        <w:t xml:space="preserve">Re Armacell Australia Pty Ltd </w:t>
      </w:r>
      <w:r w:rsidRPr="00A03B67">
        <w:t>[2010] FWAFB 9985 [41].</w:t>
      </w:r>
    </w:p>
  </w:footnote>
  <w:footnote w:id="617">
    <w:p w14:paraId="61B9A895" w14:textId="02CA34AC"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3F62D1" w:rsidRPr="00A03B67">
        <w:rPr>
          <w:i/>
          <w:iCs/>
        </w:rPr>
        <w:t xml:space="preserve"> </w:t>
      </w:r>
      <w:r w:rsidR="003F62D1" w:rsidRPr="00A03B67">
        <w:t>(Cth)</w:t>
      </w:r>
      <w:r w:rsidR="003F62D1" w:rsidRPr="00A03B67">
        <w:rPr>
          <w:i/>
          <w:iCs/>
        </w:rPr>
        <w:t xml:space="preserve"> </w:t>
      </w:r>
      <w:r w:rsidRPr="00A03B67">
        <w:t>s</w:t>
      </w:r>
      <w:r w:rsidR="003F62D1" w:rsidRPr="00A03B67">
        <w:t xml:space="preserve"> </w:t>
      </w:r>
      <w:r w:rsidRPr="00A03B67">
        <w:t>193A(2)</w:t>
      </w:r>
      <w:r w:rsidR="002120CF" w:rsidRPr="00A03B67">
        <w:t xml:space="preserve"> (emphasis added)</w:t>
      </w:r>
      <w:r w:rsidRPr="00A03B67">
        <w:t>.</w:t>
      </w:r>
    </w:p>
  </w:footnote>
  <w:footnote w:id="618">
    <w:p w14:paraId="2A855690" w14:textId="711AD121" w:rsidR="00173F8E" w:rsidRPr="00A03B67" w:rsidRDefault="00173F8E" w:rsidP="00173F8E">
      <w:pPr>
        <w:pStyle w:val="FootnoteText"/>
      </w:pPr>
      <w:r w:rsidRPr="00A03B67">
        <w:rPr>
          <w:rStyle w:val="FootnoteReference"/>
        </w:rPr>
        <w:footnoteRef/>
      </w:r>
      <w:r w:rsidRPr="00A03B67">
        <w:t xml:space="preserve"> </w:t>
      </w:r>
      <w:r w:rsidRPr="00A03B67">
        <w:rPr>
          <w:i/>
          <w:iCs/>
        </w:rPr>
        <w:t>F</w:t>
      </w:r>
      <w:r w:rsidR="003F62D1" w:rsidRPr="00A03B67">
        <w:rPr>
          <w:i/>
          <w:iCs/>
        </w:rPr>
        <w:t xml:space="preserve">air </w:t>
      </w:r>
      <w:r w:rsidRPr="00A03B67">
        <w:rPr>
          <w:i/>
          <w:iCs/>
        </w:rPr>
        <w:t>W</w:t>
      </w:r>
      <w:r w:rsidR="003F62D1" w:rsidRPr="00A03B67">
        <w:rPr>
          <w:i/>
          <w:iCs/>
        </w:rPr>
        <w:t xml:space="preserve">ork </w:t>
      </w:r>
      <w:r w:rsidRPr="00A03B67">
        <w:rPr>
          <w:i/>
          <w:iCs/>
        </w:rPr>
        <w:t xml:space="preserve">Act </w:t>
      </w:r>
      <w:r w:rsidR="003F62D1" w:rsidRPr="00A03B67">
        <w:rPr>
          <w:i/>
          <w:iCs/>
        </w:rPr>
        <w:t>2009</w:t>
      </w:r>
      <w:r w:rsidR="003F62D1" w:rsidRPr="00A03B67">
        <w:t xml:space="preserve"> (Cth) </w:t>
      </w:r>
      <w:r w:rsidRPr="00A03B67">
        <w:t>s</w:t>
      </w:r>
      <w:r w:rsidR="003F62D1" w:rsidRPr="00A03B67">
        <w:t xml:space="preserve"> </w:t>
      </w:r>
      <w:r w:rsidRPr="00A03B67">
        <w:t>193A(2)(a).</w:t>
      </w:r>
    </w:p>
  </w:footnote>
  <w:footnote w:id="619">
    <w:p w14:paraId="5856A482" w14:textId="2095F284"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3F62D1" w:rsidRPr="00A03B67">
        <w:t xml:space="preserve"> (Cth) </w:t>
      </w:r>
      <w:r w:rsidRPr="00A03B67">
        <w:t>s</w:t>
      </w:r>
      <w:r w:rsidR="003F62D1" w:rsidRPr="00A03B67">
        <w:t xml:space="preserve"> </w:t>
      </w:r>
      <w:r w:rsidRPr="00A03B67">
        <w:t>193A(3).</w:t>
      </w:r>
    </w:p>
  </w:footnote>
  <w:footnote w:id="620">
    <w:p w14:paraId="0EF1F309" w14:textId="2450E7EE"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3F62D1" w:rsidRPr="00A03B67">
        <w:t xml:space="preserve"> (Cth) </w:t>
      </w:r>
      <w:r w:rsidRPr="00A03B67">
        <w:t>s</w:t>
      </w:r>
      <w:r w:rsidR="003F62D1" w:rsidRPr="00A03B67">
        <w:t xml:space="preserve"> </w:t>
      </w:r>
      <w:r w:rsidRPr="00A03B67">
        <w:t>193A(4).</w:t>
      </w:r>
    </w:p>
  </w:footnote>
  <w:footnote w:id="621">
    <w:p w14:paraId="730551A5" w14:textId="4EDE5DFE" w:rsidR="00173F8E" w:rsidRPr="00A03B67" w:rsidRDefault="00173F8E" w:rsidP="00173F8E">
      <w:pPr>
        <w:pStyle w:val="FootnoteText"/>
      </w:pPr>
      <w:r w:rsidRPr="00A03B67">
        <w:rPr>
          <w:rStyle w:val="FootnoteReference"/>
        </w:rPr>
        <w:footnoteRef/>
      </w:r>
      <w:r w:rsidRPr="00A03B67">
        <w:t xml:space="preserve"> See </w:t>
      </w:r>
      <w:r w:rsidR="003F62D1" w:rsidRPr="00A03B67">
        <w:t xml:space="preserve">e.g. </w:t>
      </w:r>
      <w:r w:rsidRPr="00A03B67">
        <w:t xml:space="preserve">E Hannan, ‘Wage Growth Won’t Happen without Meaningful Change’, </w:t>
      </w:r>
      <w:r w:rsidRPr="00A03B67">
        <w:rPr>
          <w:i/>
          <w:iCs/>
        </w:rPr>
        <w:t xml:space="preserve">The Australian, </w:t>
      </w:r>
      <w:r w:rsidRPr="00A03B67">
        <w:t>23 April 2022.</w:t>
      </w:r>
    </w:p>
  </w:footnote>
  <w:footnote w:id="622">
    <w:p w14:paraId="2E1A1BAE" w14:textId="4FB2A597" w:rsidR="00173F8E" w:rsidRPr="00A03B67" w:rsidRDefault="00173F8E" w:rsidP="00173F8E">
      <w:pPr>
        <w:pStyle w:val="FootnoteText"/>
      </w:pPr>
      <w:r w:rsidRPr="00A03B67">
        <w:rPr>
          <w:rStyle w:val="FootnoteReference"/>
        </w:rPr>
        <w:footnoteRef/>
      </w:r>
      <w:r w:rsidRPr="00A03B67">
        <w:t xml:space="preserve"> </w:t>
      </w:r>
      <w:r w:rsidRPr="00A03B67">
        <w:rPr>
          <w:i/>
          <w:iCs/>
        </w:rPr>
        <w:t>F</w:t>
      </w:r>
      <w:r w:rsidR="003F62D1" w:rsidRPr="00A03B67">
        <w:rPr>
          <w:i/>
          <w:iCs/>
        </w:rPr>
        <w:t xml:space="preserve">air </w:t>
      </w:r>
      <w:r w:rsidRPr="00A03B67">
        <w:rPr>
          <w:i/>
          <w:iCs/>
        </w:rPr>
        <w:t>W</w:t>
      </w:r>
      <w:r w:rsidR="003F62D1" w:rsidRPr="00A03B67">
        <w:rPr>
          <w:i/>
          <w:iCs/>
        </w:rPr>
        <w:t>ork</w:t>
      </w:r>
      <w:r w:rsidRPr="00A03B67">
        <w:rPr>
          <w:i/>
          <w:iCs/>
        </w:rPr>
        <w:t xml:space="preserve"> Act </w:t>
      </w:r>
      <w:r w:rsidR="003F62D1" w:rsidRPr="00A03B67">
        <w:rPr>
          <w:i/>
          <w:iCs/>
        </w:rPr>
        <w:t>2009</w:t>
      </w:r>
      <w:r w:rsidR="003F62D1" w:rsidRPr="00A03B67">
        <w:t xml:space="preserve"> (Cth) </w:t>
      </w:r>
      <w:r w:rsidRPr="00A03B67">
        <w:t>s 193(1).</w:t>
      </w:r>
    </w:p>
  </w:footnote>
  <w:footnote w:id="623">
    <w:p w14:paraId="3AA4BC0D" w14:textId="048F3C97" w:rsidR="00173F8E" w:rsidRPr="00A03B67" w:rsidRDefault="00173F8E" w:rsidP="00173F8E">
      <w:pPr>
        <w:pStyle w:val="FootnoteText"/>
      </w:pPr>
      <w:r w:rsidRPr="00A03B67">
        <w:rPr>
          <w:rStyle w:val="FootnoteReference"/>
        </w:rPr>
        <w:footnoteRef/>
      </w:r>
      <w:r w:rsidRPr="00A03B67">
        <w:t xml:space="preserve"> </w:t>
      </w:r>
      <w:r w:rsidRPr="00A03B67">
        <w:rPr>
          <w:i/>
        </w:rPr>
        <w:t>Fair Work Act 2009</w:t>
      </w:r>
      <w:r w:rsidRPr="00A03B67">
        <w:t xml:space="preserve"> </w:t>
      </w:r>
      <w:r w:rsidR="003F62D1" w:rsidRPr="00A03B67">
        <w:t xml:space="preserve">(Cth) </w:t>
      </w:r>
      <w:r w:rsidRPr="00A03B67">
        <w:t>s193A(6).</w:t>
      </w:r>
    </w:p>
  </w:footnote>
  <w:footnote w:id="624">
    <w:p w14:paraId="5CCF1065" w14:textId="4FB2D153" w:rsidR="00173F8E" w:rsidRPr="00A03B67" w:rsidRDefault="00173F8E" w:rsidP="00173F8E">
      <w:pPr>
        <w:pStyle w:val="FootnoteText"/>
      </w:pPr>
      <w:r w:rsidRPr="00A03B67">
        <w:rPr>
          <w:rStyle w:val="FootnoteReference"/>
        </w:rPr>
        <w:footnoteRef/>
      </w:r>
      <w:r w:rsidRPr="00A03B67">
        <w:t xml:space="preserve"> </w:t>
      </w:r>
      <w:r w:rsidRPr="00A03B67">
        <w:rPr>
          <w:i/>
        </w:rPr>
        <w:t>Fair Work Act 2009</w:t>
      </w:r>
      <w:r w:rsidRPr="00A03B67">
        <w:t xml:space="preserve"> </w:t>
      </w:r>
      <w:r w:rsidR="003F62D1" w:rsidRPr="00A03B67">
        <w:t xml:space="preserve">(Cth) </w:t>
      </w:r>
      <w:r w:rsidRPr="00A03B67">
        <w:t>s</w:t>
      </w:r>
      <w:r w:rsidR="003F62D1" w:rsidRPr="00A03B67">
        <w:t xml:space="preserve"> </w:t>
      </w:r>
      <w:r w:rsidRPr="00A03B67">
        <w:t>191A(3).</w:t>
      </w:r>
    </w:p>
  </w:footnote>
  <w:footnote w:id="625">
    <w:p w14:paraId="07748B74" w14:textId="07AD00D8" w:rsidR="002120CF" w:rsidRPr="00A03B67" w:rsidRDefault="002120CF" w:rsidP="002120CF">
      <w:pPr>
        <w:pStyle w:val="FootnoteText"/>
      </w:pPr>
      <w:r w:rsidRPr="00A03B67">
        <w:rPr>
          <w:rStyle w:val="FootnoteReference"/>
        </w:rPr>
        <w:footnoteRef/>
      </w:r>
      <w:r w:rsidRPr="00A03B67">
        <w:t xml:space="preserve"> </w:t>
      </w:r>
      <w:r w:rsidR="003F62D1" w:rsidRPr="00A03B67">
        <w:t xml:space="preserve">Explanatory Memorandum, </w:t>
      </w:r>
      <w:r w:rsidR="0025485D" w:rsidRPr="00A03B67">
        <w:t>Fair Work Legislation Amendment (Secure Jobs, Better Pay) Bill 2022</w:t>
      </w:r>
      <w:r w:rsidR="003F62D1" w:rsidRPr="00A03B67">
        <w:t xml:space="preserve">, </w:t>
      </w:r>
      <w:r w:rsidRPr="00A03B67">
        <w:t>136</w:t>
      </w:r>
      <w:r w:rsidR="003F62D1" w:rsidRPr="00A03B67">
        <w:rPr>
          <w:rFonts w:ascii="Symbol" w:eastAsia="Symbol" w:hAnsi="Symbol" w:cs="Symbol"/>
        </w:rPr>
        <w:t>-</w:t>
      </w:r>
      <w:r w:rsidRPr="00A03B67">
        <w:t>137 [736].</w:t>
      </w:r>
    </w:p>
  </w:footnote>
  <w:footnote w:id="626">
    <w:p w14:paraId="49060FDB" w14:textId="1AE7B801" w:rsidR="00173F8E" w:rsidRPr="00A03B67" w:rsidRDefault="00173F8E" w:rsidP="00173F8E">
      <w:pPr>
        <w:pStyle w:val="FootnoteText"/>
      </w:pPr>
      <w:r w:rsidRPr="00A03B67">
        <w:rPr>
          <w:rStyle w:val="FootnoteReference"/>
        </w:rPr>
        <w:footnoteRef/>
      </w:r>
      <w:r w:rsidRPr="00A03B67">
        <w:t xml:space="preserve"> </w:t>
      </w:r>
      <w:r w:rsidRPr="00A03B67">
        <w:rPr>
          <w:i/>
        </w:rPr>
        <w:t>Fair Work Act 2009</w:t>
      </w:r>
      <w:r w:rsidR="003F62D1" w:rsidRPr="00A03B67">
        <w:t xml:space="preserve"> (Cth) </w:t>
      </w:r>
      <w:r w:rsidRPr="00A03B67">
        <w:t>s</w:t>
      </w:r>
      <w:r w:rsidR="003F62D1" w:rsidRPr="00A03B67">
        <w:t xml:space="preserve"> </w:t>
      </w:r>
      <w:r w:rsidRPr="00A03B67">
        <w:t>227A.</w:t>
      </w:r>
    </w:p>
  </w:footnote>
  <w:footnote w:id="627">
    <w:p w14:paraId="2575F571" w14:textId="1C638CDE" w:rsidR="002120CF" w:rsidRPr="00A03B67" w:rsidRDefault="002120CF" w:rsidP="002120CF">
      <w:pPr>
        <w:pStyle w:val="FootnoteText"/>
      </w:pPr>
      <w:r w:rsidRPr="00A03B67">
        <w:rPr>
          <w:rStyle w:val="FootnoteReference"/>
        </w:rPr>
        <w:footnoteRef/>
      </w:r>
      <w:r w:rsidRPr="00A03B67">
        <w:t xml:space="preserve"> </w:t>
      </w:r>
      <w:r w:rsidRPr="00A03B67">
        <w:rPr>
          <w:i/>
          <w:iCs/>
        </w:rPr>
        <w:t>F</w:t>
      </w:r>
      <w:r w:rsidR="003F62D1" w:rsidRPr="00A03B67">
        <w:rPr>
          <w:i/>
          <w:iCs/>
        </w:rPr>
        <w:t xml:space="preserve">air </w:t>
      </w:r>
      <w:r w:rsidRPr="00A03B67">
        <w:rPr>
          <w:i/>
          <w:iCs/>
        </w:rPr>
        <w:t>W</w:t>
      </w:r>
      <w:r w:rsidR="003F62D1" w:rsidRPr="00A03B67">
        <w:rPr>
          <w:i/>
          <w:iCs/>
        </w:rPr>
        <w:t>ork</w:t>
      </w:r>
      <w:r w:rsidRPr="00A03B67">
        <w:rPr>
          <w:i/>
          <w:iCs/>
        </w:rPr>
        <w:t xml:space="preserve"> Act </w:t>
      </w:r>
      <w:r w:rsidR="003F62D1" w:rsidRPr="00A03B67">
        <w:rPr>
          <w:i/>
          <w:iCs/>
        </w:rPr>
        <w:t>2009</w:t>
      </w:r>
      <w:r w:rsidR="003F62D1" w:rsidRPr="00A03B67">
        <w:t xml:space="preserve"> (Cth) </w:t>
      </w:r>
      <w:r w:rsidRPr="00A03B67">
        <w:t>s</w:t>
      </w:r>
      <w:r w:rsidR="003F62D1" w:rsidRPr="00A03B67">
        <w:t xml:space="preserve"> </w:t>
      </w:r>
      <w:r w:rsidRPr="00A03B67">
        <w:t>227A(2).</w:t>
      </w:r>
    </w:p>
  </w:footnote>
  <w:footnote w:id="628">
    <w:p w14:paraId="3FCD990A" w14:textId="0661D017" w:rsidR="00173F8E" w:rsidRPr="00A03B67" w:rsidRDefault="00173F8E" w:rsidP="00173F8E">
      <w:pPr>
        <w:pStyle w:val="FootnoteText"/>
      </w:pPr>
      <w:r w:rsidRPr="00A03B67">
        <w:rPr>
          <w:rStyle w:val="FootnoteReference"/>
        </w:rPr>
        <w:footnoteRef/>
      </w:r>
      <w:r w:rsidRPr="00A03B67">
        <w:t xml:space="preserve"> F</w:t>
      </w:r>
      <w:r w:rsidR="003F62D1" w:rsidRPr="00A03B67">
        <w:t xml:space="preserve">air </w:t>
      </w:r>
      <w:r w:rsidRPr="00A03B67">
        <w:t>W</w:t>
      </w:r>
      <w:r w:rsidR="003F62D1" w:rsidRPr="00A03B67">
        <w:t>ork</w:t>
      </w:r>
      <w:r w:rsidRPr="00A03B67">
        <w:t xml:space="preserve"> Act </w:t>
      </w:r>
      <w:r w:rsidR="003F62D1" w:rsidRPr="00A03B67">
        <w:t xml:space="preserve">2009 (Cth) </w:t>
      </w:r>
      <w:r w:rsidRPr="00A03B67">
        <w:t>s</w:t>
      </w:r>
      <w:r w:rsidR="003F62D1" w:rsidRPr="00A03B67">
        <w:t xml:space="preserve"> </w:t>
      </w:r>
      <w:r w:rsidRPr="00A03B67">
        <w:t>227B(3).</w:t>
      </w:r>
    </w:p>
  </w:footnote>
  <w:footnote w:id="629">
    <w:p w14:paraId="4D74F584" w14:textId="13060A9B"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Senate Education and Employment Committee, Parliament of Australia, </w:t>
      </w:r>
      <w:r w:rsidR="003F62D1" w:rsidRPr="00A03B67">
        <w:rPr>
          <w:i/>
          <w:iCs/>
        </w:rPr>
        <w:t>Fair Work Legislation Amendment (Secure Jobs, Better Pay) Bill 2022 [Provisions]</w:t>
      </w:r>
      <w:r w:rsidR="003F62D1" w:rsidRPr="00A03B67">
        <w:t xml:space="preserve"> (Report, 2022) [</w:t>
      </w:r>
      <w:r w:rsidRPr="00A03B67">
        <w:t>1.48</w:t>
      </w:r>
      <w:r w:rsidR="003F62D1" w:rsidRPr="00A03B67">
        <w:t>] &lt;</w:t>
      </w:r>
      <w:r w:rsidR="0025485D" w:rsidRPr="00A03B67">
        <w:t>https://parlinfo.aph.gov.au/parlInfo/download/committees/reportsen/025002/toc_pdf/FairWorkLegislationAmendment(SecureJobs,BetterPay)Bill2022%5bProvisions%5d.pdf;fileType=application%2Fpdf</w:t>
      </w:r>
      <w:r w:rsidR="003F62D1" w:rsidRPr="00A03B67">
        <w:t>&gt;.</w:t>
      </w:r>
    </w:p>
  </w:footnote>
  <w:footnote w:id="630">
    <w:p w14:paraId="1AFB9D7A" w14:textId="69D19AC2" w:rsidR="00173F8E" w:rsidRPr="00A03B67" w:rsidRDefault="00173F8E" w:rsidP="00173F8E">
      <w:pPr>
        <w:pStyle w:val="FootnoteText"/>
      </w:pPr>
      <w:r w:rsidRPr="00A03B67">
        <w:rPr>
          <w:rStyle w:val="FootnoteReference"/>
        </w:rPr>
        <w:footnoteRef/>
      </w:r>
      <w:r w:rsidRPr="00A03B67">
        <w:t xml:space="preserve"> </w:t>
      </w:r>
      <w:r w:rsidR="003F62D1" w:rsidRPr="00A03B67">
        <w:t xml:space="preserve">Explanatory Memorandum, </w:t>
      </w:r>
      <w:r w:rsidR="0025485D" w:rsidRPr="00A03B67">
        <w:t>Fair Work Legislation Amendment (Secure Jobs, Better Pay) Bill 2022</w:t>
      </w:r>
      <w:r w:rsidR="003F62D1" w:rsidRPr="00A03B67">
        <w:t xml:space="preserve">, </w:t>
      </w:r>
      <w:r w:rsidRPr="00A03B67">
        <w:t>137 [734].</w:t>
      </w:r>
    </w:p>
  </w:footnote>
  <w:footnote w:id="631">
    <w:p w14:paraId="41D5009A" w14:textId="292B00BF" w:rsidR="00173F8E" w:rsidRPr="00A03B67" w:rsidRDefault="00173F8E" w:rsidP="00173F8E">
      <w:pPr>
        <w:pStyle w:val="FootnoteText"/>
      </w:pPr>
      <w:r w:rsidRPr="00A03B67">
        <w:rPr>
          <w:rStyle w:val="FootnoteReference"/>
        </w:rPr>
        <w:footnoteRef/>
      </w:r>
      <w:r w:rsidR="003F62D1" w:rsidRPr="00A03B67">
        <w:t xml:space="preserve"> Explanatory Memorandum,</w:t>
      </w:r>
      <w:r w:rsidRPr="00A03B67">
        <w:t xml:space="preserve"> </w:t>
      </w:r>
      <w:r w:rsidR="0025485D" w:rsidRPr="00A03B67">
        <w:t>Fair Work Legislation Amendment (Secure Jobs, Better Pay) Bill 2022</w:t>
      </w:r>
      <w:r w:rsidR="003F62D1" w:rsidRPr="00A03B67">
        <w:t xml:space="preserve">, </w:t>
      </w:r>
      <w:r w:rsidRPr="00A03B67">
        <w:t>137 [736].</w:t>
      </w:r>
    </w:p>
  </w:footnote>
  <w:footnote w:id="632">
    <w:p w14:paraId="2384DF07" w14:textId="21E2E0E9" w:rsidR="00173F8E" w:rsidRPr="00A03B67" w:rsidRDefault="00173F8E" w:rsidP="00173F8E">
      <w:pPr>
        <w:pStyle w:val="FootnoteText"/>
      </w:pPr>
      <w:r w:rsidRPr="00A03B67">
        <w:rPr>
          <w:rStyle w:val="FootnoteReference"/>
        </w:rPr>
        <w:footnoteRef/>
      </w:r>
      <w:r w:rsidRPr="00A03B67">
        <w:t xml:space="preserve"> In 2017</w:t>
      </w:r>
      <w:r w:rsidR="003F62D1" w:rsidRPr="00A03B67">
        <w:rPr>
          <w:rFonts w:ascii="Symbol" w:eastAsia="Symbol" w:hAnsi="Symbol" w:cs="Symbol"/>
        </w:rPr>
        <w:t>-</w:t>
      </w:r>
      <w:r w:rsidRPr="00A03B67">
        <w:t>18 the FWC received a total of 31,554 applications and in 2023</w:t>
      </w:r>
      <w:r w:rsidR="003F62D1" w:rsidRPr="00A03B67">
        <w:rPr>
          <w:rFonts w:ascii="Symbol" w:eastAsia="Symbol" w:hAnsi="Symbol" w:cs="Symbol"/>
        </w:rPr>
        <w:t>-</w:t>
      </w:r>
      <w:r w:rsidRPr="00A03B67">
        <w:t xml:space="preserve">24 the FWC received a total of 40,190 applications (FWC </w:t>
      </w:r>
      <w:r w:rsidR="003F62D1" w:rsidRPr="00A03B67">
        <w:t>a</w:t>
      </w:r>
      <w:r w:rsidRPr="00A03B67">
        <w:t xml:space="preserve">nnual </w:t>
      </w:r>
      <w:r w:rsidR="003F62D1" w:rsidRPr="00A03B67">
        <w:t>r</w:t>
      </w:r>
      <w:r w:rsidRPr="00A03B67">
        <w:t>eport</w:t>
      </w:r>
      <w:r w:rsidR="003F62D1" w:rsidRPr="00A03B67">
        <w:t>s</w:t>
      </w:r>
      <w:r w:rsidRPr="00A03B67">
        <w:t>).</w:t>
      </w:r>
    </w:p>
  </w:footnote>
  <w:footnote w:id="633">
    <w:p w14:paraId="3B6CC32B" w14:textId="71C86FB5" w:rsidR="00173F8E" w:rsidRPr="00A03B67" w:rsidRDefault="00173F8E" w:rsidP="00173F8E">
      <w:pPr>
        <w:pStyle w:val="FootnoteText"/>
      </w:pPr>
      <w:r w:rsidRPr="00A03B67">
        <w:rPr>
          <w:rStyle w:val="FootnoteReference"/>
        </w:rPr>
        <w:footnoteRef/>
      </w:r>
      <w:r w:rsidRPr="00A03B67">
        <w:t xml:space="preserve"> </w:t>
      </w:r>
      <w:r w:rsidR="0025485D" w:rsidRPr="00A03B67">
        <w:rPr>
          <w:lang w:val="en-US"/>
        </w:rPr>
        <w:t xml:space="preserve">Fair Work Commission, </w:t>
      </w:r>
      <w:r w:rsidR="0025485D" w:rsidRPr="00A03B67">
        <w:rPr>
          <w:i/>
          <w:iCs/>
          <w:lang w:val="en-US"/>
        </w:rPr>
        <w:t>Annual Report 2018–19</w:t>
      </w:r>
      <w:r w:rsidR="003F62D1" w:rsidRPr="00A03B67">
        <w:rPr>
          <w:lang w:val="en-US"/>
        </w:rPr>
        <w:t xml:space="preserve"> (Report, 2019) </w:t>
      </w:r>
      <w:r w:rsidRPr="00A03B67">
        <w:rPr>
          <w:lang w:val="en-US"/>
        </w:rPr>
        <w:t>70.</w:t>
      </w:r>
    </w:p>
  </w:footnote>
  <w:footnote w:id="634">
    <w:p w14:paraId="5688283B" w14:textId="3172682B"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2017–18</w:t>
      </w:r>
      <w:r w:rsidR="00A46374" w:rsidRPr="00A03B67">
        <w:t xml:space="preserve"> (Report, 2018).</w:t>
      </w:r>
    </w:p>
  </w:footnote>
  <w:footnote w:id="635">
    <w:p w14:paraId="407C3095" w14:textId="0D130561" w:rsidR="00173F8E" w:rsidRPr="00A03B67" w:rsidRDefault="00173F8E" w:rsidP="00173F8E">
      <w:pPr>
        <w:pStyle w:val="FootnoteText"/>
      </w:pPr>
      <w:r w:rsidRPr="00A03B67">
        <w:rPr>
          <w:rStyle w:val="FootnoteReference"/>
        </w:rPr>
        <w:footnoteRef/>
      </w:r>
      <w:r w:rsidRPr="00A03B67">
        <w:t xml:space="preserve"> </w:t>
      </w:r>
      <w:r w:rsidR="0025485D" w:rsidRPr="00A03B67">
        <w:rPr>
          <w:lang w:val="en-US"/>
        </w:rPr>
        <w:t xml:space="preserve">Fair Work Commission, </w:t>
      </w:r>
      <w:r w:rsidR="0025485D" w:rsidRPr="00A03B67">
        <w:rPr>
          <w:i/>
          <w:iCs/>
          <w:lang w:val="en-US"/>
        </w:rPr>
        <w:t>Annual Report 2018–19</w:t>
      </w:r>
      <w:r w:rsidR="00A46374" w:rsidRPr="00A03B67">
        <w:t xml:space="preserve"> (Report, 2019).</w:t>
      </w:r>
    </w:p>
  </w:footnote>
  <w:footnote w:id="636">
    <w:p w14:paraId="7760931A" w14:textId="2DC1FFDB"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2019</w:t>
      </w:r>
      <w:r w:rsidR="0025485D" w:rsidRPr="00A03B67">
        <w:rPr>
          <w:rFonts w:ascii="Symbol" w:eastAsia="Symbol" w:hAnsi="Symbol" w:cs="Symbol"/>
          <w:i/>
          <w:iCs/>
        </w:rPr>
        <w:t>-</w:t>
      </w:r>
      <w:r w:rsidR="0025485D" w:rsidRPr="00A03B67">
        <w:rPr>
          <w:i/>
          <w:iCs/>
        </w:rPr>
        <w:t>20</w:t>
      </w:r>
      <w:r w:rsidR="0025485D" w:rsidRPr="00A03B67">
        <w:t xml:space="preserve"> (Report, 2020) ‘Access to justice</w:t>
      </w:r>
      <w:r w:rsidR="00AF11D4" w:rsidRPr="00A03B67">
        <w:t>’.</w:t>
      </w:r>
    </w:p>
  </w:footnote>
  <w:footnote w:id="637">
    <w:p w14:paraId="4EF83784" w14:textId="06812F15"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2020</w:t>
      </w:r>
      <w:r w:rsidR="0025485D" w:rsidRPr="00A03B67">
        <w:rPr>
          <w:rFonts w:ascii="Symbol" w:eastAsia="Symbol" w:hAnsi="Symbol" w:cs="Symbol"/>
          <w:i/>
          <w:iCs/>
        </w:rPr>
        <w:t>-</w:t>
      </w:r>
      <w:r w:rsidR="0025485D" w:rsidRPr="00A03B67">
        <w:rPr>
          <w:i/>
          <w:iCs/>
        </w:rPr>
        <w:t>21</w:t>
      </w:r>
      <w:r w:rsidR="0025485D" w:rsidRPr="00A03B67">
        <w:t xml:space="preserve"> (Report, 2021) ‘Access to justice</w:t>
      </w:r>
      <w:r w:rsidR="00AF11D4" w:rsidRPr="00A03B67">
        <w:t>’.</w:t>
      </w:r>
    </w:p>
  </w:footnote>
  <w:footnote w:id="638">
    <w:p w14:paraId="2376B286" w14:textId="24F7E6C9"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2021</w:t>
      </w:r>
      <w:r w:rsidR="0025485D" w:rsidRPr="00A03B67">
        <w:rPr>
          <w:rFonts w:ascii="Symbol" w:eastAsia="Symbol" w:hAnsi="Symbol" w:cs="Symbol"/>
          <w:i/>
          <w:iCs/>
        </w:rPr>
        <w:t>-</w:t>
      </w:r>
      <w:r w:rsidR="0025485D" w:rsidRPr="00A03B67">
        <w:rPr>
          <w:i/>
          <w:iCs/>
        </w:rPr>
        <w:t>22</w:t>
      </w:r>
      <w:r w:rsidR="00A46374" w:rsidRPr="00A03B67">
        <w:t xml:space="preserve"> (Report, 2022).</w:t>
      </w:r>
    </w:p>
  </w:footnote>
  <w:footnote w:id="639">
    <w:p w14:paraId="1BAB83EA" w14:textId="555D82A9"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2022–23</w:t>
      </w:r>
      <w:r w:rsidR="00A46374" w:rsidRPr="00A03B67">
        <w:t xml:space="preserve"> (Report, 2023).</w:t>
      </w:r>
    </w:p>
  </w:footnote>
  <w:footnote w:id="640">
    <w:p w14:paraId="1DF07B8E" w14:textId="7F6A7ED5"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2023</w:t>
      </w:r>
      <w:r w:rsidR="0025485D" w:rsidRPr="00A03B67">
        <w:rPr>
          <w:rFonts w:ascii="Symbol" w:eastAsia="Symbol" w:hAnsi="Symbol" w:cs="Symbol"/>
          <w:i/>
          <w:iCs/>
        </w:rPr>
        <w:t>-</w:t>
      </w:r>
      <w:r w:rsidR="0025485D" w:rsidRPr="00A03B67">
        <w:rPr>
          <w:i/>
          <w:iCs/>
        </w:rPr>
        <w:t>24</w:t>
      </w:r>
      <w:r w:rsidR="00A46374" w:rsidRPr="00A03B67">
        <w:t xml:space="preserve"> (Report, 2024).</w:t>
      </w:r>
    </w:p>
  </w:footnote>
  <w:footnote w:id="641">
    <w:p w14:paraId="2DC0BE5E" w14:textId="3390B1BB"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2022–23</w:t>
      </w:r>
      <w:r w:rsidR="00AF11D4" w:rsidRPr="00A03B67">
        <w:t xml:space="preserve"> (Report, 2023) </w:t>
      </w:r>
      <w:r w:rsidRPr="00A03B67">
        <w:t>64.</w:t>
      </w:r>
    </w:p>
  </w:footnote>
  <w:footnote w:id="642">
    <w:p w14:paraId="5653F670" w14:textId="50FF329E" w:rsidR="00173F8E" w:rsidRPr="00A03B67" w:rsidRDefault="00173F8E" w:rsidP="00173F8E">
      <w:pPr>
        <w:pStyle w:val="FootnoteText"/>
      </w:pPr>
      <w:r w:rsidRPr="00A03B67">
        <w:rPr>
          <w:rStyle w:val="FootnoteReference"/>
        </w:rPr>
        <w:footnoteRef/>
      </w:r>
      <w:r w:rsidRPr="00A03B67">
        <w:t xml:space="preserve"> </w:t>
      </w:r>
      <w:r w:rsidR="0025485D" w:rsidRPr="00A03B67">
        <w:t xml:space="preserve">Fair Work Commission, </w:t>
      </w:r>
      <w:r w:rsidR="0025485D" w:rsidRPr="00A03B67">
        <w:rPr>
          <w:i/>
          <w:iCs/>
        </w:rPr>
        <w:t>Annual Report 2023</w:t>
      </w:r>
      <w:r w:rsidR="0025485D" w:rsidRPr="00A03B67">
        <w:rPr>
          <w:rFonts w:ascii="Symbol" w:eastAsia="Symbol" w:hAnsi="Symbol" w:cs="Symbol"/>
          <w:i/>
          <w:iCs/>
        </w:rPr>
        <w:t>-</w:t>
      </w:r>
      <w:r w:rsidR="0025485D" w:rsidRPr="00A03B67">
        <w:rPr>
          <w:i/>
          <w:iCs/>
        </w:rPr>
        <w:t>24</w:t>
      </w:r>
      <w:r w:rsidRPr="00A03B67">
        <w:t xml:space="preserve"> </w:t>
      </w:r>
      <w:r w:rsidR="00A46374" w:rsidRPr="00A03B67">
        <w:t xml:space="preserve">(Report, 2024) </w:t>
      </w:r>
      <w:r w:rsidRPr="00A03B67">
        <w:t>63.</w:t>
      </w:r>
    </w:p>
  </w:footnote>
  <w:footnote w:id="643">
    <w:p w14:paraId="6E21FBCE" w14:textId="6945AF83" w:rsidR="00173F8E" w:rsidRPr="00A03B67" w:rsidRDefault="00173F8E" w:rsidP="00173F8E">
      <w:pPr>
        <w:pStyle w:val="FootnoteText"/>
      </w:pPr>
      <w:r w:rsidRPr="00A03B67">
        <w:rPr>
          <w:rStyle w:val="FootnoteReference"/>
        </w:rPr>
        <w:footnoteRef/>
      </w:r>
      <w:r w:rsidRPr="00A03B67">
        <w:t xml:space="preserve"> </w:t>
      </w:r>
      <w:r w:rsidR="0025485D" w:rsidRPr="00A03B67">
        <w:rPr>
          <w:i/>
          <w:iCs/>
        </w:rPr>
        <w:t xml:space="preserve">Application by Kinetic (Melbourne) Pty Ltd T/A Kinetic </w:t>
      </w:r>
      <w:r w:rsidR="0025485D" w:rsidRPr="00A03B67">
        <w:t>[2023] FWCA 3966</w:t>
      </w:r>
      <w:r w:rsidRPr="00A03B67">
        <w:rPr>
          <w:rStyle w:val="Hyperlink"/>
        </w:rPr>
        <w:t xml:space="preserve"> [2]</w:t>
      </w:r>
      <w:r w:rsidR="00A46374" w:rsidRPr="00A03B67">
        <w:rPr>
          <w:rStyle w:val="Hyperlink"/>
        </w:rPr>
        <w:t>.</w:t>
      </w:r>
    </w:p>
  </w:footnote>
  <w:footnote w:id="644">
    <w:p w14:paraId="1CB92190" w14:textId="3BDF4E24" w:rsidR="00060EFE" w:rsidRPr="00A03B67" w:rsidRDefault="00060EFE">
      <w:pPr>
        <w:pStyle w:val="FootnoteText"/>
      </w:pPr>
      <w:r w:rsidRPr="00A03B67">
        <w:rPr>
          <w:rStyle w:val="FootnoteReference"/>
        </w:rPr>
        <w:footnoteRef/>
      </w:r>
      <w:r w:rsidRPr="00A03B67">
        <w:t xml:space="preserve"> </w:t>
      </w:r>
      <w:r w:rsidR="003C0420" w:rsidRPr="00A03B67">
        <w:rPr>
          <w:i/>
        </w:rPr>
        <w:t>Qantas Airways Limited T/A Qantas Airways Ltd</w:t>
      </w:r>
      <w:r w:rsidR="003C0420" w:rsidRPr="00A03B67">
        <w:t xml:space="preserve"> </w:t>
      </w:r>
      <w:r w:rsidRPr="00A03B67">
        <w:t>[2024] FWCA 4143.</w:t>
      </w:r>
    </w:p>
  </w:footnote>
  <w:footnote w:id="645">
    <w:p w14:paraId="28C5F4DD" w14:textId="0044E071" w:rsidR="00173F8E" w:rsidRPr="00A03B67" w:rsidRDefault="00173F8E" w:rsidP="00173F8E">
      <w:pPr>
        <w:pStyle w:val="FootnoteText"/>
      </w:pPr>
      <w:r w:rsidRPr="00A03B67">
        <w:rPr>
          <w:rStyle w:val="FootnoteReference"/>
        </w:rPr>
        <w:footnoteRef/>
      </w:r>
      <w:r w:rsidRPr="00A03B67">
        <w:t xml:space="preserve"> </w:t>
      </w:r>
      <w:r w:rsidRPr="00A03B67">
        <w:rPr>
          <w:i/>
          <w:iCs/>
        </w:rPr>
        <w:t>Qantas Airways Limited T/A Qantas Airways Ltd</w:t>
      </w:r>
      <w:r w:rsidRPr="00A03B67">
        <w:t xml:space="preserve"> [2024] FWCA 4143 [19].</w:t>
      </w:r>
    </w:p>
  </w:footnote>
  <w:footnote w:id="646">
    <w:p w14:paraId="4D4F92D5" w14:textId="6D62ED8B" w:rsidR="00173F8E" w:rsidRPr="00A03B67" w:rsidRDefault="00173F8E" w:rsidP="00173F8E">
      <w:pPr>
        <w:pStyle w:val="FootnoteText"/>
      </w:pPr>
      <w:r w:rsidRPr="00A03B67">
        <w:rPr>
          <w:rStyle w:val="FootnoteReference"/>
        </w:rPr>
        <w:footnoteRef/>
      </w:r>
      <w:r w:rsidRPr="00A03B67">
        <w:t xml:space="preserve"> </w:t>
      </w:r>
      <w:r w:rsidRPr="00A03B67">
        <w:rPr>
          <w:i/>
          <w:iCs/>
        </w:rPr>
        <w:t>Qantas Airways Limited T/A Qantas Airways Ltd</w:t>
      </w:r>
      <w:r w:rsidRPr="00A03B67">
        <w:t xml:space="preserve"> [2024] FWCA 4143 [21].</w:t>
      </w:r>
    </w:p>
  </w:footnote>
  <w:footnote w:id="647">
    <w:p w14:paraId="00C0D956" w14:textId="073FEAEE" w:rsidR="00173F8E" w:rsidRPr="00A03B67" w:rsidRDefault="00173F8E" w:rsidP="00173F8E">
      <w:pPr>
        <w:pStyle w:val="FootnoteText"/>
      </w:pPr>
      <w:r w:rsidRPr="00A03B67">
        <w:rPr>
          <w:rStyle w:val="FootnoteReference"/>
        </w:rPr>
        <w:footnoteRef/>
      </w:r>
      <w:r w:rsidRPr="00A03B67">
        <w:t xml:space="preserve"> </w:t>
      </w:r>
      <w:r w:rsidRPr="00A03B67">
        <w:rPr>
          <w:i/>
          <w:iCs/>
        </w:rPr>
        <w:t>Qantas Airways Limited T/A Qantas Airways Ltd</w:t>
      </w:r>
      <w:r w:rsidRPr="00A03B67">
        <w:t xml:space="preserve"> [2024] FWCA 4143 [33].</w:t>
      </w:r>
    </w:p>
  </w:footnote>
  <w:footnote w:id="648">
    <w:p w14:paraId="58F17C50" w14:textId="422A2C9A" w:rsidR="00060EFE" w:rsidRPr="00A03B67" w:rsidRDefault="00060EFE">
      <w:pPr>
        <w:pStyle w:val="FootnoteText"/>
      </w:pPr>
      <w:r w:rsidRPr="00A03B67">
        <w:rPr>
          <w:rStyle w:val="FootnoteReference"/>
        </w:rPr>
        <w:footnoteRef/>
      </w:r>
      <w:r w:rsidR="003C0420" w:rsidRPr="00A03B67">
        <w:rPr>
          <w:i/>
        </w:rPr>
        <w:t>McMahon Services Australia Pty Ltd</w:t>
      </w:r>
      <w:r w:rsidRPr="00A03B67">
        <w:t xml:space="preserve"> [2024] FWCA 934.</w:t>
      </w:r>
    </w:p>
  </w:footnote>
  <w:footnote w:id="649">
    <w:p w14:paraId="015E7790" w14:textId="3A2470DF" w:rsidR="00173F8E" w:rsidRPr="00A03B67" w:rsidRDefault="00173F8E" w:rsidP="00173F8E">
      <w:pPr>
        <w:pStyle w:val="FootnoteText"/>
      </w:pPr>
      <w:r w:rsidRPr="00A03B67">
        <w:rPr>
          <w:rStyle w:val="FootnoteReference"/>
        </w:rPr>
        <w:footnoteRef/>
      </w:r>
      <w:r w:rsidRPr="00A03B67">
        <w:t xml:space="preserve"> </w:t>
      </w:r>
      <w:r w:rsidRPr="00A03B67">
        <w:rPr>
          <w:i/>
          <w:iCs/>
        </w:rPr>
        <w:t xml:space="preserve">McMahon Services Australia Pty Ltd </w:t>
      </w:r>
      <w:r w:rsidRPr="00A03B67">
        <w:t>[2024] FWCA 934 [120].</w:t>
      </w:r>
    </w:p>
  </w:footnote>
  <w:footnote w:id="650">
    <w:p w14:paraId="2FDD0F5F" w14:textId="17A2620F" w:rsidR="00060EFE" w:rsidRPr="00A03B67" w:rsidRDefault="00060EFE">
      <w:pPr>
        <w:pStyle w:val="FootnoteText"/>
      </w:pPr>
      <w:r w:rsidRPr="00A03B67">
        <w:rPr>
          <w:rStyle w:val="FootnoteReference"/>
        </w:rPr>
        <w:footnoteRef/>
      </w:r>
      <w:r w:rsidRPr="00A03B67">
        <w:t xml:space="preserve"> </w:t>
      </w:r>
      <w:r w:rsidR="00052B2F" w:rsidRPr="00A03B67">
        <w:rPr>
          <w:i/>
          <w:iCs/>
        </w:rPr>
        <w:t>Skilled Workforce Solutions (NSW) Pty Ltd</w:t>
      </w:r>
      <w:r w:rsidR="00052B2F" w:rsidRPr="00A03B67">
        <w:t xml:space="preserve"> </w:t>
      </w:r>
      <w:r w:rsidRPr="00A03B67">
        <w:t>[2024] FWC 2625</w:t>
      </w:r>
      <w:r w:rsidR="00A46374" w:rsidRPr="00A03B67">
        <w:t>.</w:t>
      </w:r>
    </w:p>
  </w:footnote>
  <w:footnote w:id="651">
    <w:p w14:paraId="201D6F16" w14:textId="230AEEA2" w:rsidR="00173F8E" w:rsidRPr="00A03B67" w:rsidRDefault="00173F8E" w:rsidP="00173F8E">
      <w:pPr>
        <w:pStyle w:val="FootnoteText"/>
      </w:pPr>
      <w:r w:rsidRPr="00A03B67">
        <w:rPr>
          <w:rStyle w:val="FootnoteReference"/>
        </w:rPr>
        <w:footnoteRef/>
      </w:r>
      <w:r w:rsidRPr="00A03B67">
        <w:t xml:space="preserve"> </w:t>
      </w:r>
      <w:r w:rsidRPr="00A03B67">
        <w:rPr>
          <w:i/>
          <w:iCs/>
        </w:rPr>
        <w:t>Skilled Workforce Solutions (NSW) Pty Ltd</w:t>
      </w:r>
      <w:r w:rsidRPr="00A03B67">
        <w:t xml:space="preserve"> [2024] FWC 2625 [15].</w:t>
      </w:r>
    </w:p>
  </w:footnote>
  <w:footnote w:id="652">
    <w:p w14:paraId="243B5E92" w14:textId="75718B99" w:rsidR="00173F8E" w:rsidRPr="00A03B67" w:rsidRDefault="00173F8E" w:rsidP="00173F8E">
      <w:pPr>
        <w:pStyle w:val="FootnoteText"/>
      </w:pPr>
      <w:r w:rsidRPr="00A03B67">
        <w:rPr>
          <w:rStyle w:val="FootnoteReference"/>
        </w:rPr>
        <w:footnoteRef/>
      </w:r>
      <w:r w:rsidRPr="00A03B67">
        <w:t xml:space="preserve"> </w:t>
      </w:r>
      <w:r w:rsidRPr="00A03B67">
        <w:rPr>
          <w:i/>
          <w:iCs/>
        </w:rPr>
        <w:t>Skilled Workforce Solutions (NSW) Pty Ltd</w:t>
      </w:r>
      <w:r w:rsidRPr="00A03B67">
        <w:t xml:space="preserve"> [2024] FWC 2625 [72].</w:t>
      </w:r>
    </w:p>
  </w:footnote>
  <w:footnote w:id="653">
    <w:p w14:paraId="14A7BB61" w14:textId="0A9E532F" w:rsidR="00173F8E" w:rsidRPr="00A03B67" w:rsidRDefault="00173F8E" w:rsidP="00173F8E">
      <w:pPr>
        <w:pStyle w:val="FootnoteText"/>
      </w:pPr>
      <w:r w:rsidRPr="00A03B67">
        <w:rPr>
          <w:rStyle w:val="FootnoteReference"/>
        </w:rPr>
        <w:footnoteRef/>
      </w:r>
      <w:r w:rsidRPr="00A03B67">
        <w:t xml:space="preserve"> ARA sub</w:t>
      </w:r>
      <w:r w:rsidR="00A46374" w:rsidRPr="00A03B67">
        <w:t>mission</w:t>
      </w:r>
      <w:r w:rsidRPr="00A03B67">
        <w:t>, 7.</w:t>
      </w:r>
    </w:p>
  </w:footnote>
  <w:footnote w:id="654">
    <w:p w14:paraId="01CC3A24" w14:textId="0AF66533" w:rsidR="00173F8E" w:rsidRPr="00A03B67" w:rsidRDefault="00173F8E" w:rsidP="00173F8E">
      <w:pPr>
        <w:pStyle w:val="FootnoteText"/>
      </w:pPr>
      <w:r w:rsidRPr="00A03B67">
        <w:rPr>
          <w:rStyle w:val="FootnoteReference"/>
        </w:rPr>
        <w:footnoteRef/>
      </w:r>
      <w:r w:rsidRPr="00A03B67">
        <w:t xml:space="preserve"> ACCI sub</w:t>
      </w:r>
      <w:r w:rsidR="00A46374" w:rsidRPr="00A03B67">
        <w:t>mission</w:t>
      </w:r>
      <w:r w:rsidRPr="00A03B67">
        <w:t>, 23 [56].</w:t>
      </w:r>
    </w:p>
  </w:footnote>
  <w:footnote w:id="655">
    <w:p w14:paraId="12DF3443" w14:textId="57E9D82C" w:rsidR="00173F8E" w:rsidRPr="00A03B67" w:rsidRDefault="00173F8E" w:rsidP="00173F8E">
      <w:pPr>
        <w:pStyle w:val="FootnoteText"/>
      </w:pPr>
      <w:r w:rsidRPr="00A03B67">
        <w:rPr>
          <w:rStyle w:val="FootnoteReference"/>
        </w:rPr>
        <w:footnoteRef/>
      </w:r>
      <w:r w:rsidRPr="00A03B67">
        <w:t xml:space="preserve"> Ai Group sub</w:t>
      </w:r>
      <w:r w:rsidR="00A46374" w:rsidRPr="00A03B67">
        <w:t>mission</w:t>
      </w:r>
      <w:r w:rsidRPr="00A03B67">
        <w:t>, 17 [77].</w:t>
      </w:r>
    </w:p>
  </w:footnote>
  <w:footnote w:id="656">
    <w:p w14:paraId="17E49A84" w14:textId="29CCB607" w:rsidR="00173F8E" w:rsidRPr="00A03B67" w:rsidRDefault="00173F8E" w:rsidP="00173F8E">
      <w:pPr>
        <w:pStyle w:val="FootnoteText"/>
      </w:pPr>
      <w:r w:rsidRPr="00A03B67">
        <w:rPr>
          <w:rStyle w:val="FootnoteReference"/>
        </w:rPr>
        <w:footnoteRef/>
      </w:r>
      <w:r w:rsidRPr="00A03B67">
        <w:t xml:space="preserve"> COSBOA sub</w:t>
      </w:r>
      <w:r w:rsidR="00A46374" w:rsidRPr="00A03B67">
        <w:t>mission</w:t>
      </w:r>
      <w:r w:rsidRPr="00A03B67">
        <w:t>, 6.</w:t>
      </w:r>
    </w:p>
  </w:footnote>
  <w:footnote w:id="657">
    <w:p w14:paraId="38087436" w14:textId="3D5975CB" w:rsidR="00173F8E" w:rsidRPr="00A03B67" w:rsidRDefault="00173F8E" w:rsidP="00173F8E">
      <w:pPr>
        <w:pStyle w:val="FootnoteText"/>
      </w:pPr>
      <w:r w:rsidRPr="00A03B67">
        <w:rPr>
          <w:rStyle w:val="FootnoteReference"/>
        </w:rPr>
        <w:footnoteRef/>
      </w:r>
      <w:r w:rsidRPr="00A03B67">
        <w:t xml:space="preserve"> Clubs Australia sub</w:t>
      </w:r>
      <w:r w:rsidR="00A46374" w:rsidRPr="00A03B67">
        <w:t>mission</w:t>
      </w:r>
      <w:r w:rsidRPr="00A03B67">
        <w:t>, 2.</w:t>
      </w:r>
    </w:p>
  </w:footnote>
  <w:footnote w:id="658">
    <w:p w14:paraId="375F0AEE" w14:textId="645EA0B4" w:rsidR="00173F8E" w:rsidRPr="00A03B67" w:rsidRDefault="00173F8E" w:rsidP="00173F8E">
      <w:pPr>
        <w:pStyle w:val="FootnoteText"/>
      </w:pPr>
      <w:r w:rsidRPr="00A03B67">
        <w:rPr>
          <w:rStyle w:val="FootnoteReference"/>
        </w:rPr>
        <w:footnoteRef/>
      </w:r>
      <w:r w:rsidRPr="00A03B67">
        <w:t xml:space="preserve"> CCIWA sub</w:t>
      </w:r>
      <w:r w:rsidR="00A46374" w:rsidRPr="00A03B67">
        <w:t>mission</w:t>
      </w:r>
      <w:r w:rsidRPr="00A03B67">
        <w:t>, 10.</w:t>
      </w:r>
    </w:p>
  </w:footnote>
  <w:footnote w:id="659">
    <w:p w14:paraId="70EC9543" w14:textId="0745DD75" w:rsidR="00A355E4" w:rsidRPr="00A03B67" w:rsidRDefault="00A355E4" w:rsidP="00A355E4">
      <w:pPr>
        <w:pStyle w:val="FootnoteText"/>
      </w:pPr>
      <w:r w:rsidRPr="00A03B67">
        <w:rPr>
          <w:rStyle w:val="FootnoteReference"/>
        </w:rPr>
        <w:footnoteRef/>
      </w:r>
      <w:r w:rsidRPr="00A03B67">
        <w:t xml:space="preserve"> Ai Group sub</w:t>
      </w:r>
      <w:r w:rsidR="00A46374" w:rsidRPr="00A03B67">
        <w:t>mission</w:t>
      </w:r>
      <w:r w:rsidRPr="00A03B67">
        <w:t>, 17 [77].</w:t>
      </w:r>
    </w:p>
  </w:footnote>
  <w:footnote w:id="660">
    <w:p w14:paraId="47FB1909" w14:textId="5C3C13D3" w:rsidR="00173F8E" w:rsidRPr="00A03B67" w:rsidRDefault="00173F8E" w:rsidP="00173F8E">
      <w:pPr>
        <w:pStyle w:val="FootnoteText"/>
      </w:pPr>
      <w:r w:rsidRPr="00A03B67">
        <w:rPr>
          <w:rStyle w:val="FootnoteReference"/>
        </w:rPr>
        <w:footnoteRef/>
      </w:r>
      <w:r w:rsidRPr="00A03B67">
        <w:t xml:space="preserve"> CCIWA sub</w:t>
      </w:r>
      <w:r w:rsidR="00A46374" w:rsidRPr="00A03B67">
        <w:t>mission</w:t>
      </w:r>
      <w:r w:rsidRPr="00A03B67">
        <w:t>, 11.</w:t>
      </w:r>
    </w:p>
  </w:footnote>
  <w:footnote w:id="661">
    <w:p w14:paraId="06FC3F59" w14:textId="626D0935" w:rsidR="00173F8E" w:rsidRPr="00A03B67" w:rsidRDefault="00173F8E" w:rsidP="00173F8E">
      <w:pPr>
        <w:pStyle w:val="FootnoteText"/>
      </w:pPr>
      <w:r w:rsidRPr="00A03B67">
        <w:rPr>
          <w:rStyle w:val="FootnoteReference"/>
        </w:rPr>
        <w:footnoteRef/>
      </w:r>
      <w:r w:rsidRPr="00A03B67">
        <w:t xml:space="preserve"> ARA </w:t>
      </w:r>
      <w:r w:rsidR="00A46374" w:rsidRPr="00A03B67">
        <w:t>submission</w:t>
      </w:r>
      <w:r w:rsidRPr="00A03B67">
        <w:t>, 7.</w:t>
      </w:r>
    </w:p>
  </w:footnote>
  <w:footnote w:id="662">
    <w:p w14:paraId="1616DAFA" w14:textId="0E1EBBF6" w:rsidR="00173F8E" w:rsidRPr="00A03B67" w:rsidRDefault="00173F8E" w:rsidP="00173F8E">
      <w:pPr>
        <w:pStyle w:val="FootnoteText"/>
      </w:pPr>
      <w:r w:rsidRPr="00A03B67">
        <w:rPr>
          <w:rStyle w:val="FootnoteReference"/>
        </w:rPr>
        <w:footnoteRef/>
      </w:r>
      <w:r w:rsidRPr="00A03B67">
        <w:t xml:space="preserve"> Ai Group </w:t>
      </w:r>
      <w:r w:rsidR="00A46374" w:rsidRPr="00A03B67">
        <w:t>submission</w:t>
      </w:r>
      <w:r w:rsidRPr="00A03B67">
        <w:t>, 18 [78].</w:t>
      </w:r>
    </w:p>
  </w:footnote>
  <w:footnote w:id="663">
    <w:p w14:paraId="05DB71A8" w14:textId="6E9C0B13" w:rsidR="00173F8E" w:rsidRPr="00A03B67" w:rsidRDefault="00173F8E" w:rsidP="00173F8E">
      <w:pPr>
        <w:pStyle w:val="FootnoteText"/>
      </w:pPr>
      <w:r w:rsidRPr="00A03B67">
        <w:rPr>
          <w:rStyle w:val="FootnoteReference"/>
        </w:rPr>
        <w:footnoteRef/>
      </w:r>
      <w:r w:rsidRPr="00A03B67">
        <w:t xml:space="preserve"> AREEA </w:t>
      </w:r>
      <w:r w:rsidR="00A46374" w:rsidRPr="00A03B67">
        <w:t>submission</w:t>
      </w:r>
      <w:r w:rsidRPr="00A03B67">
        <w:t>, 17 [118].</w:t>
      </w:r>
    </w:p>
  </w:footnote>
  <w:footnote w:id="664">
    <w:p w14:paraId="4EA3DC6C" w14:textId="67A65CD3" w:rsidR="00173F8E" w:rsidRPr="00A03B67" w:rsidRDefault="00173F8E" w:rsidP="00173F8E">
      <w:pPr>
        <w:pStyle w:val="FootnoteText"/>
      </w:pPr>
      <w:r w:rsidRPr="00A03B67">
        <w:rPr>
          <w:rStyle w:val="FootnoteReference"/>
        </w:rPr>
        <w:footnoteRef/>
      </w:r>
      <w:r w:rsidRPr="00A03B67">
        <w:t xml:space="preserve"> Clubs Australia </w:t>
      </w:r>
      <w:r w:rsidR="00A46374" w:rsidRPr="00A03B67">
        <w:t>submission</w:t>
      </w:r>
      <w:r w:rsidRPr="00A03B67">
        <w:t>, 2</w:t>
      </w:r>
    </w:p>
  </w:footnote>
  <w:footnote w:id="665">
    <w:p w14:paraId="7F4C0362" w14:textId="1C46FC6D" w:rsidR="00173F8E" w:rsidRPr="00A03B67" w:rsidRDefault="00173F8E" w:rsidP="00173F8E">
      <w:pPr>
        <w:pStyle w:val="FootnoteText"/>
      </w:pPr>
      <w:r w:rsidRPr="00A03B67">
        <w:rPr>
          <w:rStyle w:val="FootnoteReference"/>
        </w:rPr>
        <w:footnoteRef/>
      </w:r>
      <w:r w:rsidRPr="00A03B67">
        <w:t xml:space="preserve"> ACCI </w:t>
      </w:r>
      <w:r w:rsidR="00A46374" w:rsidRPr="00A03B67">
        <w:t>submission</w:t>
      </w:r>
      <w:r w:rsidRPr="00A03B67">
        <w:t>, 23 [55].</w:t>
      </w:r>
    </w:p>
  </w:footnote>
  <w:footnote w:id="666">
    <w:p w14:paraId="222AB2E0" w14:textId="63D3AA69" w:rsidR="00173F8E" w:rsidRPr="00A03B67" w:rsidRDefault="00173F8E" w:rsidP="00173F8E">
      <w:pPr>
        <w:pStyle w:val="FootnoteText"/>
      </w:pPr>
      <w:r w:rsidRPr="00A03B67">
        <w:rPr>
          <w:rStyle w:val="FootnoteReference"/>
        </w:rPr>
        <w:footnoteRef/>
      </w:r>
      <w:r w:rsidRPr="00A03B67">
        <w:t xml:space="preserve"> Pharmacy Guild </w:t>
      </w:r>
      <w:r w:rsidR="00A46374" w:rsidRPr="00A03B67">
        <w:t>submission</w:t>
      </w:r>
      <w:r w:rsidRPr="00A03B67">
        <w:t>, 4.</w:t>
      </w:r>
    </w:p>
  </w:footnote>
  <w:footnote w:id="667">
    <w:p w14:paraId="5B1D00FB" w14:textId="2F1845C1" w:rsidR="00173F8E" w:rsidRPr="00A03B67" w:rsidRDefault="00173F8E" w:rsidP="00173F8E">
      <w:pPr>
        <w:pStyle w:val="FootnoteText"/>
      </w:pPr>
      <w:r w:rsidRPr="00A03B67">
        <w:rPr>
          <w:rStyle w:val="FootnoteReference"/>
        </w:rPr>
        <w:footnoteRef/>
      </w:r>
      <w:r w:rsidRPr="00A03B67">
        <w:t xml:space="preserve"> Ai Group </w:t>
      </w:r>
      <w:r w:rsidR="00A46374" w:rsidRPr="00A03B67">
        <w:t>submission</w:t>
      </w:r>
      <w:r w:rsidRPr="00A03B67">
        <w:t>, 23 [105].</w:t>
      </w:r>
    </w:p>
  </w:footnote>
  <w:footnote w:id="668">
    <w:p w14:paraId="02BB9393" w14:textId="131DA18F" w:rsidR="00173F8E" w:rsidRPr="00A03B67" w:rsidRDefault="00173F8E" w:rsidP="00173F8E">
      <w:pPr>
        <w:pStyle w:val="FootnoteText"/>
      </w:pPr>
      <w:r w:rsidRPr="00A03B67">
        <w:rPr>
          <w:rStyle w:val="FootnoteReference"/>
        </w:rPr>
        <w:footnoteRef/>
      </w:r>
      <w:r w:rsidRPr="00A03B67">
        <w:t xml:space="preserve"> CCIWA </w:t>
      </w:r>
      <w:r w:rsidR="00A46374" w:rsidRPr="00A03B67">
        <w:t>submission</w:t>
      </w:r>
      <w:r w:rsidRPr="00A03B67">
        <w:t>, 11.</w:t>
      </w:r>
    </w:p>
  </w:footnote>
  <w:footnote w:id="669">
    <w:p w14:paraId="71192193" w14:textId="4595B41A" w:rsidR="00173F8E" w:rsidRPr="00A03B67" w:rsidRDefault="00173F8E" w:rsidP="00173F8E">
      <w:pPr>
        <w:pStyle w:val="FootnoteText"/>
      </w:pPr>
      <w:r w:rsidRPr="00A03B67">
        <w:rPr>
          <w:rStyle w:val="FootnoteReference"/>
        </w:rPr>
        <w:footnoteRef/>
      </w:r>
      <w:r w:rsidRPr="00A03B67">
        <w:t xml:space="preserve"> COSBOA </w:t>
      </w:r>
      <w:r w:rsidR="00A46374" w:rsidRPr="00A03B67">
        <w:t>submission</w:t>
      </w:r>
      <w:r w:rsidRPr="00A03B67">
        <w:t>, 6.</w:t>
      </w:r>
    </w:p>
  </w:footnote>
  <w:footnote w:id="670">
    <w:p w14:paraId="6C2A06ED" w14:textId="61AA910B" w:rsidR="00173F8E" w:rsidRPr="00A03B67" w:rsidRDefault="00173F8E" w:rsidP="00173F8E">
      <w:pPr>
        <w:pStyle w:val="FootnoteText"/>
      </w:pPr>
      <w:r w:rsidRPr="00A03B67">
        <w:rPr>
          <w:rStyle w:val="FootnoteReference"/>
        </w:rPr>
        <w:footnoteRef/>
      </w:r>
      <w:r w:rsidRPr="00A03B67">
        <w:t xml:space="preserve"> UWU sub</w:t>
      </w:r>
      <w:r w:rsidR="00A46374" w:rsidRPr="00A03B67">
        <w:t>mission</w:t>
      </w:r>
      <w:r w:rsidRPr="00A03B67">
        <w:t>, 29.</w:t>
      </w:r>
    </w:p>
  </w:footnote>
  <w:footnote w:id="671">
    <w:p w14:paraId="2358B30D" w14:textId="6288B0CC" w:rsidR="00173F8E" w:rsidRPr="00A03B67" w:rsidRDefault="00173F8E" w:rsidP="00173F8E">
      <w:pPr>
        <w:pStyle w:val="FootnoteText"/>
      </w:pPr>
      <w:r w:rsidRPr="00A03B67">
        <w:rPr>
          <w:rStyle w:val="FootnoteReference"/>
        </w:rPr>
        <w:footnoteRef/>
      </w:r>
      <w:r w:rsidRPr="00A03B67">
        <w:t xml:space="preserve"> ACTU sub</w:t>
      </w:r>
      <w:r w:rsidR="00A46374" w:rsidRPr="00A03B67">
        <w:t>mission</w:t>
      </w:r>
      <w:r w:rsidRPr="00A03B67">
        <w:t>, 82.</w:t>
      </w:r>
    </w:p>
  </w:footnote>
  <w:footnote w:id="672">
    <w:p w14:paraId="1CD9C46E" w14:textId="32B9278D" w:rsidR="00173F8E" w:rsidRPr="00A03B67" w:rsidRDefault="00173F8E" w:rsidP="00173F8E">
      <w:pPr>
        <w:pStyle w:val="FootnoteText"/>
      </w:pPr>
      <w:r w:rsidRPr="00A03B67">
        <w:rPr>
          <w:rStyle w:val="FootnoteReference"/>
        </w:rPr>
        <w:footnoteRef/>
      </w:r>
      <w:r w:rsidRPr="00A03B67">
        <w:t xml:space="preserve"> Ai Grou</w:t>
      </w:r>
      <w:r w:rsidR="00A46374" w:rsidRPr="00A03B67">
        <w:t>p</w:t>
      </w:r>
      <w:r w:rsidRPr="00A03B67">
        <w:t xml:space="preserve"> sub</w:t>
      </w:r>
      <w:r w:rsidR="00A46374" w:rsidRPr="00A03B67">
        <w:t>mission</w:t>
      </w:r>
      <w:r w:rsidRPr="00A03B67">
        <w:t>, 18 [80].</w:t>
      </w:r>
    </w:p>
  </w:footnote>
  <w:footnote w:id="673">
    <w:p w14:paraId="6951671B" w14:textId="3BCDF62A" w:rsidR="00173F8E" w:rsidRPr="00A03B67" w:rsidRDefault="00173F8E" w:rsidP="00173F8E">
      <w:pPr>
        <w:pStyle w:val="FootnoteText"/>
        <w:rPr>
          <w:sz w:val="16"/>
          <w:szCs w:val="18"/>
        </w:rPr>
      </w:pPr>
      <w:r w:rsidRPr="00A03B67">
        <w:rPr>
          <w:rStyle w:val="FootnoteReference"/>
        </w:rPr>
        <w:footnoteRef/>
      </w:r>
      <w:r w:rsidRPr="00A03B67">
        <w:t xml:space="preserve"> Revised Explanatory Memorandum</w:t>
      </w:r>
      <w:r w:rsidRPr="00A03B67">
        <w:rPr>
          <w:szCs w:val="18"/>
        </w:rPr>
        <w:t xml:space="preserve">, Fair Work Legislation Amendment (Secure Jobs, Better Pay) Bill 2022, </w:t>
      </w:r>
      <w:r w:rsidR="00A46374" w:rsidRPr="00A03B67">
        <w:rPr>
          <w:szCs w:val="18"/>
        </w:rPr>
        <w:t>[</w:t>
      </w:r>
      <w:r w:rsidRPr="00A03B67">
        <w:rPr>
          <w:szCs w:val="18"/>
        </w:rPr>
        <w:t>776</w:t>
      </w:r>
      <w:r w:rsidR="00A46374" w:rsidRPr="00A03B67">
        <w:rPr>
          <w:szCs w:val="18"/>
        </w:rPr>
        <w:t>].</w:t>
      </w:r>
      <w:r w:rsidRPr="00A03B67">
        <w:rPr>
          <w:szCs w:val="18"/>
        </w:rPr>
        <w:t xml:space="preserve"> See also </w:t>
      </w:r>
      <w:r w:rsidR="00A46374" w:rsidRPr="00A03B67">
        <w:rPr>
          <w:szCs w:val="18"/>
        </w:rPr>
        <w:t xml:space="preserve">e.g. </w:t>
      </w:r>
      <w:r w:rsidRPr="00A03B67">
        <w:rPr>
          <w:i/>
          <w:szCs w:val="18"/>
        </w:rPr>
        <w:t xml:space="preserve">Advantage Care Pty Ltd v Health Services Union </w:t>
      </w:r>
      <w:r w:rsidRPr="00A03B67">
        <w:rPr>
          <w:szCs w:val="18"/>
        </w:rPr>
        <w:t>[2021] FWCFB 453.</w:t>
      </w:r>
    </w:p>
  </w:footnote>
  <w:footnote w:id="674">
    <w:p w14:paraId="72ED6B05" w14:textId="67698AE3" w:rsidR="00173F8E" w:rsidRPr="00A03B67" w:rsidRDefault="00173F8E" w:rsidP="00173F8E">
      <w:pPr>
        <w:pStyle w:val="FootnoteText"/>
      </w:pPr>
      <w:r w:rsidRPr="00A03B67">
        <w:rPr>
          <w:rStyle w:val="FootnoteReference"/>
        </w:rPr>
        <w:footnoteRef/>
      </w:r>
      <w:r w:rsidRPr="00A03B67">
        <w:t xml:space="preserve"> See </w:t>
      </w:r>
      <w:r w:rsidR="00A46374" w:rsidRPr="00A03B67">
        <w:t xml:space="preserve">e.g. </w:t>
      </w:r>
      <w:r w:rsidRPr="00A03B67">
        <w:rPr>
          <w:i/>
          <w:iCs/>
        </w:rPr>
        <w:t>Yarra Valley Water Corporation v Australian Municipal, Administrative, Clerical and Services Union (052V) &amp; Moon, Jacquie and Others</w:t>
      </w:r>
      <w:r w:rsidRPr="00A03B67">
        <w:t xml:space="preserve"> [2021] FWCFB 6006.</w:t>
      </w:r>
    </w:p>
  </w:footnote>
  <w:footnote w:id="675">
    <w:p w14:paraId="192F9475" w14:textId="118BD1F4"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A46374" w:rsidRPr="00A03B67">
        <w:t xml:space="preserve"> (Cth) </w:t>
      </w:r>
      <w:r w:rsidRPr="00A03B67">
        <w:t>s</w:t>
      </w:r>
      <w:r w:rsidR="00A46374" w:rsidRPr="00A03B67">
        <w:t xml:space="preserve"> </w:t>
      </w:r>
      <w:r w:rsidRPr="00A03B67">
        <w:t>218A(1).</w:t>
      </w:r>
    </w:p>
  </w:footnote>
  <w:footnote w:id="676">
    <w:p w14:paraId="515F06DF" w14:textId="3B3CFC68"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A46374" w:rsidRPr="00A03B67">
        <w:t xml:space="preserve"> (Cth) </w:t>
      </w:r>
      <w:r w:rsidRPr="00A03B67">
        <w:t>s</w:t>
      </w:r>
      <w:r w:rsidR="00A46374" w:rsidRPr="00A03B67">
        <w:t xml:space="preserve"> </w:t>
      </w:r>
      <w:r w:rsidRPr="00A03B67">
        <w:t xml:space="preserve">218A(2). </w:t>
      </w:r>
    </w:p>
  </w:footnote>
  <w:footnote w:id="677">
    <w:p w14:paraId="459785F5" w14:textId="5B015DC6"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A46374" w:rsidRPr="00A03B67">
        <w:t xml:space="preserve"> (Cth) </w:t>
      </w:r>
      <w:r w:rsidRPr="00A03B67">
        <w:t>ss</w:t>
      </w:r>
      <w:r w:rsidR="00A46374" w:rsidRPr="00A03B67">
        <w:t xml:space="preserve"> </w:t>
      </w:r>
      <w:r w:rsidRPr="00A03B67">
        <w:t>602A</w:t>
      </w:r>
      <w:r w:rsidR="00A46374" w:rsidRPr="00A03B67">
        <w:t>,</w:t>
      </w:r>
      <w:r w:rsidRPr="00A03B67">
        <w:t xml:space="preserve"> 602B.</w:t>
      </w:r>
    </w:p>
  </w:footnote>
  <w:footnote w:id="678">
    <w:p w14:paraId="60FAE5E3" w14:textId="3A007303" w:rsidR="00173F8E" w:rsidRPr="00A03B67" w:rsidRDefault="00173F8E" w:rsidP="00173F8E">
      <w:pPr>
        <w:pStyle w:val="FootnoteText"/>
      </w:pPr>
      <w:r w:rsidRPr="00A03B67">
        <w:rPr>
          <w:rStyle w:val="FootnoteReference"/>
        </w:rPr>
        <w:footnoteRef/>
      </w:r>
      <w:r w:rsidRPr="00A03B67">
        <w:t xml:space="preserve"> </w:t>
      </w:r>
      <w:r w:rsidRPr="00A03B67">
        <w:rPr>
          <w:i/>
          <w:iCs/>
        </w:rPr>
        <w:t>Fair Work Legislation Amendment (Secure Jobs, Better Pay) Act 2022</w:t>
      </w:r>
      <w:r w:rsidR="00A46374" w:rsidRPr="00A03B67">
        <w:t xml:space="preserve"> (Cth) </w:t>
      </w:r>
      <w:r w:rsidRPr="00A03B67">
        <w:t>s</w:t>
      </w:r>
      <w:r w:rsidR="00A46374" w:rsidRPr="00A03B67">
        <w:t xml:space="preserve"> </w:t>
      </w:r>
      <w:r w:rsidRPr="00A03B67">
        <w:t>2.</w:t>
      </w:r>
    </w:p>
  </w:footnote>
  <w:footnote w:id="679">
    <w:p w14:paraId="14522629" w14:textId="0BB4FDBC" w:rsidR="00173F8E" w:rsidRPr="00A03B67" w:rsidRDefault="00173F8E" w:rsidP="00173F8E">
      <w:pPr>
        <w:pStyle w:val="FootnoteText"/>
      </w:pPr>
      <w:r w:rsidRPr="00A03B67">
        <w:rPr>
          <w:rStyle w:val="FootnoteReference"/>
        </w:rPr>
        <w:footnoteRef/>
      </w:r>
      <w:r w:rsidR="00A46374" w:rsidRPr="00A03B67">
        <w:t xml:space="preserve"> Explanatory Memorandum,</w:t>
      </w:r>
      <w:r w:rsidRPr="00A03B67">
        <w:t xml:space="preserve"> Fair Work Legislation Amendment (Secure Jobs, Better Pay) Bill 2022</w:t>
      </w:r>
      <w:r w:rsidR="00A46374" w:rsidRPr="00A03B67">
        <w:t xml:space="preserve">, </w:t>
      </w:r>
      <w:r w:rsidRPr="00A03B67">
        <w:t>141 [773].</w:t>
      </w:r>
    </w:p>
  </w:footnote>
  <w:footnote w:id="680">
    <w:p w14:paraId="2E8EAD91" w14:textId="1C436E24"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2019</w:t>
      </w:r>
      <w:r w:rsidR="00A46374" w:rsidRPr="00A03B67">
        <w:rPr>
          <w:rFonts w:ascii="Symbol" w:eastAsia="Symbol" w:hAnsi="Symbol" w:cs="Symbol"/>
          <w:i/>
          <w:iCs/>
        </w:rPr>
        <w:t>-</w:t>
      </w:r>
      <w:r w:rsidRPr="00A03B67">
        <w:rPr>
          <w:i/>
          <w:iCs/>
        </w:rPr>
        <w:t>20</w:t>
      </w:r>
      <w:r w:rsidR="00A46374" w:rsidRPr="00A03B67">
        <w:t xml:space="preserve"> (Report, 2020)</w:t>
      </w:r>
      <w:r w:rsidRPr="00A03B67">
        <w:t xml:space="preserve"> </w:t>
      </w:r>
      <w:r w:rsidR="00A46374" w:rsidRPr="00A03B67">
        <w:t>‘</w:t>
      </w:r>
      <w:r w:rsidRPr="00A03B67">
        <w:t>Access to justice</w:t>
      </w:r>
      <w:r w:rsidR="00A46374" w:rsidRPr="00A03B67">
        <w:t>’</w:t>
      </w:r>
      <w:r w:rsidRPr="00A03B67">
        <w:t xml:space="preserve"> 62.</w:t>
      </w:r>
    </w:p>
  </w:footnote>
  <w:footnote w:id="681">
    <w:p w14:paraId="32A54FC5" w14:textId="2BDF2A16"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2020</w:t>
      </w:r>
      <w:r w:rsidR="00A46374" w:rsidRPr="00A03B67">
        <w:rPr>
          <w:rFonts w:ascii="Symbol" w:eastAsia="Symbol" w:hAnsi="Symbol" w:cs="Symbol"/>
          <w:i/>
          <w:iCs/>
        </w:rPr>
        <w:t>-</w:t>
      </w:r>
      <w:r w:rsidRPr="00A03B67">
        <w:rPr>
          <w:i/>
          <w:iCs/>
        </w:rPr>
        <w:t>21</w:t>
      </w:r>
      <w:r w:rsidR="00A46374" w:rsidRPr="00A03B67">
        <w:t xml:space="preserve"> (Report, 2021)</w:t>
      </w:r>
      <w:r w:rsidRPr="00A03B67">
        <w:t xml:space="preserve"> </w:t>
      </w:r>
      <w:r w:rsidR="00A46374" w:rsidRPr="00A03B67">
        <w:t>‘</w:t>
      </w:r>
      <w:r w:rsidRPr="00A03B67">
        <w:t>Access to justice</w:t>
      </w:r>
      <w:r w:rsidR="00A46374" w:rsidRPr="00A03B67">
        <w:t>’</w:t>
      </w:r>
      <w:r w:rsidRPr="00A03B67">
        <w:t xml:space="preserve"> 58.</w:t>
      </w:r>
    </w:p>
  </w:footnote>
  <w:footnote w:id="682">
    <w:p w14:paraId="0AF205F9" w14:textId="5DFBFC7C"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2021</w:t>
      </w:r>
      <w:r w:rsidR="00A46374" w:rsidRPr="00A03B67">
        <w:rPr>
          <w:rFonts w:ascii="Symbol" w:eastAsia="Symbol" w:hAnsi="Symbol" w:cs="Symbol"/>
          <w:i/>
          <w:iCs/>
        </w:rPr>
        <w:t>-</w:t>
      </w:r>
      <w:r w:rsidRPr="00A03B67">
        <w:rPr>
          <w:i/>
          <w:iCs/>
        </w:rPr>
        <w:t>22</w:t>
      </w:r>
      <w:r w:rsidR="00A46374" w:rsidRPr="00A03B67">
        <w:t xml:space="preserve"> (Report, 2022) </w:t>
      </w:r>
      <w:r w:rsidRPr="00A03B67">
        <w:t>57.</w:t>
      </w:r>
    </w:p>
  </w:footnote>
  <w:footnote w:id="683">
    <w:p w14:paraId="01DBC6ED" w14:textId="50AB360D"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2022–23</w:t>
      </w:r>
      <w:r w:rsidR="00A46374" w:rsidRPr="00A03B67">
        <w:t xml:space="preserve"> (Report, 2023) </w:t>
      </w:r>
      <w:r w:rsidRPr="00A03B67">
        <w:t>64.</w:t>
      </w:r>
    </w:p>
  </w:footnote>
  <w:footnote w:id="684">
    <w:p w14:paraId="676B1EAE" w14:textId="2CD31CEC"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w:t>
      </w:r>
      <w:r w:rsidR="00A46374" w:rsidRPr="00A03B67">
        <w:rPr>
          <w:i/>
          <w:iCs/>
        </w:rPr>
        <w:t>23</w:t>
      </w:r>
      <w:r w:rsidR="00A46374" w:rsidRPr="00A03B67">
        <w:rPr>
          <w:rFonts w:ascii="Symbol" w:eastAsia="Symbol" w:hAnsi="Symbol" w:cs="Symbol"/>
          <w:i/>
          <w:iCs/>
        </w:rPr>
        <w:t>-</w:t>
      </w:r>
      <w:r w:rsidRPr="00A03B67">
        <w:rPr>
          <w:i/>
          <w:iCs/>
        </w:rPr>
        <w:t>24</w:t>
      </w:r>
      <w:r w:rsidR="00A46374" w:rsidRPr="00A03B67">
        <w:t xml:space="preserve"> (Report, 2024) </w:t>
      </w:r>
      <w:r w:rsidRPr="00A03B67">
        <w:t>63.</w:t>
      </w:r>
    </w:p>
  </w:footnote>
  <w:footnote w:id="685">
    <w:p w14:paraId="1384D5FA" w14:textId="10BD23F0"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2022–23</w:t>
      </w:r>
      <w:r w:rsidR="00A46374" w:rsidRPr="00A03B67">
        <w:t xml:space="preserve"> (Report, 2023) </w:t>
      </w:r>
      <w:r w:rsidRPr="00A03B67">
        <w:t>66.</w:t>
      </w:r>
    </w:p>
  </w:footnote>
  <w:footnote w:id="686">
    <w:p w14:paraId="6A119D5A" w14:textId="19C6642A" w:rsidR="00173F8E" w:rsidRPr="00A03B67" w:rsidRDefault="00173F8E" w:rsidP="00173F8E">
      <w:pPr>
        <w:pStyle w:val="FootnoteText"/>
      </w:pPr>
      <w:r w:rsidRPr="00A03B67">
        <w:rPr>
          <w:rStyle w:val="FootnoteReference"/>
        </w:rPr>
        <w:footnoteRef/>
      </w:r>
      <w:r w:rsidRPr="00A03B67">
        <w:t xml:space="preserve"> Fair Work Commission</w:t>
      </w:r>
      <w:r w:rsidR="00A46374" w:rsidRPr="00A03B67">
        <w:t>,</w:t>
      </w:r>
      <w:r w:rsidRPr="00A03B67">
        <w:t xml:space="preserve"> </w:t>
      </w:r>
      <w:r w:rsidRPr="00A03B67">
        <w:rPr>
          <w:i/>
          <w:iCs/>
        </w:rPr>
        <w:t>Annual Report 20</w:t>
      </w:r>
      <w:r w:rsidR="00A46374" w:rsidRPr="00A03B67">
        <w:rPr>
          <w:i/>
          <w:iCs/>
        </w:rPr>
        <w:t>23</w:t>
      </w:r>
      <w:r w:rsidR="00A46374" w:rsidRPr="00A03B67">
        <w:rPr>
          <w:rFonts w:ascii="Symbol" w:eastAsia="Symbol" w:hAnsi="Symbol" w:cs="Symbol"/>
          <w:i/>
          <w:iCs/>
        </w:rPr>
        <w:t>-</w:t>
      </w:r>
      <w:r w:rsidRPr="00A03B67">
        <w:rPr>
          <w:i/>
          <w:iCs/>
        </w:rPr>
        <w:t>24</w:t>
      </w:r>
      <w:r w:rsidR="00A46374" w:rsidRPr="00A03B67">
        <w:t xml:space="preserve"> (Report, 2024) </w:t>
      </w:r>
      <w:r w:rsidRPr="00A03B67">
        <w:t>65.</w:t>
      </w:r>
    </w:p>
  </w:footnote>
  <w:footnote w:id="687">
    <w:p w14:paraId="40CE751D" w14:textId="18E717BE"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rPr>
        <w:t>[2022] FWCA 4390 [7] [11].</w:t>
      </w:r>
    </w:p>
  </w:footnote>
  <w:footnote w:id="688">
    <w:p w14:paraId="4B6FB732" w14:textId="6884A59C"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rPr>
        <w:t>[2022] FWCA 4390</w:t>
      </w:r>
      <w:r w:rsidRPr="00A03B67">
        <w:t xml:space="preserve"> [13].</w:t>
      </w:r>
    </w:p>
  </w:footnote>
  <w:footnote w:id="689">
    <w:p w14:paraId="17D3D4F4" w14:textId="72FE39B0"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rPr>
        <w:t>[2022] FWCA 4390</w:t>
      </w:r>
      <w:r w:rsidRPr="00A03B67">
        <w:t xml:space="preserve"> [13].</w:t>
      </w:r>
    </w:p>
  </w:footnote>
  <w:footnote w:id="690">
    <w:p w14:paraId="349D5BAC" w14:textId="4EE2F3C2"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rPr>
        <w:t>[2024] FWCA 3149</w:t>
      </w:r>
      <w:r w:rsidRPr="00A03B67">
        <w:rPr>
          <w:rStyle w:val="Hyperlink"/>
          <w:rFonts w:ascii="Calibri" w:hAnsi="Calibri" w:cs="Calibri"/>
        </w:rPr>
        <w:t xml:space="preserve"> </w:t>
      </w:r>
      <w:r w:rsidRPr="00A03B67">
        <w:rPr>
          <w:rFonts w:ascii="Calibri" w:hAnsi="Calibri" w:cs="Calibri"/>
        </w:rPr>
        <w:t>[12]</w:t>
      </w:r>
      <w:r w:rsidR="00A46374" w:rsidRPr="00A03B67">
        <w:rPr>
          <w:rFonts w:ascii="Symbol" w:eastAsia="Symbol" w:hAnsi="Symbol" w:cs="Symbol"/>
        </w:rPr>
        <w:t>-</w:t>
      </w:r>
      <w:r w:rsidRPr="00A03B67">
        <w:rPr>
          <w:rFonts w:ascii="Calibri" w:hAnsi="Calibri" w:cs="Calibri"/>
        </w:rPr>
        <w:t>[13].</w:t>
      </w:r>
    </w:p>
  </w:footnote>
  <w:footnote w:id="691">
    <w:p w14:paraId="13D2B6D2" w14:textId="7F188365"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rPr>
        <w:t>[2024] FWCA 3149</w:t>
      </w:r>
      <w:r w:rsidRPr="00A03B67">
        <w:rPr>
          <w:rStyle w:val="Hyperlink"/>
          <w:rFonts w:ascii="Calibri" w:hAnsi="Calibri" w:cs="Calibri"/>
        </w:rPr>
        <w:t xml:space="preserve"> </w:t>
      </w:r>
      <w:r w:rsidRPr="00A03B67">
        <w:rPr>
          <w:rFonts w:ascii="Calibri" w:hAnsi="Calibri" w:cs="Calibri"/>
        </w:rPr>
        <w:t>[20].</w:t>
      </w:r>
    </w:p>
  </w:footnote>
  <w:footnote w:id="692">
    <w:p w14:paraId="15BC47E5" w14:textId="3E613ADB" w:rsidR="00173F8E" w:rsidRPr="00A03B67" w:rsidRDefault="00173F8E" w:rsidP="00173F8E">
      <w:pPr>
        <w:pStyle w:val="FootnoteText"/>
      </w:pPr>
      <w:r w:rsidRPr="00A03B67">
        <w:rPr>
          <w:rStyle w:val="FootnoteReference"/>
        </w:rPr>
        <w:footnoteRef/>
      </w:r>
      <w:r w:rsidRPr="00A03B67">
        <w:t xml:space="preserve"> </w:t>
      </w:r>
      <w:r w:rsidRPr="00A03B67">
        <w:rPr>
          <w:rFonts w:ascii="Calibri" w:hAnsi="Calibri" w:cs="Calibri"/>
        </w:rPr>
        <w:t>[2024] FWCA 3069 [12].</w:t>
      </w:r>
    </w:p>
  </w:footnote>
  <w:footnote w:id="693">
    <w:p w14:paraId="731ED91B" w14:textId="4B3D9837" w:rsidR="00173F8E" w:rsidRPr="00A03B67" w:rsidRDefault="00173F8E" w:rsidP="00173F8E">
      <w:pPr>
        <w:pStyle w:val="FootnoteText"/>
      </w:pPr>
      <w:r w:rsidRPr="00A03B67">
        <w:rPr>
          <w:rStyle w:val="FootnoteReference"/>
        </w:rPr>
        <w:footnoteRef/>
      </w:r>
      <w:r w:rsidRPr="00A03B67">
        <w:t xml:space="preserve"> [2024] FWCA 1616 [12]–[15].</w:t>
      </w:r>
    </w:p>
  </w:footnote>
  <w:footnote w:id="694">
    <w:p w14:paraId="017BD481" w14:textId="0A4980A4" w:rsidR="00173F8E" w:rsidRPr="00A03B67" w:rsidRDefault="00173F8E" w:rsidP="00173F8E">
      <w:pPr>
        <w:pStyle w:val="FootnoteText"/>
      </w:pPr>
      <w:r w:rsidRPr="00A03B67">
        <w:rPr>
          <w:rStyle w:val="FootnoteReference"/>
        </w:rPr>
        <w:footnoteRef/>
      </w:r>
      <w:r w:rsidRPr="00A03B67">
        <w:t xml:space="preserve"> [2024] FWCA 1616 [15].</w:t>
      </w:r>
    </w:p>
  </w:footnote>
  <w:footnote w:id="695">
    <w:p w14:paraId="0693F75D" w14:textId="57DFF3D5" w:rsidR="00173F8E" w:rsidRPr="00A03B67" w:rsidRDefault="00173F8E" w:rsidP="00173F8E">
      <w:pPr>
        <w:pStyle w:val="FootnoteText"/>
      </w:pPr>
      <w:r w:rsidRPr="00A03B67">
        <w:rPr>
          <w:rStyle w:val="FootnoteReference"/>
        </w:rPr>
        <w:footnoteRef/>
      </w:r>
      <w:r w:rsidRPr="00A03B67">
        <w:t xml:space="preserve"> ACTU sub</w:t>
      </w:r>
      <w:r w:rsidR="00BC373C" w:rsidRPr="00A03B67">
        <w:t>mission</w:t>
      </w:r>
      <w:r w:rsidRPr="00A03B67">
        <w:t>, 83.</w:t>
      </w:r>
    </w:p>
  </w:footnote>
  <w:footnote w:id="696">
    <w:p w14:paraId="75855B7D" w14:textId="4212CF2C" w:rsidR="00173F8E" w:rsidRPr="00A03B67" w:rsidRDefault="00173F8E" w:rsidP="00173F8E">
      <w:pPr>
        <w:pStyle w:val="FootnoteText"/>
      </w:pPr>
      <w:r w:rsidRPr="00A03B67">
        <w:rPr>
          <w:rStyle w:val="FootnoteReference"/>
        </w:rPr>
        <w:footnoteRef/>
      </w:r>
      <w:r w:rsidRPr="00A03B67">
        <w:t xml:space="preserve"> CPSU sub</w:t>
      </w:r>
      <w:r w:rsidR="00BC373C" w:rsidRPr="00A03B67">
        <w:t>mission</w:t>
      </w:r>
      <w:r w:rsidRPr="00A03B67">
        <w:t xml:space="preserve">, </w:t>
      </w:r>
      <w:r w:rsidR="00BC373C" w:rsidRPr="00A03B67">
        <w:t>[</w:t>
      </w:r>
      <w:r w:rsidRPr="00A03B67">
        <w:t>49</w:t>
      </w:r>
      <w:r w:rsidR="00BC373C" w:rsidRPr="00A03B67">
        <w:t>]</w:t>
      </w:r>
      <w:r w:rsidRPr="00A03B67">
        <w:t>, 9.</w:t>
      </w:r>
    </w:p>
  </w:footnote>
  <w:footnote w:id="697">
    <w:p w14:paraId="1813B24C" w14:textId="06721D29" w:rsidR="00173F8E" w:rsidRPr="00A03B67" w:rsidRDefault="00173F8E" w:rsidP="00173F8E">
      <w:pPr>
        <w:pStyle w:val="FootnoteText"/>
      </w:pPr>
      <w:r w:rsidRPr="00A03B67">
        <w:rPr>
          <w:rStyle w:val="FootnoteReference"/>
        </w:rPr>
        <w:footnoteRef/>
      </w:r>
      <w:r w:rsidRPr="00A03B67">
        <w:t xml:space="preserve"> AREEA sub</w:t>
      </w:r>
      <w:r w:rsidR="00BC373C" w:rsidRPr="00A03B67">
        <w:t>mission</w:t>
      </w:r>
      <w:r w:rsidRPr="00A03B67">
        <w:t xml:space="preserve">, </w:t>
      </w:r>
      <w:r w:rsidR="00BC373C" w:rsidRPr="00A03B67">
        <w:t>[</w:t>
      </w:r>
      <w:r w:rsidRPr="00A03B67">
        <w:t>112</w:t>
      </w:r>
      <w:r w:rsidR="00BC373C" w:rsidRPr="00A03B67">
        <w:t>]</w:t>
      </w:r>
      <w:r w:rsidRPr="00A03B67">
        <w:t>, 16.</w:t>
      </w:r>
    </w:p>
  </w:footnote>
  <w:footnote w:id="698">
    <w:p w14:paraId="46ABC6C8" w14:textId="2CCC24CB" w:rsidR="00173F8E" w:rsidRPr="00A03B67" w:rsidRDefault="00173F8E" w:rsidP="00173F8E">
      <w:pPr>
        <w:pStyle w:val="FootnoteText"/>
      </w:pPr>
      <w:r w:rsidRPr="00A03B67">
        <w:rPr>
          <w:rStyle w:val="FootnoteReference"/>
        </w:rPr>
        <w:footnoteRef/>
      </w:r>
      <w:r w:rsidRPr="00A03B67">
        <w:t xml:space="preserve"> ACCI sub</w:t>
      </w:r>
      <w:r w:rsidR="00BC373C" w:rsidRPr="00A03B67">
        <w:t>mission</w:t>
      </w:r>
      <w:r w:rsidRPr="00A03B67">
        <w:t xml:space="preserve">, </w:t>
      </w:r>
      <w:r w:rsidR="00BC373C" w:rsidRPr="00A03B67">
        <w:t>[</w:t>
      </w:r>
      <w:r w:rsidRPr="00A03B67">
        <w:t>61</w:t>
      </w:r>
      <w:r w:rsidR="00BC373C" w:rsidRPr="00A03B67">
        <w:t>]</w:t>
      </w:r>
      <w:r w:rsidRPr="00A03B67">
        <w:t>, 25.</w:t>
      </w:r>
    </w:p>
  </w:footnote>
  <w:footnote w:id="699">
    <w:p w14:paraId="46F5B0D6" w14:textId="2EAC3D1D" w:rsidR="00173F8E" w:rsidRPr="00A03B67" w:rsidRDefault="00173F8E" w:rsidP="00173F8E">
      <w:pPr>
        <w:pStyle w:val="FootnoteText"/>
      </w:pPr>
      <w:r w:rsidRPr="00A03B67">
        <w:rPr>
          <w:rStyle w:val="FootnoteReference"/>
        </w:rPr>
        <w:footnoteRef/>
      </w:r>
      <w:r w:rsidRPr="00A03B67">
        <w:t xml:space="preserve"> ACCI sub</w:t>
      </w:r>
      <w:r w:rsidR="00BC373C" w:rsidRPr="00A03B67">
        <w:t>mission</w:t>
      </w:r>
      <w:r w:rsidRPr="00A03B67">
        <w:t>, 26.</w:t>
      </w:r>
    </w:p>
  </w:footnote>
  <w:footnote w:id="700">
    <w:p w14:paraId="5A8DD4D6" w14:textId="5EE31E7A" w:rsidR="00173F8E" w:rsidRPr="00A03B67" w:rsidRDefault="00173F8E" w:rsidP="00173F8E">
      <w:pPr>
        <w:pStyle w:val="FootnoteText"/>
      </w:pPr>
      <w:r w:rsidRPr="00A03B67">
        <w:rPr>
          <w:rStyle w:val="FootnoteReference"/>
        </w:rPr>
        <w:footnoteRef/>
      </w:r>
      <w:r w:rsidRPr="00A03B67">
        <w:t xml:space="preserve"> Ai Group sub</w:t>
      </w:r>
      <w:r w:rsidR="00BC373C" w:rsidRPr="00A03B67">
        <w:t>mission</w:t>
      </w:r>
      <w:r w:rsidRPr="00A03B67">
        <w:t xml:space="preserve">, </w:t>
      </w:r>
      <w:r w:rsidR="00BC373C" w:rsidRPr="00A03B67">
        <w:t>[</w:t>
      </w:r>
      <w:r w:rsidRPr="00A03B67">
        <w:t>110</w:t>
      </w:r>
      <w:r w:rsidR="00BC373C" w:rsidRPr="00A03B67">
        <w:t>]</w:t>
      </w:r>
      <w:r w:rsidRPr="00A03B67">
        <w:t xml:space="preserve"> 24.</w:t>
      </w:r>
    </w:p>
  </w:footnote>
  <w:footnote w:id="701">
    <w:p w14:paraId="0E2B0072" w14:textId="5A02771B" w:rsidR="00173F8E" w:rsidRPr="00A03B67" w:rsidRDefault="00173F8E" w:rsidP="00173F8E">
      <w:pPr>
        <w:pStyle w:val="FootnoteText"/>
      </w:pPr>
      <w:r w:rsidRPr="00A03B67">
        <w:rPr>
          <w:rStyle w:val="FootnoteReference"/>
        </w:rPr>
        <w:footnoteRef/>
      </w:r>
      <w:r w:rsidRPr="00A03B67">
        <w:t xml:space="preserve"> </w:t>
      </w:r>
      <w:r w:rsidRPr="00A03B67">
        <w:rPr>
          <w:i/>
          <w:iCs/>
        </w:rPr>
        <w:t>Fair Work Legislation Amendment (Secure Jobs, Better Pay) Act 2022</w:t>
      </w:r>
      <w:r w:rsidR="00913078" w:rsidRPr="00A03B67">
        <w:t xml:space="preserve"> (Cth)</w:t>
      </w:r>
      <w:r w:rsidR="007A0B91" w:rsidRPr="00A03B67">
        <w:t>, Outline,</w:t>
      </w:r>
      <w:r w:rsidR="00913078" w:rsidRPr="00A03B67">
        <w:t xml:space="preserve"> </w:t>
      </w:r>
      <w:r w:rsidRPr="00A03B67">
        <w:t>ii.</w:t>
      </w:r>
    </w:p>
  </w:footnote>
  <w:footnote w:id="702">
    <w:p w14:paraId="22BCBBB4" w14:textId="437421EE"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ss 207</w:t>
      </w:r>
      <w:r w:rsidR="00913078" w:rsidRPr="00A03B67">
        <w:rPr>
          <w:rFonts w:ascii="Symbol" w:eastAsia="Symbol" w:hAnsi="Symbol" w:cs="Symbol"/>
        </w:rPr>
        <w:t>-</w:t>
      </w:r>
      <w:r w:rsidRPr="00A03B67">
        <w:t>209 (as at 11 September 2021 </w:t>
      </w:r>
      <w:r w:rsidR="00913078" w:rsidRPr="00A03B67">
        <w:rPr>
          <w:rFonts w:ascii="Symbol" w:eastAsia="Symbol" w:hAnsi="Symbol" w:cs="Symbol"/>
        </w:rPr>
        <w:t>-</w:t>
      </w:r>
      <w:r w:rsidRPr="00A03B67">
        <w:t> 06 December 2022).</w:t>
      </w:r>
    </w:p>
  </w:footnote>
  <w:footnote w:id="703">
    <w:p w14:paraId="3D79BB43" w14:textId="03259E44" w:rsidR="00173F8E" w:rsidRPr="00A03B67" w:rsidRDefault="00173F8E" w:rsidP="00173F8E">
      <w:pPr>
        <w:pStyle w:val="FootnoteText"/>
      </w:pPr>
      <w:r w:rsidRPr="00A03B67">
        <w:rPr>
          <w:rStyle w:val="FootnoteReference"/>
        </w:rPr>
        <w:footnoteRef/>
      </w:r>
      <w:r w:rsidRPr="00A03B67">
        <w:t xml:space="preserve"> </w:t>
      </w:r>
      <w:r w:rsidR="00913078" w:rsidRPr="00A03B67">
        <w:rPr>
          <w:i/>
          <w:iCs/>
        </w:rPr>
        <w:t xml:space="preserve">Fair Work </w:t>
      </w:r>
      <w:r w:rsidRPr="00A03B67">
        <w:rPr>
          <w:i/>
          <w:iCs/>
        </w:rPr>
        <w:t xml:space="preserve">Act </w:t>
      </w:r>
      <w:r w:rsidR="00913078" w:rsidRPr="00A03B67">
        <w:rPr>
          <w:i/>
          <w:iCs/>
        </w:rPr>
        <w:t>2009</w:t>
      </w:r>
      <w:r w:rsidR="00913078" w:rsidRPr="00A03B67">
        <w:t xml:space="preserve"> (Cth) </w:t>
      </w:r>
      <w:r w:rsidRPr="00A03B67">
        <w:t>s</w:t>
      </w:r>
      <w:r w:rsidR="00913078" w:rsidRPr="00A03B67">
        <w:t xml:space="preserve"> </w:t>
      </w:r>
      <w:r w:rsidRPr="00A03B67">
        <w:t>216E(4).</w:t>
      </w:r>
    </w:p>
  </w:footnote>
  <w:footnote w:id="704">
    <w:p w14:paraId="0211CF23" w14:textId="78D8D378" w:rsidR="00173F8E" w:rsidRPr="00A03B67" w:rsidRDefault="00173F8E" w:rsidP="00173F8E">
      <w:pPr>
        <w:pStyle w:val="FootnoteText"/>
      </w:pPr>
      <w:r w:rsidRPr="00A03B67">
        <w:rPr>
          <w:rStyle w:val="FootnoteReference"/>
        </w:rPr>
        <w:footnoteRef/>
      </w:r>
      <w:r w:rsidRPr="00A03B67">
        <w:t xml:space="preserve"> </w:t>
      </w:r>
      <w:r w:rsidR="00913078" w:rsidRPr="00A03B67">
        <w:rPr>
          <w:i/>
          <w:iCs/>
        </w:rPr>
        <w:t xml:space="preserve">Fair Work </w:t>
      </w:r>
      <w:r w:rsidRPr="00A03B67">
        <w:rPr>
          <w:i/>
          <w:iCs/>
        </w:rPr>
        <w:t xml:space="preserve">Act </w:t>
      </w:r>
      <w:r w:rsidR="00913078" w:rsidRPr="00A03B67">
        <w:rPr>
          <w:i/>
          <w:iCs/>
        </w:rPr>
        <w:t>2009</w:t>
      </w:r>
      <w:r w:rsidR="00913078" w:rsidRPr="00A03B67">
        <w:t xml:space="preserve"> (Cth) </w:t>
      </w:r>
      <w:r w:rsidRPr="00A03B67">
        <w:t>s</w:t>
      </w:r>
      <w:r w:rsidR="00913078" w:rsidRPr="00A03B67">
        <w:t xml:space="preserve"> </w:t>
      </w:r>
      <w:r w:rsidRPr="00A03B67">
        <w:t>216E(7).</w:t>
      </w:r>
    </w:p>
  </w:footnote>
  <w:footnote w:id="705">
    <w:p w14:paraId="0044245F" w14:textId="6EDBFEA6" w:rsidR="00173F8E" w:rsidRPr="00A03B67" w:rsidRDefault="00173F8E" w:rsidP="00173F8E">
      <w:pPr>
        <w:pStyle w:val="FootnoteText"/>
      </w:pPr>
      <w:r w:rsidRPr="00A03B67">
        <w:rPr>
          <w:rStyle w:val="FootnoteReference"/>
        </w:rPr>
        <w:footnoteRef/>
      </w:r>
      <w:r w:rsidRPr="00A03B67">
        <w:t xml:space="preserve"> </w:t>
      </w:r>
      <w:r w:rsidR="00913078" w:rsidRPr="00A03B67">
        <w:rPr>
          <w:i/>
          <w:iCs/>
        </w:rPr>
        <w:t xml:space="preserve">Fair Work </w:t>
      </w:r>
      <w:r w:rsidRPr="00A03B67">
        <w:rPr>
          <w:i/>
          <w:iCs/>
        </w:rPr>
        <w:t xml:space="preserve">Act </w:t>
      </w:r>
      <w:r w:rsidR="00913078" w:rsidRPr="00A03B67">
        <w:rPr>
          <w:i/>
          <w:iCs/>
        </w:rPr>
        <w:t>2009</w:t>
      </w:r>
      <w:r w:rsidR="00913078" w:rsidRPr="00A03B67">
        <w:t xml:space="preserve"> (Cth) </w:t>
      </w:r>
      <w:r w:rsidRPr="00A03B67">
        <w:t>s 216E(1).</w:t>
      </w:r>
    </w:p>
  </w:footnote>
  <w:footnote w:id="706">
    <w:p w14:paraId="5133FBE6" w14:textId="0BAE5A38"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913078" w:rsidRPr="00A03B67">
        <w:t xml:space="preserve"> (Cth) </w:t>
      </w:r>
      <w:r w:rsidRPr="00A03B67">
        <w:t>ss 216E(5), 216EB(a).</w:t>
      </w:r>
    </w:p>
  </w:footnote>
  <w:footnote w:id="707">
    <w:p w14:paraId="32912303" w14:textId="30E92AEA" w:rsidR="00AC3FD8" w:rsidRPr="00A03B67" w:rsidRDefault="00AC3FD8" w:rsidP="00AC3FD8">
      <w:pPr>
        <w:pStyle w:val="FootnoteText"/>
      </w:pPr>
      <w:r w:rsidRPr="00A03B67">
        <w:rPr>
          <w:rStyle w:val="FootnoteReference"/>
        </w:rPr>
        <w:footnoteRef/>
      </w:r>
      <w:r w:rsidRPr="00A03B67">
        <w:t xml:space="preserve"> </w:t>
      </w:r>
      <w:r w:rsidR="00913078" w:rsidRPr="00A03B67">
        <w:rPr>
          <w:i/>
          <w:iCs/>
        </w:rPr>
        <w:t>Fair Work Act 2009</w:t>
      </w:r>
      <w:r w:rsidR="00913078" w:rsidRPr="00A03B67">
        <w:t xml:space="preserve"> (Cth) </w:t>
      </w:r>
      <w:r w:rsidRPr="00A03B67">
        <w:t>s</w:t>
      </w:r>
      <w:r w:rsidR="00913078" w:rsidRPr="00A03B67">
        <w:t xml:space="preserve"> </w:t>
      </w:r>
      <w:r w:rsidRPr="00A03B67">
        <w:t>216EB.</w:t>
      </w:r>
    </w:p>
  </w:footnote>
  <w:footnote w:id="708">
    <w:p w14:paraId="671E0D00" w14:textId="3C1C4EEE" w:rsidR="00173F8E" w:rsidRPr="00A03B67" w:rsidRDefault="00173F8E" w:rsidP="00173F8E">
      <w:pPr>
        <w:pStyle w:val="FootnoteText"/>
      </w:pPr>
      <w:r w:rsidRPr="00A03B67">
        <w:rPr>
          <w:rStyle w:val="FootnoteReference"/>
        </w:rPr>
        <w:footnoteRef/>
      </w:r>
      <w:r w:rsidR="00913078" w:rsidRPr="00A03B67">
        <w:t xml:space="preserve"> Explanatory Memorandum,</w:t>
      </w:r>
      <w:r w:rsidRPr="00A03B67">
        <w:t xml:space="preserve"> Fair Work Legislation Amendment (Secure Jobs, Better Pay) Bill 2022, </w:t>
      </w:r>
      <w:r w:rsidR="00913078" w:rsidRPr="00A03B67">
        <w:t>[</w:t>
      </w:r>
      <w:r w:rsidRPr="00A03B67">
        <w:t>113</w:t>
      </w:r>
      <w:r w:rsidR="00913078" w:rsidRPr="00A03B67">
        <w:t>]</w:t>
      </w:r>
      <w:r w:rsidRPr="00A03B67">
        <w:t xml:space="preserve"> </w:t>
      </w:r>
      <w:r w:rsidRPr="00A03B67">
        <w:rPr>
          <w:lang w:val="en-US"/>
        </w:rPr>
        <w:t xml:space="preserve">xxiii (update to revised </w:t>
      </w:r>
      <w:r w:rsidR="00913078" w:rsidRPr="00A03B67">
        <w:rPr>
          <w:lang w:val="en-US"/>
        </w:rPr>
        <w:t>Explanatory Memorandum</w:t>
      </w:r>
      <w:r w:rsidRPr="00A03B67">
        <w:rPr>
          <w:lang w:val="en-US"/>
        </w:rPr>
        <w:t>)</w:t>
      </w:r>
      <w:r w:rsidR="00913078" w:rsidRPr="00A03B67">
        <w:rPr>
          <w:lang w:val="en-US"/>
        </w:rPr>
        <w:t>.</w:t>
      </w:r>
    </w:p>
  </w:footnote>
  <w:footnote w:id="709">
    <w:p w14:paraId="06E59C5C" w14:textId="786A75CA" w:rsidR="00173F8E" w:rsidRPr="00A03B67" w:rsidRDefault="00173F8E" w:rsidP="00173F8E">
      <w:pPr>
        <w:pStyle w:val="FootnoteText"/>
      </w:pPr>
      <w:r w:rsidRPr="00A03B67">
        <w:rPr>
          <w:rStyle w:val="FootnoteReference"/>
        </w:rPr>
        <w:footnoteRef/>
      </w:r>
      <w:r w:rsidRPr="00A03B67">
        <w:t xml:space="preserve"> </w:t>
      </w:r>
      <w:r w:rsidR="00913078" w:rsidRPr="00A03B67">
        <w:t xml:space="preserve">Explanatory Memorandum, </w:t>
      </w:r>
      <w:r w:rsidRPr="00A03B67">
        <w:t xml:space="preserve">Fair Work Legislation Amendment (Secure Jobs, Better Pay) Bill 2022, </w:t>
      </w:r>
      <w:r w:rsidR="00913078" w:rsidRPr="00A03B67">
        <w:t>[</w:t>
      </w:r>
      <w:r w:rsidRPr="00A03B67">
        <w:t>114</w:t>
      </w:r>
      <w:r w:rsidR="00913078" w:rsidRPr="00A03B67">
        <w:t>]</w:t>
      </w:r>
      <w:r w:rsidRPr="00A03B67">
        <w:t xml:space="preserve"> </w:t>
      </w:r>
      <w:r w:rsidRPr="00A03B67">
        <w:rPr>
          <w:lang w:val="en-US"/>
        </w:rPr>
        <w:t xml:space="preserve">xxiii. (update to revised </w:t>
      </w:r>
      <w:r w:rsidR="00913078" w:rsidRPr="00A03B67">
        <w:rPr>
          <w:lang w:val="en-US"/>
        </w:rPr>
        <w:t>Explanatory Memorandum</w:t>
      </w:r>
      <w:r w:rsidRPr="00A03B67">
        <w:rPr>
          <w:lang w:val="en-US"/>
        </w:rPr>
        <w:t>)</w:t>
      </w:r>
      <w:r w:rsidR="00913078" w:rsidRPr="00A03B67">
        <w:rPr>
          <w:lang w:val="en-US"/>
        </w:rPr>
        <w:t>.</w:t>
      </w:r>
    </w:p>
  </w:footnote>
  <w:footnote w:id="710">
    <w:p w14:paraId="31AC235B" w14:textId="7761B0D0" w:rsidR="00173F8E" w:rsidRPr="00A03B67" w:rsidRDefault="00173F8E" w:rsidP="00173F8E">
      <w:pPr>
        <w:pStyle w:val="FootnoteText"/>
      </w:pPr>
      <w:r w:rsidRPr="00A03B67">
        <w:rPr>
          <w:rStyle w:val="FootnoteReference"/>
        </w:rPr>
        <w:footnoteRef/>
      </w:r>
      <w:r w:rsidRPr="00A03B67">
        <w:t xml:space="preserve"> Ai Group sub</w:t>
      </w:r>
      <w:r w:rsidR="00913078" w:rsidRPr="00A03B67">
        <w:t>mission</w:t>
      </w:r>
      <w:r w:rsidRPr="00A03B67">
        <w:t>, 71</w:t>
      </w:r>
      <w:r w:rsidR="00913078" w:rsidRPr="00A03B67">
        <w:t xml:space="preserve"> [</w:t>
      </w:r>
      <w:r w:rsidRPr="00A03B67">
        <w:t>287</w:t>
      </w:r>
      <w:r w:rsidR="00913078" w:rsidRPr="00A03B67">
        <w:t>]</w:t>
      </w:r>
      <w:r w:rsidRPr="00A03B67">
        <w:t>.</w:t>
      </w:r>
    </w:p>
  </w:footnote>
  <w:footnote w:id="711">
    <w:p w14:paraId="33D51ACC" w14:textId="07086460" w:rsidR="00173F8E" w:rsidRPr="00A03B67" w:rsidRDefault="00173F8E" w:rsidP="00173F8E">
      <w:pPr>
        <w:pStyle w:val="FootnoteText"/>
      </w:pPr>
      <w:r w:rsidRPr="00A03B67">
        <w:rPr>
          <w:rStyle w:val="FootnoteReference"/>
        </w:rPr>
        <w:footnoteRef/>
      </w:r>
      <w:r w:rsidRPr="00A03B67">
        <w:t xml:space="preserve"> Ai Group sub</w:t>
      </w:r>
      <w:r w:rsidR="00913078" w:rsidRPr="00A03B67">
        <w:t>mission</w:t>
      </w:r>
      <w:r w:rsidRPr="00A03B67">
        <w:t>, 72</w:t>
      </w:r>
      <w:r w:rsidR="00913078" w:rsidRPr="00A03B67">
        <w:t xml:space="preserve"> [</w:t>
      </w:r>
      <w:r w:rsidRPr="00A03B67">
        <w:t>288</w:t>
      </w:r>
      <w:r w:rsidR="00913078" w:rsidRPr="00A03B67">
        <w:t>]</w:t>
      </w:r>
      <w:r w:rsidRPr="00A03B67">
        <w:t>.</w:t>
      </w:r>
    </w:p>
  </w:footnote>
  <w:footnote w:id="712">
    <w:p w14:paraId="1171DB8E" w14:textId="4C6932D3" w:rsidR="00173F8E" w:rsidRPr="00A03B67" w:rsidRDefault="00173F8E" w:rsidP="00173F8E">
      <w:pPr>
        <w:pStyle w:val="FootnoteText"/>
      </w:pPr>
      <w:r w:rsidRPr="00A03B67">
        <w:rPr>
          <w:rStyle w:val="FootnoteReference"/>
        </w:rPr>
        <w:footnoteRef/>
      </w:r>
      <w:r w:rsidRPr="00A03B67">
        <w:t xml:space="preserve"> ACTU sub</w:t>
      </w:r>
      <w:r w:rsidR="00913078" w:rsidRPr="00A03B67">
        <w:t>mission</w:t>
      </w:r>
      <w:r w:rsidRPr="00A03B67">
        <w:t>, 99.</w:t>
      </w:r>
    </w:p>
  </w:footnote>
  <w:footnote w:id="713">
    <w:p w14:paraId="58008916" w14:textId="0AC4AB82" w:rsidR="00173F8E" w:rsidRPr="00A03B67" w:rsidRDefault="00173F8E" w:rsidP="00173F8E">
      <w:pPr>
        <w:pStyle w:val="FootnoteText"/>
      </w:pPr>
      <w:r w:rsidRPr="00A03B67">
        <w:rPr>
          <w:rStyle w:val="FootnoteReference"/>
        </w:rPr>
        <w:footnoteRef/>
      </w:r>
      <w:r w:rsidRPr="00A03B67">
        <w:t xml:space="preserve"> ACTU sub</w:t>
      </w:r>
      <w:r w:rsidR="00913078" w:rsidRPr="00A03B67">
        <w:t>mission</w:t>
      </w:r>
      <w:r w:rsidRPr="00A03B67">
        <w:t>, 99.</w:t>
      </w:r>
    </w:p>
  </w:footnote>
  <w:footnote w:id="714">
    <w:p w14:paraId="2797FB2B" w14:textId="7A836AF8" w:rsidR="00173F8E" w:rsidRPr="00A03B67" w:rsidRDefault="00173F8E" w:rsidP="00173F8E">
      <w:pPr>
        <w:pStyle w:val="FootnoteText"/>
      </w:pPr>
      <w:r w:rsidRPr="00A03B67">
        <w:rPr>
          <w:rStyle w:val="FootnoteReference"/>
        </w:rPr>
        <w:footnoteRef/>
      </w:r>
      <w:r w:rsidRPr="00A03B67">
        <w:t xml:space="preserve"> MBA sub</w:t>
      </w:r>
      <w:r w:rsidR="00913078" w:rsidRPr="00A03B67">
        <w:t>mission</w:t>
      </w:r>
      <w:r w:rsidRPr="00A03B67">
        <w:t xml:space="preserve">, </w:t>
      </w:r>
      <w:r w:rsidR="00913078" w:rsidRPr="00A03B67">
        <w:t>[</w:t>
      </w:r>
      <w:r w:rsidRPr="00A03B67">
        <w:t>98</w:t>
      </w:r>
      <w:r w:rsidR="00913078" w:rsidRPr="00A03B67">
        <w:t>]</w:t>
      </w:r>
      <w:r w:rsidRPr="00A03B67">
        <w:t>.</w:t>
      </w:r>
    </w:p>
  </w:footnote>
  <w:footnote w:id="715">
    <w:p w14:paraId="0C8B62DC" w14:textId="6F1F7DB4"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913078" w:rsidRPr="00A03B67">
        <w:t xml:space="preserve"> (Cth) </w:t>
      </w:r>
      <w:r w:rsidRPr="00A03B67">
        <w:t>s</w:t>
      </w:r>
      <w:r w:rsidR="00913078" w:rsidRPr="00A03B67">
        <w:t xml:space="preserve"> </w:t>
      </w:r>
      <w:r w:rsidRPr="00A03B67">
        <w:t>225 (as at 11 September 2021 </w:t>
      </w:r>
      <w:r w:rsidR="00913078" w:rsidRPr="00A03B67">
        <w:rPr>
          <w:rFonts w:ascii="Symbol" w:eastAsia="Symbol" w:hAnsi="Symbol" w:cs="Symbol"/>
        </w:rPr>
        <w:t>-</w:t>
      </w:r>
      <w:r w:rsidRPr="00A03B67">
        <w:t> 06 December 2022).</w:t>
      </w:r>
    </w:p>
  </w:footnote>
  <w:footnote w:id="716">
    <w:p w14:paraId="5A5C5B47" w14:textId="24FB2882"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913078" w:rsidRPr="00A03B67">
        <w:t xml:space="preserve"> (Cth) </w:t>
      </w:r>
      <w:r w:rsidRPr="00A03B67">
        <w:t>s</w:t>
      </w:r>
      <w:r w:rsidR="00913078" w:rsidRPr="00A03B67">
        <w:t xml:space="preserve"> </w:t>
      </w:r>
      <w:r w:rsidRPr="00A03B67">
        <w:t>226(a) (as at 11 September 2021 </w:t>
      </w:r>
      <w:r w:rsidR="00913078" w:rsidRPr="00A03B67">
        <w:rPr>
          <w:rFonts w:ascii="Symbol" w:eastAsia="Symbol" w:hAnsi="Symbol" w:cs="Symbol"/>
        </w:rPr>
        <w:t>-</w:t>
      </w:r>
      <w:r w:rsidRPr="00A03B67">
        <w:t> 06 December 2022).</w:t>
      </w:r>
    </w:p>
  </w:footnote>
  <w:footnote w:id="717">
    <w:p w14:paraId="242685F7" w14:textId="0E189E85"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00913078" w:rsidRPr="00A03B67">
        <w:t xml:space="preserve"> (Cth) </w:t>
      </w:r>
      <w:r w:rsidRPr="00A03B67">
        <w:t>s</w:t>
      </w:r>
      <w:r w:rsidR="00913078" w:rsidRPr="00A03B67">
        <w:t xml:space="preserve"> </w:t>
      </w:r>
      <w:r w:rsidRPr="00A03B67">
        <w:t>226(b)(ii) (as at 11 September 2021 </w:t>
      </w:r>
      <w:r w:rsidR="00913078" w:rsidRPr="00A03B67">
        <w:rPr>
          <w:rFonts w:ascii="Symbol" w:eastAsia="Symbol" w:hAnsi="Symbol" w:cs="Symbol"/>
        </w:rPr>
        <w:t>-</w:t>
      </w:r>
      <w:r w:rsidRPr="00A03B67">
        <w:t> 06 December 2022).</w:t>
      </w:r>
    </w:p>
  </w:footnote>
  <w:footnote w:id="718">
    <w:p w14:paraId="74EE2008" w14:textId="2613ED77" w:rsidR="00173F8E" w:rsidRPr="00A03B67" w:rsidRDefault="00173F8E" w:rsidP="00173F8E">
      <w:pPr>
        <w:pStyle w:val="FootnoteText"/>
      </w:pPr>
      <w:r w:rsidRPr="00A03B67">
        <w:rPr>
          <w:rStyle w:val="FootnoteReference"/>
        </w:rPr>
        <w:footnoteRef/>
      </w:r>
      <w:r w:rsidR="00C315E7" w:rsidRPr="00A03B67">
        <w:rPr>
          <w:rFonts w:eastAsia="Aptos" w:cs="Aptos"/>
          <w:i/>
        </w:rPr>
        <w:t xml:space="preserve">Construction, Forestry, Mining and Energy Union v AGL Loy Yang Pty Ltd t/a AGL Loy Yang </w:t>
      </w:r>
      <w:r w:rsidRPr="00A03B67">
        <w:rPr>
          <w:rFonts w:ascii="Aptos" w:eastAsia="Aptos" w:hAnsi="Aptos" w:cs="Aptos"/>
        </w:rPr>
        <w:t>[2017] FWCFB 1019</w:t>
      </w:r>
      <w:r w:rsidR="00913078" w:rsidRPr="00A03B67">
        <w:rPr>
          <w:rFonts w:ascii="Aptos" w:eastAsia="Aptos" w:hAnsi="Aptos" w:cs="Aptos"/>
        </w:rPr>
        <w:t>.</w:t>
      </w:r>
    </w:p>
  </w:footnote>
  <w:footnote w:id="719">
    <w:p w14:paraId="6E4FC1CC" w14:textId="6D82B9D9" w:rsidR="00173F8E" w:rsidRPr="00A03B67" w:rsidRDefault="00173F8E" w:rsidP="00173F8E">
      <w:pPr>
        <w:pStyle w:val="FootnoteText"/>
      </w:pPr>
      <w:r w:rsidRPr="00A03B67">
        <w:rPr>
          <w:rStyle w:val="FootnoteReference"/>
        </w:rPr>
        <w:footnoteRef/>
      </w:r>
      <w:r w:rsidRPr="00A03B67">
        <w:t xml:space="preserve"> </w:t>
      </w:r>
      <w:r w:rsidR="00285BFA" w:rsidRPr="00A03B67">
        <w:rPr>
          <w:rFonts w:ascii="Aptos" w:eastAsia="Aptos" w:hAnsi="Aptos" w:cs="Aptos"/>
          <w:i/>
          <w:iCs/>
        </w:rPr>
        <w:t>AGL Loy Yang Pty Ltd T/A AGL Loy Yang</w:t>
      </w:r>
      <w:r w:rsidR="00285BFA" w:rsidRPr="00A03B67">
        <w:rPr>
          <w:rFonts w:ascii="Aptos" w:eastAsia="Aptos" w:hAnsi="Aptos" w:cs="Aptos"/>
        </w:rPr>
        <w:t xml:space="preserve"> </w:t>
      </w:r>
      <w:r w:rsidRPr="00A03B67">
        <w:rPr>
          <w:rFonts w:ascii="Aptos" w:eastAsia="Aptos" w:hAnsi="Aptos" w:cs="Aptos"/>
        </w:rPr>
        <w:t>[2017] FWCA 226</w:t>
      </w:r>
      <w:r w:rsidR="00913078" w:rsidRPr="00A03B67">
        <w:rPr>
          <w:rFonts w:ascii="Aptos" w:eastAsia="Aptos" w:hAnsi="Aptos" w:cs="Aptos"/>
        </w:rPr>
        <w:t>.</w:t>
      </w:r>
    </w:p>
  </w:footnote>
  <w:footnote w:id="720">
    <w:p w14:paraId="6457A135" w14:textId="619BA99B" w:rsidR="001E1A62" w:rsidRPr="00A03B67" w:rsidRDefault="001E1A62" w:rsidP="001E1A62">
      <w:pPr>
        <w:pStyle w:val="FootnoteText"/>
      </w:pPr>
      <w:r w:rsidRPr="00A03B67">
        <w:rPr>
          <w:rStyle w:val="FootnoteReference"/>
        </w:rPr>
        <w:footnoteRef/>
      </w:r>
      <w:r w:rsidRPr="00A03B67">
        <w:t xml:space="preserve"> </w:t>
      </w:r>
      <w:r w:rsidRPr="00A03B67">
        <w:rPr>
          <w:rFonts w:ascii="Aptos" w:eastAsia="Aptos" w:hAnsi="Aptos" w:cs="Aptos"/>
          <w:i/>
          <w:iCs/>
        </w:rPr>
        <w:t>AGL Loy Yang Pty Ltd T/A AGL Loy Yang</w:t>
      </w:r>
      <w:r w:rsidRPr="00A03B67">
        <w:rPr>
          <w:rFonts w:ascii="Aptos" w:eastAsia="Aptos" w:hAnsi="Aptos" w:cs="Aptos"/>
        </w:rPr>
        <w:t xml:space="preserve"> [2017] FWCA 226 [74]</w:t>
      </w:r>
      <w:r w:rsidR="00913078" w:rsidRPr="00A03B67">
        <w:rPr>
          <w:rFonts w:ascii="Symbol" w:eastAsia="Symbol" w:hAnsi="Symbol" w:cs="Symbol"/>
        </w:rPr>
        <w:t>-</w:t>
      </w:r>
      <w:r w:rsidRPr="00A03B67">
        <w:rPr>
          <w:rFonts w:ascii="Aptos" w:eastAsia="Aptos" w:hAnsi="Aptos" w:cs="Aptos"/>
        </w:rPr>
        <w:t>[75].</w:t>
      </w:r>
    </w:p>
  </w:footnote>
  <w:footnote w:id="721">
    <w:p w14:paraId="6DB76D30" w14:textId="436EF44A"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iCs/>
        </w:rPr>
        <w:t>AGL Loy Yang Pty Ltd T/A AGL Loy Yang</w:t>
      </w:r>
      <w:r w:rsidRPr="00A03B67">
        <w:rPr>
          <w:rFonts w:ascii="Aptos" w:eastAsia="Aptos" w:hAnsi="Aptos" w:cs="Aptos"/>
        </w:rPr>
        <w:t xml:space="preserve"> [2017] FWCA 226</w:t>
      </w:r>
      <w:r w:rsidR="00913078" w:rsidRPr="00A03B67">
        <w:rPr>
          <w:rFonts w:ascii="Aptos" w:eastAsia="Aptos" w:hAnsi="Aptos" w:cs="Aptos"/>
        </w:rPr>
        <w:t xml:space="preserve"> </w:t>
      </w:r>
      <w:r w:rsidRPr="00A03B67">
        <w:rPr>
          <w:rFonts w:ascii="Aptos" w:eastAsia="Aptos" w:hAnsi="Aptos" w:cs="Aptos"/>
        </w:rPr>
        <w:t>[103]</w:t>
      </w:r>
      <w:r w:rsidR="00913078" w:rsidRPr="00A03B67">
        <w:rPr>
          <w:rFonts w:ascii="Symbol" w:eastAsia="Symbol" w:hAnsi="Symbol" w:cs="Symbol"/>
        </w:rPr>
        <w:t>-</w:t>
      </w:r>
      <w:r w:rsidRPr="00A03B67">
        <w:rPr>
          <w:rFonts w:ascii="Aptos" w:eastAsia="Aptos" w:hAnsi="Aptos" w:cs="Aptos"/>
        </w:rPr>
        <w:t>[114].</w:t>
      </w:r>
    </w:p>
  </w:footnote>
  <w:footnote w:id="722">
    <w:p w14:paraId="30E4BC2E" w14:textId="129E92A0" w:rsidR="00173F8E" w:rsidRPr="00A03B67" w:rsidRDefault="00173F8E" w:rsidP="00173F8E">
      <w:pPr>
        <w:pStyle w:val="FootnoteText"/>
      </w:pPr>
      <w:r w:rsidRPr="00A03B67">
        <w:rPr>
          <w:rStyle w:val="FootnoteReference"/>
        </w:rPr>
        <w:footnoteRef/>
      </w:r>
      <w:r w:rsidRPr="00A03B67">
        <w:t xml:space="preserve"> </w:t>
      </w:r>
      <w:r w:rsidRPr="00A03B67">
        <w:rPr>
          <w:rFonts w:ascii="Aptos" w:eastAsia="Aptos" w:hAnsi="Aptos" w:cs="Aptos"/>
          <w:i/>
          <w:iCs/>
        </w:rPr>
        <w:t>Construction, Forestry, Mining and Energy Union v AGL Loy Yang Pty Ltd t/a AGL Loy Yang</w:t>
      </w:r>
      <w:r w:rsidRPr="00A03B67">
        <w:rPr>
          <w:rFonts w:ascii="Aptos" w:eastAsia="Aptos" w:hAnsi="Aptos" w:cs="Aptos"/>
        </w:rPr>
        <w:t xml:space="preserve"> [2017] FWCFB 1019 [43].</w:t>
      </w:r>
    </w:p>
  </w:footnote>
  <w:footnote w:id="723">
    <w:p w14:paraId="5214005C" w14:textId="0B775231"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w:t>
      </w:r>
      <w:r w:rsidR="00913078" w:rsidRPr="00A03B67">
        <w:t xml:space="preserve"> </w:t>
      </w:r>
      <w:r w:rsidRPr="00A03B67">
        <w:t>226(3).</w:t>
      </w:r>
    </w:p>
  </w:footnote>
  <w:footnote w:id="724">
    <w:p w14:paraId="375E5041" w14:textId="56973CB3" w:rsidR="001E1A62" w:rsidRPr="00A03B67" w:rsidRDefault="001E1A62" w:rsidP="001E1A62">
      <w:pPr>
        <w:pStyle w:val="FootnoteText"/>
      </w:pPr>
      <w:r w:rsidRPr="00A03B67">
        <w:rPr>
          <w:rStyle w:val="FootnoteReference"/>
        </w:rPr>
        <w:footnoteRef/>
      </w:r>
      <w:r w:rsidRPr="00A03B67">
        <w:t xml:space="preserve"> </w:t>
      </w:r>
      <w:r w:rsidRPr="00A03B67">
        <w:rPr>
          <w:i/>
          <w:iCs/>
        </w:rPr>
        <w:t>Fair Work Act 2009</w:t>
      </w:r>
      <w:r w:rsidRPr="00A03B67">
        <w:t xml:space="preserve"> (Cth) s</w:t>
      </w:r>
      <w:r w:rsidR="00913078" w:rsidRPr="00A03B67">
        <w:t xml:space="preserve"> </w:t>
      </w:r>
      <w:r w:rsidRPr="00A03B67">
        <w:t>226(4).</w:t>
      </w:r>
    </w:p>
  </w:footnote>
  <w:footnote w:id="725">
    <w:p w14:paraId="1E25AD74" w14:textId="28244511" w:rsidR="00173F8E" w:rsidRPr="00A03B67" w:rsidRDefault="00173F8E" w:rsidP="00173F8E">
      <w:pPr>
        <w:pStyle w:val="FootnoteText"/>
      </w:pPr>
      <w:r w:rsidRPr="00A03B67">
        <w:rPr>
          <w:rStyle w:val="FootnoteReference"/>
        </w:rPr>
        <w:footnoteRef/>
      </w:r>
      <w:r w:rsidRPr="00A03B67">
        <w:t xml:space="preserve"> </w:t>
      </w:r>
      <w:r w:rsidRPr="00A03B67">
        <w:rPr>
          <w:i/>
          <w:iCs/>
        </w:rPr>
        <w:t>Fair Work Act 2009</w:t>
      </w:r>
      <w:r w:rsidRPr="00A03B67">
        <w:t xml:space="preserve"> (Cth) s</w:t>
      </w:r>
      <w:r w:rsidR="00913078" w:rsidRPr="00A03B67">
        <w:t xml:space="preserve"> </w:t>
      </w:r>
      <w:r w:rsidRPr="00A03B67">
        <w:t>615A(3).</w:t>
      </w:r>
    </w:p>
  </w:footnote>
  <w:footnote w:id="726">
    <w:p w14:paraId="267BFCC8" w14:textId="69AE0B2F" w:rsidR="00173F8E" w:rsidRPr="00A03B67" w:rsidRDefault="00173F8E" w:rsidP="00173F8E">
      <w:pPr>
        <w:pStyle w:val="FootnoteText"/>
      </w:pPr>
      <w:r w:rsidRPr="00A03B67">
        <w:rPr>
          <w:rStyle w:val="FootnoteReference"/>
        </w:rPr>
        <w:footnoteRef/>
      </w:r>
      <w:r w:rsidR="00913078" w:rsidRPr="00A03B67">
        <w:t xml:space="preserve"> Explanatory Memorandum,</w:t>
      </w:r>
      <w:r w:rsidRPr="00A03B67">
        <w:t xml:space="preserve"> Fair Work Legislation Amendment (Secure Jobs, Better Pay) Bill 2022, [634].</w:t>
      </w:r>
    </w:p>
  </w:footnote>
  <w:footnote w:id="727">
    <w:p w14:paraId="7D9D3CA0" w14:textId="434ACE97" w:rsidR="00173F8E" w:rsidRPr="00A03B67" w:rsidRDefault="00173F8E" w:rsidP="00173F8E">
      <w:pPr>
        <w:pStyle w:val="FootnoteText"/>
      </w:pPr>
      <w:r w:rsidRPr="00A03B67">
        <w:rPr>
          <w:rStyle w:val="FootnoteReference"/>
        </w:rPr>
        <w:footnoteRef/>
      </w:r>
      <w:r w:rsidRPr="00A03B67">
        <w:t xml:space="preserve"> Fair Work Commission</w:t>
      </w:r>
      <w:r w:rsidR="00913078" w:rsidRPr="00A03B67">
        <w:t>,</w:t>
      </w:r>
      <w:r w:rsidRPr="00A03B67">
        <w:t xml:space="preserve"> </w:t>
      </w:r>
      <w:r w:rsidRPr="00A03B67">
        <w:rPr>
          <w:i/>
          <w:iCs/>
        </w:rPr>
        <w:t>Annual Report 2019</w:t>
      </w:r>
      <w:r w:rsidR="00913078" w:rsidRPr="00A03B67">
        <w:rPr>
          <w:rFonts w:ascii="Symbol" w:eastAsia="Symbol" w:hAnsi="Symbol" w:cs="Symbol"/>
          <w:i/>
          <w:iCs/>
        </w:rPr>
        <w:t>-</w:t>
      </w:r>
      <w:r w:rsidRPr="00A03B67">
        <w:rPr>
          <w:i/>
          <w:iCs/>
        </w:rPr>
        <w:t>20</w:t>
      </w:r>
      <w:r w:rsidRPr="00A03B67">
        <w:t xml:space="preserve"> </w:t>
      </w:r>
      <w:r w:rsidR="00913078" w:rsidRPr="00A03B67">
        <w:t xml:space="preserve">(Report, 2020) </w:t>
      </w:r>
      <w:r w:rsidRPr="00A03B67">
        <w:t>62.</w:t>
      </w:r>
    </w:p>
  </w:footnote>
  <w:footnote w:id="728">
    <w:p w14:paraId="142BBA44" w14:textId="7E2940A0" w:rsidR="00173F8E" w:rsidRPr="00A03B67" w:rsidRDefault="00173F8E" w:rsidP="00173F8E">
      <w:pPr>
        <w:pStyle w:val="FootnoteText"/>
      </w:pPr>
      <w:r w:rsidRPr="00A03B67">
        <w:rPr>
          <w:rStyle w:val="FootnoteReference"/>
        </w:rPr>
        <w:footnoteRef/>
      </w:r>
      <w:r w:rsidRPr="00A03B67">
        <w:t xml:space="preserve"> Fair Work Commission</w:t>
      </w:r>
      <w:r w:rsidR="00913078" w:rsidRPr="00A03B67">
        <w:t>,</w:t>
      </w:r>
      <w:r w:rsidRPr="00A03B67">
        <w:t xml:space="preserve"> </w:t>
      </w:r>
      <w:r w:rsidRPr="00A03B67">
        <w:rPr>
          <w:i/>
          <w:iCs/>
        </w:rPr>
        <w:t>Annual Report 2020</w:t>
      </w:r>
      <w:r w:rsidR="00913078" w:rsidRPr="00A03B67">
        <w:rPr>
          <w:rFonts w:ascii="Symbol" w:eastAsia="Symbol" w:hAnsi="Symbol" w:cs="Symbol"/>
          <w:i/>
          <w:iCs/>
        </w:rPr>
        <w:t>-</w:t>
      </w:r>
      <w:r w:rsidRPr="00A03B67">
        <w:rPr>
          <w:i/>
          <w:iCs/>
        </w:rPr>
        <w:t>21</w:t>
      </w:r>
      <w:r w:rsidRPr="00A03B67">
        <w:t xml:space="preserve"> </w:t>
      </w:r>
      <w:r w:rsidR="00913078" w:rsidRPr="00A03B67">
        <w:t>(Report, 2021) ‘</w:t>
      </w:r>
      <w:r w:rsidRPr="00A03B67">
        <w:t>Access to justice</w:t>
      </w:r>
      <w:r w:rsidR="00913078" w:rsidRPr="00A03B67">
        <w:t>’</w:t>
      </w:r>
      <w:r w:rsidRPr="00A03B67">
        <w:t xml:space="preserve"> 58.</w:t>
      </w:r>
    </w:p>
  </w:footnote>
  <w:footnote w:id="729">
    <w:p w14:paraId="6C958B28" w14:textId="34FD14A5" w:rsidR="00173F8E" w:rsidRPr="00A03B67" w:rsidRDefault="00173F8E" w:rsidP="00173F8E">
      <w:pPr>
        <w:pStyle w:val="FootnoteText"/>
      </w:pPr>
      <w:r w:rsidRPr="00A03B67">
        <w:rPr>
          <w:rStyle w:val="FootnoteReference"/>
        </w:rPr>
        <w:footnoteRef/>
      </w:r>
      <w:r w:rsidRPr="00A03B67">
        <w:t xml:space="preserve"> Fair Work Commission</w:t>
      </w:r>
      <w:r w:rsidR="00913078" w:rsidRPr="00A03B67">
        <w:t>,</w:t>
      </w:r>
      <w:r w:rsidRPr="00A03B67">
        <w:t xml:space="preserve"> </w:t>
      </w:r>
      <w:r w:rsidRPr="00A03B67">
        <w:rPr>
          <w:i/>
          <w:iCs/>
        </w:rPr>
        <w:t>Annual Report 2021</w:t>
      </w:r>
      <w:r w:rsidR="00913078" w:rsidRPr="00A03B67">
        <w:rPr>
          <w:rFonts w:ascii="Symbol" w:eastAsia="Symbol" w:hAnsi="Symbol" w:cs="Symbol"/>
          <w:i/>
          <w:iCs/>
        </w:rPr>
        <w:t>-</w:t>
      </w:r>
      <w:r w:rsidRPr="00A03B67">
        <w:rPr>
          <w:i/>
          <w:iCs/>
        </w:rPr>
        <w:t>22</w:t>
      </w:r>
      <w:r w:rsidR="00913078" w:rsidRPr="00A03B67">
        <w:t xml:space="preserve"> (Report, 2022) </w:t>
      </w:r>
      <w:r w:rsidRPr="00A03B67">
        <w:t>p.57.</w:t>
      </w:r>
    </w:p>
  </w:footnote>
  <w:footnote w:id="730">
    <w:p w14:paraId="4008702C" w14:textId="6A977FC4" w:rsidR="00173F8E" w:rsidRPr="00A03B67" w:rsidRDefault="00173F8E" w:rsidP="00173F8E">
      <w:pPr>
        <w:pStyle w:val="FootnoteText"/>
      </w:pPr>
      <w:r w:rsidRPr="00A03B67">
        <w:rPr>
          <w:rStyle w:val="FootnoteReference"/>
        </w:rPr>
        <w:footnoteRef/>
      </w:r>
      <w:r w:rsidRPr="00A03B67">
        <w:t xml:space="preserve"> Fair Work Commission</w:t>
      </w:r>
      <w:r w:rsidR="00913078" w:rsidRPr="00A03B67">
        <w:t>,</w:t>
      </w:r>
      <w:r w:rsidRPr="00A03B67">
        <w:t xml:space="preserve"> </w:t>
      </w:r>
      <w:r w:rsidRPr="00A03B67">
        <w:rPr>
          <w:i/>
          <w:iCs/>
        </w:rPr>
        <w:t>Annual Report 2022–23</w:t>
      </w:r>
      <w:r w:rsidR="00913078" w:rsidRPr="00A03B67">
        <w:t xml:space="preserve"> (Report, 2023) </w:t>
      </w:r>
      <w:r w:rsidRPr="00A03B67">
        <w:t>64.</w:t>
      </w:r>
    </w:p>
  </w:footnote>
  <w:footnote w:id="731">
    <w:p w14:paraId="1EC41E87" w14:textId="0AB30B19" w:rsidR="00173F8E" w:rsidRPr="00A03B67" w:rsidRDefault="00173F8E" w:rsidP="00173F8E">
      <w:pPr>
        <w:pStyle w:val="FootnoteText"/>
      </w:pPr>
      <w:r w:rsidRPr="00A03B67">
        <w:rPr>
          <w:rStyle w:val="FootnoteReference"/>
        </w:rPr>
        <w:footnoteRef/>
      </w:r>
      <w:r w:rsidRPr="00A03B67">
        <w:t xml:space="preserve"> Fair Work Commission</w:t>
      </w:r>
      <w:r w:rsidR="00913078" w:rsidRPr="00A03B67">
        <w:t>,</w:t>
      </w:r>
      <w:r w:rsidRPr="00A03B67">
        <w:t xml:space="preserve"> </w:t>
      </w:r>
      <w:r w:rsidRPr="00A03B67">
        <w:rPr>
          <w:i/>
          <w:iCs/>
        </w:rPr>
        <w:t>Annual Report 20</w:t>
      </w:r>
      <w:r w:rsidR="00913078" w:rsidRPr="00A03B67">
        <w:rPr>
          <w:i/>
          <w:iCs/>
        </w:rPr>
        <w:t>23</w:t>
      </w:r>
      <w:r w:rsidR="00913078" w:rsidRPr="00A03B67">
        <w:rPr>
          <w:rFonts w:ascii="Symbol" w:eastAsia="Symbol" w:hAnsi="Symbol" w:cs="Symbol"/>
          <w:i/>
          <w:iCs/>
        </w:rPr>
        <w:t>-</w:t>
      </w:r>
      <w:r w:rsidRPr="00A03B67">
        <w:rPr>
          <w:i/>
          <w:iCs/>
        </w:rPr>
        <w:t>24</w:t>
      </w:r>
      <w:r w:rsidR="00913078" w:rsidRPr="00A03B67">
        <w:t xml:space="preserve"> (Report, 2024) </w:t>
      </w:r>
      <w:r w:rsidRPr="00A03B67">
        <w:t>63.</w:t>
      </w:r>
    </w:p>
  </w:footnote>
  <w:footnote w:id="732">
    <w:p w14:paraId="64D3F303" w14:textId="6CFE536C" w:rsidR="00173F8E" w:rsidRPr="00A03B67" w:rsidRDefault="00173F8E" w:rsidP="00173F8E">
      <w:pPr>
        <w:pStyle w:val="FootnoteText"/>
      </w:pPr>
      <w:r w:rsidRPr="00A03B67">
        <w:rPr>
          <w:rStyle w:val="FootnoteReference"/>
        </w:rPr>
        <w:footnoteRef/>
      </w:r>
      <w:r w:rsidRPr="00A03B67">
        <w:t xml:space="preserve"> </w:t>
      </w:r>
      <w:r w:rsidR="001279E9" w:rsidRPr="00A03B67">
        <w:rPr>
          <w:i/>
          <w:iCs/>
        </w:rPr>
        <w:t>Application by Forest Coach Lines Pty Ltd</w:t>
      </w:r>
      <w:r w:rsidR="001279E9" w:rsidRPr="00A03B67">
        <w:t xml:space="preserve"> </w:t>
      </w:r>
      <w:r w:rsidRPr="00A03B67">
        <w:t>[2023] FWCA 4472</w:t>
      </w:r>
      <w:r w:rsidR="00913078" w:rsidRPr="00A03B67">
        <w:t>.</w:t>
      </w:r>
    </w:p>
  </w:footnote>
  <w:footnote w:id="733">
    <w:p w14:paraId="321EAF5B" w14:textId="04A87AF5" w:rsidR="00173F8E" w:rsidRPr="00A03B67" w:rsidRDefault="00173F8E" w:rsidP="00173F8E">
      <w:pPr>
        <w:pStyle w:val="FootnoteText"/>
      </w:pPr>
      <w:r w:rsidRPr="00A03B67">
        <w:rPr>
          <w:rStyle w:val="FootnoteReference"/>
        </w:rPr>
        <w:footnoteRef/>
      </w:r>
      <w:r w:rsidRPr="00A03B67">
        <w:t xml:space="preserve"> </w:t>
      </w:r>
      <w:r w:rsidRPr="00A03B67">
        <w:rPr>
          <w:i/>
          <w:iCs/>
        </w:rPr>
        <w:t>Application by Forest Coach Lines Pty Ltd</w:t>
      </w:r>
      <w:r w:rsidRPr="00A03B67">
        <w:t xml:space="preserve"> [2023] FWCA 4472 [31].</w:t>
      </w:r>
    </w:p>
  </w:footnote>
  <w:footnote w:id="734">
    <w:p w14:paraId="5E39F3CC" w14:textId="398227B2" w:rsidR="00173F8E" w:rsidRPr="00A03B67" w:rsidRDefault="00173F8E" w:rsidP="00173F8E">
      <w:pPr>
        <w:pStyle w:val="FootnoteText"/>
      </w:pPr>
      <w:r w:rsidRPr="00A03B67">
        <w:rPr>
          <w:rStyle w:val="FootnoteReference"/>
        </w:rPr>
        <w:footnoteRef/>
      </w:r>
      <w:r w:rsidRPr="00A03B67">
        <w:t xml:space="preserve"> </w:t>
      </w:r>
      <w:r w:rsidRPr="00A03B67">
        <w:rPr>
          <w:i/>
          <w:iCs/>
        </w:rPr>
        <w:t>Application by Forest Coach Lines Pty Ltd</w:t>
      </w:r>
      <w:r w:rsidRPr="00A03B67">
        <w:t xml:space="preserve"> [2023] FWCA 4472 [8].</w:t>
      </w:r>
    </w:p>
  </w:footnote>
  <w:footnote w:id="735">
    <w:p w14:paraId="704ACCB9" w14:textId="59B15612" w:rsidR="00173F8E" w:rsidRPr="00A03B67" w:rsidRDefault="00173F8E" w:rsidP="00173F8E">
      <w:pPr>
        <w:pStyle w:val="FootnoteText"/>
      </w:pPr>
      <w:r w:rsidRPr="00A03B67">
        <w:rPr>
          <w:rStyle w:val="FootnoteReference"/>
        </w:rPr>
        <w:footnoteRef/>
      </w:r>
      <w:r w:rsidRPr="00A03B67">
        <w:t xml:space="preserve"> </w:t>
      </w:r>
      <w:r w:rsidR="001279E9" w:rsidRPr="00A03B67">
        <w:rPr>
          <w:i/>
          <w:iCs/>
        </w:rPr>
        <w:t>BDS Support Services T/A Broadmeadows Disability</w:t>
      </w:r>
      <w:r w:rsidR="001279E9" w:rsidRPr="00A03B67">
        <w:t xml:space="preserve"> Services </w:t>
      </w:r>
      <w:r w:rsidRPr="00A03B67">
        <w:t>[2024] FWCFB 404</w:t>
      </w:r>
      <w:r w:rsidR="00913078" w:rsidRPr="00A03B67">
        <w:t>.</w:t>
      </w:r>
    </w:p>
  </w:footnote>
  <w:footnote w:id="736">
    <w:p w14:paraId="009CB977" w14:textId="20418F8C" w:rsidR="00173F8E" w:rsidRPr="00A03B67" w:rsidRDefault="00173F8E" w:rsidP="00173F8E">
      <w:pPr>
        <w:pStyle w:val="FootnoteText"/>
      </w:pPr>
      <w:r w:rsidRPr="00A03B67">
        <w:rPr>
          <w:rStyle w:val="FootnoteReference"/>
        </w:rPr>
        <w:footnoteRef/>
      </w:r>
      <w:r w:rsidRPr="00A03B67" w:rsidDel="00913078">
        <w:t xml:space="preserve"> </w:t>
      </w:r>
      <w:r w:rsidR="00FC4AC9" w:rsidRPr="00A03B67">
        <w:rPr>
          <w:i/>
          <w:iCs/>
        </w:rPr>
        <w:t>BDS Support Services T/A Broadmeadows Disability</w:t>
      </w:r>
      <w:r w:rsidR="00FC4AC9" w:rsidRPr="00A03B67">
        <w:t xml:space="preserve"> Services </w:t>
      </w:r>
      <w:r w:rsidRPr="00A03B67">
        <w:t>[2024] FWCFB 404 [7]</w:t>
      </w:r>
      <w:r w:rsidR="00913078" w:rsidRPr="00A03B67">
        <w:t>.</w:t>
      </w:r>
    </w:p>
  </w:footnote>
  <w:footnote w:id="737">
    <w:p w14:paraId="1783BF35" w14:textId="792F0503" w:rsidR="00173F8E" w:rsidRPr="00A03B67" w:rsidRDefault="00173F8E" w:rsidP="00173F8E">
      <w:pPr>
        <w:pStyle w:val="FootnoteText"/>
      </w:pPr>
      <w:r w:rsidRPr="00A03B67">
        <w:rPr>
          <w:rStyle w:val="FootnoteReference"/>
        </w:rPr>
        <w:footnoteRef/>
      </w:r>
      <w:r w:rsidRPr="00A03B67">
        <w:t xml:space="preserve"> [2024] FWCFB 404 [40]</w:t>
      </w:r>
      <w:r w:rsidR="00913078" w:rsidRPr="00A03B67">
        <w:t>,</w:t>
      </w:r>
      <w:r w:rsidRPr="00A03B67">
        <w:t xml:space="preserve"> [41].</w:t>
      </w:r>
    </w:p>
  </w:footnote>
  <w:footnote w:id="738">
    <w:p w14:paraId="344B17D7" w14:textId="05B72246" w:rsidR="00173F8E" w:rsidRPr="00A03B67" w:rsidRDefault="00173F8E" w:rsidP="00173F8E">
      <w:pPr>
        <w:pStyle w:val="FootnoteText"/>
      </w:pPr>
      <w:r w:rsidRPr="00A03B67">
        <w:rPr>
          <w:rStyle w:val="FootnoteReference"/>
        </w:rPr>
        <w:footnoteRef/>
      </w:r>
      <w:r w:rsidRPr="00A03B67">
        <w:t xml:space="preserve"> BCA </w:t>
      </w:r>
      <w:r w:rsidR="00913078" w:rsidRPr="00A03B67">
        <w:t>submission</w:t>
      </w:r>
      <w:r w:rsidRPr="00A03B67">
        <w:t>, p.14.</w:t>
      </w:r>
    </w:p>
  </w:footnote>
  <w:footnote w:id="739">
    <w:p w14:paraId="3FDE724D" w14:textId="3E1B90F9" w:rsidR="00173F8E" w:rsidRPr="00A03B67" w:rsidRDefault="00173F8E" w:rsidP="00173F8E">
      <w:pPr>
        <w:pStyle w:val="FootnoteText"/>
      </w:pPr>
      <w:r w:rsidRPr="00A03B67">
        <w:rPr>
          <w:rStyle w:val="FootnoteReference"/>
        </w:rPr>
        <w:footnoteRef/>
      </w:r>
      <w:r w:rsidRPr="00A03B67">
        <w:t xml:space="preserve"> Ai Group </w:t>
      </w:r>
      <w:r w:rsidR="00913078" w:rsidRPr="00A03B67">
        <w:t>submission</w:t>
      </w:r>
      <w:r w:rsidRPr="00A03B67">
        <w:t>, 7</w:t>
      </w:r>
      <w:r w:rsidR="00913078" w:rsidRPr="00A03B67">
        <w:t xml:space="preserve"> [</w:t>
      </w:r>
      <w:r w:rsidRPr="00A03B67">
        <w:t>25</w:t>
      </w:r>
      <w:r w:rsidR="00913078" w:rsidRPr="00A03B67">
        <w:t>]</w:t>
      </w:r>
      <w:r w:rsidRPr="00A03B67">
        <w:t>.</w:t>
      </w:r>
    </w:p>
  </w:footnote>
  <w:footnote w:id="740">
    <w:p w14:paraId="53D3D857" w14:textId="6ADEE678" w:rsidR="00173F8E" w:rsidRPr="00A03B67" w:rsidRDefault="00173F8E" w:rsidP="00173F8E">
      <w:pPr>
        <w:pStyle w:val="FootnoteText"/>
      </w:pPr>
      <w:r w:rsidRPr="00A03B67">
        <w:rPr>
          <w:rStyle w:val="FootnoteReference"/>
        </w:rPr>
        <w:footnoteRef/>
      </w:r>
      <w:r w:rsidRPr="00A03B67">
        <w:t xml:space="preserve"> ARA </w:t>
      </w:r>
      <w:r w:rsidR="00913078" w:rsidRPr="00A03B67">
        <w:t>submission</w:t>
      </w:r>
      <w:r w:rsidRPr="00A03B67">
        <w:t>, 10.</w:t>
      </w:r>
    </w:p>
  </w:footnote>
  <w:footnote w:id="741">
    <w:p w14:paraId="011F5408" w14:textId="0CDAF673" w:rsidR="00173F8E" w:rsidRPr="00A03B67" w:rsidRDefault="00173F8E" w:rsidP="00173F8E">
      <w:pPr>
        <w:pStyle w:val="FootnoteText"/>
      </w:pPr>
      <w:r w:rsidRPr="00A03B67">
        <w:rPr>
          <w:rStyle w:val="FootnoteReference"/>
        </w:rPr>
        <w:footnoteRef/>
      </w:r>
      <w:r w:rsidRPr="00A03B67">
        <w:t xml:space="preserve"> MBA </w:t>
      </w:r>
      <w:r w:rsidR="00913078" w:rsidRPr="00A03B67">
        <w:t>submission</w:t>
      </w:r>
      <w:r w:rsidRPr="00A03B67">
        <w:t>, 18.</w:t>
      </w:r>
    </w:p>
  </w:footnote>
  <w:footnote w:id="742">
    <w:p w14:paraId="29E762E4" w14:textId="34C1F407" w:rsidR="00173F8E" w:rsidRPr="00A03B67" w:rsidRDefault="00173F8E" w:rsidP="00173F8E">
      <w:pPr>
        <w:pStyle w:val="FootnoteText"/>
      </w:pPr>
      <w:r w:rsidRPr="00A03B67">
        <w:rPr>
          <w:rStyle w:val="FootnoteReference"/>
        </w:rPr>
        <w:footnoteRef/>
      </w:r>
      <w:r w:rsidRPr="00A03B67">
        <w:t xml:space="preserve"> Maritime Industry Australia </w:t>
      </w:r>
      <w:r w:rsidR="00913078" w:rsidRPr="00A03B67">
        <w:t>submission</w:t>
      </w:r>
      <w:r w:rsidRPr="00A03B67">
        <w:t>, 11</w:t>
      </w:r>
      <w:r w:rsidR="00913078" w:rsidRPr="00A03B67">
        <w:t xml:space="preserve"> [</w:t>
      </w:r>
      <w:r w:rsidRPr="00A03B67">
        <w:t>6.3</w:t>
      </w:r>
      <w:r w:rsidR="00913078" w:rsidRPr="00A03B67">
        <w:t>]</w:t>
      </w:r>
      <w:r w:rsidRPr="00A03B67">
        <w:t>.</w:t>
      </w:r>
    </w:p>
  </w:footnote>
  <w:footnote w:id="743">
    <w:p w14:paraId="2CC99035" w14:textId="0DA75601" w:rsidR="00173F8E" w:rsidRPr="00A03B67" w:rsidRDefault="00173F8E" w:rsidP="00173F8E">
      <w:pPr>
        <w:pStyle w:val="FootnoteText"/>
      </w:pPr>
      <w:r w:rsidRPr="00A03B67">
        <w:rPr>
          <w:rStyle w:val="FootnoteReference"/>
        </w:rPr>
        <w:footnoteRef/>
      </w:r>
      <w:r w:rsidRPr="00A03B67">
        <w:t xml:space="preserve"> Clubs Australia </w:t>
      </w:r>
      <w:r w:rsidR="00913078" w:rsidRPr="00A03B67">
        <w:t>submission</w:t>
      </w:r>
      <w:r w:rsidRPr="00A03B67">
        <w:t>, 3.</w:t>
      </w:r>
    </w:p>
  </w:footnote>
  <w:footnote w:id="744">
    <w:p w14:paraId="4BAE1C41" w14:textId="3D185B94" w:rsidR="00173F8E" w:rsidRPr="00A03B67" w:rsidRDefault="00173F8E" w:rsidP="00173F8E">
      <w:pPr>
        <w:pStyle w:val="FootnoteText"/>
      </w:pPr>
      <w:r w:rsidRPr="00A03B67">
        <w:rPr>
          <w:rStyle w:val="FootnoteReference"/>
        </w:rPr>
        <w:footnoteRef/>
      </w:r>
      <w:r w:rsidRPr="00A03B67">
        <w:t xml:space="preserve"> AREEA </w:t>
      </w:r>
      <w:r w:rsidR="00913078" w:rsidRPr="00A03B67">
        <w:t>submission</w:t>
      </w:r>
      <w:r w:rsidRPr="00A03B67">
        <w:t>, 15.</w:t>
      </w:r>
    </w:p>
  </w:footnote>
  <w:footnote w:id="745">
    <w:p w14:paraId="717EC762" w14:textId="741CA1FA" w:rsidR="00173F8E" w:rsidRPr="00A03B67" w:rsidRDefault="00173F8E" w:rsidP="00173F8E">
      <w:pPr>
        <w:pStyle w:val="FootnoteText"/>
      </w:pPr>
      <w:r w:rsidRPr="00A03B67">
        <w:rPr>
          <w:rStyle w:val="FootnoteReference"/>
        </w:rPr>
        <w:footnoteRef/>
      </w:r>
      <w:r w:rsidRPr="00A03B67">
        <w:t xml:space="preserve"> ACCI </w:t>
      </w:r>
      <w:r w:rsidR="00913078" w:rsidRPr="00A03B67">
        <w:t>submission</w:t>
      </w:r>
      <w:r w:rsidRPr="00A03B67">
        <w:t>, 10.</w:t>
      </w:r>
    </w:p>
  </w:footnote>
  <w:footnote w:id="746">
    <w:p w14:paraId="27B3F3FD" w14:textId="5FF7104F" w:rsidR="00173F8E" w:rsidRPr="00A03B67" w:rsidRDefault="00173F8E" w:rsidP="00173F8E">
      <w:pPr>
        <w:pStyle w:val="FootnoteText"/>
      </w:pPr>
      <w:r w:rsidRPr="00A03B67">
        <w:rPr>
          <w:rStyle w:val="FootnoteReference"/>
        </w:rPr>
        <w:footnoteRef/>
      </w:r>
      <w:r w:rsidRPr="00A03B67">
        <w:t xml:space="preserve"> Ai Group </w:t>
      </w:r>
      <w:r w:rsidR="00913078" w:rsidRPr="00A03B67">
        <w:t>submission</w:t>
      </w:r>
      <w:r w:rsidRPr="00A03B67">
        <w:t>, 8</w:t>
      </w:r>
      <w:r w:rsidR="00913078" w:rsidRPr="00A03B67">
        <w:t xml:space="preserve"> [</w:t>
      </w:r>
      <w:r w:rsidRPr="00A03B67">
        <w:t>25</w:t>
      </w:r>
      <w:r w:rsidR="00913078" w:rsidRPr="00A03B67">
        <w:t>]</w:t>
      </w:r>
      <w:r w:rsidRPr="00A03B67">
        <w:t>.</w:t>
      </w:r>
    </w:p>
  </w:footnote>
  <w:footnote w:id="747">
    <w:p w14:paraId="3DA3EE47" w14:textId="01295317" w:rsidR="00173F8E" w:rsidRPr="00A03B67" w:rsidRDefault="00173F8E" w:rsidP="00173F8E">
      <w:pPr>
        <w:pStyle w:val="FootnoteText"/>
      </w:pPr>
      <w:r w:rsidRPr="00A03B67">
        <w:rPr>
          <w:rStyle w:val="FootnoteReference"/>
        </w:rPr>
        <w:footnoteRef/>
      </w:r>
      <w:r w:rsidRPr="00A03B67">
        <w:t xml:space="preserve"> ACTU </w:t>
      </w:r>
      <w:r w:rsidR="00913078" w:rsidRPr="00A03B67">
        <w:t>submission</w:t>
      </w:r>
      <w:r w:rsidRPr="00A03B67">
        <w:t>, 71.</w:t>
      </w:r>
    </w:p>
  </w:footnote>
  <w:footnote w:id="748">
    <w:p w14:paraId="54F8EA91" w14:textId="45A347C7" w:rsidR="00173F8E" w:rsidRPr="00A03B67" w:rsidRDefault="00173F8E" w:rsidP="00173F8E">
      <w:pPr>
        <w:pStyle w:val="FootnoteText"/>
      </w:pPr>
      <w:r w:rsidRPr="00A03B67">
        <w:rPr>
          <w:rStyle w:val="FootnoteReference"/>
        </w:rPr>
        <w:footnoteRef/>
      </w:r>
      <w:r w:rsidR="00913078" w:rsidRPr="00A03B67">
        <w:t xml:space="preserve"> Revised Explanatory Memorandum,</w:t>
      </w:r>
      <w:r w:rsidRPr="00A03B67">
        <w:t xml:space="preserve"> Fair Work Legislation Amendment (Secure Jobs, Better Pay) Bill 2022</w:t>
      </w:r>
      <w:r w:rsidR="00913078" w:rsidRPr="00A03B67">
        <w:t xml:space="preserve">, </w:t>
      </w:r>
      <w:r w:rsidRPr="00A03B67">
        <w:t>[686].</w:t>
      </w:r>
    </w:p>
  </w:footnote>
  <w:footnote w:id="749">
    <w:p w14:paraId="6C4B8F2B" w14:textId="6E8F1732" w:rsidR="00173F8E" w:rsidRPr="00A03B67" w:rsidRDefault="00173F8E" w:rsidP="00173F8E">
      <w:pPr>
        <w:pStyle w:val="FootnoteText"/>
      </w:pPr>
      <w:r w:rsidRPr="00A03B67">
        <w:rPr>
          <w:rStyle w:val="FootnoteReference"/>
        </w:rPr>
        <w:footnoteRef/>
      </w:r>
      <w:r w:rsidRPr="00A03B67">
        <w:t xml:space="preserve"> Regulation Impact Statement</w:t>
      </w:r>
      <w:r w:rsidR="00913078" w:rsidRPr="00A03B67">
        <w:t>,</w:t>
      </w:r>
      <w:r w:rsidRPr="00A03B67">
        <w:t xml:space="preserve"> Fair Work Legislation Amendment (Secure Jobs, Better Pay) Bill 2022, 46.</w:t>
      </w:r>
    </w:p>
  </w:footnote>
  <w:footnote w:id="750">
    <w:p w14:paraId="29C0644D" w14:textId="17BF5584" w:rsidR="00173F8E" w:rsidRPr="00A03B67" w:rsidRDefault="00173F8E" w:rsidP="00173F8E">
      <w:pPr>
        <w:pStyle w:val="FootnoteText"/>
      </w:pPr>
      <w:r w:rsidRPr="00A03B67">
        <w:rPr>
          <w:rStyle w:val="FootnoteReference"/>
        </w:rPr>
        <w:footnoteRef/>
      </w:r>
      <w:r w:rsidRPr="00A03B67">
        <w:t xml:space="preserve"> </w:t>
      </w:r>
      <w:r w:rsidR="00AD2D88" w:rsidRPr="00A03B67">
        <w:rPr>
          <w:rFonts w:eastAsia="Aptos" w:cs="Aptos"/>
          <w:i/>
        </w:rPr>
        <w:t xml:space="preserve">Empire Holdings (QLD) Pty Ltd T/A Empire Hotel and Cloudland </w:t>
      </w:r>
      <w:r w:rsidRPr="00A03B67">
        <w:t>[2022] FWCA 62.</w:t>
      </w:r>
    </w:p>
  </w:footnote>
  <w:footnote w:id="751">
    <w:p w14:paraId="54D4A53B" w14:textId="492C99D9" w:rsidR="00173F8E" w:rsidRPr="00A03B67" w:rsidRDefault="00173F8E" w:rsidP="00173F8E">
      <w:pPr>
        <w:pStyle w:val="FootnoteText"/>
      </w:pPr>
      <w:r w:rsidRPr="00A03B67">
        <w:rPr>
          <w:rStyle w:val="FootnoteReference"/>
        </w:rPr>
        <w:footnoteRef/>
      </w:r>
      <w:r w:rsidRPr="00A03B67">
        <w:t xml:space="preserve"> </w:t>
      </w:r>
      <w:r w:rsidR="00AD2D88" w:rsidRPr="00A03B67">
        <w:rPr>
          <w:rFonts w:eastAsia="Aptos" w:cs="Aptos"/>
          <w:i/>
        </w:rPr>
        <w:t xml:space="preserve">Empire Holdings (QLD) Pty Ltd T/A Empire Hotel and Cloudland </w:t>
      </w:r>
      <w:r w:rsidRPr="00A03B67">
        <w:t>[2022] FWCA 62 [42].</w:t>
      </w:r>
    </w:p>
  </w:footnote>
  <w:footnote w:id="752">
    <w:p w14:paraId="0BDA7967" w14:textId="152D9893" w:rsidR="00855F33" w:rsidRPr="00A03B67" w:rsidRDefault="00855F33" w:rsidP="00855F33">
      <w:pPr>
        <w:pStyle w:val="FootnoteText"/>
      </w:pPr>
      <w:r w:rsidRPr="00A03B67">
        <w:rPr>
          <w:rStyle w:val="FootnoteReference"/>
        </w:rPr>
        <w:footnoteRef/>
      </w:r>
      <w:r w:rsidR="00913078" w:rsidRPr="00A03B67">
        <w:t xml:space="preserve"> Explanatory Memorandum,</w:t>
      </w:r>
      <w:r w:rsidRPr="00A03B67">
        <w:t xml:space="preserve"> Fair Work Legislation Amendment (Secure Jobs, Better Pay) Bill 2022</w:t>
      </w:r>
      <w:r w:rsidR="00913078" w:rsidRPr="00A03B67">
        <w:t xml:space="preserve">, </w:t>
      </w:r>
      <w:r w:rsidRPr="00A03B67">
        <w:t>xix [87].</w:t>
      </w:r>
    </w:p>
  </w:footnote>
  <w:footnote w:id="753">
    <w:p w14:paraId="16A916E2" w14:textId="2AFF26D5" w:rsidR="00855F33" w:rsidRPr="00A03B67" w:rsidRDefault="00855F33" w:rsidP="00855F33">
      <w:pPr>
        <w:pStyle w:val="FootnoteText"/>
      </w:pPr>
      <w:r w:rsidRPr="00A03B67">
        <w:rPr>
          <w:rStyle w:val="FootnoteReference"/>
        </w:rPr>
        <w:footnoteRef/>
      </w:r>
      <w:r w:rsidR="00913078" w:rsidRPr="00A03B67">
        <w:t xml:space="preserve"> Explanatory Memorandum,</w:t>
      </w:r>
      <w:r w:rsidRPr="00A03B67">
        <w:t xml:space="preserve"> Fair Work Legislation Amendment (Secure Jobs, Better Pay) Bill 2022</w:t>
      </w:r>
      <w:r w:rsidR="00913078" w:rsidRPr="00A03B67">
        <w:t xml:space="preserve">, </w:t>
      </w:r>
      <w:r w:rsidRPr="00A03B67">
        <w:t>xix [88]</w:t>
      </w:r>
      <w:r w:rsidR="00913078" w:rsidRPr="00A03B67">
        <w:rPr>
          <w:rFonts w:ascii="Symbol" w:eastAsia="Symbol" w:hAnsi="Symbol" w:cs="Symbol"/>
        </w:rPr>
        <w:t>-</w:t>
      </w:r>
      <w:r w:rsidRPr="00A03B67">
        <w:t>[89].</w:t>
      </w:r>
    </w:p>
  </w:footnote>
  <w:footnote w:id="754">
    <w:p w14:paraId="3C71A074" w14:textId="00194712" w:rsidR="00173F8E" w:rsidRPr="00A03B67" w:rsidRDefault="00173F8E" w:rsidP="00913078">
      <w:pPr>
        <w:pStyle w:val="FootnoteText"/>
      </w:pPr>
      <w:r w:rsidRPr="00A03B67">
        <w:rPr>
          <w:rStyle w:val="FootnoteReference"/>
        </w:rPr>
        <w:footnoteRef/>
      </w:r>
      <w:r w:rsidR="00913078" w:rsidRPr="00A03B67">
        <w:t xml:space="preserve"> Justice Hatcher, Fair Work Commission, </w:t>
      </w:r>
      <w:r w:rsidR="00913078" w:rsidRPr="00A03B67">
        <w:rPr>
          <w:i/>
          <w:iCs/>
        </w:rPr>
        <w:t>Implementing the Secure Jobs, Better Pay Changes and the Fair Work Commission’s Performance in 2022</w:t>
      </w:r>
      <w:r w:rsidR="00913078" w:rsidRPr="00A03B67">
        <w:rPr>
          <w:rFonts w:ascii="Symbol" w:eastAsia="Symbol" w:hAnsi="Symbol" w:cs="Symbol"/>
          <w:i/>
          <w:iCs/>
        </w:rPr>
        <w:t>-</w:t>
      </w:r>
      <w:r w:rsidR="00913078" w:rsidRPr="00A03B67">
        <w:rPr>
          <w:i/>
          <w:iCs/>
        </w:rPr>
        <w:t>23</w:t>
      </w:r>
      <w:r w:rsidRPr="00A03B67">
        <w:t xml:space="preserve"> </w:t>
      </w:r>
      <w:r w:rsidR="00E54036" w:rsidRPr="00A03B67">
        <w:t xml:space="preserve">(President’s Statement, 2 August 2023) </w:t>
      </w:r>
      <w:r w:rsidRPr="00A03B67">
        <w:t>2 [8]</w:t>
      </w:r>
      <w:r w:rsidR="00E54036" w:rsidRPr="00A03B67">
        <w:t xml:space="preserve"> &lt;https://www.fwc.gov.au/documents/resources/president-statement-implementing-sjbp-performance-02-08-2023.pdf&gt;</w:t>
      </w:r>
      <w:r w:rsidRPr="00A03B67">
        <w:t>.</w:t>
      </w:r>
    </w:p>
  </w:footnote>
  <w:footnote w:id="755">
    <w:p w14:paraId="6E254BDE" w14:textId="6C83955A" w:rsidR="00173F8E" w:rsidRPr="00A03B67" w:rsidRDefault="00173F8E" w:rsidP="00173F8E">
      <w:pPr>
        <w:pStyle w:val="FootnoteText"/>
      </w:pPr>
      <w:r w:rsidRPr="00A03B67">
        <w:rPr>
          <w:rStyle w:val="FootnoteReference"/>
        </w:rPr>
        <w:footnoteRef/>
      </w:r>
      <w:r w:rsidRPr="00A03B67">
        <w:t xml:space="preserve"> </w:t>
      </w:r>
      <w:r w:rsidR="00E54036" w:rsidRPr="00A03B67">
        <w:t xml:space="preserve">Justice Hatcher, Fair Work Commission, </w:t>
      </w:r>
      <w:r w:rsidR="00E54036" w:rsidRPr="00A03B67">
        <w:rPr>
          <w:i/>
          <w:iCs/>
        </w:rPr>
        <w:t>Implementing the Secure Jobs, Better Pay Changes and the Fair Work Commission’s Performance in 2022</w:t>
      </w:r>
      <w:r w:rsidR="00E54036" w:rsidRPr="00A03B67">
        <w:rPr>
          <w:rFonts w:ascii="Symbol" w:eastAsia="Symbol" w:hAnsi="Symbol" w:cs="Symbol"/>
          <w:i/>
          <w:iCs/>
        </w:rPr>
        <w:t>-</w:t>
      </w:r>
      <w:r w:rsidR="00E54036" w:rsidRPr="00A03B67">
        <w:rPr>
          <w:i/>
          <w:iCs/>
        </w:rPr>
        <w:t>23</w:t>
      </w:r>
      <w:r w:rsidR="00E54036" w:rsidRPr="00A03B67">
        <w:t xml:space="preserve"> (President’s Statement, 2 August 2023) 2 [8] &lt;https://www.fwc.gov.au/documents/resources/president-statement-implementing-sjbp-performance-02-08-2023.pdf&gt;.</w:t>
      </w:r>
    </w:p>
  </w:footnote>
  <w:footnote w:id="756">
    <w:p w14:paraId="27DC79AA" w14:textId="6359AB64" w:rsidR="00173F8E" w:rsidRPr="00A03B67" w:rsidRDefault="00173F8E" w:rsidP="00173F8E">
      <w:pPr>
        <w:pStyle w:val="FootnoteText"/>
      </w:pPr>
      <w:r w:rsidRPr="00A03B67">
        <w:rPr>
          <w:rStyle w:val="FootnoteReference"/>
        </w:rPr>
        <w:footnoteRef/>
      </w:r>
      <w:r w:rsidR="00E54036" w:rsidRPr="00A03B67">
        <w:t xml:space="preserve"> Fair Work Commission, </w:t>
      </w:r>
      <w:r w:rsidR="00E54036" w:rsidRPr="00A03B67">
        <w:rPr>
          <w:i/>
          <w:iCs/>
        </w:rPr>
        <w:t>Application to Extend the Default Period for a Zombie Agreement (Form F81)</w:t>
      </w:r>
      <w:r w:rsidR="00E54036" w:rsidRPr="00A03B67">
        <w:t xml:space="preserve"> (Web Page, n.d.) &lt;https://fwc.gov.au/apply-or-lodge/form/apply-extend-default-period-zombie-agreement-form-f81&gt;.</w:t>
      </w:r>
    </w:p>
  </w:footnote>
  <w:footnote w:id="757">
    <w:p w14:paraId="50342588" w14:textId="5FA8A3A5" w:rsidR="00173F8E" w:rsidRPr="00A03B67" w:rsidRDefault="00173F8E" w:rsidP="00173F8E">
      <w:pPr>
        <w:pStyle w:val="FootnoteText"/>
      </w:pPr>
      <w:r w:rsidRPr="00A03B67">
        <w:rPr>
          <w:rStyle w:val="FootnoteReference"/>
        </w:rPr>
        <w:footnoteRef/>
      </w:r>
      <w:r w:rsidRPr="00A03B67">
        <w:t xml:space="preserve"> </w:t>
      </w:r>
      <w:r w:rsidR="00E54036" w:rsidRPr="00A03B67">
        <w:t xml:space="preserve">Justice Hatcher, Fair Work Commission, </w:t>
      </w:r>
      <w:r w:rsidR="00E54036" w:rsidRPr="00A03B67">
        <w:rPr>
          <w:i/>
          <w:iCs/>
        </w:rPr>
        <w:t>Implementing the Secure Jobs, Better Pay Changes and the Fair Work Commission’s Performance in 2022</w:t>
      </w:r>
      <w:r w:rsidR="00E54036" w:rsidRPr="00A03B67">
        <w:rPr>
          <w:rFonts w:ascii="Symbol" w:eastAsia="Symbol" w:hAnsi="Symbol" w:cs="Symbol"/>
          <w:i/>
          <w:iCs/>
        </w:rPr>
        <w:t>-</w:t>
      </w:r>
      <w:r w:rsidR="00E54036" w:rsidRPr="00A03B67">
        <w:rPr>
          <w:i/>
          <w:iCs/>
        </w:rPr>
        <w:t>23</w:t>
      </w:r>
      <w:r w:rsidR="00E54036" w:rsidRPr="00A03B67">
        <w:t xml:space="preserve"> (President’s Statement, 2 August 2023) 1 [6] &lt;https://www.fwc.gov.au/documents/resources/president-statement-implementing-sjbp-performance-02-08-2023.pdf&gt;.</w:t>
      </w:r>
    </w:p>
  </w:footnote>
  <w:footnote w:id="758">
    <w:p w14:paraId="7B90A3C6" w14:textId="06474B22" w:rsidR="00173F8E" w:rsidRPr="00A03B67" w:rsidRDefault="00173F8E" w:rsidP="00173F8E">
      <w:pPr>
        <w:pStyle w:val="FootnoteText"/>
      </w:pPr>
      <w:r w:rsidRPr="00A03B67">
        <w:rPr>
          <w:rStyle w:val="FootnoteReference"/>
        </w:rPr>
        <w:footnoteRef/>
      </w:r>
      <w:r w:rsidR="00E54036" w:rsidRPr="00A03B67">
        <w:t xml:space="preserve"> Justice Hatcher, Fair Work Commission, </w:t>
      </w:r>
      <w:r w:rsidR="00E54036" w:rsidRPr="00A03B67">
        <w:rPr>
          <w:i/>
          <w:iCs/>
        </w:rPr>
        <w:t>Fair Work Commission’s 2023 Work and 2023</w:t>
      </w:r>
      <w:r w:rsidR="00E54036" w:rsidRPr="00A03B67">
        <w:rPr>
          <w:rFonts w:ascii="Symbol" w:eastAsia="Symbol" w:hAnsi="Symbol" w:cs="Symbol"/>
          <w:i/>
          <w:iCs/>
        </w:rPr>
        <w:t>-</w:t>
      </w:r>
      <w:r w:rsidR="00E54036" w:rsidRPr="00A03B67">
        <w:rPr>
          <w:i/>
          <w:iCs/>
        </w:rPr>
        <w:t xml:space="preserve">24 Performance </w:t>
      </w:r>
      <w:r w:rsidR="00E54036" w:rsidRPr="00A03B67">
        <w:t xml:space="preserve">(President’s Statement, 22 December 2023) </w:t>
      </w:r>
      <w:r w:rsidRPr="00A03B67">
        <w:t>4 [24]</w:t>
      </w:r>
      <w:r w:rsidR="00E54036" w:rsidRPr="00A03B67">
        <w:t xml:space="preserve"> &lt;https://www.fwc.gov.au/documents/reporting/presidents-statement-work-performance-2023-12-22.pdf&gt;. </w:t>
      </w:r>
    </w:p>
  </w:footnote>
  <w:footnote w:id="759">
    <w:p w14:paraId="76E7ED2B" w14:textId="23AD35E8" w:rsidR="00173F8E" w:rsidRPr="00A03B67" w:rsidRDefault="00173F8E" w:rsidP="00173F8E">
      <w:pPr>
        <w:pStyle w:val="FootnoteText"/>
      </w:pPr>
      <w:r w:rsidRPr="00A03B67">
        <w:rPr>
          <w:rStyle w:val="FootnoteReference"/>
        </w:rPr>
        <w:footnoteRef/>
      </w:r>
      <w:r w:rsidR="00E54036" w:rsidRPr="00A03B67">
        <w:t xml:space="preserve"> Fair Work Commission, ‘Zombie Agreements Have Now Sunsetted’ (Media Release, 7 December 2023) &lt;https://www.fwc.gov.au/about-us/news-and-media/news/zombie-agreements-have-now-sunsetted&gt;.</w:t>
      </w:r>
    </w:p>
  </w:footnote>
  <w:footnote w:id="760">
    <w:p w14:paraId="3A828FC5" w14:textId="67F11719" w:rsidR="00173F8E" w:rsidRPr="00A03B67" w:rsidRDefault="00173F8E" w:rsidP="00173F8E">
      <w:pPr>
        <w:pStyle w:val="FootnoteText"/>
      </w:pPr>
      <w:r w:rsidRPr="00A03B67">
        <w:rPr>
          <w:rStyle w:val="FootnoteReference"/>
        </w:rPr>
        <w:footnoteRef/>
      </w:r>
      <w:r w:rsidR="00E54036" w:rsidRPr="00A03B67">
        <w:t xml:space="preserve"> Justice A Hatcher, ‘Review of the Fair Work Commission’s Implementation of the Secure Jobs, Better Pay Legislation’ (Speech, Australian Industry Group Conference, 31 July 2023) 4 &lt;https://www.fwc.gov.au/documents/resources/presidents-address-aig-pir-conference-2023-07-31.pdf&gt;.</w:t>
      </w:r>
    </w:p>
  </w:footnote>
  <w:footnote w:id="761">
    <w:p w14:paraId="3DD249DD" w14:textId="676A5606" w:rsidR="00173F8E" w:rsidRPr="00A03B67" w:rsidRDefault="00173F8E" w:rsidP="00173F8E">
      <w:pPr>
        <w:pStyle w:val="FootnoteText"/>
      </w:pPr>
      <w:r w:rsidRPr="00A03B67">
        <w:rPr>
          <w:rStyle w:val="FootnoteReference"/>
        </w:rPr>
        <w:footnoteRef/>
      </w:r>
      <w:r w:rsidRPr="00A03B67">
        <w:t xml:space="preserve"> Regulation Impact Statement</w:t>
      </w:r>
      <w:r w:rsidR="00E54036" w:rsidRPr="00A03B67">
        <w:t>,</w:t>
      </w:r>
      <w:r w:rsidRPr="00A03B67">
        <w:t xml:space="preserve"> Fair Work Legislation Amendment (Secure Jobs, Better Pay) Bill 2022, 45.</w:t>
      </w:r>
    </w:p>
  </w:footnote>
  <w:footnote w:id="762">
    <w:p w14:paraId="0F0AE0FF" w14:textId="32EFC469" w:rsidR="00173F8E" w:rsidRPr="00A03B67" w:rsidRDefault="00173F8E" w:rsidP="00173F8E">
      <w:pPr>
        <w:pStyle w:val="FootnoteText"/>
      </w:pPr>
      <w:r w:rsidRPr="00A03B67">
        <w:rPr>
          <w:rStyle w:val="FootnoteReference"/>
        </w:rPr>
        <w:footnoteRef/>
      </w:r>
      <w:r w:rsidR="00E54036" w:rsidRPr="00A03B67">
        <w:t xml:space="preserve"> Fair Work Commission, </w:t>
      </w:r>
      <w:r w:rsidR="00E54036" w:rsidRPr="00A03B67">
        <w:rPr>
          <w:i/>
          <w:iCs/>
        </w:rPr>
        <w:t>Zombie Agreements Extended Past 7 December 2021</w:t>
      </w:r>
      <w:r w:rsidR="00E54036" w:rsidRPr="00A03B67">
        <w:t xml:space="preserve"> (Web Page, 20 December 2024) &lt;https://fwc.gov.au/work-conditions/enterprise-agreements/sunsetting-pre-2010-agreements/zombie-agreements-extended &gt;.</w:t>
      </w:r>
      <w:r w:rsidRPr="00A03B67">
        <w:t xml:space="preserve"> </w:t>
      </w:r>
    </w:p>
  </w:footnote>
  <w:footnote w:id="763">
    <w:p w14:paraId="2F666084" w14:textId="699668B3" w:rsidR="00173F8E" w:rsidRPr="00A03B67" w:rsidRDefault="00173F8E" w:rsidP="00173F8E">
      <w:pPr>
        <w:pStyle w:val="FootnoteText"/>
      </w:pPr>
      <w:r w:rsidRPr="00A03B67">
        <w:rPr>
          <w:rStyle w:val="FootnoteReference"/>
        </w:rPr>
        <w:footnoteRef/>
      </w:r>
      <w:r w:rsidRPr="00A03B67">
        <w:t xml:space="preserve"> Fair Work Commission</w:t>
      </w:r>
      <w:r w:rsidR="00E54036" w:rsidRPr="00A03B67">
        <w:t>,</w:t>
      </w:r>
      <w:r w:rsidRPr="00A03B67">
        <w:t xml:space="preserve"> </w:t>
      </w:r>
      <w:r w:rsidRPr="00A03B67">
        <w:rPr>
          <w:i/>
          <w:iCs/>
        </w:rPr>
        <w:t>Annual Report 20</w:t>
      </w:r>
      <w:r w:rsidR="00E54036" w:rsidRPr="00A03B67">
        <w:rPr>
          <w:i/>
          <w:iCs/>
        </w:rPr>
        <w:t>23</w:t>
      </w:r>
      <w:r w:rsidR="00E54036" w:rsidRPr="00A03B67">
        <w:rPr>
          <w:rFonts w:ascii="Symbol" w:eastAsia="Symbol" w:hAnsi="Symbol" w:cs="Symbol"/>
          <w:i/>
          <w:iCs/>
        </w:rPr>
        <w:t>-</w:t>
      </w:r>
      <w:r w:rsidRPr="00A03B67">
        <w:rPr>
          <w:i/>
          <w:iCs/>
        </w:rPr>
        <w:t>24</w:t>
      </w:r>
      <w:r w:rsidR="00E54036" w:rsidRPr="00A03B67">
        <w:t xml:space="preserve"> (Report, 2024) </w:t>
      </w:r>
      <w:r w:rsidRPr="00A03B67">
        <w:t>63.</w:t>
      </w:r>
    </w:p>
  </w:footnote>
  <w:footnote w:id="764">
    <w:p w14:paraId="0591858B" w14:textId="67E7E455" w:rsidR="00173F8E" w:rsidRPr="00A03B67" w:rsidRDefault="00173F8E" w:rsidP="00173F8E">
      <w:pPr>
        <w:pStyle w:val="FootnoteText"/>
      </w:pPr>
      <w:r w:rsidRPr="00A03B67">
        <w:rPr>
          <w:rStyle w:val="FootnoteReference"/>
        </w:rPr>
        <w:footnoteRef/>
      </w:r>
      <w:r w:rsidRPr="00A03B67">
        <w:t xml:space="preserve"> Fair Work Commission</w:t>
      </w:r>
      <w:r w:rsidR="00E54036" w:rsidRPr="00A03B67">
        <w:t>,</w:t>
      </w:r>
      <w:r w:rsidRPr="00A03B67">
        <w:t xml:space="preserve"> </w:t>
      </w:r>
      <w:r w:rsidRPr="00A03B67">
        <w:rPr>
          <w:i/>
          <w:iCs/>
        </w:rPr>
        <w:t>Annual Report 2019</w:t>
      </w:r>
      <w:r w:rsidR="00E54036" w:rsidRPr="00A03B67">
        <w:rPr>
          <w:rFonts w:ascii="Symbol" w:eastAsia="Symbol" w:hAnsi="Symbol" w:cs="Symbol"/>
          <w:i/>
          <w:iCs/>
        </w:rPr>
        <w:t>-</w:t>
      </w:r>
      <w:r w:rsidRPr="00A03B67">
        <w:rPr>
          <w:i/>
          <w:iCs/>
        </w:rPr>
        <w:t>20</w:t>
      </w:r>
      <w:r w:rsidR="00E54036" w:rsidRPr="00A03B67">
        <w:t xml:space="preserve"> (Report, 2020) </w:t>
      </w:r>
      <w:r w:rsidRPr="00A03B67">
        <w:t>62.</w:t>
      </w:r>
    </w:p>
  </w:footnote>
  <w:footnote w:id="765">
    <w:p w14:paraId="3ABCD3F4" w14:textId="0514E32B" w:rsidR="00173F8E" w:rsidRPr="00A03B67" w:rsidRDefault="00173F8E" w:rsidP="00173F8E">
      <w:pPr>
        <w:pStyle w:val="FootnoteText"/>
      </w:pPr>
      <w:r w:rsidRPr="00A03B67">
        <w:rPr>
          <w:rStyle w:val="FootnoteReference"/>
        </w:rPr>
        <w:footnoteRef/>
      </w:r>
      <w:r w:rsidRPr="00A03B67">
        <w:t xml:space="preserve"> </w:t>
      </w:r>
      <w:r w:rsidR="00DA4382" w:rsidRPr="00A03B67">
        <w:rPr>
          <w:i/>
          <w:iCs/>
        </w:rPr>
        <w:t>Suncoast Scaffold Pty Ltd</w:t>
      </w:r>
      <w:r w:rsidR="00DA4382" w:rsidRPr="00A03B67">
        <w:rPr>
          <w:i/>
        </w:rPr>
        <w:t xml:space="preserve"> As Trustee For The Warren Family Trust T/A Suncoast Scaffold Pty Ltd</w:t>
      </w:r>
      <w:r w:rsidR="00DA4382" w:rsidRPr="00A03B67">
        <w:t xml:space="preserve"> </w:t>
      </w:r>
      <w:r w:rsidRPr="00A03B67">
        <w:t xml:space="preserve">[2023] FWCFB </w:t>
      </w:r>
      <w:r w:rsidR="00DA4382" w:rsidRPr="00A03B67">
        <w:t>[</w:t>
      </w:r>
      <w:r w:rsidRPr="00A03B67">
        <w:t>105</w:t>
      </w:r>
      <w:r w:rsidR="00DA4382" w:rsidRPr="00A03B67">
        <w:t>]</w:t>
      </w:r>
      <w:r w:rsidR="00E54036" w:rsidRPr="00A03B67">
        <w:t>.</w:t>
      </w:r>
    </w:p>
  </w:footnote>
  <w:footnote w:id="766">
    <w:p w14:paraId="791C02CA" w14:textId="49A33A52" w:rsidR="00173F8E" w:rsidRPr="00A03B67" w:rsidRDefault="00173F8E" w:rsidP="00173F8E">
      <w:pPr>
        <w:pStyle w:val="FootnoteText"/>
      </w:pPr>
      <w:r w:rsidRPr="00A03B67">
        <w:rPr>
          <w:rStyle w:val="FootnoteReference"/>
        </w:rPr>
        <w:footnoteRef/>
      </w:r>
      <w:r w:rsidR="00DA4382" w:rsidRPr="00A03B67">
        <w:rPr>
          <w:i/>
          <w:iCs/>
        </w:rPr>
        <w:t>Suncoast Scaffold Pty Ltd</w:t>
      </w:r>
      <w:r w:rsidR="00DA4382" w:rsidRPr="00A03B67">
        <w:rPr>
          <w:i/>
        </w:rPr>
        <w:t xml:space="preserve"> As Trustee For The Warren Family Trust T/A Suncoast Scaffold Pty Ltd</w:t>
      </w:r>
      <w:r w:rsidRPr="00A03B67">
        <w:t xml:space="preserve"> [2023] FWCFB 105 [37].</w:t>
      </w:r>
    </w:p>
  </w:footnote>
  <w:footnote w:id="767">
    <w:p w14:paraId="42A406B4" w14:textId="6DF77C2A" w:rsidR="00173F8E" w:rsidRPr="00A03B67" w:rsidRDefault="00173F8E" w:rsidP="00173F8E">
      <w:pPr>
        <w:pStyle w:val="FootnoteText"/>
      </w:pPr>
      <w:r w:rsidRPr="00A03B67">
        <w:rPr>
          <w:rStyle w:val="FootnoteReference"/>
        </w:rPr>
        <w:footnoteRef/>
      </w:r>
      <w:r w:rsidRPr="00A03B67">
        <w:t xml:space="preserve"> </w:t>
      </w:r>
      <w:r w:rsidR="00AD2D88" w:rsidRPr="00A03B67">
        <w:rPr>
          <w:i/>
          <w:iCs/>
        </w:rPr>
        <w:t>Suncoast Scaffold Pty Ltd</w:t>
      </w:r>
      <w:r w:rsidR="00AD2D88" w:rsidRPr="00A03B67">
        <w:rPr>
          <w:i/>
        </w:rPr>
        <w:t xml:space="preserve"> As Trustee For The Warren Family Trust T/A Suncoast Scaffold Pty Ltd</w:t>
      </w:r>
      <w:r w:rsidR="00AD2D88" w:rsidRPr="00A03B67">
        <w:t xml:space="preserve"> </w:t>
      </w:r>
      <w:r w:rsidRPr="00A03B67">
        <w:t>[2023] FWCFB 105 [39](1)</w:t>
      </w:r>
      <w:r w:rsidR="003231B0" w:rsidRPr="00A03B67">
        <w:rPr>
          <w:rFonts w:ascii="Symbol" w:eastAsia="Symbol" w:hAnsi="Symbol" w:cs="Symbol"/>
        </w:rPr>
        <w:t>-</w:t>
      </w:r>
      <w:r w:rsidRPr="00A03B67">
        <w:t>(2).</w:t>
      </w:r>
    </w:p>
  </w:footnote>
  <w:footnote w:id="768">
    <w:p w14:paraId="29A20308" w14:textId="4459C12B" w:rsidR="00173F8E" w:rsidRPr="00A03B67" w:rsidRDefault="00173F8E" w:rsidP="00173F8E">
      <w:pPr>
        <w:pStyle w:val="FootnoteText"/>
      </w:pPr>
      <w:r w:rsidRPr="00A03B67">
        <w:rPr>
          <w:rStyle w:val="FootnoteReference"/>
        </w:rPr>
        <w:footnoteRef/>
      </w:r>
      <w:r w:rsidRPr="00A03B67">
        <w:t xml:space="preserve"> </w:t>
      </w:r>
      <w:r w:rsidR="00AD2D88" w:rsidRPr="00A03B67">
        <w:rPr>
          <w:i/>
          <w:iCs/>
        </w:rPr>
        <w:t>Suncoast Scaffold Pty Ltd</w:t>
      </w:r>
      <w:r w:rsidR="00AD2D88" w:rsidRPr="00A03B67">
        <w:rPr>
          <w:i/>
        </w:rPr>
        <w:t xml:space="preserve"> As Trustee For The Warren Family Trust T/A Suncoast Scaffold Pty Ltd</w:t>
      </w:r>
      <w:r w:rsidR="00AD2D88" w:rsidRPr="00A03B67">
        <w:t xml:space="preserve"> </w:t>
      </w:r>
      <w:r w:rsidRPr="00A03B67">
        <w:t>[2023] FWCFB 105 [39].</w:t>
      </w:r>
    </w:p>
  </w:footnote>
  <w:footnote w:id="769">
    <w:p w14:paraId="475B0300" w14:textId="1DE7DDE5" w:rsidR="00173F8E" w:rsidRPr="00A03B67" w:rsidRDefault="00173F8E" w:rsidP="00173F8E">
      <w:pPr>
        <w:pStyle w:val="FootnoteText"/>
      </w:pPr>
      <w:r w:rsidRPr="00A03B67">
        <w:rPr>
          <w:rStyle w:val="FootnoteReference"/>
        </w:rPr>
        <w:footnoteRef/>
      </w:r>
      <w:r w:rsidRPr="00A03B67">
        <w:t xml:space="preserve"> </w:t>
      </w:r>
      <w:r w:rsidR="00AD2D88" w:rsidRPr="00A03B67">
        <w:rPr>
          <w:i/>
          <w:iCs/>
        </w:rPr>
        <w:t>Suncoast Scaffold Pty Ltd</w:t>
      </w:r>
      <w:r w:rsidR="00AD2D88" w:rsidRPr="00A03B67">
        <w:rPr>
          <w:i/>
        </w:rPr>
        <w:t xml:space="preserve"> As Trustee For The Warren Family Trust T/A Suncoast Scaffold Pty Ltd</w:t>
      </w:r>
      <w:r w:rsidR="00AD2D88" w:rsidRPr="00A03B67">
        <w:t xml:space="preserve"> </w:t>
      </w:r>
      <w:r w:rsidRPr="00A03B67">
        <w:t>[2023] FWCFB 105 [13].</w:t>
      </w:r>
    </w:p>
  </w:footnote>
  <w:footnote w:id="770">
    <w:p w14:paraId="098F0094" w14:textId="7154633E" w:rsidR="00173F8E" w:rsidRPr="00A03B67" w:rsidRDefault="00173F8E" w:rsidP="00173F8E">
      <w:pPr>
        <w:pStyle w:val="FootnoteText"/>
      </w:pPr>
      <w:r w:rsidRPr="00A03B67">
        <w:rPr>
          <w:rStyle w:val="FootnoteReference"/>
        </w:rPr>
        <w:footnoteRef/>
      </w:r>
      <w:r w:rsidRPr="00A03B67">
        <w:t xml:space="preserve"> </w:t>
      </w:r>
      <w:r w:rsidR="00AD2D88" w:rsidRPr="00A03B67">
        <w:rPr>
          <w:i/>
          <w:iCs/>
        </w:rPr>
        <w:t>Suncoast Scaffold Pty Ltd</w:t>
      </w:r>
      <w:r w:rsidR="00AD2D88" w:rsidRPr="00A03B67">
        <w:rPr>
          <w:i/>
        </w:rPr>
        <w:t xml:space="preserve"> As Trustee For The Warren Family Trust T/A Suncoast Scaffold Pty Ltd</w:t>
      </w:r>
      <w:r w:rsidR="00AD2D88" w:rsidRPr="00A03B67">
        <w:t xml:space="preserve"> </w:t>
      </w:r>
      <w:r w:rsidRPr="00A03B67">
        <w:t>[2023] FWCFB 105 [13].</w:t>
      </w:r>
    </w:p>
  </w:footnote>
  <w:footnote w:id="771">
    <w:p w14:paraId="4E15DE9E" w14:textId="5CFE258E" w:rsidR="00173F8E" w:rsidRPr="00A03B67" w:rsidRDefault="00173F8E" w:rsidP="00173F8E">
      <w:pPr>
        <w:pStyle w:val="FootnoteText"/>
      </w:pPr>
      <w:r w:rsidRPr="00A03B67">
        <w:rPr>
          <w:rStyle w:val="FootnoteReference"/>
        </w:rPr>
        <w:footnoteRef/>
      </w:r>
      <w:r w:rsidRPr="00A03B67">
        <w:t xml:space="preserve"> </w:t>
      </w:r>
      <w:r w:rsidR="00AD2D88" w:rsidRPr="00A03B67">
        <w:rPr>
          <w:i/>
          <w:iCs/>
        </w:rPr>
        <w:t>Suncoast Scaffold Pty Ltd</w:t>
      </w:r>
      <w:r w:rsidR="00AD2D88" w:rsidRPr="00A03B67">
        <w:rPr>
          <w:i/>
        </w:rPr>
        <w:t xml:space="preserve"> As Trustee For The Warren Family Trust T/A Suncoast Scaffold Pty Ltd</w:t>
      </w:r>
      <w:r w:rsidR="00AD2D88" w:rsidRPr="00A03B67">
        <w:t xml:space="preserve"> </w:t>
      </w:r>
      <w:r w:rsidRPr="00A03B67">
        <w:t>[2023] FWCFB 105 [13].</w:t>
      </w:r>
    </w:p>
  </w:footnote>
  <w:footnote w:id="772">
    <w:p w14:paraId="380A3DB9" w14:textId="17862699" w:rsidR="00173F8E" w:rsidRPr="00A03B67" w:rsidRDefault="00173F8E" w:rsidP="00173F8E">
      <w:pPr>
        <w:pStyle w:val="FootnoteText"/>
      </w:pPr>
      <w:r w:rsidRPr="00A03B67">
        <w:rPr>
          <w:rStyle w:val="FootnoteReference"/>
        </w:rPr>
        <w:footnoteRef/>
      </w:r>
      <w:r w:rsidRPr="00A03B67">
        <w:t xml:space="preserve"> Ai Group sub</w:t>
      </w:r>
      <w:r w:rsidR="003231B0" w:rsidRPr="00A03B67">
        <w:t>mission</w:t>
      </w:r>
      <w:r w:rsidRPr="00A03B67">
        <w:t>, 10 [36].</w:t>
      </w:r>
    </w:p>
  </w:footnote>
  <w:footnote w:id="773">
    <w:p w14:paraId="7BEEB261" w14:textId="4D595FA2" w:rsidR="00173F8E" w:rsidRPr="00A03B67" w:rsidRDefault="00173F8E" w:rsidP="00173F8E">
      <w:pPr>
        <w:pStyle w:val="FootnoteText"/>
      </w:pPr>
      <w:r w:rsidRPr="00A03B67">
        <w:rPr>
          <w:rStyle w:val="FootnoteReference"/>
        </w:rPr>
        <w:footnoteRef/>
      </w:r>
      <w:r w:rsidRPr="00A03B67">
        <w:t xml:space="preserve"> SDA sub</w:t>
      </w:r>
      <w:r w:rsidR="003231B0" w:rsidRPr="00A03B67">
        <w:t>mission</w:t>
      </w:r>
      <w:r w:rsidRPr="00A03B67">
        <w:t>, 6</w:t>
      </w:r>
    </w:p>
  </w:footnote>
  <w:footnote w:id="774">
    <w:p w14:paraId="0F3E1AB8" w14:textId="2540AD52" w:rsidR="00173F8E" w:rsidRPr="00A03B67" w:rsidRDefault="00173F8E" w:rsidP="00173F8E">
      <w:pPr>
        <w:pStyle w:val="FootnoteText"/>
      </w:pPr>
      <w:r w:rsidRPr="00A03B67">
        <w:rPr>
          <w:rStyle w:val="FootnoteReference"/>
        </w:rPr>
        <w:footnoteRef/>
      </w:r>
      <w:r w:rsidRPr="00A03B67">
        <w:t xml:space="preserve"> ANMF sub</w:t>
      </w:r>
      <w:r w:rsidR="003231B0" w:rsidRPr="00A03B67">
        <w:t>mission</w:t>
      </w:r>
      <w:r w:rsidRPr="00A03B67">
        <w:t>, 9 [23].</w:t>
      </w:r>
    </w:p>
  </w:footnote>
  <w:footnote w:id="775">
    <w:p w14:paraId="5C93B279" w14:textId="3DC64305" w:rsidR="00173F8E" w:rsidRPr="00A03B67" w:rsidRDefault="00173F8E" w:rsidP="00173F8E">
      <w:pPr>
        <w:pStyle w:val="FootnoteText"/>
      </w:pPr>
      <w:r w:rsidRPr="00A03B67">
        <w:rPr>
          <w:rStyle w:val="FootnoteReference"/>
        </w:rPr>
        <w:footnoteRef/>
      </w:r>
      <w:r w:rsidRPr="00A03B67">
        <w:t xml:space="preserve"> ACTU sub</w:t>
      </w:r>
      <w:r w:rsidR="003231B0" w:rsidRPr="00A03B67">
        <w:t>mission</w:t>
      </w:r>
      <w:r w:rsidRPr="00A03B67">
        <w:t>, 76.</w:t>
      </w:r>
    </w:p>
  </w:footnote>
  <w:footnote w:id="776">
    <w:p w14:paraId="2932BD8D" w14:textId="2D64F501" w:rsidR="00173F8E" w:rsidRPr="00A03B67" w:rsidRDefault="00173F8E" w:rsidP="00173F8E">
      <w:pPr>
        <w:pStyle w:val="FootnoteText"/>
      </w:pPr>
      <w:r w:rsidRPr="00A03B67">
        <w:rPr>
          <w:rStyle w:val="FootnoteReference"/>
        </w:rPr>
        <w:footnoteRef/>
      </w:r>
      <w:r w:rsidRPr="00A03B67">
        <w:t xml:space="preserve"> MGA sub</w:t>
      </w:r>
      <w:r w:rsidR="003231B0" w:rsidRPr="00A03B67">
        <w:t>mission</w:t>
      </w:r>
      <w:r w:rsidRPr="00A03B67">
        <w:t>, 7 [13].</w:t>
      </w:r>
    </w:p>
  </w:footnote>
  <w:footnote w:id="777">
    <w:p w14:paraId="1A9E8BCA" w14:textId="260D7B4B" w:rsidR="00173F8E" w:rsidRPr="00A03B67" w:rsidRDefault="00173F8E" w:rsidP="00173F8E">
      <w:pPr>
        <w:pStyle w:val="FootnoteText"/>
      </w:pPr>
      <w:r w:rsidRPr="00A03B67">
        <w:rPr>
          <w:rStyle w:val="FootnoteReference"/>
        </w:rPr>
        <w:footnoteRef/>
      </w:r>
      <w:r w:rsidRPr="00A03B67">
        <w:t xml:space="preserve"> MGA sub</w:t>
      </w:r>
      <w:r w:rsidR="003231B0" w:rsidRPr="00A03B67">
        <w:t>mission</w:t>
      </w:r>
      <w:r w:rsidRPr="00A03B67">
        <w:t>, 7 [16].</w:t>
      </w:r>
    </w:p>
  </w:footnote>
  <w:footnote w:id="778">
    <w:p w14:paraId="4F657563" w14:textId="7646B6EE" w:rsidR="00173F8E" w:rsidRPr="00A03B67" w:rsidRDefault="00173F8E" w:rsidP="00173F8E">
      <w:pPr>
        <w:pStyle w:val="FootnoteText"/>
      </w:pPr>
      <w:r w:rsidRPr="00A03B67">
        <w:rPr>
          <w:rStyle w:val="FootnoteReference"/>
        </w:rPr>
        <w:footnoteRef/>
      </w:r>
      <w:r w:rsidRPr="00A03B67">
        <w:t xml:space="preserve"> UWU submission, 27</w:t>
      </w:r>
      <w:r w:rsidR="003231B0" w:rsidRPr="00A03B67">
        <w:t>.</w:t>
      </w:r>
    </w:p>
  </w:footnote>
  <w:footnote w:id="779">
    <w:p w14:paraId="025528DE" w14:textId="11E4B7E2" w:rsidR="00173F8E" w:rsidRPr="00A03B67" w:rsidRDefault="00173F8E" w:rsidP="00173F8E">
      <w:pPr>
        <w:pStyle w:val="FootnoteText"/>
      </w:pPr>
      <w:r w:rsidRPr="00A03B67">
        <w:rPr>
          <w:rStyle w:val="FootnoteReference"/>
        </w:rPr>
        <w:footnoteRef/>
      </w:r>
      <w:r w:rsidRPr="00A03B67">
        <w:t xml:space="preserve"> SDA submission, 6</w:t>
      </w:r>
      <w:r w:rsidR="003231B0" w:rsidRPr="00A03B67">
        <w:t>.</w:t>
      </w:r>
    </w:p>
  </w:footnote>
  <w:footnote w:id="780">
    <w:p w14:paraId="180D6E38" w14:textId="5D343E30" w:rsidR="00173F8E" w:rsidRPr="00A03B67" w:rsidRDefault="00173F8E" w:rsidP="00173F8E">
      <w:pPr>
        <w:pStyle w:val="FootnoteText"/>
      </w:pPr>
      <w:r w:rsidRPr="00A03B67">
        <w:rPr>
          <w:rStyle w:val="FootnoteReference"/>
        </w:rPr>
        <w:footnoteRef/>
      </w:r>
      <w:r w:rsidRPr="00A03B67">
        <w:t xml:space="preserve"> SDA sub</w:t>
      </w:r>
      <w:r w:rsidR="003231B0" w:rsidRPr="00A03B67">
        <w:t>mission</w:t>
      </w:r>
      <w:r w:rsidRPr="00A03B67">
        <w:t>, 6.</w:t>
      </w:r>
    </w:p>
  </w:footnote>
  <w:footnote w:id="781">
    <w:p w14:paraId="564A1C35" w14:textId="6690FD8D" w:rsidR="00173F8E" w:rsidRPr="00A03B67" w:rsidRDefault="00173F8E" w:rsidP="00173F8E">
      <w:pPr>
        <w:pStyle w:val="FootnoteText"/>
      </w:pPr>
      <w:r w:rsidRPr="00A03B67">
        <w:rPr>
          <w:rStyle w:val="FootnoteReference"/>
        </w:rPr>
        <w:footnoteRef/>
      </w:r>
      <w:r w:rsidRPr="00A03B67">
        <w:t xml:space="preserve"> </w:t>
      </w:r>
      <w:r w:rsidR="003231B0" w:rsidRPr="00A03B67">
        <w:t xml:space="preserve">Department of Employment and Workplace Relations, </w:t>
      </w:r>
      <w:r w:rsidR="003231B0" w:rsidRPr="00A03B67">
        <w:rPr>
          <w:i/>
          <w:iCs/>
        </w:rPr>
        <w:t>Trends in Federal Enterprise Bargaining: June Quarter, 2024</w:t>
      </w:r>
      <w:r w:rsidR="003231B0" w:rsidRPr="00A03B67">
        <w:t xml:space="preserve"> (Report, 2024) </w:t>
      </w:r>
      <w:r w:rsidRPr="00A03B67">
        <w:t>12</w:t>
      </w:r>
      <w:r w:rsidR="003231B0" w:rsidRPr="00A03B67">
        <w:t xml:space="preserve"> &lt;https://www.dewr.gov.au/download/16480/trends-federal-enterprise-bargaining-june-quarter-2024/38128/trends-federal-enterprise-bargaining-june-quarter-2024/pdf&gt;.</w:t>
      </w:r>
    </w:p>
  </w:footnote>
  <w:footnote w:id="782">
    <w:p w14:paraId="33A4581D" w14:textId="79ADCAAC" w:rsidR="00B23A5F" w:rsidRPr="00B23A5F" w:rsidRDefault="00B23A5F">
      <w:pPr>
        <w:pStyle w:val="FootnoteText"/>
        <w:rPr>
          <w:lang w:val="en-US"/>
        </w:rPr>
      </w:pPr>
      <w:r>
        <w:rPr>
          <w:rStyle w:val="FootnoteReference"/>
        </w:rPr>
        <w:footnoteRef/>
      </w:r>
      <w:r>
        <w:t xml:space="preserve"> </w:t>
      </w:r>
      <w:r w:rsidR="00B73AA9">
        <w:rPr>
          <w:lang w:val="en-US"/>
        </w:rPr>
        <w:t>See, also, Appendix 9 – The FWC and pay equity - for more detailed discussion.</w:t>
      </w:r>
    </w:p>
  </w:footnote>
  <w:footnote w:id="783">
    <w:p w14:paraId="2D89E524" w14:textId="0C38FC7A" w:rsidR="00FA3284" w:rsidRPr="00A03B67" w:rsidRDefault="00FA3284" w:rsidP="00FA3284">
      <w:pPr>
        <w:pStyle w:val="FootnoteText"/>
      </w:pPr>
      <w:r w:rsidRPr="00A03B67">
        <w:rPr>
          <w:rStyle w:val="FootnoteReference"/>
          <w:rFonts w:ascii="Calibri" w:hAnsi="Calibri" w:cs="Calibri"/>
        </w:rPr>
        <w:footnoteRef/>
      </w:r>
      <w:r w:rsidRPr="00A03B67">
        <w:rPr>
          <w:rFonts w:ascii="Calibri" w:hAnsi="Calibri" w:cs="Calibri"/>
        </w:rPr>
        <w:t xml:space="preserve"> </w:t>
      </w:r>
      <w:r w:rsidRPr="00A03B67">
        <w:t>For further discussion see B</w:t>
      </w:r>
      <w:r w:rsidR="008E4D0D" w:rsidRPr="00A03B67">
        <w:t xml:space="preserve"> </w:t>
      </w:r>
      <w:r w:rsidRPr="00A03B67">
        <w:t>Ellem, CF</w:t>
      </w:r>
      <w:r w:rsidR="008E4D0D" w:rsidRPr="00A03B67">
        <w:t xml:space="preserve"> </w:t>
      </w:r>
      <w:r w:rsidRPr="00A03B67">
        <w:t>Wright, S</w:t>
      </w:r>
      <w:r w:rsidR="008E4D0D" w:rsidRPr="00A03B67">
        <w:t xml:space="preserve"> </w:t>
      </w:r>
      <w:r w:rsidRPr="00A03B67">
        <w:t>Clibborn, R</w:t>
      </w:r>
      <w:r w:rsidR="008E4D0D" w:rsidRPr="00A03B67">
        <w:t xml:space="preserve"> </w:t>
      </w:r>
      <w:r w:rsidRPr="00A03B67">
        <w:t>Cooper, F</w:t>
      </w:r>
      <w:r w:rsidR="008E4D0D" w:rsidRPr="00A03B67">
        <w:t xml:space="preserve"> </w:t>
      </w:r>
      <w:r w:rsidRPr="00A03B67">
        <w:t>Flanagan and A</w:t>
      </w:r>
      <w:r w:rsidR="008E4D0D" w:rsidRPr="00A03B67">
        <w:t xml:space="preserve"> </w:t>
      </w:r>
      <w:r w:rsidRPr="00A03B67">
        <w:t>Veen</w:t>
      </w:r>
      <w:r w:rsidR="008E4D0D" w:rsidRPr="00A03B67">
        <w:t>,</w:t>
      </w:r>
      <w:r w:rsidRPr="00A03B67">
        <w:t xml:space="preserve"> Work and Industrial Relations Policy in Australia (forthcoming</w:t>
      </w:r>
      <w:r w:rsidR="008E4D0D" w:rsidRPr="00A03B67">
        <w:t>,</w:t>
      </w:r>
      <w:r w:rsidRPr="00A03B67">
        <w:t xml:space="preserve"> </w:t>
      </w:r>
      <w:r w:rsidR="008E4D0D" w:rsidRPr="00A03B67">
        <w:t xml:space="preserve">Bristol University Press, </w:t>
      </w:r>
      <w:r w:rsidRPr="00A03B67">
        <w:t xml:space="preserve">2025) </w:t>
      </w:r>
      <w:r w:rsidR="008E4D0D" w:rsidRPr="00A03B67">
        <w:t>Ch 6.</w:t>
      </w:r>
    </w:p>
  </w:footnote>
  <w:footnote w:id="784">
    <w:p w14:paraId="214AAE0E" w14:textId="77777777" w:rsidR="00EA70E7" w:rsidRPr="00A03B67" w:rsidRDefault="00EA70E7" w:rsidP="00EA70E7">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The male basic wage was initially determined in </w:t>
      </w:r>
      <w:r w:rsidRPr="00A03B67">
        <w:rPr>
          <w:rFonts w:ascii="Calibri" w:hAnsi="Calibri" w:cs="Calibri"/>
          <w:i/>
          <w:iCs/>
          <w:lang w:val="en-US"/>
        </w:rPr>
        <w:t>Ex parte HV McKay</w:t>
      </w:r>
      <w:r w:rsidRPr="00A03B67">
        <w:rPr>
          <w:rFonts w:ascii="Calibri" w:hAnsi="Calibri" w:cs="Calibri"/>
          <w:lang w:val="en-US"/>
        </w:rPr>
        <w:t xml:space="preserve"> (1907) 2 CAR 1 (</w:t>
      </w:r>
      <w:r w:rsidRPr="00A03B67">
        <w:rPr>
          <w:rFonts w:ascii="Calibri" w:hAnsi="Calibri" w:cs="Calibri"/>
          <w:i/>
          <w:iCs/>
          <w:lang w:val="en-US"/>
        </w:rPr>
        <w:t>Harvester case</w:t>
      </w:r>
      <w:r w:rsidRPr="00A03B67">
        <w:rPr>
          <w:rFonts w:ascii="Calibri" w:hAnsi="Calibri" w:cs="Calibri"/>
          <w:lang w:val="en-US"/>
        </w:rPr>
        <w:t xml:space="preserve">) and was set at 70% of the skilled wage. In 1917 the court heard the case for the female basic wage and set it at 54% of the male basic wage. The rate was subsequently increased to 75% during World War II. For an overview of this early history of wage fixing in Australia, see A Preston, </w:t>
      </w:r>
      <w:r w:rsidRPr="00A03B67">
        <w:rPr>
          <w:rFonts w:ascii="Calibri" w:hAnsi="Calibri" w:cs="Calibri"/>
          <w:i/>
          <w:iCs/>
          <w:lang w:val="en-US"/>
        </w:rPr>
        <w:t>The Structure and Determinants of Wage Relativities: Evidence from Australia</w:t>
      </w:r>
      <w:r w:rsidRPr="00A03B67">
        <w:rPr>
          <w:rFonts w:ascii="Calibri" w:hAnsi="Calibri" w:cs="Calibri"/>
          <w:lang w:val="en-US"/>
        </w:rPr>
        <w:t xml:space="preserve"> (Ashgate Publishing, 2001) Ch 3, 36</w:t>
      </w:r>
      <w:r w:rsidRPr="00A03B67">
        <w:rPr>
          <w:rFonts w:ascii="Symbol" w:eastAsia="Symbol" w:hAnsi="Symbol" w:cs="Symbol"/>
          <w:lang w:val="en-US"/>
        </w:rPr>
        <w:t>-</w:t>
      </w:r>
      <w:r w:rsidRPr="00A03B67">
        <w:rPr>
          <w:rFonts w:ascii="Calibri" w:hAnsi="Calibri" w:cs="Calibri"/>
          <w:lang w:val="en-US"/>
        </w:rPr>
        <w:t>90.</w:t>
      </w:r>
    </w:p>
  </w:footnote>
  <w:footnote w:id="785">
    <w:p w14:paraId="29F5D824" w14:textId="77777777" w:rsidR="00EA70E7" w:rsidRPr="00164F52" w:rsidRDefault="00EA70E7" w:rsidP="00EA70E7">
      <w:pPr>
        <w:pStyle w:val="FootnoteText"/>
        <w:rPr>
          <w:lang w:val="en-US"/>
        </w:rPr>
      </w:pPr>
      <w:r>
        <w:rPr>
          <w:rStyle w:val="FootnoteReference"/>
        </w:rPr>
        <w:footnoteRef/>
      </w:r>
      <w:r>
        <w:t xml:space="preserve"> S</w:t>
      </w:r>
      <w:r w:rsidRPr="00A03B67">
        <w:t>ee also &lt;</w:t>
      </w:r>
      <w:r w:rsidRPr="00E46773">
        <w:t xml:space="preserve"> https://www.fwc.gov.au/documents/resources/history-of-australian-minimum-wage.pdf</w:t>
      </w:r>
      <w:r>
        <w:t>&gt;</w:t>
      </w:r>
      <w:r w:rsidRPr="00A03B67">
        <w:t>.</w:t>
      </w:r>
    </w:p>
  </w:footnote>
  <w:footnote w:id="786">
    <w:p w14:paraId="0EF30C36" w14:textId="410BE4DD" w:rsidR="00FA3284" w:rsidRPr="00A03B67" w:rsidRDefault="00FA3284" w:rsidP="00FA3284">
      <w:pPr>
        <w:pStyle w:val="FootnoteText"/>
        <w:rPr>
          <w:lang w:val="en-US"/>
        </w:rPr>
      </w:pPr>
      <w:r w:rsidRPr="00A03B67">
        <w:rPr>
          <w:rStyle w:val="FootnoteReference"/>
        </w:rPr>
        <w:footnoteRef/>
      </w:r>
      <w:r w:rsidRPr="00A03B67">
        <w:t xml:space="preserve"> See also S Williamson, J Parker, N Donnelly, M Gavin and S Ressia, </w:t>
      </w:r>
      <w:r w:rsidRPr="00A03B67">
        <w:rPr>
          <w:i/>
          <w:iCs/>
        </w:rPr>
        <w:t>Gender, Work and Employment Relations</w:t>
      </w:r>
      <w:r w:rsidRPr="00A03B67">
        <w:t>, (forthcoming</w:t>
      </w:r>
      <w:r w:rsidR="008E4D0D" w:rsidRPr="00A03B67">
        <w:t>, Edward Elgar Publishing,</w:t>
      </w:r>
      <w:r w:rsidRPr="00A03B67">
        <w:t xml:space="preserve"> 2025). </w:t>
      </w:r>
    </w:p>
  </w:footnote>
  <w:footnote w:id="787">
    <w:p w14:paraId="606F5253" w14:textId="416A2E61" w:rsidR="008A2388" w:rsidRPr="00A03B67" w:rsidRDefault="008A2388" w:rsidP="008A2388">
      <w:pPr>
        <w:pStyle w:val="FootnoteText"/>
        <w:rPr>
          <w:lang w:val="en-US"/>
        </w:rPr>
      </w:pPr>
      <w:r w:rsidRPr="00A03B67">
        <w:rPr>
          <w:rStyle w:val="FootnoteReference"/>
        </w:rPr>
        <w:footnoteRef/>
      </w:r>
      <w:r w:rsidRPr="00A03B67">
        <w:t xml:space="preserve"> </w:t>
      </w:r>
      <w:r w:rsidRPr="00A03B67">
        <w:rPr>
          <w:lang w:val="en-US"/>
        </w:rPr>
        <w:t xml:space="preserve">The labour force participation (LFP) rate is measured as the number employed and unemployed as a share of the total resident civilian population (i.e. it excludes members of the permanent </w:t>
      </w:r>
      <w:r w:rsidR="008E4D0D" w:rsidRPr="00A03B67">
        <w:rPr>
          <w:lang w:val="en-US"/>
        </w:rPr>
        <w:t>d</w:t>
      </w:r>
      <w:r w:rsidRPr="00A03B67">
        <w:rPr>
          <w:lang w:val="en-US"/>
        </w:rPr>
        <w:t>efence forces) aged 15 and over. For any group the LFP is expressed as a percentage of the civilian population for the same group.</w:t>
      </w:r>
    </w:p>
  </w:footnote>
  <w:footnote w:id="788">
    <w:p w14:paraId="29B61CFC" w14:textId="218205D3" w:rsidR="008A2388" w:rsidRPr="00A03B67" w:rsidRDefault="008A2388" w:rsidP="008A2388">
      <w:pPr>
        <w:pStyle w:val="FootnoteText"/>
        <w:rPr>
          <w:lang w:val="en-US"/>
        </w:rPr>
      </w:pPr>
      <w:r w:rsidRPr="00A03B67">
        <w:rPr>
          <w:rStyle w:val="FootnoteReference"/>
        </w:rPr>
        <w:footnoteRef/>
      </w:r>
      <w:r w:rsidRPr="00A03B67">
        <w:t xml:space="preserve"> </w:t>
      </w:r>
      <w:r w:rsidRPr="00A03B67">
        <w:rPr>
          <w:lang w:val="en-US"/>
        </w:rPr>
        <w:t xml:space="preserve">Table 1 in the Statistical Appendix 1 to this report presents key labour market indicators (including full-time and part-time employment as well as LFP) for November 2022 (just before the </w:t>
      </w:r>
      <w:r w:rsidR="008E4D0D" w:rsidRPr="00A03B67">
        <w:rPr>
          <w:lang w:val="en-US"/>
        </w:rPr>
        <w:t xml:space="preserve">Secure Jobs, Better Pay </w:t>
      </w:r>
      <w:r w:rsidRPr="00A03B67">
        <w:rPr>
          <w:lang w:val="en-US"/>
        </w:rPr>
        <w:t xml:space="preserve">Act was passed) and November 2024 (the most recent available data at the time of writing). </w:t>
      </w:r>
    </w:p>
  </w:footnote>
  <w:footnote w:id="789">
    <w:p w14:paraId="436F96F3" w14:textId="14263590" w:rsidR="00C4277B" w:rsidRPr="00A03B67" w:rsidRDefault="00C4277B" w:rsidP="00C4277B">
      <w:pPr>
        <w:pStyle w:val="FootnoteText"/>
        <w:rPr>
          <w:lang w:val="en-US"/>
        </w:rPr>
      </w:pPr>
      <w:r w:rsidRPr="00A03B67">
        <w:rPr>
          <w:rStyle w:val="FootnoteReference"/>
        </w:rPr>
        <w:footnoteRef/>
      </w:r>
      <w:r w:rsidRPr="00A03B67">
        <w:t xml:space="preserve"> </w:t>
      </w:r>
      <w:r w:rsidRPr="00A03B67">
        <w:rPr>
          <w:lang w:val="en-US"/>
        </w:rPr>
        <w:t xml:space="preserve">As previously noted, the definition of </w:t>
      </w:r>
      <w:r w:rsidR="008E4D0D" w:rsidRPr="00A03B67">
        <w:rPr>
          <w:lang w:val="en-US"/>
        </w:rPr>
        <w:t>‘</w:t>
      </w:r>
      <w:r w:rsidRPr="00A03B67">
        <w:rPr>
          <w:lang w:val="en-US"/>
        </w:rPr>
        <w:t>casual</w:t>
      </w:r>
      <w:r w:rsidR="008E4D0D" w:rsidRPr="00A03B67">
        <w:rPr>
          <w:lang w:val="en-US"/>
        </w:rPr>
        <w:t>’</w:t>
      </w:r>
      <w:r w:rsidRPr="00A03B67">
        <w:rPr>
          <w:lang w:val="en-US"/>
        </w:rPr>
        <w:t xml:space="preserve"> applied here follows the </w:t>
      </w:r>
      <w:r w:rsidR="008E4D0D" w:rsidRPr="00A03B67">
        <w:rPr>
          <w:lang w:val="en-US"/>
        </w:rPr>
        <w:t>Australian Bureau of Statistics</w:t>
      </w:r>
      <w:r w:rsidRPr="00A03B67">
        <w:rPr>
          <w:lang w:val="en-US"/>
        </w:rPr>
        <w:t xml:space="preserve">. A person is defined as casual if they </w:t>
      </w:r>
      <w:r w:rsidRPr="00A03B67">
        <w:rPr>
          <w:i/>
          <w:iCs/>
          <w:lang w:val="en-US"/>
        </w:rPr>
        <w:t>do not</w:t>
      </w:r>
      <w:r w:rsidRPr="00A03B67">
        <w:rPr>
          <w:lang w:val="en-US"/>
        </w:rPr>
        <w:t xml:space="preserve"> have paid leave entitlements.</w:t>
      </w:r>
    </w:p>
  </w:footnote>
  <w:footnote w:id="790">
    <w:p w14:paraId="2AFEB18F" w14:textId="675B6359" w:rsidR="00C4277B" w:rsidRPr="00A03B67" w:rsidRDefault="00C4277B" w:rsidP="00C4277B">
      <w:pPr>
        <w:pStyle w:val="FootnoteText"/>
        <w:rPr>
          <w:lang w:val="en-US"/>
        </w:rPr>
      </w:pPr>
      <w:r w:rsidRPr="00A03B67">
        <w:rPr>
          <w:rStyle w:val="FootnoteReference"/>
        </w:rPr>
        <w:footnoteRef/>
      </w:r>
      <w:r w:rsidRPr="00A03B67">
        <w:t xml:space="preserve"> </w:t>
      </w:r>
      <w:r w:rsidRPr="00A03B67">
        <w:rPr>
          <w:lang w:val="en-US"/>
        </w:rPr>
        <w:t xml:space="preserve">Cited in the </w:t>
      </w:r>
      <w:r w:rsidR="00E6421D" w:rsidRPr="00A03B67">
        <w:t xml:space="preserve">Fair Work Commission, </w:t>
      </w:r>
      <w:r w:rsidR="00E6421D" w:rsidRPr="00A03B67">
        <w:rPr>
          <w:i/>
          <w:iCs/>
        </w:rPr>
        <w:t>Modern Awards Review 2023</w:t>
      </w:r>
      <w:r w:rsidR="00E6421D" w:rsidRPr="00A03B67">
        <w:rPr>
          <w:rFonts w:ascii="Symbol" w:eastAsia="Symbol" w:hAnsi="Symbol" w:cs="Symbol"/>
          <w:i/>
          <w:iCs/>
        </w:rPr>
        <w:t>-</w:t>
      </w:r>
      <w:r w:rsidR="00E6421D" w:rsidRPr="00A03B67">
        <w:rPr>
          <w:i/>
          <w:iCs/>
        </w:rPr>
        <w:t>24</w:t>
      </w:r>
      <w:r w:rsidR="00E6421D" w:rsidRPr="00A03B67">
        <w:t xml:space="preserve"> (Report, 2024) </w:t>
      </w:r>
      <w:r w:rsidRPr="00A03B67">
        <w:rPr>
          <w:lang w:val="en-US"/>
        </w:rPr>
        <w:t>[49].</w:t>
      </w:r>
    </w:p>
  </w:footnote>
  <w:footnote w:id="791">
    <w:p w14:paraId="07EE8728" w14:textId="722CEC76" w:rsidR="00C4277B" w:rsidRPr="00A03B67" w:rsidRDefault="00C4277B" w:rsidP="00C4277B">
      <w:pPr>
        <w:pStyle w:val="FootnoteText"/>
      </w:pPr>
      <w:r w:rsidRPr="00A03B67">
        <w:rPr>
          <w:rStyle w:val="FootnoteReference"/>
        </w:rPr>
        <w:footnoteRef/>
      </w:r>
      <w:r w:rsidRPr="00A03B67">
        <w:t xml:space="preserve"> The </w:t>
      </w:r>
      <w:r w:rsidR="00D933C2" w:rsidRPr="00A03B67">
        <w:t xml:space="preserve">Fair Work Commission </w:t>
      </w:r>
      <w:r w:rsidRPr="00A03B67">
        <w:rPr>
          <w:i/>
          <w:iCs/>
        </w:rPr>
        <w:t>Discussion Pape</w:t>
      </w:r>
      <w:r w:rsidR="00D933C2" w:rsidRPr="00A03B67">
        <w:rPr>
          <w:i/>
          <w:iCs/>
        </w:rPr>
        <w:t>r:</w:t>
      </w:r>
      <w:r w:rsidRPr="00A03B67">
        <w:rPr>
          <w:i/>
          <w:iCs/>
        </w:rPr>
        <w:t xml:space="preserve"> </w:t>
      </w:r>
      <w:r w:rsidR="00D933C2" w:rsidRPr="00A03B67">
        <w:rPr>
          <w:i/>
          <w:iCs/>
        </w:rPr>
        <w:t>J</w:t>
      </w:r>
      <w:r w:rsidRPr="00A03B67">
        <w:rPr>
          <w:i/>
          <w:iCs/>
        </w:rPr>
        <w:t xml:space="preserve">ob </w:t>
      </w:r>
      <w:r w:rsidR="00D933C2" w:rsidRPr="00A03B67">
        <w:rPr>
          <w:i/>
          <w:iCs/>
        </w:rPr>
        <w:t>S</w:t>
      </w:r>
      <w:r w:rsidRPr="00A03B67">
        <w:rPr>
          <w:i/>
          <w:iCs/>
        </w:rPr>
        <w:t>ecurity</w:t>
      </w:r>
      <w:r w:rsidRPr="00A03B67">
        <w:t xml:space="preserve"> was released </w:t>
      </w:r>
      <w:r w:rsidR="00D933C2" w:rsidRPr="00A03B67">
        <w:t xml:space="preserve">on </w:t>
      </w:r>
      <w:r w:rsidRPr="00A03B67">
        <w:t xml:space="preserve">18 December 2023. </w:t>
      </w:r>
      <w:r w:rsidR="00D933C2" w:rsidRPr="00A03B67">
        <w:t>&lt;</w:t>
      </w:r>
      <w:r w:rsidRPr="00A03B67">
        <w:t>https://www.fwc.gov.au/documents/sites/award-review-2023-24/am202321-discussion-paper-job-security-181223.pdf</w:t>
      </w:r>
      <w:r w:rsidR="00D933C2" w:rsidRPr="00A03B67">
        <w:t>&gt;.</w:t>
      </w:r>
    </w:p>
  </w:footnote>
  <w:footnote w:id="792">
    <w:p w14:paraId="18159DE3" w14:textId="1561345C" w:rsidR="00671C88" w:rsidRPr="00A03B67" w:rsidRDefault="00671C88" w:rsidP="00671C88">
      <w:pPr>
        <w:pStyle w:val="FootnoteText"/>
      </w:pPr>
      <w:r w:rsidRPr="00A03B67">
        <w:rPr>
          <w:rStyle w:val="FootnoteReference"/>
        </w:rPr>
        <w:footnoteRef/>
      </w:r>
      <w:r w:rsidR="00D933C2" w:rsidRPr="00A03B67">
        <w:t xml:space="preserve"> Fair Work Commission, </w:t>
      </w:r>
      <w:r w:rsidR="00D933C2" w:rsidRPr="00A03B67">
        <w:rPr>
          <w:i/>
          <w:iCs/>
        </w:rPr>
        <w:t>Modern Awards Review 2023</w:t>
      </w:r>
      <w:r w:rsidR="00D933C2" w:rsidRPr="00A03B67">
        <w:rPr>
          <w:rFonts w:ascii="Symbol" w:eastAsia="Symbol" w:hAnsi="Symbol" w:cs="Symbol"/>
          <w:i/>
          <w:iCs/>
        </w:rPr>
        <w:t>-</w:t>
      </w:r>
      <w:r w:rsidR="00D933C2" w:rsidRPr="00A03B67">
        <w:rPr>
          <w:i/>
          <w:iCs/>
        </w:rPr>
        <w:t>24</w:t>
      </w:r>
      <w:r w:rsidR="00D933C2" w:rsidRPr="00A03B67">
        <w:t xml:space="preserve"> (Report, 2024) [51] &lt;https://www.fwc.gov.au/documents/sites/award-review-2023-24/am202321-review-report-180724.pdf&gt;.</w:t>
      </w:r>
      <w:r w:rsidRPr="00A03B67">
        <w:t xml:space="preserve"> </w:t>
      </w:r>
    </w:p>
  </w:footnote>
  <w:footnote w:id="793">
    <w:p w14:paraId="42A73960" w14:textId="31DB8E93" w:rsidR="00C4277B" w:rsidRPr="00A03B67" w:rsidRDefault="00C4277B" w:rsidP="00C4277B">
      <w:pPr>
        <w:pStyle w:val="FootnoteText"/>
        <w:rPr>
          <w:lang w:val="en-US"/>
        </w:rPr>
      </w:pPr>
      <w:r w:rsidRPr="00A03B67">
        <w:rPr>
          <w:rStyle w:val="FootnoteReference"/>
        </w:rPr>
        <w:footnoteRef/>
      </w:r>
      <w:r w:rsidRPr="00A03B67">
        <w:t xml:space="preserve"> </w:t>
      </w:r>
      <w:r w:rsidRPr="00A03B67">
        <w:rPr>
          <w:lang w:val="en-US"/>
        </w:rPr>
        <w:t>See</w:t>
      </w:r>
      <w:r w:rsidR="00D933C2" w:rsidRPr="00A03B67">
        <w:rPr>
          <w:lang w:val="en-US"/>
        </w:rPr>
        <w:t xml:space="preserve"> Australian Bureau of Statistics, </w:t>
      </w:r>
      <w:r w:rsidR="00D933C2" w:rsidRPr="00A03B67">
        <w:rPr>
          <w:i/>
          <w:iCs/>
          <w:lang w:val="en-US"/>
        </w:rPr>
        <w:t>Working Arrangements</w:t>
      </w:r>
      <w:r w:rsidR="00D933C2" w:rsidRPr="00A03B67">
        <w:rPr>
          <w:lang w:val="en-US"/>
        </w:rPr>
        <w:t xml:space="preserve"> (Web Page, August 2024) &lt;</w:t>
      </w:r>
      <w:r w:rsidRPr="00A03B67">
        <w:rPr>
          <w:lang w:val="en-US"/>
        </w:rPr>
        <w:t>https://www.abs.gov.au/statistics/labour/earnings-and-working-conditions/working-arrangements/aug-2024</w:t>
      </w:r>
      <w:r w:rsidR="00D933C2" w:rsidRPr="00A03B67">
        <w:rPr>
          <w:lang w:val="en-US"/>
        </w:rPr>
        <w:t>&gt;.</w:t>
      </w:r>
    </w:p>
  </w:footnote>
  <w:footnote w:id="794">
    <w:p w14:paraId="7C9361B5" w14:textId="11A89278" w:rsidR="00392CF2" w:rsidRPr="00A03B67" w:rsidRDefault="00392CF2">
      <w:pPr>
        <w:pStyle w:val="FootnoteText"/>
      </w:pPr>
      <w:r w:rsidRPr="00A03B67">
        <w:rPr>
          <w:rStyle w:val="FootnoteReference"/>
        </w:rPr>
        <w:footnoteRef/>
      </w:r>
      <w:r w:rsidR="00D933C2" w:rsidRPr="00A03B67">
        <w:t xml:space="preserve"> Senate Select Committee on Job Security, Parliament of Australia, </w:t>
      </w:r>
      <w:r w:rsidR="00D933C2" w:rsidRPr="00A03B67">
        <w:rPr>
          <w:i/>
          <w:iCs/>
        </w:rPr>
        <w:t>Final Report: Matter of Possible Privilege</w:t>
      </w:r>
      <w:r w:rsidR="00D933C2" w:rsidRPr="00A03B67">
        <w:t xml:space="preserve"> (Report, 2022) Chair’s foreword</w:t>
      </w:r>
      <w:r w:rsidR="00E95868" w:rsidRPr="00A03B67">
        <w:t xml:space="preserve">, </w:t>
      </w:r>
      <w:r w:rsidR="00AA00F2" w:rsidRPr="00A03B67">
        <w:t>xiv</w:t>
      </w:r>
      <w:r w:rsidR="0006154D" w:rsidRPr="00A03B67">
        <w:t>.</w:t>
      </w:r>
    </w:p>
  </w:footnote>
  <w:footnote w:id="795">
    <w:p w14:paraId="1B18C8FD" w14:textId="07656019" w:rsidR="00B148F4" w:rsidRPr="00A03B67" w:rsidRDefault="00B148F4" w:rsidP="00B148F4">
      <w:pPr>
        <w:pStyle w:val="FootnoteText"/>
      </w:pPr>
      <w:r w:rsidRPr="00A03B67">
        <w:rPr>
          <w:rStyle w:val="FootnoteReference"/>
        </w:rPr>
        <w:footnoteRef/>
      </w:r>
      <w:r w:rsidRPr="00A03B67">
        <w:t xml:space="preserve"> M Janda, ‘Reserve Bank </w:t>
      </w:r>
      <w:r w:rsidR="00D933C2" w:rsidRPr="00A03B67">
        <w:t>S</w:t>
      </w:r>
      <w:r w:rsidRPr="00A03B67">
        <w:t xml:space="preserve">ays </w:t>
      </w:r>
      <w:r w:rsidR="00D933C2" w:rsidRPr="00A03B67">
        <w:t>H</w:t>
      </w:r>
      <w:r w:rsidRPr="00A03B67">
        <w:t xml:space="preserve">ousing </w:t>
      </w:r>
      <w:r w:rsidR="00D933C2" w:rsidRPr="00A03B67">
        <w:t>W</w:t>
      </w:r>
      <w:r w:rsidRPr="00A03B67">
        <w:t xml:space="preserve">on’t </w:t>
      </w:r>
      <w:r w:rsidR="00D933C2" w:rsidRPr="00A03B67">
        <w:t>“D</w:t>
      </w:r>
      <w:r w:rsidRPr="00A03B67">
        <w:t xml:space="preserve">erail the </w:t>
      </w:r>
      <w:r w:rsidR="00D933C2" w:rsidRPr="00A03B67">
        <w:t>E</w:t>
      </w:r>
      <w:r w:rsidRPr="00A03B67">
        <w:t>conomy</w:t>
      </w:r>
      <w:r w:rsidR="00D933C2" w:rsidRPr="00A03B67">
        <w:t>”</w:t>
      </w:r>
      <w:r w:rsidRPr="00A03B67">
        <w:t xml:space="preserve"> </w:t>
      </w:r>
      <w:r w:rsidR="00D933C2" w:rsidRPr="00A03B67">
        <w:t>B</w:t>
      </w:r>
      <w:r w:rsidRPr="00A03B67">
        <w:t xml:space="preserve">ut </w:t>
      </w:r>
      <w:r w:rsidR="00D933C2" w:rsidRPr="00A03B67">
        <w:t>T</w:t>
      </w:r>
      <w:r w:rsidRPr="00A03B67">
        <w:t xml:space="preserve">ight-fisted </w:t>
      </w:r>
      <w:r w:rsidR="00D933C2" w:rsidRPr="00A03B67">
        <w:t>B</w:t>
      </w:r>
      <w:r w:rsidRPr="00A03B67">
        <w:t xml:space="preserve">osses </w:t>
      </w:r>
      <w:r w:rsidR="00D933C2" w:rsidRPr="00A03B67">
        <w:t>M</w:t>
      </w:r>
      <w:r w:rsidRPr="00A03B67">
        <w:t xml:space="preserve">ight’, </w:t>
      </w:r>
      <w:r w:rsidRPr="00A03B67">
        <w:rPr>
          <w:i/>
          <w:iCs/>
        </w:rPr>
        <w:t>ABC News</w:t>
      </w:r>
      <w:r w:rsidR="00D933C2" w:rsidRPr="00A03B67">
        <w:t xml:space="preserve"> (online, </w:t>
      </w:r>
      <w:r w:rsidRPr="00A03B67">
        <w:t>22 February 2019</w:t>
      </w:r>
      <w:r w:rsidR="00D933C2" w:rsidRPr="00A03B67">
        <w:t>)</w:t>
      </w:r>
      <w:r w:rsidRPr="00A03B67">
        <w:t xml:space="preserve"> </w:t>
      </w:r>
      <w:r w:rsidR="00D933C2" w:rsidRPr="00A03B67">
        <w:t>&lt;</w:t>
      </w:r>
      <w:r w:rsidRPr="00A03B67">
        <w:t>https://www.abc.net.au/news/2019-02-22/reserve-bank-governor-philip-lowe-parliament/10836828</w:t>
      </w:r>
      <w:r w:rsidR="00D933C2" w:rsidRPr="00A03B67">
        <w:t>&gt;.</w:t>
      </w:r>
    </w:p>
  </w:footnote>
  <w:footnote w:id="796">
    <w:p w14:paraId="20E342FE" w14:textId="0BA40C4F" w:rsidR="00B148F4" w:rsidRPr="00A03B67" w:rsidRDefault="00B148F4" w:rsidP="00B148F4">
      <w:pPr>
        <w:pStyle w:val="FootnoteText"/>
      </w:pPr>
      <w:r w:rsidRPr="00A03B67">
        <w:rPr>
          <w:rStyle w:val="FootnoteReference"/>
        </w:rPr>
        <w:footnoteRef/>
      </w:r>
      <w:r w:rsidRPr="00A03B67">
        <w:t xml:space="preserve"> S Long, ‘Reserve Bank </w:t>
      </w:r>
      <w:r w:rsidR="00D933C2" w:rsidRPr="00A03B67">
        <w:t>B</w:t>
      </w:r>
      <w:r w:rsidRPr="00A03B67">
        <w:t xml:space="preserve">oss Philip Lowe </w:t>
      </w:r>
      <w:r w:rsidR="00D933C2" w:rsidRPr="00A03B67">
        <w:t>U</w:t>
      </w:r>
      <w:r w:rsidRPr="00A03B67">
        <w:t xml:space="preserve">rges </w:t>
      </w:r>
      <w:r w:rsidR="00D933C2" w:rsidRPr="00A03B67">
        <w:t>W</w:t>
      </w:r>
      <w:r w:rsidRPr="00A03B67">
        <w:t xml:space="preserve">orkers to </w:t>
      </w:r>
      <w:r w:rsidR="00D933C2" w:rsidRPr="00A03B67">
        <w:t>P</w:t>
      </w:r>
      <w:r w:rsidRPr="00A03B67">
        <w:t xml:space="preserve">ush for </w:t>
      </w:r>
      <w:r w:rsidR="00D933C2" w:rsidRPr="00A03B67">
        <w:t>P</w:t>
      </w:r>
      <w:r w:rsidRPr="00A03B67">
        <w:t xml:space="preserve">ay </w:t>
      </w:r>
      <w:r w:rsidR="00D933C2" w:rsidRPr="00A03B67">
        <w:t>R</w:t>
      </w:r>
      <w:r w:rsidRPr="00A03B67">
        <w:t xml:space="preserve">ises’, </w:t>
      </w:r>
      <w:r w:rsidRPr="00A03B67">
        <w:rPr>
          <w:i/>
          <w:iCs/>
        </w:rPr>
        <w:t>ABC News</w:t>
      </w:r>
      <w:r w:rsidR="00D933C2" w:rsidRPr="00A03B67">
        <w:t xml:space="preserve"> (online, </w:t>
      </w:r>
      <w:r w:rsidRPr="00A03B67">
        <w:t>29 June 2017</w:t>
      </w:r>
      <w:r w:rsidR="00D933C2" w:rsidRPr="00A03B67">
        <w:t>)</w:t>
      </w:r>
      <w:r w:rsidRPr="00A03B67">
        <w:t xml:space="preserve"> </w:t>
      </w:r>
      <w:r w:rsidR="00D933C2" w:rsidRPr="00A03B67">
        <w:t>&lt;</w:t>
      </w:r>
      <w:r w:rsidRPr="00A03B67">
        <w:t>https://www.abc.net.au/news/2017-06-29/rba-governor-philip-lowe-goes-marxist/8662228</w:t>
      </w:r>
      <w:r w:rsidR="00D933C2" w:rsidRPr="00A03B67">
        <w:t>&gt;.</w:t>
      </w:r>
    </w:p>
  </w:footnote>
  <w:footnote w:id="797">
    <w:p w14:paraId="5FA72DCC" w14:textId="1819CA05" w:rsidR="000D43CB" w:rsidRPr="00A03B67" w:rsidRDefault="000D43CB" w:rsidP="000D43CB">
      <w:pPr>
        <w:pStyle w:val="FootnoteText"/>
        <w:rPr>
          <w:lang w:val="en-US"/>
        </w:rPr>
      </w:pPr>
      <w:r w:rsidRPr="00A03B67">
        <w:rPr>
          <w:rStyle w:val="FootnoteReference"/>
        </w:rPr>
        <w:footnoteRef/>
      </w:r>
      <w:r w:rsidRPr="00A03B67">
        <w:t xml:space="preserve"> </w:t>
      </w:r>
      <w:r w:rsidR="00D933C2" w:rsidRPr="00A03B67">
        <w:rPr>
          <w:lang w:val="en-US"/>
        </w:rPr>
        <w:t>Workplace Gender Equality Agency</w:t>
      </w:r>
      <w:r w:rsidRPr="00A03B67">
        <w:rPr>
          <w:lang w:val="en-US"/>
        </w:rPr>
        <w:t xml:space="preserve">, </w:t>
      </w:r>
      <w:r w:rsidRPr="00A03B67">
        <w:rPr>
          <w:i/>
          <w:iCs/>
          <w:lang w:val="en-US"/>
        </w:rPr>
        <w:t xml:space="preserve">What </w:t>
      </w:r>
      <w:r w:rsidR="00D933C2" w:rsidRPr="00A03B67">
        <w:rPr>
          <w:i/>
          <w:iCs/>
          <w:lang w:val="en-US"/>
        </w:rPr>
        <w:t>I</w:t>
      </w:r>
      <w:r w:rsidRPr="00A03B67">
        <w:rPr>
          <w:i/>
          <w:iCs/>
          <w:lang w:val="en-US"/>
        </w:rPr>
        <w:t xml:space="preserve">s the </w:t>
      </w:r>
      <w:r w:rsidR="00D933C2" w:rsidRPr="00A03B67">
        <w:rPr>
          <w:i/>
          <w:iCs/>
          <w:lang w:val="en-US"/>
        </w:rPr>
        <w:t>G</w:t>
      </w:r>
      <w:r w:rsidRPr="00A03B67">
        <w:rPr>
          <w:i/>
          <w:iCs/>
          <w:lang w:val="en-US"/>
        </w:rPr>
        <w:t xml:space="preserve">ender </w:t>
      </w:r>
      <w:r w:rsidR="00D933C2" w:rsidRPr="00A03B67">
        <w:rPr>
          <w:i/>
          <w:iCs/>
          <w:lang w:val="en-US"/>
        </w:rPr>
        <w:t>P</w:t>
      </w:r>
      <w:r w:rsidRPr="00A03B67">
        <w:rPr>
          <w:i/>
          <w:iCs/>
          <w:lang w:val="en-US"/>
        </w:rPr>
        <w:t xml:space="preserve">ay </w:t>
      </w:r>
      <w:r w:rsidR="00D933C2" w:rsidRPr="00A03B67">
        <w:rPr>
          <w:i/>
          <w:iCs/>
          <w:lang w:val="en-US"/>
        </w:rPr>
        <w:t>G</w:t>
      </w:r>
      <w:r w:rsidRPr="00A03B67">
        <w:rPr>
          <w:i/>
          <w:iCs/>
          <w:lang w:val="en-US"/>
        </w:rPr>
        <w:t>ap?</w:t>
      </w:r>
      <w:r w:rsidR="00D933C2" w:rsidRPr="00A03B67">
        <w:rPr>
          <w:lang w:val="en-US"/>
        </w:rPr>
        <w:t xml:space="preserve"> (Web Page, n.d.) &lt;https://www.wgea.gov.au/the-gender-pay-gap&gt;.</w:t>
      </w:r>
    </w:p>
  </w:footnote>
  <w:footnote w:id="798">
    <w:p w14:paraId="4ACBDA11" w14:textId="4DDE8B1E" w:rsidR="00671C88" w:rsidRPr="00A03B67" w:rsidRDefault="00671C88" w:rsidP="00671C88">
      <w:pPr>
        <w:pStyle w:val="FootnoteText"/>
        <w:rPr>
          <w:lang w:val="en-US"/>
        </w:rPr>
      </w:pPr>
      <w:r w:rsidRPr="00A03B67">
        <w:rPr>
          <w:rStyle w:val="FootnoteReference"/>
        </w:rPr>
        <w:footnoteRef/>
      </w:r>
      <w:r w:rsidRPr="00A03B67">
        <w:t xml:space="preserve"> </w:t>
      </w:r>
      <w:r w:rsidRPr="00A03B67">
        <w:rPr>
          <w:lang w:val="en-US"/>
        </w:rPr>
        <w:t xml:space="preserve">The Hon Anthony Albanese MP, ‘Gender </w:t>
      </w:r>
      <w:r w:rsidR="00D933C2" w:rsidRPr="00A03B67">
        <w:rPr>
          <w:lang w:val="en-US"/>
        </w:rPr>
        <w:t>P</w:t>
      </w:r>
      <w:r w:rsidRPr="00A03B67">
        <w:rPr>
          <w:lang w:val="en-US"/>
        </w:rPr>
        <w:t xml:space="preserve">ay </w:t>
      </w:r>
      <w:r w:rsidR="00D933C2" w:rsidRPr="00A03B67">
        <w:rPr>
          <w:lang w:val="en-US"/>
        </w:rPr>
        <w:t>G</w:t>
      </w:r>
      <w:r w:rsidRPr="00A03B67">
        <w:rPr>
          <w:lang w:val="en-US"/>
        </w:rPr>
        <w:t xml:space="preserve">ap </w:t>
      </w:r>
      <w:r w:rsidR="00D933C2" w:rsidRPr="00A03B67">
        <w:rPr>
          <w:lang w:val="en-US"/>
        </w:rPr>
        <w:t>D</w:t>
      </w:r>
      <w:r w:rsidRPr="00A03B67">
        <w:rPr>
          <w:lang w:val="en-US"/>
        </w:rPr>
        <w:t xml:space="preserve">rops to </w:t>
      </w:r>
      <w:r w:rsidR="00D933C2" w:rsidRPr="00A03B67">
        <w:rPr>
          <w:lang w:val="en-US"/>
        </w:rPr>
        <w:t>H</w:t>
      </w:r>
      <w:r w:rsidRPr="00A03B67">
        <w:rPr>
          <w:lang w:val="en-US"/>
        </w:rPr>
        <w:t xml:space="preserve">istoric </w:t>
      </w:r>
      <w:r w:rsidR="00D933C2" w:rsidRPr="00A03B67">
        <w:rPr>
          <w:lang w:val="en-US"/>
        </w:rPr>
        <w:t>L</w:t>
      </w:r>
      <w:r w:rsidRPr="00A03B67">
        <w:rPr>
          <w:lang w:val="en-US"/>
        </w:rPr>
        <w:t>ow’ (</w:t>
      </w:r>
      <w:r w:rsidR="00D933C2" w:rsidRPr="00A03B67">
        <w:rPr>
          <w:lang w:val="en-US"/>
        </w:rPr>
        <w:t xml:space="preserve">Media Release, 15 </w:t>
      </w:r>
      <w:r w:rsidRPr="00A03B67">
        <w:rPr>
          <w:lang w:val="en-US"/>
        </w:rPr>
        <w:t xml:space="preserve">August 2024) </w:t>
      </w:r>
      <w:r w:rsidR="00D933C2" w:rsidRPr="00A03B67">
        <w:rPr>
          <w:lang w:val="en-US"/>
        </w:rPr>
        <w:t>&lt;https://www.pm.gov.au/media/gender-pay-gap-drops-historic-low&gt;.</w:t>
      </w:r>
    </w:p>
  </w:footnote>
  <w:footnote w:id="799">
    <w:p w14:paraId="367F48D5" w14:textId="2981AA25" w:rsidR="003F3FA8" w:rsidRPr="00A03B67" w:rsidRDefault="003F3FA8" w:rsidP="003F3FA8">
      <w:pPr>
        <w:pStyle w:val="FootnoteText"/>
        <w:rPr>
          <w:lang w:val="en-US"/>
        </w:rPr>
      </w:pPr>
      <w:r w:rsidRPr="00A03B67">
        <w:rPr>
          <w:rStyle w:val="FootnoteReference"/>
        </w:rPr>
        <w:footnoteRef/>
      </w:r>
      <w:r w:rsidR="00D933C2" w:rsidRPr="00A03B67">
        <w:t xml:space="preserve"> Workplace Gender Equality Agency, ‘The Gender Pay Gap Explained’, </w:t>
      </w:r>
      <w:r w:rsidR="00D933C2" w:rsidRPr="00A03B67">
        <w:rPr>
          <w:i/>
          <w:iCs/>
        </w:rPr>
        <w:t>What Is the Gender Pay Gap?</w:t>
      </w:r>
      <w:r w:rsidR="00D933C2" w:rsidRPr="00A03B67">
        <w:t xml:space="preserve">  (Web Page, n.d.) &lt;https://www.wgea.gov.au/the-gender-pay-gap&gt;.</w:t>
      </w:r>
    </w:p>
  </w:footnote>
  <w:footnote w:id="800">
    <w:p w14:paraId="4C19E580" w14:textId="0E1A82FB" w:rsidR="003F3FA8" w:rsidRPr="00A03B67" w:rsidRDefault="003F3FA8" w:rsidP="003F3FA8">
      <w:pPr>
        <w:pStyle w:val="FootnoteText"/>
        <w:rPr>
          <w:lang w:val="en-US"/>
        </w:rPr>
      </w:pPr>
      <w:r w:rsidRPr="00A03B67">
        <w:rPr>
          <w:rStyle w:val="FootnoteReference"/>
        </w:rPr>
        <w:footnoteRef/>
      </w:r>
      <w:r w:rsidRPr="00A03B67">
        <w:t xml:space="preserve"> </w:t>
      </w:r>
      <w:r w:rsidR="00D933C2" w:rsidRPr="00A03B67">
        <w:rPr>
          <w:lang w:val="en-US"/>
        </w:rPr>
        <w:t xml:space="preserve">Australian Bureau of Statistics, </w:t>
      </w:r>
      <w:r w:rsidRPr="00A03B67">
        <w:rPr>
          <w:i/>
          <w:iCs/>
          <w:lang w:val="en-US"/>
        </w:rPr>
        <w:t xml:space="preserve">Gender </w:t>
      </w:r>
      <w:r w:rsidR="00D933C2" w:rsidRPr="00A03B67">
        <w:rPr>
          <w:i/>
          <w:iCs/>
          <w:lang w:val="en-US"/>
        </w:rPr>
        <w:t>P</w:t>
      </w:r>
      <w:r w:rsidRPr="00A03B67">
        <w:rPr>
          <w:i/>
          <w:iCs/>
          <w:lang w:val="en-US"/>
        </w:rPr>
        <w:t xml:space="preserve">ay </w:t>
      </w:r>
      <w:r w:rsidR="00D933C2" w:rsidRPr="00A03B67">
        <w:rPr>
          <w:i/>
          <w:iCs/>
          <w:lang w:val="en-US"/>
        </w:rPr>
        <w:t>G</w:t>
      </w:r>
      <w:r w:rsidRPr="00A03B67">
        <w:rPr>
          <w:i/>
          <w:iCs/>
          <w:lang w:val="en-US"/>
        </w:rPr>
        <w:t xml:space="preserve">ap </w:t>
      </w:r>
      <w:r w:rsidR="00D933C2" w:rsidRPr="00A03B67">
        <w:rPr>
          <w:i/>
          <w:iCs/>
          <w:lang w:val="en-US"/>
        </w:rPr>
        <w:t>G</w:t>
      </w:r>
      <w:r w:rsidRPr="00A03B67">
        <w:rPr>
          <w:i/>
          <w:iCs/>
          <w:lang w:val="en-US"/>
        </w:rPr>
        <w:t>uide</w:t>
      </w:r>
      <w:r w:rsidR="00D933C2" w:rsidRPr="00A03B67">
        <w:rPr>
          <w:lang w:val="en-US"/>
        </w:rPr>
        <w:t xml:space="preserve"> (</w:t>
      </w:r>
      <w:r w:rsidRPr="00A03B67">
        <w:rPr>
          <w:lang w:val="en-US"/>
        </w:rPr>
        <w:t>21</w:t>
      </w:r>
      <w:r w:rsidR="00D933C2" w:rsidRPr="00A03B67">
        <w:rPr>
          <w:lang w:val="en-US"/>
        </w:rPr>
        <w:t xml:space="preserve"> February 20</w:t>
      </w:r>
      <w:r w:rsidRPr="00A03B67">
        <w:rPr>
          <w:lang w:val="en-US"/>
        </w:rPr>
        <w:t>23</w:t>
      </w:r>
      <w:r w:rsidR="00D933C2" w:rsidRPr="00A03B67">
        <w:rPr>
          <w:lang w:val="en-US"/>
        </w:rPr>
        <w:t>) &lt;https://www.abs.gov.au/statistics/understanding-statistics/guide-labour-statistics/gender-pay-gap-guide&gt;</w:t>
      </w:r>
      <w:r w:rsidRPr="00A03B67">
        <w:rPr>
          <w:lang w:val="en-US"/>
        </w:rPr>
        <w:t xml:space="preserve">. </w:t>
      </w:r>
    </w:p>
  </w:footnote>
  <w:footnote w:id="801">
    <w:p w14:paraId="18863C57" w14:textId="2A1F887D" w:rsidR="003F3FA8" w:rsidRPr="00A03B67" w:rsidRDefault="003F3FA8" w:rsidP="003F3FA8">
      <w:pPr>
        <w:pStyle w:val="FootnoteText"/>
        <w:rPr>
          <w:lang w:val="en-US"/>
        </w:rPr>
      </w:pPr>
      <w:r w:rsidRPr="00A03B67">
        <w:rPr>
          <w:rStyle w:val="FootnoteReference"/>
        </w:rPr>
        <w:footnoteRef/>
      </w:r>
      <w:r w:rsidRPr="00A03B67">
        <w:t xml:space="preserve"> </w:t>
      </w:r>
      <w:r w:rsidRPr="00A03B67">
        <w:rPr>
          <w:lang w:val="en-US"/>
        </w:rPr>
        <w:t xml:space="preserve">The </w:t>
      </w:r>
      <w:r w:rsidR="00D933C2" w:rsidRPr="00A03B67">
        <w:rPr>
          <w:lang w:val="en-US"/>
        </w:rPr>
        <w:t xml:space="preserve">Australian Bureau of Statistics </w:t>
      </w:r>
      <w:r w:rsidRPr="00A03B67">
        <w:rPr>
          <w:i/>
          <w:iCs/>
          <w:lang w:val="en-US"/>
        </w:rPr>
        <w:t>Average Weekly Earnings, Australia</w:t>
      </w:r>
      <w:r w:rsidRPr="00A03B67">
        <w:rPr>
          <w:lang w:val="en-US"/>
        </w:rPr>
        <w:t xml:space="preserve"> series, however, only reports </w:t>
      </w:r>
      <w:r w:rsidRPr="00A03B67">
        <w:rPr>
          <w:i/>
          <w:iCs/>
          <w:lang w:val="en-US"/>
        </w:rPr>
        <w:t>weekly wages</w:t>
      </w:r>
      <w:r w:rsidRPr="00A03B67">
        <w:rPr>
          <w:lang w:val="en-US"/>
        </w:rPr>
        <w:t xml:space="preserve"> for full-timers and all employees. It does not report an hourly wage. The gender pay gap weekly wages in the full-time labour market is, therefore, the focus of analysis</w:t>
      </w:r>
      <w:r w:rsidR="00D933C2" w:rsidRPr="00A03B67">
        <w:rPr>
          <w:lang w:val="en-US"/>
        </w:rPr>
        <w:t>,</w:t>
      </w:r>
      <w:r w:rsidRPr="00A03B67">
        <w:rPr>
          <w:lang w:val="en-US"/>
        </w:rPr>
        <w:t xml:space="preserve"> as this group is more homogeneous in terms of hours worked.</w:t>
      </w:r>
    </w:p>
  </w:footnote>
  <w:footnote w:id="802">
    <w:p w14:paraId="298E5ADE" w14:textId="6E1C4076" w:rsidR="009A6C84" w:rsidRPr="00A03B67" w:rsidRDefault="009A6C84" w:rsidP="009A6C84">
      <w:pPr>
        <w:pStyle w:val="FootnoteText"/>
        <w:rPr>
          <w:lang w:val="en-US"/>
        </w:rPr>
      </w:pPr>
      <w:r w:rsidRPr="00A03B67">
        <w:rPr>
          <w:rStyle w:val="FootnoteReference"/>
        </w:rPr>
        <w:footnoteRef/>
      </w:r>
      <w:r w:rsidRPr="00A03B67">
        <w:t xml:space="preserve"> </w:t>
      </w:r>
      <w:r w:rsidRPr="00A03B67">
        <w:rPr>
          <w:lang w:val="en-US"/>
        </w:rPr>
        <w:t>M</w:t>
      </w:r>
      <w:r w:rsidR="00D933C2" w:rsidRPr="00A03B67">
        <w:rPr>
          <w:lang w:val="en-US"/>
        </w:rPr>
        <w:t xml:space="preserve"> </w:t>
      </w:r>
      <w:r w:rsidRPr="00A03B67">
        <w:rPr>
          <w:lang w:val="en-US"/>
        </w:rPr>
        <w:t xml:space="preserve">Smith and G Whitehouse, ‘Wage-setting and </w:t>
      </w:r>
      <w:r w:rsidR="00D933C2" w:rsidRPr="00A03B67">
        <w:rPr>
          <w:lang w:val="en-US"/>
        </w:rPr>
        <w:t>G</w:t>
      </w:r>
      <w:r w:rsidRPr="00A03B67">
        <w:rPr>
          <w:lang w:val="en-US"/>
        </w:rPr>
        <w:t xml:space="preserve">ender </w:t>
      </w:r>
      <w:r w:rsidR="00D933C2" w:rsidRPr="00A03B67">
        <w:rPr>
          <w:lang w:val="en-US"/>
        </w:rPr>
        <w:t>P</w:t>
      </w:r>
      <w:r w:rsidRPr="00A03B67">
        <w:rPr>
          <w:lang w:val="en-US"/>
        </w:rPr>
        <w:t xml:space="preserve">ay </w:t>
      </w:r>
      <w:r w:rsidR="00D933C2" w:rsidRPr="00A03B67">
        <w:rPr>
          <w:lang w:val="en-US"/>
        </w:rPr>
        <w:t>E</w:t>
      </w:r>
      <w:r w:rsidRPr="00A03B67">
        <w:rPr>
          <w:lang w:val="en-US"/>
        </w:rPr>
        <w:t xml:space="preserve">quality in Australia: Advances, </w:t>
      </w:r>
      <w:r w:rsidR="00D933C2" w:rsidRPr="00A03B67">
        <w:rPr>
          <w:lang w:val="en-US"/>
        </w:rPr>
        <w:t>R</w:t>
      </w:r>
      <w:r w:rsidRPr="00A03B67">
        <w:rPr>
          <w:lang w:val="en-US"/>
        </w:rPr>
        <w:t xml:space="preserve">etreats and </w:t>
      </w:r>
      <w:r w:rsidR="00D933C2" w:rsidRPr="00A03B67">
        <w:rPr>
          <w:lang w:val="en-US"/>
        </w:rPr>
        <w:t>F</w:t>
      </w:r>
      <w:r w:rsidRPr="00A03B67">
        <w:rPr>
          <w:lang w:val="en-US"/>
        </w:rPr>
        <w:t xml:space="preserve">uture </w:t>
      </w:r>
      <w:r w:rsidR="00D933C2" w:rsidRPr="00A03B67">
        <w:rPr>
          <w:lang w:val="en-US"/>
        </w:rPr>
        <w:t>P</w:t>
      </w:r>
      <w:r w:rsidRPr="00A03B67">
        <w:rPr>
          <w:lang w:val="en-US"/>
        </w:rPr>
        <w:t>rospects</w:t>
      </w:r>
      <w:r w:rsidR="00D933C2" w:rsidRPr="00A03B67">
        <w:rPr>
          <w:lang w:val="en-US"/>
        </w:rPr>
        <w:t>’</w:t>
      </w:r>
      <w:r w:rsidRPr="00A03B67">
        <w:rPr>
          <w:lang w:val="en-US"/>
        </w:rPr>
        <w:t xml:space="preserve"> (2020) 62(4) </w:t>
      </w:r>
      <w:r w:rsidRPr="00A03B67">
        <w:rPr>
          <w:i/>
          <w:iCs/>
          <w:lang w:val="en-US"/>
        </w:rPr>
        <w:t xml:space="preserve">Journal of Industrial Relations </w:t>
      </w:r>
      <w:r w:rsidRPr="00A03B67">
        <w:rPr>
          <w:lang w:val="en-US"/>
        </w:rPr>
        <w:t>533.</w:t>
      </w:r>
    </w:p>
  </w:footnote>
  <w:footnote w:id="803">
    <w:p w14:paraId="5540B6B6" w14:textId="30026F02" w:rsidR="009A6C84" w:rsidRPr="00A03B67" w:rsidRDefault="009A6C84" w:rsidP="009A6C84">
      <w:pPr>
        <w:pStyle w:val="FootnoteText"/>
        <w:rPr>
          <w:lang w:val="en-US"/>
        </w:rPr>
      </w:pPr>
      <w:r w:rsidRPr="00A03B67">
        <w:rPr>
          <w:rStyle w:val="FootnoteReference"/>
        </w:rPr>
        <w:footnoteRef/>
      </w:r>
      <w:r w:rsidRPr="00A03B67">
        <w:t xml:space="preserve"> </w:t>
      </w:r>
      <w:r w:rsidR="00D933C2" w:rsidRPr="00A03B67">
        <w:rPr>
          <w:lang w:val="en-US"/>
        </w:rPr>
        <w:t xml:space="preserve">M Smith and G Whitehouse, ‘Wage-setting and Gender Pay Equality in Australia: Advances, Retreats and Future Prospects’ (2020) 62(4) </w:t>
      </w:r>
      <w:r w:rsidR="00D933C2" w:rsidRPr="00A03B67">
        <w:rPr>
          <w:i/>
          <w:iCs/>
          <w:lang w:val="en-US"/>
        </w:rPr>
        <w:t xml:space="preserve">Journal of Industrial Relations </w:t>
      </w:r>
      <w:r w:rsidR="00D933C2" w:rsidRPr="00A03B67">
        <w:rPr>
          <w:lang w:val="en-US"/>
        </w:rPr>
        <w:t>533.</w:t>
      </w:r>
    </w:p>
  </w:footnote>
  <w:footnote w:id="804">
    <w:p w14:paraId="2EAE4992" w14:textId="78877EC0" w:rsidR="009A6C84" w:rsidRPr="00A03B67" w:rsidRDefault="009A6C84" w:rsidP="009A6C84">
      <w:pPr>
        <w:pStyle w:val="FootnoteText"/>
        <w:rPr>
          <w:lang w:val="en-US"/>
        </w:rPr>
      </w:pPr>
      <w:r w:rsidRPr="00A03B67">
        <w:rPr>
          <w:rStyle w:val="FootnoteReference"/>
        </w:rPr>
        <w:footnoteRef/>
      </w:r>
      <w:r w:rsidRPr="00A03B67">
        <w:t xml:space="preserve"> </w:t>
      </w:r>
      <w:r w:rsidR="00D933C2" w:rsidRPr="00A03B67">
        <w:rPr>
          <w:lang w:val="en-US"/>
        </w:rPr>
        <w:t xml:space="preserve">M Smith and G Whitehouse, ‘Wage-setting and Gender Pay Equality in Australia: Advances, Retreats and Future Prospects’ (2020) 62(4) </w:t>
      </w:r>
      <w:r w:rsidR="00D933C2" w:rsidRPr="00A03B67">
        <w:rPr>
          <w:i/>
          <w:iCs/>
          <w:lang w:val="en-US"/>
        </w:rPr>
        <w:t xml:space="preserve">Journal of Industrial Relations </w:t>
      </w:r>
      <w:r w:rsidR="00D933C2" w:rsidRPr="00A03B67">
        <w:rPr>
          <w:lang w:val="en-US"/>
        </w:rPr>
        <w:t>533.</w:t>
      </w:r>
    </w:p>
  </w:footnote>
  <w:footnote w:id="805">
    <w:p w14:paraId="6F493DA1" w14:textId="5756B3E0" w:rsidR="009A6C84" w:rsidRPr="00A03B67" w:rsidRDefault="009A6C84" w:rsidP="0059305E">
      <w:pPr>
        <w:pStyle w:val="FootnoteText"/>
      </w:pPr>
      <w:r w:rsidRPr="00A03B67">
        <w:rPr>
          <w:rStyle w:val="FootnoteReference"/>
        </w:rPr>
        <w:footnoteRef/>
      </w:r>
      <w:r w:rsidRPr="00A03B67">
        <w:t xml:space="preserve"> </w:t>
      </w:r>
      <w:r w:rsidR="00016534" w:rsidRPr="00A03B67">
        <w:t xml:space="preserve">See also S Williamson, J Parker, N Donnelly, M Gavin and S Ressia, </w:t>
      </w:r>
      <w:r w:rsidR="00016534" w:rsidRPr="00A03B67">
        <w:rPr>
          <w:i/>
          <w:iCs/>
        </w:rPr>
        <w:t>Gender, Work and Employment Relations</w:t>
      </w:r>
      <w:r w:rsidR="00016534" w:rsidRPr="00A03B67">
        <w:t>, (forthcoming, Edward Elgar Publishing, 2025)</w:t>
      </w:r>
      <w:r w:rsidR="00161A7E" w:rsidRPr="00A03B67">
        <w:t>,</w:t>
      </w:r>
      <w:r w:rsidR="00C95C9A" w:rsidRPr="00A03B67">
        <w:rPr>
          <w:lang w:val="en-US"/>
        </w:rPr>
        <w:t xml:space="preserve"> Ch 19 (</w:t>
      </w:r>
      <w:r w:rsidR="00C95C9A" w:rsidRPr="00A03B67">
        <w:t xml:space="preserve">Anne Junor, Alison Preston and Meg Smith, </w:t>
      </w:r>
      <w:r w:rsidR="0059305E" w:rsidRPr="00A03B67">
        <w:t>"Occupational segregation and gender pay equity strategies in Australia: Comparison, revaluation or raising minimum wages?”</w:t>
      </w:r>
      <w:r w:rsidR="00C95C9A" w:rsidRPr="00A03B67">
        <w:t>).</w:t>
      </w:r>
    </w:p>
  </w:footnote>
  <w:footnote w:id="806">
    <w:p w14:paraId="049928AE" w14:textId="01168716" w:rsidR="009C69A3" w:rsidRPr="00A03B67" w:rsidRDefault="009C69A3" w:rsidP="009C69A3">
      <w:pPr>
        <w:pStyle w:val="FootnoteText"/>
        <w:rPr>
          <w:lang w:val="en-US"/>
        </w:rPr>
      </w:pPr>
      <w:r w:rsidRPr="00A03B67">
        <w:rPr>
          <w:rStyle w:val="FootnoteReference"/>
        </w:rPr>
        <w:footnoteRef/>
      </w:r>
      <w:r w:rsidRPr="00A03B67">
        <w:t xml:space="preserve"> </w:t>
      </w:r>
      <w:r w:rsidRPr="00A03B67">
        <w:rPr>
          <w:lang w:val="en-US"/>
        </w:rPr>
        <w:t>Statistical significance is a way to determine whether the results in a study are due to chance or if they reflect a real relationship. When it is statistically significant it means it did not occur randomly and that there is strong evidence to show that the outcome variable is determined by (or correlates with) the explanatory variable. In this case the results show that the gender wage gap, measured using the ‘dummy variable approach’ which was previously explained</w:t>
      </w:r>
      <w:r w:rsidR="00D933C2" w:rsidRPr="00A03B67">
        <w:rPr>
          <w:lang w:val="en-US"/>
        </w:rPr>
        <w:t>,</w:t>
      </w:r>
      <w:r w:rsidRPr="00A03B67">
        <w:rPr>
          <w:lang w:val="en-US"/>
        </w:rPr>
        <w:t xml:space="preserve"> is significantly smaller (in a statistical sense</w:t>
      </w:r>
      <w:r w:rsidR="00D933C2" w:rsidRPr="00A03B67">
        <w:rPr>
          <w:lang w:val="en-US"/>
        </w:rPr>
        <w:t>)</w:t>
      </w:r>
      <w:r w:rsidRPr="00A03B67">
        <w:rPr>
          <w:lang w:val="en-US"/>
        </w:rPr>
        <w:t xml:space="preserve"> between 2023 and earlier periods. </w:t>
      </w:r>
    </w:p>
  </w:footnote>
  <w:footnote w:id="807">
    <w:p w14:paraId="553DFB4E" w14:textId="316B25CF" w:rsidR="009A1D5D" w:rsidRPr="00A03B67" w:rsidRDefault="009A1D5D" w:rsidP="009A1D5D">
      <w:pPr>
        <w:pStyle w:val="FootnoteText"/>
      </w:pPr>
      <w:r w:rsidRPr="00A03B67">
        <w:rPr>
          <w:rStyle w:val="FootnoteReference"/>
        </w:rPr>
        <w:footnoteRef/>
      </w:r>
      <w:r w:rsidRPr="00A03B67">
        <w:t xml:space="preserve"> It was introduced via the </w:t>
      </w:r>
      <w:r w:rsidRPr="00A03B67">
        <w:rPr>
          <w:i/>
        </w:rPr>
        <w:t>Fair Work Amendment (Family and Domestic Violence Leave) Act 2018</w:t>
      </w:r>
      <w:r w:rsidR="002852EE" w:rsidRPr="00A03B67">
        <w:rPr>
          <w:i/>
        </w:rPr>
        <w:t xml:space="preserve"> </w:t>
      </w:r>
      <w:r w:rsidR="002852EE" w:rsidRPr="00A03B67">
        <w:rPr>
          <w:iCs/>
        </w:rPr>
        <w:t>(Cth)</w:t>
      </w:r>
      <w:r w:rsidRPr="00A03B67">
        <w:t xml:space="preserve">. A timeline of events leading up to the introduction and adoption of this </w:t>
      </w:r>
      <w:r w:rsidR="00D933C2" w:rsidRPr="00A03B67">
        <w:t>A</w:t>
      </w:r>
      <w:r w:rsidRPr="00A03B67">
        <w:t xml:space="preserve">ct is given at Figure 3 in </w:t>
      </w:r>
      <w:r w:rsidR="00D933C2" w:rsidRPr="00A03B67">
        <w:t xml:space="preserve">K </w:t>
      </w:r>
      <w:r w:rsidRPr="00A03B67">
        <w:t>Seymour</w:t>
      </w:r>
      <w:r w:rsidR="00D933C2" w:rsidRPr="00A03B67">
        <w:t>, M</w:t>
      </w:r>
      <w:r w:rsidRPr="00A03B67">
        <w:t xml:space="preserve"> </w:t>
      </w:r>
      <w:r w:rsidR="00D933C2" w:rsidRPr="00A03B67">
        <w:t xml:space="preserve">Marmo, A Cebulla, N Ibrahim, H Esmaeili, J Richards and E Sinopoli, </w:t>
      </w:r>
      <w:r w:rsidRPr="00A03B67">
        <w:rPr>
          <w:i/>
          <w:iCs/>
        </w:rPr>
        <w:t xml:space="preserve">Independent </w:t>
      </w:r>
      <w:r w:rsidR="00D933C2" w:rsidRPr="00A03B67">
        <w:rPr>
          <w:i/>
          <w:iCs/>
        </w:rPr>
        <w:t>R</w:t>
      </w:r>
      <w:r w:rsidRPr="00A03B67">
        <w:rPr>
          <w:i/>
          <w:iCs/>
        </w:rPr>
        <w:t xml:space="preserve">eview of the </w:t>
      </w:r>
      <w:r w:rsidR="00D933C2" w:rsidRPr="00A03B67">
        <w:rPr>
          <w:i/>
          <w:iCs/>
        </w:rPr>
        <w:t>O</w:t>
      </w:r>
      <w:r w:rsidRPr="00A03B67">
        <w:rPr>
          <w:i/>
          <w:iCs/>
        </w:rPr>
        <w:t xml:space="preserve">peration of the </w:t>
      </w:r>
      <w:r w:rsidR="00D933C2" w:rsidRPr="00A03B67">
        <w:rPr>
          <w:i/>
          <w:iCs/>
        </w:rPr>
        <w:t>P</w:t>
      </w:r>
      <w:r w:rsidRPr="00A03B67">
        <w:rPr>
          <w:i/>
          <w:iCs/>
        </w:rPr>
        <w:t xml:space="preserve">aid </w:t>
      </w:r>
      <w:r w:rsidR="00D933C2" w:rsidRPr="00A03B67">
        <w:rPr>
          <w:i/>
          <w:iCs/>
        </w:rPr>
        <w:t>F</w:t>
      </w:r>
      <w:r w:rsidRPr="00A03B67">
        <w:rPr>
          <w:i/>
          <w:iCs/>
        </w:rPr>
        <w:t xml:space="preserve">amily and </w:t>
      </w:r>
      <w:r w:rsidR="00D933C2" w:rsidRPr="00A03B67">
        <w:rPr>
          <w:i/>
          <w:iCs/>
        </w:rPr>
        <w:t>D</w:t>
      </w:r>
      <w:r w:rsidRPr="00A03B67">
        <w:rPr>
          <w:i/>
          <w:iCs/>
        </w:rPr>
        <w:t xml:space="preserve">omestic </w:t>
      </w:r>
      <w:r w:rsidR="00D933C2" w:rsidRPr="00A03B67">
        <w:rPr>
          <w:i/>
          <w:iCs/>
        </w:rPr>
        <w:t>V</w:t>
      </w:r>
      <w:r w:rsidRPr="00A03B67">
        <w:rPr>
          <w:i/>
          <w:iCs/>
        </w:rPr>
        <w:t xml:space="preserve">iolence </w:t>
      </w:r>
      <w:r w:rsidR="00D933C2" w:rsidRPr="00A03B67">
        <w:rPr>
          <w:i/>
          <w:iCs/>
        </w:rPr>
        <w:t>L</w:t>
      </w:r>
      <w:r w:rsidRPr="00A03B67">
        <w:rPr>
          <w:i/>
          <w:iCs/>
        </w:rPr>
        <w:t xml:space="preserve">eave </w:t>
      </w:r>
      <w:r w:rsidR="00D933C2" w:rsidRPr="00A03B67">
        <w:rPr>
          <w:i/>
          <w:iCs/>
        </w:rPr>
        <w:t>E</w:t>
      </w:r>
      <w:r w:rsidRPr="00A03B67">
        <w:rPr>
          <w:i/>
          <w:iCs/>
        </w:rPr>
        <w:t xml:space="preserve">ntitlements in the Fair Work Act 2009 </w:t>
      </w:r>
      <w:r w:rsidRPr="00A03B67">
        <w:t>(Report, Flinders University, 2024)</w:t>
      </w:r>
      <w:r w:rsidR="00790AFC" w:rsidRPr="00A03B67">
        <w:t xml:space="preserve"> 11 </w:t>
      </w:r>
      <w:r w:rsidR="00D933C2" w:rsidRPr="00A03B67">
        <w:t>&lt;</w:t>
      </w:r>
      <w:r w:rsidR="0025485D" w:rsidRPr="00A03B67">
        <w:t>https://www.flinders.edu.au/content/dam/documents/fair-work/FU_Independent_Review_2022_FWA_Final_Report.pdf</w:t>
      </w:r>
      <w:r w:rsidR="00D933C2" w:rsidRPr="00A03B67">
        <w:t>&gt;.</w:t>
      </w:r>
      <w:r w:rsidR="002F039E" w:rsidRPr="00A03B67">
        <w:t xml:space="preserve"> </w:t>
      </w:r>
    </w:p>
  </w:footnote>
  <w:footnote w:id="808">
    <w:p w14:paraId="35D1E2AB" w14:textId="71BE40A9" w:rsidR="00240335" w:rsidRPr="00A03B67" w:rsidRDefault="00240335" w:rsidP="00240335">
      <w:pPr>
        <w:pStyle w:val="FootnoteText"/>
      </w:pPr>
      <w:r w:rsidRPr="00A03B67">
        <w:rPr>
          <w:rStyle w:val="FootnoteReference"/>
        </w:rPr>
        <w:footnoteRef/>
      </w:r>
      <w:r w:rsidRPr="00A03B67">
        <w:t xml:space="preserve"> </w:t>
      </w:r>
      <w:r w:rsidRPr="00A03B67">
        <w:rPr>
          <w:i/>
          <w:iCs/>
        </w:rPr>
        <w:t xml:space="preserve">Fair Work Amendment (Paid Family and Domestic Violence Leave) Act 2022 </w:t>
      </w:r>
      <w:r w:rsidRPr="00A03B67">
        <w:t>(Cth) Sch 2, Item 9, s 757B.</w:t>
      </w:r>
    </w:p>
  </w:footnote>
  <w:footnote w:id="809">
    <w:p w14:paraId="45DECE9B" w14:textId="008AEF98" w:rsidR="009A1D5D" w:rsidRPr="00A03B67" w:rsidRDefault="009A1D5D" w:rsidP="009A1D5D">
      <w:pPr>
        <w:pStyle w:val="FootnoteText"/>
      </w:pPr>
      <w:r w:rsidRPr="00A03B67">
        <w:rPr>
          <w:rStyle w:val="FootnoteReference"/>
        </w:rPr>
        <w:footnoteRef/>
      </w:r>
      <w:r w:rsidRPr="00A03B67">
        <w:t xml:space="preserve"> </w:t>
      </w:r>
      <w:r w:rsidRPr="00A03B67">
        <w:rPr>
          <w:i/>
          <w:iCs/>
        </w:rPr>
        <w:t xml:space="preserve">Fair Work Amendment (Paid Family and Domestic Violence Leave) </w:t>
      </w:r>
      <w:r w:rsidR="00262591" w:rsidRPr="00A03B67">
        <w:rPr>
          <w:i/>
          <w:iCs/>
        </w:rPr>
        <w:t>Act 2022</w:t>
      </w:r>
      <w:r w:rsidRPr="00A03B67">
        <w:rPr>
          <w:i/>
          <w:iCs/>
        </w:rPr>
        <w:t xml:space="preserve"> </w:t>
      </w:r>
      <w:r w:rsidRPr="00A03B67">
        <w:t xml:space="preserve">(Cth) </w:t>
      </w:r>
      <w:r w:rsidR="00D933C2" w:rsidRPr="00A03B67">
        <w:t xml:space="preserve">Sch </w:t>
      </w:r>
      <w:r w:rsidR="00B303BE" w:rsidRPr="00A03B67">
        <w:t>1,</w:t>
      </w:r>
      <w:r w:rsidR="00240335" w:rsidRPr="00A03B67">
        <w:t xml:space="preserve"> </w:t>
      </w:r>
      <w:r w:rsidR="00B303BE" w:rsidRPr="00A03B67">
        <w:t xml:space="preserve">Item 21A. </w:t>
      </w:r>
      <w:r w:rsidR="00D933C2" w:rsidRPr="00A03B67">
        <w:t>&lt;</w:t>
      </w:r>
      <w:r w:rsidRPr="00A03B67">
        <w:t>https://www.aph.gov.au/Parliamentary_Business/Bills_Legislation/Bills_Search_Results/Result?bId=r6882#:~:text=Amends%20the%20Fair%20Work%20Act,definition%20of%20family%20and%20domestic</w:t>
      </w:r>
      <w:r w:rsidR="00D933C2" w:rsidRPr="00A03B67">
        <w:t>&gt;.</w:t>
      </w:r>
    </w:p>
  </w:footnote>
  <w:footnote w:id="810">
    <w:p w14:paraId="43C01439" w14:textId="14FC4D42" w:rsidR="00F82CC5" w:rsidRPr="00A03B67" w:rsidRDefault="00F82CC5" w:rsidP="00F82CC5">
      <w:pPr>
        <w:pStyle w:val="FootnoteText"/>
      </w:pPr>
      <w:r w:rsidRPr="00A03B67">
        <w:rPr>
          <w:rStyle w:val="FootnoteReference"/>
        </w:rPr>
        <w:footnoteRef/>
      </w:r>
      <w:r w:rsidRPr="00A03B67">
        <w:t xml:space="preserve"> </w:t>
      </w:r>
      <w:r w:rsidR="00DE0120" w:rsidRPr="00A03B67">
        <w:rPr>
          <w:i/>
          <w:iCs/>
        </w:rPr>
        <w:t>Fair Work Regulations</w:t>
      </w:r>
      <w:r w:rsidR="00125A03" w:rsidRPr="00A03B67">
        <w:t xml:space="preserve"> </w:t>
      </w:r>
      <w:r w:rsidR="00D933C2" w:rsidRPr="00A03B67">
        <w:rPr>
          <w:i/>
          <w:iCs/>
        </w:rPr>
        <w:t>2009</w:t>
      </w:r>
      <w:r w:rsidR="00D933C2" w:rsidRPr="00A03B67">
        <w:t xml:space="preserve"> (Cth) </w:t>
      </w:r>
      <w:r w:rsidR="00125A03" w:rsidRPr="00A03B67">
        <w:t>reg 3.48.</w:t>
      </w:r>
    </w:p>
  </w:footnote>
  <w:footnote w:id="811">
    <w:p w14:paraId="0C611F9B" w14:textId="77777777" w:rsidR="00150495" w:rsidRPr="00A03B67" w:rsidRDefault="00150495" w:rsidP="00150495">
      <w:pPr>
        <w:pStyle w:val="FootnoteText"/>
      </w:pPr>
      <w:r w:rsidRPr="00A03B67">
        <w:rPr>
          <w:rStyle w:val="FootnoteReference"/>
        </w:rPr>
        <w:footnoteRef/>
      </w:r>
      <w:r w:rsidRPr="00A03B67">
        <w:t xml:space="preserve"> </w:t>
      </w:r>
      <w:r w:rsidRPr="00A03B67">
        <w:rPr>
          <w:i/>
          <w:iCs/>
        </w:rPr>
        <w:t>Fair Work Legislation Amendment</w:t>
      </w:r>
      <w:r w:rsidRPr="00A03B67">
        <w:t xml:space="preserve"> (</w:t>
      </w:r>
      <w:r w:rsidRPr="00A03B67">
        <w:rPr>
          <w:i/>
          <w:iCs/>
        </w:rPr>
        <w:t xml:space="preserve">Secure Jobs, Better Pay) Act 2022 </w:t>
      </w:r>
      <w:r w:rsidRPr="00A03B67">
        <w:t>(Cth)</w:t>
      </w:r>
      <w:r w:rsidRPr="00A03B67">
        <w:rPr>
          <w:i/>
          <w:iCs/>
        </w:rPr>
        <w:t xml:space="preserve"> </w:t>
      </w:r>
      <w:r w:rsidRPr="00A03B67">
        <w:t>s 2.</w:t>
      </w:r>
    </w:p>
  </w:footnote>
  <w:footnote w:id="812">
    <w:p w14:paraId="1F8A9B79" w14:textId="76963B48" w:rsidR="009A1D5D" w:rsidRPr="00A03B67" w:rsidRDefault="009A1D5D" w:rsidP="009A1D5D">
      <w:pPr>
        <w:pStyle w:val="FootnoteText"/>
      </w:pPr>
      <w:r w:rsidRPr="00A03B67">
        <w:rPr>
          <w:rStyle w:val="FootnoteReference"/>
        </w:rPr>
        <w:footnoteRef/>
      </w:r>
      <w:r w:rsidRPr="00A03B67">
        <w:t xml:space="preserve"> </w:t>
      </w:r>
      <w:r w:rsidR="00D933C2" w:rsidRPr="00A03B67">
        <w:t xml:space="preserve">K Seymour, M Marmo, A Cebulla, N Ibrahim, H Esmaeili, J Richards and E Sinopoli, </w:t>
      </w:r>
      <w:r w:rsidR="00D933C2" w:rsidRPr="00A03B67">
        <w:rPr>
          <w:i/>
          <w:iCs/>
        </w:rPr>
        <w:t xml:space="preserve">Independent Review of the Operation of the Paid Family and Domestic Violence Leave Entitlements in the Fair Work Act 2009 </w:t>
      </w:r>
      <w:r w:rsidR="00D933C2" w:rsidRPr="00A03B67">
        <w:t xml:space="preserve">(Report, Flinders University, 2024) </w:t>
      </w:r>
      <w:r w:rsidR="00333745" w:rsidRPr="00A03B67">
        <w:t>18</w:t>
      </w:r>
      <w:r w:rsidR="008363DD" w:rsidRPr="00A03B67">
        <w:t>, 29</w:t>
      </w:r>
      <w:r w:rsidR="00D933C2" w:rsidRPr="00A03B67">
        <w:t xml:space="preserve"> &lt;</w:t>
      </w:r>
      <w:r w:rsidR="0025485D" w:rsidRPr="00A03B67">
        <w:t>https://www.flinders.edu.au/content/dam/documents/fair-work/FU_Independent_Review_2022_FWA_Final_Report.pdf</w:t>
      </w:r>
      <w:r w:rsidR="00D933C2" w:rsidRPr="00A03B67">
        <w:t>&gt;.</w:t>
      </w:r>
    </w:p>
  </w:footnote>
  <w:footnote w:id="813">
    <w:p w14:paraId="237B32F9" w14:textId="7C6D2520" w:rsidR="009A1D5D" w:rsidRPr="00A03B67" w:rsidRDefault="009A1D5D" w:rsidP="009A1D5D">
      <w:pPr>
        <w:pStyle w:val="FootnoteText"/>
      </w:pPr>
      <w:r w:rsidRPr="00A03B67">
        <w:rPr>
          <w:rStyle w:val="FootnoteReference"/>
        </w:rPr>
        <w:footnoteRef/>
      </w:r>
      <w:r w:rsidRPr="00A03B67">
        <w:t xml:space="preserve"> </w:t>
      </w:r>
      <w:r w:rsidR="00D933C2" w:rsidRPr="00A03B67">
        <w:t xml:space="preserve">K Seymour, M Marmo, A Cebulla, N Ibrahim, H Esmaeili, J Richards and E Sinopoli, </w:t>
      </w:r>
      <w:r w:rsidR="00D933C2" w:rsidRPr="00A03B67">
        <w:rPr>
          <w:i/>
          <w:iCs/>
        </w:rPr>
        <w:t xml:space="preserve">Independent Review of the Operation of the Paid Family and Domestic Violence Leave Entitlements in the Fair Work Act 2009 </w:t>
      </w:r>
      <w:r w:rsidR="00D933C2" w:rsidRPr="00A03B67">
        <w:t>(Report, Flinders University, 2024) 8 &lt;</w:t>
      </w:r>
      <w:r w:rsidR="0025485D" w:rsidRPr="00A03B67">
        <w:t>https://www.flinders.edu.au/content/dam/documents/fair-work/FU_Independent_Review_2022_FWA_Final_Report.pdf</w:t>
      </w:r>
      <w:r w:rsidR="00D933C2" w:rsidRPr="00A03B67">
        <w:t xml:space="preserve">&gt;. </w:t>
      </w:r>
    </w:p>
  </w:footnote>
  <w:footnote w:id="814">
    <w:p w14:paraId="485F2EE8" w14:textId="02363317" w:rsidR="009A1D5D" w:rsidRPr="00A03B67" w:rsidRDefault="009A1D5D" w:rsidP="009A1D5D">
      <w:pPr>
        <w:pStyle w:val="FootnoteText"/>
      </w:pPr>
      <w:r w:rsidRPr="00A03B67">
        <w:rPr>
          <w:rStyle w:val="FootnoteReference"/>
        </w:rPr>
        <w:footnoteRef/>
      </w:r>
      <w:r w:rsidRPr="00A03B67">
        <w:t xml:space="preserve"> See</w:t>
      </w:r>
      <w:r w:rsidR="009437A6" w:rsidRPr="00A03B67">
        <w:t xml:space="preserve"> </w:t>
      </w:r>
      <w:r w:rsidRPr="00A03B67">
        <w:t>Fair Work Ombudsman</w:t>
      </w:r>
      <w:r w:rsidR="00D933C2" w:rsidRPr="00A03B67">
        <w:t>,</w:t>
      </w:r>
      <w:r w:rsidRPr="00A03B67">
        <w:t xml:space="preserve"> </w:t>
      </w:r>
      <w:r w:rsidR="00D933C2" w:rsidRPr="00A03B67">
        <w:rPr>
          <w:i/>
          <w:iCs/>
        </w:rPr>
        <w:t>Small Business Employer Guide to Family and Domestic Violence</w:t>
      </w:r>
      <w:r w:rsidR="00D933C2" w:rsidRPr="00A03B67">
        <w:t xml:space="preserve"> (</w:t>
      </w:r>
      <w:r w:rsidR="009437A6" w:rsidRPr="00A03B67">
        <w:t>2023</w:t>
      </w:r>
      <w:r w:rsidR="00D933C2" w:rsidRPr="00A03B67">
        <w:t xml:space="preserve">) </w:t>
      </w:r>
      <w:r w:rsidRPr="00A03B67">
        <w:t>8</w:t>
      </w:r>
      <w:r w:rsidR="00D933C2" w:rsidRPr="00A03B67">
        <w:t xml:space="preserve"> &lt;</w:t>
      </w:r>
      <w:r w:rsidR="0025485D" w:rsidRPr="00A03B67">
        <w:t>https://www.fairwork.gov.au/sites/default/files/migration/1414/employer-guide-to-family-and-domestic-violence.pdf</w:t>
      </w:r>
      <w:r w:rsidR="00D933C2" w:rsidRPr="00A03B67">
        <w:t>&gt;.</w:t>
      </w:r>
    </w:p>
  </w:footnote>
  <w:footnote w:id="815">
    <w:p w14:paraId="1BBB957C" w14:textId="0D9B738D" w:rsidR="004018DF" w:rsidRPr="00A03B67" w:rsidRDefault="004018DF" w:rsidP="004018DF">
      <w:pPr>
        <w:pStyle w:val="FootnoteText"/>
      </w:pPr>
      <w:r w:rsidRPr="00A03B67">
        <w:rPr>
          <w:rStyle w:val="FootnoteReference"/>
        </w:rPr>
        <w:footnoteRef/>
      </w:r>
      <w:r w:rsidRPr="00A03B67">
        <w:t xml:space="preserve"> </w:t>
      </w:r>
      <w:r w:rsidR="003C4573" w:rsidRPr="00A03B67">
        <w:rPr>
          <w:i/>
          <w:iCs/>
        </w:rPr>
        <w:t>F</w:t>
      </w:r>
      <w:r w:rsidR="009437A6" w:rsidRPr="00A03B67">
        <w:rPr>
          <w:i/>
          <w:iCs/>
        </w:rPr>
        <w:t xml:space="preserve">air </w:t>
      </w:r>
      <w:r w:rsidR="003C4573" w:rsidRPr="00A03B67">
        <w:rPr>
          <w:i/>
          <w:iCs/>
        </w:rPr>
        <w:t>W</w:t>
      </w:r>
      <w:r w:rsidR="009437A6" w:rsidRPr="00A03B67">
        <w:rPr>
          <w:i/>
          <w:iCs/>
        </w:rPr>
        <w:t>ork</w:t>
      </w:r>
      <w:r w:rsidR="003C4573" w:rsidRPr="00A03B67">
        <w:rPr>
          <w:i/>
          <w:iCs/>
        </w:rPr>
        <w:t xml:space="preserve"> Act</w:t>
      </w:r>
      <w:r w:rsidRPr="00A03B67">
        <w:rPr>
          <w:i/>
        </w:rPr>
        <w:t xml:space="preserve"> </w:t>
      </w:r>
      <w:r w:rsidR="009437A6" w:rsidRPr="00A03B67">
        <w:rPr>
          <w:i/>
        </w:rPr>
        <w:t xml:space="preserve">2009 </w:t>
      </w:r>
      <w:r w:rsidR="009437A6" w:rsidRPr="00A03B67">
        <w:t xml:space="preserve">(Cth) </w:t>
      </w:r>
      <w:r w:rsidR="003C4573" w:rsidRPr="00A03B67">
        <w:rPr>
          <w:rFonts w:cstheme="minorHAnsi"/>
        </w:rPr>
        <w:t xml:space="preserve">s </w:t>
      </w:r>
      <w:r w:rsidRPr="00A03B67">
        <w:rPr>
          <w:rFonts w:cstheme="minorHAnsi"/>
        </w:rPr>
        <w:t>3(a)</w:t>
      </w:r>
      <w:r w:rsidR="003C4573" w:rsidRPr="00A03B67">
        <w:rPr>
          <w:rFonts w:cstheme="minorHAnsi"/>
        </w:rPr>
        <w:t>.</w:t>
      </w:r>
    </w:p>
  </w:footnote>
  <w:footnote w:id="816">
    <w:p w14:paraId="069759D2" w14:textId="7D2DC4DC" w:rsidR="009A1D5D" w:rsidRPr="00A03B67" w:rsidRDefault="009A1D5D" w:rsidP="009A1D5D">
      <w:pPr>
        <w:pStyle w:val="FootnoteText"/>
      </w:pPr>
      <w:r w:rsidRPr="00A03B67">
        <w:rPr>
          <w:rStyle w:val="FootnoteReference"/>
        </w:rPr>
        <w:footnoteRef/>
      </w:r>
      <w:r w:rsidRPr="00A03B67">
        <w:t xml:space="preserve"> </w:t>
      </w:r>
      <w:r w:rsidRPr="00A03B67">
        <w:rPr>
          <w:i/>
          <w:iCs/>
        </w:rPr>
        <w:t>Annual Wage Review 2022</w:t>
      </w:r>
      <w:r w:rsidR="009437A6" w:rsidRPr="00A03B67">
        <w:rPr>
          <w:rFonts w:ascii="Symbol" w:eastAsia="Symbol" w:hAnsi="Symbol" w:cs="Symbol"/>
          <w:i/>
          <w:iCs/>
        </w:rPr>
        <w:t>-</w:t>
      </w:r>
      <w:r w:rsidRPr="00A03B67">
        <w:rPr>
          <w:i/>
          <w:iCs/>
        </w:rPr>
        <w:t xml:space="preserve">23 </w:t>
      </w:r>
      <w:r w:rsidRPr="00A03B67">
        <w:t>[2023] FWCFC 3500 (2 June 2023) [24]</w:t>
      </w:r>
      <w:r w:rsidR="009437A6" w:rsidRPr="00A03B67">
        <w:t>,</w:t>
      </w:r>
      <w:r w:rsidRPr="00A03B67">
        <w:t xml:space="preserve"> citing the Revised Explanatory Memorandum, Fair Work Legislation Amendment (Secure Jobs, Better Pay) Bill</w:t>
      </w:r>
      <w:r w:rsidRPr="00A03B67">
        <w:rPr>
          <w:i/>
          <w:iCs/>
        </w:rPr>
        <w:t xml:space="preserve"> </w:t>
      </w:r>
      <w:r w:rsidRPr="00A03B67">
        <w:t xml:space="preserve">2022 [330]. </w:t>
      </w:r>
    </w:p>
  </w:footnote>
  <w:footnote w:id="817">
    <w:p w14:paraId="775D711A" w14:textId="5FE63291" w:rsidR="009A1D5D" w:rsidRPr="00A03B67" w:rsidRDefault="009A1D5D" w:rsidP="009A1D5D">
      <w:pPr>
        <w:pStyle w:val="FootnoteText"/>
      </w:pPr>
      <w:r w:rsidRPr="00A03B67">
        <w:rPr>
          <w:rStyle w:val="FootnoteReference"/>
        </w:rPr>
        <w:footnoteRef/>
      </w:r>
      <w:r w:rsidRPr="00A03B67">
        <w:t xml:space="preserve"> </w:t>
      </w:r>
      <w:r w:rsidRPr="00A03B67">
        <w:rPr>
          <w:i/>
          <w:iCs/>
        </w:rPr>
        <w:t>Annual Wage Review 2022</w:t>
      </w:r>
      <w:r w:rsidR="009437A6" w:rsidRPr="00A03B67">
        <w:rPr>
          <w:rFonts w:ascii="Symbol" w:eastAsia="Symbol" w:hAnsi="Symbol" w:cs="Symbol"/>
          <w:i/>
          <w:iCs/>
        </w:rPr>
        <w:t>-</w:t>
      </w:r>
      <w:r w:rsidRPr="00A03B67">
        <w:rPr>
          <w:i/>
          <w:iCs/>
        </w:rPr>
        <w:t>23</w:t>
      </w:r>
      <w:r w:rsidRPr="00A03B67" w:rsidDel="006826A3">
        <w:t xml:space="preserve"> </w:t>
      </w:r>
      <w:r w:rsidR="009437A6" w:rsidRPr="00A03B67">
        <w:t xml:space="preserve">[2023] FWCFC 3500 (2 June 2023) </w:t>
      </w:r>
      <w:r w:rsidRPr="00A03B67">
        <w:t>[30]</w:t>
      </w:r>
      <w:r w:rsidR="009437A6" w:rsidRPr="00A03B67">
        <w:t>,</w:t>
      </w:r>
      <w:r w:rsidRPr="00A03B67">
        <w:t xml:space="preserve"> citing the Revised Explanatory Memorandum, Fair Work Legislation Amendment (Secure Jobs, Better Pay) Bill</w:t>
      </w:r>
      <w:r w:rsidRPr="00A03B67">
        <w:rPr>
          <w:i/>
          <w:iCs/>
        </w:rPr>
        <w:t xml:space="preserve"> </w:t>
      </w:r>
      <w:r w:rsidRPr="00A03B67">
        <w:t xml:space="preserve">2022 [334]. </w:t>
      </w:r>
    </w:p>
  </w:footnote>
  <w:footnote w:id="818">
    <w:p w14:paraId="56C8EBE7" w14:textId="67A97E2F" w:rsidR="009A1D5D" w:rsidRPr="00A03B67" w:rsidRDefault="009A1D5D" w:rsidP="009A1D5D">
      <w:pPr>
        <w:pStyle w:val="FootnoteText"/>
        <w:rPr>
          <w:lang w:val="en-US"/>
        </w:rPr>
      </w:pPr>
      <w:r w:rsidRPr="00A03B67">
        <w:rPr>
          <w:rStyle w:val="FootnoteReference"/>
        </w:rPr>
        <w:footnoteRef/>
      </w:r>
      <w:r w:rsidRPr="00A03B67">
        <w:t xml:space="preserve"> </w:t>
      </w:r>
      <w:r w:rsidRPr="00A03B67">
        <w:rPr>
          <w:lang w:val="en-US"/>
        </w:rPr>
        <w:t xml:space="preserve">These estimates are based on data from the HILDA </w:t>
      </w:r>
      <w:r w:rsidR="009437A6" w:rsidRPr="00A03B67">
        <w:rPr>
          <w:lang w:val="en-US"/>
        </w:rPr>
        <w:t>s</w:t>
      </w:r>
      <w:r w:rsidRPr="00A03B67">
        <w:rPr>
          <w:lang w:val="en-US"/>
        </w:rPr>
        <w:t xml:space="preserve">urvey, wave 2023. See, also, Chapter </w:t>
      </w:r>
      <w:r w:rsidR="009F034D" w:rsidRPr="00A03B67">
        <w:rPr>
          <w:lang w:val="en-US"/>
        </w:rPr>
        <w:t>22</w:t>
      </w:r>
      <w:r w:rsidR="00335B51" w:rsidRPr="00A03B67">
        <w:rPr>
          <w:lang w:val="en-US"/>
        </w:rPr>
        <w:t>.</w:t>
      </w:r>
    </w:p>
  </w:footnote>
  <w:footnote w:id="819">
    <w:p w14:paraId="0696D20B" w14:textId="1D81CF8C" w:rsidR="00C83147" w:rsidRPr="00A03B67" w:rsidRDefault="00C83147" w:rsidP="00C83147">
      <w:pPr>
        <w:pStyle w:val="FootnoteText"/>
        <w:rPr>
          <w:i/>
        </w:rPr>
      </w:pPr>
      <w:r w:rsidRPr="00A03B67">
        <w:rPr>
          <w:rStyle w:val="FootnoteReference"/>
        </w:rPr>
        <w:footnoteRef/>
      </w:r>
      <w:r w:rsidRPr="00A03B67">
        <w:t xml:space="preserve"> </w:t>
      </w:r>
      <w:r w:rsidRPr="00A03B67">
        <w:rPr>
          <w:i/>
          <w:iCs/>
        </w:rPr>
        <w:t xml:space="preserve"> Annual Wage Review 2022</w:t>
      </w:r>
      <w:r w:rsidR="009437A6" w:rsidRPr="00A03B67">
        <w:rPr>
          <w:rFonts w:ascii="Symbol" w:eastAsia="Symbol" w:hAnsi="Symbol" w:cs="Symbol"/>
          <w:i/>
          <w:iCs/>
        </w:rPr>
        <w:t>-</w:t>
      </w:r>
      <w:r w:rsidRPr="00A03B67">
        <w:rPr>
          <w:i/>
          <w:iCs/>
        </w:rPr>
        <w:t>23</w:t>
      </w:r>
      <w:r w:rsidRPr="00A03B67">
        <w:rPr>
          <w:i/>
        </w:rPr>
        <w:t xml:space="preserve"> </w:t>
      </w:r>
      <w:r w:rsidRPr="00A03B67">
        <w:t>[2023] FWCFC 3500 (2 June 2023) [30]</w:t>
      </w:r>
      <w:r w:rsidR="009437A6" w:rsidRPr="00A03B67">
        <w:t>,</w:t>
      </w:r>
      <w:r w:rsidRPr="00A03B67">
        <w:t xml:space="preserve"> citing the Revised Explanatory Memorandum, Fair Work Legislation Amendment (Secure Jobs, Better Pay) Bill</w:t>
      </w:r>
      <w:r w:rsidRPr="00A03B67">
        <w:rPr>
          <w:i/>
          <w:iCs/>
        </w:rPr>
        <w:t xml:space="preserve"> </w:t>
      </w:r>
      <w:r w:rsidRPr="00A03B67">
        <w:t>2022 [26].</w:t>
      </w:r>
    </w:p>
  </w:footnote>
  <w:footnote w:id="820">
    <w:p w14:paraId="25167083" w14:textId="0D13EF9A" w:rsidR="00C83147" w:rsidRPr="00A03B67" w:rsidRDefault="00C83147" w:rsidP="00C83147">
      <w:pPr>
        <w:pStyle w:val="FootnoteText"/>
      </w:pPr>
      <w:r w:rsidRPr="00A03B67">
        <w:rPr>
          <w:rStyle w:val="FootnoteReference"/>
        </w:rPr>
        <w:footnoteRef/>
      </w:r>
      <w:r w:rsidRPr="00A03B67">
        <w:t xml:space="preserve"> </w:t>
      </w:r>
      <w:r w:rsidRPr="00A03B67">
        <w:rPr>
          <w:i/>
          <w:iCs/>
        </w:rPr>
        <w:t>Annual Wage Review 2022</w:t>
      </w:r>
      <w:r w:rsidR="009437A6" w:rsidRPr="00A03B67">
        <w:rPr>
          <w:rFonts w:ascii="Symbol" w:eastAsia="Symbol" w:hAnsi="Symbol" w:cs="Symbol"/>
          <w:i/>
          <w:iCs/>
        </w:rPr>
        <w:t>-</w:t>
      </w:r>
      <w:r w:rsidRPr="00A03B67">
        <w:rPr>
          <w:i/>
          <w:iCs/>
        </w:rPr>
        <w:t>23</w:t>
      </w:r>
      <w:r w:rsidRPr="00A03B67">
        <w:rPr>
          <w:i/>
        </w:rPr>
        <w:t xml:space="preserve"> </w:t>
      </w:r>
      <w:r w:rsidRPr="00A03B67">
        <w:t>[2023] FWCFC 3500 (2 June 2023) [30].</w:t>
      </w:r>
    </w:p>
  </w:footnote>
  <w:footnote w:id="821">
    <w:p w14:paraId="4A331933" w14:textId="58A0EC39" w:rsidR="00C83147" w:rsidRPr="00A03B67" w:rsidRDefault="00C83147" w:rsidP="00C83147">
      <w:pPr>
        <w:pStyle w:val="FootnoteText"/>
      </w:pPr>
      <w:r w:rsidRPr="00A03B67">
        <w:rPr>
          <w:rStyle w:val="FootnoteReference"/>
        </w:rPr>
        <w:footnoteRef/>
      </w:r>
      <w:r w:rsidRPr="00A03B67">
        <w:t xml:space="preserve"> </w:t>
      </w:r>
      <w:r w:rsidRPr="00A03B67">
        <w:rPr>
          <w:i/>
          <w:iCs/>
        </w:rPr>
        <w:t>Annual Wage Review 2023</w:t>
      </w:r>
      <w:r w:rsidR="009437A6" w:rsidRPr="00A03B67">
        <w:rPr>
          <w:rFonts w:ascii="Symbol" w:eastAsia="Symbol" w:hAnsi="Symbol" w:cs="Symbol"/>
          <w:i/>
          <w:iCs/>
        </w:rPr>
        <w:t>-</w:t>
      </w:r>
      <w:r w:rsidRPr="00A03B67">
        <w:rPr>
          <w:i/>
          <w:iCs/>
        </w:rPr>
        <w:t xml:space="preserve">24 </w:t>
      </w:r>
      <w:r w:rsidRPr="00A03B67">
        <w:t>[2024] FWCFB 3500 (3 June 2024) [133]</w:t>
      </w:r>
      <w:r w:rsidRPr="00A03B67">
        <w:rPr>
          <w:i/>
          <w:iCs/>
        </w:rPr>
        <w:t xml:space="preserve">. </w:t>
      </w:r>
    </w:p>
  </w:footnote>
  <w:footnote w:id="822">
    <w:p w14:paraId="31591580" w14:textId="3A0320CB" w:rsidR="00CA4033" w:rsidRPr="00A03B67" w:rsidRDefault="00CA4033">
      <w:pPr>
        <w:pStyle w:val="FootnoteText"/>
      </w:pPr>
      <w:r w:rsidRPr="00A03B67">
        <w:rPr>
          <w:rStyle w:val="FootnoteReference"/>
        </w:rPr>
        <w:footnoteRef/>
      </w:r>
      <w:r w:rsidRPr="00A03B67">
        <w:t xml:space="preserve"> </w:t>
      </w:r>
      <w:r w:rsidR="009437A6" w:rsidRPr="00A03B67">
        <w:t xml:space="preserve">Fair Work Commission, </w:t>
      </w:r>
      <w:r w:rsidR="009034BD" w:rsidRPr="00A03B67">
        <w:rPr>
          <w:i/>
        </w:rPr>
        <w:t>Modern Awards Review 2023</w:t>
      </w:r>
      <w:r w:rsidR="009437A6" w:rsidRPr="00A03B67">
        <w:rPr>
          <w:rFonts w:ascii="Symbol" w:eastAsia="Symbol" w:hAnsi="Symbol" w:cs="Symbol"/>
          <w:i/>
        </w:rPr>
        <w:t>-</w:t>
      </w:r>
      <w:r w:rsidR="009034BD" w:rsidRPr="00A03B67">
        <w:rPr>
          <w:i/>
        </w:rPr>
        <w:t>24</w:t>
      </w:r>
      <w:r w:rsidR="009034BD" w:rsidRPr="00A03B67">
        <w:t xml:space="preserve"> </w:t>
      </w:r>
      <w:r w:rsidR="00CF61E7" w:rsidRPr="00A03B67">
        <w:t>(</w:t>
      </w:r>
      <w:r w:rsidR="009437A6" w:rsidRPr="00A03B67">
        <w:t xml:space="preserve">Report, </w:t>
      </w:r>
      <w:r w:rsidR="00CF61E7" w:rsidRPr="00A03B67">
        <w:t>2024)</w:t>
      </w:r>
      <w:r w:rsidR="009034BD" w:rsidRPr="00A03B67">
        <w:t xml:space="preserve"> [50] </w:t>
      </w:r>
      <w:r w:rsidR="009437A6" w:rsidRPr="00A03B67">
        <w:t>&lt;</w:t>
      </w:r>
      <w:r w:rsidR="009034BD" w:rsidRPr="00A03B67">
        <w:rPr>
          <w:strike/>
        </w:rPr>
        <w:t>h</w:t>
      </w:r>
      <w:r w:rsidR="009034BD" w:rsidRPr="00A03B67">
        <w:t>ttps://www.fwc.gov.au/documents/sites/award-review-2023-24/am202321-review-report-180724.pdf</w:t>
      </w:r>
      <w:r w:rsidR="009437A6" w:rsidRPr="00A03B67">
        <w:t>&gt;.</w:t>
      </w:r>
    </w:p>
  </w:footnote>
  <w:footnote w:id="823">
    <w:p w14:paraId="3A83CB37" w14:textId="250DD87A" w:rsidR="009A1D5D" w:rsidRPr="00A03B67" w:rsidRDefault="009A1D5D" w:rsidP="009A1D5D">
      <w:pPr>
        <w:pStyle w:val="FootnoteText"/>
      </w:pPr>
      <w:r w:rsidRPr="00A03B67">
        <w:rPr>
          <w:rStyle w:val="FootnoteReference"/>
        </w:rPr>
        <w:footnoteRef/>
      </w:r>
      <w:r w:rsidRPr="00A03B67">
        <w:t xml:space="preserve"> </w:t>
      </w:r>
      <w:r w:rsidR="00CF61E7" w:rsidRPr="00A03B67">
        <w:rPr>
          <w:i/>
        </w:rPr>
        <w:t>Annual Wage Review 2022</w:t>
      </w:r>
      <w:r w:rsidR="009437A6" w:rsidRPr="00A03B67">
        <w:rPr>
          <w:rFonts w:ascii="Symbol" w:eastAsia="Symbol" w:hAnsi="Symbol" w:cs="Symbol"/>
          <w:i/>
        </w:rPr>
        <w:t>-</w:t>
      </w:r>
      <w:r w:rsidR="00CF61E7" w:rsidRPr="00A03B67">
        <w:rPr>
          <w:i/>
        </w:rPr>
        <w:t xml:space="preserve">23 </w:t>
      </w:r>
      <w:r w:rsidR="0034130E" w:rsidRPr="00A03B67">
        <w:t xml:space="preserve">[2023] FWCFC 3500 (2 June 2023) </w:t>
      </w:r>
      <w:r w:rsidR="006157F0" w:rsidRPr="00A03B67">
        <w:t>10.</w:t>
      </w:r>
    </w:p>
  </w:footnote>
  <w:footnote w:id="824">
    <w:p w14:paraId="28DD707A" w14:textId="1F3673CC" w:rsidR="00F62D6F" w:rsidRPr="00A03B67" w:rsidRDefault="00F62D6F">
      <w:pPr>
        <w:pStyle w:val="FootnoteText"/>
      </w:pPr>
      <w:r w:rsidRPr="00A03B67">
        <w:rPr>
          <w:rStyle w:val="FootnoteReference"/>
        </w:rPr>
        <w:footnoteRef/>
      </w:r>
      <w:r w:rsidRPr="00A03B67">
        <w:t xml:space="preserve"> </w:t>
      </w:r>
      <w:r w:rsidR="0034130E" w:rsidRPr="00A03B67">
        <w:rPr>
          <w:i/>
          <w:iCs/>
        </w:rPr>
        <w:t>Annual Wage Review 2022</w:t>
      </w:r>
      <w:r w:rsidR="009437A6" w:rsidRPr="00A03B67">
        <w:rPr>
          <w:rFonts w:ascii="Symbol" w:eastAsia="Symbol" w:hAnsi="Symbol" w:cs="Symbol"/>
          <w:i/>
          <w:iCs/>
        </w:rPr>
        <w:t>-</w:t>
      </w:r>
      <w:r w:rsidR="0034130E" w:rsidRPr="00A03B67">
        <w:rPr>
          <w:i/>
          <w:iCs/>
        </w:rPr>
        <w:t xml:space="preserve">23 </w:t>
      </w:r>
      <w:r w:rsidR="0034130E" w:rsidRPr="00A03B67">
        <w:t xml:space="preserve">[2023] FWCFC 3500 (2 June 2023) </w:t>
      </w:r>
      <w:r w:rsidRPr="00A03B67">
        <w:t>[40]</w:t>
      </w:r>
      <w:r w:rsidR="006157F0" w:rsidRPr="00A03B67">
        <w:t>.</w:t>
      </w:r>
    </w:p>
  </w:footnote>
  <w:footnote w:id="825">
    <w:p w14:paraId="08E62327" w14:textId="07052AC9" w:rsidR="004F3355" w:rsidRPr="00A03B67" w:rsidRDefault="004F3355">
      <w:pPr>
        <w:pStyle w:val="FootnoteText"/>
      </w:pPr>
      <w:r w:rsidRPr="00A03B67">
        <w:rPr>
          <w:rStyle w:val="FootnoteReference"/>
        </w:rPr>
        <w:footnoteRef/>
      </w:r>
      <w:r w:rsidRPr="00A03B67">
        <w:t xml:space="preserve"> </w:t>
      </w:r>
      <w:r w:rsidR="00E23D70" w:rsidRPr="00A03B67">
        <w:rPr>
          <w:i/>
          <w:iCs/>
        </w:rPr>
        <w:t>Annual Wage Review 2022</w:t>
      </w:r>
      <w:r w:rsidR="009437A6" w:rsidRPr="00A03B67">
        <w:rPr>
          <w:rFonts w:ascii="Symbol" w:eastAsia="Symbol" w:hAnsi="Symbol" w:cs="Symbol"/>
          <w:i/>
          <w:iCs/>
        </w:rPr>
        <w:t>-</w:t>
      </w:r>
      <w:r w:rsidR="00E23D70" w:rsidRPr="00A03B67">
        <w:rPr>
          <w:i/>
          <w:iCs/>
        </w:rPr>
        <w:t xml:space="preserve">23 </w:t>
      </w:r>
      <w:r w:rsidR="00E23D70" w:rsidRPr="00A03B67">
        <w:t>[</w:t>
      </w:r>
      <w:r w:rsidR="0034130E" w:rsidRPr="00A03B67">
        <w:t xml:space="preserve">2023] FWCFC 3500 (2 June 2023) </w:t>
      </w:r>
      <w:r w:rsidR="00E23D70" w:rsidRPr="00A03B67">
        <w:t>[174];</w:t>
      </w:r>
      <w:r w:rsidR="00E23D70" w:rsidRPr="00A03B67">
        <w:rPr>
          <w:rFonts w:cstheme="minorHAnsi"/>
        </w:rPr>
        <w:t xml:space="preserve"> </w:t>
      </w:r>
      <w:r w:rsidR="00E23D70" w:rsidRPr="00A03B67">
        <w:rPr>
          <w:rFonts w:cstheme="minorHAnsi"/>
          <w:i/>
          <w:iCs/>
        </w:rPr>
        <w:t>F</w:t>
      </w:r>
      <w:r w:rsidR="009437A6" w:rsidRPr="00A03B67">
        <w:rPr>
          <w:rFonts w:cstheme="minorHAnsi"/>
          <w:i/>
          <w:iCs/>
        </w:rPr>
        <w:t xml:space="preserve">air </w:t>
      </w:r>
      <w:r w:rsidR="00E23D70" w:rsidRPr="00A03B67">
        <w:rPr>
          <w:rFonts w:cstheme="minorHAnsi"/>
          <w:i/>
          <w:iCs/>
        </w:rPr>
        <w:t>W</w:t>
      </w:r>
      <w:r w:rsidR="009437A6" w:rsidRPr="00A03B67">
        <w:rPr>
          <w:rFonts w:cstheme="minorHAnsi"/>
          <w:i/>
          <w:iCs/>
        </w:rPr>
        <w:t>ork</w:t>
      </w:r>
      <w:r w:rsidR="00E23D70" w:rsidRPr="00A03B67">
        <w:rPr>
          <w:rFonts w:cstheme="minorHAnsi"/>
          <w:i/>
          <w:iCs/>
        </w:rPr>
        <w:t xml:space="preserve"> Act </w:t>
      </w:r>
      <w:r w:rsidR="009437A6" w:rsidRPr="00A03B67">
        <w:rPr>
          <w:rFonts w:cstheme="minorHAnsi"/>
          <w:i/>
          <w:iCs/>
        </w:rPr>
        <w:t xml:space="preserve">2009 </w:t>
      </w:r>
      <w:r w:rsidR="009437A6" w:rsidRPr="00A03B67">
        <w:rPr>
          <w:rFonts w:cstheme="minorHAnsi"/>
        </w:rPr>
        <w:t xml:space="preserve">(Cth) </w:t>
      </w:r>
      <w:r w:rsidR="00E23D70" w:rsidRPr="00A03B67">
        <w:rPr>
          <w:rFonts w:cstheme="minorHAnsi"/>
        </w:rPr>
        <w:t xml:space="preserve">s </w:t>
      </w:r>
      <w:r w:rsidRPr="00A03B67">
        <w:rPr>
          <w:rFonts w:cstheme="minorHAnsi"/>
        </w:rPr>
        <w:t>284(1)(aa)</w:t>
      </w:r>
      <w:r w:rsidR="00E23D70" w:rsidRPr="00A03B67">
        <w:rPr>
          <w:rFonts w:cstheme="minorHAnsi"/>
        </w:rPr>
        <w:t>.</w:t>
      </w:r>
    </w:p>
  </w:footnote>
  <w:footnote w:id="826">
    <w:p w14:paraId="6D17D279" w14:textId="6C47140B" w:rsidR="009A1D5D" w:rsidRPr="00A03B67" w:rsidRDefault="009A1D5D" w:rsidP="009A1D5D">
      <w:pPr>
        <w:pStyle w:val="FootnoteText"/>
      </w:pPr>
      <w:r w:rsidRPr="00A03B67">
        <w:rPr>
          <w:rStyle w:val="FootnoteReference"/>
        </w:rPr>
        <w:footnoteRef/>
      </w:r>
      <w:r w:rsidRPr="00A03B67">
        <w:t xml:space="preserve"> </w:t>
      </w:r>
      <w:r w:rsidRPr="00A03B67">
        <w:rPr>
          <w:i/>
          <w:iCs/>
        </w:rPr>
        <w:t>Annual Wage Review 2023</w:t>
      </w:r>
      <w:r w:rsidR="009437A6" w:rsidRPr="00A03B67">
        <w:rPr>
          <w:rFonts w:ascii="Symbol" w:eastAsia="Symbol" w:hAnsi="Symbol" w:cs="Symbol"/>
          <w:i/>
          <w:iCs/>
        </w:rPr>
        <w:t>-</w:t>
      </w:r>
      <w:r w:rsidRPr="00A03B67">
        <w:rPr>
          <w:i/>
          <w:iCs/>
        </w:rPr>
        <w:t xml:space="preserve">24 </w:t>
      </w:r>
      <w:r w:rsidR="00EC3C10" w:rsidRPr="00A03B67">
        <w:t xml:space="preserve">[2024] FWCFB 3500 (3 June 2024) </w:t>
      </w:r>
      <w:r w:rsidRPr="00A03B67">
        <w:t>[133]</w:t>
      </w:r>
      <w:r w:rsidR="004D258B" w:rsidRPr="00A03B67">
        <w:t>.</w:t>
      </w:r>
      <w:r w:rsidRPr="00A03B67">
        <w:t xml:space="preserve"> </w:t>
      </w:r>
      <w:r w:rsidRPr="00A03B67">
        <w:rPr>
          <w:i/>
          <w:iCs/>
        </w:rPr>
        <w:t xml:space="preserve"> </w:t>
      </w:r>
    </w:p>
  </w:footnote>
  <w:footnote w:id="827">
    <w:p w14:paraId="45F24F76" w14:textId="03DFEC40" w:rsidR="009A1D5D" w:rsidRPr="00A03B67" w:rsidRDefault="009A1D5D" w:rsidP="009A1D5D">
      <w:pPr>
        <w:pStyle w:val="FootnoteText"/>
      </w:pPr>
      <w:r w:rsidRPr="00A03B67">
        <w:rPr>
          <w:rStyle w:val="FootnoteReference"/>
        </w:rPr>
        <w:footnoteRef/>
      </w:r>
      <w:r w:rsidRPr="00A03B67">
        <w:t xml:space="preserve"> </w:t>
      </w:r>
      <w:r w:rsidR="00EC3C10" w:rsidRPr="00A03B67">
        <w:rPr>
          <w:i/>
          <w:iCs/>
        </w:rPr>
        <w:t>Annual Wage Review 2023</w:t>
      </w:r>
      <w:r w:rsidR="009437A6" w:rsidRPr="00A03B67">
        <w:rPr>
          <w:rFonts w:ascii="Symbol" w:eastAsia="Symbol" w:hAnsi="Symbol" w:cs="Symbol"/>
          <w:i/>
          <w:iCs/>
        </w:rPr>
        <w:t>-</w:t>
      </w:r>
      <w:r w:rsidR="00EC3C10" w:rsidRPr="00A03B67">
        <w:rPr>
          <w:i/>
          <w:iCs/>
        </w:rPr>
        <w:t xml:space="preserve">24 </w:t>
      </w:r>
      <w:r w:rsidR="00EC3C10" w:rsidRPr="00A03B67">
        <w:t>[2024] FWCFB 3500 (3 June 2024)</w:t>
      </w:r>
      <w:r w:rsidRPr="00A03B67">
        <w:t xml:space="preserve"> [134]</w:t>
      </w:r>
      <w:r w:rsidR="009437A6" w:rsidRPr="00A03B67">
        <w:rPr>
          <w:rFonts w:ascii="Symbol" w:eastAsia="Symbol" w:hAnsi="Symbol" w:cs="Symbol"/>
        </w:rPr>
        <w:t>-</w:t>
      </w:r>
      <w:r w:rsidRPr="00A03B67">
        <w:t xml:space="preserve">[135]. </w:t>
      </w:r>
    </w:p>
  </w:footnote>
  <w:footnote w:id="828">
    <w:p w14:paraId="17C29CBE" w14:textId="4076F8F0" w:rsidR="00312EA1" w:rsidRPr="00A03B67" w:rsidRDefault="00312EA1" w:rsidP="00312EA1">
      <w:pPr>
        <w:pStyle w:val="FootnoteText"/>
      </w:pPr>
      <w:r w:rsidRPr="00A03B67">
        <w:rPr>
          <w:rStyle w:val="FootnoteReference"/>
        </w:rPr>
        <w:footnoteRef/>
      </w:r>
      <w:r w:rsidRPr="00A03B67">
        <w:t xml:space="preserve"> </w:t>
      </w:r>
      <w:r w:rsidR="003E63E2" w:rsidRPr="00A03B67">
        <w:rPr>
          <w:i/>
          <w:iCs/>
        </w:rPr>
        <w:t>Annual Wage Review 2023</w:t>
      </w:r>
      <w:r w:rsidR="009437A6" w:rsidRPr="00A03B67">
        <w:rPr>
          <w:rFonts w:ascii="Symbol" w:eastAsia="Symbol" w:hAnsi="Symbol" w:cs="Symbol"/>
          <w:i/>
          <w:iCs/>
        </w:rPr>
        <w:t>-</w:t>
      </w:r>
      <w:r w:rsidR="003E63E2" w:rsidRPr="00A03B67">
        <w:rPr>
          <w:i/>
          <w:iCs/>
        </w:rPr>
        <w:t xml:space="preserve">24 </w:t>
      </w:r>
      <w:r w:rsidR="003E63E2" w:rsidRPr="00A03B67">
        <w:t>[</w:t>
      </w:r>
      <w:r w:rsidR="0034130E" w:rsidRPr="00A03B67">
        <w:t xml:space="preserve">2024] FWCFB 3500 (3 June 2024) </w:t>
      </w:r>
      <w:r w:rsidR="003E63E2" w:rsidRPr="00A03B67">
        <w:t>[8].</w:t>
      </w:r>
      <w:r w:rsidRPr="00A03B67">
        <w:t xml:space="preserve"> </w:t>
      </w:r>
    </w:p>
  </w:footnote>
  <w:footnote w:id="829">
    <w:p w14:paraId="2003D401" w14:textId="2F38F70A" w:rsidR="00312EA1" w:rsidRPr="00A03B67" w:rsidRDefault="00312EA1" w:rsidP="00312EA1">
      <w:pPr>
        <w:pStyle w:val="FootnoteText"/>
      </w:pPr>
      <w:r w:rsidRPr="00A03B67">
        <w:rPr>
          <w:rStyle w:val="FootnoteReference"/>
        </w:rPr>
        <w:footnoteRef/>
      </w:r>
      <w:r w:rsidRPr="00A03B67">
        <w:t xml:space="preserve"> </w:t>
      </w:r>
      <w:r w:rsidR="003E63E2" w:rsidRPr="00A03B67">
        <w:rPr>
          <w:i/>
          <w:iCs/>
        </w:rPr>
        <w:t>Annual Wage Review 2023</w:t>
      </w:r>
      <w:r w:rsidR="009437A6" w:rsidRPr="00A03B67">
        <w:rPr>
          <w:rFonts w:ascii="Symbol" w:eastAsia="Symbol" w:hAnsi="Symbol" w:cs="Symbol"/>
          <w:i/>
          <w:iCs/>
        </w:rPr>
        <w:t>-</w:t>
      </w:r>
      <w:r w:rsidR="003E63E2" w:rsidRPr="00A03B67">
        <w:rPr>
          <w:i/>
          <w:iCs/>
        </w:rPr>
        <w:t xml:space="preserve">24 </w:t>
      </w:r>
      <w:r w:rsidR="003E63E2" w:rsidRPr="00A03B67">
        <w:t>[</w:t>
      </w:r>
      <w:r w:rsidR="0034130E" w:rsidRPr="00A03B67">
        <w:t xml:space="preserve">2024] FWCFB 3500 (3 June 2024) </w:t>
      </w:r>
      <w:r w:rsidR="003E63E2" w:rsidRPr="00A03B67">
        <w:t>[5].</w:t>
      </w:r>
      <w:r w:rsidRPr="00A03B67">
        <w:t xml:space="preserve"> </w:t>
      </w:r>
    </w:p>
  </w:footnote>
  <w:footnote w:id="830">
    <w:p w14:paraId="4DE8FFEE" w14:textId="376A0B08" w:rsidR="00312EA1" w:rsidRPr="00A03B67" w:rsidRDefault="00312EA1" w:rsidP="00312EA1">
      <w:pPr>
        <w:pStyle w:val="FootnoteText"/>
      </w:pPr>
      <w:r w:rsidRPr="00A03B67">
        <w:rPr>
          <w:rStyle w:val="FootnoteReference"/>
        </w:rPr>
        <w:footnoteRef/>
      </w:r>
      <w:r w:rsidRPr="00A03B67">
        <w:t xml:space="preserve"> </w:t>
      </w:r>
      <w:r w:rsidR="000C61D4" w:rsidRPr="00A03B67">
        <w:rPr>
          <w:i/>
          <w:iCs/>
        </w:rPr>
        <w:t>Annual Wage Review 2023</w:t>
      </w:r>
      <w:r w:rsidR="009437A6" w:rsidRPr="00A03B67">
        <w:rPr>
          <w:rFonts w:ascii="Symbol" w:eastAsia="Symbol" w:hAnsi="Symbol" w:cs="Symbol"/>
          <w:i/>
          <w:iCs/>
        </w:rPr>
        <w:t>-</w:t>
      </w:r>
      <w:r w:rsidR="000C61D4" w:rsidRPr="00A03B67">
        <w:rPr>
          <w:i/>
          <w:iCs/>
        </w:rPr>
        <w:t xml:space="preserve">24 </w:t>
      </w:r>
      <w:r w:rsidR="000C61D4" w:rsidRPr="00A03B67">
        <w:t>[</w:t>
      </w:r>
      <w:r w:rsidR="0034130E" w:rsidRPr="00A03B67">
        <w:t xml:space="preserve">2024] FWCFB 3500 (3 June 2024) </w:t>
      </w:r>
      <w:r w:rsidR="000C61D4" w:rsidRPr="00A03B67">
        <w:t>[10].</w:t>
      </w:r>
      <w:r w:rsidRPr="00A03B67">
        <w:t xml:space="preserve"> </w:t>
      </w:r>
    </w:p>
  </w:footnote>
  <w:footnote w:id="831">
    <w:p w14:paraId="7BDF4418" w14:textId="77777777" w:rsidR="009A1D5D" w:rsidRPr="00A03B67" w:rsidRDefault="009A1D5D" w:rsidP="009A1D5D">
      <w:pPr>
        <w:pStyle w:val="FootnoteText"/>
      </w:pPr>
      <w:r w:rsidRPr="00A03B67">
        <w:rPr>
          <w:rStyle w:val="FootnoteReference"/>
        </w:rPr>
        <w:footnoteRef/>
      </w:r>
      <w:r w:rsidRPr="00A03B67">
        <w:t xml:space="preserve"> </w:t>
      </w:r>
      <w:r w:rsidRPr="00A03B67">
        <w:rPr>
          <w:i/>
          <w:iCs/>
        </w:rPr>
        <w:t xml:space="preserve">Work Value Case </w:t>
      </w:r>
      <w:r w:rsidRPr="00A03B67">
        <w:t xml:space="preserve">[2023] FWCFB 93 (18 May 2023) [171]. </w:t>
      </w:r>
    </w:p>
  </w:footnote>
  <w:footnote w:id="832">
    <w:p w14:paraId="3B0862E4" w14:textId="226530F1" w:rsidR="009A1D5D" w:rsidRPr="00A03B67" w:rsidRDefault="009A1D5D" w:rsidP="009A1D5D">
      <w:pPr>
        <w:pStyle w:val="FootnoteText"/>
      </w:pPr>
      <w:r w:rsidRPr="00A03B67">
        <w:rPr>
          <w:rStyle w:val="FootnoteReference"/>
        </w:rPr>
        <w:footnoteRef/>
      </w:r>
      <w:r w:rsidRPr="00A03B67">
        <w:t xml:space="preserve"> The first step </w:t>
      </w:r>
      <w:r w:rsidR="00843FD1" w:rsidRPr="00A03B67">
        <w:t xml:space="preserve">in the Work and Care priority topic </w:t>
      </w:r>
      <w:r w:rsidRPr="00A03B67">
        <w:t xml:space="preserve">was the release of a discussion paper: Fair Work Commission, </w:t>
      </w:r>
      <w:r w:rsidR="00EC7821" w:rsidRPr="00A03B67">
        <w:rPr>
          <w:i/>
          <w:iCs/>
        </w:rPr>
        <w:t>Discussion Paper: Work and Care</w:t>
      </w:r>
      <w:r w:rsidR="00EC7821" w:rsidRPr="00A03B67">
        <w:t xml:space="preserve"> (Discussion </w:t>
      </w:r>
      <w:r w:rsidR="009437A6" w:rsidRPr="00A03B67">
        <w:t>P</w:t>
      </w:r>
      <w:r w:rsidR="00EC7821" w:rsidRPr="00A03B67">
        <w:t>aper 29</w:t>
      </w:r>
      <w:r w:rsidR="009437A6" w:rsidRPr="00A03B67">
        <w:t>, January 2024</w:t>
      </w:r>
      <w:r w:rsidR="00EC7821" w:rsidRPr="00A03B67">
        <w:t>)</w:t>
      </w:r>
      <w:r w:rsidR="009437A6" w:rsidRPr="00A03B67">
        <w:t xml:space="preserve"> &lt;</w:t>
      </w:r>
      <w:r w:rsidR="00EC7821" w:rsidRPr="00A03B67">
        <w:t>https://www.fwc.gov.au/documents/sites/award-review-2023-24/discussion-paper-work-and-care-290123.pdf</w:t>
      </w:r>
      <w:r w:rsidR="009437A6" w:rsidRPr="00A03B67">
        <w:t>&gt;.</w:t>
      </w:r>
      <w:r w:rsidRPr="00A03B67">
        <w:t xml:space="preserve"> The next step involved the release of a literature review on work and care: </w:t>
      </w:r>
      <w:r w:rsidR="009437A6" w:rsidRPr="00A03B67">
        <w:t xml:space="preserve">M </w:t>
      </w:r>
      <w:r w:rsidRPr="00A03B67">
        <w:t xml:space="preserve">Smith and </w:t>
      </w:r>
      <w:r w:rsidR="009437A6" w:rsidRPr="00A03B67">
        <w:t xml:space="preserve">S </w:t>
      </w:r>
      <w:r w:rsidRPr="00A03B67">
        <w:t>Charlesworth</w:t>
      </w:r>
      <w:r w:rsidR="009437A6" w:rsidRPr="00A03B67">
        <w:t>,</w:t>
      </w:r>
      <w:r w:rsidRPr="00A03B67">
        <w:t xml:space="preserve"> </w:t>
      </w:r>
      <w:r w:rsidR="00E06E2D" w:rsidRPr="00A03B67">
        <w:rPr>
          <w:i/>
          <w:iCs/>
        </w:rPr>
        <w:t xml:space="preserve">Literature </w:t>
      </w:r>
      <w:r w:rsidR="009437A6" w:rsidRPr="00A03B67">
        <w:rPr>
          <w:i/>
          <w:iCs/>
        </w:rPr>
        <w:t>R</w:t>
      </w:r>
      <w:r w:rsidR="00E06E2D" w:rsidRPr="00A03B67">
        <w:rPr>
          <w:i/>
          <w:iCs/>
        </w:rPr>
        <w:t>eview</w:t>
      </w:r>
      <w:r w:rsidR="009437A6" w:rsidRPr="00A03B67">
        <w:rPr>
          <w:i/>
          <w:iCs/>
        </w:rPr>
        <w:t xml:space="preserve"> for the Modern Awards Review</w:t>
      </w:r>
      <w:r w:rsidR="009437A6" w:rsidRPr="00A03B67">
        <w:t xml:space="preserve"> (</w:t>
      </w:r>
      <w:r w:rsidR="00E06E2D" w:rsidRPr="00A03B67">
        <w:t>March 2024</w:t>
      </w:r>
      <w:r w:rsidRPr="00A03B67">
        <w:t>)</w:t>
      </w:r>
      <w:r w:rsidR="00E06E2D" w:rsidRPr="00A03B67">
        <w:t xml:space="preserve"> &lt;https://www.fwc.gov.au/documents/sites/award-review-2023-24/am2023-21-literature-review-work-care-2024-03-08.pdf&gt;</w:t>
      </w:r>
      <w:r w:rsidR="009437A6" w:rsidRPr="00A03B67">
        <w:t>.</w:t>
      </w:r>
      <w:r w:rsidRPr="00A03B67">
        <w:t xml:space="preserve"> The FWC also convene</w:t>
      </w:r>
      <w:r w:rsidR="00E06E2D" w:rsidRPr="00A03B67">
        <w:t>d</w:t>
      </w:r>
      <w:r w:rsidRPr="00A03B67">
        <w:t xml:space="preserve"> a consultation conference and undertook survey of employers aimed at gathering information about the potential to vary modern award provisions to increase flexibility for employees balancing work and care responsibilities. The final report of the Modern Awards Review 2023</w:t>
      </w:r>
      <w:r w:rsidR="009437A6" w:rsidRPr="00A03B67">
        <w:rPr>
          <w:rFonts w:ascii="Symbol" w:eastAsia="Symbol" w:hAnsi="Symbol" w:cs="Symbol"/>
        </w:rPr>
        <w:t>-</w:t>
      </w:r>
      <w:r w:rsidRPr="00A03B67">
        <w:t xml:space="preserve">24 was released 18 July 2024: </w:t>
      </w:r>
      <w:r w:rsidR="009437A6" w:rsidRPr="00A03B67">
        <w:t xml:space="preserve">Fair Work Commission, </w:t>
      </w:r>
      <w:r w:rsidR="00D4782E" w:rsidRPr="00A03B67">
        <w:rPr>
          <w:i/>
          <w:iCs/>
        </w:rPr>
        <w:t>Modern Awards Review 2023</w:t>
      </w:r>
      <w:r w:rsidR="009437A6" w:rsidRPr="00A03B67">
        <w:rPr>
          <w:rFonts w:ascii="Symbol" w:eastAsia="Symbol" w:hAnsi="Symbol" w:cs="Symbol"/>
          <w:i/>
          <w:iCs/>
        </w:rPr>
        <w:t>-</w:t>
      </w:r>
      <w:r w:rsidR="00D4782E" w:rsidRPr="00A03B67">
        <w:rPr>
          <w:i/>
          <w:iCs/>
        </w:rPr>
        <w:t>24</w:t>
      </w:r>
      <w:r w:rsidR="00D4782E" w:rsidRPr="00A03B67">
        <w:t xml:space="preserve"> (</w:t>
      </w:r>
      <w:r w:rsidR="009437A6" w:rsidRPr="00A03B67">
        <w:t xml:space="preserve">Report, </w:t>
      </w:r>
      <w:r w:rsidR="00D4782E" w:rsidRPr="00A03B67">
        <w:t>2024)</w:t>
      </w:r>
      <w:r w:rsidR="009437A6" w:rsidRPr="00A03B67">
        <w:t xml:space="preserve"> &lt;https://www.fwc.gov.au/documents/sites/award-review-2023-24/am202321-review-report-180724.pdf&gt;.</w:t>
      </w:r>
      <w:r w:rsidRPr="00A03B67">
        <w:t xml:space="preserve"> </w:t>
      </w:r>
    </w:p>
  </w:footnote>
  <w:footnote w:id="833">
    <w:p w14:paraId="4BC6A496" w14:textId="6D5CA0EF" w:rsidR="009A1D5D" w:rsidRPr="00A03B67" w:rsidRDefault="009A1D5D" w:rsidP="009A1D5D">
      <w:pPr>
        <w:pStyle w:val="FootnoteText"/>
      </w:pPr>
      <w:r w:rsidRPr="00A03B67">
        <w:rPr>
          <w:rStyle w:val="FootnoteReference"/>
        </w:rPr>
        <w:footnoteRef/>
      </w:r>
      <w:r w:rsidRPr="00A03B67">
        <w:t xml:space="preserve"> </w:t>
      </w:r>
      <w:r w:rsidR="009437A6" w:rsidRPr="00A03B67">
        <w:t xml:space="preserve">Fair Work Commission, </w:t>
      </w:r>
      <w:r w:rsidR="009437A6" w:rsidRPr="00A03B67">
        <w:rPr>
          <w:i/>
          <w:iCs/>
        </w:rPr>
        <w:t>Modern Awards Review 2023</w:t>
      </w:r>
      <w:r w:rsidR="009437A6" w:rsidRPr="00A03B67">
        <w:rPr>
          <w:rFonts w:ascii="Symbol" w:eastAsia="Symbol" w:hAnsi="Symbol" w:cs="Symbol"/>
          <w:i/>
          <w:iCs/>
        </w:rPr>
        <w:t>-</w:t>
      </w:r>
      <w:r w:rsidR="009437A6" w:rsidRPr="00A03B67">
        <w:rPr>
          <w:i/>
          <w:iCs/>
        </w:rPr>
        <w:t>24</w:t>
      </w:r>
      <w:r w:rsidR="009437A6" w:rsidRPr="00A03B67">
        <w:t xml:space="preserve"> (Report, 2024) &lt;https://www.fwc.gov.au/documents/sites/award-review-2023-24/am202321-review-report-180724.pdf&gt;. </w:t>
      </w:r>
      <w:r w:rsidRPr="00A03B67">
        <w:rPr>
          <w:strike/>
        </w:rPr>
        <w:t xml:space="preserve"> </w:t>
      </w:r>
    </w:p>
  </w:footnote>
  <w:footnote w:id="834">
    <w:p w14:paraId="5CBE6442" w14:textId="1FEFE77F" w:rsidR="009A1D5D" w:rsidRPr="00A03B67" w:rsidRDefault="009A1D5D" w:rsidP="009A1D5D">
      <w:pPr>
        <w:pStyle w:val="FootnoteText"/>
      </w:pPr>
      <w:r w:rsidRPr="00A03B67">
        <w:rPr>
          <w:rStyle w:val="FootnoteReference"/>
        </w:rPr>
        <w:footnoteRef/>
      </w:r>
      <w:r w:rsidRPr="00A03B67">
        <w:t xml:space="preserve"> </w:t>
      </w:r>
      <w:r w:rsidR="00656937" w:rsidRPr="00A03B67">
        <w:t xml:space="preserve">Ai Group </w:t>
      </w:r>
      <w:r w:rsidR="009437A6" w:rsidRPr="00A03B67">
        <w:t>s</w:t>
      </w:r>
      <w:r w:rsidR="00656937" w:rsidRPr="00A03B67">
        <w:t>ubmission</w:t>
      </w:r>
      <w:r w:rsidR="009437A6" w:rsidRPr="00A03B67">
        <w:t>,</w:t>
      </w:r>
      <w:r w:rsidR="00656937" w:rsidRPr="00A03B67">
        <w:t xml:space="preserve"> 80;</w:t>
      </w:r>
      <w:r w:rsidR="0063345A" w:rsidRPr="00A03B67">
        <w:t xml:space="preserve"> Australian Chamber of Commerce and Industry</w:t>
      </w:r>
      <w:r w:rsidR="009437A6" w:rsidRPr="00A03B67">
        <w:t xml:space="preserve"> s</w:t>
      </w:r>
      <w:r w:rsidR="0063345A" w:rsidRPr="00A03B67">
        <w:t>ubmission</w:t>
      </w:r>
      <w:r w:rsidR="009437A6" w:rsidRPr="00A03B67">
        <w:t>,</w:t>
      </w:r>
      <w:r w:rsidR="0063345A" w:rsidRPr="00A03B67">
        <w:t xml:space="preserve"> </w:t>
      </w:r>
      <w:r w:rsidR="009714A7" w:rsidRPr="00A03B67">
        <w:t>66.</w:t>
      </w:r>
    </w:p>
  </w:footnote>
  <w:footnote w:id="835">
    <w:p w14:paraId="383B0D80" w14:textId="60DC0AF4" w:rsidR="009A1D5D" w:rsidRPr="00A03B67" w:rsidRDefault="009A1D5D" w:rsidP="00B710F2">
      <w:pPr>
        <w:pStyle w:val="FootnoteText"/>
        <w:tabs>
          <w:tab w:val="left" w:pos="3015"/>
        </w:tabs>
      </w:pPr>
      <w:r w:rsidRPr="00A03B67">
        <w:rPr>
          <w:rStyle w:val="FootnoteReference"/>
        </w:rPr>
        <w:footnoteRef/>
      </w:r>
      <w:r w:rsidRPr="00A03B67">
        <w:t xml:space="preserve"> </w:t>
      </w:r>
      <w:r w:rsidR="001D7201" w:rsidRPr="00A03B67">
        <w:t>Australian Chamber of Commerce and Industry</w:t>
      </w:r>
      <w:r w:rsidR="009437A6" w:rsidRPr="00A03B67">
        <w:t xml:space="preserve"> s</w:t>
      </w:r>
      <w:r w:rsidR="001D7201" w:rsidRPr="00A03B67">
        <w:t>ubmission</w:t>
      </w:r>
      <w:r w:rsidR="009437A6" w:rsidRPr="00A03B67">
        <w:t>,</w:t>
      </w:r>
      <w:r w:rsidR="001D7201" w:rsidRPr="00A03B67">
        <w:t xml:space="preserve"> 66.</w:t>
      </w:r>
    </w:p>
  </w:footnote>
  <w:footnote w:id="836">
    <w:p w14:paraId="4C81ACF5" w14:textId="09AB58A6" w:rsidR="009A1D5D" w:rsidRPr="00A03B67" w:rsidRDefault="009A1D5D" w:rsidP="009A1D5D">
      <w:pPr>
        <w:pStyle w:val="FootnoteText"/>
      </w:pPr>
      <w:r w:rsidRPr="00A03B67">
        <w:rPr>
          <w:rStyle w:val="FootnoteReference"/>
        </w:rPr>
        <w:footnoteRef/>
      </w:r>
      <w:r w:rsidRPr="00A03B67">
        <w:t xml:space="preserve"> </w:t>
      </w:r>
      <w:r w:rsidR="00E96E5D" w:rsidRPr="00A03B67">
        <w:t xml:space="preserve">Australian Chamber of Commerce and Industry </w:t>
      </w:r>
      <w:r w:rsidR="009437A6" w:rsidRPr="00A03B67">
        <w:t>s</w:t>
      </w:r>
      <w:r w:rsidR="00E96E5D" w:rsidRPr="00A03B67">
        <w:t>ubmission</w:t>
      </w:r>
      <w:r w:rsidR="009437A6" w:rsidRPr="00A03B67">
        <w:t>,</w:t>
      </w:r>
      <w:r w:rsidR="00E96E5D" w:rsidRPr="00A03B67">
        <w:t xml:space="preserve"> 66; Ai Group</w:t>
      </w:r>
      <w:r w:rsidR="009437A6" w:rsidRPr="00A03B67">
        <w:t xml:space="preserve"> s</w:t>
      </w:r>
      <w:r w:rsidR="00E96E5D" w:rsidRPr="00A03B67">
        <w:t>ubmission</w:t>
      </w:r>
      <w:r w:rsidR="009437A6" w:rsidRPr="00A03B67">
        <w:t xml:space="preserve">, </w:t>
      </w:r>
      <w:r w:rsidR="00E96E5D" w:rsidRPr="00A03B67">
        <w:t>80; Honorary Professor Anne Junor</w:t>
      </w:r>
      <w:r w:rsidR="009437A6" w:rsidRPr="00A03B67">
        <w:t xml:space="preserve"> s</w:t>
      </w:r>
      <w:r w:rsidR="00E96E5D" w:rsidRPr="00A03B67">
        <w:t>ubmission</w:t>
      </w:r>
      <w:r w:rsidR="00AB4045" w:rsidRPr="00A03B67">
        <w:t>.</w:t>
      </w:r>
    </w:p>
  </w:footnote>
  <w:footnote w:id="837">
    <w:p w14:paraId="25D51B75" w14:textId="49785CE4" w:rsidR="009A1D5D" w:rsidRPr="00A03B67" w:rsidRDefault="009A1D5D" w:rsidP="009A1D5D">
      <w:pPr>
        <w:pStyle w:val="FootnoteText"/>
        <w:rPr>
          <w:lang w:val="en-US"/>
        </w:rPr>
      </w:pPr>
      <w:r w:rsidRPr="00A03B67">
        <w:rPr>
          <w:rStyle w:val="FootnoteReference"/>
        </w:rPr>
        <w:footnoteRef/>
      </w:r>
      <w:r w:rsidRPr="00A03B67">
        <w:t xml:space="preserve"> </w:t>
      </w:r>
      <w:r w:rsidR="00AB4045" w:rsidRPr="00A03B67">
        <w:rPr>
          <w:lang w:val="en-US"/>
        </w:rPr>
        <w:t xml:space="preserve">M Smith and G Whitehouse, ‘Wage-setting and </w:t>
      </w:r>
      <w:r w:rsidR="009437A6" w:rsidRPr="00A03B67">
        <w:rPr>
          <w:lang w:val="en-US"/>
        </w:rPr>
        <w:t>G</w:t>
      </w:r>
      <w:r w:rsidR="00AB4045" w:rsidRPr="00A03B67">
        <w:rPr>
          <w:lang w:val="en-US"/>
        </w:rPr>
        <w:t xml:space="preserve">ender </w:t>
      </w:r>
      <w:r w:rsidR="009437A6" w:rsidRPr="00A03B67">
        <w:rPr>
          <w:lang w:val="en-US"/>
        </w:rPr>
        <w:t>P</w:t>
      </w:r>
      <w:r w:rsidR="00AB4045" w:rsidRPr="00A03B67">
        <w:rPr>
          <w:lang w:val="en-US"/>
        </w:rPr>
        <w:t xml:space="preserve">ay </w:t>
      </w:r>
      <w:r w:rsidR="009437A6" w:rsidRPr="00A03B67">
        <w:rPr>
          <w:lang w:val="en-US"/>
        </w:rPr>
        <w:t>E</w:t>
      </w:r>
      <w:r w:rsidR="00AB4045" w:rsidRPr="00A03B67">
        <w:rPr>
          <w:lang w:val="en-US"/>
        </w:rPr>
        <w:t xml:space="preserve">quality in Australia: Advances, </w:t>
      </w:r>
      <w:r w:rsidR="009437A6" w:rsidRPr="00A03B67">
        <w:rPr>
          <w:lang w:val="en-US"/>
        </w:rPr>
        <w:t>R</w:t>
      </w:r>
      <w:r w:rsidR="00AB4045" w:rsidRPr="00A03B67">
        <w:rPr>
          <w:lang w:val="en-US"/>
        </w:rPr>
        <w:t xml:space="preserve">etreats and </w:t>
      </w:r>
      <w:r w:rsidR="009437A6" w:rsidRPr="00A03B67">
        <w:rPr>
          <w:lang w:val="en-US"/>
        </w:rPr>
        <w:t>F</w:t>
      </w:r>
      <w:r w:rsidR="00AB4045" w:rsidRPr="00A03B67">
        <w:rPr>
          <w:lang w:val="en-US"/>
        </w:rPr>
        <w:t xml:space="preserve">uture </w:t>
      </w:r>
      <w:r w:rsidR="009437A6" w:rsidRPr="00A03B67">
        <w:rPr>
          <w:lang w:val="en-US"/>
        </w:rPr>
        <w:t>P</w:t>
      </w:r>
      <w:r w:rsidR="00AB4045" w:rsidRPr="00A03B67">
        <w:rPr>
          <w:lang w:val="en-US"/>
        </w:rPr>
        <w:t xml:space="preserve">rospects’ </w:t>
      </w:r>
      <w:r w:rsidR="009437A6" w:rsidRPr="00A03B67">
        <w:rPr>
          <w:lang w:val="en-US"/>
        </w:rPr>
        <w:t xml:space="preserve">(2020) 62(4) </w:t>
      </w:r>
      <w:r w:rsidR="00AB4045" w:rsidRPr="00A03B67">
        <w:rPr>
          <w:i/>
          <w:iCs/>
          <w:lang w:val="en-US"/>
        </w:rPr>
        <w:t>Journal of Industrial Relations</w:t>
      </w:r>
      <w:r w:rsidR="009437A6" w:rsidRPr="00A03B67">
        <w:rPr>
          <w:lang w:val="en-US"/>
        </w:rPr>
        <w:t xml:space="preserve"> </w:t>
      </w:r>
      <w:r w:rsidR="00AB4045" w:rsidRPr="00A03B67">
        <w:rPr>
          <w:lang w:val="en-US"/>
        </w:rPr>
        <w:t>533</w:t>
      </w:r>
      <w:r w:rsidR="009437A6" w:rsidRPr="00A03B67">
        <w:rPr>
          <w:rFonts w:ascii="Symbol" w:eastAsia="Symbol" w:hAnsi="Symbol" w:cs="Symbol"/>
          <w:lang w:val="en-US"/>
        </w:rPr>
        <w:t>-</w:t>
      </w:r>
      <w:r w:rsidR="00AB4045" w:rsidRPr="00A03B67">
        <w:rPr>
          <w:lang w:val="en-US"/>
        </w:rPr>
        <w:t>559</w:t>
      </w:r>
      <w:r w:rsidR="00D33DA1" w:rsidRPr="00A03B67">
        <w:rPr>
          <w:lang w:val="en-US"/>
        </w:rPr>
        <w:t>, 533</w:t>
      </w:r>
      <w:r w:rsidR="00AB4045" w:rsidRPr="00A03B67">
        <w:rPr>
          <w:lang w:val="en-US"/>
        </w:rPr>
        <w:t xml:space="preserve">. </w:t>
      </w:r>
    </w:p>
  </w:footnote>
  <w:footnote w:id="838">
    <w:p w14:paraId="7B8B12EB" w14:textId="51083152" w:rsidR="009A1D5D" w:rsidRPr="00A03B67" w:rsidRDefault="009A1D5D" w:rsidP="009A1D5D">
      <w:pPr>
        <w:pStyle w:val="FootnoteText"/>
      </w:pPr>
      <w:r w:rsidRPr="00A03B67">
        <w:rPr>
          <w:rStyle w:val="FootnoteReference"/>
        </w:rPr>
        <w:footnoteRef/>
      </w:r>
      <w:r w:rsidRPr="00A03B67">
        <w:t xml:space="preserve"> </w:t>
      </w:r>
      <w:r w:rsidRPr="00A03B67">
        <w:rPr>
          <w:i/>
          <w:iCs/>
        </w:rPr>
        <w:t xml:space="preserve">Fair Work Legislation Amendment (Secure Jobs, Better Pay) Act 2022 </w:t>
      </w:r>
      <w:r w:rsidRPr="00A03B67">
        <w:t xml:space="preserve">(Cth) </w:t>
      </w:r>
      <w:r w:rsidR="009437A6" w:rsidRPr="00A03B67">
        <w:t>P</w:t>
      </w:r>
      <w:r w:rsidRPr="00A03B67">
        <w:t xml:space="preserve">t 5; Commonwealth, </w:t>
      </w:r>
      <w:r w:rsidRPr="00A03B67">
        <w:rPr>
          <w:i/>
          <w:iCs/>
        </w:rPr>
        <w:t xml:space="preserve">Parliamentary Debates, </w:t>
      </w:r>
      <w:r w:rsidRPr="00A03B67">
        <w:t>House of Representatives, 27 October 2022 (Tony Burke, Minister for Employment and Workplace Relations)</w:t>
      </w:r>
      <w:r w:rsidR="0034130E" w:rsidRPr="00A03B67">
        <w:t>.</w:t>
      </w:r>
    </w:p>
  </w:footnote>
  <w:footnote w:id="839">
    <w:p w14:paraId="18ABDAFE" w14:textId="542FA36D" w:rsidR="008F2BD0" w:rsidRPr="00A03B67" w:rsidRDefault="008F2BD0" w:rsidP="008F2BD0">
      <w:pPr>
        <w:pStyle w:val="FootnoteText"/>
      </w:pPr>
      <w:r w:rsidRPr="00A03B67">
        <w:rPr>
          <w:rStyle w:val="FootnoteReference"/>
        </w:rPr>
        <w:footnoteRef/>
      </w:r>
      <w:r w:rsidRPr="00A03B67">
        <w:t xml:space="preserve"> </w:t>
      </w:r>
      <w:r w:rsidR="007D6149" w:rsidRPr="00A03B67">
        <w:rPr>
          <w:i/>
          <w:iCs/>
        </w:rPr>
        <w:t xml:space="preserve">Fair Work Legislation Amendment (Secure Jobs, Better Pay) Act 2022 </w:t>
      </w:r>
      <w:r w:rsidR="007D6149" w:rsidRPr="00A03B67">
        <w:t xml:space="preserve">(Cth) </w:t>
      </w:r>
      <w:r w:rsidR="009437A6" w:rsidRPr="00A03B67">
        <w:t>P</w:t>
      </w:r>
      <w:r w:rsidR="007D6149" w:rsidRPr="00A03B67">
        <w:t xml:space="preserve">t 5; Commonwealth, </w:t>
      </w:r>
      <w:r w:rsidR="007D6149" w:rsidRPr="00A03B67">
        <w:rPr>
          <w:i/>
          <w:iCs/>
        </w:rPr>
        <w:t xml:space="preserve">Parliamentary Debates, </w:t>
      </w:r>
      <w:r w:rsidR="007D6149" w:rsidRPr="00A03B67">
        <w:t>House of Representatives, 27 October 2022 (Tony Burke, Minister for Employment and Workplace Relations).</w:t>
      </w:r>
      <w:r w:rsidRPr="00A03B67">
        <w:t xml:space="preserve"> </w:t>
      </w:r>
    </w:p>
  </w:footnote>
  <w:footnote w:id="840">
    <w:p w14:paraId="3E88535C" w14:textId="3F14BAB8" w:rsidR="009A1D5D" w:rsidRPr="00A03B67" w:rsidRDefault="009A1D5D" w:rsidP="009A1D5D">
      <w:pPr>
        <w:pStyle w:val="FootnoteText"/>
      </w:pPr>
      <w:r w:rsidRPr="00A03B67">
        <w:rPr>
          <w:rStyle w:val="FootnoteReference"/>
        </w:rPr>
        <w:footnoteRef/>
      </w:r>
      <w:r w:rsidRPr="00A03B67">
        <w:t xml:space="preserve"> </w:t>
      </w:r>
      <w:r w:rsidR="005E1A95" w:rsidRPr="00A03B67">
        <w:rPr>
          <w:i/>
          <w:iCs/>
        </w:rPr>
        <w:t>F</w:t>
      </w:r>
      <w:r w:rsidR="009437A6" w:rsidRPr="00A03B67">
        <w:rPr>
          <w:i/>
          <w:iCs/>
        </w:rPr>
        <w:t xml:space="preserve">air </w:t>
      </w:r>
      <w:r w:rsidR="005E1A95" w:rsidRPr="00A03B67">
        <w:rPr>
          <w:i/>
          <w:iCs/>
        </w:rPr>
        <w:t>W</w:t>
      </w:r>
      <w:r w:rsidR="009437A6" w:rsidRPr="00A03B67">
        <w:rPr>
          <w:i/>
          <w:iCs/>
        </w:rPr>
        <w:t>ork</w:t>
      </w:r>
      <w:r w:rsidR="005E1A95" w:rsidRPr="00A03B67">
        <w:rPr>
          <w:i/>
          <w:iCs/>
        </w:rPr>
        <w:t xml:space="preserve"> Act </w:t>
      </w:r>
      <w:r w:rsidR="009437A6" w:rsidRPr="00A03B67">
        <w:rPr>
          <w:i/>
          <w:iCs/>
        </w:rPr>
        <w:t xml:space="preserve">2009 </w:t>
      </w:r>
      <w:r w:rsidR="009437A6" w:rsidRPr="00A03B67">
        <w:t xml:space="preserve">(Cth) </w:t>
      </w:r>
      <w:r w:rsidRPr="00A03B67">
        <w:t>s 302</w:t>
      </w:r>
      <w:r w:rsidR="00A01959" w:rsidRPr="00A03B67">
        <w:t>(2)</w:t>
      </w:r>
      <w:r w:rsidRPr="00A03B67">
        <w:t xml:space="preserve">. </w:t>
      </w:r>
    </w:p>
  </w:footnote>
  <w:footnote w:id="841">
    <w:p w14:paraId="0EF2C000" w14:textId="5F170C10" w:rsidR="009A1D5D" w:rsidRPr="00A03B67" w:rsidRDefault="009A1D5D" w:rsidP="009A1D5D">
      <w:pPr>
        <w:pStyle w:val="FootnoteText"/>
      </w:pPr>
      <w:r w:rsidRPr="00A03B67">
        <w:rPr>
          <w:rStyle w:val="FootnoteReference"/>
        </w:rPr>
        <w:footnoteRef/>
      </w:r>
      <w:r w:rsidR="005E1A95" w:rsidRPr="00A03B67">
        <w:t xml:space="preserve"> </w:t>
      </w:r>
      <w:r w:rsidRPr="00A03B67">
        <w:t>E</w:t>
      </w:r>
      <w:r w:rsidRPr="00A03B67">
        <w:rPr>
          <w:i/>
          <w:iCs/>
        </w:rPr>
        <w:t xml:space="preserve">qual Remuneration Decision </w:t>
      </w:r>
      <w:r w:rsidR="009437A6" w:rsidRPr="00A03B67">
        <w:rPr>
          <w:rFonts w:ascii="Symbol" w:eastAsia="Symbol" w:hAnsi="Symbol" w:cs="Symbol"/>
          <w:i/>
          <w:iCs/>
        </w:rPr>
        <w:t>-</w:t>
      </w:r>
      <w:r w:rsidRPr="00A03B67">
        <w:rPr>
          <w:i/>
          <w:iCs/>
        </w:rPr>
        <w:t xml:space="preserve"> Children‘s services and Early childhood education industry </w:t>
      </w:r>
      <w:r w:rsidRPr="00A03B67">
        <w:t>[2015] FWCFB</w:t>
      </w:r>
      <w:r w:rsidR="00A84BD7" w:rsidRPr="00A03B67">
        <w:t xml:space="preserve"> </w:t>
      </w:r>
      <w:r w:rsidRPr="00A03B67">
        <w:t xml:space="preserve">8200 </w:t>
      </w:r>
      <w:r w:rsidR="003F5786" w:rsidRPr="00A03B67">
        <w:t>[292]</w:t>
      </w:r>
      <w:r w:rsidR="009437A6" w:rsidRPr="00A03B67">
        <w:rPr>
          <w:rFonts w:ascii="Symbol" w:eastAsia="Symbol" w:hAnsi="Symbol" w:cs="Symbol"/>
        </w:rPr>
        <w:t>-</w:t>
      </w:r>
      <w:r w:rsidRPr="00A03B67">
        <w:t>[294].</w:t>
      </w:r>
    </w:p>
  </w:footnote>
  <w:footnote w:id="842">
    <w:p w14:paraId="05172776" w14:textId="2B730168" w:rsidR="009A1D5D" w:rsidRPr="00A03B67" w:rsidRDefault="009A1D5D" w:rsidP="009A1D5D">
      <w:pPr>
        <w:pStyle w:val="FootnoteText"/>
      </w:pPr>
      <w:r w:rsidRPr="00A03B67">
        <w:rPr>
          <w:rStyle w:val="FootnoteReference"/>
        </w:rPr>
        <w:footnoteRef/>
      </w:r>
      <w:r w:rsidR="00364CAE" w:rsidRPr="00A03B67">
        <w:rPr>
          <w:i/>
          <w:iCs/>
        </w:rPr>
        <w:t xml:space="preserve"> </w:t>
      </w:r>
      <w:r w:rsidR="001A5E12" w:rsidRPr="00A03B67">
        <w:rPr>
          <w:i/>
          <w:iCs/>
        </w:rPr>
        <w:t xml:space="preserve">Work Value Case </w:t>
      </w:r>
      <w:r w:rsidR="001A5E12" w:rsidRPr="00A03B67">
        <w:t>[202</w:t>
      </w:r>
      <w:r w:rsidR="00A01959" w:rsidRPr="00A03B67">
        <w:t>2</w:t>
      </w:r>
      <w:r w:rsidR="001A5E12" w:rsidRPr="00A03B67">
        <w:t xml:space="preserve">] FWCFB </w:t>
      </w:r>
      <w:r w:rsidR="007210E5" w:rsidRPr="00A03B67">
        <w:t>200</w:t>
      </w:r>
      <w:r w:rsidR="001A5E12" w:rsidRPr="00A03B67">
        <w:t xml:space="preserve"> (</w:t>
      </w:r>
      <w:r w:rsidR="007210E5" w:rsidRPr="00A03B67">
        <w:t>4</w:t>
      </w:r>
      <w:r w:rsidR="001A5E12" w:rsidRPr="00A03B67">
        <w:t xml:space="preserve"> </w:t>
      </w:r>
      <w:r w:rsidR="007210E5" w:rsidRPr="00A03B67">
        <w:t>Nov 2022</w:t>
      </w:r>
      <w:r w:rsidR="001A5E12" w:rsidRPr="00A03B67">
        <w:t>) [</w:t>
      </w:r>
      <w:r w:rsidR="007210E5" w:rsidRPr="00A03B67">
        <w:t>1048</w:t>
      </w:r>
      <w:r w:rsidR="001A5E12" w:rsidRPr="00A03B67">
        <w:t>]</w:t>
      </w:r>
      <w:r w:rsidRPr="00A03B67">
        <w:t xml:space="preserve">. </w:t>
      </w:r>
      <w:r w:rsidR="003126EC" w:rsidRPr="00A03B67">
        <w:t xml:space="preserve">Note: the pay increases </w:t>
      </w:r>
      <w:r w:rsidR="00F93E90" w:rsidRPr="00A03B67">
        <w:t>apply to workers paid according to the relevant awards.</w:t>
      </w:r>
    </w:p>
  </w:footnote>
  <w:footnote w:id="843">
    <w:p w14:paraId="64519B21" w14:textId="6A305B64" w:rsidR="009A1D5D" w:rsidRPr="00A03B67" w:rsidRDefault="009A1D5D" w:rsidP="009A1D5D">
      <w:pPr>
        <w:pStyle w:val="FootnoteText"/>
      </w:pPr>
      <w:r w:rsidRPr="00A03B67">
        <w:rPr>
          <w:rStyle w:val="FootnoteReference"/>
        </w:rPr>
        <w:footnoteRef/>
      </w:r>
      <w:r w:rsidRPr="00A03B67">
        <w:t xml:space="preserve"> </w:t>
      </w:r>
      <w:r w:rsidR="0063578E" w:rsidRPr="00A03B67">
        <w:rPr>
          <w:i/>
          <w:iCs/>
        </w:rPr>
        <w:t xml:space="preserve">Work Value Case </w:t>
      </w:r>
      <w:r w:rsidR="006D5E93" w:rsidRPr="00A03B67">
        <w:t>[2023] FWCFB 40</w:t>
      </w:r>
      <w:r w:rsidR="0063578E" w:rsidRPr="00A03B67">
        <w:t xml:space="preserve">, [17]; </w:t>
      </w:r>
      <w:r w:rsidR="0063578E" w:rsidRPr="00A03B67">
        <w:rPr>
          <w:i/>
          <w:iCs/>
        </w:rPr>
        <w:t xml:space="preserve">Work Value Case </w:t>
      </w:r>
      <w:r w:rsidR="00951152" w:rsidRPr="00A03B67">
        <w:t>[2024] FWCFB 150</w:t>
      </w:r>
      <w:r w:rsidR="0063578E" w:rsidRPr="00A03B67">
        <w:t>, [197].</w:t>
      </w:r>
    </w:p>
  </w:footnote>
  <w:footnote w:id="844">
    <w:p w14:paraId="29B922D9" w14:textId="74C17271" w:rsidR="009A1D5D" w:rsidRPr="00A03B67" w:rsidRDefault="009A1D5D" w:rsidP="009A1D5D">
      <w:pPr>
        <w:pStyle w:val="FootnoteText"/>
      </w:pPr>
      <w:r w:rsidRPr="00A03B67">
        <w:rPr>
          <w:rStyle w:val="FootnoteReference"/>
        </w:rPr>
        <w:footnoteRef/>
      </w:r>
      <w:r w:rsidRPr="00A03B67">
        <w:t xml:space="preserve"> </w:t>
      </w:r>
      <w:r w:rsidR="00D2267B" w:rsidRPr="00A03B67">
        <w:rPr>
          <w:i/>
          <w:iCs/>
        </w:rPr>
        <w:t>Annual Wage Review 2023</w:t>
      </w:r>
      <w:r w:rsidR="009437A6" w:rsidRPr="00A03B67">
        <w:rPr>
          <w:rFonts w:ascii="Symbol" w:eastAsia="Symbol" w:hAnsi="Symbol" w:cs="Symbol"/>
          <w:i/>
          <w:iCs/>
        </w:rPr>
        <w:t>-</w:t>
      </w:r>
      <w:r w:rsidR="00D2267B" w:rsidRPr="00A03B67">
        <w:rPr>
          <w:i/>
          <w:iCs/>
        </w:rPr>
        <w:t xml:space="preserve">24 </w:t>
      </w:r>
      <w:r w:rsidR="00D2267B" w:rsidRPr="00A03B67">
        <w:t>[2024] FWCFB 3500 (3 June 2024) [10].</w:t>
      </w:r>
    </w:p>
  </w:footnote>
  <w:footnote w:id="845">
    <w:p w14:paraId="3E7A9ADA" w14:textId="77777777" w:rsidR="009A1D5D" w:rsidRPr="00A03B67" w:rsidRDefault="009A1D5D" w:rsidP="009A1D5D">
      <w:pPr>
        <w:pStyle w:val="FootnoteText"/>
      </w:pPr>
      <w:r w:rsidRPr="00A03B67">
        <w:rPr>
          <w:rStyle w:val="FootnoteReference"/>
        </w:rPr>
        <w:footnoteRef/>
      </w:r>
      <w:r w:rsidRPr="00A03B67">
        <w:t xml:space="preserve"> Hearings were conducted through December 2024. </w:t>
      </w:r>
    </w:p>
  </w:footnote>
  <w:footnote w:id="846">
    <w:p w14:paraId="72CAD7EB" w14:textId="1705BF59" w:rsidR="00615138" w:rsidRPr="00A03B67" w:rsidRDefault="00615138" w:rsidP="00615138">
      <w:pPr>
        <w:pStyle w:val="FootnoteText"/>
      </w:pPr>
      <w:r w:rsidRPr="00A03B67">
        <w:rPr>
          <w:rStyle w:val="FootnoteReference"/>
        </w:rPr>
        <w:footnoteRef/>
      </w:r>
      <w:r w:rsidR="002E7A5A" w:rsidRPr="00A03B67">
        <w:t xml:space="preserve"> Fair Work Commission, </w:t>
      </w:r>
      <w:r w:rsidR="002E7A5A" w:rsidRPr="00A03B67">
        <w:rPr>
          <w:i/>
          <w:iCs/>
        </w:rPr>
        <w:t>Background Document 2</w:t>
      </w:r>
      <w:r w:rsidR="009437A6" w:rsidRPr="00A03B67">
        <w:rPr>
          <w:i/>
          <w:iCs/>
        </w:rPr>
        <w:t>:</w:t>
      </w:r>
      <w:r w:rsidR="002E7A5A" w:rsidRPr="00A03B67">
        <w:rPr>
          <w:i/>
          <w:iCs/>
        </w:rPr>
        <w:t xml:space="preserve"> Award Histories</w:t>
      </w:r>
      <w:r w:rsidR="002E7A5A" w:rsidRPr="00A03B67">
        <w:t xml:space="preserve"> (2022) &lt;https://www.fwc.gov.au/documents/sites/work-value-aged-care/decisions-statements/am202099-63-65-background-doc-no-2-090622.pdf&gt;; Fair Work Commission, </w:t>
      </w:r>
      <w:r w:rsidR="002E7A5A" w:rsidRPr="00A03B67">
        <w:rPr>
          <w:i/>
          <w:iCs/>
        </w:rPr>
        <w:t>Report to the Full Bench</w:t>
      </w:r>
      <w:r w:rsidR="002E7A5A" w:rsidRPr="00A03B67">
        <w:t xml:space="preserve"> (2022)</w:t>
      </w:r>
      <w:r w:rsidR="005107A8" w:rsidRPr="00A03B67">
        <w:t xml:space="preserve"> &lt;https://www.fwc.gov.au/documents/sites/work-value-aged-care/decisions-statements/am202099-63-65-lay-witness-evidence-report-200622.pdf&gt;.</w:t>
      </w:r>
    </w:p>
  </w:footnote>
  <w:footnote w:id="847">
    <w:p w14:paraId="6ACA37E6" w14:textId="1974253D" w:rsidR="00615138" w:rsidRPr="00A03B67" w:rsidRDefault="00615138" w:rsidP="00C93AAF">
      <w:pPr>
        <w:pStyle w:val="FootnoteText"/>
      </w:pPr>
      <w:r w:rsidRPr="00A03B67">
        <w:rPr>
          <w:rStyle w:val="FootnoteReference"/>
        </w:rPr>
        <w:footnoteRef/>
      </w:r>
      <w:r w:rsidRPr="00A03B67">
        <w:t xml:space="preserve"> </w:t>
      </w:r>
      <w:r w:rsidR="005107A8" w:rsidRPr="00A03B67">
        <w:t xml:space="preserve">Fair Work Commission, </w:t>
      </w:r>
      <w:r w:rsidR="005107A8" w:rsidRPr="00A03B67">
        <w:rPr>
          <w:i/>
          <w:iCs/>
        </w:rPr>
        <w:t xml:space="preserve">Data </w:t>
      </w:r>
      <w:r w:rsidR="00C93AAF" w:rsidRPr="00A03B67">
        <w:rPr>
          <w:i/>
          <w:iCs/>
        </w:rPr>
        <w:t>P</w:t>
      </w:r>
      <w:r w:rsidR="005107A8" w:rsidRPr="00A03B67">
        <w:rPr>
          <w:i/>
          <w:iCs/>
        </w:rPr>
        <w:t>rofile – Pharmacists and the</w:t>
      </w:r>
      <w:r w:rsidR="005107A8" w:rsidRPr="00A03B67">
        <w:t xml:space="preserve"> </w:t>
      </w:r>
      <w:r w:rsidR="005107A8" w:rsidRPr="00A03B67">
        <w:rPr>
          <w:i/>
          <w:iCs/>
        </w:rPr>
        <w:t>Pharmacy Industry Award 2020</w:t>
      </w:r>
      <w:r w:rsidR="00EF617B" w:rsidRPr="00A03B67">
        <w:t xml:space="preserve"> </w:t>
      </w:r>
      <w:r w:rsidR="00C93AAF" w:rsidRPr="00A03B67">
        <w:t xml:space="preserve">(Report, 2024) </w:t>
      </w:r>
      <w:r w:rsidR="00EF617B" w:rsidRPr="00A03B67">
        <w:t>&lt;https://www.fwc.gov.au/documents/sites/am2024-19/am202419-pharmacists-pharmacy-industry-award-data-profile-300824.pdf&gt;</w:t>
      </w:r>
      <w:r w:rsidRPr="00A03B67">
        <w:t xml:space="preserve">; </w:t>
      </w:r>
      <w:r w:rsidR="00C93AAF" w:rsidRPr="00A03B67">
        <w:t>N Young, J Sherwood, C Anthony, J Gilbert, K Gray and C McEwen</w:t>
      </w:r>
      <w:r w:rsidR="00A47D31" w:rsidRPr="00A03B67">
        <w:t xml:space="preserve">, </w:t>
      </w:r>
      <w:r w:rsidR="00A47D31" w:rsidRPr="00A03B67">
        <w:rPr>
          <w:i/>
          <w:iCs/>
        </w:rPr>
        <w:t>A Hidden History of Aboriginal Women’s Work in the Community Controlled Health Sector</w:t>
      </w:r>
      <w:r w:rsidR="00A47D31" w:rsidRPr="00A03B67">
        <w:t xml:space="preserve"> (Jumbunna Institute for Indigenous Education and Research,</w:t>
      </w:r>
      <w:r w:rsidR="00955581" w:rsidRPr="00A03B67">
        <w:t xml:space="preserve"> 2024) &lt; https://www.fwc.gov.au/documents/sites/am2024-19/am202422-lit-review-191124.pdf&gt;.</w:t>
      </w:r>
    </w:p>
  </w:footnote>
  <w:footnote w:id="848">
    <w:p w14:paraId="783C739F" w14:textId="5EA9D00C" w:rsidR="009A1D5D" w:rsidRPr="00A03B67" w:rsidRDefault="009A1D5D" w:rsidP="009A1D5D">
      <w:pPr>
        <w:pStyle w:val="FootnoteText"/>
      </w:pPr>
      <w:r w:rsidRPr="00A03B67">
        <w:rPr>
          <w:rStyle w:val="FootnoteReference"/>
        </w:rPr>
        <w:footnoteRef/>
      </w:r>
      <w:r w:rsidRPr="00A03B67">
        <w:t xml:space="preserve"> </w:t>
      </w:r>
      <w:r w:rsidR="00931656" w:rsidRPr="00A03B67">
        <w:t>Australian Council of Trade Unions</w:t>
      </w:r>
      <w:r w:rsidR="00C93AAF" w:rsidRPr="00A03B67">
        <w:t xml:space="preserve"> s</w:t>
      </w:r>
      <w:r w:rsidR="00931656" w:rsidRPr="00A03B67">
        <w:t>ubmission</w:t>
      </w:r>
      <w:r w:rsidR="00C93AAF" w:rsidRPr="00A03B67">
        <w:t xml:space="preserve">, </w:t>
      </w:r>
      <w:r w:rsidRPr="00A03B67">
        <w:t>41.</w:t>
      </w:r>
      <w:r w:rsidR="007E529C" w:rsidRPr="00A03B67">
        <w:t xml:space="preserve"> </w:t>
      </w:r>
    </w:p>
  </w:footnote>
  <w:footnote w:id="849">
    <w:p w14:paraId="422C91BF" w14:textId="77777777" w:rsidR="009A1D5D" w:rsidRPr="00A03B67" w:rsidRDefault="009A1D5D" w:rsidP="009A1D5D">
      <w:pPr>
        <w:pStyle w:val="FootnoteText"/>
        <w:rPr>
          <w:i/>
          <w:iCs/>
        </w:rPr>
      </w:pPr>
      <w:r w:rsidRPr="00A03B67">
        <w:rPr>
          <w:rStyle w:val="FootnoteReference"/>
        </w:rPr>
        <w:footnoteRef/>
      </w:r>
      <w:r w:rsidRPr="00A03B67">
        <w:t xml:space="preserve"> [2023] FWCFB 127.</w:t>
      </w:r>
    </w:p>
  </w:footnote>
  <w:footnote w:id="850">
    <w:p w14:paraId="1342C7AC" w14:textId="35E67807" w:rsidR="00103062" w:rsidRPr="00A03B67" w:rsidRDefault="00103062">
      <w:pPr>
        <w:pStyle w:val="FootnoteText"/>
      </w:pPr>
      <w:r w:rsidRPr="00A03B67">
        <w:rPr>
          <w:rStyle w:val="FootnoteReference"/>
        </w:rPr>
        <w:footnoteRef/>
      </w:r>
      <w:r w:rsidRPr="00A03B67">
        <w:t xml:space="preserve"> </w:t>
      </w:r>
      <w:r w:rsidR="00687416" w:rsidRPr="00A03B67">
        <w:t>[2023] FWCFB 127</w:t>
      </w:r>
      <w:r w:rsidR="0020507C" w:rsidRPr="00A03B67">
        <w:t xml:space="preserve"> </w:t>
      </w:r>
      <w:r w:rsidR="00687416" w:rsidRPr="00A03B67">
        <w:t>[41].</w:t>
      </w:r>
    </w:p>
  </w:footnote>
  <w:footnote w:id="851">
    <w:p w14:paraId="42E0374F" w14:textId="3D62DA99" w:rsidR="009A1D5D" w:rsidRPr="00A03B67" w:rsidRDefault="009A1D5D" w:rsidP="009A1D5D">
      <w:pPr>
        <w:pStyle w:val="FootnoteText"/>
        <w:rPr>
          <w:lang w:val="en-US"/>
        </w:rPr>
      </w:pPr>
      <w:r w:rsidRPr="00A03B67">
        <w:rPr>
          <w:rStyle w:val="FootnoteReference"/>
        </w:rPr>
        <w:footnoteRef/>
      </w:r>
      <w:r w:rsidRPr="00A03B67">
        <w:t xml:space="preserve"> The Panel heard that some </w:t>
      </w:r>
      <w:r w:rsidR="00D25E61" w:rsidRPr="00A03B67">
        <w:t>work value cases can take years to finalise. For example, the 2021 decision to adjust the minimum rates in the Teachers Award (operative January 2022) started off with equal remuneration applications in 2013 and</w:t>
      </w:r>
      <w:r w:rsidR="00C93AAF" w:rsidRPr="00A03B67">
        <w:t>,</w:t>
      </w:r>
      <w:r w:rsidR="00D25E61" w:rsidRPr="00A03B67">
        <w:t xml:space="preserve"> while the Aged Care Work Value </w:t>
      </w:r>
      <w:r w:rsidR="00C93AAF" w:rsidRPr="00A03B67">
        <w:t>c</w:t>
      </w:r>
      <w:r w:rsidR="00D25E61" w:rsidRPr="00A03B67">
        <w:t>ase started off in 2020</w:t>
      </w:r>
      <w:r w:rsidR="00C93AAF" w:rsidRPr="00A03B67">
        <w:t>,</w:t>
      </w:r>
      <w:r w:rsidR="00D25E61" w:rsidRPr="00A03B67">
        <w:t xml:space="preserve"> it was separated in to multiple stages and cases that were finalised in late 2024</w:t>
      </w:r>
      <w:r w:rsidR="00C93AAF" w:rsidRPr="00A03B67">
        <w:t xml:space="preserve">: Fair Work Commission, </w:t>
      </w:r>
      <w:r w:rsidR="00C93AAF" w:rsidRPr="00A03B67">
        <w:rPr>
          <w:i/>
          <w:iCs/>
        </w:rPr>
        <w:t>Equal Remuneration and Work Value Case</w:t>
      </w:r>
      <w:r w:rsidR="00C93AAF" w:rsidRPr="00A03B67">
        <w:t xml:space="preserve"> (Web Page, n.d.) &lt;https://www.fwc.gov.au/hearings-decisions/major-cases/previous-major-cases/equal-remuneration-and-work-value-case&gt;; Fair Work Commission, </w:t>
      </w:r>
      <w:r w:rsidR="00C93AAF" w:rsidRPr="00A03B67">
        <w:rPr>
          <w:i/>
          <w:iCs/>
        </w:rPr>
        <w:t xml:space="preserve">Work Value Case </w:t>
      </w:r>
      <w:r w:rsidR="00C93AAF" w:rsidRPr="00A03B67">
        <w:rPr>
          <w:rFonts w:ascii="Symbol" w:eastAsia="Symbol" w:hAnsi="Symbol" w:cs="Symbol"/>
          <w:i/>
          <w:iCs/>
        </w:rPr>
        <w:t>-</w:t>
      </w:r>
      <w:r w:rsidR="00C93AAF" w:rsidRPr="00A03B67">
        <w:rPr>
          <w:i/>
          <w:iCs/>
        </w:rPr>
        <w:t xml:space="preserve"> Aged Care Industry</w:t>
      </w:r>
      <w:r w:rsidR="00C93AAF" w:rsidRPr="00A03B67">
        <w:t xml:space="preserve"> (Web Page, n.d.) &lt;https://www.fwc.gov.au/hearings-decisions/major-cases/work-value-case-aged-care-industry&gt;; Fair Work Commission, Work Value Case </w:t>
      </w:r>
      <w:r w:rsidR="00C93AAF" w:rsidRPr="00A03B67">
        <w:rPr>
          <w:rFonts w:ascii="Symbol" w:eastAsia="Symbol" w:hAnsi="Symbol" w:cs="Symbol"/>
        </w:rPr>
        <w:t>-</w:t>
      </w:r>
      <w:r w:rsidR="00C93AAF" w:rsidRPr="00A03B67">
        <w:t xml:space="preserve"> Nurses and Midwives (Web Page, n.d.) &lt;https://www.fwc.gov.au/hearings-decisions/major-cases/work-value-case-nurses-and-midwives&gt;. </w:t>
      </w:r>
    </w:p>
  </w:footnote>
  <w:footnote w:id="852">
    <w:p w14:paraId="6AA5294E" w14:textId="54F74B00" w:rsidR="00A67ED4" w:rsidRPr="00A03B67" w:rsidRDefault="00A67ED4" w:rsidP="00A67ED4">
      <w:pPr>
        <w:pStyle w:val="FootnoteText"/>
        <w:rPr>
          <w:lang w:val="en-US"/>
        </w:rPr>
      </w:pPr>
      <w:r w:rsidRPr="00A03B67">
        <w:rPr>
          <w:rStyle w:val="FootnoteReference"/>
        </w:rPr>
        <w:footnoteRef/>
      </w:r>
      <w:r w:rsidRPr="00A03B67">
        <w:t xml:space="preserve"> </w:t>
      </w:r>
      <w:r w:rsidRPr="00A03B67">
        <w:rPr>
          <w:lang w:val="en-US"/>
        </w:rPr>
        <w:t>Centre for Future Work</w:t>
      </w:r>
      <w:r w:rsidR="00C93AAF" w:rsidRPr="00A03B67">
        <w:rPr>
          <w:lang w:val="en-US"/>
        </w:rPr>
        <w:t xml:space="preserve"> submission, </w:t>
      </w:r>
      <w:r w:rsidRPr="00A03B67">
        <w:rPr>
          <w:lang w:val="en-US"/>
        </w:rPr>
        <w:t xml:space="preserve">11. </w:t>
      </w:r>
    </w:p>
  </w:footnote>
  <w:footnote w:id="853">
    <w:p w14:paraId="3207B17C" w14:textId="64BAD7D5" w:rsidR="009A1D5D" w:rsidRPr="00A03B67" w:rsidRDefault="009A1D5D" w:rsidP="009A1D5D">
      <w:pPr>
        <w:pStyle w:val="FootnoteText"/>
        <w:rPr>
          <w:lang w:val="en-US"/>
        </w:rPr>
      </w:pPr>
      <w:r w:rsidRPr="00A03B67">
        <w:rPr>
          <w:rStyle w:val="FootnoteReference"/>
        </w:rPr>
        <w:footnoteRef/>
      </w:r>
      <w:r w:rsidRPr="00A03B67">
        <w:t xml:space="preserve"> </w:t>
      </w:r>
      <w:r w:rsidRPr="00A03B67">
        <w:rPr>
          <w:lang w:val="en-US"/>
        </w:rPr>
        <w:t>Centre for Future Work</w:t>
      </w:r>
      <w:r w:rsidR="00C93AAF" w:rsidRPr="00A03B67">
        <w:rPr>
          <w:lang w:val="en-US"/>
        </w:rPr>
        <w:t xml:space="preserve"> submission, </w:t>
      </w:r>
      <w:r w:rsidRPr="00A03B67">
        <w:rPr>
          <w:lang w:val="en-US"/>
        </w:rPr>
        <w:t>11.</w:t>
      </w:r>
    </w:p>
  </w:footnote>
  <w:footnote w:id="854">
    <w:p w14:paraId="7CDA7DF2" w14:textId="18B7B589" w:rsidR="00E329B2" w:rsidRPr="00A03B67" w:rsidRDefault="00E329B2" w:rsidP="00E329B2">
      <w:pPr>
        <w:pStyle w:val="FootnoteText"/>
      </w:pPr>
      <w:r w:rsidRPr="00A03B67">
        <w:rPr>
          <w:rStyle w:val="FootnoteReference"/>
        </w:rPr>
        <w:footnoteRef/>
      </w:r>
      <w:r w:rsidRPr="00A03B67">
        <w:t xml:space="preserve"> </w:t>
      </w:r>
      <w:r w:rsidR="00C93AAF" w:rsidRPr="00A03B67">
        <w:t xml:space="preserve">Fair Work Commission, </w:t>
      </w:r>
      <w:r w:rsidR="00A659C8" w:rsidRPr="00A03B67">
        <w:rPr>
          <w:i/>
          <w:iCs/>
        </w:rPr>
        <w:t>Modern Awards Review 2023</w:t>
      </w:r>
      <w:r w:rsidR="00C93AAF" w:rsidRPr="00A03B67">
        <w:rPr>
          <w:rFonts w:ascii="Symbol" w:eastAsia="Symbol" w:hAnsi="Symbol" w:cs="Symbol"/>
          <w:i/>
          <w:iCs/>
        </w:rPr>
        <w:t>-</w:t>
      </w:r>
      <w:r w:rsidR="00A659C8" w:rsidRPr="00A03B67">
        <w:rPr>
          <w:i/>
          <w:iCs/>
        </w:rPr>
        <w:t>24</w:t>
      </w:r>
      <w:r w:rsidR="00A659C8" w:rsidRPr="00A03B67">
        <w:t xml:space="preserve"> (</w:t>
      </w:r>
      <w:r w:rsidR="00C93AAF" w:rsidRPr="00A03B67">
        <w:t xml:space="preserve">Report, </w:t>
      </w:r>
      <w:r w:rsidR="00A659C8" w:rsidRPr="00A03B67">
        <w:t>July 2024) [</w:t>
      </w:r>
      <w:r w:rsidR="00CB5963" w:rsidRPr="00A03B67">
        <w:t>167</w:t>
      </w:r>
      <w:r w:rsidR="00A659C8" w:rsidRPr="00A03B67">
        <w:t xml:space="preserve">]. </w:t>
      </w:r>
    </w:p>
  </w:footnote>
  <w:footnote w:id="855">
    <w:p w14:paraId="6C30B8F6" w14:textId="77777777" w:rsidR="009A1D5D" w:rsidRPr="00A03B67" w:rsidRDefault="009A1D5D" w:rsidP="009A1D5D">
      <w:pPr>
        <w:pStyle w:val="FootnoteText"/>
        <w:rPr>
          <w:lang w:val="en-US"/>
        </w:rPr>
      </w:pPr>
      <w:r w:rsidRPr="00A03B67">
        <w:rPr>
          <w:rStyle w:val="FootnoteReference"/>
        </w:rPr>
        <w:footnoteRef/>
      </w:r>
      <w:r w:rsidRPr="00A03B67">
        <w:t xml:space="preserve"> This matter was raised in the academic roundtable discussions.</w:t>
      </w:r>
    </w:p>
  </w:footnote>
  <w:footnote w:id="856">
    <w:p w14:paraId="6B4AE9BB" w14:textId="3377BAF0" w:rsidR="007F1338" w:rsidRPr="00A03B67" w:rsidRDefault="007F1338" w:rsidP="007F1338">
      <w:pPr>
        <w:pStyle w:val="FootnoteText"/>
      </w:pPr>
      <w:r w:rsidRPr="00A03B67">
        <w:rPr>
          <w:rStyle w:val="FootnoteReference"/>
        </w:rPr>
        <w:footnoteRef/>
      </w:r>
      <w:r w:rsidR="00C93AAF" w:rsidRPr="00A03B67">
        <w:t xml:space="preserve"> Fair Work Commission, Gender Undervaluation, Priority Awards Review, Commonwealth submission &lt;https://www.fwc.gov.au/documents/sites/am2024-19/am202419-ors-sub-cth-270924.pdf&gt;.</w:t>
      </w:r>
    </w:p>
  </w:footnote>
  <w:footnote w:id="857">
    <w:p w14:paraId="33F5A5D1" w14:textId="550B8DFC" w:rsidR="007F1338" w:rsidRPr="00A03B67" w:rsidRDefault="007F1338" w:rsidP="007F1338">
      <w:pPr>
        <w:pStyle w:val="FootnoteText"/>
      </w:pPr>
      <w:r w:rsidRPr="00A03B67">
        <w:rPr>
          <w:rStyle w:val="FootnoteReference"/>
        </w:rPr>
        <w:footnoteRef/>
      </w:r>
      <w:r w:rsidRPr="00A03B67">
        <w:t xml:space="preserve">  </w:t>
      </w:r>
      <w:r w:rsidR="00C93AAF" w:rsidRPr="00A03B67">
        <w:t>Fair Work Commission, Gender Undervaluation, Priority Awards Review, Commonwealth submission, [3]</w:t>
      </w:r>
      <w:r w:rsidR="00C93AAF" w:rsidRPr="00A03B67">
        <w:rPr>
          <w:rFonts w:ascii="Symbol" w:eastAsia="Symbol" w:hAnsi="Symbol" w:cs="Symbol"/>
        </w:rPr>
        <w:t>-</w:t>
      </w:r>
      <w:r w:rsidR="00C93AAF" w:rsidRPr="00A03B67">
        <w:t>[4] &lt;https://www.fwc.gov.au/documents/sites/am2024-19/am202419-ors-sub-cth-270924.pdf&gt;.</w:t>
      </w:r>
    </w:p>
  </w:footnote>
  <w:footnote w:id="858">
    <w:p w14:paraId="71E71891" w14:textId="21C77E68" w:rsidR="007F1338" w:rsidRPr="00A03B67" w:rsidRDefault="007F1338" w:rsidP="007F1338">
      <w:pPr>
        <w:pStyle w:val="FootnoteText"/>
      </w:pPr>
      <w:r w:rsidRPr="00A03B67">
        <w:rPr>
          <w:rStyle w:val="FootnoteReference"/>
        </w:rPr>
        <w:footnoteRef/>
      </w:r>
      <w:r w:rsidRPr="00A03B67">
        <w:t xml:space="preserve"> </w:t>
      </w:r>
      <w:r w:rsidR="00C93AAF" w:rsidRPr="00A03B67">
        <w:t>Fair Work Commission, Gender Undervaluation, Priority Awards Review, Commonwealth submission, [38]</w:t>
      </w:r>
      <w:r w:rsidR="00C93AAF" w:rsidRPr="00A03B67">
        <w:rPr>
          <w:rFonts w:ascii="Symbol" w:eastAsia="Symbol" w:hAnsi="Symbol" w:cs="Symbol"/>
        </w:rPr>
        <w:t>-</w:t>
      </w:r>
      <w:r w:rsidR="00C93AAF" w:rsidRPr="00A03B67">
        <w:t>[52] &lt;https://www.fwc.gov.au/documents/sites/am2024-19/am202419-ors-sub-cth-270924.pdf&gt;.</w:t>
      </w:r>
    </w:p>
  </w:footnote>
  <w:footnote w:id="859">
    <w:p w14:paraId="613D2227" w14:textId="7BC63000" w:rsidR="00A67ED4" w:rsidRPr="00A03B67" w:rsidRDefault="00A67ED4" w:rsidP="00A67ED4">
      <w:pPr>
        <w:pStyle w:val="FootnoteText"/>
      </w:pPr>
      <w:r w:rsidRPr="00A03B67">
        <w:rPr>
          <w:rStyle w:val="FootnoteReference"/>
        </w:rPr>
        <w:footnoteRef/>
      </w:r>
      <w:r w:rsidR="00C93AAF" w:rsidRPr="00A03B67">
        <w:t xml:space="preserve"> Fair Work Commission, Gender Undervaluation, Priority Awards Review, Commonwealth submission, [38] &lt;https://www.fwc.gov.au/documents/sites/am2024-19/am202419-ors-sub-cth-270924.pdf&gt;.</w:t>
      </w:r>
    </w:p>
  </w:footnote>
  <w:footnote w:id="860">
    <w:p w14:paraId="2434AA2F" w14:textId="121E6E17" w:rsidR="009A1D5D" w:rsidRPr="00A03B67" w:rsidRDefault="009A1D5D" w:rsidP="009A1D5D">
      <w:pPr>
        <w:pStyle w:val="FootnoteText"/>
      </w:pPr>
      <w:r w:rsidRPr="00A03B67">
        <w:rPr>
          <w:rStyle w:val="FootnoteReference"/>
        </w:rPr>
        <w:footnoteRef/>
      </w:r>
      <w:r w:rsidRPr="00A03B67">
        <w:t xml:space="preserve"> </w:t>
      </w:r>
      <w:r w:rsidR="00C93AAF" w:rsidRPr="00A03B67">
        <w:t xml:space="preserve">Senate Education and Employment Legislation Committee, Parliament of Australia, </w:t>
      </w:r>
      <w:r w:rsidR="00B51F2C" w:rsidRPr="00A03B67">
        <w:t>Fair Work Legislation Amendment (Secure Jobs, Better Pay) Bill 2022</w:t>
      </w:r>
      <w:r w:rsidR="00C93AAF" w:rsidRPr="00A03B67">
        <w:t>, submission 89</w:t>
      </w:r>
      <w:r w:rsidR="004A13DF" w:rsidRPr="00A03B67">
        <w:t>, [2].</w:t>
      </w:r>
      <w:r w:rsidR="00C93AAF" w:rsidRPr="00A03B67">
        <w:t xml:space="preserve"> &lt;</w:t>
      </w:r>
      <w:hyperlink r:id="rId11" w:history="1">
        <w:r w:rsidR="00C93AAF" w:rsidRPr="00A03B67">
          <w:rPr>
            <w:rStyle w:val="Hyperlink"/>
          </w:rPr>
          <w:t>https://www.aph.gov.au/Parliamentary_Business/Committees/Senate/Education_and_Employment/SecureJobsBetterPay/Submissions</w:t>
        </w:r>
      </w:hyperlink>
      <w:r w:rsidR="00C93AAF" w:rsidRPr="00A03B67">
        <w:t>&gt;.</w:t>
      </w:r>
    </w:p>
  </w:footnote>
  <w:footnote w:id="861">
    <w:p w14:paraId="13718772" w14:textId="4EEF1E76" w:rsidR="009A1D5D" w:rsidRPr="00A03B67" w:rsidRDefault="009A1D5D" w:rsidP="009A1D5D">
      <w:pPr>
        <w:pStyle w:val="FootnoteText"/>
      </w:pPr>
      <w:r w:rsidRPr="00A03B67">
        <w:rPr>
          <w:rStyle w:val="FootnoteReference"/>
        </w:rPr>
        <w:footnoteRef/>
      </w:r>
      <w:r w:rsidRPr="00A03B67">
        <w:t xml:space="preserve"> </w:t>
      </w:r>
      <w:r w:rsidRPr="00A03B67">
        <w:rPr>
          <w:i/>
          <w:iCs/>
        </w:rPr>
        <w:t>F</w:t>
      </w:r>
      <w:r w:rsidR="00C93AAF" w:rsidRPr="00A03B67">
        <w:rPr>
          <w:i/>
          <w:iCs/>
        </w:rPr>
        <w:t xml:space="preserve">air </w:t>
      </w:r>
      <w:r w:rsidRPr="00A03B67">
        <w:rPr>
          <w:i/>
          <w:iCs/>
        </w:rPr>
        <w:t>W</w:t>
      </w:r>
      <w:r w:rsidR="00C93AAF" w:rsidRPr="00A03B67">
        <w:rPr>
          <w:i/>
          <w:iCs/>
        </w:rPr>
        <w:t>ork</w:t>
      </w:r>
      <w:r w:rsidRPr="00A03B67">
        <w:rPr>
          <w:i/>
          <w:iCs/>
        </w:rPr>
        <w:t xml:space="preserve"> Act</w:t>
      </w:r>
      <w:r w:rsidR="00C93AAF" w:rsidRPr="00A03B67">
        <w:rPr>
          <w:i/>
          <w:iCs/>
        </w:rPr>
        <w:t xml:space="preserve"> 2009 </w:t>
      </w:r>
      <w:r w:rsidR="00C93AAF" w:rsidRPr="00A03B67">
        <w:t>(Cth)</w:t>
      </w:r>
      <w:r w:rsidRPr="00A03B67">
        <w:t xml:space="preserve"> s 620(1D).</w:t>
      </w:r>
    </w:p>
  </w:footnote>
  <w:footnote w:id="862">
    <w:p w14:paraId="0565E700" w14:textId="72E6E23B" w:rsidR="009A1D5D" w:rsidRPr="00A03B67" w:rsidRDefault="009A1D5D" w:rsidP="009A1D5D">
      <w:pPr>
        <w:pStyle w:val="FootnoteText"/>
        <w:rPr>
          <w:strike/>
        </w:rPr>
      </w:pPr>
      <w:r w:rsidRPr="00A03B67">
        <w:rPr>
          <w:rStyle w:val="FootnoteReference"/>
        </w:rPr>
        <w:footnoteRef/>
      </w:r>
      <w:r w:rsidRPr="00A03B67">
        <w:t xml:space="preserve"> </w:t>
      </w:r>
      <w:r w:rsidR="00D8550E" w:rsidRPr="00A03B67">
        <w:t xml:space="preserve">Revised </w:t>
      </w:r>
      <w:r w:rsidRPr="00A03B67">
        <w:t>Explanatory Memorandum, Fair Work Legislation Amendment</w:t>
      </w:r>
      <w:r w:rsidRPr="00A03B67">
        <w:rPr>
          <w:i/>
          <w:iCs/>
        </w:rPr>
        <w:t xml:space="preserve"> </w:t>
      </w:r>
      <w:r w:rsidRPr="00A03B67">
        <w:t>(Secure Jobs, Better Pay) Bill 2022</w:t>
      </w:r>
      <w:r w:rsidR="00C93AAF" w:rsidRPr="00A03B67">
        <w:t>,</w:t>
      </w:r>
      <w:r w:rsidRPr="00A03B67">
        <w:t xml:space="preserve"> [364]</w:t>
      </w:r>
      <w:r w:rsidR="00C93AAF" w:rsidRPr="00A03B67">
        <w:rPr>
          <w:strike/>
        </w:rPr>
        <w:t>.</w:t>
      </w:r>
    </w:p>
  </w:footnote>
  <w:footnote w:id="863">
    <w:p w14:paraId="315BA286" w14:textId="27045DB1" w:rsidR="009A1D5D" w:rsidRPr="00A03B67" w:rsidRDefault="009A1D5D" w:rsidP="009A1D5D">
      <w:pPr>
        <w:pStyle w:val="FootnoteText"/>
        <w:rPr>
          <w:strike/>
        </w:rPr>
      </w:pPr>
      <w:r w:rsidRPr="00A03B67">
        <w:rPr>
          <w:rStyle w:val="FootnoteReference"/>
        </w:rPr>
        <w:footnoteRef/>
      </w:r>
      <w:r w:rsidRPr="00A03B67">
        <w:t xml:space="preserve"> Anthony Albanese, Tony Burke and Tanya Plibersek, ‘Labour to Deliver Fair Pay &amp; Conditions for Working Women‘ (Media Release, 1 May 2022).</w:t>
      </w:r>
    </w:p>
  </w:footnote>
  <w:footnote w:id="864">
    <w:p w14:paraId="17BF4986" w14:textId="118DBACA" w:rsidR="005B2F68" w:rsidRPr="00A03B67" w:rsidRDefault="005B2F68" w:rsidP="005B2F68">
      <w:pPr>
        <w:pStyle w:val="FootnoteText"/>
        <w:rPr>
          <w:lang w:val="en-US"/>
        </w:rPr>
      </w:pPr>
      <w:r w:rsidRPr="00A03B67">
        <w:rPr>
          <w:rStyle w:val="FootnoteReference"/>
        </w:rPr>
        <w:footnoteRef/>
      </w:r>
      <w:r w:rsidRPr="00A03B67">
        <w:t xml:space="preserve"> </w:t>
      </w:r>
      <w:r w:rsidR="00C93AAF" w:rsidRPr="00A03B67">
        <w:t xml:space="preserve">The Hon </w:t>
      </w:r>
      <w:r w:rsidRPr="00A03B67">
        <w:t>Tony Burke</w:t>
      </w:r>
      <w:r w:rsidR="00C93AAF" w:rsidRPr="00A03B67">
        <w:t xml:space="preserve"> MP</w:t>
      </w:r>
      <w:r w:rsidRPr="00A03B67">
        <w:t xml:space="preserve">, ’Appointments to the Fair Work Commission Expert Panel’ (Media Release, 6 March 2023). </w:t>
      </w:r>
    </w:p>
  </w:footnote>
  <w:footnote w:id="865">
    <w:p w14:paraId="1CA462C3" w14:textId="6BCFBCDB" w:rsidR="000D51F4" w:rsidRPr="00A03B67" w:rsidRDefault="009A1D5D" w:rsidP="009A1D5D">
      <w:pPr>
        <w:pStyle w:val="FootnoteText"/>
      </w:pPr>
      <w:r w:rsidRPr="00A03B67">
        <w:rPr>
          <w:rStyle w:val="FootnoteReference"/>
        </w:rPr>
        <w:footnoteRef/>
      </w:r>
      <w:r w:rsidRPr="00A03B67">
        <w:t xml:space="preserve"> </w:t>
      </w:r>
      <w:r w:rsidR="00C93AAF" w:rsidRPr="00A03B67">
        <w:t xml:space="preserve">Justice Hatcher, </w:t>
      </w:r>
      <w:r w:rsidRPr="00A03B67">
        <w:t xml:space="preserve">Fair Work Commission, </w:t>
      </w:r>
      <w:r w:rsidRPr="00A03B67">
        <w:rPr>
          <w:i/>
          <w:iCs/>
        </w:rPr>
        <w:t xml:space="preserve">Pay </w:t>
      </w:r>
      <w:r w:rsidR="00C93AAF" w:rsidRPr="00A03B67">
        <w:rPr>
          <w:i/>
          <w:iCs/>
        </w:rPr>
        <w:t>E</w:t>
      </w:r>
      <w:r w:rsidRPr="00A03B67">
        <w:rPr>
          <w:i/>
          <w:iCs/>
        </w:rPr>
        <w:t>quity and Care and Community Sector – Expert Panels</w:t>
      </w:r>
      <w:r w:rsidR="00C93AAF" w:rsidRPr="00A03B67">
        <w:rPr>
          <w:i/>
          <w:iCs/>
        </w:rPr>
        <w:t xml:space="preserve"> </w:t>
      </w:r>
      <w:r w:rsidR="00C93AAF" w:rsidRPr="00A03B67">
        <w:t xml:space="preserve">(President’s Statement, </w:t>
      </w:r>
      <w:r w:rsidRPr="00A03B67">
        <w:t>3 February 2023</w:t>
      </w:r>
      <w:r w:rsidR="00C93AAF" w:rsidRPr="00A03B67">
        <w:t xml:space="preserve">) &lt;https://www.fwc.gov.au/sites/default/files/2023-02/presidents-statement-expert-panels-2023-01-03.pdf&gt;; Justice Hatcher, </w:t>
      </w:r>
      <w:r w:rsidRPr="00A03B67">
        <w:t xml:space="preserve">Fair Work Commission, </w:t>
      </w:r>
      <w:r w:rsidRPr="00A03B67">
        <w:rPr>
          <w:i/>
          <w:iCs/>
        </w:rPr>
        <w:t xml:space="preserve">Expert Panels </w:t>
      </w:r>
      <w:r w:rsidR="00C93AAF" w:rsidRPr="00A03B67">
        <w:rPr>
          <w:rFonts w:ascii="Symbol" w:eastAsia="Symbol" w:hAnsi="Symbol" w:cs="Symbol"/>
          <w:i/>
          <w:iCs/>
        </w:rPr>
        <w:t>-</w:t>
      </w:r>
      <w:r w:rsidRPr="00A03B67">
        <w:rPr>
          <w:i/>
          <w:iCs/>
        </w:rPr>
        <w:t xml:space="preserve"> Provisional Views</w:t>
      </w:r>
      <w:r w:rsidR="00C93AAF" w:rsidRPr="00A03B67">
        <w:t xml:space="preserve"> (President’s Statement, </w:t>
      </w:r>
      <w:r w:rsidRPr="00A03B67">
        <w:t>24 February 2024</w:t>
      </w:r>
      <w:r w:rsidR="00C93AAF" w:rsidRPr="00A03B67">
        <w:t>) &lt;https://www.fwc.gov.au/documents/consultation/presidents-statement-expert-panels-audit-of-current-matters-2023-02-24.pdf&gt;</w:t>
      </w:r>
      <w:r w:rsidRPr="00A03B67">
        <w:t xml:space="preserve">; Fair Work Commission, </w:t>
      </w:r>
      <w:r w:rsidRPr="00A03B67">
        <w:rPr>
          <w:i/>
          <w:iCs/>
        </w:rPr>
        <w:t xml:space="preserve">Pay </w:t>
      </w:r>
      <w:r w:rsidR="00C93AAF" w:rsidRPr="00A03B67">
        <w:rPr>
          <w:i/>
          <w:iCs/>
        </w:rPr>
        <w:t>E</w:t>
      </w:r>
      <w:r w:rsidRPr="00A03B67">
        <w:rPr>
          <w:i/>
          <w:iCs/>
        </w:rPr>
        <w:t>quity and Care and Community Sector – Expert Panels</w:t>
      </w:r>
      <w:r w:rsidR="00C93AAF" w:rsidRPr="00A03B67">
        <w:t xml:space="preserve"> (President’s Statement, </w:t>
      </w:r>
      <w:r w:rsidRPr="00A03B67">
        <w:t>14 March 2023</w:t>
      </w:r>
      <w:r w:rsidR="00C93AAF" w:rsidRPr="00A03B67">
        <w:t>)</w:t>
      </w:r>
      <w:r w:rsidRPr="00A03B67">
        <w:t xml:space="preserve"> </w:t>
      </w:r>
      <w:r w:rsidR="00C93AAF" w:rsidRPr="00A03B67">
        <w:t xml:space="preserve">&lt;https://www.fwc.gov.au/sites/default/files/2023-02/presidents-statement-expert-panels-2023-01-03.pdf&gt;. </w:t>
      </w:r>
    </w:p>
  </w:footnote>
  <w:footnote w:id="866">
    <w:p w14:paraId="430C0285" w14:textId="01EC3309" w:rsidR="00E364BD" w:rsidRPr="00A03B67" w:rsidRDefault="00E364BD">
      <w:pPr>
        <w:pStyle w:val="FootnoteText"/>
      </w:pPr>
      <w:r w:rsidRPr="00A03B67">
        <w:rPr>
          <w:rStyle w:val="FootnoteReference"/>
        </w:rPr>
        <w:footnoteRef/>
      </w:r>
      <w:r w:rsidRPr="00A03B67">
        <w:t xml:space="preserve"> </w:t>
      </w:r>
      <w:r w:rsidR="0095175E" w:rsidRPr="00A03B67">
        <w:t xml:space="preserve">Justice Hatcher, Fair Work Commission, </w:t>
      </w:r>
      <w:r w:rsidR="0095175E" w:rsidRPr="00A03B67">
        <w:rPr>
          <w:i/>
          <w:iCs/>
        </w:rPr>
        <w:t xml:space="preserve">Expert Panels </w:t>
      </w:r>
      <w:r w:rsidR="0095175E" w:rsidRPr="00A03B67">
        <w:rPr>
          <w:rFonts w:ascii="Symbol" w:eastAsia="Symbol" w:hAnsi="Symbol" w:cs="Symbol"/>
          <w:i/>
          <w:iCs/>
        </w:rPr>
        <w:t>-</w:t>
      </w:r>
      <w:r w:rsidR="0095175E" w:rsidRPr="00A03B67">
        <w:rPr>
          <w:i/>
          <w:iCs/>
        </w:rPr>
        <w:t xml:space="preserve"> Provisional Views</w:t>
      </w:r>
      <w:r w:rsidR="0095175E" w:rsidRPr="00A03B67">
        <w:t xml:space="preserve"> (President’s Statement, 24 February 2024) [8] citing the Revised Explanatory Memorandum, Fair Work Legislation Amendment (Secure Jobs, Better Pay) Bill</w:t>
      </w:r>
      <w:r w:rsidR="0095175E" w:rsidRPr="00A03B67">
        <w:rPr>
          <w:i/>
          <w:iCs/>
        </w:rPr>
        <w:t xml:space="preserve"> </w:t>
      </w:r>
      <w:r w:rsidR="0095175E" w:rsidRPr="00A03B67">
        <w:t>2022 at [380] &lt;https://www.fwc.gov.au/documents/consultation/presidents-statement-expert-panels-audit-of-current-matters-2023-02-24.pdf&gt;.</w:t>
      </w:r>
    </w:p>
  </w:footnote>
  <w:footnote w:id="867">
    <w:p w14:paraId="2B11343A" w14:textId="6B77ADEF" w:rsidR="009A1D5D" w:rsidRPr="00A03B67" w:rsidRDefault="009A1D5D" w:rsidP="009A1D5D">
      <w:pPr>
        <w:pStyle w:val="FootnoteText"/>
      </w:pPr>
      <w:r w:rsidRPr="00A03B67">
        <w:rPr>
          <w:rStyle w:val="FootnoteReference"/>
        </w:rPr>
        <w:footnoteRef/>
      </w:r>
      <w:r w:rsidRPr="00A03B67">
        <w:t xml:space="preserve"> </w:t>
      </w:r>
      <w:r w:rsidR="00C93AAF" w:rsidRPr="00A03B67">
        <w:t xml:space="preserve">Justice Hatcher, Fair Work Commission, </w:t>
      </w:r>
      <w:r w:rsidR="00C93AAF" w:rsidRPr="00A03B67">
        <w:rPr>
          <w:i/>
          <w:iCs/>
        </w:rPr>
        <w:t xml:space="preserve">Expert Panels </w:t>
      </w:r>
      <w:r w:rsidR="00C93AAF" w:rsidRPr="00A03B67">
        <w:rPr>
          <w:rFonts w:ascii="Symbol" w:eastAsia="Symbol" w:hAnsi="Symbol" w:cs="Symbol"/>
          <w:i/>
          <w:iCs/>
        </w:rPr>
        <w:t>-</w:t>
      </w:r>
      <w:r w:rsidR="00C93AAF" w:rsidRPr="00A03B67">
        <w:rPr>
          <w:i/>
          <w:iCs/>
        </w:rPr>
        <w:t xml:space="preserve"> Provisional Views</w:t>
      </w:r>
      <w:r w:rsidR="00C93AAF" w:rsidRPr="00A03B67">
        <w:t xml:space="preserve"> (President’s Statement, 24 February 2024) [15]</w:t>
      </w:r>
      <w:r w:rsidR="00C93AAF" w:rsidRPr="00A03B67">
        <w:rPr>
          <w:rFonts w:ascii="Symbol" w:eastAsia="Symbol" w:hAnsi="Symbol" w:cs="Symbol"/>
        </w:rPr>
        <w:t>-</w:t>
      </w:r>
      <w:r w:rsidR="00C93AAF" w:rsidRPr="00A03B67">
        <w:t>[16] &lt;https://www.fwc.gov.au/documents/consultation/presidents-statement-expert-panels-audit-of-current-matters-2023-02-24.pdf&gt;</w:t>
      </w:r>
      <w:r w:rsidRPr="00A03B67">
        <w:t xml:space="preserve"> affirmed in </w:t>
      </w:r>
      <w:r w:rsidR="00844B5F" w:rsidRPr="00A03B67">
        <w:t xml:space="preserve">Justice Hatcher, Fair Work Commission, </w:t>
      </w:r>
      <w:r w:rsidR="00844B5F" w:rsidRPr="00A03B67">
        <w:rPr>
          <w:i/>
          <w:iCs/>
        </w:rPr>
        <w:t xml:space="preserve">Pay Equity and Care and Community Sector – Expert Panels </w:t>
      </w:r>
      <w:r w:rsidR="00844B5F" w:rsidRPr="00A03B67">
        <w:t>(President’s Statement, 3 February 2023) [6] &lt;https://www.fwc.gov.au/sites/default/files/2023-02/presidents-statement-expert-panels-2023-01-03.pdf&gt;</w:t>
      </w:r>
      <w:r w:rsidRPr="00A03B67">
        <w:t>.</w:t>
      </w:r>
    </w:p>
  </w:footnote>
  <w:footnote w:id="868">
    <w:p w14:paraId="4E0D60E6" w14:textId="546F63BE" w:rsidR="009A1D5D" w:rsidRPr="00A03B67" w:rsidRDefault="009A1D5D" w:rsidP="009A1D5D">
      <w:pPr>
        <w:pStyle w:val="FootnoteText"/>
      </w:pPr>
      <w:r w:rsidRPr="00A03B67">
        <w:rPr>
          <w:rStyle w:val="FootnoteReference"/>
        </w:rPr>
        <w:footnoteRef/>
      </w:r>
      <w:r w:rsidRPr="00A03B67">
        <w:t xml:space="preserve"> </w:t>
      </w:r>
      <w:r w:rsidR="00844B5F" w:rsidRPr="00A03B67">
        <w:t xml:space="preserve">Justice Hatcher, Fair Work Commission, </w:t>
      </w:r>
      <w:r w:rsidR="00844B5F" w:rsidRPr="00A03B67">
        <w:rPr>
          <w:i/>
          <w:iCs/>
        </w:rPr>
        <w:t xml:space="preserve">Expert Panels </w:t>
      </w:r>
      <w:r w:rsidR="00844B5F" w:rsidRPr="00A03B67">
        <w:rPr>
          <w:rFonts w:ascii="Symbol" w:eastAsia="Symbol" w:hAnsi="Symbol" w:cs="Symbol"/>
          <w:i/>
          <w:iCs/>
        </w:rPr>
        <w:t>-</w:t>
      </w:r>
      <w:r w:rsidR="00844B5F" w:rsidRPr="00A03B67">
        <w:rPr>
          <w:i/>
          <w:iCs/>
        </w:rPr>
        <w:t xml:space="preserve"> Provisional Views</w:t>
      </w:r>
      <w:r w:rsidR="00844B5F" w:rsidRPr="00A03B67">
        <w:t xml:space="preserve"> (President’s Statement, 24 February 2024) [17] &lt;https://www.fwc.gov.au/documents/consultation/presidents-statement-expert-panels-audit-of-current-matters-2023-02-24.pdf&gt; affirmed in Justice Hatcher, Fair Work Commission, </w:t>
      </w:r>
      <w:r w:rsidR="00844B5F" w:rsidRPr="00A03B67">
        <w:rPr>
          <w:i/>
          <w:iCs/>
        </w:rPr>
        <w:t xml:space="preserve">Pay Equity and Care and Community Sector – Expert Panels </w:t>
      </w:r>
      <w:r w:rsidR="00844B5F" w:rsidRPr="00A03B67">
        <w:t>(President’s Statement, 3 February 2023) [6] &lt;https://www.fwc.gov.au/sites/default/files/2023-02/presidents-statement-expert-panels-2023-01-03.pdf&gt;</w:t>
      </w:r>
      <w:r w:rsidRPr="00A03B67">
        <w:t>.</w:t>
      </w:r>
    </w:p>
  </w:footnote>
  <w:footnote w:id="869">
    <w:p w14:paraId="724B2A7F" w14:textId="7B9A6E71" w:rsidR="009A1D5D" w:rsidRPr="00A03B67" w:rsidRDefault="009A1D5D" w:rsidP="009A1D5D">
      <w:pPr>
        <w:pStyle w:val="FootnoteText"/>
      </w:pPr>
      <w:r w:rsidRPr="00A03B67">
        <w:rPr>
          <w:rStyle w:val="FootnoteReference"/>
        </w:rPr>
        <w:footnoteRef/>
      </w:r>
      <w:r w:rsidRPr="00A03B67">
        <w:t xml:space="preserve"> </w:t>
      </w:r>
      <w:r w:rsidR="00E003AF" w:rsidRPr="00A03B67">
        <w:t xml:space="preserve">Honorary Professor Anne Junor, Submission 26 to Secure Jobs, Better Pay Review, </w:t>
      </w:r>
      <w:r w:rsidR="00E003AF" w:rsidRPr="00A03B67">
        <w:rPr>
          <w:i/>
          <w:iCs/>
        </w:rPr>
        <w:t xml:space="preserve">Review of the Secure Jobs, Better Pay Act </w:t>
      </w:r>
      <w:r w:rsidR="00E003AF" w:rsidRPr="00A03B67">
        <w:t>(29 November 2024)</w:t>
      </w:r>
      <w:r w:rsidR="008614DA" w:rsidRPr="00A03B67">
        <w:t>, 3</w:t>
      </w:r>
      <w:r w:rsidR="00E003AF" w:rsidRPr="00A03B67">
        <w:t xml:space="preserve">. </w:t>
      </w:r>
    </w:p>
  </w:footnote>
  <w:footnote w:id="870">
    <w:p w14:paraId="48AA4D43" w14:textId="22A7660F" w:rsidR="009A1D5D" w:rsidRPr="00A03B67" w:rsidRDefault="009A1D5D" w:rsidP="009A1D5D">
      <w:pPr>
        <w:pStyle w:val="FootnoteText"/>
      </w:pPr>
      <w:r w:rsidRPr="00A03B67">
        <w:rPr>
          <w:rStyle w:val="FootnoteReference"/>
        </w:rPr>
        <w:footnoteRef/>
      </w:r>
      <w:r w:rsidRPr="00A03B67">
        <w:t xml:space="preserve"> </w:t>
      </w:r>
      <w:r w:rsidR="00C839AC" w:rsidRPr="00A03B67">
        <w:t xml:space="preserve">Australian Council of Trade Unions, Submission 20 to Secure Jobs, Better Pay Review, </w:t>
      </w:r>
      <w:r w:rsidR="00C839AC" w:rsidRPr="00A03B67">
        <w:rPr>
          <w:i/>
          <w:iCs/>
        </w:rPr>
        <w:t xml:space="preserve">Review of the Secure Jobs, Better Pay Act </w:t>
      </w:r>
      <w:r w:rsidR="00C839AC" w:rsidRPr="00A03B67">
        <w:t>(29 November 2024)</w:t>
      </w:r>
      <w:r w:rsidR="00F82D3F" w:rsidRPr="00A03B67">
        <w:t xml:space="preserve"> 42</w:t>
      </w:r>
      <w:r w:rsidR="0030685A" w:rsidRPr="00A03B67">
        <w:t xml:space="preserve">; United Workers Union, Submission </w:t>
      </w:r>
      <w:r w:rsidR="009C6608" w:rsidRPr="00A03B67">
        <w:t>35</w:t>
      </w:r>
      <w:r w:rsidR="0030685A" w:rsidRPr="00A03B67">
        <w:t xml:space="preserve"> to Secure Jobs, Better Pay Review, </w:t>
      </w:r>
      <w:r w:rsidR="0030685A" w:rsidRPr="00A03B67">
        <w:rPr>
          <w:i/>
          <w:iCs/>
        </w:rPr>
        <w:t xml:space="preserve">Review of the Secure Jobs, Better Pay Act </w:t>
      </w:r>
      <w:r w:rsidR="0030685A" w:rsidRPr="00A03B67">
        <w:t>(</w:t>
      </w:r>
      <w:r w:rsidR="009C6608" w:rsidRPr="00A03B67">
        <w:t>1 December</w:t>
      </w:r>
      <w:r w:rsidR="0030685A" w:rsidRPr="00A03B67">
        <w:t xml:space="preserve"> 2024)</w:t>
      </w:r>
      <w:r w:rsidR="009C6608" w:rsidRPr="00A03B67">
        <w:t xml:space="preserve"> 15</w:t>
      </w:r>
      <w:r w:rsidR="0030685A" w:rsidRPr="00A03B67">
        <w:t>.</w:t>
      </w:r>
      <w:r w:rsidR="00C839AC" w:rsidRPr="00A03B67">
        <w:t xml:space="preserve"> </w:t>
      </w:r>
    </w:p>
  </w:footnote>
  <w:footnote w:id="871">
    <w:p w14:paraId="7E4C960A" w14:textId="514F2B9C" w:rsidR="00013E9B" w:rsidRPr="00A03B67" w:rsidRDefault="00013E9B" w:rsidP="00013E9B">
      <w:pPr>
        <w:pStyle w:val="FootnoteText"/>
      </w:pPr>
      <w:r w:rsidRPr="00A03B67">
        <w:rPr>
          <w:rStyle w:val="FootnoteReference"/>
        </w:rPr>
        <w:footnoteRef/>
      </w:r>
      <w:r w:rsidRPr="00A03B67">
        <w:t xml:space="preserve"> </w:t>
      </w:r>
      <w:r w:rsidRPr="00A03B67">
        <w:rPr>
          <w:i/>
          <w:iCs/>
        </w:rPr>
        <w:t xml:space="preserve">Fair Work Act 2009 </w:t>
      </w:r>
      <w:r w:rsidRPr="00A03B67">
        <w:t>(Cth) s 333D.</w:t>
      </w:r>
    </w:p>
  </w:footnote>
  <w:footnote w:id="872">
    <w:p w14:paraId="726DE1A2" w14:textId="23E9A4F0" w:rsidR="00D45DAC" w:rsidRPr="00A03B67" w:rsidRDefault="00D45DAC">
      <w:pPr>
        <w:pStyle w:val="FootnoteText"/>
      </w:pPr>
      <w:r w:rsidRPr="00A03B67">
        <w:rPr>
          <w:rStyle w:val="FootnoteReference"/>
        </w:rPr>
        <w:footnoteRef/>
      </w:r>
      <w:r w:rsidRPr="00A03B67">
        <w:t xml:space="preserve"> </w:t>
      </w:r>
      <w:r w:rsidR="00D72345" w:rsidRPr="00A03B67">
        <w:rPr>
          <w:i/>
          <w:iCs/>
        </w:rPr>
        <w:t>F</w:t>
      </w:r>
      <w:r w:rsidR="00844B5F" w:rsidRPr="00A03B67">
        <w:rPr>
          <w:i/>
          <w:iCs/>
        </w:rPr>
        <w:t xml:space="preserve">air </w:t>
      </w:r>
      <w:r w:rsidR="00D72345" w:rsidRPr="00A03B67">
        <w:rPr>
          <w:i/>
          <w:iCs/>
        </w:rPr>
        <w:t>W</w:t>
      </w:r>
      <w:r w:rsidR="00844B5F" w:rsidRPr="00A03B67">
        <w:rPr>
          <w:i/>
          <w:iCs/>
        </w:rPr>
        <w:t>ork</w:t>
      </w:r>
      <w:r w:rsidR="00D72345" w:rsidRPr="00A03B67">
        <w:rPr>
          <w:i/>
          <w:iCs/>
        </w:rPr>
        <w:t xml:space="preserve"> Act </w:t>
      </w:r>
      <w:r w:rsidR="00844B5F" w:rsidRPr="00A03B67">
        <w:rPr>
          <w:i/>
          <w:iCs/>
        </w:rPr>
        <w:t xml:space="preserve">2009 </w:t>
      </w:r>
      <w:r w:rsidR="00844B5F" w:rsidRPr="00A03B67">
        <w:t xml:space="preserve">(Cth) </w:t>
      </w:r>
      <w:r w:rsidR="00D72345" w:rsidRPr="00A03B67">
        <w:t>s 333C.</w:t>
      </w:r>
    </w:p>
  </w:footnote>
  <w:footnote w:id="873">
    <w:p w14:paraId="0EB3020D" w14:textId="00FAE76C" w:rsidR="00B813E6" w:rsidRPr="00A03B67" w:rsidRDefault="00B813E6" w:rsidP="00B813E6">
      <w:pPr>
        <w:pStyle w:val="FootnoteText"/>
      </w:pPr>
      <w:r w:rsidRPr="00A03B67">
        <w:rPr>
          <w:rStyle w:val="FootnoteReference"/>
        </w:rPr>
        <w:footnoteRef/>
      </w:r>
      <w:r w:rsidRPr="00A03B67">
        <w:t xml:space="preserve"> </w:t>
      </w:r>
      <w:r w:rsidR="00BE4CA3" w:rsidRPr="00A03B67">
        <w:t>Revised Explanatory Memorandum, Fair Work Legislation Amendment (Secure Jobs, Better Pay) Bill</w:t>
      </w:r>
      <w:r w:rsidR="00BE4CA3" w:rsidRPr="00A03B67">
        <w:rPr>
          <w:i/>
          <w:iCs/>
        </w:rPr>
        <w:t xml:space="preserve"> </w:t>
      </w:r>
      <w:r w:rsidR="00BE4CA3" w:rsidRPr="00A03B67">
        <w:t>2022, [252], [408].</w:t>
      </w:r>
    </w:p>
  </w:footnote>
  <w:footnote w:id="874">
    <w:p w14:paraId="4862D862" w14:textId="57D48788" w:rsidR="009A1D5D" w:rsidRPr="00A03B67" w:rsidRDefault="009A1D5D" w:rsidP="009A1D5D">
      <w:pPr>
        <w:pStyle w:val="FootnoteText"/>
        <w:rPr>
          <w:lang w:val="en-US"/>
        </w:rPr>
      </w:pPr>
      <w:r w:rsidRPr="00A03B67">
        <w:rPr>
          <w:rStyle w:val="FootnoteReference"/>
        </w:rPr>
        <w:footnoteRef/>
      </w:r>
      <w:r w:rsidRPr="00A03B67">
        <w:t xml:space="preserve"> Organisation for Economic Co-Operation and Development (OECD), </w:t>
      </w:r>
      <w:r w:rsidRPr="00A03B67">
        <w:rPr>
          <w:i/>
          <w:iCs/>
        </w:rPr>
        <w:t xml:space="preserve">Pay Transparency Tools to Close the Gender Wage Gap </w:t>
      </w:r>
      <w:r w:rsidRPr="00A03B67">
        <w:t xml:space="preserve">(Final Report, 30 November 2021) 19. </w:t>
      </w:r>
    </w:p>
  </w:footnote>
  <w:footnote w:id="875">
    <w:p w14:paraId="1EBD7086" w14:textId="74EEEFF3" w:rsidR="009A1D5D" w:rsidRPr="00A03B67" w:rsidRDefault="009A1D5D" w:rsidP="009A1D5D">
      <w:pPr>
        <w:pStyle w:val="FootnoteText"/>
      </w:pPr>
      <w:r w:rsidRPr="00A03B67">
        <w:rPr>
          <w:rStyle w:val="FootnoteReference"/>
        </w:rPr>
        <w:footnoteRef/>
      </w:r>
      <w:r w:rsidRPr="00A03B67">
        <w:t xml:space="preserve"> </w:t>
      </w:r>
      <w:r w:rsidR="00844B5F" w:rsidRPr="00A03B67">
        <w:rPr>
          <w:rFonts w:ascii="Aptos" w:eastAsia="Aptos" w:hAnsi="Aptos" w:cs="Aptos"/>
          <w:lang w:val="en-US"/>
        </w:rPr>
        <w:t xml:space="preserve">D </w:t>
      </w:r>
      <w:r w:rsidRPr="00A03B67">
        <w:rPr>
          <w:rFonts w:ascii="Aptos" w:eastAsia="Aptos" w:hAnsi="Aptos" w:cs="Aptos"/>
          <w:lang w:val="en-US"/>
        </w:rPr>
        <w:t xml:space="preserve">Avdul, </w:t>
      </w:r>
      <w:r w:rsidR="00844B5F" w:rsidRPr="00A03B67">
        <w:rPr>
          <w:rFonts w:ascii="Aptos" w:eastAsia="Aptos" w:hAnsi="Aptos" w:cs="Aptos"/>
          <w:lang w:val="en-US"/>
        </w:rPr>
        <w:t xml:space="preserve">W </w:t>
      </w:r>
      <w:r w:rsidRPr="00A03B67">
        <w:rPr>
          <w:rFonts w:ascii="Aptos" w:eastAsia="Aptos" w:hAnsi="Aptos" w:cs="Aptos"/>
          <w:lang w:val="en-US"/>
        </w:rPr>
        <w:t xml:space="preserve">Martin and </w:t>
      </w:r>
      <w:r w:rsidR="00844B5F" w:rsidRPr="00A03B67">
        <w:rPr>
          <w:rFonts w:ascii="Aptos" w:eastAsia="Aptos" w:hAnsi="Aptos" w:cs="Aptos"/>
          <w:lang w:val="en-US"/>
        </w:rPr>
        <w:t xml:space="preserve">Y </w:t>
      </w:r>
      <w:r w:rsidRPr="00A03B67">
        <w:rPr>
          <w:rFonts w:ascii="Aptos" w:eastAsia="Aptos" w:hAnsi="Aptos" w:cs="Aptos"/>
          <w:lang w:val="en-US"/>
        </w:rPr>
        <w:t xml:space="preserve">Lopez, 'Pay Transparency: Why it is Important to be Thoughtful and Strategic' (2023) 56(2) </w:t>
      </w:r>
      <w:r w:rsidRPr="00A03B67">
        <w:rPr>
          <w:rFonts w:ascii="Aptos" w:eastAsia="Aptos" w:hAnsi="Aptos" w:cs="Aptos"/>
          <w:i/>
          <w:lang w:val="en-US"/>
        </w:rPr>
        <w:t>Compensation &amp; Benefits Review</w:t>
      </w:r>
      <w:r w:rsidRPr="00A03B67">
        <w:rPr>
          <w:rFonts w:ascii="Aptos" w:eastAsia="Aptos" w:hAnsi="Aptos" w:cs="Aptos"/>
          <w:lang w:val="en-US"/>
        </w:rPr>
        <w:t xml:space="preserve"> 103</w:t>
      </w:r>
      <w:r w:rsidRPr="00A03B67">
        <w:t>.</w:t>
      </w:r>
    </w:p>
  </w:footnote>
  <w:footnote w:id="876">
    <w:p w14:paraId="64928BA3" w14:textId="7032F66C" w:rsidR="009A1D5D" w:rsidRPr="00A03B67" w:rsidRDefault="009A1D5D" w:rsidP="009A1D5D">
      <w:pPr>
        <w:pStyle w:val="FootnoteText"/>
      </w:pPr>
      <w:r w:rsidRPr="00A03B67">
        <w:rPr>
          <w:rStyle w:val="FootnoteReference"/>
        </w:rPr>
        <w:footnoteRef/>
      </w:r>
      <w:r w:rsidRPr="00A03B67">
        <w:t xml:space="preserve"> </w:t>
      </w:r>
      <w:r w:rsidRPr="00A03B67">
        <w:rPr>
          <w:rFonts w:ascii="Aptos" w:eastAsia="Aptos" w:hAnsi="Aptos" w:cs="Aptos"/>
          <w:lang w:val="en-US"/>
        </w:rPr>
        <w:t>Workplace Gender Equality Agenc</w:t>
      </w:r>
      <w:r w:rsidR="00844B5F" w:rsidRPr="00A03B67">
        <w:rPr>
          <w:rFonts w:ascii="Aptos" w:eastAsia="Aptos" w:hAnsi="Aptos" w:cs="Aptos"/>
          <w:lang w:val="en-US"/>
        </w:rPr>
        <w:t>y</w:t>
      </w:r>
      <w:r w:rsidRPr="00A03B67">
        <w:rPr>
          <w:rFonts w:ascii="Aptos" w:eastAsia="Aptos" w:hAnsi="Aptos" w:cs="Aptos"/>
          <w:lang w:val="en-US"/>
        </w:rPr>
        <w:t xml:space="preserve">, </w:t>
      </w:r>
      <w:r w:rsidRPr="00A03B67">
        <w:rPr>
          <w:rFonts w:ascii="Aptos" w:eastAsia="Aptos" w:hAnsi="Aptos" w:cs="Aptos"/>
          <w:i/>
          <w:iCs/>
          <w:lang w:val="en-US"/>
        </w:rPr>
        <w:t xml:space="preserve">Employer </w:t>
      </w:r>
      <w:r w:rsidR="00844B5F" w:rsidRPr="00A03B67">
        <w:rPr>
          <w:rFonts w:ascii="Aptos" w:eastAsia="Aptos" w:hAnsi="Aptos" w:cs="Aptos"/>
          <w:i/>
          <w:iCs/>
          <w:lang w:val="en-US"/>
        </w:rPr>
        <w:t>G</w:t>
      </w:r>
      <w:r w:rsidRPr="00A03B67">
        <w:rPr>
          <w:rFonts w:ascii="Aptos" w:eastAsia="Aptos" w:hAnsi="Aptos" w:cs="Aptos"/>
          <w:i/>
          <w:iCs/>
          <w:lang w:val="en-US"/>
        </w:rPr>
        <w:t xml:space="preserve">ender </w:t>
      </w:r>
      <w:r w:rsidR="00844B5F" w:rsidRPr="00A03B67">
        <w:rPr>
          <w:rFonts w:ascii="Aptos" w:eastAsia="Aptos" w:hAnsi="Aptos" w:cs="Aptos"/>
          <w:i/>
          <w:iCs/>
          <w:lang w:val="en-US"/>
        </w:rPr>
        <w:t>P</w:t>
      </w:r>
      <w:r w:rsidRPr="00A03B67">
        <w:rPr>
          <w:rFonts w:ascii="Aptos" w:eastAsia="Aptos" w:hAnsi="Aptos" w:cs="Aptos"/>
          <w:i/>
          <w:iCs/>
          <w:lang w:val="en-US"/>
        </w:rPr>
        <w:t xml:space="preserve">ay </w:t>
      </w:r>
      <w:r w:rsidR="00844B5F" w:rsidRPr="00A03B67">
        <w:rPr>
          <w:rFonts w:ascii="Aptos" w:eastAsia="Aptos" w:hAnsi="Aptos" w:cs="Aptos"/>
          <w:i/>
          <w:iCs/>
          <w:lang w:val="en-US"/>
        </w:rPr>
        <w:t>G</w:t>
      </w:r>
      <w:r w:rsidRPr="00A03B67">
        <w:rPr>
          <w:rFonts w:ascii="Aptos" w:eastAsia="Aptos" w:hAnsi="Aptos" w:cs="Aptos"/>
          <w:i/>
          <w:iCs/>
          <w:lang w:val="en-US"/>
        </w:rPr>
        <w:t xml:space="preserve">ap </w:t>
      </w:r>
      <w:r w:rsidR="00844B5F" w:rsidRPr="00A03B67">
        <w:rPr>
          <w:rFonts w:ascii="Aptos" w:eastAsia="Aptos" w:hAnsi="Aptos" w:cs="Aptos"/>
          <w:i/>
          <w:iCs/>
          <w:lang w:val="en-US"/>
        </w:rPr>
        <w:t>P</w:t>
      </w:r>
      <w:r w:rsidRPr="00A03B67">
        <w:rPr>
          <w:rFonts w:ascii="Aptos" w:eastAsia="Aptos" w:hAnsi="Aptos" w:cs="Aptos"/>
          <w:i/>
          <w:iCs/>
          <w:lang w:val="en-US"/>
        </w:rPr>
        <w:t xml:space="preserve">ublication in the United Kingdom: A </w:t>
      </w:r>
      <w:r w:rsidR="00844B5F" w:rsidRPr="00A03B67">
        <w:rPr>
          <w:rFonts w:ascii="Aptos" w:eastAsia="Aptos" w:hAnsi="Aptos" w:cs="Aptos"/>
          <w:i/>
          <w:iCs/>
          <w:lang w:val="en-US"/>
        </w:rPr>
        <w:t>R</w:t>
      </w:r>
      <w:r w:rsidRPr="00A03B67">
        <w:rPr>
          <w:rFonts w:ascii="Aptos" w:eastAsia="Aptos" w:hAnsi="Aptos" w:cs="Aptos"/>
          <w:i/>
          <w:iCs/>
          <w:lang w:val="en-US"/>
        </w:rPr>
        <w:t xml:space="preserve">eview of the </w:t>
      </w:r>
      <w:r w:rsidR="00844B5F" w:rsidRPr="00A03B67">
        <w:rPr>
          <w:rFonts w:ascii="Aptos" w:eastAsia="Aptos" w:hAnsi="Aptos" w:cs="Aptos"/>
          <w:i/>
          <w:iCs/>
          <w:lang w:val="en-US"/>
        </w:rPr>
        <w:t>L</w:t>
      </w:r>
      <w:r w:rsidRPr="00A03B67">
        <w:rPr>
          <w:rFonts w:ascii="Aptos" w:eastAsia="Aptos" w:hAnsi="Aptos" w:cs="Aptos"/>
          <w:i/>
          <w:iCs/>
          <w:lang w:val="en-US"/>
        </w:rPr>
        <w:t>iterature</w:t>
      </w:r>
      <w:r w:rsidRPr="00A03B67">
        <w:rPr>
          <w:rFonts w:ascii="Aptos" w:eastAsia="Aptos" w:hAnsi="Aptos" w:cs="Aptos"/>
          <w:lang w:val="en-US"/>
        </w:rPr>
        <w:t xml:space="preserve"> (Research Paper, 13 February 2024)</w:t>
      </w:r>
      <w:r w:rsidR="00BE4CA3" w:rsidRPr="00A03B67">
        <w:rPr>
          <w:rFonts w:ascii="Aptos" w:eastAsia="Aptos" w:hAnsi="Aptos" w:cs="Aptos"/>
          <w:lang w:val="en-US"/>
        </w:rPr>
        <w:t xml:space="preserve"> 1</w:t>
      </w:r>
      <w:r w:rsidRPr="00A03B67">
        <w:rPr>
          <w:rFonts w:ascii="Aptos" w:eastAsia="Aptos" w:hAnsi="Aptos" w:cs="Aptos"/>
          <w:sz w:val="24"/>
          <w:szCs w:val="24"/>
          <w:lang w:val="en-US"/>
        </w:rPr>
        <w:t xml:space="preserve"> </w:t>
      </w:r>
      <w:r w:rsidRPr="00A03B67">
        <w:rPr>
          <w:rFonts w:ascii="Aptos" w:eastAsia="Aptos" w:hAnsi="Aptos" w:cs="Aptos"/>
          <w:lang w:val="en-US"/>
        </w:rPr>
        <w:t>&lt;</w:t>
      </w:r>
      <w:r w:rsidRPr="00A03B67">
        <w:t>https://www.wgea.gov.au/sites/default/files/documents/UK-Gender-Pay-Gap-Publication-Research-Brief-February-2024.pdf&gt;.</w:t>
      </w:r>
    </w:p>
  </w:footnote>
  <w:footnote w:id="877">
    <w:p w14:paraId="6503DD94" w14:textId="2C3E1DDB" w:rsidR="009A1D5D" w:rsidRPr="00A03B67" w:rsidRDefault="009A1D5D" w:rsidP="009A1D5D">
      <w:pPr>
        <w:pStyle w:val="FootnoteText"/>
      </w:pPr>
      <w:r w:rsidRPr="00A03B67">
        <w:rPr>
          <w:rStyle w:val="FootnoteReference"/>
        </w:rPr>
        <w:footnoteRef/>
      </w:r>
      <w:r w:rsidRPr="00A03B67">
        <w:t xml:space="preserve"> </w:t>
      </w:r>
      <w:r w:rsidR="00844B5F" w:rsidRPr="00A03B67">
        <w:t xml:space="preserve">Workplace Gender Equality Agency, </w:t>
      </w:r>
      <w:r w:rsidRPr="00A03B67">
        <w:rPr>
          <w:rFonts w:ascii="Aptos" w:eastAsia="Aptos" w:hAnsi="Aptos" w:cs="Aptos"/>
          <w:i/>
          <w:iCs/>
          <w:lang w:val="en-US"/>
        </w:rPr>
        <w:t xml:space="preserve">Publishing </w:t>
      </w:r>
      <w:r w:rsidR="00844B5F" w:rsidRPr="00A03B67">
        <w:rPr>
          <w:rFonts w:ascii="Aptos" w:eastAsia="Aptos" w:hAnsi="Aptos" w:cs="Aptos"/>
          <w:i/>
          <w:iCs/>
          <w:lang w:val="en-US"/>
        </w:rPr>
        <w:t>E</w:t>
      </w:r>
      <w:r w:rsidRPr="00A03B67">
        <w:rPr>
          <w:rFonts w:ascii="Aptos" w:eastAsia="Aptos" w:hAnsi="Aptos" w:cs="Aptos"/>
          <w:i/>
          <w:iCs/>
          <w:lang w:val="en-US"/>
        </w:rPr>
        <w:t xml:space="preserve">mployer </w:t>
      </w:r>
      <w:r w:rsidR="00844B5F" w:rsidRPr="00A03B67">
        <w:rPr>
          <w:rFonts w:ascii="Aptos" w:eastAsia="Aptos" w:hAnsi="Aptos" w:cs="Aptos"/>
          <w:i/>
          <w:iCs/>
          <w:lang w:val="en-US"/>
        </w:rPr>
        <w:t>G</w:t>
      </w:r>
      <w:r w:rsidRPr="00A03B67">
        <w:rPr>
          <w:rFonts w:ascii="Aptos" w:eastAsia="Aptos" w:hAnsi="Aptos" w:cs="Aptos"/>
          <w:i/>
          <w:iCs/>
          <w:lang w:val="en-US"/>
        </w:rPr>
        <w:t xml:space="preserve">ender </w:t>
      </w:r>
      <w:r w:rsidR="00844B5F" w:rsidRPr="00A03B67">
        <w:rPr>
          <w:rFonts w:ascii="Aptos" w:eastAsia="Aptos" w:hAnsi="Aptos" w:cs="Aptos"/>
          <w:i/>
          <w:iCs/>
          <w:lang w:val="en-US"/>
        </w:rPr>
        <w:t>P</w:t>
      </w:r>
      <w:r w:rsidRPr="00A03B67">
        <w:rPr>
          <w:rFonts w:ascii="Aptos" w:eastAsia="Aptos" w:hAnsi="Aptos" w:cs="Aptos"/>
          <w:i/>
          <w:iCs/>
          <w:lang w:val="en-US"/>
        </w:rPr>
        <w:t xml:space="preserve">ay </w:t>
      </w:r>
      <w:r w:rsidR="00844B5F" w:rsidRPr="00A03B67">
        <w:rPr>
          <w:rFonts w:ascii="Aptos" w:eastAsia="Aptos" w:hAnsi="Aptos" w:cs="Aptos"/>
          <w:i/>
          <w:iCs/>
          <w:lang w:val="en-US"/>
        </w:rPr>
        <w:t>G</w:t>
      </w:r>
      <w:r w:rsidRPr="00A03B67">
        <w:rPr>
          <w:rFonts w:ascii="Aptos" w:eastAsia="Aptos" w:hAnsi="Aptos" w:cs="Aptos"/>
          <w:i/>
          <w:iCs/>
          <w:lang w:val="en-US"/>
        </w:rPr>
        <w:t>aps in 2025 FAQ</w:t>
      </w:r>
      <w:r w:rsidR="00844B5F" w:rsidRPr="00A03B67">
        <w:rPr>
          <w:rFonts w:ascii="Aptos" w:eastAsia="Aptos" w:hAnsi="Aptos" w:cs="Aptos"/>
          <w:lang w:val="en-US"/>
        </w:rPr>
        <w:t xml:space="preserve"> </w:t>
      </w:r>
      <w:r w:rsidRPr="00A03B67">
        <w:rPr>
          <w:rFonts w:ascii="Aptos" w:eastAsia="Aptos" w:hAnsi="Aptos" w:cs="Aptos"/>
          <w:lang w:val="en-US"/>
        </w:rPr>
        <w:t>(Web Page, n.d.) &lt;</w:t>
      </w:r>
      <w:r w:rsidRPr="00A03B67">
        <w:t>https://www.wgea.gov.au/about/our-legislation/publishing-employer-gender-pay-gaps&gt;.</w:t>
      </w:r>
    </w:p>
  </w:footnote>
  <w:footnote w:id="878">
    <w:p w14:paraId="60587026" w14:textId="22CF8B75" w:rsidR="009A1D5D" w:rsidRPr="00A03B67" w:rsidRDefault="009A1D5D" w:rsidP="009A1D5D">
      <w:pPr>
        <w:pStyle w:val="FootnoteText"/>
      </w:pPr>
      <w:r w:rsidRPr="00A03B67">
        <w:rPr>
          <w:rStyle w:val="FootnoteReference"/>
        </w:rPr>
        <w:footnoteRef/>
      </w:r>
      <w:r w:rsidRPr="00A03B67">
        <w:t xml:space="preserve"> </w:t>
      </w:r>
      <w:r w:rsidRPr="00A03B67">
        <w:rPr>
          <w:rFonts w:ascii="Aptos" w:eastAsia="Aptos" w:hAnsi="Aptos" w:cs="Aptos"/>
          <w:lang w:val="en-US"/>
        </w:rPr>
        <w:t xml:space="preserve">European Commission, </w:t>
      </w:r>
      <w:r w:rsidR="00844B5F" w:rsidRPr="00A03B67">
        <w:rPr>
          <w:rFonts w:ascii="Aptos" w:eastAsia="Aptos" w:hAnsi="Aptos" w:cs="Aptos"/>
          <w:lang w:val="en-US"/>
        </w:rPr>
        <w:t>‘</w:t>
      </w:r>
      <w:r w:rsidRPr="00A03B67">
        <w:rPr>
          <w:rFonts w:ascii="Aptos" w:eastAsia="Aptos" w:hAnsi="Aptos" w:cs="Aptos"/>
          <w:lang w:val="en-US"/>
        </w:rPr>
        <w:t xml:space="preserve">Commission </w:t>
      </w:r>
      <w:r w:rsidR="00844B5F" w:rsidRPr="00A03B67">
        <w:rPr>
          <w:rFonts w:ascii="Aptos" w:eastAsia="Aptos" w:hAnsi="Aptos" w:cs="Aptos"/>
          <w:lang w:val="en-US"/>
        </w:rPr>
        <w:t>W</w:t>
      </w:r>
      <w:r w:rsidRPr="00A03B67">
        <w:rPr>
          <w:rFonts w:ascii="Aptos" w:eastAsia="Aptos" w:hAnsi="Aptos" w:cs="Aptos"/>
          <w:lang w:val="en-US"/>
        </w:rPr>
        <w:t xml:space="preserve">elcomes the </w:t>
      </w:r>
      <w:r w:rsidR="00844B5F" w:rsidRPr="00A03B67">
        <w:rPr>
          <w:rFonts w:ascii="Aptos" w:eastAsia="Aptos" w:hAnsi="Aptos" w:cs="Aptos"/>
          <w:lang w:val="en-US"/>
        </w:rPr>
        <w:t>P</w:t>
      </w:r>
      <w:r w:rsidRPr="00A03B67">
        <w:rPr>
          <w:rFonts w:ascii="Aptos" w:eastAsia="Aptos" w:hAnsi="Aptos" w:cs="Aptos"/>
          <w:lang w:val="en-US"/>
        </w:rPr>
        <w:t xml:space="preserve">olitical </w:t>
      </w:r>
      <w:r w:rsidR="00844B5F" w:rsidRPr="00A03B67">
        <w:rPr>
          <w:rFonts w:ascii="Aptos" w:eastAsia="Aptos" w:hAnsi="Aptos" w:cs="Aptos"/>
          <w:lang w:val="en-US"/>
        </w:rPr>
        <w:t>A</w:t>
      </w:r>
      <w:r w:rsidRPr="00A03B67">
        <w:rPr>
          <w:rFonts w:ascii="Aptos" w:eastAsia="Aptos" w:hAnsi="Aptos" w:cs="Aptos"/>
          <w:lang w:val="en-US"/>
        </w:rPr>
        <w:t xml:space="preserve">greement on </w:t>
      </w:r>
      <w:r w:rsidR="00844B5F" w:rsidRPr="00A03B67">
        <w:rPr>
          <w:rFonts w:ascii="Aptos" w:eastAsia="Aptos" w:hAnsi="Aptos" w:cs="Aptos"/>
          <w:lang w:val="en-US"/>
        </w:rPr>
        <w:t>N</w:t>
      </w:r>
      <w:r w:rsidRPr="00A03B67">
        <w:rPr>
          <w:rFonts w:ascii="Aptos" w:eastAsia="Aptos" w:hAnsi="Aptos" w:cs="Aptos"/>
          <w:lang w:val="en-US"/>
        </w:rPr>
        <w:t xml:space="preserve">ew EU </w:t>
      </w:r>
      <w:r w:rsidR="00844B5F" w:rsidRPr="00A03B67">
        <w:rPr>
          <w:rFonts w:ascii="Aptos" w:eastAsia="Aptos" w:hAnsi="Aptos" w:cs="Aptos"/>
          <w:lang w:val="en-US"/>
        </w:rPr>
        <w:t>R</w:t>
      </w:r>
      <w:r w:rsidRPr="00A03B67">
        <w:rPr>
          <w:rFonts w:ascii="Aptos" w:eastAsia="Aptos" w:hAnsi="Aptos" w:cs="Aptos"/>
          <w:lang w:val="en-US"/>
        </w:rPr>
        <w:t xml:space="preserve">ules for </w:t>
      </w:r>
      <w:r w:rsidR="00844B5F" w:rsidRPr="00A03B67">
        <w:rPr>
          <w:rFonts w:ascii="Aptos" w:eastAsia="Aptos" w:hAnsi="Aptos" w:cs="Aptos"/>
          <w:lang w:val="en-US"/>
        </w:rPr>
        <w:t>P</w:t>
      </w:r>
      <w:r w:rsidRPr="00A03B67">
        <w:rPr>
          <w:rFonts w:ascii="Aptos" w:eastAsia="Aptos" w:hAnsi="Aptos" w:cs="Aptos"/>
          <w:lang w:val="en-US"/>
        </w:rPr>
        <w:t xml:space="preserve">ay </w:t>
      </w:r>
      <w:r w:rsidR="00844B5F" w:rsidRPr="00A03B67">
        <w:rPr>
          <w:rFonts w:ascii="Aptos" w:eastAsia="Aptos" w:hAnsi="Aptos" w:cs="Aptos"/>
          <w:lang w:val="en-US"/>
        </w:rPr>
        <w:t>T</w:t>
      </w:r>
      <w:r w:rsidRPr="00A03B67">
        <w:rPr>
          <w:rFonts w:ascii="Aptos" w:eastAsia="Aptos" w:hAnsi="Aptos" w:cs="Aptos"/>
          <w:lang w:val="en-US"/>
        </w:rPr>
        <w:t>ransparency‘ (</w:t>
      </w:r>
      <w:r w:rsidR="00844B5F" w:rsidRPr="00A03B67">
        <w:rPr>
          <w:rFonts w:ascii="Aptos" w:eastAsia="Aptos" w:hAnsi="Aptos" w:cs="Aptos"/>
          <w:lang w:val="en-US"/>
        </w:rPr>
        <w:t xml:space="preserve">Media </w:t>
      </w:r>
      <w:r w:rsidRPr="00A03B67">
        <w:rPr>
          <w:rFonts w:ascii="Aptos" w:eastAsia="Aptos" w:hAnsi="Aptos" w:cs="Aptos"/>
          <w:lang w:val="en-US"/>
        </w:rPr>
        <w:t>Release, 15 December 2022) &lt;</w:t>
      </w:r>
      <w:r w:rsidRPr="00A03B67">
        <w:t>https://ec.europa.eu/commission/presscorner/detail/es/ip_22_7739&gt;.</w:t>
      </w:r>
    </w:p>
  </w:footnote>
  <w:footnote w:id="879">
    <w:p w14:paraId="3BD34589" w14:textId="2BD69314" w:rsidR="009A1D5D" w:rsidRPr="00A03B67" w:rsidRDefault="009A1D5D" w:rsidP="009A1D5D">
      <w:pPr>
        <w:pStyle w:val="FootnoteText"/>
      </w:pPr>
      <w:r w:rsidRPr="00A03B67">
        <w:rPr>
          <w:rStyle w:val="FootnoteReference"/>
        </w:rPr>
        <w:footnoteRef/>
      </w:r>
      <w:r w:rsidRPr="00A03B67">
        <w:t xml:space="preserve"> </w:t>
      </w:r>
      <w:r w:rsidR="00844B5F" w:rsidRPr="00A03B67">
        <w:t>Workplace Gender Equality Agency,</w:t>
      </w:r>
      <w:r w:rsidR="007E52A1" w:rsidRPr="00A03B67">
        <w:t xml:space="preserve"> </w:t>
      </w:r>
      <w:r w:rsidR="007E52A1" w:rsidRPr="00A03B67">
        <w:rPr>
          <w:i/>
          <w:iCs/>
        </w:rPr>
        <w:t>Gender Equality Scorecard November 2024</w:t>
      </w:r>
      <w:r w:rsidR="009E0814" w:rsidRPr="00A03B67">
        <w:t xml:space="preserve"> </w:t>
      </w:r>
      <w:r w:rsidR="00844B5F" w:rsidRPr="00A03B67">
        <w:t>(Report, 2024)</w:t>
      </w:r>
      <w:r w:rsidR="009E0814" w:rsidRPr="00A03B67">
        <w:t xml:space="preserve"> </w:t>
      </w:r>
      <w:r w:rsidR="007E52A1" w:rsidRPr="00A03B67">
        <w:t>3</w:t>
      </w:r>
      <w:r w:rsidR="007116A7" w:rsidRPr="00A03B67">
        <w:t>2</w:t>
      </w:r>
      <w:r w:rsidR="00844B5F" w:rsidRPr="00A03B67">
        <w:rPr>
          <w:rFonts w:ascii="Symbol" w:eastAsia="Symbol" w:hAnsi="Symbol" w:cs="Symbol"/>
        </w:rPr>
        <w:t>-</w:t>
      </w:r>
      <w:r w:rsidR="009E0814" w:rsidRPr="00A03B67">
        <w:t>35</w:t>
      </w:r>
      <w:r w:rsidR="007E52A1" w:rsidRPr="00A03B67">
        <w:t xml:space="preserve"> </w:t>
      </w:r>
      <w:r w:rsidR="00844B5F" w:rsidRPr="00A03B67">
        <w:t>&lt;https://www.wgea.gov.au/publications/australias-gender-equality-scorecard&gt;.</w:t>
      </w:r>
      <w:r w:rsidR="00844B5F" w:rsidRPr="00A03B67" w:rsidDel="00844B5F">
        <w:t xml:space="preserve"> </w:t>
      </w:r>
    </w:p>
  </w:footnote>
  <w:footnote w:id="880">
    <w:p w14:paraId="331F698B" w14:textId="00E237D2" w:rsidR="009A1D5D" w:rsidRPr="00A03B67" w:rsidRDefault="009A1D5D" w:rsidP="009A1D5D">
      <w:pPr>
        <w:pStyle w:val="FootnoteText"/>
      </w:pPr>
      <w:r w:rsidRPr="00A03B67">
        <w:rPr>
          <w:rStyle w:val="FootnoteReference"/>
        </w:rPr>
        <w:footnoteRef/>
      </w:r>
      <w:r w:rsidRPr="00A03B67">
        <w:t xml:space="preserve"> </w:t>
      </w:r>
      <w:r w:rsidR="00844B5F" w:rsidRPr="00A03B67">
        <w:t xml:space="preserve">Workplace Gender Equality Agency, </w:t>
      </w:r>
      <w:r w:rsidR="00844B5F" w:rsidRPr="00A03B67">
        <w:rPr>
          <w:i/>
          <w:iCs/>
        </w:rPr>
        <w:t>Gender Equality Scorecard November 2024</w:t>
      </w:r>
      <w:r w:rsidR="00844B5F" w:rsidRPr="00A03B67">
        <w:t xml:space="preserve"> (Report, 2024) 35 &lt;https://www.wgea.gov.au/publications/australias-gender-equality-scorecard&gt;.</w:t>
      </w:r>
      <w:r w:rsidR="00844B5F" w:rsidRPr="00A03B67" w:rsidDel="00844B5F">
        <w:t xml:space="preserve"> </w:t>
      </w:r>
    </w:p>
  </w:footnote>
  <w:footnote w:id="881">
    <w:p w14:paraId="5720CBFE" w14:textId="7F4AAF11" w:rsidR="009A1D5D" w:rsidRPr="00A03B67" w:rsidRDefault="009A1D5D" w:rsidP="009A1D5D">
      <w:pPr>
        <w:pStyle w:val="FootnoteText"/>
        <w:rPr>
          <w:lang w:val="en-US"/>
        </w:rPr>
      </w:pPr>
      <w:r w:rsidRPr="00A03B67">
        <w:rPr>
          <w:rStyle w:val="FootnoteReference"/>
        </w:rPr>
        <w:footnoteRef/>
      </w:r>
      <w:r w:rsidRPr="00A03B67">
        <w:t xml:space="preserve"> </w:t>
      </w:r>
      <w:r w:rsidR="00C00DDC" w:rsidRPr="00A03B67">
        <w:t xml:space="preserve">Organisation for Economic Co-Operation and Development (OECD), </w:t>
      </w:r>
      <w:r w:rsidR="00C00DDC" w:rsidRPr="00A03B67">
        <w:rPr>
          <w:i/>
          <w:iCs/>
        </w:rPr>
        <w:t xml:space="preserve">Pay Transparency Tools to Close the Gender Wage Gap </w:t>
      </w:r>
      <w:r w:rsidR="00C00DDC" w:rsidRPr="00A03B67">
        <w:t xml:space="preserve">(Final Report, 30 November 2021) 60. </w:t>
      </w:r>
    </w:p>
  </w:footnote>
  <w:footnote w:id="882">
    <w:p w14:paraId="203EA897" w14:textId="6ADBB079" w:rsidR="009A1D5D" w:rsidRPr="00A03B67" w:rsidRDefault="009A1D5D" w:rsidP="009A1D5D">
      <w:pPr>
        <w:pStyle w:val="FootnoteText"/>
      </w:pPr>
      <w:r w:rsidRPr="00A03B67">
        <w:rPr>
          <w:rStyle w:val="FootnoteReference"/>
        </w:rPr>
        <w:footnoteRef/>
      </w:r>
      <w:r w:rsidRPr="00A03B67">
        <w:t xml:space="preserve"> </w:t>
      </w:r>
      <w:r w:rsidR="00844B5F" w:rsidRPr="00A03B67">
        <w:t xml:space="preserve">P </w:t>
      </w:r>
      <w:r w:rsidRPr="00A03B67">
        <w:t xml:space="preserve">Werner, </w:t>
      </w:r>
      <w:r w:rsidR="00844B5F" w:rsidRPr="00A03B67">
        <w:t>‘</w:t>
      </w:r>
      <w:r w:rsidRPr="00A03B67">
        <w:t xml:space="preserve">Wage </w:t>
      </w:r>
      <w:r w:rsidR="00844B5F" w:rsidRPr="00A03B67">
        <w:t>N</w:t>
      </w:r>
      <w:r w:rsidRPr="00A03B67">
        <w:t xml:space="preserve">egotiations and </w:t>
      </w:r>
      <w:r w:rsidR="00844B5F" w:rsidRPr="00A03B67">
        <w:t>S</w:t>
      </w:r>
      <w:r w:rsidRPr="00A03B67">
        <w:t xml:space="preserve">trategic </w:t>
      </w:r>
      <w:r w:rsidR="00844B5F" w:rsidRPr="00A03B67">
        <w:t>R</w:t>
      </w:r>
      <w:r w:rsidRPr="00A03B67">
        <w:t xml:space="preserve">esponses to </w:t>
      </w:r>
      <w:r w:rsidR="00844B5F" w:rsidRPr="00A03B67">
        <w:t>T</w:t>
      </w:r>
      <w:r w:rsidRPr="00A03B67">
        <w:t xml:space="preserve">ransparency’ (2023) 209 (May) </w:t>
      </w:r>
      <w:r w:rsidR="00C00DDC" w:rsidRPr="00A03B67">
        <w:rPr>
          <w:i/>
          <w:iCs/>
        </w:rPr>
        <w:t>Journal</w:t>
      </w:r>
      <w:r w:rsidRPr="00A03B67">
        <w:rPr>
          <w:i/>
          <w:iCs/>
        </w:rPr>
        <w:t xml:space="preserve"> of Economic Behavior &amp; Organization </w:t>
      </w:r>
      <w:r w:rsidRPr="00A03B67">
        <w:t xml:space="preserve">161.  </w:t>
      </w:r>
    </w:p>
  </w:footnote>
  <w:footnote w:id="883">
    <w:p w14:paraId="1ED6701D" w14:textId="6BD21DEA" w:rsidR="009A1D5D" w:rsidRPr="00A03B67" w:rsidRDefault="009A1D5D" w:rsidP="009A1D5D">
      <w:pPr>
        <w:pStyle w:val="FootnoteText"/>
      </w:pPr>
      <w:r w:rsidRPr="00A03B67">
        <w:rPr>
          <w:rStyle w:val="FootnoteReference"/>
        </w:rPr>
        <w:footnoteRef/>
      </w:r>
      <w:r w:rsidRPr="00A03B67">
        <w:t xml:space="preserve"> </w:t>
      </w:r>
      <w:r w:rsidR="00844B5F" w:rsidRPr="00A03B67">
        <w:t xml:space="preserve">K </w:t>
      </w:r>
      <w:r w:rsidRPr="00A03B67">
        <w:t xml:space="preserve">Brütt and </w:t>
      </w:r>
      <w:r w:rsidR="00844B5F" w:rsidRPr="00A03B67">
        <w:t xml:space="preserve">H </w:t>
      </w:r>
      <w:r w:rsidRPr="00A03B67">
        <w:t xml:space="preserve">Yuan, </w:t>
      </w:r>
      <w:r w:rsidRPr="00A03B67">
        <w:rPr>
          <w:i/>
          <w:iCs/>
        </w:rPr>
        <w:t xml:space="preserve">Pitfalls of </w:t>
      </w:r>
      <w:r w:rsidR="00844B5F" w:rsidRPr="00A03B67">
        <w:rPr>
          <w:i/>
          <w:iCs/>
        </w:rPr>
        <w:t>P</w:t>
      </w:r>
      <w:r w:rsidRPr="00A03B67">
        <w:rPr>
          <w:i/>
          <w:iCs/>
        </w:rPr>
        <w:t xml:space="preserve">ay </w:t>
      </w:r>
      <w:r w:rsidR="00844B5F" w:rsidRPr="00A03B67">
        <w:rPr>
          <w:i/>
          <w:iCs/>
        </w:rPr>
        <w:t>T</w:t>
      </w:r>
      <w:r w:rsidRPr="00A03B67">
        <w:rPr>
          <w:i/>
          <w:iCs/>
        </w:rPr>
        <w:t xml:space="preserve">ransparency: Evidence </w:t>
      </w:r>
      <w:r w:rsidR="00844B5F" w:rsidRPr="00A03B67">
        <w:rPr>
          <w:i/>
          <w:iCs/>
        </w:rPr>
        <w:t>F</w:t>
      </w:r>
      <w:r w:rsidRPr="00A03B67">
        <w:rPr>
          <w:i/>
          <w:iCs/>
        </w:rPr>
        <w:t xml:space="preserve">rom the </w:t>
      </w:r>
      <w:r w:rsidR="00844B5F" w:rsidRPr="00A03B67">
        <w:rPr>
          <w:i/>
          <w:iCs/>
        </w:rPr>
        <w:t>L</w:t>
      </w:r>
      <w:r w:rsidRPr="00A03B67">
        <w:rPr>
          <w:i/>
          <w:iCs/>
        </w:rPr>
        <w:t xml:space="preserve">ab and the </w:t>
      </w:r>
      <w:r w:rsidR="00844B5F" w:rsidRPr="00A03B67">
        <w:rPr>
          <w:i/>
          <w:iCs/>
        </w:rPr>
        <w:t>F</w:t>
      </w:r>
      <w:r w:rsidRPr="00A03B67">
        <w:rPr>
          <w:i/>
          <w:iCs/>
        </w:rPr>
        <w:t>ield</w:t>
      </w:r>
      <w:r w:rsidRPr="00A03B67">
        <w:t xml:space="preserve"> (Discussion Paper No 2022-055/I, Tinbergen Institute, 7 December 2022). </w:t>
      </w:r>
    </w:p>
  </w:footnote>
  <w:footnote w:id="884">
    <w:p w14:paraId="2397D869" w14:textId="65961004" w:rsidR="009A1D5D" w:rsidRPr="00A03B67" w:rsidRDefault="009A1D5D" w:rsidP="009A1D5D">
      <w:pPr>
        <w:pStyle w:val="FootnoteText"/>
        <w:rPr>
          <w:lang w:val="en-US"/>
        </w:rPr>
      </w:pPr>
      <w:r w:rsidRPr="00A03B67">
        <w:rPr>
          <w:rStyle w:val="FootnoteReference"/>
        </w:rPr>
        <w:footnoteRef/>
      </w:r>
      <w:r w:rsidRPr="00A03B67">
        <w:t xml:space="preserve"> </w:t>
      </w:r>
      <w:r w:rsidR="00982400" w:rsidRPr="00A03B67">
        <w:t xml:space="preserve">Organisation for Economic Co-Operation and Development (OECD), </w:t>
      </w:r>
      <w:r w:rsidR="00982400" w:rsidRPr="00A03B67">
        <w:rPr>
          <w:i/>
          <w:iCs/>
        </w:rPr>
        <w:t xml:space="preserve">Pay Transparency Tools to Close the Gender Wage Gap </w:t>
      </w:r>
      <w:r w:rsidR="00982400" w:rsidRPr="00A03B67">
        <w:t>(Final Report, 30 November 2021) 20.</w:t>
      </w:r>
    </w:p>
  </w:footnote>
  <w:footnote w:id="885">
    <w:p w14:paraId="1355FFC0" w14:textId="78F9A1CF" w:rsidR="009A1D5D" w:rsidRPr="00A03B67" w:rsidRDefault="009A1D5D" w:rsidP="009A1D5D">
      <w:pPr>
        <w:pStyle w:val="FootnoteText"/>
      </w:pPr>
      <w:r w:rsidRPr="00A03B67">
        <w:rPr>
          <w:rStyle w:val="FootnoteReference"/>
        </w:rPr>
        <w:footnoteRef/>
      </w:r>
      <w:r w:rsidRPr="00A03B67">
        <w:t xml:space="preserve"> </w:t>
      </w:r>
      <w:r w:rsidR="00844B5F" w:rsidRPr="00A03B67">
        <w:t xml:space="preserve">R </w:t>
      </w:r>
      <w:r w:rsidRPr="00A03B67">
        <w:t xml:space="preserve">Stofberg, </w:t>
      </w:r>
      <w:r w:rsidR="00844B5F" w:rsidRPr="00A03B67">
        <w:t xml:space="preserve">C </w:t>
      </w:r>
      <w:r w:rsidRPr="00A03B67">
        <w:t xml:space="preserve">Mabaso and </w:t>
      </w:r>
      <w:r w:rsidR="00844B5F" w:rsidRPr="00A03B67">
        <w:t xml:space="preserve">M </w:t>
      </w:r>
      <w:r w:rsidRPr="00A03B67">
        <w:t xml:space="preserve">Bussin, </w:t>
      </w:r>
      <w:r w:rsidR="00844B5F" w:rsidRPr="00A03B67">
        <w:t>‘</w:t>
      </w:r>
      <w:r w:rsidRPr="00A03B67">
        <w:t xml:space="preserve">Employee </w:t>
      </w:r>
      <w:r w:rsidR="00844B5F" w:rsidRPr="00A03B67">
        <w:t>R</w:t>
      </w:r>
      <w:r w:rsidRPr="00A03B67">
        <w:t xml:space="preserve">esponse to </w:t>
      </w:r>
      <w:r w:rsidR="00844B5F" w:rsidRPr="00A03B67">
        <w:t>P</w:t>
      </w:r>
      <w:r w:rsidRPr="00A03B67">
        <w:t xml:space="preserve">ay </w:t>
      </w:r>
      <w:r w:rsidR="00844B5F" w:rsidRPr="00A03B67">
        <w:t>T</w:t>
      </w:r>
      <w:r w:rsidRPr="00A03B67">
        <w:t xml:space="preserve">ransparency’ (2022) 48(1) </w:t>
      </w:r>
      <w:r w:rsidRPr="00A03B67">
        <w:rPr>
          <w:i/>
          <w:iCs/>
        </w:rPr>
        <w:t xml:space="preserve">SA Journal of Industrial Psychology </w:t>
      </w:r>
      <w:r w:rsidRPr="00A03B67">
        <w:t xml:space="preserve">1, cited in </w:t>
      </w:r>
      <w:r w:rsidR="00FC6FC8" w:rsidRPr="00A03B67">
        <w:rPr>
          <w:rFonts w:ascii="Aptos" w:eastAsia="Aptos" w:hAnsi="Aptos" w:cs="Aptos"/>
          <w:lang w:val="en-US"/>
        </w:rPr>
        <w:t xml:space="preserve">David Avdul, William Martin and Yvette Lopez, </w:t>
      </w:r>
      <w:r w:rsidR="00844B5F" w:rsidRPr="00A03B67">
        <w:rPr>
          <w:rFonts w:ascii="Aptos" w:eastAsia="Aptos" w:hAnsi="Aptos" w:cs="Aptos"/>
          <w:lang w:val="en-US"/>
        </w:rPr>
        <w:t>‘</w:t>
      </w:r>
      <w:r w:rsidR="00FC6FC8" w:rsidRPr="00A03B67">
        <w:rPr>
          <w:rFonts w:ascii="Aptos" w:eastAsia="Aptos" w:hAnsi="Aptos" w:cs="Aptos"/>
          <w:lang w:val="en-US"/>
        </w:rPr>
        <w:t xml:space="preserve">Pay Transparency: Why </w:t>
      </w:r>
      <w:r w:rsidR="00844B5F" w:rsidRPr="00A03B67">
        <w:rPr>
          <w:rFonts w:ascii="Aptos" w:eastAsia="Aptos" w:hAnsi="Aptos" w:cs="Aptos"/>
          <w:lang w:val="en-US"/>
        </w:rPr>
        <w:t>I</w:t>
      </w:r>
      <w:r w:rsidR="00FC6FC8" w:rsidRPr="00A03B67">
        <w:rPr>
          <w:rFonts w:ascii="Aptos" w:eastAsia="Aptos" w:hAnsi="Aptos" w:cs="Aptos"/>
          <w:lang w:val="en-US"/>
        </w:rPr>
        <w:t>t</w:t>
      </w:r>
      <w:r w:rsidR="00844B5F" w:rsidRPr="00A03B67">
        <w:rPr>
          <w:rFonts w:ascii="Aptos" w:eastAsia="Aptos" w:hAnsi="Aptos" w:cs="Aptos"/>
          <w:lang w:val="en-US"/>
        </w:rPr>
        <w:t xml:space="preserve"> I</w:t>
      </w:r>
      <w:r w:rsidR="00FC6FC8" w:rsidRPr="00A03B67">
        <w:rPr>
          <w:rFonts w:ascii="Aptos" w:eastAsia="Aptos" w:hAnsi="Aptos" w:cs="Aptos"/>
          <w:lang w:val="en-US"/>
        </w:rPr>
        <w:t>s Important to be Thoughtful and Strategic</w:t>
      </w:r>
      <w:r w:rsidR="00844B5F" w:rsidRPr="00A03B67">
        <w:rPr>
          <w:rFonts w:ascii="Aptos" w:eastAsia="Aptos" w:hAnsi="Aptos" w:cs="Aptos"/>
          <w:lang w:val="en-US"/>
        </w:rPr>
        <w:t xml:space="preserve">’ </w:t>
      </w:r>
      <w:r w:rsidR="00FC6FC8" w:rsidRPr="00A03B67">
        <w:rPr>
          <w:rFonts w:ascii="Aptos" w:eastAsia="Aptos" w:hAnsi="Aptos" w:cs="Aptos"/>
          <w:lang w:val="en-US"/>
        </w:rPr>
        <w:t xml:space="preserve">(2023) 56(2) </w:t>
      </w:r>
      <w:r w:rsidR="00FC6FC8" w:rsidRPr="00A03B67">
        <w:rPr>
          <w:rFonts w:ascii="Aptos" w:eastAsia="Aptos" w:hAnsi="Aptos" w:cs="Aptos"/>
          <w:i/>
          <w:lang w:val="en-US"/>
        </w:rPr>
        <w:t>Compensation &amp; Benefits Review</w:t>
      </w:r>
      <w:r w:rsidR="00FC6FC8" w:rsidRPr="00A03B67">
        <w:rPr>
          <w:rFonts w:ascii="Aptos" w:eastAsia="Aptos" w:hAnsi="Aptos" w:cs="Aptos"/>
          <w:lang w:val="en-US"/>
        </w:rPr>
        <w:t xml:space="preserve"> 103</w:t>
      </w:r>
      <w:r w:rsidR="00FC6FC8" w:rsidRPr="00A03B67">
        <w:t>.</w:t>
      </w:r>
    </w:p>
  </w:footnote>
  <w:footnote w:id="886">
    <w:p w14:paraId="351C8882" w14:textId="18BF1976" w:rsidR="009A1D5D" w:rsidRPr="00A03B67" w:rsidRDefault="009A1D5D" w:rsidP="009A1D5D">
      <w:pPr>
        <w:pStyle w:val="FootnoteText"/>
      </w:pPr>
      <w:r w:rsidRPr="00A03B67">
        <w:rPr>
          <w:rStyle w:val="FootnoteReference"/>
        </w:rPr>
        <w:footnoteRef/>
      </w:r>
      <w:r w:rsidRPr="00A03B67">
        <w:t xml:space="preserve"> </w:t>
      </w:r>
      <w:r w:rsidR="00844B5F" w:rsidRPr="00A03B67">
        <w:rPr>
          <w:color w:val="777778" w:themeColor="accent5"/>
        </w:rPr>
        <w:t>ACCI s</w:t>
      </w:r>
      <w:r w:rsidRPr="00A03B67">
        <w:rPr>
          <w:color w:val="777778" w:themeColor="accent5"/>
        </w:rPr>
        <w:t>ubmission</w:t>
      </w:r>
      <w:r w:rsidR="00844B5F" w:rsidRPr="00A03B67">
        <w:rPr>
          <w:color w:val="777778" w:themeColor="accent5"/>
        </w:rPr>
        <w:t>,</w:t>
      </w:r>
      <w:r w:rsidRPr="00A03B67">
        <w:rPr>
          <w:color w:val="777778" w:themeColor="accent5"/>
        </w:rPr>
        <w:t xml:space="preserve"> 71</w:t>
      </w:r>
      <w:r w:rsidR="00844B5F" w:rsidRPr="00A03B67">
        <w:rPr>
          <w:rFonts w:ascii="Symbol" w:eastAsia="Symbol" w:hAnsi="Symbol" w:cs="Symbol"/>
          <w:color w:val="777778" w:themeColor="accent5"/>
        </w:rPr>
        <w:t>-</w:t>
      </w:r>
      <w:r w:rsidRPr="00A03B67">
        <w:rPr>
          <w:color w:val="777778" w:themeColor="accent5"/>
        </w:rPr>
        <w:t>72.</w:t>
      </w:r>
    </w:p>
  </w:footnote>
  <w:footnote w:id="887">
    <w:p w14:paraId="22ADBFB1" w14:textId="1CEE5306" w:rsidR="009A1D5D" w:rsidRPr="00A03B67" w:rsidRDefault="009A1D5D" w:rsidP="009A1D5D">
      <w:pPr>
        <w:pStyle w:val="FootnoteText"/>
      </w:pPr>
      <w:r w:rsidRPr="00A03B67">
        <w:rPr>
          <w:rStyle w:val="FootnoteReference"/>
        </w:rPr>
        <w:footnoteRef/>
      </w:r>
      <w:r w:rsidRPr="00A03B67">
        <w:t xml:space="preserve"> </w:t>
      </w:r>
      <w:r w:rsidR="00A24DCA" w:rsidRPr="00A03B67">
        <w:t xml:space="preserve">Commonwealth, </w:t>
      </w:r>
      <w:r w:rsidR="00A24DCA" w:rsidRPr="00A03B67">
        <w:rPr>
          <w:i/>
          <w:iCs/>
        </w:rPr>
        <w:t xml:space="preserve">Parliamentary Debates, </w:t>
      </w:r>
      <w:r w:rsidR="00A24DCA" w:rsidRPr="00A03B67">
        <w:t>House of Representatives, 27 October 2022 (Tony Burke, Minister for Employment and Workplace Relations).</w:t>
      </w:r>
    </w:p>
  </w:footnote>
  <w:footnote w:id="888">
    <w:p w14:paraId="12D8C365" w14:textId="015630CF" w:rsidR="00817E65" w:rsidRPr="00A03B67" w:rsidRDefault="00817E65" w:rsidP="00817E65">
      <w:pPr>
        <w:pStyle w:val="FootnoteText"/>
      </w:pPr>
      <w:r w:rsidRPr="00A03B67">
        <w:rPr>
          <w:rStyle w:val="FootnoteReference"/>
        </w:rPr>
        <w:footnoteRef/>
      </w:r>
      <w:r w:rsidRPr="00A03B67">
        <w:t xml:space="preserve"> Australian Human Rights Commission (AHRC), </w:t>
      </w:r>
      <w:r w:rsidRPr="00A03B67">
        <w:rPr>
          <w:i/>
          <w:iCs/>
        </w:rPr>
        <w:t xml:space="preserve">Respect@Work: National Inquiry into Sexual Harassment in Australian Workplaces </w:t>
      </w:r>
      <w:r w:rsidRPr="00A03B67">
        <w:t>(Final Report, 5 March 2020) 30</w:t>
      </w:r>
      <w:r w:rsidRPr="00A03B67">
        <w:rPr>
          <w:i/>
          <w:iCs/>
        </w:rPr>
        <w:t xml:space="preserve"> &lt;</w:t>
      </w:r>
      <w:r w:rsidRPr="00A03B67">
        <w:t xml:space="preserve">https://humanrights.gov.au/our-work/sex-discrimination/publications/respectwork-sexual-harassment-national-inquiry-report-2020&gt;.  </w:t>
      </w:r>
    </w:p>
  </w:footnote>
  <w:footnote w:id="889">
    <w:p w14:paraId="7FF18BB8" w14:textId="049887CE" w:rsidR="00FA6E89" w:rsidRPr="00A03B67" w:rsidRDefault="00FA6E89" w:rsidP="00FA6E89">
      <w:pPr>
        <w:pStyle w:val="FootnoteText"/>
      </w:pPr>
      <w:r w:rsidRPr="00A03B67">
        <w:rPr>
          <w:rStyle w:val="FootnoteReference"/>
        </w:rPr>
        <w:footnoteRef/>
      </w:r>
      <w:r w:rsidRPr="00A03B67">
        <w:t xml:space="preserve"> Australian Human Rights Commission (AHRC), </w:t>
      </w:r>
      <w:r w:rsidRPr="00A03B67">
        <w:rPr>
          <w:i/>
          <w:iCs/>
        </w:rPr>
        <w:t xml:space="preserve">Respect@Work: National Inquiry into Sexual Harassment in Australian Workplaces </w:t>
      </w:r>
      <w:r w:rsidRPr="00A03B67">
        <w:t>(Final Report, 5 March 2020)</w:t>
      </w:r>
      <w:r w:rsidRPr="00A03B67">
        <w:rPr>
          <w:i/>
          <w:iCs/>
        </w:rPr>
        <w:t xml:space="preserve"> &lt;</w:t>
      </w:r>
      <w:r w:rsidRPr="00A03B67">
        <w:t>https://humanrights.gov.au/our-work/sex-discrimination/publications/respectwork-sexual-harassment-national-inquiry-report-2020&gt;.</w:t>
      </w:r>
    </w:p>
  </w:footnote>
  <w:footnote w:id="890">
    <w:p w14:paraId="53B92C07" w14:textId="0DF6E44F" w:rsidR="009A1D5D" w:rsidRPr="00A03B67" w:rsidRDefault="009A1D5D" w:rsidP="009A1D5D">
      <w:pPr>
        <w:pStyle w:val="FootnoteText"/>
      </w:pPr>
      <w:r w:rsidRPr="00A03B67">
        <w:rPr>
          <w:rStyle w:val="FootnoteReference"/>
        </w:rPr>
        <w:footnoteRef/>
      </w:r>
      <w:r w:rsidRPr="00A03B67">
        <w:t xml:space="preserve"> </w:t>
      </w:r>
      <w:r w:rsidR="00C64451" w:rsidRPr="00A03B67">
        <w:t xml:space="preserve">Australian Human Rights Commission (AHRC), </w:t>
      </w:r>
      <w:r w:rsidR="00C64451" w:rsidRPr="00A03B67">
        <w:rPr>
          <w:i/>
          <w:iCs/>
        </w:rPr>
        <w:t xml:space="preserve">Respect@Work: National Inquiry into Sexual Harassment in Australian Workplaces </w:t>
      </w:r>
      <w:r w:rsidR="00C64451" w:rsidRPr="00A03B67">
        <w:t>(Final Report, 5 March 2020)</w:t>
      </w:r>
      <w:r w:rsidR="00C64451" w:rsidRPr="00A03B67">
        <w:rPr>
          <w:i/>
          <w:iCs/>
        </w:rPr>
        <w:t xml:space="preserve"> &lt;</w:t>
      </w:r>
      <w:r w:rsidR="00C64451" w:rsidRPr="00A03B67">
        <w:t>https://humanrights.gov.au/our-work/sex-discrimination/publications/respectwork-sexual-harassment-national-inquiry-report-2020&gt;.</w:t>
      </w:r>
    </w:p>
  </w:footnote>
  <w:footnote w:id="891">
    <w:p w14:paraId="47959F78" w14:textId="48923B32" w:rsidR="009A1D5D" w:rsidRPr="00A03B67" w:rsidRDefault="009A1D5D" w:rsidP="009A1D5D">
      <w:pPr>
        <w:pStyle w:val="FootnoteText"/>
      </w:pPr>
      <w:r w:rsidRPr="00A03B67">
        <w:rPr>
          <w:rStyle w:val="FootnoteReference"/>
        </w:rPr>
        <w:footnoteRef/>
      </w:r>
      <w:r w:rsidRPr="00A03B67">
        <w:t xml:space="preserve"> Australian Human Rights Commission (AHRC), </w:t>
      </w:r>
      <w:r w:rsidR="00844B5F" w:rsidRPr="00A03B67">
        <w:t>‘</w:t>
      </w:r>
      <w:r w:rsidRPr="00A03B67">
        <w:t xml:space="preserve">Resource: </w:t>
      </w:r>
      <w:r w:rsidR="00844B5F" w:rsidRPr="00A03B67">
        <w:t>W</w:t>
      </w:r>
      <w:r w:rsidRPr="00A03B67">
        <w:t xml:space="preserve">orkplace </w:t>
      </w:r>
      <w:r w:rsidR="00844B5F" w:rsidRPr="00A03B67">
        <w:t>H</w:t>
      </w:r>
      <w:r w:rsidRPr="00A03B67">
        <w:t xml:space="preserve">arassment, </w:t>
      </w:r>
      <w:r w:rsidR="00844B5F" w:rsidRPr="00A03B67">
        <w:t>D</w:t>
      </w:r>
      <w:r w:rsidRPr="00A03B67">
        <w:t xml:space="preserve">iscrimination and </w:t>
      </w:r>
      <w:r w:rsidR="00844B5F" w:rsidRPr="00A03B67">
        <w:t>V</w:t>
      </w:r>
      <w:r w:rsidRPr="00A03B67">
        <w:t>ictimisation</w:t>
      </w:r>
      <w:r w:rsidR="00844B5F" w:rsidRPr="00A03B67">
        <w:t>’</w:t>
      </w:r>
      <w:r w:rsidRPr="00A03B67">
        <w:t xml:space="preserve"> (Media Release, 10 August 2023) &lt;https://humanrights.gov.au/about/news/media-releases/resource-workplace-harassment-discrimination-and-victimisation&gt;.</w:t>
      </w:r>
    </w:p>
  </w:footnote>
  <w:footnote w:id="892">
    <w:p w14:paraId="52139450" w14:textId="23BFED6A" w:rsidR="009A1D5D" w:rsidRPr="00A03B67" w:rsidRDefault="009A1D5D" w:rsidP="009A1D5D">
      <w:pPr>
        <w:pStyle w:val="FootnoteText"/>
      </w:pPr>
      <w:r w:rsidRPr="00A03B67">
        <w:rPr>
          <w:rStyle w:val="FootnoteReference"/>
        </w:rPr>
        <w:footnoteRef/>
      </w:r>
      <w:r w:rsidRPr="00A03B67">
        <w:t xml:space="preserve"> </w:t>
      </w:r>
      <w:r w:rsidR="00367B80" w:rsidRPr="00A03B67">
        <w:t>Respect@Work, Guide to external pathways in Australia to address workplace sexual harassment</w:t>
      </w:r>
      <w:r w:rsidR="00D24FD3" w:rsidRPr="00A03B67">
        <w:t xml:space="preserve"> (2022)</w:t>
      </w:r>
      <w:r w:rsidR="00367B80" w:rsidRPr="00A03B67">
        <w:t>, see: &lt;</w:t>
      </w:r>
      <w:r w:rsidR="00D24FD3" w:rsidRPr="00A03B67">
        <w:t xml:space="preserve"> https://humanrights.gov.au/our-work/sex-discrimination/publications/guide-external-pathways-address-workplace-sexual&gt;.</w:t>
      </w:r>
    </w:p>
  </w:footnote>
  <w:footnote w:id="893">
    <w:p w14:paraId="4DDF6F6E" w14:textId="59C03920" w:rsidR="00C47269" w:rsidRPr="00A03B67" w:rsidRDefault="00C47269">
      <w:pPr>
        <w:pStyle w:val="FootnoteText"/>
      </w:pPr>
      <w:r w:rsidRPr="00A03B67">
        <w:rPr>
          <w:rStyle w:val="FootnoteReference"/>
        </w:rPr>
        <w:footnoteRef/>
      </w:r>
      <w:r w:rsidR="00844B5F" w:rsidRPr="00A03B67">
        <w:t xml:space="preserve"> </w:t>
      </w:r>
      <w:r w:rsidR="00D24FD3" w:rsidRPr="00A03B67">
        <w:t>Respect@Work, Guide to external pathways in Australia to address workplace sexual harassment (2022), 10, 22. See: &lt; https://humanrights.gov.au/our-work/sex-discrimination/publications/guide-external-pathways-address-workplace-sexual&gt;.</w:t>
      </w:r>
    </w:p>
  </w:footnote>
  <w:footnote w:id="894">
    <w:p w14:paraId="5A247203" w14:textId="79CAA498" w:rsidR="007642D4" w:rsidRPr="00A03B67" w:rsidRDefault="007642D4">
      <w:pPr>
        <w:pStyle w:val="FootnoteText"/>
      </w:pPr>
      <w:r w:rsidRPr="00A03B67">
        <w:rPr>
          <w:rStyle w:val="FootnoteReference"/>
        </w:rPr>
        <w:footnoteRef/>
      </w:r>
      <w:r w:rsidRPr="00A03B67">
        <w:t xml:space="preserve"> </w:t>
      </w:r>
      <w:r w:rsidR="00D24FD3" w:rsidRPr="00A03B67">
        <w:t>Respect@Work, Guide to external pathways in Australia to address workplace sexual harassment (2022), 10, 47,48. See: &lt; https://humanrights.gov.au/our-work/sex-discrimination/publications/guide-external-pathways-address-workplace-sexual&gt;.</w:t>
      </w:r>
    </w:p>
  </w:footnote>
  <w:footnote w:id="895">
    <w:p w14:paraId="72E2D7F5" w14:textId="7529DF99" w:rsidR="00A82E23" w:rsidRPr="00A03B67" w:rsidRDefault="00A82E23">
      <w:pPr>
        <w:pStyle w:val="FootnoteText"/>
      </w:pPr>
      <w:r w:rsidRPr="00A03B67">
        <w:rPr>
          <w:rStyle w:val="FootnoteReference"/>
        </w:rPr>
        <w:footnoteRef/>
      </w:r>
      <w:r w:rsidRPr="00A03B67">
        <w:t xml:space="preserve"> </w:t>
      </w:r>
      <w:r w:rsidR="00053C14" w:rsidRPr="00A03B67">
        <w:t>Respect@Work, Guide to external pathways in Australia to address workplace sexual harassment (2022), 99-123. See: &lt; https://humanrights.gov.au/our-work/sex-discrimination/publications/guide-external-pathways-address-workplace-sexual&gt;.</w:t>
      </w:r>
    </w:p>
  </w:footnote>
  <w:footnote w:id="896">
    <w:p w14:paraId="6CCD7E31" w14:textId="27B60AAB" w:rsidR="009A1D5D" w:rsidRPr="00A03B67" w:rsidRDefault="009A1D5D" w:rsidP="009A1D5D">
      <w:pPr>
        <w:pStyle w:val="FootnoteText"/>
      </w:pPr>
      <w:r w:rsidRPr="00A03B67">
        <w:rPr>
          <w:rStyle w:val="FootnoteReference"/>
        </w:rPr>
        <w:footnoteRef/>
      </w:r>
      <w:r w:rsidRPr="00A03B67">
        <w:t xml:space="preserve"> Fair Work Commission, Annual Report 2022</w:t>
      </w:r>
      <w:r w:rsidR="0032498F" w:rsidRPr="00A03B67">
        <w:t>-</w:t>
      </w:r>
      <w:r w:rsidRPr="00A03B67">
        <w:t>23</w:t>
      </w:r>
      <w:r w:rsidR="0032498F" w:rsidRPr="00A03B67">
        <w:t xml:space="preserve"> (Report, </w:t>
      </w:r>
      <w:r w:rsidRPr="00A03B67">
        <w:t xml:space="preserve">2023) </w:t>
      </w:r>
      <w:r w:rsidR="0032498F" w:rsidRPr="00A03B67">
        <w:t xml:space="preserve">‘Access to justice’, </w:t>
      </w:r>
      <w:r w:rsidRPr="00A03B67">
        <w:t>27.</w:t>
      </w:r>
    </w:p>
  </w:footnote>
  <w:footnote w:id="897">
    <w:p w14:paraId="226F0EDF" w14:textId="3054571C" w:rsidR="009A1D5D" w:rsidRPr="00A03B67" w:rsidRDefault="009A1D5D" w:rsidP="009A1D5D">
      <w:pPr>
        <w:pStyle w:val="FootnoteText"/>
      </w:pPr>
      <w:r w:rsidRPr="00A03B67">
        <w:rPr>
          <w:rStyle w:val="FootnoteReference"/>
        </w:rPr>
        <w:footnoteRef/>
      </w:r>
      <w:r w:rsidRPr="00A03B67">
        <w:t xml:space="preserve"> Fair Work Commission, Annual Report 2023</w:t>
      </w:r>
      <w:r w:rsidR="0032498F" w:rsidRPr="00A03B67">
        <w:rPr>
          <w:rFonts w:ascii="Symbol" w:eastAsia="Symbol" w:hAnsi="Symbol" w:cs="Symbol"/>
        </w:rPr>
        <w:t>-</w:t>
      </w:r>
      <w:r w:rsidRPr="00A03B67">
        <w:t>24</w:t>
      </w:r>
      <w:r w:rsidR="0032498F" w:rsidRPr="00A03B67">
        <w:t xml:space="preserve"> (Report, </w:t>
      </w:r>
      <w:r w:rsidRPr="00A03B67">
        <w:t xml:space="preserve">2024) </w:t>
      </w:r>
      <w:r w:rsidR="0032498F" w:rsidRPr="00A03B67">
        <w:t xml:space="preserve">‘Access to justice’, </w:t>
      </w:r>
      <w:r w:rsidRPr="00A03B67">
        <w:t>64</w:t>
      </w:r>
      <w:r w:rsidR="0032498F" w:rsidRPr="00A03B67">
        <w:rPr>
          <w:rFonts w:ascii="Symbol" w:eastAsia="Symbol" w:hAnsi="Symbol" w:cs="Symbol"/>
        </w:rPr>
        <w:t>-</w:t>
      </w:r>
      <w:r w:rsidRPr="00A03B67">
        <w:t>65</w:t>
      </w:r>
      <w:r w:rsidRPr="00A03B67">
        <w:rPr>
          <w:rFonts w:ascii="Segoe UI" w:eastAsia="Segoe UI" w:hAnsi="Segoe UI" w:cs="Segoe UI"/>
          <w:color w:val="0D2C6C" w:themeColor="text1"/>
          <w:szCs w:val="18"/>
        </w:rPr>
        <w:t>.</w:t>
      </w:r>
    </w:p>
  </w:footnote>
  <w:footnote w:id="898">
    <w:p w14:paraId="199A383D" w14:textId="617DB675" w:rsidR="009A1D5D" w:rsidRPr="00A03B67" w:rsidRDefault="009A1D5D" w:rsidP="009A1D5D">
      <w:pPr>
        <w:pStyle w:val="FootnoteText"/>
      </w:pPr>
      <w:r w:rsidRPr="00A03B67">
        <w:rPr>
          <w:rStyle w:val="FootnoteReference"/>
        </w:rPr>
        <w:footnoteRef/>
      </w:r>
      <w:r w:rsidRPr="00A03B67">
        <w:t xml:space="preserve"> </w:t>
      </w:r>
      <w:r w:rsidR="00FD2FE1" w:rsidRPr="00A03B67">
        <w:t xml:space="preserve">FWO, information provided to the </w:t>
      </w:r>
      <w:r w:rsidR="0032498F" w:rsidRPr="00A03B67">
        <w:t xml:space="preserve">Review </w:t>
      </w:r>
      <w:r w:rsidR="00FD2FE1" w:rsidRPr="00A03B67">
        <w:t>(6 December 2024).</w:t>
      </w:r>
      <w:r w:rsidRPr="00A03B67">
        <w:t xml:space="preserve"> </w:t>
      </w:r>
    </w:p>
  </w:footnote>
  <w:footnote w:id="899">
    <w:p w14:paraId="4C6C2A9E" w14:textId="2ECD8045" w:rsidR="009A1D5D" w:rsidRPr="00A03B67" w:rsidRDefault="009A1D5D" w:rsidP="009A1D5D">
      <w:pPr>
        <w:pStyle w:val="FootnoteText"/>
      </w:pPr>
      <w:r w:rsidRPr="00A03B67">
        <w:rPr>
          <w:rStyle w:val="FootnoteReference"/>
        </w:rPr>
        <w:footnoteRef/>
      </w:r>
      <w:r w:rsidRPr="00A03B67">
        <w:t xml:space="preserve"> </w:t>
      </w:r>
      <w:r w:rsidR="00FD2FE1" w:rsidRPr="00A03B67">
        <w:t xml:space="preserve"> FWO, information provided to the Review (6 December 2024).</w:t>
      </w:r>
    </w:p>
  </w:footnote>
  <w:footnote w:id="900">
    <w:p w14:paraId="1320942F" w14:textId="751CA72B" w:rsidR="009A1D5D" w:rsidRPr="00A03B67" w:rsidRDefault="009A1D5D" w:rsidP="009A1D5D">
      <w:pPr>
        <w:pStyle w:val="FootnoteText"/>
      </w:pPr>
      <w:r w:rsidRPr="00A03B67">
        <w:rPr>
          <w:rStyle w:val="FootnoteReference"/>
        </w:rPr>
        <w:footnoteRef/>
      </w:r>
      <w:r w:rsidRPr="00A03B67">
        <w:t xml:space="preserve">  Workplace Gender Equality Agency, </w:t>
      </w:r>
      <w:r w:rsidRPr="00A03B67">
        <w:rPr>
          <w:i/>
          <w:iCs/>
        </w:rPr>
        <w:t xml:space="preserve">Workplace Gender Equality Scorecard </w:t>
      </w:r>
      <w:r w:rsidRPr="00A03B67">
        <w:t>(Final Report, November 2024) 54 &lt;https://www.wgea.gov.au/sites/default/files/documents/Australia%27s%20Gender%20Equality%20Scorecard%202023-24_V10_0.pdf&gt;.</w:t>
      </w:r>
    </w:p>
  </w:footnote>
  <w:footnote w:id="901">
    <w:p w14:paraId="63E18459" w14:textId="08CF50C3" w:rsidR="009A1D5D" w:rsidRPr="00A03B67" w:rsidRDefault="009A1D5D" w:rsidP="009A1D5D">
      <w:pPr>
        <w:pStyle w:val="FootnoteText"/>
      </w:pPr>
      <w:r w:rsidRPr="00A03B67">
        <w:rPr>
          <w:rStyle w:val="FootnoteReference"/>
        </w:rPr>
        <w:footnoteRef/>
      </w:r>
      <w:r w:rsidRPr="00A03B67">
        <w:t xml:space="preserve"> Fair Work Commission</w:t>
      </w:r>
      <w:r w:rsidR="0032498F" w:rsidRPr="00A03B67">
        <w:t xml:space="preserve">, </w:t>
      </w:r>
      <w:r w:rsidR="0032498F" w:rsidRPr="00A03B67">
        <w:rPr>
          <w:i/>
          <w:iCs/>
        </w:rPr>
        <w:t>Annual Report</w:t>
      </w:r>
      <w:r w:rsidRPr="00A03B67">
        <w:rPr>
          <w:i/>
          <w:iCs/>
        </w:rPr>
        <w:t xml:space="preserve"> </w:t>
      </w:r>
      <w:r w:rsidR="00B438C7" w:rsidRPr="00A03B67">
        <w:rPr>
          <w:i/>
          <w:iCs/>
        </w:rPr>
        <w:t>2022</w:t>
      </w:r>
      <w:r w:rsidR="0032498F" w:rsidRPr="00A03B67">
        <w:rPr>
          <w:rFonts w:ascii="Symbol" w:eastAsia="Symbol" w:hAnsi="Symbol" w:cs="Symbol"/>
          <w:i/>
          <w:iCs/>
        </w:rPr>
        <w:t>-</w:t>
      </w:r>
      <w:r w:rsidR="00B438C7" w:rsidRPr="00A03B67">
        <w:rPr>
          <w:i/>
          <w:iCs/>
        </w:rPr>
        <w:t>23</w:t>
      </w:r>
      <w:r w:rsidR="00B438C7" w:rsidRPr="00A03B67">
        <w:t xml:space="preserve"> </w:t>
      </w:r>
      <w:r w:rsidR="0032498F" w:rsidRPr="00A03B67">
        <w:t>(</w:t>
      </w:r>
      <w:r w:rsidR="00B438C7" w:rsidRPr="00A03B67">
        <w:t>Report</w:t>
      </w:r>
      <w:r w:rsidR="0032498F" w:rsidRPr="00A03B67">
        <w:t>, 2023)</w:t>
      </w:r>
      <w:r w:rsidRPr="00A03B67">
        <w:t xml:space="preserve"> 27. </w:t>
      </w:r>
    </w:p>
  </w:footnote>
  <w:footnote w:id="902">
    <w:p w14:paraId="5D9F29CA" w14:textId="5E143FDC" w:rsidR="009A1D5D" w:rsidRPr="00A03B67" w:rsidRDefault="009A1D5D" w:rsidP="009A1D5D">
      <w:pPr>
        <w:pStyle w:val="FootnoteText"/>
      </w:pPr>
      <w:r w:rsidRPr="00A03B67">
        <w:rPr>
          <w:rStyle w:val="FootnoteReference"/>
        </w:rPr>
        <w:footnoteRef/>
      </w:r>
      <w:r w:rsidRPr="00A03B67">
        <w:t xml:space="preserve"> Fair Work Ombudsman, </w:t>
      </w:r>
      <w:r w:rsidRPr="00A03B67">
        <w:rPr>
          <w:i/>
          <w:iCs/>
        </w:rPr>
        <w:t>Annual Report 2022</w:t>
      </w:r>
      <w:r w:rsidR="0032498F" w:rsidRPr="00A03B67">
        <w:rPr>
          <w:rFonts w:ascii="Symbol" w:eastAsia="Symbol" w:hAnsi="Symbol" w:cs="Symbol"/>
          <w:i/>
          <w:iCs/>
        </w:rPr>
        <w:t>-</w:t>
      </w:r>
      <w:r w:rsidRPr="00A03B67">
        <w:rPr>
          <w:i/>
          <w:iCs/>
        </w:rPr>
        <w:t xml:space="preserve">23 </w:t>
      </w:r>
      <w:r w:rsidRPr="00A03B67">
        <w:t xml:space="preserve">(Report, 2023) 40. </w:t>
      </w:r>
    </w:p>
  </w:footnote>
  <w:footnote w:id="903">
    <w:p w14:paraId="3E1313F5" w14:textId="08AD32F4" w:rsidR="009A1D5D" w:rsidRPr="00A03B67" w:rsidRDefault="009A1D5D" w:rsidP="009A1D5D">
      <w:pPr>
        <w:pStyle w:val="FootnoteText"/>
      </w:pPr>
      <w:r w:rsidRPr="00A03B67">
        <w:rPr>
          <w:rStyle w:val="FootnoteReference"/>
        </w:rPr>
        <w:footnoteRef/>
      </w:r>
      <w:r w:rsidRPr="00A03B67">
        <w:t xml:space="preserve"> </w:t>
      </w:r>
      <w:r w:rsidR="0043789E" w:rsidRPr="00A03B67">
        <w:t xml:space="preserve">Fair Work Ombudsman, </w:t>
      </w:r>
      <w:r w:rsidR="0043789E" w:rsidRPr="00A03B67">
        <w:rPr>
          <w:i/>
          <w:iCs/>
        </w:rPr>
        <w:t>Annual Report 2022</w:t>
      </w:r>
      <w:r w:rsidR="0032498F" w:rsidRPr="00A03B67">
        <w:rPr>
          <w:rFonts w:ascii="Symbol" w:eastAsia="Symbol" w:hAnsi="Symbol" w:cs="Symbol"/>
          <w:i/>
          <w:iCs/>
        </w:rPr>
        <w:t>-</w:t>
      </w:r>
      <w:r w:rsidR="0043789E" w:rsidRPr="00A03B67">
        <w:rPr>
          <w:i/>
          <w:iCs/>
        </w:rPr>
        <w:t>23</w:t>
      </w:r>
      <w:r w:rsidR="0043789E" w:rsidRPr="00A03B67">
        <w:t xml:space="preserve"> (Report, 2023) 40.</w:t>
      </w:r>
    </w:p>
  </w:footnote>
  <w:footnote w:id="904">
    <w:p w14:paraId="562ACFAA" w14:textId="27925EFC" w:rsidR="009A1D5D" w:rsidRPr="00A03B67" w:rsidRDefault="009A1D5D" w:rsidP="009A1D5D">
      <w:pPr>
        <w:pStyle w:val="FootnoteText"/>
        <w:rPr>
          <w:rStyle w:val="Hyperlink"/>
          <w:lang w:val="en-US"/>
        </w:rPr>
      </w:pPr>
      <w:r w:rsidRPr="00A03B67">
        <w:rPr>
          <w:rStyle w:val="FootnoteReference"/>
        </w:rPr>
        <w:footnoteRef/>
      </w:r>
      <w:r w:rsidRPr="00A03B67">
        <w:t xml:space="preserve"> </w:t>
      </w:r>
      <w:r w:rsidR="0032498F" w:rsidRPr="00A03B67">
        <w:t xml:space="preserve">L </w:t>
      </w:r>
      <w:r w:rsidRPr="00A03B67">
        <w:t xml:space="preserve">Heap and </w:t>
      </w:r>
      <w:r w:rsidR="0032498F" w:rsidRPr="00A03B67">
        <w:t xml:space="preserve">D </w:t>
      </w:r>
      <w:r w:rsidRPr="00A03B67">
        <w:t xml:space="preserve">Peetz, 'Should </w:t>
      </w:r>
      <w:r w:rsidR="0032498F" w:rsidRPr="00A03B67">
        <w:t>N</w:t>
      </w:r>
      <w:r w:rsidRPr="00A03B67">
        <w:t xml:space="preserve">on-disclosure </w:t>
      </w:r>
      <w:r w:rsidR="0032498F" w:rsidRPr="00A03B67">
        <w:t>A</w:t>
      </w:r>
      <w:r w:rsidRPr="00A03B67">
        <w:t xml:space="preserve">greement </w:t>
      </w:r>
      <w:r w:rsidR="0032498F" w:rsidRPr="00A03B67">
        <w:t>B</w:t>
      </w:r>
      <w:r w:rsidRPr="00A03B67">
        <w:t xml:space="preserve">e </w:t>
      </w:r>
      <w:r w:rsidR="0032498F" w:rsidRPr="00A03B67">
        <w:t>R</w:t>
      </w:r>
      <w:r w:rsidRPr="00A03B67">
        <w:t xml:space="preserve">estricted in </w:t>
      </w:r>
      <w:r w:rsidR="0032498F" w:rsidRPr="00A03B67">
        <w:t>C</w:t>
      </w:r>
      <w:r w:rsidRPr="00A03B67">
        <w:t xml:space="preserve">ases of </w:t>
      </w:r>
      <w:r w:rsidR="0032498F" w:rsidRPr="00A03B67">
        <w:t>W</w:t>
      </w:r>
      <w:r w:rsidRPr="00A03B67">
        <w:t xml:space="preserve">orkplace </w:t>
      </w:r>
      <w:r w:rsidR="0032498F" w:rsidRPr="00A03B67">
        <w:t>S</w:t>
      </w:r>
      <w:r w:rsidRPr="00A03B67">
        <w:t xml:space="preserve">exual </w:t>
      </w:r>
      <w:r w:rsidR="0032498F" w:rsidRPr="00A03B67">
        <w:t>H</w:t>
      </w:r>
      <w:r w:rsidRPr="00A03B67">
        <w:t xml:space="preserve">arassment? Here’s </w:t>
      </w:r>
      <w:r w:rsidR="0032498F" w:rsidRPr="00A03B67">
        <w:t>W</w:t>
      </w:r>
      <w:r w:rsidRPr="00A03B67">
        <w:t xml:space="preserve">hat </w:t>
      </w:r>
      <w:r w:rsidR="0032498F" w:rsidRPr="00A03B67">
        <w:t>R</w:t>
      </w:r>
      <w:r w:rsidRPr="00A03B67">
        <w:t xml:space="preserve">eforms </w:t>
      </w:r>
      <w:r w:rsidR="0032498F" w:rsidRPr="00A03B67">
        <w:t>N</w:t>
      </w:r>
      <w:r w:rsidRPr="00A03B67">
        <w:t xml:space="preserve">eed to </w:t>
      </w:r>
      <w:r w:rsidR="0032498F" w:rsidRPr="00A03B67">
        <w:t>G</w:t>
      </w:r>
      <w:r w:rsidRPr="00A03B67">
        <w:t xml:space="preserve">et </w:t>
      </w:r>
      <w:r w:rsidR="0032498F" w:rsidRPr="00A03B67">
        <w:t>R</w:t>
      </w:r>
      <w:r w:rsidRPr="00A03B67">
        <w:t xml:space="preserve">ight', </w:t>
      </w:r>
      <w:r w:rsidRPr="00A03B67">
        <w:rPr>
          <w:i/>
          <w:iCs/>
        </w:rPr>
        <w:t xml:space="preserve">The Conversation </w:t>
      </w:r>
      <w:r w:rsidRPr="00A03B67">
        <w:t>(</w:t>
      </w:r>
      <w:r w:rsidR="0032498F" w:rsidRPr="00A03B67">
        <w:t>online</w:t>
      </w:r>
      <w:r w:rsidRPr="00A03B67">
        <w:t>, 17 December 2024) &lt;https://theconversation.com/should-non-disclosure-agreements-be-restricted-in-cases-of-workplace-sexual-harassment-heres-what-reforms-need-to-get-right-245851&gt;.</w:t>
      </w:r>
    </w:p>
  </w:footnote>
  <w:footnote w:id="905">
    <w:p w14:paraId="26108999" w14:textId="51D0355C" w:rsidR="00801778" w:rsidRPr="00A03B67" w:rsidRDefault="00801778">
      <w:pPr>
        <w:pStyle w:val="FootnoteText"/>
      </w:pPr>
      <w:r w:rsidRPr="00A03B67">
        <w:rPr>
          <w:rStyle w:val="FootnoteReference"/>
        </w:rPr>
        <w:footnoteRef/>
      </w:r>
      <w:r w:rsidRPr="00A03B67">
        <w:t xml:space="preserve"> Law Council of Australia</w:t>
      </w:r>
      <w:r w:rsidR="0032498F" w:rsidRPr="00A03B67">
        <w:t xml:space="preserve"> s</w:t>
      </w:r>
      <w:r w:rsidRPr="00A03B67">
        <w:t>ubmission</w:t>
      </w:r>
      <w:r w:rsidR="0032498F" w:rsidRPr="00A03B67">
        <w:t xml:space="preserve">, </w:t>
      </w:r>
      <w:r w:rsidRPr="00A03B67">
        <w:t xml:space="preserve">3.  </w:t>
      </w:r>
    </w:p>
  </w:footnote>
  <w:footnote w:id="906">
    <w:p w14:paraId="60213B97" w14:textId="661A85B3" w:rsidR="009A1D5D" w:rsidRPr="00A03B67" w:rsidRDefault="009A1D5D" w:rsidP="009A1D5D">
      <w:pPr>
        <w:pStyle w:val="FootnoteText"/>
      </w:pPr>
      <w:r w:rsidRPr="00A03B67">
        <w:rPr>
          <w:rStyle w:val="FootnoteReference"/>
        </w:rPr>
        <w:footnoteRef/>
      </w:r>
      <w:r w:rsidRPr="00A03B67">
        <w:t xml:space="preserve"> </w:t>
      </w:r>
      <w:r w:rsidR="0068126C" w:rsidRPr="00A03B67">
        <w:t>Senate Education and Employment Legislation Committee</w:t>
      </w:r>
      <w:r w:rsidR="00CB239E" w:rsidRPr="00A03B67">
        <w:t xml:space="preserve">, </w:t>
      </w:r>
      <w:r w:rsidR="0032498F" w:rsidRPr="00A03B67">
        <w:t xml:space="preserve">Parliament of Australia, </w:t>
      </w:r>
      <w:r w:rsidR="00CA278C" w:rsidRPr="00A03B67">
        <w:t>Fair Work Legislation Amendment (</w:t>
      </w:r>
      <w:r w:rsidR="00CB239E" w:rsidRPr="00A03B67">
        <w:t>Secure Jobs, Better Pay</w:t>
      </w:r>
      <w:r w:rsidR="00CA278C" w:rsidRPr="00A03B67">
        <w:t>) Bill 2022</w:t>
      </w:r>
      <w:r w:rsidR="0032498F" w:rsidRPr="00A03B67">
        <w:t xml:space="preserve">, Ai Group submission </w:t>
      </w:r>
      <w:r w:rsidR="00CB239E" w:rsidRPr="00A03B67">
        <w:t>(</w:t>
      </w:r>
      <w:r w:rsidR="003D7C4C" w:rsidRPr="00A03B67">
        <w:t>11</w:t>
      </w:r>
      <w:r w:rsidR="00CB239E" w:rsidRPr="00A03B67">
        <w:t xml:space="preserve"> </w:t>
      </w:r>
      <w:r w:rsidR="003D7C4C" w:rsidRPr="00A03B67">
        <w:t>November 2022</w:t>
      </w:r>
      <w:r w:rsidR="00CB239E" w:rsidRPr="00A03B67">
        <w:t>) 24.</w:t>
      </w:r>
    </w:p>
  </w:footnote>
  <w:footnote w:id="907">
    <w:p w14:paraId="3DA0041D" w14:textId="62D35A76" w:rsidR="009A1D5D" w:rsidRPr="00A03B67" w:rsidRDefault="009A1D5D" w:rsidP="009A1D5D">
      <w:pPr>
        <w:pStyle w:val="FootnoteText"/>
      </w:pPr>
      <w:r w:rsidRPr="00A03B67">
        <w:rPr>
          <w:rStyle w:val="FootnoteReference"/>
        </w:rPr>
        <w:footnoteRef/>
      </w:r>
      <w:r w:rsidRPr="00A03B67">
        <w:t xml:space="preserve"> </w:t>
      </w:r>
      <w:r w:rsidR="0069108F" w:rsidRPr="00A03B67">
        <w:t>Law Council of Australia</w:t>
      </w:r>
      <w:r w:rsidR="0032498F" w:rsidRPr="00A03B67">
        <w:t xml:space="preserve"> sub</w:t>
      </w:r>
      <w:r w:rsidR="0069108F" w:rsidRPr="00A03B67">
        <w:t>mission</w:t>
      </w:r>
      <w:r w:rsidR="0032498F" w:rsidRPr="00A03B67">
        <w:t>,</w:t>
      </w:r>
      <w:r w:rsidR="0069108F" w:rsidRPr="00A03B67">
        <w:t xml:space="preserve"> </w:t>
      </w:r>
      <w:r w:rsidR="002D1D7D" w:rsidRPr="00A03B67">
        <w:t>3.</w:t>
      </w:r>
      <w:r w:rsidRPr="00A03B67">
        <w:t xml:space="preserve">  </w:t>
      </w:r>
    </w:p>
  </w:footnote>
  <w:footnote w:id="908">
    <w:p w14:paraId="470BB273" w14:textId="3F9DF80C" w:rsidR="009A1D5D" w:rsidRPr="00A03B67" w:rsidRDefault="009A1D5D" w:rsidP="009A1D5D">
      <w:pPr>
        <w:pStyle w:val="FootnoteText"/>
      </w:pPr>
      <w:r w:rsidRPr="00A03B67">
        <w:rPr>
          <w:rStyle w:val="FootnoteReference"/>
        </w:rPr>
        <w:footnoteRef/>
      </w:r>
      <w:r w:rsidRPr="00A03B67">
        <w:t xml:space="preserve"> ACTU</w:t>
      </w:r>
      <w:r w:rsidR="007974DF" w:rsidRPr="00A03B67">
        <w:t xml:space="preserve"> submission</w:t>
      </w:r>
      <w:r w:rsidRPr="00A03B67">
        <w:t xml:space="preserve">, page 49. </w:t>
      </w:r>
    </w:p>
  </w:footnote>
  <w:footnote w:id="909">
    <w:p w14:paraId="26FC48B9" w14:textId="4EA1700C" w:rsidR="009A1D5D" w:rsidRPr="00A03B67" w:rsidRDefault="009A1D5D" w:rsidP="009A1D5D">
      <w:pPr>
        <w:pStyle w:val="FootnoteText"/>
      </w:pPr>
      <w:r w:rsidRPr="00A03B67">
        <w:rPr>
          <w:rStyle w:val="FootnoteReference"/>
        </w:rPr>
        <w:footnoteRef/>
      </w:r>
      <w:r w:rsidRPr="00A03B67">
        <w:t xml:space="preserve"> </w:t>
      </w:r>
      <w:r w:rsidR="00DE7993" w:rsidRPr="00A03B67">
        <w:t>Australian Human Rights Commission (</w:t>
      </w:r>
      <w:r w:rsidRPr="00A03B67">
        <w:t>AHRC</w:t>
      </w:r>
      <w:r w:rsidR="00DE7993" w:rsidRPr="00A03B67">
        <w:t xml:space="preserve">), </w:t>
      </w:r>
      <w:r w:rsidR="00DE7993" w:rsidRPr="00A03B67">
        <w:rPr>
          <w:i/>
          <w:iCs/>
        </w:rPr>
        <w:t xml:space="preserve">Respect@Work: National Inquiry into Sexual Harassment in Australian Workplaces </w:t>
      </w:r>
      <w:r w:rsidR="00DE7993" w:rsidRPr="00A03B67">
        <w:t>(Final Report, 5 March 2020)</w:t>
      </w:r>
      <w:r w:rsidR="00DE7993" w:rsidRPr="00A03B67">
        <w:rPr>
          <w:i/>
          <w:iCs/>
        </w:rPr>
        <w:t xml:space="preserve"> &lt;</w:t>
      </w:r>
      <w:r w:rsidR="00DE7993" w:rsidRPr="00A03B67">
        <w:t>https://humanrights.gov.au/our-work/sex-discrimination/publications/respectwork-sexual-harassment-national-inquiry-report-2020&gt;.</w:t>
      </w:r>
    </w:p>
  </w:footnote>
  <w:footnote w:id="910">
    <w:p w14:paraId="39D0E717" w14:textId="61425EBF" w:rsidR="009A1D5D" w:rsidRPr="00A03B67" w:rsidRDefault="009A1D5D" w:rsidP="009A1D5D">
      <w:pPr>
        <w:pStyle w:val="FootnoteText"/>
      </w:pPr>
      <w:r w:rsidRPr="00A03B67">
        <w:rPr>
          <w:rStyle w:val="FootnoteReference"/>
        </w:rPr>
        <w:footnoteRef/>
      </w:r>
      <w:r w:rsidR="00AA740A" w:rsidRPr="00A03B67">
        <w:t xml:space="preserve"> </w:t>
      </w:r>
      <w:r w:rsidR="00DE7993" w:rsidRPr="00A03B67">
        <w:rPr>
          <w:i/>
          <w:iCs/>
        </w:rPr>
        <w:t>F</w:t>
      </w:r>
      <w:r w:rsidR="007A1E11" w:rsidRPr="00A03B67">
        <w:rPr>
          <w:i/>
          <w:iCs/>
        </w:rPr>
        <w:t xml:space="preserve">air </w:t>
      </w:r>
      <w:r w:rsidR="00DE7993" w:rsidRPr="00A03B67">
        <w:rPr>
          <w:i/>
          <w:iCs/>
        </w:rPr>
        <w:t>W</w:t>
      </w:r>
      <w:r w:rsidR="007A1E11" w:rsidRPr="00A03B67">
        <w:rPr>
          <w:i/>
          <w:iCs/>
        </w:rPr>
        <w:t>ork</w:t>
      </w:r>
      <w:r w:rsidR="00DE7993" w:rsidRPr="00A03B67">
        <w:rPr>
          <w:i/>
          <w:iCs/>
        </w:rPr>
        <w:t xml:space="preserve"> Act </w:t>
      </w:r>
      <w:r w:rsidR="007A1E11" w:rsidRPr="00A03B67">
        <w:rPr>
          <w:i/>
          <w:iCs/>
        </w:rPr>
        <w:t>2009 (Cth)</w:t>
      </w:r>
      <w:r w:rsidR="00AA740A" w:rsidRPr="00A03B67">
        <w:rPr>
          <w:i/>
          <w:iCs/>
        </w:rPr>
        <w:t xml:space="preserve"> </w:t>
      </w:r>
      <w:r w:rsidR="00AA740A" w:rsidRPr="00A03B67">
        <w:t>s</w:t>
      </w:r>
      <w:r w:rsidR="007A1E11" w:rsidRPr="00A03B67">
        <w:t xml:space="preserve"> </w:t>
      </w:r>
      <w:r w:rsidR="00AA740A" w:rsidRPr="00A03B67">
        <w:t>351.</w:t>
      </w:r>
    </w:p>
  </w:footnote>
  <w:footnote w:id="911">
    <w:p w14:paraId="1D073504" w14:textId="7BF4B77D" w:rsidR="009A1D5D" w:rsidRPr="00A03B67" w:rsidRDefault="009A1D5D" w:rsidP="009A1D5D">
      <w:pPr>
        <w:pStyle w:val="FootnoteText"/>
      </w:pPr>
      <w:r w:rsidRPr="00A03B67">
        <w:rPr>
          <w:rStyle w:val="FootnoteReference"/>
        </w:rPr>
        <w:footnoteRef/>
      </w:r>
      <w:r w:rsidRPr="00A03B67">
        <w:t xml:space="preserve"> </w:t>
      </w:r>
      <w:r w:rsidR="00C03DBE" w:rsidRPr="00A03B67">
        <w:t>Revised Explanatory Memorandum, Fair Work Legislation Amendment (Secure Jobs, Better Pay) Bill</w:t>
      </w:r>
      <w:r w:rsidR="00C03DBE" w:rsidRPr="00A03B67">
        <w:rPr>
          <w:i/>
          <w:iCs/>
        </w:rPr>
        <w:t xml:space="preserve"> </w:t>
      </w:r>
      <w:r w:rsidR="00C03DBE" w:rsidRPr="00A03B67">
        <w:t>2022, [544].</w:t>
      </w:r>
    </w:p>
  </w:footnote>
  <w:footnote w:id="912">
    <w:p w14:paraId="38899BF1" w14:textId="4B7D0C30" w:rsidR="009A1D5D" w:rsidRPr="00A03B67" w:rsidRDefault="009A1D5D" w:rsidP="009A1D5D">
      <w:pPr>
        <w:pStyle w:val="FootnoteText"/>
        <w:rPr>
          <w:lang w:val="en-US"/>
        </w:rPr>
      </w:pPr>
      <w:r w:rsidRPr="00A03B67">
        <w:rPr>
          <w:rStyle w:val="FootnoteReference"/>
        </w:rPr>
        <w:footnoteRef/>
      </w:r>
      <w:r w:rsidRPr="00A03B67">
        <w:t xml:space="preserve"> </w:t>
      </w:r>
      <w:r w:rsidR="00A236A8" w:rsidRPr="00A03B67">
        <w:t>Revised Explanatory Memorandum, Fair Work Legislation Amendment (Secure Jobs, Better Pay) Bill</w:t>
      </w:r>
      <w:r w:rsidR="00A236A8" w:rsidRPr="00A03B67">
        <w:rPr>
          <w:i/>
          <w:iCs/>
        </w:rPr>
        <w:t xml:space="preserve"> </w:t>
      </w:r>
      <w:r w:rsidR="00A236A8" w:rsidRPr="00A03B67">
        <w:t>2022, [536].</w:t>
      </w:r>
    </w:p>
  </w:footnote>
  <w:footnote w:id="913">
    <w:p w14:paraId="68A3DFD0" w14:textId="34D40056" w:rsidR="00CE1449" w:rsidRPr="00A03B67" w:rsidRDefault="00CE1449" w:rsidP="00CE1449">
      <w:pPr>
        <w:pStyle w:val="FootnoteText"/>
      </w:pPr>
      <w:r w:rsidRPr="00A03B67">
        <w:rPr>
          <w:rStyle w:val="FootnoteReference"/>
        </w:rPr>
        <w:footnoteRef/>
      </w:r>
      <w:r w:rsidRPr="00A03B67">
        <w:t xml:space="preserve"> </w:t>
      </w:r>
      <w:r w:rsidRPr="00A03B67">
        <w:rPr>
          <w:i/>
          <w:iCs/>
        </w:rPr>
        <w:t>Fair Work Amendment (Closing Loopholes) Act 2023</w:t>
      </w:r>
      <w:r w:rsidR="007A1E11" w:rsidRPr="00A03B67">
        <w:t xml:space="preserve"> (Cth)</w:t>
      </w:r>
      <w:r w:rsidR="00A236A8" w:rsidRPr="00A03B67">
        <w:t>, Sch 1 Part 8 Item 94.</w:t>
      </w:r>
    </w:p>
  </w:footnote>
  <w:footnote w:id="914">
    <w:p w14:paraId="12303CF4" w14:textId="26D10D1C" w:rsidR="009A1D5D" w:rsidRPr="00A03B67" w:rsidRDefault="009A1D5D" w:rsidP="009A1D5D">
      <w:pPr>
        <w:pStyle w:val="FootnoteText"/>
      </w:pPr>
      <w:r w:rsidRPr="00A03B67">
        <w:rPr>
          <w:rStyle w:val="FootnoteReference"/>
        </w:rPr>
        <w:footnoteRef/>
      </w:r>
      <w:r w:rsidRPr="00A03B67">
        <w:t xml:space="preserve"> </w:t>
      </w:r>
      <w:r w:rsidR="00A236A8" w:rsidRPr="00A03B67">
        <w:t>Revised Explanatory Memorandum, Fair Work Legislation Amendment (Secure Jobs, Better Pay) Bill</w:t>
      </w:r>
      <w:r w:rsidR="00A236A8" w:rsidRPr="00A03B67">
        <w:rPr>
          <w:i/>
          <w:iCs/>
        </w:rPr>
        <w:t xml:space="preserve"> </w:t>
      </w:r>
      <w:r w:rsidR="00A236A8" w:rsidRPr="00A03B67">
        <w:t>2022, [544]-[548]</w:t>
      </w:r>
      <w:r w:rsidRPr="00A03B67">
        <w:t xml:space="preserve">. </w:t>
      </w:r>
    </w:p>
  </w:footnote>
  <w:footnote w:id="915">
    <w:p w14:paraId="5F9F0C4B" w14:textId="411D08F8" w:rsidR="009A1D5D" w:rsidRPr="00A03B67" w:rsidRDefault="009A1D5D" w:rsidP="009A1D5D">
      <w:pPr>
        <w:pStyle w:val="FootnoteText"/>
      </w:pPr>
      <w:r w:rsidRPr="00A03B67">
        <w:rPr>
          <w:rStyle w:val="FootnoteReference"/>
        </w:rPr>
        <w:footnoteRef/>
      </w:r>
      <w:r w:rsidRPr="00A03B67">
        <w:t xml:space="preserve"> Application by Curtin University [2023] FWCA 3356 [</w:t>
      </w:r>
      <w:r w:rsidR="0038555C" w:rsidRPr="00A03B67">
        <w:t>6</w:t>
      </w:r>
      <w:r w:rsidRPr="00A03B67">
        <w:t>]</w:t>
      </w:r>
      <w:r w:rsidR="007A1E11" w:rsidRPr="00A03B67">
        <w:t>.</w:t>
      </w:r>
      <w:r w:rsidRPr="00A03B67">
        <w:t xml:space="preserve">  </w:t>
      </w:r>
    </w:p>
  </w:footnote>
  <w:footnote w:id="916">
    <w:p w14:paraId="73A7872A" w14:textId="6EF2F091" w:rsidR="009A1D5D" w:rsidRPr="00A03B67" w:rsidRDefault="009A1D5D" w:rsidP="009A1D5D">
      <w:pPr>
        <w:pStyle w:val="FootnoteText"/>
      </w:pPr>
      <w:r w:rsidRPr="00A03B67">
        <w:rPr>
          <w:rStyle w:val="FootnoteReference"/>
        </w:rPr>
        <w:footnoteRef/>
      </w:r>
      <w:r w:rsidRPr="00A03B67">
        <w:t xml:space="preserve"> </w:t>
      </w:r>
      <w:r w:rsidR="00850AE8" w:rsidRPr="00A03B67">
        <w:t xml:space="preserve">Application by Curtin University [2023] FWCA 3356 </w:t>
      </w:r>
      <w:r w:rsidRPr="00A03B67">
        <w:t>[7]</w:t>
      </w:r>
      <w:r w:rsidR="007A1E11" w:rsidRPr="00A03B67">
        <w:t>.</w:t>
      </w:r>
    </w:p>
  </w:footnote>
  <w:footnote w:id="917">
    <w:p w14:paraId="2733C3BF" w14:textId="722305D9" w:rsidR="00E8459B" w:rsidRPr="00A03B67" w:rsidRDefault="00E8459B" w:rsidP="00E8459B">
      <w:pPr>
        <w:pStyle w:val="FootnoteText"/>
      </w:pPr>
      <w:r w:rsidRPr="00A03B67">
        <w:rPr>
          <w:rStyle w:val="FootnoteReference"/>
        </w:rPr>
        <w:footnoteRef/>
      </w:r>
      <w:r w:rsidRPr="00A03B67">
        <w:t xml:space="preserve"> </w:t>
      </w:r>
      <w:r w:rsidR="007A1E11" w:rsidRPr="00A03B67">
        <w:t>ACTU</w:t>
      </w:r>
      <w:r w:rsidR="00D77920" w:rsidRPr="00A03B67">
        <w:t xml:space="preserve"> submission, 55; </w:t>
      </w:r>
      <w:r w:rsidR="007A1E11" w:rsidRPr="00A03B67">
        <w:t>UWU s</w:t>
      </w:r>
      <w:r w:rsidRPr="00A03B67">
        <w:t>ubmission</w:t>
      </w:r>
      <w:r w:rsidR="00D77920" w:rsidRPr="00A03B67">
        <w:t>, 19.</w:t>
      </w:r>
    </w:p>
  </w:footnote>
  <w:footnote w:id="918">
    <w:p w14:paraId="7CF94200" w14:textId="79587452" w:rsidR="009A1D5D" w:rsidRPr="00A03B67" w:rsidRDefault="009A1D5D" w:rsidP="009A1D5D">
      <w:pPr>
        <w:pStyle w:val="FootnoteText"/>
      </w:pPr>
      <w:r w:rsidRPr="00A03B67">
        <w:rPr>
          <w:rStyle w:val="FootnoteReference"/>
        </w:rPr>
        <w:footnoteRef/>
      </w:r>
      <w:r w:rsidRPr="00A03B67">
        <w:t xml:space="preserve"> </w:t>
      </w:r>
      <w:r w:rsidR="007A1E11" w:rsidRPr="00A03B67">
        <w:t>ACTU s</w:t>
      </w:r>
      <w:r w:rsidRPr="00A03B67">
        <w:t>ubmission</w:t>
      </w:r>
      <w:r w:rsidR="007A1E11" w:rsidRPr="00A03B67">
        <w:t>,</w:t>
      </w:r>
      <w:r w:rsidRPr="00A03B67">
        <w:t xml:space="preserve"> 52</w:t>
      </w:r>
      <w:r w:rsidR="007A1E11" w:rsidRPr="00A03B67">
        <w:rPr>
          <w:rFonts w:ascii="Symbol" w:eastAsia="Symbol" w:hAnsi="Symbol" w:cs="Symbol"/>
        </w:rPr>
        <w:t>-</w:t>
      </w:r>
      <w:r w:rsidRPr="00A03B67">
        <w:t>53</w:t>
      </w:r>
      <w:r w:rsidR="007A1E11" w:rsidRPr="00A03B67">
        <w:t>.</w:t>
      </w:r>
    </w:p>
  </w:footnote>
  <w:footnote w:id="919">
    <w:p w14:paraId="41676130" w14:textId="27747C13" w:rsidR="009A1D5D" w:rsidRPr="00A03B67" w:rsidRDefault="009A1D5D" w:rsidP="009A1D5D">
      <w:pPr>
        <w:pStyle w:val="FootnoteText"/>
      </w:pPr>
      <w:r w:rsidRPr="00A03B67">
        <w:rPr>
          <w:rStyle w:val="FootnoteReference"/>
        </w:rPr>
        <w:footnoteRef/>
      </w:r>
      <w:r w:rsidRPr="00A03B67">
        <w:t xml:space="preserve"> </w:t>
      </w:r>
      <w:r w:rsidR="007A1E11" w:rsidRPr="00A03B67">
        <w:t>ACTU s</w:t>
      </w:r>
      <w:r w:rsidRPr="00A03B67">
        <w:t>ubmission,</w:t>
      </w:r>
      <w:r w:rsidRPr="00A03B67" w:rsidDel="00291B77">
        <w:t xml:space="preserve"> </w:t>
      </w:r>
      <w:r w:rsidRPr="00A03B67">
        <w:t>54</w:t>
      </w:r>
      <w:r w:rsidR="007A1E11" w:rsidRPr="00A03B67">
        <w:t>.</w:t>
      </w:r>
    </w:p>
  </w:footnote>
  <w:footnote w:id="920">
    <w:p w14:paraId="36084834" w14:textId="02F8F0D6" w:rsidR="009A1D5D" w:rsidRPr="00A03B67" w:rsidRDefault="009A1D5D" w:rsidP="009A1D5D">
      <w:pPr>
        <w:pStyle w:val="FootnoteText"/>
      </w:pPr>
      <w:r w:rsidRPr="00A03B67">
        <w:rPr>
          <w:rStyle w:val="FootnoteReference"/>
        </w:rPr>
        <w:footnoteRef/>
      </w:r>
      <w:r w:rsidRPr="00A03B67">
        <w:t xml:space="preserve"> </w:t>
      </w:r>
      <w:r w:rsidR="007A1E11" w:rsidRPr="00A03B67">
        <w:t>ACCI s</w:t>
      </w:r>
      <w:r w:rsidRPr="00A03B67">
        <w:t>ubmission</w:t>
      </w:r>
      <w:r w:rsidR="007A1E11" w:rsidRPr="00A03B67">
        <w:t xml:space="preserve">, </w:t>
      </w:r>
      <w:r w:rsidRPr="00A03B67">
        <w:t>77</w:t>
      </w:r>
      <w:r w:rsidR="007A1E11" w:rsidRPr="00A03B67">
        <w:rPr>
          <w:rFonts w:ascii="Symbol" w:eastAsia="Symbol" w:hAnsi="Symbol" w:cs="Symbol"/>
        </w:rPr>
        <w:t>-</w:t>
      </w:r>
      <w:r w:rsidRPr="00A03B67">
        <w:t>78</w:t>
      </w:r>
      <w:r w:rsidR="007A1E11" w:rsidRPr="00A03B67">
        <w:t>.</w:t>
      </w:r>
    </w:p>
  </w:footnote>
  <w:footnote w:id="921">
    <w:p w14:paraId="76C6C90E" w14:textId="274D90B4" w:rsidR="009A1D5D" w:rsidRPr="00A03B67" w:rsidRDefault="009A1D5D" w:rsidP="009A1D5D">
      <w:pPr>
        <w:pStyle w:val="FootnoteText"/>
      </w:pPr>
      <w:r w:rsidRPr="00A03B67">
        <w:rPr>
          <w:rStyle w:val="FootnoteReference"/>
        </w:rPr>
        <w:footnoteRef/>
      </w:r>
      <w:r w:rsidRPr="00A03B67">
        <w:t xml:space="preserve"> </w:t>
      </w:r>
      <w:r w:rsidR="007A1E11" w:rsidRPr="00A03B67">
        <w:t xml:space="preserve">A </w:t>
      </w:r>
      <w:r w:rsidRPr="00A03B67">
        <w:t>Blackham</w:t>
      </w:r>
      <w:r w:rsidR="007A1E11" w:rsidRPr="00A03B67">
        <w:t xml:space="preserve"> s</w:t>
      </w:r>
      <w:r w:rsidRPr="00A03B67">
        <w:t>ubmission</w:t>
      </w:r>
      <w:r w:rsidR="007A1E11" w:rsidRPr="00A03B67">
        <w:t xml:space="preserve">, </w:t>
      </w:r>
      <w:r w:rsidRPr="00A03B67">
        <w:t>1.</w:t>
      </w:r>
    </w:p>
  </w:footnote>
  <w:footnote w:id="922">
    <w:p w14:paraId="281C1622" w14:textId="18FF2439" w:rsidR="009A1D5D" w:rsidRPr="00A03B67" w:rsidRDefault="009A1D5D" w:rsidP="009A1D5D">
      <w:pPr>
        <w:pStyle w:val="FootnoteText"/>
      </w:pPr>
      <w:r w:rsidRPr="00A03B67">
        <w:rPr>
          <w:rStyle w:val="FootnoteReference"/>
        </w:rPr>
        <w:footnoteRef/>
      </w:r>
      <w:r w:rsidRPr="00A03B67">
        <w:t xml:space="preserve"> Employment Rights Service</w:t>
      </w:r>
      <w:r w:rsidR="007A1E11" w:rsidRPr="00A03B67">
        <w:t xml:space="preserve"> s</w:t>
      </w:r>
      <w:r w:rsidRPr="00A03B67">
        <w:t>ubmission</w:t>
      </w:r>
      <w:r w:rsidR="007A1E11" w:rsidRPr="00A03B67">
        <w:t>.</w:t>
      </w:r>
    </w:p>
  </w:footnote>
  <w:footnote w:id="923">
    <w:p w14:paraId="5889D930" w14:textId="52D63CE8" w:rsidR="009A1D5D" w:rsidRPr="00A03B67" w:rsidRDefault="009A1D5D" w:rsidP="009A1D5D">
      <w:pPr>
        <w:pStyle w:val="FootnoteText"/>
      </w:pPr>
      <w:r w:rsidRPr="00A03B67">
        <w:rPr>
          <w:rStyle w:val="FootnoteReference"/>
        </w:rPr>
        <w:footnoteRef/>
      </w:r>
      <w:r w:rsidRPr="00A03B67">
        <w:t xml:space="preserve"> </w:t>
      </w:r>
      <w:r w:rsidR="00D13531" w:rsidRPr="00A03B67">
        <w:rPr>
          <w:rFonts w:eastAsia="Times New Roman"/>
          <w:i/>
          <w:iCs/>
        </w:rPr>
        <w:t>Construction, Forestry, Maritime, Mining and Energy Union v Quirk</w:t>
      </w:r>
      <w:r w:rsidR="00D13531" w:rsidRPr="00A03B67">
        <w:rPr>
          <w:rFonts w:eastAsia="Times New Roman"/>
        </w:rPr>
        <w:t xml:space="preserve"> [2023] FCAFC 163.</w:t>
      </w:r>
    </w:p>
  </w:footnote>
  <w:footnote w:id="924">
    <w:p w14:paraId="3B5DE12D" w14:textId="661FB0A3" w:rsidR="009A1D5D" w:rsidRPr="00A03B67" w:rsidRDefault="009A1D5D" w:rsidP="009A1D5D">
      <w:pPr>
        <w:pStyle w:val="FootnoteText"/>
      </w:pPr>
      <w:r w:rsidRPr="00A03B67">
        <w:rPr>
          <w:rStyle w:val="FootnoteReference"/>
        </w:rPr>
        <w:footnoteRef/>
      </w:r>
      <w:r w:rsidRPr="00A03B67">
        <w:t xml:space="preserve"> ALRC</w:t>
      </w:r>
      <w:r w:rsidR="007A1E11" w:rsidRPr="00A03B67">
        <w:t>,</w:t>
      </w:r>
      <w:r w:rsidRPr="00A03B67">
        <w:t xml:space="preserve"> </w:t>
      </w:r>
      <w:r w:rsidRPr="00A03B67">
        <w:rPr>
          <w:i/>
          <w:iCs/>
        </w:rPr>
        <w:t>Maximising the Realisation of Human Rights: Religious Educational Institutions and Anti-Discrimination Laws</w:t>
      </w:r>
      <w:r w:rsidR="007A1E11" w:rsidRPr="00A03B67">
        <w:t xml:space="preserve"> (Report 142, </w:t>
      </w:r>
      <w:r w:rsidRPr="00A03B67">
        <w:t>December 2023</w:t>
      </w:r>
      <w:r w:rsidR="007A1E11" w:rsidRPr="00A03B67">
        <w:t>)</w:t>
      </w:r>
      <w:r w:rsidRPr="00A03B67">
        <w:t xml:space="preserve"> [7.11] and [9.47].</w:t>
      </w:r>
    </w:p>
  </w:footnote>
  <w:footnote w:id="925">
    <w:p w14:paraId="7FD06F1F" w14:textId="442E997E" w:rsidR="00EC7D93" w:rsidRPr="00A03B67" w:rsidRDefault="00EC7D93">
      <w:pPr>
        <w:pStyle w:val="FootnoteText"/>
      </w:pPr>
      <w:r w:rsidRPr="00A03B67">
        <w:rPr>
          <w:rStyle w:val="FootnoteReference"/>
        </w:rPr>
        <w:footnoteRef/>
      </w:r>
      <w:r w:rsidRPr="00A03B67">
        <w:t xml:space="preserve"> </w:t>
      </w:r>
      <w:r w:rsidRPr="00A03B67">
        <w:rPr>
          <w:rFonts w:cstheme="minorHAnsi"/>
        </w:rPr>
        <w:t xml:space="preserve">Senate Community Affairs References Committee 2024 report on </w:t>
      </w:r>
      <w:r w:rsidRPr="00A03B67">
        <w:rPr>
          <w:rFonts w:cstheme="minorHAnsi"/>
          <w:i/>
          <w:iCs/>
        </w:rPr>
        <w:t>Issues related to menopause and perimenopause</w:t>
      </w:r>
      <w:r w:rsidRPr="00A03B67">
        <w:rPr>
          <w:rFonts w:cstheme="minorHAnsi"/>
        </w:rPr>
        <w:t>; 2023 Senate Inquiry into Universal Access to Reproductive Healthcare</w:t>
      </w:r>
    </w:p>
  </w:footnote>
  <w:footnote w:id="926">
    <w:p w14:paraId="348D6246" w14:textId="6273D522" w:rsidR="00EA06D5" w:rsidRPr="00A03B67" w:rsidRDefault="00EA06D5" w:rsidP="00EA06D5">
      <w:pPr>
        <w:pStyle w:val="FootnoteText"/>
      </w:pPr>
      <w:r w:rsidRPr="00A03B67">
        <w:rPr>
          <w:rStyle w:val="FootnoteReference"/>
        </w:rPr>
        <w:footnoteRef/>
      </w:r>
      <w:r w:rsidRPr="00A03B67">
        <w:t xml:space="preserve"> </w:t>
      </w:r>
      <w:r w:rsidR="00053C14" w:rsidRPr="00A03B67">
        <w:t xml:space="preserve">The Guardian, “Reproductive leave could be a ‘gamechanger’ for Australian workers – how would it work?” </w:t>
      </w:r>
      <w:r w:rsidR="003E4275" w:rsidRPr="00A03B67">
        <w:t>(</w:t>
      </w:r>
      <w:r w:rsidRPr="00A03B67">
        <w:t>13 Jan</w:t>
      </w:r>
      <w:r w:rsidR="003E4275" w:rsidRPr="00A03B67">
        <w:t>uary</w:t>
      </w:r>
      <w:r w:rsidRPr="00A03B67">
        <w:t xml:space="preserve"> </w:t>
      </w:r>
      <w:r w:rsidR="003E4275" w:rsidRPr="00A03B67">
        <w:t>20</w:t>
      </w:r>
      <w:r w:rsidRPr="00A03B67">
        <w:t>25</w:t>
      </w:r>
      <w:r w:rsidR="003E4275" w:rsidRPr="00A03B67">
        <w:t>).</w:t>
      </w:r>
    </w:p>
  </w:footnote>
  <w:footnote w:id="927">
    <w:p w14:paraId="4DDB6017" w14:textId="395763CD" w:rsidR="009A1D5D" w:rsidRPr="00A03B67" w:rsidRDefault="009A1D5D" w:rsidP="009A1D5D">
      <w:pPr>
        <w:pStyle w:val="FootnoteText"/>
        <w:rPr>
          <w:lang w:val="en-US"/>
        </w:rPr>
      </w:pPr>
      <w:r w:rsidRPr="00A03B67">
        <w:rPr>
          <w:rStyle w:val="FootnoteReference"/>
        </w:rPr>
        <w:footnoteRef/>
      </w:r>
      <w:r w:rsidRPr="00A03B67">
        <w:t xml:space="preserve"> </w:t>
      </w:r>
      <w:r w:rsidR="007A1E11" w:rsidRPr="00A03B67">
        <w:t xml:space="preserve">Fair Work Ombudsman, </w:t>
      </w:r>
      <w:r w:rsidRPr="00A03B67">
        <w:rPr>
          <w:i/>
          <w:iCs/>
        </w:rPr>
        <w:t xml:space="preserve">Fixed </w:t>
      </w:r>
      <w:r w:rsidR="007A1E11" w:rsidRPr="00A03B67">
        <w:rPr>
          <w:i/>
          <w:iCs/>
        </w:rPr>
        <w:t>T</w:t>
      </w:r>
      <w:r w:rsidRPr="00A03B67">
        <w:rPr>
          <w:i/>
          <w:iCs/>
        </w:rPr>
        <w:t xml:space="preserve">erm </w:t>
      </w:r>
      <w:r w:rsidR="007A1E11" w:rsidRPr="00A03B67">
        <w:rPr>
          <w:i/>
          <w:iCs/>
        </w:rPr>
        <w:t>C</w:t>
      </w:r>
      <w:r w:rsidRPr="00A03B67">
        <w:rPr>
          <w:i/>
          <w:iCs/>
        </w:rPr>
        <w:t xml:space="preserve">ontract </w:t>
      </w:r>
      <w:r w:rsidR="007A1E11" w:rsidRPr="00A03B67">
        <w:rPr>
          <w:i/>
          <w:iCs/>
        </w:rPr>
        <w:t>E</w:t>
      </w:r>
      <w:r w:rsidRPr="00A03B67">
        <w:rPr>
          <w:i/>
          <w:iCs/>
        </w:rPr>
        <w:t>mployees</w:t>
      </w:r>
      <w:r w:rsidRPr="00A03B67">
        <w:t xml:space="preserve"> (Web Page, n.d.) &lt;</w:t>
      </w:r>
      <w:r w:rsidRPr="00275019">
        <w:t>https://www.fairwork.gov.au/starting-employment/types-of-employees/fixed-term-contract-employees#fixed-term-contract-information-statement</w:t>
      </w:r>
      <w:r w:rsidRPr="00A03B67">
        <w:t xml:space="preserve">&gt;. </w:t>
      </w:r>
    </w:p>
  </w:footnote>
  <w:footnote w:id="928">
    <w:p w14:paraId="1EC98F45" w14:textId="2CBA9F11" w:rsidR="00E745EC" w:rsidRPr="00A03B67" w:rsidRDefault="00E745EC">
      <w:pPr>
        <w:pStyle w:val="FootnoteText"/>
      </w:pPr>
      <w:r w:rsidRPr="00A03B67">
        <w:rPr>
          <w:rStyle w:val="FootnoteReference"/>
        </w:rPr>
        <w:footnoteRef/>
      </w:r>
      <w:r w:rsidRPr="00A03B67">
        <w:t xml:space="preserve"> </w:t>
      </w:r>
      <w:r w:rsidRPr="00A03B67">
        <w:rPr>
          <w:i/>
        </w:rPr>
        <w:t>F</w:t>
      </w:r>
      <w:r w:rsidR="007A1E11" w:rsidRPr="00A03B67">
        <w:rPr>
          <w:i/>
        </w:rPr>
        <w:t xml:space="preserve">air </w:t>
      </w:r>
      <w:r w:rsidRPr="00A03B67">
        <w:rPr>
          <w:i/>
        </w:rPr>
        <w:t>W</w:t>
      </w:r>
      <w:r w:rsidR="007A1E11" w:rsidRPr="00A03B67">
        <w:rPr>
          <w:i/>
        </w:rPr>
        <w:t>ork</w:t>
      </w:r>
      <w:r w:rsidRPr="00A03B67">
        <w:rPr>
          <w:i/>
        </w:rPr>
        <w:t xml:space="preserve"> Act</w:t>
      </w:r>
      <w:r w:rsidRPr="00A03B67">
        <w:t xml:space="preserve"> </w:t>
      </w:r>
      <w:r w:rsidR="007A1E11" w:rsidRPr="00A03B67">
        <w:t xml:space="preserve">(Cth) </w:t>
      </w:r>
      <w:r w:rsidRPr="00A03B67">
        <w:t>s</w:t>
      </w:r>
      <w:r w:rsidR="007A1E11" w:rsidRPr="00A03B67">
        <w:t xml:space="preserve"> </w:t>
      </w:r>
      <w:r w:rsidRPr="00A03B67">
        <w:t>333G.</w:t>
      </w:r>
    </w:p>
  </w:footnote>
  <w:footnote w:id="929">
    <w:p w14:paraId="585359D6" w14:textId="5DCD5597" w:rsidR="00380C21" w:rsidRPr="00A03B67" w:rsidRDefault="00380C21">
      <w:pPr>
        <w:pStyle w:val="FootnoteText"/>
      </w:pPr>
      <w:r w:rsidRPr="00A03B67">
        <w:rPr>
          <w:rStyle w:val="FootnoteReference"/>
        </w:rPr>
        <w:footnoteRef/>
      </w:r>
      <w:r w:rsidRPr="00A03B67">
        <w:t xml:space="preserve"> </w:t>
      </w:r>
      <w:r w:rsidR="00066DA1" w:rsidRPr="00A03B67">
        <w:rPr>
          <w:i/>
          <w:iCs/>
        </w:rPr>
        <w:t>Fair Work Legislation Amendment (Secure Jobs, Better Pay) Act 2022</w:t>
      </w:r>
      <w:r w:rsidR="00066DA1" w:rsidRPr="00A03B67">
        <w:t xml:space="preserve">, </w:t>
      </w:r>
      <w:r w:rsidRPr="00A03B67">
        <w:t>s 333G(1).</w:t>
      </w:r>
    </w:p>
  </w:footnote>
  <w:footnote w:id="930">
    <w:p w14:paraId="148B5323" w14:textId="06B4D0C7" w:rsidR="009A1D5D" w:rsidRPr="00A03B67" w:rsidRDefault="009A1D5D" w:rsidP="009A1D5D">
      <w:pPr>
        <w:pStyle w:val="FootnoteText"/>
        <w:rPr>
          <w:lang w:val="en-US"/>
        </w:rPr>
      </w:pPr>
      <w:r w:rsidRPr="00A03B67">
        <w:rPr>
          <w:rStyle w:val="FootnoteReference"/>
        </w:rPr>
        <w:footnoteRef/>
      </w:r>
      <w:r w:rsidR="001514DE" w:rsidRPr="00A03B67">
        <w:t xml:space="preserve"> Live Performance Award</w:t>
      </w:r>
      <w:r w:rsidR="001514DE" w:rsidRPr="00A03B67">
        <w:rPr>
          <w:i/>
          <w:iCs/>
        </w:rPr>
        <w:t xml:space="preserve"> </w:t>
      </w:r>
      <w:r w:rsidR="001514DE" w:rsidRPr="00A03B67">
        <w:t>cl 28A;</w:t>
      </w:r>
      <w:r w:rsidRPr="00A03B67">
        <w:t xml:space="preserve"> </w:t>
      </w:r>
      <w:r w:rsidRPr="00A03B67">
        <w:rPr>
          <w:i/>
          <w:iCs/>
        </w:rPr>
        <w:t xml:space="preserve">Fair Work Amendment (Fixed Term Contracts) Regulations 2023, </w:t>
      </w:r>
      <w:r w:rsidRPr="00A03B67">
        <w:t xml:space="preserve">as enacted 24 November 2023 to 19 March 2024; </w:t>
      </w:r>
      <w:r w:rsidR="007A1E11" w:rsidRPr="00A03B67">
        <w:t xml:space="preserve">Fair Work Ombudsman, </w:t>
      </w:r>
      <w:r w:rsidRPr="00A03B67">
        <w:rPr>
          <w:i/>
          <w:iCs/>
        </w:rPr>
        <w:t xml:space="preserve">Additional </w:t>
      </w:r>
      <w:r w:rsidR="007A1E11" w:rsidRPr="00A03B67">
        <w:rPr>
          <w:i/>
          <w:iCs/>
        </w:rPr>
        <w:t>F</w:t>
      </w:r>
      <w:r w:rsidRPr="00A03B67">
        <w:rPr>
          <w:i/>
          <w:iCs/>
        </w:rPr>
        <w:t xml:space="preserve">ixed </w:t>
      </w:r>
      <w:r w:rsidR="007A1E11" w:rsidRPr="00A03B67">
        <w:rPr>
          <w:i/>
          <w:iCs/>
        </w:rPr>
        <w:t>T</w:t>
      </w:r>
      <w:r w:rsidRPr="00A03B67">
        <w:rPr>
          <w:i/>
          <w:iCs/>
        </w:rPr>
        <w:t xml:space="preserve">erm </w:t>
      </w:r>
      <w:r w:rsidR="007A1E11" w:rsidRPr="00A03B67">
        <w:rPr>
          <w:i/>
          <w:iCs/>
        </w:rPr>
        <w:t>C</w:t>
      </w:r>
      <w:r w:rsidRPr="00A03B67">
        <w:rPr>
          <w:i/>
          <w:iCs/>
        </w:rPr>
        <w:t xml:space="preserve">ontract </w:t>
      </w:r>
      <w:r w:rsidR="007A1E11" w:rsidRPr="00A03B67">
        <w:rPr>
          <w:i/>
          <w:iCs/>
        </w:rPr>
        <w:t>E</w:t>
      </w:r>
      <w:r w:rsidR="00614019" w:rsidRPr="00A03B67">
        <w:rPr>
          <w:i/>
          <w:iCs/>
        </w:rPr>
        <w:t>xceptions</w:t>
      </w:r>
      <w:r w:rsidRPr="00A03B67">
        <w:rPr>
          <w:i/>
          <w:iCs/>
        </w:rPr>
        <w:t xml:space="preserve"> </w:t>
      </w:r>
      <w:r w:rsidRPr="00A03B67">
        <w:t>(Web Page, n.d.) &lt;https://www.fairwork.gov.au/starting-employment/types-of-employees/fixed-term-contract-employees/additional-fixed-term-contract-exceptions#higher-education&gt;.</w:t>
      </w:r>
    </w:p>
  </w:footnote>
  <w:footnote w:id="931">
    <w:p w14:paraId="40012B53" w14:textId="10C47091" w:rsidR="009A1D5D" w:rsidRPr="00A03B67" w:rsidRDefault="009A1D5D" w:rsidP="009A1D5D">
      <w:pPr>
        <w:pStyle w:val="FootnoteText"/>
        <w:rPr>
          <w:rStyle w:val="Hyperlink"/>
        </w:rPr>
      </w:pPr>
      <w:r w:rsidRPr="00A03B67">
        <w:rPr>
          <w:rStyle w:val="FootnoteReference"/>
        </w:rPr>
        <w:footnoteRef/>
      </w:r>
      <w:r w:rsidRPr="00A03B67">
        <w:t xml:space="preserve"> </w:t>
      </w:r>
      <w:r w:rsidR="007A1E11" w:rsidRPr="00A03B67">
        <w:t xml:space="preserve">Fair Work Ombudsman, </w:t>
      </w:r>
      <w:r w:rsidRPr="00A03B67">
        <w:rPr>
          <w:i/>
          <w:iCs/>
        </w:rPr>
        <w:t xml:space="preserve">Expired and </w:t>
      </w:r>
      <w:r w:rsidR="007A1E11" w:rsidRPr="00A03B67">
        <w:rPr>
          <w:i/>
          <w:iCs/>
        </w:rPr>
        <w:t>R</w:t>
      </w:r>
      <w:r w:rsidRPr="00A03B67">
        <w:rPr>
          <w:i/>
          <w:iCs/>
        </w:rPr>
        <w:t xml:space="preserve">eplaced </w:t>
      </w:r>
      <w:r w:rsidR="007A1E11" w:rsidRPr="00A03B67">
        <w:rPr>
          <w:i/>
          <w:iCs/>
        </w:rPr>
        <w:t>A</w:t>
      </w:r>
      <w:r w:rsidRPr="00A03B67">
        <w:rPr>
          <w:i/>
          <w:iCs/>
        </w:rPr>
        <w:t xml:space="preserve">dditional </w:t>
      </w:r>
      <w:r w:rsidR="007A1E11" w:rsidRPr="00A03B67">
        <w:rPr>
          <w:i/>
          <w:iCs/>
        </w:rPr>
        <w:t>F</w:t>
      </w:r>
      <w:r w:rsidRPr="00A03B67">
        <w:rPr>
          <w:i/>
          <w:iCs/>
        </w:rPr>
        <w:t xml:space="preserve">ixed </w:t>
      </w:r>
      <w:r w:rsidR="007A1E11" w:rsidRPr="00A03B67">
        <w:rPr>
          <w:i/>
          <w:iCs/>
        </w:rPr>
        <w:t>T</w:t>
      </w:r>
      <w:r w:rsidRPr="00A03B67">
        <w:rPr>
          <w:i/>
          <w:iCs/>
        </w:rPr>
        <w:t xml:space="preserve">erm </w:t>
      </w:r>
      <w:r w:rsidR="007A1E11" w:rsidRPr="00A03B67">
        <w:rPr>
          <w:i/>
          <w:iCs/>
        </w:rPr>
        <w:t>C</w:t>
      </w:r>
      <w:r w:rsidRPr="00A03B67">
        <w:rPr>
          <w:i/>
          <w:iCs/>
        </w:rPr>
        <w:t xml:space="preserve">ontract </w:t>
      </w:r>
      <w:r w:rsidR="007A1E11" w:rsidRPr="00A03B67">
        <w:rPr>
          <w:i/>
          <w:iCs/>
        </w:rPr>
        <w:t>E</w:t>
      </w:r>
      <w:r w:rsidRPr="00A03B67">
        <w:rPr>
          <w:i/>
          <w:iCs/>
        </w:rPr>
        <w:t xml:space="preserve">xceptions </w:t>
      </w:r>
      <w:r w:rsidR="007A1E11" w:rsidRPr="00A03B67">
        <w:rPr>
          <w:rFonts w:ascii="Symbol" w:eastAsia="Symbol" w:hAnsi="Symbol" w:cs="Symbol"/>
          <w:i/>
          <w:iCs/>
        </w:rPr>
        <w:t>-</w:t>
      </w:r>
      <w:r w:rsidRPr="00A03B67">
        <w:rPr>
          <w:i/>
          <w:iCs/>
        </w:rPr>
        <w:t xml:space="preserve"> </w:t>
      </w:r>
      <w:r w:rsidR="007A1E11" w:rsidRPr="00A03B67">
        <w:rPr>
          <w:i/>
          <w:iCs/>
        </w:rPr>
        <w:t>L</w:t>
      </w:r>
      <w:r w:rsidRPr="00A03B67">
        <w:rPr>
          <w:i/>
          <w:iCs/>
        </w:rPr>
        <w:t xml:space="preserve">ive </w:t>
      </w:r>
      <w:r w:rsidR="007A1E11" w:rsidRPr="00A03B67">
        <w:rPr>
          <w:i/>
          <w:iCs/>
        </w:rPr>
        <w:t>P</w:t>
      </w:r>
      <w:r w:rsidRPr="00A03B67">
        <w:rPr>
          <w:i/>
          <w:iCs/>
        </w:rPr>
        <w:t xml:space="preserve">erformance and </w:t>
      </w:r>
      <w:r w:rsidR="007A1E11" w:rsidRPr="00A03B67">
        <w:rPr>
          <w:i/>
          <w:iCs/>
        </w:rPr>
        <w:t>F</w:t>
      </w:r>
      <w:r w:rsidRPr="00A03B67">
        <w:rPr>
          <w:i/>
          <w:iCs/>
        </w:rPr>
        <w:t xml:space="preserve">unding </w:t>
      </w:r>
      <w:r w:rsidR="007A1E11" w:rsidRPr="00A03B67">
        <w:rPr>
          <w:i/>
          <w:iCs/>
        </w:rPr>
        <w:t>R</w:t>
      </w:r>
      <w:r w:rsidR="00E01E03" w:rsidRPr="00A03B67">
        <w:rPr>
          <w:i/>
          <w:iCs/>
        </w:rPr>
        <w:t>eliant</w:t>
      </w:r>
      <w:r w:rsidRPr="00A03B67">
        <w:rPr>
          <w:i/>
          <w:iCs/>
        </w:rPr>
        <w:t xml:space="preserve"> </w:t>
      </w:r>
      <w:r w:rsidR="007A1E11" w:rsidRPr="00A03B67">
        <w:rPr>
          <w:i/>
          <w:iCs/>
        </w:rPr>
        <w:t>P</w:t>
      </w:r>
      <w:r w:rsidRPr="00A03B67">
        <w:rPr>
          <w:i/>
          <w:iCs/>
        </w:rPr>
        <w:t xml:space="preserve">ositions </w:t>
      </w:r>
      <w:r w:rsidRPr="00A03B67">
        <w:t>(Web Page, n.d.) &lt;</w:t>
      </w:r>
      <w:hyperlink r:id="rId12" w:history="1">
        <w:r w:rsidR="003E4275" w:rsidRPr="00A03B67">
          <w:t>https://library.fairwork.gov.au/viewer/?krn=K700424</w:t>
        </w:r>
      </w:hyperlink>
      <w:r w:rsidRPr="00A03B67">
        <w:t>&gt;.</w:t>
      </w:r>
    </w:p>
  </w:footnote>
  <w:footnote w:id="932">
    <w:p w14:paraId="0079F707" w14:textId="0C1A486E" w:rsidR="00A10F3F" w:rsidRPr="00A03B67" w:rsidRDefault="00A10F3F" w:rsidP="00A10F3F">
      <w:pPr>
        <w:pStyle w:val="FootnoteText"/>
      </w:pPr>
      <w:r w:rsidRPr="00A03B67">
        <w:rPr>
          <w:rStyle w:val="FootnoteReference"/>
        </w:rPr>
        <w:footnoteRef/>
      </w:r>
      <w:r w:rsidRPr="00A03B67">
        <w:t xml:space="preserve"> </w:t>
      </w:r>
      <w:r w:rsidRPr="00A03B67">
        <w:rPr>
          <w:i/>
          <w:iCs/>
        </w:rPr>
        <w:t>Fair Work Amendment (Closing Loopholes No. 2) Act 2024</w:t>
      </w:r>
      <w:r w:rsidR="00574B0F" w:rsidRPr="00A03B67">
        <w:t>.</w:t>
      </w:r>
    </w:p>
  </w:footnote>
  <w:footnote w:id="933">
    <w:p w14:paraId="07E7DF2E" w14:textId="3F49E755" w:rsidR="009A1D5D" w:rsidRPr="00A03B67" w:rsidRDefault="009A1D5D" w:rsidP="009A1D5D">
      <w:pPr>
        <w:pStyle w:val="FootnoteText"/>
        <w:rPr>
          <w:lang w:val="en-US"/>
        </w:rPr>
      </w:pPr>
      <w:r w:rsidRPr="00A03B67">
        <w:rPr>
          <w:rStyle w:val="FootnoteReference"/>
        </w:rPr>
        <w:footnoteRef/>
      </w:r>
      <w:r w:rsidR="00A82078" w:rsidRPr="00A03B67">
        <w:t xml:space="preserve"> Revised Explanatory Memorandum, Fair Work Legislation Amendment (Secure Jobs, Better Pay) Bill</w:t>
      </w:r>
      <w:r w:rsidR="00A82078" w:rsidRPr="00A03B67">
        <w:rPr>
          <w:i/>
          <w:iCs/>
        </w:rPr>
        <w:t xml:space="preserve"> </w:t>
      </w:r>
      <w:r w:rsidR="00A82078" w:rsidRPr="00A03B67">
        <w:t>2022, [83].</w:t>
      </w:r>
      <w:r w:rsidRPr="00A03B67">
        <w:t xml:space="preserve"> </w:t>
      </w:r>
    </w:p>
  </w:footnote>
  <w:footnote w:id="934">
    <w:p w14:paraId="4D5FECC8" w14:textId="0171FE26" w:rsidR="00543A6C" w:rsidRPr="00A03B67" w:rsidRDefault="00543A6C">
      <w:pPr>
        <w:pStyle w:val="FootnoteText"/>
      </w:pPr>
      <w:r w:rsidRPr="00A03B67">
        <w:rPr>
          <w:rStyle w:val="FootnoteReference"/>
        </w:rPr>
        <w:footnoteRef/>
      </w:r>
      <w:r w:rsidR="007A1E11" w:rsidRPr="00A03B67">
        <w:t xml:space="preserve"> Commonwealth, </w:t>
      </w:r>
      <w:r w:rsidR="007A1E11" w:rsidRPr="00A03B67">
        <w:rPr>
          <w:i/>
          <w:iCs/>
        </w:rPr>
        <w:t>Parliamentary Debates</w:t>
      </w:r>
      <w:r w:rsidR="007A1E11" w:rsidRPr="00A03B67">
        <w:t>, House of Representatives, 27 October 2022, 2179.</w:t>
      </w:r>
    </w:p>
  </w:footnote>
  <w:footnote w:id="935">
    <w:p w14:paraId="13FCA83D" w14:textId="51F13D21" w:rsidR="00CC717B" w:rsidRPr="00A03B67" w:rsidRDefault="00CC717B">
      <w:pPr>
        <w:pStyle w:val="FootnoteText"/>
      </w:pPr>
      <w:r w:rsidRPr="00A03B67">
        <w:rPr>
          <w:rStyle w:val="FootnoteReference"/>
        </w:rPr>
        <w:footnoteRef/>
      </w:r>
      <w:r w:rsidR="007A1E11" w:rsidRPr="00A03B67">
        <w:t xml:space="preserve"> Commonwealth, </w:t>
      </w:r>
      <w:r w:rsidR="007A1E11" w:rsidRPr="00A03B67">
        <w:rPr>
          <w:i/>
          <w:iCs/>
        </w:rPr>
        <w:t>Parliamentary Debates</w:t>
      </w:r>
      <w:r w:rsidR="007A1E11" w:rsidRPr="00A03B67">
        <w:t>, House of Representatives, 27 October 2022, 2179.</w:t>
      </w:r>
    </w:p>
  </w:footnote>
  <w:footnote w:id="936">
    <w:p w14:paraId="65699AE3" w14:textId="0825B87C" w:rsidR="009A1D5D" w:rsidRPr="00A03B67" w:rsidRDefault="009A1D5D" w:rsidP="009A1D5D">
      <w:pPr>
        <w:pStyle w:val="FootnoteText"/>
      </w:pPr>
      <w:r w:rsidRPr="00A03B67">
        <w:rPr>
          <w:rStyle w:val="FootnoteReference"/>
        </w:rPr>
        <w:footnoteRef/>
      </w:r>
      <w:r w:rsidRPr="00A03B67">
        <w:t xml:space="preserve"> </w:t>
      </w:r>
      <w:r w:rsidR="00077530" w:rsidRPr="00A03B67">
        <w:t>Revised Explanatory Memorandum, Fair Work Legislation Amendment (Secure Jobs, Better Pay) Bill</w:t>
      </w:r>
      <w:r w:rsidR="00077530" w:rsidRPr="00A03B67">
        <w:rPr>
          <w:i/>
          <w:iCs/>
        </w:rPr>
        <w:t xml:space="preserve"> </w:t>
      </w:r>
      <w:r w:rsidR="00077530" w:rsidRPr="00A03B67">
        <w:t>2022, [568].</w:t>
      </w:r>
    </w:p>
  </w:footnote>
  <w:footnote w:id="937">
    <w:p w14:paraId="1F67D2A1" w14:textId="7FF9FDA3" w:rsidR="009A1D5D" w:rsidRPr="00A03B67" w:rsidRDefault="009A1D5D" w:rsidP="009A1D5D">
      <w:pPr>
        <w:pStyle w:val="FootnoteText"/>
      </w:pPr>
      <w:r w:rsidRPr="00A03B67">
        <w:rPr>
          <w:rStyle w:val="FootnoteReference"/>
        </w:rPr>
        <w:footnoteRef/>
      </w:r>
      <w:r w:rsidRPr="00A03B67">
        <w:t xml:space="preserve"> </w:t>
      </w:r>
      <w:r w:rsidR="00077530" w:rsidRPr="00A03B67">
        <w:t>Revised Explanatory Memorandum, Fair Work Legislation Amendment (Secure Jobs, Better Pay) Bill</w:t>
      </w:r>
      <w:r w:rsidR="00077530" w:rsidRPr="00A03B67">
        <w:rPr>
          <w:i/>
          <w:iCs/>
        </w:rPr>
        <w:t xml:space="preserve"> </w:t>
      </w:r>
      <w:r w:rsidR="00077530" w:rsidRPr="00A03B67">
        <w:t>2022, [568].</w:t>
      </w:r>
    </w:p>
  </w:footnote>
  <w:footnote w:id="938">
    <w:p w14:paraId="6D082DFF" w14:textId="53C6307C" w:rsidR="009A1D5D" w:rsidRPr="00A03B67" w:rsidRDefault="009A1D5D" w:rsidP="009A1D5D">
      <w:pPr>
        <w:pStyle w:val="FootnoteText"/>
        <w:rPr>
          <w:lang w:val="en-US"/>
        </w:rPr>
      </w:pPr>
      <w:r w:rsidRPr="00A03B67">
        <w:rPr>
          <w:rStyle w:val="FootnoteReference"/>
        </w:rPr>
        <w:footnoteRef/>
      </w:r>
      <w:r w:rsidRPr="00A03B67">
        <w:t xml:space="preserve"> </w:t>
      </w:r>
      <w:r w:rsidRPr="00A03B67">
        <w:rPr>
          <w:lang w:val="en-US"/>
        </w:rPr>
        <w:t xml:space="preserve">See </w:t>
      </w:r>
      <w:r w:rsidR="007A1E11" w:rsidRPr="00A03B67">
        <w:rPr>
          <w:lang w:val="en-US"/>
        </w:rPr>
        <w:t xml:space="preserve">Statistical Appendix 1, </w:t>
      </w:r>
      <w:r w:rsidR="00162DC8" w:rsidRPr="00A03B67">
        <w:rPr>
          <w:lang w:val="en-US"/>
        </w:rPr>
        <w:t xml:space="preserve">section 2.4, </w:t>
      </w:r>
      <w:r w:rsidRPr="00A03B67">
        <w:rPr>
          <w:lang w:val="en-US"/>
        </w:rPr>
        <w:t xml:space="preserve">Tables </w:t>
      </w:r>
      <w:r w:rsidR="00162DC8" w:rsidRPr="00A03B67">
        <w:rPr>
          <w:lang w:val="en-US"/>
        </w:rPr>
        <w:t xml:space="preserve">28 to </w:t>
      </w:r>
      <w:r w:rsidR="00A03B67" w:rsidRPr="00A03B67">
        <w:rPr>
          <w:lang w:val="en-US"/>
        </w:rPr>
        <w:t>32</w:t>
      </w:r>
      <w:r w:rsidRPr="00A03B67">
        <w:rPr>
          <w:lang w:val="en-US"/>
        </w:rPr>
        <w:t xml:space="preserve">. </w:t>
      </w:r>
    </w:p>
  </w:footnote>
  <w:footnote w:id="939">
    <w:p w14:paraId="6DD982B9" w14:textId="0AFEB95A" w:rsidR="009A1D5D" w:rsidRPr="00A03B67" w:rsidRDefault="009A1D5D" w:rsidP="009A1D5D">
      <w:pPr>
        <w:pStyle w:val="FootnoteText"/>
        <w:rPr>
          <w:lang w:val="en-US"/>
        </w:rPr>
      </w:pPr>
      <w:r w:rsidRPr="00A03B67">
        <w:rPr>
          <w:rStyle w:val="FootnoteReference"/>
        </w:rPr>
        <w:footnoteRef/>
      </w:r>
      <w:r w:rsidRPr="00A03B67">
        <w:t xml:space="preserve"> </w:t>
      </w:r>
      <w:r w:rsidRPr="00A03B67">
        <w:rPr>
          <w:lang w:val="en-US"/>
        </w:rPr>
        <w:t xml:space="preserve">See </w:t>
      </w:r>
      <w:r w:rsidR="007A1E11" w:rsidRPr="00A03B67">
        <w:rPr>
          <w:lang w:val="en-US"/>
        </w:rPr>
        <w:t xml:space="preserve">Statistical Appendix 1, </w:t>
      </w:r>
      <w:r w:rsidR="00A03B67" w:rsidRPr="00A03B67">
        <w:rPr>
          <w:lang w:val="en-US"/>
        </w:rPr>
        <w:t>section 2.4, Table 32</w:t>
      </w:r>
      <w:r w:rsidRPr="00A03B67">
        <w:rPr>
          <w:lang w:val="en-US"/>
        </w:rPr>
        <w:t>.</w:t>
      </w:r>
    </w:p>
  </w:footnote>
  <w:footnote w:id="940">
    <w:p w14:paraId="4C78F369" w14:textId="1F7E532D" w:rsidR="009A1D5D" w:rsidRPr="00A03B67" w:rsidRDefault="009A1D5D" w:rsidP="009A1D5D">
      <w:pPr>
        <w:pStyle w:val="FootnoteText"/>
        <w:rPr>
          <w:lang w:val="en-US"/>
        </w:rPr>
      </w:pPr>
      <w:r w:rsidRPr="00A03B67">
        <w:rPr>
          <w:rStyle w:val="FootnoteReference"/>
        </w:rPr>
        <w:footnoteRef/>
      </w:r>
      <w:r w:rsidRPr="00A03B67">
        <w:t xml:space="preserve"> </w:t>
      </w:r>
      <w:r w:rsidR="00A03B67" w:rsidRPr="00A03B67">
        <w:rPr>
          <w:lang w:val="en-US"/>
        </w:rPr>
        <w:t>See Statistical Appendix 1, section 2.6.3, Table 36.</w:t>
      </w:r>
      <w:r w:rsidRPr="00A03B67">
        <w:rPr>
          <w:lang w:val="en-US"/>
        </w:rPr>
        <w:t xml:space="preserve"> </w:t>
      </w:r>
    </w:p>
  </w:footnote>
  <w:footnote w:id="941">
    <w:p w14:paraId="571ED4E4" w14:textId="533F7A3F" w:rsidR="009A1D5D" w:rsidRPr="00A03B67" w:rsidRDefault="009A1D5D" w:rsidP="009A1D5D">
      <w:pPr>
        <w:pStyle w:val="FootnoteText"/>
        <w:rPr>
          <w:lang w:val="en-US"/>
        </w:rPr>
      </w:pPr>
      <w:r w:rsidRPr="00A03B67">
        <w:rPr>
          <w:rStyle w:val="FootnoteReference"/>
        </w:rPr>
        <w:footnoteRef/>
      </w:r>
      <w:r w:rsidRPr="00A03B67">
        <w:t xml:space="preserve"> </w:t>
      </w:r>
      <w:r w:rsidR="00A03B67" w:rsidRPr="00A03B67">
        <w:rPr>
          <w:lang w:val="en-US"/>
        </w:rPr>
        <w:t>See Statistical Appendix 1, section 3.5.2, Table 52.</w:t>
      </w:r>
    </w:p>
  </w:footnote>
  <w:footnote w:id="942">
    <w:p w14:paraId="01ABB474" w14:textId="74C26BCA" w:rsidR="00E31117" w:rsidRPr="00A03B67" w:rsidRDefault="00E31117" w:rsidP="00E31117">
      <w:pPr>
        <w:pStyle w:val="FootnoteText"/>
      </w:pPr>
      <w:r w:rsidRPr="00A03B67">
        <w:rPr>
          <w:rStyle w:val="FootnoteReference"/>
        </w:rPr>
        <w:footnoteRef/>
      </w:r>
      <w:r w:rsidRPr="00A03B67">
        <w:t xml:space="preserve"> </w:t>
      </w:r>
      <w:r w:rsidR="007C6753" w:rsidRPr="00A03B67">
        <w:t>Live Performance Award 2020</w:t>
      </w:r>
      <w:r w:rsidR="007A1E11" w:rsidRPr="00A03B67">
        <w:t>,</w:t>
      </w:r>
      <w:r w:rsidR="007C6753" w:rsidRPr="00A03B67">
        <w:t xml:space="preserve"> cl 28A.</w:t>
      </w:r>
    </w:p>
  </w:footnote>
  <w:footnote w:id="943">
    <w:p w14:paraId="4E10C179" w14:textId="0C1D57EC" w:rsidR="003C0348" w:rsidRPr="00A03B67" w:rsidRDefault="003C0348" w:rsidP="003C0348">
      <w:pPr>
        <w:pStyle w:val="FootnoteText"/>
      </w:pPr>
      <w:r w:rsidRPr="00A03B67">
        <w:rPr>
          <w:rStyle w:val="FootnoteReference"/>
        </w:rPr>
        <w:footnoteRef/>
      </w:r>
      <w:r w:rsidR="007A1E11" w:rsidRPr="00A03B67">
        <w:t xml:space="preserve"> Fair Work Ombudsman, </w:t>
      </w:r>
      <w:r w:rsidR="007A1E11" w:rsidRPr="00A03B67">
        <w:rPr>
          <w:i/>
          <w:iCs/>
        </w:rPr>
        <w:t xml:space="preserve">Expired and Replaced Additional Fixed Term Contract Exceptions </w:t>
      </w:r>
      <w:r w:rsidR="007A1E11" w:rsidRPr="00A03B67">
        <w:rPr>
          <w:rFonts w:ascii="Symbol" w:eastAsia="Symbol" w:hAnsi="Symbol" w:cs="Symbol"/>
          <w:i/>
          <w:iCs/>
        </w:rPr>
        <w:t>-</w:t>
      </w:r>
      <w:r w:rsidR="007A1E11" w:rsidRPr="00A03B67">
        <w:rPr>
          <w:i/>
          <w:iCs/>
        </w:rPr>
        <w:t xml:space="preserve"> Live Performance and Funding Reliant Positions</w:t>
      </w:r>
      <w:r w:rsidR="007A1E11" w:rsidRPr="00A03B67">
        <w:t xml:space="preserve"> (Web Page, n.d.) &lt;https://library.fairwork.gov.au/viewer/?krn=K700424&gt;.</w:t>
      </w:r>
      <w:r w:rsidR="007A1E11" w:rsidRPr="00A03B67" w:rsidDel="007A1E11">
        <w:t xml:space="preserve"> </w:t>
      </w:r>
    </w:p>
  </w:footnote>
  <w:footnote w:id="944">
    <w:p w14:paraId="0FD2CCFB" w14:textId="15B0D3C3" w:rsidR="004E30C9" w:rsidRPr="00A03B67" w:rsidRDefault="004E30C9">
      <w:pPr>
        <w:pStyle w:val="FootnoteText"/>
      </w:pPr>
      <w:r w:rsidRPr="00A03B67">
        <w:rPr>
          <w:rStyle w:val="FootnoteReference"/>
        </w:rPr>
        <w:footnoteRef/>
      </w:r>
      <w:r w:rsidR="00BB46A2" w:rsidRPr="00A03B67">
        <w:t xml:space="preserve"> Justice Hatcher, Fair Work Commission, </w:t>
      </w:r>
      <w:r w:rsidR="00BB46A2" w:rsidRPr="00A03B67">
        <w:rPr>
          <w:i/>
          <w:iCs/>
        </w:rPr>
        <w:t>Modern Awards Review 2023</w:t>
      </w:r>
      <w:r w:rsidR="00BB46A2" w:rsidRPr="00A03B67">
        <w:rPr>
          <w:rFonts w:ascii="Symbol" w:eastAsia="Symbol" w:hAnsi="Symbol" w:cs="Symbol"/>
          <w:i/>
          <w:iCs/>
        </w:rPr>
        <w:t>-</w:t>
      </w:r>
      <w:r w:rsidR="00BB46A2" w:rsidRPr="00A03B67">
        <w:rPr>
          <w:i/>
          <w:iCs/>
        </w:rPr>
        <w:t>24</w:t>
      </w:r>
      <w:r w:rsidR="00BB46A2" w:rsidRPr="00A03B67">
        <w:t xml:space="preserve"> (Report, 2024)</w:t>
      </w:r>
      <w:r w:rsidRPr="00A03B67">
        <w:t xml:space="preserve"> </w:t>
      </w:r>
      <w:r w:rsidR="009D0A15" w:rsidRPr="00A03B67">
        <w:t>[69]</w:t>
      </w:r>
      <w:r w:rsidR="009E0848" w:rsidRPr="00A03B67">
        <w:t>, [167]</w:t>
      </w:r>
      <w:r w:rsidR="00C056C8" w:rsidRPr="00A03B67">
        <w:t>.</w:t>
      </w:r>
    </w:p>
  </w:footnote>
  <w:footnote w:id="945">
    <w:p w14:paraId="5A80CC9D" w14:textId="15E90675" w:rsidR="00D00DFE" w:rsidRPr="00A03B67" w:rsidRDefault="00D00DFE" w:rsidP="00D00DFE">
      <w:pPr>
        <w:pStyle w:val="FootnoteText"/>
      </w:pPr>
      <w:r w:rsidRPr="00A03B67">
        <w:rPr>
          <w:rStyle w:val="FootnoteReference"/>
        </w:rPr>
        <w:footnoteRef/>
      </w:r>
      <w:r w:rsidRPr="00A03B67">
        <w:t xml:space="preserve"> </w:t>
      </w:r>
      <w:r w:rsidR="00BB46A2" w:rsidRPr="00A03B67">
        <w:t xml:space="preserve">Justice Hatcher, Fair Work Commission, </w:t>
      </w:r>
      <w:r w:rsidR="00BB46A2" w:rsidRPr="00A03B67">
        <w:rPr>
          <w:i/>
          <w:iCs/>
        </w:rPr>
        <w:t>Modern Awards Review 2023</w:t>
      </w:r>
      <w:r w:rsidR="00BB46A2" w:rsidRPr="00A03B67">
        <w:rPr>
          <w:rFonts w:ascii="Symbol" w:eastAsia="Symbol" w:hAnsi="Symbol" w:cs="Symbol"/>
          <w:i/>
          <w:iCs/>
        </w:rPr>
        <w:t>-</w:t>
      </w:r>
      <w:r w:rsidR="00BB46A2" w:rsidRPr="00A03B67">
        <w:rPr>
          <w:i/>
          <w:iCs/>
        </w:rPr>
        <w:t>24</w:t>
      </w:r>
      <w:r w:rsidR="00BB46A2" w:rsidRPr="00A03B67">
        <w:t xml:space="preserve"> (Report, 2024) [69] &lt;https://www.fwc.gov.au/documents/sites/award-review-2023-24/am202321-review-report-180724.pdf&gt;.</w:t>
      </w:r>
    </w:p>
  </w:footnote>
  <w:footnote w:id="946">
    <w:p w14:paraId="05F1DF50" w14:textId="2900379C" w:rsidR="00D448D9" w:rsidRPr="00A03B67" w:rsidRDefault="00D448D9" w:rsidP="00D448D9">
      <w:pPr>
        <w:pStyle w:val="FootnoteText"/>
      </w:pPr>
      <w:r w:rsidRPr="00A03B67">
        <w:rPr>
          <w:rStyle w:val="FootnoteReference"/>
        </w:rPr>
        <w:footnoteRef/>
      </w:r>
      <w:r w:rsidRPr="00A03B67">
        <w:t xml:space="preserve"> Statement - [2024] FWCFB 389 [7]</w:t>
      </w:r>
    </w:p>
  </w:footnote>
  <w:footnote w:id="947">
    <w:p w14:paraId="6DC6435C" w14:textId="35844FA0" w:rsidR="0082141D" w:rsidRPr="00A03B67" w:rsidRDefault="0082141D" w:rsidP="0082141D">
      <w:pPr>
        <w:pStyle w:val="FootnoteText"/>
      </w:pPr>
      <w:r w:rsidRPr="00A03B67">
        <w:rPr>
          <w:rStyle w:val="FootnoteReference"/>
        </w:rPr>
        <w:footnoteRef/>
      </w:r>
      <w:r w:rsidRPr="00A03B67">
        <w:t xml:space="preserve"> </w:t>
      </w:r>
      <w:r w:rsidRPr="00A03B67">
        <w:rPr>
          <w:rFonts w:ascii="Aptos" w:eastAsia="Aptos" w:hAnsi="Aptos" w:cs="Aptos"/>
        </w:rPr>
        <w:t>Statement - [2024] FWCFB 389 [13]</w:t>
      </w:r>
    </w:p>
  </w:footnote>
  <w:footnote w:id="948">
    <w:p w14:paraId="0DEA11E6" w14:textId="287579A4" w:rsidR="00435F5A" w:rsidRPr="00A03B67" w:rsidRDefault="00435F5A">
      <w:pPr>
        <w:pStyle w:val="FootnoteText"/>
      </w:pPr>
      <w:r w:rsidRPr="00A03B67">
        <w:rPr>
          <w:rStyle w:val="FootnoteReference"/>
        </w:rPr>
        <w:footnoteRef/>
      </w:r>
      <w:r w:rsidRPr="00A03B67">
        <w:t xml:space="preserve"> </w:t>
      </w:r>
      <w:r w:rsidR="00E05104" w:rsidRPr="00A03B67">
        <w:rPr>
          <w:i/>
          <w:iCs/>
        </w:rPr>
        <w:t>F</w:t>
      </w:r>
      <w:r w:rsidR="007A1E11" w:rsidRPr="00A03B67">
        <w:rPr>
          <w:i/>
          <w:iCs/>
        </w:rPr>
        <w:t xml:space="preserve">air </w:t>
      </w:r>
      <w:r w:rsidR="00E05104" w:rsidRPr="00A03B67">
        <w:rPr>
          <w:i/>
          <w:iCs/>
        </w:rPr>
        <w:t>W</w:t>
      </w:r>
      <w:r w:rsidR="007A1E11" w:rsidRPr="00A03B67">
        <w:rPr>
          <w:i/>
          <w:iCs/>
        </w:rPr>
        <w:t>ork</w:t>
      </w:r>
      <w:r w:rsidR="00E05104" w:rsidRPr="00A03B67">
        <w:rPr>
          <w:i/>
          <w:iCs/>
        </w:rPr>
        <w:t xml:space="preserve"> Act </w:t>
      </w:r>
      <w:r w:rsidR="007A1E11" w:rsidRPr="00A03B67">
        <w:rPr>
          <w:i/>
          <w:iCs/>
        </w:rPr>
        <w:t xml:space="preserve">2009 </w:t>
      </w:r>
      <w:r w:rsidR="007A1E11" w:rsidRPr="00A03B67">
        <w:t xml:space="preserve">(Cth) </w:t>
      </w:r>
      <w:r w:rsidR="00E05104" w:rsidRPr="00A03B67">
        <w:t>s</w:t>
      </w:r>
      <w:r w:rsidRPr="00A03B67">
        <w:t xml:space="preserve"> 123(2)</w:t>
      </w:r>
      <w:r w:rsidR="00E05104" w:rsidRPr="00A03B67">
        <w:t>.</w:t>
      </w:r>
    </w:p>
  </w:footnote>
  <w:footnote w:id="949">
    <w:p w14:paraId="253BE1B2" w14:textId="326F7DCD" w:rsidR="00BE6AA2" w:rsidRPr="00A03B67" w:rsidRDefault="00BE6AA2" w:rsidP="00BE6AA2">
      <w:pPr>
        <w:pStyle w:val="FootnoteText"/>
      </w:pPr>
      <w:r w:rsidRPr="00A03B67">
        <w:rPr>
          <w:rStyle w:val="FootnoteReference"/>
        </w:rPr>
        <w:footnoteRef/>
      </w:r>
      <w:r w:rsidRPr="00A03B67">
        <w:t xml:space="preserve"> IEU submission, 2.</w:t>
      </w:r>
    </w:p>
  </w:footnote>
  <w:footnote w:id="950">
    <w:p w14:paraId="35EE96A0" w14:textId="0CD0D6F9" w:rsidR="009A1D5D" w:rsidRPr="00A03B67" w:rsidRDefault="009A1D5D" w:rsidP="009A1D5D">
      <w:pPr>
        <w:pStyle w:val="FootnoteText"/>
      </w:pPr>
      <w:r w:rsidRPr="00A03B67">
        <w:rPr>
          <w:rStyle w:val="FootnoteReference"/>
        </w:rPr>
        <w:footnoteRef/>
      </w:r>
      <w:r w:rsidRPr="00A03B67">
        <w:t xml:space="preserve"> Fair Work Commission, </w:t>
      </w:r>
      <w:r w:rsidRPr="00A03B67">
        <w:rPr>
          <w:i/>
          <w:iCs/>
        </w:rPr>
        <w:t>Modern Awards Review 2023</w:t>
      </w:r>
      <w:r w:rsidR="00BB46A2" w:rsidRPr="00A03B67">
        <w:rPr>
          <w:rFonts w:ascii="Symbol" w:eastAsia="Symbol" w:hAnsi="Symbol" w:cs="Symbol"/>
          <w:i/>
          <w:iCs/>
        </w:rPr>
        <w:t>-</w:t>
      </w:r>
      <w:r w:rsidRPr="00A03B67">
        <w:rPr>
          <w:i/>
          <w:iCs/>
        </w:rPr>
        <w:t>24</w:t>
      </w:r>
      <w:r w:rsidRPr="00A03B67">
        <w:t xml:space="preserve"> (5 February 2024)</w:t>
      </w:r>
      <w:r w:rsidR="00BB46A2" w:rsidRPr="00A03B67">
        <w:t xml:space="preserve"> National Tertiary Education Industry Union submission</w:t>
      </w:r>
      <w:r w:rsidR="007D425D" w:rsidRPr="00A03B67">
        <w:t>, 29</w:t>
      </w:r>
      <w:r w:rsidRPr="00A03B67">
        <w:t xml:space="preserve">. </w:t>
      </w:r>
    </w:p>
  </w:footnote>
  <w:footnote w:id="951">
    <w:p w14:paraId="1D154095" w14:textId="490B1729" w:rsidR="009A1D5D" w:rsidRPr="00A03B67" w:rsidRDefault="009A1D5D" w:rsidP="009A1D5D">
      <w:pPr>
        <w:pStyle w:val="FootnoteText"/>
      </w:pPr>
      <w:r w:rsidRPr="00A03B67">
        <w:rPr>
          <w:rStyle w:val="FootnoteReference"/>
        </w:rPr>
        <w:footnoteRef/>
      </w:r>
      <w:r w:rsidRPr="00A03B67">
        <w:t xml:space="preserve"> </w:t>
      </w:r>
      <w:r w:rsidRPr="00A03B67">
        <w:rPr>
          <w:i/>
          <w:iCs/>
        </w:rPr>
        <w:t>F</w:t>
      </w:r>
      <w:r w:rsidR="00BB46A2" w:rsidRPr="00A03B67">
        <w:rPr>
          <w:i/>
          <w:iCs/>
        </w:rPr>
        <w:t xml:space="preserve">air </w:t>
      </w:r>
      <w:r w:rsidRPr="00A03B67">
        <w:rPr>
          <w:i/>
          <w:iCs/>
        </w:rPr>
        <w:t>W</w:t>
      </w:r>
      <w:r w:rsidR="00BB46A2" w:rsidRPr="00A03B67">
        <w:rPr>
          <w:i/>
          <w:iCs/>
        </w:rPr>
        <w:t>ork</w:t>
      </w:r>
      <w:r w:rsidRPr="00A03B67">
        <w:rPr>
          <w:i/>
          <w:iCs/>
        </w:rPr>
        <w:t xml:space="preserve"> Act </w:t>
      </w:r>
      <w:r w:rsidR="00BB46A2" w:rsidRPr="00A03B67">
        <w:rPr>
          <w:i/>
          <w:iCs/>
        </w:rPr>
        <w:t xml:space="preserve">2009 </w:t>
      </w:r>
      <w:r w:rsidR="00BB46A2" w:rsidRPr="00A03B67">
        <w:t xml:space="preserve">(Cth) </w:t>
      </w:r>
      <w:r w:rsidRPr="00A03B67">
        <w:t xml:space="preserve">s 134(1)(aa). </w:t>
      </w:r>
    </w:p>
  </w:footnote>
  <w:footnote w:id="952">
    <w:p w14:paraId="535B6068" w14:textId="54A705FD" w:rsidR="009A1D5D" w:rsidRPr="00A03B67" w:rsidRDefault="009A1D5D" w:rsidP="009A1D5D">
      <w:pPr>
        <w:pStyle w:val="FootnoteText"/>
      </w:pPr>
      <w:r w:rsidRPr="00A03B67">
        <w:rPr>
          <w:rStyle w:val="FootnoteReference"/>
        </w:rPr>
        <w:footnoteRef/>
      </w:r>
      <w:r w:rsidRPr="00A03B67">
        <w:t xml:space="preserve"> Fair Work Commission, </w:t>
      </w:r>
      <w:r w:rsidRPr="00A03B67">
        <w:rPr>
          <w:i/>
          <w:iCs/>
        </w:rPr>
        <w:t>Modern Awards Review 2023</w:t>
      </w:r>
      <w:r w:rsidR="00BB46A2" w:rsidRPr="00A03B67">
        <w:rPr>
          <w:rFonts w:ascii="Symbol" w:eastAsia="Symbol" w:hAnsi="Symbol" w:cs="Symbol"/>
          <w:i/>
          <w:iCs/>
        </w:rPr>
        <w:t>-</w:t>
      </w:r>
      <w:r w:rsidRPr="00A03B67">
        <w:rPr>
          <w:i/>
          <w:iCs/>
        </w:rPr>
        <w:t xml:space="preserve">24 </w:t>
      </w:r>
      <w:r w:rsidRPr="00A03B67">
        <w:t xml:space="preserve">(5 February 2024) </w:t>
      </w:r>
      <w:r w:rsidR="00BB46A2" w:rsidRPr="00A03B67">
        <w:t>Australian Higher Education Industrial Association (AHEIA) submission</w:t>
      </w:r>
      <w:r w:rsidR="006E6179" w:rsidRPr="00A03B67">
        <w:t>, 16</w:t>
      </w:r>
      <w:r w:rsidR="00BB46A2" w:rsidRPr="00A03B67">
        <w:t>.</w:t>
      </w:r>
    </w:p>
  </w:footnote>
  <w:footnote w:id="953">
    <w:p w14:paraId="738E4C2C" w14:textId="2B760F6E" w:rsidR="009A1D5D" w:rsidRPr="00A03B67" w:rsidRDefault="009A1D5D" w:rsidP="009A1D5D">
      <w:pPr>
        <w:pStyle w:val="FootnoteText"/>
        <w:rPr>
          <w:rStyle w:val="Hyperlink"/>
          <w:strike/>
        </w:rPr>
      </w:pPr>
      <w:r w:rsidRPr="00A03B67">
        <w:rPr>
          <w:rStyle w:val="FootnoteReference"/>
        </w:rPr>
        <w:footnoteRef/>
      </w:r>
      <w:r w:rsidRPr="00A03B67">
        <w:t xml:space="preserve"> Fair Work Commission, </w:t>
      </w:r>
      <w:r w:rsidRPr="00A03B67">
        <w:rPr>
          <w:i/>
          <w:iCs/>
        </w:rPr>
        <w:t>Modern Awards Review 2023</w:t>
      </w:r>
      <w:r w:rsidR="00BB46A2" w:rsidRPr="00A03B67">
        <w:rPr>
          <w:rFonts w:ascii="Symbol" w:eastAsia="Symbol" w:hAnsi="Symbol" w:cs="Symbol"/>
          <w:i/>
          <w:iCs/>
        </w:rPr>
        <w:t>-</w:t>
      </w:r>
      <w:r w:rsidRPr="00A03B67">
        <w:rPr>
          <w:i/>
          <w:iCs/>
        </w:rPr>
        <w:t xml:space="preserve">24 </w:t>
      </w:r>
      <w:r w:rsidRPr="00A03B67">
        <w:t>(2 October 2024)</w:t>
      </w:r>
      <w:r w:rsidR="00BB46A2" w:rsidRPr="00A03B67">
        <w:t xml:space="preserve"> Australian Higher Education Industrial Association reply submission</w:t>
      </w:r>
      <w:r w:rsidR="006E6179" w:rsidRPr="00A03B67">
        <w:t>, 4</w:t>
      </w:r>
      <w:r w:rsidRPr="00A03B67">
        <w:t xml:space="preserve">. </w:t>
      </w:r>
    </w:p>
  </w:footnote>
  <w:footnote w:id="954">
    <w:p w14:paraId="427F9861" w14:textId="64223CAB" w:rsidR="009A1D5D" w:rsidRPr="00A03B67" w:rsidRDefault="009A1D5D" w:rsidP="009A1D5D">
      <w:pPr>
        <w:pStyle w:val="FootnoteText"/>
        <w:rPr>
          <w:lang w:val="en-US"/>
        </w:rPr>
      </w:pPr>
      <w:r w:rsidRPr="00A03B67">
        <w:rPr>
          <w:rStyle w:val="FootnoteReference"/>
        </w:rPr>
        <w:footnoteRef/>
      </w:r>
      <w:r w:rsidR="00BB46A2" w:rsidRPr="00A03B67">
        <w:t xml:space="preserve"> Fair Work Commission, </w:t>
      </w:r>
      <w:r w:rsidR="00BB46A2" w:rsidRPr="00A03B67">
        <w:rPr>
          <w:i/>
          <w:iCs/>
        </w:rPr>
        <w:t>Review of Fixed-term Contract Provisions: Higher Education Awards (AM2024/39)</w:t>
      </w:r>
      <w:r w:rsidR="00BB46A2" w:rsidRPr="00A03B67">
        <w:t xml:space="preserve"> (Web Page, n.d.) &lt;https://www.fwc.gov.au/hearings-decisions/major-cases/higher-education-industry-academic-staff-award-2020-and-higher&gt;.</w:t>
      </w:r>
      <w:r w:rsidR="00BB46A2" w:rsidRPr="00A03B67" w:rsidDel="00BB46A2">
        <w:t xml:space="preserve"> </w:t>
      </w:r>
    </w:p>
  </w:footnote>
  <w:footnote w:id="955">
    <w:p w14:paraId="2F46F70B" w14:textId="424FA423" w:rsidR="00E129B5" w:rsidRPr="00A03B67" w:rsidRDefault="00E129B5">
      <w:pPr>
        <w:pStyle w:val="FootnoteText"/>
      </w:pPr>
      <w:r w:rsidRPr="00A03B67">
        <w:rPr>
          <w:rStyle w:val="FootnoteReference"/>
        </w:rPr>
        <w:footnoteRef/>
      </w:r>
      <w:r w:rsidRPr="00A03B67">
        <w:t xml:space="preserve"> </w:t>
      </w:r>
      <w:r w:rsidR="00250C20" w:rsidRPr="00A03B67">
        <w:rPr>
          <w:i/>
          <w:iCs/>
        </w:rPr>
        <w:t>F</w:t>
      </w:r>
      <w:r w:rsidR="00BB46A2" w:rsidRPr="00A03B67">
        <w:rPr>
          <w:i/>
          <w:iCs/>
        </w:rPr>
        <w:t xml:space="preserve">air </w:t>
      </w:r>
      <w:r w:rsidR="00250C20" w:rsidRPr="00A03B67">
        <w:rPr>
          <w:i/>
          <w:iCs/>
        </w:rPr>
        <w:t>W</w:t>
      </w:r>
      <w:r w:rsidR="00BB46A2" w:rsidRPr="00A03B67">
        <w:rPr>
          <w:i/>
          <w:iCs/>
        </w:rPr>
        <w:t>ork</w:t>
      </w:r>
      <w:r w:rsidR="00250C20" w:rsidRPr="00A03B67">
        <w:rPr>
          <w:i/>
          <w:iCs/>
        </w:rPr>
        <w:t xml:space="preserve"> Act </w:t>
      </w:r>
      <w:r w:rsidR="00BB46A2" w:rsidRPr="00A03B67">
        <w:rPr>
          <w:i/>
          <w:iCs/>
        </w:rPr>
        <w:t>2009</w:t>
      </w:r>
      <w:r w:rsidR="00BB46A2" w:rsidRPr="00A03B67">
        <w:t xml:space="preserve"> (Cth) </w:t>
      </w:r>
      <w:r w:rsidR="00250C20" w:rsidRPr="00A03B67">
        <w:t>s123(2).</w:t>
      </w:r>
    </w:p>
  </w:footnote>
  <w:footnote w:id="956">
    <w:p w14:paraId="34059589" w14:textId="57BE053A" w:rsidR="009A1D5D" w:rsidRPr="00A03B67" w:rsidRDefault="009A1D5D" w:rsidP="009A1D5D">
      <w:pPr>
        <w:pStyle w:val="FootnoteText"/>
      </w:pPr>
      <w:r w:rsidRPr="00A03B67">
        <w:rPr>
          <w:rStyle w:val="FootnoteReference"/>
        </w:rPr>
        <w:footnoteRef/>
      </w:r>
      <w:r w:rsidRPr="00A03B67">
        <w:t xml:space="preserve"> </w:t>
      </w:r>
      <w:r w:rsidRPr="00A03B67">
        <w:rPr>
          <w:i/>
          <w:iCs/>
        </w:rPr>
        <w:t>F</w:t>
      </w:r>
      <w:r w:rsidR="00BB46A2" w:rsidRPr="00A03B67">
        <w:rPr>
          <w:i/>
          <w:iCs/>
        </w:rPr>
        <w:t xml:space="preserve">air </w:t>
      </w:r>
      <w:r w:rsidRPr="00A03B67">
        <w:rPr>
          <w:i/>
          <w:iCs/>
        </w:rPr>
        <w:t>W</w:t>
      </w:r>
      <w:r w:rsidR="00BB46A2" w:rsidRPr="00A03B67">
        <w:rPr>
          <w:i/>
          <w:iCs/>
        </w:rPr>
        <w:t>ork</w:t>
      </w:r>
      <w:r w:rsidRPr="00A03B67">
        <w:rPr>
          <w:i/>
          <w:iCs/>
        </w:rPr>
        <w:t xml:space="preserve"> Act </w:t>
      </w:r>
      <w:r w:rsidR="00BB46A2" w:rsidRPr="00A03B67">
        <w:rPr>
          <w:i/>
          <w:iCs/>
        </w:rPr>
        <w:t>2009</w:t>
      </w:r>
      <w:r w:rsidR="00BB46A2" w:rsidRPr="00A03B67">
        <w:t xml:space="preserve"> (Cth) </w:t>
      </w:r>
      <w:r w:rsidRPr="00A03B67">
        <w:t>s 65(2), (2A).</w:t>
      </w:r>
    </w:p>
  </w:footnote>
  <w:footnote w:id="957">
    <w:p w14:paraId="636BC07D" w14:textId="61141D84" w:rsidR="00EA3E2F" w:rsidRPr="00A03B67" w:rsidRDefault="00EA3E2F" w:rsidP="00EA3E2F">
      <w:pPr>
        <w:pStyle w:val="FootnoteText"/>
      </w:pPr>
      <w:r w:rsidRPr="00A03B67">
        <w:rPr>
          <w:rStyle w:val="FootnoteReference"/>
        </w:rPr>
        <w:footnoteRef/>
      </w:r>
      <w:r w:rsidRPr="00A03B67">
        <w:t xml:space="preserve"> </w:t>
      </w:r>
      <w:r w:rsidR="00BB46A2" w:rsidRPr="00A03B67">
        <w:rPr>
          <w:i/>
          <w:iCs/>
        </w:rPr>
        <w:t>Fair Work Act 2009</w:t>
      </w:r>
      <w:r w:rsidR="00BB46A2" w:rsidRPr="00A03B67">
        <w:t xml:space="preserve"> (Cth) </w:t>
      </w:r>
      <w:r w:rsidRPr="00A03B67">
        <w:t>s 65(1A).</w:t>
      </w:r>
    </w:p>
  </w:footnote>
  <w:footnote w:id="958">
    <w:p w14:paraId="094A77AC" w14:textId="59A06A3B" w:rsidR="009A1D5D" w:rsidRPr="00A03B67" w:rsidRDefault="009A1D5D" w:rsidP="009A1D5D">
      <w:pPr>
        <w:pStyle w:val="FootnoteText"/>
      </w:pPr>
      <w:r w:rsidRPr="00A03B67">
        <w:rPr>
          <w:rStyle w:val="FootnoteReference"/>
        </w:rPr>
        <w:footnoteRef/>
      </w:r>
      <w:r w:rsidRPr="00A03B67">
        <w:t xml:space="preserve"> </w:t>
      </w:r>
      <w:r w:rsidR="00A50B7B" w:rsidRPr="00A03B67">
        <w:t>Revised Explanatory Memorandum, Fair Work Legislation Amendment (Secure Jobs, Better Pay) Bill</w:t>
      </w:r>
      <w:r w:rsidR="00A50B7B" w:rsidRPr="00A03B67">
        <w:rPr>
          <w:i/>
          <w:iCs/>
        </w:rPr>
        <w:t xml:space="preserve"> </w:t>
      </w:r>
      <w:r w:rsidR="00A50B7B" w:rsidRPr="00A03B67">
        <w:t>2022, [612]</w:t>
      </w:r>
      <w:r w:rsidRPr="00A03B67">
        <w:t xml:space="preserve">. </w:t>
      </w:r>
    </w:p>
  </w:footnote>
  <w:footnote w:id="959">
    <w:p w14:paraId="08DDB3FD" w14:textId="5E033BC9" w:rsidR="009A1D5D" w:rsidRPr="00A03B67" w:rsidRDefault="009A1D5D" w:rsidP="009A1D5D">
      <w:pPr>
        <w:pStyle w:val="FootnoteText"/>
      </w:pPr>
      <w:r w:rsidRPr="00A03B67">
        <w:rPr>
          <w:rStyle w:val="FootnoteReference"/>
        </w:rPr>
        <w:footnoteRef/>
      </w:r>
      <w:r w:rsidRPr="00A03B67">
        <w:t xml:space="preserve"> </w:t>
      </w:r>
      <w:r w:rsidR="00BB46A2" w:rsidRPr="00A03B67">
        <w:rPr>
          <w:i/>
          <w:iCs/>
        </w:rPr>
        <w:t>Fair Work Act 2009</w:t>
      </w:r>
      <w:r w:rsidR="00BB46A2" w:rsidRPr="00A03B67">
        <w:t xml:space="preserve"> (Cth) </w:t>
      </w:r>
      <w:r w:rsidRPr="00A03B67">
        <w:t>s 65A(5).</w:t>
      </w:r>
    </w:p>
  </w:footnote>
  <w:footnote w:id="960">
    <w:p w14:paraId="3277DF72" w14:textId="003DE76D" w:rsidR="009A1D5D" w:rsidRPr="00A03B67" w:rsidRDefault="009A1D5D" w:rsidP="009A1D5D">
      <w:pPr>
        <w:pStyle w:val="FootnoteText"/>
      </w:pPr>
      <w:r w:rsidRPr="00A03B67">
        <w:rPr>
          <w:rStyle w:val="FootnoteReference"/>
        </w:rPr>
        <w:footnoteRef/>
      </w:r>
      <w:r w:rsidRPr="00A03B67">
        <w:t xml:space="preserve"> </w:t>
      </w:r>
      <w:r w:rsidR="00BB46A2" w:rsidRPr="00A03B67">
        <w:rPr>
          <w:i/>
          <w:iCs/>
        </w:rPr>
        <w:t>Fair Work Act 2009</w:t>
      </w:r>
      <w:r w:rsidR="00BB46A2" w:rsidRPr="00A03B67">
        <w:t xml:space="preserve"> (Cth) </w:t>
      </w:r>
      <w:r w:rsidRPr="00A03B67">
        <w:t xml:space="preserve">s 65A(5). </w:t>
      </w:r>
    </w:p>
  </w:footnote>
  <w:footnote w:id="961">
    <w:p w14:paraId="2A71A14A" w14:textId="22FE706E" w:rsidR="00857894" w:rsidRPr="00A03B67" w:rsidRDefault="00857894" w:rsidP="00857894">
      <w:pPr>
        <w:pStyle w:val="FootnoteText"/>
        <w:rPr>
          <w:strike/>
        </w:rPr>
      </w:pPr>
      <w:r w:rsidRPr="00A03B67">
        <w:rPr>
          <w:rStyle w:val="FootnoteReference"/>
        </w:rPr>
        <w:footnoteRef/>
      </w:r>
      <w:r w:rsidRPr="00A03B67">
        <w:t xml:space="preserve"> </w:t>
      </w:r>
      <w:r w:rsidR="00297B05" w:rsidRPr="00A03B67">
        <w:t xml:space="preserve">Commonwealth, </w:t>
      </w:r>
      <w:r w:rsidR="00297B05" w:rsidRPr="00A03B67">
        <w:rPr>
          <w:i/>
          <w:iCs/>
        </w:rPr>
        <w:t xml:space="preserve">Parliamentary Debates, </w:t>
      </w:r>
      <w:r w:rsidR="00297B05" w:rsidRPr="00A03B67">
        <w:t>House of Representatives, 27 October 2022 (Tony Burke, Minister for Employment and Workplace Relations).</w:t>
      </w:r>
    </w:p>
  </w:footnote>
  <w:footnote w:id="962">
    <w:p w14:paraId="64B915BC" w14:textId="303E74CB" w:rsidR="009A1D5D" w:rsidRPr="00A03B67" w:rsidRDefault="009A1D5D" w:rsidP="009A1D5D">
      <w:pPr>
        <w:pStyle w:val="FootnoteText"/>
        <w:rPr>
          <w:b/>
          <w:bCs/>
        </w:rPr>
      </w:pPr>
      <w:r w:rsidRPr="00A03B67">
        <w:rPr>
          <w:rStyle w:val="FootnoteReference"/>
        </w:rPr>
        <w:footnoteRef/>
      </w:r>
      <w:r w:rsidRPr="00A03B67">
        <w:t xml:space="preserve"> </w:t>
      </w:r>
      <w:r w:rsidR="00BB46A2" w:rsidRPr="00A03B67">
        <w:t xml:space="preserve">N </w:t>
      </w:r>
      <w:r w:rsidRPr="00A03B67">
        <w:t xml:space="preserve">Cortis, </w:t>
      </w:r>
      <w:r w:rsidR="00BB46A2" w:rsidRPr="00A03B67">
        <w:t xml:space="preserve">M </w:t>
      </w:r>
      <w:r w:rsidRPr="00A03B67">
        <w:t xml:space="preserve">Blaxland and </w:t>
      </w:r>
      <w:r w:rsidR="00BB46A2" w:rsidRPr="00A03B67">
        <w:t xml:space="preserve">S </w:t>
      </w:r>
      <w:r w:rsidRPr="00A03B67">
        <w:t xml:space="preserve">Charlesworth, </w:t>
      </w:r>
      <w:r w:rsidRPr="00A03B67">
        <w:rPr>
          <w:i/>
          <w:iCs/>
        </w:rPr>
        <w:t xml:space="preserve">Challenges of </w:t>
      </w:r>
      <w:r w:rsidR="00BB46A2" w:rsidRPr="00A03B67">
        <w:rPr>
          <w:i/>
          <w:iCs/>
        </w:rPr>
        <w:t>W</w:t>
      </w:r>
      <w:r w:rsidRPr="00A03B67">
        <w:rPr>
          <w:i/>
          <w:iCs/>
        </w:rPr>
        <w:t xml:space="preserve">ork, </w:t>
      </w:r>
      <w:r w:rsidR="00BB46A2" w:rsidRPr="00A03B67">
        <w:rPr>
          <w:i/>
          <w:iCs/>
        </w:rPr>
        <w:t>F</w:t>
      </w:r>
      <w:r w:rsidRPr="00A03B67">
        <w:rPr>
          <w:i/>
          <w:iCs/>
        </w:rPr>
        <w:t xml:space="preserve">amily and </w:t>
      </w:r>
      <w:r w:rsidR="00BB46A2" w:rsidRPr="00A03B67">
        <w:rPr>
          <w:i/>
          <w:iCs/>
        </w:rPr>
        <w:t>C</w:t>
      </w:r>
      <w:r w:rsidRPr="00A03B67">
        <w:rPr>
          <w:i/>
          <w:iCs/>
        </w:rPr>
        <w:t>are for Australia</w:t>
      </w:r>
      <w:r w:rsidR="00BB46A2" w:rsidRPr="00A03B67">
        <w:rPr>
          <w:i/>
          <w:iCs/>
        </w:rPr>
        <w:t>’</w:t>
      </w:r>
      <w:r w:rsidRPr="00A03B67">
        <w:rPr>
          <w:i/>
          <w:iCs/>
        </w:rPr>
        <w:t xml:space="preserve">s </w:t>
      </w:r>
      <w:r w:rsidR="00BB46A2" w:rsidRPr="00A03B67">
        <w:rPr>
          <w:i/>
          <w:iCs/>
        </w:rPr>
        <w:t>R</w:t>
      </w:r>
      <w:r w:rsidRPr="00A03B67">
        <w:rPr>
          <w:i/>
          <w:iCs/>
        </w:rPr>
        <w:t xml:space="preserve">etail, </w:t>
      </w:r>
      <w:r w:rsidR="00BB46A2" w:rsidRPr="00A03B67">
        <w:rPr>
          <w:i/>
          <w:iCs/>
        </w:rPr>
        <w:t>O</w:t>
      </w:r>
      <w:r w:rsidRPr="00A03B67">
        <w:rPr>
          <w:i/>
          <w:iCs/>
        </w:rPr>
        <w:t xml:space="preserve">nline </w:t>
      </w:r>
      <w:r w:rsidR="00BB46A2" w:rsidRPr="00A03B67">
        <w:rPr>
          <w:i/>
          <w:iCs/>
        </w:rPr>
        <w:t>R</w:t>
      </w:r>
      <w:r w:rsidRPr="00A03B67">
        <w:rPr>
          <w:i/>
          <w:iCs/>
        </w:rPr>
        <w:t xml:space="preserve">etail, </w:t>
      </w:r>
      <w:r w:rsidR="00BB46A2" w:rsidRPr="00A03B67">
        <w:rPr>
          <w:i/>
          <w:iCs/>
        </w:rPr>
        <w:t>W</w:t>
      </w:r>
      <w:r w:rsidRPr="00A03B67">
        <w:rPr>
          <w:i/>
          <w:iCs/>
        </w:rPr>
        <w:t xml:space="preserve">arehousing and </w:t>
      </w:r>
      <w:r w:rsidR="00BB46A2" w:rsidRPr="00A03B67">
        <w:rPr>
          <w:i/>
          <w:iCs/>
        </w:rPr>
        <w:t>F</w:t>
      </w:r>
      <w:r w:rsidRPr="00A03B67">
        <w:rPr>
          <w:i/>
          <w:iCs/>
        </w:rPr>
        <w:t xml:space="preserve">ast </w:t>
      </w:r>
      <w:r w:rsidR="00BB46A2" w:rsidRPr="00A03B67">
        <w:rPr>
          <w:i/>
          <w:iCs/>
        </w:rPr>
        <w:t>F</w:t>
      </w:r>
      <w:r w:rsidRPr="00A03B67">
        <w:rPr>
          <w:i/>
          <w:iCs/>
        </w:rPr>
        <w:t xml:space="preserve">ood </w:t>
      </w:r>
      <w:r w:rsidR="00BB46A2" w:rsidRPr="00A03B67">
        <w:rPr>
          <w:i/>
          <w:iCs/>
        </w:rPr>
        <w:t>W</w:t>
      </w:r>
      <w:r w:rsidRPr="00A03B67">
        <w:rPr>
          <w:i/>
          <w:iCs/>
        </w:rPr>
        <w:t xml:space="preserve">orkers </w:t>
      </w:r>
      <w:r w:rsidRPr="00A03B67">
        <w:t>(Report, 12 October 2021) &lt;https://unsworks.unsw.edu.au/entities/publication/05a2026d-f09a-405f-ad66-046cc685cf68/full&gt;.</w:t>
      </w:r>
    </w:p>
  </w:footnote>
  <w:footnote w:id="963">
    <w:p w14:paraId="7841D242" w14:textId="63512E92" w:rsidR="009A1D5D" w:rsidRPr="00A03B67" w:rsidRDefault="009A1D5D" w:rsidP="009A1D5D">
      <w:pPr>
        <w:pStyle w:val="FootnoteText"/>
      </w:pPr>
      <w:r w:rsidRPr="00A03B67">
        <w:rPr>
          <w:rStyle w:val="FootnoteReference"/>
        </w:rPr>
        <w:footnoteRef/>
      </w:r>
      <w:r w:rsidRPr="00A03B67">
        <w:t xml:space="preserve"> </w:t>
      </w:r>
      <w:r w:rsidR="00297B05" w:rsidRPr="00A03B67">
        <w:t xml:space="preserve">Senate Select Committee on Work and Care, Parliament of Australia, </w:t>
      </w:r>
      <w:r w:rsidR="00297B05" w:rsidRPr="00A03B67">
        <w:rPr>
          <w:i/>
          <w:iCs/>
        </w:rPr>
        <w:t xml:space="preserve">Interim Report </w:t>
      </w:r>
      <w:r w:rsidR="00297B05" w:rsidRPr="00A03B67">
        <w:t>(Report, October 2022)</w:t>
      </w:r>
      <w:r w:rsidR="00297B05" w:rsidRPr="00A03B67">
        <w:rPr>
          <w:i/>
          <w:iCs/>
        </w:rPr>
        <w:t xml:space="preserve"> </w:t>
      </w:r>
      <w:r w:rsidR="00297B05" w:rsidRPr="00A03B67">
        <w:t>&lt;https://parlinfo.aph.gov.au/parlInfo/download/committees/reportsen/024963/toc_pdf/InterimReport.pdf;fileType=application%2Fpdf&gt;.</w:t>
      </w:r>
    </w:p>
  </w:footnote>
  <w:footnote w:id="964">
    <w:p w14:paraId="08F777D8" w14:textId="7C99700F" w:rsidR="009A1D5D" w:rsidRPr="00A03B67" w:rsidRDefault="009A1D5D" w:rsidP="009A1D5D">
      <w:pPr>
        <w:pStyle w:val="FootnoteText"/>
      </w:pPr>
      <w:r w:rsidRPr="00A03B67">
        <w:rPr>
          <w:rStyle w:val="FootnoteReference"/>
        </w:rPr>
        <w:footnoteRef/>
      </w:r>
      <w:r w:rsidRPr="00A03B67">
        <w:t xml:space="preserve"> Senate Select Committee on Work and Care, Parliament of Australia, </w:t>
      </w:r>
      <w:r w:rsidRPr="00A03B67">
        <w:rPr>
          <w:i/>
          <w:iCs/>
        </w:rPr>
        <w:t xml:space="preserve">Interim Report </w:t>
      </w:r>
      <w:r w:rsidRPr="00A03B67">
        <w:t>(Report, October 2022)</w:t>
      </w:r>
      <w:r w:rsidR="002920A0" w:rsidRPr="00A03B67">
        <w:t>, 108</w:t>
      </w:r>
      <w:r w:rsidRPr="00A03B67">
        <w:rPr>
          <w:i/>
          <w:iCs/>
        </w:rPr>
        <w:t xml:space="preserve"> </w:t>
      </w:r>
      <w:r w:rsidR="00BB46A2" w:rsidRPr="00A03B67">
        <w:t>&lt;</w:t>
      </w:r>
      <w:r w:rsidRPr="00A03B67">
        <w:t>https://parlinfo.aph.gov.au/parlInfo/download/committees/reportsen/024963/toc_pdf/InterimReport.pdf;fileType=application%2Fpdf</w:t>
      </w:r>
      <w:r w:rsidR="00BB46A2" w:rsidRPr="00A03B67">
        <w:t>&gt;.</w:t>
      </w:r>
    </w:p>
  </w:footnote>
  <w:footnote w:id="965">
    <w:p w14:paraId="18BD3E7C" w14:textId="4FFE324D" w:rsidR="009A1D5D" w:rsidRPr="00A03B67" w:rsidRDefault="009A1D5D" w:rsidP="009A1D5D">
      <w:pPr>
        <w:pStyle w:val="FootnoteText"/>
      </w:pPr>
      <w:r w:rsidRPr="00A03B67">
        <w:rPr>
          <w:rStyle w:val="FootnoteReference"/>
        </w:rPr>
        <w:footnoteRef/>
      </w:r>
      <w:r w:rsidRPr="00A03B67">
        <w:t xml:space="preserve"> The exception to this was where a right was provided in a term in a modern award or an enterprise agreement. Employees could then lodge a dispute with the FWC under s 739 of the </w:t>
      </w:r>
      <w:r w:rsidRPr="00A03B67">
        <w:rPr>
          <w:i/>
          <w:iCs/>
        </w:rPr>
        <w:t>F</w:t>
      </w:r>
      <w:r w:rsidR="00BB46A2" w:rsidRPr="00A03B67">
        <w:rPr>
          <w:i/>
          <w:iCs/>
        </w:rPr>
        <w:t xml:space="preserve">air </w:t>
      </w:r>
      <w:r w:rsidRPr="00A03B67">
        <w:rPr>
          <w:i/>
          <w:iCs/>
        </w:rPr>
        <w:t>W</w:t>
      </w:r>
      <w:r w:rsidR="00BB46A2" w:rsidRPr="00A03B67">
        <w:rPr>
          <w:i/>
          <w:iCs/>
        </w:rPr>
        <w:t>ork</w:t>
      </w:r>
      <w:r w:rsidRPr="00A03B67">
        <w:rPr>
          <w:i/>
          <w:iCs/>
        </w:rPr>
        <w:t xml:space="preserve"> Act</w:t>
      </w:r>
      <w:r w:rsidR="00BB46A2" w:rsidRPr="00A03B67">
        <w:rPr>
          <w:i/>
          <w:iCs/>
        </w:rPr>
        <w:t xml:space="preserve"> 2009</w:t>
      </w:r>
      <w:r w:rsidR="00BB46A2" w:rsidRPr="00A03B67">
        <w:t xml:space="preserve"> (Cth)</w:t>
      </w:r>
      <w:r w:rsidRPr="00A03B67">
        <w:t xml:space="preserve">. </w:t>
      </w:r>
    </w:p>
  </w:footnote>
  <w:footnote w:id="966">
    <w:p w14:paraId="2F12EA8C" w14:textId="54D522C9" w:rsidR="009A1D5D" w:rsidRPr="00A03B67" w:rsidRDefault="009A1D5D" w:rsidP="009A1D5D">
      <w:pPr>
        <w:pStyle w:val="FootnoteText"/>
      </w:pPr>
      <w:r w:rsidRPr="00A03B67">
        <w:rPr>
          <w:rStyle w:val="FootnoteReference"/>
        </w:rPr>
        <w:footnoteRef/>
      </w:r>
      <w:r w:rsidRPr="00A03B67">
        <w:t xml:space="preserve"> </w:t>
      </w:r>
      <w:r w:rsidR="00FA5311" w:rsidRPr="00A03B67">
        <w:t>For examples, s</w:t>
      </w:r>
      <w:r w:rsidR="00F451C4" w:rsidRPr="00A03B67">
        <w:t>ee</w:t>
      </w:r>
      <w:r w:rsidRPr="00A03B67">
        <w:t xml:space="preserve"> </w:t>
      </w:r>
      <w:r w:rsidR="002920A0" w:rsidRPr="00A03B67">
        <w:rPr>
          <w:i/>
          <w:iCs/>
        </w:rPr>
        <w:t>Charles Gregory Gregory v Maxxia Pty Ltd</w:t>
      </w:r>
      <w:r w:rsidR="002920A0" w:rsidRPr="00A03B67">
        <w:t xml:space="preserve"> [2023] FWC 2768 [46]-[47]; Shane Gration v Bendigo and Adelaide Bank Limited [2024] FWC 717 [51]; Michael Fogo v Boeing Aerostructures Australia Pty Limited [2024] FWC 3037 [129].</w:t>
      </w:r>
    </w:p>
  </w:footnote>
  <w:footnote w:id="967">
    <w:p w14:paraId="03BCCBFD" w14:textId="16F2C8C2" w:rsidR="009A1D5D" w:rsidRPr="00A03B67" w:rsidRDefault="009A1D5D" w:rsidP="009A1D5D">
      <w:pPr>
        <w:pStyle w:val="FootnoteText"/>
      </w:pPr>
      <w:r w:rsidRPr="00A03B67">
        <w:rPr>
          <w:rStyle w:val="FootnoteReference"/>
        </w:rPr>
        <w:footnoteRef/>
      </w:r>
      <w:r w:rsidRPr="00A03B67">
        <w:t xml:space="preserve"> AD Selvarajah, ‘Proving the </w:t>
      </w:r>
      <w:r w:rsidR="00BB46A2" w:rsidRPr="00A03B67">
        <w:t>R</w:t>
      </w:r>
      <w:r w:rsidRPr="00A03B67">
        <w:t xml:space="preserve">ight to </w:t>
      </w:r>
      <w:r w:rsidR="00BB46A2" w:rsidRPr="00A03B67">
        <w:t>R</w:t>
      </w:r>
      <w:r w:rsidRPr="00A03B67">
        <w:t xml:space="preserve">equest </w:t>
      </w:r>
      <w:r w:rsidR="00BB46A2" w:rsidRPr="00A03B67">
        <w:t>F</w:t>
      </w:r>
      <w:r w:rsidRPr="00A03B67">
        <w:t xml:space="preserve">lexible </w:t>
      </w:r>
      <w:r w:rsidR="00BB46A2" w:rsidRPr="00A03B67">
        <w:t>W</w:t>
      </w:r>
      <w:r w:rsidRPr="00A03B67">
        <w:t xml:space="preserve">ork: </w:t>
      </w:r>
      <w:r w:rsidR="00BB46A2" w:rsidRPr="00A03B67">
        <w:t>T</w:t>
      </w:r>
      <w:r w:rsidRPr="00A03B67">
        <w:t xml:space="preserve">he </w:t>
      </w:r>
      <w:r w:rsidR="00BB46A2" w:rsidRPr="00A03B67">
        <w:t>C</w:t>
      </w:r>
      <w:r w:rsidRPr="00A03B67">
        <w:t xml:space="preserve">oncerning </w:t>
      </w:r>
      <w:r w:rsidR="00BB46A2" w:rsidRPr="00A03B67">
        <w:t>C</w:t>
      </w:r>
      <w:r w:rsidRPr="00A03B67">
        <w:t xml:space="preserve">onsequences of </w:t>
      </w:r>
      <w:r w:rsidR="00BB46A2" w:rsidRPr="00A03B67">
        <w:t>C</w:t>
      </w:r>
      <w:r w:rsidRPr="00A03B67">
        <w:t xml:space="preserve">omments in Quirke v BSR’ </w:t>
      </w:r>
      <w:r w:rsidR="00BB46A2" w:rsidRPr="00A03B67">
        <w:t xml:space="preserve">(2024) 37 </w:t>
      </w:r>
      <w:r w:rsidRPr="00A03B67">
        <w:rPr>
          <w:i/>
          <w:iCs/>
        </w:rPr>
        <w:t>Australian Journal of Labour Law</w:t>
      </w:r>
      <w:r w:rsidR="00BB46A2" w:rsidRPr="00A03B67">
        <w:t xml:space="preserve"> </w:t>
      </w:r>
      <w:r w:rsidRPr="00A03B67">
        <w:t>3.</w:t>
      </w:r>
    </w:p>
  </w:footnote>
  <w:footnote w:id="968">
    <w:p w14:paraId="7CEA5530" w14:textId="260B6504" w:rsidR="009A1D5D" w:rsidRPr="00A03B67" w:rsidRDefault="009A1D5D" w:rsidP="009A1D5D">
      <w:pPr>
        <w:pStyle w:val="FootnoteText"/>
      </w:pPr>
      <w:r w:rsidRPr="00A03B67">
        <w:rPr>
          <w:rStyle w:val="FootnoteReference"/>
        </w:rPr>
        <w:footnoteRef/>
      </w:r>
      <w:r w:rsidRPr="00A03B67">
        <w:t xml:space="preserve"> </w:t>
      </w:r>
      <w:r w:rsidR="00BB46A2" w:rsidRPr="00A03B67">
        <w:t xml:space="preserve">AD Selvarajah, ‘Proving the Right to Request Flexible Work: The Concerning Consequences of Comments in Quirke v BSR’ (2024) 37 </w:t>
      </w:r>
      <w:r w:rsidR="00BB46A2" w:rsidRPr="00A03B67">
        <w:rPr>
          <w:i/>
          <w:iCs/>
        </w:rPr>
        <w:t>Australian Journal of Labour Law</w:t>
      </w:r>
      <w:r w:rsidR="00BB46A2" w:rsidRPr="00A03B67">
        <w:t xml:space="preserve"> </w:t>
      </w:r>
      <w:r w:rsidRPr="00A03B67">
        <w:t xml:space="preserve">4. </w:t>
      </w:r>
    </w:p>
  </w:footnote>
  <w:footnote w:id="969">
    <w:p w14:paraId="7127A347" w14:textId="43C905AD" w:rsidR="00857894" w:rsidRPr="00A03B67" w:rsidRDefault="00857894" w:rsidP="00857894">
      <w:pPr>
        <w:pStyle w:val="FootnoteText"/>
      </w:pPr>
      <w:r w:rsidRPr="00A03B67">
        <w:rPr>
          <w:rStyle w:val="FootnoteReference"/>
        </w:rPr>
        <w:footnoteRef/>
      </w:r>
      <w:r w:rsidRPr="00A03B67">
        <w:t xml:space="preserve"> </w:t>
      </w:r>
      <w:r w:rsidR="00BB46A2" w:rsidRPr="00A03B67">
        <w:t xml:space="preserve">AD Selvarajah, ‘Proving the Right to Request Flexible Work: The Concerning Consequences of Comments in Quirke v BSR’ (2024) 37 </w:t>
      </w:r>
      <w:r w:rsidR="00BB46A2" w:rsidRPr="00A03B67">
        <w:rPr>
          <w:i/>
          <w:iCs/>
        </w:rPr>
        <w:t>Australian Journal of Labour Law</w:t>
      </w:r>
      <w:r w:rsidR="00BB46A2" w:rsidRPr="00A03B67">
        <w:t xml:space="preserve"> </w:t>
      </w:r>
      <w:r w:rsidRPr="00A03B67">
        <w:t>11</w:t>
      </w:r>
      <w:r w:rsidR="00BB46A2" w:rsidRPr="00A03B67">
        <w:rPr>
          <w:rFonts w:ascii="Symbol" w:eastAsia="Symbol" w:hAnsi="Symbol" w:cs="Symbol"/>
        </w:rPr>
        <w:t>-</w:t>
      </w:r>
      <w:r w:rsidRPr="00A03B67">
        <w:t xml:space="preserve">12. </w:t>
      </w:r>
    </w:p>
  </w:footnote>
  <w:footnote w:id="970">
    <w:p w14:paraId="6FE95D2A" w14:textId="63CD550A" w:rsidR="001F0E45" w:rsidRPr="00A03B67" w:rsidRDefault="001F0E45">
      <w:pPr>
        <w:pStyle w:val="FootnoteText"/>
      </w:pPr>
      <w:r w:rsidRPr="00A03B67">
        <w:rPr>
          <w:rStyle w:val="FootnoteReference"/>
        </w:rPr>
        <w:footnoteRef/>
      </w:r>
      <w:r w:rsidRPr="00A03B67">
        <w:t xml:space="preserve"> </w:t>
      </w:r>
      <w:r w:rsidR="00F53D8B" w:rsidRPr="00A03B67">
        <w:rPr>
          <w:i/>
          <w:iCs/>
        </w:rPr>
        <w:t>Fair Work Act 2009</w:t>
      </w:r>
      <w:r w:rsidR="00ED3380" w:rsidRPr="00A03B67">
        <w:rPr>
          <w:i/>
          <w:iCs/>
        </w:rPr>
        <w:t xml:space="preserve"> (Cth)</w:t>
      </w:r>
      <w:r w:rsidR="00F53D8B" w:rsidRPr="00A03B67">
        <w:t xml:space="preserve"> s</w:t>
      </w:r>
      <w:r w:rsidR="00BB46A2" w:rsidRPr="00A03B67">
        <w:t xml:space="preserve"> </w:t>
      </w:r>
      <w:r w:rsidRPr="00A03B67">
        <w:t>76A(3)</w:t>
      </w:r>
      <w:r w:rsidR="00BB46A2" w:rsidRPr="00A03B67">
        <w:rPr>
          <w:rFonts w:ascii="Symbol" w:eastAsia="Symbol" w:hAnsi="Symbol" w:cs="Symbol"/>
        </w:rPr>
        <w:t>-</w:t>
      </w:r>
      <w:r w:rsidRPr="00A03B67">
        <w:t>(5)</w:t>
      </w:r>
      <w:r w:rsidR="00BB46A2" w:rsidRPr="00A03B67">
        <w:t>.</w:t>
      </w:r>
    </w:p>
  </w:footnote>
  <w:footnote w:id="971">
    <w:p w14:paraId="12C1EB48" w14:textId="3CF9380D" w:rsidR="00284887" w:rsidRPr="00A03B67" w:rsidRDefault="00284887" w:rsidP="00284887">
      <w:pPr>
        <w:pStyle w:val="FootnoteText"/>
      </w:pPr>
      <w:r w:rsidRPr="00A03B67">
        <w:rPr>
          <w:rStyle w:val="FootnoteReference"/>
        </w:rPr>
        <w:footnoteRef/>
      </w:r>
      <w:r w:rsidRPr="00A03B67">
        <w:t xml:space="preserve"> </w:t>
      </w:r>
      <w:r w:rsidRPr="00A03B67">
        <w:rPr>
          <w:i/>
          <w:iCs/>
        </w:rPr>
        <w:t xml:space="preserve">Fair Work Amendment (Protecting Worker Entitlements) Act 2023 </w:t>
      </w:r>
      <w:r w:rsidR="00BB46A2" w:rsidRPr="00A03B67">
        <w:t>(Cth)</w:t>
      </w:r>
      <w:r w:rsidR="00F53D8B" w:rsidRPr="00A03B67">
        <w:t>, Sch 2.</w:t>
      </w:r>
    </w:p>
  </w:footnote>
  <w:footnote w:id="972">
    <w:p w14:paraId="6BEF0DCF" w14:textId="6D15938B" w:rsidR="009A1D5D" w:rsidRPr="00A03B67" w:rsidRDefault="009A1D5D" w:rsidP="00BB46A2">
      <w:pPr>
        <w:pStyle w:val="FootnoteText"/>
      </w:pPr>
      <w:r w:rsidRPr="00A03B67">
        <w:rPr>
          <w:rStyle w:val="FootnoteReference"/>
        </w:rPr>
        <w:footnoteRef/>
      </w:r>
      <w:r w:rsidRPr="00A03B67">
        <w:t xml:space="preserve"> </w:t>
      </w:r>
      <w:r w:rsidR="00BB46A2" w:rsidRPr="00A03B67">
        <w:t>Fair Work Legislation Amendment (Secure Jobs, Better Pay) Bill 2022.</w:t>
      </w:r>
    </w:p>
  </w:footnote>
  <w:footnote w:id="973">
    <w:p w14:paraId="4CF1A107" w14:textId="197F64CC" w:rsidR="009A1D5D" w:rsidRPr="00A03B67" w:rsidRDefault="009A1D5D" w:rsidP="009A1D5D">
      <w:pPr>
        <w:pStyle w:val="FootnoteText"/>
      </w:pPr>
      <w:r w:rsidRPr="00A03B67">
        <w:rPr>
          <w:rStyle w:val="FootnoteReference"/>
        </w:rPr>
        <w:footnoteRef/>
      </w:r>
      <w:r w:rsidRPr="00A03B67">
        <w:t xml:space="preserve"> </w:t>
      </w:r>
      <w:r w:rsidR="00BB46A2" w:rsidRPr="00A03B67">
        <w:t xml:space="preserve">Senate Select Committee on Work and Care, Parliament of Australia, </w:t>
      </w:r>
      <w:r w:rsidR="00BB46A2" w:rsidRPr="00A03B67">
        <w:rPr>
          <w:i/>
          <w:iCs/>
        </w:rPr>
        <w:t>Final Report</w:t>
      </w:r>
      <w:r w:rsidR="00BB46A2" w:rsidRPr="00A03B67">
        <w:t xml:space="preserve"> (Report, 2023) xxviii &lt;https://parlinfo.aph.gov.au/parlInfo/download/committees/reportsen/024994/toc_pdf/FinalReport.pdf;fileType=application%2Fpdf&gt;</w:t>
      </w:r>
      <w:r w:rsidRPr="00A03B67">
        <w:t>.</w:t>
      </w:r>
    </w:p>
  </w:footnote>
  <w:footnote w:id="974">
    <w:p w14:paraId="6EE20565" w14:textId="5BB82997" w:rsidR="009B1519" w:rsidRPr="00A03B67" w:rsidRDefault="009B1519" w:rsidP="009B1519">
      <w:pPr>
        <w:pStyle w:val="FootnoteText"/>
      </w:pPr>
      <w:r w:rsidRPr="00A03B67">
        <w:rPr>
          <w:rStyle w:val="FootnoteReference"/>
        </w:rPr>
        <w:footnoteRef/>
      </w:r>
      <w:r w:rsidRPr="00A03B67">
        <w:t xml:space="preserve"> Fair Work Commission</w:t>
      </w:r>
      <w:r w:rsidR="00BB46A2" w:rsidRPr="00A03B67">
        <w:t>,</w:t>
      </w:r>
      <w:r w:rsidRPr="00A03B67">
        <w:t xml:space="preserve"> Annual Report 2022–23 </w:t>
      </w:r>
      <w:r w:rsidR="00BB46A2" w:rsidRPr="00A03B67">
        <w:t xml:space="preserve">(Report, 2023) </w:t>
      </w:r>
      <w:r w:rsidRPr="00A03B67">
        <w:t>29</w:t>
      </w:r>
      <w:r w:rsidR="00BB46A2" w:rsidRPr="00A03B67">
        <w:t>.</w:t>
      </w:r>
    </w:p>
  </w:footnote>
  <w:footnote w:id="975">
    <w:p w14:paraId="6F3ED179" w14:textId="06412FA1" w:rsidR="009A1D5D" w:rsidRPr="00A03B67" w:rsidRDefault="009A1D5D" w:rsidP="009A1D5D">
      <w:pPr>
        <w:pStyle w:val="FootnoteText"/>
      </w:pPr>
      <w:r w:rsidRPr="00A03B67">
        <w:rPr>
          <w:rStyle w:val="FootnoteReference"/>
        </w:rPr>
        <w:footnoteRef/>
      </w:r>
      <w:r w:rsidRPr="00A03B67">
        <w:t xml:space="preserve"> </w:t>
      </w:r>
      <w:r w:rsidR="00BB46A2" w:rsidRPr="00A03B67">
        <w:t xml:space="preserve">Workplace Gender Equality Agency, Parental Leave (Web Page, n.d.) &lt;https://www.wgea.gov.au/parental-leave#:~:text=This%20benefit%20can%20take%20the,addition%20to%20the%20government%20scheme&gt;. </w:t>
      </w:r>
    </w:p>
  </w:footnote>
  <w:footnote w:id="976">
    <w:p w14:paraId="3AB47929" w14:textId="6E51D220" w:rsidR="009A1D5D" w:rsidRPr="00A03B67" w:rsidRDefault="009A1D5D" w:rsidP="009A1D5D">
      <w:pPr>
        <w:pStyle w:val="FootnoteText"/>
      </w:pPr>
      <w:r w:rsidRPr="00A03B67">
        <w:rPr>
          <w:rStyle w:val="FootnoteReference"/>
        </w:rPr>
        <w:footnoteRef/>
      </w:r>
      <w:r w:rsidRPr="00A03B67">
        <w:t xml:space="preserve"> </w:t>
      </w:r>
      <w:r w:rsidR="00F009AB" w:rsidRPr="00A03B67">
        <w:t xml:space="preserve">Senate Education and Employment Legislation Committee, Parliament of Australia, Fair Work Legislation Amendment (Securer Jobs, Better Pay) Bill 2022, </w:t>
      </w:r>
      <w:r w:rsidRPr="00A03B67">
        <w:t>Professor Andrew Stewart, Submission 89</w:t>
      </w:r>
      <w:r w:rsidR="009853C7" w:rsidRPr="00A03B67">
        <w:t xml:space="preserve">, 2 </w:t>
      </w:r>
      <w:r w:rsidR="00F009AB" w:rsidRPr="00A03B67">
        <w:t>&lt;</w:t>
      </w:r>
      <w:r w:rsidR="004A1B45" w:rsidRPr="00A03B67">
        <w:t>https://www.aph.gov.au/Parliamentary_Business/Committees/Senate/Education_and_Employment/SecureJobsBetterPay/Submissions</w:t>
      </w:r>
      <w:r w:rsidR="00F009AB" w:rsidRPr="00A03B67">
        <w:t>&gt;.</w:t>
      </w:r>
    </w:p>
  </w:footnote>
  <w:footnote w:id="977">
    <w:p w14:paraId="3898F60F" w14:textId="5418E784" w:rsidR="009A1D5D" w:rsidRPr="00A03B67" w:rsidRDefault="009A1D5D" w:rsidP="009A1D5D">
      <w:pPr>
        <w:pStyle w:val="FootnoteText"/>
      </w:pPr>
      <w:r w:rsidRPr="00A03B67">
        <w:rPr>
          <w:rStyle w:val="FootnoteReference"/>
        </w:rPr>
        <w:footnoteRef/>
      </w:r>
      <w:r w:rsidRPr="00A03B67">
        <w:t xml:space="preserve"> </w:t>
      </w:r>
      <w:r w:rsidR="006A6CFF" w:rsidRPr="00A03B67">
        <w:t>Employment Rights Legal Service submission</w:t>
      </w:r>
      <w:r w:rsidR="00BB46A2" w:rsidRPr="00A03B67">
        <w:t>.</w:t>
      </w:r>
    </w:p>
  </w:footnote>
  <w:footnote w:id="978">
    <w:p w14:paraId="78ADD43F" w14:textId="733AE2A6" w:rsidR="00C12C08" w:rsidRPr="00A03B67" w:rsidRDefault="00C12C08">
      <w:pPr>
        <w:pStyle w:val="FootnoteText"/>
      </w:pPr>
      <w:r w:rsidRPr="00A03B67">
        <w:rPr>
          <w:rStyle w:val="FootnoteReference"/>
        </w:rPr>
        <w:footnoteRef/>
      </w:r>
      <w:r w:rsidRPr="00A03B67">
        <w:t xml:space="preserve"> </w:t>
      </w:r>
      <w:r w:rsidR="00F41573" w:rsidRPr="00A03B67">
        <w:t xml:space="preserve">Department of Employment and Workplace Relations, </w:t>
      </w:r>
      <w:r w:rsidR="00160B8E" w:rsidRPr="00A03B67">
        <w:t>Review of the Fair Work Act Small Claims Procedure.</w:t>
      </w:r>
    </w:p>
  </w:footnote>
  <w:footnote w:id="979">
    <w:p w14:paraId="613EBC78" w14:textId="76403946" w:rsidR="00C12C08" w:rsidRPr="00A03B67" w:rsidRDefault="00C12C08">
      <w:pPr>
        <w:pStyle w:val="FootnoteText"/>
      </w:pPr>
      <w:r w:rsidRPr="00A03B67">
        <w:rPr>
          <w:rStyle w:val="FootnoteReference"/>
        </w:rPr>
        <w:footnoteRef/>
      </w:r>
      <w:r w:rsidRPr="00A03B67">
        <w:t xml:space="preserve"> </w:t>
      </w:r>
      <w:r w:rsidR="00F41573" w:rsidRPr="00A03B67">
        <w:t xml:space="preserve">Department of Employment and Workplace Relations, </w:t>
      </w:r>
      <w:r w:rsidR="00160B8E" w:rsidRPr="00A03B67">
        <w:t>Review of the Fair Work Act Small Claims Procedure</w:t>
      </w:r>
      <w:r w:rsidR="008F6458" w:rsidRPr="00A03B67">
        <w:t>, 5</w:t>
      </w:r>
      <w:r w:rsidR="00160B8E" w:rsidRPr="00A03B67">
        <w:t>.</w:t>
      </w:r>
    </w:p>
  </w:footnote>
  <w:footnote w:id="980">
    <w:p w14:paraId="084ABCA9" w14:textId="3102AFBE" w:rsidR="00C567F8" w:rsidRPr="00A03B67" w:rsidRDefault="00C567F8" w:rsidP="00C567F8">
      <w:pPr>
        <w:pStyle w:val="FootnoteText"/>
      </w:pPr>
      <w:r w:rsidRPr="00A03B67">
        <w:rPr>
          <w:rStyle w:val="FootnoteReference"/>
        </w:rPr>
        <w:footnoteRef/>
      </w:r>
      <w:r w:rsidRPr="00A03B67">
        <w:t xml:space="preserve"> </w:t>
      </w:r>
      <w:r w:rsidR="00E7747A" w:rsidRPr="00A03B67">
        <w:rPr>
          <w:i/>
          <w:iCs/>
        </w:rPr>
        <w:t>Fair Work Act 2009</w:t>
      </w:r>
      <w:r w:rsidR="00E7747A" w:rsidRPr="00A03B67">
        <w:t xml:space="preserve"> (Cth) </w:t>
      </w:r>
      <w:r w:rsidRPr="00A03B67">
        <w:t>s</w:t>
      </w:r>
      <w:r w:rsidR="00A065FD" w:rsidRPr="00A03B67">
        <w:t xml:space="preserve"> </w:t>
      </w:r>
      <w:r w:rsidRPr="00A03B67">
        <w:t>548(3).</w:t>
      </w:r>
    </w:p>
  </w:footnote>
  <w:footnote w:id="981">
    <w:p w14:paraId="01572B21" w14:textId="0028854A" w:rsidR="00821381" w:rsidRPr="00A03B67" w:rsidRDefault="00821381" w:rsidP="00821381">
      <w:pPr>
        <w:pStyle w:val="FootnoteText"/>
        <w:rPr>
          <w:lang w:val="en-US"/>
        </w:rPr>
      </w:pPr>
      <w:r w:rsidRPr="00A03B67">
        <w:rPr>
          <w:rStyle w:val="FootnoteReference"/>
        </w:rPr>
        <w:footnoteRef/>
      </w:r>
      <w:r w:rsidRPr="00A03B67">
        <w:t xml:space="preserve"> According to </w:t>
      </w:r>
      <w:r w:rsidRPr="00A03B67">
        <w:rPr>
          <w:lang w:val="en-US"/>
        </w:rPr>
        <w:t xml:space="preserve">Tess Hardy the term ‘wage theft’ is </w:t>
      </w:r>
      <w:r w:rsidR="007309C2" w:rsidRPr="00A03B67">
        <w:rPr>
          <w:lang w:val="en-US"/>
        </w:rPr>
        <w:t>‘</w:t>
      </w:r>
      <w:r w:rsidRPr="00A03B67">
        <w:rPr>
          <w:lang w:val="en-US"/>
        </w:rPr>
        <w:t>commonly used in the media to refer to the underpayment or non-payment of employee related entitlements</w:t>
      </w:r>
      <w:r w:rsidR="007309C2" w:rsidRPr="00A03B67">
        <w:rPr>
          <w:lang w:val="en-US"/>
        </w:rPr>
        <w:t xml:space="preserve">’: </w:t>
      </w:r>
      <w:r w:rsidRPr="00A03B67">
        <w:rPr>
          <w:lang w:val="en-US"/>
        </w:rPr>
        <w:t xml:space="preserve">Senate </w:t>
      </w:r>
      <w:r w:rsidR="007309C2" w:rsidRPr="00A03B67">
        <w:rPr>
          <w:lang w:val="en-US"/>
        </w:rPr>
        <w:t xml:space="preserve">Standing </w:t>
      </w:r>
      <w:r w:rsidRPr="00A03B67">
        <w:rPr>
          <w:lang w:val="en-US"/>
        </w:rPr>
        <w:t xml:space="preserve">Committee on </w:t>
      </w:r>
      <w:r w:rsidR="00705CA0" w:rsidRPr="00A03B67">
        <w:rPr>
          <w:lang w:val="en-US"/>
        </w:rPr>
        <w:t>Economics,</w:t>
      </w:r>
      <w:r w:rsidR="001E5C1D" w:rsidRPr="00A03B67">
        <w:rPr>
          <w:lang w:val="en-US"/>
        </w:rPr>
        <w:t xml:space="preserve"> Parliament of Australia,</w:t>
      </w:r>
      <w:r w:rsidR="00705CA0" w:rsidRPr="00A03B67">
        <w:rPr>
          <w:lang w:val="en-US"/>
        </w:rPr>
        <w:t xml:space="preserve"> </w:t>
      </w:r>
      <w:r w:rsidR="007309C2" w:rsidRPr="00A03B67">
        <w:rPr>
          <w:lang w:val="en-US"/>
        </w:rPr>
        <w:t xml:space="preserve">inquiry into </w:t>
      </w:r>
      <w:r w:rsidR="007309C2" w:rsidRPr="00A03B67">
        <w:rPr>
          <w:iCs/>
          <w:lang w:val="en-US"/>
        </w:rPr>
        <w:t>u</w:t>
      </w:r>
      <w:r w:rsidRPr="00A03B67">
        <w:rPr>
          <w:iCs/>
          <w:lang w:val="en-US"/>
        </w:rPr>
        <w:t xml:space="preserve">nlawful </w:t>
      </w:r>
      <w:r w:rsidR="007309C2" w:rsidRPr="00A03B67">
        <w:rPr>
          <w:iCs/>
          <w:lang w:val="en-US"/>
        </w:rPr>
        <w:t>u</w:t>
      </w:r>
      <w:r w:rsidRPr="00A03B67">
        <w:rPr>
          <w:iCs/>
          <w:lang w:val="en-US"/>
        </w:rPr>
        <w:t xml:space="preserve">nderpayment of </w:t>
      </w:r>
      <w:r w:rsidR="007309C2" w:rsidRPr="00A03B67">
        <w:rPr>
          <w:iCs/>
          <w:lang w:val="en-US"/>
        </w:rPr>
        <w:t>e</w:t>
      </w:r>
      <w:r w:rsidRPr="00A03B67">
        <w:rPr>
          <w:iCs/>
          <w:lang w:val="en-US"/>
        </w:rPr>
        <w:t>mployees</w:t>
      </w:r>
      <w:r w:rsidR="007309C2" w:rsidRPr="00A03B67">
        <w:rPr>
          <w:iCs/>
          <w:lang w:val="en-US"/>
        </w:rPr>
        <w:t>’</w:t>
      </w:r>
      <w:r w:rsidRPr="00A03B67">
        <w:rPr>
          <w:iCs/>
          <w:lang w:val="en-US"/>
        </w:rPr>
        <w:t xml:space="preserve"> </w:t>
      </w:r>
      <w:r w:rsidR="007309C2" w:rsidRPr="00A03B67">
        <w:rPr>
          <w:iCs/>
          <w:lang w:val="en-US"/>
        </w:rPr>
        <w:t>r</w:t>
      </w:r>
      <w:r w:rsidRPr="00A03B67">
        <w:rPr>
          <w:iCs/>
          <w:lang w:val="en-US"/>
        </w:rPr>
        <w:t>emuneration</w:t>
      </w:r>
      <w:r w:rsidR="007309C2" w:rsidRPr="00A03B67">
        <w:rPr>
          <w:iCs/>
          <w:lang w:val="en-US"/>
        </w:rPr>
        <w:t xml:space="preserve">, </w:t>
      </w:r>
      <w:r w:rsidR="007309C2" w:rsidRPr="00A03B67">
        <w:rPr>
          <w:lang w:val="en-US"/>
        </w:rPr>
        <w:t xml:space="preserve">Dr Tess Hardy, Submission No 85, </w:t>
      </w:r>
      <w:r w:rsidR="00F6021C" w:rsidRPr="00A03B67">
        <w:rPr>
          <w:lang w:val="en-US"/>
        </w:rPr>
        <w:t>[</w:t>
      </w:r>
      <w:r w:rsidRPr="00A03B67">
        <w:rPr>
          <w:lang w:val="en-US"/>
        </w:rPr>
        <w:t>5</w:t>
      </w:r>
      <w:r w:rsidR="00F6021C" w:rsidRPr="00A03B67">
        <w:rPr>
          <w:lang w:val="en-US"/>
        </w:rPr>
        <w:t>]</w:t>
      </w:r>
      <w:r w:rsidR="00C378DF" w:rsidRPr="00A03B67">
        <w:rPr>
          <w:lang w:val="en-US"/>
        </w:rPr>
        <w:t>.</w:t>
      </w:r>
    </w:p>
  </w:footnote>
  <w:footnote w:id="982">
    <w:p w14:paraId="081E3089" w14:textId="2D8E0A34" w:rsidR="00821381" w:rsidRPr="00A03B67" w:rsidRDefault="00821381" w:rsidP="00821381">
      <w:pPr>
        <w:pStyle w:val="FootnoteText"/>
      </w:pPr>
      <w:r w:rsidRPr="00A03B67">
        <w:rPr>
          <w:rStyle w:val="FootnoteReference"/>
        </w:rPr>
        <w:footnoteRef/>
      </w:r>
      <w:r w:rsidRPr="00A03B67">
        <w:t xml:space="preserve"> </w:t>
      </w:r>
      <w:r w:rsidRPr="00A03B67">
        <w:rPr>
          <w:i/>
          <w:iCs/>
        </w:rPr>
        <w:t>Fair Work Act 2009</w:t>
      </w:r>
      <w:r w:rsidR="00E7747A" w:rsidRPr="00A03B67">
        <w:t xml:space="preserve"> (Cth) </w:t>
      </w:r>
      <w:r w:rsidRPr="00A03B67">
        <w:t>s</w:t>
      </w:r>
      <w:r w:rsidR="00E7747A" w:rsidRPr="00A03B67">
        <w:t xml:space="preserve"> </w:t>
      </w:r>
      <w:r w:rsidRPr="00A03B67">
        <w:t>548(1B).</w:t>
      </w:r>
    </w:p>
  </w:footnote>
  <w:footnote w:id="983">
    <w:p w14:paraId="0938BD4F" w14:textId="3D2A27B6" w:rsidR="00821381" w:rsidRPr="00A03B67" w:rsidRDefault="00821381" w:rsidP="00821381">
      <w:pPr>
        <w:pStyle w:val="FootnoteText"/>
      </w:pPr>
      <w:r w:rsidRPr="00A03B67">
        <w:rPr>
          <w:rStyle w:val="FootnoteReference"/>
        </w:rPr>
        <w:footnoteRef/>
      </w:r>
      <w:r w:rsidRPr="00A03B67">
        <w:t xml:space="preserve"> </w:t>
      </w:r>
      <w:r w:rsidR="00E7747A" w:rsidRPr="00A03B67">
        <w:rPr>
          <w:i/>
          <w:iCs/>
        </w:rPr>
        <w:t>Fair Work Act 2009</w:t>
      </w:r>
      <w:r w:rsidR="00E7747A" w:rsidRPr="00A03B67">
        <w:t xml:space="preserve"> (Cth) s</w:t>
      </w:r>
      <w:r w:rsidRPr="00A03B67">
        <w:t xml:space="preserve"> 548(1C).</w:t>
      </w:r>
    </w:p>
  </w:footnote>
  <w:footnote w:id="984">
    <w:p w14:paraId="1D0ECAE1" w14:textId="784D8092" w:rsidR="00821381" w:rsidRPr="00A03B67" w:rsidRDefault="00821381" w:rsidP="00821381">
      <w:pPr>
        <w:pStyle w:val="FootnoteText"/>
        <w:rPr>
          <w:lang w:val="en-US"/>
        </w:rPr>
      </w:pPr>
      <w:r w:rsidRPr="00A03B67">
        <w:rPr>
          <w:rStyle w:val="FootnoteReference"/>
        </w:rPr>
        <w:footnoteRef/>
      </w:r>
      <w:r w:rsidRPr="00A03B67">
        <w:t xml:space="preserve"> </w:t>
      </w:r>
      <w:r w:rsidR="00F4786A" w:rsidRPr="00A03B67">
        <w:t>For more details</w:t>
      </w:r>
      <w:r w:rsidR="007309C2" w:rsidRPr="00A03B67">
        <w:t>,</w:t>
      </w:r>
      <w:r w:rsidR="00F4786A" w:rsidRPr="00A03B67">
        <w:t xml:space="preserve"> see</w:t>
      </w:r>
      <w:r w:rsidRPr="00A03B67">
        <w:t xml:space="preserve"> </w:t>
      </w:r>
      <w:r w:rsidR="0061634D" w:rsidRPr="00A03B67">
        <w:rPr>
          <w:lang w:val="en-US"/>
        </w:rPr>
        <w:t>FWC</w:t>
      </w:r>
      <w:r w:rsidR="000D35C8" w:rsidRPr="00A03B67">
        <w:rPr>
          <w:lang w:val="en-US"/>
        </w:rPr>
        <w:t xml:space="preserve">, </w:t>
      </w:r>
      <w:r w:rsidR="000D35C8" w:rsidRPr="00A03B67">
        <w:rPr>
          <w:i/>
          <w:lang w:val="en-US"/>
        </w:rPr>
        <w:t xml:space="preserve">Enforcement of Commission </w:t>
      </w:r>
      <w:r w:rsidR="007309C2" w:rsidRPr="00A03B67">
        <w:rPr>
          <w:i/>
          <w:iCs/>
          <w:lang w:val="en-US"/>
        </w:rPr>
        <w:t>O</w:t>
      </w:r>
      <w:r w:rsidR="000D35C8" w:rsidRPr="00A03B67">
        <w:rPr>
          <w:i/>
          <w:iCs/>
          <w:lang w:val="en-US"/>
        </w:rPr>
        <w:t>rders</w:t>
      </w:r>
      <w:r w:rsidR="002444B6" w:rsidRPr="00A03B67">
        <w:rPr>
          <w:lang w:val="en-US"/>
        </w:rPr>
        <w:t xml:space="preserve"> </w:t>
      </w:r>
      <w:r w:rsidR="008E25FE" w:rsidRPr="00A03B67">
        <w:rPr>
          <w:lang w:val="en-US"/>
        </w:rPr>
        <w:t>(Web Page</w:t>
      </w:r>
      <w:r w:rsidR="007309C2" w:rsidRPr="00A03B67">
        <w:rPr>
          <w:lang w:val="en-US"/>
        </w:rPr>
        <w:t>, n.d.</w:t>
      </w:r>
      <w:r w:rsidR="008E25FE" w:rsidRPr="00A03B67">
        <w:rPr>
          <w:lang w:val="en-US"/>
        </w:rPr>
        <w:t>) &lt;</w:t>
      </w:r>
      <w:r w:rsidR="00641932" w:rsidRPr="00A03B67">
        <w:t>https://www.fwc.gov.au/enforcement-commission-orders#:~:text=What%20is%20a%20small%20claim%20procedure?&amp;text=A%20small%20claim%20procedure%20in,through%20this%20small%20claim%20procedure&gt;</w:t>
      </w:r>
      <w:r w:rsidR="007309C2" w:rsidRPr="00A03B67">
        <w:t>;</w:t>
      </w:r>
      <w:r w:rsidR="00F4786A" w:rsidRPr="00A03B67">
        <w:t xml:space="preserve"> and</w:t>
      </w:r>
      <w:r w:rsidR="007309C2" w:rsidRPr="00A03B67">
        <w:t xml:space="preserve"> </w:t>
      </w:r>
      <w:r w:rsidR="00641932" w:rsidRPr="00A03B67">
        <w:t>FWO,</w:t>
      </w:r>
      <w:r w:rsidR="003B3DDC" w:rsidRPr="00A03B67">
        <w:t xml:space="preserve"> </w:t>
      </w:r>
      <w:r w:rsidR="003B3DDC" w:rsidRPr="00A03B67">
        <w:rPr>
          <w:i/>
          <w:iCs/>
        </w:rPr>
        <w:t xml:space="preserve">Legal </w:t>
      </w:r>
      <w:r w:rsidR="007309C2" w:rsidRPr="00A03B67">
        <w:rPr>
          <w:i/>
          <w:iCs/>
        </w:rPr>
        <w:t>A</w:t>
      </w:r>
      <w:r w:rsidR="003B3DDC" w:rsidRPr="00A03B67">
        <w:rPr>
          <w:i/>
          <w:iCs/>
        </w:rPr>
        <w:t xml:space="preserve">ction in the </w:t>
      </w:r>
      <w:r w:rsidR="007309C2" w:rsidRPr="00A03B67">
        <w:rPr>
          <w:i/>
          <w:iCs/>
        </w:rPr>
        <w:t>S</w:t>
      </w:r>
      <w:r w:rsidR="003B3DDC" w:rsidRPr="00A03B67">
        <w:rPr>
          <w:i/>
          <w:iCs/>
        </w:rPr>
        <w:t xml:space="preserve">mall </w:t>
      </w:r>
      <w:r w:rsidR="007309C2" w:rsidRPr="00A03B67">
        <w:rPr>
          <w:i/>
          <w:iCs/>
        </w:rPr>
        <w:t>C</w:t>
      </w:r>
      <w:r w:rsidR="003B3DDC" w:rsidRPr="00A03B67">
        <w:rPr>
          <w:i/>
          <w:iCs/>
        </w:rPr>
        <w:t xml:space="preserve">laims </w:t>
      </w:r>
      <w:r w:rsidR="007309C2" w:rsidRPr="00A03B67">
        <w:rPr>
          <w:i/>
          <w:iCs/>
        </w:rPr>
        <w:t>C</w:t>
      </w:r>
      <w:r w:rsidR="003B3DDC" w:rsidRPr="00A03B67">
        <w:rPr>
          <w:i/>
          <w:iCs/>
        </w:rPr>
        <w:t>ourt</w:t>
      </w:r>
      <w:r w:rsidR="003B3DDC" w:rsidRPr="00A03B67">
        <w:t xml:space="preserve"> (Web Page</w:t>
      </w:r>
      <w:r w:rsidR="007309C2" w:rsidRPr="00A03B67">
        <w:t>, n.d.</w:t>
      </w:r>
      <w:r w:rsidR="003B3DDC" w:rsidRPr="00A03B67">
        <w:t>)</w:t>
      </w:r>
      <w:r w:rsidR="00641932" w:rsidRPr="00A03B67">
        <w:t xml:space="preserve"> </w:t>
      </w:r>
      <w:r w:rsidR="00F4786A" w:rsidRPr="00A03B67">
        <w:t>&lt;https://www.fairwork.gov.au/workplace-problems/fixing-a-workplace-problem/resolving-disputes-with-our-help/legal-action-in-the-small-claims-court&gt;.</w:t>
      </w:r>
    </w:p>
  </w:footnote>
  <w:footnote w:id="985">
    <w:p w14:paraId="0E820DB5" w14:textId="7A7A2EAF" w:rsidR="00F009AB" w:rsidRPr="00A03B67" w:rsidRDefault="00F009AB" w:rsidP="00F009AB">
      <w:pPr>
        <w:pStyle w:val="FootnoteText"/>
      </w:pPr>
      <w:r w:rsidRPr="00A03B67">
        <w:rPr>
          <w:rStyle w:val="FootnoteReference"/>
        </w:rPr>
        <w:footnoteRef/>
      </w:r>
      <w:r w:rsidRPr="00A03B67">
        <w:t xml:space="preserve"> </w:t>
      </w:r>
      <w:r w:rsidRPr="00A03B67">
        <w:rPr>
          <w:i/>
          <w:iCs/>
        </w:rPr>
        <w:t>Fair Work Act 2009</w:t>
      </w:r>
      <w:r w:rsidRPr="00A03B67">
        <w:t xml:space="preserve"> (Cth) s 570(2).</w:t>
      </w:r>
    </w:p>
  </w:footnote>
  <w:footnote w:id="986">
    <w:p w14:paraId="734A899F" w14:textId="6853C476" w:rsidR="00D16D8D" w:rsidRPr="00A03B67" w:rsidRDefault="00D16D8D" w:rsidP="00186B39">
      <w:pPr>
        <w:pStyle w:val="FootnoteText"/>
      </w:pPr>
      <w:r w:rsidRPr="00A03B67">
        <w:rPr>
          <w:rStyle w:val="FootnoteReference"/>
        </w:rPr>
        <w:footnoteRef/>
      </w:r>
      <w:r w:rsidRPr="00A03B67">
        <w:t xml:space="preserve"> </w:t>
      </w:r>
      <w:r w:rsidR="00186B39" w:rsidRPr="00A03B67">
        <w:t>Australian Government</w:t>
      </w:r>
      <w:r w:rsidR="007309C2" w:rsidRPr="00A03B67">
        <w:t>,</w:t>
      </w:r>
      <w:r w:rsidR="00186B39" w:rsidRPr="00A03B67">
        <w:t xml:space="preserve"> </w:t>
      </w:r>
      <w:r w:rsidR="00186B39" w:rsidRPr="00A03B67">
        <w:rPr>
          <w:i/>
          <w:iCs/>
        </w:rPr>
        <w:t xml:space="preserve">Australian Government </w:t>
      </w:r>
      <w:r w:rsidR="007309C2" w:rsidRPr="00A03B67">
        <w:rPr>
          <w:i/>
          <w:iCs/>
        </w:rPr>
        <w:t>R</w:t>
      </w:r>
      <w:r w:rsidR="00186B39" w:rsidRPr="00A03B67">
        <w:rPr>
          <w:i/>
          <w:iCs/>
        </w:rPr>
        <w:t>esponse: Report of the Migrant Workers’ Taskforce</w:t>
      </w:r>
      <w:r w:rsidR="00370C5C" w:rsidRPr="00A03B67">
        <w:t xml:space="preserve"> (</w:t>
      </w:r>
      <w:r w:rsidR="007309C2" w:rsidRPr="00A03B67">
        <w:t xml:space="preserve">Report, </w:t>
      </w:r>
      <w:r w:rsidR="00370C5C" w:rsidRPr="00A03B67">
        <w:t xml:space="preserve">March 2019) </w:t>
      </w:r>
      <w:r w:rsidR="00355431" w:rsidRPr="00A03B67">
        <w:t>2.</w:t>
      </w:r>
    </w:p>
  </w:footnote>
  <w:footnote w:id="987">
    <w:p w14:paraId="52F9ACFA" w14:textId="7381B2D9" w:rsidR="00821381" w:rsidRPr="00A03B67" w:rsidRDefault="00821381" w:rsidP="00821381">
      <w:pPr>
        <w:pStyle w:val="FootnoteText"/>
        <w:rPr>
          <w:lang w:val="en-US"/>
        </w:rPr>
      </w:pPr>
      <w:r w:rsidRPr="00A03B67">
        <w:rPr>
          <w:rStyle w:val="FootnoteReference"/>
        </w:rPr>
        <w:footnoteRef/>
      </w:r>
      <w:r w:rsidRPr="00A03B67">
        <w:t xml:space="preserve"> For a summary overview see </w:t>
      </w:r>
      <w:r w:rsidR="007309C2" w:rsidRPr="00A03B67">
        <w:rPr>
          <w:lang w:val="en-US"/>
        </w:rPr>
        <w:t xml:space="preserve">A </w:t>
      </w:r>
      <w:r w:rsidR="001A21AB" w:rsidRPr="00A03B67">
        <w:rPr>
          <w:lang w:val="en-US"/>
        </w:rPr>
        <w:t xml:space="preserve">Fels and </w:t>
      </w:r>
      <w:r w:rsidR="007309C2" w:rsidRPr="00A03B67">
        <w:rPr>
          <w:lang w:val="en-US"/>
        </w:rPr>
        <w:t xml:space="preserve">D </w:t>
      </w:r>
      <w:r w:rsidR="001A21AB" w:rsidRPr="00A03B67">
        <w:rPr>
          <w:lang w:val="en-US"/>
        </w:rPr>
        <w:t xml:space="preserve">Cousins, ‘The Migrant Workers’ Taskforce and the Australian Government’s Response to Migrant Worker Wage Exploitation’ (2019) 84 </w:t>
      </w:r>
      <w:r w:rsidR="001A21AB" w:rsidRPr="00A03B67">
        <w:rPr>
          <w:i/>
          <w:iCs/>
          <w:lang w:val="en-US"/>
        </w:rPr>
        <w:t>Journal of Australian Political Economy</w:t>
      </w:r>
      <w:r w:rsidR="001A21AB" w:rsidRPr="00A03B67">
        <w:rPr>
          <w:lang w:val="en-US"/>
        </w:rPr>
        <w:t xml:space="preserve"> </w:t>
      </w:r>
      <w:r w:rsidRPr="00A03B67">
        <w:rPr>
          <w:lang w:val="en-US"/>
        </w:rPr>
        <w:t>13.</w:t>
      </w:r>
    </w:p>
  </w:footnote>
  <w:footnote w:id="988">
    <w:p w14:paraId="4F6DCCA9" w14:textId="3FF7A8DF" w:rsidR="00821381" w:rsidRPr="00A03B67" w:rsidRDefault="00821381" w:rsidP="00821381">
      <w:pPr>
        <w:pStyle w:val="FootnoteText"/>
        <w:rPr>
          <w:lang w:val="en-US"/>
        </w:rPr>
      </w:pPr>
      <w:r w:rsidRPr="00A03B67">
        <w:rPr>
          <w:rStyle w:val="FootnoteReference"/>
        </w:rPr>
        <w:footnoteRef/>
      </w:r>
      <w:r w:rsidR="0007040F" w:rsidRPr="00A03B67">
        <w:t xml:space="preserve"> Senate Economics References Committee</w:t>
      </w:r>
      <w:r w:rsidR="007E7BDA" w:rsidRPr="00A03B67">
        <w:t>, Parliament of Australia,</w:t>
      </w:r>
      <w:r w:rsidR="00C11C93" w:rsidRPr="00A03B67">
        <w:t xml:space="preserve"> </w:t>
      </w:r>
      <w:r w:rsidR="00C11C93" w:rsidRPr="00A03B67">
        <w:rPr>
          <w:i/>
        </w:rPr>
        <w:t xml:space="preserve">Systemic, </w:t>
      </w:r>
      <w:r w:rsidR="007309C2" w:rsidRPr="00A03B67">
        <w:rPr>
          <w:i/>
        </w:rPr>
        <w:t>S</w:t>
      </w:r>
      <w:r w:rsidR="00C11C93" w:rsidRPr="00A03B67">
        <w:rPr>
          <w:i/>
        </w:rPr>
        <w:t xml:space="preserve">ustained and </w:t>
      </w:r>
      <w:r w:rsidR="007309C2" w:rsidRPr="00A03B67">
        <w:rPr>
          <w:i/>
        </w:rPr>
        <w:t>S</w:t>
      </w:r>
      <w:r w:rsidR="00C11C93" w:rsidRPr="00A03B67">
        <w:rPr>
          <w:i/>
        </w:rPr>
        <w:t>hameful</w:t>
      </w:r>
      <w:r w:rsidR="007309C2" w:rsidRPr="00A03B67">
        <w:rPr>
          <w:i/>
        </w:rPr>
        <w:t>:</w:t>
      </w:r>
      <w:r w:rsidR="00C11C93" w:rsidRPr="00A03B67">
        <w:rPr>
          <w:i/>
        </w:rPr>
        <w:t xml:space="preserve"> Unlawful </w:t>
      </w:r>
      <w:r w:rsidR="007309C2" w:rsidRPr="00A03B67">
        <w:rPr>
          <w:i/>
        </w:rPr>
        <w:t>U</w:t>
      </w:r>
      <w:r w:rsidR="00C11C93" w:rsidRPr="00A03B67">
        <w:rPr>
          <w:i/>
        </w:rPr>
        <w:t xml:space="preserve">nderpayment of </w:t>
      </w:r>
      <w:r w:rsidR="007309C2" w:rsidRPr="00A03B67">
        <w:rPr>
          <w:i/>
        </w:rPr>
        <w:t>E</w:t>
      </w:r>
      <w:r w:rsidR="00C11C93" w:rsidRPr="00A03B67">
        <w:rPr>
          <w:i/>
        </w:rPr>
        <w:t>mployees</w:t>
      </w:r>
      <w:r w:rsidR="007309C2" w:rsidRPr="00A03B67">
        <w:rPr>
          <w:i/>
        </w:rPr>
        <w:t>’</w:t>
      </w:r>
      <w:r w:rsidR="00C11C93" w:rsidRPr="00A03B67">
        <w:rPr>
          <w:i/>
        </w:rPr>
        <w:t xml:space="preserve"> </w:t>
      </w:r>
      <w:r w:rsidR="007309C2" w:rsidRPr="00A03B67">
        <w:rPr>
          <w:i/>
        </w:rPr>
        <w:t>R</w:t>
      </w:r>
      <w:r w:rsidR="00C11C93" w:rsidRPr="00A03B67">
        <w:rPr>
          <w:i/>
        </w:rPr>
        <w:t>emuneration</w:t>
      </w:r>
      <w:r w:rsidR="00C11C93" w:rsidRPr="00A03B67">
        <w:t xml:space="preserve"> </w:t>
      </w:r>
      <w:r w:rsidR="00485114" w:rsidRPr="00A03B67">
        <w:t>(</w:t>
      </w:r>
      <w:r w:rsidR="008B1D89" w:rsidRPr="00A03B67">
        <w:t>Report</w:t>
      </w:r>
      <w:r w:rsidR="00485114" w:rsidRPr="00A03B67">
        <w:t>,</w:t>
      </w:r>
      <w:r w:rsidR="003D52F5" w:rsidRPr="00A03B67">
        <w:t xml:space="preserve"> March 2022).</w:t>
      </w:r>
    </w:p>
  </w:footnote>
  <w:footnote w:id="989">
    <w:p w14:paraId="42514111" w14:textId="7FA83DB8" w:rsidR="00821381" w:rsidRPr="00A03B67" w:rsidRDefault="00821381" w:rsidP="00821381">
      <w:pPr>
        <w:pStyle w:val="FootnoteText"/>
      </w:pPr>
      <w:r w:rsidRPr="00A03B67">
        <w:rPr>
          <w:rStyle w:val="FootnoteReference"/>
        </w:rPr>
        <w:footnoteRef/>
      </w:r>
      <w:r w:rsidRPr="00A03B67">
        <w:t xml:space="preserve"> </w:t>
      </w:r>
      <w:r w:rsidR="000715D1" w:rsidRPr="00A03B67">
        <w:t>Australian Government</w:t>
      </w:r>
      <w:r w:rsidR="007309C2" w:rsidRPr="00A03B67">
        <w:t>,</w:t>
      </w:r>
      <w:r w:rsidR="000715D1" w:rsidRPr="00A03B67">
        <w:t xml:space="preserve"> </w:t>
      </w:r>
      <w:r w:rsidRPr="00A03B67">
        <w:rPr>
          <w:i/>
          <w:iCs/>
        </w:rPr>
        <w:t xml:space="preserve">Australian Government </w:t>
      </w:r>
      <w:r w:rsidR="007309C2" w:rsidRPr="00A03B67">
        <w:rPr>
          <w:i/>
          <w:iCs/>
        </w:rPr>
        <w:t>R</w:t>
      </w:r>
      <w:r w:rsidRPr="00A03B67">
        <w:rPr>
          <w:i/>
          <w:iCs/>
        </w:rPr>
        <w:t xml:space="preserve">esponse to the Senate Economics References Committee </w:t>
      </w:r>
      <w:r w:rsidR="007309C2" w:rsidRPr="00A03B67">
        <w:rPr>
          <w:i/>
          <w:iCs/>
        </w:rPr>
        <w:t>R</w:t>
      </w:r>
      <w:r w:rsidRPr="00A03B67">
        <w:rPr>
          <w:i/>
          <w:iCs/>
        </w:rPr>
        <w:t xml:space="preserve">eport: Systemic, </w:t>
      </w:r>
      <w:r w:rsidR="007309C2" w:rsidRPr="00A03B67">
        <w:rPr>
          <w:i/>
          <w:iCs/>
        </w:rPr>
        <w:t>S</w:t>
      </w:r>
      <w:r w:rsidRPr="00A03B67">
        <w:rPr>
          <w:i/>
          <w:iCs/>
        </w:rPr>
        <w:t xml:space="preserve">ustained and </w:t>
      </w:r>
      <w:r w:rsidR="007309C2" w:rsidRPr="00A03B67">
        <w:rPr>
          <w:i/>
          <w:iCs/>
        </w:rPr>
        <w:t>S</w:t>
      </w:r>
      <w:r w:rsidRPr="00A03B67">
        <w:rPr>
          <w:i/>
          <w:iCs/>
        </w:rPr>
        <w:t xml:space="preserve">hameful: </w:t>
      </w:r>
      <w:r w:rsidR="007309C2" w:rsidRPr="00A03B67">
        <w:rPr>
          <w:i/>
          <w:iCs/>
        </w:rPr>
        <w:t>U</w:t>
      </w:r>
      <w:r w:rsidRPr="00A03B67">
        <w:rPr>
          <w:i/>
          <w:iCs/>
        </w:rPr>
        <w:t xml:space="preserve">nlawful </w:t>
      </w:r>
      <w:r w:rsidR="007309C2" w:rsidRPr="00A03B67">
        <w:rPr>
          <w:i/>
          <w:iCs/>
        </w:rPr>
        <w:t>U</w:t>
      </w:r>
      <w:r w:rsidRPr="00A03B67">
        <w:rPr>
          <w:i/>
          <w:iCs/>
        </w:rPr>
        <w:t xml:space="preserve">nderpayment of </w:t>
      </w:r>
      <w:r w:rsidR="007309C2" w:rsidRPr="00A03B67">
        <w:rPr>
          <w:i/>
          <w:iCs/>
        </w:rPr>
        <w:t>E</w:t>
      </w:r>
      <w:r w:rsidRPr="00A03B67">
        <w:rPr>
          <w:i/>
          <w:iCs/>
        </w:rPr>
        <w:t xml:space="preserve">mployees’ </w:t>
      </w:r>
      <w:r w:rsidR="007309C2" w:rsidRPr="00A03B67">
        <w:rPr>
          <w:i/>
          <w:iCs/>
        </w:rPr>
        <w:t>R</w:t>
      </w:r>
      <w:r w:rsidRPr="00A03B67">
        <w:rPr>
          <w:i/>
          <w:iCs/>
        </w:rPr>
        <w:t>emuneration</w:t>
      </w:r>
      <w:r w:rsidR="003470EB" w:rsidRPr="00A03B67">
        <w:t xml:space="preserve"> (6 April 2023)</w:t>
      </w:r>
      <w:r w:rsidRPr="00A03B67" w:rsidDel="003470EB">
        <w:t xml:space="preserve"> </w:t>
      </w:r>
      <w:r w:rsidRPr="00A03B67">
        <w:t>6.</w:t>
      </w:r>
    </w:p>
  </w:footnote>
  <w:footnote w:id="990">
    <w:p w14:paraId="423A0291" w14:textId="738AD569" w:rsidR="00821381" w:rsidRPr="00A03B67" w:rsidRDefault="00821381" w:rsidP="00821381">
      <w:pPr>
        <w:pStyle w:val="FootnoteText"/>
      </w:pPr>
      <w:r w:rsidRPr="00A03B67">
        <w:rPr>
          <w:rStyle w:val="FootnoteReference"/>
        </w:rPr>
        <w:footnoteRef/>
      </w:r>
      <w:r w:rsidRPr="00A03B67">
        <w:t xml:space="preserve"> </w:t>
      </w:r>
      <w:r w:rsidR="005E40A7" w:rsidRPr="00A03B67">
        <w:t xml:space="preserve">Australian Government </w:t>
      </w:r>
      <w:r w:rsidR="005E40A7" w:rsidRPr="00A03B67">
        <w:rPr>
          <w:i/>
          <w:iCs/>
        </w:rPr>
        <w:t xml:space="preserve">Australian Government </w:t>
      </w:r>
      <w:r w:rsidR="007309C2" w:rsidRPr="00A03B67">
        <w:rPr>
          <w:i/>
          <w:iCs/>
        </w:rPr>
        <w:t>R</w:t>
      </w:r>
      <w:r w:rsidR="005E40A7" w:rsidRPr="00A03B67">
        <w:rPr>
          <w:i/>
          <w:iCs/>
        </w:rPr>
        <w:t xml:space="preserve">esponse to the Senate Economics References Committee </w:t>
      </w:r>
      <w:r w:rsidR="007309C2" w:rsidRPr="00A03B67">
        <w:rPr>
          <w:i/>
          <w:iCs/>
        </w:rPr>
        <w:t>R</w:t>
      </w:r>
      <w:r w:rsidR="005E40A7" w:rsidRPr="00A03B67">
        <w:rPr>
          <w:i/>
          <w:iCs/>
        </w:rPr>
        <w:t xml:space="preserve">eport: Systemic, </w:t>
      </w:r>
      <w:r w:rsidR="007309C2" w:rsidRPr="00A03B67">
        <w:rPr>
          <w:i/>
          <w:iCs/>
        </w:rPr>
        <w:t>S</w:t>
      </w:r>
      <w:r w:rsidR="005E40A7" w:rsidRPr="00A03B67">
        <w:rPr>
          <w:i/>
          <w:iCs/>
        </w:rPr>
        <w:t xml:space="preserve">ustained and </w:t>
      </w:r>
      <w:r w:rsidR="007309C2" w:rsidRPr="00A03B67">
        <w:rPr>
          <w:i/>
          <w:iCs/>
        </w:rPr>
        <w:t>S</w:t>
      </w:r>
      <w:r w:rsidR="005E40A7" w:rsidRPr="00A03B67">
        <w:rPr>
          <w:i/>
          <w:iCs/>
        </w:rPr>
        <w:t xml:space="preserve">hameful: </w:t>
      </w:r>
      <w:r w:rsidR="007309C2" w:rsidRPr="00A03B67">
        <w:rPr>
          <w:i/>
          <w:iCs/>
        </w:rPr>
        <w:t>U</w:t>
      </w:r>
      <w:r w:rsidR="005E40A7" w:rsidRPr="00A03B67">
        <w:rPr>
          <w:i/>
          <w:iCs/>
        </w:rPr>
        <w:t xml:space="preserve">nlawful </w:t>
      </w:r>
      <w:r w:rsidR="007309C2" w:rsidRPr="00A03B67">
        <w:rPr>
          <w:i/>
          <w:iCs/>
        </w:rPr>
        <w:t>U</w:t>
      </w:r>
      <w:r w:rsidR="005E40A7" w:rsidRPr="00A03B67">
        <w:rPr>
          <w:i/>
          <w:iCs/>
        </w:rPr>
        <w:t xml:space="preserve">nderpayment of </w:t>
      </w:r>
      <w:r w:rsidR="007309C2" w:rsidRPr="00A03B67">
        <w:rPr>
          <w:i/>
          <w:iCs/>
        </w:rPr>
        <w:t>E</w:t>
      </w:r>
      <w:r w:rsidR="005E40A7" w:rsidRPr="00A03B67">
        <w:rPr>
          <w:i/>
          <w:iCs/>
        </w:rPr>
        <w:t xml:space="preserve">mployees’ </w:t>
      </w:r>
      <w:r w:rsidR="007309C2" w:rsidRPr="00A03B67">
        <w:rPr>
          <w:i/>
          <w:iCs/>
        </w:rPr>
        <w:t>R</w:t>
      </w:r>
      <w:r w:rsidR="005E40A7" w:rsidRPr="00A03B67">
        <w:rPr>
          <w:i/>
          <w:iCs/>
        </w:rPr>
        <w:t>emuneration</w:t>
      </w:r>
      <w:r w:rsidR="005E40A7" w:rsidRPr="00A03B67">
        <w:t xml:space="preserve"> (6 April 2023) 6.</w:t>
      </w:r>
    </w:p>
  </w:footnote>
  <w:footnote w:id="991">
    <w:p w14:paraId="468142E7" w14:textId="00DC365B" w:rsidR="00821381" w:rsidRPr="00A03B67" w:rsidRDefault="00821381" w:rsidP="00821381">
      <w:pPr>
        <w:pStyle w:val="FootnoteText"/>
        <w:rPr>
          <w:lang w:val="en-US"/>
        </w:rPr>
      </w:pPr>
      <w:r w:rsidRPr="00A03B67">
        <w:rPr>
          <w:rStyle w:val="FootnoteReference"/>
        </w:rPr>
        <w:footnoteRef/>
      </w:r>
      <w:r w:rsidRPr="00A03B67">
        <w:t xml:space="preserve"> </w:t>
      </w:r>
      <w:r w:rsidR="0052030C" w:rsidRPr="00A03B67">
        <w:t>Revised Explanatory Memorandum, Fair Work Legislation Amendment (Secure Jobs, Better Pay) Bill 2022 (Cth)</w:t>
      </w:r>
      <w:r w:rsidR="008F780C" w:rsidRPr="00A03B67">
        <w:t>,</w:t>
      </w:r>
      <w:r w:rsidR="0052030C" w:rsidRPr="00A03B67">
        <w:t xml:space="preserve"> </w:t>
      </w:r>
      <w:r w:rsidRPr="00A03B67">
        <w:rPr>
          <w:lang w:val="en-US"/>
        </w:rPr>
        <w:t xml:space="preserve">204. </w:t>
      </w:r>
    </w:p>
  </w:footnote>
  <w:footnote w:id="992">
    <w:p w14:paraId="67F063AB" w14:textId="25311DAA" w:rsidR="00821381" w:rsidRPr="00A03B67" w:rsidRDefault="00821381" w:rsidP="00821381">
      <w:pPr>
        <w:pStyle w:val="FootnoteText"/>
        <w:rPr>
          <w:lang w:val="en-US"/>
        </w:rPr>
      </w:pPr>
      <w:r w:rsidRPr="00A03B67">
        <w:rPr>
          <w:rStyle w:val="FootnoteReference"/>
        </w:rPr>
        <w:footnoteRef/>
      </w:r>
      <w:r w:rsidRPr="00A03B67">
        <w:t xml:space="preserve"> </w:t>
      </w:r>
      <w:r w:rsidR="0052030C" w:rsidRPr="00A03B67">
        <w:t>Revised Explanatory Memorandum, Fair Work Legislation Amendment (Secure Jobs, Better Pay) Bill 2022 (Cth)</w:t>
      </w:r>
      <w:r w:rsidR="008F780C" w:rsidRPr="00A03B67">
        <w:t>,</w:t>
      </w:r>
      <w:r w:rsidR="0052030C" w:rsidRPr="00A03B67">
        <w:t xml:space="preserve"> </w:t>
      </w:r>
      <w:r w:rsidRPr="00A03B67">
        <w:rPr>
          <w:lang w:val="en-US"/>
        </w:rPr>
        <w:t>205.</w:t>
      </w:r>
    </w:p>
  </w:footnote>
  <w:footnote w:id="993">
    <w:p w14:paraId="0C2C8977" w14:textId="6F62E5F1"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The Migrant Workers</w:t>
      </w:r>
      <w:r w:rsidR="004E4B04" w:rsidRPr="00A03B67">
        <w:rPr>
          <w:lang w:val="en-US"/>
        </w:rPr>
        <w:t>’</w:t>
      </w:r>
      <w:r w:rsidRPr="00A03B67">
        <w:rPr>
          <w:lang w:val="en-US"/>
        </w:rPr>
        <w:t xml:space="preserve"> Taskforce (MWTF) was established in 2016 to deal with the problem of the underpayment of wages of migrant workers. It was chaired by Professor Allan Fels AO with Mr David Cousins AM as Deputy Chair. In an article published in 2019 Fels and Cousins note that, in 2017</w:t>
      </w:r>
      <w:r w:rsidR="008F780C" w:rsidRPr="00A03B67">
        <w:rPr>
          <w:rFonts w:ascii="Symbol" w:eastAsia="Symbol" w:hAnsi="Symbol" w:cs="Symbol"/>
          <w:lang w:val="en-US"/>
        </w:rPr>
        <w:t>-</w:t>
      </w:r>
      <w:r w:rsidRPr="00A03B67">
        <w:rPr>
          <w:lang w:val="en-US"/>
        </w:rPr>
        <w:t>18</w:t>
      </w:r>
      <w:r w:rsidR="008F780C" w:rsidRPr="00A03B67">
        <w:rPr>
          <w:lang w:val="en-US"/>
        </w:rPr>
        <w:t>,</w:t>
      </w:r>
      <w:r w:rsidRPr="00A03B67">
        <w:rPr>
          <w:lang w:val="en-US"/>
        </w:rPr>
        <w:t xml:space="preserve"> migrant workers comprised 6% of the Australian workforce but accounted for 20% </w:t>
      </w:r>
      <w:r w:rsidR="000A0E38" w:rsidRPr="00A03B67">
        <w:rPr>
          <w:lang w:val="en-US"/>
        </w:rPr>
        <w:t>of</w:t>
      </w:r>
      <w:r w:rsidRPr="00A03B67">
        <w:rPr>
          <w:lang w:val="en-US"/>
        </w:rPr>
        <w:t xml:space="preserve"> formal disputes at the FWO. Their paper summarises various recommendations of the MWTF, including increasing penalties in the F</w:t>
      </w:r>
      <w:r w:rsidR="008F780C" w:rsidRPr="00A03B67">
        <w:rPr>
          <w:lang w:val="en-US"/>
        </w:rPr>
        <w:t xml:space="preserve">air </w:t>
      </w:r>
      <w:r w:rsidRPr="00A03B67">
        <w:rPr>
          <w:lang w:val="en-US"/>
        </w:rPr>
        <w:t>W</w:t>
      </w:r>
      <w:r w:rsidR="008F780C" w:rsidRPr="00A03B67">
        <w:rPr>
          <w:lang w:val="en-US"/>
        </w:rPr>
        <w:t>ork</w:t>
      </w:r>
      <w:r w:rsidRPr="00A03B67">
        <w:rPr>
          <w:lang w:val="en-US"/>
        </w:rPr>
        <w:t xml:space="preserve"> Act to help deter noncompliance</w:t>
      </w:r>
      <w:r w:rsidR="008F780C" w:rsidRPr="00A03B67">
        <w:rPr>
          <w:lang w:val="en-US"/>
        </w:rPr>
        <w:t>:</w:t>
      </w:r>
      <w:r w:rsidRPr="00A03B67">
        <w:rPr>
          <w:lang w:val="en-US"/>
        </w:rPr>
        <w:t xml:space="preserve"> </w:t>
      </w:r>
      <w:r w:rsidR="008F780C" w:rsidRPr="00A03B67">
        <w:rPr>
          <w:lang w:val="en-US"/>
        </w:rPr>
        <w:t xml:space="preserve">A </w:t>
      </w:r>
      <w:r w:rsidRPr="00A03B67">
        <w:rPr>
          <w:lang w:val="en-US"/>
        </w:rPr>
        <w:t xml:space="preserve">Fels and </w:t>
      </w:r>
      <w:r w:rsidR="008F780C" w:rsidRPr="00A03B67">
        <w:rPr>
          <w:lang w:val="en-US"/>
        </w:rPr>
        <w:t xml:space="preserve">D </w:t>
      </w:r>
      <w:r w:rsidRPr="00A03B67">
        <w:rPr>
          <w:lang w:val="en-US"/>
        </w:rPr>
        <w:t>Cousins, ‘The Migrant Workers’ Taskforce and the Australian Government’s Response to Migrant Worker Wage Exploitation’</w:t>
      </w:r>
      <w:r w:rsidR="00CD0DC8" w:rsidRPr="00A03B67">
        <w:rPr>
          <w:lang w:val="en-US"/>
        </w:rPr>
        <w:t xml:space="preserve"> (2019)</w:t>
      </w:r>
      <w:r w:rsidR="00F070BE" w:rsidRPr="00A03B67">
        <w:rPr>
          <w:lang w:val="en-US"/>
        </w:rPr>
        <w:t xml:space="preserve"> 84</w:t>
      </w:r>
      <w:r w:rsidRPr="00A03B67">
        <w:rPr>
          <w:lang w:val="en-US"/>
        </w:rPr>
        <w:t xml:space="preserve"> </w:t>
      </w:r>
      <w:r w:rsidRPr="00A03B67">
        <w:rPr>
          <w:i/>
          <w:iCs/>
          <w:lang w:val="en-US"/>
        </w:rPr>
        <w:t>Journal of Australian Political Economy</w:t>
      </w:r>
      <w:r w:rsidR="00F070BE" w:rsidRPr="00A03B67">
        <w:rPr>
          <w:lang w:val="en-US"/>
        </w:rPr>
        <w:t xml:space="preserve"> </w:t>
      </w:r>
      <w:r w:rsidRPr="00A03B67">
        <w:rPr>
          <w:lang w:val="en-US"/>
        </w:rPr>
        <w:t>13.</w:t>
      </w:r>
    </w:p>
  </w:footnote>
  <w:footnote w:id="994">
    <w:p w14:paraId="23A254C0" w14:textId="51C8B7D4" w:rsidR="00821381" w:rsidRPr="00A03B67" w:rsidRDefault="00821381" w:rsidP="00821381">
      <w:pPr>
        <w:pStyle w:val="FootnoteText"/>
      </w:pPr>
      <w:r w:rsidRPr="00A03B67">
        <w:rPr>
          <w:rStyle w:val="FootnoteReference"/>
        </w:rPr>
        <w:footnoteRef/>
      </w:r>
      <w:r w:rsidRPr="00A03B67">
        <w:t xml:space="preserve"> </w:t>
      </w:r>
      <w:r w:rsidR="008F780C" w:rsidRPr="00A03B67">
        <w:t xml:space="preserve">J </w:t>
      </w:r>
      <w:r w:rsidRPr="00A03B67">
        <w:t>Hare</w:t>
      </w:r>
      <w:r w:rsidR="00617266" w:rsidRPr="00A03B67">
        <w:t>,</w:t>
      </w:r>
      <w:r w:rsidRPr="00A03B67">
        <w:t xml:space="preserve"> </w:t>
      </w:r>
      <w:r w:rsidR="004C4295" w:rsidRPr="00A03B67">
        <w:t xml:space="preserve">‘Wage </w:t>
      </w:r>
      <w:r w:rsidR="008F780C" w:rsidRPr="00A03B67">
        <w:t>T</w:t>
      </w:r>
      <w:r w:rsidR="004C4295" w:rsidRPr="00A03B67">
        <w:t xml:space="preserve">heft </w:t>
      </w:r>
      <w:r w:rsidR="008F780C" w:rsidRPr="00A03B67">
        <w:t>S</w:t>
      </w:r>
      <w:r w:rsidR="004C4295" w:rsidRPr="00A03B67">
        <w:t xml:space="preserve">hameful and </w:t>
      </w:r>
      <w:r w:rsidR="008F780C" w:rsidRPr="00A03B67">
        <w:t>S</w:t>
      </w:r>
      <w:r w:rsidR="004C4295" w:rsidRPr="00A03B67">
        <w:t xml:space="preserve">ystemic, </w:t>
      </w:r>
      <w:r w:rsidR="008F780C" w:rsidRPr="00A03B67">
        <w:t>S</w:t>
      </w:r>
      <w:r w:rsidR="004C4295" w:rsidRPr="00A03B67">
        <w:t xml:space="preserve">ays </w:t>
      </w:r>
      <w:r w:rsidR="008F780C" w:rsidRPr="00A03B67">
        <w:t>S</w:t>
      </w:r>
      <w:r w:rsidR="004C4295" w:rsidRPr="00A03B67">
        <w:t xml:space="preserve">enate </w:t>
      </w:r>
      <w:r w:rsidR="008F780C" w:rsidRPr="00A03B67">
        <w:t>R</w:t>
      </w:r>
      <w:r w:rsidR="004C4295" w:rsidRPr="00A03B67">
        <w:t>eport’</w:t>
      </w:r>
      <w:r w:rsidRPr="00A03B67">
        <w:t xml:space="preserve">, </w:t>
      </w:r>
      <w:r w:rsidRPr="00A03B67">
        <w:rPr>
          <w:i/>
        </w:rPr>
        <w:t>Australian Financial Review</w:t>
      </w:r>
      <w:r w:rsidRPr="00A03B67">
        <w:t xml:space="preserve"> </w:t>
      </w:r>
      <w:r w:rsidR="00617266" w:rsidRPr="00A03B67">
        <w:t>(online, 31 March 2022)</w:t>
      </w:r>
      <w:r w:rsidR="004C4295" w:rsidRPr="00A03B67">
        <w:t xml:space="preserve"> &lt;https://www.afr.com/work-and-careers/education/wage-theft-shameful-and-systemic-says-senate-report-20220331-p5a9rn&gt;.</w:t>
      </w:r>
      <w:r w:rsidRPr="00A03B67">
        <w:t xml:space="preserve"> </w:t>
      </w:r>
    </w:p>
  </w:footnote>
  <w:footnote w:id="995">
    <w:p w14:paraId="4A4B9A82" w14:textId="50F6499B" w:rsidR="00197B43" w:rsidRPr="00A03B67" w:rsidRDefault="00197B43">
      <w:pPr>
        <w:pStyle w:val="FootnoteText"/>
      </w:pPr>
      <w:r w:rsidRPr="00A03B67">
        <w:rPr>
          <w:rStyle w:val="FootnoteReference"/>
        </w:rPr>
        <w:footnoteRef/>
      </w:r>
      <w:r w:rsidRPr="00A03B67">
        <w:t xml:space="preserve"> </w:t>
      </w:r>
      <w:r w:rsidR="008F780C" w:rsidRPr="00A03B67">
        <w:t xml:space="preserve">S </w:t>
      </w:r>
      <w:r w:rsidR="00B67B93" w:rsidRPr="00A03B67">
        <w:t>Marsh, ‘Sydney</w:t>
      </w:r>
      <w:r w:rsidR="008F780C" w:rsidRPr="00A03B67">
        <w:t>’</w:t>
      </w:r>
      <w:r w:rsidR="00B67B93" w:rsidRPr="00A03B67">
        <w:t xml:space="preserve">s </w:t>
      </w:r>
      <w:r w:rsidR="008F780C" w:rsidRPr="00A03B67">
        <w:t>F</w:t>
      </w:r>
      <w:r w:rsidR="00B67B93" w:rsidRPr="00A03B67">
        <w:t xml:space="preserve">ive-star Shangri-La </w:t>
      </w:r>
      <w:r w:rsidR="008F780C" w:rsidRPr="00A03B67">
        <w:t>H</w:t>
      </w:r>
      <w:r w:rsidR="00B67B93" w:rsidRPr="00A03B67">
        <w:t xml:space="preserve">otel </w:t>
      </w:r>
      <w:r w:rsidR="008F780C" w:rsidRPr="00A03B67">
        <w:t>U</w:t>
      </w:r>
      <w:r w:rsidR="00B67B93" w:rsidRPr="00A03B67">
        <w:t xml:space="preserve">nderpaid </w:t>
      </w:r>
      <w:r w:rsidR="008F780C" w:rsidRPr="00A03B67">
        <w:t>E</w:t>
      </w:r>
      <w:r w:rsidR="00B67B93" w:rsidRPr="00A03B67">
        <w:t xml:space="preserve">mployees </w:t>
      </w:r>
      <w:r w:rsidR="008F780C" w:rsidRPr="00A03B67">
        <w:t>m</w:t>
      </w:r>
      <w:r w:rsidR="00B67B93" w:rsidRPr="00A03B67">
        <w:t xml:space="preserve">ore </w:t>
      </w:r>
      <w:r w:rsidR="008F780C" w:rsidRPr="00A03B67">
        <w:t>T</w:t>
      </w:r>
      <w:r w:rsidR="00B67B93" w:rsidRPr="00A03B67">
        <w:t>han $3 million’</w:t>
      </w:r>
      <w:r w:rsidR="008F780C" w:rsidRPr="00A03B67">
        <w:t>,</w:t>
      </w:r>
      <w:r w:rsidR="00B67B93" w:rsidRPr="00A03B67">
        <w:t xml:space="preserve"> </w:t>
      </w:r>
      <w:r w:rsidR="00B67B93" w:rsidRPr="00A03B67">
        <w:rPr>
          <w:i/>
          <w:iCs/>
        </w:rPr>
        <w:t>9news</w:t>
      </w:r>
      <w:r w:rsidR="00B67B93" w:rsidRPr="00A03B67">
        <w:t xml:space="preserve"> (online, 1 April 2022 ) &lt;https://www.9news.com.au/national/shangrila-sydney-five-star-hotel-found-to-have-underpaid-workers-3-million/16feb7b5-1a40-4dc9-9168-e8e2a4c1fd71&gt;.</w:t>
      </w:r>
    </w:p>
  </w:footnote>
  <w:footnote w:id="996">
    <w:p w14:paraId="3D73186C" w14:textId="28CDAF86" w:rsidR="00B67B93" w:rsidRPr="00A03B67" w:rsidRDefault="00B67B93">
      <w:pPr>
        <w:pStyle w:val="FootnoteText"/>
      </w:pPr>
      <w:r w:rsidRPr="00A03B67">
        <w:rPr>
          <w:rStyle w:val="FootnoteReference"/>
        </w:rPr>
        <w:footnoteRef/>
      </w:r>
      <w:r w:rsidRPr="00A03B67">
        <w:t xml:space="preserve"> </w:t>
      </w:r>
      <w:r w:rsidR="008F780C" w:rsidRPr="00A03B67">
        <w:t xml:space="preserve">C </w:t>
      </w:r>
      <w:r w:rsidR="00805D50" w:rsidRPr="00A03B67">
        <w:t xml:space="preserve">Conor </w:t>
      </w:r>
      <w:r w:rsidRPr="00A03B67">
        <w:t>Duffy</w:t>
      </w:r>
      <w:r w:rsidR="008F780C" w:rsidRPr="00A03B67">
        <w:t>,</w:t>
      </w:r>
      <w:r w:rsidRPr="00A03B67">
        <w:t xml:space="preserve"> </w:t>
      </w:r>
      <w:r w:rsidR="002D290F" w:rsidRPr="00A03B67">
        <w:t xml:space="preserve">‘Union </w:t>
      </w:r>
      <w:r w:rsidR="008F780C" w:rsidRPr="00A03B67">
        <w:t>C</w:t>
      </w:r>
      <w:r w:rsidR="002D290F" w:rsidRPr="00A03B67">
        <w:t xml:space="preserve">alls for </w:t>
      </w:r>
      <w:r w:rsidR="008F780C" w:rsidRPr="00A03B67">
        <w:t>B</w:t>
      </w:r>
      <w:r w:rsidR="002D290F" w:rsidRPr="00A03B67">
        <w:t xml:space="preserve">ackpay and </w:t>
      </w:r>
      <w:r w:rsidR="008F780C" w:rsidRPr="00A03B67">
        <w:t>A</w:t>
      </w:r>
      <w:r w:rsidR="002D290F" w:rsidRPr="00A03B67">
        <w:t xml:space="preserve">pology after University of Melbourne </w:t>
      </w:r>
      <w:r w:rsidR="008F780C" w:rsidRPr="00A03B67">
        <w:t>F</w:t>
      </w:r>
      <w:r w:rsidR="002D290F" w:rsidRPr="00A03B67">
        <w:t xml:space="preserve">aculties </w:t>
      </w:r>
      <w:r w:rsidR="008F780C" w:rsidRPr="00A03B67">
        <w:t>C</w:t>
      </w:r>
      <w:r w:rsidR="002D290F" w:rsidRPr="00A03B67">
        <w:t xml:space="preserve">ut PhD </w:t>
      </w:r>
      <w:r w:rsidR="008F780C" w:rsidRPr="00A03B67">
        <w:t>R</w:t>
      </w:r>
      <w:r w:rsidR="002D290F" w:rsidRPr="00A03B67">
        <w:t xml:space="preserve">ates for </w:t>
      </w:r>
      <w:r w:rsidR="008F780C" w:rsidRPr="00A03B67">
        <w:t>C</w:t>
      </w:r>
      <w:r w:rsidR="002D290F" w:rsidRPr="00A03B67">
        <w:t>asuals’</w:t>
      </w:r>
      <w:r w:rsidRPr="00A03B67">
        <w:t xml:space="preserve">, </w:t>
      </w:r>
      <w:r w:rsidRPr="00A03B67">
        <w:rPr>
          <w:i/>
          <w:iCs/>
        </w:rPr>
        <w:t>ABC News</w:t>
      </w:r>
      <w:r w:rsidRPr="00A03B67">
        <w:t xml:space="preserve"> (online, 21 March 2022) </w:t>
      </w:r>
      <w:r w:rsidR="00A10F0F" w:rsidRPr="00A03B67">
        <w:t>&lt;https://www.abc.net.au/news/2022-03-21/union-calls-for-action-on-university-of-melbourne-phd-pay/100921064&gt;</w:t>
      </w:r>
      <w:r w:rsidRPr="00A03B67">
        <w:t>.</w:t>
      </w:r>
    </w:p>
  </w:footnote>
  <w:footnote w:id="997">
    <w:p w14:paraId="2BBFA4C4" w14:textId="3886E52D" w:rsidR="00D1411A" w:rsidRPr="00A03B67" w:rsidRDefault="00D1411A" w:rsidP="00D1411A">
      <w:pPr>
        <w:pStyle w:val="FootnoteText"/>
      </w:pPr>
      <w:r w:rsidRPr="00A03B67">
        <w:rPr>
          <w:rStyle w:val="FootnoteReference"/>
        </w:rPr>
        <w:footnoteRef/>
      </w:r>
      <w:r w:rsidRPr="00A03B67">
        <w:t xml:space="preserve"> </w:t>
      </w:r>
      <w:r w:rsidR="00581061" w:rsidRPr="00A03B67">
        <w:t xml:space="preserve">See </w:t>
      </w:r>
      <w:r w:rsidR="008F780C" w:rsidRPr="00A03B67">
        <w:t xml:space="preserve">e.g. </w:t>
      </w:r>
      <w:r w:rsidR="00E83E03" w:rsidRPr="00A03B67">
        <w:t xml:space="preserve">UWU, </w:t>
      </w:r>
      <w:r w:rsidR="00581061" w:rsidRPr="00A03B67">
        <w:rPr>
          <w:i/>
        </w:rPr>
        <w:t>2022–2024: Taking Down Wage Thieves Across Australia</w:t>
      </w:r>
      <w:r w:rsidR="002A6442" w:rsidRPr="00A03B67">
        <w:t xml:space="preserve"> (Web Page</w:t>
      </w:r>
      <w:r w:rsidR="008F780C" w:rsidRPr="00A03B67">
        <w:t>, n.d.</w:t>
      </w:r>
      <w:r w:rsidR="002A6442" w:rsidRPr="00A03B67">
        <w:t>)</w:t>
      </w:r>
      <w:r w:rsidR="00581061" w:rsidRPr="00A03B67">
        <w:t xml:space="preserve"> &lt;https://unitedworkers.org.au/history/taking-down-wage-thieves-across-australia/#:~:text=Between%202022%2D2024%2C%20United%20Workers,practices%20and%20building%20union%20power&gt; and Unions NSW, </w:t>
      </w:r>
      <w:r w:rsidR="00581061" w:rsidRPr="00A03B67">
        <w:rPr>
          <w:i/>
        </w:rPr>
        <w:t xml:space="preserve">Wage </w:t>
      </w:r>
      <w:r w:rsidR="008F780C" w:rsidRPr="00A03B67">
        <w:rPr>
          <w:i/>
        </w:rPr>
        <w:t>T</w:t>
      </w:r>
      <w:r w:rsidR="00581061" w:rsidRPr="00A03B67">
        <w:rPr>
          <w:i/>
        </w:rPr>
        <w:t xml:space="preserve">heft – The </w:t>
      </w:r>
      <w:r w:rsidR="008F780C" w:rsidRPr="00A03B67">
        <w:rPr>
          <w:i/>
        </w:rPr>
        <w:t>S</w:t>
      </w:r>
      <w:r w:rsidR="00581061" w:rsidRPr="00A03B67">
        <w:rPr>
          <w:i/>
        </w:rPr>
        <w:t xml:space="preserve">hadow </w:t>
      </w:r>
      <w:r w:rsidR="008F780C" w:rsidRPr="00A03B67">
        <w:rPr>
          <w:i/>
        </w:rPr>
        <w:t>M</w:t>
      </w:r>
      <w:r w:rsidR="00581061" w:rsidRPr="00A03B67">
        <w:rPr>
          <w:i/>
        </w:rPr>
        <w:t xml:space="preserve">arket </w:t>
      </w:r>
      <w:r w:rsidR="008F780C" w:rsidRPr="00A03B67">
        <w:rPr>
          <w:i/>
        </w:rPr>
        <w:t>E</w:t>
      </w:r>
      <w:r w:rsidR="00581061" w:rsidRPr="00A03B67">
        <w:rPr>
          <w:i/>
        </w:rPr>
        <w:t xml:space="preserve">mpowering </w:t>
      </w:r>
      <w:r w:rsidR="008F780C" w:rsidRPr="00A03B67">
        <w:rPr>
          <w:i/>
        </w:rPr>
        <w:t>M</w:t>
      </w:r>
      <w:r w:rsidR="00581061" w:rsidRPr="00A03B67">
        <w:rPr>
          <w:i/>
        </w:rPr>
        <w:t xml:space="preserve">igrant </w:t>
      </w:r>
      <w:r w:rsidR="008F780C" w:rsidRPr="00A03B67">
        <w:rPr>
          <w:i/>
        </w:rPr>
        <w:t>W</w:t>
      </w:r>
      <w:r w:rsidR="00581061" w:rsidRPr="00A03B67">
        <w:rPr>
          <w:i/>
        </w:rPr>
        <w:t xml:space="preserve">orkers to </w:t>
      </w:r>
      <w:r w:rsidR="008F780C" w:rsidRPr="00A03B67">
        <w:rPr>
          <w:i/>
        </w:rPr>
        <w:t>E</w:t>
      </w:r>
      <w:r w:rsidR="00581061" w:rsidRPr="00A03B67">
        <w:rPr>
          <w:i/>
        </w:rPr>
        <w:t xml:space="preserve">nforce </w:t>
      </w:r>
      <w:r w:rsidR="008F780C" w:rsidRPr="00A03B67">
        <w:rPr>
          <w:i/>
        </w:rPr>
        <w:t>T</w:t>
      </w:r>
      <w:r w:rsidR="00581061" w:rsidRPr="00A03B67">
        <w:rPr>
          <w:i/>
        </w:rPr>
        <w:t xml:space="preserve">heir </w:t>
      </w:r>
      <w:r w:rsidR="008F780C" w:rsidRPr="00A03B67">
        <w:rPr>
          <w:i/>
        </w:rPr>
        <w:t>R</w:t>
      </w:r>
      <w:r w:rsidR="00581061" w:rsidRPr="00A03B67">
        <w:rPr>
          <w:i/>
        </w:rPr>
        <w:t>ights</w:t>
      </w:r>
      <w:r w:rsidR="00581061" w:rsidRPr="00A03B67">
        <w:t xml:space="preserve"> </w:t>
      </w:r>
      <w:r w:rsidR="00286F80" w:rsidRPr="00A03B67">
        <w:t>(Web Page</w:t>
      </w:r>
      <w:r w:rsidR="008F780C" w:rsidRPr="00A03B67">
        <w:t>, n.d.</w:t>
      </w:r>
      <w:r w:rsidR="00286F80" w:rsidRPr="00A03B67">
        <w:t xml:space="preserve">) </w:t>
      </w:r>
      <w:r w:rsidR="00581061" w:rsidRPr="00A03B67">
        <w:t>&lt;https://www.unionsnsw.org.au/publication/wage-theft-the-shadow-market-empowering-migrant-workers-to-enforce-their-rights/&gt;</w:t>
      </w:r>
      <w:r w:rsidRPr="00A03B67">
        <w:t>.</w:t>
      </w:r>
    </w:p>
  </w:footnote>
  <w:footnote w:id="998">
    <w:p w14:paraId="259A1E45" w14:textId="6A31813E" w:rsidR="00821381" w:rsidRPr="00A03B67" w:rsidRDefault="00821381" w:rsidP="00821381">
      <w:pPr>
        <w:pStyle w:val="FootnoteText"/>
        <w:rPr>
          <w:lang w:val="en-US"/>
        </w:rPr>
      </w:pPr>
      <w:r w:rsidRPr="00A03B67">
        <w:rPr>
          <w:rStyle w:val="FootnoteReference"/>
        </w:rPr>
        <w:footnoteRef/>
      </w:r>
      <w:r w:rsidRPr="00A03B67">
        <w:t xml:space="preserve"> </w:t>
      </w:r>
      <w:r w:rsidR="00EA5AB3" w:rsidRPr="00A03B67">
        <w:t>Senate Economics References Committee,</w:t>
      </w:r>
      <w:r w:rsidRPr="00A03B67">
        <w:t xml:space="preserve"> </w:t>
      </w:r>
      <w:r w:rsidR="00C303C9" w:rsidRPr="00A03B67">
        <w:t>Parliament of Australia,</w:t>
      </w:r>
      <w:r w:rsidR="00EA5AB3" w:rsidRPr="00A03B67">
        <w:t xml:space="preserve"> </w:t>
      </w:r>
      <w:r w:rsidR="002A4E86" w:rsidRPr="00A03B67">
        <w:rPr>
          <w:i/>
          <w:iCs/>
        </w:rPr>
        <w:t xml:space="preserve">Systemic, </w:t>
      </w:r>
      <w:r w:rsidR="008F780C" w:rsidRPr="00A03B67">
        <w:rPr>
          <w:i/>
          <w:iCs/>
        </w:rPr>
        <w:t>S</w:t>
      </w:r>
      <w:r w:rsidR="002A4E86" w:rsidRPr="00A03B67">
        <w:rPr>
          <w:i/>
          <w:iCs/>
        </w:rPr>
        <w:t xml:space="preserve">ustained and </w:t>
      </w:r>
      <w:r w:rsidR="008F780C" w:rsidRPr="00A03B67">
        <w:rPr>
          <w:i/>
          <w:iCs/>
        </w:rPr>
        <w:t>S</w:t>
      </w:r>
      <w:r w:rsidR="002A4E86" w:rsidRPr="00A03B67">
        <w:rPr>
          <w:i/>
          <w:iCs/>
        </w:rPr>
        <w:t>hameful</w:t>
      </w:r>
      <w:r w:rsidR="008F780C" w:rsidRPr="00A03B67">
        <w:rPr>
          <w:i/>
          <w:iCs/>
        </w:rPr>
        <w:t>:</w:t>
      </w:r>
      <w:r w:rsidRPr="00A03B67">
        <w:rPr>
          <w:i/>
        </w:rPr>
        <w:t xml:space="preserve"> </w:t>
      </w:r>
      <w:r w:rsidR="00A21A48" w:rsidRPr="00A03B67">
        <w:rPr>
          <w:i/>
        </w:rPr>
        <w:t xml:space="preserve">Unlawful </w:t>
      </w:r>
      <w:r w:rsidR="008F780C" w:rsidRPr="00A03B67">
        <w:rPr>
          <w:i/>
        </w:rPr>
        <w:t>U</w:t>
      </w:r>
      <w:r w:rsidR="00A21A48" w:rsidRPr="00A03B67">
        <w:rPr>
          <w:i/>
        </w:rPr>
        <w:t xml:space="preserve">nderpayment of </w:t>
      </w:r>
      <w:r w:rsidR="008F780C" w:rsidRPr="00A03B67">
        <w:rPr>
          <w:i/>
        </w:rPr>
        <w:t>E</w:t>
      </w:r>
      <w:r w:rsidR="00A21A48" w:rsidRPr="00A03B67">
        <w:rPr>
          <w:i/>
        </w:rPr>
        <w:t>mployees</w:t>
      </w:r>
      <w:r w:rsidR="008F780C" w:rsidRPr="00A03B67">
        <w:rPr>
          <w:i/>
        </w:rPr>
        <w:t>’</w:t>
      </w:r>
      <w:r w:rsidR="00A21A48" w:rsidRPr="00A03B67">
        <w:rPr>
          <w:i/>
        </w:rPr>
        <w:t xml:space="preserve"> </w:t>
      </w:r>
      <w:r w:rsidR="008F780C" w:rsidRPr="00A03B67">
        <w:rPr>
          <w:i/>
        </w:rPr>
        <w:t>R</w:t>
      </w:r>
      <w:r w:rsidR="00A21A48" w:rsidRPr="00A03B67">
        <w:rPr>
          <w:i/>
        </w:rPr>
        <w:t>emuneration</w:t>
      </w:r>
      <w:r w:rsidR="00A21A48" w:rsidRPr="00A03B67">
        <w:t xml:space="preserve"> </w:t>
      </w:r>
      <w:r w:rsidR="00494D3B" w:rsidRPr="00A03B67">
        <w:t xml:space="preserve">(Report, </w:t>
      </w:r>
      <w:r w:rsidR="00A052BC" w:rsidRPr="00A03B67">
        <w:t xml:space="preserve">March 2022) </w:t>
      </w:r>
      <w:r w:rsidRPr="00A03B67">
        <w:t>137</w:t>
      </w:r>
      <w:r w:rsidR="00AA72C0" w:rsidRPr="00A03B67">
        <w:t xml:space="preserve"> [6.3]</w:t>
      </w:r>
      <w:r w:rsidRPr="00A03B67">
        <w:t>.</w:t>
      </w:r>
    </w:p>
  </w:footnote>
  <w:footnote w:id="999">
    <w:p w14:paraId="1A0070AB" w14:textId="33E52B1A" w:rsidR="002D30C0" w:rsidRPr="00A03B67" w:rsidRDefault="002D30C0" w:rsidP="002D30C0">
      <w:pPr>
        <w:pStyle w:val="FootnoteText"/>
        <w:rPr>
          <w:lang w:val="en-US"/>
        </w:rPr>
      </w:pPr>
      <w:r w:rsidRPr="00A03B67">
        <w:rPr>
          <w:rStyle w:val="FootnoteReference"/>
        </w:rPr>
        <w:footnoteRef/>
      </w:r>
      <w:r w:rsidRPr="00A03B67">
        <w:t xml:space="preserve"> Senate Economics References Committee, Parliament of Australia, </w:t>
      </w:r>
      <w:r w:rsidR="008F780C" w:rsidRPr="00A03B67">
        <w:rPr>
          <w:i/>
          <w:iCs/>
        </w:rPr>
        <w:t>Systemic, Sustained and Shameful:</w:t>
      </w:r>
      <w:r w:rsidR="008F780C" w:rsidRPr="00A03B67">
        <w:rPr>
          <w:i/>
        </w:rPr>
        <w:t xml:space="preserve"> Unlawful Underpayment of Employees’ Remuneration</w:t>
      </w:r>
      <w:r w:rsidR="008F780C" w:rsidRPr="00A03B67">
        <w:t xml:space="preserve"> </w:t>
      </w:r>
      <w:r w:rsidRPr="00A03B67">
        <w:t>(Report, March 2022) 139 [6.17].</w:t>
      </w:r>
    </w:p>
  </w:footnote>
  <w:footnote w:id="1000">
    <w:p w14:paraId="13429B33" w14:textId="14B582E1" w:rsidR="00821381" w:rsidRPr="00A03B67" w:rsidRDefault="00821381" w:rsidP="00821381">
      <w:pPr>
        <w:pStyle w:val="FootnoteText"/>
        <w:rPr>
          <w:lang w:val="en-US"/>
        </w:rPr>
      </w:pPr>
      <w:r w:rsidRPr="00A03B67">
        <w:rPr>
          <w:rStyle w:val="FootnoteReference"/>
        </w:rPr>
        <w:footnoteRef/>
      </w:r>
      <w:r w:rsidRPr="00A03B67">
        <w:t xml:space="preserve"> </w:t>
      </w:r>
      <w:r w:rsidR="008F780C" w:rsidRPr="00A03B67">
        <w:t xml:space="preserve">B </w:t>
      </w:r>
      <w:r w:rsidR="00331704" w:rsidRPr="00A03B67">
        <w:t xml:space="preserve">Coates, </w:t>
      </w:r>
      <w:r w:rsidR="008F780C" w:rsidRPr="00A03B67">
        <w:t xml:space="preserve">T </w:t>
      </w:r>
      <w:r w:rsidR="00331704" w:rsidRPr="00A03B67">
        <w:t xml:space="preserve">Wiltshire and </w:t>
      </w:r>
      <w:r w:rsidR="008F780C" w:rsidRPr="00A03B67">
        <w:t xml:space="preserve">T </w:t>
      </w:r>
      <w:r w:rsidR="00331704" w:rsidRPr="00A03B67">
        <w:t>Reysenbach</w:t>
      </w:r>
      <w:r w:rsidR="008F780C" w:rsidRPr="00A03B67">
        <w:t>,</w:t>
      </w:r>
      <w:r w:rsidR="00331704" w:rsidRPr="00A03B67">
        <w:t xml:space="preserve"> </w:t>
      </w:r>
      <w:r w:rsidRPr="00A03B67">
        <w:rPr>
          <w:i/>
          <w:iCs/>
          <w:lang w:val="en-US"/>
        </w:rPr>
        <w:t xml:space="preserve">Short-changed: </w:t>
      </w:r>
      <w:r w:rsidR="008F780C" w:rsidRPr="00A03B67">
        <w:rPr>
          <w:i/>
          <w:iCs/>
          <w:lang w:val="en-US"/>
        </w:rPr>
        <w:t>H</w:t>
      </w:r>
      <w:r w:rsidRPr="00A03B67">
        <w:rPr>
          <w:i/>
          <w:iCs/>
          <w:lang w:val="en-US"/>
        </w:rPr>
        <w:t xml:space="preserve">ow to </w:t>
      </w:r>
      <w:r w:rsidR="008F780C" w:rsidRPr="00A03B67">
        <w:rPr>
          <w:i/>
          <w:iCs/>
          <w:lang w:val="en-US"/>
        </w:rPr>
        <w:t>S</w:t>
      </w:r>
      <w:r w:rsidRPr="00A03B67">
        <w:rPr>
          <w:i/>
          <w:iCs/>
          <w:lang w:val="en-US"/>
        </w:rPr>
        <w:t xml:space="preserve">top the </w:t>
      </w:r>
      <w:r w:rsidR="008F780C" w:rsidRPr="00A03B67">
        <w:rPr>
          <w:i/>
          <w:iCs/>
          <w:lang w:val="en-US"/>
        </w:rPr>
        <w:t>E</w:t>
      </w:r>
      <w:r w:rsidRPr="00A03B67">
        <w:rPr>
          <w:i/>
          <w:iCs/>
          <w:lang w:val="en-US"/>
        </w:rPr>
        <w:t xml:space="preserve">xploitation of </w:t>
      </w:r>
      <w:r w:rsidR="008F780C" w:rsidRPr="00A03B67">
        <w:rPr>
          <w:i/>
          <w:iCs/>
          <w:lang w:val="en-US"/>
        </w:rPr>
        <w:t>M</w:t>
      </w:r>
      <w:r w:rsidRPr="00A03B67">
        <w:rPr>
          <w:i/>
          <w:iCs/>
          <w:lang w:val="en-US"/>
        </w:rPr>
        <w:t xml:space="preserve">igrant </w:t>
      </w:r>
      <w:r w:rsidR="008F780C" w:rsidRPr="00A03B67">
        <w:rPr>
          <w:i/>
          <w:iCs/>
          <w:lang w:val="en-US"/>
        </w:rPr>
        <w:t>W</w:t>
      </w:r>
      <w:r w:rsidRPr="00A03B67">
        <w:rPr>
          <w:i/>
          <w:iCs/>
          <w:lang w:val="en-US"/>
        </w:rPr>
        <w:t>orkers in Australia</w:t>
      </w:r>
      <w:r w:rsidRPr="00A03B67">
        <w:rPr>
          <w:lang w:val="en-US"/>
        </w:rPr>
        <w:t xml:space="preserve"> </w:t>
      </w:r>
      <w:r w:rsidR="00331704" w:rsidRPr="00A03B67">
        <w:t xml:space="preserve">(Report No. 2023-07, </w:t>
      </w:r>
      <w:r w:rsidR="008F780C" w:rsidRPr="00A03B67">
        <w:t>Grattan Institute, M</w:t>
      </w:r>
      <w:r w:rsidR="00331704" w:rsidRPr="00A03B67">
        <w:t>ay 2023).</w:t>
      </w:r>
    </w:p>
  </w:footnote>
  <w:footnote w:id="1001">
    <w:p w14:paraId="7D48A726" w14:textId="1F796A5B" w:rsidR="00821381" w:rsidRPr="00A03B67" w:rsidRDefault="00821381" w:rsidP="00821381">
      <w:pPr>
        <w:pStyle w:val="FootnoteText"/>
      </w:pPr>
      <w:r w:rsidRPr="00A03B67">
        <w:rPr>
          <w:rStyle w:val="FootnoteReference"/>
        </w:rPr>
        <w:footnoteRef/>
      </w:r>
      <w:r w:rsidRPr="00A03B67">
        <w:t xml:space="preserve"> </w:t>
      </w:r>
      <w:r w:rsidR="008F780C" w:rsidRPr="00A03B67">
        <w:t xml:space="preserve">C </w:t>
      </w:r>
      <w:r w:rsidR="00331704" w:rsidRPr="00A03B67">
        <w:t xml:space="preserve">Hemingway, </w:t>
      </w:r>
      <w:r w:rsidR="008F780C" w:rsidRPr="00A03B67">
        <w:t xml:space="preserve">F </w:t>
      </w:r>
      <w:r w:rsidR="00331704" w:rsidRPr="00A03B67">
        <w:t xml:space="preserve">Yeh, </w:t>
      </w:r>
      <w:r w:rsidR="008F780C" w:rsidRPr="00A03B67">
        <w:t xml:space="preserve">L </w:t>
      </w:r>
      <w:r w:rsidR="00331704" w:rsidRPr="00A03B67">
        <w:t xml:space="preserve">Berg and </w:t>
      </w:r>
      <w:r w:rsidR="008F780C" w:rsidRPr="00A03B67">
        <w:t xml:space="preserve">B </w:t>
      </w:r>
      <w:r w:rsidR="00331704" w:rsidRPr="00A03B67">
        <w:t>Farbenblum</w:t>
      </w:r>
      <w:r w:rsidR="008F780C" w:rsidRPr="00A03B67">
        <w:t>,</w:t>
      </w:r>
      <w:r w:rsidR="00331704" w:rsidRPr="00A03B67">
        <w:t xml:space="preserve"> </w:t>
      </w:r>
      <w:r w:rsidRPr="00A03B67">
        <w:rPr>
          <w:i/>
          <w:iCs/>
        </w:rPr>
        <w:t xml:space="preserve">All Work, No Pay: Improving the </w:t>
      </w:r>
      <w:r w:rsidR="008F780C" w:rsidRPr="00A03B67">
        <w:rPr>
          <w:i/>
          <w:iCs/>
        </w:rPr>
        <w:t>L</w:t>
      </w:r>
      <w:r w:rsidRPr="00A03B67">
        <w:rPr>
          <w:i/>
          <w:iCs/>
        </w:rPr>
        <w:t xml:space="preserve">egal </w:t>
      </w:r>
      <w:r w:rsidR="008F780C" w:rsidRPr="00A03B67">
        <w:rPr>
          <w:i/>
          <w:iCs/>
        </w:rPr>
        <w:t>S</w:t>
      </w:r>
      <w:r w:rsidRPr="00A03B67">
        <w:rPr>
          <w:i/>
          <w:iCs/>
        </w:rPr>
        <w:t xml:space="preserve">ystem </w:t>
      </w:r>
      <w:r w:rsidR="008F780C" w:rsidRPr="00A03B67">
        <w:rPr>
          <w:i/>
          <w:iCs/>
        </w:rPr>
        <w:t>S</w:t>
      </w:r>
      <w:r w:rsidRPr="00A03B67">
        <w:rPr>
          <w:i/>
          <w:iCs/>
        </w:rPr>
        <w:t xml:space="preserve">o </w:t>
      </w:r>
      <w:r w:rsidR="008F780C" w:rsidRPr="00A03B67">
        <w:rPr>
          <w:i/>
          <w:iCs/>
        </w:rPr>
        <w:t>M</w:t>
      </w:r>
      <w:r w:rsidRPr="00A03B67">
        <w:rPr>
          <w:i/>
          <w:iCs/>
        </w:rPr>
        <w:t xml:space="preserve">igrants </w:t>
      </w:r>
      <w:r w:rsidR="008F780C" w:rsidRPr="00A03B67">
        <w:rPr>
          <w:i/>
          <w:iCs/>
        </w:rPr>
        <w:t>C</w:t>
      </w:r>
      <w:r w:rsidRPr="00A03B67">
        <w:rPr>
          <w:i/>
          <w:iCs/>
        </w:rPr>
        <w:t xml:space="preserve">an </w:t>
      </w:r>
      <w:r w:rsidR="008F780C" w:rsidRPr="00A03B67">
        <w:rPr>
          <w:i/>
          <w:iCs/>
        </w:rPr>
        <w:t>G</w:t>
      </w:r>
      <w:r w:rsidRPr="00A03B67">
        <w:rPr>
          <w:i/>
          <w:iCs/>
        </w:rPr>
        <w:t xml:space="preserve">et the </w:t>
      </w:r>
      <w:r w:rsidR="008F780C" w:rsidRPr="00A03B67">
        <w:rPr>
          <w:i/>
          <w:iCs/>
        </w:rPr>
        <w:t>W</w:t>
      </w:r>
      <w:r w:rsidRPr="00A03B67">
        <w:rPr>
          <w:i/>
          <w:iCs/>
        </w:rPr>
        <w:t xml:space="preserve">ages </w:t>
      </w:r>
      <w:r w:rsidR="008F780C" w:rsidRPr="00A03B67">
        <w:rPr>
          <w:i/>
          <w:iCs/>
        </w:rPr>
        <w:t>T</w:t>
      </w:r>
      <w:r w:rsidRPr="00A03B67">
        <w:rPr>
          <w:i/>
          <w:iCs/>
        </w:rPr>
        <w:t xml:space="preserve">hey </w:t>
      </w:r>
      <w:r w:rsidR="008F780C" w:rsidRPr="00A03B67">
        <w:rPr>
          <w:i/>
          <w:iCs/>
        </w:rPr>
        <w:t>A</w:t>
      </w:r>
      <w:r w:rsidRPr="00A03B67">
        <w:rPr>
          <w:i/>
          <w:iCs/>
        </w:rPr>
        <w:t xml:space="preserve">re </w:t>
      </w:r>
      <w:r w:rsidR="008F780C" w:rsidRPr="00A03B67">
        <w:rPr>
          <w:i/>
          <w:iCs/>
        </w:rPr>
        <w:t>O</w:t>
      </w:r>
      <w:r w:rsidRPr="00A03B67">
        <w:rPr>
          <w:i/>
          <w:iCs/>
        </w:rPr>
        <w:t xml:space="preserve">wed </w:t>
      </w:r>
      <w:r w:rsidR="00F34D1A" w:rsidRPr="00A03B67">
        <w:t>(Migrant Justice Institute, 2024)</w:t>
      </w:r>
      <w:r w:rsidRPr="00A03B67">
        <w:t>.</w:t>
      </w:r>
    </w:p>
  </w:footnote>
  <w:footnote w:id="1002">
    <w:p w14:paraId="674162C6" w14:textId="4C4EEE77"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 xml:space="preserve">For further discussion of the history and an overview of the literature on underpayment and insecure work in Australia see </w:t>
      </w:r>
      <w:r w:rsidR="008F780C" w:rsidRPr="00A03B67">
        <w:rPr>
          <w:lang w:val="en-US"/>
        </w:rPr>
        <w:t xml:space="preserve">B </w:t>
      </w:r>
      <w:r w:rsidR="00D619C1" w:rsidRPr="00A03B67">
        <w:rPr>
          <w:lang w:val="en-US"/>
        </w:rPr>
        <w:t xml:space="preserve">Ellem, </w:t>
      </w:r>
      <w:r w:rsidR="008F780C" w:rsidRPr="00A03B67">
        <w:rPr>
          <w:lang w:val="en-US"/>
        </w:rPr>
        <w:t>C</w:t>
      </w:r>
      <w:r w:rsidR="00D619C1" w:rsidRPr="00A03B67">
        <w:rPr>
          <w:lang w:val="en-US"/>
        </w:rPr>
        <w:t xml:space="preserve">F Wright, </w:t>
      </w:r>
      <w:r w:rsidR="008F780C" w:rsidRPr="00A03B67">
        <w:rPr>
          <w:lang w:val="en-US"/>
        </w:rPr>
        <w:t xml:space="preserve">S </w:t>
      </w:r>
      <w:r w:rsidR="00D619C1" w:rsidRPr="00A03B67">
        <w:rPr>
          <w:lang w:val="en-US"/>
        </w:rPr>
        <w:t xml:space="preserve">Clibborn, </w:t>
      </w:r>
      <w:r w:rsidR="008F780C" w:rsidRPr="00A03B67">
        <w:rPr>
          <w:lang w:val="en-US"/>
        </w:rPr>
        <w:t xml:space="preserve">R </w:t>
      </w:r>
      <w:r w:rsidR="00D619C1" w:rsidRPr="00A03B67">
        <w:rPr>
          <w:lang w:val="en-US"/>
        </w:rPr>
        <w:t xml:space="preserve">Cooper, </w:t>
      </w:r>
      <w:r w:rsidR="008F780C" w:rsidRPr="00A03B67">
        <w:rPr>
          <w:lang w:val="en-US"/>
        </w:rPr>
        <w:t xml:space="preserve">F </w:t>
      </w:r>
      <w:r w:rsidR="00D619C1" w:rsidRPr="00A03B67">
        <w:rPr>
          <w:lang w:val="en-US"/>
        </w:rPr>
        <w:t xml:space="preserve">Flanagan and </w:t>
      </w:r>
      <w:r w:rsidR="008F780C" w:rsidRPr="00A03B67">
        <w:rPr>
          <w:lang w:val="en-US"/>
        </w:rPr>
        <w:t xml:space="preserve">A </w:t>
      </w:r>
      <w:r w:rsidR="00D619C1" w:rsidRPr="00A03B67">
        <w:rPr>
          <w:lang w:val="en-US"/>
        </w:rPr>
        <w:t>Veen</w:t>
      </w:r>
      <w:r w:rsidR="008F780C" w:rsidRPr="00A03B67">
        <w:rPr>
          <w:lang w:val="en-US"/>
        </w:rPr>
        <w:t>,</w:t>
      </w:r>
      <w:r w:rsidR="00D619C1" w:rsidRPr="00A03B67">
        <w:rPr>
          <w:lang w:val="en-US"/>
        </w:rPr>
        <w:t xml:space="preserve"> </w:t>
      </w:r>
      <w:r w:rsidRPr="00A03B67">
        <w:rPr>
          <w:i/>
          <w:iCs/>
          <w:lang w:val="en-US"/>
        </w:rPr>
        <w:t xml:space="preserve">Work and Industrial Relations Policy in Australia </w:t>
      </w:r>
      <w:r w:rsidR="008F780C" w:rsidRPr="00A03B67">
        <w:rPr>
          <w:lang w:val="en-US"/>
        </w:rPr>
        <w:t>(</w:t>
      </w:r>
      <w:r w:rsidRPr="00A03B67">
        <w:rPr>
          <w:lang w:val="en-US"/>
        </w:rPr>
        <w:t>forthcoming,</w:t>
      </w:r>
      <w:r w:rsidRPr="00A03B67">
        <w:rPr>
          <w:i/>
          <w:iCs/>
          <w:lang w:val="en-US"/>
        </w:rPr>
        <w:t xml:space="preserve"> </w:t>
      </w:r>
      <w:r w:rsidRPr="00A03B67">
        <w:rPr>
          <w:lang w:val="en-US"/>
        </w:rPr>
        <w:t>Bristol University Press</w:t>
      </w:r>
      <w:r w:rsidR="008F780C" w:rsidRPr="00A03B67">
        <w:rPr>
          <w:lang w:val="en-US"/>
        </w:rPr>
        <w:t xml:space="preserve">) Ch 9 (Policy failure: underpayment and insecure work). </w:t>
      </w:r>
    </w:p>
  </w:footnote>
  <w:footnote w:id="1003">
    <w:p w14:paraId="52773D71" w14:textId="47D7B2F0" w:rsidR="00821381" w:rsidRPr="00A03B67" w:rsidRDefault="00821381" w:rsidP="00821381">
      <w:pPr>
        <w:pStyle w:val="FootnoteText"/>
        <w:rPr>
          <w:lang w:val="en-US"/>
        </w:rPr>
      </w:pPr>
      <w:r w:rsidRPr="00A03B67">
        <w:rPr>
          <w:rStyle w:val="FootnoteReference"/>
        </w:rPr>
        <w:footnoteRef/>
      </w:r>
      <w:r w:rsidRPr="00A03B67">
        <w:t xml:space="preserve"> </w:t>
      </w:r>
      <w:r w:rsidR="008F780C" w:rsidRPr="00A03B67">
        <w:t xml:space="preserve">C Hemingway, F Yeh, L Berg and B Farbenblum, </w:t>
      </w:r>
      <w:r w:rsidR="008F780C" w:rsidRPr="00A03B67">
        <w:rPr>
          <w:i/>
          <w:iCs/>
        </w:rPr>
        <w:t xml:space="preserve">All Work, No Pay: Improving the Legal System So Migrants Can Get the Wages They Are Owed </w:t>
      </w:r>
      <w:r w:rsidR="008F780C" w:rsidRPr="00A03B67">
        <w:t xml:space="preserve">(Migrant Justice Institute, 2024) </w:t>
      </w:r>
      <w:r w:rsidR="00ED06ED" w:rsidRPr="00A03B67">
        <w:t>7</w:t>
      </w:r>
      <w:r w:rsidRPr="00A03B67">
        <w:t>.</w:t>
      </w:r>
    </w:p>
  </w:footnote>
  <w:footnote w:id="1004">
    <w:p w14:paraId="437CE706" w14:textId="58F77450" w:rsidR="00821381" w:rsidRPr="00A03B67" w:rsidRDefault="00821381" w:rsidP="00821381">
      <w:pPr>
        <w:pStyle w:val="FootnoteText"/>
      </w:pPr>
      <w:r w:rsidRPr="00A03B67">
        <w:rPr>
          <w:rStyle w:val="FootnoteReference"/>
        </w:rPr>
        <w:footnoteRef/>
      </w:r>
      <w:r w:rsidRPr="00A03B67">
        <w:t xml:space="preserve"> </w:t>
      </w:r>
      <w:r w:rsidR="00155F2E" w:rsidRPr="00A03B67">
        <w:rPr>
          <w:lang w:val="en-US"/>
        </w:rPr>
        <w:t xml:space="preserve">FWC, </w:t>
      </w:r>
      <w:r w:rsidR="00155F2E" w:rsidRPr="00A03B67">
        <w:rPr>
          <w:i/>
          <w:iCs/>
        </w:rPr>
        <w:t xml:space="preserve">Apply for </w:t>
      </w:r>
      <w:r w:rsidR="00A64A10" w:rsidRPr="00A03B67">
        <w:rPr>
          <w:i/>
          <w:iCs/>
        </w:rPr>
        <w:t>U</w:t>
      </w:r>
      <w:r w:rsidR="00155F2E" w:rsidRPr="00A03B67">
        <w:rPr>
          <w:i/>
          <w:iCs/>
        </w:rPr>
        <w:t xml:space="preserve">nfair </w:t>
      </w:r>
      <w:r w:rsidR="00A64A10" w:rsidRPr="00A03B67">
        <w:rPr>
          <w:i/>
          <w:iCs/>
        </w:rPr>
        <w:t>D</w:t>
      </w:r>
      <w:r w:rsidR="00155F2E" w:rsidRPr="00A03B67">
        <w:rPr>
          <w:i/>
          <w:iCs/>
        </w:rPr>
        <w:t>ismissal (Form F2)</w:t>
      </w:r>
      <w:r w:rsidR="00155F2E" w:rsidRPr="00A03B67">
        <w:rPr>
          <w:lang w:val="en-US"/>
        </w:rPr>
        <w:t xml:space="preserve"> (Web Page</w:t>
      </w:r>
      <w:r w:rsidR="00A64A10" w:rsidRPr="00A03B67">
        <w:rPr>
          <w:lang w:val="en-US"/>
        </w:rPr>
        <w:t>, n.d.</w:t>
      </w:r>
      <w:r w:rsidR="00155F2E" w:rsidRPr="00A03B67">
        <w:rPr>
          <w:lang w:val="en-US"/>
        </w:rPr>
        <w:t>) &lt;</w:t>
      </w:r>
      <w:r w:rsidR="00155F2E" w:rsidRPr="00A03B67">
        <w:t>https://fwc.gov.au/form/apply-unfair-dismissal-form-f2&gt;.</w:t>
      </w:r>
    </w:p>
  </w:footnote>
  <w:footnote w:id="1005">
    <w:p w14:paraId="29B7BC41" w14:textId="283612A8" w:rsidR="00821381" w:rsidRPr="00A03B67" w:rsidRDefault="00821381" w:rsidP="00821381">
      <w:pPr>
        <w:pStyle w:val="FootnoteText"/>
      </w:pPr>
      <w:r w:rsidRPr="00A03B67">
        <w:rPr>
          <w:rStyle w:val="FootnoteReference"/>
        </w:rPr>
        <w:footnoteRef/>
      </w:r>
      <w:r w:rsidRPr="00A03B67">
        <w:t xml:space="preserve"> </w:t>
      </w:r>
      <w:r w:rsidR="00155F2E" w:rsidRPr="00A03B67">
        <w:t>FCFCOA,</w:t>
      </w:r>
      <w:r w:rsidRPr="00A03B67">
        <w:t xml:space="preserve"> </w:t>
      </w:r>
      <w:r w:rsidR="00155F2E" w:rsidRPr="00A03B67">
        <w:rPr>
          <w:i/>
          <w:iCs/>
        </w:rPr>
        <w:t xml:space="preserve">Fees </w:t>
      </w:r>
      <w:r w:rsidR="00155F2E" w:rsidRPr="00A03B67">
        <w:rPr>
          <w:lang w:val="en-US"/>
        </w:rPr>
        <w:t>(Web Page</w:t>
      </w:r>
      <w:r w:rsidR="00A64A10" w:rsidRPr="00A03B67">
        <w:rPr>
          <w:lang w:val="en-US"/>
        </w:rPr>
        <w:t>, n.d.</w:t>
      </w:r>
      <w:r w:rsidR="00155F2E" w:rsidRPr="00A03B67">
        <w:rPr>
          <w:lang w:val="en-US"/>
        </w:rPr>
        <w:t>) &lt;</w:t>
      </w:r>
      <w:r w:rsidR="00155F2E" w:rsidRPr="00A03B67">
        <w:t>https://www.fcfcoa.gov.au/resources/fees&gt;.</w:t>
      </w:r>
    </w:p>
  </w:footnote>
  <w:footnote w:id="1006">
    <w:p w14:paraId="08BDD2BF" w14:textId="77DE1B9C" w:rsidR="00821381" w:rsidRPr="00A03B67" w:rsidRDefault="00821381" w:rsidP="00821381">
      <w:pPr>
        <w:pStyle w:val="FootnoteText"/>
      </w:pPr>
      <w:r w:rsidRPr="00A03B67">
        <w:rPr>
          <w:rStyle w:val="FootnoteReference"/>
        </w:rPr>
        <w:footnoteRef/>
      </w:r>
      <w:r w:rsidRPr="00A03B67">
        <w:t xml:space="preserve"> </w:t>
      </w:r>
      <w:r w:rsidR="00155F2E" w:rsidRPr="00A03B67">
        <w:t xml:space="preserve">FCFCOA, </w:t>
      </w:r>
      <w:r w:rsidR="00000C0B" w:rsidRPr="00A03B67">
        <w:rPr>
          <w:i/>
          <w:iCs/>
        </w:rPr>
        <w:t xml:space="preserve">Application for </w:t>
      </w:r>
      <w:r w:rsidR="00A64A10" w:rsidRPr="00A03B67">
        <w:rPr>
          <w:i/>
          <w:iCs/>
        </w:rPr>
        <w:t>E</w:t>
      </w:r>
      <w:r w:rsidR="00000C0B" w:rsidRPr="00A03B67">
        <w:rPr>
          <w:i/>
          <w:iCs/>
        </w:rPr>
        <w:t xml:space="preserve">xemption from </w:t>
      </w:r>
      <w:r w:rsidR="00A64A10" w:rsidRPr="00A03B67">
        <w:rPr>
          <w:i/>
          <w:iCs/>
        </w:rPr>
        <w:t>P</w:t>
      </w:r>
      <w:r w:rsidR="00000C0B" w:rsidRPr="00A03B67">
        <w:rPr>
          <w:i/>
          <w:iCs/>
        </w:rPr>
        <w:t xml:space="preserve">aying Court </w:t>
      </w:r>
      <w:r w:rsidR="00A64A10" w:rsidRPr="00A03B67">
        <w:rPr>
          <w:i/>
          <w:iCs/>
        </w:rPr>
        <w:t>F</w:t>
      </w:r>
      <w:r w:rsidR="00000C0B" w:rsidRPr="00A03B67">
        <w:rPr>
          <w:i/>
          <w:iCs/>
        </w:rPr>
        <w:t xml:space="preserve">ees </w:t>
      </w:r>
      <w:r w:rsidR="00A64A10" w:rsidRPr="00A03B67">
        <w:rPr>
          <w:rFonts w:ascii="Symbol" w:eastAsia="Symbol" w:hAnsi="Symbol" w:cs="Symbol"/>
          <w:i/>
          <w:iCs/>
        </w:rPr>
        <w:t>-</w:t>
      </w:r>
      <w:r w:rsidR="00000C0B" w:rsidRPr="00A03B67">
        <w:rPr>
          <w:i/>
          <w:iCs/>
        </w:rPr>
        <w:t xml:space="preserve"> </w:t>
      </w:r>
      <w:r w:rsidR="00A64A10" w:rsidRPr="00A03B67">
        <w:rPr>
          <w:i/>
          <w:iCs/>
        </w:rPr>
        <w:t xml:space="preserve"> G</w:t>
      </w:r>
      <w:r w:rsidR="00000C0B" w:rsidRPr="00A03B67">
        <w:rPr>
          <w:i/>
          <w:iCs/>
        </w:rPr>
        <w:t>eneral (</w:t>
      </w:r>
      <w:r w:rsidR="00A64A10" w:rsidRPr="00A03B67">
        <w:rPr>
          <w:i/>
          <w:iCs/>
        </w:rPr>
        <w:t>G</w:t>
      </w:r>
      <w:r w:rsidR="00000C0B" w:rsidRPr="00A03B67">
        <w:rPr>
          <w:i/>
          <w:iCs/>
        </w:rPr>
        <w:t xml:space="preserve">eneral </w:t>
      </w:r>
      <w:r w:rsidR="00A64A10" w:rsidRPr="00A03B67">
        <w:rPr>
          <w:i/>
          <w:iCs/>
        </w:rPr>
        <w:t>F</w:t>
      </w:r>
      <w:r w:rsidR="00000C0B" w:rsidRPr="00A03B67">
        <w:rPr>
          <w:i/>
          <w:iCs/>
        </w:rPr>
        <w:t xml:space="preserve">ederal </w:t>
      </w:r>
      <w:r w:rsidR="00A64A10" w:rsidRPr="00A03B67">
        <w:rPr>
          <w:i/>
          <w:iCs/>
        </w:rPr>
        <w:t>L</w:t>
      </w:r>
      <w:r w:rsidR="00000C0B" w:rsidRPr="00A03B67">
        <w:rPr>
          <w:i/>
          <w:iCs/>
        </w:rPr>
        <w:t>aw)</w:t>
      </w:r>
      <w:r w:rsidR="00155F2E" w:rsidRPr="00A03B67">
        <w:rPr>
          <w:i/>
          <w:iCs/>
        </w:rPr>
        <w:t xml:space="preserve"> </w:t>
      </w:r>
      <w:r w:rsidR="00155F2E" w:rsidRPr="00A03B67">
        <w:rPr>
          <w:lang w:val="en-US"/>
        </w:rPr>
        <w:t>(Web Page</w:t>
      </w:r>
      <w:r w:rsidR="00A64A10" w:rsidRPr="00A03B67">
        <w:rPr>
          <w:lang w:val="en-US"/>
        </w:rPr>
        <w:t>, n.d.</w:t>
      </w:r>
      <w:r w:rsidR="00155F2E" w:rsidRPr="00A03B67">
        <w:rPr>
          <w:lang w:val="en-US"/>
        </w:rPr>
        <w:t xml:space="preserve">) </w:t>
      </w:r>
      <w:r w:rsidR="00C65AD6" w:rsidRPr="00A03B67">
        <w:rPr>
          <w:lang w:val="en-US"/>
        </w:rPr>
        <w:t>&lt;</w:t>
      </w:r>
      <w:r w:rsidR="00A64A10" w:rsidRPr="00A03B67">
        <w:t>https://www.fcfcoa.gov.au/gfl/forms/app-exemption-fees-general</w:t>
      </w:r>
      <w:r w:rsidR="00C65AD6" w:rsidRPr="00A03B67">
        <w:t>&gt;</w:t>
      </w:r>
      <w:r w:rsidR="00A64A10" w:rsidRPr="00A03B67">
        <w:t>;</w:t>
      </w:r>
      <w:r w:rsidR="007D2801" w:rsidRPr="00A03B67">
        <w:t xml:space="preserve"> </w:t>
      </w:r>
      <w:r w:rsidR="007D2801" w:rsidRPr="00A03B67">
        <w:rPr>
          <w:lang w:val="en-US"/>
        </w:rPr>
        <w:t xml:space="preserve">FWC, </w:t>
      </w:r>
      <w:r w:rsidR="007D2801" w:rsidRPr="00A03B67">
        <w:rPr>
          <w:i/>
          <w:iCs/>
        </w:rPr>
        <w:t xml:space="preserve">Ask to </w:t>
      </w:r>
      <w:r w:rsidR="00A64A10" w:rsidRPr="00A03B67">
        <w:rPr>
          <w:i/>
          <w:iCs/>
        </w:rPr>
        <w:t>W</w:t>
      </w:r>
      <w:r w:rsidR="007D2801" w:rsidRPr="00A03B67">
        <w:rPr>
          <w:i/>
          <w:iCs/>
        </w:rPr>
        <w:t xml:space="preserve">aive an </w:t>
      </w:r>
      <w:r w:rsidR="00A64A10" w:rsidRPr="00A03B67">
        <w:rPr>
          <w:i/>
          <w:iCs/>
        </w:rPr>
        <w:t>A</w:t>
      </w:r>
      <w:r w:rsidR="007D2801" w:rsidRPr="00A03B67">
        <w:rPr>
          <w:i/>
          <w:iCs/>
        </w:rPr>
        <w:t xml:space="preserve">pplication </w:t>
      </w:r>
      <w:r w:rsidR="00A64A10" w:rsidRPr="00A03B67">
        <w:rPr>
          <w:i/>
          <w:iCs/>
        </w:rPr>
        <w:t>F</w:t>
      </w:r>
      <w:r w:rsidR="007D2801" w:rsidRPr="00A03B67">
        <w:rPr>
          <w:i/>
          <w:iCs/>
        </w:rPr>
        <w:t>ee (Form F80)</w:t>
      </w:r>
      <w:r w:rsidR="007D2801" w:rsidRPr="00A03B67" w:rsidDel="007D2801">
        <w:t xml:space="preserve"> </w:t>
      </w:r>
      <w:r w:rsidR="007D2801" w:rsidRPr="00A03B67">
        <w:rPr>
          <w:lang w:val="en-US"/>
        </w:rPr>
        <w:t>(Web Page</w:t>
      </w:r>
      <w:r w:rsidR="00A64A10" w:rsidRPr="00A03B67">
        <w:rPr>
          <w:lang w:val="en-US"/>
        </w:rPr>
        <w:t>, n.d.</w:t>
      </w:r>
      <w:r w:rsidR="007D2801" w:rsidRPr="00A03B67">
        <w:rPr>
          <w:lang w:val="en-US"/>
        </w:rPr>
        <w:t>) &lt;https://fwc.gov.au/apply-or-lodge/form/ask-waive-application-fee-form-f80&gt;.</w:t>
      </w:r>
    </w:p>
  </w:footnote>
  <w:footnote w:id="1007">
    <w:p w14:paraId="4A733235" w14:textId="042E7A54" w:rsidR="008857E7" w:rsidRPr="00A03B67" w:rsidRDefault="008857E7">
      <w:pPr>
        <w:pStyle w:val="FootnoteText"/>
      </w:pPr>
      <w:r w:rsidRPr="00A03B67">
        <w:rPr>
          <w:rStyle w:val="FootnoteReference"/>
        </w:rPr>
        <w:footnoteRef/>
      </w:r>
      <w:r w:rsidR="00395A38" w:rsidRPr="00A03B67">
        <w:t xml:space="preserve"> </w:t>
      </w:r>
      <w:r w:rsidR="00F41573" w:rsidRPr="00A03B67">
        <w:t xml:space="preserve">Department of Employment and Workplace Relations, </w:t>
      </w:r>
      <w:r w:rsidR="00DC16A3" w:rsidRPr="00A03B67">
        <w:t>Review of the Fair Work Act Small Claims Procedure</w:t>
      </w:r>
      <w:r w:rsidR="009F53FE" w:rsidRPr="00A03B67">
        <w:t>.</w:t>
      </w:r>
    </w:p>
  </w:footnote>
  <w:footnote w:id="1008">
    <w:p w14:paraId="482EE33E" w14:textId="09F66002" w:rsidR="002D30C0" w:rsidRPr="00A03B67" w:rsidRDefault="002D30C0" w:rsidP="002D30C0">
      <w:pPr>
        <w:pStyle w:val="FootnoteText"/>
      </w:pPr>
      <w:r w:rsidRPr="00A03B67">
        <w:rPr>
          <w:rStyle w:val="FootnoteReference"/>
        </w:rPr>
        <w:footnoteRef/>
      </w:r>
      <w:r w:rsidRPr="00A03B67">
        <w:t xml:space="preserve"> ACTU</w:t>
      </w:r>
      <w:r w:rsidR="00A64A10" w:rsidRPr="00A03B67">
        <w:t xml:space="preserve"> s</w:t>
      </w:r>
      <w:r w:rsidRPr="00A03B67">
        <w:t>ubmission</w:t>
      </w:r>
      <w:r w:rsidR="00A64A10" w:rsidRPr="00A03B67">
        <w:t xml:space="preserve">, </w:t>
      </w:r>
      <w:r w:rsidRPr="00A03B67">
        <w:t>101.</w:t>
      </w:r>
    </w:p>
  </w:footnote>
  <w:footnote w:id="1009">
    <w:p w14:paraId="64B76FCC" w14:textId="70E6562D"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 xml:space="preserve">According to the ACTU, the HSU </w:t>
      </w:r>
      <w:r w:rsidR="00A64A10" w:rsidRPr="00A03B67">
        <w:rPr>
          <w:lang w:val="en-US"/>
        </w:rPr>
        <w:t xml:space="preserve">has </w:t>
      </w:r>
      <w:r w:rsidRPr="00A03B67">
        <w:rPr>
          <w:lang w:val="en-US"/>
        </w:rPr>
        <w:t>multiple small claims underway, one for over $40,000 and another for around $80,000</w:t>
      </w:r>
      <w:r w:rsidR="00851745" w:rsidRPr="00A03B67">
        <w:rPr>
          <w:lang w:val="en-US"/>
        </w:rPr>
        <w:t xml:space="preserve"> (</w:t>
      </w:r>
      <w:r w:rsidR="00851745" w:rsidRPr="00A03B67">
        <w:t>ACTU</w:t>
      </w:r>
      <w:r w:rsidR="00A64A10" w:rsidRPr="00A03B67">
        <w:t xml:space="preserve"> s</w:t>
      </w:r>
      <w:r w:rsidR="00851745" w:rsidRPr="00A03B67">
        <w:t>ubmission</w:t>
      </w:r>
      <w:r w:rsidR="00A64A10" w:rsidRPr="00A03B67">
        <w:t>,</w:t>
      </w:r>
      <w:r w:rsidR="00851745" w:rsidRPr="00A03B67">
        <w:t xml:space="preserve"> 101)</w:t>
      </w:r>
      <w:r w:rsidRPr="00A03B67">
        <w:rPr>
          <w:lang w:val="en-US"/>
        </w:rPr>
        <w:t>.</w:t>
      </w:r>
    </w:p>
  </w:footnote>
  <w:footnote w:id="1010">
    <w:p w14:paraId="6C48D0DB" w14:textId="0FEF1C2D" w:rsidR="00821381" w:rsidRPr="00A03B67" w:rsidRDefault="00821381" w:rsidP="00821381">
      <w:pPr>
        <w:pStyle w:val="FootnoteText"/>
        <w:rPr>
          <w:lang w:val="en-US"/>
        </w:rPr>
      </w:pPr>
      <w:r w:rsidRPr="00A03B67">
        <w:rPr>
          <w:rStyle w:val="FootnoteReference"/>
        </w:rPr>
        <w:footnoteRef/>
      </w:r>
      <w:r w:rsidRPr="00A03B67">
        <w:t xml:space="preserve"> </w:t>
      </w:r>
      <w:r w:rsidR="00933B55" w:rsidRPr="00A03B67">
        <w:rPr>
          <w:lang w:val="en-US"/>
        </w:rPr>
        <w:t>A</w:t>
      </w:r>
      <w:r w:rsidR="000A66A5" w:rsidRPr="00A03B67">
        <w:rPr>
          <w:lang w:val="en-US"/>
        </w:rPr>
        <w:t>i</w:t>
      </w:r>
      <w:r w:rsidR="00933B55" w:rsidRPr="00A03B67">
        <w:rPr>
          <w:lang w:val="en-US"/>
        </w:rPr>
        <w:t xml:space="preserve"> Group</w:t>
      </w:r>
      <w:r w:rsidR="00A64A10" w:rsidRPr="00A03B67">
        <w:t xml:space="preserve"> s</w:t>
      </w:r>
      <w:r w:rsidR="00933B55" w:rsidRPr="00A03B67">
        <w:t>ubmission</w:t>
      </w:r>
      <w:r w:rsidR="00A64A10" w:rsidRPr="00A03B67">
        <w:t>,</w:t>
      </w:r>
      <w:r w:rsidR="00933B55" w:rsidRPr="00A03B67">
        <w:t xml:space="preserve"> </w:t>
      </w:r>
      <w:r w:rsidRPr="00A03B67">
        <w:rPr>
          <w:lang w:val="en-US"/>
        </w:rPr>
        <w:t>113</w:t>
      </w:r>
      <w:r w:rsidR="00A64A10" w:rsidRPr="00A03B67">
        <w:rPr>
          <w:rFonts w:ascii="Symbol" w:eastAsia="Symbol" w:hAnsi="Symbol" w:cs="Symbol"/>
          <w:lang w:val="en-US"/>
        </w:rPr>
        <w:t>-</w:t>
      </w:r>
      <w:r w:rsidRPr="00A03B67">
        <w:rPr>
          <w:lang w:val="en-US"/>
        </w:rPr>
        <w:t>114</w:t>
      </w:r>
      <w:r w:rsidR="00933B55" w:rsidRPr="00A03B67">
        <w:rPr>
          <w:lang w:val="en-US"/>
        </w:rPr>
        <w:t xml:space="preserve"> [476]</w:t>
      </w:r>
      <w:r w:rsidR="00A64A10" w:rsidRPr="00A03B67">
        <w:rPr>
          <w:rFonts w:ascii="Symbol" w:eastAsia="Symbol" w:hAnsi="Symbol" w:cs="Symbol"/>
          <w:lang w:val="en-US"/>
        </w:rPr>
        <w:t>-</w:t>
      </w:r>
      <w:r w:rsidR="00933B55" w:rsidRPr="00A03B67">
        <w:rPr>
          <w:lang w:val="en-US"/>
        </w:rPr>
        <w:t>[478]</w:t>
      </w:r>
      <w:r w:rsidRPr="00A03B67">
        <w:rPr>
          <w:lang w:val="en-US"/>
        </w:rPr>
        <w:t>.</w:t>
      </w:r>
    </w:p>
  </w:footnote>
  <w:footnote w:id="1011">
    <w:p w14:paraId="4081430A" w14:textId="1AD30A38" w:rsidR="00821381" w:rsidRPr="00A03B67" w:rsidRDefault="00821381" w:rsidP="00821381">
      <w:pPr>
        <w:pStyle w:val="FootnoteText"/>
        <w:rPr>
          <w:lang w:val="en-US"/>
        </w:rPr>
      </w:pPr>
      <w:r w:rsidRPr="00A03B67">
        <w:rPr>
          <w:rStyle w:val="FootnoteReference"/>
        </w:rPr>
        <w:footnoteRef/>
      </w:r>
      <w:r w:rsidRPr="00A03B67">
        <w:t xml:space="preserve"> </w:t>
      </w:r>
      <w:r w:rsidR="000A66A5" w:rsidRPr="00A03B67">
        <w:rPr>
          <w:lang w:val="en-US"/>
        </w:rPr>
        <w:t>ACCI</w:t>
      </w:r>
      <w:r w:rsidR="00A64A10" w:rsidRPr="00A03B67">
        <w:t xml:space="preserve"> s</w:t>
      </w:r>
      <w:r w:rsidR="000A66A5" w:rsidRPr="00A03B67">
        <w:t>ubmission</w:t>
      </w:r>
      <w:r w:rsidR="00A64A10" w:rsidRPr="00A03B67">
        <w:t>,</w:t>
      </w:r>
      <w:r w:rsidR="000A66A5" w:rsidRPr="00A03B67">
        <w:t xml:space="preserve"> </w:t>
      </w:r>
      <w:r w:rsidR="000A66A5" w:rsidRPr="00A03B67">
        <w:rPr>
          <w:lang w:val="en-US"/>
        </w:rPr>
        <w:t>93.</w:t>
      </w:r>
    </w:p>
  </w:footnote>
  <w:footnote w:id="1012">
    <w:p w14:paraId="39F5BC9C" w14:textId="534E2AF2" w:rsidR="00821381" w:rsidRPr="00A03B67" w:rsidRDefault="00821381" w:rsidP="00821381">
      <w:pPr>
        <w:pStyle w:val="FootnoteText"/>
        <w:rPr>
          <w:lang w:val="en-US"/>
        </w:rPr>
      </w:pPr>
      <w:r w:rsidRPr="00A03B67">
        <w:rPr>
          <w:rStyle w:val="FootnoteReference"/>
        </w:rPr>
        <w:footnoteRef/>
      </w:r>
      <w:r w:rsidRPr="00A03B67">
        <w:t xml:space="preserve"> </w:t>
      </w:r>
      <w:r w:rsidR="00B210EF" w:rsidRPr="00A03B67">
        <w:rPr>
          <w:lang w:val="en-US"/>
        </w:rPr>
        <w:t>COSBOA</w:t>
      </w:r>
      <w:r w:rsidR="00A64A10" w:rsidRPr="00A03B67">
        <w:t xml:space="preserve"> s</w:t>
      </w:r>
      <w:r w:rsidR="00C816DD" w:rsidRPr="00A03B67">
        <w:t>ubmission</w:t>
      </w:r>
      <w:r w:rsidR="00A64A10" w:rsidRPr="00A03B67">
        <w:t>,</w:t>
      </w:r>
      <w:r w:rsidR="00C816DD" w:rsidRPr="00A03B67">
        <w:t xml:space="preserve"> </w:t>
      </w:r>
      <w:r w:rsidRPr="00A03B67">
        <w:rPr>
          <w:lang w:val="en-US"/>
        </w:rPr>
        <w:t>8.</w:t>
      </w:r>
    </w:p>
  </w:footnote>
  <w:footnote w:id="1013">
    <w:p w14:paraId="23518EAE" w14:textId="056FE991" w:rsidR="00821381" w:rsidRPr="00A03B67" w:rsidRDefault="00821381" w:rsidP="00821381">
      <w:pPr>
        <w:pStyle w:val="FootnoteText"/>
      </w:pPr>
      <w:r w:rsidRPr="00A03B67">
        <w:rPr>
          <w:rStyle w:val="FootnoteReference"/>
        </w:rPr>
        <w:footnoteRef/>
      </w:r>
      <w:r w:rsidRPr="00A03B67">
        <w:t xml:space="preserve"> </w:t>
      </w:r>
      <w:r w:rsidRPr="00A03B67">
        <w:rPr>
          <w:lang w:val="en-US"/>
        </w:rPr>
        <w:t>MEA</w:t>
      </w:r>
      <w:r w:rsidR="00A64A10" w:rsidRPr="00A03B67">
        <w:rPr>
          <w:lang w:val="en-US"/>
        </w:rPr>
        <w:t xml:space="preserve"> </w:t>
      </w:r>
      <w:r w:rsidR="00A64A10" w:rsidRPr="00A03B67">
        <w:t>s</w:t>
      </w:r>
      <w:r w:rsidR="00B210EF" w:rsidRPr="00A03B67">
        <w:t>ubmission</w:t>
      </w:r>
      <w:r w:rsidR="00A64A10" w:rsidRPr="00A03B67">
        <w:t>,</w:t>
      </w:r>
      <w:r w:rsidR="00B210EF" w:rsidRPr="00A03B67">
        <w:t xml:space="preserve"> </w:t>
      </w:r>
      <w:r w:rsidRPr="00A03B67">
        <w:rPr>
          <w:lang w:val="en-US"/>
        </w:rPr>
        <w:t>1.</w:t>
      </w:r>
    </w:p>
  </w:footnote>
  <w:footnote w:id="1014">
    <w:p w14:paraId="56273FD8" w14:textId="754B4FCF" w:rsidR="001167B3" w:rsidRPr="00A03B67" w:rsidRDefault="001167B3">
      <w:pPr>
        <w:pStyle w:val="FootnoteText"/>
      </w:pPr>
      <w:r w:rsidRPr="00A03B67">
        <w:rPr>
          <w:rStyle w:val="FootnoteReference"/>
        </w:rPr>
        <w:footnoteRef/>
      </w:r>
      <w:r w:rsidRPr="00A03B67">
        <w:t xml:space="preserve"> </w:t>
      </w:r>
      <w:r w:rsidR="00166578" w:rsidRPr="00A03B67">
        <w:rPr>
          <w:lang w:val="en-US"/>
        </w:rPr>
        <w:t>UWU</w:t>
      </w:r>
      <w:r w:rsidR="00A64A10" w:rsidRPr="00A03B67">
        <w:rPr>
          <w:lang w:val="en-US"/>
        </w:rPr>
        <w:t xml:space="preserve"> </w:t>
      </w:r>
      <w:r w:rsidR="00A64A10" w:rsidRPr="00A03B67">
        <w:t>s</w:t>
      </w:r>
      <w:r w:rsidR="00B210EF" w:rsidRPr="00A03B67">
        <w:t>ubmission</w:t>
      </w:r>
      <w:r w:rsidR="00A64A10" w:rsidRPr="00A03B67">
        <w:t>,</w:t>
      </w:r>
      <w:r w:rsidR="00B210EF" w:rsidRPr="00A03B67">
        <w:t xml:space="preserve"> </w:t>
      </w:r>
      <w:r w:rsidR="00166578" w:rsidRPr="00A03B67">
        <w:rPr>
          <w:lang w:val="en-US"/>
        </w:rPr>
        <w:t>46</w:t>
      </w:r>
      <w:r w:rsidR="004E56AF" w:rsidRPr="00A03B67">
        <w:rPr>
          <w:lang w:val="en-US"/>
        </w:rPr>
        <w:t>.</w:t>
      </w:r>
    </w:p>
  </w:footnote>
  <w:footnote w:id="1015">
    <w:p w14:paraId="7393F1FC" w14:textId="3E7FCC33" w:rsidR="002D30C0" w:rsidRPr="00A03B67" w:rsidRDefault="002D30C0" w:rsidP="002D30C0">
      <w:pPr>
        <w:pStyle w:val="FootnoteText"/>
        <w:rPr>
          <w:lang w:val="en-US"/>
        </w:rPr>
      </w:pPr>
      <w:r w:rsidRPr="00A03B67">
        <w:rPr>
          <w:rStyle w:val="FootnoteReference"/>
        </w:rPr>
        <w:footnoteRef/>
      </w:r>
      <w:r w:rsidRPr="00A03B67">
        <w:t xml:space="preserve"> </w:t>
      </w:r>
      <w:r w:rsidRPr="00A03B67">
        <w:rPr>
          <w:lang w:val="en-US"/>
        </w:rPr>
        <w:t xml:space="preserve">Employment Rights Legal Service </w:t>
      </w:r>
      <w:r w:rsidR="00A64A10" w:rsidRPr="00A03B67">
        <w:rPr>
          <w:lang w:val="en-US"/>
        </w:rPr>
        <w:t>s</w:t>
      </w:r>
      <w:r w:rsidRPr="00A03B67">
        <w:rPr>
          <w:lang w:val="en-US"/>
        </w:rPr>
        <w:t>ubmission, 6.</w:t>
      </w:r>
    </w:p>
  </w:footnote>
  <w:footnote w:id="1016">
    <w:p w14:paraId="1FDDF6D0" w14:textId="080211AF" w:rsidR="00821381" w:rsidRPr="00A03B67" w:rsidRDefault="00821381" w:rsidP="00821381">
      <w:pPr>
        <w:pStyle w:val="FootnoteText"/>
        <w:rPr>
          <w:lang w:val="en-US"/>
        </w:rPr>
      </w:pPr>
      <w:r w:rsidRPr="00A03B67">
        <w:rPr>
          <w:rStyle w:val="FootnoteReference"/>
        </w:rPr>
        <w:footnoteRef/>
      </w:r>
      <w:r w:rsidRPr="00A03B67">
        <w:t xml:space="preserve"> </w:t>
      </w:r>
      <w:r w:rsidR="00C6132A" w:rsidRPr="00A03B67">
        <w:rPr>
          <w:lang w:val="en-US"/>
        </w:rPr>
        <w:t xml:space="preserve">Employment Rights Legal Service </w:t>
      </w:r>
      <w:r w:rsidR="00A64A10" w:rsidRPr="00A03B67">
        <w:rPr>
          <w:lang w:val="en-US"/>
        </w:rPr>
        <w:t>s</w:t>
      </w:r>
      <w:r w:rsidR="00C6132A" w:rsidRPr="00A03B67">
        <w:rPr>
          <w:lang w:val="en-US"/>
        </w:rPr>
        <w:t xml:space="preserve">ubmission, </w:t>
      </w:r>
      <w:r w:rsidRPr="00A03B67">
        <w:rPr>
          <w:lang w:val="en-US"/>
        </w:rPr>
        <w:t>7.</w:t>
      </w:r>
    </w:p>
  </w:footnote>
  <w:footnote w:id="1017">
    <w:p w14:paraId="21525A43" w14:textId="603C2EA2" w:rsidR="00821381" w:rsidRPr="00A03B67" w:rsidRDefault="00821381" w:rsidP="00821381">
      <w:pPr>
        <w:pStyle w:val="FootnoteText"/>
      </w:pPr>
      <w:r w:rsidRPr="00A03B67">
        <w:rPr>
          <w:rStyle w:val="FootnoteReference"/>
        </w:rPr>
        <w:footnoteRef/>
      </w:r>
      <w:r w:rsidRPr="00A03B67">
        <w:t xml:space="preserve"> </w:t>
      </w:r>
      <w:r w:rsidRPr="00A03B67">
        <w:rPr>
          <w:lang w:val="en-US"/>
        </w:rPr>
        <w:t>Law Council</w:t>
      </w:r>
      <w:r w:rsidR="00A64A10" w:rsidRPr="00A03B67">
        <w:rPr>
          <w:lang w:val="en-US"/>
        </w:rPr>
        <w:t xml:space="preserve"> submission, </w:t>
      </w:r>
      <w:r w:rsidRPr="00A03B67">
        <w:rPr>
          <w:lang w:val="en-US"/>
        </w:rPr>
        <w:t>5.</w:t>
      </w:r>
    </w:p>
  </w:footnote>
  <w:footnote w:id="1018">
    <w:p w14:paraId="6F5D87DD" w14:textId="082F06F8" w:rsidR="00821381" w:rsidRPr="00A03B67" w:rsidRDefault="00821381" w:rsidP="00821381">
      <w:pPr>
        <w:pStyle w:val="FootnoteText"/>
      </w:pPr>
      <w:r w:rsidRPr="00A03B67">
        <w:rPr>
          <w:rStyle w:val="FootnoteReference"/>
        </w:rPr>
        <w:footnoteRef/>
      </w:r>
      <w:r w:rsidRPr="00A03B67">
        <w:t xml:space="preserve"> </w:t>
      </w:r>
      <w:r w:rsidR="00C6132A" w:rsidRPr="00A03B67">
        <w:rPr>
          <w:lang w:val="en-US"/>
        </w:rPr>
        <w:t>Law Council</w:t>
      </w:r>
      <w:r w:rsidR="00A64A10" w:rsidRPr="00A03B67">
        <w:rPr>
          <w:lang w:val="en-US"/>
        </w:rPr>
        <w:t xml:space="preserve"> submission, </w:t>
      </w:r>
      <w:r w:rsidRPr="00A03B67">
        <w:rPr>
          <w:lang w:val="en-US"/>
        </w:rPr>
        <w:t>6.</w:t>
      </w:r>
    </w:p>
  </w:footnote>
  <w:footnote w:id="1019">
    <w:p w14:paraId="651EB5E8" w14:textId="06179B65" w:rsidR="000E6C96" w:rsidRPr="00A03B67" w:rsidRDefault="000E6C96">
      <w:pPr>
        <w:pStyle w:val="FootnoteText"/>
      </w:pPr>
      <w:r w:rsidRPr="00A03B67">
        <w:rPr>
          <w:rStyle w:val="FootnoteReference"/>
        </w:rPr>
        <w:footnoteRef/>
      </w:r>
      <w:r w:rsidRPr="00A03B67">
        <w:t xml:space="preserve"> </w:t>
      </w:r>
      <w:r w:rsidR="00A64A10" w:rsidRPr="00A03B67">
        <w:t xml:space="preserve">C Hemingway, F Yeh, L Berg and B Farbenblum, </w:t>
      </w:r>
      <w:r w:rsidR="00F41573" w:rsidRPr="00A03B67">
        <w:rPr>
          <w:i/>
          <w:iCs/>
        </w:rPr>
        <w:t>All Work, No Pay: Improving the Legal System So Migrants Can Get the Wages They Are Owed</w:t>
      </w:r>
      <w:r w:rsidR="00A64A10" w:rsidRPr="00A03B67">
        <w:rPr>
          <w:i/>
          <w:iCs/>
        </w:rPr>
        <w:t xml:space="preserve"> </w:t>
      </w:r>
      <w:r w:rsidR="00A64A10" w:rsidRPr="00A03B67">
        <w:t xml:space="preserve">(Migrant Justice Institute, 2024) </w:t>
      </w:r>
      <w:r w:rsidR="000D4AF6" w:rsidRPr="00A03B67">
        <w:t>7.</w:t>
      </w:r>
    </w:p>
  </w:footnote>
  <w:footnote w:id="1020">
    <w:p w14:paraId="09F86BF4" w14:textId="4281DFC9" w:rsidR="00821381" w:rsidRPr="00A03B67" w:rsidRDefault="00821381" w:rsidP="00821381">
      <w:pPr>
        <w:pStyle w:val="FootnoteText"/>
        <w:rPr>
          <w:lang w:val="en-US"/>
        </w:rPr>
      </w:pPr>
      <w:r w:rsidRPr="00A03B67">
        <w:rPr>
          <w:rStyle w:val="FootnoteReference"/>
        </w:rPr>
        <w:footnoteRef/>
      </w:r>
      <w:r w:rsidRPr="00A03B67">
        <w:t xml:space="preserve"> </w:t>
      </w:r>
      <w:r w:rsidR="004B63BE" w:rsidRPr="00A03B67">
        <w:rPr>
          <w:i/>
          <w:iCs/>
        </w:rPr>
        <w:t>Fair Work Act 2009</w:t>
      </w:r>
      <w:r w:rsidR="004B63BE" w:rsidRPr="00A03B67">
        <w:t xml:space="preserve"> (Cth) </w:t>
      </w:r>
      <w:r w:rsidRPr="00A03B67">
        <w:rPr>
          <w:lang w:val="en-US"/>
        </w:rPr>
        <w:t>s 528.</w:t>
      </w:r>
    </w:p>
  </w:footnote>
  <w:footnote w:id="1021">
    <w:p w14:paraId="10A06D9D" w14:textId="1EB3E31E" w:rsidR="00337F9C" w:rsidRPr="00A03B67" w:rsidRDefault="00337F9C" w:rsidP="00337F9C">
      <w:pPr>
        <w:pStyle w:val="FootnoteText"/>
      </w:pPr>
      <w:r w:rsidRPr="00A03B67">
        <w:rPr>
          <w:rStyle w:val="FootnoteReference"/>
        </w:rPr>
        <w:footnoteRef/>
      </w:r>
      <w:r w:rsidRPr="00A03B67">
        <w:t xml:space="preserve"> </w:t>
      </w:r>
      <w:r w:rsidR="004B63BE" w:rsidRPr="00A03B67">
        <w:rPr>
          <w:i/>
          <w:iCs/>
        </w:rPr>
        <w:t>Fair Work Act 2009</w:t>
      </w:r>
      <w:r w:rsidR="004B63BE" w:rsidRPr="00A03B67">
        <w:t xml:space="preserve"> (Cth)</w:t>
      </w:r>
      <w:r w:rsidRPr="00A03B67">
        <w:t xml:space="preserve"> </w:t>
      </w:r>
      <w:r w:rsidR="00E173AB" w:rsidRPr="00A03B67">
        <w:t>s</w:t>
      </w:r>
      <w:r w:rsidR="004B63BE" w:rsidRPr="00A03B67">
        <w:t xml:space="preserve"> </w:t>
      </w:r>
      <w:r w:rsidRPr="00A03B67">
        <w:t>716(1)(fa).</w:t>
      </w:r>
    </w:p>
  </w:footnote>
  <w:footnote w:id="1022">
    <w:p w14:paraId="5C310689" w14:textId="5385F453" w:rsidR="00821381" w:rsidRPr="00A03B67" w:rsidRDefault="00821381" w:rsidP="00821381">
      <w:pPr>
        <w:pStyle w:val="FootnoteText"/>
      </w:pPr>
      <w:r w:rsidRPr="00A03B67">
        <w:rPr>
          <w:rStyle w:val="FootnoteReference"/>
        </w:rPr>
        <w:footnoteRef/>
      </w:r>
      <w:r w:rsidRPr="00A03B67">
        <w:t xml:space="preserve"> </w:t>
      </w:r>
      <w:r w:rsidR="0077547A" w:rsidRPr="00A03B67">
        <w:t xml:space="preserve">Revised </w:t>
      </w:r>
      <w:r w:rsidR="0077547A" w:rsidRPr="00A03B67">
        <w:rPr>
          <w:lang w:val="en-US"/>
        </w:rPr>
        <w:t>Explanatory Memorandum, Fair Work Legislation Amendment (Secure Jobs, Better Pay) Bill 2022 (Cth)</w:t>
      </w:r>
      <w:r w:rsidR="00A64A10" w:rsidRPr="00A03B67">
        <w:rPr>
          <w:lang w:val="en-US"/>
        </w:rPr>
        <w:t>,</w:t>
      </w:r>
      <w:r w:rsidR="0077547A" w:rsidRPr="00A03B67">
        <w:rPr>
          <w:lang w:val="en-US"/>
        </w:rPr>
        <w:t xml:space="preserve"> </w:t>
      </w:r>
      <w:r w:rsidRPr="00A03B67">
        <w:t>207</w:t>
      </w:r>
      <w:r w:rsidR="00E31C97" w:rsidRPr="00A03B67">
        <w:t>.</w:t>
      </w:r>
    </w:p>
  </w:footnote>
  <w:footnote w:id="1023">
    <w:p w14:paraId="5FD4948D" w14:textId="6FA1F2FC" w:rsidR="00821381" w:rsidRPr="00A03B67" w:rsidRDefault="00821381" w:rsidP="00821381">
      <w:pPr>
        <w:pStyle w:val="FootnoteText"/>
      </w:pPr>
      <w:r w:rsidRPr="00A03B67">
        <w:rPr>
          <w:rStyle w:val="FootnoteReference"/>
        </w:rPr>
        <w:footnoteRef/>
      </w:r>
      <w:r w:rsidRPr="00A03B67">
        <w:t xml:space="preserve"> </w:t>
      </w:r>
      <w:r w:rsidR="0077547A" w:rsidRPr="00A03B67">
        <w:t xml:space="preserve">Revised </w:t>
      </w:r>
      <w:r w:rsidR="0077547A" w:rsidRPr="00A03B67">
        <w:rPr>
          <w:lang w:val="en-US"/>
        </w:rPr>
        <w:t>Explanatory Memorandum, Fair Work Legislation Amendment (Secure Jobs, Better Pay) Bill 2022 (Cth)</w:t>
      </w:r>
      <w:r w:rsidR="00A64A10" w:rsidRPr="00A03B67">
        <w:rPr>
          <w:lang w:val="en-US"/>
        </w:rPr>
        <w:t>,</w:t>
      </w:r>
      <w:r w:rsidR="0077547A" w:rsidRPr="00A03B67">
        <w:rPr>
          <w:lang w:val="en-US"/>
        </w:rPr>
        <w:t xml:space="preserve"> </w:t>
      </w:r>
      <w:r w:rsidRPr="00A03B67">
        <w:t>207</w:t>
      </w:r>
      <w:r w:rsidR="00E31C97" w:rsidRPr="00A03B67">
        <w:t>.</w:t>
      </w:r>
    </w:p>
  </w:footnote>
  <w:footnote w:id="1024">
    <w:p w14:paraId="214AC725" w14:textId="467935F0" w:rsidR="00821381" w:rsidRPr="00A03B67" w:rsidRDefault="00821381" w:rsidP="00821381">
      <w:pPr>
        <w:pStyle w:val="FootnoteText"/>
      </w:pPr>
      <w:r w:rsidRPr="00A03B67">
        <w:rPr>
          <w:rStyle w:val="FootnoteReference"/>
        </w:rPr>
        <w:footnoteRef/>
      </w:r>
      <w:r w:rsidRPr="00A03B67">
        <w:t xml:space="preserve"> </w:t>
      </w:r>
      <w:r w:rsidR="0077547A" w:rsidRPr="00A03B67">
        <w:rPr>
          <w:lang w:val="en-US"/>
        </w:rPr>
        <w:t>FW</w:t>
      </w:r>
      <w:r w:rsidR="000F14CE" w:rsidRPr="00A03B67">
        <w:rPr>
          <w:lang w:val="en-US"/>
        </w:rPr>
        <w:t>O</w:t>
      </w:r>
      <w:r w:rsidR="0077547A" w:rsidRPr="00A03B67">
        <w:rPr>
          <w:lang w:val="en-US"/>
        </w:rPr>
        <w:t xml:space="preserve">, </w:t>
      </w:r>
      <w:r w:rsidR="000F14CE" w:rsidRPr="00A03B67">
        <w:rPr>
          <w:i/>
          <w:iCs/>
        </w:rPr>
        <w:t xml:space="preserve">Pay </w:t>
      </w:r>
      <w:r w:rsidR="00A64A10" w:rsidRPr="00A03B67">
        <w:rPr>
          <w:i/>
          <w:iCs/>
        </w:rPr>
        <w:t>S</w:t>
      </w:r>
      <w:r w:rsidR="000F14CE" w:rsidRPr="00A03B67">
        <w:rPr>
          <w:i/>
          <w:iCs/>
        </w:rPr>
        <w:t xml:space="preserve">ecrecy, </w:t>
      </w:r>
      <w:r w:rsidR="00A64A10" w:rsidRPr="00A03B67">
        <w:rPr>
          <w:i/>
          <w:iCs/>
        </w:rPr>
        <w:t>J</w:t>
      </w:r>
      <w:r w:rsidR="000F14CE" w:rsidRPr="00A03B67">
        <w:rPr>
          <w:i/>
          <w:iCs/>
        </w:rPr>
        <w:t xml:space="preserve">ob </w:t>
      </w:r>
      <w:r w:rsidR="00A64A10" w:rsidRPr="00A03B67">
        <w:rPr>
          <w:i/>
          <w:iCs/>
        </w:rPr>
        <w:t>A</w:t>
      </w:r>
      <w:r w:rsidR="000F14CE" w:rsidRPr="00A03B67">
        <w:rPr>
          <w:i/>
          <w:iCs/>
        </w:rPr>
        <w:t xml:space="preserve">ds and </w:t>
      </w:r>
      <w:r w:rsidR="00A64A10" w:rsidRPr="00A03B67">
        <w:rPr>
          <w:i/>
          <w:iCs/>
        </w:rPr>
        <w:t>F</w:t>
      </w:r>
      <w:r w:rsidR="000F14CE" w:rsidRPr="00A03B67">
        <w:rPr>
          <w:i/>
          <w:iCs/>
        </w:rPr>
        <w:t xml:space="preserve">lexible </w:t>
      </w:r>
      <w:r w:rsidR="00A64A10" w:rsidRPr="00A03B67">
        <w:rPr>
          <w:i/>
          <w:iCs/>
        </w:rPr>
        <w:t>W</w:t>
      </w:r>
      <w:r w:rsidR="000F14CE" w:rsidRPr="00A03B67">
        <w:rPr>
          <w:i/>
          <w:iCs/>
        </w:rPr>
        <w:t>ork</w:t>
      </w:r>
      <w:r w:rsidR="0077547A" w:rsidRPr="00A03B67">
        <w:rPr>
          <w:lang w:val="en-US"/>
        </w:rPr>
        <w:t xml:space="preserve"> (Web Page</w:t>
      </w:r>
      <w:r w:rsidR="00A64A10" w:rsidRPr="00A03B67">
        <w:rPr>
          <w:lang w:val="en-US"/>
        </w:rPr>
        <w:t>, n.d.</w:t>
      </w:r>
      <w:r w:rsidR="0077547A" w:rsidRPr="00A03B67">
        <w:rPr>
          <w:lang w:val="en-US"/>
        </w:rPr>
        <w:t>) &lt;</w:t>
      </w:r>
      <w:r w:rsidR="0077547A" w:rsidRPr="00A03B67">
        <w:t>https://www.fairwork.gov.au/about-us/workplace-laws/legislation-changes/secure-jobs-better-pay/pay-secrecy-job-ads-and-flexible-work#job-ads&gt;.</w:t>
      </w:r>
    </w:p>
  </w:footnote>
  <w:footnote w:id="1025">
    <w:p w14:paraId="7DFE62B8" w14:textId="2D3943B6" w:rsidR="002D30C0" w:rsidRPr="00A03B67" w:rsidRDefault="002D30C0" w:rsidP="002D30C0">
      <w:pPr>
        <w:pStyle w:val="FootnoteText"/>
        <w:rPr>
          <w:lang w:val="en-US"/>
        </w:rPr>
      </w:pPr>
      <w:r w:rsidRPr="00A03B67">
        <w:rPr>
          <w:rStyle w:val="FootnoteReference"/>
        </w:rPr>
        <w:footnoteRef/>
      </w:r>
      <w:r w:rsidRPr="00A03B67">
        <w:t xml:space="preserve"> Revised Explanatory Memorandum, Fair Work Legislation Amendment (Secure Jobs, Better Pay) Bill 2022 (Cth)</w:t>
      </w:r>
      <w:r w:rsidR="00A64A10" w:rsidRPr="00A03B67">
        <w:t>,</w:t>
      </w:r>
      <w:r w:rsidRPr="00A03B67">
        <w:rPr>
          <w:lang w:val="en-US"/>
        </w:rPr>
        <w:t xml:space="preserve"> xxxi [156]. </w:t>
      </w:r>
    </w:p>
  </w:footnote>
  <w:footnote w:id="1026">
    <w:p w14:paraId="799FB747" w14:textId="07116D57"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This recommendation was accepted by the National</w:t>
      </w:r>
      <w:r w:rsidR="00A64A10" w:rsidRPr="00A03B67">
        <w:rPr>
          <w:rFonts w:ascii="Symbol" w:eastAsia="Symbol" w:hAnsi="Symbol" w:cs="Symbol"/>
          <w:lang w:val="en-US"/>
        </w:rPr>
        <w:t>-</w:t>
      </w:r>
      <w:r w:rsidRPr="00A03B67">
        <w:rPr>
          <w:lang w:val="en-US"/>
        </w:rPr>
        <w:t xml:space="preserve">Liberal Coalition </w:t>
      </w:r>
      <w:r w:rsidR="00A64A10" w:rsidRPr="00A03B67">
        <w:rPr>
          <w:lang w:val="en-US"/>
        </w:rPr>
        <w:t>g</w:t>
      </w:r>
      <w:r w:rsidRPr="00A03B67">
        <w:rPr>
          <w:lang w:val="en-US"/>
        </w:rPr>
        <w:t>overnment but not legislated.</w:t>
      </w:r>
    </w:p>
  </w:footnote>
  <w:footnote w:id="1027">
    <w:p w14:paraId="415EC341" w14:textId="3B271D04" w:rsidR="002D30C0" w:rsidRPr="00A03B67" w:rsidRDefault="002D30C0" w:rsidP="002D30C0">
      <w:pPr>
        <w:pStyle w:val="FootnoteText"/>
        <w:rPr>
          <w:lang w:val="en-US"/>
        </w:rPr>
      </w:pPr>
      <w:r w:rsidRPr="00A03B67">
        <w:rPr>
          <w:rStyle w:val="FootnoteReference"/>
        </w:rPr>
        <w:footnoteRef/>
      </w:r>
      <w:r w:rsidRPr="00A03B67">
        <w:t xml:space="preserve"> </w:t>
      </w:r>
      <w:r w:rsidR="00A64A10" w:rsidRPr="00A03B67">
        <w:rPr>
          <w:lang w:val="en-US"/>
        </w:rPr>
        <w:t xml:space="preserve">A </w:t>
      </w:r>
      <w:r w:rsidRPr="00A03B67">
        <w:rPr>
          <w:lang w:val="en-US"/>
        </w:rPr>
        <w:t xml:space="preserve">Fels and </w:t>
      </w:r>
      <w:r w:rsidR="00A64A10" w:rsidRPr="00A03B67">
        <w:rPr>
          <w:lang w:val="en-US"/>
        </w:rPr>
        <w:t xml:space="preserve">D </w:t>
      </w:r>
      <w:r w:rsidRPr="00A03B67">
        <w:rPr>
          <w:lang w:val="en-US"/>
        </w:rPr>
        <w:t xml:space="preserve">Cousins, ‘The Migrant Workers’ Taskforce and the Australian Government’s Response to Migrant Worker Wage Exploitation’ (2019) 84 </w:t>
      </w:r>
      <w:r w:rsidRPr="00A03B67">
        <w:rPr>
          <w:i/>
          <w:iCs/>
          <w:lang w:val="en-US"/>
        </w:rPr>
        <w:t>Journal of Australian Political Economy</w:t>
      </w:r>
      <w:r w:rsidRPr="00A03B67">
        <w:rPr>
          <w:lang w:val="en-US"/>
        </w:rPr>
        <w:t xml:space="preserve"> 31.</w:t>
      </w:r>
    </w:p>
  </w:footnote>
  <w:footnote w:id="1028">
    <w:p w14:paraId="66F5A8F3" w14:textId="6C104813" w:rsidR="00821381" w:rsidRPr="00A03B67" w:rsidRDefault="00821381" w:rsidP="00821381">
      <w:pPr>
        <w:pStyle w:val="FootnoteText"/>
      </w:pPr>
      <w:r w:rsidRPr="00A03B67">
        <w:rPr>
          <w:rStyle w:val="FootnoteReference"/>
        </w:rPr>
        <w:footnoteRef/>
      </w:r>
      <w:r w:rsidRPr="00A03B67">
        <w:t xml:space="preserve"> </w:t>
      </w:r>
      <w:r w:rsidR="006B1CF8" w:rsidRPr="00A03B67">
        <w:t xml:space="preserve">Senate Economics References Committee, Parliament of Australia, </w:t>
      </w:r>
      <w:r w:rsidR="006B1CF8" w:rsidRPr="00A03B67">
        <w:rPr>
          <w:i/>
          <w:iCs/>
        </w:rPr>
        <w:t xml:space="preserve">Systemic, </w:t>
      </w:r>
      <w:r w:rsidR="00A64A10" w:rsidRPr="00A03B67">
        <w:rPr>
          <w:i/>
          <w:iCs/>
        </w:rPr>
        <w:t>S</w:t>
      </w:r>
      <w:r w:rsidR="006B1CF8" w:rsidRPr="00A03B67">
        <w:rPr>
          <w:i/>
          <w:iCs/>
        </w:rPr>
        <w:t xml:space="preserve">ustained and </w:t>
      </w:r>
      <w:r w:rsidR="00A64A10" w:rsidRPr="00A03B67">
        <w:rPr>
          <w:i/>
          <w:iCs/>
        </w:rPr>
        <w:t>S</w:t>
      </w:r>
      <w:r w:rsidR="006B1CF8" w:rsidRPr="00A03B67">
        <w:rPr>
          <w:i/>
          <w:iCs/>
        </w:rPr>
        <w:t>hameful</w:t>
      </w:r>
      <w:r w:rsidR="00A64A10" w:rsidRPr="00A03B67">
        <w:rPr>
          <w:i/>
          <w:iCs/>
        </w:rPr>
        <w:t>:</w:t>
      </w:r>
      <w:r w:rsidR="006B1CF8" w:rsidRPr="00A03B67">
        <w:rPr>
          <w:i/>
          <w:iCs/>
        </w:rPr>
        <w:t xml:space="preserve"> Unlawful </w:t>
      </w:r>
      <w:r w:rsidR="00A64A10" w:rsidRPr="00A03B67">
        <w:rPr>
          <w:i/>
          <w:iCs/>
        </w:rPr>
        <w:t>U</w:t>
      </w:r>
      <w:r w:rsidR="006B1CF8" w:rsidRPr="00A03B67">
        <w:rPr>
          <w:i/>
          <w:iCs/>
        </w:rPr>
        <w:t xml:space="preserve">nderpayment of </w:t>
      </w:r>
      <w:r w:rsidR="00A64A10" w:rsidRPr="00A03B67">
        <w:rPr>
          <w:i/>
          <w:iCs/>
        </w:rPr>
        <w:t>E</w:t>
      </w:r>
      <w:r w:rsidR="006B1CF8" w:rsidRPr="00A03B67">
        <w:rPr>
          <w:i/>
          <w:iCs/>
        </w:rPr>
        <w:t>mployees</w:t>
      </w:r>
      <w:r w:rsidR="00A64A10" w:rsidRPr="00A03B67">
        <w:rPr>
          <w:i/>
          <w:iCs/>
        </w:rPr>
        <w:t>’</w:t>
      </w:r>
      <w:r w:rsidR="006B1CF8" w:rsidRPr="00A03B67">
        <w:rPr>
          <w:i/>
          <w:iCs/>
        </w:rPr>
        <w:t xml:space="preserve"> </w:t>
      </w:r>
      <w:r w:rsidR="00A64A10" w:rsidRPr="00A03B67">
        <w:rPr>
          <w:i/>
          <w:iCs/>
        </w:rPr>
        <w:t>R</w:t>
      </w:r>
      <w:r w:rsidR="006B1CF8" w:rsidRPr="00A03B67">
        <w:rPr>
          <w:i/>
          <w:iCs/>
        </w:rPr>
        <w:t>emuneration</w:t>
      </w:r>
      <w:r w:rsidR="006B1CF8" w:rsidRPr="00A03B67">
        <w:t xml:space="preserve"> (Report, March 2022)</w:t>
      </w:r>
      <w:r w:rsidRPr="00A03B67">
        <w:t xml:space="preserve"> 138</w:t>
      </w:r>
      <w:r w:rsidR="00E31C97" w:rsidRPr="00A03B67">
        <w:t>.</w:t>
      </w:r>
    </w:p>
  </w:footnote>
  <w:footnote w:id="1029">
    <w:p w14:paraId="795F6570" w14:textId="5D3BDA1C" w:rsidR="00821381" w:rsidRPr="00A03B67" w:rsidRDefault="00821381" w:rsidP="00821381">
      <w:pPr>
        <w:pStyle w:val="FootnoteText"/>
      </w:pPr>
      <w:r w:rsidRPr="00A03B67">
        <w:rPr>
          <w:rStyle w:val="FootnoteReference"/>
        </w:rPr>
        <w:footnoteRef/>
      </w:r>
      <w:r w:rsidRPr="00A03B67">
        <w:t xml:space="preserve"> </w:t>
      </w:r>
      <w:r w:rsidR="006B1CF8" w:rsidRPr="00A03B67">
        <w:t>Senate Economics References Committee, Parliament of Australia,</w:t>
      </w:r>
      <w:r w:rsidRPr="00A03B67">
        <w:t xml:space="preserve"> </w:t>
      </w:r>
      <w:r w:rsidR="00A64A10" w:rsidRPr="00A03B67">
        <w:rPr>
          <w:i/>
          <w:iCs/>
        </w:rPr>
        <w:t>Systemic, Sustained and Shameful: Unlawful Underpayment of Employees’ Remuneration</w:t>
      </w:r>
      <w:r w:rsidR="006B1CF8" w:rsidRPr="00A03B67">
        <w:t xml:space="preserve"> (Report, March 2022) 138.</w:t>
      </w:r>
    </w:p>
  </w:footnote>
  <w:footnote w:id="1030">
    <w:p w14:paraId="76334578" w14:textId="0F693BE9"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Over 7</w:t>
      </w:r>
      <w:r w:rsidR="00A64A10" w:rsidRPr="00A03B67">
        <w:rPr>
          <w:lang w:val="en-US"/>
        </w:rPr>
        <w:t>,</w:t>
      </w:r>
      <w:r w:rsidRPr="00A03B67">
        <w:rPr>
          <w:lang w:val="en-US"/>
        </w:rPr>
        <w:t xml:space="preserve">000 job advertisements were reviewed across more than 10 industries in </w:t>
      </w:r>
      <w:r w:rsidR="00A64A10" w:rsidRPr="00A03B67">
        <w:rPr>
          <w:lang w:val="en-US"/>
        </w:rPr>
        <w:t xml:space="preserve">5 </w:t>
      </w:r>
      <w:r w:rsidRPr="00A03B67">
        <w:rPr>
          <w:lang w:val="en-US"/>
        </w:rPr>
        <w:t xml:space="preserve">main languages (Chinese, Japanese, Vietnamese, Spanish and Portuguese). </w:t>
      </w:r>
      <w:r w:rsidR="00EB697C" w:rsidRPr="00A03B67">
        <w:rPr>
          <w:lang w:val="en-US"/>
        </w:rPr>
        <w:t>(</w:t>
      </w:r>
      <w:r w:rsidRPr="00A03B67">
        <w:rPr>
          <w:lang w:val="en-US"/>
        </w:rPr>
        <w:t xml:space="preserve">Unions NSW, </w:t>
      </w:r>
      <w:r w:rsidRPr="00A03B67">
        <w:rPr>
          <w:i/>
          <w:lang w:val="en-US"/>
        </w:rPr>
        <w:t xml:space="preserve">Wage Theft: The Shadow Market </w:t>
      </w:r>
      <w:r w:rsidR="00A64A10" w:rsidRPr="00A03B67">
        <w:rPr>
          <w:rFonts w:ascii="Symbol" w:eastAsia="Symbol" w:hAnsi="Symbol" w:cs="Symbol"/>
          <w:i/>
          <w:lang w:val="en-US"/>
        </w:rPr>
        <w:t>-</w:t>
      </w:r>
      <w:r w:rsidRPr="00A03B67">
        <w:rPr>
          <w:i/>
          <w:lang w:val="en-US"/>
        </w:rPr>
        <w:t xml:space="preserve"> Empowering Migrant Workers to Enforce Their Rights</w:t>
      </w:r>
      <w:r w:rsidRPr="00A03B67">
        <w:rPr>
          <w:lang w:val="en-US"/>
        </w:rPr>
        <w:t xml:space="preserve"> </w:t>
      </w:r>
      <w:r w:rsidR="00DE141C" w:rsidRPr="00A03B67">
        <w:rPr>
          <w:lang w:val="en-US"/>
        </w:rPr>
        <w:t>(Web Page</w:t>
      </w:r>
      <w:r w:rsidR="00A64A10" w:rsidRPr="00A03B67">
        <w:rPr>
          <w:lang w:val="en-US"/>
        </w:rPr>
        <w:t>, n.d.</w:t>
      </w:r>
      <w:r w:rsidR="00DE141C" w:rsidRPr="00A03B67">
        <w:rPr>
          <w:lang w:val="en-US"/>
        </w:rPr>
        <w:t xml:space="preserve">) </w:t>
      </w:r>
      <w:r w:rsidR="00EB697C" w:rsidRPr="00A03B67">
        <w:rPr>
          <w:lang w:val="en-US"/>
        </w:rPr>
        <w:t>&lt;</w:t>
      </w:r>
      <w:r w:rsidRPr="00427046">
        <w:rPr>
          <w:lang w:val="en-US"/>
        </w:rPr>
        <w:t>https://www.unionsnsw.org.au/publication/wage-theft-the-shadow-market-empowering-migrant-workers-to-enforce-their-rights/</w:t>
      </w:r>
      <w:r w:rsidR="00EB697C" w:rsidRPr="00A03B67">
        <w:t>&gt;).</w:t>
      </w:r>
    </w:p>
  </w:footnote>
  <w:footnote w:id="1031">
    <w:p w14:paraId="31DDE010" w14:textId="01E0686A" w:rsidR="00821381" w:rsidRPr="00A03B67" w:rsidRDefault="00821381" w:rsidP="00821381">
      <w:pPr>
        <w:pStyle w:val="FootnoteText"/>
        <w:rPr>
          <w:lang w:val="en-US"/>
        </w:rPr>
      </w:pPr>
      <w:r w:rsidRPr="00A03B67">
        <w:rPr>
          <w:rStyle w:val="FootnoteReference"/>
        </w:rPr>
        <w:footnoteRef/>
      </w:r>
      <w:r w:rsidRPr="00A03B67">
        <w:t xml:space="preserve"> </w:t>
      </w:r>
      <w:r w:rsidR="007F1041" w:rsidRPr="00A03B67">
        <w:t>FWO,</w:t>
      </w:r>
      <w:r w:rsidRPr="00A03B67">
        <w:t xml:space="preserve"> </w:t>
      </w:r>
      <w:r w:rsidR="00AE1A55" w:rsidRPr="00A03B67">
        <w:rPr>
          <w:i/>
        </w:rPr>
        <w:t xml:space="preserve">Job ads </w:t>
      </w:r>
      <w:r w:rsidR="00A64A10" w:rsidRPr="00A03B67">
        <w:rPr>
          <w:rFonts w:ascii="Symbol" w:eastAsia="Symbol" w:hAnsi="Symbol" w:cs="Symbol"/>
          <w:i/>
        </w:rPr>
        <w:t>-</w:t>
      </w:r>
      <w:r w:rsidR="00AE1A55" w:rsidRPr="00A03B67">
        <w:rPr>
          <w:i/>
        </w:rPr>
        <w:t xml:space="preserve"> Fair Work Ombudsman</w:t>
      </w:r>
      <w:r w:rsidR="00AE1A55" w:rsidRPr="00A03B67">
        <w:t xml:space="preserve"> (Web Page</w:t>
      </w:r>
      <w:r w:rsidR="00A64A10" w:rsidRPr="00A03B67">
        <w:t>, n.d.</w:t>
      </w:r>
      <w:r w:rsidR="00AE1A55" w:rsidRPr="00A03B67">
        <w:t>) &lt;https://www.fairwork.gov.au/starting-employment/job-ads&gt;.</w:t>
      </w:r>
    </w:p>
  </w:footnote>
  <w:footnote w:id="1032">
    <w:p w14:paraId="27E98AE6" w14:textId="62FE4542" w:rsidR="00821381" w:rsidRPr="00A03B67" w:rsidRDefault="00821381" w:rsidP="00821381">
      <w:pPr>
        <w:pStyle w:val="FootnoteText"/>
        <w:rPr>
          <w:lang w:val="en-US"/>
        </w:rPr>
      </w:pPr>
      <w:r w:rsidRPr="00A03B67">
        <w:rPr>
          <w:rStyle w:val="FootnoteReference"/>
        </w:rPr>
        <w:footnoteRef/>
      </w:r>
      <w:r w:rsidRPr="00A03B67">
        <w:t xml:space="preserve"> </w:t>
      </w:r>
      <w:r w:rsidR="00070C32" w:rsidRPr="00A03B67">
        <w:t xml:space="preserve">FWO, </w:t>
      </w:r>
      <w:r w:rsidR="00070C32" w:rsidRPr="00A03B67">
        <w:rPr>
          <w:i/>
          <w:iCs/>
        </w:rPr>
        <w:t xml:space="preserve">Job ads </w:t>
      </w:r>
      <w:r w:rsidR="00A64A10" w:rsidRPr="00A03B67">
        <w:rPr>
          <w:rFonts w:ascii="Symbol" w:eastAsia="Symbol" w:hAnsi="Symbol" w:cs="Symbol"/>
          <w:i/>
          <w:iCs/>
        </w:rPr>
        <w:t>-</w:t>
      </w:r>
      <w:r w:rsidR="00070C32" w:rsidRPr="00A03B67">
        <w:rPr>
          <w:i/>
          <w:iCs/>
        </w:rPr>
        <w:t xml:space="preserve"> Fair Work Ombudsman</w:t>
      </w:r>
      <w:r w:rsidR="00070C32" w:rsidRPr="00A03B67">
        <w:t xml:space="preserve"> (Web Page</w:t>
      </w:r>
      <w:r w:rsidR="00A64A10" w:rsidRPr="00A03B67">
        <w:t>, n.d.</w:t>
      </w:r>
      <w:r w:rsidR="00070C32" w:rsidRPr="00A03B67">
        <w:t>) &lt;https://www.fairwork.gov.au/starting-employment/job-ads&gt;.</w:t>
      </w:r>
    </w:p>
  </w:footnote>
  <w:footnote w:id="1033">
    <w:p w14:paraId="35899E48" w14:textId="549EB5CC" w:rsidR="00821381" w:rsidRPr="00A03B67" w:rsidRDefault="00821381" w:rsidP="00821381">
      <w:pPr>
        <w:pStyle w:val="FootnoteText"/>
        <w:rPr>
          <w:lang w:val="en-US"/>
        </w:rPr>
      </w:pPr>
      <w:r w:rsidRPr="00A03B67">
        <w:rPr>
          <w:rStyle w:val="FootnoteReference"/>
        </w:rPr>
        <w:footnoteRef/>
      </w:r>
      <w:r w:rsidRPr="00A03B67">
        <w:t xml:space="preserve"> </w:t>
      </w:r>
      <w:r w:rsidR="00070C32" w:rsidRPr="00A03B67">
        <w:t>FWO,</w:t>
      </w:r>
      <w:r w:rsidR="00994090" w:rsidRPr="00A03B67">
        <w:t xml:space="preserve"> </w:t>
      </w:r>
      <w:r w:rsidR="00994090" w:rsidRPr="00A03B67">
        <w:rPr>
          <w:i/>
          <w:iCs/>
        </w:rPr>
        <w:t>The Pay and Conditions Tool</w:t>
      </w:r>
      <w:r w:rsidR="00070C32" w:rsidRPr="00A03B67">
        <w:t xml:space="preserve"> </w:t>
      </w:r>
      <w:r w:rsidR="00CF704F" w:rsidRPr="00A03B67">
        <w:t>(Web Page</w:t>
      </w:r>
      <w:r w:rsidR="00A64A10" w:rsidRPr="00A03B67">
        <w:t>, n.d.</w:t>
      </w:r>
      <w:r w:rsidR="00CF704F" w:rsidRPr="00A03B67">
        <w:t xml:space="preserve">) </w:t>
      </w:r>
      <w:r w:rsidR="00070C32" w:rsidRPr="00A03B67">
        <w:t>&lt;https://calculate.fairwork.gov.au/FindYourAward&gt;.</w:t>
      </w:r>
    </w:p>
  </w:footnote>
  <w:footnote w:id="1034">
    <w:p w14:paraId="79A2CDD3" w14:textId="15CF2E7E" w:rsidR="00821381" w:rsidRPr="00A03B67" w:rsidRDefault="00821381" w:rsidP="00821381">
      <w:pPr>
        <w:pStyle w:val="FootnoteText"/>
        <w:rPr>
          <w:lang w:val="en-US"/>
        </w:rPr>
      </w:pPr>
      <w:r w:rsidRPr="00A03B67">
        <w:rPr>
          <w:rStyle w:val="FootnoteReference"/>
        </w:rPr>
        <w:footnoteRef/>
      </w:r>
      <w:r w:rsidRPr="00A03B67">
        <w:t xml:space="preserve"> </w:t>
      </w:r>
      <w:r w:rsidR="00B274F0" w:rsidRPr="00A03B67">
        <w:t xml:space="preserve">FWO, </w:t>
      </w:r>
      <w:r w:rsidR="00B274F0" w:rsidRPr="00A03B67">
        <w:rPr>
          <w:i/>
          <w:iCs/>
        </w:rPr>
        <w:t xml:space="preserve">Send </w:t>
      </w:r>
      <w:r w:rsidR="00A64A10" w:rsidRPr="00A03B67">
        <w:rPr>
          <w:i/>
          <w:iCs/>
        </w:rPr>
        <w:t>U</w:t>
      </w:r>
      <w:r w:rsidR="00B274F0" w:rsidRPr="00A03B67">
        <w:rPr>
          <w:i/>
          <w:iCs/>
        </w:rPr>
        <w:t xml:space="preserve">s an </w:t>
      </w:r>
      <w:r w:rsidR="00A64A10" w:rsidRPr="00A03B67">
        <w:rPr>
          <w:i/>
          <w:iCs/>
        </w:rPr>
        <w:t>A</w:t>
      </w:r>
      <w:r w:rsidR="00B274F0" w:rsidRPr="00A03B67">
        <w:rPr>
          <w:i/>
          <w:iCs/>
        </w:rPr>
        <w:t xml:space="preserve">nonymous </w:t>
      </w:r>
      <w:r w:rsidR="00A64A10" w:rsidRPr="00A03B67">
        <w:rPr>
          <w:i/>
          <w:iCs/>
        </w:rPr>
        <w:t>T</w:t>
      </w:r>
      <w:r w:rsidR="00B274F0" w:rsidRPr="00A03B67">
        <w:rPr>
          <w:i/>
          <w:iCs/>
        </w:rPr>
        <w:t>ip-off</w:t>
      </w:r>
      <w:r w:rsidR="00B274F0" w:rsidRPr="00A03B67">
        <w:t xml:space="preserve"> </w:t>
      </w:r>
      <w:r w:rsidR="00CF704F" w:rsidRPr="00A03B67">
        <w:t>(Web Page</w:t>
      </w:r>
      <w:r w:rsidR="00A64A10" w:rsidRPr="00A03B67">
        <w:t>, n.d.</w:t>
      </w:r>
      <w:r w:rsidR="00CF704F" w:rsidRPr="00A03B67">
        <w:t>) &lt;https://www.fairwork.gov.au/workplace-problems/send-us-an-anonymous-tip-off&gt;.</w:t>
      </w:r>
    </w:p>
  </w:footnote>
  <w:footnote w:id="1035">
    <w:p w14:paraId="3BB02496" w14:textId="63418CA7" w:rsidR="00821381" w:rsidRPr="00A03B67" w:rsidRDefault="00821381" w:rsidP="00821381">
      <w:pPr>
        <w:pStyle w:val="FootnoteText"/>
        <w:rPr>
          <w:lang w:val="en-US"/>
        </w:rPr>
      </w:pPr>
      <w:r w:rsidRPr="00A03B67">
        <w:rPr>
          <w:rStyle w:val="FootnoteReference"/>
        </w:rPr>
        <w:footnoteRef/>
      </w:r>
      <w:r w:rsidRPr="00A03B67">
        <w:t xml:space="preserve"> </w:t>
      </w:r>
      <w:r w:rsidR="002F7F85" w:rsidRPr="00A03B67">
        <w:rPr>
          <w:lang w:val="en-US"/>
        </w:rPr>
        <w:t>ACCI</w:t>
      </w:r>
      <w:r w:rsidR="00A64A10" w:rsidRPr="00A03B67">
        <w:t xml:space="preserve"> s</w:t>
      </w:r>
      <w:r w:rsidR="002F7F85" w:rsidRPr="00A03B67">
        <w:t>ubmission</w:t>
      </w:r>
      <w:r w:rsidR="00A64A10" w:rsidRPr="00A03B67">
        <w:t>,</w:t>
      </w:r>
      <w:r w:rsidR="002F7F85" w:rsidRPr="00A03B67">
        <w:t xml:space="preserve"> </w:t>
      </w:r>
      <w:r w:rsidRPr="00A03B67">
        <w:rPr>
          <w:lang w:val="en-US"/>
        </w:rPr>
        <w:t xml:space="preserve">95. </w:t>
      </w:r>
    </w:p>
  </w:footnote>
  <w:footnote w:id="1036">
    <w:p w14:paraId="6F786721" w14:textId="79DAD710" w:rsidR="00821381" w:rsidRPr="00A03B67" w:rsidRDefault="00821381" w:rsidP="00821381">
      <w:pPr>
        <w:pStyle w:val="FootnoteText"/>
      </w:pPr>
      <w:r w:rsidRPr="00A03B67">
        <w:rPr>
          <w:rStyle w:val="FootnoteReference"/>
        </w:rPr>
        <w:footnoteRef/>
      </w:r>
      <w:r w:rsidRPr="00A03B67">
        <w:t xml:space="preserve"> </w:t>
      </w:r>
      <w:r w:rsidR="00FA2CAD" w:rsidRPr="00A03B67">
        <w:rPr>
          <w:lang w:val="en-US"/>
        </w:rPr>
        <w:t>Ai Group</w:t>
      </w:r>
      <w:r w:rsidR="00A64A10" w:rsidRPr="00A03B67">
        <w:t xml:space="preserve"> s</w:t>
      </w:r>
      <w:r w:rsidR="00FA2CAD" w:rsidRPr="00A03B67">
        <w:t>ubmission</w:t>
      </w:r>
      <w:r w:rsidR="00A64A10" w:rsidRPr="00A03B67">
        <w:t>,</w:t>
      </w:r>
      <w:r w:rsidR="00FA2CAD" w:rsidRPr="00A03B67">
        <w:t xml:space="preserve"> </w:t>
      </w:r>
      <w:r w:rsidRPr="00A03B67">
        <w:rPr>
          <w:lang w:val="en-US"/>
        </w:rPr>
        <w:t>81.</w:t>
      </w:r>
    </w:p>
  </w:footnote>
  <w:footnote w:id="1037">
    <w:p w14:paraId="7919589E" w14:textId="15EEBB65" w:rsidR="00821381" w:rsidRPr="00A03B67" w:rsidRDefault="00821381" w:rsidP="00821381">
      <w:pPr>
        <w:pStyle w:val="FootnoteText"/>
        <w:rPr>
          <w:lang w:val="en-US"/>
        </w:rPr>
      </w:pPr>
      <w:r w:rsidRPr="00A03B67">
        <w:rPr>
          <w:rStyle w:val="FootnoteReference"/>
        </w:rPr>
        <w:footnoteRef/>
      </w:r>
      <w:r w:rsidRPr="00A03B67">
        <w:t xml:space="preserve"> </w:t>
      </w:r>
      <w:r w:rsidR="00DD4C7C" w:rsidRPr="00A03B67">
        <w:rPr>
          <w:lang w:val="en-US"/>
        </w:rPr>
        <w:t>Clubs Australia</w:t>
      </w:r>
      <w:r w:rsidR="00A64A10" w:rsidRPr="00A03B67">
        <w:t xml:space="preserve"> s</w:t>
      </w:r>
      <w:r w:rsidR="00DD4C7C" w:rsidRPr="00A03B67">
        <w:t>ubmission</w:t>
      </w:r>
      <w:r w:rsidR="00A64A10" w:rsidRPr="00A03B67">
        <w:t>,</w:t>
      </w:r>
      <w:r w:rsidR="00DD4C7C" w:rsidRPr="00A03B67">
        <w:t xml:space="preserve"> </w:t>
      </w:r>
      <w:r w:rsidRPr="00A03B67">
        <w:rPr>
          <w:lang w:val="en-US"/>
        </w:rPr>
        <w:t>5.</w:t>
      </w:r>
    </w:p>
  </w:footnote>
  <w:footnote w:id="1038">
    <w:p w14:paraId="78A72560" w14:textId="7DC80672" w:rsidR="001D690F" w:rsidRPr="00A03B67" w:rsidRDefault="001D690F" w:rsidP="0070258A">
      <w:pPr>
        <w:pStyle w:val="FootnoteText"/>
        <w:rPr>
          <w:lang w:val="en-US"/>
        </w:rPr>
      </w:pPr>
      <w:r w:rsidRPr="00A03B67">
        <w:rPr>
          <w:rStyle w:val="FootnoteReference"/>
        </w:rPr>
        <w:footnoteRef/>
      </w:r>
      <w:r w:rsidRPr="00A03B67">
        <w:t xml:space="preserve"> </w:t>
      </w:r>
      <w:r w:rsidR="007D1283" w:rsidRPr="00A03B67">
        <w:rPr>
          <w:lang w:val="en-US"/>
        </w:rPr>
        <w:t xml:space="preserve">Australian Retailers Association </w:t>
      </w:r>
      <w:r w:rsidR="00A64A10" w:rsidRPr="00A03B67">
        <w:t xml:space="preserve">submission, </w:t>
      </w:r>
      <w:r w:rsidRPr="00A03B67">
        <w:rPr>
          <w:lang w:val="en-US"/>
        </w:rPr>
        <w:t>13.</w:t>
      </w:r>
    </w:p>
  </w:footnote>
  <w:footnote w:id="1039">
    <w:p w14:paraId="5C699A83" w14:textId="5484F781" w:rsidR="00821381" w:rsidRPr="00A03B67" w:rsidRDefault="00821381" w:rsidP="00821381">
      <w:pPr>
        <w:pStyle w:val="FootnoteText"/>
      </w:pPr>
      <w:r w:rsidRPr="00A03B67">
        <w:rPr>
          <w:rStyle w:val="FootnoteReference"/>
        </w:rPr>
        <w:footnoteRef/>
      </w:r>
      <w:r w:rsidRPr="00A03B67">
        <w:t xml:space="preserve"> </w:t>
      </w:r>
      <w:r w:rsidR="00DD4C7C" w:rsidRPr="00A03B67">
        <w:rPr>
          <w:lang w:val="en-US"/>
        </w:rPr>
        <w:t>Clubs Australia</w:t>
      </w:r>
      <w:r w:rsidR="00A64A10" w:rsidRPr="00A03B67">
        <w:t xml:space="preserve"> s</w:t>
      </w:r>
      <w:r w:rsidR="00DD4C7C" w:rsidRPr="00A03B67">
        <w:t>ubmission</w:t>
      </w:r>
      <w:r w:rsidR="00A64A10" w:rsidRPr="00A03B67">
        <w:t>,</w:t>
      </w:r>
      <w:r w:rsidR="00DD4C7C" w:rsidRPr="00A03B67">
        <w:t xml:space="preserve"> </w:t>
      </w:r>
      <w:r w:rsidR="00DD4C7C" w:rsidRPr="00A03B67">
        <w:rPr>
          <w:lang w:val="en-US"/>
        </w:rPr>
        <w:t>5.</w:t>
      </w:r>
    </w:p>
  </w:footnote>
  <w:footnote w:id="1040">
    <w:p w14:paraId="5D0393C2" w14:textId="13E90410" w:rsidR="00CC49B3" w:rsidRPr="00A03B67" w:rsidRDefault="00CC49B3">
      <w:pPr>
        <w:pStyle w:val="FootnoteText"/>
      </w:pPr>
      <w:r w:rsidRPr="00A03B67">
        <w:rPr>
          <w:rStyle w:val="FootnoteReference"/>
        </w:rPr>
        <w:footnoteRef/>
      </w:r>
      <w:r w:rsidRPr="00A03B67">
        <w:t xml:space="preserve"> </w:t>
      </w:r>
      <w:r w:rsidR="00771030" w:rsidRPr="00A03B67">
        <w:t>ACTU</w:t>
      </w:r>
      <w:r w:rsidR="00A64A10" w:rsidRPr="00A03B67">
        <w:t xml:space="preserve"> s</w:t>
      </w:r>
      <w:r w:rsidR="00771030" w:rsidRPr="00A03B67">
        <w:t>ubmission</w:t>
      </w:r>
      <w:r w:rsidR="00A64A10" w:rsidRPr="00A03B67">
        <w:t>,</w:t>
      </w:r>
      <w:r w:rsidR="00771030" w:rsidRPr="00A03B67">
        <w:t xml:space="preserve"> 10</w:t>
      </w:r>
      <w:r w:rsidR="00506E22" w:rsidRPr="00A03B67">
        <w:t>2</w:t>
      </w:r>
      <w:r w:rsidR="00771030" w:rsidRPr="00A03B67">
        <w:t>.</w:t>
      </w:r>
    </w:p>
  </w:footnote>
  <w:footnote w:id="1041">
    <w:p w14:paraId="5A5969D5" w14:textId="4196B1FD" w:rsidR="00821381" w:rsidRPr="00A03B67" w:rsidRDefault="00821381" w:rsidP="00821381">
      <w:pPr>
        <w:pStyle w:val="FootnoteText"/>
        <w:rPr>
          <w:lang w:val="en-US"/>
        </w:rPr>
      </w:pPr>
      <w:r w:rsidRPr="00A03B67">
        <w:rPr>
          <w:rStyle w:val="FootnoteReference"/>
        </w:rPr>
        <w:footnoteRef/>
      </w:r>
      <w:r w:rsidRPr="00A03B67">
        <w:t xml:space="preserve"> </w:t>
      </w:r>
      <w:r w:rsidR="00485217" w:rsidRPr="00A03B67">
        <w:t>Employment Rights Legal Service</w:t>
      </w:r>
      <w:r w:rsidR="00A64A10" w:rsidRPr="00A03B67">
        <w:t xml:space="preserve"> s</w:t>
      </w:r>
      <w:r w:rsidR="00485217" w:rsidRPr="00A03B67">
        <w:t>ubmission</w:t>
      </w:r>
      <w:r w:rsidRPr="00A03B67">
        <w:rPr>
          <w:lang w:val="en-US"/>
        </w:rPr>
        <w:t>.</w:t>
      </w:r>
    </w:p>
  </w:footnote>
  <w:footnote w:id="1042">
    <w:p w14:paraId="333DECD7" w14:textId="0E5CBCC6" w:rsidR="00821381" w:rsidRPr="00A03B67" w:rsidRDefault="00821381" w:rsidP="00821381">
      <w:pPr>
        <w:pStyle w:val="FootnoteText"/>
      </w:pPr>
      <w:r w:rsidRPr="00A03B67">
        <w:rPr>
          <w:rStyle w:val="FootnoteReference"/>
        </w:rPr>
        <w:footnoteRef/>
      </w:r>
      <w:r w:rsidRPr="00A03B67">
        <w:t xml:space="preserve"> </w:t>
      </w:r>
      <w:r w:rsidR="00F26150" w:rsidRPr="00A03B67">
        <w:t>FSU</w:t>
      </w:r>
      <w:r w:rsidR="00A64A10" w:rsidRPr="00A03B67">
        <w:t xml:space="preserve"> s</w:t>
      </w:r>
      <w:r w:rsidR="00F26150" w:rsidRPr="00A03B67">
        <w:t>ubmission</w:t>
      </w:r>
      <w:r w:rsidR="00A64A10" w:rsidRPr="00A03B67">
        <w:t>,</w:t>
      </w:r>
      <w:r w:rsidR="00F26150" w:rsidRPr="00A03B67">
        <w:t xml:space="preserve"> </w:t>
      </w:r>
      <w:r w:rsidRPr="00A03B67">
        <w:t>5.</w:t>
      </w:r>
    </w:p>
  </w:footnote>
  <w:footnote w:id="1043">
    <w:p w14:paraId="69B3D37D" w14:textId="59B7CD98" w:rsidR="00821381" w:rsidRPr="00A03B67" w:rsidRDefault="00821381" w:rsidP="00821381">
      <w:pPr>
        <w:pStyle w:val="FootnoteText"/>
      </w:pPr>
      <w:r w:rsidRPr="00A03B67">
        <w:rPr>
          <w:rStyle w:val="FootnoteReference"/>
        </w:rPr>
        <w:footnoteRef/>
      </w:r>
      <w:r w:rsidRPr="00A03B67">
        <w:t xml:space="preserve"> </w:t>
      </w:r>
      <w:r w:rsidR="00353F5F" w:rsidRPr="00A03B67">
        <w:t>FSU</w:t>
      </w:r>
      <w:r w:rsidR="00A64A10" w:rsidRPr="00A03B67">
        <w:t xml:space="preserve"> s</w:t>
      </w:r>
      <w:r w:rsidR="00353F5F" w:rsidRPr="00A03B67">
        <w:t>ubmission</w:t>
      </w:r>
      <w:r w:rsidR="00A64A10" w:rsidRPr="00A03B67">
        <w:t>,</w:t>
      </w:r>
      <w:r w:rsidR="00353F5F" w:rsidRPr="00A03B67">
        <w:t xml:space="preserve"> 5.</w:t>
      </w:r>
    </w:p>
  </w:footnote>
  <w:footnote w:id="1044">
    <w:p w14:paraId="23A5E9D6" w14:textId="5AA1FE02" w:rsidR="00D53D21" w:rsidRPr="00A03B67" w:rsidRDefault="00D53D21">
      <w:pPr>
        <w:pStyle w:val="FootnoteText"/>
      </w:pPr>
      <w:r w:rsidRPr="00A03B67">
        <w:rPr>
          <w:rStyle w:val="FootnoteReference"/>
        </w:rPr>
        <w:footnoteRef/>
      </w:r>
      <w:r w:rsidRPr="00A03B67">
        <w:t xml:space="preserve"> </w:t>
      </w:r>
      <w:r w:rsidRPr="00A03B67">
        <w:rPr>
          <w:i/>
        </w:rPr>
        <w:t>Fair Work Act 2009</w:t>
      </w:r>
      <w:r w:rsidR="00071A74" w:rsidRPr="00A03B67">
        <w:t xml:space="preserve"> (Cth)</w:t>
      </w:r>
      <w:r w:rsidRPr="00A03B67">
        <w:t xml:space="preserve"> s</w:t>
      </w:r>
      <w:r w:rsidR="00071A74" w:rsidRPr="00A03B67">
        <w:t xml:space="preserve"> </w:t>
      </w:r>
      <w:r w:rsidR="00DC5B95" w:rsidRPr="00A03B67">
        <w:t>595.</w:t>
      </w:r>
    </w:p>
  </w:footnote>
  <w:footnote w:id="1045">
    <w:p w14:paraId="54F585CA" w14:textId="48EE315F" w:rsidR="00821381" w:rsidRPr="00A03B67" w:rsidRDefault="00821381" w:rsidP="00821381">
      <w:pPr>
        <w:pStyle w:val="FootnoteText"/>
        <w:rPr>
          <w:lang w:val="en-US"/>
        </w:rPr>
      </w:pPr>
      <w:r w:rsidRPr="00A03B67">
        <w:rPr>
          <w:rStyle w:val="FootnoteReference"/>
        </w:rPr>
        <w:footnoteRef/>
      </w:r>
      <w:r w:rsidRPr="00A03B67">
        <w:t xml:space="preserve"> </w:t>
      </w:r>
      <w:r w:rsidR="00071A74" w:rsidRPr="00A03B67">
        <w:t xml:space="preserve">FWC, </w:t>
      </w:r>
      <w:r w:rsidR="0051711E" w:rsidRPr="00A03B67">
        <w:rPr>
          <w:i/>
          <w:iCs/>
        </w:rPr>
        <w:t xml:space="preserve">Information in </w:t>
      </w:r>
      <w:r w:rsidR="00A64A10" w:rsidRPr="00A03B67">
        <w:rPr>
          <w:i/>
          <w:iCs/>
        </w:rPr>
        <w:t>Y</w:t>
      </w:r>
      <w:r w:rsidR="0051711E" w:rsidRPr="00A03B67">
        <w:rPr>
          <w:i/>
          <w:iCs/>
        </w:rPr>
        <w:t>our language</w:t>
      </w:r>
      <w:r w:rsidR="00071A74" w:rsidRPr="00A03B67">
        <w:t xml:space="preserve"> (Web Page</w:t>
      </w:r>
      <w:r w:rsidR="00A64A10" w:rsidRPr="00A03B67">
        <w:t>, n.d.</w:t>
      </w:r>
      <w:r w:rsidR="00071A74" w:rsidRPr="00A03B67">
        <w:t>) &lt;https://www</w:t>
      </w:r>
      <w:bookmarkStart w:id="563" w:name="_Hlt187834548"/>
      <w:bookmarkStart w:id="564" w:name="_Hlt187834549"/>
      <w:r w:rsidR="00071A74" w:rsidRPr="00A03B67">
        <w:t>.</w:t>
      </w:r>
      <w:bookmarkEnd w:id="563"/>
      <w:bookmarkEnd w:id="564"/>
      <w:r w:rsidR="00071A74" w:rsidRPr="00A03B67">
        <w:t>fwc.gov.au/about-us/information-your-language&gt;.</w:t>
      </w:r>
    </w:p>
  </w:footnote>
  <w:footnote w:id="1046">
    <w:p w14:paraId="15BA1094" w14:textId="26B72D3E" w:rsidR="00821381" w:rsidRPr="00A03B67" w:rsidRDefault="00821381" w:rsidP="00821381">
      <w:pPr>
        <w:pStyle w:val="FootnoteText"/>
        <w:rPr>
          <w:lang w:val="en-US"/>
        </w:rPr>
      </w:pPr>
      <w:r w:rsidRPr="00A03B67">
        <w:rPr>
          <w:rStyle w:val="FootnoteReference"/>
        </w:rPr>
        <w:footnoteRef/>
      </w:r>
      <w:r w:rsidRPr="00A03B67">
        <w:t xml:space="preserve"> </w:t>
      </w:r>
      <w:r w:rsidR="00071A74" w:rsidRPr="00A03B67">
        <w:t>FWO,</w:t>
      </w:r>
      <w:r w:rsidR="00E96C6E" w:rsidRPr="00A03B67">
        <w:t xml:space="preserve"> </w:t>
      </w:r>
      <w:r w:rsidR="00E96C6E" w:rsidRPr="00A03B67">
        <w:rPr>
          <w:i/>
          <w:iCs/>
        </w:rPr>
        <w:t xml:space="preserve">Language </w:t>
      </w:r>
      <w:r w:rsidR="00A64A10" w:rsidRPr="00A03B67">
        <w:rPr>
          <w:i/>
          <w:iCs/>
        </w:rPr>
        <w:t>H</w:t>
      </w:r>
      <w:r w:rsidR="00E96C6E" w:rsidRPr="00A03B67">
        <w:rPr>
          <w:i/>
          <w:iCs/>
        </w:rPr>
        <w:t>elp</w:t>
      </w:r>
      <w:r w:rsidR="00071A74" w:rsidRPr="00A03B67">
        <w:t xml:space="preserve"> (Web Page</w:t>
      </w:r>
      <w:r w:rsidR="00A64A10" w:rsidRPr="00A03B67">
        <w:t>, n.d.</w:t>
      </w:r>
      <w:r w:rsidR="00071A74" w:rsidRPr="00A03B67">
        <w:t>) &lt;http</w:t>
      </w:r>
      <w:bookmarkStart w:id="565" w:name="_Hlt188526298"/>
      <w:bookmarkStart w:id="566" w:name="_Hlt188526299"/>
      <w:r w:rsidR="00071A74" w:rsidRPr="00A03B67">
        <w:t>s</w:t>
      </w:r>
      <w:bookmarkEnd w:id="565"/>
      <w:bookmarkEnd w:id="566"/>
      <w:r w:rsidR="00071A74" w:rsidRPr="00A03B67">
        <w:t>://www.fairwork.gov.au/tools-and-resources/language-help&gt;.</w:t>
      </w:r>
    </w:p>
  </w:footnote>
  <w:footnote w:id="1047">
    <w:p w14:paraId="1E1AAD1F" w14:textId="32A09224" w:rsidR="00821381" w:rsidRPr="00A03B67" w:rsidRDefault="00821381" w:rsidP="00821381">
      <w:pPr>
        <w:pStyle w:val="FootnoteText"/>
        <w:rPr>
          <w:lang w:val="en-US"/>
        </w:rPr>
      </w:pPr>
      <w:r w:rsidRPr="00A03B67">
        <w:rPr>
          <w:rStyle w:val="FootnoteReference"/>
        </w:rPr>
        <w:footnoteRef/>
      </w:r>
      <w:r w:rsidRPr="00A03B67">
        <w:t xml:space="preserve"> </w:t>
      </w:r>
      <w:r w:rsidR="00F06A46" w:rsidRPr="00A03B67">
        <w:t>Revised Explanatory Memorandum, Fair Work Legislation Amendment (Secure Jobs, Better Pay) Bill 2022 (Cth)</w:t>
      </w:r>
      <w:r w:rsidR="00A64A10" w:rsidRPr="00A03B67">
        <w:t>,</w:t>
      </w:r>
      <w:r w:rsidR="00F06A46" w:rsidRPr="00A03B67">
        <w:t xml:space="preserve"> </w:t>
      </w:r>
      <w:r w:rsidR="00F06A46" w:rsidRPr="00A03B67">
        <w:rPr>
          <w:lang w:val="en-US"/>
        </w:rPr>
        <w:t>xxiv</w:t>
      </w:r>
      <w:r w:rsidR="00F06A46" w:rsidRPr="00A03B67">
        <w:t xml:space="preserve"> [</w:t>
      </w:r>
      <w:r w:rsidRPr="00A03B67">
        <w:rPr>
          <w:lang w:val="en-US"/>
        </w:rPr>
        <w:t>119</w:t>
      </w:r>
      <w:r w:rsidR="00F06A46" w:rsidRPr="00A03B67">
        <w:rPr>
          <w:lang w:val="en-US"/>
        </w:rPr>
        <w:t>]</w:t>
      </w:r>
      <w:r w:rsidRPr="00A03B67">
        <w:rPr>
          <w:lang w:val="en-US"/>
        </w:rPr>
        <w:t>.</w:t>
      </w:r>
    </w:p>
  </w:footnote>
  <w:footnote w:id="1048">
    <w:p w14:paraId="6FC5BC90" w14:textId="261A59A3" w:rsidR="00821381" w:rsidRPr="00A03B67" w:rsidRDefault="00821381" w:rsidP="00821381">
      <w:pPr>
        <w:pStyle w:val="FootnoteText"/>
      </w:pPr>
      <w:r w:rsidRPr="00A03B67">
        <w:rPr>
          <w:rStyle w:val="FootnoteReference"/>
        </w:rPr>
        <w:footnoteRef/>
      </w:r>
      <w:r w:rsidRPr="00A03B67">
        <w:t xml:space="preserve"> </w:t>
      </w:r>
      <w:r w:rsidR="00EB5E61" w:rsidRPr="00A03B67">
        <w:t>FWC</w:t>
      </w:r>
      <w:r w:rsidR="00A64A10" w:rsidRPr="00A03B67">
        <w:t>,</w:t>
      </w:r>
      <w:r w:rsidR="00EB5E61" w:rsidRPr="00A03B67">
        <w:t xml:space="preserve"> </w:t>
      </w:r>
      <w:r w:rsidR="00C9333F" w:rsidRPr="00A03B67">
        <w:rPr>
          <w:i/>
        </w:rPr>
        <w:t xml:space="preserve">Community </w:t>
      </w:r>
      <w:r w:rsidR="00A64A10" w:rsidRPr="00A03B67">
        <w:rPr>
          <w:i/>
        </w:rPr>
        <w:t>E</w:t>
      </w:r>
      <w:r w:rsidR="00C9333F" w:rsidRPr="00A03B67">
        <w:rPr>
          <w:i/>
        </w:rPr>
        <w:t xml:space="preserve">ngagement </w:t>
      </w:r>
      <w:r w:rsidR="00A64A10" w:rsidRPr="00A03B67">
        <w:rPr>
          <w:i/>
        </w:rPr>
        <w:t>S</w:t>
      </w:r>
      <w:r w:rsidR="00C9333F" w:rsidRPr="00A03B67">
        <w:rPr>
          <w:i/>
        </w:rPr>
        <w:t>trategy 2025–27</w:t>
      </w:r>
      <w:r w:rsidR="00A64A10" w:rsidRPr="00A03B67">
        <w:rPr>
          <w:i/>
        </w:rPr>
        <w:t>:</w:t>
      </w:r>
      <w:r w:rsidR="00C9333F" w:rsidRPr="00A03B67">
        <w:rPr>
          <w:i/>
        </w:rPr>
        <w:t xml:space="preserve"> Supporting </w:t>
      </w:r>
      <w:r w:rsidR="00A64A10" w:rsidRPr="00A03B67">
        <w:rPr>
          <w:i/>
        </w:rPr>
        <w:t>A</w:t>
      </w:r>
      <w:r w:rsidR="00C9333F" w:rsidRPr="00A03B67">
        <w:rPr>
          <w:i/>
        </w:rPr>
        <w:t xml:space="preserve">ccess to </w:t>
      </w:r>
      <w:r w:rsidR="00A64A10" w:rsidRPr="00A03B67">
        <w:rPr>
          <w:i/>
        </w:rPr>
        <w:t>J</w:t>
      </w:r>
      <w:r w:rsidR="00C9333F" w:rsidRPr="00A03B67">
        <w:rPr>
          <w:i/>
        </w:rPr>
        <w:t xml:space="preserve">ustice for </w:t>
      </w:r>
      <w:r w:rsidR="00A64A10" w:rsidRPr="00A03B67">
        <w:rPr>
          <w:i/>
        </w:rPr>
        <w:t>C</w:t>
      </w:r>
      <w:r w:rsidR="00C9333F" w:rsidRPr="00A03B67">
        <w:rPr>
          <w:i/>
        </w:rPr>
        <w:t xml:space="preserve">ulturally and </w:t>
      </w:r>
      <w:r w:rsidR="00A64A10" w:rsidRPr="00A03B67">
        <w:rPr>
          <w:i/>
        </w:rPr>
        <w:t>L</w:t>
      </w:r>
      <w:r w:rsidR="00C9333F" w:rsidRPr="00A03B67">
        <w:rPr>
          <w:i/>
        </w:rPr>
        <w:t xml:space="preserve">inguistically </w:t>
      </w:r>
      <w:r w:rsidR="00A64A10" w:rsidRPr="00A03B67">
        <w:rPr>
          <w:i/>
        </w:rPr>
        <w:t>D</w:t>
      </w:r>
      <w:r w:rsidR="00C9333F" w:rsidRPr="00A03B67">
        <w:rPr>
          <w:i/>
        </w:rPr>
        <w:t xml:space="preserve">iverse (CALD) </w:t>
      </w:r>
      <w:r w:rsidR="00A64A10" w:rsidRPr="00A03B67">
        <w:rPr>
          <w:i/>
        </w:rPr>
        <w:t>C</w:t>
      </w:r>
      <w:r w:rsidR="00C9333F" w:rsidRPr="00A03B67">
        <w:rPr>
          <w:i/>
        </w:rPr>
        <w:t>ommunities</w:t>
      </w:r>
      <w:r w:rsidR="00D96968" w:rsidRPr="00A03B67">
        <w:rPr>
          <w:i/>
        </w:rPr>
        <w:t xml:space="preserve"> </w:t>
      </w:r>
      <w:r w:rsidR="00D96968" w:rsidRPr="00A03B67">
        <w:rPr>
          <w:iCs/>
        </w:rPr>
        <w:t>(Web Page, n.d.)</w:t>
      </w:r>
      <w:r w:rsidR="00D10004" w:rsidRPr="00A03B67">
        <w:t>.</w:t>
      </w:r>
    </w:p>
  </w:footnote>
  <w:footnote w:id="1049">
    <w:p w14:paraId="0FDFE6AA" w14:textId="0E2285D6" w:rsidR="00821381" w:rsidRPr="00A03B67" w:rsidRDefault="00821381" w:rsidP="00821381">
      <w:pPr>
        <w:pStyle w:val="FootnoteText"/>
      </w:pPr>
      <w:r w:rsidRPr="00A03B67">
        <w:rPr>
          <w:rStyle w:val="FootnoteReference"/>
        </w:rPr>
        <w:footnoteRef/>
      </w:r>
      <w:r w:rsidRPr="00A03B67">
        <w:t xml:space="preserve"> </w:t>
      </w:r>
      <w:r w:rsidR="00C9791D" w:rsidRPr="00A03B67">
        <w:t>Justice Hatcher,</w:t>
      </w:r>
      <w:r w:rsidR="00A64A10" w:rsidRPr="00A03B67">
        <w:t xml:space="preserve"> Fair Work Commission,</w:t>
      </w:r>
      <w:r w:rsidRPr="00A03B67">
        <w:t xml:space="preserve"> </w:t>
      </w:r>
      <w:r w:rsidRPr="00A03B67">
        <w:rPr>
          <w:i/>
        </w:rPr>
        <w:t xml:space="preserve">Fair Work Commission’s 2023 </w:t>
      </w:r>
      <w:r w:rsidR="00A64A10" w:rsidRPr="00A03B67">
        <w:rPr>
          <w:i/>
        </w:rPr>
        <w:t>W</w:t>
      </w:r>
      <w:bookmarkStart w:id="579" w:name="_Hlt188526990"/>
      <w:bookmarkStart w:id="580" w:name="_Hlt188526991"/>
      <w:r w:rsidRPr="00A03B67">
        <w:rPr>
          <w:i/>
        </w:rPr>
        <w:t>o</w:t>
      </w:r>
      <w:bookmarkEnd w:id="579"/>
      <w:bookmarkEnd w:id="580"/>
      <w:r w:rsidRPr="00A03B67">
        <w:rPr>
          <w:i/>
        </w:rPr>
        <w:t>rk and 2023</w:t>
      </w:r>
      <w:r w:rsidR="00A64A10" w:rsidRPr="00A03B67">
        <w:rPr>
          <w:rFonts w:ascii="Symbol" w:eastAsia="Symbol" w:hAnsi="Symbol" w:cs="Symbol"/>
          <w:i/>
        </w:rPr>
        <w:t>-</w:t>
      </w:r>
      <w:r w:rsidRPr="00A03B67">
        <w:rPr>
          <w:i/>
        </w:rPr>
        <w:t xml:space="preserve">24 </w:t>
      </w:r>
      <w:r w:rsidR="00A64A10" w:rsidRPr="00A03B67">
        <w:rPr>
          <w:i/>
        </w:rPr>
        <w:t>P</w:t>
      </w:r>
      <w:r w:rsidRPr="00A03B67">
        <w:rPr>
          <w:i/>
        </w:rPr>
        <w:t>erformance</w:t>
      </w:r>
      <w:r w:rsidRPr="00A03B67">
        <w:t xml:space="preserve"> </w:t>
      </w:r>
      <w:r w:rsidR="00D76E4F" w:rsidRPr="00A03B67">
        <w:t>(</w:t>
      </w:r>
      <w:r w:rsidR="00A64A10" w:rsidRPr="00A03B67">
        <w:t xml:space="preserve">President’s Statement, </w:t>
      </w:r>
      <w:r w:rsidR="00F3658F" w:rsidRPr="00A03B67">
        <w:t>22 December 2023</w:t>
      </w:r>
      <w:r w:rsidR="00D76E4F" w:rsidRPr="00A03B67">
        <w:t>)</w:t>
      </w:r>
      <w:r w:rsidR="00F3658F" w:rsidRPr="00A03B67">
        <w:t xml:space="preserve"> </w:t>
      </w:r>
      <w:r w:rsidRPr="00A03B67">
        <w:t>[45].</w:t>
      </w:r>
    </w:p>
  </w:footnote>
  <w:footnote w:id="1050">
    <w:p w14:paraId="1BA0BAA3" w14:textId="70AE4AD5" w:rsidR="00821381" w:rsidRPr="00A03B67" w:rsidRDefault="00821381" w:rsidP="00821381">
      <w:pPr>
        <w:pStyle w:val="FootnoteText"/>
      </w:pPr>
      <w:r w:rsidRPr="00A03B67">
        <w:rPr>
          <w:rStyle w:val="FootnoteReference"/>
        </w:rPr>
        <w:footnoteRef/>
      </w:r>
      <w:r w:rsidRPr="00A03B67">
        <w:t xml:space="preserve"> </w:t>
      </w:r>
      <w:r w:rsidR="00B82994" w:rsidRPr="00A03B67">
        <w:t>FWO,</w:t>
      </w:r>
      <w:r w:rsidR="006113BE" w:rsidRPr="00A03B67">
        <w:t xml:space="preserve"> </w:t>
      </w:r>
      <w:r w:rsidR="006113BE" w:rsidRPr="00A03B67">
        <w:rPr>
          <w:i/>
        </w:rPr>
        <w:t>The Fair Work Ombudsman and Registered Organisations Commission Entity Annual Report 2017–18</w:t>
      </w:r>
      <w:r w:rsidRPr="00A03B67">
        <w:t xml:space="preserve"> </w:t>
      </w:r>
      <w:r w:rsidR="00912CDE" w:rsidRPr="00A03B67">
        <w:t>(</w:t>
      </w:r>
      <w:r w:rsidR="00A64A10" w:rsidRPr="00A03B67">
        <w:t xml:space="preserve">Report, </w:t>
      </w:r>
      <w:r w:rsidR="00912CDE" w:rsidRPr="00A03B67">
        <w:t xml:space="preserve">2018) </w:t>
      </w:r>
      <w:r w:rsidR="001623B9" w:rsidRPr="00A03B67">
        <w:t>13</w:t>
      </w:r>
      <w:r w:rsidR="00A64A10" w:rsidRPr="00A03B67">
        <w:t>.</w:t>
      </w:r>
    </w:p>
  </w:footnote>
  <w:footnote w:id="1051">
    <w:p w14:paraId="0024BF82" w14:textId="7D24A916" w:rsidR="00821381" w:rsidRPr="00A03B67" w:rsidRDefault="00821381" w:rsidP="00821381">
      <w:pPr>
        <w:pStyle w:val="FootnoteText"/>
      </w:pPr>
      <w:r w:rsidRPr="00A03B67">
        <w:rPr>
          <w:rStyle w:val="FootnoteReference"/>
        </w:rPr>
        <w:footnoteRef/>
      </w:r>
      <w:r w:rsidRPr="00A03B67">
        <w:t xml:space="preserve"> </w:t>
      </w:r>
      <w:r w:rsidR="001623B9" w:rsidRPr="00A03B67">
        <w:t>FWO,</w:t>
      </w:r>
      <w:r w:rsidRPr="00A03B67">
        <w:t xml:space="preserve"> </w:t>
      </w:r>
      <w:r w:rsidRPr="00A03B67">
        <w:rPr>
          <w:i/>
        </w:rPr>
        <w:t>Fair Work Ombudsman Innovate Reconciliation Action Plan September 2024 – Sept</w:t>
      </w:r>
      <w:bookmarkStart w:id="581" w:name="_Hlt188528410"/>
      <w:bookmarkStart w:id="582" w:name="_Hlt188528411"/>
      <w:r w:rsidRPr="00A03B67">
        <w:rPr>
          <w:i/>
        </w:rPr>
        <w:t>e</w:t>
      </w:r>
      <w:bookmarkEnd w:id="581"/>
      <w:bookmarkEnd w:id="582"/>
      <w:r w:rsidRPr="00A03B67">
        <w:rPr>
          <w:i/>
        </w:rPr>
        <w:t>mber 2026</w:t>
      </w:r>
      <w:r w:rsidRPr="00A03B67">
        <w:t>, 11</w:t>
      </w:r>
      <w:r w:rsidR="00AD5087" w:rsidRPr="00A03B67">
        <w:t xml:space="preserve"> </w:t>
      </w:r>
      <w:r w:rsidR="00D96968" w:rsidRPr="00A03B67">
        <w:rPr>
          <w:iCs/>
        </w:rPr>
        <w:t>(Web Page, n.d.).</w:t>
      </w:r>
    </w:p>
  </w:footnote>
  <w:footnote w:id="1052">
    <w:p w14:paraId="1CD38BDC" w14:textId="259D54A9" w:rsidR="00821381" w:rsidRPr="00A03B67" w:rsidRDefault="00821381" w:rsidP="00821381">
      <w:pPr>
        <w:pStyle w:val="FootnoteText"/>
      </w:pPr>
      <w:r w:rsidRPr="00A03B67">
        <w:rPr>
          <w:rStyle w:val="FootnoteReference"/>
        </w:rPr>
        <w:footnoteRef/>
      </w:r>
      <w:r w:rsidRPr="00A03B67">
        <w:t xml:space="preserve"> </w:t>
      </w:r>
      <w:r w:rsidR="00E643F3" w:rsidRPr="00A03B67">
        <w:t>Revised Explanatory Memorandum, Fair Work Amendment (Secure Jobs, Better Pay) Bill 2022, [</w:t>
      </w:r>
      <w:r w:rsidR="00DA0307" w:rsidRPr="00A03B67">
        <w:t>123</w:t>
      </w:r>
      <w:r w:rsidR="00E643F3" w:rsidRPr="00A03B67">
        <w:t>].</w:t>
      </w:r>
    </w:p>
  </w:footnote>
  <w:footnote w:id="1053">
    <w:p w14:paraId="7AA94226" w14:textId="53055AB9" w:rsidR="00821381" w:rsidRPr="00A03B67" w:rsidRDefault="00821381" w:rsidP="00821381">
      <w:pPr>
        <w:pStyle w:val="FootnoteText"/>
      </w:pPr>
      <w:r w:rsidRPr="00A03B67">
        <w:rPr>
          <w:rStyle w:val="FootnoteReference"/>
        </w:rPr>
        <w:footnoteRef/>
      </w:r>
      <w:r w:rsidRPr="00A03B67">
        <w:t xml:space="preserve"> </w:t>
      </w:r>
      <w:r w:rsidR="00DA0307" w:rsidRPr="00A03B67">
        <w:t>Revised Explanatory Memorandum, Fair Work Amendment (Secure Jobs, Better Pay) Bill 2022, [123].</w:t>
      </w:r>
    </w:p>
  </w:footnote>
  <w:footnote w:id="1054">
    <w:p w14:paraId="4A5BA21E" w14:textId="191AE07F" w:rsidR="00821381" w:rsidRPr="00A03B67" w:rsidRDefault="00821381" w:rsidP="00821381">
      <w:pPr>
        <w:pStyle w:val="FootnoteText"/>
      </w:pPr>
      <w:r w:rsidRPr="00A03B67">
        <w:rPr>
          <w:rStyle w:val="FootnoteReference"/>
        </w:rPr>
        <w:footnoteRef/>
      </w:r>
      <w:r w:rsidRPr="00A03B67">
        <w:t xml:space="preserve"> </w:t>
      </w:r>
      <w:r w:rsidR="00AD5087" w:rsidRPr="00A03B67">
        <w:t>ACTU s</w:t>
      </w:r>
      <w:r w:rsidRPr="00A03B67">
        <w:t>ubmission</w:t>
      </w:r>
      <w:r w:rsidR="00AD5087" w:rsidRPr="00A03B67">
        <w:t>,</w:t>
      </w:r>
      <w:r w:rsidRPr="00A03B67">
        <w:t xml:space="preserve"> 104.</w:t>
      </w:r>
    </w:p>
  </w:footnote>
  <w:footnote w:id="1055">
    <w:p w14:paraId="38672B8C" w14:textId="575C39B2"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Department of Employment and Workplace Relations, </w:t>
      </w:r>
      <w:r w:rsidRPr="00A03B67">
        <w:rPr>
          <w:i/>
          <w:iCs/>
        </w:rPr>
        <w:t xml:space="preserve">An </w:t>
      </w:r>
      <w:r w:rsidR="00AD5087" w:rsidRPr="00A03B67">
        <w:rPr>
          <w:i/>
          <w:iCs/>
        </w:rPr>
        <w:t>I</w:t>
      </w:r>
      <w:r w:rsidRPr="00A03B67">
        <w:rPr>
          <w:i/>
          <w:iCs/>
        </w:rPr>
        <w:t xml:space="preserve">ndependent </w:t>
      </w:r>
      <w:r w:rsidR="00AD5087" w:rsidRPr="00A03B67">
        <w:rPr>
          <w:i/>
          <w:iCs/>
        </w:rPr>
        <w:t>R</w:t>
      </w:r>
      <w:r w:rsidRPr="00A03B67">
        <w:rPr>
          <w:i/>
          <w:iCs/>
        </w:rPr>
        <w:t>eview of the Safety, Rehabilitation and Compensation Act 1988</w:t>
      </w:r>
      <w:r w:rsidRPr="00A03B67">
        <w:t xml:space="preserve"> </w:t>
      </w:r>
      <w:r w:rsidR="00AD5087" w:rsidRPr="00A03B67">
        <w:t>(Web Page, n.d.).</w:t>
      </w:r>
      <w:r w:rsidRPr="00A03B67">
        <w:t xml:space="preserve"> </w:t>
      </w:r>
    </w:p>
  </w:footnote>
  <w:footnote w:id="1056">
    <w:p w14:paraId="1320E335" w14:textId="18A82236" w:rsidR="00DA416D" w:rsidRPr="00A03B67" w:rsidRDefault="00DA416D" w:rsidP="00DA416D">
      <w:pPr>
        <w:pStyle w:val="FootnoteText"/>
      </w:pPr>
      <w:r w:rsidRPr="00A03B67">
        <w:rPr>
          <w:rStyle w:val="FootnoteReference"/>
        </w:rPr>
        <w:footnoteRef/>
      </w:r>
      <w:r w:rsidRPr="00A03B67">
        <w:t xml:space="preserve"> </w:t>
      </w:r>
      <w:r w:rsidRPr="00A03B67">
        <w:rPr>
          <w:i/>
          <w:iCs/>
        </w:rPr>
        <w:t>Fair Work Act 2009</w:t>
      </w:r>
      <w:r w:rsidRPr="00A03B67">
        <w:t xml:space="preserve"> </w:t>
      </w:r>
      <w:r w:rsidR="00AD5087" w:rsidRPr="00A03B67">
        <w:t xml:space="preserve">(Cth) </w:t>
      </w:r>
      <w:r w:rsidRPr="00A03B67">
        <w:t>s 494(4).</w:t>
      </w:r>
    </w:p>
  </w:footnote>
  <w:footnote w:id="1057">
    <w:p w14:paraId="6FB92851" w14:textId="6685F13A" w:rsidR="00DA416D" w:rsidRPr="00A03B67" w:rsidRDefault="00DA416D" w:rsidP="00DA416D">
      <w:pPr>
        <w:pStyle w:val="FootnoteText"/>
      </w:pPr>
      <w:r w:rsidRPr="00A03B67">
        <w:rPr>
          <w:rStyle w:val="FootnoteReference"/>
        </w:rPr>
        <w:footnoteRef/>
      </w:r>
      <w:r w:rsidRPr="00A03B67">
        <w:t xml:space="preserve"> </w:t>
      </w:r>
      <w:r w:rsidRPr="00A03B67">
        <w:rPr>
          <w:i/>
          <w:iCs/>
        </w:rPr>
        <w:t>Fair Work Act 2009</w:t>
      </w:r>
      <w:r w:rsidR="00AD5087" w:rsidRPr="00A03B67">
        <w:t xml:space="preserve"> (Cth) </w:t>
      </w:r>
      <w:r w:rsidRPr="00A03B67">
        <w:t>s</w:t>
      </w:r>
      <w:r w:rsidR="00AD5087" w:rsidRPr="00A03B67">
        <w:t xml:space="preserve"> </w:t>
      </w:r>
      <w:r w:rsidRPr="00A03B67">
        <w:t>495.</w:t>
      </w:r>
    </w:p>
  </w:footnote>
  <w:footnote w:id="1058">
    <w:p w14:paraId="2D4C90E1" w14:textId="5B27D72B" w:rsidR="00DA416D" w:rsidRPr="00A03B67" w:rsidRDefault="00DA416D" w:rsidP="00DA416D">
      <w:pPr>
        <w:pStyle w:val="FootnoteText"/>
      </w:pPr>
      <w:r w:rsidRPr="00A03B67">
        <w:rPr>
          <w:rStyle w:val="FootnoteReference"/>
        </w:rPr>
        <w:footnoteRef/>
      </w:r>
      <w:r w:rsidRPr="00A03B67">
        <w:t xml:space="preserve"> </w:t>
      </w:r>
      <w:r w:rsidRPr="00A03B67">
        <w:rPr>
          <w:i/>
          <w:iCs/>
        </w:rPr>
        <w:t>Fair Work Act 2009</w:t>
      </w:r>
      <w:r w:rsidR="00AD5087" w:rsidRPr="00A03B67">
        <w:t xml:space="preserve"> (Cth) </w:t>
      </w:r>
      <w:r w:rsidRPr="00A03B67">
        <w:t>s</w:t>
      </w:r>
      <w:r w:rsidR="00AD5087" w:rsidRPr="00A03B67">
        <w:t xml:space="preserve"> </w:t>
      </w:r>
      <w:r w:rsidRPr="00A03B67">
        <w:t>498.</w:t>
      </w:r>
    </w:p>
  </w:footnote>
  <w:footnote w:id="1059">
    <w:p w14:paraId="43D6935C" w14:textId="37561FB9" w:rsidR="00122857" w:rsidRPr="00A03B67" w:rsidRDefault="00122857">
      <w:pPr>
        <w:pStyle w:val="FootnoteText"/>
      </w:pPr>
      <w:r w:rsidRPr="00A03B67">
        <w:rPr>
          <w:rStyle w:val="FootnoteReference"/>
        </w:rPr>
        <w:footnoteRef/>
      </w:r>
      <w:r w:rsidRPr="00A03B67">
        <w:t xml:space="preserve"> </w:t>
      </w:r>
      <w:r w:rsidR="00340D24" w:rsidRPr="00A03B67">
        <w:rPr>
          <w:rFonts w:cstheme="minorHAnsi"/>
          <w:i/>
          <w:iCs/>
        </w:rPr>
        <w:t>Fair Work Act</w:t>
      </w:r>
      <w:r w:rsidR="00AD5087" w:rsidRPr="00A03B67">
        <w:rPr>
          <w:rFonts w:cstheme="minorHAnsi"/>
          <w:i/>
          <w:iCs/>
        </w:rPr>
        <w:t xml:space="preserve"> 2009</w:t>
      </w:r>
      <w:r w:rsidR="00AD5087" w:rsidRPr="00A03B67">
        <w:rPr>
          <w:rFonts w:cstheme="minorHAnsi"/>
        </w:rPr>
        <w:t xml:space="preserve"> (Cth) s 500.</w:t>
      </w:r>
    </w:p>
  </w:footnote>
  <w:footnote w:id="1060">
    <w:p w14:paraId="506AAF2C" w14:textId="134F9FD1" w:rsidR="000162C8" w:rsidRPr="00A03B67" w:rsidRDefault="000162C8" w:rsidP="000162C8">
      <w:pPr>
        <w:pStyle w:val="FootnoteText"/>
      </w:pPr>
      <w:r w:rsidRPr="00A03B67">
        <w:rPr>
          <w:rStyle w:val="FootnoteReference"/>
        </w:rPr>
        <w:footnoteRef/>
      </w:r>
      <w:r w:rsidRPr="00A03B67">
        <w:t xml:space="preserve"> Fair Work Legislation Amendment (Closing Loopholes) Act 2023 Replacement supplementary explanatory memorandum relating to sheets PU108, ZB276, ZC255 and ZE249, para.32.</w:t>
      </w:r>
    </w:p>
  </w:footnote>
  <w:footnote w:id="1061">
    <w:p w14:paraId="00FDCDD5" w14:textId="1A03FF83" w:rsidR="00821381" w:rsidRPr="00A03B67" w:rsidRDefault="00821381" w:rsidP="00821381">
      <w:pPr>
        <w:pStyle w:val="FootnoteText"/>
      </w:pPr>
      <w:r w:rsidRPr="00A03B67">
        <w:rPr>
          <w:rStyle w:val="FootnoteReference"/>
        </w:rPr>
        <w:footnoteRef/>
      </w:r>
      <w:r w:rsidRPr="00A03B67">
        <w:t xml:space="preserve"> [2017]</w:t>
      </w:r>
      <w:r w:rsidR="00690BC2" w:rsidRPr="00A03B67">
        <w:t xml:space="preserve"> </w:t>
      </w:r>
      <w:r w:rsidRPr="00A03B67">
        <w:t>FCAFC 89.</w:t>
      </w:r>
    </w:p>
  </w:footnote>
  <w:footnote w:id="1062">
    <w:p w14:paraId="23CE0294" w14:textId="77777777" w:rsidR="00821381" w:rsidRPr="00A03B67" w:rsidRDefault="00821381" w:rsidP="00821381">
      <w:pPr>
        <w:pStyle w:val="FootnoteText"/>
        <w:rPr>
          <w:lang w:val="en-US"/>
        </w:rPr>
      </w:pPr>
      <w:r w:rsidRPr="00A03B67">
        <w:rPr>
          <w:rStyle w:val="FootnoteReference"/>
        </w:rPr>
        <w:footnoteRef/>
      </w:r>
      <w:r w:rsidRPr="00A03B67">
        <w:t xml:space="preserve"> </w:t>
      </w:r>
      <w:r w:rsidRPr="00A03B67">
        <w:rPr>
          <w:i/>
          <w:iCs/>
        </w:rPr>
        <w:t>Australian Building and Construction Commissioner v Powell</w:t>
      </w:r>
      <w:r w:rsidRPr="00A03B67">
        <w:t xml:space="preserve"> [2017] FCAFC 89, [7].</w:t>
      </w:r>
    </w:p>
  </w:footnote>
  <w:footnote w:id="1063">
    <w:p w14:paraId="3145AE76" w14:textId="1688200A" w:rsidR="00821381" w:rsidRPr="00A03B67" w:rsidRDefault="00821381" w:rsidP="00821381">
      <w:pPr>
        <w:pStyle w:val="FootnoteText"/>
      </w:pPr>
      <w:r w:rsidRPr="00A03B67">
        <w:rPr>
          <w:rStyle w:val="FootnoteReference"/>
        </w:rPr>
        <w:footnoteRef/>
      </w:r>
      <w:r w:rsidRPr="00A03B67">
        <w:t xml:space="preserve"> </w:t>
      </w:r>
      <w:r w:rsidRPr="00A03B67">
        <w:rPr>
          <w:i/>
          <w:iCs/>
        </w:rPr>
        <w:t>Director of the Fair Work Building Industry Inspectorate v Powell</w:t>
      </w:r>
      <w:r w:rsidRPr="00A03B67">
        <w:t xml:space="preserve"> [2016] FCA 1287, [105].</w:t>
      </w:r>
    </w:p>
  </w:footnote>
  <w:footnote w:id="1064">
    <w:p w14:paraId="5942A305" w14:textId="77777777" w:rsidR="00821381" w:rsidRPr="00A03B67" w:rsidRDefault="00821381" w:rsidP="00821381">
      <w:pPr>
        <w:pStyle w:val="FootnoteText"/>
        <w:rPr>
          <w:lang w:val="en-US"/>
        </w:rPr>
      </w:pPr>
      <w:r w:rsidRPr="00A03B67">
        <w:rPr>
          <w:rStyle w:val="FootnoteReference"/>
        </w:rPr>
        <w:footnoteRef/>
      </w:r>
      <w:r w:rsidRPr="00A03B67">
        <w:t xml:space="preserve"> </w:t>
      </w:r>
      <w:r w:rsidRPr="00A03B67">
        <w:rPr>
          <w:i/>
          <w:iCs/>
        </w:rPr>
        <w:t>Australian Building and Construction Commissioner v Powell</w:t>
      </w:r>
      <w:r w:rsidRPr="00A03B67">
        <w:t xml:space="preserve"> [2017] FCAFC 89, [59].</w:t>
      </w:r>
    </w:p>
  </w:footnote>
  <w:footnote w:id="1065">
    <w:p w14:paraId="6C74D736" w14:textId="1DFE8BCF"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For a fuller explanation see</w:t>
      </w:r>
      <w:r w:rsidR="00AD5087" w:rsidRPr="00A03B67">
        <w:rPr>
          <w:lang w:val="en-US"/>
        </w:rPr>
        <w:t xml:space="preserve"> Department of Employment and Workplace Relations, </w:t>
      </w:r>
      <w:r w:rsidR="00AD5087" w:rsidRPr="00A03B67">
        <w:rPr>
          <w:i/>
          <w:iCs/>
          <w:lang w:val="en-US"/>
        </w:rPr>
        <w:t>Work Health and Safety</w:t>
      </w:r>
      <w:r w:rsidR="00AD5087" w:rsidRPr="00A03B67">
        <w:rPr>
          <w:lang w:val="en-US"/>
        </w:rPr>
        <w:t xml:space="preserve"> (Web Page, n.d.) &lt;https://www.dewr.gov.au/work-health-and-safety</w:t>
      </w:r>
      <w:r w:rsidR="00AD5087" w:rsidRPr="00A03B67">
        <w:t>&gt;.</w:t>
      </w:r>
    </w:p>
  </w:footnote>
  <w:footnote w:id="1066">
    <w:p w14:paraId="5971136C" w14:textId="27092B8E" w:rsidR="00821381" w:rsidRPr="00A03B67" w:rsidRDefault="00821381" w:rsidP="00821381">
      <w:pPr>
        <w:pStyle w:val="FootnoteText"/>
      </w:pPr>
      <w:r w:rsidRPr="00A03B67">
        <w:rPr>
          <w:rStyle w:val="FootnoteReference"/>
        </w:rPr>
        <w:footnoteRef/>
      </w:r>
      <w:r w:rsidR="00AD5087" w:rsidRPr="00A03B67">
        <w:t xml:space="preserve"> M Boland,</w:t>
      </w:r>
      <w:r w:rsidRPr="00A03B67">
        <w:t xml:space="preserve"> </w:t>
      </w:r>
      <w:r w:rsidRPr="00A03B67">
        <w:rPr>
          <w:i/>
          <w:iCs/>
        </w:rPr>
        <w:t xml:space="preserve">Review of the </w:t>
      </w:r>
      <w:r w:rsidR="00AD5087" w:rsidRPr="00A03B67">
        <w:rPr>
          <w:i/>
          <w:iCs/>
        </w:rPr>
        <w:t>M</w:t>
      </w:r>
      <w:r w:rsidRPr="00A03B67">
        <w:rPr>
          <w:i/>
          <w:iCs/>
        </w:rPr>
        <w:t xml:space="preserve">odel Work Health and Safety </w:t>
      </w:r>
      <w:r w:rsidR="00AD5087" w:rsidRPr="00A03B67">
        <w:rPr>
          <w:i/>
          <w:iCs/>
        </w:rPr>
        <w:t>L</w:t>
      </w:r>
      <w:r w:rsidRPr="00A03B67">
        <w:rPr>
          <w:i/>
          <w:iCs/>
        </w:rPr>
        <w:t>aws</w:t>
      </w:r>
      <w:r w:rsidR="00AD5087" w:rsidRPr="00A03B67">
        <w:rPr>
          <w:i/>
          <w:iCs/>
        </w:rPr>
        <w:t>:</w:t>
      </w:r>
      <w:r w:rsidRPr="00A03B67">
        <w:rPr>
          <w:i/>
          <w:iCs/>
        </w:rPr>
        <w:t xml:space="preserve"> Final </w:t>
      </w:r>
      <w:r w:rsidR="00AD5087" w:rsidRPr="00A03B67">
        <w:rPr>
          <w:i/>
          <w:iCs/>
        </w:rPr>
        <w:t>R</w:t>
      </w:r>
      <w:r w:rsidRPr="00A03B67">
        <w:rPr>
          <w:i/>
          <w:iCs/>
        </w:rPr>
        <w:t>eport</w:t>
      </w:r>
      <w:r w:rsidRPr="00A03B67">
        <w:t xml:space="preserve"> </w:t>
      </w:r>
      <w:r w:rsidR="00AD5087" w:rsidRPr="00A03B67">
        <w:t xml:space="preserve">(Report, 2018) </w:t>
      </w:r>
      <w:r w:rsidRPr="00A03B67">
        <w:t>65.</w:t>
      </w:r>
    </w:p>
  </w:footnote>
  <w:footnote w:id="1067">
    <w:p w14:paraId="12E3AD49" w14:textId="13FAC610" w:rsidR="002D30C0" w:rsidRPr="00A03B67" w:rsidRDefault="002D30C0" w:rsidP="002D30C0">
      <w:pPr>
        <w:pStyle w:val="FootnoteText"/>
        <w:rPr>
          <w:lang w:val="en-US"/>
        </w:rPr>
      </w:pPr>
      <w:r w:rsidRPr="00A03B67">
        <w:rPr>
          <w:rStyle w:val="FootnoteReference"/>
        </w:rPr>
        <w:footnoteRef/>
      </w:r>
      <w:r w:rsidRPr="00A03B67">
        <w:t xml:space="preserve"> </w:t>
      </w:r>
      <w:r w:rsidR="00AD5087" w:rsidRPr="00A03B67">
        <w:t xml:space="preserve">M Boland, </w:t>
      </w:r>
      <w:r w:rsidR="00AD5087" w:rsidRPr="00A03B67">
        <w:rPr>
          <w:i/>
          <w:iCs/>
        </w:rPr>
        <w:t>Review of the Model Work Health and Safety Laws: Final Report</w:t>
      </w:r>
      <w:r w:rsidR="00AD5087" w:rsidRPr="00A03B67">
        <w:t xml:space="preserve"> (Report, 2018) 68 &lt;https://www.safeworkaustralia.gov.au/system/files/documents/1902/review_of_the_model_whs_laws_final_report_0.pdf&gt;</w:t>
      </w:r>
      <w:r w:rsidRPr="00A03B67">
        <w:t>.</w:t>
      </w:r>
    </w:p>
  </w:footnote>
  <w:footnote w:id="1068">
    <w:p w14:paraId="4B30CA89" w14:textId="61CAC370" w:rsidR="00821381" w:rsidRPr="00A03B67" w:rsidRDefault="00821381" w:rsidP="00821381">
      <w:pPr>
        <w:pStyle w:val="FootnoteText"/>
        <w:rPr>
          <w:lang w:val="en-US"/>
        </w:rPr>
      </w:pPr>
      <w:r w:rsidRPr="00A03B67">
        <w:rPr>
          <w:rStyle w:val="FootnoteReference"/>
        </w:rPr>
        <w:footnoteRef/>
      </w:r>
      <w:r w:rsidRPr="00A03B67">
        <w:t xml:space="preserve"> </w:t>
      </w:r>
      <w:r w:rsidR="00AD5087" w:rsidRPr="00A03B67">
        <w:t xml:space="preserve">M Boland, </w:t>
      </w:r>
      <w:r w:rsidR="00AD5087" w:rsidRPr="00A03B67">
        <w:rPr>
          <w:i/>
          <w:iCs/>
        </w:rPr>
        <w:t>Review of the Model Work Health and Safety Laws: Final Report</w:t>
      </w:r>
      <w:r w:rsidR="00AD5087" w:rsidRPr="00A03B67">
        <w:t xml:space="preserve"> (Report, 2018) 66 &lt;https://www.safeworkaustralia.gov.au/system/files/documents/1902/review_of_the_model_whs_laws_final_report_0.pdf&gt;.</w:t>
      </w:r>
    </w:p>
  </w:footnote>
  <w:footnote w:id="1069">
    <w:p w14:paraId="29D6B79F" w14:textId="7A58982D"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M Boland, </w:t>
      </w:r>
      <w:r w:rsidR="00AD5087" w:rsidRPr="00A03B67">
        <w:rPr>
          <w:i/>
          <w:iCs/>
        </w:rPr>
        <w:t>Review of the Model Work Health and Safety Laws: Final Report</w:t>
      </w:r>
      <w:r w:rsidR="00AD5087" w:rsidRPr="00A03B67">
        <w:t xml:space="preserve"> (Report, 2018) 68 &lt;https://www.safeworkaustralia.gov.au/system/files/documents/1902/review_of_the_model_whs_laws_final_report_0.pdf&gt;.</w:t>
      </w:r>
    </w:p>
  </w:footnote>
  <w:footnote w:id="1070">
    <w:p w14:paraId="2D4F1E0A" w14:textId="2E96AC4A"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MBA </w:t>
      </w:r>
      <w:r w:rsidR="00AD5087" w:rsidRPr="00A03B67">
        <w:rPr>
          <w:lang w:val="en-US"/>
        </w:rPr>
        <w:t>s</w:t>
      </w:r>
      <w:r w:rsidRPr="00A03B67">
        <w:rPr>
          <w:lang w:val="en-US"/>
        </w:rPr>
        <w:t>ubmission, 12.</w:t>
      </w:r>
    </w:p>
  </w:footnote>
  <w:footnote w:id="1071">
    <w:p w14:paraId="4F401FDA" w14:textId="2402487B"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Ai Group </w:t>
      </w:r>
      <w:r w:rsidR="00AD5087" w:rsidRPr="00A03B67">
        <w:rPr>
          <w:lang w:val="en-US"/>
        </w:rPr>
        <w:t>s</w:t>
      </w:r>
      <w:r w:rsidRPr="00A03B67">
        <w:rPr>
          <w:lang w:val="en-US"/>
        </w:rPr>
        <w:t>ubmission, 116.</w:t>
      </w:r>
    </w:p>
  </w:footnote>
  <w:footnote w:id="1072">
    <w:p w14:paraId="6A12CD34" w14:textId="63CE35D5"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CMEWA </w:t>
      </w:r>
      <w:r w:rsidR="00AD5087" w:rsidRPr="00A03B67">
        <w:rPr>
          <w:lang w:val="en-US"/>
        </w:rPr>
        <w:t>s</w:t>
      </w:r>
      <w:r w:rsidRPr="00A03B67">
        <w:rPr>
          <w:lang w:val="en-US"/>
        </w:rPr>
        <w:t>ubmission, 3.</w:t>
      </w:r>
    </w:p>
  </w:footnote>
  <w:footnote w:id="1073">
    <w:p w14:paraId="6E572A04" w14:textId="03FD5AA3"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ARA </w:t>
      </w:r>
      <w:r w:rsidR="00AD5087" w:rsidRPr="00A03B67">
        <w:rPr>
          <w:lang w:val="en-US"/>
        </w:rPr>
        <w:t>s</w:t>
      </w:r>
      <w:r w:rsidRPr="00A03B67">
        <w:rPr>
          <w:lang w:val="en-US"/>
        </w:rPr>
        <w:t>ubmission, 14.</w:t>
      </w:r>
    </w:p>
  </w:footnote>
  <w:footnote w:id="1074">
    <w:p w14:paraId="20F3CB66" w14:textId="57D98C22"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BCA </w:t>
      </w:r>
      <w:r w:rsidR="00AD5087" w:rsidRPr="00A03B67">
        <w:rPr>
          <w:lang w:val="en-US"/>
        </w:rPr>
        <w:t>s</w:t>
      </w:r>
      <w:r w:rsidRPr="00A03B67">
        <w:rPr>
          <w:lang w:val="en-US"/>
        </w:rPr>
        <w:t>ubmission, 17.</w:t>
      </w:r>
    </w:p>
  </w:footnote>
  <w:footnote w:id="1075">
    <w:p w14:paraId="43CEC9EB" w14:textId="2DD353CC"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HIA </w:t>
      </w:r>
      <w:r w:rsidR="00AD5087" w:rsidRPr="00A03B67">
        <w:rPr>
          <w:lang w:val="en-US"/>
        </w:rPr>
        <w:t>s</w:t>
      </w:r>
      <w:r w:rsidRPr="00A03B67">
        <w:rPr>
          <w:lang w:val="en-US"/>
        </w:rPr>
        <w:t>ubmission, 4.</w:t>
      </w:r>
    </w:p>
  </w:footnote>
  <w:footnote w:id="1076">
    <w:p w14:paraId="6F25093F" w14:textId="195C6ACE"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CCIWA </w:t>
      </w:r>
      <w:r w:rsidR="00AD5087" w:rsidRPr="00A03B67">
        <w:rPr>
          <w:lang w:val="en-US"/>
        </w:rPr>
        <w:t>s</w:t>
      </w:r>
      <w:r w:rsidRPr="00A03B67">
        <w:rPr>
          <w:lang w:val="en-US"/>
        </w:rPr>
        <w:t>ubmission, 14.</w:t>
      </w:r>
    </w:p>
  </w:footnote>
  <w:footnote w:id="1077">
    <w:p w14:paraId="7AE09DA9" w14:textId="06179CA4" w:rsidR="00821381" w:rsidRPr="00A03B67" w:rsidRDefault="00821381" w:rsidP="00821381">
      <w:pPr>
        <w:pStyle w:val="FootnoteText"/>
        <w:rPr>
          <w:lang w:val="en-US"/>
        </w:rPr>
      </w:pPr>
      <w:r w:rsidRPr="00A03B67">
        <w:rPr>
          <w:rStyle w:val="FootnoteReference"/>
        </w:rPr>
        <w:footnoteRef/>
      </w:r>
      <w:r w:rsidRPr="00A03B67">
        <w:t xml:space="preserve"> </w:t>
      </w:r>
      <w:r w:rsidRPr="00A03B67">
        <w:rPr>
          <w:lang w:val="en-US"/>
        </w:rPr>
        <w:t>Right of entry training programs are designed to ensure parties understand right of entry provisions under the F</w:t>
      </w:r>
      <w:r w:rsidR="00AD5087" w:rsidRPr="00A03B67">
        <w:rPr>
          <w:lang w:val="en-US"/>
        </w:rPr>
        <w:t xml:space="preserve">air </w:t>
      </w:r>
      <w:r w:rsidRPr="00A03B67">
        <w:rPr>
          <w:lang w:val="en-US"/>
        </w:rPr>
        <w:t>W</w:t>
      </w:r>
      <w:r w:rsidR="00AD5087" w:rsidRPr="00A03B67">
        <w:rPr>
          <w:lang w:val="en-US"/>
        </w:rPr>
        <w:t>ork</w:t>
      </w:r>
      <w:r w:rsidRPr="00A03B67">
        <w:rPr>
          <w:lang w:val="en-US"/>
        </w:rPr>
        <w:t xml:space="preserve"> Act and ensure persons who enter workplaces understand their rights and responsibilities</w:t>
      </w:r>
      <w:r w:rsidR="00AD5087" w:rsidRPr="00A03B67">
        <w:rPr>
          <w:lang w:val="en-US"/>
        </w:rPr>
        <w:t xml:space="preserve">: ACTU, </w:t>
      </w:r>
      <w:r w:rsidR="00AD5087" w:rsidRPr="00A03B67">
        <w:rPr>
          <w:i/>
          <w:iCs/>
          <w:lang w:val="en-US"/>
        </w:rPr>
        <w:t>Federal Right of Entry</w:t>
      </w:r>
      <w:r w:rsidR="00AD5087" w:rsidRPr="00A03B67">
        <w:rPr>
          <w:lang w:val="en-US"/>
        </w:rPr>
        <w:t xml:space="preserve"> (Web Page, n.d.) &lt;https://atui.org.au/course/federal-right-of-entry/&gt;.</w:t>
      </w:r>
    </w:p>
  </w:footnote>
  <w:footnote w:id="1078">
    <w:p w14:paraId="160D4C44" w14:textId="6EF880D4" w:rsidR="00821381" w:rsidRPr="00A03B67" w:rsidRDefault="00821381" w:rsidP="00821381">
      <w:pPr>
        <w:pStyle w:val="FootnoteText"/>
        <w:rPr>
          <w:lang w:val="en-US"/>
        </w:rPr>
      </w:pPr>
      <w:r w:rsidRPr="00A03B67">
        <w:rPr>
          <w:rStyle w:val="FootnoteReference"/>
        </w:rPr>
        <w:footnoteRef/>
      </w:r>
      <w:r w:rsidRPr="00A03B67">
        <w:t xml:space="preserve"> </w:t>
      </w:r>
      <w:r w:rsidR="00AD5087" w:rsidRPr="00A03B67">
        <w:t xml:space="preserve">ACCI </w:t>
      </w:r>
      <w:r w:rsidR="00AD5087" w:rsidRPr="00A03B67">
        <w:rPr>
          <w:lang w:val="en-US"/>
        </w:rPr>
        <w:t>s</w:t>
      </w:r>
      <w:r w:rsidRPr="00A03B67">
        <w:rPr>
          <w:lang w:val="en-US"/>
        </w:rPr>
        <w:t>ubmission</w:t>
      </w:r>
      <w:r w:rsidR="00B168B2" w:rsidRPr="00A03B67">
        <w:rPr>
          <w:lang w:val="en-US"/>
        </w:rPr>
        <w:t>,</w:t>
      </w:r>
      <w:r w:rsidRPr="00A03B67">
        <w:rPr>
          <w:lang w:val="en-US"/>
        </w:rPr>
        <w:t xml:space="preserve"> </w:t>
      </w:r>
      <w:r w:rsidR="00B168B2" w:rsidRPr="00A03B67">
        <w:rPr>
          <w:lang w:val="en-US"/>
        </w:rPr>
        <w:t>[</w:t>
      </w:r>
      <w:r w:rsidRPr="00A03B67">
        <w:rPr>
          <w:lang w:val="en-US"/>
        </w:rPr>
        <w:t>277</w:t>
      </w:r>
      <w:r w:rsidR="00B168B2" w:rsidRPr="00A03B67">
        <w:rPr>
          <w:lang w:val="en-US"/>
        </w:rPr>
        <w:t>]</w:t>
      </w:r>
      <w:r w:rsidR="00B168B2" w:rsidRPr="00A03B67">
        <w:rPr>
          <w:rFonts w:ascii="Symbol" w:eastAsia="Symbol" w:hAnsi="Symbol" w:cs="Symbol"/>
          <w:lang w:val="en-US"/>
        </w:rPr>
        <w:t>-</w:t>
      </w:r>
      <w:r w:rsidR="00B168B2" w:rsidRPr="00A03B67">
        <w:rPr>
          <w:lang w:val="en-US"/>
        </w:rPr>
        <w:t>[</w:t>
      </w:r>
      <w:r w:rsidRPr="00A03B67">
        <w:rPr>
          <w:lang w:val="en-US"/>
        </w:rPr>
        <w:t>278</w:t>
      </w:r>
      <w:r w:rsidR="00B168B2" w:rsidRPr="00A03B67">
        <w:rPr>
          <w:lang w:val="en-US"/>
        </w:rPr>
        <w:t>]</w:t>
      </w:r>
      <w:r w:rsidRPr="00A03B67">
        <w:rPr>
          <w:lang w:val="en-US"/>
        </w:rPr>
        <w:t xml:space="preserve">. </w:t>
      </w:r>
    </w:p>
  </w:footnote>
  <w:footnote w:id="1079">
    <w:p w14:paraId="0375852E" w14:textId="389A6748" w:rsidR="003B06F7" w:rsidRPr="00A03B67" w:rsidRDefault="003B06F7">
      <w:pPr>
        <w:pStyle w:val="FootnoteText"/>
      </w:pPr>
      <w:r w:rsidRPr="00A03B67">
        <w:rPr>
          <w:rStyle w:val="FootnoteReference"/>
        </w:rPr>
        <w:footnoteRef/>
      </w:r>
      <w:r w:rsidRPr="00A03B67">
        <w:t xml:space="preserve"> ACCI submission, [281</w:t>
      </w:r>
      <w:r w:rsidR="0098461A" w:rsidRPr="00A03B67">
        <w:t>]</w:t>
      </w:r>
      <w:r w:rsidR="007D5539" w:rsidRPr="00A03B67">
        <w:rPr>
          <w:lang w:val="en-US"/>
        </w:rPr>
        <w:t xml:space="preserve"> </w:t>
      </w:r>
      <w:r w:rsidR="007D5539" w:rsidRPr="00A03B67">
        <w:rPr>
          <w:rFonts w:ascii="Symbol" w:eastAsia="Symbol" w:hAnsi="Symbol" w:cs="Symbol"/>
          <w:lang w:val="en-US"/>
        </w:rPr>
        <w:t>-</w:t>
      </w:r>
      <w:r w:rsidR="007D5539" w:rsidRPr="00A03B67">
        <w:rPr>
          <w:lang w:val="en-US"/>
        </w:rPr>
        <w:t>[282].</w:t>
      </w:r>
    </w:p>
  </w:footnote>
  <w:footnote w:id="1080">
    <w:p w14:paraId="17338786" w14:textId="361993C4" w:rsidR="00821381" w:rsidRPr="00A03B67" w:rsidRDefault="00821381" w:rsidP="00821381">
      <w:pPr>
        <w:pStyle w:val="FootnoteText"/>
        <w:rPr>
          <w:lang w:val="en-US"/>
        </w:rPr>
      </w:pPr>
      <w:r w:rsidRPr="00A03B67">
        <w:rPr>
          <w:rStyle w:val="FootnoteReference"/>
        </w:rPr>
        <w:footnoteRef/>
      </w:r>
      <w:r w:rsidRPr="00A03B67">
        <w:t xml:space="preserve"> </w:t>
      </w:r>
      <w:r w:rsidR="00AD5087" w:rsidRPr="00A03B67">
        <w:t xml:space="preserve">MCA </w:t>
      </w:r>
      <w:r w:rsidR="00AD5087" w:rsidRPr="00A03B67">
        <w:rPr>
          <w:lang w:val="en-US"/>
        </w:rPr>
        <w:t>s</w:t>
      </w:r>
      <w:r w:rsidRPr="00A03B67">
        <w:rPr>
          <w:lang w:val="en-US"/>
        </w:rPr>
        <w:t>ubmission</w:t>
      </w:r>
      <w:r w:rsidR="00B168B2" w:rsidRPr="00A03B67">
        <w:rPr>
          <w:lang w:val="en-US"/>
        </w:rPr>
        <w:t>,</w:t>
      </w:r>
      <w:r w:rsidRPr="00A03B67">
        <w:rPr>
          <w:lang w:val="en-US"/>
        </w:rPr>
        <w:t xml:space="preserve"> 28. </w:t>
      </w:r>
    </w:p>
  </w:footnote>
  <w:footnote w:id="1081">
    <w:p w14:paraId="2EE2E9B6" w14:textId="38736463" w:rsidR="00821381" w:rsidRPr="00A03B67" w:rsidRDefault="00821381" w:rsidP="00821381">
      <w:pPr>
        <w:pStyle w:val="FootnoteText"/>
        <w:rPr>
          <w:lang w:val="en-US"/>
        </w:rPr>
      </w:pPr>
      <w:r w:rsidRPr="00A03B67">
        <w:rPr>
          <w:rStyle w:val="FootnoteReference"/>
        </w:rPr>
        <w:footnoteRef/>
      </w:r>
      <w:r w:rsidRPr="00A03B67">
        <w:t xml:space="preserve"> </w:t>
      </w:r>
      <w:r w:rsidR="00AD5087" w:rsidRPr="00A03B67">
        <w:rPr>
          <w:lang w:val="en-US"/>
        </w:rPr>
        <w:t>Maritime Industry Australia Ltd s</w:t>
      </w:r>
      <w:r w:rsidRPr="00A03B67">
        <w:rPr>
          <w:lang w:val="en-US"/>
        </w:rPr>
        <w:t>ubmission</w:t>
      </w:r>
      <w:r w:rsidR="00B168B2" w:rsidRPr="00A03B67">
        <w:rPr>
          <w:lang w:val="en-US"/>
        </w:rPr>
        <w:t>,</w:t>
      </w:r>
      <w:r w:rsidRPr="00A03B67">
        <w:rPr>
          <w:lang w:val="en-US"/>
        </w:rPr>
        <w:t xml:space="preserve"> 16.</w:t>
      </w:r>
    </w:p>
  </w:footnote>
  <w:footnote w:id="1082">
    <w:p w14:paraId="522CB046" w14:textId="56E84161" w:rsidR="00821381" w:rsidRPr="00A03B67" w:rsidRDefault="00821381" w:rsidP="00821381">
      <w:pPr>
        <w:pStyle w:val="FootnoteText"/>
        <w:rPr>
          <w:lang w:val="en-US"/>
        </w:rPr>
      </w:pPr>
      <w:r w:rsidRPr="00A03B67">
        <w:rPr>
          <w:rStyle w:val="FootnoteReference"/>
        </w:rPr>
        <w:footnoteRef/>
      </w:r>
      <w:r w:rsidRPr="00A03B67">
        <w:t xml:space="preserve"> </w:t>
      </w:r>
      <w:r w:rsidR="00AD5087" w:rsidRPr="00A03B67">
        <w:t xml:space="preserve">ACCI </w:t>
      </w:r>
      <w:r w:rsidR="00AD5087" w:rsidRPr="00A03B67">
        <w:rPr>
          <w:lang w:val="en-US"/>
        </w:rPr>
        <w:t>s</w:t>
      </w:r>
      <w:r w:rsidRPr="00A03B67">
        <w:rPr>
          <w:lang w:val="en-US"/>
        </w:rPr>
        <w:t>ubmission, 106.</w:t>
      </w:r>
    </w:p>
  </w:footnote>
  <w:footnote w:id="1083">
    <w:p w14:paraId="1773605F" w14:textId="3B45345C" w:rsidR="00821381" w:rsidRPr="00A03B67" w:rsidRDefault="00821381" w:rsidP="00821381">
      <w:pPr>
        <w:pStyle w:val="FootnoteText"/>
      </w:pPr>
      <w:r w:rsidRPr="00A03B67">
        <w:rPr>
          <w:rStyle w:val="FootnoteReference"/>
        </w:rPr>
        <w:footnoteRef/>
      </w:r>
      <w:r w:rsidRPr="00A03B67">
        <w:t xml:space="preserve"> </w:t>
      </w:r>
      <w:r w:rsidR="00AD5087" w:rsidRPr="00A03B67">
        <w:t xml:space="preserve">AWU </w:t>
      </w:r>
      <w:r w:rsidR="00AD5087" w:rsidRPr="00A03B67">
        <w:rPr>
          <w:lang w:val="en-US"/>
        </w:rPr>
        <w:t>s</w:t>
      </w:r>
      <w:r w:rsidRPr="00A03B67">
        <w:rPr>
          <w:lang w:val="en-US"/>
        </w:rPr>
        <w:t>ubmission, 43.</w:t>
      </w:r>
    </w:p>
  </w:footnote>
  <w:footnote w:id="1084">
    <w:p w14:paraId="2E95046C" w14:textId="12CAB4E5" w:rsidR="00821381" w:rsidRPr="00A03B67" w:rsidRDefault="00821381" w:rsidP="00821381">
      <w:pPr>
        <w:pStyle w:val="FootnoteText"/>
        <w:rPr>
          <w:lang w:val="en-US"/>
        </w:rPr>
      </w:pPr>
      <w:r w:rsidRPr="00A03B67">
        <w:rPr>
          <w:rStyle w:val="FootnoteReference"/>
        </w:rPr>
        <w:footnoteRef/>
      </w:r>
      <w:r w:rsidRPr="00A03B67">
        <w:t xml:space="preserve"> </w:t>
      </w:r>
      <w:r w:rsidR="00B168B2" w:rsidRPr="00A03B67">
        <w:t xml:space="preserve">CFMEU </w:t>
      </w:r>
      <w:r w:rsidR="00B168B2" w:rsidRPr="00A03B67">
        <w:rPr>
          <w:lang w:val="en-US"/>
        </w:rPr>
        <w:t>s</w:t>
      </w:r>
      <w:r w:rsidRPr="00A03B67">
        <w:rPr>
          <w:lang w:val="en-US"/>
        </w:rPr>
        <w:t>ubmission</w:t>
      </w:r>
      <w:r w:rsidR="00B168B2" w:rsidRPr="00A03B67">
        <w:rPr>
          <w:lang w:val="en-US"/>
        </w:rPr>
        <w:t>,</w:t>
      </w:r>
      <w:r w:rsidRPr="00A03B67">
        <w:rPr>
          <w:lang w:val="en-US"/>
        </w:rPr>
        <w:t xml:space="preserve"> 7. </w:t>
      </w:r>
    </w:p>
  </w:footnote>
  <w:footnote w:id="1085">
    <w:p w14:paraId="25D77BE0" w14:textId="2CDAD765" w:rsidR="00821381" w:rsidRPr="00A03B67" w:rsidRDefault="00821381" w:rsidP="00821381">
      <w:pPr>
        <w:pStyle w:val="FootnoteText"/>
        <w:rPr>
          <w:lang w:val="en-US"/>
        </w:rPr>
      </w:pPr>
      <w:r w:rsidRPr="00A03B67">
        <w:rPr>
          <w:rStyle w:val="FootnoteReference"/>
        </w:rPr>
        <w:footnoteRef/>
      </w:r>
      <w:r w:rsidRPr="00A03B67">
        <w:t xml:space="preserve"> </w:t>
      </w:r>
      <w:r w:rsidR="00B168B2" w:rsidRPr="00A03B67">
        <w:t xml:space="preserve">CFMEU </w:t>
      </w:r>
      <w:r w:rsidR="00B168B2" w:rsidRPr="00A03B67">
        <w:rPr>
          <w:lang w:val="en-US"/>
        </w:rPr>
        <w:t>s</w:t>
      </w:r>
      <w:r w:rsidRPr="00A03B67">
        <w:rPr>
          <w:lang w:val="en-US"/>
        </w:rPr>
        <w:t>ubmission</w:t>
      </w:r>
      <w:r w:rsidR="00B168B2" w:rsidRPr="00A03B67">
        <w:rPr>
          <w:lang w:val="en-US"/>
        </w:rPr>
        <w:t>,</w:t>
      </w:r>
      <w:r w:rsidRPr="00A03B67">
        <w:rPr>
          <w:lang w:val="en-US"/>
        </w:rPr>
        <w:t xml:space="preserve"> 8.</w:t>
      </w:r>
    </w:p>
  </w:footnote>
  <w:footnote w:id="1086">
    <w:p w14:paraId="13606DA8" w14:textId="77777777" w:rsidR="007A6A1A" w:rsidRPr="00A03B67" w:rsidRDefault="007A6A1A" w:rsidP="007A6A1A">
      <w:pPr>
        <w:pStyle w:val="FootnoteText"/>
        <w:rPr>
          <w:rFonts w:ascii="Calibri" w:hAnsi="Calibri" w:cs="Calibri"/>
          <w:sz w:val="20"/>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Disclaimer: </w:t>
      </w:r>
      <w:r w:rsidRPr="00A03B67">
        <w:rPr>
          <w:rFonts w:ascii="Calibri" w:hAnsi="Calibri" w:cs="Calibri"/>
        </w:rPr>
        <w:t>The unit record data from the HILDA Survey was obtained from the Australian Data Archive, which is hosted by The Australian National University. The HILDA Survey was initiated and is funded by the Australian Government Department of Social Services (DSS) and is managed by the Melbourne Institute of Applied Economic and Social Research (Melbourne Institute). The findings and views based on the data, however, are those of the authors and should not be attributed to the Australian Government, DSS, the Melbourne Institute, the Australian Data Archive or The Australian National University and none of those entities bear any responsibility for the analysis or interpretation of the unit record data from the HILDA Survey provided by the authors</w:t>
      </w:r>
    </w:p>
  </w:footnote>
  <w:footnote w:id="1087">
    <w:p w14:paraId="755B71DD" w14:textId="49E334E0" w:rsidR="007A6A1A" w:rsidRPr="00A03B67" w:rsidRDefault="007A6A1A" w:rsidP="007A6A1A">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ABS Labour Force, Australia (Cat No 6202.0). </w:t>
      </w:r>
    </w:p>
  </w:footnote>
  <w:footnote w:id="1088">
    <w:p w14:paraId="502C0F17" w14:textId="6CD7F46D" w:rsidR="007A6A1A" w:rsidRPr="00A03B67" w:rsidRDefault="007A6A1A" w:rsidP="007A6A1A">
      <w:pPr>
        <w:pStyle w:val="FootnoteText"/>
        <w:rPr>
          <w:lang w:val="en-US"/>
        </w:rPr>
      </w:pPr>
      <w:r w:rsidRPr="00A03B67">
        <w:rPr>
          <w:rStyle w:val="FootnoteReference"/>
        </w:rPr>
        <w:footnoteRef/>
      </w:r>
      <w:r w:rsidRPr="00A03B67">
        <w:t xml:space="preserve"> </w:t>
      </w:r>
      <w:r w:rsidRPr="00A03B67">
        <w:rPr>
          <w:lang w:val="en-US"/>
        </w:rPr>
        <w:t>ABS Labour Force, Australia, Detailed. Cat No 6291.0.55.001.</w:t>
      </w:r>
    </w:p>
  </w:footnote>
  <w:footnote w:id="1089">
    <w:p w14:paraId="454BBD19" w14:textId="77777777" w:rsidR="007A6A1A" w:rsidRPr="00A03B67" w:rsidRDefault="007A6A1A" w:rsidP="007A6A1A">
      <w:pPr>
        <w:pStyle w:val="FootnoteText"/>
        <w:rPr>
          <w:lang w:val="en-US"/>
        </w:rPr>
      </w:pPr>
      <w:r w:rsidRPr="00A03B67">
        <w:rPr>
          <w:rStyle w:val="FootnoteReference"/>
        </w:rPr>
        <w:footnoteRef/>
      </w:r>
      <w:r w:rsidRPr="00A03B67">
        <w:t xml:space="preserve"> </w:t>
      </w:r>
      <w:r w:rsidRPr="00A03B67">
        <w:rPr>
          <w:lang w:val="en-US"/>
        </w:rPr>
        <w:t xml:space="preserve">Data in the ABS Working Arrangements series start at 2015. Unless otherwise stated, all data from the ABS Working Arrangements series are original series. </w:t>
      </w:r>
    </w:p>
  </w:footnote>
  <w:footnote w:id="1090">
    <w:p w14:paraId="05A23676" w14:textId="093C105B" w:rsidR="007A6A1A" w:rsidRPr="00A03B67" w:rsidRDefault="007A6A1A" w:rsidP="007A6A1A">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The Productivity Commission, as part of its </w:t>
      </w:r>
      <w:r w:rsidR="00C87E4A" w:rsidRPr="00A03B67">
        <w:rPr>
          <w:rFonts w:ascii="Calibri" w:hAnsi="Calibri" w:cs="Calibri"/>
          <w:lang w:val="en-US"/>
        </w:rPr>
        <w:t>‘</w:t>
      </w:r>
      <w:r w:rsidRPr="00A03B67">
        <w:rPr>
          <w:rFonts w:ascii="Calibri" w:hAnsi="Calibri" w:cs="Calibri"/>
          <w:lang w:val="en-US"/>
        </w:rPr>
        <w:t>PC productivity insights</w:t>
      </w:r>
      <w:r w:rsidR="00C87E4A" w:rsidRPr="00A03B67">
        <w:rPr>
          <w:rFonts w:ascii="Calibri" w:hAnsi="Calibri" w:cs="Calibri"/>
          <w:lang w:val="en-US"/>
        </w:rPr>
        <w:t>’</w:t>
      </w:r>
      <w:r w:rsidRPr="00A03B67">
        <w:rPr>
          <w:rFonts w:ascii="Calibri" w:hAnsi="Calibri" w:cs="Calibri"/>
          <w:lang w:val="en-US"/>
        </w:rPr>
        <w:t xml:space="preserve"> series, also discusses wage measurement issues and available data sources. See Productivity Commission, </w:t>
      </w:r>
      <w:r w:rsidRPr="00A03B67">
        <w:rPr>
          <w:rFonts w:ascii="Calibri" w:hAnsi="Calibri" w:cs="Calibri"/>
          <w:i/>
          <w:iCs/>
          <w:lang w:val="en-US"/>
        </w:rPr>
        <w:t xml:space="preserve">Productivity </w:t>
      </w:r>
      <w:r w:rsidR="00C87E4A" w:rsidRPr="00A03B67">
        <w:rPr>
          <w:rFonts w:ascii="Calibri" w:hAnsi="Calibri" w:cs="Calibri"/>
          <w:i/>
          <w:iCs/>
          <w:lang w:val="en-US"/>
        </w:rPr>
        <w:t>G</w:t>
      </w:r>
      <w:r w:rsidRPr="00A03B67">
        <w:rPr>
          <w:rFonts w:ascii="Calibri" w:hAnsi="Calibri" w:cs="Calibri"/>
          <w:i/>
          <w:iCs/>
          <w:lang w:val="en-US"/>
        </w:rPr>
        <w:t xml:space="preserve">rowth and </w:t>
      </w:r>
      <w:r w:rsidR="00C87E4A" w:rsidRPr="00A03B67">
        <w:rPr>
          <w:rFonts w:ascii="Calibri" w:hAnsi="Calibri" w:cs="Calibri"/>
          <w:i/>
          <w:iCs/>
          <w:lang w:val="en-US"/>
        </w:rPr>
        <w:t>W</w:t>
      </w:r>
      <w:r w:rsidRPr="00A03B67">
        <w:rPr>
          <w:rFonts w:ascii="Calibri" w:hAnsi="Calibri" w:cs="Calibri"/>
          <w:i/>
          <w:iCs/>
          <w:lang w:val="en-US"/>
        </w:rPr>
        <w:t xml:space="preserve">ages – </w:t>
      </w:r>
      <w:r w:rsidR="00C87E4A" w:rsidRPr="00A03B67">
        <w:rPr>
          <w:rFonts w:ascii="Calibri" w:hAnsi="Calibri" w:cs="Calibri"/>
          <w:i/>
          <w:iCs/>
          <w:lang w:val="en-US"/>
        </w:rPr>
        <w:t>A</w:t>
      </w:r>
      <w:r w:rsidRPr="00A03B67">
        <w:rPr>
          <w:rFonts w:ascii="Calibri" w:hAnsi="Calibri" w:cs="Calibri"/>
          <w:i/>
          <w:iCs/>
          <w:lang w:val="en-US"/>
        </w:rPr>
        <w:t xml:space="preserve"> </w:t>
      </w:r>
      <w:r w:rsidR="00C87E4A" w:rsidRPr="00A03B67">
        <w:rPr>
          <w:rFonts w:ascii="Calibri" w:hAnsi="Calibri" w:cs="Calibri"/>
          <w:i/>
          <w:iCs/>
          <w:lang w:val="en-US"/>
        </w:rPr>
        <w:t>F</w:t>
      </w:r>
      <w:r w:rsidRPr="00A03B67">
        <w:rPr>
          <w:rFonts w:ascii="Calibri" w:hAnsi="Calibri" w:cs="Calibri"/>
          <w:i/>
          <w:iCs/>
          <w:lang w:val="en-US"/>
        </w:rPr>
        <w:t xml:space="preserve">orensic </w:t>
      </w:r>
      <w:r w:rsidR="00C87E4A" w:rsidRPr="00A03B67">
        <w:rPr>
          <w:rFonts w:ascii="Calibri" w:hAnsi="Calibri" w:cs="Calibri"/>
          <w:i/>
          <w:iCs/>
          <w:lang w:val="en-US"/>
        </w:rPr>
        <w:t>L</w:t>
      </w:r>
      <w:r w:rsidRPr="00A03B67">
        <w:rPr>
          <w:rFonts w:ascii="Calibri" w:hAnsi="Calibri" w:cs="Calibri"/>
          <w:i/>
          <w:iCs/>
          <w:lang w:val="en-US"/>
        </w:rPr>
        <w:t>ook</w:t>
      </w:r>
      <w:r w:rsidR="00C87E4A" w:rsidRPr="00A03B67">
        <w:rPr>
          <w:rFonts w:ascii="Calibri" w:hAnsi="Calibri" w:cs="Calibri"/>
          <w:lang w:val="en-US"/>
        </w:rPr>
        <w:t xml:space="preserve"> (</w:t>
      </w:r>
      <w:r w:rsidRPr="00A03B67">
        <w:rPr>
          <w:rFonts w:ascii="Calibri" w:hAnsi="Calibri" w:cs="Calibri"/>
          <w:lang w:val="en-US"/>
        </w:rPr>
        <w:t>September 2023</w:t>
      </w:r>
      <w:r w:rsidR="00C87E4A" w:rsidRPr="00A03B67">
        <w:rPr>
          <w:rFonts w:ascii="Calibri" w:hAnsi="Calibri" w:cs="Calibri"/>
          <w:lang w:val="en-US"/>
        </w:rPr>
        <w:t>) Appendices &lt;</w:t>
      </w:r>
      <w:r w:rsidRPr="00A03B67">
        <w:rPr>
          <w:rFonts w:ascii="Calibri" w:hAnsi="Calibri" w:cs="Calibri"/>
          <w:lang w:val="en-US"/>
        </w:rPr>
        <w:t>https://www.pc.gov.au/ongoing/productivity-insights/productivity-growth-wages</w:t>
      </w:r>
      <w:r w:rsidR="00C87E4A" w:rsidRPr="00A03B67">
        <w:rPr>
          <w:rFonts w:ascii="Calibri" w:hAnsi="Calibri" w:cs="Calibri"/>
          <w:lang w:val="en-US"/>
        </w:rPr>
        <w:t>&gt;.</w:t>
      </w:r>
      <w:r w:rsidRPr="00A03B67">
        <w:rPr>
          <w:rFonts w:ascii="Calibri" w:hAnsi="Calibri" w:cs="Calibri"/>
          <w:lang w:val="en-US"/>
        </w:rPr>
        <w:t xml:space="preserve"> </w:t>
      </w:r>
    </w:p>
  </w:footnote>
  <w:footnote w:id="1091">
    <w:p w14:paraId="3B100032" w14:textId="16191B91" w:rsidR="007A6A1A" w:rsidRPr="00A03B67" w:rsidRDefault="007A6A1A" w:rsidP="007A6A1A">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The Treasury, </w:t>
      </w:r>
      <w:r w:rsidRPr="00A03B67">
        <w:rPr>
          <w:rFonts w:ascii="Calibri" w:hAnsi="Calibri" w:cs="Calibri"/>
          <w:i/>
          <w:iCs/>
        </w:rPr>
        <w:t xml:space="preserve">Analysis of </w:t>
      </w:r>
      <w:r w:rsidR="00C87E4A" w:rsidRPr="00A03B67">
        <w:rPr>
          <w:rFonts w:ascii="Calibri" w:hAnsi="Calibri" w:cs="Calibri"/>
          <w:i/>
          <w:iCs/>
        </w:rPr>
        <w:t>W</w:t>
      </w:r>
      <w:r w:rsidRPr="00A03B67">
        <w:rPr>
          <w:rFonts w:ascii="Calibri" w:hAnsi="Calibri" w:cs="Calibri"/>
          <w:i/>
          <w:iCs/>
        </w:rPr>
        <w:t xml:space="preserve">age </w:t>
      </w:r>
      <w:r w:rsidR="00C87E4A" w:rsidRPr="00A03B67">
        <w:rPr>
          <w:rFonts w:ascii="Calibri" w:hAnsi="Calibri" w:cs="Calibri"/>
          <w:i/>
          <w:iCs/>
        </w:rPr>
        <w:t>G</w:t>
      </w:r>
      <w:r w:rsidRPr="00A03B67">
        <w:rPr>
          <w:rFonts w:ascii="Calibri" w:hAnsi="Calibri" w:cs="Calibri"/>
          <w:i/>
          <w:iCs/>
        </w:rPr>
        <w:t>rowth</w:t>
      </w:r>
      <w:r w:rsidRPr="00A03B67">
        <w:rPr>
          <w:rFonts w:ascii="Calibri" w:hAnsi="Calibri" w:cs="Calibri"/>
        </w:rPr>
        <w:t xml:space="preserve"> </w:t>
      </w:r>
      <w:r w:rsidR="00C87E4A" w:rsidRPr="00A03B67">
        <w:rPr>
          <w:rFonts w:ascii="Calibri" w:hAnsi="Calibri" w:cs="Calibri"/>
        </w:rPr>
        <w:t>(</w:t>
      </w:r>
      <w:r w:rsidRPr="00A03B67">
        <w:rPr>
          <w:rFonts w:ascii="Calibri" w:hAnsi="Calibri" w:cs="Calibri"/>
        </w:rPr>
        <w:t>November 2017</w:t>
      </w:r>
      <w:r w:rsidR="00C87E4A" w:rsidRPr="00A03B67">
        <w:rPr>
          <w:rFonts w:ascii="Calibri" w:hAnsi="Calibri" w:cs="Calibri"/>
        </w:rPr>
        <w:t>)</w:t>
      </w:r>
      <w:r w:rsidR="001C3C69" w:rsidRPr="00A03B67">
        <w:rPr>
          <w:rFonts w:ascii="Calibri" w:hAnsi="Calibri" w:cs="Calibri"/>
        </w:rPr>
        <w:t>, 4</w:t>
      </w:r>
      <w:r w:rsidR="00C87E4A" w:rsidRPr="00A03B67">
        <w:rPr>
          <w:rFonts w:ascii="Calibri" w:hAnsi="Calibri" w:cs="Calibri"/>
        </w:rPr>
        <w:t xml:space="preserve"> &lt;</w:t>
      </w:r>
      <w:r w:rsidRPr="00A03B67">
        <w:rPr>
          <w:rFonts w:ascii="Calibri" w:hAnsi="Calibri" w:cs="Calibri"/>
        </w:rPr>
        <w:t>https://treasury.gov.au/sites/default/files/2019-03/p2017-t237966.pdf</w:t>
      </w:r>
      <w:r w:rsidR="00C87E4A" w:rsidRPr="00A03B67">
        <w:rPr>
          <w:rFonts w:ascii="Calibri" w:hAnsi="Calibri" w:cs="Calibri"/>
        </w:rPr>
        <w:t>&gt;</w:t>
      </w:r>
      <w:r w:rsidRPr="00A03B67">
        <w:rPr>
          <w:rFonts w:ascii="Calibri" w:hAnsi="Calibri" w:cs="Calibri"/>
        </w:rPr>
        <w:t>.</w:t>
      </w:r>
    </w:p>
  </w:footnote>
  <w:footnote w:id="1092">
    <w:p w14:paraId="22C0F630" w14:textId="3317201D" w:rsidR="007A6A1A" w:rsidRPr="00A03B67" w:rsidRDefault="007A6A1A" w:rsidP="007A6A1A">
      <w:pPr>
        <w:pStyle w:val="FootnoteText"/>
        <w:rPr>
          <w:lang w:val="en-US"/>
        </w:rPr>
      </w:pPr>
      <w:r w:rsidRPr="00A03B67">
        <w:rPr>
          <w:rStyle w:val="FootnoteReference"/>
          <w:rFonts w:ascii="Calibri" w:hAnsi="Calibri" w:cs="Calibri"/>
        </w:rPr>
        <w:footnoteRef/>
      </w:r>
      <w:r w:rsidRPr="00A03B67">
        <w:rPr>
          <w:rFonts w:ascii="Calibri" w:hAnsi="Calibri" w:cs="Calibri"/>
        </w:rPr>
        <w:t xml:space="preserve"> Using the WPI, the real consumer wage may be calculated as the WPI ÷ CPI. The real producer wage is calculated as the WPI ÷ PPI. If the focus is on quarterly percentage change in </w:t>
      </w:r>
      <w:r w:rsidRPr="00DC264D">
        <w:rPr>
          <w:rFonts w:ascii="Calibri" w:hAnsi="Calibri" w:cs="Calibri"/>
        </w:rPr>
        <w:t xml:space="preserve">the WPI (as in Figure </w:t>
      </w:r>
      <w:r w:rsidR="005806A4" w:rsidRPr="00DC264D">
        <w:rPr>
          <w:rFonts w:ascii="Calibri" w:hAnsi="Calibri" w:cs="Calibri"/>
        </w:rPr>
        <w:t>34</w:t>
      </w:r>
      <w:r w:rsidRPr="00DC264D">
        <w:rPr>
          <w:rFonts w:ascii="Calibri" w:hAnsi="Calibri" w:cs="Calibri"/>
        </w:rPr>
        <w:t>) then the</w:t>
      </w:r>
      <w:r w:rsidRPr="00A03B67">
        <w:rPr>
          <w:rFonts w:ascii="Calibri" w:hAnsi="Calibri" w:cs="Calibri"/>
        </w:rPr>
        <w:t xml:space="preserve"> real consumer wage is the % change in the WPI minus the % change in the CPI for the same period. The real producer wage is the % change in the WPI minus the % change in the PPI for the same period. </w:t>
      </w:r>
      <w:r w:rsidRPr="00A03B67">
        <w:rPr>
          <w:rFonts w:ascii="Calibri" w:hAnsi="Calibri" w:cs="Calibri"/>
          <w:lang w:val="en-US"/>
        </w:rPr>
        <w:t>CPI data may be sourced from ABS 6401.0 Consumer Price Index, Australia. PPI data are available from ABS 6427.0 Producer Price Indexes, Australia.</w:t>
      </w:r>
    </w:p>
  </w:footnote>
  <w:footnote w:id="1093">
    <w:p w14:paraId="5FB15CFD" w14:textId="640525FF" w:rsidR="007A6A1A" w:rsidRPr="00A03B67" w:rsidRDefault="007A6A1A" w:rsidP="007A6A1A">
      <w:pPr>
        <w:pStyle w:val="FootnoteText"/>
        <w:rPr>
          <w:rFonts w:ascii="Calibri" w:hAnsi="Calibri" w:cs="Calibri"/>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i/>
          <w:iCs/>
        </w:rPr>
        <w:t>Annual Wage Review 2023</w:t>
      </w:r>
      <w:r w:rsidR="00C87E4A" w:rsidRPr="00A03B67">
        <w:rPr>
          <w:rFonts w:ascii="Symbol" w:eastAsia="Symbol" w:hAnsi="Symbol" w:cs="Symbol"/>
          <w:i/>
          <w:iCs/>
        </w:rPr>
        <w:t>-</w:t>
      </w:r>
      <w:r w:rsidRPr="00A03B67">
        <w:rPr>
          <w:rFonts w:ascii="Calibri" w:hAnsi="Calibri" w:cs="Calibri"/>
          <w:i/>
          <w:iCs/>
        </w:rPr>
        <w:t>24 Decision</w:t>
      </w:r>
      <w:r w:rsidRPr="00A03B67">
        <w:rPr>
          <w:rFonts w:ascii="Calibri" w:hAnsi="Calibri" w:cs="Calibri"/>
        </w:rPr>
        <w:t xml:space="preserve"> (2024</w:t>
      </w:r>
      <w:r w:rsidR="00C87E4A" w:rsidRPr="00A03B67">
        <w:rPr>
          <w:rFonts w:ascii="Calibri" w:hAnsi="Calibri" w:cs="Calibri"/>
        </w:rPr>
        <w:t xml:space="preserve">) </w:t>
      </w:r>
      <w:r w:rsidRPr="00A03B67">
        <w:rPr>
          <w:rFonts w:ascii="Calibri" w:hAnsi="Calibri" w:cs="Calibri"/>
        </w:rPr>
        <w:t>FWCFB 3500</w:t>
      </w:r>
      <w:r w:rsidR="00C87E4A" w:rsidRPr="00A03B67">
        <w:rPr>
          <w:rFonts w:ascii="Calibri" w:hAnsi="Calibri" w:cs="Calibri"/>
        </w:rPr>
        <w:t xml:space="preserve"> [</w:t>
      </w:r>
      <w:r w:rsidRPr="00A03B67">
        <w:rPr>
          <w:rFonts w:ascii="Calibri" w:hAnsi="Calibri" w:cs="Calibri"/>
        </w:rPr>
        <w:t>27</w:t>
      </w:r>
      <w:r w:rsidR="00C87E4A" w:rsidRPr="00A03B67">
        <w:rPr>
          <w:rFonts w:ascii="Calibri" w:hAnsi="Calibri" w:cs="Calibri"/>
        </w:rPr>
        <w:t>]</w:t>
      </w:r>
      <w:r w:rsidRPr="00A03B67">
        <w:rPr>
          <w:rFonts w:ascii="Calibri" w:hAnsi="Calibri" w:cs="Calibri"/>
        </w:rPr>
        <w:t>.</w:t>
      </w:r>
    </w:p>
  </w:footnote>
  <w:footnote w:id="1094">
    <w:p w14:paraId="32492FAD" w14:textId="4DCCA25D" w:rsidR="007A6A1A" w:rsidRPr="00A03B67" w:rsidRDefault="007A6A1A" w:rsidP="007A6A1A">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These estimated coverage rates are FWC estimates. See </w:t>
      </w:r>
      <w:r w:rsidR="00C87E4A" w:rsidRPr="00A03B67">
        <w:rPr>
          <w:rFonts w:ascii="Calibri" w:hAnsi="Calibri" w:cs="Calibri"/>
          <w:i/>
          <w:iCs/>
        </w:rPr>
        <w:t>Annual Wage Review 2023</w:t>
      </w:r>
      <w:r w:rsidR="00C87E4A" w:rsidRPr="00A03B67">
        <w:rPr>
          <w:rFonts w:ascii="Symbol" w:eastAsia="Symbol" w:hAnsi="Symbol" w:cs="Symbol"/>
          <w:i/>
          <w:iCs/>
        </w:rPr>
        <w:t>-</w:t>
      </w:r>
      <w:r w:rsidR="00C87E4A" w:rsidRPr="00A03B67">
        <w:rPr>
          <w:rFonts w:ascii="Calibri" w:hAnsi="Calibri" w:cs="Calibri"/>
          <w:i/>
          <w:iCs/>
        </w:rPr>
        <w:t>24 Decision</w:t>
      </w:r>
      <w:r w:rsidR="00C87E4A" w:rsidRPr="00A03B67">
        <w:rPr>
          <w:rFonts w:ascii="Calibri" w:hAnsi="Calibri" w:cs="Calibri"/>
        </w:rPr>
        <w:t xml:space="preserve"> (2024) FWCFB 3500</w:t>
      </w:r>
      <w:r w:rsidRPr="00A03B67">
        <w:rPr>
          <w:rFonts w:ascii="Calibri" w:hAnsi="Calibri" w:cs="Calibri"/>
          <w:lang w:val="en-US"/>
        </w:rPr>
        <w:t xml:space="preserve"> </w:t>
      </w:r>
      <w:r w:rsidR="00C87E4A" w:rsidRPr="00A03B67">
        <w:rPr>
          <w:rFonts w:ascii="Calibri" w:hAnsi="Calibri" w:cs="Calibri"/>
          <w:lang w:val="en-US"/>
        </w:rPr>
        <w:t>(</w:t>
      </w:r>
      <w:r w:rsidRPr="00A03B67">
        <w:rPr>
          <w:rFonts w:ascii="Calibri" w:hAnsi="Calibri" w:cs="Calibri"/>
          <w:lang w:val="en-US"/>
        </w:rPr>
        <w:t>June 2024</w:t>
      </w:r>
      <w:r w:rsidR="00C87E4A" w:rsidRPr="00A03B67">
        <w:rPr>
          <w:rFonts w:ascii="Calibri" w:hAnsi="Calibri" w:cs="Calibri"/>
          <w:lang w:val="en-US"/>
        </w:rPr>
        <w:t>)</w:t>
      </w:r>
      <w:r w:rsidR="001C3C69" w:rsidRPr="00A03B67">
        <w:rPr>
          <w:rFonts w:ascii="Calibri" w:hAnsi="Calibri" w:cs="Calibri"/>
          <w:lang w:val="en-US"/>
        </w:rPr>
        <w:t>, [29]</w:t>
      </w:r>
      <w:r w:rsidRPr="00A03B67">
        <w:rPr>
          <w:rFonts w:ascii="Calibri" w:hAnsi="Calibri" w:cs="Calibri"/>
          <w:lang w:val="en-US"/>
        </w:rPr>
        <w:t>.</w:t>
      </w:r>
    </w:p>
  </w:footnote>
  <w:footnote w:id="1095">
    <w:p w14:paraId="3CB6CA8D" w14:textId="3AFE9CE7" w:rsidR="007A6A1A" w:rsidRPr="00A03B67" w:rsidRDefault="007A6A1A" w:rsidP="007A6A1A">
      <w:pPr>
        <w:pStyle w:val="FootnoteText"/>
        <w:rPr>
          <w:rFonts w:ascii="Calibri" w:hAnsi="Calibri" w:cs="Calibri"/>
        </w:rPr>
      </w:pPr>
      <w:r w:rsidRPr="00A03B67">
        <w:rPr>
          <w:rStyle w:val="FootnoteReference"/>
          <w:rFonts w:ascii="Calibri" w:hAnsi="Calibri" w:cs="Calibri"/>
        </w:rPr>
        <w:footnoteRef/>
      </w:r>
      <w:r w:rsidRPr="00A03B67">
        <w:rPr>
          <w:rFonts w:ascii="Calibri" w:hAnsi="Calibri" w:cs="Calibri"/>
        </w:rPr>
        <w:t xml:space="preserve"> In the </w:t>
      </w:r>
      <w:r w:rsidRPr="00A03B67">
        <w:rPr>
          <w:rFonts w:ascii="Calibri" w:hAnsi="Calibri" w:cs="Calibri"/>
          <w:i/>
          <w:iCs/>
        </w:rPr>
        <w:t>Annual Wage Review 2022</w:t>
      </w:r>
      <w:r w:rsidR="00C87E4A" w:rsidRPr="00A03B67">
        <w:rPr>
          <w:rFonts w:ascii="Symbol" w:eastAsia="Symbol" w:hAnsi="Symbol" w:cs="Symbol"/>
          <w:i/>
          <w:iCs/>
        </w:rPr>
        <w:t>-</w:t>
      </w:r>
      <w:r w:rsidRPr="00A03B67">
        <w:rPr>
          <w:rFonts w:ascii="Calibri" w:hAnsi="Calibri" w:cs="Calibri"/>
          <w:i/>
          <w:iCs/>
        </w:rPr>
        <w:t xml:space="preserve">23 </w:t>
      </w:r>
      <w:r w:rsidR="00C87E4A" w:rsidRPr="00A03B67">
        <w:rPr>
          <w:rFonts w:ascii="Calibri" w:hAnsi="Calibri" w:cs="Calibri"/>
          <w:i/>
          <w:iCs/>
        </w:rPr>
        <w:t>D</w:t>
      </w:r>
      <w:r w:rsidRPr="00A03B67">
        <w:rPr>
          <w:rFonts w:ascii="Calibri" w:hAnsi="Calibri" w:cs="Calibri"/>
          <w:i/>
          <w:iCs/>
        </w:rPr>
        <w:t>ecision</w:t>
      </w:r>
      <w:r w:rsidRPr="00A03B67">
        <w:rPr>
          <w:rFonts w:ascii="Calibri" w:hAnsi="Calibri" w:cs="Calibri"/>
        </w:rPr>
        <w:t xml:space="preserve"> </w:t>
      </w:r>
      <w:r w:rsidR="00C87E4A" w:rsidRPr="00A03B67">
        <w:rPr>
          <w:rFonts w:ascii="Calibri" w:hAnsi="Calibri" w:cs="Calibri"/>
        </w:rPr>
        <w:t xml:space="preserve">(2023) </w:t>
      </w:r>
      <w:r w:rsidRPr="00A03B67">
        <w:rPr>
          <w:rFonts w:ascii="Calibri" w:hAnsi="Calibri" w:cs="Calibri"/>
        </w:rPr>
        <w:t>FWCFB 3500.</w:t>
      </w:r>
    </w:p>
  </w:footnote>
  <w:footnote w:id="1096">
    <w:p w14:paraId="4B8560BC" w14:textId="54D6100D" w:rsidR="007A6A1A" w:rsidRPr="00A03B67" w:rsidRDefault="007A6A1A" w:rsidP="007A6A1A">
      <w:pPr>
        <w:pStyle w:val="FootnoteText"/>
        <w:rPr>
          <w:rFonts w:ascii="Calibri" w:hAnsi="Calibri" w:cs="Calibri"/>
        </w:rPr>
      </w:pPr>
      <w:r w:rsidRPr="00A03B67">
        <w:rPr>
          <w:rStyle w:val="FootnoteReference"/>
          <w:rFonts w:ascii="Calibri" w:hAnsi="Calibri" w:cs="Calibri"/>
        </w:rPr>
        <w:footnoteRef/>
      </w:r>
      <w:r w:rsidRPr="00A03B67">
        <w:rPr>
          <w:rFonts w:ascii="Calibri" w:hAnsi="Calibri" w:cs="Calibri"/>
        </w:rPr>
        <w:t xml:space="preserve"> The September 2023 award contribution would also have included a 15% interim pay increase awarded to staff in the aged care sector (</w:t>
      </w:r>
      <w:r w:rsidR="00C87E4A" w:rsidRPr="00A03B67">
        <w:rPr>
          <w:rFonts w:ascii="Calibri" w:hAnsi="Calibri" w:cs="Calibri"/>
          <w:i/>
          <w:iCs/>
        </w:rPr>
        <w:t>Annual Wage Review 2023</w:t>
      </w:r>
      <w:r w:rsidR="00C87E4A" w:rsidRPr="00A03B67">
        <w:rPr>
          <w:rFonts w:ascii="Symbol" w:eastAsia="Symbol" w:hAnsi="Symbol" w:cs="Symbol"/>
          <w:i/>
          <w:iCs/>
        </w:rPr>
        <w:t>-</w:t>
      </w:r>
      <w:r w:rsidR="00C87E4A" w:rsidRPr="00A03B67">
        <w:rPr>
          <w:rFonts w:ascii="Calibri" w:hAnsi="Calibri" w:cs="Calibri"/>
          <w:i/>
          <w:iCs/>
        </w:rPr>
        <w:t>24 Decision</w:t>
      </w:r>
      <w:r w:rsidR="00C87E4A" w:rsidRPr="00A03B67">
        <w:rPr>
          <w:rFonts w:ascii="Calibri" w:hAnsi="Calibri" w:cs="Calibri"/>
        </w:rPr>
        <w:t xml:space="preserve"> (2024) FWCFB 3500</w:t>
      </w:r>
      <w:r w:rsidRPr="00A03B67">
        <w:rPr>
          <w:rFonts w:ascii="Calibri" w:hAnsi="Calibri" w:cs="Calibri"/>
        </w:rPr>
        <w:t xml:space="preserve"> [39]</w:t>
      </w:r>
      <w:r w:rsidR="00C87E4A" w:rsidRPr="00A03B67">
        <w:rPr>
          <w:rFonts w:ascii="Calibri" w:hAnsi="Calibri" w:cs="Calibri"/>
        </w:rPr>
        <w:t>)</w:t>
      </w:r>
      <w:r w:rsidRPr="00A03B67">
        <w:rPr>
          <w:rFonts w:ascii="Calibri" w:hAnsi="Calibri" w:cs="Calibri"/>
        </w:rPr>
        <w:t>.</w:t>
      </w:r>
    </w:p>
  </w:footnote>
  <w:footnote w:id="1097">
    <w:p w14:paraId="56DCDA25" w14:textId="33329D2A" w:rsidR="007A6A1A" w:rsidRPr="00A03B67" w:rsidRDefault="007A6A1A" w:rsidP="007A6A1A">
      <w:pPr>
        <w:pStyle w:val="FootnoteText"/>
      </w:pPr>
      <w:r w:rsidRPr="00A03B67">
        <w:rPr>
          <w:rStyle w:val="FootnoteReference"/>
          <w:rFonts w:ascii="Calibri" w:hAnsi="Calibri" w:cs="Calibri"/>
        </w:rPr>
        <w:footnoteRef/>
      </w:r>
      <w:r w:rsidRPr="00A03B67">
        <w:rPr>
          <w:rFonts w:ascii="Calibri" w:hAnsi="Calibri" w:cs="Calibri"/>
        </w:rPr>
        <w:t xml:space="preserve"> In the </w:t>
      </w:r>
      <w:r w:rsidR="00C87E4A" w:rsidRPr="00A03B67">
        <w:rPr>
          <w:rFonts w:ascii="Calibri" w:hAnsi="Calibri" w:cs="Calibri"/>
          <w:i/>
          <w:iCs/>
        </w:rPr>
        <w:t>Annual Wage Review 2023</w:t>
      </w:r>
      <w:r w:rsidR="00C87E4A" w:rsidRPr="00A03B67">
        <w:rPr>
          <w:rFonts w:ascii="Symbol" w:eastAsia="Symbol" w:hAnsi="Symbol" w:cs="Symbol"/>
          <w:i/>
          <w:iCs/>
        </w:rPr>
        <w:t>-</w:t>
      </w:r>
      <w:r w:rsidR="00C87E4A" w:rsidRPr="00A03B67">
        <w:rPr>
          <w:rFonts w:ascii="Calibri" w:hAnsi="Calibri" w:cs="Calibri"/>
          <w:i/>
          <w:iCs/>
        </w:rPr>
        <w:t>24 Decision</w:t>
      </w:r>
      <w:r w:rsidR="00C87E4A" w:rsidRPr="00A03B67">
        <w:rPr>
          <w:rFonts w:ascii="Calibri" w:hAnsi="Calibri" w:cs="Calibri"/>
        </w:rPr>
        <w:t xml:space="preserve"> (2024) FWCFB 3500 </w:t>
      </w:r>
      <w:r w:rsidRPr="00A03B67">
        <w:rPr>
          <w:rFonts w:ascii="Calibri" w:hAnsi="Calibri" w:cs="Calibri"/>
        </w:rPr>
        <w:t>the FWC awarded an increase of 3.75% to all modern award minimum wages, effective from 1 July 2024.</w:t>
      </w:r>
      <w:r w:rsidRPr="00A03B67">
        <w:t xml:space="preserve"> </w:t>
      </w:r>
    </w:p>
  </w:footnote>
  <w:footnote w:id="1098">
    <w:p w14:paraId="71A9B313" w14:textId="2B42BD92" w:rsidR="007A6A1A" w:rsidRPr="00A03B67" w:rsidRDefault="007A6A1A" w:rsidP="007A6A1A">
      <w:pPr>
        <w:pStyle w:val="FootnoteText"/>
      </w:pPr>
      <w:r w:rsidRPr="00A03B67">
        <w:rPr>
          <w:rStyle w:val="FootnoteReference"/>
        </w:rPr>
        <w:footnoteRef/>
      </w:r>
      <w:r w:rsidRPr="00A03B67">
        <w:t xml:space="preserve"> In the </w:t>
      </w:r>
      <w:r w:rsidRPr="00A03B67">
        <w:rPr>
          <w:i/>
          <w:iCs/>
        </w:rPr>
        <w:t>Annual Wage Review 2023</w:t>
      </w:r>
      <w:r w:rsidR="00C87E4A" w:rsidRPr="00A03B67">
        <w:rPr>
          <w:rFonts w:ascii="Symbol" w:eastAsia="Symbol" w:hAnsi="Symbol" w:cs="Symbol"/>
          <w:i/>
          <w:iCs/>
        </w:rPr>
        <w:t>-</w:t>
      </w:r>
      <w:r w:rsidRPr="00A03B67">
        <w:rPr>
          <w:i/>
          <w:iCs/>
        </w:rPr>
        <w:t>24 Decision</w:t>
      </w:r>
      <w:r w:rsidRPr="00A03B67">
        <w:t xml:space="preserve"> (2024</w:t>
      </w:r>
      <w:r w:rsidR="00C87E4A" w:rsidRPr="00A03B67">
        <w:t xml:space="preserve">) </w:t>
      </w:r>
      <w:r w:rsidRPr="00A03B67">
        <w:t>FWCFB 3500</w:t>
      </w:r>
      <w:r w:rsidR="00C87E4A" w:rsidRPr="00A03B67">
        <w:t>,</w:t>
      </w:r>
      <w:r w:rsidRPr="00A03B67">
        <w:t xml:space="preserve"> the FWC refers to an analysis of the composition and characteristics of the modern award reliant workforce based on EEH data. In their summary at </w:t>
      </w:r>
      <w:r w:rsidR="00C87E4A" w:rsidRPr="00A03B67">
        <w:t>[</w:t>
      </w:r>
      <w:r w:rsidRPr="00A03B67">
        <w:t>30</w:t>
      </w:r>
      <w:r w:rsidR="00C87E4A" w:rsidRPr="00A03B67">
        <w:t>]</w:t>
      </w:r>
      <w:r w:rsidRPr="00A03B67">
        <w:t xml:space="preserve"> they note that modern award reliant employees are predominantly female, predominantly work part-time hours, </w:t>
      </w:r>
      <w:r w:rsidR="00C87E4A" w:rsidRPr="00A03B67">
        <w:t xml:space="preserve">are </w:t>
      </w:r>
      <w:r w:rsidRPr="00A03B67">
        <w:t xml:space="preserve">disproportionately casual, </w:t>
      </w:r>
      <w:r w:rsidR="00C87E4A" w:rsidRPr="00A03B67">
        <w:t xml:space="preserve">are </w:t>
      </w:r>
      <w:r w:rsidRPr="00A03B67">
        <w:t xml:space="preserve">younger, </w:t>
      </w:r>
      <w:r w:rsidR="00C87E4A" w:rsidRPr="00A03B67">
        <w:t xml:space="preserve">are </w:t>
      </w:r>
      <w:r w:rsidRPr="00A03B67">
        <w:t xml:space="preserve">more likely to be employed by a  small business and </w:t>
      </w:r>
      <w:r w:rsidR="00C87E4A" w:rsidRPr="00A03B67">
        <w:t xml:space="preserve">are </w:t>
      </w:r>
      <w:r w:rsidRPr="00A03B67">
        <w:t xml:space="preserve">more likely to be low paid. </w:t>
      </w:r>
    </w:p>
  </w:footnote>
  <w:footnote w:id="1099">
    <w:p w14:paraId="1647E6DA" w14:textId="32777C65" w:rsidR="007A6A1A" w:rsidRPr="00A03B67" w:rsidRDefault="007A6A1A" w:rsidP="007A6A1A">
      <w:pPr>
        <w:pStyle w:val="FootnoteText"/>
      </w:pPr>
      <w:r w:rsidRPr="00A03B67">
        <w:rPr>
          <w:rStyle w:val="FootnoteReference"/>
        </w:rPr>
        <w:footnoteRef/>
      </w:r>
      <w:r w:rsidRPr="00A03B67">
        <w:t xml:space="preserve"> Annual Wage Review 2023-24 Decision [2024] FWCFB 3500</w:t>
      </w:r>
      <w:r w:rsidR="00582173" w:rsidRPr="00A03B67">
        <w:t>, [6]</w:t>
      </w:r>
      <w:r w:rsidRPr="00A03B67">
        <w:t>.</w:t>
      </w:r>
    </w:p>
  </w:footnote>
  <w:footnote w:id="1100">
    <w:p w14:paraId="5F6FF1EA" w14:textId="5597FCC0" w:rsidR="007A6A1A" w:rsidRPr="00A03B67" w:rsidRDefault="007A6A1A" w:rsidP="007A6A1A">
      <w:pPr>
        <w:pStyle w:val="FootnoteText"/>
        <w:rPr>
          <w:lang w:val="en-US"/>
        </w:rPr>
      </w:pPr>
      <w:r w:rsidRPr="00A03B67">
        <w:rPr>
          <w:rStyle w:val="FootnoteReference"/>
        </w:rPr>
        <w:footnoteRef/>
      </w:r>
      <w:r w:rsidRPr="00A03B67">
        <w:t xml:space="preserve"> </w:t>
      </w:r>
      <w:r w:rsidRPr="00A03B67">
        <w:rPr>
          <w:lang w:val="en-US"/>
        </w:rPr>
        <w:t xml:space="preserve">A similar approach is adopted in G. Kalb and J. Meekes, ‘Wage growth distribution and decline among individuals’, </w:t>
      </w:r>
      <w:r w:rsidRPr="00A03B67">
        <w:rPr>
          <w:i/>
          <w:iCs/>
          <w:lang w:val="en-US"/>
        </w:rPr>
        <w:t xml:space="preserve">Reserve Bank of Australia Conference on Low Wage Growth, </w:t>
      </w:r>
      <w:r w:rsidRPr="00A03B67">
        <w:rPr>
          <w:lang w:val="en-US"/>
        </w:rPr>
        <w:t>2019</w:t>
      </w:r>
      <w:r w:rsidR="00582173" w:rsidRPr="00A03B67">
        <w:rPr>
          <w:lang w:val="en-US"/>
        </w:rPr>
        <w:t>, 6</w:t>
      </w:r>
      <w:r w:rsidRPr="00A03B67">
        <w:rPr>
          <w:lang w:val="en-US"/>
        </w:rPr>
        <w:t xml:space="preserve">. Available from: </w:t>
      </w:r>
      <w:r w:rsidR="00D02A9B" w:rsidRPr="00A03B67">
        <w:rPr>
          <w:lang w:val="en-US"/>
        </w:rPr>
        <w:t>&lt;</w:t>
      </w:r>
      <w:r w:rsidRPr="00A03B67">
        <w:rPr>
          <w:lang w:val="en-US"/>
        </w:rPr>
        <w:t>www.rba.gov.au/publications/confs/2019/pdf/rba-conference-2019-kalb-meekes.pdf</w:t>
      </w:r>
      <w:r w:rsidR="00D02A9B" w:rsidRPr="00A03B67">
        <w:rPr>
          <w:lang w:val="en-US"/>
        </w:rPr>
        <w:t>&gt;</w:t>
      </w:r>
      <w:r w:rsidRPr="00A03B67">
        <w:rPr>
          <w:lang w:val="en-US"/>
        </w:rPr>
        <w:t>. Last accessed 26 November 2024.</w:t>
      </w:r>
    </w:p>
  </w:footnote>
  <w:footnote w:id="1101">
    <w:p w14:paraId="64A08B1A" w14:textId="2FF69F68" w:rsidR="007A6A1A" w:rsidRPr="00A03B67" w:rsidRDefault="007A6A1A" w:rsidP="007A6A1A">
      <w:pPr>
        <w:pStyle w:val="FootnoteText"/>
        <w:rPr>
          <w:lang w:val="en-US"/>
        </w:rPr>
      </w:pPr>
      <w:r w:rsidRPr="00A03B67">
        <w:rPr>
          <w:rStyle w:val="FootnoteReference"/>
        </w:rPr>
        <w:footnoteRef/>
      </w:r>
      <w:r w:rsidRPr="00A03B67">
        <w:t xml:space="preserve"> </w:t>
      </w:r>
      <w:r w:rsidR="00973A8F" w:rsidRPr="00A03B67">
        <w:rPr>
          <w:lang w:val="en-US"/>
        </w:rPr>
        <w:t xml:space="preserve">The definition of ‘casual’ applied here follows the Australian Bureau of Statistics. A person is defined as casual if they </w:t>
      </w:r>
      <w:r w:rsidR="00973A8F" w:rsidRPr="00A03B67">
        <w:rPr>
          <w:i/>
          <w:iCs/>
          <w:lang w:val="en-US"/>
        </w:rPr>
        <w:t>do not</w:t>
      </w:r>
      <w:r w:rsidR="00973A8F" w:rsidRPr="00A03B67">
        <w:rPr>
          <w:lang w:val="en-US"/>
        </w:rPr>
        <w:t xml:space="preserve"> have paid leave entitlements.</w:t>
      </w:r>
    </w:p>
  </w:footnote>
  <w:footnote w:id="1102">
    <w:p w14:paraId="0419BE3B" w14:textId="016871DF" w:rsidR="00FF1A1F" w:rsidRPr="00AA5547" w:rsidRDefault="00FF1A1F" w:rsidP="00FF1A1F">
      <w:pPr>
        <w:pStyle w:val="FootnoteText"/>
      </w:pPr>
      <w:r w:rsidRPr="00A03B67">
        <w:rPr>
          <w:rStyle w:val="FootnoteReference"/>
        </w:rPr>
        <w:footnoteRef/>
      </w:r>
      <w:r w:rsidRPr="00A03B67">
        <w:t xml:space="preserve"> </w:t>
      </w:r>
      <w:r w:rsidRPr="00AA5547">
        <w:t xml:space="preserve">Fair Work Commission, </w:t>
      </w:r>
      <w:r w:rsidRPr="00AA5547">
        <w:rPr>
          <w:i/>
          <w:iCs/>
        </w:rPr>
        <w:t xml:space="preserve">Access to Justice </w:t>
      </w:r>
      <w:r w:rsidRPr="00AA5547">
        <w:t>(Annual Report 2022-23, 28 September 2023) 27</w:t>
      </w:r>
      <w:r w:rsidRPr="00AA5547">
        <w:rPr>
          <w:rFonts w:ascii="Segoe UI" w:eastAsia="Segoe UI" w:hAnsi="Segoe UI" w:cs="Segoe UI"/>
          <w:szCs w:val="18"/>
        </w:rPr>
        <w:t>.</w:t>
      </w:r>
    </w:p>
  </w:footnote>
  <w:footnote w:id="1103">
    <w:p w14:paraId="6AA39ED8" w14:textId="2721BD8D" w:rsidR="00FF1A1F" w:rsidRPr="00A03B67" w:rsidRDefault="00FF1A1F" w:rsidP="00FF1A1F">
      <w:pPr>
        <w:pStyle w:val="FootnoteText"/>
      </w:pPr>
      <w:r w:rsidRPr="00A03B67">
        <w:rPr>
          <w:rStyle w:val="FootnoteReference"/>
        </w:rPr>
        <w:footnoteRef/>
      </w:r>
      <w:r w:rsidRPr="00A03B67">
        <w:t xml:space="preserve"> Fair Work Commission, </w:t>
      </w:r>
      <w:r w:rsidRPr="00A03B67">
        <w:rPr>
          <w:i/>
          <w:iCs/>
        </w:rPr>
        <w:t xml:space="preserve">Access to Justice </w:t>
      </w:r>
      <w:r w:rsidRPr="00A03B67">
        <w:t>(Annual Report 2023-24, 30 September 2024) 64-65</w:t>
      </w:r>
      <w:r w:rsidRPr="00A03B67">
        <w:rPr>
          <w:rFonts w:ascii="Segoe UI" w:eastAsia="Segoe UI" w:hAnsi="Segoe UI" w:cs="Segoe UI"/>
          <w:color w:val="0D2C6C" w:themeColor="text1"/>
          <w:szCs w:val="18"/>
        </w:rPr>
        <w:t>.</w:t>
      </w:r>
    </w:p>
  </w:footnote>
  <w:footnote w:id="1104">
    <w:p w14:paraId="243132EE" w14:textId="45CE5637" w:rsidR="003A5F70" w:rsidRPr="00AA5547" w:rsidRDefault="003A5F70" w:rsidP="003A5F70">
      <w:pPr>
        <w:spacing w:after="0" w:line="240" w:lineRule="auto"/>
        <w:rPr>
          <w:rFonts w:cs="Calibri"/>
          <w:sz w:val="18"/>
          <w:szCs w:val="18"/>
        </w:rPr>
      </w:pPr>
      <w:r w:rsidRPr="00AA5547">
        <w:rPr>
          <w:rStyle w:val="FootnoteReference"/>
          <w:rFonts w:cs="Calibri"/>
          <w:sz w:val="18"/>
          <w:szCs w:val="18"/>
        </w:rPr>
        <w:footnoteRef/>
      </w:r>
      <w:r w:rsidRPr="00AA5547">
        <w:rPr>
          <w:rFonts w:cs="Calibri"/>
          <w:sz w:val="18"/>
          <w:szCs w:val="18"/>
        </w:rPr>
        <w:t xml:space="preserve"> OECD, </w:t>
      </w:r>
      <w:r w:rsidRPr="00AA5547">
        <w:rPr>
          <w:rFonts w:cs="Calibri"/>
          <w:i/>
          <w:iCs/>
          <w:sz w:val="18"/>
          <w:szCs w:val="18"/>
        </w:rPr>
        <w:t>Good Jobs for All in a Changing World of Work: The OECD Jobs Strategy</w:t>
      </w:r>
      <w:r w:rsidRPr="00AA5547">
        <w:rPr>
          <w:rFonts w:cs="Calibri"/>
          <w:sz w:val="18"/>
          <w:szCs w:val="18"/>
        </w:rPr>
        <w:t xml:space="preserve"> (Report, 2018) 46.</w:t>
      </w:r>
    </w:p>
  </w:footnote>
  <w:footnote w:id="1105">
    <w:p w14:paraId="0E7BAB02" w14:textId="12CE09C2" w:rsidR="003A5F70" w:rsidRPr="00AA5547" w:rsidRDefault="003A5F70" w:rsidP="003A5F70">
      <w:pPr>
        <w:pStyle w:val="FootnoteText"/>
        <w:rPr>
          <w:rFonts w:cs="Calibri"/>
          <w:szCs w:val="18"/>
          <w:lang w:val="en-US"/>
        </w:rPr>
      </w:pPr>
      <w:r w:rsidRPr="00AA5547">
        <w:rPr>
          <w:rStyle w:val="FootnoteReference"/>
          <w:rFonts w:cs="Calibri"/>
          <w:szCs w:val="18"/>
        </w:rPr>
        <w:footnoteRef/>
      </w:r>
      <w:r w:rsidRPr="00AA5547">
        <w:rPr>
          <w:rFonts w:cs="Calibri"/>
          <w:szCs w:val="18"/>
        </w:rPr>
        <w:t xml:space="preserve"> Productivity Commission, </w:t>
      </w:r>
      <w:r w:rsidRPr="00AA5547">
        <w:rPr>
          <w:rFonts w:cs="Calibri"/>
          <w:i/>
          <w:iCs/>
          <w:szCs w:val="18"/>
        </w:rPr>
        <w:t>5-year Productivity Inquiry: A more productive labour market</w:t>
      </w:r>
      <w:r w:rsidRPr="00AA5547">
        <w:rPr>
          <w:rFonts w:cs="Calibri"/>
          <w:szCs w:val="18"/>
        </w:rPr>
        <w:t>, (Interim report, October 2022) iv.</w:t>
      </w:r>
    </w:p>
  </w:footnote>
  <w:footnote w:id="1106">
    <w:p w14:paraId="395C1756" w14:textId="2535CA39" w:rsidR="003A5F70" w:rsidRPr="00A03B67" w:rsidRDefault="003A5F70" w:rsidP="003A5F70">
      <w:pPr>
        <w:pStyle w:val="FootnoteText"/>
        <w:rPr>
          <w:rFonts w:ascii="Calibri" w:hAnsi="Calibri" w:cs="Calibri"/>
          <w:lang w:val="en-US"/>
        </w:rPr>
      </w:pPr>
      <w:r w:rsidRPr="00AA5547">
        <w:rPr>
          <w:rStyle w:val="FootnoteReference"/>
          <w:rFonts w:cs="Calibri"/>
          <w:szCs w:val="18"/>
        </w:rPr>
        <w:footnoteRef/>
      </w:r>
      <w:r w:rsidRPr="00AA5547">
        <w:rPr>
          <w:rFonts w:cs="Calibri"/>
          <w:szCs w:val="18"/>
        </w:rPr>
        <w:t xml:space="preserve"> Productivity Commission, </w:t>
      </w:r>
      <w:r w:rsidRPr="00AA5547">
        <w:rPr>
          <w:rFonts w:cs="Calibri"/>
          <w:i/>
          <w:iCs/>
          <w:szCs w:val="18"/>
        </w:rPr>
        <w:t>5-year Productivity Inquiry: A more productive labour market</w:t>
      </w:r>
      <w:r w:rsidRPr="00AA5547">
        <w:rPr>
          <w:rFonts w:cs="Calibri"/>
          <w:szCs w:val="18"/>
        </w:rPr>
        <w:t xml:space="preserve">, (Interim report, October 2022); Productivity Commission, </w:t>
      </w:r>
      <w:r w:rsidRPr="00AA5547">
        <w:rPr>
          <w:rFonts w:cs="Calibri"/>
          <w:i/>
          <w:iCs/>
          <w:szCs w:val="18"/>
        </w:rPr>
        <w:t>5-year Productivity Inquiry: A more productive labour market</w:t>
      </w:r>
      <w:r w:rsidRPr="00AA5547">
        <w:rPr>
          <w:rFonts w:cs="Calibri"/>
          <w:szCs w:val="18"/>
        </w:rPr>
        <w:t>, (Inquiry Report – volume 7, February 2023).</w:t>
      </w:r>
    </w:p>
  </w:footnote>
  <w:footnote w:id="1107">
    <w:p w14:paraId="731D022E" w14:textId="6342169F" w:rsidR="003A5F70" w:rsidRPr="00AA5547" w:rsidRDefault="003A5F70" w:rsidP="003A5F70">
      <w:pPr>
        <w:pStyle w:val="FootnoteText"/>
        <w:rPr>
          <w:rFonts w:cs="Calibri"/>
          <w:lang w:val="en-US"/>
        </w:rPr>
      </w:pPr>
      <w:r w:rsidRPr="00AA5547">
        <w:rPr>
          <w:rStyle w:val="FootnoteReference"/>
        </w:rPr>
        <w:footnoteRef/>
      </w:r>
      <w:r w:rsidRPr="00AA5547">
        <w:t xml:space="preserve"> </w:t>
      </w:r>
      <w:r w:rsidRPr="00AA5547">
        <w:rPr>
          <w:rFonts w:cs="Calibri"/>
          <w:lang w:val="en-US"/>
        </w:rPr>
        <w:t>See, for example, Australian Chamber of Commerce and Industry (ACCI), Secure Jobs</w:t>
      </w:r>
      <w:r w:rsidR="00A14864" w:rsidRPr="00AA5547">
        <w:rPr>
          <w:rFonts w:cs="Calibri"/>
          <w:lang w:val="en-US"/>
        </w:rPr>
        <w:t>,</w:t>
      </w:r>
      <w:r w:rsidRPr="00AA5547">
        <w:rPr>
          <w:rFonts w:cs="Calibri"/>
          <w:lang w:val="en-US"/>
        </w:rPr>
        <w:t xml:space="preserve"> Better Pay Review Submission and Annexure (Submission Number 39, 2 December 2024) 88.</w:t>
      </w:r>
    </w:p>
  </w:footnote>
  <w:footnote w:id="1108">
    <w:p w14:paraId="3AE99253" w14:textId="217FDC4D"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OECD, </w:t>
      </w:r>
      <w:r w:rsidRPr="00AA5547">
        <w:rPr>
          <w:rFonts w:cs="Calibri"/>
          <w:i/>
          <w:iCs/>
        </w:rPr>
        <w:t>Good Jobs for All in a Changing World of Work: The OECD Jobs Strategy</w:t>
      </w:r>
      <w:r w:rsidRPr="00AA5547">
        <w:rPr>
          <w:rFonts w:cs="Calibri"/>
        </w:rPr>
        <w:t xml:space="preserve"> (Report, 2018).</w:t>
      </w:r>
    </w:p>
  </w:footnote>
  <w:footnote w:id="1109">
    <w:p w14:paraId="2D9F5E7C" w14:textId="74F4318B"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See: Productivity Commission, </w:t>
      </w:r>
      <w:r w:rsidRPr="00AA5547">
        <w:rPr>
          <w:rFonts w:cs="Calibri"/>
          <w:i/>
          <w:iCs/>
        </w:rPr>
        <w:t>5-year Productivity Inquiry: A more productive labour market</w:t>
      </w:r>
      <w:r w:rsidRPr="00AA5547">
        <w:rPr>
          <w:rFonts w:cs="Calibri"/>
        </w:rPr>
        <w:t>, (Interim report, October 2022)</w:t>
      </w:r>
      <w:r w:rsidR="003A3D41" w:rsidRPr="00AA5547">
        <w:rPr>
          <w:rFonts w:cs="Calibri"/>
        </w:rPr>
        <w:t>.</w:t>
      </w:r>
    </w:p>
  </w:footnote>
  <w:footnote w:id="1110">
    <w:p w14:paraId="55F876D7" w14:textId="77777777"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 xml:space="preserve">M. Bray, J.W. Budd, J. Macneil, </w:t>
      </w:r>
      <w:r w:rsidRPr="00AA5547">
        <w:rPr>
          <w:rFonts w:cs="Calibri"/>
        </w:rPr>
        <w:t xml:space="preserve">The many meanings of co-operation in the employment relationship and their implications', (2020) 58 </w:t>
      </w:r>
      <w:r w:rsidRPr="00AA5547">
        <w:rPr>
          <w:rFonts w:cs="Calibri"/>
          <w:i/>
          <w:iCs/>
        </w:rPr>
        <w:t>British Journal of Industrial Relations</w:t>
      </w:r>
      <w:r w:rsidRPr="00AA5547">
        <w:rPr>
          <w:rFonts w:cs="Calibri"/>
        </w:rPr>
        <w:t>, 114.</w:t>
      </w:r>
    </w:p>
  </w:footnote>
  <w:footnote w:id="1111">
    <w:p w14:paraId="37F3EDFF" w14:textId="3878FCB4" w:rsidR="003A5F70" w:rsidRPr="00A03B67" w:rsidRDefault="003A5F70" w:rsidP="003A5F70">
      <w:pPr>
        <w:pStyle w:val="FootnoteText"/>
        <w:rPr>
          <w:rFonts w:ascii="Calibri" w:hAnsi="Calibri" w:cs="Calibri"/>
          <w:lang w:val="en-US"/>
        </w:rPr>
      </w:pPr>
      <w:r w:rsidRPr="00AA5547">
        <w:rPr>
          <w:rStyle w:val="FootnoteReference"/>
        </w:rPr>
        <w:footnoteRef/>
      </w:r>
      <w:r w:rsidRPr="00AA5547">
        <w:t xml:space="preserve"> </w:t>
      </w:r>
      <w:r w:rsidRPr="00AA5547">
        <w:rPr>
          <w:rFonts w:cs="Calibri"/>
          <w:lang w:val="en-US"/>
        </w:rPr>
        <w:t>J. Gordon, S. Zhao, P. Gretton, ‘On productivity: concepts and measurement’, Productivity Commission Staff Research Note, 2015)</w:t>
      </w:r>
      <w:r w:rsidR="009002EE" w:rsidRPr="00AA5547">
        <w:rPr>
          <w:rFonts w:cs="Calibri"/>
          <w:lang w:val="en-US"/>
        </w:rPr>
        <w:t>, 1</w:t>
      </w:r>
      <w:r w:rsidRPr="00AA5547">
        <w:rPr>
          <w:rFonts w:cs="Calibri"/>
          <w:lang w:val="en-US"/>
        </w:rPr>
        <w:t>.</w:t>
      </w:r>
      <w:r w:rsidR="009002EE" w:rsidRPr="00A03B67">
        <w:rPr>
          <w:rFonts w:ascii="Calibri" w:hAnsi="Calibri" w:cs="Calibri"/>
          <w:lang w:val="en-US"/>
        </w:rPr>
        <w:t xml:space="preserve"> </w:t>
      </w:r>
    </w:p>
  </w:footnote>
  <w:footnote w:id="1112">
    <w:p w14:paraId="23FE2BF3" w14:textId="77777777"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J. Gordon, S. Zhao, P. Gretton, ‘On productivity: concepts and measurement’, Productivity Commission Staff Research Note, 2015) 1.</w:t>
      </w:r>
    </w:p>
  </w:footnote>
  <w:footnote w:id="1113">
    <w:p w14:paraId="68E8DAB9" w14:textId="2EDBBFB7" w:rsidR="003A5F70" w:rsidRPr="00AA5547" w:rsidRDefault="003A5F70" w:rsidP="003A5F70">
      <w:pPr>
        <w:pStyle w:val="FootnoteText"/>
        <w:rPr>
          <w:rFonts w:cs="Calibri"/>
        </w:rPr>
      </w:pPr>
      <w:r w:rsidRPr="00AA5547">
        <w:rPr>
          <w:rStyle w:val="FootnoteReference"/>
          <w:rFonts w:cs="Calibri"/>
        </w:rPr>
        <w:footnoteRef/>
      </w:r>
      <w:r w:rsidRPr="00AA5547">
        <w:rPr>
          <w:rFonts w:cs="Calibri"/>
        </w:rPr>
        <w:t xml:space="preserve">  Productivity Commission, ‘Productivity Primer’ (no date), </w:t>
      </w:r>
      <w:r w:rsidR="009002EE" w:rsidRPr="00AA5547">
        <w:rPr>
          <w:rFonts w:cs="Calibri"/>
        </w:rPr>
        <w:t>&lt;www.pc.gov.au/ongoing/productivity-performance/productivity-primer.pdf</w:t>
      </w:r>
      <w:r w:rsidR="009002EE" w:rsidRPr="00AA5547">
        <w:t>&gt;.</w:t>
      </w:r>
    </w:p>
  </w:footnote>
  <w:footnote w:id="1114">
    <w:p w14:paraId="481BD60E" w14:textId="3585597D" w:rsidR="003A5F70" w:rsidRPr="00AA5547" w:rsidRDefault="003A5F70" w:rsidP="003A5F70">
      <w:pPr>
        <w:pStyle w:val="FootnoteText"/>
        <w:rPr>
          <w:rFonts w:cs="Calibri"/>
          <w:lang w:val="en-US"/>
        </w:rPr>
      </w:pPr>
      <w:r w:rsidRPr="00AA5547">
        <w:rPr>
          <w:rStyle w:val="FootnoteReference"/>
        </w:rPr>
        <w:footnoteRef/>
      </w:r>
      <w:r w:rsidRPr="00AA5547">
        <w:t xml:space="preserve"> </w:t>
      </w:r>
      <w:r w:rsidRPr="00AA5547">
        <w:rPr>
          <w:rFonts w:cs="Calibri"/>
          <w:lang w:val="en-US"/>
        </w:rPr>
        <w:t xml:space="preserve">Productivity Commission, ‘An agenda to lift Australia’s productivity’ </w:t>
      </w:r>
      <w:r w:rsidRPr="00AA5547">
        <w:rPr>
          <w:rFonts w:cs="Calibri"/>
        </w:rPr>
        <w:t>(5-year Productivity Inquiry Report – volume 1, February 2023) 1.</w:t>
      </w:r>
    </w:p>
  </w:footnote>
  <w:footnote w:id="1115">
    <w:p w14:paraId="6EEFB1AC" w14:textId="74C2DB7A"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Australian Bureau of Statistics (ABS), ‘Understanding labour quality and its contribution to productivity measurement’ (2022).</w:t>
      </w:r>
    </w:p>
  </w:footnote>
  <w:footnote w:id="1116">
    <w:p w14:paraId="7C800479" w14:textId="5E0E33D8" w:rsidR="003A5F70" w:rsidRPr="00A03B67" w:rsidRDefault="003A5F70" w:rsidP="003A5F70">
      <w:pPr>
        <w:pStyle w:val="FootnoteText"/>
        <w:rPr>
          <w:rFonts w:ascii="Calibri" w:hAnsi="Calibri" w:cs="Calibri"/>
          <w:lang w:val="en-US"/>
        </w:rPr>
      </w:pPr>
      <w:r w:rsidRPr="00AA5547">
        <w:rPr>
          <w:rStyle w:val="FootnoteReference"/>
          <w:rFonts w:cs="Calibri"/>
        </w:rPr>
        <w:footnoteRef/>
      </w:r>
      <w:r w:rsidRPr="00AA5547">
        <w:rPr>
          <w:rFonts w:cs="Calibri"/>
        </w:rPr>
        <w:t xml:space="preserve"> </w:t>
      </w:r>
      <w:r w:rsidRPr="00AA5547">
        <w:rPr>
          <w:rFonts w:cs="Calibri"/>
          <w:lang w:val="en-US"/>
        </w:rPr>
        <w:t>For further discussion on measuring productivity see ABS ‘Interpreting ABS productivity statistics’ (2023). This note explains that industries that considered to be predominantly non-market in nature (</w:t>
      </w:r>
      <w:r w:rsidRPr="00AA5547">
        <w:rPr>
          <w:rFonts w:cs="Calibri"/>
        </w:rPr>
        <w:t>Public administration and safety, Education and training, and Health care and social assistance) are not included in the published MFP estimates. This is because it is difficult to measure their capital productivity or MFP.</w:t>
      </w:r>
    </w:p>
  </w:footnote>
  <w:footnote w:id="1117">
    <w:p w14:paraId="563892DD" w14:textId="3A6F538B" w:rsidR="003A5F70" w:rsidRPr="00AA5547" w:rsidRDefault="003A5F70" w:rsidP="003A5F70">
      <w:pPr>
        <w:pStyle w:val="FootnoteText"/>
        <w:rPr>
          <w:rFonts w:cs="Calibri"/>
          <w:lang w:val="en-US"/>
        </w:rPr>
      </w:pPr>
      <w:r w:rsidRPr="00AA5547">
        <w:rPr>
          <w:rStyle w:val="FootnoteReference"/>
        </w:rPr>
        <w:footnoteRef/>
      </w:r>
      <w:r w:rsidRPr="00AA5547">
        <w:t xml:space="preserve"> </w:t>
      </w:r>
      <w:r w:rsidRPr="00AA5547">
        <w:rPr>
          <w:rFonts w:cs="Calibri"/>
          <w:lang w:val="en-US"/>
        </w:rPr>
        <w:t xml:space="preserve">For example, at August 2024 the Health care and social assistance sector accounted for 15.5% of total employment (the highest share across all industries). Of all new jobs created in the 12 years to 2024, 28% were in the Health care and social assistance sector followed by 12% in education and training and 9.4% in Public administration and safety. Taken together these </w:t>
      </w:r>
      <w:r w:rsidR="00A14864" w:rsidRPr="00AA5547">
        <w:rPr>
          <w:rFonts w:cs="Calibri"/>
          <w:lang w:val="en-US"/>
        </w:rPr>
        <w:t xml:space="preserve">3 </w:t>
      </w:r>
      <w:r w:rsidRPr="00AA5547">
        <w:rPr>
          <w:rFonts w:cs="Calibri"/>
          <w:lang w:val="en-US"/>
        </w:rPr>
        <w:t>sectors – which are generally classified as non-market sectors – accounted for 49% of new jobs growth between 2012 and 2024.</w:t>
      </w:r>
    </w:p>
  </w:footnote>
  <w:footnote w:id="1118">
    <w:p w14:paraId="5366FA55" w14:textId="5BE4DC9A"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For further discussion of these </w:t>
      </w:r>
      <w:r w:rsidR="00A14864" w:rsidRPr="00AA5547">
        <w:rPr>
          <w:rFonts w:cs="Calibri"/>
        </w:rPr>
        <w:t xml:space="preserve">2 </w:t>
      </w:r>
      <w:r w:rsidRPr="00AA5547">
        <w:rPr>
          <w:rFonts w:cs="Calibri"/>
        </w:rPr>
        <w:t xml:space="preserve">measures of labour productivity and interpretation see: K. Hancock, ‘Enterprise bargaining and productivity’, (2012) 22(3) </w:t>
      </w:r>
      <w:r w:rsidRPr="00AA5547">
        <w:rPr>
          <w:rFonts w:cs="Calibri"/>
          <w:i/>
          <w:iCs/>
        </w:rPr>
        <w:t>Labour and Industry</w:t>
      </w:r>
      <w:r w:rsidRPr="00AA5547">
        <w:rPr>
          <w:rFonts w:cs="Calibri"/>
        </w:rPr>
        <w:t>, 289.</w:t>
      </w:r>
    </w:p>
  </w:footnote>
  <w:footnote w:id="1119">
    <w:p w14:paraId="309E64BF" w14:textId="414B20B6" w:rsidR="003A5F70" w:rsidRPr="00A03B67" w:rsidRDefault="003A5F70" w:rsidP="003A5F70">
      <w:pPr>
        <w:pStyle w:val="FootnoteText"/>
        <w:rPr>
          <w:rFonts w:ascii="Calibri" w:hAnsi="Calibri" w:cs="Calibri"/>
          <w:lang w:val="en-US"/>
        </w:rPr>
      </w:pPr>
      <w:r w:rsidRPr="00AA5547">
        <w:rPr>
          <w:rStyle w:val="FootnoteReference"/>
        </w:rPr>
        <w:footnoteRef/>
      </w:r>
      <w:r w:rsidRPr="00AA5547">
        <w:t xml:space="preserve"> </w:t>
      </w:r>
      <w:r w:rsidRPr="00AA5547">
        <w:rPr>
          <w:rFonts w:cs="Calibri"/>
          <w:lang w:val="en-US"/>
        </w:rPr>
        <w:t>In a recent report on immigration and productivity by the e61 Institute the authors show that migrant workers are more likely to be employed in lower productivity industries and  firms compared to non-migrants and that this trend has intensified in recent years. In other words, the allocation of migrant workers has become less efficient, contributing to Australia’s productivity slowdown. The authors suggest that the work restrictions that the Australian Government places on particular migrant groups (e.g., students) may have unintended negative economic consequences. For more see: D. Andrews, E. Clarke, L. Vass and Aaron Wong, ‘Misallocated migrants: immigration and firm productivity in Australia’ (2023) e61 Research Note No. 5.</w:t>
      </w:r>
    </w:p>
  </w:footnote>
  <w:footnote w:id="1120">
    <w:p w14:paraId="478BD35F" w14:textId="76540D37"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The Business Council of Australia (BCA) suggests that labour hoarding may, in part, have dragged down labour productivity – see: BCA, ‘Australia’s flagging competitiveness and productivity’, (November 2024)</w:t>
      </w:r>
      <w:r w:rsidR="00E11466" w:rsidRPr="00AA5547">
        <w:rPr>
          <w:rFonts w:cs="Calibri"/>
        </w:rPr>
        <w:t>.</w:t>
      </w:r>
      <w:r w:rsidRPr="00AA5547">
        <w:rPr>
          <w:rFonts w:cs="Calibri"/>
        </w:rPr>
        <w:t xml:space="preserve"> Research from e-61 suggests that 1-5 Australian workers are subject to a non-compete clause. See: D. Andrews and B. Jarvis, ‘The ghosts of employers’ past: how prevalent are non-compete clauses in Australia?’ (2023), e61 Micronote.</w:t>
      </w:r>
    </w:p>
  </w:footnote>
  <w:footnote w:id="1121">
    <w:p w14:paraId="5A38B123" w14:textId="77777777"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K. Hancock, ‘Enterprise bargaining and productivity’, (2012) 22(3) </w:t>
      </w:r>
      <w:r w:rsidRPr="00AA5547">
        <w:rPr>
          <w:rFonts w:cs="Calibri"/>
          <w:i/>
          <w:iCs/>
        </w:rPr>
        <w:t>Labour and Industry</w:t>
      </w:r>
      <w:r w:rsidRPr="00AA5547">
        <w:rPr>
          <w:rFonts w:cs="Calibri"/>
        </w:rPr>
        <w:t>, 289.</w:t>
      </w:r>
    </w:p>
  </w:footnote>
  <w:footnote w:id="1122">
    <w:p w14:paraId="4BF06C72" w14:textId="2DB6E1E0" w:rsidR="003A5F70" w:rsidRPr="00AA5547" w:rsidRDefault="003A5F70" w:rsidP="003A5F70">
      <w:pPr>
        <w:pStyle w:val="FootnoteText"/>
      </w:pPr>
      <w:r w:rsidRPr="00AA5547">
        <w:rPr>
          <w:rStyle w:val="FootnoteReference"/>
        </w:rPr>
        <w:footnoteRef/>
      </w:r>
      <w:r w:rsidRPr="00AA5547">
        <w:t xml:space="preserve"> D. Peetz, ‘Productivity is often mistaken for wages. What does it really mean? How does it work? (October, 2024), The Conversation</w:t>
      </w:r>
      <w:r w:rsidR="00E11466" w:rsidRPr="00AA5547">
        <w:t>.</w:t>
      </w:r>
      <w:r w:rsidRPr="00AA5547">
        <w:t xml:space="preserve">  </w:t>
      </w:r>
    </w:p>
  </w:footnote>
  <w:footnote w:id="1123">
    <w:p w14:paraId="617D3E5C" w14:textId="327E0731" w:rsidR="003A5F70" w:rsidRPr="00AA5547" w:rsidRDefault="003A5F70" w:rsidP="003A5F70">
      <w:pPr>
        <w:pStyle w:val="FootnoteText"/>
        <w:rPr>
          <w:lang w:val="en-US"/>
        </w:rPr>
      </w:pPr>
      <w:r w:rsidRPr="00AA5547">
        <w:rPr>
          <w:rStyle w:val="FootnoteReference"/>
        </w:rPr>
        <w:footnoteRef/>
      </w:r>
      <w:r w:rsidRPr="00AA5547">
        <w:t xml:space="preserve"> </w:t>
      </w:r>
      <w:r w:rsidRPr="00AA5547">
        <w:rPr>
          <w:lang w:val="en-US"/>
        </w:rPr>
        <w:t xml:space="preserve">For a discussion of the methodology used to identify industry growth cycles in Australia see: </w:t>
      </w:r>
      <w:r w:rsidR="00E11466" w:rsidRPr="00AA5547">
        <w:rPr>
          <w:lang w:val="en-US"/>
        </w:rPr>
        <w:t>&lt;https://www.abs.gov.au/AUSSTATS/abs@.nsf/Previousproducts/5260.0.55.002Feature%20Article12015-16?opendocument&amp;tabname=Summary&amp;prodno=5260.0.55.002&amp;issue=2015-16&amp;num=&amp;view=#analysis-of-results&gt;.</w:t>
      </w:r>
      <w:r w:rsidRPr="00AA5547">
        <w:rPr>
          <w:lang w:val="en-US"/>
        </w:rPr>
        <w:t xml:space="preserve">   </w:t>
      </w:r>
    </w:p>
  </w:footnote>
  <w:footnote w:id="1124">
    <w:p w14:paraId="1CCE2D4F" w14:textId="77777777" w:rsidR="003A5F70" w:rsidRPr="00AA5547" w:rsidRDefault="003A5F70" w:rsidP="003A5F70">
      <w:pPr>
        <w:pStyle w:val="FootnoteText"/>
      </w:pPr>
      <w:r w:rsidRPr="00AA5547">
        <w:rPr>
          <w:rStyle w:val="FootnoteReference"/>
        </w:rPr>
        <w:footnoteRef/>
      </w:r>
      <w:r w:rsidRPr="00AA5547">
        <w:t xml:space="preserve">  ABS, ‘Estimates of industry multifactor productivity’, (January 2025):  </w:t>
      </w:r>
    </w:p>
    <w:p w14:paraId="2CACFA08" w14:textId="77777777" w:rsidR="003A5F70" w:rsidRPr="00AA5547" w:rsidRDefault="003A5F70" w:rsidP="003A5F70">
      <w:pPr>
        <w:pStyle w:val="FootnoteText"/>
        <w:rPr>
          <w:lang w:val="en-US"/>
        </w:rPr>
      </w:pPr>
      <w:r w:rsidRPr="00AA5547">
        <w:t>https://www.abs.gov.au/statistics/industry/industry-overview/estimates-industry-multifactor-productivity/latest-release</w:t>
      </w:r>
    </w:p>
  </w:footnote>
  <w:footnote w:id="1125">
    <w:p w14:paraId="0300BF94" w14:textId="3313C4F7" w:rsidR="003A5F70" w:rsidRPr="00A03B67" w:rsidRDefault="003A5F70" w:rsidP="003A5F70">
      <w:pPr>
        <w:pStyle w:val="FootnoteText"/>
        <w:rPr>
          <w:lang w:val="en-US"/>
        </w:rPr>
      </w:pPr>
      <w:r w:rsidRPr="00AA5547">
        <w:rPr>
          <w:rStyle w:val="FootnoteReference"/>
        </w:rPr>
        <w:footnoteRef/>
      </w:r>
      <w:r w:rsidRPr="00AA5547">
        <w:t xml:space="preserve"> </w:t>
      </w:r>
      <w:r w:rsidRPr="00AA5547">
        <w:rPr>
          <w:lang w:val="en-US"/>
        </w:rPr>
        <w:t>KPMG, ‘Australia’s productivity growth: further research and findings’ (KPMG Research Paper, June 2024)</w:t>
      </w:r>
      <w:r w:rsidR="00500269" w:rsidRPr="00AA5547">
        <w:rPr>
          <w:lang w:val="en-US"/>
        </w:rPr>
        <w:t>, 3.</w:t>
      </w:r>
    </w:p>
  </w:footnote>
  <w:footnote w:id="1126">
    <w:p w14:paraId="4EC24CDC" w14:textId="553D3DED"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The KPMG report notes that ‘measured productivity within the mining industry was negative “because of the massive capital spending by mining companies during that time in response to the huge upswing in Australia’s terms of trade (resulting in more mining projects becoming economically viable due to higher world minerals’ prices).’.  KPMG, ‘Australia’s productivity growth: further research and findings’ (KPMG Research Paper, June 2024) 14.</w:t>
      </w:r>
    </w:p>
  </w:footnote>
  <w:footnote w:id="1127">
    <w:p w14:paraId="0F0B6154" w14:textId="77777777" w:rsidR="003A5F70" w:rsidRPr="00A03B67" w:rsidRDefault="003A5F70" w:rsidP="003A5F70">
      <w:pPr>
        <w:pStyle w:val="FootnoteText"/>
        <w:rPr>
          <w:lang w:val="en-US"/>
        </w:rPr>
      </w:pPr>
      <w:r w:rsidRPr="00A03B67">
        <w:rPr>
          <w:rStyle w:val="FootnoteReference"/>
        </w:rPr>
        <w:footnoteRef/>
      </w:r>
      <w:r w:rsidRPr="00A03B67">
        <w:t xml:space="preserve"> https://www.abs.gov.au/statistics/industry/industry-overview/estimates-industry-multifactor-productivity/latest-release</w:t>
      </w:r>
    </w:p>
  </w:footnote>
  <w:footnote w:id="1128">
    <w:p w14:paraId="42A18FFC" w14:textId="77777777" w:rsidR="003A5F70" w:rsidRPr="00A03B67" w:rsidRDefault="003A5F70" w:rsidP="003A5F70">
      <w:pPr>
        <w:pStyle w:val="FootnoteText"/>
      </w:pPr>
      <w:r w:rsidRPr="00A03B67">
        <w:rPr>
          <w:rStyle w:val="FootnoteReference"/>
        </w:rPr>
        <w:footnoteRef/>
      </w:r>
      <w:r w:rsidRPr="00A03B67">
        <w:t xml:space="preserve">  Productivity Commission (2003) From Industry Assistance to Productivity: 30 years of ‘the Commission’, Productivity Commission, Canberra, pp.185.</w:t>
      </w:r>
    </w:p>
  </w:footnote>
  <w:footnote w:id="1129">
    <w:p w14:paraId="4B1D806D" w14:textId="51D41063"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 xml:space="preserve">See: </w:t>
      </w:r>
      <w:r w:rsidR="00D02A9B" w:rsidRPr="00A03B67">
        <w:rPr>
          <w:lang w:val="en-US"/>
        </w:rPr>
        <w:t>&lt;</w:t>
      </w:r>
      <w:r w:rsidR="00500269" w:rsidRPr="00A03B67">
        <w:rPr>
          <w:lang w:val="en-US"/>
        </w:rPr>
        <w:t>https://www.abs.gov.au/statistics/industry/industry-overview/estimates-industry-multifactor-productivity/latest-release</w:t>
      </w:r>
      <w:r w:rsidR="00D02A9B" w:rsidRPr="00A03B67">
        <w:rPr>
          <w:lang w:val="en-US"/>
        </w:rPr>
        <w:t>&gt;</w:t>
      </w:r>
      <w:r w:rsidR="00500269" w:rsidRPr="00A03B67">
        <w:rPr>
          <w:lang w:val="en-US"/>
        </w:rPr>
        <w:t>.</w:t>
      </w:r>
    </w:p>
  </w:footnote>
  <w:footnote w:id="1130">
    <w:p w14:paraId="45D4B32F" w14:textId="348A1209"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 xml:space="preserve">For further discussion see: </w:t>
      </w:r>
      <w:r w:rsidR="00500269" w:rsidRPr="00A03B67">
        <w:rPr>
          <w:lang w:val="en-US"/>
        </w:rPr>
        <w:t>&lt;https://www.abs.gov.au/statistics/research/experimental-hospital-multifactor-productivity-estimates&gt;</w:t>
      </w:r>
      <w:r w:rsidRPr="00A03B67">
        <w:rPr>
          <w:lang w:val="en-US"/>
        </w:rPr>
        <w:t xml:space="preserve"> and </w:t>
      </w:r>
      <w:r w:rsidR="00500269" w:rsidRPr="00A03B67">
        <w:rPr>
          <w:lang w:val="en-US"/>
        </w:rPr>
        <w:t>&lt;https://www.abs.gov.au/statistics/research/experimental-higher-education-multifactor-productivity-estimates</w:t>
      </w:r>
      <w:r w:rsidR="00500269" w:rsidRPr="00A03B67">
        <w:t>&gt;.</w:t>
      </w:r>
    </w:p>
  </w:footnote>
  <w:footnote w:id="1131">
    <w:p w14:paraId="4DA8AA58" w14:textId="32136323" w:rsidR="003A5F70" w:rsidRPr="00AA5547" w:rsidRDefault="003A5F70" w:rsidP="003A5F70">
      <w:pPr>
        <w:pStyle w:val="FootnoteText"/>
        <w:rPr>
          <w:lang w:val="en-US"/>
        </w:rPr>
      </w:pPr>
      <w:r w:rsidRPr="00AA5547">
        <w:rPr>
          <w:rStyle w:val="FootnoteReference"/>
        </w:rPr>
        <w:footnoteRef/>
      </w:r>
      <w:r w:rsidRPr="00AA5547">
        <w:t xml:space="preserve"> </w:t>
      </w:r>
      <w:r w:rsidRPr="00AA5547">
        <w:rPr>
          <w:lang w:val="en-US"/>
        </w:rPr>
        <w:t xml:space="preserve">In the e61 study the authors suggest there has been ‘virtually no measured labour productivity growth in the care economy for 20 years’.  In their study the care economy consists of </w:t>
      </w:r>
      <w:r w:rsidR="00A14864" w:rsidRPr="00AA5547">
        <w:rPr>
          <w:lang w:val="en-US"/>
        </w:rPr>
        <w:t xml:space="preserve">4 </w:t>
      </w:r>
      <w:r w:rsidRPr="00AA5547">
        <w:rPr>
          <w:lang w:val="en-US"/>
        </w:rPr>
        <w:t xml:space="preserve">2-digit groups from the Health care and social assistance sector (1. hospitals, 2. medical and other health care services, 3. residential care services, and 4. social assistance services). They use the same definition of labour productivity as used </w:t>
      </w:r>
      <w:r w:rsidR="000C094A" w:rsidRPr="00AA5547">
        <w:rPr>
          <w:lang w:val="en-US"/>
        </w:rPr>
        <w:t>here</w:t>
      </w:r>
      <w:r w:rsidRPr="00AA5547">
        <w:rPr>
          <w:lang w:val="en-US"/>
        </w:rPr>
        <w:t xml:space="preserve"> (GVA per hour worked). It is hard to reconcile the finding of zero labour productivity growth with the estimates </w:t>
      </w:r>
      <w:r w:rsidR="000C094A" w:rsidRPr="00AA5547">
        <w:rPr>
          <w:lang w:val="en-US"/>
        </w:rPr>
        <w:t>presented here</w:t>
      </w:r>
      <w:r w:rsidRPr="00AA5547">
        <w:rPr>
          <w:lang w:val="en-US"/>
        </w:rPr>
        <w:t xml:space="preserve"> and the findings from the ABS in their experimental MFP series.  What the report does note is that there are ‘substantial impediments to productivity growth in the care economy’ including little competition’ and limits to incentives to innovate or contain costs. They also note a recent Grattan report that argues that meeting the labour demand in this sector is better met by wage adjustments than by expansion of less-skilled migration.  For further details see: M. Maltman and E. Ranking, ‘What if we didn’t care? Implications for growth in the care economy for the broader macroeconomy’, (October 2024), e61 Research Note</w:t>
      </w:r>
      <w:r w:rsidR="00AE5048" w:rsidRPr="00AA5547">
        <w:rPr>
          <w:lang w:val="en-US"/>
        </w:rPr>
        <w:t>.</w:t>
      </w:r>
    </w:p>
  </w:footnote>
  <w:footnote w:id="1132">
    <w:p w14:paraId="5A9BD2ED" w14:textId="19C3808F"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 xml:space="preserve">Deloitte, ‘Moving from potential to performance’, Deloitte’s State of Generative AI in the Enterprise Quarter </w:t>
      </w:r>
      <w:r w:rsidR="00A14864" w:rsidRPr="00AA5547">
        <w:rPr>
          <w:rFonts w:cs="Calibri"/>
          <w:lang w:val="en-US"/>
        </w:rPr>
        <w:t xml:space="preserve">3 </w:t>
      </w:r>
      <w:r w:rsidRPr="00AA5547">
        <w:rPr>
          <w:rFonts w:cs="Calibri"/>
          <w:lang w:val="en-US"/>
        </w:rPr>
        <w:t>report, (August 2024)</w:t>
      </w:r>
      <w:r w:rsidR="00AE5048" w:rsidRPr="00AA5547">
        <w:rPr>
          <w:rFonts w:cs="Calibri"/>
          <w:lang w:val="en-US"/>
        </w:rPr>
        <w:t>.</w:t>
      </w:r>
      <w:r w:rsidRPr="00AA5547">
        <w:rPr>
          <w:rFonts w:cs="Calibri"/>
          <w:lang w:val="en-US"/>
        </w:rPr>
        <w:t xml:space="preserve"> </w:t>
      </w:r>
    </w:p>
  </w:footnote>
  <w:footnote w:id="1133">
    <w:p w14:paraId="26F7A996" w14:textId="5352F300"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Consult Australia, ‘Uplifting productivity: delivering economic growth through best practice procurement’, (2020)</w:t>
      </w:r>
      <w:r w:rsidR="00AE5048" w:rsidRPr="00AA5547">
        <w:rPr>
          <w:rFonts w:cs="Calibri"/>
          <w:lang w:val="en-US"/>
        </w:rPr>
        <w:t>.</w:t>
      </w:r>
      <w:r w:rsidRPr="00AA5547">
        <w:rPr>
          <w:rFonts w:cs="Calibri"/>
          <w:lang w:val="en-US"/>
        </w:rPr>
        <w:t xml:space="preserve"> </w:t>
      </w:r>
    </w:p>
  </w:footnote>
  <w:footnote w:id="1134">
    <w:p w14:paraId="0631B105" w14:textId="1812851B"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 xml:space="preserve">J. Buckley, ‘Productivity in motion: the role of job switching’, (November 2023), e61 Institute Micro Note 14. </w:t>
      </w:r>
    </w:p>
  </w:footnote>
  <w:footnote w:id="1135">
    <w:p w14:paraId="3B60B1E8" w14:textId="79B057C2" w:rsidR="003A5F70" w:rsidRPr="00A03B67" w:rsidRDefault="003A5F70" w:rsidP="003A5F70">
      <w:pPr>
        <w:pStyle w:val="FootnoteText"/>
        <w:rPr>
          <w:lang w:val="en-US"/>
        </w:rPr>
      </w:pPr>
      <w:r w:rsidRPr="00AA5547">
        <w:rPr>
          <w:rStyle w:val="FootnoteReference"/>
        </w:rPr>
        <w:footnoteRef/>
      </w:r>
      <w:r w:rsidRPr="00AA5547">
        <w:t xml:space="preserve"> </w:t>
      </w:r>
      <w:r w:rsidRPr="00AA5547">
        <w:rPr>
          <w:lang w:val="en-US"/>
        </w:rPr>
        <w:t>D.Andrews, J.Hambur, D.Hansell and A.Wheeler, ‘Reaching for the stars: Australian firms and the global productivity frontier’, (January 2022), Treasury Working Paper.</w:t>
      </w:r>
    </w:p>
  </w:footnote>
  <w:footnote w:id="1136">
    <w:p w14:paraId="0795E7C1" w14:textId="4B7B19F8" w:rsidR="003A5F70" w:rsidRPr="00AA5547" w:rsidRDefault="003A5F70" w:rsidP="003A5F70">
      <w:pPr>
        <w:pStyle w:val="FootnoteText"/>
        <w:rPr>
          <w:lang w:val="en-US"/>
        </w:rPr>
      </w:pPr>
      <w:r w:rsidRPr="00AA5547">
        <w:rPr>
          <w:rStyle w:val="FootnoteReference"/>
          <w:rFonts w:cs="Calibri"/>
        </w:rPr>
        <w:footnoteRef/>
      </w:r>
      <w:r w:rsidRPr="00AA5547">
        <w:rPr>
          <w:rFonts w:cs="Calibri"/>
        </w:rPr>
        <w:t xml:space="preserve"> </w:t>
      </w:r>
      <w:r w:rsidRPr="00AA5547">
        <w:rPr>
          <w:rFonts w:cs="Calibri"/>
          <w:lang w:val="en-US"/>
        </w:rPr>
        <w:t>Productivity Commission, ‘5-year Productivity Inquiry: A more productive labour market’ (Report, Productivity Commission, February 2023), Volume 7.</w:t>
      </w:r>
    </w:p>
  </w:footnote>
  <w:footnote w:id="1137">
    <w:p w14:paraId="3856C018" w14:textId="77777777" w:rsidR="001F0284" w:rsidRPr="00AA5547" w:rsidRDefault="001F0284" w:rsidP="001F0284">
      <w:pPr>
        <w:pStyle w:val="FootnoteText"/>
        <w:rPr>
          <w:lang w:val="en-US"/>
        </w:rPr>
      </w:pPr>
      <w:r w:rsidRPr="00AA5547">
        <w:rPr>
          <w:rStyle w:val="FootnoteReference"/>
        </w:rPr>
        <w:footnoteRef/>
      </w:r>
      <w:r w:rsidRPr="00AA5547">
        <w:t xml:space="preserve"> </w:t>
      </w:r>
      <w:r w:rsidRPr="00AA5547">
        <w:rPr>
          <w:lang w:val="en-US"/>
        </w:rPr>
        <w:t xml:space="preserve">D.Grimshaw, B.Brandl, F.Bertranou and S.Gontero, ‘Trading the potential benefits and complex contingencies of multilevel collective bargaining’, (2024) 153(4) </w:t>
      </w:r>
      <w:r w:rsidRPr="00AA5547">
        <w:rPr>
          <w:i/>
          <w:iCs/>
          <w:lang w:val="en-US"/>
        </w:rPr>
        <w:t>International Labour Review</w:t>
      </w:r>
      <w:r w:rsidRPr="00AA5547">
        <w:rPr>
          <w:lang w:val="en-US"/>
        </w:rPr>
        <w:t>, 660-661.</w:t>
      </w:r>
    </w:p>
  </w:footnote>
  <w:footnote w:id="1138">
    <w:p w14:paraId="1DE06E23" w14:textId="58FDF4D8" w:rsidR="003A5F70" w:rsidRPr="00AA5547" w:rsidRDefault="003A5F70" w:rsidP="003A5F70">
      <w:pPr>
        <w:pStyle w:val="FootnoteText"/>
        <w:rPr>
          <w:lang w:val="en-US"/>
        </w:rPr>
      </w:pPr>
      <w:r w:rsidRPr="00AA5547">
        <w:rPr>
          <w:rStyle w:val="FootnoteReference"/>
        </w:rPr>
        <w:footnoteRef/>
      </w:r>
      <w:r w:rsidRPr="00AA5547">
        <w:t xml:space="preserve"> </w:t>
      </w:r>
      <w:r w:rsidRPr="00AA5547">
        <w:rPr>
          <w:lang w:val="en-US"/>
        </w:rPr>
        <w:t xml:space="preserve">D.Andrews, J.Hambur, D.Hansell and A.Wheeler, ‘Reaching for the stars: Australian firms and the global productivity frontier’, (January 2022), Treasury Working Paper. </w:t>
      </w:r>
    </w:p>
  </w:footnote>
  <w:footnote w:id="1139">
    <w:p w14:paraId="45EDF215" w14:textId="164B0E0D"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See World Economic Forum (WEF) Global Gender Gap Reports. The 2024 report was released June 2024.</w:t>
      </w:r>
    </w:p>
  </w:footnote>
  <w:footnote w:id="1140">
    <w:p w14:paraId="546CE067" w14:textId="1FE68A2F"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For example: WGEA, ‘Workplace gender equality: the business case’, (November, 2018)</w:t>
      </w:r>
      <w:r w:rsidR="006038BC" w:rsidRPr="00AA5547">
        <w:rPr>
          <w:rFonts w:cs="Calibri"/>
          <w:lang w:val="en-US"/>
        </w:rPr>
        <w:t xml:space="preserve"> &lt;</w:t>
      </w:r>
      <w:r w:rsidRPr="00AA5547">
        <w:rPr>
          <w:rFonts w:cs="Calibri"/>
          <w:lang w:val="en-US"/>
        </w:rPr>
        <w:t>https://www.wgea.gov.au/publications/gender-equality-business-case#economic-growth</w:t>
      </w:r>
      <w:r w:rsidR="006038BC" w:rsidRPr="00AA5547">
        <w:rPr>
          <w:rFonts w:cs="Calibri"/>
          <w:lang w:val="en-US"/>
        </w:rPr>
        <w:t>&gt;.</w:t>
      </w:r>
    </w:p>
  </w:footnote>
  <w:footnote w:id="1141">
    <w:p w14:paraId="6FE9A1E9" w14:textId="5BF23AAB" w:rsidR="003A5F70" w:rsidRPr="00A03B67" w:rsidRDefault="003A5F70" w:rsidP="003A5F70">
      <w:pPr>
        <w:pStyle w:val="FootnoteText"/>
        <w:rPr>
          <w:rFonts w:ascii="Calibri" w:hAnsi="Calibri" w:cs="Calibri"/>
          <w:lang w:val="en-US"/>
        </w:rPr>
      </w:pPr>
      <w:r w:rsidRPr="00AA5547">
        <w:rPr>
          <w:rStyle w:val="FootnoteReference"/>
          <w:rFonts w:cs="Calibri"/>
        </w:rPr>
        <w:footnoteRef/>
      </w:r>
      <w:r w:rsidRPr="00AA5547">
        <w:rPr>
          <w:rFonts w:cs="Calibri"/>
        </w:rPr>
        <w:t xml:space="preserve"> </w:t>
      </w:r>
      <w:r w:rsidRPr="00AA5547">
        <w:rPr>
          <w:rFonts w:cs="Calibri"/>
          <w:lang w:val="en-US"/>
        </w:rPr>
        <w:t>Women’s Economic Equality Taskforce, ‘A 10-year Plan to unleash the full capacity and contribution of women to the Australian economy’, (Report, Department of the Prime Minister and Cabinet, 2023).</w:t>
      </w:r>
      <w:r w:rsidRPr="00A03B67">
        <w:rPr>
          <w:rFonts w:ascii="Calibri" w:hAnsi="Calibri" w:cs="Calibri"/>
          <w:lang w:val="en-US"/>
        </w:rPr>
        <w:t xml:space="preserve"> </w:t>
      </w:r>
    </w:p>
  </w:footnote>
  <w:footnote w:id="1142">
    <w:p w14:paraId="70F56752" w14:textId="62BF9F36"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As of May 2024, 36.9% of Australian females aged 15-74 held a bachelor's degree or higher, compared to 29.8% of males in the same age group. See: </w:t>
      </w:r>
      <w:r w:rsidRPr="00AA5547">
        <w:rPr>
          <w:rFonts w:cs="Calibri"/>
          <w:lang w:val="en-US"/>
        </w:rPr>
        <w:t>Australian Bureau of Statistics (ABS), ‘Education and Work, May 2024’, Table 11: Highest education attainmen</w:t>
      </w:r>
      <w:r w:rsidR="006038BC" w:rsidRPr="00AA5547">
        <w:rPr>
          <w:rFonts w:cs="Calibri"/>
          <w:lang w:val="en-US"/>
        </w:rPr>
        <w:t xml:space="preserve">t. </w:t>
      </w:r>
    </w:p>
  </w:footnote>
  <w:footnote w:id="1143">
    <w:p w14:paraId="68286617" w14:textId="774868D2" w:rsidR="003A5F70" w:rsidRPr="00AA5547" w:rsidRDefault="003A5F70" w:rsidP="003A5F70">
      <w:pPr>
        <w:pStyle w:val="FootnoteText"/>
        <w:rPr>
          <w:rFonts w:cs="Calibri"/>
          <w:lang w:val="en-US"/>
        </w:rPr>
      </w:pPr>
      <w:r w:rsidRPr="00AA5547">
        <w:rPr>
          <w:rStyle w:val="FootnoteReference"/>
          <w:rFonts w:cs="Calibri"/>
        </w:rPr>
        <w:footnoteRef/>
      </w:r>
      <w:r w:rsidRPr="00AA5547">
        <w:rPr>
          <w:rFonts w:cs="Calibri"/>
        </w:rPr>
        <w:t xml:space="preserve"> </w:t>
      </w:r>
      <w:r w:rsidRPr="00AA5547">
        <w:rPr>
          <w:rFonts w:cs="Calibri"/>
          <w:lang w:val="en-US"/>
        </w:rPr>
        <w:t>Productivity Commission, ‘5-year Productivity Inquiry: A more productive labour market’ (Report, Productivity Commission, February 2023), Volume 7, 101.</w:t>
      </w:r>
    </w:p>
  </w:footnote>
  <w:footnote w:id="1144">
    <w:p w14:paraId="70E17949" w14:textId="77777777" w:rsidR="003A5F70" w:rsidRPr="00AA5547" w:rsidRDefault="003A5F70" w:rsidP="003A5F70">
      <w:pPr>
        <w:pStyle w:val="FootnoteText"/>
        <w:rPr>
          <w:lang w:val="en-US"/>
        </w:rPr>
      </w:pPr>
      <w:r w:rsidRPr="00AA5547">
        <w:rPr>
          <w:rStyle w:val="FootnoteReference"/>
        </w:rPr>
        <w:footnoteRef/>
      </w:r>
      <w:r w:rsidRPr="00AA5547">
        <w:t xml:space="preserve"> Deloitte Access Economics, ‘Breaking the norm: unleashing Australia’s economic potential’, (Report, November 2022)  cited in: </w:t>
      </w:r>
      <w:r w:rsidRPr="00AA5547">
        <w:rPr>
          <w:rFonts w:cs="Calibri"/>
          <w:lang w:val="en-US"/>
        </w:rPr>
        <w:t xml:space="preserve">Women’s Economic Equality Taskforce, ‘A 10-year Plan to unleash the full capacity and contribution of women to the Australian economy’, (Report, Department of the Prime Minister and Cabinet, 2023), 9.  </w:t>
      </w:r>
    </w:p>
  </w:footnote>
  <w:footnote w:id="1145">
    <w:p w14:paraId="14F6EC2B" w14:textId="627E51F2" w:rsidR="003A5F70" w:rsidRPr="00A03B67" w:rsidRDefault="003A5F70" w:rsidP="003A5F70">
      <w:pPr>
        <w:pStyle w:val="FootnoteText"/>
        <w:rPr>
          <w:lang w:val="en-US"/>
        </w:rPr>
      </w:pPr>
      <w:r w:rsidRPr="00AA5547">
        <w:rPr>
          <w:rStyle w:val="FootnoteReference"/>
        </w:rPr>
        <w:footnoteRef/>
      </w:r>
      <w:r w:rsidRPr="00AA5547">
        <w:t xml:space="preserve"> </w:t>
      </w:r>
      <w:r w:rsidRPr="00AA5547">
        <w:rPr>
          <w:rFonts w:cs="Calibri"/>
        </w:rPr>
        <w:t>The Senate Select Committee on Work and Care report underscores the challenges individuals face in balancing paid employment with unpaid caregiving responsibilities. It emphasises the need to create conditions that enable both men and women to share caregiving duties more equitably, which is essential for achieving gender equality, improving workforce participation, and ensuring economic security for all. Equitable sharing of care responsibilities can also help break down traditional gender roles, reduce the gender pay gap, and promote better work-life balance for families</w:t>
      </w:r>
      <w:r w:rsidRPr="00AA5547">
        <w:rPr>
          <w:rFonts w:cs="Calibri"/>
          <w:lang w:val="en-US"/>
        </w:rPr>
        <w:t xml:space="preserve">. </w:t>
      </w:r>
      <w:r w:rsidRPr="00AA5547">
        <w:rPr>
          <w:lang w:val="en-US"/>
        </w:rPr>
        <w:t xml:space="preserve"> The Senate, ‘Senate Select Committee on Work and Care’, (Final Report, 2023), Commonwealth of Australia.  https://www.aph.gov.au/Parliamentary_Business/Committees/Senate/Work_and_Care/workandcare/Report</w:t>
      </w:r>
    </w:p>
  </w:footnote>
  <w:footnote w:id="1146">
    <w:p w14:paraId="5FCEF0D5" w14:textId="77777777"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 xml:space="preserve">J. Borland, ‘Industrial relations reform: chasing a pot of gold at the end of the rainbow?’, (2012), 45(3), </w:t>
      </w:r>
      <w:r w:rsidRPr="00A03B67">
        <w:rPr>
          <w:i/>
          <w:iCs/>
          <w:lang w:val="en-US"/>
        </w:rPr>
        <w:t>The Australian Economic Review,</w:t>
      </w:r>
      <w:r w:rsidRPr="00A03B67">
        <w:rPr>
          <w:lang w:val="en-US"/>
        </w:rPr>
        <w:t xml:space="preserve"> 269-289. </w:t>
      </w:r>
    </w:p>
  </w:footnote>
  <w:footnote w:id="1147">
    <w:p w14:paraId="20F9F299" w14:textId="77777777"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 xml:space="preserve">K. Hancock, ‘Enterprise bargaining and productivity’, (2012), 22(3), </w:t>
      </w:r>
      <w:r w:rsidRPr="00A03B67">
        <w:rPr>
          <w:i/>
          <w:iCs/>
          <w:lang w:val="en-US"/>
        </w:rPr>
        <w:t>Labour and Industry</w:t>
      </w:r>
      <w:r w:rsidRPr="00A03B67">
        <w:rPr>
          <w:lang w:val="en-US"/>
        </w:rPr>
        <w:t>, 289-302, p.301.</w:t>
      </w:r>
    </w:p>
  </w:footnote>
  <w:footnote w:id="1148">
    <w:p w14:paraId="2FDC9B8B" w14:textId="77777777"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Recent work by the OECD (2019), however, does suggest that coordinated (e.g., centralised) collective bargaining systems do matter for employment, job quality and labour market inclusiveness. They analysed the labour market outcomes across 35 OECD countries using data from 1980 to 2015 and, among other things, concluded that “…co-ordinated systems are shown to be associated with higher employment, lower unemployment, a better integration of vulnerable groups and less wage inequality than fully decentralised systems”. See, also submission #41 by Professor Chris Wright.</w:t>
      </w:r>
    </w:p>
  </w:footnote>
  <w:footnote w:id="1149">
    <w:p w14:paraId="3D47F3AB" w14:textId="77777777"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 xml:space="preserve">D. Peetz, ‘Does industrial relations policy affect productivity?’, (2012), 38(4) </w:t>
      </w:r>
      <w:r w:rsidRPr="00A03B67">
        <w:rPr>
          <w:i/>
          <w:iCs/>
          <w:lang w:val="en-US"/>
        </w:rPr>
        <w:t>Australian Bulletin of Labour</w:t>
      </w:r>
      <w:r w:rsidRPr="00A03B67">
        <w:rPr>
          <w:lang w:val="en-US"/>
        </w:rPr>
        <w:t>: 268-292.</w:t>
      </w:r>
    </w:p>
  </w:footnote>
  <w:footnote w:id="1150">
    <w:p w14:paraId="0C5BCE9A" w14:textId="23DA44F1" w:rsidR="003A5F70" w:rsidRPr="00A03B67" w:rsidRDefault="003A5F70" w:rsidP="003A5F70">
      <w:pPr>
        <w:pStyle w:val="FootnoteText"/>
        <w:rPr>
          <w:lang w:val="en-US"/>
        </w:rPr>
      </w:pPr>
      <w:r w:rsidRPr="00A03B67">
        <w:rPr>
          <w:rStyle w:val="FootnoteReference"/>
        </w:rPr>
        <w:footnoteRef/>
      </w:r>
      <w:r w:rsidRPr="00A03B67">
        <w:t xml:space="preserve"> </w:t>
      </w:r>
      <w:r w:rsidR="006038BC" w:rsidRPr="00A03B67">
        <w:rPr>
          <w:lang w:val="en-US"/>
        </w:rPr>
        <w:t>Australian Bureau of Statistics, Has worker compensation reflected labour productivity growth?, (13 December 2022).</w:t>
      </w:r>
    </w:p>
  </w:footnote>
  <w:footnote w:id="1151">
    <w:p w14:paraId="72EDF41F" w14:textId="2A986C6D" w:rsidR="003A5F70" w:rsidRPr="00A03B67" w:rsidRDefault="003A5F70" w:rsidP="003A5F70">
      <w:pPr>
        <w:pStyle w:val="FootnoteText"/>
      </w:pPr>
      <w:r w:rsidRPr="00A03B67">
        <w:rPr>
          <w:rStyle w:val="FootnoteReference"/>
        </w:rPr>
        <w:footnoteRef/>
      </w:r>
      <w:r w:rsidRPr="00A03B67">
        <w:t xml:space="preserve"> C.Schwellnus, A.Kappeler, and P. Pionnier, ‘De</w:t>
      </w:r>
      <w:r w:rsidR="008F61DC" w:rsidRPr="00A03B67">
        <w:t>c</w:t>
      </w:r>
      <w:r w:rsidRPr="00A03B67">
        <w:t>oupling of wages from productivity: Micro-level facts. (2017), OECD Economics Department Working Papers, No. 1373</w:t>
      </w:r>
      <w:r w:rsidR="008F61DC" w:rsidRPr="00A03B67">
        <w:t>, 3.</w:t>
      </w:r>
    </w:p>
  </w:footnote>
  <w:footnote w:id="1152">
    <w:p w14:paraId="2DBB354F" w14:textId="77777777" w:rsidR="003A5F70" w:rsidRPr="00A03B67" w:rsidRDefault="003A5F70" w:rsidP="003A5F70">
      <w:pPr>
        <w:pStyle w:val="FootnoteText"/>
        <w:rPr>
          <w:lang w:val="en-US"/>
        </w:rPr>
      </w:pPr>
      <w:r w:rsidRPr="00A03B67">
        <w:rPr>
          <w:rStyle w:val="FootnoteReference"/>
        </w:rPr>
        <w:footnoteRef/>
      </w:r>
      <w:r w:rsidRPr="00A03B67">
        <w:t xml:space="preserve"> </w:t>
      </w:r>
      <w:r w:rsidRPr="00A03B67">
        <w:rPr>
          <w:lang w:val="en-US"/>
        </w:rPr>
        <w:t xml:space="preserve">See: D.Shubhdeep, J.Eeckhout, A.Patel and L.Warren, ‘What drives wage stagnation: monopsony or monopoly? ((2022) 20(6) </w:t>
      </w:r>
      <w:r w:rsidRPr="00A03B67">
        <w:rPr>
          <w:i/>
          <w:iCs/>
          <w:lang w:val="en-US"/>
        </w:rPr>
        <w:t>Journal of the European Economic Association</w:t>
      </w:r>
      <w:r w:rsidRPr="00A03B67">
        <w:rPr>
          <w:lang w:val="en-US"/>
        </w:rPr>
        <w:t>, 2181-2225.</w:t>
      </w:r>
    </w:p>
  </w:footnote>
  <w:footnote w:id="1153">
    <w:p w14:paraId="01F8EED8" w14:textId="77777777" w:rsidR="003A5F70" w:rsidRPr="00A03B67" w:rsidRDefault="003A5F70" w:rsidP="003A5F70">
      <w:pPr>
        <w:pStyle w:val="FootnoteText"/>
      </w:pPr>
      <w:r w:rsidRPr="00A03B67">
        <w:rPr>
          <w:rStyle w:val="FootnoteReference"/>
        </w:rPr>
        <w:footnoteRef/>
      </w:r>
      <w:r w:rsidRPr="00A03B67">
        <w:t xml:space="preserve"> AHRC 2020 Respect@Work: National Inquiry into Sexual Harassment in Australian Workplaces: 208-09; 302; 316-320.</w:t>
      </w:r>
    </w:p>
  </w:footnote>
  <w:footnote w:id="1154">
    <w:p w14:paraId="45EF9176" w14:textId="77777777" w:rsidR="003A5F70" w:rsidRPr="00A03B67" w:rsidRDefault="003A5F70" w:rsidP="003A5F70">
      <w:pPr>
        <w:pStyle w:val="FootnoteText"/>
      </w:pPr>
      <w:r w:rsidRPr="00A03B67">
        <w:rPr>
          <w:rStyle w:val="FootnoteReference"/>
        </w:rPr>
        <w:footnoteRef/>
      </w:r>
      <w:r w:rsidRPr="00A03B67">
        <w:t xml:space="preserve">  Women’s Economic Equality Taskforce (2023) </w:t>
      </w:r>
      <w:r w:rsidRPr="00A03B67">
        <w:rPr>
          <w:i/>
          <w:iCs/>
        </w:rPr>
        <w:t>Women’s Economic Equality: A 10-year plan to unleash the full capacity and contribution of women to the Australian economy 23-33</w:t>
      </w:r>
      <w:r w:rsidRPr="00A03B67">
        <w:t>, Department of Prime Minister and Cabinet, Commonwealth of Australia, Canberra: 32.</w:t>
      </w:r>
    </w:p>
  </w:footnote>
  <w:footnote w:id="1155">
    <w:p w14:paraId="12AC302B" w14:textId="77777777" w:rsidR="003A5F70" w:rsidRPr="00A03B67" w:rsidRDefault="003A5F70" w:rsidP="003A5F70">
      <w:pPr>
        <w:pStyle w:val="FootnoteText"/>
      </w:pPr>
      <w:r w:rsidRPr="00A03B67">
        <w:rPr>
          <w:rStyle w:val="FootnoteReference"/>
        </w:rPr>
        <w:footnoteRef/>
      </w:r>
      <w:r w:rsidRPr="00A03B67">
        <w:t xml:space="preserve">  Baird, M., Hamilton, M., &amp; Constantin, A. (2021). Gender equality and paid parental leave in Australia: A decade of giant leaps or baby steps? Journal of Industrial Relations, 63(4), 546-567.</w:t>
      </w:r>
    </w:p>
  </w:footnote>
  <w:footnote w:id="1156">
    <w:p w14:paraId="72C092FF" w14:textId="77777777" w:rsidR="003A5F70" w:rsidRPr="00A03B67" w:rsidRDefault="003A5F70" w:rsidP="003A5F70">
      <w:pPr>
        <w:pStyle w:val="FootnoteText"/>
      </w:pPr>
      <w:r w:rsidRPr="00A03B67">
        <w:rPr>
          <w:rStyle w:val="FootnoteReference"/>
        </w:rPr>
        <w:footnoteRef/>
      </w:r>
      <w:r w:rsidRPr="00A03B67">
        <w:t xml:space="preserve">  Women’s Economic Equality Taskforce 2023:29.</w:t>
      </w:r>
    </w:p>
  </w:footnote>
  <w:footnote w:id="1157">
    <w:p w14:paraId="60D43560" w14:textId="77777777" w:rsidR="003A5F70" w:rsidRPr="00AA5547" w:rsidRDefault="003A5F70" w:rsidP="003A5F70">
      <w:pPr>
        <w:pStyle w:val="FootnoteText"/>
        <w:rPr>
          <w:szCs w:val="18"/>
        </w:rPr>
      </w:pPr>
      <w:r w:rsidRPr="00AA5547">
        <w:rPr>
          <w:rStyle w:val="FootnoteReference"/>
          <w:szCs w:val="18"/>
        </w:rPr>
        <w:footnoteRef/>
      </w:r>
      <w:r w:rsidRPr="00AA5547">
        <w:rPr>
          <w:szCs w:val="18"/>
        </w:rPr>
        <w:t xml:space="preserve">  Women’s Economic Equality Taskforce, 2023:47.</w:t>
      </w:r>
    </w:p>
  </w:footnote>
  <w:footnote w:id="1158">
    <w:p w14:paraId="48107DB7" w14:textId="77777777" w:rsidR="003A5F70" w:rsidRPr="00AA5547" w:rsidRDefault="003A5F70" w:rsidP="003A5F70">
      <w:pPr>
        <w:pStyle w:val="FootnoteText"/>
        <w:rPr>
          <w:rFonts w:cs="Calibri"/>
          <w:szCs w:val="18"/>
          <w:lang w:val="en-US"/>
        </w:rPr>
      </w:pPr>
      <w:r w:rsidRPr="00AA5547">
        <w:rPr>
          <w:rStyle w:val="FootnoteReference"/>
          <w:szCs w:val="18"/>
        </w:rPr>
        <w:footnoteRef/>
      </w:r>
      <w:r w:rsidRPr="00AA5547">
        <w:rPr>
          <w:szCs w:val="18"/>
        </w:rPr>
        <w:t xml:space="preserve"> </w:t>
      </w:r>
      <w:r w:rsidRPr="00AA5547">
        <w:rPr>
          <w:rFonts w:cs="Calibri"/>
          <w:szCs w:val="18"/>
        </w:rPr>
        <w:t xml:space="preserve">R. Freeman and D. Medoff, </w:t>
      </w:r>
      <w:r w:rsidRPr="00AA5547">
        <w:rPr>
          <w:rFonts w:cs="Calibri"/>
          <w:i/>
          <w:iCs/>
          <w:szCs w:val="18"/>
        </w:rPr>
        <w:t>What do unions do?</w:t>
      </w:r>
      <w:r w:rsidRPr="00AA5547">
        <w:rPr>
          <w:rFonts w:cs="Calibri"/>
          <w:szCs w:val="18"/>
        </w:rPr>
        <w:t xml:space="preserve"> (1984) Basic books, New York, p. 179.</w:t>
      </w:r>
    </w:p>
  </w:footnote>
  <w:footnote w:id="1159">
    <w:p w14:paraId="1D10BE73" w14:textId="77777777" w:rsidR="00BA517C" w:rsidRPr="00AA5547" w:rsidRDefault="00BA517C" w:rsidP="00BA517C">
      <w:pPr>
        <w:spacing w:after="0" w:line="240" w:lineRule="auto"/>
        <w:rPr>
          <w:rFonts w:cs="Calibri"/>
          <w:sz w:val="18"/>
          <w:szCs w:val="18"/>
        </w:rPr>
      </w:pPr>
      <w:r w:rsidRPr="00AA5547">
        <w:rPr>
          <w:rStyle w:val="FootnoteReference"/>
          <w:rFonts w:cs="Calibri"/>
          <w:sz w:val="18"/>
          <w:szCs w:val="18"/>
        </w:rPr>
        <w:footnoteRef/>
      </w:r>
      <w:r w:rsidRPr="00AA5547">
        <w:rPr>
          <w:rFonts w:cs="Calibri"/>
          <w:sz w:val="18"/>
          <w:szCs w:val="18"/>
        </w:rPr>
        <w:t xml:space="preserve">   FWC, ‘Productivity and innovation in enterprise agreement clauses: an overview </w:t>
      </w:r>
    </w:p>
    <w:p w14:paraId="266707C3" w14:textId="77777777" w:rsidR="00BA517C" w:rsidRPr="00AA5547" w:rsidRDefault="00BA517C" w:rsidP="00BA517C">
      <w:pPr>
        <w:spacing w:after="0" w:line="240" w:lineRule="auto"/>
        <w:rPr>
          <w:rFonts w:cs="Calibri"/>
          <w:sz w:val="18"/>
          <w:szCs w:val="18"/>
        </w:rPr>
      </w:pPr>
      <w:r w:rsidRPr="00AA5547">
        <w:rPr>
          <w:rFonts w:cs="Calibri"/>
          <w:sz w:val="18"/>
          <w:szCs w:val="18"/>
        </w:rPr>
        <w:t xml:space="preserve">of literature, data and case studies at the workplace level’, (December 2014), Future Directions 2014–15: </w:t>
      </w:r>
    </w:p>
    <w:p w14:paraId="59A19057" w14:textId="603F74C5" w:rsidR="00BA517C" w:rsidRPr="00AA5547" w:rsidRDefault="00BA517C" w:rsidP="00BA517C">
      <w:pPr>
        <w:spacing w:after="0" w:line="240" w:lineRule="auto"/>
        <w:rPr>
          <w:rFonts w:cs="Calibri"/>
          <w:sz w:val="18"/>
          <w:szCs w:val="18"/>
        </w:rPr>
      </w:pPr>
      <w:r w:rsidRPr="00AA5547">
        <w:rPr>
          <w:rFonts w:cs="Calibri"/>
          <w:sz w:val="18"/>
          <w:szCs w:val="18"/>
        </w:rPr>
        <w:t xml:space="preserve">Initiative 29, p.18. </w:t>
      </w:r>
    </w:p>
  </w:footnote>
  <w:footnote w:id="1160">
    <w:p w14:paraId="2C5F7E78" w14:textId="77777777" w:rsidR="00785B0E" w:rsidRPr="00AA5547" w:rsidRDefault="003A5F70" w:rsidP="00785B0E">
      <w:pPr>
        <w:spacing w:after="0" w:line="240" w:lineRule="auto"/>
        <w:rPr>
          <w:rFonts w:cs="Calibri"/>
          <w:sz w:val="18"/>
          <w:szCs w:val="18"/>
        </w:rPr>
      </w:pPr>
      <w:r w:rsidRPr="00AA5547">
        <w:rPr>
          <w:rStyle w:val="FootnoteReference"/>
          <w:rFonts w:cs="Calibri"/>
          <w:sz w:val="18"/>
          <w:szCs w:val="18"/>
        </w:rPr>
        <w:footnoteRef/>
      </w:r>
      <w:r w:rsidRPr="00AA5547">
        <w:rPr>
          <w:rFonts w:cs="Calibri"/>
          <w:sz w:val="18"/>
          <w:szCs w:val="18"/>
        </w:rPr>
        <w:t xml:space="preserve"> </w:t>
      </w:r>
      <w:r w:rsidR="00785B0E" w:rsidRPr="00AA5547">
        <w:rPr>
          <w:rFonts w:cs="Calibri"/>
          <w:sz w:val="18"/>
          <w:szCs w:val="18"/>
        </w:rPr>
        <w:t xml:space="preserve">FWC, ‘Productivity and innovation in enterprise agreement clauses: an overview </w:t>
      </w:r>
    </w:p>
    <w:p w14:paraId="66837990" w14:textId="77777777" w:rsidR="00785B0E" w:rsidRPr="00AA5547" w:rsidRDefault="00785B0E" w:rsidP="00785B0E">
      <w:pPr>
        <w:spacing w:after="0" w:line="240" w:lineRule="auto"/>
        <w:rPr>
          <w:rFonts w:cs="Calibri"/>
          <w:sz w:val="18"/>
          <w:szCs w:val="18"/>
        </w:rPr>
      </w:pPr>
      <w:r w:rsidRPr="00AA5547">
        <w:rPr>
          <w:rFonts w:cs="Calibri"/>
          <w:sz w:val="18"/>
          <w:szCs w:val="18"/>
        </w:rPr>
        <w:t xml:space="preserve">of literature, data and case studies at the workplace level’, (December 2014), Future Directions 2014–15: </w:t>
      </w:r>
    </w:p>
    <w:p w14:paraId="52BF9219" w14:textId="5CDB7D73" w:rsidR="003A5F70" w:rsidRPr="00A03B67" w:rsidRDefault="00785B0E" w:rsidP="00785B0E">
      <w:pPr>
        <w:spacing w:after="0" w:line="240" w:lineRule="auto"/>
        <w:rPr>
          <w:rFonts w:ascii="Calibri" w:hAnsi="Calibri" w:cs="Calibri"/>
          <w:sz w:val="20"/>
          <w:szCs w:val="20"/>
        </w:rPr>
      </w:pPr>
      <w:r w:rsidRPr="00AA5547">
        <w:rPr>
          <w:rFonts w:cs="Calibri"/>
          <w:sz w:val="18"/>
          <w:szCs w:val="18"/>
        </w:rPr>
        <w:t xml:space="preserve">Initiative 29, </w:t>
      </w:r>
      <w:r w:rsidR="003A5F70" w:rsidRPr="00AA5547">
        <w:rPr>
          <w:rFonts w:cs="Calibri"/>
          <w:sz w:val="18"/>
          <w:szCs w:val="18"/>
        </w:rPr>
        <w:t>p.  19.</w:t>
      </w:r>
    </w:p>
  </w:footnote>
  <w:footnote w:id="1161">
    <w:p w14:paraId="32FCB1B1" w14:textId="77777777" w:rsidR="00785B0E" w:rsidRPr="00AA5547" w:rsidRDefault="003A5F70" w:rsidP="00785B0E">
      <w:pPr>
        <w:spacing w:after="0" w:line="240" w:lineRule="auto"/>
        <w:rPr>
          <w:rFonts w:cs="Calibri"/>
          <w:sz w:val="18"/>
          <w:szCs w:val="18"/>
        </w:rPr>
      </w:pPr>
      <w:r w:rsidRPr="00AA5547">
        <w:rPr>
          <w:rStyle w:val="FootnoteReference"/>
          <w:rFonts w:cs="Calibri"/>
          <w:sz w:val="18"/>
          <w:szCs w:val="18"/>
        </w:rPr>
        <w:footnoteRef/>
      </w:r>
      <w:r w:rsidRPr="00AA5547">
        <w:rPr>
          <w:rFonts w:cs="Calibri"/>
          <w:sz w:val="18"/>
          <w:szCs w:val="18"/>
        </w:rPr>
        <w:t xml:space="preserve"> </w:t>
      </w:r>
      <w:r w:rsidR="00785B0E" w:rsidRPr="00AA5547">
        <w:rPr>
          <w:rFonts w:cs="Calibri"/>
          <w:sz w:val="18"/>
          <w:szCs w:val="18"/>
        </w:rPr>
        <w:t xml:space="preserve">FWC, ‘Productivity and innovation in enterprise agreement clauses: an overview </w:t>
      </w:r>
    </w:p>
    <w:p w14:paraId="2339A3A0" w14:textId="77777777" w:rsidR="00785B0E" w:rsidRPr="00AA5547" w:rsidRDefault="00785B0E" w:rsidP="00785B0E">
      <w:pPr>
        <w:spacing w:after="0" w:line="240" w:lineRule="auto"/>
        <w:rPr>
          <w:rFonts w:cs="Calibri"/>
          <w:sz w:val="18"/>
          <w:szCs w:val="18"/>
        </w:rPr>
      </w:pPr>
      <w:r w:rsidRPr="00AA5547">
        <w:rPr>
          <w:rFonts w:cs="Calibri"/>
          <w:sz w:val="18"/>
          <w:szCs w:val="18"/>
        </w:rPr>
        <w:t xml:space="preserve">of literature, data and case studies at the workplace level’, (December 2014), Future Directions 2014–15: </w:t>
      </w:r>
    </w:p>
    <w:p w14:paraId="1A54BB6D" w14:textId="26A9001B" w:rsidR="003A5F70" w:rsidRPr="00AA5547" w:rsidRDefault="00785B0E" w:rsidP="00785B0E">
      <w:pPr>
        <w:spacing w:after="0" w:line="240" w:lineRule="auto"/>
        <w:rPr>
          <w:rFonts w:cs="Calibri"/>
          <w:sz w:val="18"/>
          <w:szCs w:val="18"/>
        </w:rPr>
      </w:pPr>
      <w:r w:rsidRPr="00AA5547">
        <w:rPr>
          <w:rFonts w:cs="Calibri"/>
          <w:sz w:val="18"/>
          <w:szCs w:val="18"/>
        </w:rPr>
        <w:t xml:space="preserve">Initiative 29, </w:t>
      </w:r>
      <w:r w:rsidR="003A5F70" w:rsidRPr="00AA5547">
        <w:rPr>
          <w:rFonts w:cs="Calibri"/>
          <w:sz w:val="18"/>
          <w:szCs w:val="18"/>
        </w:rPr>
        <w:t>p</w:t>
      </w:r>
      <w:r w:rsidRPr="00AA5547">
        <w:rPr>
          <w:rFonts w:cs="Calibri"/>
          <w:sz w:val="18"/>
          <w:szCs w:val="18"/>
        </w:rPr>
        <w:t>.</w:t>
      </w:r>
      <w:r w:rsidR="003A5F70" w:rsidRPr="00AA5547">
        <w:rPr>
          <w:rFonts w:cs="Calibri"/>
          <w:sz w:val="18"/>
          <w:szCs w:val="18"/>
        </w:rPr>
        <w:t xml:space="preserve"> 28.</w:t>
      </w:r>
    </w:p>
  </w:footnote>
  <w:footnote w:id="1162">
    <w:p w14:paraId="283D8F68" w14:textId="77777777" w:rsidR="00785B0E" w:rsidRPr="00AA5547" w:rsidRDefault="00BA517C" w:rsidP="00785B0E">
      <w:pPr>
        <w:spacing w:after="0" w:line="240" w:lineRule="auto"/>
        <w:rPr>
          <w:rFonts w:cs="Calibri"/>
          <w:sz w:val="18"/>
          <w:szCs w:val="18"/>
        </w:rPr>
      </w:pPr>
      <w:r w:rsidRPr="00AA5547">
        <w:rPr>
          <w:rStyle w:val="FootnoteReference"/>
          <w:rFonts w:cs="Calibri"/>
          <w:sz w:val="18"/>
          <w:szCs w:val="18"/>
        </w:rPr>
        <w:footnoteRef/>
      </w:r>
      <w:r w:rsidRPr="00AA5547">
        <w:rPr>
          <w:rFonts w:cs="Calibri"/>
          <w:sz w:val="18"/>
          <w:szCs w:val="18"/>
        </w:rPr>
        <w:t xml:space="preserve"> </w:t>
      </w:r>
      <w:r w:rsidR="00785B0E" w:rsidRPr="00AA5547">
        <w:rPr>
          <w:rFonts w:cs="Calibri"/>
          <w:sz w:val="18"/>
          <w:szCs w:val="18"/>
        </w:rPr>
        <w:t xml:space="preserve">FWC, ‘Productivity and innovation in enterprise agreement clauses: an overview </w:t>
      </w:r>
    </w:p>
    <w:p w14:paraId="5CB33E89" w14:textId="77777777" w:rsidR="00785B0E" w:rsidRPr="00AA5547" w:rsidRDefault="00785B0E" w:rsidP="00785B0E">
      <w:pPr>
        <w:spacing w:after="0" w:line="240" w:lineRule="auto"/>
        <w:rPr>
          <w:rFonts w:cs="Calibri"/>
          <w:sz w:val="18"/>
          <w:szCs w:val="18"/>
        </w:rPr>
      </w:pPr>
      <w:r w:rsidRPr="00AA5547">
        <w:rPr>
          <w:rFonts w:cs="Calibri"/>
          <w:sz w:val="18"/>
          <w:szCs w:val="18"/>
        </w:rPr>
        <w:t xml:space="preserve">of literature, data and case studies at the workplace level’, (December 2014), Future Directions 2014–15: </w:t>
      </w:r>
    </w:p>
    <w:p w14:paraId="236443AC" w14:textId="68DFE557" w:rsidR="00BA517C" w:rsidRPr="00AA5547" w:rsidRDefault="00785B0E" w:rsidP="00785B0E">
      <w:pPr>
        <w:pStyle w:val="FootnoteText"/>
        <w:rPr>
          <w:rFonts w:cs="Calibri"/>
          <w:szCs w:val="18"/>
          <w:lang w:val="en-US"/>
        </w:rPr>
      </w:pPr>
      <w:r w:rsidRPr="00AA5547">
        <w:rPr>
          <w:rFonts w:cs="Calibri"/>
          <w:szCs w:val="18"/>
        </w:rPr>
        <w:t>Initiative 29, p. 28</w:t>
      </w:r>
      <w:r w:rsidR="00BA517C" w:rsidRPr="00AA5547">
        <w:rPr>
          <w:rFonts w:cs="Calibri"/>
          <w:szCs w:val="18"/>
          <w:lang w:val="en-US"/>
        </w:rPr>
        <w:t>.</w:t>
      </w:r>
    </w:p>
  </w:footnote>
  <w:footnote w:id="1163">
    <w:p w14:paraId="16F64990" w14:textId="77777777" w:rsidR="00BA517C" w:rsidRPr="00AA5547" w:rsidRDefault="00BA517C" w:rsidP="00BA517C">
      <w:pPr>
        <w:spacing w:after="0" w:line="240" w:lineRule="auto"/>
        <w:rPr>
          <w:rFonts w:cs="Calibri"/>
          <w:sz w:val="18"/>
          <w:szCs w:val="18"/>
        </w:rPr>
      </w:pPr>
      <w:r w:rsidRPr="00AA5547">
        <w:rPr>
          <w:rStyle w:val="FootnoteReference"/>
          <w:rFonts w:cs="Calibri"/>
          <w:sz w:val="18"/>
          <w:szCs w:val="18"/>
        </w:rPr>
        <w:footnoteRef/>
      </w:r>
      <w:r w:rsidRPr="00AA5547">
        <w:rPr>
          <w:rFonts w:cs="Calibri"/>
          <w:sz w:val="18"/>
          <w:szCs w:val="18"/>
        </w:rPr>
        <w:t xml:space="preserve"> L. Thornthwaite and P. Sheldon, ‘Employer and employer association experiences of enterprise bargaining: being careful what you wish for?’, (2012) 22(3) </w:t>
      </w:r>
      <w:r w:rsidRPr="00AA5547">
        <w:rPr>
          <w:rFonts w:cs="Calibri"/>
          <w:i/>
          <w:iCs/>
          <w:sz w:val="18"/>
          <w:szCs w:val="18"/>
        </w:rPr>
        <w:t>Labour &amp; Industry: a journal of the social and economic relations of work</w:t>
      </w:r>
      <w:r w:rsidRPr="00AA5547">
        <w:rPr>
          <w:rFonts w:cs="Calibri"/>
          <w:sz w:val="18"/>
          <w:szCs w:val="18"/>
        </w:rPr>
        <w:t xml:space="preserve"> 255.</w:t>
      </w:r>
    </w:p>
  </w:footnote>
  <w:footnote w:id="1164">
    <w:p w14:paraId="081B3C85" w14:textId="77777777" w:rsidR="003A5F70" w:rsidRPr="00A03B67" w:rsidRDefault="003A5F70" w:rsidP="003A5F70">
      <w:pPr>
        <w:pStyle w:val="FootnoteText"/>
        <w:rPr>
          <w:sz w:val="20"/>
          <w:lang w:val="en-US"/>
        </w:rPr>
      </w:pPr>
      <w:r w:rsidRPr="00AA5547">
        <w:rPr>
          <w:rStyle w:val="FootnoteReference"/>
          <w:rFonts w:cs="Calibri"/>
          <w:szCs w:val="18"/>
        </w:rPr>
        <w:footnoteRef/>
      </w:r>
      <w:r w:rsidRPr="00AA5547">
        <w:rPr>
          <w:rFonts w:cs="Calibri"/>
          <w:szCs w:val="18"/>
        </w:rPr>
        <w:t xml:space="preserve"> M. Bray, J. Macneil and A. Stewart, </w:t>
      </w:r>
      <w:r w:rsidRPr="00AA5547">
        <w:rPr>
          <w:rFonts w:cs="Calibri"/>
          <w:i/>
          <w:iCs/>
          <w:szCs w:val="18"/>
        </w:rPr>
        <w:t>Cooperation at work: How Tribunals Can Help Transform Workplaces</w:t>
      </w:r>
      <w:r w:rsidRPr="00AA5547">
        <w:rPr>
          <w:rFonts w:cs="Calibri"/>
          <w:szCs w:val="18"/>
        </w:rPr>
        <w:t>, (2017) Federation press, Sydney.</w:t>
      </w:r>
    </w:p>
  </w:footnote>
  <w:footnote w:id="1165">
    <w:p w14:paraId="17ED5F09" w14:textId="0EC798C8" w:rsidR="003A5F70" w:rsidRPr="00A03B67" w:rsidRDefault="003A5F70" w:rsidP="003A5F70">
      <w:pPr>
        <w:pStyle w:val="FootnoteText"/>
        <w:rPr>
          <w:lang w:val="en-US"/>
        </w:rPr>
      </w:pPr>
      <w:r w:rsidRPr="00A03B67">
        <w:rPr>
          <w:rStyle w:val="FootnoteReference"/>
        </w:rPr>
        <w:footnoteRef/>
      </w:r>
      <w:r w:rsidRPr="00A03B67">
        <w:t xml:space="preserve"> </w:t>
      </w:r>
      <w:r w:rsidR="00785B0E" w:rsidRPr="00A03B67">
        <w:t>D.Grimshaw, B.Brandl, F.Bertranou and S.Gontero, ‘Tra</w:t>
      </w:r>
      <w:r w:rsidR="00025B31">
        <w:t>c</w:t>
      </w:r>
      <w:r w:rsidR="00785B0E" w:rsidRPr="00A03B67">
        <w:t>ing the potential benefits and complex contingencies of multilevel collective bargaining’, (2024) 163(4) International Labour Review, 660-663.</w:t>
      </w:r>
    </w:p>
  </w:footnote>
  <w:footnote w:id="1166">
    <w:p w14:paraId="4B0C1398" w14:textId="25D1E7CA" w:rsidR="001C3EC7" w:rsidRPr="00A03B67" w:rsidRDefault="001C3EC7" w:rsidP="001C3EC7">
      <w:pPr>
        <w:pStyle w:val="FootnoteText"/>
      </w:pPr>
      <w:r w:rsidRPr="00A03B67">
        <w:rPr>
          <w:rStyle w:val="FootnoteReference"/>
        </w:rPr>
        <w:footnoteRef/>
      </w:r>
      <w:r w:rsidRPr="00A03B67">
        <w:t xml:space="preserve"> </w:t>
      </w:r>
      <w:r w:rsidR="00925DEF" w:rsidRPr="00A03B67">
        <w:t>Rob Harris, 'Albanese promises to increase aged care funding, lift sector wages', The Sydney Morning Herald, (online, 30 January 2022), &lt;https://www.smh.com.au/politics/federal/albanese-promises-to-increase-aged-care-funding-lift-sector-wages-20220130-p59sbm.html&gt;.</w:t>
      </w:r>
    </w:p>
  </w:footnote>
  <w:footnote w:id="1167">
    <w:p w14:paraId="2958983E" w14:textId="51C0BEFC" w:rsidR="001C3EC7" w:rsidRPr="00A03B67" w:rsidRDefault="001C3EC7" w:rsidP="001C3EC7">
      <w:pPr>
        <w:pStyle w:val="FootnoteText"/>
      </w:pPr>
      <w:r w:rsidRPr="00A03B67">
        <w:rPr>
          <w:rStyle w:val="FootnoteReference"/>
        </w:rPr>
        <w:footnoteRef/>
      </w:r>
      <w:r w:rsidRPr="00A03B67">
        <w:t xml:space="preserve">  [2022] FWCFB 200 </w:t>
      </w:r>
      <w:r w:rsidR="00925DEF" w:rsidRPr="00A03B67">
        <w:t>(</w:t>
      </w:r>
      <w:r w:rsidRPr="00A03B67">
        <w:t>4 Nov 2022</w:t>
      </w:r>
      <w:r w:rsidR="00925DEF" w:rsidRPr="00A03B67">
        <w:t>)</w:t>
      </w:r>
      <w:r w:rsidRPr="00A03B67">
        <w:t xml:space="preserve"> [42]</w:t>
      </w:r>
      <w:r w:rsidR="00925DEF" w:rsidRPr="00A03B67">
        <w:t>.</w:t>
      </w:r>
    </w:p>
  </w:footnote>
  <w:footnote w:id="1168">
    <w:p w14:paraId="46D55D30" w14:textId="28594EE8" w:rsidR="001C3EC7" w:rsidRPr="00A03B67" w:rsidRDefault="001C3EC7" w:rsidP="001C3EC7">
      <w:pPr>
        <w:pStyle w:val="FootnoteText"/>
      </w:pPr>
      <w:r w:rsidRPr="00A03B67">
        <w:rPr>
          <w:rStyle w:val="FootnoteReference"/>
        </w:rPr>
        <w:footnoteRef/>
      </w:r>
      <w:r w:rsidRPr="00A03B67">
        <w:t xml:space="preserve"> </w:t>
      </w:r>
      <w:r w:rsidR="00D02A9B" w:rsidRPr="00A03B67">
        <w:t>See: &lt;https://www.fwc.gov.au/documents/consultation/presidents-statement-segregation-gender-2022-11-04.pdf&gt;</w:t>
      </w:r>
      <w:r w:rsidRPr="00A03B67">
        <w:t xml:space="preserve"> [6]</w:t>
      </w:r>
      <w:r w:rsidR="00D02A9B" w:rsidRPr="00A03B67">
        <w:t>.</w:t>
      </w:r>
    </w:p>
  </w:footnote>
  <w:footnote w:id="1169">
    <w:p w14:paraId="43478848" w14:textId="601589EC" w:rsidR="00B02E78" w:rsidRPr="00A03B67" w:rsidRDefault="00B02E78" w:rsidP="00B02E78">
      <w:pPr>
        <w:pStyle w:val="FootnoteText"/>
      </w:pPr>
      <w:r w:rsidRPr="00A03B67">
        <w:rPr>
          <w:rStyle w:val="FootnoteReference"/>
        </w:rPr>
        <w:footnoteRef/>
      </w:r>
      <w:r w:rsidRPr="00A03B67">
        <w:t xml:space="preserve"> See: &lt;https://www.fwc.gov.au/documents/consultation/presidents-statement-segregation-gender-2022-11-04.pdf&gt; [16]</w:t>
      </w:r>
    </w:p>
  </w:footnote>
  <w:footnote w:id="1170">
    <w:p w14:paraId="0264CC0A" w14:textId="4FEE00DF" w:rsidR="001C3EC7" w:rsidRPr="00A03B67" w:rsidRDefault="001C3EC7" w:rsidP="001C3EC7">
      <w:pPr>
        <w:pStyle w:val="FootnoteText"/>
      </w:pPr>
      <w:r w:rsidRPr="00A03B67">
        <w:rPr>
          <w:rStyle w:val="FootnoteReference"/>
        </w:rPr>
        <w:footnoteRef/>
      </w:r>
      <w:r w:rsidRPr="00A03B67">
        <w:t xml:space="preserve"> The Albanese Government committed around $8bn over </w:t>
      </w:r>
      <w:r w:rsidR="00A14864" w:rsidRPr="00A03B67">
        <w:t xml:space="preserve">4 </w:t>
      </w:r>
      <w:r w:rsidRPr="00A03B67">
        <w:t xml:space="preserve">years to fund the 15% interim wage increase (ACTU submission, 22). </w:t>
      </w:r>
    </w:p>
  </w:footnote>
  <w:footnote w:id="1171">
    <w:p w14:paraId="096F23A7" w14:textId="3E7BF489" w:rsidR="001C3EC7" w:rsidRPr="00A03B67" w:rsidRDefault="001C3EC7" w:rsidP="001C3EC7">
      <w:pPr>
        <w:pStyle w:val="FootnoteText"/>
      </w:pPr>
      <w:r w:rsidRPr="00A03B67">
        <w:rPr>
          <w:rStyle w:val="FootnoteReference"/>
        </w:rPr>
        <w:footnoteRef/>
      </w:r>
      <w:r w:rsidRPr="00A03B67">
        <w:t xml:space="preserve"> [2024] FWCFB 150</w:t>
      </w:r>
      <w:r w:rsidR="00925DEF" w:rsidRPr="00A03B67">
        <w:t>,</w:t>
      </w:r>
      <w:r w:rsidRPr="00A03B67">
        <w:t xml:space="preserve"> [197], [198], [200]</w:t>
      </w:r>
      <w:r w:rsidR="00925DEF" w:rsidRPr="00A03B67">
        <w:t>,</w:t>
      </w:r>
      <w:r w:rsidRPr="00A03B67">
        <w:t xml:space="preserve"> [277].</w:t>
      </w:r>
    </w:p>
  </w:footnote>
  <w:footnote w:id="1172">
    <w:p w14:paraId="07B779B0" w14:textId="5C8BB28A" w:rsidR="001C3EC7" w:rsidRPr="00A03B67" w:rsidRDefault="001C3EC7" w:rsidP="001C3EC7">
      <w:pPr>
        <w:pStyle w:val="FootnoteText"/>
      </w:pPr>
      <w:r w:rsidRPr="00A03B67">
        <w:rPr>
          <w:rStyle w:val="FootnoteReference"/>
        </w:rPr>
        <w:footnoteRef/>
      </w:r>
      <w:r w:rsidRPr="00A03B67">
        <w:t xml:space="preserve"> </w:t>
      </w:r>
      <w:r w:rsidR="00F9128D" w:rsidRPr="00A03B67">
        <w:rPr>
          <w:i/>
          <w:iCs/>
        </w:rPr>
        <w:t>Work value case – Aged care industry</w:t>
      </w:r>
      <w:r w:rsidR="00F9128D" w:rsidRPr="00A03B67">
        <w:t xml:space="preserve"> [2024] FWCFB 367 [4].</w:t>
      </w:r>
    </w:p>
  </w:footnote>
  <w:footnote w:id="1173">
    <w:p w14:paraId="24C41B5F" w14:textId="2B84CDC6" w:rsidR="001C3EC7" w:rsidRPr="00A03B67" w:rsidRDefault="001C3EC7" w:rsidP="001C3EC7">
      <w:pPr>
        <w:pStyle w:val="FootnoteText"/>
      </w:pPr>
      <w:r w:rsidRPr="00A03B67">
        <w:rPr>
          <w:rStyle w:val="FootnoteReference"/>
        </w:rPr>
        <w:footnoteRef/>
      </w:r>
      <w:r w:rsidRPr="00A03B67">
        <w:t xml:space="preserve"> </w:t>
      </w:r>
      <w:r w:rsidR="00F9128D" w:rsidRPr="00A03B67">
        <w:rPr>
          <w:i/>
          <w:iCs/>
        </w:rPr>
        <w:t>Work value case – Aged care industry</w:t>
      </w:r>
      <w:r w:rsidR="00F9128D" w:rsidRPr="00A03B67">
        <w:t xml:space="preserve"> [2024] FWCFB 367 [4]; </w:t>
      </w:r>
      <w:r w:rsidR="00F9128D" w:rsidRPr="00A03B67">
        <w:rPr>
          <w:i/>
          <w:iCs/>
        </w:rPr>
        <w:t>Work value case – Nurses and midwives</w:t>
      </w:r>
      <w:r w:rsidR="00F9128D" w:rsidRPr="00A03B67">
        <w:t xml:space="preserve"> [2024] FWCFB 405 [1].</w:t>
      </w:r>
    </w:p>
  </w:footnote>
  <w:footnote w:id="1174">
    <w:p w14:paraId="125ADB77" w14:textId="77777777" w:rsidR="001C3EC7" w:rsidRPr="00A03B67" w:rsidRDefault="001C3EC7" w:rsidP="001C3EC7">
      <w:pPr>
        <w:pStyle w:val="FootnoteText"/>
      </w:pPr>
      <w:r w:rsidRPr="00A03B67">
        <w:rPr>
          <w:rStyle w:val="FootnoteReference"/>
        </w:rPr>
        <w:footnoteRef/>
      </w:r>
      <w:r w:rsidRPr="00A03B67">
        <w:t xml:space="preserve"> Kelvin Yuen and Josh Tomlinson, </w:t>
      </w:r>
      <w:r w:rsidRPr="00A03B67">
        <w:rPr>
          <w:i/>
          <w:iCs/>
        </w:rPr>
        <w:t>A Profile of Employee Characteristics Across Modern Awards</w:t>
      </w:r>
      <w:r w:rsidRPr="00A03B67">
        <w:t xml:space="preserve"> (Fair Work Commission Research Report No. 1/2023, March, 2023). Chart 3.3.</w:t>
      </w:r>
    </w:p>
  </w:footnote>
  <w:footnote w:id="1175">
    <w:p w14:paraId="42A21070" w14:textId="2F553F51" w:rsidR="001C3EC7" w:rsidRPr="00A03B67" w:rsidRDefault="001C3EC7" w:rsidP="001C3EC7">
      <w:pPr>
        <w:pStyle w:val="FootnoteText"/>
      </w:pPr>
      <w:r w:rsidRPr="00A03B67">
        <w:rPr>
          <w:rStyle w:val="FootnoteReference"/>
        </w:rPr>
        <w:footnoteRef/>
      </w:r>
      <w:r w:rsidRPr="00A03B67">
        <w:t xml:space="preserve"> </w:t>
      </w:r>
      <w:r w:rsidR="00F9128D" w:rsidRPr="00A03B67">
        <w:t>FWC, Stage 2 report Gender pay equity research Annual Wage Review 2023–24 (4 April 2024), [6].</w:t>
      </w:r>
    </w:p>
  </w:footnote>
  <w:footnote w:id="1176">
    <w:p w14:paraId="5E5D78F8" w14:textId="76FFF7AA" w:rsidR="001C3EC7" w:rsidRPr="00A03B67" w:rsidRDefault="001C3EC7" w:rsidP="001C3EC7">
      <w:pPr>
        <w:pStyle w:val="FootnoteText"/>
      </w:pPr>
      <w:r w:rsidRPr="00A03B67">
        <w:rPr>
          <w:rStyle w:val="FootnoteReference"/>
        </w:rPr>
        <w:footnoteRef/>
      </w:r>
      <w:r w:rsidRPr="00A03B67">
        <w:t xml:space="preserve"> Natasha Cortis, Yuvisthi Naidoo, Melissa Wong and Bruce Bradbury, ‘Gender-based occupational segregation: a national data profile’ (Final report, UNSW Social Policy Research Centre, 6 November 2023) 6.</w:t>
      </w:r>
    </w:p>
  </w:footnote>
  <w:footnote w:id="1177">
    <w:p w14:paraId="42F6AB98" w14:textId="0D2FA2D1" w:rsidR="001C3EC7" w:rsidRPr="00A03B67" w:rsidRDefault="001C3EC7" w:rsidP="001C3EC7">
      <w:pPr>
        <w:pStyle w:val="FootnoteText"/>
      </w:pPr>
      <w:r w:rsidRPr="00A03B67">
        <w:rPr>
          <w:rStyle w:val="FootnoteReference"/>
        </w:rPr>
        <w:footnoteRef/>
      </w:r>
      <w:r w:rsidRPr="00A03B67">
        <w:t xml:space="preserve"> </w:t>
      </w:r>
      <w:r w:rsidR="00C74021" w:rsidRPr="00A03B67">
        <w:t>T</w:t>
      </w:r>
      <w:r w:rsidRPr="00A03B67">
        <w:t xml:space="preserve">he </w:t>
      </w:r>
      <w:r w:rsidR="00C74021" w:rsidRPr="00A03B67">
        <w:t xml:space="preserve">Stage 2 </w:t>
      </w:r>
      <w:r w:rsidRPr="00A03B67">
        <w:t xml:space="preserve">report </w:t>
      </w:r>
      <w:r w:rsidR="00C74021" w:rsidRPr="00A03B67">
        <w:t xml:space="preserve">includes </w:t>
      </w:r>
      <w:r w:rsidRPr="00A03B67">
        <w:t>a very useful timeline of key wage fixation decisions (in relation to pay equity) and work value decisions and inquiries in the federal industrial relations system.</w:t>
      </w:r>
    </w:p>
  </w:footnote>
  <w:footnote w:id="1178">
    <w:p w14:paraId="71EC31EE" w14:textId="77777777" w:rsidR="0055760F" w:rsidRPr="00A03B67" w:rsidRDefault="0055760F" w:rsidP="0055760F">
      <w:pPr>
        <w:pStyle w:val="FootnoteText"/>
      </w:pPr>
      <w:r w:rsidRPr="00A03B67">
        <w:rPr>
          <w:rStyle w:val="FootnoteReference"/>
        </w:rPr>
        <w:footnoteRef/>
      </w:r>
      <w:r w:rsidRPr="00A03B67">
        <w:t xml:space="preserve"> The first step in the Work and Care priority topic was the release of a discussion paper: Fair Work Commission, </w:t>
      </w:r>
      <w:r w:rsidRPr="00A03B67">
        <w:rPr>
          <w:i/>
          <w:iCs/>
        </w:rPr>
        <w:t>Discussion Paper: Work and Care</w:t>
      </w:r>
      <w:r w:rsidRPr="00A03B67">
        <w:t xml:space="preserve"> (Discussion Paper 29, January 2024) &lt;https://www.fwc.gov.au/documents/sites/award-review-2023-24/discussion-paper-work-and-care-290123.pdf&gt;. The next step involved the release of a literature review on work and care: M Smith and S Charlesworth, </w:t>
      </w:r>
      <w:r w:rsidRPr="00A03B67">
        <w:rPr>
          <w:i/>
          <w:iCs/>
        </w:rPr>
        <w:t>Literature Review for the Modern Awards Review</w:t>
      </w:r>
      <w:r w:rsidRPr="00A03B67">
        <w:t xml:space="preserve"> (March 2024) &lt;https://www.fwc.gov.au/documents/sites/award-review-2023-24/am2023-21-literature-review-work-care-2024-03-08.pdf&gt;. The FWC also convened a consultation conference and undertook survey of employers aimed at gathering information about the potential to vary modern award provisions to increase flexibility for employees balancing work and care responsibilities. The final report of the Modern Awards Review 2023</w:t>
      </w:r>
      <w:r w:rsidRPr="00A03B67">
        <w:rPr>
          <w:rFonts w:ascii="Symbol" w:eastAsia="Symbol" w:hAnsi="Symbol" w:cs="Symbol"/>
        </w:rPr>
        <w:t>-</w:t>
      </w:r>
      <w:r w:rsidRPr="00A03B67">
        <w:t xml:space="preserve">24 was released 18 July 2024: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&lt;https://www.fwc.gov.au/documents/sites/award-review-2023-24/am202321-review-report-180724.pdf&gt;.</w:t>
      </w:r>
    </w:p>
  </w:footnote>
  <w:footnote w:id="1179">
    <w:p w14:paraId="2E3A0478" w14:textId="0C2160AF" w:rsidR="00BC319C" w:rsidRPr="00A03B67" w:rsidRDefault="00BC319C">
      <w:pPr>
        <w:pStyle w:val="FootnoteText"/>
      </w:pPr>
      <w:r w:rsidRPr="00A03B67">
        <w:rPr>
          <w:rStyle w:val="FootnoteReference"/>
        </w:rPr>
        <w:footnoteRef/>
      </w:r>
      <w:r w:rsidRPr="00A03B67">
        <w:t xml:space="preserve"> </w:t>
      </w:r>
      <w:r w:rsidR="009F5BA5" w:rsidRPr="00A03B67">
        <w:t>Letter from Anthony Burke to Justice Adam Hatcher, 12 September 2023 &lt;https://www.fwc.gov.au/documents/consultation/letter-from-minister-2023-09-12.pdf&gt;.</w:t>
      </w:r>
    </w:p>
  </w:footnote>
  <w:footnote w:id="1180">
    <w:p w14:paraId="3A1B79A6" w14:textId="3D5F1FF0" w:rsidR="001C3EC7" w:rsidRPr="00A03B67" w:rsidRDefault="001C3EC7" w:rsidP="001C3EC7">
      <w:pPr>
        <w:pStyle w:val="FootnoteText"/>
      </w:pPr>
      <w:r w:rsidRPr="00A03B67">
        <w:rPr>
          <w:rStyle w:val="FootnoteReference"/>
        </w:rPr>
        <w:footnoteRef/>
      </w:r>
      <w:r w:rsidRPr="00A03B67">
        <w:t xml:space="preserve"> </w:t>
      </w:r>
      <w:r w:rsidR="009F5BA5" w:rsidRPr="00A03B67">
        <w:t xml:space="preserve">Fair Work Commission, </w:t>
      </w:r>
      <w:r w:rsidR="009F5BA5" w:rsidRPr="00A03B67">
        <w:rPr>
          <w:i/>
          <w:iCs/>
        </w:rPr>
        <w:t>Modern Awards Review 2023</w:t>
      </w:r>
      <w:r w:rsidR="009F5BA5" w:rsidRPr="00A03B67">
        <w:rPr>
          <w:rFonts w:ascii="Symbol" w:eastAsia="Symbol" w:hAnsi="Symbol" w:cs="Symbol"/>
          <w:i/>
          <w:iCs/>
        </w:rPr>
        <w:t>-</w:t>
      </w:r>
      <w:r w:rsidR="009F5BA5" w:rsidRPr="00A03B67">
        <w:rPr>
          <w:i/>
          <w:iCs/>
        </w:rPr>
        <w:t>24</w:t>
      </w:r>
      <w:r w:rsidR="009F5BA5" w:rsidRPr="00A03B67">
        <w:t xml:space="preserve"> (Report, 2024).</w:t>
      </w:r>
    </w:p>
  </w:footnote>
  <w:footnote w:id="1181">
    <w:p w14:paraId="3D1C74B7" w14:textId="636BE5E3" w:rsidR="001C3EC7" w:rsidRPr="00A03B67" w:rsidRDefault="001C3EC7" w:rsidP="001C3EC7">
      <w:pPr>
        <w:pStyle w:val="FootnoteText"/>
      </w:pPr>
      <w:r w:rsidRPr="00A03B67">
        <w:rPr>
          <w:rStyle w:val="FootnoteReference"/>
        </w:rPr>
        <w:footnoteRef/>
      </w:r>
      <w:r w:rsidRPr="00A03B67">
        <w:t xml:space="preserve"> </w:t>
      </w:r>
      <w:r w:rsidR="009F5BA5" w:rsidRPr="00A03B67">
        <w:t xml:space="preserve">Fair Work Commission, </w:t>
      </w:r>
      <w:r w:rsidR="009F5BA5" w:rsidRPr="00A03B67">
        <w:rPr>
          <w:i/>
          <w:iCs/>
        </w:rPr>
        <w:t>Modern Awards Review 2023</w:t>
      </w:r>
      <w:r w:rsidR="009F5BA5" w:rsidRPr="00A03B67">
        <w:rPr>
          <w:rFonts w:ascii="Symbol" w:eastAsia="Symbol" w:hAnsi="Symbol" w:cs="Symbol"/>
          <w:i/>
          <w:iCs/>
        </w:rPr>
        <w:t>-</w:t>
      </w:r>
      <w:r w:rsidR="009F5BA5" w:rsidRPr="00A03B67">
        <w:rPr>
          <w:i/>
          <w:iCs/>
        </w:rPr>
        <w:t>24</w:t>
      </w:r>
      <w:r w:rsidR="009F5BA5" w:rsidRPr="00A03B67">
        <w:t xml:space="preserve"> (Report, 2024), [123].</w:t>
      </w:r>
    </w:p>
  </w:footnote>
  <w:footnote w:id="1182">
    <w:p w14:paraId="55F3DA21" w14:textId="0F190ADF" w:rsidR="0053143A" w:rsidRPr="00A03B67" w:rsidRDefault="0053143A">
      <w:pPr>
        <w:pStyle w:val="FootnoteText"/>
      </w:pPr>
      <w:r w:rsidRPr="00A03B67">
        <w:rPr>
          <w:rStyle w:val="FootnoteReference"/>
        </w:rPr>
        <w:footnoteRef/>
      </w:r>
      <w:r w:rsidRPr="00A03B67">
        <w:t xml:space="preserve"> </w:t>
      </w:r>
      <w:r w:rsidRPr="00A03B67">
        <w:rPr>
          <w:i/>
          <w:iCs/>
        </w:rPr>
        <w:t>Fair Work Act 2009 (Cth)</w:t>
      </w:r>
      <w:r w:rsidRPr="00A03B67">
        <w:t xml:space="preserve"> s 61.</w:t>
      </w:r>
    </w:p>
  </w:footnote>
  <w:footnote w:id="1183">
    <w:p w14:paraId="07D7C85B" w14:textId="7ED67C04" w:rsidR="00A27934" w:rsidRPr="00A03B67" w:rsidRDefault="00A27934">
      <w:pPr>
        <w:pStyle w:val="FootnoteText"/>
      </w:pPr>
      <w:r w:rsidRPr="00A03B67">
        <w:rPr>
          <w:rStyle w:val="FootnoteReference"/>
        </w:rPr>
        <w:footnoteRef/>
      </w:r>
      <w:r w:rsidRPr="00A03B67">
        <w:t xml:space="preserve"> </w:t>
      </w:r>
      <w:r w:rsidRPr="00A03B67">
        <w:rPr>
          <w:i/>
          <w:iCs/>
        </w:rPr>
        <w:t xml:space="preserve">Fair Work Act 2009 (Cth) </w:t>
      </w:r>
      <w:r w:rsidRPr="00A03B67">
        <w:t>s 61(2).</w:t>
      </w:r>
    </w:p>
  </w:footnote>
  <w:footnote w:id="1184">
    <w:p w14:paraId="00D356AB" w14:textId="597152F6" w:rsidR="00A27934" w:rsidRPr="00A03B67" w:rsidRDefault="00A27934">
      <w:pPr>
        <w:pStyle w:val="FootnoteText"/>
      </w:pPr>
      <w:r w:rsidRPr="00A03B67">
        <w:rPr>
          <w:rStyle w:val="FootnoteReference"/>
        </w:rPr>
        <w:footnoteRef/>
      </w:r>
      <w:r w:rsidRPr="00A03B67">
        <w:t xml:space="preserve"> </w:t>
      </w:r>
      <w:r w:rsidRPr="00A03B67">
        <w:rPr>
          <w:i/>
          <w:iCs/>
        </w:rPr>
        <w:t xml:space="preserve">Fair Work Act 2009 (Cth) </w:t>
      </w:r>
      <w:r w:rsidRPr="00A03B67">
        <w:t>s 61(1).</w:t>
      </w:r>
    </w:p>
  </w:footnote>
  <w:footnote w:id="1185">
    <w:p w14:paraId="14D99084" w14:textId="102FA264" w:rsidR="00A27934" w:rsidRPr="00A03B67" w:rsidRDefault="00A27934">
      <w:pPr>
        <w:pStyle w:val="FootnoteText"/>
      </w:pPr>
      <w:r w:rsidRPr="00A03B67">
        <w:rPr>
          <w:rStyle w:val="FootnoteReference"/>
        </w:rPr>
        <w:footnoteRef/>
      </w:r>
      <w:r w:rsidRPr="00A03B67">
        <w:t xml:space="preserve"> </w:t>
      </w:r>
      <w:r w:rsidRPr="00A03B67">
        <w:rPr>
          <w:i/>
          <w:iCs/>
        </w:rPr>
        <w:t xml:space="preserve">Fair Work Act 2009 (Cth) </w:t>
      </w:r>
      <w:r w:rsidRPr="00A03B67">
        <w:t>s 576(2)(aa).</w:t>
      </w:r>
    </w:p>
  </w:footnote>
  <w:footnote w:id="1186">
    <w:p w14:paraId="1873C650" w14:textId="1CD01D98" w:rsidR="00A27934" w:rsidRDefault="00A27934">
      <w:pPr>
        <w:pStyle w:val="FootnoteText"/>
      </w:pPr>
      <w:r w:rsidRPr="00A03B67">
        <w:rPr>
          <w:rStyle w:val="FootnoteReference"/>
        </w:rPr>
        <w:footnoteRef/>
      </w:r>
      <w:r w:rsidRPr="00A03B67">
        <w:t xml:space="preserve"> </w:t>
      </w:r>
      <w:r w:rsidR="00AD3CA5" w:rsidRPr="00A03B67">
        <w:rPr>
          <w:i/>
          <w:iCs/>
        </w:rPr>
        <w:t xml:space="preserve">Fair Work Act 2009 (Cth) </w:t>
      </w:r>
      <w:r w:rsidR="00AD3CA5" w:rsidRPr="00A03B67">
        <w:t>s 682; see also &lt;https://www.fairwork.gov.au/sites/default/files/migration/723/About-the-fair-work-ombudsman.pdf&gt;.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508B78"/>
    <w:lvl w:ilvl="0">
      <w:start w:val="1"/>
      <w:numFmt w:val="bullet"/>
      <w:pStyle w:val="ListBullet"/>
      <w:lvlText w:val=""/>
      <w:lvlJc w:val="left"/>
      <w:pPr>
        <w:tabs>
          <w:tab w:val="num" w:pos="644"/>
        </w:tabs>
        <w:ind w:left="644" w:hanging="360"/>
      </w:pPr>
      <w:rPr>
        <w:rFonts w:ascii="Symbol" w:hAnsi="Symbol" w:hint="default"/>
      </w:rPr>
    </w:lvl>
  </w:abstractNum>
  <w:abstractNum w:abstractNumId="1" w15:restartNumberingAfterBreak="0">
    <w:nsid w:val="035A492C"/>
    <w:multiLevelType w:val="hybridMultilevel"/>
    <w:tmpl w:val="8C705136"/>
    <w:lvl w:ilvl="0" w:tplc="5A60756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F7568B"/>
    <w:multiLevelType w:val="hybridMultilevel"/>
    <w:tmpl w:val="56FA42F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EE34E10"/>
    <w:multiLevelType w:val="hybridMultilevel"/>
    <w:tmpl w:val="FBDE1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0F667C33"/>
    <w:multiLevelType w:val="hybridMultilevel"/>
    <w:tmpl w:val="E68C3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BB041C"/>
    <w:multiLevelType w:val="hybridMultilevel"/>
    <w:tmpl w:val="7916D53E"/>
    <w:lvl w:ilvl="0" w:tplc="D742891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8FF1AB7"/>
    <w:multiLevelType w:val="multilevel"/>
    <w:tmpl w:val="F8AEF87C"/>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B04208D"/>
    <w:multiLevelType w:val="hybridMultilevel"/>
    <w:tmpl w:val="0C58C9DC"/>
    <w:lvl w:ilvl="0" w:tplc="0C090001">
      <w:start w:val="1"/>
      <w:numFmt w:val="bullet"/>
      <w:lvlText w:val=""/>
      <w:lvlJc w:val="left"/>
      <w:pPr>
        <w:ind w:left="1434" w:hanging="360"/>
      </w:pPr>
      <w:rPr>
        <w:rFonts w:ascii="Symbol" w:hAnsi="Symbol" w:hint="default"/>
      </w:rPr>
    </w:lvl>
    <w:lvl w:ilvl="1" w:tplc="0C090003">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0" w15:restartNumberingAfterBreak="0">
    <w:nsid w:val="1CA7741E"/>
    <w:multiLevelType w:val="hybridMultilevel"/>
    <w:tmpl w:val="FE885176"/>
    <w:lvl w:ilvl="0" w:tplc="853E3B5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67E5A05"/>
    <w:multiLevelType w:val="hybridMultilevel"/>
    <w:tmpl w:val="8952A3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27593CC3"/>
    <w:multiLevelType w:val="hybridMultilevel"/>
    <w:tmpl w:val="4F328C5C"/>
    <w:lvl w:ilvl="0" w:tplc="573E60EA">
      <w:start w:val="6"/>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E646829"/>
    <w:multiLevelType w:val="multilevel"/>
    <w:tmpl w:val="AC2C978C"/>
    <w:name w:val="EDU - List Number"/>
    <w:lvl w:ilvl="0">
      <w:start w:val="1"/>
      <w:numFmt w:val="decimal"/>
      <w:pStyle w:val="ListNumber"/>
      <w:lvlText w:val="%1."/>
      <w:lvlJc w:val="left"/>
      <w:pPr>
        <w:ind w:left="397" w:hanging="397"/>
      </w:p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844980"/>
    <w:multiLevelType w:val="hybridMultilevel"/>
    <w:tmpl w:val="6A9A2074"/>
    <w:lvl w:ilvl="0" w:tplc="FDD2FCA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EA07868"/>
    <w:multiLevelType w:val="hybridMultilevel"/>
    <w:tmpl w:val="14F8E61C"/>
    <w:styleLink w:val="DefaultBullets"/>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887A1E"/>
    <w:multiLevelType w:val="hybridMultilevel"/>
    <w:tmpl w:val="5F941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8D6CF0"/>
    <w:multiLevelType w:val="hybridMultilevel"/>
    <w:tmpl w:val="1084D390"/>
    <w:lvl w:ilvl="0" w:tplc="0C090003">
      <w:start w:val="1"/>
      <w:numFmt w:val="bullet"/>
      <w:lvlText w:val="o"/>
      <w:lvlJc w:val="left"/>
      <w:pPr>
        <w:ind w:left="1286" w:hanging="360"/>
      </w:pPr>
      <w:rPr>
        <w:rFonts w:ascii="Courier New" w:hAnsi="Courier New" w:cs="Courier New" w:hint="default"/>
      </w:rPr>
    </w:lvl>
    <w:lvl w:ilvl="1" w:tplc="0C090003" w:tentative="1">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18" w15:restartNumberingAfterBreak="0">
    <w:nsid w:val="36B61800"/>
    <w:multiLevelType w:val="multilevel"/>
    <w:tmpl w:val="CEB6A3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D01EDC"/>
    <w:multiLevelType w:val="hybridMultilevel"/>
    <w:tmpl w:val="77544B06"/>
    <w:lvl w:ilvl="0" w:tplc="D938EC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3A1C711D"/>
    <w:multiLevelType w:val="hybridMultilevel"/>
    <w:tmpl w:val="AA18C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A992D04"/>
    <w:multiLevelType w:val="hybridMultilevel"/>
    <w:tmpl w:val="A970A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5A6D8C"/>
    <w:multiLevelType w:val="hybridMultilevel"/>
    <w:tmpl w:val="DC508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D51299"/>
    <w:multiLevelType w:val="hybridMultilevel"/>
    <w:tmpl w:val="CF58F2E2"/>
    <w:lvl w:ilvl="0" w:tplc="FAECCEB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15:restartNumberingAfterBreak="0">
    <w:nsid w:val="45047959"/>
    <w:multiLevelType w:val="hybridMultilevel"/>
    <w:tmpl w:val="3ABA7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8413FC"/>
    <w:multiLevelType w:val="hybridMultilevel"/>
    <w:tmpl w:val="9ADA3616"/>
    <w:lvl w:ilvl="0" w:tplc="1938D4DC">
      <w:start w:val="1"/>
      <w:numFmt w:val="bullet"/>
      <w:pStyle w:val="3Dotpoint"/>
      <w:lvlText w:val=""/>
      <w:lvlJc w:val="left"/>
      <w:pPr>
        <w:ind w:left="360" w:hanging="360"/>
      </w:pPr>
      <w:rPr>
        <w:rFonts w:ascii="Symbol" w:hAnsi="Symbol" w:hint="default"/>
        <w:color w:val="auto"/>
      </w:rPr>
    </w:lvl>
    <w:lvl w:ilvl="1" w:tplc="96C0B7A2">
      <w:start w:val="1"/>
      <w:numFmt w:val="bullet"/>
      <w:pStyle w:val="4Sub-dotpoint"/>
      <w:lvlText w:val="o"/>
      <w:lvlJc w:val="left"/>
      <w:pPr>
        <w:ind w:left="1080" w:hanging="360"/>
      </w:pPr>
      <w:rPr>
        <w:rFonts w:ascii="Courier New" w:hAnsi="Courier New" w:cs="Courier New" w:hint="default"/>
        <w:color w:val="auto"/>
      </w:rPr>
    </w:lvl>
    <w:lvl w:ilvl="2" w:tplc="386C0968">
      <w:start w:val="1"/>
      <w:numFmt w:val="bullet"/>
      <w:lvlText w:val=""/>
      <w:lvlJc w:val="left"/>
      <w:pPr>
        <w:ind w:left="1800" w:hanging="360"/>
      </w:pPr>
      <w:rPr>
        <w:rFonts w:ascii="Wingdings" w:hAnsi="Wingdings" w:hint="default"/>
      </w:rPr>
    </w:lvl>
    <w:lvl w:ilvl="3" w:tplc="3FEED9A8" w:tentative="1">
      <w:start w:val="1"/>
      <w:numFmt w:val="bullet"/>
      <w:lvlText w:val=""/>
      <w:lvlJc w:val="left"/>
      <w:pPr>
        <w:ind w:left="2520" w:hanging="360"/>
      </w:pPr>
      <w:rPr>
        <w:rFonts w:ascii="Symbol" w:hAnsi="Symbol" w:hint="default"/>
      </w:rPr>
    </w:lvl>
    <w:lvl w:ilvl="4" w:tplc="AECEB0D8" w:tentative="1">
      <w:start w:val="1"/>
      <w:numFmt w:val="bullet"/>
      <w:lvlText w:val="o"/>
      <w:lvlJc w:val="left"/>
      <w:pPr>
        <w:ind w:left="3240" w:hanging="360"/>
      </w:pPr>
      <w:rPr>
        <w:rFonts w:ascii="Courier New" w:hAnsi="Courier New" w:cs="Courier New" w:hint="default"/>
      </w:rPr>
    </w:lvl>
    <w:lvl w:ilvl="5" w:tplc="FD8EB40A" w:tentative="1">
      <w:start w:val="1"/>
      <w:numFmt w:val="bullet"/>
      <w:lvlText w:val=""/>
      <w:lvlJc w:val="left"/>
      <w:pPr>
        <w:ind w:left="3960" w:hanging="360"/>
      </w:pPr>
      <w:rPr>
        <w:rFonts w:ascii="Wingdings" w:hAnsi="Wingdings" w:hint="default"/>
      </w:rPr>
    </w:lvl>
    <w:lvl w:ilvl="6" w:tplc="5210B3E0" w:tentative="1">
      <w:start w:val="1"/>
      <w:numFmt w:val="bullet"/>
      <w:lvlText w:val=""/>
      <w:lvlJc w:val="left"/>
      <w:pPr>
        <w:ind w:left="4680" w:hanging="360"/>
      </w:pPr>
      <w:rPr>
        <w:rFonts w:ascii="Symbol" w:hAnsi="Symbol" w:hint="default"/>
      </w:rPr>
    </w:lvl>
    <w:lvl w:ilvl="7" w:tplc="4F920D62" w:tentative="1">
      <w:start w:val="1"/>
      <w:numFmt w:val="bullet"/>
      <w:lvlText w:val="o"/>
      <w:lvlJc w:val="left"/>
      <w:pPr>
        <w:ind w:left="5400" w:hanging="360"/>
      </w:pPr>
      <w:rPr>
        <w:rFonts w:ascii="Courier New" w:hAnsi="Courier New" w:cs="Courier New" w:hint="default"/>
      </w:rPr>
    </w:lvl>
    <w:lvl w:ilvl="8" w:tplc="D8828CBA" w:tentative="1">
      <w:start w:val="1"/>
      <w:numFmt w:val="bullet"/>
      <w:lvlText w:val=""/>
      <w:lvlJc w:val="left"/>
      <w:pPr>
        <w:ind w:left="6120" w:hanging="360"/>
      </w:pPr>
      <w:rPr>
        <w:rFonts w:ascii="Wingdings" w:hAnsi="Wingdings" w:hint="default"/>
      </w:rPr>
    </w:lvl>
  </w:abstractNum>
  <w:abstractNum w:abstractNumId="27" w15:restartNumberingAfterBreak="0">
    <w:nsid w:val="4A0318FA"/>
    <w:multiLevelType w:val="hybridMultilevel"/>
    <w:tmpl w:val="C6B46CFE"/>
    <w:lvl w:ilvl="0" w:tplc="FFFFFFFF">
      <w:start w:val="1"/>
      <w:numFmt w:val="bullet"/>
      <w:lvlText w:val="-"/>
      <w:lvlJc w:val="left"/>
      <w:pPr>
        <w:ind w:left="720" w:hanging="360"/>
      </w:pPr>
      <w:rPr>
        <w:rFonts w:ascii="Arial"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ADE7DE7"/>
    <w:multiLevelType w:val="hybridMultilevel"/>
    <w:tmpl w:val="9FB204A0"/>
    <w:lvl w:ilvl="0" w:tplc="DA36EC8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4C62122E"/>
    <w:multiLevelType w:val="hybridMultilevel"/>
    <w:tmpl w:val="EBF6EDB2"/>
    <w:lvl w:ilvl="0" w:tplc="74CE8710">
      <w:start w:val="1"/>
      <w:numFmt w:val="lowerRoman"/>
      <w:lvlText w:val="(%1)"/>
      <w:lvlJc w:val="left"/>
      <w:pPr>
        <w:ind w:left="2880" w:hanging="72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0" w15:restartNumberingAfterBreak="0">
    <w:nsid w:val="55B12E7F"/>
    <w:multiLevelType w:val="hybridMultilevel"/>
    <w:tmpl w:val="ECDEA5E6"/>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1" w15:restartNumberingAfterBreak="0">
    <w:nsid w:val="5ADA388A"/>
    <w:multiLevelType w:val="hybridMultilevel"/>
    <w:tmpl w:val="6B16B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B371FF6"/>
    <w:multiLevelType w:val="multilevel"/>
    <w:tmpl w:val="7FC07E04"/>
    <w:name w:val="EDU - Alpha List"/>
    <w:lvl w:ilvl="0">
      <w:start w:val="1"/>
      <w:numFmt w:val="lowerLetter"/>
      <w:pStyle w:val="List"/>
      <w:lvlText w:val="%1."/>
      <w:lvlJc w:val="left"/>
      <w:pPr>
        <w:tabs>
          <w:tab w:val="num" w:pos="397"/>
        </w:tabs>
        <w:ind w:left="397" w:hanging="397"/>
      </w:p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C9A44E9"/>
    <w:multiLevelType w:val="hybridMultilevel"/>
    <w:tmpl w:val="F48EB4CC"/>
    <w:lvl w:ilvl="0" w:tplc="361EA7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F8A77F8"/>
    <w:multiLevelType w:val="hybridMultilevel"/>
    <w:tmpl w:val="4FD045F2"/>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660C387F"/>
    <w:multiLevelType w:val="hybridMultilevel"/>
    <w:tmpl w:val="30463BD6"/>
    <w:lvl w:ilvl="0" w:tplc="FFFFFFFF">
      <w:start w:val="1"/>
      <w:numFmt w:val="bullet"/>
      <w:lvlText w:val="-"/>
      <w:lvlJc w:val="left"/>
      <w:pPr>
        <w:ind w:left="720" w:hanging="360"/>
      </w:pPr>
      <w:rPr>
        <w:rFonts w:ascii="Arial"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9146606"/>
    <w:multiLevelType w:val="hybridMultilevel"/>
    <w:tmpl w:val="5EDC7C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01083A"/>
    <w:multiLevelType w:val="hybridMultilevel"/>
    <w:tmpl w:val="E92A93BA"/>
    <w:lvl w:ilvl="0" w:tplc="B5B6A66E">
      <w:start w:val="1"/>
      <w:numFmt w:val="decimal"/>
      <w:pStyle w:val="SCHRnumbers"/>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8A4D83"/>
    <w:multiLevelType w:val="hybridMultilevel"/>
    <w:tmpl w:val="898E8A60"/>
    <w:styleLink w:val="DefaultBullets1"/>
    <w:lvl w:ilvl="0" w:tplc="72268A8C">
      <w:start w:val="1"/>
      <w:numFmt w:val="lowerLetter"/>
      <w:lvlText w:val="(%1)"/>
      <w:lvlJc w:val="left"/>
      <w:pPr>
        <w:ind w:left="2344" w:hanging="360"/>
      </w:pPr>
      <w:rPr>
        <w:rFonts w:hint="default"/>
      </w:rPr>
    </w:lvl>
    <w:lvl w:ilvl="1" w:tplc="0C090019" w:tentative="1">
      <w:start w:val="1"/>
      <w:numFmt w:val="lowerLetter"/>
      <w:lvlText w:val="%2."/>
      <w:lvlJc w:val="left"/>
      <w:pPr>
        <w:ind w:left="3064" w:hanging="360"/>
      </w:pPr>
    </w:lvl>
    <w:lvl w:ilvl="2" w:tplc="0C09001B" w:tentative="1">
      <w:start w:val="1"/>
      <w:numFmt w:val="lowerRoman"/>
      <w:lvlText w:val="%3."/>
      <w:lvlJc w:val="right"/>
      <w:pPr>
        <w:ind w:left="3784" w:hanging="180"/>
      </w:pPr>
    </w:lvl>
    <w:lvl w:ilvl="3" w:tplc="0C09000F" w:tentative="1">
      <w:start w:val="1"/>
      <w:numFmt w:val="decimal"/>
      <w:lvlText w:val="%4."/>
      <w:lvlJc w:val="left"/>
      <w:pPr>
        <w:ind w:left="4504" w:hanging="360"/>
      </w:pPr>
    </w:lvl>
    <w:lvl w:ilvl="4" w:tplc="0C090019" w:tentative="1">
      <w:start w:val="1"/>
      <w:numFmt w:val="lowerLetter"/>
      <w:lvlText w:val="%5."/>
      <w:lvlJc w:val="left"/>
      <w:pPr>
        <w:ind w:left="5224" w:hanging="360"/>
      </w:pPr>
    </w:lvl>
    <w:lvl w:ilvl="5" w:tplc="0C09001B" w:tentative="1">
      <w:start w:val="1"/>
      <w:numFmt w:val="lowerRoman"/>
      <w:lvlText w:val="%6."/>
      <w:lvlJc w:val="right"/>
      <w:pPr>
        <w:ind w:left="5944" w:hanging="180"/>
      </w:pPr>
    </w:lvl>
    <w:lvl w:ilvl="6" w:tplc="0C09000F" w:tentative="1">
      <w:start w:val="1"/>
      <w:numFmt w:val="decimal"/>
      <w:lvlText w:val="%7."/>
      <w:lvlJc w:val="left"/>
      <w:pPr>
        <w:ind w:left="6664" w:hanging="360"/>
      </w:pPr>
    </w:lvl>
    <w:lvl w:ilvl="7" w:tplc="0C090019" w:tentative="1">
      <w:start w:val="1"/>
      <w:numFmt w:val="lowerLetter"/>
      <w:lvlText w:val="%8."/>
      <w:lvlJc w:val="left"/>
      <w:pPr>
        <w:ind w:left="7384" w:hanging="360"/>
      </w:pPr>
    </w:lvl>
    <w:lvl w:ilvl="8" w:tplc="0C09001B" w:tentative="1">
      <w:start w:val="1"/>
      <w:numFmt w:val="lowerRoman"/>
      <w:lvlText w:val="%9."/>
      <w:lvlJc w:val="right"/>
      <w:pPr>
        <w:ind w:left="8104" w:hanging="180"/>
      </w:pPr>
    </w:lvl>
  </w:abstractNum>
  <w:abstractNum w:abstractNumId="39" w15:restartNumberingAfterBreak="0">
    <w:nsid w:val="73A3173E"/>
    <w:multiLevelType w:val="hybridMultilevel"/>
    <w:tmpl w:val="A5E4CC6E"/>
    <w:name w:val="EDU - Bullet List22"/>
    <w:lvl w:ilvl="0" w:tplc="F260E872">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6EA4788"/>
    <w:multiLevelType w:val="hybridMultilevel"/>
    <w:tmpl w:val="BC7EC1D4"/>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1" w15:restartNumberingAfterBreak="0">
    <w:nsid w:val="7CFC1196"/>
    <w:multiLevelType w:val="hybridMultilevel"/>
    <w:tmpl w:val="4AD08D6E"/>
    <w:lvl w:ilvl="0" w:tplc="65AAB4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D254A20"/>
    <w:multiLevelType w:val="hybridMultilevel"/>
    <w:tmpl w:val="3F342338"/>
    <w:lvl w:ilvl="0" w:tplc="8372548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609384080">
    <w:abstractNumId w:val="8"/>
  </w:num>
  <w:num w:numId="2" w16cid:durableId="548417227">
    <w:abstractNumId w:val="13"/>
  </w:num>
  <w:num w:numId="3" w16cid:durableId="1472865886">
    <w:abstractNumId w:val="4"/>
  </w:num>
  <w:num w:numId="4" w16cid:durableId="543564918">
    <w:abstractNumId w:val="32"/>
  </w:num>
  <w:num w:numId="5" w16cid:durableId="518550135">
    <w:abstractNumId w:val="26"/>
  </w:num>
  <w:num w:numId="6" w16cid:durableId="1160468006">
    <w:abstractNumId w:val="38"/>
  </w:num>
  <w:num w:numId="7" w16cid:durableId="961955905">
    <w:abstractNumId w:val="37"/>
  </w:num>
  <w:num w:numId="8" w16cid:durableId="1380857463">
    <w:abstractNumId w:val="15"/>
  </w:num>
  <w:num w:numId="9" w16cid:durableId="2020429750">
    <w:abstractNumId w:val="23"/>
  </w:num>
  <w:num w:numId="10" w16cid:durableId="443505687">
    <w:abstractNumId w:val="9"/>
  </w:num>
  <w:num w:numId="11" w16cid:durableId="1150441538">
    <w:abstractNumId w:val="18"/>
  </w:num>
  <w:num w:numId="12" w16cid:durableId="1466853603">
    <w:abstractNumId w:val="2"/>
  </w:num>
  <w:num w:numId="13" w16cid:durableId="556165187">
    <w:abstractNumId w:val="11"/>
  </w:num>
  <w:num w:numId="14" w16cid:durableId="373191782">
    <w:abstractNumId w:val="22"/>
  </w:num>
  <w:num w:numId="15" w16cid:durableId="1477141015">
    <w:abstractNumId w:val="0"/>
  </w:num>
  <w:num w:numId="16" w16cid:durableId="12348950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5000089">
    <w:abstractNumId w:val="21"/>
  </w:num>
  <w:num w:numId="18" w16cid:durableId="677200296">
    <w:abstractNumId w:val="6"/>
  </w:num>
  <w:num w:numId="19" w16cid:durableId="2140762102">
    <w:abstractNumId w:val="31"/>
  </w:num>
  <w:num w:numId="20" w16cid:durableId="506482088">
    <w:abstractNumId w:val="27"/>
  </w:num>
  <w:num w:numId="21" w16cid:durableId="1393968620">
    <w:abstractNumId w:val="35"/>
  </w:num>
  <w:num w:numId="22" w16cid:durableId="1822236734">
    <w:abstractNumId w:val="16"/>
  </w:num>
  <w:num w:numId="23" w16cid:durableId="53747372">
    <w:abstractNumId w:val="36"/>
  </w:num>
  <w:num w:numId="24" w16cid:durableId="1237863605">
    <w:abstractNumId w:val="5"/>
  </w:num>
  <w:num w:numId="25" w16cid:durableId="20060849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7762376">
    <w:abstractNumId w:val="14"/>
  </w:num>
  <w:num w:numId="27" w16cid:durableId="148373531">
    <w:abstractNumId w:val="42"/>
  </w:num>
  <w:num w:numId="28" w16cid:durableId="1125123408">
    <w:abstractNumId w:val="24"/>
  </w:num>
  <w:num w:numId="29" w16cid:durableId="1917741330">
    <w:abstractNumId w:val="12"/>
  </w:num>
  <w:num w:numId="30" w16cid:durableId="1406106176">
    <w:abstractNumId w:val="1"/>
  </w:num>
  <w:num w:numId="31" w16cid:durableId="1033455339">
    <w:abstractNumId w:val="7"/>
  </w:num>
  <w:num w:numId="32" w16cid:durableId="967973347">
    <w:abstractNumId w:val="10"/>
  </w:num>
  <w:num w:numId="33" w16cid:durableId="562760365">
    <w:abstractNumId w:val="29"/>
  </w:num>
  <w:num w:numId="34" w16cid:durableId="1352603603">
    <w:abstractNumId w:val="41"/>
  </w:num>
  <w:num w:numId="35" w16cid:durableId="1385444228">
    <w:abstractNumId w:val="33"/>
  </w:num>
  <w:num w:numId="36" w16cid:durableId="794521880">
    <w:abstractNumId w:val="28"/>
  </w:num>
  <w:num w:numId="37" w16cid:durableId="1742219682">
    <w:abstractNumId w:val="20"/>
  </w:num>
  <w:num w:numId="38" w16cid:durableId="1049957405">
    <w:abstractNumId w:val="25"/>
  </w:num>
  <w:num w:numId="39" w16cid:durableId="1544248048">
    <w:abstractNumId w:val="34"/>
  </w:num>
  <w:num w:numId="40" w16cid:durableId="1959800195">
    <w:abstractNumId w:val="17"/>
  </w:num>
  <w:num w:numId="41" w16cid:durableId="248003994">
    <w:abstractNumId w:val="40"/>
  </w:num>
  <w:num w:numId="42" w16cid:durableId="691028959">
    <w:abstractNumId w:val="0"/>
  </w:num>
  <w:num w:numId="43" w16cid:durableId="522130925">
    <w:abstractNumId w:val="30"/>
  </w:num>
  <w:num w:numId="44" w16cid:durableId="799767115">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87"/>
    <w:rsid w:val="000001F9"/>
    <w:rsid w:val="000005EC"/>
    <w:rsid w:val="000006C6"/>
    <w:rsid w:val="00000751"/>
    <w:rsid w:val="00000AB3"/>
    <w:rsid w:val="00000B43"/>
    <w:rsid w:val="00000C0B"/>
    <w:rsid w:val="00000E08"/>
    <w:rsid w:val="000011D8"/>
    <w:rsid w:val="0000124A"/>
    <w:rsid w:val="0000125A"/>
    <w:rsid w:val="0000127F"/>
    <w:rsid w:val="0000128C"/>
    <w:rsid w:val="0000132E"/>
    <w:rsid w:val="000013B9"/>
    <w:rsid w:val="000014FA"/>
    <w:rsid w:val="00001568"/>
    <w:rsid w:val="00001660"/>
    <w:rsid w:val="00001686"/>
    <w:rsid w:val="000016CE"/>
    <w:rsid w:val="0000171A"/>
    <w:rsid w:val="00001B05"/>
    <w:rsid w:val="00001B2B"/>
    <w:rsid w:val="00001C35"/>
    <w:rsid w:val="00001C72"/>
    <w:rsid w:val="00001D22"/>
    <w:rsid w:val="00001DB1"/>
    <w:rsid w:val="00002042"/>
    <w:rsid w:val="00002081"/>
    <w:rsid w:val="00002349"/>
    <w:rsid w:val="000023B3"/>
    <w:rsid w:val="000023E8"/>
    <w:rsid w:val="000024BC"/>
    <w:rsid w:val="0000257A"/>
    <w:rsid w:val="00002843"/>
    <w:rsid w:val="00002C69"/>
    <w:rsid w:val="00002E80"/>
    <w:rsid w:val="00002FE1"/>
    <w:rsid w:val="00003051"/>
    <w:rsid w:val="000030A8"/>
    <w:rsid w:val="000030E0"/>
    <w:rsid w:val="0000311E"/>
    <w:rsid w:val="00003140"/>
    <w:rsid w:val="00003701"/>
    <w:rsid w:val="000039FA"/>
    <w:rsid w:val="00003AB8"/>
    <w:rsid w:val="00003CCD"/>
    <w:rsid w:val="00003DAB"/>
    <w:rsid w:val="00003DCE"/>
    <w:rsid w:val="00004048"/>
    <w:rsid w:val="000040A5"/>
    <w:rsid w:val="00004110"/>
    <w:rsid w:val="0000426B"/>
    <w:rsid w:val="000043ED"/>
    <w:rsid w:val="0000452E"/>
    <w:rsid w:val="0000453B"/>
    <w:rsid w:val="000045D1"/>
    <w:rsid w:val="00004762"/>
    <w:rsid w:val="00004ADB"/>
    <w:rsid w:val="00004B39"/>
    <w:rsid w:val="00004D38"/>
    <w:rsid w:val="00004D4B"/>
    <w:rsid w:val="00004E74"/>
    <w:rsid w:val="00004EE4"/>
    <w:rsid w:val="00004F05"/>
    <w:rsid w:val="00004F4A"/>
    <w:rsid w:val="0000514C"/>
    <w:rsid w:val="000051E6"/>
    <w:rsid w:val="00005335"/>
    <w:rsid w:val="000054EB"/>
    <w:rsid w:val="0000574C"/>
    <w:rsid w:val="0000590A"/>
    <w:rsid w:val="00005BD5"/>
    <w:rsid w:val="00005C4C"/>
    <w:rsid w:val="00005CB3"/>
    <w:rsid w:val="00005D10"/>
    <w:rsid w:val="00005D42"/>
    <w:rsid w:val="00005D6D"/>
    <w:rsid w:val="00005E0E"/>
    <w:rsid w:val="0000607B"/>
    <w:rsid w:val="000064EB"/>
    <w:rsid w:val="0000660D"/>
    <w:rsid w:val="00006632"/>
    <w:rsid w:val="0000668E"/>
    <w:rsid w:val="00006747"/>
    <w:rsid w:val="00006766"/>
    <w:rsid w:val="000068D2"/>
    <w:rsid w:val="000068F4"/>
    <w:rsid w:val="00006A7C"/>
    <w:rsid w:val="00006B19"/>
    <w:rsid w:val="00006BCE"/>
    <w:rsid w:val="00006D11"/>
    <w:rsid w:val="00006EC4"/>
    <w:rsid w:val="00006FB2"/>
    <w:rsid w:val="00007044"/>
    <w:rsid w:val="0000721D"/>
    <w:rsid w:val="000072C5"/>
    <w:rsid w:val="00007633"/>
    <w:rsid w:val="00007745"/>
    <w:rsid w:val="0000790D"/>
    <w:rsid w:val="000079FE"/>
    <w:rsid w:val="00007D44"/>
    <w:rsid w:val="00007DA1"/>
    <w:rsid w:val="00007E08"/>
    <w:rsid w:val="00007E36"/>
    <w:rsid w:val="00007E6A"/>
    <w:rsid w:val="00007EA6"/>
    <w:rsid w:val="000100FD"/>
    <w:rsid w:val="00010126"/>
    <w:rsid w:val="0001012D"/>
    <w:rsid w:val="000101FF"/>
    <w:rsid w:val="00010306"/>
    <w:rsid w:val="000105A1"/>
    <w:rsid w:val="00010639"/>
    <w:rsid w:val="00010697"/>
    <w:rsid w:val="000106E1"/>
    <w:rsid w:val="0001088E"/>
    <w:rsid w:val="0001098A"/>
    <w:rsid w:val="00010B4A"/>
    <w:rsid w:val="00010CE5"/>
    <w:rsid w:val="00010F2E"/>
    <w:rsid w:val="00010F8E"/>
    <w:rsid w:val="00011008"/>
    <w:rsid w:val="00011469"/>
    <w:rsid w:val="0001146D"/>
    <w:rsid w:val="000114BC"/>
    <w:rsid w:val="000115AD"/>
    <w:rsid w:val="000115CB"/>
    <w:rsid w:val="000116C7"/>
    <w:rsid w:val="0001188C"/>
    <w:rsid w:val="000118A3"/>
    <w:rsid w:val="000118C6"/>
    <w:rsid w:val="00011A05"/>
    <w:rsid w:val="00011A0F"/>
    <w:rsid w:val="00011B7C"/>
    <w:rsid w:val="00011B80"/>
    <w:rsid w:val="00011D22"/>
    <w:rsid w:val="00011D53"/>
    <w:rsid w:val="00011E3D"/>
    <w:rsid w:val="00011ED6"/>
    <w:rsid w:val="00011F40"/>
    <w:rsid w:val="00012026"/>
    <w:rsid w:val="000121A8"/>
    <w:rsid w:val="00012366"/>
    <w:rsid w:val="000125C3"/>
    <w:rsid w:val="000125F2"/>
    <w:rsid w:val="000127A4"/>
    <w:rsid w:val="000128F9"/>
    <w:rsid w:val="00012B0E"/>
    <w:rsid w:val="00012B22"/>
    <w:rsid w:val="00012C0B"/>
    <w:rsid w:val="00012C9B"/>
    <w:rsid w:val="00012D6A"/>
    <w:rsid w:val="00012E52"/>
    <w:rsid w:val="00012EF9"/>
    <w:rsid w:val="00012F2E"/>
    <w:rsid w:val="00012F8C"/>
    <w:rsid w:val="00012FDF"/>
    <w:rsid w:val="000130A2"/>
    <w:rsid w:val="000130BE"/>
    <w:rsid w:val="00013193"/>
    <w:rsid w:val="000134BD"/>
    <w:rsid w:val="0001358A"/>
    <w:rsid w:val="00013647"/>
    <w:rsid w:val="0001396C"/>
    <w:rsid w:val="00013AA4"/>
    <w:rsid w:val="00013B3F"/>
    <w:rsid w:val="00013CF3"/>
    <w:rsid w:val="00013D3C"/>
    <w:rsid w:val="00013DBB"/>
    <w:rsid w:val="00013DE4"/>
    <w:rsid w:val="00013E9B"/>
    <w:rsid w:val="00013EFB"/>
    <w:rsid w:val="00013F9B"/>
    <w:rsid w:val="000140FC"/>
    <w:rsid w:val="000141BB"/>
    <w:rsid w:val="00014645"/>
    <w:rsid w:val="00014921"/>
    <w:rsid w:val="00014947"/>
    <w:rsid w:val="00014974"/>
    <w:rsid w:val="00014CA9"/>
    <w:rsid w:val="00014DCD"/>
    <w:rsid w:val="00014E54"/>
    <w:rsid w:val="00014E59"/>
    <w:rsid w:val="0001501F"/>
    <w:rsid w:val="0001513B"/>
    <w:rsid w:val="00015306"/>
    <w:rsid w:val="00015330"/>
    <w:rsid w:val="000153B3"/>
    <w:rsid w:val="00015491"/>
    <w:rsid w:val="000154D0"/>
    <w:rsid w:val="000158A8"/>
    <w:rsid w:val="00015926"/>
    <w:rsid w:val="00015A2F"/>
    <w:rsid w:val="00015B86"/>
    <w:rsid w:val="00015C9E"/>
    <w:rsid w:val="00015F83"/>
    <w:rsid w:val="00016107"/>
    <w:rsid w:val="0001621E"/>
    <w:rsid w:val="000162C8"/>
    <w:rsid w:val="00016534"/>
    <w:rsid w:val="00016557"/>
    <w:rsid w:val="000166D6"/>
    <w:rsid w:val="00016A4D"/>
    <w:rsid w:val="00016B9F"/>
    <w:rsid w:val="00016CD4"/>
    <w:rsid w:val="00016D35"/>
    <w:rsid w:val="00016E3E"/>
    <w:rsid w:val="00016F17"/>
    <w:rsid w:val="000174C7"/>
    <w:rsid w:val="0001750C"/>
    <w:rsid w:val="000175ED"/>
    <w:rsid w:val="000176A1"/>
    <w:rsid w:val="00017AC2"/>
    <w:rsid w:val="00017AE5"/>
    <w:rsid w:val="00017BF8"/>
    <w:rsid w:val="0002006C"/>
    <w:rsid w:val="00020092"/>
    <w:rsid w:val="00020111"/>
    <w:rsid w:val="000202EB"/>
    <w:rsid w:val="0002084F"/>
    <w:rsid w:val="00020A7B"/>
    <w:rsid w:val="00020B0D"/>
    <w:rsid w:val="00020D76"/>
    <w:rsid w:val="000210F7"/>
    <w:rsid w:val="00021369"/>
    <w:rsid w:val="000213CC"/>
    <w:rsid w:val="00021521"/>
    <w:rsid w:val="00021529"/>
    <w:rsid w:val="00021678"/>
    <w:rsid w:val="0002173C"/>
    <w:rsid w:val="000217F4"/>
    <w:rsid w:val="0002180A"/>
    <w:rsid w:val="00021B17"/>
    <w:rsid w:val="00021D72"/>
    <w:rsid w:val="00021E56"/>
    <w:rsid w:val="00021EB6"/>
    <w:rsid w:val="00021FBE"/>
    <w:rsid w:val="0002201E"/>
    <w:rsid w:val="000222D8"/>
    <w:rsid w:val="00022320"/>
    <w:rsid w:val="000223AD"/>
    <w:rsid w:val="000223E9"/>
    <w:rsid w:val="00022465"/>
    <w:rsid w:val="00022472"/>
    <w:rsid w:val="000224A3"/>
    <w:rsid w:val="000224F2"/>
    <w:rsid w:val="0002253E"/>
    <w:rsid w:val="0002261A"/>
    <w:rsid w:val="0002267E"/>
    <w:rsid w:val="00022928"/>
    <w:rsid w:val="0002293B"/>
    <w:rsid w:val="000229D1"/>
    <w:rsid w:val="00022CF6"/>
    <w:rsid w:val="00022D12"/>
    <w:rsid w:val="00022F49"/>
    <w:rsid w:val="00022F75"/>
    <w:rsid w:val="000230E4"/>
    <w:rsid w:val="00023856"/>
    <w:rsid w:val="0002385B"/>
    <w:rsid w:val="00023B5B"/>
    <w:rsid w:val="00023C4C"/>
    <w:rsid w:val="00023DA9"/>
    <w:rsid w:val="00023E18"/>
    <w:rsid w:val="00024077"/>
    <w:rsid w:val="000240A5"/>
    <w:rsid w:val="000240EA"/>
    <w:rsid w:val="000241F5"/>
    <w:rsid w:val="0002446A"/>
    <w:rsid w:val="0002455E"/>
    <w:rsid w:val="00024628"/>
    <w:rsid w:val="0002496F"/>
    <w:rsid w:val="00024A55"/>
    <w:rsid w:val="00024B8F"/>
    <w:rsid w:val="00024BEF"/>
    <w:rsid w:val="00024CE5"/>
    <w:rsid w:val="00024DAE"/>
    <w:rsid w:val="0002501F"/>
    <w:rsid w:val="00025094"/>
    <w:rsid w:val="0002511B"/>
    <w:rsid w:val="000251B6"/>
    <w:rsid w:val="0002527F"/>
    <w:rsid w:val="00025411"/>
    <w:rsid w:val="0002546A"/>
    <w:rsid w:val="000254B6"/>
    <w:rsid w:val="000257F4"/>
    <w:rsid w:val="0002583A"/>
    <w:rsid w:val="00025B31"/>
    <w:rsid w:val="00025BAD"/>
    <w:rsid w:val="00025BC2"/>
    <w:rsid w:val="00025D77"/>
    <w:rsid w:val="00025D91"/>
    <w:rsid w:val="00025DC9"/>
    <w:rsid w:val="00025E0B"/>
    <w:rsid w:val="00025EBB"/>
    <w:rsid w:val="00025F5F"/>
    <w:rsid w:val="00026015"/>
    <w:rsid w:val="0002604D"/>
    <w:rsid w:val="00026058"/>
    <w:rsid w:val="000264F0"/>
    <w:rsid w:val="00026543"/>
    <w:rsid w:val="0002657B"/>
    <w:rsid w:val="000268A5"/>
    <w:rsid w:val="00026C2D"/>
    <w:rsid w:val="00026C5B"/>
    <w:rsid w:val="00026CBD"/>
    <w:rsid w:val="00026CF1"/>
    <w:rsid w:val="00026ED9"/>
    <w:rsid w:val="00026F9B"/>
    <w:rsid w:val="00027039"/>
    <w:rsid w:val="000270A9"/>
    <w:rsid w:val="00027119"/>
    <w:rsid w:val="00027242"/>
    <w:rsid w:val="0002724E"/>
    <w:rsid w:val="0002728B"/>
    <w:rsid w:val="000273CF"/>
    <w:rsid w:val="000274A5"/>
    <w:rsid w:val="000275C6"/>
    <w:rsid w:val="00027762"/>
    <w:rsid w:val="000277A0"/>
    <w:rsid w:val="000277A8"/>
    <w:rsid w:val="00027824"/>
    <w:rsid w:val="00027B7E"/>
    <w:rsid w:val="00027CC7"/>
    <w:rsid w:val="00027D8B"/>
    <w:rsid w:val="00027E4D"/>
    <w:rsid w:val="00027EB3"/>
    <w:rsid w:val="0003011A"/>
    <w:rsid w:val="0003016F"/>
    <w:rsid w:val="00030502"/>
    <w:rsid w:val="00030570"/>
    <w:rsid w:val="0003082A"/>
    <w:rsid w:val="00030918"/>
    <w:rsid w:val="000309C1"/>
    <w:rsid w:val="00030A2B"/>
    <w:rsid w:val="00030A56"/>
    <w:rsid w:val="00030A91"/>
    <w:rsid w:val="00030A93"/>
    <w:rsid w:val="00030B72"/>
    <w:rsid w:val="00030BD4"/>
    <w:rsid w:val="00030C83"/>
    <w:rsid w:val="00030D29"/>
    <w:rsid w:val="00030D31"/>
    <w:rsid w:val="00030D4A"/>
    <w:rsid w:val="00031106"/>
    <w:rsid w:val="00031209"/>
    <w:rsid w:val="00031220"/>
    <w:rsid w:val="00031332"/>
    <w:rsid w:val="0003134F"/>
    <w:rsid w:val="00031B99"/>
    <w:rsid w:val="00031DBA"/>
    <w:rsid w:val="00032122"/>
    <w:rsid w:val="000322C9"/>
    <w:rsid w:val="00032344"/>
    <w:rsid w:val="00032367"/>
    <w:rsid w:val="00032577"/>
    <w:rsid w:val="0003266A"/>
    <w:rsid w:val="00032675"/>
    <w:rsid w:val="000326E1"/>
    <w:rsid w:val="00032753"/>
    <w:rsid w:val="000328AF"/>
    <w:rsid w:val="00032A0E"/>
    <w:rsid w:val="00032F07"/>
    <w:rsid w:val="00033088"/>
    <w:rsid w:val="0003318C"/>
    <w:rsid w:val="00033613"/>
    <w:rsid w:val="00033763"/>
    <w:rsid w:val="000338A4"/>
    <w:rsid w:val="00033AFE"/>
    <w:rsid w:val="00033C60"/>
    <w:rsid w:val="00033E46"/>
    <w:rsid w:val="00034173"/>
    <w:rsid w:val="00034373"/>
    <w:rsid w:val="000344B7"/>
    <w:rsid w:val="000344CE"/>
    <w:rsid w:val="00034527"/>
    <w:rsid w:val="00034603"/>
    <w:rsid w:val="00034619"/>
    <w:rsid w:val="00034698"/>
    <w:rsid w:val="000347A6"/>
    <w:rsid w:val="000347BC"/>
    <w:rsid w:val="00034845"/>
    <w:rsid w:val="00034853"/>
    <w:rsid w:val="00034860"/>
    <w:rsid w:val="000348C6"/>
    <w:rsid w:val="000348D3"/>
    <w:rsid w:val="000349BC"/>
    <w:rsid w:val="000349C8"/>
    <w:rsid w:val="000349D0"/>
    <w:rsid w:val="00034A07"/>
    <w:rsid w:val="00034AD9"/>
    <w:rsid w:val="00034B99"/>
    <w:rsid w:val="00034BBA"/>
    <w:rsid w:val="00034BBD"/>
    <w:rsid w:val="00034C5C"/>
    <w:rsid w:val="00034C8B"/>
    <w:rsid w:val="0003505C"/>
    <w:rsid w:val="00035120"/>
    <w:rsid w:val="00035199"/>
    <w:rsid w:val="0003536F"/>
    <w:rsid w:val="000354F3"/>
    <w:rsid w:val="00035672"/>
    <w:rsid w:val="00035720"/>
    <w:rsid w:val="00035797"/>
    <w:rsid w:val="00035975"/>
    <w:rsid w:val="000359A3"/>
    <w:rsid w:val="00035AE2"/>
    <w:rsid w:val="00035C7C"/>
    <w:rsid w:val="00035E75"/>
    <w:rsid w:val="00035EDD"/>
    <w:rsid w:val="00035FFF"/>
    <w:rsid w:val="000362D9"/>
    <w:rsid w:val="00036336"/>
    <w:rsid w:val="0003642D"/>
    <w:rsid w:val="000364F4"/>
    <w:rsid w:val="00036500"/>
    <w:rsid w:val="00036517"/>
    <w:rsid w:val="00036747"/>
    <w:rsid w:val="00036836"/>
    <w:rsid w:val="000368AF"/>
    <w:rsid w:val="00036B30"/>
    <w:rsid w:val="00036F2A"/>
    <w:rsid w:val="00037828"/>
    <w:rsid w:val="00037AC3"/>
    <w:rsid w:val="00037B89"/>
    <w:rsid w:val="00037D64"/>
    <w:rsid w:val="00037EC0"/>
    <w:rsid w:val="000400FF"/>
    <w:rsid w:val="0004015C"/>
    <w:rsid w:val="0004018B"/>
    <w:rsid w:val="000401A0"/>
    <w:rsid w:val="00040206"/>
    <w:rsid w:val="00040307"/>
    <w:rsid w:val="00040328"/>
    <w:rsid w:val="000404E8"/>
    <w:rsid w:val="00040BC9"/>
    <w:rsid w:val="00040C25"/>
    <w:rsid w:val="00040D7E"/>
    <w:rsid w:val="00040DAB"/>
    <w:rsid w:val="00040DF4"/>
    <w:rsid w:val="00040DF8"/>
    <w:rsid w:val="00040E62"/>
    <w:rsid w:val="00040F14"/>
    <w:rsid w:val="00040F2B"/>
    <w:rsid w:val="00040FF7"/>
    <w:rsid w:val="000410DD"/>
    <w:rsid w:val="00041135"/>
    <w:rsid w:val="00041153"/>
    <w:rsid w:val="00041406"/>
    <w:rsid w:val="00041569"/>
    <w:rsid w:val="000416DA"/>
    <w:rsid w:val="0004172F"/>
    <w:rsid w:val="00041858"/>
    <w:rsid w:val="0004186D"/>
    <w:rsid w:val="000418DD"/>
    <w:rsid w:val="000419F2"/>
    <w:rsid w:val="00041DF8"/>
    <w:rsid w:val="00041F1C"/>
    <w:rsid w:val="00041F8A"/>
    <w:rsid w:val="00041FEA"/>
    <w:rsid w:val="000420BD"/>
    <w:rsid w:val="00042110"/>
    <w:rsid w:val="000422EA"/>
    <w:rsid w:val="000424AF"/>
    <w:rsid w:val="000425CB"/>
    <w:rsid w:val="00042656"/>
    <w:rsid w:val="00042659"/>
    <w:rsid w:val="0004283C"/>
    <w:rsid w:val="00042914"/>
    <w:rsid w:val="00042A99"/>
    <w:rsid w:val="00042B58"/>
    <w:rsid w:val="00042DA3"/>
    <w:rsid w:val="00042F7F"/>
    <w:rsid w:val="00042F9E"/>
    <w:rsid w:val="0004303C"/>
    <w:rsid w:val="00043049"/>
    <w:rsid w:val="0004337D"/>
    <w:rsid w:val="000433E3"/>
    <w:rsid w:val="0004344D"/>
    <w:rsid w:val="000434D6"/>
    <w:rsid w:val="00043543"/>
    <w:rsid w:val="000435A7"/>
    <w:rsid w:val="00043653"/>
    <w:rsid w:val="000436CB"/>
    <w:rsid w:val="000437D9"/>
    <w:rsid w:val="00043B67"/>
    <w:rsid w:val="00043E60"/>
    <w:rsid w:val="00043F32"/>
    <w:rsid w:val="00043FF3"/>
    <w:rsid w:val="00044180"/>
    <w:rsid w:val="000441F5"/>
    <w:rsid w:val="0004423C"/>
    <w:rsid w:val="0004425B"/>
    <w:rsid w:val="00044402"/>
    <w:rsid w:val="00044469"/>
    <w:rsid w:val="00044525"/>
    <w:rsid w:val="0004475A"/>
    <w:rsid w:val="000449E6"/>
    <w:rsid w:val="00044A96"/>
    <w:rsid w:val="00044BFB"/>
    <w:rsid w:val="00044C1C"/>
    <w:rsid w:val="00044C67"/>
    <w:rsid w:val="00044CCF"/>
    <w:rsid w:val="00044E42"/>
    <w:rsid w:val="00044F7A"/>
    <w:rsid w:val="00045069"/>
    <w:rsid w:val="000450A0"/>
    <w:rsid w:val="00045107"/>
    <w:rsid w:val="000452A5"/>
    <w:rsid w:val="000452A9"/>
    <w:rsid w:val="00045371"/>
    <w:rsid w:val="000453AF"/>
    <w:rsid w:val="000453B8"/>
    <w:rsid w:val="00045424"/>
    <w:rsid w:val="000454B7"/>
    <w:rsid w:val="00045598"/>
    <w:rsid w:val="000455DC"/>
    <w:rsid w:val="000456B2"/>
    <w:rsid w:val="000457AF"/>
    <w:rsid w:val="00045A57"/>
    <w:rsid w:val="00045C07"/>
    <w:rsid w:val="00045CBF"/>
    <w:rsid w:val="00045DFD"/>
    <w:rsid w:val="00046015"/>
    <w:rsid w:val="0004614F"/>
    <w:rsid w:val="000461F6"/>
    <w:rsid w:val="000462A1"/>
    <w:rsid w:val="0004640A"/>
    <w:rsid w:val="000465A3"/>
    <w:rsid w:val="00046726"/>
    <w:rsid w:val="0004689E"/>
    <w:rsid w:val="00046989"/>
    <w:rsid w:val="00046D21"/>
    <w:rsid w:val="00046E0D"/>
    <w:rsid w:val="00046E21"/>
    <w:rsid w:val="00046E50"/>
    <w:rsid w:val="0004703A"/>
    <w:rsid w:val="000471B3"/>
    <w:rsid w:val="00047262"/>
    <w:rsid w:val="0004732C"/>
    <w:rsid w:val="00047344"/>
    <w:rsid w:val="0004771B"/>
    <w:rsid w:val="00047AD6"/>
    <w:rsid w:val="00047AD8"/>
    <w:rsid w:val="00047B42"/>
    <w:rsid w:val="00047BA0"/>
    <w:rsid w:val="00047BCF"/>
    <w:rsid w:val="00047C05"/>
    <w:rsid w:val="00047D72"/>
    <w:rsid w:val="00047E98"/>
    <w:rsid w:val="00047F44"/>
    <w:rsid w:val="00047F9D"/>
    <w:rsid w:val="00047FF0"/>
    <w:rsid w:val="000500C3"/>
    <w:rsid w:val="0005053C"/>
    <w:rsid w:val="00050554"/>
    <w:rsid w:val="00050695"/>
    <w:rsid w:val="00050699"/>
    <w:rsid w:val="00050A6A"/>
    <w:rsid w:val="00050B75"/>
    <w:rsid w:val="00050E8F"/>
    <w:rsid w:val="00050EB9"/>
    <w:rsid w:val="00050EDB"/>
    <w:rsid w:val="00051058"/>
    <w:rsid w:val="000510E9"/>
    <w:rsid w:val="00051276"/>
    <w:rsid w:val="000512A1"/>
    <w:rsid w:val="000512D0"/>
    <w:rsid w:val="0005154B"/>
    <w:rsid w:val="000515C9"/>
    <w:rsid w:val="000518CB"/>
    <w:rsid w:val="00051A9A"/>
    <w:rsid w:val="00051B32"/>
    <w:rsid w:val="00051B77"/>
    <w:rsid w:val="00051BDE"/>
    <w:rsid w:val="00051C1F"/>
    <w:rsid w:val="00051CBA"/>
    <w:rsid w:val="00051E7F"/>
    <w:rsid w:val="00051EBC"/>
    <w:rsid w:val="0005207F"/>
    <w:rsid w:val="00052106"/>
    <w:rsid w:val="000521D7"/>
    <w:rsid w:val="00052208"/>
    <w:rsid w:val="0005231E"/>
    <w:rsid w:val="0005239E"/>
    <w:rsid w:val="00052528"/>
    <w:rsid w:val="000526B7"/>
    <w:rsid w:val="00052B2F"/>
    <w:rsid w:val="00052B46"/>
    <w:rsid w:val="00052E23"/>
    <w:rsid w:val="00052E36"/>
    <w:rsid w:val="00052F89"/>
    <w:rsid w:val="000531A9"/>
    <w:rsid w:val="000531DD"/>
    <w:rsid w:val="000531EE"/>
    <w:rsid w:val="00053301"/>
    <w:rsid w:val="00053410"/>
    <w:rsid w:val="00053872"/>
    <w:rsid w:val="00053B5F"/>
    <w:rsid w:val="00053BEA"/>
    <w:rsid w:val="00053C14"/>
    <w:rsid w:val="00053DDA"/>
    <w:rsid w:val="000540FC"/>
    <w:rsid w:val="00054113"/>
    <w:rsid w:val="0005419B"/>
    <w:rsid w:val="000542D7"/>
    <w:rsid w:val="000543C5"/>
    <w:rsid w:val="0005449D"/>
    <w:rsid w:val="00054637"/>
    <w:rsid w:val="000547FC"/>
    <w:rsid w:val="00054839"/>
    <w:rsid w:val="00054933"/>
    <w:rsid w:val="00054BAA"/>
    <w:rsid w:val="00054DBF"/>
    <w:rsid w:val="00054E24"/>
    <w:rsid w:val="00054F47"/>
    <w:rsid w:val="00054FDE"/>
    <w:rsid w:val="0005500E"/>
    <w:rsid w:val="0005501E"/>
    <w:rsid w:val="0005506F"/>
    <w:rsid w:val="000551D4"/>
    <w:rsid w:val="0005522D"/>
    <w:rsid w:val="0005527F"/>
    <w:rsid w:val="00055405"/>
    <w:rsid w:val="00055598"/>
    <w:rsid w:val="000555EF"/>
    <w:rsid w:val="000556F1"/>
    <w:rsid w:val="0005584F"/>
    <w:rsid w:val="00055ADB"/>
    <w:rsid w:val="00055BD8"/>
    <w:rsid w:val="00055D6F"/>
    <w:rsid w:val="00055F0D"/>
    <w:rsid w:val="00056272"/>
    <w:rsid w:val="000562A3"/>
    <w:rsid w:val="000565E7"/>
    <w:rsid w:val="000566A5"/>
    <w:rsid w:val="00056CF5"/>
    <w:rsid w:val="00056E4C"/>
    <w:rsid w:val="00056EC2"/>
    <w:rsid w:val="00056FF9"/>
    <w:rsid w:val="00057013"/>
    <w:rsid w:val="00057052"/>
    <w:rsid w:val="00057305"/>
    <w:rsid w:val="0005736B"/>
    <w:rsid w:val="00057550"/>
    <w:rsid w:val="00057600"/>
    <w:rsid w:val="0005788F"/>
    <w:rsid w:val="00057907"/>
    <w:rsid w:val="00057921"/>
    <w:rsid w:val="00057BC2"/>
    <w:rsid w:val="00057C45"/>
    <w:rsid w:val="00060320"/>
    <w:rsid w:val="000603BA"/>
    <w:rsid w:val="000604BE"/>
    <w:rsid w:val="0006060C"/>
    <w:rsid w:val="0006060E"/>
    <w:rsid w:val="0006064F"/>
    <w:rsid w:val="000607A7"/>
    <w:rsid w:val="00060910"/>
    <w:rsid w:val="00060A2B"/>
    <w:rsid w:val="00060A57"/>
    <w:rsid w:val="00060AB1"/>
    <w:rsid w:val="00060B08"/>
    <w:rsid w:val="00060B0E"/>
    <w:rsid w:val="00060C33"/>
    <w:rsid w:val="00060CCA"/>
    <w:rsid w:val="00060CED"/>
    <w:rsid w:val="00060EFE"/>
    <w:rsid w:val="00060F82"/>
    <w:rsid w:val="00061256"/>
    <w:rsid w:val="0006142C"/>
    <w:rsid w:val="000614B0"/>
    <w:rsid w:val="00061531"/>
    <w:rsid w:val="0006154D"/>
    <w:rsid w:val="000615E2"/>
    <w:rsid w:val="00061605"/>
    <w:rsid w:val="00061720"/>
    <w:rsid w:val="000617BD"/>
    <w:rsid w:val="000618B2"/>
    <w:rsid w:val="00061965"/>
    <w:rsid w:val="0006199D"/>
    <w:rsid w:val="000619AD"/>
    <w:rsid w:val="000619CC"/>
    <w:rsid w:val="000619FF"/>
    <w:rsid w:val="00061A36"/>
    <w:rsid w:val="00061D29"/>
    <w:rsid w:val="00061D9B"/>
    <w:rsid w:val="00061FA3"/>
    <w:rsid w:val="000622FA"/>
    <w:rsid w:val="00062326"/>
    <w:rsid w:val="000623C7"/>
    <w:rsid w:val="0006243E"/>
    <w:rsid w:val="000624FD"/>
    <w:rsid w:val="00062715"/>
    <w:rsid w:val="0006279A"/>
    <w:rsid w:val="0006295C"/>
    <w:rsid w:val="00062999"/>
    <w:rsid w:val="00062A22"/>
    <w:rsid w:val="00062A33"/>
    <w:rsid w:val="00062AFA"/>
    <w:rsid w:val="00062D72"/>
    <w:rsid w:val="00062EEF"/>
    <w:rsid w:val="00062FED"/>
    <w:rsid w:val="00063036"/>
    <w:rsid w:val="00063046"/>
    <w:rsid w:val="0006304F"/>
    <w:rsid w:val="0006305C"/>
    <w:rsid w:val="00063200"/>
    <w:rsid w:val="000638E5"/>
    <w:rsid w:val="0006399C"/>
    <w:rsid w:val="00063B81"/>
    <w:rsid w:val="00063D69"/>
    <w:rsid w:val="00063DE4"/>
    <w:rsid w:val="00063F57"/>
    <w:rsid w:val="000642B1"/>
    <w:rsid w:val="000643AE"/>
    <w:rsid w:val="000644F5"/>
    <w:rsid w:val="00064507"/>
    <w:rsid w:val="000646C4"/>
    <w:rsid w:val="00064770"/>
    <w:rsid w:val="000648F9"/>
    <w:rsid w:val="00064DBD"/>
    <w:rsid w:val="00064E11"/>
    <w:rsid w:val="00064F04"/>
    <w:rsid w:val="00064F45"/>
    <w:rsid w:val="00064F95"/>
    <w:rsid w:val="000655F0"/>
    <w:rsid w:val="000656F2"/>
    <w:rsid w:val="000656F3"/>
    <w:rsid w:val="000657D9"/>
    <w:rsid w:val="000658D7"/>
    <w:rsid w:val="00065C8B"/>
    <w:rsid w:val="00065CF6"/>
    <w:rsid w:val="00065E00"/>
    <w:rsid w:val="00065E8C"/>
    <w:rsid w:val="00065EAE"/>
    <w:rsid w:val="00065F88"/>
    <w:rsid w:val="000662B0"/>
    <w:rsid w:val="00066399"/>
    <w:rsid w:val="00066678"/>
    <w:rsid w:val="00066782"/>
    <w:rsid w:val="0006679C"/>
    <w:rsid w:val="00066828"/>
    <w:rsid w:val="000669BE"/>
    <w:rsid w:val="00066DA1"/>
    <w:rsid w:val="00066FBF"/>
    <w:rsid w:val="00067073"/>
    <w:rsid w:val="000671B5"/>
    <w:rsid w:val="000675D7"/>
    <w:rsid w:val="0006767E"/>
    <w:rsid w:val="000676DE"/>
    <w:rsid w:val="000676EA"/>
    <w:rsid w:val="000677A1"/>
    <w:rsid w:val="00067859"/>
    <w:rsid w:val="0006792F"/>
    <w:rsid w:val="00067AB9"/>
    <w:rsid w:val="00067AD9"/>
    <w:rsid w:val="00067B5F"/>
    <w:rsid w:val="00067D67"/>
    <w:rsid w:val="00067D8F"/>
    <w:rsid w:val="00070155"/>
    <w:rsid w:val="0007040F"/>
    <w:rsid w:val="00070478"/>
    <w:rsid w:val="00070580"/>
    <w:rsid w:val="000706A5"/>
    <w:rsid w:val="00070BC0"/>
    <w:rsid w:val="00070BE6"/>
    <w:rsid w:val="00070C32"/>
    <w:rsid w:val="00070C63"/>
    <w:rsid w:val="00070C97"/>
    <w:rsid w:val="00070CBE"/>
    <w:rsid w:val="000711FA"/>
    <w:rsid w:val="000712AE"/>
    <w:rsid w:val="000715D1"/>
    <w:rsid w:val="0007167D"/>
    <w:rsid w:val="00071775"/>
    <w:rsid w:val="000717BA"/>
    <w:rsid w:val="00071862"/>
    <w:rsid w:val="00071965"/>
    <w:rsid w:val="00071A74"/>
    <w:rsid w:val="00071AAA"/>
    <w:rsid w:val="00071DD3"/>
    <w:rsid w:val="00071E70"/>
    <w:rsid w:val="0007209F"/>
    <w:rsid w:val="000720B7"/>
    <w:rsid w:val="000720F2"/>
    <w:rsid w:val="0007213D"/>
    <w:rsid w:val="00072562"/>
    <w:rsid w:val="000726ED"/>
    <w:rsid w:val="000727F5"/>
    <w:rsid w:val="00072852"/>
    <w:rsid w:val="00072904"/>
    <w:rsid w:val="00072D39"/>
    <w:rsid w:val="00072D40"/>
    <w:rsid w:val="00072E44"/>
    <w:rsid w:val="00072E7F"/>
    <w:rsid w:val="0007312B"/>
    <w:rsid w:val="000732AB"/>
    <w:rsid w:val="000732F0"/>
    <w:rsid w:val="0007342B"/>
    <w:rsid w:val="000735D0"/>
    <w:rsid w:val="000736E2"/>
    <w:rsid w:val="00073727"/>
    <w:rsid w:val="00073733"/>
    <w:rsid w:val="0007383F"/>
    <w:rsid w:val="0007384A"/>
    <w:rsid w:val="0007387C"/>
    <w:rsid w:val="0007395B"/>
    <w:rsid w:val="00073992"/>
    <w:rsid w:val="000739C1"/>
    <w:rsid w:val="000739C5"/>
    <w:rsid w:val="00073B63"/>
    <w:rsid w:val="00073C47"/>
    <w:rsid w:val="00073CFF"/>
    <w:rsid w:val="00073F56"/>
    <w:rsid w:val="00073FB4"/>
    <w:rsid w:val="0007428B"/>
    <w:rsid w:val="000743E6"/>
    <w:rsid w:val="0007459F"/>
    <w:rsid w:val="000745A9"/>
    <w:rsid w:val="00074708"/>
    <w:rsid w:val="0007494F"/>
    <w:rsid w:val="00074A6E"/>
    <w:rsid w:val="0007517E"/>
    <w:rsid w:val="0007522A"/>
    <w:rsid w:val="0007528C"/>
    <w:rsid w:val="000752C5"/>
    <w:rsid w:val="00075325"/>
    <w:rsid w:val="0007537F"/>
    <w:rsid w:val="00075466"/>
    <w:rsid w:val="000754F2"/>
    <w:rsid w:val="0007581B"/>
    <w:rsid w:val="000758F1"/>
    <w:rsid w:val="00075A44"/>
    <w:rsid w:val="00075CA2"/>
    <w:rsid w:val="00075F3C"/>
    <w:rsid w:val="00075F77"/>
    <w:rsid w:val="00076189"/>
    <w:rsid w:val="00076260"/>
    <w:rsid w:val="000762B8"/>
    <w:rsid w:val="0007633E"/>
    <w:rsid w:val="00076423"/>
    <w:rsid w:val="00076545"/>
    <w:rsid w:val="000765FD"/>
    <w:rsid w:val="000768E5"/>
    <w:rsid w:val="00076AB7"/>
    <w:rsid w:val="00076ABF"/>
    <w:rsid w:val="00076AE7"/>
    <w:rsid w:val="00076B28"/>
    <w:rsid w:val="00076E57"/>
    <w:rsid w:val="00076FB6"/>
    <w:rsid w:val="00077022"/>
    <w:rsid w:val="00077096"/>
    <w:rsid w:val="0007709A"/>
    <w:rsid w:val="0007709B"/>
    <w:rsid w:val="00077351"/>
    <w:rsid w:val="00077530"/>
    <w:rsid w:val="0007793B"/>
    <w:rsid w:val="000779BD"/>
    <w:rsid w:val="00077B45"/>
    <w:rsid w:val="00077B5F"/>
    <w:rsid w:val="00077C5C"/>
    <w:rsid w:val="00077C9F"/>
    <w:rsid w:val="00077E7D"/>
    <w:rsid w:val="00077E90"/>
    <w:rsid w:val="00077FE3"/>
    <w:rsid w:val="00080016"/>
    <w:rsid w:val="000801EB"/>
    <w:rsid w:val="00080221"/>
    <w:rsid w:val="00080226"/>
    <w:rsid w:val="00080280"/>
    <w:rsid w:val="0008046A"/>
    <w:rsid w:val="0008064C"/>
    <w:rsid w:val="0008069D"/>
    <w:rsid w:val="0008077D"/>
    <w:rsid w:val="00080819"/>
    <w:rsid w:val="000808F1"/>
    <w:rsid w:val="00080925"/>
    <w:rsid w:val="000809D1"/>
    <w:rsid w:val="00080A6A"/>
    <w:rsid w:val="00080CC2"/>
    <w:rsid w:val="00080D45"/>
    <w:rsid w:val="00080E9C"/>
    <w:rsid w:val="00080EAA"/>
    <w:rsid w:val="00080EFB"/>
    <w:rsid w:val="00080FDB"/>
    <w:rsid w:val="00080FDE"/>
    <w:rsid w:val="000810A5"/>
    <w:rsid w:val="0008112F"/>
    <w:rsid w:val="000817E7"/>
    <w:rsid w:val="000817F6"/>
    <w:rsid w:val="00081857"/>
    <w:rsid w:val="000818C7"/>
    <w:rsid w:val="00081AA4"/>
    <w:rsid w:val="00081C90"/>
    <w:rsid w:val="00081DE9"/>
    <w:rsid w:val="00081EA5"/>
    <w:rsid w:val="000822DC"/>
    <w:rsid w:val="0008246E"/>
    <w:rsid w:val="000826A2"/>
    <w:rsid w:val="000826E7"/>
    <w:rsid w:val="000828A2"/>
    <w:rsid w:val="00082AE5"/>
    <w:rsid w:val="00082C52"/>
    <w:rsid w:val="00082DE4"/>
    <w:rsid w:val="00082E62"/>
    <w:rsid w:val="00082EDD"/>
    <w:rsid w:val="00082FAE"/>
    <w:rsid w:val="000830B0"/>
    <w:rsid w:val="0008318F"/>
    <w:rsid w:val="000832A3"/>
    <w:rsid w:val="00083302"/>
    <w:rsid w:val="00083539"/>
    <w:rsid w:val="00083554"/>
    <w:rsid w:val="000835EE"/>
    <w:rsid w:val="0008394C"/>
    <w:rsid w:val="00083A2D"/>
    <w:rsid w:val="00083CDB"/>
    <w:rsid w:val="00083D16"/>
    <w:rsid w:val="00083D77"/>
    <w:rsid w:val="00084121"/>
    <w:rsid w:val="0008428C"/>
    <w:rsid w:val="00084575"/>
    <w:rsid w:val="000845BE"/>
    <w:rsid w:val="00084780"/>
    <w:rsid w:val="00084927"/>
    <w:rsid w:val="00084A21"/>
    <w:rsid w:val="00084A31"/>
    <w:rsid w:val="00084A67"/>
    <w:rsid w:val="000850B7"/>
    <w:rsid w:val="00085384"/>
    <w:rsid w:val="00085473"/>
    <w:rsid w:val="000854E1"/>
    <w:rsid w:val="00085529"/>
    <w:rsid w:val="000855FF"/>
    <w:rsid w:val="000857FA"/>
    <w:rsid w:val="00085A1C"/>
    <w:rsid w:val="00085A84"/>
    <w:rsid w:val="00085BE6"/>
    <w:rsid w:val="00085C63"/>
    <w:rsid w:val="00085CF9"/>
    <w:rsid w:val="00085D23"/>
    <w:rsid w:val="00085D9C"/>
    <w:rsid w:val="00085DC3"/>
    <w:rsid w:val="00085E7A"/>
    <w:rsid w:val="00085E90"/>
    <w:rsid w:val="00085EDF"/>
    <w:rsid w:val="00085EE0"/>
    <w:rsid w:val="00085F7E"/>
    <w:rsid w:val="00086079"/>
    <w:rsid w:val="000860A8"/>
    <w:rsid w:val="0008612C"/>
    <w:rsid w:val="00086178"/>
    <w:rsid w:val="000861C1"/>
    <w:rsid w:val="00086521"/>
    <w:rsid w:val="0008663F"/>
    <w:rsid w:val="000866C6"/>
    <w:rsid w:val="00086860"/>
    <w:rsid w:val="0008688D"/>
    <w:rsid w:val="00086BC4"/>
    <w:rsid w:val="0008702A"/>
    <w:rsid w:val="0008765B"/>
    <w:rsid w:val="0008781C"/>
    <w:rsid w:val="00087839"/>
    <w:rsid w:val="000879A5"/>
    <w:rsid w:val="00087C00"/>
    <w:rsid w:val="00087D81"/>
    <w:rsid w:val="00087EC8"/>
    <w:rsid w:val="000900C8"/>
    <w:rsid w:val="00090420"/>
    <w:rsid w:val="00090423"/>
    <w:rsid w:val="00090489"/>
    <w:rsid w:val="00090646"/>
    <w:rsid w:val="0009072C"/>
    <w:rsid w:val="00090749"/>
    <w:rsid w:val="00090801"/>
    <w:rsid w:val="0009084D"/>
    <w:rsid w:val="000908DB"/>
    <w:rsid w:val="00090A99"/>
    <w:rsid w:val="00090BBD"/>
    <w:rsid w:val="00090C9A"/>
    <w:rsid w:val="00090E30"/>
    <w:rsid w:val="00090EC4"/>
    <w:rsid w:val="00090EF9"/>
    <w:rsid w:val="00090F75"/>
    <w:rsid w:val="00090F7B"/>
    <w:rsid w:val="00090F94"/>
    <w:rsid w:val="00090FA8"/>
    <w:rsid w:val="0009104D"/>
    <w:rsid w:val="0009109A"/>
    <w:rsid w:val="000910D7"/>
    <w:rsid w:val="00091113"/>
    <w:rsid w:val="0009114D"/>
    <w:rsid w:val="000911ED"/>
    <w:rsid w:val="000912CA"/>
    <w:rsid w:val="00091427"/>
    <w:rsid w:val="000917C2"/>
    <w:rsid w:val="00091804"/>
    <w:rsid w:val="000919DF"/>
    <w:rsid w:val="00091B78"/>
    <w:rsid w:val="00091C72"/>
    <w:rsid w:val="00091D71"/>
    <w:rsid w:val="00091FC5"/>
    <w:rsid w:val="000921C4"/>
    <w:rsid w:val="000924EC"/>
    <w:rsid w:val="00092551"/>
    <w:rsid w:val="00092599"/>
    <w:rsid w:val="0009262E"/>
    <w:rsid w:val="000926F1"/>
    <w:rsid w:val="00092786"/>
    <w:rsid w:val="00092794"/>
    <w:rsid w:val="000927B8"/>
    <w:rsid w:val="00092809"/>
    <w:rsid w:val="00092882"/>
    <w:rsid w:val="00092AE7"/>
    <w:rsid w:val="00092BDF"/>
    <w:rsid w:val="00092D19"/>
    <w:rsid w:val="00092E36"/>
    <w:rsid w:val="000930AC"/>
    <w:rsid w:val="00093371"/>
    <w:rsid w:val="0009339A"/>
    <w:rsid w:val="000935FF"/>
    <w:rsid w:val="00093645"/>
    <w:rsid w:val="00093669"/>
    <w:rsid w:val="000936A6"/>
    <w:rsid w:val="000936B4"/>
    <w:rsid w:val="000936B5"/>
    <w:rsid w:val="00093B2F"/>
    <w:rsid w:val="00093B40"/>
    <w:rsid w:val="00093D82"/>
    <w:rsid w:val="00093DCF"/>
    <w:rsid w:val="00093E67"/>
    <w:rsid w:val="00093F14"/>
    <w:rsid w:val="00093F67"/>
    <w:rsid w:val="00093FA7"/>
    <w:rsid w:val="0009400F"/>
    <w:rsid w:val="0009407A"/>
    <w:rsid w:val="00094584"/>
    <w:rsid w:val="0009458E"/>
    <w:rsid w:val="00094618"/>
    <w:rsid w:val="0009472B"/>
    <w:rsid w:val="0009472E"/>
    <w:rsid w:val="00094C6F"/>
    <w:rsid w:val="00094DA2"/>
    <w:rsid w:val="00094E24"/>
    <w:rsid w:val="0009508A"/>
    <w:rsid w:val="00095145"/>
    <w:rsid w:val="000951C4"/>
    <w:rsid w:val="000951D3"/>
    <w:rsid w:val="00095208"/>
    <w:rsid w:val="000952F6"/>
    <w:rsid w:val="0009537C"/>
    <w:rsid w:val="0009564B"/>
    <w:rsid w:val="00095909"/>
    <w:rsid w:val="00095985"/>
    <w:rsid w:val="00095BB7"/>
    <w:rsid w:val="00095C26"/>
    <w:rsid w:val="00095D3C"/>
    <w:rsid w:val="00095E1E"/>
    <w:rsid w:val="00095E81"/>
    <w:rsid w:val="00096025"/>
    <w:rsid w:val="000960B4"/>
    <w:rsid w:val="000960D2"/>
    <w:rsid w:val="00096273"/>
    <w:rsid w:val="0009627D"/>
    <w:rsid w:val="0009641F"/>
    <w:rsid w:val="000964EB"/>
    <w:rsid w:val="00096510"/>
    <w:rsid w:val="000965F6"/>
    <w:rsid w:val="000967C1"/>
    <w:rsid w:val="0009697B"/>
    <w:rsid w:val="000969C8"/>
    <w:rsid w:val="00096DB0"/>
    <w:rsid w:val="00096E30"/>
    <w:rsid w:val="00096ED4"/>
    <w:rsid w:val="00096F54"/>
    <w:rsid w:val="00096FC9"/>
    <w:rsid w:val="00097178"/>
    <w:rsid w:val="000972B3"/>
    <w:rsid w:val="000972C7"/>
    <w:rsid w:val="00097362"/>
    <w:rsid w:val="00097372"/>
    <w:rsid w:val="000973F7"/>
    <w:rsid w:val="000976A4"/>
    <w:rsid w:val="00097729"/>
    <w:rsid w:val="000979C2"/>
    <w:rsid w:val="00097CC0"/>
    <w:rsid w:val="00097CD7"/>
    <w:rsid w:val="00097DB2"/>
    <w:rsid w:val="00097E11"/>
    <w:rsid w:val="00097E9B"/>
    <w:rsid w:val="00097EDF"/>
    <w:rsid w:val="000A013A"/>
    <w:rsid w:val="000A0391"/>
    <w:rsid w:val="000A04E2"/>
    <w:rsid w:val="000A054C"/>
    <w:rsid w:val="000A06E4"/>
    <w:rsid w:val="000A0804"/>
    <w:rsid w:val="000A0A23"/>
    <w:rsid w:val="000A0B18"/>
    <w:rsid w:val="000A0B58"/>
    <w:rsid w:val="000A0BF1"/>
    <w:rsid w:val="000A0C08"/>
    <w:rsid w:val="000A0E30"/>
    <w:rsid w:val="000A0E38"/>
    <w:rsid w:val="000A0EAA"/>
    <w:rsid w:val="000A1095"/>
    <w:rsid w:val="000A1175"/>
    <w:rsid w:val="000A11E4"/>
    <w:rsid w:val="000A13BE"/>
    <w:rsid w:val="000A1422"/>
    <w:rsid w:val="000A1434"/>
    <w:rsid w:val="000A14E9"/>
    <w:rsid w:val="000A15CE"/>
    <w:rsid w:val="000A16EA"/>
    <w:rsid w:val="000A17C5"/>
    <w:rsid w:val="000A19BD"/>
    <w:rsid w:val="000A1A02"/>
    <w:rsid w:val="000A1DC7"/>
    <w:rsid w:val="000A2074"/>
    <w:rsid w:val="000A2081"/>
    <w:rsid w:val="000A20B6"/>
    <w:rsid w:val="000A245D"/>
    <w:rsid w:val="000A25AF"/>
    <w:rsid w:val="000A26A2"/>
    <w:rsid w:val="000A27BA"/>
    <w:rsid w:val="000A292C"/>
    <w:rsid w:val="000A2ABB"/>
    <w:rsid w:val="000A2C1E"/>
    <w:rsid w:val="000A2DF7"/>
    <w:rsid w:val="000A2E51"/>
    <w:rsid w:val="000A2F5E"/>
    <w:rsid w:val="000A2FE7"/>
    <w:rsid w:val="000A3024"/>
    <w:rsid w:val="000A3251"/>
    <w:rsid w:val="000A330E"/>
    <w:rsid w:val="000A33E3"/>
    <w:rsid w:val="000A3471"/>
    <w:rsid w:val="000A3625"/>
    <w:rsid w:val="000A3793"/>
    <w:rsid w:val="000A37FB"/>
    <w:rsid w:val="000A3A96"/>
    <w:rsid w:val="000A3CB4"/>
    <w:rsid w:val="000A3D01"/>
    <w:rsid w:val="000A402C"/>
    <w:rsid w:val="000A426D"/>
    <w:rsid w:val="000A4354"/>
    <w:rsid w:val="000A43D6"/>
    <w:rsid w:val="000A43EB"/>
    <w:rsid w:val="000A4422"/>
    <w:rsid w:val="000A4448"/>
    <w:rsid w:val="000A47FA"/>
    <w:rsid w:val="000A48F1"/>
    <w:rsid w:val="000A4AFB"/>
    <w:rsid w:val="000A4C74"/>
    <w:rsid w:val="000A5032"/>
    <w:rsid w:val="000A516F"/>
    <w:rsid w:val="000A5286"/>
    <w:rsid w:val="000A5604"/>
    <w:rsid w:val="000A5779"/>
    <w:rsid w:val="000A5870"/>
    <w:rsid w:val="000A5A78"/>
    <w:rsid w:val="000A5AF3"/>
    <w:rsid w:val="000A5BB0"/>
    <w:rsid w:val="000A5C58"/>
    <w:rsid w:val="000A5C96"/>
    <w:rsid w:val="000A5CB3"/>
    <w:rsid w:val="000A5CC4"/>
    <w:rsid w:val="000A5D86"/>
    <w:rsid w:val="000A5E26"/>
    <w:rsid w:val="000A5F95"/>
    <w:rsid w:val="000A6228"/>
    <w:rsid w:val="000A63C0"/>
    <w:rsid w:val="000A640B"/>
    <w:rsid w:val="000A6427"/>
    <w:rsid w:val="000A6619"/>
    <w:rsid w:val="000A66A5"/>
    <w:rsid w:val="000A682C"/>
    <w:rsid w:val="000A695F"/>
    <w:rsid w:val="000A6A53"/>
    <w:rsid w:val="000A6AB9"/>
    <w:rsid w:val="000A6C1F"/>
    <w:rsid w:val="000A6C29"/>
    <w:rsid w:val="000A6D61"/>
    <w:rsid w:val="000A6DFF"/>
    <w:rsid w:val="000A7561"/>
    <w:rsid w:val="000A7744"/>
    <w:rsid w:val="000A789C"/>
    <w:rsid w:val="000A79E4"/>
    <w:rsid w:val="000A7B42"/>
    <w:rsid w:val="000A7C38"/>
    <w:rsid w:val="000A7C4D"/>
    <w:rsid w:val="000A7CCE"/>
    <w:rsid w:val="000A7CDE"/>
    <w:rsid w:val="000A7DF0"/>
    <w:rsid w:val="000A7E35"/>
    <w:rsid w:val="000A7E88"/>
    <w:rsid w:val="000B003A"/>
    <w:rsid w:val="000B0066"/>
    <w:rsid w:val="000B011F"/>
    <w:rsid w:val="000B0259"/>
    <w:rsid w:val="000B02B9"/>
    <w:rsid w:val="000B0342"/>
    <w:rsid w:val="000B0523"/>
    <w:rsid w:val="000B059D"/>
    <w:rsid w:val="000B0657"/>
    <w:rsid w:val="000B06C3"/>
    <w:rsid w:val="000B0841"/>
    <w:rsid w:val="000B091A"/>
    <w:rsid w:val="000B09E0"/>
    <w:rsid w:val="000B0A18"/>
    <w:rsid w:val="000B0CE1"/>
    <w:rsid w:val="000B0CE3"/>
    <w:rsid w:val="000B0DCF"/>
    <w:rsid w:val="000B0E1C"/>
    <w:rsid w:val="000B10B7"/>
    <w:rsid w:val="000B11A6"/>
    <w:rsid w:val="000B125B"/>
    <w:rsid w:val="000B1392"/>
    <w:rsid w:val="000B14DA"/>
    <w:rsid w:val="000B1546"/>
    <w:rsid w:val="000B1713"/>
    <w:rsid w:val="000B179A"/>
    <w:rsid w:val="000B1814"/>
    <w:rsid w:val="000B1928"/>
    <w:rsid w:val="000B1A93"/>
    <w:rsid w:val="000B1B09"/>
    <w:rsid w:val="000B1BEC"/>
    <w:rsid w:val="000B1BEF"/>
    <w:rsid w:val="000B1C06"/>
    <w:rsid w:val="000B1C1C"/>
    <w:rsid w:val="000B1D25"/>
    <w:rsid w:val="000B1DBF"/>
    <w:rsid w:val="000B1E87"/>
    <w:rsid w:val="000B205D"/>
    <w:rsid w:val="000B23F4"/>
    <w:rsid w:val="000B2515"/>
    <w:rsid w:val="000B26ED"/>
    <w:rsid w:val="000B27CC"/>
    <w:rsid w:val="000B2821"/>
    <w:rsid w:val="000B29BF"/>
    <w:rsid w:val="000B2D5C"/>
    <w:rsid w:val="000B2D96"/>
    <w:rsid w:val="000B2EAE"/>
    <w:rsid w:val="000B31FF"/>
    <w:rsid w:val="000B337E"/>
    <w:rsid w:val="000B33AA"/>
    <w:rsid w:val="000B33BC"/>
    <w:rsid w:val="000B33F2"/>
    <w:rsid w:val="000B3428"/>
    <w:rsid w:val="000B357E"/>
    <w:rsid w:val="000B3747"/>
    <w:rsid w:val="000B3802"/>
    <w:rsid w:val="000B3947"/>
    <w:rsid w:val="000B3985"/>
    <w:rsid w:val="000B39CD"/>
    <w:rsid w:val="000B39D7"/>
    <w:rsid w:val="000B3BB0"/>
    <w:rsid w:val="000B3EB1"/>
    <w:rsid w:val="000B40D1"/>
    <w:rsid w:val="000B414A"/>
    <w:rsid w:val="000B4272"/>
    <w:rsid w:val="000B42BF"/>
    <w:rsid w:val="000B43B1"/>
    <w:rsid w:val="000B43C0"/>
    <w:rsid w:val="000B4541"/>
    <w:rsid w:val="000B4555"/>
    <w:rsid w:val="000B461A"/>
    <w:rsid w:val="000B4684"/>
    <w:rsid w:val="000B46CC"/>
    <w:rsid w:val="000B46FA"/>
    <w:rsid w:val="000B4C36"/>
    <w:rsid w:val="000B4F98"/>
    <w:rsid w:val="000B503E"/>
    <w:rsid w:val="000B50D5"/>
    <w:rsid w:val="000B517D"/>
    <w:rsid w:val="000B5375"/>
    <w:rsid w:val="000B53C9"/>
    <w:rsid w:val="000B5420"/>
    <w:rsid w:val="000B54DB"/>
    <w:rsid w:val="000B55D7"/>
    <w:rsid w:val="000B5801"/>
    <w:rsid w:val="000B58C7"/>
    <w:rsid w:val="000B59C2"/>
    <w:rsid w:val="000B5A8A"/>
    <w:rsid w:val="000B5B44"/>
    <w:rsid w:val="000B5B6F"/>
    <w:rsid w:val="000B5D40"/>
    <w:rsid w:val="000B5DC4"/>
    <w:rsid w:val="000B5EAF"/>
    <w:rsid w:val="000B5EF8"/>
    <w:rsid w:val="000B5F6B"/>
    <w:rsid w:val="000B608A"/>
    <w:rsid w:val="000B60CF"/>
    <w:rsid w:val="000B611F"/>
    <w:rsid w:val="000B63A7"/>
    <w:rsid w:val="000B67B2"/>
    <w:rsid w:val="000B68C9"/>
    <w:rsid w:val="000B68E4"/>
    <w:rsid w:val="000B6A4A"/>
    <w:rsid w:val="000B6B5C"/>
    <w:rsid w:val="000B6BB9"/>
    <w:rsid w:val="000B6C3A"/>
    <w:rsid w:val="000B6E95"/>
    <w:rsid w:val="000B6ED0"/>
    <w:rsid w:val="000B7277"/>
    <w:rsid w:val="000B7356"/>
    <w:rsid w:val="000B74A0"/>
    <w:rsid w:val="000B7500"/>
    <w:rsid w:val="000B767C"/>
    <w:rsid w:val="000B772D"/>
    <w:rsid w:val="000B774B"/>
    <w:rsid w:val="000B77EE"/>
    <w:rsid w:val="000B7976"/>
    <w:rsid w:val="000B7A14"/>
    <w:rsid w:val="000B7A3D"/>
    <w:rsid w:val="000B7AA0"/>
    <w:rsid w:val="000B7CBF"/>
    <w:rsid w:val="000B7D48"/>
    <w:rsid w:val="000B7EA1"/>
    <w:rsid w:val="000B7EC6"/>
    <w:rsid w:val="000B7ED8"/>
    <w:rsid w:val="000B7F6B"/>
    <w:rsid w:val="000C043F"/>
    <w:rsid w:val="000C0502"/>
    <w:rsid w:val="000C05CA"/>
    <w:rsid w:val="000C06FB"/>
    <w:rsid w:val="000C0763"/>
    <w:rsid w:val="000C0865"/>
    <w:rsid w:val="000C094A"/>
    <w:rsid w:val="000C0A37"/>
    <w:rsid w:val="000C0AD5"/>
    <w:rsid w:val="000C0CB2"/>
    <w:rsid w:val="000C0DA4"/>
    <w:rsid w:val="000C113E"/>
    <w:rsid w:val="000C1144"/>
    <w:rsid w:val="000C1538"/>
    <w:rsid w:val="000C16B8"/>
    <w:rsid w:val="000C1737"/>
    <w:rsid w:val="000C1759"/>
    <w:rsid w:val="000C1AA3"/>
    <w:rsid w:val="000C1D91"/>
    <w:rsid w:val="000C1DB8"/>
    <w:rsid w:val="000C1F70"/>
    <w:rsid w:val="000C223C"/>
    <w:rsid w:val="000C2405"/>
    <w:rsid w:val="000C24EC"/>
    <w:rsid w:val="000C27EB"/>
    <w:rsid w:val="000C2940"/>
    <w:rsid w:val="000C2A19"/>
    <w:rsid w:val="000C2AE9"/>
    <w:rsid w:val="000C2AFE"/>
    <w:rsid w:val="000C2CC0"/>
    <w:rsid w:val="000C2D3F"/>
    <w:rsid w:val="000C2EC6"/>
    <w:rsid w:val="000C2EE2"/>
    <w:rsid w:val="000C2F0A"/>
    <w:rsid w:val="000C3033"/>
    <w:rsid w:val="000C32B1"/>
    <w:rsid w:val="000C35D8"/>
    <w:rsid w:val="000C36BA"/>
    <w:rsid w:val="000C36C3"/>
    <w:rsid w:val="000C372D"/>
    <w:rsid w:val="000C397E"/>
    <w:rsid w:val="000C39F3"/>
    <w:rsid w:val="000C3A86"/>
    <w:rsid w:val="000C3C82"/>
    <w:rsid w:val="000C3CF9"/>
    <w:rsid w:val="000C3E95"/>
    <w:rsid w:val="000C3FA4"/>
    <w:rsid w:val="000C406E"/>
    <w:rsid w:val="000C40EE"/>
    <w:rsid w:val="000C4232"/>
    <w:rsid w:val="000C4250"/>
    <w:rsid w:val="000C4287"/>
    <w:rsid w:val="000C437B"/>
    <w:rsid w:val="000C4597"/>
    <w:rsid w:val="000C45B4"/>
    <w:rsid w:val="000C46AE"/>
    <w:rsid w:val="000C481A"/>
    <w:rsid w:val="000C4B62"/>
    <w:rsid w:val="000C4BF9"/>
    <w:rsid w:val="000C4C25"/>
    <w:rsid w:val="000C4E12"/>
    <w:rsid w:val="000C4E37"/>
    <w:rsid w:val="000C4FFA"/>
    <w:rsid w:val="000C518F"/>
    <w:rsid w:val="000C51C8"/>
    <w:rsid w:val="000C5251"/>
    <w:rsid w:val="000C532C"/>
    <w:rsid w:val="000C5395"/>
    <w:rsid w:val="000C58B4"/>
    <w:rsid w:val="000C5A97"/>
    <w:rsid w:val="000C5BF0"/>
    <w:rsid w:val="000C5D09"/>
    <w:rsid w:val="000C5FEA"/>
    <w:rsid w:val="000C613E"/>
    <w:rsid w:val="000C61A7"/>
    <w:rsid w:val="000C61D4"/>
    <w:rsid w:val="000C6216"/>
    <w:rsid w:val="000C632D"/>
    <w:rsid w:val="000C6398"/>
    <w:rsid w:val="000C66FE"/>
    <w:rsid w:val="000C6765"/>
    <w:rsid w:val="000C67EF"/>
    <w:rsid w:val="000C691C"/>
    <w:rsid w:val="000C6A84"/>
    <w:rsid w:val="000C6B53"/>
    <w:rsid w:val="000C6BAE"/>
    <w:rsid w:val="000C6BB4"/>
    <w:rsid w:val="000C6BFF"/>
    <w:rsid w:val="000C6C91"/>
    <w:rsid w:val="000C6CE0"/>
    <w:rsid w:val="000C6D77"/>
    <w:rsid w:val="000C6E94"/>
    <w:rsid w:val="000C6F14"/>
    <w:rsid w:val="000C6F88"/>
    <w:rsid w:val="000C6F9F"/>
    <w:rsid w:val="000C7077"/>
    <w:rsid w:val="000C733D"/>
    <w:rsid w:val="000C739E"/>
    <w:rsid w:val="000C744C"/>
    <w:rsid w:val="000C754B"/>
    <w:rsid w:val="000C7994"/>
    <w:rsid w:val="000C79D9"/>
    <w:rsid w:val="000C7B2D"/>
    <w:rsid w:val="000C7B95"/>
    <w:rsid w:val="000C7CD9"/>
    <w:rsid w:val="000C7CE1"/>
    <w:rsid w:val="000C7FB5"/>
    <w:rsid w:val="000D00B2"/>
    <w:rsid w:val="000D00B3"/>
    <w:rsid w:val="000D00BF"/>
    <w:rsid w:val="000D017F"/>
    <w:rsid w:val="000D0220"/>
    <w:rsid w:val="000D0309"/>
    <w:rsid w:val="000D0345"/>
    <w:rsid w:val="000D0456"/>
    <w:rsid w:val="000D04AF"/>
    <w:rsid w:val="000D054D"/>
    <w:rsid w:val="000D0589"/>
    <w:rsid w:val="000D058A"/>
    <w:rsid w:val="000D05FD"/>
    <w:rsid w:val="000D06A2"/>
    <w:rsid w:val="000D0912"/>
    <w:rsid w:val="000D0975"/>
    <w:rsid w:val="000D0A15"/>
    <w:rsid w:val="000D0A7A"/>
    <w:rsid w:val="000D0C9D"/>
    <w:rsid w:val="000D0D21"/>
    <w:rsid w:val="000D0E6B"/>
    <w:rsid w:val="000D0E7A"/>
    <w:rsid w:val="000D0F9E"/>
    <w:rsid w:val="000D100A"/>
    <w:rsid w:val="000D10D7"/>
    <w:rsid w:val="000D1104"/>
    <w:rsid w:val="000D1137"/>
    <w:rsid w:val="000D11E1"/>
    <w:rsid w:val="000D12D1"/>
    <w:rsid w:val="000D145F"/>
    <w:rsid w:val="000D1480"/>
    <w:rsid w:val="000D1630"/>
    <w:rsid w:val="000D17B7"/>
    <w:rsid w:val="000D17E1"/>
    <w:rsid w:val="000D17E5"/>
    <w:rsid w:val="000D1C78"/>
    <w:rsid w:val="000D1CA7"/>
    <w:rsid w:val="000D1F7D"/>
    <w:rsid w:val="000D1FDC"/>
    <w:rsid w:val="000D1FE9"/>
    <w:rsid w:val="000D2026"/>
    <w:rsid w:val="000D20D6"/>
    <w:rsid w:val="000D2378"/>
    <w:rsid w:val="000D23C9"/>
    <w:rsid w:val="000D2507"/>
    <w:rsid w:val="000D25C4"/>
    <w:rsid w:val="000D273A"/>
    <w:rsid w:val="000D297F"/>
    <w:rsid w:val="000D2983"/>
    <w:rsid w:val="000D2BF8"/>
    <w:rsid w:val="000D30B1"/>
    <w:rsid w:val="000D3106"/>
    <w:rsid w:val="000D35C8"/>
    <w:rsid w:val="000D3600"/>
    <w:rsid w:val="000D393F"/>
    <w:rsid w:val="000D3982"/>
    <w:rsid w:val="000D3EC0"/>
    <w:rsid w:val="000D40E9"/>
    <w:rsid w:val="000D411D"/>
    <w:rsid w:val="000D41CA"/>
    <w:rsid w:val="000D43CB"/>
    <w:rsid w:val="000D465C"/>
    <w:rsid w:val="000D47CB"/>
    <w:rsid w:val="000D4845"/>
    <w:rsid w:val="000D495E"/>
    <w:rsid w:val="000D4A4D"/>
    <w:rsid w:val="000D4AF6"/>
    <w:rsid w:val="000D4C8C"/>
    <w:rsid w:val="000D4D9F"/>
    <w:rsid w:val="000D4DFE"/>
    <w:rsid w:val="000D4FD4"/>
    <w:rsid w:val="000D5077"/>
    <w:rsid w:val="000D50F6"/>
    <w:rsid w:val="000D5139"/>
    <w:rsid w:val="000D51F4"/>
    <w:rsid w:val="000D524F"/>
    <w:rsid w:val="000D5545"/>
    <w:rsid w:val="000D572A"/>
    <w:rsid w:val="000D57A2"/>
    <w:rsid w:val="000D5811"/>
    <w:rsid w:val="000D5821"/>
    <w:rsid w:val="000D59BD"/>
    <w:rsid w:val="000D5AE7"/>
    <w:rsid w:val="000D5B1D"/>
    <w:rsid w:val="000D5CDD"/>
    <w:rsid w:val="000D5D21"/>
    <w:rsid w:val="000D5E3F"/>
    <w:rsid w:val="000D5FA4"/>
    <w:rsid w:val="000D5FF1"/>
    <w:rsid w:val="000D6011"/>
    <w:rsid w:val="000D6031"/>
    <w:rsid w:val="000D608D"/>
    <w:rsid w:val="000D6132"/>
    <w:rsid w:val="000D6167"/>
    <w:rsid w:val="000D6287"/>
    <w:rsid w:val="000D6312"/>
    <w:rsid w:val="000D63B8"/>
    <w:rsid w:val="000D6562"/>
    <w:rsid w:val="000D6FBB"/>
    <w:rsid w:val="000D7261"/>
    <w:rsid w:val="000D7280"/>
    <w:rsid w:val="000D7321"/>
    <w:rsid w:val="000D73C3"/>
    <w:rsid w:val="000D73E5"/>
    <w:rsid w:val="000D7410"/>
    <w:rsid w:val="000D75ED"/>
    <w:rsid w:val="000D7634"/>
    <w:rsid w:val="000D7C53"/>
    <w:rsid w:val="000D7CC0"/>
    <w:rsid w:val="000E0007"/>
    <w:rsid w:val="000E01DE"/>
    <w:rsid w:val="000E03AC"/>
    <w:rsid w:val="000E0620"/>
    <w:rsid w:val="000E070F"/>
    <w:rsid w:val="000E089A"/>
    <w:rsid w:val="000E09F1"/>
    <w:rsid w:val="000E0A77"/>
    <w:rsid w:val="000E0C05"/>
    <w:rsid w:val="000E0C4F"/>
    <w:rsid w:val="000E0DC7"/>
    <w:rsid w:val="000E0F13"/>
    <w:rsid w:val="000E0F38"/>
    <w:rsid w:val="000E1023"/>
    <w:rsid w:val="000E106A"/>
    <w:rsid w:val="000E10B9"/>
    <w:rsid w:val="000E1167"/>
    <w:rsid w:val="000E1195"/>
    <w:rsid w:val="000E11F3"/>
    <w:rsid w:val="000E135C"/>
    <w:rsid w:val="000E13CF"/>
    <w:rsid w:val="000E13F7"/>
    <w:rsid w:val="000E14F8"/>
    <w:rsid w:val="000E1723"/>
    <w:rsid w:val="000E19FC"/>
    <w:rsid w:val="000E1A87"/>
    <w:rsid w:val="000E1ABF"/>
    <w:rsid w:val="000E1C3D"/>
    <w:rsid w:val="000E1E22"/>
    <w:rsid w:val="000E2006"/>
    <w:rsid w:val="000E206B"/>
    <w:rsid w:val="000E2074"/>
    <w:rsid w:val="000E212A"/>
    <w:rsid w:val="000E2365"/>
    <w:rsid w:val="000E23A2"/>
    <w:rsid w:val="000E2483"/>
    <w:rsid w:val="000E2E75"/>
    <w:rsid w:val="000E301A"/>
    <w:rsid w:val="000E306C"/>
    <w:rsid w:val="000E3157"/>
    <w:rsid w:val="000E3176"/>
    <w:rsid w:val="000E341B"/>
    <w:rsid w:val="000E3512"/>
    <w:rsid w:val="000E358C"/>
    <w:rsid w:val="000E37BA"/>
    <w:rsid w:val="000E37DB"/>
    <w:rsid w:val="000E3807"/>
    <w:rsid w:val="000E389F"/>
    <w:rsid w:val="000E3924"/>
    <w:rsid w:val="000E39B5"/>
    <w:rsid w:val="000E3D09"/>
    <w:rsid w:val="000E3D7C"/>
    <w:rsid w:val="000E3E0D"/>
    <w:rsid w:val="000E3E4A"/>
    <w:rsid w:val="000E3E8F"/>
    <w:rsid w:val="000E3F71"/>
    <w:rsid w:val="000E414F"/>
    <w:rsid w:val="000E41D1"/>
    <w:rsid w:val="000E41FA"/>
    <w:rsid w:val="000E43A4"/>
    <w:rsid w:val="000E4404"/>
    <w:rsid w:val="000E454E"/>
    <w:rsid w:val="000E47EE"/>
    <w:rsid w:val="000E4831"/>
    <w:rsid w:val="000E48A0"/>
    <w:rsid w:val="000E4965"/>
    <w:rsid w:val="000E499A"/>
    <w:rsid w:val="000E4B43"/>
    <w:rsid w:val="000E4C13"/>
    <w:rsid w:val="000E4E3C"/>
    <w:rsid w:val="000E4E77"/>
    <w:rsid w:val="000E500E"/>
    <w:rsid w:val="000E50FC"/>
    <w:rsid w:val="000E51F6"/>
    <w:rsid w:val="000E5352"/>
    <w:rsid w:val="000E5664"/>
    <w:rsid w:val="000E5831"/>
    <w:rsid w:val="000E59D1"/>
    <w:rsid w:val="000E5C25"/>
    <w:rsid w:val="000E5C3B"/>
    <w:rsid w:val="000E5D52"/>
    <w:rsid w:val="000E5E1F"/>
    <w:rsid w:val="000E5F35"/>
    <w:rsid w:val="000E6193"/>
    <w:rsid w:val="000E6227"/>
    <w:rsid w:val="000E623B"/>
    <w:rsid w:val="000E62AA"/>
    <w:rsid w:val="000E63BF"/>
    <w:rsid w:val="000E6424"/>
    <w:rsid w:val="000E64FF"/>
    <w:rsid w:val="000E65FD"/>
    <w:rsid w:val="000E67EE"/>
    <w:rsid w:val="000E684E"/>
    <w:rsid w:val="000E6A65"/>
    <w:rsid w:val="000E6ADB"/>
    <w:rsid w:val="000E6B62"/>
    <w:rsid w:val="000E6B88"/>
    <w:rsid w:val="000E6BD5"/>
    <w:rsid w:val="000E6C96"/>
    <w:rsid w:val="000E6F80"/>
    <w:rsid w:val="000E70EC"/>
    <w:rsid w:val="000E731F"/>
    <w:rsid w:val="000E7358"/>
    <w:rsid w:val="000E7372"/>
    <w:rsid w:val="000E7399"/>
    <w:rsid w:val="000E73CA"/>
    <w:rsid w:val="000E7513"/>
    <w:rsid w:val="000E75F5"/>
    <w:rsid w:val="000E7649"/>
    <w:rsid w:val="000E7854"/>
    <w:rsid w:val="000E7966"/>
    <w:rsid w:val="000E7A4F"/>
    <w:rsid w:val="000E7A70"/>
    <w:rsid w:val="000E7D51"/>
    <w:rsid w:val="000F007C"/>
    <w:rsid w:val="000F012A"/>
    <w:rsid w:val="000F03F5"/>
    <w:rsid w:val="000F0429"/>
    <w:rsid w:val="000F073E"/>
    <w:rsid w:val="000F0765"/>
    <w:rsid w:val="000F0875"/>
    <w:rsid w:val="000F0936"/>
    <w:rsid w:val="000F09B0"/>
    <w:rsid w:val="000F0A86"/>
    <w:rsid w:val="000F0C51"/>
    <w:rsid w:val="000F0D77"/>
    <w:rsid w:val="000F1104"/>
    <w:rsid w:val="000F115A"/>
    <w:rsid w:val="000F125E"/>
    <w:rsid w:val="000F12C0"/>
    <w:rsid w:val="000F1337"/>
    <w:rsid w:val="000F14CE"/>
    <w:rsid w:val="000F1587"/>
    <w:rsid w:val="000F17F4"/>
    <w:rsid w:val="000F18A2"/>
    <w:rsid w:val="000F1A02"/>
    <w:rsid w:val="000F1C89"/>
    <w:rsid w:val="000F1DC9"/>
    <w:rsid w:val="000F1F9A"/>
    <w:rsid w:val="000F210C"/>
    <w:rsid w:val="000F2132"/>
    <w:rsid w:val="000F2216"/>
    <w:rsid w:val="000F234F"/>
    <w:rsid w:val="000F23BE"/>
    <w:rsid w:val="000F2557"/>
    <w:rsid w:val="000F25C6"/>
    <w:rsid w:val="000F2701"/>
    <w:rsid w:val="000F2781"/>
    <w:rsid w:val="000F2874"/>
    <w:rsid w:val="000F2B03"/>
    <w:rsid w:val="000F2C41"/>
    <w:rsid w:val="000F2D09"/>
    <w:rsid w:val="000F2E6E"/>
    <w:rsid w:val="000F2EA4"/>
    <w:rsid w:val="000F30AF"/>
    <w:rsid w:val="000F3295"/>
    <w:rsid w:val="000F3366"/>
    <w:rsid w:val="000F3394"/>
    <w:rsid w:val="000F3427"/>
    <w:rsid w:val="000F344E"/>
    <w:rsid w:val="000F34A1"/>
    <w:rsid w:val="000F34DA"/>
    <w:rsid w:val="000F34DE"/>
    <w:rsid w:val="000F35D2"/>
    <w:rsid w:val="000F360A"/>
    <w:rsid w:val="000F3641"/>
    <w:rsid w:val="000F3754"/>
    <w:rsid w:val="000F387B"/>
    <w:rsid w:val="000F3903"/>
    <w:rsid w:val="000F3A28"/>
    <w:rsid w:val="000F3C66"/>
    <w:rsid w:val="000F3DA6"/>
    <w:rsid w:val="000F3DA8"/>
    <w:rsid w:val="000F3E70"/>
    <w:rsid w:val="000F3F8C"/>
    <w:rsid w:val="000F3FD9"/>
    <w:rsid w:val="000F443E"/>
    <w:rsid w:val="000F4494"/>
    <w:rsid w:val="000F4498"/>
    <w:rsid w:val="000F4564"/>
    <w:rsid w:val="000F45F4"/>
    <w:rsid w:val="000F4816"/>
    <w:rsid w:val="000F49C4"/>
    <w:rsid w:val="000F4B97"/>
    <w:rsid w:val="000F4C9D"/>
    <w:rsid w:val="000F4D36"/>
    <w:rsid w:val="000F4E8D"/>
    <w:rsid w:val="000F516D"/>
    <w:rsid w:val="000F5341"/>
    <w:rsid w:val="000F539E"/>
    <w:rsid w:val="000F53DE"/>
    <w:rsid w:val="000F5447"/>
    <w:rsid w:val="000F5519"/>
    <w:rsid w:val="000F5547"/>
    <w:rsid w:val="000F5834"/>
    <w:rsid w:val="000F588F"/>
    <w:rsid w:val="000F58B9"/>
    <w:rsid w:val="000F591F"/>
    <w:rsid w:val="000F594A"/>
    <w:rsid w:val="000F5B6D"/>
    <w:rsid w:val="000F5BB2"/>
    <w:rsid w:val="000F5DA7"/>
    <w:rsid w:val="000F60F6"/>
    <w:rsid w:val="000F638C"/>
    <w:rsid w:val="000F63C0"/>
    <w:rsid w:val="000F641C"/>
    <w:rsid w:val="000F6465"/>
    <w:rsid w:val="000F6630"/>
    <w:rsid w:val="000F664A"/>
    <w:rsid w:val="000F672D"/>
    <w:rsid w:val="000F6834"/>
    <w:rsid w:val="000F6EEF"/>
    <w:rsid w:val="000F6FA9"/>
    <w:rsid w:val="000F706C"/>
    <w:rsid w:val="000F72ED"/>
    <w:rsid w:val="000F737B"/>
    <w:rsid w:val="000F74A9"/>
    <w:rsid w:val="000F7548"/>
    <w:rsid w:val="000F75AD"/>
    <w:rsid w:val="000F76EE"/>
    <w:rsid w:val="000F7A01"/>
    <w:rsid w:val="000F7B5D"/>
    <w:rsid w:val="000F7DCC"/>
    <w:rsid w:val="000F7E4A"/>
    <w:rsid w:val="001003E4"/>
    <w:rsid w:val="00100826"/>
    <w:rsid w:val="0010088F"/>
    <w:rsid w:val="001009C8"/>
    <w:rsid w:val="00100BCB"/>
    <w:rsid w:val="00100BCE"/>
    <w:rsid w:val="00100D16"/>
    <w:rsid w:val="00100D31"/>
    <w:rsid w:val="00101179"/>
    <w:rsid w:val="001013E6"/>
    <w:rsid w:val="001014AC"/>
    <w:rsid w:val="00101509"/>
    <w:rsid w:val="00101515"/>
    <w:rsid w:val="001016D1"/>
    <w:rsid w:val="001018DF"/>
    <w:rsid w:val="00101974"/>
    <w:rsid w:val="0010199B"/>
    <w:rsid w:val="00101C2F"/>
    <w:rsid w:val="00101E50"/>
    <w:rsid w:val="00101E87"/>
    <w:rsid w:val="00101FAE"/>
    <w:rsid w:val="00101FB8"/>
    <w:rsid w:val="00101FCF"/>
    <w:rsid w:val="0010223E"/>
    <w:rsid w:val="0010230C"/>
    <w:rsid w:val="001028A4"/>
    <w:rsid w:val="001028BD"/>
    <w:rsid w:val="00102A82"/>
    <w:rsid w:val="00102B1E"/>
    <w:rsid w:val="00102B67"/>
    <w:rsid w:val="00102D00"/>
    <w:rsid w:val="00102D65"/>
    <w:rsid w:val="00103062"/>
    <w:rsid w:val="00103297"/>
    <w:rsid w:val="00103668"/>
    <w:rsid w:val="0010378B"/>
    <w:rsid w:val="0010394C"/>
    <w:rsid w:val="00103979"/>
    <w:rsid w:val="00103A78"/>
    <w:rsid w:val="00103A98"/>
    <w:rsid w:val="00103BE8"/>
    <w:rsid w:val="00103D77"/>
    <w:rsid w:val="00103DEB"/>
    <w:rsid w:val="00103E08"/>
    <w:rsid w:val="00103FD3"/>
    <w:rsid w:val="00104064"/>
    <w:rsid w:val="00104193"/>
    <w:rsid w:val="0010423D"/>
    <w:rsid w:val="001046B4"/>
    <w:rsid w:val="001046DF"/>
    <w:rsid w:val="00104A0A"/>
    <w:rsid w:val="00104A0F"/>
    <w:rsid w:val="00104B0E"/>
    <w:rsid w:val="00104C90"/>
    <w:rsid w:val="00104D50"/>
    <w:rsid w:val="0010538C"/>
    <w:rsid w:val="00105568"/>
    <w:rsid w:val="001055FE"/>
    <w:rsid w:val="0010564C"/>
    <w:rsid w:val="001057BC"/>
    <w:rsid w:val="0010582D"/>
    <w:rsid w:val="001058E1"/>
    <w:rsid w:val="00105903"/>
    <w:rsid w:val="001059A9"/>
    <w:rsid w:val="001059D4"/>
    <w:rsid w:val="00105BD9"/>
    <w:rsid w:val="00105C20"/>
    <w:rsid w:val="00105E41"/>
    <w:rsid w:val="00105ED5"/>
    <w:rsid w:val="00105EF7"/>
    <w:rsid w:val="0010601D"/>
    <w:rsid w:val="001061CA"/>
    <w:rsid w:val="00106269"/>
    <w:rsid w:val="001062E4"/>
    <w:rsid w:val="00106395"/>
    <w:rsid w:val="001064DC"/>
    <w:rsid w:val="00106515"/>
    <w:rsid w:val="001065F3"/>
    <w:rsid w:val="00106636"/>
    <w:rsid w:val="001066B5"/>
    <w:rsid w:val="0010670E"/>
    <w:rsid w:val="0010689A"/>
    <w:rsid w:val="0010694C"/>
    <w:rsid w:val="00106C12"/>
    <w:rsid w:val="00106C3B"/>
    <w:rsid w:val="00106D09"/>
    <w:rsid w:val="00106E7F"/>
    <w:rsid w:val="00106ECA"/>
    <w:rsid w:val="001070BB"/>
    <w:rsid w:val="001070FA"/>
    <w:rsid w:val="001071D3"/>
    <w:rsid w:val="0010731E"/>
    <w:rsid w:val="0010736B"/>
    <w:rsid w:val="0010757C"/>
    <w:rsid w:val="00107588"/>
    <w:rsid w:val="001075DF"/>
    <w:rsid w:val="00107762"/>
    <w:rsid w:val="00107912"/>
    <w:rsid w:val="0010791C"/>
    <w:rsid w:val="00107A01"/>
    <w:rsid w:val="00107C04"/>
    <w:rsid w:val="00107C50"/>
    <w:rsid w:val="00107D87"/>
    <w:rsid w:val="00107DD5"/>
    <w:rsid w:val="001100F2"/>
    <w:rsid w:val="00110154"/>
    <w:rsid w:val="001102EF"/>
    <w:rsid w:val="00110312"/>
    <w:rsid w:val="00110676"/>
    <w:rsid w:val="0011083E"/>
    <w:rsid w:val="001108FD"/>
    <w:rsid w:val="0011098E"/>
    <w:rsid w:val="001109AE"/>
    <w:rsid w:val="00110B2B"/>
    <w:rsid w:val="00110D02"/>
    <w:rsid w:val="00110DB9"/>
    <w:rsid w:val="00110E5E"/>
    <w:rsid w:val="00110FD3"/>
    <w:rsid w:val="00111041"/>
    <w:rsid w:val="0011108C"/>
    <w:rsid w:val="001110F6"/>
    <w:rsid w:val="001112AE"/>
    <w:rsid w:val="00111351"/>
    <w:rsid w:val="00111362"/>
    <w:rsid w:val="001115B0"/>
    <w:rsid w:val="001115E9"/>
    <w:rsid w:val="00111601"/>
    <w:rsid w:val="001116B0"/>
    <w:rsid w:val="00111800"/>
    <w:rsid w:val="00111B17"/>
    <w:rsid w:val="00111D6F"/>
    <w:rsid w:val="00111F0F"/>
    <w:rsid w:val="001121AD"/>
    <w:rsid w:val="001121BF"/>
    <w:rsid w:val="00112213"/>
    <w:rsid w:val="00112217"/>
    <w:rsid w:val="001122AB"/>
    <w:rsid w:val="0011242E"/>
    <w:rsid w:val="00112463"/>
    <w:rsid w:val="00112471"/>
    <w:rsid w:val="00112537"/>
    <w:rsid w:val="00112712"/>
    <w:rsid w:val="00112A79"/>
    <w:rsid w:val="00112A8B"/>
    <w:rsid w:val="00112B67"/>
    <w:rsid w:val="00112CDB"/>
    <w:rsid w:val="00112DFB"/>
    <w:rsid w:val="00112F16"/>
    <w:rsid w:val="00112FA5"/>
    <w:rsid w:val="0011304D"/>
    <w:rsid w:val="00113173"/>
    <w:rsid w:val="00113190"/>
    <w:rsid w:val="001134A2"/>
    <w:rsid w:val="0011350F"/>
    <w:rsid w:val="00113620"/>
    <w:rsid w:val="0011373E"/>
    <w:rsid w:val="00113A53"/>
    <w:rsid w:val="00113CA7"/>
    <w:rsid w:val="001143FD"/>
    <w:rsid w:val="001145D5"/>
    <w:rsid w:val="0011464E"/>
    <w:rsid w:val="001146BF"/>
    <w:rsid w:val="001147EC"/>
    <w:rsid w:val="00114A1B"/>
    <w:rsid w:val="00114A78"/>
    <w:rsid w:val="00114AF0"/>
    <w:rsid w:val="00114C3D"/>
    <w:rsid w:val="00114CB0"/>
    <w:rsid w:val="00114F0E"/>
    <w:rsid w:val="00114F40"/>
    <w:rsid w:val="0011519F"/>
    <w:rsid w:val="001152EE"/>
    <w:rsid w:val="00115404"/>
    <w:rsid w:val="0011552D"/>
    <w:rsid w:val="0011553E"/>
    <w:rsid w:val="001156E9"/>
    <w:rsid w:val="0011570D"/>
    <w:rsid w:val="001158AC"/>
    <w:rsid w:val="00115984"/>
    <w:rsid w:val="00115ACF"/>
    <w:rsid w:val="00115AE7"/>
    <w:rsid w:val="00115F13"/>
    <w:rsid w:val="001162AC"/>
    <w:rsid w:val="0011633A"/>
    <w:rsid w:val="00116536"/>
    <w:rsid w:val="0011662B"/>
    <w:rsid w:val="001167B3"/>
    <w:rsid w:val="001168A7"/>
    <w:rsid w:val="001168CE"/>
    <w:rsid w:val="00116983"/>
    <w:rsid w:val="00116A6B"/>
    <w:rsid w:val="00116B85"/>
    <w:rsid w:val="00116BBE"/>
    <w:rsid w:val="00116D33"/>
    <w:rsid w:val="00116D75"/>
    <w:rsid w:val="00116DF6"/>
    <w:rsid w:val="00116FCC"/>
    <w:rsid w:val="00117092"/>
    <w:rsid w:val="001170A9"/>
    <w:rsid w:val="001170CD"/>
    <w:rsid w:val="001172E4"/>
    <w:rsid w:val="001174FE"/>
    <w:rsid w:val="00117AB8"/>
    <w:rsid w:val="00117D10"/>
    <w:rsid w:val="00117F6F"/>
    <w:rsid w:val="00120289"/>
    <w:rsid w:val="00120380"/>
    <w:rsid w:val="0012038F"/>
    <w:rsid w:val="0012039A"/>
    <w:rsid w:val="00120571"/>
    <w:rsid w:val="001208FA"/>
    <w:rsid w:val="00120B5C"/>
    <w:rsid w:val="00120B78"/>
    <w:rsid w:val="00120B83"/>
    <w:rsid w:val="00120CBA"/>
    <w:rsid w:val="00120CD1"/>
    <w:rsid w:val="00120D03"/>
    <w:rsid w:val="00120D14"/>
    <w:rsid w:val="001214A3"/>
    <w:rsid w:val="00121657"/>
    <w:rsid w:val="00121825"/>
    <w:rsid w:val="00121A04"/>
    <w:rsid w:val="00121B5A"/>
    <w:rsid w:val="00121BE5"/>
    <w:rsid w:val="00121C70"/>
    <w:rsid w:val="00121D20"/>
    <w:rsid w:val="00121E00"/>
    <w:rsid w:val="00121EB4"/>
    <w:rsid w:val="001220B1"/>
    <w:rsid w:val="001221BA"/>
    <w:rsid w:val="00122484"/>
    <w:rsid w:val="001225A5"/>
    <w:rsid w:val="001225B3"/>
    <w:rsid w:val="0012267B"/>
    <w:rsid w:val="001227D8"/>
    <w:rsid w:val="00122857"/>
    <w:rsid w:val="00122D4C"/>
    <w:rsid w:val="0012300B"/>
    <w:rsid w:val="00123076"/>
    <w:rsid w:val="001230EA"/>
    <w:rsid w:val="001232A9"/>
    <w:rsid w:val="001233FA"/>
    <w:rsid w:val="0012343A"/>
    <w:rsid w:val="001234AA"/>
    <w:rsid w:val="00123A33"/>
    <w:rsid w:val="00123B9E"/>
    <w:rsid w:val="00123CE3"/>
    <w:rsid w:val="00123D92"/>
    <w:rsid w:val="00123E18"/>
    <w:rsid w:val="00123E7E"/>
    <w:rsid w:val="00123EC7"/>
    <w:rsid w:val="00123F52"/>
    <w:rsid w:val="00124266"/>
    <w:rsid w:val="001244C7"/>
    <w:rsid w:val="001244E0"/>
    <w:rsid w:val="001245C1"/>
    <w:rsid w:val="001245FA"/>
    <w:rsid w:val="00124686"/>
    <w:rsid w:val="0012485F"/>
    <w:rsid w:val="001248E8"/>
    <w:rsid w:val="001249BE"/>
    <w:rsid w:val="001249FC"/>
    <w:rsid w:val="00124C4A"/>
    <w:rsid w:val="00124C74"/>
    <w:rsid w:val="00124E40"/>
    <w:rsid w:val="00124EE7"/>
    <w:rsid w:val="00124EF3"/>
    <w:rsid w:val="00124F87"/>
    <w:rsid w:val="0012500B"/>
    <w:rsid w:val="0012506E"/>
    <w:rsid w:val="00125351"/>
    <w:rsid w:val="00125397"/>
    <w:rsid w:val="001253F0"/>
    <w:rsid w:val="00125421"/>
    <w:rsid w:val="001254D6"/>
    <w:rsid w:val="0012559F"/>
    <w:rsid w:val="00125622"/>
    <w:rsid w:val="00125689"/>
    <w:rsid w:val="001256E7"/>
    <w:rsid w:val="0012587B"/>
    <w:rsid w:val="001259E0"/>
    <w:rsid w:val="00125A03"/>
    <w:rsid w:val="00125CFD"/>
    <w:rsid w:val="00125D3E"/>
    <w:rsid w:val="00125DC9"/>
    <w:rsid w:val="00125E0A"/>
    <w:rsid w:val="00125E93"/>
    <w:rsid w:val="00125EF9"/>
    <w:rsid w:val="00125EFA"/>
    <w:rsid w:val="001260EC"/>
    <w:rsid w:val="00126144"/>
    <w:rsid w:val="0012633B"/>
    <w:rsid w:val="00126393"/>
    <w:rsid w:val="001265A3"/>
    <w:rsid w:val="001266CC"/>
    <w:rsid w:val="00126776"/>
    <w:rsid w:val="00126786"/>
    <w:rsid w:val="00126790"/>
    <w:rsid w:val="00126854"/>
    <w:rsid w:val="00126901"/>
    <w:rsid w:val="00126966"/>
    <w:rsid w:val="00126A54"/>
    <w:rsid w:val="00126AE6"/>
    <w:rsid w:val="00126C77"/>
    <w:rsid w:val="00126DB5"/>
    <w:rsid w:val="00126E9F"/>
    <w:rsid w:val="001274C3"/>
    <w:rsid w:val="00127616"/>
    <w:rsid w:val="001279E9"/>
    <w:rsid w:val="001279F2"/>
    <w:rsid w:val="00127A3C"/>
    <w:rsid w:val="00127A6F"/>
    <w:rsid w:val="00127B04"/>
    <w:rsid w:val="00127C3A"/>
    <w:rsid w:val="00127DF4"/>
    <w:rsid w:val="001303BD"/>
    <w:rsid w:val="00130650"/>
    <w:rsid w:val="0013074C"/>
    <w:rsid w:val="00130961"/>
    <w:rsid w:val="001309C0"/>
    <w:rsid w:val="00130C11"/>
    <w:rsid w:val="00130D37"/>
    <w:rsid w:val="00130DBE"/>
    <w:rsid w:val="00130E3D"/>
    <w:rsid w:val="00130E7D"/>
    <w:rsid w:val="0013106E"/>
    <w:rsid w:val="001310B4"/>
    <w:rsid w:val="001312F0"/>
    <w:rsid w:val="00131347"/>
    <w:rsid w:val="00131359"/>
    <w:rsid w:val="00131468"/>
    <w:rsid w:val="001314E2"/>
    <w:rsid w:val="0013150D"/>
    <w:rsid w:val="00131730"/>
    <w:rsid w:val="001318B6"/>
    <w:rsid w:val="00131AAF"/>
    <w:rsid w:val="00131CF2"/>
    <w:rsid w:val="00131E17"/>
    <w:rsid w:val="00131E34"/>
    <w:rsid w:val="00131E71"/>
    <w:rsid w:val="00131EF2"/>
    <w:rsid w:val="00131F6C"/>
    <w:rsid w:val="00131FA4"/>
    <w:rsid w:val="0013217B"/>
    <w:rsid w:val="001323DF"/>
    <w:rsid w:val="00132442"/>
    <w:rsid w:val="00132463"/>
    <w:rsid w:val="00132467"/>
    <w:rsid w:val="00132607"/>
    <w:rsid w:val="0013264A"/>
    <w:rsid w:val="0013276E"/>
    <w:rsid w:val="00132880"/>
    <w:rsid w:val="00132A55"/>
    <w:rsid w:val="00132BB0"/>
    <w:rsid w:val="00132E7A"/>
    <w:rsid w:val="00132FF7"/>
    <w:rsid w:val="00133090"/>
    <w:rsid w:val="0013321E"/>
    <w:rsid w:val="0013327A"/>
    <w:rsid w:val="001332A7"/>
    <w:rsid w:val="001335C0"/>
    <w:rsid w:val="001335EA"/>
    <w:rsid w:val="00133830"/>
    <w:rsid w:val="0013387D"/>
    <w:rsid w:val="00133887"/>
    <w:rsid w:val="001339BF"/>
    <w:rsid w:val="001339DD"/>
    <w:rsid w:val="00133B08"/>
    <w:rsid w:val="00133B29"/>
    <w:rsid w:val="00133B8D"/>
    <w:rsid w:val="00133BF5"/>
    <w:rsid w:val="00133C8B"/>
    <w:rsid w:val="00133C9B"/>
    <w:rsid w:val="00133CD2"/>
    <w:rsid w:val="00133D87"/>
    <w:rsid w:val="00133E5B"/>
    <w:rsid w:val="00133E6D"/>
    <w:rsid w:val="00134029"/>
    <w:rsid w:val="001340C3"/>
    <w:rsid w:val="0013422D"/>
    <w:rsid w:val="0013426C"/>
    <w:rsid w:val="0013437A"/>
    <w:rsid w:val="00134395"/>
    <w:rsid w:val="0013443D"/>
    <w:rsid w:val="0013448A"/>
    <w:rsid w:val="0013478B"/>
    <w:rsid w:val="00134C34"/>
    <w:rsid w:val="00134C99"/>
    <w:rsid w:val="00134D2D"/>
    <w:rsid w:val="00134DF4"/>
    <w:rsid w:val="00134DFF"/>
    <w:rsid w:val="0013542E"/>
    <w:rsid w:val="001354EC"/>
    <w:rsid w:val="00135544"/>
    <w:rsid w:val="00135955"/>
    <w:rsid w:val="001359D1"/>
    <w:rsid w:val="001359E5"/>
    <w:rsid w:val="00135AAA"/>
    <w:rsid w:val="00135E2B"/>
    <w:rsid w:val="00135F72"/>
    <w:rsid w:val="0013611E"/>
    <w:rsid w:val="0013615D"/>
    <w:rsid w:val="0013637B"/>
    <w:rsid w:val="001363DB"/>
    <w:rsid w:val="001364C5"/>
    <w:rsid w:val="001364CD"/>
    <w:rsid w:val="001365F8"/>
    <w:rsid w:val="0013676F"/>
    <w:rsid w:val="00136C4A"/>
    <w:rsid w:val="00136D6D"/>
    <w:rsid w:val="00136D94"/>
    <w:rsid w:val="00136EB6"/>
    <w:rsid w:val="00137001"/>
    <w:rsid w:val="001371FD"/>
    <w:rsid w:val="0013722E"/>
    <w:rsid w:val="00137280"/>
    <w:rsid w:val="0013731B"/>
    <w:rsid w:val="001374F9"/>
    <w:rsid w:val="00137582"/>
    <w:rsid w:val="00137652"/>
    <w:rsid w:val="00137850"/>
    <w:rsid w:val="00137882"/>
    <w:rsid w:val="001379F3"/>
    <w:rsid w:val="00137AA1"/>
    <w:rsid w:val="00137AA8"/>
    <w:rsid w:val="00137B63"/>
    <w:rsid w:val="00137D2F"/>
    <w:rsid w:val="00137F76"/>
    <w:rsid w:val="00140143"/>
    <w:rsid w:val="00140188"/>
    <w:rsid w:val="001401B0"/>
    <w:rsid w:val="0014028D"/>
    <w:rsid w:val="0014046D"/>
    <w:rsid w:val="00140498"/>
    <w:rsid w:val="0014051A"/>
    <w:rsid w:val="0014071C"/>
    <w:rsid w:val="0014076F"/>
    <w:rsid w:val="001407C1"/>
    <w:rsid w:val="001407ED"/>
    <w:rsid w:val="00140B18"/>
    <w:rsid w:val="00140CDD"/>
    <w:rsid w:val="00140F7A"/>
    <w:rsid w:val="00140FF4"/>
    <w:rsid w:val="001410D0"/>
    <w:rsid w:val="00141429"/>
    <w:rsid w:val="0014171D"/>
    <w:rsid w:val="00141C7C"/>
    <w:rsid w:val="0014225E"/>
    <w:rsid w:val="0014236D"/>
    <w:rsid w:val="00142445"/>
    <w:rsid w:val="001427D6"/>
    <w:rsid w:val="001427FB"/>
    <w:rsid w:val="00142BB0"/>
    <w:rsid w:val="00142D64"/>
    <w:rsid w:val="00142D78"/>
    <w:rsid w:val="00142F2A"/>
    <w:rsid w:val="00142F98"/>
    <w:rsid w:val="00143131"/>
    <w:rsid w:val="0014326D"/>
    <w:rsid w:val="001432C0"/>
    <w:rsid w:val="00143387"/>
    <w:rsid w:val="00143441"/>
    <w:rsid w:val="001434F3"/>
    <w:rsid w:val="00143A01"/>
    <w:rsid w:val="00143B34"/>
    <w:rsid w:val="00143FB6"/>
    <w:rsid w:val="001441F2"/>
    <w:rsid w:val="0014424F"/>
    <w:rsid w:val="0014431C"/>
    <w:rsid w:val="001444F0"/>
    <w:rsid w:val="00144A1A"/>
    <w:rsid w:val="00144AC0"/>
    <w:rsid w:val="00144F21"/>
    <w:rsid w:val="0014511D"/>
    <w:rsid w:val="001452A5"/>
    <w:rsid w:val="0014538A"/>
    <w:rsid w:val="00145660"/>
    <w:rsid w:val="00145730"/>
    <w:rsid w:val="00145861"/>
    <w:rsid w:val="0014598D"/>
    <w:rsid w:val="001459A6"/>
    <w:rsid w:val="00145ACE"/>
    <w:rsid w:val="00145B28"/>
    <w:rsid w:val="00145CF5"/>
    <w:rsid w:val="00145D85"/>
    <w:rsid w:val="00145E1C"/>
    <w:rsid w:val="00146305"/>
    <w:rsid w:val="0014660C"/>
    <w:rsid w:val="001467F8"/>
    <w:rsid w:val="001469A4"/>
    <w:rsid w:val="00146A8C"/>
    <w:rsid w:val="00146D46"/>
    <w:rsid w:val="00146DAD"/>
    <w:rsid w:val="001470E8"/>
    <w:rsid w:val="001473EC"/>
    <w:rsid w:val="00147405"/>
    <w:rsid w:val="001476A1"/>
    <w:rsid w:val="001476F7"/>
    <w:rsid w:val="001477E5"/>
    <w:rsid w:val="00147935"/>
    <w:rsid w:val="00147E56"/>
    <w:rsid w:val="00150110"/>
    <w:rsid w:val="00150141"/>
    <w:rsid w:val="001502A9"/>
    <w:rsid w:val="001502FA"/>
    <w:rsid w:val="00150335"/>
    <w:rsid w:val="00150337"/>
    <w:rsid w:val="001503A6"/>
    <w:rsid w:val="001503ED"/>
    <w:rsid w:val="00150495"/>
    <w:rsid w:val="00150528"/>
    <w:rsid w:val="00150602"/>
    <w:rsid w:val="001506C6"/>
    <w:rsid w:val="0015079E"/>
    <w:rsid w:val="00150875"/>
    <w:rsid w:val="001509F3"/>
    <w:rsid w:val="00150B66"/>
    <w:rsid w:val="00150F18"/>
    <w:rsid w:val="00150FD6"/>
    <w:rsid w:val="00151106"/>
    <w:rsid w:val="001514DE"/>
    <w:rsid w:val="001515BF"/>
    <w:rsid w:val="001515E8"/>
    <w:rsid w:val="0015163E"/>
    <w:rsid w:val="0015174E"/>
    <w:rsid w:val="001519C2"/>
    <w:rsid w:val="001519CE"/>
    <w:rsid w:val="00151E60"/>
    <w:rsid w:val="00151EDA"/>
    <w:rsid w:val="00151EFA"/>
    <w:rsid w:val="00151F6A"/>
    <w:rsid w:val="00151FC7"/>
    <w:rsid w:val="00151FCB"/>
    <w:rsid w:val="00151FCD"/>
    <w:rsid w:val="001520C0"/>
    <w:rsid w:val="00152164"/>
    <w:rsid w:val="00152317"/>
    <w:rsid w:val="0015238B"/>
    <w:rsid w:val="001523A9"/>
    <w:rsid w:val="001523C6"/>
    <w:rsid w:val="00152510"/>
    <w:rsid w:val="00152542"/>
    <w:rsid w:val="00152579"/>
    <w:rsid w:val="001526EB"/>
    <w:rsid w:val="00152D08"/>
    <w:rsid w:val="0015310E"/>
    <w:rsid w:val="001531B7"/>
    <w:rsid w:val="00153304"/>
    <w:rsid w:val="00153365"/>
    <w:rsid w:val="001533F7"/>
    <w:rsid w:val="0015341C"/>
    <w:rsid w:val="0015344D"/>
    <w:rsid w:val="00153507"/>
    <w:rsid w:val="001535B7"/>
    <w:rsid w:val="001536AB"/>
    <w:rsid w:val="00153861"/>
    <w:rsid w:val="00153924"/>
    <w:rsid w:val="00153936"/>
    <w:rsid w:val="001539F8"/>
    <w:rsid w:val="00153A14"/>
    <w:rsid w:val="00153A82"/>
    <w:rsid w:val="00153B7F"/>
    <w:rsid w:val="00153BB7"/>
    <w:rsid w:val="00153C7A"/>
    <w:rsid w:val="00153D0C"/>
    <w:rsid w:val="00153DE9"/>
    <w:rsid w:val="00153E44"/>
    <w:rsid w:val="00153E74"/>
    <w:rsid w:val="00153ECE"/>
    <w:rsid w:val="00153ED4"/>
    <w:rsid w:val="00154141"/>
    <w:rsid w:val="00154157"/>
    <w:rsid w:val="00154161"/>
    <w:rsid w:val="001542DA"/>
    <w:rsid w:val="0015440F"/>
    <w:rsid w:val="001544FC"/>
    <w:rsid w:val="00154629"/>
    <w:rsid w:val="0015466A"/>
    <w:rsid w:val="0015474F"/>
    <w:rsid w:val="00154813"/>
    <w:rsid w:val="00154850"/>
    <w:rsid w:val="0015498F"/>
    <w:rsid w:val="001549E2"/>
    <w:rsid w:val="00154A53"/>
    <w:rsid w:val="00154AA2"/>
    <w:rsid w:val="00154BBB"/>
    <w:rsid w:val="00154ECB"/>
    <w:rsid w:val="001550CB"/>
    <w:rsid w:val="00155166"/>
    <w:rsid w:val="0015530A"/>
    <w:rsid w:val="00155445"/>
    <w:rsid w:val="00155529"/>
    <w:rsid w:val="00155760"/>
    <w:rsid w:val="00155786"/>
    <w:rsid w:val="001559FE"/>
    <w:rsid w:val="00155CEA"/>
    <w:rsid w:val="00155CFD"/>
    <w:rsid w:val="00155DBD"/>
    <w:rsid w:val="00155E1D"/>
    <w:rsid w:val="00155E33"/>
    <w:rsid w:val="00155F08"/>
    <w:rsid w:val="00155F2E"/>
    <w:rsid w:val="00155F5B"/>
    <w:rsid w:val="001560A6"/>
    <w:rsid w:val="001560AC"/>
    <w:rsid w:val="0015617F"/>
    <w:rsid w:val="0015638D"/>
    <w:rsid w:val="00156390"/>
    <w:rsid w:val="001563F7"/>
    <w:rsid w:val="001564BE"/>
    <w:rsid w:val="001564EA"/>
    <w:rsid w:val="00156784"/>
    <w:rsid w:val="00156908"/>
    <w:rsid w:val="00156994"/>
    <w:rsid w:val="00156A0F"/>
    <w:rsid w:val="00156A3B"/>
    <w:rsid w:val="00156FAC"/>
    <w:rsid w:val="001570C3"/>
    <w:rsid w:val="00157147"/>
    <w:rsid w:val="00157265"/>
    <w:rsid w:val="001575FB"/>
    <w:rsid w:val="00157613"/>
    <w:rsid w:val="001576E6"/>
    <w:rsid w:val="00157717"/>
    <w:rsid w:val="00157922"/>
    <w:rsid w:val="00157A7E"/>
    <w:rsid w:val="00157AB8"/>
    <w:rsid w:val="00157E2B"/>
    <w:rsid w:val="00160152"/>
    <w:rsid w:val="00160416"/>
    <w:rsid w:val="001608E2"/>
    <w:rsid w:val="001609B9"/>
    <w:rsid w:val="001609CD"/>
    <w:rsid w:val="00160AB0"/>
    <w:rsid w:val="00160ABE"/>
    <w:rsid w:val="00160B20"/>
    <w:rsid w:val="00160B2A"/>
    <w:rsid w:val="00160B8E"/>
    <w:rsid w:val="00160C9B"/>
    <w:rsid w:val="0016108D"/>
    <w:rsid w:val="0016120A"/>
    <w:rsid w:val="001613D5"/>
    <w:rsid w:val="00161423"/>
    <w:rsid w:val="00161497"/>
    <w:rsid w:val="001614F6"/>
    <w:rsid w:val="00161628"/>
    <w:rsid w:val="001618C5"/>
    <w:rsid w:val="00161927"/>
    <w:rsid w:val="0016195E"/>
    <w:rsid w:val="00161A7E"/>
    <w:rsid w:val="00161AC4"/>
    <w:rsid w:val="00161ADA"/>
    <w:rsid w:val="00161DA8"/>
    <w:rsid w:val="00161E01"/>
    <w:rsid w:val="001622AE"/>
    <w:rsid w:val="001623B9"/>
    <w:rsid w:val="001623E8"/>
    <w:rsid w:val="0016251C"/>
    <w:rsid w:val="001625B2"/>
    <w:rsid w:val="0016262D"/>
    <w:rsid w:val="00162689"/>
    <w:rsid w:val="00162790"/>
    <w:rsid w:val="0016293D"/>
    <w:rsid w:val="00162945"/>
    <w:rsid w:val="00162A86"/>
    <w:rsid w:val="00162DC8"/>
    <w:rsid w:val="00162E9E"/>
    <w:rsid w:val="00163005"/>
    <w:rsid w:val="001630D6"/>
    <w:rsid w:val="001634EC"/>
    <w:rsid w:val="00163562"/>
    <w:rsid w:val="001636B6"/>
    <w:rsid w:val="001636E4"/>
    <w:rsid w:val="00163754"/>
    <w:rsid w:val="00163A50"/>
    <w:rsid w:val="00163BD9"/>
    <w:rsid w:val="00163C4F"/>
    <w:rsid w:val="00163ED2"/>
    <w:rsid w:val="00163F18"/>
    <w:rsid w:val="00163FE0"/>
    <w:rsid w:val="00164122"/>
    <w:rsid w:val="00164237"/>
    <w:rsid w:val="001643E9"/>
    <w:rsid w:val="001644A1"/>
    <w:rsid w:val="0016463E"/>
    <w:rsid w:val="00164A90"/>
    <w:rsid w:val="00164B16"/>
    <w:rsid w:val="00164B1F"/>
    <w:rsid w:val="00164C80"/>
    <w:rsid w:val="00164CD2"/>
    <w:rsid w:val="00164F52"/>
    <w:rsid w:val="00164FD8"/>
    <w:rsid w:val="0016514D"/>
    <w:rsid w:val="0016523C"/>
    <w:rsid w:val="001653EA"/>
    <w:rsid w:val="001653EB"/>
    <w:rsid w:val="0016541D"/>
    <w:rsid w:val="00165543"/>
    <w:rsid w:val="001655EB"/>
    <w:rsid w:val="0016574A"/>
    <w:rsid w:val="001657D9"/>
    <w:rsid w:val="001658C2"/>
    <w:rsid w:val="0016591A"/>
    <w:rsid w:val="00165A62"/>
    <w:rsid w:val="00165DB5"/>
    <w:rsid w:val="00165DC9"/>
    <w:rsid w:val="00165F0C"/>
    <w:rsid w:val="001661EE"/>
    <w:rsid w:val="00166320"/>
    <w:rsid w:val="0016650F"/>
    <w:rsid w:val="00166578"/>
    <w:rsid w:val="001666D2"/>
    <w:rsid w:val="001667EC"/>
    <w:rsid w:val="001668B4"/>
    <w:rsid w:val="0016699E"/>
    <w:rsid w:val="00166A30"/>
    <w:rsid w:val="00166B08"/>
    <w:rsid w:val="00166D31"/>
    <w:rsid w:val="00166EBB"/>
    <w:rsid w:val="00166FAD"/>
    <w:rsid w:val="0016702B"/>
    <w:rsid w:val="0016722D"/>
    <w:rsid w:val="001674A1"/>
    <w:rsid w:val="001674F0"/>
    <w:rsid w:val="0016758B"/>
    <w:rsid w:val="001675FE"/>
    <w:rsid w:val="001676AE"/>
    <w:rsid w:val="001676E2"/>
    <w:rsid w:val="00167B20"/>
    <w:rsid w:val="00167C62"/>
    <w:rsid w:val="00167CB8"/>
    <w:rsid w:val="00167CEF"/>
    <w:rsid w:val="00167EC1"/>
    <w:rsid w:val="00167F12"/>
    <w:rsid w:val="00167FC4"/>
    <w:rsid w:val="0017023A"/>
    <w:rsid w:val="00170433"/>
    <w:rsid w:val="0017071E"/>
    <w:rsid w:val="00170740"/>
    <w:rsid w:val="00170783"/>
    <w:rsid w:val="001707B1"/>
    <w:rsid w:val="001707B9"/>
    <w:rsid w:val="0017086E"/>
    <w:rsid w:val="001708A6"/>
    <w:rsid w:val="00170B13"/>
    <w:rsid w:val="00170B1A"/>
    <w:rsid w:val="00170B51"/>
    <w:rsid w:val="00170F9D"/>
    <w:rsid w:val="0017104F"/>
    <w:rsid w:val="00171140"/>
    <w:rsid w:val="001711EA"/>
    <w:rsid w:val="00171276"/>
    <w:rsid w:val="001712F1"/>
    <w:rsid w:val="0017134A"/>
    <w:rsid w:val="0017134D"/>
    <w:rsid w:val="0017147B"/>
    <w:rsid w:val="00171660"/>
    <w:rsid w:val="00171A76"/>
    <w:rsid w:val="00171ACE"/>
    <w:rsid w:val="00171BC5"/>
    <w:rsid w:val="00171BD3"/>
    <w:rsid w:val="00171CBE"/>
    <w:rsid w:val="00171DBA"/>
    <w:rsid w:val="00171E6E"/>
    <w:rsid w:val="00171EAE"/>
    <w:rsid w:val="00172065"/>
    <w:rsid w:val="0017224E"/>
    <w:rsid w:val="001722BC"/>
    <w:rsid w:val="0017239E"/>
    <w:rsid w:val="001724D0"/>
    <w:rsid w:val="001726A5"/>
    <w:rsid w:val="0017281C"/>
    <w:rsid w:val="00172883"/>
    <w:rsid w:val="00172B30"/>
    <w:rsid w:val="00172D51"/>
    <w:rsid w:val="00172D84"/>
    <w:rsid w:val="00172ECF"/>
    <w:rsid w:val="00172F32"/>
    <w:rsid w:val="00172FA6"/>
    <w:rsid w:val="0017309D"/>
    <w:rsid w:val="001730E0"/>
    <w:rsid w:val="00173102"/>
    <w:rsid w:val="00173115"/>
    <w:rsid w:val="0017313F"/>
    <w:rsid w:val="0017347E"/>
    <w:rsid w:val="0017348D"/>
    <w:rsid w:val="0017352F"/>
    <w:rsid w:val="001735AA"/>
    <w:rsid w:val="001736D4"/>
    <w:rsid w:val="001736ED"/>
    <w:rsid w:val="001738F9"/>
    <w:rsid w:val="001739DC"/>
    <w:rsid w:val="00173A94"/>
    <w:rsid w:val="00173BAD"/>
    <w:rsid w:val="00173C61"/>
    <w:rsid w:val="00173C62"/>
    <w:rsid w:val="00173C7F"/>
    <w:rsid w:val="00173F8E"/>
    <w:rsid w:val="00173FBB"/>
    <w:rsid w:val="00174020"/>
    <w:rsid w:val="0017412C"/>
    <w:rsid w:val="001744C9"/>
    <w:rsid w:val="001745F7"/>
    <w:rsid w:val="001747A8"/>
    <w:rsid w:val="001747D3"/>
    <w:rsid w:val="001748F4"/>
    <w:rsid w:val="00174A11"/>
    <w:rsid w:val="00174A45"/>
    <w:rsid w:val="00174A60"/>
    <w:rsid w:val="00174AD7"/>
    <w:rsid w:val="00174B52"/>
    <w:rsid w:val="00175131"/>
    <w:rsid w:val="001751F6"/>
    <w:rsid w:val="001753B6"/>
    <w:rsid w:val="0017547E"/>
    <w:rsid w:val="00175695"/>
    <w:rsid w:val="0017569A"/>
    <w:rsid w:val="0017585D"/>
    <w:rsid w:val="001758CA"/>
    <w:rsid w:val="00175AF7"/>
    <w:rsid w:val="00175D61"/>
    <w:rsid w:val="00175D66"/>
    <w:rsid w:val="00175EB1"/>
    <w:rsid w:val="0017614E"/>
    <w:rsid w:val="001762E5"/>
    <w:rsid w:val="001765B9"/>
    <w:rsid w:val="00176786"/>
    <w:rsid w:val="001768F9"/>
    <w:rsid w:val="0017696A"/>
    <w:rsid w:val="001769A8"/>
    <w:rsid w:val="00176A4B"/>
    <w:rsid w:val="00176BA7"/>
    <w:rsid w:val="00176BD2"/>
    <w:rsid w:val="00176CAA"/>
    <w:rsid w:val="00176E26"/>
    <w:rsid w:val="00176E91"/>
    <w:rsid w:val="001770A6"/>
    <w:rsid w:val="00177176"/>
    <w:rsid w:val="00177222"/>
    <w:rsid w:val="0017722D"/>
    <w:rsid w:val="00177274"/>
    <w:rsid w:val="001772EF"/>
    <w:rsid w:val="00177387"/>
    <w:rsid w:val="0017743D"/>
    <w:rsid w:val="001774B2"/>
    <w:rsid w:val="0017754F"/>
    <w:rsid w:val="001776B4"/>
    <w:rsid w:val="001776F0"/>
    <w:rsid w:val="00177887"/>
    <w:rsid w:val="00177908"/>
    <w:rsid w:val="00177988"/>
    <w:rsid w:val="001779F3"/>
    <w:rsid w:val="00177AC6"/>
    <w:rsid w:val="00177AF8"/>
    <w:rsid w:val="00177CA8"/>
    <w:rsid w:val="00177E83"/>
    <w:rsid w:val="00177EB7"/>
    <w:rsid w:val="001800FB"/>
    <w:rsid w:val="00180172"/>
    <w:rsid w:val="001805AF"/>
    <w:rsid w:val="0018064D"/>
    <w:rsid w:val="00180913"/>
    <w:rsid w:val="001809D5"/>
    <w:rsid w:val="00180A33"/>
    <w:rsid w:val="00180CA5"/>
    <w:rsid w:val="00180CC5"/>
    <w:rsid w:val="00180D0C"/>
    <w:rsid w:val="00180D1A"/>
    <w:rsid w:val="00180DEA"/>
    <w:rsid w:val="00180ED6"/>
    <w:rsid w:val="00180F3E"/>
    <w:rsid w:val="00180FBF"/>
    <w:rsid w:val="0018102A"/>
    <w:rsid w:val="0018104F"/>
    <w:rsid w:val="001810DB"/>
    <w:rsid w:val="001811FA"/>
    <w:rsid w:val="0018124A"/>
    <w:rsid w:val="00181334"/>
    <w:rsid w:val="00181370"/>
    <w:rsid w:val="001813EC"/>
    <w:rsid w:val="00181504"/>
    <w:rsid w:val="00181550"/>
    <w:rsid w:val="001818A2"/>
    <w:rsid w:val="00181B10"/>
    <w:rsid w:val="00181CA8"/>
    <w:rsid w:val="00181D02"/>
    <w:rsid w:val="00181F16"/>
    <w:rsid w:val="00181F7D"/>
    <w:rsid w:val="00182032"/>
    <w:rsid w:val="001824BB"/>
    <w:rsid w:val="001824F3"/>
    <w:rsid w:val="00182512"/>
    <w:rsid w:val="0018266E"/>
    <w:rsid w:val="001826FC"/>
    <w:rsid w:val="00182A17"/>
    <w:rsid w:val="00182A4B"/>
    <w:rsid w:val="00182C18"/>
    <w:rsid w:val="00182F25"/>
    <w:rsid w:val="0018306E"/>
    <w:rsid w:val="00183086"/>
    <w:rsid w:val="00183743"/>
    <w:rsid w:val="001837A4"/>
    <w:rsid w:val="001837C9"/>
    <w:rsid w:val="001837FD"/>
    <w:rsid w:val="0018388D"/>
    <w:rsid w:val="0018396F"/>
    <w:rsid w:val="00183971"/>
    <w:rsid w:val="00183A0A"/>
    <w:rsid w:val="00183BE2"/>
    <w:rsid w:val="00183E01"/>
    <w:rsid w:val="00183E31"/>
    <w:rsid w:val="00183F51"/>
    <w:rsid w:val="00183FC8"/>
    <w:rsid w:val="001840DE"/>
    <w:rsid w:val="00184184"/>
    <w:rsid w:val="00184186"/>
    <w:rsid w:val="00184204"/>
    <w:rsid w:val="00184524"/>
    <w:rsid w:val="001847F7"/>
    <w:rsid w:val="00184809"/>
    <w:rsid w:val="00184815"/>
    <w:rsid w:val="001848A1"/>
    <w:rsid w:val="00184964"/>
    <w:rsid w:val="00184AC5"/>
    <w:rsid w:val="00184D51"/>
    <w:rsid w:val="00184FF9"/>
    <w:rsid w:val="0018515E"/>
    <w:rsid w:val="001851D6"/>
    <w:rsid w:val="001852E2"/>
    <w:rsid w:val="001854DA"/>
    <w:rsid w:val="00185650"/>
    <w:rsid w:val="0018571B"/>
    <w:rsid w:val="0018573E"/>
    <w:rsid w:val="00185860"/>
    <w:rsid w:val="00185992"/>
    <w:rsid w:val="00185AFB"/>
    <w:rsid w:val="00185C20"/>
    <w:rsid w:val="00185D04"/>
    <w:rsid w:val="00185D30"/>
    <w:rsid w:val="00185DFD"/>
    <w:rsid w:val="00185EB9"/>
    <w:rsid w:val="0018615A"/>
    <w:rsid w:val="001862C2"/>
    <w:rsid w:val="0018638B"/>
    <w:rsid w:val="00186407"/>
    <w:rsid w:val="001864D0"/>
    <w:rsid w:val="0018657A"/>
    <w:rsid w:val="00186668"/>
    <w:rsid w:val="00186691"/>
    <w:rsid w:val="0018676B"/>
    <w:rsid w:val="00186A7B"/>
    <w:rsid w:val="00186B39"/>
    <w:rsid w:val="00186B45"/>
    <w:rsid w:val="00186C42"/>
    <w:rsid w:val="00186C46"/>
    <w:rsid w:val="00186CFF"/>
    <w:rsid w:val="00186F44"/>
    <w:rsid w:val="00187067"/>
    <w:rsid w:val="0018726C"/>
    <w:rsid w:val="001872E0"/>
    <w:rsid w:val="001873CE"/>
    <w:rsid w:val="001875B9"/>
    <w:rsid w:val="001875F5"/>
    <w:rsid w:val="00187618"/>
    <w:rsid w:val="00187633"/>
    <w:rsid w:val="00187643"/>
    <w:rsid w:val="00187673"/>
    <w:rsid w:val="001876B9"/>
    <w:rsid w:val="001876F1"/>
    <w:rsid w:val="00187713"/>
    <w:rsid w:val="001877E5"/>
    <w:rsid w:val="00187801"/>
    <w:rsid w:val="0018789D"/>
    <w:rsid w:val="001878D1"/>
    <w:rsid w:val="00187934"/>
    <w:rsid w:val="00187A08"/>
    <w:rsid w:val="00187BBF"/>
    <w:rsid w:val="00187C58"/>
    <w:rsid w:val="00187CED"/>
    <w:rsid w:val="00187E28"/>
    <w:rsid w:val="00187F28"/>
    <w:rsid w:val="0019021F"/>
    <w:rsid w:val="00190285"/>
    <w:rsid w:val="00190383"/>
    <w:rsid w:val="0019095E"/>
    <w:rsid w:val="00190F3A"/>
    <w:rsid w:val="00191002"/>
    <w:rsid w:val="001910B4"/>
    <w:rsid w:val="00191254"/>
    <w:rsid w:val="0019128B"/>
    <w:rsid w:val="001912DE"/>
    <w:rsid w:val="00191347"/>
    <w:rsid w:val="001913D0"/>
    <w:rsid w:val="00191593"/>
    <w:rsid w:val="00191632"/>
    <w:rsid w:val="0019174A"/>
    <w:rsid w:val="0019178A"/>
    <w:rsid w:val="0019190D"/>
    <w:rsid w:val="00191920"/>
    <w:rsid w:val="001919B2"/>
    <w:rsid w:val="00191A27"/>
    <w:rsid w:val="00191BEE"/>
    <w:rsid w:val="00191D1C"/>
    <w:rsid w:val="00191F72"/>
    <w:rsid w:val="00191FA7"/>
    <w:rsid w:val="001920EF"/>
    <w:rsid w:val="00192141"/>
    <w:rsid w:val="00192365"/>
    <w:rsid w:val="0019243F"/>
    <w:rsid w:val="00192476"/>
    <w:rsid w:val="001924EC"/>
    <w:rsid w:val="001924EF"/>
    <w:rsid w:val="00192961"/>
    <w:rsid w:val="0019298C"/>
    <w:rsid w:val="001929B6"/>
    <w:rsid w:val="00192C4B"/>
    <w:rsid w:val="00192C67"/>
    <w:rsid w:val="00192D6D"/>
    <w:rsid w:val="001930C1"/>
    <w:rsid w:val="001931E2"/>
    <w:rsid w:val="001931F3"/>
    <w:rsid w:val="00193245"/>
    <w:rsid w:val="001932FB"/>
    <w:rsid w:val="0019338D"/>
    <w:rsid w:val="0019344C"/>
    <w:rsid w:val="0019351D"/>
    <w:rsid w:val="0019353A"/>
    <w:rsid w:val="00193804"/>
    <w:rsid w:val="001938A7"/>
    <w:rsid w:val="00193A26"/>
    <w:rsid w:val="00193A6C"/>
    <w:rsid w:val="00193B8E"/>
    <w:rsid w:val="00193ED2"/>
    <w:rsid w:val="00194120"/>
    <w:rsid w:val="00194227"/>
    <w:rsid w:val="0019434B"/>
    <w:rsid w:val="00194478"/>
    <w:rsid w:val="001945B3"/>
    <w:rsid w:val="0019480B"/>
    <w:rsid w:val="00194835"/>
    <w:rsid w:val="0019491E"/>
    <w:rsid w:val="00194A13"/>
    <w:rsid w:val="00194B70"/>
    <w:rsid w:val="00194CA7"/>
    <w:rsid w:val="00195044"/>
    <w:rsid w:val="00195049"/>
    <w:rsid w:val="001950A1"/>
    <w:rsid w:val="001950B0"/>
    <w:rsid w:val="001951B7"/>
    <w:rsid w:val="001951C8"/>
    <w:rsid w:val="0019521E"/>
    <w:rsid w:val="00195278"/>
    <w:rsid w:val="0019548C"/>
    <w:rsid w:val="001955F9"/>
    <w:rsid w:val="0019562B"/>
    <w:rsid w:val="0019570D"/>
    <w:rsid w:val="00195A40"/>
    <w:rsid w:val="00195A4D"/>
    <w:rsid w:val="00195A9E"/>
    <w:rsid w:val="00195AA1"/>
    <w:rsid w:val="00195B24"/>
    <w:rsid w:val="00195D3F"/>
    <w:rsid w:val="00196077"/>
    <w:rsid w:val="001960B2"/>
    <w:rsid w:val="00196103"/>
    <w:rsid w:val="001961DB"/>
    <w:rsid w:val="001963B1"/>
    <w:rsid w:val="0019644E"/>
    <w:rsid w:val="001967DF"/>
    <w:rsid w:val="00196873"/>
    <w:rsid w:val="001969A3"/>
    <w:rsid w:val="00196B14"/>
    <w:rsid w:val="00196B41"/>
    <w:rsid w:val="00196B5F"/>
    <w:rsid w:val="00196D50"/>
    <w:rsid w:val="00196E09"/>
    <w:rsid w:val="00196EDB"/>
    <w:rsid w:val="00197064"/>
    <w:rsid w:val="0019711B"/>
    <w:rsid w:val="00197141"/>
    <w:rsid w:val="001971F1"/>
    <w:rsid w:val="0019727B"/>
    <w:rsid w:val="0019735E"/>
    <w:rsid w:val="00197407"/>
    <w:rsid w:val="001976DE"/>
    <w:rsid w:val="00197709"/>
    <w:rsid w:val="00197812"/>
    <w:rsid w:val="00197ABD"/>
    <w:rsid w:val="00197B3D"/>
    <w:rsid w:val="00197B43"/>
    <w:rsid w:val="00197D28"/>
    <w:rsid w:val="00197D90"/>
    <w:rsid w:val="00197F33"/>
    <w:rsid w:val="001A0067"/>
    <w:rsid w:val="001A01C6"/>
    <w:rsid w:val="001A02B7"/>
    <w:rsid w:val="001A0355"/>
    <w:rsid w:val="001A037D"/>
    <w:rsid w:val="001A062A"/>
    <w:rsid w:val="001A06E8"/>
    <w:rsid w:val="001A0B15"/>
    <w:rsid w:val="001A0B32"/>
    <w:rsid w:val="001A0B7A"/>
    <w:rsid w:val="001A0CD0"/>
    <w:rsid w:val="001A0E30"/>
    <w:rsid w:val="001A0E51"/>
    <w:rsid w:val="001A0E63"/>
    <w:rsid w:val="001A0F37"/>
    <w:rsid w:val="001A0FBC"/>
    <w:rsid w:val="001A1045"/>
    <w:rsid w:val="001A10B9"/>
    <w:rsid w:val="001A162B"/>
    <w:rsid w:val="001A16D9"/>
    <w:rsid w:val="001A17B2"/>
    <w:rsid w:val="001A186E"/>
    <w:rsid w:val="001A191E"/>
    <w:rsid w:val="001A1C75"/>
    <w:rsid w:val="001A1C83"/>
    <w:rsid w:val="001A1E16"/>
    <w:rsid w:val="001A1F08"/>
    <w:rsid w:val="001A1FB8"/>
    <w:rsid w:val="001A1FCA"/>
    <w:rsid w:val="001A21AB"/>
    <w:rsid w:val="001A21DC"/>
    <w:rsid w:val="001A229B"/>
    <w:rsid w:val="001A2353"/>
    <w:rsid w:val="001A2455"/>
    <w:rsid w:val="001A24B3"/>
    <w:rsid w:val="001A2720"/>
    <w:rsid w:val="001A279D"/>
    <w:rsid w:val="001A290A"/>
    <w:rsid w:val="001A2C99"/>
    <w:rsid w:val="001A2CAF"/>
    <w:rsid w:val="001A2E94"/>
    <w:rsid w:val="001A2F0A"/>
    <w:rsid w:val="001A2FBF"/>
    <w:rsid w:val="001A301E"/>
    <w:rsid w:val="001A3105"/>
    <w:rsid w:val="001A33F6"/>
    <w:rsid w:val="001A346C"/>
    <w:rsid w:val="001A34B0"/>
    <w:rsid w:val="001A3689"/>
    <w:rsid w:val="001A380C"/>
    <w:rsid w:val="001A3879"/>
    <w:rsid w:val="001A38B3"/>
    <w:rsid w:val="001A38C2"/>
    <w:rsid w:val="001A3C67"/>
    <w:rsid w:val="001A3C84"/>
    <w:rsid w:val="001A3EBC"/>
    <w:rsid w:val="001A3FDC"/>
    <w:rsid w:val="001A4056"/>
    <w:rsid w:val="001A4325"/>
    <w:rsid w:val="001A4460"/>
    <w:rsid w:val="001A4726"/>
    <w:rsid w:val="001A478D"/>
    <w:rsid w:val="001A4795"/>
    <w:rsid w:val="001A4902"/>
    <w:rsid w:val="001A49C1"/>
    <w:rsid w:val="001A4B70"/>
    <w:rsid w:val="001A4BEB"/>
    <w:rsid w:val="001A4C3F"/>
    <w:rsid w:val="001A4D98"/>
    <w:rsid w:val="001A4DA2"/>
    <w:rsid w:val="001A4E72"/>
    <w:rsid w:val="001A4F63"/>
    <w:rsid w:val="001A51DB"/>
    <w:rsid w:val="001A526E"/>
    <w:rsid w:val="001A52E9"/>
    <w:rsid w:val="001A5593"/>
    <w:rsid w:val="001A559D"/>
    <w:rsid w:val="001A57AE"/>
    <w:rsid w:val="001A57B5"/>
    <w:rsid w:val="001A594B"/>
    <w:rsid w:val="001A5D5F"/>
    <w:rsid w:val="001A5D67"/>
    <w:rsid w:val="001A5E12"/>
    <w:rsid w:val="001A5E48"/>
    <w:rsid w:val="001A640E"/>
    <w:rsid w:val="001A654A"/>
    <w:rsid w:val="001A66D6"/>
    <w:rsid w:val="001A6868"/>
    <w:rsid w:val="001A68B7"/>
    <w:rsid w:val="001A68C9"/>
    <w:rsid w:val="001A68F5"/>
    <w:rsid w:val="001A6A14"/>
    <w:rsid w:val="001A6C49"/>
    <w:rsid w:val="001A6FBB"/>
    <w:rsid w:val="001A6FFF"/>
    <w:rsid w:val="001A7399"/>
    <w:rsid w:val="001A73D5"/>
    <w:rsid w:val="001A74CA"/>
    <w:rsid w:val="001A753D"/>
    <w:rsid w:val="001A755C"/>
    <w:rsid w:val="001A7AA9"/>
    <w:rsid w:val="001A7B14"/>
    <w:rsid w:val="001A7CDB"/>
    <w:rsid w:val="001A7CEA"/>
    <w:rsid w:val="001A7DD6"/>
    <w:rsid w:val="001A7E5B"/>
    <w:rsid w:val="001A7EBF"/>
    <w:rsid w:val="001A7F65"/>
    <w:rsid w:val="001B010C"/>
    <w:rsid w:val="001B02BD"/>
    <w:rsid w:val="001B032E"/>
    <w:rsid w:val="001B0375"/>
    <w:rsid w:val="001B03D3"/>
    <w:rsid w:val="001B043D"/>
    <w:rsid w:val="001B080E"/>
    <w:rsid w:val="001B0880"/>
    <w:rsid w:val="001B08EF"/>
    <w:rsid w:val="001B0A81"/>
    <w:rsid w:val="001B0B07"/>
    <w:rsid w:val="001B0BC3"/>
    <w:rsid w:val="001B0BD7"/>
    <w:rsid w:val="001B0C2B"/>
    <w:rsid w:val="001B0CCB"/>
    <w:rsid w:val="001B0E82"/>
    <w:rsid w:val="001B0E8C"/>
    <w:rsid w:val="001B0F66"/>
    <w:rsid w:val="001B0F73"/>
    <w:rsid w:val="001B129F"/>
    <w:rsid w:val="001B12F5"/>
    <w:rsid w:val="001B17FA"/>
    <w:rsid w:val="001B19AB"/>
    <w:rsid w:val="001B1A8F"/>
    <w:rsid w:val="001B1ABA"/>
    <w:rsid w:val="001B1C20"/>
    <w:rsid w:val="001B1D09"/>
    <w:rsid w:val="001B1D85"/>
    <w:rsid w:val="001B1DB3"/>
    <w:rsid w:val="001B1E37"/>
    <w:rsid w:val="001B1FCA"/>
    <w:rsid w:val="001B2028"/>
    <w:rsid w:val="001B20CF"/>
    <w:rsid w:val="001B219D"/>
    <w:rsid w:val="001B222B"/>
    <w:rsid w:val="001B2351"/>
    <w:rsid w:val="001B249A"/>
    <w:rsid w:val="001B2527"/>
    <w:rsid w:val="001B2650"/>
    <w:rsid w:val="001B27AB"/>
    <w:rsid w:val="001B2B16"/>
    <w:rsid w:val="001B2D72"/>
    <w:rsid w:val="001B2E2C"/>
    <w:rsid w:val="001B2EF7"/>
    <w:rsid w:val="001B2F6A"/>
    <w:rsid w:val="001B2F75"/>
    <w:rsid w:val="001B3073"/>
    <w:rsid w:val="001B30CE"/>
    <w:rsid w:val="001B31C2"/>
    <w:rsid w:val="001B31C4"/>
    <w:rsid w:val="001B328C"/>
    <w:rsid w:val="001B3344"/>
    <w:rsid w:val="001B36E8"/>
    <w:rsid w:val="001B3739"/>
    <w:rsid w:val="001B3855"/>
    <w:rsid w:val="001B3950"/>
    <w:rsid w:val="001B3959"/>
    <w:rsid w:val="001B3AEF"/>
    <w:rsid w:val="001B3BF2"/>
    <w:rsid w:val="001B3E75"/>
    <w:rsid w:val="001B4019"/>
    <w:rsid w:val="001B4088"/>
    <w:rsid w:val="001B418D"/>
    <w:rsid w:val="001B4232"/>
    <w:rsid w:val="001B4280"/>
    <w:rsid w:val="001B49A0"/>
    <w:rsid w:val="001B4B21"/>
    <w:rsid w:val="001B4B73"/>
    <w:rsid w:val="001B5026"/>
    <w:rsid w:val="001B503D"/>
    <w:rsid w:val="001B5059"/>
    <w:rsid w:val="001B50E9"/>
    <w:rsid w:val="001B518F"/>
    <w:rsid w:val="001B52AF"/>
    <w:rsid w:val="001B5599"/>
    <w:rsid w:val="001B55A4"/>
    <w:rsid w:val="001B56A2"/>
    <w:rsid w:val="001B56D6"/>
    <w:rsid w:val="001B5846"/>
    <w:rsid w:val="001B596E"/>
    <w:rsid w:val="001B5C33"/>
    <w:rsid w:val="001B5DA7"/>
    <w:rsid w:val="001B5DCD"/>
    <w:rsid w:val="001B5E06"/>
    <w:rsid w:val="001B5F39"/>
    <w:rsid w:val="001B5FCE"/>
    <w:rsid w:val="001B6366"/>
    <w:rsid w:val="001B64C7"/>
    <w:rsid w:val="001B667F"/>
    <w:rsid w:val="001B6697"/>
    <w:rsid w:val="001B6742"/>
    <w:rsid w:val="001B67AD"/>
    <w:rsid w:val="001B67D7"/>
    <w:rsid w:val="001B680C"/>
    <w:rsid w:val="001B6815"/>
    <w:rsid w:val="001B6C1F"/>
    <w:rsid w:val="001B6C69"/>
    <w:rsid w:val="001B6DFF"/>
    <w:rsid w:val="001B706C"/>
    <w:rsid w:val="001B71D0"/>
    <w:rsid w:val="001B7279"/>
    <w:rsid w:val="001B7365"/>
    <w:rsid w:val="001B73FE"/>
    <w:rsid w:val="001B75FF"/>
    <w:rsid w:val="001B76B2"/>
    <w:rsid w:val="001B77E3"/>
    <w:rsid w:val="001B77E5"/>
    <w:rsid w:val="001B791E"/>
    <w:rsid w:val="001B7B9F"/>
    <w:rsid w:val="001B7BCE"/>
    <w:rsid w:val="001B7E1F"/>
    <w:rsid w:val="001B7ED1"/>
    <w:rsid w:val="001B7EFC"/>
    <w:rsid w:val="001C002A"/>
    <w:rsid w:val="001C005E"/>
    <w:rsid w:val="001C00CA"/>
    <w:rsid w:val="001C0258"/>
    <w:rsid w:val="001C02EE"/>
    <w:rsid w:val="001C02FD"/>
    <w:rsid w:val="001C0317"/>
    <w:rsid w:val="001C0388"/>
    <w:rsid w:val="001C05CE"/>
    <w:rsid w:val="001C067A"/>
    <w:rsid w:val="001C0960"/>
    <w:rsid w:val="001C097A"/>
    <w:rsid w:val="001C09BF"/>
    <w:rsid w:val="001C09F5"/>
    <w:rsid w:val="001C0A66"/>
    <w:rsid w:val="001C0A91"/>
    <w:rsid w:val="001C0BDA"/>
    <w:rsid w:val="001C0C48"/>
    <w:rsid w:val="001C0D6A"/>
    <w:rsid w:val="001C0E6D"/>
    <w:rsid w:val="001C0E79"/>
    <w:rsid w:val="001C1013"/>
    <w:rsid w:val="001C1130"/>
    <w:rsid w:val="001C1149"/>
    <w:rsid w:val="001C1162"/>
    <w:rsid w:val="001C1186"/>
    <w:rsid w:val="001C1202"/>
    <w:rsid w:val="001C12A7"/>
    <w:rsid w:val="001C12B0"/>
    <w:rsid w:val="001C1523"/>
    <w:rsid w:val="001C15C6"/>
    <w:rsid w:val="001C15CD"/>
    <w:rsid w:val="001C15D0"/>
    <w:rsid w:val="001C1A2C"/>
    <w:rsid w:val="001C1A2E"/>
    <w:rsid w:val="001C1A64"/>
    <w:rsid w:val="001C1C60"/>
    <w:rsid w:val="001C1CC4"/>
    <w:rsid w:val="001C2027"/>
    <w:rsid w:val="001C20C6"/>
    <w:rsid w:val="001C2200"/>
    <w:rsid w:val="001C2282"/>
    <w:rsid w:val="001C22B0"/>
    <w:rsid w:val="001C22B8"/>
    <w:rsid w:val="001C23F4"/>
    <w:rsid w:val="001C247F"/>
    <w:rsid w:val="001C26A6"/>
    <w:rsid w:val="001C2865"/>
    <w:rsid w:val="001C292D"/>
    <w:rsid w:val="001C2954"/>
    <w:rsid w:val="001C2A2B"/>
    <w:rsid w:val="001C2C50"/>
    <w:rsid w:val="001C2E34"/>
    <w:rsid w:val="001C2FD1"/>
    <w:rsid w:val="001C3042"/>
    <w:rsid w:val="001C309A"/>
    <w:rsid w:val="001C30D9"/>
    <w:rsid w:val="001C31BF"/>
    <w:rsid w:val="001C32BA"/>
    <w:rsid w:val="001C3430"/>
    <w:rsid w:val="001C3539"/>
    <w:rsid w:val="001C353A"/>
    <w:rsid w:val="001C3610"/>
    <w:rsid w:val="001C36B4"/>
    <w:rsid w:val="001C371B"/>
    <w:rsid w:val="001C37DC"/>
    <w:rsid w:val="001C392A"/>
    <w:rsid w:val="001C3A99"/>
    <w:rsid w:val="001C3AA2"/>
    <w:rsid w:val="001C3B2C"/>
    <w:rsid w:val="001C3C69"/>
    <w:rsid w:val="001C3CAA"/>
    <w:rsid w:val="001C3EC7"/>
    <w:rsid w:val="001C3EE0"/>
    <w:rsid w:val="001C3FDD"/>
    <w:rsid w:val="001C4251"/>
    <w:rsid w:val="001C444D"/>
    <w:rsid w:val="001C4455"/>
    <w:rsid w:val="001C44D4"/>
    <w:rsid w:val="001C471C"/>
    <w:rsid w:val="001C474A"/>
    <w:rsid w:val="001C48CA"/>
    <w:rsid w:val="001C49A1"/>
    <w:rsid w:val="001C4C3A"/>
    <w:rsid w:val="001C4D1E"/>
    <w:rsid w:val="001C4EA6"/>
    <w:rsid w:val="001C50EB"/>
    <w:rsid w:val="001C529D"/>
    <w:rsid w:val="001C52FB"/>
    <w:rsid w:val="001C538A"/>
    <w:rsid w:val="001C53D3"/>
    <w:rsid w:val="001C56A3"/>
    <w:rsid w:val="001C5823"/>
    <w:rsid w:val="001C5958"/>
    <w:rsid w:val="001C59F0"/>
    <w:rsid w:val="001C5B06"/>
    <w:rsid w:val="001C602A"/>
    <w:rsid w:val="001C605A"/>
    <w:rsid w:val="001C625B"/>
    <w:rsid w:val="001C632D"/>
    <w:rsid w:val="001C63E0"/>
    <w:rsid w:val="001C64EF"/>
    <w:rsid w:val="001C64F9"/>
    <w:rsid w:val="001C68EA"/>
    <w:rsid w:val="001C6BDD"/>
    <w:rsid w:val="001C6CC8"/>
    <w:rsid w:val="001C6F15"/>
    <w:rsid w:val="001C70A5"/>
    <w:rsid w:val="001C70F3"/>
    <w:rsid w:val="001C71EF"/>
    <w:rsid w:val="001C723E"/>
    <w:rsid w:val="001C7339"/>
    <w:rsid w:val="001C740E"/>
    <w:rsid w:val="001C7496"/>
    <w:rsid w:val="001C769D"/>
    <w:rsid w:val="001C7732"/>
    <w:rsid w:val="001C779D"/>
    <w:rsid w:val="001C7811"/>
    <w:rsid w:val="001C7B74"/>
    <w:rsid w:val="001C7BD4"/>
    <w:rsid w:val="001C7CDE"/>
    <w:rsid w:val="001C7CE9"/>
    <w:rsid w:val="001C7DC0"/>
    <w:rsid w:val="001D0024"/>
    <w:rsid w:val="001D0264"/>
    <w:rsid w:val="001D063C"/>
    <w:rsid w:val="001D06E3"/>
    <w:rsid w:val="001D075C"/>
    <w:rsid w:val="001D0819"/>
    <w:rsid w:val="001D0828"/>
    <w:rsid w:val="001D09D2"/>
    <w:rsid w:val="001D0B27"/>
    <w:rsid w:val="001D0BB9"/>
    <w:rsid w:val="001D0C2B"/>
    <w:rsid w:val="001D0E3C"/>
    <w:rsid w:val="001D0E4C"/>
    <w:rsid w:val="001D0E62"/>
    <w:rsid w:val="001D0F1F"/>
    <w:rsid w:val="001D114A"/>
    <w:rsid w:val="001D116F"/>
    <w:rsid w:val="001D12DB"/>
    <w:rsid w:val="001D18A4"/>
    <w:rsid w:val="001D18E2"/>
    <w:rsid w:val="001D199D"/>
    <w:rsid w:val="001D19DF"/>
    <w:rsid w:val="001D1AD2"/>
    <w:rsid w:val="001D1C36"/>
    <w:rsid w:val="001D1C7D"/>
    <w:rsid w:val="001D1C82"/>
    <w:rsid w:val="001D1DA2"/>
    <w:rsid w:val="001D1EF4"/>
    <w:rsid w:val="001D1FFA"/>
    <w:rsid w:val="001D212D"/>
    <w:rsid w:val="001D2240"/>
    <w:rsid w:val="001D232E"/>
    <w:rsid w:val="001D27BD"/>
    <w:rsid w:val="001D27F8"/>
    <w:rsid w:val="001D2998"/>
    <w:rsid w:val="001D2B30"/>
    <w:rsid w:val="001D2BD7"/>
    <w:rsid w:val="001D2C87"/>
    <w:rsid w:val="001D2D54"/>
    <w:rsid w:val="001D2DD6"/>
    <w:rsid w:val="001D2EE4"/>
    <w:rsid w:val="001D2F65"/>
    <w:rsid w:val="001D309E"/>
    <w:rsid w:val="001D31A3"/>
    <w:rsid w:val="001D31E4"/>
    <w:rsid w:val="001D33CF"/>
    <w:rsid w:val="001D375C"/>
    <w:rsid w:val="001D37AB"/>
    <w:rsid w:val="001D398A"/>
    <w:rsid w:val="001D39E2"/>
    <w:rsid w:val="001D39F6"/>
    <w:rsid w:val="001D3B56"/>
    <w:rsid w:val="001D3B81"/>
    <w:rsid w:val="001D3BB5"/>
    <w:rsid w:val="001D3DDC"/>
    <w:rsid w:val="001D3E2B"/>
    <w:rsid w:val="001D3E87"/>
    <w:rsid w:val="001D3ED8"/>
    <w:rsid w:val="001D3F17"/>
    <w:rsid w:val="001D3F85"/>
    <w:rsid w:val="001D3F86"/>
    <w:rsid w:val="001D4082"/>
    <w:rsid w:val="001D40CA"/>
    <w:rsid w:val="001D4109"/>
    <w:rsid w:val="001D4152"/>
    <w:rsid w:val="001D41D2"/>
    <w:rsid w:val="001D4362"/>
    <w:rsid w:val="001D4449"/>
    <w:rsid w:val="001D450A"/>
    <w:rsid w:val="001D457A"/>
    <w:rsid w:val="001D4774"/>
    <w:rsid w:val="001D4829"/>
    <w:rsid w:val="001D4AE5"/>
    <w:rsid w:val="001D4AFB"/>
    <w:rsid w:val="001D4B88"/>
    <w:rsid w:val="001D4DEC"/>
    <w:rsid w:val="001D4E2B"/>
    <w:rsid w:val="001D50D9"/>
    <w:rsid w:val="001D5234"/>
    <w:rsid w:val="001D5384"/>
    <w:rsid w:val="001D553E"/>
    <w:rsid w:val="001D5570"/>
    <w:rsid w:val="001D58D8"/>
    <w:rsid w:val="001D597E"/>
    <w:rsid w:val="001D59A0"/>
    <w:rsid w:val="001D5A0B"/>
    <w:rsid w:val="001D5A4D"/>
    <w:rsid w:val="001D5AB4"/>
    <w:rsid w:val="001D5F99"/>
    <w:rsid w:val="001D5FBA"/>
    <w:rsid w:val="001D5FF8"/>
    <w:rsid w:val="001D60EE"/>
    <w:rsid w:val="001D61E6"/>
    <w:rsid w:val="001D6247"/>
    <w:rsid w:val="001D6477"/>
    <w:rsid w:val="001D655E"/>
    <w:rsid w:val="001D65A7"/>
    <w:rsid w:val="001D6757"/>
    <w:rsid w:val="001D67A1"/>
    <w:rsid w:val="001D67C1"/>
    <w:rsid w:val="001D690F"/>
    <w:rsid w:val="001D6910"/>
    <w:rsid w:val="001D691D"/>
    <w:rsid w:val="001D6960"/>
    <w:rsid w:val="001D69A2"/>
    <w:rsid w:val="001D6A09"/>
    <w:rsid w:val="001D6BA8"/>
    <w:rsid w:val="001D6C01"/>
    <w:rsid w:val="001D6C60"/>
    <w:rsid w:val="001D6D92"/>
    <w:rsid w:val="001D6DD9"/>
    <w:rsid w:val="001D6E0D"/>
    <w:rsid w:val="001D6F09"/>
    <w:rsid w:val="001D7201"/>
    <w:rsid w:val="001D7680"/>
    <w:rsid w:val="001D778D"/>
    <w:rsid w:val="001D7964"/>
    <w:rsid w:val="001D7971"/>
    <w:rsid w:val="001D7A03"/>
    <w:rsid w:val="001D7BF5"/>
    <w:rsid w:val="001D7CDB"/>
    <w:rsid w:val="001D7D0E"/>
    <w:rsid w:val="001D7EFC"/>
    <w:rsid w:val="001D7F93"/>
    <w:rsid w:val="001E016B"/>
    <w:rsid w:val="001E018F"/>
    <w:rsid w:val="001E027D"/>
    <w:rsid w:val="001E02FF"/>
    <w:rsid w:val="001E04AB"/>
    <w:rsid w:val="001E0516"/>
    <w:rsid w:val="001E0852"/>
    <w:rsid w:val="001E09C5"/>
    <w:rsid w:val="001E0A89"/>
    <w:rsid w:val="001E0AA3"/>
    <w:rsid w:val="001E0B4B"/>
    <w:rsid w:val="001E0CC6"/>
    <w:rsid w:val="001E0DAE"/>
    <w:rsid w:val="001E0EDB"/>
    <w:rsid w:val="001E0F33"/>
    <w:rsid w:val="001E0FC2"/>
    <w:rsid w:val="001E10D6"/>
    <w:rsid w:val="001E1216"/>
    <w:rsid w:val="001E13EA"/>
    <w:rsid w:val="001E167F"/>
    <w:rsid w:val="001E1759"/>
    <w:rsid w:val="001E17A6"/>
    <w:rsid w:val="001E18D4"/>
    <w:rsid w:val="001E194A"/>
    <w:rsid w:val="001E1A62"/>
    <w:rsid w:val="001E1BA6"/>
    <w:rsid w:val="001E1C3A"/>
    <w:rsid w:val="001E1CA3"/>
    <w:rsid w:val="001E1D3F"/>
    <w:rsid w:val="001E1FA4"/>
    <w:rsid w:val="001E203C"/>
    <w:rsid w:val="001E21CE"/>
    <w:rsid w:val="001E2310"/>
    <w:rsid w:val="001E2435"/>
    <w:rsid w:val="001E2582"/>
    <w:rsid w:val="001E2607"/>
    <w:rsid w:val="001E2625"/>
    <w:rsid w:val="001E27DA"/>
    <w:rsid w:val="001E2802"/>
    <w:rsid w:val="001E29E5"/>
    <w:rsid w:val="001E2A17"/>
    <w:rsid w:val="001E2CD0"/>
    <w:rsid w:val="001E2D29"/>
    <w:rsid w:val="001E2D8B"/>
    <w:rsid w:val="001E2D9F"/>
    <w:rsid w:val="001E2F07"/>
    <w:rsid w:val="001E300A"/>
    <w:rsid w:val="001E30E4"/>
    <w:rsid w:val="001E318E"/>
    <w:rsid w:val="001E3360"/>
    <w:rsid w:val="001E3373"/>
    <w:rsid w:val="001E33B8"/>
    <w:rsid w:val="001E344D"/>
    <w:rsid w:val="001E3457"/>
    <w:rsid w:val="001E3540"/>
    <w:rsid w:val="001E3646"/>
    <w:rsid w:val="001E3652"/>
    <w:rsid w:val="001E39BD"/>
    <w:rsid w:val="001E3A0F"/>
    <w:rsid w:val="001E3B7F"/>
    <w:rsid w:val="001E3CB2"/>
    <w:rsid w:val="001E4015"/>
    <w:rsid w:val="001E4307"/>
    <w:rsid w:val="001E46DC"/>
    <w:rsid w:val="001E48FF"/>
    <w:rsid w:val="001E49C2"/>
    <w:rsid w:val="001E4AC2"/>
    <w:rsid w:val="001E4E96"/>
    <w:rsid w:val="001E4F62"/>
    <w:rsid w:val="001E4F8C"/>
    <w:rsid w:val="001E547E"/>
    <w:rsid w:val="001E5648"/>
    <w:rsid w:val="001E5661"/>
    <w:rsid w:val="001E567D"/>
    <w:rsid w:val="001E582C"/>
    <w:rsid w:val="001E5B2D"/>
    <w:rsid w:val="001E5B8D"/>
    <w:rsid w:val="001E5BE0"/>
    <w:rsid w:val="001E5C1D"/>
    <w:rsid w:val="001E5CBC"/>
    <w:rsid w:val="001E5D7E"/>
    <w:rsid w:val="001E5DE4"/>
    <w:rsid w:val="001E5DEB"/>
    <w:rsid w:val="001E6092"/>
    <w:rsid w:val="001E63D9"/>
    <w:rsid w:val="001E647C"/>
    <w:rsid w:val="001E654F"/>
    <w:rsid w:val="001E6563"/>
    <w:rsid w:val="001E65B2"/>
    <w:rsid w:val="001E6872"/>
    <w:rsid w:val="001E693E"/>
    <w:rsid w:val="001E6A93"/>
    <w:rsid w:val="001E6ABE"/>
    <w:rsid w:val="001E6AF2"/>
    <w:rsid w:val="001E6B66"/>
    <w:rsid w:val="001E6B8B"/>
    <w:rsid w:val="001E6BAF"/>
    <w:rsid w:val="001E6BFF"/>
    <w:rsid w:val="001E6D5C"/>
    <w:rsid w:val="001E6F06"/>
    <w:rsid w:val="001E6FDF"/>
    <w:rsid w:val="001E70E9"/>
    <w:rsid w:val="001E735D"/>
    <w:rsid w:val="001E7530"/>
    <w:rsid w:val="001E7808"/>
    <w:rsid w:val="001E790D"/>
    <w:rsid w:val="001E79F0"/>
    <w:rsid w:val="001E7B53"/>
    <w:rsid w:val="001E7C9C"/>
    <w:rsid w:val="001E7D18"/>
    <w:rsid w:val="001E7DBB"/>
    <w:rsid w:val="001E7DC8"/>
    <w:rsid w:val="001E7EB2"/>
    <w:rsid w:val="001F00AD"/>
    <w:rsid w:val="001F0284"/>
    <w:rsid w:val="001F0350"/>
    <w:rsid w:val="001F0899"/>
    <w:rsid w:val="001F0D42"/>
    <w:rsid w:val="001F0E45"/>
    <w:rsid w:val="001F0ED6"/>
    <w:rsid w:val="001F0F1B"/>
    <w:rsid w:val="001F114C"/>
    <w:rsid w:val="001F125D"/>
    <w:rsid w:val="001F1290"/>
    <w:rsid w:val="001F12F0"/>
    <w:rsid w:val="001F13C0"/>
    <w:rsid w:val="001F1486"/>
    <w:rsid w:val="001F15AC"/>
    <w:rsid w:val="001F162F"/>
    <w:rsid w:val="001F1644"/>
    <w:rsid w:val="001F1676"/>
    <w:rsid w:val="001F184E"/>
    <w:rsid w:val="001F1D01"/>
    <w:rsid w:val="001F1D55"/>
    <w:rsid w:val="001F1E14"/>
    <w:rsid w:val="001F1E76"/>
    <w:rsid w:val="001F1FAB"/>
    <w:rsid w:val="001F2005"/>
    <w:rsid w:val="001F2009"/>
    <w:rsid w:val="001F2060"/>
    <w:rsid w:val="001F2108"/>
    <w:rsid w:val="001F219B"/>
    <w:rsid w:val="001F2269"/>
    <w:rsid w:val="001F228C"/>
    <w:rsid w:val="001F23DF"/>
    <w:rsid w:val="001F2502"/>
    <w:rsid w:val="001F268F"/>
    <w:rsid w:val="001F2746"/>
    <w:rsid w:val="001F28BE"/>
    <w:rsid w:val="001F28CC"/>
    <w:rsid w:val="001F2B71"/>
    <w:rsid w:val="001F2D32"/>
    <w:rsid w:val="001F2DD6"/>
    <w:rsid w:val="001F2E35"/>
    <w:rsid w:val="001F2EC6"/>
    <w:rsid w:val="001F2FCF"/>
    <w:rsid w:val="001F2FDF"/>
    <w:rsid w:val="001F31E7"/>
    <w:rsid w:val="001F326B"/>
    <w:rsid w:val="001F33A9"/>
    <w:rsid w:val="001F3662"/>
    <w:rsid w:val="001F3670"/>
    <w:rsid w:val="001F3726"/>
    <w:rsid w:val="001F37A0"/>
    <w:rsid w:val="001F3CEC"/>
    <w:rsid w:val="001F3FF3"/>
    <w:rsid w:val="001F42D5"/>
    <w:rsid w:val="001F42FE"/>
    <w:rsid w:val="001F43D1"/>
    <w:rsid w:val="001F43FE"/>
    <w:rsid w:val="001F4561"/>
    <w:rsid w:val="001F463C"/>
    <w:rsid w:val="001F494A"/>
    <w:rsid w:val="001F49C2"/>
    <w:rsid w:val="001F49D8"/>
    <w:rsid w:val="001F4A36"/>
    <w:rsid w:val="001F4AAA"/>
    <w:rsid w:val="001F4AEB"/>
    <w:rsid w:val="001F4B15"/>
    <w:rsid w:val="001F4DE9"/>
    <w:rsid w:val="001F4E16"/>
    <w:rsid w:val="001F4EA3"/>
    <w:rsid w:val="001F4EB7"/>
    <w:rsid w:val="001F4FBB"/>
    <w:rsid w:val="001F4FD4"/>
    <w:rsid w:val="001F50FB"/>
    <w:rsid w:val="001F51B0"/>
    <w:rsid w:val="001F5319"/>
    <w:rsid w:val="001F54FE"/>
    <w:rsid w:val="001F556C"/>
    <w:rsid w:val="001F56DC"/>
    <w:rsid w:val="001F5846"/>
    <w:rsid w:val="001F598F"/>
    <w:rsid w:val="001F5AF1"/>
    <w:rsid w:val="001F5D39"/>
    <w:rsid w:val="001F5D44"/>
    <w:rsid w:val="001F6019"/>
    <w:rsid w:val="001F607C"/>
    <w:rsid w:val="001F60AE"/>
    <w:rsid w:val="001F60B6"/>
    <w:rsid w:val="001F617D"/>
    <w:rsid w:val="001F61A7"/>
    <w:rsid w:val="001F643C"/>
    <w:rsid w:val="001F64FD"/>
    <w:rsid w:val="001F6541"/>
    <w:rsid w:val="001F6748"/>
    <w:rsid w:val="001F67CD"/>
    <w:rsid w:val="001F67CF"/>
    <w:rsid w:val="001F6825"/>
    <w:rsid w:val="001F686D"/>
    <w:rsid w:val="001F698F"/>
    <w:rsid w:val="001F6BFF"/>
    <w:rsid w:val="001F6D77"/>
    <w:rsid w:val="001F6DCE"/>
    <w:rsid w:val="001F6FC9"/>
    <w:rsid w:val="001F701C"/>
    <w:rsid w:val="001F70EF"/>
    <w:rsid w:val="001F7169"/>
    <w:rsid w:val="001F72BB"/>
    <w:rsid w:val="001F73BF"/>
    <w:rsid w:val="001F73DC"/>
    <w:rsid w:val="001F7443"/>
    <w:rsid w:val="001F75C0"/>
    <w:rsid w:val="001F7843"/>
    <w:rsid w:val="001F787C"/>
    <w:rsid w:val="001F7A17"/>
    <w:rsid w:val="001F7A21"/>
    <w:rsid w:val="001F7A4F"/>
    <w:rsid w:val="001F7D9E"/>
    <w:rsid w:val="001F7F38"/>
    <w:rsid w:val="0020006F"/>
    <w:rsid w:val="002000D0"/>
    <w:rsid w:val="00200178"/>
    <w:rsid w:val="00200202"/>
    <w:rsid w:val="00200303"/>
    <w:rsid w:val="0020036F"/>
    <w:rsid w:val="002004D6"/>
    <w:rsid w:val="002005A9"/>
    <w:rsid w:val="002005AA"/>
    <w:rsid w:val="00200687"/>
    <w:rsid w:val="002007DE"/>
    <w:rsid w:val="002008BC"/>
    <w:rsid w:val="002009B5"/>
    <w:rsid w:val="00200C66"/>
    <w:rsid w:val="00200E3F"/>
    <w:rsid w:val="00200E47"/>
    <w:rsid w:val="00200E4E"/>
    <w:rsid w:val="00200EE1"/>
    <w:rsid w:val="00200F80"/>
    <w:rsid w:val="00201087"/>
    <w:rsid w:val="0020129D"/>
    <w:rsid w:val="002012D2"/>
    <w:rsid w:val="00201593"/>
    <w:rsid w:val="00201626"/>
    <w:rsid w:val="002017CC"/>
    <w:rsid w:val="002018FE"/>
    <w:rsid w:val="0020198A"/>
    <w:rsid w:val="002019CF"/>
    <w:rsid w:val="00201A01"/>
    <w:rsid w:val="00201AB0"/>
    <w:rsid w:val="00201B74"/>
    <w:rsid w:val="00201DEA"/>
    <w:rsid w:val="00202078"/>
    <w:rsid w:val="0020216E"/>
    <w:rsid w:val="0020217A"/>
    <w:rsid w:val="002021F4"/>
    <w:rsid w:val="00202371"/>
    <w:rsid w:val="0020245D"/>
    <w:rsid w:val="0020247C"/>
    <w:rsid w:val="002027E0"/>
    <w:rsid w:val="00202CD9"/>
    <w:rsid w:val="00202D1D"/>
    <w:rsid w:val="00202D74"/>
    <w:rsid w:val="00202E7C"/>
    <w:rsid w:val="00202E8C"/>
    <w:rsid w:val="00202EB0"/>
    <w:rsid w:val="00202ECF"/>
    <w:rsid w:val="00202FB7"/>
    <w:rsid w:val="0020305A"/>
    <w:rsid w:val="0020327D"/>
    <w:rsid w:val="002032A9"/>
    <w:rsid w:val="00203560"/>
    <w:rsid w:val="002035A2"/>
    <w:rsid w:val="00203756"/>
    <w:rsid w:val="0020380C"/>
    <w:rsid w:val="00203814"/>
    <w:rsid w:val="0020390E"/>
    <w:rsid w:val="00203A32"/>
    <w:rsid w:val="00203A43"/>
    <w:rsid w:val="00203A5D"/>
    <w:rsid w:val="00203BC9"/>
    <w:rsid w:val="00203C91"/>
    <w:rsid w:val="00203D05"/>
    <w:rsid w:val="00203E49"/>
    <w:rsid w:val="00203E85"/>
    <w:rsid w:val="00203F31"/>
    <w:rsid w:val="00203F6C"/>
    <w:rsid w:val="00203F6D"/>
    <w:rsid w:val="00203F96"/>
    <w:rsid w:val="00203FDC"/>
    <w:rsid w:val="00204075"/>
    <w:rsid w:val="00204077"/>
    <w:rsid w:val="002041F0"/>
    <w:rsid w:val="0020431D"/>
    <w:rsid w:val="002043E7"/>
    <w:rsid w:val="00204488"/>
    <w:rsid w:val="002046F5"/>
    <w:rsid w:val="002048FE"/>
    <w:rsid w:val="002049FD"/>
    <w:rsid w:val="00204BC5"/>
    <w:rsid w:val="00204CB6"/>
    <w:rsid w:val="00204CE3"/>
    <w:rsid w:val="00204CF8"/>
    <w:rsid w:val="00204D01"/>
    <w:rsid w:val="00204D1E"/>
    <w:rsid w:val="00205028"/>
    <w:rsid w:val="0020507C"/>
    <w:rsid w:val="00205090"/>
    <w:rsid w:val="0020516F"/>
    <w:rsid w:val="0020529D"/>
    <w:rsid w:val="002053A1"/>
    <w:rsid w:val="0020549A"/>
    <w:rsid w:val="002054A1"/>
    <w:rsid w:val="002054C5"/>
    <w:rsid w:val="00205583"/>
    <w:rsid w:val="00205592"/>
    <w:rsid w:val="00205673"/>
    <w:rsid w:val="002058A9"/>
    <w:rsid w:val="002058DB"/>
    <w:rsid w:val="00205A46"/>
    <w:rsid w:val="00205B19"/>
    <w:rsid w:val="00205D7A"/>
    <w:rsid w:val="00205DBF"/>
    <w:rsid w:val="00205E96"/>
    <w:rsid w:val="00205F08"/>
    <w:rsid w:val="00206104"/>
    <w:rsid w:val="0020618C"/>
    <w:rsid w:val="00206379"/>
    <w:rsid w:val="002064F2"/>
    <w:rsid w:val="002066BB"/>
    <w:rsid w:val="002068D2"/>
    <w:rsid w:val="002068FC"/>
    <w:rsid w:val="00206AB9"/>
    <w:rsid w:val="00206AC5"/>
    <w:rsid w:val="00206AFC"/>
    <w:rsid w:val="00206BFB"/>
    <w:rsid w:val="00206D3F"/>
    <w:rsid w:val="00206EDF"/>
    <w:rsid w:val="00206F0D"/>
    <w:rsid w:val="00206F30"/>
    <w:rsid w:val="00207095"/>
    <w:rsid w:val="00207179"/>
    <w:rsid w:val="002073C5"/>
    <w:rsid w:val="00207591"/>
    <w:rsid w:val="00207645"/>
    <w:rsid w:val="0020765E"/>
    <w:rsid w:val="0020793A"/>
    <w:rsid w:val="002079ED"/>
    <w:rsid w:val="00207B1F"/>
    <w:rsid w:val="00207B38"/>
    <w:rsid w:val="00207CBE"/>
    <w:rsid w:val="00207E1F"/>
    <w:rsid w:val="00207F03"/>
    <w:rsid w:val="0021002D"/>
    <w:rsid w:val="00210088"/>
    <w:rsid w:val="002100F5"/>
    <w:rsid w:val="0021010D"/>
    <w:rsid w:val="00210271"/>
    <w:rsid w:val="002102C3"/>
    <w:rsid w:val="002105CF"/>
    <w:rsid w:val="0021067A"/>
    <w:rsid w:val="002107BA"/>
    <w:rsid w:val="00210869"/>
    <w:rsid w:val="00210994"/>
    <w:rsid w:val="00210B27"/>
    <w:rsid w:val="00210B79"/>
    <w:rsid w:val="00210C29"/>
    <w:rsid w:val="00210CEC"/>
    <w:rsid w:val="00210EC5"/>
    <w:rsid w:val="00210F9E"/>
    <w:rsid w:val="002110E6"/>
    <w:rsid w:val="00211612"/>
    <w:rsid w:val="0021165A"/>
    <w:rsid w:val="0021169D"/>
    <w:rsid w:val="00211857"/>
    <w:rsid w:val="002118C7"/>
    <w:rsid w:val="002119ED"/>
    <w:rsid w:val="00211AB2"/>
    <w:rsid w:val="00211F9E"/>
    <w:rsid w:val="00212051"/>
    <w:rsid w:val="002120CF"/>
    <w:rsid w:val="0021235D"/>
    <w:rsid w:val="002123F9"/>
    <w:rsid w:val="00212486"/>
    <w:rsid w:val="002124A5"/>
    <w:rsid w:val="0021270F"/>
    <w:rsid w:val="00212A7F"/>
    <w:rsid w:val="00212BAD"/>
    <w:rsid w:val="00212C21"/>
    <w:rsid w:val="00212CB4"/>
    <w:rsid w:val="00212CE7"/>
    <w:rsid w:val="00212D38"/>
    <w:rsid w:val="00212DC6"/>
    <w:rsid w:val="00212DDA"/>
    <w:rsid w:val="00212E5C"/>
    <w:rsid w:val="00213218"/>
    <w:rsid w:val="0021342D"/>
    <w:rsid w:val="002134BC"/>
    <w:rsid w:val="00213629"/>
    <w:rsid w:val="0021388C"/>
    <w:rsid w:val="00213900"/>
    <w:rsid w:val="00213A69"/>
    <w:rsid w:val="00213AC6"/>
    <w:rsid w:val="00213C9D"/>
    <w:rsid w:val="00213D30"/>
    <w:rsid w:val="00213DBB"/>
    <w:rsid w:val="00213E4F"/>
    <w:rsid w:val="0021421F"/>
    <w:rsid w:val="002142B8"/>
    <w:rsid w:val="00214363"/>
    <w:rsid w:val="00214496"/>
    <w:rsid w:val="002144C4"/>
    <w:rsid w:val="00214530"/>
    <w:rsid w:val="00214933"/>
    <w:rsid w:val="00214963"/>
    <w:rsid w:val="002149A1"/>
    <w:rsid w:val="00214A93"/>
    <w:rsid w:val="00214C4E"/>
    <w:rsid w:val="00214C76"/>
    <w:rsid w:val="00214DD5"/>
    <w:rsid w:val="00214E35"/>
    <w:rsid w:val="0021528C"/>
    <w:rsid w:val="002153B9"/>
    <w:rsid w:val="002154E6"/>
    <w:rsid w:val="00215530"/>
    <w:rsid w:val="00215594"/>
    <w:rsid w:val="0021570C"/>
    <w:rsid w:val="002157DD"/>
    <w:rsid w:val="00215927"/>
    <w:rsid w:val="00215B32"/>
    <w:rsid w:val="00215B41"/>
    <w:rsid w:val="00216170"/>
    <w:rsid w:val="002162D2"/>
    <w:rsid w:val="00216399"/>
    <w:rsid w:val="0021656C"/>
    <w:rsid w:val="00216759"/>
    <w:rsid w:val="00216915"/>
    <w:rsid w:val="00216976"/>
    <w:rsid w:val="00216B99"/>
    <w:rsid w:val="00216BA8"/>
    <w:rsid w:val="00216BAA"/>
    <w:rsid w:val="00216EE4"/>
    <w:rsid w:val="00216F07"/>
    <w:rsid w:val="00216F42"/>
    <w:rsid w:val="00216F96"/>
    <w:rsid w:val="002170F3"/>
    <w:rsid w:val="0021714E"/>
    <w:rsid w:val="0021747E"/>
    <w:rsid w:val="002174FC"/>
    <w:rsid w:val="00217949"/>
    <w:rsid w:val="002179A6"/>
    <w:rsid w:val="002179C3"/>
    <w:rsid w:val="00217BBD"/>
    <w:rsid w:val="00217BDF"/>
    <w:rsid w:val="00217C52"/>
    <w:rsid w:val="00217FCB"/>
    <w:rsid w:val="00220721"/>
    <w:rsid w:val="0022087E"/>
    <w:rsid w:val="00220923"/>
    <w:rsid w:val="00220AE2"/>
    <w:rsid w:val="00220D24"/>
    <w:rsid w:val="00220E7B"/>
    <w:rsid w:val="0022102F"/>
    <w:rsid w:val="0022109E"/>
    <w:rsid w:val="002211A4"/>
    <w:rsid w:val="002213EB"/>
    <w:rsid w:val="00221861"/>
    <w:rsid w:val="002218CB"/>
    <w:rsid w:val="00221A9D"/>
    <w:rsid w:val="00221AB4"/>
    <w:rsid w:val="00221C9D"/>
    <w:rsid w:val="00221CB5"/>
    <w:rsid w:val="00221D8F"/>
    <w:rsid w:val="00221E4E"/>
    <w:rsid w:val="00221E6B"/>
    <w:rsid w:val="0022242D"/>
    <w:rsid w:val="002224A6"/>
    <w:rsid w:val="00222A04"/>
    <w:rsid w:val="00222BEE"/>
    <w:rsid w:val="00222CFF"/>
    <w:rsid w:val="00222E55"/>
    <w:rsid w:val="00222FB0"/>
    <w:rsid w:val="0022305A"/>
    <w:rsid w:val="00223138"/>
    <w:rsid w:val="002231F8"/>
    <w:rsid w:val="00223288"/>
    <w:rsid w:val="00223347"/>
    <w:rsid w:val="0022334D"/>
    <w:rsid w:val="00223367"/>
    <w:rsid w:val="00223374"/>
    <w:rsid w:val="002233F7"/>
    <w:rsid w:val="002235CB"/>
    <w:rsid w:val="0022382C"/>
    <w:rsid w:val="00223864"/>
    <w:rsid w:val="00223B3F"/>
    <w:rsid w:val="00223B42"/>
    <w:rsid w:val="00223C12"/>
    <w:rsid w:val="00223CDC"/>
    <w:rsid w:val="00223DB1"/>
    <w:rsid w:val="00223FAC"/>
    <w:rsid w:val="00224335"/>
    <w:rsid w:val="00224407"/>
    <w:rsid w:val="0022443A"/>
    <w:rsid w:val="00224480"/>
    <w:rsid w:val="002244C0"/>
    <w:rsid w:val="0022451F"/>
    <w:rsid w:val="0022460A"/>
    <w:rsid w:val="00224701"/>
    <w:rsid w:val="0022473B"/>
    <w:rsid w:val="00224955"/>
    <w:rsid w:val="00224995"/>
    <w:rsid w:val="00224A99"/>
    <w:rsid w:val="00224B36"/>
    <w:rsid w:val="00224B7A"/>
    <w:rsid w:val="00224D00"/>
    <w:rsid w:val="00224E31"/>
    <w:rsid w:val="002250F2"/>
    <w:rsid w:val="002250FC"/>
    <w:rsid w:val="00225138"/>
    <w:rsid w:val="002251D2"/>
    <w:rsid w:val="002255A4"/>
    <w:rsid w:val="00225619"/>
    <w:rsid w:val="002257CA"/>
    <w:rsid w:val="0022597A"/>
    <w:rsid w:val="00225992"/>
    <w:rsid w:val="00225997"/>
    <w:rsid w:val="002259A8"/>
    <w:rsid w:val="00225AAB"/>
    <w:rsid w:val="00225C81"/>
    <w:rsid w:val="00226248"/>
    <w:rsid w:val="00226356"/>
    <w:rsid w:val="0022637A"/>
    <w:rsid w:val="002264EB"/>
    <w:rsid w:val="00226531"/>
    <w:rsid w:val="002267B0"/>
    <w:rsid w:val="00226DA3"/>
    <w:rsid w:val="00226E4F"/>
    <w:rsid w:val="00226E71"/>
    <w:rsid w:val="00226FAA"/>
    <w:rsid w:val="00227223"/>
    <w:rsid w:val="0022723D"/>
    <w:rsid w:val="002272DB"/>
    <w:rsid w:val="002273D7"/>
    <w:rsid w:val="00227608"/>
    <w:rsid w:val="00227693"/>
    <w:rsid w:val="00227798"/>
    <w:rsid w:val="00227885"/>
    <w:rsid w:val="002279D9"/>
    <w:rsid w:val="00227B22"/>
    <w:rsid w:val="00227B5B"/>
    <w:rsid w:val="00227C18"/>
    <w:rsid w:val="00227D59"/>
    <w:rsid w:val="002300C2"/>
    <w:rsid w:val="002300C6"/>
    <w:rsid w:val="00230153"/>
    <w:rsid w:val="00230159"/>
    <w:rsid w:val="00230164"/>
    <w:rsid w:val="00230192"/>
    <w:rsid w:val="00230197"/>
    <w:rsid w:val="0023033B"/>
    <w:rsid w:val="002303B9"/>
    <w:rsid w:val="0023046C"/>
    <w:rsid w:val="0023065A"/>
    <w:rsid w:val="00230690"/>
    <w:rsid w:val="002306E8"/>
    <w:rsid w:val="00230787"/>
    <w:rsid w:val="00230806"/>
    <w:rsid w:val="002308F9"/>
    <w:rsid w:val="002309A7"/>
    <w:rsid w:val="00230A0B"/>
    <w:rsid w:val="00230AF8"/>
    <w:rsid w:val="00230B7F"/>
    <w:rsid w:val="00230BB2"/>
    <w:rsid w:val="00230CEE"/>
    <w:rsid w:val="00230DF0"/>
    <w:rsid w:val="00230EA9"/>
    <w:rsid w:val="00230F3B"/>
    <w:rsid w:val="00231076"/>
    <w:rsid w:val="0023137B"/>
    <w:rsid w:val="00231418"/>
    <w:rsid w:val="00231427"/>
    <w:rsid w:val="00231581"/>
    <w:rsid w:val="002316AB"/>
    <w:rsid w:val="0023175E"/>
    <w:rsid w:val="0023180C"/>
    <w:rsid w:val="00231937"/>
    <w:rsid w:val="00231A0E"/>
    <w:rsid w:val="00231B99"/>
    <w:rsid w:val="00231BFC"/>
    <w:rsid w:val="00231EFE"/>
    <w:rsid w:val="00231F58"/>
    <w:rsid w:val="00231F98"/>
    <w:rsid w:val="00231F9B"/>
    <w:rsid w:val="0023211D"/>
    <w:rsid w:val="00232223"/>
    <w:rsid w:val="00232353"/>
    <w:rsid w:val="00232542"/>
    <w:rsid w:val="002326C7"/>
    <w:rsid w:val="002327D4"/>
    <w:rsid w:val="0023284D"/>
    <w:rsid w:val="0023291C"/>
    <w:rsid w:val="002329DB"/>
    <w:rsid w:val="00232B31"/>
    <w:rsid w:val="00232C13"/>
    <w:rsid w:val="00232D0E"/>
    <w:rsid w:val="00232DBD"/>
    <w:rsid w:val="0023302D"/>
    <w:rsid w:val="0023304B"/>
    <w:rsid w:val="00233160"/>
    <w:rsid w:val="002331B4"/>
    <w:rsid w:val="002331DA"/>
    <w:rsid w:val="002333D6"/>
    <w:rsid w:val="00233433"/>
    <w:rsid w:val="002334FE"/>
    <w:rsid w:val="00233595"/>
    <w:rsid w:val="00233736"/>
    <w:rsid w:val="002337F2"/>
    <w:rsid w:val="002338B1"/>
    <w:rsid w:val="0023392D"/>
    <w:rsid w:val="002339F1"/>
    <w:rsid w:val="00233A71"/>
    <w:rsid w:val="00233C0E"/>
    <w:rsid w:val="002340E4"/>
    <w:rsid w:val="00234155"/>
    <w:rsid w:val="00234167"/>
    <w:rsid w:val="0023419A"/>
    <w:rsid w:val="002342A5"/>
    <w:rsid w:val="002342F7"/>
    <w:rsid w:val="00234337"/>
    <w:rsid w:val="00234346"/>
    <w:rsid w:val="0023434C"/>
    <w:rsid w:val="0023449B"/>
    <w:rsid w:val="002344B5"/>
    <w:rsid w:val="0023451A"/>
    <w:rsid w:val="00234894"/>
    <w:rsid w:val="00234E12"/>
    <w:rsid w:val="00234E37"/>
    <w:rsid w:val="00234E8A"/>
    <w:rsid w:val="0023505A"/>
    <w:rsid w:val="00235109"/>
    <w:rsid w:val="00235170"/>
    <w:rsid w:val="00235243"/>
    <w:rsid w:val="002352AF"/>
    <w:rsid w:val="00235358"/>
    <w:rsid w:val="002353B7"/>
    <w:rsid w:val="00235413"/>
    <w:rsid w:val="002354D1"/>
    <w:rsid w:val="00235637"/>
    <w:rsid w:val="002358BA"/>
    <w:rsid w:val="00235952"/>
    <w:rsid w:val="00235982"/>
    <w:rsid w:val="00235CB3"/>
    <w:rsid w:val="00235D27"/>
    <w:rsid w:val="00235EA1"/>
    <w:rsid w:val="00235FED"/>
    <w:rsid w:val="002361AA"/>
    <w:rsid w:val="002361E1"/>
    <w:rsid w:val="00236279"/>
    <w:rsid w:val="00236372"/>
    <w:rsid w:val="00236606"/>
    <w:rsid w:val="00236686"/>
    <w:rsid w:val="002368CD"/>
    <w:rsid w:val="00236950"/>
    <w:rsid w:val="00236A83"/>
    <w:rsid w:val="00236BE4"/>
    <w:rsid w:val="00236BFE"/>
    <w:rsid w:val="00236E5B"/>
    <w:rsid w:val="00236E82"/>
    <w:rsid w:val="0023705C"/>
    <w:rsid w:val="00237504"/>
    <w:rsid w:val="00237730"/>
    <w:rsid w:val="002377EE"/>
    <w:rsid w:val="0023786C"/>
    <w:rsid w:val="002379E6"/>
    <w:rsid w:val="00237A46"/>
    <w:rsid w:val="00237AF8"/>
    <w:rsid w:val="00237AF9"/>
    <w:rsid w:val="00237C9B"/>
    <w:rsid w:val="00237DFF"/>
    <w:rsid w:val="00237F6A"/>
    <w:rsid w:val="00237FF9"/>
    <w:rsid w:val="0024017C"/>
    <w:rsid w:val="00240262"/>
    <w:rsid w:val="00240335"/>
    <w:rsid w:val="00240461"/>
    <w:rsid w:val="002406A2"/>
    <w:rsid w:val="00240738"/>
    <w:rsid w:val="00240CDE"/>
    <w:rsid w:val="00241203"/>
    <w:rsid w:val="0024121D"/>
    <w:rsid w:val="00241269"/>
    <w:rsid w:val="00241387"/>
    <w:rsid w:val="002414CA"/>
    <w:rsid w:val="00241802"/>
    <w:rsid w:val="0024184E"/>
    <w:rsid w:val="00241BD9"/>
    <w:rsid w:val="00241F1B"/>
    <w:rsid w:val="00242056"/>
    <w:rsid w:val="00242192"/>
    <w:rsid w:val="0024224F"/>
    <w:rsid w:val="002422A6"/>
    <w:rsid w:val="002424F3"/>
    <w:rsid w:val="002425E5"/>
    <w:rsid w:val="0024262B"/>
    <w:rsid w:val="002426AC"/>
    <w:rsid w:val="002428C0"/>
    <w:rsid w:val="00242AFB"/>
    <w:rsid w:val="00242B5D"/>
    <w:rsid w:val="00242D35"/>
    <w:rsid w:val="00242FC1"/>
    <w:rsid w:val="00242FDE"/>
    <w:rsid w:val="00243161"/>
    <w:rsid w:val="00243333"/>
    <w:rsid w:val="0024356D"/>
    <w:rsid w:val="00243573"/>
    <w:rsid w:val="002436E9"/>
    <w:rsid w:val="00243733"/>
    <w:rsid w:val="00243A1E"/>
    <w:rsid w:val="00243CBC"/>
    <w:rsid w:val="00243D1C"/>
    <w:rsid w:val="00243ECA"/>
    <w:rsid w:val="00244142"/>
    <w:rsid w:val="00244226"/>
    <w:rsid w:val="002442C3"/>
    <w:rsid w:val="0024431C"/>
    <w:rsid w:val="002444B6"/>
    <w:rsid w:val="0024455F"/>
    <w:rsid w:val="002447CE"/>
    <w:rsid w:val="0024484D"/>
    <w:rsid w:val="002448D7"/>
    <w:rsid w:val="00244BD3"/>
    <w:rsid w:val="00244C3A"/>
    <w:rsid w:val="00244D47"/>
    <w:rsid w:val="00244E10"/>
    <w:rsid w:val="00244E25"/>
    <w:rsid w:val="00244E4A"/>
    <w:rsid w:val="00244F6D"/>
    <w:rsid w:val="00244FCA"/>
    <w:rsid w:val="0024510D"/>
    <w:rsid w:val="00245139"/>
    <w:rsid w:val="002451D5"/>
    <w:rsid w:val="002451D9"/>
    <w:rsid w:val="002451E2"/>
    <w:rsid w:val="0024529B"/>
    <w:rsid w:val="0024531F"/>
    <w:rsid w:val="00245370"/>
    <w:rsid w:val="00245481"/>
    <w:rsid w:val="00245551"/>
    <w:rsid w:val="002456F3"/>
    <w:rsid w:val="0024577F"/>
    <w:rsid w:val="002458BF"/>
    <w:rsid w:val="002458E7"/>
    <w:rsid w:val="00245A71"/>
    <w:rsid w:val="00245AA5"/>
    <w:rsid w:val="00245EFA"/>
    <w:rsid w:val="0024620A"/>
    <w:rsid w:val="002462FE"/>
    <w:rsid w:val="00246349"/>
    <w:rsid w:val="002464A3"/>
    <w:rsid w:val="002464DB"/>
    <w:rsid w:val="00246546"/>
    <w:rsid w:val="00246583"/>
    <w:rsid w:val="00246589"/>
    <w:rsid w:val="0024668D"/>
    <w:rsid w:val="0024671C"/>
    <w:rsid w:val="0024676E"/>
    <w:rsid w:val="00246817"/>
    <w:rsid w:val="0024684D"/>
    <w:rsid w:val="00246AB8"/>
    <w:rsid w:val="00246AD9"/>
    <w:rsid w:val="00246D8E"/>
    <w:rsid w:val="00246DC4"/>
    <w:rsid w:val="00246F9D"/>
    <w:rsid w:val="00246FE2"/>
    <w:rsid w:val="002471E4"/>
    <w:rsid w:val="00247235"/>
    <w:rsid w:val="00247507"/>
    <w:rsid w:val="00247739"/>
    <w:rsid w:val="00247768"/>
    <w:rsid w:val="00247941"/>
    <w:rsid w:val="002479E3"/>
    <w:rsid w:val="00247A4E"/>
    <w:rsid w:val="00247CBE"/>
    <w:rsid w:val="00247D01"/>
    <w:rsid w:val="00247F8C"/>
    <w:rsid w:val="00247FD7"/>
    <w:rsid w:val="002501AD"/>
    <w:rsid w:val="002504D2"/>
    <w:rsid w:val="00250660"/>
    <w:rsid w:val="0025068E"/>
    <w:rsid w:val="002507F7"/>
    <w:rsid w:val="00250806"/>
    <w:rsid w:val="00250942"/>
    <w:rsid w:val="00250A42"/>
    <w:rsid w:val="00250C04"/>
    <w:rsid w:val="00250C20"/>
    <w:rsid w:val="00250CA9"/>
    <w:rsid w:val="0025122A"/>
    <w:rsid w:val="00251373"/>
    <w:rsid w:val="0025162A"/>
    <w:rsid w:val="00251716"/>
    <w:rsid w:val="002519F9"/>
    <w:rsid w:val="00251A40"/>
    <w:rsid w:val="00251A6F"/>
    <w:rsid w:val="00251B6C"/>
    <w:rsid w:val="00251C8B"/>
    <w:rsid w:val="00251CBC"/>
    <w:rsid w:val="00251DAD"/>
    <w:rsid w:val="00251DBE"/>
    <w:rsid w:val="00251EF5"/>
    <w:rsid w:val="00251F27"/>
    <w:rsid w:val="00251F2B"/>
    <w:rsid w:val="00251F7F"/>
    <w:rsid w:val="00251FB4"/>
    <w:rsid w:val="00251FE2"/>
    <w:rsid w:val="00252395"/>
    <w:rsid w:val="0025248B"/>
    <w:rsid w:val="0025255A"/>
    <w:rsid w:val="002525D9"/>
    <w:rsid w:val="002526F8"/>
    <w:rsid w:val="002527F9"/>
    <w:rsid w:val="002528F7"/>
    <w:rsid w:val="00252903"/>
    <w:rsid w:val="00252996"/>
    <w:rsid w:val="00252A87"/>
    <w:rsid w:val="00252B0D"/>
    <w:rsid w:val="00252EC0"/>
    <w:rsid w:val="002530CB"/>
    <w:rsid w:val="00253118"/>
    <w:rsid w:val="00253550"/>
    <w:rsid w:val="00253566"/>
    <w:rsid w:val="00253583"/>
    <w:rsid w:val="002535AF"/>
    <w:rsid w:val="002536FD"/>
    <w:rsid w:val="0025371C"/>
    <w:rsid w:val="00253796"/>
    <w:rsid w:val="002538F7"/>
    <w:rsid w:val="00253BBB"/>
    <w:rsid w:val="00253CD4"/>
    <w:rsid w:val="00253DA4"/>
    <w:rsid w:val="00253DB8"/>
    <w:rsid w:val="00253DE7"/>
    <w:rsid w:val="00254269"/>
    <w:rsid w:val="002542AC"/>
    <w:rsid w:val="0025430E"/>
    <w:rsid w:val="002543AD"/>
    <w:rsid w:val="00254461"/>
    <w:rsid w:val="00254500"/>
    <w:rsid w:val="002546DE"/>
    <w:rsid w:val="00254801"/>
    <w:rsid w:val="0025485D"/>
    <w:rsid w:val="0025498F"/>
    <w:rsid w:val="00254A22"/>
    <w:rsid w:val="00254AC8"/>
    <w:rsid w:val="00254AED"/>
    <w:rsid w:val="00254B7A"/>
    <w:rsid w:val="00254CFF"/>
    <w:rsid w:val="00254E7E"/>
    <w:rsid w:val="00254ED5"/>
    <w:rsid w:val="00254FDB"/>
    <w:rsid w:val="002550B3"/>
    <w:rsid w:val="002551F1"/>
    <w:rsid w:val="002552B3"/>
    <w:rsid w:val="002555AB"/>
    <w:rsid w:val="002555B0"/>
    <w:rsid w:val="00255664"/>
    <w:rsid w:val="00255801"/>
    <w:rsid w:val="00255A1B"/>
    <w:rsid w:val="00255B64"/>
    <w:rsid w:val="00255E82"/>
    <w:rsid w:val="00255F54"/>
    <w:rsid w:val="0025609B"/>
    <w:rsid w:val="002561AF"/>
    <w:rsid w:val="0025644A"/>
    <w:rsid w:val="00256485"/>
    <w:rsid w:val="0025662F"/>
    <w:rsid w:val="00256A9D"/>
    <w:rsid w:val="00256DAB"/>
    <w:rsid w:val="00256E02"/>
    <w:rsid w:val="0025723C"/>
    <w:rsid w:val="0025727E"/>
    <w:rsid w:val="002572D7"/>
    <w:rsid w:val="002576B7"/>
    <w:rsid w:val="002576F8"/>
    <w:rsid w:val="002577F0"/>
    <w:rsid w:val="002577FB"/>
    <w:rsid w:val="002578E6"/>
    <w:rsid w:val="002578FB"/>
    <w:rsid w:val="00257937"/>
    <w:rsid w:val="00257C94"/>
    <w:rsid w:val="00260294"/>
    <w:rsid w:val="002602C5"/>
    <w:rsid w:val="002607AD"/>
    <w:rsid w:val="002607D2"/>
    <w:rsid w:val="00260A6C"/>
    <w:rsid w:val="00260B02"/>
    <w:rsid w:val="00260C29"/>
    <w:rsid w:val="00260C3E"/>
    <w:rsid w:val="00260D50"/>
    <w:rsid w:val="00260F29"/>
    <w:rsid w:val="00260F45"/>
    <w:rsid w:val="002610B0"/>
    <w:rsid w:val="002610C8"/>
    <w:rsid w:val="0026110A"/>
    <w:rsid w:val="00261188"/>
    <w:rsid w:val="0026128B"/>
    <w:rsid w:val="002612EC"/>
    <w:rsid w:val="002613AD"/>
    <w:rsid w:val="00261588"/>
    <w:rsid w:val="00261590"/>
    <w:rsid w:val="002615A9"/>
    <w:rsid w:val="002615CF"/>
    <w:rsid w:val="00261776"/>
    <w:rsid w:val="0026177A"/>
    <w:rsid w:val="002618F1"/>
    <w:rsid w:val="002619E6"/>
    <w:rsid w:val="00261C47"/>
    <w:rsid w:val="00261CFF"/>
    <w:rsid w:val="00261D71"/>
    <w:rsid w:val="00261DBA"/>
    <w:rsid w:val="00261E7A"/>
    <w:rsid w:val="00261E87"/>
    <w:rsid w:val="00261EB9"/>
    <w:rsid w:val="00261F37"/>
    <w:rsid w:val="00261F51"/>
    <w:rsid w:val="002620AD"/>
    <w:rsid w:val="00262241"/>
    <w:rsid w:val="00262278"/>
    <w:rsid w:val="002623A2"/>
    <w:rsid w:val="00262509"/>
    <w:rsid w:val="00262591"/>
    <w:rsid w:val="00262762"/>
    <w:rsid w:val="002627E0"/>
    <w:rsid w:val="0026289A"/>
    <w:rsid w:val="00262AAB"/>
    <w:rsid w:val="00262B6F"/>
    <w:rsid w:val="00262C08"/>
    <w:rsid w:val="00262C6B"/>
    <w:rsid w:val="002634DA"/>
    <w:rsid w:val="00263563"/>
    <w:rsid w:val="00263597"/>
    <w:rsid w:val="00263758"/>
    <w:rsid w:val="00263C0C"/>
    <w:rsid w:val="00263DC6"/>
    <w:rsid w:val="00263F1E"/>
    <w:rsid w:val="00263F4A"/>
    <w:rsid w:val="0026421A"/>
    <w:rsid w:val="002642DF"/>
    <w:rsid w:val="0026462B"/>
    <w:rsid w:val="0026476D"/>
    <w:rsid w:val="0026484A"/>
    <w:rsid w:val="00264915"/>
    <w:rsid w:val="002649A3"/>
    <w:rsid w:val="00264A01"/>
    <w:rsid w:val="00264ADD"/>
    <w:rsid w:val="00264BB9"/>
    <w:rsid w:val="00264E30"/>
    <w:rsid w:val="00264F10"/>
    <w:rsid w:val="00264F31"/>
    <w:rsid w:val="00264FAD"/>
    <w:rsid w:val="00264FFA"/>
    <w:rsid w:val="0026501C"/>
    <w:rsid w:val="0026505A"/>
    <w:rsid w:val="00265234"/>
    <w:rsid w:val="0026524D"/>
    <w:rsid w:val="00265298"/>
    <w:rsid w:val="00265461"/>
    <w:rsid w:val="00265793"/>
    <w:rsid w:val="002657EC"/>
    <w:rsid w:val="00265A03"/>
    <w:rsid w:val="00265CBC"/>
    <w:rsid w:val="00265D2A"/>
    <w:rsid w:val="00265D4A"/>
    <w:rsid w:val="00265D7B"/>
    <w:rsid w:val="0026601D"/>
    <w:rsid w:val="00266276"/>
    <w:rsid w:val="0026633D"/>
    <w:rsid w:val="00266372"/>
    <w:rsid w:val="0026647D"/>
    <w:rsid w:val="0026649D"/>
    <w:rsid w:val="002666F9"/>
    <w:rsid w:val="0026670C"/>
    <w:rsid w:val="0026671E"/>
    <w:rsid w:val="0026679F"/>
    <w:rsid w:val="002668AD"/>
    <w:rsid w:val="00266AD8"/>
    <w:rsid w:val="00266BE2"/>
    <w:rsid w:val="00266C6B"/>
    <w:rsid w:val="00266FD1"/>
    <w:rsid w:val="00267014"/>
    <w:rsid w:val="00267037"/>
    <w:rsid w:val="00267237"/>
    <w:rsid w:val="00267240"/>
    <w:rsid w:val="00267254"/>
    <w:rsid w:val="0026736B"/>
    <w:rsid w:val="002674A5"/>
    <w:rsid w:val="0026765C"/>
    <w:rsid w:val="00267743"/>
    <w:rsid w:val="00267751"/>
    <w:rsid w:val="0026795C"/>
    <w:rsid w:val="002679BC"/>
    <w:rsid w:val="00267A1D"/>
    <w:rsid w:val="00267AD6"/>
    <w:rsid w:val="00267B74"/>
    <w:rsid w:val="00267B94"/>
    <w:rsid w:val="00267C6F"/>
    <w:rsid w:val="00267E23"/>
    <w:rsid w:val="00267EB8"/>
    <w:rsid w:val="00267F4D"/>
    <w:rsid w:val="00267FFB"/>
    <w:rsid w:val="00270206"/>
    <w:rsid w:val="0027026F"/>
    <w:rsid w:val="002703FF"/>
    <w:rsid w:val="002704AC"/>
    <w:rsid w:val="002704DE"/>
    <w:rsid w:val="002706E6"/>
    <w:rsid w:val="002706E7"/>
    <w:rsid w:val="00270788"/>
    <w:rsid w:val="002707FD"/>
    <w:rsid w:val="00270913"/>
    <w:rsid w:val="00270A8B"/>
    <w:rsid w:val="00270E3A"/>
    <w:rsid w:val="00270EAD"/>
    <w:rsid w:val="0027118C"/>
    <w:rsid w:val="0027120F"/>
    <w:rsid w:val="0027122E"/>
    <w:rsid w:val="0027164E"/>
    <w:rsid w:val="00271886"/>
    <w:rsid w:val="002718BF"/>
    <w:rsid w:val="002718CA"/>
    <w:rsid w:val="002719F9"/>
    <w:rsid w:val="00271AB4"/>
    <w:rsid w:val="00271E50"/>
    <w:rsid w:val="00271E56"/>
    <w:rsid w:val="00271F80"/>
    <w:rsid w:val="00271FC1"/>
    <w:rsid w:val="002720F9"/>
    <w:rsid w:val="00272220"/>
    <w:rsid w:val="002722B3"/>
    <w:rsid w:val="00272465"/>
    <w:rsid w:val="0027258B"/>
    <w:rsid w:val="002726E2"/>
    <w:rsid w:val="00272772"/>
    <w:rsid w:val="00272863"/>
    <w:rsid w:val="002728B0"/>
    <w:rsid w:val="00272C43"/>
    <w:rsid w:val="00272DFC"/>
    <w:rsid w:val="00272FB7"/>
    <w:rsid w:val="0027332B"/>
    <w:rsid w:val="002733EE"/>
    <w:rsid w:val="00273426"/>
    <w:rsid w:val="00273481"/>
    <w:rsid w:val="00273486"/>
    <w:rsid w:val="002734A6"/>
    <w:rsid w:val="00273507"/>
    <w:rsid w:val="00273772"/>
    <w:rsid w:val="00273A86"/>
    <w:rsid w:val="00273B93"/>
    <w:rsid w:val="00273C23"/>
    <w:rsid w:val="00273C29"/>
    <w:rsid w:val="00273CDB"/>
    <w:rsid w:val="00273CFC"/>
    <w:rsid w:val="00273D80"/>
    <w:rsid w:val="002742BA"/>
    <w:rsid w:val="00274328"/>
    <w:rsid w:val="002743A4"/>
    <w:rsid w:val="002743CE"/>
    <w:rsid w:val="00274423"/>
    <w:rsid w:val="002744DB"/>
    <w:rsid w:val="00274552"/>
    <w:rsid w:val="0027462D"/>
    <w:rsid w:val="0027474F"/>
    <w:rsid w:val="002747DA"/>
    <w:rsid w:val="00274D27"/>
    <w:rsid w:val="00274F27"/>
    <w:rsid w:val="00274F28"/>
    <w:rsid w:val="00274F6E"/>
    <w:rsid w:val="00274FAF"/>
    <w:rsid w:val="00275019"/>
    <w:rsid w:val="00275067"/>
    <w:rsid w:val="002751C3"/>
    <w:rsid w:val="0027528E"/>
    <w:rsid w:val="002753E3"/>
    <w:rsid w:val="002754D0"/>
    <w:rsid w:val="0027550D"/>
    <w:rsid w:val="00275B54"/>
    <w:rsid w:val="00275C67"/>
    <w:rsid w:val="00275CAD"/>
    <w:rsid w:val="00275EB5"/>
    <w:rsid w:val="00275F73"/>
    <w:rsid w:val="00275FFA"/>
    <w:rsid w:val="00276047"/>
    <w:rsid w:val="00276356"/>
    <w:rsid w:val="00276883"/>
    <w:rsid w:val="002768B3"/>
    <w:rsid w:val="002769DF"/>
    <w:rsid w:val="00276AFD"/>
    <w:rsid w:val="00276E4F"/>
    <w:rsid w:val="00276E97"/>
    <w:rsid w:val="00276FBC"/>
    <w:rsid w:val="00277017"/>
    <w:rsid w:val="00277144"/>
    <w:rsid w:val="00277212"/>
    <w:rsid w:val="002772DF"/>
    <w:rsid w:val="00277408"/>
    <w:rsid w:val="0027764C"/>
    <w:rsid w:val="00277669"/>
    <w:rsid w:val="0027780A"/>
    <w:rsid w:val="0027781A"/>
    <w:rsid w:val="00277B45"/>
    <w:rsid w:val="00277B5E"/>
    <w:rsid w:val="00277B91"/>
    <w:rsid w:val="00277C72"/>
    <w:rsid w:val="00277D31"/>
    <w:rsid w:val="00277E2D"/>
    <w:rsid w:val="00277E61"/>
    <w:rsid w:val="00277F43"/>
    <w:rsid w:val="00277F9E"/>
    <w:rsid w:val="00280161"/>
    <w:rsid w:val="0028031B"/>
    <w:rsid w:val="0028038B"/>
    <w:rsid w:val="002803E8"/>
    <w:rsid w:val="0028040A"/>
    <w:rsid w:val="00280529"/>
    <w:rsid w:val="00280575"/>
    <w:rsid w:val="002805AA"/>
    <w:rsid w:val="00280795"/>
    <w:rsid w:val="002808DB"/>
    <w:rsid w:val="00280D3F"/>
    <w:rsid w:val="00280FB7"/>
    <w:rsid w:val="00281169"/>
    <w:rsid w:val="00281290"/>
    <w:rsid w:val="0028136F"/>
    <w:rsid w:val="002815FF"/>
    <w:rsid w:val="00281648"/>
    <w:rsid w:val="0028176C"/>
    <w:rsid w:val="00281868"/>
    <w:rsid w:val="00281A10"/>
    <w:rsid w:val="00281C4F"/>
    <w:rsid w:val="00281D6F"/>
    <w:rsid w:val="002821B7"/>
    <w:rsid w:val="002821CF"/>
    <w:rsid w:val="00282257"/>
    <w:rsid w:val="0028226C"/>
    <w:rsid w:val="00282481"/>
    <w:rsid w:val="002825A5"/>
    <w:rsid w:val="002825BB"/>
    <w:rsid w:val="00282604"/>
    <w:rsid w:val="00282878"/>
    <w:rsid w:val="00282B14"/>
    <w:rsid w:val="00282D8B"/>
    <w:rsid w:val="00282FAB"/>
    <w:rsid w:val="002830D1"/>
    <w:rsid w:val="00283138"/>
    <w:rsid w:val="0028339F"/>
    <w:rsid w:val="002833DC"/>
    <w:rsid w:val="002834B3"/>
    <w:rsid w:val="002835C7"/>
    <w:rsid w:val="0028362B"/>
    <w:rsid w:val="00283635"/>
    <w:rsid w:val="0028366A"/>
    <w:rsid w:val="002836E4"/>
    <w:rsid w:val="00283715"/>
    <w:rsid w:val="00283A2E"/>
    <w:rsid w:val="00283A7B"/>
    <w:rsid w:val="00283B78"/>
    <w:rsid w:val="00283CBA"/>
    <w:rsid w:val="00283D2D"/>
    <w:rsid w:val="00283E52"/>
    <w:rsid w:val="00284044"/>
    <w:rsid w:val="0028404D"/>
    <w:rsid w:val="00284077"/>
    <w:rsid w:val="002841CA"/>
    <w:rsid w:val="002842C6"/>
    <w:rsid w:val="002842D6"/>
    <w:rsid w:val="0028434E"/>
    <w:rsid w:val="00284483"/>
    <w:rsid w:val="00284620"/>
    <w:rsid w:val="0028475A"/>
    <w:rsid w:val="00284856"/>
    <w:rsid w:val="00284887"/>
    <w:rsid w:val="002848EB"/>
    <w:rsid w:val="00284B17"/>
    <w:rsid w:val="00284D97"/>
    <w:rsid w:val="00284E7E"/>
    <w:rsid w:val="00284E93"/>
    <w:rsid w:val="00285079"/>
    <w:rsid w:val="002850BA"/>
    <w:rsid w:val="0028516E"/>
    <w:rsid w:val="0028523B"/>
    <w:rsid w:val="002852EE"/>
    <w:rsid w:val="002853F6"/>
    <w:rsid w:val="00285406"/>
    <w:rsid w:val="002854F8"/>
    <w:rsid w:val="00285522"/>
    <w:rsid w:val="00285660"/>
    <w:rsid w:val="0028588B"/>
    <w:rsid w:val="00285A7F"/>
    <w:rsid w:val="00285BFA"/>
    <w:rsid w:val="00285C0F"/>
    <w:rsid w:val="00285C5B"/>
    <w:rsid w:val="00285DF9"/>
    <w:rsid w:val="00285F0A"/>
    <w:rsid w:val="00286066"/>
    <w:rsid w:val="002865FD"/>
    <w:rsid w:val="00286623"/>
    <w:rsid w:val="0028662B"/>
    <w:rsid w:val="00286804"/>
    <w:rsid w:val="00286904"/>
    <w:rsid w:val="0028692D"/>
    <w:rsid w:val="00286AF6"/>
    <w:rsid w:val="00286D27"/>
    <w:rsid w:val="00286DC7"/>
    <w:rsid w:val="00286F42"/>
    <w:rsid w:val="00286F80"/>
    <w:rsid w:val="00286F85"/>
    <w:rsid w:val="002870F1"/>
    <w:rsid w:val="002873D4"/>
    <w:rsid w:val="002874CE"/>
    <w:rsid w:val="002876B5"/>
    <w:rsid w:val="002876CF"/>
    <w:rsid w:val="002878E5"/>
    <w:rsid w:val="002879E8"/>
    <w:rsid w:val="00287AC6"/>
    <w:rsid w:val="00287ADE"/>
    <w:rsid w:val="00287E25"/>
    <w:rsid w:val="00287EF9"/>
    <w:rsid w:val="00287F26"/>
    <w:rsid w:val="00290168"/>
    <w:rsid w:val="002902D6"/>
    <w:rsid w:val="00290349"/>
    <w:rsid w:val="0029038A"/>
    <w:rsid w:val="0029038D"/>
    <w:rsid w:val="002905DE"/>
    <w:rsid w:val="00290812"/>
    <w:rsid w:val="00290840"/>
    <w:rsid w:val="0029091A"/>
    <w:rsid w:val="0029098E"/>
    <w:rsid w:val="00290B27"/>
    <w:rsid w:val="00290CCC"/>
    <w:rsid w:val="00290E5C"/>
    <w:rsid w:val="00291089"/>
    <w:rsid w:val="00291172"/>
    <w:rsid w:val="00291174"/>
    <w:rsid w:val="0029131E"/>
    <w:rsid w:val="00291339"/>
    <w:rsid w:val="00291442"/>
    <w:rsid w:val="002914AB"/>
    <w:rsid w:val="002914BE"/>
    <w:rsid w:val="00291825"/>
    <w:rsid w:val="002918FC"/>
    <w:rsid w:val="00291A6B"/>
    <w:rsid w:val="00291B25"/>
    <w:rsid w:val="00291B7B"/>
    <w:rsid w:val="00291C3F"/>
    <w:rsid w:val="00291ECC"/>
    <w:rsid w:val="00291FD6"/>
    <w:rsid w:val="002920A0"/>
    <w:rsid w:val="002923C3"/>
    <w:rsid w:val="00292513"/>
    <w:rsid w:val="002925C0"/>
    <w:rsid w:val="00292942"/>
    <w:rsid w:val="00292A2E"/>
    <w:rsid w:val="00292A55"/>
    <w:rsid w:val="00292A5F"/>
    <w:rsid w:val="00292C08"/>
    <w:rsid w:val="00292C3F"/>
    <w:rsid w:val="00292C78"/>
    <w:rsid w:val="00292C98"/>
    <w:rsid w:val="00292CE0"/>
    <w:rsid w:val="00292D85"/>
    <w:rsid w:val="00292DD8"/>
    <w:rsid w:val="00292FD5"/>
    <w:rsid w:val="0029302E"/>
    <w:rsid w:val="00293068"/>
    <w:rsid w:val="002932AB"/>
    <w:rsid w:val="0029336F"/>
    <w:rsid w:val="0029358A"/>
    <w:rsid w:val="002935F0"/>
    <w:rsid w:val="00293629"/>
    <w:rsid w:val="002936A6"/>
    <w:rsid w:val="0029384E"/>
    <w:rsid w:val="00293C4B"/>
    <w:rsid w:val="00293C6C"/>
    <w:rsid w:val="00293F41"/>
    <w:rsid w:val="00293F6A"/>
    <w:rsid w:val="0029419A"/>
    <w:rsid w:val="002941D8"/>
    <w:rsid w:val="00294271"/>
    <w:rsid w:val="0029427F"/>
    <w:rsid w:val="0029428D"/>
    <w:rsid w:val="0029443C"/>
    <w:rsid w:val="00294491"/>
    <w:rsid w:val="00294544"/>
    <w:rsid w:val="0029463F"/>
    <w:rsid w:val="002946CA"/>
    <w:rsid w:val="002947AB"/>
    <w:rsid w:val="002947E1"/>
    <w:rsid w:val="00294899"/>
    <w:rsid w:val="00294964"/>
    <w:rsid w:val="00294978"/>
    <w:rsid w:val="002949B5"/>
    <w:rsid w:val="00294A43"/>
    <w:rsid w:val="00294A58"/>
    <w:rsid w:val="00294B61"/>
    <w:rsid w:val="00294CED"/>
    <w:rsid w:val="00294D1D"/>
    <w:rsid w:val="00294D7F"/>
    <w:rsid w:val="00294D95"/>
    <w:rsid w:val="00294E2D"/>
    <w:rsid w:val="00295676"/>
    <w:rsid w:val="0029569B"/>
    <w:rsid w:val="002956DD"/>
    <w:rsid w:val="00295780"/>
    <w:rsid w:val="002958C7"/>
    <w:rsid w:val="002959B9"/>
    <w:rsid w:val="00295B96"/>
    <w:rsid w:val="00295C8E"/>
    <w:rsid w:val="00295CD8"/>
    <w:rsid w:val="00295D73"/>
    <w:rsid w:val="00295D89"/>
    <w:rsid w:val="00295F03"/>
    <w:rsid w:val="002961EC"/>
    <w:rsid w:val="0029621D"/>
    <w:rsid w:val="00296388"/>
    <w:rsid w:val="002963C4"/>
    <w:rsid w:val="00296465"/>
    <w:rsid w:val="0029651E"/>
    <w:rsid w:val="00296548"/>
    <w:rsid w:val="00296573"/>
    <w:rsid w:val="0029659C"/>
    <w:rsid w:val="0029694B"/>
    <w:rsid w:val="00296954"/>
    <w:rsid w:val="00296C25"/>
    <w:rsid w:val="00296E52"/>
    <w:rsid w:val="002974DF"/>
    <w:rsid w:val="002976B7"/>
    <w:rsid w:val="00297830"/>
    <w:rsid w:val="00297903"/>
    <w:rsid w:val="00297A76"/>
    <w:rsid w:val="00297B05"/>
    <w:rsid w:val="00297E9F"/>
    <w:rsid w:val="002A002A"/>
    <w:rsid w:val="002A0089"/>
    <w:rsid w:val="002A020B"/>
    <w:rsid w:val="002A0247"/>
    <w:rsid w:val="002A026F"/>
    <w:rsid w:val="002A0748"/>
    <w:rsid w:val="002A096F"/>
    <w:rsid w:val="002A09CE"/>
    <w:rsid w:val="002A0B40"/>
    <w:rsid w:val="002A0B4A"/>
    <w:rsid w:val="002A0C48"/>
    <w:rsid w:val="002A0CC4"/>
    <w:rsid w:val="002A0D29"/>
    <w:rsid w:val="002A0E63"/>
    <w:rsid w:val="002A104E"/>
    <w:rsid w:val="002A122F"/>
    <w:rsid w:val="002A151D"/>
    <w:rsid w:val="002A1618"/>
    <w:rsid w:val="002A16F2"/>
    <w:rsid w:val="002A1777"/>
    <w:rsid w:val="002A1900"/>
    <w:rsid w:val="002A1AF2"/>
    <w:rsid w:val="002A1C32"/>
    <w:rsid w:val="002A1C86"/>
    <w:rsid w:val="002A1D89"/>
    <w:rsid w:val="002A1DF2"/>
    <w:rsid w:val="002A1E8D"/>
    <w:rsid w:val="002A1F48"/>
    <w:rsid w:val="002A1F8F"/>
    <w:rsid w:val="002A216C"/>
    <w:rsid w:val="002A218E"/>
    <w:rsid w:val="002A219E"/>
    <w:rsid w:val="002A21BD"/>
    <w:rsid w:val="002A2323"/>
    <w:rsid w:val="002A23EF"/>
    <w:rsid w:val="002A247D"/>
    <w:rsid w:val="002A2752"/>
    <w:rsid w:val="002A285C"/>
    <w:rsid w:val="002A2A4F"/>
    <w:rsid w:val="002A2BB2"/>
    <w:rsid w:val="002A2BF1"/>
    <w:rsid w:val="002A2D68"/>
    <w:rsid w:val="002A2E4C"/>
    <w:rsid w:val="002A2E61"/>
    <w:rsid w:val="002A2EFB"/>
    <w:rsid w:val="002A30DD"/>
    <w:rsid w:val="002A32A5"/>
    <w:rsid w:val="002A339B"/>
    <w:rsid w:val="002A3536"/>
    <w:rsid w:val="002A3784"/>
    <w:rsid w:val="002A3942"/>
    <w:rsid w:val="002A3967"/>
    <w:rsid w:val="002A3D34"/>
    <w:rsid w:val="002A3E3A"/>
    <w:rsid w:val="002A3F11"/>
    <w:rsid w:val="002A3FAC"/>
    <w:rsid w:val="002A4039"/>
    <w:rsid w:val="002A438D"/>
    <w:rsid w:val="002A4455"/>
    <w:rsid w:val="002A4458"/>
    <w:rsid w:val="002A4736"/>
    <w:rsid w:val="002A4B2E"/>
    <w:rsid w:val="002A4C45"/>
    <w:rsid w:val="002A4E86"/>
    <w:rsid w:val="002A5082"/>
    <w:rsid w:val="002A526E"/>
    <w:rsid w:val="002A54EA"/>
    <w:rsid w:val="002A55A5"/>
    <w:rsid w:val="002A55C4"/>
    <w:rsid w:val="002A55F3"/>
    <w:rsid w:val="002A572F"/>
    <w:rsid w:val="002A57AA"/>
    <w:rsid w:val="002A5AD7"/>
    <w:rsid w:val="002A5C4A"/>
    <w:rsid w:val="002A5C52"/>
    <w:rsid w:val="002A5DB9"/>
    <w:rsid w:val="002A5DDA"/>
    <w:rsid w:val="002A5F16"/>
    <w:rsid w:val="002A5FFB"/>
    <w:rsid w:val="002A6100"/>
    <w:rsid w:val="002A6123"/>
    <w:rsid w:val="002A6158"/>
    <w:rsid w:val="002A624F"/>
    <w:rsid w:val="002A6387"/>
    <w:rsid w:val="002A6442"/>
    <w:rsid w:val="002A65BD"/>
    <w:rsid w:val="002A67E5"/>
    <w:rsid w:val="002A68B6"/>
    <w:rsid w:val="002A6A3B"/>
    <w:rsid w:val="002A6AF0"/>
    <w:rsid w:val="002A6C15"/>
    <w:rsid w:val="002A6C66"/>
    <w:rsid w:val="002A6C72"/>
    <w:rsid w:val="002A6D85"/>
    <w:rsid w:val="002A6DE3"/>
    <w:rsid w:val="002A70AE"/>
    <w:rsid w:val="002A724E"/>
    <w:rsid w:val="002A756B"/>
    <w:rsid w:val="002A7672"/>
    <w:rsid w:val="002A7695"/>
    <w:rsid w:val="002A7900"/>
    <w:rsid w:val="002A7B6E"/>
    <w:rsid w:val="002A7DF7"/>
    <w:rsid w:val="002A7F5B"/>
    <w:rsid w:val="002B01D1"/>
    <w:rsid w:val="002B01F5"/>
    <w:rsid w:val="002B0275"/>
    <w:rsid w:val="002B03D0"/>
    <w:rsid w:val="002B045D"/>
    <w:rsid w:val="002B05B0"/>
    <w:rsid w:val="002B085D"/>
    <w:rsid w:val="002B0998"/>
    <w:rsid w:val="002B09B1"/>
    <w:rsid w:val="002B09B2"/>
    <w:rsid w:val="002B09E3"/>
    <w:rsid w:val="002B0A05"/>
    <w:rsid w:val="002B0DA0"/>
    <w:rsid w:val="002B1035"/>
    <w:rsid w:val="002B1181"/>
    <w:rsid w:val="002B1293"/>
    <w:rsid w:val="002B13C6"/>
    <w:rsid w:val="002B147F"/>
    <w:rsid w:val="002B16F9"/>
    <w:rsid w:val="002B17A5"/>
    <w:rsid w:val="002B19F4"/>
    <w:rsid w:val="002B1AAB"/>
    <w:rsid w:val="002B1C3C"/>
    <w:rsid w:val="002B1C4C"/>
    <w:rsid w:val="002B1DF3"/>
    <w:rsid w:val="002B1F9C"/>
    <w:rsid w:val="002B1FB3"/>
    <w:rsid w:val="002B2019"/>
    <w:rsid w:val="002B2242"/>
    <w:rsid w:val="002B23C7"/>
    <w:rsid w:val="002B23E4"/>
    <w:rsid w:val="002B24A1"/>
    <w:rsid w:val="002B24BE"/>
    <w:rsid w:val="002B252B"/>
    <w:rsid w:val="002B256D"/>
    <w:rsid w:val="002B2647"/>
    <w:rsid w:val="002B27E7"/>
    <w:rsid w:val="002B27FD"/>
    <w:rsid w:val="002B2830"/>
    <w:rsid w:val="002B2927"/>
    <w:rsid w:val="002B2AE9"/>
    <w:rsid w:val="002B2B00"/>
    <w:rsid w:val="002B2CA8"/>
    <w:rsid w:val="002B2CB9"/>
    <w:rsid w:val="002B2E0F"/>
    <w:rsid w:val="002B2EB0"/>
    <w:rsid w:val="002B2EBD"/>
    <w:rsid w:val="002B310C"/>
    <w:rsid w:val="002B33EC"/>
    <w:rsid w:val="002B3628"/>
    <w:rsid w:val="002B37A1"/>
    <w:rsid w:val="002B3832"/>
    <w:rsid w:val="002B39F2"/>
    <w:rsid w:val="002B3AC9"/>
    <w:rsid w:val="002B412A"/>
    <w:rsid w:val="002B41B8"/>
    <w:rsid w:val="002B4269"/>
    <w:rsid w:val="002B4648"/>
    <w:rsid w:val="002B4BAA"/>
    <w:rsid w:val="002B4CA1"/>
    <w:rsid w:val="002B4CB2"/>
    <w:rsid w:val="002B4D65"/>
    <w:rsid w:val="002B4D90"/>
    <w:rsid w:val="002B4E3F"/>
    <w:rsid w:val="002B4ECA"/>
    <w:rsid w:val="002B4F8D"/>
    <w:rsid w:val="002B4FA8"/>
    <w:rsid w:val="002B5036"/>
    <w:rsid w:val="002B50DD"/>
    <w:rsid w:val="002B517E"/>
    <w:rsid w:val="002B51A5"/>
    <w:rsid w:val="002B531D"/>
    <w:rsid w:val="002B54CB"/>
    <w:rsid w:val="002B5544"/>
    <w:rsid w:val="002B55F4"/>
    <w:rsid w:val="002B56BB"/>
    <w:rsid w:val="002B57D7"/>
    <w:rsid w:val="002B57E4"/>
    <w:rsid w:val="002B5876"/>
    <w:rsid w:val="002B587C"/>
    <w:rsid w:val="002B58B5"/>
    <w:rsid w:val="002B59B2"/>
    <w:rsid w:val="002B5AFD"/>
    <w:rsid w:val="002B5DFE"/>
    <w:rsid w:val="002B5EA9"/>
    <w:rsid w:val="002B5EC2"/>
    <w:rsid w:val="002B5F4A"/>
    <w:rsid w:val="002B5F6B"/>
    <w:rsid w:val="002B603A"/>
    <w:rsid w:val="002B605D"/>
    <w:rsid w:val="002B606B"/>
    <w:rsid w:val="002B6200"/>
    <w:rsid w:val="002B636B"/>
    <w:rsid w:val="002B645C"/>
    <w:rsid w:val="002B6569"/>
    <w:rsid w:val="002B65CC"/>
    <w:rsid w:val="002B6630"/>
    <w:rsid w:val="002B66DB"/>
    <w:rsid w:val="002B69B1"/>
    <w:rsid w:val="002B6AC4"/>
    <w:rsid w:val="002B6B7C"/>
    <w:rsid w:val="002B6C2A"/>
    <w:rsid w:val="002B6CB0"/>
    <w:rsid w:val="002B6DC7"/>
    <w:rsid w:val="002B6E84"/>
    <w:rsid w:val="002B6E9C"/>
    <w:rsid w:val="002B6EBB"/>
    <w:rsid w:val="002B6FF4"/>
    <w:rsid w:val="002B702F"/>
    <w:rsid w:val="002B7460"/>
    <w:rsid w:val="002B76B4"/>
    <w:rsid w:val="002B76EC"/>
    <w:rsid w:val="002B7735"/>
    <w:rsid w:val="002B78E9"/>
    <w:rsid w:val="002B7942"/>
    <w:rsid w:val="002B798F"/>
    <w:rsid w:val="002B7C4F"/>
    <w:rsid w:val="002C01E4"/>
    <w:rsid w:val="002C035F"/>
    <w:rsid w:val="002C047B"/>
    <w:rsid w:val="002C04B2"/>
    <w:rsid w:val="002C066D"/>
    <w:rsid w:val="002C091B"/>
    <w:rsid w:val="002C0A45"/>
    <w:rsid w:val="002C0A69"/>
    <w:rsid w:val="002C0AF2"/>
    <w:rsid w:val="002C0B0C"/>
    <w:rsid w:val="002C0B58"/>
    <w:rsid w:val="002C0C1B"/>
    <w:rsid w:val="002C0CFF"/>
    <w:rsid w:val="002C0D90"/>
    <w:rsid w:val="002C0EB5"/>
    <w:rsid w:val="002C0FA5"/>
    <w:rsid w:val="002C104D"/>
    <w:rsid w:val="002C121B"/>
    <w:rsid w:val="002C12DB"/>
    <w:rsid w:val="002C1459"/>
    <w:rsid w:val="002C1479"/>
    <w:rsid w:val="002C1871"/>
    <w:rsid w:val="002C1890"/>
    <w:rsid w:val="002C1C28"/>
    <w:rsid w:val="002C1C95"/>
    <w:rsid w:val="002C1CF1"/>
    <w:rsid w:val="002C1D53"/>
    <w:rsid w:val="002C1D59"/>
    <w:rsid w:val="002C1E8D"/>
    <w:rsid w:val="002C1E9B"/>
    <w:rsid w:val="002C1F1B"/>
    <w:rsid w:val="002C1F25"/>
    <w:rsid w:val="002C1FB7"/>
    <w:rsid w:val="002C2133"/>
    <w:rsid w:val="002C240B"/>
    <w:rsid w:val="002C267C"/>
    <w:rsid w:val="002C2820"/>
    <w:rsid w:val="002C2967"/>
    <w:rsid w:val="002C29BC"/>
    <w:rsid w:val="002C2A65"/>
    <w:rsid w:val="002C2A8D"/>
    <w:rsid w:val="002C2ACB"/>
    <w:rsid w:val="002C2B16"/>
    <w:rsid w:val="002C2C18"/>
    <w:rsid w:val="002C2D7E"/>
    <w:rsid w:val="002C3013"/>
    <w:rsid w:val="002C30BA"/>
    <w:rsid w:val="002C3118"/>
    <w:rsid w:val="002C3199"/>
    <w:rsid w:val="002C329E"/>
    <w:rsid w:val="002C3396"/>
    <w:rsid w:val="002C34E8"/>
    <w:rsid w:val="002C3781"/>
    <w:rsid w:val="002C391F"/>
    <w:rsid w:val="002C3BF2"/>
    <w:rsid w:val="002C3E7A"/>
    <w:rsid w:val="002C41E0"/>
    <w:rsid w:val="002C421B"/>
    <w:rsid w:val="002C42A4"/>
    <w:rsid w:val="002C42E0"/>
    <w:rsid w:val="002C42F0"/>
    <w:rsid w:val="002C4534"/>
    <w:rsid w:val="002C4617"/>
    <w:rsid w:val="002C48A3"/>
    <w:rsid w:val="002C48EC"/>
    <w:rsid w:val="002C4982"/>
    <w:rsid w:val="002C4B92"/>
    <w:rsid w:val="002C4C37"/>
    <w:rsid w:val="002C4CFD"/>
    <w:rsid w:val="002C4F90"/>
    <w:rsid w:val="002C501E"/>
    <w:rsid w:val="002C505A"/>
    <w:rsid w:val="002C5111"/>
    <w:rsid w:val="002C5271"/>
    <w:rsid w:val="002C5408"/>
    <w:rsid w:val="002C546A"/>
    <w:rsid w:val="002C5474"/>
    <w:rsid w:val="002C54DF"/>
    <w:rsid w:val="002C5574"/>
    <w:rsid w:val="002C5A05"/>
    <w:rsid w:val="002C5A56"/>
    <w:rsid w:val="002C5ADD"/>
    <w:rsid w:val="002C5C14"/>
    <w:rsid w:val="002C5C2F"/>
    <w:rsid w:val="002C5D24"/>
    <w:rsid w:val="002C5E33"/>
    <w:rsid w:val="002C5F67"/>
    <w:rsid w:val="002C618A"/>
    <w:rsid w:val="002C61C3"/>
    <w:rsid w:val="002C61E9"/>
    <w:rsid w:val="002C6340"/>
    <w:rsid w:val="002C63BD"/>
    <w:rsid w:val="002C6415"/>
    <w:rsid w:val="002C6526"/>
    <w:rsid w:val="002C670A"/>
    <w:rsid w:val="002C6E42"/>
    <w:rsid w:val="002C715A"/>
    <w:rsid w:val="002C71D9"/>
    <w:rsid w:val="002C73E2"/>
    <w:rsid w:val="002C742B"/>
    <w:rsid w:val="002C7491"/>
    <w:rsid w:val="002C77C2"/>
    <w:rsid w:val="002C7886"/>
    <w:rsid w:val="002C793F"/>
    <w:rsid w:val="002C7AA8"/>
    <w:rsid w:val="002C7B87"/>
    <w:rsid w:val="002C7D10"/>
    <w:rsid w:val="002C7D24"/>
    <w:rsid w:val="002C7DEB"/>
    <w:rsid w:val="002D0198"/>
    <w:rsid w:val="002D01E3"/>
    <w:rsid w:val="002D023C"/>
    <w:rsid w:val="002D037A"/>
    <w:rsid w:val="002D03EB"/>
    <w:rsid w:val="002D05E7"/>
    <w:rsid w:val="002D06BD"/>
    <w:rsid w:val="002D0707"/>
    <w:rsid w:val="002D08C4"/>
    <w:rsid w:val="002D0DF7"/>
    <w:rsid w:val="002D0E2C"/>
    <w:rsid w:val="002D12F4"/>
    <w:rsid w:val="002D172F"/>
    <w:rsid w:val="002D18E7"/>
    <w:rsid w:val="002D197F"/>
    <w:rsid w:val="002D1A37"/>
    <w:rsid w:val="002D1AA5"/>
    <w:rsid w:val="002D1BDE"/>
    <w:rsid w:val="002D1D34"/>
    <w:rsid w:val="002D1D7D"/>
    <w:rsid w:val="002D1D98"/>
    <w:rsid w:val="002D203E"/>
    <w:rsid w:val="002D206D"/>
    <w:rsid w:val="002D21D1"/>
    <w:rsid w:val="002D2240"/>
    <w:rsid w:val="002D229B"/>
    <w:rsid w:val="002D22D7"/>
    <w:rsid w:val="002D2410"/>
    <w:rsid w:val="002D241E"/>
    <w:rsid w:val="002D249B"/>
    <w:rsid w:val="002D24A4"/>
    <w:rsid w:val="002D2500"/>
    <w:rsid w:val="002D26BA"/>
    <w:rsid w:val="002D270A"/>
    <w:rsid w:val="002D2716"/>
    <w:rsid w:val="002D2792"/>
    <w:rsid w:val="002D2882"/>
    <w:rsid w:val="002D290F"/>
    <w:rsid w:val="002D2973"/>
    <w:rsid w:val="002D2ADF"/>
    <w:rsid w:val="002D2C8D"/>
    <w:rsid w:val="002D2E3D"/>
    <w:rsid w:val="002D2F81"/>
    <w:rsid w:val="002D3042"/>
    <w:rsid w:val="002D3091"/>
    <w:rsid w:val="002D30C0"/>
    <w:rsid w:val="002D31BF"/>
    <w:rsid w:val="002D3221"/>
    <w:rsid w:val="002D3245"/>
    <w:rsid w:val="002D32D5"/>
    <w:rsid w:val="002D33D1"/>
    <w:rsid w:val="002D379C"/>
    <w:rsid w:val="002D3878"/>
    <w:rsid w:val="002D38D6"/>
    <w:rsid w:val="002D39BD"/>
    <w:rsid w:val="002D39FD"/>
    <w:rsid w:val="002D3C3F"/>
    <w:rsid w:val="002D3C6E"/>
    <w:rsid w:val="002D3E34"/>
    <w:rsid w:val="002D3EFD"/>
    <w:rsid w:val="002D3F37"/>
    <w:rsid w:val="002D3F43"/>
    <w:rsid w:val="002D4104"/>
    <w:rsid w:val="002D4225"/>
    <w:rsid w:val="002D4254"/>
    <w:rsid w:val="002D4294"/>
    <w:rsid w:val="002D4474"/>
    <w:rsid w:val="002D4496"/>
    <w:rsid w:val="002D4533"/>
    <w:rsid w:val="002D46E3"/>
    <w:rsid w:val="002D4770"/>
    <w:rsid w:val="002D47A6"/>
    <w:rsid w:val="002D480D"/>
    <w:rsid w:val="002D4AFD"/>
    <w:rsid w:val="002D4B7E"/>
    <w:rsid w:val="002D4D35"/>
    <w:rsid w:val="002D51CC"/>
    <w:rsid w:val="002D54A0"/>
    <w:rsid w:val="002D5656"/>
    <w:rsid w:val="002D56E3"/>
    <w:rsid w:val="002D5783"/>
    <w:rsid w:val="002D589A"/>
    <w:rsid w:val="002D5AD2"/>
    <w:rsid w:val="002D5DA6"/>
    <w:rsid w:val="002D5FCF"/>
    <w:rsid w:val="002D6297"/>
    <w:rsid w:val="002D63B1"/>
    <w:rsid w:val="002D63C4"/>
    <w:rsid w:val="002D63F9"/>
    <w:rsid w:val="002D6545"/>
    <w:rsid w:val="002D674F"/>
    <w:rsid w:val="002D684A"/>
    <w:rsid w:val="002D6B23"/>
    <w:rsid w:val="002D6C18"/>
    <w:rsid w:val="002D6C20"/>
    <w:rsid w:val="002D6C77"/>
    <w:rsid w:val="002D6D1D"/>
    <w:rsid w:val="002D6D2B"/>
    <w:rsid w:val="002D6D42"/>
    <w:rsid w:val="002D6F4D"/>
    <w:rsid w:val="002D715C"/>
    <w:rsid w:val="002D7174"/>
    <w:rsid w:val="002D7319"/>
    <w:rsid w:val="002D732D"/>
    <w:rsid w:val="002D7369"/>
    <w:rsid w:val="002D73FA"/>
    <w:rsid w:val="002D753D"/>
    <w:rsid w:val="002D772A"/>
    <w:rsid w:val="002D7823"/>
    <w:rsid w:val="002D7894"/>
    <w:rsid w:val="002D7C34"/>
    <w:rsid w:val="002D7D06"/>
    <w:rsid w:val="002D7E20"/>
    <w:rsid w:val="002E018F"/>
    <w:rsid w:val="002E01B2"/>
    <w:rsid w:val="002E01BE"/>
    <w:rsid w:val="002E01C5"/>
    <w:rsid w:val="002E01FA"/>
    <w:rsid w:val="002E0258"/>
    <w:rsid w:val="002E03E9"/>
    <w:rsid w:val="002E045D"/>
    <w:rsid w:val="002E064C"/>
    <w:rsid w:val="002E0775"/>
    <w:rsid w:val="002E0A01"/>
    <w:rsid w:val="002E0A58"/>
    <w:rsid w:val="002E0A7A"/>
    <w:rsid w:val="002E0BDE"/>
    <w:rsid w:val="002E0CC2"/>
    <w:rsid w:val="002E0E80"/>
    <w:rsid w:val="002E0FD1"/>
    <w:rsid w:val="002E102E"/>
    <w:rsid w:val="002E10F6"/>
    <w:rsid w:val="002E14C2"/>
    <w:rsid w:val="002E1663"/>
    <w:rsid w:val="002E167A"/>
    <w:rsid w:val="002E17B3"/>
    <w:rsid w:val="002E17BC"/>
    <w:rsid w:val="002E17E2"/>
    <w:rsid w:val="002E1816"/>
    <w:rsid w:val="002E190F"/>
    <w:rsid w:val="002E19ED"/>
    <w:rsid w:val="002E1DA3"/>
    <w:rsid w:val="002E1F32"/>
    <w:rsid w:val="002E1F7C"/>
    <w:rsid w:val="002E2109"/>
    <w:rsid w:val="002E2154"/>
    <w:rsid w:val="002E21E7"/>
    <w:rsid w:val="002E23D0"/>
    <w:rsid w:val="002E258B"/>
    <w:rsid w:val="002E25A7"/>
    <w:rsid w:val="002E25F3"/>
    <w:rsid w:val="002E261E"/>
    <w:rsid w:val="002E267D"/>
    <w:rsid w:val="002E2878"/>
    <w:rsid w:val="002E28A4"/>
    <w:rsid w:val="002E2A94"/>
    <w:rsid w:val="002E2AEF"/>
    <w:rsid w:val="002E2C6D"/>
    <w:rsid w:val="002E3067"/>
    <w:rsid w:val="002E32A1"/>
    <w:rsid w:val="002E3422"/>
    <w:rsid w:val="002E34A9"/>
    <w:rsid w:val="002E34D5"/>
    <w:rsid w:val="002E3785"/>
    <w:rsid w:val="002E395C"/>
    <w:rsid w:val="002E396A"/>
    <w:rsid w:val="002E3A80"/>
    <w:rsid w:val="002E3AC2"/>
    <w:rsid w:val="002E3C0B"/>
    <w:rsid w:val="002E3DCC"/>
    <w:rsid w:val="002E41F2"/>
    <w:rsid w:val="002E42F2"/>
    <w:rsid w:val="002E4510"/>
    <w:rsid w:val="002E456F"/>
    <w:rsid w:val="002E4583"/>
    <w:rsid w:val="002E46FE"/>
    <w:rsid w:val="002E486D"/>
    <w:rsid w:val="002E4B1C"/>
    <w:rsid w:val="002E4DC4"/>
    <w:rsid w:val="002E4E91"/>
    <w:rsid w:val="002E51C3"/>
    <w:rsid w:val="002E5233"/>
    <w:rsid w:val="002E52DA"/>
    <w:rsid w:val="002E587F"/>
    <w:rsid w:val="002E5B11"/>
    <w:rsid w:val="002E5C0A"/>
    <w:rsid w:val="002E5D65"/>
    <w:rsid w:val="002E5F40"/>
    <w:rsid w:val="002E6031"/>
    <w:rsid w:val="002E6083"/>
    <w:rsid w:val="002E6166"/>
    <w:rsid w:val="002E620F"/>
    <w:rsid w:val="002E62BA"/>
    <w:rsid w:val="002E63A1"/>
    <w:rsid w:val="002E63D1"/>
    <w:rsid w:val="002E66F8"/>
    <w:rsid w:val="002E687B"/>
    <w:rsid w:val="002E68FB"/>
    <w:rsid w:val="002E6911"/>
    <w:rsid w:val="002E696E"/>
    <w:rsid w:val="002E6AAD"/>
    <w:rsid w:val="002E6BDE"/>
    <w:rsid w:val="002E6CF3"/>
    <w:rsid w:val="002E6E58"/>
    <w:rsid w:val="002E6FB9"/>
    <w:rsid w:val="002E7031"/>
    <w:rsid w:val="002E70A2"/>
    <w:rsid w:val="002E7133"/>
    <w:rsid w:val="002E7234"/>
    <w:rsid w:val="002E73AF"/>
    <w:rsid w:val="002E7425"/>
    <w:rsid w:val="002E742E"/>
    <w:rsid w:val="002E759E"/>
    <w:rsid w:val="002E7810"/>
    <w:rsid w:val="002E791D"/>
    <w:rsid w:val="002E7933"/>
    <w:rsid w:val="002E7A5A"/>
    <w:rsid w:val="002E7A8A"/>
    <w:rsid w:val="002E7BA6"/>
    <w:rsid w:val="002E7BC9"/>
    <w:rsid w:val="002E7C34"/>
    <w:rsid w:val="002E7C42"/>
    <w:rsid w:val="002E7DD8"/>
    <w:rsid w:val="002E7DF9"/>
    <w:rsid w:val="002E7E0A"/>
    <w:rsid w:val="002F0034"/>
    <w:rsid w:val="002F01CE"/>
    <w:rsid w:val="002F01F2"/>
    <w:rsid w:val="002F023D"/>
    <w:rsid w:val="002F039E"/>
    <w:rsid w:val="002F0703"/>
    <w:rsid w:val="002F08B3"/>
    <w:rsid w:val="002F09D2"/>
    <w:rsid w:val="002F0A42"/>
    <w:rsid w:val="002F0E12"/>
    <w:rsid w:val="002F0E2A"/>
    <w:rsid w:val="002F1187"/>
    <w:rsid w:val="002F11E2"/>
    <w:rsid w:val="002F1205"/>
    <w:rsid w:val="002F1241"/>
    <w:rsid w:val="002F1281"/>
    <w:rsid w:val="002F12D6"/>
    <w:rsid w:val="002F1469"/>
    <w:rsid w:val="002F15FD"/>
    <w:rsid w:val="002F1A7B"/>
    <w:rsid w:val="002F1B73"/>
    <w:rsid w:val="002F1DAA"/>
    <w:rsid w:val="002F1E96"/>
    <w:rsid w:val="002F2077"/>
    <w:rsid w:val="002F2255"/>
    <w:rsid w:val="002F2291"/>
    <w:rsid w:val="002F260D"/>
    <w:rsid w:val="002F260F"/>
    <w:rsid w:val="002F2633"/>
    <w:rsid w:val="002F2818"/>
    <w:rsid w:val="002F2863"/>
    <w:rsid w:val="002F28A8"/>
    <w:rsid w:val="002F290C"/>
    <w:rsid w:val="002F29D2"/>
    <w:rsid w:val="002F2B0E"/>
    <w:rsid w:val="002F2D0E"/>
    <w:rsid w:val="002F2D79"/>
    <w:rsid w:val="002F2E3A"/>
    <w:rsid w:val="002F3147"/>
    <w:rsid w:val="002F3201"/>
    <w:rsid w:val="002F32B9"/>
    <w:rsid w:val="002F3789"/>
    <w:rsid w:val="002F3987"/>
    <w:rsid w:val="002F3BD9"/>
    <w:rsid w:val="002F3BED"/>
    <w:rsid w:val="002F3C82"/>
    <w:rsid w:val="002F3D7F"/>
    <w:rsid w:val="002F3E35"/>
    <w:rsid w:val="002F3E4F"/>
    <w:rsid w:val="002F3F3A"/>
    <w:rsid w:val="002F3FD9"/>
    <w:rsid w:val="002F40DB"/>
    <w:rsid w:val="002F44E7"/>
    <w:rsid w:val="002F44F1"/>
    <w:rsid w:val="002F4541"/>
    <w:rsid w:val="002F4557"/>
    <w:rsid w:val="002F4646"/>
    <w:rsid w:val="002F47EC"/>
    <w:rsid w:val="002F4848"/>
    <w:rsid w:val="002F4925"/>
    <w:rsid w:val="002F49D5"/>
    <w:rsid w:val="002F4AFE"/>
    <w:rsid w:val="002F4C83"/>
    <w:rsid w:val="002F4ED9"/>
    <w:rsid w:val="002F4FBC"/>
    <w:rsid w:val="002F5071"/>
    <w:rsid w:val="002F50DE"/>
    <w:rsid w:val="002F514E"/>
    <w:rsid w:val="002F518C"/>
    <w:rsid w:val="002F51B4"/>
    <w:rsid w:val="002F51B6"/>
    <w:rsid w:val="002F52EA"/>
    <w:rsid w:val="002F5519"/>
    <w:rsid w:val="002F5704"/>
    <w:rsid w:val="002F57EC"/>
    <w:rsid w:val="002F59E1"/>
    <w:rsid w:val="002F59E9"/>
    <w:rsid w:val="002F59F5"/>
    <w:rsid w:val="002F5A33"/>
    <w:rsid w:val="002F5A70"/>
    <w:rsid w:val="002F5B7F"/>
    <w:rsid w:val="002F5DAD"/>
    <w:rsid w:val="002F5E20"/>
    <w:rsid w:val="002F5EC5"/>
    <w:rsid w:val="002F5F42"/>
    <w:rsid w:val="002F6228"/>
    <w:rsid w:val="002F64B2"/>
    <w:rsid w:val="002F669B"/>
    <w:rsid w:val="002F66F1"/>
    <w:rsid w:val="002F6762"/>
    <w:rsid w:val="002F67CF"/>
    <w:rsid w:val="002F67F2"/>
    <w:rsid w:val="002F6A2D"/>
    <w:rsid w:val="002F6A34"/>
    <w:rsid w:val="002F6A84"/>
    <w:rsid w:val="002F6AAF"/>
    <w:rsid w:val="002F6B69"/>
    <w:rsid w:val="002F6BE0"/>
    <w:rsid w:val="002F6CAE"/>
    <w:rsid w:val="002F6D9B"/>
    <w:rsid w:val="002F6DF9"/>
    <w:rsid w:val="002F6F81"/>
    <w:rsid w:val="002F702D"/>
    <w:rsid w:val="002F72FB"/>
    <w:rsid w:val="002F7450"/>
    <w:rsid w:val="002F7849"/>
    <w:rsid w:val="002F797D"/>
    <w:rsid w:val="002F7997"/>
    <w:rsid w:val="002F79EA"/>
    <w:rsid w:val="002F7A28"/>
    <w:rsid w:val="002F7A6C"/>
    <w:rsid w:val="002F7B17"/>
    <w:rsid w:val="002F7B1B"/>
    <w:rsid w:val="002F7D52"/>
    <w:rsid w:val="002F7F85"/>
    <w:rsid w:val="00300419"/>
    <w:rsid w:val="00300485"/>
    <w:rsid w:val="0030063F"/>
    <w:rsid w:val="00300652"/>
    <w:rsid w:val="00300729"/>
    <w:rsid w:val="003008B6"/>
    <w:rsid w:val="00300C8B"/>
    <w:rsid w:val="00300CAA"/>
    <w:rsid w:val="00300F09"/>
    <w:rsid w:val="00300F19"/>
    <w:rsid w:val="00300F1E"/>
    <w:rsid w:val="003013F5"/>
    <w:rsid w:val="00301637"/>
    <w:rsid w:val="00301C1E"/>
    <w:rsid w:val="00301D18"/>
    <w:rsid w:val="00301DA8"/>
    <w:rsid w:val="00301E2B"/>
    <w:rsid w:val="00301FEE"/>
    <w:rsid w:val="0030214E"/>
    <w:rsid w:val="003022A8"/>
    <w:rsid w:val="0030230A"/>
    <w:rsid w:val="0030230D"/>
    <w:rsid w:val="003023EA"/>
    <w:rsid w:val="00302414"/>
    <w:rsid w:val="0030242D"/>
    <w:rsid w:val="003027E6"/>
    <w:rsid w:val="0030287D"/>
    <w:rsid w:val="00302994"/>
    <w:rsid w:val="00302A24"/>
    <w:rsid w:val="00302B62"/>
    <w:rsid w:val="00302BB6"/>
    <w:rsid w:val="00302CD4"/>
    <w:rsid w:val="00302FF2"/>
    <w:rsid w:val="00303000"/>
    <w:rsid w:val="00303004"/>
    <w:rsid w:val="0030324C"/>
    <w:rsid w:val="00303441"/>
    <w:rsid w:val="003034AC"/>
    <w:rsid w:val="003035BB"/>
    <w:rsid w:val="0030374E"/>
    <w:rsid w:val="00303772"/>
    <w:rsid w:val="003038E0"/>
    <w:rsid w:val="00303909"/>
    <w:rsid w:val="00303A3C"/>
    <w:rsid w:val="00303A7D"/>
    <w:rsid w:val="00303C3E"/>
    <w:rsid w:val="00303E5E"/>
    <w:rsid w:val="00303EEE"/>
    <w:rsid w:val="00303F33"/>
    <w:rsid w:val="003040CA"/>
    <w:rsid w:val="0030421D"/>
    <w:rsid w:val="003042FA"/>
    <w:rsid w:val="00304511"/>
    <w:rsid w:val="003047F3"/>
    <w:rsid w:val="00304843"/>
    <w:rsid w:val="0030493C"/>
    <w:rsid w:val="00304AA2"/>
    <w:rsid w:val="00304B2A"/>
    <w:rsid w:val="00304B85"/>
    <w:rsid w:val="00304CE5"/>
    <w:rsid w:val="00304D25"/>
    <w:rsid w:val="00304DEC"/>
    <w:rsid w:val="00304DFF"/>
    <w:rsid w:val="00304F0E"/>
    <w:rsid w:val="00305227"/>
    <w:rsid w:val="003055C0"/>
    <w:rsid w:val="00305619"/>
    <w:rsid w:val="00305753"/>
    <w:rsid w:val="00305897"/>
    <w:rsid w:val="00305CCC"/>
    <w:rsid w:val="0030605F"/>
    <w:rsid w:val="00306086"/>
    <w:rsid w:val="00306129"/>
    <w:rsid w:val="00306211"/>
    <w:rsid w:val="00306533"/>
    <w:rsid w:val="003066E1"/>
    <w:rsid w:val="00306737"/>
    <w:rsid w:val="0030678B"/>
    <w:rsid w:val="003067A2"/>
    <w:rsid w:val="00306828"/>
    <w:rsid w:val="00306837"/>
    <w:rsid w:val="0030685A"/>
    <w:rsid w:val="00306888"/>
    <w:rsid w:val="003068FA"/>
    <w:rsid w:val="00306B3E"/>
    <w:rsid w:val="00306BA0"/>
    <w:rsid w:val="00306C1B"/>
    <w:rsid w:val="00306D24"/>
    <w:rsid w:val="00306D2B"/>
    <w:rsid w:val="00306E18"/>
    <w:rsid w:val="00306E79"/>
    <w:rsid w:val="00306FCF"/>
    <w:rsid w:val="00307021"/>
    <w:rsid w:val="003070B9"/>
    <w:rsid w:val="003070D6"/>
    <w:rsid w:val="0030729E"/>
    <w:rsid w:val="003072B8"/>
    <w:rsid w:val="0030733D"/>
    <w:rsid w:val="003075B5"/>
    <w:rsid w:val="003075C7"/>
    <w:rsid w:val="00307611"/>
    <w:rsid w:val="0030778C"/>
    <w:rsid w:val="00307960"/>
    <w:rsid w:val="00307A0A"/>
    <w:rsid w:val="00307C35"/>
    <w:rsid w:val="00307CAD"/>
    <w:rsid w:val="00307CF8"/>
    <w:rsid w:val="00307D3E"/>
    <w:rsid w:val="00307D98"/>
    <w:rsid w:val="00307DD5"/>
    <w:rsid w:val="00307DFE"/>
    <w:rsid w:val="0031030E"/>
    <w:rsid w:val="00310342"/>
    <w:rsid w:val="00310755"/>
    <w:rsid w:val="003107D7"/>
    <w:rsid w:val="00310905"/>
    <w:rsid w:val="00310A17"/>
    <w:rsid w:val="00310B7C"/>
    <w:rsid w:val="00310C36"/>
    <w:rsid w:val="00310C3D"/>
    <w:rsid w:val="00310E8F"/>
    <w:rsid w:val="00310E9D"/>
    <w:rsid w:val="00310F12"/>
    <w:rsid w:val="00310FD3"/>
    <w:rsid w:val="00311228"/>
    <w:rsid w:val="0031133E"/>
    <w:rsid w:val="00311369"/>
    <w:rsid w:val="0031139C"/>
    <w:rsid w:val="003114A2"/>
    <w:rsid w:val="003115FB"/>
    <w:rsid w:val="003116F3"/>
    <w:rsid w:val="00311707"/>
    <w:rsid w:val="003117D7"/>
    <w:rsid w:val="003118C0"/>
    <w:rsid w:val="003119BF"/>
    <w:rsid w:val="003119EF"/>
    <w:rsid w:val="00311AA0"/>
    <w:rsid w:val="00311CCD"/>
    <w:rsid w:val="00311E93"/>
    <w:rsid w:val="00311F27"/>
    <w:rsid w:val="003121CA"/>
    <w:rsid w:val="003123B1"/>
    <w:rsid w:val="003124A4"/>
    <w:rsid w:val="00312588"/>
    <w:rsid w:val="003126EC"/>
    <w:rsid w:val="00312C88"/>
    <w:rsid w:val="00312DC0"/>
    <w:rsid w:val="00312EA1"/>
    <w:rsid w:val="00312F57"/>
    <w:rsid w:val="00313018"/>
    <w:rsid w:val="0031324A"/>
    <w:rsid w:val="003132C4"/>
    <w:rsid w:val="003132E8"/>
    <w:rsid w:val="00313364"/>
    <w:rsid w:val="00313439"/>
    <w:rsid w:val="0031359E"/>
    <w:rsid w:val="003137C9"/>
    <w:rsid w:val="003138E2"/>
    <w:rsid w:val="00313BCF"/>
    <w:rsid w:val="00313C21"/>
    <w:rsid w:val="00313E0A"/>
    <w:rsid w:val="003140A9"/>
    <w:rsid w:val="00314123"/>
    <w:rsid w:val="003141EB"/>
    <w:rsid w:val="00314285"/>
    <w:rsid w:val="00314305"/>
    <w:rsid w:val="00314439"/>
    <w:rsid w:val="0031456F"/>
    <w:rsid w:val="00314633"/>
    <w:rsid w:val="00314751"/>
    <w:rsid w:val="00314951"/>
    <w:rsid w:val="00314CC4"/>
    <w:rsid w:val="00314F69"/>
    <w:rsid w:val="00314F7E"/>
    <w:rsid w:val="00314FDE"/>
    <w:rsid w:val="00314FEB"/>
    <w:rsid w:val="00315080"/>
    <w:rsid w:val="003150F7"/>
    <w:rsid w:val="0031516A"/>
    <w:rsid w:val="003152D9"/>
    <w:rsid w:val="00315378"/>
    <w:rsid w:val="00315475"/>
    <w:rsid w:val="0031547C"/>
    <w:rsid w:val="0031550D"/>
    <w:rsid w:val="00315517"/>
    <w:rsid w:val="00315529"/>
    <w:rsid w:val="00315B1B"/>
    <w:rsid w:val="00315B60"/>
    <w:rsid w:val="00315BE7"/>
    <w:rsid w:val="00315C2C"/>
    <w:rsid w:val="00315CE1"/>
    <w:rsid w:val="003160F1"/>
    <w:rsid w:val="00316164"/>
    <w:rsid w:val="0031621F"/>
    <w:rsid w:val="00316339"/>
    <w:rsid w:val="00316350"/>
    <w:rsid w:val="00316393"/>
    <w:rsid w:val="003164A3"/>
    <w:rsid w:val="0031651A"/>
    <w:rsid w:val="003165FE"/>
    <w:rsid w:val="003166FA"/>
    <w:rsid w:val="003168E3"/>
    <w:rsid w:val="00316998"/>
    <w:rsid w:val="003169AE"/>
    <w:rsid w:val="00316B1A"/>
    <w:rsid w:val="00316BE6"/>
    <w:rsid w:val="00316C33"/>
    <w:rsid w:val="00316CB4"/>
    <w:rsid w:val="00316CFE"/>
    <w:rsid w:val="00316D3F"/>
    <w:rsid w:val="00316D4C"/>
    <w:rsid w:val="00316DD2"/>
    <w:rsid w:val="00316F11"/>
    <w:rsid w:val="00316FAC"/>
    <w:rsid w:val="00317005"/>
    <w:rsid w:val="00317007"/>
    <w:rsid w:val="00317099"/>
    <w:rsid w:val="00317152"/>
    <w:rsid w:val="00317202"/>
    <w:rsid w:val="00317392"/>
    <w:rsid w:val="0031739F"/>
    <w:rsid w:val="0031745A"/>
    <w:rsid w:val="00317870"/>
    <w:rsid w:val="003178EB"/>
    <w:rsid w:val="00317A10"/>
    <w:rsid w:val="00317B20"/>
    <w:rsid w:val="00317B26"/>
    <w:rsid w:val="00317C56"/>
    <w:rsid w:val="00317CE7"/>
    <w:rsid w:val="00317CF9"/>
    <w:rsid w:val="00317D82"/>
    <w:rsid w:val="0032006B"/>
    <w:rsid w:val="00320184"/>
    <w:rsid w:val="0032020C"/>
    <w:rsid w:val="0032022D"/>
    <w:rsid w:val="0032057F"/>
    <w:rsid w:val="00320657"/>
    <w:rsid w:val="0032069F"/>
    <w:rsid w:val="003207C3"/>
    <w:rsid w:val="00320827"/>
    <w:rsid w:val="00320AFC"/>
    <w:rsid w:val="00320B1A"/>
    <w:rsid w:val="00320B46"/>
    <w:rsid w:val="00320B84"/>
    <w:rsid w:val="00320C74"/>
    <w:rsid w:val="00320DDB"/>
    <w:rsid w:val="003210E6"/>
    <w:rsid w:val="00321334"/>
    <w:rsid w:val="003213CF"/>
    <w:rsid w:val="0032144F"/>
    <w:rsid w:val="00321553"/>
    <w:rsid w:val="0032160A"/>
    <w:rsid w:val="003216EC"/>
    <w:rsid w:val="00321742"/>
    <w:rsid w:val="00321950"/>
    <w:rsid w:val="00321A2D"/>
    <w:rsid w:val="00321B13"/>
    <w:rsid w:val="00321B2A"/>
    <w:rsid w:val="00321B36"/>
    <w:rsid w:val="00321B4F"/>
    <w:rsid w:val="00321CB1"/>
    <w:rsid w:val="00321DEE"/>
    <w:rsid w:val="00321FA4"/>
    <w:rsid w:val="0032200A"/>
    <w:rsid w:val="00322018"/>
    <w:rsid w:val="003220B5"/>
    <w:rsid w:val="003221FE"/>
    <w:rsid w:val="003224D7"/>
    <w:rsid w:val="00322763"/>
    <w:rsid w:val="0032276E"/>
    <w:rsid w:val="003227B5"/>
    <w:rsid w:val="00322886"/>
    <w:rsid w:val="00322A20"/>
    <w:rsid w:val="00322A74"/>
    <w:rsid w:val="00322B15"/>
    <w:rsid w:val="00322C29"/>
    <w:rsid w:val="003231B0"/>
    <w:rsid w:val="003233A1"/>
    <w:rsid w:val="003233A2"/>
    <w:rsid w:val="003234F2"/>
    <w:rsid w:val="00323615"/>
    <w:rsid w:val="003239BD"/>
    <w:rsid w:val="00323C80"/>
    <w:rsid w:val="00323D16"/>
    <w:rsid w:val="00323D34"/>
    <w:rsid w:val="00323DC9"/>
    <w:rsid w:val="00323FB1"/>
    <w:rsid w:val="00323FBD"/>
    <w:rsid w:val="00324093"/>
    <w:rsid w:val="003240E8"/>
    <w:rsid w:val="00324263"/>
    <w:rsid w:val="0032439D"/>
    <w:rsid w:val="003244F5"/>
    <w:rsid w:val="00324528"/>
    <w:rsid w:val="003245BB"/>
    <w:rsid w:val="003245D5"/>
    <w:rsid w:val="003246AD"/>
    <w:rsid w:val="003247E1"/>
    <w:rsid w:val="003248DE"/>
    <w:rsid w:val="0032498F"/>
    <w:rsid w:val="00324B09"/>
    <w:rsid w:val="00324B1E"/>
    <w:rsid w:val="00324D80"/>
    <w:rsid w:val="00324E35"/>
    <w:rsid w:val="00324E3A"/>
    <w:rsid w:val="00324E44"/>
    <w:rsid w:val="00324F57"/>
    <w:rsid w:val="0032502F"/>
    <w:rsid w:val="0032514A"/>
    <w:rsid w:val="00325223"/>
    <w:rsid w:val="0032544C"/>
    <w:rsid w:val="003254CD"/>
    <w:rsid w:val="00325517"/>
    <w:rsid w:val="0032564F"/>
    <w:rsid w:val="0032571B"/>
    <w:rsid w:val="00325749"/>
    <w:rsid w:val="00325904"/>
    <w:rsid w:val="00325954"/>
    <w:rsid w:val="00325BE5"/>
    <w:rsid w:val="00325C35"/>
    <w:rsid w:val="00325CD4"/>
    <w:rsid w:val="00325DAF"/>
    <w:rsid w:val="00325DCE"/>
    <w:rsid w:val="00325EB8"/>
    <w:rsid w:val="00326231"/>
    <w:rsid w:val="003264B8"/>
    <w:rsid w:val="00326551"/>
    <w:rsid w:val="0032656F"/>
    <w:rsid w:val="003265F0"/>
    <w:rsid w:val="0032667D"/>
    <w:rsid w:val="003266BE"/>
    <w:rsid w:val="0032673F"/>
    <w:rsid w:val="0032686B"/>
    <w:rsid w:val="00326AD4"/>
    <w:rsid w:val="00326B88"/>
    <w:rsid w:val="00326DD6"/>
    <w:rsid w:val="00326E38"/>
    <w:rsid w:val="00326F4D"/>
    <w:rsid w:val="00326F79"/>
    <w:rsid w:val="00326FD5"/>
    <w:rsid w:val="003271B4"/>
    <w:rsid w:val="0032734C"/>
    <w:rsid w:val="003273D0"/>
    <w:rsid w:val="003276D4"/>
    <w:rsid w:val="00327A56"/>
    <w:rsid w:val="00327B8C"/>
    <w:rsid w:val="00327C37"/>
    <w:rsid w:val="00327D44"/>
    <w:rsid w:val="00327D5D"/>
    <w:rsid w:val="00327D7E"/>
    <w:rsid w:val="00327D83"/>
    <w:rsid w:val="00327F41"/>
    <w:rsid w:val="00330365"/>
    <w:rsid w:val="00330460"/>
    <w:rsid w:val="003304B5"/>
    <w:rsid w:val="0033052E"/>
    <w:rsid w:val="0033056A"/>
    <w:rsid w:val="0033063E"/>
    <w:rsid w:val="003307AB"/>
    <w:rsid w:val="003309A3"/>
    <w:rsid w:val="00330C1C"/>
    <w:rsid w:val="00330C57"/>
    <w:rsid w:val="00330CF9"/>
    <w:rsid w:val="00330F2F"/>
    <w:rsid w:val="00330F6F"/>
    <w:rsid w:val="00331151"/>
    <w:rsid w:val="00331248"/>
    <w:rsid w:val="0033167A"/>
    <w:rsid w:val="00331704"/>
    <w:rsid w:val="003317B6"/>
    <w:rsid w:val="00331AA8"/>
    <w:rsid w:val="00332026"/>
    <w:rsid w:val="00332039"/>
    <w:rsid w:val="00332276"/>
    <w:rsid w:val="0033240B"/>
    <w:rsid w:val="00332445"/>
    <w:rsid w:val="00332523"/>
    <w:rsid w:val="00332632"/>
    <w:rsid w:val="0033264F"/>
    <w:rsid w:val="003326C0"/>
    <w:rsid w:val="0033273D"/>
    <w:rsid w:val="0033282F"/>
    <w:rsid w:val="00332888"/>
    <w:rsid w:val="00332987"/>
    <w:rsid w:val="00332BF4"/>
    <w:rsid w:val="00332E74"/>
    <w:rsid w:val="00332E98"/>
    <w:rsid w:val="00332EA9"/>
    <w:rsid w:val="0033306D"/>
    <w:rsid w:val="003334E9"/>
    <w:rsid w:val="00333745"/>
    <w:rsid w:val="0033395F"/>
    <w:rsid w:val="00333A13"/>
    <w:rsid w:val="00333BB9"/>
    <w:rsid w:val="00333F3A"/>
    <w:rsid w:val="003340F9"/>
    <w:rsid w:val="0033417F"/>
    <w:rsid w:val="003341A4"/>
    <w:rsid w:val="003342EC"/>
    <w:rsid w:val="003343C8"/>
    <w:rsid w:val="003343D2"/>
    <w:rsid w:val="00334677"/>
    <w:rsid w:val="003347B1"/>
    <w:rsid w:val="00334845"/>
    <w:rsid w:val="003348BE"/>
    <w:rsid w:val="00334957"/>
    <w:rsid w:val="00334BD7"/>
    <w:rsid w:val="00334C79"/>
    <w:rsid w:val="00334D8E"/>
    <w:rsid w:val="00334F69"/>
    <w:rsid w:val="00334FB8"/>
    <w:rsid w:val="00335129"/>
    <w:rsid w:val="003351BD"/>
    <w:rsid w:val="00335284"/>
    <w:rsid w:val="00335517"/>
    <w:rsid w:val="003357BF"/>
    <w:rsid w:val="00335807"/>
    <w:rsid w:val="00335809"/>
    <w:rsid w:val="003358E0"/>
    <w:rsid w:val="00335985"/>
    <w:rsid w:val="00335B51"/>
    <w:rsid w:val="00335B7C"/>
    <w:rsid w:val="00335C25"/>
    <w:rsid w:val="00335E7D"/>
    <w:rsid w:val="00335FA6"/>
    <w:rsid w:val="00335FEF"/>
    <w:rsid w:val="00336233"/>
    <w:rsid w:val="003362C6"/>
    <w:rsid w:val="003362F6"/>
    <w:rsid w:val="00336595"/>
    <w:rsid w:val="003366B0"/>
    <w:rsid w:val="00336726"/>
    <w:rsid w:val="0033682F"/>
    <w:rsid w:val="00336884"/>
    <w:rsid w:val="003368D4"/>
    <w:rsid w:val="00336B61"/>
    <w:rsid w:val="00336D80"/>
    <w:rsid w:val="00336F1B"/>
    <w:rsid w:val="00337035"/>
    <w:rsid w:val="0033726C"/>
    <w:rsid w:val="00337478"/>
    <w:rsid w:val="00337507"/>
    <w:rsid w:val="003376DF"/>
    <w:rsid w:val="0033775B"/>
    <w:rsid w:val="00337807"/>
    <w:rsid w:val="00337A0E"/>
    <w:rsid w:val="00337DCD"/>
    <w:rsid w:val="00337EE9"/>
    <w:rsid w:val="00337F6B"/>
    <w:rsid w:val="00337F9C"/>
    <w:rsid w:val="00337FD2"/>
    <w:rsid w:val="003403DC"/>
    <w:rsid w:val="0034040A"/>
    <w:rsid w:val="003405DC"/>
    <w:rsid w:val="003406D7"/>
    <w:rsid w:val="003409B1"/>
    <w:rsid w:val="00340A8B"/>
    <w:rsid w:val="00340B0F"/>
    <w:rsid w:val="00340C9D"/>
    <w:rsid w:val="00340D24"/>
    <w:rsid w:val="00340DF1"/>
    <w:rsid w:val="0034113E"/>
    <w:rsid w:val="0034115C"/>
    <w:rsid w:val="0034130E"/>
    <w:rsid w:val="00341533"/>
    <w:rsid w:val="00341645"/>
    <w:rsid w:val="00341AC8"/>
    <w:rsid w:val="00341D6D"/>
    <w:rsid w:val="00341D73"/>
    <w:rsid w:val="00341DC8"/>
    <w:rsid w:val="00342104"/>
    <w:rsid w:val="00342385"/>
    <w:rsid w:val="00342453"/>
    <w:rsid w:val="003426B3"/>
    <w:rsid w:val="0034293E"/>
    <w:rsid w:val="003429DC"/>
    <w:rsid w:val="00342B53"/>
    <w:rsid w:val="00342BC3"/>
    <w:rsid w:val="00342BFF"/>
    <w:rsid w:val="003432D1"/>
    <w:rsid w:val="003432F5"/>
    <w:rsid w:val="0034333E"/>
    <w:rsid w:val="00343412"/>
    <w:rsid w:val="00343459"/>
    <w:rsid w:val="003436AB"/>
    <w:rsid w:val="003436D5"/>
    <w:rsid w:val="00343B39"/>
    <w:rsid w:val="00343C7B"/>
    <w:rsid w:val="00343D00"/>
    <w:rsid w:val="00343E8A"/>
    <w:rsid w:val="00343EA4"/>
    <w:rsid w:val="00343F95"/>
    <w:rsid w:val="00344266"/>
    <w:rsid w:val="003445BF"/>
    <w:rsid w:val="00344671"/>
    <w:rsid w:val="003447B3"/>
    <w:rsid w:val="003447BE"/>
    <w:rsid w:val="003447E8"/>
    <w:rsid w:val="0034481B"/>
    <w:rsid w:val="00344879"/>
    <w:rsid w:val="0034488D"/>
    <w:rsid w:val="0034488F"/>
    <w:rsid w:val="00344AB4"/>
    <w:rsid w:val="00344D0A"/>
    <w:rsid w:val="00345183"/>
    <w:rsid w:val="0034538D"/>
    <w:rsid w:val="003454B0"/>
    <w:rsid w:val="003457EC"/>
    <w:rsid w:val="00345862"/>
    <w:rsid w:val="003458BE"/>
    <w:rsid w:val="00345B48"/>
    <w:rsid w:val="00345B4E"/>
    <w:rsid w:val="00345C2C"/>
    <w:rsid w:val="00345D05"/>
    <w:rsid w:val="00345D59"/>
    <w:rsid w:val="00345DA4"/>
    <w:rsid w:val="00345EA0"/>
    <w:rsid w:val="003460E5"/>
    <w:rsid w:val="00346222"/>
    <w:rsid w:val="003462D9"/>
    <w:rsid w:val="003463B2"/>
    <w:rsid w:val="003463B4"/>
    <w:rsid w:val="003463EB"/>
    <w:rsid w:val="00346432"/>
    <w:rsid w:val="003464AC"/>
    <w:rsid w:val="0034651E"/>
    <w:rsid w:val="00346579"/>
    <w:rsid w:val="00346702"/>
    <w:rsid w:val="00346809"/>
    <w:rsid w:val="003469E9"/>
    <w:rsid w:val="00346B4D"/>
    <w:rsid w:val="00346C32"/>
    <w:rsid w:val="00346E3B"/>
    <w:rsid w:val="00346F2B"/>
    <w:rsid w:val="00346FAA"/>
    <w:rsid w:val="00347090"/>
    <w:rsid w:val="003470AD"/>
    <w:rsid w:val="003470EB"/>
    <w:rsid w:val="00347203"/>
    <w:rsid w:val="00347206"/>
    <w:rsid w:val="00347312"/>
    <w:rsid w:val="0034731A"/>
    <w:rsid w:val="003473A7"/>
    <w:rsid w:val="00347558"/>
    <w:rsid w:val="00347639"/>
    <w:rsid w:val="003476AC"/>
    <w:rsid w:val="00347A54"/>
    <w:rsid w:val="00347BA0"/>
    <w:rsid w:val="00347C30"/>
    <w:rsid w:val="00347D92"/>
    <w:rsid w:val="0035001F"/>
    <w:rsid w:val="00350089"/>
    <w:rsid w:val="00350374"/>
    <w:rsid w:val="00350407"/>
    <w:rsid w:val="00350526"/>
    <w:rsid w:val="003505F8"/>
    <w:rsid w:val="003506B7"/>
    <w:rsid w:val="00350716"/>
    <w:rsid w:val="00350807"/>
    <w:rsid w:val="00350A11"/>
    <w:rsid w:val="00350A13"/>
    <w:rsid w:val="00350B75"/>
    <w:rsid w:val="00350BCC"/>
    <w:rsid w:val="00350D13"/>
    <w:rsid w:val="003512B6"/>
    <w:rsid w:val="003513AE"/>
    <w:rsid w:val="00351446"/>
    <w:rsid w:val="00351472"/>
    <w:rsid w:val="00351668"/>
    <w:rsid w:val="0035167A"/>
    <w:rsid w:val="00351719"/>
    <w:rsid w:val="00351747"/>
    <w:rsid w:val="00351826"/>
    <w:rsid w:val="00351947"/>
    <w:rsid w:val="00351996"/>
    <w:rsid w:val="003519A9"/>
    <w:rsid w:val="00351EB9"/>
    <w:rsid w:val="00351EDD"/>
    <w:rsid w:val="003521DD"/>
    <w:rsid w:val="0035246F"/>
    <w:rsid w:val="003524AE"/>
    <w:rsid w:val="00352500"/>
    <w:rsid w:val="00352643"/>
    <w:rsid w:val="00352864"/>
    <w:rsid w:val="00352988"/>
    <w:rsid w:val="00352A65"/>
    <w:rsid w:val="00352B98"/>
    <w:rsid w:val="00352BA8"/>
    <w:rsid w:val="00352E96"/>
    <w:rsid w:val="00353027"/>
    <w:rsid w:val="00353125"/>
    <w:rsid w:val="003532B2"/>
    <w:rsid w:val="0035335B"/>
    <w:rsid w:val="00353434"/>
    <w:rsid w:val="00353546"/>
    <w:rsid w:val="00353693"/>
    <w:rsid w:val="003536F7"/>
    <w:rsid w:val="0035374C"/>
    <w:rsid w:val="003537AC"/>
    <w:rsid w:val="00353843"/>
    <w:rsid w:val="00353A23"/>
    <w:rsid w:val="00353B30"/>
    <w:rsid w:val="00353BB7"/>
    <w:rsid w:val="00353C8D"/>
    <w:rsid w:val="00353DC5"/>
    <w:rsid w:val="00353F5F"/>
    <w:rsid w:val="0035424C"/>
    <w:rsid w:val="003542DF"/>
    <w:rsid w:val="0035439F"/>
    <w:rsid w:val="003545CC"/>
    <w:rsid w:val="00354606"/>
    <w:rsid w:val="00354716"/>
    <w:rsid w:val="00354762"/>
    <w:rsid w:val="0035485C"/>
    <w:rsid w:val="00354923"/>
    <w:rsid w:val="0035492E"/>
    <w:rsid w:val="00354936"/>
    <w:rsid w:val="00354952"/>
    <w:rsid w:val="00354CB8"/>
    <w:rsid w:val="00354ECD"/>
    <w:rsid w:val="00355013"/>
    <w:rsid w:val="003552DE"/>
    <w:rsid w:val="003552E7"/>
    <w:rsid w:val="00355431"/>
    <w:rsid w:val="003554F1"/>
    <w:rsid w:val="003558DE"/>
    <w:rsid w:val="0035591D"/>
    <w:rsid w:val="00355A51"/>
    <w:rsid w:val="00355BBA"/>
    <w:rsid w:val="00355C2E"/>
    <w:rsid w:val="00355C5F"/>
    <w:rsid w:val="00355DB4"/>
    <w:rsid w:val="00355E02"/>
    <w:rsid w:val="00355E04"/>
    <w:rsid w:val="00355EC6"/>
    <w:rsid w:val="00355F82"/>
    <w:rsid w:val="00356047"/>
    <w:rsid w:val="003560C3"/>
    <w:rsid w:val="003560F1"/>
    <w:rsid w:val="00356120"/>
    <w:rsid w:val="00356586"/>
    <w:rsid w:val="00356593"/>
    <w:rsid w:val="003565F9"/>
    <w:rsid w:val="0035669A"/>
    <w:rsid w:val="00356844"/>
    <w:rsid w:val="00356914"/>
    <w:rsid w:val="00356928"/>
    <w:rsid w:val="00356A2E"/>
    <w:rsid w:val="00356CD4"/>
    <w:rsid w:val="00356E7C"/>
    <w:rsid w:val="00356F2A"/>
    <w:rsid w:val="003570F3"/>
    <w:rsid w:val="0035714E"/>
    <w:rsid w:val="003571CD"/>
    <w:rsid w:val="003571E7"/>
    <w:rsid w:val="003571F8"/>
    <w:rsid w:val="003573F4"/>
    <w:rsid w:val="0035760F"/>
    <w:rsid w:val="00357634"/>
    <w:rsid w:val="0035765C"/>
    <w:rsid w:val="003576D6"/>
    <w:rsid w:val="003579EA"/>
    <w:rsid w:val="00357AB6"/>
    <w:rsid w:val="00357C4E"/>
    <w:rsid w:val="00357D72"/>
    <w:rsid w:val="00357DAC"/>
    <w:rsid w:val="00357E33"/>
    <w:rsid w:val="00357FC0"/>
    <w:rsid w:val="003602C6"/>
    <w:rsid w:val="003604E5"/>
    <w:rsid w:val="00360545"/>
    <w:rsid w:val="00360627"/>
    <w:rsid w:val="003606A8"/>
    <w:rsid w:val="00360A1A"/>
    <w:rsid w:val="00360AEA"/>
    <w:rsid w:val="00360BA7"/>
    <w:rsid w:val="00360C60"/>
    <w:rsid w:val="00360CEA"/>
    <w:rsid w:val="00360D8C"/>
    <w:rsid w:val="00360DA8"/>
    <w:rsid w:val="00360DF3"/>
    <w:rsid w:val="00360ED6"/>
    <w:rsid w:val="00360F53"/>
    <w:rsid w:val="00360FDE"/>
    <w:rsid w:val="0036107F"/>
    <w:rsid w:val="00361138"/>
    <w:rsid w:val="00361324"/>
    <w:rsid w:val="0036132B"/>
    <w:rsid w:val="00361336"/>
    <w:rsid w:val="003615F7"/>
    <w:rsid w:val="00361730"/>
    <w:rsid w:val="0036175B"/>
    <w:rsid w:val="003618E5"/>
    <w:rsid w:val="00361980"/>
    <w:rsid w:val="00361BA9"/>
    <w:rsid w:val="00361D82"/>
    <w:rsid w:val="00361F39"/>
    <w:rsid w:val="003620B8"/>
    <w:rsid w:val="0036221E"/>
    <w:rsid w:val="003624EA"/>
    <w:rsid w:val="00362728"/>
    <w:rsid w:val="003627F3"/>
    <w:rsid w:val="00362836"/>
    <w:rsid w:val="003628D8"/>
    <w:rsid w:val="003628E1"/>
    <w:rsid w:val="00362B44"/>
    <w:rsid w:val="00362D6C"/>
    <w:rsid w:val="00362E0D"/>
    <w:rsid w:val="00362F6A"/>
    <w:rsid w:val="0036305B"/>
    <w:rsid w:val="003630E4"/>
    <w:rsid w:val="0036311A"/>
    <w:rsid w:val="0036314E"/>
    <w:rsid w:val="00363299"/>
    <w:rsid w:val="003632CC"/>
    <w:rsid w:val="00363316"/>
    <w:rsid w:val="003634B1"/>
    <w:rsid w:val="003634E1"/>
    <w:rsid w:val="00363577"/>
    <w:rsid w:val="0036368D"/>
    <w:rsid w:val="0036373F"/>
    <w:rsid w:val="003637E3"/>
    <w:rsid w:val="00363BBF"/>
    <w:rsid w:val="00363CE4"/>
    <w:rsid w:val="00363F54"/>
    <w:rsid w:val="00363FBE"/>
    <w:rsid w:val="00364020"/>
    <w:rsid w:val="003641A8"/>
    <w:rsid w:val="00364231"/>
    <w:rsid w:val="00364264"/>
    <w:rsid w:val="00364335"/>
    <w:rsid w:val="003643E2"/>
    <w:rsid w:val="00364577"/>
    <w:rsid w:val="00364606"/>
    <w:rsid w:val="00364619"/>
    <w:rsid w:val="0036485F"/>
    <w:rsid w:val="00364866"/>
    <w:rsid w:val="00364A74"/>
    <w:rsid w:val="00364A8A"/>
    <w:rsid w:val="00364B7C"/>
    <w:rsid w:val="00364C24"/>
    <w:rsid w:val="00364CAE"/>
    <w:rsid w:val="00364E12"/>
    <w:rsid w:val="00364F1B"/>
    <w:rsid w:val="0036507E"/>
    <w:rsid w:val="003651B9"/>
    <w:rsid w:val="003651BB"/>
    <w:rsid w:val="003655D7"/>
    <w:rsid w:val="003655EF"/>
    <w:rsid w:val="00365763"/>
    <w:rsid w:val="0036578E"/>
    <w:rsid w:val="003657B5"/>
    <w:rsid w:val="0036588B"/>
    <w:rsid w:val="00365A29"/>
    <w:rsid w:val="00365C98"/>
    <w:rsid w:val="00365F97"/>
    <w:rsid w:val="0036614D"/>
    <w:rsid w:val="003664B1"/>
    <w:rsid w:val="00366638"/>
    <w:rsid w:val="00366952"/>
    <w:rsid w:val="00366965"/>
    <w:rsid w:val="00366A77"/>
    <w:rsid w:val="00366CB0"/>
    <w:rsid w:val="00366D14"/>
    <w:rsid w:val="00366D6D"/>
    <w:rsid w:val="00366ECD"/>
    <w:rsid w:val="003670A8"/>
    <w:rsid w:val="00367155"/>
    <w:rsid w:val="003672A4"/>
    <w:rsid w:val="00367885"/>
    <w:rsid w:val="0036799E"/>
    <w:rsid w:val="00367A5A"/>
    <w:rsid w:val="00367B44"/>
    <w:rsid w:val="00367B80"/>
    <w:rsid w:val="00367CC3"/>
    <w:rsid w:val="00367F48"/>
    <w:rsid w:val="003701D4"/>
    <w:rsid w:val="003701E4"/>
    <w:rsid w:val="0037054C"/>
    <w:rsid w:val="00370847"/>
    <w:rsid w:val="00370C2B"/>
    <w:rsid w:val="00370C5C"/>
    <w:rsid w:val="0037105B"/>
    <w:rsid w:val="00371273"/>
    <w:rsid w:val="003712FC"/>
    <w:rsid w:val="00371573"/>
    <w:rsid w:val="003715D1"/>
    <w:rsid w:val="003715F7"/>
    <w:rsid w:val="003716B5"/>
    <w:rsid w:val="00371927"/>
    <w:rsid w:val="00371B20"/>
    <w:rsid w:val="00371C51"/>
    <w:rsid w:val="00371DD4"/>
    <w:rsid w:val="00371F69"/>
    <w:rsid w:val="00372066"/>
    <w:rsid w:val="00372103"/>
    <w:rsid w:val="00372214"/>
    <w:rsid w:val="00372266"/>
    <w:rsid w:val="00372284"/>
    <w:rsid w:val="003722BF"/>
    <w:rsid w:val="003724D8"/>
    <w:rsid w:val="00372A44"/>
    <w:rsid w:val="00372E62"/>
    <w:rsid w:val="00372EC3"/>
    <w:rsid w:val="00372F02"/>
    <w:rsid w:val="00372F0A"/>
    <w:rsid w:val="00372F4F"/>
    <w:rsid w:val="003730E9"/>
    <w:rsid w:val="00373108"/>
    <w:rsid w:val="003731A6"/>
    <w:rsid w:val="003731B1"/>
    <w:rsid w:val="0037336D"/>
    <w:rsid w:val="00373642"/>
    <w:rsid w:val="0037365E"/>
    <w:rsid w:val="003738DC"/>
    <w:rsid w:val="00373A1F"/>
    <w:rsid w:val="00373BDC"/>
    <w:rsid w:val="00373C10"/>
    <w:rsid w:val="00373EC8"/>
    <w:rsid w:val="0037404C"/>
    <w:rsid w:val="00374060"/>
    <w:rsid w:val="003740C7"/>
    <w:rsid w:val="003740E8"/>
    <w:rsid w:val="00374356"/>
    <w:rsid w:val="0037444B"/>
    <w:rsid w:val="0037449A"/>
    <w:rsid w:val="003744DF"/>
    <w:rsid w:val="00374526"/>
    <w:rsid w:val="00374686"/>
    <w:rsid w:val="0037469F"/>
    <w:rsid w:val="003746FB"/>
    <w:rsid w:val="0037474D"/>
    <w:rsid w:val="00374892"/>
    <w:rsid w:val="00374893"/>
    <w:rsid w:val="003749C4"/>
    <w:rsid w:val="00374A5B"/>
    <w:rsid w:val="00374BCD"/>
    <w:rsid w:val="00374DC9"/>
    <w:rsid w:val="00375078"/>
    <w:rsid w:val="0037511E"/>
    <w:rsid w:val="0037541C"/>
    <w:rsid w:val="003754B8"/>
    <w:rsid w:val="003754FE"/>
    <w:rsid w:val="003755A2"/>
    <w:rsid w:val="003756C5"/>
    <w:rsid w:val="00375764"/>
    <w:rsid w:val="00375966"/>
    <w:rsid w:val="00375973"/>
    <w:rsid w:val="00375A45"/>
    <w:rsid w:val="00375AB2"/>
    <w:rsid w:val="00375D17"/>
    <w:rsid w:val="00375E2A"/>
    <w:rsid w:val="00375F99"/>
    <w:rsid w:val="0037608E"/>
    <w:rsid w:val="00376328"/>
    <w:rsid w:val="00376343"/>
    <w:rsid w:val="0037637E"/>
    <w:rsid w:val="00376392"/>
    <w:rsid w:val="003764BF"/>
    <w:rsid w:val="003765E5"/>
    <w:rsid w:val="00376631"/>
    <w:rsid w:val="003766C6"/>
    <w:rsid w:val="003767A6"/>
    <w:rsid w:val="003767C7"/>
    <w:rsid w:val="003768C4"/>
    <w:rsid w:val="003769AE"/>
    <w:rsid w:val="003769CE"/>
    <w:rsid w:val="00376AED"/>
    <w:rsid w:val="00376B03"/>
    <w:rsid w:val="00376CA6"/>
    <w:rsid w:val="00376D7D"/>
    <w:rsid w:val="00376E5A"/>
    <w:rsid w:val="00376E93"/>
    <w:rsid w:val="00376E97"/>
    <w:rsid w:val="00376F3F"/>
    <w:rsid w:val="00377065"/>
    <w:rsid w:val="003770F2"/>
    <w:rsid w:val="00377207"/>
    <w:rsid w:val="00377616"/>
    <w:rsid w:val="00377796"/>
    <w:rsid w:val="00377933"/>
    <w:rsid w:val="003779BC"/>
    <w:rsid w:val="00377A8B"/>
    <w:rsid w:val="00377B6C"/>
    <w:rsid w:val="00377C0A"/>
    <w:rsid w:val="00377C41"/>
    <w:rsid w:val="00377C57"/>
    <w:rsid w:val="00377CA9"/>
    <w:rsid w:val="00377CBA"/>
    <w:rsid w:val="00377CFD"/>
    <w:rsid w:val="00377E67"/>
    <w:rsid w:val="00377F88"/>
    <w:rsid w:val="00380144"/>
    <w:rsid w:val="003801C1"/>
    <w:rsid w:val="0038022E"/>
    <w:rsid w:val="00380321"/>
    <w:rsid w:val="00380561"/>
    <w:rsid w:val="00380650"/>
    <w:rsid w:val="00380828"/>
    <w:rsid w:val="003809B8"/>
    <w:rsid w:val="00380A16"/>
    <w:rsid w:val="00380A5C"/>
    <w:rsid w:val="00380C21"/>
    <w:rsid w:val="00380C2E"/>
    <w:rsid w:val="00380D37"/>
    <w:rsid w:val="0038113E"/>
    <w:rsid w:val="0038124A"/>
    <w:rsid w:val="003814C2"/>
    <w:rsid w:val="003817D5"/>
    <w:rsid w:val="003817D6"/>
    <w:rsid w:val="003818A5"/>
    <w:rsid w:val="003818E3"/>
    <w:rsid w:val="00381A82"/>
    <w:rsid w:val="00381C4D"/>
    <w:rsid w:val="00381C64"/>
    <w:rsid w:val="00381C6E"/>
    <w:rsid w:val="00381C87"/>
    <w:rsid w:val="00381CD1"/>
    <w:rsid w:val="00381FF9"/>
    <w:rsid w:val="0038204A"/>
    <w:rsid w:val="003820EE"/>
    <w:rsid w:val="0038226C"/>
    <w:rsid w:val="00382311"/>
    <w:rsid w:val="003823E1"/>
    <w:rsid w:val="00382572"/>
    <w:rsid w:val="003825C6"/>
    <w:rsid w:val="003826FC"/>
    <w:rsid w:val="0038274B"/>
    <w:rsid w:val="003827F1"/>
    <w:rsid w:val="003828A2"/>
    <w:rsid w:val="003828CF"/>
    <w:rsid w:val="003828F5"/>
    <w:rsid w:val="00382A6F"/>
    <w:rsid w:val="00382AB0"/>
    <w:rsid w:val="00382B80"/>
    <w:rsid w:val="00382D85"/>
    <w:rsid w:val="0038318F"/>
    <w:rsid w:val="003832F2"/>
    <w:rsid w:val="00383354"/>
    <w:rsid w:val="003833EA"/>
    <w:rsid w:val="003834B8"/>
    <w:rsid w:val="003834FC"/>
    <w:rsid w:val="003835AB"/>
    <w:rsid w:val="00383653"/>
    <w:rsid w:val="00383684"/>
    <w:rsid w:val="00383689"/>
    <w:rsid w:val="00383753"/>
    <w:rsid w:val="0038377D"/>
    <w:rsid w:val="003838E7"/>
    <w:rsid w:val="00383B33"/>
    <w:rsid w:val="00383BD8"/>
    <w:rsid w:val="00383C9D"/>
    <w:rsid w:val="00383F7B"/>
    <w:rsid w:val="003842C7"/>
    <w:rsid w:val="00384453"/>
    <w:rsid w:val="003847F1"/>
    <w:rsid w:val="003848B4"/>
    <w:rsid w:val="003848C2"/>
    <w:rsid w:val="00384940"/>
    <w:rsid w:val="0038497D"/>
    <w:rsid w:val="00384A3B"/>
    <w:rsid w:val="00384D74"/>
    <w:rsid w:val="00384F16"/>
    <w:rsid w:val="00384F32"/>
    <w:rsid w:val="00384FFE"/>
    <w:rsid w:val="00385042"/>
    <w:rsid w:val="003851AC"/>
    <w:rsid w:val="0038539B"/>
    <w:rsid w:val="0038541F"/>
    <w:rsid w:val="0038555C"/>
    <w:rsid w:val="0038582C"/>
    <w:rsid w:val="00385851"/>
    <w:rsid w:val="00385922"/>
    <w:rsid w:val="0038593E"/>
    <w:rsid w:val="0038595D"/>
    <w:rsid w:val="00385979"/>
    <w:rsid w:val="00385A16"/>
    <w:rsid w:val="00385C8A"/>
    <w:rsid w:val="00385CE4"/>
    <w:rsid w:val="00385D80"/>
    <w:rsid w:val="00385FE3"/>
    <w:rsid w:val="00385FFF"/>
    <w:rsid w:val="0038605B"/>
    <w:rsid w:val="003860A2"/>
    <w:rsid w:val="00386160"/>
    <w:rsid w:val="003863D5"/>
    <w:rsid w:val="00386603"/>
    <w:rsid w:val="00386710"/>
    <w:rsid w:val="0038692D"/>
    <w:rsid w:val="0038699F"/>
    <w:rsid w:val="00386A3D"/>
    <w:rsid w:val="00386C44"/>
    <w:rsid w:val="00386CDE"/>
    <w:rsid w:val="00386E12"/>
    <w:rsid w:val="00386EC0"/>
    <w:rsid w:val="003870D4"/>
    <w:rsid w:val="00387129"/>
    <w:rsid w:val="003871AE"/>
    <w:rsid w:val="0038738F"/>
    <w:rsid w:val="0038739A"/>
    <w:rsid w:val="003873F7"/>
    <w:rsid w:val="00387415"/>
    <w:rsid w:val="00387533"/>
    <w:rsid w:val="00387719"/>
    <w:rsid w:val="003877D7"/>
    <w:rsid w:val="003878F4"/>
    <w:rsid w:val="00387974"/>
    <w:rsid w:val="00387981"/>
    <w:rsid w:val="00387A9F"/>
    <w:rsid w:val="00387ACC"/>
    <w:rsid w:val="00387DF8"/>
    <w:rsid w:val="00387EF8"/>
    <w:rsid w:val="003900B0"/>
    <w:rsid w:val="003903A7"/>
    <w:rsid w:val="003903C5"/>
    <w:rsid w:val="00390471"/>
    <w:rsid w:val="003904C4"/>
    <w:rsid w:val="0039062A"/>
    <w:rsid w:val="003907FA"/>
    <w:rsid w:val="00390A11"/>
    <w:rsid w:val="00390B8E"/>
    <w:rsid w:val="00390BD1"/>
    <w:rsid w:val="00390BE8"/>
    <w:rsid w:val="00390E5D"/>
    <w:rsid w:val="00390FD1"/>
    <w:rsid w:val="00390FE6"/>
    <w:rsid w:val="0039103F"/>
    <w:rsid w:val="003910DE"/>
    <w:rsid w:val="0039115E"/>
    <w:rsid w:val="00391195"/>
    <w:rsid w:val="0039129C"/>
    <w:rsid w:val="00391383"/>
    <w:rsid w:val="00391387"/>
    <w:rsid w:val="00391453"/>
    <w:rsid w:val="003917FA"/>
    <w:rsid w:val="0039187A"/>
    <w:rsid w:val="00391C38"/>
    <w:rsid w:val="00391CC1"/>
    <w:rsid w:val="00391D03"/>
    <w:rsid w:val="00391E5D"/>
    <w:rsid w:val="00391FF5"/>
    <w:rsid w:val="0039210D"/>
    <w:rsid w:val="0039227A"/>
    <w:rsid w:val="00392315"/>
    <w:rsid w:val="003923CF"/>
    <w:rsid w:val="003924AB"/>
    <w:rsid w:val="00392614"/>
    <w:rsid w:val="003926F5"/>
    <w:rsid w:val="003927C9"/>
    <w:rsid w:val="003928DD"/>
    <w:rsid w:val="003928E7"/>
    <w:rsid w:val="0039292C"/>
    <w:rsid w:val="00392BA2"/>
    <w:rsid w:val="00392CF2"/>
    <w:rsid w:val="00392D43"/>
    <w:rsid w:val="00392EC8"/>
    <w:rsid w:val="00392F8D"/>
    <w:rsid w:val="0039307F"/>
    <w:rsid w:val="00393820"/>
    <w:rsid w:val="00393866"/>
    <w:rsid w:val="003939AE"/>
    <w:rsid w:val="00393ACA"/>
    <w:rsid w:val="00393B2F"/>
    <w:rsid w:val="00393D52"/>
    <w:rsid w:val="00393D64"/>
    <w:rsid w:val="00393E05"/>
    <w:rsid w:val="00393EE0"/>
    <w:rsid w:val="00393FDF"/>
    <w:rsid w:val="00394044"/>
    <w:rsid w:val="003941DA"/>
    <w:rsid w:val="003944BA"/>
    <w:rsid w:val="003944FD"/>
    <w:rsid w:val="00394597"/>
    <w:rsid w:val="00394861"/>
    <w:rsid w:val="003948E4"/>
    <w:rsid w:val="0039490B"/>
    <w:rsid w:val="003949A7"/>
    <w:rsid w:val="00394A87"/>
    <w:rsid w:val="00394B7F"/>
    <w:rsid w:val="00394BEA"/>
    <w:rsid w:val="00394C2B"/>
    <w:rsid w:val="00394DE2"/>
    <w:rsid w:val="003951FC"/>
    <w:rsid w:val="00395266"/>
    <w:rsid w:val="00395469"/>
    <w:rsid w:val="003954C5"/>
    <w:rsid w:val="003954ED"/>
    <w:rsid w:val="00395681"/>
    <w:rsid w:val="00395850"/>
    <w:rsid w:val="00395A38"/>
    <w:rsid w:val="00395B96"/>
    <w:rsid w:val="00395C63"/>
    <w:rsid w:val="00395DF6"/>
    <w:rsid w:val="00396349"/>
    <w:rsid w:val="003964ED"/>
    <w:rsid w:val="0039678E"/>
    <w:rsid w:val="003969A1"/>
    <w:rsid w:val="00396AB0"/>
    <w:rsid w:val="00396AE4"/>
    <w:rsid w:val="00396DFC"/>
    <w:rsid w:val="00396E2E"/>
    <w:rsid w:val="00396F72"/>
    <w:rsid w:val="0039706C"/>
    <w:rsid w:val="00397196"/>
    <w:rsid w:val="00397244"/>
    <w:rsid w:val="0039754D"/>
    <w:rsid w:val="003975A1"/>
    <w:rsid w:val="003975E4"/>
    <w:rsid w:val="0039788F"/>
    <w:rsid w:val="003978A1"/>
    <w:rsid w:val="0039798A"/>
    <w:rsid w:val="00397AA4"/>
    <w:rsid w:val="00397AA8"/>
    <w:rsid w:val="00397AB3"/>
    <w:rsid w:val="00397ADF"/>
    <w:rsid w:val="00397C65"/>
    <w:rsid w:val="00397D27"/>
    <w:rsid w:val="003A008D"/>
    <w:rsid w:val="003A00B0"/>
    <w:rsid w:val="003A0152"/>
    <w:rsid w:val="003A0543"/>
    <w:rsid w:val="003A0639"/>
    <w:rsid w:val="003A08AC"/>
    <w:rsid w:val="003A08BE"/>
    <w:rsid w:val="003A0C6C"/>
    <w:rsid w:val="003A0F9B"/>
    <w:rsid w:val="003A1236"/>
    <w:rsid w:val="003A12D4"/>
    <w:rsid w:val="003A1383"/>
    <w:rsid w:val="003A13E3"/>
    <w:rsid w:val="003A14B0"/>
    <w:rsid w:val="003A15B9"/>
    <w:rsid w:val="003A16B5"/>
    <w:rsid w:val="003A18F5"/>
    <w:rsid w:val="003A1A23"/>
    <w:rsid w:val="003A1A49"/>
    <w:rsid w:val="003A1AD1"/>
    <w:rsid w:val="003A1C79"/>
    <w:rsid w:val="003A1DEA"/>
    <w:rsid w:val="003A1F9F"/>
    <w:rsid w:val="003A1FF4"/>
    <w:rsid w:val="003A207A"/>
    <w:rsid w:val="003A20B5"/>
    <w:rsid w:val="003A2121"/>
    <w:rsid w:val="003A22EE"/>
    <w:rsid w:val="003A2523"/>
    <w:rsid w:val="003A2621"/>
    <w:rsid w:val="003A293E"/>
    <w:rsid w:val="003A2A91"/>
    <w:rsid w:val="003A2AE7"/>
    <w:rsid w:val="003A2B82"/>
    <w:rsid w:val="003A2C7B"/>
    <w:rsid w:val="003A2E6A"/>
    <w:rsid w:val="003A2EC0"/>
    <w:rsid w:val="003A2F11"/>
    <w:rsid w:val="003A2F15"/>
    <w:rsid w:val="003A2FA9"/>
    <w:rsid w:val="003A31CE"/>
    <w:rsid w:val="003A31E7"/>
    <w:rsid w:val="003A32D5"/>
    <w:rsid w:val="003A3484"/>
    <w:rsid w:val="003A3567"/>
    <w:rsid w:val="003A368B"/>
    <w:rsid w:val="003A3939"/>
    <w:rsid w:val="003A39F5"/>
    <w:rsid w:val="003A3B02"/>
    <w:rsid w:val="003A3B5F"/>
    <w:rsid w:val="003A3D41"/>
    <w:rsid w:val="003A3D4A"/>
    <w:rsid w:val="003A3D4D"/>
    <w:rsid w:val="003A3D77"/>
    <w:rsid w:val="003A3E6F"/>
    <w:rsid w:val="003A3E9D"/>
    <w:rsid w:val="003A3EDF"/>
    <w:rsid w:val="003A3FA2"/>
    <w:rsid w:val="003A3FAD"/>
    <w:rsid w:val="003A4172"/>
    <w:rsid w:val="003A428A"/>
    <w:rsid w:val="003A4341"/>
    <w:rsid w:val="003A4591"/>
    <w:rsid w:val="003A45AD"/>
    <w:rsid w:val="003A479D"/>
    <w:rsid w:val="003A484E"/>
    <w:rsid w:val="003A4850"/>
    <w:rsid w:val="003A4A4E"/>
    <w:rsid w:val="003A4BDC"/>
    <w:rsid w:val="003A4E8B"/>
    <w:rsid w:val="003A4F15"/>
    <w:rsid w:val="003A4F58"/>
    <w:rsid w:val="003A5093"/>
    <w:rsid w:val="003A5321"/>
    <w:rsid w:val="003A53D9"/>
    <w:rsid w:val="003A5526"/>
    <w:rsid w:val="003A5679"/>
    <w:rsid w:val="003A56D5"/>
    <w:rsid w:val="003A5727"/>
    <w:rsid w:val="003A57BF"/>
    <w:rsid w:val="003A58E0"/>
    <w:rsid w:val="003A5CC3"/>
    <w:rsid w:val="003A5E4C"/>
    <w:rsid w:val="003A5ED4"/>
    <w:rsid w:val="003A5F70"/>
    <w:rsid w:val="003A60EE"/>
    <w:rsid w:val="003A6294"/>
    <w:rsid w:val="003A6427"/>
    <w:rsid w:val="003A645C"/>
    <w:rsid w:val="003A65E1"/>
    <w:rsid w:val="003A669A"/>
    <w:rsid w:val="003A66DA"/>
    <w:rsid w:val="003A68EA"/>
    <w:rsid w:val="003A6B5A"/>
    <w:rsid w:val="003A6C83"/>
    <w:rsid w:val="003A6CA0"/>
    <w:rsid w:val="003A6CD7"/>
    <w:rsid w:val="003A6CE1"/>
    <w:rsid w:val="003A6F15"/>
    <w:rsid w:val="003A7001"/>
    <w:rsid w:val="003A70C6"/>
    <w:rsid w:val="003A70CD"/>
    <w:rsid w:val="003A74D2"/>
    <w:rsid w:val="003A7501"/>
    <w:rsid w:val="003A754D"/>
    <w:rsid w:val="003A7599"/>
    <w:rsid w:val="003A7816"/>
    <w:rsid w:val="003A7817"/>
    <w:rsid w:val="003A788B"/>
    <w:rsid w:val="003A79DE"/>
    <w:rsid w:val="003A7BCA"/>
    <w:rsid w:val="003A7BD0"/>
    <w:rsid w:val="003A7BF2"/>
    <w:rsid w:val="003A7C61"/>
    <w:rsid w:val="003A7CD2"/>
    <w:rsid w:val="003A7DC8"/>
    <w:rsid w:val="003A7E9B"/>
    <w:rsid w:val="003A7F8D"/>
    <w:rsid w:val="003A7FF5"/>
    <w:rsid w:val="003B00AB"/>
    <w:rsid w:val="003B0233"/>
    <w:rsid w:val="003B02E3"/>
    <w:rsid w:val="003B03F6"/>
    <w:rsid w:val="003B06F7"/>
    <w:rsid w:val="003B06FC"/>
    <w:rsid w:val="003B07B0"/>
    <w:rsid w:val="003B0853"/>
    <w:rsid w:val="003B0899"/>
    <w:rsid w:val="003B0920"/>
    <w:rsid w:val="003B0A03"/>
    <w:rsid w:val="003B0A1E"/>
    <w:rsid w:val="003B0A9A"/>
    <w:rsid w:val="003B0C73"/>
    <w:rsid w:val="003B0D30"/>
    <w:rsid w:val="003B0E10"/>
    <w:rsid w:val="003B0EEC"/>
    <w:rsid w:val="003B10BF"/>
    <w:rsid w:val="003B11E5"/>
    <w:rsid w:val="003B120A"/>
    <w:rsid w:val="003B1271"/>
    <w:rsid w:val="003B131E"/>
    <w:rsid w:val="003B1415"/>
    <w:rsid w:val="003B149C"/>
    <w:rsid w:val="003B14A5"/>
    <w:rsid w:val="003B15CE"/>
    <w:rsid w:val="003B17DB"/>
    <w:rsid w:val="003B17E1"/>
    <w:rsid w:val="003B184E"/>
    <w:rsid w:val="003B191D"/>
    <w:rsid w:val="003B1ABA"/>
    <w:rsid w:val="003B1C19"/>
    <w:rsid w:val="003B1C79"/>
    <w:rsid w:val="003B1CA8"/>
    <w:rsid w:val="003B1CB7"/>
    <w:rsid w:val="003B1E97"/>
    <w:rsid w:val="003B1F2E"/>
    <w:rsid w:val="003B1FCF"/>
    <w:rsid w:val="003B2011"/>
    <w:rsid w:val="003B20E8"/>
    <w:rsid w:val="003B2133"/>
    <w:rsid w:val="003B2194"/>
    <w:rsid w:val="003B21D2"/>
    <w:rsid w:val="003B23BC"/>
    <w:rsid w:val="003B23E3"/>
    <w:rsid w:val="003B24CE"/>
    <w:rsid w:val="003B29B3"/>
    <w:rsid w:val="003B2AC2"/>
    <w:rsid w:val="003B2BD5"/>
    <w:rsid w:val="003B2D75"/>
    <w:rsid w:val="003B2EFB"/>
    <w:rsid w:val="003B30EA"/>
    <w:rsid w:val="003B34A5"/>
    <w:rsid w:val="003B34D3"/>
    <w:rsid w:val="003B376B"/>
    <w:rsid w:val="003B37A4"/>
    <w:rsid w:val="003B37FA"/>
    <w:rsid w:val="003B3852"/>
    <w:rsid w:val="003B3927"/>
    <w:rsid w:val="003B3C28"/>
    <w:rsid w:val="003B3C7F"/>
    <w:rsid w:val="003B3CBD"/>
    <w:rsid w:val="003B3D56"/>
    <w:rsid w:val="003B3DDC"/>
    <w:rsid w:val="003B3EB9"/>
    <w:rsid w:val="003B4088"/>
    <w:rsid w:val="003B4098"/>
    <w:rsid w:val="003B4106"/>
    <w:rsid w:val="003B44AF"/>
    <w:rsid w:val="003B4532"/>
    <w:rsid w:val="003B45CB"/>
    <w:rsid w:val="003B46A0"/>
    <w:rsid w:val="003B4815"/>
    <w:rsid w:val="003B481F"/>
    <w:rsid w:val="003B48B1"/>
    <w:rsid w:val="003B4B13"/>
    <w:rsid w:val="003B4B55"/>
    <w:rsid w:val="003B4D43"/>
    <w:rsid w:val="003B4EF8"/>
    <w:rsid w:val="003B4F2A"/>
    <w:rsid w:val="003B4F8B"/>
    <w:rsid w:val="003B5069"/>
    <w:rsid w:val="003B5183"/>
    <w:rsid w:val="003B5411"/>
    <w:rsid w:val="003B55B0"/>
    <w:rsid w:val="003B5671"/>
    <w:rsid w:val="003B5885"/>
    <w:rsid w:val="003B5989"/>
    <w:rsid w:val="003B59EF"/>
    <w:rsid w:val="003B5AE4"/>
    <w:rsid w:val="003B5BE9"/>
    <w:rsid w:val="003B5CE5"/>
    <w:rsid w:val="003B5D8E"/>
    <w:rsid w:val="003B5E00"/>
    <w:rsid w:val="003B5E11"/>
    <w:rsid w:val="003B5FC6"/>
    <w:rsid w:val="003B61AB"/>
    <w:rsid w:val="003B6344"/>
    <w:rsid w:val="003B6353"/>
    <w:rsid w:val="003B6477"/>
    <w:rsid w:val="003B6742"/>
    <w:rsid w:val="003B6853"/>
    <w:rsid w:val="003B68D9"/>
    <w:rsid w:val="003B6919"/>
    <w:rsid w:val="003B6A72"/>
    <w:rsid w:val="003B6C84"/>
    <w:rsid w:val="003B6CF5"/>
    <w:rsid w:val="003B6DB1"/>
    <w:rsid w:val="003B6EA2"/>
    <w:rsid w:val="003B7065"/>
    <w:rsid w:val="003B72B4"/>
    <w:rsid w:val="003B72BA"/>
    <w:rsid w:val="003B730F"/>
    <w:rsid w:val="003B7352"/>
    <w:rsid w:val="003B7479"/>
    <w:rsid w:val="003B7569"/>
    <w:rsid w:val="003B760F"/>
    <w:rsid w:val="003B778A"/>
    <w:rsid w:val="003B77B4"/>
    <w:rsid w:val="003B7C0B"/>
    <w:rsid w:val="003B7FF5"/>
    <w:rsid w:val="003C00D4"/>
    <w:rsid w:val="003C013B"/>
    <w:rsid w:val="003C0348"/>
    <w:rsid w:val="003C0405"/>
    <w:rsid w:val="003C0420"/>
    <w:rsid w:val="003C045F"/>
    <w:rsid w:val="003C051E"/>
    <w:rsid w:val="003C0632"/>
    <w:rsid w:val="003C0681"/>
    <w:rsid w:val="003C0694"/>
    <w:rsid w:val="003C0BC7"/>
    <w:rsid w:val="003C0BF1"/>
    <w:rsid w:val="003C0C38"/>
    <w:rsid w:val="003C0DB7"/>
    <w:rsid w:val="003C0E9D"/>
    <w:rsid w:val="003C1039"/>
    <w:rsid w:val="003C117C"/>
    <w:rsid w:val="003C1226"/>
    <w:rsid w:val="003C12EF"/>
    <w:rsid w:val="003C1374"/>
    <w:rsid w:val="003C1742"/>
    <w:rsid w:val="003C1AE7"/>
    <w:rsid w:val="003C1B12"/>
    <w:rsid w:val="003C1D08"/>
    <w:rsid w:val="003C1DD5"/>
    <w:rsid w:val="003C1DFE"/>
    <w:rsid w:val="003C231F"/>
    <w:rsid w:val="003C2546"/>
    <w:rsid w:val="003C26E3"/>
    <w:rsid w:val="003C275E"/>
    <w:rsid w:val="003C27B4"/>
    <w:rsid w:val="003C2875"/>
    <w:rsid w:val="003C2A53"/>
    <w:rsid w:val="003C2FD9"/>
    <w:rsid w:val="003C3148"/>
    <w:rsid w:val="003C374C"/>
    <w:rsid w:val="003C37DC"/>
    <w:rsid w:val="003C3894"/>
    <w:rsid w:val="003C397D"/>
    <w:rsid w:val="003C3A1E"/>
    <w:rsid w:val="003C3A7C"/>
    <w:rsid w:val="003C3DD6"/>
    <w:rsid w:val="003C3E2E"/>
    <w:rsid w:val="003C3F94"/>
    <w:rsid w:val="003C418D"/>
    <w:rsid w:val="003C431F"/>
    <w:rsid w:val="003C43C4"/>
    <w:rsid w:val="003C4573"/>
    <w:rsid w:val="003C4779"/>
    <w:rsid w:val="003C4855"/>
    <w:rsid w:val="003C49C7"/>
    <w:rsid w:val="003C4AFA"/>
    <w:rsid w:val="003C4C62"/>
    <w:rsid w:val="003C4E10"/>
    <w:rsid w:val="003C4E5D"/>
    <w:rsid w:val="003C50D6"/>
    <w:rsid w:val="003C5147"/>
    <w:rsid w:val="003C5269"/>
    <w:rsid w:val="003C552D"/>
    <w:rsid w:val="003C560A"/>
    <w:rsid w:val="003C56E0"/>
    <w:rsid w:val="003C5767"/>
    <w:rsid w:val="003C57B4"/>
    <w:rsid w:val="003C5882"/>
    <w:rsid w:val="003C59BE"/>
    <w:rsid w:val="003C5C2B"/>
    <w:rsid w:val="003C5E57"/>
    <w:rsid w:val="003C61F2"/>
    <w:rsid w:val="003C6234"/>
    <w:rsid w:val="003C6236"/>
    <w:rsid w:val="003C6261"/>
    <w:rsid w:val="003C6299"/>
    <w:rsid w:val="003C6324"/>
    <w:rsid w:val="003C635A"/>
    <w:rsid w:val="003C6396"/>
    <w:rsid w:val="003C63D5"/>
    <w:rsid w:val="003C6633"/>
    <w:rsid w:val="003C694D"/>
    <w:rsid w:val="003C695A"/>
    <w:rsid w:val="003C69AF"/>
    <w:rsid w:val="003C6A46"/>
    <w:rsid w:val="003C6A90"/>
    <w:rsid w:val="003C6AA1"/>
    <w:rsid w:val="003C6B59"/>
    <w:rsid w:val="003C6C94"/>
    <w:rsid w:val="003C6C9F"/>
    <w:rsid w:val="003C6CC1"/>
    <w:rsid w:val="003C6DF5"/>
    <w:rsid w:val="003C6E06"/>
    <w:rsid w:val="003C7037"/>
    <w:rsid w:val="003C70E9"/>
    <w:rsid w:val="003C7122"/>
    <w:rsid w:val="003C7239"/>
    <w:rsid w:val="003C7345"/>
    <w:rsid w:val="003C73DC"/>
    <w:rsid w:val="003C7499"/>
    <w:rsid w:val="003C75B1"/>
    <w:rsid w:val="003C7605"/>
    <w:rsid w:val="003C766F"/>
    <w:rsid w:val="003C76EE"/>
    <w:rsid w:val="003C76F4"/>
    <w:rsid w:val="003C779C"/>
    <w:rsid w:val="003C7839"/>
    <w:rsid w:val="003C7AD6"/>
    <w:rsid w:val="003C7AF7"/>
    <w:rsid w:val="003C7DA1"/>
    <w:rsid w:val="003C7DC1"/>
    <w:rsid w:val="003C7EC9"/>
    <w:rsid w:val="003C7EEA"/>
    <w:rsid w:val="003D009B"/>
    <w:rsid w:val="003D00AF"/>
    <w:rsid w:val="003D02A4"/>
    <w:rsid w:val="003D0332"/>
    <w:rsid w:val="003D065B"/>
    <w:rsid w:val="003D095E"/>
    <w:rsid w:val="003D0B06"/>
    <w:rsid w:val="003D0CE0"/>
    <w:rsid w:val="003D0DFD"/>
    <w:rsid w:val="003D1052"/>
    <w:rsid w:val="003D116B"/>
    <w:rsid w:val="003D117C"/>
    <w:rsid w:val="003D125E"/>
    <w:rsid w:val="003D1336"/>
    <w:rsid w:val="003D1504"/>
    <w:rsid w:val="003D1883"/>
    <w:rsid w:val="003D190C"/>
    <w:rsid w:val="003D1914"/>
    <w:rsid w:val="003D1AB9"/>
    <w:rsid w:val="003D204F"/>
    <w:rsid w:val="003D2206"/>
    <w:rsid w:val="003D237C"/>
    <w:rsid w:val="003D242F"/>
    <w:rsid w:val="003D247E"/>
    <w:rsid w:val="003D2483"/>
    <w:rsid w:val="003D2750"/>
    <w:rsid w:val="003D2777"/>
    <w:rsid w:val="003D28E6"/>
    <w:rsid w:val="003D2AD3"/>
    <w:rsid w:val="003D2BDD"/>
    <w:rsid w:val="003D2D87"/>
    <w:rsid w:val="003D2E19"/>
    <w:rsid w:val="003D2E65"/>
    <w:rsid w:val="003D2EFB"/>
    <w:rsid w:val="003D3121"/>
    <w:rsid w:val="003D3157"/>
    <w:rsid w:val="003D3304"/>
    <w:rsid w:val="003D3519"/>
    <w:rsid w:val="003D3631"/>
    <w:rsid w:val="003D3638"/>
    <w:rsid w:val="003D372C"/>
    <w:rsid w:val="003D37CF"/>
    <w:rsid w:val="003D381A"/>
    <w:rsid w:val="003D3B81"/>
    <w:rsid w:val="003D3C83"/>
    <w:rsid w:val="003D3D32"/>
    <w:rsid w:val="003D3DAB"/>
    <w:rsid w:val="003D4077"/>
    <w:rsid w:val="003D4229"/>
    <w:rsid w:val="003D423C"/>
    <w:rsid w:val="003D4547"/>
    <w:rsid w:val="003D4667"/>
    <w:rsid w:val="003D4C35"/>
    <w:rsid w:val="003D4D3C"/>
    <w:rsid w:val="003D4D6C"/>
    <w:rsid w:val="003D4E16"/>
    <w:rsid w:val="003D4E8F"/>
    <w:rsid w:val="003D4EC8"/>
    <w:rsid w:val="003D5292"/>
    <w:rsid w:val="003D5294"/>
    <w:rsid w:val="003D52E2"/>
    <w:rsid w:val="003D52F5"/>
    <w:rsid w:val="003D5328"/>
    <w:rsid w:val="003D5418"/>
    <w:rsid w:val="003D549E"/>
    <w:rsid w:val="003D550A"/>
    <w:rsid w:val="003D576B"/>
    <w:rsid w:val="003D5ACF"/>
    <w:rsid w:val="003D5BA3"/>
    <w:rsid w:val="003D5D20"/>
    <w:rsid w:val="003D5D72"/>
    <w:rsid w:val="003D5ED9"/>
    <w:rsid w:val="003D601D"/>
    <w:rsid w:val="003D607A"/>
    <w:rsid w:val="003D60B6"/>
    <w:rsid w:val="003D61EB"/>
    <w:rsid w:val="003D6260"/>
    <w:rsid w:val="003D62B1"/>
    <w:rsid w:val="003D6436"/>
    <w:rsid w:val="003D6580"/>
    <w:rsid w:val="003D6742"/>
    <w:rsid w:val="003D67CD"/>
    <w:rsid w:val="003D683D"/>
    <w:rsid w:val="003D6A1B"/>
    <w:rsid w:val="003D6AAF"/>
    <w:rsid w:val="003D6B6F"/>
    <w:rsid w:val="003D6CA6"/>
    <w:rsid w:val="003D6E75"/>
    <w:rsid w:val="003D6ECD"/>
    <w:rsid w:val="003D70B1"/>
    <w:rsid w:val="003D7244"/>
    <w:rsid w:val="003D76BE"/>
    <w:rsid w:val="003D76F3"/>
    <w:rsid w:val="003D785C"/>
    <w:rsid w:val="003D789B"/>
    <w:rsid w:val="003D7908"/>
    <w:rsid w:val="003D79B8"/>
    <w:rsid w:val="003D7A63"/>
    <w:rsid w:val="003D7AF4"/>
    <w:rsid w:val="003D7AFB"/>
    <w:rsid w:val="003D7B58"/>
    <w:rsid w:val="003D7C4C"/>
    <w:rsid w:val="003D7EA9"/>
    <w:rsid w:val="003D7F3C"/>
    <w:rsid w:val="003E023E"/>
    <w:rsid w:val="003E026B"/>
    <w:rsid w:val="003E02B7"/>
    <w:rsid w:val="003E02C2"/>
    <w:rsid w:val="003E03C1"/>
    <w:rsid w:val="003E04BF"/>
    <w:rsid w:val="003E0676"/>
    <w:rsid w:val="003E069C"/>
    <w:rsid w:val="003E071C"/>
    <w:rsid w:val="003E0745"/>
    <w:rsid w:val="003E0762"/>
    <w:rsid w:val="003E0888"/>
    <w:rsid w:val="003E091C"/>
    <w:rsid w:val="003E094F"/>
    <w:rsid w:val="003E09A0"/>
    <w:rsid w:val="003E09A9"/>
    <w:rsid w:val="003E0A5F"/>
    <w:rsid w:val="003E0C73"/>
    <w:rsid w:val="003E0CC6"/>
    <w:rsid w:val="003E0F0C"/>
    <w:rsid w:val="003E0F33"/>
    <w:rsid w:val="003E0F3D"/>
    <w:rsid w:val="003E1151"/>
    <w:rsid w:val="003E1505"/>
    <w:rsid w:val="003E1594"/>
    <w:rsid w:val="003E18FE"/>
    <w:rsid w:val="003E194E"/>
    <w:rsid w:val="003E1A69"/>
    <w:rsid w:val="003E1AC3"/>
    <w:rsid w:val="003E1B4E"/>
    <w:rsid w:val="003E1BF7"/>
    <w:rsid w:val="003E1BFF"/>
    <w:rsid w:val="003E1CB0"/>
    <w:rsid w:val="003E1E62"/>
    <w:rsid w:val="003E1EA3"/>
    <w:rsid w:val="003E23DE"/>
    <w:rsid w:val="003E2791"/>
    <w:rsid w:val="003E29A3"/>
    <w:rsid w:val="003E2A21"/>
    <w:rsid w:val="003E2C7E"/>
    <w:rsid w:val="003E2C92"/>
    <w:rsid w:val="003E2CC0"/>
    <w:rsid w:val="003E2CDC"/>
    <w:rsid w:val="003E2DDF"/>
    <w:rsid w:val="003E31E3"/>
    <w:rsid w:val="003E3565"/>
    <w:rsid w:val="003E35B8"/>
    <w:rsid w:val="003E374F"/>
    <w:rsid w:val="003E386E"/>
    <w:rsid w:val="003E3BA8"/>
    <w:rsid w:val="003E3C79"/>
    <w:rsid w:val="003E3CDB"/>
    <w:rsid w:val="003E3D22"/>
    <w:rsid w:val="003E414C"/>
    <w:rsid w:val="003E41E5"/>
    <w:rsid w:val="003E41F9"/>
    <w:rsid w:val="003E4275"/>
    <w:rsid w:val="003E42DF"/>
    <w:rsid w:val="003E43E8"/>
    <w:rsid w:val="003E4594"/>
    <w:rsid w:val="003E47A2"/>
    <w:rsid w:val="003E47D6"/>
    <w:rsid w:val="003E4818"/>
    <w:rsid w:val="003E484E"/>
    <w:rsid w:val="003E4880"/>
    <w:rsid w:val="003E4ADA"/>
    <w:rsid w:val="003E4D50"/>
    <w:rsid w:val="003E4F98"/>
    <w:rsid w:val="003E4FA6"/>
    <w:rsid w:val="003E5258"/>
    <w:rsid w:val="003E5433"/>
    <w:rsid w:val="003E564A"/>
    <w:rsid w:val="003E57BF"/>
    <w:rsid w:val="003E5AA4"/>
    <w:rsid w:val="003E5AC0"/>
    <w:rsid w:val="003E5B84"/>
    <w:rsid w:val="003E5BBD"/>
    <w:rsid w:val="003E5D58"/>
    <w:rsid w:val="003E5D79"/>
    <w:rsid w:val="003E5F38"/>
    <w:rsid w:val="003E5F43"/>
    <w:rsid w:val="003E5FA3"/>
    <w:rsid w:val="003E6241"/>
    <w:rsid w:val="003E632A"/>
    <w:rsid w:val="003E63BD"/>
    <w:rsid w:val="003E63E2"/>
    <w:rsid w:val="003E6420"/>
    <w:rsid w:val="003E6488"/>
    <w:rsid w:val="003E655F"/>
    <w:rsid w:val="003E6729"/>
    <w:rsid w:val="003E69C4"/>
    <w:rsid w:val="003E6A88"/>
    <w:rsid w:val="003E6B9D"/>
    <w:rsid w:val="003E6BC7"/>
    <w:rsid w:val="003E6E07"/>
    <w:rsid w:val="003E730F"/>
    <w:rsid w:val="003E7387"/>
    <w:rsid w:val="003E73B8"/>
    <w:rsid w:val="003E73F1"/>
    <w:rsid w:val="003E7426"/>
    <w:rsid w:val="003E75C0"/>
    <w:rsid w:val="003E76B6"/>
    <w:rsid w:val="003E7757"/>
    <w:rsid w:val="003E7766"/>
    <w:rsid w:val="003E7798"/>
    <w:rsid w:val="003E781A"/>
    <w:rsid w:val="003E7971"/>
    <w:rsid w:val="003E798A"/>
    <w:rsid w:val="003E79BA"/>
    <w:rsid w:val="003E7BF7"/>
    <w:rsid w:val="003E7C94"/>
    <w:rsid w:val="003E7E8A"/>
    <w:rsid w:val="003F0016"/>
    <w:rsid w:val="003F0083"/>
    <w:rsid w:val="003F0091"/>
    <w:rsid w:val="003F0101"/>
    <w:rsid w:val="003F0160"/>
    <w:rsid w:val="003F0254"/>
    <w:rsid w:val="003F02F4"/>
    <w:rsid w:val="003F034B"/>
    <w:rsid w:val="003F0375"/>
    <w:rsid w:val="003F043C"/>
    <w:rsid w:val="003F047D"/>
    <w:rsid w:val="003F04EE"/>
    <w:rsid w:val="003F0508"/>
    <w:rsid w:val="003F052B"/>
    <w:rsid w:val="003F0550"/>
    <w:rsid w:val="003F0581"/>
    <w:rsid w:val="003F05D7"/>
    <w:rsid w:val="003F066A"/>
    <w:rsid w:val="003F0A33"/>
    <w:rsid w:val="003F0AF6"/>
    <w:rsid w:val="003F0CDB"/>
    <w:rsid w:val="003F1125"/>
    <w:rsid w:val="003F112C"/>
    <w:rsid w:val="003F1141"/>
    <w:rsid w:val="003F1282"/>
    <w:rsid w:val="003F1368"/>
    <w:rsid w:val="003F146A"/>
    <w:rsid w:val="003F1493"/>
    <w:rsid w:val="003F14EF"/>
    <w:rsid w:val="003F15D9"/>
    <w:rsid w:val="003F162A"/>
    <w:rsid w:val="003F1C3D"/>
    <w:rsid w:val="003F1D23"/>
    <w:rsid w:val="003F1FC2"/>
    <w:rsid w:val="003F264A"/>
    <w:rsid w:val="003F26D3"/>
    <w:rsid w:val="003F2746"/>
    <w:rsid w:val="003F2791"/>
    <w:rsid w:val="003F2925"/>
    <w:rsid w:val="003F2929"/>
    <w:rsid w:val="003F2A32"/>
    <w:rsid w:val="003F2C38"/>
    <w:rsid w:val="003F2D13"/>
    <w:rsid w:val="003F2DFA"/>
    <w:rsid w:val="003F2F77"/>
    <w:rsid w:val="003F3079"/>
    <w:rsid w:val="003F321E"/>
    <w:rsid w:val="003F34CA"/>
    <w:rsid w:val="003F3697"/>
    <w:rsid w:val="003F36DD"/>
    <w:rsid w:val="003F381F"/>
    <w:rsid w:val="003F3902"/>
    <w:rsid w:val="003F396B"/>
    <w:rsid w:val="003F3A77"/>
    <w:rsid w:val="003F3AC5"/>
    <w:rsid w:val="003F3B7C"/>
    <w:rsid w:val="003F3BDB"/>
    <w:rsid w:val="003F3DDD"/>
    <w:rsid w:val="003F3DF2"/>
    <w:rsid w:val="003F3E3E"/>
    <w:rsid w:val="003F3FA8"/>
    <w:rsid w:val="003F3FB0"/>
    <w:rsid w:val="003F3FBB"/>
    <w:rsid w:val="003F4026"/>
    <w:rsid w:val="003F4067"/>
    <w:rsid w:val="003F4117"/>
    <w:rsid w:val="003F41F0"/>
    <w:rsid w:val="003F4442"/>
    <w:rsid w:val="003F487E"/>
    <w:rsid w:val="003F4912"/>
    <w:rsid w:val="003F495E"/>
    <w:rsid w:val="003F4ACE"/>
    <w:rsid w:val="003F4D53"/>
    <w:rsid w:val="003F4D5A"/>
    <w:rsid w:val="003F4DB7"/>
    <w:rsid w:val="003F4DCD"/>
    <w:rsid w:val="003F528F"/>
    <w:rsid w:val="003F52FF"/>
    <w:rsid w:val="003F54B4"/>
    <w:rsid w:val="003F5549"/>
    <w:rsid w:val="003F5616"/>
    <w:rsid w:val="003F5765"/>
    <w:rsid w:val="003F5786"/>
    <w:rsid w:val="003F59F9"/>
    <w:rsid w:val="003F5C54"/>
    <w:rsid w:val="003F5D62"/>
    <w:rsid w:val="003F5E2C"/>
    <w:rsid w:val="003F60A4"/>
    <w:rsid w:val="003F62D1"/>
    <w:rsid w:val="003F646C"/>
    <w:rsid w:val="003F675A"/>
    <w:rsid w:val="003F680E"/>
    <w:rsid w:val="003F6823"/>
    <w:rsid w:val="003F6A53"/>
    <w:rsid w:val="003F6A9C"/>
    <w:rsid w:val="003F6B56"/>
    <w:rsid w:val="003F6DE8"/>
    <w:rsid w:val="003F6EB7"/>
    <w:rsid w:val="003F7042"/>
    <w:rsid w:val="003F722F"/>
    <w:rsid w:val="003F72C9"/>
    <w:rsid w:val="003F7481"/>
    <w:rsid w:val="003F74AD"/>
    <w:rsid w:val="003F74F8"/>
    <w:rsid w:val="003F754F"/>
    <w:rsid w:val="003F77ED"/>
    <w:rsid w:val="003F787A"/>
    <w:rsid w:val="003F7958"/>
    <w:rsid w:val="003F79BE"/>
    <w:rsid w:val="003F7A15"/>
    <w:rsid w:val="003F7A66"/>
    <w:rsid w:val="003F7BC7"/>
    <w:rsid w:val="003F7BC9"/>
    <w:rsid w:val="003F7BD3"/>
    <w:rsid w:val="003F7CEE"/>
    <w:rsid w:val="003F7D76"/>
    <w:rsid w:val="003F7DC2"/>
    <w:rsid w:val="003F7DE3"/>
    <w:rsid w:val="004000FC"/>
    <w:rsid w:val="00400114"/>
    <w:rsid w:val="00400194"/>
    <w:rsid w:val="0040020B"/>
    <w:rsid w:val="00400244"/>
    <w:rsid w:val="0040024A"/>
    <w:rsid w:val="00400339"/>
    <w:rsid w:val="00400503"/>
    <w:rsid w:val="00400512"/>
    <w:rsid w:val="004007F0"/>
    <w:rsid w:val="0040084A"/>
    <w:rsid w:val="004008B2"/>
    <w:rsid w:val="0040095C"/>
    <w:rsid w:val="00400D9C"/>
    <w:rsid w:val="00400DAC"/>
    <w:rsid w:val="00400DB8"/>
    <w:rsid w:val="00400F80"/>
    <w:rsid w:val="004011AC"/>
    <w:rsid w:val="0040155D"/>
    <w:rsid w:val="004015FB"/>
    <w:rsid w:val="00401737"/>
    <w:rsid w:val="004017D8"/>
    <w:rsid w:val="004017E9"/>
    <w:rsid w:val="004017FD"/>
    <w:rsid w:val="004018DF"/>
    <w:rsid w:val="00401959"/>
    <w:rsid w:val="00401B91"/>
    <w:rsid w:val="00401BD7"/>
    <w:rsid w:val="00401C95"/>
    <w:rsid w:val="00401CF0"/>
    <w:rsid w:val="00402108"/>
    <w:rsid w:val="00402187"/>
    <w:rsid w:val="00402395"/>
    <w:rsid w:val="0040253E"/>
    <w:rsid w:val="00402651"/>
    <w:rsid w:val="0040270F"/>
    <w:rsid w:val="00402AA7"/>
    <w:rsid w:val="00402DBD"/>
    <w:rsid w:val="00402EA9"/>
    <w:rsid w:val="00402EB7"/>
    <w:rsid w:val="0040310E"/>
    <w:rsid w:val="00403273"/>
    <w:rsid w:val="00403298"/>
    <w:rsid w:val="004032E6"/>
    <w:rsid w:val="004033BC"/>
    <w:rsid w:val="004033D8"/>
    <w:rsid w:val="004033FD"/>
    <w:rsid w:val="0040344C"/>
    <w:rsid w:val="0040347E"/>
    <w:rsid w:val="00403564"/>
    <w:rsid w:val="00403630"/>
    <w:rsid w:val="004037EB"/>
    <w:rsid w:val="004038D9"/>
    <w:rsid w:val="00403985"/>
    <w:rsid w:val="00403C02"/>
    <w:rsid w:val="00403C68"/>
    <w:rsid w:val="00403D3C"/>
    <w:rsid w:val="00403D42"/>
    <w:rsid w:val="00403D47"/>
    <w:rsid w:val="00404071"/>
    <w:rsid w:val="00404146"/>
    <w:rsid w:val="00404190"/>
    <w:rsid w:val="0040424C"/>
    <w:rsid w:val="00404293"/>
    <w:rsid w:val="00404680"/>
    <w:rsid w:val="00404828"/>
    <w:rsid w:val="00404839"/>
    <w:rsid w:val="00404A07"/>
    <w:rsid w:val="00404A94"/>
    <w:rsid w:val="00404AA0"/>
    <w:rsid w:val="00404B17"/>
    <w:rsid w:val="00404C7E"/>
    <w:rsid w:val="00404D1D"/>
    <w:rsid w:val="00404EB1"/>
    <w:rsid w:val="00404ED7"/>
    <w:rsid w:val="00404F50"/>
    <w:rsid w:val="00405196"/>
    <w:rsid w:val="004052BB"/>
    <w:rsid w:val="00405367"/>
    <w:rsid w:val="004055EC"/>
    <w:rsid w:val="0040571F"/>
    <w:rsid w:val="00405821"/>
    <w:rsid w:val="00405902"/>
    <w:rsid w:val="00405997"/>
    <w:rsid w:val="00405C3D"/>
    <w:rsid w:val="00405C5C"/>
    <w:rsid w:val="00406129"/>
    <w:rsid w:val="0040647B"/>
    <w:rsid w:val="0040649E"/>
    <w:rsid w:val="0040663F"/>
    <w:rsid w:val="004067B5"/>
    <w:rsid w:val="0040694D"/>
    <w:rsid w:val="00406A87"/>
    <w:rsid w:val="00406AE2"/>
    <w:rsid w:val="00406DEB"/>
    <w:rsid w:val="00406F2B"/>
    <w:rsid w:val="00406F9B"/>
    <w:rsid w:val="004070EC"/>
    <w:rsid w:val="00407232"/>
    <w:rsid w:val="0040728A"/>
    <w:rsid w:val="004076A9"/>
    <w:rsid w:val="004077E1"/>
    <w:rsid w:val="00407945"/>
    <w:rsid w:val="004079C2"/>
    <w:rsid w:val="00407A8F"/>
    <w:rsid w:val="00407B89"/>
    <w:rsid w:val="00407BD8"/>
    <w:rsid w:val="00407D86"/>
    <w:rsid w:val="00407EBA"/>
    <w:rsid w:val="00407EDF"/>
    <w:rsid w:val="00407F06"/>
    <w:rsid w:val="00407F2E"/>
    <w:rsid w:val="00407FBF"/>
    <w:rsid w:val="00410154"/>
    <w:rsid w:val="00410273"/>
    <w:rsid w:val="004104B5"/>
    <w:rsid w:val="00410653"/>
    <w:rsid w:val="0041068B"/>
    <w:rsid w:val="004106C9"/>
    <w:rsid w:val="004106D2"/>
    <w:rsid w:val="00410852"/>
    <w:rsid w:val="00410A02"/>
    <w:rsid w:val="00410B5B"/>
    <w:rsid w:val="00410CAE"/>
    <w:rsid w:val="00410CB4"/>
    <w:rsid w:val="00410D26"/>
    <w:rsid w:val="00410D27"/>
    <w:rsid w:val="00410E50"/>
    <w:rsid w:val="0041105C"/>
    <w:rsid w:val="0041136E"/>
    <w:rsid w:val="004113A2"/>
    <w:rsid w:val="0041149F"/>
    <w:rsid w:val="00411966"/>
    <w:rsid w:val="00411AA2"/>
    <w:rsid w:val="00411D1F"/>
    <w:rsid w:val="00411E71"/>
    <w:rsid w:val="00411F09"/>
    <w:rsid w:val="00411FC4"/>
    <w:rsid w:val="00411FD6"/>
    <w:rsid w:val="00411FDF"/>
    <w:rsid w:val="0041210B"/>
    <w:rsid w:val="00412287"/>
    <w:rsid w:val="00412303"/>
    <w:rsid w:val="0041241A"/>
    <w:rsid w:val="00412749"/>
    <w:rsid w:val="00412C5E"/>
    <w:rsid w:val="00412D19"/>
    <w:rsid w:val="00412D40"/>
    <w:rsid w:val="00412D6E"/>
    <w:rsid w:val="00412DA4"/>
    <w:rsid w:val="00412DCB"/>
    <w:rsid w:val="00413071"/>
    <w:rsid w:val="00413090"/>
    <w:rsid w:val="004131C1"/>
    <w:rsid w:val="004131FD"/>
    <w:rsid w:val="00413708"/>
    <w:rsid w:val="004137D0"/>
    <w:rsid w:val="004138E9"/>
    <w:rsid w:val="004139C8"/>
    <w:rsid w:val="00413C7A"/>
    <w:rsid w:val="00413C98"/>
    <w:rsid w:val="0041422B"/>
    <w:rsid w:val="004142AE"/>
    <w:rsid w:val="004142B1"/>
    <w:rsid w:val="00414431"/>
    <w:rsid w:val="004147E3"/>
    <w:rsid w:val="004148FE"/>
    <w:rsid w:val="0041490C"/>
    <w:rsid w:val="004149ED"/>
    <w:rsid w:val="00414A98"/>
    <w:rsid w:val="00414B49"/>
    <w:rsid w:val="00414C7A"/>
    <w:rsid w:val="00414CF3"/>
    <w:rsid w:val="00414E0D"/>
    <w:rsid w:val="00415049"/>
    <w:rsid w:val="0041509E"/>
    <w:rsid w:val="004150D2"/>
    <w:rsid w:val="00415108"/>
    <w:rsid w:val="004151D3"/>
    <w:rsid w:val="00415201"/>
    <w:rsid w:val="004154E2"/>
    <w:rsid w:val="00415621"/>
    <w:rsid w:val="004156AA"/>
    <w:rsid w:val="004157C1"/>
    <w:rsid w:val="0041585C"/>
    <w:rsid w:val="0041590E"/>
    <w:rsid w:val="00415A1B"/>
    <w:rsid w:val="00415AD4"/>
    <w:rsid w:val="00415B75"/>
    <w:rsid w:val="00415C70"/>
    <w:rsid w:val="00415EFC"/>
    <w:rsid w:val="00415FC1"/>
    <w:rsid w:val="00416386"/>
    <w:rsid w:val="004164CE"/>
    <w:rsid w:val="00416739"/>
    <w:rsid w:val="00416812"/>
    <w:rsid w:val="00416818"/>
    <w:rsid w:val="00416B78"/>
    <w:rsid w:val="00416C18"/>
    <w:rsid w:val="00416C5F"/>
    <w:rsid w:val="00416DD0"/>
    <w:rsid w:val="00416E5B"/>
    <w:rsid w:val="0041713E"/>
    <w:rsid w:val="004171EF"/>
    <w:rsid w:val="00417226"/>
    <w:rsid w:val="0041726F"/>
    <w:rsid w:val="004172AB"/>
    <w:rsid w:val="00417525"/>
    <w:rsid w:val="0041755B"/>
    <w:rsid w:val="00417596"/>
    <w:rsid w:val="0041774B"/>
    <w:rsid w:val="0041789C"/>
    <w:rsid w:val="00417990"/>
    <w:rsid w:val="004179C4"/>
    <w:rsid w:val="00417A86"/>
    <w:rsid w:val="00417B38"/>
    <w:rsid w:val="00417B66"/>
    <w:rsid w:val="00417B8C"/>
    <w:rsid w:val="00417D12"/>
    <w:rsid w:val="00417F3E"/>
    <w:rsid w:val="00417FEB"/>
    <w:rsid w:val="004200B5"/>
    <w:rsid w:val="00420100"/>
    <w:rsid w:val="00420104"/>
    <w:rsid w:val="00420277"/>
    <w:rsid w:val="0042027E"/>
    <w:rsid w:val="004202C6"/>
    <w:rsid w:val="004202DE"/>
    <w:rsid w:val="00420488"/>
    <w:rsid w:val="0042053F"/>
    <w:rsid w:val="0042055C"/>
    <w:rsid w:val="004208D3"/>
    <w:rsid w:val="004208E4"/>
    <w:rsid w:val="004208FA"/>
    <w:rsid w:val="004209FB"/>
    <w:rsid w:val="00420A4A"/>
    <w:rsid w:val="00420A4C"/>
    <w:rsid w:val="00420BD9"/>
    <w:rsid w:val="00420C1B"/>
    <w:rsid w:val="00420CC2"/>
    <w:rsid w:val="00420E66"/>
    <w:rsid w:val="004210C2"/>
    <w:rsid w:val="0042120E"/>
    <w:rsid w:val="004212E2"/>
    <w:rsid w:val="004213BE"/>
    <w:rsid w:val="004218FC"/>
    <w:rsid w:val="00421A03"/>
    <w:rsid w:val="00421B6A"/>
    <w:rsid w:val="00421D3F"/>
    <w:rsid w:val="00421D56"/>
    <w:rsid w:val="0042238F"/>
    <w:rsid w:val="004223E3"/>
    <w:rsid w:val="00422442"/>
    <w:rsid w:val="00422623"/>
    <w:rsid w:val="0042273C"/>
    <w:rsid w:val="0042279C"/>
    <w:rsid w:val="004227CC"/>
    <w:rsid w:val="004228A4"/>
    <w:rsid w:val="004228BD"/>
    <w:rsid w:val="00422938"/>
    <w:rsid w:val="00422B52"/>
    <w:rsid w:val="00422BDB"/>
    <w:rsid w:val="00422C17"/>
    <w:rsid w:val="00422CC6"/>
    <w:rsid w:val="00422CFA"/>
    <w:rsid w:val="00422E71"/>
    <w:rsid w:val="00422F45"/>
    <w:rsid w:val="004230FC"/>
    <w:rsid w:val="00423397"/>
    <w:rsid w:val="0042346F"/>
    <w:rsid w:val="0042370D"/>
    <w:rsid w:val="00423755"/>
    <w:rsid w:val="00423785"/>
    <w:rsid w:val="00423791"/>
    <w:rsid w:val="004237FE"/>
    <w:rsid w:val="004238CF"/>
    <w:rsid w:val="0042390D"/>
    <w:rsid w:val="00423D21"/>
    <w:rsid w:val="00423DCF"/>
    <w:rsid w:val="00423DF8"/>
    <w:rsid w:val="00423E43"/>
    <w:rsid w:val="00423E83"/>
    <w:rsid w:val="00423FFF"/>
    <w:rsid w:val="0042401E"/>
    <w:rsid w:val="004240C8"/>
    <w:rsid w:val="004240D5"/>
    <w:rsid w:val="0042423A"/>
    <w:rsid w:val="00424311"/>
    <w:rsid w:val="0042436C"/>
    <w:rsid w:val="00424464"/>
    <w:rsid w:val="00424551"/>
    <w:rsid w:val="004245B0"/>
    <w:rsid w:val="0042472F"/>
    <w:rsid w:val="00424757"/>
    <w:rsid w:val="004247D0"/>
    <w:rsid w:val="004247E6"/>
    <w:rsid w:val="004247F6"/>
    <w:rsid w:val="00424859"/>
    <w:rsid w:val="00424963"/>
    <w:rsid w:val="00424980"/>
    <w:rsid w:val="00424ACB"/>
    <w:rsid w:val="00424B99"/>
    <w:rsid w:val="00424BD9"/>
    <w:rsid w:val="00424D0D"/>
    <w:rsid w:val="00424D15"/>
    <w:rsid w:val="00424D5F"/>
    <w:rsid w:val="00424D62"/>
    <w:rsid w:val="004251A9"/>
    <w:rsid w:val="00425334"/>
    <w:rsid w:val="0042553A"/>
    <w:rsid w:val="004255C1"/>
    <w:rsid w:val="00425711"/>
    <w:rsid w:val="00425725"/>
    <w:rsid w:val="00425773"/>
    <w:rsid w:val="004257B1"/>
    <w:rsid w:val="00425C4C"/>
    <w:rsid w:val="00425D61"/>
    <w:rsid w:val="00425F4A"/>
    <w:rsid w:val="00426083"/>
    <w:rsid w:val="004260E1"/>
    <w:rsid w:val="004262C8"/>
    <w:rsid w:val="00426402"/>
    <w:rsid w:val="004266CF"/>
    <w:rsid w:val="004268EA"/>
    <w:rsid w:val="00426A40"/>
    <w:rsid w:val="00426C0A"/>
    <w:rsid w:val="00427019"/>
    <w:rsid w:val="00427046"/>
    <w:rsid w:val="00427271"/>
    <w:rsid w:val="0042766A"/>
    <w:rsid w:val="004276BA"/>
    <w:rsid w:val="004277D0"/>
    <w:rsid w:val="0042783E"/>
    <w:rsid w:val="0042785B"/>
    <w:rsid w:val="0042791A"/>
    <w:rsid w:val="00427938"/>
    <w:rsid w:val="004279EE"/>
    <w:rsid w:val="00427A79"/>
    <w:rsid w:val="00427CFC"/>
    <w:rsid w:val="00427D3E"/>
    <w:rsid w:val="00427E31"/>
    <w:rsid w:val="00430111"/>
    <w:rsid w:val="0043016C"/>
    <w:rsid w:val="0043033B"/>
    <w:rsid w:val="00430453"/>
    <w:rsid w:val="0043054F"/>
    <w:rsid w:val="0043059E"/>
    <w:rsid w:val="004305C3"/>
    <w:rsid w:val="004305CF"/>
    <w:rsid w:val="004306FE"/>
    <w:rsid w:val="0043087C"/>
    <w:rsid w:val="0043094C"/>
    <w:rsid w:val="004309B7"/>
    <w:rsid w:val="00430E5D"/>
    <w:rsid w:val="00430F47"/>
    <w:rsid w:val="0043100E"/>
    <w:rsid w:val="00431108"/>
    <w:rsid w:val="0043110B"/>
    <w:rsid w:val="00431181"/>
    <w:rsid w:val="00431439"/>
    <w:rsid w:val="0043184D"/>
    <w:rsid w:val="004318FB"/>
    <w:rsid w:val="00431BB9"/>
    <w:rsid w:val="00431BC1"/>
    <w:rsid w:val="00431C36"/>
    <w:rsid w:val="00431C7E"/>
    <w:rsid w:val="00431D05"/>
    <w:rsid w:val="00431FD5"/>
    <w:rsid w:val="00431FD8"/>
    <w:rsid w:val="00432166"/>
    <w:rsid w:val="004325A0"/>
    <w:rsid w:val="00432749"/>
    <w:rsid w:val="00432798"/>
    <w:rsid w:val="00432884"/>
    <w:rsid w:val="004328A1"/>
    <w:rsid w:val="00432984"/>
    <w:rsid w:val="00432AFF"/>
    <w:rsid w:val="00432BD8"/>
    <w:rsid w:val="00432C4B"/>
    <w:rsid w:val="00432CB5"/>
    <w:rsid w:val="00432D2E"/>
    <w:rsid w:val="00432DB8"/>
    <w:rsid w:val="00432E75"/>
    <w:rsid w:val="00432FAC"/>
    <w:rsid w:val="00433116"/>
    <w:rsid w:val="00433295"/>
    <w:rsid w:val="004333F8"/>
    <w:rsid w:val="00433447"/>
    <w:rsid w:val="0043348A"/>
    <w:rsid w:val="0043373D"/>
    <w:rsid w:val="004338F9"/>
    <w:rsid w:val="0043394B"/>
    <w:rsid w:val="00433967"/>
    <w:rsid w:val="00433C07"/>
    <w:rsid w:val="00433E6E"/>
    <w:rsid w:val="004341D7"/>
    <w:rsid w:val="00434236"/>
    <w:rsid w:val="004342E5"/>
    <w:rsid w:val="00434439"/>
    <w:rsid w:val="0043463D"/>
    <w:rsid w:val="004347E4"/>
    <w:rsid w:val="004348E6"/>
    <w:rsid w:val="00434A1D"/>
    <w:rsid w:val="00434A4E"/>
    <w:rsid w:val="00434A53"/>
    <w:rsid w:val="00434AF7"/>
    <w:rsid w:val="00434B91"/>
    <w:rsid w:val="00434BBE"/>
    <w:rsid w:val="00434BCC"/>
    <w:rsid w:val="00434D41"/>
    <w:rsid w:val="004352F6"/>
    <w:rsid w:val="0043534C"/>
    <w:rsid w:val="0043540F"/>
    <w:rsid w:val="00435454"/>
    <w:rsid w:val="00435534"/>
    <w:rsid w:val="0043556D"/>
    <w:rsid w:val="00435570"/>
    <w:rsid w:val="00435592"/>
    <w:rsid w:val="004355A7"/>
    <w:rsid w:val="00435740"/>
    <w:rsid w:val="0043579C"/>
    <w:rsid w:val="0043588C"/>
    <w:rsid w:val="00435A60"/>
    <w:rsid w:val="00435BDC"/>
    <w:rsid w:val="00435C9C"/>
    <w:rsid w:val="00435CB8"/>
    <w:rsid w:val="00435CFF"/>
    <w:rsid w:val="00435E09"/>
    <w:rsid w:val="00435E19"/>
    <w:rsid w:val="00435EC2"/>
    <w:rsid w:val="00435F58"/>
    <w:rsid w:val="00435F5A"/>
    <w:rsid w:val="00435FB5"/>
    <w:rsid w:val="00436276"/>
    <w:rsid w:val="0043630F"/>
    <w:rsid w:val="00436334"/>
    <w:rsid w:val="00436504"/>
    <w:rsid w:val="00436530"/>
    <w:rsid w:val="0043663D"/>
    <w:rsid w:val="00436672"/>
    <w:rsid w:val="0043667F"/>
    <w:rsid w:val="004366C2"/>
    <w:rsid w:val="004369E8"/>
    <w:rsid w:val="00436A84"/>
    <w:rsid w:val="00436B17"/>
    <w:rsid w:val="00436CB9"/>
    <w:rsid w:val="00436CBE"/>
    <w:rsid w:val="00436DD1"/>
    <w:rsid w:val="00436FAC"/>
    <w:rsid w:val="0043714F"/>
    <w:rsid w:val="0043717F"/>
    <w:rsid w:val="00437273"/>
    <w:rsid w:val="004376E6"/>
    <w:rsid w:val="004377D4"/>
    <w:rsid w:val="0043789E"/>
    <w:rsid w:val="00437979"/>
    <w:rsid w:val="004379D6"/>
    <w:rsid w:val="00437AC6"/>
    <w:rsid w:val="00437B5A"/>
    <w:rsid w:val="00437C17"/>
    <w:rsid w:val="00437D5B"/>
    <w:rsid w:val="00437EF8"/>
    <w:rsid w:val="004402A6"/>
    <w:rsid w:val="004404CA"/>
    <w:rsid w:val="00440591"/>
    <w:rsid w:val="004405EF"/>
    <w:rsid w:val="0044068F"/>
    <w:rsid w:val="0044073E"/>
    <w:rsid w:val="00440804"/>
    <w:rsid w:val="00440925"/>
    <w:rsid w:val="00440963"/>
    <w:rsid w:val="00440A47"/>
    <w:rsid w:val="00440B9E"/>
    <w:rsid w:val="00440C3E"/>
    <w:rsid w:val="00440CC6"/>
    <w:rsid w:val="00440D98"/>
    <w:rsid w:val="00440F22"/>
    <w:rsid w:val="00440FD2"/>
    <w:rsid w:val="00441112"/>
    <w:rsid w:val="00441225"/>
    <w:rsid w:val="00441394"/>
    <w:rsid w:val="004416FD"/>
    <w:rsid w:val="0044171C"/>
    <w:rsid w:val="004418C2"/>
    <w:rsid w:val="004419A7"/>
    <w:rsid w:val="004419DD"/>
    <w:rsid w:val="00441A0D"/>
    <w:rsid w:val="00441AB8"/>
    <w:rsid w:val="00441AE3"/>
    <w:rsid w:val="00441B00"/>
    <w:rsid w:val="00441BBC"/>
    <w:rsid w:val="00441BD9"/>
    <w:rsid w:val="00441FB9"/>
    <w:rsid w:val="0044214F"/>
    <w:rsid w:val="00442459"/>
    <w:rsid w:val="00442672"/>
    <w:rsid w:val="004427A4"/>
    <w:rsid w:val="004428E8"/>
    <w:rsid w:val="00442B00"/>
    <w:rsid w:val="00442DFF"/>
    <w:rsid w:val="00442E3E"/>
    <w:rsid w:val="0044309E"/>
    <w:rsid w:val="0044310D"/>
    <w:rsid w:val="004431BB"/>
    <w:rsid w:val="004431CC"/>
    <w:rsid w:val="0044331E"/>
    <w:rsid w:val="00443358"/>
    <w:rsid w:val="004433E6"/>
    <w:rsid w:val="004434BE"/>
    <w:rsid w:val="0044354B"/>
    <w:rsid w:val="004437BB"/>
    <w:rsid w:val="004439F6"/>
    <w:rsid w:val="00443AD7"/>
    <w:rsid w:val="00443EF8"/>
    <w:rsid w:val="00443FE7"/>
    <w:rsid w:val="00444398"/>
    <w:rsid w:val="00444555"/>
    <w:rsid w:val="004449C5"/>
    <w:rsid w:val="00444B56"/>
    <w:rsid w:val="00444D7F"/>
    <w:rsid w:val="00444E2B"/>
    <w:rsid w:val="00444E99"/>
    <w:rsid w:val="00444EAB"/>
    <w:rsid w:val="004451F1"/>
    <w:rsid w:val="004453A1"/>
    <w:rsid w:val="0044548C"/>
    <w:rsid w:val="00445768"/>
    <w:rsid w:val="004458B4"/>
    <w:rsid w:val="004458FE"/>
    <w:rsid w:val="0044595B"/>
    <w:rsid w:val="00445A0F"/>
    <w:rsid w:val="00445A62"/>
    <w:rsid w:val="00445BAA"/>
    <w:rsid w:val="00445BB7"/>
    <w:rsid w:val="00445BC3"/>
    <w:rsid w:val="00445E50"/>
    <w:rsid w:val="00445FE5"/>
    <w:rsid w:val="004461CB"/>
    <w:rsid w:val="004461F1"/>
    <w:rsid w:val="0044630E"/>
    <w:rsid w:val="0044635A"/>
    <w:rsid w:val="004464BB"/>
    <w:rsid w:val="00446615"/>
    <w:rsid w:val="00446661"/>
    <w:rsid w:val="0044695B"/>
    <w:rsid w:val="00446AB7"/>
    <w:rsid w:val="00446B44"/>
    <w:rsid w:val="00446E13"/>
    <w:rsid w:val="00446EC1"/>
    <w:rsid w:val="00446EE6"/>
    <w:rsid w:val="00446F8A"/>
    <w:rsid w:val="00446F94"/>
    <w:rsid w:val="004474B3"/>
    <w:rsid w:val="0044754F"/>
    <w:rsid w:val="00447613"/>
    <w:rsid w:val="004476B4"/>
    <w:rsid w:val="004476C7"/>
    <w:rsid w:val="00447987"/>
    <w:rsid w:val="0044798F"/>
    <w:rsid w:val="00447C4C"/>
    <w:rsid w:val="00447D06"/>
    <w:rsid w:val="00447D9E"/>
    <w:rsid w:val="00450214"/>
    <w:rsid w:val="0045033E"/>
    <w:rsid w:val="0045055F"/>
    <w:rsid w:val="004506C9"/>
    <w:rsid w:val="0045076F"/>
    <w:rsid w:val="00450A22"/>
    <w:rsid w:val="00450D3C"/>
    <w:rsid w:val="0045111B"/>
    <w:rsid w:val="00451167"/>
    <w:rsid w:val="004511A7"/>
    <w:rsid w:val="00451264"/>
    <w:rsid w:val="00451350"/>
    <w:rsid w:val="004514A7"/>
    <w:rsid w:val="004514AA"/>
    <w:rsid w:val="00451504"/>
    <w:rsid w:val="0045164C"/>
    <w:rsid w:val="00451755"/>
    <w:rsid w:val="004518C9"/>
    <w:rsid w:val="00451A07"/>
    <w:rsid w:val="00451A6C"/>
    <w:rsid w:val="00451AA2"/>
    <w:rsid w:val="00451B1A"/>
    <w:rsid w:val="00451BD4"/>
    <w:rsid w:val="00451DA8"/>
    <w:rsid w:val="0045218A"/>
    <w:rsid w:val="004522CF"/>
    <w:rsid w:val="00452388"/>
    <w:rsid w:val="00452522"/>
    <w:rsid w:val="00452570"/>
    <w:rsid w:val="00452A6A"/>
    <w:rsid w:val="00452C64"/>
    <w:rsid w:val="00452D26"/>
    <w:rsid w:val="00452D85"/>
    <w:rsid w:val="00452E42"/>
    <w:rsid w:val="00452E49"/>
    <w:rsid w:val="004531AB"/>
    <w:rsid w:val="004531BB"/>
    <w:rsid w:val="00453295"/>
    <w:rsid w:val="004534C3"/>
    <w:rsid w:val="004534E4"/>
    <w:rsid w:val="0045368D"/>
    <w:rsid w:val="004537A5"/>
    <w:rsid w:val="0045380F"/>
    <w:rsid w:val="0045397D"/>
    <w:rsid w:val="0045398D"/>
    <w:rsid w:val="00453C12"/>
    <w:rsid w:val="00453C18"/>
    <w:rsid w:val="00453C9F"/>
    <w:rsid w:val="00453CAA"/>
    <w:rsid w:val="00453D89"/>
    <w:rsid w:val="00453F16"/>
    <w:rsid w:val="0045412A"/>
    <w:rsid w:val="004541A5"/>
    <w:rsid w:val="0045421E"/>
    <w:rsid w:val="0045426E"/>
    <w:rsid w:val="004543A3"/>
    <w:rsid w:val="00454511"/>
    <w:rsid w:val="00454653"/>
    <w:rsid w:val="004546F7"/>
    <w:rsid w:val="00454700"/>
    <w:rsid w:val="00454741"/>
    <w:rsid w:val="00454871"/>
    <w:rsid w:val="00454878"/>
    <w:rsid w:val="00454B6E"/>
    <w:rsid w:val="00454BA8"/>
    <w:rsid w:val="00454D0C"/>
    <w:rsid w:val="00454DEE"/>
    <w:rsid w:val="00454ED9"/>
    <w:rsid w:val="004551F5"/>
    <w:rsid w:val="0045528D"/>
    <w:rsid w:val="00455349"/>
    <w:rsid w:val="004554BD"/>
    <w:rsid w:val="004555A4"/>
    <w:rsid w:val="00455721"/>
    <w:rsid w:val="00455809"/>
    <w:rsid w:val="004559F7"/>
    <w:rsid w:val="00455A5A"/>
    <w:rsid w:val="00455A87"/>
    <w:rsid w:val="00455F2D"/>
    <w:rsid w:val="00456039"/>
    <w:rsid w:val="004560E7"/>
    <w:rsid w:val="004560EC"/>
    <w:rsid w:val="00456175"/>
    <w:rsid w:val="004561B6"/>
    <w:rsid w:val="004562F7"/>
    <w:rsid w:val="00456470"/>
    <w:rsid w:val="00456819"/>
    <w:rsid w:val="00456ABE"/>
    <w:rsid w:val="00456C9A"/>
    <w:rsid w:val="00457049"/>
    <w:rsid w:val="0045706E"/>
    <w:rsid w:val="004570BE"/>
    <w:rsid w:val="0045721E"/>
    <w:rsid w:val="0045725C"/>
    <w:rsid w:val="004572C0"/>
    <w:rsid w:val="004572CC"/>
    <w:rsid w:val="00457356"/>
    <w:rsid w:val="0045736A"/>
    <w:rsid w:val="00457439"/>
    <w:rsid w:val="0045747A"/>
    <w:rsid w:val="004574C3"/>
    <w:rsid w:val="0045774F"/>
    <w:rsid w:val="0045778C"/>
    <w:rsid w:val="004577A5"/>
    <w:rsid w:val="00457843"/>
    <w:rsid w:val="00457A5C"/>
    <w:rsid w:val="00457AE5"/>
    <w:rsid w:val="00457E54"/>
    <w:rsid w:val="00457F57"/>
    <w:rsid w:val="00457FF4"/>
    <w:rsid w:val="00460005"/>
    <w:rsid w:val="0046004F"/>
    <w:rsid w:val="004601C4"/>
    <w:rsid w:val="0046023A"/>
    <w:rsid w:val="00460395"/>
    <w:rsid w:val="004604D6"/>
    <w:rsid w:val="004605B6"/>
    <w:rsid w:val="0046060B"/>
    <w:rsid w:val="00460649"/>
    <w:rsid w:val="0046065B"/>
    <w:rsid w:val="0046072F"/>
    <w:rsid w:val="00460998"/>
    <w:rsid w:val="00460AD8"/>
    <w:rsid w:val="00460B44"/>
    <w:rsid w:val="00460B60"/>
    <w:rsid w:val="00460B71"/>
    <w:rsid w:val="00460D39"/>
    <w:rsid w:val="00460D7A"/>
    <w:rsid w:val="00460F05"/>
    <w:rsid w:val="00460FCD"/>
    <w:rsid w:val="00460FCF"/>
    <w:rsid w:val="00461011"/>
    <w:rsid w:val="0046104D"/>
    <w:rsid w:val="0046105A"/>
    <w:rsid w:val="00461065"/>
    <w:rsid w:val="004610AF"/>
    <w:rsid w:val="00461497"/>
    <w:rsid w:val="00461597"/>
    <w:rsid w:val="004618C4"/>
    <w:rsid w:val="004618FF"/>
    <w:rsid w:val="00461A39"/>
    <w:rsid w:val="00461AB8"/>
    <w:rsid w:val="00461BAA"/>
    <w:rsid w:val="00461DAA"/>
    <w:rsid w:val="0046205B"/>
    <w:rsid w:val="00462098"/>
    <w:rsid w:val="004621F7"/>
    <w:rsid w:val="00462239"/>
    <w:rsid w:val="004622BD"/>
    <w:rsid w:val="004622FE"/>
    <w:rsid w:val="004625BE"/>
    <w:rsid w:val="004625DB"/>
    <w:rsid w:val="00462662"/>
    <w:rsid w:val="004627EC"/>
    <w:rsid w:val="004628C6"/>
    <w:rsid w:val="00462920"/>
    <w:rsid w:val="00462B36"/>
    <w:rsid w:val="00462C19"/>
    <w:rsid w:val="00462E90"/>
    <w:rsid w:val="004631B3"/>
    <w:rsid w:val="00463265"/>
    <w:rsid w:val="0046350B"/>
    <w:rsid w:val="0046358B"/>
    <w:rsid w:val="004636B4"/>
    <w:rsid w:val="004636CD"/>
    <w:rsid w:val="0046370D"/>
    <w:rsid w:val="0046378F"/>
    <w:rsid w:val="004637EA"/>
    <w:rsid w:val="0046396A"/>
    <w:rsid w:val="004639EF"/>
    <w:rsid w:val="004639F0"/>
    <w:rsid w:val="00463CAC"/>
    <w:rsid w:val="00463DBB"/>
    <w:rsid w:val="00463E65"/>
    <w:rsid w:val="004640C3"/>
    <w:rsid w:val="004643CD"/>
    <w:rsid w:val="0046455C"/>
    <w:rsid w:val="00464628"/>
    <w:rsid w:val="0046489D"/>
    <w:rsid w:val="00464D6D"/>
    <w:rsid w:val="00464DC4"/>
    <w:rsid w:val="00464E6F"/>
    <w:rsid w:val="00464F38"/>
    <w:rsid w:val="00464FED"/>
    <w:rsid w:val="0046541F"/>
    <w:rsid w:val="004657B1"/>
    <w:rsid w:val="004657F3"/>
    <w:rsid w:val="00465C1C"/>
    <w:rsid w:val="00465C84"/>
    <w:rsid w:val="00465C99"/>
    <w:rsid w:val="00465F5F"/>
    <w:rsid w:val="00465F80"/>
    <w:rsid w:val="00465F92"/>
    <w:rsid w:val="00465FDE"/>
    <w:rsid w:val="00466011"/>
    <w:rsid w:val="004660A0"/>
    <w:rsid w:val="0046614B"/>
    <w:rsid w:val="0046636D"/>
    <w:rsid w:val="004663E9"/>
    <w:rsid w:val="00466710"/>
    <w:rsid w:val="004667A4"/>
    <w:rsid w:val="00466839"/>
    <w:rsid w:val="00466C50"/>
    <w:rsid w:val="00466CAE"/>
    <w:rsid w:val="004672B1"/>
    <w:rsid w:val="00467391"/>
    <w:rsid w:val="0046755C"/>
    <w:rsid w:val="00467582"/>
    <w:rsid w:val="004676EF"/>
    <w:rsid w:val="0046772A"/>
    <w:rsid w:val="00467752"/>
    <w:rsid w:val="004678FE"/>
    <w:rsid w:val="00467968"/>
    <w:rsid w:val="0046798E"/>
    <w:rsid w:val="00467A9E"/>
    <w:rsid w:val="00467B67"/>
    <w:rsid w:val="00467CEC"/>
    <w:rsid w:val="00467D71"/>
    <w:rsid w:val="00467E7E"/>
    <w:rsid w:val="00467F36"/>
    <w:rsid w:val="0047015F"/>
    <w:rsid w:val="00470171"/>
    <w:rsid w:val="004701EB"/>
    <w:rsid w:val="00470281"/>
    <w:rsid w:val="004704EC"/>
    <w:rsid w:val="0047076F"/>
    <w:rsid w:val="00470813"/>
    <w:rsid w:val="0047085B"/>
    <w:rsid w:val="00470893"/>
    <w:rsid w:val="00470A1E"/>
    <w:rsid w:val="00470AB9"/>
    <w:rsid w:val="00470CC5"/>
    <w:rsid w:val="00470D0F"/>
    <w:rsid w:val="00470E59"/>
    <w:rsid w:val="00470E68"/>
    <w:rsid w:val="00470F60"/>
    <w:rsid w:val="00470FBA"/>
    <w:rsid w:val="00471086"/>
    <w:rsid w:val="00471180"/>
    <w:rsid w:val="00471189"/>
    <w:rsid w:val="004711D7"/>
    <w:rsid w:val="00471400"/>
    <w:rsid w:val="0047140A"/>
    <w:rsid w:val="00471718"/>
    <w:rsid w:val="004718CA"/>
    <w:rsid w:val="004719F7"/>
    <w:rsid w:val="00471A36"/>
    <w:rsid w:val="00471A52"/>
    <w:rsid w:val="00471C59"/>
    <w:rsid w:val="00471C78"/>
    <w:rsid w:val="00471E5A"/>
    <w:rsid w:val="00471F93"/>
    <w:rsid w:val="00472159"/>
    <w:rsid w:val="004721C0"/>
    <w:rsid w:val="00472226"/>
    <w:rsid w:val="00472272"/>
    <w:rsid w:val="004724E6"/>
    <w:rsid w:val="00472623"/>
    <w:rsid w:val="00472665"/>
    <w:rsid w:val="00472709"/>
    <w:rsid w:val="00472716"/>
    <w:rsid w:val="00472729"/>
    <w:rsid w:val="004729A4"/>
    <w:rsid w:val="00472B23"/>
    <w:rsid w:val="00472BAA"/>
    <w:rsid w:val="00472CCB"/>
    <w:rsid w:val="00472CFE"/>
    <w:rsid w:val="00472D31"/>
    <w:rsid w:val="00472D3B"/>
    <w:rsid w:val="00472F90"/>
    <w:rsid w:val="00472F9D"/>
    <w:rsid w:val="00473059"/>
    <w:rsid w:val="00473189"/>
    <w:rsid w:val="00473192"/>
    <w:rsid w:val="00473267"/>
    <w:rsid w:val="00473298"/>
    <w:rsid w:val="0047354C"/>
    <w:rsid w:val="00473555"/>
    <w:rsid w:val="0047365B"/>
    <w:rsid w:val="00473804"/>
    <w:rsid w:val="00473847"/>
    <w:rsid w:val="00473A4A"/>
    <w:rsid w:val="00473C2A"/>
    <w:rsid w:val="00473C56"/>
    <w:rsid w:val="0047412D"/>
    <w:rsid w:val="00474273"/>
    <w:rsid w:val="004742F2"/>
    <w:rsid w:val="00474582"/>
    <w:rsid w:val="00474607"/>
    <w:rsid w:val="004746BE"/>
    <w:rsid w:val="0047470F"/>
    <w:rsid w:val="00474800"/>
    <w:rsid w:val="00474825"/>
    <w:rsid w:val="0047484F"/>
    <w:rsid w:val="00474873"/>
    <w:rsid w:val="00474987"/>
    <w:rsid w:val="00474BFB"/>
    <w:rsid w:val="00474C8E"/>
    <w:rsid w:val="00474CCC"/>
    <w:rsid w:val="00474FB6"/>
    <w:rsid w:val="0047511A"/>
    <w:rsid w:val="0047517F"/>
    <w:rsid w:val="004753C9"/>
    <w:rsid w:val="004753F6"/>
    <w:rsid w:val="004756B4"/>
    <w:rsid w:val="0047574A"/>
    <w:rsid w:val="00475772"/>
    <w:rsid w:val="0047588C"/>
    <w:rsid w:val="00475A51"/>
    <w:rsid w:val="00475ABE"/>
    <w:rsid w:val="00475B57"/>
    <w:rsid w:val="00475D54"/>
    <w:rsid w:val="00475DB0"/>
    <w:rsid w:val="00475E2C"/>
    <w:rsid w:val="00475F80"/>
    <w:rsid w:val="0047614D"/>
    <w:rsid w:val="00476353"/>
    <w:rsid w:val="004764AD"/>
    <w:rsid w:val="00476708"/>
    <w:rsid w:val="00476730"/>
    <w:rsid w:val="004769E2"/>
    <w:rsid w:val="00476CAB"/>
    <w:rsid w:val="00476E26"/>
    <w:rsid w:val="00477104"/>
    <w:rsid w:val="004771AC"/>
    <w:rsid w:val="00477303"/>
    <w:rsid w:val="004774A7"/>
    <w:rsid w:val="004774E9"/>
    <w:rsid w:val="004777DB"/>
    <w:rsid w:val="0047794E"/>
    <w:rsid w:val="004779AF"/>
    <w:rsid w:val="00477BEA"/>
    <w:rsid w:val="00477C8A"/>
    <w:rsid w:val="00477CD6"/>
    <w:rsid w:val="00477EDA"/>
    <w:rsid w:val="0048000B"/>
    <w:rsid w:val="004800B9"/>
    <w:rsid w:val="004800DE"/>
    <w:rsid w:val="004804B1"/>
    <w:rsid w:val="00480526"/>
    <w:rsid w:val="00480546"/>
    <w:rsid w:val="004805FA"/>
    <w:rsid w:val="004806F2"/>
    <w:rsid w:val="004809FB"/>
    <w:rsid w:val="00480B6E"/>
    <w:rsid w:val="00480DB0"/>
    <w:rsid w:val="00480DCF"/>
    <w:rsid w:val="00480E19"/>
    <w:rsid w:val="004810BB"/>
    <w:rsid w:val="00481164"/>
    <w:rsid w:val="004812BD"/>
    <w:rsid w:val="0048146C"/>
    <w:rsid w:val="0048152D"/>
    <w:rsid w:val="00481562"/>
    <w:rsid w:val="004816DE"/>
    <w:rsid w:val="00481911"/>
    <w:rsid w:val="0048199A"/>
    <w:rsid w:val="00481A53"/>
    <w:rsid w:val="00481B6D"/>
    <w:rsid w:val="00481CBA"/>
    <w:rsid w:val="00481DC9"/>
    <w:rsid w:val="00481F72"/>
    <w:rsid w:val="00482090"/>
    <w:rsid w:val="004820CB"/>
    <w:rsid w:val="0048221B"/>
    <w:rsid w:val="004822A7"/>
    <w:rsid w:val="0048278C"/>
    <w:rsid w:val="00482822"/>
    <w:rsid w:val="00482A32"/>
    <w:rsid w:val="00482CE6"/>
    <w:rsid w:val="00482E61"/>
    <w:rsid w:val="00482FAF"/>
    <w:rsid w:val="00482FCC"/>
    <w:rsid w:val="00483416"/>
    <w:rsid w:val="0048342F"/>
    <w:rsid w:val="00483514"/>
    <w:rsid w:val="00483620"/>
    <w:rsid w:val="004837CA"/>
    <w:rsid w:val="004838D7"/>
    <w:rsid w:val="00483908"/>
    <w:rsid w:val="00483A44"/>
    <w:rsid w:val="00483D7B"/>
    <w:rsid w:val="00483E50"/>
    <w:rsid w:val="00483EED"/>
    <w:rsid w:val="00483FB5"/>
    <w:rsid w:val="0048418D"/>
    <w:rsid w:val="004841A8"/>
    <w:rsid w:val="004841CC"/>
    <w:rsid w:val="0048420C"/>
    <w:rsid w:val="00484218"/>
    <w:rsid w:val="0048427B"/>
    <w:rsid w:val="0048439C"/>
    <w:rsid w:val="004843CD"/>
    <w:rsid w:val="0048461B"/>
    <w:rsid w:val="004846B2"/>
    <w:rsid w:val="004846BE"/>
    <w:rsid w:val="0048495E"/>
    <w:rsid w:val="00484B16"/>
    <w:rsid w:val="00484B50"/>
    <w:rsid w:val="00484E3B"/>
    <w:rsid w:val="00484F3B"/>
    <w:rsid w:val="00485001"/>
    <w:rsid w:val="0048506D"/>
    <w:rsid w:val="00485114"/>
    <w:rsid w:val="00485217"/>
    <w:rsid w:val="00485219"/>
    <w:rsid w:val="00485225"/>
    <w:rsid w:val="00485345"/>
    <w:rsid w:val="0048536B"/>
    <w:rsid w:val="00485630"/>
    <w:rsid w:val="00485784"/>
    <w:rsid w:val="00485B80"/>
    <w:rsid w:val="00485CA2"/>
    <w:rsid w:val="00485E62"/>
    <w:rsid w:val="00485E67"/>
    <w:rsid w:val="00485EC4"/>
    <w:rsid w:val="00486032"/>
    <w:rsid w:val="0048607D"/>
    <w:rsid w:val="004861E2"/>
    <w:rsid w:val="004862FE"/>
    <w:rsid w:val="00486340"/>
    <w:rsid w:val="00486346"/>
    <w:rsid w:val="004864A3"/>
    <w:rsid w:val="004864CC"/>
    <w:rsid w:val="0048657F"/>
    <w:rsid w:val="004867A6"/>
    <w:rsid w:val="004867D4"/>
    <w:rsid w:val="0048685B"/>
    <w:rsid w:val="00486918"/>
    <w:rsid w:val="00486BD6"/>
    <w:rsid w:val="00486C73"/>
    <w:rsid w:val="00486D52"/>
    <w:rsid w:val="00486F99"/>
    <w:rsid w:val="00486FCC"/>
    <w:rsid w:val="00487260"/>
    <w:rsid w:val="004873B8"/>
    <w:rsid w:val="00487483"/>
    <w:rsid w:val="00487487"/>
    <w:rsid w:val="0048749E"/>
    <w:rsid w:val="00487732"/>
    <w:rsid w:val="00487734"/>
    <w:rsid w:val="004877A0"/>
    <w:rsid w:val="004877BA"/>
    <w:rsid w:val="0048783C"/>
    <w:rsid w:val="00487911"/>
    <w:rsid w:val="00487A84"/>
    <w:rsid w:val="00487AA3"/>
    <w:rsid w:val="00487ABC"/>
    <w:rsid w:val="00487C7C"/>
    <w:rsid w:val="00487D36"/>
    <w:rsid w:val="00487FDC"/>
    <w:rsid w:val="00490087"/>
    <w:rsid w:val="0049008A"/>
    <w:rsid w:val="004901BF"/>
    <w:rsid w:val="004902D3"/>
    <w:rsid w:val="00490369"/>
    <w:rsid w:val="004904BB"/>
    <w:rsid w:val="00490639"/>
    <w:rsid w:val="00490677"/>
    <w:rsid w:val="004906F1"/>
    <w:rsid w:val="004907D0"/>
    <w:rsid w:val="004908D2"/>
    <w:rsid w:val="0049091A"/>
    <w:rsid w:val="00490BDD"/>
    <w:rsid w:val="00490D4C"/>
    <w:rsid w:val="00490F2B"/>
    <w:rsid w:val="00490FA4"/>
    <w:rsid w:val="0049106F"/>
    <w:rsid w:val="00491088"/>
    <w:rsid w:val="00491300"/>
    <w:rsid w:val="00491306"/>
    <w:rsid w:val="0049130F"/>
    <w:rsid w:val="0049134F"/>
    <w:rsid w:val="00491594"/>
    <w:rsid w:val="004915F6"/>
    <w:rsid w:val="0049187B"/>
    <w:rsid w:val="004918F2"/>
    <w:rsid w:val="00491A14"/>
    <w:rsid w:val="00491A49"/>
    <w:rsid w:val="00491A5A"/>
    <w:rsid w:val="00491AEC"/>
    <w:rsid w:val="00491B17"/>
    <w:rsid w:val="00491BE1"/>
    <w:rsid w:val="00491C8E"/>
    <w:rsid w:val="00491E24"/>
    <w:rsid w:val="00492388"/>
    <w:rsid w:val="004925C2"/>
    <w:rsid w:val="00492788"/>
    <w:rsid w:val="004929B5"/>
    <w:rsid w:val="004929EB"/>
    <w:rsid w:val="00492A26"/>
    <w:rsid w:val="00492BFE"/>
    <w:rsid w:val="00492C9D"/>
    <w:rsid w:val="00492D74"/>
    <w:rsid w:val="00492F42"/>
    <w:rsid w:val="004930CC"/>
    <w:rsid w:val="004930FE"/>
    <w:rsid w:val="004931DC"/>
    <w:rsid w:val="00493557"/>
    <w:rsid w:val="00493661"/>
    <w:rsid w:val="00493A03"/>
    <w:rsid w:val="00493B8E"/>
    <w:rsid w:val="00493BFB"/>
    <w:rsid w:val="00493D56"/>
    <w:rsid w:val="00493DC1"/>
    <w:rsid w:val="00494151"/>
    <w:rsid w:val="00494152"/>
    <w:rsid w:val="004941C3"/>
    <w:rsid w:val="00494204"/>
    <w:rsid w:val="0049425B"/>
    <w:rsid w:val="004942F4"/>
    <w:rsid w:val="0049459D"/>
    <w:rsid w:val="004946D0"/>
    <w:rsid w:val="004947A4"/>
    <w:rsid w:val="004947DE"/>
    <w:rsid w:val="00494A1F"/>
    <w:rsid w:val="00494B4D"/>
    <w:rsid w:val="00494C87"/>
    <w:rsid w:val="00494D0A"/>
    <w:rsid w:val="00494D3B"/>
    <w:rsid w:val="00494DA6"/>
    <w:rsid w:val="00494EC4"/>
    <w:rsid w:val="00495062"/>
    <w:rsid w:val="004954B0"/>
    <w:rsid w:val="00495574"/>
    <w:rsid w:val="00495594"/>
    <w:rsid w:val="0049571D"/>
    <w:rsid w:val="00495A55"/>
    <w:rsid w:val="00495A9B"/>
    <w:rsid w:val="00495ADE"/>
    <w:rsid w:val="00495BF1"/>
    <w:rsid w:val="00495DC7"/>
    <w:rsid w:val="00495EC2"/>
    <w:rsid w:val="0049602B"/>
    <w:rsid w:val="0049612D"/>
    <w:rsid w:val="004961FF"/>
    <w:rsid w:val="0049625A"/>
    <w:rsid w:val="0049632A"/>
    <w:rsid w:val="00496680"/>
    <w:rsid w:val="00496889"/>
    <w:rsid w:val="0049691B"/>
    <w:rsid w:val="00496994"/>
    <w:rsid w:val="004969F4"/>
    <w:rsid w:val="00496A0F"/>
    <w:rsid w:val="00496BBC"/>
    <w:rsid w:val="00496C2F"/>
    <w:rsid w:val="00496C67"/>
    <w:rsid w:val="00496D71"/>
    <w:rsid w:val="004970DF"/>
    <w:rsid w:val="0049763F"/>
    <w:rsid w:val="00497641"/>
    <w:rsid w:val="004976B5"/>
    <w:rsid w:val="004977A2"/>
    <w:rsid w:val="004978EC"/>
    <w:rsid w:val="00497A5E"/>
    <w:rsid w:val="00497AE5"/>
    <w:rsid w:val="00497B56"/>
    <w:rsid w:val="00497C1B"/>
    <w:rsid w:val="00497C49"/>
    <w:rsid w:val="00497E41"/>
    <w:rsid w:val="00497F41"/>
    <w:rsid w:val="004A007C"/>
    <w:rsid w:val="004A0089"/>
    <w:rsid w:val="004A03A2"/>
    <w:rsid w:val="004A03DC"/>
    <w:rsid w:val="004A055B"/>
    <w:rsid w:val="004A0569"/>
    <w:rsid w:val="004A062E"/>
    <w:rsid w:val="004A06CD"/>
    <w:rsid w:val="004A0912"/>
    <w:rsid w:val="004A0A8F"/>
    <w:rsid w:val="004A0AD1"/>
    <w:rsid w:val="004A0B66"/>
    <w:rsid w:val="004A0BFF"/>
    <w:rsid w:val="004A0D76"/>
    <w:rsid w:val="004A0DD9"/>
    <w:rsid w:val="004A0E2B"/>
    <w:rsid w:val="004A0E68"/>
    <w:rsid w:val="004A0F31"/>
    <w:rsid w:val="004A0F6D"/>
    <w:rsid w:val="004A0F79"/>
    <w:rsid w:val="004A13DF"/>
    <w:rsid w:val="004A1404"/>
    <w:rsid w:val="004A1859"/>
    <w:rsid w:val="004A18C8"/>
    <w:rsid w:val="004A1ADF"/>
    <w:rsid w:val="004A1B45"/>
    <w:rsid w:val="004A1C06"/>
    <w:rsid w:val="004A1CAE"/>
    <w:rsid w:val="004A1CD3"/>
    <w:rsid w:val="004A1D53"/>
    <w:rsid w:val="004A1E50"/>
    <w:rsid w:val="004A1FCD"/>
    <w:rsid w:val="004A205A"/>
    <w:rsid w:val="004A2195"/>
    <w:rsid w:val="004A21F1"/>
    <w:rsid w:val="004A2218"/>
    <w:rsid w:val="004A24D3"/>
    <w:rsid w:val="004A27F8"/>
    <w:rsid w:val="004A2AFD"/>
    <w:rsid w:val="004A2DFD"/>
    <w:rsid w:val="004A2F6B"/>
    <w:rsid w:val="004A3011"/>
    <w:rsid w:val="004A31E0"/>
    <w:rsid w:val="004A329C"/>
    <w:rsid w:val="004A3303"/>
    <w:rsid w:val="004A345E"/>
    <w:rsid w:val="004A356E"/>
    <w:rsid w:val="004A357E"/>
    <w:rsid w:val="004A35EB"/>
    <w:rsid w:val="004A3620"/>
    <w:rsid w:val="004A3744"/>
    <w:rsid w:val="004A3772"/>
    <w:rsid w:val="004A37E9"/>
    <w:rsid w:val="004A3B17"/>
    <w:rsid w:val="004A3CF0"/>
    <w:rsid w:val="004A4309"/>
    <w:rsid w:val="004A439B"/>
    <w:rsid w:val="004A45CA"/>
    <w:rsid w:val="004A45E2"/>
    <w:rsid w:val="004A4823"/>
    <w:rsid w:val="004A488E"/>
    <w:rsid w:val="004A4890"/>
    <w:rsid w:val="004A48C9"/>
    <w:rsid w:val="004A48D7"/>
    <w:rsid w:val="004A49B7"/>
    <w:rsid w:val="004A4ACE"/>
    <w:rsid w:val="004A4B6F"/>
    <w:rsid w:val="004A4B92"/>
    <w:rsid w:val="004A4CF9"/>
    <w:rsid w:val="004A4DDE"/>
    <w:rsid w:val="004A4EC1"/>
    <w:rsid w:val="004A4FC5"/>
    <w:rsid w:val="004A501F"/>
    <w:rsid w:val="004A519E"/>
    <w:rsid w:val="004A51DB"/>
    <w:rsid w:val="004A52F4"/>
    <w:rsid w:val="004A57A4"/>
    <w:rsid w:val="004A59B0"/>
    <w:rsid w:val="004A59F0"/>
    <w:rsid w:val="004A5DB9"/>
    <w:rsid w:val="004A5DC9"/>
    <w:rsid w:val="004A5E78"/>
    <w:rsid w:val="004A5FD3"/>
    <w:rsid w:val="004A60AD"/>
    <w:rsid w:val="004A61F5"/>
    <w:rsid w:val="004A6259"/>
    <w:rsid w:val="004A62AA"/>
    <w:rsid w:val="004A64D2"/>
    <w:rsid w:val="004A6551"/>
    <w:rsid w:val="004A66DE"/>
    <w:rsid w:val="004A66F5"/>
    <w:rsid w:val="004A6922"/>
    <w:rsid w:val="004A6928"/>
    <w:rsid w:val="004A6938"/>
    <w:rsid w:val="004A6A58"/>
    <w:rsid w:val="004A6AA2"/>
    <w:rsid w:val="004A6BF5"/>
    <w:rsid w:val="004A6C8A"/>
    <w:rsid w:val="004A6DFC"/>
    <w:rsid w:val="004A6E38"/>
    <w:rsid w:val="004A6F82"/>
    <w:rsid w:val="004A7085"/>
    <w:rsid w:val="004A7166"/>
    <w:rsid w:val="004A71D5"/>
    <w:rsid w:val="004A743F"/>
    <w:rsid w:val="004A7532"/>
    <w:rsid w:val="004A7599"/>
    <w:rsid w:val="004A78E6"/>
    <w:rsid w:val="004A7A22"/>
    <w:rsid w:val="004A7C05"/>
    <w:rsid w:val="004A7EBD"/>
    <w:rsid w:val="004A7FBA"/>
    <w:rsid w:val="004B00B3"/>
    <w:rsid w:val="004B0248"/>
    <w:rsid w:val="004B04BD"/>
    <w:rsid w:val="004B064A"/>
    <w:rsid w:val="004B07EA"/>
    <w:rsid w:val="004B09D3"/>
    <w:rsid w:val="004B0A97"/>
    <w:rsid w:val="004B0C77"/>
    <w:rsid w:val="004B0F2C"/>
    <w:rsid w:val="004B0F3B"/>
    <w:rsid w:val="004B0F4A"/>
    <w:rsid w:val="004B1096"/>
    <w:rsid w:val="004B144D"/>
    <w:rsid w:val="004B147B"/>
    <w:rsid w:val="004B1869"/>
    <w:rsid w:val="004B187B"/>
    <w:rsid w:val="004B18E9"/>
    <w:rsid w:val="004B18FC"/>
    <w:rsid w:val="004B1908"/>
    <w:rsid w:val="004B19C7"/>
    <w:rsid w:val="004B1A64"/>
    <w:rsid w:val="004B1ABC"/>
    <w:rsid w:val="004B1ABF"/>
    <w:rsid w:val="004B1B14"/>
    <w:rsid w:val="004B1BD9"/>
    <w:rsid w:val="004B1C31"/>
    <w:rsid w:val="004B1CCE"/>
    <w:rsid w:val="004B1D6A"/>
    <w:rsid w:val="004B1D8E"/>
    <w:rsid w:val="004B1E3D"/>
    <w:rsid w:val="004B2405"/>
    <w:rsid w:val="004B26A5"/>
    <w:rsid w:val="004B280D"/>
    <w:rsid w:val="004B2AE2"/>
    <w:rsid w:val="004B2D16"/>
    <w:rsid w:val="004B2D9A"/>
    <w:rsid w:val="004B2F5F"/>
    <w:rsid w:val="004B2F68"/>
    <w:rsid w:val="004B2F8E"/>
    <w:rsid w:val="004B2F91"/>
    <w:rsid w:val="004B2FC1"/>
    <w:rsid w:val="004B3000"/>
    <w:rsid w:val="004B3011"/>
    <w:rsid w:val="004B3178"/>
    <w:rsid w:val="004B3229"/>
    <w:rsid w:val="004B3233"/>
    <w:rsid w:val="004B328B"/>
    <w:rsid w:val="004B32F3"/>
    <w:rsid w:val="004B3433"/>
    <w:rsid w:val="004B3442"/>
    <w:rsid w:val="004B3521"/>
    <w:rsid w:val="004B3804"/>
    <w:rsid w:val="004B38B7"/>
    <w:rsid w:val="004B3BE8"/>
    <w:rsid w:val="004B3E2D"/>
    <w:rsid w:val="004B3E77"/>
    <w:rsid w:val="004B3F90"/>
    <w:rsid w:val="004B4036"/>
    <w:rsid w:val="004B4167"/>
    <w:rsid w:val="004B42BF"/>
    <w:rsid w:val="004B42CD"/>
    <w:rsid w:val="004B42CE"/>
    <w:rsid w:val="004B42E2"/>
    <w:rsid w:val="004B42E3"/>
    <w:rsid w:val="004B42E8"/>
    <w:rsid w:val="004B4400"/>
    <w:rsid w:val="004B4553"/>
    <w:rsid w:val="004B4706"/>
    <w:rsid w:val="004B4B0B"/>
    <w:rsid w:val="004B4C43"/>
    <w:rsid w:val="004B4D33"/>
    <w:rsid w:val="004B4D95"/>
    <w:rsid w:val="004B4DD2"/>
    <w:rsid w:val="004B4EAA"/>
    <w:rsid w:val="004B4FF9"/>
    <w:rsid w:val="004B507C"/>
    <w:rsid w:val="004B50B4"/>
    <w:rsid w:val="004B5112"/>
    <w:rsid w:val="004B5205"/>
    <w:rsid w:val="004B52D4"/>
    <w:rsid w:val="004B5409"/>
    <w:rsid w:val="004B54A4"/>
    <w:rsid w:val="004B5766"/>
    <w:rsid w:val="004B5859"/>
    <w:rsid w:val="004B5906"/>
    <w:rsid w:val="004B5A7E"/>
    <w:rsid w:val="004B5BFF"/>
    <w:rsid w:val="004B5D0C"/>
    <w:rsid w:val="004B5E68"/>
    <w:rsid w:val="004B61AC"/>
    <w:rsid w:val="004B629B"/>
    <w:rsid w:val="004B62BF"/>
    <w:rsid w:val="004B63BE"/>
    <w:rsid w:val="004B67B4"/>
    <w:rsid w:val="004B67EA"/>
    <w:rsid w:val="004B68D2"/>
    <w:rsid w:val="004B6B4F"/>
    <w:rsid w:val="004B6BF8"/>
    <w:rsid w:val="004B6C44"/>
    <w:rsid w:val="004B6CC6"/>
    <w:rsid w:val="004B6CE1"/>
    <w:rsid w:val="004B6D59"/>
    <w:rsid w:val="004B6D9E"/>
    <w:rsid w:val="004B6ECA"/>
    <w:rsid w:val="004B70A2"/>
    <w:rsid w:val="004B7121"/>
    <w:rsid w:val="004B73BA"/>
    <w:rsid w:val="004B746F"/>
    <w:rsid w:val="004B7513"/>
    <w:rsid w:val="004B761E"/>
    <w:rsid w:val="004B76B0"/>
    <w:rsid w:val="004B7720"/>
    <w:rsid w:val="004B773E"/>
    <w:rsid w:val="004B78CB"/>
    <w:rsid w:val="004B7909"/>
    <w:rsid w:val="004B7B6B"/>
    <w:rsid w:val="004B7C52"/>
    <w:rsid w:val="004B7CE4"/>
    <w:rsid w:val="004B7F51"/>
    <w:rsid w:val="004C0446"/>
    <w:rsid w:val="004C0899"/>
    <w:rsid w:val="004C08AC"/>
    <w:rsid w:val="004C099C"/>
    <w:rsid w:val="004C09FC"/>
    <w:rsid w:val="004C0A4D"/>
    <w:rsid w:val="004C10EA"/>
    <w:rsid w:val="004C11DF"/>
    <w:rsid w:val="004C1439"/>
    <w:rsid w:val="004C14C9"/>
    <w:rsid w:val="004C173A"/>
    <w:rsid w:val="004C1837"/>
    <w:rsid w:val="004C18DD"/>
    <w:rsid w:val="004C1BF2"/>
    <w:rsid w:val="004C1CCD"/>
    <w:rsid w:val="004C1CFF"/>
    <w:rsid w:val="004C2251"/>
    <w:rsid w:val="004C2287"/>
    <w:rsid w:val="004C27DA"/>
    <w:rsid w:val="004C2897"/>
    <w:rsid w:val="004C29F3"/>
    <w:rsid w:val="004C29FA"/>
    <w:rsid w:val="004C2C36"/>
    <w:rsid w:val="004C2D20"/>
    <w:rsid w:val="004C2D53"/>
    <w:rsid w:val="004C2EA8"/>
    <w:rsid w:val="004C2ED2"/>
    <w:rsid w:val="004C363D"/>
    <w:rsid w:val="004C3713"/>
    <w:rsid w:val="004C3769"/>
    <w:rsid w:val="004C3780"/>
    <w:rsid w:val="004C3BA5"/>
    <w:rsid w:val="004C3DC1"/>
    <w:rsid w:val="004C3F24"/>
    <w:rsid w:val="004C3F4E"/>
    <w:rsid w:val="004C4184"/>
    <w:rsid w:val="004C4295"/>
    <w:rsid w:val="004C42C6"/>
    <w:rsid w:val="004C43EB"/>
    <w:rsid w:val="004C4705"/>
    <w:rsid w:val="004C4A40"/>
    <w:rsid w:val="004C4B4A"/>
    <w:rsid w:val="004C4B90"/>
    <w:rsid w:val="004C4DD1"/>
    <w:rsid w:val="004C505B"/>
    <w:rsid w:val="004C5213"/>
    <w:rsid w:val="004C5429"/>
    <w:rsid w:val="004C5772"/>
    <w:rsid w:val="004C5840"/>
    <w:rsid w:val="004C58AF"/>
    <w:rsid w:val="004C595D"/>
    <w:rsid w:val="004C5B02"/>
    <w:rsid w:val="004C5B91"/>
    <w:rsid w:val="004C5C4E"/>
    <w:rsid w:val="004C5C7A"/>
    <w:rsid w:val="004C5CA7"/>
    <w:rsid w:val="004C5FB5"/>
    <w:rsid w:val="004C6190"/>
    <w:rsid w:val="004C61EA"/>
    <w:rsid w:val="004C63B5"/>
    <w:rsid w:val="004C644B"/>
    <w:rsid w:val="004C67B2"/>
    <w:rsid w:val="004C6837"/>
    <w:rsid w:val="004C6974"/>
    <w:rsid w:val="004C6B42"/>
    <w:rsid w:val="004C6CDE"/>
    <w:rsid w:val="004C6D69"/>
    <w:rsid w:val="004C6F22"/>
    <w:rsid w:val="004C72D4"/>
    <w:rsid w:val="004C7357"/>
    <w:rsid w:val="004C73AD"/>
    <w:rsid w:val="004C74BD"/>
    <w:rsid w:val="004C7790"/>
    <w:rsid w:val="004C782B"/>
    <w:rsid w:val="004C787D"/>
    <w:rsid w:val="004C78A4"/>
    <w:rsid w:val="004C7999"/>
    <w:rsid w:val="004C7AFC"/>
    <w:rsid w:val="004C7B38"/>
    <w:rsid w:val="004C7D65"/>
    <w:rsid w:val="004C7EA1"/>
    <w:rsid w:val="004C7F12"/>
    <w:rsid w:val="004D014D"/>
    <w:rsid w:val="004D019E"/>
    <w:rsid w:val="004D02D6"/>
    <w:rsid w:val="004D031A"/>
    <w:rsid w:val="004D0584"/>
    <w:rsid w:val="004D06A8"/>
    <w:rsid w:val="004D06E7"/>
    <w:rsid w:val="004D0709"/>
    <w:rsid w:val="004D08C4"/>
    <w:rsid w:val="004D08F5"/>
    <w:rsid w:val="004D0987"/>
    <w:rsid w:val="004D0A56"/>
    <w:rsid w:val="004D0AF1"/>
    <w:rsid w:val="004D0BE8"/>
    <w:rsid w:val="004D0D02"/>
    <w:rsid w:val="004D0D32"/>
    <w:rsid w:val="004D0E4B"/>
    <w:rsid w:val="004D11B1"/>
    <w:rsid w:val="004D1206"/>
    <w:rsid w:val="004D1351"/>
    <w:rsid w:val="004D1364"/>
    <w:rsid w:val="004D1407"/>
    <w:rsid w:val="004D14B3"/>
    <w:rsid w:val="004D14DA"/>
    <w:rsid w:val="004D162F"/>
    <w:rsid w:val="004D179A"/>
    <w:rsid w:val="004D1995"/>
    <w:rsid w:val="004D199A"/>
    <w:rsid w:val="004D1B6C"/>
    <w:rsid w:val="004D1BA7"/>
    <w:rsid w:val="004D1BDE"/>
    <w:rsid w:val="004D1E86"/>
    <w:rsid w:val="004D1E94"/>
    <w:rsid w:val="004D1EDB"/>
    <w:rsid w:val="004D1EDE"/>
    <w:rsid w:val="004D201A"/>
    <w:rsid w:val="004D2034"/>
    <w:rsid w:val="004D2193"/>
    <w:rsid w:val="004D21B5"/>
    <w:rsid w:val="004D2282"/>
    <w:rsid w:val="004D2290"/>
    <w:rsid w:val="004D2304"/>
    <w:rsid w:val="004D2353"/>
    <w:rsid w:val="004D2533"/>
    <w:rsid w:val="004D258B"/>
    <w:rsid w:val="004D25A2"/>
    <w:rsid w:val="004D2667"/>
    <w:rsid w:val="004D2713"/>
    <w:rsid w:val="004D28DB"/>
    <w:rsid w:val="004D2965"/>
    <w:rsid w:val="004D2CED"/>
    <w:rsid w:val="004D2D74"/>
    <w:rsid w:val="004D2DC8"/>
    <w:rsid w:val="004D2EE4"/>
    <w:rsid w:val="004D2F09"/>
    <w:rsid w:val="004D303C"/>
    <w:rsid w:val="004D3073"/>
    <w:rsid w:val="004D3262"/>
    <w:rsid w:val="004D3299"/>
    <w:rsid w:val="004D32A8"/>
    <w:rsid w:val="004D33E1"/>
    <w:rsid w:val="004D3436"/>
    <w:rsid w:val="004D3542"/>
    <w:rsid w:val="004D35CC"/>
    <w:rsid w:val="004D393B"/>
    <w:rsid w:val="004D3946"/>
    <w:rsid w:val="004D3962"/>
    <w:rsid w:val="004D3A10"/>
    <w:rsid w:val="004D3A30"/>
    <w:rsid w:val="004D3B2E"/>
    <w:rsid w:val="004D3BB8"/>
    <w:rsid w:val="004D3E0F"/>
    <w:rsid w:val="004D3F15"/>
    <w:rsid w:val="004D3FCA"/>
    <w:rsid w:val="004D4066"/>
    <w:rsid w:val="004D40C4"/>
    <w:rsid w:val="004D4145"/>
    <w:rsid w:val="004D4167"/>
    <w:rsid w:val="004D4283"/>
    <w:rsid w:val="004D4377"/>
    <w:rsid w:val="004D473B"/>
    <w:rsid w:val="004D4983"/>
    <w:rsid w:val="004D4DB3"/>
    <w:rsid w:val="004D4E93"/>
    <w:rsid w:val="004D511C"/>
    <w:rsid w:val="004D53A3"/>
    <w:rsid w:val="004D55B6"/>
    <w:rsid w:val="004D58BF"/>
    <w:rsid w:val="004D5CD6"/>
    <w:rsid w:val="004D5D32"/>
    <w:rsid w:val="004D5DC8"/>
    <w:rsid w:val="004D5DFC"/>
    <w:rsid w:val="004D5EAC"/>
    <w:rsid w:val="004D5F48"/>
    <w:rsid w:val="004D5FAF"/>
    <w:rsid w:val="004D6025"/>
    <w:rsid w:val="004D6026"/>
    <w:rsid w:val="004D6137"/>
    <w:rsid w:val="004D63B2"/>
    <w:rsid w:val="004D64AB"/>
    <w:rsid w:val="004D681C"/>
    <w:rsid w:val="004D687D"/>
    <w:rsid w:val="004D68CC"/>
    <w:rsid w:val="004D691A"/>
    <w:rsid w:val="004D6977"/>
    <w:rsid w:val="004D69A8"/>
    <w:rsid w:val="004D6A25"/>
    <w:rsid w:val="004D6AAB"/>
    <w:rsid w:val="004D6C8B"/>
    <w:rsid w:val="004D6CA2"/>
    <w:rsid w:val="004D6F20"/>
    <w:rsid w:val="004D6F4A"/>
    <w:rsid w:val="004D70B9"/>
    <w:rsid w:val="004D7121"/>
    <w:rsid w:val="004D725B"/>
    <w:rsid w:val="004D73A8"/>
    <w:rsid w:val="004D770B"/>
    <w:rsid w:val="004D7A03"/>
    <w:rsid w:val="004D7A53"/>
    <w:rsid w:val="004D7AE9"/>
    <w:rsid w:val="004D7B1C"/>
    <w:rsid w:val="004D7C63"/>
    <w:rsid w:val="004D7CA8"/>
    <w:rsid w:val="004D7CF7"/>
    <w:rsid w:val="004D7E39"/>
    <w:rsid w:val="004D7F6F"/>
    <w:rsid w:val="004E008A"/>
    <w:rsid w:val="004E021F"/>
    <w:rsid w:val="004E0537"/>
    <w:rsid w:val="004E0613"/>
    <w:rsid w:val="004E0673"/>
    <w:rsid w:val="004E06F3"/>
    <w:rsid w:val="004E094C"/>
    <w:rsid w:val="004E0B41"/>
    <w:rsid w:val="004E0B7B"/>
    <w:rsid w:val="004E0F7A"/>
    <w:rsid w:val="004E10F7"/>
    <w:rsid w:val="004E114A"/>
    <w:rsid w:val="004E114C"/>
    <w:rsid w:val="004E1221"/>
    <w:rsid w:val="004E13CF"/>
    <w:rsid w:val="004E13D5"/>
    <w:rsid w:val="004E165D"/>
    <w:rsid w:val="004E1716"/>
    <w:rsid w:val="004E181C"/>
    <w:rsid w:val="004E1912"/>
    <w:rsid w:val="004E19B8"/>
    <w:rsid w:val="004E19DD"/>
    <w:rsid w:val="004E1A57"/>
    <w:rsid w:val="004E1B9E"/>
    <w:rsid w:val="004E1E9E"/>
    <w:rsid w:val="004E1EBF"/>
    <w:rsid w:val="004E209E"/>
    <w:rsid w:val="004E2258"/>
    <w:rsid w:val="004E22B3"/>
    <w:rsid w:val="004E22CB"/>
    <w:rsid w:val="004E2302"/>
    <w:rsid w:val="004E23C7"/>
    <w:rsid w:val="004E258D"/>
    <w:rsid w:val="004E27DD"/>
    <w:rsid w:val="004E28CA"/>
    <w:rsid w:val="004E2A7E"/>
    <w:rsid w:val="004E2B02"/>
    <w:rsid w:val="004E2B96"/>
    <w:rsid w:val="004E2BA4"/>
    <w:rsid w:val="004E2BED"/>
    <w:rsid w:val="004E2F86"/>
    <w:rsid w:val="004E30C9"/>
    <w:rsid w:val="004E31D4"/>
    <w:rsid w:val="004E3246"/>
    <w:rsid w:val="004E33ED"/>
    <w:rsid w:val="004E3434"/>
    <w:rsid w:val="004E3652"/>
    <w:rsid w:val="004E37F3"/>
    <w:rsid w:val="004E38ED"/>
    <w:rsid w:val="004E396A"/>
    <w:rsid w:val="004E3A0C"/>
    <w:rsid w:val="004E3B1E"/>
    <w:rsid w:val="004E3C52"/>
    <w:rsid w:val="004E4024"/>
    <w:rsid w:val="004E41FF"/>
    <w:rsid w:val="004E4384"/>
    <w:rsid w:val="004E4464"/>
    <w:rsid w:val="004E45AC"/>
    <w:rsid w:val="004E46B0"/>
    <w:rsid w:val="004E4707"/>
    <w:rsid w:val="004E4867"/>
    <w:rsid w:val="004E4A46"/>
    <w:rsid w:val="004E4A86"/>
    <w:rsid w:val="004E4B04"/>
    <w:rsid w:val="004E4EDD"/>
    <w:rsid w:val="004E4FBA"/>
    <w:rsid w:val="004E4FD1"/>
    <w:rsid w:val="004E4FDF"/>
    <w:rsid w:val="004E5073"/>
    <w:rsid w:val="004E50D5"/>
    <w:rsid w:val="004E512F"/>
    <w:rsid w:val="004E52F1"/>
    <w:rsid w:val="004E531E"/>
    <w:rsid w:val="004E5482"/>
    <w:rsid w:val="004E56AF"/>
    <w:rsid w:val="004E5706"/>
    <w:rsid w:val="004E576A"/>
    <w:rsid w:val="004E576D"/>
    <w:rsid w:val="004E57CE"/>
    <w:rsid w:val="004E5974"/>
    <w:rsid w:val="004E5B00"/>
    <w:rsid w:val="004E5B78"/>
    <w:rsid w:val="004E5BB2"/>
    <w:rsid w:val="004E5DA7"/>
    <w:rsid w:val="004E5F7E"/>
    <w:rsid w:val="004E604B"/>
    <w:rsid w:val="004E6162"/>
    <w:rsid w:val="004E6169"/>
    <w:rsid w:val="004E629D"/>
    <w:rsid w:val="004E62CE"/>
    <w:rsid w:val="004E6863"/>
    <w:rsid w:val="004E687B"/>
    <w:rsid w:val="004E68F7"/>
    <w:rsid w:val="004E691F"/>
    <w:rsid w:val="004E69BE"/>
    <w:rsid w:val="004E69DC"/>
    <w:rsid w:val="004E6A75"/>
    <w:rsid w:val="004E6AC6"/>
    <w:rsid w:val="004E6E8B"/>
    <w:rsid w:val="004E6ED9"/>
    <w:rsid w:val="004E7029"/>
    <w:rsid w:val="004E70B5"/>
    <w:rsid w:val="004E70C5"/>
    <w:rsid w:val="004E7123"/>
    <w:rsid w:val="004E7241"/>
    <w:rsid w:val="004E7282"/>
    <w:rsid w:val="004E738C"/>
    <w:rsid w:val="004E7555"/>
    <w:rsid w:val="004E76E3"/>
    <w:rsid w:val="004E76E6"/>
    <w:rsid w:val="004E76F2"/>
    <w:rsid w:val="004E7854"/>
    <w:rsid w:val="004E7A22"/>
    <w:rsid w:val="004E7BD4"/>
    <w:rsid w:val="004E7CA4"/>
    <w:rsid w:val="004E7D07"/>
    <w:rsid w:val="004E7E8F"/>
    <w:rsid w:val="004E7FCB"/>
    <w:rsid w:val="004F00B8"/>
    <w:rsid w:val="004F038A"/>
    <w:rsid w:val="004F0484"/>
    <w:rsid w:val="004F0536"/>
    <w:rsid w:val="004F0669"/>
    <w:rsid w:val="004F074A"/>
    <w:rsid w:val="004F0787"/>
    <w:rsid w:val="004F07C2"/>
    <w:rsid w:val="004F0825"/>
    <w:rsid w:val="004F0900"/>
    <w:rsid w:val="004F0ACA"/>
    <w:rsid w:val="004F0BCD"/>
    <w:rsid w:val="004F0CCB"/>
    <w:rsid w:val="004F0CD1"/>
    <w:rsid w:val="004F0D26"/>
    <w:rsid w:val="004F0DBB"/>
    <w:rsid w:val="004F0E56"/>
    <w:rsid w:val="004F0E8D"/>
    <w:rsid w:val="004F10F1"/>
    <w:rsid w:val="004F13BA"/>
    <w:rsid w:val="004F147E"/>
    <w:rsid w:val="004F14CF"/>
    <w:rsid w:val="004F1624"/>
    <w:rsid w:val="004F173C"/>
    <w:rsid w:val="004F18B1"/>
    <w:rsid w:val="004F18F5"/>
    <w:rsid w:val="004F195C"/>
    <w:rsid w:val="004F1D9A"/>
    <w:rsid w:val="004F1E28"/>
    <w:rsid w:val="004F1F21"/>
    <w:rsid w:val="004F1F48"/>
    <w:rsid w:val="004F2137"/>
    <w:rsid w:val="004F231F"/>
    <w:rsid w:val="004F24C1"/>
    <w:rsid w:val="004F26B3"/>
    <w:rsid w:val="004F28DC"/>
    <w:rsid w:val="004F2B8B"/>
    <w:rsid w:val="004F2E47"/>
    <w:rsid w:val="004F2E68"/>
    <w:rsid w:val="004F308B"/>
    <w:rsid w:val="004F3291"/>
    <w:rsid w:val="004F3355"/>
    <w:rsid w:val="004F34D6"/>
    <w:rsid w:val="004F38C1"/>
    <w:rsid w:val="004F3A45"/>
    <w:rsid w:val="004F3B4F"/>
    <w:rsid w:val="004F3BD4"/>
    <w:rsid w:val="004F3E2D"/>
    <w:rsid w:val="004F3F75"/>
    <w:rsid w:val="004F3FA8"/>
    <w:rsid w:val="004F3FBC"/>
    <w:rsid w:val="004F43FD"/>
    <w:rsid w:val="004F47FE"/>
    <w:rsid w:val="004F4BFA"/>
    <w:rsid w:val="004F4C68"/>
    <w:rsid w:val="004F506E"/>
    <w:rsid w:val="004F51BF"/>
    <w:rsid w:val="004F52D7"/>
    <w:rsid w:val="004F53AC"/>
    <w:rsid w:val="004F53B3"/>
    <w:rsid w:val="004F5505"/>
    <w:rsid w:val="004F55EC"/>
    <w:rsid w:val="004F570D"/>
    <w:rsid w:val="004F5734"/>
    <w:rsid w:val="004F57C0"/>
    <w:rsid w:val="004F59D7"/>
    <w:rsid w:val="004F5AD8"/>
    <w:rsid w:val="004F5B41"/>
    <w:rsid w:val="004F5F28"/>
    <w:rsid w:val="004F5FDB"/>
    <w:rsid w:val="004F60A9"/>
    <w:rsid w:val="004F641D"/>
    <w:rsid w:val="004F645B"/>
    <w:rsid w:val="004F64BE"/>
    <w:rsid w:val="004F671D"/>
    <w:rsid w:val="004F674A"/>
    <w:rsid w:val="004F6C1F"/>
    <w:rsid w:val="004F6F20"/>
    <w:rsid w:val="004F6FFF"/>
    <w:rsid w:val="004F7084"/>
    <w:rsid w:val="004F7124"/>
    <w:rsid w:val="004F721B"/>
    <w:rsid w:val="004F73A5"/>
    <w:rsid w:val="004F741D"/>
    <w:rsid w:val="004F7593"/>
    <w:rsid w:val="004F75C1"/>
    <w:rsid w:val="004F7610"/>
    <w:rsid w:val="004F7714"/>
    <w:rsid w:val="004F77CD"/>
    <w:rsid w:val="004F79AE"/>
    <w:rsid w:val="004F7A88"/>
    <w:rsid w:val="004F7AA6"/>
    <w:rsid w:val="004F7ACD"/>
    <w:rsid w:val="004F7B32"/>
    <w:rsid w:val="0050007D"/>
    <w:rsid w:val="00500178"/>
    <w:rsid w:val="00500259"/>
    <w:rsid w:val="00500269"/>
    <w:rsid w:val="00500281"/>
    <w:rsid w:val="0050035D"/>
    <w:rsid w:val="00500398"/>
    <w:rsid w:val="005005C9"/>
    <w:rsid w:val="00500656"/>
    <w:rsid w:val="0050076F"/>
    <w:rsid w:val="005009DD"/>
    <w:rsid w:val="005009F6"/>
    <w:rsid w:val="00500A06"/>
    <w:rsid w:val="00500A1F"/>
    <w:rsid w:val="00500CAA"/>
    <w:rsid w:val="00500D61"/>
    <w:rsid w:val="00500E02"/>
    <w:rsid w:val="00500E83"/>
    <w:rsid w:val="00500F28"/>
    <w:rsid w:val="00501157"/>
    <w:rsid w:val="0050129E"/>
    <w:rsid w:val="005012B6"/>
    <w:rsid w:val="0050133A"/>
    <w:rsid w:val="0050145B"/>
    <w:rsid w:val="0050149F"/>
    <w:rsid w:val="0050158B"/>
    <w:rsid w:val="0050162C"/>
    <w:rsid w:val="0050165A"/>
    <w:rsid w:val="005016A9"/>
    <w:rsid w:val="005016C5"/>
    <w:rsid w:val="005016ED"/>
    <w:rsid w:val="005017F1"/>
    <w:rsid w:val="00501B85"/>
    <w:rsid w:val="00501C5B"/>
    <w:rsid w:val="00501CE3"/>
    <w:rsid w:val="005024DE"/>
    <w:rsid w:val="0050262C"/>
    <w:rsid w:val="005027D2"/>
    <w:rsid w:val="005029F4"/>
    <w:rsid w:val="00502AFC"/>
    <w:rsid w:val="00502CF2"/>
    <w:rsid w:val="00502D0E"/>
    <w:rsid w:val="00502D39"/>
    <w:rsid w:val="00502EFB"/>
    <w:rsid w:val="005030A0"/>
    <w:rsid w:val="005030AA"/>
    <w:rsid w:val="00503299"/>
    <w:rsid w:val="005035A4"/>
    <w:rsid w:val="00503802"/>
    <w:rsid w:val="0050384F"/>
    <w:rsid w:val="00503896"/>
    <w:rsid w:val="0050395B"/>
    <w:rsid w:val="00503ACB"/>
    <w:rsid w:val="00503C37"/>
    <w:rsid w:val="00503D3C"/>
    <w:rsid w:val="00503E03"/>
    <w:rsid w:val="00503EC6"/>
    <w:rsid w:val="00503F50"/>
    <w:rsid w:val="005044BE"/>
    <w:rsid w:val="00504612"/>
    <w:rsid w:val="005046C1"/>
    <w:rsid w:val="0050481E"/>
    <w:rsid w:val="0050486B"/>
    <w:rsid w:val="00504AA7"/>
    <w:rsid w:val="00504BBA"/>
    <w:rsid w:val="00504E2B"/>
    <w:rsid w:val="00504FC8"/>
    <w:rsid w:val="00504FD7"/>
    <w:rsid w:val="005051AB"/>
    <w:rsid w:val="0050520D"/>
    <w:rsid w:val="005052A0"/>
    <w:rsid w:val="00505326"/>
    <w:rsid w:val="00505442"/>
    <w:rsid w:val="00505445"/>
    <w:rsid w:val="005054A8"/>
    <w:rsid w:val="00505595"/>
    <w:rsid w:val="005056FA"/>
    <w:rsid w:val="005057D6"/>
    <w:rsid w:val="00505813"/>
    <w:rsid w:val="00505835"/>
    <w:rsid w:val="00505836"/>
    <w:rsid w:val="00505934"/>
    <w:rsid w:val="005059C1"/>
    <w:rsid w:val="00505A03"/>
    <w:rsid w:val="00505B5E"/>
    <w:rsid w:val="00505F30"/>
    <w:rsid w:val="00505FAF"/>
    <w:rsid w:val="0050609F"/>
    <w:rsid w:val="00506184"/>
    <w:rsid w:val="00506292"/>
    <w:rsid w:val="00506325"/>
    <w:rsid w:val="005063F8"/>
    <w:rsid w:val="00506753"/>
    <w:rsid w:val="00506803"/>
    <w:rsid w:val="00506900"/>
    <w:rsid w:val="00506B17"/>
    <w:rsid w:val="00506E22"/>
    <w:rsid w:val="00506E5B"/>
    <w:rsid w:val="00506F5D"/>
    <w:rsid w:val="00506FDE"/>
    <w:rsid w:val="00506FFA"/>
    <w:rsid w:val="0050702D"/>
    <w:rsid w:val="00507110"/>
    <w:rsid w:val="005071AA"/>
    <w:rsid w:val="0050746B"/>
    <w:rsid w:val="005074E8"/>
    <w:rsid w:val="005074EB"/>
    <w:rsid w:val="005075B6"/>
    <w:rsid w:val="005076D6"/>
    <w:rsid w:val="00507902"/>
    <w:rsid w:val="00507946"/>
    <w:rsid w:val="00507A5F"/>
    <w:rsid w:val="00507ABA"/>
    <w:rsid w:val="00507C07"/>
    <w:rsid w:val="00507C51"/>
    <w:rsid w:val="00507C95"/>
    <w:rsid w:val="00507D4C"/>
    <w:rsid w:val="00507E96"/>
    <w:rsid w:val="00507FEC"/>
    <w:rsid w:val="0051017C"/>
    <w:rsid w:val="005101F2"/>
    <w:rsid w:val="00510273"/>
    <w:rsid w:val="0051034D"/>
    <w:rsid w:val="0051044B"/>
    <w:rsid w:val="00510584"/>
    <w:rsid w:val="005107A8"/>
    <w:rsid w:val="00510AA5"/>
    <w:rsid w:val="00510B84"/>
    <w:rsid w:val="00510C4F"/>
    <w:rsid w:val="00510CE5"/>
    <w:rsid w:val="00510D35"/>
    <w:rsid w:val="00510D72"/>
    <w:rsid w:val="00510DCD"/>
    <w:rsid w:val="00511075"/>
    <w:rsid w:val="00511095"/>
    <w:rsid w:val="005110AB"/>
    <w:rsid w:val="00511122"/>
    <w:rsid w:val="00511175"/>
    <w:rsid w:val="005112A1"/>
    <w:rsid w:val="00511323"/>
    <w:rsid w:val="00511390"/>
    <w:rsid w:val="00511493"/>
    <w:rsid w:val="005115BB"/>
    <w:rsid w:val="005115FE"/>
    <w:rsid w:val="00511681"/>
    <w:rsid w:val="005117E2"/>
    <w:rsid w:val="005117FC"/>
    <w:rsid w:val="005118DA"/>
    <w:rsid w:val="00511903"/>
    <w:rsid w:val="00511C01"/>
    <w:rsid w:val="00511C7C"/>
    <w:rsid w:val="00511F53"/>
    <w:rsid w:val="00511F94"/>
    <w:rsid w:val="0051202C"/>
    <w:rsid w:val="005121A1"/>
    <w:rsid w:val="00512274"/>
    <w:rsid w:val="005122FD"/>
    <w:rsid w:val="00512344"/>
    <w:rsid w:val="0051238D"/>
    <w:rsid w:val="0051258C"/>
    <w:rsid w:val="0051259C"/>
    <w:rsid w:val="00512622"/>
    <w:rsid w:val="005126C8"/>
    <w:rsid w:val="00512854"/>
    <w:rsid w:val="00512D43"/>
    <w:rsid w:val="00512E16"/>
    <w:rsid w:val="005130FF"/>
    <w:rsid w:val="00513196"/>
    <w:rsid w:val="005131A2"/>
    <w:rsid w:val="005131CA"/>
    <w:rsid w:val="005131DA"/>
    <w:rsid w:val="0051358F"/>
    <w:rsid w:val="005135E8"/>
    <w:rsid w:val="005136C3"/>
    <w:rsid w:val="005136DF"/>
    <w:rsid w:val="005139CE"/>
    <w:rsid w:val="00513B4A"/>
    <w:rsid w:val="00513DCB"/>
    <w:rsid w:val="00513E6C"/>
    <w:rsid w:val="00514146"/>
    <w:rsid w:val="005141D6"/>
    <w:rsid w:val="00514417"/>
    <w:rsid w:val="00514486"/>
    <w:rsid w:val="005145B9"/>
    <w:rsid w:val="00514601"/>
    <w:rsid w:val="005146E7"/>
    <w:rsid w:val="0051470B"/>
    <w:rsid w:val="0051495F"/>
    <w:rsid w:val="00514984"/>
    <w:rsid w:val="005149B3"/>
    <w:rsid w:val="00514A09"/>
    <w:rsid w:val="00514AB4"/>
    <w:rsid w:val="00514B00"/>
    <w:rsid w:val="00514B32"/>
    <w:rsid w:val="00514B36"/>
    <w:rsid w:val="00514BB1"/>
    <w:rsid w:val="00514E60"/>
    <w:rsid w:val="00514ED4"/>
    <w:rsid w:val="005150FB"/>
    <w:rsid w:val="00515252"/>
    <w:rsid w:val="0051564E"/>
    <w:rsid w:val="0051568D"/>
    <w:rsid w:val="0051586B"/>
    <w:rsid w:val="00515A89"/>
    <w:rsid w:val="00515B5B"/>
    <w:rsid w:val="00515E43"/>
    <w:rsid w:val="00515E98"/>
    <w:rsid w:val="00515F18"/>
    <w:rsid w:val="00515F1C"/>
    <w:rsid w:val="005161E5"/>
    <w:rsid w:val="005162CE"/>
    <w:rsid w:val="005162D5"/>
    <w:rsid w:val="005164ED"/>
    <w:rsid w:val="0051684E"/>
    <w:rsid w:val="00516979"/>
    <w:rsid w:val="00516990"/>
    <w:rsid w:val="00516ABD"/>
    <w:rsid w:val="00516CD2"/>
    <w:rsid w:val="00516F26"/>
    <w:rsid w:val="00517024"/>
    <w:rsid w:val="0051711E"/>
    <w:rsid w:val="00517214"/>
    <w:rsid w:val="0051752C"/>
    <w:rsid w:val="005176D0"/>
    <w:rsid w:val="005177B5"/>
    <w:rsid w:val="005178E9"/>
    <w:rsid w:val="00517971"/>
    <w:rsid w:val="00517C58"/>
    <w:rsid w:val="00517D4D"/>
    <w:rsid w:val="00517E72"/>
    <w:rsid w:val="00517F42"/>
    <w:rsid w:val="00517F58"/>
    <w:rsid w:val="00520006"/>
    <w:rsid w:val="0052000F"/>
    <w:rsid w:val="00520129"/>
    <w:rsid w:val="005201E3"/>
    <w:rsid w:val="00520262"/>
    <w:rsid w:val="0052030C"/>
    <w:rsid w:val="005203B2"/>
    <w:rsid w:val="00520574"/>
    <w:rsid w:val="005205AD"/>
    <w:rsid w:val="00520619"/>
    <w:rsid w:val="00520794"/>
    <w:rsid w:val="00520A27"/>
    <w:rsid w:val="00520A93"/>
    <w:rsid w:val="00520AA7"/>
    <w:rsid w:val="00520C0C"/>
    <w:rsid w:val="00521034"/>
    <w:rsid w:val="00521062"/>
    <w:rsid w:val="00521073"/>
    <w:rsid w:val="0052111A"/>
    <w:rsid w:val="0052117E"/>
    <w:rsid w:val="005211EB"/>
    <w:rsid w:val="00521318"/>
    <w:rsid w:val="00521481"/>
    <w:rsid w:val="005214F9"/>
    <w:rsid w:val="0052176D"/>
    <w:rsid w:val="00521771"/>
    <w:rsid w:val="00521786"/>
    <w:rsid w:val="00521787"/>
    <w:rsid w:val="005218A8"/>
    <w:rsid w:val="0052194C"/>
    <w:rsid w:val="0052195A"/>
    <w:rsid w:val="00521995"/>
    <w:rsid w:val="00521A20"/>
    <w:rsid w:val="00521BAE"/>
    <w:rsid w:val="00521BCC"/>
    <w:rsid w:val="00521E72"/>
    <w:rsid w:val="00522100"/>
    <w:rsid w:val="005221C0"/>
    <w:rsid w:val="00522299"/>
    <w:rsid w:val="005222BE"/>
    <w:rsid w:val="00522463"/>
    <w:rsid w:val="0052277B"/>
    <w:rsid w:val="005227AE"/>
    <w:rsid w:val="005227F6"/>
    <w:rsid w:val="00522859"/>
    <w:rsid w:val="00522CB8"/>
    <w:rsid w:val="00522DCA"/>
    <w:rsid w:val="00522F8A"/>
    <w:rsid w:val="00523091"/>
    <w:rsid w:val="005230F1"/>
    <w:rsid w:val="00523446"/>
    <w:rsid w:val="005235E2"/>
    <w:rsid w:val="00523650"/>
    <w:rsid w:val="005236FA"/>
    <w:rsid w:val="005237A7"/>
    <w:rsid w:val="00523822"/>
    <w:rsid w:val="00523862"/>
    <w:rsid w:val="00523904"/>
    <w:rsid w:val="00523B02"/>
    <w:rsid w:val="00523B09"/>
    <w:rsid w:val="00523CA2"/>
    <w:rsid w:val="00523CAB"/>
    <w:rsid w:val="00523CAC"/>
    <w:rsid w:val="00523D5A"/>
    <w:rsid w:val="00523D69"/>
    <w:rsid w:val="00523F40"/>
    <w:rsid w:val="005244A7"/>
    <w:rsid w:val="0052456D"/>
    <w:rsid w:val="005246A2"/>
    <w:rsid w:val="0052487E"/>
    <w:rsid w:val="00524881"/>
    <w:rsid w:val="00524ACA"/>
    <w:rsid w:val="00524BE7"/>
    <w:rsid w:val="00524C26"/>
    <w:rsid w:val="00524C83"/>
    <w:rsid w:val="00524DB5"/>
    <w:rsid w:val="00524E12"/>
    <w:rsid w:val="00524FDB"/>
    <w:rsid w:val="00525020"/>
    <w:rsid w:val="00525063"/>
    <w:rsid w:val="005251B7"/>
    <w:rsid w:val="0052556D"/>
    <w:rsid w:val="00525666"/>
    <w:rsid w:val="00525960"/>
    <w:rsid w:val="00525BE5"/>
    <w:rsid w:val="00525CCE"/>
    <w:rsid w:val="00525D23"/>
    <w:rsid w:val="00525EB4"/>
    <w:rsid w:val="00526026"/>
    <w:rsid w:val="00526057"/>
    <w:rsid w:val="00526151"/>
    <w:rsid w:val="00526318"/>
    <w:rsid w:val="00526328"/>
    <w:rsid w:val="00526369"/>
    <w:rsid w:val="00526400"/>
    <w:rsid w:val="005267DD"/>
    <w:rsid w:val="00526970"/>
    <w:rsid w:val="0052699C"/>
    <w:rsid w:val="00526A5D"/>
    <w:rsid w:val="00526A62"/>
    <w:rsid w:val="00526A74"/>
    <w:rsid w:val="00526B86"/>
    <w:rsid w:val="00526BBD"/>
    <w:rsid w:val="00526F0B"/>
    <w:rsid w:val="00526F5E"/>
    <w:rsid w:val="00526F91"/>
    <w:rsid w:val="00527103"/>
    <w:rsid w:val="005271C0"/>
    <w:rsid w:val="0052725E"/>
    <w:rsid w:val="0052760E"/>
    <w:rsid w:val="00527A90"/>
    <w:rsid w:val="00527B13"/>
    <w:rsid w:val="00527B7E"/>
    <w:rsid w:val="00527D4D"/>
    <w:rsid w:val="00527E42"/>
    <w:rsid w:val="00527F2A"/>
    <w:rsid w:val="00527F80"/>
    <w:rsid w:val="0053004A"/>
    <w:rsid w:val="005302A4"/>
    <w:rsid w:val="00530301"/>
    <w:rsid w:val="0053048C"/>
    <w:rsid w:val="0053086E"/>
    <w:rsid w:val="0053091F"/>
    <w:rsid w:val="005309A3"/>
    <w:rsid w:val="00530A66"/>
    <w:rsid w:val="00530AC5"/>
    <w:rsid w:val="00530C66"/>
    <w:rsid w:val="00530DFD"/>
    <w:rsid w:val="005310A9"/>
    <w:rsid w:val="00531352"/>
    <w:rsid w:val="00531417"/>
    <w:rsid w:val="0053143A"/>
    <w:rsid w:val="0053145A"/>
    <w:rsid w:val="0053165A"/>
    <w:rsid w:val="005316C5"/>
    <w:rsid w:val="0053172C"/>
    <w:rsid w:val="005318C0"/>
    <w:rsid w:val="005318C6"/>
    <w:rsid w:val="00531C26"/>
    <w:rsid w:val="00531CD2"/>
    <w:rsid w:val="00531CED"/>
    <w:rsid w:val="00531D68"/>
    <w:rsid w:val="00531E93"/>
    <w:rsid w:val="00531EF8"/>
    <w:rsid w:val="00532172"/>
    <w:rsid w:val="005321D8"/>
    <w:rsid w:val="00532205"/>
    <w:rsid w:val="00532526"/>
    <w:rsid w:val="00532531"/>
    <w:rsid w:val="005327F2"/>
    <w:rsid w:val="00532847"/>
    <w:rsid w:val="0053298C"/>
    <w:rsid w:val="00532BAE"/>
    <w:rsid w:val="00532BB2"/>
    <w:rsid w:val="00532C99"/>
    <w:rsid w:val="00532CAB"/>
    <w:rsid w:val="00532D79"/>
    <w:rsid w:val="00532E0E"/>
    <w:rsid w:val="00532F24"/>
    <w:rsid w:val="00532FE7"/>
    <w:rsid w:val="005330C0"/>
    <w:rsid w:val="0053318C"/>
    <w:rsid w:val="005331E7"/>
    <w:rsid w:val="005334E7"/>
    <w:rsid w:val="00533566"/>
    <w:rsid w:val="005338CD"/>
    <w:rsid w:val="00533B43"/>
    <w:rsid w:val="00533DE7"/>
    <w:rsid w:val="00534014"/>
    <w:rsid w:val="00534020"/>
    <w:rsid w:val="0053412E"/>
    <w:rsid w:val="0053422E"/>
    <w:rsid w:val="00534283"/>
    <w:rsid w:val="00534350"/>
    <w:rsid w:val="00534513"/>
    <w:rsid w:val="00534749"/>
    <w:rsid w:val="00534816"/>
    <w:rsid w:val="0053487B"/>
    <w:rsid w:val="005349E2"/>
    <w:rsid w:val="00534A59"/>
    <w:rsid w:val="00534B91"/>
    <w:rsid w:val="00534C9C"/>
    <w:rsid w:val="00534D37"/>
    <w:rsid w:val="00534D38"/>
    <w:rsid w:val="00534ECD"/>
    <w:rsid w:val="005350A7"/>
    <w:rsid w:val="00535216"/>
    <w:rsid w:val="005352D9"/>
    <w:rsid w:val="005352F9"/>
    <w:rsid w:val="00535472"/>
    <w:rsid w:val="0053555A"/>
    <w:rsid w:val="005355D5"/>
    <w:rsid w:val="005355D9"/>
    <w:rsid w:val="005355DD"/>
    <w:rsid w:val="005357D4"/>
    <w:rsid w:val="0053582B"/>
    <w:rsid w:val="00535907"/>
    <w:rsid w:val="00535AD1"/>
    <w:rsid w:val="00535C81"/>
    <w:rsid w:val="00535CC7"/>
    <w:rsid w:val="00535D26"/>
    <w:rsid w:val="00535E7E"/>
    <w:rsid w:val="00535F9A"/>
    <w:rsid w:val="00535FD5"/>
    <w:rsid w:val="005360DE"/>
    <w:rsid w:val="00536260"/>
    <w:rsid w:val="00536272"/>
    <w:rsid w:val="005362E9"/>
    <w:rsid w:val="00536309"/>
    <w:rsid w:val="0053699E"/>
    <w:rsid w:val="00536AC2"/>
    <w:rsid w:val="00536B39"/>
    <w:rsid w:val="00536B46"/>
    <w:rsid w:val="00536C94"/>
    <w:rsid w:val="00536D10"/>
    <w:rsid w:val="00536D6F"/>
    <w:rsid w:val="00536DFF"/>
    <w:rsid w:val="00536E85"/>
    <w:rsid w:val="00537058"/>
    <w:rsid w:val="005371D9"/>
    <w:rsid w:val="0053766F"/>
    <w:rsid w:val="00537835"/>
    <w:rsid w:val="0053785C"/>
    <w:rsid w:val="00537A5F"/>
    <w:rsid w:val="00537A73"/>
    <w:rsid w:val="00537B97"/>
    <w:rsid w:val="00537E05"/>
    <w:rsid w:val="00540062"/>
    <w:rsid w:val="00540074"/>
    <w:rsid w:val="00540164"/>
    <w:rsid w:val="005401AA"/>
    <w:rsid w:val="005402DD"/>
    <w:rsid w:val="005402E6"/>
    <w:rsid w:val="0054045F"/>
    <w:rsid w:val="0054047A"/>
    <w:rsid w:val="0054065C"/>
    <w:rsid w:val="00540821"/>
    <w:rsid w:val="00540891"/>
    <w:rsid w:val="0054097F"/>
    <w:rsid w:val="00540AB2"/>
    <w:rsid w:val="00540BEE"/>
    <w:rsid w:val="00540DA3"/>
    <w:rsid w:val="00540FA9"/>
    <w:rsid w:val="005411A0"/>
    <w:rsid w:val="0054124F"/>
    <w:rsid w:val="00541479"/>
    <w:rsid w:val="00541533"/>
    <w:rsid w:val="00541561"/>
    <w:rsid w:val="00541602"/>
    <w:rsid w:val="0054198B"/>
    <w:rsid w:val="00541A67"/>
    <w:rsid w:val="00541AEC"/>
    <w:rsid w:val="00541BC6"/>
    <w:rsid w:val="00541CB6"/>
    <w:rsid w:val="00541CDE"/>
    <w:rsid w:val="00541D86"/>
    <w:rsid w:val="00541DBB"/>
    <w:rsid w:val="00541E78"/>
    <w:rsid w:val="00541F9C"/>
    <w:rsid w:val="0054203D"/>
    <w:rsid w:val="00542250"/>
    <w:rsid w:val="005423EF"/>
    <w:rsid w:val="005424B7"/>
    <w:rsid w:val="00542512"/>
    <w:rsid w:val="005425FD"/>
    <w:rsid w:val="00542622"/>
    <w:rsid w:val="005427A4"/>
    <w:rsid w:val="00542802"/>
    <w:rsid w:val="00542879"/>
    <w:rsid w:val="00542B6C"/>
    <w:rsid w:val="00542C97"/>
    <w:rsid w:val="00542E36"/>
    <w:rsid w:val="00542E9F"/>
    <w:rsid w:val="00542EF8"/>
    <w:rsid w:val="00542FA3"/>
    <w:rsid w:val="00543188"/>
    <w:rsid w:val="005431D9"/>
    <w:rsid w:val="005432EB"/>
    <w:rsid w:val="00543412"/>
    <w:rsid w:val="005437A6"/>
    <w:rsid w:val="005437B1"/>
    <w:rsid w:val="00543983"/>
    <w:rsid w:val="005439E4"/>
    <w:rsid w:val="00543A23"/>
    <w:rsid w:val="00543A6C"/>
    <w:rsid w:val="00543AE1"/>
    <w:rsid w:val="00543AEE"/>
    <w:rsid w:val="00543BFB"/>
    <w:rsid w:val="00543C07"/>
    <w:rsid w:val="00543C10"/>
    <w:rsid w:val="00543CEC"/>
    <w:rsid w:val="00543D56"/>
    <w:rsid w:val="00543D58"/>
    <w:rsid w:val="00543D93"/>
    <w:rsid w:val="00544040"/>
    <w:rsid w:val="005442E5"/>
    <w:rsid w:val="00544468"/>
    <w:rsid w:val="0054465A"/>
    <w:rsid w:val="00544894"/>
    <w:rsid w:val="005449E7"/>
    <w:rsid w:val="00544AB3"/>
    <w:rsid w:val="00544ABE"/>
    <w:rsid w:val="00544AE9"/>
    <w:rsid w:val="00544CF0"/>
    <w:rsid w:val="00544D40"/>
    <w:rsid w:val="00544F5F"/>
    <w:rsid w:val="00544FAE"/>
    <w:rsid w:val="00545084"/>
    <w:rsid w:val="0054513E"/>
    <w:rsid w:val="00545AF2"/>
    <w:rsid w:val="00545B02"/>
    <w:rsid w:val="00545EED"/>
    <w:rsid w:val="00545FDD"/>
    <w:rsid w:val="00545FFC"/>
    <w:rsid w:val="0054620F"/>
    <w:rsid w:val="005465B4"/>
    <w:rsid w:val="00546640"/>
    <w:rsid w:val="00546655"/>
    <w:rsid w:val="005466EE"/>
    <w:rsid w:val="005467CF"/>
    <w:rsid w:val="0054686D"/>
    <w:rsid w:val="00546929"/>
    <w:rsid w:val="00546A11"/>
    <w:rsid w:val="00546A36"/>
    <w:rsid w:val="00546A92"/>
    <w:rsid w:val="00546BB2"/>
    <w:rsid w:val="00546D52"/>
    <w:rsid w:val="00546E01"/>
    <w:rsid w:val="00547118"/>
    <w:rsid w:val="005471E7"/>
    <w:rsid w:val="005473CC"/>
    <w:rsid w:val="00547541"/>
    <w:rsid w:val="005475F8"/>
    <w:rsid w:val="0054769F"/>
    <w:rsid w:val="00547751"/>
    <w:rsid w:val="00547986"/>
    <w:rsid w:val="005479FF"/>
    <w:rsid w:val="00547A26"/>
    <w:rsid w:val="00547A34"/>
    <w:rsid w:val="00547C86"/>
    <w:rsid w:val="00547EB2"/>
    <w:rsid w:val="005501ED"/>
    <w:rsid w:val="0055025A"/>
    <w:rsid w:val="00550316"/>
    <w:rsid w:val="0055043D"/>
    <w:rsid w:val="0055085B"/>
    <w:rsid w:val="00550BDB"/>
    <w:rsid w:val="00550C3A"/>
    <w:rsid w:val="00550D7D"/>
    <w:rsid w:val="00550D8E"/>
    <w:rsid w:val="00550E35"/>
    <w:rsid w:val="00550FF6"/>
    <w:rsid w:val="00550FF7"/>
    <w:rsid w:val="0055109E"/>
    <w:rsid w:val="005511FF"/>
    <w:rsid w:val="005512A6"/>
    <w:rsid w:val="00551533"/>
    <w:rsid w:val="00551742"/>
    <w:rsid w:val="005519A9"/>
    <w:rsid w:val="00551D4D"/>
    <w:rsid w:val="00551E55"/>
    <w:rsid w:val="00551E85"/>
    <w:rsid w:val="00551EA7"/>
    <w:rsid w:val="00551FBD"/>
    <w:rsid w:val="0055200F"/>
    <w:rsid w:val="0055208C"/>
    <w:rsid w:val="00552235"/>
    <w:rsid w:val="00552494"/>
    <w:rsid w:val="0055249D"/>
    <w:rsid w:val="00552506"/>
    <w:rsid w:val="005526E3"/>
    <w:rsid w:val="005526EA"/>
    <w:rsid w:val="00552712"/>
    <w:rsid w:val="00552775"/>
    <w:rsid w:val="005527D2"/>
    <w:rsid w:val="0055280E"/>
    <w:rsid w:val="00552866"/>
    <w:rsid w:val="00552A07"/>
    <w:rsid w:val="00552D00"/>
    <w:rsid w:val="00552DB2"/>
    <w:rsid w:val="00552E12"/>
    <w:rsid w:val="00552F0A"/>
    <w:rsid w:val="00552F90"/>
    <w:rsid w:val="00553068"/>
    <w:rsid w:val="005531EC"/>
    <w:rsid w:val="00553313"/>
    <w:rsid w:val="0055332E"/>
    <w:rsid w:val="005536C2"/>
    <w:rsid w:val="00553726"/>
    <w:rsid w:val="005538E0"/>
    <w:rsid w:val="005538F7"/>
    <w:rsid w:val="005539E5"/>
    <w:rsid w:val="005539E8"/>
    <w:rsid w:val="00553A1B"/>
    <w:rsid w:val="00553BD9"/>
    <w:rsid w:val="00553C7B"/>
    <w:rsid w:val="00553DD6"/>
    <w:rsid w:val="00553DEA"/>
    <w:rsid w:val="00553EE6"/>
    <w:rsid w:val="00554001"/>
    <w:rsid w:val="00554153"/>
    <w:rsid w:val="005541D2"/>
    <w:rsid w:val="00554281"/>
    <w:rsid w:val="0055441B"/>
    <w:rsid w:val="00554540"/>
    <w:rsid w:val="0055468E"/>
    <w:rsid w:val="00554883"/>
    <w:rsid w:val="0055493C"/>
    <w:rsid w:val="0055499C"/>
    <w:rsid w:val="00554C7A"/>
    <w:rsid w:val="00554C9E"/>
    <w:rsid w:val="00554E7B"/>
    <w:rsid w:val="00554FEF"/>
    <w:rsid w:val="00555079"/>
    <w:rsid w:val="005551C2"/>
    <w:rsid w:val="0055545E"/>
    <w:rsid w:val="00555464"/>
    <w:rsid w:val="00555601"/>
    <w:rsid w:val="00555839"/>
    <w:rsid w:val="005559A8"/>
    <w:rsid w:val="00555C5A"/>
    <w:rsid w:val="00555F8D"/>
    <w:rsid w:val="005560CE"/>
    <w:rsid w:val="00556655"/>
    <w:rsid w:val="00556831"/>
    <w:rsid w:val="0055692B"/>
    <w:rsid w:val="00556992"/>
    <w:rsid w:val="005569DC"/>
    <w:rsid w:val="00556A01"/>
    <w:rsid w:val="00556B86"/>
    <w:rsid w:val="00556CE3"/>
    <w:rsid w:val="00556D07"/>
    <w:rsid w:val="00556DAE"/>
    <w:rsid w:val="00556DCA"/>
    <w:rsid w:val="00556FE6"/>
    <w:rsid w:val="00557145"/>
    <w:rsid w:val="005571CF"/>
    <w:rsid w:val="0055739D"/>
    <w:rsid w:val="0055760F"/>
    <w:rsid w:val="00557A27"/>
    <w:rsid w:val="00557ADD"/>
    <w:rsid w:val="00557AF0"/>
    <w:rsid w:val="00557D28"/>
    <w:rsid w:val="005600E5"/>
    <w:rsid w:val="005600FD"/>
    <w:rsid w:val="00560133"/>
    <w:rsid w:val="005601D1"/>
    <w:rsid w:val="00560472"/>
    <w:rsid w:val="005606BA"/>
    <w:rsid w:val="0056072E"/>
    <w:rsid w:val="005607CD"/>
    <w:rsid w:val="00560A84"/>
    <w:rsid w:val="00560BF0"/>
    <w:rsid w:val="00560C73"/>
    <w:rsid w:val="00560D77"/>
    <w:rsid w:val="00560DC7"/>
    <w:rsid w:val="00560F14"/>
    <w:rsid w:val="00560F97"/>
    <w:rsid w:val="00561043"/>
    <w:rsid w:val="005610C3"/>
    <w:rsid w:val="005611E9"/>
    <w:rsid w:val="00561445"/>
    <w:rsid w:val="00561557"/>
    <w:rsid w:val="005615BE"/>
    <w:rsid w:val="005617BD"/>
    <w:rsid w:val="00561810"/>
    <w:rsid w:val="00561878"/>
    <w:rsid w:val="005619EF"/>
    <w:rsid w:val="00561A1B"/>
    <w:rsid w:val="00561AA8"/>
    <w:rsid w:val="00561C3F"/>
    <w:rsid w:val="00561C5F"/>
    <w:rsid w:val="00561D31"/>
    <w:rsid w:val="00561EDB"/>
    <w:rsid w:val="005620BB"/>
    <w:rsid w:val="005621BF"/>
    <w:rsid w:val="0056249B"/>
    <w:rsid w:val="00562631"/>
    <w:rsid w:val="00562641"/>
    <w:rsid w:val="00562877"/>
    <w:rsid w:val="00562A1A"/>
    <w:rsid w:val="00562A36"/>
    <w:rsid w:val="00562A93"/>
    <w:rsid w:val="00562C39"/>
    <w:rsid w:val="00562D09"/>
    <w:rsid w:val="00562D96"/>
    <w:rsid w:val="00562F8D"/>
    <w:rsid w:val="00563381"/>
    <w:rsid w:val="005633C0"/>
    <w:rsid w:val="00563461"/>
    <w:rsid w:val="0056360C"/>
    <w:rsid w:val="005636D0"/>
    <w:rsid w:val="00563801"/>
    <w:rsid w:val="00563828"/>
    <w:rsid w:val="005638E9"/>
    <w:rsid w:val="0056398D"/>
    <w:rsid w:val="00563AA8"/>
    <w:rsid w:val="00563AC9"/>
    <w:rsid w:val="00563ADE"/>
    <w:rsid w:val="00563B32"/>
    <w:rsid w:val="00563BAD"/>
    <w:rsid w:val="00563D71"/>
    <w:rsid w:val="00563EC1"/>
    <w:rsid w:val="00564007"/>
    <w:rsid w:val="00564016"/>
    <w:rsid w:val="005641A2"/>
    <w:rsid w:val="005641AC"/>
    <w:rsid w:val="005641B6"/>
    <w:rsid w:val="0056440B"/>
    <w:rsid w:val="005645B8"/>
    <w:rsid w:val="005646CA"/>
    <w:rsid w:val="0056497B"/>
    <w:rsid w:val="00564A65"/>
    <w:rsid w:val="00564A69"/>
    <w:rsid w:val="00564BAF"/>
    <w:rsid w:val="00564CC9"/>
    <w:rsid w:val="00564CFD"/>
    <w:rsid w:val="00564D06"/>
    <w:rsid w:val="00564D2D"/>
    <w:rsid w:val="00564EEC"/>
    <w:rsid w:val="00564FC2"/>
    <w:rsid w:val="005650BB"/>
    <w:rsid w:val="005651EE"/>
    <w:rsid w:val="00565344"/>
    <w:rsid w:val="00565532"/>
    <w:rsid w:val="0056570D"/>
    <w:rsid w:val="00565792"/>
    <w:rsid w:val="00565A63"/>
    <w:rsid w:val="00565C8D"/>
    <w:rsid w:val="00565CB3"/>
    <w:rsid w:val="00565E5F"/>
    <w:rsid w:val="00565E70"/>
    <w:rsid w:val="00565F4B"/>
    <w:rsid w:val="005662A9"/>
    <w:rsid w:val="0056647F"/>
    <w:rsid w:val="00566737"/>
    <w:rsid w:val="005667B2"/>
    <w:rsid w:val="0056684E"/>
    <w:rsid w:val="005669D4"/>
    <w:rsid w:val="00566A1F"/>
    <w:rsid w:val="00566BB0"/>
    <w:rsid w:val="00566BCD"/>
    <w:rsid w:val="00566E32"/>
    <w:rsid w:val="00566EAD"/>
    <w:rsid w:val="00566F3B"/>
    <w:rsid w:val="0056720B"/>
    <w:rsid w:val="005672AD"/>
    <w:rsid w:val="0056751E"/>
    <w:rsid w:val="00567638"/>
    <w:rsid w:val="0056768A"/>
    <w:rsid w:val="00567766"/>
    <w:rsid w:val="00567871"/>
    <w:rsid w:val="00567ADF"/>
    <w:rsid w:val="00567C0F"/>
    <w:rsid w:val="00567D94"/>
    <w:rsid w:val="00567DE6"/>
    <w:rsid w:val="00567E9C"/>
    <w:rsid w:val="00567FBA"/>
    <w:rsid w:val="00567FCA"/>
    <w:rsid w:val="005700E8"/>
    <w:rsid w:val="005703A0"/>
    <w:rsid w:val="005703AA"/>
    <w:rsid w:val="0057066F"/>
    <w:rsid w:val="005707C0"/>
    <w:rsid w:val="005707D4"/>
    <w:rsid w:val="005708A1"/>
    <w:rsid w:val="00570A3F"/>
    <w:rsid w:val="00570BBA"/>
    <w:rsid w:val="00570CDA"/>
    <w:rsid w:val="00570D6E"/>
    <w:rsid w:val="00570E14"/>
    <w:rsid w:val="00570F35"/>
    <w:rsid w:val="005710C0"/>
    <w:rsid w:val="0057110D"/>
    <w:rsid w:val="005712F5"/>
    <w:rsid w:val="00571332"/>
    <w:rsid w:val="005715DF"/>
    <w:rsid w:val="00571C48"/>
    <w:rsid w:val="00571CC0"/>
    <w:rsid w:val="00571F0F"/>
    <w:rsid w:val="00571F8B"/>
    <w:rsid w:val="00571FC0"/>
    <w:rsid w:val="00572127"/>
    <w:rsid w:val="00572302"/>
    <w:rsid w:val="0057256F"/>
    <w:rsid w:val="00572640"/>
    <w:rsid w:val="0057291D"/>
    <w:rsid w:val="00572931"/>
    <w:rsid w:val="00572958"/>
    <w:rsid w:val="00572981"/>
    <w:rsid w:val="00572C20"/>
    <w:rsid w:val="00572DE1"/>
    <w:rsid w:val="00572EF1"/>
    <w:rsid w:val="0057300A"/>
    <w:rsid w:val="00573091"/>
    <w:rsid w:val="00573102"/>
    <w:rsid w:val="0057312F"/>
    <w:rsid w:val="00573369"/>
    <w:rsid w:val="00573491"/>
    <w:rsid w:val="005734E7"/>
    <w:rsid w:val="00573580"/>
    <w:rsid w:val="00573636"/>
    <w:rsid w:val="00573779"/>
    <w:rsid w:val="00573786"/>
    <w:rsid w:val="00573890"/>
    <w:rsid w:val="00573C53"/>
    <w:rsid w:val="00573C93"/>
    <w:rsid w:val="00573E11"/>
    <w:rsid w:val="00573E77"/>
    <w:rsid w:val="00574031"/>
    <w:rsid w:val="00574132"/>
    <w:rsid w:val="005741BE"/>
    <w:rsid w:val="00574665"/>
    <w:rsid w:val="00574899"/>
    <w:rsid w:val="00574B0F"/>
    <w:rsid w:val="00574FD1"/>
    <w:rsid w:val="0057505F"/>
    <w:rsid w:val="00575068"/>
    <w:rsid w:val="0057512A"/>
    <w:rsid w:val="0057523D"/>
    <w:rsid w:val="005753AA"/>
    <w:rsid w:val="0057562D"/>
    <w:rsid w:val="0057573B"/>
    <w:rsid w:val="0057590B"/>
    <w:rsid w:val="0057592F"/>
    <w:rsid w:val="00575A5F"/>
    <w:rsid w:val="00575B0A"/>
    <w:rsid w:val="00575B86"/>
    <w:rsid w:val="00575D10"/>
    <w:rsid w:val="00575E84"/>
    <w:rsid w:val="00575F2C"/>
    <w:rsid w:val="00576013"/>
    <w:rsid w:val="0057614B"/>
    <w:rsid w:val="005762ED"/>
    <w:rsid w:val="005762FB"/>
    <w:rsid w:val="005765A8"/>
    <w:rsid w:val="0057679B"/>
    <w:rsid w:val="00576A12"/>
    <w:rsid w:val="00576A3C"/>
    <w:rsid w:val="00576A8D"/>
    <w:rsid w:val="00576C38"/>
    <w:rsid w:val="00576CFC"/>
    <w:rsid w:val="00576E27"/>
    <w:rsid w:val="00576E36"/>
    <w:rsid w:val="00576EE0"/>
    <w:rsid w:val="00576F79"/>
    <w:rsid w:val="00577019"/>
    <w:rsid w:val="0057767F"/>
    <w:rsid w:val="005776E9"/>
    <w:rsid w:val="00577A1B"/>
    <w:rsid w:val="00577BB4"/>
    <w:rsid w:val="00577C20"/>
    <w:rsid w:val="00577D59"/>
    <w:rsid w:val="00577E2B"/>
    <w:rsid w:val="00577F8B"/>
    <w:rsid w:val="0058021F"/>
    <w:rsid w:val="0058033E"/>
    <w:rsid w:val="005806A4"/>
    <w:rsid w:val="005807B9"/>
    <w:rsid w:val="005808D0"/>
    <w:rsid w:val="0058097E"/>
    <w:rsid w:val="00580A01"/>
    <w:rsid w:val="00580B85"/>
    <w:rsid w:val="00580BA9"/>
    <w:rsid w:val="00580CC9"/>
    <w:rsid w:val="00580D6A"/>
    <w:rsid w:val="00580DE1"/>
    <w:rsid w:val="00580F72"/>
    <w:rsid w:val="00580FA5"/>
    <w:rsid w:val="00581061"/>
    <w:rsid w:val="00581093"/>
    <w:rsid w:val="0058147B"/>
    <w:rsid w:val="005815AF"/>
    <w:rsid w:val="005815F2"/>
    <w:rsid w:val="00581822"/>
    <w:rsid w:val="005818DD"/>
    <w:rsid w:val="00581AD5"/>
    <w:rsid w:val="00581D41"/>
    <w:rsid w:val="00581EB2"/>
    <w:rsid w:val="00581EC5"/>
    <w:rsid w:val="00581F9C"/>
    <w:rsid w:val="00581FF6"/>
    <w:rsid w:val="00582004"/>
    <w:rsid w:val="00582007"/>
    <w:rsid w:val="005820EC"/>
    <w:rsid w:val="00582173"/>
    <w:rsid w:val="00582295"/>
    <w:rsid w:val="005823E8"/>
    <w:rsid w:val="0058241F"/>
    <w:rsid w:val="005824DD"/>
    <w:rsid w:val="0058261D"/>
    <w:rsid w:val="0058264C"/>
    <w:rsid w:val="0058281C"/>
    <w:rsid w:val="005829AB"/>
    <w:rsid w:val="005829B7"/>
    <w:rsid w:val="005829C8"/>
    <w:rsid w:val="00582A03"/>
    <w:rsid w:val="00582A64"/>
    <w:rsid w:val="00582B48"/>
    <w:rsid w:val="00582BA7"/>
    <w:rsid w:val="00582DC0"/>
    <w:rsid w:val="00582DD0"/>
    <w:rsid w:val="00582EC5"/>
    <w:rsid w:val="00582EEA"/>
    <w:rsid w:val="00582F5D"/>
    <w:rsid w:val="005831E3"/>
    <w:rsid w:val="00583285"/>
    <w:rsid w:val="00583432"/>
    <w:rsid w:val="00583498"/>
    <w:rsid w:val="00583582"/>
    <w:rsid w:val="005836C2"/>
    <w:rsid w:val="0058398A"/>
    <w:rsid w:val="00583A32"/>
    <w:rsid w:val="00583A8A"/>
    <w:rsid w:val="00583ACC"/>
    <w:rsid w:val="00583AF5"/>
    <w:rsid w:val="00583B46"/>
    <w:rsid w:val="00583B8A"/>
    <w:rsid w:val="00583BC2"/>
    <w:rsid w:val="00583F52"/>
    <w:rsid w:val="00584039"/>
    <w:rsid w:val="005842C0"/>
    <w:rsid w:val="0058431E"/>
    <w:rsid w:val="005843E5"/>
    <w:rsid w:val="0058457C"/>
    <w:rsid w:val="005847A3"/>
    <w:rsid w:val="0058498D"/>
    <w:rsid w:val="00584A46"/>
    <w:rsid w:val="00584A8D"/>
    <w:rsid w:val="00584B4C"/>
    <w:rsid w:val="00584C7D"/>
    <w:rsid w:val="00584D4A"/>
    <w:rsid w:val="00584DE6"/>
    <w:rsid w:val="00584FB1"/>
    <w:rsid w:val="00584FCC"/>
    <w:rsid w:val="00585036"/>
    <w:rsid w:val="0058505D"/>
    <w:rsid w:val="00585097"/>
    <w:rsid w:val="00585268"/>
    <w:rsid w:val="00585414"/>
    <w:rsid w:val="00585556"/>
    <w:rsid w:val="00585907"/>
    <w:rsid w:val="00585E87"/>
    <w:rsid w:val="00585EE3"/>
    <w:rsid w:val="00585F60"/>
    <w:rsid w:val="005860F3"/>
    <w:rsid w:val="005862D7"/>
    <w:rsid w:val="005863BA"/>
    <w:rsid w:val="0058666B"/>
    <w:rsid w:val="00586835"/>
    <w:rsid w:val="0058687C"/>
    <w:rsid w:val="00586ABC"/>
    <w:rsid w:val="00586B1C"/>
    <w:rsid w:val="00586B9A"/>
    <w:rsid w:val="00586C92"/>
    <w:rsid w:val="00586CBD"/>
    <w:rsid w:val="00586D29"/>
    <w:rsid w:val="00586E4E"/>
    <w:rsid w:val="00586F14"/>
    <w:rsid w:val="00586F41"/>
    <w:rsid w:val="0058704A"/>
    <w:rsid w:val="00587175"/>
    <w:rsid w:val="00587194"/>
    <w:rsid w:val="005871A5"/>
    <w:rsid w:val="005872D3"/>
    <w:rsid w:val="00587304"/>
    <w:rsid w:val="00587444"/>
    <w:rsid w:val="0058749F"/>
    <w:rsid w:val="00587610"/>
    <w:rsid w:val="005877AD"/>
    <w:rsid w:val="005878F2"/>
    <w:rsid w:val="00587B2C"/>
    <w:rsid w:val="00587B3D"/>
    <w:rsid w:val="00587B50"/>
    <w:rsid w:val="00587D95"/>
    <w:rsid w:val="00587DCA"/>
    <w:rsid w:val="00587DF9"/>
    <w:rsid w:val="00587FFC"/>
    <w:rsid w:val="0059001D"/>
    <w:rsid w:val="0059013A"/>
    <w:rsid w:val="00590348"/>
    <w:rsid w:val="005907AD"/>
    <w:rsid w:val="0059089E"/>
    <w:rsid w:val="005909AB"/>
    <w:rsid w:val="00590B2F"/>
    <w:rsid w:val="00590BC3"/>
    <w:rsid w:val="00590BF3"/>
    <w:rsid w:val="00590C7D"/>
    <w:rsid w:val="00590E37"/>
    <w:rsid w:val="00590EC2"/>
    <w:rsid w:val="00590F9E"/>
    <w:rsid w:val="00591141"/>
    <w:rsid w:val="00591473"/>
    <w:rsid w:val="00591537"/>
    <w:rsid w:val="0059156F"/>
    <w:rsid w:val="0059186E"/>
    <w:rsid w:val="00591912"/>
    <w:rsid w:val="0059195D"/>
    <w:rsid w:val="00591D71"/>
    <w:rsid w:val="00592129"/>
    <w:rsid w:val="00592331"/>
    <w:rsid w:val="00592570"/>
    <w:rsid w:val="005928E3"/>
    <w:rsid w:val="00592C14"/>
    <w:rsid w:val="00592E2D"/>
    <w:rsid w:val="0059305E"/>
    <w:rsid w:val="0059306C"/>
    <w:rsid w:val="005930A4"/>
    <w:rsid w:val="005931A6"/>
    <w:rsid w:val="005932E0"/>
    <w:rsid w:val="0059335B"/>
    <w:rsid w:val="00593619"/>
    <w:rsid w:val="00593739"/>
    <w:rsid w:val="005937D4"/>
    <w:rsid w:val="00593861"/>
    <w:rsid w:val="005939B1"/>
    <w:rsid w:val="00593A6E"/>
    <w:rsid w:val="00593B36"/>
    <w:rsid w:val="00593CC7"/>
    <w:rsid w:val="00593F31"/>
    <w:rsid w:val="00594082"/>
    <w:rsid w:val="0059408A"/>
    <w:rsid w:val="00594201"/>
    <w:rsid w:val="00594207"/>
    <w:rsid w:val="0059429D"/>
    <w:rsid w:val="00594442"/>
    <w:rsid w:val="00594677"/>
    <w:rsid w:val="0059473F"/>
    <w:rsid w:val="00594858"/>
    <w:rsid w:val="00594A49"/>
    <w:rsid w:val="00594AB0"/>
    <w:rsid w:val="00594B0F"/>
    <w:rsid w:val="00594BF1"/>
    <w:rsid w:val="00594C64"/>
    <w:rsid w:val="00594D38"/>
    <w:rsid w:val="00594D67"/>
    <w:rsid w:val="00594F08"/>
    <w:rsid w:val="00595244"/>
    <w:rsid w:val="005952BD"/>
    <w:rsid w:val="0059548B"/>
    <w:rsid w:val="00595564"/>
    <w:rsid w:val="005955B6"/>
    <w:rsid w:val="005956AE"/>
    <w:rsid w:val="00595721"/>
    <w:rsid w:val="00595A5A"/>
    <w:rsid w:val="00595C24"/>
    <w:rsid w:val="00595C8E"/>
    <w:rsid w:val="00595D18"/>
    <w:rsid w:val="00595D51"/>
    <w:rsid w:val="00595D69"/>
    <w:rsid w:val="00595D98"/>
    <w:rsid w:val="00595E51"/>
    <w:rsid w:val="005961C0"/>
    <w:rsid w:val="00596285"/>
    <w:rsid w:val="0059647E"/>
    <w:rsid w:val="005967F3"/>
    <w:rsid w:val="005969D4"/>
    <w:rsid w:val="00596A0B"/>
    <w:rsid w:val="00596A97"/>
    <w:rsid w:val="00596B5B"/>
    <w:rsid w:val="00596F73"/>
    <w:rsid w:val="005970B0"/>
    <w:rsid w:val="005971EC"/>
    <w:rsid w:val="00597542"/>
    <w:rsid w:val="005975B3"/>
    <w:rsid w:val="005975D3"/>
    <w:rsid w:val="00597693"/>
    <w:rsid w:val="00597A5E"/>
    <w:rsid w:val="00597AC0"/>
    <w:rsid w:val="00597BFD"/>
    <w:rsid w:val="00597C4C"/>
    <w:rsid w:val="00597C87"/>
    <w:rsid w:val="00597CB7"/>
    <w:rsid w:val="00597FC9"/>
    <w:rsid w:val="005A0041"/>
    <w:rsid w:val="005A0053"/>
    <w:rsid w:val="005A0054"/>
    <w:rsid w:val="005A00E9"/>
    <w:rsid w:val="005A00F3"/>
    <w:rsid w:val="005A0700"/>
    <w:rsid w:val="005A08A3"/>
    <w:rsid w:val="005A0D45"/>
    <w:rsid w:val="005A0E7E"/>
    <w:rsid w:val="005A11A9"/>
    <w:rsid w:val="005A11FC"/>
    <w:rsid w:val="005A12FC"/>
    <w:rsid w:val="005A1343"/>
    <w:rsid w:val="005A135A"/>
    <w:rsid w:val="005A13CC"/>
    <w:rsid w:val="005A14C8"/>
    <w:rsid w:val="005A1649"/>
    <w:rsid w:val="005A16ED"/>
    <w:rsid w:val="005A1AB3"/>
    <w:rsid w:val="005A1B67"/>
    <w:rsid w:val="005A1C86"/>
    <w:rsid w:val="005A1F68"/>
    <w:rsid w:val="005A20A8"/>
    <w:rsid w:val="005A255A"/>
    <w:rsid w:val="005A27C2"/>
    <w:rsid w:val="005A291A"/>
    <w:rsid w:val="005A2AA5"/>
    <w:rsid w:val="005A3092"/>
    <w:rsid w:val="005A30DB"/>
    <w:rsid w:val="005A31AE"/>
    <w:rsid w:val="005A3229"/>
    <w:rsid w:val="005A3234"/>
    <w:rsid w:val="005A334F"/>
    <w:rsid w:val="005A3398"/>
    <w:rsid w:val="005A377C"/>
    <w:rsid w:val="005A3840"/>
    <w:rsid w:val="005A3861"/>
    <w:rsid w:val="005A38D1"/>
    <w:rsid w:val="005A3938"/>
    <w:rsid w:val="005A39C0"/>
    <w:rsid w:val="005A3B39"/>
    <w:rsid w:val="005A3BBE"/>
    <w:rsid w:val="005A3C94"/>
    <w:rsid w:val="005A3DC7"/>
    <w:rsid w:val="005A3FBF"/>
    <w:rsid w:val="005A403A"/>
    <w:rsid w:val="005A40BF"/>
    <w:rsid w:val="005A410F"/>
    <w:rsid w:val="005A4184"/>
    <w:rsid w:val="005A41AC"/>
    <w:rsid w:val="005A41ED"/>
    <w:rsid w:val="005A434D"/>
    <w:rsid w:val="005A4384"/>
    <w:rsid w:val="005A43CB"/>
    <w:rsid w:val="005A43EE"/>
    <w:rsid w:val="005A44A2"/>
    <w:rsid w:val="005A4516"/>
    <w:rsid w:val="005A45E0"/>
    <w:rsid w:val="005A45F1"/>
    <w:rsid w:val="005A4634"/>
    <w:rsid w:val="005A491C"/>
    <w:rsid w:val="005A49CE"/>
    <w:rsid w:val="005A4A63"/>
    <w:rsid w:val="005A4AB4"/>
    <w:rsid w:val="005A4C25"/>
    <w:rsid w:val="005A4D70"/>
    <w:rsid w:val="005A4E37"/>
    <w:rsid w:val="005A52E6"/>
    <w:rsid w:val="005A53B9"/>
    <w:rsid w:val="005A540B"/>
    <w:rsid w:val="005A59C8"/>
    <w:rsid w:val="005A60D2"/>
    <w:rsid w:val="005A61A2"/>
    <w:rsid w:val="005A634F"/>
    <w:rsid w:val="005A63DF"/>
    <w:rsid w:val="005A64B7"/>
    <w:rsid w:val="005A65CC"/>
    <w:rsid w:val="005A66D2"/>
    <w:rsid w:val="005A67C1"/>
    <w:rsid w:val="005A6855"/>
    <w:rsid w:val="005A6A51"/>
    <w:rsid w:val="005A6AFD"/>
    <w:rsid w:val="005A6E83"/>
    <w:rsid w:val="005A6E86"/>
    <w:rsid w:val="005A6EC3"/>
    <w:rsid w:val="005A7236"/>
    <w:rsid w:val="005A726D"/>
    <w:rsid w:val="005A72DE"/>
    <w:rsid w:val="005A75C9"/>
    <w:rsid w:val="005A77B0"/>
    <w:rsid w:val="005A7881"/>
    <w:rsid w:val="005A790D"/>
    <w:rsid w:val="005A791B"/>
    <w:rsid w:val="005A7A67"/>
    <w:rsid w:val="005A7BEB"/>
    <w:rsid w:val="005A7C36"/>
    <w:rsid w:val="005A7D0E"/>
    <w:rsid w:val="005A7D5C"/>
    <w:rsid w:val="005A7F81"/>
    <w:rsid w:val="005B02F7"/>
    <w:rsid w:val="005B035E"/>
    <w:rsid w:val="005B0401"/>
    <w:rsid w:val="005B04B5"/>
    <w:rsid w:val="005B04E7"/>
    <w:rsid w:val="005B0792"/>
    <w:rsid w:val="005B088F"/>
    <w:rsid w:val="005B08AD"/>
    <w:rsid w:val="005B092F"/>
    <w:rsid w:val="005B09B5"/>
    <w:rsid w:val="005B0B8A"/>
    <w:rsid w:val="005B0D93"/>
    <w:rsid w:val="005B0F02"/>
    <w:rsid w:val="005B0F2D"/>
    <w:rsid w:val="005B1018"/>
    <w:rsid w:val="005B105A"/>
    <w:rsid w:val="005B1090"/>
    <w:rsid w:val="005B133D"/>
    <w:rsid w:val="005B13D0"/>
    <w:rsid w:val="005B1429"/>
    <w:rsid w:val="005B15C5"/>
    <w:rsid w:val="005B1628"/>
    <w:rsid w:val="005B16D2"/>
    <w:rsid w:val="005B177F"/>
    <w:rsid w:val="005B1868"/>
    <w:rsid w:val="005B187D"/>
    <w:rsid w:val="005B18AF"/>
    <w:rsid w:val="005B18C0"/>
    <w:rsid w:val="005B190E"/>
    <w:rsid w:val="005B1A28"/>
    <w:rsid w:val="005B1B4D"/>
    <w:rsid w:val="005B1B85"/>
    <w:rsid w:val="005B1DE4"/>
    <w:rsid w:val="005B1DE7"/>
    <w:rsid w:val="005B1E1C"/>
    <w:rsid w:val="005B1FE3"/>
    <w:rsid w:val="005B2491"/>
    <w:rsid w:val="005B2493"/>
    <w:rsid w:val="005B24BF"/>
    <w:rsid w:val="005B25FB"/>
    <w:rsid w:val="005B27F3"/>
    <w:rsid w:val="005B2803"/>
    <w:rsid w:val="005B2876"/>
    <w:rsid w:val="005B299F"/>
    <w:rsid w:val="005B2A87"/>
    <w:rsid w:val="005B2ABF"/>
    <w:rsid w:val="005B2B5B"/>
    <w:rsid w:val="005B2D36"/>
    <w:rsid w:val="005B2F68"/>
    <w:rsid w:val="005B2FF3"/>
    <w:rsid w:val="005B319E"/>
    <w:rsid w:val="005B322B"/>
    <w:rsid w:val="005B3499"/>
    <w:rsid w:val="005B369F"/>
    <w:rsid w:val="005B373C"/>
    <w:rsid w:val="005B3837"/>
    <w:rsid w:val="005B389D"/>
    <w:rsid w:val="005B38F8"/>
    <w:rsid w:val="005B3AE5"/>
    <w:rsid w:val="005B3B1F"/>
    <w:rsid w:val="005B3B7D"/>
    <w:rsid w:val="005B3F62"/>
    <w:rsid w:val="005B4011"/>
    <w:rsid w:val="005B4035"/>
    <w:rsid w:val="005B4118"/>
    <w:rsid w:val="005B45A4"/>
    <w:rsid w:val="005B4878"/>
    <w:rsid w:val="005B493A"/>
    <w:rsid w:val="005B4A57"/>
    <w:rsid w:val="005B4CD8"/>
    <w:rsid w:val="005B4D62"/>
    <w:rsid w:val="005B4F44"/>
    <w:rsid w:val="005B4FA7"/>
    <w:rsid w:val="005B5229"/>
    <w:rsid w:val="005B5250"/>
    <w:rsid w:val="005B52C6"/>
    <w:rsid w:val="005B543D"/>
    <w:rsid w:val="005B5712"/>
    <w:rsid w:val="005B5724"/>
    <w:rsid w:val="005B582B"/>
    <w:rsid w:val="005B5A43"/>
    <w:rsid w:val="005B5A53"/>
    <w:rsid w:val="005B5B1E"/>
    <w:rsid w:val="005B5BCD"/>
    <w:rsid w:val="005B5D49"/>
    <w:rsid w:val="005B5DF9"/>
    <w:rsid w:val="005B5E3F"/>
    <w:rsid w:val="005B5F82"/>
    <w:rsid w:val="005B61B8"/>
    <w:rsid w:val="005B6481"/>
    <w:rsid w:val="005B6873"/>
    <w:rsid w:val="005B6882"/>
    <w:rsid w:val="005B695A"/>
    <w:rsid w:val="005B6CD9"/>
    <w:rsid w:val="005B6DF8"/>
    <w:rsid w:val="005B6E4F"/>
    <w:rsid w:val="005B6E92"/>
    <w:rsid w:val="005B6F30"/>
    <w:rsid w:val="005B6FB3"/>
    <w:rsid w:val="005B6FD0"/>
    <w:rsid w:val="005B709C"/>
    <w:rsid w:val="005B712C"/>
    <w:rsid w:val="005B7241"/>
    <w:rsid w:val="005B737E"/>
    <w:rsid w:val="005B747B"/>
    <w:rsid w:val="005B7598"/>
    <w:rsid w:val="005B767A"/>
    <w:rsid w:val="005B791E"/>
    <w:rsid w:val="005B798E"/>
    <w:rsid w:val="005B79A8"/>
    <w:rsid w:val="005B7AA1"/>
    <w:rsid w:val="005B7B62"/>
    <w:rsid w:val="005B7B97"/>
    <w:rsid w:val="005B7D15"/>
    <w:rsid w:val="005B7FBE"/>
    <w:rsid w:val="005C0014"/>
    <w:rsid w:val="005C0112"/>
    <w:rsid w:val="005C012E"/>
    <w:rsid w:val="005C015F"/>
    <w:rsid w:val="005C01E6"/>
    <w:rsid w:val="005C02A9"/>
    <w:rsid w:val="005C0400"/>
    <w:rsid w:val="005C0452"/>
    <w:rsid w:val="005C0535"/>
    <w:rsid w:val="005C0577"/>
    <w:rsid w:val="005C05B6"/>
    <w:rsid w:val="005C05E2"/>
    <w:rsid w:val="005C0699"/>
    <w:rsid w:val="005C06DE"/>
    <w:rsid w:val="005C0713"/>
    <w:rsid w:val="005C07E3"/>
    <w:rsid w:val="005C084C"/>
    <w:rsid w:val="005C0A95"/>
    <w:rsid w:val="005C0D4A"/>
    <w:rsid w:val="005C0DA5"/>
    <w:rsid w:val="005C0F3E"/>
    <w:rsid w:val="005C0F62"/>
    <w:rsid w:val="005C0FD6"/>
    <w:rsid w:val="005C100B"/>
    <w:rsid w:val="005C11A3"/>
    <w:rsid w:val="005C12AF"/>
    <w:rsid w:val="005C1426"/>
    <w:rsid w:val="005C144D"/>
    <w:rsid w:val="005C1563"/>
    <w:rsid w:val="005C17B7"/>
    <w:rsid w:val="005C17FE"/>
    <w:rsid w:val="005C18FD"/>
    <w:rsid w:val="005C1A90"/>
    <w:rsid w:val="005C1B28"/>
    <w:rsid w:val="005C1B41"/>
    <w:rsid w:val="005C1C3D"/>
    <w:rsid w:val="005C1C4B"/>
    <w:rsid w:val="005C1C72"/>
    <w:rsid w:val="005C1E1A"/>
    <w:rsid w:val="005C1ED2"/>
    <w:rsid w:val="005C1FD7"/>
    <w:rsid w:val="005C203F"/>
    <w:rsid w:val="005C236F"/>
    <w:rsid w:val="005C2393"/>
    <w:rsid w:val="005C2473"/>
    <w:rsid w:val="005C259D"/>
    <w:rsid w:val="005C25B7"/>
    <w:rsid w:val="005C2727"/>
    <w:rsid w:val="005C276D"/>
    <w:rsid w:val="005C2992"/>
    <w:rsid w:val="005C2A5A"/>
    <w:rsid w:val="005C2AC7"/>
    <w:rsid w:val="005C2B07"/>
    <w:rsid w:val="005C2BB6"/>
    <w:rsid w:val="005C2E55"/>
    <w:rsid w:val="005C2FFF"/>
    <w:rsid w:val="005C304B"/>
    <w:rsid w:val="005C30C4"/>
    <w:rsid w:val="005C3215"/>
    <w:rsid w:val="005C33C0"/>
    <w:rsid w:val="005C38A9"/>
    <w:rsid w:val="005C38BF"/>
    <w:rsid w:val="005C38D5"/>
    <w:rsid w:val="005C39C6"/>
    <w:rsid w:val="005C3A98"/>
    <w:rsid w:val="005C3C40"/>
    <w:rsid w:val="005C3C97"/>
    <w:rsid w:val="005C3DDB"/>
    <w:rsid w:val="005C3DED"/>
    <w:rsid w:val="005C3EAE"/>
    <w:rsid w:val="005C3ED6"/>
    <w:rsid w:val="005C409B"/>
    <w:rsid w:val="005C40E7"/>
    <w:rsid w:val="005C4194"/>
    <w:rsid w:val="005C4199"/>
    <w:rsid w:val="005C422D"/>
    <w:rsid w:val="005C42B7"/>
    <w:rsid w:val="005C437D"/>
    <w:rsid w:val="005C44E1"/>
    <w:rsid w:val="005C48A4"/>
    <w:rsid w:val="005C49A7"/>
    <w:rsid w:val="005C4A90"/>
    <w:rsid w:val="005C4B99"/>
    <w:rsid w:val="005C4CE9"/>
    <w:rsid w:val="005C4DB8"/>
    <w:rsid w:val="005C4ED1"/>
    <w:rsid w:val="005C4F59"/>
    <w:rsid w:val="005C4FEE"/>
    <w:rsid w:val="005C5119"/>
    <w:rsid w:val="005C51EF"/>
    <w:rsid w:val="005C5210"/>
    <w:rsid w:val="005C5278"/>
    <w:rsid w:val="005C55DE"/>
    <w:rsid w:val="005C5A62"/>
    <w:rsid w:val="005C5A86"/>
    <w:rsid w:val="005C5B4D"/>
    <w:rsid w:val="005C5B7B"/>
    <w:rsid w:val="005C5CAA"/>
    <w:rsid w:val="005C5DA0"/>
    <w:rsid w:val="005C5E32"/>
    <w:rsid w:val="005C5EAF"/>
    <w:rsid w:val="005C5F39"/>
    <w:rsid w:val="005C6287"/>
    <w:rsid w:val="005C6499"/>
    <w:rsid w:val="005C64AB"/>
    <w:rsid w:val="005C64D8"/>
    <w:rsid w:val="005C64EB"/>
    <w:rsid w:val="005C6624"/>
    <w:rsid w:val="005C686E"/>
    <w:rsid w:val="005C689B"/>
    <w:rsid w:val="005C689F"/>
    <w:rsid w:val="005C68BC"/>
    <w:rsid w:val="005C6996"/>
    <w:rsid w:val="005C6B3E"/>
    <w:rsid w:val="005C6DE2"/>
    <w:rsid w:val="005C6E73"/>
    <w:rsid w:val="005C6E88"/>
    <w:rsid w:val="005C6FA3"/>
    <w:rsid w:val="005C6FE7"/>
    <w:rsid w:val="005C7150"/>
    <w:rsid w:val="005C7463"/>
    <w:rsid w:val="005C74B0"/>
    <w:rsid w:val="005C758E"/>
    <w:rsid w:val="005C776A"/>
    <w:rsid w:val="005C77A5"/>
    <w:rsid w:val="005C77C5"/>
    <w:rsid w:val="005C799B"/>
    <w:rsid w:val="005C7A13"/>
    <w:rsid w:val="005C7A63"/>
    <w:rsid w:val="005C7AD5"/>
    <w:rsid w:val="005C7BBB"/>
    <w:rsid w:val="005C7C48"/>
    <w:rsid w:val="005C7D92"/>
    <w:rsid w:val="005C7DC5"/>
    <w:rsid w:val="005D00EC"/>
    <w:rsid w:val="005D01D3"/>
    <w:rsid w:val="005D032D"/>
    <w:rsid w:val="005D04D9"/>
    <w:rsid w:val="005D079F"/>
    <w:rsid w:val="005D0929"/>
    <w:rsid w:val="005D0ABF"/>
    <w:rsid w:val="005D0ADB"/>
    <w:rsid w:val="005D0C10"/>
    <w:rsid w:val="005D0C30"/>
    <w:rsid w:val="005D0D8D"/>
    <w:rsid w:val="005D1087"/>
    <w:rsid w:val="005D10F0"/>
    <w:rsid w:val="005D1177"/>
    <w:rsid w:val="005D117F"/>
    <w:rsid w:val="005D145F"/>
    <w:rsid w:val="005D1527"/>
    <w:rsid w:val="005D1907"/>
    <w:rsid w:val="005D1952"/>
    <w:rsid w:val="005D199E"/>
    <w:rsid w:val="005D1A78"/>
    <w:rsid w:val="005D1AF1"/>
    <w:rsid w:val="005D1B5C"/>
    <w:rsid w:val="005D1BF3"/>
    <w:rsid w:val="005D1DC6"/>
    <w:rsid w:val="005D1E0B"/>
    <w:rsid w:val="005D1EF1"/>
    <w:rsid w:val="005D1EF2"/>
    <w:rsid w:val="005D1F22"/>
    <w:rsid w:val="005D206E"/>
    <w:rsid w:val="005D217B"/>
    <w:rsid w:val="005D239D"/>
    <w:rsid w:val="005D23F0"/>
    <w:rsid w:val="005D241E"/>
    <w:rsid w:val="005D2441"/>
    <w:rsid w:val="005D2488"/>
    <w:rsid w:val="005D2598"/>
    <w:rsid w:val="005D26DA"/>
    <w:rsid w:val="005D299E"/>
    <w:rsid w:val="005D29ED"/>
    <w:rsid w:val="005D2A1F"/>
    <w:rsid w:val="005D2AE1"/>
    <w:rsid w:val="005D2C0A"/>
    <w:rsid w:val="005D2D3D"/>
    <w:rsid w:val="005D2EF6"/>
    <w:rsid w:val="005D319A"/>
    <w:rsid w:val="005D3255"/>
    <w:rsid w:val="005D3272"/>
    <w:rsid w:val="005D34A7"/>
    <w:rsid w:val="005D3639"/>
    <w:rsid w:val="005D36DF"/>
    <w:rsid w:val="005D371E"/>
    <w:rsid w:val="005D3763"/>
    <w:rsid w:val="005D38B7"/>
    <w:rsid w:val="005D3B8E"/>
    <w:rsid w:val="005D3E23"/>
    <w:rsid w:val="005D3F30"/>
    <w:rsid w:val="005D4214"/>
    <w:rsid w:val="005D4306"/>
    <w:rsid w:val="005D49E3"/>
    <w:rsid w:val="005D4A29"/>
    <w:rsid w:val="005D4D33"/>
    <w:rsid w:val="005D5043"/>
    <w:rsid w:val="005D509F"/>
    <w:rsid w:val="005D50B3"/>
    <w:rsid w:val="005D50C0"/>
    <w:rsid w:val="005D5143"/>
    <w:rsid w:val="005D5383"/>
    <w:rsid w:val="005D5433"/>
    <w:rsid w:val="005D544A"/>
    <w:rsid w:val="005D54D2"/>
    <w:rsid w:val="005D5595"/>
    <w:rsid w:val="005D5617"/>
    <w:rsid w:val="005D57A5"/>
    <w:rsid w:val="005D57E3"/>
    <w:rsid w:val="005D599B"/>
    <w:rsid w:val="005D602F"/>
    <w:rsid w:val="005D6075"/>
    <w:rsid w:val="005D624C"/>
    <w:rsid w:val="005D63A2"/>
    <w:rsid w:val="005D63B3"/>
    <w:rsid w:val="005D644E"/>
    <w:rsid w:val="005D6553"/>
    <w:rsid w:val="005D666A"/>
    <w:rsid w:val="005D66DB"/>
    <w:rsid w:val="005D683A"/>
    <w:rsid w:val="005D6AA0"/>
    <w:rsid w:val="005D6B1A"/>
    <w:rsid w:val="005D6B1D"/>
    <w:rsid w:val="005D6B97"/>
    <w:rsid w:val="005D6DE0"/>
    <w:rsid w:val="005D6F94"/>
    <w:rsid w:val="005D7242"/>
    <w:rsid w:val="005D72DC"/>
    <w:rsid w:val="005D7367"/>
    <w:rsid w:val="005D7381"/>
    <w:rsid w:val="005D7478"/>
    <w:rsid w:val="005D75FB"/>
    <w:rsid w:val="005D76CC"/>
    <w:rsid w:val="005D76F6"/>
    <w:rsid w:val="005D7910"/>
    <w:rsid w:val="005D793A"/>
    <w:rsid w:val="005D7A3A"/>
    <w:rsid w:val="005D7A83"/>
    <w:rsid w:val="005D7A8B"/>
    <w:rsid w:val="005D7B35"/>
    <w:rsid w:val="005D7BC8"/>
    <w:rsid w:val="005D7C2B"/>
    <w:rsid w:val="005D7D81"/>
    <w:rsid w:val="005E02C2"/>
    <w:rsid w:val="005E02E3"/>
    <w:rsid w:val="005E0469"/>
    <w:rsid w:val="005E05E9"/>
    <w:rsid w:val="005E0658"/>
    <w:rsid w:val="005E081E"/>
    <w:rsid w:val="005E08A5"/>
    <w:rsid w:val="005E08FF"/>
    <w:rsid w:val="005E0B35"/>
    <w:rsid w:val="005E0BD6"/>
    <w:rsid w:val="005E0C80"/>
    <w:rsid w:val="005E0CE2"/>
    <w:rsid w:val="005E0E12"/>
    <w:rsid w:val="005E0E1B"/>
    <w:rsid w:val="005E11AB"/>
    <w:rsid w:val="005E12B3"/>
    <w:rsid w:val="005E13F0"/>
    <w:rsid w:val="005E143E"/>
    <w:rsid w:val="005E169C"/>
    <w:rsid w:val="005E16F0"/>
    <w:rsid w:val="005E190E"/>
    <w:rsid w:val="005E19E4"/>
    <w:rsid w:val="005E1A95"/>
    <w:rsid w:val="005E1AD9"/>
    <w:rsid w:val="005E1B82"/>
    <w:rsid w:val="005E1BAE"/>
    <w:rsid w:val="005E1C05"/>
    <w:rsid w:val="005E1D73"/>
    <w:rsid w:val="005E1E2C"/>
    <w:rsid w:val="005E1E31"/>
    <w:rsid w:val="005E2113"/>
    <w:rsid w:val="005E2268"/>
    <w:rsid w:val="005E22BB"/>
    <w:rsid w:val="005E2449"/>
    <w:rsid w:val="005E2545"/>
    <w:rsid w:val="005E2659"/>
    <w:rsid w:val="005E2693"/>
    <w:rsid w:val="005E2851"/>
    <w:rsid w:val="005E2896"/>
    <w:rsid w:val="005E28BE"/>
    <w:rsid w:val="005E2914"/>
    <w:rsid w:val="005E2960"/>
    <w:rsid w:val="005E2990"/>
    <w:rsid w:val="005E2A2B"/>
    <w:rsid w:val="005E2B9B"/>
    <w:rsid w:val="005E2BEF"/>
    <w:rsid w:val="005E2F65"/>
    <w:rsid w:val="005E308D"/>
    <w:rsid w:val="005E330E"/>
    <w:rsid w:val="005E3316"/>
    <w:rsid w:val="005E35D6"/>
    <w:rsid w:val="005E3696"/>
    <w:rsid w:val="005E3941"/>
    <w:rsid w:val="005E3B2C"/>
    <w:rsid w:val="005E3C4B"/>
    <w:rsid w:val="005E3C70"/>
    <w:rsid w:val="005E3DFC"/>
    <w:rsid w:val="005E40A7"/>
    <w:rsid w:val="005E4194"/>
    <w:rsid w:val="005E41B5"/>
    <w:rsid w:val="005E4418"/>
    <w:rsid w:val="005E45AC"/>
    <w:rsid w:val="005E489F"/>
    <w:rsid w:val="005E48DE"/>
    <w:rsid w:val="005E4953"/>
    <w:rsid w:val="005E4FB3"/>
    <w:rsid w:val="005E504C"/>
    <w:rsid w:val="005E510E"/>
    <w:rsid w:val="005E5342"/>
    <w:rsid w:val="005E53B5"/>
    <w:rsid w:val="005E54CF"/>
    <w:rsid w:val="005E55D8"/>
    <w:rsid w:val="005E57D4"/>
    <w:rsid w:val="005E5833"/>
    <w:rsid w:val="005E58B6"/>
    <w:rsid w:val="005E5982"/>
    <w:rsid w:val="005E5B63"/>
    <w:rsid w:val="005E5CA4"/>
    <w:rsid w:val="005E5D7F"/>
    <w:rsid w:val="005E5EC2"/>
    <w:rsid w:val="005E5FAC"/>
    <w:rsid w:val="005E6016"/>
    <w:rsid w:val="005E6022"/>
    <w:rsid w:val="005E60E4"/>
    <w:rsid w:val="005E6750"/>
    <w:rsid w:val="005E67E4"/>
    <w:rsid w:val="005E6855"/>
    <w:rsid w:val="005E6B0B"/>
    <w:rsid w:val="005E6B27"/>
    <w:rsid w:val="005E6F13"/>
    <w:rsid w:val="005E718F"/>
    <w:rsid w:val="005E74EE"/>
    <w:rsid w:val="005E7574"/>
    <w:rsid w:val="005E75FD"/>
    <w:rsid w:val="005E7818"/>
    <w:rsid w:val="005E7938"/>
    <w:rsid w:val="005E7998"/>
    <w:rsid w:val="005E7A57"/>
    <w:rsid w:val="005E7B22"/>
    <w:rsid w:val="005E7EC1"/>
    <w:rsid w:val="005F012A"/>
    <w:rsid w:val="005F0217"/>
    <w:rsid w:val="005F0297"/>
    <w:rsid w:val="005F02AC"/>
    <w:rsid w:val="005F040F"/>
    <w:rsid w:val="005F049A"/>
    <w:rsid w:val="005F04D8"/>
    <w:rsid w:val="005F066F"/>
    <w:rsid w:val="005F06A5"/>
    <w:rsid w:val="005F0777"/>
    <w:rsid w:val="005F0904"/>
    <w:rsid w:val="005F0978"/>
    <w:rsid w:val="005F0A0D"/>
    <w:rsid w:val="005F0AA9"/>
    <w:rsid w:val="005F0AF1"/>
    <w:rsid w:val="005F0BF4"/>
    <w:rsid w:val="005F0C22"/>
    <w:rsid w:val="005F0E49"/>
    <w:rsid w:val="005F0E7A"/>
    <w:rsid w:val="005F0F8E"/>
    <w:rsid w:val="005F1066"/>
    <w:rsid w:val="005F16E8"/>
    <w:rsid w:val="005F1892"/>
    <w:rsid w:val="005F1910"/>
    <w:rsid w:val="005F1A28"/>
    <w:rsid w:val="005F1AD0"/>
    <w:rsid w:val="005F1DAE"/>
    <w:rsid w:val="005F1E36"/>
    <w:rsid w:val="005F1F1F"/>
    <w:rsid w:val="005F2341"/>
    <w:rsid w:val="005F23CB"/>
    <w:rsid w:val="005F24D4"/>
    <w:rsid w:val="005F2547"/>
    <w:rsid w:val="005F2781"/>
    <w:rsid w:val="005F28C4"/>
    <w:rsid w:val="005F297D"/>
    <w:rsid w:val="005F29CC"/>
    <w:rsid w:val="005F29CD"/>
    <w:rsid w:val="005F2CC0"/>
    <w:rsid w:val="005F2FE5"/>
    <w:rsid w:val="005F3009"/>
    <w:rsid w:val="005F306D"/>
    <w:rsid w:val="005F312B"/>
    <w:rsid w:val="005F314E"/>
    <w:rsid w:val="005F32A7"/>
    <w:rsid w:val="005F32DF"/>
    <w:rsid w:val="005F3330"/>
    <w:rsid w:val="005F36AD"/>
    <w:rsid w:val="005F37C5"/>
    <w:rsid w:val="005F37D9"/>
    <w:rsid w:val="005F3861"/>
    <w:rsid w:val="005F3967"/>
    <w:rsid w:val="005F39A5"/>
    <w:rsid w:val="005F39FB"/>
    <w:rsid w:val="005F3E8B"/>
    <w:rsid w:val="005F3E91"/>
    <w:rsid w:val="005F421A"/>
    <w:rsid w:val="005F439A"/>
    <w:rsid w:val="005F45B2"/>
    <w:rsid w:val="005F4607"/>
    <w:rsid w:val="005F46B6"/>
    <w:rsid w:val="005F474B"/>
    <w:rsid w:val="005F47BF"/>
    <w:rsid w:val="005F4843"/>
    <w:rsid w:val="005F48E7"/>
    <w:rsid w:val="005F4A11"/>
    <w:rsid w:val="005F4A9F"/>
    <w:rsid w:val="005F4B04"/>
    <w:rsid w:val="005F4B65"/>
    <w:rsid w:val="005F4BF8"/>
    <w:rsid w:val="005F4C30"/>
    <w:rsid w:val="005F4C89"/>
    <w:rsid w:val="005F4DE4"/>
    <w:rsid w:val="005F4F04"/>
    <w:rsid w:val="005F4F39"/>
    <w:rsid w:val="005F4F60"/>
    <w:rsid w:val="005F5283"/>
    <w:rsid w:val="005F52F8"/>
    <w:rsid w:val="005F5345"/>
    <w:rsid w:val="005F541B"/>
    <w:rsid w:val="005F54DD"/>
    <w:rsid w:val="005F5507"/>
    <w:rsid w:val="005F5649"/>
    <w:rsid w:val="005F5663"/>
    <w:rsid w:val="005F568F"/>
    <w:rsid w:val="005F581C"/>
    <w:rsid w:val="005F59D0"/>
    <w:rsid w:val="005F5B75"/>
    <w:rsid w:val="005F5CCA"/>
    <w:rsid w:val="005F5CCF"/>
    <w:rsid w:val="005F5CD7"/>
    <w:rsid w:val="005F5FBA"/>
    <w:rsid w:val="005F616F"/>
    <w:rsid w:val="005F621F"/>
    <w:rsid w:val="005F63A2"/>
    <w:rsid w:val="005F63FF"/>
    <w:rsid w:val="005F643D"/>
    <w:rsid w:val="005F6542"/>
    <w:rsid w:val="005F664A"/>
    <w:rsid w:val="005F66DB"/>
    <w:rsid w:val="005F682E"/>
    <w:rsid w:val="005F6874"/>
    <w:rsid w:val="005F6952"/>
    <w:rsid w:val="005F6A12"/>
    <w:rsid w:val="005F6A25"/>
    <w:rsid w:val="005F6B68"/>
    <w:rsid w:val="005F6BA9"/>
    <w:rsid w:val="005F6CE4"/>
    <w:rsid w:val="005F6D52"/>
    <w:rsid w:val="005F6DC2"/>
    <w:rsid w:val="005F6DF0"/>
    <w:rsid w:val="005F6EE2"/>
    <w:rsid w:val="005F7060"/>
    <w:rsid w:val="005F70D4"/>
    <w:rsid w:val="005F72ED"/>
    <w:rsid w:val="005F750F"/>
    <w:rsid w:val="005F76A5"/>
    <w:rsid w:val="005F76FF"/>
    <w:rsid w:val="005F7824"/>
    <w:rsid w:val="005F7995"/>
    <w:rsid w:val="005F79CA"/>
    <w:rsid w:val="005F7A31"/>
    <w:rsid w:val="005F7D83"/>
    <w:rsid w:val="005F7DE5"/>
    <w:rsid w:val="005F7E94"/>
    <w:rsid w:val="005F7EE7"/>
    <w:rsid w:val="00600010"/>
    <w:rsid w:val="006000BA"/>
    <w:rsid w:val="006000ED"/>
    <w:rsid w:val="006001D0"/>
    <w:rsid w:val="00600541"/>
    <w:rsid w:val="006005C2"/>
    <w:rsid w:val="006008B4"/>
    <w:rsid w:val="006009C3"/>
    <w:rsid w:val="00600A75"/>
    <w:rsid w:val="00600B37"/>
    <w:rsid w:val="00600BEE"/>
    <w:rsid w:val="00600CD0"/>
    <w:rsid w:val="00600D55"/>
    <w:rsid w:val="00600EA2"/>
    <w:rsid w:val="0060108F"/>
    <w:rsid w:val="00601113"/>
    <w:rsid w:val="00601267"/>
    <w:rsid w:val="006012FD"/>
    <w:rsid w:val="00601425"/>
    <w:rsid w:val="006015D1"/>
    <w:rsid w:val="00601691"/>
    <w:rsid w:val="006018EC"/>
    <w:rsid w:val="006018F7"/>
    <w:rsid w:val="006018FA"/>
    <w:rsid w:val="00601BAD"/>
    <w:rsid w:val="00601BBD"/>
    <w:rsid w:val="00601DA6"/>
    <w:rsid w:val="00601F15"/>
    <w:rsid w:val="0060210E"/>
    <w:rsid w:val="006021D0"/>
    <w:rsid w:val="006022A1"/>
    <w:rsid w:val="00602397"/>
    <w:rsid w:val="00602409"/>
    <w:rsid w:val="006024BB"/>
    <w:rsid w:val="00602694"/>
    <w:rsid w:val="006026A2"/>
    <w:rsid w:val="0060279C"/>
    <w:rsid w:val="00602B87"/>
    <w:rsid w:val="00602D61"/>
    <w:rsid w:val="0060310C"/>
    <w:rsid w:val="006031A8"/>
    <w:rsid w:val="006031F2"/>
    <w:rsid w:val="006032A7"/>
    <w:rsid w:val="00603372"/>
    <w:rsid w:val="0060337D"/>
    <w:rsid w:val="006034E6"/>
    <w:rsid w:val="0060353D"/>
    <w:rsid w:val="00603628"/>
    <w:rsid w:val="006036E6"/>
    <w:rsid w:val="006036F2"/>
    <w:rsid w:val="00603844"/>
    <w:rsid w:val="00603873"/>
    <w:rsid w:val="006038A8"/>
    <w:rsid w:val="006038BC"/>
    <w:rsid w:val="006038FC"/>
    <w:rsid w:val="00603978"/>
    <w:rsid w:val="00603995"/>
    <w:rsid w:val="00603B96"/>
    <w:rsid w:val="00603C97"/>
    <w:rsid w:val="00603DD1"/>
    <w:rsid w:val="00603E4D"/>
    <w:rsid w:val="00604057"/>
    <w:rsid w:val="006042DC"/>
    <w:rsid w:val="00604366"/>
    <w:rsid w:val="00604619"/>
    <w:rsid w:val="00604886"/>
    <w:rsid w:val="00604927"/>
    <w:rsid w:val="006049E0"/>
    <w:rsid w:val="006049E3"/>
    <w:rsid w:val="00604A8B"/>
    <w:rsid w:val="00604C10"/>
    <w:rsid w:val="00604D13"/>
    <w:rsid w:val="00604DD1"/>
    <w:rsid w:val="00604EF6"/>
    <w:rsid w:val="0060502D"/>
    <w:rsid w:val="0060505E"/>
    <w:rsid w:val="006051A3"/>
    <w:rsid w:val="00605246"/>
    <w:rsid w:val="0060567B"/>
    <w:rsid w:val="00605A3E"/>
    <w:rsid w:val="00605D0D"/>
    <w:rsid w:val="00605D35"/>
    <w:rsid w:val="00605E42"/>
    <w:rsid w:val="00605E44"/>
    <w:rsid w:val="00605F7C"/>
    <w:rsid w:val="0060609F"/>
    <w:rsid w:val="00606196"/>
    <w:rsid w:val="006062A9"/>
    <w:rsid w:val="00606550"/>
    <w:rsid w:val="006066CD"/>
    <w:rsid w:val="0060672E"/>
    <w:rsid w:val="006068AB"/>
    <w:rsid w:val="006068F7"/>
    <w:rsid w:val="00606A65"/>
    <w:rsid w:val="00606BC5"/>
    <w:rsid w:val="00606BD6"/>
    <w:rsid w:val="00606C48"/>
    <w:rsid w:val="00606D1E"/>
    <w:rsid w:val="00606E9C"/>
    <w:rsid w:val="0060701A"/>
    <w:rsid w:val="0060732A"/>
    <w:rsid w:val="0060745E"/>
    <w:rsid w:val="00607492"/>
    <w:rsid w:val="006074A6"/>
    <w:rsid w:val="00607568"/>
    <w:rsid w:val="006075AD"/>
    <w:rsid w:val="006077DD"/>
    <w:rsid w:val="006077FD"/>
    <w:rsid w:val="00607908"/>
    <w:rsid w:val="0060794E"/>
    <w:rsid w:val="0060797D"/>
    <w:rsid w:val="006079BE"/>
    <w:rsid w:val="00607A5F"/>
    <w:rsid w:val="00607AE5"/>
    <w:rsid w:val="00607E9A"/>
    <w:rsid w:val="00607F49"/>
    <w:rsid w:val="00607F7C"/>
    <w:rsid w:val="00610105"/>
    <w:rsid w:val="0061022C"/>
    <w:rsid w:val="00610316"/>
    <w:rsid w:val="0061046C"/>
    <w:rsid w:val="0061046D"/>
    <w:rsid w:val="006104F1"/>
    <w:rsid w:val="006104FF"/>
    <w:rsid w:val="00610535"/>
    <w:rsid w:val="006108B1"/>
    <w:rsid w:val="00610988"/>
    <w:rsid w:val="0061099A"/>
    <w:rsid w:val="00610A90"/>
    <w:rsid w:val="00610C58"/>
    <w:rsid w:val="00610CC3"/>
    <w:rsid w:val="00610D83"/>
    <w:rsid w:val="00610EA5"/>
    <w:rsid w:val="00610F69"/>
    <w:rsid w:val="00610FC2"/>
    <w:rsid w:val="006110C6"/>
    <w:rsid w:val="00611301"/>
    <w:rsid w:val="006113B5"/>
    <w:rsid w:val="006113BE"/>
    <w:rsid w:val="0061161B"/>
    <w:rsid w:val="0061185A"/>
    <w:rsid w:val="00611895"/>
    <w:rsid w:val="00611899"/>
    <w:rsid w:val="0061197B"/>
    <w:rsid w:val="00611A4E"/>
    <w:rsid w:val="00611A93"/>
    <w:rsid w:val="00611C4C"/>
    <w:rsid w:val="00611CD0"/>
    <w:rsid w:val="00611D07"/>
    <w:rsid w:val="0061203A"/>
    <w:rsid w:val="00612119"/>
    <w:rsid w:val="006121C6"/>
    <w:rsid w:val="006124C6"/>
    <w:rsid w:val="006124E7"/>
    <w:rsid w:val="0061252C"/>
    <w:rsid w:val="00612861"/>
    <w:rsid w:val="006128CC"/>
    <w:rsid w:val="006128EB"/>
    <w:rsid w:val="00612ADA"/>
    <w:rsid w:val="00612AE8"/>
    <w:rsid w:val="00612C08"/>
    <w:rsid w:val="00612C89"/>
    <w:rsid w:val="00612D3B"/>
    <w:rsid w:val="00612F5C"/>
    <w:rsid w:val="00612F75"/>
    <w:rsid w:val="00612F87"/>
    <w:rsid w:val="00613060"/>
    <w:rsid w:val="0061334F"/>
    <w:rsid w:val="006133CD"/>
    <w:rsid w:val="006133DE"/>
    <w:rsid w:val="00613710"/>
    <w:rsid w:val="0061376A"/>
    <w:rsid w:val="006137D4"/>
    <w:rsid w:val="00613827"/>
    <w:rsid w:val="006138B3"/>
    <w:rsid w:val="00613A45"/>
    <w:rsid w:val="00613B96"/>
    <w:rsid w:val="00613EF1"/>
    <w:rsid w:val="00614019"/>
    <w:rsid w:val="006140AB"/>
    <w:rsid w:val="0061424A"/>
    <w:rsid w:val="00614273"/>
    <w:rsid w:val="006142C7"/>
    <w:rsid w:val="006148C2"/>
    <w:rsid w:val="00614978"/>
    <w:rsid w:val="00614A04"/>
    <w:rsid w:val="00614B95"/>
    <w:rsid w:val="00614E16"/>
    <w:rsid w:val="00614E61"/>
    <w:rsid w:val="00614F89"/>
    <w:rsid w:val="00615044"/>
    <w:rsid w:val="00615138"/>
    <w:rsid w:val="0061533F"/>
    <w:rsid w:val="0061562D"/>
    <w:rsid w:val="00615660"/>
    <w:rsid w:val="006156D5"/>
    <w:rsid w:val="006156E2"/>
    <w:rsid w:val="006157F0"/>
    <w:rsid w:val="00615930"/>
    <w:rsid w:val="00615984"/>
    <w:rsid w:val="00615C53"/>
    <w:rsid w:val="00615DCA"/>
    <w:rsid w:val="00615E9F"/>
    <w:rsid w:val="00616110"/>
    <w:rsid w:val="0061611E"/>
    <w:rsid w:val="0061612D"/>
    <w:rsid w:val="00616161"/>
    <w:rsid w:val="006161DA"/>
    <w:rsid w:val="006161E5"/>
    <w:rsid w:val="0061634D"/>
    <w:rsid w:val="006163FA"/>
    <w:rsid w:val="006164C2"/>
    <w:rsid w:val="0061656B"/>
    <w:rsid w:val="00616578"/>
    <w:rsid w:val="006165A1"/>
    <w:rsid w:val="006165BB"/>
    <w:rsid w:val="00616683"/>
    <w:rsid w:val="006167E2"/>
    <w:rsid w:val="00616911"/>
    <w:rsid w:val="00616954"/>
    <w:rsid w:val="00616A74"/>
    <w:rsid w:val="00616C5E"/>
    <w:rsid w:val="00616D83"/>
    <w:rsid w:val="00616DCE"/>
    <w:rsid w:val="00616E8A"/>
    <w:rsid w:val="00616F04"/>
    <w:rsid w:val="00616F2F"/>
    <w:rsid w:val="00616FC3"/>
    <w:rsid w:val="00616FE5"/>
    <w:rsid w:val="006170C7"/>
    <w:rsid w:val="00617266"/>
    <w:rsid w:val="00617373"/>
    <w:rsid w:val="0061737B"/>
    <w:rsid w:val="00617468"/>
    <w:rsid w:val="00617629"/>
    <w:rsid w:val="00617678"/>
    <w:rsid w:val="006176C6"/>
    <w:rsid w:val="006176E1"/>
    <w:rsid w:val="0061772D"/>
    <w:rsid w:val="00617779"/>
    <w:rsid w:val="0061779F"/>
    <w:rsid w:val="00617A34"/>
    <w:rsid w:val="00617AD9"/>
    <w:rsid w:val="00617BB4"/>
    <w:rsid w:val="00617DEB"/>
    <w:rsid w:val="00617EAE"/>
    <w:rsid w:val="00617EB2"/>
    <w:rsid w:val="00620033"/>
    <w:rsid w:val="00620123"/>
    <w:rsid w:val="006204C2"/>
    <w:rsid w:val="006206D7"/>
    <w:rsid w:val="006208FA"/>
    <w:rsid w:val="00620916"/>
    <w:rsid w:val="0062098B"/>
    <w:rsid w:val="00620B15"/>
    <w:rsid w:val="00620B72"/>
    <w:rsid w:val="00620BA9"/>
    <w:rsid w:val="00620BE3"/>
    <w:rsid w:val="00620D30"/>
    <w:rsid w:val="00620DBC"/>
    <w:rsid w:val="00620EB7"/>
    <w:rsid w:val="00620EBC"/>
    <w:rsid w:val="00620F3A"/>
    <w:rsid w:val="00621002"/>
    <w:rsid w:val="00621080"/>
    <w:rsid w:val="00621141"/>
    <w:rsid w:val="0062123C"/>
    <w:rsid w:val="006213B0"/>
    <w:rsid w:val="006214DB"/>
    <w:rsid w:val="006215BB"/>
    <w:rsid w:val="00621644"/>
    <w:rsid w:val="0062175A"/>
    <w:rsid w:val="006218D4"/>
    <w:rsid w:val="00621A20"/>
    <w:rsid w:val="00621A61"/>
    <w:rsid w:val="00621ADC"/>
    <w:rsid w:val="00621AFA"/>
    <w:rsid w:val="00621B91"/>
    <w:rsid w:val="00621C2D"/>
    <w:rsid w:val="00621FD8"/>
    <w:rsid w:val="0062243A"/>
    <w:rsid w:val="00622464"/>
    <w:rsid w:val="0062246C"/>
    <w:rsid w:val="0062255B"/>
    <w:rsid w:val="0062284A"/>
    <w:rsid w:val="00622AD4"/>
    <w:rsid w:val="00622BD3"/>
    <w:rsid w:val="00622F11"/>
    <w:rsid w:val="00622FBB"/>
    <w:rsid w:val="0062318E"/>
    <w:rsid w:val="006231A4"/>
    <w:rsid w:val="006232CC"/>
    <w:rsid w:val="006232D3"/>
    <w:rsid w:val="006232DC"/>
    <w:rsid w:val="006234E2"/>
    <w:rsid w:val="00623593"/>
    <w:rsid w:val="006235FD"/>
    <w:rsid w:val="006236DE"/>
    <w:rsid w:val="00623887"/>
    <w:rsid w:val="006238D9"/>
    <w:rsid w:val="00623AD2"/>
    <w:rsid w:val="00623B8E"/>
    <w:rsid w:val="00623D09"/>
    <w:rsid w:val="00623D93"/>
    <w:rsid w:val="00623EE8"/>
    <w:rsid w:val="00624085"/>
    <w:rsid w:val="006240B1"/>
    <w:rsid w:val="006240F6"/>
    <w:rsid w:val="006241E4"/>
    <w:rsid w:val="006242E1"/>
    <w:rsid w:val="00624359"/>
    <w:rsid w:val="006243CF"/>
    <w:rsid w:val="0062463C"/>
    <w:rsid w:val="006248D9"/>
    <w:rsid w:val="00624A85"/>
    <w:rsid w:val="00624A91"/>
    <w:rsid w:val="00624B22"/>
    <w:rsid w:val="00624CF6"/>
    <w:rsid w:val="00624E77"/>
    <w:rsid w:val="0062510A"/>
    <w:rsid w:val="0062521A"/>
    <w:rsid w:val="00625457"/>
    <w:rsid w:val="006255C1"/>
    <w:rsid w:val="00625610"/>
    <w:rsid w:val="00625709"/>
    <w:rsid w:val="0062578A"/>
    <w:rsid w:val="006258EE"/>
    <w:rsid w:val="0062593F"/>
    <w:rsid w:val="006259FC"/>
    <w:rsid w:val="00625AC4"/>
    <w:rsid w:val="00625BD9"/>
    <w:rsid w:val="00625E79"/>
    <w:rsid w:val="00625F3C"/>
    <w:rsid w:val="00625FBE"/>
    <w:rsid w:val="00626109"/>
    <w:rsid w:val="0062619D"/>
    <w:rsid w:val="0062628D"/>
    <w:rsid w:val="006262B5"/>
    <w:rsid w:val="0062633C"/>
    <w:rsid w:val="0062639A"/>
    <w:rsid w:val="006265FC"/>
    <w:rsid w:val="00626623"/>
    <w:rsid w:val="006266EF"/>
    <w:rsid w:val="0062671B"/>
    <w:rsid w:val="006268B7"/>
    <w:rsid w:val="00626A34"/>
    <w:rsid w:val="00626CAD"/>
    <w:rsid w:val="00626F10"/>
    <w:rsid w:val="0062701C"/>
    <w:rsid w:val="00627046"/>
    <w:rsid w:val="00627160"/>
    <w:rsid w:val="006272B3"/>
    <w:rsid w:val="0062731E"/>
    <w:rsid w:val="00627627"/>
    <w:rsid w:val="00627750"/>
    <w:rsid w:val="0062777F"/>
    <w:rsid w:val="006277F0"/>
    <w:rsid w:val="00627804"/>
    <w:rsid w:val="00627814"/>
    <w:rsid w:val="00627863"/>
    <w:rsid w:val="006278AE"/>
    <w:rsid w:val="00627CA9"/>
    <w:rsid w:val="00627DF1"/>
    <w:rsid w:val="00627EF6"/>
    <w:rsid w:val="00627F1C"/>
    <w:rsid w:val="00627F91"/>
    <w:rsid w:val="006307E9"/>
    <w:rsid w:val="006308F3"/>
    <w:rsid w:val="0063094F"/>
    <w:rsid w:val="00630989"/>
    <w:rsid w:val="00630AAA"/>
    <w:rsid w:val="00630C0C"/>
    <w:rsid w:val="00630C13"/>
    <w:rsid w:val="00630CC2"/>
    <w:rsid w:val="00630CEE"/>
    <w:rsid w:val="00630D1B"/>
    <w:rsid w:val="00630ED1"/>
    <w:rsid w:val="00630FC8"/>
    <w:rsid w:val="00631191"/>
    <w:rsid w:val="0063122E"/>
    <w:rsid w:val="0063131B"/>
    <w:rsid w:val="0063139B"/>
    <w:rsid w:val="0063143A"/>
    <w:rsid w:val="006318F8"/>
    <w:rsid w:val="006319E4"/>
    <w:rsid w:val="00631E5C"/>
    <w:rsid w:val="00631EBA"/>
    <w:rsid w:val="00631F5A"/>
    <w:rsid w:val="006323F7"/>
    <w:rsid w:val="00632527"/>
    <w:rsid w:val="006327BE"/>
    <w:rsid w:val="0063280F"/>
    <w:rsid w:val="00632911"/>
    <w:rsid w:val="00632981"/>
    <w:rsid w:val="006329BD"/>
    <w:rsid w:val="006329D0"/>
    <w:rsid w:val="00632A00"/>
    <w:rsid w:val="00632A35"/>
    <w:rsid w:val="00632A7E"/>
    <w:rsid w:val="00632C24"/>
    <w:rsid w:val="00632D3C"/>
    <w:rsid w:val="00632FEA"/>
    <w:rsid w:val="0063307C"/>
    <w:rsid w:val="0063315A"/>
    <w:rsid w:val="0063320B"/>
    <w:rsid w:val="00633228"/>
    <w:rsid w:val="006332CE"/>
    <w:rsid w:val="0063345A"/>
    <w:rsid w:val="00633575"/>
    <w:rsid w:val="006335A3"/>
    <w:rsid w:val="006338E9"/>
    <w:rsid w:val="00633E7D"/>
    <w:rsid w:val="0063404B"/>
    <w:rsid w:val="006340FE"/>
    <w:rsid w:val="00634127"/>
    <w:rsid w:val="0063421D"/>
    <w:rsid w:val="0063422D"/>
    <w:rsid w:val="00634360"/>
    <w:rsid w:val="006343BC"/>
    <w:rsid w:val="0063459D"/>
    <w:rsid w:val="006345E5"/>
    <w:rsid w:val="0063470A"/>
    <w:rsid w:val="00634876"/>
    <w:rsid w:val="0063487F"/>
    <w:rsid w:val="006348B5"/>
    <w:rsid w:val="006349C7"/>
    <w:rsid w:val="00634AAE"/>
    <w:rsid w:val="00634AD4"/>
    <w:rsid w:val="00634C18"/>
    <w:rsid w:val="00634F51"/>
    <w:rsid w:val="00635122"/>
    <w:rsid w:val="006352F8"/>
    <w:rsid w:val="0063555B"/>
    <w:rsid w:val="0063558C"/>
    <w:rsid w:val="00635647"/>
    <w:rsid w:val="00635665"/>
    <w:rsid w:val="006356F1"/>
    <w:rsid w:val="0063578E"/>
    <w:rsid w:val="0063583F"/>
    <w:rsid w:val="006359D0"/>
    <w:rsid w:val="006359E9"/>
    <w:rsid w:val="00635A91"/>
    <w:rsid w:val="00635B25"/>
    <w:rsid w:val="00635CA6"/>
    <w:rsid w:val="00635E1B"/>
    <w:rsid w:val="00635E31"/>
    <w:rsid w:val="00635F19"/>
    <w:rsid w:val="00635F82"/>
    <w:rsid w:val="00636292"/>
    <w:rsid w:val="0063631A"/>
    <w:rsid w:val="00636501"/>
    <w:rsid w:val="0063652A"/>
    <w:rsid w:val="00636724"/>
    <w:rsid w:val="00636831"/>
    <w:rsid w:val="00636942"/>
    <w:rsid w:val="00636AB7"/>
    <w:rsid w:val="00636EC0"/>
    <w:rsid w:val="006370D8"/>
    <w:rsid w:val="006370F4"/>
    <w:rsid w:val="00637340"/>
    <w:rsid w:val="006373F9"/>
    <w:rsid w:val="006375CF"/>
    <w:rsid w:val="00637663"/>
    <w:rsid w:val="00637748"/>
    <w:rsid w:val="006378BB"/>
    <w:rsid w:val="006378E6"/>
    <w:rsid w:val="006378ED"/>
    <w:rsid w:val="00640069"/>
    <w:rsid w:val="00640151"/>
    <w:rsid w:val="0064035A"/>
    <w:rsid w:val="00640416"/>
    <w:rsid w:val="00640496"/>
    <w:rsid w:val="006405D4"/>
    <w:rsid w:val="0064068E"/>
    <w:rsid w:val="006407FE"/>
    <w:rsid w:val="00640A41"/>
    <w:rsid w:val="00640A6E"/>
    <w:rsid w:val="00640B24"/>
    <w:rsid w:val="00640B71"/>
    <w:rsid w:val="00640BA6"/>
    <w:rsid w:val="0064114F"/>
    <w:rsid w:val="006412EA"/>
    <w:rsid w:val="00641402"/>
    <w:rsid w:val="0064150C"/>
    <w:rsid w:val="006415E2"/>
    <w:rsid w:val="006417B7"/>
    <w:rsid w:val="006418C6"/>
    <w:rsid w:val="006418D9"/>
    <w:rsid w:val="00641917"/>
    <w:rsid w:val="00641932"/>
    <w:rsid w:val="006419D4"/>
    <w:rsid w:val="006419E9"/>
    <w:rsid w:val="00641A15"/>
    <w:rsid w:val="00641A5F"/>
    <w:rsid w:val="00641A96"/>
    <w:rsid w:val="00641B32"/>
    <w:rsid w:val="00641F5B"/>
    <w:rsid w:val="00641F76"/>
    <w:rsid w:val="00642115"/>
    <w:rsid w:val="00642202"/>
    <w:rsid w:val="00642273"/>
    <w:rsid w:val="006422CD"/>
    <w:rsid w:val="00642443"/>
    <w:rsid w:val="0064252B"/>
    <w:rsid w:val="0064259A"/>
    <w:rsid w:val="006425AB"/>
    <w:rsid w:val="00642692"/>
    <w:rsid w:val="00642745"/>
    <w:rsid w:val="00642870"/>
    <w:rsid w:val="00642B84"/>
    <w:rsid w:val="00642BE0"/>
    <w:rsid w:val="00642C89"/>
    <w:rsid w:val="00642DAC"/>
    <w:rsid w:val="00642DC3"/>
    <w:rsid w:val="00642F95"/>
    <w:rsid w:val="00643065"/>
    <w:rsid w:val="006430C7"/>
    <w:rsid w:val="00643159"/>
    <w:rsid w:val="006431D8"/>
    <w:rsid w:val="0064336D"/>
    <w:rsid w:val="00643393"/>
    <w:rsid w:val="00643584"/>
    <w:rsid w:val="00643658"/>
    <w:rsid w:val="00643897"/>
    <w:rsid w:val="00643947"/>
    <w:rsid w:val="00643B5D"/>
    <w:rsid w:val="00643B6B"/>
    <w:rsid w:val="00643BF5"/>
    <w:rsid w:val="00643C0D"/>
    <w:rsid w:val="00643C8B"/>
    <w:rsid w:val="00643CC1"/>
    <w:rsid w:val="00643D3A"/>
    <w:rsid w:val="00643D53"/>
    <w:rsid w:val="0064447D"/>
    <w:rsid w:val="00644516"/>
    <w:rsid w:val="00644571"/>
    <w:rsid w:val="006446B7"/>
    <w:rsid w:val="00644888"/>
    <w:rsid w:val="006448AB"/>
    <w:rsid w:val="00644987"/>
    <w:rsid w:val="006449C8"/>
    <w:rsid w:val="00644B81"/>
    <w:rsid w:val="00644BEC"/>
    <w:rsid w:val="00644C65"/>
    <w:rsid w:val="00644CAE"/>
    <w:rsid w:val="00644DCB"/>
    <w:rsid w:val="00644E43"/>
    <w:rsid w:val="00644E9B"/>
    <w:rsid w:val="00645031"/>
    <w:rsid w:val="00645236"/>
    <w:rsid w:val="00645240"/>
    <w:rsid w:val="00645254"/>
    <w:rsid w:val="006452EB"/>
    <w:rsid w:val="006454E3"/>
    <w:rsid w:val="00645770"/>
    <w:rsid w:val="0064597C"/>
    <w:rsid w:val="00645B93"/>
    <w:rsid w:val="00645BDA"/>
    <w:rsid w:val="00645BF7"/>
    <w:rsid w:val="00645CDA"/>
    <w:rsid w:val="00645D6D"/>
    <w:rsid w:val="00645EF8"/>
    <w:rsid w:val="00645FB7"/>
    <w:rsid w:val="006461DB"/>
    <w:rsid w:val="00646399"/>
    <w:rsid w:val="0064665B"/>
    <w:rsid w:val="0064676A"/>
    <w:rsid w:val="00646A48"/>
    <w:rsid w:val="00646A57"/>
    <w:rsid w:val="00646B81"/>
    <w:rsid w:val="00647158"/>
    <w:rsid w:val="006473E1"/>
    <w:rsid w:val="00647561"/>
    <w:rsid w:val="00647740"/>
    <w:rsid w:val="006478D9"/>
    <w:rsid w:val="00647C82"/>
    <w:rsid w:val="00647C9D"/>
    <w:rsid w:val="00647D9D"/>
    <w:rsid w:val="00647F5F"/>
    <w:rsid w:val="00647FE7"/>
    <w:rsid w:val="00650000"/>
    <w:rsid w:val="006500A3"/>
    <w:rsid w:val="006500D8"/>
    <w:rsid w:val="00650158"/>
    <w:rsid w:val="00650195"/>
    <w:rsid w:val="006501C6"/>
    <w:rsid w:val="006502ED"/>
    <w:rsid w:val="006504F2"/>
    <w:rsid w:val="006505DC"/>
    <w:rsid w:val="00650687"/>
    <w:rsid w:val="00650706"/>
    <w:rsid w:val="0065095D"/>
    <w:rsid w:val="00650AD9"/>
    <w:rsid w:val="00650BB2"/>
    <w:rsid w:val="00650CC5"/>
    <w:rsid w:val="00650D5B"/>
    <w:rsid w:val="00650D80"/>
    <w:rsid w:val="00650DE4"/>
    <w:rsid w:val="00651037"/>
    <w:rsid w:val="00651044"/>
    <w:rsid w:val="00651085"/>
    <w:rsid w:val="006512AF"/>
    <w:rsid w:val="00651408"/>
    <w:rsid w:val="0065155B"/>
    <w:rsid w:val="00651599"/>
    <w:rsid w:val="00651671"/>
    <w:rsid w:val="00651829"/>
    <w:rsid w:val="00651958"/>
    <w:rsid w:val="006519B4"/>
    <w:rsid w:val="00651C08"/>
    <w:rsid w:val="00651D91"/>
    <w:rsid w:val="00651EF0"/>
    <w:rsid w:val="00651F0D"/>
    <w:rsid w:val="006521C1"/>
    <w:rsid w:val="00652473"/>
    <w:rsid w:val="0065247B"/>
    <w:rsid w:val="0065268D"/>
    <w:rsid w:val="006526DC"/>
    <w:rsid w:val="006526E7"/>
    <w:rsid w:val="0065298B"/>
    <w:rsid w:val="00652A19"/>
    <w:rsid w:val="00652AA5"/>
    <w:rsid w:val="00652AE2"/>
    <w:rsid w:val="00652B3B"/>
    <w:rsid w:val="00652B5E"/>
    <w:rsid w:val="00652D0E"/>
    <w:rsid w:val="00652D62"/>
    <w:rsid w:val="00652DE3"/>
    <w:rsid w:val="00652E31"/>
    <w:rsid w:val="00652F80"/>
    <w:rsid w:val="006532ED"/>
    <w:rsid w:val="006533E6"/>
    <w:rsid w:val="00653418"/>
    <w:rsid w:val="00653516"/>
    <w:rsid w:val="006535AA"/>
    <w:rsid w:val="006535C8"/>
    <w:rsid w:val="006535D6"/>
    <w:rsid w:val="006536AC"/>
    <w:rsid w:val="006536D1"/>
    <w:rsid w:val="0065371F"/>
    <w:rsid w:val="006537E3"/>
    <w:rsid w:val="0065382C"/>
    <w:rsid w:val="00653967"/>
    <w:rsid w:val="00653BA6"/>
    <w:rsid w:val="00653C0B"/>
    <w:rsid w:val="00653D51"/>
    <w:rsid w:val="00653EE0"/>
    <w:rsid w:val="00653F40"/>
    <w:rsid w:val="00653FF6"/>
    <w:rsid w:val="00654049"/>
    <w:rsid w:val="0065414E"/>
    <w:rsid w:val="006541B6"/>
    <w:rsid w:val="00654243"/>
    <w:rsid w:val="0065439A"/>
    <w:rsid w:val="00654458"/>
    <w:rsid w:val="006544B3"/>
    <w:rsid w:val="0065452F"/>
    <w:rsid w:val="0065456A"/>
    <w:rsid w:val="006548CB"/>
    <w:rsid w:val="00654ACF"/>
    <w:rsid w:val="00654BAB"/>
    <w:rsid w:val="00654C90"/>
    <w:rsid w:val="00654CA3"/>
    <w:rsid w:val="00654CC4"/>
    <w:rsid w:val="00654D57"/>
    <w:rsid w:val="006550E1"/>
    <w:rsid w:val="006552D6"/>
    <w:rsid w:val="0065530E"/>
    <w:rsid w:val="0065537F"/>
    <w:rsid w:val="00655555"/>
    <w:rsid w:val="0065563C"/>
    <w:rsid w:val="0065569B"/>
    <w:rsid w:val="0065585F"/>
    <w:rsid w:val="00655895"/>
    <w:rsid w:val="00655A40"/>
    <w:rsid w:val="00655ADC"/>
    <w:rsid w:val="00655B25"/>
    <w:rsid w:val="00655C96"/>
    <w:rsid w:val="00655C9F"/>
    <w:rsid w:val="00655F26"/>
    <w:rsid w:val="00655F80"/>
    <w:rsid w:val="00656214"/>
    <w:rsid w:val="006562B4"/>
    <w:rsid w:val="00656380"/>
    <w:rsid w:val="00656637"/>
    <w:rsid w:val="00656891"/>
    <w:rsid w:val="00656937"/>
    <w:rsid w:val="00656A5B"/>
    <w:rsid w:val="00656AF1"/>
    <w:rsid w:val="00656EE2"/>
    <w:rsid w:val="00657006"/>
    <w:rsid w:val="00657214"/>
    <w:rsid w:val="00657267"/>
    <w:rsid w:val="006572E6"/>
    <w:rsid w:val="0065739B"/>
    <w:rsid w:val="006574A9"/>
    <w:rsid w:val="00657563"/>
    <w:rsid w:val="00657854"/>
    <w:rsid w:val="00657969"/>
    <w:rsid w:val="00657B09"/>
    <w:rsid w:val="00657D0F"/>
    <w:rsid w:val="00657D69"/>
    <w:rsid w:val="00657D87"/>
    <w:rsid w:val="00657DAF"/>
    <w:rsid w:val="00657DCD"/>
    <w:rsid w:val="00657EE9"/>
    <w:rsid w:val="006602EF"/>
    <w:rsid w:val="0066053C"/>
    <w:rsid w:val="00660C51"/>
    <w:rsid w:val="00661026"/>
    <w:rsid w:val="006610E5"/>
    <w:rsid w:val="00661108"/>
    <w:rsid w:val="00661209"/>
    <w:rsid w:val="00661377"/>
    <w:rsid w:val="006614C1"/>
    <w:rsid w:val="0066172D"/>
    <w:rsid w:val="00661789"/>
    <w:rsid w:val="00661806"/>
    <w:rsid w:val="006618B4"/>
    <w:rsid w:val="00661A75"/>
    <w:rsid w:val="00661C23"/>
    <w:rsid w:val="00661DB5"/>
    <w:rsid w:val="00661DE6"/>
    <w:rsid w:val="006621BE"/>
    <w:rsid w:val="00662356"/>
    <w:rsid w:val="0066255F"/>
    <w:rsid w:val="00662632"/>
    <w:rsid w:val="00662785"/>
    <w:rsid w:val="006628E2"/>
    <w:rsid w:val="0066295B"/>
    <w:rsid w:val="006629B7"/>
    <w:rsid w:val="00662B15"/>
    <w:rsid w:val="00662B5F"/>
    <w:rsid w:val="00662B7B"/>
    <w:rsid w:val="00662D4D"/>
    <w:rsid w:val="00662DF1"/>
    <w:rsid w:val="00662DF5"/>
    <w:rsid w:val="00662ECC"/>
    <w:rsid w:val="006630B4"/>
    <w:rsid w:val="006631DC"/>
    <w:rsid w:val="006632A1"/>
    <w:rsid w:val="006633D2"/>
    <w:rsid w:val="006634A6"/>
    <w:rsid w:val="00663564"/>
    <w:rsid w:val="00663723"/>
    <w:rsid w:val="00663878"/>
    <w:rsid w:val="006638EE"/>
    <w:rsid w:val="00663A1B"/>
    <w:rsid w:val="00663CBD"/>
    <w:rsid w:val="00663D4E"/>
    <w:rsid w:val="00663E51"/>
    <w:rsid w:val="00664008"/>
    <w:rsid w:val="00664107"/>
    <w:rsid w:val="0066433A"/>
    <w:rsid w:val="0066434F"/>
    <w:rsid w:val="0066439C"/>
    <w:rsid w:val="006643B3"/>
    <w:rsid w:val="006643F6"/>
    <w:rsid w:val="0066463D"/>
    <w:rsid w:val="0066470A"/>
    <w:rsid w:val="00664AA7"/>
    <w:rsid w:val="00664BEE"/>
    <w:rsid w:val="00664BF7"/>
    <w:rsid w:val="00664C50"/>
    <w:rsid w:val="00664C88"/>
    <w:rsid w:val="00664D04"/>
    <w:rsid w:val="00664E4C"/>
    <w:rsid w:val="00664F0E"/>
    <w:rsid w:val="00665118"/>
    <w:rsid w:val="00665572"/>
    <w:rsid w:val="00665806"/>
    <w:rsid w:val="0066590C"/>
    <w:rsid w:val="00665A10"/>
    <w:rsid w:val="00665B4F"/>
    <w:rsid w:val="00665BBC"/>
    <w:rsid w:val="00665C8F"/>
    <w:rsid w:val="00665CC9"/>
    <w:rsid w:val="00665FF7"/>
    <w:rsid w:val="0066604A"/>
    <w:rsid w:val="00666277"/>
    <w:rsid w:val="006665E8"/>
    <w:rsid w:val="0066662A"/>
    <w:rsid w:val="006667EF"/>
    <w:rsid w:val="00666924"/>
    <w:rsid w:val="00666976"/>
    <w:rsid w:val="00666B4A"/>
    <w:rsid w:val="00666B60"/>
    <w:rsid w:val="00666C8D"/>
    <w:rsid w:val="00666DA7"/>
    <w:rsid w:val="00666DE4"/>
    <w:rsid w:val="00666F33"/>
    <w:rsid w:val="00666F34"/>
    <w:rsid w:val="00667129"/>
    <w:rsid w:val="0066739D"/>
    <w:rsid w:val="0066741F"/>
    <w:rsid w:val="00667441"/>
    <w:rsid w:val="006674BD"/>
    <w:rsid w:val="006675A5"/>
    <w:rsid w:val="006675CE"/>
    <w:rsid w:val="00667B15"/>
    <w:rsid w:val="00667B46"/>
    <w:rsid w:val="00667F5A"/>
    <w:rsid w:val="00667F83"/>
    <w:rsid w:val="00667FB6"/>
    <w:rsid w:val="00670110"/>
    <w:rsid w:val="00670258"/>
    <w:rsid w:val="00670290"/>
    <w:rsid w:val="00670313"/>
    <w:rsid w:val="00670489"/>
    <w:rsid w:val="006706FD"/>
    <w:rsid w:val="00670A07"/>
    <w:rsid w:val="00670A11"/>
    <w:rsid w:val="00670B24"/>
    <w:rsid w:val="00670CB3"/>
    <w:rsid w:val="00670D91"/>
    <w:rsid w:val="00671087"/>
    <w:rsid w:val="00671248"/>
    <w:rsid w:val="006715E5"/>
    <w:rsid w:val="0067160A"/>
    <w:rsid w:val="00671651"/>
    <w:rsid w:val="00671787"/>
    <w:rsid w:val="006717E9"/>
    <w:rsid w:val="00671C88"/>
    <w:rsid w:val="00671D9D"/>
    <w:rsid w:val="00671FA1"/>
    <w:rsid w:val="00672077"/>
    <w:rsid w:val="006720E1"/>
    <w:rsid w:val="0067231C"/>
    <w:rsid w:val="006723F0"/>
    <w:rsid w:val="00672408"/>
    <w:rsid w:val="006724D8"/>
    <w:rsid w:val="00672518"/>
    <w:rsid w:val="00672557"/>
    <w:rsid w:val="0067255F"/>
    <w:rsid w:val="0067259A"/>
    <w:rsid w:val="006725B9"/>
    <w:rsid w:val="006726C4"/>
    <w:rsid w:val="0067298B"/>
    <w:rsid w:val="00672AA2"/>
    <w:rsid w:val="00672D7A"/>
    <w:rsid w:val="00672E4A"/>
    <w:rsid w:val="00672F3E"/>
    <w:rsid w:val="00673033"/>
    <w:rsid w:val="006730C2"/>
    <w:rsid w:val="006731FE"/>
    <w:rsid w:val="00673360"/>
    <w:rsid w:val="0067398F"/>
    <w:rsid w:val="00673BA6"/>
    <w:rsid w:val="00673BE4"/>
    <w:rsid w:val="00673C57"/>
    <w:rsid w:val="00673D59"/>
    <w:rsid w:val="00673D94"/>
    <w:rsid w:val="00673EAA"/>
    <w:rsid w:val="006740C2"/>
    <w:rsid w:val="00674168"/>
    <w:rsid w:val="006741F0"/>
    <w:rsid w:val="006742BE"/>
    <w:rsid w:val="00674388"/>
    <w:rsid w:val="0067442E"/>
    <w:rsid w:val="006747E0"/>
    <w:rsid w:val="006749CB"/>
    <w:rsid w:val="00674B25"/>
    <w:rsid w:val="00674CCA"/>
    <w:rsid w:val="00674DC5"/>
    <w:rsid w:val="00674EA7"/>
    <w:rsid w:val="00674FBB"/>
    <w:rsid w:val="00674FF8"/>
    <w:rsid w:val="00675040"/>
    <w:rsid w:val="00675051"/>
    <w:rsid w:val="00675198"/>
    <w:rsid w:val="006752AA"/>
    <w:rsid w:val="00675321"/>
    <w:rsid w:val="006753BE"/>
    <w:rsid w:val="006754B3"/>
    <w:rsid w:val="006755CD"/>
    <w:rsid w:val="0067562D"/>
    <w:rsid w:val="00675635"/>
    <w:rsid w:val="00675A7C"/>
    <w:rsid w:val="00675A9F"/>
    <w:rsid w:val="00675DC4"/>
    <w:rsid w:val="00675FB0"/>
    <w:rsid w:val="00676218"/>
    <w:rsid w:val="00676527"/>
    <w:rsid w:val="00676789"/>
    <w:rsid w:val="006767C7"/>
    <w:rsid w:val="00676945"/>
    <w:rsid w:val="006769FF"/>
    <w:rsid w:val="00676A39"/>
    <w:rsid w:val="00676D2C"/>
    <w:rsid w:val="00676D44"/>
    <w:rsid w:val="00676DFF"/>
    <w:rsid w:val="00676E7F"/>
    <w:rsid w:val="00676EB2"/>
    <w:rsid w:val="00676ED9"/>
    <w:rsid w:val="00676EE7"/>
    <w:rsid w:val="006770E9"/>
    <w:rsid w:val="00677332"/>
    <w:rsid w:val="00677700"/>
    <w:rsid w:val="006777E2"/>
    <w:rsid w:val="006778F3"/>
    <w:rsid w:val="00677904"/>
    <w:rsid w:val="00677AB8"/>
    <w:rsid w:val="00677AC7"/>
    <w:rsid w:val="00677D4A"/>
    <w:rsid w:val="00677F14"/>
    <w:rsid w:val="00677F69"/>
    <w:rsid w:val="00677F70"/>
    <w:rsid w:val="00680153"/>
    <w:rsid w:val="0068021C"/>
    <w:rsid w:val="00680254"/>
    <w:rsid w:val="00680358"/>
    <w:rsid w:val="00680464"/>
    <w:rsid w:val="0068052D"/>
    <w:rsid w:val="006806FF"/>
    <w:rsid w:val="00680711"/>
    <w:rsid w:val="00680789"/>
    <w:rsid w:val="006809C7"/>
    <w:rsid w:val="00680ACD"/>
    <w:rsid w:val="00680B61"/>
    <w:rsid w:val="00680C12"/>
    <w:rsid w:val="00680C87"/>
    <w:rsid w:val="00680CA7"/>
    <w:rsid w:val="00680CB1"/>
    <w:rsid w:val="00680D84"/>
    <w:rsid w:val="00680EFD"/>
    <w:rsid w:val="00680FC1"/>
    <w:rsid w:val="00681190"/>
    <w:rsid w:val="0068126C"/>
    <w:rsid w:val="006815BB"/>
    <w:rsid w:val="00681608"/>
    <w:rsid w:val="0068166E"/>
    <w:rsid w:val="00681C17"/>
    <w:rsid w:val="00681CD8"/>
    <w:rsid w:val="00681EAF"/>
    <w:rsid w:val="00681EB5"/>
    <w:rsid w:val="00682243"/>
    <w:rsid w:val="00682307"/>
    <w:rsid w:val="00682392"/>
    <w:rsid w:val="006824CF"/>
    <w:rsid w:val="006825A9"/>
    <w:rsid w:val="00682618"/>
    <w:rsid w:val="0068262F"/>
    <w:rsid w:val="006826A3"/>
    <w:rsid w:val="006828FC"/>
    <w:rsid w:val="00682AC8"/>
    <w:rsid w:val="00682DE0"/>
    <w:rsid w:val="00682F91"/>
    <w:rsid w:val="006830EC"/>
    <w:rsid w:val="00683111"/>
    <w:rsid w:val="00683242"/>
    <w:rsid w:val="00683308"/>
    <w:rsid w:val="00683721"/>
    <w:rsid w:val="006837FF"/>
    <w:rsid w:val="0068380F"/>
    <w:rsid w:val="006838DE"/>
    <w:rsid w:val="006839D0"/>
    <w:rsid w:val="006839FD"/>
    <w:rsid w:val="00683CF6"/>
    <w:rsid w:val="00683E9B"/>
    <w:rsid w:val="00684193"/>
    <w:rsid w:val="006841A4"/>
    <w:rsid w:val="00684794"/>
    <w:rsid w:val="006847A0"/>
    <w:rsid w:val="006848C6"/>
    <w:rsid w:val="00684A4D"/>
    <w:rsid w:val="00684CAD"/>
    <w:rsid w:val="00684EA3"/>
    <w:rsid w:val="00685010"/>
    <w:rsid w:val="006851BA"/>
    <w:rsid w:val="006853FC"/>
    <w:rsid w:val="0068583B"/>
    <w:rsid w:val="0068590C"/>
    <w:rsid w:val="0068591C"/>
    <w:rsid w:val="00685B3C"/>
    <w:rsid w:val="006862CD"/>
    <w:rsid w:val="00686411"/>
    <w:rsid w:val="0068670A"/>
    <w:rsid w:val="0068675E"/>
    <w:rsid w:val="00686916"/>
    <w:rsid w:val="00686A3B"/>
    <w:rsid w:val="00686DE1"/>
    <w:rsid w:val="00686E99"/>
    <w:rsid w:val="006870F3"/>
    <w:rsid w:val="0068714F"/>
    <w:rsid w:val="0068722F"/>
    <w:rsid w:val="00687237"/>
    <w:rsid w:val="00687416"/>
    <w:rsid w:val="00687517"/>
    <w:rsid w:val="006875EF"/>
    <w:rsid w:val="00687740"/>
    <w:rsid w:val="006878C5"/>
    <w:rsid w:val="00687A97"/>
    <w:rsid w:val="00687AC5"/>
    <w:rsid w:val="00687B70"/>
    <w:rsid w:val="00687E2C"/>
    <w:rsid w:val="00687E72"/>
    <w:rsid w:val="00687FB3"/>
    <w:rsid w:val="00687FB9"/>
    <w:rsid w:val="006902CF"/>
    <w:rsid w:val="00690480"/>
    <w:rsid w:val="006904E0"/>
    <w:rsid w:val="0069053C"/>
    <w:rsid w:val="0069067D"/>
    <w:rsid w:val="00690AC4"/>
    <w:rsid w:val="00690B1F"/>
    <w:rsid w:val="00690BC2"/>
    <w:rsid w:val="00690BCE"/>
    <w:rsid w:val="00690DC5"/>
    <w:rsid w:val="00690DEE"/>
    <w:rsid w:val="00690EBF"/>
    <w:rsid w:val="00690F7C"/>
    <w:rsid w:val="00690FBE"/>
    <w:rsid w:val="0069108F"/>
    <w:rsid w:val="0069146B"/>
    <w:rsid w:val="006914F0"/>
    <w:rsid w:val="00691565"/>
    <w:rsid w:val="00691662"/>
    <w:rsid w:val="00691893"/>
    <w:rsid w:val="00691D23"/>
    <w:rsid w:val="00691DE7"/>
    <w:rsid w:val="00691E4E"/>
    <w:rsid w:val="0069214F"/>
    <w:rsid w:val="0069223A"/>
    <w:rsid w:val="006922DB"/>
    <w:rsid w:val="00692305"/>
    <w:rsid w:val="0069257E"/>
    <w:rsid w:val="0069258B"/>
    <w:rsid w:val="006925EC"/>
    <w:rsid w:val="006926D5"/>
    <w:rsid w:val="00692A63"/>
    <w:rsid w:val="00692C20"/>
    <w:rsid w:val="00692E19"/>
    <w:rsid w:val="00692EA1"/>
    <w:rsid w:val="00692F0F"/>
    <w:rsid w:val="006931D9"/>
    <w:rsid w:val="00693425"/>
    <w:rsid w:val="006935F4"/>
    <w:rsid w:val="00693A7C"/>
    <w:rsid w:val="00693AE6"/>
    <w:rsid w:val="00693CF0"/>
    <w:rsid w:val="00693E19"/>
    <w:rsid w:val="00693FB3"/>
    <w:rsid w:val="00693FBF"/>
    <w:rsid w:val="00694470"/>
    <w:rsid w:val="006944E4"/>
    <w:rsid w:val="00694617"/>
    <w:rsid w:val="006946AF"/>
    <w:rsid w:val="00694838"/>
    <w:rsid w:val="00694935"/>
    <w:rsid w:val="0069496A"/>
    <w:rsid w:val="00694993"/>
    <w:rsid w:val="00694AFF"/>
    <w:rsid w:val="00694BC3"/>
    <w:rsid w:val="00694D93"/>
    <w:rsid w:val="00694E2D"/>
    <w:rsid w:val="00694EF4"/>
    <w:rsid w:val="00694FA1"/>
    <w:rsid w:val="006953D9"/>
    <w:rsid w:val="00695791"/>
    <w:rsid w:val="006958B6"/>
    <w:rsid w:val="006959CA"/>
    <w:rsid w:val="00695C7C"/>
    <w:rsid w:val="00695C9F"/>
    <w:rsid w:val="00695D92"/>
    <w:rsid w:val="00695E2C"/>
    <w:rsid w:val="006960E4"/>
    <w:rsid w:val="006961AC"/>
    <w:rsid w:val="0069653D"/>
    <w:rsid w:val="0069669F"/>
    <w:rsid w:val="006966E5"/>
    <w:rsid w:val="0069674F"/>
    <w:rsid w:val="006967B5"/>
    <w:rsid w:val="006968C2"/>
    <w:rsid w:val="00696933"/>
    <w:rsid w:val="00696A63"/>
    <w:rsid w:val="00696A6B"/>
    <w:rsid w:val="00696EF6"/>
    <w:rsid w:val="00696F83"/>
    <w:rsid w:val="006971A6"/>
    <w:rsid w:val="006972BE"/>
    <w:rsid w:val="006972EB"/>
    <w:rsid w:val="00697401"/>
    <w:rsid w:val="006975C3"/>
    <w:rsid w:val="0069774C"/>
    <w:rsid w:val="006979FE"/>
    <w:rsid w:val="00697B81"/>
    <w:rsid w:val="006A00A1"/>
    <w:rsid w:val="006A02DC"/>
    <w:rsid w:val="006A02E7"/>
    <w:rsid w:val="006A03FB"/>
    <w:rsid w:val="006A0667"/>
    <w:rsid w:val="006A084F"/>
    <w:rsid w:val="006A097C"/>
    <w:rsid w:val="006A0A7F"/>
    <w:rsid w:val="006A0C7A"/>
    <w:rsid w:val="006A0CE8"/>
    <w:rsid w:val="006A0D01"/>
    <w:rsid w:val="006A0D16"/>
    <w:rsid w:val="006A0D3A"/>
    <w:rsid w:val="006A0DB8"/>
    <w:rsid w:val="006A0DFD"/>
    <w:rsid w:val="006A0F2B"/>
    <w:rsid w:val="006A102B"/>
    <w:rsid w:val="006A135A"/>
    <w:rsid w:val="006A13EE"/>
    <w:rsid w:val="006A1425"/>
    <w:rsid w:val="006A1547"/>
    <w:rsid w:val="006A16F8"/>
    <w:rsid w:val="006A17EE"/>
    <w:rsid w:val="006A1850"/>
    <w:rsid w:val="006A1A93"/>
    <w:rsid w:val="006A1AB4"/>
    <w:rsid w:val="006A1BA8"/>
    <w:rsid w:val="006A1DA4"/>
    <w:rsid w:val="006A1F00"/>
    <w:rsid w:val="006A1FCA"/>
    <w:rsid w:val="006A2214"/>
    <w:rsid w:val="006A2305"/>
    <w:rsid w:val="006A23CB"/>
    <w:rsid w:val="006A24A9"/>
    <w:rsid w:val="006A25B4"/>
    <w:rsid w:val="006A26B4"/>
    <w:rsid w:val="006A28BE"/>
    <w:rsid w:val="006A295C"/>
    <w:rsid w:val="006A298C"/>
    <w:rsid w:val="006A29BD"/>
    <w:rsid w:val="006A2B5E"/>
    <w:rsid w:val="006A2C86"/>
    <w:rsid w:val="006A2D7D"/>
    <w:rsid w:val="006A3058"/>
    <w:rsid w:val="006A3111"/>
    <w:rsid w:val="006A322C"/>
    <w:rsid w:val="006A3276"/>
    <w:rsid w:val="006A3322"/>
    <w:rsid w:val="006A333D"/>
    <w:rsid w:val="006A33A9"/>
    <w:rsid w:val="006A33DA"/>
    <w:rsid w:val="006A33F2"/>
    <w:rsid w:val="006A3406"/>
    <w:rsid w:val="006A36DE"/>
    <w:rsid w:val="006A3AEC"/>
    <w:rsid w:val="006A3BA5"/>
    <w:rsid w:val="006A3CA5"/>
    <w:rsid w:val="006A3CCC"/>
    <w:rsid w:val="006A3CD9"/>
    <w:rsid w:val="006A3EBA"/>
    <w:rsid w:val="006A3F6A"/>
    <w:rsid w:val="006A3F6D"/>
    <w:rsid w:val="006A3FA0"/>
    <w:rsid w:val="006A4158"/>
    <w:rsid w:val="006A4178"/>
    <w:rsid w:val="006A418C"/>
    <w:rsid w:val="006A4218"/>
    <w:rsid w:val="006A422B"/>
    <w:rsid w:val="006A4278"/>
    <w:rsid w:val="006A435E"/>
    <w:rsid w:val="006A4598"/>
    <w:rsid w:val="006A45E9"/>
    <w:rsid w:val="006A464D"/>
    <w:rsid w:val="006A468F"/>
    <w:rsid w:val="006A47DE"/>
    <w:rsid w:val="006A481B"/>
    <w:rsid w:val="006A482D"/>
    <w:rsid w:val="006A48EC"/>
    <w:rsid w:val="006A4B99"/>
    <w:rsid w:val="006A4E94"/>
    <w:rsid w:val="006A4EB5"/>
    <w:rsid w:val="006A508C"/>
    <w:rsid w:val="006A5124"/>
    <w:rsid w:val="006A51C7"/>
    <w:rsid w:val="006A54D6"/>
    <w:rsid w:val="006A570C"/>
    <w:rsid w:val="006A5825"/>
    <w:rsid w:val="006A58CC"/>
    <w:rsid w:val="006A59C8"/>
    <w:rsid w:val="006A5A0A"/>
    <w:rsid w:val="006A5A49"/>
    <w:rsid w:val="006A5A51"/>
    <w:rsid w:val="006A5D4A"/>
    <w:rsid w:val="006A5D80"/>
    <w:rsid w:val="006A5E4F"/>
    <w:rsid w:val="006A5EFC"/>
    <w:rsid w:val="006A5F8F"/>
    <w:rsid w:val="006A5FC6"/>
    <w:rsid w:val="006A61BE"/>
    <w:rsid w:val="006A638F"/>
    <w:rsid w:val="006A63B8"/>
    <w:rsid w:val="006A640A"/>
    <w:rsid w:val="006A6512"/>
    <w:rsid w:val="006A6818"/>
    <w:rsid w:val="006A69D0"/>
    <w:rsid w:val="006A6A3F"/>
    <w:rsid w:val="006A6A9D"/>
    <w:rsid w:val="006A6B9A"/>
    <w:rsid w:val="006A6CFF"/>
    <w:rsid w:val="006A6D07"/>
    <w:rsid w:val="006A6DE0"/>
    <w:rsid w:val="006A717C"/>
    <w:rsid w:val="006A73D5"/>
    <w:rsid w:val="006A757E"/>
    <w:rsid w:val="006A765C"/>
    <w:rsid w:val="006A77F3"/>
    <w:rsid w:val="006A7A62"/>
    <w:rsid w:val="006A7BAE"/>
    <w:rsid w:val="006A7CA1"/>
    <w:rsid w:val="006A7CBD"/>
    <w:rsid w:val="006A7FF1"/>
    <w:rsid w:val="006B004D"/>
    <w:rsid w:val="006B00AC"/>
    <w:rsid w:val="006B01BC"/>
    <w:rsid w:val="006B02D7"/>
    <w:rsid w:val="006B0403"/>
    <w:rsid w:val="006B04FC"/>
    <w:rsid w:val="006B059A"/>
    <w:rsid w:val="006B0774"/>
    <w:rsid w:val="006B078C"/>
    <w:rsid w:val="006B08D1"/>
    <w:rsid w:val="006B08F8"/>
    <w:rsid w:val="006B090F"/>
    <w:rsid w:val="006B097A"/>
    <w:rsid w:val="006B09A7"/>
    <w:rsid w:val="006B0A42"/>
    <w:rsid w:val="006B0AC5"/>
    <w:rsid w:val="006B0B15"/>
    <w:rsid w:val="006B0D40"/>
    <w:rsid w:val="006B0D9E"/>
    <w:rsid w:val="006B1002"/>
    <w:rsid w:val="006B133D"/>
    <w:rsid w:val="006B1429"/>
    <w:rsid w:val="006B1431"/>
    <w:rsid w:val="006B1539"/>
    <w:rsid w:val="006B1720"/>
    <w:rsid w:val="006B17C7"/>
    <w:rsid w:val="006B18CE"/>
    <w:rsid w:val="006B1A56"/>
    <w:rsid w:val="006B1CF8"/>
    <w:rsid w:val="006B1D1A"/>
    <w:rsid w:val="006B1DA8"/>
    <w:rsid w:val="006B1EE3"/>
    <w:rsid w:val="006B1F1D"/>
    <w:rsid w:val="006B2147"/>
    <w:rsid w:val="006B214E"/>
    <w:rsid w:val="006B22B8"/>
    <w:rsid w:val="006B23AD"/>
    <w:rsid w:val="006B23D0"/>
    <w:rsid w:val="006B24B8"/>
    <w:rsid w:val="006B272C"/>
    <w:rsid w:val="006B2895"/>
    <w:rsid w:val="006B29B8"/>
    <w:rsid w:val="006B2A15"/>
    <w:rsid w:val="006B2A70"/>
    <w:rsid w:val="006B2A7B"/>
    <w:rsid w:val="006B2BC8"/>
    <w:rsid w:val="006B2CAF"/>
    <w:rsid w:val="006B2CF0"/>
    <w:rsid w:val="006B2D00"/>
    <w:rsid w:val="006B2D25"/>
    <w:rsid w:val="006B2D86"/>
    <w:rsid w:val="006B2E24"/>
    <w:rsid w:val="006B2E32"/>
    <w:rsid w:val="006B2EAD"/>
    <w:rsid w:val="006B31A7"/>
    <w:rsid w:val="006B3220"/>
    <w:rsid w:val="006B33F5"/>
    <w:rsid w:val="006B34D1"/>
    <w:rsid w:val="006B37C5"/>
    <w:rsid w:val="006B3C61"/>
    <w:rsid w:val="006B3CE6"/>
    <w:rsid w:val="006B3EA3"/>
    <w:rsid w:val="006B3EC8"/>
    <w:rsid w:val="006B3FA9"/>
    <w:rsid w:val="006B4080"/>
    <w:rsid w:val="006B40B8"/>
    <w:rsid w:val="006B410D"/>
    <w:rsid w:val="006B4110"/>
    <w:rsid w:val="006B4111"/>
    <w:rsid w:val="006B4143"/>
    <w:rsid w:val="006B4157"/>
    <w:rsid w:val="006B42A3"/>
    <w:rsid w:val="006B42CA"/>
    <w:rsid w:val="006B43AE"/>
    <w:rsid w:val="006B44DB"/>
    <w:rsid w:val="006B4609"/>
    <w:rsid w:val="006B465E"/>
    <w:rsid w:val="006B4668"/>
    <w:rsid w:val="006B4799"/>
    <w:rsid w:val="006B48BC"/>
    <w:rsid w:val="006B49EB"/>
    <w:rsid w:val="006B4AAE"/>
    <w:rsid w:val="006B4AE2"/>
    <w:rsid w:val="006B4AF7"/>
    <w:rsid w:val="006B4B76"/>
    <w:rsid w:val="006B4C35"/>
    <w:rsid w:val="006B4C46"/>
    <w:rsid w:val="006B4DF5"/>
    <w:rsid w:val="006B4E2F"/>
    <w:rsid w:val="006B4E78"/>
    <w:rsid w:val="006B50EB"/>
    <w:rsid w:val="006B516D"/>
    <w:rsid w:val="006B517F"/>
    <w:rsid w:val="006B5203"/>
    <w:rsid w:val="006B5240"/>
    <w:rsid w:val="006B5355"/>
    <w:rsid w:val="006B53FF"/>
    <w:rsid w:val="006B5479"/>
    <w:rsid w:val="006B548E"/>
    <w:rsid w:val="006B54D6"/>
    <w:rsid w:val="006B5554"/>
    <w:rsid w:val="006B56B6"/>
    <w:rsid w:val="006B5766"/>
    <w:rsid w:val="006B5774"/>
    <w:rsid w:val="006B57F3"/>
    <w:rsid w:val="006B593E"/>
    <w:rsid w:val="006B59B5"/>
    <w:rsid w:val="006B5D6E"/>
    <w:rsid w:val="006B60E5"/>
    <w:rsid w:val="006B6188"/>
    <w:rsid w:val="006B62E1"/>
    <w:rsid w:val="006B6551"/>
    <w:rsid w:val="006B6628"/>
    <w:rsid w:val="006B6773"/>
    <w:rsid w:val="006B683C"/>
    <w:rsid w:val="006B68CB"/>
    <w:rsid w:val="006B6B2B"/>
    <w:rsid w:val="006B6CDA"/>
    <w:rsid w:val="006B6F01"/>
    <w:rsid w:val="006B6F4E"/>
    <w:rsid w:val="006B6F67"/>
    <w:rsid w:val="006B71F6"/>
    <w:rsid w:val="006B73F7"/>
    <w:rsid w:val="006B7729"/>
    <w:rsid w:val="006B7B08"/>
    <w:rsid w:val="006B7B79"/>
    <w:rsid w:val="006B7B9B"/>
    <w:rsid w:val="006B7BF1"/>
    <w:rsid w:val="006B7C25"/>
    <w:rsid w:val="006B7D73"/>
    <w:rsid w:val="006B7E10"/>
    <w:rsid w:val="006B7E8F"/>
    <w:rsid w:val="006C0152"/>
    <w:rsid w:val="006C0166"/>
    <w:rsid w:val="006C04BA"/>
    <w:rsid w:val="006C0522"/>
    <w:rsid w:val="006C05D5"/>
    <w:rsid w:val="006C0BF5"/>
    <w:rsid w:val="006C0CAB"/>
    <w:rsid w:val="006C0D5D"/>
    <w:rsid w:val="006C0DC7"/>
    <w:rsid w:val="006C0EB7"/>
    <w:rsid w:val="006C0FFA"/>
    <w:rsid w:val="006C10EC"/>
    <w:rsid w:val="006C1181"/>
    <w:rsid w:val="006C1582"/>
    <w:rsid w:val="006C1589"/>
    <w:rsid w:val="006C1C69"/>
    <w:rsid w:val="006C1E0B"/>
    <w:rsid w:val="006C1ED0"/>
    <w:rsid w:val="006C1ED1"/>
    <w:rsid w:val="006C1F13"/>
    <w:rsid w:val="006C2276"/>
    <w:rsid w:val="006C229A"/>
    <w:rsid w:val="006C230F"/>
    <w:rsid w:val="006C23B9"/>
    <w:rsid w:val="006C247B"/>
    <w:rsid w:val="006C25C4"/>
    <w:rsid w:val="006C2618"/>
    <w:rsid w:val="006C2681"/>
    <w:rsid w:val="006C26F4"/>
    <w:rsid w:val="006C26F5"/>
    <w:rsid w:val="006C2798"/>
    <w:rsid w:val="006C2807"/>
    <w:rsid w:val="006C293F"/>
    <w:rsid w:val="006C2A15"/>
    <w:rsid w:val="006C2AD0"/>
    <w:rsid w:val="006C2C38"/>
    <w:rsid w:val="006C2DDD"/>
    <w:rsid w:val="006C2E42"/>
    <w:rsid w:val="006C3104"/>
    <w:rsid w:val="006C3173"/>
    <w:rsid w:val="006C31F3"/>
    <w:rsid w:val="006C3374"/>
    <w:rsid w:val="006C33D0"/>
    <w:rsid w:val="006C34EC"/>
    <w:rsid w:val="006C35AD"/>
    <w:rsid w:val="006C3C27"/>
    <w:rsid w:val="006C3EF7"/>
    <w:rsid w:val="006C3F23"/>
    <w:rsid w:val="006C3FC1"/>
    <w:rsid w:val="006C4052"/>
    <w:rsid w:val="006C4214"/>
    <w:rsid w:val="006C424C"/>
    <w:rsid w:val="006C44DF"/>
    <w:rsid w:val="006C4680"/>
    <w:rsid w:val="006C4723"/>
    <w:rsid w:val="006C4783"/>
    <w:rsid w:val="006C4993"/>
    <w:rsid w:val="006C4A11"/>
    <w:rsid w:val="006C4A9F"/>
    <w:rsid w:val="006C4BC8"/>
    <w:rsid w:val="006C4BEC"/>
    <w:rsid w:val="006C4C28"/>
    <w:rsid w:val="006C4D52"/>
    <w:rsid w:val="006C4EA5"/>
    <w:rsid w:val="006C4F64"/>
    <w:rsid w:val="006C4F6F"/>
    <w:rsid w:val="006C50BC"/>
    <w:rsid w:val="006C55C4"/>
    <w:rsid w:val="006C5659"/>
    <w:rsid w:val="006C57A8"/>
    <w:rsid w:val="006C57DC"/>
    <w:rsid w:val="006C5A03"/>
    <w:rsid w:val="006C5AA5"/>
    <w:rsid w:val="006C5C39"/>
    <w:rsid w:val="006C5C98"/>
    <w:rsid w:val="006C5D0B"/>
    <w:rsid w:val="006C645A"/>
    <w:rsid w:val="006C64B1"/>
    <w:rsid w:val="006C64EC"/>
    <w:rsid w:val="006C6932"/>
    <w:rsid w:val="006C69DA"/>
    <w:rsid w:val="006C6B1F"/>
    <w:rsid w:val="006C6B93"/>
    <w:rsid w:val="006C6C91"/>
    <w:rsid w:val="006C6CFF"/>
    <w:rsid w:val="006C6D67"/>
    <w:rsid w:val="006C6DBE"/>
    <w:rsid w:val="006C71B5"/>
    <w:rsid w:val="006C7300"/>
    <w:rsid w:val="006C7356"/>
    <w:rsid w:val="006C7570"/>
    <w:rsid w:val="006C7594"/>
    <w:rsid w:val="006C7723"/>
    <w:rsid w:val="006C772E"/>
    <w:rsid w:val="006C7846"/>
    <w:rsid w:val="006C7D78"/>
    <w:rsid w:val="006C7D97"/>
    <w:rsid w:val="006C7DD2"/>
    <w:rsid w:val="006C7E11"/>
    <w:rsid w:val="006C7EC6"/>
    <w:rsid w:val="006C7F7E"/>
    <w:rsid w:val="006D010B"/>
    <w:rsid w:val="006D019B"/>
    <w:rsid w:val="006D02C2"/>
    <w:rsid w:val="006D0333"/>
    <w:rsid w:val="006D0470"/>
    <w:rsid w:val="006D07BE"/>
    <w:rsid w:val="006D090C"/>
    <w:rsid w:val="006D0A0E"/>
    <w:rsid w:val="006D0AD8"/>
    <w:rsid w:val="006D0B23"/>
    <w:rsid w:val="006D0C76"/>
    <w:rsid w:val="006D0CFD"/>
    <w:rsid w:val="006D0EE3"/>
    <w:rsid w:val="006D106B"/>
    <w:rsid w:val="006D1104"/>
    <w:rsid w:val="006D1114"/>
    <w:rsid w:val="006D1137"/>
    <w:rsid w:val="006D1283"/>
    <w:rsid w:val="006D1368"/>
    <w:rsid w:val="006D13B6"/>
    <w:rsid w:val="006D13BD"/>
    <w:rsid w:val="006D13C2"/>
    <w:rsid w:val="006D17C1"/>
    <w:rsid w:val="006D1966"/>
    <w:rsid w:val="006D19C1"/>
    <w:rsid w:val="006D1A4B"/>
    <w:rsid w:val="006D1C50"/>
    <w:rsid w:val="006D1CEC"/>
    <w:rsid w:val="006D1D4C"/>
    <w:rsid w:val="006D1DD0"/>
    <w:rsid w:val="006D1E32"/>
    <w:rsid w:val="006D1EA2"/>
    <w:rsid w:val="006D21DB"/>
    <w:rsid w:val="006D230C"/>
    <w:rsid w:val="006D244F"/>
    <w:rsid w:val="006D24EF"/>
    <w:rsid w:val="006D2584"/>
    <w:rsid w:val="006D2794"/>
    <w:rsid w:val="006D28DF"/>
    <w:rsid w:val="006D2986"/>
    <w:rsid w:val="006D29EF"/>
    <w:rsid w:val="006D29F6"/>
    <w:rsid w:val="006D2ADC"/>
    <w:rsid w:val="006D2BCB"/>
    <w:rsid w:val="006D2D4A"/>
    <w:rsid w:val="006D2E38"/>
    <w:rsid w:val="006D2F03"/>
    <w:rsid w:val="006D2F65"/>
    <w:rsid w:val="006D2F88"/>
    <w:rsid w:val="006D3044"/>
    <w:rsid w:val="006D30EE"/>
    <w:rsid w:val="006D3266"/>
    <w:rsid w:val="006D338D"/>
    <w:rsid w:val="006D34B1"/>
    <w:rsid w:val="006D36F2"/>
    <w:rsid w:val="006D3772"/>
    <w:rsid w:val="006D3808"/>
    <w:rsid w:val="006D388D"/>
    <w:rsid w:val="006D3A85"/>
    <w:rsid w:val="006D3A9B"/>
    <w:rsid w:val="006D3B74"/>
    <w:rsid w:val="006D3D4D"/>
    <w:rsid w:val="006D3FA8"/>
    <w:rsid w:val="006D410B"/>
    <w:rsid w:val="006D42C8"/>
    <w:rsid w:val="006D42F0"/>
    <w:rsid w:val="006D42FA"/>
    <w:rsid w:val="006D453B"/>
    <w:rsid w:val="006D456A"/>
    <w:rsid w:val="006D459D"/>
    <w:rsid w:val="006D45C2"/>
    <w:rsid w:val="006D4771"/>
    <w:rsid w:val="006D4869"/>
    <w:rsid w:val="006D4952"/>
    <w:rsid w:val="006D4B00"/>
    <w:rsid w:val="006D4B09"/>
    <w:rsid w:val="006D4C1E"/>
    <w:rsid w:val="006D4CD5"/>
    <w:rsid w:val="006D4E78"/>
    <w:rsid w:val="006D51F2"/>
    <w:rsid w:val="006D5484"/>
    <w:rsid w:val="006D5736"/>
    <w:rsid w:val="006D580D"/>
    <w:rsid w:val="006D586E"/>
    <w:rsid w:val="006D5872"/>
    <w:rsid w:val="006D5910"/>
    <w:rsid w:val="006D5A07"/>
    <w:rsid w:val="006D5B21"/>
    <w:rsid w:val="006D5C94"/>
    <w:rsid w:val="006D5E93"/>
    <w:rsid w:val="006D5F07"/>
    <w:rsid w:val="006D5F3B"/>
    <w:rsid w:val="006D60B1"/>
    <w:rsid w:val="006D649B"/>
    <w:rsid w:val="006D659B"/>
    <w:rsid w:val="006D67F3"/>
    <w:rsid w:val="006D6BC4"/>
    <w:rsid w:val="006D6C49"/>
    <w:rsid w:val="006D6CA9"/>
    <w:rsid w:val="006D6E19"/>
    <w:rsid w:val="006D6F34"/>
    <w:rsid w:val="006D6F79"/>
    <w:rsid w:val="006D6FB5"/>
    <w:rsid w:val="006D708C"/>
    <w:rsid w:val="006D7093"/>
    <w:rsid w:val="006D71A1"/>
    <w:rsid w:val="006D7282"/>
    <w:rsid w:val="006D73D0"/>
    <w:rsid w:val="006D7452"/>
    <w:rsid w:val="006D7526"/>
    <w:rsid w:val="006D756C"/>
    <w:rsid w:val="006D75C9"/>
    <w:rsid w:val="006D7627"/>
    <w:rsid w:val="006D79CD"/>
    <w:rsid w:val="006D7A9F"/>
    <w:rsid w:val="006D7CA0"/>
    <w:rsid w:val="006D7D21"/>
    <w:rsid w:val="006D7DEC"/>
    <w:rsid w:val="006E00FB"/>
    <w:rsid w:val="006E01A1"/>
    <w:rsid w:val="006E035E"/>
    <w:rsid w:val="006E0378"/>
    <w:rsid w:val="006E0446"/>
    <w:rsid w:val="006E04F8"/>
    <w:rsid w:val="006E07E9"/>
    <w:rsid w:val="006E08AD"/>
    <w:rsid w:val="006E09D9"/>
    <w:rsid w:val="006E0A00"/>
    <w:rsid w:val="006E0A4E"/>
    <w:rsid w:val="006E0A9D"/>
    <w:rsid w:val="006E0AB1"/>
    <w:rsid w:val="006E0C6C"/>
    <w:rsid w:val="006E0CDC"/>
    <w:rsid w:val="006E0D6D"/>
    <w:rsid w:val="006E0DDB"/>
    <w:rsid w:val="006E0EF3"/>
    <w:rsid w:val="006E10FD"/>
    <w:rsid w:val="006E1133"/>
    <w:rsid w:val="006E1173"/>
    <w:rsid w:val="006E11E5"/>
    <w:rsid w:val="006E1368"/>
    <w:rsid w:val="006E1404"/>
    <w:rsid w:val="006E1489"/>
    <w:rsid w:val="006E163F"/>
    <w:rsid w:val="006E168C"/>
    <w:rsid w:val="006E1871"/>
    <w:rsid w:val="006E1925"/>
    <w:rsid w:val="006E1A76"/>
    <w:rsid w:val="006E1B1C"/>
    <w:rsid w:val="006E1C26"/>
    <w:rsid w:val="006E1CF7"/>
    <w:rsid w:val="006E1F1C"/>
    <w:rsid w:val="006E1FCD"/>
    <w:rsid w:val="006E2067"/>
    <w:rsid w:val="006E2088"/>
    <w:rsid w:val="006E2277"/>
    <w:rsid w:val="006E23D8"/>
    <w:rsid w:val="006E23E0"/>
    <w:rsid w:val="006E23EE"/>
    <w:rsid w:val="006E241B"/>
    <w:rsid w:val="006E245C"/>
    <w:rsid w:val="006E251E"/>
    <w:rsid w:val="006E264B"/>
    <w:rsid w:val="006E2966"/>
    <w:rsid w:val="006E29E8"/>
    <w:rsid w:val="006E2AE8"/>
    <w:rsid w:val="006E2BFD"/>
    <w:rsid w:val="006E2C0F"/>
    <w:rsid w:val="006E2C5F"/>
    <w:rsid w:val="006E2CAA"/>
    <w:rsid w:val="006E2DCE"/>
    <w:rsid w:val="006E2E4C"/>
    <w:rsid w:val="006E30CF"/>
    <w:rsid w:val="006E33DE"/>
    <w:rsid w:val="006E3493"/>
    <w:rsid w:val="006E359C"/>
    <w:rsid w:val="006E367C"/>
    <w:rsid w:val="006E3843"/>
    <w:rsid w:val="006E3B6B"/>
    <w:rsid w:val="006E3DFB"/>
    <w:rsid w:val="006E416D"/>
    <w:rsid w:val="006E417E"/>
    <w:rsid w:val="006E4373"/>
    <w:rsid w:val="006E4688"/>
    <w:rsid w:val="006E4697"/>
    <w:rsid w:val="006E4AD4"/>
    <w:rsid w:val="006E4CA4"/>
    <w:rsid w:val="006E4CD1"/>
    <w:rsid w:val="006E4D3F"/>
    <w:rsid w:val="006E50CF"/>
    <w:rsid w:val="006E52E4"/>
    <w:rsid w:val="006E552A"/>
    <w:rsid w:val="006E5663"/>
    <w:rsid w:val="006E5792"/>
    <w:rsid w:val="006E5A99"/>
    <w:rsid w:val="006E5C28"/>
    <w:rsid w:val="006E5D5B"/>
    <w:rsid w:val="006E5D91"/>
    <w:rsid w:val="006E5F1F"/>
    <w:rsid w:val="006E5FDC"/>
    <w:rsid w:val="006E616E"/>
    <w:rsid w:val="006E6179"/>
    <w:rsid w:val="006E61D5"/>
    <w:rsid w:val="006E6210"/>
    <w:rsid w:val="006E6219"/>
    <w:rsid w:val="006E6295"/>
    <w:rsid w:val="006E6341"/>
    <w:rsid w:val="006E63C5"/>
    <w:rsid w:val="006E64FB"/>
    <w:rsid w:val="006E65E9"/>
    <w:rsid w:val="006E665A"/>
    <w:rsid w:val="006E6756"/>
    <w:rsid w:val="006E6820"/>
    <w:rsid w:val="006E6939"/>
    <w:rsid w:val="006E6996"/>
    <w:rsid w:val="006E6AC8"/>
    <w:rsid w:val="006E6B55"/>
    <w:rsid w:val="006E6D9D"/>
    <w:rsid w:val="006E6DAA"/>
    <w:rsid w:val="006E6E05"/>
    <w:rsid w:val="006E6E73"/>
    <w:rsid w:val="006E729D"/>
    <w:rsid w:val="006E739D"/>
    <w:rsid w:val="006E74A9"/>
    <w:rsid w:val="006E77D7"/>
    <w:rsid w:val="006E7852"/>
    <w:rsid w:val="006E785C"/>
    <w:rsid w:val="006E78BD"/>
    <w:rsid w:val="006E7AE2"/>
    <w:rsid w:val="006E7AFC"/>
    <w:rsid w:val="006E7B70"/>
    <w:rsid w:val="006E7D53"/>
    <w:rsid w:val="006E7DA9"/>
    <w:rsid w:val="006E7F39"/>
    <w:rsid w:val="006E7F6E"/>
    <w:rsid w:val="006E7F8C"/>
    <w:rsid w:val="006F00E6"/>
    <w:rsid w:val="006F0156"/>
    <w:rsid w:val="006F01A2"/>
    <w:rsid w:val="006F0243"/>
    <w:rsid w:val="006F02CB"/>
    <w:rsid w:val="006F030F"/>
    <w:rsid w:val="006F034C"/>
    <w:rsid w:val="006F0392"/>
    <w:rsid w:val="006F043D"/>
    <w:rsid w:val="006F043F"/>
    <w:rsid w:val="006F05B3"/>
    <w:rsid w:val="006F07FF"/>
    <w:rsid w:val="006F09C2"/>
    <w:rsid w:val="006F0A76"/>
    <w:rsid w:val="006F0A90"/>
    <w:rsid w:val="006F0BD3"/>
    <w:rsid w:val="006F0C9D"/>
    <w:rsid w:val="006F0CE3"/>
    <w:rsid w:val="006F0D17"/>
    <w:rsid w:val="006F0D79"/>
    <w:rsid w:val="006F0DEA"/>
    <w:rsid w:val="006F0E4A"/>
    <w:rsid w:val="006F0F64"/>
    <w:rsid w:val="006F1162"/>
    <w:rsid w:val="006F11BE"/>
    <w:rsid w:val="006F129B"/>
    <w:rsid w:val="006F12D6"/>
    <w:rsid w:val="006F143C"/>
    <w:rsid w:val="006F159A"/>
    <w:rsid w:val="006F1746"/>
    <w:rsid w:val="006F1799"/>
    <w:rsid w:val="006F1938"/>
    <w:rsid w:val="006F1B12"/>
    <w:rsid w:val="006F1B61"/>
    <w:rsid w:val="006F1BE8"/>
    <w:rsid w:val="006F1C20"/>
    <w:rsid w:val="006F1D2C"/>
    <w:rsid w:val="006F1D5B"/>
    <w:rsid w:val="006F1E51"/>
    <w:rsid w:val="006F1F8E"/>
    <w:rsid w:val="006F1FFF"/>
    <w:rsid w:val="006F214F"/>
    <w:rsid w:val="006F2188"/>
    <w:rsid w:val="006F2311"/>
    <w:rsid w:val="006F23CA"/>
    <w:rsid w:val="006F25B2"/>
    <w:rsid w:val="006F25C6"/>
    <w:rsid w:val="006F26AA"/>
    <w:rsid w:val="006F2798"/>
    <w:rsid w:val="006F28F7"/>
    <w:rsid w:val="006F29D0"/>
    <w:rsid w:val="006F2B77"/>
    <w:rsid w:val="006F2B7C"/>
    <w:rsid w:val="006F2B87"/>
    <w:rsid w:val="006F2DE6"/>
    <w:rsid w:val="006F2FB5"/>
    <w:rsid w:val="006F3093"/>
    <w:rsid w:val="006F32B1"/>
    <w:rsid w:val="006F32BA"/>
    <w:rsid w:val="006F3304"/>
    <w:rsid w:val="006F3390"/>
    <w:rsid w:val="006F339A"/>
    <w:rsid w:val="006F377F"/>
    <w:rsid w:val="006F3791"/>
    <w:rsid w:val="006F39F9"/>
    <w:rsid w:val="006F3B32"/>
    <w:rsid w:val="006F3B78"/>
    <w:rsid w:val="006F3C20"/>
    <w:rsid w:val="006F3CB3"/>
    <w:rsid w:val="006F3D07"/>
    <w:rsid w:val="006F3EC9"/>
    <w:rsid w:val="006F3FCA"/>
    <w:rsid w:val="006F4024"/>
    <w:rsid w:val="006F4215"/>
    <w:rsid w:val="006F422F"/>
    <w:rsid w:val="006F4266"/>
    <w:rsid w:val="006F44CC"/>
    <w:rsid w:val="006F46CE"/>
    <w:rsid w:val="006F4732"/>
    <w:rsid w:val="006F4789"/>
    <w:rsid w:val="006F4955"/>
    <w:rsid w:val="006F4B0C"/>
    <w:rsid w:val="006F4D1F"/>
    <w:rsid w:val="006F4DC4"/>
    <w:rsid w:val="006F4EBF"/>
    <w:rsid w:val="006F50DF"/>
    <w:rsid w:val="006F52A6"/>
    <w:rsid w:val="006F5354"/>
    <w:rsid w:val="006F55FB"/>
    <w:rsid w:val="006F5648"/>
    <w:rsid w:val="006F56AD"/>
    <w:rsid w:val="006F5BE8"/>
    <w:rsid w:val="006F5C52"/>
    <w:rsid w:val="006F5C8A"/>
    <w:rsid w:val="006F5EDF"/>
    <w:rsid w:val="006F5FAB"/>
    <w:rsid w:val="006F6226"/>
    <w:rsid w:val="006F6273"/>
    <w:rsid w:val="006F62D7"/>
    <w:rsid w:val="006F6314"/>
    <w:rsid w:val="006F6395"/>
    <w:rsid w:val="006F6776"/>
    <w:rsid w:val="006F6967"/>
    <w:rsid w:val="006F6B96"/>
    <w:rsid w:val="006F6D10"/>
    <w:rsid w:val="006F6EF7"/>
    <w:rsid w:val="006F6F2B"/>
    <w:rsid w:val="006F7080"/>
    <w:rsid w:val="006F72D3"/>
    <w:rsid w:val="006F7398"/>
    <w:rsid w:val="006F742C"/>
    <w:rsid w:val="006F74B6"/>
    <w:rsid w:val="006F74BE"/>
    <w:rsid w:val="006F775A"/>
    <w:rsid w:val="006F7AAB"/>
    <w:rsid w:val="006F7BA4"/>
    <w:rsid w:val="006F7DAC"/>
    <w:rsid w:val="006F7E65"/>
    <w:rsid w:val="006F7F8B"/>
    <w:rsid w:val="007000AF"/>
    <w:rsid w:val="007000C3"/>
    <w:rsid w:val="007002C5"/>
    <w:rsid w:val="00700451"/>
    <w:rsid w:val="007004FC"/>
    <w:rsid w:val="00700503"/>
    <w:rsid w:val="007005D2"/>
    <w:rsid w:val="00700757"/>
    <w:rsid w:val="0070076E"/>
    <w:rsid w:val="00700816"/>
    <w:rsid w:val="007008F9"/>
    <w:rsid w:val="00700964"/>
    <w:rsid w:val="00700C5C"/>
    <w:rsid w:val="00700C7D"/>
    <w:rsid w:val="00700DA0"/>
    <w:rsid w:val="00700E10"/>
    <w:rsid w:val="00701208"/>
    <w:rsid w:val="0070134B"/>
    <w:rsid w:val="00701361"/>
    <w:rsid w:val="007013D7"/>
    <w:rsid w:val="00701534"/>
    <w:rsid w:val="007015FB"/>
    <w:rsid w:val="00701701"/>
    <w:rsid w:val="007017C4"/>
    <w:rsid w:val="00701803"/>
    <w:rsid w:val="0070186E"/>
    <w:rsid w:val="00701A8E"/>
    <w:rsid w:val="00701B0C"/>
    <w:rsid w:val="00701C33"/>
    <w:rsid w:val="00701F49"/>
    <w:rsid w:val="00702088"/>
    <w:rsid w:val="007020B3"/>
    <w:rsid w:val="0070218C"/>
    <w:rsid w:val="00702263"/>
    <w:rsid w:val="007024BD"/>
    <w:rsid w:val="0070258A"/>
    <w:rsid w:val="00702613"/>
    <w:rsid w:val="0070274C"/>
    <w:rsid w:val="00702879"/>
    <w:rsid w:val="00702998"/>
    <w:rsid w:val="00702B43"/>
    <w:rsid w:val="00702DFC"/>
    <w:rsid w:val="00702E24"/>
    <w:rsid w:val="00702F71"/>
    <w:rsid w:val="00702F84"/>
    <w:rsid w:val="007030AE"/>
    <w:rsid w:val="00703168"/>
    <w:rsid w:val="00703283"/>
    <w:rsid w:val="007032FC"/>
    <w:rsid w:val="00703483"/>
    <w:rsid w:val="00703550"/>
    <w:rsid w:val="007036A3"/>
    <w:rsid w:val="007036A7"/>
    <w:rsid w:val="0070370D"/>
    <w:rsid w:val="00703895"/>
    <w:rsid w:val="00703A5F"/>
    <w:rsid w:val="00703C01"/>
    <w:rsid w:val="00703C8C"/>
    <w:rsid w:val="00703E24"/>
    <w:rsid w:val="00703EE0"/>
    <w:rsid w:val="007040F6"/>
    <w:rsid w:val="00704175"/>
    <w:rsid w:val="00704272"/>
    <w:rsid w:val="00704399"/>
    <w:rsid w:val="00704549"/>
    <w:rsid w:val="00704588"/>
    <w:rsid w:val="0070488D"/>
    <w:rsid w:val="00704970"/>
    <w:rsid w:val="007049BD"/>
    <w:rsid w:val="00704A14"/>
    <w:rsid w:val="00704D1C"/>
    <w:rsid w:val="00704D5E"/>
    <w:rsid w:val="00704E3B"/>
    <w:rsid w:val="007051C5"/>
    <w:rsid w:val="007052E7"/>
    <w:rsid w:val="007054D6"/>
    <w:rsid w:val="0070563B"/>
    <w:rsid w:val="0070565E"/>
    <w:rsid w:val="0070567C"/>
    <w:rsid w:val="0070569D"/>
    <w:rsid w:val="00705715"/>
    <w:rsid w:val="007057EF"/>
    <w:rsid w:val="00705859"/>
    <w:rsid w:val="00705873"/>
    <w:rsid w:val="00705BE3"/>
    <w:rsid w:val="00705CA0"/>
    <w:rsid w:val="00705CC3"/>
    <w:rsid w:val="00705D61"/>
    <w:rsid w:val="00705DD9"/>
    <w:rsid w:val="00705DE9"/>
    <w:rsid w:val="00705E66"/>
    <w:rsid w:val="00705F56"/>
    <w:rsid w:val="0070619F"/>
    <w:rsid w:val="007061F5"/>
    <w:rsid w:val="00706378"/>
    <w:rsid w:val="00706447"/>
    <w:rsid w:val="0070647E"/>
    <w:rsid w:val="007064F8"/>
    <w:rsid w:val="00706564"/>
    <w:rsid w:val="00706578"/>
    <w:rsid w:val="0070663F"/>
    <w:rsid w:val="00706767"/>
    <w:rsid w:val="00706982"/>
    <w:rsid w:val="007069FA"/>
    <w:rsid w:val="00706A34"/>
    <w:rsid w:val="00706BB5"/>
    <w:rsid w:val="00706C4D"/>
    <w:rsid w:val="00706CB5"/>
    <w:rsid w:val="00706D7D"/>
    <w:rsid w:val="00706E6A"/>
    <w:rsid w:val="00706FDB"/>
    <w:rsid w:val="007070EA"/>
    <w:rsid w:val="00707459"/>
    <w:rsid w:val="00707524"/>
    <w:rsid w:val="00707535"/>
    <w:rsid w:val="007075E2"/>
    <w:rsid w:val="007078C3"/>
    <w:rsid w:val="00707A49"/>
    <w:rsid w:val="00707CBA"/>
    <w:rsid w:val="00707CF5"/>
    <w:rsid w:val="00707E5D"/>
    <w:rsid w:val="00707E60"/>
    <w:rsid w:val="00707EF0"/>
    <w:rsid w:val="00707F0A"/>
    <w:rsid w:val="00707F4A"/>
    <w:rsid w:val="00707F7F"/>
    <w:rsid w:val="0071006C"/>
    <w:rsid w:val="00710170"/>
    <w:rsid w:val="00710185"/>
    <w:rsid w:val="0071024A"/>
    <w:rsid w:val="007102CB"/>
    <w:rsid w:val="0071036C"/>
    <w:rsid w:val="007103D1"/>
    <w:rsid w:val="00710514"/>
    <w:rsid w:val="00710681"/>
    <w:rsid w:val="007106D8"/>
    <w:rsid w:val="00710722"/>
    <w:rsid w:val="0071087E"/>
    <w:rsid w:val="00710AE6"/>
    <w:rsid w:val="00710B1C"/>
    <w:rsid w:val="00710B2E"/>
    <w:rsid w:val="00710B68"/>
    <w:rsid w:val="00710BEF"/>
    <w:rsid w:val="00710C45"/>
    <w:rsid w:val="00710C75"/>
    <w:rsid w:val="00710D69"/>
    <w:rsid w:val="00710DE4"/>
    <w:rsid w:val="00710E9F"/>
    <w:rsid w:val="00710FCA"/>
    <w:rsid w:val="007111D4"/>
    <w:rsid w:val="00711432"/>
    <w:rsid w:val="00711571"/>
    <w:rsid w:val="007115C1"/>
    <w:rsid w:val="00711663"/>
    <w:rsid w:val="007116A7"/>
    <w:rsid w:val="00711743"/>
    <w:rsid w:val="0071189F"/>
    <w:rsid w:val="007118A3"/>
    <w:rsid w:val="00711927"/>
    <w:rsid w:val="0071192C"/>
    <w:rsid w:val="00711D30"/>
    <w:rsid w:val="00711D85"/>
    <w:rsid w:val="00711D95"/>
    <w:rsid w:val="00712018"/>
    <w:rsid w:val="0071202E"/>
    <w:rsid w:val="00712098"/>
    <w:rsid w:val="0071222A"/>
    <w:rsid w:val="007124D7"/>
    <w:rsid w:val="007126CD"/>
    <w:rsid w:val="0071288D"/>
    <w:rsid w:val="00712917"/>
    <w:rsid w:val="0071291F"/>
    <w:rsid w:val="00712B94"/>
    <w:rsid w:val="00712D76"/>
    <w:rsid w:val="00712E47"/>
    <w:rsid w:val="00712EBC"/>
    <w:rsid w:val="00712F29"/>
    <w:rsid w:val="00712F32"/>
    <w:rsid w:val="007131EA"/>
    <w:rsid w:val="007132B2"/>
    <w:rsid w:val="00713399"/>
    <w:rsid w:val="00713777"/>
    <w:rsid w:val="007137D7"/>
    <w:rsid w:val="00713890"/>
    <w:rsid w:val="007138FA"/>
    <w:rsid w:val="00713D93"/>
    <w:rsid w:val="00713E4B"/>
    <w:rsid w:val="00713FD4"/>
    <w:rsid w:val="00713FFF"/>
    <w:rsid w:val="00714138"/>
    <w:rsid w:val="00714286"/>
    <w:rsid w:val="007143B6"/>
    <w:rsid w:val="007144D2"/>
    <w:rsid w:val="007144E7"/>
    <w:rsid w:val="00714549"/>
    <w:rsid w:val="007145FD"/>
    <w:rsid w:val="0071478C"/>
    <w:rsid w:val="007147C7"/>
    <w:rsid w:val="00714AF0"/>
    <w:rsid w:val="00714C48"/>
    <w:rsid w:val="00715104"/>
    <w:rsid w:val="00715160"/>
    <w:rsid w:val="0071519B"/>
    <w:rsid w:val="00715242"/>
    <w:rsid w:val="0071531C"/>
    <w:rsid w:val="0071534D"/>
    <w:rsid w:val="00715353"/>
    <w:rsid w:val="00715410"/>
    <w:rsid w:val="00715478"/>
    <w:rsid w:val="007156E9"/>
    <w:rsid w:val="00715700"/>
    <w:rsid w:val="00715757"/>
    <w:rsid w:val="00715788"/>
    <w:rsid w:val="007157BE"/>
    <w:rsid w:val="00715AD9"/>
    <w:rsid w:val="00715B04"/>
    <w:rsid w:val="00715B60"/>
    <w:rsid w:val="00715D26"/>
    <w:rsid w:val="00715ED2"/>
    <w:rsid w:val="00716107"/>
    <w:rsid w:val="0071614D"/>
    <w:rsid w:val="00716334"/>
    <w:rsid w:val="0071643B"/>
    <w:rsid w:val="007165A3"/>
    <w:rsid w:val="007165F0"/>
    <w:rsid w:val="0071665C"/>
    <w:rsid w:val="00716A9E"/>
    <w:rsid w:val="00716CF1"/>
    <w:rsid w:val="00716D83"/>
    <w:rsid w:val="00716DD1"/>
    <w:rsid w:val="00716EFF"/>
    <w:rsid w:val="00716F0C"/>
    <w:rsid w:val="00716FB2"/>
    <w:rsid w:val="007173A1"/>
    <w:rsid w:val="00717424"/>
    <w:rsid w:val="0071776F"/>
    <w:rsid w:val="00717795"/>
    <w:rsid w:val="00717869"/>
    <w:rsid w:val="007178A8"/>
    <w:rsid w:val="00717919"/>
    <w:rsid w:val="0071797B"/>
    <w:rsid w:val="00717A05"/>
    <w:rsid w:val="00717AB4"/>
    <w:rsid w:val="00717C16"/>
    <w:rsid w:val="00717C19"/>
    <w:rsid w:val="00717D24"/>
    <w:rsid w:val="00717EBD"/>
    <w:rsid w:val="00720158"/>
    <w:rsid w:val="00720260"/>
    <w:rsid w:val="007202AB"/>
    <w:rsid w:val="007202DF"/>
    <w:rsid w:val="0072033B"/>
    <w:rsid w:val="0072034A"/>
    <w:rsid w:val="007203D9"/>
    <w:rsid w:val="00720720"/>
    <w:rsid w:val="0072074B"/>
    <w:rsid w:val="00720782"/>
    <w:rsid w:val="00720849"/>
    <w:rsid w:val="007208EB"/>
    <w:rsid w:val="00720911"/>
    <w:rsid w:val="00720A0E"/>
    <w:rsid w:val="00720AB1"/>
    <w:rsid w:val="00720B56"/>
    <w:rsid w:val="00720B98"/>
    <w:rsid w:val="00720E04"/>
    <w:rsid w:val="00720E6F"/>
    <w:rsid w:val="00720EAE"/>
    <w:rsid w:val="00720F3C"/>
    <w:rsid w:val="00721000"/>
    <w:rsid w:val="0072105A"/>
    <w:rsid w:val="00721078"/>
    <w:rsid w:val="007210E5"/>
    <w:rsid w:val="007210F9"/>
    <w:rsid w:val="007211C3"/>
    <w:rsid w:val="00721269"/>
    <w:rsid w:val="007212C2"/>
    <w:rsid w:val="0072139D"/>
    <w:rsid w:val="007214B7"/>
    <w:rsid w:val="007214E3"/>
    <w:rsid w:val="007215C5"/>
    <w:rsid w:val="007217EE"/>
    <w:rsid w:val="0072197A"/>
    <w:rsid w:val="00721A76"/>
    <w:rsid w:val="00721B4F"/>
    <w:rsid w:val="00721D55"/>
    <w:rsid w:val="00721EED"/>
    <w:rsid w:val="00721EF4"/>
    <w:rsid w:val="007221A2"/>
    <w:rsid w:val="0072242A"/>
    <w:rsid w:val="00722673"/>
    <w:rsid w:val="0072281F"/>
    <w:rsid w:val="00722851"/>
    <w:rsid w:val="00722978"/>
    <w:rsid w:val="007229B2"/>
    <w:rsid w:val="00722B6A"/>
    <w:rsid w:val="00722CE0"/>
    <w:rsid w:val="00722D06"/>
    <w:rsid w:val="00722DC6"/>
    <w:rsid w:val="007230CE"/>
    <w:rsid w:val="00723169"/>
    <w:rsid w:val="007235D4"/>
    <w:rsid w:val="0072360E"/>
    <w:rsid w:val="007236D8"/>
    <w:rsid w:val="007236EF"/>
    <w:rsid w:val="00723702"/>
    <w:rsid w:val="00723824"/>
    <w:rsid w:val="00723940"/>
    <w:rsid w:val="0072395E"/>
    <w:rsid w:val="00723A32"/>
    <w:rsid w:val="00723A3E"/>
    <w:rsid w:val="00723BFB"/>
    <w:rsid w:val="00723E2A"/>
    <w:rsid w:val="00723E66"/>
    <w:rsid w:val="00723EB7"/>
    <w:rsid w:val="00723F35"/>
    <w:rsid w:val="0072469F"/>
    <w:rsid w:val="00724B89"/>
    <w:rsid w:val="00724BDC"/>
    <w:rsid w:val="00725019"/>
    <w:rsid w:val="0072519C"/>
    <w:rsid w:val="007251F1"/>
    <w:rsid w:val="007253E8"/>
    <w:rsid w:val="00725598"/>
    <w:rsid w:val="007255F8"/>
    <w:rsid w:val="00725681"/>
    <w:rsid w:val="007259EC"/>
    <w:rsid w:val="00725BAB"/>
    <w:rsid w:val="00725CE5"/>
    <w:rsid w:val="00725EC3"/>
    <w:rsid w:val="0072603D"/>
    <w:rsid w:val="00726156"/>
    <w:rsid w:val="007261A1"/>
    <w:rsid w:val="0072628C"/>
    <w:rsid w:val="00726487"/>
    <w:rsid w:val="00726526"/>
    <w:rsid w:val="0072669E"/>
    <w:rsid w:val="0072670A"/>
    <w:rsid w:val="007268B2"/>
    <w:rsid w:val="007269FB"/>
    <w:rsid w:val="00726B97"/>
    <w:rsid w:val="00726C95"/>
    <w:rsid w:val="00726FFB"/>
    <w:rsid w:val="00727082"/>
    <w:rsid w:val="00727497"/>
    <w:rsid w:val="00727618"/>
    <w:rsid w:val="0072770A"/>
    <w:rsid w:val="007277C2"/>
    <w:rsid w:val="00727857"/>
    <w:rsid w:val="00727915"/>
    <w:rsid w:val="00727974"/>
    <w:rsid w:val="007279C0"/>
    <w:rsid w:val="007279F6"/>
    <w:rsid w:val="00727ACF"/>
    <w:rsid w:val="00727B09"/>
    <w:rsid w:val="00727D91"/>
    <w:rsid w:val="00727E4D"/>
    <w:rsid w:val="007304EB"/>
    <w:rsid w:val="00730665"/>
    <w:rsid w:val="00730727"/>
    <w:rsid w:val="007307D2"/>
    <w:rsid w:val="007309C2"/>
    <w:rsid w:val="007309EE"/>
    <w:rsid w:val="00730B69"/>
    <w:rsid w:val="00730B9E"/>
    <w:rsid w:val="00730CFA"/>
    <w:rsid w:val="00730D2C"/>
    <w:rsid w:val="00730D93"/>
    <w:rsid w:val="00730E5D"/>
    <w:rsid w:val="00731014"/>
    <w:rsid w:val="007310A5"/>
    <w:rsid w:val="007310BC"/>
    <w:rsid w:val="007310F9"/>
    <w:rsid w:val="00731226"/>
    <w:rsid w:val="007312E5"/>
    <w:rsid w:val="007313E0"/>
    <w:rsid w:val="0073150B"/>
    <w:rsid w:val="0073165B"/>
    <w:rsid w:val="0073166C"/>
    <w:rsid w:val="00731809"/>
    <w:rsid w:val="00731997"/>
    <w:rsid w:val="00731CF3"/>
    <w:rsid w:val="00731ECD"/>
    <w:rsid w:val="00731F74"/>
    <w:rsid w:val="00731F86"/>
    <w:rsid w:val="00732167"/>
    <w:rsid w:val="007321D0"/>
    <w:rsid w:val="00732376"/>
    <w:rsid w:val="007325EA"/>
    <w:rsid w:val="0073268B"/>
    <w:rsid w:val="00732920"/>
    <w:rsid w:val="00732A6E"/>
    <w:rsid w:val="00732B0E"/>
    <w:rsid w:val="00732C52"/>
    <w:rsid w:val="00732D9A"/>
    <w:rsid w:val="0073312D"/>
    <w:rsid w:val="00733164"/>
    <w:rsid w:val="00733296"/>
    <w:rsid w:val="007332B6"/>
    <w:rsid w:val="007333A8"/>
    <w:rsid w:val="00733445"/>
    <w:rsid w:val="007336A2"/>
    <w:rsid w:val="0073372C"/>
    <w:rsid w:val="00733742"/>
    <w:rsid w:val="007337D8"/>
    <w:rsid w:val="007339D4"/>
    <w:rsid w:val="00733AC2"/>
    <w:rsid w:val="00733D1C"/>
    <w:rsid w:val="00733E30"/>
    <w:rsid w:val="00734044"/>
    <w:rsid w:val="00734048"/>
    <w:rsid w:val="0073431A"/>
    <w:rsid w:val="00734554"/>
    <w:rsid w:val="0073473A"/>
    <w:rsid w:val="007347BB"/>
    <w:rsid w:val="0073484D"/>
    <w:rsid w:val="0073492C"/>
    <w:rsid w:val="007349F1"/>
    <w:rsid w:val="00734ADE"/>
    <w:rsid w:val="00734B00"/>
    <w:rsid w:val="00734C4D"/>
    <w:rsid w:val="00734D8A"/>
    <w:rsid w:val="00734E79"/>
    <w:rsid w:val="0073534D"/>
    <w:rsid w:val="0073543C"/>
    <w:rsid w:val="00735467"/>
    <w:rsid w:val="00735498"/>
    <w:rsid w:val="00735612"/>
    <w:rsid w:val="00735945"/>
    <w:rsid w:val="00735A6B"/>
    <w:rsid w:val="00735C0E"/>
    <w:rsid w:val="00735D98"/>
    <w:rsid w:val="00735F85"/>
    <w:rsid w:val="00736022"/>
    <w:rsid w:val="00736048"/>
    <w:rsid w:val="0073612E"/>
    <w:rsid w:val="00736289"/>
    <w:rsid w:val="007363D5"/>
    <w:rsid w:val="007363FF"/>
    <w:rsid w:val="00736433"/>
    <w:rsid w:val="0073664B"/>
    <w:rsid w:val="0073672D"/>
    <w:rsid w:val="00736785"/>
    <w:rsid w:val="00736797"/>
    <w:rsid w:val="00736931"/>
    <w:rsid w:val="00736CD1"/>
    <w:rsid w:val="00736D14"/>
    <w:rsid w:val="00736D35"/>
    <w:rsid w:val="007370AF"/>
    <w:rsid w:val="00737268"/>
    <w:rsid w:val="00737554"/>
    <w:rsid w:val="00737687"/>
    <w:rsid w:val="0073769E"/>
    <w:rsid w:val="007378AE"/>
    <w:rsid w:val="007378C3"/>
    <w:rsid w:val="00737AEA"/>
    <w:rsid w:val="00737E1E"/>
    <w:rsid w:val="00737E3B"/>
    <w:rsid w:val="00737EF3"/>
    <w:rsid w:val="00737F2C"/>
    <w:rsid w:val="00737F63"/>
    <w:rsid w:val="00737FA5"/>
    <w:rsid w:val="00737FB2"/>
    <w:rsid w:val="00740099"/>
    <w:rsid w:val="007401F2"/>
    <w:rsid w:val="007402DB"/>
    <w:rsid w:val="007404C2"/>
    <w:rsid w:val="00740500"/>
    <w:rsid w:val="00740544"/>
    <w:rsid w:val="00740622"/>
    <w:rsid w:val="00740740"/>
    <w:rsid w:val="0074076C"/>
    <w:rsid w:val="0074089D"/>
    <w:rsid w:val="00740914"/>
    <w:rsid w:val="00740BA4"/>
    <w:rsid w:val="00740C77"/>
    <w:rsid w:val="00740C7F"/>
    <w:rsid w:val="00740F49"/>
    <w:rsid w:val="007410E7"/>
    <w:rsid w:val="007416BC"/>
    <w:rsid w:val="007417BB"/>
    <w:rsid w:val="007417C4"/>
    <w:rsid w:val="007417FF"/>
    <w:rsid w:val="00741871"/>
    <w:rsid w:val="007418E4"/>
    <w:rsid w:val="00741AE5"/>
    <w:rsid w:val="00741AE7"/>
    <w:rsid w:val="00741F40"/>
    <w:rsid w:val="0074229F"/>
    <w:rsid w:val="00742496"/>
    <w:rsid w:val="007424AB"/>
    <w:rsid w:val="00742660"/>
    <w:rsid w:val="0074273B"/>
    <w:rsid w:val="00742742"/>
    <w:rsid w:val="00742837"/>
    <w:rsid w:val="00742860"/>
    <w:rsid w:val="007429B5"/>
    <w:rsid w:val="00742B7F"/>
    <w:rsid w:val="00742D0B"/>
    <w:rsid w:val="00742EBF"/>
    <w:rsid w:val="00743020"/>
    <w:rsid w:val="007430F2"/>
    <w:rsid w:val="00743160"/>
    <w:rsid w:val="007432C5"/>
    <w:rsid w:val="007433EF"/>
    <w:rsid w:val="00743434"/>
    <w:rsid w:val="00743507"/>
    <w:rsid w:val="00743538"/>
    <w:rsid w:val="00743562"/>
    <w:rsid w:val="007435EC"/>
    <w:rsid w:val="00743695"/>
    <w:rsid w:val="0074370C"/>
    <w:rsid w:val="00743BA1"/>
    <w:rsid w:val="00743BB2"/>
    <w:rsid w:val="00743C92"/>
    <w:rsid w:val="00743DF3"/>
    <w:rsid w:val="00743E02"/>
    <w:rsid w:val="00743F2B"/>
    <w:rsid w:val="0074417E"/>
    <w:rsid w:val="0074421B"/>
    <w:rsid w:val="0074435A"/>
    <w:rsid w:val="00744409"/>
    <w:rsid w:val="007446B0"/>
    <w:rsid w:val="007446C8"/>
    <w:rsid w:val="0074475E"/>
    <w:rsid w:val="00744768"/>
    <w:rsid w:val="00744B83"/>
    <w:rsid w:val="00744FFA"/>
    <w:rsid w:val="007450AA"/>
    <w:rsid w:val="007450B7"/>
    <w:rsid w:val="007452FD"/>
    <w:rsid w:val="0074542E"/>
    <w:rsid w:val="00745464"/>
    <w:rsid w:val="0074547C"/>
    <w:rsid w:val="007454FF"/>
    <w:rsid w:val="00745596"/>
    <w:rsid w:val="007456AF"/>
    <w:rsid w:val="00745929"/>
    <w:rsid w:val="00745C10"/>
    <w:rsid w:val="00745CF2"/>
    <w:rsid w:val="007460B4"/>
    <w:rsid w:val="0074613F"/>
    <w:rsid w:val="007462E4"/>
    <w:rsid w:val="00746398"/>
    <w:rsid w:val="007463BE"/>
    <w:rsid w:val="00746669"/>
    <w:rsid w:val="0074675A"/>
    <w:rsid w:val="00746990"/>
    <w:rsid w:val="007469C4"/>
    <w:rsid w:val="00746B66"/>
    <w:rsid w:val="00746B9C"/>
    <w:rsid w:val="00746C6D"/>
    <w:rsid w:val="00746C98"/>
    <w:rsid w:val="007472BE"/>
    <w:rsid w:val="00747395"/>
    <w:rsid w:val="007474A9"/>
    <w:rsid w:val="007476B4"/>
    <w:rsid w:val="007476D9"/>
    <w:rsid w:val="00747BCA"/>
    <w:rsid w:val="00747CCE"/>
    <w:rsid w:val="00747EDA"/>
    <w:rsid w:val="00747F1F"/>
    <w:rsid w:val="00747F7F"/>
    <w:rsid w:val="00747FEC"/>
    <w:rsid w:val="007500F8"/>
    <w:rsid w:val="00750238"/>
    <w:rsid w:val="007502A8"/>
    <w:rsid w:val="007502C3"/>
    <w:rsid w:val="00750384"/>
    <w:rsid w:val="007507F7"/>
    <w:rsid w:val="00750944"/>
    <w:rsid w:val="007509E2"/>
    <w:rsid w:val="00750ABA"/>
    <w:rsid w:val="00750AD4"/>
    <w:rsid w:val="00750C12"/>
    <w:rsid w:val="00750C72"/>
    <w:rsid w:val="00750D9B"/>
    <w:rsid w:val="00750E39"/>
    <w:rsid w:val="00750F0C"/>
    <w:rsid w:val="00750FFF"/>
    <w:rsid w:val="0075102C"/>
    <w:rsid w:val="007515AD"/>
    <w:rsid w:val="00751671"/>
    <w:rsid w:val="007517DF"/>
    <w:rsid w:val="007518BE"/>
    <w:rsid w:val="007519D3"/>
    <w:rsid w:val="00751A2F"/>
    <w:rsid w:val="00751BD5"/>
    <w:rsid w:val="00751C0F"/>
    <w:rsid w:val="00751D75"/>
    <w:rsid w:val="00751D85"/>
    <w:rsid w:val="00751EEE"/>
    <w:rsid w:val="00751FD9"/>
    <w:rsid w:val="00752169"/>
    <w:rsid w:val="007521B3"/>
    <w:rsid w:val="007521D7"/>
    <w:rsid w:val="007524FF"/>
    <w:rsid w:val="00752705"/>
    <w:rsid w:val="007528C1"/>
    <w:rsid w:val="00752C3F"/>
    <w:rsid w:val="00752D93"/>
    <w:rsid w:val="00752E3E"/>
    <w:rsid w:val="00752E5D"/>
    <w:rsid w:val="00753008"/>
    <w:rsid w:val="007530A6"/>
    <w:rsid w:val="0075325A"/>
    <w:rsid w:val="00753312"/>
    <w:rsid w:val="0075351F"/>
    <w:rsid w:val="007536C2"/>
    <w:rsid w:val="007537BE"/>
    <w:rsid w:val="007539C3"/>
    <w:rsid w:val="00753D82"/>
    <w:rsid w:val="00753EA9"/>
    <w:rsid w:val="00753EE1"/>
    <w:rsid w:val="00753F07"/>
    <w:rsid w:val="00754148"/>
    <w:rsid w:val="00754160"/>
    <w:rsid w:val="007542FA"/>
    <w:rsid w:val="00754358"/>
    <w:rsid w:val="0075438B"/>
    <w:rsid w:val="00754466"/>
    <w:rsid w:val="007544BC"/>
    <w:rsid w:val="0075469C"/>
    <w:rsid w:val="0075482B"/>
    <w:rsid w:val="00754912"/>
    <w:rsid w:val="0075494A"/>
    <w:rsid w:val="0075497E"/>
    <w:rsid w:val="007549D3"/>
    <w:rsid w:val="00754C87"/>
    <w:rsid w:val="00754DD0"/>
    <w:rsid w:val="00754ECD"/>
    <w:rsid w:val="0075508A"/>
    <w:rsid w:val="007550EA"/>
    <w:rsid w:val="007551D8"/>
    <w:rsid w:val="007553EA"/>
    <w:rsid w:val="0075573F"/>
    <w:rsid w:val="007557FB"/>
    <w:rsid w:val="00755949"/>
    <w:rsid w:val="007559FF"/>
    <w:rsid w:val="00755ACC"/>
    <w:rsid w:val="00755E75"/>
    <w:rsid w:val="00755ED9"/>
    <w:rsid w:val="00755F04"/>
    <w:rsid w:val="00755F75"/>
    <w:rsid w:val="0075601B"/>
    <w:rsid w:val="0075615C"/>
    <w:rsid w:val="007564C7"/>
    <w:rsid w:val="007564C8"/>
    <w:rsid w:val="0075688E"/>
    <w:rsid w:val="0075691A"/>
    <w:rsid w:val="00756D4A"/>
    <w:rsid w:val="00756D86"/>
    <w:rsid w:val="00756EDA"/>
    <w:rsid w:val="00756EE6"/>
    <w:rsid w:val="00756F19"/>
    <w:rsid w:val="00756FF0"/>
    <w:rsid w:val="00757093"/>
    <w:rsid w:val="007572AA"/>
    <w:rsid w:val="007574DF"/>
    <w:rsid w:val="0075751E"/>
    <w:rsid w:val="00757523"/>
    <w:rsid w:val="007576BD"/>
    <w:rsid w:val="0075779F"/>
    <w:rsid w:val="007577C9"/>
    <w:rsid w:val="00757905"/>
    <w:rsid w:val="00757990"/>
    <w:rsid w:val="007579A9"/>
    <w:rsid w:val="00757A2A"/>
    <w:rsid w:val="00757AE3"/>
    <w:rsid w:val="00757DDE"/>
    <w:rsid w:val="00760218"/>
    <w:rsid w:val="00760346"/>
    <w:rsid w:val="00760431"/>
    <w:rsid w:val="00760432"/>
    <w:rsid w:val="007607E1"/>
    <w:rsid w:val="00760979"/>
    <w:rsid w:val="00760A6C"/>
    <w:rsid w:val="00760AE0"/>
    <w:rsid w:val="00760E48"/>
    <w:rsid w:val="00760E7B"/>
    <w:rsid w:val="007610F2"/>
    <w:rsid w:val="007614BD"/>
    <w:rsid w:val="00761569"/>
    <w:rsid w:val="007615FF"/>
    <w:rsid w:val="00761616"/>
    <w:rsid w:val="00761986"/>
    <w:rsid w:val="007619FC"/>
    <w:rsid w:val="00761A5E"/>
    <w:rsid w:val="00761B4D"/>
    <w:rsid w:val="00761C0F"/>
    <w:rsid w:val="00761CF5"/>
    <w:rsid w:val="00761E15"/>
    <w:rsid w:val="00761E16"/>
    <w:rsid w:val="00761F7B"/>
    <w:rsid w:val="00761FDD"/>
    <w:rsid w:val="00762002"/>
    <w:rsid w:val="007620B6"/>
    <w:rsid w:val="00762150"/>
    <w:rsid w:val="0076217B"/>
    <w:rsid w:val="007621F1"/>
    <w:rsid w:val="0076223F"/>
    <w:rsid w:val="00762245"/>
    <w:rsid w:val="007622D6"/>
    <w:rsid w:val="007626C1"/>
    <w:rsid w:val="00762712"/>
    <w:rsid w:val="0076275A"/>
    <w:rsid w:val="00762936"/>
    <w:rsid w:val="00762941"/>
    <w:rsid w:val="0076297D"/>
    <w:rsid w:val="00762B25"/>
    <w:rsid w:val="00762BE2"/>
    <w:rsid w:val="00762C45"/>
    <w:rsid w:val="00762D14"/>
    <w:rsid w:val="00762E92"/>
    <w:rsid w:val="00762E96"/>
    <w:rsid w:val="00762F43"/>
    <w:rsid w:val="00763473"/>
    <w:rsid w:val="007634DC"/>
    <w:rsid w:val="007636C7"/>
    <w:rsid w:val="00763788"/>
    <w:rsid w:val="007637AF"/>
    <w:rsid w:val="007637C9"/>
    <w:rsid w:val="0076388B"/>
    <w:rsid w:val="00763A95"/>
    <w:rsid w:val="00763B25"/>
    <w:rsid w:val="00763C27"/>
    <w:rsid w:val="00763C31"/>
    <w:rsid w:val="00763E5D"/>
    <w:rsid w:val="00763ED8"/>
    <w:rsid w:val="00763EDD"/>
    <w:rsid w:val="00763F22"/>
    <w:rsid w:val="00763F33"/>
    <w:rsid w:val="00764151"/>
    <w:rsid w:val="00764217"/>
    <w:rsid w:val="007642D4"/>
    <w:rsid w:val="007643AC"/>
    <w:rsid w:val="007643DA"/>
    <w:rsid w:val="00764517"/>
    <w:rsid w:val="00764522"/>
    <w:rsid w:val="0076462C"/>
    <w:rsid w:val="00764762"/>
    <w:rsid w:val="007647B8"/>
    <w:rsid w:val="00764912"/>
    <w:rsid w:val="00764A2A"/>
    <w:rsid w:val="00764A55"/>
    <w:rsid w:val="00764ABF"/>
    <w:rsid w:val="00764B0E"/>
    <w:rsid w:val="00764DD1"/>
    <w:rsid w:val="00764F97"/>
    <w:rsid w:val="007650F9"/>
    <w:rsid w:val="007652B5"/>
    <w:rsid w:val="00765367"/>
    <w:rsid w:val="007653F0"/>
    <w:rsid w:val="007654B1"/>
    <w:rsid w:val="007656C1"/>
    <w:rsid w:val="007656DB"/>
    <w:rsid w:val="0076574A"/>
    <w:rsid w:val="0076581E"/>
    <w:rsid w:val="0076583C"/>
    <w:rsid w:val="007658CB"/>
    <w:rsid w:val="007658CF"/>
    <w:rsid w:val="0076591C"/>
    <w:rsid w:val="00765962"/>
    <w:rsid w:val="00765A4A"/>
    <w:rsid w:val="00765A51"/>
    <w:rsid w:val="00765AE4"/>
    <w:rsid w:val="00765B29"/>
    <w:rsid w:val="00765CA0"/>
    <w:rsid w:val="00765E3F"/>
    <w:rsid w:val="00765F76"/>
    <w:rsid w:val="0076605B"/>
    <w:rsid w:val="00766160"/>
    <w:rsid w:val="00766400"/>
    <w:rsid w:val="00766486"/>
    <w:rsid w:val="007667BE"/>
    <w:rsid w:val="00766927"/>
    <w:rsid w:val="00766963"/>
    <w:rsid w:val="00767116"/>
    <w:rsid w:val="007671AD"/>
    <w:rsid w:val="00767261"/>
    <w:rsid w:val="00767518"/>
    <w:rsid w:val="00767595"/>
    <w:rsid w:val="007676D3"/>
    <w:rsid w:val="0076781B"/>
    <w:rsid w:val="00767953"/>
    <w:rsid w:val="00767A54"/>
    <w:rsid w:val="00767B45"/>
    <w:rsid w:val="00767D30"/>
    <w:rsid w:val="00767D7E"/>
    <w:rsid w:val="00767E3B"/>
    <w:rsid w:val="00767FCD"/>
    <w:rsid w:val="00770048"/>
    <w:rsid w:val="0077008E"/>
    <w:rsid w:val="007700F0"/>
    <w:rsid w:val="00770127"/>
    <w:rsid w:val="00770373"/>
    <w:rsid w:val="0077039E"/>
    <w:rsid w:val="007706F5"/>
    <w:rsid w:val="007706FA"/>
    <w:rsid w:val="0077082D"/>
    <w:rsid w:val="00770847"/>
    <w:rsid w:val="007708E2"/>
    <w:rsid w:val="00770904"/>
    <w:rsid w:val="00770B09"/>
    <w:rsid w:val="00770B91"/>
    <w:rsid w:val="00770BAC"/>
    <w:rsid w:val="00770FD9"/>
    <w:rsid w:val="00771030"/>
    <w:rsid w:val="00771130"/>
    <w:rsid w:val="00771157"/>
    <w:rsid w:val="00771178"/>
    <w:rsid w:val="0077128E"/>
    <w:rsid w:val="007713B5"/>
    <w:rsid w:val="0077159A"/>
    <w:rsid w:val="007715A1"/>
    <w:rsid w:val="00771B46"/>
    <w:rsid w:val="00771C4B"/>
    <w:rsid w:val="00771D24"/>
    <w:rsid w:val="00771E68"/>
    <w:rsid w:val="00771E91"/>
    <w:rsid w:val="00771ED5"/>
    <w:rsid w:val="00771F2A"/>
    <w:rsid w:val="0077203B"/>
    <w:rsid w:val="007721C0"/>
    <w:rsid w:val="007724E1"/>
    <w:rsid w:val="00772590"/>
    <w:rsid w:val="00772607"/>
    <w:rsid w:val="00772612"/>
    <w:rsid w:val="00772640"/>
    <w:rsid w:val="00772A29"/>
    <w:rsid w:val="00772A6B"/>
    <w:rsid w:val="00772BD0"/>
    <w:rsid w:val="00772C40"/>
    <w:rsid w:val="00772C9E"/>
    <w:rsid w:val="00772F33"/>
    <w:rsid w:val="00773062"/>
    <w:rsid w:val="007731CC"/>
    <w:rsid w:val="007731FE"/>
    <w:rsid w:val="007732B8"/>
    <w:rsid w:val="0077366E"/>
    <w:rsid w:val="007736C4"/>
    <w:rsid w:val="00773983"/>
    <w:rsid w:val="007739C4"/>
    <w:rsid w:val="00773A2D"/>
    <w:rsid w:val="00773B16"/>
    <w:rsid w:val="00773C76"/>
    <w:rsid w:val="00773EEC"/>
    <w:rsid w:val="00773F5F"/>
    <w:rsid w:val="00774071"/>
    <w:rsid w:val="00774167"/>
    <w:rsid w:val="00774234"/>
    <w:rsid w:val="00774326"/>
    <w:rsid w:val="007743EF"/>
    <w:rsid w:val="007744A4"/>
    <w:rsid w:val="00774767"/>
    <w:rsid w:val="007748B1"/>
    <w:rsid w:val="007748F7"/>
    <w:rsid w:val="0077495E"/>
    <w:rsid w:val="007749DA"/>
    <w:rsid w:val="007749DE"/>
    <w:rsid w:val="00774A29"/>
    <w:rsid w:val="00774A2D"/>
    <w:rsid w:val="00774BD8"/>
    <w:rsid w:val="00774BF2"/>
    <w:rsid w:val="00774C1A"/>
    <w:rsid w:val="00774DDC"/>
    <w:rsid w:val="00774FA5"/>
    <w:rsid w:val="00775163"/>
    <w:rsid w:val="0077547A"/>
    <w:rsid w:val="0077552F"/>
    <w:rsid w:val="007755D1"/>
    <w:rsid w:val="0077576C"/>
    <w:rsid w:val="0077585D"/>
    <w:rsid w:val="0077586D"/>
    <w:rsid w:val="00775B9A"/>
    <w:rsid w:val="00775BDD"/>
    <w:rsid w:val="00775E1C"/>
    <w:rsid w:val="00775E1D"/>
    <w:rsid w:val="00775F12"/>
    <w:rsid w:val="007760F1"/>
    <w:rsid w:val="00776134"/>
    <w:rsid w:val="00776595"/>
    <w:rsid w:val="007768DA"/>
    <w:rsid w:val="007769E5"/>
    <w:rsid w:val="00776A49"/>
    <w:rsid w:val="00776B81"/>
    <w:rsid w:val="00776BA5"/>
    <w:rsid w:val="00776C5B"/>
    <w:rsid w:val="00776CA9"/>
    <w:rsid w:val="00776D0A"/>
    <w:rsid w:val="00776F84"/>
    <w:rsid w:val="00777156"/>
    <w:rsid w:val="0077724F"/>
    <w:rsid w:val="007772E2"/>
    <w:rsid w:val="00777418"/>
    <w:rsid w:val="0077745F"/>
    <w:rsid w:val="0077777F"/>
    <w:rsid w:val="007779C0"/>
    <w:rsid w:val="00777A6C"/>
    <w:rsid w:val="00777AFE"/>
    <w:rsid w:val="00777B5B"/>
    <w:rsid w:val="00777BE6"/>
    <w:rsid w:val="00777C0B"/>
    <w:rsid w:val="00777D23"/>
    <w:rsid w:val="00777DF4"/>
    <w:rsid w:val="00777DF7"/>
    <w:rsid w:val="00777E14"/>
    <w:rsid w:val="0078002A"/>
    <w:rsid w:val="00780068"/>
    <w:rsid w:val="00780213"/>
    <w:rsid w:val="00780352"/>
    <w:rsid w:val="007803EE"/>
    <w:rsid w:val="00780502"/>
    <w:rsid w:val="0078050F"/>
    <w:rsid w:val="00780623"/>
    <w:rsid w:val="0078085D"/>
    <w:rsid w:val="0078086D"/>
    <w:rsid w:val="00780871"/>
    <w:rsid w:val="00780B58"/>
    <w:rsid w:val="00780C90"/>
    <w:rsid w:val="00780EA4"/>
    <w:rsid w:val="00781173"/>
    <w:rsid w:val="00781262"/>
    <w:rsid w:val="00781320"/>
    <w:rsid w:val="00781382"/>
    <w:rsid w:val="007813B0"/>
    <w:rsid w:val="007813BD"/>
    <w:rsid w:val="007815F4"/>
    <w:rsid w:val="00781679"/>
    <w:rsid w:val="007817BD"/>
    <w:rsid w:val="00781912"/>
    <w:rsid w:val="007819B6"/>
    <w:rsid w:val="00781A9A"/>
    <w:rsid w:val="00781BB3"/>
    <w:rsid w:val="00781C22"/>
    <w:rsid w:val="00781DEE"/>
    <w:rsid w:val="00781F37"/>
    <w:rsid w:val="00782121"/>
    <w:rsid w:val="0078213F"/>
    <w:rsid w:val="00782357"/>
    <w:rsid w:val="00782470"/>
    <w:rsid w:val="00782533"/>
    <w:rsid w:val="00782608"/>
    <w:rsid w:val="0078290D"/>
    <w:rsid w:val="00782953"/>
    <w:rsid w:val="00782961"/>
    <w:rsid w:val="00782B00"/>
    <w:rsid w:val="00782B0E"/>
    <w:rsid w:val="00782B11"/>
    <w:rsid w:val="00783320"/>
    <w:rsid w:val="00783354"/>
    <w:rsid w:val="007835D6"/>
    <w:rsid w:val="007835DC"/>
    <w:rsid w:val="0078389A"/>
    <w:rsid w:val="007838A6"/>
    <w:rsid w:val="00783AB3"/>
    <w:rsid w:val="00783BC2"/>
    <w:rsid w:val="00783E60"/>
    <w:rsid w:val="00783EF4"/>
    <w:rsid w:val="00783F86"/>
    <w:rsid w:val="0078435C"/>
    <w:rsid w:val="0078443A"/>
    <w:rsid w:val="00784689"/>
    <w:rsid w:val="007846F7"/>
    <w:rsid w:val="00784725"/>
    <w:rsid w:val="00784A64"/>
    <w:rsid w:val="00784BAC"/>
    <w:rsid w:val="00784BB0"/>
    <w:rsid w:val="00784C27"/>
    <w:rsid w:val="00784CB0"/>
    <w:rsid w:val="00784D07"/>
    <w:rsid w:val="00784D33"/>
    <w:rsid w:val="00784D4A"/>
    <w:rsid w:val="00785171"/>
    <w:rsid w:val="0078529A"/>
    <w:rsid w:val="0078536A"/>
    <w:rsid w:val="00785489"/>
    <w:rsid w:val="0078567C"/>
    <w:rsid w:val="00785743"/>
    <w:rsid w:val="00785B0E"/>
    <w:rsid w:val="00785B22"/>
    <w:rsid w:val="00785F6F"/>
    <w:rsid w:val="007863E2"/>
    <w:rsid w:val="007864AC"/>
    <w:rsid w:val="00786533"/>
    <w:rsid w:val="007865B1"/>
    <w:rsid w:val="007865D4"/>
    <w:rsid w:val="007865E8"/>
    <w:rsid w:val="007868E4"/>
    <w:rsid w:val="00786920"/>
    <w:rsid w:val="00786A00"/>
    <w:rsid w:val="00786AC8"/>
    <w:rsid w:val="00786AEC"/>
    <w:rsid w:val="00786B64"/>
    <w:rsid w:val="00786BC1"/>
    <w:rsid w:val="00786C72"/>
    <w:rsid w:val="00786DBD"/>
    <w:rsid w:val="00786FCA"/>
    <w:rsid w:val="00786FCF"/>
    <w:rsid w:val="00786FFE"/>
    <w:rsid w:val="007871B5"/>
    <w:rsid w:val="00787239"/>
    <w:rsid w:val="00787482"/>
    <w:rsid w:val="007874E3"/>
    <w:rsid w:val="00787536"/>
    <w:rsid w:val="00787692"/>
    <w:rsid w:val="007876B6"/>
    <w:rsid w:val="007876D0"/>
    <w:rsid w:val="00787729"/>
    <w:rsid w:val="0078773D"/>
    <w:rsid w:val="00787849"/>
    <w:rsid w:val="0078791F"/>
    <w:rsid w:val="00787D78"/>
    <w:rsid w:val="00787DD3"/>
    <w:rsid w:val="00787E1E"/>
    <w:rsid w:val="00787F76"/>
    <w:rsid w:val="00790122"/>
    <w:rsid w:val="007902AF"/>
    <w:rsid w:val="007902D7"/>
    <w:rsid w:val="007903DA"/>
    <w:rsid w:val="00790487"/>
    <w:rsid w:val="007904BF"/>
    <w:rsid w:val="0079092A"/>
    <w:rsid w:val="007909DA"/>
    <w:rsid w:val="00790AFC"/>
    <w:rsid w:val="00790BAB"/>
    <w:rsid w:val="00790C73"/>
    <w:rsid w:val="00790D84"/>
    <w:rsid w:val="00790DAC"/>
    <w:rsid w:val="00790EA9"/>
    <w:rsid w:val="00790F88"/>
    <w:rsid w:val="00790FED"/>
    <w:rsid w:val="00791164"/>
    <w:rsid w:val="00791355"/>
    <w:rsid w:val="007914A4"/>
    <w:rsid w:val="0079156E"/>
    <w:rsid w:val="00791681"/>
    <w:rsid w:val="00791708"/>
    <w:rsid w:val="007917EB"/>
    <w:rsid w:val="007919A0"/>
    <w:rsid w:val="00791C56"/>
    <w:rsid w:val="0079204F"/>
    <w:rsid w:val="0079206D"/>
    <w:rsid w:val="0079226C"/>
    <w:rsid w:val="007922F9"/>
    <w:rsid w:val="00792356"/>
    <w:rsid w:val="007924A0"/>
    <w:rsid w:val="00792742"/>
    <w:rsid w:val="00792806"/>
    <w:rsid w:val="0079281B"/>
    <w:rsid w:val="00792B01"/>
    <w:rsid w:val="00792CAA"/>
    <w:rsid w:val="00792D2B"/>
    <w:rsid w:val="00792D6E"/>
    <w:rsid w:val="00792E76"/>
    <w:rsid w:val="00792E8C"/>
    <w:rsid w:val="0079319D"/>
    <w:rsid w:val="007931C7"/>
    <w:rsid w:val="0079328F"/>
    <w:rsid w:val="007932B3"/>
    <w:rsid w:val="007933FD"/>
    <w:rsid w:val="00793470"/>
    <w:rsid w:val="00793552"/>
    <w:rsid w:val="007935FB"/>
    <w:rsid w:val="007936ED"/>
    <w:rsid w:val="00793828"/>
    <w:rsid w:val="00793879"/>
    <w:rsid w:val="00793954"/>
    <w:rsid w:val="007939D2"/>
    <w:rsid w:val="007939F0"/>
    <w:rsid w:val="00793C80"/>
    <w:rsid w:val="00793CA7"/>
    <w:rsid w:val="00793CE6"/>
    <w:rsid w:val="00793D5E"/>
    <w:rsid w:val="00793E01"/>
    <w:rsid w:val="00793F04"/>
    <w:rsid w:val="0079417F"/>
    <w:rsid w:val="00794344"/>
    <w:rsid w:val="007944D1"/>
    <w:rsid w:val="00794514"/>
    <w:rsid w:val="00794533"/>
    <w:rsid w:val="0079459F"/>
    <w:rsid w:val="00794667"/>
    <w:rsid w:val="00794690"/>
    <w:rsid w:val="00794735"/>
    <w:rsid w:val="00794CEC"/>
    <w:rsid w:val="00794DA6"/>
    <w:rsid w:val="00794E0B"/>
    <w:rsid w:val="00794F1B"/>
    <w:rsid w:val="00795036"/>
    <w:rsid w:val="00795349"/>
    <w:rsid w:val="00795363"/>
    <w:rsid w:val="007955E8"/>
    <w:rsid w:val="0079567C"/>
    <w:rsid w:val="00795A55"/>
    <w:rsid w:val="00795AFC"/>
    <w:rsid w:val="00795B80"/>
    <w:rsid w:val="00795D97"/>
    <w:rsid w:val="00795E25"/>
    <w:rsid w:val="00795EC1"/>
    <w:rsid w:val="00795F51"/>
    <w:rsid w:val="00795FD0"/>
    <w:rsid w:val="007961C3"/>
    <w:rsid w:val="007962C4"/>
    <w:rsid w:val="007964B7"/>
    <w:rsid w:val="007965D5"/>
    <w:rsid w:val="007966E6"/>
    <w:rsid w:val="00796A6E"/>
    <w:rsid w:val="00796AD8"/>
    <w:rsid w:val="00796C9C"/>
    <w:rsid w:val="00796D0D"/>
    <w:rsid w:val="00796DFB"/>
    <w:rsid w:val="00796E1E"/>
    <w:rsid w:val="00796FEC"/>
    <w:rsid w:val="00797108"/>
    <w:rsid w:val="007972ED"/>
    <w:rsid w:val="007974DF"/>
    <w:rsid w:val="00797524"/>
    <w:rsid w:val="0079767B"/>
    <w:rsid w:val="00797903"/>
    <w:rsid w:val="00797A05"/>
    <w:rsid w:val="00797A4A"/>
    <w:rsid w:val="00797A80"/>
    <w:rsid w:val="00797BAB"/>
    <w:rsid w:val="00797CFE"/>
    <w:rsid w:val="00797E41"/>
    <w:rsid w:val="007A0004"/>
    <w:rsid w:val="007A007F"/>
    <w:rsid w:val="007A0386"/>
    <w:rsid w:val="007A03C6"/>
    <w:rsid w:val="007A0442"/>
    <w:rsid w:val="007A0459"/>
    <w:rsid w:val="007A0511"/>
    <w:rsid w:val="007A07EF"/>
    <w:rsid w:val="007A08A2"/>
    <w:rsid w:val="007A08E0"/>
    <w:rsid w:val="007A0A3B"/>
    <w:rsid w:val="007A0A64"/>
    <w:rsid w:val="007A0B73"/>
    <w:rsid w:val="007A0B91"/>
    <w:rsid w:val="007A0C80"/>
    <w:rsid w:val="007A10BF"/>
    <w:rsid w:val="007A129A"/>
    <w:rsid w:val="007A12A1"/>
    <w:rsid w:val="007A130A"/>
    <w:rsid w:val="007A1314"/>
    <w:rsid w:val="007A184E"/>
    <w:rsid w:val="007A1965"/>
    <w:rsid w:val="007A19A3"/>
    <w:rsid w:val="007A1AD3"/>
    <w:rsid w:val="007A1E11"/>
    <w:rsid w:val="007A22BD"/>
    <w:rsid w:val="007A236B"/>
    <w:rsid w:val="007A23C0"/>
    <w:rsid w:val="007A23E6"/>
    <w:rsid w:val="007A2503"/>
    <w:rsid w:val="007A28B0"/>
    <w:rsid w:val="007A29A9"/>
    <w:rsid w:val="007A2A8B"/>
    <w:rsid w:val="007A2B64"/>
    <w:rsid w:val="007A30AC"/>
    <w:rsid w:val="007A31C4"/>
    <w:rsid w:val="007A32B7"/>
    <w:rsid w:val="007A347B"/>
    <w:rsid w:val="007A3493"/>
    <w:rsid w:val="007A35C6"/>
    <w:rsid w:val="007A3639"/>
    <w:rsid w:val="007A3751"/>
    <w:rsid w:val="007A37D0"/>
    <w:rsid w:val="007A38D4"/>
    <w:rsid w:val="007A3B35"/>
    <w:rsid w:val="007A3D20"/>
    <w:rsid w:val="007A3D84"/>
    <w:rsid w:val="007A3F9D"/>
    <w:rsid w:val="007A42DA"/>
    <w:rsid w:val="007A439D"/>
    <w:rsid w:val="007A449F"/>
    <w:rsid w:val="007A44CB"/>
    <w:rsid w:val="007A4725"/>
    <w:rsid w:val="007A47A8"/>
    <w:rsid w:val="007A49D8"/>
    <w:rsid w:val="007A4B6B"/>
    <w:rsid w:val="007A4B93"/>
    <w:rsid w:val="007A4CB7"/>
    <w:rsid w:val="007A4DA8"/>
    <w:rsid w:val="007A4E86"/>
    <w:rsid w:val="007A4F96"/>
    <w:rsid w:val="007A52EA"/>
    <w:rsid w:val="007A53E4"/>
    <w:rsid w:val="007A5450"/>
    <w:rsid w:val="007A546D"/>
    <w:rsid w:val="007A54AF"/>
    <w:rsid w:val="007A5CA9"/>
    <w:rsid w:val="007A5D4F"/>
    <w:rsid w:val="007A5E4A"/>
    <w:rsid w:val="007A5E7F"/>
    <w:rsid w:val="007A5EEE"/>
    <w:rsid w:val="007A5FAE"/>
    <w:rsid w:val="007A615A"/>
    <w:rsid w:val="007A6188"/>
    <w:rsid w:val="007A61E2"/>
    <w:rsid w:val="007A61E6"/>
    <w:rsid w:val="007A62CE"/>
    <w:rsid w:val="007A6496"/>
    <w:rsid w:val="007A6779"/>
    <w:rsid w:val="007A68BF"/>
    <w:rsid w:val="007A691D"/>
    <w:rsid w:val="007A6A1A"/>
    <w:rsid w:val="007A6C21"/>
    <w:rsid w:val="007A6D3D"/>
    <w:rsid w:val="007A6E80"/>
    <w:rsid w:val="007A6E85"/>
    <w:rsid w:val="007A6FA2"/>
    <w:rsid w:val="007A6FE7"/>
    <w:rsid w:val="007A7059"/>
    <w:rsid w:val="007A705C"/>
    <w:rsid w:val="007A70D2"/>
    <w:rsid w:val="007A728C"/>
    <w:rsid w:val="007A7342"/>
    <w:rsid w:val="007A73D0"/>
    <w:rsid w:val="007A7497"/>
    <w:rsid w:val="007A749B"/>
    <w:rsid w:val="007A7569"/>
    <w:rsid w:val="007A7597"/>
    <w:rsid w:val="007A75E5"/>
    <w:rsid w:val="007A76EB"/>
    <w:rsid w:val="007A7777"/>
    <w:rsid w:val="007A783B"/>
    <w:rsid w:val="007A7899"/>
    <w:rsid w:val="007A78DF"/>
    <w:rsid w:val="007A790B"/>
    <w:rsid w:val="007A7953"/>
    <w:rsid w:val="007A799D"/>
    <w:rsid w:val="007A7C59"/>
    <w:rsid w:val="007A7CFD"/>
    <w:rsid w:val="007A7E43"/>
    <w:rsid w:val="007A7F7A"/>
    <w:rsid w:val="007B005F"/>
    <w:rsid w:val="007B022C"/>
    <w:rsid w:val="007B0365"/>
    <w:rsid w:val="007B0389"/>
    <w:rsid w:val="007B04E7"/>
    <w:rsid w:val="007B077D"/>
    <w:rsid w:val="007B0840"/>
    <w:rsid w:val="007B08FF"/>
    <w:rsid w:val="007B09A2"/>
    <w:rsid w:val="007B0A9B"/>
    <w:rsid w:val="007B0C2C"/>
    <w:rsid w:val="007B0D5C"/>
    <w:rsid w:val="007B0D8A"/>
    <w:rsid w:val="007B0E5A"/>
    <w:rsid w:val="007B1476"/>
    <w:rsid w:val="007B1559"/>
    <w:rsid w:val="007B173D"/>
    <w:rsid w:val="007B18A7"/>
    <w:rsid w:val="007B1957"/>
    <w:rsid w:val="007B1ACE"/>
    <w:rsid w:val="007B1AEE"/>
    <w:rsid w:val="007B1C70"/>
    <w:rsid w:val="007B1F1F"/>
    <w:rsid w:val="007B2222"/>
    <w:rsid w:val="007B2248"/>
    <w:rsid w:val="007B2419"/>
    <w:rsid w:val="007B24A5"/>
    <w:rsid w:val="007B24B1"/>
    <w:rsid w:val="007B252B"/>
    <w:rsid w:val="007B25D6"/>
    <w:rsid w:val="007B25EA"/>
    <w:rsid w:val="007B2702"/>
    <w:rsid w:val="007B2744"/>
    <w:rsid w:val="007B2A52"/>
    <w:rsid w:val="007B2A81"/>
    <w:rsid w:val="007B2AFD"/>
    <w:rsid w:val="007B2B70"/>
    <w:rsid w:val="007B2BA5"/>
    <w:rsid w:val="007B2C72"/>
    <w:rsid w:val="007B2CA1"/>
    <w:rsid w:val="007B2EFF"/>
    <w:rsid w:val="007B2F02"/>
    <w:rsid w:val="007B2F9E"/>
    <w:rsid w:val="007B3036"/>
    <w:rsid w:val="007B3287"/>
    <w:rsid w:val="007B34F3"/>
    <w:rsid w:val="007B35BD"/>
    <w:rsid w:val="007B3692"/>
    <w:rsid w:val="007B3872"/>
    <w:rsid w:val="007B387A"/>
    <w:rsid w:val="007B3A68"/>
    <w:rsid w:val="007B3B21"/>
    <w:rsid w:val="007B3B22"/>
    <w:rsid w:val="007B3BB9"/>
    <w:rsid w:val="007B3C0C"/>
    <w:rsid w:val="007B3ECD"/>
    <w:rsid w:val="007B40F1"/>
    <w:rsid w:val="007B417C"/>
    <w:rsid w:val="007B4321"/>
    <w:rsid w:val="007B4416"/>
    <w:rsid w:val="007B44F0"/>
    <w:rsid w:val="007B453A"/>
    <w:rsid w:val="007B45A3"/>
    <w:rsid w:val="007B4692"/>
    <w:rsid w:val="007B46C0"/>
    <w:rsid w:val="007B4AF0"/>
    <w:rsid w:val="007B4C8B"/>
    <w:rsid w:val="007B4EFA"/>
    <w:rsid w:val="007B511C"/>
    <w:rsid w:val="007B550B"/>
    <w:rsid w:val="007B55CE"/>
    <w:rsid w:val="007B5739"/>
    <w:rsid w:val="007B580D"/>
    <w:rsid w:val="007B58E8"/>
    <w:rsid w:val="007B5BC3"/>
    <w:rsid w:val="007B5C27"/>
    <w:rsid w:val="007B5CDF"/>
    <w:rsid w:val="007B5D7E"/>
    <w:rsid w:val="007B5ED6"/>
    <w:rsid w:val="007B6075"/>
    <w:rsid w:val="007B62E4"/>
    <w:rsid w:val="007B644C"/>
    <w:rsid w:val="007B652F"/>
    <w:rsid w:val="007B6583"/>
    <w:rsid w:val="007B659F"/>
    <w:rsid w:val="007B6857"/>
    <w:rsid w:val="007B6983"/>
    <w:rsid w:val="007B69C8"/>
    <w:rsid w:val="007B6A2A"/>
    <w:rsid w:val="007B6A8D"/>
    <w:rsid w:val="007B6B81"/>
    <w:rsid w:val="007B6CC4"/>
    <w:rsid w:val="007B6CC8"/>
    <w:rsid w:val="007B6CD7"/>
    <w:rsid w:val="007B6D98"/>
    <w:rsid w:val="007B6E70"/>
    <w:rsid w:val="007B707F"/>
    <w:rsid w:val="007B7168"/>
    <w:rsid w:val="007B72CB"/>
    <w:rsid w:val="007B72CF"/>
    <w:rsid w:val="007B739E"/>
    <w:rsid w:val="007B73F0"/>
    <w:rsid w:val="007B76C2"/>
    <w:rsid w:val="007B76DE"/>
    <w:rsid w:val="007B7769"/>
    <w:rsid w:val="007B7815"/>
    <w:rsid w:val="007B7876"/>
    <w:rsid w:val="007B7A04"/>
    <w:rsid w:val="007B7A16"/>
    <w:rsid w:val="007B7C46"/>
    <w:rsid w:val="007B7CCE"/>
    <w:rsid w:val="007B7CEA"/>
    <w:rsid w:val="007B7F73"/>
    <w:rsid w:val="007C00A3"/>
    <w:rsid w:val="007C01C6"/>
    <w:rsid w:val="007C0338"/>
    <w:rsid w:val="007C03D3"/>
    <w:rsid w:val="007C03F4"/>
    <w:rsid w:val="007C0965"/>
    <w:rsid w:val="007C09AF"/>
    <w:rsid w:val="007C0A24"/>
    <w:rsid w:val="007C0A62"/>
    <w:rsid w:val="007C0CB8"/>
    <w:rsid w:val="007C0E61"/>
    <w:rsid w:val="007C0E7C"/>
    <w:rsid w:val="007C0EFA"/>
    <w:rsid w:val="007C10C8"/>
    <w:rsid w:val="007C110D"/>
    <w:rsid w:val="007C132D"/>
    <w:rsid w:val="007C133E"/>
    <w:rsid w:val="007C169B"/>
    <w:rsid w:val="007C16CE"/>
    <w:rsid w:val="007C16D1"/>
    <w:rsid w:val="007C1746"/>
    <w:rsid w:val="007C1830"/>
    <w:rsid w:val="007C1910"/>
    <w:rsid w:val="007C1985"/>
    <w:rsid w:val="007C1C38"/>
    <w:rsid w:val="007C1D6E"/>
    <w:rsid w:val="007C1E1A"/>
    <w:rsid w:val="007C1E3E"/>
    <w:rsid w:val="007C1E90"/>
    <w:rsid w:val="007C1F78"/>
    <w:rsid w:val="007C2334"/>
    <w:rsid w:val="007C24B6"/>
    <w:rsid w:val="007C250A"/>
    <w:rsid w:val="007C2515"/>
    <w:rsid w:val="007C2643"/>
    <w:rsid w:val="007C29C6"/>
    <w:rsid w:val="007C2E3B"/>
    <w:rsid w:val="007C2EA1"/>
    <w:rsid w:val="007C30C1"/>
    <w:rsid w:val="007C3128"/>
    <w:rsid w:val="007C3153"/>
    <w:rsid w:val="007C31FE"/>
    <w:rsid w:val="007C3348"/>
    <w:rsid w:val="007C3672"/>
    <w:rsid w:val="007C3852"/>
    <w:rsid w:val="007C3857"/>
    <w:rsid w:val="007C39F0"/>
    <w:rsid w:val="007C3A5D"/>
    <w:rsid w:val="007C3AFC"/>
    <w:rsid w:val="007C3BBF"/>
    <w:rsid w:val="007C3C82"/>
    <w:rsid w:val="007C3CC6"/>
    <w:rsid w:val="007C3E35"/>
    <w:rsid w:val="007C3F2F"/>
    <w:rsid w:val="007C40CD"/>
    <w:rsid w:val="007C43BC"/>
    <w:rsid w:val="007C45F5"/>
    <w:rsid w:val="007C45FF"/>
    <w:rsid w:val="007C4761"/>
    <w:rsid w:val="007C4846"/>
    <w:rsid w:val="007C48C8"/>
    <w:rsid w:val="007C498E"/>
    <w:rsid w:val="007C4DF6"/>
    <w:rsid w:val="007C4EC2"/>
    <w:rsid w:val="007C5145"/>
    <w:rsid w:val="007C519C"/>
    <w:rsid w:val="007C51A7"/>
    <w:rsid w:val="007C54D7"/>
    <w:rsid w:val="007C5558"/>
    <w:rsid w:val="007C5639"/>
    <w:rsid w:val="007C5798"/>
    <w:rsid w:val="007C58D8"/>
    <w:rsid w:val="007C5AD6"/>
    <w:rsid w:val="007C5BE2"/>
    <w:rsid w:val="007C5D32"/>
    <w:rsid w:val="007C5E5E"/>
    <w:rsid w:val="007C5E94"/>
    <w:rsid w:val="007C5FEE"/>
    <w:rsid w:val="007C61F6"/>
    <w:rsid w:val="007C628B"/>
    <w:rsid w:val="007C62AA"/>
    <w:rsid w:val="007C6367"/>
    <w:rsid w:val="007C638A"/>
    <w:rsid w:val="007C6453"/>
    <w:rsid w:val="007C648F"/>
    <w:rsid w:val="007C6753"/>
    <w:rsid w:val="007C6787"/>
    <w:rsid w:val="007C67AF"/>
    <w:rsid w:val="007C69F4"/>
    <w:rsid w:val="007C6AB6"/>
    <w:rsid w:val="007C6ADF"/>
    <w:rsid w:val="007C6B16"/>
    <w:rsid w:val="007C6B72"/>
    <w:rsid w:val="007C6D23"/>
    <w:rsid w:val="007C6E14"/>
    <w:rsid w:val="007C6E85"/>
    <w:rsid w:val="007C709D"/>
    <w:rsid w:val="007C70F3"/>
    <w:rsid w:val="007C7122"/>
    <w:rsid w:val="007C716B"/>
    <w:rsid w:val="007C717B"/>
    <w:rsid w:val="007C7190"/>
    <w:rsid w:val="007C7207"/>
    <w:rsid w:val="007C730B"/>
    <w:rsid w:val="007C7373"/>
    <w:rsid w:val="007C74A3"/>
    <w:rsid w:val="007C74F7"/>
    <w:rsid w:val="007C7BC6"/>
    <w:rsid w:val="007C7C62"/>
    <w:rsid w:val="007C7C88"/>
    <w:rsid w:val="007C7D28"/>
    <w:rsid w:val="007C7D32"/>
    <w:rsid w:val="007C7E22"/>
    <w:rsid w:val="007C7F49"/>
    <w:rsid w:val="007C7FAF"/>
    <w:rsid w:val="007C7FDE"/>
    <w:rsid w:val="007D0171"/>
    <w:rsid w:val="007D01FE"/>
    <w:rsid w:val="007D0496"/>
    <w:rsid w:val="007D0516"/>
    <w:rsid w:val="007D053A"/>
    <w:rsid w:val="007D067C"/>
    <w:rsid w:val="007D0751"/>
    <w:rsid w:val="007D0ABC"/>
    <w:rsid w:val="007D0B30"/>
    <w:rsid w:val="007D0B38"/>
    <w:rsid w:val="007D0BAD"/>
    <w:rsid w:val="007D0D87"/>
    <w:rsid w:val="007D0F47"/>
    <w:rsid w:val="007D10C4"/>
    <w:rsid w:val="007D1238"/>
    <w:rsid w:val="007D1283"/>
    <w:rsid w:val="007D1359"/>
    <w:rsid w:val="007D13C3"/>
    <w:rsid w:val="007D15E1"/>
    <w:rsid w:val="007D16C4"/>
    <w:rsid w:val="007D1DE7"/>
    <w:rsid w:val="007D1F37"/>
    <w:rsid w:val="007D200F"/>
    <w:rsid w:val="007D2016"/>
    <w:rsid w:val="007D20D8"/>
    <w:rsid w:val="007D2235"/>
    <w:rsid w:val="007D2289"/>
    <w:rsid w:val="007D2299"/>
    <w:rsid w:val="007D2328"/>
    <w:rsid w:val="007D2393"/>
    <w:rsid w:val="007D25BE"/>
    <w:rsid w:val="007D25CF"/>
    <w:rsid w:val="007D2605"/>
    <w:rsid w:val="007D2626"/>
    <w:rsid w:val="007D27A9"/>
    <w:rsid w:val="007D2801"/>
    <w:rsid w:val="007D280D"/>
    <w:rsid w:val="007D2A54"/>
    <w:rsid w:val="007D2D44"/>
    <w:rsid w:val="007D2D6B"/>
    <w:rsid w:val="007D2DC7"/>
    <w:rsid w:val="007D2E25"/>
    <w:rsid w:val="007D2F8E"/>
    <w:rsid w:val="007D2FDE"/>
    <w:rsid w:val="007D3016"/>
    <w:rsid w:val="007D32A5"/>
    <w:rsid w:val="007D3522"/>
    <w:rsid w:val="007D3670"/>
    <w:rsid w:val="007D36D7"/>
    <w:rsid w:val="007D376E"/>
    <w:rsid w:val="007D3848"/>
    <w:rsid w:val="007D3897"/>
    <w:rsid w:val="007D3AEA"/>
    <w:rsid w:val="007D3F86"/>
    <w:rsid w:val="007D40A1"/>
    <w:rsid w:val="007D4218"/>
    <w:rsid w:val="007D425D"/>
    <w:rsid w:val="007D4668"/>
    <w:rsid w:val="007D47C9"/>
    <w:rsid w:val="007D4A8A"/>
    <w:rsid w:val="007D4C84"/>
    <w:rsid w:val="007D5055"/>
    <w:rsid w:val="007D5168"/>
    <w:rsid w:val="007D51FC"/>
    <w:rsid w:val="007D5329"/>
    <w:rsid w:val="007D5355"/>
    <w:rsid w:val="007D5454"/>
    <w:rsid w:val="007D5539"/>
    <w:rsid w:val="007D5590"/>
    <w:rsid w:val="007D564B"/>
    <w:rsid w:val="007D571F"/>
    <w:rsid w:val="007D5923"/>
    <w:rsid w:val="007D5928"/>
    <w:rsid w:val="007D5947"/>
    <w:rsid w:val="007D5B08"/>
    <w:rsid w:val="007D5BE1"/>
    <w:rsid w:val="007D5C23"/>
    <w:rsid w:val="007D5CAE"/>
    <w:rsid w:val="007D6149"/>
    <w:rsid w:val="007D63A9"/>
    <w:rsid w:val="007D644B"/>
    <w:rsid w:val="007D64E9"/>
    <w:rsid w:val="007D669D"/>
    <w:rsid w:val="007D678A"/>
    <w:rsid w:val="007D67B7"/>
    <w:rsid w:val="007D681C"/>
    <w:rsid w:val="007D6833"/>
    <w:rsid w:val="007D6BD2"/>
    <w:rsid w:val="007D6CB4"/>
    <w:rsid w:val="007D6EE9"/>
    <w:rsid w:val="007D6F7C"/>
    <w:rsid w:val="007D70D1"/>
    <w:rsid w:val="007D714A"/>
    <w:rsid w:val="007D71FF"/>
    <w:rsid w:val="007D722F"/>
    <w:rsid w:val="007D73FE"/>
    <w:rsid w:val="007D755F"/>
    <w:rsid w:val="007D7564"/>
    <w:rsid w:val="007D76C1"/>
    <w:rsid w:val="007D76D8"/>
    <w:rsid w:val="007D76E6"/>
    <w:rsid w:val="007D7963"/>
    <w:rsid w:val="007D79F3"/>
    <w:rsid w:val="007D7A27"/>
    <w:rsid w:val="007D7AD7"/>
    <w:rsid w:val="007D7B05"/>
    <w:rsid w:val="007D7B9F"/>
    <w:rsid w:val="007D7CCB"/>
    <w:rsid w:val="007D7D10"/>
    <w:rsid w:val="007D7D64"/>
    <w:rsid w:val="007E0100"/>
    <w:rsid w:val="007E0647"/>
    <w:rsid w:val="007E080E"/>
    <w:rsid w:val="007E087D"/>
    <w:rsid w:val="007E0A85"/>
    <w:rsid w:val="007E0B17"/>
    <w:rsid w:val="007E0BB3"/>
    <w:rsid w:val="007E0C2A"/>
    <w:rsid w:val="007E0C87"/>
    <w:rsid w:val="007E0F59"/>
    <w:rsid w:val="007E0FDB"/>
    <w:rsid w:val="007E109E"/>
    <w:rsid w:val="007E10CC"/>
    <w:rsid w:val="007E1109"/>
    <w:rsid w:val="007E1241"/>
    <w:rsid w:val="007E13CF"/>
    <w:rsid w:val="007E1C10"/>
    <w:rsid w:val="007E1F0B"/>
    <w:rsid w:val="007E2149"/>
    <w:rsid w:val="007E239A"/>
    <w:rsid w:val="007E2633"/>
    <w:rsid w:val="007E26D6"/>
    <w:rsid w:val="007E2736"/>
    <w:rsid w:val="007E285B"/>
    <w:rsid w:val="007E291A"/>
    <w:rsid w:val="007E2CAA"/>
    <w:rsid w:val="007E2EDB"/>
    <w:rsid w:val="007E3181"/>
    <w:rsid w:val="007E323A"/>
    <w:rsid w:val="007E3266"/>
    <w:rsid w:val="007E3267"/>
    <w:rsid w:val="007E33A1"/>
    <w:rsid w:val="007E3A84"/>
    <w:rsid w:val="007E3B95"/>
    <w:rsid w:val="007E3BE7"/>
    <w:rsid w:val="007E3C2E"/>
    <w:rsid w:val="007E3E66"/>
    <w:rsid w:val="007E3FA4"/>
    <w:rsid w:val="007E4076"/>
    <w:rsid w:val="007E40DA"/>
    <w:rsid w:val="007E41F7"/>
    <w:rsid w:val="007E45BE"/>
    <w:rsid w:val="007E4711"/>
    <w:rsid w:val="007E4995"/>
    <w:rsid w:val="007E49C5"/>
    <w:rsid w:val="007E4A64"/>
    <w:rsid w:val="007E4B88"/>
    <w:rsid w:val="007E4BA5"/>
    <w:rsid w:val="007E4BF0"/>
    <w:rsid w:val="007E4DAF"/>
    <w:rsid w:val="007E4F10"/>
    <w:rsid w:val="007E5114"/>
    <w:rsid w:val="007E529C"/>
    <w:rsid w:val="007E52A1"/>
    <w:rsid w:val="007E5352"/>
    <w:rsid w:val="007E5459"/>
    <w:rsid w:val="007E5610"/>
    <w:rsid w:val="007E5727"/>
    <w:rsid w:val="007E57C7"/>
    <w:rsid w:val="007E5817"/>
    <w:rsid w:val="007E5972"/>
    <w:rsid w:val="007E5B6C"/>
    <w:rsid w:val="007E60B1"/>
    <w:rsid w:val="007E61A7"/>
    <w:rsid w:val="007E6478"/>
    <w:rsid w:val="007E6566"/>
    <w:rsid w:val="007E67AF"/>
    <w:rsid w:val="007E6917"/>
    <w:rsid w:val="007E699B"/>
    <w:rsid w:val="007E69CA"/>
    <w:rsid w:val="007E6A85"/>
    <w:rsid w:val="007E6BB7"/>
    <w:rsid w:val="007E6DD1"/>
    <w:rsid w:val="007E723C"/>
    <w:rsid w:val="007E7287"/>
    <w:rsid w:val="007E7359"/>
    <w:rsid w:val="007E75C8"/>
    <w:rsid w:val="007E75F4"/>
    <w:rsid w:val="007E76C6"/>
    <w:rsid w:val="007E78E4"/>
    <w:rsid w:val="007E78F8"/>
    <w:rsid w:val="007E7BDA"/>
    <w:rsid w:val="007E7CAD"/>
    <w:rsid w:val="007F0202"/>
    <w:rsid w:val="007F027D"/>
    <w:rsid w:val="007F02AB"/>
    <w:rsid w:val="007F046D"/>
    <w:rsid w:val="007F04C8"/>
    <w:rsid w:val="007F05A8"/>
    <w:rsid w:val="007F0812"/>
    <w:rsid w:val="007F097D"/>
    <w:rsid w:val="007F09F1"/>
    <w:rsid w:val="007F0B08"/>
    <w:rsid w:val="007F0BBC"/>
    <w:rsid w:val="007F0C16"/>
    <w:rsid w:val="007F0CD1"/>
    <w:rsid w:val="007F0D15"/>
    <w:rsid w:val="007F0DDB"/>
    <w:rsid w:val="007F0E30"/>
    <w:rsid w:val="007F0E6D"/>
    <w:rsid w:val="007F0ED8"/>
    <w:rsid w:val="007F0F37"/>
    <w:rsid w:val="007F0F77"/>
    <w:rsid w:val="007F1041"/>
    <w:rsid w:val="007F104D"/>
    <w:rsid w:val="007F1338"/>
    <w:rsid w:val="007F14EF"/>
    <w:rsid w:val="007F192E"/>
    <w:rsid w:val="007F1BEA"/>
    <w:rsid w:val="007F1CEF"/>
    <w:rsid w:val="007F1D48"/>
    <w:rsid w:val="007F1DDB"/>
    <w:rsid w:val="007F1E60"/>
    <w:rsid w:val="007F1F3E"/>
    <w:rsid w:val="007F20AA"/>
    <w:rsid w:val="007F2170"/>
    <w:rsid w:val="007F22D1"/>
    <w:rsid w:val="007F2308"/>
    <w:rsid w:val="007F2353"/>
    <w:rsid w:val="007F239F"/>
    <w:rsid w:val="007F252D"/>
    <w:rsid w:val="007F25CF"/>
    <w:rsid w:val="007F297E"/>
    <w:rsid w:val="007F29F3"/>
    <w:rsid w:val="007F2AD3"/>
    <w:rsid w:val="007F2B17"/>
    <w:rsid w:val="007F2B81"/>
    <w:rsid w:val="007F2DFE"/>
    <w:rsid w:val="007F3024"/>
    <w:rsid w:val="007F3297"/>
    <w:rsid w:val="007F344A"/>
    <w:rsid w:val="007F344B"/>
    <w:rsid w:val="007F34BE"/>
    <w:rsid w:val="007F3523"/>
    <w:rsid w:val="007F354A"/>
    <w:rsid w:val="007F35A6"/>
    <w:rsid w:val="007F35B2"/>
    <w:rsid w:val="007F37DD"/>
    <w:rsid w:val="007F3912"/>
    <w:rsid w:val="007F3915"/>
    <w:rsid w:val="007F3B0B"/>
    <w:rsid w:val="007F3BB9"/>
    <w:rsid w:val="007F3D3B"/>
    <w:rsid w:val="007F3DC5"/>
    <w:rsid w:val="007F3F12"/>
    <w:rsid w:val="007F4101"/>
    <w:rsid w:val="007F4571"/>
    <w:rsid w:val="007F47E2"/>
    <w:rsid w:val="007F488A"/>
    <w:rsid w:val="007F48DD"/>
    <w:rsid w:val="007F4A55"/>
    <w:rsid w:val="007F4A56"/>
    <w:rsid w:val="007F4AD1"/>
    <w:rsid w:val="007F4B5A"/>
    <w:rsid w:val="007F4BF9"/>
    <w:rsid w:val="007F4D2D"/>
    <w:rsid w:val="007F4D9B"/>
    <w:rsid w:val="007F4DBE"/>
    <w:rsid w:val="007F4EA6"/>
    <w:rsid w:val="007F513E"/>
    <w:rsid w:val="007F519C"/>
    <w:rsid w:val="007F5492"/>
    <w:rsid w:val="007F54FB"/>
    <w:rsid w:val="007F5667"/>
    <w:rsid w:val="007F574D"/>
    <w:rsid w:val="007F591D"/>
    <w:rsid w:val="007F5A64"/>
    <w:rsid w:val="007F5A70"/>
    <w:rsid w:val="007F5AB7"/>
    <w:rsid w:val="007F5B41"/>
    <w:rsid w:val="007F5C22"/>
    <w:rsid w:val="007F5D37"/>
    <w:rsid w:val="007F5DD2"/>
    <w:rsid w:val="007F5DE9"/>
    <w:rsid w:val="007F5E23"/>
    <w:rsid w:val="007F5E7E"/>
    <w:rsid w:val="007F5EC2"/>
    <w:rsid w:val="007F5EE6"/>
    <w:rsid w:val="007F6086"/>
    <w:rsid w:val="007F60F2"/>
    <w:rsid w:val="007F6209"/>
    <w:rsid w:val="007F6295"/>
    <w:rsid w:val="007F63C6"/>
    <w:rsid w:val="007F6575"/>
    <w:rsid w:val="007F668A"/>
    <w:rsid w:val="007F67CB"/>
    <w:rsid w:val="007F6B75"/>
    <w:rsid w:val="007F6BAA"/>
    <w:rsid w:val="007F6CDF"/>
    <w:rsid w:val="007F70A4"/>
    <w:rsid w:val="007F734B"/>
    <w:rsid w:val="007F74DA"/>
    <w:rsid w:val="007F7539"/>
    <w:rsid w:val="007F7621"/>
    <w:rsid w:val="007F7717"/>
    <w:rsid w:val="007F7B16"/>
    <w:rsid w:val="007F7E6F"/>
    <w:rsid w:val="007F7F49"/>
    <w:rsid w:val="0080011F"/>
    <w:rsid w:val="0080016D"/>
    <w:rsid w:val="008002D7"/>
    <w:rsid w:val="008004EC"/>
    <w:rsid w:val="0080053D"/>
    <w:rsid w:val="00800822"/>
    <w:rsid w:val="00800848"/>
    <w:rsid w:val="0080090C"/>
    <w:rsid w:val="008009DE"/>
    <w:rsid w:val="00800A32"/>
    <w:rsid w:val="00800B9A"/>
    <w:rsid w:val="00800D40"/>
    <w:rsid w:val="00800DC4"/>
    <w:rsid w:val="00801252"/>
    <w:rsid w:val="0080155C"/>
    <w:rsid w:val="00801562"/>
    <w:rsid w:val="00801610"/>
    <w:rsid w:val="00801778"/>
    <w:rsid w:val="0080189B"/>
    <w:rsid w:val="00801C86"/>
    <w:rsid w:val="00801E8A"/>
    <w:rsid w:val="00801EEA"/>
    <w:rsid w:val="00801FDD"/>
    <w:rsid w:val="0080207D"/>
    <w:rsid w:val="00802089"/>
    <w:rsid w:val="008020EE"/>
    <w:rsid w:val="00802214"/>
    <w:rsid w:val="008024F1"/>
    <w:rsid w:val="00802515"/>
    <w:rsid w:val="0080258F"/>
    <w:rsid w:val="00802761"/>
    <w:rsid w:val="008027C1"/>
    <w:rsid w:val="00802817"/>
    <w:rsid w:val="00802C2A"/>
    <w:rsid w:val="00802C3B"/>
    <w:rsid w:val="00802F56"/>
    <w:rsid w:val="00803549"/>
    <w:rsid w:val="00803555"/>
    <w:rsid w:val="00803556"/>
    <w:rsid w:val="0080364C"/>
    <w:rsid w:val="0080398C"/>
    <w:rsid w:val="008039D6"/>
    <w:rsid w:val="00803A2D"/>
    <w:rsid w:val="00803B03"/>
    <w:rsid w:val="00803B4C"/>
    <w:rsid w:val="00803B9D"/>
    <w:rsid w:val="00803C05"/>
    <w:rsid w:val="00803DA2"/>
    <w:rsid w:val="00803F4B"/>
    <w:rsid w:val="00804052"/>
    <w:rsid w:val="00804182"/>
    <w:rsid w:val="008042F5"/>
    <w:rsid w:val="008043F6"/>
    <w:rsid w:val="0080441B"/>
    <w:rsid w:val="008046DA"/>
    <w:rsid w:val="00804731"/>
    <w:rsid w:val="0080474B"/>
    <w:rsid w:val="00804893"/>
    <w:rsid w:val="00804A0B"/>
    <w:rsid w:val="00804ACA"/>
    <w:rsid w:val="00804B24"/>
    <w:rsid w:val="00804D13"/>
    <w:rsid w:val="00804F36"/>
    <w:rsid w:val="00805042"/>
    <w:rsid w:val="008050B0"/>
    <w:rsid w:val="008052B4"/>
    <w:rsid w:val="008057DB"/>
    <w:rsid w:val="00805A42"/>
    <w:rsid w:val="00805AE2"/>
    <w:rsid w:val="00805BF2"/>
    <w:rsid w:val="00805D50"/>
    <w:rsid w:val="00805D7A"/>
    <w:rsid w:val="00805F31"/>
    <w:rsid w:val="00805FCB"/>
    <w:rsid w:val="00806187"/>
    <w:rsid w:val="00806342"/>
    <w:rsid w:val="008063ED"/>
    <w:rsid w:val="00806A4E"/>
    <w:rsid w:val="00806E39"/>
    <w:rsid w:val="00806E62"/>
    <w:rsid w:val="00806F69"/>
    <w:rsid w:val="00806F7F"/>
    <w:rsid w:val="0080702C"/>
    <w:rsid w:val="00807039"/>
    <w:rsid w:val="008070E7"/>
    <w:rsid w:val="00807432"/>
    <w:rsid w:val="008075CE"/>
    <w:rsid w:val="00807755"/>
    <w:rsid w:val="0080789E"/>
    <w:rsid w:val="00807967"/>
    <w:rsid w:val="008079B4"/>
    <w:rsid w:val="00807BA5"/>
    <w:rsid w:val="00807BFE"/>
    <w:rsid w:val="00807CA0"/>
    <w:rsid w:val="00807DA4"/>
    <w:rsid w:val="00807FC5"/>
    <w:rsid w:val="00810095"/>
    <w:rsid w:val="008101E8"/>
    <w:rsid w:val="0081032C"/>
    <w:rsid w:val="00810726"/>
    <w:rsid w:val="0081073E"/>
    <w:rsid w:val="0081075A"/>
    <w:rsid w:val="0081078A"/>
    <w:rsid w:val="00810822"/>
    <w:rsid w:val="00810A94"/>
    <w:rsid w:val="00810AF6"/>
    <w:rsid w:val="00810C40"/>
    <w:rsid w:val="00810DB5"/>
    <w:rsid w:val="00810FE6"/>
    <w:rsid w:val="008110C0"/>
    <w:rsid w:val="0081122A"/>
    <w:rsid w:val="00811262"/>
    <w:rsid w:val="00811271"/>
    <w:rsid w:val="0081135E"/>
    <w:rsid w:val="00811396"/>
    <w:rsid w:val="0081141A"/>
    <w:rsid w:val="00811491"/>
    <w:rsid w:val="0081153A"/>
    <w:rsid w:val="00811865"/>
    <w:rsid w:val="00811A1E"/>
    <w:rsid w:val="00811B69"/>
    <w:rsid w:val="00811B8F"/>
    <w:rsid w:val="00811BA2"/>
    <w:rsid w:val="00811E0D"/>
    <w:rsid w:val="00811EE4"/>
    <w:rsid w:val="00812008"/>
    <w:rsid w:val="0081202F"/>
    <w:rsid w:val="0081218A"/>
    <w:rsid w:val="008121F3"/>
    <w:rsid w:val="008122F6"/>
    <w:rsid w:val="008125CF"/>
    <w:rsid w:val="00812742"/>
    <w:rsid w:val="00812944"/>
    <w:rsid w:val="00812B25"/>
    <w:rsid w:val="00812B34"/>
    <w:rsid w:val="00812C2B"/>
    <w:rsid w:val="00812ED2"/>
    <w:rsid w:val="00812F74"/>
    <w:rsid w:val="008131E4"/>
    <w:rsid w:val="008133D4"/>
    <w:rsid w:val="0081354C"/>
    <w:rsid w:val="0081378B"/>
    <w:rsid w:val="008137D2"/>
    <w:rsid w:val="00813829"/>
    <w:rsid w:val="00813844"/>
    <w:rsid w:val="00813888"/>
    <w:rsid w:val="0081390A"/>
    <w:rsid w:val="00813C1C"/>
    <w:rsid w:val="00813D19"/>
    <w:rsid w:val="008142BF"/>
    <w:rsid w:val="00814370"/>
    <w:rsid w:val="0081447B"/>
    <w:rsid w:val="008144D7"/>
    <w:rsid w:val="00814656"/>
    <w:rsid w:val="00814762"/>
    <w:rsid w:val="00814B3B"/>
    <w:rsid w:val="00814C0D"/>
    <w:rsid w:val="00814C5B"/>
    <w:rsid w:val="00814C8E"/>
    <w:rsid w:val="00814D0D"/>
    <w:rsid w:val="00814D14"/>
    <w:rsid w:val="008150D0"/>
    <w:rsid w:val="0081521F"/>
    <w:rsid w:val="00815237"/>
    <w:rsid w:val="00815441"/>
    <w:rsid w:val="0081544F"/>
    <w:rsid w:val="008154CC"/>
    <w:rsid w:val="00815536"/>
    <w:rsid w:val="00815546"/>
    <w:rsid w:val="008156D9"/>
    <w:rsid w:val="00815745"/>
    <w:rsid w:val="00815768"/>
    <w:rsid w:val="008157D5"/>
    <w:rsid w:val="00815875"/>
    <w:rsid w:val="00815884"/>
    <w:rsid w:val="008158B5"/>
    <w:rsid w:val="00815CD3"/>
    <w:rsid w:val="00815CFF"/>
    <w:rsid w:val="00815DD5"/>
    <w:rsid w:val="00815F64"/>
    <w:rsid w:val="008162E5"/>
    <w:rsid w:val="00816377"/>
    <w:rsid w:val="008164A8"/>
    <w:rsid w:val="008164FF"/>
    <w:rsid w:val="00816544"/>
    <w:rsid w:val="00816631"/>
    <w:rsid w:val="008166B3"/>
    <w:rsid w:val="00816977"/>
    <w:rsid w:val="008169EA"/>
    <w:rsid w:val="008169FC"/>
    <w:rsid w:val="00816A96"/>
    <w:rsid w:val="00816A9D"/>
    <w:rsid w:val="00816B0F"/>
    <w:rsid w:val="00816B17"/>
    <w:rsid w:val="00816B2C"/>
    <w:rsid w:val="00816B87"/>
    <w:rsid w:val="00816BC0"/>
    <w:rsid w:val="00816C71"/>
    <w:rsid w:val="00816DB4"/>
    <w:rsid w:val="00816E70"/>
    <w:rsid w:val="00816EB7"/>
    <w:rsid w:val="00816F47"/>
    <w:rsid w:val="00816FA8"/>
    <w:rsid w:val="008170E6"/>
    <w:rsid w:val="00817130"/>
    <w:rsid w:val="008171CB"/>
    <w:rsid w:val="0081730F"/>
    <w:rsid w:val="0081735B"/>
    <w:rsid w:val="00817525"/>
    <w:rsid w:val="00817591"/>
    <w:rsid w:val="00817689"/>
    <w:rsid w:val="008176A7"/>
    <w:rsid w:val="00817730"/>
    <w:rsid w:val="00817766"/>
    <w:rsid w:val="008179E6"/>
    <w:rsid w:val="00817A80"/>
    <w:rsid w:val="00817A98"/>
    <w:rsid w:val="00817A9E"/>
    <w:rsid w:val="00817AF6"/>
    <w:rsid w:val="00817B5A"/>
    <w:rsid w:val="00817BCE"/>
    <w:rsid w:val="00817BF1"/>
    <w:rsid w:val="00817BFD"/>
    <w:rsid w:val="00817C24"/>
    <w:rsid w:val="00817CD9"/>
    <w:rsid w:val="00817D45"/>
    <w:rsid w:val="00817E65"/>
    <w:rsid w:val="00817F11"/>
    <w:rsid w:val="00817F2A"/>
    <w:rsid w:val="008201AA"/>
    <w:rsid w:val="00820227"/>
    <w:rsid w:val="008202C2"/>
    <w:rsid w:val="00820310"/>
    <w:rsid w:val="0082031C"/>
    <w:rsid w:val="00820429"/>
    <w:rsid w:val="00820484"/>
    <w:rsid w:val="008204AC"/>
    <w:rsid w:val="008204CB"/>
    <w:rsid w:val="0082050F"/>
    <w:rsid w:val="00820520"/>
    <w:rsid w:val="00820550"/>
    <w:rsid w:val="008205B5"/>
    <w:rsid w:val="00820618"/>
    <w:rsid w:val="0082065B"/>
    <w:rsid w:val="00820684"/>
    <w:rsid w:val="00820694"/>
    <w:rsid w:val="008207F0"/>
    <w:rsid w:val="0082089D"/>
    <w:rsid w:val="008208B4"/>
    <w:rsid w:val="00820A9F"/>
    <w:rsid w:val="00820ADC"/>
    <w:rsid w:val="00820ED9"/>
    <w:rsid w:val="00820EF3"/>
    <w:rsid w:val="00820F42"/>
    <w:rsid w:val="00821010"/>
    <w:rsid w:val="00821381"/>
    <w:rsid w:val="0082141D"/>
    <w:rsid w:val="00821577"/>
    <w:rsid w:val="00821595"/>
    <w:rsid w:val="008215F0"/>
    <w:rsid w:val="0082164C"/>
    <w:rsid w:val="0082170B"/>
    <w:rsid w:val="00821714"/>
    <w:rsid w:val="00821767"/>
    <w:rsid w:val="008217BC"/>
    <w:rsid w:val="00821B9E"/>
    <w:rsid w:val="00821BCC"/>
    <w:rsid w:val="00821C5D"/>
    <w:rsid w:val="00821CB3"/>
    <w:rsid w:val="00821EA6"/>
    <w:rsid w:val="00821F1E"/>
    <w:rsid w:val="008221BB"/>
    <w:rsid w:val="008221E2"/>
    <w:rsid w:val="008222F3"/>
    <w:rsid w:val="0082244E"/>
    <w:rsid w:val="0082247A"/>
    <w:rsid w:val="008224DC"/>
    <w:rsid w:val="00822537"/>
    <w:rsid w:val="00822650"/>
    <w:rsid w:val="008229DA"/>
    <w:rsid w:val="00822B07"/>
    <w:rsid w:val="00822F65"/>
    <w:rsid w:val="008232BF"/>
    <w:rsid w:val="0082336E"/>
    <w:rsid w:val="008233F2"/>
    <w:rsid w:val="008234F2"/>
    <w:rsid w:val="0082364B"/>
    <w:rsid w:val="0082385F"/>
    <w:rsid w:val="0082399C"/>
    <w:rsid w:val="00823ADB"/>
    <w:rsid w:val="00823B36"/>
    <w:rsid w:val="00823BB7"/>
    <w:rsid w:val="00823CD0"/>
    <w:rsid w:val="00823CDC"/>
    <w:rsid w:val="00823D90"/>
    <w:rsid w:val="00823EC8"/>
    <w:rsid w:val="0082408F"/>
    <w:rsid w:val="0082410B"/>
    <w:rsid w:val="008241B2"/>
    <w:rsid w:val="00824357"/>
    <w:rsid w:val="0082437B"/>
    <w:rsid w:val="0082442E"/>
    <w:rsid w:val="0082455B"/>
    <w:rsid w:val="008245E9"/>
    <w:rsid w:val="008246E7"/>
    <w:rsid w:val="008247CC"/>
    <w:rsid w:val="0082484F"/>
    <w:rsid w:val="00824995"/>
    <w:rsid w:val="00824B96"/>
    <w:rsid w:val="00824CFD"/>
    <w:rsid w:val="00824E6D"/>
    <w:rsid w:val="00824F35"/>
    <w:rsid w:val="008251BA"/>
    <w:rsid w:val="008252B1"/>
    <w:rsid w:val="0082537C"/>
    <w:rsid w:val="008254C1"/>
    <w:rsid w:val="008255A6"/>
    <w:rsid w:val="00825713"/>
    <w:rsid w:val="00825AFD"/>
    <w:rsid w:val="00825B4E"/>
    <w:rsid w:val="00825FEB"/>
    <w:rsid w:val="0082605D"/>
    <w:rsid w:val="008260F0"/>
    <w:rsid w:val="008260FB"/>
    <w:rsid w:val="0082611B"/>
    <w:rsid w:val="00826291"/>
    <w:rsid w:val="008262DE"/>
    <w:rsid w:val="00826329"/>
    <w:rsid w:val="00826360"/>
    <w:rsid w:val="00826403"/>
    <w:rsid w:val="0082674A"/>
    <w:rsid w:val="008268AB"/>
    <w:rsid w:val="008268B1"/>
    <w:rsid w:val="008268DF"/>
    <w:rsid w:val="008269F9"/>
    <w:rsid w:val="00826AA4"/>
    <w:rsid w:val="00826BCB"/>
    <w:rsid w:val="00826CBE"/>
    <w:rsid w:val="00827010"/>
    <w:rsid w:val="0082712A"/>
    <w:rsid w:val="00827236"/>
    <w:rsid w:val="008273C4"/>
    <w:rsid w:val="008273C6"/>
    <w:rsid w:val="00827704"/>
    <w:rsid w:val="00827735"/>
    <w:rsid w:val="0082776D"/>
    <w:rsid w:val="008279BD"/>
    <w:rsid w:val="008279E9"/>
    <w:rsid w:val="00827A5B"/>
    <w:rsid w:val="00827E21"/>
    <w:rsid w:val="00830138"/>
    <w:rsid w:val="00830575"/>
    <w:rsid w:val="008307F5"/>
    <w:rsid w:val="00830804"/>
    <w:rsid w:val="0083089E"/>
    <w:rsid w:val="00830931"/>
    <w:rsid w:val="00830A71"/>
    <w:rsid w:val="00830A83"/>
    <w:rsid w:val="00830BCA"/>
    <w:rsid w:val="00830BCD"/>
    <w:rsid w:val="00830C9F"/>
    <w:rsid w:val="00830EB9"/>
    <w:rsid w:val="00830EFC"/>
    <w:rsid w:val="0083104C"/>
    <w:rsid w:val="00831291"/>
    <w:rsid w:val="0083141E"/>
    <w:rsid w:val="008314F2"/>
    <w:rsid w:val="00831575"/>
    <w:rsid w:val="008317CB"/>
    <w:rsid w:val="00831959"/>
    <w:rsid w:val="00831986"/>
    <w:rsid w:val="00831BFA"/>
    <w:rsid w:val="00831D48"/>
    <w:rsid w:val="00831DD0"/>
    <w:rsid w:val="00831E46"/>
    <w:rsid w:val="00831E49"/>
    <w:rsid w:val="00831EA0"/>
    <w:rsid w:val="00832007"/>
    <w:rsid w:val="00832015"/>
    <w:rsid w:val="00832100"/>
    <w:rsid w:val="008321DD"/>
    <w:rsid w:val="0083226A"/>
    <w:rsid w:val="00832307"/>
    <w:rsid w:val="0083239A"/>
    <w:rsid w:val="008325B6"/>
    <w:rsid w:val="0083262E"/>
    <w:rsid w:val="008328EB"/>
    <w:rsid w:val="00832A9E"/>
    <w:rsid w:val="00832BF6"/>
    <w:rsid w:val="00832C62"/>
    <w:rsid w:val="00832DB6"/>
    <w:rsid w:val="00832DCC"/>
    <w:rsid w:val="00832EA3"/>
    <w:rsid w:val="00832EE8"/>
    <w:rsid w:val="00832EEB"/>
    <w:rsid w:val="00832F77"/>
    <w:rsid w:val="0083307C"/>
    <w:rsid w:val="008330EE"/>
    <w:rsid w:val="00833121"/>
    <w:rsid w:val="00833148"/>
    <w:rsid w:val="008331C8"/>
    <w:rsid w:val="00833385"/>
    <w:rsid w:val="00833BA7"/>
    <w:rsid w:val="00833BAC"/>
    <w:rsid w:val="00833D2C"/>
    <w:rsid w:val="00833EB0"/>
    <w:rsid w:val="00833FD1"/>
    <w:rsid w:val="00833FFB"/>
    <w:rsid w:val="008340AF"/>
    <w:rsid w:val="008342A9"/>
    <w:rsid w:val="008343F0"/>
    <w:rsid w:val="0083444E"/>
    <w:rsid w:val="0083471B"/>
    <w:rsid w:val="00834899"/>
    <w:rsid w:val="00834B53"/>
    <w:rsid w:val="00834BE6"/>
    <w:rsid w:val="00834C3D"/>
    <w:rsid w:val="00834C99"/>
    <w:rsid w:val="00834CB5"/>
    <w:rsid w:val="00834DC3"/>
    <w:rsid w:val="00834E70"/>
    <w:rsid w:val="00834EED"/>
    <w:rsid w:val="00835054"/>
    <w:rsid w:val="00835444"/>
    <w:rsid w:val="0083545A"/>
    <w:rsid w:val="008354BC"/>
    <w:rsid w:val="00835696"/>
    <w:rsid w:val="0083580C"/>
    <w:rsid w:val="00835A18"/>
    <w:rsid w:val="00835AA6"/>
    <w:rsid w:val="00835B25"/>
    <w:rsid w:val="00835D59"/>
    <w:rsid w:val="00835D60"/>
    <w:rsid w:val="00835F06"/>
    <w:rsid w:val="00835FC6"/>
    <w:rsid w:val="00835FFE"/>
    <w:rsid w:val="008360FA"/>
    <w:rsid w:val="008361AF"/>
    <w:rsid w:val="008363DD"/>
    <w:rsid w:val="00836628"/>
    <w:rsid w:val="008367F4"/>
    <w:rsid w:val="0083683E"/>
    <w:rsid w:val="008369AD"/>
    <w:rsid w:val="00836A0D"/>
    <w:rsid w:val="00836B13"/>
    <w:rsid w:val="00836C32"/>
    <w:rsid w:val="00836F89"/>
    <w:rsid w:val="0083703B"/>
    <w:rsid w:val="0083714A"/>
    <w:rsid w:val="008371AA"/>
    <w:rsid w:val="008372B6"/>
    <w:rsid w:val="008373BE"/>
    <w:rsid w:val="008374BD"/>
    <w:rsid w:val="00837596"/>
    <w:rsid w:val="00837644"/>
    <w:rsid w:val="0083767E"/>
    <w:rsid w:val="008376BC"/>
    <w:rsid w:val="0083795A"/>
    <w:rsid w:val="008379D8"/>
    <w:rsid w:val="008379FE"/>
    <w:rsid w:val="00837A4D"/>
    <w:rsid w:val="00837AD3"/>
    <w:rsid w:val="00837B91"/>
    <w:rsid w:val="00837CCF"/>
    <w:rsid w:val="00837F3B"/>
    <w:rsid w:val="00840042"/>
    <w:rsid w:val="0084007D"/>
    <w:rsid w:val="00840185"/>
    <w:rsid w:val="0084025C"/>
    <w:rsid w:val="00840292"/>
    <w:rsid w:val="00840552"/>
    <w:rsid w:val="00840739"/>
    <w:rsid w:val="0084075B"/>
    <w:rsid w:val="008407FF"/>
    <w:rsid w:val="00840815"/>
    <w:rsid w:val="0084081A"/>
    <w:rsid w:val="00840ABF"/>
    <w:rsid w:val="00840C8F"/>
    <w:rsid w:val="00840F39"/>
    <w:rsid w:val="00841024"/>
    <w:rsid w:val="008411A5"/>
    <w:rsid w:val="00841286"/>
    <w:rsid w:val="00841415"/>
    <w:rsid w:val="00841619"/>
    <w:rsid w:val="0084175E"/>
    <w:rsid w:val="0084176E"/>
    <w:rsid w:val="008417A8"/>
    <w:rsid w:val="00841824"/>
    <w:rsid w:val="00841851"/>
    <w:rsid w:val="00841862"/>
    <w:rsid w:val="008418C9"/>
    <w:rsid w:val="00841936"/>
    <w:rsid w:val="00841BE5"/>
    <w:rsid w:val="00841E9A"/>
    <w:rsid w:val="00842087"/>
    <w:rsid w:val="00842137"/>
    <w:rsid w:val="00842151"/>
    <w:rsid w:val="00842257"/>
    <w:rsid w:val="00842846"/>
    <w:rsid w:val="008428ED"/>
    <w:rsid w:val="00842B7E"/>
    <w:rsid w:val="00842B99"/>
    <w:rsid w:val="00842BBC"/>
    <w:rsid w:val="00842C5B"/>
    <w:rsid w:val="00842F24"/>
    <w:rsid w:val="00843175"/>
    <w:rsid w:val="00843210"/>
    <w:rsid w:val="00843531"/>
    <w:rsid w:val="0084354F"/>
    <w:rsid w:val="00843665"/>
    <w:rsid w:val="008437EF"/>
    <w:rsid w:val="0084388D"/>
    <w:rsid w:val="008438B5"/>
    <w:rsid w:val="008438D2"/>
    <w:rsid w:val="008438FE"/>
    <w:rsid w:val="00843952"/>
    <w:rsid w:val="00843988"/>
    <w:rsid w:val="00843AF0"/>
    <w:rsid w:val="00843B3F"/>
    <w:rsid w:val="00843C5B"/>
    <w:rsid w:val="00843C9F"/>
    <w:rsid w:val="00843D12"/>
    <w:rsid w:val="00843D68"/>
    <w:rsid w:val="00843F12"/>
    <w:rsid w:val="00843F42"/>
    <w:rsid w:val="00843F8E"/>
    <w:rsid w:val="00843FBC"/>
    <w:rsid w:val="00843FD1"/>
    <w:rsid w:val="00843FDF"/>
    <w:rsid w:val="00844235"/>
    <w:rsid w:val="0084427E"/>
    <w:rsid w:val="008442C2"/>
    <w:rsid w:val="0084437E"/>
    <w:rsid w:val="00844672"/>
    <w:rsid w:val="00844679"/>
    <w:rsid w:val="0084469D"/>
    <w:rsid w:val="008448BF"/>
    <w:rsid w:val="00844941"/>
    <w:rsid w:val="00844967"/>
    <w:rsid w:val="00844B5F"/>
    <w:rsid w:val="00844C1C"/>
    <w:rsid w:val="00844E8A"/>
    <w:rsid w:val="00844EBF"/>
    <w:rsid w:val="00844F5E"/>
    <w:rsid w:val="00844F8A"/>
    <w:rsid w:val="0084502D"/>
    <w:rsid w:val="00845160"/>
    <w:rsid w:val="008452A3"/>
    <w:rsid w:val="008452F8"/>
    <w:rsid w:val="0084535E"/>
    <w:rsid w:val="00845444"/>
    <w:rsid w:val="00845490"/>
    <w:rsid w:val="008454FF"/>
    <w:rsid w:val="00845552"/>
    <w:rsid w:val="00845553"/>
    <w:rsid w:val="00845679"/>
    <w:rsid w:val="0084584A"/>
    <w:rsid w:val="008458C1"/>
    <w:rsid w:val="0084596D"/>
    <w:rsid w:val="00845B2C"/>
    <w:rsid w:val="00845C15"/>
    <w:rsid w:val="0084604E"/>
    <w:rsid w:val="00846124"/>
    <w:rsid w:val="008461F5"/>
    <w:rsid w:val="0084635B"/>
    <w:rsid w:val="0084643C"/>
    <w:rsid w:val="008464D2"/>
    <w:rsid w:val="00846516"/>
    <w:rsid w:val="00846713"/>
    <w:rsid w:val="00846719"/>
    <w:rsid w:val="008467CB"/>
    <w:rsid w:val="008469A9"/>
    <w:rsid w:val="00846A8A"/>
    <w:rsid w:val="00846B3A"/>
    <w:rsid w:val="00846D88"/>
    <w:rsid w:val="00846EE8"/>
    <w:rsid w:val="00847119"/>
    <w:rsid w:val="00847206"/>
    <w:rsid w:val="00847227"/>
    <w:rsid w:val="008473E0"/>
    <w:rsid w:val="008475C0"/>
    <w:rsid w:val="0084769C"/>
    <w:rsid w:val="00847812"/>
    <w:rsid w:val="008478C4"/>
    <w:rsid w:val="00847A13"/>
    <w:rsid w:val="00847E41"/>
    <w:rsid w:val="00847EE0"/>
    <w:rsid w:val="00850072"/>
    <w:rsid w:val="00850220"/>
    <w:rsid w:val="008502CF"/>
    <w:rsid w:val="008503A1"/>
    <w:rsid w:val="008503B1"/>
    <w:rsid w:val="0085067F"/>
    <w:rsid w:val="0085071F"/>
    <w:rsid w:val="00850AE8"/>
    <w:rsid w:val="00850C0F"/>
    <w:rsid w:val="00850CD0"/>
    <w:rsid w:val="00850D3C"/>
    <w:rsid w:val="00850D42"/>
    <w:rsid w:val="00850D7B"/>
    <w:rsid w:val="00850DC4"/>
    <w:rsid w:val="00850EAF"/>
    <w:rsid w:val="00850F10"/>
    <w:rsid w:val="00850F46"/>
    <w:rsid w:val="00850F86"/>
    <w:rsid w:val="0085104B"/>
    <w:rsid w:val="008510A3"/>
    <w:rsid w:val="00851167"/>
    <w:rsid w:val="00851272"/>
    <w:rsid w:val="0085142D"/>
    <w:rsid w:val="0085143C"/>
    <w:rsid w:val="00851604"/>
    <w:rsid w:val="00851745"/>
    <w:rsid w:val="0085182C"/>
    <w:rsid w:val="0085193D"/>
    <w:rsid w:val="00851AB8"/>
    <w:rsid w:val="00851B73"/>
    <w:rsid w:val="00851C86"/>
    <w:rsid w:val="00851CB1"/>
    <w:rsid w:val="00852090"/>
    <w:rsid w:val="00852217"/>
    <w:rsid w:val="008522F8"/>
    <w:rsid w:val="008524DC"/>
    <w:rsid w:val="00852512"/>
    <w:rsid w:val="008525DA"/>
    <w:rsid w:val="008525EE"/>
    <w:rsid w:val="0085273A"/>
    <w:rsid w:val="00852763"/>
    <w:rsid w:val="00852818"/>
    <w:rsid w:val="00852BD0"/>
    <w:rsid w:val="00852C67"/>
    <w:rsid w:val="00852D9C"/>
    <w:rsid w:val="00852E3F"/>
    <w:rsid w:val="00852EA5"/>
    <w:rsid w:val="00852EA6"/>
    <w:rsid w:val="00852EBB"/>
    <w:rsid w:val="00852FB4"/>
    <w:rsid w:val="008533C5"/>
    <w:rsid w:val="008534EA"/>
    <w:rsid w:val="00853860"/>
    <w:rsid w:val="008538E0"/>
    <w:rsid w:val="0085390A"/>
    <w:rsid w:val="0085391E"/>
    <w:rsid w:val="008539F5"/>
    <w:rsid w:val="00853B63"/>
    <w:rsid w:val="00853C26"/>
    <w:rsid w:val="00853CB0"/>
    <w:rsid w:val="00853EA3"/>
    <w:rsid w:val="00853F2B"/>
    <w:rsid w:val="00853F6C"/>
    <w:rsid w:val="008542A0"/>
    <w:rsid w:val="008542DF"/>
    <w:rsid w:val="00854457"/>
    <w:rsid w:val="0085477F"/>
    <w:rsid w:val="008547E4"/>
    <w:rsid w:val="00854AC2"/>
    <w:rsid w:val="00854B23"/>
    <w:rsid w:val="00854B83"/>
    <w:rsid w:val="00854BF5"/>
    <w:rsid w:val="00854C53"/>
    <w:rsid w:val="00855159"/>
    <w:rsid w:val="008553BF"/>
    <w:rsid w:val="00855411"/>
    <w:rsid w:val="008554B6"/>
    <w:rsid w:val="008554FB"/>
    <w:rsid w:val="00855645"/>
    <w:rsid w:val="0085565E"/>
    <w:rsid w:val="008556E4"/>
    <w:rsid w:val="008556E5"/>
    <w:rsid w:val="00855701"/>
    <w:rsid w:val="00855897"/>
    <w:rsid w:val="00855E91"/>
    <w:rsid w:val="00855ED3"/>
    <w:rsid w:val="00855F09"/>
    <w:rsid w:val="00855F33"/>
    <w:rsid w:val="00855F99"/>
    <w:rsid w:val="0085608C"/>
    <w:rsid w:val="008560C7"/>
    <w:rsid w:val="0085616B"/>
    <w:rsid w:val="008562AA"/>
    <w:rsid w:val="008563BD"/>
    <w:rsid w:val="0085640A"/>
    <w:rsid w:val="008566A6"/>
    <w:rsid w:val="0085688C"/>
    <w:rsid w:val="00856960"/>
    <w:rsid w:val="00856A8F"/>
    <w:rsid w:val="00856B54"/>
    <w:rsid w:val="00856E20"/>
    <w:rsid w:val="00856F72"/>
    <w:rsid w:val="008570E1"/>
    <w:rsid w:val="008571D3"/>
    <w:rsid w:val="008572EB"/>
    <w:rsid w:val="008573DC"/>
    <w:rsid w:val="008574CB"/>
    <w:rsid w:val="00857618"/>
    <w:rsid w:val="008576D1"/>
    <w:rsid w:val="00857818"/>
    <w:rsid w:val="00857894"/>
    <w:rsid w:val="008579C6"/>
    <w:rsid w:val="00857BB4"/>
    <w:rsid w:val="0086002F"/>
    <w:rsid w:val="0086007E"/>
    <w:rsid w:val="008601E4"/>
    <w:rsid w:val="008604C8"/>
    <w:rsid w:val="0086069F"/>
    <w:rsid w:val="008606F9"/>
    <w:rsid w:val="0086077E"/>
    <w:rsid w:val="008607D2"/>
    <w:rsid w:val="00860ABA"/>
    <w:rsid w:val="00860BEC"/>
    <w:rsid w:val="00860BF5"/>
    <w:rsid w:val="00860C38"/>
    <w:rsid w:val="00861228"/>
    <w:rsid w:val="00861384"/>
    <w:rsid w:val="00861393"/>
    <w:rsid w:val="008614DA"/>
    <w:rsid w:val="0086185E"/>
    <w:rsid w:val="00861A1F"/>
    <w:rsid w:val="00861B9D"/>
    <w:rsid w:val="00861BE0"/>
    <w:rsid w:val="00861C18"/>
    <w:rsid w:val="00861C9F"/>
    <w:rsid w:val="00861D8C"/>
    <w:rsid w:val="00861D92"/>
    <w:rsid w:val="00861E51"/>
    <w:rsid w:val="008620FD"/>
    <w:rsid w:val="00862303"/>
    <w:rsid w:val="00862441"/>
    <w:rsid w:val="008628EA"/>
    <w:rsid w:val="008628EE"/>
    <w:rsid w:val="0086292F"/>
    <w:rsid w:val="00862B79"/>
    <w:rsid w:val="00862C56"/>
    <w:rsid w:val="00862C86"/>
    <w:rsid w:val="00862D34"/>
    <w:rsid w:val="00862E0D"/>
    <w:rsid w:val="00862FC3"/>
    <w:rsid w:val="00863417"/>
    <w:rsid w:val="008634F5"/>
    <w:rsid w:val="0086390E"/>
    <w:rsid w:val="0086393B"/>
    <w:rsid w:val="00863BB0"/>
    <w:rsid w:val="00863C2A"/>
    <w:rsid w:val="00863DC6"/>
    <w:rsid w:val="00864097"/>
    <w:rsid w:val="0086411C"/>
    <w:rsid w:val="008641F4"/>
    <w:rsid w:val="008644DB"/>
    <w:rsid w:val="00864675"/>
    <w:rsid w:val="0086477E"/>
    <w:rsid w:val="008647DA"/>
    <w:rsid w:val="008648B9"/>
    <w:rsid w:val="008649C9"/>
    <w:rsid w:val="00865248"/>
    <w:rsid w:val="008653D5"/>
    <w:rsid w:val="00865562"/>
    <w:rsid w:val="008659E3"/>
    <w:rsid w:val="00865A6A"/>
    <w:rsid w:val="00865A93"/>
    <w:rsid w:val="00865C75"/>
    <w:rsid w:val="00865DFD"/>
    <w:rsid w:val="00865E33"/>
    <w:rsid w:val="00865F32"/>
    <w:rsid w:val="00866221"/>
    <w:rsid w:val="008662DE"/>
    <w:rsid w:val="008662FC"/>
    <w:rsid w:val="00866449"/>
    <w:rsid w:val="00866478"/>
    <w:rsid w:val="00866800"/>
    <w:rsid w:val="008668C7"/>
    <w:rsid w:val="00866B89"/>
    <w:rsid w:val="00866C12"/>
    <w:rsid w:val="00866C75"/>
    <w:rsid w:val="00866C95"/>
    <w:rsid w:val="00866D28"/>
    <w:rsid w:val="00866E10"/>
    <w:rsid w:val="00866EE2"/>
    <w:rsid w:val="008670C2"/>
    <w:rsid w:val="008672CD"/>
    <w:rsid w:val="008674E2"/>
    <w:rsid w:val="0086761F"/>
    <w:rsid w:val="0086762D"/>
    <w:rsid w:val="008677C7"/>
    <w:rsid w:val="0086792E"/>
    <w:rsid w:val="0086797C"/>
    <w:rsid w:val="008679A4"/>
    <w:rsid w:val="00867C99"/>
    <w:rsid w:val="00867E90"/>
    <w:rsid w:val="00867FC8"/>
    <w:rsid w:val="008700A9"/>
    <w:rsid w:val="0087022A"/>
    <w:rsid w:val="008702B1"/>
    <w:rsid w:val="00870398"/>
    <w:rsid w:val="00870487"/>
    <w:rsid w:val="008704B7"/>
    <w:rsid w:val="00870585"/>
    <w:rsid w:val="00870586"/>
    <w:rsid w:val="0087059C"/>
    <w:rsid w:val="0087072D"/>
    <w:rsid w:val="0087080F"/>
    <w:rsid w:val="00870874"/>
    <w:rsid w:val="00870928"/>
    <w:rsid w:val="008709A1"/>
    <w:rsid w:val="00870B22"/>
    <w:rsid w:val="00870F8E"/>
    <w:rsid w:val="00870FBE"/>
    <w:rsid w:val="0087109E"/>
    <w:rsid w:val="008712D0"/>
    <w:rsid w:val="0087143B"/>
    <w:rsid w:val="008714D4"/>
    <w:rsid w:val="00871705"/>
    <w:rsid w:val="0087170D"/>
    <w:rsid w:val="0087175D"/>
    <w:rsid w:val="008717C5"/>
    <w:rsid w:val="00871994"/>
    <w:rsid w:val="00871A15"/>
    <w:rsid w:val="00871BD5"/>
    <w:rsid w:val="00871C3A"/>
    <w:rsid w:val="00871DDE"/>
    <w:rsid w:val="00872098"/>
    <w:rsid w:val="0087217C"/>
    <w:rsid w:val="00872224"/>
    <w:rsid w:val="00872472"/>
    <w:rsid w:val="00872474"/>
    <w:rsid w:val="00872479"/>
    <w:rsid w:val="00872537"/>
    <w:rsid w:val="00872599"/>
    <w:rsid w:val="00872621"/>
    <w:rsid w:val="0087284F"/>
    <w:rsid w:val="00872962"/>
    <w:rsid w:val="00872B33"/>
    <w:rsid w:val="00872D77"/>
    <w:rsid w:val="00872E04"/>
    <w:rsid w:val="00872EAA"/>
    <w:rsid w:val="00872EE2"/>
    <w:rsid w:val="00872F41"/>
    <w:rsid w:val="00873066"/>
    <w:rsid w:val="008730DD"/>
    <w:rsid w:val="0087321F"/>
    <w:rsid w:val="008732FB"/>
    <w:rsid w:val="00873374"/>
    <w:rsid w:val="008733F1"/>
    <w:rsid w:val="0087348B"/>
    <w:rsid w:val="00873731"/>
    <w:rsid w:val="008737CC"/>
    <w:rsid w:val="00873905"/>
    <w:rsid w:val="00873967"/>
    <w:rsid w:val="00873C52"/>
    <w:rsid w:val="00873D7D"/>
    <w:rsid w:val="00873ECD"/>
    <w:rsid w:val="00873FDF"/>
    <w:rsid w:val="00873FEE"/>
    <w:rsid w:val="008740B1"/>
    <w:rsid w:val="00874135"/>
    <w:rsid w:val="0087431D"/>
    <w:rsid w:val="00874423"/>
    <w:rsid w:val="00874702"/>
    <w:rsid w:val="0087471E"/>
    <w:rsid w:val="008747B5"/>
    <w:rsid w:val="008747C5"/>
    <w:rsid w:val="00874928"/>
    <w:rsid w:val="00874933"/>
    <w:rsid w:val="00874AA4"/>
    <w:rsid w:val="00874ADE"/>
    <w:rsid w:val="00874BC3"/>
    <w:rsid w:val="00874CF2"/>
    <w:rsid w:val="00875057"/>
    <w:rsid w:val="0087508F"/>
    <w:rsid w:val="008752AA"/>
    <w:rsid w:val="008752DF"/>
    <w:rsid w:val="0087532A"/>
    <w:rsid w:val="008753A5"/>
    <w:rsid w:val="0087549F"/>
    <w:rsid w:val="00875580"/>
    <w:rsid w:val="00875937"/>
    <w:rsid w:val="008759AD"/>
    <w:rsid w:val="00875D19"/>
    <w:rsid w:val="00875E05"/>
    <w:rsid w:val="00875FA4"/>
    <w:rsid w:val="00875FAB"/>
    <w:rsid w:val="00876196"/>
    <w:rsid w:val="00876562"/>
    <w:rsid w:val="0087657E"/>
    <w:rsid w:val="008765A1"/>
    <w:rsid w:val="00876726"/>
    <w:rsid w:val="008767F8"/>
    <w:rsid w:val="00876901"/>
    <w:rsid w:val="00876A05"/>
    <w:rsid w:val="00876A30"/>
    <w:rsid w:val="00876A47"/>
    <w:rsid w:val="00876D0E"/>
    <w:rsid w:val="00876E64"/>
    <w:rsid w:val="00877061"/>
    <w:rsid w:val="008770B5"/>
    <w:rsid w:val="008770BE"/>
    <w:rsid w:val="008770D3"/>
    <w:rsid w:val="00877215"/>
    <w:rsid w:val="008773D5"/>
    <w:rsid w:val="00877431"/>
    <w:rsid w:val="008775DD"/>
    <w:rsid w:val="00877619"/>
    <w:rsid w:val="0087780B"/>
    <w:rsid w:val="008778A3"/>
    <w:rsid w:val="00877AAC"/>
    <w:rsid w:val="00877C69"/>
    <w:rsid w:val="00877CD0"/>
    <w:rsid w:val="00880091"/>
    <w:rsid w:val="008800D8"/>
    <w:rsid w:val="0088011E"/>
    <w:rsid w:val="00880202"/>
    <w:rsid w:val="00880231"/>
    <w:rsid w:val="00880736"/>
    <w:rsid w:val="00880742"/>
    <w:rsid w:val="008808D3"/>
    <w:rsid w:val="008809C0"/>
    <w:rsid w:val="00880AE6"/>
    <w:rsid w:val="00880B57"/>
    <w:rsid w:val="0088120A"/>
    <w:rsid w:val="008812CA"/>
    <w:rsid w:val="008813E6"/>
    <w:rsid w:val="00881450"/>
    <w:rsid w:val="008815EB"/>
    <w:rsid w:val="00881629"/>
    <w:rsid w:val="008817F1"/>
    <w:rsid w:val="00881864"/>
    <w:rsid w:val="008818F9"/>
    <w:rsid w:val="00881A7B"/>
    <w:rsid w:val="00881A8B"/>
    <w:rsid w:val="00882296"/>
    <w:rsid w:val="0088236C"/>
    <w:rsid w:val="008823F1"/>
    <w:rsid w:val="00882439"/>
    <w:rsid w:val="00882882"/>
    <w:rsid w:val="00882917"/>
    <w:rsid w:val="00882929"/>
    <w:rsid w:val="00882A79"/>
    <w:rsid w:val="00882C69"/>
    <w:rsid w:val="00882F6C"/>
    <w:rsid w:val="00882F70"/>
    <w:rsid w:val="00883033"/>
    <w:rsid w:val="00883043"/>
    <w:rsid w:val="0088316D"/>
    <w:rsid w:val="008833BA"/>
    <w:rsid w:val="00883665"/>
    <w:rsid w:val="008836E2"/>
    <w:rsid w:val="008837A6"/>
    <w:rsid w:val="008837C7"/>
    <w:rsid w:val="00883846"/>
    <w:rsid w:val="0088391C"/>
    <w:rsid w:val="00883BFC"/>
    <w:rsid w:val="00883C05"/>
    <w:rsid w:val="00883D0A"/>
    <w:rsid w:val="00883DD5"/>
    <w:rsid w:val="00883E22"/>
    <w:rsid w:val="008840DD"/>
    <w:rsid w:val="008841A7"/>
    <w:rsid w:val="008843A9"/>
    <w:rsid w:val="0088468A"/>
    <w:rsid w:val="00884753"/>
    <w:rsid w:val="00884BD1"/>
    <w:rsid w:val="00884BFE"/>
    <w:rsid w:val="00884DA4"/>
    <w:rsid w:val="00884DE4"/>
    <w:rsid w:val="00884E82"/>
    <w:rsid w:val="00884FE0"/>
    <w:rsid w:val="008853BE"/>
    <w:rsid w:val="0088546E"/>
    <w:rsid w:val="0088575F"/>
    <w:rsid w:val="008857E7"/>
    <w:rsid w:val="008858B4"/>
    <w:rsid w:val="00885BB4"/>
    <w:rsid w:val="00885C15"/>
    <w:rsid w:val="00885D5B"/>
    <w:rsid w:val="00885FD3"/>
    <w:rsid w:val="00885FEE"/>
    <w:rsid w:val="0088614A"/>
    <w:rsid w:val="00886181"/>
    <w:rsid w:val="00886183"/>
    <w:rsid w:val="00886197"/>
    <w:rsid w:val="0088637D"/>
    <w:rsid w:val="00886395"/>
    <w:rsid w:val="008863A1"/>
    <w:rsid w:val="00886434"/>
    <w:rsid w:val="008864C8"/>
    <w:rsid w:val="008864E0"/>
    <w:rsid w:val="00886555"/>
    <w:rsid w:val="00886594"/>
    <w:rsid w:val="00886619"/>
    <w:rsid w:val="008867E7"/>
    <w:rsid w:val="008868F7"/>
    <w:rsid w:val="00886959"/>
    <w:rsid w:val="00886987"/>
    <w:rsid w:val="008869C6"/>
    <w:rsid w:val="00886EE5"/>
    <w:rsid w:val="00886FB8"/>
    <w:rsid w:val="00887068"/>
    <w:rsid w:val="0088707C"/>
    <w:rsid w:val="00887133"/>
    <w:rsid w:val="00887565"/>
    <w:rsid w:val="0088763B"/>
    <w:rsid w:val="008878A2"/>
    <w:rsid w:val="008878A7"/>
    <w:rsid w:val="00887905"/>
    <w:rsid w:val="00887997"/>
    <w:rsid w:val="00887A6A"/>
    <w:rsid w:val="00887AA6"/>
    <w:rsid w:val="00887BED"/>
    <w:rsid w:val="00887BEF"/>
    <w:rsid w:val="00887C92"/>
    <w:rsid w:val="00887CB7"/>
    <w:rsid w:val="0089007C"/>
    <w:rsid w:val="00890143"/>
    <w:rsid w:val="0089015A"/>
    <w:rsid w:val="008901A4"/>
    <w:rsid w:val="008901EA"/>
    <w:rsid w:val="008902A2"/>
    <w:rsid w:val="0089045A"/>
    <w:rsid w:val="0089068E"/>
    <w:rsid w:val="008908B1"/>
    <w:rsid w:val="008908B2"/>
    <w:rsid w:val="008909BE"/>
    <w:rsid w:val="00890A31"/>
    <w:rsid w:val="00890A4D"/>
    <w:rsid w:val="00890B2F"/>
    <w:rsid w:val="00890C84"/>
    <w:rsid w:val="00890C9B"/>
    <w:rsid w:val="00890D11"/>
    <w:rsid w:val="00890E28"/>
    <w:rsid w:val="00890F9E"/>
    <w:rsid w:val="008911B9"/>
    <w:rsid w:val="00891332"/>
    <w:rsid w:val="008913CA"/>
    <w:rsid w:val="0089144E"/>
    <w:rsid w:val="0089150D"/>
    <w:rsid w:val="008917F9"/>
    <w:rsid w:val="00891A33"/>
    <w:rsid w:val="00891A49"/>
    <w:rsid w:val="00891BCD"/>
    <w:rsid w:val="00891D30"/>
    <w:rsid w:val="00891D8D"/>
    <w:rsid w:val="00891F23"/>
    <w:rsid w:val="008920D4"/>
    <w:rsid w:val="00892277"/>
    <w:rsid w:val="0089243D"/>
    <w:rsid w:val="008925F1"/>
    <w:rsid w:val="008928BA"/>
    <w:rsid w:val="00892A3E"/>
    <w:rsid w:val="00892A4B"/>
    <w:rsid w:val="00892AC2"/>
    <w:rsid w:val="00892B3C"/>
    <w:rsid w:val="00892BA5"/>
    <w:rsid w:val="00892D92"/>
    <w:rsid w:val="00892E96"/>
    <w:rsid w:val="00892EBA"/>
    <w:rsid w:val="00892EFB"/>
    <w:rsid w:val="00892F16"/>
    <w:rsid w:val="00892F2E"/>
    <w:rsid w:val="00893008"/>
    <w:rsid w:val="00893373"/>
    <w:rsid w:val="00893407"/>
    <w:rsid w:val="00893428"/>
    <w:rsid w:val="0089348D"/>
    <w:rsid w:val="008934E3"/>
    <w:rsid w:val="0089352B"/>
    <w:rsid w:val="00893584"/>
    <w:rsid w:val="008936E6"/>
    <w:rsid w:val="008937D3"/>
    <w:rsid w:val="0089383E"/>
    <w:rsid w:val="0089384C"/>
    <w:rsid w:val="00893970"/>
    <w:rsid w:val="008939A2"/>
    <w:rsid w:val="00893B1D"/>
    <w:rsid w:val="00893B25"/>
    <w:rsid w:val="00893C68"/>
    <w:rsid w:val="008940C2"/>
    <w:rsid w:val="0089419B"/>
    <w:rsid w:val="00894260"/>
    <w:rsid w:val="008942B3"/>
    <w:rsid w:val="00894373"/>
    <w:rsid w:val="00894882"/>
    <w:rsid w:val="008948EC"/>
    <w:rsid w:val="00894A6B"/>
    <w:rsid w:val="00894B1D"/>
    <w:rsid w:val="00894C08"/>
    <w:rsid w:val="00894CB0"/>
    <w:rsid w:val="00894D5C"/>
    <w:rsid w:val="00894F09"/>
    <w:rsid w:val="0089524E"/>
    <w:rsid w:val="0089528C"/>
    <w:rsid w:val="008953E8"/>
    <w:rsid w:val="0089553D"/>
    <w:rsid w:val="00895560"/>
    <w:rsid w:val="0089587C"/>
    <w:rsid w:val="00895AFC"/>
    <w:rsid w:val="00895B26"/>
    <w:rsid w:val="00895B36"/>
    <w:rsid w:val="00895B3A"/>
    <w:rsid w:val="00895B7F"/>
    <w:rsid w:val="00895EE4"/>
    <w:rsid w:val="00895F08"/>
    <w:rsid w:val="00895F90"/>
    <w:rsid w:val="00895FE4"/>
    <w:rsid w:val="0089621D"/>
    <w:rsid w:val="0089640B"/>
    <w:rsid w:val="0089648A"/>
    <w:rsid w:val="0089650C"/>
    <w:rsid w:val="0089665B"/>
    <w:rsid w:val="008966A4"/>
    <w:rsid w:val="0089671C"/>
    <w:rsid w:val="008969DF"/>
    <w:rsid w:val="00896A6D"/>
    <w:rsid w:val="00896BE6"/>
    <w:rsid w:val="00896BE7"/>
    <w:rsid w:val="00896C2D"/>
    <w:rsid w:val="008970DD"/>
    <w:rsid w:val="00897104"/>
    <w:rsid w:val="00897144"/>
    <w:rsid w:val="00897281"/>
    <w:rsid w:val="008973A9"/>
    <w:rsid w:val="00897462"/>
    <w:rsid w:val="008974BE"/>
    <w:rsid w:val="00897663"/>
    <w:rsid w:val="008979AF"/>
    <w:rsid w:val="00897E70"/>
    <w:rsid w:val="00897F3A"/>
    <w:rsid w:val="008A0045"/>
    <w:rsid w:val="008A01CE"/>
    <w:rsid w:val="008A01F8"/>
    <w:rsid w:val="008A02E0"/>
    <w:rsid w:val="008A0455"/>
    <w:rsid w:val="008A0463"/>
    <w:rsid w:val="008A051D"/>
    <w:rsid w:val="008A05A3"/>
    <w:rsid w:val="008A073C"/>
    <w:rsid w:val="008A08D2"/>
    <w:rsid w:val="008A0DD5"/>
    <w:rsid w:val="008A0E0C"/>
    <w:rsid w:val="008A112C"/>
    <w:rsid w:val="008A1196"/>
    <w:rsid w:val="008A12AC"/>
    <w:rsid w:val="008A173D"/>
    <w:rsid w:val="008A176A"/>
    <w:rsid w:val="008A17A9"/>
    <w:rsid w:val="008A18E4"/>
    <w:rsid w:val="008A1922"/>
    <w:rsid w:val="008A1A96"/>
    <w:rsid w:val="008A1B82"/>
    <w:rsid w:val="008A1CC4"/>
    <w:rsid w:val="008A1D3A"/>
    <w:rsid w:val="008A1DFA"/>
    <w:rsid w:val="008A1FA0"/>
    <w:rsid w:val="008A1FAB"/>
    <w:rsid w:val="008A212F"/>
    <w:rsid w:val="008A22C6"/>
    <w:rsid w:val="008A2388"/>
    <w:rsid w:val="008A23FA"/>
    <w:rsid w:val="008A2491"/>
    <w:rsid w:val="008A26D2"/>
    <w:rsid w:val="008A29CC"/>
    <w:rsid w:val="008A2B6F"/>
    <w:rsid w:val="008A2C09"/>
    <w:rsid w:val="008A2C54"/>
    <w:rsid w:val="008A2E08"/>
    <w:rsid w:val="008A2E23"/>
    <w:rsid w:val="008A2ECD"/>
    <w:rsid w:val="008A2F64"/>
    <w:rsid w:val="008A2FCE"/>
    <w:rsid w:val="008A3057"/>
    <w:rsid w:val="008A314D"/>
    <w:rsid w:val="008A325C"/>
    <w:rsid w:val="008A341D"/>
    <w:rsid w:val="008A34AC"/>
    <w:rsid w:val="008A35AA"/>
    <w:rsid w:val="008A36E1"/>
    <w:rsid w:val="008A372A"/>
    <w:rsid w:val="008A37A7"/>
    <w:rsid w:val="008A3817"/>
    <w:rsid w:val="008A3AAC"/>
    <w:rsid w:val="008A3ABC"/>
    <w:rsid w:val="008A3BD9"/>
    <w:rsid w:val="008A3C78"/>
    <w:rsid w:val="008A3EC9"/>
    <w:rsid w:val="008A3F4E"/>
    <w:rsid w:val="008A41CD"/>
    <w:rsid w:val="008A4338"/>
    <w:rsid w:val="008A4782"/>
    <w:rsid w:val="008A4865"/>
    <w:rsid w:val="008A4A80"/>
    <w:rsid w:val="008A4D8C"/>
    <w:rsid w:val="008A4E4A"/>
    <w:rsid w:val="008A4F58"/>
    <w:rsid w:val="008A4FB3"/>
    <w:rsid w:val="008A5035"/>
    <w:rsid w:val="008A5076"/>
    <w:rsid w:val="008A509E"/>
    <w:rsid w:val="008A5101"/>
    <w:rsid w:val="008A51D3"/>
    <w:rsid w:val="008A52DA"/>
    <w:rsid w:val="008A5401"/>
    <w:rsid w:val="008A5646"/>
    <w:rsid w:val="008A5789"/>
    <w:rsid w:val="008A58E5"/>
    <w:rsid w:val="008A5A4F"/>
    <w:rsid w:val="008A5B62"/>
    <w:rsid w:val="008A5DEA"/>
    <w:rsid w:val="008A6204"/>
    <w:rsid w:val="008A63EE"/>
    <w:rsid w:val="008A66DE"/>
    <w:rsid w:val="008A6730"/>
    <w:rsid w:val="008A6746"/>
    <w:rsid w:val="008A6783"/>
    <w:rsid w:val="008A67FF"/>
    <w:rsid w:val="008A6887"/>
    <w:rsid w:val="008A6B5A"/>
    <w:rsid w:val="008A6FFA"/>
    <w:rsid w:val="008A73BD"/>
    <w:rsid w:val="008A7484"/>
    <w:rsid w:val="008A7620"/>
    <w:rsid w:val="008A7745"/>
    <w:rsid w:val="008A7960"/>
    <w:rsid w:val="008A7A5B"/>
    <w:rsid w:val="008A7A82"/>
    <w:rsid w:val="008A7B43"/>
    <w:rsid w:val="008A7B62"/>
    <w:rsid w:val="008A7BB5"/>
    <w:rsid w:val="008A7E98"/>
    <w:rsid w:val="008A7EBE"/>
    <w:rsid w:val="008A7F7B"/>
    <w:rsid w:val="008B0141"/>
    <w:rsid w:val="008B01CC"/>
    <w:rsid w:val="008B021D"/>
    <w:rsid w:val="008B051C"/>
    <w:rsid w:val="008B0652"/>
    <w:rsid w:val="008B067D"/>
    <w:rsid w:val="008B0736"/>
    <w:rsid w:val="008B0769"/>
    <w:rsid w:val="008B07B4"/>
    <w:rsid w:val="008B0872"/>
    <w:rsid w:val="008B08CC"/>
    <w:rsid w:val="008B0A86"/>
    <w:rsid w:val="008B0BB1"/>
    <w:rsid w:val="008B0C28"/>
    <w:rsid w:val="008B0CE1"/>
    <w:rsid w:val="008B0DB6"/>
    <w:rsid w:val="008B0F08"/>
    <w:rsid w:val="008B103C"/>
    <w:rsid w:val="008B1094"/>
    <w:rsid w:val="008B1317"/>
    <w:rsid w:val="008B14DD"/>
    <w:rsid w:val="008B1558"/>
    <w:rsid w:val="008B157B"/>
    <w:rsid w:val="008B18A2"/>
    <w:rsid w:val="008B1AEF"/>
    <w:rsid w:val="008B1BDF"/>
    <w:rsid w:val="008B1C9B"/>
    <w:rsid w:val="008B1D89"/>
    <w:rsid w:val="008B1FEC"/>
    <w:rsid w:val="008B2178"/>
    <w:rsid w:val="008B2321"/>
    <w:rsid w:val="008B2514"/>
    <w:rsid w:val="008B2551"/>
    <w:rsid w:val="008B2556"/>
    <w:rsid w:val="008B25C8"/>
    <w:rsid w:val="008B2663"/>
    <w:rsid w:val="008B26F9"/>
    <w:rsid w:val="008B27BA"/>
    <w:rsid w:val="008B27F7"/>
    <w:rsid w:val="008B2835"/>
    <w:rsid w:val="008B2A2B"/>
    <w:rsid w:val="008B2AF5"/>
    <w:rsid w:val="008B2B5F"/>
    <w:rsid w:val="008B2C37"/>
    <w:rsid w:val="008B2CE6"/>
    <w:rsid w:val="008B2E42"/>
    <w:rsid w:val="008B2F45"/>
    <w:rsid w:val="008B3199"/>
    <w:rsid w:val="008B32F8"/>
    <w:rsid w:val="008B343B"/>
    <w:rsid w:val="008B35D1"/>
    <w:rsid w:val="008B3739"/>
    <w:rsid w:val="008B3788"/>
    <w:rsid w:val="008B3793"/>
    <w:rsid w:val="008B37B1"/>
    <w:rsid w:val="008B3939"/>
    <w:rsid w:val="008B39A1"/>
    <w:rsid w:val="008B39AD"/>
    <w:rsid w:val="008B3BCC"/>
    <w:rsid w:val="008B3BDB"/>
    <w:rsid w:val="008B3C57"/>
    <w:rsid w:val="008B3C76"/>
    <w:rsid w:val="008B3CA7"/>
    <w:rsid w:val="008B3CE3"/>
    <w:rsid w:val="008B3D75"/>
    <w:rsid w:val="008B3EE8"/>
    <w:rsid w:val="008B3FE3"/>
    <w:rsid w:val="008B4095"/>
    <w:rsid w:val="008B41A3"/>
    <w:rsid w:val="008B425A"/>
    <w:rsid w:val="008B44B6"/>
    <w:rsid w:val="008B453D"/>
    <w:rsid w:val="008B459B"/>
    <w:rsid w:val="008B468F"/>
    <w:rsid w:val="008B46D0"/>
    <w:rsid w:val="008B46DA"/>
    <w:rsid w:val="008B4822"/>
    <w:rsid w:val="008B4992"/>
    <w:rsid w:val="008B4AA7"/>
    <w:rsid w:val="008B4AF2"/>
    <w:rsid w:val="008B4B15"/>
    <w:rsid w:val="008B4CD2"/>
    <w:rsid w:val="008B4E0B"/>
    <w:rsid w:val="008B4F9D"/>
    <w:rsid w:val="008B4FFB"/>
    <w:rsid w:val="008B516F"/>
    <w:rsid w:val="008B51E4"/>
    <w:rsid w:val="008B526A"/>
    <w:rsid w:val="008B52BE"/>
    <w:rsid w:val="008B52F4"/>
    <w:rsid w:val="008B5353"/>
    <w:rsid w:val="008B53E2"/>
    <w:rsid w:val="008B5418"/>
    <w:rsid w:val="008B54F4"/>
    <w:rsid w:val="008B5816"/>
    <w:rsid w:val="008B5962"/>
    <w:rsid w:val="008B5979"/>
    <w:rsid w:val="008B5A2D"/>
    <w:rsid w:val="008B5B0E"/>
    <w:rsid w:val="008B5B94"/>
    <w:rsid w:val="008B5BC6"/>
    <w:rsid w:val="008B5BF0"/>
    <w:rsid w:val="008B5D5A"/>
    <w:rsid w:val="008B5F84"/>
    <w:rsid w:val="008B5FA2"/>
    <w:rsid w:val="008B602F"/>
    <w:rsid w:val="008B645E"/>
    <w:rsid w:val="008B64ED"/>
    <w:rsid w:val="008B64F2"/>
    <w:rsid w:val="008B6543"/>
    <w:rsid w:val="008B6664"/>
    <w:rsid w:val="008B66F4"/>
    <w:rsid w:val="008B6821"/>
    <w:rsid w:val="008B6861"/>
    <w:rsid w:val="008B694F"/>
    <w:rsid w:val="008B6968"/>
    <w:rsid w:val="008B6B03"/>
    <w:rsid w:val="008B6B96"/>
    <w:rsid w:val="008B6E88"/>
    <w:rsid w:val="008B6F08"/>
    <w:rsid w:val="008B6FEA"/>
    <w:rsid w:val="008B7207"/>
    <w:rsid w:val="008B72FC"/>
    <w:rsid w:val="008B733E"/>
    <w:rsid w:val="008B7372"/>
    <w:rsid w:val="008B7411"/>
    <w:rsid w:val="008B7561"/>
    <w:rsid w:val="008B766F"/>
    <w:rsid w:val="008B76CD"/>
    <w:rsid w:val="008B76E6"/>
    <w:rsid w:val="008B794F"/>
    <w:rsid w:val="008B7A49"/>
    <w:rsid w:val="008B7A4B"/>
    <w:rsid w:val="008B7BC1"/>
    <w:rsid w:val="008B7D62"/>
    <w:rsid w:val="008B7DD5"/>
    <w:rsid w:val="008B7EF5"/>
    <w:rsid w:val="008C00AC"/>
    <w:rsid w:val="008C00E3"/>
    <w:rsid w:val="008C022B"/>
    <w:rsid w:val="008C0332"/>
    <w:rsid w:val="008C034F"/>
    <w:rsid w:val="008C03D4"/>
    <w:rsid w:val="008C0691"/>
    <w:rsid w:val="008C0824"/>
    <w:rsid w:val="008C0D08"/>
    <w:rsid w:val="008C0F35"/>
    <w:rsid w:val="008C1066"/>
    <w:rsid w:val="008C12EC"/>
    <w:rsid w:val="008C1375"/>
    <w:rsid w:val="008C137E"/>
    <w:rsid w:val="008C1560"/>
    <w:rsid w:val="008C191D"/>
    <w:rsid w:val="008C19D9"/>
    <w:rsid w:val="008C1A7E"/>
    <w:rsid w:val="008C1B11"/>
    <w:rsid w:val="008C1B38"/>
    <w:rsid w:val="008C1D25"/>
    <w:rsid w:val="008C1E67"/>
    <w:rsid w:val="008C202B"/>
    <w:rsid w:val="008C2134"/>
    <w:rsid w:val="008C25CD"/>
    <w:rsid w:val="008C28E1"/>
    <w:rsid w:val="008C2966"/>
    <w:rsid w:val="008C2A18"/>
    <w:rsid w:val="008C2C7C"/>
    <w:rsid w:val="008C2C9A"/>
    <w:rsid w:val="008C2DC1"/>
    <w:rsid w:val="008C2E29"/>
    <w:rsid w:val="008C2F07"/>
    <w:rsid w:val="008C3069"/>
    <w:rsid w:val="008C319F"/>
    <w:rsid w:val="008C31BC"/>
    <w:rsid w:val="008C3272"/>
    <w:rsid w:val="008C33F5"/>
    <w:rsid w:val="008C34DA"/>
    <w:rsid w:val="008C352D"/>
    <w:rsid w:val="008C3541"/>
    <w:rsid w:val="008C3740"/>
    <w:rsid w:val="008C39EE"/>
    <w:rsid w:val="008C3A04"/>
    <w:rsid w:val="008C3B70"/>
    <w:rsid w:val="008C3C68"/>
    <w:rsid w:val="008C3C70"/>
    <w:rsid w:val="008C3D52"/>
    <w:rsid w:val="008C3EC1"/>
    <w:rsid w:val="008C3F19"/>
    <w:rsid w:val="008C4209"/>
    <w:rsid w:val="008C46BB"/>
    <w:rsid w:val="008C4747"/>
    <w:rsid w:val="008C48EE"/>
    <w:rsid w:val="008C4958"/>
    <w:rsid w:val="008C4A96"/>
    <w:rsid w:val="008C4A9E"/>
    <w:rsid w:val="008C4B6A"/>
    <w:rsid w:val="008C4C07"/>
    <w:rsid w:val="008C4CF6"/>
    <w:rsid w:val="008C4F08"/>
    <w:rsid w:val="008C50D1"/>
    <w:rsid w:val="008C519E"/>
    <w:rsid w:val="008C5267"/>
    <w:rsid w:val="008C527E"/>
    <w:rsid w:val="008C5379"/>
    <w:rsid w:val="008C55A1"/>
    <w:rsid w:val="008C5713"/>
    <w:rsid w:val="008C58C4"/>
    <w:rsid w:val="008C58FC"/>
    <w:rsid w:val="008C58FE"/>
    <w:rsid w:val="008C5B85"/>
    <w:rsid w:val="008C5BEF"/>
    <w:rsid w:val="008C5C7E"/>
    <w:rsid w:val="008C5E33"/>
    <w:rsid w:val="008C5EBC"/>
    <w:rsid w:val="008C5F02"/>
    <w:rsid w:val="008C601F"/>
    <w:rsid w:val="008C60F9"/>
    <w:rsid w:val="008C6177"/>
    <w:rsid w:val="008C61A5"/>
    <w:rsid w:val="008C6204"/>
    <w:rsid w:val="008C6218"/>
    <w:rsid w:val="008C6247"/>
    <w:rsid w:val="008C62CF"/>
    <w:rsid w:val="008C64C4"/>
    <w:rsid w:val="008C64CC"/>
    <w:rsid w:val="008C67CD"/>
    <w:rsid w:val="008C6C55"/>
    <w:rsid w:val="008C6CDB"/>
    <w:rsid w:val="008C6EBE"/>
    <w:rsid w:val="008C6ED7"/>
    <w:rsid w:val="008C6F52"/>
    <w:rsid w:val="008C703C"/>
    <w:rsid w:val="008C7173"/>
    <w:rsid w:val="008C71AF"/>
    <w:rsid w:val="008C71F3"/>
    <w:rsid w:val="008C730E"/>
    <w:rsid w:val="008C7516"/>
    <w:rsid w:val="008C7589"/>
    <w:rsid w:val="008C77B5"/>
    <w:rsid w:val="008C7928"/>
    <w:rsid w:val="008C799B"/>
    <w:rsid w:val="008C7B00"/>
    <w:rsid w:val="008C7BF4"/>
    <w:rsid w:val="008C7C79"/>
    <w:rsid w:val="008C7C91"/>
    <w:rsid w:val="008C7DE4"/>
    <w:rsid w:val="008C7F4A"/>
    <w:rsid w:val="008C7FD9"/>
    <w:rsid w:val="008C7FF1"/>
    <w:rsid w:val="008C7FF2"/>
    <w:rsid w:val="008D00B8"/>
    <w:rsid w:val="008D04C7"/>
    <w:rsid w:val="008D04FD"/>
    <w:rsid w:val="008D05BE"/>
    <w:rsid w:val="008D0812"/>
    <w:rsid w:val="008D082E"/>
    <w:rsid w:val="008D09DA"/>
    <w:rsid w:val="008D0A94"/>
    <w:rsid w:val="008D0AE9"/>
    <w:rsid w:val="008D0EAF"/>
    <w:rsid w:val="008D1005"/>
    <w:rsid w:val="008D1096"/>
    <w:rsid w:val="008D112E"/>
    <w:rsid w:val="008D1236"/>
    <w:rsid w:val="008D146B"/>
    <w:rsid w:val="008D1511"/>
    <w:rsid w:val="008D1671"/>
    <w:rsid w:val="008D1781"/>
    <w:rsid w:val="008D1946"/>
    <w:rsid w:val="008D195B"/>
    <w:rsid w:val="008D1AD3"/>
    <w:rsid w:val="008D1B7D"/>
    <w:rsid w:val="008D1C09"/>
    <w:rsid w:val="008D1D6C"/>
    <w:rsid w:val="008D1F2F"/>
    <w:rsid w:val="008D1FCF"/>
    <w:rsid w:val="008D2180"/>
    <w:rsid w:val="008D221E"/>
    <w:rsid w:val="008D2276"/>
    <w:rsid w:val="008D24BA"/>
    <w:rsid w:val="008D258B"/>
    <w:rsid w:val="008D26A9"/>
    <w:rsid w:val="008D27D2"/>
    <w:rsid w:val="008D2885"/>
    <w:rsid w:val="008D2995"/>
    <w:rsid w:val="008D29EF"/>
    <w:rsid w:val="008D2CC2"/>
    <w:rsid w:val="008D2CF8"/>
    <w:rsid w:val="008D2D44"/>
    <w:rsid w:val="008D2D5F"/>
    <w:rsid w:val="008D2EC3"/>
    <w:rsid w:val="008D30FA"/>
    <w:rsid w:val="008D316B"/>
    <w:rsid w:val="008D32BF"/>
    <w:rsid w:val="008D3366"/>
    <w:rsid w:val="008D35E9"/>
    <w:rsid w:val="008D35F5"/>
    <w:rsid w:val="008D36A9"/>
    <w:rsid w:val="008D386C"/>
    <w:rsid w:val="008D392B"/>
    <w:rsid w:val="008D399A"/>
    <w:rsid w:val="008D3A1D"/>
    <w:rsid w:val="008D3AEA"/>
    <w:rsid w:val="008D3B07"/>
    <w:rsid w:val="008D3CD1"/>
    <w:rsid w:val="008D3D71"/>
    <w:rsid w:val="008D3EF4"/>
    <w:rsid w:val="008D3FFD"/>
    <w:rsid w:val="008D4027"/>
    <w:rsid w:val="008D41A8"/>
    <w:rsid w:val="008D41C2"/>
    <w:rsid w:val="008D41C8"/>
    <w:rsid w:val="008D427E"/>
    <w:rsid w:val="008D4399"/>
    <w:rsid w:val="008D43A9"/>
    <w:rsid w:val="008D45F5"/>
    <w:rsid w:val="008D46E6"/>
    <w:rsid w:val="008D47A4"/>
    <w:rsid w:val="008D4925"/>
    <w:rsid w:val="008D4973"/>
    <w:rsid w:val="008D4A87"/>
    <w:rsid w:val="008D4B63"/>
    <w:rsid w:val="008D4C22"/>
    <w:rsid w:val="008D4C2E"/>
    <w:rsid w:val="008D4EA7"/>
    <w:rsid w:val="008D4FFD"/>
    <w:rsid w:val="008D50AE"/>
    <w:rsid w:val="008D50C5"/>
    <w:rsid w:val="008D5154"/>
    <w:rsid w:val="008D51D3"/>
    <w:rsid w:val="008D5270"/>
    <w:rsid w:val="008D53E5"/>
    <w:rsid w:val="008D549D"/>
    <w:rsid w:val="008D552D"/>
    <w:rsid w:val="008D5773"/>
    <w:rsid w:val="008D57A5"/>
    <w:rsid w:val="008D58BF"/>
    <w:rsid w:val="008D58D9"/>
    <w:rsid w:val="008D5A10"/>
    <w:rsid w:val="008D5A32"/>
    <w:rsid w:val="008D5B0D"/>
    <w:rsid w:val="008D5C6B"/>
    <w:rsid w:val="008D5CCE"/>
    <w:rsid w:val="008D5D06"/>
    <w:rsid w:val="008D5D34"/>
    <w:rsid w:val="008D5D3D"/>
    <w:rsid w:val="008D5D7D"/>
    <w:rsid w:val="008D5E85"/>
    <w:rsid w:val="008D5EC1"/>
    <w:rsid w:val="008D5F6F"/>
    <w:rsid w:val="008D5FC2"/>
    <w:rsid w:val="008D6292"/>
    <w:rsid w:val="008D62E7"/>
    <w:rsid w:val="008D6323"/>
    <w:rsid w:val="008D63FA"/>
    <w:rsid w:val="008D649C"/>
    <w:rsid w:val="008D64D7"/>
    <w:rsid w:val="008D66DE"/>
    <w:rsid w:val="008D6714"/>
    <w:rsid w:val="008D676C"/>
    <w:rsid w:val="008D67DA"/>
    <w:rsid w:val="008D6864"/>
    <w:rsid w:val="008D6A21"/>
    <w:rsid w:val="008D6AD1"/>
    <w:rsid w:val="008D6C44"/>
    <w:rsid w:val="008D6DC7"/>
    <w:rsid w:val="008D6F45"/>
    <w:rsid w:val="008D6F82"/>
    <w:rsid w:val="008D70BD"/>
    <w:rsid w:val="008D7126"/>
    <w:rsid w:val="008D730E"/>
    <w:rsid w:val="008D7316"/>
    <w:rsid w:val="008D7363"/>
    <w:rsid w:val="008D73DF"/>
    <w:rsid w:val="008D7422"/>
    <w:rsid w:val="008D767A"/>
    <w:rsid w:val="008D7726"/>
    <w:rsid w:val="008D7BBA"/>
    <w:rsid w:val="008D7C1F"/>
    <w:rsid w:val="008D7DDE"/>
    <w:rsid w:val="008E0052"/>
    <w:rsid w:val="008E0100"/>
    <w:rsid w:val="008E014A"/>
    <w:rsid w:val="008E0185"/>
    <w:rsid w:val="008E01B9"/>
    <w:rsid w:val="008E03B7"/>
    <w:rsid w:val="008E07DD"/>
    <w:rsid w:val="008E07EB"/>
    <w:rsid w:val="008E087D"/>
    <w:rsid w:val="008E09D6"/>
    <w:rsid w:val="008E0BFB"/>
    <w:rsid w:val="008E0D69"/>
    <w:rsid w:val="008E0D98"/>
    <w:rsid w:val="008E0E39"/>
    <w:rsid w:val="008E0FB1"/>
    <w:rsid w:val="008E1115"/>
    <w:rsid w:val="008E130C"/>
    <w:rsid w:val="008E137B"/>
    <w:rsid w:val="008E1478"/>
    <w:rsid w:val="008E14C8"/>
    <w:rsid w:val="008E15D9"/>
    <w:rsid w:val="008E1815"/>
    <w:rsid w:val="008E18CF"/>
    <w:rsid w:val="008E1AC1"/>
    <w:rsid w:val="008E2147"/>
    <w:rsid w:val="008E2201"/>
    <w:rsid w:val="008E2298"/>
    <w:rsid w:val="008E2373"/>
    <w:rsid w:val="008E258C"/>
    <w:rsid w:val="008E25FE"/>
    <w:rsid w:val="008E270F"/>
    <w:rsid w:val="008E27B9"/>
    <w:rsid w:val="008E2810"/>
    <w:rsid w:val="008E28BD"/>
    <w:rsid w:val="008E2DEB"/>
    <w:rsid w:val="008E2E03"/>
    <w:rsid w:val="008E308F"/>
    <w:rsid w:val="008E32FB"/>
    <w:rsid w:val="008E33D4"/>
    <w:rsid w:val="008E3425"/>
    <w:rsid w:val="008E3539"/>
    <w:rsid w:val="008E362A"/>
    <w:rsid w:val="008E369F"/>
    <w:rsid w:val="008E3858"/>
    <w:rsid w:val="008E3A46"/>
    <w:rsid w:val="008E3B1F"/>
    <w:rsid w:val="008E3B7D"/>
    <w:rsid w:val="008E3D2C"/>
    <w:rsid w:val="008E40AB"/>
    <w:rsid w:val="008E455C"/>
    <w:rsid w:val="008E465F"/>
    <w:rsid w:val="008E4712"/>
    <w:rsid w:val="008E4A6A"/>
    <w:rsid w:val="008E4A8A"/>
    <w:rsid w:val="008E4B02"/>
    <w:rsid w:val="008E4B42"/>
    <w:rsid w:val="008E4B83"/>
    <w:rsid w:val="008E4D0D"/>
    <w:rsid w:val="008E4E83"/>
    <w:rsid w:val="008E4FEF"/>
    <w:rsid w:val="008E501C"/>
    <w:rsid w:val="008E51E2"/>
    <w:rsid w:val="008E52E3"/>
    <w:rsid w:val="008E538B"/>
    <w:rsid w:val="008E5422"/>
    <w:rsid w:val="008E5933"/>
    <w:rsid w:val="008E5981"/>
    <w:rsid w:val="008E59EB"/>
    <w:rsid w:val="008E5A82"/>
    <w:rsid w:val="008E5B2A"/>
    <w:rsid w:val="008E5C35"/>
    <w:rsid w:val="008E5C63"/>
    <w:rsid w:val="008E5C70"/>
    <w:rsid w:val="008E5C72"/>
    <w:rsid w:val="008E5CA5"/>
    <w:rsid w:val="008E5D21"/>
    <w:rsid w:val="008E5D64"/>
    <w:rsid w:val="008E612C"/>
    <w:rsid w:val="008E616E"/>
    <w:rsid w:val="008E6235"/>
    <w:rsid w:val="008E6311"/>
    <w:rsid w:val="008E6355"/>
    <w:rsid w:val="008E63B3"/>
    <w:rsid w:val="008E641B"/>
    <w:rsid w:val="008E650D"/>
    <w:rsid w:val="008E6657"/>
    <w:rsid w:val="008E6792"/>
    <w:rsid w:val="008E68A5"/>
    <w:rsid w:val="008E6912"/>
    <w:rsid w:val="008E6BA3"/>
    <w:rsid w:val="008E6E51"/>
    <w:rsid w:val="008E6E73"/>
    <w:rsid w:val="008E6E9F"/>
    <w:rsid w:val="008E6EBB"/>
    <w:rsid w:val="008E6EFB"/>
    <w:rsid w:val="008E718E"/>
    <w:rsid w:val="008E71F7"/>
    <w:rsid w:val="008E7285"/>
    <w:rsid w:val="008E74A0"/>
    <w:rsid w:val="008E7589"/>
    <w:rsid w:val="008E766D"/>
    <w:rsid w:val="008E7709"/>
    <w:rsid w:val="008E7768"/>
    <w:rsid w:val="008E77D7"/>
    <w:rsid w:val="008E7886"/>
    <w:rsid w:val="008E78CC"/>
    <w:rsid w:val="008E79A3"/>
    <w:rsid w:val="008E7A81"/>
    <w:rsid w:val="008E7B92"/>
    <w:rsid w:val="008E7C9F"/>
    <w:rsid w:val="008E7E6E"/>
    <w:rsid w:val="008E7E92"/>
    <w:rsid w:val="008E7EFF"/>
    <w:rsid w:val="008E7F93"/>
    <w:rsid w:val="008E7FA6"/>
    <w:rsid w:val="008F01A9"/>
    <w:rsid w:val="008F01DA"/>
    <w:rsid w:val="008F042D"/>
    <w:rsid w:val="008F046C"/>
    <w:rsid w:val="008F04E8"/>
    <w:rsid w:val="008F0519"/>
    <w:rsid w:val="008F052B"/>
    <w:rsid w:val="008F058B"/>
    <w:rsid w:val="008F0620"/>
    <w:rsid w:val="008F065E"/>
    <w:rsid w:val="008F078C"/>
    <w:rsid w:val="008F0874"/>
    <w:rsid w:val="008F08A2"/>
    <w:rsid w:val="008F0BA8"/>
    <w:rsid w:val="008F0E39"/>
    <w:rsid w:val="008F0E77"/>
    <w:rsid w:val="008F0EF8"/>
    <w:rsid w:val="008F11FD"/>
    <w:rsid w:val="008F1244"/>
    <w:rsid w:val="008F13B6"/>
    <w:rsid w:val="008F13F2"/>
    <w:rsid w:val="008F1452"/>
    <w:rsid w:val="008F1626"/>
    <w:rsid w:val="008F1781"/>
    <w:rsid w:val="008F17C8"/>
    <w:rsid w:val="008F183F"/>
    <w:rsid w:val="008F1886"/>
    <w:rsid w:val="008F1AC4"/>
    <w:rsid w:val="008F1AD9"/>
    <w:rsid w:val="008F1C9A"/>
    <w:rsid w:val="008F1D7F"/>
    <w:rsid w:val="008F1F1A"/>
    <w:rsid w:val="008F1FAD"/>
    <w:rsid w:val="008F2048"/>
    <w:rsid w:val="008F22AB"/>
    <w:rsid w:val="008F2361"/>
    <w:rsid w:val="008F2482"/>
    <w:rsid w:val="008F24EF"/>
    <w:rsid w:val="008F2813"/>
    <w:rsid w:val="008F2839"/>
    <w:rsid w:val="008F2942"/>
    <w:rsid w:val="008F2ABE"/>
    <w:rsid w:val="008F2AD8"/>
    <w:rsid w:val="008F2BD0"/>
    <w:rsid w:val="008F2BF1"/>
    <w:rsid w:val="008F2DFF"/>
    <w:rsid w:val="008F2E50"/>
    <w:rsid w:val="008F300A"/>
    <w:rsid w:val="008F3051"/>
    <w:rsid w:val="008F30C2"/>
    <w:rsid w:val="008F32D2"/>
    <w:rsid w:val="008F3305"/>
    <w:rsid w:val="008F3420"/>
    <w:rsid w:val="008F3504"/>
    <w:rsid w:val="008F36F8"/>
    <w:rsid w:val="008F3785"/>
    <w:rsid w:val="008F37ED"/>
    <w:rsid w:val="008F38B6"/>
    <w:rsid w:val="008F3A96"/>
    <w:rsid w:val="008F3AE3"/>
    <w:rsid w:val="008F3BA9"/>
    <w:rsid w:val="008F3BAF"/>
    <w:rsid w:val="008F3BB2"/>
    <w:rsid w:val="008F3C48"/>
    <w:rsid w:val="008F4020"/>
    <w:rsid w:val="008F407C"/>
    <w:rsid w:val="008F408D"/>
    <w:rsid w:val="008F4273"/>
    <w:rsid w:val="008F4530"/>
    <w:rsid w:val="008F45B8"/>
    <w:rsid w:val="008F4649"/>
    <w:rsid w:val="008F4741"/>
    <w:rsid w:val="008F4772"/>
    <w:rsid w:val="008F4A20"/>
    <w:rsid w:val="008F4D6D"/>
    <w:rsid w:val="008F4D86"/>
    <w:rsid w:val="008F4E69"/>
    <w:rsid w:val="008F51CF"/>
    <w:rsid w:val="008F520F"/>
    <w:rsid w:val="008F5215"/>
    <w:rsid w:val="008F528F"/>
    <w:rsid w:val="008F58AE"/>
    <w:rsid w:val="008F58BD"/>
    <w:rsid w:val="008F59F2"/>
    <w:rsid w:val="008F5B34"/>
    <w:rsid w:val="008F5C9D"/>
    <w:rsid w:val="008F5DA2"/>
    <w:rsid w:val="008F5F84"/>
    <w:rsid w:val="008F5FBB"/>
    <w:rsid w:val="008F6070"/>
    <w:rsid w:val="008F60B8"/>
    <w:rsid w:val="008F61DC"/>
    <w:rsid w:val="008F6458"/>
    <w:rsid w:val="008F65CA"/>
    <w:rsid w:val="008F65F4"/>
    <w:rsid w:val="008F6628"/>
    <w:rsid w:val="008F67F2"/>
    <w:rsid w:val="008F680E"/>
    <w:rsid w:val="008F681D"/>
    <w:rsid w:val="008F684B"/>
    <w:rsid w:val="008F68C7"/>
    <w:rsid w:val="008F6A15"/>
    <w:rsid w:val="008F6A5E"/>
    <w:rsid w:val="008F6C85"/>
    <w:rsid w:val="008F6D6B"/>
    <w:rsid w:val="008F6DA8"/>
    <w:rsid w:val="008F6DCD"/>
    <w:rsid w:val="008F7444"/>
    <w:rsid w:val="008F76F7"/>
    <w:rsid w:val="008F780C"/>
    <w:rsid w:val="008F783C"/>
    <w:rsid w:val="008F78A2"/>
    <w:rsid w:val="008F78DE"/>
    <w:rsid w:val="008F7927"/>
    <w:rsid w:val="008F792D"/>
    <w:rsid w:val="008F799E"/>
    <w:rsid w:val="008F79B7"/>
    <w:rsid w:val="008F7A76"/>
    <w:rsid w:val="008F7BA8"/>
    <w:rsid w:val="008F7CC2"/>
    <w:rsid w:val="008F7D2F"/>
    <w:rsid w:val="008F7E11"/>
    <w:rsid w:val="00900295"/>
    <w:rsid w:val="009002EE"/>
    <w:rsid w:val="009003F2"/>
    <w:rsid w:val="00900532"/>
    <w:rsid w:val="009007BF"/>
    <w:rsid w:val="009008BA"/>
    <w:rsid w:val="00900B82"/>
    <w:rsid w:val="00900ED5"/>
    <w:rsid w:val="00900F09"/>
    <w:rsid w:val="00900F92"/>
    <w:rsid w:val="00900FAB"/>
    <w:rsid w:val="0090101B"/>
    <w:rsid w:val="0090132E"/>
    <w:rsid w:val="0090134A"/>
    <w:rsid w:val="009016A0"/>
    <w:rsid w:val="00901797"/>
    <w:rsid w:val="0090193E"/>
    <w:rsid w:val="009019AE"/>
    <w:rsid w:val="00902136"/>
    <w:rsid w:val="0090213E"/>
    <w:rsid w:val="0090224D"/>
    <w:rsid w:val="009022E3"/>
    <w:rsid w:val="00902487"/>
    <w:rsid w:val="0090281C"/>
    <w:rsid w:val="00902836"/>
    <w:rsid w:val="00902862"/>
    <w:rsid w:val="009029C6"/>
    <w:rsid w:val="00902C48"/>
    <w:rsid w:val="00902C55"/>
    <w:rsid w:val="00902C85"/>
    <w:rsid w:val="00902CF4"/>
    <w:rsid w:val="00902CFB"/>
    <w:rsid w:val="00902E5D"/>
    <w:rsid w:val="00902F1A"/>
    <w:rsid w:val="00902F60"/>
    <w:rsid w:val="00903282"/>
    <w:rsid w:val="009034BD"/>
    <w:rsid w:val="00903556"/>
    <w:rsid w:val="00903674"/>
    <w:rsid w:val="0090376A"/>
    <w:rsid w:val="009038BC"/>
    <w:rsid w:val="00903A4A"/>
    <w:rsid w:val="00903A97"/>
    <w:rsid w:val="00903E12"/>
    <w:rsid w:val="00903E6C"/>
    <w:rsid w:val="009041BD"/>
    <w:rsid w:val="009047B4"/>
    <w:rsid w:val="0090496B"/>
    <w:rsid w:val="00904A0B"/>
    <w:rsid w:val="00904A3D"/>
    <w:rsid w:val="00904A8C"/>
    <w:rsid w:val="00904DD2"/>
    <w:rsid w:val="00904E6C"/>
    <w:rsid w:val="009051EE"/>
    <w:rsid w:val="00905296"/>
    <w:rsid w:val="00905715"/>
    <w:rsid w:val="0090573D"/>
    <w:rsid w:val="00905750"/>
    <w:rsid w:val="009058C8"/>
    <w:rsid w:val="00905924"/>
    <w:rsid w:val="0090592B"/>
    <w:rsid w:val="009059F1"/>
    <w:rsid w:val="00905A57"/>
    <w:rsid w:val="00905B30"/>
    <w:rsid w:val="00905D91"/>
    <w:rsid w:val="00905EAA"/>
    <w:rsid w:val="009062C9"/>
    <w:rsid w:val="009062D2"/>
    <w:rsid w:val="009062EA"/>
    <w:rsid w:val="0090638B"/>
    <w:rsid w:val="009063E5"/>
    <w:rsid w:val="00906711"/>
    <w:rsid w:val="0090681A"/>
    <w:rsid w:val="009068A8"/>
    <w:rsid w:val="009069D2"/>
    <w:rsid w:val="00906AC4"/>
    <w:rsid w:val="00906B94"/>
    <w:rsid w:val="00906EAA"/>
    <w:rsid w:val="00906EB5"/>
    <w:rsid w:val="00906EF2"/>
    <w:rsid w:val="00906F16"/>
    <w:rsid w:val="0090702E"/>
    <w:rsid w:val="009070B1"/>
    <w:rsid w:val="00907250"/>
    <w:rsid w:val="00907555"/>
    <w:rsid w:val="009075BA"/>
    <w:rsid w:val="009077A7"/>
    <w:rsid w:val="0090782F"/>
    <w:rsid w:val="00907838"/>
    <w:rsid w:val="00907B44"/>
    <w:rsid w:val="00907E87"/>
    <w:rsid w:val="00907F94"/>
    <w:rsid w:val="009100D0"/>
    <w:rsid w:val="009100D3"/>
    <w:rsid w:val="009102B2"/>
    <w:rsid w:val="00910312"/>
    <w:rsid w:val="009103B6"/>
    <w:rsid w:val="009103D3"/>
    <w:rsid w:val="009103D4"/>
    <w:rsid w:val="00910485"/>
    <w:rsid w:val="0091068E"/>
    <w:rsid w:val="00910695"/>
    <w:rsid w:val="009106D7"/>
    <w:rsid w:val="009107A9"/>
    <w:rsid w:val="009109A8"/>
    <w:rsid w:val="009109D5"/>
    <w:rsid w:val="00910AB8"/>
    <w:rsid w:val="00910C70"/>
    <w:rsid w:val="00910CFA"/>
    <w:rsid w:val="00910E7F"/>
    <w:rsid w:val="00910EA3"/>
    <w:rsid w:val="00910F6D"/>
    <w:rsid w:val="00910FB5"/>
    <w:rsid w:val="00911054"/>
    <w:rsid w:val="00911096"/>
    <w:rsid w:val="009110E5"/>
    <w:rsid w:val="009113B9"/>
    <w:rsid w:val="009114A5"/>
    <w:rsid w:val="00911926"/>
    <w:rsid w:val="009119DA"/>
    <w:rsid w:val="00911A75"/>
    <w:rsid w:val="00911C2B"/>
    <w:rsid w:val="00911DD3"/>
    <w:rsid w:val="00911F64"/>
    <w:rsid w:val="00912081"/>
    <w:rsid w:val="00912125"/>
    <w:rsid w:val="009125AC"/>
    <w:rsid w:val="00912642"/>
    <w:rsid w:val="00912664"/>
    <w:rsid w:val="0091267A"/>
    <w:rsid w:val="00912789"/>
    <w:rsid w:val="00912958"/>
    <w:rsid w:val="00912A37"/>
    <w:rsid w:val="00912A83"/>
    <w:rsid w:val="00912BFD"/>
    <w:rsid w:val="00912CDE"/>
    <w:rsid w:val="00912E37"/>
    <w:rsid w:val="00913028"/>
    <w:rsid w:val="00913078"/>
    <w:rsid w:val="009130D1"/>
    <w:rsid w:val="0091327A"/>
    <w:rsid w:val="009132B6"/>
    <w:rsid w:val="009133A7"/>
    <w:rsid w:val="00913599"/>
    <w:rsid w:val="009138BC"/>
    <w:rsid w:val="0091395F"/>
    <w:rsid w:val="009139E7"/>
    <w:rsid w:val="00913A88"/>
    <w:rsid w:val="00913B03"/>
    <w:rsid w:val="00913B8B"/>
    <w:rsid w:val="00913C88"/>
    <w:rsid w:val="00913CF8"/>
    <w:rsid w:val="00913D6B"/>
    <w:rsid w:val="00913EB5"/>
    <w:rsid w:val="00913F9B"/>
    <w:rsid w:val="00914294"/>
    <w:rsid w:val="009143E6"/>
    <w:rsid w:val="00914685"/>
    <w:rsid w:val="009148A1"/>
    <w:rsid w:val="009148FE"/>
    <w:rsid w:val="0091493C"/>
    <w:rsid w:val="00914963"/>
    <w:rsid w:val="00914C17"/>
    <w:rsid w:val="00914D33"/>
    <w:rsid w:val="00914E5D"/>
    <w:rsid w:val="00914EB4"/>
    <w:rsid w:val="009150C3"/>
    <w:rsid w:val="009152A6"/>
    <w:rsid w:val="009155EE"/>
    <w:rsid w:val="00915666"/>
    <w:rsid w:val="009158AD"/>
    <w:rsid w:val="00915980"/>
    <w:rsid w:val="00915AE2"/>
    <w:rsid w:val="00915DE9"/>
    <w:rsid w:val="00915E70"/>
    <w:rsid w:val="00916186"/>
    <w:rsid w:val="009161BE"/>
    <w:rsid w:val="009162E7"/>
    <w:rsid w:val="0091641F"/>
    <w:rsid w:val="00916472"/>
    <w:rsid w:val="0091666B"/>
    <w:rsid w:val="0091668B"/>
    <w:rsid w:val="0091686F"/>
    <w:rsid w:val="00916A77"/>
    <w:rsid w:val="00916B1F"/>
    <w:rsid w:val="00916C4B"/>
    <w:rsid w:val="00916D05"/>
    <w:rsid w:val="00916D2B"/>
    <w:rsid w:val="00916D76"/>
    <w:rsid w:val="00916E90"/>
    <w:rsid w:val="00916EED"/>
    <w:rsid w:val="00916F78"/>
    <w:rsid w:val="00917180"/>
    <w:rsid w:val="009171DE"/>
    <w:rsid w:val="009171E4"/>
    <w:rsid w:val="0091738D"/>
    <w:rsid w:val="009173E1"/>
    <w:rsid w:val="00917719"/>
    <w:rsid w:val="00917725"/>
    <w:rsid w:val="009177FF"/>
    <w:rsid w:val="009178A2"/>
    <w:rsid w:val="00917E4E"/>
    <w:rsid w:val="009200B7"/>
    <w:rsid w:val="00920121"/>
    <w:rsid w:val="009201AC"/>
    <w:rsid w:val="0092030B"/>
    <w:rsid w:val="00920566"/>
    <w:rsid w:val="00920582"/>
    <w:rsid w:val="00920813"/>
    <w:rsid w:val="009208A5"/>
    <w:rsid w:val="00920948"/>
    <w:rsid w:val="00920952"/>
    <w:rsid w:val="00920A81"/>
    <w:rsid w:val="00920AB2"/>
    <w:rsid w:val="00920C71"/>
    <w:rsid w:val="00920D21"/>
    <w:rsid w:val="00920D3A"/>
    <w:rsid w:val="00920EA4"/>
    <w:rsid w:val="00920FA8"/>
    <w:rsid w:val="009211BE"/>
    <w:rsid w:val="00921233"/>
    <w:rsid w:val="0092158A"/>
    <w:rsid w:val="009216E4"/>
    <w:rsid w:val="0092171F"/>
    <w:rsid w:val="00921770"/>
    <w:rsid w:val="009218E0"/>
    <w:rsid w:val="009219FC"/>
    <w:rsid w:val="00921B4A"/>
    <w:rsid w:val="00921CB1"/>
    <w:rsid w:val="00921DA3"/>
    <w:rsid w:val="00921E44"/>
    <w:rsid w:val="00921ED0"/>
    <w:rsid w:val="00921F67"/>
    <w:rsid w:val="00922119"/>
    <w:rsid w:val="009223E1"/>
    <w:rsid w:val="009226E9"/>
    <w:rsid w:val="009229D5"/>
    <w:rsid w:val="00922D8E"/>
    <w:rsid w:val="00922E61"/>
    <w:rsid w:val="00922FBB"/>
    <w:rsid w:val="00923279"/>
    <w:rsid w:val="00923583"/>
    <w:rsid w:val="009237AB"/>
    <w:rsid w:val="009237F0"/>
    <w:rsid w:val="00923D85"/>
    <w:rsid w:val="00923E49"/>
    <w:rsid w:val="00923FEA"/>
    <w:rsid w:val="0092448C"/>
    <w:rsid w:val="009245D0"/>
    <w:rsid w:val="009245D5"/>
    <w:rsid w:val="009247CD"/>
    <w:rsid w:val="00924874"/>
    <w:rsid w:val="00924943"/>
    <w:rsid w:val="00924949"/>
    <w:rsid w:val="00924BA2"/>
    <w:rsid w:val="00925107"/>
    <w:rsid w:val="009251E3"/>
    <w:rsid w:val="00925252"/>
    <w:rsid w:val="0092528B"/>
    <w:rsid w:val="0092543E"/>
    <w:rsid w:val="00925453"/>
    <w:rsid w:val="00925473"/>
    <w:rsid w:val="009254DB"/>
    <w:rsid w:val="00925586"/>
    <w:rsid w:val="00925664"/>
    <w:rsid w:val="009257C3"/>
    <w:rsid w:val="009257EF"/>
    <w:rsid w:val="0092595F"/>
    <w:rsid w:val="009259D2"/>
    <w:rsid w:val="00925AB1"/>
    <w:rsid w:val="00925B54"/>
    <w:rsid w:val="00925BAA"/>
    <w:rsid w:val="00925DDF"/>
    <w:rsid w:val="00925DEF"/>
    <w:rsid w:val="009260C0"/>
    <w:rsid w:val="00926180"/>
    <w:rsid w:val="0092623B"/>
    <w:rsid w:val="0092629A"/>
    <w:rsid w:val="009262F4"/>
    <w:rsid w:val="009266C1"/>
    <w:rsid w:val="00926824"/>
    <w:rsid w:val="00926892"/>
    <w:rsid w:val="009268CE"/>
    <w:rsid w:val="0092697F"/>
    <w:rsid w:val="00926A6D"/>
    <w:rsid w:val="00926B69"/>
    <w:rsid w:val="00926D06"/>
    <w:rsid w:val="00927013"/>
    <w:rsid w:val="0092705D"/>
    <w:rsid w:val="009271D2"/>
    <w:rsid w:val="009273FC"/>
    <w:rsid w:val="009274CA"/>
    <w:rsid w:val="00927556"/>
    <w:rsid w:val="009276EF"/>
    <w:rsid w:val="009277E8"/>
    <w:rsid w:val="00927804"/>
    <w:rsid w:val="00927A33"/>
    <w:rsid w:val="00927C4F"/>
    <w:rsid w:val="00927CB4"/>
    <w:rsid w:val="00927F9E"/>
    <w:rsid w:val="00927FF6"/>
    <w:rsid w:val="0093003A"/>
    <w:rsid w:val="00930081"/>
    <w:rsid w:val="009300F9"/>
    <w:rsid w:val="00930115"/>
    <w:rsid w:val="009301DE"/>
    <w:rsid w:val="009302E4"/>
    <w:rsid w:val="0093056A"/>
    <w:rsid w:val="009309A2"/>
    <w:rsid w:val="009309E6"/>
    <w:rsid w:val="009309F7"/>
    <w:rsid w:val="00930AD9"/>
    <w:rsid w:val="00930CBA"/>
    <w:rsid w:val="00930D96"/>
    <w:rsid w:val="00930FD7"/>
    <w:rsid w:val="00931156"/>
    <w:rsid w:val="009311CF"/>
    <w:rsid w:val="0093127D"/>
    <w:rsid w:val="009312F4"/>
    <w:rsid w:val="009313EC"/>
    <w:rsid w:val="00931566"/>
    <w:rsid w:val="00931656"/>
    <w:rsid w:val="009318A2"/>
    <w:rsid w:val="00931B74"/>
    <w:rsid w:val="00931CE0"/>
    <w:rsid w:val="00931D89"/>
    <w:rsid w:val="00931FB4"/>
    <w:rsid w:val="00932141"/>
    <w:rsid w:val="009321F4"/>
    <w:rsid w:val="00932218"/>
    <w:rsid w:val="00932238"/>
    <w:rsid w:val="0093252C"/>
    <w:rsid w:val="00932604"/>
    <w:rsid w:val="009328EA"/>
    <w:rsid w:val="009329C1"/>
    <w:rsid w:val="00932A2F"/>
    <w:rsid w:val="00932AA3"/>
    <w:rsid w:val="00932BB9"/>
    <w:rsid w:val="00932BDC"/>
    <w:rsid w:val="00932BF7"/>
    <w:rsid w:val="00932C56"/>
    <w:rsid w:val="00932C64"/>
    <w:rsid w:val="00932DD4"/>
    <w:rsid w:val="00932F6C"/>
    <w:rsid w:val="009330E1"/>
    <w:rsid w:val="009331ED"/>
    <w:rsid w:val="00933209"/>
    <w:rsid w:val="00933258"/>
    <w:rsid w:val="00933577"/>
    <w:rsid w:val="009335BC"/>
    <w:rsid w:val="009338BF"/>
    <w:rsid w:val="00933AAE"/>
    <w:rsid w:val="00933B2D"/>
    <w:rsid w:val="00933B55"/>
    <w:rsid w:val="00933D10"/>
    <w:rsid w:val="00933E51"/>
    <w:rsid w:val="00934018"/>
    <w:rsid w:val="00934053"/>
    <w:rsid w:val="009340C0"/>
    <w:rsid w:val="0093466B"/>
    <w:rsid w:val="009346DC"/>
    <w:rsid w:val="00934804"/>
    <w:rsid w:val="00934813"/>
    <w:rsid w:val="0093492D"/>
    <w:rsid w:val="00934B2C"/>
    <w:rsid w:val="00934B78"/>
    <w:rsid w:val="00934D29"/>
    <w:rsid w:val="0093504E"/>
    <w:rsid w:val="009350AA"/>
    <w:rsid w:val="00935245"/>
    <w:rsid w:val="009353D9"/>
    <w:rsid w:val="0093543E"/>
    <w:rsid w:val="00935718"/>
    <w:rsid w:val="009357F8"/>
    <w:rsid w:val="0093599C"/>
    <w:rsid w:val="009359A0"/>
    <w:rsid w:val="00935A6D"/>
    <w:rsid w:val="00935AF3"/>
    <w:rsid w:val="00935CB4"/>
    <w:rsid w:val="00935F94"/>
    <w:rsid w:val="009361A0"/>
    <w:rsid w:val="0093628F"/>
    <w:rsid w:val="00936445"/>
    <w:rsid w:val="009364B4"/>
    <w:rsid w:val="0093650A"/>
    <w:rsid w:val="00936561"/>
    <w:rsid w:val="0093660D"/>
    <w:rsid w:val="00936638"/>
    <w:rsid w:val="009367BF"/>
    <w:rsid w:val="00936B18"/>
    <w:rsid w:val="00936B6D"/>
    <w:rsid w:val="00936C08"/>
    <w:rsid w:val="00936C60"/>
    <w:rsid w:val="00936E02"/>
    <w:rsid w:val="00936E33"/>
    <w:rsid w:val="00936E6A"/>
    <w:rsid w:val="00936F09"/>
    <w:rsid w:val="00936F48"/>
    <w:rsid w:val="00936FF2"/>
    <w:rsid w:val="009370EE"/>
    <w:rsid w:val="0093733D"/>
    <w:rsid w:val="00937353"/>
    <w:rsid w:val="009373B1"/>
    <w:rsid w:val="00937471"/>
    <w:rsid w:val="009374CC"/>
    <w:rsid w:val="00937685"/>
    <w:rsid w:val="0093786D"/>
    <w:rsid w:val="009379A9"/>
    <w:rsid w:val="00937A2E"/>
    <w:rsid w:val="00937A99"/>
    <w:rsid w:val="00937B85"/>
    <w:rsid w:val="00937C8A"/>
    <w:rsid w:val="00937DE7"/>
    <w:rsid w:val="00937E15"/>
    <w:rsid w:val="00937EB4"/>
    <w:rsid w:val="00937F09"/>
    <w:rsid w:val="00940054"/>
    <w:rsid w:val="009400D6"/>
    <w:rsid w:val="00940134"/>
    <w:rsid w:val="00940146"/>
    <w:rsid w:val="009402D2"/>
    <w:rsid w:val="0094033D"/>
    <w:rsid w:val="009405F2"/>
    <w:rsid w:val="00940766"/>
    <w:rsid w:val="00940B3F"/>
    <w:rsid w:val="00940BA1"/>
    <w:rsid w:val="00940C9D"/>
    <w:rsid w:val="00940D0A"/>
    <w:rsid w:val="00940E3F"/>
    <w:rsid w:val="00940E55"/>
    <w:rsid w:val="00940F0C"/>
    <w:rsid w:val="00940F2A"/>
    <w:rsid w:val="00940F66"/>
    <w:rsid w:val="00941231"/>
    <w:rsid w:val="0094134E"/>
    <w:rsid w:val="009413BE"/>
    <w:rsid w:val="00941483"/>
    <w:rsid w:val="00941520"/>
    <w:rsid w:val="00941554"/>
    <w:rsid w:val="00941694"/>
    <w:rsid w:val="00941A6D"/>
    <w:rsid w:val="00941AF8"/>
    <w:rsid w:val="00941B6F"/>
    <w:rsid w:val="00941D21"/>
    <w:rsid w:val="00942087"/>
    <w:rsid w:val="00942264"/>
    <w:rsid w:val="00942298"/>
    <w:rsid w:val="00942468"/>
    <w:rsid w:val="00942491"/>
    <w:rsid w:val="009424DA"/>
    <w:rsid w:val="0094261C"/>
    <w:rsid w:val="0094285F"/>
    <w:rsid w:val="00942A9E"/>
    <w:rsid w:val="00942B4E"/>
    <w:rsid w:val="00942BCA"/>
    <w:rsid w:val="00942DCC"/>
    <w:rsid w:val="00942E7F"/>
    <w:rsid w:val="009430E6"/>
    <w:rsid w:val="00943207"/>
    <w:rsid w:val="00943370"/>
    <w:rsid w:val="0094344B"/>
    <w:rsid w:val="009435BC"/>
    <w:rsid w:val="00943750"/>
    <w:rsid w:val="009437A6"/>
    <w:rsid w:val="00943AED"/>
    <w:rsid w:val="00943CC0"/>
    <w:rsid w:val="00943E1A"/>
    <w:rsid w:val="00943FB7"/>
    <w:rsid w:val="0094401D"/>
    <w:rsid w:val="00944062"/>
    <w:rsid w:val="009440A6"/>
    <w:rsid w:val="009442B7"/>
    <w:rsid w:val="00944366"/>
    <w:rsid w:val="009445EC"/>
    <w:rsid w:val="0094463A"/>
    <w:rsid w:val="0094476F"/>
    <w:rsid w:val="00944994"/>
    <w:rsid w:val="00944B64"/>
    <w:rsid w:val="00944CC0"/>
    <w:rsid w:val="00944D69"/>
    <w:rsid w:val="00944DA8"/>
    <w:rsid w:val="00944E2E"/>
    <w:rsid w:val="009451D7"/>
    <w:rsid w:val="00945378"/>
    <w:rsid w:val="00945515"/>
    <w:rsid w:val="009456A7"/>
    <w:rsid w:val="0094571C"/>
    <w:rsid w:val="009457C1"/>
    <w:rsid w:val="009457C7"/>
    <w:rsid w:val="00945829"/>
    <w:rsid w:val="0094588F"/>
    <w:rsid w:val="00945A71"/>
    <w:rsid w:val="00945AA0"/>
    <w:rsid w:val="00945B43"/>
    <w:rsid w:val="00945D76"/>
    <w:rsid w:val="00945E24"/>
    <w:rsid w:val="00946163"/>
    <w:rsid w:val="00946164"/>
    <w:rsid w:val="00946474"/>
    <w:rsid w:val="00946882"/>
    <w:rsid w:val="009468D7"/>
    <w:rsid w:val="00946A43"/>
    <w:rsid w:val="00946B4D"/>
    <w:rsid w:val="00946B4E"/>
    <w:rsid w:val="00946B75"/>
    <w:rsid w:val="00946E23"/>
    <w:rsid w:val="00946E63"/>
    <w:rsid w:val="00946ECA"/>
    <w:rsid w:val="00946F3B"/>
    <w:rsid w:val="00947088"/>
    <w:rsid w:val="009476CB"/>
    <w:rsid w:val="00947759"/>
    <w:rsid w:val="00947760"/>
    <w:rsid w:val="009477DA"/>
    <w:rsid w:val="0094781F"/>
    <w:rsid w:val="009478DD"/>
    <w:rsid w:val="009478DF"/>
    <w:rsid w:val="00947926"/>
    <w:rsid w:val="00947A67"/>
    <w:rsid w:val="00947A9F"/>
    <w:rsid w:val="00947D24"/>
    <w:rsid w:val="00947FAF"/>
    <w:rsid w:val="00950060"/>
    <w:rsid w:val="00950222"/>
    <w:rsid w:val="009502F4"/>
    <w:rsid w:val="0095034A"/>
    <w:rsid w:val="0095058A"/>
    <w:rsid w:val="00950674"/>
    <w:rsid w:val="009507D5"/>
    <w:rsid w:val="00950803"/>
    <w:rsid w:val="00950917"/>
    <w:rsid w:val="00950AC3"/>
    <w:rsid w:val="00950B06"/>
    <w:rsid w:val="00950BE6"/>
    <w:rsid w:val="009510BE"/>
    <w:rsid w:val="00951152"/>
    <w:rsid w:val="0095120B"/>
    <w:rsid w:val="00951240"/>
    <w:rsid w:val="00951277"/>
    <w:rsid w:val="009512E6"/>
    <w:rsid w:val="0095131D"/>
    <w:rsid w:val="0095133E"/>
    <w:rsid w:val="00951352"/>
    <w:rsid w:val="0095135C"/>
    <w:rsid w:val="00951391"/>
    <w:rsid w:val="00951587"/>
    <w:rsid w:val="009515CB"/>
    <w:rsid w:val="00951615"/>
    <w:rsid w:val="0095175E"/>
    <w:rsid w:val="0095183E"/>
    <w:rsid w:val="009518C1"/>
    <w:rsid w:val="00951AEB"/>
    <w:rsid w:val="00951E8E"/>
    <w:rsid w:val="00952139"/>
    <w:rsid w:val="0095218A"/>
    <w:rsid w:val="009521F6"/>
    <w:rsid w:val="00952204"/>
    <w:rsid w:val="00952245"/>
    <w:rsid w:val="009522B3"/>
    <w:rsid w:val="009523C7"/>
    <w:rsid w:val="009524A1"/>
    <w:rsid w:val="009526BE"/>
    <w:rsid w:val="00952877"/>
    <w:rsid w:val="0095288A"/>
    <w:rsid w:val="0095295F"/>
    <w:rsid w:val="0095296F"/>
    <w:rsid w:val="00952997"/>
    <w:rsid w:val="009529ED"/>
    <w:rsid w:val="00952A79"/>
    <w:rsid w:val="00952B19"/>
    <w:rsid w:val="00952B6C"/>
    <w:rsid w:val="00952C13"/>
    <w:rsid w:val="00952E0F"/>
    <w:rsid w:val="00952E20"/>
    <w:rsid w:val="00953080"/>
    <w:rsid w:val="0095318C"/>
    <w:rsid w:val="009533CE"/>
    <w:rsid w:val="009534B9"/>
    <w:rsid w:val="00953669"/>
    <w:rsid w:val="00953941"/>
    <w:rsid w:val="00953987"/>
    <w:rsid w:val="00953AC3"/>
    <w:rsid w:val="00953B5E"/>
    <w:rsid w:val="00953C30"/>
    <w:rsid w:val="00953D15"/>
    <w:rsid w:val="00953E88"/>
    <w:rsid w:val="00953E98"/>
    <w:rsid w:val="00953EDB"/>
    <w:rsid w:val="00953EE6"/>
    <w:rsid w:val="00954041"/>
    <w:rsid w:val="0095406E"/>
    <w:rsid w:val="009540C6"/>
    <w:rsid w:val="00954167"/>
    <w:rsid w:val="009541B8"/>
    <w:rsid w:val="00954239"/>
    <w:rsid w:val="00954459"/>
    <w:rsid w:val="00954748"/>
    <w:rsid w:val="00954751"/>
    <w:rsid w:val="0095498B"/>
    <w:rsid w:val="00954B4B"/>
    <w:rsid w:val="00954B76"/>
    <w:rsid w:val="00954BB6"/>
    <w:rsid w:val="00954BE9"/>
    <w:rsid w:val="00954C5D"/>
    <w:rsid w:val="00954D57"/>
    <w:rsid w:val="00954DC2"/>
    <w:rsid w:val="00954F67"/>
    <w:rsid w:val="00955085"/>
    <w:rsid w:val="00955151"/>
    <w:rsid w:val="00955267"/>
    <w:rsid w:val="009553FF"/>
    <w:rsid w:val="00955443"/>
    <w:rsid w:val="00955544"/>
    <w:rsid w:val="0095554F"/>
    <w:rsid w:val="00955581"/>
    <w:rsid w:val="00955651"/>
    <w:rsid w:val="009556C7"/>
    <w:rsid w:val="00955AC6"/>
    <w:rsid w:val="00955CFA"/>
    <w:rsid w:val="00955D57"/>
    <w:rsid w:val="00955E76"/>
    <w:rsid w:val="00956135"/>
    <w:rsid w:val="0095617D"/>
    <w:rsid w:val="00956283"/>
    <w:rsid w:val="00956292"/>
    <w:rsid w:val="009562E8"/>
    <w:rsid w:val="0095648F"/>
    <w:rsid w:val="00956544"/>
    <w:rsid w:val="00956775"/>
    <w:rsid w:val="0095688A"/>
    <w:rsid w:val="009568F6"/>
    <w:rsid w:val="00956A71"/>
    <w:rsid w:val="00956AF6"/>
    <w:rsid w:val="00956BFF"/>
    <w:rsid w:val="00956EF7"/>
    <w:rsid w:val="00956F9F"/>
    <w:rsid w:val="00957064"/>
    <w:rsid w:val="0095707F"/>
    <w:rsid w:val="00957418"/>
    <w:rsid w:val="009574AC"/>
    <w:rsid w:val="009574BD"/>
    <w:rsid w:val="009574F1"/>
    <w:rsid w:val="009575F0"/>
    <w:rsid w:val="00957689"/>
    <w:rsid w:val="009576B4"/>
    <w:rsid w:val="009577E9"/>
    <w:rsid w:val="009579B0"/>
    <w:rsid w:val="00957A78"/>
    <w:rsid w:val="00957B60"/>
    <w:rsid w:val="00957BCF"/>
    <w:rsid w:val="00957F59"/>
    <w:rsid w:val="00957F86"/>
    <w:rsid w:val="00957FC1"/>
    <w:rsid w:val="00957FF2"/>
    <w:rsid w:val="009603C9"/>
    <w:rsid w:val="00960623"/>
    <w:rsid w:val="0096065F"/>
    <w:rsid w:val="009606DF"/>
    <w:rsid w:val="0096083A"/>
    <w:rsid w:val="00960AB5"/>
    <w:rsid w:val="00960B1E"/>
    <w:rsid w:val="00960CA9"/>
    <w:rsid w:val="00960E48"/>
    <w:rsid w:val="00960E77"/>
    <w:rsid w:val="00960F15"/>
    <w:rsid w:val="00961184"/>
    <w:rsid w:val="0096125B"/>
    <w:rsid w:val="009613D3"/>
    <w:rsid w:val="009613F9"/>
    <w:rsid w:val="009615C4"/>
    <w:rsid w:val="00961646"/>
    <w:rsid w:val="00961745"/>
    <w:rsid w:val="00961B6D"/>
    <w:rsid w:val="00961D68"/>
    <w:rsid w:val="00961E85"/>
    <w:rsid w:val="00961EFC"/>
    <w:rsid w:val="00961FB6"/>
    <w:rsid w:val="00961FC1"/>
    <w:rsid w:val="009620F3"/>
    <w:rsid w:val="00962235"/>
    <w:rsid w:val="009623D5"/>
    <w:rsid w:val="00962583"/>
    <w:rsid w:val="00962722"/>
    <w:rsid w:val="00962732"/>
    <w:rsid w:val="0096276B"/>
    <w:rsid w:val="00962BA5"/>
    <w:rsid w:val="00962E34"/>
    <w:rsid w:val="00962F23"/>
    <w:rsid w:val="00962F66"/>
    <w:rsid w:val="0096310A"/>
    <w:rsid w:val="009631D3"/>
    <w:rsid w:val="00963368"/>
    <w:rsid w:val="0096343D"/>
    <w:rsid w:val="009636B6"/>
    <w:rsid w:val="009637B9"/>
    <w:rsid w:val="00963AFC"/>
    <w:rsid w:val="00963C4B"/>
    <w:rsid w:val="00963D36"/>
    <w:rsid w:val="00963D5E"/>
    <w:rsid w:val="00963DFD"/>
    <w:rsid w:val="00963E89"/>
    <w:rsid w:val="00963EBC"/>
    <w:rsid w:val="00963ED5"/>
    <w:rsid w:val="00963F6E"/>
    <w:rsid w:val="00963FD0"/>
    <w:rsid w:val="00963FD2"/>
    <w:rsid w:val="00963FE7"/>
    <w:rsid w:val="00964169"/>
    <w:rsid w:val="00964258"/>
    <w:rsid w:val="0096438B"/>
    <w:rsid w:val="00964419"/>
    <w:rsid w:val="00964437"/>
    <w:rsid w:val="00964449"/>
    <w:rsid w:val="00964456"/>
    <w:rsid w:val="009644A2"/>
    <w:rsid w:val="009644F4"/>
    <w:rsid w:val="00964553"/>
    <w:rsid w:val="00964562"/>
    <w:rsid w:val="0096469A"/>
    <w:rsid w:val="009646B8"/>
    <w:rsid w:val="00964B83"/>
    <w:rsid w:val="00964C3B"/>
    <w:rsid w:val="00964E0F"/>
    <w:rsid w:val="00964E90"/>
    <w:rsid w:val="0096518D"/>
    <w:rsid w:val="00965310"/>
    <w:rsid w:val="0096544E"/>
    <w:rsid w:val="009654CE"/>
    <w:rsid w:val="00965620"/>
    <w:rsid w:val="00965641"/>
    <w:rsid w:val="0096566E"/>
    <w:rsid w:val="00965702"/>
    <w:rsid w:val="009657D6"/>
    <w:rsid w:val="00965912"/>
    <w:rsid w:val="00965AB3"/>
    <w:rsid w:val="00965ADD"/>
    <w:rsid w:val="00965B31"/>
    <w:rsid w:val="00965B37"/>
    <w:rsid w:val="00965B58"/>
    <w:rsid w:val="00965E76"/>
    <w:rsid w:val="00965EA8"/>
    <w:rsid w:val="009660B9"/>
    <w:rsid w:val="00966294"/>
    <w:rsid w:val="00966315"/>
    <w:rsid w:val="0096639B"/>
    <w:rsid w:val="0096668E"/>
    <w:rsid w:val="00966740"/>
    <w:rsid w:val="009667B3"/>
    <w:rsid w:val="00966981"/>
    <w:rsid w:val="009669B7"/>
    <w:rsid w:val="009669CC"/>
    <w:rsid w:val="00966A6B"/>
    <w:rsid w:val="00966AFF"/>
    <w:rsid w:val="00966F81"/>
    <w:rsid w:val="00967371"/>
    <w:rsid w:val="00967470"/>
    <w:rsid w:val="00967703"/>
    <w:rsid w:val="00967748"/>
    <w:rsid w:val="00967A4B"/>
    <w:rsid w:val="00967A93"/>
    <w:rsid w:val="00967BDC"/>
    <w:rsid w:val="00967C10"/>
    <w:rsid w:val="00967C63"/>
    <w:rsid w:val="00967CE3"/>
    <w:rsid w:val="00970069"/>
    <w:rsid w:val="00970091"/>
    <w:rsid w:val="009700CF"/>
    <w:rsid w:val="009700EB"/>
    <w:rsid w:val="0097015C"/>
    <w:rsid w:val="0097017A"/>
    <w:rsid w:val="00970286"/>
    <w:rsid w:val="009704B0"/>
    <w:rsid w:val="0097060D"/>
    <w:rsid w:val="00970668"/>
    <w:rsid w:val="00970794"/>
    <w:rsid w:val="0097079B"/>
    <w:rsid w:val="009707D6"/>
    <w:rsid w:val="009707F2"/>
    <w:rsid w:val="00970844"/>
    <w:rsid w:val="00970870"/>
    <w:rsid w:val="009708F4"/>
    <w:rsid w:val="00970952"/>
    <w:rsid w:val="00970AF0"/>
    <w:rsid w:val="00970B77"/>
    <w:rsid w:val="00970BCB"/>
    <w:rsid w:val="00970CFB"/>
    <w:rsid w:val="00970D37"/>
    <w:rsid w:val="00970EFF"/>
    <w:rsid w:val="00970F5E"/>
    <w:rsid w:val="00970F88"/>
    <w:rsid w:val="0097102C"/>
    <w:rsid w:val="009714A7"/>
    <w:rsid w:val="009714C3"/>
    <w:rsid w:val="00971780"/>
    <w:rsid w:val="00971849"/>
    <w:rsid w:val="0097197C"/>
    <w:rsid w:val="009719B3"/>
    <w:rsid w:val="009719FD"/>
    <w:rsid w:val="00971A76"/>
    <w:rsid w:val="00971BD3"/>
    <w:rsid w:val="00971CCE"/>
    <w:rsid w:val="00971DFD"/>
    <w:rsid w:val="00971E58"/>
    <w:rsid w:val="00971F57"/>
    <w:rsid w:val="00971F95"/>
    <w:rsid w:val="00972007"/>
    <w:rsid w:val="009721EB"/>
    <w:rsid w:val="0097227F"/>
    <w:rsid w:val="00972424"/>
    <w:rsid w:val="009725FC"/>
    <w:rsid w:val="00972643"/>
    <w:rsid w:val="009727C5"/>
    <w:rsid w:val="00972809"/>
    <w:rsid w:val="0097293A"/>
    <w:rsid w:val="00972ACD"/>
    <w:rsid w:val="00972B38"/>
    <w:rsid w:val="00972BA4"/>
    <w:rsid w:val="00972EA3"/>
    <w:rsid w:val="00972F05"/>
    <w:rsid w:val="00973028"/>
    <w:rsid w:val="00973166"/>
    <w:rsid w:val="009731A1"/>
    <w:rsid w:val="0097323C"/>
    <w:rsid w:val="00973240"/>
    <w:rsid w:val="00973390"/>
    <w:rsid w:val="009734CF"/>
    <w:rsid w:val="00973508"/>
    <w:rsid w:val="0097355C"/>
    <w:rsid w:val="009735A0"/>
    <w:rsid w:val="00973917"/>
    <w:rsid w:val="00973A8F"/>
    <w:rsid w:val="00973B25"/>
    <w:rsid w:val="00973C72"/>
    <w:rsid w:val="00973F06"/>
    <w:rsid w:val="00973F8E"/>
    <w:rsid w:val="00974101"/>
    <w:rsid w:val="009741BB"/>
    <w:rsid w:val="00974334"/>
    <w:rsid w:val="0097459C"/>
    <w:rsid w:val="0097488C"/>
    <w:rsid w:val="009748BE"/>
    <w:rsid w:val="00974A38"/>
    <w:rsid w:val="00974AAE"/>
    <w:rsid w:val="00974AF8"/>
    <w:rsid w:val="00974B18"/>
    <w:rsid w:val="00974D78"/>
    <w:rsid w:val="00974EE1"/>
    <w:rsid w:val="00975041"/>
    <w:rsid w:val="00975118"/>
    <w:rsid w:val="00975159"/>
    <w:rsid w:val="00975196"/>
    <w:rsid w:val="0097519F"/>
    <w:rsid w:val="0097524D"/>
    <w:rsid w:val="0097525B"/>
    <w:rsid w:val="009752D6"/>
    <w:rsid w:val="0097531F"/>
    <w:rsid w:val="009755E5"/>
    <w:rsid w:val="009755F0"/>
    <w:rsid w:val="00975909"/>
    <w:rsid w:val="00975A68"/>
    <w:rsid w:val="00975B90"/>
    <w:rsid w:val="009761A7"/>
    <w:rsid w:val="0097621C"/>
    <w:rsid w:val="00976237"/>
    <w:rsid w:val="009762B6"/>
    <w:rsid w:val="009764A2"/>
    <w:rsid w:val="009765CD"/>
    <w:rsid w:val="009769CA"/>
    <w:rsid w:val="009769EB"/>
    <w:rsid w:val="00976A08"/>
    <w:rsid w:val="00976A38"/>
    <w:rsid w:val="00976B65"/>
    <w:rsid w:val="00976BB2"/>
    <w:rsid w:val="00976C18"/>
    <w:rsid w:val="00976C2F"/>
    <w:rsid w:val="00976C8A"/>
    <w:rsid w:val="00976D05"/>
    <w:rsid w:val="00977231"/>
    <w:rsid w:val="009772A8"/>
    <w:rsid w:val="0097731E"/>
    <w:rsid w:val="009775E2"/>
    <w:rsid w:val="009778BB"/>
    <w:rsid w:val="00977D8B"/>
    <w:rsid w:val="00977EB8"/>
    <w:rsid w:val="00977F88"/>
    <w:rsid w:val="00977FF9"/>
    <w:rsid w:val="0098025F"/>
    <w:rsid w:val="009802CC"/>
    <w:rsid w:val="00980341"/>
    <w:rsid w:val="0098040F"/>
    <w:rsid w:val="00980456"/>
    <w:rsid w:val="00980791"/>
    <w:rsid w:val="00980914"/>
    <w:rsid w:val="0098091F"/>
    <w:rsid w:val="009809C6"/>
    <w:rsid w:val="00980B1E"/>
    <w:rsid w:val="00980BE7"/>
    <w:rsid w:val="00980C05"/>
    <w:rsid w:val="00980C44"/>
    <w:rsid w:val="00980D7B"/>
    <w:rsid w:val="00980D98"/>
    <w:rsid w:val="00980E22"/>
    <w:rsid w:val="00980FCE"/>
    <w:rsid w:val="0098101D"/>
    <w:rsid w:val="00981060"/>
    <w:rsid w:val="00981257"/>
    <w:rsid w:val="009812E3"/>
    <w:rsid w:val="00981472"/>
    <w:rsid w:val="00981553"/>
    <w:rsid w:val="0098158D"/>
    <w:rsid w:val="00981595"/>
    <w:rsid w:val="009815A1"/>
    <w:rsid w:val="009815DD"/>
    <w:rsid w:val="0098169A"/>
    <w:rsid w:val="009816D8"/>
    <w:rsid w:val="00981969"/>
    <w:rsid w:val="00981B3E"/>
    <w:rsid w:val="00981B7B"/>
    <w:rsid w:val="00981C49"/>
    <w:rsid w:val="00981EDC"/>
    <w:rsid w:val="00981F20"/>
    <w:rsid w:val="00982129"/>
    <w:rsid w:val="00982135"/>
    <w:rsid w:val="0098237B"/>
    <w:rsid w:val="00982400"/>
    <w:rsid w:val="009824BD"/>
    <w:rsid w:val="009824EE"/>
    <w:rsid w:val="00982553"/>
    <w:rsid w:val="0098265A"/>
    <w:rsid w:val="00982746"/>
    <w:rsid w:val="00982789"/>
    <w:rsid w:val="009828A6"/>
    <w:rsid w:val="00982B15"/>
    <w:rsid w:val="00982B44"/>
    <w:rsid w:val="00982CC9"/>
    <w:rsid w:val="00982EF2"/>
    <w:rsid w:val="00982F70"/>
    <w:rsid w:val="00983037"/>
    <w:rsid w:val="00983054"/>
    <w:rsid w:val="00983255"/>
    <w:rsid w:val="0098328F"/>
    <w:rsid w:val="00983676"/>
    <w:rsid w:val="009837A3"/>
    <w:rsid w:val="009837B8"/>
    <w:rsid w:val="009838D7"/>
    <w:rsid w:val="00983A60"/>
    <w:rsid w:val="00983C00"/>
    <w:rsid w:val="00983E2F"/>
    <w:rsid w:val="00983E3C"/>
    <w:rsid w:val="00984069"/>
    <w:rsid w:val="0098456F"/>
    <w:rsid w:val="0098461A"/>
    <w:rsid w:val="009847AB"/>
    <w:rsid w:val="00984816"/>
    <w:rsid w:val="009848F9"/>
    <w:rsid w:val="00984930"/>
    <w:rsid w:val="00984A09"/>
    <w:rsid w:val="00984B6F"/>
    <w:rsid w:val="00984C8D"/>
    <w:rsid w:val="00984F6E"/>
    <w:rsid w:val="00985151"/>
    <w:rsid w:val="00985200"/>
    <w:rsid w:val="00985391"/>
    <w:rsid w:val="009853BA"/>
    <w:rsid w:val="009853C7"/>
    <w:rsid w:val="00985580"/>
    <w:rsid w:val="009855A8"/>
    <w:rsid w:val="00985804"/>
    <w:rsid w:val="00985828"/>
    <w:rsid w:val="009858DD"/>
    <w:rsid w:val="009859B7"/>
    <w:rsid w:val="009859C8"/>
    <w:rsid w:val="00985BBA"/>
    <w:rsid w:val="00985BE4"/>
    <w:rsid w:val="00985C11"/>
    <w:rsid w:val="00985CAC"/>
    <w:rsid w:val="00985D07"/>
    <w:rsid w:val="009860FC"/>
    <w:rsid w:val="0098616A"/>
    <w:rsid w:val="00986230"/>
    <w:rsid w:val="009864C9"/>
    <w:rsid w:val="009866B4"/>
    <w:rsid w:val="00986819"/>
    <w:rsid w:val="00986A32"/>
    <w:rsid w:val="00986BA4"/>
    <w:rsid w:val="00986BDF"/>
    <w:rsid w:val="00986C58"/>
    <w:rsid w:val="00986CF4"/>
    <w:rsid w:val="00986DAC"/>
    <w:rsid w:val="00986E25"/>
    <w:rsid w:val="00986F4C"/>
    <w:rsid w:val="00986F50"/>
    <w:rsid w:val="00987070"/>
    <w:rsid w:val="00987198"/>
    <w:rsid w:val="009871CC"/>
    <w:rsid w:val="009874FE"/>
    <w:rsid w:val="0098751C"/>
    <w:rsid w:val="00987530"/>
    <w:rsid w:val="009875E3"/>
    <w:rsid w:val="009877B3"/>
    <w:rsid w:val="009878F5"/>
    <w:rsid w:val="00987919"/>
    <w:rsid w:val="0098794D"/>
    <w:rsid w:val="00987B63"/>
    <w:rsid w:val="00987C99"/>
    <w:rsid w:val="00987DD4"/>
    <w:rsid w:val="00987E06"/>
    <w:rsid w:val="009901BB"/>
    <w:rsid w:val="0099024D"/>
    <w:rsid w:val="00990398"/>
    <w:rsid w:val="009903C0"/>
    <w:rsid w:val="00990419"/>
    <w:rsid w:val="0099047C"/>
    <w:rsid w:val="009904A3"/>
    <w:rsid w:val="00990504"/>
    <w:rsid w:val="00990650"/>
    <w:rsid w:val="009907DD"/>
    <w:rsid w:val="009908EF"/>
    <w:rsid w:val="00990955"/>
    <w:rsid w:val="00990BAF"/>
    <w:rsid w:val="00990C54"/>
    <w:rsid w:val="00990F0D"/>
    <w:rsid w:val="00990F81"/>
    <w:rsid w:val="00991031"/>
    <w:rsid w:val="0099112B"/>
    <w:rsid w:val="0099112C"/>
    <w:rsid w:val="00991309"/>
    <w:rsid w:val="00991584"/>
    <w:rsid w:val="00991615"/>
    <w:rsid w:val="0099176E"/>
    <w:rsid w:val="009917F2"/>
    <w:rsid w:val="00991863"/>
    <w:rsid w:val="00991A17"/>
    <w:rsid w:val="00991ACA"/>
    <w:rsid w:val="00991DF7"/>
    <w:rsid w:val="0099202D"/>
    <w:rsid w:val="009920C7"/>
    <w:rsid w:val="00992236"/>
    <w:rsid w:val="0099225A"/>
    <w:rsid w:val="009922F2"/>
    <w:rsid w:val="00992492"/>
    <w:rsid w:val="009924D8"/>
    <w:rsid w:val="009924DF"/>
    <w:rsid w:val="00992625"/>
    <w:rsid w:val="00992732"/>
    <w:rsid w:val="0099280A"/>
    <w:rsid w:val="00992833"/>
    <w:rsid w:val="009929D1"/>
    <w:rsid w:val="00992B5B"/>
    <w:rsid w:val="00992B6F"/>
    <w:rsid w:val="00992C1E"/>
    <w:rsid w:val="00992C80"/>
    <w:rsid w:val="00992D1B"/>
    <w:rsid w:val="00992D2B"/>
    <w:rsid w:val="00992DC1"/>
    <w:rsid w:val="00992E2E"/>
    <w:rsid w:val="00992FB8"/>
    <w:rsid w:val="009934B8"/>
    <w:rsid w:val="009934C2"/>
    <w:rsid w:val="0099353D"/>
    <w:rsid w:val="00993565"/>
    <w:rsid w:val="0099374D"/>
    <w:rsid w:val="00993947"/>
    <w:rsid w:val="00993A54"/>
    <w:rsid w:val="00993B2E"/>
    <w:rsid w:val="00993B48"/>
    <w:rsid w:val="00993E41"/>
    <w:rsid w:val="00994090"/>
    <w:rsid w:val="00994222"/>
    <w:rsid w:val="00994328"/>
    <w:rsid w:val="00994734"/>
    <w:rsid w:val="00994849"/>
    <w:rsid w:val="00994BE4"/>
    <w:rsid w:val="00994E03"/>
    <w:rsid w:val="00994E33"/>
    <w:rsid w:val="00994F07"/>
    <w:rsid w:val="00995305"/>
    <w:rsid w:val="00995619"/>
    <w:rsid w:val="00995978"/>
    <w:rsid w:val="00995B05"/>
    <w:rsid w:val="00995BE4"/>
    <w:rsid w:val="00995C26"/>
    <w:rsid w:val="00995C8B"/>
    <w:rsid w:val="00995CA9"/>
    <w:rsid w:val="00995EE1"/>
    <w:rsid w:val="00995F33"/>
    <w:rsid w:val="00996159"/>
    <w:rsid w:val="009961A7"/>
    <w:rsid w:val="009961D1"/>
    <w:rsid w:val="00996666"/>
    <w:rsid w:val="00996774"/>
    <w:rsid w:val="0099682A"/>
    <w:rsid w:val="00996999"/>
    <w:rsid w:val="00996E43"/>
    <w:rsid w:val="00996EA7"/>
    <w:rsid w:val="00996EF2"/>
    <w:rsid w:val="00996F07"/>
    <w:rsid w:val="00996FDB"/>
    <w:rsid w:val="00996FDC"/>
    <w:rsid w:val="00997018"/>
    <w:rsid w:val="009971D7"/>
    <w:rsid w:val="00997288"/>
    <w:rsid w:val="009975ED"/>
    <w:rsid w:val="00997618"/>
    <w:rsid w:val="009976C6"/>
    <w:rsid w:val="00997797"/>
    <w:rsid w:val="00997AB7"/>
    <w:rsid w:val="00997AFA"/>
    <w:rsid w:val="00997D8A"/>
    <w:rsid w:val="00997F3B"/>
    <w:rsid w:val="009A00EC"/>
    <w:rsid w:val="009A014F"/>
    <w:rsid w:val="009A01B6"/>
    <w:rsid w:val="009A01F2"/>
    <w:rsid w:val="009A03C2"/>
    <w:rsid w:val="009A07B1"/>
    <w:rsid w:val="009A0850"/>
    <w:rsid w:val="009A0954"/>
    <w:rsid w:val="009A0A66"/>
    <w:rsid w:val="009A0E5B"/>
    <w:rsid w:val="009A0F5C"/>
    <w:rsid w:val="009A106D"/>
    <w:rsid w:val="009A1138"/>
    <w:rsid w:val="009A116B"/>
    <w:rsid w:val="009A154A"/>
    <w:rsid w:val="009A1804"/>
    <w:rsid w:val="009A1868"/>
    <w:rsid w:val="009A1D5D"/>
    <w:rsid w:val="009A1F3E"/>
    <w:rsid w:val="009A1FD6"/>
    <w:rsid w:val="009A20B7"/>
    <w:rsid w:val="009A21B2"/>
    <w:rsid w:val="009A226A"/>
    <w:rsid w:val="009A2281"/>
    <w:rsid w:val="009A2299"/>
    <w:rsid w:val="009A257C"/>
    <w:rsid w:val="009A2804"/>
    <w:rsid w:val="009A290F"/>
    <w:rsid w:val="009A2A1C"/>
    <w:rsid w:val="009A2A2F"/>
    <w:rsid w:val="009A2EF9"/>
    <w:rsid w:val="009A3038"/>
    <w:rsid w:val="009A30E2"/>
    <w:rsid w:val="009A32ED"/>
    <w:rsid w:val="009A3437"/>
    <w:rsid w:val="009A34DC"/>
    <w:rsid w:val="009A3522"/>
    <w:rsid w:val="009A35FE"/>
    <w:rsid w:val="009A366E"/>
    <w:rsid w:val="009A36E4"/>
    <w:rsid w:val="009A373A"/>
    <w:rsid w:val="009A3772"/>
    <w:rsid w:val="009A3959"/>
    <w:rsid w:val="009A3BA2"/>
    <w:rsid w:val="009A3C1B"/>
    <w:rsid w:val="009A3E59"/>
    <w:rsid w:val="009A40E8"/>
    <w:rsid w:val="009A4147"/>
    <w:rsid w:val="009A41EA"/>
    <w:rsid w:val="009A4426"/>
    <w:rsid w:val="009A45A6"/>
    <w:rsid w:val="009A47E6"/>
    <w:rsid w:val="009A480F"/>
    <w:rsid w:val="009A495E"/>
    <w:rsid w:val="009A49A7"/>
    <w:rsid w:val="009A49EE"/>
    <w:rsid w:val="009A4B34"/>
    <w:rsid w:val="009A4C1E"/>
    <w:rsid w:val="009A4DBC"/>
    <w:rsid w:val="009A4F17"/>
    <w:rsid w:val="009A5200"/>
    <w:rsid w:val="009A523D"/>
    <w:rsid w:val="009A5245"/>
    <w:rsid w:val="009A53FF"/>
    <w:rsid w:val="009A56C8"/>
    <w:rsid w:val="009A56FD"/>
    <w:rsid w:val="009A57DE"/>
    <w:rsid w:val="009A58CA"/>
    <w:rsid w:val="009A5926"/>
    <w:rsid w:val="009A5B7A"/>
    <w:rsid w:val="009A5CF8"/>
    <w:rsid w:val="009A5E17"/>
    <w:rsid w:val="009A5E8D"/>
    <w:rsid w:val="009A5F6D"/>
    <w:rsid w:val="009A610D"/>
    <w:rsid w:val="009A610F"/>
    <w:rsid w:val="009A61CD"/>
    <w:rsid w:val="009A6364"/>
    <w:rsid w:val="009A659A"/>
    <w:rsid w:val="009A6700"/>
    <w:rsid w:val="009A6757"/>
    <w:rsid w:val="009A67F3"/>
    <w:rsid w:val="009A69B8"/>
    <w:rsid w:val="009A6AA1"/>
    <w:rsid w:val="009A6BCA"/>
    <w:rsid w:val="009A6C84"/>
    <w:rsid w:val="009A6D28"/>
    <w:rsid w:val="009A6D70"/>
    <w:rsid w:val="009A6FC0"/>
    <w:rsid w:val="009A70B8"/>
    <w:rsid w:val="009A71D6"/>
    <w:rsid w:val="009A7291"/>
    <w:rsid w:val="009A75D8"/>
    <w:rsid w:val="009A765E"/>
    <w:rsid w:val="009A7D60"/>
    <w:rsid w:val="009A7E30"/>
    <w:rsid w:val="009A7EA3"/>
    <w:rsid w:val="009A7F76"/>
    <w:rsid w:val="009A7FC5"/>
    <w:rsid w:val="009B017B"/>
    <w:rsid w:val="009B044E"/>
    <w:rsid w:val="009B04C9"/>
    <w:rsid w:val="009B0601"/>
    <w:rsid w:val="009B0839"/>
    <w:rsid w:val="009B08C9"/>
    <w:rsid w:val="009B0959"/>
    <w:rsid w:val="009B09C9"/>
    <w:rsid w:val="009B0C70"/>
    <w:rsid w:val="009B0F0A"/>
    <w:rsid w:val="009B0FA1"/>
    <w:rsid w:val="009B0FD5"/>
    <w:rsid w:val="009B1214"/>
    <w:rsid w:val="009B12C1"/>
    <w:rsid w:val="009B1358"/>
    <w:rsid w:val="009B1519"/>
    <w:rsid w:val="009B1569"/>
    <w:rsid w:val="009B1571"/>
    <w:rsid w:val="009B17F8"/>
    <w:rsid w:val="009B18DC"/>
    <w:rsid w:val="009B1A05"/>
    <w:rsid w:val="009B1A23"/>
    <w:rsid w:val="009B1A6A"/>
    <w:rsid w:val="009B1AF4"/>
    <w:rsid w:val="009B20CE"/>
    <w:rsid w:val="009B23F6"/>
    <w:rsid w:val="009B26D0"/>
    <w:rsid w:val="009B2903"/>
    <w:rsid w:val="009B2B7E"/>
    <w:rsid w:val="009B2BA6"/>
    <w:rsid w:val="009B2C40"/>
    <w:rsid w:val="009B2E3F"/>
    <w:rsid w:val="009B2FE2"/>
    <w:rsid w:val="009B3029"/>
    <w:rsid w:val="009B3059"/>
    <w:rsid w:val="009B31C6"/>
    <w:rsid w:val="009B31C7"/>
    <w:rsid w:val="009B3307"/>
    <w:rsid w:val="009B334A"/>
    <w:rsid w:val="009B338E"/>
    <w:rsid w:val="009B33A5"/>
    <w:rsid w:val="009B34A5"/>
    <w:rsid w:val="009B3678"/>
    <w:rsid w:val="009B36C5"/>
    <w:rsid w:val="009B3762"/>
    <w:rsid w:val="009B3783"/>
    <w:rsid w:val="009B397C"/>
    <w:rsid w:val="009B3A6D"/>
    <w:rsid w:val="009B3CCC"/>
    <w:rsid w:val="009B4161"/>
    <w:rsid w:val="009B4225"/>
    <w:rsid w:val="009B4229"/>
    <w:rsid w:val="009B435C"/>
    <w:rsid w:val="009B43BE"/>
    <w:rsid w:val="009B445F"/>
    <w:rsid w:val="009B4487"/>
    <w:rsid w:val="009B44AD"/>
    <w:rsid w:val="009B4514"/>
    <w:rsid w:val="009B4558"/>
    <w:rsid w:val="009B469F"/>
    <w:rsid w:val="009B46E6"/>
    <w:rsid w:val="009B478B"/>
    <w:rsid w:val="009B498C"/>
    <w:rsid w:val="009B49AC"/>
    <w:rsid w:val="009B49F6"/>
    <w:rsid w:val="009B4A0D"/>
    <w:rsid w:val="009B4B9E"/>
    <w:rsid w:val="009B4BD5"/>
    <w:rsid w:val="009B4D3B"/>
    <w:rsid w:val="009B4DAE"/>
    <w:rsid w:val="009B4FF4"/>
    <w:rsid w:val="009B4FFB"/>
    <w:rsid w:val="009B504A"/>
    <w:rsid w:val="009B5150"/>
    <w:rsid w:val="009B529B"/>
    <w:rsid w:val="009B5300"/>
    <w:rsid w:val="009B548D"/>
    <w:rsid w:val="009B54B6"/>
    <w:rsid w:val="009B551A"/>
    <w:rsid w:val="009B557D"/>
    <w:rsid w:val="009B55BF"/>
    <w:rsid w:val="009B5605"/>
    <w:rsid w:val="009B5660"/>
    <w:rsid w:val="009B58C1"/>
    <w:rsid w:val="009B5973"/>
    <w:rsid w:val="009B59E9"/>
    <w:rsid w:val="009B5A54"/>
    <w:rsid w:val="009B5C43"/>
    <w:rsid w:val="009B5CAC"/>
    <w:rsid w:val="009B5D5E"/>
    <w:rsid w:val="009B5F37"/>
    <w:rsid w:val="009B5FBE"/>
    <w:rsid w:val="009B5FC7"/>
    <w:rsid w:val="009B5FEB"/>
    <w:rsid w:val="009B608F"/>
    <w:rsid w:val="009B6238"/>
    <w:rsid w:val="009B6242"/>
    <w:rsid w:val="009B65C1"/>
    <w:rsid w:val="009B65CA"/>
    <w:rsid w:val="009B661A"/>
    <w:rsid w:val="009B6671"/>
    <w:rsid w:val="009B68F6"/>
    <w:rsid w:val="009B68FE"/>
    <w:rsid w:val="009B6A5A"/>
    <w:rsid w:val="009B6AF1"/>
    <w:rsid w:val="009B6B3E"/>
    <w:rsid w:val="009B6B68"/>
    <w:rsid w:val="009B6C48"/>
    <w:rsid w:val="009B6CF5"/>
    <w:rsid w:val="009B6DF3"/>
    <w:rsid w:val="009B6DF4"/>
    <w:rsid w:val="009B6F34"/>
    <w:rsid w:val="009B706E"/>
    <w:rsid w:val="009B73F0"/>
    <w:rsid w:val="009B73F1"/>
    <w:rsid w:val="009B74A3"/>
    <w:rsid w:val="009B74EC"/>
    <w:rsid w:val="009B76A2"/>
    <w:rsid w:val="009B789A"/>
    <w:rsid w:val="009B78DD"/>
    <w:rsid w:val="009B7BF8"/>
    <w:rsid w:val="009B7C86"/>
    <w:rsid w:val="009B7D5B"/>
    <w:rsid w:val="009B7D5C"/>
    <w:rsid w:val="009B7E86"/>
    <w:rsid w:val="009B7F94"/>
    <w:rsid w:val="009C0089"/>
    <w:rsid w:val="009C00C1"/>
    <w:rsid w:val="009C01C2"/>
    <w:rsid w:val="009C058B"/>
    <w:rsid w:val="009C071F"/>
    <w:rsid w:val="009C0751"/>
    <w:rsid w:val="009C0883"/>
    <w:rsid w:val="009C0890"/>
    <w:rsid w:val="009C0962"/>
    <w:rsid w:val="009C0ABE"/>
    <w:rsid w:val="009C0C22"/>
    <w:rsid w:val="009C0CE2"/>
    <w:rsid w:val="009C0D6B"/>
    <w:rsid w:val="009C0D78"/>
    <w:rsid w:val="009C1412"/>
    <w:rsid w:val="009C1432"/>
    <w:rsid w:val="009C1463"/>
    <w:rsid w:val="009C151E"/>
    <w:rsid w:val="009C1552"/>
    <w:rsid w:val="009C15CE"/>
    <w:rsid w:val="009C15D0"/>
    <w:rsid w:val="009C1649"/>
    <w:rsid w:val="009C168A"/>
    <w:rsid w:val="009C16DD"/>
    <w:rsid w:val="009C1712"/>
    <w:rsid w:val="009C1806"/>
    <w:rsid w:val="009C1821"/>
    <w:rsid w:val="009C1B27"/>
    <w:rsid w:val="009C1B8E"/>
    <w:rsid w:val="009C1BE8"/>
    <w:rsid w:val="009C1BEA"/>
    <w:rsid w:val="009C1D3B"/>
    <w:rsid w:val="009C1E27"/>
    <w:rsid w:val="009C1FFD"/>
    <w:rsid w:val="009C2091"/>
    <w:rsid w:val="009C20B4"/>
    <w:rsid w:val="009C225A"/>
    <w:rsid w:val="009C22C3"/>
    <w:rsid w:val="009C23DA"/>
    <w:rsid w:val="009C24EE"/>
    <w:rsid w:val="009C25D0"/>
    <w:rsid w:val="009C2777"/>
    <w:rsid w:val="009C2790"/>
    <w:rsid w:val="009C286C"/>
    <w:rsid w:val="009C29DB"/>
    <w:rsid w:val="009C2BE2"/>
    <w:rsid w:val="009C2C8F"/>
    <w:rsid w:val="009C2D1F"/>
    <w:rsid w:val="009C2DA9"/>
    <w:rsid w:val="009C30CD"/>
    <w:rsid w:val="009C313F"/>
    <w:rsid w:val="009C3173"/>
    <w:rsid w:val="009C319D"/>
    <w:rsid w:val="009C3267"/>
    <w:rsid w:val="009C346B"/>
    <w:rsid w:val="009C3525"/>
    <w:rsid w:val="009C358B"/>
    <w:rsid w:val="009C366D"/>
    <w:rsid w:val="009C3992"/>
    <w:rsid w:val="009C3A93"/>
    <w:rsid w:val="009C3B21"/>
    <w:rsid w:val="009C3B26"/>
    <w:rsid w:val="009C3C3A"/>
    <w:rsid w:val="009C3CA0"/>
    <w:rsid w:val="009C3D15"/>
    <w:rsid w:val="009C3D5C"/>
    <w:rsid w:val="009C3DA9"/>
    <w:rsid w:val="009C3EFF"/>
    <w:rsid w:val="009C423A"/>
    <w:rsid w:val="009C4270"/>
    <w:rsid w:val="009C42BF"/>
    <w:rsid w:val="009C4379"/>
    <w:rsid w:val="009C43AD"/>
    <w:rsid w:val="009C447F"/>
    <w:rsid w:val="009C44E4"/>
    <w:rsid w:val="009C45E4"/>
    <w:rsid w:val="009C463A"/>
    <w:rsid w:val="009C466C"/>
    <w:rsid w:val="009C482C"/>
    <w:rsid w:val="009C484D"/>
    <w:rsid w:val="009C4895"/>
    <w:rsid w:val="009C4964"/>
    <w:rsid w:val="009C4A9A"/>
    <w:rsid w:val="009C4ADB"/>
    <w:rsid w:val="009C4B03"/>
    <w:rsid w:val="009C4C5E"/>
    <w:rsid w:val="009C4D35"/>
    <w:rsid w:val="009C5022"/>
    <w:rsid w:val="009C5023"/>
    <w:rsid w:val="009C50C1"/>
    <w:rsid w:val="009C50E4"/>
    <w:rsid w:val="009C5163"/>
    <w:rsid w:val="009C5507"/>
    <w:rsid w:val="009C5521"/>
    <w:rsid w:val="009C5916"/>
    <w:rsid w:val="009C59B0"/>
    <w:rsid w:val="009C5D67"/>
    <w:rsid w:val="009C5F73"/>
    <w:rsid w:val="009C60D9"/>
    <w:rsid w:val="009C6127"/>
    <w:rsid w:val="009C6174"/>
    <w:rsid w:val="009C6182"/>
    <w:rsid w:val="009C6189"/>
    <w:rsid w:val="009C649A"/>
    <w:rsid w:val="009C6512"/>
    <w:rsid w:val="009C658C"/>
    <w:rsid w:val="009C6608"/>
    <w:rsid w:val="009C6672"/>
    <w:rsid w:val="009C67BF"/>
    <w:rsid w:val="009C67C7"/>
    <w:rsid w:val="009C685C"/>
    <w:rsid w:val="009C69A3"/>
    <w:rsid w:val="009C6DBB"/>
    <w:rsid w:val="009C7094"/>
    <w:rsid w:val="009C70D8"/>
    <w:rsid w:val="009C712F"/>
    <w:rsid w:val="009C7158"/>
    <w:rsid w:val="009C71BF"/>
    <w:rsid w:val="009C7304"/>
    <w:rsid w:val="009C7571"/>
    <w:rsid w:val="009C7766"/>
    <w:rsid w:val="009C7774"/>
    <w:rsid w:val="009C789E"/>
    <w:rsid w:val="009C7A64"/>
    <w:rsid w:val="009C7BFF"/>
    <w:rsid w:val="009C7CD2"/>
    <w:rsid w:val="009C7E37"/>
    <w:rsid w:val="009D0016"/>
    <w:rsid w:val="009D0192"/>
    <w:rsid w:val="009D023B"/>
    <w:rsid w:val="009D027A"/>
    <w:rsid w:val="009D02AB"/>
    <w:rsid w:val="009D03B8"/>
    <w:rsid w:val="009D04C3"/>
    <w:rsid w:val="009D04D6"/>
    <w:rsid w:val="009D0745"/>
    <w:rsid w:val="009D096C"/>
    <w:rsid w:val="009D09CB"/>
    <w:rsid w:val="009D0A15"/>
    <w:rsid w:val="009D0AED"/>
    <w:rsid w:val="009D0BC2"/>
    <w:rsid w:val="009D0EF6"/>
    <w:rsid w:val="009D0F38"/>
    <w:rsid w:val="009D0F9F"/>
    <w:rsid w:val="009D0FDF"/>
    <w:rsid w:val="009D107A"/>
    <w:rsid w:val="009D12F1"/>
    <w:rsid w:val="009D1329"/>
    <w:rsid w:val="009D14F1"/>
    <w:rsid w:val="009D1899"/>
    <w:rsid w:val="009D1A6F"/>
    <w:rsid w:val="009D1DA2"/>
    <w:rsid w:val="009D1DCC"/>
    <w:rsid w:val="009D1E60"/>
    <w:rsid w:val="009D1EFB"/>
    <w:rsid w:val="009D2253"/>
    <w:rsid w:val="009D22CE"/>
    <w:rsid w:val="009D2389"/>
    <w:rsid w:val="009D23C1"/>
    <w:rsid w:val="009D260A"/>
    <w:rsid w:val="009D265B"/>
    <w:rsid w:val="009D27CA"/>
    <w:rsid w:val="009D285F"/>
    <w:rsid w:val="009D2866"/>
    <w:rsid w:val="009D2B32"/>
    <w:rsid w:val="009D2B6C"/>
    <w:rsid w:val="009D2B82"/>
    <w:rsid w:val="009D2B9F"/>
    <w:rsid w:val="009D2BA6"/>
    <w:rsid w:val="009D2CB5"/>
    <w:rsid w:val="009D319F"/>
    <w:rsid w:val="009D31DE"/>
    <w:rsid w:val="009D3523"/>
    <w:rsid w:val="009D35A3"/>
    <w:rsid w:val="009D37D7"/>
    <w:rsid w:val="009D399F"/>
    <w:rsid w:val="009D3A25"/>
    <w:rsid w:val="009D3A42"/>
    <w:rsid w:val="009D3AB0"/>
    <w:rsid w:val="009D3B00"/>
    <w:rsid w:val="009D3DB4"/>
    <w:rsid w:val="009D3DE1"/>
    <w:rsid w:val="009D3DF7"/>
    <w:rsid w:val="009D3E31"/>
    <w:rsid w:val="009D3E93"/>
    <w:rsid w:val="009D3EE2"/>
    <w:rsid w:val="009D4461"/>
    <w:rsid w:val="009D4638"/>
    <w:rsid w:val="009D4818"/>
    <w:rsid w:val="009D49CC"/>
    <w:rsid w:val="009D4A35"/>
    <w:rsid w:val="009D4B5E"/>
    <w:rsid w:val="009D4D59"/>
    <w:rsid w:val="009D4DD5"/>
    <w:rsid w:val="009D5269"/>
    <w:rsid w:val="009D5381"/>
    <w:rsid w:val="009D5741"/>
    <w:rsid w:val="009D57FA"/>
    <w:rsid w:val="009D5816"/>
    <w:rsid w:val="009D5825"/>
    <w:rsid w:val="009D5884"/>
    <w:rsid w:val="009D592E"/>
    <w:rsid w:val="009D5BFD"/>
    <w:rsid w:val="009D5D5A"/>
    <w:rsid w:val="009D5DAF"/>
    <w:rsid w:val="009D6449"/>
    <w:rsid w:val="009D64A1"/>
    <w:rsid w:val="009D6723"/>
    <w:rsid w:val="009D6733"/>
    <w:rsid w:val="009D67AE"/>
    <w:rsid w:val="009D68C4"/>
    <w:rsid w:val="009D69DB"/>
    <w:rsid w:val="009D6ABB"/>
    <w:rsid w:val="009D6AF9"/>
    <w:rsid w:val="009D6BCA"/>
    <w:rsid w:val="009D6BCB"/>
    <w:rsid w:val="009D6BFC"/>
    <w:rsid w:val="009D6F42"/>
    <w:rsid w:val="009D6FB6"/>
    <w:rsid w:val="009D701F"/>
    <w:rsid w:val="009D70AB"/>
    <w:rsid w:val="009D70BE"/>
    <w:rsid w:val="009D732B"/>
    <w:rsid w:val="009D733C"/>
    <w:rsid w:val="009D7369"/>
    <w:rsid w:val="009D737F"/>
    <w:rsid w:val="009D73A0"/>
    <w:rsid w:val="009D7433"/>
    <w:rsid w:val="009D752D"/>
    <w:rsid w:val="009D755B"/>
    <w:rsid w:val="009D765F"/>
    <w:rsid w:val="009D7815"/>
    <w:rsid w:val="009D7895"/>
    <w:rsid w:val="009D78DA"/>
    <w:rsid w:val="009D7A4B"/>
    <w:rsid w:val="009D7A60"/>
    <w:rsid w:val="009D7D00"/>
    <w:rsid w:val="009D7E53"/>
    <w:rsid w:val="009E026D"/>
    <w:rsid w:val="009E041D"/>
    <w:rsid w:val="009E045E"/>
    <w:rsid w:val="009E05CC"/>
    <w:rsid w:val="009E06A5"/>
    <w:rsid w:val="009E07DA"/>
    <w:rsid w:val="009E0814"/>
    <w:rsid w:val="009E0848"/>
    <w:rsid w:val="009E0B47"/>
    <w:rsid w:val="009E0B79"/>
    <w:rsid w:val="009E0E05"/>
    <w:rsid w:val="009E0E26"/>
    <w:rsid w:val="009E0E7A"/>
    <w:rsid w:val="009E107A"/>
    <w:rsid w:val="009E1297"/>
    <w:rsid w:val="009E1331"/>
    <w:rsid w:val="009E1540"/>
    <w:rsid w:val="009E1685"/>
    <w:rsid w:val="009E19BF"/>
    <w:rsid w:val="009E1C2A"/>
    <w:rsid w:val="009E1D82"/>
    <w:rsid w:val="009E1E49"/>
    <w:rsid w:val="009E1F06"/>
    <w:rsid w:val="009E2020"/>
    <w:rsid w:val="009E21C1"/>
    <w:rsid w:val="009E22A6"/>
    <w:rsid w:val="009E2358"/>
    <w:rsid w:val="009E24B9"/>
    <w:rsid w:val="009E24F3"/>
    <w:rsid w:val="009E2DEA"/>
    <w:rsid w:val="009E2F76"/>
    <w:rsid w:val="009E30E0"/>
    <w:rsid w:val="009E3136"/>
    <w:rsid w:val="009E325B"/>
    <w:rsid w:val="009E339B"/>
    <w:rsid w:val="009E34BF"/>
    <w:rsid w:val="009E34C9"/>
    <w:rsid w:val="009E3589"/>
    <w:rsid w:val="009E37D7"/>
    <w:rsid w:val="009E3828"/>
    <w:rsid w:val="009E38E0"/>
    <w:rsid w:val="009E3966"/>
    <w:rsid w:val="009E3B0A"/>
    <w:rsid w:val="009E3B9A"/>
    <w:rsid w:val="009E3DBF"/>
    <w:rsid w:val="009E3E44"/>
    <w:rsid w:val="009E3F80"/>
    <w:rsid w:val="009E40C1"/>
    <w:rsid w:val="009E40F8"/>
    <w:rsid w:val="009E4127"/>
    <w:rsid w:val="009E4149"/>
    <w:rsid w:val="009E41A1"/>
    <w:rsid w:val="009E41D9"/>
    <w:rsid w:val="009E41E2"/>
    <w:rsid w:val="009E4226"/>
    <w:rsid w:val="009E43AF"/>
    <w:rsid w:val="009E4514"/>
    <w:rsid w:val="009E4691"/>
    <w:rsid w:val="009E47A0"/>
    <w:rsid w:val="009E47FE"/>
    <w:rsid w:val="009E48EB"/>
    <w:rsid w:val="009E4A4D"/>
    <w:rsid w:val="009E50A1"/>
    <w:rsid w:val="009E515C"/>
    <w:rsid w:val="009E52D8"/>
    <w:rsid w:val="009E53B9"/>
    <w:rsid w:val="009E53D3"/>
    <w:rsid w:val="009E53FA"/>
    <w:rsid w:val="009E5583"/>
    <w:rsid w:val="009E55AD"/>
    <w:rsid w:val="009E562C"/>
    <w:rsid w:val="009E588F"/>
    <w:rsid w:val="009E599A"/>
    <w:rsid w:val="009E5BC6"/>
    <w:rsid w:val="009E5C8D"/>
    <w:rsid w:val="009E5DEE"/>
    <w:rsid w:val="009E6004"/>
    <w:rsid w:val="009E608B"/>
    <w:rsid w:val="009E60A4"/>
    <w:rsid w:val="009E6188"/>
    <w:rsid w:val="009E61F0"/>
    <w:rsid w:val="009E648B"/>
    <w:rsid w:val="009E64B5"/>
    <w:rsid w:val="009E66DA"/>
    <w:rsid w:val="009E6815"/>
    <w:rsid w:val="009E685C"/>
    <w:rsid w:val="009E68E9"/>
    <w:rsid w:val="009E6A2F"/>
    <w:rsid w:val="009E6B8B"/>
    <w:rsid w:val="009E6C0D"/>
    <w:rsid w:val="009E6D10"/>
    <w:rsid w:val="009E6DA8"/>
    <w:rsid w:val="009E6EF9"/>
    <w:rsid w:val="009E7000"/>
    <w:rsid w:val="009E72B1"/>
    <w:rsid w:val="009E737F"/>
    <w:rsid w:val="009E75D3"/>
    <w:rsid w:val="009E770A"/>
    <w:rsid w:val="009E77A1"/>
    <w:rsid w:val="009E77BD"/>
    <w:rsid w:val="009E79ED"/>
    <w:rsid w:val="009E7A7A"/>
    <w:rsid w:val="009E7D83"/>
    <w:rsid w:val="009E7EAF"/>
    <w:rsid w:val="009F012D"/>
    <w:rsid w:val="009F0132"/>
    <w:rsid w:val="009F0308"/>
    <w:rsid w:val="009F034D"/>
    <w:rsid w:val="009F04AE"/>
    <w:rsid w:val="009F0738"/>
    <w:rsid w:val="009F07C3"/>
    <w:rsid w:val="009F07C8"/>
    <w:rsid w:val="009F0810"/>
    <w:rsid w:val="009F0BC7"/>
    <w:rsid w:val="009F0CF7"/>
    <w:rsid w:val="009F0D7B"/>
    <w:rsid w:val="009F0EDA"/>
    <w:rsid w:val="009F103E"/>
    <w:rsid w:val="009F1052"/>
    <w:rsid w:val="009F1060"/>
    <w:rsid w:val="009F10C3"/>
    <w:rsid w:val="009F10DB"/>
    <w:rsid w:val="009F122D"/>
    <w:rsid w:val="009F12A2"/>
    <w:rsid w:val="009F13BA"/>
    <w:rsid w:val="009F13E5"/>
    <w:rsid w:val="009F1515"/>
    <w:rsid w:val="009F192F"/>
    <w:rsid w:val="009F1AB0"/>
    <w:rsid w:val="009F1C6E"/>
    <w:rsid w:val="009F1CD6"/>
    <w:rsid w:val="009F1EFA"/>
    <w:rsid w:val="009F1F72"/>
    <w:rsid w:val="009F1F8F"/>
    <w:rsid w:val="009F240E"/>
    <w:rsid w:val="009F25F4"/>
    <w:rsid w:val="009F26C5"/>
    <w:rsid w:val="009F26CA"/>
    <w:rsid w:val="009F2AA8"/>
    <w:rsid w:val="009F2B4E"/>
    <w:rsid w:val="009F2C05"/>
    <w:rsid w:val="009F2CD7"/>
    <w:rsid w:val="009F2E14"/>
    <w:rsid w:val="009F2EB6"/>
    <w:rsid w:val="009F3142"/>
    <w:rsid w:val="009F3274"/>
    <w:rsid w:val="009F334F"/>
    <w:rsid w:val="009F3363"/>
    <w:rsid w:val="009F33AA"/>
    <w:rsid w:val="009F3403"/>
    <w:rsid w:val="009F35FD"/>
    <w:rsid w:val="009F3612"/>
    <w:rsid w:val="009F3621"/>
    <w:rsid w:val="009F36A9"/>
    <w:rsid w:val="009F3725"/>
    <w:rsid w:val="009F3782"/>
    <w:rsid w:val="009F3891"/>
    <w:rsid w:val="009F38FD"/>
    <w:rsid w:val="009F3988"/>
    <w:rsid w:val="009F39DF"/>
    <w:rsid w:val="009F3D82"/>
    <w:rsid w:val="009F3E27"/>
    <w:rsid w:val="009F3F72"/>
    <w:rsid w:val="009F3FBA"/>
    <w:rsid w:val="009F431B"/>
    <w:rsid w:val="009F4464"/>
    <w:rsid w:val="009F4564"/>
    <w:rsid w:val="009F47B4"/>
    <w:rsid w:val="009F4A32"/>
    <w:rsid w:val="009F4A9D"/>
    <w:rsid w:val="009F4B99"/>
    <w:rsid w:val="009F4C86"/>
    <w:rsid w:val="009F4C9B"/>
    <w:rsid w:val="009F4D83"/>
    <w:rsid w:val="009F4D94"/>
    <w:rsid w:val="009F4F05"/>
    <w:rsid w:val="009F505C"/>
    <w:rsid w:val="009F5095"/>
    <w:rsid w:val="009F5100"/>
    <w:rsid w:val="009F5132"/>
    <w:rsid w:val="009F517E"/>
    <w:rsid w:val="009F519E"/>
    <w:rsid w:val="009F51FB"/>
    <w:rsid w:val="009F52BB"/>
    <w:rsid w:val="009F535B"/>
    <w:rsid w:val="009F5398"/>
    <w:rsid w:val="009F53E8"/>
    <w:rsid w:val="009F53FE"/>
    <w:rsid w:val="009F556F"/>
    <w:rsid w:val="009F5831"/>
    <w:rsid w:val="009F5BA5"/>
    <w:rsid w:val="009F5C55"/>
    <w:rsid w:val="009F60ED"/>
    <w:rsid w:val="009F6153"/>
    <w:rsid w:val="009F621E"/>
    <w:rsid w:val="009F630F"/>
    <w:rsid w:val="009F643E"/>
    <w:rsid w:val="009F64C9"/>
    <w:rsid w:val="009F6506"/>
    <w:rsid w:val="009F67F6"/>
    <w:rsid w:val="009F683C"/>
    <w:rsid w:val="009F6A3B"/>
    <w:rsid w:val="009F6A51"/>
    <w:rsid w:val="009F6AE5"/>
    <w:rsid w:val="009F6E13"/>
    <w:rsid w:val="009F70D3"/>
    <w:rsid w:val="009F70E0"/>
    <w:rsid w:val="009F7118"/>
    <w:rsid w:val="009F7237"/>
    <w:rsid w:val="009F7303"/>
    <w:rsid w:val="009F7309"/>
    <w:rsid w:val="009F76B0"/>
    <w:rsid w:val="009F76ED"/>
    <w:rsid w:val="009F79FB"/>
    <w:rsid w:val="009F7B01"/>
    <w:rsid w:val="009F7B87"/>
    <w:rsid w:val="009F7C18"/>
    <w:rsid w:val="009F7CC0"/>
    <w:rsid w:val="00A00002"/>
    <w:rsid w:val="00A00071"/>
    <w:rsid w:val="00A002B1"/>
    <w:rsid w:val="00A0031D"/>
    <w:rsid w:val="00A0070A"/>
    <w:rsid w:val="00A007EF"/>
    <w:rsid w:val="00A0084E"/>
    <w:rsid w:val="00A008BC"/>
    <w:rsid w:val="00A00A27"/>
    <w:rsid w:val="00A00B07"/>
    <w:rsid w:val="00A00BDB"/>
    <w:rsid w:val="00A00E3D"/>
    <w:rsid w:val="00A0110B"/>
    <w:rsid w:val="00A0123F"/>
    <w:rsid w:val="00A01475"/>
    <w:rsid w:val="00A016F9"/>
    <w:rsid w:val="00A0170D"/>
    <w:rsid w:val="00A018E6"/>
    <w:rsid w:val="00A01925"/>
    <w:rsid w:val="00A01928"/>
    <w:rsid w:val="00A01959"/>
    <w:rsid w:val="00A019AB"/>
    <w:rsid w:val="00A01B3B"/>
    <w:rsid w:val="00A01C9F"/>
    <w:rsid w:val="00A01D7E"/>
    <w:rsid w:val="00A02027"/>
    <w:rsid w:val="00A0206D"/>
    <w:rsid w:val="00A02104"/>
    <w:rsid w:val="00A022C8"/>
    <w:rsid w:val="00A0233F"/>
    <w:rsid w:val="00A025CA"/>
    <w:rsid w:val="00A02678"/>
    <w:rsid w:val="00A02687"/>
    <w:rsid w:val="00A026D2"/>
    <w:rsid w:val="00A0278C"/>
    <w:rsid w:val="00A027EB"/>
    <w:rsid w:val="00A0282B"/>
    <w:rsid w:val="00A02BB1"/>
    <w:rsid w:val="00A02E16"/>
    <w:rsid w:val="00A03133"/>
    <w:rsid w:val="00A03224"/>
    <w:rsid w:val="00A03259"/>
    <w:rsid w:val="00A033B8"/>
    <w:rsid w:val="00A033E1"/>
    <w:rsid w:val="00A03522"/>
    <w:rsid w:val="00A035B7"/>
    <w:rsid w:val="00A03610"/>
    <w:rsid w:val="00A037EC"/>
    <w:rsid w:val="00A03866"/>
    <w:rsid w:val="00A03881"/>
    <w:rsid w:val="00A039F6"/>
    <w:rsid w:val="00A03A5A"/>
    <w:rsid w:val="00A03B67"/>
    <w:rsid w:val="00A03D34"/>
    <w:rsid w:val="00A03DDB"/>
    <w:rsid w:val="00A03E13"/>
    <w:rsid w:val="00A03F42"/>
    <w:rsid w:val="00A041FB"/>
    <w:rsid w:val="00A043FF"/>
    <w:rsid w:val="00A0452D"/>
    <w:rsid w:val="00A04558"/>
    <w:rsid w:val="00A047EF"/>
    <w:rsid w:val="00A048CC"/>
    <w:rsid w:val="00A04A6D"/>
    <w:rsid w:val="00A04B1B"/>
    <w:rsid w:val="00A04C88"/>
    <w:rsid w:val="00A04CEE"/>
    <w:rsid w:val="00A04D47"/>
    <w:rsid w:val="00A04D8D"/>
    <w:rsid w:val="00A04E0B"/>
    <w:rsid w:val="00A04E52"/>
    <w:rsid w:val="00A04F7D"/>
    <w:rsid w:val="00A052BC"/>
    <w:rsid w:val="00A05315"/>
    <w:rsid w:val="00A05615"/>
    <w:rsid w:val="00A05C43"/>
    <w:rsid w:val="00A05FEF"/>
    <w:rsid w:val="00A060A2"/>
    <w:rsid w:val="00A062ED"/>
    <w:rsid w:val="00A065FD"/>
    <w:rsid w:val="00A068E2"/>
    <w:rsid w:val="00A069F5"/>
    <w:rsid w:val="00A06D68"/>
    <w:rsid w:val="00A06E1A"/>
    <w:rsid w:val="00A06EFA"/>
    <w:rsid w:val="00A06FEB"/>
    <w:rsid w:val="00A07321"/>
    <w:rsid w:val="00A0740B"/>
    <w:rsid w:val="00A07433"/>
    <w:rsid w:val="00A07596"/>
    <w:rsid w:val="00A075CB"/>
    <w:rsid w:val="00A0780F"/>
    <w:rsid w:val="00A07821"/>
    <w:rsid w:val="00A07893"/>
    <w:rsid w:val="00A078B2"/>
    <w:rsid w:val="00A078CC"/>
    <w:rsid w:val="00A07A41"/>
    <w:rsid w:val="00A07A73"/>
    <w:rsid w:val="00A07AD4"/>
    <w:rsid w:val="00A07B20"/>
    <w:rsid w:val="00A07B55"/>
    <w:rsid w:val="00A07B87"/>
    <w:rsid w:val="00A07EC3"/>
    <w:rsid w:val="00A07FAD"/>
    <w:rsid w:val="00A10179"/>
    <w:rsid w:val="00A10263"/>
    <w:rsid w:val="00A10318"/>
    <w:rsid w:val="00A103F7"/>
    <w:rsid w:val="00A1080C"/>
    <w:rsid w:val="00A10AEF"/>
    <w:rsid w:val="00A10CCD"/>
    <w:rsid w:val="00A10D6A"/>
    <w:rsid w:val="00A10F0C"/>
    <w:rsid w:val="00A10F0F"/>
    <w:rsid w:val="00A10F3F"/>
    <w:rsid w:val="00A110DD"/>
    <w:rsid w:val="00A1115F"/>
    <w:rsid w:val="00A111E3"/>
    <w:rsid w:val="00A11321"/>
    <w:rsid w:val="00A1136A"/>
    <w:rsid w:val="00A11425"/>
    <w:rsid w:val="00A115BA"/>
    <w:rsid w:val="00A1164C"/>
    <w:rsid w:val="00A1197A"/>
    <w:rsid w:val="00A11A88"/>
    <w:rsid w:val="00A11B9F"/>
    <w:rsid w:val="00A11CA4"/>
    <w:rsid w:val="00A11CFF"/>
    <w:rsid w:val="00A11DFC"/>
    <w:rsid w:val="00A120F4"/>
    <w:rsid w:val="00A12139"/>
    <w:rsid w:val="00A12373"/>
    <w:rsid w:val="00A12437"/>
    <w:rsid w:val="00A1259C"/>
    <w:rsid w:val="00A125AB"/>
    <w:rsid w:val="00A125CF"/>
    <w:rsid w:val="00A1261B"/>
    <w:rsid w:val="00A12839"/>
    <w:rsid w:val="00A12A5E"/>
    <w:rsid w:val="00A12A8A"/>
    <w:rsid w:val="00A12D32"/>
    <w:rsid w:val="00A12E6C"/>
    <w:rsid w:val="00A12ED4"/>
    <w:rsid w:val="00A13163"/>
    <w:rsid w:val="00A13294"/>
    <w:rsid w:val="00A13383"/>
    <w:rsid w:val="00A13399"/>
    <w:rsid w:val="00A134BA"/>
    <w:rsid w:val="00A134E6"/>
    <w:rsid w:val="00A13571"/>
    <w:rsid w:val="00A136F9"/>
    <w:rsid w:val="00A13B69"/>
    <w:rsid w:val="00A13D07"/>
    <w:rsid w:val="00A13EAE"/>
    <w:rsid w:val="00A1404C"/>
    <w:rsid w:val="00A1408C"/>
    <w:rsid w:val="00A140E3"/>
    <w:rsid w:val="00A1412F"/>
    <w:rsid w:val="00A14369"/>
    <w:rsid w:val="00A14623"/>
    <w:rsid w:val="00A14719"/>
    <w:rsid w:val="00A1472E"/>
    <w:rsid w:val="00A14837"/>
    <w:rsid w:val="00A14864"/>
    <w:rsid w:val="00A14892"/>
    <w:rsid w:val="00A148EA"/>
    <w:rsid w:val="00A148FE"/>
    <w:rsid w:val="00A1492C"/>
    <w:rsid w:val="00A14A76"/>
    <w:rsid w:val="00A14BAC"/>
    <w:rsid w:val="00A14CEC"/>
    <w:rsid w:val="00A15028"/>
    <w:rsid w:val="00A150C5"/>
    <w:rsid w:val="00A15252"/>
    <w:rsid w:val="00A1535C"/>
    <w:rsid w:val="00A154BA"/>
    <w:rsid w:val="00A15505"/>
    <w:rsid w:val="00A15564"/>
    <w:rsid w:val="00A1574B"/>
    <w:rsid w:val="00A1594F"/>
    <w:rsid w:val="00A15CDC"/>
    <w:rsid w:val="00A15D3A"/>
    <w:rsid w:val="00A15D57"/>
    <w:rsid w:val="00A15E0C"/>
    <w:rsid w:val="00A15F8D"/>
    <w:rsid w:val="00A15FD5"/>
    <w:rsid w:val="00A15FFD"/>
    <w:rsid w:val="00A1613C"/>
    <w:rsid w:val="00A161C7"/>
    <w:rsid w:val="00A161D3"/>
    <w:rsid w:val="00A16236"/>
    <w:rsid w:val="00A16288"/>
    <w:rsid w:val="00A16302"/>
    <w:rsid w:val="00A16428"/>
    <w:rsid w:val="00A1670A"/>
    <w:rsid w:val="00A16AD0"/>
    <w:rsid w:val="00A16BC6"/>
    <w:rsid w:val="00A16DAB"/>
    <w:rsid w:val="00A171EA"/>
    <w:rsid w:val="00A17244"/>
    <w:rsid w:val="00A17280"/>
    <w:rsid w:val="00A172AE"/>
    <w:rsid w:val="00A1751D"/>
    <w:rsid w:val="00A17526"/>
    <w:rsid w:val="00A1769A"/>
    <w:rsid w:val="00A176A9"/>
    <w:rsid w:val="00A177C1"/>
    <w:rsid w:val="00A17A08"/>
    <w:rsid w:val="00A17B0F"/>
    <w:rsid w:val="00A17CD1"/>
    <w:rsid w:val="00A203C8"/>
    <w:rsid w:val="00A20467"/>
    <w:rsid w:val="00A205D5"/>
    <w:rsid w:val="00A20A1C"/>
    <w:rsid w:val="00A20AE6"/>
    <w:rsid w:val="00A20B57"/>
    <w:rsid w:val="00A20D2A"/>
    <w:rsid w:val="00A20DAE"/>
    <w:rsid w:val="00A20F2D"/>
    <w:rsid w:val="00A210AC"/>
    <w:rsid w:val="00A21113"/>
    <w:rsid w:val="00A21394"/>
    <w:rsid w:val="00A2145E"/>
    <w:rsid w:val="00A2151B"/>
    <w:rsid w:val="00A216E6"/>
    <w:rsid w:val="00A2180A"/>
    <w:rsid w:val="00A218A6"/>
    <w:rsid w:val="00A219C7"/>
    <w:rsid w:val="00A21A3B"/>
    <w:rsid w:val="00A21A48"/>
    <w:rsid w:val="00A21A9D"/>
    <w:rsid w:val="00A21DEF"/>
    <w:rsid w:val="00A21FFC"/>
    <w:rsid w:val="00A22007"/>
    <w:rsid w:val="00A22014"/>
    <w:rsid w:val="00A222D6"/>
    <w:rsid w:val="00A22365"/>
    <w:rsid w:val="00A223DA"/>
    <w:rsid w:val="00A224E1"/>
    <w:rsid w:val="00A2253D"/>
    <w:rsid w:val="00A2256B"/>
    <w:rsid w:val="00A2295D"/>
    <w:rsid w:val="00A22A39"/>
    <w:rsid w:val="00A22A7A"/>
    <w:rsid w:val="00A22AA4"/>
    <w:rsid w:val="00A22ADF"/>
    <w:rsid w:val="00A22B27"/>
    <w:rsid w:val="00A22B4B"/>
    <w:rsid w:val="00A22E92"/>
    <w:rsid w:val="00A22EF6"/>
    <w:rsid w:val="00A230A0"/>
    <w:rsid w:val="00A2323D"/>
    <w:rsid w:val="00A2329E"/>
    <w:rsid w:val="00A23387"/>
    <w:rsid w:val="00A23618"/>
    <w:rsid w:val="00A2367C"/>
    <w:rsid w:val="00A236A8"/>
    <w:rsid w:val="00A23930"/>
    <w:rsid w:val="00A23ABF"/>
    <w:rsid w:val="00A23ACD"/>
    <w:rsid w:val="00A23DDD"/>
    <w:rsid w:val="00A23DE4"/>
    <w:rsid w:val="00A23F79"/>
    <w:rsid w:val="00A23FC8"/>
    <w:rsid w:val="00A24056"/>
    <w:rsid w:val="00A2413E"/>
    <w:rsid w:val="00A243DB"/>
    <w:rsid w:val="00A244BC"/>
    <w:rsid w:val="00A24723"/>
    <w:rsid w:val="00A24737"/>
    <w:rsid w:val="00A24743"/>
    <w:rsid w:val="00A2479F"/>
    <w:rsid w:val="00A2484E"/>
    <w:rsid w:val="00A24979"/>
    <w:rsid w:val="00A24AD2"/>
    <w:rsid w:val="00A24C20"/>
    <w:rsid w:val="00A24D5E"/>
    <w:rsid w:val="00A24DCA"/>
    <w:rsid w:val="00A24E53"/>
    <w:rsid w:val="00A24EE8"/>
    <w:rsid w:val="00A24F01"/>
    <w:rsid w:val="00A24F4D"/>
    <w:rsid w:val="00A25482"/>
    <w:rsid w:val="00A2554B"/>
    <w:rsid w:val="00A25803"/>
    <w:rsid w:val="00A258DB"/>
    <w:rsid w:val="00A25B67"/>
    <w:rsid w:val="00A25BFB"/>
    <w:rsid w:val="00A25DB0"/>
    <w:rsid w:val="00A25E41"/>
    <w:rsid w:val="00A25F62"/>
    <w:rsid w:val="00A2602A"/>
    <w:rsid w:val="00A262C4"/>
    <w:rsid w:val="00A2639E"/>
    <w:rsid w:val="00A26529"/>
    <w:rsid w:val="00A269AE"/>
    <w:rsid w:val="00A269C9"/>
    <w:rsid w:val="00A26B5F"/>
    <w:rsid w:val="00A26F26"/>
    <w:rsid w:val="00A271B7"/>
    <w:rsid w:val="00A27275"/>
    <w:rsid w:val="00A273EA"/>
    <w:rsid w:val="00A273F2"/>
    <w:rsid w:val="00A275C5"/>
    <w:rsid w:val="00A275D8"/>
    <w:rsid w:val="00A27647"/>
    <w:rsid w:val="00A27764"/>
    <w:rsid w:val="00A27934"/>
    <w:rsid w:val="00A27958"/>
    <w:rsid w:val="00A279B6"/>
    <w:rsid w:val="00A27A2C"/>
    <w:rsid w:val="00A27CF6"/>
    <w:rsid w:val="00A27D9D"/>
    <w:rsid w:val="00A27E89"/>
    <w:rsid w:val="00A27F52"/>
    <w:rsid w:val="00A30121"/>
    <w:rsid w:val="00A303CD"/>
    <w:rsid w:val="00A3041F"/>
    <w:rsid w:val="00A30590"/>
    <w:rsid w:val="00A306F4"/>
    <w:rsid w:val="00A308CE"/>
    <w:rsid w:val="00A308E1"/>
    <w:rsid w:val="00A30A3B"/>
    <w:rsid w:val="00A30CA0"/>
    <w:rsid w:val="00A30DD4"/>
    <w:rsid w:val="00A30E4B"/>
    <w:rsid w:val="00A30E4D"/>
    <w:rsid w:val="00A30EF3"/>
    <w:rsid w:val="00A31044"/>
    <w:rsid w:val="00A3122A"/>
    <w:rsid w:val="00A31244"/>
    <w:rsid w:val="00A312F5"/>
    <w:rsid w:val="00A3138B"/>
    <w:rsid w:val="00A3150B"/>
    <w:rsid w:val="00A31679"/>
    <w:rsid w:val="00A31BF3"/>
    <w:rsid w:val="00A31DA3"/>
    <w:rsid w:val="00A320BC"/>
    <w:rsid w:val="00A320CB"/>
    <w:rsid w:val="00A3213E"/>
    <w:rsid w:val="00A322E0"/>
    <w:rsid w:val="00A3245D"/>
    <w:rsid w:val="00A32494"/>
    <w:rsid w:val="00A324BC"/>
    <w:rsid w:val="00A3256D"/>
    <w:rsid w:val="00A325F8"/>
    <w:rsid w:val="00A32608"/>
    <w:rsid w:val="00A32741"/>
    <w:rsid w:val="00A3286F"/>
    <w:rsid w:val="00A32A4B"/>
    <w:rsid w:val="00A32A95"/>
    <w:rsid w:val="00A32C35"/>
    <w:rsid w:val="00A32D5F"/>
    <w:rsid w:val="00A32D6C"/>
    <w:rsid w:val="00A32F1B"/>
    <w:rsid w:val="00A333FE"/>
    <w:rsid w:val="00A33452"/>
    <w:rsid w:val="00A33761"/>
    <w:rsid w:val="00A33A33"/>
    <w:rsid w:val="00A33AD3"/>
    <w:rsid w:val="00A33BDA"/>
    <w:rsid w:val="00A33DD4"/>
    <w:rsid w:val="00A33E84"/>
    <w:rsid w:val="00A33ECE"/>
    <w:rsid w:val="00A34096"/>
    <w:rsid w:val="00A341BA"/>
    <w:rsid w:val="00A343DB"/>
    <w:rsid w:val="00A34459"/>
    <w:rsid w:val="00A344AD"/>
    <w:rsid w:val="00A344E4"/>
    <w:rsid w:val="00A346A7"/>
    <w:rsid w:val="00A346CE"/>
    <w:rsid w:val="00A346D6"/>
    <w:rsid w:val="00A34762"/>
    <w:rsid w:val="00A34B75"/>
    <w:rsid w:val="00A34BAF"/>
    <w:rsid w:val="00A34C42"/>
    <w:rsid w:val="00A34EAE"/>
    <w:rsid w:val="00A34F2B"/>
    <w:rsid w:val="00A35110"/>
    <w:rsid w:val="00A352FB"/>
    <w:rsid w:val="00A3547A"/>
    <w:rsid w:val="00A3549A"/>
    <w:rsid w:val="00A35521"/>
    <w:rsid w:val="00A355E4"/>
    <w:rsid w:val="00A3562D"/>
    <w:rsid w:val="00A35696"/>
    <w:rsid w:val="00A35784"/>
    <w:rsid w:val="00A3585A"/>
    <w:rsid w:val="00A3586B"/>
    <w:rsid w:val="00A35A2A"/>
    <w:rsid w:val="00A35A62"/>
    <w:rsid w:val="00A35B85"/>
    <w:rsid w:val="00A35CB6"/>
    <w:rsid w:val="00A35D1F"/>
    <w:rsid w:val="00A35D24"/>
    <w:rsid w:val="00A35DD0"/>
    <w:rsid w:val="00A35F49"/>
    <w:rsid w:val="00A36102"/>
    <w:rsid w:val="00A3622B"/>
    <w:rsid w:val="00A36781"/>
    <w:rsid w:val="00A3681E"/>
    <w:rsid w:val="00A368F8"/>
    <w:rsid w:val="00A36A25"/>
    <w:rsid w:val="00A36AE3"/>
    <w:rsid w:val="00A36C07"/>
    <w:rsid w:val="00A36D11"/>
    <w:rsid w:val="00A37061"/>
    <w:rsid w:val="00A370DD"/>
    <w:rsid w:val="00A372F1"/>
    <w:rsid w:val="00A3740D"/>
    <w:rsid w:val="00A37493"/>
    <w:rsid w:val="00A374A6"/>
    <w:rsid w:val="00A374F7"/>
    <w:rsid w:val="00A3750A"/>
    <w:rsid w:val="00A37541"/>
    <w:rsid w:val="00A3754F"/>
    <w:rsid w:val="00A375AE"/>
    <w:rsid w:val="00A375F4"/>
    <w:rsid w:val="00A3761D"/>
    <w:rsid w:val="00A37800"/>
    <w:rsid w:val="00A37901"/>
    <w:rsid w:val="00A37C44"/>
    <w:rsid w:val="00A37D15"/>
    <w:rsid w:val="00A37D95"/>
    <w:rsid w:val="00A40042"/>
    <w:rsid w:val="00A400DB"/>
    <w:rsid w:val="00A402F4"/>
    <w:rsid w:val="00A40418"/>
    <w:rsid w:val="00A404F0"/>
    <w:rsid w:val="00A405A1"/>
    <w:rsid w:val="00A40648"/>
    <w:rsid w:val="00A406A1"/>
    <w:rsid w:val="00A406D3"/>
    <w:rsid w:val="00A40843"/>
    <w:rsid w:val="00A408DD"/>
    <w:rsid w:val="00A40A14"/>
    <w:rsid w:val="00A40BFE"/>
    <w:rsid w:val="00A40C70"/>
    <w:rsid w:val="00A40CF3"/>
    <w:rsid w:val="00A40CFB"/>
    <w:rsid w:val="00A40DB2"/>
    <w:rsid w:val="00A40E5D"/>
    <w:rsid w:val="00A40EEC"/>
    <w:rsid w:val="00A40F70"/>
    <w:rsid w:val="00A41011"/>
    <w:rsid w:val="00A410C8"/>
    <w:rsid w:val="00A4112C"/>
    <w:rsid w:val="00A41260"/>
    <w:rsid w:val="00A412BA"/>
    <w:rsid w:val="00A41317"/>
    <w:rsid w:val="00A41459"/>
    <w:rsid w:val="00A4153B"/>
    <w:rsid w:val="00A415B8"/>
    <w:rsid w:val="00A415E1"/>
    <w:rsid w:val="00A417F1"/>
    <w:rsid w:val="00A4197B"/>
    <w:rsid w:val="00A41A59"/>
    <w:rsid w:val="00A41B12"/>
    <w:rsid w:val="00A41BCC"/>
    <w:rsid w:val="00A41CB2"/>
    <w:rsid w:val="00A41CC3"/>
    <w:rsid w:val="00A41D38"/>
    <w:rsid w:val="00A420C2"/>
    <w:rsid w:val="00A42143"/>
    <w:rsid w:val="00A4235A"/>
    <w:rsid w:val="00A426BB"/>
    <w:rsid w:val="00A4273B"/>
    <w:rsid w:val="00A427A8"/>
    <w:rsid w:val="00A428FC"/>
    <w:rsid w:val="00A42945"/>
    <w:rsid w:val="00A42C0A"/>
    <w:rsid w:val="00A42C40"/>
    <w:rsid w:val="00A42F91"/>
    <w:rsid w:val="00A4346F"/>
    <w:rsid w:val="00A43685"/>
    <w:rsid w:val="00A43794"/>
    <w:rsid w:val="00A43897"/>
    <w:rsid w:val="00A438DD"/>
    <w:rsid w:val="00A43A56"/>
    <w:rsid w:val="00A43B33"/>
    <w:rsid w:val="00A43D0A"/>
    <w:rsid w:val="00A43D8D"/>
    <w:rsid w:val="00A43DFA"/>
    <w:rsid w:val="00A44377"/>
    <w:rsid w:val="00A443D4"/>
    <w:rsid w:val="00A444FA"/>
    <w:rsid w:val="00A445AB"/>
    <w:rsid w:val="00A44651"/>
    <w:rsid w:val="00A44658"/>
    <w:rsid w:val="00A4465D"/>
    <w:rsid w:val="00A447E9"/>
    <w:rsid w:val="00A44936"/>
    <w:rsid w:val="00A44D16"/>
    <w:rsid w:val="00A44D1A"/>
    <w:rsid w:val="00A4530D"/>
    <w:rsid w:val="00A45585"/>
    <w:rsid w:val="00A456DB"/>
    <w:rsid w:val="00A457DE"/>
    <w:rsid w:val="00A45C84"/>
    <w:rsid w:val="00A45EF2"/>
    <w:rsid w:val="00A46023"/>
    <w:rsid w:val="00A46193"/>
    <w:rsid w:val="00A461FB"/>
    <w:rsid w:val="00A46308"/>
    <w:rsid w:val="00A46352"/>
    <w:rsid w:val="00A46374"/>
    <w:rsid w:val="00A46636"/>
    <w:rsid w:val="00A4692C"/>
    <w:rsid w:val="00A469F5"/>
    <w:rsid w:val="00A46C51"/>
    <w:rsid w:val="00A46C6C"/>
    <w:rsid w:val="00A46F0C"/>
    <w:rsid w:val="00A46F98"/>
    <w:rsid w:val="00A470D0"/>
    <w:rsid w:val="00A472B4"/>
    <w:rsid w:val="00A473A3"/>
    <w:rsid w:val="00A474F7"/>
    <w:rsid w:val="00A47721"/>
    <w:rsid w:val="00A478B6"/>
    <w:rsid w:val="00A47969"/>
    <w:rsid w:val="00A4797F"/>
    <w:rsid w:val="00A47B2B"/>
    <w:rsid w:val="00A47D31"/>
    <w:rsid w:val="00A50215"/>
    <w:rsid w:val="00A5022D"/>
    <w:rsid w:val="00A5030B"/>
    <w:rsid w:val="00A503C7"/>
    <w:rsid w:val="00A507FC"/>
    <w:rsid w:val="00A50990"/>
    <w:rsid w:val="00A509AE"/>
    <w:rsid w:val="00A50AD3"/>
    <w:rsid w:val="00A50B7B"/>
    <w:rsid w:val="00A50CBA"/>
    <w:rsid w:val="00A50CE0"/>
    <w:rsid w:val="00A50CFA"/>
    <w:rsid w:val="00A50E66"/>
    <w:rsid w:val="00A50ED8"/>
    <w:rsid w:val="00A50F0F"/>
    <w:rsid w:val="00A50F88"/>
    <w:rsid w:val="00A50FBE"/>
    <w:rsid w:val="00A51083"/>
    <w:rsid w:val="00A51269"/>
    <w:rsid w:val="00A51388"/>
    <w:rsid w:val="00A5154F"/>
    <w:rsid w:val="00A516B1"/>
    <w:rsid w:val="00A51738"/>
    <w:rsid w:val="00A51784"/>
    <w:rsid w:val="00A518F3"/>
    <w:rsid w:val="00A51A8D"/>
    <w:rsid w:val="00A51A99"/>
    <w:rsid w:val="00A51AFD"/>
    <w:rsid w:val="00A51D48"/>
    <w:rsid w:val="00A51EBC"/>
    <w:rsid w:val="00A5212C"/>
    <w:rsid w:val="00A52140"/>
    <w:rsid w:val="00A52181"/>
    <w:rsid w:val="00A52195"/>
    <w:rsid w:val="00A52329"/>
    <w:rsid w:val="00A523BE"/>
    <w:rsid w:val="00A526FC"/>
    <w:rsid w:val="00A527C8"/>
    <w:rsid w:val="00A529DA"/>
    <w:rsid w:val="00A52AA1"/>
    <w:rsid w:val="00A52AD9"/>
    <w:rsid w:val="00A52B0C"/>
    <w:rsid w:val="00A52B13"/>
    <w:rsid w:val="00A52B77"/>
    <w:rsid w:val="00A52C71"/>
    <w:rsid w:val="00A52D07"/>
    <w:rsid w:val="00A52E4C"/>
    <w:rsid w:val="00A52E4E"/>
    <w:rsid w:val="00A52F77"/>
    <w:rsid w:val="00A52FC9"/>
    <w:rsid w:val="00A53100"/>
    <w:rsid w:val="00A53110"/>
    <w:rsid w:val="00A5313B"/>
    <w:rsid w:val="00A53497"/>
    <w:rsid w:val="00A534A1"/>
    <w:rsid w:val="00A53587"/>
    <w:rsid w:val="00A5362E"/>
    <w:rsid w:val="00A53784"/>
    <w:rsid w:val="00A537C8"/>
    <w:rsid w:val="00A5382D"/>
    <w:rsid w:val="00A538AA"/>
    <w:rsid w:val="00A539C6"/>
    <w:rsid w:val="00A539D5"/>
    <w:rsid w:val="00A539E5"/>
    <w:rsid w:val="00A53A0D"/>
    <w:rsid w:val="00A53BD8"/>
    <w:rsid w:val="00A53C1E"/>
    <w:rsid w:val="00A53D7C"/>
    <w:rsid w:val="00A54075"/>
    <w:rsid w:val="00A5419F"/>
    <w:rsid w:val="00A54455"/>
    <w:rsid w:val="00A54553"/>
    <w:rsid w:val="00A54644"/>
    <w:rsid w:val="00A546D4"/>
    <w:rsid w:val="00A548C7"/>
    <w:rsid w:val="00A549D0"/>
    <w:rsid w:val="00A54AAD"/>
    <w:rsid w:val="00A54B89"/>
    <w:rsid w:val="00A54BE0"/>
    <w:rsid w:val="00A54BFF"/>
    <w:rsid w:val="00A54ED5"/>
    <w:rsid w:val="00A54EFC"/>
    <w:rsid w:val="00A55042"/>
    <w:rsid w:val="00A55145"/>
    <w:rsid w:val="00A554A1"/>
    <w:rsid w:val="00A554F1"/>
    <w:rsid w:val="00A5569E"/>
    <w:rsid w:val="00A557E0"/>
    <w:rsid w:val="00A55C16"/>
    <w:rsid w:val="00A55D29"/>
    <w:rsid w:val="00A55E2B"/>
    <w:rsid w:val="00A55EFD"/>
    <w:rsid w:val="00A55F8E"/>
    <w:rsid w:val="00A56059"/>
    <w:rsid w:val="00A560C1"/>
    <w:rsid w:val="00A5625A"/>
    <w:rsid w:val="00A56279"/>
    <w:rsid w:val="00A5628A"/>
    <w:rsid w:val="00A56293"/>
    <w:rsid w:val="00A56393"/>
    <w:rsid w:val="00A563A0"/>
    <w:rsid w:val="00A56405"/>
    <w:rsid w:val="00A565E1"/>
    <w:rsid w:val="00A567F9"/>
    <w:rsid w:val="00A5685C"/>
    <w:rsid w:val="00A5690B"/>
    <w:rsid w:val="00A56A76"/>
    <w:rsid w:val="00A56C32"/>
    <w:rsid w:val="00A56E20"/>
    <w:rsid w:val="00A56F7F"/>
    <w:rsid w:val="00A570DD"/>
    <w:rsid w:val="00A571E0"/>
    <w:rsid w:val="00A573B4"/>
    <w:rsid w:val="00A575E8"/>
    <w:rsid w:val="00A57745"/>
    <w:rsid w:val="00A57882"/>
    <w:rsid w:val="00A57960"/>
    <w:rsid w:val="00A57B13"/>
    <w:rsid w:val="00A57D3F"/>
    <w:rsid w:val="00A600B2"/>
    <w:rsid w:val="00A60100"/>
    <w:rsid w:val="00A602E3"/>
    <w:rsid w:val="00A603EC"/>
    <w:rsid w:val="00A605B3"/>
    <w:rsid w:val="00A605E4"/>
    <w:rsid w:val="00A60673"/>
    <w:rsid w:val="00A606A1"/>
    <w:rsid w:val="00A60700"/>
    <w:rsid w:val="00A607AE"/>
    <w:rsid w:val="00A60981"/>
    <w:rsid w:val="00A60A1D"/>
    <w:rsid w:val="00A60F39"/>
    <w:rsid w:val="00A60F78"/>
    <w:rsid w:val="00A60F7E"/>
    <w:rsid w:val="00A6109B"/>
    <w:rsid w:val="00A610F4"/>
    <w:rsid w:val="00A61307"/>
    <w:rsid w:val="00A61356"/>
    <w:rsid w:val="00A6178D"/>
    <w:rsid w:val="00A61A12"/>
    <w:rsid w:val="00A61A40"/>
    <w:rsid w:val="00A61A48"/>
    <w:rsid w:val="00A61F2A"/>
    <w:rsid w:val="00A6228D"/>
    <w:rsid w:val="00A62497"/>
    <w:rsid w:val="00A626C3"/>
    <w:rsid w:val="00A626DD"/>
    <w:rsid w:val="00A627B3"/>
    <w:rsid w:val="00A628D4"/>
    <w:rsid w:val="00A62C7E"/>
    <w:rsid w:val="00A62EC7"/>
    <w:rsid w:val="00A62EEB"/>
    <w:rsid w:val="00A62F4B"/>
    <w:rsid w:val="00A6309A"/>
    <w:rsid w:val="00A6326E"/>
    <w:rsid w:val="00A63472"/>
    <w:rsid w:val="00A63751"/>
    <w:rsid w:val="00A6382C"/>
    <w:rsid w:val="00A6391A"/>
    <w:rsid w:val="00A639C7"/>
    <w:rsid w:val="00A63A01"/>
    <w:rsid w:val="00A63A73"/>
    <w:rsid w:val="00A63AEF"/>
    <w:rsid w:val="00A63B7F"/>
    <w:rsid w:val="00A63C42"/>
    <w:rsid w:val="00A63F68"/>
    <w:rsid w:val="00A6406E"/>
    <w:rsid w:val="00A64161"/>
    <w:rsid w:val="00A641DA"/>
    <w:rsid w:val="00A645ED"/>
    <w:rsid w:val="00A647B6"/>
    <w:rsid w:val="00A64A10"/>
    <w:rsid w:val="00A64B19"/>
    <w:rsid w:val="00A64B5D"/>
    <w:rsid w:val="00A64CC0"/>
    <w:rsid w:val="00A64D47"/>
    <w:rsid w:val="00A64DA6"/>
    <w:rsid w:val="00A64E37"/>
    <w:rsid w:val="00A64E4F"/>
    <w:rsid w:val="00A64E80"/>
    <w:rsid w:val="00A6500E"/>
    <w:rsid w:val="00A6514E"/>
    <w:rsid w:val="00A65283"/>
    <w:rsid w:val="00A6530B"/>
    <w:rsid w:val="00A65369"/>
    <w:rsid w:val="00A653F8"/>
    <w:rsid w:val="00A657AF"/>
    <w:rsid w:val="00A657B8"/>
    <w:rsid w:val="00A657BD"/>
    <w:rsid w:val="00A658F5"/>
    <w:rsid w:val="00A659C8"/>
    <w:rsid w:val="00A65ADB"/>
    <w:rsid w:val="00A65C36"/>
    <w:rsid w:val="00A65C68"/>
    <w:rsid w:val="00A65D64"/>
    <w:rsid w:val="00A65E2F"/>
    <w:rsid w:val="00A65E87"/>
    <w:rsid w:val="00A66262"/>
    <w:rsid w:val="00A66321"/>
    <w:rsid w:val="00A663F3"/>
    <w:rsid w:val="00A664FA"/>
    <w:rsid w:val="00A6651C"/>
    <w:rsid w:val="00A665F9"/>
    <w:rsid w:val="00A669BC"/>
    <w:rsid w:val="00A669D5"/>
    <w:rsid w:val="00A66AFB"/>
    <w:rsid w:val="00A66C1E"/>
    <w:rsid w:val="00A66C88"/>
    <w:rsid w:val="00A66C97"/>
    <w:rsid w:val="00A66D79"/>
    <w:rsid w:val="00A66E63"/>
    <w:rsid w:val="00A66EDA"/>
    <w:rsid w:val="00A6718E"/>
    <w:rsid w:val="00A6726B"/>
    <w:rsid w:val="00A672B0"/>
    <w:rsid w:val="00A672E9"/>
    <w:rsid w:val="00A6755F"/>
    <w:rsid w:val="00A67695"/>
    <w:rsid w:val="00A6775B"/>
    <w:rsid w:val="00A67AA8"/>
    <w:rsid w:val="00A67B3A"/>
    <w:rsid w:val="00A67CAF"/>
    <w:rsid w:val="00A67E14"/>
    <w:rsid w:val="00A67EAA"/>
    <w:rsid w:val="00A67ED4"/>
    <w:rsid w:val="00A67F4D"/>
    <w:rsid w:val="00A701FA"/>
    <w:rsid w:val="00A70252"/>
    <w:rsid w:val="00A70332"/>
    <w:rsid w:val="00A705C1"/>
    <w:rsid w:val="00A70768"/>
    <w:rsid w:val="00A708F6"/>
    <w:rsid w:val="00A70A62"/>
    <w:rsid w:val="00A70B8F"/>
    <w:rsid w:val="00A70BE6"/>
    <w:rsid w:val="00A70C23"/>
    <w:rsid w:val="00A70C7E"/>
    <w:rsid w:val="00A70DD9"/>
    <w:rsid w:val="00A710BA"/>
    <w:rsid w:val="00A7117D"/>
    <w:rsid w:val="00A71350"/>
    <w:rsid w:val="00A713D1"/>
    <w:rsid w:val="00A713FE"/>
    <w:rsid w:val="00A7166C"/>
    <w:rsid w:val="00A7171C"/>
    <w:rsid w:val="00A71D06"/>
    <w:rsid w:val="00A71D6F"/>
    <w:rsid w:val="00A71E2B"/>
    <w:rsid w:val="00A71E4F"/>
    <w:rsid w:val="00A72343"/>
    <w:rsid w:val="00A72381"/>
    <w:rsid w:val="00A723C7"/>
    <w:rsid w:val="00A723CF"/>
    <w:rsid w:val="00A723D3"/>
    <w:rsid w:val="00A725D8"/>
    <w:rsid w:val="00A727D3"/>
    <w:rsid w:val="00A7291B"/>
    <w:rsid w:val="00A72A4D"/>
    <w:rsid w:val="00A72B23"/>
    <w:rsid w:val="00A72B67"/>
    <w:rsid w:val="00A72B6A"/>
    <w:rsid w:val="00A72BF2"/>
    <w:rsid w:val="00A72C01"/>
    <w:rsid w:val="00A72C2F"/>
    <w:rsid w:val="00A72E78"/>
    <w:rsid w:val="00A72F42"/>
    <w:rsid w:val="00A7310F"/>
    <w:rsid w:val="00A7333D"/>
    <w:rsid w:val="00A73410"/>
    <w:rsid w:val="00A73514"/>
    <w:rsid w:val="00A73795"/>
    <w:rsid w:val="00A73883"/>
    <w:rsid w:val="00A73A33"/>
    <w:rsid w:val="00A73BAA"/>
    <w:rsid w:val="00A73CCB"/>
    <w:rsid w:val="00A73E87"/>
    <w:rsid w:val="00A73F46"/>
    <w:rsid w:val="00A74072"/>
    <w:rsid w:val="00A7421B"/>
    <w:rsid w:val="00A7422D"/>
    <w:rsid w:val="00A7438D"/>
    <w:rsid w:val="00A743B7"/>
    <w:rsid w:val="00A7455A"/>
    <w:rsid w:val="00A74848"/>
    <w:rsid w:val="00A74945"/>
    <w:rsid w:val="00A74C4B"/>
    <w:rsid w:val="00A74E0D"/>
    <w:rsid w:val="00A74ED6"/>
    <w:rsid w:val="00A74F15"/>
    <w:rsid w:val="00A74F56"/>
    <w:rsid w:val="00A750EE"/>
    <w:rsid w:val="00A753DC"/>
    <w:rsid w:val="00A7541D"/>
    <w:rsid w:val="00A755A4"/>
    <w:rsid w:val="00A755E3"/>
    <w:rsid w:val="00A75648"/>
    <w:rsid w:val="00A7564C"/>
    <w:rsid w:val="00A75877"/>
    <w:rsid w:val="00A75D5D"/>
    <w:rsid w:val="00A75ECD"/>
    <w:rsid w:val="00A75FE9"/>
    <w:rsid w:val="00A760D9"/>
    <w:rsid w:val="00A76135"/>
    <w:rsid w:val="00A761B6"/>
    <w:rsid w:val="00A762BC"/>
    <w:rsid w:val="00A762DD"/>
    <w:rsid w:val="00A76321"/>
    <w:rsid w:val="00A763F7"/>
    <w:rsid w:val="00A76E91"/>
    <w:rsid w:val="00A76F36"/>
    <w:rsid w:val="00A76F78"/>
    <w:rsid w:val="00A77068"/>
    <w:rsid w:val="00A771E8"/>
    <w:rsid w:val="00A7724D"/>
    <w:rsid w:val="00A7731F"/>
    <w:rsid w:val="00A77366"/>
    <w:rsid w:val="00A77492"/>
    <w:rsid w:val="00A775E6"/>
    <w:rsid w:val="00A77632"/>
    <w:rsid w:val="00A77714"/>
    <w:rsid w:val="00A7778F"/>
    <w:rsid w:val="00A778A1"/>
    <w:rsid w:val="00A778DE"/>
    <w:rsid w:val="00A77A5E"/>
    <w:rsid w:val="00A77AC1"/>
    <w:rsid w:val="00A77E5C"/>
    <w:rsid w:val="00A77F80"/>
    <w:rsid w:val="00A77FD5"/>
    <w:rsid w:val="00A8005F"/>
    <w:rsid w:val="00A800DC"/>
    <w:rsid w:val="00A80291"/>
    <w:rsid w:val="00A80325"/>
    <w:rsid w:val="00A80640"/>
    <w:rsid w:val="00A806F8"/>
    <w:rsid w:val="00A8072F"/>
    <w:rsid w:val="00A807F7"/>
    <w:rsid w:val="00A8086B"/>
    <w:rsid w:val="00A80926"/>
    <w:rsid w:val="00A80AE2"/>
    <w:rsid w:val="00A80F18"/>
    <w:rsid w:val="00A81253"/>
    <w:rsid w:val="00A81375"/>
    <w:rsid w:val="00A8147B"/>
    <w:rsid w:val="00A81590"/>
    <w:rsid w:val="00A81675"/>
    <w:rsid w:val="00A81743"/>
    <w:rsid w:val="00A817F0"/>
    <w:rsid w:val="00A818A5"/>
    <w:rsid w:val="00A818CA"/>
    <w:rsid w:val="00A818D3"/>
    <w:rsid w:val="00A8197A"/>
    <w:rsid w:val="00A81C7E"/>
    <w:rsid w:val="00A81D97"/>
    <w:rsid w:val="00A81DD6"/>
    <w:rsid w:val="00A81E8F"/>
    <w:rsid w:val="00A81FBC"/>
    <w:rsid w:val="00A82078"/>
    <w:rsid w:val="00A820F4"/>
    <w:rsid w:val="00A82166"/>
    <w:rsid w:val="00A8216B"/>
    <w:rsid w:val="00A821FF"/>
    <w:rsid w:val="00A823D1"/>
    <w:rsid w:val="00A824E8"/>
    <w:rsid w:val="00A825BD"/>
    <w:rsid w:val="00A825D0"/>
    <w:rsid w:val="00A827CA"/>
    <w:rsid w:val="00A82825"/>
    <w:rsid w:val="00A8286C"/>
    <w:rsid w:val="00A82A06"/>
    <w:rsid w:val="00A82BB6"/>
    <w:rsid w:val="00A82D13"/>
    <w:rsid w:val="00A82DF5"/>
    <w:rsid w:val="00A82E23"/>
    <w:rsid w:val="00A82F7B"/>
    <w:rsid w:val="00A82FCF"/>
    <w:rsid w:val="00A831E8"/>
    <w:rsid w:val="00A833EA"/>
    <w:rsid w:val="00A83479"/>
    <w:rsid w:val="00A835AD"/>
    <w:rsid w:val="00A836AB"/>
    <w:rsid w:val="00A83C42"/>
    <w:rsid w:val="00A83CE9"/>
    <w:rsid w:val="00A83F65"/>
    <w:rsid w:val="00A83FCD"/>
    <w:rsid w:val="00A84047"/>
    <w:rsid w:val="00A84206"/>
    <w:rsid w:val="00A8427D"/>
    <w:rsid w:val="00A845F7"/>
    <w:rsid w:val="00A846F2"/>
    <w:rsid w:val="00A8476E"/>
    <w:rsid w:val="00A847FD"/>
    <w:rsid w:val="00A84941"/>
    <w:rsid w:val="00A84B3D"/>
    <w:rsid w:val="00A84BD7"/>
    <w:rsid w:val="00A84F64"/>
    <w:rsid w:val="00A85070"/>
    <w:rsid w:val="00A851D8"/>
    <w:rsid w:val="00A85557"/>
    <w:rsid w:val="00A85765"/>
    <w:rsid w:val="00A859A5"/>
    <w:rsid w:val="00A859B2"/>
    <w:rsid w:val="00A85AA8"/>
    <w:rsid w:val="00A85D49"/>
    <w:rsid w:val="00A85DE8"/>
    <w:rsid w:val="00A85F72"/>
    <w:rsid w:val="00A86245"/>
    <w:rsid w:val="00A86251"/>
    <w:rsid w:val="00A86287"/>
    <w:rsid w:val="00A862CF"/>
    <w:rsid w:val="00A86336"/>
    <w:rsid w:val="00A8646F"/>
    <w:rsid w:val="00A864C5"/>
    <w:rsid w:val="00A86935"/>
    <w:rsid w:val="00A86997"/>
    <w:rsid w:val="00A869AB"/>
    <w:rsid w:val="00A86A1F"/>
    <w:rsid w:val="00A86AE3"/>
    <w:rsid w:val="00A86E27"/>
    <w:rsid w:val="00A86E4E"/>
    <w:rsid w:val="00A86F19"/>
    <w:rsid w:val="00A87196"/>
    <w:rsid w:val="00A871B8"/>
    <w:rsid w:val="00A873C3"/>
    <w:rsid w:val="00A8745E"/>
    <w:rsid w:val="00A8745F"/>
    <w:rsid w:val="00A874D6"/>
    <w:rsid w:val="00A87523"/>
    <w:rsid w:val="00A87639"/>
    <w:rsid w:val="00A8770E"/>
    <w:rsid w:val="00A87ADB"/>
    <w:rsid w:val="00A87E31"/>
    <w:rsid w:val="00A901E5"/>
    <w:rsid w:val="00A90428"/>
    <w:rsid w:val="00A9051C"/>
    <w:rsid w:val="00A90623"/>
    <w:rsid w:val="00A9069F"/>
    <w:rsid w:val="00A9080F"/>
    <w:rsid w:val="00A908BA"/>
    <w:rsid w:val="00A909DC"/>
    <w:rsid w:val="00A90A49"/>
    <w:rsid w:val="00A90C35"/>
    <w:rsid w:val="00A90CA3"/>
    <w:rsid w:val="00A91042"/>
    <w:rsid w:val="00A91103"/>
    <w:rsid w:val="00A912B7"/>
    <w:rsid w:val="00A9142B"/>
    <w:rsid w:val="00A9158E"/>
    <w:rsid w:val="00A9174E"/>
    <w:rsid w:val="00A917FE"/>
    <w:rsid w:val="00A91855"/>
    <w:rsid w:val="00A91DA3"/>
    <w:rsid w:val="00A91DE4"/>
    <w:rsid w:val="00A91E8D"/>
    <w:rsid w:val="00A91EC9"/>
    <w:rsid w:val="00A9206B"/>
    <w:rsid w:val="00A9217F"/>
    <w:rsid w:val="00A921D0"/>
    <w:rsid w:val="00A92238"/>
    <w:rsid w:val="00A9244A"/>
    <w:rsid w:val="00A92453"/>
    <w:rsid w:val="00A9248F"/>
    <w:rsid w:val="00A92511"/>
    <w:rsid w:val="00A9264E"/>
    <w:rsid w:val="00A926F0"/>
    <w:rsid w:val="00A92CDD"/>
    <w:rsid w:val="00A92D2D"/>
    <w:rsid w:val="00A92D9F"/>
    <w:rsid w:val="00A92E60"/>
    <w:rsid w:val="00A92ED8"/>
    <w:rsid w:val="00A931D6"/>
    <w:rsid w:val="00A93285"/>
    <w:rsid w:val="00A93298"/>
    <w:rsid w:val="00A932BC"/>
    <w:rsid w:val="00A9352C"/>
    <w:rsid w:val="00A9357B"/>
    <w:rsid w:val="00A93621"/>
    <w:rsid w:val="00A9362C"/>
    <w:rsid w:val="00A93658"/>
    <w:rsid w:val="00A93782"/>
    <w:rsid w:val="00A93868"/>
    <w:rsid w:val="00A93A66"/>
    <w:rsid w:val="00A93B16"/>
    <w:rsid w:val="00A93C6E"/>
    <w:rsid w:val="00A93F6E"/>
    <w:rsid w:val="00A94065"/>
    <w:rsid w:val="00A94097"/>
    <w:rsid w:val="00A9411D"/>
    <w:rsid w:val="00A94197"/>
    <w:rsid w:val="00A94226"/>
    <w:rsid w:val="00A94353"/>
    <w:rsid w:val="00A94583"/>
    <w:rsid w:val="00A945E2"/>
    <w:rsid w:val="00A946A1"/>
    <w:rsid w:val="00A9477C"/>
    <w:rsid w:val="00A947D8"/>
    <w:rsid w:val="00A94859"/>
    <w:rsid w:val="00A94881"/>
    <w:rsid w:val="00A948D5"/>
    <w:rsid w:val="00A94953"/>
    <w:rsid w:val="00A94A15"/>
    <w:rsid w:val="00A94ABB"/>
    <w:rsid w:val="00A94BB3"/>
    <w:rsid w:val="00A94D6D"/>
    <w:rsid w:val="00A94E44"/>
    <w:rsid w:val="00A94E5E"/>
    <w:rsid w:val="00A94EF9"/>
    <w:rsid w:val="00A94FDB"/>
    <w:rsid w:val="00A9503C"/>
    <w:rsid w:val="00A95076"/>
    <w:rsid w:val="00A950A4"/>
    <w:rsid w:val="00A950EF"/>
    <w:rsid w:val="00A95290"/>
    <w:rsid w:val="00A9538E"/>
    <w:rsid w:val="00A953A3"/>
    <w:rsid w:val="00A954D9"/>
    <w:rsid w:val="00A95586"/>
    <w:rsid w:val="00A95626"/>
    <w:rsid w:val="00A95841"/>
    <w:rsid w:val="00A9598D"/>
    <w:rsid w:val="00A95C1A"/>
    <w:rsid w:val="00A95C24"/>
    <w:rsid w:val="00A95C2D"/>
    <w:rsid w:val="00A95C68"/>
    <w:rsid w:val="00A95D12"/>
    <w:rsid w:val="00A95D1D"/>
    <w:rsid w:val="00A95D56"/>
    <w:rsid w:val="00A95F98"/>
    <w:rsid w:val="00A9604E"/>
    <w:rsid w:val="00A96091"/>
    <w:rsid w:val="00A9651D"/>
    <w:rsid w:val="00A96727"/>
    <w:rsid w:val="00A9683B"/>
    <w:rsid w:val="00A9688D"/>
    <w:rsid w:val="00A96C3A"/>
    <w:rsid w:val="00A96E54"/>
    <w:rsid w:val="00A96E5A"/>
    <w:rsid w:val="00A96F67"/>
    <w:rsid w:val="00A9707E"/>
    <w:rsid w:val="00A97318"/>
    <w:rsid w:val="00A9743F"/>
    <w:rsid w:val="00A9763D"/>
    <w:rsid w:val="00A9766E"/>
    <w:rsid w:val="00A9788F"/>
    <w:rsid w:val="00A9790B"/>
    <w:rsid w:val="00A97A53"/>
    <w:rsid w:val="00A97B3C"/>
    <w:rsid w:val="00A97B9E"/>
    <w:rsid w:val="00AA005E"/>
    <w:rsid w:val="00AA00F2"/>
    <w:rsid w:val="00AA01CF"/>
    <w:rsid w:val="00AA06A1"/>
    <w:rsid w:val="00AA0725"/>
    <w:rsid w:val="00AA074E"/>
    <w:rsid w:val="00AA0890"/>
    <w:rsid w:val="00AA0947"/>
    <w:rsid w:val="00AA0A76"/>
    <w:rsid w:val="00AA0A77"/>
    <w:rsid w:val="00AA0B6E"/>
    <w:rsid w:val="00AA0B96"/>
    <w:rsid w:val="00AA0C00"/>
    <w:rsid w:val="00AA0D5D"/>
    <w:rsid w:val="00AA0D67"/>
    <w:rsid w:val="00AA0ED2"/>
    <w:rsid w:val="00AA1059"/>
    <w:rsid w:val="00AA123F"/>
    <w:rsid w:val="00AA1279"/>
    <w:rsid w:val="00AA155E"/>
    <w:rsid w:val="00AA192A"/>
    <w:rsid w:val="00AA1AD1"/>
    <w:rsid w:val="00AA1C72"/>
    <w:rsid w:val="00AA1C7F"/>
    <w:rsid w:val="00AA1D94"/>
    <w:rsid w:val="00AA1EDF"/>
    <w:rsid w:val="00AA1EF4"/>
    <w:rsid w:val="00AA212D"/>
    <w:rsid w:val="00AA223E"/>
    <w:rsid w:val="00AA232E"/>
    <w:rsid w:val="00AA2343"/>
    <w:rsid w:val="00AA23A8"/>
    <w:rsid w:val="00AA24E5"/>
    <w:rsid w:val="00AA24FB"/>
    <w:rsid w:val="00AA2535"/>
    <w:rsid w:val="00AA2551"/>
    <w:rsid w:val="00AA257F"/>
    <w:rsid w:val="00AA2648"/>
    <w:rsid w:val="00AA264A"/>
    <w:rsid w:val="00AA28D7"/>
    <w:rsid w:val="00AA2927"/>
    <w:rsid w:val="00AA29ED"/>
    <w:rsid w:val="00AA2A2D"/>
    <w:rsid w:val="00AA2AD3"/>
    <w:rsid w:val="00AA2AE6"/>
    <w:rsid w:val="00AA2D27"/>
    <w:rsid w:val="00AA2F0A"/>
    <w:rsid w:val="00AA2F63"/>
    <w:rsid w:val="00AA2FD0"/>
    <w:rsid w:val="00AA3009"/>
    <w:rsid w:val="00AA33A6"/>
    <w:rsid w:val="00AA353E"/>
    <w:rsid w:val="00AA35E8"/>
    <w:rsid w:val="00AA38D7"/>
    <w:rsid w:val="00AA39D3"/>
    <w:rsid w:val="00AA3A83"/>
    <w:rsid w:val="00AA3A8A"/>
    <w:rsid w:val="00AA3AC1"/>
    <w:rsid w:val="00AA3B13"/>
    <w:rsid w:val="00AA3B3D"/>
    <w:rsid w:val="00AA3B4C"/>
    <w:rsid w:val="00AA3B57"/>
    <w:rsid w:val="00AA3B69"/>
    <w:rsid w:val="00AA3C57"/>
    <w:rsid w:val="00AA3C67"/>
    <w:rsid w:val="00AA3CB6"/>
    <w:rsid w:val="00AA3DD2"/>
    <w:rsid w:val="00AA3FE3"/>
    <w:rsid w:val="00AA3FF7"/>
    <w:rsid w:val="00AA41A0"/>
    <w:rsid w:val="00AA41E5"/>
    <w:rsid w:val="00AA448A"/>
    <w:rsid w:val="00AA4593"/>
    <w:rsid w:val="00AA45FC"/>
    <w:rsid w:val="00AA46B0"/>
    <w:rsid w:val="00AA4720"/>
    <w:rsid w:val="00AA4B54"/>
    <w:rsid w:val="00AA4CC2"/>
    <w:rsid w:val="00AA4F1B"/>
    <w:rsid w:val="00AA4FC0"/>
    <w:rsid w:val="00AA4FCE"/>
    <w:rsid w:val="00AA50EF"/>
    <w:rsid w:val="00AA5241"/>
    <w:rsid w:val="00AA553C"/>
    <w:rsid w:val="00AA5547"/>
    <w:rsid w:val="00AA55B2"/>
    <w:rsid w:val="00AA569E"/>
    <w:rsid w:val="00AA577E"/>
    <w:rsid w:val="00AA58A5"/>
    <w:rsid w:val="00AA58D9"/>
    <w:rsid w:val="00AA593F"/>
    <w:rsid w:val="00AA5B4B"/>
    <w:rsid w:val="00AA5BAA"/>
    <w:rsid w:val="00AA5DAE"/>
    <w:rsid w:val="00AA5E16"/>
    <w:rsid w:val="00AA5E1C"/>
    <w:rsid w:val="00AA5FE9"/>
    <w:rsid w:val="00AA6072"/>
    <w:rsid w:val="00AA6085"/>
    <w:rsid w:val="00AA618D"/>
    <w:rsid w:val="00AA61EA"/>
    <w:rsid w:val="00AA632A"/>
    <w:rsid w:val="00AA6346"/>
    <w:rsid w:val="00AA63D8"/>
    <w:rsid w:val="00AA65CF"/>
    <w:rsid w:val="00AA6AF6"/>
    <w:rsid w:val="00AA6ECD"/>
    <w:rsid w:val="00AA704D"/>
    <w:rsid w:val="00AA7115"/>
    <w:rsid w:val="00AA72C0"/>
    <w:rsid w:val="00AA740A"/>
    <w:rsid w:val="00AA7467"/>
    <w:rsid w:val="00AA74D6"/>
    <w:rsid w:val="00AA7583"/>
    <w:rsid w:val="00AA75EB"/>
    <w:rsid w:val="00AA76E8"/>
    <w:rsid w:val="00AA7840"/>
    <w:rsid w:val="00AA78A6"/>
    <w:rsid w:val="00AA78C7"/>
    <w:rsid w:val="00AA7964"/>
    <w:rsid w:val="00AA79E0"/>
    <w:rsid w:val="00AA7AA5"/>
    <w:rsid w:val="00AA7ABA"/>
    <w:rsid w:val="00AA7B31"/>
    <w:rsid w:val="00AA7B54"/>
    <w:rsid w:val="00AA7C2B"/>
    <w:rsid w:val="00AA7F50"/>
    <w:rsid w:val="00AB0008"/>
    <w:rsid w:val="00AB0061"/>
    <w:rsid w:val="00AB00FF"/>
    <w:rsid w:val="00AB0306"/>
    <w:rsid w:val="00AB048E"/>
    <w:rsid w:val="00AB05BD"/>
    <w:rsid w:val="00AB0624"/>
    <w:rsid w:val="00AB0694"/>
    <w:rsid w:val="00AB0898"/>
    <w:rsid w:val="00AB0B5C"/>
    <w:rsid w:val="00AB0BE6"/>
    <w:rsid w:val="00AB0C77"/>
    <w:rsid w:val="00AB0EF9"/>
    <w:rsid w:val="00AB1169"/>
    <w:rsid w:val="00AB1371"/>
    <w:rsid w:val="00AB1513"/>
    <w:rsid w:val="00AB18F6"/>
    <w:rsid w:val="00AB1AB4"/>
    <w:rsid w:val="00AB1B83"/>
    <w:rsid w:val="00AB1BC0"/>
    <w:rsid w:val="00AB1BD6"/>
    <w:rsid w:val="00AB1FF6"/>
    <w:rsid w:val="00AB217B"/>
    <w:rsid w:val="00AB242C"/>
    <w:rsid w:val="00AB2551"/>
    <w:rsid w:val="00AB28B5"/>
    <w:rsid w:val="00AB2918"/>
    <w:rsid w:val="00AB2C7D"/>
    <w:rsid w:val="00AB2CC6"/>
    <w:rsid w:val="00AB2EEB"/>
    <w:rsid w:val="00AB2F8C"/>
    <w:rsid w:val="00AB3045"/>
    <w:rsid w:val="00AB31A1"/>
    <w:rsid w:val="00AB3285"/>
    <w:rsid w:val="00AB3362"/>
    <w:rsid w:val="00AB3381"/>
    <w:rsid w:val="00AB3576"/>
    <w:rsid w:val="00AB35F7"/>
    <w:rsid w:val="00AB36C7"/>
    <w:rsid w:val="00AB3851"/>
    <w:rsid w:val="00AB39DA"/>
    <w:rsid w:val="00AB3A61"/>
    <w:rsid w:val="00AB3AEA"/>
    <w:rsid w:val="00AB3D4B"/>
    <w:rsid w:val="00AB3DE7"/>
    <w:rsid w:val="00AB3E8F"/>
    <w:rsid w:val="00AB3E99"/>
    <w:rsid w:val="00AB3E9D"/>
    <w:rsid w:val="00AB3EFB"/>
    <w:rsid w:val="00AB3F4B"/>
    <w:rsid w:val="00AB3F51"/>
    <w:rsid w:val="00AB4045"/>
    <w:rsid w:val="00AB4132"/>
    <w:rsid w:val="00AB4332"/>
    <w:rsid w:val="00AB4372"/>
    <w:rsid w:val="00AB437B"/>
    <w:rsid w:val="00AB4394"/>
    <w:rsid w:val="00AB4403"/>
    <w:rsid w:val="00AB45BC"/>
    <w:rsid w:val="00AB468F"/>
    <w:rsid w:val="00AB4891"/>
    <w:rsid w:val="00AB48AC"/>
    <w:rsid w:val="00AB4A02"/>
    <w:rsid w:val="00AB4A2E"/>
    <w:rsid w:val="00AB4BF8"/>
    <w:rsid w:val="00AB4E26"/>
    <w:rsid w:val="00AB4E5D"/>
    <w:rsid w:val="00AB4F0F"/>
    <w:rsid w:val="00AB4F56"/>
    <w:rsid w:val="00AB50E2"/>
    <w:rsid w:val="00AB5130"/>
    <w:rsid w:val="00AB5240"/>
    <w:rsid w:val="00AB5349"/>
    <w:rsid w:val="00AB5418"/>
    <w:rsid w:val="00AB56B0"/>
    <w:rsid w:val="00AB57A3"/>
    <w:rsid w:val="00AB5E80"/>
    <w:rsid w:val="00AB5F75"/>
    <w:rsid w:val="00AB5FC5"/>
    <w:rsid w:val="00AB6036"/>
    <w:rsid w:val="00AB6078"/>
    <w:rsid w:val="00AB617A"/>
    <w:rsid w:val="00AB6322"/>
    <w:rsid w:val="00AB6474"/>
    <w:rsid w:val="00AB6573"/>
    <w:rsid w:val="00AB6811"/>
    <w:rsid w:val="00AB68D3"/>
    <w:rsid w:val="00AB6A5D"/>
    <w:rsid w:val="00AB6ABF"/>
    <w:rsid w:val="00AB6B83"/>
    <w:rsid w:val="00AB6E07"/>
    <w:rsid w:val="00AB6F94"/>
    <w:rsid w:val="00AB6FA0"/>
    <w:rsid w:val="00AB7064"/>
    <w:rsid w:val="00AB70E4"/>
    <w:rsid w:val="00AB712F"/>
    <w:rsid w:val="00AB7334"/>
    <w:rsid w:val="00AB7597"/>
    <w:rsid w:val="00AB75E8"/>
    <w:rsid w:val="00AB7917"/>
    <w:rsid w:val="00AB7A2E"/>
    <w:rsid w:val="00AB7BFC"/>
    <w:rsid w:val="00AB7C5F"/>
    <w:rsid w:val="00AB7D23"/>
    <w:rsid w:val="00AB7D82"/>
    <w:rsid w:val="00AC01B8"/>
    <w:rsid w:val="00AC025C"/>
    <w:rsid w:val="00AC046E"/>
    <w:rsid w:val="00AC0546"/>
    <w:rsid w:val="00AC09A1"/>
    <w:rsid w:val="00AC0A3D"/>
    <w:rsid w:val="00AC0BA2"/>
    <w:rsid w:val="00AC0BC3"/>
    <w:rsid w:val="00AC0DBD"/>
    <w:rsid w:val="00AC0E9D"/>
    <w:rsid w:val="00AC1325"/>
    <w:rsid w:val="00AC1395"/>
    <w:rsid w:val="00AC13B2"/>
    <w:rsid w:val="00AC1515"/>
    <w:rsid w:val="00AC15A5"/>
    <w:rsid w:val="00AC1725"/>
    <w:rsid w:val="00AC1872"/>
    <w:rsid w:val="00AC2111"/>
    <w:rsid w:val="00AC22AF"/>
    <w:rsid w:val="00AC22C9"/>
    <w:rsid w:val="00AC2358"/>
    <w:rsid w:val="00AC250D"/>
    <w:rsid w:val="00AC25EA"/>
    <w:rsid w:val="00AC2686"/>
    <w:rsid w:val="00AC278A"/>
    <w:rsid w:val="00AC2858"/>
    <w:rsid w:val="00AC2A05"/>
    <w:rsid w:val="00AC2B80"/>
    <w:rsid w:val="00AC2B9A"/>
    <w:rsid w:val="00AC2CFF"/>
    <w:rsid w:val="00AC2D34"/>
    <w:rsid w:val="00AC2D80"/>
    <w:rsid w:val="00AC30A8"/>
    <w:rsid w:val="00AC30C0"/>
    <w:rsid w:val="00AC32D7"/>
    <w:rsid w:val="00AC35D9"/>
    <w:rsid w:val="00AC3752"/>
    <w:rsid w:val="00AC37A9"/>
    <w:rsid w:val="00AC3906"/>
    <w:rsid w:val="00AC3A43"/>
    <w:rsid w:val="00AC3B44"/>
    <w:rsid w:val="00AC3C86"/>
    <w:rsid w:val="00AC3CAF"/>
    <w:rsid w:val="00AC3CB7"/>
    <w:rsid w:val="00AC3D01"/>
    <w:rsid w:val="00AC3DD3"/>
    <w:rsid w:val="00AC3FC7"/>
    <w:rsid w:val="00AC3FD8"/>
    <w:rsid w:val="00AC419E"/>
    <w:rsid w:val="00AC4235"/>
    <w:rsid w:val="00AC4518"/>
    <w:rsid w:val="00AC478C"/>
    <w:rsid w:val="00AC48DF"/>
    <w:rsid w:val="00AC4B40"/>
    <w:rsid w:val="00AC4C12"/>
    <w:rsid w:val="00AC4D67"/>
    <w:rsid w:val="00AC50ED"/>
    <w:rsid w:val="00AC518E"/>
    <w:rsid w:val="00AC51B9"/>
    <w:rsid w:val="00AC5390"/>
    <w:rsid w:val="00AC5763"/>
    <w:rsid w:val="00AC58C0"/>
    <w:rsid w:val="00AC59E3"/>
    <w:rsid w:val="00AC5BE6"/>
    <w:rsid w:val="00AC5C18"/>
    <w:rsid w:val="00AC5C3B"/>
    <w:rsid w:val="00AC5C6E"/>
    <w:rsid w:val="00AC5C81"/>
    <w:rsid w:val="00AC5E30"/>
    <w:rsid w:val="00AC61A3"/>
    <w:rsid w:val="00AC6233"/>
    <w:rsid w:val="00AC6331"/>
    <w:rsid w:val="00AC64AE"/>
    <w:rsid w:val="00AC6626"/>
    <w:rsid w:val="00AC675C"/>
    <w:rsid w:val="00AC682D"/>
    <w:rsid w:val="00AC685A"/>
    <w:rsid w:val="00AC6874"/>
    <w:rsid w:val="00AC6A76"/>
    <w:rsid w:val="00AC6BE9"/>
    <w:rsid w:val="00AC6CCD"/>
    <w:rsid w:val="00AC7006"/>
    <w:rsid w:val="00AC7118"/>
    <w:rsid w:val="00AC713B"/>
    <w:rsid w:val="00AC7327"/>
    <w:rsid w:val="00AC741E"/>
    <w:rsid w:val="00AC753F"/>
    <w:rsid w:val="00AC7623"/>
    <w:rsid w:val="00AC7643"/>
    <w:rsid w:val="00AC7662"/>
    <w:rsid w:val="00AC7B24"/>
    <w:rsid w:val="00AC7BE5"/>
    <w:rsid w:val="00AC7D61"/>
    <w:rsid w:val="00AC7DE9"/>
    <w:rsid w:val="00AC7DFA"/>
    <w:rsid w:val="00AD01A1"/>
    <w:rsid w:val="00AD0200"/>
    <w:rsid w:val="00AD03DA"/>
    <w:rsid w:val="00AD04CD"/>
    <w:rsid w:val="00AD05E5"/>
    <w:rsid w:val="00AD077E"/>
    <w:rsid w:val="00AD0B1E"/>
    <w:rsid w:val="00AD0C58"/>
    <w:rsid w:val="00AD0E92"/>
    <w:rsid w:val="00AD0EB0"/>
    <w:rsid w:val="00AD10A8"/>
    <w:rsid w:val="00AD1230"/>
    <w:rsid w:val="00AD12B7"/>
    <w:rsid w:val="00AD16ED"/>
    <w:rsid w:val="00AD1923"/>
    <w:rsid w:val="00AD19C0"/>
    <w:rsid w:val="00AD1AA5"/>
    <w:rsid w:val="00AD1B96"/>
    <w:rsid w:val="00AD1E1B"/>
    <w:rsid w:val="00AD1ED4"/>
    <w:rsid w:val="00AD2317"/>
    <w:rsid w:val="00AD231D"/>
    <w:rsid w:val="00AD23E6"/>
    <w:rsid w:val="00AD2552"/>
    <w:rsid w:val="00AD28F7"/>
    <w:rsid w:val="00AD2963"/>
    <w:rsid w:val="00AD29C7"/>
    <w:rsid w:val="00AD2CB1"/>
    <w:rsid w:val="00AD2D7A"/>
    <w:rsid w:val="00AD2D88"/>
    <w:rsid w:val="00AD2E0F"/>
    <w:rsid w:val="00AD2E64"/>
    <w:rsid w:val="00AD2F33"/>
    <w:rsid w:val="00AD3258"/>
    <w:rsid w:val="00AD358D"/>
    <w:rsid w:val="00AD38A3"/>
    <w:rsid w:val="00AD38D5"/>
    <w:rsid w:val="00AD3934"/>
    <w:rsid w:val="00AD3A12"/>
    <w:rsid w:val="00AD3A95"/>
    <w:rsid w:val="00AD3B19"/>
    <w:rsid w:val="00AD3B8E"/>
    <w:rsid w:val="00AD3B99"/>
    <w:rsid w:val="00AD3CA5"/>
    <w:rsid w:val="00AD3DA6"/>
    <w:rsid w:val="00AD3EFF"/>
    <w:rsid w:val="00AD3FBD"/>
    <w:rsid w:val="00AD40DD"/>
    <w:rsid w:val="00AD4126"/>
    <w:rsid w:val="00AD4130"/>
    <w:rsid w:val="00AD41BA"/>
    <w:rsid w:val="00AD4275"/>
    <w:rsid w:val="00AD4290"/>
    <w:rsid w:val="00AD437D"/>
    <w:rsid w:val="00AD4553"/>
    <w:rsid w:val="00AD480F"/>
    <w:rsid w:val="00AD4882"/>
    <w:rsid w:val="00AD4A06"/>
    <w:rsid w:val="00AD4A6E"/>
    <w:rsid w:val="00AD4CC4"/>
    <w:rsid w:val="00AD4D2E"/>
    <w:rsid w:val="00AD4D69"/>
    <w:rsid w:val="00AD4F53"/>
    <w:rsid w:val="00AD507C"/>
    <w:rsid w:val="00AD5087"/>
    <w:rsid w:val="00AD50DD"/>
    <w:rsid w:val="00AD5118"/>
    <w:rsid w:val="00AD515E"/>
    <w:rsid w:val="00AD5362"/>
    <w:rsid w:val="00AD538C"/>
    <w:rsid w:val="00AD5734"/>
    <w:rsid w:val="00AD5771"/>
    <w:rsid w:val="00AD5776"/>
    <w:rsid w:val="00AD5967"/>
    <w:rsid w:val="00AD5C83"/>
    <w:rsid w:val="00AD5DAD"/>
    <w:rsid w:val="00AD5DF0"/>
    <w:rsid w:val="00AD5E0A"/>
    <w:rsid w:val="00AD5E12"/>
    <w:rsid w:val="00AD5EA3"/>
    <w:rsid w:val="00AD5F2D"/>
    <w:rsid w:val="00AD5FCB"/>
    <w:rsid w:val="00AD62A0"/>
    <w:rsid w:val="00AD631F"/>
    <w:rsid w:val="00AD662E"/>
    <w:rsid w:val="00AD6682"/>
    <w:rsid w:val="00AD69CE"/>
    <w:rsid w:val="00AD6A58"/>
    <w:rsid w:val="00AD6AC5"/>
    <w:rsid w:val="00AD6D51"/>
    <w:rsid w:val="00AD6DA4"/>
    <w:rsid w:val="00AD6E9F"/>
    <w:rsid w:val="00AD6F97"/>
    <w:rsid w:val="00AD7097"/>
    <w:rsid w:val="00AD70D8"/>
    <w:rsid w:val="00AD7122"/>
    <w:rsid w:val="00AD723D"/>
    <w:rsid w:val="00AD7390"/>
    <w:rsid w:val="00AD77AA"/>
    <w:rsid w:val="00AD788E"/>
    <w:rsid w:val="00AD78A7"/>
    <w:rsid w:val="00AD7996"/>
    <w:rsid w:val="00AD7A0F"/>
    <w:rsid w:val="00AD7A9A"/>
    <w:rsid w:val="00AD7A9C"/>
    <w:rsid w:val="00AD7E67"/>
    <w:rsid w:val="00AD7EDB"/>
    <w:rsid w:val="00AD7FC7"/>
    <w:rsid w:val="00AE00CE"/>
    <w:rsid w:val="00AE03EE"/>
    <w:rsid w:val="00AE04A0"/>
    <w:rsid w:val="00AE04A3"/>
    <w:rsid w:val="00AE051C"/>
    <w:rsid w:val="00AE059E"/>
    <w:rsid w:val="00AE0788"/>
    <w:rsid w:val="00AE08D6"/>
    <w:rsid w:val="00AE09C6"/>
    <w:rsid w:val="00AE0AE3"/>
    <w:rsid w:val="00AE0B51"/>
    <w:rsid w:val="00AE0BA8"/>
    <w:rsid w:val="00AE0CA8"/>
    <w:rsid w:val="00AE0DCF"/>
    <w:rsid w:val="00AE1027"/>
    <w:rsid w:val="00AE1091"/>
    <w:rsid w:val="00AE10A1"/>
    <w:rsid w:val="00AE10F3"/>
    <w:rsid w:val="00AE12F1"/>
    <w:rsid w:val="00AE136A"/>
    <w:rsid w:val="00AE1520"/>
    <w:rsid w:val="00AE165C"/>
    <w:rsid w:val="00AE17CA"/>
    <w:rsid w:val="00AE188F"/>
    <w:rsid w:val="00AE18A4"/>
    <w:rsid w:val="00AE1918"/>
    <w:rsid w:val="00AE19D5"/>
    <w:rsid w:val="00AE1A55"/>
    <w:rsid w:val="00AE1AF7"/>
    <w:rsid w:val="00AE1CD2"/>
    <w:rsid w:val="00AE1E46"/>
    <w:rsid w:val="00AE1F3B"/>
    <w:rsid w:val="00AE21FF"/>
    <w:rsid w:val="00AE2333"/>
    <w:rsid w:val="00AE233B"/>
    <w:rsid w:val="00AE24D6"/>
    <w:rsid w:val="00AE265A"/>
    <w:rsid w:val="00AE26E0"/>
    <w:rsid w:val="00AE270A"/>
    <w:rsid w:val="00AE286C"/>
    <w:rsid w:val="00AE2912"/>
    <w:rsid w:val="00AE2A6B"/>
    <w:rsid w:val="00AE2B3A"/>
    <w:rsid w:val="00AE2BE9"/>
    <w:rsid w:val="00AE2C23"/>
    <w:rsid w:val="00AE2C42"/>
    <w:rsid w:val="00AE2CE8"/>
    <w:rsid w:val="00AE2FA7"/>
    <w:rsid w:val="00AE2FB9"/>
    <w:rsid w:val="00AE3227"/>
    <w:rsid w:val="00AE3235"/>
    <w:rsid w:val="00AE32DA"/>
    <w:rsid w:val="00AE33CE"/>
    <w:rsid w:val="00AE3513"/>
    <w:rsid w:val="00AE353A"/>
    <w:rsid w:val="00AE3789"/>
    <w:rsid w:val="00AE378E"/>
    <w:rsid w:val="00AE3849"/>
    <w:rsid w:val="00AE395B"/>
    <w:rsid w:val="00AE397D"/>
    <w:rsid w:val="00AE39B4"/>
    <w:rsid w:val="00AE39BE"/>
    <w:rsid w:val="00AE3A12"/>
    <w:rsid w:val="00AE3B7A"/>
    <w:rsid w:val="00AE3C27"/>
    <w:rsid w:val="00AE3C84"/>
    <w:rsid w:val="00AE3D90"/>
    <w:rsid w:val="00AE4518"/>
    <w:rsid w:val="00AE45FB"/>
    <w:rsid w:val="00AE4679"/>
    <w:rsid w:val="00AE46CD"/>
    <w:rsid w:val="00AE477B"/>
    <w:rsid w:val="00AE4994"/>
    <w:rsid w:val="00AE4AF0"/>
    <w:rsid w:val="00AE4B07"/>
    <w:rsid w:val="00AE4C1B"/>
    <w:rsid w:val="00AE4C2D"/>
    <w:rsid w:val="00AE4EA1"/>
    <w:rsid w:val="00AE4EFE"/>
    <w:rsid w:val="00AE4FA2"/>
    <w:rsid w:val="00AE5024"/>
    <w:rsid w:val="00AE5048"/>
    <w:rsid w:val="00AE50FC"/>
    <w:rsid w:val="00AE52C9"/>
    <w:rsid w:val="00AE52CD"/>
    <w:rsid w:val="00AE5395"/>
    <w:rsid w:val="00AE53C9"/>
    <w:rsid w:val="00AE543B"/>
    <w:rsid w:val="00AE5587"/>
    <w:rsid w:val="00AE55CB"/>
    <w:rsid w:val="00AE55CD"/>
    <w:rsid w:val="00AE5B25"/>
    <w:rsid w:val="00AE5BA1"/>
    <w:rsid w:val="00AE6092"/>
    <w:rsid w:val="00AE6479"/>
    <w:rsid w:val="00AE6481"/>
    <w:rsid w:val="00AE658F"/>
    <w:rsid w:val="00AE65F2"/>
    <w:rsid w:val="00AE6621"/>
    <w:rsid w:val="00AE66A2"/>
    <w:rsid w:val="00AE691B"/>
    <w:rsid w:val="00AE7332"/>
    <w:rsid w:val="00AE7507"/>
    <w:rsid w:val="00AE755D"/>
    <w:rsid w:val="00AE75AB"/>
    <w:rsid w:val="00AE7912"/>
    <w:rsid w:val="00AE79CB"/>
    <w:rsid w:val="00AE7A34"/>
    <w:rsid w:val="00AE7BF5"/>
    <w:rsid w:val="00AE7D80"/>
    <w:rsid w:val="00AE7E0D"/>
    <w:rsid w:val="00AE7F23"/>
    <w:rsid w:val="00AF0281"/>
    <w:rsid w:val="00AF0661"/>
    <w:rsid w:val="00AF0740"/>
    <w:rsid w:val="00AF07BA"/>
    <w:rsid w:val="00AF0845"/>
    <w:rsid w:val="00AF0888"/>
    <w:rsid w:val="00AF09F6"/>
    <w:rsid w:val="00AF0C8A"/>
    <w:rsid w:val="00AF0CB9"/>
    <w:rsid w:val="00AF0E5F"/>
    <w:rsid w:val="00AF0E66"/>
    <w:rsid w:val="00AF0EC4"/>
    <w:rsid w:val="00AF0F5D"/>
    <w:rsid w:val="00AF1045"/>
    <w:rsid w:val="00AF107A"/>
    <w:rsid w:val="00AF10F6"/>
    <w:rsid w:val="00AF1139"/>
    <w:rsid w:val="00AF11D4"/>
    <w:rsid w:val="00AF13C0"/>
    <w:rsid w:val="00AF1404"/>
    <w:rsid w:val="00AF15E7"/>
    <w:rsid w:val="00AF1624"/>
    <w:rsid w:val="00AF1760"/>
    <w:rsid w:val="00AF1A7D"/>
    <w:rsid w:val="00AF1EDB"/>
    <w:rsid w:val="00AF1F18"/>
    <w:rsid w:val="00AF21D5"/>
    <w:rsid w:val="00AF22A5"/>
    <w:rsid w:val="00AF2420"/>
    <w:rsid w:val="00AF245F"/>
    <w:rsid w:val="00AF24C0"/>
    <w:rsid w:val="00AF24D5"/>
    <w:rsid w:val="00AF24F8"/>
    <w:rsid w:val="00AF2558"/>
    <w:rsid w:val="00AF260B"/>
    <w:rsid w:val="00AF2900"/>
    <w:rsid w:val="00AF29D0"/>
    <w:rsid w:val="00AF2A67"/>
    <w:rsid w:val="00AF2D16"/>
    <w:rsid w:val="00AF2E1B"/>
    <w:rsid w:val="00AF2E4E"/>
    <w:rsid w:val="00AF2EE9"/>
    <w:rsid w:val="00AF2EFE"/>
    <w:rsid w:val="00AF2FE6"/>
    <w:rsid w:val="00AF30DE"/>
    <w:rsid w:val="00AF320D"/>
    <w:rsid w:val="00AF3239"/>
    <w:rsid w:val="00AF3592"/>
    <w:rsid w:val="00AF3637"/>
    <w:rsid w:val="00AF36E0"/>
    <w:rsid w:val="00AF372C"/>
    <w:rsid w:val="00AF3772"/>
    <w:rsid w:val="00AF38DE"/>
    <w:rsid w:val="00AF3B7C"/>
    <w:rsid w:val="00AF3CED"/>
    <w:rsid w:val="00AF3D93"/>
    <w:rsid w:val="00AF3E2A"/>
    <w:rsid w:val="00AF3E2D"/>
    <w:rsid w:val="00AF3FB6"/>
    <w:rsid w:val="00AF3FF3"/>
    <w:rsid w:val="00AF4057"/>
    <w:rsid w:val="00AF426F"/>
    <w:rsid w:val="00AF42C8"/>
    <w:rsid w:val="00AF43AC"/>
    <w:rsid w:val="00AF4414"/>
    <w:rsid w:val="00AF44D9"/>
    <w:rsid w:val="00AF46AC"/>
    <w:rsid w:val="00AF4B49"/>
    <w:rsid w:val="00AF4BF9"/>
    <w:rsid w:val="00AF4E2F"/>
    <w:rsid w:val="00AF5153"/>
    <w:rsid w:val="00AF5193"/>
    <w:rsid w:val="00AF5301"/>
    <w:rsid w:val="00AF5596"/>
    <w:rsid w:val="00AF55BF"/>
    <w:rsid w:val="00AF5636"/>
    <w:rsid w:val="00AF591E"/>
    <w:rsid w:val="00AF5964"/>
    <w:rsid w:val="00AF59D5"/>
    <w:rsid w:val="00AF59DB"/>
    <w:rsid w:val="00AF5A0D"/>
    <w:rsid w:val="00AF5A42"/>
    <w:rsid w:val="00AF5AA5"/>
    <w:rsid w:val="00AF5CD5"/>
    <w:rsid w:val="00AF5D83"/>
    <w:rsid w:val="00AF5DAB"/>
    <w:rsid w:val="00AF5E5F"/>
    <w:rsid w:val="00AF5EEE"/>
    <w:rsid w:val="00AF60FE"/>
    <w:rsid w:val="00AF626A"/>
    <w:rsid w:val="00AF63E2"/>
    <w:rsid w:val="00AF6496"/>
    <w:rsid w:val="00AF67F8"/>
    <w:rsid w:val="00AF6941"/>
    <w:rsid w:val="00AF699B"/>
    <w:rsid w:val="00AF6A5B"/>
    <w:rsid w:val="00AF6A9E"/>
    <w:rsid w:val="00AF734E"/>
    <w:rsid w:val="00AF7403"/>
    <w:rsid w:val="00AF78ED"/>
    <w:rsid w:val="00AF7B0F"/>
    <w:rsid w:val="00AF7CD1"/>
    <w:rsid w:val="00AF7D5B"/>
    <w:rsid w:val="00AF7FE8"/>
    <w:rsid w:val="00B00016"/>
    <w:rsid w:val="00B000C4"/>
    <w:rsid w:val="00B00150"/>
    <w:rsid w:val="00B00554"/>
    <w:rsid w:val="00B006F6"/>
    <w:rsid w:val="00B0070F"/>
    <w:rsid w:val="00B007B1"/>
    <w:rsid w:val="00B00880"/>
    <w:rsid w:val="00B0099A"/>
    <w:rsid w:val="00B00A42"/>
    <w:rsid w:val="00B00CAF"/>
    <w:rsid w:val="00B00E9E"/>
    <w:rsid w:val="00B00EB5"/>
    <w:rsid w:val="00B00F24"/>
    <w:rsid w:val="00B00FBE"/>
    <w:rsid w:val="00B00FDE"/>
    <w:rsid w:val="00B010D9"/>
    <w:rsid w:val="00B013CB"/>
    <w:rsid w:val="00B0142E"/>
    <w:rsid w:val="00B01492"/>
    <w:rsid w:val="00B015BF"/>
    <w:rsid w:val="00B01615"/>
    <w:rsid w:val="00B01678"/>
    <w:rsid w:val="00B0167D"/>
    <w:rsid w:val="00B01768"/>
    <w:rsid w:val="00B0183C"/>
    <w:rsid w:val="00B0186E"/>
    <w:rsid w:val="00B0189B"/>
    <w:rsid w:val="00B0191B"/>
    <w:rsid w:val="00B0192D"/>
    <w:rsid w:val="00B01958"/>
    <w:rsid w:val="00B01989"/>
    <w:rsid w:val="00B019C9"/>
    <w:rsid w:val="00B01B95"/>
    <w:rsid w:val="00B01BB9"/>
    <w:rsid w:val="00B01BFE"/>
    <w:rsid w:val="00B01EDA"/>
    <w:rsid w:val="00B01FDE"/>
    <w:rsid w:val="00B021A5"/>
    <w:rsid w:val="00B024E1"/>
    <w:rsid w:val="00B0253D"/>
    <w:rsid w:val="00B02775"/>
    <w:rsid w:val="00B02AF2"/>
    <w:rsid w:val="00B02B52"/>
    <w:rsid w:val="00B02B56"/>
    <w:rsid w:val="00B02E78"/>
    <w:rsid w:val="00B02E79"/>
    <w:rsid w:val="00B02ED2"/>
    <w:rsid w:val="00B03056"/>
    <w:rsid w:val="00B03081"/>
    <w:rsid w:val="00B03104"/>
    <w:rsid w:val="00B0324D"/>
    <w:rsid w:val="00B0331A"/>
    <w:rsid w:val="00B03712"/>
    <w:rsid w:val="00B0377B"/>
    <w:rsid w:val="00B037E4"/>
    <w:rsid w:val="00B0386E"/>
    <w:rsid w:val="00B038AE"/>
    <w:rsid w:val="00B03A29"/>
    <w:rsid w:val="00B03A38"/>
    <w:rsid w:val="00B03AC3"/>
    <w:rsid w:val="00B03F25"/>
    <w:rsid w:val="00B04014"/>
    <w:rsid w:val="00B04150"/>
    <w:rsid w:val="00B04219"/>
    <w:rsid w:val="00B04379"/>
    <w:rsid w:val="00B04693"/>
    <w:rsid w:val="00B04804"/>
    <w:rsid w:val="00B04821"/>
    <w:rsid w:val="00B048CB"/>
    <w:rsid w:val="00B04943"/>
    <w:rsid w:val="00B04992"/>
    <w:rsid w:val="00B04A2E"/>
    <w:rsid w:val="00B04A7A"/>
    <w:rsid w:val="00B04B22"/>
    <w:rsid w:val="00B05005"/>
    <w:rsid w:val="00B0518E"/>
    <w:rsid w:val="00B05277"/>
    <w:rsid w:val="00B053EB"/>
    <w:rsid w:val="00B0544F"/>
    <w:rsid w:val="00B05465"/>
    <w:rsid w:val="00B0546F"/>
    <w:rsid w:val="00B05555"/>
    <w:rsid w:val="00B056BC"/>
    <w:rsid w:val="00B05982"/>
    <w:rsid w:val="00B059F6"/>
    <w:rsid w:val="00B05B07"/>
    <w:rsid w:val="00B05BAD"/>
    <w:rsid w:val="00B05C09"/>
    <w:rsid w:val="00B05D4D"/>
    <w:rsid w:val="00B05D8E"/>
    <w:rsid w:val="00B05E6B"/>
    <w:rsid w:val="00B05F3A"/>
    <w:rsid w:val="00B05F4D"/>
    <w:rsid w:val="00B06108"/>
    <w:rsid w:val="00B06166"/>
    <w:rsid w:val="00B062A4"/>
    <w:rsid w:val="00B06580"/>
    <w:rsid w:val="00B06806"/>
    <w:rsid w:val="00B06948"/>
    <w:rsid w:val="00B06A10"/>
    <w:rsid w:val="00B06A2E"/>
    <w:rsid w:val="00B06B53"/>
    <w:rsid w:val="00B06C8F"/>
    <w:rsid w:val="00B06D6D"/>
    <w:rsid w:val="00B06E36"/>
    <w:rsid w:val="00B06E41"/>
    <w:rsid w:val="00B06EAB"/>
    <w:rsid w:val="00B06F21"/>
    <w:rsid w:val="00B0726E"/>
    <w:rsid w:val="00B0729A"/>
    <w:rsid w:val="00B07318"/>
    <w:rsid w:val="00B07428"/>
    <w:rsid w:val="00B07588"/>
    <w:rsid w:val="00B07749"/>
    <w:rsid w:val="00B07938"/>
    <w:rsid w:val="00B079F0"/>
    <w:rsid w:val="00B07CDA"/>
    <w:rsid w:val="00B07D76"/>
    <w:rsid w:val="00B07E81"/>
    <w:rsid w:val="00B07F74"/>
    <w:rsid w:val="00B10021"/>
    <w:rsid w:val="00B102C9"/>
    <w:rsid w:val="00B1034C"/>
    <w:rsid w:val="00B10594"/>
    <w:rsid w:val="00B105D5"/>
    <w:rsid w:val="00B108BD"/>
    <w:rsid w:val="00B108F2"/>
    <w:rsid w:val="00B10B45"/>
    <w:rsid w:val="00B10CB0"/>
    <w:rsid w:val="00B10CF5"/>
    <w:rsid w:val="00B10ECB"/>
    <w:rsid w:val="00B10ECD"/>
    <w:rsid w:val="00B11498"/>
    <w:rsid w:val="00B1167D"/>
    <w:rsid w:val="00B11F5F"/>
    <w:rsid w:val="00B11FED"/>
    <w:rsid w:val="00B12071"/>
    <w:rsid w:val="00B12116"/>
    <w:rsid w:val="00B121D2"/>
    <w:rsid w:val="00B121DC"/>
    <w:rsid w:val="00B12619"/>
    <w:rsid w:val="00B126BE"/>
    <w:rsid w:val="00B126CD"/>
    <w:rsid w:val="00B127DF"/>
    <w:rsid w:val="00B1299A"/>
    <w:rsid w:val="00B12E04"/>
    <w:rsid w:val="00B12E59"/>
    <w:rsid w:val="00B12F67"/>
    <w:rsid w:val="00B12FAD"/>
    <w:rsid w:val="00B13166"/>
    <w:rsid w:val="00B13226"/>
    <w:rsid w:val="00B13368"/>
    <w:rsid w:val="00B133E3"/>
    <w:rsid w:val="00B13452"/>
    <w:rsid w:val="00B135F8"/>
    <w:rsid w:val="00B13825"/>
    <w:rsid w:val="00B13894"/>
    <w:rsid w:val="00B138DF"/>
    <w:rsid w:val="00B13986"/>
    <w:rsid w:val="00B13A03"/>
    <w:rsid w:val="00B141DC"/>
    <w:rsid w:val="00B1421B"/>
    <w:rsid w:val="00B14288"/>
    <w:rsid w:val="00B142E6"/>
    <w:rsid w:val="00B142F2"/>
    <w:rsid w:val="00B14440"/>
    <w:rsid w:val="00B144F7"/>
    <w:rsid w:val="00B14714"/>
    <w:rsid w:val="00B148F4"/>
    <w:rsid w:val="00B14BAC"/>
    <w:rsid w:val="00B14D99"/>
    <w:rsid w:val="00B14F0D"/>
    <w:rsid w:val="00B1501E"/>
    <w:rsid w:val="00B151AF"/>
    <w:rsid w:val="00B15328"/>
    <w:rsid w:val="00B15433"/>
    <w:rsid w:val="00B15554"/>
    <w:rsid w:val="00B155B1"/>
    <w:rsid w:val="00B156B1"/>
    <w:rsid w:val="00B1582C"/>
    <w:rsid w:val="00B15966"/>
    <w:rsid w:val="00B159BC"/>
    <w:rsid w:val="00B15A0C"/>
    <w:rsid w:val="00B15D97"/>
    <w:rsid w:val="00B15DB9"/>
    <w:rsid w:val="00B160F3"/>
    <w:rsid w:val="00B16197"/>
    <w:rsid w:val="00B161E4"/>
    <w:rsid w:val="00B16258"/>
    <w:rsid w:val="00B163B4"/>
    <w:rsid w:val="00B16558"/>
    <w:rsid w:val="00B16645"/>
    <w:rsid w:val="00B166F2"/>
    <w:rsid w:val="00B168B2"/>
    <w:rsid w:val="00B16C79"/>
    <w:rsid w:val="00B16F4F"/>
    <w:rsid w:val="00B16FB3"/>
    <w:rsid w:val="00B1703F"/>
    <w:rsid w:val="00B170D8"/>
    <w:rsid w:val="00B170FA"/>
    <w:rsid w:val="00B1713A"/>
    <w:rsid w:val="00B1758E"/>
    <w:rsid w:val="00B176E1"/>
    <w:rsid w:val="00B17704"/>
    <w:rsid w:val="00B17753"/>
    <w:rsid w:val="00B17987"/>
    <w:rsid w:val="00B17A3E"/>
    <w:rsid w:val="00B17ACD"/>
    <w:rsid w:val="00B17AE3"/>
    <w:rsid w:val="00B17D3D"/>
    <w:rsid w:val="00B2005A"/>
    <w:rsid w:val="00B2007A"/>
    <w:rsid w:val="00B200E6"/>
    <w:rsid w:val="00B201DC"/>
    <w:rsid w:val="00B20223"/>
    <w:rsid w:val="00B20488"/>
    <w:rsid w:val="00B2048B"/>
    <w:rsid w:val="00B204B4"/>
    <w:rsid w:val="00B204DF"/>
    <w:rsid w:val="00B207F8"/>
    <w:rsid w:val="00B20930"/>
    <w:rsid w:val="00B20971"/>
    <w:rsid w:val="00B209AD"/>
    <w:rsid w:val="00B20A2F"/>
    <w:rsid w:val="00B20ADD"/>
    <w:rsid w:val="00B20BAB"/>
    <w:rsid w:val="00B20E0F"/>
    <w:rsid w:val="00B20E8A"/>
    <w:rsid w:val="00B20F63"/>
    <w:rsid w:val="00B20F84"/>
    <w:rsid w:val="00B210A8"/>
    <w:rsid w:val="00B210EF"/>
    <w:rsid w:val="00B21108"/>
    <w:rsid w:val="00B211D6"/>
    <w:rsid w:val="00B212CD"/>
    <w:rsid w:val="00B212FA"/>
    <w:rsid w:val="00B2145F"/>
    <w:rsid w:val="00B2151D"/>
    <w:rsid w:val="00B21574"/>
    <w:rsid w:val="00B215DB"/>
    <w:rsid w:val="00B21603"/>
    <w:rsid w:val="00B216B9"/>
    <w:rsid w:val="00B21795"/>
    <w:rsid w:val="00B21822"/>
    <w:rsid w:val="00B219C8"/>
    <w:rsid w:val="00B219D1"/>
    <w:rsid w:val="00B21A47"/>
    <w:rsid w:val="00B21A5A"/>
    <w:rsid w:val="00B21B3E"/>
    <w:rsid w:val="00B21C5C"/>
    <w:rsid w:val="00B21D10"/>
    <w:rsid w:val="00B21D36"/>
    <w:rsid w:val="00B21E56"/>
    <w:rsid w:val="00B2261A"/>
    <w:rsid w:val="00B2288A"/>
    <w:rsid w:val="00B229DA"/>
    <w:rsid w:val="00B22D03"/>
    <w:rsid w:val="00B22DF8"/>
    <w:rsid w:val="00B23127"/>
    <w:rsid w:val="00B2331A"/>
    <w:rsid w:val="00B234DD"/>
    <w:rsid w:val="00B23526"/>
    <w:rsid w:val="00B2368E"/>
    <w:rsid w:val="00B238B5"/>
    <w:rsid w:val="00B23A5F"/>
    <w:rsid w:val="00B23AA3"/>
    <w:rsid w:val="00B23AED"/>
    <w:rsid w:val="00B23B31"/>
    <w:rsid w:val="00B23DF8"/>
    <w:rsid w:val="00B24494"/>
    <w:rsid w:val="00B244E4"/>
    <w:rsid w:val="00B2458D"/>
    <w:rsid w:val="00B2459E"/>
    <w:rsid w:val="00B2476C"/>
    <w:rsid w:val="00B24826"/>
    <w:rsid w:val="00B248AE"/>
    <w:rsid w:val="00B24B5A"/>
    <w:rsid w:val="00B24BD9"/>
    <w:rsid w:val="00B24E7A"/>
    <w:rsid w:val="00B24F00"/>
    <w:rsid w:val="00B24F17"/>
    <w:rsid w:val="00B25184"/>
    <w:rsid w:val="00B252BC"/>
    <w:rsid w:val="00B25596"/>
    <w:rsid w:val="00B2570E"/>
    <w:rsid w:val="00B25774"/>
    <w:rsid w:val="00B258E6"/>
    <w:rsid w:val="00B259AB"/>
    <w:rsid w:val="00B25A2F"/>
    <w:rsid w:val="00B25AE2"/>
    <w:rsid w:val="00B25B2B"/>
    <w:rsid w:val="00B25E5C"/>
    <w:rsid w:val="00B25EC2"/>
    <w:rsid w:val="00B25F17"/>
    <w:rsid w:val="00B26085"/>
    <w:rsid w:val="00B260F1"/>
    <w:rsid w:val="00B2626B"/>
    <w:rsid w:val="00B26283"/>
    <w:rsid w:val="00B26305"/>
    <w:rsid w:val="00B2633C"/>
    <w:rsid w:val="00B2638B"/>
    <w:rsid w:val="00B264AE"/>
    <w:rsid w:val="00B26536"/>
    <w:rsid w:val="00B2697C"/>
    <w:rsid w:val="00B26BA6"/>
    <w:rsid w:val="00B26C15"/>
    <w:rsid w:val="00B26DCA"/>
    <w:rsid w:val="00B26E8C"/>
    <w:rsid w:val="00B27239"/>
    <w:rsid w:val="00B27334"/>
    <w:rsid w:val="00B274F0"/>
    <w:rsid w:val="00B27577"/>
    <w:rsid w:val="00B27662"/>
    <w:rsid w:val="00B27714"/>
    <w:rsid w:val="00B2772C"/>
    <w:rsid w:val="00B27900"/>
    <w:rsid w:val="00B2798B"/>
    <w:rsid w:val="00B279F4"/>
    <w:rsid w:val="00B27AB3"/>
    <w:rsid w:val="00B27B69"/>
    <w:rsid w:val="00B27C6C"/>
    <w:rsid w:val="00B27F04"/>
    <w:rsid w:val="00B27F7F"/>
    <w:rsid w:val="00B27FB9"/>
    <w:rsid w:val="00B300F3"/>
    <w:rsid w:val="00B30132"/>
    <w:rsid w:val="00B3024F"/>
    <w:rsid w:val="00B303BE"/>
    <w:rsid w:val="00B303FD"/>
    <w:rsid w:val="00B30484"/>
    <w:rsid w:val="00B30521"/>
    <w:rsid w:val="00B305AF"/>
    <w:rsid w:val="00B30713"/>
    <w:rsid w:val="00B3071A"/>
    <w:rsid w:val="00B30812"/>
    <w:rsid w:val="00B30A90"/>
    <w:rsid w:val="00B30B0F"/>
    <w:rsid w:val="00B30D79"/>
    <w:rsid w:val="00B30E5A"/>
    <w:rsid w:val="00B30EFE"/>
    <w:rsid w:val="00B30F2B"/>
    <w:rsid w:val="00B3109E"/>
    <w:rsid w:val="00B310A6"/>
    <w:rsid w:val="00B310C5"/>
    <w:rsid w:val="00B3112D"/>
    <w:rsid w:val="00B3117E"/>
    <w:rsid w:val="00B31199"/>
    <w:rsid w:val="00B31251"/>
    <w:rsid w:val="00B3125A"/>
    <w:rsid w:val="00B3125E"/>
    <w:rsid w:val="00B31261"/>
    <w:rsid w:val="00B313C9"/>
    <w:rsid w:val="00B31536"/>
    <w:rsid w:val="00B3175D"/>
    <w:rsid w:val="00B319A5"/>
    <w:rsid w:val="00B31B16"/>
    <w:rsid w:val="00B31D36"/>
    <w:rsid w:val="00B31D40"/>
    <w:rsid w:val="00B31EC2"/>
    <w:rsid w:val="00B32168"/>
    <w:rsid w:val="00B32204"/>
    <w:rsid w:val="00B32388"/>
    <w:rsid w:val="00B325E2"/>
    <w:rsid w:val="00B3264C"/>
    <w:rsid w:val="00B327E0"/>
    <w:rsid w:val="00B3284A"/>
    <w:rsid w:val="00B32A57"/>
    <w:rsid w:val="00B32B87"/>
    <w:rsid w:val="00B32BB1"/>
    <w:rsid w:val="00B32DFC"/>
    <w:rsid w:val="00B32E8F"/>
    <w:rsid w:val="00B32EA9"/>
    <w:rsid w:val="00B32EB7"/>
    <w:rsid w:val="00B32EC7"/>
    <w:rsid w:val="00B32FA1"/>
    <w:rsid w:val="00B3336B"/>
    <w:rsid w:val="00B33471"/>
    <w:rsid w:val="00B33662"/>
    <w:rsid w:val="00B33807"/>
    <w:rsid w:val="00B3384D"/>
    <w:rsid w:val="00B338DC"/>
    <w:rsid w:val="00B33940"/>
    <w:rsid w:val="00B33F05"/>
    <w:rsid w:val="00B340B0"/>
    <w:rsid w:val="00B34155"/>
    <w:rsid w:val="00B342F6"/>
    <w:rsid w:val="00B34305"/>
    <w:rsid w:val="00B343A7"/>
    <w:rsid w:val="00B34441"/>
    <w:rsid w:val="00B344EC"/>
    <w:rsid w:val="00B3450D"/>
    <w:rsid w:val="00B3457B"/>
    <w:rsid w:val="00B34831"/>
    <w:rsid w:val="00B3483A"/>
    <w:rsid w:val="00B348F7"/>
    <w:rsid w:val="00B34B63"/>
    <w:rsid w:val="00B34BA9"/>
    <w:rsid w:val="00B34BE9"/>
    <w:rsid w:val="00B34C00"/>
    <w:rsid w:val="00B34C83"/>
    <w:rsid w:val="00B35346"/>
    <w:rsid w:val="00B3538C"/>
    <w:rsid w:val="00B3539D"/>
    <w:rsid w:val="00B354EA"/>
    <w:rsid w:val="00B35588"/>
    <w:rsid w:val="00B3563A"/>
    <w:rsid w:val="00B3577B"/>
    <w:rsid w:val="00B357B9"/>
    <w:rsid w:val="00B358CC"/>
    <w:rsid w:val="00B35A95"/>
    <w:rsid w:val="00B35A9B"/>
    <w:rsid w:val="00B35B53"/>
    <w:rsid w:val="00B35C94"/>
    <w:rsid w:val="00B35D35"/>
    <w:rsid w:val="00B35E0C"/>
    <w:rsid w:val="00B36054"/>
    <w:rsid w:val="00B36062"/>
    <w:rsid w:val="00B36190"/>
    <w:rsid w:val="00B361C4"/>
    <w:rsid w:val="00B361ED"/>
    <w:rsid w:val="00B362CA"/>
    <w:rsid w:val="00B36395"/>
    <w:rsid w:val="00B3646C"/>
    <w:rsid w:val="00B364E1"/>
    <w:rsid w:val="00B3653F"/>
    <w:rsid w:val="00B3665A"/>
    <w:rsid w:val="00B367BB"/>
    <w:rsid w:val="00B367C3"/>
    <w:rsid w:val="00B3681D"/>
    <w:rsid w:val="00B36B90"/>
    <w:rsid w:val="00B36C40"/>
    <w:rsid w:val="00B36C90"/>
    <w:rsid w:val="00B36FEF"/>
    <w:rsid w:val="00B370D2"/>
    <w:rsid w:val="00B373D2"/>
    <w:rsid w:val="00B376A8"/>
    <w:rsid w:val="00B3777E"/>
    <w:rsid w:val="00B37809"/>
    <w:rsid w:val="00B3798E"/>
    <w:rsid w:val="00B379B4"/>
    <w:rsid w:val="00B37ACF"/>
    <w:rsid w:val="00B37BB8"/>
    <w:rsid w:val="00B37C14"/>
    <w:rsid w:val="00B37D49"/>
    <w:rsid w:val="00B37DFA"/>
    <w:rsid w:val="00B37E74"/>
    <w:rsid w:val="00B40081"/>
    <w:rsid w:val="00B401C0"/>
    <w:rsid w:val="00B401F3"/>
    <w:rsid w:val="00B401F5"/>
    <w:rsid w:val="00B402C1"/>
    <w:rsid w:val="00B403D4"/>
    <w:rsid w:val="00B404F0"/>
    <w:rsid w:val="00B40500"/>
    <w:rsid w:val="00B4068F"/>
    <w:rsid w:val="00B4089E"/>
    <w:rsid w:val="00B40A60"/>
    <w:rsid w:val="00B40AC8"/>
    <w:rsid w:val="00B40B26"/>
    <w:rsid w:val="00B40B47"/>
    <w:rsid w:val="00B40B98"/>
    <w:rsid w:val="00B40D3B"/>
    <w:rsid w:val="00B40D4F"/>
    <w:rsid w:val="00B40DD8"/>
    <w:rsid w:val="00B40E06"/>
    <w:rsid w:val="00B40F00"/>
    <w:rsid w:val="00B40F8B"/>
    <w:rsid w:val="00B40FB6"/>
    <w:rsid w:val="00B41021"/>
    <w:rsid w:val="00B41112"/>
    <w:rsid w:val="00B411CD"/>
    <w:rsid w:val="00B41250"/>
    <w:rsid w:val="00B4125F"/>
    <w:rsid w:val="00B4126C"/>
    <w:rsid w:val="00B41345"/>
    <w:rsid w:val="00B4151D"/>
    <w:rsid w:val="00B4157F"/>
    <w:rsid w:val="00B41685"/>
    <w:rsid w:val="00B416AD"/>
    <w:rsid w:val="00B41989"/>
    <w:rsid w:val="00B41A05"/>
    <w:rsid w:val="00B41B4D"/>
    <w:rsid w:val="00B420C1"/>
    <w:rsid w:val="00B42991"/>
    <w:rsid w:val="00B429D6"/>
    <w:rsid w:val="00B42A4B"/>
    <w:rsid w:val="00B42B99"/>
    <w:rsid w:val="00B42D81"/>
    <w:rsid w:val="00B42DAC"/>
    <w:rsid w:val="00B42FF8"/>
    <w:rsid w:val="00B4303B"/>
    <w:rsid w:val="00B43042"/>
    <w:rsid w:val="00B43074"/>
    <w:rsid w:val="00B4370A"/>
    <w:rsid w:val="00B438B9"/>
    <w:rsid w:val="00B438C7"/>
    <w:rsid w:val="00B438F7"/>
    <w:rsid w:val="00B4392B"/>
    <w:rsid w:val="00B43AED"/>
    <w:rsid w:val="00B43F31"/>
    <w:rsid w:val="00B43FB1"/>
    <w:rsid w:val="00B43FF9"/>
    <w:rsid w:val="00B4407E"/>
    <w:rsid w:val="00B440E8"/>
    <w:rsid w:val="00B44185"/>
    <w:rsid w:val="00B44224"/>
    <w:rsid w:val="00B44BD7"/>
    <w:rsid w:val="00B44D5B"/>
    <w:rsid w:val="00B44E26"/>
    <w:rsid w:val="00B44E89"/>
    <w:rsid w:val="00B45272"/>
    <w:rsid w:val="00B452D8"/>
    <w:rsid w:val="00B455A5"/>
    <w:rsid w:val="00B4560D"/>
    <w:rsid w:val="00B4566C"/>
    <w:rsid w:val="00B45857"/>
    <w:rsid w:val="00B4587C"/>
    <w:rsid w:val="00B458DB"/>
    <w:rsid w:val="00B45CF5"/>
    <w:rsid w:val="00B45DFD"/>
    <w:rsid w:val="00B45FB8"/>
    <w:rsid w:val="00B460B9"/>
    <w:rsid w:val="00B46157"/>
    <w:rsid w:val="00B4655B"/>
    <w:rsid w:val="00B466C7"/>
    <w:rsid w:val="00B4695C"/>
    <w:rsid w:val="00B46A39"/>
    <w:rsid w:val="00B46B84"/>
    <w:rsid w:val="00B46C3A"/>
    <w:rsid w:val="00B46D64"/>
    <w:rsid w:val="00B46F23"/>
    <w:rsid w:val="00B470D6"/>
    <w:rsid w:val="00B471C4"/>
    <w:rsid w:val="00B473ED"/>
    <w:rsid w:val="00B4757F"/>
    <w:rsid w:val="00B475B5"/>
    <w:rsid w:val="00B4767C"/>
    <w:rsid w:val="00B476F7"/>
    <w:rsid w:val="00B4789B"/>
    <w:rsid w:val="00B478B7"/>
    <w:rsid w:val="00B478BC"/>
    <w:rsid w:val="00B478D9"/>
    <w:rsid w:val="00B47A30"/>
    <w:rsid w:val="00B47E73"/>
    <w:rsid w:val="00B47F49"/>
    <w:rsid w:val="00B5009F"/>
    <w:rsid w:val="00B50345"/>
    <w:rsid w:val="00B508C9"/>
    <w:rsid w:val="00B50A13"/>
    <w:rsid w:val="00B50AB0"/>
    <w:rsid w:val="00B50B05"/>
    <w:rsid w:val="00B50C09"/>
    <w:rsid w:val="00B51032"/>
    <w:rsid w:val="00B512D8"/>
    <w:rsid w:val="00B5138D"/>
    <w:rsid w:val="00B513D9"/>
    <w:rsid w:val="00B51492"/>
    <w:rsid w:val="00B51557"/>
    <w:rsid w:val="00B51887"/>
    <w:rsid w:val="00B519A9"/>
    <w:rsid w:val="00B51A16"/>
    <w:rsid w:val="00B51D3E"/>
    <w:rsid w:val="00B51D94"/>
    <w:rsid w:val="00B51DB0"/>
    <w:rsid w:val="00B51E48"/>
    <w:rsid w:val="00B51E74"/>
    <w:rsid w:val="00B51ECE"/>
    <w:rsid w:val="00B51EEA"/>
    <w:rsid w:val="00B51F2C"/>
    <w:rsid w:val="00B51F70"/>
    <w:rsid w:val="00B5214C"/>
    <w:rsid w:val="00B521A1"/>
    <w:rsid w:val="00B524F9"/>
    <w:rsid w:val="00B526E1"/>
    <w:rsid w:val="00B52733"/>
    <w:rsid w:val="00B52BC8"/>
    <w:rsid w:val="00B52D05"/>
    <w:rsid w:val="00B52D77"/>
    <w:rsid w:val="00B52D96"/>
    <w:rsid w:val="00B52E2C"/>
    <w:rsid w:val="00B52E59"/>
    <w:rsid w:val="00B52EC5"/>
    <w:rsid w:val="00B52F3D"/>
    <w:rsid w:val="00B5313E"/>
    <w:rsid w:val="00B532F0"/>
    <w:rsid w:val="00B537AA"/>
    <w:rsid w:val="00B537AB"/>
    <w:rsid w:val="00B5393B"/>
    <w:rsid w:val="00B53A05"/>
    <w:rsid w:val="00B53AEB"/>
    <w:rsid w:val="00B53B42"/>
    <w:rsid w:val="00B53C10"/>
    <w:rsid w:val="00B53C4D"/>
    <w:rsid w:val="00B53C67"/>
    <w:rsid w:val="00B53D2F"/>
    <w:rsid w:val="00B53D5C"/>
    <w:rsid w:val="00B53EA4"/>
    <w:rsid w:val="00B53F78"/>
    <w:rsid w:val="00B54239"/>
    <w:rsid w:val="00B54541"/>
    <w:rsid w:val="00B5498F"/>
    <w:rsid w:val="00B549FD"/>
    <w:rsid w:val="00B54E12"/>
    <w:rsid w:val="00B54E4D"/>
    <w:rsid w:val="00B54FD0"/>
    <w:rsid w:val="00B550DD"/>
    <w:rsid w:val="00B55198"/>
    <w:rsid w:val="00B5521D"/>
    <w:rsid w:val="00B5531A"/>
    <w:rsid w:val="00B553E6"/>
    <w:rsid w:val="00B5542C"/>
    <w:rsid w:val="00B55465"/>
    <w:rsid w:val="00B554C0"/>
    <w:rsid w:val="00B55815"/>
    <w:rsid w:val="00B5584C"/>
    <w:rsid w:val="00B558C0"/>
    <w:rsid w:val="00B558C6"/>
    <w:rsid w:val="00B55AA2"/>
    <w:rsid w:val="00B55C59"/>
    <w:rsid w:val="00B55CF4"/>
    <w:rsid w:val="00B55D0B"/>
    <w:rsid w:val="00B55E09"/>
    <w:rsid w:val="00B55FDA"/>
    <w:rsid w:val="00B56053"/>
    <w:rsid w:val="00B56101"/>
    <w:rsid w:val="00B5638F"/>
    <w:rsid w:val="00B563BB"/>
    <w:rsid w:val="00B5654B"/>
    <w:rsid w:val="00B56701"/>
    <w:rsid w:val="00B567CE"/>
    <w:rsid w:val="00B569AE"/>
    <w:rsid w:val="00B56AEF"/>
    <w:rsid w:val="00B56D4E"/>
    <w:rsid w:val="00B56D5B"/>
    <w:rsid w:val="00B56DED"/>
    <w:rsid w:val="00B56FCA"/>
    <w:rsid w:val="00B57050"/>
    <w:rsid w:val="00B570C8"/>
    <w:rsid w:val="00B5714C"/>
    <w:rsid w:val="00B571C3"/>
    <w:rsid w:val="00B57470"/>
    <w:rsid w:val="00B57552"/>
    <w:rsid w:val="00B576AF"/>
    <w:rsid w:val="00B577DB"/>
    <w:rsid w:val="00B5783C"/>
    <w:rsid w:val="00B57851"/>
    <w:rsid w:val="00B57B52"/>
    <w:rsid w:val="00B57CD3"/>
    <w:rsid w:val="00B57D96"/>
    <w:rsid w:val="00B6047E"/>
    <w:rsid w:val="00B60658"/>
    <w:rsid w:val="00B6086B"/>
    <w:rsid w:val="00B60899"/>
    <w:rsid w:val="00B60927"/>
    <w:rsid w:val="00B60A47"/>
    <w:rsid w:val="00B60D6D"/>
    <w:rsid w:val="00B60D73"/>
    <w:rsid w:val="00B60EEE"/>
    <w:rsid w:val="00B61246"/>
    <w:rsid w:val="00B6142A"/>
    <w:rsid w:val="00B6142E"/>
    <w:rsid w:val="00B61464"/>
    <w:rsid w:val="00B615A7"/>
    <w:rsid w:val="00B615CA"/>
    <w:rsid w:val="00B61616"/>
    <w:rsid w:val="00B6186E"/>
    <w:rsid w:val="00B61A09"/>
    <w:rsid w:val="00B61AE6"/>
    <w:rsid w:val="00B61B4A"/>
    <w:rsid w:val="00B61BC5"/>
    <w:rsid w:val="00B61CA7"/>
    <w:rsid w:val="00B61CAD"/>
    <w:rsid w:val="00B61D66"/>
    <w:rsid w:val="00B61E25"/>
    <w:rsid w:val="00B61E4B"/>
    <w:rsid w:val="00B61E59"/>
    <w:rsid w:val="00B61E6E"/>
    <w:rsid w:val="00B61F5A"/>
    <w:rsid w:val="00B61F5B"/>
    <w:rsid w:val="00B61FD2"/>
    <w:rsid w:val="00B6220D"/>
    <w:rsid w:val="00B6239F"/>
    <w:rsid w:val="00B623A6"/>
    <w:rsid w:val="00B623FE"/>
    <w:rsid w:val="00B62645"/>
    <w:rsid w:val="00B62693"/>
    <w:rsid w:val="00B6274F"/>
    <w:rsid w:val="00B62947"/>
    <w:rsid w:val="00B6298B"/>
    <w:rsid w:val="00B62A2C"/>
    <w:rsid w:val="00B62B34"/>
    <w:rsid w:val="00B62BB2"/>
    <w:rsid w:val="00B62CAA"/>
    <w:rsid w:val="00B62CE6"/>
    <w:rsid w:val="00B62DDF"/>
    <w:rsid w:val="00B62F80"/>
    <w:rsid w:val="00B6301E"/>
    <w:rsid w:val="00B63030"/>
    <w:rsid w:val="00B6323A"/>
    <w:rsid w:val="00B63240"/>
    <w:rsid w:val="00B632E1"/>
    <w:rsid w:val="00B6337F"/>
    <w:rsid w:val="00B63388"/>
    <w:rsid w:val="00B633CE"/>
    <w:rsid w:val="00B6345B"/>
    <w:rsid w:val="00B63489"/>
    <w:rsid w:val="00B634F5"/>
    <w:rsid w:val="00B63721"/>
    <w:rsid w:val="00B638BC"/>
    <w:rsid w:val="00B63A9D"/>
    <w:rsid w:val="00B63BA4"/>
    <w:rsid w:val="00B63BD6"/>
    <w:rsid w:val="00B63E53"/>
    <w:rsid w:val="00B63F15"/>
    <w:rsid w:val="00B63F4F"/>
    <w:rsid w:val="00B63F8D"/>
    <w:rsid w:val="00B64063"/>
    <w:rsid w:val="00B641F9"/>
    <w:rsid w:val="00B642A6"/>
    <w:rsid w:val="00B64439"/>
    <w:rsid w:val="00B6449E"/>
    <w:rsid w:val="00B645E5"/>
    <w:rsid w:val="00B645F1"/>
    <w:rsid w:val="00B646A6"/>
    <w:rsid w:val="00B64938"/>
    <w:rsid w:val="00B64ADC"/>
    <w:rsid w:val="00B64B5B"/>
    <w:rsid w:val="00B64D9F"/>
    <w:rsid w:val="00B64E18"/>
    <w:rsid w:val="00B64E2C"/>
    <w:rsid w:val="00B64EF7"/>
    <w:rsid w:val="00B64F3D"/>
    <w:rsid w:val="00B65236"/>
    <w:rsid w:val="00B653A1"/>
    <w:rsid w:val="00B656C4"/>
    <w:rsid w:val="00B6577A"/>
    <w:rsid w:val="00B6581E"/>
    <w:rsid w:val="00B65849"/>
    <w:rsid w:val="00B6584E"/>
    <w:rsid w:val="00B658CE"/>
    <w:rsid w:val="00B6591B"/>
    <w:rsid w:val="00B6594D"/>
    <w:rsid w:val="00B65F41"/>
    <w:rsid w:val="00B65F53"/>
    <w:rsid w:val="00B66045"/>
    <w:rsid w:val="00B6607C"/>
    <w:rsid w:val="00B660D2"/>
    <w:rsid w:val="00B661E9"/>
    <w:rsid w:val="00B66764"/>
    <w:rsid w:val="00B66E00"/>
    <w:rsid w:val="00B66F62"/>
    <w:rsid w:val="00B66F77"/>
    <w:rsid w:val="00B6719F"/>
    <w:rsid w:val="00B676B4"/>
    <w:rsid w:val="00B6787D"/>
    <w:rsid w:val="00B6791B"/>
    <w:rsid w:val="00B6797A"/>
    <w:rsid w:val="00B679AA"/>
    <w:rsid w:val="00B679E8"/>
    <w:rsid w:val="00B67A7C"/>
    <w:rsid w:val="00B67B76"/>
    <w:rsid w:val="00B67B93"/>
    <w:rsid w:val="00B70344"/>
    <w:rsid w:val="00B703A4"/>
    <w:rsid w:val="00B703FE"/>
    <w:rsid w:val="00B706B0"/>
    <w:rsid w:val="00B708F3"/>
    <w:rsid w:val="00B70C98"/>
    <w:rsid w:val="00B70CF4"/>
    <w:rsid w:val="00B70D25"/>
    <w:rsid w:val="00B70ED5"/>
    <w:rsid w:val="00B70F74"/>
    <w:rsid w:val="00B710C5"/>
    <w:rsid w:val="00B710F2"/>
    <w:rsid w:val="00B7164B"/>
    <w:rsid w:val="00B7168B"/>
    <w:rsid w:val="00B71989"/>
    <w:rsid w:val="00B71A0B"/>
    <w:rsid w:val="00B71D2B"/>
    <w:rsid w:val="00B71D8D"/>
    <w:rsid w:val="00B72070"/>
    <w:rsid w:val="00B721DC"/>
    <w:rsid w:val="00B72453"/>
    <w:rsid w:val="00B72711"/>
    <w:rsid w:val="00B72A03"/>
    <w:rsid w:val="00B72C8A"/>
    <w:rsid w:val="00B72D0F"/>
    <w:rsid w:val="00B72D70"/>
    <w:rsid w:val="00B73094"/>
    <w:rsid w:val="00B730AC"/>
    <w:rsid w:val="00B734AC"/>
    <w:rsid w:val="00B734DD"/>
    <w:rsid w:val="00B7352A"/>
    <w:rsid w:val="00B73595"/>
    <w:rsid w:val="00B736AC"/>
    <w:rsid w:val="00B73765"/>
    <w:rsid w:val="00B73929"/>
    <w:rsid w:val="00B7396D"/>
    <w:rsid w:val="00B7398E"/>
    <w:rsid w:val="00B73AA9"/>
    <w:rsid w:val="00B73AAB"/>
    <w:rsid w:val="00B73B88"/>
    <w:rsid w:val="00B73D43"/>
    <w:rsid w:val="00B740BD"/>
    <w:rsid w:val="00B7412D"/>
    <w:rsid w:val="00B742D5"/>
    <w:rsid w:val="00B742E7"/>
    <w:rsid w:val="00B7440C"/>
    <w:rsid w:val="00B74673"/>
    <w:rsid w:val="00B7469B"/>
    <w:rsid w:val="00B74853"/>
    <w:rsid w:val="00B748D3"/>
    <w:rsid w:val="00B74D34"/>
    <w:rsid w:val="00B74E21"/>
    <w:rsid w:val="00B74F9B"/>
    <w:rsid w:val="00B74FB8"/>
    <w:rsid w:val="00B74FBE"/>
    <w:rsid w:val="00B751E8"/>
    <w:rsid w:val="00B75311"/>
    <w:rsid w:val="00B7574B"/>
    <w:rsid w:val="00B757B9"/>
    <w:rsid w:val="00B757F7"/>
    <w:rsid w:val="00B759B3"/>
    <w:rsid w:val="00B75B0E"/>
    <w:rsid w:val="00B75BBD"/>
    <w:rsid w:val="00B75BF1"/>
    <w:rsid w:val="00B75BF4"/>
    <w:rsid w:val="00B75C12"/>
    <w:rsid w:val="00B75C75"/>
    <w:rsid w:val="00B75D07"/>
    <w:rsid w:val="00B75D81"/>
    <w:rsid w:val="00B75DBA"/>
    <w:rsid w:val="00B75E34"/>
    <w:rsid w:val="00B7605D"/>
    <w:rsid w:val="00B761F0"/>
    <w:rsid w:val="00B76322"/>
    <w:rsid w:val="00B763F2"/>
    <w:rsid w:val="00B766F8"/>
    <w:rsid w:val="00B76742"/>
    <w:rsid w:val="00B76C7B"/>
    <w:rsid w:val="00B76EF8"/>
    <w:rsid w:val="00B7720F"/>
    <w:rsid w:val="00B7721D"/>
    <w:rsid w:val="00B7726C"/>
    <w:rsid w:val="00B7734A"/>
    <w:rsid w:val="00B777E1"/>
    <w:rsid w:val="00B7794A"/>
    <w:rsid w:val="00B77A50"/>
    <w:rsid w:val="00B77AA5"/>
    <w:rsid w:val="00B77BA4"/>
    <w:rsid w:val="00B77BD7"/>
    <w:rsid w:val="00B77C3A"/>
    <w:rsid w:val="00B77F57"/>
    <w:rsid w:val="00B77FF4"/>
    <w:rsid w:val="00B8000B"/>
    <w:rsid w:val="00B80127"/>
    <w:rsid w:val="00B803F0"/>
    <w:rsid w:val="00B8043A"/>
    <w:rsid w:val="00B8044C"/>
    <w:rsid w:val="00B80525"/>
    <w:rsid w:val="00B805DD"/>
    <w:rsid w:val="00B80668"/>
    <w:rsid w:val="00B80939"/>
    <w:rsid w:val="00B80BC3"/>
    <w:rsid w:val="00B80C6D"/>
    <w:rsid w:val="00B80CEC"/>
    <w:rsid w:val="00B80E1A"/>
    <w:rsid w:val="00B80E75"/>
    <w:rsid w:val="00B80EB4"/>
    <w:rsid w:val="00B8115A"/>
    <w:rsid w:val="00B81290"/>
    <w:rsid w:val="00B81376"/>
    <w:rsid w:val="00B813E6"/>
    <w:rsid w:val="00B81404"/>
    <w:rsid w:val="00B81813"/>
    <w:rsid w:val="00B81A9E"/>
    <w:rsid w:val="00B81E1C"/>
    <w:rsid w:val="00B81E26"/>
    <w:rsid w:val="00B81F1F"/>
    <w:rsid w:val="00B81F25"/>
    <w:rsid w:val="00B81F3C"/>
    <w:rsid w:val="00B81FA4"/>
    <w:rsid w:val="00B824EF"/>
    <w:rsid w:val="00B826F8"/>
    <w:rsid w:val="00B828E8"/>
    <w:rsid w:val="00B82900"/>
    <w:rsid w:val="00B8291C"/>
    <w:rsid w:val="00B8297F"/>
    <w:rsid w:val="00B82994"/>
    <w:rsid w:val="00B82A74"/>
    <w:rsid w:val="00B82D12"/>
    <w:rsid w:val="00B82D47"/>
    <w:rsid w:val="00B83032"/>
    <w:rsid w:val="00B83143"/>
    <w:rsid w:val="00B8323D"/>
    <w:rsid w:val="00B83282"/>
    <w:rsid w:val="00B83302"/>
    <w:rsid w:val="00B83378"/>
    <w:rsid w:val="00B83478"/>
    <w:rsid w:val="00B83532"/>
    <w:rsid w:val="00B83612"/>
    <w:rsid w:val="00B8384B"/>
    <w:rsid w:val="00B83895"/>
    <w:rsid w:val="00B83921"/>
    <w:rsid w:val="00B83AF2"/>
    <w:rsid w:val="00B83C1A"/>
    <w:rsid w:val="00B83C35"/>
    <w:rsid w:val="00B83C3D"/>
    <w:rsid w:val="00B83D56"/>
    <w:rsid w:val="00B83ED3"/>
    <w:rsid w:val="00B840AF"/>
    <w:rsid w:val="00B8416A"/>
    <w:rsid w:val="00B842B0"/>
    <w:rsid w:val="00B842E4"/>
    <w:rsid w:val="00B843C4"/>
    <w:rsid w:val="00B843E0"/>
    <w:rsid w:val="00B844CE"/>
    <w:rsid w:val="00B845C6"/>
    <w:rsid w:val="00B845F2"/>
    <w:rsid w:val="00B845F5"/>
    <w:rsid w:val="00B84772"/>
    <w:rsid w:val="00B8477D"/>
    <w:rsid w:val="00B847F7"/>
    <w:rsid w:val="00B848CF"/>
    <w:rsid w:val="00B84964"/>
    <w:rsid w:val="00B84B08"/>
    <w:rsid w:val="00B84B53"/>
    <w:rsid w:val="00B84BCD"/>
    <w:rsid w:val="00B84BF8"/>
    <w:rsid w:val="00B84C48"/>
    <w:rsid w:val="00B84CF3"/>
    <w:rsid w:val="00B84F75"/>
    <w:rsid w:val="00B85137"/>
    <w:rsid w:val="00B852EE"/>
    <w:rsid w:val="00B852FB"/>
    <w:rsid w:val="00B855C0"/>
    <w:rsid w:val="00B8574F"/>
    <w:rsid w:val="00B857A8"/>
    <w:rsid w:val="00B857B4"/>
    <w:rsid w:val="00B85934"/>
    <w:rsid w:val="00B859C1"/>
    <w:rsid w:val="00B859E9"/>
    <w:rsid w:val="00B85A81"/>
    <w:rsid w:val="00B85ACB"/>
    <w:rsid w:val="00B85D2C"/>
    <w:rsid w:val="00B85DDC"/>
    <w:rsid w:val="00B85F08"/>
    <w:rsid w:val="00B85FF2"/>
    <w:rsid w:val="00B86029"/>
    <w:rsid w:val="00B86077"/>
    <w:rsid w:val="00B86090"/>
    <w:rsid w:val="00B86294"/>
    <w:rsid w:val="00B86459"/>
    <w:rsid w:val="00B86577"/>
    <w:rsid w:val="00B86589"/>
    <w:rsid w:val="00B865BB"/>
    <w:rsid w:val="00B86640"/>
    <w:rsid w:val="00B86650"/>
    <w:rsid w:val="00B86659"/>
    <w:rsid w:val="00B86AF1"/>
    <w:rsid w:val="00B86B95"/>
    <w:rsid w:val="00B86D5F"/>
    <w:rsid w:val="00B8709F"/>
    <w:rsid w:val="00B870C0"/>
    <w:rsid w:val="00B870E4"/>
    <w:rsid w:val="00B87106"/>
    <w:rsid w:val="00B87180"/>
    <w:rsid w:val="00B873C3"/>
    <w:rsid w:val="00B873CD"/>
    <w:rsid w:val="00B87447"/>
    <w:rsid w:val="00B874E2"/>
    <w:rsid w:val="00B8765B"/>
    <w:rsid w:val="00B8779B"/>
    <w:rsid w:val="00B87847"/>
    <w:rsid w:val="00B8792A"/>
    <w:rsid w:val="00B8794C"/>
    <w:rsid w:val="00B87AD0"/>
    <w:rsid w:val="00B87B46"/>
    <w:rsid w:val="00B87B65"/>
    <w:rsid w:val="00B87C0B"/>
    <w:rsid w:val="00B87C3C"/>
    <w:rsid w:val="00B87CF0"/>
    <w:rsid w:val="00B87EEC"/>
    <w:rsid w:val="00B87F6C"/>
    <w:rsid w:val="00B90261"/>
    <w:rsid w:val="00B9038B"/>
    <w:rsid w:val="00B903F9"/>
    <w:rsid w:val="00B904AA"/>
    <w:rsid w:val="00B9088E"/>
    <w:rsid w:val="00B908FC"/>
    <w:rsid w:val="00B90B80"/>
    <w:rsid w:val="00B90CA6"/>
    <w:rsid w:val="00B90E5E"/>
    <w:rsid w:val="00B90FC0"/>
    <w:rsid w:val="00B90FE3"/>
    <w:rsid w:val="00B910B2"/>
    <w:rsid w:val="00B91106"/>
    <w:rsid w:val="00B911CA"/>
    <w:rsid w:val="00B9124A"/>
    <w:rsid w:val="00B912F8"/>
    <w:rsid w:val="00B91390"/>
    <w:rsid w:val="00B913EF"/>
    <w:rsid w:val="00B913F4"/>
    <w:rsid w:val="00B9147F"/>
    <w:rsid w:val="00B914CE"/>
    <w:rsid w:val="00B915A9"/>
    <w:rsid w:val="00B916B9"/>
    <w:rsid w:val="00B9176F"/>
    <w:rsid w:val="00B91828"/>
    <w:rsid w:val="00B91BFF"/>
    <w:rsid w:val="00B91C10"/>
    <w:rsid w:val="00B91D8A"/>
    <w:rsid w:val="00B91DAD"/>
    <w:rsid w:val="00B91E3D"/>
    <w:rsid w:val="00B91F7E"/>
    <w:rsid w:val="00B92079"/>
    <w:rsid w:val="00B920C3"/>
    <w:rsid w:val="00B92389"/>
    <w:rsid w:val="00B923EE"/>
    <w:rsid w:val="00B924E6"/>
    <w:rsid w:val="00B9255B"/>
    <w:rsid w:val="00B92578"/>
    <w:rsid w:val="00B92945"/>
    <w:rsid w:val="00B92A0E"/>
    <w:rsid w:val="00B92A9B"/>
    <w:rsid w:val="00B92CE8"/>
    <w:rsid w:val="00B92D3D"/>
    <w:rsid w:val="00B930EF"/>
    <w:rsid w:val="00B93171"/>
    <w:rsid w:val="00B9344F"/>
    <w:rsid w:val="00B93782"/>
    <w:rsid w:val="00B9387C"/>
    <w:rsid w:val="00B938C9"/>
    <w:rsid w:val="00B93B89"/>
    <w:rsid w:val="00B93DF2"/>
    <w:rsid w:val="00B93EF0"/>
    <w:rsid w:val="00B94058"/>
    <w:rsid w:val="00B9405F"/>
    <w:rsid w:val="00B9406B"/>
    <w:rsid w:val="00B942A2"/>
    <w:rsid w:val="00B94428"/>
    <w:rsid w:val="00B944C9"/>
    <w:rsid w:val="00B9454A"/>
    <w:rsid w:val="00B94622"/>
    <w:rsid w:val="00B94742"/>
    <w:rsid w:val="00B94757"/>
    <w:rsid w:val="00B94839"/>
    <w:rsid w:val="00B94847"/>
    <w:rsid w:val="00B94BCF"/>
    <w:rsid w:val="00B94BEA"/>
    <w:rsid w:val="00B94D87"/>
    <w:rsid w:val="00B94DF4"/>
    <w:rsid w:val="00B94F62"/>
    <w:rsid w:val="00B9511E"/>
    <w:rsid w:val="00B953D0"/>
    <w:rsid w:val="00B954B5"/>
    <w:rsid w:val="00B957B0"/>
    <w:rsid w:val="00B957C6"/>
    <w:rsid w:val="00B9587F"/>
    <w:rsid w:val="00B95968"/>
    <w:rsid w:val="00B959E8"/>
    <w:rsid w:val="00B95A49"/>
    <w:rsid w:val="00B95C5D"/>
    <w:rsid w:val="00B95C8B"/>
    <w:rsid w:val="00B95D65"/>
    <w:rsid w:val="00B95D6B"/>
    <w:rsid w:val="00B95EF4"/>
    <w:rsid w:val="00B96085"/>
    <w:rsid w:val="00B96122"/>
    <w:rsid w:val="00B96166"/>
    <w:rsid w:val="00B961F5"/>
    <w:rsid w:val="00B96314"/>
    <w:rsid w:val="00B9651A"/>
    <w:rsid w:val="00B96520"/>
    <w:rsid w:val="00B9655A"/>
    <w:rsid w:val="00B96629"/>
    <w:rsid w:val="00B966BB"/>
    <w:rsid w:val="00B966ED"/>
    <w:rsid w:val="00B96818"/>
    <w:rsid w:val="00B96828"/>
    <w:rsid w:val="00B9682F"/>
    <w:rsid w:val="00B96899"/>
    <w:rsid w:val="00B969E1"/>
    <w:rsid w:val="00B96B87"/>
    <w:rsid w:val="00B96B8C"/>
    <w:rsid w:val="00B96C1A"/>
    <w:rsid w:val="00B96CB7"/>
    <w:rsid w:val="00B96D3F"/>
    <w:rsid w:val="00B96D49"/>
    <w:rsid w:val="00B96E8A"/>
    <w:rsid w:val="00B96EE9"/>
    <w:rsid w:val="00B96FA3"/>
    <w:rsid w:val="00B97011"/>
    <w:rsid w:val="00B970D1"/>
    <w:rsid w:val="00B97278"/>
    <w:rsid w:val="00B97292"/>
    <w:rsid w:val="00B974BA"/>
    <w:rsid w:val="00B9763D"/>
    <w:rsid w:val="00B977F0"/>
    <w:rsid w:val="00B977F2"/>
    <w:rsid w:val="00B978AA"/>
    <w:rsid w:val="00B978B5"/>
    <w:rsid w:val="00B97979"/>
    <w:rsid w:val="00B979F4"/>
    <w:rsid w:val="00B97AE3"/>
    <w:rsid w:val="00B97F12"/>
    <w:rsid w:val="00BA008E"/>
    <w:rsid w:val="00BA013B"/>
    <w:rsid w:val="00BA01C6"/>
    <w:rsid w:val="00BA0268"/>
    <w:rsid w:val="00BA0356"/>
    <w:rsid w:val="00BA04DA"/>
    <w:rsid w:val="00BA0584"/>
    <w:rsid w:val="00BA05E3"/>
    <w:rsid w:val="00BA0668"/>
    <w:rsid w:val="00BA0853"/>
    <w:rsid w:val="00BA085C"/>
    <w:rsid w:val="00BA09DB"/>
    <w:rsid w:val="00BA0C86"/>
    <w:rsid w:val="00BA0D20"/>
    <w:rsid w:val="00BA0DF9"/>
    <w:rsid w:val="00BA1146"/>
    <w:rsid w:val="00BA114C"/>
    <w:rsid w:val="00BA11BE"/>
    <w:rsid w:val="00BA1202"/>
    <w:rsid w:val="00BA12FD"/>
    <w:rsid w:val="00BA13F7"/>
    <w:rsid w:val="00BA151D"/>
    <w:rsid w:val="00BA1598"/>
    <w:rsid w:val="00BA15BA"/>
    <w:rsid w:val="00BA1821"/>
    <w:rsid w:val="00BA1843"/>
    <w:rsid w:val="00BA18AC"/>
    <w:rsid w:val="00BA1AB6"/>
    <w:rsid w:val="00BA1AF1"/>
    <w:rsid w:val="00BA1E3D"/>
    <w:rsid w:val="00BA1E4F"/>
    <w:rsid w:val="00BA1EBD"/>
    <w:rsid w:val="00BA1FB2"/>
    <w:rsid w:val="00BA2125"/>
    <w:rsid w:val="00BA23C0"/>
    <w:rsid w:val="00BA24BE"/>
    <w:rsid w:val="00BA2578"/>
    <w:rsid w:val="00BA2634"/>
    <w:rsid w:val="00BA26FF"/>
    <w:rsid w:val="00BA2EA9"/>
    <w:rsid w:val="00BA3063"/>
    <w:rsid w:val="00BA308B"/>
    <w:rsid w:val="00BA317C"/>
    <w:rsid w:val="00BA32AF"/>
    <w:rsid w:val="00BA32C6"/>
    <w:rsid w:val="00BA3317"/>
    <w:rsid w:val="00BA3343"/>
    <w:rsid w:val="00BA3366"/>
    <w:rsid w:val="00BA38B9"/>
    <w:rsid w:val="00BA38BD"/>
    <w:rsid w:val="00BA38F5"/>
    <w:rsid w:val="00BA38FE"/>
    <w:rsid w:val="00BA3A10"/>
    <w:rsid w:val="00BA3ABD"/>
    <w:rsid w:val="00BA3C0A"/>
    <w:rsid w:val="00BA3D4C"/>
    <w:rsid w:val="00BA3D88"/>
    <w:rsid w:val="00BA3E90"/>
    <w:rsid w:val="00BA401F"/>
    <w:rsid w:val="00BA4075"/>
    <w:rsid w:val="00BA40CF"/>
    <w:rsid w:val="00BA41EC"/>
    <w:rsid w:val="00BA4257"/>
    <w:rsid w:val="00BA4487"/>
    <w:rsid w:val="00BA44E8"/>
    <w:rsid w:val="00BA4674"/>
    <w:rsid w:val="00BA470E"/>
    <w:rsid w:val="00BA4792"/>
    <w:rsid w:val="00BA49B4"/>
    <w:rsid w:val="00BA4B33"/>
    <w:rsid w:val="00BA4C1F"/>
    <w:rsid w:val="00BA4C67"/>
    <w:rsid w:val="00BA50D4"/>
    <w:rsid w:val="00BA515D"/>
    <w:rsid w:val="00BA517C"/>
    <w:rsid w:val="00BA51F9"/>
    <w:rsid w:val="00BA5226"/>
    <w:rsid w:val="00BA554A"/>
    <w:rsid w:val="00BA55E3"/>
    <w:rsid w:val="00BA5769"/>
    <w:rsid w:val="00BA5822"/>
    <w:rsid w:val="00BA5AF9"/>
    <w:rsid w:val="00BA5D7B"/>
    <w:rsid w:val="00BA5DD4"/>
    <w:rsid w:val="00BA5EBA"/>
    <w:rsid w:val="00BA5FDC"/>
    <w:rsid w:val="00BA60DA"/>
    <w:rsid w:val="00BA60F0"/>
    <w:rsid w:val="00BA62EF"/>
    <w:rsid w:val="00BA62F1"/>
    <w:rsid w:val="00BA63B1"/>
    <w:rsid w:val="00BA63FD"/>
    <w:rsid w:val="00BA64F5"/>
    <w:rsid w:val="00BA6561"/>
    <w:rsid w:val="00BA67FD"/>
    <w:rsid w:val="00BA69D1"/>
    <w:rsid w:val="00BA6AAB"/>
    <w:rsid w:val="00BA6AB6"/>
    <w:rsid w:val="00BA6AFB"/>
    <w:rsid w:val="00BA6C2A"/>
    <w:rsid w:val="00BA6DBA"/>
    <w:rsid w:val="00BA6E46"/>
    <w:rsid w:val="00BA6FF6"/>
    <w:rsid w:val="00BA727B"/>
    <w:rsid w:val="00BA7376"/>
    <w:rsid w:val="00BA7390"/>
    <w:rsid w:val="00BA73D6"/>
    <w:rsid w:val="00BA73FC"/>
    <w:rsid w:val="00BA74C3"/>
    <w:rsid w:val="00BA7543"/>
    <w:rsid w:val="00BA75AB"/>
    <w:rsid w:val="00BA766D"/>
    <w:rsid w:val="00BA7944"/>
    <w:rsid w:val="00BA7B22"/>
    <w:rsid w:val="00BA7BFA"/>
    <w:rsid w:val="00BA7CAF"/>
    <w:rsid w:val="00BA7CD1"/>
    <w:rsid w:val="00BA7CFE"/>
    <w:rsid w:val="00BA7DF6"/>
    <w:rsid w:val="00BA7DFF"/>
    <w:rsid w:val="00BA7F6F"/>
    <w:rsid w:val="00BB0031"/>
    <w:rsid w:val="00BB0173"/>
    <w:rsid w:val="00BB01EF"/>
    <w:rsid w:val="00BB022F"/>
    <w:rsid w:val="00BB0458"/>
    <w:rsid w:val="00BB0501"/>
    <w:rsid w:val="00BB0517"/>
    <w:rsid w:val="00BB0676"/>
    <w:rsid w:val="00BB07F0"/>
    <w:rsid w:val="00BB0853"/>
    <w:rsid w:val="00BB0B03"/>
    <w:rsid w:val="00BB0BA6"/>
    <w:rsid w:val="00BB0BD9"/>
    <w:rsid w:val="00BB0C1B"/>
    <w:rsid w:val="00BB0C50"/>
    <w:rsid w:val="00BB0E0A"/>
    <w:rsid w:val="00BB0E5F"/>
    <w:rsid w:val="00BB0F11"/>
    <w:rsid w:val="00BB11C4"/>
    <w:rsid w:val="00BB1206"/>
    <w:rsid w:val="00BB15C3"/>
    <w:rsid w:val="00BB1756"/>
    <w:rsid w:val="00BB1782"/>
    <w:rsid w:val="00BB184F"/>
    <w:rsid w:val="00BB18C3"/>
    <w:rsid w:val="00BB18E1"/>
    <w:rsid w:val="00BB1917"/>
    <w:rsid w:val="00BB19D4"/>
    <w:rsid w:val="00BB19E1"/>
    <w:rsid w:val="00BB1A74"/>
    <w:rsid w:val="00BB1ADA"/>
    <w:rsid w:val="00BB1AE2"/>
    <w:rsid w:val="00BB1D20"/>
    <w:rsid w:val="00BB1DE5"/>
    <w:rsid w:val="00BB1F1E"/>
    <w:rsid w:val="00BB1FA9"/>
    <w:rsid w:val="00BB2039"/>
    <w:rsid w:val="00BB206B"/>
    <w:rsid w:val="00BB2096"/>
    <w:rsid w:val="00BB20D5"/>
    <w:rsid w:val="00BB217D"/>
    <w:rsid w:val="00BB22AD"/>
    <w:rsid w:val="00BB231C"/>
    <w:rsid w:val="00BB2588"/>
    <w:rsid w:val="00BB2926"/>
    <w:rsid w:val="00BB2955"/>
    <w:rsid w:val="00BB29C8"/>
    <w:rsid w:val="00BB29D7"/>
    <w:rsid w:val="00BB2D0A"/>
    <w:rsid w:val="00BB328B"/>
    <w:rsid w:val="00BB32C5"/>
    <w:rsid w:val="00BB33AF"/>
    <w:rsid w:val="00BB33CC"/>
    <w:rsid w:val="00BB3452"/>
    <w:rsid w:val="00BB34F2"/>
    <w:rsid w:val="00BB3787"/>
    <w:rsid w:val="00BB39B9"/>
    <w:rsid w:val="00BB3B47"/>
    <w:rsid w:val="00BB3BA1"/>
    <w:rsid w:val="00BB3BF2"/>
    <w:rsid w:val="00BB3C36"/>
    <w:rsid w:val="00BB3F33"/>
    <w:rsid w:val="00BB3FEE"/>
    <w:rsid w:val="00BB40C3"/>
    <w:rsid w:val="00BB4113"/>
    <w:rsid w:val="00BB42B3"/>
    <w:rsid w:val="00BB439D"/>
    <w:rsid w:val="00BB4464"/>
    <w:rsid w:val="00BB4690"/>
    <w:rsid w:val="00BB46A2"/>
    <w:rsid w:val="00BB477E"/>
    <w:rsid w:val="00BB4827"/>
    <w:rsid w:val="00BB4AD6"/>
    <w:rsid w:val="00BB4B87"/>
    <w:rsid w:val="00BB4BF2"/>
    <w:rsid w:val="00BB4D6B"/>
    <w:rsid w:val="00BB4DD1"/>
    <w:rsid w:val="00BB4ED3"/>
    <w:rsid w:val="00BB4EF0"/>
    <w:rsid w:val="00BB502A"/>
    <w:rsid w:val="00BB50D0"/>
    <w:rsid w:val="00BB5280"/>
    <w:rsid w:val="00BB528A"/>
    <w:rsid w:val="00BB52F0"/>
    <w:rsid w:val="00BB534E"/>
    <w:rsid w:val="00BB553B"/>
    <w:rsid w:val="00BB562A"/>
    <w:rsid w:val="00BB59BD"/>
    <w:rsid w:val="00BB5A70"/>
    <w:rsid w:val="00BB5C2E"/>
    <w:rsid w:val="00BB5C78"/>
    <w:rsid w:val="00BB5D20"/>
    <w:rsid w:val="00BB5DBC"/>
    <w:rsid w:val="00BB5E2B"/>
    <w:rsid w:val="00BB6201"/>
    <w:rsid w:val="00BB62B9"/>
    <w:rsid w:val="00BB6303"/>
    <w:rsid w:val="00BB6455"/>
    <w:rsid w:val="00BB64AA"/>
    <w:rsid w:val="00BB6509"/>
    <w:rsid w:val="00BB66FC"/>
    <w:rsid w:val="00BB6847"/>
    <w:rsid w:val="00BB6934"/>
    <w:rsid w:val="00BB697E"/>
    <w:rsid w:val="00BB6988"/>
    <w:rsid w:val="00BB6A48"/>
    <w:rsid w:val="00BB6BA6"/>
    <w:rsid w:val="00BB6BC4"/>
    <w:rsid w:val="00BB6D9F"/>
    <w:rsid w:val="00BB6E85"/>
    <w:rsid w:val="00BB6EFF"/>
    <w:rsid w:val="00BB6FCA"/>
    <w:rsid w:val="00BB6FFD"/>
    <w:rsid w:val="00BB7027"/>
    <w:rsid w:val="00BB7096"/>
    <w:rsid w:val="00BB70C4"/>
    <w:rsid w:val="00BB7174"/>
    <w:rsid w:val="00BB7197"/>
    <w:rsid w:val="00BB7858"/>
    <w:rsid w:val="00BB78EB"/>
    <w:rsid w:val="00BB79E8"/>
    <w:rsid w:val="00BB7BF6"/>
    <w:rsid w:val="00BB7DF1"/>
    <w:rsid w:val="00BB7FE1"/>
    <w:rsid w:val="00BC0117"/>
    <w:rsid w:val="00BC087B"/>
    <w:rsid w:val="00BC091A"/>
    <w:rsid w:val="00BC0920"/>
    <w:rsid w:val="00BC0C0A"/>
    <w:rsid w:val="00BC0C2E"/>
    <w:rsid w:val="00BC0D47"/>
    <w:rsid w:val="00BC0D60"/>
    <w:rsid w:val="00BC0EF1"/>
    <w:rsid w:val="00BC0FA4"/>
    <w:rsid w:val="00BC165D"/>
    <w:rsid w:val="00BC1AC4"/>
    <w:rsid w:val="00BC1D53"/>
    <w:rsid w:val="00BC1E7A"/>
    <w:rsid w:val="00BC21CD"/>
    <w:rsid w:val="00BC2214"/>
    <w:rsid w:val="00BC2308"/>
    <w:rsid w:val="00BC23BD"/>
    <w:rsid w:val="00BC2425"/>
    <w:rsid w:val="00BC248C"/>
    <w:rsid w:val="00BC2604"/>
    <w:rsid w:val="00BC267B"/>
    <w:rsid w:val="00BC2862"/>
    <w:rsid w:val="00BC29F4"/>
    <w:rsid w:val="00BC2A73"/>
    <w:rsid w:val="00BC2B86"/>
    <w:rsid w:val="00BC2C88"/>
    <w:rsid w:val="00BC2D07"/>
    <w:rsid w:val="00BC2D62"/>
    <w:rsid w:val="00BC2DDB"/>
    <w:rsid w:val="00BC2E5F"/>
    <w:rsid w:val="00BC2E71"/>
    <w:rsid w:val="00BC2FF0"/>
    <w:rsid w:val="00BC319C"/>
    <w:rsid w:val="00BC31F8"/>
    <w:rsid w:val="00BC3326"/>
    <w:rsid w:val="00BC333D"/>
    <w:rsid w:val="00BC373C"/>
    <w:rsid w:val="00BC377E"/>
    <w:rsid w:val="00BC382E"/>
    <w:rsid w:val="00BC3A69"/>
    <w:rsid w:val="00BC3B3F"/>
    <w:rsid w:val="00BC3D97"/>
    <w:rsid w:val="00BC3EE9"/>
    <w:rsid w:val="00BC402D"/>
    <w:rsid w:val="00BC4199"/>
    <w:rsid w:val="00BC41BC"/>
    <w:rsid w:val="00BC452D"/>
    <w:rsid w:val="00BC45A7"/>
    <w:rsid w:val="00BC46D5"/>
    <w:rsid w:val="00BC46EC"/>
    <w:rsid w:val="00BC47CA"/>
    <w:rsid w:val="00BC4914"/>
    <w:rsid w:val="00BC49C9"/>
    <w:rsid w:val="00BC4A41"/>
    <w:rsid w:val="00BC4BDC"/>
    <w:rsid w:val="00BC4D59"/>
    <w:rsid w:val="00BC52BC"/>
    <w:rsid w:val="00BC5473"/>
    <w:rsid w:val="00BC559F"/>
    <w:rsid w:val="00BC57AC"/>
    <w:rsid w:val="00BC5906"/>
    <w:rsid w:val="00BC59F7"/>
    <w:rsid w:val="00BC5A60"/>
    <w:rsid w:val="00BC605E"/>
    <w:rsid w:val="00BC6111"/>
    <w:rsid w:val="00BC62B8"/>
    <w:rsid w:val="00BC6349"/>
    <w:rsid w:val="00BC63B6"/>
    <w:rsid w:val="00BC6487"/>
    <w:rsid w:val="00BC64EB"/>
    <w:rsid w:val="00BC65A5"/>
    <w:rsid w:val="00BC65EA"/>
    <w:rsid w:val="00BC6602"/>
    <w:rsid w:val="00BC66B9"/>
    <w:rsid w:val="00BC6867"/>
    <w:rsid w:val="00BC6ADD"/>
    <w:rsid w:val="00BC6C0F"/>
    <w:rsid w:val="00BC6C96"/>
    <w:rsid w:val="00BC6E07"/>
    <w:rsid w:val="00BC6E27"/>
    <w:rsid w:val="00BC6EE2"/>
    <w:rsid w:val="00BC703F"/>
    <w:rsid w:val="00BC7160"/>
    <w:rsid w:val="00BC7236"/>
    <w:rsid w:val="00BC76A2"/>
    <w:rsid w:val="00BC7741"/>
    <w:rsid w:val="00BC77E2"/>
    <w:rsid w:val="00BC7950"/>
    <w:rsid w:val="00BC79C7"/>
    <w:rsid w:val="00BC7A6F"/>
    <w:rsid w:val="00BC7AD4"/>
    <w:rsid w:val="00BC7BB7"/>
    <w:rsid w:val="00BC7C12"/>
    <w:rsid w:val="00BC7C89"/>
    <w:rsid w:val="00BC7D90"/>
    <w:rsid w:val="00BC7DC5"/>
    <w:rsid w:val="00BC7E86"/>
    <w:rsid w:val="00BC7F30"/>
    <w:rsid w:val="00BD0094"/>
    <w:rsid w:val="00BD00B2"/>
    <w:rsid w:val="00BD0278"/>
    <w:rsid w:val="00BD033C"/>
    <w:rsid w:val="00BD06C5"/>
    <w:rsid w:val="00BD07F4"/>
    <w:rsid w:val="00BD08D4"/>
    <w:rsid w:val="00BD091D"/>
    <w:rsid w:val="00BD0B0C"/>
    <w:rsid w:val="00BD0B1C"/>
    <w:rsid w:val="00BD0B52"/>
    <w:rsid w:val="00BD0B5D"/>
    <w:rsid w:val="00BD0BFB"/>
    <w:rsid w:val="00BD0C9A"/>
    <w:rsid w:val="00BD0F40"/>
    <w:rsid w:val="00BD0F63"/>
    <w:rsid w:val="00BD0FD9"/>
    <w:rsid w:val="00BD106B"/>
    <w:rsid w:val="00BD1247"/>
    <w:rsid w:val="00BD14DB"/>
    <w:rsid w:val="00BD170E"/>
    <w:rsid w:val="00BD172C"/>
    <w:rsid w:val="00BD18F9"/>
    <w:rsid w:val="00BD19E1"/>
    <w:rsid w:val="00BD1A36"/>
    <w:rsid w:val="00BD1D7B"/>
    <w:rsid w:val="00BD1DCD"/>
    <w:rsid w:val="00BD1FF7"/>
    <w:rsid w:val="00BD22B4"/>
    <w:rsid w:val="00BD22EF"/>
    <w:rsid w:val="00BD22F4"/>
    <w:rsid w:val="00BD244B"/>
    <w:rsid w:val="00BD2466"/>
    <w:rsid w:val="00BD25DA"/>
    <w:rsid w:val="00BD28BC"/>
    <w:rsid w:val="00BD2955"/>
    <w:rsid w:val="00BD2AFD"/>
    <w:rsid w:val="00BD2C0C"/>
    <w:rsid w:val="00BD2C6C"/>
    <w:rsid w:val="00BD2EA0"/>
    <w:rsid w:val="00BD2F49"/>
    <w:rsid w:val="00BD3095"/>
    <w:rsid w:val="00BD31E2"/>
    <w:rsid w:val="00BD3228"/>
    <w:rsid w:val="00BD3231"/>
    <w:rsid w:val="00BD3308"/>
    <w:rsid w:val="00BD3438"/>
    <w:rsid w:val="00BD360E"/>
    <w:rsid w:val="00BD36B5"/>
    <w:rsid w:val="00BD36FE"/>
    <w:rsid w:val="00BD3866"/>
    <w:rsid w:val="00BD3867"/>
    <w:rsid w:val="00BD3936"/>
    <w:rsid w:val="00BD3994"/>
    <w:rsid w:val="00BD39B3"/>
    <w:rsid w:val="00BD3A44"/>
    <w:rsid w:val="00BD3BF9"/>
    <w:rsid w:val="00BD3C1C"/>
    <w:rsid w:val="00BD3C6A"/>
    <w:rsid w:val="00BD3D00"/>
    <w:rsid w:val="00BD3EE0"/>
    <w:rsid w:val="00BD4374"/>
    <w:rsid w:val="00BD4650"/>
    <w:rsid w:val="00BD46D6"/>
    <w:rsid w:val="00BD4792"/>
    <w:rsid w:val="00BD4981"/>
    <w:rsid w:val="00BD4A95"/>
    <w:rsid w:val="00BD4CAD"/>
    <w:rsid w:val="00BD4F5F"/>
    <w:rsid w:val="00BD5175"/>
    <w:rsid w:val="00BD52B8"/>
    <w:rsid w:val="00BD544F"/>
    <w:rsid w:val="00BD55EB"/>
    <w:rsid w:val="00BD55F7"/>
    <w:rsid w:val="00BD56AA"/>
    <w:rsid w:val="00BD585C"/>
    <w:rsid w:val="00BD5A86"/>
    <w:rsid w:val="00BD5B85"/>
    <w:rsid w:val="00BD5B98"/>
    <w:rsid w:val="00BD603E"/>
    <w:rsid w:val="00BD612E"/>
    <w:rsid w:val="00BD6157"/>
    <w:rsid w:val="00BD619F"/>
    <w:rsid w:val="00BD61AF"/>
    <w:rsid w:val="00BD630B"/>
    <w:rsid w:val="00BD6315"/>
    <w:rsid w:val="00BD66E7"/>
    <w:rsid w:val="00BD6758"/>
    <w:rsid w:val="00BD6837"/>
    <w:rsid w:val="00BD6860"/>
    <w:rsid w:val="00BD6B36"/>
    <w:rsid w:val="00BD6C5B"/>
    <w:rsid w:val="00BD70BD"/>
    <w:rsid w:val="00BD718E"/>
    <w:rsid w:val="00BD7285"/>
    <w:rsid w:val="00BD7411"/>
    <w:rsid w:val="00BD786E"/>
    <w:rsid w:val="00BD7882"/>
    <w:rsid w:val="00BD7909"/>
    <w:rsid w:val="00BD7996"/>
    <w:rsid w:val="00BD7A1A"/>
    <w:rsid w:val="00BD7AB0"/>
    <w:rsid w:val="00BD7B0E"/>
    <w:rsid w:val="00BD7B49"/>
    <w:rsid w:val="00BD7B9D"/>
    <w:rsid w:val="00BD7C23"/>
    <w:rsid w:val="00BD7C5A"/>
    <w:rsid w:val="00BE0246"/>
    <w:rsid w:val="00BE030A"/>
    <w:rsid w:val="00BE082D"/>
    <w:rsid w:val="00BE0903"/>
    <w:rsid w:val="00BE0949"/>
    <w:rsid w:val="00BE0C72"/>
    <w:rsid w:val="00BE0CA8"/>
    <w:rsid w:val="00BE0F7C"/>
    <w:rsid w:val="00BE108A"/>
    <w:rsid w:val="00BE1162"/>
    <w:rsid w:val="00BE11B9"/>
    <w:rsid w:val="00BE13F0"/>
    <w:rsid w:val="00BE1404"/>
    <w:rsid w:val="00BE141B"/>
    <w:rsid w:val="00BE1490"/>
    <w:rsid w:val="00BE15BC"/>
    <w:rsid w:val="00BE1640"/>
    <w:rsid w:val="00BE1662"/>
    <w:rsid w:val="00BE1717"/>
    <w:rsid w:val="00BE176D"/>
    <w:rsid w:val="00BE1798"/>
    <w:rsid w:val="00BE17AC"/>
    <w:rsid w:val="00BE1815"/>
    <w:rsid w:val="00BE182F"/>
    <w:rsid w:val="00BE18AB"/>
    <w:rsid w:val="00BE1A9D"/>
    <w:rsid w:val="00BE1D66"/>
    <w:rsid w:val="00BE1E7B"/>
    <w:rsid w:val="00BE1F13"/>
    <w:rsid w:val="00BE203D"/>
    <w:rsid w:val="00BE2212"/>
    <w:rsid w:val="00BE242F"/>
    <w:rsid w:val="00BE2455"/>
    <w:rsid w:val="00BE27A0"/>
    <w:rsid w:val="00BE2814"/>
    <w:rsid w:val="00BE2A26"/>
    <w:rsid w:val="00BE2C35"/>
    <w:rsid w:val="00BE2C53"/>
    <w:rsid w:val="00BE2C7C"/>
    <w:rsid w:val="00BE2DD1"/>
    <w:rsid w:val="00BE2E3A"/>
    <w:rsid w:val="00BE2E73"/>
    <w:rsid w:val="00BE2EB0"/>
    <w:rsid w:val="00BE2F77"/>
    <w:rsid w:val="00BE31F2"/>
    <w:rsid w:val="00BE3228"/>
    <w:rsid w:val="00BE349A"/>
    <w:rsid w:val="00BE34CA"/>
    <w:rsid w:val="00BE3714"/>
    <w:rsid w:val="00BE376D"/>
    <w:rsid w:val="00BE37D7"/>
    <w:rsid w:val="00BE383D"/>
    <w:rsid w:val="00BE394B"/>
    <w:rsid w:val="00BE39EC"/>
    <w:rsid w:val="00BE3A58"/>
    <w:rsid w:val="00BE3ABF"/>
    <w:rsid w:val="00BE3B14"/>
    <w:rsid w:val="00BE3BE7"/>
    <w:rsid w:val="00BE3CB5"/>
    <w:rsid w:val="00BE40F0"/>
    <w:rsid w:val="00BE4143"/>
    <w:rsid w:val="00BE42B3"/>
    <w:rsid w:val="00BE4379"/>
    <w:rsid w:val="00BE4453"/>
    <w:rsid w:val="00BE44DD"/>
    <w:rsid w:val="00BE44E9"/>
    <w:rsid w:val="00BE4542"/>
    <w:rsid w:val="00BE4766"/>
    <w:rsid w:val="00BE4814"/>
    <w:rsid w:val="00BE49C6"/>
    <w:rsid w:val="00BE4B94"/>
    <w:rsid w:val="00BE4CA3"/>
    <w:rsid w:val="00BE4CDA"/>
    <w:rsid w:val="00BE4D31"/>
    <w:rsid w:val="00BE51C7"/>
    <w:rsid w:val="00BE51D0"/>
    <w:rsid w:val="00BE520E"/>
    <w:rsid w:val="00BE52ED"/>
    <w:rsid w:val="00BE5385"/>
    <w:rsid w:val="00BE550B"/>
    <w:rsid w:val="00BE5566"/>
    <w:rsid w:val="00BE5667"/>
    <w:rsid w:val="00BE5761"/>
    <w:rsid w:val="00BE57FD"/>
    <w:rsid w:val="00BE590C"/>
    <w:rsid w:val="00BE5B2D"/>
    <w:rsid w:val="00BE5B64"/>
    <w:rsid w:val="00BE5C0E"/>
    <w:rsid w:val="00BE5EA1"/>
    <w:rsid w:val="00BE61C3"/>
    <w:rsid w:val="00BE6331"/>
    <w:rsid w:val="00BE63CD"/>
    <w:rsid w:val="00BE65BB"/>
    <w:rsid w:val="00BE65CF"/>
    <w:rsid w:val="00BE6614"/>
    <w:rsid w:val="00BE6794"/>
    <w:rsid w:val="00BE6AA2"/>
    <w:rsid w:val="00BE6AE8"/>
    <w:rsid w:val="00BE6B72"/>
    <w:rsid w:val="00BE6D2C"/>
    <w:rsid w:val="00BE7083"/>
    <w:rsid w:val="00BE719A"/>
    <w:rsid w:val="00BE727A"/>
    <w:rsid w:val="00BE72C5"/>
    <w:rsid w:val="00BE7486"/>
    <w:rsid w:val="00BE7487"/>
    <w:rsid w:val="00BE76A4"/>
    <w:rsid w:val="00BE7915"/>
    <w:rsid w:val="00BE7955"/>
    <w:rsid w:val="00BE7A4E"/>
    <w:rsid w:val="00BE7AE0"/>
    <w:rsid w:val="00BE7B32"/>
    <w:rsid w:val="00BE7DF0"/>
    <w:rsid w:val="00BE7F1B"/>
    <w:rsid w:val="00BE7F20"/>
    <w:rsid w:val="00BF0154"/>
    <w:rsid w:val="00BF03E1"/>
    <w:rsid w:val="00BF045C"/>
    <w:rsid w:val="00BF061A"/>
    <w:rsid w:val="00BF0730"/>
    <w:rsid w:val="00BF07AE"/>
    <w:rsid w:val="00BF083E"/>
    <w:rsid w:val="00BF0FCE"/>
    <w:rsid w:val="00BF10FE"/>
    <w:rsid w:val="00BF1172"/>
    <w:rsid w:val="00BF15EA"/>
    <w:rsid w:val="00BF1642"/>
    <w:rsid w:val="00BF16FD"/>
    <w:rsid w:val="00BF170C"/>
    <w:rsid w:val="00BF184F"/>
    <w:rsid w:val="00BF1869"/>
    <w:rsid w:val="00BF1A37"/>
    <w:rsid w:val="00BF1A4B"/>
    <w:rsid w:val="00BF1A8C"/>
    <w:rsid w:val="00BF1BB0"/>
    <w:rsid w:val="00BF1C7F"/>
    <w:rsid w:val="00BF1E43"/>
    <w:rsid w:val="00BF2282"/>
    <w:rsid w:val="00BF23C0"/>
    <w:rsid w:val="00BF2548"/>
    <w:rsid w:val="00BF254A"/>
    <w:rsid w:val="00BF2667"/>
    <w:rsid w:val="00BF26CA"/>
    <w:rsid w:val="00BF2716"/>
    <w:rsid w:val="00BF27DB"/>
    <w:rsid w:val="00BF294A"/>
    <w:rsid w:val="00BF298A"/>
    <w:rsid w:val="00BF2A29"/>
    <w:rsid w:val="00BF2B0F"/>
    <w:rsid w:val="00BF2C49"/>
    <w:rsid w:val="00BF3163"/>
    <w:rsid w:val="00BF3393"/>
    <w:rsid w:val="00BF33B7"/>
    <w:rsid w:val="00BF33E3"/>
    <w:rsid w:val="00BF34E3"/>
    <w:rsid w:val="00BF3565"/>
    <w:rsid w:val="00BF359B"/>
    <w:rsid w:val="00BF36CD"/>
    <w:rsid w:val="00BF39A6"/>
    <w:rsid w:val="00BF3EB2"/>
    <w:rsid w:val="00BF3F80"/>
    <w:rsid w:val="00BF3FA2"/>
    <w:rsid w:val="00BF418D"/>
    <w:rsid w:val="00BF4208"/>
    <w:rsid w:val="00BF4249"/>
    <w:rsid w:val="00BF4366"/>
    <w:rsid w:val="00BF446E"/>
    <w:rsid w:val="00BF4797"/>
    <w:rsid w:val="00BF489E"/>
    <w:rsid w:val="00BF49DD"/>
    <w:rsid w:val="00BF4A6F"/>
    <w:rsid w:val="00BF4AA1"/>
    <w:rsid w:val="00BF4D42"/>
    <w:rsid w:val="00BF4DA3"/>
    <w:rsid w:val="00BF4DC5"/>
    <w:rsid w:val="00BF5341"/>
    <w:rsid w:val="00BF556D"/>
    <w:rsid w:val="00BF560F"/>
    <w:rsid w:val="00BF56B5"/>
    <w:rsid w:val="00BF57E0"/>
    <w:rsid w:val="00BF581F"/>
    <w:rsid w:val="00BF588B"/>
    <w:rsid w:val="00BF590A"/>
    <w:rsid w:val="00BF5B2D"/>
    <w:rsid w:val="00BF6015"/>
    <w:rsid w:val="00BF6054"/>
    <w:rsid w:val="00BF60E9"/>
    <w:rsid w:val="00BF6161"/>
    <w:rsid w:val="00BF6407"/>
    <w:rsid w:val="00BF65FF"/>
    <w:rsid w:val="00BF6663"/>
    <w:rsid w:val="00BF68DD"/>
    <w:rsid w:val="00BF69A2"/>
    <w:rsid w:val="00BF6A20"/>
    <w:rsid w:val="00BF6A45"/>
    <w:rsid w:val="00BF6A98"/>
    <w:rsid w:val="00BF6F90"/>
    <w:rsid w:val="00BF702B"/>
    <w:rsid w:val="00BF7078"/>
    <w:rsid w:val="00BF737E"/>
    <w:rsid w:val="00BF74FC"/>
    <w:rsid w:val="00BF77CF"/>
    <w:rsid w:val="00BF7976"/>
    <w:rsid w:val="00BF797D"/>
    <w:rsid w:val="00BF7C7D"/>
    <w:rsid w:val="00BF7E51"/>
    <w:rsid w:val="00BF7E65"/>
    <w:rsid w:val="00BF7E76"/>
    <w:rsid w:val="00BF7F85"/>
    <w:rsid w:val="00C000A9"/>
    <w:rsid w:val="00C001D1"/>
    <w:rsid w:val="00C001D9"/>
    <w:rsid w:val="00C00220"/>
    <w:rsid w:val="00C0025C"/>
    <w:rsid w:val="00C0029A"/>
    <w:rsid w:val="00C003AC"/>
    <w:rsid w:val="00C004C4"/>
    <w:rsid w:val="00C00564"/>
    <w:rsid w:val="00C0056C"/>
    <w:rsid w:val="00C005BC"/>
    <w:rsid w:val="00C005D0"/>
    <w:rsid w:val="00C006F1"/>
    <w:rsid w:val="00C0072E"/>
    <w:rsid w:val="00C007CF"/>
    <w:rsid w:val="00C00A0A"/>
    <w:rsid w:val="00C00A35"/>
    <w:rsid w:val="00C00BB6"/>
    <w:rsid w:val="00C00DDC"/>
    <w:rsid w:val="00C00E0E"/>
    <w:rsid w:val="00C00FDC"/>
    <w:rsid w:val="00C00FE4"/>
    <w:rsid w:val="00C01053"/>
    <w:rsid w:val="00C011D2"/>
    <w:rsid w:val="00C011FA"/>
    <w:rsid w:val="00C012A5"/>
    <w:rsid w:val="00C012CE"/>
    <w:rsid w:val="00C01304"/>
    <w:rsid w:val="00C0134B"/>
    <w:rsid w:val="00C0134D"/>
    <w:rsid w:val="00C01461"/>
    <w:rsid w:val="00C01504"/>
    <w:rsid w:val="00C01567"/>
    <w:rsid w:val="00C016E4"/>
    <w:rsid w:val="00C01A2C"/>
    <w:rsid w:val="00C01AA7"/>
    <w:rsid w:val="00C01AA9"/>
    <w:rsid w:val="00C01EC0"/>
    <w:rsid w:val="00C01FDC"/>
    <w:rsid w:val="00C02066"/>
    <w:rsid w:val="00C02195"/>
    <w:rsid w:val="00C024A8"/>
    <w:rsid w:val="00C025A1"/>
    <w:rsid w:val="00C026CF"/>
    <w:rsid w:val="00C028BE"/>
    <w:rsid w:val="00C02956"/>
    <w:rsid w:val="00C029B9"/>
    <w:rsid w:val="00C02A5E"/>
    <w:rsid w:val="00C02D55"/>
    <w:rsid w:val="00C03202"/>
    <w:rsid w:val="00C03453"/>
    <w:rsid w:val="00C035EC"/>
    <w:rsid w:val="00C035F9"/>
    <w:rsid w:val="00C036A1"/>
    <w:rsid w:val="00C03720"/>
    <w:rsid w:val="00C03888"/>
    <w:rsid w:val="00C038EA"/>
    <w:rsid w:val="00C03B23"/>
    <w:rsid w:val="00C03C71"/>
    <w:rsid w:val="00C03CE2"/>
    <w:rsid w:val="00C03D06"/>
    <w:rsid w:val="00C03DBE"/>
    <w:rsid w:val="00C03DD5"/>
    <w:rsid w:val="00C03DFB"/>
    <w:rsid w:val="00C03E68"/>
    <w:rsid w:val="00C040D1"/>
    <w:rsid w:val="00C04110"/>
    <w:rsid w:val="00C042C5"/>
    <w:rsid w:val="00C04540"/>
    <w:rsid w:val="00C045FB"/>
    <w:rsid w:val="00C04720"/>
    <w:rsid w:val="00C047A8"/>
    <w:rsid w:val="00C048B2"/>
    <w:rsid w:val="00C048D9"/>
    <w:rsid w:val="00C049F4"/>
    <w:rsid w:val="00C04BEC"/>
    <w:rsid w:val="00C04E2F"/>
    <w:rsid w:val="00C04E4D"/>
    <w:rsid w:val="00C0502C"/>
    <w:rsid w:val="00C050D5"/>
    <w:rsid w:val="00C05124"/>
    <w:rsid w:val="00C051A7"/>
    <w:rsid w:val="00C0521A"/>
    <w:rsid w:val="00C05233"/>
    <w:rsid w:val="00C053EC"/>
    <w:rsid w:val="00C05463"/>
    <w:rsid w:val="00C0548F"/>
    <w:rsid w:val="00C054E5"/>
    <w:rsid w:val="00C05506"/>
    <w:rsid w:val="00C056C8"/>
    <w:rsid w:val="00C0571F"/>
    <w:rsid w:val="00C057C3"/>
    <w:rsid w:val="00C05B43"/>
    <w:rsid w:val="00C05BE2"/>
    <w:rsid w:val="00C05D2B"/>
    <w:rsid w:val="00C05DC6"/>
    <w:rsid w:val="00C05E65"/>
    <w:rsid w:val="00C05F17"/>
    <w:rsid w:val="00C05FEB"/>
    <w:rsid w:val="00C06247"/>
    <w:rsid w:val="00C0627E"/>
    <w:rsid w:val="00C063A9"/>
    <w:rsid w:val="00C06476"/>
    <w:rsid w:val="00C064DC"/>
    <w:rsid w:val="00C06567"/>
    <w:rsid w:val="00C065D6"/>
    <w:rsid w:val="00C06980"/>
    <w:rsid w:val="00C06A13"/>
    <w:rsid w:val="00C06B68"/>
    <w:rsid w:val="00C06D1E"/>
    <w:rsid w:val="00C06D45"/>
    <w:rsid w:val="00C06FA7"/>
    <w:rsid w:val="00C070B6"/>
    <w:rsid w:val="00C070F5"/>
    <w:rsid w:val="00C07110"/>
    <w:rsid w:val="00C07260"/>
    <w:rsid w:val="00C0746C"/>
    <w:rsid w:val="00C076C4"/>
    <w:rsid w:val="00C077C9"/>
    <w:rsid w:val="00C07807"/>
    <w:rsid w:val="00C0782B"/>
    <w:rsid w:val="00C079ED"/>
    <w:rsid w:val="00C07B15"/>
    <w:rsid w:val="00C07B3F"/>
    <w:rsid w:val="00C07CF3"/>
    <w:rsid w:val="00C07D15"/>
    <w:rsid w:val="00C07DFE"/>
    <w:rsid w:val="00C07E33"/>
    <w:rsid w:val="00C07EEE"/>
    <w:rsid w:val="00C1014F"/>
    <w:rsid w:val="00C10278"/>
    <w:rsid w:val="00C104A3"/>
    <w:rsid w:val="00C1069E"/>
    <w:rsid w:val="00C1082E"/>
    <w:rsid w:val="00C10965"/>
    <w:rsid w:val="00C10A3B"/>
    <w:rsid w:val="00C10A52"/>
    <w:rsid w:val="00C10AAD"/>
    <w:rsid w:val="00C10C0E"/>
    <w:rsid w:val="00C10D3F"/>
    <w:rsid w:val="00C10D96"/>
    <w:rsid w:val="00C10F16"/>
    <w:rsid w:val="00C110F7"/>
    <w:rsid w:val="00C11328"/>
    <w:rsid w:val="00C114C5"/>
    <w:rsid w:val="00C114E6"/>
    <w:rsid w:val="00C1154B"/>
    <w:rsid w:val="00C1158B"/>
    <w:rsid w:val="00C1158C"/>
    <w:rsid w:val="00C115DB"/>
    <w:rsid w:val="00C11617"/>
    <w:rsid w:val="00C11620"/>
    <w:rsid w:val="00C1192B"/>
    <w:rsid w:val="00C11936"/>
    <w:rsid w:val="00C11BB3"/>
    <w:rsid w:val="00C11C7D"/>
    <w:rsid w:val="00C11C93"/>
    <w:rsid w:val="00C11E11"/>
    <w:rsid w:val="00C11E37"/>
    <w:rsid w:val="00C11EF1"/>
    <w:rsid w:val="00C12022"/>
    <w:rsid w:val="00C122C4"/>
    <w:rsid w:val="00C12324"/>
    <w:rsid w:val="00C1242E"/>
    <w:rsid w:val="00C12580"/>
    <w:rsid w:val="00C12595"/>
    <w:rsid w:val="00C12757"/>
    <w:rsid w:val="00C1296E"/>
    <w:rsid w:val="00C12AFF"/>
    <w:rsid w:val="00C12B6A"/>
    <w:rsid w:val="00C12C08"/>
    <w:rsid w:val="00C12F68"/>
    <w:rsid w:val="00C12FDB"/>
    <w:rsid w:val="00C131A6"/>
    <w:rsid w:val="00C13486"/>
    <w:rsid w:val="00C1360B"/>
    <w:rsid w:val="00C1368A"/>
    <w:rsid w:val="00C136C7"/>
    <w:rsid w:val="00C1390D"/>
    <w:rsid w:val="00C13AD5"/>
    <w:rsid w:val="00C13AE2"/>
    <w:rsid w:val="00C13C07"/>
    <w:rsid w:val="00C13CB1"/>
    <w:rsid w:val="00C13DB8"/>
    <w:rsid w:val="00C13DD9"/>
    <w:rsid w:val="00C1401A"/>
    <w:rsid w:val="00C1408F"/>
    <w:rsid w:val="00C140F4"/>
    <w:rsid w:val="00C1414E"/>
    <w:rsid w:val="00C141BD"/>
    <w:rsid w:val="00C1421F"/>
    <w:rsid w:val="00C142F6"/>
    <w:rsid w:val="00C14855"/>
    <w:rsid w:val="00C148CC"/>
    <w:rsid w:val="00C14962"/>
    <w:rsid w:val="00C14999"/>
    <w:rsid w:val="00C149EB"/>
    <w:rsid w:val="00C14B1A"/>
    <w:rsid w:val="00C14DC1"/>
    <w:rsid w:val="00C14EC1"/>
    <w:rsid w:val="00C14F56"/>
    <w:rsid w:val="00C151F5"/>
    <w:rsid w:val="00C154CC"/>
    <w:rsid w:val="00C155FD"/>
    <w:rsid w:val="00C15699"/>
    <w:rsid w:val="00C15785"/>
    <w:rsid w:val="00C157DC"/>
    <w:rsid w:val="00C159EF"/>
    <w:rsid w:val="00C15BCA"/>
    <w:rsid w:val="00C15D30"/>
    <w:rsid w:val="00C15E07"/>
    <w:rsid w:val="00C15F75"/>
    <w:rsid w:val="00C1618A"/>
    <w:rsid w:val="00C16210"/>
    <w:rsid w:val="00C1640C"/>
    <w:rsid w:val="00C165ED"/>
    <w:rsid w:val="00C16720"/>
    <w:rsid w:val="00C1689F"/>
    <w:rsid w:val="00C1697F"/>
    <w:rsid w:val="00C16992"/>
    <w:rsid w:val="00C16998"/>
    <w:rsid w:val="00C16A2A"/>
    <w:rsid w:val="00C16B7C"/>
    <w:rsid w:val="00C16E8E"/>
    <w:rsid w:val="00C16E90"/>
    <w:rsid w:val="00C16F45"/>
    <w:rsid w:val="00C1708C"/>
    <w:rsid w:val="00C171ED"/>
    <w:rsid w:val="00C17255"/>
    <w:rsid w:val="00C172E8"/>
    <w:rsid w:val="00C17356"/>
    <w:rsid w:val="00C1741F"/>
    <w:rsid w:val="00C174D2"/>
    <w:rsid w:val="00C179E1"/>
    <w:rsid w:val="00C17BB0"/>
    <w:rsid w:val="00C17DAD"/>
    <w:rsid w:val="00C17DB0"/>
    <w:rsid w:val="00C17F5F"/>
    <w:rsid w:val="00C200E1"/>
    <w:rsid w:val="00C2012B"/>
    <w:rsid w:val="00C201D3"/>
    <w:rsid w:val="00C201F2"/>
    <w:rsid w:val="00C20240"/>
    <w:rsid w:val="00C2024B"/>
    <w:rsid w:val="00C20276"/>
    <w:rsid w:val="00C2030F"/>
    <w:rsid w:val="00C20640"/>
    <w:rsid w:val="00C20687"/>
    <w:rsid w:val="00C206FA"/>
    <w:rsid w:val="00C207E1"/>
    <w:rsid w:val="00C208C3"/>
    <w:rsid w:val="00C208D6"/>
    <w:rsid w:val="00C208F9"/>
    <w:rsid w:val="00C20C80"/>
    <w:rsid w:val="00C20D3A"/>
    <w:rsid w:val="00C20D85"/>
    <w:rsid w:val="00C21020"/>
    <w:rsid w:val="00C21096"/>
    <w:rsid w:val="00C21125"/>
    <w:rsid w:val="00C2114D"/>
    <w:rsid w:val="00C213F7"/>
    <w:rsid w:val="00C21403"/>
    <w:rsid w:val="00C21719"/>
    <w:rsid w:val="00C218C8"/>
    <w:rsid w:val="00C21A40"/>
    <w:rsid w:val="00C21B69"/>
    <w:rsid w:val="00C21C71"/>
    <w:rsid w:val="00C21CE9"/>
    <w:rsid w:val="00C21DEB"/>
    <w:rsid w:val="00C2211E"/>
    <w:rsid w:val="00C22143"/>
    <w:rsid w:val="00C22199"/>
    <w:rsid w:val="00C22230"/>
    <w:rsid w:val="00C222EA"/>
    <w:rsid w:val="00C22369"/>
    <w:rsid w:val="00C22388"/>
    <w:rsid w:val="00C2248B"/>
    <w:rsid w:val="00C224BD"/>
    <w:rsid w:val="00C224DA"/>
    <w:rsid w:val="00C22A66"/>
    <w:rsid w:val="00C22AEC"/>
    <w:rsid w:val="00C22BED"/>
    <w:rsid w:val="00C22C04"/>
    <w:rsid w:val="00C22C2D"/>
    <w:rsid w:val="00C22DF9"/>
    <w:rsid w:val="00C22EB2"/>
    <w:rsid w:val="00C22F44"/>
    <w:rsid w:val="00C22FB8"/>
    <w:rsid w:val="00C23004"/>
    <w:rsid w:val="00C2306E"/>
    <w:rsid w:val="00C230B2"/>
    <w:rsid w:val="00C2351D"/>
    <w:rsid w:val="00C235CD"/>
    <w:rsid w:val="00C2363B"/>
    <w:rsid w:val="00C23695"/>
    <w:rsid w:val="00C23788"/>
    <w:rsid w:val="00C237F9"/>
    <w:rsid w:val="00C239AD"/>
    <w:rsid w:val="00C23A9C"/>
    <w:rsid w:val="00C23CA5"/>
    <w:rsid w:val="00C23F56"/>
    <w:rsid w:val="00C241B1"/>
    <w:rsid w:val="00C24270"/>
    <w:rsid w:val="00C2428B"/>
    <w:rsid w:val="00C244EE"/>
    <w:rsid w:val="00C2460D"/>
    <w:rsid w:val="00C247CB"/>
    <w:rsid w:val="00C24A17"/>
    <w:rsid w:val="00C24B99"/>
    <w:rsid w:val="00C24BEF"/>
    <w:rsid w:val="00C24E97"/>
    <w:rsid w:val="00C24FB2"/>
    <w:rsid w:val="00C2532F"/>
    <w:rsid w:val="00C253A1"/>
    <w:rsid w:val="00C25437"/>
    <w:rsid w:val="00C2546F"/>
    <w:rsid w:val="00C254C0"/>
    <w:rsid w:val="00C25564"/>
    <w:rsid w:val="00C25577"/>
    <w:rsid w:val="00C25691"/>
    <w:rsid w:val="00C256A5"/>
    <w:rsid w:val="00C257AB"/>
    <w:rsid w:val="00C25812"/>
    <w:rsid w:val="00C2591C"/>
    <w:rsid w:val="00C25A9F"/>
    <w:rsid w:val="00C25AD7"/>
    <w:rsid w:val="00C25C7D"/>
    <w:rsid w:val="00C25CED"/>
    <w:rsid w:val="00C25E74"/>
    <w:rsid w:val="00C25FFD"/>
    <w:rsid w:val="00C260BA"/>
    <w:rsid w:val="00C26162"/>
    <w:rsid w:val="00C26174"/>
    <w:rsid w:val="00C261A7"/>
    <w:rsid w:val="00C262DB"/>
    <w:rsid w:val="00C263D6"/>
    <w:rsid w:val="00C2662D"/>
    <w:rsid w:val="00C2663D"/>
    <w:rsid w:val="00C26A3C"/>
    <w:rsid w:val="00C26A66"/>
    <w:rsid w:val="00C26A85"/>
    <w:rsid w:val="00C26B2E"/>
    <w:rsid w:val="00C26B81"/>
    <w:rsid w:val="00C26CFD"/>
    <w:rsid w:val="00C26F1F"/>
    <w:rsid w:val="00C26F30"/>
    <w:rsid w:val="00C270D0"/>
    <w:rsid w:val="00C27279"/>
    <w:rsid w:val="00C27331"/>
    <w:rsid w:val="00C27428"/>
    <w:rsid w:val="00C274E9"/>
    <w:rsid w:val="00C27575"/>
    <w:rsid w:val="00C27590"/>
    <w:rsid w:val="00C27621"/>
    <w:rsid w:val="00C27643"/>
    <w:rsid w:val="00C27683"/>
    <w:rsid w:val="00C2791A"/>
    <w:rsid w:val="00C279A3"/>
    <w:rsid w:val="00C27A91"/>
    <w:rsid w:val="00C27CC6"/>
    <w:rsid w:val="00C27E48"/>
    <w:rsid w:val="00C27EF6"/>
    <w:rsid w:val="00C27F62"/>
    <w:rsid w:val="00C27FE7"/>
    <w:rsid w:val="00C30033"/>
    <w:rsid w:val="00C30088"/>
    <w:rsid w:val="00C3035B"/>
    <w:rsid w:val="00C3038A"/>
    <w:rsid w:val="00C303C9"/>
    <w:rsid w:val="00C30487"/>
    <w:rsid w:val="00C30558"/>
    <w:rsid w:val="00C30596"/>
    <w:rsid w:val="00C30663"/>
    <w:rsid w:val="00C308BE"/>
    <w:rsid w:val="00C308F7"/>
    <w:rsid w:val="00C30967"/>
    <w:rsid w:val="00C3096C"/>
    <w:rsid w:val="00C30985"/>
    <w:rsid w:val="00C30992"/>
    <w:rsid w:val="00C30B00"/>
    <w:rsid w:val="00C30C31"/>
    <w:rsid w:val="00C30D2C"/>
    <w:rsid w:val="00C30DBA"/>
    <w:rsid w:val="00C30FAB"/>
    <w:rsid w:val="00C30FFC"/>
    <w:rsid w:val="00C3110F"/>
    <w:rsid w:val="00C31125"/>
    <w:rsid w:val="00C311A9"/>
    <w:rsid w:val="00C31206"/>
    <w:rsid w:val="00C3125C"/>
    <w:rsid w:val="00C3127E"/>
    <w:rsid w:val="00C31333"/>
    <w:rsid w:val="00C315E7"/>
    <w:rsid w:val="00C31727"/>
    <w:rsid w:val="00C31997"/>
    <w:rsid w:val="00C319F3"/>
    <w:rsid w:val="00C31C0B"/>
    <w:rsid w:val="00C31FBD"/>
    <w:rsid w:val="00C31FDB"/>
    <w:rsid w:val="00C31FEA"/>
    <w:rsid w:val="00C3204A"/>
    <w:rsid w:val="00C320DB"/>
    <w:rsid w:val="00C3214E"/>
    <w:rsid w:val="00C321F0"/>
    <w:rsid w:val="00C32291"/>
    <w:rsid w:val="00C32317"/>
    <w:rsid w:val="00C323FD"/>
    <w:rsid w:val="00C326B2"/>
    <w:rsid w:val="00C3287D"/>
    <w:rsid w:val="00C3290E"/>
    <w:rsid w:val="00C32CCF"/>
    <w:rsid w:val="00C32FAF"/>
    <w:rsid w:val="00C331FB"/>
    <w:rsid w:val="00C33407"/>
    <w:rsid w:val="00C3358E"/>
    <w:rsid w:val="00C33823"/>
    <w:rsid w:val="00C3390C"/>
    <w:rsid w:val="00C33961"/>
    <w:rsid w:val="00C33B33"/>
    <w:rsid w:val="00C33B71"/>
    <w:rsid w:val="00C33B9F"/>
    <w:rsid w:val="00C33C41"/>
    <w:rsid w:val="00C33DAE"/>
    <w:rsid w:val="00C33E1B"/>
    <w:rsid w:val="00C33E34"/>
    <w:rsid w:val="00C33FFE"/>
    <w:rsid w:val="00C3400A"/>
    <w:rsid w:val="00C3407A"/>
    <w:rsid w:val="00C340B3"/>
    <w:rsid w:val="00C340D1"/>
    <w:rsid w:val="00C341F2"/>
    <w:rsid w:val="00C34589"/>
    <w:rsid w:val="00C34629"/>
    <w:rsid w:val="00C34683"/>
    <w:rsid w:val="00C34690"/>
    <w:rsid w:val="00C3498D"/>
    <w:rsid w:val="00C349D5"/>
    <w:rsid w:val="00C34CF0"/>
    <w:rsid w:val="00C34FA9"/>
    <w:rsid w:val="00C34FB2"/>
    <w:rsid w:val="00C35188"/>
    <w:rsid w:val="00C353E5"/>
    <w:rsid w:val="00C357EE"/>
    <w:rsid w:val="00C35B62"/>
    <w:rsid w:val="00C35B90"/>
    <w:rsid w:val="00C35C73"/>
    <w:rsid w:val="00C35E8F"/>
    <w:rsid w:val="00C35FE8"/>
    <w:rsid w:val="00C3603D"/>
    <w:rsid w:val="00C36063"/>
    <w:rsid w:val="00C36152"/>
    <w:rsid w:val="00C361AB"/>
    <w:rsid w:val="00C361F0"/>
    <w:rsid w:val="00C362CF"/>
    <w:rsid w:val="00C365D0"/>
    <w:rsid w:val="00C3670A"/>
    <w:rsid w:val="00C367AA"/>
    <w:rsid w:val="00C367B6"/>
    <w:rsid w:val="00C367D3"/>
    <w:rsid w:val="00C36B40"/>
    <w:rsid w:val="00C36C35"/>
    <w:rsid w:val="00C36CB2"/>
    <w:rsid w:val="00C36E51"/>
    <w:rsid w:val="00C3712B"/>
    <w:rsid w:val="00C37505"/>
    <w:rsid w:val="00C3750C"/>
    <w:rsid w:val="00C3759C"/>
    <w:rsid w:val="00C375A6"/>
    <w:rsid w:val="00C37665"/>
    <w:rsid w:val="00C376B5"/>
    <w:rsid w:val="00C376E0"/>
    <w:rsid w:val="00C37859"/>
    <w:rsid w:val="00C378DF"/>
    <w:rsid w:val="00C37965"/>
    <w:rsid w:val="00C37AA3"/>
    <w:rsid w:val="00C37AF1"/>
    <w:rsid w:val="00C37B0F"/>
    <w:rsid w:val="00C37B7B"/>
    <w:rsid w:val="00C37BB2"/>
    <w:rsid w:val="00C37C64"/>
    <w:rsid w:val="00C37DD9"/>
    <w:rsid w:val="00C37F11"/>
    <w:rsid w:val="00C37F12"/>
    <w:rsid w:val="00C37F28"/>
    <w:rsid w:val="00C40209"/>
    <w:rsid w:val="00C40247"/>
    <w:rsid w:val="00C405B8"/>
    <w:rsid w:val="00C406CB"/>
    <w:rsid w:val="00C40BAE"/>
    <w:rsid w:val="00C40BD1"/>
    <w:rsid w:val="00C40C4C"/>
    <w:rsid w:val="00C40E15"/>
    <w:rsid w:val="00C40E3B"/>
    <w:rsid w:val="00C4117E"/>
    <w:rsid w:val="00C41462"/>
    <w:rsid w:val="00C41519"/>
    <w:rsid w:val="00C415C1"/>
    <w:rsid w:val="00C41870"/>
    <w:rsid w:val="00C419C4"/>
    <w:rsid w:val="00C419F2"/>
    <w:rsid w:val="00C41B3B"/>
    <w:rsid w:val="00C41C41"/>
    <w:rsid w:val="00C41F5C"/>
    <w:rsid w:val="00C421A7"/>
    <w:rsid w:val="00C42518"/>
    <w:rsid w:val="00C42611"/>
    <w:rsid w:val="00C4277B"/>
    <w:rsid w:val="00C42867"/>
    <w:rsid w:val="00C42996"/>
    <w:rsid w:val="00C429E1"/>
    <w:rsid w:val="00C42BD6"/>
    <w:rsid w:val="00C42C7C"/>
    <w:rsid w:val="00C42F3A"/>
    <w:rsid w:val="00C43055"/>
    <w:rsid w:val="00C43067"/>
    <w:rsid w:val="00C430E5"/>
    <w:rsid w:val="00C43164"/>
    <w:rsid w:val="00C4326F"/>
    <w:rsid w:val="00C43559"/>
    <w:rsid w:val="00C435E8"/>
    <w:rsid w:val="00C436A8"/>
    <w:rsid w:val="00C436FE"/>
    <w:rsid w:val="00C43738"/>
    <w:rsid w:val="00C437DD"/>
    <w:rsid w:val="00C4398A"/>
    <w:rsid w:val="00C43BFB"/>
    <w:rsid w:val="00C43E09"/>
    <w:rsid w:val="00C44534"/>
    <w:rsid w:val="00C44614"/>
    <w:rsid w:val="00C446AB"/>
    <w:rsid w:val="00C446F9"/>
    <w:rsid w:val="00C4483A"/>
    <w:rsid w:val="00C4499F"/>
    <w:rsid w:val="00C449E5"/>
    <w:rsid w:val="00C44C0B"/>
    <w:rsid w:val="00C451EB"/>
    <w:rsid w:val="00C45387"/>
    <w:rsid w:val="00C453D1"/>
    <w:rsid w:val="00C4549F"/>
    <w:rsid w:val="00C454A3"/>
    <w:rsid w:val="00C455A8"/>
    <w:rsid w:val="00C4576C"/>
    <w:rsid w:val="00C458C9"/>
    <w:rsid w:val="00C45CB3"/>
    <w:rsid w:val="00C45CE9"/>
    <w:rsid w:val="00C45E13"/>
    <w:rsid w:val="00C45F9B"/>
    <w:rsid w:val="00C46063"/>
    <w:rsid w:val="00C46076"/>
    <w:rsid w:val="00C46171"/>
    <w:rsid w:val="00C4620C"/>
    <w:rsid w:val="00C4621D"/>
    <w:rsid w:val="00C4624E"/>
    <w:rsid w:val="00C46299"/>
    <w:rsid w:val="00C463ED"/>
    <w:rsid w:val="00C4665F"/>
    <w:rsid w:val="00C46B09"/>
    <w:rsid w:val="00C47187"/>
    <w:rsid w:val="00C47269"/>
    <w:rsid w:val="00C475D1"/>
    <w:rsid w:val="00C47678"/>
    <w:rsid w:val="00C476AF"/>
    <w:rsid w:val="00C47793"/>
    <w:rsid w:val="00C47B6F"/>
    <w:rsid w:val="00C47CE8"/>
    <w:rsid w:val="00C47DEE"/>
    <w:rsid w:val="00C47E9A"/>
    <w:rsid w:val="00C5035C"/>
    <w:rsid w:val="00C50375"/>
    <w:rsid w:val="00C50530"/>
    <w:rsid w:val="00C50638"/>
    <w:rsid w:val="00C5076E"/>
    <w:rsid w:val="00C50850"/>
    <w:rsid w:val="00C50895"/>
    <w:rsid w:val="00C50A52"/>
    <w:rsid w:val="00C50D9C"/>
    <w:rsid w:val="00C50DAC"/>
    <w:rsid w:val="00C50F2B"/>
    <w:rsid w:val="00C51038"/>
    <w:rsid w:val="00C5107C"/>
    <w:rsid w:val="00C513DE"/>
    <w:rsid w:val="00C51411"/>
    <w:rsid w:val="00C51487"/>
    <w:rsid w:val="00C51591"/>
    <w:rsid w:val="00C516AE"/>
    <w:rsid w:val="00C517DD"/>
    <w:rsid w:val="00C518EC"/>
    <w:rsid w:val="00C519BC"/>
    <w:rsid w:val="00C51B08"/>
    <w:rsid w:val="00C51E8C"/>
    <w:rsid w:val="00C51F28"/>
    <w:rsid w:val="00C51F73"/>
    <w:rsid w:val="00C51FFD"/>
    <w:rsid w:val="00C52174"/>
    <w:rsid w:val="00C52413"/>
    <w:rsid w:val="00C5251D"/>
    <w:rsid w:val="00C5255D"/>
    <w:rsid w:val="00C52654"/>
    <w:rsid w:val="00C52694"/>
    <w:rsid w:val="00C52851"/>
    <w:rsid w:val="00C5286D"/>
    <w:rsid w:val="00C5289A"/>
    <w:rsid w:val="00C52960"/>
    <w:rsid w:val="00C52D27"/>
    <w:rsid w:val="00C52D6C"/>
    <w:rsid w:val="00C5302A"/>
    <w:rsid w:val="00C53126"/>
    <w:rsid w:val="00C531EF"/>
    <w:rsid w:val="00C532E1"/>
    <w:rsid w:val="00C5340E"/>
    <w:rsid w:val="00C53496"/>
    <w:rsid w:val="00C53578"/>
    <w:rsid w:val="00C536C7"/>
    <w:rsid w:val="00C536F5"/>
    <w:rsid w:val="00C537CD"/>
    <w:rsid w:val="00C537E4"/>
    <w:rsid w:val="00C53886"/>
    <w:rsid w:val="00C53993"/>
    <w:rsid w:val="00C53ABB"/>
    <w:rsid w:val="00C53B54"/>
    <w:rsid w:val="00C53DEB"/>
    <w:rsid w:val="00C53FAC"/>
    <w:rsid w:val="00C542AD"/>
    <w:rsid w:val="00C542C1"/>
    <w:rsid w:val="00C54413"/>
    <w:rsid w:val="00C5476C"/>
    <w:rsid w:val="00C548B2"/>
    <w:rsid w:val="00C54A38"/>
    <w:rsid w:val="00C54C3C"/>
    <w:rsid w:val="00C54CD6"/>
    <w:rsid w:val="00C54E4B"/>
    <w:rsid w:val="00C54EBE"/>
    <w:rsid w:val="00C54F0F"/>
    <w:rsid w:val="00C54F31"/>
    <w:rsid w:val="00C5515F"/>
    <w:rsid w:val="00C551C0"/>
    <w:rsid w:val="00C555D1"/>
    <w:rsid w:val="00C55685"/>
    <w:rsid w:val="00C556DB"/>
    <w:rsid w:val="00C55730"/>
    <w:rsid w:val="00C5587B"/>
    <w:rsid w:val="00C558AA"/>
    <w:rsid w:val="00C558B5"/>
    <w:rsid w:val="00C55A55"/>
    <w:rsid w:val="00C55A78"/>
    <w:rsid w:val="00C55AA2"/>
    <w:rsid w:val="00C55AE0"/>
    <w:rsid w:val="00C55AFE"/>
    <w:rsid w:val="00C55B4A"/>
    <w:rsid w:val="00C55B5C"/>
    <w:rsid w:val="00C55BD2"/>
    <w:rsid w:val="00C55D45"/>
    <w:rsid w:val="00C55D92"/>
    <w:rsid w:val="00C55DDC"/>
    <w:rsid w:val="00C55F53"/>
    <w:rsid w:val="00C56268"/>
    <w:rsid w:val="00C562A5"/>
    <w:rsid w:val="00C56363"/>
    <w:rsid w:val="00C56368"/>
    <w:rsid w:val="00C56527"/>
    <w:rsid w:val="00C565DC"/>
    <w:rsid w:val="00C566A8"/>
    <w:rsid w:val="00C567C8"/>
    <w:rsid w:val="00C567F8"/>
    <w:rsid w:val="00C569CC"/>
    <w:rsid w:val="00C56A05"/>
    <w:rsid w:val="00C56A98"/>
    <w:rsid w:val="00C56AD4"/>
    <w:rsid w:val="00C56B47"/>
    <w:rsid w:val="00C56B75"/>
    <w:rsid w:val="00C56B7D"/>
    <w:rsid w:val="00C56C27"/>
    <w:rsid w:val="00C56E41"/>
    <w:rsid w:val="00C56FAB"/>
    <w:rsid w:val="00C57067"/>
    <w:rsid w:val="00C571CB"/>
    <w:rsid w:val="00C5728E"/>
    <w:rsid w:val="00C572A1"/>
    <w:rsid w:val="00C5738A"/>
    <w:rsid w:val="00C576A9"/>
    <w:rsid w:val="00C577BF"/>
    <w:rsid w:val="00C577DD"/>
    <w:rsid w:val="00C5781A"/>
    <w:rsid w:val="00C57A62"/>
    <w:rsid w:val="00C57D43"/>
    <w:rsid w:val="00C57F2A"/>
    <w:rsid w:val="00C600DA"/>
    <w:rsid w:val="00C600ED"/>
    <w:rsid w:val="00C6014C"/>
    <w:rsid w:val="00C6020A"/>
    <w:rsid w:val="00C60218"/>
    <w:rsid w:val="00C60226"/>
    <w:rsid w:val="00C602CC"/>
    <w:rsid w:val="00C6032A"/>
    <w:rsid w:val="00C6039C"/>
    <w:rsid w:val="00C603C5"/>
    <w:rsid w:val="00C60825"/>
    <w:rsid w:val="00C608E7"/>
    <w:rsid w:val="00C60AF0"/>
    <w:rsid w:val="00C60B49"/>
    <w:rsid w:val="00C60D80"/>
    <w:rsid w:val="00C60ED9"/>
    <w:rsid w:val="00C60FEF"/>
    <w:rsid w:val="00C61031"/>
    <w:rsid w:val="00C6118B"/>
    <w:rsid w:val="00C6119F"/>
    <w:rsid w:val="00C612A6"/>
    <w:rsid w:val="00C6132A"/>
    <w:rsid w:val="00C6133D"/>
    <w:rsid w:val="00C6138C"/>
    <w:rsid w:val="00C61474"/>
    <w:rsid w:val="00C615AF"/>
    <w:rsid w:val="00C616CA"/>
    <w:rsid w:val="00C616F3"/>
    <w:rsid w:val="00C6197C"/>
    <w:rsid w:val="00C61B33"/>
    <w:rsid w:val="00C61B43"/>
    <w:rsid w:val="00C61DAA"/>
    <w:rsid w:val="00C61E34"/>
    <w:rsid w:val="00C621AA"/>
    <w:rsid w:val="00C6236C"/>
    <w:rsid w:val="00C6262A"/>
    <w:rsid w:val="00C62720"/>
    <w:rsid w:val="00C6274C"/>
    <w:rsid w:val="00C628C6"/>
    <w:rsid w:val="00C628C9"/>
    <w:rsid w:val="00C62B51"/>
    <w:rsid w:val="00C62C47"/>
    <w:rsid w:val="00C62D4A"/>
    <w:rsid w:val="00C62FB6"/>
    <w:rsid w:val="00C6310E"/>
    <w:rsid w:val="00C63134"/>
    <w:rsid w:val="00C632F6"/>
    <w:rsid w:val="00C63714"/>
    <w:rsid w:val="00C6374F"/>
    <w:rsid w:val="00C637CD"/>
    <w:rsid w:val="00C63802"/>
    <w:rsid w:val="00C63966"/>
    <w:rsid w:val="00C6397F"/>
    <w:rsid w:val="00C63AF8"/>
    <w:rsid w:val="00C63E36"/>
    <w:rsid w:val="00C64123"/>
    <w:rsid w:val="00C64284"/>
    <w:rsid w:val="00C64317"/>
    <w:rsid w:val="00C643A3"/>
    <w:rsid w:val="00C64451"/>
    <w:rsid w:val="00C64492"/>
    <w:rsid w:val="00C64987"/>
    <w:rsid w:val="00C649C6"/>
    <w:rsid w:val="00C649ED"/>
    <w:rsid w:val="00C64C0A"/>
    <w:rsid w:val="00C64CF9"/>
    <w:rsid w:val="00C64E4C"/>
    <w:rsid w:val="00C64EF1"/>
    <w:rsid w:val="00C65232"/>
    <w:rsid w:val="00C6528C"/>
    <w:rsid w:val="00C65394"/>
    <w:rsid w:val="00C65485"/>
    <w:rsid w:val="00C6559C"/>
    <w:rsid w:val="00C658D0"/>
    <w:rsid w:val="00C65A2F"/>
    <w:rsid w:val="00C65A52"/>
    <w:rsid w:val="00C65AD6"/>
    <w:rsid w:val="00C65B09"/>
    <w:rsid w:val="00C65BE3"/>
    <w:rsid w:val="00C65CAD"/>
    <w:rsid w:val="00C65CDB"/>
    <w:rsid w:val="00C65D70"/>
    <w:rsid w:val="00C65D84"/>
    <w:rsid w:val="00C65DC4"/>
    <w:rsid w:val="00C6636A"/>
    <w:rsid w:val="00C663B3"/>
    <w:rsid w:val="00C663E3"/>
    <w:rsid w:val="00C664DA"/>
    <w:rsid w:val="00C665AC"/>
    <w:rsid w:val="00C667A2"/>
    <w:rsid w:val="00C667D9"/>
    <w:rsid w:val="00C667F9"/>
    <w:rsid w:val="00C6695C"/>
    <w:rsid w:val="00C66A7E"/>
    <w:rsid w:val="00C66BD9"/>
    <w:rsid w:val="00C66C07"/>
    <w:rsid w:val="00C66F0D"/>
    <w:rsid w:val="00C67072"/>
    <w:rsid w:val="00C670A6"/>
    <w:rsid w:val="00C67142"/>
    <w:rsid w:val="00C67268"/>
    <w:rsid w:val="00C67493"/>
    <w:rsid w:val="00C674A3"/>
    <w:rsid w:val="00C67557"/>
    <w:rsid w:val="00C679E2"/>
    <w:rsid w:val="00C679F0"/>
    <w:rsid w:val="00C67B54"/>
    <w:rsid w:val="00C67E76"/>
    <w:rsid w:val="00C67EF6"/>
    <w:rsid w:val="00C67F00"/>
    <w:rsid w:val="00C67F13"/>
    <w:rsid w:val="00C700A1"/>
    <w:rsid w:val="00C701E1"/>
    <w:rsid w:val="00C704F6"/>
    <w:rsid w:val="00C706B1"/>
    <w:rsid w:val="00C7081B"/>
    <w:rsid w:val="00C70941"/>
    <w:rsid w:val="00C70A71"/>
    <w:rsid w:val="00C70AEC"/>
    <w:rsid w:val="00C70DF3"/>
    <w:rsid w:val="00C71195"/>
    <w:rsid w:val="00C71207"/>
    <w:rsid w:val="00C713CF"/>
    <w:rsid w:val="00C7172E"/>
    <w:rsid w:val="00C7199A"/>
    <w:rsid w:val="00C71E5A"/>
    <w:rsid w:val="00C72224"/>
    <w:rsid w:val="00C7222A"/>
    <w:rsid w:val="00C7270D"/>
    <w:rsid w:val="00C727EE"/>
    <w:rsid w:val="00C72840"/>
    <w:rsid w:val="00C7292C"/>
    <w:rsid w:val="00C72C05"/>
    <w:rsid w:val="00C72E2F"/>
    <w:rsid w:val="00C72E3A"/>
    <w:rsid w:val="00C73045"/>
    <w:rsid w:val="00C73312"/>
    <w:rsid w:val="00C73343"/>
    <w:rsid w:val="00C734BD"/>
    <w:rsid w:val="00C73627"/>
    <w:rsid w:val="00C73737"/>
    <w:rsid w:val="00C73765"/>
    <w:rsid w:val="00C73C5B"/>
    <w:rsid w:val="00C73CC8"/>
    <w:rsid w:val="00C73E55"/>
    <w:rsid w:val="00C73F11"/>
    <w:rsid w:val="00C74021"/>
    <w:rsid w:val="00C74086"/>
    <w:rsid w:val="00C742A9"/>
    <w:rsid w:val="00C74342"/>
    <w:rsid w:val="00C74443"/>
    <w:rsid w:val="00C7470B"/>
    <w:rsid w:val="00C74720"/>
    <w:rsid w:val="00C74723"/>
    <w:rsid w:val="00C74A4F"/>
    <w:rsid w:val="00C74BE8"/>
    <w:rsid w:val="00C74D5B"/>
    <w:rsid w:val="00C74DD4"/>
    <w:rsid w:val="00C74DE7"/>
    <w:rsid w:val="00C74E76"/>
    <w:rsid w:val="00C74FA7"/>
    <w:rsid w:val="00C75022"/>
    <w:rsid w:val="00C75030"/>
    <w:rsid w:val="00C752C1"/>
    <w:rsid w:val="00C7540F"/>
    <w:rsid w:val="00C75706"/>
    <w:rsid w:val="00C759CA"/>
    <w:rsid w:val="00C75DE6"/>
    <w:rsid w:val="00C75E4C"/>
    <w:rsid w:val="00C7601E"/>
    <w:rsid w:val="00C760EE"/>
    <w:rsid w:val="00C761A5"/>
    <w:rsid w:val="00C763BE"/>
    <w:rsid w:val="00C76403"/>
    <w:rsid w:val="00C76596"/>
    <w:rsid w:val="00C7676D"/>
    <w:rsid w:val="00C769EA"/>
    <w:rsid w:val="00C76B95"/>
    <w:rsid w:val="00C76C3A"/>
    <w:rsid w:val="00C76C85"/>
    <w:rsid w:val="00C76D7A"/>
    <w:rsid w:val="00C76D9B"/>
    <w:rsid w:val="00C76DD0"/>
    <w:rsid w:val="00C7733B"/>
    <w:rsid w:val="00C773A0"/>
    <w:rsid w:val="00C77434"/>
    <w:rsid w:val="00C775D0"/>
    <w:rsid w:val="00C77621"/>
    <w:rsid w:val="00C77800"/>
    <w:rsid w:val="00C77906"/>
    <w:rsid w:val="00C77C95"/>
    <w:rsid w:val="00C77CDD"/>
    <w:rsid w:val="00C80129"/>
    <w:rsid w:val="00C80177"/>
    <w:rsid w:val="00C801F1"/>
    <w:rsid w:val="00C80312"/>
    <w:rsid w:val="00C80447"/>
    <w:rsid w:val="00C80468"/>
    <w:rsid w:val="00C8068F"/>
    <w:rsid w:val="00C806C5"/>
    <w:rsid w:val="00C8078C"/>
    <w:rsid w:val="00C80960"/>
    <w:rsid w:val="00C80A7E"/>
    <w:rsid w:val="00C80E5C"/>
    <w:rsid w:val="00C80E63"/>
    <w:rsid w:val="00C80F11"/>
    <w:rsid w:val="00C80FF7"/>
    <w:rsid w:val="00C80FFB"/>
    <w:rsid w:val="00C810C9"/>
    <w:rsid w:val="00C8124F"/>
    <w:rsid w:val="00C812A1"/>
    <w:rsid w:val="00C813EC"/>
    <w:rsid w:val="00C81421"/>
    <w:rsid w:val="00C8143D"/>
    <w:rsid w:val="00C8147D"/>
    <w:rsid w:val="00C81521"/>
    <w:rsid w:val="00C8157C"/>
    <w:rsid w:val="00C816DD"/>
    <w:rsid w:val="00C8196F"/>
    <w:rsid w:val="00C8199A"/>
    <w:rsid w:val="00C819AA"/>
    <w:rsid w:val="00C819FB"/>
    <w:rsid w:val="00C81A1D"/>
    <w:rsid w:val="00C81B2C"/>
    <w:rsid w:val="00C81CD0"/>
    <w:rsid w:val="00C8207B"/>
    <w:rsid w:val="00C8224B"/>
    <w:rsid w:val="00C822DA"/>
    <w:rsid w:val="00C825B3"/>
    <w:rsid w:val="00C82877"/>
    <w:rsid w:val="00C8294C"/>
    <w:rsid w:val="00C8299D"/>
    <w:rsid w:val="00C829D6"/>
    <w:rsid w:val="00C82A4A"/>
    <w:rsid w:val="00C82E03"/>
    <w:rsid w:val="00C82E62"/>
    <w:rsid w:val="00C82FB2"/>
    <w:rsid w:val="00C83043"/>
    <w:rsid w:val="00C83147"/>
    <w:rsid w:val="00C8315E"/>
    <w:rsid w:val="00C8322D"/>
    <w:rsid w:val="00C83260"/>
    <w:rsid w:val="00C832EA"/>
    <w:rsid w:val="00C83347"/>
    <w:rsid w:val="00C83647"/>
    <w:rsid w:val="00C836A5"/>
    <w:rsid w:val="00C83701"/>
    <w:rsid w:val="00C83705"/>
    <w:rsid w:val="00C838A2"/>
    <w:rsid w:val="00C83906"/>
    <w:rsid w:val="00C839AC"/>
    <w:rsid w:val="00C83BE6"/>
    <w:rsid w:val="00C83D0D"/>
    <w:rsid w:val="00C83DAA"/>
    <w:rsid w:val="00C83E11"/>
    <w:rsid w:val="00C83E58"/>
    <w:rsid w:val="00C83E7B"/>
    <w:rsid w:val="00C83FF7"/>
    <w:rsid w:val="00C841BC"/>
    <w:rsid w:val="00C842C6"/>
    <w:rsid w:val="00C844E8"/>
    <w:rsid w:val="00C848FB"/>
    <w:rsid w:val="00C849BD"/>
    <w:rsid w:val="00C84A77"/>
    <w:rsid w:val="00C84A89"/>
    <w:rsid w:val="00C84BCD"/>
    <w:rsid w:val="00C84F29"/>
    <w:rsid w:val="00C84FCA"/>
    <w:rsid w:val="00C84FF1"/>
    <w:rsid w:val="00C850DA"/>
    <w:rsid w:val="00C85220"/>
    <w:rsid w:val="00C857F1"/>
    <w:rsid w:val="00C8583A"/>
    <w:rsid w:val="00C85948"/>
    <w:rsid w:val="00C85DAA"/>
    <w:rsid w:val="00C85F33"/>
    <w:rsid w:val="00C85F4F"/>
    <w:rsid w:val="00C85FBD"/>
    <w:rsid w:val="00C8606D"/>
    <w:rsid w:val="00C8628D"/>
    <w:rsid w:val="00C863FE"/>
    <w:rsid w:val="00C86495"/>
    <w:rsid w:val="00C86573"/>
    <w:rsid w:val="00C865CB"/>
    <w:rsid w:val="00C86681"/>
    <w:rsid w:val="00C866FC"/>
    <w:rsid w:val="00C86837"/>
    <w:rsid w:val="00C868A2"/>
    <w:rsid w:val="00C86946"/>
    <w:rsid w:val="00C86AAE"/>
    <w:rsid w:val="00C86B98"/>
    <w:rsid w:val="00C86C30"/>
    <w:rsid w:val="00C86EA7"/>
    <w:rsid w:val="00C870F3"/>
    <w:rsid w:val="00C871AB"/>
    <w:rsid w:val="00C87228"/>
    <w:rsid w:val="00C8729B"/>
    <w:rsid w:val="00C87843"/>
    <w:rsid w:val="00C87A8E"/>
    <w:rsid w:val="00C87A99"/>
    <w:rsid w:val="00C87BC1"/>
    <w:rsid w:val="00C87C88"/>
    <w:rsid w:val="00C87CE4"/>
    <w:rsid w:val="00C87D77"/>
    <w:rsid w:val="00C87E4A"/>
    <w:rsid w:val="00C90347"/>
    <w:rsid w:val="00C90376"/>
    <w:rsid w:val="00C9038B"/>
    <w:rsid w:val="00C9073A"/>
    <w:rsid w:val="00C90740"/>
    <w:rsid w:val="00C9074B"/>
    <w:rsid w:val="00C90861"/>
    <w:rsid w:val="00C90A47"/>
    <w:rsid w:val="00C90B74"/>
    <w:rsid w:val="00C90B8C"/>
    <w:rsid w:val="00C90CA8"/>
    <w:rsid w:val="00C90CC9"/>
    <w:rsid w:val="00C90D67"/>
    <w:rsid w:val="00C90EFD"/>
    <w:rsid w:val="00C90FCD"/>
    <w:rsid w:val="00C91064"/>
    <w:rsid w:val="00C910E4"/>
    <w:rsid w:val="00C910F8"/>
    <w:rsid w:val="00C911FA"/>
    <w:rsid w:val="00C915B8"/>
    <w:rsid w:val="00C9164F"/>
    <w:rsid w:val="00C917BC"/>
    <w:rsid w:val="00C91817"/>
    <w:rsid w:val="00C918B3"/>
    <w:rsid w:val="00C9190D"/>
    <w:rsid w:val="00C91B70"/>
    <w:rsid w:val="00C91BB8"/>
    <w:rsid w:val="00C91DE6"/>
    <w:rsid w:val="00C91F1C"/>
    <w:rsid w:val="00C920C2"/>
    <w:rsid w:val="00C920DB"/>
    <w:rsid w:val="00C9211C"/>
    <w:rsid w:val="00C924B9"/>
    <w:rsid w:val="00C9275D"/>
    <w:rsid w:val="00C92959"/>
    <w:rsid w:val="00C92D3F"/>
    <w:rsid w:val="00C92E9D"/>
    <w:rsid w:val="00C931D2"/>
    <w:rsid w:val="00C9333F"/>
    <w:rsid w:val="00C93530"/>
    <w:rsid w:val="00C935FB"/>
    <w:rsid w:val="00C938D4"/>
    <w:rsid w:val="00C93A63"/>
    <w:rsid w:val="00C93AAF"/>
    <w:rsid w:val="00C93B22"/>
    <w:rsid w:val="00C93D6D"/>
    <w:rsid w:val="00C93EA0"/>
    <w:rsid w:val="00C93F46"/>
    <w:rsid w:val="00C941D3"/>
    <w:rsid w:val="00C94531"/>
    <w:rsid w:val="00C946D6"/>
    <w:rsid w:val="00C9486B"/>
    <w:rsid w:val="00C949EC"/>
    <w:rsid w:val="00C94C64"/>
    <w:rsid w:val="00C94EE7"/>
    <w:rsid w:val="00C94F51"/>
    <w:rsid w:val="00C94F96"/>
    <w:rsid w:val="00C9501C"/>
    <w:rsid w:val="00C953CA"/>
    <w:rsid w:val="00C953F7"/>
    <w:rsid w:val="00C955FC"/>
    <w:rsid w:val="00C955FF"/>
    <w:rsid w:val="00C9560D"/>
    <w:rsid w:val="00C957AA"/>
    <w:rsid w:val="00C957B3"/>
    <w:rsid w:val="00C95925"/>
    <w:rsid w:val="00C959CA"/>
    <w:rsid w:val="00C95A83"/>
    <w:rsid w:val="00C95ABA"/>
    <w:rsid w:val="00C95C44"/>
    <w:rsid w:val="00C95C9A"/>
    <w:rsid w:val="00C95D88"/>
    <w:rsid w:val="00C95DA1"/>
    <w:rsid w:val="00C95F0C"/>
    <w:rsid w:val="00C95F4F"/>
    <w:rsid w:val="00C95F6A"/>
    <w:rsid w:val="00C95FE7"/>
    <w:rsid w:val="00C963C0"/>
    <w:rsid w:val="00C9656E"/>
    <w:rsid w:val="00C96725"/>
    <w:rsid w:val="00C967A8"/>
    <w:rsid w:val="00C96816"/>
    <w:rsid w:val="00C9684E"/>
    <w:rsid w:val="00C968EF"/>
    <w:rsid w:val="00C96905"/>
    <w:rsid w:val="00C96F3A"/>
    <w:rsid w:val="00C97050"/>
    <w:rsid w:val="00C970D1"/>
    <w:rsid w:val="00C97145"/>
    <w:rsid w:val="00C97330"/>
    <w:rsid w:val="00C973F5"/>
    <w:rsid w:val="00C974DA"/>
    <w:rsid w:val="00C9791D"/>
    <w:rsid w:val="00C979C5"/>
    <w:rsid w:val="00C97ADC"/>
    <w:rsid w:val="00C97AEF"/>
    <w:rsid w:val="00C97B32"/>
    <w:rsid w:val="00C97F50"/>
    <w:rsid w:val="00CA0320"/>
    <w:rsid w:val="00CA0563"/>
    <w:rsid w:val="00CA07B1"/>
    <w:rsid w:val="00CA07CD"/>
    <w:rsid w:val="00CA0903"/>
    <w:rsid w:val="00CA0B20"/>
    <w:rsid w:val="00CA0D35"/>
    <w:rsid w:val="00CA0EDD"/>
    <w:rsid w:val="00CA0EE2"/>
    <w:rsid w:val="00CA0FA2"/>
    <w:rsid w:val="00CA0FD6"/>
    <w:rsid w:val="00CA1121"/>
    <w:rsid w:val="00CA11D1"/>
    <w:rsid w:val="00CA1233"/>
    <w:rsid w:val="00CA12C5"/>
    <w:rsid w:val="00CA1386"/>
    <w:rsid w:val="00CA169C"/>
    <w:rsid w:val="00CA175C"/>
    <w:rsid w:val="00CA18EC"/>
    <w:rsid w:val="00CA1C91"/>
    <w:rsid w:val="00CA1DDB"/>
    <w:rsid w:val="00CA1EB0"/>
    <w:rsid w:val="00CA2017"/>
    <w:rsid w:val="00CA2127"/>
    <w:rsid w:val="00CA2253"/>
    <w:rsid w:val="00CA22A6"/>
    <w:rsid w:val="00CA22CF"/>
    <w:rsid w:val="00CA22D2"/>
    <w:rsid w:val="00CA23B9"/>
    <w:rsid w:val="00CA242A"/>
    <w:rsid w:val="00CA269C"/>
    <w:rsid w:val="00CA26E6"/>
    <w:rsid w:val="00CA270D"/>
    <w:rsid w:val="00CA2722"/>
    <w:rsid w:val="00CA2749"/>
    <w:rsid w:val="00CA278C"/>
    <w:rsid w:val="00CA294A"/>
    <w:rsid w:val="00CA2AA4"/>
    <w:rsid w:val="00CA2C53"/>
    <w:rsid w:val="00CA2CFB"/>
    <w:rsid w:val="00CA2D7B"/>
    <w:rsid w:val="00CA2DA0"/>
    <w:rsid w:val="00CA2DAC"/>
    <w:rsid w:val="00CA2DB5"/>
    <w:rsid w:val="00CA3198"/>
    <w:rsid w:val="00CA31A7"/>
    <w:rsid w:val="00CA3402"/>
    <w:rsid w:val="00CA3998"/>
    <w:rsid w:val="00CA3A2A"/>
    <w:rsid w:val="00CA3C70"/>
    <w:rsid w:val="00CA3E11"/>
    <w:rsid w:val="00CA3E97"/>
    <w:rsid w:val="00CA4013"/>
    <w:rsid w:val="00CA4033"/>
    <w:rsid w:val="00CA40A0"/>
    <w:rsid w:val="00CA451B"/>
    <w:rsid w:val="00CA45D4"/>
    <w:rsid w:val="00CA4685"/>
    <w:rsid w:val="00CA4815"/>
    <w:rsid w:val="00CA4833"/>
    <w:rsid w:val="00CA48CE"/>
    <w:rsid w:val="00CA494F"/>
    <w:rsid w:val="00CA49A7"/>
    <w:rsid w:val="00CA4C1E"/>
    <w:rsid w:val="00CA4C46"/>
    <w:rsid w:val="00CA4DDE"/>
    <w:rsid w:val="00CA4FC2"/>
    <w:rsid w:val="00CA4FDD"/>
    <w:rsid w:val="00CA5077"/>
    <w:rsid w:val="00CA5086"/>
    <w:rsid w:val="00CA52EB"/>
    <w:rsid w:val="00CA5483"/>
    <w:rsid w:val="00CA57F3"/>
    <w:rsid w:val="00CA595B"/>
    <w:rsid w:val="00CA5B66"/>
    <w:rsid w:val="00CA5BE4"/>
    <w:rsid w:val="00CA5C35"/>
    <w:rsid w:val="00CA5C80"/>
    <w:rsid w:val="00CA5CC7"/>
    <w:rsid w:val="00CA60F8"/>
    <w:rsid w:val="00CA613D"/>
    <w:rsid w:val="00CA635D"/>
    <w:rsid w:val="00CA6372"/>
    <w:rsid w:val="00CA67C1"/>
    <w:rsid w:val="00CA693A"/>
    <w:rsid w:val="00CA6A79"/>
    <w:rsid w:val="00CA6B14"/>
    <w:rsid w:val="00CA6C61"/>
    <w:rsid w:val="00CA6D50"/>
    <w:rsid w:val="00CA6D66"/>
    <w:rsid w:val="00CA6F28"/>
    <w:rsid w:val="00CA6FE3"/>
    <w:rsid w:val="00CA700E"/>
    <w:rsid w:val="00CA70E7"/>
    <w:rsid w:val="00CA7581"/>
    <w:rsid w:val="00CA7585"/>
    <w:rsid w:val="00CA7627"/>
    <w:rsid w:val="00CA765D"/>
    <w:rsid w:val="00CA76CF"/>
    <w:rsid w:val="00CA7A6A"/>
    <w:rsid w:val="00CA7C8C"/>
    <w:rsid w:val="00CA7D4D"/>
    <w:rsid w:val="00CA7DCF"/>
    <w:rsid w:val="00CA7DF8"/>
    <w:rsid w:val="00CB01A8"/>
    <w:rsid w:val="00CB0237"/>
    <w:rsid w:val="00CB02C8"/>
    <w:rsid w:val="00CB078D"/>
    <w:rsid w:val="00CB07E2"/>
    <w:rsid w:val="00CB0875"/>
    <w:rsid w:val="00CB0881"/>
    <w:rsid w:val="00CB092C"/>
    <w:rsid w:val="00CB0990"/>
    <w:rsid w:val="00CB0A34"/>
    <w:rsid w:val="00CB0B95"/>
    <w:rsid w:val="00CB0C42"/>
    <w:rsid w:val="00CB0C45"/>
    <w:rsid w:val="00CB0CA0"/>
    <w:rsid w:val="00CB0DE1"/>
    <w:rsid w:val="00CB0EAA"/>
    <w:rsid w:val="00CB0EDF"/>
    <w:rsid w:val="00CB0F78"/>
    <w:rsid w:val="00CB10AD"/>
    <w:rsid w:val="00CB110A"/>
    <w:rsid w:val="00CB1122"/>
    <w:rsid w:val="00CB113B"/>
    <w:rsid w:val="00CB1163"/>
    <w:rsid w:val="00CB117F"/>
    <w:rsid w:val="00CB1766"/>
    <w:rsid w:val="00CB1817"/>
    <w:rsid w:val="00CB1886"/>
    <w:rsid w:val="00CB19A2"/>
    <w:rsid w:val="00CB1A96"/>
    <w:rsid w:val="00CB1B0D"/>
    <w:rsid w:val="00CB1BA3"/>
    <w:rsid w:val="00CB1BE9"/>
    <w:rsid w:val="00CB1C2E"/>
    <w:rsid w:val="00CB2002"/>
    <w:rsid w:val="00CB2021"/>
    <w:rsid w:val="00CB2022"/>
    <w:rsid w:val="00CB2353"/>
    <w:rsid w:val="00CB239E"/>
    <w:rsid w:val="00CB23A1"/>
    <w:rsid w:val="00CB243D"/>
    <w:rsid w:val="00CB249F"/>
    <w:rsid w:val="00CB24C8"/>
    <w:rsid w:val="00CB27A0"/>
    <w:rsid w:val="00CB2860"/>
    <w:rsid w:val="00CB286C"/>
    <w:rsid w:val="00CB2C13"/>
    <w:rsid w:val="00CB2DB3"/>
    <w:rsid w:val="00CB2DDC"/>
    <w:rsid w:val="00CB3185"/>
    <w:rsid w:val="00CB33CE"/>
    <w:rsid w:val="00CB3480"/>
    <w:rsid w:val="00CB350F"/>
    <w:rsid w:val="00CB36BD"/>
    <w:rsid w:val="00CB36C3"/>
    <w:rsid w:val="00CB381F"/>
    <w:rsid w:val="00CB396B"/>
    <w:rsid w:val="00CB3B42"/>
    <w:rsid w:val="00CB3B70"/>
    <w:rsid w:val="00CB3C27"/>
    <w:rsid w:val="00CB40AB"/>
    <w:rsid w:val="00CB40F3"/>
    <w:rsid w:val="00CB463B"/>
    <w:rsid w:val="00CB486B"/>
    <w:rsid w:val="00CB48CE"/>
    <w:rsid w:val="00CB495A"/>
    <w:rsid w:val="00CB495B"/>
    <w:rsid w:val="00CB49D8"/>
    <w:rsid w:val="00CB4B25"/>
    <w:rsid w:val="00CB4B5F"/>
    <w:rsid w:val="00CB4D0E"/>
    <w:rsid w:val="00CB4F5B"/>
    <w:rsid w:val="00CB5265"/>
    <w:rsid w:val="00CB52AF"/>
    <w:rsid w:val="00CB52F0"/>
    <w:rsid w:val="00CB5471"/>
    <w:rsid w:val="00CB54F8"/>
    <w:rsid w:val="00CB556D"/>
    <w:rsid w:val="00CB562E"/>
    <w:rsid w:val="00CB5672"/>
    <w:rsid w:val="00CB5768"/>
    <w:rsid w:val="00CB5882"/>
    <w:rsid w:val="00CB58A5"/>
    <w:rsid w:val="00CB5963"/>
    <w:rsid w:val="00CB5D7C"/>
    <w:rsid w:val="00CB5E1C"/>
    <w:rsid w:val="00CB5FF8"/>
    <w:rsid w:val="00CB60FB"/>
    <w:rsid w:val="00CB6125"/>
    <w:rsid w:val="00CB627E"/>
    <w:rsid w:val="00CB6368"/>
    <w:rsid w:val="00CB637E"/>
    <w:rsid w:val="00CB6454"/>
    <w:rsid w:val="00CB649B"/>
    <w:rsid w:val="00CB6646"/>
    <w:rsid w:val="00CB69A4"/>
    <w:rsid w:val="00CB69F4"/>
    <w:rsid w:val="00CB6D06"/>
    <w:rsid w:val="00CB6DA2"/>
    <w:rsid w:val="00CB6F1D"/>
    <w:rsid w:val="00CB73AB"/>
    <w:rsid w:val="00CB7528"/>
    <w:rsid w:val="00CB754D"/>
    <w:rsid w:val="00CB7674"/>
    <w:rsid w:val="00CB7750"/>
    <w:rsid w:val="00CB77B0"/>
    <w:rsid w:val="00CB782B"/>
    <w:rsid w:val="00CB78D7"/>
    <w:rsid w:val="00CB7A20"/>
    <w:rsid w:val="00CB7C2D"/>
    <w:rsid w:val="00CB7C48"/>
    <w:rsid w:val="00CB7CC2"/>
    <w:rsid w:val="00CB7CC9"/>
    <w:rsid w:val="00CB7D3D"/>
    <w:rsid w:val="00CC00BD"/>
    <w:rsid w:val="00CC00EF"/>
    <w:rsid w:val="00CC0160"/>
    <w:rsid w:val="00CC0287"/>
    <w:rsid w:val="00CC0380"/>
    <w:rsid w:val="00CC0462"/>
    <w:rsid w:val="00CC05AC"/>
    <w:rsid w:val="00CC0602"/>
    <w:rsid w:val="00CC0603"/>
    <w:rsid w:val="00CC0964"/>
    <w:rsid w:val="00CC0D5F"/>
    <w:rsid w:val="00CC0EAB"/>
    <w:rsid w:val="00CC0EFD"/>
    <w:rsid w:val="00CC11E9"/>
    <w:rsid w:val="00CC1230"/>
    <w:rsid w:val="00CC132B"/>
    <w:rsid w:val="00CC132F"/>
    <w:rsid w:val="00CC14F9"/>
    <w:rsid w:val="00CC1781"/>
    <w:rsid w:val="00CC19F6"/>
    <w:rsid w:val="00CC1A14"/>
    <w:rsid w:val="00CC1A48"/>
    <w:rsid w:val="00CC1C0D"/>
    <w:rsid w:val="00CC1F07"/>
    <w:rsid w:val="00CC1F54"/>
    <w:rsid w:val="00CC1F82"/>
    <w:rsid w:val="00CC20E3"/>
    <w:rsid w:val="00CC2266"/>
    <w:rsid w:val="00CC2547"/>
    <w:rsid w:val="00CC2574"/>
    <w:rsid w:val="00CC2795"/>
    <w:rsid w:val="00CC2B6B"/>
    <w:rsid w:val="00CC2C31"/>
    <w:rsid w:val="00CC2C45"/>
    <w:rsid w:val="00CC2D1A"/>
    <w:rsid w:val="00CC2F4F"/>
    <w:rsid w:val="00CC2FA4"/>
    <w:rsid w:val="00CC2FC0"/>
    <w:rsid w:val="00CC2FFB"/>
    <w:rsid w:val="00CC31B2"/>
    <w:rsid w:val="00CC3223"/>
    <w:rsid w:val="00CC3461"/>
    <w:rsid w:val="00CC34EB"/>
    <w:rsid w:val="00CC36A0"/>
    <w:rsid w:val="00CC370F"/>
    <w:rsid w:val="00CC39CE"/>
    <w:rsid w:val="00CC3A79"/>
    <w:rsid w:val="00CC3AAD"/>
    <w:rsid w:val="00CC3BBD"/>
    <w:rsid w:val="00CC3C62"/>
    <w:rsid w:val="00CC3F13"/>
    <w:rsid w:val="00CC4102"/>
    <w:rsid w:val="00CC4167"/>
    <w:rsid w:val="00CC4177"/>
    <w:rsid w:val="00CC450C"/>
    <w:rsid w:val="00CC48E0"/>
    <w:rsid w:val="00CC4973"/>
    <w:rsid w:val="00CC49B3"/>
    <w:rsid w:val="00CC49E4"/>
    <w:rsid w:val="00CC4A35"/>
    <w:rsid w:val="00CC4AFD"/>
    <w:rsid w:val="00CC4C6A"/>
    <w:rsid w:val="00CC4E9C"/>
    <w:rsid w:val="00CC519A"/>
    <w:rsid w:val="00CC58AF"/>
    <w:rsid w:val="00CC59BA"/>
    <w:rsid w:val="00CC5B66"/>
    <w:rsid w:val="00CC5CBD"/>
    <w:rsid w:val="00CC5E0D"/>
    <w:rsid w:val="00CC5FB5"/>
    <w:rsid w:val="00CC619A"/>
    <w:rsid w:val="00CC6350"/>
    <w:rsid w:val="00CC6395"/>
    <w:rsid w:val="00CC6915"/>
    <w:rsid w:val="00CC6959"/>
    <w:rsid w:val="00CC69D1"/>
    <w:rsid w:val="00CC69E1"/>
    <w:rsid w:val="00CC6B24"/>
    <w:rsid w:val="00CC6B26"/>
    <w:rsid w:val="00CC6B87"/>
    <w:rsid w:val="00CC6BB8"/>
    <w:rsid w:val="00CC6CC9"/>
    <w:rsid w:val="00CC6DB4"/>
    <w:rsid w:val="00CC6E35"/>
    <w:rsid w:val="00CC6E68"/>
    <w:rsid w:val="00CC717B"/>
    <w:rsid w:val="00CC72C0"/>
    <w:rsid w:val="00CC72F9"/>
    <w:rsid w:val="00CC7397"/>
    <w:rsid w:val="00CC7529"/>
    <w:rsid w:val="00CC760F"/>
    <w:rsid w:val="00CC76B0"/>
    <w:rsid w:val="00CC7BB2"/>
    <w:rsid w:val="00CC7C19"/>
    <w:rsid w:val="00CC7CDA"/>
    <w:rsid w:val="00CC7EF7"/>
    <w:rsid w:val="00CD0040"/>
    <w:rsid w:val="00CD007A"/>
    <w:rsid w:val="00CD0086"/>
    <w:rsid w:val="00CD01B3"/>
    <w:rsid w:val="00CD0232"/>
    <w:rsid w:val="00CD028D"/>
    <w:rsid w:val="00CD02A5"/>
    <w:rsid w:val="00CD02C5"/>
    <w:rsid w:val="00CD04FA"/>
    <w:rsid w:val="00CD0631"/>
    <w:rsid w:val="00CD0862"/>
    <w:rsid w:val="00CD089E"/>
    <w:rsid w:val="00CD0B26"/>
    <w:rsid w:val="00CD0BC0"/>
    <w:rsid w:val="00CD0C1F"/>
    <w:rsid w:val="00CD0DC8"/>
    <w:rsid w:val="00CD0EDC"/>
    <w:rsid w:val="00CD110F"/>
    <w:rsid w:val="00CD1227"/>
    <w:rsid w:val="00CD1236"/>
    <w:rsid w:val="00CD1287"/>
    <w:rsid w:val="00CD1311"/>
    <w:rsid w:val="00CD132F"/>
    <w:rsid w:val="00CD1453"/>
    <w:rsid w:val="00CD14D9"/>
    <w:rsid w:val="00CD16FA"/>
    <w:rsid w:val="00CD17C6"/>
    <w:rsid w:val="00CD18D3"/>
    <w:rsid w:val="00CD1B77"/>
    <w:rsid w:val="00CD1C0A"/>
    <w:rsid w:val="00CD1C12"/>
    <w:rsid w:val="00CD1D12"/>
    <w:rsid w:val="00CD2001"/>
    <w:rsid w:val="00CD200B"/>
    <w:rsid w:val="00CD2077"/>
    <w:rsid w:val="00CD21AE"/>
    <w:rsid w:val="00CD25FA"/>
    <w:rsid w:val="00CD26F3"/>
    <w:rsid w:val="00CD28F1"/>
    <w:rsid w:val="00CD295D"/>
    <w:rsid w:val="00CD299A"/>
    <w:rsid w:val="00CD29A1"/>
    <w:rsid w:val="00CD2A01"/>
    <w:rsid w:val="00CD2BF4"/>
    <w:rsid w:val="00CD2C02"/>
    <w:rsid w:val="00CD2E30"/>
    <w:rsid w:val="00CD2E38"/>
    <w:rsid w:val="00CD2F7A"/>
    <w:rsid w:val="00CD30B7"/>
    <w:rsid w:val="00CD3151"/>
    <w:rsid w:val="00CD323F"/>
    <w:rsid w:val="00CD32D6"/>
    <w:rsid w:val="00CD337C"/>
    <w:rsid w:val="00CD3473"/>
    <w:rsid w:val="00CD3499"/>
    <w:rsid w:val="00CD352C"/>
    <w:rsid w:val="00CD376C"/>
    <w:rsid w:val="00CD3831"/>
    <w:rsid w:val="00CD386D"/>
    <w:rsid w:val="00CD38DD"/>
    <w:rsid w:val="00CD39A0"/>
    <w:rsid w:val="00CD39CF"/>
    <w:rsid w:val="00CD3A70"/>
    <w:rsid w:val="00CD3AA3"/>
    <w:rsid w:val="00CD3C01"/>
    <w:rsid w:val="00CD3C40"/>
    <w:rsid w:val="00CD3D2D"/>
    <w:rsid w:val="00CD3E42"/>
    <w:rsid w:val="00CD422C"/>
    <w:rsid w:val="00CD4236"/>
    <w:rsid w:val="00CD433B"/>
    <w:rsid w:val="00CD4411"/>
    <w:rsid w:val="00CD4451"/>
    <w:rsid w:val="00CD4661"/>
    <w:rsid w:val="00CD48BB"/>
    <w:rsid w:val="00CD4C5B"/>
    <w:rsid w:val="00CD4D9E"/>
    <w:rsid w:val="00CD4E94"/>
    <w:rsid w:val="00CD506D"/>
    <w:rsid w:val="00CD52B9"/>
    <w:rsid w:val="00CD535E"/>
    <w:rsid w:val="00CD543D"/>
    <w:rsid w:val="00CD555B"/>
    <w:rsid w:val="00CD561F"/>
    <w:rsid w:val="00CD56A8"/>
    <w:rsid w:val="00CD5727"/>
    <w:rsid w:val="00CD5732"/>
    <w:rsid w:val="00CD57AA"/>
    <w:rsid w:val="00CD58D8"/>
    <w:rsid w:val="00CD59AA"/>
    <w:rsid w:val="00CD5A24"/>
    <w:rsid w:val="00CD5A9E"/>
    <w:rsid w:val="00CD5B19"/>
    <w:rsid w:val="00CD5B8E"/>
    <w:rsid w:val="00CD5CE7"/>
    <w:rsid w:val="00CD5DE0"/>
    <w:rsid w:val="00CD619F"/>
    <w:rsid w:val="00CD61AD"/>
    <w:rsid w:val="00CD61BD"/>
    <w:rsid w:val="00CD62C7"/>
    <w:rsid w:val="00CD6486"/>
    <w:rsid w:val="00CD64B5"/>
    <w:rsid w:val="00CD6649"/>
    <w:rsid w:val="00CD6710"/>
    <w:rsid w:val="00CD69CF"/>
    <w:rsid w:val="00CD6AE7"/>
    <w:rsid w:val="00CD6B04"/>
    <w:rsid w:val="00CD6C5A"/>
    <w:rsid w:val="00CD6EA0"/>
    <w:rsid w:val="00CD709B"/>
    <w:rsid w:val="00CD725F"/>
    <w:rsid w:val="00CD76B4"/>
    <w:rsid w:val="00CD7B39"/>
    <w:rsid w:val="00CD7B3C"/>
    <w:rsid w:val="00CD7C52"/>
    <w:rsid w:val="00CD7E2A"/>
    <w:rsid w:val="00CD7E5D"/>
    <w:rsid w:val="00CD7EC6"/>
    <w:rsid w:val="00CD7FAD"/>
    <w:rsid w:val="00CE008D"/>
    <w:rsid w:val="00CE00BF"/>
    <w:rsid w:val="00CE01D7"/>
    <w:rsid w:val="00CE02CB"/>
    <w:rsid w:val="00CE03C5"/>
    <w:rsid w:val="00CE0401"/>
    <w:rsid w:val="00CE04B1"/>
    <w:rsid w:val="00CE059A"/>
    <w:rsid w:val="00CE069C"/>
    <w:rsid w:val="00CE089D"/>
    <w:rsid w:val="00CE0C18"/>
    <w:rsid w:val="00CE0D42"/>
    <w:rsid w:val="00CE0EA1"/>
    <w:rsid w:val="00CE12CC"/>
    <w:rsid w:val="00CE140F"/>
    <w:rsid w:val="00CE1449"/>
    <w:rsid w:val="00CE1856"/>
    <w:rsid w:val="00CE1A4A"/>
    <w:rsid w:val="00CE1D12"/>
    <w:rsid w:val="00CE1EAA"/>
    <w:rsid w:val="00CE1F82"/>
    <w:rsid w:val="00CE21E7"/>
    <w:rsid w:val="00CE2443"/>
    <w:rsid w:val="00CE270A"/>
    <w:rsid w:val="00CE2BF7"/>
    <w:rsid w:val="00CE2D53"/>
    <w:rsid w:val="00CE2D8C"/>
    <w:rsid w:val="00CE2EDE"/>
    <w:rsid w:val="00CE2F86"/>
    <w:rsid w:val="00CE2FEF"/>
    <w:rsid w:val="00CE306D"/>
    <w:rsid w:val="00CE316F"/>
    <w:rsid w:val="00CE31E6"/>
    <w:rsid w:val="00CE327D"/>
    <w:rsid w:val="00CE329D"/>
    <w:rsid w:val="00CE368A"/>
    <w:rsid w:val="00CE37AE"/>
    <w:rsid w:val="00CE3827"/>
    <w:rsid w:val="00CE39E7"/>
    <w:rsid w:val="00CE3C8C"/>
    <w:rsid w:val="00CE3D5D"/>
    <w:rsid w:val="00CE3DD1"/>
    <w:rsid w:val="00CE3E39"/>
    <w:rsid w:val="00CE3EAC"/>
    <w:rsid w:val="00CE3F2B"/>
    <w:rsid w:val="00CE3F58"/>
    <w:rsid w:val="00CE40B2"/>
    <w:rsid w:val="00CE40F9"/>
    <w:rsid w:val="00CE4787"/>
    <w:rsid w:val="00CE47CB"/>
    <w:rsid w:val="00CE4A63"/>
    <w:rsid w:val="00CE4C49"/>
    <w:rsid w:val="00CE4D79"/>
    <w:rsid w:val="00CE4DE7"/>
    <w:rsid w:val="00CE4F27"/>
    <w:rsid w:val="00CE5042"/>
    <w:rsid w:val="00CE525B"/>
    <w:rsid w:val="00CE5282"/>
    <w:rsid w:val="00CE5337"/>
    <w:rsid w:val="00CE5413"/>
    <w:rsid w:val="00CE54E3"/>
    <w:rsid w:val="00CE5511"/>
    <w:rsid w:val="00CE5581"/>
    <w:rsid w:val="00CE5972"/>
    <w:rsid w:val="00CE5AFA"/>
    <w:rsid w:val="00CE5B83"/>
    <w:rsid w:val="00CE5B99"/>
    <w:rsid w:val="00CE5C53"/>
    <w:rsid w:val="00CE5C5A"/>
    <w:rsid w:val="00CE5CB7"/>
    <w:rsid w:val="00CE5D7C"/>
    <w:rsid w:val="00CE5DD9"/>
    <w:rsid w:val="00CE5E0D"/>
    <w:rsid w:val="00CE606C"/>
    <w:rsid w:val="00CE60DA"/>
    <w:rsid w:val="00CE618C"/>
    <w:rsid w:val="00CE6200"/>
    <w:rsid w:val="00CE63D6"/>
    <w:rsid w:val="00CE6452"/>
    <w:rsid w:val="00CE65BB"/>
    <w:rsid w:val="00CE66A7"/>
    <w:rsid w:val="00CE6A5E"/>
    <w:rsid w:val="00CE6B05"/>
    <w:rsid w:val="00CE6B16"/>
    <w:rsid w:val="00CE6B8B"/>
    <w:rsid w:val="00CE6C8E"/>
    <w:rsid w:val="00CE6DB3"/>
    <w:rsid w:val="00CE6E6B"/>
    <w:rsid w:val="00CE6F01"/>
    <w:rsid w:val="00CE6F88"/>
    <w:rsid w:val="00CE7037"/>
    <w:rsid w:val="00CE7078"/>
    <w:rsid w:val="00CE70B5"/>
    <w:rsid w:val="00CE7180"/>
    <w:rsid w:val="00CE71AD"/>
    <w:rsid w:val="00CE729A"/>
    <w:rsid w:val="00CE7320"/>
    <w:rsid w:val="00CE7363"/>
    <w:rsid w:val="00CE7384"/>
    <w:rsid w:val="00CE7513"/>
    <w:rsid w:val="00CE76CE"/>
    <w:rsid w:val="00CE77F4"/>
    <w:rsid w:val="00CE79AD"/>
    <w:rsid w:val="00CE79CB"/>
    <w:rsid w:val="00CE79CD"/>
    <w:rsid w:val="00CE7A01"/>
    <w:rsid w:val="00CE7ACB"/>
    <w:rsid w:val="00CE7EF1"/>
    <w:rsid w:val="00CF00E4"/>
    <w:rsid w:val="00CF017E"/>
    <w:rsid w:val="00CF01A2"/>
    <w:rsid w:val="00CF0233"/>
    <w:rsid w:val="00CF02FE"/>
    <w:rsid w:val="00CF0574"/>
    <w:rsid w:val="00CF05CC"/>
    <w:rsid w:val="00CF0B17"/>
    <w:rsid w:val="00CF0BCB"/>
    <w:rsid w:val="00CF0E03"/>
    <w:rsid w:val="00CF0F7A"/>
    <w:rsid w:val="00CF10E6"/>
    <w:rsid w:val="00CF1147"/>
    <w:rsid w:val="00CF124A"/>
    <w:rsid w:val="00CF13F6"/>
    <w:rsid w:val="00CF17A1"/>
    <w:rsid w:val="00CF17DA"/>
    <w:rsid w:val="00CF193F"/>
    <w:rsid w:val="00CF1A0E"/>
    <w:rsid w:val="00CF1B1D"/>
    <w:rsid w:val="00CF1B8B"/>
    <w:rsid w:val="00CF1BAF"/>
    <w:rsid w:val="00CF1BCF"/>
    <w:rsid w:val="00CF1D7D"/>
    <w:rsid w:val="00CF1F9F"/>
    <w:rsid w:val="00CF2039"/>
    <w:rsid w:val="00CF224C"/>
    <w:rsid w:val="00CF23DE"/>
    <w:rsid w:val="00CF23F6"/>
    <w:rsid w:val="00CF248F"/>
    <w:rsid w:val="00CF253B"/>
    <w:rsid w:val="00CF265A"/>
    <w:rsid w:val="00CF283B"/>
    <w:rsid w:val="00CF2858"/>
    <w:rsid w:val="00CF29A6"/>
    <w:rsid w:val="00CF2C0B"/>
    <w:rsid w:val="00CF2EC4"/>
    <w:rsid w:val="00CF2EF7"/>
    <w:rsid w:val="00CF30F0"/>
    <w:rsid w:val="00CF3185"/>
    <w:rsid w:val="00CF3219"/>
    <w:rsid w:val="00CF323D"/>
    <w:rsid w:val="00CF333B"/>
    <w:rsid w:val="00CF353D"/>
    <w:rsid w:val="00CF3597"/>
    <w:rsid w:val="00CF3601"/>
    <w:rsid w:val="00CF3685"/>
    <w:rsid w:val="00CF375F"/>
    <w:rsid w:val="00CF382A"/>
    <w:rsid w:val="00CF386F"/>
    <w:rsid w:val="00CF3981"/>
    <w:rsid w:val="00CF3ABE"/>
    <w:rsid w:val="00CF3B58"/>
    <w:rsid w:val="00CF3B59"/>
    <w:rsid w:val="00CF3C53"/>
    <w:rsid w:val="00CF3CEA"/>
    <w:rsid w:val="00CF3CF5"/>
    <w:rsid w:val="00CF3EAB"/>
    <w:rsid w:val="00CF4076"/>
    <w:rsid w:val="00CF40BF"/>
    <w:rsid w:val="00CF4121"/>
    <w:rsid w:val="00CF47CC"/>
    <w:rsid w:val="00CF4B39"/>
    <w:rsid w:val="00CF4B4D"/>
    <w:rsid w:val="00CF4D72"/>
    <w:rsid w:val="00CF4E3C"/>
    <w:rsid w:val="00CF4E9E"/>
    <w:rsid w:val="00CF4F72"/>
    <w:rsid w:val="00CF50AD"/>
    <w:rsid w:val="00CF51EB"/>
    <w:rsid w:val="00CF55DF"/>
    <w:rsid w:val="00CF577D"/>
    <w:rsid w:val="00CF5DC5"/>
    <w:rsid w:val="00CF6194"/>
    <w:rsid w:val="00CF61E7"/>
    <w:rsid w:val="00CF61EA"/>
    <w:rsid w:val="00CF6385"/>
    <w:rsid w:val="00CF64F4"/>
    <w:rsid w:val="00CF6562"/>
    <w:rsid w:val="00CF68E1"/>
    <w:rsid w:val="00CF69F2"/>
    <w:rsid w:val="00CF6A60"/>
    <w:rsid w:val="00CF6AE4"/>
    <w:rsid w:val="00CF6C1B"/>
    <w:rsid w:val="00CF6C65"/>
    <w:rsid w:val="00CF6D87"/>
    <w:rsid w:val="00CF6DA2"/>
    <w:rsid w:val="00CF6E72"/>
    <w:rsid w:val="00CF6ED3"/>
    <w:rsid w:val="00CF6F01"/>
    <w:rsid w:val="00CF7022"/>
    <w:rsid w:val="00CF704F"/>
    <w:rsid w:val="00CF716E"/>
    <w:rsid w:val="00CF73AC"/>
    <w:rsid w:val="00CF73D5"/>
    <w:rsid w:val="00CF746C"/>
    <w:rsid w:val="00CF74EF"/>
    <w:rsid w:val="00CF773D"/>
    <w:rsid w:val="00CF7756"/>
    <w:rsid w:val="00CF77E3"/>
    <w:rsid w:val="00CF7800"/>
    <w:rsid w:val="00CF789E"/>
    <w:rsid w:val="00CF7A8C"/>
    <w:rsid w:val="00CF7C14"/>
    <w:rsid w:val="00CF7D5B"/>
    <w:rsid w:val="00CF7DBC"/>
    <w:rsid w:val="00CF7DF4"/>
    <w:rsid w:val="00CF7E35"/>
    <w:rsid w:val="00CF7F31"/>
    <w:rsid w:val="00D00170"/>
    <w:rsid w:val="00D0018E"/>
    <w:rsid w:val="00D00205"/>
    <w:rsid w:val="00D00361"/>
    <w:rsid w:val="00D0039A"/>
    <w:rsid w:val="00D00419"/>
    <w:rsid w:val="00D004D8"/>
    <w:rsid w:val="00D00578"/>
    <w:rsid w:val="00D005A7"/>
    <w:rsid w:val="00D007ED"/>
    <w:rsid w:val="00D0083D"/>
    <w:rsid w:val="00D00892"/>
    <w:rsid w:val="00D00A9F"/>
    <w:rsid w:val="00D00ABC"/>
    <w:rsid w:val="00D00ACF"/>
    <w:rsid w:val="00D00D7B"/>
    <w:rsid w:val="00D00DFE"/>
    <w:rsid w:val="00D00EEB"/>
    <w:rsid w:val="00D00F1C"/>
    <w:rsid w:val="00D0108C"/>
    <w:rsid w:val="00D012F1"/>
    <w:rsid w:val="00D013AD"/>
    <w:rsid w:val="00D01444"/>
    <w:rsid w:val="00D014EE"/>
    <w:rsid w:val="00D015ED"/>
    <w:rsid w:val="00D0173A"/>
    <w:rsid w:val="00D01ACB"/>
    <w:rsid w:val="00D01BF7"/>
    <w:rsid w:val="00D01D55"/>
    <w:rsid w:val="00D01E3D"/>
    <w:rsid w:val="00D02017"/>
    <w:rsid w:val="00D0220E"/>
    <w:rsid w:val="00D0237B"/>
    <w:rsid w:val="00D023BA"/>
    <w:rsid w:val="00D02860"/>
    <w:rsid w:val="00D02A97"/>
    <w:rsid w:val="00D02A9B"/>
    <w:rsid w:val="00D02AE0"/>
    <w:rsid w:val="00D02B66"/>
    <w:rsid w:val="00D02BAB"/>
    <w:rsid w:val="00D02D5D"/>
    <w:rsid w:val="00D02DAE"/>
    <w:rsid w:val="00D0313B"/>
    <w:rsid w:val="00D03324"/>
    <w:rsid w:val="00D033A9"/>
    <w:rsid w:val="00D03722"/>
    <w:rsid w:val="00D03792"/>
    <w:rsid w:val="00D0394A"/>
    <w:rsid w:val="00D03A3B"/>
    <w:rsid w:val="00D03BC4"/>
    <w:rsid w:val="00D03EF0"/>
    <w:rsid w:val="00D04185"/>
    <w:rsid w:val="00D04214"/>
    <w:rsid w:val="00D042F4"/>
    <w:rsid w:val="00D04553"/>
    <w:rsid w:val="00D0480A"/>
    <w:rsid w:val="00D0480F"/>
    <w:rsid w:val="00D0485F"/>
    <w:rsid w:val="00D04967"/>
    <w:rsid w:val="00D04A8C"/>
    <w:rsid w:val="00D04F35"/>
    <w:rsid w:val="00D0521E"/>
    <w:rsid w:val="00D052AA"/>
    <w:rsid w:val="00D053C2"/>
    <w:rsid w:val="00D05501"/>
    <w:rsid w:val="00D05579"/>
    <w:rsid w:val="00D056B4"/>
    <w:rsid w:val="00D05751"/>
    <w:rsid w:val="00D05771"/>
    <w:rsid w:val="00D0579D"/>
    <w:rsid w:val="00D05837"/>
    <w:rsid w:val="00D059A6"/>
    <w:rsid w:val="00D059E5"/>
    <w:rsid w:val="00D05BB0"/>
    <w:rsid w:val="00D05C43"/>
    <w:rsid w:val="00D05C50"/>
    <w:rsid w:val="00D05D45"/>
    <w:rsid w:val="00D05E44"/>
    <w:rsid w:val="00D05E94"/>
    <w:rsid w:val="00D05F30"/>
    <w:rsid w:val="00D060E7"/>
    <w:rsid w:val="00D06290"/>
    <w:rsid w:val="00D065AB"/>
    <w:rsid w:val="00D06933"/>
    <w:rsid w:val="00D06B1A"/>
    <w:rsid w:val="00D06B41"/>
    <w:rsid w:val="00D06C52"/>
    <w:rsid w:val="00D06DD8"/>
    <w:rsid w:val="00D06E0F"/>
    <w:rsid w:val="00D06EAB"/>
    <w:rsid w:val="00D06F8D"/>
    <w:rsid w:val="00D06FF5"/>
    <w:rsid w:val="00D07045"/>
    <w:rsid w:val="00D07187"/>
    <w:rsid w:val="00D07292"/>
    <w:rsid w:val="00D07496"/>
    <w:rsid w:val="00D074AE"/>
    <w:rsid w:val="00D07693"/>
    <w:rsid w:val="00D07708"/>
    <w:rsid w:val="00D0792D"/>
    <w:rsid w:val="00D07B34"/>
    <w:rsid w:val="00D07C76"/>
    <w:rsid w:val="00D07CA9"/>
    <w:rsid w:val="00D07DED"/>
    <w:rsid w:val="00D07E1C"/>
    <w:rsid w:val="00D07E8A"/>
    <w:rsid w:val="00D07ECF"/>
    <w:rsid w:val="00D07EE7"/>
    <w:rsid w:val="00D07FD3"/>
    <w:rsid w:val="00D10004"/>
    <w:rsid w:val="00D1011A"/>
    <w:rsid w:val="00D1027F"/>
    <w:rsid w:val="00D103FE"/>
    <w:rsid w:val="00D1070D"/>
    <w:rsid w:val="00D10AF5"/>
    <w:rsid w:val="00D10C8F"/>
    <w:rsid w:val="00D10CEA"/>
    <w:rsid w:val="00D10E0F"/>
    <w:rsid w:val="00D11031"/>
    <w:rsid w:val="00D110D5"/>
    <w:rsid w:val="00D11433"/>
    <w:rsid w:val="00D1178A"/>
    <w:rsid w:val="00D117BC"/>
    <w:rsid w:val="00D11B33"/>
    <w:rsid w:val="00D11B6E"/>
    <w:rsid w:val="00D11D7A"/>
    <w:rsid w:val="00D11EEE"/>
    <w:rsid w:val="00D11F4F"/>
    <w:rsid w:val="00D11FB8"/>
    <w:rsid w:val="00D1206D"/>
    <w:rsid w:val="00D1209D"/>
    <w:rsid w:val="00D120AE"/>
    <w:rsid w:val="00D121D2"/>
    <w:rsid w:val="00D12348"/>
    <w:rsid w:val="00D12518"/>
    <w:rsid w:val="00D12543"/>
    <w:rsid w:val="00D1288D"/>
    <w:rsid w:val="00D1293F"/>
    <w:rsid w:val="00D12979"/>
    <w:rsid w:val="00D12997"/>
    <w:rsid w:val="00D12B3D"/>
    <w:rsid w:val="00D12BAC"/>
    <w:rsid w:val="00D12C0B"/>
    <w:rsid w:val="00D12D37"/>
    <w:rsid w:val="00D1301F"/>
    <w:rsid w:val="00D13316"/>
    <w:rsid w:val="00D1331D"/>
    <w:rsid w:val="00D13337"/>
    <w:rsid w:val="00D13384"/>
    <w:rsid w:val="00D133D2"/>
    <w:rsid w:val="00D13420"/>
    <w:rsid w:val="00D13493"/>
    <w:rsid w:val="00D13531"/>
    <w:rsid w:val="00D135F6"/>
    <w:rsid w:val="00D137DC"/>
    <w:rsid w:val="00D13890"/>
    <w:rsid w:val="00D139F3"/>
    <w:rsid w:val="00D13D46"/>
    <w:rsid w:val="00D13E9B"/>
    <w:rsid w:val="00D13EDB"/>
    <w:rsid w:val="00D1406E"/>
    <w:rsid w:val="00D1411A"/>
    <w:rsid w:val="00D142F1"/>
    <w:rsid w:val="00D14366"/>
    <w:rsid w:val="00D14737"/>
    <w:rsid w:val="00D147F0"/>
    <w:rsid w:val="00D149E5"/>
    <w:rsid w:val="00D14B9D"/>
    <w:rsid w:val="00D14CC4"/>
    <w:rsid w:val="00D14CD9"/>
    <w:rsid w:val="00D15082"/>
    <w:rsid w:val="00D15295"/>
    <w:rsid w:val="00D15522"/>
    <w:rsid w:val="00D155D5"/>
    <w:rsid w:val="00D15821"/>
    <w:rsid w:val="00D15834"/>
    <w:rsid w:val="00D1584F"/>
    <w:rsid w:val="00D159C9"/>
    <w:rsid w:val="00D15B0C"/>
    <w:rsid w:val="00D15B89"/>
    <w:rsid w:val="00D15C51"/>
    <w:rsid w:val="00D15D2E"/>
    <w:rsid w:val="00D15D51"/>
    <w:rsid w:val="00D15D5E"/>
    <w:rsid w:val="00D15D66"/>
    <w:rsid w:val="00D15EC8"/>
    <w:rsid w:val="00D15F06"/>
    <w:rsid w:val="00D15F2F"/>
    <w:rsid w:val="00D161C9"/>
    <w:rsid w:val="00D161D2"/>
    <w:rsid w:val="00D16228"/>
    <w:rsid w:val="00D16374"/>
    <w:rsid w:val="00D16399"/>
    <w:rsid w:val="00D163AB"/>
    <w:rsid w:val="00D163E7"/>
    <w:rsid w:val="00D16570"/>
    <w:rsid w:val="00D165DD"/>
    <w:rsid w:val="00D165FD"/>
    <w:rsid w:val="00D1665E"/>
    <w:rsid w:val="00D166C5"/>
    <w:rsid w:val="00D1684C"/>
    <w:rsid w:val="00D16B90"/>
    <w:rsid w:val="00D16BB6"/>
    <w:rsid w:val="00D16C47"/>
    <w:rsid w:val="00D16C77"/>
    <w:rsid w:val="00D16D51"/>
    <w:rsid w:val="00D16D8D"/>
    <w:rsid w:val="00D16F44"/>
    <w:rsid w:val="00D17565"/>
    <w:rsid w:val="00D1777F"/>
    <w:rsid w:val="00D1778B"/>
    <w:rsid w:val="00D177B8"/>
    <w:rsid w:val="00D17886"/>
    <w:rsid w:val="00D17C98"/>
    <w:rsid w:val="00D2000F"/>
    <w:rsid w:val="00D20411"/>
    <w:rsid w:val="00D20697"/>
    <w:rsid w:val="00D20771"/>
    <w:rsid w:val="00D20A22"/>
    <w:rsid w:val="00D20A96"/>
    <w:rsid w:val="00D20AB1"/>
    <w:rsid w:val="00D20B0A"/>
    <w:rsid w:val="00D20C3E"/>
    <w:rsid w:val="00D20C78"/>
    <w:rsid w:val="00D20F08"/>
    <w:rsid w:val="00D20FD2"/>
    <w:rsid w:val="00D21026"/>
    <w:rsid w:val="00D2109E"/>
    <w:rsid w:val="00D21317"/>
    <w:rsid w:val="00D2136B"/>
    <w:rsid w:val="00D213BA"/>
    <w:rsid w:val="00D21465"/>
    <w:rsid w:val="00D214BD"/>
    <w:rsid w:val="00D21544"/>
    <w:rsid w:val="00D215E2"/>
    <w:rsid w:val="00D216D7"/>
    <w:rsid w:val="00D21710"/>
    <w:rsid w:val="00D217E9"/>
    <w:rsid w:val="00D217FC"/>
    <w:rsid w:val="00D21883"/>
    <w:rsid w:val="00D21991"/>
    <w:rsid w:val="00D21EA8"/>
    <w:rsid w:val="00D221B0"/>
    <w:rsid w:val="00D221B4"/>
    <w:rsid w:val="00D222B8"/>
    <w:rsid w:val="00D22470"/>
    <w:rsid w:val="00D22485"/>
    <w:rsid w:val="00D2267B"/>
    <w:rsid w:val="00D22913"/>
    <w:rsid w:val="00D2294B"/>
    <w:rsid w:val="00D229D1"/>
    <w:rsid w:val="00D229E1"/>
    <w:rsid w:val="00D22A6A"/>
    <w:rsid w:val="00D22AAC"/>
    <w:rsid w:val="00D22B15"/>
    <w:rsid w:val="00D22BC8"/>
    <w:rsid w:val="00D22BD5"/>
    <w:rsid w:val="00D22C40"/>
    <w:rsid w:val="00D22C71"/>
    <w:rsid w:val="00D22DAB"/>
    <w:rsid w:val="00D22FAA"/>
    <w:rsid w:val="00D2300D"/>
    <w:rsid w:val="00D2311C"/>
    <w:rsid w:val="00D235D1"/>
    <w:rsid w:val="00D2360C"/>
    <w:rsid w:val="00D2369E"/>
    <w:rsid w:val="00D2382F"/>
    <w:rsid w:val="00D2388E"/>
    <w:rsid w:val="00D238C2"/>
    <w:rsid w:val="00D239E3"/>
    <w:rsid w:val="00D23A4E"/>
    <w:rsid w:val="00D23BA6"/>
    <w:rsid w:val="00D23EA3"/>
    <w:rsid w:val="00D23FE3"/>
    <w:rsid w:val="00D23FFC"/>
    <w:rsid w:val="00D2401B"/>
    <w:rsid w:val="00D24170"/>
    <w:rsid w:val="00D2419E"/>
    <w:rsid w:val="00D24434"/>
    <w:rsid w:val="00D24501"/>
    <w:rsid w:val="00D2453C"/>
    <w:rsid w:val="00D248F1"/>
    <w:rsid w:val="00D2491A"/>
    <w:rsid w:val="00D24B69"/>
    <w:rsid w:val="00D24CFE"/>
    <w:rsid w:val="00D24E65"/>
    <w:rsid w:val="00D24FD3"/>
    <w:rsid w:val="00D251E4"/>
    <w:rsid w:val="00D252E4"/>
    <w:rsid w:val="00D254D8"/>
    <w:rsid w:val="00D25642"/>
    <w:rsid w:val="00D256C3"/>
    <w:rsid w:val="00D256E6"/>
    <w:rsid w:val="00D257F4"/>
    <w:rsid w:val="00D25D40"/>
    <w:rsid w:val="00D25E5B"/>
    <w:rsid w:val="00D25E61"/>
    <w:rsid w:val="00D25F94"/>
    <w:rsid w:val="00D25FAD"/>
    <w:rsid w:val="00D2630F"/>
    <w:rsid w:val="00D26391"/>
    <w:rsid w:val="00D2641B"/>
    <w:rsid w:val="00D26593"/>
    <w:rsid w:val="00D26680"/>
    <w:rsid w:val="00D266AF"/>
    <w:rsid w:val="00D266F0"/>
    <w:rsid w:val="00D269B1"/>
    <w:rsid w:val="00D26AC5"/>
    <w:rsid w:val="00D26B60"/>
    <w:rsid w:val="00D26D7E"/>
    <w:rsid w:val="00D27306"/>
    <w:rsid w:val="00D273B1"/>
    <w:rsid w:val="00D273E6"/>
    <w:rsid w:val="00D27428"/>
    <w:rsid w:val="00D274BB"/>
    <w:rsid w:val="00D27613"/>
    <w:rsid w:val="00D27998"/>
    <w:rsid w:val="00D279E5"/>
    <w:rsid w:val="00D279EE"/>
    <w:rsid w:val="00D27B1D"/>
    <w:rsid w:val="00D27B24"/>
    <w:rsid w:val="00D27B7A"/>
    <w:rsid w:val="00D27BD2"/>
    <w:rsid w:val="00D27DFC"/>
    <w:rsid w:val="00D27FC4"/>
    <w:rsid w:val="00D30008"/>
    <w:rsid w:val="00D301F5"/>
    <w:rsid w:val="00D30617"/>
    <w:rsid w:val="00D30891"/>
    <w:rsid w:val="00D30AF9"/>
    <w:rsid w:val="00D30B39"/>
    <w:rsid w:val="00D30B3E"/>
    <w:rsid w:val="00D30B45"/>
    <w:rsid w:val="00D30B7D"/>
    <w:rsid w:val="00D30D35"/>
    <w:rsid w:val="00D30D8F"/>
    <w:rsid w:val="00D30E1B"/>
    <w:rsid w:val="00D30F17"/>
    <w:rsid w:val="00D30F9A"/>
    <w:rsid w:val="00D3119D"/>
    <w:rsid w:val="00D312A1"/>
    <w:rsid w:val="00D31426"/>
    <w:rsid w:val="00D3144B"/>
    <w:rsid w:val="00D31840"/>
    <w:rsid w:val="00D31AB0"/>
    <w:rsid w:val="00D31ABF"/>
    <w:rsid w:val="00D31B25"/>
    <w:rsid w:val="00D31CEF"/>
    <w:rsid w:val="00D31D3F"/>
    <w:rsid w:val="00D31ECA"/>
    <w:rsid w:val="00D31F5A"/>
    <w:rsid w:val="00D31FEB"/>
    <w:rsid w:val="00D3207F"/>
    <w:rsid w:val="00D3224A"/>
    <w:rsid w:val="00D32258"/>
    <w:rsid w:val="00D323ED"/>
    <w:rsid w:val="00D3277E"/>
    <w:rsid w:val="00D32873"/>
    <w:rsid w:val="00D328C0"/>
    <w:rsid w:val="00D32951"/>
    <w:rsid w:val="00D3297C"/>
    <w:rsid w:val="00D32BB3"/>
    <w:rsid w:val="00D32D83"/>
    <w:rsid w:val="00D32D99"/>
    <w:rsid w:val="00D32EB9"/>
    <w:rsid w:val="00D3301F"/>
    <w:rsid w:val="00D3318F"/>
    <w:rsid w:val="00D333AA"/>
    <w:rsid w:val="00D33A7E"/>
    <w:rsid w:val="00D33B45"/>
    <w:rsid w:val="00D33BAC"/>
    <w:rsid w:val="00D33CE8"/>
    <w:rsid w:val="00D33DA1"/>
    <w:rsid w:val="00D33E12"/>
    <w:rsid w:val="00D34209"/>
    <w:rsid w:val="00D34326"/>
    <w:rsid w:val="00D343B4"/>
    <w:rsid w:val="00D343CC"/>
    <w:rsid w:val="00D343D5"/>
    <w:rsid w:val="00D3446A"/>
    <w:rsid w:val="00D3454C"/>
    <w:rsid w:val="00D3461B"/>
    <w:rsid w:val="00D34938"/>
    <w:rsid w:val="00D34A03"/>
    <w:rsid w:val="00D34ABB"/>
    <w:rsid w:val="00D34BBF"/>
    <w:rsid w:val="00D34C22"/>
    <w:rsid w:val="00D34CA6"/>
    <w:rsid w:val="00D34D7B"/>
    <w:rsid w:val="00D34D92"/>
    <w:rsid w:val="00D34DE1"/>
    <w:rsid w:val="00D350E9"/>
    <w:rsid w:val="00D3535A"/>
    <w:rsid w:val="00D3544C"/>
    <w:rsid w:val="00D35536"/>
    <w:rsid w:val="00D35555"/>
    <w:rsid w:val="00D355A7"/>
    <w:rsid w:val="00D35690"/>
    <w:rsid w:val="00D356C4"/>
    <w:rsid w:val="00D357CC"/>
    <w:rsid w:val="00D35AAB"/>
    <w:rsid w:val="00D35BE3"/>
    <w:rsid w:val="00D35CC2"/>
    <w:rsid w:val="00D35F24"/>
    <w:rsid w:val="00D35F4E"/>
    <w:rsid w:val="00D36098"/>
    <w:rsid w:val="00D367C4"/>
    <w:rsid w:val="00D369C6"/>
    <w:rsid w:val="00D369E1"/>
    <w:rsid w:val="00D36A25"/>
    <w:rsid w:val="00D36B13"/>
    <w:rsid w:val="00D370BD"/>
    <w:rsid w:val="00D370CC"/>
    <w:rsid w:val="00D372ED"/>
    <w:rsid w:val="00D372FC"/>
    <w:rsid w:val="00D375C7"/>
    <w:rsid w:val="00D3771D"/>
    <w:rsid w:val="00D37845"/>
    <w:rsid w:val="00D37864"/>
    <w:rsid w:val="00D37A03"/>
    <w:rsid w:val="00D37A91"/>
    <w:rsid w:val="00D37B51"/>
    <w:rsid w:val="00D37C4B"/>
    <w:rsid w:val="00D37E39"/>
    <w:rsid w:val="00D37FAF"/>
    <w:rsid w:val="00D4005F"/>
    <w:rsid w:val="00D4020C"/>
    <w:rsid w:val="00D4030C"/>
    <w:rsid w:val="00D407AF"/>
    <w:rsid w:val="00D40C0D"/>
    <w:rsid w:val="00D40D98"/>
    <w:rsid w:val="00D40DD5"/>
    <w:rsid w:val="00D41016"/>
    <w:rsid w:val="00D4108D"/>
    <w:rsid w:val="00D414D9"/>
    <w:rsid w:val="00D4160D"/>
    <w:rsid w:val="00D41774"/>
    <w:rsid w:val="00D41958"/>
    <w:rsid w:val="00D41AC2"/>
    <w:rsid w:val="00D41DDE"/>
    <w:rsid w:val="00D42043"/>
    <w:rsid w:val="00D42289"/>
    <w:rsid w:val="00D422E5"/>
    <w:rsid w:val="00D422FE"/>
    <w:rsid w:val="00D42388"/>
    <w:rsid w:val="00D42407"/>
    <w:rsid w:val="00D4247C"/>
    <w:rsid w:val="00D425DD"/>
    <w:rsid w:val="00D42800"/>
    <w:rsid w:val="00D42904"/>
    <w:rsid w:val="00D42A4E"/>
    <w:rsid w:val="00D42CD0"/>
    <w:rsid w:val="00D42F09"/>
    <w:rsid w:val="00D43014"/>
    <w:rsid w:val="00D43098"/>
    <w:rsid w:val="00D431E5"/>
    <w:rsid w:val="00D43456"/>
    <w:rsid w:val="00D43471"/>
    <w:rsid w:val="00D434F5"/>
    <w:rsid w:val="00D4359D"/>
    <w:rsid w:val="00D43750"/>
    <w:rsid w:val="00D439A0"/>
    <w:rsid w:val="00D43C14"/>
    <w:rsid w:val="00D43D90"/>
    <w:rsid w:val="00D43E69"/>
    <w:rsid w:val="00D43EE3"/>
    <w:rsid w:val="00D43EEC"/>
    <w:rsid w:val="00D44108"/>
    <w:rsid w:val="00D442B4"/>
    <w:rsid w:val="00D4435A"/>
    <w:rsid w:val="00D446F7"/>
    <w:rsid w:val="00D44722"/>
    <w:rsid w:val="00D44788"/>
    <w:rsid w:val="00D44874"/>
    <w:rsid w:val="00D448D9"/>
    <w:rsid w:val="00D449D6"/>
    <w:rsid w:val="00D44ADE"/>
    <w:rsid w:val="00D44B71"/>
    <w:rsid w:val="00D44BE2"/>
    <w:rsid w:val="00D44CE4"/>
    <w:rsid w:val="00D44E25"/>
    <w:rsid w:val="00D44F33"/>
    <w:rsid w:val="00D4521E"/>
    <w:rsid w:val="00D45355"/>
    <w:rsid w:val="00D453E7"/>
    <w:rsid w:val="00D45485"/>
    <w:rsid w:val="00D45614"/>
    <w:rsid w:val="00D45660"/>
    <w:rsid w:val="00D45740"/>
    <w:rsid w:val="00D45777"/>
    <w:rsid w:val="00D4595D"/>
    <w:rsid w:val="00D459C9"/>
    <w:rsid w:val="00D459CB"/>
    <w:rsid w:val="00D45A87"/>
    <w:rsid w:val="00D45CED"/>
    <w:rsid w:val="00D45DAC"/>
    <w:rsid w:val="00D45F46"/>
    <w:rsid w:val="00D45F91"/>
    <w:rsid w:val="00D46068"/>
    <w:rsid w:val="00D462A3"/>
    <w:rsid w:val="00D462A6"/>
    <w:rsid w:val="00D462EA"/>
    <w:rsid w:val="00D46566"/>
    <w:rsid w:val="00D46570"/>
    <w:rsid w:val="00D46CA6"/>
    <w:rsid w:val="00D4739B"/>
    <w:rsid w:val="00D4742B"/>
    <w:rsid w:val="00D4745D"/>
    <w:rsid w:val="00D474A1"/>
    <w:rsid w:val="00D474CD"/>
    <w:rsid w:val="00D47591"/>
    <w:rsid w:val="00D47709"/>
    <w:rsid w:val="00D47764"/>
    <w:rsid w:val="00D47795"/>
    <w:rsid w:val="00D477F4"/>
    <w:rsid w:val="00D4782E"/>
    <w:rsid w:val="00D4787A"/>
    <w:rsid w:val="00D47A79"/>
    <w:rsid w:val="00D47CD3"/>
    <w:rsid w:val="00D500E1"/>
    <w:rsid w:val="00D50113"/>
    <w:rsid w:val="00D50293"/>
    <w:rsid w:val="00D502F9"/>
    <w:rsid w:val="00D505A3"/>
    <w:rsid w:val="00D5061D"/>
    <w:rsid w:val="00D50746"/>
    <w:rsid w:val="00D50812"/>
    <w:rsid w:val="00D5098A"/>
    <w:rsid w:val="00D50BF7"/>
    <w:rsid w:val="00D50C74"/>
    <w:rsid w:val="00D50D58"/>
    <w:rsid w:val="00D50E13"/>
    <w:rsid w:val="00D50F67"/>
    <w:rsid w:val="00D51145"/>
    <w:rsid w:val="00D5125B"/>
    <w:rsid w:val="00D51347"/>
    <w:rsid w:val="00D5149A"/>
    <w:rsid w:val="00D51718"/>
    <w:rsid w:val="00D5187D"/>
    <w:rsid w:val="00D519C9"/>
    <w:rsid w:val="00D51C11"/>
    <w:rsid w:val="00D51D78"/>
    <w:rsid w:val="00D51D96"/>
    <w:rsid w:val="00D51E90"/>
    <w:rsid w:val="00D51F12"/>
    <w:rsid w:val="00D51F64"/>
    <w:rsid w:val="00D52173"/>
    <w:rsid w:val="00D5218D"/>
    <w:rsid w:val="00D521AF"/>
    <w:rsid w:val="00D5222C"/>
    <w:rsid w:val="00D522F8"/>
    <w:rsid w:val="00D52450"/>
    <w:rsid w:val="00D52523"/>
    <w:rsid w:val="00D52571"/>
    <w:rsid w:val="00D52587"/>
    <w:rsid w:val="00D525CC"/>
    <w:rsid w:val="00D52733"/>
    <w:rsid w:val="00D5297A"/>
    <w:rsid w:val="00D52AE4"/>
    <w:rsid w:val="00D52B20"/>
    <w:rsid w:val="00D52BE0"/>
    <w:rsid w:val="00D52C02"/>
    <w:rsid w:val="00D52FC0"/>
    <w:rsid w:val="00D53082"/>
    <w:rsid w:val="00D53181"/>
    <w:rsid w:val="00D53251"/>
    <w:rsid w:val="00D53315"/>
    <w:rsid w:val="00D534E0"/>
    <w:rsid w:val="00D5370E"/>
    <w:rsid w:val="00D53750"/>
    <w:rsid w:val="00D5383E"/>
    <w:rsid w:val="00D539B3"/>
    <w:rsid w:val="00D53A0E"/>
    <w:rsid w:val="00D53A45"/>
    <w:rsid w:val="00D53B12"/>
    <w:rsid w:val="00D53D21"/>
    <w:rsid w:val="00D53DDA"/>
    <w:rsid w:val="00D53F4A"/>
    <w:rsid w:val="00D53FBA"/>
    <w:rsid w:val="00D53FDF"/>
    <w:rsid w:val="00D5406D"/>
    <w:rsid w:val="00D542B6"/>
    <w:rsid w:val="00D5439D"/>
    <w:rsid w:val="00D54766"/>
    <w:rsid w:val="00D54900"/>
    <w:rsid w:val="00D549FB"/>
    <w:rsid w:val="00D54C10"/>
    <w:rsid w:val="00D54C87"/>
    <w:rsid w:val="00D54EE4"/>
    <w:rsid w:val="00D54FBC"/>
    <w:rsid w:val="00D54FC6"/>
    <w:rsid w:val="00D54FD1"/>
    <w:rsid w:val="00D55035"/>
    <w:rsid w:val="00D55097"/>
    <w:rsid w:val="00D5511B"/>
    <w:rsid w:val="00D5519F"/>
    <w:rsid w:val="00D55276"/>
    <w:rsid w:val="00D552B3"/>
    <w:rsid w:val="00D552EE"/>
    <w:rsid w:val="00D554FE"/>
    <w:rsid w:val="00D55688"/>
    <w:rsid w:val="00D5582C"/>
    <w:rsid w:val="00D55B40"/>
    <w:rsid w:val="00D55C36"/>
    <w:rsid w:val="00D55C9E"/>
    <w:rsid w:val="00D55D99"/>
    <w:rsid w:val="00D55DCA"/>
    <w:rsid w:val="00D56012"/>
    <w:rsid w:val="00D56064"/>
    <w:rsid w:val="00D56165"/>
    <w:rsid w:val="00D56216"/>
    <w:rsid w:val="00D56281"/>
    <w:rsid w:val="00D562DE"/>
    <w:rsid w:val="00D5634E"/>
    <w:rsid w:val="00D56409"/>
    <w:rsid w:val="00D56525"/>
    <w:rsid w:val="00D56663"/>
    <w:rsid w:val="00D5688A"/>
    <w:rsid w:val="00D56990"/>
    <w:rsid w:val="00D56A21"/>
    <w:rsid w:val="00D56BF9"/>
    <w:rsid w:val="00D56CFC"/>
    <w:rsid w:val="00D56EC6"/>
    <w:rsid w:val="00D56F18"/>
    <w:rsid w:val="00D56FDF"/>
    <w:rsid w:val="00D56FE8"/>
    <w:rsid w:val="00D57075"/>
    <w:rsid w:val="00D570C8"/>
    <w:rsid w:val="00D57159"/>
    <w:rsid w:val="00D57169"/>
    <w:rsid w:val="00D573E2"/>
    <w:rsid w:val="00D57487"/>
    <w:rsid w:val="00D57501"/>
    <w:rsid w:val="00D576E5"/>
    <w:rsid w:val="00D57769"/>
    <w:rsid w:val="00D578E3"/>
    <w:rsid w:val="00D57CCC"/>
    <w:rsid w:val="00D57DBC"/>
    <w:rsid w:val="00D57FA0"/>
    <w:rsid w:val="00D600D0"/>
    <w:rsid w:val="00D600D8"/>
    <w:rsid w:val="00D601B4"/>
    <w:rsid w:val="00D60238"/>
    <w:rsid w:val="00D60367"/>
    <w:rsid w:val="00D603A3"/>
    <w:rsid w:val="00D60463"/>
    <w:rsid w:val="00D6077D"/>
    <w:rsid w:val="00D607BC"/>
    <w:rsid w:val="00D6083E"/>
    <w:rsid w:val="00D60993"/>
    <w:rsid w:val="00D609D7"/>
    <w:rsid w:val="00D60A9A"/>
    <w:rsid w:val="00D60B0B"/>
    <w:rsid w:val="00D60D38"/>
    <w:rsid w:val="00D60D45"/>
    <w:rsid w:val="00D60DA1"/>
    <w:rsid w:val="00D60E2F"/>
    <w:rsid w:val="00D60E53"/>
    <w:rsid w:val="00D6106F"/>
    <w:rsid w:val="00D613FE"/>
    <w:rsid w:val="00D614EA"/>
    <w:rsid w:val="00D614FD"/>
    <w:rsid w:val="00D6162B"/>
    <w:rsid w:val="00D6163D"/>
    <w:rsid w:val="00D616C5"/>
    <w:rsid w:val="00D616E5"/>
    <w:rsid w:val="00D61772"/>
    <w:rsid w:val="00D618C1"/>
    <w:rsid w:val="00D619C1"/>
    <w:rsid w:val="00D61B6A"/>
    <w:rsid w:val="00D61C5A"/>
    <w:rsid w:val="00D61CB6"/>
    <w:rsid w:val="00D61D2C"/>
    <w:rsid w:val="00D61DE8"/>
    <w:rsid w:val="00D61E19"/>
    <w:rsid w:val="00D61E4B"/>
    <w:rsid w:val="00D61EAA"/>
    <w:rsid w:val="00D620FF"/>
    <w:rsid w:val="00D621D5"/>
    <w:rsid w:val="00D62387"/>
    <w:rsid w:val="00D624DA"/>
    <w:rsid w:val="00D62721"/>
    <w:rsid w:val="00D62831"/>
    <w:rsid w:val="00D628DE"/>
    <w:rsid w:val="00D62B09"/>
    <w:rsid w:val="00D62B64"/>
    <w:rsid w:val="00D62C1A"/>
    <w:rsid w:val="00D631EE"/>
    <w:rsid w:val="00D632F8"/>
    <w:rsid w:val="00D6332D"/>
    <w:rsid w:val="00D6334D"/>
    <w:rsid w:val="00D63387"/>
    <w:rsid w:val="00D633B6"/>
    <w:rsid w:val="00D633CC"/>
    <w:rsid w:val="00D635D8"/>
    <w:rsid w:val="00D638ED"/>
    <w:rsid w:val="00D63A66"/>
    <w:rsid w:val="00D63BB4"/>
    <w:rsid w:val="00D63C1A"/>
    <w:rsid w:val="00D63CA5"/>
    <w:rsid w:val="00D63D4E"/>
    <w:rsid w:val="00D63E16"/>
    <w:rsid w:val="00D63EDD"/>
    <w:rsid w:val="00D63FC6"/>
    <w:rsid w:val="00D63FCA"/>
    <w:rsid w:val="00D6416A"/>
    <w:rsid w:val="00D642FA"/>
    <w:rsid w:val="00D644DC"/>
    <w:rsid w:val="00D645CD"/>
    <w:rsid w:val="00D64684"/>
    <w:rsid w:val="00D64739"/>
    <w:rsid w:val="00D64951"/>
    <w:rsid w:val="00D649CC"/>
    <w:rsid w:val="00D64BF5"/>
    <w:rsid w:val="00D64C97"/>
    <w:rsid w:val="00D64D6E"/>
    <w:rsid w:val="00D64F31"/>
    <w:rsid w:val="00D65007"/>
    <w:rsid w:val="00D65123"/>
    <w:rsid w:val="00D65145"/>
    <w:rsid w:val="00D655AE"/>
    <w:rsid w:val="00D656F4"/>
    <w:rsid w:val="00D65756"/>
    <w:rsid w:val="00D6588D"/>
    <w:rsid w:val="00D658BD"/>
    <w:rsid w:val="00D659FE"/>
    <w:rsid w:val="00D65A6D"/>
    <w:rsid w:val="00D65CC4"/>
    <w:rsid w:val="00D65D7A"/>
    <w:rsid w:val="00D65F66"/>
    <w:rsid w:val="00D65FF1"/>
    <w:rsid w:val="00D6615C"/>
    <w:rsid w:val="00D661E3"/>
    <w:rsid w:val="00D6623F"/>
    <w:rsid w:val="00D662D0"/>
    <w:rsid w:val="00D6638F"/>
    <w:rsid w:val="00D663C0"/>
    <w:rsid w:val="00D666F7"/>
    <w:rsid w:val="00D6687B"/>
    <w:rsid w:val="00D668CA"/>
    <w:rsid w:val="00D669F5"/>
    <w:rsid w:val="00D66A31"/>
    <w:rsid w:val="00D66A5A"/>
    <w:rsid w:val="00D66A6D"/>
    <w:rsid w:val="00D66AA5"/>
    <w:rsid w:val="00D66B98"/>
    <w:rsid w:val="00D66DEF"/>
    <w:rsid w:val="00D66F01"/>
    <w:rsid w:val="00D66F73"/>
    <w:rsid w:val="00D67090"/>
    <w:rsid w:val="00D67358"/>
    <w:rsid w:val="00D67405"/>
    <w:rsid w:val="00D6748C"/>
    <w:rsid w:val="00D675B6"/>
    <w:rsid w:val="00D67736"/>
    <w:rsid w:val="00D6777C"/>
    <w:rsid w:val="00D67829"/>
    <w:rsid w:val="00D67AF1"/>
    <w:rsid w:val="00D67D93"/>
    <w:rsid w:val="00D67E61"/>
    <w:rsid w:val="00D67F12"/>
    <w:rsid w:val="00D70029"/>
    <w:rsid w:val="00D700AB"/>
    <w:rsid w:val="00D703E7"/>
    <w:rsid w:val="00D70538"/>
    <w:rsid w:val="00D706B2"/>
    <w:rsid w:val="00D70A1C"/>
    <w:rsid w:val="00D70A47"/>
    <w:rsid w:val="00D70A9B"/>
    <w:rsid w:val="00D70CEC"/>
    <w:rsid w:val="00D70E39"/>
    <w:rsid w:val="00D70F43"/>
    <w:rsid w:val="00D71012"/>
    <w:rsid w:val="00D71448"/>
    <w:rsid w:val="00D71552"/>
    <w:rsid w:val="00D71816"/>
    <w:rsid w:val="00D71991"/>
    <w:rsid w:val="00D719F3"/>
    <w:rsid w:val="00D71BEF"/>
    <w:rsid w:val="00D71CAA"/>
    <w:rsid w:val="00D71E17"/>
    <w:rsid w:val="00D71FE7"/>
    <w:rsid w:val="00D7202C"/>
    <w:rsid w:val="00D7208C"/>
    <w:rsid w:val="00D722BC"/>
    <w:rsid w:val="00D72345"/>
    <w:rsid w:val="00D7241C"/>
    <w:rsid w:val="00D724BE"/>
    <w:rsid w:val="00D72503"/>
    <w:rsid w:val="00D727AC"/>
    <w:rsid w:val="00D727EE"/>
    <w:rsid w:val="00D72880"/>
    <w:rsid w:val="00D728F1"/>
    <w:rsid w:val="00D729B2"/>
    <w:rsid w:val="00D72A71"/>
    <w:rsid w:val="00D72ABF"/>
    <w:rsid w:val="00D72C21"/>
    <w:rsid w:val="00D72CE9"/>
    <w:rsid w:val="00D72D0D"/>
    <w:rsid w:val="00D72DC6"/>
    <w:rsid w:val="00D72E25"/>
    <w:rsid w:val="00D72F83"/>
    <w:rsid w:val="00D73138"/>
    <w:rsid w:val="00D731AE"/>
    <w:rsid w:val="00D731C2"/>
    <w:rsid w:val="00D73316"/>
    <w:rsid w:val="00D73360"/>
    <w:rsid w:val="00D7344C"/>
    <w:rsid w:val="00D73578"/>
    <w:rsid w:val="00D7361F"/>
    <w:rsid w:val="00D7370E"/>
    <w:rsid w:val="00D73963"/>
    <w:rsid w:val="00D739CB"/>
    <w:rsid w:val="00D73AB4"/>
    <w:rsid w:val="00D73DAD"/>
    <w:rsid w:val="00D73E1F"/>
    <w:rsid w:val="00D73E53"/>
    <w:rsid w:val="00D73E62"/>
    <w:rsid w:val="00D73E6B"/>
    <w:rsid w:val="00D73E75"/>
    <w:rsid w:val="00D73FE3"/>
    <w:rsid w:val="00D7423D"/>
    <w:rsid w:val="00D7435E"/>
    <w:rsid w:val="00D74389"/>
    <w:rsid w:val="00D74406"/>
    <w:rsid w:val="00D7440F"/>
    <w:rsid w:val="00D74655"/>
    <w:rsid w:val="00D74844"/>
    <w:rsid w:val="00D7488D"/>
    <w:rsid w:val="00D74989"/>
    <w:rsid w:val="00D749B1"/>
    <w:rsid w:val="00D74A37"/>
    <w:rsid w:val="00D74B17"/>
    <w:rsid w:val="00D74D0F"/>
    <w:rsid w:val="00D74D1C"/>
    <w:rsid w:val="00D74EC2"/>
    <w:rsid w:val="00D75170"/>
    <w:rsid w:val="00D75265"/>
    <w:rsid w:val="00D75292"/>
    <w:rsid w:val="00D7529D"/>
    <w:rsid w:val="00D75379"/>
    <w:rsid w:val="00D7549D"/>
    <w:rsid w:val="00D75526"/>
    <w:rsid w:val="00D75536"/>
    <w:rsid w:val="00D755DC"/>
    <w:rsid w:val="00D755E8"/>
    <w:rsid w:val="00D75614"/>
    <w:rsid w:val="00D756CC"/>
    <w:rsid w:val="00D75770"/>
    <w:rsid w:val="00D75794"/>
    <w:rsid w:val="00D758C4"/>
    <w:rsid w:val="00D75951"/>
    <w:rsid w:val="00D759BE"/>
    <w:rsid w:val="00D75A2B"/>
    <w:rsid w:val="00D75A37"/>
    <w:rsid w:val="00D75B98"/>
    <w:rsid w:val="00D75BED"/>
    <w:rsid w:val="00D75C4E"/>
    <w:rsid w:val="00D75C7D"/>
    <w:rsid w:val="00D75D5D"/>
    <w:rsid w:val="00D76018"/>
    <w:rsid w:val="00D76220"/>
    <w:rsid w:val="00D76298"/>
    <w:rsid w:val="00D76377"/>
    <w:rsid w:val="00D76785"/>
    <w:rsid w:val="00D76867"/>
    <w:rsid w:val="00D76970"/>
    <w:rsid w:val="00D76A55"/>
    <w:rsid w:val="00D76AC0"/>
    <w:rsid w:val="00D76E4F"/>
    <w:rsid w:val="00D76FB2"/>
    <w:rsid w:val="00D77065"/>
    <w:rsid w:val="00D771AD"/>
    <w:rsid w:val="00D772CD"/>
    <w:rsid w:val="00D772E7"/>
    <w:rsid w:val="00D772F1"/>
    <w:rsid w:val="00D77398"/>
    <w:rsid w:val="00D774C7"/>
    <w:rsid w:val="00D775A1"/>
    <w:rsid w:val="00D77805"/>
    <w:rsid w:val="00D778B8"/>
    <w:rsid w:val="00D77920"/>
    <w:rsid w:val="00D77982"/>
    <w:rsid w:val="00D779C2"/>
    <w:rsid w:val="00D77A5C"/>
    <w:rsid w:val="00D77D53"/>
    <w:rsid w:val="00D77F9E"/>
    <w:rsid w:val="00D8008A"/>
    <w:rsid w:val="00D80234"/>
    <w:rsid w:val="00D807FA"/>
    <w:rsid w:val="00D8088E"/>
    <w:rsid w:val="00D80AB8"/>
    <w:rsid w:val="00D80BBC"/>
    <w:rsid w:val="00D80C52"/>
    <w:rsid w:val="00D80D5F"/>
    <w:rsid w:val="00D80D86"/>
    <w:rsid w:val="00D80DAA"/>
    <w:rsid w:val="00D80DB0"/>
    <w:rsid w:val="00D80E21"/>
    <w:rsid w:val="00D810DB"/>
    <w:rsid w:val="00D811BD"/>
    <w:rsid w:val="00D813D9"/>
    <w:rsid w:val="00D81407"/>
    <w:rsid w:val="00D81485"/>
    <w:rsid w:val="00D816B1"/>
    <w:rsid w:val="00D81738"/>
    <w:rsid w:val="00D81767"/>
    <w:rsid w:val="00D819F3"/>
    <w:rsid w:val="00D81B82"/>
    <w:rsid w:val="00D81FBB"/>
    <w:rsid w:val="00D82308"/>
    <w:rsid w:val="00D823F0"/>
    <w:rsid w:val="00D82436"/>
    <w:rsid w:val="00D82509"/>
    <w:rsid w:val="00D825D8"/>
    <w:rsid w:val="00D826F7"/>
    <w:rsid w:val="00D8270D"/>
    <w:rsid w:val="00D82768"/>
    <w:rsid w:val="00D828C7"/>
    <w:rsid w:val="00D82AD9"/>
    <w:rsid w:val="00D82BC5"/>
    <w:rsid w:val="00D82BF1"/>
    <w:rsid w:val="00D82D70"/>
    <w:rsid w:val="00D8304E"/>
    <w:rsid w:val="00D83086"/>
    <w:rsid w:val="00D83188"/>
    <w:rsid w:val="00D83396"/>
    <w:rsid w:val="00D835E0"/>
    <w:rsid w:val="00D835FC"/>
    <w:rsid w:val="00D836AD"/>
    <w:rsid w:val="00D836DE"/>
    <w:rsid w:val="00D8375F"/>
    <w:rsid w:val="00D8381B"/>
    <w:rsid w:val="00D83CF5"/>
    <w:rsid w:val="00D83F64"/>
    <w:rsid w:val="00D8409B"/>
    <w:rsid w:val="00D84322"/>
    <w:rsid w:val="00D84339"/>
    <w:rsid w:val="00D84501"/>
    <w:rsid w:val="00D84513"/>
    <w:rsid w:val="00D8459A"/>
    <w:rsid w:val="00D845BE"/>
    <w:rsid w:val="00D84A1C"/>
    <w:rsid w:val="00D84B50"/>
    <w:rsid w:val="00D84B6D"/>
    <w:rsid w:val="00D84B85"/>
    <w:rsid w:val="00D84CD3"/>
    <w:rsid w:val="00D84CE0"/>
    <w:rsid w:val="00D84E73"/>
    <w:rsid w:val="00D8503D"/>
    <w:rsid w:val="00D85324"/>
    <w:rsid w:val="00D853B5"/>
    <w:rsid w:val="00D8545A"/>
    <w:rsid w:val="00D8550E"/>
    <w:rsid w:val="00D85620"/>
    <w:rsid w:val="00D85692"/>
    <w:rsid w:val="00D85806"/>
    <w:rsid w:val="00D858A7"/>
    <w:rsid w:val="00D85AB3"/>
    <w:rsid w:val="00D85B14"/>
    <w:rsid w:val="00D85BB0"/>
    <w:rsid w:val="00D85E6E"/>
    <w:rsid w:val="00D860AF"/>
    <w:rsid w:val="00D86268"/>
    <w:rsid w:val="00D86393"/>
    <w:rsid w:val="00D863F3"/>
    <w:rsid w:val="00D864B8"/>
    <w:rsid w:val="00D865C5"/>
    <w:rsid w:val="00D8687E"/>
    <w:rsid w:val="00D86E24"/>
    <w:rsid w:val="00D86F0F"/>
    <w:rsid w:val="00D8706F"/>
    <w:rsid w:val="00D8710E"/>
    <w:rsid w:val="00D871D4"/>
    <w:rsid w:val="00D87250"/>
    <w:rsid w:val="00D872F5"/>
    <w:rsid w:val="00D8744C"/>
    <w:rsid w:val="00D87562"/>
    <w:rsid w:val="00D87678"/>
    <w:rsid w:val="00D878AD"/>
    <w:rsid w:val="00D8796A"/>
    <w:rsid w:val="00D87AE3"/>
    <w:rsid w:val="00D87AE9"/>
    <w:rsid w:val="00D87C06"/>
    <w:rsid w:val="00D87D9E"/>
    <w:rsid w:val="00D87F7B"/>
    <w:rsid w:val="00D90226"/>
    <w:rsid w:val="00D90246"/>
    <w:rsid w:val="00D903D9"/>
    <w:rsid w:val="00D906AA"/>
    <w:rsid w:val="00D90747"/>
    <w:rsid w:val="00D908D8"/>
    <w:rsid w:val="00D90923"/>
    <w:rsid w:val="00D909D4"/>
    <w:rsid w:val="00D90AC1"/>
    <w:rsid w:val="00D90B33"/>
    <w:rsid w:val="00D90BB1"/>
    <w:rsid w:val="00D90BE8"/>
    <w:rsid w:val="00D90C7D"/>
    <w:rsid w:val="00D90D5F"/>
    <w:rsid w:val="00D90E2C"/>
    <w:rsid w:val="00D90E33"/>
    <w:rsid w:val="00D910F6"/>
    <w:rsid w:val="00D911DF"/>
    <w:rsid w:val="00D911E2"/>
    <w:rsid w:val="00D91373"/>
    <w:rsid w:val="00D9181D"/>
    <w:rsid w:val="00D91853"/>
    <w:rsid w:val="00D91A04"/>
    <w:rsid w:val="00D91C3E"/>
    <w:rsid w:val="00D91E3B"/>
    <w:rsid w:val="00D921A9"/>
    <w:rsid w:val="00D922DC"/>
    <w:rsid w:val="00D92367"/>
    <w:rsid w:val="00D92404"/>
    <w:rsid w:val="00D92510"/>
    <w:rsid w:val="00D92549"/>
    <w:rsid w:val="00D92635"/>
    <w:rsid w:val="00D9275A"/>
    <w:rsid w:val="00D92AD8"/>
    <w:rsid w:val="00D92B39"/>
    <w:rsid w:val="00D92B3F"/>
    <w:rsid w:val="00D92B9C"/>
    <w:rsid w:val="00D92BAD"/>
    <w:rsid w:val="00D92C23"/>
    <w:rsid w:val="00D92C31"/>
    <w:rsid w:val="00D92CE8"/>
    <w:rsid w:val="00D9303D"/>
    <w:rsid w:val="00D931E5"/>
    <w:rsid w:val="00D933C2"/>
    <w:rsid w:val="00D93455"/>
    <w:rsid w:val="00D934B3"/>
    <w:rsid w:val="00D934F9"/>
    <w:rsid w:val="00D93508"/>
    <w:rsid w:val="00D93697"/>
    <w:rsid w:val="00D936A0"/>
    <w:rsid w:val="00D93782"/>
    <w:rsid w:val="00D937C0"/>
    <w:rsid w:val="00D93B77"/>
    <w:rsid w:val="00D93C03"/>
    <w:rsid w:val="00D93C66"/>
    <w:rsid w:val="00D93DF7"/>
    <w:rsid w:val="00D93EA3"/>
    <w:rsid w:val="00D93EE8"/>
    <w:rsid w:val="00D94158"/>
    <w:rsid w:val="00D9416F"/>
    <w:rsid w:val="00D941B4"/>
    <w:rsid w:val="00D9430D"/>
    <w:rsid w:val="00D944F9"/>
    <w:rsid w:val="00D947BD"/>
    <w:rsid w:val="00D94820"/>
    <w:rsid w:val="00D948E2"/>
    <w:rsid w:val="00D94BCF"/>
    <w:rsid w:val="00D94C36"/>
    <w:rsid w:val="00D94DB0"/>
    <w:rsid w:val="00D95106"/>
    <w:rsid w:val="00D953F1"/>
    <w:rsid w:val="00D9548F"/>
    <w:rsid w:val="00D955AE"/>
    <w:rsid w:val="00D957FC"/>
    <w:rsid w:val="00D95AE5"/>
    <w:rsid w:val="00D95EFE"/>
    <w:rsid w:val="00D95F01"/>
    <w:rsid w:val="00D95F41"/>
    <w:rsid w:val="00D96020"/>
    <w:rsid w:val="00D9603D"/>
    <w:rsid w:val="00D96071"/>
    <w:rsid w:val="00D9612E"/>
    <w:rsid w:val="00D9659B"/>
    <w:rsid w:val="00D965C2"/>
    <w:rsid w:val="00D96672"/>
    <w:rsid w:val="00D966C8"/>
    <w:rsid w:val="00D967E2"/>
    <w:rsid w:val="00D96968"/>
    <w:rsid w:val="00D96994"/>
    <w:rsid w:val="00D96A56"/>
    <w:rsid w:val="00D96B17"/>
    <w:rsid w:val="00D96C3E"/>
    <w:rsid w:val="00D96CDB"/>
    <w:rsid w:val="00D96DFC"/>
    <w:rsid w:val="00D96E3E"/>
    <w:rsid w:val="00D96FA3"/>
    <w:rsid w:val="00D9701E"/>
    <w:rsid w:val="00D9708C"/>
    <w:rsid w:val="00D972C0"/>
    <w:rsid w:val="00D972D3"/>
    <w:rsid w:val="00D972EE"/>
    <w:rsid w:val="00D97336"/>
    <w:rsid w:val="00D9755B"/>
    <w:rsid w:val="00D9760D"/>
    <w:rsid w:val="00D976D8"/>
    <w:rsid w:val="00D9778A"/>
    <w:rsid w:val="00D9794E"/>
    <w:rsid w:val="00D97C0A"/>
    <w:rsid w:val="00D97C25"/>
    <w:rsid w:val="00D97C45"/>
    <w:rsid w:val="00D97E35"/>
    <w:rsid w:val="00D97EF5"/>
    <w:rsid w:val="00DA00A8"/>
    <w:rsid w:val="00DA00D8"/>
    <w:rsid w:val="00DA00EB"/>
    <w:rsid w:val="00DA0307"/>
    <w:rsid w:val="00DA04BE"/>
    <w:rsid w:val="00DA057F"/>
    <w:rsid w:val="00DA063F"/>
    <w:rsid w:val="00DA0692"/>
    <w:rsid w:val="00DA076D"/>
    <w:rsid w:val="00DA086D"/>
    <w:rsid w:val="00DA08ED"/>
    <w:rsid w:val="00DA0935"/>
    <w:rsid w:val="00DA0948"/>
    <w:rsid w:val="00DA0A7D"/>
    <w:rsid w:val="00DA0B29"/>
    <w:rsid w:val="00DA0BFF"/>
    <w:rsid w:val="00DA0D4D"/>
    <w:rsid w:val="00DA0DB5"/>
    <w:rsid w:val="00DA0DB6"/>
    <w:rsid w:val="00DA0E03"/>
    <w:rsid w:val="00DA0E48"/>
    <w:rsid w:val="00DA0FE9"/>
    <w:rsid w:val="00DA116A"/>
    <w:rsid w:val="00DA12B5"/>
    <w:rsid w:val="00DA179E"/>
    <w:rsid w:val="00DA192F"/>
    <w:rsid w:val="00DA19C3"/>
    <w:rsid w:val="00DA1AC6"/>
    <w:rsid w:val="00DA1B73"/>
    <w:rsid w:val="00DA1B8C"/>
    <w:rsid w:val="00DA1C9C"/>
    <w:rsid w:val="00DA1CFD"/>
    <w:rsid w:val="00DA1FB3"/>
    <w:rsid w:val="00DA1FFB"/>
    <w:rsid w:val="00DA20B3"/>
    <w:rsid w:val="00DA22FD"/>
    <w:rsid w:val="00DA23FF"/>
    <w:rsid w:val="00DA2417"/>
    <w:rsid w:val="00DA246D"/>
    <w:rsid w:val="00DA24B0"/>
    <w:rsid w:val="00DA250A"/>
    <w:rsid w:val="00DA2923"/>
    <w:rsid w:val="00DA2C88"/>
    <w:rsid w:val="00DA2D54"/>
    <w:rsid w:val="00DA2DBD"/>
    <w:rsid w:val="00DA2FCC"/>
    <w:rsid w:val="00DA303A"/>
    <w:rsid w:val="00DA3047"/>
    <w:rsid w:val="00DA30BA"/>
    <w:rsid w:val="00DA30FE"/>
    <w:rsid w:val="00DA3337"/>
    <w:rsid w:val="00DA3384"/>
    <w:rsid w:val="00DA3847"/>
    <w:rsid w:val="00DA3A8B"/>
    <w:rsid w:val="00DA3A9C"/>
    <w:rsid w:val="00DA3CB9"/>
    <w:rsid w:val="00DA3E5E"/>
    <w:rsid w:val="00DA3EA2"/>
    <w:rsid w:val="00DA4130"/>
    <w:rsid w:val="00DA416D"/>
    <w:rsid w:val="00DA4214"/>
    <w:rsid w:val="00DA4278"/>
    <w:rsid w:val="00DA4382"/>
    <w:rsid w:val="00DA4389"/>
    <w:rsid w:val="00DA4438"/>
    <w:rsid w:val="00DA443C"/>
    <w:rsid w:val="00DA4539"/>
    <w:rsid w:val="00DA4631"/>
    <w:rsid w:val="00DA4646"/>
    <w:rsid w:val="00DA46E6"/>
    <w:rsid w:val="00DA49DA"/>
    <w:rsid w:val="00DA49EA"/>
    <w:rsid w:val="00DA4B55"/>
    <w:rsid w:val="00DA4C19"/>
    <w:rsid w:val="00DA4C7A"/>
    <w:rsid w:val="00DA4F87"/>
    <w:rsid w:val="00DA4F8F"/>
    <w:rsid w:val="00DA508B"/>
    <w:rsid w:val="00DA5291"/>
    <w:rsid w:val="00DA55DD"/>
    <w:rsid w:val="00DA561E"/>
    <w:rsid w:val="00DA5776"/>
    <w:rsid w:val="00DA5BA4"/>
    <w:rsid w:val="00DA5D24"/>
    <w:rsid w:val="00DA5D4E"/>
    <w:rsid w:val="00DA5E0B"/>
    <w:rsid w:val="00DA62A9"/>
    <w:rsid w:val="00DA6329"/>
    <w:rsid w:val="00DA6435"/>
    <w:rsid w:val="00DA643E"/>
    <w:rsid w:val="00DA65F6"/>
    <w:rsid w:val="00DA6636"/>
    <w:rsid w:val="00DA66DA"/>
    <w:rsid w:val="00DA6B4E"/>
    <w:rsid w:val="00DA6C1B"/>
    <w:rsid w:val="00DA6D62"/>
    <w:rsid w:val="00DA6DAC"/>
    <w:rsid w:val="00DA6ECA"/>
    <w:rsid w:val="00DA6EF8"/>
    <w:rsid w:val="00DA706D"/>
    <w:rsid w:val="00DA71CC"/>
    <w:rsid w:val="00DA72CC"/>
    <w:rsid w:val="00DA73FB"/>
    <w:rsid w:val="00DA748F"/>
    <w:rsid w:val="00DA75FE"/>
    <w:rsid w:val="00DA7883"/>
    <w:rsid w:val="00DA7BFE"/>
    <w:rsid w:val="00DA7F78"/>
    <w:rsid w:val="00DA7FAA"/>
    <w:rsid w:val="00DB00AF"/>
    <w:rsid w:val="00DB01CB"/>
    <w:rsid w:val="00DB0212"/>
    <w:rsid w:val="00DB036A"/>
    <w:rsid w:val="00DB03DE"/>
    <w:rsid w:val="00DB042D"/>
    <w:rsid w:val="00DB043A"/>
    <w:rsid w:val="00DB0593"/>
    <w:rsid w:val="00DB07B0"/>
    <w:rsid w:val="00DB0ABE"/>
    <w:rsid w:val="00DB0CB0"/>
    <w:rsid w:val="00DB0D54"/>
    <w:rsid w:val="00DB0E5B"/>
    <w:rsid w:val="00DB1035"/>
    <w:rsid w:val="00DB10FE"/>
    <w:rsid w:val="00DB11E6"/>
    <w:rsid w:val="00DB1346"/>
    <w:rsid w:val="00DB1410"/>
    <w:rsid w:val="00DB14AA"/>
    <w:rsid w:val="00DB1545"/>
    <w:rsid w:val="00DB1648"/>
    <w:rsid w:val="00DB178B"/>
    <w:rsid w:val="00DB1796"/>
    <w:rsid w:val="00DB18A8"/>
    <w:rsid w:val="00DB193A"/>
    <w:rsid w:val="00DB1A1A"/>
    <w:rsid w:val="00DB1BA2"/>
    <w:rsid w:val="00DB1C5B"/>
    <w:rsid w:val="00DB1C90"/>
    <w:rsid w:val="00DB1E08"/>
    <w:rsid w:val="00DB1F49"/>
    <w:rsid w:val="00DB1F70"/>
    <w:rsid w:val="00DB1FC7"/>
    <w:rsid w:val="00DB1FFF"/>
    <w:rsid w:val="00DB22FE"/>
    <w:rsid w:val="00DB26D3"/>
    <w:rsid w:val="00DB27FB"/>
    <w:rsid w:val="00DB28D6"/>
    <w:rsid w:val="00DB29A8"/>
    <w:rsid w:val="00DB2C43"/>
    <w:rsid w:val="00DB2C78"/>
    <w:rsid w:val="00DB2C9E"/>
    <w:rsid w:val="00DB2DF4"/>
    <w:rsid w:val="00DB2E43"/>
    <w:rsid w:val="00DB3083"/>
    <w:rsid w:val="00DB333F"/>
    <w:rsid w:val="00DB359F"/>
    <w:rsid w:val="00DB3644"/>
    <w:rsid w:val="00DB3671"/>
    <w:rsid w:val="00DB37E6"/>
    <w:rsid w:val="00DB38AE"/>
    <w:rsid w:val="00DB3916"/>
    <w:rsid w:val="00DB3A01"/>
    <w:rsid w:val="00DB3B50"/>
    <w:rsid w:val="00DB3E6E"/>
    <w:rsid w:val="00DB40D3"/>
    <w:rsid w:val="00DB4551"/>
    <w:rsid w:val="00DB45B5"/>
    <w:rsid w:val="00DB46AF"/>
    <w:rsid w:val="00DB4797"/>
    <w:rsid w:val="00DB484B"/>
    <w:rsid w:val="00DB4B18"/>
    <w:rsid w:val="00DB4B4A"/>
    <w:rsid w:val="00DB4CDF"/>
    <w:rsid w:val="00DB4CFA"/>
    <w:rsid w:val="00DB53DF"/>
    <w:rsid w:val="00DB5561"/>
    <w:rsid w:val="00DB55A6"/>
    <w:rsid w:val="00DB582E"/>
    <w:rsid w:val="00DB58A8"/>
    <w:rsid w:val="00DB5AD0"/>
    <w:rsid w:val="00DB5DC7"/>
    <w:rsid w:val="00DB5EE9"/>
    <w:rsid w:val="00DB5F76"/>
    <w:rsid w:val="00DB6115"/>
    <w:rsid w:val="00DB614E"/>
    <w:rsid w:val="00DB61F8"/>
    <w:rsid w:val="00DB63D7"/>
    <w:rsid w:val="00DB6542"/>
    <w:rsid w:val="00DB654E"/>
    <w:rsid w:val="00DB6712"/>
    <w:rsid w:val="00DB6B32"/>
    <w:rsid w:val="00DB7120"/>
    <w:rsid w:val="00DB7504"/>
    <w:rsid w:val="00DB7693"/>
    <w:rsid w:val="00DB76B3"/>
    <w:rsid w:val="00DB793E"/>
    <w:rsid w:val="00DB7A6F"/>
    <w:rsid w:val="00DB7AA6"/>
    <w:rsid w:val="00DB7C2C"/>
    <w:rsid w:val="00DB7D0F"/>
    <w:rsid w:val="00DB7E0F"/>
    <w:rsid w:val="00DB7E84"/>
    <w:rsid w:val="00DB7FC2"/>
    <w:rsid w:val="00DC0000"/>
    <w:rsid w:val="00DC00E6"/>
    <w:rsid w:val="00DC0120"/>
    <w:rsid w:val="00DC0315"/>
    <w:rsid w:val="00DC03C9"/>
    <w:rsid w:val="00DC046E"/>
    <w:rsid w:val="00DC04B2"/>
    <w:rsid w:val="00DC0509"/>
    <w:rsid w:val="00DC05BE"/>
    <w:rsid w:val="00DC0727"/>
    <w:rsid w:val="00DC0774"/>
    <w:rsid w:val="00DC0835"/>
    <w:rsid w:val="00DC09DF"/>
    <w:rsid w:val="00DC09FD"/>
    <w:rsid w:val="00DC0AC0"/>
    <w:rsid w:val="00DC0C82"/>
    <w:rsid w:val="00DC1011"/>
    <w:rsid w:val="00DC1173"/>
    <w:rsid w:val="00DC125E"/>
    <w:rsid w:val="00DC127A"/>
    <w:rsid w:val="00DC156A"/>
    <w:rsid w:val="00DC1627"/>
    <w:rsid w:val="00DC16A3"/>
    <w:rsid w:val="00DC174F"/>
    <w:rsid w:val="00DC1872"/>
    <w:rsid w:val="00DC1944"/>
    <w:rsid w:val="00DC19CC"/>
    <w:rsid w:val="00DC1B53"/>
    <w:rsid w:val="00DC1BA9"/>
    <w:rsid w:val="00DC1C98"/>
    <w:rsid w:val="00DC1F2D"/>
    <w:rsid w:val="00DC1F65"/>
    <w:rsid w:val="00DC1FA7"/>
    <w:rsid w:val="00DC2014"/>
    <w:rsid w:val="00DC20C2"/>
    <w:rsid w:val="00DC21CF"/>
    <w:rsid w:val="00DC2371"/>
    <w:rsid w:val="00DC2393"/>
    <w:rsid w:val="00DC24F5"/>
    <w:rsid w:val="00DC2504"/>
    <w:rsid w:val="00DC2551"/>
    <w:rsid w:val="00DC25F3"/>
    <w:rsid w:val="00DC264D"/>
    <w:rsid w:val="00DC27EA"/>
    <w:rsid w:val="00DC28C6"/>
    <w:rsid w:val="00DC2952"/>
    <w:rsid w:val="00DC299B"/>
    <w:rsid w:val="00DC2C52"/>
    <w:rsid w:val="00DC2CA2"/>
    <w:rsid w:val="00DC2D74"/>
    <w:rsid w:val="00DC2E06"/>
    <w:rsid w:val="00DC2E34"/>
    <w:rsid w:val="00DC3128"/>
    <w:rsid w:val="00DC313F"/>
    <w:rsid w:val="00DC3149"/>
    <w:rsid w:val="00DC31CB"/>
    <w:rsid w:val="00DC320D"/>
    <w:rsid w:val="00DC331D"/>
    <w:rsid w:val="00DC357B"/>
    <w:rsid w:val="00DC3625"/>
    <w:rsid w:val="00DC3933"/>
    <w:rsid w:val="00DC3992"/>
    <w:rsid w:val="00DC39A9"/>
    <w:rsid w:val="00DC39C5"/>
    <w:rsid w:val="00DC39C7"/>
    <w:rsid w:val="00DC3A26"/>
    <w:rsid w:val="00DC3A90"/>
    <w:rsid w:val="00DC3B16"/>
    <w:rsid w:val="00DC3C40"/>
    <w:rsid w:val="00DC3C82"/>
    <w:rsid w:val="00DC3CF7"/>
    <w:rsid w:val="00DC3DB0"/>
    <w:rsid w:val="00DC3DC8"/>
    <w:rsid w:val="00DC3F83"/>
    <w:rsid w:val="00DC41F2"/>
    <w:rsid w:val="00DC425E"/>
    <w:rsid w:val="00DC426D"/>
    <w:rsid w:val="00DC43D9"/>
    <w:rsid w:val="00DC4661"/>
    <w:rsid w:val="00DC479E"/>
    <w:rsid w:val="00DC47E1"/>
    <w:rsid w:val="00DC49A2"/>
    <w:rsid w:val="00DC4AB6"/>
    <w:rsid w:val="00DC4BF0"/>
    <w:rsid w:val="00DC4CDA"/>
    <w:rsid w:val="00DC4E22"/>
    <w:rsid w:val="00DC4E8D"/>
    <w:rsid w:val="00DC5251"/>
    <w:rsid w:val="00DC5299"/>
    <w:rsid w:val="00DC53B4"/>
    <w:rsid w:val="00DC54BC"/>
    <w:rsid w:val="00DC568D"/>
    <w:rsid w:val="00DC56A2"/>
    <w:rsid w:val="00DC574D"/>
    <w:rsid w:val="00DC57EC"/>
    <w:rsid w:val="00DC58A0"/>
    <w:rsid w:val="00DC5906"/>
    <w:rsid w:val="00DC5980"/>
    <w:rsid w:val="00DC5A02"/>
    <w:rsid w:val="00DC5B58"/>
    <w:rsid w:val="00DC5B95"/>
    <w:rsid w:val="00DC5C82"/>
    <w:rsid w:val="00DC5D77"/>
    <w:rsid w:val="00DC624E"/>
    <w:rsid w:val="00DC64F6"/>
    <w:rsid w:val="00DC6655"/>
    <w:rsid w:val="00DC6672"/>
    <w:rsid w:val="00DC6728"/>
    <w:rsid w:val="00DC68F6"/>
    <w:rsid w:val="00DC6918"/>
    <w:rsid w:val="00DC6A63"/>
    <w:rsid w:val="00DC6C02"/>
    <w:rsid w:val="00DC6DAA"/>
    <w:rsid w:val="00DC6FA7"/>
    <w:rsid w:val="00DC703F"/>
    <w:rsid w:val="00DC7042"/>
    <w:rsid w:val="00DC70F8"/>
    <w:rsid w:val="00DC7108"/>
    <w:rsid w:val="00DC7188"/>
    <w:rsid w:val="00DC7447"/>
    <w:rsid w:val="00DC7560"/>
    <w:rsid w:val="00DC7584"/>
    <w:rsid w:val="00DC76F5"/>
    <w:rsid w:val="00DC7B29"/>
    <w:rsid w:val="00DC7B52"/>
    <w:rsid w:val="00DC7BC8"/>
    <w:rsid w:val="00DC7D2F"/>
    <w:rsid w:val="00DD0068"/>
    <w:rsid w:val="00DD0077"/>
    <w:rsid w:val="00DD02AC"/>
    <w:rsid w:val="00DD02E2"/>
    <w:rsid w:val="00DD0394"/>
    <w:rsid w:val="00DD0468"/>
    <w:rsid w:val="00DD06D0"/>
    <w:rsid w:val="00DD0827"/>
    <w:rsid w:val="00DD08BE"/>
    <w:rsid w:val="00DD098E"/>
    <w:rsid w:val="00DD09AE"/>
    <w:rsid w:val="00DD09CA"/>
    <w:rsid w:val="00DD09D3"/>
    <w:rsid w:val="00DD0A13"/>
    <w:rsid w:val="00DD0A25"/>
    <w:rsid w:val="00DD0A49"/>
    <w:rsid w:val="00DD0ACD"/>
    <w:rsid w:val="00DD0CC5"/>
    <w:rsid w:val="00DD0D96"/>
    <w:rsid w:val="00DD0E42"/>
    <w:rsid w:val="00DD0E89"/>
    <w:rsid w:val="00DD125D"/>
    <w:rsid w:val="00DD12E6"/>
    <w:rsid w:val="00DD1584"/>
    <w:rsid w:val="00DD16B2"/>
    <w:rsid w:val="00DD16C2"/>
    <w:rsid w:val="00DD1718"/>
    <w:rsid w:val="00DD1803"/>
    <w:rsid w:val="00DD1859"/>
    <w:rsid w:val="00DD1B0E"/>
    <w:rsid w:val="00DD1B5B"/>
    <w:rsid w:val="00DD1BD9"/>
    <w:rsid w:val="00DD1C11"/>
    <w:rsid w:val="00DD1C2D"/>
    <w:rsid w:val="00DD1C8B"/>
    <w:rsid w:val="00DD1D15"/>
    <w:rsid w:val="00DD1E3E"/>
    <w:rsid w:val="00DD2070"/>
    <w:rsid w:val="00DD21F3"/>
    <w:rsid w:val="00DD21F5"/>
    <w:rsid w:val="00DD2207"/>
    <w:rsid w:val="00DD229D"/>
    <w:rsid w:val="00DD23CF"/>
    <w:rsid w:val="00DD25DD"/>
    <w:rsid w:val="00DD260C"/>
    <w:rsid w:val="00DD2681"/>
    <w:rsid w:val="00DD2726"/>
    <w:rsid w:val="00DD29D3"/>
    <w:rsid w:val="00DD29E4"/>
    <w:rsid w:val="00DD29F2"/>
    <w:rsid w:val="00DD2B46"/>
    <w:rsid w:val="00DD2DC3"/>
    <w:rsid w:val="00DD2E9A"/>
    <w:rsid w:val="00DD3036"/>
    <w:rsid w:val="00DD31EA"/>
    <w:rsid w:val="00DD327F"/>
    <w:rsid w:val="00DD34E4"/>
    <w:rsid w:val="00DD36C4"/>
    <w:rsid w:val="00DD36FB"/>
    <w:rsid w:val="00DD3726"/>
    <w:rsid w:val="00DD3851"/>
    <w:rsid w:val="00DD3961"/>
    <w:rsid w:val="00DD3D1D"/>
    <w:rsid w:val="00DD4041"/>
    <w:rsid w:val="00DD4280"/>
    <w:rsid w:val="00DD42EF"/>
    <w:rsid w:val="00DD432A"/>
    <w:rsid w:val="00DD43C0"/>
    <w:rsid w:val="00DD4439"/>
    <w:rsid w:val="00DD4477"/>
    <w:rsid w:val="00DD45D6"/>
    <w:rsid w:val="00DD45EA"/>
    <w:rsid w:val="00DD4796"/>
    <w:rsid w:val="00DD47D0"/>
    <w:rsid w:val="00DD491C"/>
    <w:rsid w:val="00DD49BD"/>
    <w:rsid w:val="00DD49DD"/>
    <w:rsid w:val="00DD4B94"/>
    <w:rsid w:val="00DD4C7C"/>
    <w:rsid w:val="00DD4DE7"/>
    <w:rsid w:val="00DD4E48"/>
    <w:rsid w:val="00DD4E65"/>
    <w:rsid w:val="00DD55A8"/>
    <w:rsid w:val="00DD5805"/>
    <w:rsid w:val="00DD59BA"/>
    <w:rsid w:val="00DD5A66"/>
    <w:rsid w:val="00DD5AE5"/>
    <w:rsid w:val="00DD5D1A"/>
    <w:rsid w:val="00DD5E33"/>
    <w:rsid w:val="00DD62A4"/>
    <w:rsid w:val="00DD6656"/>
    <w:rsid w:val="00DD66C9"/>
    <w:rsid w:val="00DD66CA"/>
    <w:rsid w:val="00DD66D7"/>
    <w:rsid w:val="00DD6ADF"/>
    <w:rsid w:val="00DD6E21"/>
    <w:rsid w:val="00DD6F1C"/>
    <w:rsid w:val="00DD6F34"/>
    <w:rsid w:val="00DD6FB7"/>
    <w:rsid w:val="00DD7045"/>
    <w:rsid w:val="00DD70BB"/>
    <w:rsid w:val="00DD74F4"/>
    <w:rsid w:val="00DD78CF"/>
    <w:rsid w:val="00DD7D81"/>
    <w:rsid w:val="00DD7DC7"/>
    <w:rsid w:val="00DD7E1A"/>
    <w:rsid w:val="00DE0084"/>
    <w:rsid w:val="00DE00D7"/>
    <w:rsid w:val="00DE0120"/>
    <w:rsid w:val="00DE042E"/>
    <w:rsid w:val="00DE0430"/>
    <w:rsid w:val="00DE04EE"/>
    <w:rsid w:val="00DE0553"/>
    <w:rsid w:val="00DE067A"/>
    <w:rsid w:val="00DE078E"/>
    <w:rsid w:val="00DE08B7"/>
    <w:rsid w:val="00DE0B12"/>
    <w:rsid w:val="00DE0C65"/>
    <w:rsid w:val="00DE0CC7"/>
    <w:rsid w:val="00DE0DF7"/>
    <w:rsid w:val="00DE0E27"/>
    <w:rsid w:val="00DE0EA5"/>
    <w:rsid w:val="00DE112A"/>
    <w:rsid w:val="00DE141C"/>
    <w:rsid w:val="00DE152A"/>
    <w:rsid w:val="00DE15AD"/>
    <w:rsid w:val="00DE17C0"/>
    <w:rsid w:val="00DE19D1"/>
    <w:rsid w:val="00DE1A01"/>
    <w:rsid w:val="00DE1C8C"/>
    <w:rsid w:val="00DE1DE6"/>
    <w:rsid w:val="00DE1E1D"/>
    <w:rsid w:val="00DE20A1"/>
    <w:rsid w:val="00DE2444"/>
    <w:rsid w:val="00DE259D"/>
    <w:rsid w:val="00DE2614"/>
    <w:rsid w:val="00DE2641"/>
    <w:rsid w:val="00DE279B"/>
    <w:rsid w:val="00DE2862"/>
    <w:rsid w:val="00DE288D"/>
    <w:rsid w:val="00DE2ADB"/>
    <w:rsid w:val="00DE2B6A"/>
    <w:rsid w:val="00DE2DA6"/>
    <w:rsid w:val="00DE2DD3"/>
    <w:rsid w:val="00DE2FDB"/>
    <w:rsid w:val="00DE31F5"/>
    <w:rsid w:val="00DE331C"/>
    <w:rsid w:val="00DE3438"/>
    <w:rsid w:val="00DE36C5"/>
    <w:rsid w:val="00DE36D0"/>
    <w:rsid w:val="00DE3845"/>
    <w:rsid w:val="00DE3B86"/>
    <w:rsid w:val="00DE3E53"/>
    <w:rsid w:val="00DE4140"/>
    <w:rsid w:val="00DE4142"/>
    <w:rsid w:val="00DE43D9"/>
    <w:rsid w:val="00DE46D6"/>
    <w:rsid w:val="00DE471F"/>
    <w:rsid w:val="00DE47EC"/>
    <w:rsid w:val="00DE4861"/>
    <w:rsid w:val="00DE490D"/>
    <w:rsid w:val="00DE4A1E"/>
    <w:rsid w:val="00DE4A4D"/>
    <w:rsid w:val="00DE4CF2"/>
    <w:rsid w:val="00DE4DBF"/>
    <w:rsid w:val="00DE4E3A"/>
    <w:rsid w:val="00DE4EAF"/>
    <w:rsid w:val="00DE4EF6"/>
    <w:rsid w:val="00DE4F28"/>
    <w:rsid w:val="00DE4FCC"/>
    <w:rsid w:val="00DE534D"/>
    <w:rsid w:val="00DE53A3"/>
    <w:rsid w:val="00DE53B3"/>
    <w:rsid w:val="00DE5511"/>
    <w:rsid w:val="00DE5577"/>
    <w:rsid w:val="00DE5608"/>
    <w:rsid w:val="00DE5968"/>
    <w:rsid w:val="00DE59E1"/>
    <w:rsid w:val="00DE5B2F"/>
    <w:rsid w:val="00DE5B42"/>
    <w:rsid w:val="00DE5BDD"/>
    <w:rsid w:val="00DE5DE0"/>
    <w:rsid w:val="00DE5F4F"/>
    <w:rsid w:val="00DE5FCD"/>
    <w:rsid w:val="00DE60B4"/>
    <w:rsid w:val="00DE62A4"/>
    <w:rsid w:val="00DE68CB"/>
    <w:rsid w:val="00DE6905"/>
    <w:rsid w:val="00DE6912"/>
    <w:rsid w:val="00DE692B"/>
    <w:rsid w:val="00DE6AE2"/>
    <w:rsid w:val="00DE6C4B"/>
    <w:rsid w:val="00DE6CAF"/>
    <w:rsid w:val="00DE728B"/>
    <w:rsid w:val="00DE731E"/>
    <w:rsid w:val="00DE7390"/>
    <w:rsid w:val="00DE7569"/>
    <w:rsid w:val="00DE75F0"/>
    <w:rsid w:val="00DE760C"/>
    <w:rsid w:val="00DE781C"/>
    <w:rsid w:val="00DE78EC"/>
    <w:rsid w:val="00DE78EF"/>
    <w:rsid w:val="00DE7982"/>
    <w:rsid w:val="00DE7993"/>
    <w:rsid w:val="00DE7AAF"/>
    <w:rsid w:val="00DE7CC9"/>
    <w:rsid w:val="00DE7CFA"/>
    <w:rsid w:val="00DF002C"/>
    <w:rsid w:val="00DF0111"/>
    <w:rsid w:val="00DF02A4"/>
    <w:rsid w:val="00DF0385"/>
    <w:rsid w:val="00DF0479"/>
    <w:rsid w:val="00DF0507"/>
    <w:rsid w:val="00DF0522"/>
    <w:rsid w:val="00DF05B2"/>
    <w:rsid w:val="00DF05CB"/>
    <w:rsid w:val="00DF05D2"/>
    <w:rsid w:val="00DF0C09"/>
    <w:rsid w:val="00DF0CD7"/>
    <w:rsid w:val="00DF0D37"/>
    <w:rsid w:val="00DF0D82"/>
    <w:rsid w:val="00DF1207"/>
    <w:rsid w:val="00DF1254"/>
    <w:rsid w:val="00DF1388"/>
    <w:rsid w:val="00DF163F"/>
    <w:rsid w:val="00DF166F"/>
    <w:rsid w:val="00DF16C2"/>
    <w:rsid w:val="00DF1BFB"/>
    <w:rsid w:val="00DF1DAC"/>
    <w:rsid w:val="00DF1E8F"/>
    <w:rsid w:val="00DF1F15"/>
    <w:rsid w:val="00DF2119"/>
    <w:rsid w:val="00DF219B"/>
    <w:rsid w:val="00DF25D9"/>
    <w:rsid w:val="00DF272A"/>
    <w:rsid w:val="00DF2761"/>
    <w:rsid w:val="00DF2965"/>
    <w:rsid w:val="00DF2C0D"/>
    <w:rsid w:val="00DF2D5C"/>
    <w:rsid w:val="00DF2F46"/>
    <w:rsid w:val="00DF30EC"/>
    <w:rsid w:val="00DF30F6"/>
    <w:rsid w:val="00DF3119"/>
    <w:rsid w:val="00DF314E"/>
    <w:rsid w:val="00DF342D"/>
    <w:rsid w:val="00DF36BE"/>
    <w:rsid w:val="00DF3846"/>
    <w:rsid w:val="00DF3AD7"/>
    <w:rsid w:val="00DF3CB1"/>
    <w:rsid w:val="00DF3EAF"/>
    <w:rsid w:val="00DF41B1"/>
    <w:rsid w:val="00DF432E"/>
    <w:rsid w:val="00DF4643"/>
    <w:rsid w:val="00DF4863"/>
    <w:rsid w:val="00DF4877"/>
    <w:rsid w:val="00DF49D2"/>
    <w:rsid w:val="00DF4E7A"/>
    <w:rsid w:val="00DF4F33"/>
    <w:rsid w:val="00DF5089"/>
    <w:rsid w:val="00DF51D7"/>
    <w:rsid w:val="00DF52B1"/>
    <w:rsid w:val="00DF56B0"/>
    <w:rsid w:val="00DF5737"/>
    <w:rsid w:val="00DF5878"/>
    <w:rsid w:val="00DF591D"/>
    <w:rsid w:val="00DF5A69"/>
    <w:rsid w:val="00DF5B9F"/>
    <w:rsid w:val="00DF5C00"/>
    <w:rsid w:val="00DF5C3F"/>
    <w:rsid w:val="00DF5C6C"/>
    <w:rsid w:val="00DF5C6D"/>
    <w:rsid w:val="00DF5CDF"/>
    <w:rsid w:val="00DF5D70"/>
    <w:rsid w:val="00DF5F3F"/>
    <w:rsid w:val="00DF61A9"/>
    <w:rsid w:val="00DF624A"/>
    <w:rsid w:val="00DF6270"/>
    <w:rsid w:val="00DF62A2"/>
    <w:rsid w:val="00DF62B0"/>
    <w:rsid w:val="00DF63FA"/>
    <w:rsid w:val="00DF66A2"/>
    <w:rsid w:val="00DF674F"/>
    <w:rsid w:val="00DF67F4"/>
    <w:rsid w:val="00DF69AE"/>
    <w:rsid w:val="00DF6B1D"/>
    <w:rsid w:val="00DF6BD0"/>
    <w:rsid w:val="00DF6BEB"/>
    <w:rsid w:val="00DF6E31"/>
    <w:rsid w:val="00DF6E8E"/>
    <w:rsid w:val="00DF6EED"/>
    <w:rsid w:val="00DF6FA9"/>
    <w:rsid w:val="00DF70C3"/>
    <w:rsid w:val="00DF70D1"/>
    <w:rsid w:val="00DF7102"/>
    <w:rsid w:val="00DF7197"/>
    <w:rsid w:val="00DF72FD"/>
    <w:rsid w:val="00DF738E"/>
    <w:rsid w:val="00DF73BF"/>
    <w:rsid w:val="00DF7575"/>
    <w:rsid w:val="00DF75F1"/>
    <w:rsid w:val="00DF7675"/>
    <w:rsid w:val="00DF77F0"/>
    <w:rsid w:val="00DF781B"/>
    <w:rsid w:val="00DF78F3"/>
    <w:rsid w:val="00DF79C2"/>
    <w:rsid w:val="00DF7E04"/>
    <w:rsid w:val="00DF7EB5"/>
    <w:rsid w:val="00E00015"/>
    <w:rsid w:val="00E0003C"/>
    <w:rsid w:val="00E000CF"/>
    <w:rsid w:val="00E001BD"/>
    <w:rsid w:val="00E0020B"/>
    <w:rsid w:val="00E003AE"/>
    <w:rsid w:val="00E003AF"/>
    <w:rsid w:val="00E003E7"/>
    <w:rsid w:val="00E00461"/>
    <w:rsid w:val="00E00467"/>
    <w:rsid w:val="00E0052A"/>
    <w:rsid w:val="00E005C8"/>
    <w:rsid w:val="00E006E0"/>
    <w:rsid w:val="00E00788"/>
    <w:rsid w:val="00E00913"/>
    <w:rsid w:val="00E00AC3"/>
    <w:rsid w:val="00E00B22"/>
    <w:rsid w:val="00E00CE9"/>
    <w:rsid w:val="00E010D3"/>
    <w:rsid w:val="00E010E1"/>
    <w:rsid w:val="00E01525"/>
    <w:rsid w:val="00E016E5"/>
    <w:rsid w:val="00E01897"/>
    <w:rsid w:val="00E018CA"/>
    <w:rsid w:val="00E01A3F"/>
    <w:rsid w:val="00E01AD2"/>
    <w:rsid w:val="00E01AE3"/>
    <w:rsid w:val="00E01AEC"/>
    <w:rsid w:val="00E01B1C"/>
    <w:rsid w:val="00E01C42"/>
    <w:rsid w:val="00E01DD1"/>
    <w:rsid w:val="00E01E03"/>
    <w:rsid w:val="00E01E0C"/>
    <w:rsid w:val="00E01EC0"/>
    <w:rsid w:val="00E022FF"/>
    <w:rsid w:val="00E023AC"/>
    <w:rsid w:val="00E02546"/>
    <w:rsid w:val="00E0262E"/>
    <w:rsid w:val="00E02647"/>
    <w:rsid w:val="00E02884"/>
    <w:rsid w:val="00E02BD5"/>
    <w:rsid w:val="00E02C88"/>
    <w:rsid w:val="00E02CF3"/>
    <w:rsid w:val="00E02E35"/>
    <w:rsid w:val="00E02FB0"/>
    <w:rsid w:val="00E02FB8"/>
    <w:rsid w:val="00E02FF6"/>
    <w:rsid w:val="00E03067"/>
    <w:rsid w:val="00E031C2"/>
    <w:rsid w:val="00E03293"/>
    <w:rsid w:val="00E03428"/>
    <w:rsid w:val="00E034C4"/>
    <w:rsid w:val="00E03567"/>
    <w:rsid w:val="00E0358B"/>
    <w:rsid w:val="00E03772"/>
    <w:rsid w:val="00E038EA"/>
    <w:rsid w:val="00E03911"/>
    <w:rsid w:val="00E03960"/>
    <w:rsid w:val="00E03A7F"/>
    <w:rsid w:val="00E03D4B"/>
    <w:rsid w:val="00E03E6E"/>
    <w:rsid w:val="00E041CA"/>
    <w:rsid w:val="00E04426"/>
    <w:rsid w:val="00E04446"/>
    <w:rsid w:val="00E0483F"/>
    <w:rsid w:val="00E0484E"/>
    <w:rsid w:val="00E04AC6"/>
    <w:rsid w:val="00E04AD9"/>
    <w:rsid w:val="00E04B7F"/>
    <w:rsid w:val="00E04C05"/>
    <w:rsid w:val="00E04E35"/>
    <w:rsid w:val="00E04EC4"/>
    <w:rsid w:val="00E04F46"/>
    <w:rsid w:val="00E04F59"/>
    <w:rsid w:val="00E04F92"/>
    <w:rsid w:val="00E05016"/>
    <w:rsid w:val="00E05104"/>
    <w:rsid w:val="00E0515E"/>
    <w:rsid w:val="00E051A2"/>
    <w:rsid w:val="00E0523F"/>
    <w:rsid w:val="00E05257"/>
    <w:rsid w:val="00E052F8"/>
    <w:rsid w:val="00E053D4"/>
    <w:rsid w:val="00E05608"/>
    <w:rsid w:val="00E057B7"/>
    <w:rsid w:val="00E057D5"/>
    <w:rsid w:val="00E0588E"/>
    <w:rsid w:val="00E05A08"/>
    <w:rsid w:val="00E05BB1"/>
    <w:rsid w:val="00E05C64"/>
    <w:rsid w:val="00E05E6B"/>
    <w:rsid w:val="00E05F96"/>
    <w:rsid w:val="00E06145"/>
    <w:rsid w:val="00E06399"/>
    <w:rsid w:val="00E0693A"/>
    <w:rsid w:val="00E0695C"/>
    <w:rsid w:val="00E06CB9"/>
    <w:rsid w:val="00E06D37"/>
    <w:rsid w:val="00E06E2D"/>
    <w:rsid w:val="00E06E4F"/>
    <w:rsid w:val="00E06E52"/>
    <w:rsid w:val="00E06E93"/>
    <w:rsid w:val="00E06F2C"/>
    <w:rsid w:val="00E06FDA"/>
    <w:rsid w:val="00E07011"/>
    <w:rsid w:val="00E07101"/>
    <w:rsid w:val="00E071EF"/>
    <w:rsid w:val="00E0749F"/>
    <w:rsid w:val="00E07529"/>
    <w:rsid w:val="00E076A3"/>
    <w:rsid w:val="00E077C6"/>
    <w:rsid w:val="00E07AF4"/>
    <w:rsid w:val="00E07B35"/>
    <w:rsid w:val="00E07B62"/>
    <w:rsid w:val="00E07B64"/>
    <w:rsid w:val="00E07CA2"/>
    <w:rsid w:val="00E07D74"/>
    <w:rsid w:val="00E07E05"/>
    <w:rsid w:val="00E07E82"/>
    <w:rsid w:val="00E07FA6"/>
    <w:rsid w:val="00E10029"/>
    <w:rsid w:val="00E101D7"/>
    <w:rsid w:val="00E10430"/>
    <w:rsid w:val="00E1047E"/>
    <w:rsid w:val="00E104E0"/>
    <w:rsid w:val="00E1053E"/>
    <w:rsid w:val="00E10565"/>
    <w:rsid w:val="00E106BF"/>
    <w:rsid w:val="00E10894"/>
    <w:rsid w:val="00E108B4"/>
    <w:rsid w:val="00E10B5C"/>
    <w:rsid w:val="00E10C80"/>
    <w:rsid w:val="00E10C86"/>
    <w:rsid w:val="00E10D19"/>
    <w:rsid w:val="00E10F43"/>
    <w:rsid w:val="00E10FEC"/>
    <w:rsid w:val="00E11026"/>
    <w:rsid w:val="00E1109F"/>
    <w:rsid w:val="00E110B7"/>
    <w:rsid w:val="00E110C9"/>
    <w:rsid w:val="00E110CA"/>
    <w:rsid w:val="00E11277"/>
    <w:rsid w:val="00E11466"/>
    <w:rsid w:val="00E1146E"/>
    <w:rsid w:val="00E11519"/>
    <w:rsid w:val="00E11540"/>
    <w:rsid w:val="00E117A0"/>
    <w:rsid w:val="00E11A0B"/>
    <w:rsid w:val="00E11C54"/>
    <w:rsid w:val="00E11CE4"/>
    <w:rsid w:val="00E11E10"/>
    <w:rsid w:val="00E12041"/>
    <w:rsid w:val="00E121BE"/>
    <w:rsid w:val="00E121C7"/>
    <w:rsid w:val="00E122FC"/>
    <w:rsid w:val="00E1252C"/>
    <w:rsid w:val="00E126C0"/>
    <w:rsid w:val="00E12796"/>
    <w:rsid w:val="00E127B0"/>
    <w:rsid w:val="00E1286E"/>
    <w:rsid w:val="00E129B5"/>
    <w:rsid w:val="00E12A0A"/>
    <w:rsid w:val="00E12A27"/>
    <w:rsid w:val="00E12BA5"/>
    <w:rsid w:val="00E12BDC"/>
    <w:rsid w:val="00E12D5E"/>
    <w:rsid w:val="00E12E7D"/>
    <w:rsid w:val="00E12F57"/>
    <w:rsid w:val="00E12FF6"/>
    <w:rsid w:val="00E1304A"/>
    <w:rsid w:val="00E130A1"/>
    <w:rsid w:val="00E13145"/>
    <w:rsid w:val="00E133E6"/>
    <w:rsid w:val="00E13433"/>
    <w:rsid w:val="00E134B5"/>
    <w:rsid w:val="00E135E2"/>
    <w:rsid w:val="00E1365C"/>
    <w:rsid w:val="00E137AD"/>
    <w:rsid w:val="00E139A9"/>
    <w:rsid w:val="00E13A58"/>
    <w:rsid w:val="00E13AC6"/>
    <w:rsid w:val="00E13C7C"/>
    <w:rsid w:val="00E13D8A"/>
    <w:rsid w:val="00E13E04"/>
    <w:rsid w:val="00E14086"/>
    <w:rsid w:val="00E14262"/>
    <w:rsid w:val="00E14357"/>
    <w:rsid w:val="00E14588"/>
    <w:rsid w:val="00E146A2"/>
    <w:rsid w:val="00E147B1"/>
    <w:rsid w:val="00E1498D"/>
    <w:rsid w:val="00E14A6C"/>
    <w:rsid w:val="00E14AF1"/>
    <w:rsid w:val="00E15194"/>
    <w:rsid w:val="00E15453"/>
    <w:rsid w:val="00E15623"/>
    <w:rsid w:val="00E156C6"/>
    <w:rsid w:val="00E15739"/>
    <w:rsid w:val="00E15742"/>
    <w:rsid w:val="00E1575A"/>
    <w:rsid w:val="00E15867"/>
    <w:rsid w:val="00E15997"/>
    <w:rsid w:val="00E159D1"/>
    <w:rsid w:val="00E15A45"/>
    <w:rsid w:val="00E15B28"/>
    <w:rsid w:val="00E15CBC"/>
    <w:rsid w:val="00E15D09"/>
    <w:rsid w:val="00E15D11"/>
    <w:rsid w:val="00E15D4B"/>
    <w:rsid w:val="00E15D9D"/>
    <w:rsid w:val="00E15E84"/>
    <w:rsid w:val="00E15FF4"/>
    <w:rsid w:val="00E160C6"/>
    <w:rsid w:val="00E16126"/>
    <w:rsid w:val="00E1618F"/>
    <w:rsid w:val="00E16282"/>
    <w:rsid w:val="00E1639C"/>
    <w:rsid w:val="00E16426"/>
    <w:rsid w:val="00E16440"/>
    <w:rsid w:val="00E16541"/>
    <w:rsid w:val="00E165E4"/>
    <w:rsid w:val="00E16801"/>
    <w:rsid w:val="00E168C7"/>
    <w:rsid w:val="00E17045"/>
    <w:rsid w:val="00E17092"/>
    <w:rsid w:val="00E170C9"/>
    <w:rsid w:val="00E172D4"/>
    <w:rsid w:val="00E173AB"/>
    <w:rsid w:val="00E173F1"/>
    <w:rsid w:val="00E1765B"/>
    <w:rsid w:val="00E176EE"/>
    <w:rsid w:val="00E17918"/>
    <w:rsid w:val="00E1796D"/>
    <w:rsid w:val="00E179AF"/>
    <w:rsid w:val="00E17A06"/>
    <w:rsid w:val="00E17AE2"/>
    <w:rsid w:val="00E17B06"/>
    <w:rsid w:val="00E17B08"/>
    <w:rsid w:val="00E17B2B"/>
    <w:rsid w:val="00E17B65"/>
    <w:rsid w:val="00E17CF4"/>
    <w:rsid w:val="00E17D3F"/>
    <w:rsid w:val="00E17DDA"/>
    <w:rsid w:val="00E17E01"/>
    <w:rsid w:val="00E17F05"/>
    <w:rsid w:val="00E20000"/>
    <w:rsid w:val="00E201FE"/>
    <w:rsid w:val="00E202E5"/>
    <w:rsid w:val="00E2039D"/>
    <w:rsid w:val="00E203E9"/>
    <w:rsid w:val="00E2040F"/>
    <w:rsid w:val="00E2041D"/>
    <w:rsid w:val="00E2069F"/>
    <w:rsid w:val="00E2093C"/>
    <w:rsid w:val="00E20B0E"/>
    <w:rsid w:val="00E20B69"/>
    <w:rsid w:val="00E20B97"/>
    <w:rsid w:val="00E20BA8"/>
    <w:rsid w:val="00E20F36"/>
    <w:rsid w:val="00E20F8D"/>
    <w:rsid w:val="00E21004"/>
    <w:rsid w:val="00E2126B"/>
    <w:rsid w:val="00E215CC"/>
    <w:rsid w:val="00E2171E"/>
    <w:rsid w:val="00E2191D"/>
    <w:rsid w:val="00E21967"/>
    <w:rsid w:val="00E21B69"/>
    <w:rsid w:val="00E21B6A"/>
    <w:rsid w:val="00E21CB3"/>
    <w:rsid w:val="00E21CF7"/>
    <w:rsid w:val="00E21CFB"/>
    <w:rsid w:val="00E21D32"/>
    <w:rsid w:val="00E21D33"/>
    <w:rsid w:val="00E21DAF"/>
    <w:rsid w:val="00E21E75"/>
    <w:rsid w:val="00E21F57"/>
    <w:rsid w:val="00E22093"/>
    <w:rsid w:val="00E220F8"/>
    <w:rsid w:val="00E221DA"/>
    <w:rsid w:val="00E221EB"/>
    <w:rsid w:val="00E223C8"/>
    <w:rsid w:val="00E223E6"/>
    <w:rsid w:val="00E224C6"/>
    <w:rsid w:val="00E225D4"/>
    <w:rsid w:val="00E226BE"/>
    <w:rsid w:val="00E226F3"/>
    <w:rsid w:val="00E22777"/>
    <w:rsid w:val="00E229AD"/>
    <w:rsid w:val="00E22B86"/>
    <w:rsid w:val="00E22B87"/>
    <w:rsid w:val="00E22B95"/>
    <w:rsid w:val="00E22C34"/>
    <w:rsid w:val="00E22C4E"/>
    <w:rsid w:val="00E22DEB"/>
    <w:rsid w:val="00E22EDA"/>
    <w:rsid w:val="00E22EFD"/>
    <w:rsid w:val="00E22F9C"/>
    <w:rsid w:val="00E2315F"/>
    <w:rsid w:val="00E23176"/>
    <w:rsid w:val="00E233C1"/>
    <w:rsid w:val="00E2344C"/>
    <w:rsid w:val="00E23472"/>
    <w:rsid w:val="00E23580"/>
    <w:rsid w:val="00E2359C"/>
    <w:rsid w:val="00E235D3"/>
    <w:rsid w:val="00E2393D"/>
    <w:rsid w:val="00E239FE"/>
    <w:rsid w:val="00E23A51"/>
    <w:rsid w:val="00E23C70"/>
    <w:rsid w:val="00E23CC9"/>
    <w:rsid w:val="00E23D70"/>
    <w:rsid w:val="00E23D8E"/>
    <w:rsid w:val="00E23DF1"/>
    <w:rsid w:val="00E23E7E"/>
    <w:rsid w:val="00E23EA6"/>
    <w:rsid w:val="00E2408A"/>
    <w:rsid w:val="00E2412F"/>
    <w:rsid w:val="00E241FC"/>
    <w:rsid w:val="00E24204"/>
    <w:rsid w:val="00E24222"/>
    <w:rsid w:val="00E24264"/>
    <w:rsid w:val="00E242C7"/>
    <w:rsid w:val="00E24357"/>
    <w:rsid w:val="00E24470"/>
    <w:rsid w:val="00E24574"/>
    <w:rsid w:val="00E245A8"/>
    <w:rsid w:val="00E245CB"/>
    <w:rsid w:val="00E24815"/>
    <w:rsid w:val="00E24867"/>
    <w:rsid w:val="00E2492B"/>
    <w:rsid w:val="00E2495F"/>
    <w:rsid w:val="00E24B7C"/>
    <w:rsid w:val="00E24DB2"/>
    <w:rsid w:val="00E24DBA"/>
    <w:rsid w:val="00E24F58"/>
    <w:rsid w:val="00E25057"/>
    <w:rsid w:val="00E250AC"/>
    <w:rsid w:val="00E250C6"/>
    <w:rsid w:val="00E25321"/>
    <w:rsid w:val="00E25343"/>
    <w:rsid w:val="00E2546B"/>
    <w:rsid w:val="00E25628"/>
    <w:rsid w:val="00E25C2A"/>
    <w:rsid w:val="00E25C35"/>
    <w:rsid w:val="00E25CBF"/>
    <w:rsid w:val="00E25D02"/>
    <w:rsid w:val="00E25F2F"/>
    <w:rsid w:val="00E26085"/>
    <w:rsid w:val="00E2630F"/>
    <w:rsid w:val="00E263EC"/>
    <w:rsid w:val="00E2644B"/>
    <w:rsid w:val="00E2645C"/>
    <w:rsid w:val="00E264B0"/>
    <w:rsid w:val="00E2665B"/>
    <w:rsid w:val="00E2683F"/>
    <w:rsid w:val="00E268DC"/>
    <w:rsid w:val="00E26B72"/>
    <w:rsid w:val="00E26D21"/>
    <w:rsid w:val="00E26E4C"/>
    <w:rsid w:val="00E26EF3"/>
    <w:rsid w:val="00E26F23"/>
    <w:rsid w:val="00E2702F"/>
    <w:rsid w:val="00E272FA"/>
    <w:rsid w:val="00E273EB"/>
    <w:rsid w:val="00E274B0"/>
    <w:rsid w:val="00E27608"/>
    <w:rsid w:val="00E276CA"/>
    <w:rsid w:val="00E278AD"/>
    <w:rsid w:val="00E27927"/>
    <w:rsid w:val="00E27938"/>
    <w:rsid w:val="00E27C8A"/>
    <w:rsid w:val="00E27CBD"/>
    <w:rsid w:val="00E27FC9"/>
    <w:rsid w:val="00E30081"/>
    <w:rsid w:val="00E300CA"/>
    <w:rsid w:val="00E301AB"/>
    <w:rsid w:val="00E3042F"/>
    <w:rsid w:val="00E304A3"/>
    <w:rsid w:val="00E304D9"/>
    <w:rsid w:val="00E304F8"/>
    <w:rsid w:val="00E30607"/>
    <w:rsid w:val="00E3066C"/>
    <w:rsid w:val="00E3069B"/>
    <w:rsid w:val="00E306DB"/>
    <w:rsid w:val="00E30767"/>
    <w:rsid w:val="00E307F1"/>
    <w:rsid w:val="00E3081D"/>
    <w:rsid w:val="00E3085F"/>
    <w:rsid w:val="00E30867"/>
    <w:rsid w:val="00E30AAB"/>
    <w:rsid w:val="00E30B64"/>
    <w:rsid w:val="00E30BD1"/>
    <w:rsid w:val="00E30C81"/>
    <w:rsid w:val="00E30C98"/>
    <w:rsid w:val="00E30D5F"/>
    <w:rsid w:val="00E30DB3"/>
    <w:rsid w:val="00E30DCB"/>
    <w:rsid w:val="00E30E51"/>
    <w:rsid w:val="00E30E5B"/>
    <w:rsid w:val="00E30E7C"/>
    <w:rsid w:val="00E31033"/>
    <w:rsid w:val="00E31117"/>
    <w:rsid w:val="00E31411"/>
    <w:rsid w:val="00E3181F"/>
    <w:rsid w:val="00E31853"/>
    <w:rsid w:val="00E319D6"/>
    <w:rsid w:val="00E31AB0"/>
    <w:rsid w:val="00E31BC2"/>
    <w:rsid w:val="00E31C97"/>
    <w:rsid w:val="00E31CF7"/>
    <w:rsid w:val="00E31D00"/>
    <w:rsid w:val="00E31D09"/>
    <w:rsid w:val="00E31D4F"/>
    <w:rsid w:val="00E3207B"/>
    <w:rsid w:val="00E32582"/>
    <w:rsid w:val="00E3271A"/>
    <w:rsid w:val="00E3281F"/>
    <w:rsid w:val="00E32909"/>
    <w:rsid w:val="00E329B2"/>
    <w:rsid w:val="00E32BC4"/>
    <w:rsid w:val="00E32C76"/>
    <w:rsid w:val="00E32CAC"/>
    <w:rsid w:val="00E32D1F"/>
    <w:rsid w:val="00E3305C"/>
    <w:rsid w:val="00E33144"/>
    <w:rsid w:val="00E33311"/>
    <w:rsid w:val="00E33470"/>
    <w:rsid w:val="00E3361F"/>
    <w:rsid w:val="00E336F5"/>
    <w:rsid w:val="00E336FA"/>
    <w:rsid w:val="00E33767"/>
    <w:rsid w:val="00E33B90"/>
    <w:rsid w:val="00E33CC2"/>
    <w:rsid w:val="00E33D7B"/>
    <w:rsid w:val="00E33D7C"/>
    <w:rsid w:val="00E33E1B"/>
    <w:rsid w:val="00E33F68"/>
    <w:rsid w:val="00E33F76"/>
    <w:rsid w:val="00E33FA1"/>
    <w:rsid w:val="00E34000"/>
    <w:rsid w:val="00E34072"/>
    <w:rsid w:val="00E3419B"/>
    <w:rsid w:val="00E34397"/>
    <w:rsid w:val="00E3449D"/>
    <w:rsid w:val="00E348DA"/>
    <w:rsid w:val="00E3499B"/>
    <w:rsid w:val="00E34BBA"/>
    <w:rsid w:val="00E34C25"/>
    <w:rsid w:val="00E34C72"/>
    <w:rsid w:val="00E34CA3"/>
    <w:rsid w:val="00E34DDB"/>
    <w:rsid w:val="00E350B3"/>
    <w:rsid w:val="00E354AD"/>
    <w:rsid w:val="00E356F1"/>
    <w:rsid w:val="00E35957"/>
    <w:rsid w:val="00E35A92"/>
    <w:rsid w:val="00E35C09"/>
    <w:rsid w:val="00E35C1C"/>
    <w:rsid w:val="00E35CDD"/>
    <w:rsid w:val="00E35FAA"/>
    <w:rsid w:val="00E361A9"/>
    <w:rsid w:val="00E3635E"/>
    <w:rsid w:val="00E3638E"/>
    <w:rsid w:val="00E364BD"/>
    <w:rsid w:val="00E367CE"/>
    <w:rsid w:val="00E36BBF"/>
    <w:rsid w:val="00E36D37"/>
    <w:rsid w:val="00E36DBA"/>
    <w:rsid w:val="00E36E48"/>
    <w:rsid w:val="00E36F7F"/>
    <w:rsid w:val="00E37010"/>
    <w:rsid w:val="00E372FF"/>
    <w:rsid w:val="00E3750F"/>
    <w:rsid w:val="00E376EC"/>
    <w:rsid w:val="00E376EF"/>
    <w:rsid w:val="00E37838"/>
    <w:rsid w:val="00E37908"/>
    <w:rsid w:val="00E37926"/>
    <w:rsid w:val="00E37981"/>
    <w:rsid w:val="00E37AFA"/>
    <w:rsid w:val="00E37C19"/>
    <w:rsid w:val="00E37C4B"/>
    <w:rsid w:val="00E37DDA"/>
    <w:rsid w:val="00E37E15"/>
    <w:rsid w:val="00E37F19"/>
    <w:rsid w:val="00E37F7E"/>
    <w:rsid w:val="00E37FB4"/>
    <w:rsid w:val="00E40043"/>
    <w:rsid w:val="00E40055"/>
    <w:rsid w:val="00E402D0"/>
    <w:rsid w:val="00E402E8"/>
    <w:rsid w:val="00E402F8"/>
    <w:rsid w:val="00E40324"/>
    <w:rsid w:val="00E403D1"/>
    <w:rsid w:val="00E40476"/>
    <w:rsid w:val="00E4069F"/>
    <w:rsid w:val="00E4075F"/>
    <w:rsid w:val="00E40854"/>
    <w:rsid w:val="00E40A02"/>
    <w:rsid w:val="00E40B49"/>
    <w:rsid w:val="00E40C93"/>
    <w:rsid w:val="00E40CC8"/>
    <w:rsid w:val="00E41062"/>
    <w:rsid w:val="00E41397"/>
    <w:rsid w:val="00E413FE"/>
    <w:rsid w:val="00E41614"/>
    <w:rsid w:val="00E416E9"/>
    <w:rsid w:val="00E418D3"/>
    <w:rsid w:val="00E41A8F"/>
    <w:rsid w:val="00E41AE4"/>
    <w:rsid w:val="00E41D02"/>
    <w:rsid w:val="00E41D6F"/>
    <w:rsid w:val="00E41D74"/>
    <w:rsid w:val="00E41DD5"/>
    <w:rsid w:val="00E41E5F"/>
    <w:rsid w:val="00E41F8C"/>
    <w:rsid w:val="00E41FB2"/>
    <w:rsid w:val="00E41FCF"/>
    <w:rsid w:val="00E41FE8"/>
    <w:rsid w:val="00E4208F"/>
    <w:rsid w:val="00E420B9"/>
    <w:rsid w:val="00E42173"/>
    <w:rsid w:val="00E42188"/>
    <w:rsid w:val="00E4224D"/>
    <w:rsid w:val="00E423FF"/>
    <w:rsid w:val="00E4245B"/>
    <w:rsid w:val="00E4259E"/>
    <w:rsid w:val="00E4261E"/>
    <w:rsid w:val="00E42761"/>
    <w:rsid w:val="00E42923"/>
    <w:rsid w:val="00E42AC2"/>
    <w:rsid w:val="00E42ACB"/>
    <w:rsid w:val="00E42B63"/>
    <w:rsid w:val="00E42BDC"/>
    <w:rsid w:val="00E42E8C"/>
    <w:rsid w:val="00E42FE5"/>
    <w:rsid w:val="00E4302C"/>
    <w:rsid w:val="00E43129"/>
    <w:rsid w:val="00E4323E"/>
    <w:rsid w:val="00E4338B"/>
    <w:rsid w:val="00E4370E"/>
    <w:rsid w:val="00E43DFE"/>
    <w:rsid w:val="00E43E8D"/>
    <w:rsid w:val="00E441F9"/>
    <w:rsid w:val="00E4430A"/>
    <w:rsid w:val="00E4434D"/>
    <w:rsid w:val="00E44424"/>
    <w:rsid w:val="00E44571"/>
    <w:rsid w:val="00E44720"/>
    <w:rsid w:val="00E44861"/>
    <w:rsid w:val="00E44885"/>
    <w:rsid w:val="00E44CDA"/>
    <w:rsid w:val="00E44D15"/>
    <w:rsid w:val="00E44D54"/>
    <w:rsid w:val="00E44D75"/>
    <w:rsid w:val="00E450A5"/>
    <w:rsid w:val="00E452A4"/>
    <w:rsid w:val="00E45302"/>
    <w:rsid w:val="00E45366"/>
    <w:rsid w:val="00E45606"/>
    <w:rsid w:val="00E456C4"/>
    <w:rsid w:val="00E45782"/>
    <w:rsid w:val="00E45BCF"/>
    <w:rsid w:val="00E45E3A"/>
    <w:rsid w:val="00E460B2"/>
    <w:rsid w:val="00E4619D"/>
    <w:rsid w:val="00E461B9"/>
    <w:rsid w:val="00E4633F"/>
    <w:rsid w:val="00E4645A"/>
    <w:rsid w:val="00E4646F"/>
    <w:rsid w:val="00E464A4"/>
    <w:rsid w:val="00E46618"/>
    <w:rsid w:val="00E46676"/>
    <w:rsid w:val="00E466C8"/>
    <w:rsid w:val="00E46773"/>
    <w:rsid w:val="00E467CA"/>
    <w:rsid w:val="00E4692B"/>
    <w:rsid w:val="00E46942"/>
    <w:rsid w:val="00E46A8E"/>
    <w:rsid w:val="00E46A97"/>
    <w:rsid w:val="00E46B21"/>
    <w:rsid w:val="00E46BA6"/>
    <w:rsid w:val="00E46C9B"/>
    <w:rsid w:val="00E46F3B"/>
    <w:rsid w:val="00E47304"/>
    <w:rsid w:val="00E4748E"/>
    <w:rsid w:val="00E47574"/>
    <w:rsid w:val="00E47635"/>
    <w:rsid w:val="00E47678"/>
    <w:rsid w:val="00E478E8"/>
    <w:rsid w:val="00E47957"/>
    <w:rsid w:val="00E47968"/>
    <w:rsid w:val="00E47CF1"/>
    <w:rsid w:val="00E47E7D"/>
    <w:rsid w:val="00E47FCB"/>
    <w:rsid w:val="00E47FE4"/>
    <w:rsid w:val="00E50422"/>
    <w:rsid w:val="00E505E1"/>
    <w:rsid w:val="00E50616"/>
    <w:rsid w:val="00E50696"/>
    <w:rsid w:val="00E50716"/>
    <w:rsid w:val="00E50912"/>
    <w:rsid w:val="00E50931"/>
    <w:rsid w:val="00E50A44"/>
    <w:rsid w:val="00E50CB5"/>
    <w:rsid w:val="00E50CB6"/>
    <w:rsid w:val="00E50CC5"/>
    <w:rsid w:val="00E5101E"/>
    <w:rsid w:val="00E51134"/>
    <w:rsid w:val="00E51182"/>
    <w:rsid w:val="00E511DF"/>
    <w:rsid w:val="00E51280"/>
    <w:rsid w:val="00E51319"/>
    <w:rsid w:val="00E51494"/>
    <w:rsid w:val="00E51529"/>
    <w:rsid w:val="00E51715"/>
    <w:rsid w:val="00E5182E"/>
    <w:rsid w:val="00E51C4E"/>
    <w:rsid w:val="00E51D2D"/>
    <w:rsid w:val="00E51E24"/>
    <w:rsid w:val="00E51F66"/>
    <w:rsid w:val="00E51FE8"/>
    <w:rsid w:val="00E522EC"/>
    <w:rsid w:val="00E523EB"/>
    <w:rsid w:val="00E5252D"/>
    <w:rsid w:val="00E5267D"/>
    <w:rsid w:val="00E52716"/>
    <w:rsid w:val="00E527CE"/>
    <w:rsid w:val="00E52830"/>
    <w:rsid w:val="00E52947"/>
    <w:rsid w:val="00E529E5"/>
    <w:rsid w:val="00E52EB4"/>
    <w:rsid w:val="00E52EFD"/>
    <w:rsid w:val="00E531D6"/>
    <w:rsid w:val="00E53203"/>
    <w:rsid w:val="00E53331"/>
    <w:rsid w:val="00E53368"/>
    <w:rsid w:val="00E533FA"/>
    <w:rsid w:val="00E53566"/>
    <w:rsid w:val="00E5356A"/>
    <w:rsid w:val="00E5377F"/>
    <w:rsid w:val="00E537E1"/>
    <w:rsid w:val="00E5394F"/>
    <w:rsid w:val="00E53AD7"/>
    <w:rsid w:val="00E53B51"/>
    <w:rsid w:val="00E53B6C"/>
    <w:rsid w:val="00E53D1F"/>
    <w:rsid w:val="00E53D8A"/>
    <w:rsid w:val="00E53E29"/>
    <w:rsid w:val="00E53E52"/>
    <w:rsid w:val="00E5401A"/>
    <w:rsid w:val="00E54036"/>
    <w:rsid w:val="00E54040"/>
    <w:rsid w:val="00E54095"/>
    <w:rsid w:val="00E541C4"/>
    <w:rsid w:val="00E5426E"/>
    <w:rsid w:val="00E54457"/>
    <w:rsid w:val="00E5459A"/>
    <w:rsid w:val="00E545C3"/>
    <w:rsid w:val="00E54899"/>
    <w:rsid w:val="00E548A3"/>
    <w:rsid w:val="00E548C9"/>
    <w:rsid w:val="00E548D0"/>
    <w:rsid w:val="00E54A45"/>
    <w:rsid w:val="00E54D7A"/>
    <w:rsid w:val="00E54D8B"/>
    <w:rsid w:val="00E54DE0"/>
    <w:rsid w:val="00E550D8"/>
    <w:rsid w:val="00E55323"/>
    <w:rsid w:val="00E55362"/>
    <w:rsid w:val="00E55444"/>
    <w:rsid w:val="00E55486"/>
    <w:rsid w:val="00E554C4"/>
    <w:rsid w:val="00E555E5"/>
    <w:rsid w:val="00E55825"/>
    <w:rsid w:val="00E5591A"/>
    <w:rsid w:val="00E55BDF"/>
    <w:rsid w:val="00E55D2E"/>
    <w:rsid w:val="00E55D96"/>
    <w:rsid w:val="00E55E41"/>
    <w:rsid w:val="00E55F52"/>
    <w:rsid w:val="00E55FD2"/>
    <w:rsid w:val="00E56296"/>
    <w:rsid w:val="00E562F5"/>
    <w:rsid w:val="00E56447"/>
    <w:rsid w:val="00E5649B"/>
    <w:rsid w:val="00E5652C"/>
    <w:rsid w:val="00E5653C"/>
    <w:rsid w:val="00E56776"/>
    <w:rsid w:val="00E56973"/>
    <w:rsid w:val="00E56B9B"/>
    <w:rsid w:val="00E56CA0"/>
    <w:rsid w:val="00E574A0"/>
    <w:rsid w:val="00E574AD"/>
    <w:rsid w:val="00E574C4"/>
    <w:rsid w:val="00E57600"/>
    <w:rsid w:val="00E576A3"/>
    <w:rsid w:val="00E57706"/>
    <w:rsid w:val="00E57874"/>
    <w:rsid w:val="00E579B4"/>
    <w:rsid w:val="00E57CDE"/>
    <w:rsid w:val="00E57D05"/>
    <w:rsid w:val="00E57DE1"/>
    <w:rsid w:val="00E600D4"/>
    <w:rsid w:val="00E60419"/>
    <w:rsid w:val="00E6072D"/>
    <w:rsid w:val="00E60774"/>
    <w:rsid w:val="00E60A11"/>
    <w:rsid w:val="00E60ABF"/>
    <w:rsid w:val="00E60B93"/>
    <w:rsid w:val="00E60C72"/>
    <w:rsid w:val="00E60C76"/>
    <w:rsid w:val="00E60D9C"/>
    <w:rsid w:val="00E60F73"/>
    <w:rsid w:val="00E61048"/>
    <w:rsid w:val="00E610C8"/>
    <w:rsid w:val="00E61198"/>
    <w:rsid w:val="00E611A0"/>
    <w:rsid w:val="00E61352"/>
    <w:rsid w:val="00E61385"/>
    <w:rsid w:val="00E61576"/>
    <w:rsid w:val="00E61621"/>
    <w:rsid w:val="00E616E8"/>
    <w:rsid w:val="00E618F3"/>
    <w:rsid w:val="00E619CF"/>
    <w:rsid w:val="00E619F3"/>
    <w:rsid w:val="00E61E7F"/>
    <w:rsid w:val="00E620AB"/>
    <w:rsid w:val="00E621DF"/>
    <w:rsid w:val="00E62456"/>
    <w:rsid w:val="00E625B9"/>
    <w:rsid w:val="00E6265A"/>
    <w:rsid w:val="00E627AD"/>
    <w:rsid w:val="00E62AEC"/>
    <w:rsid w:val="00E62C87"/>
    <w:rsid w:val="00E62D9B"/>
    <w:rsid w:val="00E62E69"/>
    <w:rsid w:val="00E62FE6"/>
    <w:rsid w:val="00E62FEB"/>
    <w:rsid w:val="00E63114"/>
    <w:rsid w:val="00E6312B"/>
    <w:rsid w:val="00E6321B"/>
    <w:rsid w:val="00E632B2"/>
    <w:rsid w:val="00E634F9"/>
    <w:rsid w:val="00E63535"/>
    <w:rsid w:val="00E63879"/>
    <w:rsid w:val="00E6389B"/>
    <w:rsid w:val="00E63CC1"/>
    <w:rsid w:val="00E63D8A"/>
    <w:rsid w:val="00E63F20"/>
    <w:rsid w:val="00E63FA5"/>
    <w:rsid w:val="00E6411C"/>
    <w:rsid w:val="00E6413E"/>
    <w:rsid w:val="00E641A2"/>
    <w:rsid w:val="00E6421D"/>
    <w:rsid w:val="00E64275"/>
    <w:rsid w:val="00E64309"/>
    <w:rsid w:val="00E643F3"/>
    <w:rsid w:val="00E643FC"/>
    <w:rsid w:val="00E64432"/>
    <w:rsid w:val="00E644D5"/>
    <w:rsid w:val="00E64510"/>
    <w:rsid w:val="00E6451C"/>
    <w:rsid w:val="00E64560"/>
    <w:rsid w:val="00E645EA"/>
    <w:rsid w:val="00E64603"/>
    <w:rsid w:val="00E649EC"/>
    <w:rsid w:val="00E64AA5"/>
    <w:rsid w:val="00E64BA2"/>
    <w:rsid w:val="00E64BEA"/>
    <w:rsid w:val="00E64C76"/>
    <w:rsid w:val="00E64CF8"/>
    <w:rsid w:val="00E65015"/>
    <w:rsid w:val="00E65232"/>
    <w:rsid w:val="00E65350"/>
    <w:rsid w:val="00E65360"/>
    <w:rsid w:val="00E654C0"/>
    <w:rsid w:val="00E65630"/>
    <w:rsid w:val="00E6564D"/>
    <w:rsid w:val="00E656CD"/>
    <w:rsid w:val="00E65796"/>
    <w:rsid w:val="00E65854"/>
    <w:rsid w:val="00E65933"/>
    <w:rsid w:val="00E65A93"/>
    <w:rsid w:val="00E65AF9"/>
    <w:rsid w:val="00E65BAB"/>
    <w:rsid w:val="00E65D17"/>
    <w:rsid w:val="00E65F01"/>
    <w:rsid w:val="00E65FA1"/>
    <w:rsid w:val="00E660AA"/>
    <w:rsid w:val="00E661DA"/>
    <w:rsid w:val="00E66231"/>
    <w:rsid w:val="00E66232"/>
    <w:rsid w:val="00E6629F"/>
    <w:rsid w:val="00E663AE"/>
    <w:rsid w:val="00E663EC"/>
    <w:rsid w:val="00E66413"/>
    <w:rsid w:val="00E6650A"/>
    <w:rsid w:val="00E6664C"/>
    <w:rsid w:val="00E66659"/>
    <w:rsid w:val="00E66810"/>
    <w:rsid w:val="00E66870"/>
    <w:rsid w:val="00E669AC"/>
    <w:rsid w:val="00E669F8"/>
    <w:rsid w:val="00E66A27"/>
    <w:rsid w:val="00E66B9D"/>
    <w:rsid w:val="00E66BAF"/>
    <w:rsid w:val="00E66CCF"/>
    <w:rsid w:val="00E66CDF"/>
    <w:rsid w:val="00E66D8A"/>
    <w:rsid w:val="00E66F80"/>
    <w:rsid w:val="00E67078"/>
    <w:rsid w:val="00E67124"/>
    <w:rsid w:val="00E672BB"/>
    <w:rsid w:val="00E67381"/>
    <w:rsid w:val="00E67496"/>
    <w:rsid w:val="00E6759F"/>
    <w:rsid w:val="00E675B3"/>
    <w:rsid w:val="00E67786"/>
    <w:rsid w:val="00E67976"/>
    <w:rsid w:val="00E67A2B"/>
    <w:rsid w:val="00E67DBA"/>
    <w:rsid w:val="00E67E15"/>
    <w:rsid w:val="00E67E49"/>
    <w:rsid w:val="00E67F31"/>
    <w:rsid w:val="00E67FD6"/>
    <w:rsid w:val="00E67FFC"/>
    <w:rsid w:val="00E70089"/>
    <w:rsid w:val="00E700CC"/>
    <w:rsid w:val="00E70147"/>
    <w:rsid w:val="00E70167"/>
    <w:rsid w:val="00E701F7"/>
    <w:rsid w:val="00E702FD"/>
    <w:rsid w:val="00E70383"/>
    <w:rsid w:val="00E7047E"/>
    <w:rsid w:val="00E704A2"/>
    <w:rsid w:val="00E7061D"/>
    <w:rsid w:val="00E707FB"/>
    <w:rsid w:val="00E7091A"/>
    <w:rsid w:val="00E7097A"/>
    <w:rsid w:val="00E709A7"/>
    <w:rsid w:val="00E709C8"/>
    <w:rsid w:val="00E70A1F"/>
    <w:rsid w:val="00E70B50"/>
    <w:rsid w:val="00E70BC0"/>
    <w:rsid w:val="00E70D55"/>
    <w:rsid w:val="00E70DEC"/>
    <w:rsid w:val="00E70E3B"/>
    <w:rsid w:val="00E70F56"/>
    <w:rsid w:val="00E71165"/>
    <w:rsid w:val="00E711B5"/>
    <w:rsid w:val="00E7128C"/>
    <w:rsid w:val="00E713FE"/>
    <w:rsid w:val="00E71477"/>
    <w:rsid w:val="00E714E0"/>
    <w:rsid w:val="00E7159E"/>
    <w:rsid w:val="00E7160E"/>
    <w:rsid w:val="00E716D7"/>
    <w:rsid w:val="00E71860"/>
    <w:rsid w:val="00E718DE"/>
    <w:rsid w:val="00E71A47"/>
    <w:rsid w:val="00E71A55"/>
    <w:rsid w:val="00E71A82"/>
    <w:rsid w:val="00E71ED3"/>
    <w:rsid w:val="00E71F7E"/>
    <w:rsid w:val="00E71FF6"/>
    <w:rsid w:val="00E72005"/>
    <w:rsid w:val="00E721A2"/>
    <w:rsid w:val="00E7239E"/>
    <w:rsid w:val="00E72501"/>
    <w:rsid w:val="00E7257B"/>
    <w:rsid w:val="00E7258D"/>
    <w:rsid w:val="00E726EC"/>
    <w:rsid w:val="00E7270C"/>
    <w:rsid w:val="00E72743"/>
    <w:rsid w:val="00E72B1A"/>
    <w:rsid w:val="00E72C59"/>
    <w:rsid w:val="00E72F02"/>
    <w:rsid w:val="00E72F83"/>
    <w:rsid w:val="00E73028"/>
    <w:rsid w:val="00E730C9"/>
    <w:rsid w:val="00E730EC"/>
    <w:rsid w:val="00E7335B"/>
    <w:rsid w:val="00E733D0"/>
    <w:rsid w:val="00E7349F"/>
    <w:rsid w:val="00E734D9"/>
    <w:rsid w:val="00E735D4"/>
    <w:rsid w:val="00E735F0"/>
    <w:rsid w:val="00E736FC"/>
    <w:rsid w:val="00E73747"/>
    <w:rsid w:val="00E737E1"/>
    <w:rsid w:val="00E73835"/>
    <w:rsid w:val="00E73957"/>
    <w:rsid w:val="00E73A40"/>
    <w:rsid w:val="00E73A89"/>
    <w:rsid w:val="00E73ABB"/>
    <w:rsid w:val="00E73AD8"/>
    <w:rsid w:val="00E73D3D"/>
    <w:rsid w:val="00E73DED"/>
    <w:rsid w:val="00E73ED7"/>
    <w:rsid w:val="00E73F5F"/>
    <w:rsid w:val="00E740F2"/>
    <w:rsid w:val="00E7423F"/>
    <w:rsid w:val="00E7438F"/>
    <w:rsid w:val="00E74529"/>
    <w:rsid w:val="00E745EC"/>
    <w:rsid w:val="00E74946"/>
    <w:rsid w:val="00E74BF6"/>
    <w:rsid w:val="00E74C94"/>
    <w:rsid w:val="00E74C98"/>
    <w:rsid w:val="00E74DC4"/>
    <w:rsid w:val="00E74E39"/>
    <w:rsid w:val="00E74E7B"/>
    <w:rsid w:val="00E74F9A"/>
    <w:rsid w:val="00E74FE4"/>
    <w:rsid w:val="00E7503A"/>
    <w:rsid w:val="00E75463"/>
    <w:rsid w:val="00E75542"/>
    <w:rsid w:val="00E7562F"/>
    <w:rsid w:val="00E756DE"/>
    <w:rsid w:val="00E758E0"/>
    <w:rsid w:val="00E75D65"/>
    <w:rsid w:val="00E76180"/>
    <w:rsid w:val="00E76283"/>
    <w:rsid w:val="00E76385"/>
    <w:rsid w:val="00E765DB"/>
    <w:rsid w:val="00E76625"/>
    <w:rsid w:val="00E7669C"/>
    <w:rsid w:val="00E766D8"/>
    <w:rsid w:val="00E7670A"/>
    <w:rsid w:val="00E76755"/>
    <w:rsid w:val="00E767EC"/>
    <w:rsid w:val="00E76956"/>
    <w:rsid w:val="00E769AB"/>
    <w:rsid w:val="00E76B15"/>
    <w:rsid w:val="00E76B47"/>
    <w:rsid w:val="00E76D02"/>
    <w:rsid w:val="00E76E45"/>
    <w:rsid w:val="00E770B3"/>
    <w:rsid w:val="00E770F5"/>
    <w:rsid w:val="00E7721E"/>
    <w:rsid w:val="00E77281"/>
    <w:rsid w:val="00E7747A"/>
    <w:rsid w:val="00E77567"/>
    <w:rsid w:val="00E77780"/>
    <w:rsid w:val="00E777DB"/>
    <w:rsid w:val="00E779A5"/>
    <w:rsid w:val="00E779A8"/>
    <w:rsid w:val="00E779E9"/>
    <w:rsid w:val="00E77A02"/>
    <w:rsid w:val="00E77D05"/>
    <w:rsid w:val="00E77DF4"/>
    <w:rsid w:val="00E77FD2"/>
    <w:rsid w:val="00E800A1"/>
    <w:rsid w:val="00E800F1"/>
    <w:rsid w:val="00E80144"/>
    <w:rsid w:val="00E80397"/>
    <w:rsid w:val="00E80471"/>
    <w:rsid w:val="00E804AE"/>
    <w:rsid w:val="00E80569"/>
    <w:rsid w:val="00E805EA"/>
    <w:rsid w:val="00E807ED"/>
    <w:rsid w:val="00E80A4C"/>
    <w:rsid w:val="00E80B99"/>
    <w:rsid w:val="00E80BA8"/>
    <w:rsid w:val="00E80C64"/>
    <w:rsid w:val="00E80C9F"/>
    <w:rsid w:val="00E80CC4"/>
    <w:rsid w:val="00E80D02"/>
    <w:rsid w:val="00E8109C"/>
    <w:rsid w:val="00E811E8"/>
    <w:rsid w:val="00E812F8"/>
    <w:rsid w:val="00E81331"/>
    <w:rsid w:val="00E81405"/>
    <w:rsid w:val="00E81575"/>
    <w:rsid w:val="00E81622"/>
    <w:rsid w:val="00E818AF"/>
    <w:rsid w:val="00E8194B"/>
    <w:rsid w:val="00E819A0"/>
    <w:rsid w:val="00E81DF8"/>
    <w:rsid w:val="00E81ED7"/>
    <w:rsid w:val="00E8202A"/>
    <w:rsid w:val="00E820E1"/>
    <w:rsid w:val="00E82200"/>
    <w:rsid w:val="00E82562"/>
    <w:rsid w:val="00E82781"/>
    <w:rsid w:val="00E82AB3"/>
    <w:rsid w:val="00E82C1E"/>
    <w:rsid w:val="00E82DA8"/>
    <w:rsid w:val="00E82F63"/>
    <w:rsid w:val="00E8346F"/>
    <w:rsid w:val="00E83497"/>
    <w:rsid w:val="00E83791"/>
    <w:rsid w:val="00E83888"/>
    <w:rsid w:val="00E838A9"/>
    <w:rsid w:val="00E83983"/>
    <w:rsid w:val="00E839E0"/>
    <w:rsid w:val="00E83A19"/>
    <w:rsid w:val="00E83ADF"/>
    <w:rsid w:val="00E83B1C"/>
    <w:rsid w:val="00E83DDC"/>
    <w:rsid w:val="00E83DE2"/>
    <w:rsid w:val="00E83E03"/>
    <w:rsid w:val="00E83EE9"/>
    <w:rsid w:val="00E83F45"/>
    <w:rsid w:val="00E840D2"/>
    <w:rsid w:val="00E84199"/>
    <w:rsid w:val="00E841E8"/>
    <w:rsid w:val="00E84271"/>
    <w:rsid w:val="00E8459B"/>
    <w:rsid w:val="00E847B6"/>
    <w:rsid w:val="00E84A1B"/>
    <w:rsid w:val="00E84A54"/>
    <w:rsid w:val="00E84B1E"/>
    <w:rsid w:val="00E84C00"/>
    <w:rsid w:val="00E84D40"/>
    <w:rsid w:val="00E84E45"/>
    <w:rsid w:val="00E850EA"/>
    <w:rsid w:val="00E85202"/>
    <w:rsid w:val="00E8521E"/>
    <w:rsid w:val="00E852A7"/>
    <w:rsid w:val="00E8531E"/>
    <w:rsid w:val="00E8564B"/>
    <w:rsid w:val="00E85689"/>
    <w:rsid w:val="00E856E8"/>
    <w:rsid w:val="00E858B4"/>
    <w:rsid w:val="00E85B7C"/>
    <w:rsid w:val="00E85BFA"/>
    <w:rsid w:val="00E85BFB"/>
    <w:rsid w:val="00E85EC3"/>
    <w:rsid w:val="00E86103"/>
    <w:rsid w:val="00E86490"/>
    <w:rsid w:val="00E864E9"/>
    <w:rsid w:val="00E86573"/>
    <w:rsid w:val="00E865E8"/>
    <w:rsid w:val="00E86D6D"/>
    <w:rsid w:val="00E86D7B"/>
    <w:rsid w:val="00E86E27"/>
    <w:rsid w:val="00E86E5A"/>
    <w:rsid w:val="00E86FD0"/>
    <w:rsid w:val="00E87186"/>
    <w:rsid w:val="00E87692"/>
    <w:rsid w:val="00E876EB"/>
    <w:rsid w:val="00E87875"/>
    <w:rsid w:val="00E87A53"/>
    <w:rsid w:val="00E87C19"/>
    <w:rsid w:val="00E87DF2"/>
    <w:rsid w:val="00E87E70"/>
    <w:rsid w:val="00E87F7E"/>
    <w:rsid w:val="00E90007"/>
    <w:rsid w:val="00E9006C"/>
    <w:rsid w:val="00E90160"/>
    <w:rsid w:val="00E90390"/>
    <w:rsid w:val="00E9046C"/>
    <w:rsid w:val="00E905AB"/>
    <w:rsid w:val="00E9092A"/>
    <w:rsid w:val="00E90D02"/>
    <w:rsid w:val="00E90E43"/>
    <w:rsid w:val="00E90FD8"/>
    <w:rsid w:val="00E91070"/>
    <w:rsid w:val="00E9122E"/>
    <w:rsid w:val="00E91708"/>
    <w:rsid w:val="00E91785"/>
    <w:rsid w:val="00E91822"/>
    <w:rsid w:val="00E91880"/>
    <w:rsid w:val="00E919D7"/>
    <w:rsid w:val="00E91A3B"/>
    <w:rsid w:val="00E9200F"/>
    <w:rsid w:val="00E92050"/>
    <w:rsid w:val="00E92125"/>
    <w:rsid w:val="00E92151"/>
    <w:rsid w:val="00E922B7"/>
    <w:rsid w:val="00E92426"/>
    <w:rsid w:val="00E92568"/>
    <w:rsid w:val="00E925B4"/>
    <w:rsid w:val="00E9260C"/>
    <w:rsid w:val="00E926DD"/>
    <w:rsid w:val="00E926F5"/>
    <w:rsid w:val="00E92737"/>
    <w:rsid w:val="00E92740"/>
    <w:rsid w:val="00E92997"/>
    <w:rsid w:val="00E92A80"/>
    <w:rsid w:val="00E92DE6"/>
    <w:rsid w:val="00E92EB2"/>
    <w:rsid w:val="00E92EE0"/>
    <w:rsid w:val="00E930A0"/>
    <w:rsid w:val="00E9330E"/>
    <w:rsid w:val="00E93543"/>
    <w:rsid w:val="00E936CB"/>
    <w:rsid w:val="00E938DB"/>
    <w:rsid w:val="00E93922"/>
    <w:rsid w:val="00E9397C"/>
    <w:rsid w:val="00E93B16"/>
    <w:rsid w:val="00E93CA1"/>
    <w:rsid w:val="00E93EBA"/>
    <w:rsid w:val="00E94023"/>
    <w:rsid w:val="00E940AF"/>
    <w:rsid w:val="00E94332"/>
    <w:rsid w:val="00E945C6"/>
    <w:rsid w:val="00E9468F"/>
    <w:rsid w:val="00E946B2"/>
    <w:rsid w:val="00E94826"/>
    <w:rsid w:val="00E94AD5"/>
    <w:rsid w:val="00E94C0C"/>
    <w:rsid w:val="00E94C29"/>
    <w:rsid w:val="00E94EC4"/>
    <w:rsid w:val="00E95071"/>
    <w:rsid w:val="00E95074"/>
    <w:rsid w:val="00E95156"/>
    <w:rsid w:val="00E9540E"/>
    <w:rsid w:val="00E957C1"/>
    <w:rsid w:val="00E957F7"/>
    <w:rsid w:val="00E95868"/>
    <w:rsid w:val="00E958B0"/>
    <w:rsid w:val="00E95A86"/>
    <w:rsid w:val="00E95A9B"/>
    <w:rsid w:val="00E95AE3"/>
    <w:rsid w:val="00E95B8D"/>
    <w:rsid w:val="00E95CE5"/>
    <w:rsid w:val="00E95E14"/>
    <w:rsid w:val="00E95EBA"/>
    <w:rsid w:val="00E95F0A"/>
    <w:rsid w:val="00E9613B"/>
    <w:rsid w:val="00E9628B"/>
    <w:rsid w:val="00E962F2"/>
    <w:rsid w:val="00E96392"/>
    <w:rsid w:val="00E9642E"/>
    <w:rsid w:val="00E9649B"/>
    <w:rsid w:val="00E96624"/>
    <w:rsid w:val="00E967E5"/>
    <w:rsid w:val="00E9683D"/>
    <w:rsid w:val="00E9688F"/>
    <w:rsid w:val="00E96923"/>
    <w:rsid w:val="00E96C6E"/>
    <w:rsid w:val="00E96E5D"/>
    <w:rsid w:val="00E9707A"/>
    <w:rsid w:val="00E970BF"/>
    <w:rsid w:val="00E97121"/>
    <w:rsid w:val="00E97326"/>
    <w:rsid w:val="00E97358"/>
    <w:rsid w:val="00E973A0"/>
    <w:rsid w:val="00E973A1"/>
    <w:rsid w:val="00E97448"/>
    <w:rsid w:val="00E9760E"/>
    <w:rsid w:val="00E9762B"/>
    <w:rsid w:val="00E97895"/>
    <w:rsid w:val="00E978EC"/>
    <w:rsid w:val="00E97911"/>
    <w:rsid w:val="00E979DC"/>
    <w:rsid w:val="00E97B26"/>
    <w:rsid w:val="00E97C22"/>
    <w:rsid w:val="00E97D09"/>
    <w:rsid w:val="00E97D92"/>
    <w:rsid w:val="00E97FF1"/>
    <w:rsid w:val="00EA00D4"/>
    <w:rsid w:val="00EA02C3"/>
    <w:rsid w:val="00EA0428"/>
    <w:rsid w:val="00EA05A6"/>
    <w:rsid w:val="00EA05E1"/>
    <w:rsid w:val="00EA06D5"/>
    <w:rsid w:val="00EA08DA"/>
    <w:rsid w:val="00EA0C77"/>
    <w:rsid w:val="00EA0CAD"/>
    <w:rsid w:val="00EA0CD6"/>
    <w:rsid w:val="00EA0D63"/>
    <w:rsid w:val="00EA0DB1"/>
    <w:rsid w:val="00EA0DD7"/>
    <w:rsid w:val="00EA10DD"/>
    <w:rsid w:val="00EA11CA"/>
    <w:rsid w:val="00EA1235"/>
    <w:rsid w:val="00EA1560"/>
    <w:rsid w:val="00EA159A"/>
    <w:rsid w:val="00EA1799"/>
    <w:rsid w:val="00EA1802"/>
    <w:rsid w:val="00EA1859"/>
    <w:rsid w:val="00EA1873"/>
    <w:rsid w:val="00EA19BD"/>
    <w:rsid w:val="00EA19F6"/>
    <w:rsid w:val="00EA1A26"/>
    <w:rsid w:val="00EA1A7F"/>
    <w:rsid w:val="00EA1AB0"/>
    <w:rsid w:val="00EA1AD9"/>
    <w:rsid w:val="00EA1B54"/>
    <w:rsid w:val="00EA1ECC"/>
    <w:rsid w:val="00EA1F10"/>
    <w:rsid w:val="00EA1F94"/>
    <w:rsid w:val="00EA2078"/>
    <w:rsid w:val="00EA2184"/>
    <w:rsid w:val="00EA21A1"/>
    <w:rsid w:val="00EA2316"/>
    <w:rsid w:val="00EA2418"/>
    <w:rsid w:val="00EA249F"/>
    <w:rsid w:val="00EA25F1"/>
    <w:rsid w:val="00EA2793"/>
    <w:rsid w:val="00EA292C"/>
    <w:rsid w:val="00EA2AC3"/>
    <w:rsid w:val="00EA2B3A"/>
    <w:rsid w:val="00EA2C59"/>
    <w:rsid w:val="00EA2CBF"/>
    <w:rsid w:val="00EA2D01"/>
    <w:rsid w:val="00EA2D96"/>
    <w:rsid w:val="00EA2F99"/>
    <w:rsid w:val="00EA303C"/>
    <w:rsid w:val="00EA31F0"/>
    <w:rsid w:val="00EA32DC"/>
    <w:rsid w:val="00EA362C"/>
    <w:rsid w:val="00EA3728"/>
    <w:rsid w:val="00EA3759"/>
    <w:rsid w:val="00EA3907"/>
    <w:rsid w:val="00EA39C1"/>
    <w:rsid w:val="00EA3A44"/>
    <w:rsid w:val="00EA3C2A"/>
    <w:rsid w:val="00EA3E2F"/>
    <w:rsid w:val="00EA3FC0"/>
    <w:rsid w:val="00EA40E7"/>
    <w:rsid w:val="00EA4352"/>
    <w:rsid w:val="00EA43E0"/>
    <w:rsid w:val="00EA45D5"/>
    <w:rsid w:val="00EA465A"/>
    <w:rsid w:val="00EA465F"/>
    <w:rsid w:val="00EA4698"/>
    <w:rsid w:val="00EA476B"/>
    <w:rsid w:val="00EA47A3"/>
    <w:rsid w:val="00EA48E1"/>
    <w:rsid w:val="00EA4B86"/>
    <w:rsid w:val="00EA4D20"/>
    <w:rsid w:val="00EA4F94"/>
    <w:rsid w:val="00EA504D"/>
    <w:rsid w:val="00EA507D"/>
    <w:rsid w:val="00EA50B2"/>
    <w:rsid w:val="00EA51AC"/>
    <w:rsid w:val="00EA53A4"/>
    <w:rsid w:val="00EA53E9"/>
    <w:rsid w:val="00EA5400"/>
    <w:rsid w:val="00EA5517"/>
    <w:rsid w:val="00EA55C4"/>
    <w:rsid w:val="00EA5638"/>
    <w:rsid w:val="00EA56DC"/>
    <w:rsid w:val="00EA596D"/>
    <w:rsid w:val="00EA5AB3"/>
    <w:rsid w:val="00EA5B06"/>
    <w:rsid w:val="00EA5B56"/>
    <w:rsid w:val="00EA5B71"/>
    <w:rsid w:val="00EA5CD4"/>
    <w:rsid w:val="00EA5EF1"/>
    <w:rsid w:val="00EA6524"/>
    <w:rsid w:val="00EA66DC"/>
    <w:rsid w:val="00EA67CD"/>
    <w:rsid w:val="00EA68A3"/>
    <w:rsid w:val="00EA69B1"/>
    <w:rsid w:val="00EA6ACF"/>
    <w:rsid w:val="00EA6BF4"/>
    <w:rsid w:val="00EA6C0F"/>
    <w:rsid w:val="00EA6E7F"/>
    <w:rsid w:val="00EA6ED9"/>
    <w:rsid w:val="00EA7002"/>
    <w:rsid w:val="00EA700D"/>
    <w:rsid w:val="00EA70E7"/>
    <w:rsid w:val="00EA7273"/>
    <w:rsid w:val="00EA7392"/>
    <w:rsid w:val="00EA73F8"/>
    <w:rsid w:val="00EA7477"/>
    <w:rsid w:val="00EA74B0"/>
    <w:rsid w:val="00EA76CF"/>
    <w:rsid w:val="00EA782F"/>
    <w:rsid w:val="00EA79B8"/>
    <w:rsid w:val="00EA7A52"/>
    <w:rsid w:val="00EA7B6F"/>
    <w:rsid w:val="00EA7BA8"/>
    <w:rsid w:val="00EA7BDD"/>
    <w:rsid w:val="00EA7E0F"/>
    <w:rsid w:val="00EA7E57"/>
    <w:rsid w:val="00EA7FCA"/>
    <w:rsid w:val="00EB01E2"/>
    <w:rsid w:val="00EB01E8"/>
    <w:rsid w:val="00EB01FA"/>
    <w:rsid w:val="00EB03C6"/>
    <w:rsid w:val="00EB0414"/>
    <w:rsid w:val="00EB04A5"/>
    <w:rsid w:val="00EB093E"/>
    <w:rsid w:val="00EB096B"/>
    <w:rsid w:val="00EB0B25"/>
    <w:rsid w:val="00EB0CDD"/>
    <w:rsid w:val="00EB0DAC"/>
    <w:rsid w:val="00EB0E86"/>
    <w:rsid w:val="00EB0EBE"/>
    <w:rsid w:val="00EB0F5A"/>
    <w:rsid w:val="00EB1012"/>
    <w:rsid w:val="00EB10BE"/>
    <w:rsid w:val="00EB119A"/>
    <w:rsid w:val="00EB123F"/>
    <w:rsid w:val="00EB128B"/>
    <w:rsid w:val="00EB12DE"/>
    <w:rsid w:val="00EB1386"/>
    <w:rsid w:val="00EB1484"/>
    <w:rsid w:val="00EB14BF"/>
    <w:rsid w:val="00EB157E"/>
    <w:rsid w:val="00EB1785"/>
    <w:rsid w:val="00EB178B"/>
    <w:rsid w:val="00EB1828"/>
    <w:rsid w:val="00EB1922"/>
    <w:rsid w:val="00EB1A93"/>
    <w:rsid w:val="00EB1D85"/>
    <w:rsid w:val="00EB1DED"/>
    <w:rsid w:val="00EB1DFA"/>
    <w:rsid w:val="00EB2021"/>
    <w:rsid w:val="00EB204A"/>
    <w:rsid w:val="00EB206C"/>
    <w:rsid w:val="00EB20C0"/>
    <w:rsid w:val="00EB217E"/>
    <w:rsid w:val="00EB239E"/>
    <w:rsid w:val="00EB23EF"/>
    <w:rsid w:val="00EB23FC"/>
    <w:rsid w:val="00EB2442"/>
    <w:rsid w:val="00EB2513"/>
    <w:rsid w:val="00EB2580"/>
    <w:rsid w:val="00EB25C3"/>
    <w:rsid w:val="00EB2878"/>
    <w:rsid w:val="00EB2B57"/>
    <w:rsid w:val="00EB2D60"/>
    <w:rsid w:val="00EB2E78"/>
    <w:rsid w:val="00EB3391"/>
    <w:rsid w:val="00EB346F"/>
    <w:rsid w:val="00EB35A0"/>
    <w:rsid w:val="00EB3609"/>
    <w:rsid w:val="00EB3668"/>
    <w:rsid w:val="00EB378C"/>
    <w:rsid w:val="00EB3792"/>
    <w:rsid w:val="00EB3795"/>
    <w:rsid w:val="00EB38BB"/>
    <w:rsid w:val="00EB3A72"/>
    <w:rsid w:val="00EB3AE5"/>
    <w:rsid w:val="00EB3C7B"/>
    <w:rsid w:val="00EB3EA7"/>
    <w:rsid w:val="00EB4013"/>
    <w:rsid w:val="00EB434B"/>
    <w:rsid w:val="00EB43C7"/>
    <w:rsid w:val="00EB44CE"/>
    <w:rsid w:val="00EB461F"/>
    <w:rsid w:val="00EB4628"/>
    <w:rsid w:val="00EB467E"/>
    <w:rsid w:val="00EB47BA"/>
    <w:rsid w:val="00EB498C"/>
    <w:rsid w:val="00EB4B0E"/>
    <w:rsid w:val="00EB4C19"/>
    <w:rsid w:val="00EB4C2F"/>
    <w:rsid w:val="00EB4D53"/>
    <w:rsid w:val="00EB4F26"/>
    <w:rsid w:val="00EB4FCF"/>
    <w:rsid w:val="00EB5086"/>
    <w:rsid w:val="00EB5125"/>
    <w:rsid w:val="00EB5153"/>
    <w:rsid w:val="00EB5365"/>
    <w:rsid w:val="00EB54A4"/>
    <w:rsid w:val="00EB5930"/>
    <w:rsid w:val="00EB59DE"/>
    <w:rsid w:val="00EB5A1D"/>
    <w:rsid w:val="00EB5C13"/>
    <w:rsid w:val="00EB5C21"/>
    <w:rsid w:val="00EB5E61"/>
    <w:rsid w:val="00EB5F1C"/>
    <w:rsid w:val="00EB6014"/>
    <w:rsid w:val="00EB6036"/>
    <w:rsid w:val="00EB6240"/>
    <w:rsid w:val="00EB625E"/>
    <w:rsid w:val="00EB62DD"/>
    <w:rsid w:val="00EB6521"/>
    <w:rsid w:val="00EB672B"/>
    <w:rsid w:val="00EB67E6"/>
    <w:rsid w:val="00EB6861"/>
    <w:rsid w:val="00EB6961"/>
    <w:rsid w:val="00EB697C"/>
    <w:rsid w:val="00EB6A31"/>
    <w:rsid w:val="00EB6AA2"/>
    <w:rsid w:val="00EB6DEE"/>
    <w:rsid w:val="00EB6F2D"/>
    <w:rsid w:val="00EB6FEC"/>
    <w:rsid w:val="00EB705F"/>
    <w:rsid w:val="00EB7069"/>
    <w:rsid w:val="00EB7195"/>
    <w:rsid w:val="00EB731B"/>
    <w:rsid w:val="00EB7359"/>
    <w:rsid w:val="00EB7655"/>
    <w:rsid w:val="00EB76F8"/>
    <w:rsid w:val="00EB7748"/>
    <w:rsid w:val="00EB781D"/>
    <w:rsid w:val="00EB78D2"/>
    <w:rsid w:val="00EB79A0"/>
    <w:rsid w:val="00EB79D3"/>
    <w:rsid w:val="00EB79EE"/>
    <w:rsid w:val="00EB7B5D"/>
    <w:rsid w:val="00EB7B96"/>
    <w:rsid w:val="00EB7C25"/>
    <w:rsid w:val="00EB7E7E"/>
    <w:rsid w:val="00EB7E90"/>
    <w:rsid w:val="00EC0174"/>
    <w:rsid w:val="00EC0182"/>
    <w:rsid w:val="00EC0432"/>
    <w:rsid w:val="00EC0580"/>
    <w:rsid w:val="00EC06CC"/>
    <w:rsid w:val="00EC07E6"/>
    <w:rsid w:val="00EC0865"/>
    <w:rsid w:val="00EC0883"/>
    <w:rsid w:val="00EC0893"/>
    <w:rsid w:val="00EC090C"/>
    <w:rsid w:val="00EC0B30"/>
    <w:rsid w:val="00EC0C87"/>
    <w:rsid w:val="00EC0C9B"/>
    <w:rsid w:val="00EC0DF3"/>
    <w:rsid w:val="00EC0E14"/>
    <w:rsid w:val="00EC0E6D"/>
    <w:rsid w:val="00EC11AF"/>
    <w:rsid w:val="00EC11C2"/>
    <w:rsid w:val="00EC12BC"/>
    <w:rsid w:val="00EC14C3"/>
    <w:rsid w:val="00EC1561"/>
    <w:rsid w:val="00EC15F2"/>
    <w:rsid w:val="00EC17F7"/>
    <w:rsid w:val="00EC1819"/>
    <w:rsid w:val="00EC1876"/>
    <w:rsid w:val="00EC1931"/>
    <w:rsid w:val="00EC1E51"/>
    <w:rsid w:val="00EC1EEA"/>
    <w:rsid w:val="00EC1FE3"/>
    <w:rsid w:val="00EC200C"/>
    <w:rsid w:val="00EC20B7"/>
    <w:rsid w:val="00EC24EC"/>
    <w:rsid w:val="00EC2516"/>
    <w:rsid w:val="00EC25F1"/>
    <w:rsid w:val="00EC2622"/>
    <w:rsid w:val="00EC26B9"/>
    <w:rsid w:val="00EC2794"/>
    <w:rsid w:val="00EC2818"/>
    <w:rsid w:val="00EC286A"/>
    <w:rsid w:val="00EC2902"/>
    <w:rsid w:val="00EC2940"/>
    <w:rsid w:val="00EC298D"/>
    <w:rsid w:val="00EC2B29"/>
    <w:rsid w:val="00EC2B2B"/>
    <w:rsid w:val="00EC2BAE"/>
    <w:rsid w:val="00EC2C79"/>
    <w:rsid w:val="00EC2D29"/>
    <w:rsid w:val="00EC2E8E"/>
    <w:rsid w:val="00EC2F69"/>
    <w:rsid w:val="00EC300D"/>
    <w:rsid w:val="00EC3411"/>
    <w:rsid w:val="00EC3419"/>
    <w:rsid w:val="00EC3568"/>
    <w:rsid w:val="00EC35BB"/>
    <w:rsid w:val="00EC38EA"/>
    <w:rsid w:val="00EC3C10"/>
    <w:rsid w:val="00EC3DAC"/>
    <w:rsid w:val="00EC3F57"/>
    <w:rsid w:val="00EC4072"/>
    <w:rsid w:val="00EC412C"/>
    <w:rsid w:val="00EC415F"/>
    <w:rsid w:val="00EC4284"/>
    <w:rsid w:val="00EC43A8"/>
    <w:rsid w:val="00EC4668"/>
    <w:rsid w:val="00EC468A"/>
    <w:rsid w:val="00EC4783"/>
    <w:rsid w:val="00EC47B4"/>
    <w:rsid w:val="00EC47D6"/>
    <w:rsid w:val="00EC47F2"/>
    <w:rsid w:val="00EC4868"/>
    <w:rsid w:val="00EC48D8"/>
    <w:rsid w:val="00EC492D"/>
    <w:rsid w:val="00EC4AA4"/>
    <w:rsid w:val="00EC4DB3"/>
    <w:rsid w:val="00EC4E7C"/>
    <w:rsid w:val="00EC4F89"/>
    <w:rsid w:val="00EC5405"/>
    <w:rsid w:val="00EC57E0"/>
    <w:rsid w:val="00EC5834"/>
    <w:rsid w:val="00EC58A1"/>
    <w:rsid w:val="00EC5A9A"/>
    <w:rsid w:val="00EC5AC7"/>
    <w:rsid w:val="00EC5E93"/>
    <w:rsid w:val="00EC5FF3"/>
    <w:rsid w:val="00EC6037"/>
    <w:rsid w:val="00EC60D3"/>
    <w:rsid w:val="00EC61BE"/>
    <w:rsid w:val="00EC6204"/>
    <w:rsid w:val="00EC62A5"/>
    <w:rsid w:val="00EC632E"/>
    <w:rsid w:val="00EC648F"/>
    <w:rsid w:val="00EC64FF"/>
    <w:rsid w:val="00EC6A81"/>
    <w:rsid w:val="00EC6CCC"/>
    <w:rsid w:val="00EC6D30"/>
    <w:rsid w:val="00EC6F14"/>
    <w:rsid w:val="00EC716E"/>
    <w:rsid w:val="00EC72B2"/>
    <w:rsid w:val="00EC72F6"/>
    <w:rsid w:val="00EC7463"/>
    <w:rsid w:val="00EC748F"/>
    <w:rsid w:val="00EC759D"/>
    <w:rsid w:val="00EC75DB"/>
    <w:rsid w:val="00EC766B"/>
    <w:rsid w:val="00EC7821"/>
    <w:rsid w:val="00EC7A4E"/>
    <w:rsid w:val="00EC7B68"/>
    <w:rsid w:val="00EC7D37"/>
    <w:rsid w:val="00EC7D4C"/>
    <w:rsid w:val="00EC7D93"/>
    <w:rsid w:val="00EC7DBC"/>
    <w:rsid w:val="00ED003F"/>
    <w:rsid w:val="00ED00E2"/>
    <w:rsid w:val="00ED04B7"/>
    <w:rsid w:val="00ED04B8"/>
    <w:rsid w:val="00ED05C0"/>
    <w:rsid w:val="00ED0674"/>
    <w:rsid w:val="00ED06ED"/>
    <w:rsid w:val="00ED0844"/>
    <w:rsid w:val="00ED0A18"/>
    <w:rsid w:val="00ED0B2F"/>
    <w:rsid w:val="00ED0CBC"/>
    <w:rsid w:val="00ED0D3B"/>
    <w:rsid w:val="00ED0DDF"/>
    <w:rsid w:val="00ED0E7A"/>
    <w:rsid w:val="00ED11EA"/>
    <w:rsid w:val="00ED1527"/>
    <w:rsid w:val="00ED15DD"/>
    <w:rsid w:val="00ED1896"/>
    <w:rsid w:val="00ED19DC"/>
    <w:rsid w:val="00ED1AA5"/>
    <w:rsid w:val="00ED1CD8"/>
    <w:rsid w:val="00ED1DD6"/>
    <w:rsid w:val="00ED1E10"/>
    <w:rsid w:val="00ED20E2"/>
    <w:rsid w:val="00ED2121"/>
    <w:rsid w:val="00ED2266"/>
    <w:rsid w:val="00ED22D3"/>
    <w:rsid w:val="00ED232E"/>
    <w:rsid w:val="00ED2345"/>
    <w:rsid w:val="00ED259D"/>
    <w:rsid w:val="00ED2790"/>
    <w:rsid w:val="00ED29F8"/>
    <w:rsid w:val="00ED2DB0"/>
    <w:rsid w:val="00ED2DDB"/>
    <w:rsid w:val="00ED2E2D"/>
    <w:rsid w:val="00ED2E73"/>
    <w:rsid w:val="00ED2EEB"/>
    <w:rsid w:val="00ED2F1C"/>
    <w:rsid w:val="00ED2F47"/>
    <w:rsid w:val="00ED2FE3"/>
    <w:rsid w:val="00ED3073"/>
    <w:rsid w:val="00ED30B4"/>
    <w:rsid w:val="00ED3220"/>
    <w:rsid w:val="00ED3355"/>
    <w:rsid w:val="00ED3380"/>
    <w:rsid w:val="00ED3526"/>
    <w:rsid w:val="00ED3653"/>
    <w:rsid w:val="00ED37B5"/>
    <w:rsid w:val="00ED3882"/>
    <w:rsid w:val="00ED38A5"/>
    <w:rsid w:val="00ED38B5"/>
    <w:rsid w:val="00ED3A4F"/>
    <w:rsid w:val="00ED3ABC"/>
    <w:rsid w:val="00ED3DCB"/>
    <w:rsid w:val="00ED3EA0"/>
    <w:rsid w:val="00ED3EB0"/>
    <w:rsid w:val="00ED3EE0"/>
    <w:rsid w:val="00ED441E"/>
    <w:rsid w:val="00ED4436"/>
    <w:rsid w:val="00ED4534"/>
    <w:rsid w:val="00ED45D4"/>
    <w:rsid w:val="00ED4843"/>
    <w:rsid w:val="00ED48A6"/>
    <w:rsid w:val="00ED4A67"/>
    <w:rsid w:val="00ED4A77"/>
    <w:rsid w:val="00ED4CE1"/>
    <w:rsid w:val="00ED4D78"/>
    <w:rsid w:val="00ED4DAD"/>
    <w:rsid w:val="00ED4E12"/>
    <w:rsid w:val="00ED4E2C"/>
    <w:rsid w:val="00ED4E8E"/>
    <w:rsid w:val="00ED4ED3"/>
    <w:rsid w:val="00ED52DB"/>
    <w:rsid w:val="00ED54DC"/>
    <w:rsid w:val="00ED55D4"/>
    <w:rsid w:val="00ED5635"/>
    <w:rsid w:val="00ED56DB"/>
    <w:rsid w:val="00ED593C"/>
    <w:rsid w:val="00ED5981"/>
    <w:rsid w:val="00ED59AC"/>
    <w:rsid w:val="00ED5C31"/>
    <w:rsid w:val="00ED5C58"/>
    <w:rsid w:val="00ED5D63"/>
    <w:rsid w:val="00ED5DB0"/>
    <w:rsid w:val="00ED5F87"/>
    <w:rsid w:val="00ED5FB1"/>
    <w:rsid w:val="00ED5FB9"/>
    <w:rsid w:val="00ED609C"/>
    <w:rsid w:val="00ED60B7"/>
    <w:rsid w:val="00ED61D6"/>
    <w:rsid w:val="00ED61E9"/>
    <w:rsid w:val="00ED620D"/>
    <w:rsid w:val="00ED6267"/>
    <w:rsid w:val="00ED62ED"/>
    <w:rsid w:val="00ED6395"/>
    <w:rsid w:val="00ED63CA"/>
    <w:rsid w:val="00ED666B"/>
    <w:rsid w:val="00ED66EB"/>
    <w:rsid w:val="00ED6969"/>
    <w:rsid w:val="00ED6A3C"/>
    <w:rsid w:val="00ED6F43"/>
    <w:rsid w:val="00ED704A"/>
    <w:rsid w:val="00ED713F"/>
    <w:rsid w:val="00ED71EB"/>
    <w:rsid w:val="00ED72E0"/>
    <w:rsid w:val="00ED7372"/>
    <w:rsid w:val="00ED74EF"/>
    <w:rsid w:val="00ED7549"/>
    <w:rsid w:val="00ED7559"/>
    <w:rsid w:val="00ED7851"/>
    <w:rsid w:val="00ED7862"/>
    <w:rsid w:val="00ED78D5"/>
    <w:rsid w:val="00ED79CF"/>
    <w:rsid w:val="00ED7A51"/>
    <w:rsid w:val="00ED7B84"/>
    <w:rsid w:val="00ED7C3F"/>
    <w:rsid w:val="00ED7DA6"/>
    <w:rsid w:val="00ED7F8F"/>
    <w:rsid w:val="00EE00EF"/>
    <w:rsid w:val="00EE0200"/>
    <w:rsid w:val="00EE02D3"/>
    <w:rsid w:val="00EE03A1"/>
    <w:rsid w:val="00EE05AF"/>
    <w:rsid w:val="00EE068B"/>
    <w:rsid w:val="00EE0717"/>
    <w:rsid w:val="00EE0722"/>
    <w:rsid w:val="00EE0787"/>
    <w:rsid w:val="00EE09A4"/>
    <w:rsid w:val="00EE0AA9"/>
    <w:rsid w:val="00EE0C8A"/>
    <w:rsid w:val="00EE0C94"/>
    <w:rsid w:val="00EE0D1A"/>
    <w:rsid w:val="00EE0E30"/>
    <w:rsid w:val="00EE0F8A"/>
    <w:rsid w:val="00EE0FF2"/>
    <w:rsid w:val="00EE104A"/>
    <w:rsid w:val="00EE12AB"/>
    <w:rsid w:val="00EE13E0"/>
    <w:rsid w:val="00EE147F"/>
    <w:rsid w:val="00EE14CA"/>
    <w:rsid w:val="00EE1547"/>
    <w:rsid w:val="00EE1574"/>
    <w:rsid w:val="00EE15AA"/>
    <w:rsid w:val="00EE184F"/>
    <w:rsid w:val="00EE1877"/>
    <w:rsid w:val="00EE1912"/>
    <w:rsid w:val="00EE1BBE"/>
    <w:rsid w:val="00EE1BFE"/>
    <w:rsid w:val="00EE1DF3"/>
    <w:rsid w:val="00EE1E86"/>
    <w:rsid w:val="00EE1E97"/>
    <w:rsid w:val="00EE1EA3"/>
    <w:rsid w:val="00EE1FB6"/>
    <w:rsid w:val="00EE20B7"/>
    <w:rsid w:val="00EE20CE"/>
    <w:rsid w:val="00EE20DD"/>
    <w:rsid w:val="00EE20DF"/>
    <w:rsid w:val="00EE2364"/>
    <w:rsid w:val="00EE23D2"/>
    <w:rsid w:val="00EE2403"/>
    <w:rsid w:val="00EE244C"/>
    <w:rsid w:val="00EE2547"/>
    <w:rsid w:val="00EE2608"/>
    <w:rsid w:val="00EE2879"/>
    <w:rsid w:val="00EE28D9"/>
    <w:rsid w:val="00EE295C"/>
    <w:rsid w:val="00EE2AD1"/>
    <w:rsid w:val="00EE2C82"/>
    <w:rsid w:val="00EE2CC2"/>
    <w:rsid w:val="00EE2CFB"/>
    <w:rsid w:val="00EE2E08"/>
    <w:rsid w:val="00EE2E4A"/>
    <w:rsid w:val="00EE2F5F"/>
    <w:rsid w:val="00EE3165"/>
    <w:rsid w:val="00EE32AA"/>
    <w:rsid w:val="00EE3405"/>
    <w:rsid w:val="00EE356C"/>
    <w:rsid w:val="00EE3610"/>
    <w:rsid w:val="00EE369A"/>
    <w:rsid w:val="00EE3759"/>
    <w:rsid w:val="00EE379E"/>
    <w:rsid w:val="00EE3B2D"/>
    <w:rsid w:val="00EE3BB0"/>
    <w:rsid w:val="00EE3D1E"/>
    <w:rsid w:val="00EE3D51"/>
    <w:rsid w:val="00EE3F2B"/>
    <w:rsid w:val="00EE40B4"/>
    <w:rsid w:val="00EE4107"/>
    <w:rsid w:val="00EE436D"/>
    <w:rsid w:val="00EE459F"/>
    <w:rsid w:val="00EE45AC"/>
    <w:rsid w:val="00EE4743"/>
    <w:rsid w:val="00EE47C0"/>
    <w:rsid w:val="00EE47DD"/>
    <w:rsid w:val="00EE4A15"/>
    <w:rsid w:val="00EE4A5C"/>
    <w:rsid w:val="00EE4A9A"/>
    <w:rsid w:val="00EE4D1D"/>
    <w:rsid w:val="00EE4DE5"/>
    <w:rsid w:val="00EE4DF6"/>
    <w:rsid w:val="00EE4F34"/>
    <w:rsid w:val="00EE50AA"/>
    <w:rsid w:val="00EE587E"/>
    <w:rsid w:val="00EE5C17"/>
    <w:rsid w:val="00EE5D76"/>
    <w:rsid w:val="00EE5E8D"/>
    <w:rsid w:val="00EE5F0E"/>
    <w:rsid w:val="00EE5F12"/>
    <w:rsid w:val="00EE5F2D"/>
    <w:rsid w:val="00EE5FE5"/>
    <w:rsid w:val="00EE6165"/>
    <w:rsid w:val="00EE6225"/>
    <w:rsid w:val="00EE6291"/>
    <w:rsid w:val="00EE62D9"/>
    <w:rsid w:val="00EE636D"/>
    <w:rsid w:val="00EE63D9"/>
    <w:rsid w:val="00EE64CD"/>
    <w:rsid w:val="00EE66FD"/>
    <w:rsid w:val="00EE6775"/>
    <w:rsid w:val="00EE6811"/>
    <w:rsid w:val="00EE682C"/>
    <w:rsid w:val="00EE6933"/>
    <w:rsid w:val="00EE695D"/>
    <w:rsid w:val="00EE6ACE"/>
    <w:rsid w:val="00EE6B29"/>
    <w:rsid w:val="00EE6B9C"/>
    <w:rsid w:val="00EE6E60"/>
    <w:rsid w:val="00EE6EFE"/>
    <w:rsid w:val="00EE700A"/>
    <w:rsid w:val="00EE71B8"/>
    <w:rsid w:val="00EE7310"/>
    <w:rsid w:val="00EE7419"/>
    <w:rsid w:val="00EE7443"/>
    <w:rsid w:val="00EE74A0"/>
    <w:rsid w:val="00EE753A"/>
    <w:rsid w:val="00EE7555"/>
    <w:rsid w:val="00EE76E0"/>
    <w:rsid w:val="00EE7924"/>
    <w:rsid w:val="00EE7AE6"/>
    <w:rsid w:val="00EE7BE2"/>
    <w:rsid w:val="00EE7C8D"/>
    <w:rsid w:val="00EE7E32"/>
    <w:rsid w:val="00EE7F7C"/>
    <w:rsid w:val="00EF0197"/>
    <w:rsid w:val="00EF02C8"/>
    <w:rsid w:val="00EF0486"/>
    <w:rsid w:val="00EF0881"/>
    <w:rsid w:val="00EF08A2"/>
    <w:rsid w:val="00EF08BF"/>
    <w:rsid w:val="00EF09D6"/>
    <w:rsid w:val="00EF0BA2"/>
    <w:rsid w:val="00EF0CA5"/>
    <w:rsid w:val="00EF0D67"/>
    <w:rsid w:val="00EF0E5D"/>
    <w:rsid w:val="00EF1127"/>
    <w:rsid w:val="00EF12EB"/>
    <w:rsid w:val="00EF137D"/>
    <w:rsid w:val="00EF147F"/>
    <w:rsid w:val="00EF1581"/>
    <w:rsid w:val="00EF19D1"/>
    <w:rsid w:val="00EF1A62"/>
    <w:rsid w:val="00EF1AEA"/>
    <w:rsid w:val="00EF1BEE"/>
    <w:rsid w:val="00EF1CE5"/>
    <w:rsid w:val="00EF1D2F"/>
    <w:rsid w:val="00EF1E1C"/>
    <w:rsid w:val="00EF2209"/>
    <w:rsid w:val="00EF2460"/>
    <w:rsid w:val="00EF2655"/>
    <w:rsid w:val="00EF2915"/>
    <w:rsid w:val="00EF2966"/>
    <w:rsid w:val="00EF2A39"/>
    <w:rsid w:val="00EF2A6E"/>
    <w:rsid w:val="00EF2AD2"/>
    <w:rsid w:val="00EF2B03"/>
    <w:rsid w:val="00EF2BC1"/>
    <w:rsid w:val="00EF2BF9"/>
    <w:rsid w:val="00EF30C2"/>
    <w:rsid w:val="00EF3397"/>
    <w:rsid w:val="00EF34C0"/>
    <w:rsid w:val="00EF3559"/>
    <w:rsid w:val="00EF3562"/>
    <w:rsid w:val="00EF35A2"/>
    <w:rsid w:val="00EF361E"/>
    <w:rsid w:val="00EF368C"/>
    <w:rsid w:val="00EF3782"/>
    <w:rsid w:val="00EF3A61"/>
    <w:rsid w:val="00EF3A9B"/>
    <w:rsid w:val="00EF3ABF"/>
    <w:rsid w:val="00EF3D24"/>
    <w:rsid w:val="00EF3D4F"/>
    <w:rsid w:val="00EF3F4D"/>
    <w:rsid w:val="00EF40BB"/>
    <w:rsid w:val="00EF410C"/>
    <w:rsid w:val="00EF4197"/>
    <w:rsid w:val="00EF423E"/>
    <w:rsid w:val="00EF4286"/>
    <w:rsid w:val="00EF42E0"/>
    <w:rsid w:val="00EF430A"/>
    <w:rsid w:val="00EF447E"/>
    <w:rsid w:val="00EF44EA"/>
    <w:rsid w:val="00EF4536"/>
    <w:rsid w:val="00EF465F"/>
    <w:rsid w:val="00EF470B"/>
    <w:rsid w:val="00EF48C5"/>
    <w:rsid w:val="00EF49FD"/>
    <w:rsid w:val="00EF4AE3"/>
    <w:rsid w:val="00EF4B50"/>
    <w:rsid w:val="00EF4E62"/>
    <w:rsid w:val="00EF4EBB"/>
    <w:rsid w:val="00EF4FD3"/>
    <w:rsid w:val="00EF4FFF"/>
    <w:rsid w:val="00EF5143"/>
    <w:rsid w:val="00EF5168"/>
    <w:rsid w:val="00EF5198"/>
    <w:rsid w:val="00EF51C3"/>
    <w:rsid w:val="00EF576E"/>
    <w:rsid w:val="00EF5843"/>
    <w:rsid w:val="00EF59C2"/>
    <w:rsid w:val="00EF5E41"/>
    <w:rsid w:val="00EF608E"/>
    <w:rsid w:val="00EF617B"/>
    <w:rsid w:val="00EF62BE"/>
    <w:rsid w:val="00EF62D7"/>
    <w:rsid w:val="00EF6315"/>
    <w:rsid w:val="00EF632B"/>
    <w:rsid w:val="00EF6385"/>
    <w:rsid w:val="00EF6590"/>
    <w:rsid w:val="00EF65D1"/>
    <w:rsid w:val="00EF672B"/>
    <w:rsid w:val="00EF6739"/>
    <w:rsid w:val="00EF67B6"/>
    <w:rsid w:val="00EF6963"/>
    <w:rsid w:val="00EF6AF0"/>
    <w:rsid w:val="00EF6BB8"/>
    <w:rsid w:val="00EF6C44"/>
    <w:rsid w:val="00EF6D0B"/>
    <w:rsid w:val="00EF6F58"/>
    <w:rsid w:val="00EF6FB7"/>
    <w:rsid w:val="00EF6FD3"/>
    <w:rsid w:val="00EF73D9"/>
    <w:rsid w:val="00EF785A"/>
    <w:rsid w:val="00EF7A0F"/>
    <w:rsid w:val="00EF7F96"/>
    <w:rsid w:val="00F00075"/>
    <w:rsid w:val="00F00089"/>
    <w:rsid w:val="00F000CE"/>
    <w:rsid w:val="00F000FF"/>
    <w:rsid w:val="00F00346"/>
    <w:rsid w:val="00F0038E"/>
    <w:rsid w:val="00F004EA"/>
    <w:rsid w:val="00F0059E"/>
    <w:rsid w:val="00F005A3"/>
    <w:rsid w:val="00F005A6"/>
    <w:rsid w:val="00F0088D"/>
    <w:rsid w:val="00F008D8"/>
    <w:rsid w:val="00F00974"/>
    <w:rsid w:val="00F009AB"/>
    <w:rsid w:val="00F00CA5"/>
    <w:rsid w:val="00F00FE2"/>
    <w:rsid w:val="00F010AD"/>
    <w:rsid w:val="00F010CB"/>
    <w:rsid w:val="00F01191"/>
    <w:rsid w:val="00F012A8"/>
    <w:rsid w:val="00F01633"/>
    <w:rsid w:val="00F016C0"/>
    <w:rsid w:val="00F01775"/>
    <w:rsid w:val="00F01A44"/>
    <w:rsid w:val="00F01B25"/>
    <w:rsid w:val="00F01B34"/>
    <w:rsid w:val="00F01B65"/>
    <w:rsid w:val="00F01F44"/>
    <w:rsid w:val="00F02070"/>
    <w:rsid w:val="00F02113"/>
    <w:rsid w:val="00F0227A"/>
    <w:rsid w:val="00F025A9"/>
    <w:rsid w:val="00F025EC"/>
    <w:rsid w:val="00F02725"/>
    <w:rsid w:val="00F02816"/>
    <w:rsid w:val="00F02C16"/>
    <w:rsid w:val="00F02C84"/>
    <w:rsid w:val="00F02CBB"/>
    <w:rsid w:val="00F02E8A"/>
    <w:rsid w:val="00F0318D"/>
    <w:rsid w:val="00F03251"/>
    <w:rsid w:val="00F032AF"/>
    <w:rsid w:val="00F032C4"/>
    <w:rsid w:val="00F03562"/>
    <w:rsid w:val="00F0357A"/>
    <w:rsid w:val="00F03644"/>
    <w:rsid w:val="00F037B8"/>
    <w:rsid w:val="00F03819"/>
    <w:rsid w:val="00F0388E"/>
    <w:rsid w:val="00F038A7"/>
    <w:rsid w:val="00F039B3"/>
    <w:rsid w:val="00F03A38"/>
    <w:rsid w:val="00F03A8E"/>
    <w:rsid w:val="00F03AA4"/>
    <w:rsid w:val="00F03B1B"/>
    <w:rsid w:val="00F03E1B"/>
    <w:rsid w:val="00F03E1F"/>
    <w:rsid w:val="00F03FCB"/>
    <w:rsid w:val="00F042F0"/>
    <w:rsid w:val="00F0445B"/>
    <w:rsid w:val="00F04465"/>
    <w:rsid w:val="00F04586"/>
    <w:rsid w:val="00F045AF"/>
    <w:rsid w:val="00F04726"/>
    <w:rsid w:val="00F04787"/>
    <w:rsid w:val="00F047BC"/>
    <w:rsid w:val="00F0483C"/>
    <w:rsid w:val="00F04D34"/>
    <w:rsid w:val="00F04DF9"/>
    <w:rsid w:val="00F04E02"/>
    <w:rsid w:val="00F04FBF"/>
    <w:rsid w:val="00F04FF3"/>
    <w:rsid w:val="00F05295"/>
    <w:rsid w:val="00F052BB"/>
    <w:rsid w:val="00F052FC"/>
    <w:rsid w:val="00F053A2"/>
    <w:rsid w:val="00F05450"/>
    <w:rsid w:val="00F05693"/>
    <w:rsid w:val="00F056A5"/>
    <w:rsid w:val="00F05A49"/>
    <w:rsid w:val="00F05CD9"/>
    <w:rsid w:val="00F05D6C"/>
    <w:rsid w:val="00F05E93"/>
    <w:rsid w:val="00F05FC0"/>
    <w:rsid w:val="00F05FE9"/>
    <w:rsid w:val="00F060E9"/>
    <w:rsid w:val="00F0626E"/>
    <w:rsid w:val="00F0643C"/>
    <w:rsid w:val="00F0671A"/>
    <w:rsid w:val="00F06900"/>
    <w:rsid w:val="00F06948"/>
    <w:rsid w:val="00F06950"/>
    <w:rsid w:val="00F06986"/>
    <w:rsid w:val="00F06A36"/>
    <w:rsid w:val="00F06A46"/>
    <w:rsid w:val="00F06B39"/>
    <w:rsid w:val="00F06B78"/>
    <w:rsid w:val="00F06B87"/>
    <w:rsid w:val="00F06FF9"/>
    <w:rsid w:val="00F070BE"/>
    <w:rsid w:val="00F07247"/>
    <w:rsid w:val="00F0735F"/>
    <w:rsid w:val="00F078B5"/>
    <w:rsid w:val="00F078D3"/>
    <w:rsid w:val="00F07C33"/>
    <w:rsid w:val="00F07D09"/>
    <w:rsid w:val="00F07E9E"/>
    <w:rsid w:val="00F1000D"/>
    <w:rsid w:val="00F101CB"/>
    <w:rsid w:val="00F101E7"/>
    <w:rsid w:val="00F102F2"/>
    <w:rsid w:val="00F10411"/>
    <w:rsid w:val="00F104CF"/>
    <w:rsid w:val="00F10760"/>
    <w:rsid w:val="00F10794"/>
    <w:rsid w:val="00F10A19"/>
    <w:rsid w:val="00F10C4E"/>
    <w:rsid w:val="00F10C9F"/>
    <w:rsid w:val="00F10CC2"/>
    <w:rsid w:val="00F10E39"/>
    <w:rsid w:val="00F1100C"/>
    <w:rsid w:val="00F113EF"/>
    <w:rsid w:val="00F1193F"/>
    <w:rsid w:val="00F11C15"/>
    <w:rsid w:val="00F11CBD"/>
    <w:rsid w:val="00F11FFB"/>
    <w:rsid w:val="00F12035"/>
    <w:rsid w:val="00F12071"/>
    <w:rsid w:val="00F121CE"/>
    <w:rsid w:val="00F1225C"/>
    <w:rsid w:val="00F12318"/>
    <w:rsid w:val="00F1231A"/>
    <w:rsid w:val="00F12547"/>
    <w:rsid w:val="00F1259E"/>
    <w:rsid w:val="00F1263B"/>
    <w:rsid w:val="00F12669"/>
    <w:rsid w:val="00F1284F"/>
    <w:rsid w:val="00F12A68"/>
    <w:rsid w:val="00F12B36"/>
    <w:rsid w:val="00F12DB3"/>
    <w:rsid w:val="00F12DFF"/>
    <w:rsid w:val="00F12E26"/>
    <w:rsid w:val="00F12E5F"/>
    <w:rsid w:val="00F12F26"/>
    <w:rsid w:val="00F13213"/>
    <w:rsid w:val="00F13216"/>
    <w:rsid w:val="00F13251"/>
    <w:rsid w:val="00F13265"/>
    <w:rsid w:val="00F13326"/>
    <w:rsid w:val="00F134BC"/>
    <w:rsid w:val="00F13575"/>
    <w:rsid w:val="00F13628"/>
    <w:rsid w:val="00F1364E"/>
    <w:rsid w:val="00F1398D"/>
    <w:rsid w:val="00F139F3"/>
    <w:rsid w:val="00F13C09"/>
    <w:rsid w:val="00F13CF8"/>
    <w:rsid w:val="00F13D87"/>
    <w:rsid w:val="00F13E6B"/>
    <w:rsid w:val="00F13EE9"/>
    <w:rsid w:val="00F1419F"/>
    <w:rsid w:val="00F1421B"/>
    <w:rsid w:val="00F142A0"/>
    <w:rsid w:val="00F142AA"/>
    <w:rsid w:val="00F143BA"/>
    <w:rsid w:val="00F1441A"/>
    <w:rsid w:val="00F145FC"/>
    <w:rsid w:val="00F147F4"/>
    <w:rsid w:val="00F1498E"/>
    <w:rsid w:val="00F149B8"/>
    <w:rsid w:val="00F14A9D"/>
    <w:rsid w:val="00F14B4B"/>
    <w:rsid w:val="00F14D76"/>
    <w:rsid w:val="00F14D7D"/>
    <w:rsid w:val="00F14E47"/>
    <w:rsid w:val="00F14FBB"/>
    <w:rsid w:val="00F1523B"/>
    <w:rsid w:val="00F15247"/>
    <w:rsid w:val="00F154F4"/>
    <w:rsid w:val="00F15657"/>
    <w:rsid w:val="00F15B97"/>
    <w:rsid w:val="00F15CA3"/>
    <w:rsid w:val="00F15ECA"/>
    <w:rsid w:val="00F15F60"/>
    <w:rsid w:val="00F16590"/>
    <w:rsid w:val="00F165F3"/>
    <w:rsid w:val="00F16793"/>
    <w:rsid w:val="00F167C2"/>
    <w:rsid w:val="00F167CB"/>
    <w:rsid w:val="00F1683E"/>
    <w:rsid w:val="00F16883"/>
    <w:rsid w:val="00F16973"/>
    <w:rsid w:val="00F16A21"/>
    <w:rsid w:val="00F16AB2"/>
    <w:rsid w:val="00F16BC1"/>
    <w:rsid w:val="00F16C8A"/>
    <w:rsid w:val="00F16FD4"/>
    <w:rsid w:val="00F170CC"/>
    <w:rsid w:val="00F1733C"/>
    <w:rsid w:val="00F17447"/>
    <w:rsid w:val="00F17551"/>
    <w:rsid w:val="00F1763A"/>
    <w:rsid w:val="00F179AE"/>
    <w:rsid w:val="00F17B09"/>
    <w:rsid w:val="00F17BEB"/>
    <w:rsid w:val="00F17C0C"/>
    <w:rsid w:val="00F17D29"/>
    <w:rsid w:val="00F17E86"/>
    <w:rsid w:val="00F17EE6"/>
    <w:rsid w:val="00F200A5"/>
    <w:rsid w:val="00F20130"/>
    <w:rsid w:val="00F2059F"/>
    <w:rsid w:val="00F205C6"/>
    <w:rsid w:val="00F2087D"/>
    <w:rsid w:val="00F209BB"/>
    <w:rsid w:val="00F20AA4"/>
    <w:rsid w:val="00F20FDC"/>
    <w:rsid w:val="00F21193"/>
    <w:rsid w:val="00F211E4"/>
    <w:rsid w:val="00F2123F"/>
    <w:rsid w:val="00F21257"/>
    <w:rsid w:val="00F21327"/>
    <w:rsid w:val="00F21342"/>
    <w:rsid w:val="00F214C2"/>
    <w:rsid w:val="00F214F1"/>
    <w:rsid w:val="00F21562"/>
    <w:rsid w:val="00F21753"/>
    <w:rsid w:val="00F217F3"/>
    <w:rsid w:val="00F2191C"/>
    <w:rsid w:val="00F21921"/>
    <w:rsid w:val="00F21933"/>
    <w:rsid w:val="00F219E2"/>
    <w:rsid w:val="00F21A03"/>
    <w:rsid w:val="00F21AD3"/>
    <w:rsid w:val="00F21C54"/>
    <w:rsid w:val="00F21D60"/>
    <w:rsid w:val="00F21E5C"/>
    <w:rsid w:val="00F21F8D"/>
    <w:rsid w:val="00F220FF"/>
    <w:rsid w:val="00F22351"/>
    <w:rsid w:val="00F22515"/>
    <w:rsid w:val="00F225FE"/>
    <w:rsid w:val="00F2279E"/>
    <w:rsid w:val="00F227FB"/>
    <w:rsid w:val="00F229B9"/>
    <w:rsid w:val="00F22BEC"/>
    <w:rsid w:val="00F22CAE"/>
    <w:rsid w:val="00F22D69"/>
    <w:rsid w:val="00F22D6A"/>
    <w:rsid w:val="00F22E1D"/>
    <w:rsid w:val="00F22E53"/>
    <w:rsid w:val="00F22F17"/>
    <w:rsid w:val="00F22FB0"/>
    <w:rsid w:val="00F2304C"/>
    <w:rsid w:val="00F23071"/>
    <w:rsid w:val="00F23098"/>
    <w:rsid w:val="00F23219"/>
    <w:rsid w:val="00F23269"/>
    <w:rsid w:val="00F2332B"/>
    <w:rsid w:val="00F234D4"/>
    <w:rsid w:val="00F237A4"/>
    <w:rsid w:val="00F23996"/>
    <w:rsid w:val="00F23B98"/>
    <w:rsid w:val="00F23CDA"/>
    <w:rsid w:val="00F23D08"/>
    <w:rsid w:val="00F23E8D"/>
    <w:rsid w:val="00F23EC4"/>
    <w:rsid w:val="00F240CD"/>
    <w:rsid w:val="00F24234"/>
    <w:rsid w:val="00F24352"/>
    <w:rsid w:val="00F2446C"/>
    <w:rsid w:val="00F2449F"/>
    <w:rsid w:val="00F244FE"/>
    <w:rsid w:val="00F24541"/>
    <w:rsid w:val="00F246C1"/>
    <w:rsid w:val="00F24899"/>
    <w:rsid w:val="00F24A16"/>
    <w:rsid w:val="00F24A93"/>
    <w:rsid w:val="00F24B2B"/>
    <w:rsid w:val="00F24DD6"/>
    <w:rsid w:val="00F24F22"/>
    <w:rsid w:val="00F24F7A"/>
    <w:rsid w:val="00F250D5"/>
    <w:rsid w:val="00F252FE"/>
    <w:rsid w:val="00F253C8"/>
    <w:rsid w:val="00F2552D"/>
    <w:rsid w:val="00F25842"/>
    <w:rsid w:val="00F25869"/>
    <w:rsid w:val="00F258C9"/>
    <w:rsid w:val="00F2599B"/>
    <w:rsid w:val="00F259AF"/>
    <w:rsid w:val="00F259CA"/>
    <w:rsid w:val="00F259E8"/>
    <w:rsid w:val="00F25BA9"/>
    <w:rsid w:val="00F25CDA"/>
    <w:rsid w:val="00F25D34"/>
    <w:rsid w:val="00F25D47"/>
    <w:rsid w:val="00F26150"/>
    <w:rsid w:val="00F26189"/>
    <w:rsid w:val="00F262AF"/>
    <w:rsid w:val="00F264DC"/>
    <w:rsid w:val="00F26562"/>
    <w:rsid w:val="00F26729"/>
    <w:rsid w:val="00F26735"/>
    <w:rsid w:val="00F26922"/>
    <w:rsid w:val="00F26A30"/>
    <w:rsid w:val="00F26BAA"/>
    <w:rsid w:val="00F26C9A"/>
    <w:rsid w:val="00F26DD7"/>
    <w:rsid w:val="00F2717E"/>
    <w:rsid w:val="00F271EA"/>
    <w:rsid w:val="00F272AF"/>
    <w:rsid w:val="00F2735C"/>
    <w:rsid w:val="00F273DD"/>
    <w:rsid w:val="00F2742C"/>
    <w:rsid w:val="00F27532"/>
    <w:rsid w:val="00F275F1"/>
    <w:rsid w:val="00F27649"/>
    <w:rsid w:val="00F276CC"/>
    <w:rsid w:val="00F2788C"/>
    <w:rsid w:val="00F2795D"/>
    <w:rsid w:val="00F27963"/>
    <w:rsid w:val="00F279D2"/>
    <w:rsid w:val="00F279F2"/>
    <w:rsid w:val="00F27C04"/>
    <w:rsid w:val="00F27C20"/>
    <w:rsid w:val="00F27C92"/>
    <w:rsid w:val="00F27C9C"/>
    <w:rsid w:val="00F27D41"/>
    <w:rsid w:val="00F302E2"/>
    <w:rsid w:val="00F304C3"/>
    <w:rsid w:val="00F3055E"/>
    <w:rsid w:val="00F3061A"/>
    <w:rsid w:val="00F3090F"/>
    <w:rsid w:val="00F30A47"/>
    <w:rsid w:val="00F30A57"/>
    <w:rsid w:val="00F30A87"/>
    <w:rsid w:val="00F30AD0"/>
    <w:rsid w:val="00F30B37"/>
    <w:rsid w:val="00F30E61"/>
    <w:rsid w:val="00F30EBD"/>
    <w:rsid w:val="00F30FC8"/>
    <w:rsid w:val="00F310C1"/>
    <w:rsid w:val="00F311A4"/>
    <w:rsid w:val="00F31583"/>
    <w:rsid w:val="00F3168C"/>
    <w:rsid w:val="00F316D0"/>
    <w:rsid w:val="00F3186F"/>
    <w:rsid w:val="00F31882"/>
    <w:rsid w:val="00F3192D"/>
    <w:rsid w:val="00F31A21"/>
    <w:rsid w:val="00F31A8E"/>
    <w:rsid w:val="00F31A92"/>
    <w:rsid w:val="00F31A99"/>
    <w:rsid w:val="00F31B4A"/>
    <w:rsid w:val="00F31C1D"/>
    <w:rsid w:val="00F31C3F"/>
    <w:rsid w:val="00F31C4D"/>
    <w:rsid w:val="00F31EBB"/>
    <w:rsid w:val="00F3214C"/>
    <w:rsid w:val="00F321A7"/>
    <w:rsid w:val="00F321CA"/>
    <w:rsid w:val="00F321F1"/>
    <w:rsid w:val="00F3229E"/>
    <w:rsid w:val="00F32473"/>
    <w:rsid w:val="00F32494"/>
    <w:rsid w:val="00F32867"/>
    <w:rsid w:val="00F32BE4"/>
    <w:rsid w:val="00F32DFD"/>
    <w:rsid w:val="00F32E26"/>
    <w:rsid w:val="00F32E65"/>
    <w:rsid w:val="00F32F97"/>
    <w:rsid w:val="00F3345A"/>
    <w:rsid w:val="00F33473"/>
    <w:rsid w:val="00F335F6"/>
    <w:rsid w:val="00F337C9"/>
    <w:rsid w:val="00F3382C"/>
    <w:rsid w:val="00F3387E"/>
    <w:rsid w:val="00F338EB"/>
    <w:rsid w:val="00F3396C"/>
    <w:rsid w:val="00F33985"/>
    <w:rsid w:val="00F33AE2"/>
    <w:rsid w:val="00F33CA0"/>
    <w:rsid w:val="00F33D17"/>
    <w:rsid w:val="00F33EB4"/>
    <w:rsid w:val="00F33F92"/>
    <w:rsid w:val="00F33FAB"/>
    <w:rsid w:val="00F34118"/>
    <w:rsid w:val="00F341EA"/>
    <w:rsid w:val="00F34217"/>
    <w:rsid w:val="00F3430C"/>
    <w:rsid w:val="00F34391"/>
    <w:rsid w:val="00F3439F"/>
    <w:rsid w:val="00F343D1"/>
    <w:rsid w:val="00F344CA"/>
    <w:rsid w:val="00F3466C"/>
    <w:rsid w:val="00F3480B"/>
    <w:rsid w:val="00F34AC2"/>
    <w:rsid w:val="00F34BB3"/>
    <w:rsid w:val="00F34C04"/>
    <w:rsid w:val="00F34D1A"/>
    <w:rsid w:val="00F34EE4"/>
    <w:rsid w:val="00F34F3C"/>
    <w:rsid w:val="00F3559C"/>
    <w:rsid w:val="00F35641"/>
    <w:rsid w:val="00F3573E"/>
    <w:rsid w:val="00F3579D"/>
    <w:rsid w:val="00F358D0"/>
    <w:rsid w:val="00F35A1E"/>
    <w:rsid w:val="00F35C4B"/>
    <w:rsid w:val="00F35CA1"/>
    <w:rsid w:val="00F36084"/>
    <w:rsid w:val="00F36176"/>
    <w:rsid w:val="00F361E2"/>
    <w:rsid w:val="00F36245"/>
    <w:rsid w:val="00F3635B"/>
    <w:rsid w:val="00F363E9"/>
    <w:rsid w:val="00F36465"/>
    <w:rsid w:val="00F3658F"/>
    <w:rsid w:val="00F3689A"/>
    <w:rsid w:val="00F368FD"/>
    <w:rsid w:val="00F369D2"/>
    <w:rsid w:val="00F36A9A"/>
    <w:rsid w:val="00F36AF8"/>
    <w:rsid w:val="00F36D09"/>
    <w:rsid w:val="00F36F0F"/>
    <w:rsid w:val="00F37012"/>
    <w:rsid w:val="00F37332"/>
    <w:rsid w:val="00F37406"/>
    <w:rsid w:val="00F374CE"/>
    <w:rsid w:val="00F37684"/>
    <w:rsid w:val="00F378E4"/>
    <w:rsid w:val="00F37A95"/>
    <w:rsid w:val="00F37B9F"/>
    <w:rsid w:val="00F37C18"/>
    <w:rsid w:val="00F37C27"/>
    <w:rsid w:val="00F37D49"/>
    <w:rsid w:val="00F37E35"/>
    <w:rsid w:val="00F37E3E"/>
    <w:rsid w:val="00F400F0"/>
    <w:rsid w:val="00F402C9"/>
    <w:rsid w:val="00F40486"/>
    <w:rsid w:val="00F406D2"/>
    <w:rsid w:val="00F40910"/>
    <w:rsid w:val="00F4094C"/>
    <w:rsid w:val="00F40BFB"/>
    <w:rsid w:val="00F40C27"/>
    <w:rsid w:val="00F40C91"/>
    <w:rsid w:val="00F40C98"/>
    <w:rsid w:val="00F40DB8"/>
    <w:rsid w:val="00F40FA2"/>
    <w:rsid w:val="00F40FE1"/>
    <w:rsid w:val="00F410D5"/>
    <w:rsid w:val="00F4138A"/>
    <w:rsid w:val="00F41573"/>
    <w:rsid w:val="00F415DD"/>
    <w:rsid w:val="00F416B5"/>
    <w:rsid w:val="00F416E6"/>
    <w:rsid w:val="00F41707"/>
    <w:rsid w:val="00F41842"/>
    <w:rsid w:val="00F41B5C"/>
    <w:rsid w:val="00F41BCE"/>
    <w:rsid w:val="00F41E44"/>
    <w:rsid w:val="00F41ECE"/>
    <w:rsid w:val="00F423B1"/>
    <w:rsid w:val="00F424D4"/>
    <w:rsid w:val="00F4254B"/>
    <w:rsid w:val="00F429F2"/>
    <w:rsid w:val="00F42B35"/>
    <w:rsid w:val="00F42C70"/>
    <w:rsid w:val="00F42CB6"/>
    <w:rsid w:val="00F42D19"/>
    <w:rsid w:val="00F42EE5"/>
    <w:rsid w:val="00F43148"/>
    <w:rsid w:val="00F43317"/>
    <w:rsid w:val="00F43625"/>
    <w:rsid w:val="00F4365E"/>
    <w:rsid w:val="00F436E4"/>
    <w:rsid w:val="00F436FB"/>
    <w:rsid w:val="00F436FE"/>
    <w:rsid w:val="00F4377D"/>
    <w:rsid w:val="00F43863"/>
    <w:rsid w:val="00F43878"/>
    <w:rsid w:val="00F43BF5"/>
    <w:rsid w:val="00F4409A"/>
    <w:rsid w:val="00F441AC"/>
    <w:rsid w:val="00F446A9"/>
    <w:rsid w:val="00F4470D"/>
    <w:rsid w:val="00F4477D"/>
    <w:rsid w:val="00F447C4"/>
    <w:rsid w:val="00F4481A"/>
    <w:rsid w:val="00F4484C"/>
    <w:rsid w:val="00F448AA"/>
    <w:rsid w:val="00F44CBD"/>
    <w:rsid w:val="00F44D02"/>
    <w:rsid w:val="00F44E14"/>
    <w:rsid w:val="00F44FA2"/>
    <w:rsid w:val="00F44FAD"/>
    <w:rsid w:val="00F451C4"/>
    <w:rsid w:val="00F452D8"/>
    <w:rsid w:val="00F4531A"/>
    <w:rsid w:val="00F4538B"/>
    <w:rsid w:val="00F45753"/>
    <w:rsid w:val="00F457F4"/>
    <w:rsid w:val="00F45A11"/>
    <w:rsid w:val="00F45B9B"/>
    <w:rsid w:val="00F45BA4"/>
    <w:rsid w:val="00F45C2A"/>
    <w:rsid w:val="00F45CE9"/>
    <w:rsid w:val="00F45E48"/>
    <w:rsid w:val="00F45EE3"/>
    <w:rsid w:val="00F45F9E"/>
    <w:rsid w:val="00F4620B"/>
    <w:rsid w:val="00F4621F"/>
    <w:rsid w:val="00F46250"/>
    <w:rsid w:val="00F462BB"/>
    <w:rsid w:val="00F463F4"/>
    <w:rsid w:val="00F46533"/>
    <w:rsid w:val="00F4664F"/>
    <w:rsid w:val="00F4675E"/>
    <w:rsid w:val="00F46A31"/>
    <w:rsid w:val="00F46AA4"/>
    <w:rsid w:val="00F46B3A"/>
    <w:rsid w:val="00F46C14"/>
    <w:rsid w:val="00F46C34"/>
    <w:rsid w:val="00F46C99"/>
    <w:rsid w:val="00F46CCC"/>
    <w:rsid w:val="00F46E11"/>
    <w:rsid w:val="00F46E98"/>
    <w:rsid w:val="00F46FD9"/>
    <w:rsid w:val="00F47459"/>
    <w:rsid w:val="00F47537"/>
    <w:rsid w:val="00F4786A"/>
    <w:rsid w:val="00F478E0"/>
    <w:rsid w:val="00F4793C"/>
    <w:rsid w:val="00F479D0"/>
    <w:rsid w:val="00F47ACF"/>
    <w:rsid w:val="00F47B5A"/>
    <w:rsid w:val="00F47E53"/>
    <w:rsid w:val="00F47E8A"/>
    <w:rsid w:val="00F47EE7"/>
    <w:rsid w:val="00F47F00"/>
    <w:rsid w:val="00F500AC"/>
    <w:rsid w:val="00F500D8"/>
    <w:rsid w:val="00F502E5"/>
    <w:rsid w:val="00F503ED"/>
    <w:rsid w:val="00F50726"/>
    <w:rsid w:val="00F508B6"/>
    <w:rsid w:val="00F50AB1"/>
    <w:rsid w:val="00F50C5B"/>
    <w:rsid w:val="00F50CDA"/>
    <w:rsid w:val="00F50DBD"/>
    <w:rsid w:val="00F50E39"/>
    <w:rsid w:val="00F50E60"/>
    <w:rsid w:val="00F51214"/>
    <w:rsid w:val="00F51234"/>
    <w:rsid w:val="00F5148E"/>
    <w:rsid w:val="00F5154D"/>
    <w:rsid w:val="00F51650"/>
    <w:rsid w:val="00F517C5"/>
    <w:rsid w:val="00F5188B"/>
    <w:rsid w:val="00F518D7"/>
    <w:rsid w:val="00F518E7"/>
    <w:rsid w:val="00F5195B"/>
    <w:rsid w:val="00F51984"/>
    <w:rsid w:val="00F51BE5"/>
    <w:rsid w:val="00F51C7C"/>
    <w:rsid w:val="00F51C98"/>
    <w:rsid w:val="00F51D29"/>
    <w:rsid w:val="00F51E14"/>
    <w:rsid w:val="00F51ED7"/>
    <w:rsid w:val="00F51FAF"/>
    <w:rsid w:val="00F51FEE"/>
    <w:rsid w:val="00F5201A"/>
    <w:rsid w:val="00F5207F"/>
    <w:rsid w:val="00F523BF"/>
    <w:rsid w:val="00F52475"/>
    <w:rsid w:val="00F524EF"/>
    <w:rsid w:val="00F526B6"/>
    <w:rsid w:val="00F52774"/>
    <w:rsid w:val="00F527A4"/>
    <w:rsid w:val="00F52806"/>
    <w:rsid w:val="00F5299A"/>
    <w:rsid w:val="00F52A29"/>
    <w:rsid w:val="00F52BBF"/>
    <w:rsid w:val="00F52D27"/>
    <w:rsid w:val="00F52F92"/>
    <w:rsid w:val="00F53038"/>
    <w:rsid w:val="00F53117"/>
    <w:rsid w:val="00F53166"/>
    <w:rsid w:val="00F53194"/>
    <w:rsid w:val="00F53224"/>
    <w:rsid w:val="00F5341F"/>
    <w:rsid w:val="00F5358C"/>
    <w:rsid w:val="00F5379D"/>
    <w:rsid w:val="00F537C8"/>
    <w:rsid w:val="00F538D3"/>
    <w:rsid w:val="00F538FB"/>
    <w:rsid w:val="00F53B2E"/>
    <w:rsid w:val="00F53C29"/>
    <w:rsid w:val="00F53D07"/>
    <w:rsid w:val="00F53D8B"/>
    <w:rsid w:val="00F53E66"/>
    <w:rsid w:val="00F53F0B"/>
    <w:rsid w:val="00F53FAB"/>
    <w:rsid w:val="00F5404A"/>
    <w:rsid w:val="00F54325"/>
    <w:rsid w:val="00F543D7"/>
    <w:rsid w:val="00F544E4"/>
    <w:rsid w:val="00F54554"/>
    <w:rsid w:val="00F5481A"/>
    <w:rsid w:val="00F549BA"/>
    <w:rsid w:val="00F54ACF"/>
    <w:rsid w:val="00F54C5B"/>
    <w:rsid w:val="00F54D0F"/>
    <w:rsid w:val="00F55554"/>
    <w:rsid w:val="00F555F3"/>
    <w:rsid w:val="00F55634"/>
    <w:rsid w:val="00F558BE"/>
    <w:rsid w:val="00F559FA"/>
    <w:rsid w:val="00F55C6B"/>
    <w:rsid w:val="00F55E58"/>
    <w:rsid w:val="00F55EA3"/>
    <w:rsid w:val="00F56213"/>
    <w:rsid w:val="00F5627F"/>
    <w:rsid w:val="00F5628D"/>
    <w:rsid w:val="00F562E9"/>
    <w:rsid w:val="00F5669D"/>
    <w:rsid w:val="00F56A06"/>
    <w:rsid w:val="00F56B50"/>
    <w:rsid w:val="00F56CB2"/>
    <w:rsid w:val="00F56DCF"/>
    <w:rsid w:val="00F56EC5"/>
    <w:rsid w:val="00F56EE5"/>
    <w:rsid w:val="00F5746A"/>
    <w:rsid w:val="00F57563"/>
    <w:rsid w:val="00F577A0"/>
    <w:rsid w:val="00F57899"/>
    <w:rsid w:val="00F57925"/>
    <w:rsid w:val="00F57BA7"/>
    <w:rsid w:val="00F57CF4"/>
    <w:rsid w:val="00F57D4A"/>
    <w:rsid w:val="00F60001"/>
    <w:rsid w:val="00F60060"/>
    <w:rsid w:val="00F60068"/>
    <w:rsid w:val="00F601DF"/>
    <w:rsid w:val="00F6021C"/>
    <w:rsid w:val="00F6022B"/>
    <w:rsid w:val="00F6044B"/>
    <w:rsid w:val="00F60497"/>
    <w:rsid w:val="00F604DD"/>
    <w:rsid w:val="00F606E9"/>
    <w:rsid w:val="00F60993"/>
    <w:rsid w:val="00F60A89"/>
    <w:rsid w:val="00F60AA0"/>
    <w:rsid w:val="00F60AD5"/>
    <w:rsid w:val="00F60B4A"/>
    <w:rsid w:val="00F60BC4"/>
    <w:rsid w:val="00F60BE8"/>
    <w:rsid w:val="00F60C0E"/>
    <w:rsid w:val="00F60C56"/>
    <w:rsid w:val="00F60C8F"/>
    <w:rsid w:val="00F60D6E"/>
    <w:rsid w:val="00F60E29"/>
    <w:rsid w:val="00F60E7C"/>
    <w:rsid w:val="00F60E9C"/>
    <w:rsid w:val="00F60F06"/>
    <w:rsid w:val="00F61148"/>
    <w:rsid w:val="00F612A1"/>
    <w:rsid w:val="00F61478"/>
    <w:rsid w:val="00F614BA"/>
    <w:rsid w:val="00F614DB"/>
    <w:rsid w:val="00F614F1"/>
    <w:rsid w:val="00F6185C"/>
    <w:rsid w:val="00F619E8"/>
    <w:rsid w:val="00F619F8"/>
    <w:rsid w:val="00F61A76"/>
    <w:rsid w:val="00F61A8F"/>
    <w:rsid w:val="00F61B01"/>
    <w:rsid w:val="00F61BAE"/>
    <w:rsid w:val="00F61C36"/>
    <w:rsid w:val="00F61CD8"/>
    <w:rsid w:val="00F61FAF"/>
    <w:rsid w:val="00F622BB"/>
    <w:rsid w:val="00F6251B"/>
    <w:rsid w:val="00F6251C"/>
    <w:rsid w:val="00F62665"/>
    <w:rsid w:val="00F62684"/>
    <w:rsid w:val="00F627B0"/>
    <w:rsid w:val="00F62828"/>
    <w:rsid w:val="00F628D9"/>
    <w:rsid w:val="00F628DB"/>
    <w:rsid w:val="00F62B39"/>
    <w:rsid w:val="00F62CF0"/>
    <w:rsid w:val="00F62D44"/>
    <w:rsid w:val="00F62D6F"/>
    <w:rsid w:val="00F62DCE"/>
    <w:rsid w:val="00F62E05"/>
    <w:rsid w:val="00F62F36"/>
    <w:rsid w:val="00F6308D"/>
    <w:rsid w:val="00F630B4"/>
    <w:rsid w:val="00F630DE"/>
    <w:rsid w:val="00F631C1"/>
    <w:rsid w:val="00F631CB"/>
    <w:rsid w:val="00F63515"/>
    <w:rsid w:val="00F6357E"/>
    <w:rsid w:val="00F63641"/>
    <w:rsid w:val="00F63929"/>
    <w:rsid w:val="00F63981"/>
    <w:rsid w:val="00F63989"/>
    <w:rsid w:val="00F63A03"/>
    <w:rsid w:val="00F63A18"/>
    <w:rsid w:val="00F63D2F"/>
    <w:rsid w:val="00F63DF0"/>
    <w:rsid w:val="00F63E41"/>
    <w:rsid w:val="00F63EE9"/>
    <w:rsid w:val="00F640C5"/>
    <w:rsid w:val="00F64135"/>
    <w:rsid w:val="00F64139"/>
    <w:rsid w:val="00F6428E"/>
    <w:rsid w:val="00F64398"/>
    <w:rsid w:val="00F643E3"/>
    <w:rsid w:val="00F64468"/>
    <w:rsid w:val="00F645DD"/>
    <w:rsid w:val="00F64636"/>
    <w:rsid w:val="00F6464B"/>
    <w:rsid w:val="00F646A3"/>
    <w:rsid w:val="00F646FB"/>
    <w:rsid w:val="00F64874"/>
    <w:rsid w:val="00F64996"/>
    <w:rsid w:val="00F649D9"/>
    <w:rsid w:val="00F64B72"/>
    <w:rsid w:val="00F64DA7"/>
    <w:rsid w:val="00F64E0E"/>
    <w:rsid w:val="00F64EBE"/>
    <w:rsid w:val="00F64FB3"/>
    <w:rsid w:val="00F650E7"/>
    <w:rsid w:val="00F651BC"/>
    <w:rsid w:val="00F65253"/>
    <w:rsid w:val="00F65320"/>
    <w:rsid w:val="00F653CF"/>
    <w:rsid w:val="00F6561D"/>
    <w:rsid w:val="00F6587D"/>
    <w:rsid w:val="00F658E1"/>
    <w:rsid w:val="00F65B2B"/>
    <w:rsid w:val="00F65B70"/>
    <w:rsid w:val="00F65C75"/>
    <w:rsid w:val="00F65ECD"/>
    <w:rsid w:val="00F65EEB"/>
    <w:rsid w:val="00F66063"/>
    <w:rsid w:val="00F66114"/>
    <w:rsid w:val="00F66466"/>
    <w:rsid w:val="00F6656E"/>
    <w:rsid w:val="00F66664"/>
    <w:rsid w:val="00F66680"/>
    <w:rsid w:val="00F666E9"/>
    <w:rsid w:val="00F666F5"/>
    <w:rsid w:val="00F667AE"/>
    <w:rsid w:val="00F6685D"/>
    <w:rsid w:val="00F668AA"/>
    <w:rsid w:val="00F66A0C"/>
    <w:rsid w:val="00F66AFB"/>
    <w:rsid w:val="00F66D9A"/>
    <w:rsid w:val="00F66F63"/>
    <w:rsid w:val="00F671A0"/>
    <w:rsid w:val="00F671C8"/>
    <w:rsid w:val="00F67345"/>
    <w:rsid w:val="00F6751B"/>
    <w:rsid w:val="00F67563"/>
    <w:rsid w:val="00F67A5D"/>
    <w:rsid w:val="00F67A91"/>
    <w:rsid w:val="00F67AA5"/>
    <w:rsid w:val="00F67B29"/>
    <w:rsid w:val="00F67BFD"/>
    <w:rsid w:val="00F67C0C"/>
    <w:rsid w:val="00F67C3D"/>
    <w:rsid w:val="00F67CE5"/>
    <w:rsid w:val="00F67E0C"/>
    <w:rsid w:val="00F67ECC"/>
    <w:rsid w:val="00F67FCF"/>
    <w:rsid w:val="00F70177"/>
    <w:rsid w:val="00F7020C"/>
    <w:rsid w:val="00F70275"/>
    <w:rsid w:val="00F70327"/>
    <w:rsid w:val="00F7035B"/>
    <w:rsid w:val="00F704EF"/>
    <w:rsid w:val="00F705CA"/>
    <w:rsid w:val="00F70628"/>
    <w:rsid w:val="00F708B7"/>
    <w:rsid w:val="00F70D99"/>
    <w:rsid w:val="00F712CE"/>
    <w:rsid w:val="00F71349"/>
    <w:rsid w:val="00F71498"/>
    <w:rsid w:val="00F714C5"/>
    <w:rsid w:val="00F714E4"/>
    <w:rsid w:val="00F71695"/>
    <w:rsid w:val="00F71C41"/>
    <w:rsid w:val="00F71CD7"/>
    <w:rsid w:val="00F71EA5"/>
    <w:rsid w:val="00F71F2B"/>
    <w:rsid w:val="00F72033"/>
    <w:rsid w:val="00F72080"/>
    <w:rsid w:val="00F720B3"/>
    <w:rsid w:val="00F720E7"/>
    <w:rsid w:val="00F72104"/>
    <w:rsid w:val="00F72125"/>
    <w:rsid w:val="00F722C0"/>
    <w:rsid w:val="00F72566"/>
    <w:rsid w:val="00F72717"/>
    <w:rsid w:val="00F7278B"/>
    <w:rsid w:val="00F727B7"/>
    <w:rsid w:val="00F727CC"/>
    <w:rsid w:val="00F72931"/>
    <w:rsid w:val="00F7293C"/>
    <w:rsid w:val="00F729E7"/>
    <w:rsid w:val="00F72A21"/>
    <w:rsid w:val="00F72B3B"/>
    <w:rsid w:val="00F72B91"/>
    <w:rsid w:val="00F72BDA"/>
    <w:rsid w:val="00F72CCE"/>
    <w:rsid w:val="00F72D43"/>
    <w:rsid w:val="00F72ECF"/>
    <w:rsid w:val="00F72F34"/>
    <w:rsid w:val="00F7337E"/>
    <w:rsid w:val="00F73662"/>
    <w:rsid w:val="00F73690"/>
    <w:rsid w:val="00F73827"/>
    <w:rsid w:val="00F73A0E"/>
    <w:rsid w:val="00F73ADF"/>
    <w:rsid w:val="00F73D34"/>
    <w:rsid w:val="00F73E7F"/>
    <w:rsid w:val="00F73F4A"/>
    <w:rsid w:val="00F73FDD"/>
    <w:rsid w:val="00F740FC"/>
    <w:rsid w:val="00F74440"/>
    <w:rsid w:val="00F744EC"/>
    <w:rsid w:val="00F74557"/>
    <w:rsid w:val="00F7473B"/>
    <w:rsid w:val="00F74746"/>
    <w:rsid w:val="00F7479A"/>
    <w:rsid w:val="00F74813"/>
    <w:rsid w:val="00F74B0D"/>
    <w:rsid w:val="00F74B17"/>
    <w:rsid w:val="00F74BEB"/>
    <w:rsid w:val="00F74C7E"/>
    <w:rsid w:val="00F74DC3"/>
    <w:rsid w:val="00F74ED1"/>
    <w:rsid w:val="00F75019"/>
    <w:rsid w:val="00F75461"/>
    <w:rsid w:val="00F754DF"/>
    <w:rsid w:val="00F7560B"/>
    <w:rsid w:val="00F75710"/>
    <w:rsid w:val="00F7573A"/>
    <w:rsid w:val="00F757AD"/>
    <w:rsid w:val="00F757DA"/>
    <w:rsid w:val="00F757DB"/>
    <w:rsid w:val="00F75968"/>
    <w:rsid w:val="00F75AC4"/>
    <w:rsid w:val="00F75B78"/>
    <w:rsid w:val="00F75BA3"/>
    <w:rsid w:val="00F75BF0"/>
    <w:rsid w:val="00F75BFE"/>
    <w:rsid w:val="00F75F7E"/>
    <w:rsid w:val="00F75FA8"/>
    <w:rsid w:val="00F76161"/>
    <w:rsid w:val="00F76178"/>
    <w:rsid w:val="00F76314"/>
    <w:rsid w:val="00F764D4"/>
    <w:rsid w:val="00F76534"/>
    <w:rsid w:val="00F767DB"/>
    <w:rsid w:val="00F768F7"/>
    <w:rsid w:val="00F76A60"/>
    <w:rsid w:val="00F76D95"/>
    <w:rsid w:val="00F76F28"/>
    <w:rsid w:val="00F76F40"/>
    <w:rsid w:val="00F76FE5"/>
    <w:rsid w:val="00F7705C"/>
    <w:rsid w:val="00F770FC"/>
    <w:rsid w:val="00F771B2"/>
    <w:rsid w:val="00F77273"/>
    <w:rsid w:val="00F7733B"/>
    <w:rsid w:val="00F77425"/>
    <w:rsid w:val="00F7753B"/>
    <w:rsid w:val="00F77886"/>
    <w:rsid w:val="00F77B74"/>
    <w:rsid w:val="00F77BD9"/>
    <w:rsid w:val="00F77CC5"/>
    <w:rsid w:val="00F77D15"/>
    <w:rsid w:val="00F77D3A"/>
    <w:rsid w:val="00F77D57"/>
    <w:rsid w:val="00F77D98"/>
    <w:rsid w:val="00F77FA5"/>
    <w:rsid w:val="00F80016"/>
    <w:rsid w:val="00F801AD"/>
    <w:rsid w:val="00F8027F"/>
    <w:rsid w:val="00F802F8"/>
    <w:rsid w:val="00F80625"/>
    <w:rsid w:val="00F8066E"/>
    <w:rsid w:val="00F806F9"/>
    <w:rsid w:val="00F80C2A"/>
    <w:rsid w:val="00F80D02"/>
    <w:rsid w:val="00F80D84"/>
    <w:rsid w:val="00F810CD"/>
    <w:rsid w:val="00F81313"/>
    <w:rsid w:val="00F813AF"/>
    <w:rsid w:val="00F81729"/>
    <w:rsid w:val="00F81988"/>
    <w:rsid w:val="00F81A7C"/>
    <w:rsid w:val="00F81D68"/>
    <w:rsid w:val="00F81DE7"/>
    <w:rsid w:val="00F82015"/>
    <w:rsid w:val="00F825AF"/>
    <w:rsid w:val="00F825BA"/>
    <w:rsid w:val="00F825FF"/>
    <w:rsid w:val="00F8262E"/>
    <w:rsid w:val="00F8267F"/>
    <w:rsid w:val="00F82769"/>
    <w:rsid w:val="00F829EE"/>
    <w:rsid w:val="00F82AA1"/>
    <w:rsid w:val="00F82ACD"/>
    <w:rsid w:val="00F82C2C"/>
    <w:rsid w:val="00F82C99"/>
    <w:rsid w:val="00F82CC5"/>
    <w:rsid w:val="00F82D3F"/>
    <w:rsid w:val="00F82D79"/>
    <w:rsid w:val="00F82E5B"/>
    <w:rsid w:val="00F83078"/>
    <w:rsid w:val="00F8319D"/>
    <w:rsid w:val="00F8320E"/>
    <w:rsid w:val="00F83270"/>
    <w:rsid w:val="00F8330D"/>
    <w:rsid w:val="00F83315"/>
    <w:rsid w:val="00F83549"/>
    <w:rsid w:val="00F8363E"/>
    <w:rsid w:val="00F836AC"/>
    <w:rsid w:val="00F83813"/>
    <w:rsid w:val="00F839AD"/>
    <w:rsid w:val="00F839B9"/>
    <w:rsid w:val="00F83B07"/>
    <w:rsid w:val="00F83C8E"/>
    <w:rsid w:val="00F83E4A"/>
    <w:rsid w:val="00F8419B"/>
    <w:rsid w:val="00F8423E"/>
    <w:rsid w:val="00F846F8"/>
    <w:rsid w:val="00F8494F"/>
    <w:rsid w:val="00F84CFB"/>
    <w:rsid w:val="00F84D6C"/>
    <w:rsid w:val="00F84EE7"/>
    <w:rsid w:val="00F85305"/>
    <w:rsid w:val="00F85437"/>
    <w:rsid w:val="00F854DA"/>
    <w:rsid w:val="00F855F5"/>
    <w:rsid w:val="00F8580C"/>
    <w:rsid w:val="00F8589C"/>
    <w:rsid w:val="00F85913"/>
    <w:rsid w:val="00F85C44"/>
    <w:rsid w:val="00F85C6C"/>
    <w:rsid w:val="00F85DF2"/>
    <w:rsid w:val="00F85E26"/>
    <w:rsid w:val="00F85F91"/>
    <w:rsid w:val="00F86065"/>
    <w:rsid w:val="00F860EF"/>
    <w:rsid w:val="00F86117"/>
    <w:rsid w:val="00F861A8"/>
    <w:rsid w:val="00F861E1"/>
    <w:rsid w:val="00F862F8"/>
    <w:rsid w:val="00F8633A"/>
    <w:rsid w:val="00F864D5"/>
    <w:rsid w:val="00F86543"/>
    <w:rsid w:val="00F866BA"/>
    <w:rsid w:val="00F86739"/>
    <w:rsid w:val="00F867A1"/>
    <w:rsid w:val="00F8687B"/>
    <w:rsid w:val="00F86B02"/>
    <w:rsid w:val="00F86C4A"/>
    <w:rsid w:val="00F86D8E"/>
    <w:rsid w:val="00F86D93"/>
    <w:rsid w:val="00F86E83"/>
    <w:rsid w:val="00F86F3D"/>
    <w:rsid w:val="00F86FD8"/>
    <w:rsid w:val="00F8708A"/>
    <w:rsid w:val="00F871AB"/>
    <w:rsid w:val="00F87288"/>
    <w:rsid w:val="00F87309"/>
    <w:rsid w:val="00F87430"/>
    <w:rsid w:val="00F876A7"/>
    <w:rsid w:val="00F8775F"/>
    <w:rsid w:val="00F87895"/>
    <w:rsid w:val="00F878F7"/>
    <w:rsid w:val="00F87975"/>
    <w:rsid w:val="00F879D3"/>
    <w:rsid w:val="00F87A8F"/>
    <w:rsid w:val="00F87B74"/>
    <w:rsid w:val="00F87C20"/>
    <w:rsid w:val="00F87D85"/>
    <w:rsid w:val="00F87FDE"/>
    <w:rsid w:val="00F901A9"/>
    <w:rsid w:val="00F903C8"/>
    <w:rsid w:val="00F90400"/>
    <w:rsid w:val="00F9058B"/>
    <w:rsid w:val="00F905AF"/>
    <w:rsid w:val="00F9066E"/>
    <w:rsid w:val="00F90821"/>
    <w:rsid w:val="00F90852"/>
    <w:rsid w:val="00F90A72"/>
    <w:rsid w:val="00F90B61"/>
    <w:rsid w:val="00F90B8B"/>
    <w:rsid w:val="00F90BBD"/>
    <w:rsid w:val="00F90BEA"/>
    <w:rsid w:val="00F90DCE"/>
    <w:rsid w:val="00F90E3F"/>
    <w:rsid w:val="00F90F73"/>
    <w:rsid w:val="00F91038"/>
    <w:rsid w:val="00F91218"/>
    <w:rsid w:val="00F9128D"/>
    <w:rsid w:val="00F9132A"/>
    <w:rsid w:val="00F913BA"/>
    <w:rsid w:val="00F9147B"/>
    <w:rsid w:val="00F914A1"/>
    <w:rsid w:val="00F916DC"/>
    <w:rsid w:val="00F917AB"/>
    <w:rsid w:val="00F919EA"/>
    <w:rsid w:val="00F91AD8"/>
    <w:rsid w:val="00F91B03"/>
    <w:rsid w:val="00F91CF6"/>
    <w:rsid w:val="00F91EAC"/>
    <w:rsid w:val="00F91EFF"/>
    <w:rsid w:val="00F920C2"/>
    <w:rsid w:val="00F92233"/>
    <w:rsid w:val="00F922DB"/>
    <w:rsid w:val="00F92303"/>
    <w:rsid w:val="00F92362"/>
    <w:rsid w:val="00F9243D"/>
    <w:rsid w:val="00F92628"/>
    <w:rsid w:val="00F92630"/>
    <w:rsid w:val="00F92632"/>
    <w:rsid w:val="00F926E3"/>
    <w:rsid w:val="00F928DB"/>
    <w:rsid w:val="00F9296F"/>
    <w:rsid w:val="00F929B7"/>
    <w:rsid w:val="00F92A10"/>
    <w:rsid w:val="00F92A23"/>
    <w:rsid w:val="00F92AA2"/>
    <w:rsid w:val="00F92BEF"/>
    <w:rsid w:val="00F92D93"/>
    <w:rsid w:val="00F92DA0"/>
    <w:rsid w:val="00F92F51"/>
    <w:rsid w:val="00F92F9E"/>
    <w:rsid w:val="00F92FA2"/>
    <w:rsid w:val="00F9302E"/>
    <w:rsid w:val="00F93359"/>
    <w:rsid w:val="00F933F4"/>
    <w:rsid w:val="00F93500"/>
    <w:rsid w:val="00F9358C"/>
    <w:rsid w:val="00F936E2"/>
    <w:rsid w:val="00F93775"/>
    <w:rsid w:val="00F9387B"/>
    <w:rsid w:val="00F93A95"/>
    <w:rsid w:val="00F93B39"/>
    <w:rsid w:val="00F93CB0"/>
    <w:rsid w:val="00F93D9C"/>
    <w:rsid w:val="00F93E90"/>
    <w:rsid w:val="00F942B6"/>
    <w:rsid w:val="00F944BC"/>
    <w:rsid w:val="00F944D9"/>
    <w:rsid w:val="00F9482D"/>
    <w:rsid w:val="00F94A9C"/>
    <w:rsid w:val="00F94AF6"/>
    <w:rsid w:val="00F94C5C"/>
    <w:rsid w:val="00F94CB6"/>
    <w:rsid w:val="00F94D38"/>
    <w:rsid w:val="00F94DFC"/>
    <w:rsid w:val="00F94E8F"/>
    <w:rsid w:val="00F94EA1"/>
    <w:rsid w:val="00F94EA3"/>
    <w:rsid w:val="00F94F53"/>
    <w:rsid w:val="00F95011"/>
    <w:rsid w:val="00F9508E"/>
    <w:rsid w:val="00F95123"/>
    <w:rsid w:val="00F9520F"/>
    <w:rsid w:val="00F9524C"/>
    <w:rsid w:val="00F9529D"/>
    <w:rsid w:val="00F952D4"/>
    <w:rsid w:val="00F95550"/>
    <w:rsid w:val="00F957EB"/>
    <w:rsid w:val="00F958B0"/>
    <w:rsid w:val="00F958CD"/>
    <w:rsid w:val="00F9596D"/>
    <w:rsid w:val="00F95B17"/>
    <w:rsid w:val="00F95BDC"/>
    <w:rsid w:val="00F95C57"/>
    <w:rsid w:val="00F95E73"/>
    <w:rsid w:val="00F95ED8"/>
    <w:rsid w:val="00F960FC"/>
    <w:rsid w:val="00F9610A"/>
    <w:rsid w:val="00F96167"/>
    <w:rsid w:val="00F962E5"/>
    <w:rsid w:val="00F9632E"/>
    <w:rsid w:val="00F96552"/>
    <w:rsid w:val="00F9658E"/>
    <w:rsid w:val="00F9666B"/>
    <w:rsid w:val="00F966E9"/>
    <w:rsid w:val="00F9681F"/>
    <w:rsid w:val="00F96842"/>
    <w:rsid w:val="00F968C6"/>
    <w:rsid w:val="00F96B32"/>
    <w:rsid w:val="00F96DBB"/>
    <w:rsid w:val="00F970F9"/>
    <w:rsid w:val="00F97181"/>
    <w:rsid w:val="00F97246"/>
    <w:rsid w:val="00F972B1"/>
    <w:rsid w:val="00F972B6"/>
    <w:rsid w:val="00F97683"/>
    <w:rsid w:val="00F976D9"/>
    <w:rsid w:val="00F976DB"/>
    <w:rsid w:val="00F97866"/>
    <w:rsid w:val="00F97921"/>
    <w:rsid w:val="00F97ADD"/>
    <w:rsid w:val="00F97D24"/>
    <w:rsid w:val="00F97DCB"/>
    <w:rsid w:val="00F97E4C"/>
    <w:rsid w:val="00FA078A"/>
    <w:rsid w:val="00FA0A5B"/>
    <w:rsid w:val="00FA0B53"/>
    <w:rsid w:val="00FA0D9C"/>
    <w:rsid w:val="00FA0DFC"/>
    <w:rsid w:val="00FA1090"/>
    <w:rsid w:val="00FA116E"/>
    <w:rsid w:val="00FA11F6"/>
    <w:rsid w:val="00FA1364"/>
    <w:rsid w:val="00FA13CF"/>
    <w:rsid w:val="00FA1476"/>
    <w:rsid w:val="00FA16A3"/>
    <w:rsid w:val="00FA16F1"/>
    <w:rsid w:val="00FA1A10"/>
    <w:rsid w:val="00FA1B8F"/>
    <w:rsid w:val="00FA1F45"/>
    <w:rsid w:val="00FA1F97"/>
    <w:rsid w:val="00FA1FF8"/>
    <w:rsid w:val="00FA203B"/>
    <w:rsid w:val="00FA20F0"/>
    <w:rsid w:val="00FA2136"/>
    <w:rsid w:val="00FA234B"/>
    <w:rsid w:val="00FA2637"/>
    <w:rsid w:val="00FA2687"/>
    <w:rsid w:val="00FA26E0"/>
    <w:rsid w:val="00FA2749"/>
    <w:rsid w:val="00FA275B"/>
    <w:rsid w:val="00FA2789"/>
    <w:rsid w:val="00FA2888"/>
    <w:rsid w:val="00FA2985"/>
    <w:rsid w:val="00FA2A8A"/>
    <w:rsid w:val="00FA2CAD"/>
    <w:rsid w:val="00FA3062"/>
    <w:rsid w:val="00FA30CC"/>
    <w:rsid w:val="00FA3284"/>
    <w:rsid w:val="00FA32B9"/>
    <w:rsid w:val="00FA32F9"/>
    <w:rsid w:val="00FA3312"/>
    <w:rsid w:val="00FA331F"/>
    <w:rsid w:val="00FA3377"/>
    <w:rsid w:val="00FA3433"/>
    <w:rsid w:val="00FA353E"/>
    <w:rsid w:val="00FA3623"/>
    <w:rsid w:val="00FA3639"/>
    <w:rsid w:val="00FA36B1"/>
    <w:rsid w:val="00FA3705"/>
    <w:rsid w:val="00FA37BE"/>
    <w:rsid w:val="00FA3941"/>
    <w:rsid w:val="00FA3A10"/>
    <w:rsid w:val="00FA3A6D"/>
    <w:rsid w:val="00FA3D1C"/>
    <w:rsid w:val="00FA3DDD"/>
    <w:rsid w:val="00FA4061"/>
    <w:rsid w:val="00FA417E"/>
    <w:rsid w:val="00FA43A0"/>
    <w:rsid w:val="00FA4559"/>
    <w:rsid w:val="00FA45B9"/>
    <w:rsid w:val="00FA487E"/>
    <w:rsid w:val="00FA4882"/>
    <w:rsid w:val="00FA49CF"/>
    <w:rsid w:val="00FA4AD6"/>
    <w:rsid w:val="00FA4B99"/>
    <w:rsid w:val="00FA4C22"/>
    <w:rsid w:val="00FA4E97"/>
    <w:rsid w:val="00FA4FF5"/>
    <w:rsid w:val="00FA50A2"/>
    <w:rsid w:val="00FA5110"/>
    <w:rsid w:val="00FA5311"/>
    <w:rsid w:val="00FA542E"/>
    <w:rsid w:val="00FA54AD"/>
    <w:rsid w:val="00FA5519"/>
    <w:rsid w:val="00FA55F7"/>
    <w:rsid w:val="00FA5697"/>
    <w:rsid w:val="00FA56B6"/>
    <w:rsid w:val="00FA56DB"/>
    <w:rsid w:val="00FA582D"/>
    <w:rsid w:val="00FA5867"/>
    <w:rsid w:val="00FA5A69"/>
    <w:rsid w:val="00FA5A9E"/>
    <w:rsid w:val="00FA5D0E"/>
    <w:rsid w:val="00FA5D24"/>
    <w:rsid w:val="00FA5D54"/>
    <w:rsid w:val="00FA5E01"/>
    <w:rsid w:val="00FA5E5F"/>
    <w:rsid w:val="00FA610E"/>
    <w:rsid w:val="00FA6191"/>
    <w:rsid w:val="00FA62F0"/>
    <w:rsid w:val="00FA6550"/>
    <w:rsid w:val="00FA6560"/>
    <w:rsid w:val="00FA663C"/>
    <w:rsid w:val="00FA66E5"/>
    <w:rsid w:val="00FA67AD"/>
    <w:rsid w:val="00FA6995"/>
    <w:rsid w:val="00FA69E6"/>
    <w:rsid w:val="00FA6B30"/>
    <w:rsid w:val="00FA6BF5"/>
    <w:rsid w:val="00FA6BFD"/>
    <w:rsid w:val="00FA6DE8"/>
    <w:rsid w:val="00FA6E4D"/>
    <w:rsid w:val="00FA6E89"/>
    <w:rsid w:val="00FA7104"/>
    <w:rsid w:val="00FA7653"/>
    <w:rsid w:val="00FA7739"/>
    <w:rsid w:val="00FA777C"/>
    <w:rsid w:val="00FA7856"/>
    <w:rsid w:val="00FA7AA9"/>
    <w:rsid w:val="00FA7B2F"/>
    <w:rsid w:val="00FA7CD0"/>
    <w:rsid w:val="00FA7CFF"/>
    <w:rsid w:val="00FA7D66"/>
    <w:rsid w:val="00FA7D85"/>
    <w:rsid w:val="00FA7EBC"/>
    <w:rsid w:val="00FA7F0B"/>
    <w:rsid w:val="00FA7F26"/>
    <w:rsid w:val="00FA7F89"/>
    <w:rsid w:val="00FA7FA1"/>
    <w:rsid w:val="00FA7FF3"/>
    <w:rsid w:val="00FB01E6"/>
    <w:rsid w:val="00FB02D6"/>
    <w:rsid w:val="00FB032B"/>
    <w:rsid w:val="00FB0417"/>
    <w:rsid w:val="00FB065D"/>
    <w:rsid w:val="00FB07C6"/>
    <w:rsid w:val="00FB07CE"/>
    <w:rsid w:val="00FB08A6"/>
    <w:rsid w:val="00FB0B92"/>
    <w:rsid w:val="00FB0C47"/>
    <w:rsid w:val="00FB0D3E"/>
    <w:rsid w:val="00FB0DAA"/>
    <w:rsid w:val="00FB10BB"/>
    <w:rsid w:val="00FB1120"/>
    <w:rsid w:val="00FB11C3"/>
    <w:rsid w:val="00FB11E9"/>
    <w:rsid w:val="00FB1436"/>
    <w:rsid w:val="00FB149C"/>
    <w:rsid w:val="00FB14B9"/>
    <w:rsid w:val="00FB14E3"/>
    <w:rsid w:val="00FB16A1"/>
    <w:rsid w:val="00FB172F"/>
    <w:rsid w:val="00FB1785"/>
    <w:rsid w:val="00FB1893"/>
    <w:rsid w:val="00FB18BD"/>
    <w:rsid w:val="00FB198F"/>
    <w:rsid w:val="00FB1BBC"/>
    <w:rsid w:val="00FB1F0A"/>
    <w:rsid w:val="00FB1F16"/>
    <w:rsid w:val="00FB2063"/>
    <w:rsid w:val="00FB2080"/>
    <w:rsid w:val="00FB2110"/>
    <w:rsid w:val="00FB252C"/>
    <w:rsid w:val="00FB2570"/>
    <w:rsid w:val="00FB27AF"/>
    <w:rsid w:val="00FB285D"/>
    <w:rsid w:val="00FB2AF0"/>
    <w:rsid w:val="00FB2C11"/>
    <w:rsid w:val="00FB2D45"/>
    <w:rsid w:val="00FB3108"/>
    <w:rsid w:val="00FB31D1"/>
    <w:rsid w:val="00FB32C4"/>
    <w:rsid w:val="00FB358B"/>
    <w:rsid w:val="00FB37FE"/>
    <w:rsid w:val="00FB38B4"/>
    <w:rsid w:val="00FB3C65"/>
    <w:rsid w:val="00FB3C69"/>
    <w:rsid w:val="00FB3C92"/>
    <w:rsid w:val="00FB3CC3"/>
    <w:rsid w:val="00FB3E7B"/>
    <w:rsid w:val="00FB3E8C"/>
    <w:rsid w:val="00FB4420"/>
    <w:rsid w:val="00FB45AC"/>
    <w:rsid w:val="00FB463C"/>
    <w:rsid w:val="00FB46FF"/>
    <w:rsid w:val="00FB48D8"/>
    <w:rsid w:val="00FB4CF2"/>
    <w:rsid w:val="00FB4E34"/>
    <w:rsid w:val="00FB4F9D"/>
    <w:rsid w:val="00FB52C9"/>
    <w:rsid w:val="00FB5311"/>
    <w:rsid w:val="00FB5378"/>
    <w:rsid w:val="00FB55B6"/>
    <w:rsid w:val="00FB55F3"/>
    <w:rsid w:val="00FB5770"/>
    <w:rsid w:val="00FB582B"/>
    <w:rsid w:val="00FB594F"/>
    <w:rsid w:val="00FB5B79"/>
    <w:rsid w:val="00FB5DC8"/>
    <w:rsid w:val="00FB6092"/>
    <w:rsid w:val="00FB60DF"/>
    <w:rsid w:val="00FB616E"/>
    <w:rsid w:val="00FB6247"/>
    <w:rsid w:val="00FB65A7"/>
    <w:rsid w:val="00FB682D"/>
    <w:rsid w:val="00FB6837"/>
    <w:rsid w:val="00FB6A04"/>
    <w:rsid w:val="00FB6BAC"/>
    <w:rsid w:val="00FB6BEE"/>
    <w:rsid w:val="00FB6C24"/>
    <w:rsid w:val="00FB6C86"/>
    <w:rsid w:val="00FB6D11"/>
    <w:rsid w:val="00FB6DD2"/>
    <w:rsid w:val="00FB6E8C"/>
    <w:rsid w:val="00FB6F21"/>
    <w:rsid w:val="00FB6F91"/>
    <w:rsid w:val="00FB7141"/>
    <w:rsid w:val="00FB7155"/>
    <w:rsid w:val="00FB7200"/>
    <w:rsid w:val="00FB73F8"/>
    <w:rsid w:val="00FB754E"/>
    <w:rsid w:val="00FB759E"/>
    <w:rsid w:val="00FB75F7"/>
    <w:rsid w:val="00FB765F"/>
    <w:rsid w:val="00FB76F0"/>
    <w:rsid w:val="00FB7722"/>
    <w:rsid w:val="00FB7815"/>
    <w:rsid w:val="00FB7917"/>
    <w:rsid w:val="00FB79A7"/>
    <w:rsid w:val="00FB7A33"/>
    <w:rsid w:val="00FB7BD8"/>
    <w:rsid w:val="00FB7D5B"/>
    <w:rsid w:val="00FB7DBC"/>
    <w:rsid w:val="00FB7DEB"/>
    <w:rsid w:val="00FC0018"/>
    <w:rsid w:val="00FC0292"/>
    <w:rsid w:val="00FC04B0"/>
    <w:rsid w:val="00FC0630"/>
    <w:rsid w:val="00FC0634"/>
    <w:rsid w:val="00FC06F5"/>
    <w:rsid w:val="00FC0830"/>
    <w:rsid w:val="00FC0897"/>
    <w:rsid w:val="00FC092B"/>
    <w:rsid w:val="00FC0A17"/>
    <w:rsid w:val="00FC0A31"/>
    <w:rsid w:val="00FC0BEE"/>
    <w:rsid w:val="00FC0C12"/>
    <w:rsid w:val="00FC0DDE"/>
    <w:rsid w:val="00FC0EBA"/>
    <w:rsid w:val="00FC0FB3"/>
    <w:rsid w:val="00FC16BF"/>
    <w:rsid w:val="00FC1A03"/>
    <w:rsid w:val="00FC1A78"/>
    <w:rsid w:val="00FC1AEA"/>
    <w:rsid w:val="00FC1B21"/>
    <w:rsid w:val="00FC1BEB"/>
    <w:rsid w:val="00FC1D9D"/>
    <w:rsid w:val="00FC1EBA"/>
    <w:rsid w:val="00FC1F32"/>
    <w:rsid w:val="00FC1F66"/>
    <w:rsid w:val="00FC20DE"/>
    <w:rsid w:val="00FC215C"/>
    <w:rsid w:val="00FC218B"/>
    <w:rsid w:val="00FC224B"/>
    <w:rsid w:val="00FC2299"/>
    <w:rsid w:val="00FC2316"/>
    <w:rsid w:val="00FC2733"/>
    <w:rsid w:val="00FC27CC"/>
    <w:rsid w:val="00FC27E3"/>
    <w:rsid w:val="00FC27EA"/>
    <w:rsid w:val="00FC2869"/>
    <w:rsid w:val="00FC28A4"/>
    <w:rsid w:val="00FC29A2"/>
    <w:rsid w:val="00FC29FB"/>
    <w:rsid w:val="00FC2C1B"/>
    <w:rsid w:val="00FC2D23"/>
    <w:rsid w:val="00FC2E09"/>
    <w:rsid w:val="00FC3176"/>
    <w:rsid w:val="00FC3793"/>
    <w:rsid w:val="00FC392B"/>
    <w:rsid w:val="00FC3C0D"/>
    <w:rsid w:val="00FC3CAF"/>
    <w:rsid w:val="00FC3CB6"/>
    <w:rsid w:val="00FC4053"/>
    <w:rsid w:val="00FC427B"/>
    <w:rsid w:val="00FC42B3"/>
    <w:rsid w:val="00FC4409"/>
    <w:rsid w:val="00FC4514"/>
    <w:rsid w:val="00FC4AC9"/>
    <w:rsid w:val="00FC4E4F"/>
    <w:rsid w:val="00FC4F3F"/>
    <w:rsid w:val="00FC5070"/>
    <w:rsid w:val="00FC5234"/>
    <w:rsid w:val="00FC55B5"/>
    <w:rsid w:val="00FC5625"/>
    <w:rsid w:val="00FC562C"/>
    <w:rsid w:val="00FC56B2"/>
    <w:rsid w:val="00FC5832"/>
    <w:rsid w:val="00FC58E1"/>
    <w:rsid w:val="00FC5A5C"/>
    <w:rsid w:val="00FC5B75"/>
    <w:rsid w:val="00FC5C7D"/>
    <w:rsid w:val="00FC6115"/>
    <w:rsid w:val="00FC6149"/>
    <w:rsid w:val="00FC61BB"/>
    <w:rsid w:val="00FC654D"/>
    <w:rsid w:val="00FC65B5"/>
    <w:rsid w:val="00FC665D"/>
    <w:rsid w:val="00FC67C7"/>
    <w:rsid w:val="00FC691E"/>
    <w:rsid w:val="00FC6A88"/>
    <w:rsid w:val="00FC6AFE"/>
    <w:rsid w:val="00FC6BC4"/>
    <w:rsid w:val="00FC6C40"/>
    <w:rsid w:val="00FC6C90"/>
    <w:rsid w:val="00FC6CA4"/>
    <w:rsid w:val="00FC6CB9"/>
    <w:rsid w:val="00FC6F7C"/>
    <w:rsid w:val="00FC6FC8"/>
    <w:rsid w:val="00FC70B4"/>
    <w:rsid w:val="00FC72FF"/>
    <w:rsid w:val="00FC7370"/>
    <w:rsid w:val="00FC7498"/>
    <w:rsid w:val="00FC763E"/>
    <w:rsid w:val="00FC7801"/>
    <w:rsid w:val="00FC78E2"/>
    <w:rsid w:val="00FC79A8"/>
    <w:rsid w:val="00FC7AB3"/>
    <w:rsid w:val="00FC7B5A"/>
    <w:rsid w:val="00FC7D54"/>
    <w:rsid w:val="00FC7DDB"/>
    <w:rsid w:val="00FC7ED9"/>
    <w:rsid w:val="00FC7F10"/>
    <w:rsid w:val="00FD0000"/>
    <w:rsid w:val="00FD013E"/>
    <w:rsid w:val="00FD0309"/>
    <w:rsid w:val="00FD041F"/>
    <w:rsid w:val="00FD06ED"/>
    <w:rsid w:val="00FD0874"/>
    <w:rsid w:val="00FD0AC8"/>
    <w:rsid w:val="00FD0D43"/>
    <w:rsid w:val="00FD0F98"/>
    <w:rsid w:val="00FD10FF"/>
    <w:rsid w:val="00FD133B"/>
    <w:rsid w:val="00FD14BC"/>
    <w:rsid w:val="00FD1537"/>
    <w:rsid w:val="00FD1630"/>
    <w:rsid w:val="00FD17CE"/>
    <w:rsid w:val="00FD184A"/>
    <w:rsid w:val="00FD198E"/>
    <w:rsid w:val="00FD1A72"/>
    <w:rsid w:val="00FD1B4A"/>
    <w:rsid w:val="00FD1E04"/>
    <w:rsid w:val="00FD1F9B"/>
    <w:rsid w:val="00FD225F"/>
    <w:rsid w:val="00FD23FD"/>
    <w:rsid w:val="00FD25EC"/>
    <w:rsid w:val="00FD2606"/>
    <w:rsid w:val="00FD260B"/>
    <w:rsid w:val="00FD27AA"/>
    <w:rsid w:val="00FD2AA5"/>
    <w:rsid w:val="00FD2B0C"/>
    <w:rsid w:val="00FD2CB6"/>
    <w:rsid w:val="00FD2E47"/>
    <w:rsid w:val="00FD2FE1"/>
    <w:rsid w:val="00FD3097"/>
    <w:rsid w:val="00FD3231"/>
    <w:rsid w:val="00FD32D0"/>
    <w:rsid w:val="00FD32D5"/>
    <w:rsid w:val="00FD36AC"/>
    <w:rsid w:val="00FD37DA"/>
    <w:rsid w:val="00FD382E"/>
    <w:rsid w:val="00FD38CA"/>
    <w:rsid w:val="00FD3937"/>
    <w:rsid w:val="00FD3938"/>
    <w:rsid w:val="00FD3B81"/>
    <w:rsid w:val="00FD3D9E"/>
    <w:rsid w:val="00FD3DFA"/>
    <w:rsid w:val="00FD41B5"/>
    <w:rsid w:val="00FD4317"/>
    <w:rsid w:val="00FD4363"/>
    <w:rsid w:val="00FD4366"/>
    <w:rsid w:val="00FD439C"/>
    <w:rsid w:val="00FD43E0"/>
    <w:rsid w:val="00FD442C"/>
    <w:rsid w:val="00FD461E"/>
    <w:rsid w:val="00FD466B"/>
    <w:rsid w:val="00FD47AF"/>
    <w:rsid w:val="00FD47D8"/>
    <w:rsid w:val="00FD48B7"/>
    <w:rsid w:val="00FD48EE"/>
    <w:rsid w:val="00FD49F3"/>
    <w:rsid w:val="00FD4D6E"/>
    <w:rsid w:val="00FD4E30"/>
    <w:rsid w:val="00FD4F55"/>
    <w:rsid w:val="00FD502F"/>
    <w:rsid w:val="00FD53D3"/>
    <w:rsid w:val="00FD5494"/>
    <w:rsid w:val="00FD55C4"/>
    <w:rsid w:val="00FD5E56"/>
    <w:rsid w:val="00FD5ED2"/>
    <w:rsid w:val="00FD600E"/>
    <w:rsid w:val="00FD6022"/>
    <w:rsid w:val="00FD6119"/>
    <w:rsid w:val="00FD62A6"/>
    <w:rsid w:val="00FD633F"/>
    <w:rsid w:val="00FD6482"/>
    <w:rsid w:val="00FD6483"/>
    <w:rsid w:val="00FD693C"/>
    <w:rsid w:val="00FD6A6E"/>
    <w:rsid w:val="00FD6AA1"/>
    <w:rsid w:val="00FD6C15"/>
    <w:rsid w:val="00FD6C3E"/>
    <w:rsid w:val="00FD6CA2"/>
    <w:rsid w:val="00FD6D9C"/>
    <w:rsid w:val="00FD6DBF"/>
    <w:rsid w:val="00FD6F2B"/>
    <w:rsid w:val="00FD6F68"/>
    <w:rsid w:val="00FD70CA"/>
    <w:rsid w:val="00FD7110"/>
    <w:rsid w:val="00FD716F"/>
    <w:rsid w:val="00FD7228"/>
    <w:rsid w:val="00FD7457"/>
    <w:rsid w:val="00FD76E4"/>
    <w:rsid w:val="00FD7701"/>
    <w:rsid w:val="00FD7872"/>
    <w:rsid w:val="00FD7978"/>
    <w:rsid w:val="00FD79C0"/>
    <w:rsid w:val="00FD7A36"/>
    <w:rsid w:val="00FD7CA8"/>
    <w:rsid w:val="00FD7E9E"/>
    <w:rsid w:val="00FD7EC2"/>
    <w:rsid w:val="00FD7F4D"/>
    <w:rsid w:val="00FE00AB"/>
    <w:rsid w:val="00FE00D8"/>
    <w:rsid w:val="00FE039C"/>
    <w:rsid w:val="00FE043E"/>
    <w:rsid w:val="00FE04C9"/>
    <w:rsid w:val="00FE0531"/>
    <w:rsid w:val="00FE06C1"/>
    <w:rsid w:val="00FE06D6"/>
    <w:rsid w:val="00FE0800"/>
    <w:rsid w:val="00FE0953"/>
    <w:rsid w:val="00FE0965"/>
    <w:rsid w:val="00FE09B8"/>
    <w:rsid w:val="00FE0A46"/>
    <w:rsid w:val="00FE0AB2"/>
    <w:rsid w:val="00FE0C6D"/>
    <w:rsid w:val="00FE0C95"/>
    <w:rsid w:val="00FE0D49"/>
    <w:rsid w:val="00FE100C"/>
    <w:rsid w:val="00FE1427"/>
    <w:rsid w:val="00FE1475"/>
    <w:rsid w:val="00FE14DE"/>
    <w:rsid w:val="00FE170E"/>
    <w:rsid w:val="00FE19C1"/>
    <w:rsid w:val="00FE1A80"/>
    <w:rsid w:val="00FE1A9A"/>
    <w:rsid w:val="00FE1BCD"/>
    <w:rsid w:val="00FE1C83"/>
    <w:rsid w:val="00FE1D8F"/>
    <w:rsid w:val="00FE1DBC"/>
    <w:rsid w:val="00FE1E97"/>
    <w:rsid w:val="00FE1F1E"/>
    <w:rsid w:val="00FE2003"/>
    <w:rsid w:val="00FE2028"/>
    <w:rsid w:val="00FE20C8"/>
    <w:rsid w:val="00FE21D0"/>
    <w:rsid w:val="00FE238C"/>
    <w:rsid w:val="00FE24C5"/>
    <w:rsid w:val="00FE24CF"/>
    <w:rsid w:val="00FE2548"/>
    <w:rsid w:val="00FE26A1"/>
    <w:rsid w:val="00FE26A5"/>
    <w:rsid w:val="00FE280A"/>
    <w:rsid w:val="00FE2936"/>
    <w:rsid w:val="00FE294A"/>
    <w:rsid w:val="00FE29E9"/>
    <w:rsid w:val="00FE2B2F"/>
    <w:rsid w:val="00FE2B6F"/>
    <w:rsid w:val="00FE2C2B"/>
    <w:rsid w:val="00FE2E27"/>
    <w:rsid w:val="00FE2E75"/>
    <w:rsid w:val="00FE2FE4"/>
    <w:rsid w:val="00FE3176"/>
    <w:rsid w:val="00FE31FA"/>
    <w:rsid w:val="00FE3465"/>
    <w:rsid w:val="00FE34D7"/>
    <w:rsid w:val="00FE3622"/>
    <w:rsid w:val="00FE3951"/>
    <w:rsid w:val="00FE3989"/>
    <w:rsid w:val="00FE39B0"/>
    <w:rsid w:val="00FE3AE4"/>
    <w:rsid w:val="00FE3D22"/>
    <w:rsid w:val="00FE3D94"/>
    <w:rsid w:val="00FE3E18"/>
    <w:rsid w:val="00FE3F4A"/>
    <w:rsid w:val="00FE3FBC"/>
    <w:rsid w:val="00FE3FBD"/>
    <w:rsid w:val="00FE4029"/>
    <w:rsid w:val="00FE4067"/>
    <w:rsid w:val="00FE407C"/>
    <w:rsid w:val="00FE40C1"/>
    <w:rsid w:val="00FE40C6"/>
    <w:rsid w:val="00FE4147"/>
    <w:rsid w:val="00FE42E2"/>
    <w:rsid w:val="00FE448A"/>
    <w:rsid w:val="00FE44EB"/>
    <w:rsid w:val="00FE4581"/>
    <w:rsid w:val="00FE486C"/>
    <w:rsid w:val="00FE4889"/>
    <w:rsid w:val="00FE49C9"/>
    <w:rsid w:val="00FE4A13"/>
    <w:rsid w:val="00FE4A16"/>
    <w:rsid w:val="00FE4A1F"/>
    <w:rsid w:val="00FE4BE5"/>
    <w:rsid w:val="00FE4C79"/>
    <w:rsid w:val="00FE4D3A"/>
    <w:rsid w:val="00FE4D93"/>
    <w:rsid w:val="00FE4F34"/>
    <w:rsid w:val="00FE4F64"/>
    <w:rsid w:val="00FE4FC0"/>
    <w:rsid w:val="00FE5442"/>
    <w:rsid w:val="00FE5497"/>
    <w:rsid w:val="00FE54A2"/>
    <w:rsid w:val="00FE58B4"/>
    <w:rsid w:val="00FE5AAD"/>
    <w:rsid w:val="00FE5BC7"/>
    <w:rsid w:val="00FE5D5B"/>
    <w:rsid w:val="00FE5D74"/>
    <w:rsid w:val="00FE6079"/>
    <w:rsid w:val="00FE6207"/>
    <w:rsid w:val="00FE635A"/>
    <w:rsid w:val="00FE635D"/>
    <w:rsid w:val="00FE63AC"/>
    <w:rsid w:val="00FE6917"/>
    <w:rsid w:val="00FE6928"/>
    <w:rsid w:val="00FE6AA9"/>
    <w:rsid w:val="00FE6B84"/>
    <w:rsid w:val="00FE6C03"/>
    <w:rsid w:val="00FE6DCA"/>
    <w:rsid w:val="00FE6F97"/>
    <w:rsid w:val="00FE70D0"/>
    <w:rsid w:val="00FE70DF"/>
    <w:rsid w:val="00FE714D"/>
    <w:rsid w:val="00FE72D1"/>
    <w:rsid w:val="00FE73AF"/>
    <w:rsid w:val="00FE76EC"/>
    <w:rsid w:val="00FE7892"/>
    <w:rsid w:val="00FE790C"/>
    <w:rsid w:val="00FE796A"/>
    <w:rsid w:val="00FE7BB7"/>
    <w:rsid w:val="00FE7C91"/>
    <w:rsid w:val="00FE7E0B"/>
    <w:rsid w:val="00FE7ED3"/>
    <w:rsid w:val="00FE7EDB"/>
    <w:rsid w:val="00FE7FFC"/>
    <w:rsid w:val="00FF001C"/>
    <w:rsid w:val="00FF00DA"/>
    <w:rsid w:val="00FF0195"/>
    <w:rsid w:val="00FF0272"/>
    <w:rsid w:val="00FF02F6"/>
    <w:rsid w:val="00FF0384"/>
    <w:rsid w:val="00FF038E"/>
    <w:rsid w:val="00FF041F"/>
    <w:rsid w:val="00FF07E5"/>
    <w:rsid w:val="00FF0925"/>
    <w:rsid w:val="00FF09ED"/>
    <w:rsid w:val="00FF0ABE"/>
    <w:rsid w:val="00FF0BAB"/>
    <w:rsid w:val="00FF0CEC"/>
    <w:rsid w:val="00FF0F17"/>
    <w:rsid w:val="00FF115A"/>
    <w:rsid w:val="00FF1354"/>
    <w:rsid w:val="00FF15D7"/>
    <w:rsid w:val="00FF1634"/>
    <w:rsid w:val="00FF17E8"/>
    <w:rsid w:val="00FF18DA"/>
    <w:rsid w:val="00FF1A1F"/>
    <w:rsid w:val="00FF1B5F"/>
    <w:rsid w:val="00FF1BA5"/>
    <w:rsid w:val="00FF1EB7"/>
    <w:rsid w:val="00FF1EDF"/>
    <w:rsid w:val="00FF1FE8"/>
    <w:rsid w:val="00FF1FFD"/>
    <w:rsid w:val="00FF2299"/>
    <w:rsid w:val="00FF243F"/>
    <w:rsid w:val="00FF249E"/>
    <w:rsid w:val="00FF24BD"/>
    <w:rsid w:val="00FF25C4"/>
    <w:rsid w:val="00FF264B"/>
    <w:rsid w:val="00FF2654"/>
    <w:rsid w:val="00FF270B"/>
    <w:rsid w:val="00FF2C9A"/>
    <w:rsid w:val="00FF2CCB"/>
    <w:rsid w:val="00FF2F59"/>
    <w:rsid w:val="00FF301C"/>
    <w:rsid w:val="00FF319A"/>
    <w:rsid w:val="00FF3252"/>
    <w:rsid w:val="00FF3292"/>
    <w:rsid w:val="00FF341B"/>
    <w:rsid w:val="00FF364C"/>
    <w:rsid w:val="00FF39B0"/>
    <w:rsid w:val="00FF3A09"/>
    <w:rsid w:val="00FF3A93"/>
    <w:rsid w:val="00FF3BFC"/>
    <w:rsid w:val="00FF42A0"/>
    <w:rsid w:val="00FF42AE"/>
    <w:rsid w:val="00FF44A2"/>
    <w:rsid w:val="00FF452A"/>
    <w:rsid w:val="00FF4536"/>
    <w:rsid w:val="00FF45E0"/>
    <w:rsid w:val="00FF4672"/>
    <w:rsid w:val="00FF47B1"/>
    <w:rsid w:val="00FF4886"/>
    <w:rsid w:val="00FF4982"/>
    <w:rsid w:val="00FF498A"/>
    <w:rsid w:val="00FF499B"/>
    <w:rsid w:val="00FF4B4E"/>
    <w:rsid w:val="00FF4B79"/>
    <w:rsid w:val="00FF4C91"/>
    <w:rsid w:val="00FF4DF8"/>
    <w:rsid w:val="00FF5183"/>
    <w:rsid w:val="00FF5305"/>
    <w:rsid w:val="00FF5375"/>
    <w:rsid w:val="00FF53C9"/>
    <w:rsid w:val="00FF5446"/>
    <w:rsid w:val="00FF5489"/>
    <w:rsid w:val="00FF566E"/>
    <w:rsid w:val="00FF56EA"/>
    <w:rsid w:val="00FF5B19"/>
    <w:rsid w:val="00FF5BC8"/>
    <w:rsid w:val="00FF5BD3"/>
    <w:rsid w:val="00FF5CE6"/>
    <w:rsid w:val="00FF5D7E"/>
    <w:rsid w:val="00FF5E0A"/>
    <w:rsid w:val="00FF5F5D"/>
    <w:rsid w:val="00FF6130"/>
    <w:rsid w:val="00FF620A"/>
    <w:rsid w:val="00FF6234"/>
    <w:rsid w:val="00FF62EB"/>
    <w:rsid w:val="00FF630B"/>
    <w:rsid w:val="00FF6422"/>
    <w:rsid w:val="00FF64CB"/>
    <w:rsid w:val="00FF653C"/>
    <w:rsid w:val="00FF6608"/>
    <w:rsid w:val="00FF672E"/>
    <w:rsid w:val="00FF676E"/>
    <w:rsid w:val="00FF69F0"/>
    <w:rsid w:val="00FF6A5E"/>
    <w:rsid w:val="00FF6C10"/>
    <w:rsid w:val="00FF6D1A"/>
    <w:rsid w:val="00FF6D5C"/>
    <w:rsid w:val="00FF7171"/>
    <w:rsid w:val="00FF7174"/>
    <w:rsid w:val="00FF72E9"/>
    <w:rsid w:val="00FF7356"/>
    <w:rsid w:val="00FF73BC"/>
    <w:rsid w:val="00FF73DF"/>
    <w:rsid w:val="00FF7468"/>
    <w:rsid w:val="00FF76CF"/>
    <w:rsid w:val="00FF7813"/>
    <w:rsid w:val="00FF7972"/>
    <w:rsid w:val="00FF797A"/>
    <w:rsid w:val="00FF7B55"/>
    <w:rsid w:val="00FF7BB2"/>
    <w:rsid w:val="00FF7D2F"/>
    <w:rsid w:val="00FF7E47"/>
    <w:rsid w:val="00FF7F54"/>
    <w:rsid w:val="0266F57B"/>
    <w:rsid w:val="045DFDC8"/>
    <w:rsid w:val="063362D6"/>
    <w:rsid w:val="0719B144"/>
    <w:rsid w:val="0817632E"/>
    <w:rsid w:val="0C861305"/>
    <w:rsid w:val="0D735A19"/>
    <w:rsid w:val="0EDE157E"/>
    <w:rsid w:val="12ECA2D3"/>
    <w:rsid w:val="162CD81B"/>
    <w:rsid w:val="17831E7E"/>
    <w:rsid w:val="17D79AB6"/>
    <w:rsid w:val="1801EC59"/>
    <w:rsid w:val="188027BF"/>
    <w:rsid w:val="18B1D4F1"/>
    <w:rsid w:val="19E56537"/>
    <w:rsid w:val="1B559824"/>
    <w:rsid w:val="1BF13171"/>
    <w:rsid w:val="1F6660C0"/>
    <w:rsid w:val="216AD13E"/>
    <w:rsid w:val="263A0F4E"/>
    <w:rsid w:val="2711BFB9"/>
    <w:rsid w:val="2B5E3B7B"/>
    <w:rsid w:val="2D99D485"/>
    <w:rsid w:val="2E937851"/>
    <w:rsid w:val="30197CD2"/>
    <w:rsid w:val="318B5B38"/>
    <w:rsid w:val="323D6BCB"/>
    <w:rsid w:val="3351603C"/>
    <w:rsid w:val="33C53917"/>
    <w:rsid w:val="33CE622F"/>
    <w:rsid w:val="37A32105"/>
    <w:rsid w:val="3824B21E"/>
    <w:rsid w:val="39863362"/>
    <w:rsid w:val="3C04B56D"/>
    <w:rsid w:val="3C748113"/>
    <w:rsid w:val="40A45AE3"/>
    <w:rsid w:val="4187A28F"/>
    <w:rsid w:val="48075A7C"/>
    <w:rsid w:val="4B9BD7F2"/>
    <w:rsid w:val="4C7BC5EA"/>
    <w:rsid w:val="4D036B85"/>
    <w:rsid w:val="4D2708B9"/>
    <w:rsid w:val="5046680D"/>
    <w:rsid w:val="517791E5"/>
    <w:rsid w:val="51872788"/>
    <w:rsid w:val="52DB48CF"/>
    <w:rsid w:val="5802192F"/>
    <w:rsid w:val="5A361854"/>
    <w:rsid w:val="5C9E6FAC"/>
    <w:rsid w:val="5FDF36F9"/>
    <w:rsid w:val="64D87C04"/>
    <w:rsid w:val="6A625B9F"/>
    <w:rsid w:val="70D72B87"/>
    <w:rsid w:val="75923560"/>
    <w:rsid w:val="780550C3"/>
    <w:rsid w:val="7AF797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2D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74E"/>
    <w:pPr>
      <w:spacing w:after="180"/>
    </w:pPr>
  </w:style>
  <w:style w:type="paragraph" w:styleId="Heading1">
    <w:name w:val="heading 1"/>
    <w:basedOn w:val="Normal"/>
    <w:next w:val="Normal"/>
    <w:link w:val="Heading1Char"/>
    <w:uiPriority w:val="9"/>
    <w:qFormat/>
    <w:rsid w:val="006015D1"/>
    <w:pPr>
      <w:keepNext/>
      <w:keepLines/>
      <w:spacing w:before="1320" w:after="0" w:line="820" w:lineRule="exact"/>
      <w:outlineLvl w:val="0"/>
    </w:pPr>
    <w:rPr>
      <w:rFonts w:ascii="Aptos Display" w:eastAsiaTheme="majorEastAsia" w:hAnsi="Aptos Display" w:cs="Segoe UI"/>
      <w:color w:val="FFFFFF" w:themeColor="background1"/>
      <w:spacing w:val="-10"/>
      <w:kern w:val="40"/>
      <w:sz w:val="76"/>
      <w:szCs w:val="68"/>
    </w:rPr>
  </w:style>
  <w:style w:type="paragraph" w:styleId="Heading2">
    <w:name w:val="heading 2"/>
    <w:basedOn w:val="Normal"/>
    <w:next w:val="Normal"/>
    <w:link w:val="Heading2Char"/>
    <w:uiPriority w:val="9"/>
    <w:unhideWhenUsed/>
    <w:qFormat/>
    <w:rsid w:val="00E250C6"/>
    <w:pPr>
      <w:keepNext/>
      <w:keepLines/>
      <w:spacing w:before="720"/>
      <w:outlineLvl w:val="1"/>
    </w:pPr>
    <w:rPr>
      <w:rFonts w:asciiTheme="majorHAnsi" w:eastAsiaTheme="majorEastAsia" w:hAnsiTheme="majorHAnsi" w:cstheme="majorBidi"/>
      <w:b/>
      <w:color w:val="009B9F" w:themeColor="background2"/>
      <w:sz w:val="44"/>
      <w:szCs w:val="26"/>
    </w:rPr>
  </w:style>
  <w:style w:type="paragraph" w:styleId="Heading3">
    <w:name w:val="heading 3"/>
    <w:basedOn w:val="Normal"/>
    <w:next w:val="Normal"/>
    <w:link w:val="Heading3Char"/>
    <w:uiPriority w:val="9"/>
    <w:unhideWhenUsed/>
    <w:qFormat/>
    <w:rsid w:val="00E250C6"/>
    <w:pPr>
      <w:keepNext/>
      <w:keepLines/>
      <w:spacing w:before="320" w:after="60"/>
      <w:outlineLvl w:val="2"/>
    </w:pPr>
    <w:rPr>
      <w:rFonts w:asciiTheme="majorHAnsi" w:eastAsiaTheme="majorEastAsia" w:hAnsiTheme="majorHAnsi" w:cstheme="majorBidi"/>
      <w:b/>
      <w:color w:val="0D2C6C" w:themeColor="text1"/>
      <w:sz w:val="32"/>
      <w:szCs w:val="24"/>
    </w:rPr>
  </w:style>
  <w:style w:type="paragraph" w:styleId="Heading4">
    <w:name w:val="heading 4"/>
    <w:basedOn w:val="Normal"/>
    <w:next w:val="Normal"/>
    <w:link w:val="Heading4Char"/>
    <w:uiPriority w:val="9"/>
    <w:unhideWhenUsed/>
    <w:qFormat/>
    <w:rsid w:val="003C6B59"/>
    <w:pPr>
      <w:keepNext/>
      <w:keepLines/>
      <w:spacing w:before="360" w:after="0"/>
      <w:outlineLvl w:val="3"/>
    </w:pPr>
    <w:rPr>
      <w:rFonts w:asciiTheme="majorHAnsi" w:eastAsiaTheme="majorEastAsia" w:hAnsiTheme="majorHAnsi" w:cstheme="majorBidi"/>
      <w:b/>
      <w:iCs/>
      <w:color w:val="404246" w:themeColor="text2"/>
      <w:sz w:val="28"/>
    </w:rPr>
  </w:style>
  <w:style w:type="paragraph" w:styleId="Heading5">
    <w:name w:val="heading 5"/>
    <w:basedOn w:val="Normal"/>
    <w:next w:val="Normal"/>
    <w:link w:val="Heading5Char"/>
    <w:uiPriority w:val="9"/>
    <w:unhideWhenUsed/>
    <w:qFormat/>
    <w:rsid w:val="006258EE"/>
    <w:pPr>
      <w:keepNext/>
      <w:keepLines/>
      <w:spacing w:before="40" w:after="0"/>
      <w:outlineLvl w:val="4"/>
    </w:pPr>
    <w:rPr>
      <w:rFonts w:asciiTheme="majorHAnsi" w:eastAsiaTheme="majorEastAsia" w:hAnsiTheme="majorHAnsi" w:cstheme="majorBidi"/>
      <w:b/>
      <w:color w:val="62165C"/>
      <w:sz w:val="26"/>
    </w:rPr>
  </w:style>
  <w:style w:type="paragraph" w:styleId="Heading6">
    <w:name w:val="heading 6"/>
    <w:basedOn w:val="Normal"/>
    <w:next w:val="Normal"/>
    <w:link w:val="Heading6Char"/>
    <w:uiPriority w:val="9"/>
    <w:unhideWhenUsed/>
    <w:qFormat/>
    <w:rsid w:val="00EE00EF"/>
    <w:pPr>
      <w:keepNext/>
      <w:keepLines/>
      <w:spacing w:before="40" w:after="0"/>
      <w:outlineLvl w:val="5"/>
    </w:pPr>
    <w:rPr>
      <w:rFonts w:asciiTheme="majorHAnsi" w:eastAsiaTheme="majorEastAsia" w:hAnsiTheme="majorHAnsi" w:cstheme="majorBidi"/>
      <w:b/>
      <w:color w:val="777778" w:themeColor="accent5"/>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A4249B" w:themeColor="accent2"/>
    </w:rPr>
  </w:style>
  <w:style w:type="paragraph" w:styleId="Heading8">
    <w:name w:val="heading 8"/>
    <w:basedOn w:val="Normal"/>
    <w:next w:val="Normal"/>
    <w:link w:val="Heading8Char"/>
    <w:uiPriority w:val="9"/>
    <w:unhideWhenUsed/>
    <w:qFormat/>
    <w:rsid w:val="00821381"/>
    <w:pPr>
      <w:keepNext/>
      <w:keepLines/>
      <w:spacing w:after="0" w:line="279" w:lineRule="auto"/>
      <w:outlineLvl w:val="7"/>
    </w:pPr>
    <w:rPr>
      <w:rFonts w:eastAsiaTheme="majorEastAsia" w:cstheme="majorBidi"/>
      <w:i/>
      <w:iCs/>
      <w:color w:val="1341A0" w:themeColor="text1" w:themeTint="D8"/>
      <w:sz w:val="24"/>
      <w:szCs w:val="24"/>
      <w:lang w:eastAsia="ja-JP"/>
    </w:rPr>
  </w:style>
  <w:style w:type="paragraph" w:styleId="Heading9">
    <w:name w:val="heading 9"/>
    <w:basedOn w:val="Normal"/>
    <w:next w:val="Normal"/>
    <w:link w:val="Heading9Char"/>
    <w:uiPriority w:val="9"/>
    <w:unhideWhenUsed/>
    <w:qFormat/>
    <w:rsid w:val="00821381"/>
    <w:pPr>
      <w:keepNext/>
      <w:keepLines/>
      <w:spacing w:after="0" w:line="279" w:lineRule="auto"/>
      <w:outlineLvl w:val="8"/>
    </w:pPr>
    <w:rPr>
      <w:rFonts w:eastAsiaTheme="majorEastAsia" w:cstheme="majorBidi"/>
      <w:color w:val="1341A0"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43588C"/>
    <w:rPr>
      <w:color w:val="0D2C6C" w:themeColor="text1"/>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aliases w:val="Table Grid (CK Edit)"/>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015D1"/>
    <w:rPr>
      <w:rFonts w:ascii="Aptos Display" w:eastAsiaTheme="majorEastAsia" w:hAnsi="Aptos Display" w:cs="Segoe UI"/>
      <w:color w:val="FFFFFF" w:themeColor="background1"/>
      <w:spacing w:val="-10"/>
      <w:kern w:val="40"/>
      <w:sz w:val="76"/>
      <w:szCs w:val="68"/>
    </w:rPr>
  </w:style>
  <w:style w:type="character" w:customStyle="1" w:styleId="Heading2Char">
    <w:name w:val="Heading 2 Char"/>
    <w:basedOn w:val="DefaultParagraphFont"/>
    <w:link w:val="Heading2"/>
    <w:uiPriority w:val="9"/>
    <w:rsid w:val="00E250C6"/>
    <w:rPr>
      <w:rFonts w:asciiTheme="majorHAnsi" w:eastAsiaTheme="majorEastAsia" w:hAnsiTheme="majorHAnsi" w:cstheme="majorBidi"/>
      <w:b/>
      <w:color w:val="009B9F" w:themeColor="background2"/>
      <w:sz w:val="44"/>
      <w:szCs w:val="26"/>
    </w:rPr>
  </w:style>
  <w:style w:type="character" w:customStyle="1" w:styleId="Heading3Char">
    <w:name w:val="Heading 3 Char"/>
    <w:basedOn w:val="DefaultParagraphFont"/>
    <w:link w:val="Heading3"/>
    <w:uiPriority w:val="9"/>
    <w:rsid w:val="00E250C6"/>
    <w:rPr>
      <w:rFonts w:asciiTheme="majorHAnsi" w:eastAsiaTheme="majorEastAsia" w:hAnsiTheme="majorHAnsi" w:cstheme="majorBidi"/>
      <w:b/>
      <w:color w:val="0D2C6C" w:themeColor="text1"/>
      <w:sz w:val="32"/>
      <w:szCs w:val="24"/>
    </w:rPr>
  </w:style>
  <w:style w:type="character" w:customStyle="1" w:styleId="Heading4Char">
    <w:name w:val="Heading 4 Char"/>
    <w:basedOn w:val="DefaultParagraphFont"/>
    <w:link w:val="Heading4"/>
    <w:uiPriority w:val="9"/>
    <w:rsid w:val="003C6B59"/>
    <w:rPr>
      <w:rFonts w:asciiTheme="majorHAnsi" w:eastAsiaTheme="majorEastAsia" w:hAnsiTheme="majorHAnsi" w:cstheme="majorBidi"/>
      <w:b/>
      <w:iCs/>
      <w:color w:val="404246" w:themeColor="text2"/>
      <w:sz w:val="28"/>
    </w:rPr>
  </w:style>
  <w:style w:type="character" w:customStyle="1" w:styleId="Heading5Char">
    <w:name w:val="Heading 5 Char"/>
    <w:basedOn w:val="DefaultParagraphFont"/>
    <w:link w:val="Heading5"/>
    <w:uiPriority w:val="9"/>
    <w:rsid w:val="006258EE"/>
    <w:rPr>
      <w:rFonts w:asciiTheme="majorHAnsi" w:eastAsiaTheme="majorEastAsia" w:hAnsiTheme="majorHAnsi" w:cstheme="majorBidi"/>
      <w:b/>
      <w:color w:val="62165C"/>
      <w:sz w:val="26"/>
    </w:rPr>
  </w:style>
  <w:style w:type="character" w:customStyle="1" w:styleId="Heading6Char">
    <w:name w:val="Heading 6 Char"/>
    <w:basedOn w:val="DefaultParagraphFont"/>
    <w:link w:val="Heading6"/>
    <w:uiPriority w:val="9"/>
    <w:rsid w:val="00EE00EF"/>
    <w:rPr>
      <w:rFonts w:asciiTheme="majorHAnsi" w:eastAsiaTheme="majorEastAsia" w:hAnsiTheme="majorHAnsi" w:cstheme="majorBidi"/>
      <w:b/>
      <w:color w:val="777778" w:themeColor="accent5"/>
    </w:rPr>
  </w:style>
  <w:style w:type="paragraph" w:styleId="Caption">
    <w:name w:val="caption"/>
    <w:basedOn w:val="Normal"/>
    <w:next w:val="Normal"/>
    <w:autoRedefine/>
    <w:uiPriority w:val="35"/>
    <w:qFormat/>
    <w:rsid w:val="00470AB9"/>
    <w:pPr>
      <w:keepNext/>
      <w:spacing w:after="120" w:line="276" w:lineRule="auto"/>
      <w:ind w:left="57" w:right="17"/>
    </w:pPr>
    <w:rPr>
      <w:rFonts w:cs="Calibri"/>
      <w:b/>
      <w:bCs/>
      <w:lang w:val="en-US"/>
    </w:rPr>
  </w:style>
  <w:style w:type="paragraph" w:customStyle="1" w:styleId="Source">
    <w:name w:val="Source"/>
    <w:basedOn w:val="Normal"/>
    <w:uiPriority w:val="9"/>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A4249B" w:themeColor="accent2"/>
    </w:rPr>
  </w:style>
  <w:style w:type="paragraph" w:styleId="Subtitle">
    <w:name w:val="Subtitle"/>
    <w:basedOn w:val="Normal"/>
    <w:next w:val="Normal"/>
    <w:link w:val="SubtitleChar"/>
    <w:uiPriority w:val="11"/>
    <w:qFormat/>
    <w:rsid w:val="009D2BA6"/>
    <w:pPr>
      <w:numPr>
        <w:ilvl w:val="1"/>
      </w:numPr>
      <w:spacing w:before="840" w:after="40" w:line="680" w:lineRule="exact"/>
    </w:pPr>
    <w:rPr>
      <w:rFonts w:ascii="Segoe UI" w:eastAsiaTheme="minorEastAsia" w:hAnsi="Segoe UI"/>
      <w:color w:val="FFFFFF" w:themeColor="background1"/>
      <w:sz w:val="40"/>
    </w:rPr>
  </w:style>
  <w:style w:type="character" w:customStyle="1" w:styleId="SubtitleChar">
    <w:name w:val="Subtitle Char"/>
    <w:basedOn w:val="DefaultParagraphFont"/>
    <w:link w:val="Subtitle"/>
    <w:uiPriority w:val="11"/>
    <w:rsid w:val="009D2BA6"/>
    <w:rPr>
      <w:rFonts w:ascii="Segoe UI" w:eastAsiaTheme="minorEastAsia" w:hAnsi="Segoe UI"/>
      <w:color w:val="FFFFFF" w:themeColor="background1"/>
      <w:sz w:val="40"/>
    </w:rPr>
  </w:style>
  <w:style w:type="paragraph" w:styleId="List">
    <w:name w:val="List"/>
    <w:basedOn w:val="Normal"/>
    <w:uiPriority w:val="98"/>
    <w:qFormat/>
    <w:rsid w:val="00886959"/>
    <w:pPr>
      <w:numPr>
        <w:numId w:val="4"/>
      </w:numPr>
      <w:spacing w:after="200"/>
      <w:contextualSpacing/>
    </w:pPr>
  </w:style>
  <w:style w:type="paragraph" w:styleId="List2">
    <w:name w:val="List 2"/>
    <w:basedOn w:val="Normal"/>
    <w:uiPriority w:val="98"/>
    <w:qFormat/>
    <w:rsid w:val="00F85913"/>
    <w:pPr>
      <w:numPr>
        <w:ilvl w:val="1"/>
        <w:numId w:val="4"/>
      </w:numPr>
      <w:spacing w:after="200"/>
      <w:contextualSpacing/>
    </w:pPr>
  </w:style>
  <w:style w:type="paragraph" w:styleId="List3">
    <w:name w:val="List 3"/>
    <w:basedOn w:val="Normal"/>
    <w:uiPriority w:val="98"/>
    <w:qFormat/>
    <w:rsid w:val="00BC248C"/>
    <w:pPr>
      <w:numPr>
        <w:ilvl w:val="2"/>
        <w:numId w:val="4"/>
      </w:numPr>
      <w:spacing w:after="200"/>
      <w:contextualSpacing/>
    </w:pPr>
  </w:style>
  <w:style w:type="paragraph" w:styleId="List4">
    <w:name w:val="List 4"/>
    <w:basedOn w:val="Normal"/>
    <w:uiPriority w:val="98"/>
    <w:qFormat/>
    <w:rsid w:val="00BC248C"/>
    <w:pPr>
      <w:numPr>
        <w:ilvl w:val="3"/>
        <w:numId w:val="4"/>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tabs>
        <w:tab w:val="num" w:pos="926"/>
      </w:tabs>
      <w:spacing w:after="200"/>
      <w:ind w:left="926" w:hanging="360"/>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autoRedefine/>
    <w:uiPriority w:val="98"/>
    <w:qFormat/>
    <w:rsid w:val="00EA3E2F"/>
    <w:pPr>
      <w:numPr>
        <w:numId w:val="15"/>
      </w:numPr>
      <w:spacing w:after="200"/>
      <w:contextualSpacing/>
    </w:pPr>
    <w:rPr>
      <w:lang w:eastAsia="en-AU"/>
    </w:r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autoRedefine/>
    <w:uiPriority w:val="29"/>
    <w:qFormat/>
    <w:rsid w:val="00BA517C"/>
    <w:pPr>
      <w:spacing w:before="200"/>
      <w:ind w:left="1440" w:right="864"/>
    </w:pPr>
    <w:rPr>
      <w:bCs/>
      <w:iCs/>
      <w:color w:val="5F6369"/>
      <w:szCs w:val="24"/>
      <w:lang w:val="en-US"/>
    </w:rPr>
  </w:style>
  <w:style w:type="character" w:customStyle="1" w:styleId="QuoteChar">
    <w:name w:val="Quote Char"/>
    <w:basedOn w:val="DefaultParagraphFont"/>
    <w:link w:val="Quote"/>
    <w:uiPriority w:val="29"/>
    <w:rsid w:val="00BA517C"/>
    <w:rPr>
      <w:bCs/>
      <w:iCs/>
      <w:color w:val="5F6369"/>
      <w:szCs w:val="24"/>
      <w:lang w:val="en-US"/>
    </w:rPr>
  </w:style>
  <w:style w:type="table" w:customStyle="1" w:styleId="EDU-Basic">
    <w:name w:val="EDU - Basic"/>
    <w:basedOn w:val="TableNormal"/>
    <w:uiPriority w:val="99"/>
    <w:rsid w:val="0028485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404246"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31547C"/>
    <w:pPr>
      <w:tabs>
        <w:tab w:val="right" w:leader="dot" w:pos="9214"/>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2"/>
    <w:next w:val="Normal"/>
    <w:uiPriority w:val="39"/>
    <w:unhideWhenUsed/>
    <w:qFormat/>
    <w:rsid w:val="00AE4518"/>
    <w:pPr>
      <w:spacing w:before="0"/>
    </w:pPr>
  </w:style>
  <w:style w:type="paragraph" w:customStyle="1" w:styleId="Cover-Date">
    <w:name w:val="Cover - Date"/>
    <w:basedOn w:val="Subtitle"/>
    <w:qFormat/>
    <w:rsid w:val="009D2BA6"/>
    <w:pPr>
      <w:spacing w:before="0" w:after="600" w:line="340" w:lineRule="exact"/>
    </w:pPr>
    <w:rPr>
      <w:sz w:val="28"/>
    </w:rPr>
  </w:style>
  <w:style w:type="paragraph" w:customStyle="1" w:styleId="Normal-3ptAfter">
    <w:name w:val="Normal - 3pt After"/>
    <w:basedOn w:val="Normal"/>
    <w:qFormat/>
    <w:rsid w:val="009B73F0"/>
    <w:pPr>
      <w:spacing w:after="60"/>
    </w:pPr>
  </w:style>
  <w:style w:type="paragraph" w:customStyle="1" w:styleId="Cover-Preparedby">
    <w:name w:val="Cover - Prepared by"/>
    <w:basedOn w:val="Normal"/>
    <w:qFormat/>
    <w:rsid w:val="006015D1"/>
    <w:rPr>
      <w:color w:val="0D2C6C" w:themeColor="text1"/>
      <w:sz w:val="24"/>
    </w:rPr>
  </w:style>
  <w:style w:type="paragraph" w:customStyle="1" w:styleId="Normal-Blueoutline">
    <w:name w:val="Normal - Blue outline"/>
    <w:basedOn w:val="Normal"/>
    <w:qFormat/>
    <w:rsid w:val="008606F9"/>
    <w:pPr>
      <w:pBdr>
        <w:top w:val="single" w:sz="4" w:space="5" w:color="0D2C6C" w:themeColor="text1"/>
        <w:left w:val="single" w:sz="4" w:space="5" w:color="0D2C6C" w:themeColor="text1"/>
        <w:bottom w:val="single" w:sz="4" w:space="5" w:color="0D2C6C" w:themeColor="text1"/>
        <w:right w:val="single" w:sz="4" w:space="5" w:color="0D2C6C" w:themeColor="text1"/>
      </w:pBdr>
      <w:ind w:left="113" w:right="113"/>
    </w:pPr>
  </w:style>
  <w:style w:type="table" w:customStyle="1" w:styleId="TableGrid1">
    <w:name w:val="Table Grid1"/>
    <w:basedOn w:val="TableNormal"/>
    <w:next w:val="TableGrid"/>
    <w:uiPriority w:val="39"/>
    <w:rsid w:val="00F7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center"/>
      </w:tcPr>
    </w:tblStylePr>
  </w:style>
  <w:style w:type="table" w:customStyle="1" w:styleId="Glossary">
    <w:name w:val="Glossary"/>
    <w:basedOn w:val="TableNormal"/>
    <w:uiPriority w:val="99"/>
    <w:rsid w:val="00F72F34"/>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CEDED" w:themeFill="accent6" w:themeFillTint="33"/>
    </w:tcPr>
    <w:tblStylePr w:type="firstRow">
      <w:pPr>
        <w:jc w:val="left"/>
      </w:pPr>
      <w:rPr>
        <w:b/>
        <w:color w:val="FFFFFF" w:themeColor="background1"/>
      </w:rPr>
      <w:tblPr/>
      <w:tcPr>
        <w:shd w:val="clear" w:color="auto" w:fill="62165C" w:themeFill="accent1"/>
        <w:vAlign w:val="center"/>
      </w:tcPr>
    </w:tblStylePr>
  </w:style>
  <w:style w:type="character" w:customStyle="1" w:styleId="Heading4-TheReviewProcess-Date">
    <w:name w:val="Heading 4  - The Review Process - Date"/>
    <w:basedOn w:val="DefaultParagraphFont"/>
    <w:uiPriority w:val="1"/>
    <w:qFormat/>
    <w:rsid w:val="00471A52"/>
    <w:rPr>
      <w:color w:val="202122" w:themeColor="text2" w:themeShade="80"/>
      <w:sz w:val="22"/>
    </w:rPr>
  </w:style>
  <w:style w:type="paragraph" w:customStyle="1" w:styleId="Heading4-TheReviewProcess">
    <w:name w:val="Heading 4 - The Review Process"/>
    <w:basedOn w:val="Heading4"/>
    <w:qFormat/>
    <w:rsid w:val="00E250C6"/>
    <w:pPr>
      <w:spacing w:after="120"/>
      <w:jc w:val="center"/>
    </w:pPr>
    <w:rPr>
      <w:color w:val="009B9F" w:themeColor="background2"/>
    </w:rPr>
  </w:style>
  <w:style w:type="paragraph" w:customStyle="1" w:styleId="Normal-Centre">
    <w:name w:val="Normal - Centre"/>
    <w:basedOn w:val="Normal"/>
    <w:qFormat/>
    <w:rsid w:val="00E003AE"/>
    <w:pPr>
      <w:jc w:val="center"/>
    </w:pPr>
  </w:style>
  <w:style w:type="paragraph" w:styleId="FootnoteText">
    <w:name w:val="footnote text"/>
    <w:aliases w:val="Footnote Text Char1,Footnote Text Char2 Char,Footnote Text Char1 Char Char1,Footnote Text Char Char Char Char1,Footnote Text Char Char1 Char1,Footnote Text Char1 Char1"/>
    <w:basedOn w:val="Normal"/>
    <w:link w:val="FootnoteTextChar"/>
    <w:uiPriority w:val="99"/>
    <w:rsid w:val="009B73F0"/>
    <w:pPr>
      <w:spacing w:after="0" w:line="240" w:lineRule="auto"/>
    </w:pPr>
    <w:rPr>
      <w:sz w:val="18"/>
      <w:szCs w:val="20"/>
    </w:rPr>
  </w:style>
  <w:style w:type="character" w:customStyle="1" w:styleId="FootnoteTextChar">
    <w:name w:val="Footnote Text Char"/>
    <w:aliases w:val="Footnote Text Char1 Char,Footnote Text Char2 Char Char,Footnote Text Char1 Char Char1 Char,Footnote Text Char Char Char Char1 Char,Footnote Text Char Char1 Char1 Char,Footnote Text Char1 Char1 Char"/>
    <w:basedOn w:val="DefaultParagraphFont"/>
    <w:link w:val="FootnoteText"/>
    <w:uiPriority w:val="99"/>
    <w:rsid w:val="009B73F0"/>
    <w:rPr>
      <w:sz w:val="18"/>
      <w:szCs w:val="20"/>
    </w:rPr>
  </w:style>
  <w:style w:type="character" w:styleId="FootnoteReference">
    <w:name w:val="footnote reference"/>
    <w:basedOn w:val="DefaultParagraphFont"/>
    <w:uiPriority w:val="99"/>
    <w:unhideWhenUsed/>
    <w:rsid w:val="00E003AE"/>
    <w:rPr>
      <w:vertAlign w:val="superscript"/>
    </w:rPr>
  </w:style>
  <w:style w:type="character" w:styleId="Emphasis">
    <w:name w:val="Emphasis"/>
    <w:basedOn w:val="DefaultParagraphFont"/>
    <w:uiPriority w:val="20"/>
    <w:qFormat/>
    <w:rsid w:val="009B73F0"/>
    <w:rPr>
      <w:i/>
      <w:iCs/>
    </w:rPr>
  </w:style>
  <w:style w:type="paragraph" w:customStyle="1" w:styleId="ListBullet-RightTab">
    <w:name w:val="List Bullet - Right Tab"/>
    <w:basedOn w:val="ListBullet"/>
    <w:qFormat/>
    <w:rsid w:val="00764B0E"/>
    <w:pPr>
      <w:tabs>
        <w:tab w:val="right" w:pos="9242"/>
      </w:tabs>
    </w:pPr>
  </w:style>
  <w:style w:type="table" w:styleId="GridTable5Dark-Accent3">
    <w:name w:val="Grid Table 5 Dark Accent 3"/>
    <w:basedOn w:val="TableNormal"/>
    <w:uiPriority w:val="50"/>
    <w:rsid w:val="008E7E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B" w:themeFill="accent3" w:themeFillTint="33"/>
    </w:tcPr>
    <w:tblStylePr w:type="firstRow">
      <w:rPr>
        <w:b/>
        <w:bCs/>
        <w:color w:val="FFFFFF" w:themeColor="background1"/>
      </w:rPr>
      <w:tblPr>
        <w:jc w:val="center"/>
      </w:tblPr>
      <w:trPr>
        <w:jc w:val="center"/>
      </w:trPr>
      <w:tcPr>
        <w:shd w:val="clear" w:color="auto" w:fill="0D2C6C" w:themeFill="text1"/>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E0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E0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E0ED" w:themeFill="accent3"/>
      </w:tcPr>
    </w:tblStylePr>
    <w:tblStylePr w:type="band1Vert">
      <w:tblPr/>
      <w:tcPr>
        <w:shd w:val="clear" w:color="auto" w:fill="F1F2F7" w:themeFill="accent3" w:themeFillTint="66"/>
      </w:tcPr>
    </w:tblStylePr>
    <w:tblStylePr w:type="band1Horz">
      <w:tblPr/>
      <w:tcPr>
        <w:shd w:val="clear" w:color="auto" w:fill="F1F2F7" w:themeFill="accent3" w:themeFillTint="66"/>
      </w:tcPr>
    </w:tblStylePr>
  </w:style>
  <w:style w:type="paragraph" w:customStyle="1" w:styleId="ListBullet-RoghtTab-2Column">
    <w:name w:val="List Bullet - Roght Tab - 2 Column"/>
    <w:basedOn w:val="ListBullet-RightTab"/>
    <w:qFormat/>
    <w:rsid w:val="00DE0EA5"/>
    <w:pPr>
      <w:tabs>
        <w:tab w:val="right" w:pos="4139"/>
      </w:tabs>
    </w:pPr>
  </w:style>
  <w:style w:type="table" w:customStyle="1" w:styleId="Topicsfordiscussion">
    <w:name w:val="Topics for discussion"/>
    <w:basedOn w:val="TableGrid"/>
    <w:uiPriority w:val="99"/>
    <w:rsid w:val="002D54A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rPr>
      <w:cantSplit/>
    </w:trPr>
    <w:tcPr>
      <w:shd w:val="clear" w:color="auto" w:fill="ECEDED" w:themeFill="accent6" w:themeFillTint="33"/>
    </w:tcPr>
    <w:tblStylePr w:type="firstCol">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EE0ED" w:themeFill="accent3"/>
      </w:tcPr>
    </w:tblStylePr>
  </w:style>
  <w:style w:type="character" w:customStyle="1" w:styleId="normaltextrun">
    <w:name w:val="normaltextrun"/>
    <w:basedOn w:val="DefaultParagraphFont"/>
    <w:rsid w:val="002D54A0"/>
    <w:rPr>
      <w:rFonts w:asciiTheme="minorHAnsi" w:hAnsiTheme="minorHAnsi"/>
      <w:sz w:val="22"/>
    </w:rPr>
  </w:style>
  <w:style w:type="table" w:customStyle="1" w:styleId="AppendixA-ListofQuestions">
    <w:name w:val="Appendix A - List of Questions"/>
    <w:basedOn w:val="Topicsfordiscussion"/>
    <w:uiPriority w:val="99"/>
    <w:rsid w:val="00284856"/>
    <w:tblPr/>
    <w:tcPr>
      <w:shd w:val="clear" w:color="auto" w:fill="ECEDED" w:themeFill="accent6" w:themeFillTint="33"/>
    </w:tcPr>
    <w:tblStylePr w:type="firstCol">
      <w:pPr>
        <w:jc w:val="left"/>
      </w:pPr>
      <w:rPr>
        <w:b w:val="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EE0ED" w:themeFill="accent3"/>
        <w:vAlign w:val="center"/>
      </w:tcPr>
    </w:tblStylePr>
  </w:style>
  <w:style w:type="table" w:customStyle="1" w:styleId="EDU-Basic1">
    <w:name w:val="EDU - Basic1"/>
    <w:basedOn w:val="TableNormal"/>
    <w:uiPriority w:val="99"/>
    <w:rsid w:val="00451A07"/>
    <w:pPr>
      <w:spacing w:before="100" w:beforeAutospacing="1" w:after="100" w:afterAutospacing="1"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left"/>
      </w:pPr>
      <w:rPr>
        <w:rFonts w:ascii="Sitka Small Semibold" w:hAnsi="Sitka Small Semibold"/>
        <w:b/>
        <w:color w:val="FFFFFF" w:themeColor="background1"/>
        <w:sz w:val="22"/>
      </w:rPr>
      <w:tblPr/>
      <w:tcPr>
        <w:shd w:val="clear" w:color="auto" w:fill="0D2C6C" w:themeFill="text1"/>
      </w:tcPr>
    </w:tblStylePr>
    <w:tblStylePr w:type="firstCol">
      <w:rPr>
        <w:b w:val="0"/>
      </w:rPr>
    </w:tblStylePr>
  </w:style>
  <w:style w:type="paragraph" w:customStyle="1" w:styleId="ListNumber-3ptAfter">
    <w:name w:val="List Number - 3pt After"/>
    <w:basedOn w:val="ListNumber"/>
    <w:qFormat/>
    <w:rsid w:val="003376DF"/>
    <w:pPr>
      <w:spacing w:after="60"/>
    </w:p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Table text"/>
    <w:basedOn w:val="Normal"/>
    <w:link w:val="ListParagraphChar"/>
    <w:uiPriority w:val="34"/>
    <w:qFormat/>
    <w:rsid w:val="00716CF1"/>
    <w:pPr>
      <w:spacing w:after="160" w:line="279" w:lineRule="auto"/>
      <w:ind w:left="720"/>
      <w:contextualSpacing/>
    </w:pPr>
    <w:rPr>
      <w:rFonts w:eastAsiaTheme="minorEastAsia"/>
      <w:sz w:val="24"/>
      <w:szCs w:val="24"/>
      <w:lang w:eastAsia="ja-JP"/>
    </w:rPr>
  </w:style>
  <w:style w:type="character" w:styleId="CommentReference">
    <w:name w:val="annotation reference"/>
    <w:basedOn w:val="DefaultParagraphFont"/>
    <w:uiPriority w:val="99"/>
    <w:semiHidden/>
    <w:unhideWhenUsed/>
    <w:rsid w:val="00716CF1"/>
    <w:rPr>
      <w:sz w:val="16"/>
      <w:szCs w:val="16"/>
    </w:rPr>
  </w:style>
  <w:style w:type="paragraph" w:styleId="CommentText">
    <w:name w:val="annotation text"/>
    <w:basedOn w:val="Normal"/>
    <w:link w:val="CommentTextChar"/>
    <w:uiPriority w:val="99"/>
    <w:unhideWhenUsed/>
    <w:rsid w:val="00716CF1"/>
    <w:pPr>
      <w:spacing w:after="160"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716CF1"/>
    <w:rPr>
      <w:rFonts w:eastAsiaTheme="minorEastAsia"/>
      <w:sz w:val="20"/>
      <w:szCs w:val="20"/>
      <w:lang w:eastAsia="ja-JP"/>
    </w:rPr>
  </w:style>
  <w:style w:type="paragraph" w:customStyle="1" w:styleId="Recommendation">
    <w:name w:val="Recommendation"/>
    <w:basedOn w:val="Normal"/>
    <w:link w:val="RecommendationChar"/>
    <w:rsid w:val="00432C4B"/>
    <w:pPr>
      <w:shd w:val="clear" w:color="auto" w:fill="BFE6E7"/>
      <w:spacing w:before="120" w:after="280"/>
    </w:pPr>
  </w:style>
  <w:style w:type="character" w:customStyle="1" w:styleId="RecommendationChar">
    <w:name w:val="Recommendation Char"/>
    <w:basedOn w:val="DefaultParagraphFont"/>
    <w:link w:val="Recommendation"/>
    <w:rsid w:val="00432C4B"/>
    <w:rPr>
      <w:shd w:val="clear" w:color="auto" w:fill="BFE6E7"/>
    </w:rPr>
  </w:style>
  <w:style w:type="character" w:styleId="Mention">
    <w:name w:val="Mention"/>
    <w:basedOn w:val="DefaultParagraphFont"/>
    <w:uiPriority w:val="99"/>
    <w:unhideWhenUsed/>
    <w:rsid w:val="003A0C6C"/>
    <w:rPr>
      <w:color w:val="2B579A"/>
      <w:shd w:val="clear" w:color="auto" w:fill="E1DFDD"/>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locked/>
    <w:rsid w:val="003A0C6C"/>
    <w:rPr>
      <w:rFonts w:eastAsiaTheme="minorEastAsia"/>
      <w:sz w:val="24"/>
      <w:szCs w:val="24"/>
      <w:lang w:eastAsia="ja-JP"/>
    </w:rPr>
  </w:style>
  <w:style w:type="paragraph" w:styleId="CommentSubject">
    <w:name w:val="annotation subject"/>
    <w:basedOn w:val="CommentText"/>
    <w:next w:val="CommentText"/>
    <w:link w:val="CommentSubjectChar"/>
    <w:uiPriority w:val="99"/>
    <w:semiHidden/>
    <w:unhideWhenUsed/>
    <w:rsid w:val="00CC1A48"/>
    <w:pPr>
      <w:spacing w:after="180"/>
    </w:pPr>
    <w:rPr>
      <w:rFonts w:eastAsiaTheme="minorHAnsi"/>
      <w:b/>
      <w:bCs/>
      <w:lang w:eastAsia="en-US"/>
    </w:rPr>
  </w:style>
  <w:style w:type="character" w:customStyle="1" w:styleId="CommentSubjectChar">
    <w:name w:val="Comment Subject Char"/>
    <w:basedOn w:val="CommentTextChar"/>
    <w:link w:val="CommentSubject"/>
    <w:uiPriority w:val="99"/>
    <w:semiHidden/>
    <w:rsid w:val="00CC1A48"/>
    <w:rPr>
      <w:rFonts w:eastAsiaTheme="minorEastAsia"/>
      <w:b/>
      <w:bCs/>
      <w:sz w:val="20"/>
      <w:szCs w:val="20"/>
      <w:lang w:eastAsia="ja-JP"/>
    </w:rPr>
  </w:style>
  <w:style w:type="paragraph" w:styleId="NoSpacing">
    <w:name w:val="No Spacing"/>
    <w:uiPriority w:val="1"/>
    <w:qFormat/>
    <w:rsid w:val="00E9397C"/>
    <w:pPr>
      <w:spacing w:after="0" w:line="240" w:lineRule="auto"/>
    </w:pPr>
    <w:rPr>
      <w:kern w:val="2"/>
      <w14:ligatures w14:val="standardContextual"/>
    </w:rPr>
  </w:style>
  <w:style w:type="character" w:customStyle="1" w:styleId="Heading8Char">
    <w:name w:val="Heading 8 Char"/>
    <w:basedOn w:val="DefaultParagraphFont"/>
    <w:link w:val="Heading8"/>
    <w:uiPriority w:val="9"/>
    <w:rsid w:val="00821381"/>
    <w:rPr>
      <w:rFonts w:eastAsiaTheme="majorEastAsia" w:cstheme="majorBidi"/>
      <w:i/>
      <w:iCs/>
      <w:color w:val="1341A0" w:themeColor="text1" w:themeTint="D8"/>
      <w:sz w:val="24"/>
      <w:szCs w:val="24"/>
      <w:lang w:eastAsia="ja-JP"/>
    </w:rPr>
  </w:style>
  <w:style w:type="character" w:customStyle="1" w:styleId="Heading9Char">
    <w:name w:val="Heading 9 Char"/>
    <w:basedOn w:val="DefaultParagraphFont"/>
    <w:link w:val="Heading9"/>
    <w:uiPriority w:val="9"/>
    <w:rsid w:val="00821381"/>
    <w:rPr>
      <w:rFonts w:eastAsiaTheme="majorEastAsia" w:cstheme="majorBidi"/>
      <w:color w:val="1341A0" w:themeColor="text1" w:themeTint="D8"/>
      <w:sz w:val="24"/>
      <w:szCs w:val="24"/>
      <w:lang w:eastAsia="ja-JP"/>
    </w:rPr>
  </w:style>
  <w:style w:type="character" w:customStyle="1" w:styleId="TitleChar">
    <w:name w:val="Title Char"/>
    <w:basedOn w:val="DefaultParagraphFont"/>
    <w:link w:val="Title"/>
    <w:uiPriority w:val="10"/>
    <w:rsid w:val="00821381"/>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821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821381"/>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821381"/>
    <w:rPr>
      <w:i/>
      <w:iCs/>
      <w:color w:val="491044" w:themeColor="accent1" w:themeShade="BF"/>
    </w:rPr>
  </w:style>
  <w:style w:type="character" w:customStyle="1" w:styleId="IntenseQuoteChar">
    <w:name w:val="Intense Quote Char"/>
    <w:basedOn w:val="DefaultParagraphFont"/>
    <w:link w:val="IntenseQuote"/>
    <w:uiPriority w:val="30"/>
    <w:rsid w:val="00821381"/>
    <w:rPr>
      <w:i/>
      <w:iCs/>
      <w:color w:val="491044" w:themeColor="accent1" w:themeShade="BF"/>
    </w:rPr>
  </w:style>
  <w:style w:type="paragraph" w:styleId="IntenseQuote">
    <w:name w:val="Intense Quote"/>
    <w:basedOn w:val="Normal"/>
    <w:next w:val="Normal"/>
    <w:link w:val="IntenseQuoteChar"/>
    <w:uiPriority w:val="30"/>
    <w:qFormat/>
    <w:rsid w:val="00821381"/>
    <w:pPr>
      <w:pBdr>
        <w:top w:val="single" w:sz="4" w:space="10" w:color="491044" w:themeColor="accent1" w:themeShade="BF"/>
        <w:bottom w:val="single" w:sz="4" w:space="10" w:color="491044" w:themeColor="accent1" w:themeShade="BF"/>
      </w:pBdr>
      <w:spacing w:before="360" w:after="360" w:line="279" w:lineRule="auto"/>
      <w:ind w:left="864" w:right="864"/>
      <w:jc w:val="center"/>
    </w:pPr>
    <w:rPr>
      <w:i/>
      <w:iCs/>
      <w:color w:val="491044" w:themeColor="accent1" w:themeShade="BF"/>
    </w:rPr>
  </w:style>
  <w:style w:type="character" w:customStyle="1" w:styleId="IntenseQuoteChar1">
    <w:name w:val="Intense Quote Char1"/>
    <w:basedOn w:val="DefaultParagraphFont"/>
    <w:uiPriority w:val="30"/>
    <w:rsid w:val="00821381"/>
    <w:rPr>
      <w:i/>
      <w:iCs/>
      <w:color w:val="62165C" w:themeColor="accent1"/>
    </w:rPr>
  </w:style>
  <w:style w:type="character" w:styleId="IntenseReference">
    <w:name w:val="Intense Reference"/>
    <w:basedOn w:val="DefaultParagraphFont"/>
    <w:uiPriority w:val="32"/>
    <w:qFormat/>
    <w:rsid w:val="00821381"/>
    <w:rPr>
      <w:b/>
      <w:bCs/>
      <w:smallCaps/>
      <w:color w:val="491044" w:themeColor="accent1" w:themeShade="BF"/>
      <w:spacing w:val="5"/>
    </w:rPr>
  </w:style>
  <w:style w:type="paragraph" w:styleId="EndnoteText">
    <w:name w:val="endnote text"/>
    <w:basedOn w:val="Normal"/>
    <w:link w:val="EndnoteTextChar"/>
    <w:uiPriority w:val="99"/>
    <w:semiHidden/>
    <w:unhideWhenUsed/>
    <w:rsid w:val="00821381"/>
    <w:pPr>
      <w:spacing w:after="0" w:line="240" w:lineRule="auto"/>
    </w:pPr>
    <w:rPr>
      <w:rFonts w:eastAsiaTheme="minorEastAsia"/>
      <w:sz w:val="20"/>
      <w:szCs w:val="20"/>
      <w:lang w:eastAsia="ja-JP"/>
    </w:rPr>
  </w:style>
  <w:style w:type="character" w:customStyle="1" w:styleId="EndnoteTextChar">
    <w:name w:val="Endnote Text Char"/>
    <w:basedOn w:val="DefaultParagraphFont"/>
    <w:link w:val="EndnoteText"/>
    <w:uiPriority w:val="99"/>
    <w:semiHidden/>
    <w:rsid w:val="00821381"/>
    <w:rPr>
      <w:rFonts w:eastAsiaTheme="minorEastAsia"/>
      <w:sz w:val="20"/>
      <w:szCs w:val="20"/>
      <w:lang w:eastAsia="ja-JP"/>
    </w:rPr>
  </w:style>
  <w:style w:type="character" w:styleId="EndnoteReference">
    <w:name w:val="endnote reference"/>
    <w:basedOn w:val="DefaultParagraphFont"/>
    <w:uiPriority w:val="99"/>
    <w:semiHidden/>
    <w:unhideWhenUsed/>
    <w:rsid w:val="00821381"/>
    <w:rPr>
      <w:vertAlign w:val="superscript"/>
    </w:rPr>
  </w:style>
  <w:style w:type="character" w:styleId="FollowedHyperlink">
    <w:name w:val="FollowedHyperlink"/>
    <w:basedOn w:val="DefaultParagraphFont"/>
    <w:uiPriority w:val="99"/>
    <w:semiHidden/>
    <w:unhideWhenUsed/>
    <w:rsid w:val="00821381"/>
    <w:rPr>
      <w:color w:val="DFE1DF" w:themeColor="followedHyperlink"/>
      <w:u w:val="single"/>
    </w:rPr>
  </w:style>
  <w:style w:type="paragraph" w:customStyle="1" w:styleId="3Dotpoint">
    <w:name w:val="3. Dot point"/>
    <w:basedOn w:val="ListParagraph"/>
    <w:link w:val="3DotpointChar"/>
    <w:qFormat/>
    <w:rsid w:val="0001098A"/>
    <w:pPr>
      <w:numPr>
        <w:numId w:val="5"/>
      </w:numPr>
      <w:tabs>
        <w:tab w:val="left" w:pos="426"/>
        <w:tab w:val="left" w:pos="1560"/>
      </w:tabs>
      <w:spacing w:after="120" w:line="240" w:lineRule="auto"/>
      <w:contextualSpacing w:val="0"/>
    </w:pPr>
    <w:rPr>
      <w:rFonts w:ascii="Arial" w:eastAsiaTheme="minorHAnsi" w:hAnsi="Arial" w:cs="Arial"/>
      <w:color w:val="0D2C6C" w:themeColor="text1"/>
      <w:sz w:val="28"/>
      <w:szCs w:val="28"/>
      <w:lang w:eastAsia="en-US"/>
    </w:rPr>
  </w:style>
  <w:style w:type="paragraph" w:customStyle="1" w:styleId="4Sub-dotpoint">
    <w:name w:val="4. Sub-dot point"/>
    <w:basedOn w:val="ListParagraph"/>
    <w:link w:val="4Sub-dotpointChar"/>
    <w:qFormat/>
    <w:rsid w:val="00821381"/>
    <w:pPr>
      <w:numPr>
        <w:ilvl w:val="1"/>
        <w:numId w:val="5"/>
      </w:numPr>
      <w:tabs>
        <w:tab w:val="left" w:pos="426"/>
        <w:tab w:val="left" w:pos="1560"/>
      </w:tabs>
      <w:spacing w:after="60" w:line="240" w:lineRule="auto"/>
      <w:contextualSpacing w:val="0"/>
    </w:pPr>
    <w:rPr>
      <w:rFonts w:ascii="Arial" w:eastAsiaTheme="minorHAnsi" w:hAnsi="Arial" w:cs="Arial"/>
      <w:color w:val="0D2C6C" w:themeColor="text1"/>
      <w:sz w:val="28"/>
      <w:szCs w:val="28"/>
      <w:lang w:eastAsia="en-US"/>
    </w:rPr>
  </w:style>
  <w:style w:type="character" w:customStyle="1" w:styleId="3DotpointChar">
    <w:name w:val="3. Dot point Char"/>
    <w:basedOn w:val="DefaultParagraphFont"/>
    <w:link w:val="3Dotpoint"/>
    <w:rsid w:val="00821381"/>
    <w:rPr>
      <w:rFonts w:ascii="Arial" w:hAnsi="Arial" w:cs="Arial"/>
      <w:color w:val="0D2C6C" w:themeColor="text1"/>
      <w:sz w:val="28"/>
      <w:szCs w:val="28"/>
    </w:rPr>
  </w:style>
  <w:style w:type="character" w:customStyle="1" w:styleId="4Sub-dotpointChar">
    <w:name w:val="4. Sub-dot point Char"/>
    <w:basedOn w:val="DefaultParagraphFont"/>
    <w:link w:val="4Sub-dotpoint"/>
    <w:rsid w:val="00821381"/>
    <w:rPr>
      <w:rFonts w:ascii="Arial" w:hAnsi="Arial" w:cs="Arial"/>
      <w:color w:val="0D2C6C" w:themeColor="text1"/>
      <w:sz w:val="28"/>
      <w:szCs w:val="28"/>
    </w:rPr>
  </w:style>
  <w:style w:type="paragraph" w:styleId="Revision">
    <w:name w:val="Revision"/>
    <w:hidden/>
    <w:uiPriority w:val="99"/>
    <w:semiHidden/>
    <w:rsid w:val="00821381"/>
    <w:pPr>
      <w:spacing w:after="0" w:line="240" w:lineRule="auto"/>
    </w:pPr>
    <w:rPr>
      <w:rFonts w:eastAsiaTheme="minorEastAsia"/>
      <w:sz w:val="24"/>
      <w:szCs w:val="24"/>
      <w:lang w:eastAsia="ja-JP"/>
    </w:rPr>
  </w:style>
  <w:style w:type="paragraph" w:customStyle="1" w:styleId="acthead5">
    <w:name w:val="acthead5"/>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821381"/>
  </w:style>
  <w:style w:type="paragraph" w:customStyle="1" w:styleId="subsectionhead">
    <w:name w:val="subsectionhead"/>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
    <w:name w:val="subsection"/>
    <w:aliases w:val="ss"/>
    <w:basedOn w:val="Normal"/>
    <w:link w:val="subsectionChar"/>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indent(a)"/>
    <w:basedOn w:val="Normal"/>
    <w:link w:val="paragraphChar"/>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unhideWhenUsed/>
    <w:rsid w:val="00821381"/>
    <w:pPr>
      <w:spacing w:after="0" w:line="279" w:lineRule="auto"/>
    </w:pPr>
    <w:rPr>
      <w:rFonts w:eastAsiaTheme="minorEastAsia"/>
      <w:sz w:val="24"/>
      <w:szCs w:val="24"/>
      <w:lang w:eastAsia="ja-JP"/>
    </w:rPr>
  </w:style>
  <w:style w:type="paragraph" w:customStyle="1" w:styleId="acthead7">
    <w:name w:val="acthead7"/>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ampartno">
    <w:name w:val="charampartno"/>
    <w:basedOn w:val="DefaultParagraphFont"/>
    <w:rsid w:val="00821381"/>
  </w:style>
  <w:style w:type="character" w:customStyle="1" w:styleId="charamparttext">
    <w:name w:val="charamparttext"/>
    <w:basedOn w:val="DefaultParagraphFont"/>
    <w:rsid w:val="00821381"/>
  </w:style>
  <w:style w:type="paragraph" w:customStyle="1" w:styleId="acthead9">
    <w:name w:val="acthead9"/>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emhead">
    <w:name w:val="itemhead"/>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em">
    <w:name w:val="item"/>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Head0">
    <w:name w:val="SubsectionHead"/>
    <w:aliases w:val="ssh"/>
    <w:basedOn w:val="Normal"/>
    <w:next w:val="Normal"/>
    <w:rsid w:val="00821381"/>
    <w:pPr>
      <w:keepNext/>
      <w:keepLines/>
      <w:spacing w:before="240" w:after="0" w:line="240" w:lineRule="auto"/>
      <w:ind w:left="1134"/>
    </w:pPr>
    <w:rPr>
      <w:rFonts w:ascii="Times New Roman" w:eastAsia="Times New Roman" w:hAnsi="Times New Roman" w:cs="Times New Roman"/>
      <w:i/>
      <w:szCs w:val="20"/>
      <w:lang w:eastAsia="en-AU"/>
    </w:rPr>
  </w:style>
  <w:style w:type="character" w:styleId="SubtleEmphasis">
    <w:name w:val="Subtle Emphasis"/>
    <w:basedOn w:val="DefaultParagraphFont"/>
    <w:uiPriority w:val="19"/>
    <w:qFormat/>
    <w:rsid w:val="00821381"/>
    <w:rPr>
      <w:i/>
      <w:iCs/>
      <w:color w:val="174FC2" w:themeColor="text1" w:themeTint="BF"/>
    </w:rPr>
  </w:style>
  <w:style w:type="paragraph" w:styleId="NormalWeb">
    <w:name w:val="Normal (Web)"/>
    <w:basedOn w:val="Normal"/>
    <w:uiPriority w:val="99"/>
    <w:unhideWhenUsed/>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4">
    <w:name w:val="toc 4"/>
    <w:basedOn w:val="Normal"/>
    <w:next w:val="Normal"/>
    <w:autoRedefine/>
    <w:uiPriority w:val="39"/>
    <w:unhideWhenUsed/>
    <w:rsid w:val="00821381"/>
    <w:pPr>
      <w:spacing w:after="100" w:line="279" w:lineRule="auto"/>
      <w:ind w:left="720"/>
    </w:pPr>
    <w:rPr>
      <w:rFonts w:eastAsiaTheme="minorEastAsia"/>
      <w:sz w:val="24"/>
      <w:szCs w:val="24"/>
      <w:lang w:eastAsia="ja-JP"/>
    </w:rPr>
  </w:style>
  <w:style w:type="paragraph" w:styleId="TOC5">
    <w:name w:val="toc 5"/>
    <w:basedOn w:val="Normal"/>
    <w:next w:val="Normal"/>
    <w:autoRedefine/>
    <w:uiPriority w:val="39"/>
    <w:unhideWhenUsed/>
    <w:rsid w:val="00821381"/>
    <w:pPr>
      <w:spacing w:after="100" w:line="279" w:lineRule="auto"/>
      <w:ind w:left="960"/>
    </w:pPr>
    <w:rPr>
      <w:rFonts w:eastAsiaTheme="minorEastAsia"/>
      <w:sz w:val="24"/>
      <w:szCs w:val="24"/>
      <w:lang w:eastAsia="ja-JP"/>
    </w:rPr>
  </w:style>
  <w:style w:type="paragraph" w:styleId="TOC6">
    <w:name w:val="toc 6"/>
    <w:basedOn w:val="Normal"/>
    <w:next w:val="Normal"/>
    <w:autoRedefine/>
    <w:uiPriority w:val="39"/>
    <w:unhideWhenUsed/>
    <w:rsid w:val="00821381"/>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821381"/>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821381"/>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821381"/>
    <w:pPr>
      <w:spacing w:after="100" w:line="278" w:lineRule="auto"/>
      <w:ind w:left="1920"/>
    </w:pPr>
    <w:rPr>
      <w:rFonts w:eastAsiaTheme="minorEastAsia"/>
      <w:kern w:val="2"/>
      <w:sz w:val="24"/>
      <w:szCs w:val="24"/>
      <w:lang w:eastAsia="en-AU"/>
      <w14:ligatures w14:val="standardContextual"/>
    </w:rPr>
  </w:style>
  <w:style w:type="character" w:customStyle="1" w:styleId="SubtitleChar1">
    <w:name w:val="Subtitle Char1"/>
    <w:basedOn w:val="DefaultParagraphFont"/>
    <w:uiPriority w:val="11"/>
    <w:rsid w:val="00821381"/>
    <w:rPr>
      <w:rFonts w:eastAsiaTheme="majorEastAsia" w:cstheme="majorBidi"/>
      <w:color w:val="1C5DE3" w:themeColor="text1" w:themeTint="A6"/>
      <w:spacing w:val="15"/>
      <w:sz w:val="28"/>
      <w:szCs w:val="28"/>
      <w:lang w:val="en-AU"/>
    </w:rPr>
  </w:style>
  <w:style w:type="character" w:customStyle="1" w:styleId="QuoteChar1">
    <w:name w:val="Quote Char1"/>
    <w:basedOn w:val="DefaultParagraphFont"/>
    <w:uiPriority w:val="29"/>
    <w:rsid w:val="00821381"/>
    <w:rPr>
      <w:i/>
      <w:iCs/>
      <w:color w:val="174FC2" w:themeColor="text1" w:themeTint="BF"/>
      <w:lang w:val="en-AU"/>
    </w:rPr>
  </w:style>
  <w:style w:type="character" w:customStyle="1" w:styleId="cf01">
    <w:name w:val="cf01"/>
    <w:basedOn w:val="DefaultParagraphFont"/>
    <w:rsid w:val="00821381"/>
    <w:rPr>
      <w:rFonts w:ascii="Segoe UI" w:hAnsi="Segoe UI" w:cs="Segoe UI" w:hint="default"/>
      <w:sz w:val="18"/>
      <w:szCs w:val="18"/>
    </w:rPr>
  </w:style>
  <w:style w:type="paragraph" w:customStyle="1" w:styleId="msonormal0">
    <w:name w:val="msonormal"/>
    <w:basedOn w:val="Normal"/>
    <w:uiPriority w:val="99"/>
    <w:rsid w:val="0082138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ullet1">
    <w:name w:val="Bullet 1"/>
    <w:basedOn w:val="Normal"/>
    <w:uiPriority w:val="2"/>
    <w:qFormat/>
    <w:rsid w:val="00821381"/>
    <w:pPr>
      <w:tabs>
        <w:tab w:val="num" w:pos="567"/>
      </w:tabs>
      <w:suppressAutoHyphens/>
      <w:spacing w:before="80" w:after="40" w:line="360" w:lineRule="auto"/>
      <w:ind w:left="2344" w:hanging="360"/>
    </w:pPr>
    <w:rPr>
      <w:rFonts w:ascii="Lato" w:hAnsi="Lato"/>
      <w:color w:val="111C2C"/>
    </w:rPr>
  </w:style>
  <w:style w:type="paragraph" w:customStyle="1" w:styleId="Bullet2">
    <w:name w:val="Bullet 2"/>
    <w:basedOn w:val="Normal"/>
    <w:uiPriority w:val="2"/>
    <w:qFormat/>
    <w:rsid w:val="00821381"/>
    <w:pPr>
      <w:tabs>
        <w:tab w:val="num" w:pos="851"/>
      </w:tabs>
      <w:suppressAutoHyphens/>
      <w:spacing w:before="160" w:after="80" w:line="360" w:lineRule="auto"/>
      <w:ind w:left="3064" w:hanging="360"/>
    </w:pPr>
    <w:rPr>
      <w:rFonts w:ascii="Lato" w:hAnsi="Lato"/>
      <w:color w:val="111C2C"/>
    </w:rPr>
  </w:style>
  <w:style w:type="paragraph" w:customStyle="1" w:styleId="Bullet3">
    <w:name w:val="Bullet 3"/>
    <w:basedOn w:val="Normal"/>
    <w:uiPriority w:val="2"/>
    <w:qFormat/>
    <w:rsid w:val="00821381"/>
    <w:pPr>
      <w:tabs>
        <w:tab w:val="num" w:pos="1135"/>
      </w:tabs>
      <w:suppressAutoHyphens/>
      <w:spacing w:before="160" w:after="80" w:line="360" w:lineRule="auto"/>
      <w:ind w:left="3784" w:hanging="180"/>
    </w:pPr>
    <w:rPr>
      <w:rFonts w:ascii="Lato" w:hAnsi="Lato"/>
      <w:color w:val="111C2C"/>
    </w:rPr>
  </w:style>
  <w:style w:type="numbering" w:customStyle="1" w:styleId="DefaultBullets">
    <w:name w:val="Default Bullets"/>
    <w:uiPriority w:val="99"/>
    <w:rsid w:val="00821381"/>
    <w:pPr>
      <w:numPr>
        <w:numId w:val="8"/>
      </w:numPr>
    </w:pPr>
  </w:style>
  <w:style w:type="paragraph" w:customStyle="1" w:styleId="SCHRnumbers">
    <w:name w:val="SCHR numbers"/>
    <w:basedOn w:val="Normal"/>
    <w:link w:val="SCHRnumbersChar"/>
    <w:qFormat/>
    <w:rsid w:val="0001098A"/>
    <w:pPr>
      <w:numPr>
        <w:numId w:val="7"/>
      </w:numPr>
      <w:spacing w:after="120" w:line="276" w:lineRule="auto"/>
      <w:ind w:left="2344"/>
    </w:pPr>
    <w:rPr>
      <w:rFonts w:ascii="Times New Roman" w:hAnsi="Times New Roman"/>
      <w:sz w:val="24"/>
      <w:szCs w:val="24"/>
    </w:rPr>
  </w:style>
  <w:style w:type="character" w:customStyle="1" w:styleId="SCHRnumbersChar">
    <w:name w:val="SCHR numbers Char"/>
    <w:basedOn w:val="DefaultParagraphFont"/>
    <w:link w:val="SCHRnumbers"/>
    <w:rsid w:val="00821381"/>
    <w:rPr>
      <w:rFonts w:ascii="Times New Roman" w:hAnsi="Times New Roman"/>
      <w:sz w:val="24"/>
      <w:szCs w:val="24"/>
    </w:rPr>
  </w:style>
  <w:style w:type="character" w:customStyle="1" w:styleId="eop">
    <w:name w:val="eop"/>
    <w:basedOn w:val="DefaultParagraphFont"/>
    <w:rsid w:val="00821381"/>
  </w:style>
  <w:style w:type="paragraph" w:customStyle="1" w:styleId="FigureTableHeading">
    <w:name w:val="Figure/Table Heading"/>
    <w:basedOn w:val="Caption"/>
    <w:uiPriority w:val="4"/>
    <w:semiHidden/>
    <w:qFormat/>
    <w:rsid w:val="00C01504"/>
    <w:pPr>
      <w:spacing w:before="240" w:after="40" w:line="280" w:lineRule="atLeast"/>
      <w:ind w:left="0" w:right="0"/>
    </w:pPr>
    <w:rPr>
      <w:rFonts w:asciiTheme="majorHAnsi" w:hAnsiTheme="majorHAnsi"/>
      <w:b w:val="0"/>
      <w:color w:val="0D2C6C" w:themeColor="text1"/>
      <w:sz w:val="20"/>
    </w:rPr>
  </w:style>
  <w:style w:type="paragraph" w:customStyle="1" w:styleId="Note">
    <w:name w:val="Note"/>
    <w:basedOn w:val="Source"/>
    <w:uiPriority w:val="9"/>
    <w:semiHidden/>
    <w:qFormat/>
    <w:rsid w:val="00C01504"/>
    <w:pPr>
      <w:spacing w:before="80" w:after="20" w:line="216" w:lineRule="atLeast"/>
    </w:pPr>
    <w:rPr>
      <w:szCs w:val="20"/>
    </w:rPr>
  </w:style>
  <w:style w:type="paragraph" w:customStyle="1" w:styleId="TableHeading">
    <w:name w:val="Table Heading"/>
    <w:basedOn w:val="NoSpacing"/>
    <w:uiPriority w:val="4"/>
    <w:semiHidden/>
    <w:qFormat/>
    <w:rsid w:val="00C01504"/>
    <w:pPr>
      <w:spacing w:after="20" w:line="280" w:lineRule="atLeast"/>
      <w:ind w:left="57"/>
    </w:pPr>
    <w:rPr>
      <w:b/>
      <w:color w:val="009B9F" w:themeColor="background2"/>
      <w:kern w:val="0"/>
      <w:sz w:val="18"/>
      <w:szCs w:val="20"/>
      <w14:ligatures w14:val="none"/>
    </w:rPr>
  </w:style>
  <w:style w:type="paragraph" w:customStyle="1" w:styleId="TableBody">
    <w:name w:val="Table Body"/>
    <w:basedOn w:val="NoSpacing"/>
    <w:uiPriority w:val="4"/>
    <w:semiHidden/>
    <w:qFormat/>
    <w:rsid w:val="00C01504"/>
    <w:pPr>
      <w:spacing w:after="20" w:line="280" w:lineRule="atLeast"/>
      <w:ind w:left="57"/>
    </w:pPr>
    <w:rPr>
      <w:kern w:val="0"/>
      <w:sz w:val="18"/>
      <w:szCs w:val="20"/>
      <w14:ligatures w14:val="none"/>
    </w:rPr>
  </w:style>
  <w:style w:type="paragraph" w:customStyle="1" w:styleId="Item0">
    <w:name w:val="Item"/>
    <w:aliases w:val="i"/>
    <w:basedOn w:val="Normal"/>
    <w:next w:val="Normal"/>
    <w:link w:val="ItemChar"/>
    <w:rsid w:val="00C01504"/>
    <w:pPr>
      <w:keepLines/>
      <w:spacing w:before="80" w:after="0" w:line="240" w:lineRule="auto"/>
      <w:ind w:left="709"/>
    </w:pPr>
    <w:rPr>
      <w:rFonts w:ascii="Times New Roman" w:eastAsia="Times New Roman" w:hAnsi="Times New Roman" w:cs="Times New Roman"/>
      <w:szCs w:val="20"/>
      <w:lang w:eastAsia="en-AU"/>
    </w:rPr>
  </w:style>
  <w:style w:type="paragraph" w:customStyle="1" w:styleId="Subitem">
    <w:name w:val="Subitem"/>
    <w:aliases w:val="iss"/>
    <w:basedOn w:val="Normal"/>
    <w:rsid w:val="00C01504"/>
    <w:pPr>
      <w:spacing w:before="180" w:after="0" w:line="240" w:lineRule="auto"/>
      <w:ind w:left="709" w:hanging="709"/>
    </w:pPr>
    <w:rPr>
      <w:rFonts w:ascii="Times New Roman" w:eastAsia="Times New Roman" w:hAnsi="Times New Roman" w:cs="Times New Roman"/>
      <w:szCs w:val="20"/>
      <w:lang w:eastAsia="en-AU"/>
    </w:rPr>
  </w:style>
  <w:style w:type="paragraph" w:customStyle="1" w:styleId="Transitional">
    <w:name w:val="Transitional"/>
    <w:aliases w:val="tr"/>
    <w:basedOn w:val="Normal"/>
    <w:next w:val="Item0"/>
    <w:rsid w:val="00C01504"/>
    <w:pPr>
      <w:keepNext/>
      <w:keepLines/>
      <w:spacing w:before="220" w:after="0" w:line="240" w:lineRule="auto"/>
      <w:ind w:left="709" w:hanging="709"/>
    </w:pPr>
    <w:rPr>
      <w:rFonts w:ascii="Arial" w:eastAsia="Times New Roman" w:hAnsi="Arial" w:cs="Times New Roman"/>
      <w:b/>
      <w:kern w:val="28"/>
      <w:sz w:val="24"/>
      <w:szCs w:val="20"/>
      <w:lang w:eastAsia="en-AU"/>
    </w:rPr>
  </w:style>
  <w:style w:type="character" w:customStyle="1" w:styleId="paragraphChar">
    <w:name w:val="paragraph Char"/>
    <w:aliases w:val="a Char"/>
    <w:link w:val="paragraph"/>
    <w:rsid w:val="00C01504"/>
    <w:rPr>
      <w:rFonts w:ascii="Times New Roman" w:eastAsia="Times New Roman" w:hAnsi="Times New Roman" w:cs="Times New Roman"/>
      <w:sz w:val="24"/>
      <w:szCs w:val="24"/>
      <w:lang w:eastAsia="en-AU"/>
    </w:rPr>
  </w:style>
  <w:style w:type="character" w:customStyle="1" w:styleId="ItemChar">
    <w:name w:val="Item Char"/>
    <w:aliases w:val="i Char"/>
    <w:basedOn w:val="DefaultParagraphFont"/>
    <w:link w:val="Item0"/>
    <w:rsid w:val="00C01504"/>
    <w:rPr>
      <w:rFonts w:ascii="Times New Roman" w:eastAsia="Times New Roman" w:hAnsi="Times New Roman" w:cs="Times New Roman"/>
      <w:szCs w:val="20"/>
      <w:lang w:eastAsia="en-AU"/>
    </w:rPr>
  </w:style>
  <w:style w:type="paragraph" w:customStyle="1" w:styleId="ActHead50">
    <w:name w:val="ActHead 5"/>
    <w:aliases w:val="s"/>
    <w:basedOn w:val="Normal"/>
    <w:next w:val="subsection"/>
    <w:link w:val="ActHead5Char"/>
    <w:qFormat/>
    <w:rsid w:val="00C01504"/>
    <w:pPr>
      <w:keepNext/>
      <w:keepLines/>
      <w:spacing w:before="280" w:after="0" w:line="240" w:lineRule="auto"/>
      <w:ind w:left="1134" w:hanging="1134"/>
      <w:outlineLvl w:val="4"/>
    </w:pPr>
    <w:rPr>
      <w:rFonts w:ascii="Times New Roman" w:eastAsiaTheme="minorEastAsia" w:hAnsi="Times New Roman" w:cs="Times New Roman"/>
      <w:b/>
      <w:bCs/>
      <w:kern w:val="28"/>
      <w:sz w:val="24"/>
      <w:szCs w:val="24"/>
      <w:lang w:eastAsia="en-AU"/>
      <w14:ligatures w14:val="standardContextual"/>
    </w:rPr>
  </w:style>
  <w:style w:type="character" w:customStyle="1" w:styleId="CharSectno0">
    <w:name w:val="CharSectno"/>
    <w:basedOn w:val="DefaultParagraphFont"/>
    <w:qFormat/>
    <w:rsid w:val="00C01504"/>
    <w:rPr>
      <w:rFonts w:ascii="Times New Roman" w:hAnsi="Times New Roman" w:cs="Times New Roman"/>
    </w:rPr>
  </w:style>
  <w:style w:type="paragraph" w:customStyle="1" w:styleId="notetext0">
    <w:name w:val="note(text)"/>
    <w:aliases w:val="n"/>
    <w:basedOn w:val="Normal"/>
    <w:link w:val="notetextChar"/>
    <w:rsid w:val="00C01504"/>
    <w:pPr>
      <w:spacing w:before="122" w:after="0" w:line="240" w:lineRule="auto"/>
      <w:ind w:left="1985" w:hanging="851"/>
    </w:pPr>
    <w:rPr>
      <w:rFonts w:ascii="Times New Roman" w:eastAsiaTheme="minorEastAsia" w:hAnsi="Times New Roman" w:cs="Times New Roman"/>
      <w:sz w:val="18"/>
      <w:szCs w:val="18"/>
      <w:lang w:eastAsia="en-AU"/>
      <w14:ligatures w14:val="standardContextual"/>
    </w:rPr>
  </w:style>
  <w:style w:type="character" w:customStyle="1" w:styleId="subsectionChar">
    <w:name w:val="subsection Char"/>
    <w:aliases w:val="ss Char"/>
    <w:basedOn w:val="DefaultParagraphFont"/>
    <w:link w:val="subsection"/>
    <w:rsid w:val="00C01504"/>
    <w:rPr>
      <w:rFonts w:ascii="Times New Roman" w:eastAsia="Times New Roman" w:hAnsi="Times New Roman" w:cs="Times New Roman"/>
      <w:sz w:val="24"/>
      <w:szCs w:val="24"/>
      <w:lang w:eastAsia="en-AU"/>
    </w:rPr>
  </w:style>
  <w:style w:type="character" w:customStyle="1" w:styleId="ActHead5Char">
    <w:name w:val="ActHead 5 Char"/>
    <w:aliases w:val="s Char"/>
    <w:link w:val="ActHead50"/>
    <w:locked/>
    <w:rsid w:val="00C01504"/>
    <w:rPr>
      <w:rFonts w:ascii="Times New Roman" w:eastAsiaTheme="minorEastAsia" w:hAnsi="Times New Roman" w:cs="Times New Roman"/>
      <w:b/>
      <w:bCs/>
      <w:kern w:val="28"/>
      <w:sz w:val="24"/>
      <w:szCs w:val="24"/>
      <w:lang w:eastAsia="en-AU"/>
      <w14:ligatures w14:val="standardContextual"/>
    </w:rPr>
  </w:style>
  <w:style w:type="character" w:customStyle="1" w:styleId="notetextChar">
    <w:name w:val="note(text) Char"/>
    <w:aliases w:val="n Char"/>
    <w:basedOn w:val="DefaultParagraphFont"/>
    <w:link w:val="notetext0"/>
    <w:rsid w:val="00C01504"/>
    <w:rPr>
      <w:rFonts w:ascii="Times New Roman" w:eastAsiaTheme="minorEastAsia" w:hAnsi="Times New Roman" w:cs="Times New Roman"/>
      <w:sz w:val="18"/>
      <w:szCs w:val="18"/>
      <w:lang w:eastAsia="en-AU"/>
      <w14:ligatures w14:val="standardContextual"/>
    </w:rPr>
  </w:style>
  <w:style w:type="table" w:customStyle="1" w:styleId="EDU-Basic11">
    <w:name w:val="EDU - Basic11"/>
    <w:basedOn w:val="TableNormal"/>
    <w:uiPriority w:val="99"/>
    <w:rsid w:val="00374060"/>
    <w:pPr>
      <w:spacing w:before="100" w:beforeAutospacing="1" w:after="100" w:afterAutospacing="1"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left"/>
      </w:pPr>
      <w:rPr>
        <w:rFonts w:ascii="Bahnschrift SemiBold Condensed" w:hAnsi="Bahnschrift SemiBold Condensed"/>
        <w:b/>
        <w:color w:val="FFFFFF" w:themeColor="background1"/>
        <w:sz w:val="22"/>
      </w:rPr>
      <w:tblPr/>
      <w:tcPr>
        <w:shd w:val="clear" w:color="auto" w:fill="0D2C6C" w:themeFill="text1"/>
      </w:tcPr>
    </w:tblStylePr>
    <w:tblStylePr w:type="firstCol">
      <w:rPr>
        <w:b w:val="0"/>
      </w:rPr>
    </w:tblStylePr>
  </w:style>
  <w:style w:type="numbering" w:customStyle="1" w:styleId="DefaultBullets1">
    <w:name w:val="Default Bullets1"/>
    <w:uiPriority w:val="99"/>
    <w:rsid w:val="00830EF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650">
      <w:bodyDiv w:val="1"/>
      <w:marLeft w:val="0"/>
      <w:marRight w:val="0"/>
      <w:marTop w:val="0"/>
      <w:marBottom w:val="0"/>
      <w:divBdr>
        <w:top w:val="none" w:sz="0" w:space="0" w:color="auto"/>
        <w:left w:val="none" w:sz="0" w:space="0" w:color="auto"/>
        <w:bottom w:val="none" w:sz="0" w:space="0" w:color="auto"/>
        <w:right w:val="none" w:sz="0" w:space="0" w:color="auto"/>
      </w:divBdr>
    </w:div>
    <w:div w:id="20518636">
      <w:bodyDiv w:val="1"/>
      <w:marLeft w:val="0"/>
      <w:marRight w:val="0"/>
      <w:marTop w:val="0"/>
      <w:marBottom w:val="0"/>
      <w:divBdr>
        <w:top w:val="none" w:sz="0" w:space="0" w:color="auto"/>
        <w:left w:val="none" w:sz="0" w:space="0" w:color="auto"/>
        <w:bottom w:val="none" w:sz="0" w:space="0" w:color="auto"/>
        <w:right w:val="none" w:sz="0" w:space="0" w:color="auto"/>
      </w:divBdr>
    </w:div>
    <w:div w:id="33388460">
      <w:bodyDiv w:val="1"/>
      <w:marLeft w:val="0"/>
      <w:marRight w:val="0"/>
      <w:marTop w:val="0"/>
      <w:marBottom w:val="0"/>
      <w:divBdr>
        <w:top w:val="none" w:sz="0" w:space="0" w:color="auto"/>
        <w:left w:val="none" w:sz="0" w:space="0" w:color="auto"/>
        <w:bottom w:val="none" w:sz="0" w:space="0" w:color="auto"/>
        <w:right w:val="none" w:sz="0" w:space="0" w:color="auto"/>
      </w:divBdr>
    </w:div>
    <w:div w:id="101845166">
      <w:bodyDiv w:val="1"/>
      <w:marLeft w:val="0"/>
      <w:marRight w:val="0"/>
      <w:marTop w:val="0"/>
      <w:marBottom w:val="0"/>
      <w:divBdr>
        <w:top w:val="none" w:sz="0" w:space="0" w:color="auto"/>
        <w:left w:val="none" w:sz="0" w:space="0" w:color="auto"/>
        <w:bottom w:val="none" w:sz="0" w:space="0" w:color="auto"/>
        <w:right w:val="none" w:sz="0" w:space="0" w:color="auto"/>
      </w:divBdr>
    </w:div>
    <w:div w:id="120618106">
      <w:bodyDiv w:val="1"/>
      <w:marLeft w:val="0"/>
      <w:marRight w:val="0"/>
      <w:marTop w:val="0"/>
      <w:marBottom w:val="0"/>
      <w:divBdr>
        <w:top w:val="none" w:sz="0" w:space="0" w:color="auto"/>
        <w:left w:val="none" w:sz="0" w:space="0" w:color="auto"/>
        <w:bottom w:val="none" w:sz="0" w:space="0" w:color="auto"/>
        <w:right w:val="none" w:sz="0" w:space="0" w:color="auto"/>
      </w:divBdr>
    </w:div>
    <w:div w:id="121122633">
      <w:bodyDiv w:val="1"/>
      <w:marLeft w:val="0"/>
      <w:marRight w:val="0"/>
      <w:marTop w:val="0"/>
      <w:marBottom w:val="0"/>
      <w:divBdr>
        <w:top w:val="none" w:sz="0" w:space="0" w:color="auto"/>
        <w:left w:val="none" w:sz="0" w:space="0" w:color="auto"/>
        <w:bottom w:val="none" w:sz="0" w:space="0" w:color="auto"/>
        <w:right w:val="none" w:sz="0" w:space="0" w:color="auto"/>
      </w:divBdr>
    </w:div>
    <w:div w:id="144858024">
      <w:bodyDiv w:val="1"/>
      <w:marLeft w:val="0"/>
      <w:marRight w:val="0"/>
      <w:marTop w:val="0"/>
      <w:marBottom w:val="0"/>
      <w:divBdr>
        <w:top w:val="none" w:sz="0" w:space="0" w:color="auto"/>
        <w:left w:val="none" w:sz="0" w:space="0" w:color="auto"/>
        <w:bottom w:val="none" w:sz="0" w:space="0" w:color="auto"/>
        <w:right w:val="none" w:sz="0" w:space="0" w:color="auto"/>
      </w:divBdr>
    </w:div>
    <w:div w:id="177740614">
      <w:bodyDiv w:val="1"/>
      <w:marLeft w:val="0"/>
      <w:marRight w:val="0"/>
      <w:marTop w:val="0"/>
      <w:marBottom w:val="0"/>
      <w:divBdr>
        <w:top w:val="none" w:sz="0" w:space="0" w:color="auto"/>
        <w:left w:val="none" w:sz="0" w:space="0" w:color="auto"/>
        <w:bottom w:val="none" w:sz="0" w:space="0" w:color="auto"/>
        <w:right w:val="none" w:sz="0" w:space="0" w:color="auto"/>
      </w:divBdr>
    </w:div>
    <w:div w:id="210655525">
      <w:bodyDiv w:val="1"/>
      <w:marLeft w:val="0"/>
      <w:marRight w:val="0"/>
      <w:marTop w:val="0"/>
      <w:marBottom w:val="0"/>
      <w:divBdr>
        <w:top w:val="none" w:sz="0" w:space="0" w:color="auto"/>
        <w:left w:val="none" w:sz="0" w:space="0" w:color="auto"/>
        <w:bottom w:val="none" w:sz="0" w:space="0" w:color="auto"/>
        <w:right w:val="none" w:sz="0" w:space="0" w:color="auto"/>
      </w:divBdr>
    </w:div>
    <w:div w:id="262034663">
      <w:bodyDiv w:val="1"/>
      <w:marLeft w:val="0"/>
      <w:marRight w:val="0"/>
      <w:marTop w:val="0"/>
      <w:marBottom w:val="0"/>
      <w:divBdr>
        <w:top w:val="none" w:sz="0" w:space="0" w:color="auto"/>
        <w:left w:val="none" w:sz="0" w:space="0" w:color="auto"/>
        <w:bottom w:val="none" w:sz="0" w:space="0" w:color="auto"/>
        <w:right w:val="none" w:sz="0" w:space="0" w:color="auto"/>
      </w:divBdr>
    </w:div>
    <w:div w:id="304743473">
      <w:bodyDiv w:val="1"/>
      <w:marLeft w:val="0"/>
      <w:marRight w:val="0"/>
      <w:marTop w:val="0"/>
      <w:marBottom w:val="0"/>
      <w:divBdr>
        <w:top w:val="none" w:sz="0" w:space="0" w:color="auto"/>
        <w:left w:val="none" w:sz="0" w:space="0" w:color="auto"/>
        <w:bottom w:val="none" w:sz="0" w:space="0" w:color="auto"/>
        <w:right w:val="none" w:sz="0" w:space="0" w:color="auto"/>
      </w:divBdr>
    </w:div>
    <w:div w:id="307438044">
      <w:bodyDiv w:val="1"/>
      <w:marLeft w:val="0"/>
      <w:marRight w:val="0"/>
      <w:marTop w:val="0"/>
      <w:marBottom w:val="0"/>
      <w:divBdr>
        <w:top w:val="none" w:sz="0" w:space="0" w:color="auto"/>
        <w:left w:val="none" w:sz="0" w:space="0" w:color="auto"/>
        <w:bottom w:val="none" w:sz="0" w:space="0" w:color="auto"/>
        <w:right w:val="none" w:sz="0" w:space="0" w:color="auto"/>
      </w:divBdr>
    </w:div>
    <w:div w:id="341705434">
      <w:bodyDiv w:val="1"/>
      <w:marLeft w:val="0"/>
      <w:marRight w:val="0"/>
      <w:marTop w:val="0"/>
      <w:marBottom w:val="0"/>
      <w:divBdr>
        <w:top w:val="none" w:sz="0" w:space="0" w:color="auto"/>
        <w:left w:val="none" w:sz="0" w:space="0" w:color="auto"/>
        <w:bottom w:val="none" w:sz="0" w:space="0" w:color="auto"/>
        <w:right w:val="none" w:sz="0" w:space="0" w:color="auto"/>
      </w:divBdr>
    </w:div>
    <w:div w:id="354582083">
      <w:bodyDiv w:val="1"/>
      <w:marLeft w:val="0"/>
      <w:marRight w:val="0"/>
      <w:marTop w:val="0"/>
      <w:marBottom w:val="0"/>
      <w:divBdr>
        <w:top w:val="none" w:sz="0" w:space="0" w:color="auto"/>
        <w:left w:val="none" w:sz="0" w:space="0" w:color="auto"/>
        <w:bottom w:val="none" w:sz="0" w:space="0" w:color="auto"/>
        <w:right w:val="none" w:sz="0" w:space="0" w:color="auto"/>
      </w:divBdr>
    </w:div>
    <w:div w:id="365912637">
      <w:bodyDiv w:val="1"/>
      <w:marLeft w:val="0"/>
      <w:marRight w:val="0"/>
      <w:marTop w:val="0"/>
      <w:marBottom w:val="0"/>
      <w:divBdr>
        <w:top w:val="none" w:sz="0" w:space="0" w:color="auto"/>
        <w:left w:val="none" w:sz="0" w:space="0" w:color="auto"/>
        <w:bottom w:val="none" w:sz="0" w:space="0" w:color="auto"/>
        <w:right w:val="none" w:sz="0" w:space="0" w:color="auto"/>
      </w:divBdr>
    </w:div>
    <w:div w:id="374896112">
      <w:bodyDiv w:val="1"/>
      <w:marLeft w:val="0"/>
      <w:marRight w:val="0"/>
      <w:marTop w:val="0"/>
      <w:marBottom w:val="0"/>
      <w:divBdr>
        <w:top w:val="none" w:sz="0" w:space="0" w:color="auto"/>
        <w:left w:val="none" w:sz="0" w:space="0" w:color="auto"/>
        <w:bottom w:val="none" w:sz="0" w:space="0" w:color="auto"/>
        <w:right w:val="none" w:sz="0" w:space="0" w:color="auto"/>
      </w:divBdr>
    </w:div>
    <w:div w:id="414788986">
      <w:bodyDiv w:val="1"/>
      <w:marLeft w:val="0"/>
      <w:marRight w:val="0"/>
      <w:marTop w:val="0"/>
      <w:marBottom w:val="0"/>
      <w:divBdr>
        <w:top w:val="none" w:sz="0" w:space="0" w:color="auto"/>
        <w:left w:val="none" w:sz="0" w:space="0" w:color="auto"/>
        <w:bottom w:val="none" w:sz="0" w:space="0" w:color="auto"/>
        <w:right w:val="none" w:sz="0" w:space="0" w:color="auto"/>
      </w:divBdr>
      <w:divsChild>
        <w:div w:id="1716810684">
          <w:marLeft w:val="0"/>
          <w:marRight w:val="0"/>
          <w:marTop w:val="0"/>
          <w:marBottom w:val="0"/>
          <w:divBdr>
            <w:top w:val="none" w:sz="0" w:space="0" w:color="auto"/>
            <w:left w:val="none" w:sz="0" w:space="0" w:color="auto"/>
            <w:bottom w:val="none" w:sz="0" w:space="0" w:color="auto"/>
            <w:right w:val="none" w:sz="0" w:space="0" w:color="auto"/>
          </w:divBdr>
          <w:divsChild>
            <w:div w:id="7948559">
              <w:marLeft w:val="0"/>
              <w:marRight w:val="0"/>
              <w:marTop w:val="0"/>
              <w:marBottom w:val="0"/>
              <w:divBdr>
                <w:top w:val="none" w:sz="0" w:space="0" w:color="auto"/>
                <w:left w:val="none" w:sz="0" w:space="0" w:color="auto"/>
                <w:bottom w:val="none" w:sz="0" w:space="0" w:color="auto"/>
                <w:right w:val="none" w:sz="0" w:space="0" w:color="auto"/>
              </w:divBdr>
              <w:divsChild>
                <w:div w:id="456218336">
                  <w:marLeft w:val="0"/>
                  <w:marRight w:val="0"/>
                  <w:marTop w:val="0"/>
                  <w:marBottom w:val="300"/>
                  <w:divBdr>
                    <w:top w:val="none" w:sz="0" w:space="0" w:color="auto"/>
                    <w:left w:val="none" w:sz="0" w:space="0" w:color="auto"/>
                    <w:bottom w:val="none" w:sz="0" w:space="0" w:color="auto"/>
                    <w:right w:val="none" w:sz="0" w:space="0" w:color="auto"/>
                  </w:divBdr>
                  <w:divsChild>
                    <w:div w:id="1697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009511">
      <w:bodyDiv w:val="1"/>
      <w:marLeft w:val="0"/>
      <w:marRight w:val="0"/>
      <w:marTop w:val="0"/>
      <w:marBottom w:val="0"/>
      <w:divBdr>
        <w:top w:val="none" w:sz="0" w:space="0" w:color="auto"/>
        <w:left w:val="none" w:sz="0" w:space="0" w:color="auto"/>
        <w:bottom w:val="none" w:sz="0" w:space="0" w:color="auto"/>
        <w:right w:val="none" w:sz="0" w:space="0" w:color="auto"/>
      </w:divBdr>
    </w:div>
    <w:div w:id="473064315">
      <w:bodyDiv w:val="1"/>
      <w:marLeft w:val="0"/>
      <w:marRight w:val="0"/>
      <w:marTop w:val="0"/>
      <w:marBottom w:val="0"/>
      <w:divBdr>
        <w:top w:val="none" w:sz="0" w:space="0" w:color="auto"/>
        <w:left w:val="none" w:sz="0" w:space="0" w:color="auto"/>
        <w:bottom w:val="none" w:sz="0" w:space="0" w:color="auto"/>
        <w:right w:val="none" w:sz="0" w:space="0" w:color="auto"/>
      </w:divBdr>
    </w:div>
    <w:div w:id="508718214">
      <w:bodyDiv w:val="1"/>
      <w:marLeft w:val="0"/>
      <w:marRight w:val="0"/>
      <w:marTop w:val="0"/>
      <w:marBottom w:val="0"/>
      <w:divBdr>
        <w:top w:val="none" w:sz="0" w:space="0" w:color="auto"/>
        <w:left w:val="none" w:sz="0" w:space="0" w:color="auto"/>
        <w:bottom w:val="none" w:sz="0" w:space="0" w:color="auto"/>
        <w:right w:val="none" w:sz="0" w:space="0" w:color="auto"/>
      </w:divBdr>
    </w:div>
    <w:div w:id="557935554">
      <w:bodyDiv w:val="1"/>
      <w:marLeft w:val="0"/>
      <w:marRight w:val="0"/>
      <w:marTop w:val="0"/>
      <w:marBottom w:val="0"/>
      <w:divBdr>
        <w:top w:val="none" w:sz="0" w:space="0" w:color="auto"/>
        <w:left w:val="none" w:sz="0" w:space="0" w:color="auto"/>
        <w:bottom w:val="none" w:sz="0" w:space="0" w:color="auto"/>
        <w:right w:val="none" w:sz="0" w:space="0" w:color="auto"/>
      </w:divBdr>
    </w:div>
    <w:div w:id="563295131">
      <w:bodyDiv w:val="1"/>
      <w:marLeft w:val="0"/>
      <w:marRight w:val="0"/>
      <w:marTop w:val="0"/>
      <w:marBottom w:val="0"/>
      <w:divBdr>
        <w:top w:val="none" w:sz="0" w:space="0" w:color="auto"/>
        <w:left w:val="none" w:sz="0" w:space="0" w:color="auto"/>
        <w:bottom w:val="none" w:sz="0" w:space="0" w:color="auto"/>
        <w:right w:val="none" w:sz="0" w:space="0" w:color="auto"/>
      </w:divBdr>
    </w:div>
    <w:div w:id="567032265">
      <w:bodyDiv w:val="1"/>
      <w:marLeft w:val="0"/>
      <w:marRight w:val="0"/>
      <w:marTop w:val="0"/>
      <w:marBottom w:val="0"/>
      <w:divBdr>
        <w:top w:val="none" w:sz="0" w:space="0" w:color="auto"/>
        <w:left w:val="none" w:sz="0" w:space="0" w:color="auto"/>
        <w:bottom w:val="none" w:sz="0" w:space="0" w:color="auto"/>
        <w:right w:val="none" w:sz="0" w:space="0" w:color="auto"/>
      </w:divBdr>
    </w:div>
    <w:div w:id="585843819">
      <w:bodyDiv w:val="1"/>
      <w:marLeft w:val="0"/>
      <w:marRight w:val="0"/>
      <w:marTop w:val="0"/>
      <w:marBottom w:val="0"/>
      <w:divBdr>
        <w:top w:val="none" w:sz="0" w:space="0" w:color="auto"/>
        <w:left w:val="none" w:sz="0" w:space="0" w:color="auto"/>
        <w:bottom w:val="none" w:sz="0" w:space="0" w:color="auto"/>
        <w:right w:val="none" w:sz="0" w:space="0" w:color="auto"/>
      </w:divBdr>
    </w:div>
    <w:div w:id="625893932">
      <w:bodyDiv w:val="1"/>
      <w:marLeft w:val="0"/>
      <w:marRight w:val="0"/>
      <w:marTop w:val="0"/>
      <w:marBottom w:val="0"/>
      <w:divBdr>
        <w:top w:val="none" w:sz="0" w:space="0" w:color="auto"/>
        <w:left w:val="none" w:sz="0" w:space="0" w:color="auto"/>
        <w:bottom w:val="none" w:sz="0" w:space="0" w:color="auto"/>
        <w:right w:val="none" w:sz="0" w:space="0" w:color="auto"/>
      </w:divBdr>
    </w:div>
    <w:div w:id="633557723">
      <w:bodyDiv w:val="1"/>
      <w:marLeft w:val="0"/>
      <w:marRight w:val="0"/>
      <w:marTop w:val="0"/>
      <w:marBottom w:val="0"/>
      <w:divBdr>
        <w:top w:val="none" w:sz="0" w:space="0" w:color="auto"/>
        <w:left w:val="none" w:sz="0" w:space="0" w:color="auto"/>
        <w:bottom w:val="none" w:sz="0" w:space="0" w:color="auto"/>
        <w:right w:val="none" w:sz="0" w:space="0" w:color="auto"/>
      </w:divBdr>
    </w:div>
    <w:div w:id="650598946">
      <w:bodyDiv w:val="1"/>
      <w:marLeft w:val="0"/>
      <w:marRight w:val="0"/>
      <w:marTop w:val="0"/>
      <w:marBottom w:val="0"/>
      <w:divBdr>
        <w:top w:val="none" w:sz="0" w:space="0" w:color="auto"/>
        <w:left w:val="none" w:sz="0" w:space="0" w:color="auto"/>
        <w:bottom w:val="none" w:sz="0" w:space="0" w:color="auto"/>
        <w:right w:val="none" w:sz="0" w:space="0" w:color="auto"/>
      </w:divBdr>
    </w:div>
    <w:div w:id="679116242">
      <w:bodyDiv w:val="1"/>
      <w:marLeft w:val="0"/>
      <w:marRight w:val="0"/>
      <w:marTop w:val="0"/>
      <w:marBottom w:val="0"/>
      <w:divBdr>
        <w:top w:val="none" w:sz="0" w:space="0" w:color="auto"/>
        <w:left w:val="none" w:sz="0" w:space="0" w:color="auto"/>
        <w:bottom w:val="none" w:sz="0" w:space="0" w:color="auto"/>
        <w:right w:val="none" w:sz="0" w:space="0" w:color="auto"/>
      </w:divBdr>
    </w:div>
    <w:div w:id="682635961">
      <w:bodyDiv w:val="1"/>
      <w:marLeft w:val="0"/>
      <w:marRight w:val="0"/>
      <w:marTop w:val="0"/>
      <w:marBottom w:val="0"/>
      <w:divBdr>
        <w:top w:val="none" w:sz="0" w:space="0" w:color="auto"/>
        <w:left w:val="none" w:sz="0" w:space="0" w:color="auto"/>
        <w:bottom w:val="none" w:sz="0" w:space="0" w:color="auto"/>
        <w:right w:val="none" w:sz="0" w:space="0" w:color="auto"/>
      </w:divBdr>
    </w:div>
    <w:div w:id="688946138">
      <w:bodyDiv w:val="1"/>
      <w:marLeft w:val="0"/>
      <w:marRight w:val="0"/>
      <w:marTop w:val="0"/>
      <w:marBottom w:val="0"/>
      <w:divBdr>
        <w:top w:val="none" w:sz="0" w:space="0" w:color="auto"/>
        <w:left w:val="none" w:sz="0" w:space="0" w:color="auto"/>
        <w:bottom w:val="none" w:sz="0" w:space="0" w:color="auto"/>
        <w:right w:val="none" w:sz="0" w:space="0" w:color="auto"/>
      </w:divBdr>
    </w:div>
    <w:div w:id="691034817">
      <w:bodyDiv w:val="1"/>
      <w:marLeft w:val="0"/>
      <w:marRight w:val="0"/>
      <w:marTop w:val="0"/>
      <w:marBottom w:val="0"/>
      <w:divBdr>
        <w:top w:val="none" w:sz="0" w:space="0" w:color="auto"/>
        <w:left w:val="none" w:sz="0" w:space="0" w:color="auto"/>
        <w:bottom w:val="none" w:sz="0" w:space="0" w:color="auto"/>
        <w:right w:val="none" w:sz="0" w:space="0" w:color="auto"/>
      </w:divBdr>
    </w:div>
    <w:div w:id="703410183">
      <w:bodyDiv w:val="1"/>
      <w:marLeft w:val="0"/>
      <w:marRight w:val="0"/>
      <w:marTop w:val="0"/>
      <w:marBottom w:val="0"/>
      <w:divBdr>
        <w:top w:val="none" w:sz="0" w:space="0" w:color="auto"/>
        <w:left w:val="none" w:sz="0" w:space="0" w:color="auto"/>
        <w:bottom w:val="none" w:sz="0" w:space="0" w:color="auto"/>
        <w:right w:val="none" w:sz="0" w:space="0" w:color="auto"/>
      </w:divBdr>
    </w:div>
    <w:div w:id="717321977">
      <w:bodyDiv w:val="1"/>
      <w:marLeft w:val="0"/>
      <w:marRight w:val="0"/>
      <w:marTop w:val="0"/>
      <w:marBottom w:val="0"/>
      <w:divBdr>
        <w:top w:val="none" w:sz="0" w:space="0" w:color="auto"/>
        <w:left w:val="none" w:sz="0" w:space="0" w:color="auto"/>
        <w:bottom w:val="none" w:sz="0" w:space="0" w:color="auto"/>
        <w:right w:val="none" w:sz="0" w:space="0" w:color="auto"/>
      </w:divBdr>
    </w:div>
    <w:div w:id="783764638">
      <w:bodyDiv w:val="1"/>
      <w:marLeft w:val="0"/>
      <w:marRight w:val="0"/>
      <w:marTop w:val="0"/>
      <w:marBottom w:val="0"/>
      <w:divBdr>
        <w:top w:val="none" w:sz="0" w:space="0" w:color="auto"/>
        <w:left w:val="none" w:sz="0" w:space="0" w:color="auto"/>
        <w:bottom w:val="none" w:sz="0" w:space="0" w:color="auto"/>
        <w:right w:val="none" w:sz="0" w:space="0" w:color="auto"/>
      </w:divBdr>
    </w:div>
    <w:div w:id="862013307">
      <w:bodyDiv w:val="1"/>
      <w:marLeft w:val="0"/>
      <w:marRight w:val="0"/>
      <w:marTop w:val="0"/>
      <w:marBottom w:val="0"/>
      <w:divBdr>
        <w:top w:val="none" w:sz="0" w:space="0" w:color="auto"/>
        <w:left w:val="none" w:sz="0" w:space="0" w:color="auto"/>
        <w:bottom w:val="none" w:sz="0" w:space="0" w:color="auto"/>
        <w:right w:val="none" w:sz="0" w:space="0" w:color="auto"/>
      </w:divBdr>
    </w:div>
    <w:div w:id="882251306">
      <w:bodyDiv w:val="1"/>
      <w:marLeft w:val="0"/>
      <w:marRight w:val="0"/>
      <w:marTop w:val="0"/>
      <w:marBottom w:val="0"/>
      <w:divBdr>
        <w:top w:val="none" w:sz="0" w:space="0" w:color="auto"/>
        <w:left w:val="none" w:sz="0" w:space="0" w:color="auto"/>
        <w:bottom w:val="none" w:sz="0" w:space="0" w:color="auto"/>
        <w:right w:val="none" w:sz="0" w:space="0" w:color="auto"/>
      </w:divBdr>
    </w:div>
    <w:div w:id="885337473">
      <w:bodyDiv w:val="1"/>
      <w:marLeft w:val="0"/>
      <w:marRight w:val="0"/>
      <w:marTop w:val="0"/>
      <w:marBottom w:val="0"/>
      <w:divBdr>
        <w:top w:val="none" w:sz="0" w:space="0" w:color="auto"/>
        <w:left w:val="none" w:sz="0" w:space="0" w:color="auto"/>
        <w:bottom w:val="none" w:sz="0" w:space="0" w:color="auto"/>
        <w:right w:val="none" w:sz="0" w:space="0" w:color="auto"/>
      </w:divBdr>
    </w:div>
    <w:div w:id="919601229">
      <w:bodyDiv w:val="1"/>
      <w:marLeft w:val="0"/>
      <w:marRight w:val="0"/>
      <w:marTop w:val="0"/>
      <w:marBottom w:val="0"/>
      <w:divBdr>
        <w:top w:val="none" w:sz="0" w:space="0" w:color="auto"/>
        <w:left w:val="none" w:sz="0" w:space="0" w:color="auto"/>
        <w:bottom w:val="none" w:sz="0" w:space="0" w:color="auto"/>
        <w:right w:val="none" w:sz="0" w:space="0" w:color="auto"/>
      </w:divBdr>
    </w:div>
    <w:div w:id="955336386">
      <w:bodyDiv w:val="1"/>
      <w:marLeft w:val="0"/>
      <w:marRight w:val="0"/>
      <w:marTop w:val="0"/>
      <w:marBottom w:val="0"/>
      <w:divBdr>
        <w:top w:val="none" w:sz="0" w:space="0" w:color="auto"/>
        <w:left w:val="none" w:sz="0" w:space="0" w:color="auto"/>
        <w:bottom w:val="none" w:sz="0" w:space="0" w:color="auto"/>
        <w:right w:val="none" w:sz="0" w:space="0" w:color="auto"/>
      </w:divBdr>
    </w:div>
    <w:div w:id="983855515">
      <w:bodyDiv w:val="1"/>
      <w:marLeft w:val="0"/>
      <w:marRight w:val="0"/>
      <w:marTop w:val="0"/>
      <w:marBottom w:val="0"/>
      <w:divBdr>
        <w:top w:val="none" w:sz="0" w:space="0" w:color="auto"/>
        <w:left w:val="none" w:sz="0" w:space="0" w:color="auto"/>
        <w:bottom w:val="none" w:sz="0" w:space="0" w:color="auto"/>
        <w:right w:val="none" w:sz="0" w:space="0" w:color="auto"/>
      </w:divBdr>
    </w:div>
    <w:div w:id="1004042911">
      <w:bodyDiv w:val="1"/>
      <w:marLeft w:val="0"/>
      <w:marRight w:val="0"/>
      <w:marTop w:val="0"/>
      <w:marBottom w:val="0"/>
      <w:divBdr>
        <w:top w:val="none" w:sz="0" w:space="0" w:color="auto"/>
        <w:left w:val="none" w:sz="0" w:space="0" w:color="auto"/>
        <w:bottom w:val="none" w:sz="0" w:space="0" w:color="auto"/>
        <w:right w:val="none" w:sz="0" w:space="0" w:color="auto"/>
      </w:divBdr>
    </w:div>
    <w:div w:id="1006709341">
      <w:bodyDiv w:val="1"/>
      <w:marLeft w:val="0"/>
      <w:marRight w:val="0"/>
      <w:marTop w:val="0"/>
      <w:marBottom w:val="0"/>
      <w:divBdr>
        <w:top w:val="none" w:sz="0" w:space="0" w:color="auto"/>
        <w:left w:val="none" w:sz="0" w:space="0" w:color="auto"/>
        <w:bottom w:val="none" w:sz="0" w:space="0" w:color="auto"/>
        <w:right w:val="none" w:sz="0" w:space="0" w:color="auto"/>
      </w:divBdr>
    </w:div>
    <w:div w:id="1028019942">
      <w:bodyDiv w:val="1"/>
      <w:marLeft w:val="0"/>
      <w:marRight w:val="0"/>
      <w:marTop w:val="0"/>
      <w:marBottom w:val="0"/>
      <w:divBdr>
        <w:top w:val="none" w:sz="0" w:space="0" w:color="auto"/>
        <w:left w:val="none" w:sz="0" w:space="0" w:color="auto"/>
        <w:bottom w:val="none" w:sz="0" w:space="0" w:color="auto"/>
        <w:right w:val="none" w:sz="0" w:space="0" w:color="auto"/>
      </w:divBdr>
    </w:div>
    <w:div w:id="1033460609">
      <w:bodyDiv w:val="1"/>
      <w:marLeft w:val="0"/>
      <w:marRight w:val="0"/>
      <w:marTop w:val="0"/>
      <w:marBottom w:val="0"/>
      <w:divBdr>
        <w:top w:val="none" w:sz="0" w:space="0" w:color="auto"/>
        <w:left w:val="none" w:sz="0" w:space="0" w:color="auto"/>
        <w:bottom w:val="none" w:sz="0" w:space="0" w:color="auto"/>
        <w:right w:val="none" w:sz="0" w:space="0" w:color="auto"/>
      </w:divBdr>
    </w:div>
    <w:div w:id="1043673342">
      <w:bodyDiv w:val="1"/>
      <w:marLeft w:val="0"/>
      <w:marRight w:val="0"/>
      <w:marTop w:val="0"/>
      <w:marBottom w:val="0"/>
      <w:divBdr>
        <w:top w:val="none" w:sz="0" w:space="0" w:color="auto"/>
        <w:left w:val="none" w:sz="0" w:space="0" w:color="auto"/>
        <w:bottom w:val="none" w:sz="0" w:space="0" w:color="auto"/>
        <w:right w:val="none" w:sz="0" w:space="0" w:color="auto"/>
      </w:divBdr>
    </w:div>
    <w:div w:id="1046485364">
      <w:bodyDiv w:val="1"/>
      <w:marLeft w:val="0"/>
      <w:marRight w:val="0"/>
      <w:marTop w:val="0"/>
      <w:marBottom w:val="0"/>
      <w:divBdr>
        <w:top w:val="none" w:sz="0" w:space="0" w:color="auto"/>
        <w:left w:val="none" w:sz="0" w:space="0" w:color="auto"/>
        <w:bottom w:val="none" w:sz="0" w:space="0" w:color="auto"/>
        <w:right w:val="none" w:sz="0" w:space="0" w:color="auto"/>
      </w:divBdr>
    </w:div>
    <w:div w:id="1106345902">
      <w:bodyDiv w:val="1"/>
      <w:marLeft w:val="0"/>
      <w:marRight w:val="0"/>
      <w:marTop w:val="0"/>
      <w:marBottom w:val="0"/>
      <w:divBdr>
        <w:top w:val="none" w:sz="0" w:space="0" w:color="auto"/>
        <w:left w:val="none" w:sz="0" w:space="0" w:color="auto"/>
        <w:bottom w:val="none" w:sz="0" w:space="0" w:color="auto"/>
        <w:right w:val="none" w:sz="0" w:space="0" w:color="auto"/>
      </w:divBdr>
    </w:div>
    <w:div w:id="1112289640">
      <w:bodyDiv w:val="1"/>
      <w:marLeft w:val="0"/>
      <w:marRight w:val="0"/>
      <w:marTop w:val="0"/>
      <w:marBottom w:val="0"/>
      <w:divBdr>
        <w:top w:val="none" w:sz="0" w:space="0" w:color="auto"/>
        <w:left w:val="none" w:sz="0" w:space="0" w:color="auto"/>
        <w:bottom w:val="none" w:sz="0" w:space="0" w:color="auto"/>
        <w:right w:val="none" w:sz="0" w:space="0" w:color="auto"/>
      </w:divBdr>
    </w:div>
    <w:div w:id="1140727084">
      <w:bodyDiv w:val="1"/>
      <w:marLeft w:val="0"/>
      <w:marRight w:val="0"/>
      <w:marTop w:val="0"/>
      <w:marBottom w:val="0"/>
      <w:divBdr>
        <w:top w:val="none" w:sz="0" w:space="0" w:color="auto"/>
        <w:left w:val="none" w:sz="0" w:space="0" w:color="auto"/>
        <w:bottom w:val="none" w:sz="0" w:space="0" w:color="auto"/>
        <w:right w:val="none" w:sz="0" w:space="0" w:color="auto"/>
      </w:divBdr>
    </w:div>
    <w:div w:id="1146317140">
      <w:bodyDiv w:val="1"/>
      <w:marLeft w:val="0"/>
      <w:marRight w:val="0"/>
      <w:marTop w:val="0"/>
      <w:marBottom w:val="0"/>
      <w:divBdr>
        <w:top w:val="none" w:sz="0" w:space="0" w:color="auto"/>
        <w:left w:val="none" w:sz="0" w:space="0" w:color="auto"/>
        <w:bottom w:val="none" w:sz="0" w:space="0" w:color="auto"/>
        <w:right w:val="none" w:sz="0" w:space="0" w:color="auto"/>
      </w:divBdr>
    </w:div>
    <w:div w:id="1171264153">
      <w:bodyDiv w:val="1"/>
      <w:marLeft w:val="0"/>
      <w:marRight w:val="0"/>
      <w:marTop w:val="0"/>
      <w:marBottom w:val="0"/>
      <w:divBdr>
        <w:top w:val="none" w:sz="0" w:space="0" w:color="auto"/>
        <w:left w:val="none" w:sz="0" w:space="0" w:color="auto"/>
        <w:bottom w:val="none" w:sz="0" w:space="0" w:color="auto"/>
        <w:right w:val="none" w:sz="0" w:space="0" w:color="auto"/>
      </w:divBdr>
    </w:div>
    <w:div w:id="1174954096">
      <w:bodyDiv w:val="1"/>
      <w:marLeft w:val="0"/>
      <w:marRight w:val="0"/>
      <w:marTop w:val="0"/>
      <w:marBottom w:val="0"/>
      <w:divBdr>
        <w:top w:val="none" w:sz="0" w:space="0" w:color="auto"/>
        <w:left w:val="none" w:sz="0" w:space="0" w:color="auto"/>
        <w:bottom w:val="none" w:sz="0" w:space="0" w:color="auto"/>
        <w:right w:val="none" w:sz="0" w:space="0" w:color="auto"/>
      </w:divBdr>
    </w:div>
    <w:div w:id="1217936437">
      <w:bodyDiv w:val="1"/>
      <w:marLeft w:val="0"/>
      <w:marRight w:val="0"/>
      <w:marTop w:val="0"/>
      <w:marBottom w:val="0"/>
      <w:divBdr>
        <w:top w:val="none" w:sz="0" w:space="0" w:color="auto"/>
        <w:left w:val="none" w:sz="0" w:space="0" w:color="auto"/>
        <w:bottom w:val="none" w:sz="0" w:space="0" w:color="auto"/>
        <w:right w:val="none" w:sz="0" w:space="0" w:color="auto"/>
      </w:divBdr>
    </w:div>
    <w:div w:id="1249733032">
      <w:bodyDiv w:val="1"/>
      <w:marLeft w:val="0"/>
      <w:marRight w:val="0"/>
      <w:marTop w:val="0"/>
      <w:marBottom w:val="0"/>
      <w:divBdr>
        <w:top w:val="none" w:sz="0" w:space="0" w:color="auto"/>
        <w:left w:val="none" w:sz="0" w:space="0" w:color="auto"/>
        <w:bottom w:val="none" w:sz="0" w:space="0" w:color="auto"/>
        <w:right w:val="none" w:sz="0" w:space="0" w:color="auto"/>
      </w:divBdr>
    </w:div>
    <w:div w:id="1262372482">
      <w:bodyDiv w:val="1"/>
      <w:marLeft w:val="0"/>
      <w:marRight w:val="0"/>
      <w:marTop w:val="0"/>
      <w:marBottom w:val="0"/>
      <w:divBdr>
        <w:top w:val="none" w:sz="0" w:space="0" w:color="auto"/>
        <w:left w:val="none" w:sz="0" w:space="0" w:color="auto"/>
        <w:bottom w:val="none" w:sz="0" w:space="0" w:color="auto"/>
        <w:right w:val="none" w:sz="0" w:space="0" w:color="auto"/>
      </w:divBdr>
    </w:div>
    <w:div w:id="1262950020">
      <w:bodyDiv w:val="1"/>
      <w:marLeft w:val="0"/>
      <w:marRight w:val="0"/>
      <w:marTop w:val="0"/>
      <w:marBottom w:val="0"/>
      <w:divBdr>
        <w:top w:val="none" w:sz="0" w:space="0" w:color="auto"/>
        <w:left w:val="none" w:sz="0" w:space="0" w:color="auto"/>
        <w:bottom w:val="none" w:sz="0" w:space="0" w:color="auto"/>
        <w:right w:val="none" w:sz="0" w:space="0" w:color="auto"/>
      </w:divBdr>
    </w:div>
    <w:div w:id="1287421861">
      <w:bodyDiv w:val="1"/>
      <w:marLeft w:val="0"/>
      <w:marRight w:val="0"/>
      <w:marTop w:val="0"/>
      <w:marBottom w:val="0"/>
      <w:divBdr>
        <w:top w:val="none" w:sz="0" w:space="0" w:color="auto"/>
        <w:left w:val="none" w:sz="0" w:space="0" w:color="auto"/>
        <w:bottom w:val="none" w:sz="0" w:space="0" w:color="auto"/>
        <w:right w:val="none" w:sz="0" w:space="0" w:color="auto"/>
      </w:divBdr>
    </w:div>
    <w:div w:id="1301496343">
      <w:bodyDiv w:val="1"/>
      <w:marLeft w:val="0"/>
      <w:marRight w:val="0"/>
      <w:marTop w:val="0"/>
      <w:marBottom w:val="0"/>
      <w:divBdr>
        <w:top w:val="none" w:sz="0" w:space="0" w:color="auto"/>
        <w:left w:val="none" w:sz="0" w:space="0" w:color="auto"/>
        <w:bottom w:val="none" w:sz="0" w:space="0" w:color="auto"/>
        <w:right w:val="none" w:sz="0" w:space="0" w:color="auto"/>
      </w:divBdr>
    </w:div>
    <w:div w:id="1335837841">
      <w:bodyDiv w:val="1"/>
      <w:marLeft w:val="0"/>
      <w:marRight w:val="0"/>
      <w:marTop w:val="0"/>
      <w:marBottom w:val="0"/>
      <w:divBdr>
        <w:top w:val="none" w:sz="0" w:space="0" w:color="auto"/>
        <w:left w:val="none" w:sz="0" w:space="0" w:color="auto"/>
        <w:bottom w:val="none" w:sz="0" w:space="0" w:color="auto"/>
        <w:right w:val="none" w:sz="0" w:space="0" w:color="auto"/>
      </w:divBdr>
    </w:div>
    <w:div w:id="1367683194">
      <w:bodyDiv w:val="1"/>
      <w:marLeft w:val="0"/>
      <w:marRight w:val="0"/>
      <w:marTop w:val="0"/>
      <w:marBottom w:val="0"/>
      <w:divBdr>
        <w:top w:val="none" w:sz="0" w:space="0" w:color="auto"/>
        <w:left w:val="none" w:sz="0" w:space="0" w:color="auto"/>
        <w:bottom w:val="none" w:sz="0" w:space="0" w:color="auto"/>
        <w:right w:val="none" w:sz="0" w:space="0" w:color="auto"/>
      </w:divBdr>
    </w:div>
    <w:div w:id="1378897352">
      <w:bodyDiv w:val="1"/>
      <w:marLeft w:val="0"/>
      <w:marRight w:val="0"/>
      <w:marTop w:val="0"/>
      <w:marBottom w:val="0"/>
      <w:divBdr>
        <w:top w:val="none" w:sz="0" w:space="0" w:color="auto"/>
        <w:left w:val="none" w:sz="0" w:space="0" w:color="auto"/>
        <w:bottom w:val="none" w:sz="0" w:space="0" w:color="auto"/>
        <w:right w:val="none" w:sz="0" w:space="0" w:color="auto"/>
      </w:divBdr>
    </w:div>
    <w:div w:id="1385526377">
      <w:bodyDiv w:val="1"/>
      <w:marLeft w:val="0"/>
      <w:marRight w:val="0"/>
      <w:marTop w:val="0"/>
      <w:marBottom w:val="0"/>
      <w:divBdr>
        <w:top w:val="none" w:sz="0" w:space="0" w:color="auto"/>
        <w:left w:val="none" w:sz="0" w:space="0" w:color="auto"/>
        <w:bottom w:val="none" w:sz="0" w:space="0" w:color="auto"/>
        <w:right w:val="none" w:sz="0" w:space="0" w:color="auto"/>
      </w:divBdr>
    </w:div>
    <w:div w:id="1414282376">
      <w:bodyDiv w:val="1"/>
      <w:marLeft w:val="0"/>
      <w:marRight w:val="0"/>
      <w:marTop w:val="0"/>
      <w:marBottom w:val="0"/>
      <w:divBdr>
        <w:top w:val="none" w:sz="0" w:space="0" w:color="auto"/>
        <w:left w:val="none" w:sz="0" w:space="0" w:color="auto"/>
        <w:bottom w:val="none" w:sz="0" w:space="0" w:color="auto"/>
        <w:right w:val="none" w:sz="0" w:space="0" w:color="auto"/>
      </w:divBdr>
    </w:div>
    <w:div w:id="1435898215">
      <w:bodyDiv w:val="1"/>
      <w:marLeft w:val="0"/>
      <w:marRight w:val="0"/>
      <w:marTop w:val="0"/>
      <w:marBottom w:val="0"/>
      <w:divBdr>
        <w:top w:val="none" w:sz="0" w:space="0" w:color="auto"/>
        <w:left w:val="none" w:sz="0" w:space="0" w:color="auto"/>
        <w:bottom w:val="none" w:sz="0" w:space="0" w:color="auto"/>
        <w:right w:val="none" w:sz="0" w:space="0" w:color="auto"/>
      </w:divBdr>
      <w:divsChild>
        <w:div w:id="850683536">
          <w:marLeft w:val="0"/>
          <w:marRight w:val="0"/>
          <w:marTop w:val="0"/>
          <w:marBottom w:val="60"/>
          <w:divBdr>
            <w:top w:val="none" w:sz="0" w:space="0" w:color="auto"/>
            <w:left w:val="none" w:sz="0" w:space="0" w:color="auto"/>
            <w:bottom w:val="none" w:sz="0" w:space="0" w:color="auto"/>
            <w:right w:val="none" w:sz="0" w:space="0" w:color="auto"/>
          </w:divBdr>
          <w:divsChild>
            <w:div w:id="168450666">
              <w:marLeft w:val="0"/>
              <w:marRight w:val="0"/>
              <w:marTop w:val="0"/>
              <w:marBottom w:val="0"/>
              <w:divBdr>
                <w:top w:val="none" w:sz="0" w:space="0" w:color="auto"/>
                <w:left w:val="none" w:sz="0" w:space="0" w:color="auto"/>
                <w:bottom w:val="none" w:sz="0" w:space="0" w:color="auto"/>
                <w:right w:val="none" w:sz="0" w:space="0" w:color="auto"/>
              </w:divBdr>
              <w:divsChild>
                <w:div w:id="770587592">
                  <w:marLeft w:val="0"/>
                  <w:marRight w:val="0"/>
                  <w:marTop w:val="0"/>
                  <w:marBottom w:val="0"/>
                  <w:divBdr>
                    <w:top w:val="none" w:sz="0" w:space="0" w:color="auto"/>
                    <w:left w:val="none" w:sz="0" w:space="0" w:color="auto"/>
                    <w:bottom w:val="none" w:sz="0" w:space="0" w:color="auto"/>
                    <w:right w:val="none" w:sz="0" w:space="0" w:color="auto"/>
                  </w:divBdr>
                  <w:divsChild>
                    <w:div w:id="1247690114">
                      <w:marLeft w:val="0"/>
                      <w:marRight w:val="0"/>
                      <w:marTop w:val="0"/>
                      <w:marBottom w:val="0"/>
                      <w:divBdr>
                        <w:top w:val="none" w:sz="0" w:space="0" w:color="auto"/>
                        <w:left w:val="none" w:sz="0" w:space="0" w:color="auto"/>
                        <w:bottom w:val="none" w:sz="0" w:space="0" w:color="auto"/>
                        <w:right w:val="none" w:sz="0" w:space="0" w:color="auto"/>
                      </w:divBdr>
                      <w:divsChild>
                        <w:div w:id="656418270">
                          <w:marLeft w:val="0"/>
                          <w:marRight w:val="0"/>
                          <w:marTop w:val="0"/>
                          <w:marBottom w:val="0"/>
                          <w:divBdr>
                            <w:top w:val="none" w:sz="0" w:space="0" w:color="auto"/>
                            <w:left w:val="none" w:sz="0" w:space="0" w:color="auto"/>
                            <w:bottom w:val="none" w:sz="0" w:space="0" w:color="auto"/>
                            <w:right w:val="none" w:sz="0" w:space="0" w:color="auto"/>
                          </w:divBdr>
                        </w:div>
                      </w:divsChild>
                    </w:div>
                    <w:div w:id="1532571937">
                      <w:marLeft w:val="0"/>
                      <w:marRight w:val="150"/>
                      <w:marTop w:val="30"/>
                      <w:marBottom w:val="0"/>
                      <w:divBdr>
                        <w:top w:val="none" w:sz="0" w:space="0" w:color="auto"/>
                        <w:left w:val="none" w:sz="0" w:space="0" w:color="auto"/>
                        <w:bottom w:val="none" w:sz="0" w:space="0" w:color="auto"/>
                        <w:right w:val="none" w:sz="0" w:space="0" w:color="auto"/>
                      </w:divBdr>
                      <w:divsChild>
                        <w:div w:id="41558034">
                          <w:marLeft w:val="0"/>
                          <w:marRight w:val="0"/>
                          <w:marTop w:val="0"/>
                          <w:marBottom w:val="0"/>
                          <w:divBdr>
                            <w:top w:val="none" w:sz="0" w:space="0" w:color="auto"/>
                            <w:left w:val="none" w:sz="0" w:space="0" w:color="auto"/>
                            <w:bottom w:val="none" w:sz="0" w:space="0" w:color="auto"/>
                            <w:right w:val="none" w:sz="0" w:space="0" w:color="auto"/>
                          </w:divBdr>
                        </w:div>
                      </w:divsChild>
                    </w:div>
                    <w:div w:id="1719166150">
                      <w:marLeft w:val="0"/>
                      <w:marRight w:val="150"/>
                      <w:marTop w:val="30"/>
                      <w:marBottom w:val="0"/>
                      <w:divBdr>
                        <w:top w:val="none" w:sz="0" w:space="0" w:color="auto"/>
                        <w:left w:val="none" w:sz="0" w:space="0" w:color="auto"/>
                        <w:bottom w:val="none" w:sz="0" w:space="0" w:color="auto"/>
                        <w:right w:val="none" w:sz="0" w:space="0" w:color="auto"/>
                      </w:divBdr>
                      <w:divsChild>
                        <w:div w:id="13786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250012">
      <w:bodyDiv w:val="1"/>
      <w:marLeft w:val="0"/>
      <w:marRight w:val="0"/>
      <w:marTop w:val="0"/>
      <w:marBottom w:val="0"/>
      <w:divBdr>
        <w:top w:val="none" w:sz="0" w:space="0" w:color="auto"/>
        <w:left w:val="none" w:sz="0" w:space="0" w:color="auto"/>
        <w:bottom w:val="none" w:sz="0" w:space="0" w:color="auto"/>
        <w:right w:val="none" w:sz="0" w:space="0" w:color="auto"/>
      </w:divBdr>
    </w:div>
    <w:div w:id="1461651153">
      <w:bodyDiv w:val="1"/>
      <w:marLeft w:val="0"/>
      <w:marRight w:val="0"/>
      <w:marTop w:val="0"/>
      <w:marBottom w:val="0"/>
      <w:divBdr>
        <w:top w:val="none" w:sz="0" w:space="0" w:color="auto"/>
        <w:left w:val="none" w:sz="0" w:space="0" w:color="auto"/>
        <w:bottom w:val="none" w:sz="0" w:space="0" w:color="auto"/>
        <w:right w:val="none" w:sz="0" w:space="0" w:color="auto"/>
      </w:divBdr>
    </w:div>
    <w:div w:id="1473016385">
      <w:bodyDiv w:val="1"/>
      <w:marLeft w:val="0"/>
      <w:marRight w:val="0"/>
      <w:marTop w:val="0"/>
      <w:marBottom w:val="0"/>
      <w:divBdr>
        <w:top w:val="none" w:sz="0" w:space="0" w:color="auto"/>
        <w:left w:val="none" w:sz="0" w:space="0" w:color="auto"/>
        <w:bottom w:val="none" w:sz="0" w:space="0" w:color="auto"/>
        <w:right w:val="none" w:sz="0" w:space="0" w:color="auto"/>
      </w:divBdr>
    </w:div>
    <w:div w:id="1474711378">
      <w:bodyDiv w:val="1"/>
      <w:marLeft w:val="0"/>
      <w:marRight w:val="0"/>
      <w:marTop w:val="0"/>
      <w:marBottom w:val="0"/>
      <w:divBdr>
        <w:top w:val="none" w:sz="0" w:space="0" w:color="auto"/>
        <w:left w:val="none" w:sz="0" w:space="0" w:color="auto"/>
        <w:bottom w:val="none" w:sz="0" w:space="0" w:color="auto"/>
        <w:right w:val="none" w:sz="0" w:space="0" w:color="auto"/>
      </w:divBdr>
    </w:div>
    <w:div w:id="1481385591">
      <w:bodyDiv w:val="1"/>
      <w:marLeft w:val="0"/>
      <w:marRight w:val="0"/>
      <w:marTop w:val="0"/>
      <w:marBottom w:val="0"/>
      <w:divBdr>
        <w:top w:val="none" w:sz="0" w:space="0" w:color="auto"/>
        <w:left w:val="none" w:sz="0" w:space="0" w:color="auto"/>
        <w:bottom w:val="none" w:sz="0" w:space="0" w:color="auto"/>
        <w:right w:val="none" w:sz="0" w:space="0" w:color="auto"/>
      </w:divBdr>
    </w:div>
    <w:div w:id="1536846548">
      <w:bodyDiv w:val="1"/>
      <w:marLeft w:val="0"/>
      <w:marRight w:val="0"/>
      <w:marTop w:val="0"/>
      <w:marBottom w:val="0"/>
      <w:divBdr>
        <w:top w:val="none" w:sz="0" w:space="0" w:color="auto"/>
        <w:left w:val="none" w:sz="0" w:space="0" w:color="auto"/>
        <w:bottom w:val="none" w:sz="0" w:space="0" w:color="auto"/>
        <w:right w:val="none" w:sz="0" w:space="0" w:color="auto"/>
      </w:divBdr>
    </w:div>
    <w:div w:id="1555190960">
      <w:bodyDiv w:val="1"/>
      <w:marLeft w:val="0"/>
      <w:marRight w:val="0"/>
      <w:marTop w:val="0"/>
      <w:marBottom w:val="0"/>
      <w:divBdr>
        <w:top w:val="none" w:sz="0" w:space="0" w:color="auto"/>
        <w:left w:val="none" w:sz="0" w:space="0" w:color="auto"/>
        <w:bottom w:val="none" w:sz="0" w:space="0" w:color="auto"/>
        <w:right w:val="none" w:sz="0" w:space="0" w:color="auto"/>
      </w:divBdr>
    </w:div>
    <w:div w:id="1576742492">
      <w:bodyDiv w:val="1"/>
      <w:marLeft w:val="0"/>
      <w:marRight w:val="0"/>
      <w:marTop w:val="0"/>
      <w:marBottom w:val="0"/>
      <w:divBdr>
        <w:top w:val="none" w:sz="0" w:space="0" w:color="auto"/>
        <w:left w:val="none" w:sz="0" w:space="0" w:color="auto"/>
        <w:bottom w:val="none" w:sz="0" w:space="0" w:color="auto"/>
        <w:right w:val="none" w:sz="0" w:space="0" w:color="auto"/>
      </w:divBdr>
    </w:div>
    <w:div w:id="1590431095">
      <w:bodyDiv w:val="1"/>
      <w:marLeft w:val="0"/>
      <w:marRight w:val="0"/>
      <w:marTop w:val="0"/>
      <w:marBottom w:val="0"/>
      <w:divBdr>
        <w:top w:val="none" w:sz="0" w:space="0" w:color="auto"/>
        <w:left w:val="none" w:sz="0" w:space="0" w:color="auto"/>
        <w:bottom w:val="none" w:sz="0" w:space="0" w:color="auto"/>
        <w:right w:val="none" w:sz="0" w:space="0" w:color="auto"/>
      </w:divBdr>
    </w:div>
    <w:div w:id="1595283255">
      <w:bodyDiv w:val="1"/>
      <w:marLeft w:val="0"/>
      <w:marRight w:val="0"/>
      <w:marTop w:val="0"/>
      <w:marBottom w:val="0"/>
      <w:divBdr>
        <w:top w:val="none" w:sz="0" w:space="0" w:color="auto"/>
        <w:left w:val="none" w:sz="0" w:space="0" w:color="auto"/>
        <w:bottom w:val="none" w:sz="0" w:space="0" w:color="auto"/>
        <w:right w:val="none" w:sz="0" w:space="0" w:color="auto"/>
      </w:divBdr>
    </w:div>
    <w:div w:id="1599749739">
      <w:bodyDiv w:val="1"/>
      <w:marLeft w:val="0"/>
      <w:marRight w:val="0"/>
      <w:marTop w:val="0"/>
      <w:marBottom w:val="0"/>
      <w:divBdr>
        <w:top w:val="none" w:sz="0" w:space="0" w:color="auto"/>
        <w:left w:val="none" w:sz="0" w:space="0" w:color="auto"/>
        <w:bottom w:val="none" w:sz="0" w:space="0" w:color="auto"/>
        <w:right w:val="none" w:sz="0" w:space="0" w:color="auto"/>
      </w:divBdr>
    </w:div>
    <w:div w:id="1620143071">
      <w:bodyDiv w:val="1"/>
      <w:marLeft w:val="0"/>
      <w:marRight w:val="0"/>
      <w:marTop w:val="0"/>
      <w:marBottom w:val="0"/>
      <w:divBdr>
        <w:top w:val="none" w:sz="0" w:space="0" w:color="auto"/>
        <w:left w:val="none" w:sz="0" w:space="0" w:color="auto"/>
        <w:bottom w:val="none" w:sz="0" w:space="0" w:color="auto"/>
        <w:right w:val="none" w:sz="0" w:space="0" w:color="auto"/>
      </w:divBdr>
    </w:div>
    <w:div w:id="1627080965">
      <w:bodyDiv w:val="1"/>
      <w:marLeft w:val="0"/>
      <w:marRight w:val="0"/>
      <w:marTop w:val="0"/>
      <w:marBottom w:val="0"/>
      <w:divBdr>
        <w:top w:val="none" w:sz="0" w:space="0" w:color="auto"/>
        <w:left w:val="none" w:sz="0" w:space="0" w:color="auto"/>
        <w:bottom w:val="none" w:sz="0" w:space="0" w:color="auto"/>
        <w:right w:val="none" w:sz="0" w:space="0" w:color="auto"/>
      </w:divBdr>
    </w:div>
    <w:div w:id="1641836848">
      <w:bodyDiv w:val="1"/>
      <w:marLeft w:val="0"/>
      <w:marRight w:val="0"/>
      <w:marTop w:val="0"/>
      <w:marBottom w:val="0"/>
      <w:divBdr>
        <w:top w:val="none" w:sz="0" w:space="0" w:color="auto"/>
        <w:left w:val="none" w:sz="0" w:space="0" w:color="auto"/>
        <w:bottom w:val="none" w:sz="0" w:space="0" w:color="auto"/>
        <w:right w:val="none" w:sz="0" w:space="0" w:color="auto"/>
      </w:divBdr>
      <w:divsChild>
        <w:div w:id="2072002285">
          <w:marLeft w:val="0"/>
          <w:marRight w:val="0"/>
          <w:marTop w:val="0"/>
          <w:marBottom w:val="0"/>
          <w:divBdr>
            <w:top w:val="none" w:sz="0" w:space="0" w:color="auto"/>
            <w:left w:val="none" w:sz="0" w:space="0" w:color="auto"/>
            <w:bottom w:val="none" w:sz="0" w:space="0" w:color="auto"/>
            <w:right w:val="none" w:sz="0" w:space="0" w:color="auto"/>
          </w:divBdr>
          <w:divsChild>
            <w:div w:id="1069881616">
              <w:marLeft w:val="0"/>
              <w:marRight w:val="0"/>
              <w:marTop w:val="0"/>
              <w:marBottom w:val="0"/>
              <w:divBdr>
                <w:top w:val="none" w:sz="0" w:space="0" w:color="auto"/>
                <w:left w:val="none" w:sz="0" w:space="0" w:color="auto"/>
                <w:bottom w:val="none" w:sz="0" w:space="0" w:color="auto"/>
                <w:right w:val="none" w:sz="0" w:space="0" w:color="auto"/>
              </w:divBdr>
              <w:divsChild>
                <w:div w:id="129247840">
                  <w:marLeft w:val="0"/>
                  <w:marRight w:val="0"/>
                  <w:marTop w:val="0"/>
                  <w:marBottom w:val="300"/>
                  <w:divBdr>
                    <w:top w:val="none" w:sz="0" w:space="0" w:color="auto"/>
                    <w:left w:val="none" w:sz="0" w:space="0" w:color="auto"/>
                    <w:bottom w:val="none" w:sz="0" w:space="0" w:color="auto"/>
                    <w:right w:val="none" w:sz="0" w:space="0" w:color="auto"/>
                  </w:divBdr>
                  <w:divsChild>
                    <w:div w:id="8310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330439">
      <w:bodyDiv w:val="1"/>
      <w:marLeft w:val="0"/>
      <w:marRight w:val="0"/>
      <w:marTop w:val="0"/>
      <w:marBottom w:val="0"/>
      <w:divBdr>
        <w:top w:val="none" w:sz="0" w:space="0" w:color="auto"/>
        <w:left w:val="none" w:sz="0" w:space="0" w:color="auto"/>
        <w:bottom w:val="none" w:sz="0" w:space="0" w:color="auto"/>
        <w:right w:val="none" w:sz="0" w:space="0" w:color="auto"/>
      </w:divBdr>
    </w:div>
    <w:div w:id="1700819313">
      <w:bodyDiv w:val="1"/>
      <w:marLeft w:val="0"/>
      <w:marRight w:val="0"/>
      <w:marTop w:val="0"/>
      <w:marBottom w:val="0"/>
      <w:divBdr>
        <w:top w:val="none" w:sz="0" w:space="0" w:color="auto"/>
        <w:left w:val="none" w:sz="0" w:space="0" w:color="auto"/>
        <w:bottom w:val="none" w:sz="0" w:space="0" w:color="auto"/>
        <w:right w:val="none" w:sz="0" w:space="0" w:color="auto"/>
      </w:divBdr>
    </w:div>
    <w:div w:id="1717123488">
      <w:bodyDiv w:val="1"/>
      <w:marLeft w:val="0"/>
      <w:marRight w:val="0"/>
      <w:marTop w:val="0"/>
      <w:marBottom w:val="0"/>
      <w:divBdr>
        <w:top w:val="none" w:sz="0" w:space="0" w:color="auto"/>
        <w:left w:val="none" w:sz="0" w:space="0" w:color="auto"/>
        <w:bottom w:val="none" w:sz="0" w:space="0" w:color="auto"/>
        <w:right w:val="none" w:sz="0" w:space="0" w:color="auto"/>
      </w:divBdr>
    </w:div>
    <w:div w:id="1723095477">
      <w:bodyDiv w:val="1"/>
      <w:marLeft w:val="0"/>
      <w:marRight w:val="0"/>
      <w:marTop w:val="0"/>
      <w:marBottom w:val="0"/>
      <w:divBdr>
        <w:top w:val="none" w:sz="0" w:space="0" w:color="auto"/>
        <w:left w:val="none" w:sz="0" w:space="0" w:color="auto"/>
        <w:bottom w:val="none" w:sz="0" w:space="0" w:color="auto"/>
        <w:right w:val="none" w:sz="0" w:space="0" w:color="auto"/>
      </w:divBdr>
      <w:divsChild>
        <w:div w:id="1961568795">
          <w:marLeft w:val="0"/>
          <w:marRight w:val="0"/>
          <w:marTop w:val="0"/>
          <w:marBottom w:val="60"/>
          <w:divBdr>
            <w:top w:val="none" w:sz="0" w:space="0" w:color="auto"/>
            <w:left w:val="none" w:sz="0" w:space="0" w:color="auto"/>
            <w:bottom w:val="none" w:sz="0" w:space="0" w:color="auto"/>
            <w:right w:val="none" w:sz="0" w:space="0" w:color="auto"/>
          </w:divBdr>
          <w:divsChild>
            <w:div w:id="970398918">
              <w:marLeft w:val="0"/>
              <w:marRight w:val="0"/>
              <w:marTop w:val="0"/>
              <w:marBottom w:val="0"/>
              <w:divBdr>
                <w:top w:val="none" w:sz="0" w:space="0" w:color="auto"/>
                <w:left w:val="none" w:sz="0" w:space="0" w:color="auto"/>
                <w:bottom w:val="none" w:sz="0" w:space="0" w:color="auto"/>
                <w:right w:val="none" w:sz="0" w:space="0" w:color="auto"/>
              </w:divBdr>
              <w:divsChild>
                <w:div w:id="922297445">
                  <w:marLeft w:val="0"/>
                  <w:marRight w:val="0"/>
                  <w:marTop w:val="0"/>
                  <w:marBottom w:val="0"/>
                  <w:divBdr>
                    <w:top w:val="none" w:sz="0" w:space="0" w:color="auto"/>
                    <w:left w:val="none" w:sz="0" w:space="0" w:color="auto"/>
                    <w:bottom w:val="none" w:sz="0" w:space="0" w:color="auto"/>
                    <w:right w:val="none" w:sz="0" w:space="0" w:color="auto"/>
                  </w:divBdr>
                  <w:divsChild>
                    <w:div w:id="328945377">
                      <w:marLeft w:val="0"/>
                      <w:marRight w:val="0"/>
                      <w:marTop w:val="0"/>
                      <w:marBottom w:val="0"/>
                      <w:divBdr>
                        <w:top w:val="none" w:sz="0" w:space="0" w:color="auto"/>
                        <w:left w:val="none" w:sz="0" w:space="0" w:color="auto"/>
                        <w:bottom w:val="none" w:sz="0" w:space="0" w:color="auto"/>
                        <w:right w:val="none" w:sz="0" w:space="0" w:color="auto"/>
                      </w:divBdr>
                      <w:divsChild>
                        <w:div w:id="1871643028">
                          <w:marLeft w:val="0"/>
                          <w:marRight w:val="0"/>
                          <w:marTop w:val="0"/>
                          <w:marBottom w:val="0"/>
                          <w:divBdr>
                            <w:top w:val="none" w:sz="0" w:space="0" w:color="auto"/>
                            <w:left w:val="none" w:sz="0" w:space="0" w:color="auto"/>
                            <w:bottom w:val="none" w:sz="0" w:space="0" w:color="auto"/>
                            <w:right w:val="none" w:sz="0" w:space="0" w:color="auto"/>
                          </w:divBdr>
                        </w:div>
                      </w:divsChild>
                    </w:div>
                    <w:div w:id="342317122">
                      <w:marLeft w:val="0"/>
                      <w:marRight w:val="150"/>
                      <w:marTop w:val="30"/>
                      <w:marBottom w:val="0"/>
                      <w:divBdr>
                        <w:top w:val="none" w:sz="0" w:space="0" w:color="auto"/>
                        <w:left w:val="none" w:sz="0" w:space="0" w:color="auto"/>
                        <w:bottom w:val="none" w:sz="0" w:space="0" w:color="auto"/>
                        <w:right w:val="none" w:sz="0" w:space="0" w:color="auto"/>
                      </w:divBdr>
                      <w:divsChild>
                        <w:div w:id="1173182584">
                          <w:marLeft w:val="0"/>
                          <w:marRight w:val="0"/>
                          <w:marTop w:val="0"/>
                          <w:marBottom w:val="0"/>
                          <w:divBdr>
                            <w:top w:val="none" w:sz="0" w:space="0" w:color="auto"/>
                            <w:left w:val="none" w:sz="0" w:space="0" w:color="auto"/>
                            <w:bottom w:val="none" w:sz="0" w:space="0" w:color="auto"/>
                            <w:right w:val="none" w:sz="0" w:space="0" w:color="auto"/>
                          </w:divBdr>
                        </w:div>
                      </w:divsChild>
                    </w:div>
                    <w:div w:id="1330790133">
                      <w:marLeft w:val="0"/>
                      <w:marRight w:val="150"/>
                      <w:marTop w:val="30"/>
                      <w:marBottom w:val="0"/>
                      <w:divBdr>
                        <w:top w:val="none" w:sz="0" w:space="0" w:color="auto"/>
                        <w:left w:val="none" w:sz="0" w:space="0" w:color="auto"/>
                        <w:bottom w:val="none" w:sz="0" w:space="0" w:color="auto"/>
                        <w:right w:val="none" w:sz="0" w:space="0" w:color="auto"/>
                      </w:divBdr>
                      <w:divsChild>
                        <w:div w:id="7745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818658">
      <w:bodyDiv w:val="1"/>
      <w:marLeft w:val="0"/>
      <w:marRight w:val="0"/>
      <w:marTop w:val="0"/>
      <w:marBottom w:val="0"/>
      <w:divBdr>
        <w:top w:val="none" w:sz="0" w:space="0" w:color="auto"/>
        <w:left w:val="none" w:sz="0" w:space="0" w:color="auto"/>
        <w:bottom w:val="none" w:sz="0" w:space="0" w:color="auto"/>
        <w:right w:val="none" w:sz="0" w:space="0" w:color="auto"/>
      </w:divBdr>
    </w:div>
    <w:div w:id="1759326561">
      <w:bodyDiv w:val="1"/>
      <w:marLeft w:val="0"/>
      <w:marRight w:val="0"/>
      <w:marTop w:val="0"/>
      <w:marBottom w:val="0"/>
      <w:divBdr>
        <w:top w:val="none" w:sz="0" w:space="0" w:color="auto"/>
        <w:left w:val="none" w:sz="0" w:space="0" w:color="auto"/>
        <w:bottom w:val="none" w:sz="0" w:space="0" w:color="auto"/>
        <w:right w:val="none" w:sz="0" w:space="0" w:color="auto"/>
      </w:divBdr>
    </w:div>
    <w:div w:id="1768623064">
      <w:bodyDiv w:val="1"/>
      <w:marLeft w:val="0"/>
      <w:marRight w:val="0"/>
      <w:marTop w:val="0"/>
      <w:marBottom w:val="0"/>
      <w:divBdr>
        <w:top w:val="none" w:sz="0" w:space="0" w:color="auto"/>
        <w:left w:val="none" w:sz="0" w:space="0" w:color="auto"/>
        <w:bottom w:val="none" w:sz="0" w:space="0" w:color="auto"/>
        <w:right w:val="none" w:sz="0" w:space="0" w:color="auto"/>
      </w:divBdr>
    </w:div>
    <w:div w:id="1774938978">
      <w:bodyDiv w:val="1"/>
      <w:marLeft w:val="0"/>
      <w:marRight w:val="0"/>
      <w:marTop w:val="0"/>
      <w:marBottom w:val="0"/>
      <w:divBdr>
        <w:top w:val="none" w:sz="0" w:space="0" w:color="auto"/>
        <w:left w:val="none" w:sz="0" w:space="0" w:color="auto"/>
        <w:bottom w:val="none" w:sz="0" w:space="0" w:color="auto"/>
        <w:right w:val="none" w:sz="0" w:space="0" w:color="auto"/>
      </w:divBdr>
    </w:div>
    <w:div w:id="1797139308">
      <w:bodyDiv w:val="1"/>
      <w:marLeft w:val="0"/>
      <w:marRight w:val="0"/>
      <w:marTop w:val="0"/>
      <w:marBottom w:val="0"/>
      <w:divBdr>
        <w:top w:val="none" w:sz="0" w:space="0" w:color="auto"/>
        <w:left w:val="none" w:sz="0" w:space="0" w:color="auto"/>
        <w:bottom w:val="none" w:sz="0" w:space="0" w:color="auto"/>
        <w:right w:val="none" w:sz="0" w:space="0" w:color="auto"/>
      </w:divBdr>
    </w:div>
    <w:div w:id="1811244279">
      <w:bodyDiv w:val="1"/>
      <w:marLeft w:val="0"/>
      <w:marRight w:val="0"/>
      <w:marTop w:val="0"/>
      <w:marBottom w:val="0"/>
      <w:divBdr>
        <w:top w:val="none" w:sz="0" w:space="0" w:color="auto"/>
        <w:left w:val="none" w:sz="0" w:space="0" w:color="auto"/>
        <w:bottom w:val="none" w:sz="0" w:space="0" w:color="auto"/>
        <w:right w:val="none" w:sz="0" w:space="0" w:color="auto"/>
      </w:divBdr>
    </w:div>
    <w:div w:id="1853061457">
      <w:bodyDiv w:val="1"/>
      <w:marLeft w:val="0"/>
      <w:marRight w:val="0"/>
      <w:marTop w:val="0"/>
      <w:marBottom w:val="0"/>
      <w:divBdr>
        <w:top w:val="none" w:sz="0" w:space="0" w:color="auto"/>
        <w:left w:val="none" w:sz="0" w:space="0" w:color="auto"/>
        <w:bottom w:val="none" w:sz="0" w:space="0" w:color="auto"/>
        <w:right w:val="none" w:sz="0" w:space="0" w:color="auto"/>
      </w:divBdr>
    </w:div>
    <w:div w:id="1954242341">
      <w:bodyDiv w:val="1"/>
      <w:marLeft w:val="0"/>
      <w:marRight w:val="0"/>
      <w:marTop w:val="0"/>
      <w:marBottom w:val="0"/>
      <w:divBdr>
        <w:top w:val="none" w:sz="0" w:space="0" w:color="auto"/>
        <w:left w:val="none" w:sz="0" w:space="0" w:color="auto"/>
        <w:bottom w:val="none" w:sz="0" w:space="0" w:color="auto"/>
        <w:right w:val="none" w:sz="0" w:space="0" w:color="auto"/>
      </w:divBdr>
    </w:div>
    <w:div w:id="1971669785">
      <w:bodyDiv w:val="1"/>
      <w:marLeft w:val="0"/>
      <w:marRight w:val="0"/>
      <w:marTop w:val="0"/>
      <w:marBottom w:val="0"/>
      <w:divBdr>
        <w:top w:val="none" w:sz="0" w:space="0" w:color="auto"/>
        <w:left w:val="none" w:sz="0" w:space="0" w:color="auto"/>
        <w:bottom w:val="none" w:sz="0" w:space="0" w:color="auto"/>
        <w:right w:val="none" w:sz="0" w:space="0" w:color="auto"/>
      </w:divBdr>
    </w:div>
    <w:div w:id="1973174133">
      <w:bodyDiv w:val="1"/>
      <w:marLeft w:val="0"/>
      <w:marRight w:val="0"/>
      <w:marTop w:val="0"/>
      <w:marBottom w:val="0"/>
      <w:divBdr>
        <w:top w:val="none" w:sz="0" w:space="0" w:color="auto"/>
        <w:left w:val="none" w:sz="0" w:space="0" w:color="auto"/>
        <w:bottom w:val="none" w:sz="0" w:space="0" w:color="auto"/>
        <w:right w:val="none" w:sz="0" w:space="0" w:color="auto"/>
      </w:divBdr>
    </w:div>
    <w:div w:id="1981691037">
      <w:bodyDiv w:val="1"/>
      <w:marLeft w:val="0"/>
      <w:marRight w:val="0"/>
      <w:marTop w:val="0"/>
      <w:marBottom w:val="0"/>
      <w:divBdr>
        <w:top w:val="none" w:sz="0" w:space="0" w:color="auto"/>
        <w:left w:val="none" w:sz="0" w:space="0" w:color="auto"/>
        <w:bottom w:val="none" w:sz="0" w:space="0" w:color="auto"/>
        <w:right w:val="none" w:sz="0" w:space="0" w:color="auto"/>
      </w:divBdr>
    </w:div>
    <w:div w:id="1982272953">
      <w:bodyDiv w:val="1"/>
      <w:marLeft w:val="0"/>
      <w:marRight w:val="0"/>
      <w:marTop w:val="0"/>
      <w:marBottom w:val="0"/>
      <w:divBdr>
        <w:top w:val="none" w:sz="0" w:space="0" w:color="auto"/>
        <w:left w:val="none" w:sz="0" w:space="0" w:color="auto"/>
        <w:bottom w:val="none" w:sz="0" w:space="0" w:color="auto"/>
        <w:right w:val="none" w:sz="0" w:space="0" w:color="auto"/>
      </w:divBdr>
    </w:div>
    <w:div w:id="2004774301">
      <w:bodyDiv w:val="1"/>
      <w:marLeft w:val="0"/>
      <w:marRight w:val="0"/>
      <w:marTop w:val="0"/>
      <w:marBottom w:val="0"/>
      <w:divBdr>
        <w:top w:val="none" w:sz="0" w:space="0" w:color="auto"/>
        <w:left w:val="none" w:sz="0" w:space="0" w:color="auto"/>
        <w:bottom w:val="none" w:sz="0" w:space="0" w:color="auto"/>
        <w:right w:val="none" w:sz="0" w:space="0" w:color="auto"/>
      </w:divBdr>
    </w:div>
    <w:div w:id="2011172884">
      <w:bodyDiv w:val="1"/>
      <w:marLeft w:val="0"/>
      <w:marRight w:val="0"/>
      <w:marTop w:val="0"/>
      <w:marBottom w:val="0"/>
      <w:divBdr>
        <w:top w:val="none" w:sz="0" w:space="0" w:color="auto"/>
        <w:left w:val="none" w:sz="0" w:space="0" w:color="auto"/>
        <w:bottom w:val="none" w:sz="0" w:space="0" w:color="auto"/>
        <w:right w:val="none" w:sz="0" w:space="0" w:color="auto"/>
      </w:divBdr>
    </w:div>
    <w:div w:id="2047559192">
      <w:bodyDiv w:val="1"/>
      <w:marLeft w:val="0"/>
      <w:marRight w:val="0"/>
      <w:marTop w:val="0"/>
      <w:marBottom w:val="0"/>
      <w:divBdr>
        <w:top w:val="none" w:sz="0" w:space="0" w:color="auto"/>
        <w:left w:val="none" w:sz="0" w:space="0" w:color="auto"/>
        <w:bottom w:val="none" w:sz="0" w:space="0" w:color="auto"/>
        <w:right w:val="none" w:sz="0" w:space="0" w:color="auto"/>
      </w:divBdr>
    </w:div>
    <w:div w:id="2107774487">
      <w:bodyDiv w:val="1"/>
      <w:marLeft w:val="0"/>
      <w:marRight w:val="0"/>
      <w:marTop w:val="0"/>
      <w:marBottom w:val="0"/>
      <w:divBdr>
        <w:top w:val="none" w:sz="0" w:space="0" w:color="auto"/>
        <w:left w:val="none" w:sz="0" w:space="0" w:color="auto"/>
        <w:bottom w:val="none" w:sz="0" w:space="0" w:color="auto"/>
        <w:right w:val="none" w:sz="0" w:space="0" w:color="auto"/>
      </w:divBdr>
    </w:div>
    <w:div w:id="2111851737">
      <w:bodyDiv w:val="1"/>
      <w:marLeft w:val="0"/>
      <w:marRight w:val="0"/>
      <w:marTop w:val="0"/>
      <w:marBottom w:val="0"/>
      <w:divBdr>
        <w:top w:val="none" w:sz="0" w:space="0" w:color="auto"/>
        <w:left w:val="none" w:sz="0" w:space="0" w:color="auto"/>
        <w:bottom w:val="none" w:sz="0" w:space="0" w:color="auto"/>
        <w:right w:val="none" w:sz="0" w:space="0" w:color="auto"/>
      </w:divBdr>
    </w:div>
    <w:div w:id="2114283492">
      <w:bodyDiv w:val="1"/>
      <w:marLeft w:val="0"/>
      <w:marRight w:val="0"/>
      <w:marTop w:val="0"/>
      <w:marBottom w:val="0"/>
      <w:divBdr>
        <w:top w:val="none" w:sz="0" w:space="0" w:color="auto"/>
        <w:left w:val="none" w:sz="0" w:space="0" w:color="auto"/>
        <w:bottom w:val="none" w:sz="0" w:space="0" w:color="auto"/>
        <w:right w:val="none" w:sz="0" w:space="0" w:color="auto"/>
      </w:divBdr>
    </w:div>
    <w:div w:id="2119596578">
      <w:bodyDiv w:val="1"/>
      <w:marLeft w:val="0"/>
      <w:marRight w:val="0"/>
      <w:marTop w:val="0"/>
      <w:marBottom w:val="0"/>
      <w:divBdr>
        <w:top w:val="none" w:sz="0" w:space="0" w:color="auto"/>
        <w:left w:val="none" w:sz="0" w:space="0" w:color="auto"/>
        <w:bottom w:val="none" w:sz="0" w:space="0" w:color="auto"/>
        <w:right w:val="none" w:sz="0" w:space="0" w:color="auto"/>
      </w:divBdr>
    </w:div>
    <w:div w:id="2126390341">
      <w:bodyDiv w:val="1"/>
      <w:marLeft w:val="0"/>
      <w:marRight w:val="0"/>
      <w:marTop w:val="0"/>
      <w:marBottom w:val="0"/>
      <w:divBdr>
        <w:top w:val="none" w:sz="0" w:space="0" w:color="auto"/>
        <w:left w:val="none" w:sz="0" w:space="0" w:color="auto"/>
        <w:bottom w:val="none" w:sz="0" w:space="0" w:color="auto"/>
        <w:right w:val="none" w:sz="0" w:space="0" w:color="auto"/>
      </w:divBdr>
    </w:div>
    <w:div w:id="213844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chart" Target="charts/chart2.xml"/><Relationship Id="rId42" Type="http://schemas.openxmlformats.org/officeDocument/2006/relationships/diagramQuickStyle" Target="diagrams/quickStyle2.xml"/><Relationship Id="rId47" Type="http://schemas.openxmlformats.org/officeDocument/2006/relationships/hyperlink" Target="https://www.fairwork.gov.au/tools-and-resources/language-help" TargetMode="External"/><Relationship Id="rId63" Type="http://schemas.openxmlformats.org/officeDocument/2006/relationships/image" Target="media/image24.png"/><Relationship Id="rId68" Type="http://schemas.openxmlformats.org/officeDocument/2006/relationships/image" Target="media/image29.png"/><Relationship Id="rId84" Type="http://schemas.openxmlformats.org/officeDocument/2006/relationships/image" Target="media/image45.jpeg"/><Relationship Id="rId89" Type="http://schemas.openxmlformats.org/officeDocument/2006/relationships/image" Target="media/image50.jpeg"/><Relationship Id="rId16" Type="http://schemas.openxmlformats.org/officeDocument/2006/relationships/diagramColors" Target="diagrams/colors1.xml"/><Relationship Id="rId107" Type="http://schemas.openxmlformats.org/officeDocument/2006/relationships/theme" Target="theme/theme1.xml"/><Relationship Id="rId11" Type="http://schemas.openxmlformats.org/officeDocument/2006/relationships/hyperlink" Target="https://creativecommons.org/licenses/by/4.0/" TargetMode="Externa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hyperlink" Target="https://www.fwc.gov.au/documents/resources/pieac-report-23-dec-2014.pdf" TargetMode="External"/><Relationship Id="rId58" Type="http://schemas.openxmlformats.org/officeDocument/2006/relationships/image" Target="media/image19.png"/><Relationship Id="rId74" Type="http://schemas.openxmlformats.org/officeDocument/2006/relationships/image" Target="media/image35.png"/><Relationship Id="rId79" Type="http://schemas.openxmlformats.org/officeDocument/2006/relationships/image" Target="media/image40.png"/><Relationship Id="rId102" Type="http://schemas.openxmlformats.org/officeDocument/2006/relationships/hyperlink" Target="https://www.dewr.gov.au/closing-loopholes" TargetMode="External"/><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54.png"/><Relationship Id="rId22" Type="http://schemas.openxmlformats.org/officeDocument/2006/relationships/chart" Target="charts/chart3.xml"/><Relationship Id="rId27" Type="http://schemas.openxmlformats.org/officeDocument/2006/relationships/image" Target="media/image7.jpeg"/><Relationship Id="rId43" Type="http://schemas.openxmlformats.org/officeDocument/2006/relationships/diagramColors" Target="diagrams/colors2.xml"/><Relationship Id="rId48" Type="http://schemas.openxmlformats.org/officeDocument/2006/relationships/hyperlink" Target="https://www.fairwork.gov.au/workplace-problems/fixing-a-workplace-problem/workplace-help-in-other-languages" TargetMode="External"/><Relationship Id="rId64" Type="http://schemas.openxmlformats.org/officeDocument/2006/relationships/image" Target="media/image25.png"/><Relationship Id="rId69" Type="http://schemas.openxmlformats.org/officeDocument/2006/relationships/image" Target="media/image30.png"/><Relationship Id="rId80" Type="http://schemas.openxmlformats.org/officeDocument/2006/relationships/image" Target="media/image41.png"/><Relationship Id="rId85" Type="http://schemas.openxmlformats.org/officeDocument/2006/relationships/image" Target="media/image46.jpeg"/><Relationship Id="rId12" Type="http://schemas.openxmlformats.org/officeDocument/2006/relationships/hyperlink" Target="https://creativecommons.org/licenses/by/4.0/legalcode" TargetMode="External"/><Relationship Id="rId17" Type="http://schemas.microsoft.com/office/2007/relationships/diagramDrawing" Target="diagrams/drawing1.xml"/><Relationship Id="rId33" Type="http://schemas.openxmlformats.org/officeDocument/2006/relationships/image" Target="media/image9.png"/><Relationship Id="rId38" Type="http://schemas.openxmlformats.org/officeDocument/2006/relationships/image" Target="media/image14.png"/><Relationship Id="rId59" Type="http://schemas.openxmlformats.org/officeDocument/2006/relationships/image" Target="media/image20.png"/><Relationship Id="rId103" Type="http://schemas.openxmlformats.org/officeDocument/2006/relationships/hyperlink" Target="https://www.safeworkaustralia.gov.au/doc/review-model-whs-laws-final-report" TargetMode="External"/><Relationship Id="rId20" Type="http://schemas.openxmlformats.org/officeDocument/2006/relationships/chart" Target="charts/chart1.xml"/><Relationship Id="rId41" Type="http://schemas.openxmlformats.org/officeDocument/2006/relationships/diagramLayout" Target="diagrams/layout2.xml"/><Relationship Id="rId54" Type="http://schemas.openxmlformats.org/officeDocument/2006/relationships/hyperlink" Target="https://australiainstitute.org.au/wp-content/uploads/2020/12/Collective-Bargaining-On-the-Brink-WEB.pdf" TargetMode="External"/><Relationship Id="rId62"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image" Target="media/image36.png"/><Relationship Id="rId83" Type="http://schemas.openxmlformats.org/officeDocument/2006/relationships/image" Target="media/image44.png"/><Relationship Id="rId88" Type="http://schemas.openxmlformats.org/officeDocument/2006/relationships/image" Target="media/image49.png"/><Relationship Id="rId91" Type="http://schemas.openxmlformats.org/officeDocument/2006/relationships/chart" Target="charts/chart5.xml"/><Relationship Id="rId96"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4.png"/><Relationship Id="rId28" Type="http://schemas.openxmlformats.org/officeDocument/2006/relationships/hyperlink" Target="https://www6.austlii.edu.au/cgi-bin/viewdoc/au/legis/cth/consol_act/fwa2009114/s789gc.html" TargetMode="External"/><Relationship Id="rId36" Type="http://schemas.openxmlformats.org/officeDocument/2006/relationships/image" Target="media/image12.png"/><Relationship Id="rId49" Type="http://schemas.openxmlformats.org/officeDocument/2006/relationships/hyperlink" Target="https://www.fairwork.gov.au/sites/default/files/2024-10/multicultural-access-and-equity-action-plan-2023-2025.pdf" TargetMode="External"/><Relationship Id="rId57" Type="http://schemas.openxmlformats.org/officeDocument/2006/relationships/image" Target="media/image18.png"/><Relationship Id="rId106"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hyperlink" Target="https://www6.austlii.edu.au/cgi-bin/viewdoc/au/legis/cth/consol_act/fwa2009114/s789gc.html" TargetMode="External"/><Relationship Id="rId44" Type="http://schemas.microsoft.com/office/2007/relationships/diagramDrawing" Target="diagrams/drawing2.xml"/><Relationship Id="rId52" Type="http://schemas.openxmlformats.org/officeDocument/2006/relationships/hyperlink" Target="https://www.bca.com.au/the_state_of_enterprise_bargaining_in_australia" TargetMode="External"/><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image" Target="media/image34.png"/><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image" Target="media/image47.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hyperlink" Target="https://www.dewr.gov.au/secure-jobs-better-pay"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image" Target="media/image3.png"/><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hyperlink" Target="https://www.homeaffairs.gov.au/about-us/our-portfolios/multicultural-affairs/about-multicultural-affairs/access-and-equity" TargetMode="External"/><Relationship Id="rId55" Type="http://schemas.openxmlformats.org/officeDocument/2006/relationships/hyperlink" Target="https://futurework.org.au/wp-content/uploads/sites/2/2022/11/Collective_Bargaining_and_Wage_Growth_in_Australia_FINAL.pdf" TargetMode="External"/><Relationship Id="rId76" Type="http://schemas.openxmlformats.org/officeDocument/2006/relationships/image" Target="media/image37.png"/><Relationship Id="rId97" Type="http://schemas.openxmlformats.org/officeDocument/2006/relationships/image" Target="media/image56.png"/><Relationship Id="rId104" Type="http://schemas.openxmlformats.org/officeDocument/2006/relationships/hyperlink" Target="https://www.stylemanual.gov.au/accessible-and-inclusive-content/make-content-accessible" TargetMode="External"/><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hyperlink" Target="https://www6.austlii.edu.au/cgi-bin/viewdoc/au/legis/cth/consol_act/fwa2009114/s231.html" TargetMode="External"/><Relationship Id="rId24" Type="http://schemas.openxmlformats.org/officeDocument/2006/relationships/image" Target="media/image5.png"/><Relationship Id="rId40" Type="http://schemas.openxmlformats.org/officeDocument/2006/relationships/diagramData" Target="diagrams/data2.xml"/><Relationship Id="rId45" Type="http://schemas.openxmlformats.org/officeDocument/2006/relationships/image" Target="media/image16.png"/><Relationship Id="rId66" Type="http://schemas.openxmlformats.org/officeDocument/2006/relationships/image" Target="media/image27.png"/><Relationship Id="rId87" Type="http://schemas.openxmlformats.org/officeDocument/2006/relationships/image" Target="media/image48.png"/><Relationship Id="rId61" Type="http://schemas.openxmlformats.org/officeDocument/2006/relationships/image" Target="media/image22.png"/><Relationship Id="rId82" Type="http://schemas.openxmlformats.org/officeDocument/2006/relationships/image" Target="media/image43.png"/><Relationship Id="rId19" Type="http://schemas.openxmlformats.org/officeDocument/2006/relationships/hyperlink" Target="https://www.fwc.gov.au/documents/reporting/s316c-enforceable-undertaking-twu-final-2024-09-13.pdf" TargetMode="External"/><Relationship Id="rId14" Type="http://schemas.openxmlformats.org/officeDocument/2006/relationships/diagramLayout" Target="diagrams/layout1.xml"/><Relationship Id="rId30" Type="http://schemas.openxmlformats.org/officeDocument/2006/relationships/hyperlink" Target="https://www6.austlii.edu.au/cgi-bin/viewdoc/au/legis/cth/consol_act/fwa2009114/s226a.html" TargetMode="External"/><Relationship Id="rId35" Type="http://schemas.openxmlformats.org/officeDocument/2006/relationships/image" Target="media/image11.png"/><Relationship Id="rId56" Type="http://schemas.openxmlformats.org/officeDocument/2006/relationships/hyperlink" Target="https://www.adelaide.edu.au/press/ua/media/621/uap-wages-crisis-ebook.pdf" TargetMode="External"/><Relationship Id="rId77" Type="http://schemas.openxmlformats.org/officeDocument/2006/relationships/image" Target="media/image38.png"/><Relationship Id="rId100" Type="http://schemas.openxmlformats.org/officeDocument/2006/relationships/image" Target="media/image59.png"/><Relationship Id="rId105"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www.aph.gov.au/~/media/Estimates/Live/eet_ctte/estimates/bud_0607/dewr/w098-07att8.ashx" TargetMode="External"/><Relationship Id="rId72" Type="http://schemas.openxmlformats.org/officeDocument/2006/relationships/image" Target="media/image33.png"/><Relationship Id="rId93" Type="http://schemas.openxmlformats.org/officeDocument/2006/relationships/chart" Target="charts/chart6.xml"/><Relationship Id="rId98" Type="http://schemas.openxmlformats.org/officeDocument/2006/relationships/image" Target="media/image57.pn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17.png"/><Relationship Id="rId67" Type="http://schemas.openxmlformats.org/officeDocument/2006/relationships/image" Target="media/image28.png"/></Relationships>
</file>

<file path=word/_rels/footnotes.xml.rels><?xml version="1.0" encoding="UTF-8" standalone="yes"?>
<Relationships xmlns="http://schemas.openxmlformats.org/package/2006/relationships"><Relationship Id="rId8" Type="http://schemas.openxmlformats.org/officeDocument/2006/relationships/hyperlink" Target="https://sharedservicescentre.sharepoint.com/sites/DEWR-JointReviews-SJBP-CLWHS/Shared%20Documents/Background%20research/For%20the%20Reviewers/aHR0cHM6Ly9zYXNyY2RhdGFwcmRhdWVhYS5ibG9iLmNvcmUud2luZG93cy5uZXQvZGVjaXNpb25zLzIwMjQvMDUvUFI3NzQ2MzM0MzE2MTExMjJhM2Q4YTc3LTc1N2QtNGViYy04OWEwLTc3NGE0YzE1MzBiNWZlNjU2MTc1LWM3OTYtNDQ0OS04ZGFmLWViNzQ0OGZjNjhkMi5wZGY1" TargetMode="External"/><Relationship Id="rId3" Type="http://schemas.openxmlformats.org/officeDocument/2006/relationships/hyperlink" Target="https://www.afr.com/work-and-careers/workplace/anz-returns-to-bargaining-over-pay-for-the-first-time-in-seven-years-20230206-p5ci6q" TargetMode="External"/><Relationship Id="rId7"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12" Type="http://schemas.openxmlformats.org/officeDocument/2006/relationships/hyperlink" Target="https://library.fairwork.gov.au/viewer/?krn=K700424" TargetMode="External"/><Relationship Id="rId2" Type="http://schemas.openxmlformats.org/officeDocument/2006/relationships/hyperlink" Target="https://www.smh.com.au/politics/federal/supermarket-giant-coles-forced-to-bargaining-table-under-new-ir-laws-20230105-p5cah6.html" TargetMode="External"/><Relationship Id="rId1" Type="http://schemas.openxmlformats.org/officeDocument/2006/relationships/hyperlink" Target="https://www.fwc.gov.au/registered-organisations/cfmeu-construction-and-general-division-administration" TargetMode="External"/><Relationship Id="rId6"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11" Type="http://schemas.openxmlformats.org/officeDocument/2006/relationships/hyperlink" Target="https://www.aph.gov.au/Parliamentary_Business/Committees/Senate/Education_and_Employment/SecureJobsBetterPay/Submissions" TargetMode="External"/><Relationship Id="rId5"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10" Type="http://schemas.openxmlformats.org/officeDocument/2006/relationships/hyperlink" Target="https://www.fwc.gov.au/document-search/view/1/aHR0cHM6Ly9zYXNyY2RhdGFwcmRhdWVhYS5ibG9iLmNvcmUud2luZG93cy5uZXQvZGVjaXNpb25zLzIwMjQvMTIvQjIwMjQtMTUyMkIyMDI0LTE1MjNhbmRCMjAyNC0xNjExRGVjaXNpb241MDM3MDU1ODQzYWU4Y2UxLWYzMGMtNGIyNi04YmM2LWNhZGU2ZjI2YWJmNzBkOTEzMjJiLWFiMjgtNDE1MC1iYmNlLTdlMTQ3YzdlNzI1Mi5wZGY1?sid=&amp;q=single%20interest%20employer%20agreements" TargetMode="External"/><Relationship Id="rId4"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9" Type="http://schemas.openxmlformats.org/officeDocument/2006/relationships/hyperlink" Target="https://sharedservicescentre.sharepoint.com/sites/DEWR-JointReviews-SJBP-CLWHS/Shared%20Documents/Background%20research/For%20the%20Reviewers/aHR0cHM6Ly9zYXNyY2RhdGFwcmRhdWVhYS5ibG9iLmNvcmUud2luZG93cy5uZXQvZGVjaXNpb25zLzIwMjQvMDUvUFI3NzQ2MzM0MzE2MTExMjJhM2Q4YTc3LTc1N2QtNGViYy04OWEwLTc3NGE0YzE1MzBiNWZlNjU2MTc1LWM3OTYtNDQ0OS04ZGFmLWViNzQ0OGZjNjhkMi5wZGY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New  agreements approved</c:v>
                </c:pt>
              </c:strCache>
            </c:strRef>
          </c:tx>
          <c:spPr>
            <a:solidFill>
              <a:schemeClr val="tx1"/>
            </a:solidFill>
            <a:ln>
              <a:noFill/>
            </a:ln>
            <a:effectLst/>
          </c:spPr>
          <c:invertIfNegative val="0"/>
          <c:cat>
            <c:numRef>
              <c:f>Sheet1!$A$2:$A$16</c:f>
              <c:numCache>
                <c:formatCode>mmm\-yy</c:formatCode>
                <c:ptCount val="15"/>
                <c:pt idx="0">
                  <c:v>40422</c:v>
                </c:pt>
                <c:pt idx="1">
                  <c:v>40787</c:v>
                </c:pt>
                <c:pt idx="2">
                  <c:v>41153</c:v>
                </c:pt>
                <c:pt idx="3">
                  <c:v>41518</c:v>
                </c:pt>
                <c:pt idx="4">
                  <c:v>41883</c:v>
                </c:pt>
                <c:pt idx="5">
                  <c:v>42248</c:v>
                </c:pt>
                <c:pt idx="6">
                  <c:v>42614</c:v>
                </c:pt>
                <c:pt idx="7">
                  <c:v>42979</c:v>
                </c:pt>
                <c:pt idx="8">
                  <c:v>43344</c:v>
                </c:pt>
                <c:pt idx="9">
                  <c:v>43709</c:v>
                </c:pt>
                <c:pt idx="10">
                  <c:v>44075</c:v>
                </c:pt>
                <c:pt idx="11">
                  <c:v>44440</c:v>
                </c:pt>
                <c:pt idx="12">
                  <c:v>44805</c:v>
                </c:pt>
                <c:pt idx="13">
                  <c:v>45170</c:v>
                </c:pt>
                <c:pt idx="14">
                  <c:v>45536</c:v>
                </c:pt>
              </c:numCache>
            </c:numRef>
          </c:cat>
          <c:val>
            <c:numRef>
              <c:f>Sheet1!$B$2:$B$16</c:f>
              <c:numCache>
                <c:formatCode>General</c:formatCode>
                <c:ptCount val="15"/>
                <c:pt idx="0">
                  <c:v>7164</c:v>
                </c:pt>
                <c:pt idx="1">
                  <c:v>6883</c:v>
                </c:pt>
                <c:pt idx="2">
                  <c:v>8265</c:v>
                </c:pt>
                <c:pt idx="3">
                  <c:v>6942</c:v>
                </c:pt>
                <c:pt idx="4">
                  <c:v>5709</c:v>
                </c:pt>
                <c:pt idx="5">
                  <c:v>5332</c:v>
                </c:pt>
                <c:pt idx="6">
                  <c:v>5115</c:v>
                </c:pt>
                <c:pt idx="7">
                  <c:v>3850</c:v>
                </c:pt>
                <c:pt idx="8">
                  <c:v>3989</c:v>
                </c:pt>
                <c:pt idx="9">
                  <c:v>5081</c:v>
                </c:pt>
                <c:pt idx="10">
                  <c:v>3559</c:v>
                </c:pt>
                <c:pt idx="11">
                  <c:v>4063</c:v>
                </c:pt>
                <c:pt idx="12">
                  <c:v>4187</c:v>
                </c:pt>
                <c:pt idx="13">
                  <c:v>3978</c:v>
                </c:pt>
                <c:pt idx="14">
                  <c:v>4417</c:v>
                </c:pt>
              </c:numCache>
            </c:numRef>
          </c:val>
          <c:extLst>
            <c:ext xmlns:c16="http://schemas.microsoft.com/office/drawing/2014/chart" uri="{C3380CC4-5D6E-409C-BE32-E72D297353CC}">
              <c16:uniqueId val="{00000000-1AD3-4D9E-A851-C1FA43B598A8}"/>
            </c:ext>
          </c:extLst>
        </c:ser>
        <c:dLbls>
          <c:showLegendKey val="0"/>
          <c:showVal val="0"/>
          <c:showCatName val="0"/>
          <c:showSerName val="0"/>
          <c:showPercent val="0"/>
          <c:showBubbleSize val="0"/>
        </c:dLbls>
        <c:gapWidth val="219"/>
        <c:overlap val="-27"/>
        <c:axId val="309744815"/>
        <c:axId val="309750095"/>
      </c:barChart>
      <c:lineChart>
        <c:grouping val="standard"/>
        <c:varyColors val="0"/>
        <c:ser>
          <c:idx val="2"/>
          <c:order val="1"/>
          <c:tx>
            <c:strRef>
              <c:f>Sheet1!$C$1</c:f>
              <c:strCache>
                <c:ptCount val="1"/>
                <c:pt idx="0">
                  <c:v>Employees covered by new agreements</c:v>
                </c:pt>
              </c:strCache>
            </c:strRef>
          </c:tx>
          <c:spPr>
            <a:ln w="28575" cap="rnd">
              <a:solidFill>
                <a:schemeClr val="bg2"/>
              </a:solidFill>
              <a:round/>
            </a:ln>
            <a:effectLst/>
          </c:spPr>
          <c:marker>
            <c:symbol val="none"/>
          </c:marker>
          <c:val>
            <c:numRef>
              <c:f>Sheet1!$C$2:$C$16</c:f>
              <c:numCache>
                <c:formatCode>General</c:formatCode>
                <c:ptCount val="15"/>
                <c:pt idx="0">
                  <c:v>997091</c:v>
                </c:pt>
                <c:pt idx="1">
                  <c:v>989368</c:v>
                </c:pt>
                <c:pt idx="2">
                  <c:v>897887</c:v>
                </c:pt>
                <c:pt idx="3">
                  <c:v>1053681</c:v>
                </c:pt>
                <c:pt idx="4">
                  <c:v>797896</c:v>
                </c:pt>
                <c:pt idx="5">
                  <c:v>675546</c:v>
                </c:pt>
                <c:pt idx="6">
                  <c:v>641406</c:v>
                </c:pt>
                <c:pt idx="7">
                  <c:v>748526</c:v>
                </c:pt>
                <c:pt idx="8">
                  <c:v>680533</c:v>
                </c:pt>
                <c:pt idx="9">
                  <c:v>870266</c:v>
                </c:pt>
                <c:pt idx="10">
                  <c:v>548332</c:v>
                </c:pt>
                <c:pt idx="11">
                  <c:v>571102</c:v>
                </c:pt>
                <c:pt idx="12">
                  <c:v>765614</c:v>
                </c:pt>
                <c:pt idx="13">
                  <c:v>788393</c:v>
                </c:pt>
                <c:pt idx="14">
                  <c:v>1258322</c:v>
                </c:pt>
              </c:numCache>
            </c:numRef>
          </c:val>
          <c:smooth val="0"/>
          <c:extLst>
            <c:ext xmlns:c16="http://schemas.microsoft.com/office/drawing/2014/chart" uri="{C3380CC4-5D6E-409C-BE32-E72D297353CC}">
              <c16:uniqueId val="{00000001-1AD3-4D9E-A851-C1FA43B598A8}"/>
            </c:ext>
          </c:extLst>
        </c:ser>
        <c:dLbls>
          <c:showLegendKey val="0"/>
          <c:showVal val="0"/>
          <c:showCatName val="0"/>
          <c:showSerName val="0"/>
          <c:showPercent val="0"/>
          <c:showBubbleSize val="0"/>
        </c:dLbls>
        <c:marker val="1"/>
        <c:smooth val="0"/>
        <c:axId val="309744335"/>
        <c:axId val="309743855"/>
      </c:lineChart>
      <c:catAx>
        <c:axId val="30974481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750095"/>
        <c:crosses val="autoZero"/>
        <c:auto val="0"/>
        <c:lblAlgn val="ctr"/>
        <c:lblOffset val="100"/>
        <c:noMultiLvlLbl val="0"/>
      </c:catAx>
      <c:valAx>
        <c:axId val="309750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744815"/>
        <c:crosses val="autoZero"/>
        <c:crossBetween val="between"/>
      </c:valAx>
      <c:valAx>
        <c:axId val="30974385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744335"/>
        <c:crosses val="max"/>
        <c:crossBetween val="between"/>
      </c:valAx>
      <c:catAx>
        <c:axId val="309744335"/>
        <c:scaling>
          <c:orientation val="minMax"/>
        </c:scaling>
        <c:delete val="1"/>
        <c:axPos val="b"/>
        <c:numFmt formatCode="mmm\-yy" sourceLinked="1"/>
        <c:majorTickMark val="out"/>
        <c:minorTickMark val="none"/>
        <c:tickLblPos val="nextTo"/>
        <c:crossAx val="30974385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14221921727036"/>
          <c:y val="3.608923884514436E-2"/>
          <c:w val="0.74624810099928363"/>
          <c:h val="0.75961001922003846"/>
        </c:manualLayout>
      </c:layout>
      <c:barChart>
        <c:barDir val="col"/>
        <c:grouping val="clustered"/>
        <c:varyColors val="0"/>
        <c:ser>
          <c:idx val="0"/>
          <c:order val="0"/>
          <c:tx>
            <c:strRef>
              <c:f>Sheet1!$B$1</c:f>
              <c:strCache>
                <c:ptCount val="1"/>
                <c:pt idx="0">
                  <c:v>Current agreements</c:v>
                </c:pt>
              </c:strCache>
            </c:strRef>
          </c:tx>
          <c:spPr>
            <a:solidFill>
              <a:schemeClr val="tx1"/>
            </a:solidFill>
            <a:ln>
              <a:noFill/>
            </a:ln>
            <a:effectLst/>
          </c:spPr>
          <c:invertIfNegative val="0"/>
          <c:cat>
            <c:numRef>
              <c:f>Sheet1!$A$2:$A$17</c:f>
              <c:numCache>
                <c:formatCode>mmm\-yy</c:formatCode>
                <c:ptCount val="16"/>
                <c:pt idx="0">
                  <c:v>40057</c:v>
                </c:pt>
                <c:pt idx="1">
                  <c:v>40422</c:v>
                </c:pt>
                <c:pt idx="2">
                  <c:v>40787</c:v>
                </c:pt>
                <c:pt idx="3">
                  <c:v>41153</c:v>
                </c:pt>
                <c:pt idx="4">
                  <c:v>41518</c:v>
                </c:pt>
                <c:pt idx="5">
                  <c:v>41883</c:v>
                </c:pt>
                <c:pt idx="6">
                  <c:v>42248</c:v>
                </c:pt>
                <c:pt idx="7">
                  <c:v>42614</c:v>
                </c:pt>
                <c:pt idx="8">
                  <c:v>42979</c:v>
                </c:pt>
                <c:pt idx="9">
                  <c:v>43344</c:v>
                </c:pt>
                <c:pt idx="10">
                  <c:v>43709</c:v>
                </c:pt>
                <c:pt idx="11">
                  <c:v>44075</c:v>
                </c:pt>
                <c:pt idx="12">
                  <c:v>44440</c:v>
                </c:pt>
                <c:pt idx="13">
                  <c:v>44805</c:v>
                </c:pt>
                <c:pt idx="14">
                  <c:v>45170</c:v>
                </c:pt>
                <c:pt idx="15">
                  <c:v>45536</c:v>
                </c:pt>
              </c:numCache>
            </c:numRef>
          </c:cat>
          <c:val>
            <c:numRef>
              <c:f>Sheet1!$B$2:$B$17</c:f>
              <c:numCache>
                <c:formatCode>#,##0</c:formatCode>
                <c:ptCount val="16"/>
                <c:pt idx="0">
                  <c:v>22098</c:v>
                </c:pt>
                <c:pt idx="1">
                  <c:v>24640</c:v>
                </c:pt>
                <c:pt idx="2">
                  <c:v>22634</c:v>
                </c:pt>
                <c:pt idx="3">
                  <c:v>23193</c:v>
                </c:pt>
                <c:pt idx="4">
                  <c:v>22957</c:v>
                </c:pt>
                <c:pt idx="5">
                  <c:v>19040</c:v>
                </c:pt>
                <c:pt idx="6">
                  <c:v>15225</c:v>
                </c:pt>
                <c:pt idx="7">
                  <c:v>14312</c:v>
                </c:pt>
                <c:pt idx="8">
                  <c:v>12997</c:v>
                </c:pt>
                <c:pt idx="9">
                  <c:v>11086</c:v>
                </c:pt>
                <c:pt idx="10">
                  <c:v>10969</c:v>
                </c:pt>
                <c:pt idx="11">
                  <c:v>9912</c:v>
                </c:pt>
                <c:pt idx="12">
                  <c:v>10206</c:v>
                </c:pt>
                <c:pt idx="13">
                  <c:v>11054</c:v>
                </c:pt>
                <c:pt idx="14">
                  <c:v>9889</c:v>
                </c:pt>
                <c:pt idx="15">
                  <c:v>10113</c:v>
                </c:pt>
              </c:numCache>
            </c:numRef>
          </c:val>
          <c:extLst>
            <c:ext xmlns:c16="http://schemas.microsoft.com/office/drawing/2014/chart" uri="{C3380CC4-5D6E-409C-BE32-E72D297353CC}">
              <c16:uniqueId val="{00000000-D82B-4E30-A5C9-23E5C38A6848}"/>
            </c:ext>
          </c:extLst>
        </c:ser>
        <c:dLbls>
          <c:showLegendKey val="0"/>
          <c:showVal val="0"/>
          <c:showCatName val="0"/>
          <c:showSerName val="0"/>
          <c:showPercent val="0"/>
          <c:showBubbleSize val="0"/>
        </c:dLbls>
        <c:gapWidth val="219"/>
        <c:overlap val="-27"/>
        <c:axId val="162077855"/>
        <c:axId val="162078335"/>
      </c:barChart>
      <c:lineChart>
        <c:grouping val="standard"/>
        <c:varyColors val="0"/>
        <c:ser>
          <c:idx val="1"/>
          <c:order val="1"/>
          <c:tx>
            <c:strRef>
              <c:f>Sheet1!$C$1</c:f>
              <c:strCache>
                <c:ptCount val="1"/>
                <c:pt idx="0">
                  <c:v>Employees covered</c:v>
                </c:pt>
              </c:strCache>
            </c:strRef>
          </c:tx>
          <c:spPr>
            <a:ln w="28575" cap="rnd">
              <a:solidFill>
                <a:schemeClr val="bg2"/>
              </a:solidFill>
              <a:round/>
            </a:ln>
            <a:effectLst/>
          </c:spPr>
          <c:marker>
            <c:symbol val="none"/>
          </c:marker>
          <c:cat>
            <c:numRef>
              <c:f>Sheet1!$A$2:$A$17</c:f>
              <c:numCache>
                <c:formatCode>mmm\-yy</c:formatCode>
                <c:ptCount val="16"/>
                <c:pt idx="0">
                  <c:v>40057</c:v>
                </c:pt>
                <c:pt idx="1">
                  <c:v>40422</c:v>
                </c:pt>
                <c:pt idx="2">
                  <c:v>40787</c:v>
                </c:pt>
                <c:pt idx="3">
                  <c:v>41153</c:v>
                </c:pt>
                <c:pt idx="4">
                  <c:v>41518</c:v>
                </c:pt>
                <c:pt idx="5">
                  <c:v>41883</c:v>
                </c:pt>
                <c:pt idx="6">
                  <c:v>42248</c:v>
                </c:pt>
                <c:pt idx="7">
                  <c:v>42614</c:v>
                </c:pt>
                <c:pt idx="8">
                  <c:v>42979</c:v>
                </c:pt>
                <c:pt idx="9">
                  <c:v>43344</c:v>
                </c:pt>
                <c:pt idx="10">
                  <c:v>43709</c:v>
                </c:pt>
                <c:pt idx="11">
                  <c:v>44075</c:v>
                </c:pt>
                <c:pt idx="12">
                  <c:v>44440</c:v>
                </c:pt>
                <c:pt idx="13">
                  <c:v>44805</c:v>
                </c:pt>
                <c:pt idx="14">
                  <c:v>45170</c:v>
                </c:pt>
                <c:pt idx="15">
                  <c:v>45536</c:v>
                </c:pt>
              </c:numCache>
            </c:numRef>
          </c:cat>
          <c:val>
            <c:numRef>
              <c:f>Sheet1!$C$2:$C$17</c:f>
              <c:numCache>
                <c:formatCode>#,##0</c:formatCode>
                <c:ptCount val="16"/>
                <c:pt idx="0">
                  <c:v>1962258</c:v>
                </c:pt>
                <c:pt idx="1">
                  <c:v>2421085</c:v>
                </c:pt>
                <c:pt idx="2">
                  <c:v>2477771</c:v>
                </c:pt>
                <c:pt idx="3">
                  <c:v>2330315</c:v>
                </c:pt>
                <c:pt idx="4">
                  <c:v>2490652</c:v>
                </c:pt>
                <c:pt idx="5">
                  <c:v>2318393</c:v>
                </c:pt>
                <c:pt idx="6">
                  <c:v>2181430</c:v>
                </c:pt>
                <c:pt idx="7">
                  <c:v>1998227</c:v>
                </c:pt>
                <c:pt idx="8">
                  <c:v>1769609</c:v>
                </c:pt>
                <c:pt idx="9">
                  <c:v>1907466</c:v>
                </c:pt>
                <c:pt idx="10">
                  <c:v>2180655</c:v>
                </c:pt>
                <c:pt idx="11">
                  <c:v>1903879</c:v>
                </c:pt>
                <c:pt idx="12">
                  <c:v>1656695</c:v>
                </c:pt>
                <c:pt idx="13">
                  <c:v>1732829</c:v>
                </c:pt>
                <c:pt idx="14">
                  <c:v>1814316</c:v>
                </c:pt>
                <c:pt idx="15">
                  <c:v>2206033</c:v>
                </c:pt>
              </c:numCache>
            </c:numRef>
          </c:val>
          <c:smooth val="0"/>
          <c:extLst>
            <c:ext xmlns:c16="http://schemas.microsoft.com/office/drawing/2014/chart" uri="{C3380CC4-5D6E-409C-BE32-E72D297353CC}">
              <c16:uniqueId val="{00000001-D82B-4E30-A5C9-23E5C38A6848}"/>
            </c:ext>
          </c:extLst>
        </c:ser>
        <c:dLbls>
          <c:showLegendKey val="0"/>
          <c:showVal val="0"/>
          <c:showCatName val="0"/>
          <c:showSerName val="0"/>
          <c:showPercent val="0"/>
          <c:showBubbleSize val="0"/>
        </c:dLbls>
        <c:marker val="1"/>
        <c:smooth val="0"/>
        <c:axId val="1574606320"/>
        <c:axId val="1574605840"/>
      </c:lineChart>
      <c:catAx>
        <c:axId val="16207785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078335"/>
        <c:crosses val="autoZero"/>
        <c:auto val="0"/>
        <c:lblAlgn val="ctr"/>
        <c:lblOffset val="100"/>
        <c:noMultiLvlLbl val="0"/>
      </c:catAx>
      <c:valAx>
        <c:axId val="1620783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Number of</a:t>
                </a:r>
                <a:r>
                  <a:rPr lang="en-AU" baseline="0"/>
                  <a:t> current agreements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077855"/>
        <c:crosses val="autoZero"/>
        <c:crossBetween val="between"/>
      </c:valAx>
      <c:valAx>
        <c:axId val="1574605840"/>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Number of employees covered</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74606320"/>
        <c:crosses val="max"/>
        <c:crossBetween val="between"/>
      </c:valAx>
      <c:dateAx>
        <c:axId val="1574606320"/>
        <c:scaling>
          <c:orientation val="minMax"/>
        </c:scaling>
        <c:delete val="1"/>
        <c:axPos val="b"/>
        <c:numFmt formatCode="mmm\-yy" sourceLinked="1"/>
        <c:majorTickMark val="out"/>
        <c:minorTickMark val="none"/>
        <c:tickLblPos val="nextTo"/>
        <c:crossAx val="1574605840"/>
        <c:crosses val="autoZero"/>
        <c:auto val="1"/>
        <c:lblOffset val="100"/>
        <c:baseTimeUnit val="year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Up to 24</c:v>
                </c:pt>
              </c:strCache>
            </c:strRef>
          </c:tx>
          <c:spPr>
            <a:ln w="19050"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Sheet1!$A$2:$A$62</c:f>
              <c:numCache>
                <c:formatCode>mmm\-yy</c:formatCode>
                <c:ptCount val="6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pt idx="41">
                  <c:v>43800</c:v>
                </c:pt>
                <c:pt idx="42">
                  <c:v>43891</c:v>
                </c:pt>
                <c:pt idx="43">
                  <c:v>43983</c:v>
                </c:pt>
                <c:pt idx="44">
                  <c:v>44075</c:v>
                </c:pt>
                <c:pt idx="45">
                  <c:v>44166</c:v>
                </c:pt>
                <c:pt idx="46">
                  <c:v>44256</c:v>
                </c:pt>
                <c:pt idx="47">
                  <c:v>44348</c:v>
                </c:pt>
                <c:pt idx="48">
                  <c:v>44440</c:v>
                </c:pt>
                <c:pt idx="49">
                  <c:v>44531</c:v>
                </c:pt>
                <c:pt idx="50">
                  <c:v>44621</c:v>
                </c:pt>
                <c:pt idx="51">
                  <c:v>44713</c:v>
                </c:pt>
                <c:pt idx="52">
                  <c:v>44805</c:v>
                </c:pt>
                <c:pt idx="53">
                  <c:v>44896</c:v>
                </c:pt>
                <c:pt idx="54">
                  <c:v>44986</c:v>
                </c:pt>
                <c:pt idx="55">
                  <c:v>45078</c:v>
                </c:pt>
                <c:pt idx="56">
                  <c:v>45170</c:v>
                </c:pt>
                <c:pt idx="57">
                  <c:v>45261</c:v>
                </c:pt>
                <c:pt idx="58">
                  <c:v>45352</c:v>
                </c:pt>
                <c:pt idx="59">
                  <c:v>45444</c:v>
                </c:pt>
                <c:pt idx="60">
                  <c:v>45536</c:v>
                </c:pt>
              </c:numCache>
            </c:numRef>
          </c:cat>
          <c:val>
            <c:numRef>
              <c:f>Sheet1!$B$2:$B$62</c:f>
              <c:numCache>
                <c:formatCode>General</c:formatCode>
                <c:ptCount val="61"/>
                <c:pt idx="0">
                  <c:v>116</c:v>
                </c:pt>
                <c:pt idx="1">
                  <c:v>640</c:v>
                </c:pt>
                <c:pt idx="2">
                  <c:v>1161</c:v>
                </c:pt>
                <c:pt idx="3">
                  <c:v>1036</c:v>
                </c:pt>
                <c:pt idx="4">
                  <c:v>1260</c:v>
                </c:pt>
                <c:pt idx="5">
                  <c:v>1090</c:v>
                </c:pt>
                <c:pt idx="6">
                  <c:v>759</c:v>
                </c:pt>
                <c:pt idx="7">
                  <c:v>889</c:v>
                </c:pt>
                <c:pt idx="8">
                  <c:v>1094</c:v>
                </c:pt>
                <c:pt idx="9">
                  <c:v>1133</c:v>
                </c:pt>
                <c:pt idx="10">
                  <c:v>1244</c:v>
                </c:pt>
                <c:pt idx="11">
                  <c:v>1440</c:v>
                </c:pt>
                <c:pt idx="12">
                  <c:v>1220</c:v>
                </c:pt>
                <c:pt idx="13">
                  <c:v>1062</c:v>
                </c:pt>
                <c:pt idx="14">
                  <c:v>779</c:v>
                </c:pt>
                <c:pt idx="15">
                  <c:v>880</c:v>
                </c:pt>
                <c:pt idx="16">
                  <c:v>1292</c:v>
                </c:pt>
                <c:pt idx="17">
                  <c:v>969</c:v>
                </c:pt>
                <c:pt idx="18">
                  <c:v>656</c:v>
                </c:pt>
                <c:pt idx="19">
                  <c:v>697</c:v>
                </c:pt>
                <c:pt idx="20">
                  <c:v>778</c:v>
                </c:pt>
                <c:pt idx="21">
                  <c:v>762</c:v>
                </c:pt>
                <c:pt idx="22">
                  <c:v>660</c:v>
                </c:pt>
                <c:pt idx="23">
                  <c:v>665</c:v>
                </c:pt>
                <c:pt idx="24">
                  <c:v>711</c:v>
                </c:pt>
                <c:pt idx="25">
                  <c:v>638</c:v>
                </c:pt>
                <c:pt idx="26">
                  <c:v>499</c:v>
                </c:pt>
                <c:pt idx="27">
                  <c:v>647</c:v>
                </c:pt>
                <c:pt idx="28">
                  <c:v>1077</c:v>
                </c:pt>
                <c:pt idx="29">
                  <c:v>759</c:v>
                </c:pt>
                <c:pt idx="30">
                  <c:v>508</c:v>
                </c:pt>
                <c:pt idx="31">
                  <c:v>430</c:v>
                </c:pt>
                <c:pt idx="32">
                  <c:v>335</c:v>
                </c:pt>
                <c:pt idx="33">
                  <c:v>504</c:v>
                </c:pt>
                <c:pt idx="34">
                  <c:v>439</c:v>
                </c:pt>
                <c:pt idx="35">
                  <c:v>564</c:v>
                </c:pt>
                <c:pt idx="36">
                  <c:v>479</c:v>
                </c:pt>
                <c:pt idx="37">
                  <c:v>456</c:v>
                </c:pt>
                <c:pt idx="38">
                  <c:v>623</c:v>
                </c:pt>
                <c:pt idx="39">
                  <c:v>767</c:v>
                </c:pt>
                <c:pt idx="40">
                  <c:v>615</c:v>
                </c:pt>
                <c:pt idx="41">
                  <c:v>528</c:v>
                </c:pt>
                <c:pt idx="42">
                  <c:v>453</c:v>
                </c:pt>
                <c:pt idx="43">
                  <c:v>384</c:v>
                </c:pt>
                <c:pt idx="44">
                  <c:v>409</c:v>
                </c:pt>
                <c:pt idx="45">
                  <c:v>463</c:v>
                </c:pt>
                <c:pt idx="46">
                  <c:v>429</c:v>
                </c:pt>
                <c:pt idx="47">
                  <c:v>623</c:v>
                </c:pt>
                <c:pt idx="48">
                  <c:v>750</c:v>
                </c:pt>
                <c:pt idx="49">
                  <c:v>571</c:v>
                </c:pt>
                <c:pt idx="50">
                  <c:v>467</c:v>
                </c:pt>
                <c:pt idx="51">
                  <c:v>489</c:v>
                </c:pt>
                <c:pt idx="52">
                  <c:v>507</c:v>
                </c:pt>
                <c:pt idx="53">
                  <c:v>520</c:v>
                </c:pt>
                <c:pt idx="54">
                  <c:v>384</c:v>
                </c:pt>
                <c:pt idx="55">
                  <c:v>476</c:v>
                </c:pt>
                <c:pt idx="56">
                  <c:v>495</c:v>
                </c:pt>
                <c:pt idx="57">
                  <c:v>597</c:v>
                </c:pt>
                <c:pt idx="58">
                  <c:v>458</c:v>
                </c:pt>
                <c:pt idx="59">
                  <c:v>602</c:v>
                </c:pt>
                <c:pt idx="60">
                  <c:v>456</c:v>
                </c:pt>
              </c:numCache>
            </c:numRef>
          </c:val>
          <c:smooth val="0"/>
          <c:extLst>
            <c:ext xmlns:c16="http://schemas.microsoft.com/office/drawing/2014/chart" uri="{C3380CC4-5D6E-409C-BE32-E72D297353CC}">
              <c16:uniqueId val="{00000001-4E13-401D-B144-1DBECCD016DC}"/>
            </c:ext>
          </c:extLst>
        </c:ser>
        <c:ser>
          <c:idx val="1"/>
          <c:order val="1"/>
          <c:tx>
            <c:strRef>
              <c:f>Sheet1!$C$1</c:f>
              <c:strCache>
                <c:ptCount val="1"/>
                <c:pt idx="0">
                  <c:v>25 to 49</c:v>
                </c:pt>
              </c:strCache>
            </c:strRef>
          </c:tx>
          <c:spPr>
            <a:ln w="19050" cap="rnd">
              <a:solidFill>
                <a:srgbClr val="009B9F"/>
              </a:solidFill>
              <a:round/>
            </a:ln>
            <a:effectLst/>
          </c:spPr>
          <c:marker>
            <c:symbol val="none"/>
          </c:marker>
          <c:trendline>
            <c:spPr>
              <a:ln w="19050" cap="rnd">
                <a:solidFill>
                  <a:srgbClr val="009B9F"/>
                </a:solidFill>
                <a:prstDash val="sysDot"/>
              </a:ln>
              <a:effectLst/>
            </c:spPr>
            <c:trendlineType val="linear"/>
            <c:dispRSqr val="0"/>
            <c:dispEq val="0"/>
          </c:trendline>
          <c:cat>
            <c:numRef>
              <c:f>Sheet1!$A$2:$A$62</c:f>
              <c:numCache>
                <c:formatCode>mmm\-yy</c:formatCode>
                <c:ptCount val="6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pt idx="41">
                  <c:v>43800</c:v>
                </c:pt>
                <c:pt idx="42">
                  <c:v>43891</c:v>
                </c:pt>
                <c:pt idx="43">
                  <c:v>43983</c:v>
                </c:pt>
                <c:pt idx="44">
                  <c:v>44075</c:v>
                </c:pt>
                <c:pt idx="45">
                  <c:v>44166</c:v>
                </c:pt>
                <c:pt idx="46">
                  <c:v>44256</c:v>
                </c:pt>
                <c:pt idx="47">
                  <c:v>44348</c:v>
                </c:pt>
                <c:pt idx="48">
                  <c:v>44440</c:v>
                </c:pt>
                <c:pt idx="49">
                  <c:v>44531</c:v>
                </c:pt>
                <c:pt idx="50">
                  <c:v>44621</c:v>
                </c:pt>
                <c:pt idx="51">
                  <c:v>44713</c:v>
                </c:pt>
                <c:pt idx="52">
                  <c:v>44805</c:v>
                </c:pt>
                <c:pt idx="53">
                  <c:v>44896</c:v>
                </c:pt>
                <c:pt idx="54">
                  <c:v>44986</c:v>
                </c:pt>
                <c:pt idx="55">
                  <c:v>45078</c:v>
                </c:pt>
                <c:pt idx="56">
                  <c:v>45170</c:v>
                </c:pt>
                <c:pt idx="57">
                  <c:v>45261</c:v>
                </c:pt>
                <c:pt idx="58">
                  <c:v>45352</c:v>
                </c:pt>
                <c:pt idx="59">
                  <c:v>45444</c:v>
                </c:pt>
                <c:pt idx="60">
                  <c:v>45536</c:v>
                </c:pt>
              </c:numCache>
            </c:numRef>
          </c:cat>
          <c:val>
            <c:numRef>
              <c:f>Sheet1!$C$2:$C$62</c:f>
              <c:numCache>
                <c:formatCode>General</c:formatCode>
                <c:ptCount val="61"/>
                <c:pt idx="0">
                  <c:v>40</c:v>
                </c:pt>
                <c:pt idx="1">
                  <c:v>167</c:v>
                </c:pt>
                <c:pt idx="2">
                  <c:v>359</c:v>
                </c:pt>
                <c:pt idx="3">
                  <c:v>277</c:v>
                </c:pt>
                <c:pt idx="4">
                  <c:v>399</c:v>
                </c:pt>
                <c:pt idx="5">
                  <c:v>291</c:v>
                </c:pt>
                <c:pt idx="6">
                  <c:v>241</c:v>
                </c:pt>
                <c:pt idx="7">
                  <c:v>276</c:v>
                </c:pt>
                <c:pt idx="8">
                  <c:v>318</c:v>
                </c:pt>
                <c:pt idx="9">
                  <c:v>283</c:v>
                </c:pt>
                <c:pt idx="10">
                  <c:v>339</c:v>
                </c:pt>
                <c:pt idx="11">
                  <c:v>286</c:v>
                </c:pt>
                <c:pt idx="12">
                  <c:v>325</c:v>
                </c:pt>
                <c:pt idx="13">
                  <c:v>294</c:v>
                </c:pt>
                <c:pt idx="14">
                  <c:v>217</c:v>
                </c:pt>
                <c:pt idx="15">
                  <c:v>261</c:v>
                </c:pt>
                <c:pt idx="16">
                  <c:v>376</c:v>
                </c:pt>
                <c:pt idx="17">
                  <c:v>246</c:v>
                </c:pt>
                <c:pt idx="18">
                  <c:v>190</c:v>
                </c:pt>
                <c:pt idx="19">
                  <c:v>219</c:v>
                </c:pt>
                <c:pt idx="20">
                  <c:v>283</c:v>
                </c:pt>
                <c:pt idx="21">
                  <c:v>270</c:v>
                </c:pt>
                <c:pt idx="22">
                  <c:v>176</c:v>
                </c:pt>
                <c:pt idx="23">
                  <c:v>164</c:v>
                </c:pt>
                <c:pt idx="24">
                  <c:v>219</c:v>
                </c:pt>
                <c:pt idx="25">
                  <c:v>221</c:v>
                </c:pt>
                <c:pt idx="26">
                  <c:v>151</c:v>
                </c:pt>
                <c:pt idx="27">
                  <c:v>195</c:v>
                </c:pt>
                <c:pt idx="28">
                  <c:v>264</c:v>
                </c:pt>
                <c:pt idx="29">
                  <c:v>216</c:v>
                </c:pt>
                <c:pt idx="30">
                  <c:v>134</c:v>
                </c:pt>
                <c:pt idx="31">
                  <c:v>140</c:v>
                </c:pt>
                <c:pt idx="32">
                  <c:v>106</c:v>
                </c:pt>
                <c:pt idx="33">
                  <c:v>175</c:v>
                </c:pt>
                <c:pt idx="34">
                  <c:v>159</c:v>
                </c:pt>
                <c:pt idx="35">
                  <c:v>189</c:v>
                </c:pt>
                <c:pt idx="36">
                  <c:v>134</c:v>
                </c:pt>
                <c:pt idx="37">
                  <c:v>154</c:v>
                </c:pt>
                <c:pt idx="38">
                  <c:v>228</c:v>
                </c:pt>
                <c:pt idx="39">
                  <c:v>261</c:v>
                </c:pt>
                <c:pt idx="40">
                  <c:v>208</c:v>
                </c:pt>
                <c:pt idx="41">
                  <c:v>174</c:v>
                </c:pt>
                <c:pt idx="42">
                  <c:v>181</c:v>
                </c:pt>
                <c:pt idx="43">
                  <c:v>135</c:v>
                </c:pt>
                <c:pt idx="44">
                  <c:v>112</c:v>
                </c:pt>
                <c:pt idx="45">
                  <c:v>122</c:v>
                </c:pt>
                <c:pt idx="46">
                  <c:v>170</c:v>
                </c:pt>
                <c:pt idx="47">
                  <c:v>153</c:v>
                </c:pt>
                <c:pt idx="48">
                  <c:v>216</c:v>
                </c:pt>
                <c:pt idx="49">
                  <c:v>158</c:v>
                </c:pt>
                <c:pt idx="50">
                  <c:v>157</c:v>
                </c:pt>
                <c:pt idx="51">
                  <c:v>171</c:v>
                </c:pt>
                <c:pt idx="52">
                  <c:v>196</c:v>
                </c:pt>
                <c:pt idx="53">
                  <c:v>180</c:v>
                </c:pt>
                <c:pt idx="54">
                  <c:v>125</c:v>
                </c:pt>
                <c:pt idx="55">
                  <c:v>139</c:v>
                </c:pt>
                <c:pt idx="56">
                  <c:v>174</c:v>
                </c:pt>
                <c:pt idx="57">
                  <c:v>212</c:v>
                </c:pt>
                <c:pt idx="58">
                  <c:v>150</c:v>
                </c:pt>
                <c:pt idx="59">
                  <c:v>184</c:v>
                </c:pt>
                <c:pt idx="60">
                  <c:v>161</c:v>
                </c:pt>
              </c:numCache>
            </c:numRef>
          </c:val>
          <c:smooth val="0"/>
          <c:extLst>
            <c:ext xmlns:c16="http://schemas.microsoft.com/office/drawing/2014/chart" uri="{C3380CC4-5D6E-409C-BE32-E72D297353CC}">
              <c16:uniqueId val="{00000003-4E13-401D-B144-1DBECCD016DC}"/>
            </c:ext>
          </c:extLst>
        </c:ser>
        <c:ser>
          <c:idx val="2"/>
          <c:order val="2"/>
          <c:tx>
            <c:strRef>
              <c:f>Sheet1!$D$1</c:f>
              <c:strCache>
                <c:ptCount val="1"/>
                <c:pt idx="0">
                  <c:v>More than 50</c:v>
                </c:pt>
              </c:strCache>
            </c:strRef>
          </c:tx>
          <c:spPr>
            <a:ln w="19050" cap="rnd">
              <a:solidFill>
                <a:schemeClr val="tx1"/>
              </a:solidFill>
              <a:round/>
            </a:ln>
            <a:effectLst/>
          </c:spPr>
          <c:marker>
            <c:symbol val="none"/>
          </c:marker>
          <c:trendline>
            <c:spPr>
              <a:ln w="19050" cap="rnd">
                <a:solidFill>
                  <a:srgbClr val="0D2C6C"/>
                </a:solidFill>
                <a:prstDash val="sysDot"/>
              </a:ln>
              <a:effectLst/>
            </c:spPr>
            <c:trendlineType val="linear"/>
            <c:dispRSqr val="0"/>
            <c:dispEq val="0"/>
          </c:trendline>
          <c:cat>
            <c:numRef>
              <c:f>Sheet1!$A$2:$A$62</c:f>
              <c:numCache>
                <c:formatCode>mmm\-yy</c:formatCode>
                <c:ptCount val="6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pt idx="41">
                  <c:v>43800</c:v>
                </c:pt>
                <c:pt idx="42">
                  <c:v>43891</c:v>
                </c:pt>
                <c:pt idx="43">
                  <c:v>43983</c:v>
                </c:pt>
                <c:pt idx="44">
                  <c:v>44075</c:v>
                </c:pt>
                <c:pt idx="45">
                  <c:v>44166</c:v>
                </c:pt>
                <c:pt idx="46">
                  <c:v>44256</c:v>
                </c:pt>
                <c:pt idx="47">
                  <c:v>44348</c:v>
                </c:pt>
                <c:pt idx="48">
                  <c:v>44440</c:v>
                </c:pt>
                <c:pt idx="49">
                  <c:v>44531</c:v>
                </c:pt>
                <c:pt idx="50">
                  <c:v>44621</c:v>
                </c:pt>
                <c:pt idx="51">
                  <c:v>44713</c:v>
                </c:pt>
                <c:pt idx="52">
                  <c:v>44805</c:v>
                </c:pt>
                <c:pt idx="53">
                  <c:v>44896</c:v>
                </c:pt>
                <c:pt idx="54">
                  <c:v>44986</c:v>
                </c:pt>
                <c:pt idx="55">
                  <c:v>45078</c:v>
                </c:pt>
                <c:pt idx="56">
                  <c:v>45170</c:v>
                </c:pt>
                <c:pt idx="57">
                  <c:v>45261</c:v>
                </c:pt>
                <c:pt idx="58">
                  <c:v>45352</c:v>
                </c:pt>
                <c:pt idx="59">
                  <c:v>45444</c:v>
                </c:pt>
                <c:pt idx="60">
                  <c:v>45536</c:v>
                </c:pt>
              </c:numCache>
            </c:numRef>
          </c:cat>
          <c:val>
            <c:numRef>
              <c:f>Sheet1!$D$2:$D$62</c:f>
              <c:numCache>
                <c:formatCode>General</c:formatCode>
                <c:ptCount val="61"/>
                <c:pt idx="0">
                  <c:v>79</c:v>
                </c:pt>
                <c:pt idx="1">
                  <c:v>304</c:v>
                </c:pt>
                <c:pt idx="2">
                  <c:v>565</c:v>
                </c:pt>
                <c:pt idx="3">
                  <c:v>410</c:v>
                </c:pt>
                <c:pt idx="4">
                  <c:v>625</c:v>
                </c:pt>
                <c:pt idx="5">
                  <c:v>565</c:v>
                </c:pt>
                <c:pt idx="6">
                  <c:v>437</c:v>
                </c:pt>
                <c:pt idx="7">
                  <c:v>427</c:v>
                </c:pt>
                <c:pt idx="8">
                  <c:v>496</c:v>
                </c:pt>
                <c:pt idx="9">
                  <c:v>512</c:v>
                </c:pt>
                <c:pt idx="10">
                  <c:v>527</c:v>
                </c:pt>
                <c:pt idx="11">
                  <c:v>461</c:v>
                </c:pt>
                <c:pt idx="12">
                  <c:v>495</c:v>
                </c:pt>
                <c:pt idx="13">
                  <c:v>536</c:v>
                </c:pt>
                <c:pt idx="14">
                  <c:v>345</c:v>
                </c:pt>
                <c:pt idx="15">
                  <c:v>354</c:v>
                </c:pt>
                <c:pt idx="16">
                  <c:v>546</c:v>
                </c:pt>
                <c:pt idx="17">
                  <c:v>432</c:v>
                </c:pt>
                <c:pt idx="18">
                  <c:v>393</c:v>
                </c:pt>
                <c:pt idx="19">
                  <c:v>394</c:v>
                </c:pt>
                <c:pt idx="20">
                  <c:v>452</c:v>
                </c:pt>
                <c:pt idx="21">
                  <c:v>577</c:v>
                </c:pt>
                <c:pt idx="22">
                  <c:v>367</c:v>
                </c:pt>
                <c:pt idx="23">
                  <c:v>323</c:v>
                </c:pt>
                <c:pt idx="24">
                  <c:v>438</c:v>
                </c:pt>
                <c:pt idx="25">
                  <c:v>416</c:v>
                </c:pt>
                <c:pt idx="26">
                  <c:v>354</c:v>
                </c:pt>
                <c:pt idx="27">
                  <c:v>308</c:v>
                </c:pt>
                <c:pt idx="28">
                  <c:v>345</c:v>
                </c:pt>
                <c:pt idx="29">
                  <c:v>381</c:v>
                </c:pt>
                <c:pt idx="30">
                  <c:v>327</c:v>
                </c:pt>
                <c:pt idx="31">
                  <c:v>276</c:v>
                </c:pt>
                <c:pt idx="32">
                  <c:v>238</c:v>
                </c:pt>
                <c:pt idx="33">
                  <c:v>369</c:v>
                </c:pt>
                <c:pt idx="34">
                  <c:v>359</c:v>
                </c:pt>
                <c:pt idx="35">
                  <c:v>358</c:v>
                </c:pt>
                <c:pt idx="36">
                  <c:v>260</c:v>
                </c:pt>
                <c:pt idx="37">
                  <c:v>313</c:v>
                </c:pt>
                <c:pt idx="38">
                  <c:v>480</c:v>
                </c:pt>
                <c:pt idx="39">
                  <c:v>552</c:v>
                </c:pt>
                <c:pt idx="40">
                  <c:v>424</c:v>
                </c:pt>
                <c:pt idx="41">
                  <c:v>423</c:v>
                </c:pt>
                <c:pt idx="42">
                  <c:v>323</c:v>
                </c:pt>
                <c:pt idx="43">
                  <c:v>242</c:v>
                </c:pt>
                <c:pt idx="44">
                  <c:v>195</c:v>
                </c:pt>
                <c:pt idx="45">
                  <c:v>262</c:v>
                </c:pt>
                <c:pt idx="46">
                  <c:v>281</c:v>
                </c:pt>
                <c:pt idx="47">
                  <c:v>289</c:v>
                </c:pt>
                <c:pt idx="48">
                  <c:v>305</c:v>
                </c:pt>
                <c:pt idx="49">
                  <c:v>418</c:v>
                </c:pt>
                <c:pt idx="50">
                  <c:v>385</c:v>
                </c:pt>
                <c:pt idx="51">
                  <c:v>283</c:v>
                </c:pt>
                <c:pt idx="52">
                  <c:v>385</c:v>
                </c:pt>
                <c:pt idx="53">
                  <c:v>426</c:v>
                </c:pt>
                <c:pt idx="54">
                  <c:v>332</c:v>
                </c:pt>
                <c:pt idx="55">
                  <c:v>323</c:v>
                </c:pt>
                <c:pt idx="56">
                  <c:v>404</c:v>
                </c:pt>
                <c:pt idx="57">
                  <c:v>450</c:v>
                </c:pt>
                <c:pt idx="58">
                  <c:v>414</c:v>
                </c:pt>
                <c:pt idx="59">
                  <c:v>418</c:v>
                </c:pt>
                <c:pt idx="60">
                  <c:v>320</c:v>
                </c:pt>
              </c:numCache>
            </c:numRef>
          </c:val>
          <c:smooth val="0"/>
          <c:extLst>
            <c:ext xmlns:c16="http://schemas.microsoft.com/office/drawing/2014/chart" uri="{C3380CC4-5D6E-409C-BE32-E72D297353CC}">
              <c16:uniqueId val="{00000005-4E13-401D-B144-1DBECCD016DC}"/>
            </c:ext>
          </c:extLst>
        </c:ser>
        <c:dLbls>
          <c:showLegendKey val="0"/>
          <c:showVal val="0"/>
          <c:showCatName val="0"/>
          <c:showSerName val="0"/>
          <c:showPercent val="0"/>
          <c:showBubbleSize val="0"/>
        </c:dLbls>
        <c:smooth val="0"/>
        <c:axId val="1961348080"/>
        <c:axId val="1702721104"/>
      </c:lineChart>
      <c:catAx>
        <c:axId val="196134808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02721104"/>
        <c:crosses val="autoZero"/>
        <c:auto val="0"/>
        <c:lblAlgn val="ctr"/>
        <c:lblOffset val="100"/>
        <c:noMultiLvlLbl val="0"/>
      </c:catAx>
      <c:valAx>
        <c:axId val="170272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6134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Approved AAWI</c:v>
                </c:pt>
              </c:strCache>
            </c:strRef>
          </c:tx>
          <c:spPr>
            <a:solidFill>
              <a:schemeClr val="accent6"/>
            </a:solidFill>
            <a:ln>
              <a:noFill/>
            </a:ln>
            <a:effectLst/>
          </c:spPr>
          <c:invertIfNegative val="0"/>
          <c:cat>
            <c:numRef>
              <c:f>Sheet1!$A$2:$A$14</c:f>
              <c:numCache>
                <c:formatCode>mmm\-yy</c:formatCode>
                <c:ptCount val="13"/>
                <c:pt idx="0">
                  <c:v>44440</c:v>
                </c:pt>
                <c:pt idx="1">
                  <c:v>44531</c:v>
                </c:pt>
                <c:pt idx="2">
                  <c:v>44621</c:v>
                </c:pt>
                <c:pt idx="3">
                  <c:v>44713</c:v>
                </c:pt>
                <c:pt idx="4">
                  <c:v>44805</c:v>
                </c:pt>
                <c:pt idx="5">
                  <c:v>44896</c:v>
                </c:pt>
                <c:pt idx="6">
                  <c:v>44986</c:v>
                </c:pt>
                <c:pt idx="7">
                  <c:v>45078</c:v>
                </c:pt>
                <c:pt idx="8">
                  <c:v>45170</c:v>
                </c:pt>
                <c:pt idx="9">
                  <c:v>45261</c:v>
                </c:pt>
                <c:pt idx="10">
                  <c:v>45352</c:v>
                </c:pt>
                <c:pt idx="11">
                  <c:v>45444</c:v>
                </c:pt>
                <c:pt idx="12">
                  <c:v>45536</c:v>
                </c:pt>
              </c:numCache>
            </c:numRef>
          </c:cat>
          <c:val>
            <c:numRef>
              <c:f>Sheet1!$B$2:$B$14</c:f>
              <c:numCache>
                <c:formatCode>General</c:formatCode>
                <c:ptCount val="13"/>
                <c:pt idx="0">
                  <c:v>2.7</c:v>
                </c:pt>
                <c:pt idx="1">
                  <c:v>2.6</c:v>
                </c:pt>
                <c:pt idx="2">
                  <c:v>2.6</c:v>
                </c:pt>
                <c:pt idx="3">
                  <c:v>2.8</c:v>
                </c:pt>
                <c:pt idx="4">
                  <c:v>2.6</c:v>
                </c:pt>
                <c:pt idx="5">
                  <c:v>3</c:v>
                </c:pt>
                <c:pt idx="6">
                  <c:v>3.7</c:v>
                </c:pt>
                <c:pt idx="7">
                  <c:v>3.8</c:v>
                </c:pt>
                <c:pt idx="8">
                  <c:v>4.0999999999999996</c:v>
                </c:pt>
                <c:pt idx="9">
                  <c:v>4.4000000000000004</c:v>
                </c:pt>
                <c:pt idx="10">
                  <c:v>3.9</c:v>
                </c:pt>
                <c:pt idx="11">
                  <c:v>4</c:v>
                </c:pt>
                <c:pt idx="12">
                  <c:v>3.6</c:v>
                </c:pt>
              </c:numCache>
            </c:numRef>
          </c:val>
          <c:extLst>
            <c:ext xmlns:c16="http://schemas.microsoft.com/office/drawing/2014/chart" uri="{C3380CC4-5D6E-409C-BE32-E72D297353CC}">
              <c16:uniqueId val="{00000000-C2D7-4963-BC58-DA42642A09C8}"/>
            </c:ext>
          </c:extLst>
        </c:ser>
        <c:dLbls>
          <c:showLegendKey val="0"/>
          <c:showVal val="0"/>
          <c:showCatName val="0"/>
          <c:showSerName val="0"/>
          <c:showPercent val="0"/>
          <c:showBubbleSize val="0"/>
        </c:dLbls>
        <c:gapWidth val="219"/>
        <c:axId val="1155533632"/>
        <c:axId val="1155529792"/>
      </c:barChart>
      <c:lineChart>
        <c:grouping val="standard"/>
        <c:varyColors val="0"/>
        <c:ser>
          <c:idx val="1"/>
          <c:order val="1"/>
          <c:tx>
            <c:strRef>
              <c:f>Sheet1!$C$1</c:f>
              <c:strCache>
                <c:ptCount val="1"/>
                <c:pt idx="0">
                  <c:v>Current AAWI</c:v>
                </c:pt>
              </c:strCache>
            </c:strRef>
          </c:tx>
          <c:spPr>
            <a:ln w="28575" cap="rnd">
              <a:solidFill>
                <a:schemeClr val="accent5"/>
              </a:solidFill>
              <a:round/>
            </a:ln>
            <a:effectLst/>
          </c:spPr>
          <c:marker>
            <c:symbol val="none"/>
          </c:marker>
          <c:cat>
            <c:numRef>
              <c:f>Sheet1!$A$2:$A$14</c:f>
              <c:numCache>
                <c:formatCode>mmm\-yy</c:formatCode>
                <c:ptCount val="13"/>
                <c:pt idx="0">
                  <c:v>44440</c:v>
                </c:pt>
                <c:pt idx="1">
                  <c:v>44531</c:v>
                </c:pt>
                <c:pt idx="2">
                  <c:v>44621</c:v>
                </c:pt>
                <c:pt idx="3">
                  <c:v>44713</c:v>
                </c:pt>
                <c:pt idx="4">
                  <c:v>44805</c:v>
                </c:pt>
                <c:pt idx="5">
                  <c:v>44896</c:v>
                </c:pt>
                <c:pt idx="6">
                  <c:v>44986</c:v>
                </c:pt>
                <c:pt idx="7">
                  <c:v>45078</c:v>
                </c:pt>
                <c:pt idx="8">
                  <c:v>45170</c:v>
                </c:pt>
                <c:pt idx="9">
                  <c:v>45261</c:v>
                </c:pt>
                <c:pt idx="10">
                  <c:v>45352</c:v>
                </c:pt>
                <c:pt idx="11">
                  <c:v>45444</c:v>
                </c:pt>
                <c:pt idx="12">
                  <c:v>45536</c:v>
                </c:pt>
              </c:numCache>
            </c:numRef>
          </c:cat>
          <c:val>
            <c:numRef>
              <c:f>Sheet1!$C$2:$C$14</c:f>
              <c:numCache>
                <c:formatCode>General</c:formatCode>
                <c:ptCount val="13"/>
                <c:pt idx="0">
                  <c:v>2.6</c:v>
                </c:pt>
                <c:pt idx="1">
                  <c:v>2.6</c:v>
                </c:pt>
                <c:pt idx="2">
                  <c:v>2.6</c:v>
                </c:pt>
                <c:pt idx="3">
                  <c:v>2.6</c:v>
                </c:pt>
                <c:pt idx="4">
                  <c:v>2.6</c:v>
                </c:pt>
                <c:pt idx="5">
                  <c:v>2.6</c:v>
                </c:pt>
                <c:pt idx="6">
                  <c:v>2.7</c:v>
                </c:pt>
                <c:pt idx="7">
                  <c:v>2.8</c:v>
                </c:pt>
                <c:pt idx="8">
                  <c:v>3</c:v>
                </c:pt>
                <c:pt idx="9">
                  <c:v>3.1</c:v>
                </c:pt>
                <c:pt idx="10">
                  <c:v>3.3</c:v>
                </c:pt>
                <c:pt idx="11">
                  <c:v>3.4</c:v>
                </c:pt>
                <c:pt idx="12">
                  <c:v>3.5</c:v>
                </c:pt>
              </c:numCache>
            </c:numRef>
          </c:val>
          <c:smooth val="0"/>
          <c:extLst>
            <c:ext xmlns:c16="http://schemas.microsoft.com/office/drawing/2014/chart" uri="{C3380CC4-5D6E-409C-BE32-E72D297353CC}">
              <c16:uniqueId val="{00000001-C2D7-4963-BC58-DA42642A09C8}"/>
            </c:ext>
          </c:extLst>
        </c:ser>
        <c:dLbls>
          <c:showLegendKey val="0"/>
          <c:showVal val="0"/>
          <c:showCatName val="0"/>
          <c:showSerName val="0"/>
          <c:showPercent val="0"/>
          <c:showBubbleSize val="0"/>
        </c:dLbls>
        <c:marker val="1"/>
        <c:smooth val="0"/>
        <c:axId val="1155533632"/>
        <c:axId val="1155529792"/>
      </c:lineChart>
      <c:catAx>
        <c:axId val="11555336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55529792"/>
        <c:crosses val="autoZero"/>
        <c:auto val="0"/>
        <c:lblAlgn val="ctr"/>
        <c:lblOffset val="100"/>
        <c:noMultiLvlLbl val="0"/>
      </c:catAx>
      <c:valAx>
        <c:axId val="1155529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5553363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Greenfields agreement</c:v>
                </c:pt>
              </c:strCache>
            </c:strRef>
          </c:tx>
          <c:spPr>
            <a:ln w="28575" cap="rnd">
              <a:solidFill>
                <a:schemeClr val="accent1"/>
              </a:solidFill>
              <a:round/>
            </a:ln>
            <a:effectLst/>
          </c:spPr>
          <c:marker>
            <c:symbol val="none"/>
          </c:marker>
          <c:cat>
            <c:numRef>
              <c:f>Sheet1!$A$2:$A$37</c:f>
              <c:numCache>
                <c:formatCode>mmm\-yy</c:formatCode>
                <c:ptCount val="36"/>
                <c:pt idx="0">
                  <c:v>44378</c:v>
                </c:pt>
                <c:pt idx="1">
                  <c:v>44409</c:v>
                </c:pt>
                <c:pt idx="2">
                  <c:v>44440</c:v>
                </c:pt>
                <c:pt idx="3">
                  <c:v>44470</c:v>
                </c:pt>
                <c:pt idx="4">
                  <c:v>44501</c:v>
                </c:pt>
                <c:pt idx="5">
                  <c:v>44531</c:v>
                </c:pt>
                <c:pt idx="6">
                  <c:v>44562</c:v>
                </c:pt>
                <c:pt idx="7">
                  <c:v>44593</c:v>
                </c:pt>
                <c:pt idx="8">
                  <c:v>44621</c:v>
                </c:pt>
                <c:pt idx="9">
                  <c:v>44652</c:v>
                </c:pt>
                <c:pt idx="10">
                  <c:v>44682</c:v>
                </c:pt>
                <c:pt idx="11">
                  <c:v>44713</c:v>
                </c:pt>
                <c:pt idx="12">
                  <c:v>44743</c:v>
                </c:pt>
                <c:pt idx="13">
                  <c:v>44774</c:v>
                </c:pt>
                <c:pt idx="14">
                  <c:v>44805</c:v>
                </c:pt>
                <c:pt idx="15">
                  <c:v>44835</c:v>
                </c:pt>
                <c:pt idx="16">
                  <c:v>44866</c:v>
                </c:pt>
                <c:pt idx="17">
                  <c:v>44896</c:v>
                </c:pt>
                <c:pt idx="18">
                  <c:v>44927</c:v>
                </c:pt>
                <c:pt idx="19">
                  <c:v>44958</c:v>
                </c:pt>
                <c:pt idx="20">
                  <c:v>44986</c:v>
                </c:pt>
                <c:pt idx="21">
                  <c:v>44652</c:v>
                </c:pt>
                <c:pt idx="22">
                  <c:v>45047</c:v>
                </c:pt>
                <c:pt idx="23">
                  <c:v>45078</c:v>
                </c:pt>
                <c:pt idx="24">
                  <c:v>45108</c:v>
                </c:pt>
                <c:pt idx="25">
                  <c:v>45139</c:v>
                </c:pt>
                <c:pt idx="26">
                  <c:v>45170</c:v>
                </c:pt>
                <c:pt idx="27">
                  <c:v>45200</c:v>
                </c:pt>
                <c:pt idx="28">
                  <c:v>45231</c:v>
                </c:pt>
                <c:pt idx="29">
                  <c:v>45261</c:v>
                </c:pt>
                <c:pt idx="30">
                  <c:v>45292</c:v>
                </c:pt>
                <c:pt idx="31">
                  <c:v>45323</c:v>
                </c:pt>
                <c:pt idx="32">
                  <c:v>45352</c:v>
                </c:pt>
                <c:pt idx="33">
                  <c:v>45383</c:v>
                </c:pt>
                <c:pt idx="34">
                  <c:v>45413</c:v>
                </c:pt>
                <c:pt idx="35">
                  <c:v>45444</c:v>
                </c:pt>
              </c:numCache>
            </c:numRef>
          </c:cat>
          <c:val>
            <c:numRef>
              <c:f>Sheet1!$B$2:$B$37</c:f>
              <c:numCache>
                <c:formatCode>General</c:formatCode>
                <c:ptCount val="36"/>
                <c:pt idx="0">
                  <c:v>33</c:v>
                </c:pt>
                <c:pt idx="1">
                  <c:v>21</c:v>
                </c:pt>
                <c:pt idx="2">
                  <c:v>35</c:v>
                </c:pt>
                <c:pt idx="3">
                  <c:v>36</c:v>
                </c:pt>
                <c:pt idx="4">
                  <c:v>34</c:v>
                </c:pt>
                <c:pt idx="5">
                  <c:v>41</c:v>
                </c:pt>
                <c:pt idx="6">
                  <c:v>16</c:v>
                </c:pt>
                <c:pt idx="7">
                  <c:v>33</c:v>
                </c:pt>
                <c:pt idx="8">
                  <c:v>41</c:v>
                </c:pt>
                <c:pt idx="9">
                  <c:v>17</c:v>
                </c:pt>
                <c:pt idx="10">
                  <c:v>40</c:v>
                </c:pt>
                <c:pt idx="11">
                  <c:v>46</c:v>
                </c:pt>
                <c:pt idx="12">
                  <c:v>25</c:v>
                </c:pt>
                <c:pt idx="13">
                  <c:v>17</c:v>
                </c:pt>
                <c:pt idx="14">
                  <c:v>25</c:v>
                </c:pt>
                <c:pt idx="15">
                  <c:v>18</c:v>
                </c:pt>
                <c:pt idx="16">
                  <c:v>27</c:v>
                </c:pt>
                <c:pt idx="17">
                  <c:v>24</c:v>
                </c:pt>
                <c:pt idx="18">
                  <c:v>11</c:v>
                </c:pt>
                <c:pt idx="19">
                  <c:v>21</c:v>
                </c:pt>
                <c:pt idx="20">
                  <c:v>34</c:v>
                </c:pt>
                <c:pt idx="21">
                  <c:v>20</c:v>
                </c:pt>
                <c:pt idx="22">
                  <c:v>22</c:v>
                </c:pt>
                <c:pt idx="23">
                  <c:v>37</c:v>
                </c:pt>
                <c:pt idx="24">
                  <c:v>20</c:v>
                </c:pt>
                <c:pt idx="25">
                  <c:v>19</c:v>
                </c:pt>
                <c:pt idx="26">
                  <c:v>19</c:v>
                </c:pt>
                <c:pt idx="27">
                  <c:v>20</c:v>
                </c:pt>
                <c:pt idx="28">
                  <c:v>26</c:v>
                </c:pt>
                <c:pt idx="29">
                  <c:v>30</c:v>
                </c:pt>
                <c:pt idx="30">
                  <c:v>10</c:v>
                </c:pt>
                <c:pt idx="31">
                  <c:v>19</c:v>
                </c:pt>
                <c:pt idx="32">
                  <c:v>26</c:v>
                </c:pt>
                <c:pt idx="33">
                  <c:v>26</c:v>
                </c:pt>
                <c:pt idx="34">
                  <c:v>51</c:v>
                </c:pt>
                <c:pt idx="35">
                  <c:v>30</c:v>
                </c:pt>
              </c:numCache>
            </c:numRef>
          </c:val>
          <c:smooth val="0"/>
          <c:extLst>
            <c:ext xmlns:c16="http://schemas.microsoft.com/office/drawing/2014/chart" uri="{C3380CC4-5D6E-409C-BE32-E72D297353CC}">
              <c16:uniqueId val="{00000000-16DC-49D9-9ADC-4668904DCCF8}"/>
            </c:ext>
          </c:extLst>
        </c:ser>
        <c:ser>
          <c:idx val="1"/>
          <c:order val="1"/>
          <c:tx>
            <c:strRef>
              <c:f>Sheet1!$C$1</c:f>
              <c:strCache>
                <c:ptCount val="1"/>
                <c:pt idx="0">
                  <c:v>Multi-enterprise agreement</c:v>
                </c:pt>
              </c:strCache>
            </c:strRef>
          </c:tx>
          <c:spPr>
            <a:ln w="28575" cap="rnd">
              <a:solidFill>
                <a:schemeClr val="accent2"/>
              </a:solidFill>
              <a:round/>
            </a:ln>
            <a:effectLst/>
          </c:spPr>
          <c:marker>
            <c:symbol val="none"/>
          </c:marker>
          <c:cat>
            <c:numRef>
              <c:f>Sheet1!$A$2:$A$37</c:f>
              <c:numCache>
                <c:formatCode>mmm\-yy</c:formatCode>
                <c:ptCount val="36"/>
                <c:pt idx="0">
                  <c:v>44378</c:v>
                </c:pt>
                <c:pt idx="1">
                  <c:v>44409</c:v>
                </c:pt>
                <c:pt idx="2">
                  <c:v>44440</c:v>
                </c:pt>
                <c:pt idx="3">
                  <c:v>44470</c:v>
                </c:pt>
                <c:pt idx="4">
                  <c:v>44501</c:v>
                </c:pt>
                <c:pt idx="5">
                  <c:v>44531</c:v>
                </c:pt>
                <c:pt idx="6">
                  <c:v>44562</c:v>
                </c:pt>
                <c:pt idx="7">
                  <c:v>44593</c:v>
                </c:pt>
                <c:pt idx="8">
                  <c:v>44621</c:v>
                </c:pt>
                <c:pt idx="9">
                  <c:v>44652</c:v>
                </c:pt>
                <c:pt idx="10">
                  <c:v>44682</c:v>
                </c:pt>
                <c:pt idx="11">
                  <c:v>44713</c:v>
                </c:pt>
                <c:pt idx="12">
                  <c:v>44743</c:v>
                </c:pt>
                <c:pt idx="13">
                  <c:v>44774</c:v>
                </c:pt>
                <c:pt idx="14">
                  <c:v>44805</c:v>
                </c:pt>
                <c:pt idx="15">
                  <c:v>44835</c:v>
                </c:pt>
                <c:pt idx="16">
                  <c:v>44866</c:v>
                </c:pt>
                <c:pt idx="17">
                  <c:v>44896</c:v>
                </c:pt>
                <c:pt idx="18">
                  <c:v>44927</c:v>
                </c:pt>
                <c:pt idx="19">
                  <c:v>44958</c:v>
                </c:pt>
                <c:pt idx="20">
                  <c:v>44986</c:v>
                </c:pt>
                <c:pt idx="21">
                  <c:v>44652</c:v>
                </c:pt>
                <c:pt idx="22">
                  <c:v>45047</c:v>
                </c:pt>
                <c:pt idx="23">
                  <c:v>45078</c:v>
                </c:pt>
                <c:pt idx="24">
                  <c:v>45108</c:v>
                </c:pt>
                <c:pt idx="25">
                  <c:v>45139</c:v>
                </c:pt>
                <c:pt idx="26">
                  <c:v>45170</c:v>
                </c:pt>
                <c:pt idx="27">
                  <c:v>45200</c:v>
                </c:pt>
                <c:pt idx="28">
                  <c:v>45231</c:v>
                </c:pt>
                <c:pt idx="29">
                  <c:v>45261</c:v>
                </c:pt>
                <c:pt idx="30">
                  <c:v>45292</c:v>
                </c:pt>
                <c:pt idx="31">
                  <c:v>45323</c:v>
                </c:pt>
                <c:pt idx="32">
                  <c:v>45352</c:v>
                </c:pt>
                <c:pt idx="33">
                  <c:v>45383</c:v>
                </c:pt>
                <c:pt idx="34">
                  <c:v>45413</c:v>
                </c:pt>
                <c:pt idx="35">
                  <c:v>45444</c:v>
                </c:pt>
              </c:numCache>
            </c:numRef>
          </c:cat>
          <c:val>
            <c:numRef>
              <c:f>Sheet1!$C$2:$C$37</c:f>
              <c:numCache>
                <c:formatCode>General</c:formatCode>
                <c:ptCount val="36"/>
                <c:pt idx="0">
                  <c:v>1</c:v>
                </c:pt>
                <c:pt idx="1">
                  <c:v>2</c:v>
                </c:pt>
                <c:pt idx="2">
                  <c:v>1</c:v>
                </c:pt>
                <c:pt idx="3">
                  <c:v>2</c:v>
                </c:pt>
                <c:pt idx="4">
                  <c:v>5</c:v>
                </c:pt>
                <c:pt idx="5">
                  <c:v>14</c:v>
                </c:pt>
                <c:pt idx="6">
                  <c:v>1</c:v>
                </c:pt>
                <c:pt idx="7">
                  <c:v>1</c:v>
                </c:pt>
                <c:pt idx="8">
                  <c:v>2</c:v>
                </c:pt>
                <c:pt idx="9">
                  <c:v>5</c:v>
                </c:pt>
                <c:pt idx="10">
                  <c:v>2</c:v>
                </c:pt>
                <c:pt idx="11">
                  <c:v>5</c:v>
                </c:pt>
                <c:pt idx="12">
                  <c:v>2</c:v>
                </c:pt>
                <c:pt idx="13">
                  <c:v>1</c:v>
                </c:pt>
                <c:pt idx="14">
                  <c:v>1</c:v>
                </c:pt>
                <c:pt idx="15">
                  <c:v>3</c:v>
                </c:pt>
                <c:pt idx="16">
                  <c:v>4</c:v>
                </c:pt>
                <c:pt idx="17">
                  <c:v>2</c:v>
                </c:pt>
                <c:pt idx="18">
                  <c:v>1</c:v>
                </c:pt>
                <c:pt idx="19">
                  <c:v>4</c:v>
                </c:pt>
                <c:pt idx="20">
                  <c:v>2</c:v>
                </c:pt>
                <c:pt idx="21">
                  <c:v>1</c:v>
                </c:pt>
                <c:pt idx="22">
                  <c:v>7</c:v>
                </c:pt>
                <c:pt idx="23">
                  <c:v>6</c:v>
                </c:pt>
                <c:pt idx="24">
                  <c:v>2</c:v>
                </c:pt>
                <c:pt idx="25">
                  <c:v>1</c:v>
                </c:pt>
                <c:pt idx="26">
                  <c:v>2</c:v>
                </c:pt>
                <c:pt idx="27">
                  <c:v>5</c:v>
                </c:pt>
                <c:pt idx="29">
                  <c:v>5</c:v>
                </c:pt>
                <c:pt idx="31">
                  <c:v>8</c:v>
                </c:pt>
                <c:pt idx="32">
                  <c:v>2</c:v>
                </c:pt>
                <c:pt idx="33">
                  <c:v>2</c:v>
                </c:pt>
                <c:pt idx="34">
                  <c:v>2</c:v>
                </c:pt>
                <c:pt idx="35">
                  <c:v>1</c:v>
                </c:pt>
              </c:numCache>
            </c:numRef>
          </c:val>
          <c:smooth val="0"/>
          <c:extLst>
            <c:ext xmlns:c16="http://schemas.microsoft.com/office/drawing/2014/chart" uri="{C3380CC4-5D6E-409C-BE32-E72D297353CC}">
              <c16:uniqueId val="{00000001-16DC-49D9-9ADC-4668904DCCF8}"/>
            </c:ext>
          </c:extLst>
        </c:ser>
        <c:ser>
          <c:idx val="2"/>
          <c:order val="2"/>
          <c:tx>
            <c:strRef>
              <c:f>Sheet1!$D$1</c:f>
              <c:strCache>
                <c:ptCount val="1"/>
                <c:pt idx="0">
                  <c:v>Single-enterprise agreement</c:v>
                </c:pt>
              </c:strCache>
            </c:strRef>
          </c:tx>
          <c:spPr>
            <a:ln w="28575" cap="rnd">
              <a:solidFill>
                <a:schemeClr val="tx1"/>
              </a:solidFill>
              <a:round/>
            </a:ln>
            <a:effectLst/>
          </c:spPr>
          <c:marker>
            <c:symbol val="none"/>
          </c:marker>
          <c:trendline>
            <c:spPr>
              <a:ln w="19050" cap="rnd">
                <a:solidFill>
                  <a:schemeClr val="tx1"/>
                </a:solidFill>
                <a:prstDash val="sysDot"/>
              </a:ln>
              <a:effectLst/>
            </c:spPr>
            <c:trendlineType val="linear"/>
            <c:dispRSqr val="0"/>
            <c:dispEq val="0"/>
          </c:trendline>
          <c:cat>
            <c:numRef>
              <c:f>Sheet1!$A$2:$A$37</c:f>
              <c:numCache>
                <c:formatCode>mmm\-yy</c:formatCode>
                <c:ptCount val="36"/>
                <c:pt idx="0">
                  <c:v>44378</c:v>
                </c:pt>
                <c:pt idx="1">
                  <c:v>44409</c:v>
                </c:pt>
                <c:pt idx="2">
                  <c:v>44440</c:v>
                </c:pt>
                <c:pt idx="3">
                  <c:v>44470</c:v>
                </c:pt>
                <c:pt idx="4">
                  <c:v>44501</c:v>
                </c:pt>
                <c:pt idx="5">
                  <c:v>44531</c:v>
                </c:pt>
                <c:pt idx="6">
                  <c:v>44562</c:v>
                </c:pt>
                <c:pt idx="7">
                  <c:v>44593</c:v>
                </c:pt>
                <c:pt idx="8">
                  <c:v>44621</c:v>
                </c:pt>
                <c:pt idx="9">
                  <c:v>44652</c:v>
                </c:pt>
                <c:pt idx="10">
                  <c:v>44682</c:v>
                </c:pt>
                <c:pt idx="11">
                  <c:v>44713</c:v>
                </c:pt>
                <c:pt idx="12">
                  <c:v>44743</c:v>
                </c:pt>
                <c:pt idx="13">
                  <c:v>44774</c:v>
                </c:pt>
                <c:pt idx="14">
                  <c:v>44805</c:v>
                </c:pt>
                <c:pt idx="15">
                  <c:v>44835</c:v>
                </c:pt>
                <c:pt idx="16">
                  <c:v>44866</c:v>
                </c:pt>
                <c:pt idx="17">
                  <c:v>44896</c:v>
                </c:pt>
                <c:pt idx="18">
                  <c:v>44927</c:v>
                </c:pt>
                <c:pt idx="19">
                  <c:v>44958</c:v>
                </c:pt>
                <c:pt idx="20">
                  <c:v>44986</c:v>
                </c:pt>
                <c:pt idx="21">
                  <c:v>44652</c:v>
                </c:pt>
                <c:pt idx="22">
                  <c:v>45047</c:v>
                </c:pt>
                <c:pt idx="23">
                  <c:v>45078</c:v>
                </c:pt>
                <c:pt idx="24">
                  <c:v>45108</c:v>
                </c:pt>
                <c:pt idx="25">
                  <c:v>45139</c:v>
                </c:pt>
                <c:pt idx="26">
                  <c:v>45170</c:v>
                </c:pt>
                <c:pt idx="27">
                  <c:v>45200</c:v>
                </c:pt>
                <c:pt idx="28">
                  <c:v>45231</c:v>
                </c:pt>
                <c:pt idx="29">
                  <c:v>45261</c:v>
                </c:pt>
                <c:pt idx="30">
                  <c:v>45292</c:v>
                </c:pt>
                <c:pt idx="31">
                  <c:v>45323</c:v>
                </c:pt>
                <c:pt idx="32">
                  <c:v>45352</c:v>
                </c:pt>
                <c:pt idx="33">
                  <c:v>45383</c:v>
                </c:pt>
                <c:pt idx="34">
                  <c:v>45413</c:v>
                </c:pt>
                <c:pt idx="35">
                  <c:v>45444</c:v>
                </c:pt>
              </c:numCache>
            </c:numRef>
          </c:cat>
          <c:val>
            <c:numRef>
              <c:f>Sheet1!$D$2:$D$37</c:f>
              <c:numCache>
                <c:formatCode>General</c:formatCode>
                <c:ptCount val="36"/>
                <c:pt idx="0">
                  <c:v>435</c:v>
                </c:pt>
                <c:pt idx="1">
                  <c:v>380</c:v>
                </c:pt>
                <c:pt idx="2">
                  <c:v>378</c:v>
                </c:pt>
                <c:pt idx="3">
                  <c:v>333</c:v>
                </c:pt>
                <c:pt idx="4">
                  <c:v>394</c:v>
                </c:pt>
                <c:pt idx="5">
                  <c:v>608</c:v>
                </c:pt>
                <c:pt idx="6">
                  <c:v>112</c:v>
                </c:pt>
                <c:pt idx="7">
                  <c:v>209</c:v>
                </c:pt>
                <c:pt idx="8">
                  <c:v>319</c:v>
                </c:pt>
                <c:pt idx="9">
                  <c:v>238</c:v>
                </c:pt>
                <c:pt idx="10">
                  <c:v>285</c:v>
                </c:pt>
                <c:pt idx="11">
                  <c:v>391</c:v>
                </c:pt>
                <c:pt idx="12">
                  <c:v>311</c:v>
                </c:pt>
                <c:pt idx="13">
                  <c:v>387</c:v>
                </c:pt>
                <c:pt idx="14">
                  <c:v>369</c:v>
                </c:pt>
                <c:pt idx="15">
                  <c:v>333</c:v>
                </c:pt>
                <c:pt idx="16">
                  <c:v>355</c:v>
                </c:pt>
                <c:pt idx="17">
                  <c:v>499</c:v>
                </c:pt>
                <c:pt idx="18">
                  <c:v>129</c:v>
                </c:pt>
                <c:pt idx="19">
                  <c:v>222</c:v>
                </c:pt>
                <c:pt idx="20">
                  <c:v>273</c:v>
                </c:pt>
                <c:pt idx="21">
                  <c:v>245</c:v>
                </c:pt>
                <c:pt idx="22">
                  <c:v>340</c:v>
                </c:pt>
                <c:pt idx="23">
                  <c:v>394</c:v>
                </c:pt>
                <c:pt idx="24">
                  <c:v>299</c:v>
                </c:pt>
                <c:pt idx="25">
                  <c:v>385</c:v>
                </c:pt>
                <c:pt idx="26">
                  <c:v>385</c:v>
                </c:pt>
                <c:pt idx="27">
                  <c:v>385</c:v>
                </c:pt>
                <c:pt idx="28">
                  <c:v>485</c:v>
                </c:pt>
                <c:pt idx="29">
                  <c:v>587</c:v>
                </c:pt>
                <c:pt idx="30">
                  <c:v>154</c:v>
                </c:pt>
                <c:pt idx="31">
                  <c:v>268</c:v>
                </c:pt>
                <c:pt idx="32">
                  <c:v>426</c:v>
                </c:pt>
                <c:pt idx="33">
                  <c:v>332</c:v>
                </c:pt>
                <c:pt idx="34">
                  <c:v>375</c:v>
                </c:pt>
                <c:pt idx="35">
                  <c:v>383</c:v>
                </c:pt>
              </c:numCache>
            </c:numRef>
          </c:val>
          <c:smooth val="0"/>
          <c:extLst>
            <c:ext xmlns:c16="http://schemas.microsoft.com/office/drawing/2014/chart" uri="{C3380CC4-5D6E-409C-BE32-E72D297353CC}">
              <c16:uniqueId val="{00000003-16DC-49D9-9ADC-4668904DCCF8}"/>
            </c:ext>
          </c:extLst>
        </c:ser>
        <c:dLbls>
          <c:showLegendKey val="0"/>
          <c:showVal val="0"/>
          <c:showCatName val="0"/>
          <c:showSerName val="0"/>
          <c:showPercent val="0"/>
          <c:showBubbleSize val="0"/>
        </c:dLbls>
        <c:smooth val="0"/>
        <c:axId val="985176479"/>
        <c:axId val="985172159"/>
      </c:lineChart>
      <c:dateAx>
        <c:axId val="985176479"/>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85172159"/>
        <c:crosses val="autoZero"/>
        <c:auto val="1"/>
        <c:lblOffset val="100"/>
        <c:baseTimeUnit val="days"/>
      </c:dateAx>
      <c:valAx>
        <c:axId val="985172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85176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737645970672494E-2"/>
          <c:y val="3.430531732418525E-2"/>
          <c:w val="0.91583584772976845"/>
          <c:h val="0.71354178012816272"/>
        </c:manualLayout>
      </c:layout>
      <c:barChart>
        <c:barDir val="col"/>
        <c:grouping val="clustered"/>
        <c:varyColors val="0"/>
        <c:ser>
          <c:idx val="1"/>
          <c:order val="1"/>
          <c:tx>
            <c:strRef>
              <c:f>Sheet1!$C$1</c:f>
              <c:strCache>
                <c:ptCount val="1"/>
                <c:pt idx="0">
                  <c:v>Application discontinued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Sheet1!$C$2:$C$4</c:f>
              <c:numCache>
                <c:formatCode>General</c:formatCode>
                <c:ptCount val="3"/>
                <c:pt idx="0">
                  <c:v>4</c:v>
                </c:pt>
                <c:pt idx="1">
                  <c:v>0</c:v>
                </c:pt>
                <c:pt idx="2">
                  <c:v>0</c:v>
                </c:pt>
              </c:numCache>
            </c:numRef>
          </c:val>
          <c:extLst>
            <c:ext xmlns:c16="http://schemas.microsoft.com/office/drawing/2014/chart" uri="{C3380CC4-5D6E-409C-BE32-E72D297353CC}">
              <c16:uniqueId val="{00000000-DEA6-4941-BD8E-67B5208C6CD4}"/>
            </c:ext>
          </c:extLst>
        </c:ser>
        <c:ser>
          <c:idx val="2"/>
          <c:order val="2"/>
          <c:tx>
            <c:strRef>
              <c:f>Sheet1!$D$1</c:f>
              <c:strCache>
                <c:ptCount val="1"/>
                <c:pt idx="0">
                  <c:v>Application dismissed (s.587)</c:v>
                </c:pt>
              </c:strCache>
            </c:strRef>
          </c:tx>
          <c:spPr>
            <a:solidFill>
              <a:srgbClr val="009B9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Sheet1!$D$2:$D$4</c:f>
              <c:numCache>
                <c:formatCode>General</c:formatCode>
                <c:ptCount val="3"/>
                <c:pt idx="0">
                  <c:v>4</c:v>
                </c:pt>
                <c:pt idx="1">
                  <c:v>0</c:v>
                </c:pt>
                <c:pt idx="2">
                  <c:v>1</c:v>
                </c:pt>
              </c:numCache>
            </c:numRef>
          </c:val>
          <c:extLst>
            <c:ext xmlns:c16="http://schemas.microsoft.com/office/drawing/2014/chart" uri="{C3380CC4-5D6E-409C-BE32-E72D297353CC}">
              <c16:uniqueId val="{00000001-DEA6-4941-BD8E-67B5208C6CD4}"/>
            </c:ext>
          </c:extLst>
        </c:ser>
        <c:ser>
          <c:idx val="3"/>
          <c:order val="3"/>
          <c:tx>
            <c:strRef>
              <c:f>Sheet1!$E$1</c:f>
              <c:strCache>
                <c:ptCount val="1"/>
                <c:pt idx="0">
                  <c:v>Application withdrawn</c:v>
                </c:pt>
              </c:strCache>
            </c:strRef>
          </c:tx>
          <c:spPr>
            <a:solidFill>
              <a:srgbClr val="0D2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Sheet1!$E$2:$E$4</c:f>
              <c:numCache>
                <c:formatCode>General</c:formatCode>
                <c:ptCount val="3"/>
                <c:pt idx="0">
                  <c:v>56</c:v>
                </c:pt>
                <c:pt idx="1">
                  <c:v>61</c:v>
                </c:pt>
                <c:pt idx="2">
                  <c:v>37</c:v>
                </c:pt>
              </c:numCache>
            </c:numRef>
          </c:val>
          <c:extLst>
            <c:ext xmlns:c16="http://schemas.microsoft.com/office/drawing/2014/chart" uri="{C3380CC4-5D6E-409C-BE32-E72D297353CC}">
              <c16:uniqueId val="{00000002-DEA6-4941-BD8E-67B5208C6CD4}"/>
            </c:ext>
          </c:extLst>
        </c:ser>
        <c:ser>
          <c:idx val="4"/>
          <c:order val="4"/>
          <c:tx>
            <c:strRef>
              <c:f>Sheet1!$F$1</c:f>
              <c:strCache>
                <c:ptCount val="1"/>
                <c:pt idx="0">
                  <c:v>Determination issued: Majority support (s.237)</c:v>
                </c:pt>
              </c:strCache>
            </c:strRef>
          </c:tx>
          <c:spPr>
            <a:solidFill>
              <a:srgbClr val="009B9F">
                <a:lumMod val="20000"/>
                <a:lumOff val="8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Sheet1!$F$2:$F$4</c:f>
              <c:numCache>
                <c:formatCode>General</c:formatCode>
                <c:ptCount val="3"/>
                <c:pt idx="0">
                  <c:v>22</c:v>
                </c:pt>
                <c:pt idx="1">
                  <c:v>22</c:v>
                </c:pt>
                <c:pt idx="2">
                  <c:v>21</c:v>
                </c:pt>
              </c:numCache>
            </c:numRef>
          </c:val>
          <c:extLst>
            <c:ext xmlns:c16="http://schemas.microsoft.com/office/drawing/2014/chart" uri="{C3380CC4-5D6E-409C-BE32-E72D297353CC}">
              <c16:uniqueId val="{00000003-DEA6-4941-BD8E-67B5208C6CD4}"/>
            </c:ext>
          </c:extLst>
        </c:ser>
        <c:ser>
          <c:idx val="5"/>
          <c:order val="5"/>
          <c:tx>
            <c:strRef>
              <c:f>Sheet1!$G$1</c:f>
              <c:strCache>
                <c:ptCount val="1"/>
                <c:pt idx="0">
                  <c:v>Determination not issued (s.237)</c:v>
                </c:pt>
              </c:strCache>
            </c:strRef>
          </c:tx>
          <c:spPr>
            <a:solidFill>
              <a:srgbClr val="A4249B">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Sheet1!$G$2:$G$4</c:f>
              <c:numCache>
                <c:formatCode>General</c:formatCode>
                <c:ptCount val="3"/>
                <c:pt idx="0">
                  <c:v>4</c:v>
                </c:pt>
                <c:pt idx="1">
                  <c:v>2</c:v>
                </c:pt>
                <c:pt idx="2">
                  <c:v>5</c:v>
                </c:pt>
              </c:numCache>
            </c:numRef>
          </c:val>
          <c:extLst>
            <c:ext xmlns:c16="http://schemas.microsoft.com/office/drawing/2014/chart" uri="{C3380CC4-5D6E-409C-BE32-E72D297353CC}">
              <c16:uniqueId val="{00000004-DEA6-4941-BD8E-67B5208C6CD4}"/>
            </c:ext>
          </c:extLst>
        </c:ser>
        <c:ser>
          <c:idx val="6"/>
          <c:order val="6"/>
          <c:tx>
            <c:strRef>
              <c:f>Sheet1!$H$1</c:f>
              <c:strCache>
                <c:ptCount val="1"/>
                <c:pt idx="0">
                  <c:v>Determination not required: Matter concluded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Sheet1!$H$2:$H$4</c:f>
              <c:numCache>
                <c:formatCode>General</c:formatCode>
                <c:ptCount val="3"/>
                <c:pt idx="0">
                  <c:v>6</c:v>
                </c:pt>
                <c:pt idx="1">
                  <c:v>12</c:v>
                </c:pt>
                <c:pt idx="2">
                  <c:v>8</c:v>
                </c:pt>
              </c:numCache>
            </c:numRef>
          </c:val>
          <c:extLst>
            <c:ext xmlns:c16="http://schemas.microsoft.com/office/drawing/2014/chart" uri="{C3380CC4-5D6E-409C-BE32-E72D297353CC}">
              <c16:uniqueId val="{00000005-DEA6-4941-BD8E-67B5208C6CD4}"/>
            </c:ext>
          </c:extLst>
        </c:ser>
        <c:ser>
          <c:idx val="7"/>
          <c:order val="7"/>
          <c:tx>
            <c:strRef>
              <c:f>Sheet1!$I$1</c:f>
              <c:strCache>
                <c:ptCount val="1"/>
                <c:pt idx="0">
                  <c:v>Determination not required: Parties negotiating</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2021-22</c:v>
                </c:pt>
                <c:pt idx="1">
                  <c:v>2022-23</c:v>
                </c:pt>
                <c:pt idx="2">
                  <c:v>2023-24</c:v>
                </c:pt>
              </c:strCache>
            </c:strRef>
          </c:cat>
          <c:val>
            <c:numRef>
              <c:f>Sheet1!$I$2:$I$4</c:f>
              <c:numCache>
                <c:formatCode>General</c:formatCode>
                <c:ptCount val="3"/>
                <c:pt idx="0">
                  <c:v>1</c:v>
                </c:pt>
                <c:pt idx="1">
                  <c:v>1</c:v>
                </c:pt>
                <c:pt idx="2">
                  <c:v>0</c:v>
                </c:pt>
              </c:numCache>
            </c:numRef>
          </c:val>
          <c:extLst>
            <c:ext xmlns:c16="http://schemas.microsoft.com/office/drawing/2014/chart" uri="{C3380CC4-5D6E-409C-BE32-E72D297353CC}">
              <c16:uniqueId val="{00000006-DEA6-4941-BD8E-67B5208C6CD4}"/>
            </c:ext>
          </c:extLst>
        </c:ser>
        <c:dLbls>
          <c:dLblPos val="outEnd"/>
          <c:showLegendKey val="0"/>
          <c:showVal val="1"/>
          <c:showCatName val="0"/>
          <c:showSerName val="0"/>
          <c:showPercent val="0"/>
          <c:showBubbleSize val="0"/>
        </c:dLbls>
        <c:gapWidth val="219"/>
        <c:overlap val="-27"/>
        <c:axId val="29491487"/>
        <c:axId val="29493407"/>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Sheet1!$A$2:$A$4</c15:sqref>
                        </c15:formulaRef>
                      </c:ext>
                    </c:extLst>
                    <c:strCache>
                      <c:ptCount val="3"/>
                      <c:pt idx="0">
                        <c:v>2021-22</c:v>
                      </c:pt>
                      <c:pt idx="1">
                        <c:v>2022-23</c:v>
                      </c:pt>
                      <c:pt idx="2">
                        <c:v>2023-24</c:v>
                      </c:pt>
                    </c:strCache>
                  </c:strRef>
                </c:cat>
                <c:val>
                  <c:numRef>
                    <c:extLst>
                      <c:ext uri="{02D57815-91ED-43cb-92C2-25804820EDAC}">
                        <c15:formulaRef>
                          <c15:sqref>Sheet1!$B$2:$B$4</c15:sqref>
                        </c15:formulaRef>
                      </c:ext>
                    </c:extLst>
                    <c:numCache>
                      <c:formatCode>General</c:formatCode>
                      <c:ptCount val="3"/>
                      <c:pt idx="0">
                        <c:v>97</c:v>
                      </c:pt>
                      <c:pt idx="1">
                        <c:v>98</c:v>
                      </c:pt>
                      <c:pt idx="2">
                        <c:v>72</c:v>
                      </c:pt>
                    </c:numCache>
                  </c:numRef>
                </c:val>
                <c:extLst>
                  <c:ext xmlns:c16="http://schemas.microsoft.com/office/drawing/2014/chart" uri="{C3380CC4-5D6E-409C-BE32-E72D297353CC}">
                    <c16:uniqueId val="{00000007-DEA6-4941-BD8E-67B5208C6CD4}"/>
                  </c:ext>
                </c:extLst>
              </c15:ser>
            </c15:filteredBarSeries>
          </c:ext>
        </c:extLst>
      </c:barChart>
      <c:catAx>
        <c:axId val="2949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493407"/>
        <c:crosses val="autoZero"/>
        <c:auto val="1"/>
        <c:lblAlgn val="ctr"/>
        <c:lblOffset val="100"/>
        <c:noMultiLvlLbl val="0"/>
      </c:catAx>
      <c:valAx>
        <c:axId val="29493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491487"/>
        <c:crosses val="autoZero"/>
        <c:crossBetween val="between"/>
      </c:valAx>
      <c:spPr>
        <a:noFill/>
        <a:ln>
          <a:noFill/>
        </a:ln>
        <a:effectLst/>
      </c:spPr>
    </c:plotArea>
    <c:legend>
      <c:legendPos val="b"/>
      <c:layout>
        <c:manualLayout>
          <c:xMode val="edge"/>
          <c:yMode val="edge"/>
          <c:x val="2.5061748495692333E-2"/>
          <c:y val="0.81383200403117029"/>
          <c:w val="0.94987650300861537"/>
          <c:h val="0.1706540981019906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71B684-5F69-453B-B94E-4A9DD8BBACB2}" type="doc">
      <dgm:prSet loTypeId="urn:microsoft.com/office/officeart/2005/8/layout/pyramid1" loCatId="pyramid" qsTypeId="urn:microsoft.com/office/officeart/2005/8/quickstyle/simple1" qsCatId="simple" csTypeId="urn:microsoft.com/office/officeart/2005/8/colors/accent3_2" csCatId="accent3" phldr="1"/>
      <dgm:spPr/>
    </dgm:pt>
    <dgm:pt modelId="{F4D697C1-E28B-4534-90FF-CB495702E85E}">
      <dgm:prSet phldrT="[Text]"/>
      <dgm:spPr/>
      <dgm:t>
        <a:bodyPr/>
        <a:lstStyle/>
        <a:p>
          <a:pPr algn="ctr"/>
          <a:r>
            <a:rPr lang="en-AU"/>
            <a:t>Licence revocation</a:t>
          </a:r>
        </a:p>
      </dgm:t>
    </dgm:pt>
    <dgm:pt modelId="{E59B3658-CB18-4E14-9188-62BD63929C66}" type="parTrans" cxnId="{D87F999E-CD1E-4315-B063-450D2EF7F596}">
      <dgm:prSet/>
      <dgm:spPr/>
      <dgm:t>
        <a:bodyPr/>
        <a:lstStyle/>
        <a:p>
          <a:pPr algn="ctr"/>
          <a:endParaRPr lang="en-AU"/>
        </a:p>
      </dgm:t>
    </dgm:pt>
    <dgm:pt modelId="{7AFC6A9D-B97A-4036-A52A-28D6774C9C3F}" type="sibTrans" cxnId="{D87F999E-CD1E-4315-B063-450D2EF7F596}">
      <dgm:prSet/>
      <dgm:spPr/>
      <dgm:t>
        <a:bodyPr/>
        <a:lstStyle/>
        <a:p>
          <a:pPr algn="ctr"/>
          <a:endParaRPr lang="en-AU"/>
        </a:p>
      </dgm:t>
    </dgm:pt>
    <dgm:pt modelId="{EA4C4550-D3ED-46B1-989E-1ED5247579F2}">
      <dgm:prSet phldrT="[Text]"/>
      <dgm:spPr/>
      <dgm:t>
        <a:bodyPr/>
        <a:lstStyle/>
        <a:p>
          <a:pPr algn="ctr"/>
          <a:r>
            <a:rPr lang="en-AU"/>
            <a:t>Licence suspension</a:t>
          </a:r>
        </a:p>
      </dgm:t>
    </dgm:pt>
    <dgm:pt modelId="{76F3A991-29B3-454C-97ED-1D01D0CADA87}" type="parTrans" cxnId="{01216AF6-D7DE-4C7D-9FC2-3E01C96E5F04}">
      <dgm:prSet/>
      <dgm:spPr/>
      <dgm:t>
        <a:bodyPr/>
        <a:lstStyle/>
        <a:p>
          <a:pPr algn="ctr"/>
          <a:endParaRPr lang="en-AU"/>
        </a:p>
      </dgm:t>
    </dgm:pt>
    <dgm:pt modelId="{2592E3B1-634A-4DA5-BCE8-CF5F38125C3F}" type="sibTrans" cxnId="{01216AF6-D7DE-4C7D-9FC2-3E01C96E5F04}">
      <dgm:prSet/>
      <dgm:spPr/>
      <dgm:t>
        <a:bodyPr/>
        <a:lstStyle/>
        <a:p>
          <a:pPr algn="ctr"/>
          <a:endParaRPr lang="en-AU"/>
        </a:p>
      </dgm:t>
    </dgm:pt>
    <dgm:pt modelId="{8FD9560E-B0F3-4044-843F-EBB1C40439D5}">
      <dgm:prSet phldrT="[Text]"/>
      <dgm:spPr/>
      <dgm:t>
        <a:bodyPr/>
        <a:lstStyle/>
        <a:p>
          <a:pPr algn="ctr"/>
          <a:r>
            <a:rPr lang="en-AU"/>
            <a:t>Criminal penalty</a:t>
          </a:r>
        </a:p>
      </dgm:t>
    </dgm:pt>
    <dgm:pt modelId="{73EFA830-4057-46CE-BED1-1741060A1FA1}" type="parTrans" cxnId="{E16B25F7-8C63-4083-9F61-B672F012543A}">
      <dgm:prSet/>
      <dgm:spPr/>
      <dgm:t>
        <a:bodyPr/>
        <a:lstStyle/>
        <a:p>
          <a:pPr algn="ctr"/>
          <a:endParaRPr lang="en-AU"/>
        </a:p>
      </dgm:t>
    </dgm:pt>
    <dgm:pt modelId="{BAC897E7-EAF5-45A5-BB2D-DAA88C63A3B9}" type="sibTrans" cxnId="{E16B25F7-8C63-4083-9F61-B672F012543A}">
      <dgm:prSet/>
      <dgm:spPr/>
      <dgm:t>
        <a:bodyPr/>
        <a:lstStyle/>
        <a:p>
          <a:pPr algn="ctr"/>
          <a:endParaRPr lang="en-AU"/>
        </a:p>
      </dgm:t>
    </dgm:pt>
    <dgm:pt modelId="{C39A19D3-56EE-4569-8812-C294A8E8685E}">
      <dgm:prSet phldrT="[Text]"/>
      <dgm:spPr/>
      <dgm:t>
        <a:bodyPr/>
        <a:lstStyle/>
        <a:p>
          <a:pPr algn="ctr"/>
          <a:r>
            <a:rPr lang="en-AU"/>
            <a:t>Civil penalty</a:t>
          </a:r>
        </a:p>
      </dgm:t>
    </dgm:pt>
    <dgm:pt modelId="{D3272D8D-F512-4032-9198-AEBEE5EBEC77}" type="parTrans" cxnId="{6E4DEE0B-90B7-406A-B2DB-9234482663D5}">
      <dgm:prSet/>
      <dgm:spPr/>
      <dgm:t>
        <a:bodyPr/>
        <a:lstStyle/>
        <a:p>
          <a:pPr algn="ctr"/>
          <a:endParaRPr lang="en-AU"/>
        </a:p>
      </dgm:t>
    </dgm:pt>
    <dgm:pt modelId="{9DA9BAC6-B5B5-4B8E-AEA9-D5552D3E2C24}" type="sibTrans" cxnId="{6E4DEE0B-90B7-406A-B2DB-9234482663D5}">
      <dgm:prSet/>
      <dgm:spPr/>
      <dgm:t>
        <a:bodyPr/>
        <a:lstStyle/>
        <a:p>
          <a:pPr algn="ctr"/>
          <a:endParaRPr lang="en-AU"/>
        </a:p>
      </dgm:t>
    </dgm:pt>
    <dgm:pt modelId="{89ABD197-1D23-4976-9AEA-419A40BD285C}">
      <dgm:prSet phldrT="[Text]"/>
      <dgm:spPr/>
      <dgm:t>
        <a:bodyPr/>
        <a:lstStyle/>
        <a:p>
          <a:pPr algn="ctr"/>
          <a:r>
            <a:rPr lang="en-AU"/>
            <a:t>Persuasion</a:t>
          </a:r>
        </a:p>
      </dgm:t>
    </dgm:pt>
    <dgm:pt modelId="{72EC0E66-647F-4CE1-B37E-79A29164F7A7}" type="parTrans" cxnId="{C0B7358B-B541-4ED5-92F6-FFAD9175BA8E}">
      <dgm:prSet/>
      <dgm:spPr/>
      <dgm:t>
        <a:bodyPr/>
        <a:lstStyle/>
        <a:p>
          <a:pPr algn="ctr"/>
          <a:endParaRPr lang="en-AU"/>
        </a:p>
      </dgm:t>
    </dgm:pt>
    <dgm:pt modelId="{BA282544-6796-41CA-B5A4-810F5BC3AF37}" type="sibTrans" cxnId="{C0B7358B-B541-4ED5-92F6-FFAD9175BA8E}">
      <dgm:prSet/>
      <dgm:spPr/>
      <dgm:t>
        <a:bodyPr/>
        <a:lstStyle/>
        <a:p>
          <a:pPr algn="ctr"/>
          <a:endParaRPr lang="en-AU"/>
        </a:p>
      </dgm:t>
    </dgm:pt>
    <dgm:pt modelId="{3A4080B6-F2B4-4D74-8008-42A45E2B4957}">
      <dgm:prSet phldrT="[Text]"/>
      <dgm:spPr/>
      <dgm:t>
        <a:bodyPr/>
        <a:lstStyle/>
        <a:p>
          <a:pPr algn="ctr"/>
          <a:r>
            <a:rPr lang="en-AU"/>
            <a:t>Warning letter</a:t>
          </a:r>
        </a:p>
      </dgm:t>
    </dgm:pt>
    <dgm:pt modelId="{F2C4917D-2013-4ADA-A98B-0C9889257B9F}" type="parTrans" cxnId="{31EB590F-1F4D-4192-A214-EA2FE6F9DA73}">
      <dgm:prSet/>
      <dgm:spPr/>
      <dgm:t>
        <a:bodyPr/>
        <a:lstStyle/>
        <a:p>
          <a:pPr algn="ctr"/>
          <a:endParaRPr lang="en-AU"/>
        </a:p>
      </dgm:t>
    </dgm:pt>
    <dgm:pt modelId="{C7403F1A-73E5-4FE4-99CA-C43AAEE15977}" type="sibTrans" cxnId="{31EB590F-1F4D-4192-A214-EA2FE6F9DA73}">
      <dgm:prSet/>
      <dgm:spPr/>
      <dgm:t>
        <a:bodyPr/>
        <a:lstStyle/>
        <a:p>
          <a:pPr algn="ctr"/>
          <a:endParaRPr lang="en-AU"/>
        </a:p>
      </dgm:t>
    </dgm:pt>
    <dgm:pt modelId="{12A24489-B87E-4061-9C51-654369696C88}" type="pres">
      <dgm:prSet presAssocID="{7271B684-5F69-453B-B94E-4A9DD8BBACB2}" presName="Name0" presStyleCnt="0">
        <dgm:presLayoutVars>
          <dgm:dir/>
          <dgm:animLvl val="lvl"/>
          <dgm:resizeHandles val="exact"/>
        </dgm:presLayoutVars>
      </dgm:prSet>
      <dgm:spPr/>
    </dgm:pt>
    <dgm:pt modelId="{16023308-1D7A-4839-A7BA-0130AFFD961E}" type="pres">
      <dgm:prSet presAssocID="{F4D697C1-E28B-4534-90FF-CB495702E85E}" presName="Name8" presStyleCnt="0"/>
      <dgm:spPr/>
    </dgm:pt>
    <dgm:pt modelId="{20409750-0EBF-4DB9-A91D-863EF0713551}" type="pres">
      <dgm:prSet presAssocID="{F4D697C1-E28B-4534-90FF-CB495702E85E}" presName="level" presStyleLbl="node1" presStyleIdx="0" presStyleCnt="6">
        <dgm:presLayoutVars>
          <dgm:chMax val="1"/>
          <dgm:bulletEnabled val="1"/>
        </dgm:presLayoutVars>
      </dgm:prSet>
      <dgm:spPr/>
    </dgm:pt>
    <dgm:pt modelId="{09416E45-F393-43F6-A3EA-FEFAAE00E1BF}" type="pres">
      <dgm:prSet presAssocID="{F4D697C1-E28B-4534-90FF-CB495702E85E}" presName="levelTx" presStyleLbl="revTx" presStyleIdx="0" presStyleCnt="0">
        <dgm:presLayoutVars>
          <dgm:chMax val="1"/>
          <dgm:bulletEnabled val="1"/>
        </dgm:presLayoutVars>
      </dgm:prSet>
      <dgm:spPr/>
    </dgm:pt>
    <dgm:pt modelId="{8C46AE72-369B-4C47-BF04-D96E1D62B302}" type="pres">
      <dgm:prSet presAssocID="{EA4C4550-D3ED-46B1-989E-1ED5247579F2}" presName="Name8" presStyleCnt="0"/>
      <dgm:spPr/>
    </dgm:pt>
    <dgm:pt modelId="{AA7B3491-9012-49DF-ABCB-BC6E1E87E80D}" type="pres">
      <dgm:prSet presAssocID="{EA4C4550-D3ED-46B1-989E-1ED5247579F2}" presName="level" presStyleLbl="node1" presStyleIdx="1" presStyleCnt="6">
        <dgm:presLayoutVars>
          <dgm:chMax val="1"/>
          <dgm:bulletEnabled val="1"/>
        </dgm:presLayoutVars>
      </dgm:prSet>
      <dgm:spPr/>
    </dgm:pt>
    <dgm:pt modelId="{2B4D79E6-DB28-4618-A2FC-FBC9F831D83F}" type="pres">
      <dgm:prSet presAssocID="{EA4C4550-D3ED-46B1-989E-1ED5247579F2}" presName="levelTx" presStyleLbl="revTx" presStyleIdx="0" presStyleCnt="0">
        <dgm:presLayoutVars>
          <dgm:chMax val="1"/>
          <dgm:bulletEnabled val="1"/>
        </dgm:presLayoutVars>
      </dgm:prSet>
      <dgm:spPr/>
    </dgm:pt>
    <dgm:pt modelId="{7A348F91-2A64-41D5-9D1B-481BB6EE8E68}" type="pres">
      <dgm:prSet presAssocID="{8FD9560E-B0F3-4044-843F-EBB1C40439D5}" presName="Name8" presStyleCnt="0"/>
      <dgm:spPr/>
    </dgm:pt>
    <dgm:pt modelId="{129049E4-A112-4604-99A1-DCF9A29D394C}" type="pres">
      <dgm:prSet presAssocID="{8FD9560E-B0F3-4044-843F-EBB1C40439D5}" presName="level" presStyleLbl="node1" presStyleIdx="2" presStyleCnt="6">
        <dgm:presLayoutVars>
          <dgm:chMax val="1"/>
          <dgm:bulletEnabled val="1"/>
        </dgm:presLayoutVars>
      </dgm:prSet>
      <dgm:spPr/>
    </dgm:pt>
    <dgm:pt modelId="{9622B373-78E1-400A-8827-1CE3D995B0DB}" type="pres">
      <dgm:prSet presAssocID="{8FD9560E-B0F3-4044-843F-EBB1C40439D5}" presName="levelTx" presStyleLbl="revTx" presStyleIdx="0" presStyleCnt="0">
        <dgm:presLayoutVars>
          <dgm:chMax val="1"/>
          <dgm:bulletEnabled val="1"/>
        </dgm:presLayoutVars>
      </dgm:prSet>
      <dgm:spPr/>
    </dgm:pt>
    <dgm:pt modelId="{15A5AF9C-E043-4E34-A177-3F0CE9C8CD5B}" type="pres">
      <dgm:prSet presAssocID="{C39A19D3-56EE-4569-8812-C294A8E8685E}" presName="Name8" presStyleCnt="0"/>
      <dgm:spPr/>
    </dgm:pt>
    <dgm:pt modelId="{D506B32F-5F7B-421C-BDC6-DA847B21EF06}" type="pres">
      <dgm:prSet presAssocID="{C39A19D3-56EE-4569-8812-C294A8E8685E}" presName="level" presStyleLbl="node1" presStyleIdx="3" presStyleCnt="6">
        <dgm:presLayoutVars>
          <dgm:chMax val="1"/>
          <dgm:bulletEnabled val="1"/>
        </dgm:presLayoutVars>
      </dgm:prSet>
      <dgm:spPr/>
    </dgm:pt>
    <dgm:pt modelId="{CA823AAD-B9FB-499D-8A94-AE8BBB41FEE2}" type="pres">
      <dgm:prSet presAssocID="{C39A19D3-56EE-4569-8812-C294A8E8685E}" presName="levelTx" presStyleLbl="revTx" presStyleIdx="0" presStyleCnt="0">
        <dgm:presLayoutVars>
          <dgm:chMax val="1"/>
          <dgm:bulletEnabled val="1"/>
        </dgm:presLayoutVars>
      </dgm:prSet>
      <dgm:spPr/>
    </dgm:pt>
    <dgm:pt modelId="{E6220E2F-BA9B-465D-9034-9CD1307B856C}" type="pres">
      <dgm:prSet presAssocID="{3A4080B6-F2B4-4D74-8008-42A45E2B4957}" presName="Name8" presStyleCnt="0"/>
      <dgm:spPr/>
    </dgm:pt>
    <dgm:pt modelId="{E11B9645-7446-4B6E-8369-37B06DF81378}" type="pres">
      <dgm:prSet presAssocID="{3A4080B6-F2B4-4D74-8008-42A45E2B4957}" presName="level" presStyleLbl="node1" presStyleIdx="4" presStyleCnt="6">
        <dgm:presLayoutVars>
          <dgm:chMax val="1"/>
          <dgm:bulletEnabled val="1"/>
        </dgm:presLayoutVars>
      </dgm:prSet>
      <dgm:spPr/>
    </dgm:pt>
    <dgm:pt modelId="{B1C70E2E-01E6-4960-BD50-76D660D0ECAA}" type="pres">
      <dgm:prSet presAssocID="{3A4080B6-F2B4-4D74-8008-42A45E2B4957}" presName="levelTx" presStyleLbl="revTx" presStyleIdx="0" presStyleCnt="0">
        <dgm:presLayoutVars>
          <dgm:chMax val="1"/>
          <dgm:bulletEnabled val="1"/>
        </dgm:presLayoutVars>
      </dgm:prSet>
      <dgm:spPr/>
    </dgm:pt>
    <dgm:pt modelId="{791E8761-3EF6-4FE4-A255-3BAD5EA602CF}" type="pres">
      <dgm:prSet presAssocID="{89ABD197-1D23-4976-9AEA-419A40BD285C}" presName="Name8" presStyleCnt="0"/>
      <dgm:spPr/>
    </dgm:pt>
    <dgm:pt modelId="{4140960D-FE83-4553-ADE1-1BB5FBB22352}" type="pres">
      <dgm:prSet presAssocID="{89ABD197-1D23-4976-9AEA-419A40BD285C}" presName="level" presStyleLbl="node1" presStyleIdx="5" presStyleCnt="6">
        <dgm:presLayoutVars>
          <dgm:chMax val="1"/>
          <dgm:bulletEnabled val="1"/>
        </dgm:presLayoutVars>
      </dgm:prSet>
      <dgm:spPr/>
    </dgm:pt>
    <dgm:pt modelId="{10958DA5-73E2-4F8C-865C-5EC3CB648947}" type="pres">
      <dgm:prSet presAssocID="{89ABD197-1D23-4976-9AEA-419A40BD285C}" presName="levelTx" presStyleLbl="revTx" presStyleIdx="0" presStyleCnt="0">
        <dgm:presLayoutVars>
          <dgm:chMax val="1"/>
          <dgm:bulletEnabled val="1"/>
        </dgm:presLayoutVars>
      </dgm:prSet>
      <dgm:spPr/>
    </dgm:pt>
  </dgm:ptLst>
  <dgm:cxnLst>
    <dgm:cxn modelId="{014BE706-F3D9-4C76-868A-CEC35F61AF7E}" type="presOf" srcId="{EA4C4550-D3ED-46B1-989E-1ED5247579F2}" destId="{2B4D79E6-DB28-4618-A2FC-FBC9F831D83F}" srcOrd="1" destOrd="0" presId="urn:microsoft.com/office/officeart/2005/8/layout/pyramid1"/>
    <dgm:cxn modelId="{6E4DEE0B-90B7-406A-B2DB-9234482663D5}" srcId="{7271B684-5F69-453B-B94E-4A9DD8BBACB2}" destId="{C39A19D3-56EE-4569-8812-C294A8E8685E}" srcOrd="3" destOrd="0" parTransId="{D3272D8D-F512-4032-9198-AEBEE5EBEC77}" sibTransId="{9DA9BAC6-B5B5-4B8E-AEA9-D5552D3E2C24}"/>
    <dgm:cxn modelId="{64FF310F-5498-4960-89D0-A8CDF81E6959}" type="presOf" srcId="{3A4080B6-F2B4-4D74-8008-42A45E2B4957}" destId="{E11B9645-7446-4B6E-8369-37B06DF81378}" srcOrd="0" destOrd="0" presId="urn:microsoft.com/office/officeart/2005/8/layout/pyramid1"/>
    <dgm:cxn modelId="{31EB590F-1F4D-4192-A214-EA2FE6F9DA73}" srcId="{7271B684-5F69-453B-B94E-4A9DD8BBACB2}" destId="{3A4080B6-F2B4-4D74-8008-42A45E2B4957}" srcOrd="4" destOrd="0" parTransId="{F2C4917D-2013-4ADA-A98B-0C9889257B9F}" sibTransId="{C7403F1A-73E5-4FE4-99CA-C43AAEE15977}"/>
    <dgm:cxn modelId="{2E755312-DC0B-4E53-932F-BF5EC71B6C04}" type="presOf" srcId="{8FD9560E-B0F3-4044-843F-EBB1C40439D5}" destId="{129049E4-A112-4604-99A1-DCF9A29D394C}" srcOrd="0" destOrd="0" presId="urn:microsoft.com/office/officeart/2005/8/layout/pyramid1"/>
    <dgm:cxn modelId="{4694EE25-7052-44D1-BA71-A3E00EB5C022}" type="presOf" srcId="{EA4C4550-D3ED-46B1-989E-1ED5247579F2}" destId="{AA7B3491-9012-49DF-ABCB-BC6E1E87E80D}" srcOrd="0" destOrd="0" presId="urn:microsoft.com/office/officeart/2005/8/layout/pyramid1"/>
    <dgm:cxn modelId="{45F58130-FE4E-44A7-BB44-FE7570A5417E}" type="presOf" srcId="{3A4080B6-F2B4-4D74-8008-42A45E2B4957}" destId="{B1C70E2E-01E6-4960-BD50-76D660D0ECAA}" srcOrd="1" destOrd="0" presId="urn:microsoft.com/office/officeart/2005/8/layout/pyramid1"/>
    <dgm:cxn modelId="{977CBE38-4FD9-47B6-8859-96B6C1763B38}" type="presOf" srcId="{89ABD197-1D23-4976-9AEA-419A40BD285C}" destId="{10958DA5-73E2-4F8C-865C-5EC3CB648947}" srcOrd="1" destOrd="0" presId="urn:microsoft.com/office/officeart/2005/8/layout/pyramid1"/>
    <dgm:cxn modelId="{99FA723A-F546-4E40-B1EF-369E47F8F747}" type="presOf" srcId="{89ABD197-1D23-4976-9AEA-419A40BD285C}" destId="{4140960D-FE83-4553-ADE1-1BB5FBB22352}" srcOrd="0" destOrd="0" presId="urn:microsoft.com/office/officeart/2005/8/layout/pyramid1"/>
    <dgm:cxn modelId="{C28CFF45-11D3-4E44-A820-C3F9490BE89C}" type="presOf" srcId="{7271B684-5F69-453B-B94E-4A9DD8BBACB2}" destId="{12A24489-B87E-4061-9C51-654369696C88}" srcOrd="0" destOrd="0" presId="urn:microsoft.com/office/officeart/2005/8/layout/pyramid1"/>
    <dgm:cxn modelId="{F4559768-7A11-49D2-BF96-D74667BFD091}" type="presOf" srcId="{C39A19D3-56EE-4569-8812-C294A8E8685E}" destId="{CA823AAD-B9FB-499D-8A94-AE8BBB41FEE2}" srcOrd="1" destOrd="0" presId="urn:microsoft.com/office/officeart/2005/8/layout/pyramid1"/>
    <dgm:cxn modelId="{90841A6A-B9E4-469C-AE5F-3BA5D025DF8A}" type="presOf" srcId="{8FD9560E-B0F3-4044-843F-EBB1C40439D5}" destId="{9622B373-78E1-400A-8827-1CE3D995B0DB}" srcOrd="1" destOrd="0" presId="urn:microsoft.com/office/officeart/2005/8/layout/pyramid1"/>
    <dgm:cxn modelId="{B2426B4D-FC73-4235-BFE5-AA2E2F9D57F1}" type="presOf" srcId="{C39A19D3-56EE-4569-8812-C294A8E8685E}" destId="{D506B32F-5F7B-421C-BDC6-DA847B21EF06}" srcOrd="0" destOrd="0" presId="urn:microsoft.com/office/officeart/2005/8/layout/pyramid1"/>
    <dgm:cxn modelId="{6D47B67F-6321-41D1-8A66-0E0212C5F1FC}" type="presOf" srcId="{F4D697C1-E28B-4534-90FF-CB495702E85E}" destId="{09416E45-F393-43F6-A3EA-FEFAAE00E1BF}" srcOrd="1" destOrd="0" presId="urn:microsoft.com/office/officeart/2005/8/layout/pyramid1"/>
    <dgm:cxn modelId="{C0B7358B-B541-4ED5-92F6-FFAD9175BA8E}" srcId="{7271B684-5F69-453B-B94E-4A9DD8BBACB2}" destId="{89ABD197-1D23-4976-9AEA-419A40BD285C}" srcOrd="5" destOrd="0" parTransId="{72EC0E66-647F-4CE1-B37E-79A29164F7A7}" sibTransId="{BA282544-6796-41CA-B5A4-810F5BC3AF37}"/>
    <dgm:cxn modelId="{7983559D-B640-4612-A297-66B6B45479AD}" type="presOf" srcId="{F4D697C1-E28B-4534-90FF-CB495702E85E}" destId="{20409750-0EBF-4DB9-A91D-863EF0713551}" srcOrd="0" destOrd="0" presId="urn:microsoft.com/office/officeart/2005/8/layout/pyramid1"/>
    <dgm:cxn modelId="{D87F999E-CD1E-4315-B063-450D2EF7F596}" srcId="{7271B684-5F69-453B-B94E-4A9DD8BBACB2}" destId="{F4D697C1-E28B-4534-90FF-CB495702E85E}" srcOrd="0" destOrd="0" parTransId="{E59B3658-CB18-4E14-9188-62BD63929C66}" sibTransId="{7AFC6A9D-B97A-4036-A52A-28D6774C9C3F}"/>
    <dgm:cxn modelId="{01216AF6-D7DE-4C7D-9FC2-3E01C96E5F04}" srcId="{7271B684-5F69-453B-B94E-4A9DD8BBACB2}" destId="{EA4C4550-D3ED-46B1-989E-1ED5247579F2}" srcOrd="1" destOrd="0" parTransId="{76F3A991-29B3-454C-97ED-1D01D0CADA87}" sibTransId="{2592E3B1-634A-4DA5-BCE8-CF5F38125C3F}"/>
    <dgm:cxn modelId="{E16B25F7-8C63-4083-9F61-B672F012543A}" srcId="{7271B684-5F69-453B-B94E-4A9DD8BBACB2}" destId="{8FD9560E-B0F3-4044-843F-EBB1C40439D5}" srcOrd="2" destOrd="0" parTransId="{73EFA830-4057-46CE-BED1-1741060A1FA1}" sibTransId="{BAC897E7-EAF5-45A5-BB2D-DAA88C63A3B9}"/>
    <dgm:cxn modelId="{C44718DF-C251-4857-99AA-F657643F20B1}" type="presParOf" srcId="{12A24489-B87E-4061-9C51-654369696C88}" destId="{16023308-1D7A-4839-A7BA-0130AFFD961E}" srcOrd="0" destOrd="0" presId="urn:microsoft.com/office/officeart/2005/8/layout/pyramid1"/>
    <dgm:cxn modelId="{F712C6C2-6506-4F88-A1A6-8B97A8BE0D1C}" type="presParOf" srcId="{16023308-1D7A-4839-A7BA-0130AFFD961E}" destId="{20409750-0EBF-4DB9-A91D-863EF0713551}" srcOrd="0" destOrd="0" presId="urn:microsoft.com/office/officeart/2005/8/layout/pyramid1"/>
    <dgm:cxn modelId="{47CE9157-EF14-4539-A00A-7F4409FFFC34}" type="presParOf" srcId="{16023308-1D7A-4839-A7BA-0130AFFD961E}" destId="{09416E45-F393-43F6-A3EA-FEFAAE00E1BF}" srcOrd="1" destOrd="0" presId="urn:microsoft.com/office/officeart/2005/8/layout/pyramid1"/>
    <dgm:cxn modelId="{D3E50DD0-BBBF-40D2-97C7-8478F8785635}" type="presParOf" srcId="{12A24489-B87E-4061-9C51-654369696C88}" destId="{8C46AE72-369B-4C47-BF04-D96E1D62B302}" srcOrd="1" destOrd="0" presId="urn:microsoft.com/office/officeart/2005/8/layout/pyramid1"/>
    <dgm:cxn modelId="{02567C0F-A612-4E65-9DD6-8595485461E0}" type="presParOf" srcId="{8C46AE72-369B-4C47-BF04-D96E1D62B302}" destId="{AA7B3491-9012-49DF-ABCB-BC6E1E87E80D}" srcOrd="0" destOrd="0" presId="urn:microsoft.com/office/officeart/2005/8/layout/pyramid1"/>
    <dgm:cxn modelId="{51F0653B-CA5F-4CB1-B004-570B5289BDDC}" type="presParOf" srcId="{8C46AE72-369B-4C47-BF04-D96E1D62B302}" destId="{2B4D79E6-DB28-4618-A2FC-FBC9F831D83F}" srcOrd="1" destOrd="0" presId="urn:microsoft.com/office/officeart/2005/8/layout/pyramid1"/>
    <dgm:cxn modelId="{2E979C7E-65E7-4ECA-A5D2-D72F3CB9D3B6}" type="presParOf" srcId="{12A24489-B87E-4061-9C51-654369696C88}" destId="{7A348F91-2A64-41D5-9D1B-481BB6EE8E68}" srcOrd="2" destOrd="0" presId="urn:microsoft.com/office/officeart/2005/8/layout/pyramid1"/>
    <dgm:cxn modelId="{BE791809-409E-4130-874E-9D107FF72728}" type="presParOf" srcId="{7A348F91-2A64-41D5-9D1B-481BB6EE8E68}" destId="{129049E4-A112-4604-99A1-DCF9A29D394C}" srcOrd="0" destOrd="0" presId="urn:microsoft.com/office/officeart/2005/8/layout/pyramid1"/>
    <dgm:cxn modelId="{FF67582B-8291-4FAB-9E37-589D79E30680}" type="presParOf" srcId="{7A348F91-2A64-41D5-9D1B-481BB6EE8E68}" destId="{9622B373-78E1-400A-8827-1CE3D995B0DB}" srcOrd="1" destOrd="0" presId="urn:microsoft.com/office/officeart/2005/8/layout/pyramid1"/>
    <dgm:cxn modelId="{BEBFEE54-09E9-45E2-AF44-BEFFCE686542}" type="presParOf" srcId="{12A24489-B87E-4061-9C51-654369696C88}" destId="{15A5AF9C-E043-4E34-A177-3F0CE9C8CD5B}" srcOrd="3" destOrd="0" presId="urn:microsoft.com/office/officeart/2005/8/layout/pyramid1"/>
    <dgm:cxn modelId="{19060352-DD9A-4D1E-AEAB-72A35B6BE71D}" type="presParOf" srcId="{15A5AF9C-E043-4E34-A177-3F0CE9C8CD5B}" destId="{D506B32F-5F7B-421C-BDC6-DA847B21EF06}" srcOrd="0" destOrd="0" presId="urn:microsoft.com/office/officeart/2005/8/layout/pyramid1"/>
    <dgm:cxn modelId="{98643786-3926-4823-8030-DDCEEB3DCD56}" type="presParOf" srcId="{15A5AF9C-E043-4E34-A177-3F0CE9C8CD5B}" destId="{CA823AAD-B9FB-499D-8A94-AE8BBB41FEE2}" srcOrd="1" destOrd="0" presId="urn:microsoft.com/office/officeart/2005/8/layout/pyramid1"/>
    <dgm:cxn modelId="{BE8FE3DF-D830-4E8D-BA20-198141636881}" type="presParOf" srcId="{12A24489-B87E-4061-9C51-654369696C88}" destId="{E6220E2F-BA9B-465D-9034-9CD1307B856C}" srcOrd="4" destOrd="0" presId="urn:microsoft.com/office/officeart/2005/8/layout/pyramid1"/>
    <dgm:cxn modelId="{D45073CA-406E-470B-B347-0DDC565DEF29}" type="presParOf" srcId="{E6220E2F-BA9B-465D-9034-9CD1307B856C}" destId="{E11B9645-7446-4B6E-8369-37B06DF81378}" srcOrd="0" destOrd="0" presId="urn:microsoft.com/office/officeart/2005/8/layout/pyramid1"/>
    <dgm:cxn modelId="{5992DA0B-B24C-412B-A767-01E8BDBF50D7}" type="presParOf" srcId="{E6220E2F-BA9B-465D-9034-9CD1307B856C}" destId="{B1C70E2E-01E6-4960-BD50-76D660D0ECAA}" srcOrd="1" destOrd="0" presId="urn:microsoft.com/office/officeart/2005/8/layout/pyramid1"/>
    <dgm:cxn modelId="{C59B1D40-848F-4EFC-947B-E6C89131D21E}" type="presParOf" srcId="{12A24489-B87E-4061-9C51-654369696C88}" destId="{791E8761-3EF6-4FE4-A255-3BAD5EA602CF}" srcOrd="5" destOrd="0" presId="urn:microsoft.com/office/officeart/2005/8/layout/pyramid1"/>
    <dgm:cxn modelId="{B86D8671-B49A-41B9-B5A1-D74F7C9BFDE8}" type="presParOf" srcId="{791E8761-3EF6-4FE4-A255-3BAD5EA602CF}" destId="{4140960D-FE83-4553-ADE1-1BB5FBB22352}" srcOrd="0" destOrd="0" presId="urn:microsoft.com/office/officeart/2005/8/layout/pyramid1"/>
    <dgm:cxn modelId="{EB225E17-5665-4AD0-B077-D668B25AA646}" type="presParOf" srcId="{791E8761-3EF6-4FE4-A255-3BAD5EA602CF}" destId="{10958DA5-73E2-4F8C-865C-5EC3CB648947}" srcOrd="1" destOrd="0" presId="urn:microsoft.com/office/officeart/2005/8/layout/pyramid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123910-0D12-48C5-B8A0-5C274BA90CD4}" type="doc">
      <dgm:prSet loTypeId="urn:microsoft.com/office/officeart/2005/8/layout/chevron2" loCatId="list" qsTypeId="urn:microsoft.com/office/officeart/2005/8/quickstyle/simple1" qsCatId="simple" csTypeId="urn:microsoft.com/office/officeart/2005/8/colors/accent1_1" csCatId="accent1" phldr="1"/>
      <dgm:spPr/>
      <dgm:t>
        <a:bodyPr/>
        <a:lstStyle/>
        <a:p>
          <a:endParaRPr lang="en-AU"/>
        </a:p>
      </dgm:t>
    </dgm:pt>
    <dgm:pt modelId="{C301F6D5-91DE-49CA-8A07-C35283CC90D3}">
      <dgm:prSet phldrT="[Text]" custT="1"/>
      <dgm:spPr/>
      <dgm:t>
        <a:bodyPr/>
        <a:lstStyle/>
        <a:p>
          <a:r>
            <a:rPr lang="en-AU" sz="900" dirty="0"/>
            <a:t>a Fair Work Act exception applies (s 333F), or</a:t>
          </a:r>
        </a:p>
      </dgm:t>
    </dgm:pt>
    <dgm:pt modelId="{55AC1A2D-97F9-40B9-8BA1-B9B89BFFF22F}" type="parTrans" cxnId="{4A33CA1A-9314-434D-BBF8-DCC42C7E9C5B}">
      <dgm:prSet/>
      <dgm:spPr/>
      <dgm:t>
        <a:bodyPr/>
        <a:lstStyle/>
        <a:p>
          <a:endParaRPr lang="en-AU"/>
        </a:p>
      </dgm:t>
    </dgm:pt>
    <dgm:pt modelId="{AFAAAA16-4D7E-48DA-8630-D4F1FD69EC19}" type="sibTrans" cxnId="{4A33CA1A-9314-434D-BBF8-DCC42C7E9C5B}">
      <dgm:prSet/>
      <dgm:spPr/>
      <dgm:t>
        <a:bodyPr/>
        <a:lstStyle/>
        <a:p>
          <a:endParaRPr lang="en-AU"/>
        </a:p>
      </dgm:t>
    </dgm:pt>
    <dgm:pt modelId="{7DCB9FF3-C646-4A6E-A019-529F5E92840B}">
      <dgm:prSet phldrT="[Text]" custT="1"/>
      <dgm:spPr/>
      <dgm:t>
        <a:bodyPr/>
        <a:lstStyle/>
        <a:p>
          <a:r>
            <a:rPr lang="en-AU" sz="700" dirty="0"/>
            <a:t>(a) perform only a distinct and identifiable task involving specialised skills</a:t>
          </a:r>
        </a:p>
      </dgm:t>
    </dgm:pt>
    <dgm:pt modelId="{E92C68CC-7E63-447D-9AE6-AD4EF9EE82F0}" type="parTrans" cxnId="{C480D3C3-A595-4AE1-B2FA-DA0A23387848}">
      <dgm:prSet/>
      <dgm:spPr/>
      <dgm:t>
        <a:bodyPr/>
        <a:lstStyle/>
        <a:p>
          <a:endParaRPr lang="en-AU"/>
        </a:p>
      </dgm:t>
    </dgm:pt>
    <dgm:pt modelId="{1A96DF3B-0DE4-47CE-9066-16E1E5D1D677}" type="sibTrans" cxnId="{C480D3C3-A595-4AE1-B2FA-DA0A23387848}">
      <dgm:prSet/>
      <dgm:spPr/>
      <dgm:t>
        <a:bodyPr/>
        <a:lstStyle/>
        <a:p>
          <a:endParaRPr lang="en-AU"/>
        </a:p>
      </dgm:t>
    </dgm:pt>
    <dgm:pt modelId="{61C94E6B-88E8-4A9D-85E2-1CC6C3BC456F}">
      <dgm:prSet phldrT="[Text]" custT="1"/>
      <dgm:spPr/>
      <dgm:t>
        <a:bodyPr/>
        <a:lstStyle/>
        <a:p>
          <a:endParaRPr lang="en-AU" sz="900" dirty="0"/>
        </a:p>
        <a:p>
          <a:r>
            <a:rPr lang="en-AU" sz="900" dirty="0"/>
            <a:t>the relevant modern award allows it (s 333F(1)(h)), or</a:t>
          </a:r>
        </a:p>
      </dgm:t>
    </dgm:pt>
    <dgm:pt modelId="{6D7C084A-7BEE-470E-ADDB-8D198A564ECC}" type="parTrans" cxnId="{82CC84B7-DEF0-4B22-92FA-A2FDEE3853E8}">
      <dgm:prSet/>
      <dgm:spPr/>
      <dgm:t>
        <a:bodyPr/>
        <a:lstStyle/>
        <a:p>
          <a:endParaRPr lang="en-AU"/>
        </a:p>
      </dgm:t>
    </dgm:pt>
    <dgm:pt modelId="{79C39907-D554-483D-BF0D-05E4E02B6D5A}" type="sibTrans" cxnId="{82CC84B7-DEF0-4B22-92FA-A2FDEE3853E8}">
      <dgm:prSet/>
      <dgm:spPr/>
      <dgm:t>
        <a:bodyPr/>
        <a:lstStyle/>
        <a:p>
          <a:endParaRPr lang="en-AU"/>
        </a:p>
      </dgm:t>
    </dgm:pt>
    <dgm:pt modelId="{D0D95A2A-021A-4BBA-B847-101620502744}">
      <dgm:prSet phldrT="[Text]" custT="1"/>
      <dgm:spPr/>
      <dgm:t>
        <a:bodyPr/>
        <a:lstStyle/>
        <a:p>
          <a:r>
            <a:rPr lang="en-AU" sz="700" dirty="0"/>
            <a:t>The modern award that covers the employee includes terms that permit</a:t>
          </a:r>
        </a:p>
      </dgm:t>
    </dgm:pt>
    <dgm:pt modelId="{73D2EA6D-C1C1-4FC2-97B3-7ABB3A33CF87}" type="parTrans" cxnId="{2F557191-62EB-41DD-A2FA-213102AC1A69}">
      <dgm:prSet/>
      <dgm:spPr/>
      <dgm:t>
        <a:bodyPr/>
        <a:lstStyle/>
        <a:p>
          <a:endParaRPr lang="en-AU"/>
        </a:p>
      </dgm:t>
    </dgm:pt>
    <dgm:pt modelId="{002C18BB-8277-42F8-A612-FF6087307386}" type="sibTrans" cxnId="{2F557191-62EB-41DD-A2FA-213102AC1A69}">
      <dgm:prSet/>
      <dgm:spPr/>
      <dgm:t>
        <a:bodyPr/>
        <a:lstStyle/>
        <a:p>
          <a:endParaRPr lang="en-AU"/>
        </a:p>
      </dgm:t>
    </dgm:pt>
    <dgm:pt modelId="{043A01E9-578B-4F86-B798-F6C808D10D97}">
      <dgm:prSet phldrT="[Text]" custT="1"/>
      <dgm:spPr/>
      <dgm:t>
        <a:bodyPr/>
        <a:lstStyle/>
        <a:p>
          <a:r>
            <a:rPr lang="en-AU" sz="900" dirty="0"/>
            <a:t>the Fair Work Regulations allow it (s 333F(1)(</a:t>
          </a:r>
          <a:r>
            <a:rPr lang="en-AU" sz="900" dirty="0" err="1"/>
            <a:t>i</a:t>
          </a:r>
          <a:r>
            <a:rPr lang="en-AU" sz="900" dirty="0"/>
            <a:t>))</a:t>
          </a:r>
        </a:p>
      </dgm:t>
    </dgm:pt>
    <dgm:pt modelId="{D420A5D5-D95A-46AF-9257-771A2CAFE2D8}" type="parTrans" cxnId="{581F36C2-09FB-45B5-91FA-C57E92A134BF}">
      <dgm:prSet/>
      <dgm:spPr/>
      <dgm:t>
        <a:bodyPr/>
        <a:lstStyle/>
        <a:p>
          <a:endParaRPr lang="en-AU"/>
        </a:p>
      </dgm:t>
    </dgm:pt>
    <dgm:pt modelId="{EB4417FE-4EB7-4859-BE3A-D61EFF509AA8}" type="sibTrans" cxnId="{581F36C2-09FB-45B5-91FA-C57E92A134BF}">
      <dgm:prSet/>
      <dgm:spPr/>
      <dgm:t>
        <a:bodyPr/>
        <a:lstStyle/>
        <a:p>
          <a:endParaRPr lang="en-AU"/>
        </a:p>
      </dgm:t>
    </dgm:pt>
    <dgm:pt modelId="{28D2EB98-6525-469B-94A0-AEB429DEAB08}">
      <dgm:prSet phldrT="[Text]" custT="1"/>
      <dgm:spPr/>
      <dgm:t>
        <a:bodyPr/>
        <a:lstStyle/>
        <a:p>
          <a:r>
            <a:rPr lang="en-AU" sz="700" dirty="0"/>
            <a:t>Current Fair Work Regulation exceptions for</a:t>
          </a:r>
        </a:p>
      </dgm:t>
    </dgm:pt>
    <dgm:pt modelId="{EA3E5D4E-05E2-4E0F-A02E-206D44EEF106}" type="parTrans" cxnId="{DB14EBD3-778F-47BD-9E09-DA7E2D86C4DE}">
      <dgm:prSet/>
      <dgm:spPr/>
      <dgm:t>
        <a:bodyPr/>
        <a:lstStyle/>
        <a:p>
          <a:endParaRPr lang="en-AU"/>
        </a:p>
      </dgm:t>
    </dgm:pt>
    <dgm:pt modelId="{E6799B49-58EF-40FE-9B39-CFDAEBFC422E}" type="sibTrans" cxnId="{DB14EBD3-778F-47BD-9E09-DA7E2D86C4DE}">
      <dgm:prSet/>
      <dgm:spPr/>
      <dgm:t>
        <a:bodyPr/>
        <a:lstStyle/>
        <a:p>
          <a:endParaRPr lang="en-AU"/>
        </a:p>
      </dgm:t>
    </dgm:pt>
    <dgm:pt modelId="{AB1EA7E8-47C7-4571-8553-DBDAFF63E65E}">
      <dgm:prSet phldrT="[Text]" custT="1"/>
      <dgm:spPr>
        <a:solidFill>
          <a:schemeClr val="tx2">
            <a:lumMod val="10000"/>
            <a:lumOff val="90000"/>
          </a:schemeClr>
        </a:solidFill>
      </dgm:spPr>
      <dgm:t>
        <a:bodyPr/>
        <a:lstStyle/>
        <a:p>
          <a:r>
            <a:rPr lang="en-AU" sz="900" dirty="0"/>
            <a:t>The limitation applies (s 333E) UNLESS</a:t>
          </a:r>
        </a:p>
      </dgm:t>
    </dgm:pt>
    <dgm:pt modelId="{EDCA36BB-2B02-43C3-8214-5B584B96CA71}" type="parTrans" cxnId="{8140D980-2674-4DAD-84B3-46B838F44B19}">
      <dgm:prSet/>
      <dgm:spPr/>
      <dgm:t>
        <a:bodyPr/>
        <a:lstStyle/>
        <a:p>
          <a:endParaRPr lang="en-AU"/>
        </a:p>
      </dgm:t>
    </dgm:pt>
    <dgm:pt modelId="{C615E117-90C8-4AAE-902D-BCBC249909D9}" type="sibTrans" cxnId="{8140D980-2674-4DAD-84B3-46B838F44B19}">
      <dgm:prSet/>
      <dgm:spPr/>
      <dgm:t>
        <a:bodyPr/>
        <a:lstStyle/>
        <a:p>
          <a:endParaRPr lang="en-AU"/>
        </a:p>
      </dgm:t>
    </dgm:pt>
    <dgm:pt modelId="{C74E8E43-C0AC-457B-85E4-63FB5AF8C485}">
      <dgm:prSet custT="1"/>
      <dgm:spPr/>
      <dgm:t>
        <a:bodyPr/>
        <a:lstStyle/>
        <a:p>
          <a:r>
            <a:rPr lang="en-AU" sz="700" dirty="0"/>
            <a:t>(b) training arrangement</a:t>
          </a:r>
        </a:p>
      </dgm:t>
    </dgm:pt>
    <dgm:pt modelId="{6B84EAEF-EF5E-4E32-87CB-6147D388FA54}" type="parTrans" cxnId="{0F47C97F-2982-4FC0-9958-E2CC3905D080}">
      <dgm:prSet/>
      <dgm:spPr/>
      <dgm:t>
        <a:bodyPr/>
        <a:lstStyle/>
        <a:p>
          <a:endParaRPr lang="en-AU"/>
        </a:p>
      </dgm:t>
    </dgm:pt>
    <dgm:pt modelId="{5E454117-65D3-4890-9893-E87BFFD6A438}" type="sibTrans" cxnId="{0F47C97F-2982-4FC0-9958-E2CC3905D080}">
      <dgm:prSet/>
      <dgm:spPr/>
      <dgm:t>
        <a:bodyPr/>
        <a:lstStyle/>
        <a:p>
          <a:endParaRPr lang="en-AU"/>
        </a:p>
      </dgm:t>
    </dgm:pt>
    <dgm:pt modelId="{9B4FF09F-6B51-4BF0-99D4-B7A8416DABCC}">
      <dgm:prSet custT="1"/>
      <dgm:spPr/>
      <dgm:t>
        <a:bodyPr/>
        <a:lstStyle/>
        <a:p>
          <a:r>
            <a:rPr lang="en-AU" sz="700" dirty="0"/>
            <a:t>(c) essential work during a peak demand period</a:t>
          </a:r>
        </a:p>
      </dgm:t>
    </dgm:pt>
    <dgm:pt modelId="{C858AF63-0036-4086-89BC-F74BBF0578AE}" type="parTrans" cxnId="{99315019-F0F3-4EE5-AB79-5475A052E88B}">
      <dgm:prSet/>
      <dgm:spPr/>
      <dgm:t>
        <a:bodyPr/>
        <a:lstStyle/>
        <a:p>
          <a:endParaRPr lang="en-AU"/>
        </a:p>
      </dgm:t>
    </dgm:pt>
    <dgm:pt modelId="{822ED800-A941-4682-BD12-91B88F4FDA79}" type="sibTrans" cxnId="{99315019-F0F3-4EE5-AB79-5475A052E88B}">
      <dgm:prSet/>
      <dgm:spPr/>
      <dgm:t>
        <a:bodyPr/>
        <a:lstStyle/>
        <a:p>
          <a:endParaRPr lang="en-AU"/>
        </a:p>
      </dgm:t>
    </dgm:pt>
    <dgm:pt modelId="{57C049AF-AE89-44DC-99DE-09549468EA41}">
      <dgm:prSet custT="1"/>
      <dgm:spPr/>
      <dgm:t>
        <a:bodyPr/>
        <a:lstStyle/>
        <a:p>
          <a:r>
            <a:rPr lang="en-AU" sz="700" dirty="0"/>
            <a:t>(d) work during emergency circumstances or during a temporary absence of another employee</a:t>
          </a:r>
        </a:p>
      </dgm:t>
    </dgm:pt>
    <dgm:pt modelId="{5A9B0548-5938-4043-937E-122EC597A8C1}" type="parTrans" cxnId="{6FC07EE0-3713-46B1-B394-6968B700767F}">
      <dgm:prSet/>
      <dgm:spPr/>
      <dgm:t>
        <a:bodyPr/>
        <a:lstStyle/>
        <a:p>
          <a:endParaRPr lang="en-AU"/>
        </a:p>
      </dgm:t>
    </dgm:pt>
    <dgm:pt modelId="{07B45BD6-7399-48EE-9657-50DB198854C4}" type="sibTrans" cxnId="{6FC07EE0-3713-46B1-B394-6968B700767F}">
      <dgm:prSet/>
      <dgm:spPr/>
      <dgm:t>
        <a:bodyPr/>
        <a:lstStyle/>
        <a:p>
          <a:endParaRPr lang="en-AU"/>
        </a:p>
      </dgm:t>
    </dgm:pt>
    <dgm:pt modelId="{AEDC6D94-74BE-44F5-AC09-A2A37354DD5B}">
      <dgm:prSet custT="1"/>
      <dgm:spPr/>
      <dgm:t>
        <a:bodyPr/>
        <a:lstStyle/>
        <a:p>
          <a:r>
            <a:rPr lang="en-AU" sz="700" dirty="0"/>
            <a:t>(e) earnings above the high income threshold</a:t>
          </a:r>
        </a:p>
      </dgm:t>
    </dgm:pt>
    <dgm:pt modelId="{6B1813E5-D67A-4448-80FD-8221AA22C18F}" type="parTrans" cxnId="{33FEE444-19A5-402A-907E-E4F5F99482A5}">
      <dgm:prSet/>
      <dgm:spPr/>
      <dgm:t>
        <a:bodyPr/>
        <a:lstStyle/>
        <a:p>
          <a:endParaRPr lang="en-AU"/>
        </a:p>
      </dgm:t>
    </dgm:pt>
    <dgm:pt modelId="{91A828DF-75B3-4B4B-A84E-7552FEB9AA29}" type="sibTrans" cxnId="{33FEE444-19A5-402A-907E-E4F5F99482A5}">
      <dgm:prSet/>
      <dgm:spPr/>
      <dgm:t>
        <a:bodyPr/>
        <a:lstStyle/>
        <a:p>
          <a:endParaRPr lang="en-AU"/>
        </a:p>
      </dgm:t>
    </dgm:pt>
    <dgm:pt modelId="{4C6AEDA8-6E01-4D78-9EDB-8B740B527D4C}">
      <dgm:prSet custT="1"/>
      <dgm:spPr/>
      <dgm:t>
        <a:bodyPr/>
        <a:lstStyle/>
        <a:p>
          <a:r>
            <a:rPr lang="en-AU" sz="700" dirty="0"/>
            <a:t>(f) government funded position, the funding is for more than 2 years, and there no reasonable prospects that funding will be renewed</a:t>
          </a:r>
        </a:p>
      </dgm:t>
    </dgm:pt>
    <dgm:pt modelId="{04B6D3C8-5635-4213-BA06-3AA22BD9C920}" type="parTrans" cxnId="{763D6436-5CC8-4C21-93A9-D0A606038C34}">
      <dgm:prSet/>
      <dgm:spPr/>
      <dgm:t>
        <a:bodyPr/>
        <a:lstStyle/>
        <a:p>
          <a:endParaRPr lang="en-AU"/>
        </a:p>
      </dgm:t>
    </dgm:pt>
    <dgm:pt modelId="{7C412911-106C-4720-AA06-695733372106}" type="sibTrans" cxnId="{763D6436-5CC8-4C21-93A9-D0A606038C34}">
      <dgm:prSet/>
      <dgm:spPr/>
      <dgm:t>
        <a:bodyPr/>
        <a:lstStyle/>
        <a:p>
          <a:endParaRPr lang="en-AU"/>
        </a:p>
      </dgm:t>
    </dgm:pt>
    <dgm:pt modelId="{D8B228BD-6293-4922-A690-497889A1ED0A}">
      <dgm:prSet custT="1"/>
      <dgm:spPr/>
      <dgm:t>
        <a:bodyPr/>
        <a:lstStyle/>
        <a:p>
          <a:r>
            <a:rPr lang="en-AU" sz="700" dirty="0"/>
            <a:t>(g) governance position with a time limit under the governing rules of a corporation or association</a:t>
          </a:r>
        </a:p>
      </dgm:t>
    </dgm:pt>
    <dgm:pt modelId="{D1A58FB1-3113-4D57-B07E-9D2692B354AD}" type="parTrans" cxnId="{DEAF209A-1EEC-4051-96A0-623D53BF1FBA}">
      <dgm:prSet/>
      <dgm:spPr/>
      <dgm:t>
        <a:bodyPr/>
        <a:lstStyle/>
        <a:p>
          <a:endParaRPr lang="en-AU"/>
        </a:p>
      </dgm:t>
    </dgm:pt>
    <dgm:pt modelId="{743CDE70-6045-452B-915D-8B07B901032D}" type="sibTrans" cxnId="{DEAF209A-1EEC-4051-96A0-623D53BF1FBA}">
      <dgm:prSet/>
      <dgm:spPr/>
      <dgm:t>
        <a:bodyPr/>
        <a:lstStyle/>
        <a:p>
          <a:endParaRPr lang="en-AU"/>
        </a:p>
      </dgm:t>
    </dgm:pt>
    <dgm:pt modelId="{94BA5859-1CD8-474D-880B-161DA701F532}">
      <dgm:prSet phldrT="[Text]" custT="1"/>
      <dgm:spPr/>
      <dgm:t>
        <a:bodyPr/>
        <a:lstStyle/>
        <a:p>
          <a:r>
            <a:rPr lang="en-AU" sz="700" dirty="0"/>
            <a:t>Contracts for longer than 2 years (s 333F(1)(h) re s 333E(2))</a:t>
          </a:r>
        </a:p>
      </dgm:t>
    </dgm:pt>
    <dgm:pt modelId="{E3DFED3B-141E-4458-B31C-E7DED10A3E43}" type="parTrans" cxnId="{E2D007E6-8A22-4B14-B519-C6D51667B4D1}">
      <dgm:prSet/>
      <dgm:spPr/>
      <dgm:t>
        <a:bodyPr/>
        <a:lstStyle/>
        <a:p>
          <a:endParaRPr lang="en-AU"/>
        </a:p>
      </dgm:t>
    </dgm:pt>
    <dgm:pt modelId="{CE401712-FAA8-4D24-A353-3FDA9A7D9DC1}" type="sibTrans" cxnId="{E2D007E6-8A22-4B14-B519-C6D51667B4D1}">
      <dgm:prSet/>
      <dgm:spPr/>
      <dgm:t>
        <a:bodyPr/>
        <a:lstStyle/>
        <a:p>
          <a:endParaRPr lang="en-AU"/>
        </a:p>
      </dgm:t>
    </dgm:pt>
    <dgm:pt modelId="{FCE2801F-4DD7-4452-80A1-07C5803D599C}">
      <dgm:prSet phldrT="[Text]" custT="1"/>
      <dgm:spPr/>
      <dgm:t>
        <a:bodyPr/>
        <a:lstStyle/>
        <a:p>
          <a:r>
            <a:rPr lang="en-AU" sz="700" dirty="0"/>
            <a:t>Renewable contracts for more than 2 years or 2 renewals or extensions (s 333F(1)(h) re s 333F(3))</a:t>
          </a:r>
        </a:p>
      </dgm:t>
    </dgm:pt>
    <dgm:pt modelId="{7E258277-F023-4110-A464-2F71548E0E07}" type="parTrans" cxnId="{4FFF711B-CFFF-41C6-9070-778C4A3F5E5D}">
      <dgm:prSet/>
      <dgm:spPr/>
      <dgm:t>
        <a:bodyPr/>
        <a:lstStyle/>
        <a:p>
          <a:endParaRPr lang="en-AU"/>
        </a:p>
      </dgm:t>
    </dgm:pt>
    <dgm:pt modelId="{8729B7B9-78AE-4DCE-92A7-CD07C92B241C}" type="sibTrans" cxnId="{4FFF711B-CFFF-41C6-9070-778C4A3F5E5D}">
      <dgm:prSet/>
      <dgm:spPr/>
      <dgm:t>
        <a:bodyPr/>
        <a:lstStyle/>
        <a:p>
          <a:endParaRPr lang="en-AU"/>
        </a:p>
      </dgm:t>
    </dgm:pt>
    <dgm:pt modelId="{7D0C8F70-A86E-4D7C-8055-ACFC0A0B36C5}">
      <dgm:prSet phldrT="[Text]" custT="1"/>
      <dgm:spPr/>
      <dgm:t>
        <a:bodyPr/>
        <a:lstStyle/>
        <a:p>
          <a:r>
            <a:rPr lang="en-AU" sz="700" dirty="0"/>
            <a:t>Consecutive contracts (s 333F(1)(h) re s 333F(4))</a:t>
          </a:r>
        </a:p>
      </dgm:t>
    </dgm:pt>
    <dgm:pt modelId="{B76E0CC5-5656-46D9-BDDB-87F3EE821DF0}" type="parTrans" cxnId="{F06CC647-2B36-4F9F-846B-F7C632709104}">
      <dgm:prSet/>
      <dgm:spPr/>
      <dgm:t>
        <a:bodyPr/>
        <a:lstStyle/>
        <a:p>
          <a:endParaRPr lang="en-AU"/>
        </a:p>
      </dgm:t>
    </dgm:pt>
    <dgm:pt modelId="{1947C8AE-A11B-4A55-BE50-83416407CD54}" type="sibTrans" cxnId="{F06CC647-2B36-4F9F-846B-F7C632709104}">
      <dgm:prSet/>
      <dgm:spPr/>
      <dgm:t>
        <a:bodyPr/>
        <a:lstStyle/>
        <a:p>
          <a:endParaRPr lang="en-AU"/>
        </a:p>
      </dgm:t>
    </dgm:pt>
    <dgm:pt modelId="{8949C30B-BB7B-45D2-8B4F-E74578C1818A}">
      <dgm:prSet phldrT="[Text]" custT="1"/>
      <dgm:spPr>
        <a:solidFill>
          <a:schemeClr val="tx2">
            <a:lumMod val="10000"/>
            <a:lumOff val="90000"/>
            <a:alpha val="90000"/>
          </a:schemeClr>
        </a:solidFill>
      </dgm:spPr>
      <dgm:t>
        <a:bodyPr/>
        <a:lstStyle/>
        <a:p>
          <a:r>
            <a:rPr lang="en-AU" sz="700" dirty="0"/>
            <a:t>Fixed-term contracts of more than 2 years or 2 renewals (whichever is shorter).</a:t>
          </a:r>
        </a:p>
      </dgm:t>
    </dgm:pt>
    <dgm:pt modelId="{A7ACB005-78F9-426D-8A93-617228085908}" type="parTrans" cxnId="{C30AF8C5-672D-405D-BC25-72215129B5BB}">
      <dgm:prSet/>
      <dgm:spPr/>
      <dgm:t>
        <a:bodyPr/>
        <a:lstStyle/>
        <a:p>
          <a:endParaRPr lang="en-AU"/>
        </a:p>
      </dgm:t>
    </dgm:pt>
    <dgm:pt modelId="{B5A2B7B1-7A15-4E9C-AF79-1D8C8DBFA949}" type="sibTrans" cxnId="{C30AF8C5-672D-405D-BC25-72215129B5BB}">
      <dgm:prSet/>
      <dgm:spPr/>
      <dgm:t>
        <a:bodyPr/>
        <a:lstStyle/>
        <a:p>
          <a:endParaRPr lang="en-AU"/>
        </a:p>
      </dgm:t>
    </dgm:pt>
    <dgm:pt modelId="{E84ECF91-7350-4AD6-AE5E-33CD4436E9E6}">
      <dgm:prSet phldrT="[Text]" custT="1"/>
      <dgm:spPr/>
      <dgm:t>
        <a:bodyPr/>
        <a:lstStyle/>
        <a:p>
          <a:r>
            <a:rPr lang="en-AU" sz="700" dirty="0"/>
            <a:t>For example, see the Live Performance Award.</a:t>
          </a:r>
          <a:endParaRPr lang="en-AU" sz="700" dirty="0">
            <a:highlight>
              <a:srgbClr val="FFFF00"/>
            </a:highlight>
          </a:endParaRPr>
        </a:p>
      </dgm:t>
    </dgm:pt>
    <dgm:pt modelId="{1E620930-1459-418A-8604-EC2DA89A7B8E}" type="parTrans" cxnId="{422B44D9-5FB9-45BE-BCC1-36D638482391}">
      <dgm:prSet/>
      <dgm:spPr/>
      <dgm:t>
        <a:bodyPr/>
        <a:lstStyle/>
        <a:p>
          <a:endParaRPr lang="en-AU"/>
        </a:p>
      </dgm:t>
    </dgm:pt>
    <dgm:pt modelId="{71E17639-66D5-4F3D-8AD4-7AB81F9125F6}" type="sibTrans" cxnId="{422B44D9-5FB9-45BE-BCC1-36D638482391}">
      <dgm:prSet/>
      <dgm:spPr/>
      <dgm:t>
        <a:bodyPr/>
        <a:lstStyle/>
        <a:p>
          <a:endParaRPr lang="en-AU"/>
        </a:p>
      </dgm:t>
    </dgm:pt>
    <dgm:pt modelId="{9566BF31-167C-4B98-BD79-03E4A4A843BF}">
      <dgm:prSet phldrT="[Text]" custT="1"/>
      <dgm:spPr/>
      <dgm:t>
        <a:bodyPr/>
        <a:lstStyle/>
        <a:p>
          <a:r>
            <a:rPr lang="en-AU" sz="700" i="0" dirty="0"/>
            <a:t>Organised sport</a:t>
          </a:r>
        </a:p>
      </dgm:t>
    </dgm:pt>
    <dgm:pt modelId="{EC37A648-A61B-4B1A-B278-7494664BF8FA}" type="parTrans" cxnId="{5C27350D-E587-47F5-B058-419E7AF56604}">
      <dgm:prSet/>
      <dgm:spPr/>
      <dgm:t>
        <a:bodyPr/>
        <a:lstStyle/>
        <a:p>
          <a:endParaRPr lang="en-AU"/>
        </a:p>
      </dgm:t>
    </dgm:pt>
    <dgm:pt modelId="{950B5238-8B61-4F7F-90CE-5C08937A34C8}" type="sibTrans" cxnId="{5C27350D-E587-47F5-B058-419E7AF56604}">
      <dgm:prSet/>
      <dgm:spPr/>
      <dgm:t>
        <a:bodyPr/>
        <a:lstStyle/>
        <a:p>
          <a:endParaRPr lang="en-AU"/>
        </a:p>
      </dgm:t>
    </dgm:pt>
    <dgm:pt modelId="{977722DF-E405-4DAF-B4F9-71EC78890A69}">
      <dgm:prSet phldrT="[Text]" custT="1"/>
      <dgm:spPr/>
      <dgm:t>
        <a:bodyPr/>
        <a:lstStyle/>
        <a:p>
          <a:r>
            <a:rPr lang="en-AU" sz="700" b="0" i="0" dirty="0"/>
            <a:t>High performance sport—international event organising bodies</a:t>
          </a:r>
          <a:endParaRPr lang="en-AU" sz="700" i="0" dirty="0"/>
        </a:p>
      </dgm:t>
    </dgm:pt>
    <dgm:pt modelId="{78C82A9A-2CDD-4054-98E5-6C7D496D9DE5}" type="parTrans" cxnId="{C3742322-AEF7-4C2F-BA9F-9FBF98C4A793}">
      <dgm:prSet/>
      <dgm:spPr/>
      <dgm:t>
        <a:bodyPr/>
        <a:lstStyle/>
        <a:p>
          <a:endParaRPr lang="en-AU"/>
        </a:p>
      </dgm:t>
    </dgm:pt>
    <dgm:pt modelId="{B8688AAB-3E5A-4A18-8E88-1ADA020267A8}" type="sibTrans" cxnId="{C3742322-AEF7-4C2F-BA9F-9FBF98C4A793}">
      <dgm:prSet/>
      <dgm:spPr/>
      <dgm:t>
        <a:bodyPr/>
        <a:lstStyle/>
        <a:p>
          <a:endParaRPr lang="en-AU"/>
        </a:p>
      </dgm:t>
    </dgm:pt>
    <dgm:pt modelId="{5976C60E-5CE3-4092-9D07-CB8B71F2D006}">
      <dgm:prSet phldrT="[Text]" custT="1"/>
      <dgm:spPr/>
      <dgm:t>
        <a:bodyPr/>
        <a:lstStyle/>
        <a:p>
          <a:r>
            <a:rPr lang="en-AU" sz="700" b="0" i="0" dirty="0"/>
            <a:t>Higher education employees</a:t>
          </a:r>
          <a:endParaRPr lang="en-AU" sz="700" i="0" dirty="0"/>
        </a:p>
      </dgm:t>
    </dgm:pt>
    <dgm:pt modelId="{58B4763C-B286-46EE-B4FC-5DB0D9D106DF}" type="parTrans" cxnId="{C830B03F-52CA-41ED-BC15-7E49F7786657}">
      <dgm:prSet/>
      <dgm:spPr/>
      <dgm:t>
        <a:bodyPr/>
        <a:lstStyle/>
        <a:p>
          <a:endParaRPr lang="en-AU"/>
        </a:p>
      </dgm:t>
    </dgm:pt>
    <dgm:pt modelId="{9804E0B8-C787-46F6-BE8A-2464443B4258}" type="sibTrans" cxnId="{C830B03F-52CA-41ED-BC15-7E49F7786657}">
      <dgm:prSet/>
      <dgm:spPr/>
      <dgm:t>
        <a:bodyPr/>
        <a:lstStyle/>
        <a:p>
          <a:endParaRPr lang="en-AU"/>
        </a:p>
      </dgm:t>
    </dgm:pt>
    <dgm:pt modelId="{D921CAEC-6F4B-48F3-90D2-289F7801A160}">
      <dgm:prSet phldrT="[Text]" custT="1"/>
      <dgm:spPr/>
      <dgm:t>
        <a:bodyPr/>
        <a:lstStyle/>
        <a:p>
          <a:r>
            <a:rPr lang="en-AU" sz="700" b="0" i="0" dirty="0"/>
            <a:t>Charity and not‑for‑profit sector employees</a:t>
          </a:r>
          <a:endParaRPr lang="en-AU" sz="700" i="0" dirty="0"/>
        </a:p>
      </dgm:t>
    </dgm:pt>
    <dgm:pt modelId="{5E5ACB6B-F0E6-43DB-A280-D22009197A0A}" type="parTrans" cxnId="{03F3383A-A438-495D-B2B5-3D725074D5BC}">
      <dgm:prSet/>
      <dgm:spPr/>
      <dgm:t>
        <a:bodyPr/>
        <a:lstStyle/>
        <a:p>
          <a:endParaRPr lang="en-AU"/>
        </a:p>
      </dgm:t>
    </dgm:pt>
    <dgm:pt modelId="{5FEAE00D-BD65-439A-8FA2-62C8687B73D1}" type="sibTrans" cxnId="{03F3383A-A438-495D-B2B5-3D725074D5BC}">
      <dgm:prSet/>
      <dgm:spPr/>
      <dgm:t>
        <a:bodyPr/>
        <a:lstStyle/>
        <a:p>
          <a:endParaRPr lang="en-AU"/>
        </a:p>
      </dgm:t>
    </dgm:pt>
    <dgm:pt modelId="{CC4D88B2-72C9-4782-BA09-87C7F7639BE1}">
      <dgm:prSet phldrT="[Text]" custT="1"/>
      <dgm:spPr/>
      <dgm:t>
        <a:bodyPr/>
        <a:lstStyle/>
        <a:p>
          <a:r>
            <a:rPr lang="en-AU" sz="700" b="0" i="0" dirty="0"/>
            <a:t>Medical or health research sector employees</a:t>
          </a:r>
          <a:endParaRPr lang="en-AU" sz="700" i="0" dirty="0"/>
        </a:p>
      </dgm:t>
    </dgm:pt>
    <dgm:pt modelId="{11051F02-1982-4BF8-8AEA-4119C3FE172D}" type="parTrans" cxnId="{90564057-40D4-4559-B09B-5718C30AA8F2}">
      <dgm:prSet/>
      <dgm:spPr/>
      <dgm:t>
        <a:bodyPr/>
        <a:lstStyle/>
        <a:p>
          <a:endParaRPr lang="en-AU"/>
        </a:p>
      </dgm:t>
    </dgm:pt>
    <dgm:pt modelId="{88B04949-EE15-404D-86D8-F41111F4F4E3}" type="sibTrans" cxnId="{90564057-40D4-4559-B09B-5718C30AA8F2}">
      <dgm:prSet/>
      <dgm:spPr/>
      <dgm:t>
        <a:bodyPr/>
        <a:lstStyle/>
        <a:p>
          <a:endParaRPr lang="en-AU"/>
        </a:p>
      </dgm:t>
    </dgm:pt>
    <dgm:pt modelId="{08B4F86C-228A-4F75-AF7A-B3658BBC9545}">
      <dgm:prSet phldrT="[Text]" custT="1"/>
      <dgm:spPr/>
      <dgm:t>
        <a:bodyPr/>
        <a:lstStyle/>
        <a:p>
          <a:r>
            <a:rPr lang="en-AU" sz="700" b="0" i="0" dirty="0"/>
            <a:t>Public hospital employees</a:t>
          </a:r>
          <a:endParaRPr lang="en-AU" sz="700" i="0" dirty="0"/>
        </a:p>
      </dgm:t>
    </dgm:pt>
    <dgm:pt modelId="{0759B422-B839-4B58-803C-010BCB705271}" type="parTrans" cxnId="{64B9DA0C-08C2-4204-B782-12D79D6A1A61}">
      <dgm:prSet/>
      <dgm:spPr/>
      <dgm:t>
        <a:bodyPr/>
        <a:lstStyle/>
        <a:p>
          <a:endParaRPr lang="en-AU"/>
        </a:p>
      </dgm:t>
    </dgm:pt>
    <dgm:pt modelId="{A1407911-E7EE-45B2-AAAB-E686ECE93CC5}" type="sibTrans" cxnId="{64B9DA0C-08C2-4204-B782-12D79D6A1A61}">
      <dgm:prSet/>
      <dgm:spPr/>
      <dgm:t>
        <a:bodyPr/>
        <a:lstStyle/>
        <a:p>
          <a:endParaRPr lang="en-AU"/>
        </a:p>
      </dgm:t>
    </dgm:pt>
    <dgm:pt modelId="{E3E857E9-383E-4F2B-B7B3-241D723A8940}" type="pres">
      <dgm:prSet presAssocID="{FD123910-0D12-48C5-B8A0-5C274BA90CD4}" presName="linearFlow" presStyleCnt="0">
        <dgm:presLayoutVars>
          <dgm:dir/>
          <dgm:animLvl val="lvl"/>
          <dgm:resizeHandles val="exact"/>
        </dgm:presLayoutVars>
      </dgm:prSet>
      <dgm:spPr/>
    </dgm:pt>
    <dgm:pt modelId="{3F887E3D-E6B5-4612-8979-F7CFBABA6D8D}" type="pres">
      <dgm:prSet presAssocID="{AB1EA7E8-47C7-4571-8553-DBDAFF63E65E}" presName="composite" presStyleCnt="0"/>
      <dgm:spPr/>
    </dgm:pt>
    <dgm:pt modelId="{7666C040-3052-4876-9EC0-45C8379C1D8E}" type="pres">
      <dgm:prSet presAssocID="{AB1EA7E8-47C7-4571-8553-DBDAFF63E65E}" presName="parentText" presStyleLbl="alignNode1" presStyleIdx="0" presStyleCnt="4">
        <dgm:presLayoutVars>
          <dgm:chMax val="1"/>
          <dgm:bulletEnabled val="1"/>
        </dgm:presLayoutVars>
      </dgm:prSet>
      <dgm:spPr/>
    </dgm:pt>
    <dgm:pt modelId="{1ABA9552-C381-431D-9371-8880681E0604}" type="pres">
      <dgm:prSet presAssocID="{AB1EA7E8-47C7-4571-8553-DBDAFF63E65E}" presName="descendantText" presStyleLbl="alignAcc1" presStyleIdx="0" presStyleCnt="4">
        <dgm:presLayoutVars>
          <dgm:bulletEnabled val="1"/>
        </dgm:presLayoutVars>
      </dgm:prSet>
      <dgm:spPr/>
    </dgm:pt>
    <dgm:pt modelId="{087B63AA-7072-4E68-9306-A8812CEB44CA}" type="pres">
      <dgm:prSet presAssocID="{C615E117-90C8-4AAE-902D-BCBC249909D9}" presName="sp" presStyleCnt="0"/>
      <dgm:spPr/>
    </dgm:pt>
    <dgm:pt modelId="{4FFE99B1-A1F8-4F99-BAA0-4F40425A2B2A}" type="pres">
      <dgm:prSet presAssocID="{C301F6D5-91DE-49CA-8A07-C35283CC90D3}" presName="composite" presStyleCnt="0"/>
      <dgm:spPr/>
    </dgm:pt>
    <dgm:pt modelId="{DE8B131D-6234-4A40-BC97-B3A1C2218DAE}" type="pres">
      <dgm:prSet presAssocID="{C301F6D5-91DE-49CA-8A07-C35283CC90D3}" presName="parentText" presStyleLbl="alignNode1" presStyleIdx="1" presStyleCnt="4">
        <dgm:presLayoutVars>
          <dgm:chMax val="1"/>
          <dgm:bulletEnabled val="1"/>
        </dgm:presLayoutVars>
      </dgm:prSet>
      <dgm:spPr/>
    </dgm:pt>
    <dgm:pt modelId="{800FA22B-D528-42E7-94FA-3926030B2F14}" type="pres">
      <dgm:prSet presAssocID="{C301F6D5-91DE-49CA-8A07-C35283CC90D3}" presName="descendantText" presStyleLbl="alignAcc1" presStyleIdx="1" presStyleCnt="4">
        <dgm:presLayoutVars>
          <dgm:bulletEnabled val="1"/>
        </dgm:presLayoutVars>
      </dgm:prSet>
      <dgm:spPr/>
    </dgm:pt>
    <dgm:pt modelId="{75C08EDA-4CBC-4D4E-B251-D6AC08883843}" type="pres">
      <dgm:prSet presAssocID="{AFAAAA16-4D7E-48DA-8630-D4F1FD69EC19}" presName="sp" presStyleCnt="0"/>
      <dgm:spPr/>
    </dgm:pt>
    <dgm:pt modelId="{7A7D56D8-4472-4941-8AD4-9B0528ECFE7A}" type="pres">
      <dgm:prSet presAssocID="{61C94E6B-88E8-4A9D-85E2-1CC6C3BC456F}" presName="composite" presStyleCnt="0"/>
      <dgm:spPr/>
    </dgm:pt>
    <dgm:pt modelId="{77B0E442-C8F0-4811-B600-7C710D7A7BBB}" type="pres">
      <dgm:prSet presAssocID="{61C94E6B-88E8-4A9D-85E2-1CC6C3BC456F}" presName="parentText" presStyleLbl="alignNode1" presStyleIdx="2" presStyleCnt="4">
        <dgm:presLayoutVars>
          <dgm:chMax val="1"/>
          <dgm:bulletEnabled val="1"/>
        </dgm:presLayoutVars>
      </dgm:prSet>
      <dgm:spPr/>
    </dgm:pt>
    <dgm:pt modelId="{F22A245F-27DB-4802-95E9-863545AAC9DF}" type="pres">
      <dgm:prSet presAssocID="{61C94E6B-88E8-4A9D-85E2-1CC6C3BC456F}" presName="descendantText" presStyleLbl="alignAcc1" presStyleIdx="2" presStyleCnt="4">
        <dgm:presLayoutVars>
          <dgm:bulletEnabled val="1"/>
        </dgm:presLayoutVars>
      </dgm:prSet>
      <dgm:spPr/>
    </dgm:pt>
    <dgm:pt modelId="{EB1CA264-F585-4DD5-A9F2-1745FDE078E4}" type="pres">
      <dgm:prSet presAssocID="{79C39907-D554-483D-BF0D-05E4E02B6D5A}" presName="sp" presStyleCnt="0"/>
      <dgm:spPr/>
    </dgm:pt>
    <dgm:pt modelId="{45E30AB7-3E89-4C02-81BE-2203CAC938BF}" type="pres">
      <dgm:prSet presAssocID="{043A01E9-578B-4F86-B798-F6C808D10D97}" presName="composite" presStyleCnt="0"/>
      <dgm:spPr/>
    </dgm:pt>
    <dgm:pt modelId="{A68D8D3C-BC5B-4465-ACC7-29758E47E3C1}" type="pres">
      <dgm:prSet presAssocID="{043A01E9-578B-4F86-B798-F6C808D10D97}" presName="parentText" presStyleLbl="alignNode1" presStyleIdx="3" presStyleCnt="4">
        <dgm:presLayoutVars>
          <dgm:chMax val="1"/>
          <dgm:bulletEnabled val="1"/>
        </dgm:presLayoutVars>
      </dgm:prSet>
      <dgm:spPr/>
    </dgm:pt>
    <dgm:pt modelId="{4B906431-82C6-4518-ACD5-B05258BCEB32}" type="pres">
      <dgm:prSet presAssocID="{043A01E9-578B-4F86-B798-F6C808D10D97}" presName="descendantText" presStyleLbl="alignAcc1" presStyleIdx="3" presStyleCnt="4">
        <dgm:presLayoutVars>
          <dgm:bulletEnabled val="1"/>
        </dgm:presLayoutVars>
      </dgm:prSet>
      <dgm:spPr/>
    </dgm:pt>
  </dgm:ptLst>
  <dgm:cxnLst>
    <dgm:cxn modelId="{64B9DA0C-08C2-4204-B782-12D79D6A1A61}" srcId="{28D2EB98-6525-469B-94A0-AEB429DEAB08}" destId="{08B4F86C-228A-4F75-AF7A-B3658BBC9545}" srcOrd="5" destOrd="0" parTransId="{0759B422-B839-4B58-803C-010BCB705271}" sibTransId="{A1407911-E7EE-45B2-AAAB-E686ECE93CC5}"/>
    <dgm:cxn modelId="{5C27350D-E587-47F5-B058-419E7AF56604}" srcId="{28D2EB98-6525-469B-94A0-AEB429DEAB08}" destId="{9566BF31-167C-4B98-BD79-03E4A4A843BF}" srcOrd="0" destOrd="0" parTransId="{EC37A648-A61B-4B1A-B278-7494664BF8FA}" sibTransId="{950B5238-8B61-4F7F-90CE-5C08937A34C8}"/>
    <dgm:cxn modelId="{B86D1217-8095-4A65-9410-05B558DE9215}" type="presOf" srcId="{28D2EB98-6525-469B-94A0-AEB429DEAB08}" destId="{4B906431-82C6-4518-ACD5-B05258BCEB32}" srcOrd="0" destOrd="0" presId="urn:microsoft.com/office/officeart/2005/8/layout/chevron2"/>
    <dgm:cxn modelId="{99315019-F0F3-4EE5-AB79-5475A052E88B}" srcId="{C301F6D5-91DE-49CA-8A07-C35283CC90D3}" destId="{9B4FF09F-6B51-4BF0-99D4-B7A8416DABCC}" srcOrd="2" destOrd="0" parTransId="{C858AF63-0036-4086-89BC-F74BBF0578AE}" sibTransId="{822ED800-A941-4682-BD12-91B88F4FDA79}"/>
    <dgm:cxn modelId="{4A33CA1A-9314-434D-BBF8-DCC42C7E9C5B}" srcId="{FD123910-0D12-48C5-B8A0-5C274BA90CD4}" destId="{C301F6D5-91DE-49CA-8A07-C35283CC90D3}" srcOrd="1" destOrd="0" parTransId="{55AC1A2D-97F9-40B9-8BA1-B9B89BFFF22F}" sibTransId="{AFAAAA16-4D7E-48DA-8630-D4F1FD69EC19}"/>
    <dgm:cxn modelId="{4FFF711B-CFFF-41C6-9070-778C4A3F5E5D}" srcId="{D0D95A2A-021A-4BBA-B847-101620502744}" destId="{FCE2801F-4DD7-4452-80A1-07C5803D599C}" srcOrd="1" destOrd="0" parTransId="{7E258277-F023-4110-A464-2F71548E0E07}" sibTransId="{8729B7B9-78AE-4DCE-92A7-CD07C92B241C}"/>
    <dgm:cxn modelId="{C3742322-AEF7-4C2F-BA9F-9FBF98C4A793}" srcId="{28D2EB98-6525-469B-94A0-AEB429DEAB08}" destId="{977722DF-E405-4DAF-B4F9-71EC78890A69}" srcOrd="1" destOrd="0" parTransId="{78C82A9A-2CDD-4054-98E5-6C7D496D9DE5}" sibTransId="{B8688AAB-3E5A-4A18-8E88-1ADA020267A8}"/>
    <dgm:cxn modelId="{FA9B2C24-DF75-4A87-9C96-4A8B8A0CDB75}" type="presOf" srcId="{D921CAEC-6F4B-48F3-90D2-289F7801A160}" destId="{4B906431-82C6-4518-ACD5-B05258BCEB32}" srcOrd="0" destOrd="4" presId="urn:microsoft.com/office/officeart/2005/8/layout/chevron2"/>
    <dgm:cxn modelId="{B72B6428-00DE-46AA-A192-6822995BE837}" type="presOf" srcId="{AEDC6D94-74BE-44F5-AC09-A2A37354DD5B}" destId="{800FA22B-D528-42E7-94FA-3926030B2F14}" srcOrd="0" destOrd="4" presId="urn:microsoft.com/office/officeart/2005/8/layout/chevron2"/>
    <dgm:cxn modelId="{1545722B-F864-4C97-90DE-D0086E152791}" type="presOf" srcId="{4C6AEDA8-6E01-4D78-9EDB-8B740B527D4C}" destId="{800FA22B-D528-42E7-94FA-3926030B2F14}" srcOrd="0" destOrd="5" presId="urn:microsoft.com/office/officeart/2005/8/layout/chevron2"/>
    <dgm:cxn modelId="{763D6436-5CC8-4C21-93A9-D0A606038C34}" srcId="{C301F6D5-91DE-49CA-8A07-C35283CC90D3}" destId="{4C6AEDA8-6E01-4D78-9EDB-8B740B527D4C}" srcOrd="5" destOrd="0" parTransId="{04B6D3C8-5635-4213-BA06-3AA22BD9C920}" sibTransId="{7C412911-106C-4720-AA06-695733372106}"/>
    <dgm:cxn modelId="{03F3383A-A438-495D-B2B5-3D725074D5BC}" srcId="{28D2EB98-6525-469B-94A0-AEB429DEAB08}" destId="{D921CAEC-6F4B-48F3-90D2-289F7801A160}" srcOrd="3" destOrd="0" parTransId="{5E5ACB6B-F0E6-43DB-A280-D22009197A0A}" sibTransId="{5FEAE00D-BD65-439A-8FA2-62C8687B73D1}"/>
    <dgm:cxn modelId="{C830B03F-52CA-41ED-BC15-7E49F7786657}" srcId="{28D2EB98-6525-469B-94A0-AEB429DEAB08}" destId="{5976C60E-5CE3-4092-9D07-CB8B71F2D006}" srcOrd="2" destOrd="0" parTransId="{58B4763C-B286-46EE-B4FC-5DB0D9D106DF}" sibTransId="{9804E0B8-C787-46F6-BE8A-2464443B4258}"/>
    <dgm:cxn modelId="{0D877140-7671-4DEB-BE3C-BFEEC40FC2CA}" type="presOf" srcId="{7DCB9FF3-C646-4A6E-A019-529F5E92840B}" destId="{800FA22B-D528-42E7-94FA-3926030B2F14}" srcOrd="0" destOrd="0" presId="urn:microsoft.com/office/officeart/2005/8/layout/chevron2"/>
    <dgm:cxn modelId="{14BCA860-A535-420B-957F-129D92EA3C04}" type="presOf" srcId="{043A01E9-578B-4F86-B798-F6C808D10D97}" destId="{A68D8D3C-BC5B-4465-ACC7-29758E47E3C1}" srcOrd="0" destOrd="0" presId="urn:microsoft.com/office/officeart/2005/8/layout/chevron2"/>
    <dgm:cxn modelId="{33FEE444-19A5-402A-907E-E4F5F99482A5}" srcId="{C301F6D5-91DE-49CA-8A07-C35283CC90D3}" destId="{AEDC6D94-74BE-44F5-AC09-A2A37354DD5B}" srcOrd="4" destOrd="0" parTransId="{6B1813E5-D67A-4448-80FD-8221AA22C18F}" sibTransId="{91A828DF-75B3-4B4B-A84E-7552FEB9AA29}"/>
    <dgm:cxn modelId="{F06CC647-2B36-4F9F-846B-F7C632709104}" srcId="{D0D95A2A-021A-4BBA-B847-101620502744}" destId="{7D0C8F70-A86E-4D7C-8055-ACFC0A0B36C5}" srcOrd="2" destOrd="0" parTransId="{B76E0CC5-5656-46D9-BDDB-87F3EE821DF0}" sibTransId="{1947C8AE-A11B-4A55-BE50-83416407CD54}"/>
    <dgm:cxn modelId="{3010DD49-32AC-4E02-8A12-10DE1023B810}" type="presOf" srcId="{8949C30B-BB7B-45D2-8B4F-E74578C1818A}" destId="{1ABA9552-C381-431D-9371-8880681E0604}" srcOrd="0" destOrd="0" presId="urn:microsoft.com/office/officeart/2005/8/layout/chevron2"/>
    <dgm:cxn modelId="{F6939C4A-99E9-48C9-8DF9-D53C7D2576BA}" type="presOf" srcId="{977722DF-E405-4DAF-B4F9-71EC78890A69}" destId="{4B906431-82C6-4518-ACD5-B05258BCEB32}" srcOrd="0" destOrd="2" presId="urn:microsoft.com/office/officeart/2005/8/layout/chevron2"/>
    <dgm:cxn modelId="{0E957A6D-53F4-42F2-B87D-17FDA3C6548E}" type="presOf" srcId="{57C049AF-AE89-44DC-99DE-09549468EA41}" destId="{800FA22B-D528-42E7-94FA-3926030B2F14}" srcOrd="0" destOrd="3" presId="urn:microsoft.com/office/officeart/2005/8/layout/chevron2"/>
    <dgm:cxn modelId="{0AB21D52-7290-41DB-901D-680D5B091FB0}" type="presOf" srcId="{08B4F86C-228A-4F75-AF7A-B3658BBC9545}" destId="{4B906431-82C6-4518-ACD5-B05258BCEB32}" srcOrd="0" destOrd="6" presId="urn:microsoft.com/office/officeart/2005/8/layout/chevron2"/>
    <dgm:cxn modelId="{52365372-0847-470F-B743-B0D7404F0002}" type="presOf" srcId="{D8B228BD-6293-4922-A690-497889A1ED0A}" destId="{800FA22B-D528-42E7-94FA-3926030B2F14}" srcOrd="0" destOrd="6" presId="urn:microsoft.com/office/officeart/2005/8/layout/chevron2"/>
    <dgm:cxn modelId="{90564057-40D4-4559-B09B-5718C30AA8F2}" srcId="{28D2EB98-6525-469B-94A0-AEB429DEAB08}" destId="{CC4D88B2-72C9-4782-BA09-87C7F7639BE1}" srcOrd="4" destOrd="0" parTransId="{11051F02-1982-4BF8-8AEA-4119C3FE172D}" sibTransId="{88B04949-EE15-404D-86D8-F41111F4F4E3}"/>
    <dgm:cxn modelId="{81305459-6021-4795-A768-4D3BF0F8E84E}" type="presOf" srcId="{9566BF31-167C-4B98-BD79-03E4A4A843BF}" destId="{4B906431-82C6-4518-ACD5-B05258BCEB32}" srcOrd="0" destOrd="1" presId="urn:microsoft.com/office/officeart/2005/8/layout/chevron2"/>
    <dgm:cxn modelId="{0F47C97F-2982-4FC0-9958-E2CC3905D080}" srcId="{C301F6D5-91DE-49CA-8A07-C35283CC90D3}" destId="{C74E8E43-C0AC-457B-85E4-63FB5AF8C485}" srcOrd="1" destOrd="0" parTransId="{6B84EAEF-EF5E-4E32-87CB-6147D388FA54}" sibTransId="{5E454117-65D3-4890-9893-E87BFFD6A438}"/>
    <dgm:cxn modelId="{8140D980-2674-4DAD-84B3-46B838F44B19}" srcId="{FD123910-0D12-48C5-B8A0-5C274BA90CD4}" destId="{AB1EA7E8-47C7-4571-8553-DBDAFF63E65E}" srcOrd="0" destOrd="0" parTransId="{EDCA36BB-2B02-43C3-8214-5B584B96CA71}" sibTransId="{C615E117-90C8-4AAE-902D-BCBC249909D9}"/>
    <dgm:cxn modelId="{F3E6B98D-7AAA-4F9C-9BA1-A524D447ADD4}" type="presOf" srcId="{D0D95A2A-021A-4BBA-B847-101620502744}" destId="{F22A245F-27DB-4802-95E9-863545AAC9DF}" srcOrd="0" destOrd="0" presId="urn:microsoft.com/office/officeart/2005/8/layout/chevron2"/>
    <dgm:cxn modelId="{2F557191-62EB-41DD-A2FA-213102AC1A69}" srcId="{61C94E6B-88E8-4A9D-85E2-1CC6C3BC456F}" destId="{D0D95A2A-021A-4BBA-B847-101620502744}" srcOrd="0" destOrd="0" parTransId="{73D2EA6D-C1C1-4FC2-97B3-7ABB3A33CF87}" sibTransId="{002C18BB-8277-42F8-A612-FF6087307386}"/>
    <dgm:cxn modelId="{DEAF209A-1EEC-4051-96A0-623D53BF1FBA}" srcId="{C301F6D5-91DE-49CA-8A07-C35283CC90D3}" destId="{D8B228BD-6293-4922-A690-497889A1ED0A}" srcOrd="6" destOrd="0" parTransId="{D1A58FB1-3113-4D57-B07E-9D2692B354AD}" sibTransId="{743CDE70-6045-452B-915D-8B07B901032D}"/>
    <dgm:cxn modelId="{83190FA7-4BBF-484C-9BE9-CCDBF754B988}" type="presOf" srcId="{9B4FF09F-6B51-4BF0-99D4-B7A8416DABCC}" destId="{800FA22B-D528-42E7-94FA-3926030B2F14}" srcOrd="0" destOrd="2" presId="urn:microsoft.com/office/officeart/2005/8/layout/chevron2"/>
    <dgm:cxn modelId="{8B0AE9A7-B5AC-48C8-BDDE-6591AF3BB25B}" type="presOf" srcId="{E84ECF91-7350-4AD6-AE5E-33CD4436E9E6}" destId="{F22A245F-27DB-4802-95E9-863545AAC9DF}" srcOrd="0" destOrd="4" presId="urn:microsoft.com/office/officeart/2005/8/layout/chevron2"/>
    <dgm:cxn modelId="{A107F7B0-8640-490B-8931-BCB6C49445A0}" type="presOf" srcId="{FD123910-0D12-48C5-B8A0-5C274BA90CD4}" destId="{E3E857E9-383E-4F2B-B7B3-241D723A8940}" srcOrd="0" destOrd="0" presId="urn:microsoft.com/office/officeart/2005/8/layout/chevron2"/>
    <dgm:cxn modelId="{B513CEB2-0306-4D43-AF48-4A3FE82E1FA7}" type="presOf" srcId="{C74E8E43-C0AC-457B-85E4-63FB5AF8C485}" destId="{800FA22B-D528-42E7-94FA-3926030B2F14}" srcOrd="0" destOrd="1" presId="urn:microsoft.com/office/officeart/2005/8/layout/chevron2"/>
    <dgm:cxn modelId="{82CC84B7-DEF0-4B22-92FA-A2FDEE3853E8}" srcId="{FD123910-0D12-48C5-B8A0-5C274BA90CD4}" destId="{61C94E6B-88E8-4A9D-85E2-1CC6C3BC456F}" srcOrd="2" destOrd="0" parTransId="{6D7C084A-7BEE-470E-ADDB-8D198A564ECC}" sibTransId="{79C39907-D554-483D-BF0D-05E4E02B6D5A}"/>
    <dgm:cxn modelId="{756832BB-04CE-4E4D-BE63-E0417605D772}" type="presOf" srcId="{CC4D88B2-72C9-4782-BA09-87C7F7639BE1}" destId="{4B906431-82C6-4518-ACD5-B05258BCEB32}" srcOrd="0" destOrd="5" presId="urn:microsoft.com/office/officeart/2005/8/layout/chevron2"/>
    <dgm:cxn modelId="{BCCEE2DF-DBDD-42FA-8566-6704C7932F16}" type="presOf" srcId="{C301F6D5-91DE-49CA-8A07-C35283CC90D3}" destId="{DE8B131D-6234-4A40-BC97-B3A1C2218DAE}" srcOrd="0" destOrd="0" presId="urn:microsoft.com/office/officeart/2005/8/layout/chevron2"/>
    <dgm:cxn modelId="{6FC07EE0-3713-46B1-B394-6968B700767F}" srcId="{C301F6D5-91DE-49CA-8A07-C35283CC90D3}" destId="{57C049AF-AE89-44DC-99DE-09549468EA41}" srcOrd="3" destOrd="0" parTransId="{5A9B0548-5938-4043-937E-122EC597A8C1}" sibTransId="{07B45BD6-7399-48EE-9657-50DB198854C4}"/>
    <dgm:cxn modelId="{581F36C2-09FB-45B5-91FA-C57E92A134BF}" srcId="{FD123910-0D12-48C5-B8A0-5C274BA90CD4}" destId="{043A01E9-578B-4F86-B798-F6C808D10D97}" srcOrd="3" destOrd="0" parTransId="{D420A5D5-D95A-46AF-9257-771A2CAFE2D8}" sibTransId="{EB4417FE-4EB7-4859-BE3A-D61EFF509AA8}"/>
    <dgm:cxn modelId="{B8FE23C3-939C-4BBF-88F2-F73D593A21BA}" type="presOf" srcId="{AB1EA7E8-47C7-4571-8553-DBDAFF63E65E}" destId="{7666C040-3052-4876-9EC0-45C8379C1D8E}" srcOrd="0" destOrd="0" presId="urn:microsoft.com/office/officeart/2005/8/layout/chevron2"/>
    <dgm:cxn modelId="{C480D3C3-A595-4AE1-B2FA-DA0A23387848}" srcId="{C301F6D5-91DE-49CA-8A07-C35283CC90D3}" destId="{7DCB9FF3-C646-4A6E-A019-529F5E92840B}" srcOrd="0" destOrd="0" parTransId="{E92C68CC-7E63-447D-9AE6-AD4EF9EE82F0}" sibTransId="{1A96DF3B-0DE4-47CE-9066-16E1E5D1D677}"/>
    <dgm:cxn modelId="{C30AF8C5-672D-405D-BC25-72215129B5BB}" srcId="{AB1EA7E8-47C7-4571-8553-DBDAFF63E65E}" destId="{8949C30B-BB7B-45D2-8B4F-E74578C1818A}" srcOrd="0" destOrd="0" parTransId="{A7ACB005-78F9-426D-8A93-617228085908}" sibTransId="{B5A2B7B1-7A15-4E9C-AF79-1D8C8DBFA949}"/>
    <dgm:cxn modelId="{E2D007E6-8A22-4B14-B519-C6D51667B4D1}" srcId="{D0D95A2A-021A-4BBA-B847-101620502744}" destId="{94BA5859-1CD8-474D-880B-161DA701F532}" srcOrd="0" destOrd="0" parTransId="{E3DFED3B-141E-4458-B31C-E7DED10A3E43}" sibTransId="{CE401712-FAA8-4D24-A353-3FDA9A7D9DC1}"/>
    <dgm:cxn modelId="{843906E9-073A-4BA8-96BF-5CC773F577FF}" type="presOf" srcId="{61C94E6B-88E8-4A9D-85E2-1CC6C3BC456F}" destId="{77B0E442-C8F0-4811-B600-7C710D7A7BBB}" srcOrd="0" destOrd="0" presId="urn:microsoft.com/office/officeart/2005/8/layout/chevron2"/>
    <dgm:cxn modelId="{5E05EBD2-5821-41FB-A0EB-96C2ED519F42}" type="presOf" srcId="{7D0C8F70-A86E-4D7C-8055-ACFC0A0B36C5}" destId="{F22A245F-27DB-4802-95E9-863545AAC9DF}" srcOrd="0" destOrd="3" presId="urn:microsoft.com/office/officeart/2005/8/layout/chevron2"/>
    <dgm:cxn modelId="{DB14EBD3-778F-47BD-9E09-DA7E2D86C4DE}" srcId="{043A01E9-578B-4F86-B798-F6C808D10D97}" destId="{28D2EB98-6525-469B-94A0-AEB429DEAB08}" srcOrd="0" destOrd="0" parTransId="{EA3E5D4E-05E2-4E0F-A02E-206D44EEF106}" sibTransId="{E6799B49-58EF-40FE-9B39-CFDAEBFC422E}"/>
    <dgm:cxn modelId="{422B44D9-5FB9-45BE-BCC1-36D638482391}" srcId="{61C94E6B-88E8-4A9D-85E2-1CC6C3BC456F}" destId="{E84ECF91-7350-4AD6-AE5E-33CD4436E9E6}" srcOrd="1" destOrd="0" parTransId="{1E620930-1459-418A-8604-EC2DA89A7B8E}" sibTransId="{71E17639-66D5-4F3D-8AD4-7AB81F9125F6}"/>
    <dgm:cxn modelId="{93E7DCFA-264E-4354-AB4A-A5C81BA703BA}" type="presOf" srcId="{5976C60E-5CE3-4092-9D07-CB8B71F2D006}" destId="{4B906431-82C6-4518-ACD5-B05258BCEB32}" srcOrd="0" destOrd="3" presId="urn:microsoft.com/office/officeart/2005/8/layout/chevron2"/>
    <dgm:cxn modelId="{C37C19FC-B39D-4523-9163-AC2AEFDDB034}" type="presOf" srcId="{FCE2801F-4DD7-4452-80A1-07C5803D599C}" destId="{F22A245F-27DB-4802-95E9-863545AAC9DF}" srcOrd="0" destOrd="2" presId="urn:microsoft.com/office/officeart/2005/8/layout/chevron2"/>
    <dgm:cxn modelId="{10CFB9DD-06BD-4508-A4F4-0C4A055450B7}" type="presOf" srcId="{94BA5859-1CD8-474D-880B-161DA701F532}" destId="{F22A245F-27DB-4802-95E9-863545AAC9DF}" srcOrd="0" destOrd="1" presId="urn:microsoft.com/office/officeart/2005/8/layout/chevron2"/>
    <dgm:cxn modelId="{2125F9B3-6DE5-4CFF-B227-8B0AB3F871F4}" type="presParOf" srcId="{E3E857E9-383E-4F2B-B7B3-241D723A8940}" destId="{3F887E3D-E6B5-4612-8979-F7CFBABA6D8D}" srcOrd="0" destOrd="0" presId="urn:microsoft.com/office/officeart/2005/8/layout/chevron2"/>
    <dgm:cxn modelId="{1D307639-DAC9-400C-987D-272013DA4150}" type="presParOf" srcId="{3F887E3D-E6B5-4612-8979-F7CFBABA6D8D}" destId="{7666C040-3052-4876-9EC0-45C8379C1D8E}" srcOrd="0" destOrd="0" presId="urn:microsoft.com/office/officeart/2005/8/layout/chevron2"/>
    <dgm:cxn modelId="{E0C50D52-D867-4D12-A54B-3A3CFAEC3D12}" type="presParOf" srcId="{3F887E3D-E6B5-4612-8979-F7CFBABA6D8D}" destId="{1ABA9552-C381-431D-9371-8880681E0604}" srcOrd="1" destOrd="0" presId="urn:microsoft.com/office/officeart/2005/8/layout/chevron2"/>
    <dgm:cxn modelId="{48738188-67E6-46E9-8B82-ACFDCA4FC095}" type="presParOf" srcId="{E3E857E9-383E-4F2B-B7B3-241D723A8940}" destId="{087B63AA-7072-4E68-9306-A8812CEB44CA}" srcOrd="1" destOrd="0" presId="urn:microsoft.com/office/officeart/2005/8/layout/chevron2"/>
    <dgm:cxn modelId="{9CCE63CC-37DD-4B89-AD45-EEB04D9A7BE9}" type="presParOf" srcId="{E3E857E9-383E-4F2B-B7B3-241D723A8940}" destId="{4FFE99B1-A1F8-4F99-BAA0-4F40425A2B2A}" srcOrd="2" destOrd="0" presId="urn:microsoft.com/office/officeart/2005/8/layout/chevron2"/>
    <dgm:cxn modelId="{71D646AE-B4BA-4D67-9B0F-4C187920DCD3}" type="presParOf" srcId="{4FFE99B1-A1F8-4F99-BAA0-4F40425A2B2A}" destId="{DE8B131D-6234-4A40-BC97-B3A1C2218DAE}" srcOrd="0" destOrd="0" presId="urn:microsoft.com/office/officeart/2005/8/layout/chevron2"/>
    <dgm:cxn modelId="{8465FE40-7261-4754-8EE9-7765C76C3D45}" type="presParOf" srcId="{4FFE99B1-A1F8-4F99-BAA0-4F40425A2B2A}" destId="{800FA22B-D528-42E7-94FA-3926030B2F14}" srcOrd="1" destOrd="0" presId="urn:microsoft.com/office/officeart/2005/8/layout/chevron2"/>
    <dgm:cxn modelId="{F267CBCB-E395-49B6-85E9-72DD7A38BEC9}" type="presParOf" srcId="{E3E857E9-383E-4F2B-B7B3-241D723A8940}" destId="{75C08EDA-4CBC-4D4E-B251-D6AC08883843}" srcOrd="3" destOrd="0" presId="urn:microsoft.com/office/officeart/2005/8/layout/chevron2"/>
    <dgm:cxn modelId="{FB423E7F-DD89-471C-AAFC-E7CC02008CCE}" type="presParOf" srcId="{E3E857E9-383E-4F2B-B7B3-241D723A8940}" destId="{7A7D56D8-4472-4941-8AD4-9B0528ECFE7A}" srcOrd="4" destOrd="0" presId="urn:microsoft.com/office/officeart/2005/8/layout/chevron2"/>
    <dgm:cxn modelId="{167C7881-8CE8-4505-AD10-D54077408517}" type="presParOf" srcId="{7A7D56D8-4472-4941-8AD4-9B0528ECFE7A}" destId="{77B0E442-C8F0-4811-B600-7C710D7A7BBB}" srcOrd="0" destOrd="0" presId="urn:microsoft.com/office/officeart/2005/8/layout/chevron2"/>
    <dgm:cxn modelId="{7EED95E8-F019-405D-BC42-46DBD1E2FBBB}" type="presParOf" srcId="{7A7D56D8-4472-4941-8AD4-9B0528ECFE7A}" destId="{F22A245F-27DB-4802-95E9-863545AAC9DF}" srcOrd="1" destOrd="0" presId="urn:microsoft.com/office/officeart/2005/8/layout/chevron2"/>
    <dgm:cxn modelId="{CFC2F2A4-0DBC-45D4-9361-F9F5B551B5EB}" type="presParOf" srcId="{E3E857E9-383E-4F2B-B7B3-241D723A8940}" destId="{EB1CA264-F585-4DD5-A9F2-1745FDE078E4}" srcOrd="5" destOrd="0" presId="urn:microsoft.com/office/officeart/2005/8/layout/chevron2"/>
    <dgm:cxn modelId="{C4353F72-BAB2-406C-A5B0-BDF7E2D515EE}" type="presParOf" srcId="{E3E857E9-383E-4F2B-B7B3-241D723A8940}" destId="{45E30AB7-3E89-4C02-81BE-2203CAC938BF}" srcOrd="6" destOrd="0" presId="urn:microsoft.com/office/officeart/2005/8/layout/chevron2"/>
    <dgm:cxn modelId="{4EFB4AB6-A5DD-4540-907F-44A3B15C4253}" type="presParOf" srcId="{45E30AB7-3E89-4C02-81BE-2203CAC938BF}" destId="{A68D8D3C-BC5B-4465-ACC7-29758E47E3C1}" srcOrd="0" destOrd="0" presId="urn:microsoft.com/office/officeart/2005/8/layout/chevron2"/>
    <dgm:cxn modelId="{6CD5F8D8-09EF-49AC-AD83-8989F3D6CC07}" type="presParOf" srcId="{45E30AB7-3E89-4C02-81BE-2203CAC938BF}" destId="{4B906431-82C6-4518-ACD5-B05258BCEB32}"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409750-0EBF-4DB9-A91D-863EF0713551}">
      <dsp:nvSpPr>
        <dsp:cNvPr id="0" name=""/>
        <dsp:cNvSpPr/>
      </dsp:nvSpPr>
      <dsp:spPr>
        <a:xfrm>
          <a:off x="1808427" y="0"/>
          <a:ext cx="723370" cy="563985"/>
        </a:xfrm>
        <a:prstGeom prst="trapezoid">
          <a:avLst>
            <a:gd name="adj" fmla="val 6413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Licence revocation</a:t>
          </a:r>
        </a:p>
      </dsp:txBody>
      <dsp:txXfrm>
        <a:off x="1808427" y="0"/>
        <a:ext cx="723370" cy="563985"/>
      </dsp:txXfrm>
    </dsp:sp>
    <dsp:sp modelId="{AA7B3491-9012-49DF-ABCB-BC6E1E87E80D}">
      <dsp:nvSpPr>
        <dsp:cNvPr id="0" name=""/>
        <dsp:cNvSpPr/>
      </dsp:nvSpPr>
      <dsp:spPr>
        <a:xfrm>
          <a:off x="1446741" y="563985"/>
          <a:ext cx="1446741" cy="563985"/>
        </a:xfrm>
        <a:prstGeom prst="trapezoid">
          <a:avLst>
            <a:gd name="adj" fmla="val 6413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Licence suspension</a:t>
          </a:r>
        </a:p>
      </dsp:txBody>
      <dsp:txXfrm>
        <a:off x="1699921" y="563985"/>
        <a:ext cx="940382" cy="563985"/>
      </dsp:txXfrm>
    </dsp:sp>
    <dsp:sp modelId="{129049E4-A112-4604-99A1-DCF9A29D394C}">
      <dsp:nvSpPr>
        <dsp:cNvPr id="0" name=""/>
        <dsp:cNvSpPr/>
      </dsp:nvSpPr>
      <dsp:spPr>
        <a:xfrm>
          <a:off x="1085056" y="1127971"/>
          <a:ext cx="2170112" cy="563985"/>
        </a:xfrm>
        <a:prstGeom prst="trapezoid">
          <a:avLst>
            <a:gd name="adj" fmla="val 6413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Criminal penalty</a:t>
          </a:r>
        </a:p>
      </dsp:txBody>
      <dsp:txXfrm>
        <a:off x="1464825" y="1127971"/>
        <a:ext cx="1410573" cy="563985"/>
      </dsp:txXfrm>
    </dsp:sp>
    <dsp:sp modelId="{D506B32F-5F7B-421C-BDC6-DA847B21EF06}">
      <dsp:nvSpPr>
        <dsp:cNvPr id="0" name=""/>
        <dsp:cNvSpPr/>
      </dsp:nvSpPr>
      <dsp:spPr>
        <a:xfrm>
          <a:off x="723370" y="1691957"/>
          <a:ext cx="2893483" cy="563985"/>
        </a:xfrm>
        <a:prstGeom prst="trapezoid">
          <a:avLst>
            <a:gd name="adj" fmla="val 6413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Civil penalty</a:t>
          </a:r>
        </a:p>
      </dsp:txBody>
      <dsp:txXfrm>
        <a:off x="1229730" y="1691957"/>
        <a:ext cx="1880764" cy="563985"/>
      </dsp:txXfrm>
    </dsp:sp>
    <dsp:sp modelId="{E11B9645-7446-4B6E-8369-37B06DF81378}">
      <dsp:nvSpPr>
        <dsp:cNvPr id="0" name=""/>
        <dsp:cNvSpPr/>
      </dsp:nvSpPr>
      <dsp:spPr>
        <a:xfrm>
          <a:off x="361685" y="2255943"/>
          <a:ext cx="3616854" cy="563985"/>
        </a:xfrm>
        <a:prstGeom prst="trapezoid">
          <a:avLst>
            <a:gd name="adj" fmla="val 6413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Warning letter</a:t>
          </a:r>
        </a:p>
      </dsp:txBody>
      <dsp:txXfrm>
        <a:off x="994634" y="2255943"/>
        <a:ext cx="2350955" cy="563985"/>
      </dsp:txXfrm>
    </dsp:sp>
    <dsp:sp modelId="{4140960D-FE83-4553-ADE1-1BB5FBB22352}">
      <dsp:nvSpPr>
        <dsp:cNvPr id="0" name=""/>
        <dsp:cNvSpPr/>
      </dsp:nvSpPr>
      <dsp:spPr>
        <a:xfrm>
          <a:off x="0" y="2819929"/>
          <a:ext cx="4340225" cy="563985"/>
        </a:xfrm>
        <a:prstGeom prst="trapezoid">
          <a:avLst>
            <a:gd name="adj" fmla="val 6413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Persuasion</a:t>
          </a:r>
        </a:p>
      </dsp:txBody>
      <dsp:txXfrm>
        <a:off x="759539" y="2819929"/>
        <a:ext cx="2821146" cy="5639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66C040-3052-4876-9EC0-45C8379C1D8E}">
      <dsp:nvSpPr>
        <dsp:cNvPr id="0" name=""/>
        <dsp:cNvSpPr/>
      </dsp:nvSpPr>
      <dsp:spPr>
        <a:xfrm rot="5400000">
          <a:off x="-202087" y="205142"/>
          <a:ext cx="1347250" cy="943075"/>
        </a:xfrm>
        <a:prstGeom prst="chevron">
          <a:avLst/>
        </a:prstGeom>
        <a:solidFill>
          <a:schemeClr val="tx2">
            <a:lumMod val="10000"/>
            <a:lumOff val="9000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dirty="0"/>
            <a:t>The limitation applies (s 333E) UNLESS</a:t>
          </a:r>
        </a:p>
      </dsp:txBody>
      <dsp:txXfrm rot="-5400000">
        <a:off x="1" y="474593"/>
        <a:ext cx="943075" cy="404175"/>
      </dsp:txXfrm>
    </dsp:sp>
    <dsp:sp modelId="{1ABA9552-C381-431D-9371-8880681E0604}">
      <dsp:nvSpPr>
        <dsp:cNvPr id="0" name=""/>
        <dsp:cNvSpPr/>
      </dsp:nvSpPr>
      <dsp:spPr>
        <a:xfrm rot="5400000">
          <a:off x="2781685" y="-1835555"/>
          <a:ext cx="875712" cy="4552932"/>
        </a:xfrm>
        <a:prstGeom prst="round2SameRect">
          <a:avLst/>
        </a:prstGeom>
        <a:solidFill>
          <a:schemeClr val="tx2">
            <a:lumMod val="10000"/>
            <a:lumOff val="9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AU" sz="700" kern="1200" dirty="0"/>
            <a:t>Fixed-term contracts of more than 2 years or 2 renewals (whichever is shorter).</a:t>
          </a:r>
        </a:p>
      </dsp:txBody>
      <dsp:txXfrm rot="-5400000">
        <a:off x="943076" y="45803"/>
        <a:ext cx="4510183" cy="790214"/>
      </dsp:txXfrm>
    </dsp:sp>
    <dsp:sp modelId="{DE8B131D-6234-4A40-BC97-B3A1C2218DAE}">
      <dsp:nvSpPr>
        <dsp:cNvPr id="0" name=""/>
        <dsp:cNvSpPr/>
      </dsp:nvSpPr>
      <dsp:spPr>
        <a:xfrm rot="5400000">
          <a:off x="-202087" y="1406844"/>
          <a:ext cx="1347250" cy="943075"/>
        </a:xfrm>
        <a:prstGeom prst="chevron">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dirty="0"/>
            <a:t>a Fair Work Act exception applies (s 333F), or</a:t>
          </a:r>
        </a:p>
      </dsp:txBody>
      <dsp:txXfrm rot="-5400000">
        <a:off x="1" y="1676295"/>
        <a:ext cx="943075" cy="404175"/>
      </dsp:txXfrm>
    </dsp:sp>
    <dsp:sp modelId="{800FA22B-D528-42E7-94FA-3926030B2F14}">
      <dsp:nvSpPr>
        <dsp:cNvPr id="0" name=""/>
        <dsp:cNvSpPr/>
      </dsp:nvSpPr>
      <dsp:spPr>
        <a:xfrm rot="5400000">
          <a:off x="2781685" y="-633852"/>
          <a:ext cx="875712" cy="4552932"/>
        </a:xfrm>
        <a:prstGeom prst="round2Same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AU" sz="700" kern="1200" dirty="0"/>
            <a:t>(a) perform only a distinct and identifiable task involving specialised skills</a:t>
          </a:r>
        </a:p>
        <a:p>
          <a:pPr marL="57150" lvl="1" indent="-57150" algn="l" defTabSz="311150">
            <a:lnSpc>
              <a:spcPct val="90000"/>
            </a:lnSpc>
            <a:spcBef>
              <a:spcPct val="0"/>
            </a:spcBef>
            <a:spcAft>
              <a:spcPct val="15000"/>
            </a:spcAft>
            <a:buChar char="•"/>
          </a:pPr>
          <a:r>
            <a:rPr lang="en-AU" sz="700" kern="1200" dirty="0"/>
            <a:t>(b) training arrangement</a:t>
          </a:r>
        </a:p>
        <a:p>
          <a:pPr marL="57150" lvl="1" indent="-57150" algn="l" defTabSz="311150">
            <a:lnSpc>
              <a:spcPct val="90000"/>
            </a:lnSpc>
            <a:spcBef>
              <a:spcPct val="0"/>
            </a:spcBef>
            <a:spcAft>
              <a:spcPct val="15000"/>
            </a:spcAft>
            <a:buChar char="•"/>
          </a:pPr>
          <a:r>
            <a:rPr lang="en-AU" sz="700" kern="1200" dirty="0"/>
            <a:t>(c) essential work during a peak demand period</a:t>
          </a:r>
        </a:p>
        <a:p>
          <a:pPr marL="57150" lvl="1" indent="-57150" algn="l" defTabSz="311150">
            <a:lnSpc>
              <a:spcPct val="90000"/>
            </a:lnSpc>
            <a:spcBef>
              <a:spcPct val="0"/>
            </a:spcBef>
            <a:spcAft>
              <a:spcPct val="15000"/>
            </a:spcAft>
            <a:buChar char="•"/>
          </a:pPr>
          <a:r>
            <a:rPr lang="en-AU" sz="700" kern="1200" dirty="0"/>
            <a:t>(d) work during emergency circumstances or during a temporary absence of another employee</a:t>
          </a:r>
        </a:p>
        <a:p>
          <a:pPr marL="57150" lvl="1" indent="-57150" algn="l" defTabSz="311150">
            <a:lnSpc>
              <a:spcPct val="90000"/>
            </a:lnSpc>
            <a:spcBef>
              <a:spcPct val="0"/>
            </a:spcBef>
            <a:spcAft>
              <a:spcPct val="15000"/>
            </a:spcAft>
            <a:buChar char="•"/>
          </a:pPr>
          <a:r>
            <a:rPr lang="en-AU" sz="700" kern="1200" dirty="0"/>
            <a:t>(e) earnings above the high income threshold</a:t>
          </a:r>
        </a:p>
        <a:p>
          <a:pPr marL="57150" lvl="1" indent="-57150" algn="l" defTabSz="311150">
            <a:lnSpc>
              <a:spcPct val="90000"/>
            </a:lnSpc>
            <a:spcBef>
              <a:spcPct val="0"/>
            </a:spcBef>
            <a:spcAft>
              <a:spcPct val="15000"/>
            </a:spcAft>
            <a:buChar char="•"/>
          </a:pPr>
          <a:r>
            <a:rPr lang="en-AU" sz="700" kern="1200" dirty="0"/>
            <a:t>(f) government funded position, the funding is for more than 2 years, and there no reasonable prospects that funding will be renewed</a:t>
          </a:r>
        </a:p>
        <a:p>
          <a:pPr marL="57150" lvl="1" indent="-57150" algn="l" defTabSz="311150">
            <a:lnSpc>
              <a:spcPct val="90000"/>
            </a:lnSpc>
            <a:spcBef>
              <a:spcPct val="0"/>
            </a:spcBef>
            <a:spcAft>
              <a:spcPct val="15000"/>
            </a:spcAft>
            <a:buChar char="•"/>
          </a:pPr>
          <a:r>
            <a:rPr lang="en-AU" sz="700" kern="1200" dirty="0"/>
            <a:t>(g) governance position with a time limit under the governing rules of a corporation or association</a:t>
          </a:r>
        </a:p>
      </dsp:txBody>
      <dsp:txXfrm rot="-5400000">
        <a:off x="943076" y="1247506"/>
        <a:ext cx="4510183" cy="790214"/>
      </dsp:txXfrm>
    </dsp:sp>
    <dsp:sp modelId="{77B0E442-C8F0-4811-B600-7C710D7A7BBB}">
      <dsp:nvSpPr>
        <dsp:cNvPr id="0" name=""/>
        <dsp:cNvSpPr/>
      </dsp:nvSpPr>
      <dsp:spPr>
        <a:xfrm rot="5400000">
          <a:off x="-202087" y="2608547"/>
          <a:ext cx="1347250" cy="943075"/>
        </a:xfrm>
        <a:prstGeom prst="chevron">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AU" sz="900" kern="1200" dirty="0"/>
        </a:p>
        <a:p>
          <a:pPr marL="0" lvl="0" indent="0" algn="ctr" defTabSz="400050">
            <a:lnSpc>
              <a:spcPct val="90000"/>
            </a:lnSpc>
            <a:spcBef>
              <a:spcPct val="0"/>
            </a:spcBef>
            <a:spcAft>
              <a:spcPct val="35000"/>
            </a:spcAft>
            <a:buNone/>
          </a:pPr>
          <a:r>
            <a:rPr lang="en-AU" sz="900" kern="1200" dirty="0"/>
            <a:t>the relevant modern award allows it (s 333F(1)(h)), or</a:t>
          </a:r>
        </a:p>
      </dsp:txBody>
      <dsp:txXfrm rot="-5400000">
        <a:off x="1" y="2877998"/>
        <a:ext cx="943075" cy="404175"/>
      </dsp:txXfrm>
    </dsp:sp>
    <dsp:sp modelId="{F22A245F-27DB-4802-95E9-863545AAC9DF}">
      <dsp:nvSpPr>
        <dsp:cNvPr id="0" name=""/>
        <dsp:cNvSpPr/>
      </dsp:nvSpPr>
      <dsp:spPr>
        <a:xfrm rot="5400000">
          <a:off x="2781455" y="568079"/>
          <a:ext cx="876173" cy="4552932"/>
        </a:xfrm>
        <a:prstGeom prst="round2Same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AU" sz="700" kern="1200" dirty="0"/>
            <a:t>The modern award that covers the employee includes terms that permit</a:t>
          </a:r>
        </a:p>
        <a:p>
          <a:pPr marL="114300" lvl="2" indent="-57150" algn="l" defTabSz="311150">
            <a:lnSpc>
              <a:spcPct val="90000"/>
            </a:lnSpc>
            <a:spcBef>
              <a:spcPct val="0"/>
            </a:spcBef>
            <a:spcAft>
              <a:spcPct val="15000"/>
            </a:spcAft>
            <a:buChar char="•"/>
          </a:pPr>
          <a:r>
            <a:rPr lang="en-AU" sz="700" kern="1200" dirty="0"/>
            <a:t>Contracts for longer than 2 years (s 333F(1)(h) re s 333E(2))</a:t>
          </a:r>
        </a:p>
        <a:p>
          <a:pPr marL="114300" lvl="2" indent="-57150" algn="l" defTabSz="311150">
            <a:lnSpc>
              <a:spcPct val="90000"/>
            </a:lnSpc>
            <a:spcBef>
              <a:spcPct val="0"/>
            </a:spcBef>
            <a:spcAft>
              <a:spcPct val="15000"/>
            </a:spcAft>
            <a:buChar char="•"/>
          </a:pPr>
          <a:r>
            <a:rPr lang="en-AU" sz="700" kern="1200" dirty="0"/>
            <a:t>Renewable contracts for more than 2 years or 2 renewals or extensions (s 333F(1)(h) re s 333F(3))</a:t>
          </a:r>
        </a:p>
        <a:p>
          <a:pPr marL="114300" lvl="2" indent="-57150" algn="l" defTabSz="311150">
            <a:lnSpc>
              <a:spcPct val="90000"/>
            </a:lnSpc>
            <a:spcBef>
              <a:spcPct val="0"/>
            </a:spcBef>
            <a:spcAft>
              <a:spcPct val="15000"/>
            </a:spcAft>
            <a:buChar char="•"/>
          </a:pPr>
          <a:r>
            <a:rPr lang="en-AU" sz="700" kern="1200" dirty="0"/>
            <a:t>Consecutive contracts (s 333F(1)(h) re s 333F(4))</a:t>
          </a:r>
        </a:p>
        <a:p>
          <a:pPr marL="57150" lvl="1" indent="-57150" algn="l" defTabSz="311150">
            <a:lnSpc>
              <a:spcPct val="90000"/>
            </a:lnSpc>
            <a:spcBef>
              <a:spcPct val="0"/>
            </a:spcBef>
            <a:spcAft>
              <a:spcPct val="15000"/>
            </a:spcAft>
            <a:buChar char="•"/>
          </a:pPr>
          <a:r>
            <a:rPr lang="en-AU" sz="700" kern="1200" dirty="0"/>
            <a:t>For example, see the Live Performance Award.</a:t>
          </a:r>
          <a:endParaRPr lang="en-AU" sz="700" kern="1200" dirty="0">
            <a:highlight>
              <a:srgbClr val="FFFF00"/>
            </a:highlight>
          </a:endParaRPr>
        </a:p>
      </dsp:txBody>
      <dsp:txXfrm rot="-5400000">
        <a:off x="943076" y="2449230"/>
        <a:ext cx="4510161" cy="790631"/>
      </dsp:txXfrm>
    </dsp:sp>
    <dsp:sp modelId="{A68D8D3C-BC5B-4465-ACC7-29758E47E3C1}">
      <dsp:nvSpPr>
        <dsp:cNvPr id="0" name=""/>
        <dsp:cNvSpPr/>
      </dsp:nvSpPr>
      <dsp:spPr>
        <a:xfrm rot="5400000">
          <a:off x="-202087" y="3810249"/>
          <a:ext cx="1347250" cy="943075"/>
        </a:xfrm>
        <a:prstGeom prst="chevron">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dirty="0"/>
            <a:t>the Fair Work Regulations allow it (s 333F(1)(</a:t>
          </a:r>
          <a:r>
            <a:rPr lang="en-AU" sz="900" kern="1200" dirty="0" err="1"/>
            <a:t>i</a:t>
          </a:r>
          <a:r>
            <a:rPr lang="en-AU" sz="900" kern="1200" dirty="0"/>
            <a:t>))</a:t>
          </a:r>
        </a:p>
      </dsp:txBody>
      <dsp:txXfrm rot="-5400000">
        <a:off x="1" y="4079700"/>
        <a:ext cx="943075" cy="404175"/>
      </dsp:txXfrm>
    </dsp:sp>
    <dsp:sp modelId="{4B906431-82C6-4518-ACD5-B05258BCEB32}">
      <dsp:nvSpPr>
        <dsp:cNvPr id="0" name=""/>
        <dsp:cNvSpPr/>
      </dsp:nvSpPr>
      <dsp:spPr>
        <a:xfrm rot="5400000">
          <a:off x="2781685" y="1769551"/>
          <a:ext cx="875712" cy="4552932"/>
        </a:xfrm>
        <a:prstGeom prst="round2Same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AU" sz="700" kern="1200" dirty="0"/>
            <a:t>Current Fair Work Regulation exceptions for</a:t>
          </a:r>
        </a:p>
        <a:p>
          <a:pPr marL="114300" lvl="2" indent="-57150" algn="l" defTabSz="311150">
            <a:lnSpc>
              <a:spcPct val="90000"/>
            </a:lnSpc>
            <a:spcBef>
              <a:spcPct val="0"/>
            </a:spcBef>
            <a:spcAft>
              <a:spcPct val="15000"/>
            </a:spcAft>
            <a:buChar char="•"/>
          </a:pPr>
          <a:r>
            <a:rPr lang="en-AU" sz="700" i="0" kern="1200" dirty="0"/>
            <a:t>Organised sport</a:t>
          </a:r>
        </a:p>
        <a:p>
          <a:pPr marL="114300" lvl="2" indent="-57150" algn="l" defTabSz="311150">
            <a:lnSpc>
              <a:spcPct val="90000"/>
            </a:lnSpc>
            <a:spcBef>
              <a:spcPct val="0"/>
            </a:spcBef>
            <a:spcAft>
              <a:spcPct val="15000"/>
            </a:spcAft>
            <a:buChar char="•"/>
          </a:pPr>
          <a:r>
            <a:rPr lang="en-AU" sz="700" b="0" i="0" kern="1200" dirty="0"/>
            <a:t>High performance sport—international event organising bodies</a:t>
          </a:r>
          <a:endParaRPr lang="en-AU" sz="700" i="0" kern="1200" dirty="0"/>
        </a:p>
        <a:p>
          <a:pPr marL="114300" lvl="2" indent="-57150" algn="l" defTabSz="311150">
            <a:lnSpc>
              <a:spcPct val="90000"/>
            </a:lnSpc>
            <a:spcBef>
              <a:spcPct val="0"/>
            </a:spcBef>
            <a:spcAft>
              <a:spcPct val="15000"/>
            </a:spcAft>
            <a:buChar char="•"/>
          </a:pPr>
          <a:r>
            <a:rPr lang="en-AU" sz="700" b="0" i="0" kern="1200" dirty="0"/>
            <a:t>Higher education employees</a:t>
          </a:r>
          <a:endParaRPr lang="en-AU" sz="700" i="0" kern="1200" dirty="0"/>
        </a:p>
        <a:p>
          <a:pPr marL="114300" lvl="2" indent="-57150" algn="l" defTabSz="311150">
            <a:lnSpc>
              <a:spcPct val="90000"/>
            </a:lnSpc>
            <a:spcBef>
              <a:spcPct val="0"/>
            </a:spcBef>
            <a:spcAft>
              <a:spcPct val="15000"/>
            </a:spcAft>
            <a:buChar char="•"/>
          </a:pPr>
          <a:r>
            <a:rPr lang="en-AU" sz="700" b="0" i="0" kern="1200" dirty="0"/>
            <a:t>Charity and not‑for‑profit sector employees</a:t>
          </a:r>
          <a:endParaRPr lang="en-AU" sz="700" i="0" kern="1200" dirty="0"/>
        </a:p>
        <a:p>
          <a:pPr marL="114300" lvl="2" indent="-57150" algn="l" defTabSz="311150">
            <a:lnSpc>
              <a:spcPct val="90000"/>
            </a:lnSpc>
            <a:spcBef>
              <a:spcPct val="0"/>
            </a:spcBef>
            <a:spcAft>
              <a:spcPct val="15000"/>
            </a:spcAft>
            <a:buChar char="•"/>
          </a:pPr>
          <a:r>
            <a:rPr lang="en-AU" sz="700" b="0" i="0" kern="1200" dirty="0"/>
            <a:t>Medical or health research sector employees</a:t>
          </a:r>
          <a:endParaRPr lang="en-AU" sz="700" i="0" kern="1200" dirty="0"/>
        </a:p>
        <a:p>
          <a:pPr marL="114300" lvl="2" indent="-57150" algn="l" defTabSz="311150">
            <a:lnSpc>
              <a:spcPct val="90000"/>
            </a:lnSpc>
            <a:spcBef>
              <a:spcPct val="0"/>
            </a:spcBef>
            <a:spcAft>
              <a:spcPct val="15000"/>
            </a:spcAft>
            <a:buChar char="•"/>
          </a:pPr>
          <a:r>
            <a:rPr lang="en-AU" sz="700" b="0" i="0" kern="1200" dirty="0"/>
            <a:t>Public hospital employees</a:t>
          </a:r>
          <a:endParaRPr lang="en-AU" sz="700" i="0" kern="1200" dirty="0"/>
        </a:p>
      </dsp:txBody>
      <dsp:txXfrm rot="-5400000">
        <a:off x="943076" y="3650910"/>
        <a:ext cx="4510183" cy="79021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0.78211</cdr:x>
      <cdr:y>0.01279</cdr:y>
    </cdr:from>
    <cdr:to>
      <cdr:x>0.78211</cdr:x>
      <cdr:y>0.77196</cdr:y>
    </cdr:to>
    <cdr:cxnSp macro="">
      <cdr:nvCxnSpPr>
        <cdr:cNvPr id="3" name="Straight Connector 2"/>
        <cdr:cNvCxnSpPr/>
      </cdr:nvCxnSpPr>
      <cdr:spPr>
        <a:xfrm xmlns:a="http://schemas.openxmlformats.org/drawingml/2006/main" flipV="1">
          <a:off x="4534829" y="44605"/>
          <a:ext cx="0" cy="2646556"/>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0.76607</cdr:x>
      <cdr:y>0.03629</cdr:y>
    </cdr:from>
    <cdr:to>
      <cdr:x>0.76607</cdr:x>
      <cdr:y>0.79654</cdr:y>
    </cdr:to>
    <cdr:cxnSp macro="">
      <cdr:nvCxnSpPr>
        <cdr:cNvPr id="3" name="Straight Connector 2"/>
        <cdr:cNvCxnSpPr/>
      </cdr:nvCxnSpPr>
      <cdr:spPr>
        <a:xfrm xmlns:a="http://schemas.openxmlformats.org/drawingml/2006/main" flipH="1" flipV="1">
          <a:off x="4656825" y="140480"/>
          <a:ext cx="0" cy="2942898"/>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Custom 3">
      <a:dk1>
        <a:srgbClr val="0D2C6C"/>
      </a:dk1>
      <a:lt1>
        <a:sysClr val="window" lastClr="FFFFFF"/>
      </a:lt1>
      <a:dk2>
        <a:srgbClr val="404246"/>
      </a:dk2>
      <a:lt2>
        <a:srgbClr val="009B9F"/>
      </a:lt2>
      <a:accent1>
        <a:srgbClr val="62165C"/>
      </a:accent1>
      <a:accent2>
        <a:srgbClr val="A4249B"/>
      </a:accent2>
      <a:accent3>
        <a:srgbClr val="DEE0ED"/>
      </a:accent3>
      <a:accent4>
        <a:srgbClr val="DFE1DF"/>
      </a:accent4>
      <a:accent5>
        <a:srgbClr val="777778"/>
      </a:accent5>
      <a:accent6>
        <a:srgbClr val="A4A7A9"/>
      </a:accent6>
      <a:hlink>
        <a:srgbClr val="009B9F"/>
      </a:hlink>
      <a:folHlink>
        <a:srgbClr val="DFE1D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3">
    <a:dk1>
      <a:srgbClr val="0D2C6C"/>
    </a:dk1>
    <a:lt1>
      <a:sysClr val="window" lastClr="FFFFFF"/>
    </a:lt1>
    <a:dk2>
      <a:srgbClr val="404246"/>
    </a:dk2>
    <a:lt2>
      <a:srgbClr val="009B9F"/>
    </a:lt2>
    <a:accent1>
      <a:srgbClr val="62165C"/>
    </a:accent1>
    <a:accent2>
      <a:srgbClr val="A4249B"/>
    </a:accent2>
    <a:accent3>
      <a:srgbClr val="DEE0ED"/>
    </a:accent3>
    <a:accent4>
      <a:srgbClr val="DFE1DF"/>
    </a:accent4>
    <a:accent5>
      <a:srgbClr val="777778"/>
    </a:accent5>
    <a:accent6>
      <a:srgbClr val="A4A7A9"/>
    </a:accent6>
    <a:hlink>
      <a:srgbClr val="009B9F"/>
    </a:hlink>
    <a:folHlink>
      <a:srgbClr val="DFE1D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3">
    <a:dk1>
      <a:srgbClr val="0D2C6C"/>
    </a:dk1>
    <a:lt1>
      <a:sysClr val="window" lastClr="FFFFFF"/>
    </a:lt1>
    <a:dk2>
      <a:srgbClr val="404246"/>
    </a:dk2>
    <a:lt2>
      <a:srgbClr val="009B9F"/>
    </a:lt2>
    <a:accent1>
      <a:srgbClr val="62165C"/>
    </a:accent1>
    <a:accent2>
      <a:srgbClr val="A4249B"/>
    </a:accent2>
    <a:accent3>
      <a:srgbClr val="DEE0ED"/>
    </a:accent3>
    <a:accent4>
      <a:srgbClr val="DFE1DF"/>
    </a:accent4>
    <a:accent5>
      <a:srgbClr val="777778"/>
    </a:accent5>
    <a:accent6>
      <a:srgbClr val="A4A7A9"/>
    </a:accent6>
    <a:hlink>
      <a:srgbClr val="009B9F"/>
    </a:hlink>
    <a:folHlink>
      <a:srgbClr val="DFE1D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3">
    <a:dk1>
      <a:srgbClr val="0D2C6C"/>
    </a:dk1>
    <a:lt1>
      <a:sysClr val="window" lastClr="FFFFFF"/>
    </a:lt1>
    <a:dk2>
      <a:srgbClr val="404246"/>
    </a:dk2>
    <a:lt2>
      <a:srgbClr val="009B9F"/>
    </a:lt2>
    <a:accent1>
      <a:srgbClr val="62165C"/>
    </a:accent1>
    <a:accent2>
      <a:srgbClr val="A4249B"/>
    </a:accent2>
    <a:accent3>
      <a:srgbClr val="DEE0ED"/>
    </a:accent3>
    <a:accent4>
      <a:srgbClr val="DFE1DF"/>
    </a:accent4>
    <a:accent5>
      <a:srgbClr val="777778"/>
    </a:accent5>
    <a:accent6>
      <a:srgbClr val="A4A7A9"/>
    </a:accent6>
    <a:hlink>
      <a:srgbClr val="009B9F"/>
    </a:hlink>
    <a:folHlink>
      <a:srgbClr val="DFE1D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409</Pages>
  <Words>122068</Words>
  <Characters>695790</Characters>
  <Application>Microsoft Office Word</Application>
  <DocSecurity>0</DocSecurity>
  <Lines>5798</Lines>
  <Paragraphs>1632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816226</CharactersWithSpaces>
  <SharedDoc>false</SharedDoc>
  <HLinks>
    <vt:vector size="444" baseType="variant">
      <vt:variant>
        <vt:i4>3014772</vt:i4>
      </vt:variant>
      <vt:variant>
        <vt:i4>597</vt:i4>
      </vt:variant>
      <vt:variant>
        <vt:i4>0</vt:i4>
      </vt:variant>
      <vt:variant>
        <vt:i4>5</vt:i4>
      </vt:variant>
      <vt:variant>
        <vt:lpwstr>https://www.stylemanual.gov.au/accessible-and-inclusive-content/make-content-accessible</vt:lpwstr>
      </vt:variant>
      <vt:variant>
        <vt:lpwstr/>
      </vt:variant>
      <vt:variant>
        <vt:i4>7602209</vt:i4>
      </vt:variant>
      <vt:variant>
        <vt:i4>594</vt:i4>
      </vt:variant>
      <vt:variant>
        <vt:i4>0</vt:i4>
      </vt:variant>
      <vt:variant>
        <vt:i4>5</vt:i4>
      </vt:variant>
      <vt:variant>
        <vt:lpwstr>https://www.safeworkaustralia.gov.au/doc/review-model-whs-laws-final-report</vt:lpwstr>
      </vt:variant>
      <vt:variant>
        <vt:lpwstr/>
      </vt:variant>
      <vt:variant>
        <vt:i4>4784204</vt:i4>
      </vt:variant>
      <vt:variant>
        <vt:i4>591</vt:i4>
      </vt:variant>
      <vt:variant>
        <vt:i4>0</vt:i4>
      </vt:variant>
      <vt:variant>
        <vt:i4>5</vt:i4>
      </vt:variant>
      <vt:variant>
        <vt:lpwstr>https://www.dewr.gov.au/closing-loopholes</vt:lpwstr>
      </vt:variant>
      <vt:variant>
        <vt:lpwstr/>
      </vt:variant>
      <vt:variant>
        <vt:i4>3801125</vt:i4>
      </vt:variant>
      <vt:variant>
        <vt:i4>588</vt:i4>
      </vt:variant>
      <vt:variant>
        <vt:i4>0</vt:i4>
      </vt:variant>
      <vt:variant>
        <vt:i4>5</vt:i4>
      </vt:variant>
      <vt:variant>
        <vt:lpwstr>https://www.dewr.gov.au/secure-jobs-better-pay</vt:lpwstr>
      </vt:variant>
      <vt:variant>
        <vt:lpwstr/>
      </vt:variant>
      <vt:variant>
        <vt:i4>6094932</vt:i4>
      </vt:variant>
      <vt:variant>
        <vt:i4>105</vt:i4>
      </vt:variant>
      <vt:variant>
        <vt:i4>0</vt:i4>
      </vt:variant>
      <vt:variant>
        <vt:i4>5</vt:i4>
      </vt:variant>
      <vt:variant>
        <vt:lpwstr>https://www.adelaide.edu.au/press/ua/media/621/uap-wages-crisis-ebook.pdf</vt:lpwstr>
      </vt:variant>
      <vt:variant>
        <vt:lpwstr/>
      </vt:variant>
      <vt:variant>
        <vt:i4>5898277</vt:i4>
      </vt:variant>
      <vt:variant>
        <vt:i4>102</vt:i4>
      </vt:variant>
      <vt:variant>
        <vt:i4>0</vt:i4>
      </vt:variant>
      <vt:variant>
        <vt:i4>5</vt:i4>
      </vt:variant>
      <vt:variant>
        <vt:lpwstr>https://futurework.org.au/wp-content/uploads/sites/2/2022/11/Collective_Bargaining_and_Wage_Growth_in_Australia_FINAL.pdf</vt:lpwstr>
      </vt:variant>
      <vt:variant>
        <vt:lpwstr/>
      </vt:variant>
      <vt:variant>
        <vt:i4>7995440</vt:i4>
      </vt:variant>
      <vt:variant>
        <vt:i4>99</vt:i4>
      </vt:variant>
      <vt:variant>
        <vt:i4>0</vt:i4>
      </vt:variant>
      <vt:variant>
        <vt:i4>5</vt:i4>
      </vt:variant>
      <vt:variant>
        <vt:lpwstr>https://australiainstitute.org.au/wp-content/uploads/2020/12/Collective-Bargaining-On-the-Brink-WEB.pdf</vt:lpwstr>
      </vt:variant>
      <vt:variant>
        <vt:lpwstr/>
      </vt:variant>
      <vt:variant>
        <vt:i4>6291572</vt:i4>
      </vt:variant>
      <vt:variant>
        <vt:i4>96</vt:i4>
      </vt:variant>
      <vt:variant>
        <vt:i4>0</vt:i4>
      </vt:variant>
      <vt:variant>
        <vt:i4>5</vt:i4>
      </vt:variant>
      <vt:variant>
        <vt:lpwstr>https://www.fwc.gov.au/documents/resources/pieac-report-23-dec-2014.pdf</vt:lpwstr>
      </vt:variant>
      <vt:variant>
        <vt:lpwstr/>
      </vt:variant>
      <vt:variant>
        <vt:i4>3997806</vt:i4>
      </vt:variant>
      <vt:variant>
        <vt:i4>93</vt:i4>
      </vt:variant>
      <vt:variant>
        <vt:i4>0</vt:i4>
      </vt:variant>
      <vt:variant>
        <vt:i4>5</vt:i4>
      </vt:variant>
      <vt:variant>
        <vt:lpwstr>https://www.bca.com.au/the_state_of_enterprise_bargaining_in_australia</vt:lpwstr>
      </vt:variant>
      <vt:variant>
        <vt:lpwstr/>
      </vt:variant>
      <vt:variant>
        <vt:i4>4128821</vt:i4>
      </vt:variant>
      <vt:variant>
        <vt:i4>90</vt:i4>
      </vt:variant>
      <vt:variant>
        <vt:i4>0</vt:i4>
      </vt:variant>
      <vt:variant>
        <vt:i4>5</vt:i4>
      </vt:variant>
      <vt:variant>
        <vt:lpwstr>https://www.homeaffairs.gov.au/about-us/our-portfolios/multicultural-affairs/about-multicultural-affairs/access-and-equity</vt:lpwstr>
      </vt:variant>
      <vt:variant>
        <vt:lpwstr/>
      </vt:variant>
      <vt:variant>
        <vt:i4>4325447</vt:i4>
      </vt:variant>
      <vt:variant>
        <vt:i4>87</vt:i4>
      </vt:variant>
      <vt:variant>
        <vt:i4>0</vt:i4>
      </vt:variant>
      <vt:variant>
        <vt:i4>5</vt:i4>
      </vt:variant>
      <vt:variant>
        <vt:lpwstr>https://www.fairwork.gov.au/sites/default/files/2024-10/multicultural-access-and-equity-action-plan-2023-2025.pdf</vt:lpwstr>
      </vt:variant>
      <vt:variant>
        <vt:lpwstr/>
      </vt:variant>
      <vt:variant>
        <vt:i4>6619178</vt:i4>
      </vt:variant>
      <vt:variant>
        <vt:i4>84</vt:i4>
      </vt:variant>
      <vt:variant>
        <vt:i4>0</vt:i4>
      </vt:variant>
      <vt:variant>
        <vt:i4>5</vt:i4>
      </vt:variant>
      <vt:variant>
        <vt:lpwstr>https://www.fairwork.gov.au/workplace-problems/fixing-a-workplace-problem/workplace-help-in-other-languages</vt:lpwstr>
      </vt:variant>
      <vt:variant>
        <vt:lpwstr/>
      </vt:variant>
      <vt:variant>
        <vt:i4>5832705</vt:i4>
      </vt:variant>
      <vt:variant>
        <vt:i4>81</vt:i4>
      </vt:variant>
      <vt:variant>
        <vt:i4>0</vt:i4>
      </vt:variant>
      <vt:variant>
        <vt:i4>5</vt:i4>
      </vt:variant>
      <vt:variant>
        <vt:lpwstr>https://www.fairwork.gov.au/tools-and-resources/language-help</vt:lpwstr>
      </vt:variant>
      <vt:variant>
        <vt:lpwstr/>
      </vt:variant>
      <vt:variant>
        <vt:i4>4915249</vt:i4>
      </vt:variant>
      <vt:variant>
        <vt:i4>51</vt:i4>
      </vt:variant>
      <vt:variant>
        <vt:i4>0</vt:i4>
      </vt:variant>
      <vt:variant>
        <vt:i4>5</vt:i4>
      </vt:variant>
      <vt:variant>
        <vt:lpwstr>https://www6.austlii.edu.au/cgi-bin/viewdoc/au/legis/cth/consol_act/fwa2009114/s789gc.html</vt:lpwstr>
      </vt:variant>
      <vt:variant>
        <vt:lpwstr>employee</vt:lpwstr>
      </vt:variant>
      <vt:variant>
        <vt:i4>721015</vt:i4>
      </vt:variant>
      <vt:variant>
        <vt:i4>48</vt:i4>
      </vt:variant>
      <vt:variant>
        <vt:i4>0</vt:i4>
      </vt:variant>
      <vt:variant>
        <vt:i4>5</vt:i4>
      </vt:variant>
      <vt:variant>
        <vt:lpwstr>https://www6.austlii.edu.au/cgi-bin/viewdoc/au/legis/cth/consol_act/fwa2009114/s226a.html</vt:lpwstr>
      </vt:variant>
      <vt:variant>
        <vt:lpwstr>subsection</vt:lpwstr>
      </vt:variant>
      <vt:variant>
        <vt:i4>3670084</vt:i4>
      </vt:variant>
      <vt:variant>
        <vt:i4>45</vt:i4>
      </vt:variant>
      <vt:variant>
        <vt:i4>0</vt:i4>
      </vt:variant>
      <vt:variant>
        <vt:i4>5</vt:i4>
      </vt:variant>
      <vt:variant>
        <vt:lpwstr>https://www6.austlii.edu.au/cgi-bin/viewdoc/au/legis/cth/consol_act/fwa2009114/s231.html</vt:lpwstr>
      </vt:variant>
      <vt:variant>
        <vt:lpwstr>paragraph</vt:lpwstr>
      </vt:variant>
      <vt:variant>
        <vt:i4>6029361</vt:i4>
      </vt:variant>
      <vt:variant>
        <vt:i4>42</vt:i4>
      </vt:variant>
      <vt:variant>
        <vt:i4>0</vt:i4>
      </vt:variant>
      <vt:variant>
        <vt:i4>5</vt:i4>
      </vt:variant>
      <vt:variant>
        <vt:lpwstr>https://www6.austlii.edu.au/cgi-bin/viewdoc/au/legis/cth/consol_act/fwa2009114/s789gc.html</vt:lpwstr>
      </vt:variant>
      <vt:variant>
        <vt:lpwstr>employer</vt:lpwstr>
      </vt:variant>
      <vt:variant>
        <vt:i4>524408</vt:i4>
      </vt:variant>
      <vt:variant>
        <vt:i4>30</vt:i4>
      </vt:variant>
      <vt:variant>
        <vt:i4>0</vt:i4>
      </vt:variant>
      <vt:variant>
        <vt:i4>5</vt:i4>
      </vt:variant>
      <vt:variant>
        <vt:lpwstr>https://austlii.edu.au/cgi-bin/viewdoc/au/legis/cth/consol_act/fwa2009114/s235a.html</vt:lpwstr>
      </vt:variant>
      <vt:variant>
        <vt:lpwstr/>
      </vt:variant>
      <vt:variant>
        <vt:i4>1572889</vt:i4>
      </vt:variant>
      <vt:variant>
        <vt:i4>15</vt:i4>
      </vt:variant>
      <vt:variant>
        <vt:i4>0</vt:i4>
      </vt:variant>
      <vt:variant>
        <vt:i4>5</vt:i4>
      </vt:variant>
      <vt:variant>
        <vt:lpwstr>https://www.fwc.gov.au/documents/reporting/s316c-enforceable-undertaking-twu-final-2024-09-13.pdf</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589908</vt:i4>
      </vt:variant>
      <vt:variant>
        <vt:i4>195</vt:i4>
      </vt:variant>
      <vt:variant>
        <vt:i4>0</vt:i4>
      </vt:variant>
      <vt:variant>
        <vt:i4>5</vt:i4>
      </vt:variant>
      <vt:variant>
        <vt:lpwstr>https://www.unionsnsw.org.au/publication/wage-theft-the-shadow-market-empowering-migrant-workers-to-enforce-their-rights/</vt:lpwstr>
      </vt:variant>
      <vt:variant>
        <vt:lpwstr/>
      </vt:variant>
      <vt:variant>
        <vt:i4>3604597</vt:i4>
      </vt:variant>
      <vt:variant>
        <vt:i4>188</vt:i4>
      </vt:variant>
      <vt:variant>
        <vt:i4>0</vt:i4>
      </vt:variant>
      <vt:variant>
        <vt:i4>5</vt:i4>
      </vt:variant>
      <vt:variant>
        <vt:lpwstr>https://library.fairwork.gov.au/viewer/?krn=K700424</vt:lpwstr>
      </vt:variant>
      <vt:variant>
        <vt:lpwstr/>
      </vt:variant>
      <vt:variant>
        <vt:i4>3604597</vt:i4>
      </vt:variant>
      <vt:variant>
        <vt:i4>186</vt:i4>
      </vt:variant>
      <vt:variant>
        <vt:i4>0</vt:i4>
      </vt:variant>
      <vt:variant>
        <vt:i4>5</vt:i4>
      </vt:variant>
      <vt:variant>
        <vt:lpwstr>https://library.fairwork.gov.au/viewer/?krn=K700424</vt:lpwstr>
      </vt:variant>
      <vt:variant>
        <vt:lpwstr/>
      </vt:variant>
      <vt:variant>
        <vt:i4>1507400</vt:i4>
      </vt:variant>
      <vt:variant>
        <vt:i4>183</vt:i4>
      </vt:variant>
      <vt:variant>
        <vt:i4>0</vt:i4>
      </vt:variant>
      <vt:variant>
        <vt:i4>5</vt:i4>
      </vt:variant>
      <vt:variant>
        <vt:lpwstr>https://www.fairwork.gov.au/starting-employment/types-of-employees/fixed-term-contract-employees</vt:lpwstr>
      </vt:variant>
      <vt:variant>
        <vt:lpwstr>fixed-term-contract-information-statement</vt:lpwstr>
      </vt:variant>
      <vt:variant>
        <vt:i4>2359396</vt:i4>
      </vt:variant>
      <vt:variant>
        <vt:i4>180</vt:i4>
      </vt:variant>
      <vt:variant>
        <vt:i4>0</vt:i4>
      </vt:variant>
      <vt:variant>
        <vt:i4>5</vt:i4>
      </vt:variant>
      <vt:variant>
        <vt:lpwstr>https://www.respectatwork.gov.au/sites/default/files/2022-10/FINAL Guide to external pathways in Australia to address workplace sexual harassment .pdf</vt:lpwstr>
      </vt:variant>
      <vt:variant>
        <vt:lpwstr/>
      </vt:variant>
      <vt:variant>
        <vt:i4>2359396</vt:i4>
      </vt:variant>
      <vt:variant>
        <vt:i4>177</vt:i4>
      </vt:variant>
      <vt:variant>
        <vt:i4>0</vt:i4>
      </vt:variant>
      <vt:variant>
        <vt:i4>5</vt:i4>
      </vt:variant>
      <vt:variant>
        <vt:lpwstr>https://www.respectatwork.gov.au/sites/default/files/2022-10/FINAL Guide to external pathways in Australia to address workplace sexual harassment .pdf</vt:lpwstr>
      </vt:variant>
      <vt:variant>
        <vt:lpwstr/>
      </vt:variant>
      <vt:variant>
        <vt:i4>2359396</vt:i4>
      </vt:variant>
      <vt:variant>
        <vt:i4>174</vt:i4>
      </vt:variant>
      <vt:variant>
        <vt:i4>0</vt:i4>
      </vt:variant>
      <vt:variant>
        <vt:i4>5</vt:i4>
      </vt:variant>
      <vt:variant>
        <vt:lpwstr>https://www.respectatwork.gov.au/sites/default/files/2022-10/FINAL Guide to external pathways in Australia to address workplace sexual harassment .pdf</vt:lpwstr>
      </vt:variant>
      <vt:variant>
        <vt:lpwstr/>
      </vt:variant>
      <vt:variant>
        <vt:i4>2359396</vt:i4>
      </vt:variant>
      <vt:variant>
        <vt:i4>171</vt:i4>
      </vt:variant>
      <vt:variant>
        <vt:i4>0</vt:i4>
      </vt:variant>
      <vt:variant>
        <vt:i4>5</vt:i4>
      </vt:variant>
      <vt:variant>
        <vt:lpwstr>https://www.respectatwork.gov.au/sites/default/files/2022-10/FINAL Guide to external pathways in Australia to address workplace sexual harassment .pdf</vt:lpwstr>
      </vt:variant>
      <vt:variant>
        <vt:lpwstr/>
      </vt:variant>
      <vt:variant>
        <vt:i4>4915321</vt:i4>
      </vt:variant>
      <vt:variant>
        <vt:i4>168</vt:i4>
      </vt:variant>
      <vt:variant>
        <vt:i4>0</vt:i4>
      </vt:variant>
      <vt:variant>
        <vt:i4>5</vt:i4>
      </vt:variant>
      <vt:variant>
        <vt:lpwstr>https://www.aph.gov.au/Parliamentary_Business/Committees/Senate/Education_and_Employment/SecureJobsBetterPay/Submissions</vt:lpwstr>
      </vt:variant>
      <vt:variant>
        <vt:lpwstr/>
      </vt:variant>
      <vt:variant>
        <vt:i4>4718609</vt:i4>
      </vt:variant>
      <vt:variant>
        <vt:i4>165</vt:i4>
      </vt:variant>
      <vt:variant>
        <vt:i4>0</vt:i4>
      </vt:variant>
      <vt:variant>
        <vt:i4>5</vt:i4>
      </vt:variant>
      <vt:variant>
        <vt:lpwstr>https://www.fairwork.gov.au/sites/default/files/migration/1414/employer-guide-to-family-and-domestic-violence.pdf</vt:lpwstr>
      </vt:variant>
      <vt:variant>
        <vt:lpwstr/>
      </vt:variant>
      <vt:variant>
        <vt:i4>1638491</vt:i4>
      </vt:variant>
      <vt:variant>
        <vt:i4>162</vt:i4>
      </vt:variant>
      <vt:variant>
        <vt:i4>0</vt:i4>
      </vt:variant>
      <vt:variant>
        <vt:i4>5</vt:i4>
      </vt:variant>
      <vt:variant>
        <vt:lpwstr>https://www.flinders.edu.au/content/dam/documents/fair-work/FU_Independent_Review_2022_FWA_Final_Report.pdf</vt:lpwstr>
      </vt:variant>
      <vt:variant>
        <vt:lpwstr/>
      </vt:variant>
      <vt:variant>
        <vt:i4>1638491</vt:i4>
      </vt:variant>
      <vt:variant>
        <vt:i4>159</vt:i4>
      </vt:variant>
      <vt:variant>
        <vt:i4>0</vt:i4>
      </vt:variant>
      <vt:variant>
        <vt:i4>5</vt:i4>
      </vt:variant>
      <vt:variant>
        <vt:lpwstr>https://www.flinders.edu.au/content/dam/documents/fair-work/FU_Independent_Review_2022_FWA_Final_Report.pdf</vt:lpwstr>
      </vt:variant>
      <vt:variant>
        <vt:lpwstr/>
      </vt:variant>
      <vt:variant>
        <vt:i4>1638491</vt:i4>
      </vt:variant>
      <vt:variant>
        <vt:i4>156</vt:i4>
      </vt:variant>
      <vt:variant>
        <vt:i4>0</vt:i4>
      </vt:variant>
      <vt:variant>
        <vt:i4>5</vt:i4>
      </vt:variant>
      <vt:variant>
        <vt:lpwstr>https://www.flinders.edu.au/content/dam/documents/fair-work/FU_Independent_Review_2022_FWA_Final_Report.pdf</vt:lpwstr>
      </vt:variant>
      <vt:variant>
        <vt:lpwstr/>
      </vt:variant>
      <vt:variant>
        <vt:i4>59</vt:i4>
      </vt:variant>
      <vt:variant>
        <vt:i4>120</vt:i4>
      </vt:variant>
      <vt:variant>
        <vt:i4>0</vt:i4>
      </vt:variant>
      <vt:variant>
        <vt:i4>5</vt:i4>
      </vt:variant>
      <vt:variant>
        <vt:lpwstr>https://parlinfo.aph.gov.au/parlInfo/download/legislation/ems/r6941_ems_d310a6ae-0ff2-4129-bc25-32c2bf274f86/upload_pdf/JC007910.pdf;fileType=application%2Fpdf</vt:lpwstr>
      </vt:variant>
      <vt:variant>
        <vt:lpwstr/>
      </vt:variant>
      <vt:variant>
        <vt:i4>59</vt:i4>
      </vt:variant>
      <vt:variant>
        <vt:i4>117</vt:i4>
      </vt:variant>
      <vt:variant>
        <vt:i4>0</vt:i4>
      </vt:variant>
      <vt:variant>
        <vt:i4>5</vt:i4>
      </vt:variant>
      <vt:variant>
        <vt:lpwstr>https://parlinfo.aph.gov.au/parlInfo/download/legislation/ems/r6941_ems_d310a6ae-0ff2-4129-bc25-32c2bf274f86/upload_pdf/JC007910.pdf;fileType=application%2Fpdf</vt:lpwstr>
      </vt:variant>
      <vt:variant>
        <vt:lpwstr/>
      </vt:variant>
      <vt:variant>
        <vt:i4>917624</vt:i4>
      </vt:variant>
      <vt:variant>
        <vt:i4>114</vt:i4>
      </vt:variant>
      <vt:variant>
        <vt:i4>0</vt:i4>
      </vt:variant>
      <vt:variant>
        <vt:i4>5</vt:i4>
      </vt:variant>
      <vt:variant>
        <vt:lpwstr>https://parlinfo.aph.gov.au/parlInfo/download/committees/reportsen/025002/toc_pdf/FairWorkLegislationAmendment(SecureJobs,BetterPay)Bill2022%5bProvisions%5d.pdf;fileType=application%2Fpdf</vt:lpwstr>
      </vt:variant>
      <vt:variant>
        <vt:lpwstr/>
      </vt:variant>
      <vt:variant>
        <vt:i4>59</vt:i4>
      </vt:variant>
      <vt:variant>
        <vt:i4>111</vt:i4>
      </vt:variant>
      <vt:variant>
        <vt:i4>0</vt:i4>
      </vt:variant>
      <vt:variant>
        <vt:i4>5</vt:i4>
      </vt:variant>
      <vt:variant>
        <vt:lpwstr>https://parlinfo.aph.gov.au/parlInfo/download/legislation/ems/r6941_ems_d310a6ae-0ff2-4129-bc25-32c2bf274f86/upload_pdf/JC007910.pdf;fileType=application%2Fpdf</vt:lpwstr>
      </vt:variant>
      <vt:variant>
        <vt:lpwstr/>
      </vt:variant>
      <vt:variant>
        <vt:i4>196680</vt:i4>
      </vt:variant>
      <vt:variant>
        <vt:i4>108</vt:i4>
      </vt:variant>
      <vt:variant>
        <vt:i4>0</vt:i4>
      </vt:variant>
      <vt:variant>
        <vt:i4>5</vt:i4>
      </vt:variant>
      <vt:variant>
        <vt:lpwstr>https://treasury.gov.au/sites/default/files/inline-files/Jobs-and-Skills-Summit-Outcomes-Document.pdf</vt:lpwstr>
      </vt:variant>
      <vt:variant>
        <vt:lpwstr/>
      </vt:variant>
      <vt:variant>
        <vt:i4>4063268</vt:i4>
      </vt:variant>
      <vt:variant>
        <vt:i4>105</vt:i4>
      </vt:variant>
      <vt:variant>
        <vt:i4>0</vt:i4>
      </vt:variant>
      <vt:variant>
        <vt:i4>5</vt:i4>
      </vt:variant>
      <vt:variant>
        <vt:lpwstr>https://www.aph.gov.au/DocumentStore.ashx?id=8c291caf-ada1-4914-9ef7-4285f6bdc29f&amp;subId=725559</vt:lpwstr>
      </vt:variant>
      <vt:variant>
        <vt:lpwstr/>
      </vt:variant>
      <vt:variant>
        <vt:i4>4390913</vt:i4>
      </vt:variant>
      <vt:variant>
        <vt:i4>102</vt:i4>
      </vt:variant>
      <vt:variant>
        <vt:i4>0</vt:i4>
      </vt:variant>
      <vt:variant>
        <vt:i4>5</vt:i4>
      </vt:variant>
      <vt:variant>
        <vt:lpwstr>https://www.fwc.gov.au/documents/awardsandorders/pdf/pr778679.pdf</vt:lpwstr>
      </vt:variant>
      <vt:variant>
        <vt:lpwstr/>
      </vt:variant>
      <vt:variant>
        <vt:i4>7405630</vt:i4>
      </vt:variant>
      <vt:variant>
        <vt:i4>99</vt:i4>
      </vt:variant>
      <vt:variant>
        <vt:i4>0</vt:i4>
      </vt:variant>
      <vt:variant>
        <vt:i4>5</vt:i4>
      </vt:variant>
      <vt:variant>
        <vt:lpwstr>https://www.fwc.gov.au/document-search/view/1/aHR0cHM6Ly9zYXNyY2RhdGFwcmRhdWVhYS5ibG9iLmNvcmUud2luZG93cy5uZXQvZGVjaXNpb25zLzIwMjQvMTIvQjIwMjQtMTUyMkIyMDI0LTE1MjNhbmRCMjAyNC0xNjExRGVjaXNpb241MDM3MDU1ODQzYWU4Y2UxLWYzMGMtNGIyNi04YmM2LWNhZGU2ZjI2YWJmNzBkOTEzMjJiLWFiMjgtNDE1MC1iYmNlLTdlMTQ3YzdlNzI1Mi5wZGY1?sid=&amp;q=single%20interest%20employer%20agreements</vt:lpwstr>
      </vt:variant>
      <vt:variant>
        <vt:lpwstr/>
      </vt:variant>
      <vt:variant>
        <vt:i4>5570629</vt:i4>
      </vt:variant>
      <vt:variant>
        <vt:i4>96</vt:i4>
      </vt:variant>
      <vt:variant>
        <vt:i4>0</vt:i4>
      </vt:variant>
      <vt:variant>
        <vt:i4>5</vt:i4>
      </vt:variant>
      <vt:variant>
        <vt:lpwstr>https://www.fwc.gov.au/documents/decisionssigned/pdf/2023fwcfb176.pdf</vt:lpwstr>
      </vt:variant>
      <vt:variant>
        <vt:lpwstr/>
      </vt:variant>
      <vt:variant>
        <vt:i4>5570629</vt:i4>
      </vt:variant>
      <vt:variant>
        <vt:i4>93</vt:i4>
      </vt:variant>
      <vt:variant>
        <vt:i4>0</vt:i4>
      </vt:variant>
      <vt:variant>
        <vt:i4>5</vt:i4>
      </vt:variant>
      <vt:variant>
        <vt:lpwstr>https://www.fwc.gov.au/documents/decisionssigned/pdf/2023fwcfb176.pdf</vt:lpwstr>
      </vt:variant>
      <vt:variant>
        <vt:lpwstr/>
      </vt:variant>
      <vt:variant>
        <vt:i4>5570629</vt:i4>
      </vt:variant>
      <vt:variant>
        <vt:i4>90</vt:i4>
      </vt:variant>
      <vt:variant>
        <vt:i4>0</vt:i4>
      </vt:variant>
      <vt:variant>
        <vt:i4>5</vt:i4>
      </vt:variant>
      <vt:variant>
        <vt:lpwstr>https://www.fwc.gov.au/documents/decisionssigned/pdf/2023fwcfb176.pdf</vt:lpwstr>
      </vt:variant>
      <vt:variant>
        <vt:lpwstr/>
      </vt:variant>
      <vt:variant>
        <vt:i4>5570629</vt:i4>
      </vt:variant>
      <vt:variant>
        <vt:i4>87</vt:i4>
      </vt:variant>
      <vt:variant>
        <vt:i4>0</vt:i4>
      </vt:variant>
      <vt:variant>
        <vt:i4>5</vt:i4>
      </vt:variant>
      <vt:variant>
        <vt:lpwstr>https://www.fwc.gov.au/documents/decisionssigned/pdf/2023fwcfb176.pdf</vt:lpwstr>
      </vt:variant>
      <vt:variant>
        <vt:lpwstr/>
      </vt:variant>
      <vt:variant>
        <vt:i4>5570629</vt:i4>
      </vt:variant>
      <vt:variant>
        <vt:i4>84</vt:i4>
      </vt:variant>
      <vt:variant>
        <vt:i4>0</vt:i4>
      </vt:variant>
      <vt:variant>
        <vt:i4>5</vt:i4>
      </vt:variant>
      <vt:variant>
        <vt:lpwstr>https://www.fwc.gov.au/documents/decisionssigned/pdf/2023fwcfb176.pdf</vt:lpwstr>
      </vt:variant>
      <vt:variant>
        <vt:lpwstr/>
      </vt:variant>
      <vt:variant>
        <vt:i4>5570629</vt:i4>
      </vt:variant>
      <vt:variant>
        <vt:i4>81</vt:i4>
      </vt:variant>
      <vt:variant>
        <vt:i4>0</vt:i4>
      </vt:variant>
      <vt:variant>
        <vt:i4>5</vt:i4>
      </vt:variant>
      <vt:variant>
        <vt:lpwstr>https://www.fwc.gov.au/documents/decisionssigned/pdf/2023fwcfb176.pdf</vt:lpwstr>
      </vt:variant>
      <vt:variant>
        <vt:lpwstr/>
      </vt:variant>
      <vt:variant>
        <vt:i4>5570629</vt:i4>
      </vt:variant>
      <vt:variant>
        <vt:i4>78</vt:i4>
      </vt:variant>
      <vt:variant>
        <vt:i4>0</vt:i4>
      </vt:variant>
      <vt:variant>
        <vt:i4>5</vt:i4>
      </vt:variant>
      <vt:variant>
        <vt:lpwstr>https://www.fwc.gov.au/documents/decisionssigned/pdf/2023fwcfb176.pdf</vt:lpwstr>
      </vt:variant>
      <vt:variant>
        <vt:lpwstr/>
      </vt:variant>
      <vt:variant>
        <vt:i4>5570629</vt:i4>
      </vt:variant>
      <vt:variant>
        <vt:i4>75</vt:i4>
      </vt:variant>
      <vt:variant>
        <vt:i4>0</vt:i4>
      </vt:variant>
      <vt:variant>
        <vt:i4>5</vt:i4>
      </vt:variant>
      <vt:variant>
        <vt:lpwstr>https://www.fwc.gov.au/documents/decisionssigned/pdf/2023fwcfb176.pdf</vt:lpwstr>
      </vt:variant>
      <vt:variant>
        <vt:lpwstr/>
      </vt:variant>
      <vt:variant>
        <vt:i4>5570629</vt:i4>
      </vt:variant>
      <vt:variant>
        <vt:i4>72</vt:i4>
      </vt:variant>
      <vt:variant>
        <vt:i4>0</vt:i4>
      </vt:variant>
      <vt:variant>
        <vt:i4>5</vt:i4>
      </vt:variant>
      <vt:variant>
        <vt:lpwstr>https://www.fwc.gov.au/documents/decisionssigned/pdf/2023fwcfb176.pdf</vt:lpwstr>
      </vt:variant>
      <vt:variant>
        <vt:lpwstr/>
      </vt:variant>
      <vt:variant>
        <vt:i4>5570629</vt:i4>
      </vt:variant>
      <vt:variant>
        <vt:i4>69</vt:i4>
      </vt:variant>
      <vt:variant>
        <vt:i4>0</vt:i4>
      </vt:variant>
      <vt:variant>
        <vt:i4>5</vt:i4>
      </vt:variant>
      <vt:variant>
        <vt:lpwstr>https://www.fwc.gov.au/documents/decisionssigned/pdf/2023fwcfb176.pdf</vt:lpwstr>
      </vt:variant>
      <vt:variant>
        <vt:lpwstr/>
      </vt:variant>
      <vt:variant>
        <vt:i4>5570629</vt:i4>
      </vt:variant>
      <vt:variant>
        <vt:i4>66</vt:i4>
      </vt:variant>
      <vt:variant>
        <vt:i4>0</vt:i4>
      </vt:variant>
      <vt:variant>
        <vt:i4>5</vt:i4>
      </vt:variant>
      <vt:variant>
        <vt:lpwstr>https://www.fwc.gov.au/documents/decisionssigned/pdf/2023fwcfb176.pdf</vt:lpwstr>
      </vt:variant>
      <vt:variant>
        <vt:lpwstr/>
      </vt:variant>
      <vt:variant>
        <vt:i4>5570629</vt:i4>
      </vt:variant>
      <vt:variant>
        <vt:i4>63</vt:i4>
      </vt:variant>
      <vt:variant>
        <vt:i4>0</vt:i4>
      </vt:variant>
      <vt:variant>
        <vt:i4>5</vt:i4>
      </vt:variant>
      <vt:variant>
        <vt:lpwstr>https://www.fwc.gov.au/documents/decisionssigned/pdf/2023fwcfb176.pdf</vt:lpwstr>
      </vt:variant>
      <vt:variant>
        <vt:lpwstr/>
      </vt:variant>
      <vt:variant>
        <vt:i4>2228329</vt:i4>
      </vt:variant>
      <vt:variant>
        <vt:i4>57</vt:i4>
      </vt:variant>
      <vt:variant>
        <vt:i4>0</vt:i4>
      </vt:variant>
      <vt:variant>
        <vt:i4>5</vt:i4>
      </vt:variant>
      <vt:variant>
        <vt:lpwstr>https://parlinfo.aph.gov.au/parlInfo/search/display/display.w3p;query=Id%3A%22legislation%2Fems%2Fr6941_ems_465eaf38-214a-4ca7-8bca-40e697e10cad%22</vt:lpwstr>
      </vt:variant>
      <vt:variant>
        <vt:lpwstr/>
      </vt:variant>
      <vt:variant>
        <vt:i4>5570629</vt:i4>
      </vt:variant>
      <vt:variant>
        <vt:i4>54</vt:i4>
      </vt:variant>
      <vt:variant>
        <vt:i4>0</vt:i4>
      </vt:variant>
      <vt:variant>
        <vt:i4>5</vt:i4>
      </vt:variant>
      <vt:variant>
        <vt:lpwstr>https://www.fwc.gov.au/documents/decisionssigned/pdf/2023fwcfb176.pdf</vt:lpwstr>
      </vt:variant>
      <vt:variant>
        <vt:lpwstr/>
      </vt:variant>
      <vt:variant>
        <vt:i4>3342445</vt:i4>
      </vt:variant>
      <vt:variant>
        <vt:i4>51</vt:i4>
      </vt:variant>
      <vt:variant>
        <vt:i4>0</vt:i4>
      </vt:variant>
      <vt:variant>
        <vt:i4>5</vt:i4>
      </vt:variant>
      <vt:variant>
        <vt:lpwstr>https://sharedservicescentre.sharepoint.com/sites/DEWR-JointReviews-SJBP-CLWHS/Shared Documents/Background research/For the Reviewers/aHR0cHM6Ly9zYXNyY2RhdGFwcmRhdWVhYS5ibG9iLmNvcmUud2luZG93cy5uZXQvZGVjaXNpb25zLzIwMjQvMDUvUFI3NzQ2MzM0MzE2MTExMjJhM2Q4YTc3LTc1N2QtNGViYy04OWEwLTc3NGE0YzE1MzBiNWZlNjU2MTc1LWM3OTYtNDQ0OS04ZGFmLWViNzQ0OGZjNjhkMi5wZGY1</vt:lpwstr>
      </vt:variant>
      <vt:variant>
        <vt:lpwstr/>
      </vt:variant>
      <vt:variant>
        <vt:i4>3342445</vt:i4>
      </vt:variant>
      <vt:variant>
        <vt:i4>48</vt:i4>
      </vt:variant>
      <vt:variant>
        <vt:i4>0</vt:i4>
      </vt:variant>
      <vt:variant>
        <vt:i4>5</vt:i4>
      </vt:variant>
      <vt:variant>
        <vt:lpwstr>https://sharedservicescentre.sharepoint.com/sites/DEWR-JointReviews-SJBP-CLWHS/Shared Documents/Background research/For the Reviewers/aHR0cHM6Ly9zYXNyY2RhdGFwcmRhdWVhYS5ibG9iLmNvcmUud2luZG93cy5uZXQvZGVjaXNpb25zLzIwMjQvMDUvUFI3NzQ2MzM0MzE2MTExMjJhM2Q4YTc3LTc1N2QtNGViYy04OWEwLTc3NGE0YzE1MzBiNWZlNjU2MTc1LWM3OTYtNDQ0OS04ZGFmLWViNzQ0OGZjNjhkMi5wZGY1</vt:lpwstr>
      </vt:variant>
      <vt:variant>
        <vt:lpwstr/>
      </vt:variant>
      <vt:variant>
        <vt:i4>7405613</vt:i4>
      </vt:variant>
      <vt:variant>
        <vt:i4>45</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7405613</vt:i4>
      </vt:variant>
      <vt:variant>
        <vt:i4>42</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7405613</vt:i4>
      </vt:variant>
      <vt:variant>
        <vt:i4>39</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7405613</vt:i4>
      </vt:variant>
      <vt:variant>
        <vt:i4>36</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5898329</vt:i4>
      </vt:variant>
      <vt:variant>
        <vt:i4>33</vt:i4>
      </vt:variant>
      <vt:variant>
        <vt:i4>0</vt:i4>
      </vt:variant>
      <vt:variant>
        <vt:i4>5</vt:i4>
      </vt:variant>
      <vt:variant>
        <vt:lpwstr>https://www.smh.com.au/politics/federal/supermarket-giant-coles-forced-to-bargaining-table-under-new-ir-laws-20230105-p5cah6.html</vt:lpwstr>
      </vt:variant>
      <vt:variant>
        <vt:lpwstr/>
      </vt:variant>
      <vt:variant>
        <vt:i4>2949225</vt:i4>
      </vt:variant>
      <vt:variant>
        <vt:i4>30</vt:i4>
      </vt:variant>
      <vt:variant>
        <vt:i4>0</vt:i4>
      </vt:variant>
      <vt:variant>
        <vt:i4>5</vt:i4>
      </vt:variant>
      <vt:variant>
        <vt:lpwstr>https://www.workplaceexpress.com.au/news/secure-jobs-made-anz-deal-possible-union-62535</vt:lpwstr>
      </vt:variant>
      <vt:variant>
        <vt:lpwstr/>
      </vt:variant>
      <vt:variant>
        <vt:i4>3473451</vt:i4>
      </vt:variant>
      <vt:variant>
        <vt:i4>27</vt:i4>
      </vt:variant>
      <vt:variant>
        <vt:i4>0</vt:i4>
      </vt:variant>
      <vt:variant>
        <vt:i4>5</vt:i4>
      </vt:variant>
      <vt:variant>
        <vt:lpwstr>https://www.afr.com/work-and-careers/workplace/anz-returns-to-bargaining-over-pay-for-the-first-time-in-seven-years-20230206-p5ci6q</vt:lpwstr>
      </vt:variant>
      <vt:variant>
        <vt:lpwstr/>
      </vt:variant>
      <vt:variant>
        <vt:i4>5898329</vt:i4>
      </vt:variant>
      <vt:variant>
        <vt:i4>24</vt:i4>
      </vt:variant>
      <vt:variant>
        <vt:i4>0</vt:i4>
      </vt:variant>
      <vt:variant>
        <vt:i4>5</vt:i4>
      </vt:variant>
      <vt:variant>
        <vt:lpwstr>https://www.smh.com.au/politics/federal/supermarket-giant-coles-forced-to-bargaining-table-under-new-ir-laws-20230105-p5cah6.html</vt:lpwstr>
      </vt:variant>
      <vt:variant>
        <vt:lpwstr/>
      </vt:variant>
      <vt:variant>
        <vt:i4>6881313</vt:i4>
      </vt:variant>
      <vt:variant>
        <vt:i4>21</vt:i4>
      </vt:variant>
      <vt:variant>
        <vt:i4>0</vt:i4>
      </vt:variant>
      <vt:variant>
        <vt:i4>5</vt:i4>
      </vt:variant>
      <vt:variant>
        <vt:lpwstr>https://www.fairwork.gov.au/newsroom/media-releases/2024-media-releases/july-2024/20240718/FWO-statement-on-CFMEU-media-release</vt:lpwstr>
      </vt:variant>
      <vt:variant>
        <vt:lpwstr/>
      </vt:variant>
      <vt:variant>
        <vt:i4>8192057</vt:i4>
      </vt:variant>
      <vt:variant>
        <vt:i4>18</vt:i4>
      </vt:variant>
      <vt:variant>
        <vt:i4>0</vt:i4>
      </vt:variant>
      <vt:variant>
        <vt:i4>5</vt:i4>
      </vt:variant>
      <vt:variant>
        <vt:lpwstr>https://www.fwc.gov.au/documents/consultation/gm-statement-cfmeu-2024-10-03.pdf</vt:lpwstr>
      </vt:variant>
      <vt:variant>
        <vt:lpwstr/>
      </vt:variant>
      <vt:variant>
        <vt:i4>1441802</vt:i4>
      </vt:variant>
      <vt:variant>
        <vt:i4>15</vt:i4>
      </vt:variant>
      <vt:variant>
        <vt:i4>0</vt:i4>
      </vt:variant>
      <vt:variant>
        <vt:i4>5</vt:i4>
      </vt:variant>
      <vt:variant>
        <vt:lpwstr>https://www.fwc.gov.au/registered-organisations/cfmeu-construction-and-general-division-administration</vt:lpwstr>
      </vt:variant>
      <vt:variant>
        <vt:lpwstr>:~:text=Mark%20Irving%20KC%20has%20been,General%20Division%20Administration)%20Determination%202024%20.</vt:lpwstr>
      </vt:variant>
      <vt:variant>
        <vt:i4>8192057</vt:i4>
      </vt:variant>
      <vt:variant>
        <vt:i4>12</vt:i4>
      </vt:variant>
      <vt:variant>
        <vt:i4>0</vt:i4>
      </vt:variant>
      <vt:variant>
        <vt:i4>5</vt:i4>
      </vt:variant>
      <vt:variant>
        <vt:lpwstr>https://www.fwc.gov.au/documents/consultation/gm-statement-cfmeu-2024-10-03.pdf</vt:lpwstr>
      </vt:variant>
      <vt:variant>
        <vt:lpwstr/>
      </vt:variant>
      <vt:variant>
        <vt:i4>1441802</vt:i4>
      </vt:variant>
      <vt:variant>
        <vt:i4>9</vt:i4>
      </vt:variant>
      <vt:variant>
        <vt:i4>0</vt:i4>
      </vt:variant>
      <vt:variant>
        <vt:i4>5</vt:i4>
      </vt:variant>
      <vt:variant>
        <vt:lpwstr>https://www.fwc.gov.au/registered-organisations/cfmeu-construction-and-general-division-administration</vt:lpwstr>
      </vt:variant>
      <vt:variant>
        <vt:lpwstr>:~:text=Mark%20Irving%20KC%20has%20been,General%20Division%20Administration)%20Determination%202024%20.</vt:lpwstr>
      </vt:variant>
      <vt:variant>
        <vt:i4>3866685</vt:i4>
      </vt:variant>
      <vt:variant>
        <vt:i4>6</vt:i4>
      </vt:variant>
      <vt:variant>
        <vt:i4>0</vt:i4>
      </vt:variant>
      <vt:variant>
        <vt:i4>5</vt:i4>
      </vt:variant>
      <vt:variant>
        <vt:lpwstr>https://www.afr.com/topic/building-bad-6gug</vt:lpwstr>
      </vt:variant>
      <vt:variant>
        <vt:lpwstr/>
      </vt:variant>
      <vt:variant>
        <vt:i4>1441802</vt:i4>
      </vt:variant>
      <vt:variant>
        <vt:i4>3</vt:i4>
      </vt:variant>
      <vt:variant>
        <vt:i4>0</vt:i4>
      </vt:variant>
      <vt:variant>
        <vt:i4>5</vt:i4>
      </vt:variant>
      <vt:variant>
        <vt:lpwstr>https://www.fwc.gov.au/registered-organisations/cfmeu-construction-and-general-division-administration</vt:lpwstr>
      </vt:variant>
      <vt:variant>
        <vt:lpwstr>:~:text=Mark%20Irving%20KC%20has%20been,General%20Division%20Administration)%20Determination%202024%20.</vt:lpwstr>
      </vt:variant>
      <vt:variant>
        <vt:i4>6488160</vt:i4>
      </vt:variant>
      <vt:variant>
        <vt:i4>0</vt:i4>
      </vt:variant>
      <vt:variant>
        <vt:i4>0</vt:i4>
      </vt:variant>
      <vt:variant>
        <vt:i4>5</vt:i4>
      </vt:variant>
      <vt:variant>
        <vt:lpwstr>https://ministers.dewr.gov.au/burke/restoring-equal-rights-construction-workers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 Jobs, Better Pay Review: Draft Report</dc:title>
  <dc:subject/>
  <dc:creator/>
  <cp:keywords/>
  <dc:description/>
  <cp:lastModifiedBy/>
  <cp:revision>1</cp:revision>
  <dcterms:created xsi:type="dcterms:W3CDTF">2025-02-02T23:36:00Z</dcterms:created>
  <dcterms:modified xsi:type="dcterms:W3CDTF">2025-02-02T23:36:00Z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2025-02-02T23:36:46Z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53e91e1e-e3a5-41a5-84d0-478ad69028f7</vt:lpwstr>
  </property>
  <property fmtid="{D5CDD505-2E9C-101B-9397-08002B2CF9AE}" pid="8" name="MSIP_Label_79d889eb-932f-4752-8739-64d25806ef64_ContentBits">
    <vt:lpwstr>0</vt:lpwstr>
  </property>
</Properties>
</file>